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8.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drawings/drawing3.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drawings/drawing4.xml" ContentType="application/vnd.openxmlformats-officedocument.drawingml.chartshapes+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drawings/drawing5.xml" ContentType="application/vnd.openxmlformats-officedocument.drawingml.chartshapes+xml"/>
  <Override PartName="/word/charts/chart22.xml" ContentType="application/vnd.openxmlformats-officedocument.drawingml.chart+xml"/>
  <Override PartName="/word/theme/themeOverride22.xml" ContentType="application/vnd.openxmlformats-officedocument.themeOverride+xml"/>
  <Override PartName="/word/drawings/drawing6.xml" ContentType="application/vnd.openxmlformats-officedocument.drawingml.chartshapes+xml"/>
  <Override PartName="/word/charts/chart23.xml" ContentType="application/vnd.openxmlformats-officedocument.drawingml.chart+xml"/>
  <Override PartName="/word/theme/themeOverride23.xml" ContentType="application/vnd.openxmlformats-officedocument.themeOverride+xml"/>
  <Override PartName="/word/drawings/drawing7.xml" ContentType="application/vnd.openxmlformats-officedocument.drawingml.chartshapes+xml"/>
  <Override PartName="/word/charts/chart24.xml" ContentType="application/vnd.openxmlformats-officedocument.drawingml.chart+xml"/>
  <Override PartName="/word/theme/themeOverride24.xml" ContentType="application/vnd.openxmlformats-officedocument.themeOverride+xml"/>
  <Override PartName="/word/drawings/drawing8.xml" ContentType="application/vnd.openxmlformats-officedocument.drawingml.chartshapes+xml"/>
  <Override PartName="/word/charts/chart2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5.xml" ContentType="application/vnd.openxmlformats-officedocument.themeOverride+xml"/>
  <Override PartName="/word/drawings/drawing9.xml" ContentType="application/vnd.openxmlformats-officedocument.drawingml.chartshapes+xml"/>
  <Override PartName="/word/charts/chart2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6.xml" ContentType="application/vnd.openxmlformats-officedocument.themeOverride+xml"/>
  <Override PartName="/word/drawings/drawing10.xml" ContentType="application/vnd.openxmlformats-officedocument.drawingml.chartshapes+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drawings/drawing11.xml" ContentType="application/vnd.openxmlformats-officedocument.drawingml.chartshapes+xml"/>
  <Override PartName="/word/charts/chart30.xml" ContentType="application/vnd.openxmlformats-officedocument.drawingml.chart+xml"/>
  <Override PartName="/word/theme/themeOverride30.xml" ContentType="application/vnd.openxmlformats-officedocument.themeOverride+xml"/>
  <Override PartName="/word/drawings/drawing12.xml" ContentType="application/vnd.openxmlformats-officedocument.drawingml.chartshapes+xml"/>
  <Override PartName="/word/charts/chart31.xml" ContentType="application/vnd.openxmlformats-officedocument.drawingml.chart+xml"/>
  <Override PartName="/word/theme/themeOverride31.xml" ContentType="application/vnd.openxmlformats-officedocument.themeOverride+xml"/>
  <Override PartName="/word/drawings/drawing13.xml" ContentType="application/vnd.openxmlformats-officedocument.drawingml.chartshapes+xml"/>
  <Override PartName="/word/charts/chart32.xml" ContentType="application/vnd.openxmlformats-officedocument.drawingml.chart+xml"/>
  <Override PartName="/word/theme/themeOverride32.xml" ContentType="application/vnd.openxmlformats-officedocument.themeOverride+xml"/>
  <Override PartName="/word/drawings/drawing14.xml" ContentType="application/vnd.openxmlformats-officedocument.drawingml.chartshapes+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drawings/drawing15.xml" ContentType="application/vnd.openxmlformats-officedocument.drawingml.chartshapes+xml"/>
  <Override PartName="/word/charts/chart37.xml" ContentType="application/vnd.openxmlformats-officedocument.drawingml.chart+xml"/>
  <Override PartName="/word/theme/themeOverride37.xml" ContentType="application/vnd.openxmlformats-officedocument.themeOverride+xml"/>
  <Override PartName="/word/drawings/drawing16.xml" ContentType="application/vnd.openxmlformats-officedocument.drawingml.chartshapes+xml"/>
  <Override PartName="/word/charts/chart38.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7.xml" ContentType="application/vnd.openxmlformats-officedocument.drawingml.chartshapes+xml"/>
  <Override PartName="/word/charts/chart53.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8.xml" ContentType="application/vnd.openxmlformats-officedocument.drawingml.chartshapes+xml"/>
  <Override PartName="/word/charts/chart54.xml" ContentType="application/vnd.openxmlformats-officedocument.drawingml.chart+xml"/>
  <Override PartName="/word/theme/themeOverride52.xml" ContentType="application/vnd.openxmlformats-officedocument.themeOverride+xml"/>
  <Override PartName="/word/drawings/drawing19.xml" ContentType="application/vnd.openxmlformats-officedocument.drawingml.chartshapes+xml"/>
  <Override PartName="/word/charts/chart55.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20.xml" ContentType="application/vnd.openxmlformats-officedocument.drawingml.chartshapes+xml"/>
  <Override PartName="/word/charts/chart56.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21.xml" ContentType="application/vnd.openxmlformats-officedocument.drawingml.chartshapes+xml"/>
  <Override PartName="/word/charts/chart57.xml" ContentType="application/vnd.openxmlformats-officedocument.drawingml.chart+xml"/>
  <Override PartName="/word/theme/themeOverride53.xml" ContentType="application/vnd.openxmlformats-officedocument.themeOverride+xml"/>
  <Override PartName="/word/drawings/drawing22.xml" ContentType="application/vnd.openxmlformats-officedocument.drawingml.chartshapes+xml"/>
  <Override PartName="/word/charts/chart58.xml" ContentType="application/vnd.openxmlformats-officedocument.drawingml.chart+xml"/>
  <Override PartName="/word/theme/themeOverride54.xml" ContentType="application/vnd.openxmlformats-officedocument.themeOverride+xml"/>
  <Override PartName="/word/drawings/drawing23.xml" ContentType="application/vnd.openxmlformats-officedocument.drawingml.chartshapes+xml"/>
  <Override PartName="/word/charts/chart59.xml" ContentType="application/vnd.openxmlformats-officedocument.drawingml.chart+xml"/>
  <Override PartName="/word/theme/themeOverride55.xml" ContentType="application/vnd.openxmlformats-officedocument.themeOverride+xml"/>
  <Override PartName="/word/charts/chart60.xml" ContentType="application/vnd.openxmlformats-officedocument.drawingml.chart+xml"/>
  <Override PartName="/word/theme/themeOverride56.xml" ContentType="application/vnd.openxmlformats-officedocument.themeOverride+xml"/>
  <Override PartName="/word/charts/chart6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57.xml" ContentType="application/vnd.openxmlformats-officedocument.themeOverride+xml"/>
  <Override PartName="/word/drawings/drawing24.xml" ContentType="application/vnd.openxmlformats-officedocument.drawingml.chartshapes+xml"/>
  <Override PartName="/word/charts/chart6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58.xml" ContentType="application/vnd.openxmlformats-officedocument.themeOverride+xml"/>
  <Override PartName="/word/drawings/drawing25.xml" ContentType="application/vnd.openxmlformats-officedocument.drawingml.chartshapes+xml"/>
  <Override PartName="/word/charts/chart63.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26.xml" ContentType="application/vnd.openxmlformats-officedocument.drawingml.chartshapes+xml"/>
  <Override PartName="/word/charts/chart64.xml" ContentType="application/vnd.openxmlformats-officedocument.drawingml.chart+xml"/>
  <Override PartName="/word/theme/themeOverride59.xml" ContentType="application/vnd.openxmlformats-officedocument.themeOverride+xml"/>
  <Override PartName="/word/charts/chart65.xml" ContentType="application/vnd.openxmlformats-officedocument.drawingml.chart+xml"/>
  <Override PartName="/word/theme/themeOverride60.xml" ContentType="application/vnd.openxmlformats-officedocument.themeOverride+xml"/>
  <Override PartName="/word/charts/chart66.xml" ContentType="application/vnd.openxmlformats-officedocument.drawingml.chart+xml"/>
  <Override PartName="/word/theme/themeOverride61.xml" ContentType="application/vnd.openxmlformats-officedocument.themeOverride+xml"/>
  <Override PartName="/word/charts/chart67.xml" ContentType="application/vnd.openxmlformats-officedocument.drawingml.chart+xml"/>
  <Override PartName="/word/theme/themeOverride62.xml" ContentType="application/vnd.openxmlformats-officedocument.themeOverride+xml"/>
  <Override PartName="/word/charts/chart68.xml" ContentType="application/vnd.openxmlformats-officedocument.drawingml.chart+xml"/>
  <Override PartName="/word/theme/themeOverride63.xml" ContentType="application/vnd.openxmlformats-officedocument.themeOverride+xml"/>
  <Override PartName="/word/charts/chart69.xml" ContentType="application/vnd.openxmlformats-officedocument.drawingml.chart+xml"/>
  <Override PartName="/word/theme/themeOverride64.xml" ContentType="application/vnd.openxmlformats-officedocument.themeOverride+xml"/>
  <Override PartName="/word/charts/chart70.xml" ContentType="application/vnd.openxmlformats-officedocument.drawingml.chart+xml"/>
  <Override PartName="/word/charts/chart71.xml" ContentType="application/vnd.openxmlformats-officedocument.drawingml.chart+xml"/>
  <Override PartName="/word/theme/themeOverride65.xml" ContentType="application/vnd.openxmlformats-officedocument.themeOverride+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77.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66.xml" ContentType="application/vnd.openxmlformats-officedocument.themeOverride+xml"/>
  <Override PartName="/word/charts/chart78.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67.xml" ContentType="application/vnd.openxmlformats-officedocument.themeOverride+xml"/>
  <Override PartName="/word/charts/chart79.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68.xml" ContentType="application/vnd.openxmlformats-officedocument.themeOverride+xml"/>
  <Override PartName="/word/charts/chart80.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69.xml" ContentType="application/vnd.openxmlformats-officedocument.themeOverride+xml"/>
  <Override PartName="/word/charts/chart81.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82.xml" ContentType="application/vnd.openxmlformats-officedocument.drawingml.chart+xml"/>
  <Override PartName="/word/charts/style26.xml" ContentType="application/vnd.ms-office.chartstyle+xml"/>
  <Override PartName="/word/charts/colors26.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430A4E" w14:textId="77777777" w:rsidR="0021126A" w:rsidRPr="007955BB" w:rsidRDefault="0021126A" w:rsidP="005E3FE8">
      <w:pPr>
        <w:pStyle w:val="TableTitleCharCharCharCharCharCharCharCharCharChar1"/>
        <w:ind w:left="1"/>
        <w:rPr>
          <w:lang w:val="en-US"/>
        </w:rPr>
      </w:pPr>
    </w:p>
    <w:p w14:paraId="67EF305E" w14:textId="77777777" w:rsidR="004A4189" w:rsidRPr="007955BB" w:rsidRDefault="004A4189" w:rsidP="007730AA">
      <w:pPr>
        <w:spacing w:before="0"/>
        <w:jc w:val="center"/>
        <w:rPr>
          <w:sz w:val="52"/>
          <w:szCs w:val="52"/>
          <w:lang w:val="en-US"/>
        </w:rPr>
      </w:pPr>
    </w:p>
    <w:p w14:paraId="5E1F84C7" w14:textId="77777777" w:rsidR="00B621DA" w:rsidRDefault="00B621DA" w:rsidP="007730AA">
      <w:pPr>
        <w:spacing w:before="0"/>
        <w:jc w:val="center"/>
        <w:rPr>
          <w:sz w:val="52"/>
          <w:szCs w:val="52"/>
        </w:rPr>
      </w:pPr>
    </w:p>
    <w:p w14:paraId="7A359F14" w14:textId="77777777" w:rsidR="00B621DA" w:rsidRDefault="00B621DA" w:rsidP="007730AA">
      <w:pPr>
        <w:spacing w:before="0"/>
        <w:jc w:val="center"/>
        <w:rPr>
          <w:sz w:val="52"/>
          <w:szCs w:val="52"/>
        </w:rPr>
      </w:pPr>
      <w:r>
        <w:rPr>
          <w:noProof/>
          <w:lang w:val="en-US" w:eastAsia="en-US"/>
        </w:rPr>
        <w:drawing>
          <wp:anchor distT="0" distB="0" distL="114300" distR="114300" simplePos="0" relativeHeight="251726848" behindDoc="0" locked="0" layoutInCell="1" allowOverlap="1" wp14:anchorId="668CC458" wp14:editId="415562BF">
            <wp:simplePos x="0" y="0"/>
            <wp:positionH relativeFrom="page">
              <wp:posOffset>2977515</wp:posOffset>
            </wp:positionH>
            <wp:positionV relativeFrom="paragraph">
              <wp:posOffset>5715</wp:posOffset>
            </wp:positionV>
            <wp:extent cx="1276350" cy="981075"/>
            <wp:effectExtent l="0" t="0" r="0" b="9525"/>
            <wp:wrapNone/>
            <wp:docPr id="16120848" name="Picture 16120848" descr="https://www.minfin.am/website/themes/frontend/default/imag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nfin.am/website/themes/frontend/default/image/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350" cy="981075"/>
                    </a:xfrm>
                    <a:prstGeom prst="rect">
                      <a:avLst/>
                    </a:prstGeom>
                    <a:noFill/>
                    <a:ln>
                      <a:noFill/>
                    </a:ln>
                  </pic:spPr>
                </pic:pic>
              </a:graphicData>
            </a:graphic>
          </wp:anchor>
        </w:drawing>
      </w:r>
    </w:p>
    <w:p w14:paraId="7624CBD5" w14:textId="77777777" w:rsidR="00B621DA" w:rsidRDefault="00B621DA" w:rsidP="007730AA">
      <w:pPr>
        <w:spacing w:before="0"/>
        <w:jc w:val="center"/>
        <w:rPr>
          <w:sz w:val="52"/>
          <w:szCs w:val="52"/>
        </w:rPr>
      </w:pPr>
    </w:p>
    <w:p w14:paraId="7CAC9719" w14:textId="77777777" w:rsidR="00B621DA" w:rsidRDefault="00B621DA" w:rsidP="007730AA">
      <w:pPr>
        <w:spacing w:before="0"/>
        <w:jc w:val="center"/>
        <w:rPr>
          <w:sz w:val="52"/>
          <w:szCs w:val="52"/>
        </w:rPr>
      </w:pPr>
    </w:p>
    <w:p w14:paraId="042D8981" w14:textId="77777777" w:rsidR="00B621DA" w:rsidRDefault="00B621DA" w:rsidP="007730AA">
      <w:pPr>
        <w:spacing w:before="0"/>
        <w:jc w:val="center"/>
        <w:rPr>
          <w:sz w:val="52"/>
          <w:szCs w:val="52"/>
        </w:rPr>
      </w:pPr>
    </w:p>
    <w:p w14:paraId="6200D13C" w14:textId="77777777" w:rsidR="00B621DA" w:rsidRDefault="00B621DA" w:rsidP="007730AA">
      <w:pPr>
        <w:spacing w:before="0"/>
        <w:jc w:val="center"/>
        <w:rPr>
          <w:sz w:val="52"/>
          <w:szCs w:val="52"/>
        </w:rPr>
      </w:pPr>
    </w:p>
    <w:p w14:paraId="5467CD8D" w14:textId="77777777" w:rsidR="0021126A" w:rsidRPr="0010619F" w:rsidRDefault="0021126A" w:rsidP="00B621DA">
      <w:pPr>
        <w:spacing w:after="120" w:line="312" w:lineRule="auto"/>
        <w:ind w:left="567"/>
        <w:jc w:val="center"/>
        <w:rPr>
          <w:b w:val="0"/>
          <w:color w:val="1F4E79"/>
          <w:sz w:val="32"/>
          <w:szCs w:val="32"/>
          <w:lang w:eastAsia="en-US"/>
        </w:rPr>
      </w:pPr>
      <w:r w:rsidRPr="0010619F">
        <w:rPr>
          <w:b w:val="0"/>
          <w:color w:val="1F4E79"/>
          <w:sz w:val="32"/>
          <w:szCs w:val="32"/>
          <w:lang w:val="en-US" w:eastAsia="en-US"/>
        </w:rPr>
        <w:t>ՀԱՅԱՍՏԱՆԻ</w:t>
      </w:r>
      <w:r w:rsidR="001E6978" w:rsidRPr="0010619F">
        <w:rPr>
          <w:b w:val="0"/>
          <w:color w:val="1F4E79"/>
          <w:sz w:val="32"/>
          <w:szCs w:val="32"/>
          <w:lang w:eastAsia="en-US"/>
        </w:rPr>
        <w:t xml:space="preserve"> </w:t>
      </w:r>
      <w:r w:rsidR="00932A00" w:rsidRPr="0010619F">
        <w:rPr>
          <w:b w:val="0"/>
          <w:color w:val="1F4E79"/>
          <w:sz w:val="32"/>
          <w:szCs w:val="32"/>
          <w:lang w:val="en-US" w:eastAsia="en-US"/>
        </w:rPr>
        <w:t>Հ</w:t>
      </w:r>
      <w:r w:rsidRPr="0010619F">
        <w:rPr>
          <w:b w:val="0"/>
          <w:color w:val="1F4E79"/>
          <w:sz w:val="32"/>
          <w:szCs w:val="32"/>
          <w:lang w:val="en-US" w:eastAsia="en-US"/>
        </w:rPr>
        <w:t>ԱՆՐԱՊԵՏՈՒԹՅԱՆ</w:t>
      </w:r>
    </w:p>
    <w:p w14:paraId="2D458380" w14:textId="77777777" w:rsidR="0021126A" w:rsidRPr="0010619F" w:rsidRDefault="0021126A" w:rsidP="00B621DA">
      <w:pPr>
        <w:spacing w:after="120" w:line="312" w:lineRule="auto"/>
        <w:ind w:left="567"/>
        <w:jc w:val="center"/>
        <w:rPr>
          <w:b w:val="0"/>
          <w:sz w:val="32"/>
          <w:szCs w:val="32"/>
          <w:lang w:val="hy-AM"/>
        </w:rPr>
      </w:pPr>
      <w:r w:rsidRPr="0010619F">
        <w:rPr>
          <w:b w:val="0"/>
          <w:color w:val="1F4E79"/>
          <w:sz w:val="32"/>
          <w:szCs w:val="32"/>
          <w:lang w:val="en-US" w:eastAsia="en-US"/>
        </w:rPr>
        <w:t>ԿԱՌԱՎԱՐՈՒԹՅԱՆ</w:t>
      </w:r>
    </w:p>
    <w:p w14:paraId="5ED280D7" w14:textId="77777777" w:rsidR="0021126A" w:rsidRPr="0010619F" w:rsidRDefault="0021126A" w:rsidP="007730AA">
      <w:pPr>
        <w:spacing w:before="0"/>
        <w:jc w:val="center"/>
        <w:rPr>
          <w:b w:val="0"/>
          <w:sz w:val="32"/>
          <w:szCs w:val="32"/>
        </w:rPr>
      </w:pPr>
    </w:p>
    <w:p w14:paraId="4CA5B2EA" w14:textId="77777777" w:rsidR="0021126A" w:rsidRPr="0010619F" w:rsidRDefault="00BB3288" w:rsidP="00B621DA">
      <w:pPr>
        <w:spacing w:after="120" w:line="312" w:lineRule="auto"/>
        <w:ind w:left="567"/>
        <w:jc w:val="center"/>
        <w:rPr>
          <w:b w:val="0"/>
          <w:color w:val="1F4E79"/>
          <w:sz w:val="32"/>
          <w:szCs w:val="32"/>
          <w:lang w:eastAsia="en-US"/>
        </w:rPr>
      </w:pPr>
      <w:r w:rsidRPr="0010619F">
        <w:rPr>
          <w:b w:val="0"/>
          <w:color w:val="1F4E79"/>
          <w:sz w:val="32"/>
          <w:szCs w:val="32"/>
          <w:lang w:eastAsia="en-US"/>
        </w:rPr>
        <w:t>202</w:t>
      </w:r>
      <w:r w:rsidR="00931D06" w:rsidRPr="0010619F">
        <w:rPr>
          <w:b w:val="0"/>
          <w:color w:val="1F4E79"/>
          <w:sz w:val="32"/>
          <w:szCs w:val="32"/>
          <w:lang w:eastAsia="en-US"/>
        </w:rPr>
        <w:t>4</w:t>
      </w:r>
      <w:r w:rsidR="00D63A2E" w:rsidRPr="0010619F">
        <w:rPr>
          <w:b w:val="0"/>
          <w:color w:val="1F4E79"/>
          <w:sz w:val="32"/>
          <w:szCs w:val="32"/>
          <w:lang w:eastAsia="en-US"/>
        </w:rPr>
        <w:t xml:space="preserve"> </w:t>
      </w:r>
      <w:r w:rsidR="0021126A" w:rsidRPr="0010619F">
        <w:rPr>
          <w:b w:val="0"/>
          <w:color w:val="1F4E79"/>
          <w:sz w:val="32"/>
          <w:szCs w:val="32"/>
          <w:lang w:val="en-US" w:eastAsia="en-US"/>
        </w:rPr>
        <w:t>ԹՎԱԿԱՆԻ</w:t>
      </w:r>
      <w:r w:rsidR="0021126A" w:rsidRPr="0010619F">
        <w:rPr>
          <w:b w:val="0"/>
          <w:color w:val="1F4E79"/>
          <w:sz w:val="32"/>
          <w:szCs w:val="32"/>
          <w:lang w:eastAsia="en-US"/>
        </w:rPr>
        <w:t xml:space="preserve"> </w:t>
      </w:r>
      <w:r w:rsidR="0021126A" w:rsidRPr="0010619F">
        <w:rPr>
          <w:b w:val="0"/>
          <w:color w:val="1F4E79"/>
          <w:sz w:val="32"/>
          <w:szCs w:val="32"/>
          <w:lang w:val="en-US" w:eastAsia="en-US"/>
        </w:rPr>
        <w:t>ԲՅՈՒՋԵՏԱՅԻՆ</w:t>
      </w:r>
      <w:r w:rsidR="0021126A" w:rsidRPr="0010619F">
        <w:rPr>
          <w:b w:val="0"/>
          <w:color w:val="1F4E79"/>
          <w:sz w:val="32"/>
          <w:szCs w:val="32"/>
          <w:lang w:eastAsia="en-US"/>
        </w:rPr>
        <w:t xml:space="preserve"> </w:t>
      </w:r>
    </w:p>
    <w:p w14:paraId="0BCD89B0" w14:textId="77777777" w:rsidR="0021126A" w:rsidRPr="0010619F" w:rsidRDefault="0021126A" w:rsidP="00B621DA">
      <w:pPr>
        <w:spacing w:after="120" w:line="312" w:lineRule="auto"/>
        <w:ind w:left="567"/>
        <w:jc w:val="center"/>
        <w:rPr>
          <w:b w:val="0"/>
          <w:color w:val="1F4E79"/>
          <w:sz w:val="32"/>
          <w:szCs w:val="32"/>
          <w:lang w:eastAsia="en-US"/>
        </w:rPr>
      </w:pPr>
    </w:p>
    <w:p w14:paraId="6727CDC5" w14:textId="77777777" w:rsidR="0021126A" w:rsidRPr="0010619F" w:rsidRDefault="0021126A" w:rsidP="00B621DA">
      <w:pPr>
        <w:spacing w:after="120" w:line="312" w:lineRule="auto"/>
        <w:ind w:left="567"/>
        <w:jc w:val="center"/>
        <w:rPr>
          <w:b w:val="0"/>
          <w:color w:val="1F4E79"/>
          <w:sz w:val="32"/>
          <w:szCs w:val="32"/>
          <w:lang w:eastAsia="en-US"/>
        </w:rPr>
      </w:pPr>
      <w:r w:rsidRPr="0010619F">
        <w:rPr>
          <w:b w:val="0"/>
          <w:color w:val="1F4E79"/>
          <w:sz w:val="32"/>
          <w:szCs w:val="32"/>
          <w:lang w:val="en-US" w:eastAsia="en-US"/>
        </w:rPr>
        <w:t>ՈՒՂԵՐՁ</w:t>
      </w:r>
    </w:p>
    <w:p w14:paraId="7D0DFE8A" w14:textId="77777777" w:rsidR="0021126A" w:rsidRPr="0010619F" w:rsidRDefault="0021126A" w:rsidP="007730AA">
      <w:pPr>
        <w:spacing w:before="0"/>
        <w:jc w:val="center"/>
        <w:rPr>
          <w:b w:val="0"/>
          <w:sz w:val="32"/>
          <w:szCs w:val="32"/>
          <w:lang w:val="hy-AM"/>
        </w:rPr>
      </w:pPr>
    </w:p>
    <w:p w14:paraId="1CEAFDA1" w14:textId="77777777" w:rsidR="00140251" w:rsidRPr="0010619F" w:rsidRDefault="00140251" w:rsidP="007730AA">
      <w:pPr>
        <w:spacing w:before="0"/>
        <w:jc w:val="center"/>
        <w:rPr>
          <w:b w:val="0"/>
          <w:sz w:val="32"/>
          <w:szCs w:val="32"/>
        </w:rPr>
      </w:pPr>
    </w:p>
    <w:p w14:paraId="7E10C8F3" w14:textId="77777777" w:rsidR="00140251" w:rsidRPr="0010619F" w:rsidRDefault="00140251" w:rsidP="007730AA">
      <w:pPr>
        <w:spacing w:before="0"/>
        <w:jc w:val="center"/>
        <w:rPr>
          <w:b w:val="0"/>
          <w:sz w:val="32"/>
          <w:szCs w:val="32"/>
        </w:rPr>
      </w:pPr>
    </w:p>
    <w:p w14:paraId="64FA0CB5" w14:textId="77777777" w:rsidR="0021126A" w:rsidRPr="0010619F" w:rsidRDefault="0021126A" w:rsidP="007730AA">
      <w:pPr>
        <w:spacing w:before="0"/>
        <w:jc w:val="center"/>
        <w:rPr>
          <w:b w:val="0"/>
          <w:sz w:val="32"/>
          <w:szCs w:val="32"/>
        </w:rPr>
      </w:pPr>
    </w:p>
    <w:p w14:paraId="67C67476" w14:textId="77777777" w:rsidR="00B621DA" w:rsidRPr="0010619F" w:rsidRDefault="00B621DA" w:rsidP="007730AA">
      <w:pPr>
        <w:spacing w:before="0"/>
        <w:jc w:val="center"/>
        <w:rPr>
          <w:b w:val="0"/>
          <w:sz w:val="32"/>
          <w:szCs w:val="32"/>
        </w:rPr>
      </w:pPr>
    </w:p>
    <w:p w14:paraId="436EC49C" w14:textId="77777777" w:rsidR="0021126A" w:rsidRPr="0010619F" w:rsidRDefault="0021126A" w:rsidP="00B621DA">
      <w:pPr>
        <w:spacing w:after="120" w:line="312" w:lineRule="auto"/>
        <w:ind w:left="567"/>
        <w:jc w:val="center"/>
        <w:rPr>
          <w:b w:val="0"/>
          <w:color w:val="1F4E79"/>
          <w:sz w:val="32"/>
          <w:szCs w:val="32"/>
          <w:lang w:eastAsia="en-US"/>
        </w:rPr>
      </w:pPr>
      <w:r w:rsidRPr="0010619F">
        <w:rPr>
          <w:b w:val="0"/>
          <w:color w:val="1F4E79"/>
          <w:sz w:val="32"/>
          <w:szCs w:val="32"/>
          <w:lang w:val="en-US" w:eastAsia="en-US"/>
        </w:rPr>
        <w:t>ԵՐԵՎԱՆ</w:t>
      </w:r>
      <w:r w:rsidRPr="0010619F">
        <w:rPr>
          <w:b w:val="0"/>
          <w:color w:val="1F4E79"/>
          <w:sz w:val="32"/>
          <w:szCs w:val="32"/>
          <w:lang w:eastAsia="en-US"/>
        </w:rPr>
        <w:t xml:space="preserve"> </w:t>
      </w:r>
      <w:r w:rsidR="00BB3288" w:rsidRPr="0010619F">
        <w:rPr>
          <w:b w:val="0"/>
          <w:color w:val="1F4E79"/>
          <w:sz w:val="32"/>
          <w:szCs w:val="32"/>
          <w:lang w:eastAsia="en-US"/>
        </w:rPr>
        <w:t>202</w:t>
      </w:r>
      <w:r w:rsidR="00B33C75" w:rsidRPr="0010619F">
        <w:rPr>
          <w:b w:val="0"/>
          <w:color w:val="1F4E79"/>
          <w:sz w:val="32"/>
          <w:szCs w:val="32"/>
          <w:lang w:eastAsia="en-US"/>
        </w:rPr>
        <w:t>3</w:t>
      </w:r>
      <w:r w:rsidR="00BB3288" w:rsidRPr="0010619F">
        <w:rPr>
          <w:b w:val="0"/>
          <w:color w:val="1F4E79"/>
          <w:sz w:val="32"/>
          <w:szCs w:val="32"/>
          <w:lang w:val="en-US" w:eastAsia="en-US"/>
        </w:rPr>
        <w:t>թ</w:t>
      </w:r>
      <w:r w:rsidRPr="0010619F">
        <w:rPr>
          <w:b w:val="0"/>
          <w:color w:val="1F4E79"/>
          <w:sz w:val="32"/>
          <w:szCs w:val="32"/>
          <w:lang w:eastAsia="en-US"/>
        </w:rPr>
        <w:t>.</w:t>
      </w:r>
    </w:p>
    <w:p w14:paraId="0B79642D" w14:textId="77777777" w:rsidR="00925FDB" w:rsidRPr="00CB032B" w:rsidRDefault="0021126A" w:rsidP="00767D8B">
      <w:pPr>
        <w:spacing w:before="0"/>
        <w:jc w:val="left"/>
        <w:rPr>
          <w:b w:val="0"/>
          <w:sz w:val="20"/>
          <w:szCs w:val="20"/>
        </w:rPr>
      </w:pPr>
      <w:r w:rsidRPr="0010619F">
        <w:rPr>
          <w:b w:val="0"/>
          <w:sz w:val="32"/>
          <w:szCs w:val="32"/>
        </w:rPr>
        <w:br w:type="page"/>
      </w:r>
      <w:r w:rsidR="00925FDB" w:rsidRPr="00C0193D">
        <w:rPr>
          <w:rFonts w:eastAsiaTheme="majorEastAsia" w:cstheme="majorBidi"/>
          <w:bCs/>
          <w:color w:val="1F497D" w:themeColor="text2"/>
          <w:sz w:val="24"/>
          <w:szCs w:val="28"/>
          <w:lang w:val="hy-AM" w:eastAsia="en-US"/>
        </w:rPr>
        <w:lastRenderedPageBreak/>
        <w:t>ԲՈՎԱՆԴԱԿՈՒԹՅՈՒՆ</w:t>
      </w:r>
    </w:p>
    <w:p w14:paraId="0355F74B" w14:textId="1725D682" w:rsidR="00131492" w:rsidRPr="00131492" w:rsidRDefault="003C3925" w:rsidP="00131492">
      <w:pPr>
        <w:pStyle w:val="TOC1"/>
        <w:rPr>
          <w:rFonts w:eastAsiaTheme="minorEastAsia" w:cstheme="minorBidi"/>
          <w:b w:val="0"/>
          <w:bCs/>
          <w:noProof/>
          <w:sz w:val="20"/>
          <w:szCs w:val="20"/>
          <w:lang w:val="en-US" w:eastAsia="en-US"/>
        </w:rPr>
      </w:pPr>
      <w:r w:rsidRPr="00FE1677">
        <w:rPr>
          <w:rFonts w:cs="Sylfaen"/>
          <w:b w:val="0"/>
          <w:sz w:val="20"/>
          <w:szCs w:val="20"/>
        </w:rPr>
        <w:fldChar w:fldCharType="begin"/>
      </w:r>
      <w:r w:rsidR="00BA2D53" w:rsidRPr="00FE1677">
        <w:rPr>
          <w:rFonts w:cs="Sylfaen"/>
          <w:b w:val="0"/>
          <w:sz w:val="20"/>
          <w:szCs w:val="20"/>
        </w:rPr>
        <w:instrText xml:space="preserve"> TOC \o "1-4" \h \z \u </w:instrText>
      </w:r>
      <w:r w:rsidRPr="00FE1677">
        <w:rPr>
          <w:rFonts w:cs="Sylfaen"/>
          <w:b w:val="0"/>
          <w:sz w:val="20"/>
          <w:szCs w:val="20"/>
        </w:rPr>
        <w:fldChar w:fldCharType="separate"/>
      </w:r>
      <w:hyperlink w:anchor="_Toc153184438" w:history="1">
        <w:r w:rsidR="00131492" w:rsidRPr="00131492">
          <w:rPr>
            <w:rStyle w:val="Hyperlink"/>
            <w:b w:val="0"/>
            <w:bCs/>
            <w:noProof/>
            <w:sz w:val="20"/>
            <w:szCs w:val="20"/>
          </w:rPr>
          <w:t>ՎԱՐՉԱՊԵՏ ՆԻԿՈԼ ՓԱՇԻՆՅԱՆԻ ՈՒՂԵՐՁԸ ՀԱՅԱՍՏԱՆԻ ՀԱՆՐԱՊԵՏՈՒԹՅԱՆ           2024 ԹՎԱԿԱՆԻ ՊԵՏԱԿԱՆ ԲՅՈՒՋԵԻ ԸՆԴՈՒՆՄԱՆ ԱՌԻԹՈՎ</w:t>
        </w:r>
        <w:r w:rsidR="00131492" w:rsidRPr="00131492">
          <w:rPr>
            <w:b w:val="0"/>
            <w:bCs/>
            <w:noProof/>
            <w:webHidden/>
            <w:sz w:val="20"/>
            <w:szCs w:val="20"/>
          </w:rPr>
          <w:tab/>
        </w:r>
        <w:r w:rsidR="00131492" w:rsidRPr="00131492">
          <w:rPr>
            <w:b w:val="0"/>
            <w:bCs/>
            <w:noProof/>
            <w:webHidden/>
            <w:sz w:val="20"/>
            <w:szCs w:val="20"/>
          </w:rPr>
          <w:fldChar w:fldCharType="begin"/>
        </w:r>
        <w:r w:rsidR="00131492" w:rsidRPr="00131492">
          <w:rPr>
            <w:b w:val="0"/>
            <w:bCs/>
            <w:noProof/>
            <w:webHidden/>
            <w:sz w:val="20"/>
            <w:szCs w:val="20"/>
          </w:rPr>
          <w:instrText xml:space="preserve"> PAGEREF _Toc153184438 \h </w:instrText>
        </w:r>
        <w:r w:rsidR="00131492" w:rsidRPr="00131492">
          <w:rPr>
            <w:b w:val="0"/>
            <w:bCs/>
            <w:noProof/>
            <w:webHidden/>
            <w:sz w:val="20"/>
            <w:szCs w:val="20"/>
          </w:rPr>
        </w:r>
        <w:r w:rsidR="00131492" w:rsidRPr="00131492">
          <w:rPr>
            <w:b w:val="0"/>
            <w:bCs/>
            <w:noProof/>
            <w:webHidden/>
            <w:sz w:val="20"/>
            <w:szCs w:val="20"/>
          </w:rPr>
          <w:fldChar w:fldCharType="separate"/>
        </w:r>
        <w:r w:rsidR="00131492" w:rsidRPr="00131492">
          <w:rPr>
            <w:b w:val="0"/>
            <w:bCs/>
            <w:noProof/>
            <w:webHidden/>
            <w:sz w:val="20"/>
            <w:szCs w:val="20"/>
          </w:rPr>
          <w:t>7</w:t>
        </w:r>
        <w:r w:rsidR="00131492" w:rsidRPr="00131492">
          <w:rPr>
            <w:b w:val="0"/>
            <w:bCs/>
            <w:noProof/>
            <w:webHidden/>
            <w:sz w:val="20"/>
            <w:szCs w:val="20"/>
          </w:rPr>
          <w:fldChar w:fldCharType="end"/>
        </w:r>
      </w:hyperlink>
    </w:p>
    <w:p w14:paraId="13FC9DA3" w14:textId="14EB581E" w:rsidR="00131492" w:rsidRPr="00131492" w:rsidRDefault="00131492" w:rsidP="00131492">
      <w:pPr>
        <w:pStyle w:val="TOC1"/>
        <w:rPr>
          <w:rFonts w:eastAsiaTheme="minorEastAsia" w:cstheme="minorBidi"/>
          <w:b w:val="0"/>
          <w:bCs/>
          <w:noProof/>
          <w:sz w:val="20"/>
          <w:szCs w:val="20"/>
          <w:lang w:val="en-US" w:eastAsia="en-US"/>
        </w:rPr>
      </w:pPr>
      <w:hyperlink w:anchor="_Toc153184439" w:history="1">
        <w:r w:rsidRPr="00131492">
          <w:rPr>
            <w:rStyle w:val="Hyperlink"/>
            <w:b w:val="0"/>
            <w:bCs/>
            <w:noProof/>
            <w:sz w:val="20"/>
            <w:szCs w:val="20"/>
          </w:rPr>
          <w:t>ՀԱՅԱՍՏԱՆԻ ՀԱՆՐԱՊԵՏՈՒԹՅԱՆ ԿԱՌԱՎԱՐՈՒԹՅԱՆ ԶԵԿՈՒՅՑԸ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_Toc153184439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8</w:t>
        </w:r>
        <w:r w:rsidRPr="00131492">
          <w:rPr>
            <w:b w:val="0"/>
            <w:bCs/>
            <w:noProof/>
            <w:webHidden/>
            <w:sz w:val="20"/>
            <w:szCs w:val="20"/>
          </w:rPr>
          <w:fldChar w:fldCharType="end"/>
        </w:r>
      </w:hyperlink>
    </w:p>
    <w:p w14:paraId="5D384231" w14:textId="79BF4245" w:rsidR="00131492" w:rsidRPr="00131492" w:rsidRDefault="00131492" w:rsidP="00131492">
      <w:pPr>
        <w:pStyle w:val="TOC1"/>
        <w:rPr>
          <w:rFonts w:eastAsiaTheme="minorEastAsia" w:cstheme="minorBidi"/>
          <w:b w:val="0"/>
          <w:bCs/>
          <w:noProof/>
          <w:sz w:val="20"/>
          <w:szCs w:val="20"/>
          <w:lang w:val="en-US" w:eastAsia="en-US"/>
        </w:rPr>
      </w:pPr>
      <w:hyperlink w:anchor="_Toc153184440" w:history="1">
        <w:r w:rsidRPr="00131492">
          <w:rPr>
            <w:rStyle w:val="Hyperlink"/>
            <w:b w:val="0"/>
            <w:bCs/>
            <w:noProof/>
            <w:sz w:val="20"/>
            <w:szCs w:val="20"/>
          </w:rPr>
          <w:t>ՆԵՐԱԾՈՒԹՅՈՒՆ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8</w:t>
        </w:r>
        <w:r w:rsidRPr="00131492">
          <w:rPr>
            <w:b w:val="0"/>
            <w:bCs/>
            <w:noProof/>
            <w:webHidden/>
            <w:sz w:val="20"/>
            <w:szCs w:val="20"/>
          </w:rPr>
          <w:fldChar w:fldCharType="end"/>
        </w:r>
      </w:hyperlink>
    </w:p>
    <w:p w14:paraId="525032AF" w14:textId="17CC0A7A" w:rsidR="00131492" w:rsidRPr="00131492" w:rsidRDefault="00131492" w:rsidP="00131492">
      <w:pPr>
        <w:pStyle w:val="TOC1"/>
        <w:rPr>
          <w:rFonts w:eastAsiaTheme="minorEastAsia" w:cstheme="minorBidi"/>
          <w:b w:val="0"/>
          <w:bCs/>
          <w:noProof/>
          <w:sz w:val="20"/>
          <w:szCs w:val="20"/>
          <w:lang w:val="en-US" w:eastAsia="en-US"/>
        </w:rPr>
      </w:pPr>
      <w:hyperlink w:anchor="_Toc153184441" w:history="1">
        <w:r w:rsidRPr="00131492">
          <w:rPr>
            <w:rStyle w:val="Hyperlink"/>
            <w:b w:val="0"/>
            <w:bCs/>
            <w:noProof/>
            <w:sz w:val="20"/>
            <w:szCs w:val="20"/>
          </w:rPr>
          <w:t>ՄԱՍ I–Ա. ՍՈՑԻԱԼ-ՏՆՏԵՍԱԿԱՆ ԶԱՐԳԱՑՄԱՆ ԵՎ ՀԱՐԿԱԲՅՈՒՋԵՏԱՅԻՆ ՔԱՂԱՔԱԿԱՆՈՒԹՅԱՆ ՀԻՄՆԱԿԱՆ ՈՒՂՂՈՒԹՅՈՒՆՆԵՐԻ ՄԱՍԻՆ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10</w:t>
        </w:r>
        <w:r w:rsidRPr="00131492">
          <w:rPr>
            <w:b w:val="0"/>
            <w:bCs/>
            <w:noProof/>
            <w:webHidden/>
            <w:sz w:val="20"/>
            <w:szCs w:val="20"/>
          </w:rPr>
          <w:fldChar w:fldCharType="end"/>
        </w:r>
      </w:hyperlink>
    </w:p>
    <w:p w14:paraId="69B53817" w14:textId="2277BDBD" w:rsidR="00131492" w:rsidRPr="00131492" w:rsidRDefault="00131492" w:rsidP="00131492">
      <w:pPr>
        <w:pStyle w:val="TOC1"/>
        <w:rPr>
          <w:rFonts w:eastAsiaTheme="minorEastAsia" w:cstheme="minorBidi"/>
          <w:b w:val="0"/>
          <w:bCs/>
          <w:noProof/>
          <w:sz w:val="20"/>
          <w:szCs w:val="20"/>
          <w:lang w:val="en-US" w:eastAsia="en-US"/>
        </w:rPr>
      </w:pPr>
      <w:hyperlink w:anchor="_Toc153184442" w:history="1">
        <w:r w:rsidRPr="00131492">
          <w:rPr>
            <w:rStyle w:val="Hyperlink"/>
            <w:b w:val="0"/>
            <w:bCs/>
            <w:noProof/>
            <w:sz w:val="20"/>
            <w:szCs w:val="20"/>
          </w:rPr>
          <w:t>2024 թվականի սոցիալ-տնտեսական զարգացման և հարկաբյուջետային քաղաքականության հիմնական ուղղությունները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10</w:t>
        </w:r>
        <w:r w:rsidRPr="00131492">
          <w:rPr>
            <w:b w:val="0"/>
            <w:bCs/>
            <w:noProof/>
            <w:webHidden/>
            <w:sz w:val="20"/>
            <w:szCs w:val="20"/>
          </w:rPr>
          <w:fldChar w:fldCharType="end"/>
        </w:r>
      </w:hyperlink>
    </w:p>
    <w:p w14:paraId="6835C65C" w14:textId="64870647" w:rsidR="00131492" w:rsidRPr="00131492" w:rsidRDefault="00131492" w:rsidP="00131492">
      <w:pPr>
        <w:pStyle w:val="TOC1"/>
        <w:rPr>
          <w:rFonts w:eastAsiaTheme="minorEastAsia" w:cstheme="minorBidi"/>
          <w:b w:val="0"/>
          <w:bCs/>
          <w:noProof/>
          <w:sz w:val="20"/>
          <w:szCs w:val="20"/>
          <w:lang w:val="en-US" w:eastAsia="en-US"/>
        </w:rPr>
      </w:pPr>
      <w:hyperlink w:anchor="_Toc153184443" w:history="1">
        <w:r w:rsidRPr="00131492">
          <w:rPr>
            <w:rStyle w:val="Hyperlink"/>
            <w:b w:val="0"/>
            <w:bCs/>
            <w:noProof/>
            <w:sz w:val="20"/>
            <w:szCs w:val="20"/>
          </w:rPr>
          <w:t>Տնտեսական զարգացում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10</w:t>
        </w:r>
        <w:r w:rsidRPr="00131492">
          <w:rPr>
            <w:b w:val="0"/>
            <w:bCs/>
            <w:noProof/>
            <w:webHidden/>
            <w:sz w:val="20"/>
            <w:szCs w:val="20"/>
          </w:rPr>
          <w:fldChar w:fldCharType="end"/>
        </w:r>
      </w:hyperlink>
    </w:p>
    <w:p w14:paraId="7207A8DC" w14:textId="667EE5BB" w:rsidR="00131492" w:rsidRPr="00131492" w:rsidRDefault="00131492" w:rsidP="00131492">
      <w:pPr>
        <w:pStyle w:val="TOC1"/>
        <w:rPr>
          <w:rFonts w:eastAsiaTheme="minorEastAsia" w:cstheme="minorBidi"/>
          <w:b w:val="0"/>
          <w:bCs/>
          <w:noProof/>
          <w:sz w:val="20"/>
          <w:szCs w:val="20"/>
          <w:lang w:val="en-US" w:eastAsia="en-US"/>
        </w:rPr>
      </w:pPr>
      <w:hyperlink w:anchor="_Toc153184444" w:history="1">
        <w:r w:rsidRPr="00131492">
          <w:rPr>
            <w:rStyle w:val="Hyperlink"/>
            <w:b w:val="0"/>
            <w:bCs/>
            <w:noProof/>
            <w:sz w:val="20"/>
            <w:szCs w:val="20"/>
          </w:rPr>
          <w:t>Տարածքային կառավարում և տեղական ինքնակառավարում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21</w:t>
        </w:r>
        <w:r w:rsidRPr="00131492">
          <w:rPr>
            <w:b w:val="0"/>
            <w:bCs/>
            <w:noProof/>
            <w:webHidden/>
            <w:sz w:val="20"/>
            <w:szCs w:val="20"/>
          </w:rPr>
          <w:fldChar w:fldCharType="end"/>
        </w:r>
      </w:hyperlink>
    </w:p>
    <w:p w14:paraId="2AE60047" w14:textId="33CFB7CC" w:rsidR="00131492" w:rsidRPr="00131492" w:rsidRDefault="00131492" w:rsidP="00131492">
      <w:pPr>
        <w:pStyle w:val="TOC1"/>
        <w:rPr>
          <w:rFonts w:eastAsiaTheme="minorEastAsia" w:cstheme="minorBidi"/>
          <w:b w:val="0"/>
          <w:bCs/>
          <w:noProof/>
          <w:sz w:val="20"/>
          <w:szCs w:val="20"/>
          <w:lang w:val="en-US" w:eastAsia="en-US"/>
        </w:rPr>
      </w:pPr>
      <w:hyperlink w:anchor="_Toc153184445" w:history="1">
        <w:r w:rsidRPr="00131492">
          <w:rPr>
            <w:rStyle w:val="Hyperlink"/>
            <w:b w:val="0"/>
            <w:bCs/>
            <w:noProof/>
            <w:sz w:val="20"/>
            <w:szCs w:val="20"/>
          </w:rPr>
          <w:t>Բարձր տեխնոլոգիական արդյունաբերություն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24</w:t>
        </w:r>
        <w:r w:rsidRPr="00131492">
          <w:rPr>
            <w:b w:val="0"/>
            <w:bCs/>
            <w:noProof/>
            <w:webHidden/>
            <w:sz w:val="20"/>
            <w:szCs w:val="20"/>
          </w:rPr>
          <w:fldChar w:fldCharType="end"/>
        </w:r>
      </w:hyperlink>
    </w:p>
    <w:p w14:paraId="54A55D1D" w14:textId="29FC59D6" w:rsidR="00131492" w:rsidRPr="00131492" w:rsidRDefault="00131492" w:rsidP="00131492">
      <w:pPr>
        <w:pStyle w:val="TOC1"/>
        <w:rPr>
          <w:rFonts w:eastAsiaTheme="minorEastAsia" w:cstheme="minorBidi"/>
          <w:b w:val="0"/>
          <w:bCs/>
          <w:noProof/>
          <w:sz w:val="20"/>
          <w:szCs w:val="20"/>
          <w:lang w:val="en-US" w:eastAsia="en-US"/>
        </w:rPr>
      </w:pPr>
      <w:hyperlink w:anchor="_Toc153184446" w:history="1">
        <w:r w:rsidRPr="00131492">
          <w:rPr>
            <w:rStyle w:val="Hyperlink"/>
            <w:b w:val="0"/>
            <w:bCs/>
            <w:noProof/>
            <w:sz w:val="20"/>
            <w:szCs w:val="20"/>
          </w:rPr>
          <w:t>Քաղաքաշինություն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26</w:t>
        </w:r>
        <w:r w:rsidRPr="00131492">
          <w:rPr>
            <w:b w:val="0"/>
            <w:bCs/>
            <w:noProof/>
            <w:webHidden/>
            <w:sz w:val="20"/>
            <w:szCs w:val="20"/>
          </w:rPr>
          <w:fldChar w:fldCharType="end"/>
        </w:r>
      </w:hyperlink>
    </w:p>
    <w:p w14:paraId="66F1F9A6" w14:textId="0516D539" w:rsidR="00131492" w:rsidRPr="00131492" w:rsidRDefault="00131492" w:rsidP="00131492">
      <w:pPr>
        <w:pStyle w:val="TOC1"/>
        <w:rPr>
          <w:rFonts w:eastAsiaTheme="minorEastAsia" w:cstheme="minorBidi"/>
          <w:b w:val="0"/>
          <w:bCs/>
          <w:noProof/>
          <w:sz w:val="20"/>
          <w:szCs w:val="20"/>
          <w:lang w:val="en-US" w:eastAsia="en-US"/>
        </w:rPr>
      </w:pPr>
      <w:hyperlink w:anchor="_Toc153184447" w:history="1">
        <w:r w:rsidRPr="00131492">
          <w:rPr>
            <w:rStyle w:val="Hyperlink"/>
            <w:b w:val="0"/>
            <w:bCs/>
            <w:noProof/>
            <w:sz w:val="20"/>
            <w:szCs w:val="20"/>
          </w:rPr>
          <w:t>Արտաքին քաղաքականություն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26</w:t>
        </w:r>
        <w:r w:rsidRPr="00131492">
          <w:rPr>
            <w:b w:val="0"/>
            <w:bCs/>
            <w:noProof/>
            <w:webHidden/>
            <w:sz w:val="20"/>
            <w:szCs w:val="20"/>
          </w:rPr>
          <w:fldChar w:fldCharType="end"/>
        </w:r>
      </w:hyperlink>
    </w:p>
    <w:p w14:paraId="6C034685" w14:textId="42B0E089" w:rsidR="00131492" w:rsidRPr="00131492" w:rsidRDefault="00131492" w:rsidP="00131492">
      <w:pPr>
        <w:pStyle w:val="TOC1"/>
        <w:rPr>
          <w:rFonts w:eastAsiaTheme="minorEastAsia" w:cstheme="minorBidi"/>
          <w:b w:val="0"/>
          <w:bCs/>
          <w:noProof/>
          <w:sz w:val="20"/>
          <w:szCs w:val="20"/>
          <w:lang w:val="en-US" w:eastAsia="en-US"/>
        </w:rPr>
      </w:pPr>
      <w:hyperlink w:anchor="_Toc153184448" w:history="1">
        <w:r w:rsidRPr="00131492">
          <w:rPr>
            <w:rStyle w:val="Hyperlink"/>
            <w:b w:val="0"/>
            <w:bCs/>
            <w:noProof/>
            <w:sz w:val="20"/>
            <w:szCs w:val="20"/>
          </w:rPr>
          <w:t>Սփյուռք</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27</w:t>
        </w:r>
        <w:r w:rsidRPr="00131492">
          <w:rPr>
            <w:b w:val="0"/>
            <w:bCs/>
            <w:noProof/>
            <w:webHidden/>
            <w:sz w:val="20"/>
            <w:szCs w:val="20"/>
          </w:rPr>
          <w:fldChar w:fldCharType="end"/>
        </w:r>
      </w:hyperlink>
    </w:p>
    <w:p w14:paraId="54B547C3" w14:textId="1CE85866" w:rsidR="00131492" w:rsidRPr="00131492" w:rsidRDefault="00131492" w:rsidP="00131492">
      <w:pPr>
        <w:pStyle w:val="TOC1"/>
        <w:rPr>
          <w:rFonts w:eastAsiaTheme="minorEastAsia" w:cstheme="minorBidi"/>
          <w:b w:val="0"/>
          <w:bCs/>
          <w:noProof/>
          <w:sz w:val="20"/>
          <w:szCs w:val="20"/>
          <w:lang w:val="en-US" w:eastAsia="en-US"/>
        </w:rPr>
      </w:pPr>
      <w:hyperlink w:anchor="_Toc153184449" w:history="1">
        <w:r w:rsidRPr="00131492">
          <w:rPr>
            <w:rStyle w:val="Hyperlink"/>
            <w:b w:val="0"/>
            <w:bCs/>
            <w:noProof/>
            <w:sz w:val="20"/>
            <w:szCs w:val="20"/>
          </w:rPr>
          <w:t>Արդարադատություն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_Toc153184449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28</w:t>
        </w:r>
        <w:r w:rsidRPr="00131492">
          <w:rPr>
            <w:b w:val="0"/>
            <w:bCs/>
            <w:noProof/>
            <w:webHidden/>
            <w:sz w:val="20"/>
            <w:szCs w:val="20"/>
          </w:rPr>
          <w:fldChar w:fldCharType="end"/>
        </w:r>
      </w:hyperlink>
    </w:p>
    <w:p w14:paraId="498EEFF6" w14:textId="6F3D59E0" w:rsidR="00131492" w:rsidRPr="00131492" w:rsidRDefault="00131492" w:rsidP="00131492">
      <w:pPr>
        <w:pStyle w:val="TOC1"/>
        <w:rPr>
          <w:rFonts w:eastAsiaTheme="minorEastAsia" w:cstheme="minorBidi"/>
          <w:b w:val="0"/>
          <w:bCs/>
          <w:noProof/>
          <w:sz w:val="20"/>
          <w:szCs w:val="20"/>
          <w:lang w:val="en-US" w:eastAsia="en-US"/>
        </w:rPr>
      </w:pPr>
      <w:hyperlink w:anchor="_Toc153184450" w:history="1">
        <w:r w:rsidRPr="00131492">
          <w:rPr>
            <w:rStyle w:val="Hyperlink"/>
            <w:b w:val="0"/>
            <w:bCs/>
            <w:noProof/>
            <w:sz w:val="20"/>
            <w:szCs w:val="20"/>
          </w:rPr>
          <w:t>Կրթություն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34</w:t>
        </w:r>
        <w:r w:rsidRPr="00131492">
          <w:rPr>
            <w:b w:val="0"/>
            <w:bCs/>
            <w:noProof/>
            <w:webHidden/>
            <w:sz w:val="20"/>
            <w:szCs w:val="20"/>
          </w:rPr>
          <w:fldChar w:fldCharType="end"/>
        </w:r>
      </w:hyperlink>
    </w:p>
    <w:p w14:paraId="0B988E55" w14:textId="3F578D20" w:rsidR="00131492" w:rsidRPr="00131492" w:rsidRDefault="00131492" w:rsidP="00131492">
      <w:pPr>
        <w:pStyle w:val="TOC1"/>
        <w:rPr>
          <w:rFonts w:eastAsiaTheme="minorEastAsia" w:cstheme="minorBidi"/>
          <w:b w:val="0"/>
          <w:bCs/>
          <w:noProof/>
          <w:sz w:val="20"/>
          <w:szCs w:val="20"/>
          <w:lang w:val="en-US" w:eastAsia="en-US"/>
        </w:rPr>
      </w:pPr>
      <w:hyperlink w:anchor="_Toc153184451" w:history="1">
        <w:r w:rsidRPr="00131492">
          <w:rPr>
            <w:rStyle w:val="Hyperlink"/>
            <w:b w:val="0"/>
            <w:bCs/>
            <w:noProof/>
            <w:sz w:val="20"/>
            <w:szCs w:val="20"/>
          </w:rPr>
          <w:t>Առողջապահություն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40</w:t>
        </w:r>
        <w:r w:rsidRPr="00131492">
          <w:rPr>
            <w:b w:val="0"/>
            <w:bCs/>
            <w:noProof/>
            <w:webHidden/>
            <w:sz w:val="20"/>
            <w:szCs w:val="20"/>
          </w:rPr>
          <w:fldChar w:fldCharType="end"/>
        </w:r>
      </w:hyperlink>
    </w:p>
    <w:p w14:paraId="7698FDCF" w14:textId="646F91C7" w:rsidR="00131492" w:rsidRPr="00131492" w:rsidRDefault="00131492" w:rsidP="00131492">
      <w:pPr>
        <w:pStyle w:val="TOC1"/>
        <w:rPr>
          <w:rFonts w:eastAsiaTheme="minorEastAsia" w:cstheme="minorBidi"/>
          <w:b w:val="0"/>
          <w:bCs/>
          <w:noProof/>
          <w:sz w:val="20"/>
          <w:szCs w:val="20"/>
          <w:lang w:val="en-US" w:eastAsia="en-US"/>
        </w:rPr>
      </w:pPr>
      <w:hyperlink w:anchor="_Toc153184452" w:history="1">
        <w:r w:rsidRPr="00131492">
          <w:rPr>
            <w:rStyle w:val="Hyperlink"/>
            <w:b w:val="0"/>
            <w:bCs/>
            <w:noProof/>
            <w:sz w:val="20"/>
            <w:szCs w:val="20"/>
          </w:rPr>
          <w:t>Աշխատանքի և սոցիալական պաշտպանություն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42</w:t>
        </w:r>
        <w:r w:rsidRPr="00131492">
          <w:rPr>
            <w:b w:val="0"/>
            <w:bCs/>
            <w:noProof/>
            <w:webHidden/>
            <w:sz w:val="20"/>
            <w:szCs w:val="20"/>
          </w:rPr>
          <w:fldChar w:fldCharType="end"/>
        </w:r>
      </w:hyperlink>
    </w:p>
    <w:p w14:paraId="664DF179" w14:textId="2E55A685" w:rsidR="00131492" w:rsidRPr="00131492" w:rsidRDefault="00131492" w:rsidP="00131492">
      <w:pPr>
        <w:pStyle w:val="TOC1"/>
        <w:rPr>
          <w:rFonts w:eastAsiaTheme="minorEastAsia" w:cstheme="minorBidi"/>
          <w:b w:val="0"/>
          <w:bCs/>
          <w:noProof/>
          <w:sz w:val="20"/>
          <w:szCs w:val="20"/>
          <w:lang w:val="en-US" w:eastAsia="en-US"/>
        </w:rPr>
      </w:pPr>
      <w:hyperlink w:anchor="_Toc153184453" w:history="1">
        <w:r w:rsidRPr="00131492">
          <w:rPr>
            <w:rStyle w:val="Hyperlink"/>
            <w:b w:val="0"/>
            <w:bCs/>
            <w:noProof/>
            <w:sz w:val="20"/>
            <w:szCs w:val="20"/>
          </w:rPr>
          <w:t>Շրջակա միջավայր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46</w:t>
        </w:r>
        <w:r w:rsidRPr="00131492">
          <w:rPr>
            <w:b w:val="0"/>
            <w:bCs/>
            <w:noProof/>
            <w:webHidden/>
            <w:sz w:val="20"/>
            <w:szCs w:val="20"/>
          </w:rPr>
          <w:fldChar w:fldCharType="end"/>
        </w:r>
      </w:hyperlink>
    </w:p>
    <w:p w14:paraId="573591C9" w14:textId="77128D4F" w:rsidR="00131492" w:rsidRPr="00131492" w:rsidRDefault="00131492" w:rsidP="00131492">
      <w:pPr>
        <w:pStyle w:val="TOC1"/>
        <w:rPr>
          <w:rFonts w:eastAsiaTheme="minorEastAsia" w:cstheme="minorBidi"/>
          <w:b w:val="0"/>
          <w:bCs/>
          <w:noProof/>
          <w:sz w:val="20"/>
          <w:szCs w:val="20"/>
          <w:lang w:val="en-US" w:eastAsia="en-US"/>
        </w:rPr>
      </w:pPr>
      <w:hyperlink w:anchor="_Toc153184454" w:history="1">
        <w:r w:rsidRPr="00131492">
          <w:rPr>
            <w:rStyle w:val="Hyperlink"/>
            <w:b w:val="0"/>
            <w:bCs/>
            <w:noProof/>
            <w:sz w:val="20"/>
            <w:szCs w:val="20"/>
          </w:rPr>
          <w:t>Բյուջեների կազմման բնագավառ</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47</w:t>
        </w:r>
        <w:r w:rsidRPr="00131492">
          <w:rPr>
            <w:b w:val="0"/>
            <w:bCs/>
            <w:noProof/>
            <w:webHidden/>
            <w:sz w:val="20"/>
            <w:szCs w:val="20"/>
          </w:rPr>
          <w:fldChar w:fldCharType="end"/>
        </w:r>
      </w:hyperlink>
    </w:p>
    <w:p w14:paraId="3D26BC43" w14:textId="42BAE97B" w:rsidR="00131492" w:rsidRPr="00131492" w:rsidRDefault="00131492" w:rsidP="00131492">
      <w:pPr>
        <w:pStyle w:val="TOC1"/>
        <w:rPr>
          <w:rFonts w:eastAsiaTheme="minorEastAsia" w:cstheme="minorBidi"/>
          <w:b w:val="0"/>
          <w:bCs/>
          <w:noProof/>
          <w:sz w:val="20"/>
          <w:szCs w:val="20"/>
          <w:lang w:val="en-US" w:eastAsia="en-US"/>
        </w:rPr>
      </w:pPr>
      <w:hyperlink w:anchor="_Toc153184455" w:history="1">
        <w:r w:rsidRPr="00131492">
          <w:rPr>
            <w:rStyle w:val="Hyperlink"/>
            <w:b w:val="0"/>
            <w:bCs/>
            <w:noProof/>
            <w:sz w:val="20"/>
            <w:szCs w:val="20"/>
          </w:rPr>
          <w:t>Հաշվապահական հաշվառում և աուդիտորական գործունեություն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48</w:t>
        </w:r>
        <w:r w:rsidRPr="00131492">
          <w:rPr>
            <w:b w:val="0"/>
            <w:bCs/>
            <w:noProof/>
            <w:webHidden/>
            <w:sz w:val="20"/>
            <w:szCs w:val="20"/>
          </w:rPr>
          <w:fldChar w:fldCharType="end"/>
        </w:r>
      </w:hyperlink>
    </w:p>
    <w:p w14:paraId="121133EE" w14:textId="7C3B7C29" w:rsidR="00131492" w:rsidRPr="00131492" w:rsidRDefault="00131492" w:rsidP="00131492">
      <w:pPr>
        <w:pStyle w:val="TOC1"/>
        <w:rPr>
          <w:rFonts w:eastAsiaTheme="minorEastAsia" w:cstheme="minorBidi"/>
          <w:b w:val="0"/>
          <w:bCs/>
          <w:noProof/>
          <w:sz w:val="20"/>
          <w:szCs w:val="20"/>
          <w:lang w:val="en-US" w:eastAsia="en-US"/>
        </w:rPr>
      </w:pPr>
      <w:hyperlink w:anchor="_Toc153184456" w:history="1">
        <w:r w:rsidRPr="00131492">
          <w:rPr>
            <w:rStyle w:val="Hyperlink"/>
            <w:b w:val="0"/>
            <w:bCs/>
            <w:noProof/>
            <w:sz w:val="20"/>
            <w:szCs w:val="20"/>
          </w:rPr>
          <w:t>Եկամուտների քաղաքականության ոլորտ</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48</w:t>
        </w:r>
        <w:r w:rsidRPr="00131492">
          <w:rPr>
            <w:b w:val="0"/>
            <w:bCs/>
            <w:noProof/>
            <w:webHidden/>
            <w:sz w:val="20"/>
            <w:szCs w:val="20"/>
          </w:rPr>
          <w:fldChar w:fldCharType="end"/>
        </w:r>
      </w:hyperlink>
    </w:p>
    <w:p w14:paraId="3901DFEB" w14:textId="5481DD1E" w:rsidR="00131492" w:rsidRPr="00131492" w:rsidRDefault="00131492" w:rsidP="00131492">
      <w:pPr>
        <w:pStyle w:val="TOC1"/>
        <w:rPr>
          <w:rFonts w:eastAsiaTheme="minorEastAsia" w:cstheme="minorBidi"/>
          <w:b w:val="0"/>
          <w:bCs/>
          <w:noProof/>
          <w:sz w:val="20"/>
          <w:szCs w:val="20"/>
          <w:lang w:val="en-US" w:eastAsia="en-US"/>
        </w:rPr>
      </w:pPr>
      <w:hyperlink w:anchor="_Toc153184457" w:history="1">
        <w:r w:rsidRPr="00131492">
          <w:rPr>
            <w:rStyle w:val="Hyperlink"/>
            <w:b w:val="0"/>
            <w:bCs/>
            <w:noProof/>
            <w:sz w:val="20"/>
            <w:szCs w:val="20"/>
          </w:rPr>
          <w:t>Պետական եկամուտների վարչարարություն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49</w:t>
        </w:r>
        <w:r w:rsidRPr="00131492">
          <w:rPr>
            <w:b w:val="0"/>
            <w:bCs/>
            <w:noProof/>
            <w:webHidden/>
            <w:sz w:val="20"/>
            <w:szCs w:val="20"/>
          </w:rPr>
          <w:fldChar w:fldCharType="end"/>
        </w:r>
      </w:hyperlink>
    </w:p>
    <w:p w14:paraId="17F80587" w14:textId="4D7EB77E" w:rsidR="00131492" w:rsidRPr="00131492" w:rsidRDefault="00131492" w:rsidP="00131492">
      <w:pPr>
        <w:pStyle w:val="TOC1"/>
        <w:rPr>
          <w:rFonts w:eastAsiaTheme="minorEastAsia" w:cstheme="minorBidi"/>
          <w:b w:val="0"/>
          <w:bCs/>
          <w:noProof/>
          <w:sz w:val="20"/>
          <w:szCs w:val="20"/>
          <w:lang w:val="en-US" w:eastAsia="en-US"/>
        </w:rPr>
      </w:pPr>
      <w:hyperlink w:anchor="_Toc153184458" w:history="1">
        <w:r w:rsidRPr="00131492">
          <w:rPr>
            <w:rStyle w:val="Hyperlink"/>
            <w:b w:val="0"/>
            <w:bCs/>
            <w:noProof/>
            <w:sz w:val="20"/>
            <w:szCs w:val="20"/>
          </w:rPr>
          <w:t>Անշարժ գույքի կադաստր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51</w:t>
        </w:r>
        <w:r w:rsidRPr="00131492">
          <w:rPr>
            <w:b w:val="0"/>
            <w:bCs/>
            <w:noProof/>
            <w:webHidden/>
            <w:sz w:val="20"/>
            <w:szCs w:val="20"/>
          </w:rPr>
          <w:fldChar w:fldCharType="end"/>
        </w:r>
      </w:hyperlink>
    </w:p>
    <w:p w14:paraId="20F8C6A4" w14:textId="22ED86C4" w:rsidR="00131492" w:rsidRPr="00131492" w:rsidRDefault="00131492" w:rsidP="00131492">
      <w:pPr>
        <w:pStyle w:val="TOC1"/>
        <w:rPr>
          <w:rFonts w:eastAsiaTheme="minorEastAsia" w:cstheme="minorBidi"/>
          <w:b w:val="0"/>
          <w:bCs/>
          <w:noProof/>
          <w:sz w:val="20"/>
          <w:szCs w:val="20"/>
          <w:lang w:val="en-US" w:eastAsia="en-US"/>
        </w:rPr>
      </w:pPr>
      <w:hyperlink w:anchor="_Toc153184459" w:history="1">
        <w:r w:rsidRPr="00131492">
          <w:rPr>
            <w:rStyle w:val="Hyperlink"/>
            <w:b w:val="0"/>
            <w:bCs/>
            <w:noProof/>
            <w:sz w:val="20"/>
            <w:szCs w:val="20"/>
          </w:rPr>
          <w:t>Հասարակական կարգի պահպանություն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_Toc153184459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52</w:t>
        </w:r>
        <w:r w:rsidRPr="00131492">
          <w:rPr>
            <w:b w:val="0"/>
            <w:bCs/>
            <w:noProof/>
            <w:webHidden/>
            <w:sz w:val="20"/>
            <w:szCs w:val="20"/>
          </w:rPr>
          <w:fldChar w:fldCharType="end"/>
        </w:r>
      </w:hyperlink>
    </w:p>
    <w:p w14:paraId="02E936B5" w14:textId="414946BF" w:rsidR="00131492" w:rsidRPr="00131492" w:rsidRDefault="00131492" w:rsidP="00131492">
      <w:pPr>
        <w:pStyle w:val="TOC1"/>
        <w:rPr>
          <w:rFonts w:eastAsiaTheme="minorEastAsia" w:cstheme="minorBidi"/>
          <w:b w:val="0"/>
          <w:bCs/>
          <w:noProof/>
          <w:sz w:val="20"/>
          <w:szCs w:val="20"/>
          <w:lang w:val="en-US" w:eastAsia="en-US"/>
        </w:rPr>
      </w:pPr>
      <w:hyperlink w:anchor="_Toc153184460" w:history="1">
        <w:r w:rsidRPr="00131492">
          <w:rPr>
            <w:rStyle w:val="Hyperlink"/>
            <w:b w:val="0"/>
            <w:bCs/>
            <w:noProof/>
            <w:sz w:val="20"/>
            <w:szCs w:val="20"/>
          </w:rPr>
          <w:t>ՄԱՍ I - Բ. ՄԱԿՐՈՏՆՏԵՍԱԿԱՆ ԶԱՐԳԱՑՈՒՄՆԵՐ ԵՎ ԿԱՆԽԱՏԵՍՈՒՄՆԵՐ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55</w:t>
        </w:r>
        <w:r w:rsidRPr="00131492">
          <w:rPr>
            <w:b w:val="0"/>
            <w:bCs/>
            <w:noProof/>
            <w:webHidden/>
            <w:sz w:val="20"/>
            <w:szCs w:val="20"/>
          </w:rPr>
          <w:fldChar w:fldCharType="end"/>
        </w:r>
      </w:hyperlink>
    </w:p>
    <w:p w14:paraId="47E468EA" w14:textId="0E254669" w:rsidR="00131492" w:rsidRPr="00131492" w:rsidRDefault="00131492" w:rsidP="00131492">
      <w:pPr>
        <w:pStyle w:val="TOC3"/>
        <w:ind w:left="0"/>
        <w:rPr>
          <w:rFonts w:eastAsiaTheme="minorEastAsia" w:cstheme="minorBidi"/>
          <w:b w:val="0"/>
          <w:bCs/>
          <w:noProof/>
          <w:sz w:val="20"/>
          <w:szCs w:val="20"/>
          <w:lang w:val="en-US" w:eastAsia="en-US"/>
        </w:rPr>
      </w:pPr>
      <w:hyperlink w:anchor="_Toc153184461" w:history="1">
        <w:r w:rsidRPr="00131492">
          <w:rPr>
            <w:rStyle w:val="Hyperlink"/>
            <w:rFonts w:eastAsiaTheme="majorEastAsia" w:cstheme="majorBidi"/>
            <w:b w:val="0"/>
            <w:bCs/>
            <w:noProof/>
            <w:sz w:val="20"/>
            <w:szCs w:val="20"/>
            <w:lang w:val="hy-AM" w:eastAsia="en-US"/>
          </w:rPr>
          <w:t>1.1 ՄԱԿՐՈՏՆՏԵՍԱԿԱՆ ԱՄՓՈՓԱԳԻՐ ԵՎ ՇՐՋԱՆԱԿ</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55</w:t>
        </w:r>
        <w:r w:rsidRPr="00131492">
          <w:rPr>
            <w:b w:val="0"/>
            <w:bCs/>
            <w:noProof/>
            <w:webHidden/>
            <w:sz w:val="20"/>
            <w:szCs w:val="20"/>
          </w:rPr>
          <w:fldChar w:fldCharType="end"/>
        </w:r>
      </w:hyperlink>
    </w:p>
    <w:p w14:paraId="2099A477" w14:textId="7B624B6F" w:rsidR="00131492" w:rsidRPr="00131492" w:rsidRDefault="00131492" w:rsidP="00131492">
      <w:pPr>
        <w:pStyle w:val="TOC3"/>
        <w:ind w:left="0"/>
        <w:rPr>
          <w:rFonts w:eastAsiaTheme="minorEastAsia" w:cstheme="minorBidi"/>
          <w:b w:val="0"/>
          <w:bCs/>
          <w:noProof/>
          <w:sz w:val="20"/>
          <w:szCs w:val="20"/>
          <w:lang w:val="en-US" w:eastAsia="en-US"/>
        </w:rPr>
      </w:pPr>
      <w:hyperlink w:anchor="_Toc153184462" w:history="1">
        <w:r w:rsidRPr="00131492">
          <w:rPr>
            <w:rStyle w:val="Hyperlink"/>
            <w:rFonts w:eastAsiaTheme="majorEastAsia" w:cstheme="majorBidi"/>
            <w:b w:val="0"/>
            <w:bCs/>
            <w:noProof/>
            <w:sz w:val="20"/>
            <w:szCs w:val="20"/>
            <w:lang w:val="hy-AM" w:eastAsia="en-US"/>
          </w:rPr>
          <w:t>1.2. ՀԱՄԱՇԽԱՐՀԱՅԻՆ ՏՆՏԵՍՈՒԹՅԱՆ ԵՎ ԳՈՐԾԸՆԿԵՐ ԵՐԿՐՆԵՐԻ ԶԱՐԳԱՑՈՒՄՆԵՐ ԵՎ ԿԱՆԽԱՏԵՍՈՒՄՆԵՐ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58</w:t>
        </w:r>
        <w:r w:rsidRPr="00131492">
          <w:rPr>
            <w:b w:val="0"/>
            <w:bCs/>
            <w:noProof/>
            <w:webHidden/>
            <w:sz w:val="20"/>
            <w:szCs w:val="20"/>
          </w:rPr>
          <w:fldChar w:fldCharType="end"/>
        </w:r>
      </w:hyperlink>
    </w:p>
    <w:p w14:paraId="41473056" w14:textId="7730AA27" w:rsidR="00131492" w:rsidRPr="00131492" w:rsidRDefault="00131492" w:rsidP="00131492">
      <w:pPr>
        <w:pStyle w:val="TOC3"/>
        <w:ind w:left="0"/>
        <w:rPr>
          <w:rFonts w:eastAsiaTheme="minorEastAsia" w:cstheme="minorBidi"/>
          <w:b w:val="0"/>
          <w:bCs/>
          <w:noProof/>
          <w:sz w:val="20"/>
          <w:szCs w:val="20"/>
          <w:lang w:val="en-US" w:eastAsia="en-US"/>
        </w:rPr>
      </w:pPr>
      <w:hyperlink w:anchor="_Toc153184463" w:history="1">
        <w:r w:rsidRPr="00131492">
          <w:rPr>
            <w:rStyle w:val="Hyperlink"/>
            <w:rFonts w:eastAsiaTheme="majorEastAsia" w:cstheme="majorBidi"/>
            <w:b w:val="0"/>
            <w:bCs/>
            <w:noProof/>
            <w:sz w:val="20"/>
            <w:szCs w:val="20"/>
            <w:lang w:val="hy-AM" w:eastAsia="en-US"/>
          </w:rPr>
          <w:t>1.3. ՀՀ ՄԱԿՐՈՏՆՏԵՍԱԿԱՆ ԶԱՐԳԱՑՈՒՄՆԵՐ ԵՎ ԿԱՆԽԱՏԵՍՈՒՄՆԵՐ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64</w:t>
        </w:r>
        <w:r w:rsidRPr="00131492">
          <w:rPr>
            <w:b w:val="0"/>
            <w:bCs/>
            <w:noProof/>
            <w:webHidden/>
            <w:sz w:val="20"/>
            <w:szCs w:val="20"/>
          </w:rPr>
          <w:fldChar w:fldCharType="end"/>
        </w:r>
      </w:hyperlink>
    </w:p>
    <w:p w14:paraId="63163B8A" w14:textId="69AE9DA8" w:rsidR="00131492" w:rsidRPr="00131492" w:rsidRDefault="00131492" w:rsidP="00131492">
      <w:pPr>
        <w:pStyle w:val="TOC3"/>
        <w:ind w:left="0"/>
        <w:rPr>
          <w:rFonts w:eastAsiaTheme="minorEastAsia" w:cstheme="minorBidi"/>
          <w:b w:val="0"/>
          <w:bCs/>
          <w:noProof/>
          <w:sz w:val="20"/>
          <w:szCs w:val="20"/>
          <w:lang w:val="en-US" w:eastAsia="en-US"/>
        </w:rPr>
      </w:pPr>
      <w:hyperlink w:anchor="_Toc153184464" w:history="1">
        <w:r w:rsidRPr="00131492">
          <w:rPr>
            <w:rStyle w:val="Hyperlink"/>
            <w:rFonts w:eastAsiaTheme="majorEastAsia" w:cstheme="majorBidi"/>
            <w:b w:val="0"/>
            <w:bCs/>
            <w:noProof/>
            <w:sz w:val="20"/>
            <w:szCs w:val="20"/>
            <w:lang w:val="hy-AM" w:eastAsia="en-US"/>
          </w:rPr>
          <w:t>1.4. ԿԱՆԽԱՏԵՍՈՒՄՆԵՐԻ ՀԻՄՔՈՒՄ ԸՆԿԱԾ ԵՆԹԱԴՐՈՒԹՅՈՒՆՆԵՐԸ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83</w:t>
        </w:r>
        <w:r w:rsidRPr="00131492">
          <w:rPr>
            <w:b w:val="0"/>
            <w:bCs/>
            <w:noProof/>
            <w:webHidden/>
            <w:sz w:val="20"/>
            <w:szCs w:val="20"/>
          </w:rPr>
          <w:fldChar w:fldCharType="end"/>
        </w:r>
      </w:hyperlink>
    </w:p>
    <w:p w14:paraId="66F71757" w14:textId="46A5178F" w:rsidR="00131492" w:rsidRPr="00131492" w:rsidRDefault="00131492" w:rsidP="00131492">
      <w:pPr>
        <w:pStyle w:val="TOC3"/>
        <w:ind w:left="0"/>
        <w:rPr>
          <w:rFonts w:eastAsiaTheme="minorEastAsia" w:cstheme="minorBidi"/>
          <w:b w:val="0"/>
          <w:bCs/>
          <w:noProof/>
          <w:sz w:val="20"/>
          <w:szCs w:val="20"/>
          <w:lang w:val="en-US" w:eastAsia="en-US"/>
        </w:rPr>
      </w:pPr>
      <w:hyperlink w:anchor="_Toc153184465" w:history="1">
        <w:r w:rsidRPr="00131492">
          <w:rPr>
            <w:rStyle w:val="Hyperlink"/>
            <w:rFonts w:eastAsiaTheme="majorEastAsia" w:cstheme="majorBidi"/>
            <w:b w:val="0"/>
            <w:bCs/>
            <w:noProof/>
            <w:sz w:val="20"/>
            <w:szCs w:val="20"/>
            <w:lang w:val="hy-AM" w:eastAsia="en-US"/>
          </w:rPr>
          <w:t>1.5. ՄԱԿՐՈՏՆՏԵՍԱԿԱՆ ԿԱՆԽԱՏԵՍՈՒՄՆԵՐԻ ՌԻՍԿԵՐԸ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85</w:t>
        </w:r>
        <w:r w:rsidRPr="00131492">
          <w:rPr>
            <w:b w:val="0"/>
            <w:bCs/>
            <w:noProof/>
            <w:webHidden/>
            <w:sz w:val="20"/>
            <w:szCs w:val="20"/>
          </w:rPr>
          <w:fldChar w:fldCharType="end"/>
        </w:r>
      </w:hyperlink>
    </w:p>
    <w:p w14:paraId="30474843" w14:textId="7D3A0235" w:rsidR="00131492" w:rsidRPr="00131492" w:rsidRDefault="00131492" w:rsidP="00131492">
      <w:pPr>
        <w:pStyle w:val="TOC3"/>
        <w:ind w:left="0"/>
        <w:rPr>
          <w:rFonts w:eastAsiaTheme="minorEastAsia" w:cstheme="minorBidi"/>
          <w:b w:val="0"/>
          <w:bCs/>
          <w:noProof/>
          <w:sz w:val="20"/>
          <w:szCs w:val="20"/>
          <w:lang w:val="en-US" w:eastAsia="en-US"/>
        </w:rPr>
      </w:pPr>
      <w:hyperlink w:anchor="_Toc153184466" w:history="1">
        <w:r w:rsidRPr="00131492">
          <w:rPr>
            <w:rStyle w:val="Hyperlink"/>
            <w:b w:val="0"/>
            <w:bCs/>
            <w:noProof/>
            <w:sz w:val="20"/>
            <w:szCs w:val="20"/>
            <w:lang w:val="hy-AM" w:eastAsia="en-US"/>
          </w:rPr>
          <w:t>1.5.1. ՀՀ տնտեսական աճի դեպի ներքև ուղղությամբ ռիսկեր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86</w:t>
        </w:r>
        <w:r w:rsidRPr="00131492">
          <w:rPr>
            <w:b w:val="0"/>
            <w:bCs/>
            <w:noProof/>
            <w:webHidden/>
            <w:sz w:val="20"/>
            <w:szCs w:val="20"/>
          </w:rPr>
          <w:fldChar w:fldCharType="end"/>
        </w:r>
      </w:hyperlink>
    </w:p>
    <w:p w14:paraId="39ABFC25" w14:textId="1B431AEB" w:rsidR="00131492" w:rsidRPr="00131492" w:rsidRDefault="00131492" w:rsidP="00131492">
      <w:pPr>
        <w:pStyle w:val="TOC3"/>
        <w:ind w:left="0"/>
        <w:rPr>
          <w:rFonts w:eastAsiaTheme="minorEastAsia" w:cstheme="minorBidi"/>
          <w:b w:val="0"/>
          <w:bCs/>
          <w:noProof/>
          <w:sz w:val="20"/>
          <w:szCs w:val="20"/>
          <w:lang w:val="en-US" w:eastAsia="en-US"/>
        </w:rPr>
      </w:pPr>
      <w:hyperlink w:anchor="_Toc153184467" w:history="1">
        <w:r w:rsidRPr="00131492">
          <w:rPr>
            <w:rStyle w:val="Hyperlink"/>
            <w:b w:val="0"/>
            <w:bCs/>
            <w:noProof/>
            <w:sz w:val="20"/>
            <w:szCs w:val="20"/>
            <w:lang w:val="hy-AM" w:eastAsia="en-US"/>
          </w:rPr>
          <w:t>1.5.2. Տնտեսական աճի դեպի վերև ուղղությամբ ռիսկեր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87</w:t>
        </w:r>
        <w:r w:rsidRPr="00131492">
          <w:rPr>
            <w:b w:val="0"/>
            <w:bCs/>
            <w:noProof/>
            <w:webHidden/>
            <w:sz w:val="20"/>
            <w:szCs w:val="20"/>
          </w:rPr>
          <w:fldChar w:fldCharType="end"/>
        </w:r>
      </w:hyperlink>
    </w:p>
    <w:p w14:paraId="15F4EE10" w14:textId="7DC5BCD7" w:rsidR="00131492" w:rsidRPr="00131492" w:rsidRDefault="00131492" w:rsidP="00131492">
      <w:pPr>
        <w:pStyle w:val="TOC1"/>
        <w:rPr>
          <w:rFonts w:eastAsiaTheme="minorEastAsia" w:cstheme="minorBidi"/>
          <w:b w:val="0"/>
          <w:bCs/>
          <w:noProof/>
          <w:sz w:val="20"/>
          <w:szCs w:val="20"/>
          <w:lang w:val="en-US" w:eastAsia="en-US"/>
        </w:rPr>
      </w:pPr>
      <w:hyperlink w:anchor="_Toc153184468" w:history="1">
        <w:r w:rsidRPr="00131492">
          <w:rPr>
            <w:rStyle w:val="Hyperlink"/>
            <w:b w:val="0"/>
            <w:bCs/>
            <w:noProof/>
            <w:sz w:val="20"/>
            <w:szCs w:val="20"/>
          </w:rPr>
          <w:t>ՄԱՍ I-Գ. ՀԱՐԿԱԲՅՈՒՋԵՏԱՅԻՆ ՔԱՂԱՔԱԿԱՆՈՒԹՅԱՆ ՀԻՄՆԱԿԱՆ ՈՒՂՂՈՒԹՅՈՒՆՆԵՐԸ ԵՎ ԿԱՆԽԱՏԵՍՈՒՄՆԵՐԸ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90</w:t>
        </w:r>
        <w:r w:rsidRPr="00131492">
          <w:rPr>
            <w:b w:val="0"/>
            <w:bCs/>
            <w:noProof/>
            <w:webHidden/>
            <w:sz w:val="20"/>
            <w:szCs w:val="20"/>
          </w:rPr>
          <w:fldChar w:fldCharType="end"/>
        </w:r>
      </w:hyperlink>
    </w:p>
    <w:p w14:paraId="705D8E63" w14:textId="0D2337E0" w:rsidR="00131492" w:rsidRPr="00131492" w:rsidRDefault="00131492" w:rsidP="00131492">
      <w:pPr>
        <w:pStyle w:val="TOC3"/>
        <w:ind w:left="0"/>
        <w:rPr>
          <w:rFonts w:eastAsiaTheme="minorEastAsia" w:cstheme="minorBidi"/>
          <w:b w:val="0"/>
          <w:bCs/>
          <w:noProof/>
          <w:sz w:val="20"/>
          <w:szCs w:val="20"/>
          <w:lang w:val="en-US" w:eastAsia="en-US"/>
        </w:rPr>
      </w:pPr>
      <w:hyperlink w:anchor="_Toc153184469" w:history="1">
        <w:r w:rsidRPr="00131492">
          <w:rPr>
            <w:rStyle w:val="Hyperlink"/>
            <w:rFonts w:eastAsiaTheme="majorEastAsia" w:cstheme="majorBidi"/>
            <w:b w:val="0"/>
            <w:bCs/>
            <w:noProof/>
            <w:sz w:val="20"/>
            <w:szCs w:val="20"/>
            <w:lang w:val="hy-AM" w:eastAsia="en-US"/>
          </w:rPr>
          <w:t>2.1. ՀԱՐԿԱԲՅՈՒՋԵՏԱՅԻՆ ԸՆԴՀԱՆՈՒՐ ԱԿՆԱՐԿ ԵՎ ՀԱՐԿԱԲՅՈՒՋԵՏԱՅԻՆ ՇՐՋԱՆԱԿ</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_Toc153184469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90</w:t>
        </w:r>
        <w:r w:rsidRPr="00131492">
          <w:rPr>
            <w:b w:val="0"/>
            <w:bCs/>
            <w:noProof/>
            <w:webHidden/>
            <w:sz w:val="20"/>
            <w:szCs w:val="20"/>
          </w:rPr>
          <w:fldChar w:fldCharType="end"/>
        </w:r>
      </w:hyperlink>
    </w:p>
    <w:p w14:paraId="502C5D1B" w14:textId="36922366" w:rsidR="00131492" w:rsidRPr="00131492" w:rsidRDefault="00131492" w:rsidP="00131492">
      <w:pPr>
        <w:pStyle w:val="TOC3"/>
        <w:ind w:left="0"/>
        <w:rPr>
          <w:rFonts w:eastAsiaTheme="minorEastAsia" w:cstheme="minorBidi"/>
          <w:b w:val="0"/>
          <w:bCs/>
          <w:noProof/>
          <w:sz w:val="20"/>
          <w:szCs w:val="20"/>
          <w:lang w:val="en-US" w:eastAsia="en-US"/>
        </w:rPr>
      </w:pPr>
      <w:hyperlink w:anchor="_Toc153184470" w:history="1">
        <w:r w:rsidRPr="00131492">
          <w:rPr>
            <w:rStyle w:val="Hyperlink"/>
            <w:rFonts w:eastAsiaTheme="majorEastAsia" w:cstheme="majorBidi"/>
            <w:b w:val="0"/>
            <w:bCs/>
            <w:noProof/>
            <w:sz w:val="20"/>
            <w:szCs w:val="20"/>
            <w:lang w:val="hy-AM" w:eastAsia="en-US"/>
          </w:rPr>
          <w:t>2.2. ՀԱՐԿԱԲՅՈՒՋԵՏԱՅԻՆ ՔԱՂԱՔԱԿԱՆՈՒԹՅԱՆ ՄԻՏՈՒՄՆԵՐԸ ԵՎ ԿԱՆԽԱՏԵՍՈՒՄՆԵՐԸ</w:t>
        </w:r>
        <w:r>
          <w:rPr>
            <w:rStyle w:val="Hyperlink"/>
            <w:rFonts w:eastAsiaTheme="majorEastAsia" w:cstheme="majorBidi"/>
            <w:b w:val="0"/>
            <w:bCs/>
            <w:noProof/>
            <w:sz w:val="20"/>
            <w:szCs w:val="20"/>
            <w:lang w:val="hy-AM" w:eastAsia="en-US"/>
          </w:rPr>
          <w:t>..............</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92</w:t>
        </w:r>
        <w:r w:rsidRPr="00131492">
          <w:rPr>
            <w:b w:val="0"/>
            <w:bCs/>
            <w:noProof/>
            <w:webHidden/>
            <w:sz w:val="20"/>
            <w:szCs w:val="20"/>
          </w:rPr>
          <w:fldChar w:fldCharType="end"/>
        </w:r>
      </w:hyperlink>
    </w:p>
    <w:p w14:paraId="50FCB970" w14:textId="5DB0E292" w:rsidR="00131492" w:rsidRPr="00131492" w:rsidRDefault="00131492" w:rsidP="00131492">
      <w:pPr>
        <w:pStyle w:val="TOC3"/>
        <w:ind w:left="0"/>
        <w:rPr>
          <w:rFonts w:eastAsiaTheme="minorEastAsia" w:cstheme="minorBidi"/>
          <w:b w:val="0"/>
          <w:bCs/>
          <w:noProof/>
          <w:sz w:val="20"/>
          <w:szCs w:val="20"/>
          <w:lang w:val="en-US" w:eastAsia="en-US"/>
        </w:rPr>
      </w:pPr>
      <w:hyperlink w:anchor="_Toc153184471" w:history="1">
        <w:r w:rsidRPr="00131492">
          <w:rPr>
            <w:rStyle w:val="Hyperlink"/>
            <w:rFonts w:eastAsiaTheme="majorEastAsia" w:cstheme="majorBidi"/>
            <w:b w:val="0"/>
            <w:bCs/>
            <w:noProof/>
            <w:sz w:val="20"/>
            <w:szCs w:val="20"/>
            <w:lang w:val="hy-AM" w:eastAsia="en-US"/>
          </w:rPr>
          <w:t>2.3. ՀԱՐԿԱԲՅՈՒՋԵՏԱՅԻՆ ՌԻՍԿԵՐ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101</w:t>
        </w:r>
        <w:r w:rsidRPr="00131492">
          <w:rPr>
            <w:b w:val="0"/>
            <w:bCs/>
            <w:noProof/>
            <w:webHidden/>
            <w:sz w:val="20"/>
            <w:szCs w:val="20"/>
          </w:rPr>
          <w:fldChar w:fldCharType="end"/>
        </w:r>
      </w:hyperlink>
    </w:p>
    <w:p w14:paraId="0A62D55B" w14:textId="3351EE6B" w:rsidR="00131492" w:rsidRPr="00131492" w:rsidRDefault="00131492" w:rsidP="00131492">
      <w:pPr>
        <w:pStyle w:val="TOC3"/>
        <w:ind w:left="0"/>
        <w:rPr>
          <w:rFonts w:eastAsiaTheme="minorEastAsia" w:cstheme="minorBidi"/>
          <w:b w:val="0"/>
          <w:bCs/>
          <w:noProof/>
          <w:sz w:val="20"/>
          <w:szCs w:val="20"/>
          <w:lang w:val="en-US" w:eastAsia="en-US"/>
        </w:rPr>
      </w:pPr>
      <w:hyperlink w:anchor="_Toc153184472" w:history="1">
        <w:r w:rsidRPr="00131492">
          <w:rPr>
            <w:rStyle w:val="Hyperlink"/>
            <w:rFonts w:eastAsiaTheme="majorEastAsia" w:cstheme="majorBidi"/>
            <w:b w:val="0"/>
            <w:bCs/>
            <w:noProof/>
            <w:sz w:val="20"/>
            <w:szCs w:val="20"/>
            <w:lang w:val="hy-AM" w:eastAsia="en-US"/>
          </w:rPr>
          <w:t>2.4. ՀԱՐԿԱԲՅՈՒՋԵՏԱՅԻՆ  ՔԱՂԱՔԱԿԱՆՈՒԹՅԱՆ ՀԱՄԱՊԱՏԱՍԽԱՆՈՒԹՅՈՒՆԸ ՀԱՐԿԱԲՅՈՒՋԵՏԱՅԻՆ ԿԱՆՈՆՆԵՐԻՆ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104</w:t>
        </w:r>
        <w:r w:rsidRPr="00131492">
          <w:rPr>
            <w:b w:val="0"/>
            <w:bCs/>
            <w:noProof/>
            <w:webHidden/>
            <w:sz w:val="20"/>
            <w:szCs w:val="20"/>
          </w:rPr>
          <w:fldChar w:fldCharType="end"/>
        </w:r>
      </w:hyperlink>
    </w:p>
    <w:p w14:paraId="0C9FCB78" w14:textId="690820AB" w:rsidR="00131492" w:rsidRPr="00131492" w:rsidRDefault="00131492" w:rsidP="00131492">
      <w:pPr>
        <w:pStyle w:val="TOC3"/>
        <w:ind w:left="0"/>
        <w:rPr>
          <w:rFonts w:eastAsiaTheme="minorEastAsia" w:cstheme="minorBidi"/>
          <w:b w:val="0"/>
          <w:bCs/>
          <w:noProof/>
          <w:sz w:val="20"/>
          <w:szCs w:val="20"/>
          <w:lang w:val="en-US" w:eastAsia="en-US"/>
        </w:rPr>
      </w:pPr>
      <w:hyperlink w:anchor="_Toc153184473" w:history="1">
        <w:r w:rsidRPr="00131492">
          <w:rPr>
            <w:rStyle w:val="Hyperlink"/>
            <w:rFonts w:eastAsiaTheme="majorEastAsia" w:cstheme="majorBidi"/>
            <w:b w:val="0"/>
            <w:bCs/>
            <w:noProof/>
            <w:sz w:val="20"/>
            <w:szCs w:val="20"/>
            <w:lang w:val="hy-AM" w:eastAsia="en-US"/>
          </w:rPr>
          <w:t>2.5. ՊԵՏԱԿԱՆ ԲՅՈՒՋԵԻ ՑՈՒՑԱՆԻՇՆԵՐԻ ԿԱՆԽԱՏԵՍՈՒՄՆԵՐԻ ՀԱՄԵՄԱՏԱԿԱՆ ԱՂՅՈՒՍԱԿՆԵՐ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107</w:t>
        </w:r>
        <w:r w:rsidRPr="00131492">
          <w:rPr>
            <w:b w:val="0"/>
            <w:bCs/>
            <w:noProof/>
            <w:webHidden/>
            <w:sz w:val="20"/>
            <w:szCs w:val="20"/>
          </w:rPr>
          <w:fldChar w:fldCharType="end"/>
        </w:r>
      </w:hyperlink>
    </w:p>
    <w:p w14:paraId="694D720A" w14:textId="6F97F60F" w:rsidR="00131492" w:rsidRPr="00131492" w:rsidRDefault="00131492" w:rsidP="00131492">
      <w:pPr>
        <w:pStyle w:val="TOC1"/>
        <w:rPr>
          <w:rFonts w:eastAsiaTheme="minorEastAsia" w:cstheme="minorBidi"/>
          <w:b w:val="0"/>
          <w:bCs/>
          <w:noProof/>
          <w:sz w:val="20"/>
          <w:szCs w:val="20"/>
          <w:lang w:val="en-US" w:eastAsia="en-US"/>
        </w:rPr>
      </w:pPr>
      <w:hyperlink w:anchor="_Toc153184474" w:history="1">
        <w:r w:rsidRPr="00131492">
          <w:rPr>
            <w:rStyle w:val="Hyperlink"/>
            <w:b w:val="0"/>
            <w:bCs/>
            <w:noProof/>
            <w:sz w:val="20"/>
            <w:szCs w:val="20"/>
          </w:rPr>
          <w:t>ՄԱՍ</w:t>
        </w:r>
        <w:r w:rsidRPr="00131492">
          <w:rPr>
            <w:rStyle w:val="Hyperlink"/>
            <w:b w:val="0"/>
            <w:bCs/>
            <w:noProof/>
            <w:sz w:val="20"/>
            <w:szCs w:val="20"/>
            <w:lang w:val="sk-SK"/>
          </w:rPr>
          <w:t xml:space="preserve"> II-</w:t>
        </w:r>
        <w:r w:rsidRPr="00131492">
          <w:rPr>
            <w:rStyle w:val="Hyperlink"/>
            <w:b w:val="0"/>
            <w:bCs/>
            <w:noProof/>
            <w:sz w:val="20"/>
            <w:szCs w:val="20"/>
          </w:rPr>
          <w:t>Ա</w:t>
        </w:r>
        <w:r w:rsidRPr="00131492">
          <w:rPr>
            <w:rStyle w:val="Hyperlink"/>
            <w:b w:val="0"/>
            <w:bCs/>
            <w:noProof/>
            <w:sz w:val="20"/>
            <w:szCs w:val="20"/>
            <w:lang w:val="sk-SK"/>
          </w:rPr>
          <w:t xml:space="preserve"> </w:t>
        </w:r>
        <w:r w:rsidRPr="00131492">
          <w:rPr>
            <w:rStyle w:val="Hyperlink"/>
            <w:b w:val="0"/>
            <w:bCs/>
            <w:noProof/>
            <w:sz w:val="20"/>
            <w:szCs w:val="20"/>
          </w:rPr>
          <w:t>ՊԵՏԱԿԱՆ</w:t>
        </w:r>
        <w:r w:rsidRPr="00131492">
          <w:rPr>
            <w:rStyle w:val="Hyperlink"/>
            <w:b w:val="0"/>
            <w:bCs/>
            <w:noProof/>
            <w:sz w:val="20"/>
            <w:szCs w:val="20"/>
            <w:lang w:val="sk-SK"/>
          </w:rPr>
          <w:t xml:space="preserve"> </w:t>
        </w:r>
        <w:r w:rsidRPr="00131492">
          <w:rPr>
            <w:rStyle w:val="Hyperlink"/>
            <w:b w:val="0"/>
            <w:bCs/>
            <w:noProof/>
            <w:sz w:val="20"/>
            <w:szCs w:val="20"/>
          </w:rPr>
          <w:t>ԲՅՈՒՋԵԻ</w:t>
        </w:r>
        <w:r w:rsidRPr="00131492">
          <w:rPr>
            <w:rStyle w:val="Hyperlink"/>
            <w:b w:val="0"/>
            <w:bCs/>
            <w:noProof/>
            <w:sz w:val="20"/>
            <w:szCs w:val="20"/>
            <w:lang w:val="sk-SK"/>
          </w:rPr>
          <w:t xml:space="preserve"> </w:t>
        </w:r>
        <w:r w:rsidRPr="00131492">
          <w:rPr>
            <w:rStyle w:val="Hyperlink"/>
            <w:b w:val="0"/>
            <w:bCs/>
            <w:noProof/>
            <w:sz w:val="20"/>
            <w:szCs w:val="20"/>
          </w:rPr>
          <w:t>ՑՈՒՑԱՆԻՇՆԵՐԻ</w:t>
        </w:r>
        <w:r w:rsidRPr="00131492">
          <w:rPr>
            <w:rStyle w:val="Hyperlink"/>
            <w:b w:val="0"/>
            <w:bCs/>
            <w:noProof/>
            <w:sz w:val="20"/>
            <w:szCs w:val="20"/>
            <w:lang w:val="sk-SK"/>
          </w:rPr>
          <w:t xml:space="preserve"> </w:t>
        </w:r>
        <w:r w:rsidRPr="00131492">
          <w:rPr>
            <w:rStyle w:val="Hyperlink"/>
            <w:b w:val="0"/>
            <w:bCs/>
            <w:noProof/>
            <w:sz w:val="20"/>
            <w:szCs w:val="20"/>
          </w:rPr>
          <w:t>ԿԱՆԽԱՏԵՍՈՒՄՆԵՐ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110</w:t>
        </w:r>
        <w:r w:rsidRPr="00131492">
          <w:rPr>
            <w:b w:val="0"/>
            <w:bCs/>
            <w:noProof/>
            <w:webHidden/>
            <w:sz w:val="20"/>
            <w:szCs w:val="20"/>
          </w:rPr>
          <w:fldChar w:fldCharType="end"/>
        </w:r>
      </w:hyperlink>
    </w:p>
    <w:p w14:paraId="5B1CD35B" w14:textId="0BEDA676" w:rsidR="00131492" w:rsidRPr="00131492" w:rsidRDefault="00131492" w:rsidP="00131492">
      <w:pPr>
        <w:pStyle w:val="TOC3"/>
        <w:ind w:left="0"/>
        <w:rPr>
          <w:rFonts w:eastAsiaTheme="minorEastAsia" w:cstheme="minorBidi"/>
          <w:b w:val="0"/>
          <w:bCs/>
          <w:noProof/>
          <w:sz w:val="20"/>
          <w:szCs w:val="20"/>
          <w:lang w:val="en-US" w:eastAsia="en-US"/>
        </w:rPr>
      </w:pPr>
      <w:hyperlink w:anchor="_Toc153184475" w:history="1">
        <w:r w:rsidRPr="00131492">
          <w:rPr>
            <w:rStyle w:val="Hyperlink"/>
            <w:rFonts w:eastAsiaTheme="majorEastAsia" w:cstheme="majorBidi"/>
            <w:b w:val="0"/>
            <w:bCs/>
            <w:noProof/>
            <w:sz w:val="20"/>
            <w:szCs w:val="20"/>
            <w:lang w:val="hy-AM" w:eastAsia="en-US"/>
          </w:rPr>
          <w:t>Հարկաբյուջետային սկզբունքները և ցուցանիշները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110</w:t>
        </w:r>
        <w:r w:rsidRPr="00131492">
          <w:rPr>
            <w:b w:val="0"/>
            <w:bCs/>
            <w:noProof/>
            <w:webHidden/>
            <w:sz w:val="20"/>
            <w:szCs w:val="20"/>
          </w:rPr>
          <w:fldChar w:fldCharType="end"/>
        </w:r>
      </w:hyperlink>
    </w:p>
    <w:p w14:paraId="7BE52F35" w14:textId="6F7CC7F4" w:rsidR="00131492" w:rsidRPr="00131492" w:rsidRDefault="00131492" w:rsidP="00131492">
      <w:pPr>
        <w:pStyle w:val="TOC1"/>
        <w:rPr>
          <w:rFonts w:eastAsiaTheme="minorEastAsia" w:cstheme="minorBidi"/>
          <w:b w:val="0"/>
          <w:bCs/>
          <w:noProof/>
          <w:sz w:val="20"/>
          <w:szCs w:val="20"/>
          <w:lang w:val="en-US" w:eastAsia="en-US"/>
        </w:rPr>
      </w:pPr>
      <w:hyperlink w:anchor="_Toc153184476" w:history="1">
        <w:r w:rsidRPr="00131492">
          <w:rPr>
            <w:rStyle w:val="Hyperlink"/>
            <w:b w:val="0"/>
            <w:bCs/>
            <w:noProof/>
            <w:sz w:val="20"/>
            <w:szCs w:val="20"/>
          </w:rPr>
          <w:t xml:space="preserve">ՄԱՍ II – Բ. ՀԱՐԿԱԲՅՈՒՋԵՏԱՅԻՆ </w:t>
        </w:r>
        <w:r w:rsidRPr="00131492">
          <w:rPr>
            <w:rStyle w:val="Hyperlink"/>
            <w:b w:val="0"/>
            <w:bCs/>
            <w:noProof/>
            <w:sz w:val="20"/>
            <w:szCs w:val="20"/>
            <w:lang w:val="sk-SK"/>
          </w:rPr>
          <w:t>ՑՈՒՑԱՆԻՇՆԵՐԻ</w:t>
        </w:r>
        <w:r w:rsidRPr="00131492">
          <w:rPr>
            <w:rStyle w:val="Hyperlink"/>
            <w:b w:val="0"/>
            <w:bCs/>
            <w:noProof/>
            <w:sz w:val="20"/>
            <w:szCs w:val="20"/>
          </w:rPr>
          <w:t xml:space="preserve"> ԿԱՆԽԱՏԵՍՈՒՄ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111</w:t>
        </w:r>
        <w:r w:rsidRPr="00131492">
          <w:rPr>
            <w:b w:val="0"/>
            <w:bCs/>
            <w:noProof/>
            <w:webHidden/>
            <w:sz w:val="20"/>
            <w:szCs w:val="20"/>
          </w:rPr>
          <w:fldChar w:fldCharType="end"/>
        </w:r>
      </w:hyperlink>
    </w:p>
    <w:p w14:paraId="22510CB3" w14:textId="1474ED4E" w:rsidR="00131492" w:rsidRPr="00131492" w:rsidRDefault="00131492" w:rsidP="00131492">
      <w:pPr>
        <w:pStyle w:val="TOC3"/>
        <w:ind w:left="0"/>
        <w:rPr>
          <w:rFonts w:eastAsiaTheme="minorEastAsia" w:cstheme="minorBidi"/>
          <w:b w:val="0"/>
          <w:bCs/>
          <w:noProof/>
          <w:sz w:val="20"/>
          <w:szCs w:val="20"/>
          <w:lang w:val="en-US" w:eastAsia="en-US"/>
        </w:rPr>
      </w:pPr>
      <w:hyperlink w:anchor="_Toc153184477" w:history="1">
        <w:r w:rsidRPr="00131492">
          <w:rPr>
            <w:rStyle w:val="Hyperlink"/>
            <w:rFonts w:eastAsiaTheme="majorEastAsia" w:cstheme="majorBidi"/>
            <w:b w:val="0"/>
            <w:bCs/>
            <w:noProof/>
            <w:sz w:val="20"/>
            <w:szCs w:val="20"/>
            <w:lang w:val="hy-AM" w:eastAsia="en-US"/>
          </w:rPr>
          <w:t>2024 ԹՎԱԿԱՆԻ ԾԱԽՍԵՐԻ ՄԱԿԱՐԴԱԿԸ ԵՎ ԳԵՐԱԿԱՅՈՒԹՅՈՒՆՆԵՐԸ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112</w:t>
        </w:r>
        <w:r w:rsidRPr="00131492">
          <w:rPr>
            <w:b w:val="0"/>
            <w:bCs/>
            <w:noProof/>
            <w:webHidden/>
            <w:sz w:val="20"/>
            <w:szCs w:val="20"/>
          </w:rPr>
          <w:fldChar w:fldCharType="end"/>
        </w:r>
      </w:hyperlink>
    </w:p>
    <w:p w14:paraId="1A610007" w14:textId="7804868A" w:rsidR="00131492" w:rsidRPr="00131492" w:rsidRDefault="00131492" w:rsidP="00131492">
      <w:pPr>
        <w:pStyle w:val="TOC3"/>
        <w:ind w:left="0"/>
        <w:rPr>
          <w:rFonts w:eastAsiaTheme="minorEastAsia" w:cstheme="minorBidi"/>
          <w:b w:val="0"/>
          <w:bCs/>
          <w:noProof/>
          <w:sz w:val="20"/>
          <w:szCs w:val="20"/>
          <w:lang w:val="en-US" w:eastAsia="en-US"/>
        </w:rPr>
      </w:pPr>
      <w:hyperlink w:anchor="_Toc153184478" w:history="1">
        <w:r w:rsidRPr="00131492">
          <w:rPr>
            <w:rStyle w:val="Hyperlink"/>
            <w:rFonts w:eastAsiaTheme="majorEastAsia" w:cstheme="majorBidi"/>
            <w:b w:val="0"/>
            <w:bCs/>
            <w:noProof/>
            <w:sz w:val="20"/>
            <w:szCs w:val="20"/>
            <w:lang w:val="hy-AM" w:eastAsia="en-US"/>
          </w:rPr>
          <w:t>ՊԵՏԱԿԱՆ ԲՅՈՒՋԵԻ ԴԵՖԻՑԻՏԻ (ՊԱԿԱՍՈՒՐԴԻ) ԵՎ ՊԱՐՏՔԻ ՄԱԿԱՐԴԱԿԸ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112</w:t>
        </w:r>
        <w:r w:rsidRPr="00131492">
          <w:rPr>
            <w:b w:val="0"/>
            <w:bCs/>
            <w:noProof/>
            <w:webHidden/>
            <w:sz w:val="20"/>
            <w:szCs w:val="20"/>
          </w:rPr>
          <w:fldChar w:fldCharType="end"/>
        </w:r>
      </w:hyperlink>
    </w:p>
    <w:p w14:paraId="164ACD95" w14:textId="3D8EB02D" w:rsidR="00131492" w:rsidRPr="00131492" w:rsidRDefault="00131492" w:rsidP="00131492">
      <w:pPr>
        <w:pStyle w:val="TOC1"/>
        <w:rPr>
          <w:rFonts w:eastAsiaTheme="minorEastAsia" w:cstheme="minorBidi"/>
          <w:b w:val="0"/>
          <w:bCs/>
          <w:noProof/>
          <w:sz w:val="20"/>
          <w:szCs w:val="20"/>
          <w:lang w:val="en-US" w:eastAsia="en-US"/>
        </w:rPr>
      </w:pPr>
      <w:hyperlink w:anchor="_Toc153184479" w:history="1">
        <w:r w:rsidRPr="00131492">
          <w:rPr>
            <w:rStyle w:val="Hyperlink"/>
            <w:b w:val="0"/>
            <w:bCs/>
            <w:noProof/>
            <w:sz w:val="20"/>
            <w:szCs w:val="20"/>
          </w:rPr>
          <w:t>ՄԱՍ III. «ՀԱՅԱՍՏԱՆԻ ՀԱՆՐԱՊԵՏՈՒԹՅԱՆ 2024 ԹՎԱԿԱՆԻ ՊԵՏԱԿԱՆ ԲՅՈՒՋԵԻ ՄԱՍԻՆ» ՀԱՅԱՍՏԱՆԻ ՀԱՆՐԱՊԵՏՈՒԹՅԱՆ ՕՐԵՆՔԻ ԲԱՑԱՏՐԱԳԻՐ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_Toc153184479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116</w:t>
        </w:r>
        <w:r w:rsidRPr="00131492">
          <w:rPr>
            <w:b w:val="0"/>
            <w:bCs/>
            <w:noProof/>
            <w:webHidden/>
            <w:sz w:val="20"/>
            <w:szCs w:val="20"/>
          </w:rPr>
          <w:fldChar w:fldCharType="end"/>
        </w:r>
      </w:hyperlink>
    </w:p>
    <w:p w14:paraId="4EBD9A14" w14:textId="575F543D" w:rsidR="00131492" w:rsidRPr="00131492" w:rsidRDefault="00131492" w:rsidP="00131492">
      <w:pPr>
        <w:pStyle w:val="TOC1"/>
        <w:rPr>
          <w:rFonts w:eastAsiaTheme="minorEastAsia" w:cstheme="minorBidi"/>
          <w:b w:val="0"/>
          <w:bCs/>
          <w:noProof/>
          <w:sz w:val="20"/>
          <w:szCs w:val="20"/>
          <w:lang w:val="en-US" w:eastAsia="en-US"/>
        </w:rPr>
      </w:pPr>
      <w:hyperlink w:anchor="_Toc153184480" w:history="1">
        <w:r w:rsidRPr="00131492">
          <w:rPr>
            <w:rStyle w:val="Hyperlink"/>
            <w:b w:val="0"/>
            <w:bCs/>
            <w:noProof/>
            <w:sz w:val="20"/>
            <w:szCs w:val="20"/>
          </w:rPr>
          <w:t>ՄԱՍ III-Ա. ԵԿԱՄՈՒՏՆԵՐԻ ԿԱՆԽԱՏԵՍՈՒՄ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116</w:t>
        </w:r>
        <w:r w:rsidRPr="00131492">
          <w:rPr>
            <w:b w:val="0"/>
            <w:bCs/>
            <w:noProof/>
            <w:webHidden/>
            <w:sz w:val="20"/>
            <w:szCs w:val="20"/>
          </w:rPr>
          <w:fldChar w:fldCharType="end"/>
        </w:r>
      </w:hyperlink>
    </w:p>
    <w:p w14:paraId="5ACCE002" w14:textId="44A37562" w:rsidR="00131492" w:rsidRPr="00131492" w:rsidRDefault="00131492" w:rsidP="00131492">
      <w:pPr>
        <w:pStyle w:val="TOC1"/>
        <w:rPr>
          <w:rFonts w:eastAsiaTheme="minorEastAsia" w:cstheme="minorBidi"/>
          <w:b w:val="0"/>
          <w:bCs/>
          <w:noProof/>
          <w:sz w:val="20"/>
          <w:szCs w:val="20"/>
          <w:lang w:val="en-US" w:eastAsia="en-US"/>
        </w:rPr>
      </w:pPr>
      <w:hyperlink w:anchor="_Toc153184481" w:history="1">
        <w:r w:rsidRPr="00131492">
          <w:rPr>
            <w:rStyle w:val="Hyperlink"/>
            <w:b w:val="0"/>
            <w:bCs/>
            <w:noProof/>
            <w:sz w:val="20"/>
            <w:szCs w:val="20"/>
          </w:rPr>
          <w:t>Հարկային եկամուտներ և պետական տուրքեր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117</w:t>
        </w:r>
        <w:r w:rsidRPr="00131492">
          <w:rPr>
            <w:b w:val="0"/>
            <w:bCs/>
            <w:noProof/>
            <w:webHidden/>
            <w:sz w:val="20"/>
            <w:szCs w:val="20"/>
          </w:rPr>
          <w:fldChar w:fldCharType="end"/>
        </w:r>
      </w:hyperlink>
    </w:p>
    <w:p w14:paraId="00BA9867" w14:textId="74D8F5B6" w:rsidR="00131492" w:rsidRPr="00131492" w:rsidRDefault="00131492" w:rsidP="00131492">
      <w:pPr>
        <w:pStyle w:val="TOC1"/>
        <w:rPr>
          <w:rFonts w:eastAsiaTheme="minorEastAsia" w:cstheme="minorBidi"/>
          <w:b w:val="0"/>
          <w:bCs/>
          <w:noProof/>
          <w:sz w:val="20"/>
          <w:szCs w:val="20"/>
          <w:lang w:val="en-US" w:eastAsia="en-US"/>
        </w:rPr>
      </w:pPr>
      <w:hyperlink w:anchor="_Toc153184482" w:history="1">
        <w:r w:rsidRPr="00131492">
          <w:rPr>
            <w:rStyle w:val="Hyperlink"/>
            <w:b w:val="0"/>
            <w:bCs/>
            <w:noProof/>
            <w:sz w:val="20"/>
            <w:szCs w:val="20"/>
          </w:rPr>
          <w:t>202</w:t>
        </w:r>
        <w:r w:rsidRPr="00131492">
          <w:rPr>
            <w:rStyle w:val="Hyperlink"/>
            <w:b w:val="0"/>
            <w:bCs/>
            <w:noProof/>
            <w:sz w:val="20"/>
            <w:szCs w:val="20"/>
            <w:lang w:val="af-ZA"/>
          </w:rPr>
          <w:t>4</w:t>
        </w:r>
        <w:r w:rsidRPr="00131492">
          <w:rPr>
            <w:rStyle w:val="Hyperlink"/>
            <w:b w:val="0"/>
            <w:bCs/>
            <w:noProof/>
            <w:sz w:val="20"/>
            <w:szCs w:val="20"/>
          </w:rPr>
          <w:t xml:space="preserve"> ԹՎԱԿԱՆԻ ՀԱՐԿԱՅԻՆ ԾԱԽՍԵՐԻ ՄԵԾՈՒԹՅԱՆ ԳՆԱՀԱՏՈՒՄ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117</w:t>
        </w:r>
        <w:r w:rsidRPr="00131492">
          <w:rPr>
            <w:b w:val="0"/>
            <w:bCs/>
            <w:noProof/>
            <w:webHidden/>
            <w:sz w:val="20"/>
            <w:szCs w:val="20"/>
          </w:rPr>
          <w:fldChar w:fldCharType="end"/>
        </w:r>
      </w:hyperlink>
    </w:p>
    <w:p w14:paraId="11755B92" w14:textId="58D7544F" w:rsidR="00131492" w:rsidRPr="00131492" w:rsidRDefault="00131492" w:rsidP="00131492">
      <w:pPr>
        <w:pStyle w:val="TOC3"/>
        <w:ind w:left="0"/>
        <w:rPr>
          <w:rFonts w:eastAsiaTheme="minorEastAsia" w:cstheme="minorBidi"/>
          <w:b w:val="0"/>
          <w:bCs/>
          <w:noProof/>
          <w:sz w:val="20"/>
          <w:szCs w:val="20"/>
          <w:lang w:val="en-US" w:eastAsia="en-US"/>
        </w:rPr>
      </w:pPr>
      <w:hyperlink w:anchor="_Toc153184483" w:history="1">
        <w:r w:rsidRPr="00131492">
          <w:rPr>
            <w:rStyle w:val="Hyperlink"/>
            <w:rFonts w:eastAsiaTheme="majorEastAsia" w:cstheme="majorBidi"/>
            <w:b w:val="0"/>
            <w:bCs/>
            <w:noProof/>
            <w:sz w:val="20"/>
            <w:szCs w:val="20"/>
            <w:lang w:val="hy-AM" w:eastAsia="en-US"/>
          </w:rPr>
          <w:t>Պաշտոնական դրամաշնորհներ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123</w:t>
        </w:r>
        <w:r w:rsidRPr="00131492">
          <w:rPr>
            <w:b w:val="0"/>
            <w:bCs/>
            <w:noProof/>
            <w:webHidden/>
            <w:sz w:val="20"/>
            <w:szCs w:val="20"/>
          </w:rPr>
          <w:fldChar w:fldCharType="end"/>
        </w:r>
      </w:hyperlink>
    </w:p>
    <w:p w14:paraId="5E46B3B3" w14:textId="616CA16D" w:rsidR="00131492" w:rsidRPr="00131492" w:rsidRDefault="00131492" w:rsidP="00131492">
      <w:pPr>
        <w:pStyle w:val="TOC1"/>
        <w:rPr>
          <w:rFonts w:eastAsiaTheme="minorEastAsia" w:cstheme="minorBidi"/>
          <w:b w:val="0"/>
          <w:bCs/>
          <w:noProof/>
          <w:sz w:val="20"/>
          <w:szCs w:val="20"/>
          <w:lang w:val="en-US" w:eastAsia="en-US"/>
        </w:rPr>
      </w:pPr>
      <w:hyperlink w:anchor="_Toc153184484" w:history="1">
        <w:r w:rsidRPr="00131492">
          <w:rPr>
            <w:rStyle w:val="Hyperlink"/>
            <w:rFonts w:eastAsia="Calibri" w:cs="GHEA Grapalat"/>
            <w:b w:val="0"/>
            <w:bCs/>
            <w:noProof/>
            <w:sz w:val="20"/>
            <w:szCs w:val="20"/>
          </w:rPr>
          <w:t xml:space="preserve">Այլ </w:t>
        </w:r>
        <w:r w:rsidRPr="00131492">
          <w:rPr>
            <w:rStyle w:val="Hyperlink"/>
            <w:b w:val="0"/>
            <w:bCs/>
            <w:noProof/>
            <w:sz w:val="20"/>
            <w:szCs w:val="20"/>
          </w:rPr>
          <w:t>եկամուտներ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123</w:t>
        </w:r>
        <w:r w:rsidRPr="00131492">
          <w:rPr>
            <w:b w:val="0"/>
            <w:bCs/>
            <w:noProof/>
            <w:webHidden/>
            <w:sz w:val="20"/>
            <w:szCs w:val="20"/>
          </w:rPr>
          <w:fldChar w:fldCharType="end"/>
        </w:r>
      </w:hyperlink>
    </w:p>
    <w:p w14:paraId="5968C031" w14:textId="765AFA41" w:rsidR="00131492" w:rsidRPr="00131492" w:rsidRDefault="00131492" w:rsidP="00131492">
      <w:pPr>
        <w:pStyle w:val="TOC1"/>
        <w:rPr>
          <w:rFonts w:eastAsiaTheme="minorEastAsia" w:cstheme="minorBidi"/>
          <w:b w:val="0"/>
          <w:bCs/>
          <w:noProof/>
          <w:sz w:val="20"/>
          <w:szCs w:val="20"/>
          <w:lang w:val="en-US" w:eastAsia="en-US"/>
        </w:rPr>
      </w:pPr>
      <w:hyperlink w:anchor="_Toc153184485" w:history="1">
        <w:r w:rsidRPr="00131492">
          <w:rPr>
            <w:rStyle w:val="Hyperlink"/>
            <w:b w:val="0"/>
            <w:bCs/>
            <w:noProof/>
            <w:sz w:val="20"/>
            <w:szCs w:val="20"/>
          </w:rPr>
          <w:t>Մ Ա Ս III – Բ. Ծ Ա Խ Ս Ե Ր Ի  Կ Ա Ն Խ Ա Տ Ե Ս Ո Ւ 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127</w:t>
        </w:r>
        <w:r w:rsidRPr="00131492">
          <w:rPr>
            <w:b w:val="0"/>
            <w:bCs/>
            <w:noProof/>
            <w:webHidden/>
            <w:sz w:val="20"/>
            <w:szCs w:val="20"/>
          </w:rPr>
          <w:fldChar w:fldCharType="end"/>
        </w:r>
      </w:hyperlink>
    </w:p>
    <w:p w14:paraId="22A1F803" w14:textId="417E06BE" w:rsidR="00131492" w:rsidRPr="00131492" w:rsidRDefault="00131492" w:rsidP="00131492">
      <w:pPr>
        <w:pStyle w:val="TOC3"/>
        <w:ind w:left="0"/>
        <w:rPr>
          <w:rFonts w:eastAsiaTheme="minorEastAsia" w:cstheme="minorBidi"/>
          <w:b w:val="0"/>
          <w:bCs/>
          <w:noProof/>
          <w:sz w:val="20"/>
          <w:szCs w:val="20"/>
          <w:lang w:val="en-US" w:eastAsia="en-US"/>
        </w:rPr>
      </w:pPr>
      <w:hyperlink w:anchor="_Toc153184486" w:history="1">
        <w:r w:rsidRPr="00131492">
          <w:rPr>
            <w:rStyle w:val="Hyperlink"/>
            <w:rFonts w:eastAsiaTheme="majorEastAsia" w:cstheme="majorBidi"/>
            <w:b w:val="0"/>
            <w:bCs/>
            <w:noProof/>
            <w:sz w:val="20"/>
            <w:szCs w:val="20"/>
            <w:lang w:val="hy-AM" w:eastAsia="en-US"/>
          </w:rPr>
          <w:t>ԾԱԽՍԵՐՆ ԸՍՏ ՏՆՏԵՍԱԳԻՏԱԿԱՆ ԴԱՍԱԿԱՐԳՄԱՆ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128</w:t>
        </w:r>
        <w:r w:rsidRPr="00131492">
          <w:rPr>
            <w:b w:val="0"/>
            <w:bCs/>
            <w:noProof/>
            <w:webHidden/>
            <w:sz w:val="20"/>
            <w:szCs w:val="20"/>
          </w:rPr>
          <w:fldChar w:fldCharType="end"/>
        </w:r>
      </w:hyperlink>
    </w:p>
    <w:p w14:paraId="3AB44742" w14:textId="60E2E895" w:rsidR="00131492" w:rsidRPr="00131492" w:rsidRDefault="00131492" w:rsidP="00131492">
      <w:pPr>
        <w:pStyle w:val="TOC3"/>
        <w:ind w:left="0"/>
        <w:rPr>
          <w:rFonts w:eastAsiaTheme="minorEastAsia" w:cstheme="minorBidi"/>
          <w:b w:val="0"/>
          <w:bCs/>
          <w:noProof/>
          <w:sz w:val="20"/>
          <w:szCs w:val="20"/>
          <w:lang w:val="en-US" w:eastAsia="en-US"/>
        </w:rPr>
      </w:pPr>
      <w:hyperlink w:anchor="_Toc153184487" w:history="1">
        <w:r w:rsidRPr="00131492">
          <w:rPr>
            <w:rStyle w:val="Hyperlink"/>
            <w:rFonts w:eastAsiaTheme="majorEastAsia" w:cstheme="majorBidi"/>
            <w:b w:val="0"/>
            <w:bCs/>
            <w:noProof/>
            <w:sz w:val="20"/>
            <w:szCs w:val="20"/>
            <w:lang w:val="hy-AM" w:eastAsia="en-US"/>
          </w:rPr>
          <w:t>ԾԱԽՍԵՐՆ ԸՍՏ ԳՈՐԾԱՌԱԿԱՆ ԴԱՍԱԿԱՐԳՄԱՆ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132</w:t>
        </w:r>
        <w:r w:rsidRPr="00131492">
          <w:rPr>
            <w:b w:val="0"/>
            <w:bCs/>
            <w:noProof/>
            <w:webHidden/>
            <w:sz w:val="20"/>
            <w:szCs w:val="20"/>
          </w:rPr>
          <w:fldChar w:fldCharType="end"/>
        </w:r>
      </w:hyperlink>
    </w:p>
    <w:p w14:paraId="311E8359" w14:textId="626863DB" w:rsidR="00131492" w:rsidRPr="00131492" w:rsidRDefault="00131492" w:rsidP="00131492">
      <w:pPr>
        <w:pStyle w:val="TOC1"/>
        <w:rPr>
          <w:rFonts w:eastAsiaTheme="minorEastAsia" w:cstheme="minorBidi"/>
          <w:b w:val="0"/>
          <w:bCs/>
          <w:noProof/>
          <w:sz w:val="20"/>
          <w:szCs w:val="20"/>
          <w:lang w:val="en-US" w:eastAsia="en-US"/>
        </w:rPr>
      </w:pPr>
      <w:hyperlink w:anchor="_Toc153184488" w:history="1">
        <w:r w:rsidRPr="00131492">
          <w:rPr>
            <w:rStyle w:val="Hyperlink"/>
            <w:b w:val="0"/>
            <w:bCs/>
            <w:noProof/>
            <w:sz w:val="20"/>
            <w:szCs w:val="20"/>
          </w:rPr>
          <w:t>Լեռնային Ղարաբաղից բռնի տեղահանված բնակչության օժանդակության ծրագրեր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138</w:t>
        </w:r>
        <w:r w:rsidRPr="00131492">
          <w:rPr>
            <w:b w:val="0"/>
            <w:bCs/>
            <w:noProof/>
            <w:webHidden/>
            <w:sz w:val="20"/>
            <w:szCs w:val="20"/>
          </w:rPr>
          <w:fldChar w:fldCharType="end"/>
        </w:r>
      </w:hyperlink>
    </w:p>
    <w:p w14:paraId="7AA1B509" w14:textId="5CDDF7C0" w:rsidR="00131492" w:rsidRPr="00131492" w:rsidRDefault="00131492" w:rsidP="00131492">
      <w:pPr>
        <w:pStyle w:val="TOC3"/>
        <w:ind w:left="0"/>
        <w:rPr>
          <w:rFonts w:eastAsiaTheme="minorEastAsia" w:cstheme="minorBidi"/>
          <w:b w:val="0"/>
          <w:bCs/>
          <w:noProof/>
          <w:sz w:val="20"/>
          <w:szCs w:val="20"/>
          <w:lang w:val="en-US" w:eastAsia="en-US"/>
        </w:rPr>
      </w:pPr>
      <w:hyperlink w:anchor="_Toc153184489" w:history="1">
        <w:r w:rsidRPr="00131492">
          <w:rPr>
            <w:rStyle w:val="Hyperlink"/>
            <w:rFonts w:eastAsiaTheme="majorEastAsia" w:cstheme="majorBidi"/>
            <w:b w:val="0"/>
            <w:bCs/>
            <w:noProof/>
            <w:sz w:val="20"/>
            <w:szCs w:val="20"/>
            <w:lang w:val="hy-AM" w:eastAsia="en-US"/>
          </w:rPr>
          <w:t>ՀՀ 2024 ԹՎԱԿԱՆԻ ՊԵՏԱԿԱՆ ԲՅՈՒՋԵԻՑ ՀԱՄԱՅՆՔՆԵՐԻՆ ՏՐՎՈՂ ՀԱՏԿԱՑՈՒՄՆԵՐԸ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_Toc153184489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138</w:t>
        </w:r>
        <w:r w:rsidRPr="00131492">
          <w:rPr>
            <w:b w:val="0"/>
            <w:bCs/>
            <w:noProof/>
            <w:webHidden/>
            <w:sz w:val="20"/>
            <w:szCs w:val="20"/>
          </w:rPr>
          <w:fldChar w:fldCharType="end"/>
        </w:r>
      </w:hyperlink>
    </w:p>
    <w:p w14:paraId="28AB13F4" w14:textId="1FE04601" w:rsidR="00131492" w:rsidRPr="00131492" w:rsidRDefault="00131492" w:rsidP="00131492">
      <w:pPr>
        <w:pStyle w:val="TOC1"/>
        <w:rPr>
          <w:rFonts w:eastAsiaTheme="minorEastAsia" w:cstheme="minorBidi"/>
          <w:b w:val="0"/>
          <w:bCs/>
          <w:noProof/>
          <w:sz w:val="20"/>
          <w:szCs w:val="20"/>
          <w:lang w:val="en-US" w:eastAsia="en-US"/>
        </w:rPr>
      </w:pPr>
      <w:hyperlink w:anchor="_Toc153184490" w:history="1">
        <w:r w:rsidRPr="00131492">
          <w:rPr>
            <w:rStyle w:val="Hyperlink"/>
            <w:b w:val="0"/>
            <w:bCs/>
            <w:noProof/>
            <w:sz w:val="20"/>
            <w:szCs w:val="20"/>
          </w:rPr>
          <w:t>Երևան քաղաքապետարանին տրամադրվող</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139</w:t>
        </w:r>
        <w:r w:rsidRPr="00131492">
          <w:rPr>
            <w:b w:val="0"/>
            <w:bCs/>
            <w:noProof/>
            <w:webHidden/>
            <w:sz w:val="20"/>
            <w:szCs w:val="20"/>
          </w:rPr>
          <w:fldChar w:fldCharType="end"/>
        </w:r>
      </w:hyperlink>
    </w:p>
    <w:p w14:paraId="462950E1" w14:textId="73C95643" w:rsidR="00131492" w:rsidRPr="00131492" w:rsidRDefault="00131492" w:rsidP="00131492">
      <w:pPr>
        <w:pStyle w:val="TOC3"/>
        <w:ind w:left="0"/>
        <w:rPr>
          <w:rFonts w:eastAsiaTheme="minorEastAsia" w:cstheme="minorBidi"/>
          <w:b w:val="0"/>
          <w:bCs/>
          <w:noProof/>
          <w:sz w:val="20"/>
          <w:szCs w:val="20"/>
          <w:lang w:val="en-US" w:eastAsia="en-US"/>
        </w:rPr>
      </w:pPr>
      <w:hyperlink w:anchor="_Toc153184491" w:history="1">
        <w:r w:rsidRPr="00131492">
          <w:rPr>
            <w:rStyle w:val="Hyperlink"/>
            <w:rFonts w:eastAsiaTheme="majorEastAsia" w:cstheme="majorBidi"/>
            <w:b w:val="0"/>
            <w:bCs/>
            <w:noProof/>
            <w:sz w:val="20"/>
            <w:szCs w:val="20"/>
            <w:lang w:val="hy-AM" w:eastAsia="en-US"/>
          </w:rPr>
          <w:t>2024 ԹՎԱԿԱՆԻ ԲՅՈՒՋԵԻ ԱՌԱՋՆԱՀԵՐԹՈՒԹՅՈՒՆՆԵՐԸ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140</w:t>
        </w:r>
        <w:r w:rsidRPr="00131492">
          <w:rPr>
            <w:b w:val="0"/>
            <w:bCs/>
            <w:noProof/>
            <w:webHidden/>
            <w:sz w:val="20"/>
            <w:szCs w:val="20"/>
          </w:rPr>
          <w:fldChar w:fldCharType="end"/>
        </w:r>
      </w:hyperlink>
    </w:p>
    <w:p w14:paraId="3A10AE64" w14:textId="0924779F" w:rsidR="00131492" w:rsidRPr="00131492" w:rsidRDefault="00131492" w:rsidP="00131492">
      <w:pPr>
        <w:pStyle w:val="TOC3"/>
        <w:ind w:left="0"/>
        <w:rPr>
          <w:rFonts w:eastAsiaTheme="minorEastAsia" w:cstheme="minorBidi"/>
          <w:b w:val="0"/>
          <w:bCs/>
          <w:noProof/>
          <w:sz w:val="20"/>
          <w:szCs w:val="20"/>
          <w:lang w:val="en-US" w:eastAsia="en-US"/>
        </w:rPr>
      </w:pPr>
      <w:hyperlink w:anchor="_Toc153184492" w:history="1">
        <w:r w:rsidRPr="00131492">
          <w:rPr>
            <w:rStyle w:val="Hyperlink"/>
            <w:rFonts w:eastAsiaTheme="majorEastAsia" w:cstheme="majorBidi"/>
            <w:b w:val="0"/>
            <w:bCs/>
            <w:noProof/>
            <w:sz w:val="20"/>
            <w:szCs w:val="20"/>
            <w:lang w:val="hy-AM" w:eastAsia="en-US"/>
          </w:rPr>
          <w:t>ՈԼՈՐՏԱՅԻՆ ԾԱԽՍԵՐՆ ԸՍՏ ԲՅՈՒՋԵՏԱՅԻՆ ԳԼԽԱՎՈՐ ԿԱՐԳԱԴՐԻՉՆԵՐԻ</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141</w:t>
        </w:r>
        <w:r w:rsidRPr="00131492">
          <w:rPr>
            <w:b w:val="0"/>
            <w:bCs/>
            <w:noProof/>
            <w:webHidden/>
            <w:sz w:val="20"/>
            <w:szCs w:val="20"/>
          </w:rPr>
          <w:fldChar w:fldCharType="end"/>
        </w:r>
      </w:hyperlink>
    </w:p>
    <w:p w14:paraId="2CFF0653" w14:textId="157DFFD3" w:rsidR="00131492" w:rsidRPr="00131492" w:rsidRDefault="00131492" w:rsidP="00131492">
      <w:pPr>
        <w:pStyle w:val="TOC1"/>
        <w:rPr>
          <w:rFonts w:eastAsiaTheme="minorEastAsia" w:cstheme="minorBidi"/>
          <w:b w:val="0"/>
          <w:bCs/>
          <w:noProof/>
          <w:sz w:val="20"/>
          <w:szCs w:val="20"/>
          <w:lang w:val="en-US" w:eastAsia="en-US"/>
        </w:rPr>
      </w:pPr>
      <w:hyperlink w:anchor="_Toc153184493" w:history="1">
        <w:r w:rsidRPr="00131492">
          <w:rPr>
            <w:rStyle w:val="Hyperlink"/>
            <w:b w:val="0"/>
            <w:bCs/>
            <w:noProof/>
            <w:sz w:val="20"/>
            <w:szCs w:val="20"/>
          </w:rPr>
          <w:t>Հանրային իշխանության մարմինների պահպանման ծախսեր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141</w:t>
        </w:r>
        <w:r w:rsidRPr="00131492">
          <w:rPr>
            <w:b w:val="0"/>
            <w:bCs/>
            <w:noProof/>
            <w:webHidden/>
            <w:sz w:val="20"/>
            <w:szCs w:val="20"/>
          </w:rPr>
          <w:fldChar w:fldCharType="end"/>
        </w:r>
      </w:hyperlink>
    </w:p>
    <w:p w14:paraId="4EA26961" w14:textId="394394BE" w:rsidR="00131492" w:rsidRPr="00131492" w:rsidRDefault="00131492" w:rsidP="00131492">
      <w:pPr>
        <w:pStyle w:val="TOC1"/>
        <w:rPr>
          <w:rFonts w:eastAsiaTheme="minorEastAsia" w:cstheme="minorBidi"/>
          <w:b w:val="0"/>
          <w:bCs/>
          <w:noProof/>
          <w:sz w:val="20"/>
          <w:szCs w:val="20"/>
          <w:lang w:val="en-US" w:eastAsia="en-US"/>
        </w:rPr>
      </w:pPr>
      <w:hyperlink w:anchor="_Toc153184494" w:history="1">
        <w:r w:rsidRPr="00131492">
          <w:rPr>
            <w:rStyle w:val="Hyperlink"/>
            <w:b w:val="0"/>
            <w:bCs/>
            <w:noProof/>
            <w:sz w:val="20"/>
            <w:szCs w:val="20"/>
          </w:rPr>
          <w:t>ՀՀ առողջապահության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145</w:t>
        </w:r>
        <w:r w:rsidRPr="00131492">
          <w:rPr>
            <w:b w:val="0"/>
            <w:bCs/>
            <w:noProof/>
            <w:webHidden/>
            <w:sz w:val="20"/>
            <w:szCs w:val="20"/>
          </w:rPr>
          <w:fldChar w:fldCharType="end"/>
        </w:r>
      </w:hyperlink>
    </w:p>
    <w:p w14:paraId="47B1962A" w14:textId="7AD62823" w:rsidR="00131492" w:rsidRPr="00131492" w:rsidRDefault="00131492" w:rsidP="00131492">
      <w:pPr>
        <w:pStyle w:val="TOC1"/>
        <w:rPr>
          <w:rFonts w:eastAsiaTheme="minorEastAsia" w:cstheme="minorBidi"/>
          <w:b w:val="0"/>
          <w:bCs/>
          <w:noProof/>
          <w:sz w:val="20"/>
          <w:szCs w:val="20"/>
          <w:lang w:val="en-US" w:eastAsia="en-US"/>
        </w:rPr>
      </w:pPr>
      <w:hyperlink w:anchor="_Toc153184495" w:history="1">
        <w:r w:rsidRPr="00131492">
          <w:rPr>
            <w:rStyle w:val="Hyperlink"/>
            <w:b w:val="0"/>
            <w:bCs/>
            <w:noProof/>
            <w:sz w:val="20"/>
            <w:szCs w:val="20"/>
          </w:rPr>
          <w:t>ՀՀ կրթության, գիտության, մշակույթի և սպորտի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150</w:t>
        </w:r>
        <w:r w:rsidRPr="00131492">
          <w:rPr>
            <w:b w:val="0"/>
            <w:bCs/>
            <w:noProof/>
            <w:webHidden/>
            <w:sz w:val="20"/>
            <w:szCs w:val="20"/>
          </w:rPr>
          <w:fldChar w:fldCharType="end"/>
        </w:r>
      </w:hyperlink>
    </w:p>
    <w:p w14:paraId="02DAA0A1" w14:textId="170590C6" w:rsidR="00131492" w:rsidRPr="00131492" w:rsidRDefault="00131492" w:rsidP="00131492">
      <w:pPr>
        <w:pStyle w:val="TOC1"/>
        <w:rPr>
          <w:rFonts w:eastAsiaTheme="minorEastAsia" w:cstheme="minorBidi"/>
          <w:b w:val="0"/>
          <w:bCs/>
          <w:noProof/>
          <w:sz w:val="20"/>
          <w:szCs w:val="20"/>
          <w:lang w:val="en-US" w:eastAsia="en-US"/>
        </w:rPr>
      </w:pPr>
      <w:hyperlink w:anchor="_Toc153184496" w:history="1">
        <w:r w:rsidRPr="00131492">
          <w:rPr>
            <w:rStyle w:val="Hyperlink"/>
            <w:b w:val="0"/>
            <w:bCs/>
            <w:noProof/>
            <w:sz w:val="20"/>
            <w:szCs w:val="20"/>
          </w:rPr>
          <w:t>ՀՀ աշխատանքի և սոցիալական հարցերի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160</w:t>
        </w:r>
        <w:r w:rsidRPr="00131492">
          <w:rPr>
            <w:b w:val="0"/>
            <w:bCs/>
            <w:noProof/>
            <w:webHidden/>
            <w:sz w:val="20"/>
            <w:szCs w:val="20"/>
          </w:rPr>
          <w:fldChar w:fldCharType="end"/>
        </w:r>
      </w:hyperlink>
    </w:p>
    <w:p w14:paraId="1850EC06" w14:textId="28899B6B" w:rsidR="00131492" w:rsidRPr="00131492" w:rsidRDefault="00131492" w:rsidP="00131492">
      <w:pPr>
        <w:pStyle w:val="TOC1"/>
        <w:rPr>
          <w:rFonts w:eastAsiaTheme="minorEastAsia" w:cstheme="minorBidi"/>
          <w:b w:val="0"/>
          <w:bCs/>
          <w:noProof/>
          <w:sz w:val="20"/>
          <w:szCs w:val="20"/>
          <w:lang w:val="en-US" w:eastAsia="en-US"/>
        </w:rPr>
      </w:pPr>
      <w:hyperlink w:anchor="_Toc153184497" w:history="1">
        <w:r w:rsidRPr="00131492">
          <w:rPr>
            <w:rStyle w:val="Hyperlink"/>
            <w:b w:val="0"/>
            <w:bCs/>
            <w:noProof/>
            <w:sz w:val="20"/>
            <w:szCs w:val="20"/>
          </w:rPr>
          <w:t>ՀՀ տարածքային կառավարման և ենթակառուցվածքների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168</w:t>
        </w:r>
        <w:r w:rsidRPr="00131492">
          <w:rPr>
            <w:b w:val="0"/>
            <w:bCs/>
            <w:noProof/>
            <w:webHidden/>
            <w:sz w:val="20"/>
            <w:szCs w:val="20"/>
          </w:rPr>
          <w:fldChar w:fldCharType="end"/>
        </w:r>
      </w:hyperlink>
    </w:p>
    <w:p w14:paraId="737B6A1C" w14:textId="5A3F31BC" w:rsidR="00131492" w:rsidRPr="00131492" w:rsidRDefault="00131492" w:rsidP="00131492">
      <w:pPr>
        <w:pStyle w:val="TOC1"/>
        <w:rPr>
          <w:rFonts w:eastAsiaTheme="minorEastAsia" w:cstheme="minorBidi"/>
          <w:b w:val="0"/>
          <w:bCs/>
          <w:noProof/>
          <w:sz w:val="20"/>
          <w:szCs w:val="20"/>
          <w:lang w:val="en-US" w:eastAsia="en-US"/>
        </w:rPr>
      </w:pPr>
      <w:hyperlink w:anchor="_Toc153184498" w:history="1">
        <w:r w:rsidRPr="00131492">
          <w:rPr>
            <w:rStyle w:val="Hyperlink"/>
            <w:b w:val="0"/>
            <w:bCs/>
            <w:noProof/>
            <w:sz w:val="20"/>
            <w:szCs w:val="20"/>
          </w:rPr>
          <w:t>ՀՀ բարձր տեխնոլոգիական արդյունաբերության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176</w:t>
        </w:r>
        <w:r w:rsidRPr="00131492">
          <w:rPr>
            <w:b w:val="0"/>
            <w:bCs/>
            <w:noProof/>
            <w:webHidden/>
            <w:sz w:val="20"/>
            <w:szCs w:val="20"/>
          </w:rPr>
          <w:fldChar w:fldCharType="end"/>
        </w:r>
      </w:hyperlink>
    </w:p>
    <w:p w14:paraId="60A2B366" w14:textId="2619DCEF" w:rsidR="00131492" w:rsidRPr="00131492" w:rsidRDefault="00131492" w:rsidP="00131492">
      <w:pPr>
        <w:pStyle w:val="TOC1"/>
        <w:rPr>
          <w:rFonts w:eastAsiaTheme="minorEastAsia" w:cstheme="minorBidi"/>
          <w:b w:val="0"/>
          <w:bCs/>
          <w:noProof/>
          <w:sz w:val="20"/>
          <w:szCs w:val="20"/>
          <w:lang w:val="en-US" w:eastAsia="en-US"/>
        </w:rPr>
      </w:pPr>
      <w:hyperlink w:anchor="_Toc153184499" w:history="1">
        <w:r w:rsidRPr="00131492">
          <w:rPr>
            <w:rStyle w:val="Hyperlink"/>
            <w:b w:val="0"/>
            <w:bCs/>
            <w:noProof/>
            <w:sz w:val="20"/>
            <w:szCs w:val="20"/>
          </w:rPr>
          <w:t>ՀՀ շրջակա միջավայրի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_Toc153184499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177</w:t>
        </w:r>
        <w:r w:rsidRPr="00131492">
          <w:rPr>
            <w:b w:val="0"/>
            <w:bCs/>
            <w:noProof/>
            <w:webHidden/>
            <w:sz w:val="20"/>
            <w:szCs w:val="20"/>
          </w:rPr>
          <w:fldChar w:fldCharType="end"/>
        </w:r>
      </w:hyperlink>
    </w:p>
    <w:p w14:paraId="5CC93A60" w14:textId="5ABC6439" w:rsidR="00131492" w:rsidRPr="00131492" w:rsidRDefault="00131492" w:rsidP="00131492">
      <w:pPr>
        <w:pStyle w:val="TOC1"/>
        <w:rPr>
          <w:rFonts w:eastAsiaTheme="minorEastAsia" w:cstheme="minorBidi"/>
          <w:b w:val="0"/>
          <w:bCs/>
          <w:noProof/>
          <w:sz w:val="20"/>
          <w:szCs w:val="20"/>
          <w:lang w:val="en-US" w:eastAsia="en-US"/>
        </w:rPr>
      </w:pPr>
      <w:hyperlink w:anchor="_Toc153184500" w:history="1">
        <w:r w:rsidRPr="00131492">
          <w:rPr>
            <w:rStyle w:val="Hyperlink"/>
            <w:b w:val="0"/>
            <w:bCs/>
            <w:noProof/>
            <w:sz w:val="20"/>
            <w:szCs w:val="20"/>
          </w:rPr>
          <w:t>ՀՀ էկոնոմիկայի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179</w:t>
        </w:r>
        <w:r w:rsidRPr="00131492">
          <w:rPr>
            <w:b w:val="0"/>
            <w:bCs/>
            <w:noProof/>
            <w:webHidden/>
            <w:sz w:val="20"/>
            <w:szCs w:val="20"/>
          </w:rPr>
          <w:fldChar w:fldCharType="end"/>
        </w:r>
      </w:hyperlink>
    </w:p>
    <w:p w14:paraId="2ED16B6A" w14:textId="1D2B6EA4" w:rsidR="00131492" w:rsidRPr="00131492" w:rsidRDefault="00131492" w:rsidP="00131492">
      <w:pPr>
        <w:pStyle w:val="TOC1"/>
        <w:rPr>
          <w:rFonts w:eastAsiaTheme="minorEastAsia" w:cstheme="minorBidi"/>
          <w:b w:val="0"/>
          <w:bCs/>
          <w:noProof/>
          <w:sz w:val="20"/>
          <w:szCs w:val="20"/>
          <w:lang w:val="en-US" w:eastAsia="en-US"/>
        </w:rPr>
      </w:pPr>
      <w:hyperlink w:anchor="_Toc153184501" w:history="1">
        <w:r w:rsidRPr="00131492">
          <w:rPr>
            <w:rStyle w:val="Hyperlink"/>
            <w:b w:val="0"/>
            <w:bCs/>
            <w:noProof/>
            <w:sz w:val="20"/>
            <w:szCs w:val="20"/>
          </w:rPr>
          <w:t>ՀՀ ֆինանսների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183</w:t>
        </w:r>
        <w:r w:rsidRPr="00131492">
          <w:rPr>
            <w:b w:val="0"/>
            <w:bCs/>
            <w:noProof/>
            <w:webHidden/>
            <w:sz w:val="20"/>
            <w:szCs w:val="20"/>
          </w:rPr>
          <w:fldChar w:fldCharType="end"/>
        </w:r>
      </w:hyperlink>
    </w:p>
    <w:p w14:paraId="3312829F" w14:textId="5A7CACB6" w:rsidR="00131492" w:rsidRPr="00131492" w:rsidRDefault="00131492" w:rsidP="00131492">
      <w:pPr>
        <w:pStyle w:val="TOC1"/>
        <w:rPr>
          <w:rFonts w:eastAsiaTheme="minorEastAsia" w:cstheme="minorBidi"/>
          <w:b w:val="0"/>
          <w:bCs/>
          <w:noProof/>
          <w:sz w:val="20"/>
          <w:szCs w:val="20"/>
          <w:lang w:val="en-US" w:eastAsia="en-US"/>
        </w:rPr>
      </w:pPr>
      <w:hyperlink w:anchor="_Toc153184502" w:history="1">
        <w:r w:rsidRPr="00131492">
          <w:rPr>
            <w:rStyle w:val="Hyperlink"/>
            <w:b w:val="0"/>
            <w:bCs/>
            <w:noProof/>
            <w:sz w:val="20"/>
            <w:szCs w:val="20"/>
          </w:rPr>
          <w:t>ՀՀ արդարադատության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184</w:t>
        </w:r>
        <w:r w:rsidRPr="00131492">
          <w:rPr>
            <w:b w:val="0"/>
            <w:bCs/>
            <w:noProof/>
            <w:webHidden/>
            <w:sz w:val="20"/>
            <w:szCs w:val="20"/>
          </w:rPr>
          <w:fldChar w:fldCharType="end"/>
        </w:r>
      </w:hyperlink>
    </w:p>
    <w:p w14:paraId="6829E1AE" w14:textId="02D90BD8" w:rsidR="00131492" w:rsidRPr="00131492" w:rsidRDefault="00131492" w:rsidP="00131492">
      <w:pPr>
        <w:pStyle w:val="TOC1"/>
        <w:rPr>
          <w:rFonts w:eastAsiaTheme="minorEastAsia" w:cstheme="minorBidi"/>
          <w:b w:val="0"/>
          <w:bCs/>
          <w:noProof/>
          <w:sz w:val="20"/>
          <w:szCs w:val="20"/>
          <w:lang w:val="en-US" w:eastAsia="en-US"/>
        </w:rPr>
      </w:pPr>
      <w:hyperlink w:anchor="_Toc153184503" w:history="1">
        <w:r w:rsidRPr="00131492">
          <w:rPr>
            <w:rStyle w:val="Hyperlink"/>
            <w:b w:val="0"/>
            <w:bCs/>
            <w:noProof/>
            <w:sz w:val="20"/>
            <w:szCs w:val="20"/>
          </w:rPr>
          <w:t>ՀՀ արտաքին գործերի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187</w:t>
        </w:r>
        <w:r w:rsidRPr="00131492">
          <w:rPr>
            <w:b w:val="0"/>
            <w:bCs/>
            <w:noProof/>
            <w:webHidden/>
            <w:sz w:val="20"/>
            <w:szCs w:val="20"/>
          </w:rPr>
          <w:fldChar w:fldCharType="end"/>
        </w:r>
      </w:hyperlink>
    </w:p>
    <w:p w14:paraId="29C3BAD6" w14:textId="4B926A43" w:rsidR="00131492" w:rsidRPr="00131492" w:rsidRDefault="00131492" w:rsidP="00131492">
      <w:pPr>
        <w:pStyle w:val="TOC1"/>
        <w:rPr>
          <w:rFonts w:eastAsiaTheme="minorEastAsia" w:cstheme="minorBidi"/>
          <w:b w:val="0"/>
          <w:bCs/>
          <w:noProof/>
          <w:sz w:val="20"/>
          <w:szCs w:val="20"/>
          <w:lang w:val="en-US" w:eastAsia="en-US"/>
        </w:rPr>
      </w:pPr>
      <w:hyperlink w:anchor="_Toc153184504" w:history="1">
        <w:r w:rsidRPr="00131492">
          <w:rPr>
            <w:rStyle w:val="Hyperlink"/>
            <w:b w:val="0"/>
            <w:bCs/>
            <w:noProof/>
            <w:sz w:val="20"/>
            <w:szCs w:val="20"/>
          </w:rPr>
          <w:t>ՀՀ պաշտպանության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189</w:t>
        </w:r>
        <w:r w:rsidRPr="00131492">
          <w:rPr>
            <w:b w:val="0"/>
            <w:bCs/>
            <w:noProof/>
            <w:webHidden/>
            <w:sz w:val="20"/>
            <w:szCs w:val="20"/>
          </w:rPr>
          <w:fldChar w:fldCharType="end"/>
        </w:r>
      </w:hyperlink>
    </w:p>
    <w:p w14:paraId="54E3696D" w14:textId="3752E77F" w:rsidR="00131492" w:rsidRPr="00131492" w:rsidRDefault="00131492" w:rsidP="00131492">
      <w:pPr>
        <w:pStyle w:val="TOC1"/>
        <w:rPr>
          <w:rFonts w:eastAsiaTheme="minorEastAsia" w:cstheme="minorBidi"/>
          <w:b w:val="0"/>
          <w:bCs/>
          <w:noProof/>
          <w:sz w:val="20"/>
          <w:szCs w:val="20"/>
          <w:lang w:val="en-US" w:eastAsia="en-US"/>
        </w:rPr>
      </w:pPr>
      <w:hyperlink w:anchor="_Toc153184505" w:history="1">
        <w:r w:rsidRPr="00131492">
          <w:rPr>
            <w:rStyle w:val="Hyperlink"/>
            <w:b w:val="0"/>
            <w:bCs/>
            <w:noProof/>
            <w:sz w:val="20"/>
            <w:szCs w:val="20"/>
          </w:rPr>
          <w:t>ՀՀ ներքին գործերի նախարարություն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190</w:t>
        </w:r>
        <w:r w:rsidRPr="00131492">
          <w:rPr>
            <w:b w:val="0"/>
            <w:bCs/>
            <w:noProof/>
            <w:webHidden/>
            <w:sz w:val="20"/>
            <w:szCs w:val="20"/>
          </w:rPr>
          <w:fldChar w:fldCharType="end"/>
        </w:r>
      </w:hyperlink>
    </w:p>
    <w:p w14:paraId="33505197" w14:textId="32956B52" w:rsidR="00131492" w:rsidRPr="00131492" w:rsidRDefault="00131492" w:rsidP="00131492">
      <w:pPr>
        <w:pStyle w:val="TOC1"/>
        <w:rPr>
          <w:rFonts w:eastAsiaTheme="minorEastAsia" w:cstheme="minorBidi"/>
          <w:b w:val="0"/>
          <w:bCs/>
          <w:noProof/>
          <w:sz w:val="20"/>
          <w:szCs w:val="20"/>
          <w:lang w:val="en-US" w:eastAsia="en-US"/>
        </w:rPr>
      </w:pPr>
      <w:hyperlink w:anchor="_Toc153184506" w:history="1">
        <w:r w:rsidRPr="00131492">
          <w:rPr>
            <w:rStyle w:val="Hyperlink"/>
            <w:b w:val="0"/>
            <w:bCs/>
            <w:noProof/>
            <w:sz w:val="20"/>
            <w:szCs w:val="20"/>
          </w:rPr>
          <w:t>ՀՀ ազգային անվտանգության ծառայություն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191</w:t>
        </w:r>
        <w:r w:rsidRPr="00131492">
          <w:rPr>
            <w:b w:val="0"/>
            <w:bCs/>
            <w:noProof/>
            <w:webHidden/>
            <w:sz w:val="20"/>
            <w:szCs w:val="20"/>
          </w:rPr>
          <w:fldChar w:fldCharType="end"/>
        </w:r>
      </w:hyperlink>
    </w:p>
    <w:p w14:paraId="2B56E346" w14:textId="292AE526" w:rsidR="00131492" w:rsidRPr="00131492" w:rsidRDefault="00131492" w:rsidP="00131492">
      <w:pPr>
        <w:pStyle w:val="TOC1"/>
        <w:rPr>
          <w:rFonts w:eastAsiaTheme="minorEastAsia" w:cstheme="minorBidi"/>
          <w:b w:val="0"/>
          <w:bCs/>
          <w:noProof/>
          <w:sz w:val="20"/>
          <w:szCs w:val="20"/>
          <w:lang w:val="en-US" w:eastAsia="en-US"/>
        </w:rPr>
      </w:pPr>
      <w:hyperlink w:anchor="_Toc153184507" w:history="1">
        <w:r w:rsidRPr="00131492">
          <w:rPr>
            <w:rStyle w:val="Hyperlink"/>
            <w:b w:val="0"/>
            <w:bCs/>
            <w:noProof/>
            <w:sz w:val="20"/>
            <w:szCs w:val="20"/>
          </w:rPr>
          <w:t>ՀՀ արտաքին հետախուզության ծառայություն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192</w:t>
        </w:r>
        <w:r w:rsidRPr="00131492">
          <w:rPr>
            <w:b w:val="0"/>
            <w:bCs/>
            <w:noProof/>
            <w:webHidden/>
            <w:sz w:val="20"/>
            <w:szCs w:val="20"/>
          </w:rPr>
          <w:fldChar w:fldCharType="end"/>
        </w:r>
      </w:hyperlink>
    </w:p>
    <w:p w14:paraId="3F59D0F7" w14:textId="72196F4F" w:rsidR="00131492" w:rsidRPr="00131492" w:rsidRDefault="00131492" w:rsidP="00131492">
      <w:pPr>
        <w:pStyle w:val="TOC1"/>
        <w:rPr>
          <w:rFonts w:eastAsiaTheme="minorEastAsia" w:cstheme="minorBidi"/>
          <w:b w:val="0"/>
          <w:bCs/>
          <w:noProof/>
          <w:sz w:val="20"/>
          <w:szCs w:val="20"/>
          <w:lang w:val="en-US" w:eastAsia="en-US"/>
        </w:rPr>
      </w:pPr>
      <w:hyperlink w:anchor="_Toc153184508" w:history="1">
        <w:r w:rsidRPr="00131492">
          <w:rPr>
            <w:rStyle w:val="Hyperlink"/>
            <w:b w:val="0"/>
            <w:bCs/>
            <w:noProof/>
            <w:sz w:val="20"/>
            <w:szCs w:val="20"/>
          </w:rPr>
          <w:t>ՀՀ պետական պահպանության ծառայություն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193</w:t>
        </w:r>
        <w:r w:rsidRPr="00131492">
          <w:rPr>
            <w:b w:val="0"/>
            <w:bCs/>
            <w:noProof/>
            <w:webHidden/>
            <w:sz w:val="20"/>
            <w:szCs w:val="20"/>
          </w:rPr>
          <w:fldChar w:fldCharType="end"/>
        </w:r>
      </w:hyperlink>
    </w:p>
    <w:p w14:paraId="73B27A14" w14:textId="2ABDCBBF" w:rsidR="00131492" w:rsidRPr="00131492" w:rsidRDefault="00131492" w:rsidP="00131492">
      <w:pPr>
        <w:pStyle w:val="TOC1"/>
        <w:rPr>
          <w:rFonts w:eastAsiaTheme="minorEastAsia" w:cstheme="minorBidi"/>
          <w:b w:val="0"/>
          <w:bCs/>
          <w:noProof/>
          <w:sz w:val="20"/>
          <w:szCs w:val="20"/>
          <w:lang w:val="en-US" w:eastAsia="en-US"/>
        </w:rPr>
      </w:pPr>
      <w:hyperlink w:anchor="_Toc153184509" w:history="1">
        <w:r w:rsidRPr="00131492">
          <w:rPr>
            <w:rStyle w:val="Hyperlink"/>
            <w:b w:val="0"/>
            <w:bCs/>
            <w:noProof/>
            <w:sz w:val="20"/>
            <w:szCs w:val="20"/>
          </w:rPr>
          <w:t>ՀՀ վարչապետի աշխատակազմ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_Toc153184509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193</w:t>
        </w:r>
        <w:r w:rsidRPr="00131492">
          <w:rPr>
            <w:b w:val="0"/>
            <w:bCs/>
            <w:noProof/>
            <w:webHidden/>
            <w:sz w:val="20"/>
            <w:szCs w:val="20"/>
          </w:rPr>
          <w:fldChar w:fldCharType="end"/>
        </w:r>
      </w:hyperlink>
    </w:p>
    <w:p w14:paraId="2102561E" w14:textId="55632185" w:rsidR="00131492" w:rsidRPr="00131492" w:rsidRDefault="00131492" w:rsidP="00131492">
      <w:pPr>
        <w:pStyle w:val="TOC1"/>
        <w:rPr>
          <w:rFonts w:eastAsiaTheme="minorEastAsia" w:cstheme="minorBidi"/>
          <w:b w:val="0"/>
          <w:bCs/>
          <w:noProof/>
          <w:sz w:val="20"/>
          <w:szCs w:val="20"/>
          <w:lang w:val="en-US" w:eastAsia="en-US"/>
        </w:rPr>
      </w:pPr>
      <w:hyperlink w:anchor="_Toc153184510" w:history="1">
        <w:r w:rsidRPr="00131492">
          <w:rPr>
            <w:rStyle w:val="Hyperlink"/>
            <w:b w:val="0"/>
            <w:bCs/>
            <w:noProof/>
            <w:sz w:val="20"/>
            <w:szCs w:val="20"/>
          </w:rPr>
          <w:t>ՀՀ պետական եկամուտների կոմիտե</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196</w:t>
        </w:r>
        <w:r w:rsidRPr="00131492">
          <w:rPr>
            <w:b w:val="0"/>
            <w:bCs/>
            <w:noProof/>
            <w:webHidden/>
            <w:sz w:val="20"/>
            <w:szCs w:val="20"/>
          </w:rPr>
          <w:fldChar w:fldCharType="end"/>
        </w:r>
      </w:hyperlink>
    </w:p>
    <w:p w14:paraId="71AE7252" w14:textId="31B97A41" w:rsidR="00131492" w:rsidRPr="00131492" w:rsidRDefault="00131492" w:rsidP="00131492">
      <w:pPr>
        <w:pStyle w:val="TOC1"/>
        <w:rPr>
          <w:rFonts w:eastAsiaTheme="minorEastAsia" w:cstheme="minorBidi"/>
          <w:b w:val="0"/>
          <w:bCs/>
          <w:noProof/>
          <w:sz w:val="20"/>
          <w:szCs w:val="20"/>
          <w:lang w:val="en-US" w:eastAsia="en-US"/>
        </w:rPr>
      </w:pPr>
      <w:hyperlink w:anchor="_Toc153184511" w:history="1">
        <w:r w:rsidRPr="00131492">
          <w:rPr>
            <w:rStyle w:val="Hyperlink"/>
            <w:b w:val="0"/>
            <w:bCs/>
            <w:noProof/>
            <w:sz w:val="20"/>
            <w:szCs w:val="20"/>
          </w:rPr>
          <w:t>ՀՀ կադաստրի կոմիտե</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198</w:t>
        </w:r>
        <w:r w:rsidRPr="00131492">
          <w:rPr>
            <w:b w:val="0"/>
            <w:bCs/>
            <w:noProof/>
            <w:webHidden/>
            <w:sz w:val="20"/>
            <w:szCs w:val="20"/>
          </w:rPr>
          <w:fldChar w:fldCharType="end"/>
        </w:r>
      </w:hyperlink>
    </w:p>
    <w:p w14:paraId="4C64A12F" w14:textId="3134AD96" w:rsidR="00131492" w:rsidRPr="00131492" w:rsidRDefault="00131492" w:rsidP="00131492">
      <w:pPr>
        <w:pStyle w:val="TOC1"/>
        <w:rPr>
          <w:rFonts w:eastAsiaTheme="minorEastAsia" w:cstheme="minorBidi"/>
          <w:b w:val="0"/>
          <w:bCs/>
          <w:noProof/>
          <w:sz w:val="20"/>
          <w:szCs w:val="20"/>
          <w:lang w:val="en-US" w:eastAsia="en-US"/>
        </w:rPr>
      </w:pPr>
      <w:hyperlink w:anchor="_Toc153184512" w:history="1">
        <w:r w:rsidRPr="00131492">
          <w:rPr>
            <w:rStyle w:val="Hyperlink"/>
            <w:b w:val="0"/>
            <w:bCs/>
            <w:noProof/>
            <w:sz w:val="20"/>
            <w:szCs w:val="20"/>
          </w:rPr>
          <w:t>ՀՀ վիճակագրական կոմիտե</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198</w:t>
        </w:r>
        <w:r w:rsidRPr="00131492">
          <w:rPr>
            <w:b w:val="0"/>
            <w:bCs/>
            <w:noProof/>
            <w:webHidden/>
            <w:sz w:val="20"/>
            <w:szCs w:val="20"/>
          </w:rPr>
          <w:fldChar w:fldCharType="end"/>
        </w:r>
      </w:hyperlink>
    </w:p>
    <w:p w14:paraId="4B886968" w14:textId="0879013D" w:rsidR="00131492" w:rsidRPr="00131492" w:rsidRDefault="00131492" w:rsidP="00131492">
      <w:pPr>
        <w:pStyle w:val="TOC1"/>
        <w:rPr>
          <w:rFonts w:eastAsiaTheme="minorEastAsia" w:cstheme="minorBidi"/>
          <w:b w:val="0"/>
          <w:bCs/>
          <w:noProof/>
          <w:sz w:val="20"/>
          <w:szCs w:val="20"/>
          <w:lang w:val="en-US" w:eastAsia="en-US"/>
        </w:rPr>
      </w:pPr>
      <w:hyperlink w:anchor="_Toc153184513" w:history="1">
        <w:r w:rsidRPr="00131492">
          <w:rPr>
            <w:rStyle w:val="Hyperlink"/>
            <w:b w:val="0"/>
            <w:bCs/>
            <w:noProof/>
            <w:sz w:val="20"/>
            <w:szCs w:val="20"/>
          </w:rPr>
          <w:t>ՀՀ քաղաքաշինության կոմիտե</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199</w:t>
        </w:r>
        <w:r w:rsidRPr="00131492">
          <w:rPr>
            <w:b w:val="0"/>
            <w:bCs/>
            <w:noProof/>
            <w:webHidden/>
            <w:sz w:val="20"/>
            <w:szCs w:val="20"/>
          </w:rPr>
          <w:fldChar w:fldCharType="end"/>
        </w:r>
      </w:hyperlink>
    </w:p>
    <w:p w14:paraId="4B4092BF" w14:textId="0D8346D1" w:rsidR="00131492" w:rsidRPr="00131492" w:rsidRDefault="00131492" w:rsidP="00131492">
      <w:pPr>
        <w:pStyle w:val="TOC1"/>
        <w:rPr>
          <w:rFonts w:eastAsiaTheme="minorEastAsia" w:cstheme="minorBidi"/>
          <w:b w:val="0"/>
          <w:bCs/>
          <w:noProof/>
          <w:sz w:val="20"/>
          <w:szCs w:val="20"/>
          <w:lang w:val="en-US" w:eastAsia="en-US"/>
        </w:rPr>
      </w:pPr>
      <w:hyperlink w:anchor="_Toc153184514" w:history="1">
        <w:r w:rsidRPr="00131492">
          <w:rPr>
            <w:rStyle w:val="Hyperlink"/>
            <w:b w:val="0"/>
            <w:bCs/>
            <w:noProof/>
            <w:sz w:val="20"/>
            <w:szCs w:val="20"/>
          </w:rPr>
          <w:t>Հանրային հեռարձակողի խորհուրդ</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_Toc153184514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200</w:t>
        </w:r>
        <w:r w:rsidRPr="00131492">
          <w:rPr>
            <w:b w:val="0"/>
            <w:bCs/>
            <w:noProof/>
            <w:webHidden/>
            <w:sz w:val="20"/>
            <w:szCs w:val="20"/>
          </w:rPr>
          <w:fldChar w:fldCharType="end"/>
        </w:r>
      </w:hyperlink>
    </w:p>
    <w:p w14:paraId="074A8CAC" w14:textId="1E8CF2E4" w:rsidR="00131492" w:rsidRPr="00131492" w:rsidRDefault="00131492" w:rsidP="00131492">
      <w:pPr>
        <w:pStyle w:val="TOC1"/>
        <w:rPr>
          <w:rFonts w:eastAsiaTheme="minorEastAsia" w:cstheme="minorBidi"/>
          <w:b w:val="0"/>
          <w:bCs/>
          <w:noProof/>
          <w:sz w:val="20"/>
          <w:szCs w:val="20"/>
          <w:lang w:val="en-US" w:eastAsia="en-US"/>
        </w:rPr>
      </w:pPr>
      <w:hyperlink w:anchor="_Toc153184515" w:history="1">
        <w:r w:rsidRPr="00131492">
          <w:rPr>
            <w:rStyle w:val="Hyperlink"/>
            <w:b w:val="0"/>
            <w:bCs/>
            <w:noProof/>
            <w:sz w:val="20"/>
            <w:szCs w:val="20"/>
          </w:rPr>
          <w:t>ՎԵՐԼՈՒԾՈՒԹՅՈՒՆՆԵՐ</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_Toc153184515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202</w:t>
        </w:r>
        <w:r w:rsidRPr="00131492">
          <w:rPr>
            <w:b w:val="0"/>
            <w:bCs/>
            <w:noProof/>
            <w:webHidden/>
            <w:sz w:val="20"/>
            <w:szCs w:val="20"/>
          </w:rPr>
          <w:fldChar w:fldCharType="end"/>
        </w:r>
      </w:hyperlink>
    </w:p>
    <w:p w14:paraId="52034972" w14:textId="51255A43" w:rsidR="00131492" w:rsidRPr="00131492" w:rsidRDefault="00131492" w:rsidP="00131492">
      <w:pPr>
        <w:pStyle w:val="TOC1"/>
        <w:rPr>
          <w:rFonts w:eastAsiaTheme="minorEastAsia" w:cstheme="minorBidi"/>
          <w:b w:val="0"/>
          <w:bCs/>
          <w:noProof/>
          <w:sz w:val="20"/>
          <w:szCs w:val="20"/>
          <w:lang w:val="en-US" w:eastAsia="en-US"/>
        </w:rPr>
      </w:pPr>
      <w:hyperlink w:anchor="_Toc153184516" w:history="1">
        <w:r w:rsidRPr="00131492">
          <w:rPr>
            <w:rStyle w:val="Hyperlink"/>
            <w:b w:val="0"/>
            <w:bCs/>
            <w:noProof/>
            <w:sz w:val="20"/>
            <w:szCs w:val="20"/>
          </w:rPr>
          <w:t>1. ՀԱՅԱՍՏԱՆԻ ՀԱՆՐԱՊԵՏՈՒԹՅԱՆ ՊԵՏԱԿԱՆ ՊԱՐՏՔԸ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_Toc153184516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202</w:t>
        </w:r>
        <w:r w:rsidRPr="00131492">
          <w:rPr>
            <w:b w:val="0"/>
            <w:bCs/>
            <w:noProof/>
            <w:webHidden/>
            <w:sz w:val="20"/>
            <w:szCs w:val="20"/>
          </w:rPr>
          <w:fldChar w:fldCharType="end"/>
        </w:r>
      </w:hyperlink>
    </w:p>
    <w:p w14:paraId="632585A2" w14:textId="3D979A1B" w:rsidR="00131492" w:rsidRPr="00131492" w:rsidRDefault="00131492" w:rsidP="00131492">
      <w:pPr>
        <w:pStyle w:val="TOC3"/>
        <w:ind w:left="0"/>
        <w:rPr>
          <w:rFonts w:eastAsiaTheme="minorEastAsia" w:cstheme="minorBidi"/>
          <w:b w:val="0"/>
          <w:bCs/>
          <w:noProof/>
          <w:sz w:val="20"/>
          <w:szCs w:val="20"/>
          <w:lang w:val="en-US" w:eastAsia="en-US"/>
        </w:rPr>
      </w:pPr>
      <w:hyperlink w:anchor="_Toc153184517" w:history="1">
        <w:r w:rsidRPr="00131492">
          <w:rPr>
            <w:rStyle w:val="Hyperlink"/>
            <w:rFonts w:eastAsia="Calibri" w:cs="GHEA Grapalat"/>
            <w:b w:val="0"/>
            <w:bCs/>
            <w:noProof/>
            <w:sz w:val="20"/>
            <w:szCs w:val="20"/>
            <w:lang w:val="hy-AM" w:eastAsia="en-US"/>
          </w:rPr>
          <w:t>ՀԱՅԱՍՏԱՆԻ ՀԱՆՐԱՊԵՏՈՒԹՅԱՆ ԿԱՌԱՎԱՐՈՒԹՅԱՆ ՊԱՐՏՔԸ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_Toc153184517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202</w:t>
        </w:r>
        <w:r w:rsidRPr="00131492">
          <w:rPr>
            <w:b w:val="0"/>
            <w:bCs/>
            <w:noProof/>
            <w:webHidden/>
            <w:sz w:val="20"/>
            <w:szCs w:val="20"/>
          </w:rPr>
          <w:fldChar w:fldCharType="end"/>
        </w:r>
      </w:hyperlink>
    </w:p>
    <w:p w14:paraId="31849548" w14:textId="2D499989" w:rsidR="00131492" w:rsidRPr="00131492" w:rsidRDefault="00131492" w:rsidP="00131492">
      <w:pPr>
        <w:pStyle w:val="TOC1"/>
        <w:rPr>
          <w:rFonts w:eastAsiaTheme="minorEastAsia" w:cstheme="minorBidi"/>
          <w:b w:val="0"/>
          <w:bCs/>
          <w:noProof/>
          <w:sz w:val="20"/>
          <w:szCs w:val="20"/>
          <w:lang w:val="en-US" w:eastAsia="en-US"/>
        </w:rPr>
      </w:pPr>
      <w:hyperlink w:anchor="_Toc153184518" w:history="1">
        <w:r w:rsidRPr="00131492">
          <w:rPr>
            <w:rStyle w:val="Hyperlink"/>
            <w:b w:val="0"/>
            <w:bCs/>
            <w:noProof/>
            <w:sz w:val="20"/>
            <w:szCs w:val="20"/>
          </w:rPr>
          <w:t>2. ՊԵՏԱԿԱՆ ԲՅՈՒՋԵԻ ՎՐԱ ՄԱԿՐՈՏՆՏԵՍԱԿԱՆ ԿԱՆԽԱՏԵՍՎԱԾ ՑՈՒՑԱՆԻՇՆԵՐԻՑ ՇԵՂՄԱՆ ՌԻՍԿԵՐԻ ԱԶԴԵՑՈՒԹՅԱՆ ՔԱՆԱԿԱԿԱՆ ԳՆԱՀԱՏՈՒՄ</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_Toc153184518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212</w:t>
        </w:r>
        <w:r w:rsidRPr="00131492">
          <w:rPr>
            <w:b w:val="0"/>
            <w:bCs/>
            <w:noProof/>
            <w:webHidden/>
            <w:sz w:val="20"/>
            <w:szCs w:val="20"/>
          </w:rPr>
          <w:fldChar w:fldCharType="end"/>
        </w:r>
      </w:hyperlink>
    </w:p>
    <w:p w14:paraId="465FC78B" w14:textId="46D88828" w:rsidR="00131492" w:rsidRPr="00131492" w:rsidRDefault="00131492" w:rsidP="00131492">
      <w:pPr>
        <w:pStyle w:val="TOC1"/>
        <w:rPr>
          <w:rFonts w:eastAsiaTheme="minorEastAsia" w:cstheme="minorBidi"/>
          <w:b w:val="0"/>
          <w:bCs/>
          <w:noProof/>
          <w:sz w:val="20"/>
          <w:szCs w:val="20"/>
          <w:lang w:val="en-US" w:eastAsia="en-US"/>
        </w:rPr>
      </w:pPr>
      <w:hyperlink w:anchor="_Toc153184519" w:history="1">
        <w:r w:rsidRPr="00131492">
          <w:rPr>
            <w:rStyle w:val="Hyperlink"/>
            <w:b w:val="0"/>
            <w:bCs/>
            <w:noProof/>
            <w:sz w:val="20"/>
            <w:szCs w:val="20"/>
          </w:rPr>
          <w:t>3. ԱՅԼ ԿԱՌՈՒՅՑՆԵՐԻ ԿՈՂՄԻՑ ՀՀ ՏՆՏԵՍԱԿԱՆ ԱՃԻ ԿԱՆԽԱՏԵՍՈՒՄՆԵՐԻ ՀԵՏ ՀԱՄԵՄԱՏԱԿԱՆ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_Toc153184519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219</w:t>
        </w:r>
        <w:r w:rsidRPr="00131492">
          <w:rPr>
            <w:b w:val="0"/>
            <w:bCs/>
            <w:noProof/>
            <w:webHidden/>
            <w:sz w:val="20"/>
            <w:szCs w:val="20"/>
          </w:rPr>
          <w:fldChar w:fldCharType="end"/>
        </w:r>
      </w:hyperlink>
    </w:p>
    <w:p w14:paraId="6376F7E9" w14:textId="5883AED0" w:rsidR="00131492" w:rsidRPr="00131492" w:rsidRDefault="00131492" w:rsidP="00131492">
      <w:pPr>
        <w:pStyle w:val="TOC1"/>
        <w:rPr>
          <w:rFonts w:eastAsiaTheme="minorEastAsia" w:cstheme="minorBidi"/>
          <w:b w:val="0"/>
          <w:bCs/>
          <w:noProof/>
          <w:sz w:val="20"/>
          <w:szCs w:val="20"/>
          <w:lang w:val="en-US" w:eastAsia="en-US"/>
        </w:rPr>
      </w:pPr>
      <w:hyperlink w:anchor="_Toc153184520" w:history="1">
        <w:r w:rsidRPr="00131492">
          <w:rPr>
            <w:rStyle w:val="Hyperlink"/>
            <w:b w:val="0"/>
            <w:bCs/>
            <w:noProof/>
            <w:sz w:val="20"/>
            <w:szCs w:val="20"/>
          </w:rPr>
          <w:t>4. ԵՆԹԱԿԱՌՈՒՑՎԱԾՔԱՅԻՆ ԵՎ ԱՅԼ ՈԼՈՐՏՆԵՐՈՒՄ ԳՈՐԾՈՂ ԿԱԶՄԱԿԵՐՊՈՒԹՅՈՒՆՆԵՐԻ ԳՈՐԾՈՒՆԵՈՒԹՅԱՆՆ ԱՌՆՉՎՈՂ ՀԱՐԿԱԲՅՈՒՋԵՏԱՅԻՆ ՌԻՍԿԵՐԻ ԳՆԱՀԱՏԱԿԱՆԸ</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_Toc153184520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220</w:t>
        </w:r>
        <w:r w:rsidRPr="00131492">
          <w:rPr>
            <w:b w:val="0"/>
            <w:bCs/>
            <w:noProof/>
            <w:webHidden/>
            <w:sz w:val="20"/>
            <w:szCs w:val="20"/>
          </w:rPr>
          <w:fldChar w:fldCharType="end"/>
        </w:r>
      </w:hyperlink>
    </w:p>
    <w:p w14:paraId="66118C5F" w14:textId="1FDB0B6D" w:rsidR="00131492" w:rsidRPr="00131492" w:rsidRDefault="00131492" w:rsidP="00131492">
      <w:pPr>
        <w:pStyle w:val="TOC1"/>
        <w:rPr>
          <w:rFonts w:eastAsiaTheme="minorEastAsia" w:cstheme="minorBidi"/>
          <w:b w:val="0"/>
          <w:bCs/>
          <w:noProof/>
          <w:sz w:val="20"/>
          <w:szCs w:val="20"/>
          <w:lang w:val="en-US" w:eastAsia="en-US"/>
        </w:rPr>
      </w:pPr>
      <w:hyperlink w:anchor="_Toc153184521" w:history="1">
        <w:r w:rsidRPr="00131492">
          <w:rPr>
            <w:rStyle w:val="Hyperlink"/>
            <w:b w:val="0"/>
            <w:bCs/>
            <w:noProof/>
            <w:sz w:val="20"/>
            <w:szCs w:val="20"/>
          </w:rPr>
          <w:t>5. 2024 ԹՎԱԿԱՆԻ ՀԱՐԿԱՅԻՆ ԾԱԽՍԵՐԻ ԳՆԱՀԱՏԱԿԱՆԻ ՎԵՐԼՈՒԾՈՒԹՅՈՒՆ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_Toc153184521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244</w:t>
        </w:r>
        <w:r w:rsidRPr="00131492">
          <w:rPr>
            <w:b w:val="0"/>
            <w:bCs/>
            <w:noProof/>
            <w:webHidden/>
            <w:sz w:val="20"/>
            <w:szCs w:val="20"/>
          </w:rPr>
          <w:fldChar w:fldCharType="end"/>
        </w:r>
      </w:hyperlink>
    </w:p>
    <w:p w14:paraId="4A42F379" w14:textId="28EC6B4C" w:rsidR="00131492" w:rsidRPr="00131492" w:rsidRDefault="00131492" w:rsidP="00131492">
      <w:pPr>
        <w:pStyle w:val="TOC1"/>
        <w:rPr>
          <w:rFonts w:eastAsiaTheme="minorEastAsia" w:cstheme="minorBidi"/>
          <w:b w:val="0"/>
          <w:bCs/>
          <w:noProof/>
          <w:sz w:val="20"/>
          <w:szCs w:val="20"/>
          <w:lang w:val="en-US" w:eastAsia="en-US"/>
        </w:rPr>
      </w:pPr>
      <w:hyperlink w:anchor="_Toc153184522" w:history="1">
        <w:r w:rsidRPr="00131492">
          <w:rPr>
            <w:rStyle w:val="Hyperlink"/>
            <w:b w:val="0"/>
            <w:bCs/>
            <w:noProof/>
            <w:sz w:val="20"/>
            <w:szCs w:val="20"/>
          </w:rPr>
          <w:t>Մեթոդաբանություն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_Toc153184522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254</w:t>
        </w:r>
        <w:r w:rsidRPr="00131492">
          <w:rPr>
            <w:b w:val="0"/>
            <w:bCs/>
            <w:noProof/>
            <w:webHidden/>
            <w:sz w:val="20"/>
            <w:szCs w:val="20"/>
          </w:rPr>
          <w:fldChar w:fldCharType="end"/>
        </w:r>
      </w:hyperlink>
    </w:p>
    <w:p w14:paraId="0583566E" w14:textId="6489F637" w:rsidR="00131492" w:rsidRDefault="00131492" w:rsidP="00131492">
      <w:pPr>
        <w:pStyle w:val="TOC1"/>
        <w:rPr>
          <w:rFonts w:asciiTheme="minorHAnsi" w:eastAsiaTheme="minorEastAsia" w:hAnsiTheme="minorHAnsi" w:cstheme="minorBidi"/>
          <w:b w:val="0"/>
          <w:noProof/>
          <w:szCs w:val="22"/>
          <w:lang w:val="en-US" w:eastAsia="en-US"/>
        </w:rPr>
      </w:pPr>
      <w:hyperlink w:anchor="_Toc153184523" w:history="1">
        <w:r w:rsidRPr="00131492">
          <w:rPr>
            <w:rStyle w:val="Hyperlink"/>
            <w:b w:val="0"/>
            <w:bCs/>
            <w:noProof/>
            <w:sz w:val="20"/>
            <w:szCs w:val="20"/>
          </w:rPr>
          <w:t>202</w:t>
        </w:r>
        <w:r w:rsidRPr="00131492">
          <w:rPr>
            <w:rStyle w:val="Hyperlink"/>
            <w:b w:val="0"/>
            <w:bCs/>
            <w:noProof/>
            <w:sz w:val="20"/>
            <w:szCs w:val="20"/>
            <w:lang w:val="en-US"/>
          </w:rPr>
          <w:t>4</w:t>
        </w:r>
        <w:r w:rsidRPr="00131492">
          <w:rPr>
            <w:rStyle w:val="Hyperlink"/>
            <w:b w:val="0"/>
            <w:bCs/>
            <w:noProof/>
            <w:sz w:val="20"/>
            <w:szCs w:val="20"/>
          </w:rPr>
          <w:t xml:space="preserve"> թվականի հարկային ծախսերի գնահատման</w:t>
        </w:r>
        <w:r w:rsidRPr="00131492">
          <w:rPr>
            <w:b w:val="0"/>
            <w:bCs/>
            <w:noProof/>
            <w:webHidden/>
            <w:sz w:val="20"/>
            <w:szCs w:val="20"/>
          </w:rPr>
          <w:tab/>
        </w:r>
        <w:r w:rsidRPr="00131492">
          <w:rPr>
            <w:b w:val="0"/>
            <w:bCs/>
            <w:noProof/>
            <w:webHidden/>
            <w:sz w:val="20"/>
            <w:szCs w:val="20"/>
          </w:rPr>
          <w:fldChar w:fldCharType="begin"/>
        </w:r>
        <w:r w:rsidRPr="00131492">
          <w:rPr>
            <w:b w:val="0"/>
            <w:bCs/>
            <w:noProof/>
            <w:webHidden/>
            <w:sz w:val="20"/>
            <w:szCs w:val="20"/>
          </w:rPr>
          <w:instrText xml:space="preserve"> PAGEREF _Toc153184523 \h </w:instrText>
        </w:r>
        <w:r w:rsidRPr="00131492">
          <w:rPr>
            <w:b w:val="0"/>
            <w:bCs/>
            <w:noProof/>
            <w:webHidden/>
            <w:sz w:val="20"/>
            <w:szCs w:val="20"/>
          </w:rPr>
        </w:r>
        <w:r w:rsidRPr="00131492">
          <w:rPr>
            <w:b w:val="0"/>
            <w:bCs/>
            <w:noProof/>
            <w:webHidden/>
            <w:sz w:val="20"/>
            <w:szCs w:val="20"/>
          </w:rPr>
          <w:fldChar w:fldCharType="separate"/>
        </w:r>
        <w:r w:rsidRPr="00131492">
          <w:rPr>
            <w:b w:val="0"/>
            <w:bCs/>
            <w:noProof/>
            <w:webHidden/>
            <w:sz w:val="20"/>
            <w:szCs w:val="20"/>
          </w:rPr>
          <w:t>254</w:t>
        </w:r>
        <w:r w:rsidRPr="00131492">
          <w:rPr>
            <w:b w:val="0"/>
            <w:bCs/>
            <w:noProof/>
            <w:webHidden/>
            <w:sz w:val="20"/>
            <w:szCs w:val="20"/>
          </w:rPr>
          <w:fldChar w:fldCharType="end"/>
        </w:r>
      </w:hyperlink>
    </w:p>
    <w:p w14:paraId="5839994F" w14:textId="1A977BE7" w:rsidR="00481590" w:rsidRPr="00C0193D" w:rsidRDefault="003C3925" w:rsidP="00AB7D47">
      <w:pPr>
        <w:pStyle w:val="TOC1"/>
        <w:spacing w:before="0" w:after="0"/>
        <w:rPr>
          <w:rFonts w:eastAsiaTheme="majorEastAsia" w:cstheme="majorBidi"/>
          <w:bCs/>
          <w:color w:val="1F497D" w:themeColor="text2"/>
          <w:sz w:val="24"/>
          <w:szCs w:val="28"/>
          <w:lang w:val="hy-AM" w:eastAsia="en-US"/>
        </w:rPr>
      </w:pPr>
      <w:r w:rsidRPr="00FE1677">
        <w:rPr>
          <w:rFonts w:cs="Sylfaen"/>
          <w:b w:val="0"/>
          <w:sz w:val="20"/>
          <w:szCs w:val="20"/>
        </w:rPr>
        <w:lastRenderedPageBreak/>
        <w:fldChar w:fldCharType="end"/>
      </w:r>
      <w:r w:rsidR="001B485B" w:rsidRPr="00B16CAB">
        <w:rPr>
          <w:rFonts w:eastAsiaTheme="minorEastAsia" w:cstheme="minorBidi"/>
          <w:b w:val="0"/>
          <w:noProof/>
          <w:sz w:val="20"/>
          <w:szCs w:val="20"/>
          <w:lang w:val="en-US" w:eastAsia="en-US"/>
        </w:rPr>
        <w:t xml:space="preserve"> </w:t>
      </w:r>
      <w:bookmarkStart w:id="0" w:name="_Toc69119177"/>
      <w:r w:rsidR="006C033B" w:rsidRPr="00C0193D">
        <w:rPr>
          <w:rFonts w:eastAsiaTheme="majorEastAsia" w:cstheme="majorBidi"/>
          <w:bCs/>
          <w:color w:val="1F497D" w:themeColor="text2"/>
          <w:sz w:val="24"/>
          <w:szCs w:val="28"/>
          <w:lang w:val="hy-AM" w:eastAsia="en-US"/>
        </w:rPr>
        <w:t>ՕԳՏԱԳՈՐԾՎԱԾ ՀԱՊԱՎՈՒՄՆԵՐԻ ՑԱՆԿ</w:t>
      </w:r>
      <w:bookmarkEnd w:id="0"/>
    </w:p>
    <w:p w14:paraId="34BB5EA4" w14:textId="77777777" w:rsidR="00481590" w:rsidRPr="007955BB" w:rsidRDefault="00481590" w:rsidP="007730AA">
      <w:pPr>
        <w:spacing w:before="0"/>
        <w:jc w:val="center"/>
        <w:rPr>
          <w:sz w:val="32"/>
          <w:szCs w:val="32"/>
          <w:lang w:val="hy-AM"/>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4"/>
        <w:gridCol w:w="7408"/>
      </w:tblGrid>
      <w:tr w:rsidR="00481590" w:rsidRPr="00521D5B" w14:paraId="45C45B39" w14:textId="77777777" w:rsidTr="00274986">
        <w:tc>
          <w:tcPr>
            <w:tcW w:w="1795" w:type="dxa"/>
          </w:tcPr>
          <w:p w14:paraId="132A857C" w14:textId="77777777" w:rsidR="00481590" w:rsidRPr="00521D5B" w:rsidRDefault="00481590" w:rsidP="001E7F98">
            <w:pPr>
              <w:spacing w:before="0" w:line="276" w:lineRule="auto"/>
              <w:rPr>
                <w:szCs w:val="22"/>
                <w:lang w:val="hy-AM"/>
              </w:rPr>
            </w:pPr>
            <w:r w:rsidRPr="00521D5B">
              <w:rPr>
                <w:rFonts w:cs="GHEAGrapalat-Bold"/>
                <w:b w:val="0"/>
                <w:bCs/>
                <w:szCs w:val="22"/>
                <w:lang w:val="hy-AM"/>
              </w:rPr>
              <w:t>ԱԱՀ</w:t>
            </w:r>
            <w:r w:rsidRPr="00521D5B">
              <w:rPr>
                <w:rFonts w:cs="GHEAGrapalat-Bold"/>
                <w:b w:val="0"/>
                <w:bCs/>
                <w:szCs w:val="22"/>
                <w:lang w:val="hy-AM"/>
              </w:rPr>
              <w:tab/>
            </w:r>
            <w:r w:rsidRPr="00521D5B">
              <w:rPr>
                <w:rFonts w:cs="GHEAGrapalat-Bold"/>
                <w:b w:val="0"/>
                <w:bCs/>
                <w:szCs w:val="22"/>
                <w:lang w:val="hy-AM"/>
              </w:rPr>
              <w:tab/>
            </w:r>
            <w:r w:rsidRPr="00521D5B">
              <w:rPr>
                <w:rFonts w:cs="GHEAGrapalat-Bold"/>
                <w:b w:val="0"/>
                <w:bCs/>
                <w:szCs w:val="22"/>
                <w:lang w:val="hy-AM"/>
              </w:rPr>
              <w:tab/>
              <w:t xml:space="preserve"> </w:t>
            </w:r>
            <w:r w:rsidRPr="00521D5B">
              <w:rPr>
                <w:rFonts w:cs="GHEAGrapalat-Bold"/>
                <w:b w:val="0"/>
                <w:bCs/>
                <w:szCs w:val="22"/>
                <w:lang w:val="hy-AM"/>
              </w:rPr>
              <w:tab/>
            </w:r>
            <w:r w:rsidRPr="00521D5B">
              <w:rPr>
                <w:rFonts w:cs="GHEAGrapalat-Bold"/>
                <w:b w:val="0"/>
                <w:bCs/>
                <w:szCs w:val="22"/>
                <w:lang w:val="hy-AM"/>
              </w:rPr>
              <w:tab/>
            </w:r>
          </w:p>
        </w:tc>
        <w:tc>
          <w:tcPr>
            <w:tcW w:w="7951" w:type="dxa"/>
          </w:tcPr>
          <w:p w14:paraId="614F9999" w14:textId="77777777" w:rsidR="00481590" w:rsidRPr="00521D5B" w:rsidRDefault="00A94018"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ԱԱՀ</w:t>
            </w:r>
            <w:r w:rsidR="00481590" w:rsidRPr="00521D5B">
              <w:rPr>
                <w:rFonts w:cs="GHEAGrapalat-Bold"/>
                <w:b w:val="0"/>
                <w:bCs/>
                <w:szCs w:val="22"/>
                <w:lang w:val="hy-AM"/>
              </w:rPr>
              <w:t xml:space="preserve"> </w:t>
            </w:r>
          </w:p>
        </w:tc>
      </w:tr>
      <w:tr w:rsidR="00481590" w:rsidRPr="00521D5B" w14:paraId="23766678" w14:textId="77777777" w:rsidTr="00274986">
        <w:tc>
          <w:tcPr>
            <w:tcW w:w="1795" w:type="dxa"/>
          </w:tcPr>
          <w:p w14:paraId="18EC6EFA" w14:textId="77777777" w:rsidR="00481590" w:rsidRPr="00521D5B" w:rsidRDefault="00481590" w:rsidP="001E7F98">
            <w:pPr>
              <w:spacing w:before="0" w:line="276" w:lineRule="auto"/>
              <w:rPr>
                <w:szCs w:val="22"/>
                <w:lang w:val="hy-AM"/>
              </w:rPr>
            </w:pPr>
            <w:r w:rsidRPr="00521D5B">
              <w:rPr>
                <w:rFonts w:cs="GHEAGrapalat-Bold"/>
                <w:b w:val="0"/>
                <w:bCs/>
                <w:szCs w:val="22"/>
                <w:lang w:val="hy-AM"/>
              </w:rPr>
              <w:t>ԱԶԲ</w:t>
            </w:r>
            <w:r w:rsidRPr="00521D5B">
              <w:rPr>
                <w:rFonts w:cs="GHEAGrapalat-Bold"/>
                <w:b w:val="0"/>
                <w:bCs/>
                <w:szCs w:val="22"/>
                <w:lang w:val="hy-AM"/>
              </w:rPr>
              <w:tab/>
            </w:r>
            <w:r w:rsidRPr="00521D5B">
              <w:rPr>
                <w:rFonts w:cs="GHEAGrapalat-Bold"/>
                <w:b w:val="0"/>
                <w:bCs/>
                <w:szCs w:val="22"/>
                <w:lang w:val="hy-AM"/>
              </w:rPr>
              <w:tab/>
            </w:r>
          </w:p>
        </w:tc>
        <w:tc>
          <w:tcPr>
            <w:tcW w:w="7951" w:type="dxa"/>
          </w:tcPr>
          <w:p w14:paraId="416A3B6C" w14:textId="77777777" w:rsidR="00481590" w:rsidRPr="00521D5B" w:rsidRDefault="00481590"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Ասիական զարգացման բանկ</w:t>
            </w:r>
          </w:p>
        </w:tc>
      </w:tr>
      <w:tr w:rsidR="00C77D1B" w:rsidRPr="00521D5B" w14:paraId="69E7CC52" w14:textId="77777777" w:rsidTr="00274986">
        <w:tc>
          <w:tcPr>
            <w:tcW w:w="1795" w:type="dxa"/>
          </w:tcPr>
          <w:p w14:paraId="1045C0F8" w14:textId="77777777" w:rsidR="00C77D1B" w:rsidRPr="00521D5B" w:rsidRDefault="00C77D1B" w:rsidP="001E7F98">
            <w:pPr>
              <w:spacing w:before="0" w:line="276" w:lineRule="auto"/>
              <w:rPr>
                <w:rFonts w:cs="GHEAGrapalat-Bold"/>
                <w:b w:val="0"/>
                <w:bCs/>
                <w:szCs w:val="22"/>
                <w:lang w:val="en-US"/>
              </w:rPr>
            </w:pPr>
            <w:r w:rsidRPr="00521D5B">
              <w:rPr>
                <w:rFonts w:cs="GHEAGrapalat-Bold"/>
                <w:b w:val="0"/>
                <w:bCs/>
                <w:szCs w:val="22"/>
                <w:lang w:val="en-US"/>
              </w:rPr>
              <w:t>ԱԷԿ</w:t>
            </w:r>
          </w:p>
        </w:tc>
        <w:tc>
          <w:tcPr>
            <w:tcW w:w="7951" w:type="dxa"/>
          </w:tcPr>
          <w:p w14:paraId="5F08A67C" w14:textId="77777777" w:rsidR="00C77D1B" w:rsidRPr="00521D5B" w:rsidRDefault="00C77D1B" w:rsidP="001E7F98">
            <w:pPr>
              <w:autoSpaceDE w:val="0"/>
              <w:autoSpaceDN w:val="0"/>
              <w:adjustRightInd w:val="0"/>
              <w:spacing w:line="276" w:lineRule="auto"/>
              <w:jc w:val="left"/>
              <w:rPr>
                <w:rFonts w:cs="GHEAGrapalat-Bold"/>
                <w:b w:val="0"/>
                <w:bCs/>
                <w:szCs w:val="22"/>
                <w:lang w:val="en-US"/>
              </w:rPr>
            </w:pPr>
            <w:r w:rsidRPr="00521D5B">
              <w:rPr>
                <w:rFonts w:cs="GHEAGrapalat-Bold"/>
                <w:b w:val="0"/>
                <w:bCs/>
                <w:szCs w:val="22"/>
                <w:lang w:val="en-US"/>
              </w:rPr>
              <w:t>Ատոմային էլեկտրակայան</w:t>
            </w:r>
          </w:p>
        </w:tc>
      </w:tr>
      <w:tr w:rsidR="00481590" w:rsidRPr="00521D5B" w14:paraId="6DC6CDE0" w14:textId="77777777" w:rsidTr="00274986">
        <w:tc>
          <w:tcPr>
            <w:tcW w:w="1795" w:type="dxa"/>
          </w:tcPr>
          <w:p w14:paraId="7C96477E" w14:textId="77777777" w:rsidR="00481590" w:rsidRPr="00521D5B" w:rsidRDefault="00481590" w:rsidP="001E7F98">
            <w:pPr>
              <w:spacing w:before="0" w:line="276" w:lineRule="auto"/>
              <w:rPr>
                <w:szCs w:val="22"/>
                <w:lang w:val="hy-AM"/>
              </w:rPr>
            </w:pPr>
            <w:r w:rsidRPr="00521D5B">
              <w:rPr>
                <w:rFonts w:cs="GHEAGrapalat-Bold"/>
                <w:b w:val="0"/>
                <w:bCs/>
                <w:szCs w:val="22"/>
                <w:lang w:val="hy-AM"/>
              </w:rPr>
              <w:t>ԱՄՆ</w:t>
            </w:r>
            <w:r w:rsidRPr="00521D5B">
              <w:rPr>
                <w:rFonts w:cs="GHEAGrapalat-Bold"/>
                <w:b w:val="0"/>
                <w:bCs/>
                <w:szCs w:val="22"/>
                <w:lang w:val="hy-AM"/>
              </w:rPr>
              <w:tab/>
            </w:r>
            <w:r w:rsidRPr="00521D5B">
              <w:rPr>
                <w:rFonts w:cs="GHEAGrapalat-Bold"/>
                <w:b w:val="0"/>
                <w:bCs/>
                <w:szCs w:val="22"/>
                <w:lang w:val="hy-AM"/>
              </w:rPr>
              <w:tab/>
            </w:r>
          </w:p>
        </w:tc>
        <w:tc>
          <w:tcPr>
            <w:tcW w:w="7951" w:type="dxa"/>
          </w:tcPr>
          <w:p w14:paraId="2C41A795" w14:textId="77777777" w:rsidR="00481590" w:rsidRPr="00521D5B" w:rsidRDefault="00481590"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Ամերիկայի միացյալ նահանգներ</w:t>
            </w:r>
          </w:p>
        </w:tc>
      </w:tr>
      <w:tr w:rsidR="00481590" w:rsidRPr="00521D5B" w14:paraId="60E09A40" w14:textId="77777777" w:rsidTr="00274986">
        <w:tc>
          <w:tcPr>
            <w:tcW w:w="1795" w:type="dxa"/>
          </w:tcPr>
          <w:p w14:paraId="7ED506E7" w14:textId="77777777" w:rsidR="00481590" w:rsidRPr="00521D5B" w:rsidRDefault="00481590" w:rsidP="00C77D1B">
            <w:pPr>
              <w:spacing w:before="0" w:line="276" w:lineRule="auto"/>
              <w:rPr>
                <w:szCs w:val="22"/>
                <w:lang w:val="hy-AM"/>
              </w:rPr>
            </w:pPr>
            <w:r w:rsidRPr="00521D5B">
              <w:rPr>
                <w:rFonts w:cs="GHEAGrapalat-Bold"/>
                <w:b w:val="0"/>
                <w:bCs/>
                <w:szCs w:val="22"/>
                <w:lang w:val="hy-AM"/>
              </w:rPr>
              <w:t>ՄԶԳ</w:t>
            </w:r>
            <w:r w:rsidRPr="00521D5B">
              <w:rPr>
                <w:rFonts w:cs="GHEAGrapalat-Bold"/>
                <w:b w:val="0"/>
                <w:bCs/>
                <w:szCs w:val="22"/>
                <w:lang w:val="hy-AM"/>
              </w:rPr>
              <w:tab/>
              <w:t xml:space="preserve"> </w:t>
            </w:r>
          </w:p>
        </w:tc>
        <w:tc>
          <w:tcPr>
            <w:tcW w:w="7951" w:type="dxa"/>
          </w:tcPr>
          <w:p w14:paraId="4D76C7EC" w14:textId="77777777" w:rsidR="00481590" w:rsidRPr="00521D5B" w:rsidRDefault="00481590"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Միջազգային զարգացման գործակալություն</w:t>
            </w:r>
          </w:p>
        </w:tc>
      </w:tr>
      <w:tr w:rsidR="00481590" w:rsidRPr="00521D5B" w14:paraId="35EEA08C" w14:textId="77777777" w:rsidTr="00274986">
        <w:tc>
          <w:tcPr>
            <w:tcW w:w="1795" w:type="dxa"/>
          </w:tcPr>
          <w:p w14:paraId="238A6A36" w14:textId="77777777" w:rsidR="00481590" w:rsidRPr="00521D5B" w:rsidRDefault="00481590" w:rsidP="001E7F98">
            <w:pPr>
              <w:spacing w:before="0" w:line="276" w:lineRule="auto"/>
              <w:rPr>
                <w:szCs w:val="22"/>
                <w:lang w:val="hy-AM"/>
              </w:rPr>
            </w:pPr>
            <w:r w:rsidRPr="00521D5B">
              <w:rPr>
                <w:rFonts w:cs="GHEAGrapalat-Bold"/>
                <w:b w:val="0"/>
                <w:bCs/>
                <w:szCs w:val="22"/>
                <w:lang w:val="hy-AM"/>
              </w:rPr>
              <w:t>ԱՄՀ</w:t>
            </w:r>
            <w:r w:rsidRPr="00521D5B">
              <w:rPr>
                <w:rFonts w:cs="GHEAGrapalat-Bold"/>
                <w:b w:val="0"/>
                <w:bCs/>
                <w:szCs w:val="22"/>
                <w:lang w:val="hy-AM"/>
              </w:rPr>
              <w:tab/>
            </w:r>
            <w:r w:rsidRPr="00521D5B">
              <w:rPr>
                <w:rFonts w:cs="GHEAGrapalat-Bold"/>
                <w:b w:val="0"/>
                <w:bCs/>
                <w:szCs w:val="22"/>
                <w:lang w:val="hy-AM"/>
              </w:rPr>
              <w:tab/>
            </w:r>
          </w:p>
        </w:tc>
        <w:tc>
          <w:tcPr>
            <w:tcW w:w="7951" w:type="dxa"/>
          </w:tcPr>
          <w:p w14:paraId="10194EBF" w14:textId="77777777" w:rsidR="00481590" w:rsidRPr="00521D5B" w:rsidRDefault="001F022E"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Ար</w:t>
            </w:r>
            <w:r w:rsidR="00481590" w:rsidRPr="00521D5B">
              <w:rPr>
                <w:rFonts w:cs="GHEAGrapalat-Bold"/>
                <w:b w:val="0"/>
                <w:bCs/>
                <w:szCs w:val="22"/>
                <w:lang w:val="hy-AM"/>
              </w:rPr>
              <w:t>ժույթի միջազգային հիմնադրամ</w:t>
            </w:r>
          </w:p>
        </w:tc>
      </w:tr>
      <w:tr w:rsidR="00C77D1B" w:rsidRPr="00521D5B" w14:paraId="73D36968" w14:textId="77777777" w:rsidTr="00274986">
        <w:tc>
          <w:tcPr>
            <w:tcW w:w="1795" w:type="dxa"/>
          </w:tcPr>
          <w:p w14:paraId="1E91E651" w14:textId="77777777" w:rsidR="00C77D1B" w:rsidRPr="00521D5B" w:rsidRDefault="00C77D1B" w:rsidP="001E7F98">
            <w:pPr>
              <w:spacing w:before="0" w:line="276" w:lineRule="auto"/>
              <w:rPr>
                <w:rFonts w:cs="GHEAGrapalat-Bold"/>
                <w:b w:val="0"/>
                <w:bCs/>
                <w:szCs w:val="22"/>
                <w:lang w:val="en-US"/>
              </w:rPr>
            </w:pPr>
            <w:r w:rsidRPr="00521D5B">
              <w:rPr>
                <w:rFonts w:cs="GHEAGrapalat-Bold"/>
                <w:b w:val="0"/>
                <w:bCs/>
                <w:szCs w:val="22"/>
                <w:lang w:val="en-US"/>
              </w:rPr>
              <w:t>ԱՊՀ</w:t>
            </w:r>
          </w:p>
        </w:tc>
        <w:tc>
          <w:tcPr>
            <w:tcW w:w="7951" w:type="dxa"/>
          </w:tcPr>
          <w:p w14:paraId="5E3D6187" w14:textId="77777777" w:rsidR="00C77D1B" w:rsidRPr="00521D5B" w:rsidRDefault="00C77D1B" w:rsidP="001E7F98">
            <w:pPr>
              <w:autoSpaceDE w:val="0"/>
              <w:autoSpaceDN w:val="0"/>
              <w:adjustRightInd w:val="0"/>
              <w:spacing w:line="276" w:lineRule="auto"/>
              <w:jc w:val="left"/>
              <w:rPr>
                <w:rFonts w:cs="GHEAGrapalat-Bold"/>
                <w:b w:val="0"/>
                <w:bCs/>
                <w:szCs w:val="22"/>
                <w:lang w:val="en-US"/>
              </w:rPr>
            </w:pPr>
            <w:r w:rsidRPr="00521D5B">
              <w:rPr>
                <w:rFonts w:cs="GHEAGrapalat-Bold"/>
                <w:b w:val="0"/>
                <w:bCs/>
                <w:szCs w:val="22"/>
                <w:lang w:val="hy-AM"/>
              </w:rPr>
              <w:t>Անկախ պետությունների համագործակցություն</w:t>
            </w:r>
          </w:p>
        </w:tc>
      </w:tr>
      <w:tr w:rsidR="00481590" w:rsidRPr="00521D5B" w14:paraId="5226C4AF" w14:textId="77777777" w:rsidTr="00274986">
        <w:tc>
          <w:tcPr>
            <w:tcW w:w="1795" w:type="dxa"/>
          </w:tcPr>
          <w:p w14:paraId="107FB42B" w14:textId="77777777" w:rsidR="00481590" w:rsidRPr="00521D5B" w:rsidRDefault="00481590" w:rsidP="001E7F98">
            <w:pPr>
              <w:spacing w:before="0" w:line="276" w:lineRule="auto"/>
              <w:rPr>
                <w:szCs w:val="22"/>
                <w:lang w:val="hy-AM"/>
              </w:rPr>
            </w:pPr>
            <w:r w:rsidRPr="00521D5B">
              <w:rPr>
                <w:rFonts w:cs="GHEAGrapalat-Bold"/>
                <w:b w:val="0"/>
                <w:bCs/>
                <w:szCs w:val="22"/>
                <w:lang w:val="hy-AM"/>
              </w:rPr>
              <w:t xml:space="preserve">ԲՈՒՀ </w:t>
            </w:r>
            <w:r w:rsidRPr="00521D5B">
              <w:rPr>
                <w:rFonts w:cs="GHEAGrapalat-Bold"/>
                <w:b w:val="0"/>
                <w:bCs/>
                <w:szCs w:val="22"/>
                <w:lang w:val="hy-AM"/>
              </w:rPr>
              <w:tab/>
            </w:r>
            <w:r w:rsidRPr="00521D5B">
              <w:rPr>
                <w:rFonts w:cs="GHEAGrapalat-Bold"/>
                <w:b w:val="0"/>
                <w:bCs/>
                <w:szCs w:val="22"/>
                <w:lang w:val="hy-AM"/>
              </w:rPr>
              <w:tab/>
            </w:r>
          </w:p>
        </w:tc>
        <w:tc>
          <w:tcPr>
            <w:tcW w:w="7951" w:type="dxa"/>
          </w:tcPr>
          <w:p w14:paraId="0E2F92FE" w14:textId="77777777" w:rsidR="00481590" w:rsidRPr="00521D5B" w:rsidRDefault="00481590"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Բարձրագույն ուսումնական հաստատություն</w:t>
            </w:r>
          </w:p>
        </w:tc>
      </w:tr>
      <w:tr w:rsidR="00481590" w:rsidRPr="00521D5B" w14:paraId="47DB57D1" w14:textId="77777777" w:rsidTr="00274986">
        <w:tc>
          <w:tcPr>
            <w:tcW w:w="1795" w:type="dxa"/>
          </w:tcPr>
          <w:p w14:paraId="34544012" w14:textId="77777777" w:rsidR="00481590" w:rsidRPr="00521D5B" w:rsidRDefault="00481590" w:rsidP="001E7F98">
            <w:pPr>
              <w:spacing w:before="0" w:line="276" w:lineRule="auto"/>
              <w:rPr>
                <w:szCs w:val="22"/>
                <w:lang w:val="hy-AM"/>
              </w:rPr>
            </w:pPr>
            <w:r w:rsidRPr="00521D5B">
              <w:rPr>
                <w:rFonts w:cs="GHEAGrapalat-Bold"/>
                <w:b w:val="0"/>
                <w:bCs/>
                <w:szCs w:val="22"/>
                <w:lang w:val="hy-AM"/>
              </w:rPr>
              <w:t>ԳԱԱ</w:t>
            </w:r>
          </w:p>
        </w:tc>
        <w:tc>
          <w:tcPr>
            <w:tcW w:w="7951" w:type="dxa"/>
          </w:tcPr>
          <w:p w14:paraId="1F2ACBDB" w14:textId="77777777" w:rsidR="00481590" w:rsidRPr="00521D5B" w:rsidRDefault="00274986"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en-US"/>
              </w:rPr>
              <w:t>ՀՀ</w:t>
            </w:r>
            <w:r w:rsidR="00481590" w:rsidRPr="00521D5B">
              <w:rPr>
                <w:rFonts w:cs="GHEAGrapalat-Bold"/>
                <w:b w:val="0"/>
                <w:bCs/>
                <w:szCs w:val="22"/>
                <w:lang w:val="hy-AM"/>
              </w:rPr>
              <w:tab/>
            </w:r>
            <w:r w:rsidR="00481590" w:rsidRPr="00521D5B">
              <w:rPr>
                <w:rFonts w:cs="GHEAGrapalat-Bold"/>
                <w:b w:val="0"/>
                <w:bCs/>
                <w:szCs w:val="22"/>
                <w:lang w:val="hy-AM"/>
              </w:rPr>
              <w:tab/>
              <w:t xml:space="preserve"> Գիտությունների ազգային ակադեմիա</w:t>
            </w:r>
          </w:p>
        </w:tc>
      </w:tr>
      <w:tr w:rsidR="00481590" w:rsidRPr="00933CA4" w14:paraId="70BA4D4E" w14:textId="77777777" w:rsidTr="00274986">
        <w:tc>
          <w:tcPr>
            <w:tcW w:w="1795" w:type="dxa"/>
          </w:tcPr>
          <w:p w14:paraId="44C4BCCD" w14:textId="77777777" w:rsidR="00481590" w:rsidRPr="00521D5B" w:rsidRDefault="00481590" w:rsidP="001E7F98">
            <w:pPr>
              <w:spacing w:before="0" w:line="276" w:lineRule="auto"/>
              <w:rPr>
                <w:szCs w:val="22"/>
                <w:lang w:val="hy-AM"/>
              </w:rPr>
            </w:pPr>
            <w:r w:rsidRPr="00521D5B">
              <w:rPr>
                <w:rFonts w:cs="GHEAGrapalat-Bold"/>
                <w:b w:val="0"/>
                <w:bCs/>
                <w:szCs w:val="22"/>
                <w:lang w:val="hy-AM"/>
              </w:rPr>
              <w:t>ԵԱՀԿ</w:t>
            </w:r>
            <w:r w:rsidRPr="00521D5B">
              <w:rPr>
                <w:rFonts w:cs="GHEAGrapalat-Bold"/>
                <w:b w:val="0"/>
                <w:bCs/>
                <w:szCs w:val="22"/>
                <w:lang w:val="hy-AM"/>
              </w:rPr>
              <w:tab/>
            </w:r>
            <w:r w:rsidRPr="00521D5B">
              <w:rPr>
                <w:rFonts w:cs="GHEAGrapalat-Bold"/>
                <w:b w:val="0"/>
                <w:bCs/>
                <w:szCs w:val="22"/>
                <w:lang w:val="hy-AM"/>
              </w:rPr>
              <w:tab/>
            </w:r>
          </w:p>
        </w:tc>
        <w:tc>
          <w:tcPr>
            <w:tcW w:w="7951" w:type="dxa"/>
          </w:tcPr>
          <w:p w14:paraId="4A8BD013" w14:textId="77777777" w:rsidR="00481590" w:rsidRPr="00521D5B" w:rsidRDefault="00481590"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Եվրոպայում Անվտանգության և Համագործակցության Կազմակերպություն</w:t>
            </w:r>
          </w:p>
        </w:tc>
      </w:tr>
      <w:tr w:rsidR="00481590" w:rsidRPr="00521D5B" w14:paraId="499A05C6" w14:textId="77777777" w:rsidTr="00274986">
        <w:tc>
          <w:tcPr>
            <w:tcW w:w="1795" w:type="dxa"/>
          </w:tcPr>
          <w:p w14:paraId="36349276" w14:textId="77777777" w:rsidR="00481590" w:rsidRPr="00521D5B" w:rsidRDefault="00481590" w:rsidP="001E7F98">
            <w:pPr>
              <w:spacing w:before="0" w:line="276" w:lineRule="auto"/>
              <w:rPr>
                <w:szCs w:val="22"/>
                <w:lang w:val="hy-AM"/>
              </w:rPr>
            </w:pPr>
            <w:r w:rsidRPr="00521D5B">
              <w:rPr>
                <w:rFonts w:cs="GHEAGrapalat-Bold"/>
                <w:b w:val="0"/>
                <w:bCs/>
                <w:szCs w:val="22"/>
                <w:lang w:val="hy-AM"/>
              </w:rPr>
              <w:t>Ե</w:t>
            </w:r>
            <w:r w:rsidR="00285180" w:rsidRPr="00521D5B">
              <w:rPr>
                <w:rFonts w:cs="GHEAGrapalat-Bold"/>
                <w:b w:val="0"/>
                <w:bCs/>
                <w:szCs w:val="22"/>
              </w:rPr>
              <w:t>ԱՏ</w:t>
            </w:r>
            <w:r w:rsidRPr="00521D5B">
              <w:rPr>
                <w:rFonts w:cs="GHEAGrapalat-Bold"/>
                <w:b w:val="0"/>
                <w:bCs/>
                <w:szCs w:val="22"/>
                <w:lang w:val="hy-AM"/>
              </w:rPr>
              <w:t xml:space="preserve">Մ </w:t>
            </w:r>
            <w:r w:rsidRPr="00521D5B">
              <w:rPr>
                <w:rFonts w:cs="GHEAGrapalat-Bold"/>
                <w:b w:val="0"/>
                <w:bCs/>
                <w:szCs w:val="22"/>
                <w:lang w:val="hy-AM"/>
              </w:rPr>
              <w:tab/>
            </w:r>
            <w:r w:rsidRPr="00521D5B">
              <w:rPr>
                <w:rFonts w:cs="GHEAGrapalat-Bold"/>
                <w:b w:val="0"/>
                <w:bCs/>
                <w:szCs w:val="22"/>
                <w:lang w:val="hy-AM"/>
              </w:rPr>
              <w:tab/>
            </w:r>
          </w:p>
        </w:tc>
        <w:tc>
          <w:tcPr>
            <w:tcW w:w="7951" w:type="dxa"/>
          </w:tcPr>
          <w:p w14:paraId="19E38CB7" w14:textId="77777777" w:rsidR="00481590" w:rsidRPr="00521D5B" w:rsidRDefault="00285180" w:rsidP="001E7F98">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Եվրասիական տնտեսական միություն</w:t>
            </w:r>
          </w:p>
        </w:tc>
      </w:tr>
      <w:tr w:rsidR="00285180" w:rsidRPr="00521D5B" w14:paraId="6A0299F2" w14:textId="77777777" w:rsidTr="00274986">
        <w:tc>
          <w:tcPr>
            <w:tcW w:w="1795" w:type="dxa"/>
          </w:tcPr>
          <w:p w14:paraId="34DC46BC" w14:textId="77777777" w:rsidR="00285180" w:rsidRPr="00521D5B" w:rsidRDefault="00285180" w:rsidP="00285180">
            <w:pPr>
              <w:spacing w:before="0" w:line="276" w:lineRule="auto"/>
              <w:rPr>
                <w:rFonts w:cs="GHEAGrapalat-Bold"/>
                <w:b w:val="0"/>
                <w:bCs/>
                <w:szCs w:val="22"/>
                <w:lang w:val="hy-AM"/>
              </w:rPr>
            </w:pPr>
            <w:r w:rsidRPr="00521D5B">
              <w:rPr>
                <w:rFonts w:cs="GHEAGrapalat-Bold"/>
                <w:b w:val="0"/>
                <w:bCs/>
                <w:szCs w:val="22"/>
                <w:lang w:val="hy-AM"/>
              </w:rPr>
              <w:t xml:space="preserve">ԵՄ </w:t>
            </w:r>
            <w:r w:rsidRPr="00521D5B">
              <w:rPr>
                <w:rFonts w:cs="GHEAGrapalat-Bold"/>
                <w:b w:val="0"/>
                <w:bCs/>
                <w:szCs w:val="22"/>
                <w:lang w:val="hy-AM"/>
              </w:rPr>
              <w:tab/>
            </w:r>
            <w:r w:rsidRPr="00521D5B">
              <w:rPr>
                <w:rFonts w:cs="GHEAGrapalat-Bold"/>
                <w:b w:val="0"/>
                <w:bCs/>
                <w:szCs w:val="22"/>
                <w:lang w:val="hy-AM"/>
              </w:rPr>
              <w:tab/>
            </w:r>
          </w:p>
        </w:tc>
        <w:tc>
          <w:tcPr>
            <w:tcW w:w="7951" w:type="dxa"/>
          </w:tcPr>
          <w:p w14:paraId="019270EB" w14:textId="77777777" w:rsidR="00285180" w:rsidRPr="00521D5B" w:rsidRDefault="00285180" w:rsidP="00285180">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Եվրոպական միություն</w:t>
            </w:r>
          </w:p>
        </w:tc>
      </w:tr>
      <w:tr w:rsidR="00285180" w:rsidRPr="00521D5B" w14:paraId="1832D39F" w14:textId="77777777" w:rsidTr="00274986">
        <w:tc>
          <w:tcPr>
            <w:tcW w:w="1795" w:type="dxa"/>
          </w:tcPr>
          <w:p w14:paraId="00D8CA10" w14:textId="77777777" w:rsidR="00285180" w:rsidRPr="00521D5B" w:rsidRDefault="00285180" w:rsidP="00344429">
            <w:pPr>
              <w:spacing w:before="0" w:line="276" w:lineRule="auto"/>
              <w:rPr>
                <w:szCs w:val="22"/>
                <w:lang w:val="hy-AM"/>
              </w:rPr>
            </w:pPr>
            <w:r w:rsidRPr="00521D5B">
              <w:rPr>
                <w:rFonts w:cs="GHEAGrapalat-Bold"/>
                <w:b w:val="0"/>
                <w:bCs/>
                <w:szCs w:val="22"/>
                <w:lang w:val="hy-AM"/>
              </w:rPr>
              <w:t>ԶՄ</w:t>
            </w:r>
            <w:r w:rsidR="00344429" w:rsidRPr="00521D5B">
              <w:rPr>
                <w:rFonts w:cs="GHEAGrapalat-Bold"/>
                <w:b w:val="0"/>
                <w:bCs/>
                <w:szCs w:val="22"/>
                <w:lang w:val="hy-AM"/>
              </w:rPr>
              <w:t>Բ</w:t>
            </w:r>
            <w:r w:rsidRPr="00521D5B">
              <w:rPr>
                <w:rFonts w:cs="GHEAGrapalat-Bold"/>
                <w:b w:val="0"/>
                <w:bCs/>
                <w:szCs w:val="22"/>
                <w:lang w:val="hy-AM"/>
              </w:rPr>
              <w:tab/>
            </w:r>
            <w:r w:rsidRPr="00521D5B">
              <w:rPr>
                <w:rFonts w:cs="GHEAGrapalat-Bold"/>
                <w:b w:val="0"/>
                <w:bCs/>
                <w:szCs w:val="22"/>
                <w:lang w:val="hy-AM"/>
              </w:rPr>
              <w:tab/>
            </w:r>
          </w:p>
        </w:tc>
        <w:tc>
          <w:tcPr>
            <w:tcW w:w="7951" w:type="dxa"/>
          </w:tcPr>
          <w:p w14:paraId="17CC6B08" w14:textId="77777777" w:rsidR="00285180" w:rsidRPr="00521D5B" w:rsidRDefault="00285180" w:rsidP="00285180">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Զարգացման Միջազգային Բանկ</w:t>
            </w:r>
          </w:p>
        </w:tc>
      </w:tr>
      <w:tr w:rsidR="00285180" w:rsidRPr="00521D5B" w14:paraId="5301AB5E" w14:textId="77777777" w:rsidTr="00274986">
        <w:tc>
          <w:tcPr>
            <w:tcW w:w="1795" w:type="dxa"/>
          </w:tcPr>
          <w:p w14:paraId="70ED4533" w14:textId="77777777" w:rsidR="00285180" w:rsidRPr="00521D5B" w:rsidRDefault="00285180" w:rsidP="00285180">
            <w:pPr>
              <w:spacing w:before="0" w:line="276" w:lineRule="auto"/>
              <w:rPr>
                <w:szCs w:val="22"/>
                <w:lang w:val="hy-AM"/>
              </w:rPr>
            </w:pPr>
            <w:r w:rsidRPr="00521D5B">
              <w:rPr>
                <w:rFonts w:cs="GHEAGrapalat-Bold"/>
                <w:b w:val="0"/>
                <w:bCs/>
                <w:szCs w:val="22"/>
                <w:lang w:val="hy-AM"/>
              </w:rPr>
              <w:t>ԶԼՄ</w:t>
            </w:r>
            <w:r w:rsidRPr="00521D5B">
              <w:rPr>
                <w:rFonts w:cs="GHEAGrapalat-Bold"/>
                <w:b w:val="0"/>
                <w:bCs/>
                <w:szCs w:val="22"/>
                <w:lang w:val="hy-AM"/>
              </w:rPr>
              <w:tab/>
            </w:r>
            <w:r w:rsidRPr="00521D5B">
              <w:rPr>
                <w:rFonts w:cs="GHEAGrapalat-Bold"/>
                <w:b w:val="0"/>
                <w:bCs/>
                <w:szCs w:val="22"/>
                <w:lang w:val="hy-AM"/>
              </w:rPr>
              <w:tab/>
            </w:r>
          </w:p>
        </w:tc>
        <w:tc>
          <w:tcPr>
            <w:tcW w:w="7951" w:type="dxa"/>
          </w:tcPr>
          <w:p w14:paraId="5984B431" w14:textId="77777777" w:rsidR="00285180" w:rsidRPr="00521D5B" w:rsidRDefault="00285180" w:rsidP="00285180">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Զանգվածային լրատվության միջոց</w:t>
            </w:r>
          </w:p>
        </w:tc>
      </w:tr>
      <w:tr w:rsidR="00285180" w:rsidRPr="00933CA4" w14:paraId="74BC229B" w14:textId="77777777" w:rsidTr="00274986">
        <w:tc>
          <w:tcPr>
            <w:tcW w:w="1795" w:type="dxa"/>
          </w:tcPr>
          <w:p w14:paraId="021820C0" w14:textId="77777777" w:rsidR="00285180" w:rsidRPr="00521D5B" w:rsidRDefault="00285180" w:rsidP="00285180">
            <w:pPr>
              <w:spacing w:before="0" w:line="276" w:lineRule="auto"/>
              <w:rPr>
                <w:szCs w:val="22"/>
                <w:lang w:val="hy-AM"/>
              </w:rPr>
            </w:pPr>
            <w:r w:rsidRPr="00521D5B">
              <w:rPr>
                <w:rFonts w:cs="GHEAGrapalat-Bold"/>
                <w:b w:val="0"/>
                <w:bCs/>
                <w:szCs w:val="22"/>
                <w:lang w:val="hy-AM"/>
              </w:rPr>
              <w:t>ԸԿԲՆ</w:t>
            </w:r>
            <w:r w:rsidRPr="00521D5B">
              <w:rPr>
                <w:rFonts w:cs="GHEAGrapalat-Bold"/>
                <w:b w:val="0"/>
                <w:bCs/>
                <w:szCs w:val="22"/>
                <w:lang w:val="hy-AM"/>
              </w:rPr>
              <w:tab/>
            </w:r>
            <w:r w:rsidRPr="00521D5B">
              <w:rPr>
                <w:rFonts w:cs="GHEAGrapalat-Bold"/>
                <w:b w:val="0"/>
                <w:bCs/>
                <w:szCs w:val="22"/>
                <w:lang w:val="hy-AM"/>
              </w:rPr>
              <w:tab/>
            </w:r>
          </w:p>
        </w:tc>
        <w:tc>
          <w:tcPr>
            <w:tcW w:w="7951" w:type="dxa"/>
          </w:tcPr>
          <w:p w14:paraId="72AD12EE" w14:textId="77777777" w:rsidR="00285180" w:rsidRPr="00521D5B" w:rsidRDefault="00285180" w:rsidP="00285180">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Ընտանիքի կենսամակարդակի բարձրացմանն ուղղված նպաստներ</w:t>
            </w:r>
          </w:p>
        </w:tc>
      </w:tr>
      <w:tr w:rsidR="00674E04" w:rsidRPr="00521D5B" w14:paraId="18FFD854" w14:textId="77777777" w:rsidTr="00274986">
        <w:tc>
          <w:tcPr>
            <w:tcW w:w="1795" w:type="dxa"/>
          </w:tcPr>
          <w:p w14:paraId="708885AC" w14:textId="77777777" w:rsidR="00674E04" w:rsidRPr="00521D5B" w:rsidRDefault="00674E04" w:rsidP="00674E04">
            <w:pPr>
              <w:spacing w:before="0" w:line="276" w:lineRule="auto"/>
              <w:rPr>
                <w:szCs w:val="22"/>
                <w:lang w:val="hy-AM"/>
              </w:rPr>
            </w:pPr>
            <w:r w:rsidRPr="00521D5B">
              <w:rPr>
                <w:rFonts w:cs="GHEAGrapalat-Bold"/>
                <w:b w:val="0"/>
                <w:bCs/>
                <w:szCs w:val="22"/>
                <w:lang w:val="en-US"/>
              </w:rPr>
              <w:t>ԼՂ</w:t>
            </w:r>
            <w:r w:rsidRPr="00521D5B">
              <w:rPr>
                <w:rFonts w:cs="GHEAGrapalat-Bold"/>
                <w:b w:val="0"/>
                <w:bCs/>
                <w:szCs w:val="22"/>
                <w:lang w:val="hy-AM"/>
              </w:rPr>
              <w:tab/>
            </w:r>
            <w:r w:rsidRPr="00521D5B">
              <w:rPr>
                <w:rFonts w:cs="GHEAGrapalat-Bold"/>
                <w:b w:val="0"/>
                <w:bCs/>
                <w:szCs w:val="22"/>
                <w:lang w:val="hy-AM"/>
              </w:rPr>
              <w:tab/>
            </w:r>
          </w:p>
        </w:tc>
        <w:tc>
          <w:tcPr>
            <w:tcW w:w="7951" w:type="dxa"/>
          </w:tcPr>
          <w:p w14:paraId="407D10F2" w14:textId="77777777" w:rsidR="00674E04" w:rsidRPr="00521D5B" w:rsidRDefault="00674E04" w:rsidP="00674E04">
            <w:pPr>
              <w:autoSpaceDE w:val="0"/>
              <w:autoSpaceDN w:val="0"/>
              <w:adjustRightInd w:val="0"/>
              <w:spacing w:line="276" w:lineRule="auto"/>
              <w:jc w:val="left"/>
              <w:rPr>
                <w:rFonts w:cs="GHEAGrapalat-Bold"/>
                <w:b w:val="0"/>
                <w:bCs/>
                <w:szCs w:val="22"/>
                <w:lang w:val="en-US"/>
              </w:rPr>
            </w:pPr>
            <w:r w:rsidRPr="00521D5B">
              <w:rPr>
                <w:rFonts w:cs="GHEAGrapalat-Bold"/>
                <w:b w:val="0"/>
                <w:bCs/>
                <w:szCs w:val="22"/>
                <w:lang w:val="en-US"/>
              </w:rPr>
              <w:t>ԼեռնայիՆ Ղարաբաղ</w:t>
            </w:r>
          </w:p>
        </w:tc>
      </w:tr>
      <w:tr w:rsidR="00674E04" w:rsidRPr="00521D5B" w14:paraId="17BD0E62" w14:textId="77777777" w:rsidTr="00274986">
        <w:tc>
          <w:tcPr>
            <w:tcW w:w="1795" w:type="dxa"/>
          </w:tcPr>
          <w:p w14:paraId="2A1ABBC6" w14:textId="77777777" w:rsidR="00674E04" w:rsidRPr="00521D5B" w:rsidRDefault="00674E04" w:rsidP="00674E04">
            <w:pPr>
              <w:spacing w:before="0" w:line="276" w:lineRule="auto"/>
              <w:rPr>
                <w:szCs w:val="22"/>
                <w:lang w:val="hy-AM"/>
              </w:rPr>
            </w:pPr>
            <w:r w:rsidRPr="00521D5B">
              <w:rPr>
                <w:rFonts w:cs="GHEAGrapalat-Bold"/>
                <w:b w:val="0"/>
                <w:bCs/>
                <w:szCs w:val="22"/>
                <w:lang w:val="hy-AM"/>
              </w:rPr>
              <w:t xml:space="preserve">ԽՍՀՄ        </w:t>
            </w:r>
          </w:p>
        </w:tc>
        <w:tc>
          <w:tcPr>
            <w:tcW w:w="7951" w:type="dxa"/>
          </w:tcPr>
          <w:p w14:paraId="5EA269AE"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Խորհրդային</w:t>
            </w:r>
            <w:r w:rsidRPr="00521D5B">
              <w:rPr>
                <w:rFonts w:ascii="Calibri" w:hAnsi="Calibri" w:cs="Calibri"/>
                <w:b w:val="0"/>
                <w:bCs/>
                <w:szCs w:val="22"/>
                <w:lang w:val="hy-AM"/>
              </w:rPr>
              <w:t> </w:t>
            </w:r>
            <w:r w:rsidRPr="00521D5B">
              <w:rPr>
                <w:rFonts w:cs="GHEAGrapalat-Bold"/>
                <w:b w:val="0"/>
                <w:bCs/>
                <w:szCs w:val="22"/>
                <w:lang w:val="hy-AM"/>
              </w:rPr>
              <w:t xml:space="preserve">Սոցիալիստական Հանրապետությունների Միություն </w:t>
            </w:r>
          </w:p>
        </w:tc>
      </w:tr>
      <w:tr w:rsidR="00674E04" w:rsidRPr="00521D5B" w14:paraId="5E1463EB" w14:textId="77777777" w:rsidTr="00274986">
        <w:tc>
          <w:tcPr>
            <w:tcW w:w="1795" w:type="dxa"/>
          </w:tcPr>
          <w:p w14:paraId="4ADD74BB"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ԿԲ</w:t>
            </w:r>
            <w:r w:rsidRPr="00521D5B">
              <w:rPr>
                <w:rFonts w:cs="GHEAGrapalat-Bold"/>
                <w:b w:val="0"/>
                <w:bCs/>
                <w:szCs w:val="22"/>
                <w:lang w:val="hy-AM"/>
              </w:rPr>
              <w:tab/>
            </w:r>
            <w:r w:rsidRPr="00521D5B">
              <w:rPr>
                <w:rFonts w:cs="GHEAGrapalat-Bold"/>
                <w:b w:val="0"/>
                <w:bCs/>
                <w:szCs w:val="22"/>
                <w:lang w:val="hy-AM"/>
              </w:rPr>
              <w:tab/>
            </w:r>
          </w:p>
        </w:tc>
        <w:tc>
          <w:tcPr>
            <w:tcW w:w="7951" w:type="dxa"/>
          </w:tcPr>
          <w:p w14:paraId="2CD40D71"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en-US"/>
              </w:rPr>
              <w:t xml:space="preserve">ՀՀ </w:t>
            </w:r>
            <w:r w:rsidRPr="00521D5B">
              <w:rPr>
                <w:rFonts w:cs="GHEAGrapalat-Bold"/>
                <w:b w:val="0"/>
                <w:bCs/>
                <w:szCs w:val="22"/>
                <w:lang w:val="hy-AM"/>
              </w:rPr>
              <w:t>Կենտրոնական բանկ</w:t>
            </w:r>
          </w:p>
        </w:tc>
      </w:tr>
      <w:tr w:rsidR="00674E04" w:rsidRPr="00933CA4" w14:paraId="49BC93F2" w14:textId="77777777" w:rsidTr="00274986">
        <w:tc>
          <w:tcPr>
            <w:tcW w:w="1795" w:type="dxa"/>
          </w:tcPr>
          <w:p w14:paraId="4F4A0D3B"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ԿԳՄՍՆ</w:t>
            </w:r>
            <w:r w:rsidRPr="00521D5B">
              <w:rPr>
                <w:rFonts w:cs="GHEAGrapalat-Bold"/>
                <w:b w:val="0"/>
                <w:bCs/>
                <w:szCs w:val="22"/>
                <w:lang w:val="hy-AM"/>
              </w:rPr>
              <w:tab/>
            </w:r>
          </w:p>
        </w:tc>
        <w:tc>
          <w:tcPr>
            <w:tcW w:w="7951" w:type="dxa"/>
          </w:tcPr>
          <w:p w14:paraId="66EA689F"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ՀՀ Կրթության, գիտության, մշակույթի և սպորտի նախարարություն</w:t>
            </w:r>
          </w:p>
        </w:tc>
      </w:tr>
      <w:tr w:rsidR="00674E04" w:rsidRPr="00521D5B" w14:paraId="6064B9BA" w14:textId="77777777" w:rsidTr="00274986">
        <w:tc>
          <w:tcPr>
            <w:tcW w:w="1795" w:type="dxa"/>
          </w:tcPr>
          <w:p w14:paraId="6284923D"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ԿԿԹԿ</w:t>
            </w:r>
            <w:r w:rsidRPr="00521D5B">
              <w:rPr>
                <w:rFonts w:cs="GHEAGrapalat-Bold"/>
                <w:b w:val="0"/>
                <w:bCs/>
                <w:szCs w:val="22"/>
                <w:lang w:val="hy-AM"/>
              </w:rPr>
              <w:tab/>
            </w:r>
            <w:r w:rsidRPr="00521D5B">
              <w:rPr>
                <w:rFonts w:cs="GHEAGrapalat-Bold"/>
                <w:b w:val="0"/>
                <w:bCs/>
                <w:szCs w:val="22"/>
                <w:lang w:val="hy-AM"/>
              </w:rPr>
              <w:tab/>
            </w:r>
          </w:p>
        </w:tc>
        <w:tc>
          <w:tcPr>
            <w:tcW w:w="7951" w:type="dxa"/>
          </w:tcPr>
          <w:p w14:paraId="12EB1A82"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Կոշտ կենցաղային թափոնների կառավարում</w:t>
            </w:r>
          </w:p>
        </w:tc>
      </w:tr>
      <w:tr w:rsidR="00674E04" w:rsidRPr="00521D5B" w14:paraId="079DA2D8" w14:textId="77777777" w:rsidTr="00274986">
        <w:tc>
          <w:tcPr>
            <w:tcW w:w="1795" w:type="dxa"/>
          </w:tcPr>
          <w:p w14:paraId="1335FFDF"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ՀԱԷԿ</w:t>
            </w:r>
            <w:r w:rsidRPr="00521D5B">
              <w:rPr>
                <w:rFonts w:cs="GHEAGrapalat-Bold"/>
                <w:b w:val="0"/>
                <w:bCs/>
                <w:szCs w:val="22"/>
                <w:lang w:val="hy-AM"/>
              </w:rPr>
              <w:tab/>
            </w:r>
            <w:r w:rsidRPr="00521D5B">
              <w:rPr>
                <w:rFonts w:cs="GHEAGrapalat-Bold"/>
                <w:b w:val="0"/>
                <w:bCs/>
                <w:szCs w:val="22"/>
                <w:lang w:val="hy-AM"/>
              </w:rPr>
              <w:tab/>
            </w:r>
          </w:p>
        </w:tc>
        <w:tc>
          <w:tcPr>
            <w:tcW w:w="7951" w:type="dxa"/>
          </w:tcPr>
          <w:p w14:paraId="19A5C5B0"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Հայկական ատոմային էլեկտրակայան</w:t>
            </w:r>
          </w:p>
        </w:tc>
      </w:tr>
      <w:tr w:rsidR="00674E04" w:rsidRPr="00521D5B" w14:paraId="5ACFAD69" w14:textId="77777777" w:rsidTr="00274986">
        <w:tc>
          <w:tcPr>
            <w:tcW w:w="1795" w:type="dxa"/>
          </w:tcPr>
          <w:p w14:paraId="457CEAE5" w14:textId="77777777" w:rsidR="00674E04" w:rsidRPr="00521D5B" w:rsidRDefault="00674E04" w:rsidP="00674E04">
            <w:pPr>
              <w:spacing w:before="0" w:line="276" w:lineRule="auto"/>
              <w:rPr>
                <w:szCs w:val="22"/>
                <w:lang w:val="hy-AM"/>
              </w:rPr>
            </w:pPr>
            <w:r w:rsidRPr="00521D5B">
              <w:rPr>
                <w:rFonts w:cs="GHEAGrapalat-Bold"/>
                <w:b w:val="0"/>
                <w:bCs/>
                <w:szCs w:val="22"/>
                <w:lang w:val="hy-AM"/>
              </w:rPr>
              <w:t xml:space="preserve">ՀԲ </w:t>
            </w:r>
            <w:r w:rsidRPr="00521D5B">
              <w:rPr>
                <w:rFonts w:cs="GHEAGrapalat-Bold"/>
                <w:b w:val="0"/>
                <w:bCs/>
                <w:szCs w:val="22"/>
                <w:lang w:val="hy-AM"/>
              </w:rPr>
              <w:tab/>
            </w:r>
            <w:r w:rsidRPr="00521D5B">
              <w:rPr>
                <w:rFonts w:cs="GHEAGrapalat-Bold"/>
                <w:b w:val="0"/>
                <w:bCs/>
                <w:szCs w:val="22"/>
                <w:lang w:val="hy-AM"/>
              </w:rPr>
              <w:tab/>
            </w:r>
          </w:p>
        </w:tc>
        <w:tc>
          <w:tcPr>
            <w:tcW w:w="7951" w:type="dxa"/>
          </w:tcPr>
          <w:p w14:paraId="644C3665"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Համաշխարհային բանկ</w:t>
            </w:r>
          </w:p>
        </w:tc>
      </w:tr>
      <w:tr w:rsidR="00674E04" w:rsidRPr="00521D5B" w14:paraId="4A2C736E" w14:textId="77777777" w:rsidTr="00274986">
        <w:tc>
          <w:tcPr>
            <w:tcW w:w="1795" w:type="dxa"/>
          </w:tcPr>
          <w:p w14:paraId="6C3C847C" w14:textId="77777777" w:rsidR="00674E04" w:rsidRPr="00521D5B" w:rsidRDefault="00674E04" w:rsidP="00674E04">
            <w:pPr>
              <w:spacing w:before="0" w:line="276" w:lineRule="auto"/>
              <w:rPr>
                <w:szCs w:val="22"/>
                <w:lang w:val="hy-AM"/>
              </w:rPr>
            </w:pPr>
            <w:r w:rsidRPr="00521D5B">
              <w:rPr>
                <w:rFonts w:cs="GHEAGrapalat-Bold"/>
                <w:b w:val="0"/>
                <w:bCs/>
                <w:szCs w:val="22"/>
                <w:lang w:val="hy-AM"/>
              </w:rPr>
              <w:t xml:space="preserve">ՀՀ </w:t>
            </w:r>
            <w:r w:rsidRPr="00521D5B">
              <w:rPr>
                <w:rFonts w:cs="GHEAGrapalat-Bold"/>
                <w:b w:val="0"/>
                <w:bCs/>
                <w:szCs w:val="22"/>
                <w:lang w:val="hy-AM"/>
              </w:rPr>
              <w:tab/>
            </w:r>
            <w:r w:rsidRPr="00521D5B">
              <w:rPr>
                <w:rFonts w:cs="GHEAGrapalat-Bold"/>
                <w:b w:val="0"/>
                <w:bCs/>
                <w:szCs w:val="22"/>
                <w:lang w:val="hy-AM"/>
              </w:rPr>
              <w:tab/>
            </w:r>
          </w:p>
        </w:tc>
        <w:tc>
          <w:tcPr>
            <w:tcW w:w="7951" w:type="dxa"/>
          </w:tcPr>
          <w:p w14:paraId="68B3861A"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Հայաստանի Հանրապետություն</w:t>
            </w:r>
          </w:p>
        </w:tc>
      </w:tr>
      <w:tr w:rsidR="00674E04" w:rsidRPr="00521D5B" w14:paraId="0C0916A8" w14:textId="77777777" w:rsidTr="00274986">
        <w:tc>
          <w:tcPr>
            <w:tcW w:w="1795" w:type="dxa"/>
          </w:tcPr>
          <w:p w14:paraId="26551097"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ՀՆԱ</w:t>
            </w:r>
            <w:r w:rsidRPr="00521D5B">
              <w:rPr>
                <w:rFonts w:cs="GHEAGrapalat-Bold"/>
                <w:b w:val="0"/>
                <w:bCs/>
                <w:szCs w:val="22"/>
                <w:lang w:val="hy-AM"/>
              </w:rPr>
              <w:tab/>
            </w:r>
            <w:r w:rsidRPr="00521D5B">
              <w:rPr>
                <w:rFonts w:cs="GHEAGrapalat-Bold"/>
                <w:b w:val="0"/>
                <w:bCs/>
                <w:szCs w:val="22"/>
                <w:lang w:val="hy-AM"/>
              </w:rPr>
              <w:tab/>
            </w:r>
          </w:p>
        </w:tc>
        <w:tc>
          <w:tcPr>
            <w:tcW w:w="7951" w:type="dxa"/>
          </w:tcPr>
          <w:p w14:paraId="286A2B3A"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Համախառն ներքին արդյունք</w:t>
            </w:r>
          </w:p>
        </w:tc>
      </w:tr>
      <w:tr w:rsidR="00674E04" w:rsidRPr="00933CA4" w14:paraId="6287910A" w14:textId="77777777" w:rsidTr="00274986">
        <w:tc>
          <w:tcPr>
            <w:tcW w:w="1795" w:type="dxa"/>
          </w:tcPr>
          <w:p w14:paraId="53B6E28D"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ՀԾԿՀ</w:t>
            </w:r>
            <w:r w:rsidRPr="00521D5B">
              <w:rPr>
                <w:rFonts w:cs="GHEAGrapalat-Bold"/>
                <w:b w:val="0"/>
                <w:bCs/>
                <w:szCs w:val="22"/>
                <w:lang w:val="hy-AM"/>
              </w:rPr>
              <w:tab/>
            </w:r>
            <w:r w:rsidRPr="00521D5B">
              <w:rPr>
                <w:rFonts w:cs="GHEAGrapalat-Bold"/>
                <w:b w:val="0"/>
                <w:bCs/>
                <w:szCs w:val="22"/>
                <w:lang w:val="hy-AM"/>
              </w:rPr>
              <w:tab/>
            </w:r>
          </w:p>
        </w:tc>
        <w:tc>
          <w:tcPr>
            <w:tcW w:w="7951" w:type="dxa"/>
          </w:tcPr>
          <w:p w14:paraId="2A1E2BEB"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 xml:space="preserve">ՀՀ Հանրային ծառայությունները կարգավորող հանձնաժողով </w:t>
            </w:r>
          </w:p>
        </w:tc>
      </w:tr>
      <w:tr w:rsidR="00674E04" w:rsidRPr="00521D5B" w14:paraId="2CFD884E" w14:textId="77777777" w:rsidTr="00274986">
        <w:tc>
          <w:tcPr>
            <w:tcW w:w="1795" w:type="dxa"/>
          </w:tcPr>
          <w:p w14:paraId="05D40F18"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ՀԽՍՀ</w:t>
            </w:r>
            <w:r w:rsidRPr="00521D5B">
              <w:rPr>
                <w:rFonts w:cs="GHEAGrapalat-Bold"/>
                <w:b w:val="0"/>
                <w:bCs/>
                <w:szCs w:val="22"/>
                <w:lang w:val="hy-AM"/>
              </w:rPr>
              <w:tab/>
            </w:r>
            <w:r w:rsidRPr="00521D5B">
              <w:rPr>
                <w:rFonts w:cs="GHEAGrapalat-Bold"/>
                <w:b w:val="0"/>
                <w:bCs/>
                <w:szCs w:val="22"/>
                <w:lang w:val="hy-AM"/>
              </w:rPr>
              <w:tab/>
            </w:r>
          </w:p>
        </w:tc>
        <w:tc>
          <w:tcPr>
            <w:tcW w:w="7951" w:type="dxa"/>
          </w:tcPr>
          <w:p w14:paraId="3353B2C2"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Հայկական Խորհրդային Սոցիալիստական Հանրապետություն</w:t>
            </w:r>
          </w:p>
        </w:tc>
      </w:tr>
      <w:tr w:rsidR="00674E04" w:rsidRPr="00521D5B" w14:paraId="1C94DD44" w14:textId="77777777" w:rsidTr="00274986">
        <w:tc>
          <w:tcPr>
            <w:tcW w:w="1795" w:type="dxa"/>
          </w:tcPr>
          <w:p w14:paraId="1562EB49"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ՁԻԱՀ</w:t>
            </w:r>
            <w:r w:rsidRPr="00521D5B">
              <w:rPr>
                <w:rFonts w:cs="GHEAGrapalat-Bold"/>
                <w:b w:val="0"/>
                <w:bCs/>
                <w:szCs w:val="22"/>
                <w:lang w:val="hy-AM"/>
              </w:rPr>
              <w:tab/>
            </w:r>
            <w:r w:rsidRPr="00521D5B">
              <w:rPr>
                <w:rFonts w:cs="GHEAGrapalat-Bold"/>
                <w:b w:val="0"/>
                <w:bCs/>
                <w:szCs w:val="22"/>
                <w:lang w:val="hy-AM"/>
              </w:rPr>
              <w:tab/>
            </w:r>
          </w:p>
        </w:tc>
        <w:tc>
          <w:tcPr>
            <w:tcW w:w="7951" w:type="dxa"/>
          </w:tcPr>
          <w:p w14:paraId="0EE905EC"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Ձեռքբերովի</w:t>
            </w:r>
            <w:r w:rsidRPr="00521D5B">
              <w:rPr>
                <w:rFonts w:ascii="Calibri" w:hAnsi="Calibri" w:cs="Calibri"/>
                <w:b w:val="0"/>
                <w:bCs/>
                <w:szCs w:val="22"/>
                <w:lang w:val="hy-AM"/>
              </w:rPr>
              <w:t> </w:t>
            </w:r>
            <w:r w:rsidRPr="00521D5B">
              <w:rPr>
                <w:rFonts w:cs="GHEAGrapalat-Bold"/>
                <w:b w:val="0"/>
                <w:bCs/>
                <w:szCs w:val="22"/>
                <w:lang w:val="hy-AM"/>
              </w:rPr>
              <w:t>իմունային անբավարարության համախտանիշ</w:t>
            </w:r>
          </w:p>
        </w:tc>
      </w:tr>
      <w:tr w:rsidR="00674E04" w:rsidRPr="00521D5B" w14:paraId="56A52945" w14:textId="77777777" w:rsidTr="00274986">
        <w:tc>
          <w:tcPr>
            <w:tcW w:w="1795" w:type="dxa"/>
          </w:tcPr>
          <w:p w14:paraId="15F94BD4" w14:textId="77777777" w:rsidR="00674E04" w:rsidRPr="00521D5B" w:rsidRDefault="00674E04" w:rsidP="00674E04">
            <w:pPr>
              <w:spacing w:before="0" w:line="276" w:lineRule="auto"/>
              <w:rPr>
                <w:szCs w:val="22"/>
                <w:lang w:val="hy-AM"/>
              </w:rPr>
            </w:pPr>
            <w:r w:rsidRPr="00521D5B">
              <w:rPr>
                <w:rFonts w:cs="GHEAGrapalat-Bold"/>
                <w:b w:val="0"/>
                <w:bCs/>
                <w:szCs w:val="22"/>
                <w:lang w:val="hy-AM"/>
              </w:rPr>
              <w:lastRenderedPageBreak/>
              <w:t>ՄԻԱՎ</w:t>
            </w:r>
            <w:r w:rsidRPr="00521D5B">
              <w:rPr>
                <w:rFonts w:cs="GHEAGrapalat-Bold"/>
                <w:b w:val="0"/>
                <w:bCs/>
                <w:szCs w:val="22"/>
                <w:lang w:val="hy-AM"/>
              </w:rPr>
              <w:tab/>
            </w:r>
            <w:r w:rsidRPr="00521D5B">
              <w:rPr>
                <w:rFonts w:cs="GHEAGrapalat-Bold"/>
                <w:b w:val="0"/>
                <w:bCs/>
                <w:szCs w:val="22"/>
                <w:lang w:val="hy-AM"/>
              </w:rPr>
              <w:tab/>
            </w:r>
          </w:p>
        </w:tc>
        <w:tc>
          <w:tcPr>
            <w:tcW w:w="7951" w:type="dxa"/>
          </w:tcPr>
          <w:p w14:paraId="17DEBA7E"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Մարդու իմունային անբավարարության վիրուս</w:t>
            </w:r>
          </w:p>
        </w:tc>
      </w:tr>
      <w:tr w:rsidR="00674E04" w:rsidRPr="00933CA4" w14:paraId="40DD7553" w14:textId="77777777" w:rsidTr="00274986">
        <w:tc>
          <w:tcPr>
            <w:tcW w:w="1795" w:type="dxa"/>
          </w:tcPr>
          <w:p w14:paraId="192D306F"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ՄԺԾԾ</w:t>
            </w:r>
          </w:p>
        </w:tc>
        <w:tc>
          <w:tcPr>
            <w:tcW w:w="7951" w:type="dxa"/>
          </w:tcPr>
          <w:p w14:paraId="75A7C92B"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ab/>
              <w:t>ՀՀ պետական միջնաժամկետ ծախսերի ծրագիր</w:t>
            </w:r>
          </w:p>
        </w:tc>
      </w:tr>
      <w:tr w:rsidR="00674E04" w:rsidRPr="00521D5B" w14:paraId="1F8E8B8F" w14:textId="77777777" w:rsidTr="00274986">
        <w:tc>
          <w:tcPr>
            <w:tcW w:w="1795" w:type="dxa"/>
          </w:tcPr>
          <w:p w14:paraId="0AEAD0FD"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ՊԵԿ</w:t>
            </w:r>
          </w:p>
        </w:tc>
        <w:tc>
          <w:tcPr>
            <w:tcW w:w="7951" w:type="dxa"/>
          </w:tcPr>
          <w:p w14:paraId="6D603999"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ab/>
            </w:r>
            <w:r w:rsidRPr="00521D5B">
              <w:rPr>
                <w:rFonts w:cs="GHEAGrapalat-Bold"/>
                <w:b w:val="0"/>
                <w:bCs/>
                <w:szCs w:val="22"/>
                <w:lang w:val="hy-AM"/>
              </w:rPr>
              <w:tab/>
            </w:r>
            <w:r w:rsidRPr="00521D5B">
              <w:rPr>
                <w:rFonts w:cs="GHEAGrapalat-Bold"/>
                <w:b w:val="0"/>
                <w:bCs/>
                <w:szCs w:val="22"/>
                <w:lang w:val="en-US"/>
              </w:rPr>
              <w:t xml:space="preserve">ՀՀ </w:t>
            </w:r>
            <w:r w:rsidRPr="00521D5B">
              <w:rPr>
                <w:rFonts w:cs="GHEAGrapalat-Bold"/>
                <w:b w:val="0"/>
                <w:bCs/>
                <w:szCs w:val="22"/>
                <w:lang w:val="hy-AM"/>
              </w:rPr>
              <w:t xml:space="preserve">Պետական եկամուտների կոմիտե </w:t>
            </w:r>
          </w:p>
        </w:tc>
      </w:tr>
      <w:tr w:rsidR="00674E04" w:rsidRPr="00521D5B" w14:paraId="6AABBC8F" w14:textId="77777777" w:rsidTr="00274986">
        <w:tc>
          <w:tcPr>
            <w:tcW w:w="1795" w:type="dxa"/>
          </w:tcPr>
          <w:p w14:paraId="3A8CB2DC" w14:textId="77777777" w:rsidR="00674E04" w:rsidRPr="00521D5B" w:rsidRDefault="00674E04" w:rsidP="00674E04">
            <w:pPr>
              <w:spacing w:before="0" w:line="276" w:lineRule="auto"/>
              <w:rPr>
                <w:szCs w:val="22"/>
                <w:lang w:val="hy-AM"/>
              </w:rPr>
            </w:pPr>
            <w:r w:rsidRPr="00521D5B">
              <w:rPr>
                <w:rFonts w:cs="GHEAGrapalat-Bold"/>
                <w:b w:val="0"/>
                <w:bCs/>
                <w:szCs w:val="22"/>
                <w:lang w:val="hy-AM"/>
              </w:rPr>
              <w:t xml:space="preserve">ՊՄԳ  </w:t>
            </w:r>
            <w:r w:rsidRPr="00521D5B">
              <w:rPr>
                <w:rFonts w:cs="GHEAGrapalat-Bold"/>
                <w:b w:val="0"/>
                <w:bCs/>
                <w:szCs w:val="22"/>
                <w:lang w:val="hy-AM"/>
              </w:rPr>
              <w:tab/>
            </w:r>
            <w:r w:rsidRPr="00521D5B">
              <w:rPr>
                <w:rFonts w:cs="GHEAGrapalat-Bold"/>
                <w:b w:val="0"/>
                <w:bCs/>
                <w:szCs w:val="22"/>
                <w:lang w:val="hy-AM"/>
              </w:rPr>
              <w:tab/>
            </w:r>
          </w:p>
        </w:tc>
        <w:tc>
          <w:tcPr>
            <w:tcW w:w="7951" w:type="dxa"/>
          </w:tcPr>
          <w:p w14:paraId="42B66775"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Պետություն-մասնավոր գործընկերություն</w:t>
            </w:r>
          </w:p>
        </w:tc>
      </w:tr>
      <w:tr w:rsidR="00674E04" w:rsidRPr="00521D5B" w14:paraId="20B6D0E7" w14:textId="77777777" w:rsidTr="00274986">
        <w:tc>
          <w:tcPr>
            <w:tcW w:w="1795" w:type="dxa"/>
          </w:tcPr>
          <w:p w14:paraId="596D979C" w14:textId="77777777" w:rsidR="00674E04" w:rsidRPr="00521D5B" w:rsidRDefault="00674E04" w:rsidP="00674E04">
            <w:pPr>
              <w:spacing w:before="0" w:line="276" w:lineRule="auto"/>
              <w:rPr>
                <w:szCs w:val="22"/>
                <w:lang w:val="hy-AM"/>
              </w:rPr>
            </w:pPr>
            <w:r w:rsidRPr="00521D5B">
              <w:rPr>
                <w:rFonts w:cs="GHEAGrapalat-Bold"/>
                <w:b w:val="0"/>
                <w:bCs/>
                <w:szCs w:val="22"/>
                <w:lang w:val="hy-AM"/>
              </w:rPr>
              <w:t xml:space="preserve">ՊՆ  </w:t>
            </w:r>
            <w:r w:rsidRPr="00521D5B">
              <w:rPr>
                <w:rFonts w:cs="GHEAGrapalat-Bold"/>
                <w:b w:val="0"/>
                <w:bCs/>
                <w:szCs w:val="22"/>
                <w:lang w:val="hy-AM"/>
              </w:rPr>
              <w:tab/>
            </w:r>
            <w:r w:rsidRPr="00521D5B">
              <w:rPr>
                <w:rFonts w:cs="GHEAGrapalat-Bold"/>
                <w:b w:val="0"/>
                <w:bCs/>
                <w:szCs w:val="22"/>
                <w:lang w:val="hy-AM"/>
              </w:rPr>
              <w:tab/>
            </w:r>
          </w:p>
        </w:tc>
        <w:tc>
          <w:tcPr>
            <w:tcW w:w="7951" w:type="dxa"/>
          </w:tcPr>
          <w:p w14:paraId="5C5E1775"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en-US"/>
              </w:rPr>
              <w:t xml:space="preserve">ՀՀ </w:t>
            </w:r>
            <w:r w:rsidRPr="00521D5B">
              <w:rPr>
                <w:rFonts w:cs="GHEAGrapalat-Bold"/>
                <w:b w:val="0"/>
                <w:bCs/>
                <w:szCs w:val="22"/>
                <w:lang w:val="hy-AM"/>
              </w:rPr>
              <w:t>Պաշտպանության նախարարություն</w:t>
            </w:r>
          </w:p>
        </w:tc>
      </w:tr>
      <w:tr w:rsidR="00674E04" w:rsidRPr="00521D5B" w14:paraId="4A01733E" w14:textId="77777777" w:rsidTr="00274986">
        <w:tc>
          <w:tcPr>
            <w:tcW w:w="1795" w:type="dxa"/>
          </w:tcPr>
          <w:p w14:paraId="2078E8E4" w14:textId="77777777" w:rsidR="00674E04" w:rsidRPr="00521D5B" w:rsidRDefault="00674E04" w:rsidP="00674E04">
            <w:pPr>
              <w:spacing w:before="0" w:line="276" w:lineRule="auto"/>
              <w:rPr>
                <w:szCs w:val="22"/>
                <w:lang w:val="hy-AM"/>
              </w:rPr>
            </w:pPr>
            <w:r w:rsidRPr="00521D5B">
              <w:rPr>
                <w:rFonts w:cs="GHEAGrapalat-Bold"/>
                <w:b w:val="0"/>
                <w:bCs/>
                <w:szCs w:val="22"/>
                <w:lang w:val="hy-AM"/>
              </w:rPr>
              <w:t xml:space="preserve">ՊՈԱԿ  </w:t>
            </w:r>
          </w:p>
        </w:tc>
        <w:tc>
          <w:tcPr>
            <w:tcW w:w="7951" w:type="dxa"/>
          </w:tcPr>
          <w:p w14:paraId="598B246E"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ab/>
              <w:t>Պետական ոչ առևտրային կազմակերպություն</w:t>
            </w:r>
          </w:p>
        </w:tc>
      </w:tr>
      <w:tr w:rsidR="00674E04" w:rsidRPr="00521D5B" w14:paraId="5262EE27" w14:textId="77777777" w:rsidTr="00274986">
        <w:tc>
          <w:tcPr>
            <w:tcW w:w="1795" w:type="dxa"/>
          </w:tcPr>
          <w:p w14:paraId="34AEDEDA"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ՊՖԿՀ</w:t>
            </w:r>
            <w:r w:rsidRPr="00521D5B">
              <w:rPr>
                <w:rFonts w:cs="GHEAGrapalat-Bold"/>
                <w:b w:val="0"/>
                <w:bCs/>
                <w:szCs w:val="22"/>
                <w:lang w:val="hy-AM"/>
              </w:rPr>
              <w:tab/>
            </w:r>
            <w:r w:rsidRPr="00521D5B">
              <w:rPr>
                <w:rFonts w:cs="GHEAGrapalat-Bold"/>
                <w:b w:val="0"/>
                <w:bCs/>
                <w:szCs w:val="22"/>
                <w:lang w:val="hy-AM"/>
              </w:rPr>
              <w:tab/>
            </w:r>
          </w:p>
        </w:tc>
        <w:tc>
          <w:tcPr>
            <w:tcW w:w="7951" w:type="dxa"/>
          </w:tcPr>
          <w:p w14:paraId="33A8160E"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Պետական ֆինանսների կառավարման համակարգ</w:t>
            </w:r>
          </w:p>
        </w:tc>
      </w:tr>
      <w:tr w:rsidR="00674E04" w:rsidRPr="00521D5B" w14:paraId="73A480B9" w14:textId="77777777" w:rsidTr="00274986">
        <w:tc>
          <w:tcPr>
            <w:tcW w:w="1795" w:type="dxa"/>
          </w:tcPr>
          <w:p w14:paraId="38572A8E"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ՌԴ</w:t>
            </w:r>
            <w:r w:rsidRPr="00521D5B">
              <w:rPr>
                <w:rFonts w:cs="GHEAGrapalat-Bold"/>
                <w:b w:val="0"/>
                <w:bCs/>
                <w:szCs w:val="22"/>
                <w:lang w:val="hy-AM"/>
              </w:rPr>
              <w:tab/>
            </w:r>
            <w:r w:rsidRPr="00521D5B">
              <w:rPr>
                <w:rFonts w:cs="GHEAGrapalat-Bold"/>
                <w:b w:val="0"/>
                <w:bCs/>
                <w:szCs w:val="22"/>
                <w:lang w:val="hy-AM"/>
              </w:rPr>
              <w:tab/>
            </w:r>
          </w:p>
        </w:tc>
        <w:tc>
          <w:tcPr>
            <w:tcW w:w="7951" w:type="dxa"/>
          </w:tcPr>
          <w:p w14:paraId="03086201"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 xml:space="preserve">Ռուսաստանի Դաշնություն </w:t>
            </w:r>
          </w:p>
        </w:tc>
      </w:tr>
      <w:tr w:rsidR="00674E04" w:rsidRPr="00521D5B" w14:paraId="5BD3B1D7" w14:textId="77777777" w:rsidTr="00274986">
        <w:tc>
          <w:tcPr>
            <w:tcW w:w="1795" w:type="dxa"/>
          </w:tcPr>
          <w:p w14:paraId="08EB3A8A"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ՍԳԻ</w:t>
            </w:r>
            <w:r w:rsidRPr="00521D5B">
              <w:rPr>
                <w:rFonts w:cs="GHEAGrapalat-Bold"/>
                <w:b w:val="0"/>
                <w:bCs/>
                <w:szCs w:val="22"/>
                <w:lang w:val="hy-AM"/>
              </w:rPr>
              <w:tab/>
            </w:r>
            <w:r w:rsidRPr="00521D5B">
              <w:rPr>
                <w:rFonts w:cs="GHEAGrapalat-Bold"/>
                <w:b w:val="0"/>
                <w:bCs/>
                <w:szCs w:val="22"/>
                <w:lang w:val="hy-AM"/>
              </w:rPr>
              <w:tab/>
            </w:r>
          </w:p>
        </w:tc>
        <w:tc>
          <w:tcPr>
            <w:tcW w:w="7951" w:type="dxa"/>
          </w:tcPr>
          <w:p w14:paraId="433177F4"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Սպառողական գների ինդեքս</w:t>
            </w:r>
          </w:p>
        </w:tc>
      </w:tr>
      <w:tr w:rsidR="00674E04" w:rsidRPr="00933CA4" w14:paraId="43284076" w14:textId="77777777" w:rsidTr="00274986">
        <w:tc>
          <w:tcPr>
            <w:tcW w:w="1795" w:type="dxa"/>
          </w:tcPr>
          <w:p w14:paraId="635A7C04"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ՎԶՄԲ</w:t>
            </w:r>
            <w:r w:rsidRPr="00521D5B">
              <w:rPr>
                <w:rFonts w:cs="GHEAGrapalat-Bold"/>
                <w:b w:val="0"/>
                <w:bCs/>
                <w:szCs w:val="22"/>
                <w:lang w:val="hy-AM"/>
              </w:rPr>
              <w:tab/>
            </w:r>
            <w:r w:rsidRPr="00521D5B">
              <w:rPr>
                <w:rFonts w:cs="GHEAGrapalat-Bold"/>
                <w:b w:val="0"/>
                <w:bCs/>
                <w:szCs w:val="22"/>
                <w:lang w:val="hy-AM"/>
              </w:rPr>
              <w:tab/>
            </w:r>
          </w:p>
        </w:tc>
        <w:tc>
          <w:tcPr>
            <w:tcW w:w="7951" w:type="dxa"/>
          </w:tcPr>
          <w:p w14:paraId="21548969"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Վերակառուցման և զարգացման միջազգային բանկ</w:t>
            </w:r>
          </w:p>
        </w:tc>
      </w:tr>
      <w:tr w:rsidR="00674E04" w:rsidRPr="00521D5B" w14:paraId="6B38FAD1" w14:textId="77777777" w:rsidTr="00274986">
        <w:tc>
          <w:tcPr>
            <w:tcW w:w="1795" w:type="dxa"/>
          </w:tcPr>
          <w:p w14:paraId="7A3DB4FF"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ՏԻՄ</w:t>
            </w:r>
            <w:r w:rsidRPr="00521D5B">
              <w:rPr>
                <w:rFonts w:cs="GHEAGrapalat-Bold"/>
                <w:b w:val="0"/>
                <w:bCs/>
                <w:szCs w:val="22"/>
                <w:lang w:val="hy-AM"/>
              </w:rPr>
              <w:tab/>
            </w:r>
            <w:r w:rsidRPr="00521D5B">
              <w:rPr>
                <w:rFonts w:cs="GHEAGrapalat-Bold"/>
                <w:b w:val="0"/>
                <w:bCs/>
                <w:szCs w:val="22"/>
                <w:lang w:val="hy-AM"/>
              </w:rPr>
              <w:tab/>
            </w:r>
          </w:p>
        </w:tc>
        <w:tc>
          <w:tcPr>
            <w:tcW w:w="7951" w:type="dxa"/>
          </w:tcPr>
          <w:p w14:paraId="2C559B71"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Տեղական ինքնակառավարում</w:t>
            </w:r>
          </w:p>
        </w:tc>
      </w:tr>
      <w:tr w:rsidR="00674E04" w:rsidRPr="00521D5B" w14:paraId="6A3D041E" w14:textId="77777777" w:rsidTr="00274986">
        <w:tc>
          <w:tcPr>
            <w:tcW w:w="1795" w:type="dxa"/>
          </w:tcPr>
          <w:p w14:paraId="03FB09AF" w14:textId="77777777" w:rsidR="00674E04" w:rsidRPr="00521D5B" w:rsidRDefault="00674E04" w:rsidP="00674E04">
            <w:pPr>
              <w:spacing w:before="0" w:line="276" w:lineRule="auto"/>
              <w:rPr>
                <w:szCs w:val="22"/>
                <w:lang w:val="hy-AM"/>
              </w:rPr>
            </w:pPr>
            <w:r w:rsidRPr="00521D5B">
              <w:rPr>
                <w:rFonts w:cs="GHEAGrapalat-Bold"/>
                <w:b w:val="0"/>
                <w:bCs/>
                <w:szCs w:val="22"/>
                <w:lang w:val="hy-AM"/>
              </w:rPr>
              <w:t>ՏՏ</w:t>
            </w:r>
            <w:r w:rsidRPr="00521D5B">
              <w:rPr>
                <w:rFonts w:cs="GHEAGrapalat-Bold"/>
                <w:b w:val="0"/>
                <w:bCs/>
                <w:szCs w:val="22"/>
                <w:lang w:val="hy-AM"/>
              </w:rPr>
              <w:tab/>
            </w:r>
            <w:r w:rsidRPr="00521D5B">
              <w:rPr>
                <w:rFonts w:cs="GHEAGrapalat-Bold"/>
                <w:b w:val="0"/>
                <w:bCs/>
                <w:szCs w:val="22"/>
                <w:lang w:val="hy-AM"/>
              </w:rPr>
              <w:tab/>
            </w:r>
          </w:p>
        </w:tc>
        <w:tc>
          <w:tcPr>
            <w:tcW w:w="7951" w:type="dxa"/>
          </w:tcPr>
          <w:p w14:paraId="50AF2576" w14:textId="77777777" w:rsidR="00674E04" w:rsidRPr="00521D5B" w:rsidRDefault="00674E04" w:rsidP="00674E04">
            <w:pPr>
              <w:spacing w:before="0" w:line="276" w:lineRule="auto"/>
              <w:jc w:val="left"/>
              <w:rPr>
                <w:szCs w:val="22"/>
                <w:lang w:val="hy-AM"/>
              </w:rPr>
            </w:pPr>
            <w:r w:rsidRPr="00521D5B">
              <w:rPr>
                <w:rFonts w:cs="GHEAGrapalat-Bold"/>
                <w:b w:val="0"/>
                <w:bCs/>
                <w:szCs w:val="22"/>
                <w:lang w:val="hy-AM"/>
              </w:rPr>
              <w:t>Տեղեկատվական տեխնոլոգիաներ</w:t>
            </w:r>
          </w:p>
        </w:tc>
      </w:tr>
      <w:tr w:rsidR="00674E04" w:rsidRPr="00521D5B" w14:paraId="23121052" w14:textId="77777777" w:rsidTr="00274986">
        <w:tc>
          <w:tcPr>
            <w:tcW w:w="1795" w:type="dxa"/>
          </w:tcPr>
          <w:p w14:paraId="41D3F473" w14:textId="77777777" w:rsidR="00674E04" w:rsidRPr="00521D5B" w:rsidRDefault="00674E04" w:rsidP="00674E04">
            <w:pPr>
              <w:spacing w:before="0" w:line="276" w:lineRule="auto"/>
              <w:rPr>
                <w:szCs w:val="22"/>
                <w:lang w:val="hy-AM"/>
              </w:rPr>
            </w:pPr>
            <w:r w:rsidRPr="00521D5B">
              <w:rPr>
                <w:rFonts w:cs="GHEAGrapalat-Bold"/>
                <w:b w:val="0"/>
                <w:bCs/>
                <w:szCs w:val="22"/>
                <w:lang w:val="hy-AM"/>
              </w:rPr>
              <w:t>ՓԲԸ</w:t>
            </w:r>
            <w:r w:rsidRPr="00521D5B">
              <w:rPr>
                <w:rFonts w:cs="GHEAGrapalat-Bold"/>
                <w:b w:val="0"/>
                <w:bCs/>
                <w:szCs w:val="22"/>
                <w:lang w:val="hy-AM"/>
              </w:rPr>
              <w:tab/>
            </w:r>
            <w:r w:rsidRPr="00521D5B">
              <w:rPr>
                <w:rFonts w:cs="GHEAGrapalat-Bold"/>
                <w:b w:val="0"/>
                <w:bCs/>
                <w:szCs w:val="22"/>
                <w:lang w:val="hy-AM"/>
              </w:rPr>
              <w:tab/>
            </w:r>
          </w:p>
        </w:tc>
        <w:tc>
          <w:tcPr>
            <w:tcW w:w="7951" w:type="dxa"/>
          </w:tcPr>
          <w:p w14:paraId="7B55BBC9"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Փակ բաժնետիրական</w:t>
            </w:r>
            <w:r w:rsidRPr="00521D5B">
              <w:rPr>
                <w:b w:val="0"/>
                <w:noProof/>
                <w:szCs w:val="22"/>
                <w:lang w:val="hy-AM"/>
              </w:rPr>
              <w:t xml:space="preserve"> ընկերություն</w:t>
            </w:r>
          </w:p>
        </w:tc>
      </w:tr>
      <w:tr w:rsidR="00674E04" w:rsidRPr="00521D5B" w14:paraId="503E3A48" w14:textId="77777777" w:rsidTr="00274986">
        <w:tc>
          <w:tcPr>
            <w:tcW w:w="1795" w:type="dxa"/>
          </w:tcPr>
          <w:p w14:paraId="0708EED6" w14:textId="77777777" w:rsidR="00674E04" w:rsidRPr="00521D5B" w:rsidRDefault="00674E04" w:rsidP="00674E04">
            <w:pPr>
              <w:spacing w:before="0" w:line="276" w:lineRule="auto"/>
              <w:rPr>
                <w:szCs w:val="22"/>
                <w:lang w:val="hy-AM"/>
              </w:rPr>
            </w:pPr>
            <w:r w:rsidRPr="00521D5B">
              <w:rPr>
                <w:rFonts w:cs="GHEAGrapalat-Bold"/>
                <w:b w:val="0"/>
                <w:bCs/>
                <w:szCs w:val="22"/>
                <w:lang w:val="hy-AM"/>
              </w:rPr>
              <w:t>ՓՄՁ</w:t>
            </w:r>
            <w:r w:rsidRPr="00521D5B">
              <w:rPr>
                <w:rFonts w:cs="GHEAGrapalat-Bold"/>
                <w:b w:val="0"/>
                <w:bCs/>
                <w:szCs w:val="22"/>
                <w:lang w:val="hy-AM"/>
              </w:rPr>
              <w:tab/>
            </w:r>
            <w:r w:rsidRPr="00521D5B">
              <w:rPr>
                <w:rFonts w:cs="GHEAGrapalat-Bold"/>
                <w:b w:val="0"/>
                <w:bCs/>
                <w:szCs w:val="22"/>
                <w:lang w:val="hy-AM"/>
              </w:rPr>
              <w:tab/>
            </w:r>
          </w:p>
        </w:tc>
        <w:tc>
          <w:tcPr>
            <w:tcW w:w="7951" w:type="dxa"/>
          </w:tcPr>
          <w:p w14:paraId="7CBF416F"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Փոքր և միջին ձեռնարկատիրություն</w:t>
            </w:r>
          </w:p>
        </w:tc>
      </w:tr>
      <w:tr w:rsidR="00674E04" w:rsidRPr="00521D5B" w14:paraId="40B36CEF" w14:textId="77777777" w:rsidTr="00274986">
        <w:tc>
          <w:tcPr>
            <w:tcW w:w="1795" w:type="dxa"/>
          </w:tcPr>
          <w:p w14:paraId="7E4EB8D7" w14:textId="77777777" w:rsidR="00674E04" w:rsidRPr="00521D5B" w:rsidRDefault="00674E04" w:rsidP="00674E04">
            <w:pPr>
              <w:spacing w:before="0" w:line="276" w:lineRule="auto"/>
              <w:rPr>
                <w:szCs w:val="22"/>
                <w:lang w:val="hy-AM"/>
              </w:rPr>
            </w:pPr>
            <w:r w:rsidRPr="00521D5B">
              <w:rPr>
                <w:rFonts w:cs="GHEAGrapalat-Bold"/>
                <w:b w:val="0"/>
                <w:bCs/>
                <w:szCs w:val="22"/>
                <w:lang w:val="hy-AM"/>
              </w:rPr>
              <w:t>ՔՀԿ</w:t>
            </w:r>
            <w:r w:rsidRPr="00521D5B">
              <w:rPr>
                <w:rFonts w:cs="GHEAGrapalat-Bold"/>
                <w:b w:val="0"/>
                <w:bCs/>
                <w:szCs w:val="22"/>
                <w:lang w:val="hy-AM"/>
              </w:rPr>
              <w:tab/>
            </w:r>
            <w:r w:rsidRPr="00521D5B">
              <w:rPr>
                <w:rFonts w:cs="GHEAGrapalat-Bold"/>
                <w:b w:val="0"/>
                <w:bCs/>
                <w:szCs w:val="22"/>
                <w:lang w:val="hy-AM"/>
              </w:rPr>
              <w:tab/>
            </w:r>
          </w:p>
        </w:tc>
        <w:tc>
          <w:tcPr>
            <w:tcW w:w="7951" w:type="dxa"/>
          </w:tcPr>
          <w:p w14:paraId="2D160465"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hy-AM"/>
              </w:rPr>
              <w:t xml:space="preserve">Քաղաքացիական հասարակության կազմակերպություններ </w:t>
            </w:r>
          </w:p>
        </w:tc>
      </w:tr>
      <w:tr w:rsidR="00674E04" w:rsidRPr="00521D5B" w14:paraId="4B61A486" w14:textId="77777777" w:rsidTr="00274986">
        <w:tc>
          <w:tcPr>
            <w:tcW w:w="1795" w:type="dxa"/>
          </w:tcPr>
          <w:p w14:paraId="3E66E949" w14:textId="77777777" w:rsidR="00674E04" w:rsidRPr="00521D5B" w:rsidRDefault="00674E04" w:rsidP="00674E04">
            <w:pPr>
              <w:spacing w:before="0" w:line="276" w:lineRule="auto"/>
              <w:rPr>
                <w:szCs w:val="22"/>
                <w:lang w:val="hy-AM"/>
              </w:rPr>
            </w:pPr>
            <w:r w:rsidRPr="00521D5B">
              <w:rPr>
                <w:rFonts w:cs="GHEAGrapalat-Bold"/>
                <w:b w:val="0"/>
                <w:bCs/>
                <w:szCs w:val="22"/>
                <w:lang w:val="hy-AM"/>
              </w:rPr>
              <w:t>ՖՆ</w:t>
            </w:r>
            <w:r w:rsidRPr="00521D5B">
              <w:rPr>
                <w:rFonts w:cs="GHEAGrapalat-Bold"/>
                <w:b w:val="0"/>
                <w:bCs/>
                <w:szCs w:val="22"/>
                <w:lang w:val="hy-AM"/>
              </w:rPr>
              <w:tab/>
            </w:r>
            <w:r w:rsidRPr="00521D5B">
              <w:rPr>
                <w:rFonts w:cs="GHEAGrapalat-Bold"/>
                <w:b w:val="0"/>
                <w:bCs/>
                <w:szCs w:val="22"/>
                <w:lang w:val="hy-AM"/>
              </w:rPr>
              <w:tab/>
            </w:r>
          </w:p>
        </w:tc>
        <w:tc>
          <w:tcPr>
            <w:tcW w:w="7951" w:type="dxa"/>
          </w:tcPr>
          <w:p w14:paraId="0D1074E8" w14:textId="77777777" w:rsidR="00674E04" w:rsidRPr="00521D5B" w:rsidRDefault="00674E04" w:rsidP="00674E04">
            <w:pPr>
              <w:autoSpaceDE w:val="0"/>
              <w:autoSpaceDN w:val="0"/>
              <w:adjustRightInd w:val="0"/>
              <w:spacing w:line="276" w:lineRule="auto"/>
              <w:jc w:val="left"/>
              <w:rPr>
                <w:rFonts w:cs="GHEAGrapalat-Bold"/>
                <w:b w:val="0"/>
                <w:bCs/>
                <w:szCs w:val="22"/>
                <w:lang w:val="hy-AM"/>
              </w:rPr>
            </w:pPr>
            <w:r w:rsidRPr="00521D5B">
              <w:rPr>
                <w:rFonts w:cs="GHEAGrapalat-Bold"/>
                <w:b w:val="0"/>
                <w:bCs/>
                <w:szCs w:val="22"/>
                <w:lang w:val="en-US"/>
              </w:rPr>
              <w:t xml:space="preserve">ՀՀ </w:t>
            </w:r>
            <w:r w:rsidRPr="00521D5B">
              <w:rPr>
                <w:rFonts w:cs="GHEAGrapalat-Bold"/>
                <w:b w:val="0"/>
                <w:bCs/>
                <w:szCs w:val="22"/>
                <w:lang w:val="hy-AM"/>
              </w:rPr>
              <w:t>ֆինանսների նախարարություն</w:t>
            </w:r>
          </w:p>
        </w:tc>
      </w:tr>
    </w:tbl>
    <w:p w14:paraId="7BF18404" w14:textId="77777777" w:rsidR="0089451E" w:rsidRPr="00521D5B" w:rsidRDefault="0089451E" w:rsidP="007730AA">
      <w:pPr>
        <w:spacing w:before="0"/>
        <w:jc w:val="center"/>
        <w:rPr>
          <w:szCs w:val="22"/>
          <w:lang w:val="hy-AM"/>
        </w:rPr>
      </w:pPr>
    </w:p>
    <w:p w14:paraId="7B627766" w14:textId="77777777" w:rsidR="0089451E" w:rsidRPr="007955BB" w:rsidRDefault="0089451E">
      <w:pPr>
        <w:spacing w:before="0" w:line="240" w:lineRule="auto"/>
        <w:jc w:val="left"/>
        <w:rPr>
          <w:sz w:val="32"/>
          <w:szCs w:val="32"/>
          <w:lang w:val="hy-AM"/>
        </w:rPr>
      </w:pPr>
      <w:r w:rsidRPr="007955BB">
        <w:rPr>
          <w:sz w:val="32"/>
          <w:szCs w:val="32"/>
          <w:lang w:val="hy-AM"/>
        </w:rPr>
        <w:br w:type="page"/>
      </w:r>
    </w:p>
    <w:p w14:paraId="3D78E652" w14:textId="77777777" w:rsidR="00666E8A" w:rsidRPr="00521D5B" w:rsidRDefault="00666E8A" w:rsidP="00666E8A">
      <w:pPr>
        <w:pStyle w:val="Heading1"/>
      </w:pPr>
      <w:bookmarkStart w:id="1" w:name="_Toc89428249"/>
      <w:bookmarkStart w:id="2" w:name="_Toc146743318"/>
      <w:bookmarkStart w:id="3" w:name="_Toc146910991"/>
      <w:bookmarkStart w:id="4" w:name="_Toc153184438"/>
      <w:r w:rsidRPr="00521D5B">
        <w:lastRenderedPageBreak/>
        <w:t>ՎԱՐՉԱՊԵՏ ՆԻԿՈԼ ՓԱՇԻՆՅԱՆԻ ՈՒՂԵՐՁԸ ՀԱՅԱՍՏԱՆԻ ՀԱՆՐԱՊԵՏՈՒԹՅԱՆ           202</w:t>
      </w:r>
      <w:r>
        <w:t>4</w:t>
      </w:r>
      <w:r w:rsidRPr="00521D5B">
        <w:t xml:space="preserve"> ԹՎԱԿԱՆԻ ՊԵՏԱԿԱՆ ԲՅՈՒՋԵԻ ԸՆԴՈՒՆՄԱՆ ԱՌԻԹՈՎ</w:t>
      </w:r>
      <w:bookmarkEnd w:id="1"/>
      <w:bookmarkEnd w:id="2"/>
      <w:bookmarkEnd w:id="3"/>
      <w:bookmarkEnd w:id="4"/>
    </w:p>
    <w:p w14:paraId="6228A27E" w14:textId="77777777" w:rsidR="00666E8A" w:rsidRDefault="00666E8A" w:rsidP="00666E8A">
      <w:pPr>
        <w:autoSpaceDE w:val="0"/>
        <w:autoSpaceDN w:val="0"/>
        <w:adjustRightInd w:val="0"/>
        <w:rPr>
          <w:b w:val="0"/>
          <w:noProof/>
          <w:lang w:val="hy-AM" w:eastAsia="en-US"/>
        </w:rPr>
      </w:pPr>
    </w:p>
    <w:p w14:paraId="4BEE9949" w14:textId="77777777" w:rsidR="00666E8A" w:rsidRPr="00983791" w:rsidRDefault="00666E8A" w:rsidP="00666E8A">
      <w:pPr>
        <w:autoSpaceDE w:val="0"/>
        <w:autoSpaceDN w:val="0"/>
        <w:adjustRightInd w:val="0"/>
        <w:rPr>
          <w:rFonts w:eastAsiaTheme="minorEastAsia" w:cs="GHEA Grapalat"/>
          <w:b w:val="0"/>
          <w:szCs w:val="22"/>
          <w:lang w:val="hy-AM" w:eastAsia="en-US"/>
        </w:rPr>
      </w:pPr>
      <w:r w:rsidRPr="00983791">
        <w:rPr>
          <w:rFonts w:eastAsiaTheme="minorEastAsia" w:cs="GHEA Grapalat"/>
          <w:b w:val="0"/>
          <w:noProof/>
          <w:szCs w:val="22"/>
          <w:lang w:val="en-US" w:eastAsia="en-US"/>
        </w:rPr>
        <w:drawing>
          <wp:anchor distT="0" distB="0" distL="114300" distR="114300" simplePos="0" relativeHeight="251756544" behindDoc="0" locked="0" layoutInCell="1" allowOverlap="1" wp14:anchorId="5538FC25" wp14:editId="7CB2DFF0">
            <wp:simplePos x="0" y="0"/>
            <wp:positionH relativeFrom="margin">
              <wp:align>left</wp:align>
            </wp:positionH>
            <wp:positionV relativeFrom="paragraph">
              <wp:posOffset>85725</wp:posOffset>
            </wp:positionV>
            <wp:extent cx="3048000" cy="2251075"/>
            <wp:effectExtent l="0" t="0" r="0" b="0"/>
            <wp:wrapSquare wrapText="bothSides"/>
            <wp:docPr id="36" name="Picture 36" descr="Նիկոլ Փաշինյա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Նիկոլ Փաշինյան"/>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2251075"/>
                    </a:xfrm>
                    <a:prstGeom prst="rect">
                      <a:avLst/>
                    </a:prstGeom>
                    <a:noFill/>
                  </pic:spPr>
                </pic:pic>
              </a:graphicData>
            </a:graphic>
            <wp14:sizeRelH relativeFrom="page">
              <wp14:pctWidth>0</wp14:pctWidth>
            </wp14:sizeRelH>
            <wp14:sizeRelV relativeFrom="page">
              <wp14:pctHeight>0</wp14:pctHeight>
            </wp14:sizeRelV>
          </wp:anchor>
        </w:drawing>
      </w:r>
      <w:r w:rsidRPr="00983791">
        <w:rPr>
          <w:rFonts w:eastAsiaTheme="minorEastAsia" w:cs="GHEA Grapalat"/>
          <w:b w:val="0"/>
          <w:szCs w:val="22"/>
          <w:lang w:val="hy-AM" w:eastAsia="en-US"/>
        </w:rPr>
        <w:t>Սիրելի քաղաքացիներ</w:t>
      </w:r>
    </w:p>
    <w:p w14:paraId="45521237" w14:textId="468530B1" w:rsidR="000E4178" w:rsidRPr="00983791" w:rsidRDefault="00666E8A" w:rsidP="00666E8A">
      <w:pPr>
        <w:rPr>
          <w:rFonts w:eastAsiaTheme="minorEastAsia" w:cs="GHEA Grapalat"/>
          <w:b w:val="0"/>
          <w:szCs w:val="22"/>
          <w:lang w:val="hy-AM" w:eastAsia="en-US"/>
        </w:rPr>
      </w:pPr>
      <w:r w:rsidRPr="00983791">
        <w:rPr>
          <w:rFonts w:eastAsiaTheme="minorEastAsia" w:cs="GHEA Grapalat"/>
          <w:b w:val="0"/>
          <w:szCs w:val="22"/>
          <w:lang w:val="hy-AM" w:eastAsia="en-US"/>
        </w:rPr>
        <w:t>Այս բյուջեն նախորդ տարիներին ՀՀ կառավարության կողմից իրականացվող</w:t>
      </w:r>
      <w:r>
        <w:rPr>
          <w:rFonts w:eastAsiaTheme="minorEastAsia" w:cs="GHEA Grapalat"/>
          <w:b w:val="0"/>
          <w:szCs w:val="22"/>
          <w:lang w:val="hy-AM" w:eastAsia="en-US"/>
        </w:rPr>
        <w:t xml:space="preserve"> </w:t>
      </w:r>
      <w:r w:rsidRPr="00983791">
        <w:rPr>
          <w:rFonts w:eastAsiaTheme="minorEastAsia" w:cs="GHEA Grapalat"/>
          <w:b w:val="0"/>
          <w:szCs w:val="22"/>
          <w:lang w:val="hy-AM" w:eastAsia="en-US"/>
        </w:rPr>
        <w:t>քաղաքականությունների շարունակու</w:t>
      </w:r>
      <w:r w:rsidR="00472E58">
        <w:rPr>
          <w:rFonts w:eastAsiaTheme="minorEastAsia" w:cs="GHEA Grapalat"/>
          <w:b w:val="0"/>
          <w:szCs w:val="22"/>
          <w:lang w:val="hy-AM" w:eastAsia="en-US"/>
        </w:rPr>
        <w:t>-</w:t>
      </w:r>
      <w:r w:rsidRPr="00983791">
        <w:rPr>
          <w:rFonts w:eastAsiaTheme="minorEastAsia" w:cs="GHEA Grapalat"/>
          <w:b w:val="0"/>
          <w:szCs w:val="22"/>
          <w:lang w:val="hy-AM" w:eastAsia="en-US"/>
        </w:rPr>
        <w:t>թյունն է: Այն 2021-2026 թվականների կառավարության ծրագրի 3-րդ բյուջեն է և ամբողջությամբ համահունչ է, թե կառավարության ծրագրով և թե 2024-2026 թվականների Միջնաժամկետ ծախսային ծրագրով սահմանված ՀՀ կառավարության առաջնահերթություն</w:t>
      </w:r>
      <w:r w:rsidR="000E4178">
        <w:rPr>
          <w:rFonts w:eastAsiaTheme="minorEastAsia" w:cs="GHEA Grapalat"/>
          <w:b w:val="0"/>
          <w:szCs w:val="22"/>
          <w:lang w:val="hy-AM" w:eastAsia="en-US"/>
        </w:rPr>
        <w:t>-</w:t>
      </w:r>
      <w:r w:rsidRPr="00983791">
        <w:rPr>
          <w:rFonts w:eastAsiaTheme="minorEastAsia" w:cs="GHEA Grapalat"/>
          <w:b w:val="0"/>
          <w:szCs w:val="22"/>
          <w:lang w:val="hy-AM" w:eastAsia="en-US"/>
        </w:rPr>
        <w:t>ներին:</w:t>
      </w:r>
    </w:p>
    <w:p w14:paraId="653A32C9" w14:textId="77777777" w:rsidR="00666E8A" w:rsidRPr="00983791" w:rsidRDefault="00666E8A" w:rsidP="00666E8A">
      <w:pPr>
        <w:rPr>
          <w:rFonts w:eastAsiaTheme="minorEastAsia" w:cs="GHEA Grapalat"/>
          <w:b w:val="0"/>
          <w:szCs w:val="22"/>
          <w:lang w:val="hy-AM" w:eastAsia="en-US"/>
        </w:rPr>
      </w:pPr>
      <w:r w:rsidRPr="00983791">
        <w:rPr>
          <w:rFonts w:eastAsiaTheme="minorEastAsia" w:cs="GHEA Grapalat"/>
          <w:b w:val="0"/>
          <w:szCs w:val="22"/>
          <w:lang w:val="hy-AM" w:eastAsia="en-US"/>
        </w:rPr>
        <w:t xml:space="preserve">2024 թվականին ՀՀ կառավարության հարկաբյուջետային քաղաքականությունն ուղղված կլինի ՀՀ անվտանգության ամրապնդմանը, տնտեսական ենթակառուցվածքների զարգացմանն ու հասանելիության բարձրացմանը, մարդկային կապիտալի զարգացմանը:  </w:t>
      </w:r>
    </w:p>
    <w:p w14:paraId="04BB299B" w14:textId="77777777" w:rsidR="00666E8A" w:rsidRPr="00983791" w:rsidRDefault="00666E8A" w:rsidP="00666E8A">
      <w:pPr>
        <w:rPr>
          <w:rFonts w:eastAsiaTheme="minorEastAsia" w:cs="GHEA Grapalat"/>
          <w:b w:val="0"/>
          <w:szCs w:val="22"/>
          <w:lang w:val="hy-AM" w:eastAsia="en-US"/>
        </w:rPr>
      </w:pPr>
      <w:r w:rsidRPr="00983791">
        <w:rPr>
          <w:rFonts w:eastAsiaTheme="minorEastAsia" w:cs="GHEA Grapalat"/>
          <w:b w:val="0"/>
          <w:szCs w:val="22"/>
          <w:lang w:val="hy-AM" w:eastAsia="en-US"/>
        </w:rPr>
        <w:t>ՀՀ կառավարության ծրագրի առաջնահերթություններին համահունչ կիրականացվեն սոցիալական, կրթական, առողջապահական, ենթակառուցվածքային բնույթի մի շարք առաջնահերթ միջոցառումներ, որոնց արդյունքում կապահովվեն ՀՀ կառավարության կոմից սահմանված առանցքային թիրախների իրագործումը.  Այդ նպատակով մենք ավելացնելու ենք մեր ծախսերը և ջանքերը և նոր տեմպ ենք հաղորդելու նախատեսված ծրագրերի իրանացմանը: Հատկապես մեծ թափ են ստանալու դպրոցաշինության, Հյուսիս-Հարավ ճանապարհի և ջրային համակարգի զարգացման ծրագրերը:</w:t>
      </w:r>
    </w:p>
    <w:p w14:paraId="1B37D7F5" w14:textId="77777777" w:rsidR="00666E8A" w:rsidRPr="00983791" w:rsidRDefault="00666E8A" w:rsidP="00666E8A">
      <w:pPr>
        <w:rPr>
          <w:rFonts w:eastAsiaTheme="minorEastAsia" w:cs="GHEA Grapalat"/>
          <w:b w:val="0"/>
          <w:szCs w:val="22"/>
          <w:lang w:val="hy-AM" w:eastAsia="en-US"/>
        </w:rPr>
      </w:pPr>
      <w:r w:rsidRPr="00983791">
        <w:rPr>
          <w:rFonts w:eastAsiaTheme="minorEastAsia" w:cs="GHEA Grapalat"/>
          <w:b w:val="0"/>
          <w:szCs w:val="22"/>
          <w:lang w:val="hy-AM" w:eastAsia="en-US"/>
        </w:rPr>
        <w:t>Մենք բյուջեն հաստատում ենք այնպիսի միջավայրում, երբ ունենք ահագնացող անվտանգային խնդիրներ և տասնյակ հազարավոր բռնի տեղահանված անձինք, ում պետք է ապահովենք անհրաժեշտ առաջնային հոգատարությամբ և միջնաժամկետ հատվածում ապահովենք արժանապատիվ կեցությունը Հայաստանի Հանրապետությունում: Նշված մարտահրավերներին դիմակայելու նպատակով մենք ձևավորել ենք հարկաբյուջետային ապահության բարձիկներ և կիրականացնենք միջոցառումներ, որոնք միտված են բարձրացնելու տնտեսության դիմադրողականությունը, ազգային անվտանգությունը և պաշտպանվածությունը:</w:t>
      </w:r>
    </w:p>
    <w:p w14:paraId="486491C5" w14:textId="77777777" w:rsidR="00666E8A" w:rsidRPr="00983791" w:rsidRDefault="00666E8A" w:rsidP="00666E8A">
      <w:pPr>
        <w:rPr>
          <w:rFonts w:eastAsiaTheme="minorEastAsia" w:cs="GHEA Grapalat"/>
          <w:b w:val="0"/>
          <w:szCs w:val="22"/>
          <w:lang w:val="hy-AM" w:eastAsia="en-US"/>
        </w:rPr>
      </w:pPr>
      <w:r w:rsidRPr="00983791">
        <w:rPr>
          <w:rFonts w:eastAsiaTheme="minorEastAsia" w:cs="GHEA Grapalat"/>
          <w:b w:val="0"/>
          <w:szCs w:val="22"/>
          <w:lang w:val="hy-AM" w:eastAsia="en-US"/>
        </w:rPr>
        <w:t>Մենք հավատարիմ ենք 7 տոկոս տնտեսական աճ ապահովելու կառավարության ծրագրով սահմանված թիրախին և անելու ենք ամեն ինչ 2024 թվականին այնպիսի տնտեսական միջավայր ստեղծելու համար, որը լավագույնս կնպաստի մեր տնտեսության ներառական զարգացման և մեր ժողովրդի ստեղծագործ ներուժի մեծացմանը:</w:t>
      </w:r>
    </w:p>
    <w:p w14:paraId="0B8B7E44" w14:textId="3870662D" w:rsidR="002E585F" w:rsidRPr="00521D5B" w:rsidRDefault="002E585F" w:rsidP="0009272D">
      <w:pPr>
        <w:pStyle w:val="Heading1"/>
      </w:pPr>
      <w:bookmarkStart w:id="5" w:name="_Toc153184439"/>
      <w:r w:rsidRPr="00521D5B">
        <w:lastRenderedPageBreak/>
        <w:t>ՀԱՅԱՍՏԱՆԻ</w:t>
      </w:r>
      <w:r w:rsidR="00454241" w:rsidRPr="00521D5B">
        <w:t xml:space="preserve"> </w:t>
      </w:r>
      <w:r w:rsidRPr="00521D5B">
        <w:t>ՀԱՆՐԱՊԵՏՈՒԹՅԱՆ</w:t>
      </w:r>
      <w:r w:rsidR="00DD1B33" w:rsidRPr="00521D5B">
        <w:t xml:space="preserve"> </w:t>
      </w:r>
      <w:r w:rsidRPr="00521D5B">
        <w:t>ԿԱՌԱՎԱՐՈՒԹՅԱՆ</w:t>
      </w:r>
      <w:r w:rsidR="00DD1B33" w:rsidRPr="00521D5B">
        <w:t xml:space="preserve"> ԶԵԿՈՒՅՑԸ</w:t>
      </w:r>
      <w:bookmarkEnd w:id="5"/>
    </w:p>
    <w:p w14:paraId="0177B413" w14:textId="77777777" w:rsidR="00521D5B" w:rsidRPr="00521D5B" w:rsidRDefault="00521D5B" w:rsidP="00521D5B">
      <w:pPr>
        <w:rPr>
          <w:lang w:val="hy-AM" w:eastAsia="en-US"/>
        </w:rPr>
      </w:pPr>
    </w:p>
    <w:p w14:paraId="6843E74F" w14:textId="77777777" w:rsidR="00922CF5" w:rsidRPr="00521D5B" w:rsidRDefault="00922CF5" w:rsidP="0009272D">
      <w:pPr>
        <w:pStyle w:val="Heading1"/>
      </w:pPr>
      <w:bookmarkStart w:id="6" w:name="_Toc153184440"/>
      <w:r w:rsidRPr="00521D5B">
        <w:t>ՆԵՐԱԾՈՒԹՅՈՒՆ</w:t>
      </w:r>
      <w:bookmarkEnd w:id="6"/>
    </w:p>
    <w:p w14:paraId="100DBA90" w14:textId="77777777" w:rsidR="008C3BDB" w:rsidRPr="007955BB" w:rsidRDefault="008C3BDB" w:rsidP="00C0193D">
      <w:pPr>
        <w:keepNext/>
        <w:ind w:firstLine="450"/>
        <w:rPr>
          <w:szCs w:val="22"/>
          <w:lang w:val="hy-AM"/>
        </w:rPr>
      </w:pPr>
    </w:p>
    <w:p w14:paraId="00583B66" w14:textId="77777777" w:rsidR="00666E8A" w:rsidRDefault="00666E8A" w:rsidP="00666E8A">
      <w:pPr>
        <w:tabs>
          <w:tab w:val="left" w:pos="0"/>
          <w:tab w:val="left" w:pos="284"/>
        </w:tabs>
        <w:autoSpaceDE w:val="0"/>
        <w:autoSpaceDN w:val="0"/>
        <w:adjustRightInd w:val="0"/>
        <w:rPr>
          <w:rFonts w:eastAsiaTheme="minorEastAsia" w:cs="GHEA Grapalat"/>
          <w:b w:val="0"/>
          <w:color w:val="000000" w:themeColor="text1"/>
          <w:szCs w:val="22"/>
          <w:lang w:val="hy-AM" w:eastAsia="en-US"/>
        </w:rPr>
      </w:pPr>
      <w:r>
        <w:rPr>
          <w:rFonts w:eastAsiaTheme="minorEastAsia" w:cs="GHEA Grapalat"/>
          <w:b w:val="0"/>
          <w:color w:val="000000" w:themeColor="text1"/>
          <w:szCs w:val="22"/>
          <w:lang w:val="hy-AM" w:eastAsia="en-US"/>
        </w:rPr>
        <w:t xml:space="preserve">ՀՀ </w:t>
      </w:r>
      <w:r w:rsidRPr="007C7EB0">
        <w:rPr>
          <w:rFonts w:eastAsiaTheme="minorEastAsia" w:cs="GHEA Grapalat"/>
          <w:b w:val="0"/>
          <w:color w:val="000000" w:themeColor="text1"/>
          <w:szCs w:val="22"/>
          <w:lang w:val="hy-AM" w:eastAsia="en-US"/>
        </w:rPr>
        <w:t xml:space="preserve">2024 թվականի </w:t>
      </w:r>
      <w:r>
        <w:rPr>
          <w:rFonts w:eastAsiaTheme="minorEastAsia" w:cs="GHEA Grapalat"/>
          <w:b w:val="0"/>
          <w:color w:val="000000" w:themeColor="text1"/>
          <w:szCs w:val="22"/>
          <w:lang w:val="hy-AM" w:eastAsia="en-US"/>
        </w:rPr>
        <w:t xml:space="preserve">պետական </w:t>
      </w:r>
      <w:r w:rsidRPr="007C7EB0">
        <w:rPr>
          <w:rFonts w:eastAsiaTheme="minorEastAsia" w:cs="GHEA Grapalat"/>
          <w:b w:val="0"/>
          <w:color w:val="000000" w:themeColor="text1"/>
          <w:szCs w:val="22"/>
          <w:lang w:val="hy-AM" w:eastAsia="en-US"/>
        </w:rPr>
        <w:t>բյուջե</w:t>
      </w:r>
      <w:r>
        <w:rPr>
          <w:rFonts w:eastAsiaTheme="minorEastAsia" w:cs="GHEA Grapalat"/>
          <w:b w:val="0"/>
          <w:color w:val="000000" w:themeColor="text1"/>
          <w:szCs w:val="22"/>
          <w:lang w:val="hy-AM" w:eastAsia="en-US"/>
        </w:rPr>
        <w:t xml:space="preserve">ն հիմնվում է </w:t>
      </w:r>
      <w:r w:rsidRPr="007C7EB0">
        <w:rPr>
          <w:rFonts w:eastAsiaTheme="minorEastAsia" w:cs="GHEA Grapalat"/>
          <w:b w:val="0"/>
          <w:color w:val="000000" w:themeColor="text1"/>
          <w:szCs w:val="22"/>
          <w:lang w:val="hy-AM" w:eastAsia="en-US"/>
        </w:rPr>
        <w:t>ՀՀ կառավարության 2021 թվականի օգոստոսի 18-ի N 1363-Ն որոշմամբ հաստատված ՀՀ կառավարության 2021-2026թթ. ծրագր</w:t>
      </w:r>
      <w:r>
        <w:rPr>
          <w:rFonts w:eastAsiaTheme="minorEastAsia" w:cs="GHEA Grapalat"/>
          <w:b w:val="0"/>
          <w:color w:val="000000" w:themeColor="text1"/>
          <w:szCs w:val="22"/>
          <w:lang w:val="hy-AM" w:eastAsia="en-US"/>
        </w:rPr>
        <w:t xml:space="preserve">ի դրույթների վրա և ուղղված է այդ ծրագրով և ՀՀ կառավարության կողմից հաստատված ոլորտային ռազմավարություններով, ինչպես նաև </w:t>
      </w:r>
      <w:r w:rsidRPr="007C7EB0">
        <w:rPr>
          <w:rFonts w:eastAsiaTheme="minorEastAsia" w:cs="GHEA Grapalat"/>
          <w:b w:val="0"/>
          <w:color w:val="000000" w:themeColor="text1"/>
          <w:szCs w:val="22"/>
          <w:lang w:val="hy-AM" w:eastAsia="en-US"/>
        </w:rPr>
        <w:t xml:space="preserve">ՀՀ կառավարության 2023 թվականի հունիսի 29-ի N 1082-Ն որոշմամբ հաստատված ՀՀ 2024-2026թթ. </w:t>
      </w:r>
      <w:r>
        <w:rPr>
          <w:rFonts w:eastAsiaTheme="minorEastAsia" w:cs="GHEA Grapalat"/>
          <w:b w:val="0"/>
          <w:color w:val="000000" w:themeColor="text1"/>
          <w:szCs w:val="22"/>
          <w:lang w:val="hy-AM" w:eastAsia="en-US"/>
        </w:rPr>
        <w:t xml:space="preserve">ՄԺԾԾ-ով սահմանված ՀՀ կառավարության նպատակների, </w:t>
      </w:r>
      <w:r w:rsidRPr="007C7EB0">
        <w:rPr>
          <w:rFonts w:eastAsiaTheme="minorEastAsia" w:cs="GHEA Grapalat"/>
          <w:b w:val="0"/>
          <w:color w:val="000000" w:themeColor="text1"/>
          <w:szCs w:val="22"/>
          <w:lang w:val="hy-AM" w:eastAsia="en-US"/>
        </w:rPr>
        <w:t>առաջնահերթություններ</w:t>
      </w:r>
      <w:r>
        <w:rPr>
          <w:rFonts w:eastAsiaTheme="minorEastAsia" w:cs="GHEA Grapalat"/>
          <w:b w:val="0"/>
          <w:color w:val="000000" w:themeColor="text1"/>
          <w:szCs w:val="22"/>
          <w:lang w:val="hy-AM" w:eastAsia="en-US"/>
        </w:rPr>
        <w:t>ի և թիրախների ապահովմանը:</w:t>
      </w:r>
    </w:p>
    <w:p w14:paraId="53EB5E0B" w14:textId="77777777" w:rsidR="00666E8A" w:rsidRDefault="00666E8A" w:rsidP="00666E8A">
      <w:pPr>
        <w:tabs>
          <w:tab w:val="left" w:pos="0"/>
          <w:tab w:val="left" w:pos="284"/>
        </w:tabs>
        <w:autoSpaceDE w:val="0"/>
        <w:autoSpaceDN w:val="0"/>
        <w:adjustRightInd w:val="0"/>
        <w:rPr>
          <w:rFonts w:eastAsiaTheme="minorEastAsia" w:cs="GHEA Grapalat"/>
          <w:b w:val="0"/>
          <w:color w:val="000000" w:themeColor="text1"/>
          <w:szCs w:val="22"/>
          <w:lang w:val="hy-AM" w:eastAsia="en-US"/>
        </w:rPr>
      </w:pPr>
      <w:r>
        <w:rPr>
          <w:rFonts w:eastAsiaTheme="minorEastAsia" w:cs="GHEA Grapalat"/>
          <w:b w:val="0"/>
          <w:color w:val="000000" w:themeColor="text1"/>
          <w:szCs w:val="22"/>
          <w:lang w:val="hy-AM" w:eastAsia="en-US"/>
        </w:rPr>
        <w:t>2024թ պետական բյուջեի շրջանակներում ի</w:t>
      </w:r>
      <w:r w:rsidRPr="007C7EB0">
        <w:rPr>
          <w:rFonts w:eastAsiaTheme="minorEastAsia" w:cs="GHEA Grapalat"/>
          <w:b w:val="0"/>
          <w:color w:val="000000" w:themeColor="text1"/>
          <w:szCs w:val="22"/>
          <w:lang w:val="hy-AM" w:eastAsia="en-US"/>
        </w:rPr>
        <w:t>րականացվ</w:t>
      </w:r>
      <w:r>
        <w:rPr>
          <w:rFonts w:eastAsiaTheme="minorEastAsia" w:cs="GHEA Grapalat"/>
          <w:b w:val="0"/>
          <w:color w:val="000000" w:themeColor="text1"/>
          <w:szCs w:val="22"/>
          <w:lang w:val="hy-AM" w:eastAsia="en-US"/>
        </w:rPr>
        <w:t xml:space="preserve">ող </w:t>
      </w:r>
      <w:r w:rsidRPr="007C7EB0">
        <w:rPr>
          <w:rFonts w:eastAsiaTheme="minorEastAsia" w:cs="GHEA Grapalat"/>
          <w:b w:val="0"/>
          <w:color w:val="000000" w:themeColor="text1"/>
          <w:szCs w:val="22"/>
          <w:lang w:val="hy-AM" w:eastAsia="en-US"/>
        </w:rPr>
        <w:t xml:space="preserve">միջոցառումների հիմնական նպատակը լինելու է տնտեսության մրցունակության և արտադրողականության աճը: 2024 թվականին </w:t>
      </w:r>
      <w:r>
        <w:rPr>
          <w:rFonts w:eastAsiaTheme="minorEastAsia" w:cs="GHEA Grapalat"/>
          <w:b w:val="0"/>
          <w:color w:val="000000" w:themeColor="text1"/>
          <w:szCs w:val="22"/>
          <w:lang w:val="hy-AM" w:eastAsia="en-US"/>
        </w:rPr>
        <w:t>ՀՀ կ</w:t>
      </w:r>
      <w:r w:rsidRPr="007C7EB0">
        <w:rPr>
          <w:rFonts w:eastAsiaTheme="minorEastAsia" w:cs="GHEA Grapalat"/>
          <w:b w:val="0"/>
          <w:color w:val="000000" w:themeColor="text1"/>
          <w:szCs w:val="22"/>
          <w:lang w:val="hy-AM" w:eastAsia="en-US"/>
        </w:rPr>
        <w:t>առավարությունը շարունակ</w:t>
      </w:r>
      <w:r>
        <w:rPr>
          <w:rFonts w:eastAsiaTheme="minorEastAsia" w:cs="GHEA Grapalat"/>
          <w:b w:val="0"/>
          <w:color w:val="000000" w:themeColor="text1"/>
          <w:szCs w:val="22"/>
          <w:lang w:val="hy-AM" w:eastAsia="en-US"/>
        </w:rPr>
        <w:t xml:space="preserve">ելու է </w:t>
      </w:r>
      <w:r w:rsidRPr="007C7EB0">
        <w:rPr>
          <w:rFonts w:eastAsiaTheme="minorEastAsia" w:cs="GHEA Grapalat"/>
          <w:b w:val="0"/>
          <w:color w:val="000000" w:themeColor="text1"/>
          <w:szCs w:val="22"/>
          <w:lang w:val="hy-AM" w:eastAsia="en-US"/>
        </w:rPr>
        <w:t xml:space="preserve">թիրախավորել երկարատև բարձր տնտեսական աճի ապահովումը՝ տարեկան </w:t>
      </w:r>
      <w:r>
        <w:rPr>
          <w:rFonts w:eastAsiaTheme="minorEastAsia" w:cs="GHEA Grapalat"/>
          <w:b w:val="0"/>
          <w:color w:val="000000" w:themeColor="text1"/>
          <w:szCs w:val="22"/>
          <w:lang w:val="hy-AM" w:eastAsia="en-US"/>
        </w:rPr>
        <w:t xml:space="preserve">շուրջ </w:t>
      </w:r>
      <w:r w:rsidRPr="007C7EB0">
        <w:rPr>
          <w:rFonts w:eastAsiaTheme="minorEastAsia" w:cs="GHEA Grapalat"/>
          <w:b w:val="0"/>
          <w:color w:val="000000" w:themeColor="text1"/>
          <w:szCs w:val="22"/>
          <w:lang w:val="hy-AM" w:eastAsia="en-US"/>
        </w:rPr>
        <w:t>7</w:t>
      </w:r>
      <w:r>
        <w:rPr>
          <w:rFonts w:eastAsiaTheme="minorEastAsia" w:cs="GHEA Grapalat"/>
          <w:b w:val="0"/>
          <w:color w:val="000000" w:themeColor="text1"/>
          <w:szCs w:val="22"/>
          <w:lang w:val="hy-AM" w:eastAsia="en-US"/>
        </w:rPr>
        <w:t xml:space="preserve"> տոկոս մակարդակում:</w:t>
      </w:r>
      <w:r w:rsidRPr="007C7EB0">
        <w:rPr>
          <w:rFonts w:eastAsiaTheme="minorEastAsia" w:cs="GHEA Grapalat"/>
          <w:b w:val="0"/>
          <w:color w:val="000000" w:themeColor="text1"/>
          <w:szCs w:val="22"/>
          <w:lang w:val="hy-AM" w:eastAsia="en-US"/>
        </w:rPr>
        <w:t xml:space="preserve"> </w:t>
      </w:r>
    </w:p>
    <w:p w14:paraId="0783A95D" w14:textId="3F8A02C6" w:rsidR="00666E8A" w:rsidRPr="00FD1C96" w:rsidRDefault="00666E8A" w:rsidP="00666E8A">
      <w:pPr>
        <w:spacing w:line="256" w:lineRule="auto"/>
        <w:rPr>
          <w:rFonts w:eastAsiaTheme="minorEastAsia" w:cs="GHEA Grapalat"/>
          <w:b w:val="0"/>
          <w:color w:val="000000" w:themeColor="text1"/>
          <w:szCs w:val="22"/>
          <w:lang w:val="hy-AM" w:eastAsia="en-US"/>
        </w:rPr>
      </w:pPr>
      <w:r w:rsidRPr="00FD1C96">
        <w:rPr>
          <w:rFonts w:eastAsiaTheme="minorEastAsia" w:cs="GHEA Grapalat"/>
          <w:b w:val="0"/>
          <w:color w:val="000000" w:themeColor="text1"/>
          <w:szCs w:val="22"/>
          <w:lang w:val="hy-AM" w:eastAsia="en-US"/>
        </w:rPr>
        <w:t>ՀՀ 2024 թվականի պետական բյուջե</w:t>
      </w:r>
      <w:r>
        <w:rPr>
          <w:rFonts w:eastAsiaTheme="minorEastAsia" w:cs="GHEA Grapalat"/>
          <w:b w:val="0"/>
          <w:color w:val="000000" w:themeColor="text1"/>
          <w:szCs w:val="22"/>
          <w:lang w:val="hy-AM" w:eastAsia="en-US"/>
        </w:rPr>
        <w:t xml:space="preserve">ի եկամուտները կկազմեն </w:t>
      </w:r>
      <w:r w:rsidRPr="00FD1C96">
        <w:rPr>
          <w:rFonts w:eastAsiaTheme="minorEastAsia" w:cs="GHEA Grapalat"/>
          <w:b w:val="0"/>
          <w:color w:val="000000" w:themeColor="text1"/>
          <w:szCs w:val="22"/>
          <w:lang w:val="hy-AM" w:eastAsia="en-US"/>
        </w:rPr>
        <w:t>2,</w:t>
      </w:r>
      <w:r w:rsidR="0017773C">
        <w:rPr>
          <w:rFonts w:eastAsiaTheme="minorEastAsia" w:cs="GHEA Grapalat"/>
          <w:b w:val="0"/>
          <w:color w:val="000000" w:themeColor="text1"/>
          <w:szCs w:val="22"/>
          <w:lang w:val="hy-AM" w:eastAsia="en-US"/>
        </w:rPr>
        <w:t>723</w:t>
      </w:r>
      <w:r w:rsidRPr="00FD1C96">
        <w:rPr>
          <w:rFonts w:eastAsiaTheme="minorEastAsia" w:cs="GHEA Grapalat"/>
          <w:b w:val="0"/>
          <w:color w:val="000000" w:themeColor="text1"/>
          <w:szCs w:val="22"/>
          <w:lang w:val="hy-AM" w:eastAsia="en-US"/>
        </w:rPr>
        <w:t>.</w:t>
      </w:r>
      <w:r w:rsidR="0017773C">
        <w:rPr>
          <w:rFonts w:eastAsiaTheme="minorEastAsia" w:cs="GHEA Grapalat"/>
          <w:b w:val="0"/>
          <w:color w:val="000000" w:themeColor="text1"/>
          <w:szCs w:val="22"/>
          <w:lang w:val="hy-AM" w:eastAsia="en-US"/>
        </w:rPr>
        <w:t>6</w:t>
      </w:r>
      <w:r w:rsidRPr="00FD1C96">
        <w:rPr>
          <w:rFonts w:eastAsiaTheme="minorEastAsia" w:cs="GHEA Grapalat"/>
          <w:b w:val="0"/>
          <w:color w:val="000000" w:themeColor="text1"/>
          <w:szCs w:val="22"/>
          <w:lang w:val="hy-AM" w:eastAsia="en-US"/>
        </w:rPr>
        <w:t xml:space="preserve"> մլրդ դրամ, որից հարկային եկամուտների և պետական տուրքերի գծով</w:t>
      </w:r>
      <w:r>
        <w:rPr>
          <w:rFonts w:eastAsiaTheme="minorEastAsia" w:cs="GHEA Grapalat"/>
          <w:b w:val="0"/>
          <w:color w:val="000000" w:themeColor="text1"/>
          <w:szCs w:val="22"/>
          <w:lang w:val="hy-AM" w:eastAsia="en-US"/>
        </w:rPr>
        <w:t xml:space="preserve"> մուտքերը կկազմեն </w:t>
      </w:r>
      <w:r w:rsidRPr="00FD1C96">
        <w:rPr>
          <w:rFonts w:eastAsiaTheme="minorEastAsia" w:cs="GHEA Grapalat"/>
          <w:b w:val="0"/>
          <w:color w:val="000000" w:themeColor="text1"/>
          <w:szCs w:val="22"/>
          <w:lang w:val="hy-AM" w:eastAsia="en-US"/>
        </w:rPr>
        <w:t>2,</w:t>
      </w:r>
      <w:r w:rsidR="00EC591E">
        <w:rPr>
          <w:rFonts w:eastAsiaTheme="minorEastAsia" w:cs="GHEA Grapalat"/>
          <w:b w:val="0"/>
          <w:color w:val="000000" w:themeColor="text1"/>
          <w:szCs w:val="22"/>
          <w:lang w:val="hy-AM" w:eastAsia="en-US"/>
        </w:rPr>
        <w:t>613</w:t>
      </w:r>
      <w:r w:rsidRPr="00FD1C96">
        <w:rPr>
          <w:rFonts w:eastAsiaTheme="minorEastAsia" w:cs="GHEA Grapalat"/>
          <w:b w:val="0"/>
          <w:color w:val="000000" w:themeColor="text1"/>
          <w:szCs w:val="22"/>
          <w:lang w:val="hy-AM" w:eastAsia="en-US"/>
        </w:rPr>
        <w:t>.</w:t>
      </w:r>
      <w:r w:rsidR="00EC591E">
        <w:rPr>
          <w:rFonts w:eastAsiaTheme="minorEastAsia" w:cs="GHEA Grapalat"/>
          <w:b w:val="0"/>
          <w:color w:val="000000" w:themeColor="text1"/>
          <w:szCs w:val="22"/>
          <w:lang w:val="hy-AM" w:eastAsia="en-US"/>
        </w:rPr>
        <w:t>6</w:t>
      </w:r>
      <w:r w:rsidRPr="00FD1C96">
        <w:rPr>
          <w:rFonts w:eastAsiaTheme="minorEastAsia" w:cs="GHEA Grapalat"/>
          <w:b w:val="0"/>
          <w:color w:val="000000" w:themeColor="text1"/>
          <w:szCs w:val="22"/>
          <w:lang w:val="hy-AM" w:eastAsia="en-US"/>
        </w:rPr>
        <w:t xml:space="preserve"> մլրդ դրամ: </w:t>
      </w:r>
      <w:r>
        <w:rPr>
          <w:rFonts w:eastAsiaTheme="minorEastAsia" w:cs="GHEA Grapalat"/>
          <w:b w:val="0"/>
          <w:color w:val="000000" w:themeColor="text1"/>
          <w:szCs w:val="22"/>
          <w:lang w:val="hy-AM" w:eastAsia="en-US"/>
        </w:rPr>
        <w:t>2024 թվականին ՀՀ կ</w:t>
      </w:r>
      <w:r w:rsidRPr="00FD1C96">
        <w:rPr>
          <w:rFonts w:eastAsiaTheme="minorEastAsia" w:cs="GHEA Grapalat"/>
          <w:b w:val="0"/>
          <w:color w:val="000000" w:themeColor="text1"/>
          <w:szCs w:val="22"/>
          <w:lang w:val="hy-AM" w:eastAsia="en-US"/>
        </w:rPr>
        <w:t xml:space="preserve">առավարությունը </w:t>
      </w:r>
      <w:r>
        <w:rPr>
          <w:rFonts w:eastAsiaTheme="minorEastAsia" w:cs="GHEA Grapalat"/>
          <w:b w:val="0"/>
          <w:color w:val="000000" w:themeColor="text1"/>
          <w:szCs w:val="22"/>
          <w:lang w:val="hy-AM" w:eastAsia="en-US"/>
        </w:rPr>
        <w:t>կ</w:t>
      </w:r>
      <w:r w:rsidRPr="00FD1C96">
        <w:rPr>
          <w:rFonts w:eastAsiaTheme="minorEastAsia" w:cs="GHEA Grapalat"/>
          <w:b w:val="0"/>
          <w:color w:val="000000" w:themeColor="text1"/>
          <w:szCs w:val="22"/>
          <w:lang w:val="hy-AM" w:eastAsia="en-US"/>
        </w:rPr>
        <w:t>պահպան</w:t>
      </w:r>
      <w:r>
        <w:rPr>
          <w:rFonts w:eastAsiaTheme="minorEastAsia" w:cs="GHEA Grapalat"/>
          <w:b w:val="0"/>
          <w:color w:val="000000" w:themeColor="text1"/>
          <w:szCs w:val="22"/>
          <w:lang w:val="hy-AM" w:eastAsia="en-US"/>
        </w:rPr>
        <w:t xml:space="preserve">ի </w:t>
      </w:r>
      <w:r w:rsidRPr="00FD1C96">
        <w:rPr>
          <w:rFonts w:eastAsiaTheme="minorEastAsia" w:cs="GHEA Grapalat"/>
          <w:b w:val="0"/>
          <w:color w:val="000000" w:themeColor="text1"/>
          <w:szCs w:val="22"/>
          <w:lang w:val="hy-AM" w:eastAsia="en-US"/>
        </w:rPr>
        <w:t xml:space="preserve">հարկային վարչարարության բարելավման տեմպերը, ինչպես նաև </w:t>
      </w:r>
      <w:r>
        <w:rPr>
          <w:rFonts w:eastAsiaTheme="minorEastAsia" w:cs="GHEA Grapalat"/>
          <w:b w:val="0"/>
          <w:color w:val="000000" w:themeColor="text1"/>
          <w:szCs w:val="22"/>
          <w:lang w:val="hy-AM" w:eastAsia="en-US"/>
        </w:rPr>
        <w:t>կ</w:t>
      </w:r>
      <w:r w:rsidRPr="00FD1C96">
        <w:rPr>
          <w:rFonts w:eastAsiaTheme="minorEastAsia" w:cs="GHEA Grapalat"/>
          <w:b w:val="0"/>
          <w:color w:val="000000" w:themeColor="text1"/>
          <w:szCs w:val="22"/>
          <w:lang w:val="hy-AM" w:eastAsia="en-US"/>
        </w:rPr>
        <w:t>իրականացն</w:t>
      </w:r>
      <w:r>
        <w:rPr>
          <w:rFonts w:eastAsiaTheme="minorEastAsia" w:cs="GHEA Grapalat"/>
          <w:b w:val="0"/>
          <w:color w:val="000000" w:themeColor="text1"/>
          <w:szCs w:val="22"/>
          <w:lang w:val="hy-AM" w:eastAsia="en-US"/>
        </w:rPr>
        <w:t xml:space="preserve">ի </w:t>
      </w:r>
      <w:r w:rsidRPr="00FD1C96">
        <w:rPr>
          <w:rFonts w:eastAsiaTheme="minorEastAsia" w:cs="GHEA Grapalat"/>
          <w:b w:val="0"/>
          <w:color w:val="000000" w:themeColor="text1"/>
          <w:szCs w:val="22"/>
          <w:lang w:val="hy-AM" w:eastAsia="en-US"/>
        </w:rPr>
        <w:t>հարկային օրենսդրության բարեփոխումներ, որոնց արդյունքում ակնկալվում է ապահովել հարկեր/ՀՆԱ հարաբերակցության շուրջ 0.75 տոկոսային կետով բարելավում:</w:t>
      </w:r>
    </w:p>
    <w:p w14:paraId="6104FCB8" w14:textId="0F655742" w:rsidR="00666E8A" w:rsidRDefault="00666E8A" w:rsidP="00666E8A">
      <w:pPr>
        <w:spacing w:line="256" w:lineRule="auto"/>
        <w:rPr>
          <w:rFonts w:eastAsiaTheme="minorEastAsia" w:cs="GHEA Grapalat"/>
          <w:b w:val="0"/>
          <w:color w:val="000000" w:themeColor="text1"/>
          <w:szCs w:val="22"/>
          <w:lang w:val="hy-AM" w:eastAsia="en-US"/>
        </w:rPr>
      </w:pPr>
      <w:r w:rsidRPr="00FD1C96">
        <w:rPr>
          <w:rFonts w:eastAsiaTheme="minorEastAsia" w:cs="GHEA Grapalat"/>
          <w:b w:val="0"/>
          <w:color w:val="000000" w:themeColor="text1"/>
          <w:szCs w:val="22"/>
          <w:lang w:val="hy-AM" w:eastAsia="en-US"/>
        </w:rPr>
        <w:t xml:space="preserve">ՀՀ 2024 թվականի պետական բյուջեի ծախսերը </w:t>
      </w:r>
      <w:r>
        <w:rPr>
          <w:rFonts w:eastAsiaTheme="minorEastAsia" w:cs="GHEA Grapalat"/>
          <w:b w:val="0"/>
          <w:color w:val="000000" w:themeColor="text1"/>
          <w:szCs w:val="22"/>
          <w:lang w:val="hy-AM" w:eastAsia="en-US"/>
        </w:rPr>
        <w:t>կ</w:t>
      </w:r>
      <w:r w:rsidRPr="00FD1C96">
        <w:rPr>
          <w:rFonts w:eastAsiaTheme="minorEastAsia" w:cs="GHEA Grapalat"/>
          <w:b w:val="0"/>
          <w:color w:val="000000" w:themeColor="text1"/>
          <w:szCs w:val="22"/>
          <w:lang w:val="hy-AM" w:eastAsia="en-US"/>
        </w:rPr>
        <w:t>կազմեն 3,</w:t>
      </w:r>
      <w:r w:rsidR="0017773C">
        <w:rPr>
          <w:rFonts w:eastAsiaTheme="minorEastAsia" w:cs="GHEA Grapalat"/>
          <w:b w:val="0"/>
          <w:color w:val="000000" w:themeColor="text1"/>
          <w:szCs w:val="22"/>
          <w:lang w:val="hy-AM" w:eastAsia="en-US"/>
        </w:rPr>
        <w:t>206</w:t>
      </w:r>
      <w:r w:rsidRPr="00FD1C96">
        <w:rPr>
          <w:rFonts w:eastAsiaTheme="minorEastAsia" w:cs="GHEA Grapalat"/>
          <w:b w:val="0"/>
          <w:color w:val="000000" w:themeColor="text1"/>
          <w:szCs w:val="22"/>
          <w:lang w:val="hy-AM" w:eastAsia="en-US"/>
        </w:rPr>
        <w:t>.</w:t>
      </w:r>
      <w:r w:rsidR="0017773C">
        <w:rPr>
          <w:rFonts w:eastAsiaTheme="minorEastAsia" w:cs="GHEA Grapalat"/>
          <w:b w:val="0"/>
          <w:color w:val="000000" w:themeColor="text1"/>
          <w:szCs w:val="22"/>
          <w:lang w:val="hy-AM" w:eastAsia="en-US"/>
        </w:rPr>
        <w:t>5</w:t>
      </w:r>
      <w:r w:rsidRPr="00FD1C96">
        <w:rPr>
          <w:rFonts w:eastAsiaTheme="minorEastAsia" w:cs="GHEA Grapalat"/>
          <w:b w:val="0"/>
          <w:color w:val="000000" w:themeColor="text1"/>
          <w:szCs w:val="22"/>
          <w:lang w:val="hy-AM" w:eastAsia="en-US"/>
        </w:rPr>
        <w:t xml:space="preserve"> մլրդ դրամ</w:t>
      </w:r>
      <w:r>
        <w:rPr>
          <w:rFonts w:eastAsiaTheme="minorEastAsia" w:cs="GHEA Grapalat"/>
          <w:b w:val="0"/>
          <w:color w:val="000000" w:themeColor="text1"/>
          <w:szCs w:val="22"/>
          <w:lang w:val="hy-AM" w:eastAsia="en-US"/>
        </w:rPr>
        <w:t xml:space="preserve">, </w:t>
      </w:r>
      <w:r w:rsidRPr="00FD1C96">
        <w:rPr>
          <w:rFonts w:eastAsiaTheme="minorEastAsia" w:cs="GHEA Grapalat"/>
          <w:b w:val="0"/>
          <w:color w:val="000000" w:themeColor="text1"/>
          <w:szCs w:val="22"/>
          <w:lang w:val="hy-AM" w:eastAsia="en-US"/>
        </w:rPr>
        <w:t xml:space="preserve">որից </w:t>
      </w:r>
      <w:r>
        <w:rPr>
          <w:rFonts w:eastAsiaTheme="minorEastAsia" w:cs="GHEA Grapalat"/>
          <w:b w:val="0"/>
          <w:color w:val="000000" w:themeColor="text1"/>
          <w:szCs w:val="22"/>
          <w:lang w:val="hy-AM" w:eastAsia="en-US"/>
        </w:rPr>
        <w:t>ընթացիկ ծախսերը կկազմեն 2,</w:t>
      </w:r>
      <w:r w:rsidR="0017773C">
        <w:rPr>
          <w:rFonts w:eastAsiaTheme="minorEastAsia" w:cs="GHEA Grapalat"/>
          <w:b w:val="0"/>
          <w:color w:val="000000" w:themeColor="text1"/>
          <w:szCs w:val="22"/>
          <w:lang w:val="hy-AM" w:eastAsia="en-US"/>
        </w:rPr>
        <w:t>511</w:t>
      </w:r>
      <w:r>
        <w:rPr>
          <w:rFonts w:eastAsiaTheme="minorEastAsia" w:cs="GHEA Grapalat"/>
          <w:b w:val="0"/>
          <w:color w:val="000000" w:themeColor="text1"/>
          <w:szCs w:val="22"/>
          <w:lang w:val="hy-AM" w:eastAsia="en-US"/>
        </w:rPr>
        <w:t>.</w:t>
      </w:r>
      <w:r w:rsidR="0017773C">
        <w:rPr>
          <w:rFonts w:eastAsiaTheme="minorEastAsia" w:cs="GHEA Grapalat"/>
          <w:b w:val="0"/>
          <w:color w:val="000000" w:themeColor="text1"/>
          <w:szCs w:val="22"/>
          <w:lang w:val="hy-AM" w:eastAsia="en-US"/>
        </w:rPr>
        <w:t>2</w:t>
      </w:r>
      <w:r>
        <w:rPr>
          <w:rFonts w:eastAsiaTheme="minorEastAsia" w:cs="GHEA Grapalat"/>
          <w:b w:val="0"/>
          <w:color w:val="000000" w:themeColor="text1"/>
          <w:szCs w:val="22"/>
          <w:lang w:val="hy-AM" w:eastAsia="en-US"/>
        </w:rPr>
        <w:t xml:space="preserve"> մլրդ դրամ, իսկ </w:t>
      </w:r>
      <w:r w:rsidRPr="00FD1C96">
        <w:rPr>
          <w:rFonts w:eastAsiaTheme="minorEastAsia" w:cs="GHEA Grapalat"/>
          <w:b w:val="0"/>
          <w:color w:val="000000" w:themeColor="text1"/>
          <w:szCs w:val="22"/>
          <w:lang w:val="hy-AM" w:eastAsia="en-US"/>
        </w:rPr>
        <w:t>կապիտալ ծախսերը</w:t>
      </w:r>
      <w:r>
        <w:rPr>
          <w:rFonts w:eastAsiaTheme="minorEastAsia" w:cs="GHEA Grapalat"/>
          <w:b w:val="0"/>
          <w:color w:val="000000" w:themeColor="text1"/>
          <w:szCs w:val="22"/>
          <w:lang w:val="hy-AM" w:eastAsia="en-US"/>
        </w:rPr>
        <w:t>՝</w:t>
      </w:r>
      <w:r w:rsidRPr="00FD1C96">
        <w:rPr>
          <w:rFonts w:eastAsiaTheme="minorEastAsia" w:cs="GHEA Grapalat"/>
          <w:b w:val="0"/>
          <w:color w:val="000000" w:themeColor="text1"/>
          <w:szCs w:val="22"/>
          <w:lang w:val="hy-AM" w:eastAsia="en-US"/>
        </w:rPr>
        <w:t xml:space="preserve"> 695.3 մլրդ դրամ</w:t>
      </w:r>
      <w:r>
        <w:rPr>
          <w:rFonts w:eastAsiaTheme="minorEastAsia" w:cs="GHEA Grapalat"/>
          <w:b w:val="0"/>
          <w:color w:val="000000" w:themeColor="text1"/>
          <w:szCs w:val="22"/>
          <w:lang w:val="hy-AM" w:eastAsia="en-US"/>
        </w:rPr>
        <w:t xml:space="preserve"> կամ ՀՆԱ-ի շուրջ 6.6 տոկոսը: </w:t>
      </w:r>
    </w:p>
    <w:p w14:paraId="176017EE" w14:textId="21E5774A" w:rsidR="00666E8A" w:rsidRPr="00FD1C96" w:rsidRDefault="00666E8A" w:rsidP="00666E8A">
      <w:pPr>
        <w:spacing w:line="256" w:lineRule="auto"/>
        <w:rPr>
          <w:rFonts w:eastAsiaTheme="minorEastAsia" w:cs="GHEA Grapalat"/>
          <w:b w:val="0"/>
          <w:color w:val="000000" w:themeColor="text1"/>
          <w:szCs w:val="22"/>
          <w:lang w:val="hy-AM" w:eastAsia="en-US"/>
        </w:rPr>
      </w:pPr>
      <w:r w:rsidRPr="00FD1C96">
        <w:rPr>
          <w:rFonts w:eastAsiaTheme="minorEastAsia" w:cs="GHEA Grapalat"/>
          <w:b w:val="0"/>
          <w:color w:val="000000" w:themeColor="text1"/>
          <w:szCs w:val="22"/>
          <w:lang w:val="hy-AM" w:eastAsia="en-US"/>
        </w:rPr>
        <w:t xml:space="preserve">ՀՀ 2024 թվականի պետական բյուջեի դեֆիցիտը </w:t>
      </w:r>
      <w:r>
        <w:rPr>
          <w:rFonts w:eastAsiaTheme="minorEastAsia" w:cs="GHEA Grapalat"/>
          <w:b w:val="0"/>
          <w:color w:val="000000" w:themeColor="text1"/>
          <w:szCs w:val="22"/>
          <w:lang w:val="hy-AM" w:eastAsia="en-US"/>
        </w:rPr>
        <w:t>կ</w:t>
      </w:r>
      <w:r w:rsidRPr="00FD1C96">
        <w:rPr>
          <w:rFonts w:eastAsiaTheme="minorEastAsia" w:cs="GHEA Grapalat"/>
          <w:b w:val="0"/>
          <w:color w:val="000000" w:themeColor="text1"/>
          <w:szCs w:val="22"/>
          <w:lang w:val="hy-AM" w:eastAsia="en-US"/>
        </w:rPr>
        <w:t>կազմ</w:t>
      </w:r>
      <w:r>
        <w:rPr>
          <w:rFonts w:eastAsiaTheme="minorEastAsia" w:cs="GHEA Grapalat"/>
          <w:b w:val="0"/>
          <w:color w:val="000000" w:themeColor="text1"/>
          <w:szCs w:val="22"/>
          <w:lang w:val="hy-AM" w:eastAsia="en-US"/>
        </w:rPr>
        <w:t xml:space="preserve">ի </w:t>
      </w:r>
      <w:r w:rsidRPr="00FD1C96">
        <w:rPr>
          <w:rFonts w:eastAsiaTheme="minorEastAsia" w:cs="GHEA Grapalat"/>
          <w:b w:val="0"/>
          <w:color w:val="000000" w:themeColor="text1"/>
          <w:szCs w:val="22"/>
          <w:lang w:val="hy-AM" w:eastAsia="en-US"/>
        </w:rPr>
        <w:t xml:space="preserve">շուրջ </w:t>
      </w:r>
      <w:r w:rsidR="0017773C">
        <w:rPr>
          <w:rFonts w:eastAsiaTheme="minorEastAsia" w:cs="GHEA Grapalat"/>
          <w:b w:val="0"/>
          <w:color w:val="000000" w:themeColor="text1"/>
          <w:szCs w:val="22"/>
          <w:lang w:val="hy-AM" w:eastAsia="en-US"/>
        </w:rPr>
        <w:t>482.9</w:t>
      </w:r>
      <w:r w:rsidRPr="00FD1C96">
        <w:rPr>
          <w:rFonts w:eastAsiaTheme="minorEastAsia" w:cs="GHEA Grapalat"/>
          <w:b w:val="0"/>
          <w:color w:val="000000" w:themeColor="text1"/>
          <w:szCs w:val="22"/>
          <w:lang w:val="hy-AM" w:eastAsia="en-US"/>
        </w:rPr>
        <w:t xml:space="preserve"> մլրդ դրամ կամ ՀՆԱ </w:t>
      </w:r>
      <w:r w:rsidR="0017773C">
        <w:rPr>
          <w:rFonts w:eastAsiaTheme="minorEastAsia" w:cs="GHEA Grapalat"/>
          <w:b w:val="0"/>
          <w:color w:val="000000" w:themeColor="text1"/>
          <w:szCs w:val="22"/>
          <w:lang w:val="hy-AM" w:eastAsia="en-US"/>
        </w:rPr>
        <w:t xml:space="preserve">4.6 </w:t>
      </w:r>
      <w:r>
        <w:rPr>
          <w:rFonts w:eastAsiaTheme="minorEastAsia" w:cs="GHEA Grapalat"/>
          <w:b w:val="0"/>
          <w:color w:val="000000" w:themeColor="text1"/>
          <w:szCs w:val="22"/>
          <w:lang w:val="hy-AM" w:eastAsia="en-US"/>
        </w:rPr>
        <w:t>տոկոսը</w:t>
      </w:r>
      <w:r w:rsidRPr="00FD1C96">
        <w:rPr>
          <w:rFonts w:eastAsiaTheme="minorEastAsia" w:cs="GHEA Grapalat"/>
          <w:b w:val="0"/>
          <w:color w:val="000000" w:themeColor="text1"/>
          <w:szCs w:val="22"/>
          <w:lang w:val="hy-AM" w:eastAsia="en-US"/>
        </w:rPr>
        <w:t>, որի հետևանքով պարտք/ՀՆԱ հարաբերակցությունը 2024 թվականի վերջում կկազմի 48.4</w:t>
      </w:r>
      <w:r>
        <w:rPr>
          <w:rFonts w:eastAsiaTheme="minorEastAsia" w:cs="GHEA Grapalat"/>
          <w:b w:val="0"/>
          <w:color w:val="000000" w:themeColor="text1"/>
          <w:szCs w:val="22"/>
          <w:lang w:val="hy-AM" w:eastAsia="en-US"/>
        </w:rPr>
        <w:t xml:space="preserve"> տոկոս</w:t>
      </w:r>
      <w:r w:rsidRPr="00FD1C96">
        <w:rPr>
          <w:rFonts w:eastAsiaTheme="minorEastAsia" w:cs="GHEA Grapalat"/>
          <w:b w:val="0"/>
          <w:color w:val="000000" w:themeColor="text1"/>
          <w:szCs w:val="22"/>
          <w:lang w:val="hy-AM" w:eastAsia="en-US"/>
        </w:rPr>
        <w:t xml:space="preserve">: Այսպիսի մակարդակում պարտքի պահպանումը հնարավորություն </w:t>
      </w:r>
      <w:r>
        <w:rPr>
          <w:rFonts w:eastAsiaTheme="minorEastAsia" w:cs="GHEA Grapalat"/>
          <w:b w:val="0"/>
          <w:color w:val="000000" w:themeColor="text1"/>
          <w:szCs w:val="22"/>
          <w:lang w:val="hy-AM" w:eastAsia="en-US"/>
        </w:rPr>
        <w:t xml:space="preserve">կտա </w:t>
      </w:r>
      <w:r w:rsidRPr="00FD1C96">
        <w:rPr>
          <w:rFonts w:eastAsiaTheme="minorEastAsia" w:cs="GHEA Grapalat"/>
          <w:b w:val="0"/>
          <w:color w:val="000000" w:themeColor="text1"/>
          <w:szCs w:val="22"/>
          <w:lang w:val="hy-AM" w:eastAsia="en-US"/>
        </w:rPr>
        <w:t>պահպանել ՀՀ կառավարության վարկանիշի դրական միտումները, ստեղծել լրացուցիչ «կայունության պաշար» ապագա հնարավոր ռիսկերին դիմակայելու համար, ինչպես նաև ունենալ բյուջեից պարտքի դիմաց վճարվող տոկոսավճարների կառավարելի և զարգացման համար անհրաժեշտ (կր</w:t>
      </w:r>
      <w:r>
        <w:rPr>
          <w:rFonts w:eastAsiaTheme="minorEastAsia" w:cs="GHEA Grapalat"/>
          <w:b w:val="0"/>
          <w:color w:val="000000" w:themeColor="text1"/>
          <w:szCs w:val="22"/>
          <w:lang w:val="hy-AM" w:eastAsia="en-US"/>
        </w:rPr>
        <w:t>թ</w:t>
      </w:r>
      <w:r w:rsidRPr="00FD1C96">
        <w:rPr>
          <w:rFonts w:eastAsiaTheme="minorEastAsia" w:cs="GHEA Grapalat"/>
          <w:b w:val="0"/>
          <w:color w:val="000000" w:themeColor="text1"/>
          <w:szCs w:val="22"/>
          <w:lang w:val="hy-AM" w:eastAsia="en-US"/>
        </w:rPr>
        <w:t>ություն, առո</w:t>
      </w:r>
      <w:r>
        <w:rPr>
          <w:rFonts w:eastAsiaTheme="minorEastAsia" w:cs="GHEA Grapalat"/>
          <w:b w:val="0"/>
          <w:color w:val="000000" w:themeColor="text1"/>
          <w:szCs w:val="22"/>
          <w:lang w:val="hy-AM" w:eastAsia="en-US"/>
        </w:rPr>
        <w:t>ղ</w:t>
      </w:r>
      <w:r w:rsidRPr="00FD1C96">
        <w:rPr>
          <w:rFonts w:eastAsiaTheme="minorEastAsia" w:cs="GHEA Grapalat"/>
          <w:b w:val="0"/>
          <w:color w:val="000000" w:themeColor="text1"/>
          <w:szCs w:val="22"/>
          <w:lang w:val="hy-AM" w:eastAsia="en-US"/>
        </w:rPr>
        <w:t>ջապահություն, ենթակառուցվածքներ) ծախսերը դուրս չմղող մակարդակ։</w:t>
      </w:r>
    </w:p>
    <w:p w14:paraId="5C82CD51" w14:textId="77777777" w:rsidR="00666E8A" w:rsidRPr="00521D5B" w:rsidRDefault="00666E8A" w:rsidP="00666E8A">
      <w:pPr>
        <w:tabs>
          <w:tab w:val="left" w:pos="0"/>
          <w:tab w:val="left" w:pos="284"/>
        </w:tabs>
        <w:autoSpaceDE w:val="0"/>
        <w:autoSpaceDN w:val="0"/>
        <w:adjustRightInd w:val="0"/>
        <w:rPr>
          <w:rFonts w:eastAsiaTheme="minorEastAsia" w:cs="GHEA Grapalat"/>
          <w:b w:val="0"/>
          <w:szCs w:val="22"/>
          <w:lang w:val="hy-AM" w:eastAsia="en-US"/>
        </w:rPr>
      </w:pPr>
      <w:r>
        <w:rPr>
          <w:rFonts w:eastAsiaTheme="minorEastAsia" w:cs="GHEA Grapalat"/>
          <w:b w:val="0"/>
          <w:szCs w:val="22"/>
          <w:lang w:val="hy-AM" w:eastAsia="en-US"/>
        </w:rPr>
        <w:t>2024 թվականին ՀՀ կ</w:t>
      </w:r>
      <w:r w:rsidRPr="00521D5B">
        <w:rPr>
          <w:rFonts w:eastAsiaTheme="minorEastAsia" w:cs="GHEA Grapalat"/>
          <w:b w:val="0"/>
          <w:szCs w:val="22"/>
          <w:lang w:val="hy-AM" w:eastAsia="en-US"/>
        </w:rPr>
        <w:t xml:space="preserve">առավարության տնտեսական քաղաքականության </w:t>
      </w:r>
      <w:r>
        <w:rPr>
          <w:rFonts w:eastAsiaTheme="minorEastAsia" w:cs="GHEA Grapalat"/>
          <w:b w:val="0"/>
          <w:szCs w:val="22"/>
          <w:lang w:val="hy-AM" w:eastAsia="en-US"/>
        </w:rPr>
        <w:t xml:space="preserve">հիմնական </w:t>
      </w:r>
      <w:r w:rsidRPr="00521D5B">
        <w:rPr>
          <w:rFonts w:eastAsiaTheme="minorEastAsia" w:cs="GHEA Grapalat"/>
          <w:b w:val="0"/>
          <w:szCs w:val="22"/>
          <w:lang w:val="hy-AM" w:eastAsia="en-US"/>
        </w:rPr>
        <w:t xml:space="preserve">նպատակներն են. </w:t>
      </w:r>
    </w:p>
    <w:p w14:paraId="210B7DAF"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ներդրումների խրախուսումը, գործարար և ներդրումային միջավայրի բարելավումը,</w:t>
      </w:r>
    </w:p>
    <w:p w14:paraId="50E17392"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զբոսաշրջության, արդյունաբերության և գյուղատնտեսության մրցունակության աճը,</w:t>
      </w:r>
    </w:p>
    <w:p w14:paraId="741B8F70"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ապրանքների և ծառայությունների արտահանման էական ավելացումը,</w:t>
      </w:r>
    </w:p>
    <w:p w14:paraId="605AAF00"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lastRenderedPageBreak/>
        <w:t>հանրային ներդրումների արդյունավետության բարձրացումն ու որակի</w:t>
      </w:r>
      <w:r>
        <w:rPr>
          <w:rFonts w:cs="Sylfaen"/>
          <w:b w:val="0"/>
          <w:szCs w:val="22"/>
          <w:lang w:val="hy-AM" w:eastAsia="en-US"/>
        </w:rPr>
        <w:t xml:space="preserve"> ենթակառուցվածքների բարելավումը,</w:t>
      </w:r>
    </w:p>
    <w:p w14:paraId="11F881D2"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 xml:space="preserve">մարդու ներքին կարողությունների զարգացման և իրացման միջոցով՝ միջին խավի բարեկեցության աճն ու աղքատության կրճատումը։ </w:t>
      </w:r>
    </w:p>
    <w:p w14:paraId="05992192" w14:textId="514D8D4F" w:rsidR="00666E8A" w:rsidRPr="00FD1C96" w:rsidRDefault="00666E8A" w:rsidP="00666E8A">
      <w:pPr>
        <w:tabs>
          <w:tab w:val="left" w:pos="567"/>
        </w:tabs>
        <w:rPr>
          <w:rFonts w:cs="Sylfaen"/>
          <w:b w:val="0"/>
          <w:szCs w:val="22"/>
          <w:lang w:val="hy-AM" w:eastAsia="en-US"/>
        </w:rPr>
      </w:pPr>
      <w:r w:rsidRPr="00FD1C96">
        <w:rPr>
          <w:rFonts w:cs="Sylfaen"/>
          <w:b w:val="0"/>
          <w:szCs w:val="22"/>
          <w:lang w:val="hy-AM" w:eastAsia="en-US"/>
        </w:rPr>
        <w:t xml:space="preserve">ՀՀ կառավարության ծրագրի առաջնահերթություններին համահունչ 2024 թվականին  կիրականացվեն սոցիալական, կրթական, առողջապահական, ենթակառուցվածքային բնույթի մի շարք առաջնահերթ միջոցառումներ, որոնց արդյունքում ի </w:t>
      </w:r>
      <w:r w:rsidR="00B04A45">
        <w:rPr>
          <w:b w:val="0"/>
          <w:noProof/>
          <w:szCs w:val="22"/>
          <w:lang w:val="hy-AM"/>
        </w:rPr>
        <w:t>թիվ</w:t>
      </w:r>
      <w:r w:rsidRPr="00FD1C96">
        <w:rPr>
          <w:rFonts w:cs="Sylfaen"/>
          <w:b w:val="0"/>
          <w:szCs w:val="22"/>
          <w:lang w:val="hy-AM" w:eastAsia="en-US"/>
        </w:rPr>
        <w:t>ս այլ թիրախների, կապահովվի հետևյալ առա</w:t>
      </w:r>
      <w:r>
        <w:rPr>
          <w:rFonts w:cs="Sylfaen"/>
          <w:b w:val="0"/>
          <w:szCs w:val="22"/>
          <w:lang w:val="hy-AM" w:eastAsia="en-US"/>
        </w:rPr>
        <w:t>նցքային թիրախների իրագործումը.</w:t>
      </w:r>
    </w:p>
    <w:p w14:paraId="5EA98E11"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 xml:space="preserve">առողջության համապարփակ ապահովագրության համակարգի ներդնում, ինչը կապահովի քաղաքացիների համար առողջապահական ծառայությունների հասանելիությունն ու մատչելիությունը, </w:t>
      </w:r>
    </w:p>
    <w:p w14:paraId="29BC0C93"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ընտանեկան/ անապահովության նպաստների համակարգի բարելավում,</w:t>
      </w:r>
    </w:p>
    <w:p w14:paraId="2E3B3A8C"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3 և ավելի երեխա ունցող ընտանիքներին դրամական աջակցության ծավալների ավելացում,</w:t>
      </w:r>
    </w:p>
    <w:p w14:paraId="3141C9DA"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առողջապահությանն ու կրթությանն ուղղվող ծախսերի առաջանցիկ աճ,</w:t>
      </w:r>
    </w:p>
    <w:p w14:paraId="43E9847D"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 xml:space="preserve">վաղ մանկության զարգացման համակարգի և նախադպրոցական ծառայությունների ցանցի բարելավում և ամբողջական հասանելիության ապահովում, </w:t>
      </w:r>
    </w:p>
    <w:p w14:paraId="708C9682"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հանրակրթական դպրոցների ֆինանսավորման համակարգի վերանայում՝ անցում կատարելով դասարան-թվով ֆինանսավորման նոր մոդելին,</w:t>
      </w:r>
    </w:p>
    <w:p w14:paraId="5C76F708"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հանրակրթական դպրոցների ուսուցիչների, նախնական և միջին մասնագիտական, արտադպրոցական ուսումնական հաստատությունների մանկավարժական աշխատողների ատեստավորման արդյունքում ուսուցիչների աշխատավարձերի աճի ապահովում,</w:t>
      </w:r>
    </w:p>
    <w:p w14:paraId="5AEFC6D8"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դպրոցների և մանկապարտեզների կառուցման, հիմնանորոգման և վերանորոգման՝ ՀՀ կառավարության ծրագրով սահմանված թիրախի ապահովում՝ այդ թվում ապահովելով դրանց հագեցումը անհրաժեշտ գույքով և սարքավորումներով,</w:t>
      </w:r>
    </w:p>
    <w:p w14:paraId="3BAC3D9C" w14:textId="77777777" w:rsidR="00666E8A" w:rsidRPr="00FD1C96" w:rsidRDefault="00666E8A" w:rsidP="00C95115">
      <w:pPr>
        <w:numPr>
          <w:ilvl w:val="0"/>
          <w:numId w:val="28"/>
        </w:numPr>
        <w:tabs>
          <w:tab w:val="left" w:pos="567"/>
        </w:tabs>
        <w:ind w:left="540" w:hanging="540"/>
        <w:rPr>
          <w:rFonts w:cs="Sylfaen"/>
          <w:b w:val="0"/>
          <w:szCs w:val="22"/>
          <w:lang w:val="hy-AM" w:eastAsia="en-US"/>
        </w:rPr>
      </w:pPr>
      <w:r w:rsidRPr="00FD1C96">
        <w:rPr>
          <w:rFonts w:cs="Sylfaen"/>
          <w:b w:val="0"/>
          <w:szCs w:val="22"/>
          <w:lang w:val="hy-AM" w:eastAsia="en-US"/>
        </w:rPr>
        <w:t>շարունակվելու են ջրային պաշարների մակերևութային հոսքի կառավարման նպատակով ջրամբարաշինության ծրագրերը, որի արդյունքում կապահովվի ջրային ռեսուրսների պաշարների ավելացում</w:t>
      </w:r>
      <w:r>
        <w:rPr>
          <w:rFonts w:cs="Sylfaen"/>
          <w:b w:val="0"/>
          <w:szCs w:val="22"/>
          <w:lang w:val="hy-AM" w:eastAsia="en-US"/>
        </w:rPr>
        <w:t>ը</w:t>
      </w:r>
      <w:r w:rsidRPr="00FD1C96">
        <w:rPr>
          <w:rFonts w:cs="Sylfaen"/>
          <w:b w:val="0"/>
          <w:szCs w:val="22"/>
          <w:lang w:val="hy-AM" w:eastAsia="en-US"/>
        </w:rPr>
        <w:t xml:space="preserve"> և ջրային հոսքերի կառավարման համակարգի արդյունավետության բարձրացում</w:t>
      </w:r>
      <w:r>
        <w:rPr>
          <w:rFonts w:cs="Sylfaen"/>
          <w:b w:val="0"/>
          <w:szCs w:val="22"/>
          <w:lang w:val="hy-AM" w:eastAsia="en-US"/>
        </w:rPr>
        <w:t>ը</w:t>
      </w:r>
      <w:r w:rsidRPr="00FD1C96">
        <w:rPr>
          <w:rFonts w:cs="Sylfaen"/>
          <w:b w:val="0"/>
          <w:szCs w:val="22"/>
          <w:lang w:val="hy-AM" w:eastAsia="en-US"/>
        </w:rPr>
        <w:t xml:space="preserve">, </w:t>
      </w:r>
    </w:p>
    <w:p w14:paraId="32C2CCE6" w14:textId="59C46E26" w:rsidR="00922CF5" w:rsidRPr="007955BB" w:rsidRDefault="00666E8A" w:rsidP="00666E8A">
      <w:pPr>
        <w:rPr>
          <w:sz w:val="28"/>
          <w:szCs w:val="20"/>
          <w:lang w:val="hy-AM"/>
        </w:rPr>
      </w:pPr>
      <w:r w:rsidRPr="004F163D">
        <w:rPr>
          <w:rFonts w:cs="Sylfaen"/>
          <w:b w:val="0"/>
          <w:szCs w:val="22"/>
          <w:lang w:val="hy-AM" w:eastAsia="en-US"/>
        </w:rPr>
        <w:t>շարունակվելու են ՀՀ-ում ճանապարհային ցանցի զարգացմանն ուղղված՝ տարեկան շուրջ 500կմ ճանապարհների հիմանորոգման և միջին նորոգման աշխատանքների իրականացումը, կշարունակվի Հյուսիս-հարավ ճանապարհային</w:t>
      </w:r>
      <w:r w:rsidRPr="004F163D">
        <w:rPr>
          <w:rFonts w:eastAsiaTheme="minorEastAsia" w:cs="GHEA Grapalat"/>
          <w:b w:val="0"/>
          <w:szCs w:val="22"/>
          <w:lang w:val="hy-AM" w:eastAsia="en-US"/>
        </w:rPr>
        <w:t xml:space="preserve"> միջանցքի կառուցումը և այլն:</w:t>
      </w:r>
    </w:p>
    <w:p w14:paraId="6022D5E6" w14:textId="77777777" w:rsidR="005F226A" w:rsidRPr="007955BB" w:rsidRDefault="005F226A" w:rsidP="0009272D">
      <w:pPr>
        <w:pStyle w:val="Heading1"/>
      </w:pPr>
      <w:bookmarkStart w:id="7" w:name="_Toc26174882"/>
      <w:bookmarkStart w:id="8" w:name="_Toc83567430"/>
      <w:bookmarkStart w:id="9" w:name="_Toc153184441"/>
      <w:r w:rsidRPr="007955BB">
        <w:lastRenderedPageBreak/>
        <w:t>ՄԱՍ I–Ա. ՍՈՑԻԱԼ-ՏՆՏԵՍԱԿԱՆ ԶԱՐԳԱՑՄԱՆ ԵՎ ՀԱՐԿԱԲՅՈՒՋԵՏԱՅԻՆ ՔԱՂԱՔԱԿԱՆՈՒԹՅԱՆ ՀԻՄՆԱԿԱՆ ՈՒՂՂՈՒԹՅՈՒՆՆԵՐԻ ՄԱՍԻՆ</w:t>
      </w:r>
      <w:bookmarkEnd w:id="7"/>
      <w:bookmarkEnd w:id="8"/>
      <w:bookmarkEnd w:id="9"/>
    </w:p>
    <w:p w14:paraId="3374B564" w14:textId="77777777" w:rsidR="005F226A" w:rsidRPr="007955BB" w:rsidRDefault="005F226A" w:rsidP="00C0193D">
      <w:pPr>
        <w:keepNext/>
        <w:tabs>
          <w:tab w:val="left" w:pos="567"/>
          <w:tab w:val="left" w:pos="851"/>
          <w:tab w:val="left" w:pos="993"/>
        </w:tabs>
        <w:ind w:firstLine="426"/>
        <w:rPr>
          <w:rFonts w:cs="Times LatArm"/>
          <w:szCs w:val="22"/>
          <w:lang w:val="hy-AM"/>
        </w:rPr>
      </w:pPr>
      <w:bookmarkStart w:id="10" w:name="_Toc26174883"/>
    </w:p>
    <w:p w14:paraId="1F5F9931" w14:textId="77777777" w:rsidR="005F226A" w:rsidRPr="00170014" w:rsidRDefault="005F226A" w:rsidP="0009272D">
      <w:pPr>
        <w:pStyle w:val="Heading1"/>
      </w:pPr>
      <w:bookmarkStart w:id="11" w:name="_Toc83567431"/>
      <w:bookmarkStart w:id="12" w:name="_Toc153184442"/>
      <w:r w:rsidRPr="00170014">
        <w:t>202</w:t>
      </w:r>
      <w:r w:rsidR="00DA7525" w:rsidRPr="00170014">
        <w:t>4</w:t>
      </w:r>
      <w:r w:rsidRPr="00170014">
        <w:t xml:space="preserve"> թվականի սոցիալ-տնտեսական զարգացման և հարկաբյուջետային քաղաքականության հիմնական ուղղությունները</w:t>
      </w:r>
      <w:bookmarkEnd w:id="10"/>
      <w:bookmarkEnd w:id="11"/>
      <w:bookmarkEnd w:id="12"/>
    </w:p>
    <w:p w14:paraId="3184BACD" w14:textId="77777777" w:rsidR="005F226A" w:rsidRPr="007955BB" w:rsidRDefault="005F226A" w:rsidP="00C0193D">
      <w:pPr>
        <w:widowControl w:val="0"/>
        <w:tabs>
          <w:tab w:val="left" w:pos="567"/>
          <w:tab w:val="left" w:pos="851"/>
          <w:tab w:val="left" w:pos="993"/>
        </w:tabs>
        <w:ind w:firstLine="426"/>
        <w:rPr>
          <w:b w:val="0"/>
          <w:szCs w:val="22"/>
          <w:lang w:val="hy-AM"/>
        </w:rPr>
      </w:pPr>
    </w:p>
    <w:p w14:paraId="4BFF27AF" w14:textId="77777777" w:rsidR="005F226A" w:rsidRDefault="005F226A" w:rsidP="0009272D">
      <w:pPr>
        <w:pStyle w:val="Heading1"/>
      </w:pPr>
      <w:bookmarkStart w:id="13" w:name="_Toc83567432"/>
      <w:bookmarkStart w:id="14" w:name="_Toc153184443"/>
      <w:r w:rsidRPr="00D24128">
        <w:t>Տնտեսական զարգացում</w:t>
      </w:r>
      <w:bookmarkEnd w:id="13"/>
      <w:bookmarkEnd w:id="14"/>
    </w:p>
    <w:p w14:paraId="4CC45BF8" w14:textId="77777777" w:rsidR="0011340D" w:rsidRPr="003715ED" w:rsidRDefault="0011340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2022 թվականին Հայաստանի տնտեսությունն ապահովել է բարձր տնտեսական աճ, ինչը շարունակվեց 2023 թվականի 1-ին կիսամյակի ընթացքում։ Մասնավորապես</w:t>
      </w:r>
      <w:r w:rsidRPr="003715ED">
        <w:rPr>
          <w:rFonts w:ascii="Cambria Math" w:eastAsia="Calibri" w:hAnsi="Cambria Math" w:cs="Cambria Math"/>
          <w:b w:val="0"/>
          <w:kern w:val="2"/>
          <w:szCs w:val="22"/>
          <w:lang w:val="hy-AM" w:eastAsia="en-US"/>
          <w14:ligatures w14:val="standardContextual"/>
        </w:rPr>
        <w:t>․</w:t>
      </w:r>
      <w:r w:rsidRPr="003715ED">
        <w:rPr>
          <w:rFonts w:eastAsia="Calibri" w:cs="Cambria Math"/>
          <w:b w:val="0"/>
          <w:kern w:val="2"/>
          <w:szCs w:val="22"/>
          <w:lang w:val="hy-AM" w:eastAsia="en-US"/>
          <w14:ligatures w14:val="standardContextual"/>
        </w:rPr>
        <w:t xml:space="preserve"> </w:t>
      </w:r>
      <w:r w:rsidRPr="003715ED">
        <w:rPr>
          <w:rFonts w:eastAsia="Calibri"/>
          <w:b w:val="0"/>
          <w:kern w:val="2"/>
          <w:szCs w:val="22"/>
          <w:lang w:val="hy-AM" w:eastAsia="en-US"/>
          <w14:ligatures w14:val="standardContextual"/>
        </w:rPr>
        <w:t>2022 թվականին ՀՆԱ-ի աճը կազմել է 12.6% , իսկ</w:t>
      </w:r>
      <w:r>
        <w:rPr>
          <w:rFonts w:eastAsia="Calibri"/>
          <w:b w:val="0"/>
          <w:kern w:val="2"/>
          <w:szCs w:val="22"/>
          <w:lang w:val="hy-AM" w:eastAsia="en-US"/>
          <w14:ligatures w14:val="standardContextual"/>
        </w:rPr>
        <w:t xml:space="preserve"> </w:t>
      </w:r>
      <w:r w:rsidRPr="003715ED">
        <w:rPr>
          <w:rFonts w:eastAsia="Calibri"/>
          <w:b w:val="0"/>
          <w:kern w:val="2"/>
          <w:szCs w:val="22"/>
          <w:lang w:val="hy-AM" w:eastAsia="en-US"/>
          <w14:ligatures w14:val="standardContextual"/>
        </w:rPr>
        <w:t>2023 թվական 1-ին կիսամյակում՝ 10.5%,</w:t>
      </w:r>
    </w:p>
    <w:p w14:paraId="240918BE" w14:textId="77777777" w:rsidR="0011340D" w:rsidRPr="003715ED" w:rsidRDefault="0011340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Տնտեսական աճին նպաստել են տնտեսության գրեթե բոլոր ոլորտներում արձանագրված աճերը։</w:t>
      </w:r>
    </w:p>
    <w:p w14:paraId="0C06F284" w14:textId="77777777" w:rsidR="0011340D" w:rsidRPr="003715ED" w:rsidRDefault="0011340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2024 թվականի ընթացքում ՀՀ կառավարությունը շարունակելու է հավատարիմ մնալ ՀՀ կառավարության` 2021 թվականի օգոստոսի 18-ի </w:t>
      </w:r>
      <w:r>
        <w:rPr>
          <w:rFonts w:eastAsia="Calibri"/>
          <w:b w:val="0"/>
          <w:kern w:val="2"/>
          <w:szCs w:val="22"/>
          <w:lang w:val="hy-AM" w:eastAsia="en-US"/>
          <w14:ligatures w14:val="standardContextual"/>
        </w:rPr>
        <w:t>N</w:t>
      </w:r>
      <w:r w:rsidRPr="003715ED">
        <w:rPr>
          <w:rFonts w:eastAsia="Calibri"/>
          <w:b w:val="0"/>
          <w:kern w:val="2"/>
          <w:szCs w:val="22"/>
          <w:lang w:val="hy-AM" w:eastAsia="en-US"/>
          <w14:ligatures w14:val="standardContextual"/>
        </w:rPr>
        <w:t xml:space="preserve"> 1363-Ա որոշմամբ հաստատված ՀՀ կառավարության 2021-2026թթ. ծրագրի առաջնահերթություններին։</w:t>
      </w:r>
    </w:p>
    <w:p w14:paraId="01925BFE" w14:textId="77777777" w:rsidR="0011340D" w:rsidRPr="003715ED" w:rsidRDefault="0011340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Իրականացվելիք միջոցառումների հիմնական նպատակը լինելու է ներդրումներից բխող տնտեսական զարգացման մոդելի անցնելը, տնտեսության մրցունակության և արտադրողականության աճը։ Կառավարությունը թիրախավորում է երկարատև բարձր տնտեսական աճի ժամանակաշրջան թևակոխելը՝ առնվազն տարեկան 7%, իսկ բարենպաստ արտաքին միջավայրի դեպքում` 9%:</w:t>
      </w:r>
    </w:p>
    <w:p w14:paraId="66DFCEED" w14:textId="77777777" w:rsidR="0011340D" w:rsidRPr="003715ED" w:rsidRDefault="0011340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Տնտեսական քաղաքականությունը հիմնված է լինելու ռազմավարական փաստաթղթերով նախատեսված գործողությունների իրականացման վրա այնպիսի կարևորագույն ուղղություններով, ինչպիսիք են ներդրումների խրախուսումը, ձեռներեցության զարգացումը, գործարար և ներդրումային միջավայրի բարելավումը, զբոսաշրջության, արդյունաբերության և գյուղատնտեսության մրցունակության աճը, ապրանքների և ծառայությունների արտահանման էական ավելացումը։ Միաժամանակ թիրախավորվելու են նաև հանրային ներդրումների արդյունավետության բարձրացումն ու որակի ենթակառուցվածքների բարելավումը։ </w:t>
      </w:r>
    </w:p>
    <w:p w14:paraId="33124805" w14:textId="77777777" w:rsidR="0011340D" w:rsidRPr="003715ED" w:rsidRDefault="0011340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Տնտեսության մրցունակության բարձրացման տեսանկյունից կառավարության կողմից կարևորվելու է արտադրողականության աճը՝ տեխնոլոգիաների և լավագույն միջազգային փորձի կլանման և կարողությունների զարգացման միջոցով, ՀՀ քաղաքացիների նորարարական ներուժի իրացումը՝ գործարար նախաձեռնողականության խրախուսման միջոցով։ Հատուկ ուշադրության է արժանանալու ներքին և օտարերկրյա ներդրումների ներգրավումը՝ որպես տնտեսության որակական փոփոխության շարժիչ ուժ: </w:t>
      </w:r>
    </w:p>
    <w:p w14:paraId="5F61B8AA" w14:textId="77777777" w:rsidR="0011340D" w:rsidRPr="003715ED" w:rsidRDefault="0011340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Տնտեսական զարգացման քաղաքականությունը խարսխվելու է վեց հենասյուների վրա, որոնք ուղենշում են կառավարության տնտեսական առաջնահերթությունները։ Այսպես</w:t>
      </w:r>
      <w:r w:rsidRPr="003715ED">
        <w:rPr>
          <w:rFonts w:ascii="Cambria Math" w:eastAsia="Calibri" w:hAnsi="Cambria Math" w:cs="Cambria Math"/>
          <w:b w:val="0"/>
          <w:kern w:val="2"/>
          <w:szCs w:val="22"/>
          <w:lang w:val="hy-AM" w:eastAsia="en-US"/>
          <w14:ligatures w14:val="standardContextual"/>
        </w:rPr>
        <w:t>․</w:t>
      </w:r>
      <w:r w:rsidRPr="003715ED">
        <w:rPr>
          <w:rFonts w:eastAsia="Calibri"/>
          <w:b w:val="0"/>
          <w:kern w:val="2"/>
          <w:szCs w:val="22"/>
          <w:lang w:val="hy-AM" w:eastAsia="en-US"/>
          <w14:ligatures w14:val="standardContextual"/>
        </w:rPr>
        <w:t xml:space="preserve"> </w:t>
      </w:r>
    </w:p>
    <w:p w14:paraId="42F62B39" w14:textId="77777777" w:rsidR="0011340D" w:rsidRPr="004F163D" w:rsidRDefault="0011340D" w:rsidP="00835DBE">
      <w:pPr>
        <w:numPr>
          <w:ilvl w:val="0"/>
          <w:numId w:val="28"/>
        </w:numPr>
        <w:tabs>
          <w:tab w:val="left" w:pos="270"/>
        </w:tabs>
        <w:ind w:left="0" w:firstLine="0"/>
        <w:rPr>
          <w:rFonts w:cs="Sylfaen"/>
          <w:b w:val="0"/>
          <w:szCs w:val="22"/>
          <w:lang w:val="hy-AM" w:eastAsia="en-US"/>
        </w:rPr>
      </w:pPr>
      <w:r>
        <w:rPr>
          <w:rFonts w:cs="Sylfaen"/>
          <w:b w:val="0"/>
          <w:szCs w:val="22"/>
          <w:lang w:val="hy-AM" w:eastAsia="en-US"/>
        </w:rPr>
        <w:lastRenderedPageBreak/>
        <w:t>ներդրումների ներգրավում</w:t>
      </w:r>
      <w:r w:rsidRPr="004F163D">
        <w:rPr>
          <w:rFonts w:cs="Sylfaen"/>
          <w:b w:val="0"/>
          <w:szCs w:val="22"/>
          <w:lang w:val="hy-AM" w:eastAsia="en-US"/>
        </w:rPr>
        <w:t xml:space="preserve">, ներդրումների դերի կտրուկ մեծացումը տնտեսության կառուցվածքում, </w:t>
      </w:r>
    </w:p>
    <w:p w14:paraId="78E4FEE6" w14:textId="77777777" w:rsidR="0011340D" w:rsidRPr="004F163D" w:rsidRDefault="0011340D" w:rsidP="00835DBE">
      <w:pPr>
        <w:numPr>
          <w:ilvl w:val="0"/>
          <w:numId w:val="28"/>
        </w:numPr>
        <w:tabs>
          <w:tab w:val="left" w:pos="270"/>
        </w:tabs>
        <w:ind w:left="0" w:firstLine="0"/>
        <w:rPr>
          <w:rFonts w:cs="Sylfaen"/>
          <w:b w:val="0"/>
          <w:szCs w:val="22"/>
          <w:lang w:val="hy-AM" w:eastAsia="en-US"/>
        </w:rPr>
      </w:pPr>
      <w:r w:rsidRPr="004F163D">
        <w:rPr>
          <w:rFonts w:cs="Sylfaen"/>
          <w:b w:val="0"/>
          <w:szCs w:val="22"/>
          <w:lang w:val="hy-AM" w:eastAsia="en-US"/>
        </w:rPr>
        <w:t>մրցունակ՝ առավել արտադրողական և տեխնոլոգիա</w:t>
      </w:r>
      <w:r>
        <w:rPr>
          <w:rFonts w:cs="Sylfaen"/>
          <w:b w:val="0"/>
          <w:szCs w:val="22"/>
          <w:lang w:val="hy-AM" w:eastAsia="en-US"/>
        </w:rPr>
        <w:t>տար արդյունաբերության զարգացում</w:t>
      </w:r>
      <w:r w:rsidRPr="004F163D">
        <w:rPr>
          <w:rFonts w:cs="Sylfaen"/>
          <w:b w:val="0"/>
          <w:szCs w:val="22"/>
          <w:lang w:val="hy-AM" w:eastAsia="en-US"/>
        </w:rPr>
        <w:t>, ինչպես նաև տնտեսության ճյուղերի արտադրողականության կտրուկ բարձրացում,</w:t>
      </w:r>
    </w:p>
    <w:p w14:paraId="0413AB8E" w14:textId="77777777" w:rsidR="0011340D" w:rsidRPr="004F163D" w:rsidRDefault="0011340D" w:rsidP="00835DBE">
      <w:pPr>
        <w:numPr>
          <w:ilvl w:val="0"/>
          <w:numId w:val="28"/>
        </w:numPr>
        <w:tabs>
          <w:tab w:val="left" w:pos="270"/>
        </w:tabs>
        <w:ind w:left="0" w:firstLine="0"/>
        <w:rPr>
          <w:rFonts w:cs="Sylfaen"/>
          <w:b w:val="0"/>
          <w:szCs w:val="22"/>
          <w:lang w:val="hy-AM" w:eastAsia="en-US"/>
        </w:rPr>
      </w:pPr>
      <w:r w:rsidRPr="004F163D">
        <w:rPr>
          <w:rFonts w:cs="Sylfaen"/>
          <w:b w:val="0"/>
          <w:szCs w:val="22"/>
          <w:lang w:val="hy-AM" w:eastAsia="en-US"/>
        </w:rPr>
        <w:t>ՀՀ-ում ՓՄՁ ոլորտի ակտիվության բարձրացում, որի շնորհիվ հնարավոր կլինի ապահովել ներառական տնտեսական աճ,</w:t>
      </w:r>
    </w:p>
    <w:p w14:paraId="01A90C94" w14:textId="77777777" w:rsidR="0011340D" w:rsidRPr="004F163D" w:rsidRDefault="0011340D" w:rsidP="00835DBE">
      <w:pPr>
        <w:numPr>
          <w:ilvl w:val="0"/>
          <w:numId w:val="28"/>
        </w:numPr>
        <w:tabs>
          <w:tab w:val="left" w:pos="270"/>
        </w:tabs>
        <w:ind w:left="0" w:firstLine="0"/>
        <w:rPr>
          <w:rFonts w:cs="Sylfaen"/>
          <w:b w:val="0"/>
          <w:szCs w:val="22"/>
          <w:lang w:val="hy-AM" w:eastAsia="en-US"/>
        </w:rPr>
      </w:pPr>
      <w:r w:rsidRPr="004F163D">
        <w:rPr>
          <w:rFonts w:cs="Sylfaen"/>
          <w:b w:val="0"/>
          <w:szCs w:val="22"/>
          <w:lang w:val="hy-AM" w:eastAsia="en-US"/>
        </w:rPr>
        <w:t>գործարար միջավայրի շարունակական բարելավում, որը ՀՀ քաղաքացիների ստեղծարար ներուժի իրացման առաջնային նախապայմանն է,</w:t>
      </w:r>
    </w:p>
    <w:p w14:paraId="4D5440C3" w14:textId="77777777" w:rsidR="0011340D" w:rsidRPr="004F163D" w:rsidRDefault="0011340D" w:rsidP="00835DBE">
      <w:pPr>
        <w:numPr>
          <w:ilvl w:val="0"/>
          <w:numId w:val="28"/>
        </w:numPr>
        <w:tabs>
          <w:tab w:val="left" w:pos="270"/>
        </w:tabs>
        <w:ind w:left="0" w:firstLine="0"/>
        <w:rPr>
          <w:rFonts w:cs="Sylfaen"/>
          <w:b w:val="0"/>
          <w:szCs w:val="22"/>
          <w:lang w:val="hy-AM" w:eastAsia="en-US"/>
        </w:rPr>
      </w:pPr>
      <w:r w:rsidRPr="004F163D">
        <w:rPr>
          <w:rFonts w:cs="Sylfaen"/>
          <w:b w:val="0"/>
          <w:szCs w:val="22"/>
          <w:lang w:val="hy-AM" w:eastAsia="en-US"/>
        </w:rPr>
        <w:t>զբոսաշրջության զարգացում։ Չնայած առկա մարտահրավերներին՝ զբոսաշրջությունը շարունակում է պահպանել իր երկարաժամկետ մրցունակությունը և աճի ներուժը։ Միևնույն ժամանակ, ոլորտի մրցունակության աճը դրական է ազդելու տարածքային համաչափ զարգացման վրա:</w:t>
      </w:r>
    </w:p>
    <w:p w14:paraId="34455F1F" w14:textId="77777777" w:rsidR="0011340D" w:rsidRPr="004F163D" w:rsidRDefault="0011340D" w:rsidP="00835DBE">
      <w:pPr>
        <w:numPr>
          <w:ilvl w:val="0"/>
          <w:numId w:val="28"/>
        </w:numPr>
        <w:tabs>
          <w:tab w:val="left" w:pos="270"/>
        </w:tabs>
        <w:ind w:left="0" w:firstLine="0"/>
        <w:rPr>
          <w:rFonts w:cs="Sylfaen"/>
          <w:b w:val="0"/>
          <w:szCs w:val="22"/>
          <w:lang w:val="hy-AM" w:eastAsia="en-US"/>
        </w:rPr>
      </w:pPr>
      <w:r w:rsidRPr="004F163D">
        <w:rPr>
          <w:rFonts w:cs="Sylfaen"/>
          <w:b w:val="0"/>
          <w:szCs w:val="22"/>
          <w:lang w:val="hy-AM" w:eastAsia="en-US"/>
        </w:rPr>
        <w:t>գյուղատնտեսությ</w:t>
      </w:r>
      <w:r>
        <w:rPr>
          <w:rFonts w:cs="Sylfaen"/>
          <w:b w:val="0"/>
          <w:szCs w:val="22"/>
          <w:lang w:val="hy-AM" w:eastAsia="en-US"/>
        </w:rPr>
        <w:t>ան արդյունավետության բարձրացում</w:t>
      </w:r>
      <w:r w:rsidRPr="004F163D">
        <w:rPr>
          <w:rFonts w:cs="Sylfaen"/>
          <w:b w:val="0"/>
          <w:szCs w:val="22"/>
          <w:lang w:val="hy-AM" w:eastAsia="en-US"/>
        </w:rPr>
        <w:t xml:space="preserve"> և գյուղատնտեսական ամբողջ արժեշղթայում ընդգրկված սուբյեկտների՝ գյուղացիական տնտեսությունների, կոոպերատիվների, գյուղատնտեսական մթերքներ վերամշակողների, սպասարկող ենթակառուցվածքների եկամուտների ավելացում։ Առանձնահատուկ թիրախ է հանդիսանալու պարենային և սննդամթերքի անվտանգության մակարդակի բարձրացումը։ Այս համատեքստում մեծապես կարևորվում է նաև գյուղատնտեսության ռեսուրսային ներուժի արդյունավետ օգտագործումը, առաջադիմական տեխնոլոգիաների ներդրումը և բնակլիմայական ռիսկերի մեղմումը։ Այս ուղղություններով արդեն իսկ մշակված են առանցքային ռազմավարական փաստաթղթեր, որոնք հիմնված են խորքային վերլուծությունների և հետազոտությունների վրա: </w:t>
      </w:r>
    </w:p>
    <w:p w14:paraId="6860E83A" w14:textId="77777777" w:rsidR="009D5A88"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Արդյունաբերության մրցունակության</w:t>
      </w:r>
      <w:r w:rsidRPr="003715ED">
        <w:rPr>
          <w:rFonts w:eastAsia="Calibri"/>
          <w:b w:val="0"/>
          <w:kern w:val="2"/>
          <w:szCs w:val="22"/>
          <w:lang w:val="hy-AM" w:eastAsia="en-US"/>
          <w14:ligatures w14:val="standardContextual"/>
        </w:rPr>
        <w:t xml:space="preserve"> </w:t>
      </w:r>
      <w:r w:rsidR="009D5A88" w:rsidRPr="003715ED">
        <w:rPr>
          <w:rFonts w:eastAsia="Calibri"/>
          <w:b w:val="0"/>
          <w:kern w:val="2"/>
          <w:szCs w:val="22"/>
          <w:lang w:val="hy-AM" w:eastAsia="en-US"/>
          <w14:ligatures w14:val="standardContextual"/>
        </w:rPr>
        <w:t xml:space="preserve">աճի առաջնային աղբյուր է դիտարկվում  արտադրողականության աճը և միջազգային մրցունակության բարձրացումը՝ տեխնոլոգիաների վերազինման, փորձի յուրացման և ներդրման, արտահանման կարողությունների զարգացման, լոգիստիկ խնդիրների մեղմման և՛ ներքին, և՛ միջազգային թիրախային շուկաների մուտքի, և՛ տեղեկատվության հասանելիության ապահովման միջոցով: Առաջիկա 5 տարիներին նախատեսվում է արտադրողականության բարձրացում շուրջ 100 տոկոսով, արտահանման ծավալների տարեկան 10 տոկոս աճի ապահովում և դրա արդյունքում </w:t>
      </w:r>
      <w:r w:rsidR="009D5A88">
        <w:rPr>
          <w:rFonts w:eastAsia="Calibri"/>
          <w:b w:val="0"/>
          <w:kern w:val="2"/>
          <w:szCs w:val="22"/>
          <w:lang w:val="hy-AM" w:eastAsia="en-US"/>
          <w14:ligatures w14:val="standardContextual"/>
        </w:rPr>
        <w:t>ա</w:t>
      </w:r>
      <w:r w:rsidR="009D5A88" w:rsidRPr="003715ED">
        <w:rPr>
          <w:rFonts w:eastAsia="Calibri"/>
          <w:b w:val="0"/>
          <w:kern w:val="2"/>
          <w:szCs w:val="22"/>
          <w:lang w:val="hy-AM" w:eastAsia="en-US"/>
          <w14:ligatures w14:val="standardContextual"/>
        </w:rPr>
        <w:t>պրանքների արտահանում/ՀՆԱ ցուցանիշի ապահովում՝ 23-25 տոկոս:</w:t>
      </w:r>
    </w:p>
    <w:p w14:paraId="68B9EE1B" w14:textId="77777777" w:rsidR="009D5A88" w:rsidRPr="003715ED" w:rsidRDefault="009D5A88"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Ծրագրված գործողությունները միտված են հնարավորություն ընձեռելու Հայաստանի Հանրապետությունում արտադրվող ապրանքները (ծառայությունները), մտավոր գործունեության արդյունքներն արտահանել օտարերկրյա պետությունների շուկաներ՝ ստեղծելով առավել բարենպաստ պայմաններ արտաքին տնտեսական գործունեություն իրականացնող տնտեսավարող սուբյեկտների համար, ինչպես նաև Հայաստանի Հանրապետության համար ռազմավարական ոլորտներում տնտեսական աճի ներառականության համար ապահովել քաղաքացիների մասնագիտական </w:t>
      </w:r>
      <w:r w:rsidRPr="003715ED">
        <w:rPr>
          <w:rFonts w:eastAsia="Calibri"/>
          <w:b w:val="0"/>
          <w:kern w:val="2"/>
          <w:szCs w:val="22"/>
          <w:lang w:val="hy-AM" w:eastAsia="en-US"/>
          <w14:ligatures w14:val="standardContextual"/>
        </w:rPr>
        <w:lastRenderedPageBreak/>
        <w:t>կարողությունների ու հմտությունների զարգացումը և աշխատուժի հմտությունների մակարդակի բարձրացումը։</w:t>
      </w:r>
    </w:p>
    <w:p w14:paraId="3FF0775F" w14:textId="77777777" w:rsidR="009D5A88" w:rsidRPr="003715ED" w:rsidRDefault="009D5A88"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ՀՀ կառավարության 2022 թվականի օգոստոսի 24-ի N 1343-Ն որոշմամբ հաստատվել է Ենթակառուցվածքներ ներդրումների դիմաց օժանդակության տրամադրման միջոցառումը։ Միջոցառումը ենթադրում է կազմակերպությունների կողմից ներդրումային ծրագրերի իրականացման շրջանակներում Հայաստանի Հանրապետության կառավարությ</w:t>
      </w:r>
      <w:r>
        <w:rPr>
          <w:rFonts w:eastAsia="Calibri"/>
          <w:b w:val="0"/>
          <w:kern w:val="2"/>
          <w:szCs w:val="22"/>
          <w:lang w:val="hy-AM" w:eastAsia="en-US"/>
          <w14:ligatures w14:val="standardContextual"/>
        </w:rPr>
        <w:t>ա</w:t>
      </w:r>
      <w:r w:rsidRPr="003715ED">
        <w:rPr>
          <w:rFonts w:eastAsia="Calibri"/>
          <w:b w:val="0"/>
          <w:kern w:val="2"/>
          <w:szCs w:val="22"/>
          <w:lang w:val="hy-AM" w:eastAsia="en-US"/>
          <w14:ligatures w14:val="standardContextual"/>
        </w:rPr>
        <w:t>ն</w:t>
      </w:r>
      <w:r>
        <w:rPr>
          <w:rFonts w:eastAsia="Calibri"/>
          <w:b w:val="0"/>
          <w:kern w:val="2"/>
          <w:szCs w:val="22"/>
          <w:lang w:val="hy-AM" w:eastAsia="en-US"/>
          <w14:ligatures w14:val="standardContextual"/>
        </w:rPr>
        <w:t xml:space="preserve"> կողմից</w:t>
      </w:r>
      <w:r w:rsidRPr="003715ED">
        <w:rPr>
          <w:rFonts w:eastAsia="Calibri"/>
          <w:b w:val="0"/>
          <w:kern w:val="2"/>
          <w:szCs w:val="22"/>
          <w:lang w:val="hy-AM" w:eastAsia="en-US"/>
          <w14:ligatures w14:val="standardContextual"/>
        </w:rPr>
        <w:t xml:space="preserve"> օժանդակության տրամադրում ներդրումային ծրագրի իրականացման համար նախատեսված տարածքն անհրաժեշտ ենթակառուցվածքով ապահովման ճանապարհով։</w:t>
      </w:r>
    </w:p>
    <w:p w14:paraId="45E0C0F6" w14:textId="07205121" w:rsidR="003715ED" w:rsidRPr="00B87357" w:rsidRDefault="003715ED" w:rsidP="00835DBE">
      <w:pPr>
        <w:rPr>
          <w:rFonts w:eastAsia="Calibri"/>
          <w:b w:val="0"/>
          <w:bCs/>
          <w:kern w:val="2"/>
          <w:szCs w:val="22"/>
          <w:lang w:val="hy-AM" w:eastAsia="en-US"/>
          <w14:ligatures w14:val="standardContextual"/>
        </w:rPr>
      </w:pPr>
      <w:r w:rsidRPr="00B87357">
        <w:rPr>
          <w:rFonts w:eastAsia="Calibri"/>
          <w:iCs/>
          <w:kern w:val="2"/>
          <w:szCs w:val="22"/>
          <w:lang w:val="hy-AM" w:eastAsia="en-US"/>
          <w14:ligatures w14:val="standardContextual"/>
        </w:rPr>
        <w:t>Փոքր և միջին ձեռնարկատիրության զարգացումը</w:t>
      </w:r>
      <w:r w:rsidRPr="00B87357">
        <w:rPr>
          <w:rFonts w:eastAsia="Calibri"/>
          <w:b w:val="0"/>
          <w:bCs/>
          <w:kern w:val="2"/>
          <w:szCs w:val="22"/>
          <w:lang w:val="hy-AM" w:eastAsia="en-US"/>
          <w14:ligatures w14:val="standardContextual"/>
        </w:rPr>
        <w:t xml:space="preserve"> </w:t>
      </w:r>
    </w:p>
    <w:p w14:paraId="5A576FF0"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 xml:space="preserve">ՓՄՁ սուբյեկտները Հայաստանի տնտեսության մրցունակության բարձրացման, ներառականության և կայուն զարգացման ապահովման կարևորագույն մասն են կազմում: </w:t>
      </w:r>
    </w:p>
    <w:p w14:paraId="676E2A78"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ՓՄՁ զարգացման համար հիմնական քայլերն ուղղվելու են ՀՆԱ-ում ՓՄՁ-ների տեսակարար կշռի աճին և համաչափ տարածքային զարգացմանը։</w:t>
      </w:r>
    </w:p>
    <w:p w14:paraId="08602719"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Հայաստանի Հանրապետությունում ձեռներեցության ոլորտի ուժեղացման, կազմակերպությունների մրցունակության աճի, ներքին և միջազգային թիրախային շուկաներում ներկայացվածության բարձրացման նպատակով ընդլայնվելու է սկսնակ ձեռներեցների աջակցության գործիքակազմը հետևյալ ուղղություններով</w:t>
      </w:r>
      <w:r w:rsidRPr="003715ED">
        <w:rPr>
          <w:rFonts w:ascii="Cambria Math" w:eastAsia="Calibri" w:hAnsi="Cambria Math" w:cs="Cambria Math"/>
          <w:b w:val="0"/>
          <w:bCs/>
          <w:kern w:val="2"/>
          <w:szCs w:val="22"/>
          <w:lang w:val="hy-AM" w:eastAsia="en-US"/>
          <w14:ligatures w14:val="standardContextual"/>
        </w:rPr>
        <w:t>․</w:t>
      </w:r>
    </w:p>
    <w:p w14:paraId="6BC893F7" w14:textId="77777777" w:rsidR="003715ED" w:rsidRPr="00435BBE" w:rsidRDefault="003715ED" w:rsidP="00835DBE">
      <w:pPr>
        <w:pStyle w:val="ListParagraph"/>
        <w:numPr>
          <w:ilvl w:val="0"/>
          <w:numId w:val="55"/>
        </w:numPr>
        <w:tabs>
          <w:tab w:val="left" w:pos="284"/>
        </w:tabs>
        <w:ind w:left="0" w:firstLine="0"/>
        <w:rPr>
          <w:rFonts w:eastAsia="Calibri"/>
          <w:b w:val="0"/>
          <w:bCs/>
          <w:kern w:val="2"/>
          <w:szCs w:val="22"/>
          <w:lang w:val="hy-AM" w:eastAsia="en-US"/>
          <w14:ligatures w14:val="standardContextual"/>
        </w:rPr>
      </w:pPr>
      <w:r w:rsidRPr="00435BBE">
        <w:rPr>
          <w:rFonts w:eastAsia="Calibri"/>
          <w:b w:val="0"/>
          <w:bCs/>
          <w:kern w:val="2"/>
          <w:szCs w:val="22"/>
          <w:lang w:val="hy-AM" w:eastAsia="en-US"/>
          <w14:ligatures w14:val="standardContextual"/>
        </w:rPr>
        <w:t>ձեռնարկատիրական հմտությունների զարգացում,</w:t>
      </w:r>
    </w:p>
    <w:p w14:paraId="08E1592E" w14:textId="77777777" w:rsidR="003715ED" w:rsidRPr="00435BBE" w:rsidRDefault="003715ED" w:rsidP="00835DBE">
      <w:pPr>
        <w:pStyle w:val="ListParagraph"/>
        <w:numPr>
          <w:ilvl w:val="0"/>
          <w:numId w:val="55"/>
        </w:numPr>
        <w:tabs>
          <w:tab w:val="left" w:pos="284"/>
        </w:tabs>
        <w:ind w:left="0" w:firstLine="0"/>
        <w:rPr>
          <w:rFonts w:eastAsia="Calibri"/>
          <w:b w:val="0"/>
          <w:bCs/>
          <w:kern w:val="2"/>
          <w:szCs w:val="22"/>
          <w:lang w:val="hy-AM" w:eastAsia="en-US"/>
          <w14:ligatures w14:val="standardContextual"/>
        </w:rPr>
      </w:pPr>
      <w:r w:rsidRPr="00435BBE">
        <w:rPr>
          <w:rFonts w:eastAsia="Calibri"/>
          <w:b w:val="0"/>
          <w:bCs/>
          <w:kern w:val="2"/>
          <w:szCs w:val="22"/>
          <w:lang w:val="hy-AM" w:eastAsia="en-US"/>
          <w14:ligatures w14:val="standardContextual"/>
        </w:rPr>
        <w:t>մատչելի ֆինանսական միջոցների հասանելիության ապահովում՝ արտոնյալ պայմաններով վարկերի տրամադրման միջոցով։</w:t>
      </w:r>
    </w:p>
    <w:p w14:paraId="4826E34C"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Աջակցության այս մոդելը միջազգային պրակտիկայում ընդունված ամենաարդյունավետ գործիքներից է ՓՄՁ տնտեսական ներուժը բացահայտելու և աճի միտում ունեցող ՓՄՁ-երին աջակցելու տեսանկյունից։</w:t>
      </w:r>
    </w:p>
    <w:p w14:paraId="16EAAD2F"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 xml:space="preserve"> Իրականացվող միջոցառումների արդյունքում նախատեսվում է որակական առումով ունենալ</w:t>
      </w:r>
      <w:r w:rsidRPr="003715ED">
        <w:rPr>
          <w:rFonts w:ascii="Cambria Math" w:eastAsia="Calibri" w:hAnsi="Cambria Math" w:cs="Cambria Math"/>
          <w:b w:val="0"/>
          <w:bCs/>
          <w:kern w:val="2"/>
          <w:szCs w:val="22"/>
          <w:lang w:val="hy-AM" w:eastAsia="en-US"/>
          <w14:ligatures w14:val="standardContextual"/>
        </w:rPr>
        <w:t>․</w:t>
      </w:r>
    </w:p>
    <w:p w14:paraId="44029DFE" w14:textId="77777777" w:rsidR="003715ED" w:rsidRPr="00435BBE" w:rsidRDefault="003715ED" w:rsidP="00835DBE">
      <w:pPr>
        <w:pStyle w:val="ListParagraph"/>
        <w:numPr>
          <w:ilvl w:val="0"/>
          <w:numId w:val="55"/>
        </w:numPr>
        <w:tabs>
          <w:tab w:val="left" w:pos="284"/>
        </w:tabs>
        <w:suppressAutoHyphens/>
        <w:ind w:left="0" w:firstLine="0"/>
        <w:rPr>
          <w:rFonts w:eastAsia="Calibri" w:cs="Arial"/>
          <w:b w:val="0"/>
          <w:bCs/>
          <w:kern w:val="2"/>
          <w:szCs w:val="22"/>
          <w:lang w:val="hy-AM" w:eastAsia="en-US"/>
          <w14:ligatures w14:val="standardContextual"/>
        </w:rPr>
      </w:pPr>
      <w:r w:rsidRPr="00435BBE">
        <w:rPr>
          <w:rFonts w:eastAsia="Calibri" w:cs="Arial"/>
          <w:b w:val="0"/>
          <w:bCs/>
          <w:kern w:val="2"/>
          <w:szCs w:val="22"/>
          <w:lang w:val="hy-AM"/>
          <w14:ligatures w14:val="standardContextual"/>
        </w:rPr>
        <w:t>Նորարարական և աճի ներուժ ունեցող ՓՄՁ սուբյեկտներ, որոնք օգտագործում են իրենց աճի ներուժը նոր շուկաներ մուտք գործելու և որակյալ արտադրանք արտադրելու և ծառայություններ մատուցելու նպատակով,</w:t>
      </w:r>
    </w:p>
    <w:p w14:paraId="337402C6" w14:textId="77777777" w:rsidR="003715ED" w:rsidRPr="00435BBE" w:rsidRDefault="003715ED"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435BBE">
        <w:rPr>
          <w:rFonts w:eastAsia="Calibri" w:cs="Arial"/>
          <w:b w:val="0"/>
          <w:bCs/>
          <w:kern w:val="2"/>
          <w:szCs w:val="22"/>
          <w:lang w:val="hy-AM"/>
          <w14:ligatures w14:val="standardContextual"/>
        </w:rPr>
        <w:t>արտաքին շուկաներում մրցունակ ՓՄՁ սուբյեկտների առկայություն,</w:t>
      </w:r>
    </w:p>
    <w:p w14:paraId="049B362F" w14:textId="77777777" w:rsidR="003715ED" w:rsidRPr="00435BBE" w:rsidRDefault="003715ED"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435BBE">
        <w:rPr>
          <w:rFonts w:eastAsia="Calibri" w:cs="Arial"/>
          <w:b w:val="0"/>
          <w:bCs/>
          <w:kern w:val="2"/>
          <w:szCs w:val="22"/>
          <w:lang w:val="hy-AM"/>
          <w14:ligatures w14:val="standardContextual"/>
        </w:rPr>
        <w:t>ՓՄՁ սուբյեկտների կողմից արտահանման ծավալների ավելացում,</w:t>
      </w:r>
    </w:p>
    <w:p w14:paraId="517A4ACB" w14:textId="77777777" w:rsidR="003715ED" w:rsidRPr="00435BBE" w:rsidRDefault="003715ED"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435BBE">
        <w:rPr>
          <w:rFonts w:eastAsia="Calibri" w:cs="Arial"/>
          <w:b w:val="0"/>
          <w:bCs/>
          <w:kern w:val="2"/>
          <w:szCs w:val="22"/>
          <w:lang w:val="hy-AM"/>
          <w14:ligatures w14:val="standardContextual"/>
        </w:rPr>
        <w:t>բարձրարժեք արտադրանք ստեղծող ՓՄՁ սուբյեկտներ։</w:t>
      </w:r>
    </w:p>
    <w:p w14:paraId="5B941D8B"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Ձեռներեցության խթանման նպատակով իրականացվելու են միջոցառումներ պետություն և մասնավոր երկխոսության կապը ակտիվացնելու և մարզային հանդիպումներ կազմակերպելու համար։</w:t>
      </w:r>
    </w:p>
    <w:p w14:paraId="5C3E487E"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lastRenderedPageBreak/>
        <w:t>2024 թվականի ընթացքում Պետություն–մասնավոր երկխոսության շրջանակներում շարունակվելու են իրականացվել  քննարկումներ՝ ներառյալ մարզային այցելությունների և թեմատիկ հարթակների, մասնավոր հատվածի հետ երկխոսության հնարավոր այլ մեթոդներով մասնավոր հատվածի հետ հետադարձ կապի հաստատման</w:t>
      </w:r>
      <w:r w:rsidRPr="003715ED">
        <w:rPr>
          <w:rFonts w:eastAsia="Calibri" w:cs="Cambria Math"/>
          <w:b w:val="0"/>
          <w:bCs/>
          <w:kern w:val="2"/>
          <w:szCs w:val="22"/>
          <w:lang w:val="hy-AM" w:eastAsia="en-US"/>
          <w14:ligatures w14:val="standardContextual"/>
        </w:rPr>
        <w:t xml:space="preserve"> համար և </w:t>
      </w:r>
      <w:r w:rsidRPr="003715ED">
        <w:rPr>
          <w:rFonts w:eastAsia="Calibri"/>
          <w:b w:val="0"/>
          <w:bCs/>
          <w:kern w:val="2"/>
          <w:szCs w:val="22"/>
          <w:lang w:val="hy-AM" w:eastAsia="en-US"/>
          <w14:ligatures w14:val="standardContextual"/>
        </w:rPr>
        <w:t xml:space="preserve"> վերջիններիս խնդիրների բացահայտման և դրանց կարգավորման լուծումների փաթեթային առաջարկների ձևավորման ուղղությամբ։ Այդ համատեքստում նախատեսվում է կազմակերպել Պետություն-մասնավոր երկխոսության տարեկան առնվազն 1 բարձր մակարդակի աշխատաժողով՝ Էկոնոմիկայի նախարարության վարչական տեղակայման վայրում կամ արտագնա։</w:t>
      </w:r>
    </w:p>
    <w:p w14:paraId="5C6FF24C"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Գործարար միությունների և ոլորտային ակտիվ ներգրավմամբ պարբերաբար կազմակերպելու են հանդիպումներ և քննարկումներ՝ վերջիններիս կողմից առաջադրված առաջնային խնդիրների օրակարգերի շուրջ՝ մասնավոր հատվածի ուժեղ կողմերի և հնարավորությունների համախմբման միջոցով նպաստելով տնտեսական զարգացմանը Հայաստանում։</w:t>
      </w:r>
    </w:p>
    <w:p w14:paraId="4DAF365C" w14:textId="77777777" w:rsidR="003715ED" w:rsidRPr="003715ED" w:rsidRDefault="003715ED" w:rsidP="00835DBE">
      <w:pPr>
        <w:rPr>
          <w:rFonts w:eastAsia="Calibri"/>
          <w:b w:val="0"/>
          <w:bCs/>
          <w:kern w:val="2"/>
          <w:szCs w:val="22"/>
          <w:lang w:val="hy-AM" w:eastAsia="en-US"/>
          <w14:ligatures w14:val="standardContextual"/>
        </w:rPr>
      </w:pPr>
      <w:r w:rsidRPr="003715ED">
        <w:rPr>
          <w:rFonts w:eastAsia="Calibri"/>
          <w:b w:val="0"/>
          <w:bCs/>
          <w:kern w:val="2"/>
          <w:szCs w:val="22"/>
          <w:lang w:val="hy-AM" w:eastAsia="en-US"/>
          <w14:ligatures w14:val="standardContextual"/>
        </w:rPr>
        <w:t>Կարևորելով տնտեսության մեջ բարձր որակավորում ունեցող մասնագետների ներգրավվածությունը կազմակերպությունների արտադրողականության աճի և տնտեսության մեջ արտաքին աշխատաշուկաներից մասնագետների ներգրավման գործում՝ իրականացվում է Բարձր որակավորում ունեցող մասնագետների ներգրավմանը պետական աջակցության միջոցառումը։</w:t>
      </w:r>
    </w:p>
    <w:p w14:paraId="55C53EB6" w14:textId="77777777" w:rsidR="003715ED"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Թեթև արդյունաբերությունը</w:t>
      </w:r>
      <w:r w:rsidRPr="003715ED">
        <w:rPr>
          <w:rFonts w:eastAsia="Calibri"/>
          <w:b w:val="0"/>
          <w:kern w:val="2"/>
          <w:szCs w:val="22"/>
          <w:lang w:val="hy-AM" w:eastAsia="en-US"/>
          <w14:ligatures w14:val="standardContextual"/>
        </w:rPr>
        <w:t xml:space="preserve"> 5 գերակա ճյուղերից մեկն է։ Հիմնական ռազմավարական նպատակն է ապահովել ոլորտի մրցունակության բարելավում` խթանելով ավելացված արժեքի և արտադրողականության աճը, ինչպես նաև սեփական ապրանքանիշով նոր շուկաներ մուտքը։</w:t>
      </w:r>
    </w:p>
    <w:p w14:paraId="0B03BD6A"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Այս նպատակում առանցքային դեր պետք է հատկացվի Ավելացված արժեքին, իսկ ավելի ստույգ՝ աշխատանքի մեկ ժամում ձևավորվող ավելացված արժեքին: Այս ցուցանիշը արտացոլում է արդյունաբերությունում մեկ ժամվա ընթացքում արտադրվող հավելյալ արժեքը, այլ կերպ ասած՝ արտադրողականությունը։</w:t>
      </w:r>
    </w:p>
    <w:p w14:paraId="29863133"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Հիմնվելով ավելացված արժեքի նկարագրված հասկացողության վրա, մշակվել է պետական աջակցության մի շարք միջոցառումներ, որոնք ուղղված են Հայաստանում տեքստիլ արդյունաբերության որակական զարգացմանը: </w:t>
      </w:r>
    </w:p>
    <w:p w14:paraId="1C1A3304"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Ճանապարհային քարտեզի կարևորագույն մաս է հանդիսանում նաև Մարդու իրավունքների և գենդերային հավասարության սկզբունքների պահպանումը, ինչպես նաև գենդերային ուղղորդման գործիքի կիրառումը ոլորտի բարելավման, ինրպես նաև կանանց և տղամարդկանց գենդերային կարիքների և ռազմավարական շահերի ապահովման նպատակով։</w:t>
      </w:r>
    </w:p>
    <w:p w14:paraId="3423F0DA" w14:textId="77777777" w:rsidR="003715ED"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Զբոսաշրջության ոլորտի զարգացման</w:t>
      </w:r>
      <w:r w:rsidRPr="003715ED">
        <w:rPr>
          <w:rFonts w:eastAsia="Calibri"/>
          <w:b w:val="0"/>
          <w:kern w:val="2"/>
          <w:szCs w:val="22"/>
          <w:lang w:val="hy-AM" w:eastAsia="en-US"/>
          <w14:ligatures w14:val="standardContextual"/>
        </w:rPr>
        <w:t xml:space="preserve"> քաղաքականությունն ուղղված է լինելու Հայաստանի ճանաչելիության և հայկական զբոսաշրջային արդյունքի մրցունակության բարձրացմանը, ինստիտուցիոնալ բարեփոխումների իրականացմանը։ Բյուջետային </w:t>
      </w:r>
      <w:r w:rsidRPr="003715ED">
        <w:rPr>
          <w:rFonts w:eastAsia="Calibri"/>
          <w:b w:val="0"/>
          <w:kern w:val="2"/>
          <w:szCs w:val="22"/>
          <w:lang w:val="hy-AM" w:eastAsia="en-US"/>
          <w14:ligatures w14:val="standardContextual"/>
        </w:rPr>
        <w:lastRenderedPageBreak/>
        <w:t xml:space="preserve">տարվա հիմնական միջոցառումները վերաբերում են ակտիվ մարքեթինգային քաղաքականության իրականացմանը, համայնքային ռեսուրսների հիման վրա զբոսաշրջային արդյունքի բազմազանեցմանը, զբոսաշրջային ենթակառուցվածքների և կարողությունների զարգացման աջակցությանը, միջազգային համագործակցության զարգացմանը, վիճակագրական համակարգի կատարելագործմանը, ծառայությունների որակի բարելավմանը, Հայաստանում իրականացվող միջոցառումների զբոսաշրջային բաղադրիչին և MICE (Meetings, Incentives, Conferences, Exhibitions) միջոցառման կազմակերպման աջակցությանը, զբոսաշրջային կենտրոն կառավարող կազմակերպությունների (DMO-ների) գործունեությանը աջակցությանը։ Մեծ ուշադրություն է դարձվելու Հայաստանի զբոսաշրջային գրավչության վերականգնման մարքեթինգային միջոցառումների իրականացմանը։ </w:t>
      </w:r>
    </w:p>
    <w:p w14:paraId="61DBB136"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Սույն ծրագրով Համաշխարհային բանկի աջակցությամբ իրականացվող Տեղական տնտեսության և ենթակառուցվածքների զարգացման (ՏՏԵԶ) ծրագրի շրջանակներում ՀՀ տարբեր մարզերում զբոսաշրջության հետ կապված ենթակառուցվածքների բարելավմանն ուղղված միջոցառումներով նախատեսվում է թիրախային տարածքներում մասնավոր հատվածի ներդրումների ծավալի աճ շուրջ 25 տոկոսով, ընտրված զբոսաշրջային վայրերում բարելավվել 10 մուտքային ճանապարհներ և թվով 2 զբոսայգիների բարեկարգում:</w:t>
      </w:r>
    </w:p>
    <w:p w14:paraId="442A5289" w14:textId="69750AF0"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ՏՏԵԶ ծրագրի ավարտից հետո նախատեսվում է Համաշխարհային բանկի աջակցությամբ իրականացնել «Զբոսաշրջության և մարզային ենթակառուցվածքների բարելավում» ծրագիրը, որի շրջանակում նախատեսվում է կլաստերային համակարգի ներդրում։ Զբոսաշրջության ոլորտում Կլաստերային մոտեցման ներդրման հիմնական թիրախները նպատակաուղղված կլինեն դիվերսիֆիկացնել զբոսաշրջությունը Հայաստանում, հանրահռչակել բազմա</w:t>
      </w:r>
      <w:r w:rsidR="00B04A45">
        <w:rPr>
          <w:b w:val="0"/>
          <w:noProof/>
          <w:szCs w:val="22"/>
          <w:lang w:val="hy-AM"/>
        </w:rPr>
        <w:t>թիվ</w:t>
      </w:r>
      <w:r w:rsidRPr="003715ED">
        <w:rPr>
          <w:rFonts w:eastAsia="Calibri"/>
          <w:b w:val="0"/>
          <w:kern w:val="2"/>
          <w:szCs w:val="22"/>
          <w:lang w:val="hy-AM" w:eastAsia="en-US"/>
          <w14:ligatures w14:val="standardContextual"/>
        </w:rPr>
        <w:t xml:space="preserve"> մշակութային/պատմական հուշարձաններ, զարգացնել բնության հատուկ պահպանվող տարածքների, այդ թվում բնության հաշարձանների, ինչպես նաև շրջակա միջավայրի այլ օբյեկտների էկոտուրիստական ներուժը և այլն: Միջոցառման իրականացման արդյունքում ակնկալվում է բարձրացնել ազգային մրցունակությունը, որը կդրսևորվի ՀՆԱ-ի աճի տեմպերով, արտահանման ծավալների մեծացմամբ, դրական առևտրային հաշվեկշռի ձևավորմամբ, երկրի թույլ զարգացած և ճգնաժամի մեջ գտնվող տարածքների զարգացմամբ:</w:t>
      </w:r>
    </w:p>
    <w:p w14:paraId="26AD3D85" w14:textId="77777777" w:rsidR="003715ED"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Գյուղատնտեսությունը</w:t>
      </w:r>
      <w:r w:rsidRPr="00B87357">
        <w:rPr>
          <w:rFonts w:eastAsia="Calibri"/>
          <w:b w:val="0"/>
          <w:kern w:val="2"/>
          <w:szCs w:val="22"/>
          <w:lang w:val="hy-AM" w:eastAsia="en-US"/>
          <w14:ligatures w14:val="standardContextual"/>
        </w:rPr>
        <w:t xml:space="preserve"> երկրի</w:t>
      </w:r>
      <w:r w:rsidRPr="003715ED">
        <w:rPr>
          <w:rFonts w:eastAsia="Calibri"/>
          <w:b w:val="0"/>
          <w:kern w:val="2"/>
          <w:szCs w:val="22"/>
          <w:lang w:val="hy-AM" w:eastAsia="en-US"/>
          <w14:ligatures w14:val="standardContextual"/>
        </w:rPr>
        <w:t xml:space="preserve"> կենսագործունեության և տնտեսության կայունացման շարժիչ գործոններից մեկն է։ Այն նշանակալի է ոչ միայն որպես ոլորտ, որից ստացվում է որոշակի ավելացված արժեք, այլև առաջին հերթին՝ որպես բնագավառ, որի որակի և զարգացման մակարդակից է կախված բնակչության պարենային անվտանգությունը, գյուղական բնակավայրերի կենսամակարդակն ու զարգացման հնարավորությունները, մարդկանց առողջությունն ու անվտանգությունը։</w:t>
      </w:r>
    </w:p>
    <w:p w14:paraId="5F1DD26F"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Գյուղատնտեսության առաջնային արտադրությունն ու գյուղ</w:t>
      </w:r>
      <w:r w:rsidRPr="003715ED">
        <w:rPr>
          <w:rFonts w:ascii="Cambria Math" w:eastAsia="Calibri" w:hAnsi="Cambria Math" w:cs="Cambria Math"/>
          <w:b w:val="0"/>
          <w:kern w:val="2"/>
          <w:szCs w:val="22"/>
          <w:lang w:val="hy-AM" w:eastAsia="en-US"/>
          <w14:ligatures w14:val="standardContextual"/>
        </w:rPr>
        <w:t>․</w:t>
      </w:r>
      <w:r w:rsidRPr="003715ED">
        <w:rPr>
          <w:rFonts w:eastAsia="Calibri"/>
          <w:b w:val="0"/>
          <w:kern w:val="2"/>
          <w:szCs w:val="22"/>
          <w:lang w:val="hy-AM" w:eastAsia="en-US"/>
          <w14:ligatures w14:val="standardContextual"/>
        </w:rPr>
        <w:t xml:space="preserve"> ապրանքների վերամշակումն ապահովում են ՀՆԱ-ի շուրջ 20%-ը։</w:t>
      </w:r>
    </w:p>
    <w:p w14:paraId="161ED23B"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lastRenderedPageBreak/>
        <w:t>Կառավարության կողմից իրականացվող քաղաքականությունն ուղղված է լինելու գյուղատնտեսության ինտենսիվացմանը, արդյունավետության բարձրացմանը, հողային ռեսուրսների նպատակային և ջրային ռեսուրսների խնայողաբար ու արդյունավետ օգտագործմանը, պարենային անվտանգության մակարդակի բարձրացմանը, անասնաբուծության և բուսաբուծության զարգացմանը, արդի տեխնոլոգիաների ներդրմանը, արտադրված արտադրանքի իրացմանն ու արտահանման խթանմանը, գյուղատնտեսական ամբողջ արժեշղթայում ընդգրկված սուբյեկտների՝ գյուղացիական տնտեսությունների, կոոպերատիվների, գյուղատնտեսական մթերք վերամշակողների եկամուտների ավելացմանը:</w:t>
      </w:r>
    </w:p>
    <w:p w14:paraId="3773D61C"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2024 թվականի համար բարեփոխումների քաղաքականությունը կուղղվի գյուղատնտեսական նշանակության հողերի չօգտագործման և մասնատվածության մակարդակի նվազեցմանը, դրանց խոշորացմանը, միավորմանը (կոնսոլիդացմանը), տնտեսավարողների համար գործունեության նպաստավոր և մրցունակ պայմանների ստեղծմանը, կլիմայի հարմարվողականությանն ու մեղմանն ուղղված միջոցառումների իրականացմանը, գյուղատնտեսական տեխնիկայով և ագրոպարենային ոլորտի սարքավորումներով հագեցվածության ապահովմանը, որը կխթանի արտադրողականության բարձրացումն ու մրցունակ և անվտանգ ապրանքների արտադրմանը, գյուղատնտեսական մթերքների շուկայահանմանը և արտաքին շուկաների դիվերսիֆիկացմանը, գյուղատնտեսական հումք արտադրողների և վերամշակողների միջև պայմանագրային հարաբերությունների խորացմանը, գյուղատնտեսությունում ապահովագրական համակարգի ամբողջական ներդրման համար նախադրյալների ստեղծմանը, ժամանակակից տեխնոլոգիաների ներդրմանը, խոշոր ներդրումային ծրագրերին աջակցությանը, աշխարհագրական նշումների մասին օրենքի բարելավմամբ պայմանավորված հայկական աշխարհագրական նշումներով արտադրանքի արտադրմանը և գրանցմանը։</w:t>
      </w:r>
    </w:p>
    <w:p w14:paraId="71E9BE3F" w14:textId="77777777" w:rsidR="003715ED" w:rsidRPr="003715ED" w:rsidRDefault="00887FDA" w:rsidP="00835DBE">
      <w:pPr>
        <w:rPr>
          <w:rFonts w:eastAsia="Calibri"/>
          <w:b w:val="0"/>
          <w:kern w:val="2"/>
          <w:szCs w:val="22"/>
          <w:lang w:val="hy-AM" w:eastAsia="en-US"/>
          <w14:ligatures w14:val="standardContextual"/>
        </w:rPr>
      </w:pPr>
      <w:r w:rsidRPr="00E4306F">
        <w:rPr>
          <w:rFonts w:eastAsia="Calibri"/>
          <w:b w:val="0"/>
          <w:kern w:val="2"/>
          <w:szCs w:val="22"/>
          <w:lang w:val="hy-AM" w:eastAsia="en-US"/>
          <w14:ligatures w14:val="standardContextual"/>
        </w:rPr>
        <w:t xml:space="preserve">Կառավարության 2023 թվականի հունիսի 29-ի N 1083-Ն որոշմամբ հաստատված </w:t>
      </w:r>
      <w:r w:rsidR="003715ED" w:rsidRPr="003715ED">
        <w:rPr>
          <w:rFonts w:eastAsia="Calibri"/>
          <w:b w:val="0"/>
          <w:kern w:val="2"/>
          <w:szCs w:val="22"/>
          <w:lang w:val="hy-AM" w:eastAsia="en-US"/>
          <w14:ligatures w14:val="standardContextual"/>
        </w:rPr>
        <w:t>Պարենային անվտանգության համակարգի հետագա զարգացման ռազմավարությա</w:t>
      </w:r>
      <w:r w:rsidRPr="00E4306F">
        <w:rPr>
          <w:rFonts w:eastAsia="Calibri"/>
          <w:b w:val="0"/>
          <w:kern w:val="2"/>
          <w:szCs w:val="22"/>
          <w:lang w:val="hy-AM" w:eastAsia="en-US"/>
          <w14:ligatures w14:val="standardContextual"/>
        </w:rPr>
        <w:t>մբ</w:t>
      </w:r>
      <w:r w:rsidR="003715ED" w:rsidRPr="003715ED">
        <w:rPr>
          <w:rFonts w:eastAsia="Calibri"/>
          <w:b w:val="0"/>
          <w:kern w:val="2"/>
          <w:szCs w:val="22"/>
          <w:lang w:val="hy-AM" w:eastAsia="en-US"/>
          <w14:ligatures w14:val="standardContextual"/>
        </w:rPr>
        <w:t xml:space="preserve"> և 2023-2026 թվականների գործողությունների ծրագր</w:t>
      </w:r>
      <w:r w:rsidRPr="00E4306F">
        <w:rPr>
          <w:rFonts w:eastAsia="Calibri"/>
          <w:b w:val="0"/>
          <w:kern w:val="2"/>
          <w:szCs w:val="22"/>
          <w:lang w:val="hy-AM" w:eastAsia="en-US"/>
          <w14:ligatures w14:val="standardContextual"/>
        </w:rPr>
        <w:t xml:space="preserve">ով </w:t>
      </w:r>
      <w:r w:rsidR="003715ED" w:rsidRPr="003715ED">
        <w:rPr>
          <w:rFonts w:eastAsia="Calibri"/>
          <w:b w:val="0"/>
          <w:kern w:val="2"/>
          <w:szCs w:val="22"/>
          <w:lang w:val="hy-AM" w:eastAsia="en-US"/>
          <w14:ligatures w14:val="standardContextual"/>
        </w:rPr>
        <w:t>նախանշվե</w:t>
      </w:r>
      <w:r w:rsidRPr="00E4306F">
        <w:rPr>
          <w:rFonts w:eastAsia="Calibri"/>
          <w:b w:val="0"/>
          <w:kern w:val="2"/>
          <w:szCs w:val="22"/>
          <w:lang w:val="hy-AM" w:eastAsia="en-US"/>
          <w14:ligatures w14:val="standardContextual"/>
        </w:rPr>
        <w:t>լ ե</w:t>
      </w:r>
      <w:r w:rsidR="003715ED" w:rsidRPr="003715ED">
        <w:rPr>
          <w:rFonts w:eastAsia="Calibri"/>
          <w:b w:val="0"/>
          <w:kern w:val="2"/>
          <w:szCs w:val="22"/>
          <w:lang w:val="hy-AM" w:eastAsia="en-US"/>
          <w14:ligatures w14:val="standardContextual"/>
        </w:rPr>
        <w:t xml:space="preserve">ն համակարգի հետագա կայուն և համաչափ զարգացումն ապահովող համապատասխան միջոցառումները, </w:t>
      </w:r>
      <w:r w:rsidRPr="00E4306F">
        <w:rPr>
          <w:rFonts w:eastAsia="Calibri"/>
          <w:b w:val="0"/>
          <w:kern w:val="2"/>
          <w:szCs w:val="22"/>
          <w:lang w:val="hy-AM" w:eastAsia="en-US"/>
          <w14:ligatures w14:val="standardContextual"/>
        </w:rPr>
        <w:t>որոնք</w:t>
      </w:r>
      <w:r w:rsidR="003715ED" w:rsidRPr="003715ED">
        <w:rPr>
          <w:rFonts w:eastAsia="Calibri"/>
          <w:b w:val="0"/>
          <w:kern w:val="2"/>
          <w:szCs w:val="22"/>
          <w:lang w:val="hy-AM" w:eastAsia="en-US"/>
          <w14:ligatures w14:val="standardContextual"/>
        </w:rPr>
        <w:t xml:space="preserve"> </w:t>
      </w:r>
      <w:r>
        <w:rPr>
          <w:rFonts w:eastAsia="Calibri"/>
          <w:b w:val="0"/>
          <w:kern w:val="2"/>
          <w:szCs w:val="22"/>
          <w:lang w:val="hy-AM" w:eastAsia="en-US"/>
          <w14:ligatures w14:val="standardContextual"/>
        </w:rPr>
        <w:t>կապահով</w:t>
      </w:r>
      <w:r w:rsidR="003715ED" w:rsidRPr="003715ED">
        <w:rPr>
          <w:rFonts w:eastAsia="Calibri"/>
          <w:b w:val="0"/>
          <w:kern w:val="2"/>
          <w:szCs w:val="22"/>
          <w:lang w:val="hy-AM" w:eastAsia="en-US"/>
          <w14:ligatures w14:val="standardContextual"/>
        </w:rPr>
        <w:t>են պարենային անվտանգության մակարդակի բարձրացումը։</w:t>
      </w:r>
    </w:p>
    <w:p w14:paraId="2F345B11" w14:textId="77777777" w:rsidR="003715ED" w:rsidRPr="00B87357" w:rsidRDefault="003715ED" w:rsidP="00835DBE">
      <w:pPr>
        <w:rPr>
          <w:rFonts w:eastAsia="Calibri"/>
          <w:bCs/>
          <w:iCs/>
          <w:kern w:val="2"/>
          <w:szCs w:val="22"/>
          <w:lang w:val="hy-AM" w:eastAsia="en-US"/>
          <w14:ligatures w14:val="standardContextual"/>
        </w:rPr>
      </w:pPr>
      <w:r w:rsidRPr="00B87357">
        <w:rPr>
          <w:rFonts w:eastAsia="Calibri"/>
          <w:bCs/>
          <w:iCs/>
          <w:kern w:val="2"/>
          <w:szCs w:val="22"/>
          <w:lang w:val="hy-AM" w:eastAsia="en-US"/>
          <w14:ligatures w14:val="standardContextual"/>
        </w:rPr>
        <w:t>Գործարար և ներդրումային միջավայր</w:t>
      </w:r>
    </w:p>
    <w:p w14:paraId="06966F79"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Հայաստանը գրավիչ երկիր է ներդրումային և գործարար միջավայրի տեսանկյունից: Ներդրումների ներգրավումը և աջակցությունը, օտարերկրյա ներդրումների համար բարենպաստ օրենսդրական դաշտի և միջավայրի ստեղծումը Հայաստանի Հանրապետության տնտեսական քաղաքականության առանցքային ուղղություններից են: Անցած տասնամյակի ընթացքում իրականացվել են կարևոր բարեփոխումներ, որոնք նպաստել են Հայաստանի՝ օտարերկրյա ներդրումների համար ավելի բարենպաստ </w:t>
      </w:r>
      <w:r w:rsidRPr="003715ED">
        <w:rPr>
          <w:rFonts w:eastAsia="Calibri"/>
          <w:b w:val="0"/>
          <w:kern w:val="2"/>
          <w:szCs w:val="22"/>
          <w:lang w:val="hy-AM" w:eastAsia="en-US"/>
          <w14:ligatures w14:val="standardContextual"/>
        </w:rPr>
        <w:lastRenderedPageBreak/>
        <w:t>լինելուն՝ ներառելով ինչպես իրավական համակարգի բարեփոխումները, այնպես էլ գործարար ընթացակարգերի հեշտացման գործնական քայլերը:</w:t>
      </w:r>
    </w:p>
    <w:p w14:paraId="543F35B2"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Գործարար և ներդրումային միջավայրի բարելավումը պահանջում է մի շարք շրջանակային բարեփոխումներ՝ ուղղված տնտեսության ներուժի վերականգնմանը, որը հնարավոր կլինի ներդրումային միջավայրի ճկունությունն ապահովելու և ներդրումների ներգրավման միջոցով։ Տնտեսական քաղաքականության թիրախներին հասնելու համար անհրաժեշտ է լինելու ներդրում/ՀՆԱ հարաբերակցությունը հասցնել առնվազն 25%-ի։ Կառավարության քաղաքականությունը միտված է լինելու օտարերկրյա ուղղակի ներդրումներ/ՀՆԱ 6% հարաբերակցություն ապահովելուն՝ շեշտադրելով որակյալ, գիտելիքահենք ներդրումային ծրագրերը: Գործարար և ներդրումային միջավայրի ճկունությունն ապահովելու նպատակով իրականացվելու են կառուցվածքային բարեփոխումներ, որոնք նպատակ են ունենալու ընդլայնել Հայաստանի Հանրապետության քաղաքացիներին հասանելի տնտեսական հնարավորությունների դաշտը և առավելագույնս խրախուսելու հատկապես գիտելիք ձևավորող ներքին և օտարերկրյա մասնավոր ներդրումները, բարձրացնելու վերջիններիս շահութաբերությունը:</w:t>
      </w:r>
    </w:p>
    <w:p w14:paraId="17FBC51C"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Սահմանափակ ներքին շուկայի պայմաններոմ ՀՀ ներդրումային գրավչությունը պայմանավորված է լինելու նաև ԵԱՏՄ, ԵՄ, Իրանի շուկաների հասանելիության և միաժամանակ գործարար ու ներդրումային միջավայրի տվյալ շուկաների համադրությամբ առավել բարենպաս լինելու հանգամանքներով։ Ներդրումային քաղաքականության նպատակներից է առնվազն ԵԱՏՄ, հարևան և տարածաշրջանի երկրների համեմատ լավագույն, առավել ճկուն ներդրումային դաշտի ձևավորումը՝ ազատ ու հավասար մրցակցության, ինչպես նաև կանխատեսելիության իմաստով և առաջնային դիրքի պահպանման նպատակով դրա շարունակական բարելավումը։ Կառավարության ներդրումային քաղաքականության նպատակներից են նաև ապահովել ներդրումների պաշտպանության անհրաժեշտ երաշխիքներ՝ միջազգային լավագույն պրակտիկաների ձևաչափով՝ կարևորելով ազատ ու հավասար մրցակցությունը, բիզնեսի համար կանխատեսելիությունը և առաջնային դիրքի պահպանման նպատակով դրա շարունակական բարելավումը։Ներդրումային քաղաքականության առաջնահերթ թիրախը հանդիսանում է նորարարական, նոր գիտելիք ստեղծող ծրագրերի իրագործման համար առավել արագ և ճկուն գործընթացների, ինչպես նաև մրցունակության գործոնների առավելագույն հասանելիության ապահովումը։</w:t>
      </w:r>
    </w:p>
    <w:p w14:paraId="30C575AD" w14:textId="77777777" w:rsidR="003715ED" w:rsidRPr="00B87357" w:rsidRDefault="003715ED" w:rsidP="00835DBE">
      <w:pPr>
        <w:rPr>
          <w:rFonts w:eastAsia="Calibri"/>
          <w:bCs/>
          <w:iCs/>
          <w:kern w:val="2"/>
          <w:szCs w:val="22"/>
          <w:lang w:val="hy-AM" w:eastAsia="en-US"/>
          <w14:ligatures w14:val="standardContextual"/>
        </w:rPr>
      </w:pPr>
      <w:r w:rsidRPr="00B87357">
        <w:rPr>
          <w:rFonts w:eastAsia="Calibri"/>
          <w:bCs/>
          <w:iCs/>
          <w:kern w:val="2"/>
          <w:szCs w:val="22"/>
          <w:lang w:val="hy-AM" w:eastAsia="en-US"/>
          <w14:ligatures w14:val="standardContextual"/>
        </w:rPr>
        <w:t>Հանրային ներդրումներ</w:t>
      </w:r>
    </w:p>
    <w:p w14:paraId="26D528E3" w14:textId="77777777" w:rsidR="009D5A88" w:rsidRPr="003715ED" w:rsidRDefault="009D5A88"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ՀՀ կառավարությունը, կարևորելով հանրային ռեսուրսների արդյունավետ կառավարումը, հանրային ներդրումների արդյունավետության բարձրացումը և հանրային միջոցների նպատակային օգտագործումը, համապատասխան քայլեր է ձեռնարկում հանրային ներդրումային միասնական համակարգի, այդ թվում՝ հանրային ներդրումային ծրագրերի մշտադիտարկման և գնահատման բարելավման ուղղությամբ։ ՀՀ էկոնոմիկայի նախարարությունը նախաձեռնել և իրականացնում է մի շարք գործընթացներ, որոնք ուղղված են հանրային ներդրումների կառավարման միասնական համակարգի </w:t>
      </w:r>
      <w:r w:rsidRPr="003715ED">
        <w:rPr>
          <w:rFonts w:eastAsia="Calibri"/>
          <w:b w:val="0"/>
          <w:kern w:val="2"/>
          <w:szCs w:val="22"/>
          <w:lang w:val="hy-AM" w:eastAsia="en-US"/>
          <w14:ligatures w14:val="standardContextual"/>
        </w:rPr>
        <w:lastRenderedPageBreak/>
        <w:t>զարգացմանն ու կատարելագործմանը, որի հիմնական նպատակն է հանրային ներդրումների արդյունավետության բարձրացումը, պետություն-մասնավոր գործընկերության զարգացումը, հանրային ներդրումների կառավարման շրջանակներում ինստիտուցիոնալ կարողությունների զարգացումը, հանրային ներդրումային ծրագրերի իրականացման թափանցիկության, հրապարակայնության և վերջիններիս նկատմամբ մշտադիտարկման մեխանիզմների ապահովումը։ Հանրային ներդրումների միասնական համակարգի ներդրմամբ ոլորտային գերատեսչությունների կողմից նախագծերի (գաղափարների) ձևավորումը և մշակումն իրականացվում է ծախս-արդյունավետության հիման վրա, բացի այդ նախագծերի հետագա գնահատումը և ընտրությունն իրականացվում է սահմանված ռազմավարական գերակայությունների հիման վրա։ Վերոնշյալ ուղղությամբ իրականացվող աշխատանքների շրջանակներում կարևորվում են</w:t>
      </w:r>
      <w:r>
        <w:rPr>
          <w:rFonts w:eastAsia="Calibri"/>
          <w:b w:val="0"/>
          <w:kern w:val="2"/>
          <w:szCs w:val="22"/>
          <w:lang w:val="hy-AM" w:eastAsia="en-US"/>
          <w14:ligatures w14:val="standardContextual"/>
        </w:rPr>
        <w:t xml:space="preserve"> ՀՀ կառավարության կողմից 2023</w:t>
      </w:r>
      <w:r w:rsidRPr="003715ED">
        <w:rPr>
          <w:rFonts w:eastAsia="Calibri"/>
          <w:b w:val="0"/>
          <w:kern w:val="2"/>
          <w:szCs w:val="22"/>
          <w:lang w:val="hy-AM" w:eastAsia="en-US"/>
          <w14:ligatures w14:val="standardContextual"/>
        </w:rPr>
        <w:t xml:space="preserve"> թվականի </w:t>
      </w:r>
      <w:r>
        <w:rPr>
          <w:rFonts w:eastAsia="Calibri"/>
          <w:b w:val="0"/>
          <w:kern w:val="2"/>
          <w:szCs w:val="22"/>
          <w:lang w:val="hy-AM" w:eastAsia="en-US"/>
          <w14:ligatures w14:val="standardContextual"/>
        </w:rPr>
        <w:t>փետրվարի</w:t>
      </w:r>
      <w:r w:rsidRPr="003715ED">
        <w:rPr>
          <w:rFonts w:eastAsia="Calibri"/>
          <w:b w:val="0"/>
          <w:kern w:val="2"/>
          <w:szCs w:val="22"/>
          <w:lang w:val="hy-AM" w:eastAsia="en-US"/>
          <w14:ligatures w14:val="standardContextual"/>
        </w:rPr>
        <w:t xml:space="preserve"> </w:t>
      </w:r>
      <w:r>
        <w:rPr>
          <w:rFonts w:eastAsia="Calibri"/>
          <w:b w:val="0"/>
          <w:kern w:val="2"/>
          <w:szCs w:val="22"/>
          <w:lang w:val="hy-AM" w:eastAsia="en-US"/>
          <w14:ligatures w14:val="standardContextual"/>
        </w:rPr>
        <w:t>9</w:t>
      </w:r>
      <w:r w:rsidRPr="003715ED">
        <w:rPr>
          <w:rFonts w:eastAsia="Calibri"/>
          <w:b w:val="0"/>
          <w:kern w:val="2"/>
          <w:szCs w:val="22"/>
          <w:lang w:val="hy-AM" w:eastAsia="en-US"/>
          <w14:ligatures w14:val="standardContextual"/>
        </w:rPr>
        <w:t>-ին ընդունված «</w:t>
      </w:r>
      <w:r>
        <w:rPr>
          <w:rFonts w:eastAsia="Calibri"/>
          <w:b w:val="0"/>
          <w:kern w:val="2"/>
          <w:szCs w:val="22"/>
          <w:lang w:val="hy-AM" w:eastAsia="en-US"/>
          <w14:ligatures w14:val="standardContextual"/>
        </w:rPr>
        <w:t>Հ</w:t>
      </w:r>
      <w:r w:rsidRPr="003715ED">
        <w:rPr>
          <w:rFonts w:eastAsia="Calibri"/>
          <w:b w:val="0"/>
          <w:kern w:val="2"/>
          <w:szCs w:val="22"/>
          <w:lang w:val="hy-AM" w:eastAsia="en-US"/>
          <w14:ligatures w14:val="standardContextual"/>
        </w:rPr>
        <w:t>անրային ներդրումային ծրագրերի վերհանման, մշակման</w:t>
      </w:r>
      <w:r>
        <w:rPr>
          <w:rFonts w:eastAsia="Calibri"/>
          <w:b w:val="0"/>
          <w:kern w:val="2"/>
          <w:szCs w:val="22"/>
          <w:lang w:val="hy-AM" w:eastAsia="en-US"/>
          <w14:ligatures w14:val="standardContextual"/>
        </w:rPr>
        <w:t xml:space="preserve"> </w:t>
      </w:r>
      <w:r w:rsidRPr="003715ED">
        <w:rPr>
          <w:rFonts w:eastAsia="Calibri"/>
          <w:b w:val="0"/>
          <w:kern w:val="2"/>
          <w:szCs w:val="22"/>
          <w:lang w:val="hy-AM" w:eastAsia="en-US"/>
          <w14:ligatures w14:val="standardContextual"/>
        </w:rPr>
        <w:t>գնահատման</w:t>
      </w:r>
      <w:r>
        <w:rPr>
          <w:rFonts w:eastAsia="Calibri"/>
          <w:b w:val="0"/>
          <w:kern w:val="2"/>
          <w:szCs w:val="22"/>
          <w:lang w:val="hy-AM" w:eastAsia="en-US"/>
          <w14:ligatures w14:val="standardContextual"/>
        </w:rPr>
        <w:t xml:space="preserve"> և</w:t>
      </w:r>
      <w:r w:rsidRPr="003715ED">
        <w:rPr>
          <w:rFonts w:eastAsia="Calibri"/>
          <w:b w:val="0"/>
          <w:kern w:val="2"/>
          <w:szCs w:val="22"/>
          <w:lang w:val="hy-AM" w:eastAsia="en-US"/>
          <w14:ligatures w14:val="standardContextual"/>
        </w:rPr>
        <w:t xml:space="preserve"> առաջնահերթությունների </w:t>
      </w:r>
      <w:r>
        <w:rPr>
          <w:rFonts w:eastAsia="Calibri"/>
          <w:b w:val="0"/>
          <w:kern w:val="2"/>
          <w:szCs w:val="22"/>
          <w:lang w:val="hy-AM" w:eastAsia="en-US"/>
          <w14:ligatures w14:val="standardContextual"/>
        </w:rPr>
        <w:t xml:space="preserve">որոշման </w:t>
      </w:r>
      <w:r w:rsidRPr="003715ED">
        <w:rPr>
          <w:rFonts w:eastAsia="Calibri"/>
          <w:b w:val="0"/>
          <w:kern w:val="2"/>
          <w:szCs w:val="22"/>
          <w:lang w:val="hy-AM" w:eastAsia="en-US"/>
          <w14:ligatures w14:val="standardContextual"/>
        </w:rPr>
        <w:t xml:space="preserve">հաստատելու մասին» N </w:t>
      </w:r>
      <w:r>
        <w:rPr>
          <w:rFonts w:eastAsia="Calibri"/>
          <w:b w:val="0"/>
          <w:kern w:val="2"/>
          <w:szCs w:val="22"/>
          <w:lang w:val="hy-AM" w:eastAsia="en-US"/>
          <w14:ligatures w14:val="standardContextual"/>
        </w:rPr>
        <w:t>175</w:t>
      </w:r>
      <w:r w:rsidRPr="003715ED">
        <w:rPr>
          <w:rFonts w:eastAsia="Calibri"/>
          <w:b w:val="0"/>
          <w:kern w:val="2"/>
          <w:szCs w:val="22"/>
          <w:lang w:val="hy-AM" w:eastAsia="en-US"/>
          <w14:ligatures w14:val="standardContextual"/>
        </w:rPr>
        <w:t>-</w:t>
      </w:r>
      <w:r>
        <w:rPr>
          <w:rFonts w:eastAsia="Calibri"/>
          <w:b w:val="0"/>
          <w:kern w:val="2"/>
          <w:szCs w:val="22"/>
          <w:lang w:val="hy-AM" w:eastAsia="en-US"/>
          <w14:ligatures w14:val="standardContextual"/>
        </w:rPr>
        <w:t>Ն</w:t>
      </w:r>
      <w:r w:rsidRPr="003715ED">
        <w:rPr>
          <w:rFonts w:eastAsia="Calibri"/>
          <w:b w:val="0"/>
          <w:kern w:val="2"/>
          <w:szCs w:val="22"/>
          <w:lang w:val="hy-AM" w:eastAsia="en-US"/>
          <w14:ligatures w14:val="standardContextual"/>
        </w:rPr>
        <w:t xml:space="preserve"> </w:t>
      </w:r>
      <w:r>
        <w:rPr>
          <w:rFonts w:eastAsia="Calibri"/>
          <w:b w:val="0"/>
          <w:kern w:val="2"/>
          <w:szCs w:val="22"/>
          <w:lang w:val="hy-AM" w:eastAsia="en-US"/>
          <w14:ligatures w14:val="standardContextual"/>
        </w:rPr>
        <w:t>որոշումը</w:t>
      </w:r>
      <w:r w:rsidRPr="003715ED">
        <w:rPr>
          <w:rFonts w:eastAsia="Calibri"/>
          <w:b w:val="0"/>
          <w:kern w:val="2"/>
          <w:szCs w:val="22"/>
          <w:lang w:val="hy-AM" w:eastAsia="en-US"/>
          <w14:ligatures w14:val="standardContextual"/>
        </w:rPr>
        <w:t xml:space="preserve">։ Հանրային ներդրումային միասնական համակարգում փոփոխությունների իրականացման անհրաժեշտությունը պայմանավորված է հանրային ներդրումային ծրագրերի վերհանման, մշակման, գնահատման կենսապարբերաշրջանի տրամաբանական ու հաջորդական փուլերի սահմանման անհրաժեշտությամբ։ Հանրային ներդրումային միջոցների առավել արդյունավետ և նպատակային օգտագործման նպատակով` 2024 թվականի պետական բյուջեով նախատեսվում է հատկացումներ ՀՀ ներդրումների կոմիտեի կողմից դրական գնահատական ստացած հանրային ներդրումային ծրագրերի նախագծերի տեխնիկատնտեսական ուսումնասիրությունների ձեռք բերման նպատակով։ Պետություն-մասնավոր գործընկերության առնչությամբ կարևոր է մասնավոր հատվածի մարդկային, ֆինանսական ռեսուրսների, մասնագիտական փորձի և հմտությունների ներգրավումը ենթակառուցվածքների ստեղծման, բարելավման և զարգացման գործընթացում։ Պետություն-մասնավոր գործընկերության ձևաչափի կիրարկումը կապահովի մասնավոր հատվածի ռեսուրսների օգտագործման նոր հեռանկարներով և կընդլայնի վերջիններիս առաջադեմ գաղափարների ու կառավարման հմտությունների օգտագործման հնարավորությունները։ Սակայն կառաջանա մասնավոր և հանրային գործընկերների միջև ռիսկերի արդյունավետ բաշխման մեխանիզմների մշակման, ենթադրվող ծրագրերին հատուկ ռիսկերի կառավարման արդյունավետ համակարգի ներդրման անհրաժեշտություն։ Այս ամենն արդյունավետ իրականացնելու նպատակով 2022 թվականի հուլիսի 28-ին ընդունվել է «ՀՀ կառավարության որոշումը պետություն-մասնավոր գործընկերության ընթացակարգը, պետություն-մասնավոր գործընկերության ծրագրերի վերաբերյալ տվյալների բազայի ստեղծման և կառավարման կարգը հաստատելու, պետություն-մասնավոր գործընկերության ծրագրերի շրջանակում մատուցվող հանրային ծառայությունների ոլորտները, պետություն-մասնավոր գործընկերության ստորաբաժանումը, պետություն-մասնավոր գործընկերության ծրագրի իրականացման վերաբերյալ հաշվետվության ձևը և ներկայացման ժամկետը սահմանելու և ՀՀ կառավարության 2012 թվականի սեպտեմբերի 20-ի N 1241-ն որոշումն ուժը կորցրած </w:t>
      </w:r>
      <w:r w:rsidRPr="003715ED">
        <w:rPr>
          <w:rFonts w:eastAsia="Calibri"/>
          <w:b w:val="0"/>
          <w:kern w:val="2"/>
          <w:szCs w:val="22"/>
          <w:lang w:val="hy-AM" w:eastAsia="en-US"/>
          <w14:ligatures w14:val="standardContextual"/>
        </w:rPr>
        <w:lastRenderedPageBreak/>
        <w:t>ճանաչելու մասին» N 1183-Ն ՀՀ կառավարության որոշումը։ Կանաչ և կայուն տնտեսական զարգացման ուղղված նախաձեռնվել և իրականացվում են մի շարք աշխատանքներ, որոնց նպատակն է առաջադեմ տեխնոլոգիաների ներգրավմամբ, նորարարական լուծումների, ինչպես նաև նոր բիզնես մոդելների կիրառմամբ, ապահովել երկրում կանաչ պլանավորման ու ներդրումների համակարգի շարունակական զարգացումը։ Արևային էներգետիկայի տեխնոլոգիայի զարգացման, էլեկտրամոբիլների և էլեկտրական շարժիչներով աշխատող տրանսպորտային միջոցների և հարակից ենթակառուցվածքների զարգացման, կանաչ բաղադրիչով նորարարական լուծումներով արտադրության կազմակերպման, ինչպես նաև տնտեսավարող սուբյեկտներին կանաչ տնտեսությանն անցման շարունակական գործընթացի խթանման քաղաքականությունը և համապատասխան բարենպաստ օրենսդրական դաշտի մշակումը տնտեսության առաջընթացի նոր մոդել են և վերոգրյալով պայմանավորված՝ Հայաստանի Հանրապետությունում իրականացվում են նախնական ուսումնասիրություններ կանաչ և կայուն տնտեսական զարգացման խթանման, հնարավոր կենսունակ մեխանիզմների հատկորոշման ուղղությամբ, ինչպես նաև մշակվում են համապատասխան իրավական ակտեր և արդյունավետ գործարկմանը միտված լրացուցիչ խթաններ և ընթացակարգեր։</w:t>
      </w:r>
    </w:p>
    <w:p w14:paraId="13BDE2A2" w14:textId="77777777" w:rsidR="003715ED"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ՀՀ-ԵՄ առևտրատնտեսական համագործակցության</w:t>
      </w:r>
      <w:r w:rsidRPr="003715ED">
        <w:rPr>
          <w:rFonts w:eastAsia="Calibri"/>
          <w:b w:val="0"/>
          <w:kern w:val="2"/>
          <w:szCs w:val="22"/>
          <w:lang w:val="hy-AM" w:eastAsia="en-US"/>
          <w14:ligatures w14:val="standardContextual"/>
        </w:rPr>
        <w:t xml:space="preserve"> շրջանակներում կշարունակվեն ՀՀ-ԵՄ Համապարփակ և ընդլայնված գործընկերության համաձայնագրի առևտրի և առևտրին առնչվող հարցերի ուղղությամբ ամրագրված դրույթների և պայմանավորվածությունների արդյունավետ ապահովումն ու իրականացումը:</w:t>
      </w:r>
    </w:p>
    <w:p w14:paraId="76AC2A34" w14:textId="77777777" w:rsidR="003715ED"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Եվրասիական տնտեսական միության</w:t>
      </w:r>
      <w:r w:rsidRPr="003715ED">
        <w:rPr>
          <w:rFonts w:eastAsia="Calibri"/>
          <w:b w:val="0"/>
          <w:kern w:val="2"/>
          <w:szCs w:val="22"/>
          <w:lang w:val="hy-AM" w:eastAsia="en-US"/>
          <w14:ligatures w14:val="standardContextual"/>
        </w:rPr>
        <w:t xml:space="preserve"> հետ համագործակցության շրջանակներում կշարունակվեն երրորդ երկրների հետ ազատ առևտրի գոտու ստեղծման և առևտրատնտեսական համագործակցության մասին համաձայնագրերի և հուշագրերի մշակման աշխատանքները և դրանցից բխող միջոցառումների իրականացումը, ներքին շուկայի գործառնության շրջանակներում Եվրասիական տնտեսական միության խոչընդոտների, սահմանափակումների և արգելքների բացահայտմանը և վերացմանն ուղղված միջոցառումները, ինչպես նաև նավթի և նավթամթերքի միասնական շուկայի և ալկոհոլային միասնական շուկայի ձևավորման աշխատանքների իրականացումը և համակարգումը:</w:t>
      </w:r>
    </w:p>
    <w:p w14:paraId="45DC066D" w14:textId="77777777" w:rsidR="003715ED"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ԱՀԿ հետ համագործակցության</w:t>
      </w:r>
      <w:r w:rsidRPr="003715ED">
        <w:rPr>
          <w:rFonts w:eastAsia="Calibri"/>
          <w:b w:val="0"/>
          <w:kern w:val="2"/>
          <w:szCs w:val="22"/>
          <w:lang w:val="hy-AM" w:eastAsia="en-US"/>
          <w14:ligatures w14:val="standardContextual"/>
        </w:rPr>
        <w:t xml:space="preserve"> շրջանակներում կշարունակվեն իրականացվել ԱՀԿ անդամակցությամբ ՀՀ ստանձնած պարտավորությունների կատարումն ու ԱՀԿ համաձայնագրերով ամրագրված դրույթների կիրառումը, ինչպես նաև կձեռնարկվեն միջոցներ համագործակցության ընդլայնման և խորացման ուղղությամբ։</w:t>
      </w:r>
    </w:p>
    <w:p w14:paraId="24EF4F0D" w14:textId="77777777" w:rsidR="003715ED" w:rsidRPr="003715ED" w:rsidRDefault="003715ED" w:rsidP="00835DBE">
      <w:pPr>
        <w:rPr>
          <w:rFonts w:eastAsia="Calibri"/>
          <w:b w:val="0"/>
          <w:kern w:val="2"/>
          <w:szCs w:val="22"/>
          <w:lang w:val="hy-AM" w:eastAsia="en-US"/>
          <w14:ligatures w14:val="standardContextual"/>
        </w:rPr>
      </w:pPr>
      <w:r w:rsidRPr="00B87357">
        <w:rPr>
          <w:rFonts w:eastAsia="Calibri"/>
          <w:bCs/>
          <w:iCs/>
          <w:kern w:val="2"/>
          <w:szCs w:val="22"/>
          <w:lang w:val="hy-AM" w:eastAsia="en-US"/>
          <w14:ligatures w14:val="standardContextual"/>
        </w:rPr>
        <w:t>ԱՊՀ համագործակցության</w:t>
      </w:r>
      <w:r w:rsidRPr="003715ED">
        <w:rPr>
          <w:rFonts w:eastAsia="Calibri"/>
          <w:b w:val="0"/>
          <w:kern w:val="2"/>
          <w:szCs w:val="22"/>
          <w:lang w:val="hy-AM" w:eastAsia="en-US"/>
          <w14:ligatures w14:val="standardContextual"/>
        </w:rPr>
        <w:t xml:space="preserve"> շրջանակներում կշարունակվեն «Ազատ առևտրի գոտու մասին» պայմանագրից, ինչպես նաև մինչև 2030 թվականն ընկած ժամանակահատվածում ԱՊՀ տնտեսական զարգացման ռազմավարությունից բխող միջոցառումների իրականացման աշխատանքները:</w:t>
      </w:r>
    </w:p>
    <w:p w14:paraId="0BB87C32" w14:textId="77777777" w:rsidR="003715ED" w:rsidRPr="004904D5" w:rsidRDefault="003715ED" w:rsidP="00835DBE">
      <w:pPr>
        <w:rPr>
          <w:rFonts w:eastAsia="Calibri"/>
          <w:bCs/>
          <w:iCs/>
          <w:kern w:val="2"/>
          <w:szCs w:val="22"/>
          <w:lang w:val="hy-AM" w:eastAsia="en-US"/>
          <w14:ligatures w14:val="standardContextual"/>
        </w:rPr>
      </w:pPr>
      <w:r w:rsidRPr="00B87357">
        <w:rPr>
          <w:rFonts w:eastAsia="Calibri"/>
          <w:bCs/>
          <w:iCs/>
          <w:kern w:val="2"/>
          <w:szCs w:val="22"/>
          <w:lang w:val="hy-AM" w:eastAsia="en-US"/>
          <w14:ligatures w14:val="standardContextual"/>
        </w:rPr>
        <w:t>Ո</w:t>
      </w:r>
      <w:r w:rsidR="00B87357" w:rsidRPr="004904D5">
        <w:rPr>
          <w:rFonts w:eastAsia="Calibri"/>
          <w:bCs/>
          <w:iCs/>
          <w:kern w:val="2"/>
          <w:szCs w:val="22"/>
          <w:lang w:val="hy-AM" w:eastAsia="en-US"/>
          <w14:ligatures w14:val="standardContextual"/>
        </w:rPr>
        <w:t>րակի ենթակառուցվածքի զարգացում</w:t>
      </w:r>
    </w:p>
    <w:p w14:paraId="3F812ECE"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lastRenderedPageBreak/>
        <w:t>Որակի ենթակառուցվածքի՝ տեխնիկական կանոնակարգման, համապատասխանության գնահատման, ստանդարտացման, չափումների միասնականության ապահովման և հավատարմագրման ոլորտների զարգացումը նպատակուղղված կլինի</w:t>
      </w:r>
      <w:r w:rsidRPr="003715ED">
        <w:rPr>
          <w:rFonts w:ascii="Cambria Math" w:eastAsia="Calibri" w:hAnsi="Cambria Math" w:cs="Cambria Math"/>
          <w:b w:val="0"/>
          <w:kern w:val="2"/>
          <w:szCs w:val="22"/>
          <w:lang w:val="hy-AM" w:eastAsia="en-US"/>
          <w14:ligatures w14:val="standardContextual"/>
        </w:rPr>
        <w:t>․</w:t>
      </w:r>
    </w:p>
    <w:p w14:paraId="59ED67DB" w14:textId="77777777" w:rsidR="003715ED" w:rsidRPr="00835DBE" w:rsidRDefault="003715ED" w:rsidP="00835DBE">
      <w:pPr>
        <w:numPr>
          <w:ilvl w:val="0"/>
          <w:numId w:val="28"/>
        </w:numPr>
        <w:tabs>
          <w:tab w:val="left" w:pos="270"/>
        </w:tabs>
        <w:ind w:left="0" w:firstLine="0"/>
        <w:rPr>
          <w:rFonts w:cs="Sylfaen"/>
          <w:b w:val="0"/>
          <w:szCs w:val="22"/>
          <w:lang w:val="hy-AM" w:eastAsia="en-US"/>
        </w:rPr>
      </w:pPr>
      <w:r w:rsidRPr="00B87357">
        <w:rPr>
          <w:rFonts w:eastAsia="Calibri"/>
          <w:b w:val="0"/>
          <w:kern w:val="2"/>
          <w:szCs w:val="22"/>
          <w:lang w:val="hy-AM" w:eastAsia="en-US"/>
          <w14:ligatures w14:val="standardContextual"/>
        </w:rPr>
        <w:t xml:space="preserve">անվտանգ </w:t>
      </w:r>
      <w:r w:rsidRPr="00835DBE">
        <w:rPr>
          <w:rFonts w:cs="Sylfaen"/>
          <w:b w:val="0"/>
          <w:szCs w:val="22"/>
          <w:lang w:val="hy-AM" w:eastAsia="en-US"/>
        </w:rPr>
        <w:t>արտադրանքի շրջանառության ապահովմանը և սպառողների շահերի պաշտպանության մակարդակի բարձրացմանը,</w:t>
      </w:r>
    </w:p>
    <w:p w14:paraId="03B6204B" w14:textId="77777777" w:rsidR="003715ED"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առևտրում առկա տեխնիկական խոչընդոտների նվազեցմանը, մրցունակ արտադրանքի արտադրության խթանմանը և անբարեխիղճ գործելակերպի կանխարգելմանը,</w:t>
      </w:r>
    </w:p>
    <w:p w14:paraId="7D0187A7" w14:textId="77777777" w:rsidR="003715ED"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տեղական արտադրանքի արտահանման ծավալների ավելացմանը և նոր շուկաների ձեռքբերմանը, «Արտադրված է Հայաստանում» արտադրանքի ճանաչելության բարձրացումը,</w:t>
      </w:r>
    </w:p>
    <w:p w14:paraId="3EBE0A87" w14:textId="77777777" w:rsidR="003715ED"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տնտեսության զարգացման գերակա ճյուղերում անհրաժեշտ ստանդարտների մշակմանը և ներդրմանը,</w:t>
      </w:r>
    </w:p>
    <w:p w14:paraId="1BA6B66F" w14:textId="68FC43D9" w:rsidR="003715ED"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տնտեսության տարբեր ճյուղերում միջազգայնորեն ճանաչելի, հետևելի, ճշգրիտ չափումների ներդրմանը՝ ապահովելով ՀՀ-ի բազմա</w:t>
      </w:r>
      <w:r w:rsidR="00B04A45" w:rsidRPr="00835DBE">
        <w:rPr>
          <w:rFonts w:cs="Sylfaen"/>
          <w:b w:val="0"/>
          <w:szCs w:val="22"/>
          <w:lang w:val="hy-AM" w:eastAsia="en-US"/>
        </w:rPr>
        <w:t>թիվ</w:t>
      </w:r>
      <w:r w:rsidRPr="00835DBE">
        <w:rPr>
          <w:rFonts w:cs="Sylfaen"/>
          <w:b w:val="0"/>
          <w:szCs w:val="22"/>
          <w:lang w:val="hy-AM" w:eastAsia="en-US"/>
        </w:rPr>
        <w:t xml:space="preserve"> ոլորտներում կիրառվող սարքավորումների ճշգրտությունը և չափագիտական անկախությունը,</w:t>
      </w:r>
    </w:p>
    <w:p w14:paraId="65B18E8C" w14:textId="77777777" w:rsidR="003715ED"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ՀՀ-ում միջազգային ճանաչում ունեցող տրամաչափարկման լաբորատորների՝ լաբորատոր կարողությունների զարգացմանը,</w:t>
      </w:r>
    </w:p>
    <w:p w14:paraId="67B682F9" w14:textId="77777777" w:rsidR="003715ED"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լաբորատոր փորձարկումների հիման վրա ճշգրիտ ախտորոշումների իրականացմանը,</w:t>
      </w:r>
    </w:p>
    <w:p w14:paraId="5FCB7CCC" w14:textId="77777777" w:rsidR="003715ED"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տարածաշրջանային և միջազգային հավատարմագրման կազմակերպությունների հետ (EA, ILAC,IAF) հավատարմագրման ազգային մարմնի միջազգային ճանաչմանն ուղղված երկկողմ և բազմակողմ ճանաչման համաձայնագրերի կնքմանը և միջազգային ճանաչում ունեցող հավատարմագրման համակարգի ձեռքբերմանը</w:t>
      </w:r>
    </w:p>
    <w:p w14:paraId="1C7F7EFF" w14:textId="77777777" w:rsidR="00B87357" w:rsidRPr="00835DBE" w:rsidRDefault="003715ED" w:rsidP="00835DBE">
      <w:pPr>
        <w:numPr>
          <w:ilvl w:val="0"/>
          <w:numId w:val="28"/>
        </w:numPr>
        <w:tabs>
          <w:tab w:val="left" w:pos="270"/>
        </w:tabs>
        <w:ind w:left="0" w:firstLine="0"/>
        <w:rPr>
          <w:rFonts w:cs="Sylfaen"/>
          <w:b w:val="0"/>
          <w:szCs w:val="22"/>
          <w:lang w:val="hy-AM" w:eastAsia="en-US"/>
        </w:rPr>
      </w:pPr>
      <w:r w:rsidRPr="00835DBE">
        <w:rPr>
          <w:rFonts w:cs="Sylfaen"/>
          <w:b w:val="0"/>
          <w:szCs w:val="22"/>
          <w:lang w:val="hy-AM" w:eastAsia="en-US"/>
        </w:rPr>
        <w:t>համապատասխանության գնահատման փաստաթղթերի հասանելիության ապահովումը հիմնական արտահանման շուկաներում,</w:t>
      </w:r>
    </w:p>
    <w:p w14:paraId="6237AACA" w14:textId="77777777" w:rsidR="003715ED" w:rsidRPr="00B87357" w:rsidRDefault="003715ED" w:rsidP="00835DBE">
      <w:pPr>
        <w:numPr>
          <w:ilvl w:val="0"/>
          <w:numId w:val="28"/>
        </w:numPr>
        <w:tabs>
          <w:tab w:val="left" w:pos="270"/>
        </w:tabs>
        <w:ind w:left="0" w:firstLine="0"/>
        <w:rPr>
          <w:rFonts w:eastAsia="Calibri"/>
          <w:b w:val="0"/>
          <w:kern w:val="2"/>
          <w:szCs w:val="22"/>
          <w:lang w:val="hy-AM" w:eastAsia="en-US"/>
          <w14:ligatures w14:val="standardContextual"/>
        </w:rPr>
      </w:pPr>
      <w:r w:rsidRPr="00835DBE">
        <w:rPr>
          <w:rFonts w:cs="Sylfaen"/>
          <w:b w:val="0"/>
          <w:szCs w:val="22"/>
          <w:lang w:val="hy-AM" w:eastAsia="en-US"/>
        </w:rPr>
        <w:tab/>
        <w:t>առանց լրացուցիչ համապատասխանության գնահատման, ֆինանսական ռեսուրսների և ժամանակի ծախսի ԵՄ երկրներ արտադրանքի արտահանման ապահովմանը՝ ստեղծելով բարենպաստ պայմաններ տեղական արտադրողի համար և բացառելով նույն արտադրանքի վերագնահատման</w:t>
      </w:r>
      <w:r w:rsidRPr="00B87357">
        <w:rPr>
          <w:rFonts w:eastAsia="Calibri"/>
          <w:b w:val="0"/>
          <w:kern w:val="2"/>
          <w:szCs w:val="22"/>
          <w:lang w:val="hy-AM" w:eastAsia="en-US"/>
          <w14:ligatures w14:val="standardContextual"/>
        </w:rPr>
        <w:t xml:space="preserve"> (կրկնակի փորձարկման և սերտիֆիկացման) անհրաժեշտությունը։</w:t>
      </w:r>
    </w:p>
    <w:p w14:paraId="0CA00365" w14:textId="77777777" w:rsidR="003715ED" w:rsidRPr="00B87357" w:rsidRDefault="003715ED" w:rsidP="00835DBE">
      <w:pPr>
        <w:rPr>
          <w:rFonts w:eastAsia="Calibri"/>
          <w:bCs/>
          <w:iCs/>
          <w:kern w:val="2"/>
          <w:szCs w:val="22"/>
          <w:lang w:val="hy-AM" w:eastAsia="en-US"/>
          <w14:ligatures w14:val="standardContextual"/>
        </w:rPr>
      </w:pPr>
      <w:r w:rsidRPr="00B87357">
        <w:rPr>
          <w:rFonts w:eastAsia="Calibri"/>
          <w:bCs/>
          <w:iCs/>
          <w:kern w:val="2"/>
          <w:szCs w:val="22"/>
          <w:lang w:val="hy-AM" w:eastAsia="en-US"/>
          <w14:ligatures w14:val="standardContextual"/>
        </w:rPr>
        <w:t>Թողարկման և վարկանիշավորման աջակցություն</w:t>
      </w:r>
    </w:p>
    <w:p w14:paraId="71AEDE67"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Կառավարության աջակցելու է դրամով արժեթղթեր թողարկող ընկերություններին՝ դյուրացնելով վերջիններիս մուտքը դեպի կապիտալի շուկա։ Մասնավորապես, աջակցություն է տրամադրվելու ինչպես պարտատոմսերի, այնպես էլ բաժնետոմսերի թողարկման, տեղաբաշխման և բորսայում ցուցակման համար։ Ավելին, նախատեսվւոմ է միջազգային վարկանիշային գործակալություններից վարկանիշի ստացման և սպասարկման առաջին տարվա ծախսերի մինչև 50%-ի չափով սուբսիդավորում, սակայն </w:t>
      </w:r>
      <w:r w:rsidRPr="003715ED">
        <w:rPr>
          <w:rFonts w:eastAsia="Calibri"/>
          <w:b w:val="0"/>
          <w:kern w:val="2"/>
          <w:szCs w:val="22"/>
          <w:lang w:val="hy-AM" w:eastAsia="en-US"/>
          <w14:ligatures w14:val="standardContextual"/>
        </w:rPr>
        <w:lastRenderedPageBreak/>
        <w:t>ՀՀ-ում գործունեություն իրականացնող ֆոնդային բորսայում ցուցակման դեպքում՝ առաջին տարվա ծախսերի մինչև 80%-ի չափով սուբսիդավորում։ Արդյունքում, նախնական գնահատմամբ, իրական հատվածը ներկայացնող և միջազգային հեղինակավոր վարկանիշավորող կազմակերպությունների կողմից վարկանիշավորված պարտատոմսերի նոր թողարկողներ ի հայտ կգան, որոնք երկարաժամկետում հնարավորություն կստանան դիվերսիֆիկացնելու իրենց ֆինանսավորման աղբյուրները, ինչը թույլ կտա հաղթահարել ունեցած գրավի իրացվելի արժեքով պայմանավորված վարկավորման սահմանափակումները՝ բիզնեսի հետագա զարգացման ֆինանսավորումը դնելով նոր և առավել հրապարակային և թափանցիկ հիմքերի վրա։ Ի հավելումն, ակնկալվում է, որ կմեծանա պարտատոմսերի շուկայում ոչ ֆինանսական հատվածի ընկերությունների ներկայացվածությունը, ինչը կնպաստի նշյալ շուկայում որակական փոփոխությունների ի հայտ գալուն։</w:t>
      </w:r>
    </w:p>
    <w:p w14:paraId="5C9715C5" w14:textId="77777777" w:rsidR="003715ED" w:rsidRPr="00B87357" w:rsidRDefault="003715ED" w:rsidP="00835DBE">
      <w:pPr>
        <w:rPr>
          <w:rFonts w:eastAsia="Calibri"/>
          <w:bCs/>
          <w:iCs/>
          <w:kern w:val="2"/>
          <w:szCs w:val="22"/>
          <w:lang w:val="hy-AM" w:eastAsia="en-US"/>
          <w14:ligatures w14:val="standardContextual"/>
        </w:rPr>
      </w:pPr>
      <w:r w:rsidRPr="00B87357">
        <w:rPr>
          <w:rFonts w:eastAsia="Calibri"/>
          <w:bCs/>
          <w:iCs/>
          <w:kern w:val="2"/>
          <w:szCs w:val="22"/>
          <w:lang w:val="hy-AM" w:eastAsia="en-US"/>
          <w14:ligatures w14:val="standardContextual"/>
        </w:rPr>
        <w:t>Ներդրումային ֆոնդերի ներդրումային կարողությունների ընդլայնում</w:t>
      </w:r>
    </w:p>
    <w:p w14:paraId="2B2B0640"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Ներկայումս ՀՀ-ում բիզնեսի ֆինանսավորման հիմնական աղբյուրը բանկային վարկն է: Այսպիսի իրավիճակում տնտեսավարող սուբյեկտները հաճախ ի վիճակի չեն լինում ֆինանսավորել ընդլայնման նախագծերը կամ շրջանառու միջոցները բանկերի միջոցով մի շարք պատճառներով, որոնցից են՝ գրավադրման համար ակտիվների պակասը, ակնկալվող դրամական հոսքերի անկանխատեսելիությունը, բարձր տոկոսադրույքները և այլն: Հատկանշական է, որ բիզնեսի ֆինանսավորման խնդիրներն էլ ավելի ակնհայտ են դարձել 2020 թվականի համավարակի և վերջին ժամանակներում շարունակաբար աճող վերաֆինանսավորման տոկոսադրույքի ֆոնին։</w:t>
      </w:r>
    </w:p>
    <w:p w14:paraId="2C9B9D5E" w14:textId="77777777" w:rsidR="003715ED" w:rsidRP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 xml:space="preserve">Այլընտրանքային ֆինանսավորման աղբյուրները չափազանց կարևոր նախապայման են կապիտալի շուկայի զարգացման և ընկերությունների՝ բորսայում ցուցակման համար, քանի որ մասնավոր բաժնեմասնակցային ֆոնդերը ոչ միայն տրամադրում են ֆինանսական կապիտալ, այլ նաև օժանդակում են տնտեսավարողներին՝ զարգացնելու ներքին ֆինանսական կառավարման հմտությունները, ներդնելու կորպորատիվ կառավարման համակարգեր և բերում են թափանցիկ, աուդիտ անցած գործունեության: Առանց նշված նախապայմանների և նմանատիպ արտաքին խթանների, գործնականում դժվար է հանդիպել ընկերությունների, որոնք պատրաստ կլինեն մասնակցել կապիտալի շուկայում՝ ինչպես բաժնեմասերի, այնպես էլ պարտատոմսերի ցուցակման միջոցով: </w:t>
      </w:r>
    </w:p>
    <w:p w14:paraId="68F0EA00" w14:textId="6F727026" w:rsidR="003715ED" w:rsidRDefault="003715ED" w:rsidP="00835DBE">
      <w:pPr>
        <w:rPr>
          <w:rFonts w:eastAsia="Calibri"/>
          <w:b w:val="0"/>
          <w:kern w:val="2"/>
          <w:szCs w:val="22"/>
          <w:lang w:val="hy-AM" w:eastAsia="en-US"/>
          <w14:ligatures w14:val="standardContextual"/>
        </w:rPr>
      </w:pPr>
      <w:r w:rsidRPr="003715ED">
        <w:rPr>
          <w:rFonts w:eastAsia="Calibri"/>
          <w:b w:val="0"/>
          <w:kern w:val="2"/>
          <w:szCs w:val="22"/>
          <w:lang w:val="hy-AM" w:eastAsia="en-US"/>
          <w14:ligatures w14:val="standardContextual"/>
        </w:rPr>
        <w:t>Արդյունքում բիզնեսը թերի է զարգանում, և տնտեսավարողները չեն իրագործում իրենց ամբողջ ներուժը: Ուստի էլ ավելի կարևոր է դառնում բիզնեսի ֆինանսավորման ավանդական միջոցներից բացի նաև այլընտրանքային ֆինանսավորման աղբյուրների ընձեռած հնարավորությունների օգտագործումը՝ համավարակի ազդեցությունը մեղմելու և ներդրումներ ներգրավելու միջոցով տնտեսության երկարաժամկետ զարգացումն ապահովելու նպատակով։</w:t>
      </w:r>
    </w:p>
    <w:p w14:paraId="14455E1D" w14:textId="465EB89A" w:rsidR="006958A1" w:rsidRDefault="006958A1" w:rsidP="00835DBE">
      <w:pPr>
        <w:rPr>
          <w:rFonts w:eastAsia="Calibri"/>
          <w:b w:val="0"/>
          <w:kern w:val="2"/>
          <w:szCs w:val="22"/>
          <w:lang w:val="hy-AM" w:eastAsia="en-US"/>
          <w14:ligatures w14:val="standardContextual"/>
        </w:rPr>
      </w:pPr>
    </w:p>
    <w:p w14:paraId="3ADCB7D9" w14:textId="77777777" w:rsidR="00933CA4" w:rsidRPr="003715ED" w:rsidRDefault="00933CA4" w:rsidP="00835DBE">
      <w:pPr>
        <w:rPr>
          <w:rFonts w:eastAsia="Calibri"/>
          <w:b w:val="0"/>
          <w:kern w:val="2"/>
          <w:szCs w:val="22"/>
          <w:lang w:val="hy-AM" w:eastAsia="en-US"/>
          <w14:ligatures w14:val="standardContextual"/>
        </w:rPr>
      </w:pPr>
    </w:p>
    <w:p w14:paraId="7D4DED72" w14:textId="77777777" w:rsidR="005F226A" w:rsidRPr="00D24128" w:rsidRDefault="005F226A" w:rsidP="00835DBE">
      <w:pPr>
        <w:pStyle w:val="Heading1"/>
      </w:pPr>
      <w:bookmarkStart w:id="15" w:name="_Toc26174885"/>
      <w:bookmarkStart w:id="16" w:name="_Toc83567433"/>
      <w:bookmarkStart w:id="17" w:name="_Toc153184444"/>
      <w:r w:rsidRPr="00D24128">
        <w:lastRenderedPageBreak/>
        <w:t>Տարածքային կառավարում և տեղական ինքնակառավարում</w:t>
      </w:r>
      <w:bookmarkEnd w:id="15"/>
      <w:bookmarkEnd w:id="16"/>
      <w:bookmarkEnd w:id="17"/>
    </w:p>
    <w:p w14:paraId="319B1A63" w14:textId="77777777" w:rsidR="002A287F" w:rsidRPr="00170014" w:rsidRDefault="002A287F" w:rsidP="00835DBE">
      <w:pPr>
        <w:tabs>
          <w:tab w:val="left" w:pos="284"/>
          <w:tab w:val="left" w:pos="993"/>
        </w:tabs>
        <w:rPr>
          <w:rFonts w:cs="Sylfaen"/>
          <w:b w:val="0"/>
          <w:szCs w:val="22"/>
          <w:lang w:val="hy-AM" w:eastAsia="en-US"/>
        </w:rPr>
      </w:pPr>
      <w:r w:rsidRPr="00170014">
        <w:rPr>
          <w:rFonts w:cs="Sylfaen"/>
          <w:b w:val="0"/>
          <w:szCs w:val="22"/>
          <w:lang w:val="hy-AM" w:eastAsia="en-US"/>
        </w:rPr>
        <w:t>Տեղական ինքնակառավարման համակարգում նախատեսվում է՝</w:t>
      </w:r>
    </w:p>
    <w:p w14:paraId="26501811" w14:textId="69E94125" w:rsidR="002A287F" w:rsidRPr="00C0193D" w:rsidRDefault="002A287F" w:rsidP="00835DBE">
      <w:pPr>
        <w:numPr>
          <w:ilvl w:val="0"/>
          <w:numId w:val="28"/>
        </w:numPr>
        <w:tabs>
          <w:tab w:val="left" w:pos="270"/>
        </w:tabs>
        <w:ind w:left="0" w:firstLine="0"/>
        <w:rPr>
          <w:rFonts w:cs="Sylfaen"/>
          <w:b w:val="0"/>
          <w:szCs w:val="22"/>
          <w:lang w:val="hy-AM" w:eastAsia="en-US"/>
        </w:rPr>
      </w:pPr>
      <w:r w:rsidRPr="00C0193D">
        <w:rPr>
          <w:rFonts w:cs="Sylfaen"/>
          <w:b w:val="0"/>
          <w:szCs w:val="22"/>
          <w:lang w:val="hy-AM" w:eastAsia="en-US"/>
        </w:rPr>
        <w:t xml:space="preserve">ՏԻՄ համակարգի զարգացման և լիազորությունների ապակենտրոնացման քաղաքականության առկա խնդիրների լուծում՝ վարչական (համայնքների միավորման գործընթացի ավարտով և որպես դրա հետևանք վերջիններիս ունակությունների ավելացմամբ պայմանավորված՝ ՏԻՄ հզորացում ու տեղական ժողովրդավարության զարգացում, </w:t>
      </w:r>
    </w:p>
    <w:p w14:paraId="69B7FE51" w14:textId="77777777" w:rsidR="002A287F" w:rsidRPr="00C0193D" w:rsidRDefault="002A287F" w:rsidP="00835DBE">
      <w:pPr>
        <w:numPr>
          <w:ilvl w:val="0"/>
          <w:numId w:val="28"/>
        </w:numPr>
        <w:tabs>
          <w:tab w:val="left" w:pos="270"/>
        </w:tabs>
        <w:ind w:left="0" w:firstLine="0"/>
        <w:rPr>
          <w:rFonts w:cs="Sylfaen"/>
          <w:b w:val="0"/>
          <w:szCs w:val="22"/>
          <w:lang w:val="hy-AM" w:eastAsia="en-US"/>
        </w:rPr>
      </w:pPr>
      <w:r w:rsidRPr="00C0193D">
        <w:rPr>
          <w:rFonts w:cs="Sylfaen"/>
          <w:b w:val="0"/>
          <w:szCs w:val="22"/>
          <w:lang w:val="hy-AM" w:eastAsia="en-US"/>
        </w:rPr>
        <w:t>ՏԻՄ-երի կողմից համայնքի հնգամյա զարգացման ծրագրի և համայնքի տարեկան աշխատանքային պլանը մշակելու, հաստատելու, դրանց  կատարման վերաբերյալ համայնքի ղեկավարի հաշվետվություն ներկայացնելու և հրապարակելու վերաբերյալ օրենսդրական պարտադիր պահանջների կատարմանն ուղղված գործընթացների կազմակերպում,</w:t>
      </w:r>
    </w:p>
    <w:p w14:paraId="52A467D4" w14:textId="77777777" w:rsidR="002A287F" w:rsidRPr="00C0193D" w:rsidRDefault="002A287F" w:rsidP="00835DBE">
      <w:pPr>
        <w:numPr>
          <w:ilvl w:val="0"/>
          <w:numId w:val="28"/>
        </w:numPr>
        <w:tabs>
          <w:tab w:val="left" w:pos="270"/>
        </w:tabs>
        <w:ind w:left="0" w:firstLine="0"/>
        <w:rPr>
          <w:szCs w:val="22"/>
          <w:lang w:val="hy-AM"/>
        </w:rPr>
      </w:pPr>
      <w:r w:rsidRPr="00C0193D">
        <w:rPr>
          <w:rFonts w:cs="Sylfaen"/>
          <w:b w:val="0"/>
          <w:szCs w:val="22"/>
          <w:lang w:val="hy-AM" w:eastAsia="en-US"/>
        </w:rPr>
        <w:t>ՏՏ կիրառության առումով ՏԻՄ-երի կարողությունների զարգացմանը միտված ծրագրերի իրականացում, տեղեկատվական համակարգերի կիրառության ընդլայնման միջոցով ՏԻՄ-երի գործունեության թափանցիկության և հաշվետվողականության ապահովում, ՏԻՄ-երում կիրառվող կառավարման տեղեկատվական համակարգերի և պետական մարմինների էլեկտրոնային համակարգերի փոխգործելիության հաստատում և ընդլայնում</w:t>
      </w:r>
      <w:r w:rsidRPr="00C0193D">
        <w:rPr>
          <w:szCs w:val="22"/>
          <w:lang w:val="hy-AM"/>
        </w:rPr>
        <w:t>:</w:t>
      </w:r>
    </w:p>
    <w:p w14:paraId="08301A45" w14:textId="77777777" w:rsidR="002A287F" w:rsidRPr="00C0193D" w:rsidRDefault="002A287F" w:rsidP="00835DBE">
      <w:pPr>
        <w:tabs>
          <w:tab w:val="left" w:pos="284"/>
          <w:tab w:val="left" w:pos="851"/>
        </w:tabs>
        <w:rPr>
          <w:rFonts w:eastAsia="Calibri"/>
          <w:b w:val="0"/>
          <w:szCs w:val="22"/>
          <w:lang w:val="hy-AM" w:eastAsia="en-US"/>
        </w:rPr>
      </w:pPr>
      <w:r w:rsidRPr="00C0193D">
        <w:rPr>
          <w:rFonts w:eastAsia="Calibri"/>
          <w:b w:val="0"/>
          <w:szCs w:val="22"/>
          <w:lang w:val="hy-AM" w:eastAsia="en-US"/>
        </w:rPr>
        <w:t xml:space="preserve">Տարածքային զարգացման նպատակով նախատեսվում է` </w:t>
      </w:r>
    </w:p>
    <w:p w14:paraId="386C6BE9" w14:textId="77777777" w:rsidR="002A287F" w:rsidRPr="00835DBE" w:rsidRDefault="002A287F" w:rsidP="00835DBE">
      <w:pPr>
        <w:numPr>
          <w:ilvl w:val="0"/>
          <w:numId w:val="28"/>
        </w:numPr>
        <w:tabs>
          <w:tab w:val="left" w:pos="284"/>
        </w:tabs>
        <w:ind w:left="0" w:firstLine="0"/>
        <w:rPr>
          <w:rFonts w:cs="Sylfaen"/>
          <w:b w:val="0"/>
          <w:szCs w:val="22"/>
          <w:lang w:val="hy-AM" w:eastAsia="en-US"/>
        </w:rPr>
      </w:pPr>
      <w:r w:rsidRPr="00C0193D">
        <w:rPr>
          <w:rFonts w:cs="Sylfaen"/>
          <w:b w:val="0"/>
          <w:bCs/>
          <w:iCs/>
          <w:szCs w:val="22"/>
          <w:lang w:val="hy-AM" w:eastAsia="en-US"/>
        </w:rPr>
        <w:t xml:space="preserve">մարզերի </w:t>
      </w:r>
      <w:r w:rsidRPr="00835DBE">
        <w:rPr>
          <w:rFonts w:cs="Sylfaen"/>
          <w:b w:val="0"/>
          <w:szCs w:val="22"/>
          <w:lang w:val="hy-AM" w:eastAsia="en-US"/>
        </w:rPr>
        <w:t>տնտեսական զարգացման անհամամասնությունների մեղմում,</w:t>
      </w:r>
    </w:p>
    <w:p w14:paraId="32748EE1" w14:textId="77777777" w:rsidR="002A287F" w:rsidRPr="00835DBE" w:rsidRDefault="002A287F" w:rsidP="00835DBE">
      <w:pPr>
        <w:numPr>
          <w:ilvl w:val="0"/>
          <w:numId w:val="28"/>
        </w:numPr>
        <w:tabs>
          <w:tab w:val="left" w:pos="284"/>
        </w:tabs>
        <w:ind w:left="0" w:firstLine="0"/>
        <w:rPr>
          <w:rFonts w:cs="Sylfaen"/>
          <w:b w:val="0"/>
          <w:szCs w:val="22"/>
          <w:lang w:val="hy-AM" w:eastAsia="en-US"/>
        </w:rPr>
      </w:pPr>
      <w:r w:rsidRPr="00835DBE">
        <w:rPr>
          <w:rFonts w:cs="Sylfaen"/>
          <w:b w:val="0"/>
          <w:szCs w:val="22"/>
          <w:lang w:val="hy-AM" w:eastAsia="en-US"/>
        </w:rPr>
        <w:t>hանրապետական գործադիր մարմինների կողմից ՀՀ մարզերում իրականացվող ծրագրերի մշտադիտարկման համակարգի կատարելագործում:</w:t>
      </w:r>
    </w:p>
    <w:p w14:paraId="3C9A2149" w14:textId="77777777" w:rsidR="002A287F" w:rsidRPr="00835DBE" w:rsidRDefault="002A287F" w:rsidP="00835DBE">
      <w:pPr>
        <w:numPr>
          <w:ilvl w:val="0"/>
          <w:numId w:val="28"/>
        </w:numPr>
        <w:tabs>
          <w:tab w:val="left" w:pos="284"/>
        </w:tabs>
        <w:ind w:left="0" w:firstLine="0"/>
        <w:rPr>
          <w:rFonts w:cs="Sylfaen"/>
          <w:b w:val="0"/>
          <w:szCs w:val="22"/>
          <w:lang w:val="hy-AM" w:eastAsia="en-US"/>
        </w:rPr>
      </w:pPr>
      <w:r w:rsidRPr="00835DBE">
        <w:rPr>
          <w:rFonts w:cs="Sylfaen"/>
          <w:b w:val="0"/>
          <w:szCs w:val="22"/>
          <w:lang w:val="hy-AM" w:eastAsia="en-US"/>
        </w:rPr>
        <w:t>Տեղական ինքնակառավարման համակարգի, տարածքային, տնտեսական, ֆինասական և քաղաքական դերի բարձրացման նպատակով նախատեսվում է՝</w:t>
      </w:r>
    </w:p>
    <w:p w14:paraId="7FFBB54C" w14:textId="77777777" w:rsidR="002A287F" w:rsidRPr="00835DBE" w:rsidRDefault="002A287F" w:rsidP="00835DBE">
      <w:pPr>
        <w:numPr>
          <w:ilvl w:val="0"/>
          <w:numId w:val="28"/>
        </w:numPr>
        <w:tabs>
          <w:tab w:val="left" w:pos="284"/>
        </w:tabs>
        <w:ind w:left="0" w:firstLine="0"/>
        <w:rPr>
          <w:rFonts w:cs="Sylfaen"/>
          <w:b w:val="0"/>
          <w:szCs w:val="22"/>
          <w:lang w:val="hy-AM" w:eastAsia="en-US"/>
        </w:rPr>
      </w:pPr>
      <w:r w:rsidRPr="00835DBE">
        <w:rPr>
          <w:rFonts w:cs="Sylfaen"/>
          <w:b w:val="0"/>
          <w:szCs w:val="22"/>
          <w:lang w:val="hy-AM" w:eastAsia="en-US"/>
        </w:rPr>
        <w:t xml:space="preserve"> համայնքային ծառայողների կարողությունների կատարելագործում,</w:t>
      </w:r>
    </w:p>
    <w:p w14:paraId="76672542" w14:textId="77777777" w:rsidR="002A287F" w:rsidRPr="00835DBE" w:rsidRDefault="002A287F" w:rsidP="00835DBE">
      <w:pPr>
        <w:numPr>
          <w:ilvl w:val="0"/>
          <w:numId w:val="28"/>
        </w:numPr>
        <w:tabs>
          <w:tab w:val="left" w:pos="284"/>
        </w:tabs>
        <w:ind w:left="0" w:firstLine="0"/>
        <w:rPr>
          <w:rFonts w:cs="Sylfaen"/>
          <w:b w:val="0"/>
          <w:szCs w:val="22"/>
          <w:lang w:val="hy-AM" w:eastAsia="en-US"/>
        </w:rPr>
      </w:pPr>
      <w:r w:rsidRPr="00835DBE">
        <w:rPr>
          <w:rFonts w:cs="Sylfaen"/>
          <w:b w:val="0"/>
          <w:szCs w:val="22"/>
          <w:lang w:val="hy-AM" w:eastAsia="en-US"/>
        </w:rPr>
        <w:t xml:space="preserve"> համայնքների միավորման արդյունքում համայնքային ծառայության ոլորտում առաջացած ն</w:t>
      </w:r>
      <w:r w:rsidR="00C94F03" w:rsidRPr="00835DBE">
        <w:rPr>
          <w:rFonts w:cs="Sylfaen"/>
          <w:b w:val="0"/>
          <w:szCs w:val="22"/>
          <w:lang w:val="hy-AM" w:eastAsia="en-US"/>
        </w:rPr>
        <w:t xml:space="preserve">որ պահանջների գույքագրում, </w:t>
      </w:r>
      <w:r w:rsidRPr="00835DBE">
        <w:rPr>
          <w:rFonts w:cs="Sylfaen"/>
          <w:b w:val="0"/>
          <w:szCs w:val="22"/>
          <w:lang w:val="hy-AM" w:eastAsia="en-US"/>
        </w:rPr>
        <w:t>մասնագիտական</w:t>
      </w:r>
      <w:r w:rsidR="00C94F03" w:rsidRPr="00835DBE">
        <w:rPr>
          <w:rFonts w:cs="Sylfaen"/>
          <w:b w:val="0"/>
          <w:szCs w:val="22"/>
          <w:lang w:val="hy-AM" w:eastAsia="en-US"/>
        </w:rPr>
        <w:t xml:space="preserve"> </w:t>
      </w:r>
      <w:r w:rsidRPr="00835DBE">
        <w:rPr>
          <w:rFonts w:cs="Sylfaen"/>
          <w:b w:val="0"/>
          <w:szCs w:val="22"/>
          <w:lang w:val="hy-AM" w:eastAsia="en-US"/>
        </w:rPr>
        <w:t>կարողությունների և հմտությունների զարգացում:</w:t>
      </w:r>
    </w:p>
    <w:p w14:paraId="6E0D5088" w14:textId="77777777" w:rsidR="002A287F" w:rsidRPr="00835DBE" w:rsidRDefault="002A287F" w:rsidP="00835DBE">
      <w:pPr>
        <w:numPr>
          <w:ilvl w:val="0"/>
          <w:numId w:val="28"/>
        </w:numPr>
        <w:tabs>
          <w:tab w:val="left" w:pos="284"/>
        </w:tabs>
        <w:ind w:left="0" w:firstLine="0"/>
        <w:rPr>
          <w:rFonts w:cs="Sylfaen"/>
          <w:b w:val="0"/>
          <w:szCs w:val="22"/>
          <w:lang w:val="hy-AM" w:eastAsia="en-US"/>
        </w:rPr>
      </w:pPr>
      <w:r w:rsidRPr="00835DBE">
        <w:rPr>
          <w:rFonts w:cs="Sylfaen"/>
          <w:b w:val="0"/>
          <w:szCs w:val="22"/>
          <w:lang w:val="hy-AM" w:eastAsia="en-US"/>
        </w:rPr>
        <w:t>2024 թվականին կշարունակվեն ՀՀ համայնքների ենթակառուցվածքների զարգացմանն ուղղված սուբվենցիայի տրամադրման գործընթացները։</w:t>
      </w:r>
    </w:p>
    <w:p w14:paraId="0FD75F7B" w14:textId="77777777" w:rsidR="002A287F" w:rsidRPr="00C0193D" w:rsidRDefault="002A287F" w:rsidP="00835DBE">
      <w:pPr>
        <w:numPr>
          <w:ilvl w:val="0"/>
          <w:numId w:val="28"/>
        </w:numPr>
        <w:tabs>
          <w:tab w:val="left" w:pos="284"/>
        </w:tabs>
        <w:ind w:left="0" w:firstLine="0"/>
        <w:rPr>
          <w:rFonts w:cs="Sylfaen"/>
          <w:b w:val="0"/>
          <w:bCs/>
          <w:iCs/>
          <w:szCs w:val="22"/>
          <w:lang w:val="hy-AM" w:eastAsia="en-US"/>
        </w:rPr>
      </w:pPr>
      <w:r w:rsidRPr="00835DBE">
        <w:rPr>
          <w:rFonts w:cs="Sylfaen"/>
          <w:b w:val="0"/>
          <w:szCs w:val="22"/>
          <w:lang w:val="hy-AM" w:eastAsia="en-US"/>
        </w:rPr>
        <w:t>ՀՀ Կոտայքի և Գեղարքունիքի մարզերում կներդրվի ԵՄ չափանիշներին համապատասխան</w:t>
      </w:r>
      <w:r w:rsidRPr="00C0193D">
        <w:rPr>
          <w:rFonts w:cs="Sylfaen"/>
          <w:b w:val="0"/>
          <w:bCs/>
          <w:iCs/>
          <w:szCs w:val="22"/>
          <w:lang w:val="hy-AM" w:eastAsia="en-US"/>
        </w:rPr>
        <w:t xml:space="preserve"> աղբահանության ինտեգրված համակարգ, այդ թվում՝ շահագործման կհանձնվեն հանրապետությունում կառուցված առաջին սանիտարական աղբավայրը և փոխաբեռնման կայանները։</w:t>
      </w:r>
    </w:p>
    <w:p w14:paraId="54769EB7" w14:textId="77777777" w:rsidR="005F226A" w:rsidRPr="00922161" w:rsidRDefault="005F226A" w:rsidP="00835DBE">
      <w:pPr>
        <w:keepNext/>
        <w:tabs>
          <w:tab w:val="left" w:pos="360"/>
        </w:tabs>
        <w:rPr>
          <w:rFonts w:eastAsiaTheme="majorEastAsia" w:cstheme="majorBidi"/>
          <w:bCs/>
          <w:color w:val="1F497D" w:themeColor="text2"/>
          <w:sz w:val="24"/>
          <w:lang w:val="hy-AM" w:eastAsia="en-US"/>
        </w:rPr>
      </w:pPr>
      <w:bookmarkStart w:id="18" w:name="_Toc83567434"/>
      <w:r w:rsidRPr="00922161">
        <w:rPr>
          <w:rFonts w:eastAsiaTheme="majorEastAsia" w:cstheme="majorBidi"/>
          <w:bCs/>
          <w:color w:val="1F497D" w:themeColor="text2"/>
          <w:sz w:val="24"/>
          <w:lang w:val="hy-AM" w:eastAsia="en-US"/>
        </w:rPr>
        <w:lastRenderedPageBreak/>
        <w:t>Ճանապարհային տնտեսություն</w:t>
      </w:r>
      <w:bookmarkEnd w:id="18"/>
    </w:p>
    <w:p w14:paraId="65B3B2B0" w14:textId="77777777" w:rsidR="002A287F" w:rsidRPr="00C0193D" w:rsidRDefault="00D854D1" w:rsidP="00835DBE">
      <w:pPr>
        <w:tabs>
          <w:tab w:val="left" w:pos="284"/>
          <w:tab w:val="left" w:pos="993"/>
        </w:tabs>
        <w:rPr>
          <w:b w:val="0"/>
          <w:bCs/>
          <w:szCs w:val="22"/>
          <w:lang w:val="hy-AM"/>
        </w:rPr>
      </w:pPr>
      <w:r w:rsidRPr="00C0193D">
        <w:rPr>
          <w:b w:val="0"/>
          <w:bCs/>
          <w:szCs w:val="22"/>
          <w:lang w:val="hy-AM"/>
        </w:rPr>
        <w:t xml:space="preserve">ՀՀ տրանսպորտային համակարգի </w:t>
      </w:r>
      <w:r w:rsidR="002A287F" w:rsidRPr="00C0193D">
        <w:rPr>
          <w:b w:val="0"/>
          <w:bCs/>
          <w:szCs w:val="22"/>
          <w:lang w:val="hy-AM"/>
        </w:rPr>
        <w:t>կարևորագույն խնդիրներից է երկրի ճանապարհատրանսպորտային ենթակառուցվածքների գործունեության արդյունավետության բարձրացումը, ինչպես նաև տնտեսության և ազգաբնակչության պահանջների բավարարման որակի բարձրացման միջոցով՝ անվտանգ և արդյունավետ տրանսպորտային ծառայությունների ապահովումը։</w:t>
      </w:r>
    </w:p>
    <w:p w14:paraId="39DAEC78" w14:textId="77777777" w:rsidR="002A287F" w:rsidRPr="00C0193D" w:rsidRDefault="002A287F" w:rsidP="00835DBE">
      <w:pPr>
        <w:tabs>
          <w:tab w:val="left" w:pos="284"/>
          <w:tab w:val="left" w:pos="993"/>
        </w:tabs>
        <w:autoSpaceDE w:val="0"/>
        <w:autoSpaceDN w:val="0"/>
        <w:adjustRightInd w:val="0"/>
        <w:rPr>
          <w:b w:val="0"/>
          <w:szCs w:val="22"/>
          <w:lang w:val="hy-AM"/>
        </w:rPr>
      </w:pPr>
      <w:r w:rsidRPr="00C0193D">
        <w:rPr>
          <w:rFonts w:cs="Sylfaen"/>
          <w:b w:val="0"/>
          <w:szCs w:val="22"/>
          <w:lang w:val="hy-AM"/>
        </w:rPr>
        <w:t>Երթևեկության</w:t>
      </w:r>
      <w:r w:rsidRPr="00C0193D">
        <w:rPr>
          <w:b w:val="0"/>
          <w:szCs w:val="22"/>
          <w:lang w:val="hy-AM"/>
        </w:rPr>
        <w:t xml:space="preserve"> </w:t>
      </w:r>
      <w:r w:rsidRPr="00C0193D">
        <w:rPr>
          <w:rFonts w:cs="Sylfaen"/>
          <w:b w:val="0"/>
          <w:szCs w:val="22"/>
          <w:lang w:val="hy-AM"/>
        </w:rPr>
        <w:t>ինտենսիվության</w:t>
      </w:r>
      <w:r w:rsidRPr="00C0193D">
        <w:rPr>
          <w:b w:val="0"/>
          <w:szCs w:val="22"/>
          <w:lang w:val="hy-AM"/>
        </w:rPr>
        <w:t xml:space="preserve"> </w:t>
      </w:r>
      <w:r w:rsidRPr="00C0193D">
        <w:rPr>
          <w:rFonts w:cs="Sylfaen"/>
          <w:b w:val="0"/>
          <w:szCs w:val="22"/>
          <w:lang w:val="hy-AM"/>
        </w:rPr>
        <w:t>աճի</w:t>
      </w:r>
      <w:r w:rsidRPr="00C0193D">
        <w:rPr>
          <w:b w:val="0"/>
          <w:szCs w:val="22"/>
          <w:lang w:val="hy-AM"/>
        </w:rPr>
        <w:t xml:space="preserve">, </w:t>
      </w:r>
      <w:r w:rsidRPr="00C0193D">
        <w:rPr>
          <w:rFonts w:cs="Sylfaen"/>
          <w:b w:val="0"/>
          <w:szCs w:val="22"/>
          <w:lang w:val="hy-AM"/>
        </w:rPr>
        <w:t>ուղևորափոխադրումների</w:t>
      </w:r>
      <w:r w:rsidRPr="00C0193D">
        <w:rPr>
          <w:b w:val="0"/>
          <w:szCs w:val="22"/>
          <w:lang w:val="hy-AM"/>
        </w:rPr>
        <w:t xml:space="preserve"> </w:t>
      </w:r>
      <w:r w:rsidRPr="00C0193D">
        <w:rPr>
          <w:rFonts w:cs="Sylfaen"/>
          <w:b w:val="0"/>
          <w:szCs w:val="22"/>
          <w:lang w:val="hy-AM"/>
        </w:rPr>
        <w:t>ու</w:t>
      </w:r>
      <w:r w:rsidRPr="00C0193D">
        <w:rPr>
          <w:b w:val="0"/>
          <w:szCs w:val="22"/>
          <w:lang w:val="hy-AM"/>
        </w:rPr>
        <w:t xml:space="preserve"> </w:t>
      </w:r>
      <w:r w:rsidRPr="00C0193D">
        <w:rPr>
          <w:rFonts w:cs="Sylfaen"/>
          <w:b w:val="0"/>
          <w:szCs w:val="22"/>
          <w:lang w:val="hy-AM"/>
        </w:rPr>
        <w:t>բեռնափոխադրումների</w:t>
      </w:r>
      <w:r w:rsidRPr="00C0193D">
        <w:rPr>
          <w:b w:val="0"/>
          <w:szCs w:val="22"/>
          <w:lang w:val="hy-AM"/>
        </w:rPr>
        <w:t xml:space="preserve"> </w:t>
      </w:r>
      <w:r w:rsidRPr="00C0193D">
        <w:rPr>
          <w:rFonts w:cs="Sylfaen"/>
          <w:b w:val="0"/>
          <w:szCs w:val="22"/>
          <w:lang w:val="hy-AM"/>
        </w:rPr>
        <w:t>անվտանգության</w:t>
      </w:r>
      <w:r w:rsidRPr="00C0193D">
        <w:rPr>
          <w:b w:val="0"/>
          <w:szCs w:val="22"/>
          <w:lang w:val="hy-AM"/>
        </w:rPr>
        <w:t xml:space="preserve"> </w:t>
      </w:r>
      <w:r w:rsidRPr="00C0193D">
        <w:rPr>
          <w:rFonts w:cs="Sylfaen"/>
          <w:b w:val="0"/>
          <w:szCs w:val="22"/>
          <w:lang w:val="hy-AM"/>
        </w:rPr>
        <w:t>և</w:t>
      </w:r>
      <w:r w:rsidRPr="00C0193D">
        <w:rPr>
          <w:b w:val="0"/>
          <w:szCs w:val="22"/>
          <w:lang w:val="hy-AM"/>
        </w:rPr>
        <w:t xml:space="preserve"> </w:t>
      </w:r>
      <w:r w:rsidRPr="00C0193D">
        <w:rPr>
          <w:rFonts w:cs="Sylfaen"/>
          <w:b w:val="0"/>
          <w:szCs w:val="22"/>
          <w:lang w:val="hy-AM"/>
        </w:rPr>
        <w:t>արդյունավետության</w:t>
      </w:r>
      <w:r w:rsidRPr="00C0193D">
        <w:rPr>
          <w:b w:val="0"/>
          <w:szCs w:val="22"/>
          <w:lang w:val="hy-AM"/>
        </w:rPr>
        <w:t xml:space="preserve"> </w:t>
      </w:r>
      <w:r w:rsidRPr="00C0193D">
        <w:rPr>
          <w:rFonts w:cs="Sylfaen"/>
          <w:b w:val="0"/>
          <w:szCs w:val="22"/>
          <w:lang w:val="hy-AM"/>
        </w:rPr>
        <w:t>ապահովման</w:t>
      </w:r>
      <w:r w:rsidRPr="00C0193D">
        <w:rPr>
          <w:b w:val="0"/>
          <w:szCs w:val="22"/>
          <w:lang w:val="hy-AM"/>
        </w:rPr>
        <w:t xml:space="preserve"> </w:t>
      </w:r>
      <w:r w:rsidRPr="00C0193D">
        <w:rPr>
          <w:rFonts w:cs="Sylfaen"/>
          <w:b w:val="0"/>
          <w:szCs w:val="22"/>
          <w:lang w:val="hy-AM"/>
        </w:rPr>
        <w:t>նպատա</w:t>
      </w:r>
      <w:r w:rsidRPr="00C0193D">
        <w:rPr>
          <w:b w:val="0"/>
          <w:szCs w:val="22"/>
          <w:lang w:val="hy-AM"/>
        </w:rPr>
        <w:softHyphen/>
      </w:r>
      <w:r w:rsidRPr="00C0193D">
        <w:rPr>
          <w:rFonts w:cs="Sylfaen"/>
          <w:b w:val="0"/>
          <w:szCs w:val="22"/>
          <w:lang w:val="hy-AM"/>
        </w:rPr>
        <w:t>կով</w:t>
      </w:r>
      <w:r w:rsidRPr="00C0193D">
        <w:rPr>
          <w:b w:val="0"/>
          <w:szCs w:val="22"/>
          <w:lang w:val="hy-AM"/>
        </w:rPr>
        <w:t xml:space="preserve"> 2024</w:t>
      </w:r>
      <w:r w:rsidRPr="00C0193D">
        <w:rPr>
          <w:rFonts w:cs="Sylfaen"/>
          <w:b w:val="0"/>
          <w:szCs w:val="22"/>
          <w:lang w:val="hy-AM"/>
        </w:rPr>
        <w:t>թ.-ին</w:t>
      </w:r>
      <w:r w:rsidRPr="00C0193D">
        <w:rPr>
          <w:b w:val="0"/>
          <w:szCs w:val="22"/>
          <w:lang w:val="hy-AM"/>
        </w:rPr>
        <w:t xml:space="preserve"> </w:t>
      </w:r>
      <w:r w:rsidRPr="00C0193D">
        <w:rPr>
          <w:rFonts w:cs="Sylfaen"/>
          <w:b w:val="0"/>
          <w:szCs w:val="22"/>
          <w:lang w:val="hy-AM"/>
        </w:rPr>
        <w:t>նախատեսվում</w:t>
      </w:r>
      <w:r w:rsidRPr="00C0193D">
        <w:rPr>
          <w:b w:val="0"/>
          <w:szCs w:val="22"/>
          <w:lang w:val="hy-AM"/>
        </w:rPr>
        <w:t xml:space="preserve"> </w:t>
      </w:r>
      <w:r w:rsidRPr="00C0193D">
        <w:rPr>
          <w:rFonts w:cs="Sylfaen"/>
          <w:b w:val="0"/>
          <w:szCs w:val="22"/>
          <w:lang w:val="hy-AM"/>
        </w:rPr>
        <w:t>է</w:t>
      </w:r>
      <w:r w:rsidRPr="00C0193D">
        <w:rPr>
          <w:b w:val="0"/>
          <w:szCs w:val="22"/>
          <w:lang w:val="hy-AM"/>
        </w:rPr>
        <w:t xml:space="preserve"> </w:t>
      </w:r>
      <w:r w:rsidRPr="00C0193D">
        <w:rPr>
          <w:rFonts w:cs="Sylfaen"/>
          <w:b w:val="0"/>
          <w:szCs w:val="22"/>
          <w:lang w:val="hy-AM"/>
        </w:rPr>
        <w:t>իրականացնել</w:t>
      </w:r>
      <w:r w:rsidRPr="00C0193D">
        <w:rPr>
          <w:b w:val="0"/>
          <w:szCs w:val="22"/>
          <w:lang w:val="hy-AM"/>
        </w:rPr>
        <w:t xml:space="preserve"> </w:t>
      </w:r>
      <w:r w:rsidRPr="00C0193D">
        <w:rPr>
          <w:rFonts w:cs="Sylfaen"/>
          <w:b w:val="0"/>
          <w:szCs w:val="22"/>
          <w:lang w:val="hy-AM"/>
        </w:rPr>
        <w:t>միջպետական</w:t>
      </w:r>
      <w:r w:rsidRPr="00C0193D">
        <w:rPr>
          <w:b w:val="0"/>
          <w:szCs w:val="22"/>
          <w:lang w:val="hy-AM"/>
        </w:rPr>
        <w:t xml:space="preserve">¸ </w:t>
      </w:r>
      <w:r w:rsidRPr="00C0193D">
        <w:rPr>
          <w:rFonts w:cs="Sylfaen"/>
          <w:b w:val="0"/>
          <w:szCs w:val="22"/>
          <w:lang w:val="hy-AM"/>
        </w:rPr>
        <w:t>հանրապետական</w:t>
      </w:r>
      <w:r w:rsidRPr="00C0193D">
        <w:rPr>
          <w:b w:val="0"/>
          <w:szCs w:val="22"/>
          <w:lang w:val="hy-AM"/>
        </w:rPr>
        <w:t xml:space="preserve"> </w:t>
      </w:r>
      <w:r w:rsidRPr="00C0193D">
        <w:rPr>
          <w:rFonts w:cs="Sylfaen"/>
          <w:b w:val="0"/>
          <w:szCs w:val="22"/>
          <w:lang w:val="hy-AM"/>
        </w:rPr>
        <w:t>և</w:t>
      </w:r>
      <w:r w:rsidRPr="00C0193D">
        <w:rPr>
          <w:b w:val="0"/>
          <w:szCs w:val="22"/>
          <w:lang w:val="hy-AM"/>
        </w:rPr>
        <w:t xml:space="preserve"> </w:t>
      </w:r>
      <w:r w:rsidRPr="00C0193D">
        <w:rPr>
          <w:rFonts w:cs="Sylfaen"/>
          <w:b w:val="0"/>
          <w:szCs w:val="22"/>
          <w:lang w:val="hy-AM"/>
        </w:rPr>
        <w:t>մարզային</w:t>
      </w:r>
      <w:r w:rsidRPr="00C0193D">
        <w:rPr>
          <w:b w:val="0"/>
          <w:szCs w:val="22"/>
          <w:lang w:val="hy-AM"/>
        </w:rPr>
        <w:t xml:space="preserve"> </w:t>
      </w:r>
      <w:r w:rsidRPr="00C0193D">
        <w:rPr>
          <w:rFonts w:cs="Sylfaen"/>
          <w:b w:val="0"/>
          <w:szCs w:val="22"/>
          <w:lang w:val="hy-AM"/>
        </w:rPr>
        <w:t>նշանակության</w:t>
      </w:r>
      <w:r w:rsidRPr="00C0193D">
        <w:rPr>
          <w:b w:val="0"/>
          <w:szCs w:val="22"/>
          <w:lang w:val="hy-AM"/>
        </w:rPr>
        <w:t xml:space="preserve"> </w:t>
      </w:r>
      <w:r w:rsidRPr="00C0193D">
        <w:rPr>
          <w:rFonts w:cs="Sylfaen"/>
          <w:b w:val="0"/>
          <w:szCs w:val="22"/>
          <w:lang w:val="hy-AM"/>
        </w:rPr>
        <w:t>ավտոմոբիլային</w:t>
      </w:r>
      <w:r w:rsidRPr="00C0193D">
        <w:rPr>
          <w:b w:val="0"/>
          <w:szCs w:val="22"/>
          <w:lang w:val="hy-AM"/>
        </w:rPr>
        <w:t xml:space="preserve"> </w:t>
      </w:r>
      <w:r w:rsidRPr="00C0193D">
        <w:rPr>
          <w:rFonts w:cs="Sylfaen"/>
          <w:b w:val="0"/>
          <w:szCs w:val="22"/>
          <w:lang w:val="hy-AM"/>
        </w:rPr>
        <w:t>ճանապարհների</w:t>
      </w:r>
      <w:r w:rsidRPr="00C0193D">
        <w:rPr>
          <w:b w:val="0"/>
          <w:szCs w:val="22"/>
          <w:lang w:val="hy-AM"/>
        </w:rPr>
        <w:t xml:space="preserve"> </w:t>
      </w:r>
      <w:r w:rsidRPr="00C0193D">
        <w:rPr>
          <w:rFonts w:cs="Sylfaen"/>
          <w:b w:val="0"/>
          <w:szCs w:val="22"/>
          <w:lang w:val="hy-AM"/>
        </w:rPr>
        <w:t>ու</w:t>
      </w:r>
      <w:r w:rsidRPr="00C0193D">
        <w:rPr>
          <w:b w:val="0"/>
          <w:szCs w:val="22"/>
          <w:lang w:val="hy-AM"/>
        </w:rPr>
        <w:t xml:space="preserve"> </w:t>
      </w:r>
      <w:r w:rsidRPr="00C0193D">
        <w:rPr>
          <w:rFonts w:cs="Sylfaen"/>
          <w:b w:val="0"/>
          <w:szCs w:val="22"/>
          <w:lang w:val="hy-AM"/>
        </w:rPr>
        <w:t>տրանսպորտային</w:t>
      </w:r>
      <w:r w:rsidRPr="00C0193D">
        <w:rPr>
          <w:b w:val="0"/>
          <w:szCs w:val="22"/>
          <w:lang w:val="hy-AM"/>
        </w:rPr>
        <w:t xml:space="preserve"> </w:t>
      </w:r>
      <w:r w:rsidRPr="00C0193D">
        <w:rPr>
          <w:rFonts w:cs="Sylfaen"/>
          <w:b w:val="0"/>
          <w:szCs w:val="22"/>
          <w:lang w:val="hy-AM"/>
        </w:rPr>
        <w:t>օբյեկտների</w:t>
      </w:r>
      <w:r w:rsidRPr="00C0193D">
        <w:rPr>
          <w:b w:val="0"/>
          <w:szCs w:val="22"/>
          <w:lang w:val="hy-AM"/>
        </w:rPr>
        <w:t xml:space="preserve"> </w:t>
      </w:r>
      <w:r w:rsidRPr="00C0193D">
        <w:rPr>
          <w:rFonts w:cs="Sylfaen"/>
          <w:b w:val="0"/>
          <w:szCs w:val="22"/>
          <w:lang w:val="hy-AM"/>
        </w:rPr>
        <w:t>հիմնանորոգում</w:t>
      </w:r>
      <w:r w:rsidRPr="00C0193D">
        <w:rPr>
          <w:b w:val="0"/>
          <w:szCs w:val="22"/>
          <w:lang w:val="hy-AM"/>
        </w:rPr>
        <w:t xml:space="preserve">, </w:t>
      </w:r>
      <w:r w:rsidRPr="00C0193D">
        <w:rPr>
          <w:rFonts w:cs="Sylfaen"/>
          <w:b w:val="0"/>
          <w:szCs w:val="22"/>
          <w:lang w:val="hy-AM"/>
        </w:rPr>
        <w:t>միջին</w:t>
      </w:r>
      <w:r w:rsidRPr="00C0193D">
        <w:rPr>
          <w:b w:val="0"/>
          <w:szCs w:val="22"/>
          <w:lang w:val="hy-AM"/>
        </w:rPr>
        <w:t xml:space="preserve"> </w:t>
      </w:r>
      <w:r w:rsidRPr="00C0193D">
        <w:rPr>
          <w:rFonts w:cs="Sylfaen"/>
          <w:b w:val="0"/>
          <w:szCs w:val="22"/>
          <w:lang w:val="hy-AM"/>
        </w:rPr>
        <w:t>նորոգում</w:t>
      </w:r>
      <w:r w:rsidRPr="00C0193D">
        <w:rPr>
          <w:b w:val="0"/>
          <w:szCs w:val="22"/>
          <w:lang w:val="hy-AM"/>
        </w:rPr>
        <w:t xml:space="preserve">¸ </w:t>
      </w:r>
      <w:r w:rsidRPr="00C0193D">
        <w:rPr>
          <w:rFonts w:cs="Sylfaen"/>
          <w:b w:val="0"/>
          <w:szCs w:val="22"/>
          <w:lang w:val="hy-AM"/>
        </w:rPr>
        <w:t>ձմեռային</w:t>
      </w:r>
      <w:r w:rsidRPr="00C0193D">
        <w:rPr>
          <w:b w:val="0"/>
          <w:szCs w:val="22"/>
          <w:lang w:val="hy-AM"/>
        </w:rPr>
        <w:t xml:space="preserve"> </w:t>
      </w:r>
      <w:r w:rsidRPr="00C0193D">
        <w:rPr>
          <w:rFonts w:cs="Sylfaen"/>
          <w:b w:val="0"/>
          <w:szCs w:val="22"/>
          <w:lang w:val="hy-AM"/>
        </w:rPr>
        <w:t>պահպանում</w:t>
      </w:r>
      <w:r w:rsidRPr="00C0193D">
        <w:rPr>
          <w:b w:val="0"/>
          <w:szCs w:val="22"/>
          <w:lang w:val="hy-AM"/>
        </w:rPr>
        <w:t xml:space="preserve">, </w:t>
      </w:r>
      <w:r w:rsidRPr="00C0193D">
        <w:rPr>
          <w:rFonts w:cs="Sylfaen"/>
          <w:b w:val="0"/>
          <w:szCs w:val="22"/>
          <w:lang w:val="hy-AM"/>
        </w:rPr>
        <w:t>ընթացիկ</w:t>
      </w:r>
      <w:r w:rsidRPr="00C0193D">
        <w:rPr>
          <w:b w:val="0"/>
          <w:szCs w:val="22"/>
          <w:lang w:val="hy-AM"/>
        </w:rPr>
        <w:t xml:space="preserve"> </w:t>
      </w:r>
      <w:r w:rsidRPr="00C0193D">
        <w:rPr>
          <w:rFonts w:cs="Sylfaen"/>
          <w:b w:val="0"/>
          <w:szCs w:val="22"/>
          <w:lang w:val="hy-AM"/>
        </w:rPr>
        <w:t>պահպանում</w:t>
      </w:r>
      <w:r w:rsidRPr="00C0193D">
        <w:rPr>
          <w:b w:val="0"/>
          <w:szCs w:val="22"/>
          <w:lang w:val="hy-AM"/>
        </w:rPr>
        <w:t xml:space="preserve"> </w:t>
      </w:r>
      <w:r w:rsidRPr="00C0193D">
        <w:rPr>
          <w:rFonts w:cs="Sylfaen"/>
          <w:b w:val="0"/>
          <w:szCs w:val="22"/>
          <w:lang w:val="hy-AM"/>
        </w:rPr>
        <w:t>և</w:t>
      </w:r>
      <w:r w:rsidRPr="00C0193D">
        <w:rPr>
          <w:b w:val="0"/>
          <w:szCs w:val="22"/>
          <w:lang w:val="hy-AM"/>
        </w:rPr>
        <w:t xml:space="preserve"> </w:t>
      </w:r>
      <w:r w:rsidRPr="00C0193D">
        <w:rPr>
          <w:rFonts w:cs="Sylfaen"/>
          <w:b w:val="0"/>
          <w:szCs w:val="22"/>
          <w:lang w:val="hy-AM"/>
        </w:rPr>
        <w:t>շահագործում</w:t>
      </w:r>
      <w:r w:rsidRPr="00C0193D">
        <w:rPr>
          <w:b w:val="0"/>
          <w:szCs w:val="22"/>
          <w:lang w:val="hy-AM"/>
        </w:rPr>
        <w:t xml:space="preserve">` </w:t>
      </w:r>
      <w:r w:rsidRPr="00C0193D">
        <w:rPr>
          <w:rFonts w:cs="Sylfaen"/>
          <w:b w:val="0"/>
          <w:szCs w:val="22"/>
          <w:lang w:val="hy-AM"/>
        </w:rPr>
        <w:t>ինչը</w:t>
      </w:r>
      <w:r w:rsidRPr="00C0193D">
        <w:rPr>
          <w:b w:val="0"/>
          <w:szCs w:val="22"/>
          <w:lang w:val="hy-AM"/>
        </w:rPr>
        <w:t xml:space="preserve"> </w:t>
      </w:r>
      <w:r w:rsidRPr="00C0193D">
        <w:rPr>
          <w:rFonts w:cs="Sylfaen"/>
          <w:b w:val="0"/>
          <w:szCs w:val="22"/>
          <w:lang w:val="hy-AM"/>
        </w:rPr>
        <w:t>կապահովի</w:t>
      </w:r>
      <w:r w:rsidRPr="00C0193D">
        <w:rPr>
          <w:b w:val="0"/>
          <w:szCs w:val="22"/>
          <w:lang w:val="hy-AM"/>
        </w:rPr>
        <w:t xml:space="preserve"> </w:t>
      </w:r>
      <w:r w:rsidRPr="00C0193D">
        <w:rPr>
          <w:rFonts w:cs="Sylfaen"/>
          <w:b w:val="0"/>
          <w:szCs w:val="22"/>
          <w:lang w:val="hy-AM"/>
        </w:rPr>
        <w:t>ճանապարհների</w:t>
      </w:r>
      <w:r w:rsidRPr="00C0193D">
        <w:rPr>
          <w:b w:val="0"/>
          <w:szCs w:val="22"/>
          <w:lang w:val="hy-AM"/>
        </w:rPr>
        <w:t xml:space="preserve"> </w:t>
      </w:r>
      <w:r w:rsidRPr="00C0193D">
        <w:rPr>
          <w:rFonts w:cs="Sylfaen"/>
          <w:b w:val="0"/>
          <w:szCs w:val="22"/>
          <w:lang w:val="hy-AM"/>
        </w:rPr>
        <w:t>և</w:t>
      </w:r>
      <w:r w:rsidRPr="00C0193D">
        <w:rPr>
          <w:b w:val="0"/>
          <w:szCs w:val="22"/>
          <w:lang w:val="hy-AM"/>
        </w:rPr>
        <w:t xml:space="preserve"> </w:t>
      </w:r>
      <w:r w:rsidRPr="00C0193D">
        <w:rPr>
          <w:rFonts w:cs="Sylfaen"/>
          <w:b w:val="0"/>
          <w:szCs w:val="22"/>
          <w:lang w:val="hy-AM"/>
        </w:rPr>
        <w:t>կառույցների</w:t>
      </w:r>
      <w:r w:rsidRPr="00C0193D">
        <w:rPr>
          <w:b w:val="0"/>
          <w:szCs w:val="22"/>
          <w:lang w:val="hy-AM"/>
        </w:rPr>
        <w:t xml:space="preserve"> </w:t>
      </w:r>
      <w:r w:rsidRPr="00C0193D">
        <w:rPr>
          <w:rFonts w:cs="Sylfaen"/>
          <w:b w:val="0"/>
          <w:szCs w:val="22"/>
          <w:lang w:val="hy-AM"/>
        </w:rPr>
        <w:t>պահպանվածությունն</w:t>
      </w:r>
      <w:r w:rsidRPr="00C0193D">
        <w:rPr>
          <w:b w:val="0"/>
          <w:szCs w:val="22"/>
          <w:lang w:val="hy-AM"/>
        </w:rPr>
        <w:t xml:space="preserve"> </w:t>
      </w:r>
      <w:r w:rsidRPr="00C0193D">
        <w:rPr>
          <w:rFonts w:cs="Sylfaen"/>
          <w:b w:val="0"/>
          <w:szCs w:val="22"/>
          <w:lang w:val="hy-AM"/>
        </w:rPr>
        <w:t>այնպիսի</w:t>
      </w:r>
      <w:r w:rsidRPr="00C0193D">
        <w:rPr>
          <w:b w:val="0"/>
          <w:szCs w:val="22"/>
          <w:lang w:val="hy-AM"/>
        </w:rPr>
        <w:t xml:space="preserve"> </w:t>
      </w:r>
      <w:r w:rsidRPr="00C0193D">
        <w:rPr>
          <w:rFonts w:cs="Sylfaen"/>
          <w:b w:val="0"/>
          <w:szCs w:val="22"/>
          <w:lang w:val="hy-AM"/>
        </w:rPr>
        <w:t>վիճակում</w:t>
      </w:r>
      <w:r w:rsidRPr="00C0193D">
        <w:rPr>
          <w:b w:val="0"/>
          <w:szCs w:val="22"/>
          <w:lang w:val="hy-AM"/>
        </w:rPr>
        <w:t xml:space="preserve">, </w:t>
      </w:r>
      <w:r w:rsidRPr="00C0193D">
        <w:rPr>
          <w:rFonts w:cs="Sylfaen"/>
          <w:b w:val="0"/>
          <w:szCs w:val="22"/>
          <w:lang w:val="hy-AM"/>
        </w:rPr>
        <w:t>որը</w:t>
      </w:r>
      <w:r w:rsidRPr="00C0193D">
        <w:rPr>
          <w:b w:val="0"/>
          <w:szCs w:val="22"/>
          <w:lang w:val="hy-AM"/>
        </w:rPr>
        <w:t xml:space="preserve"> </w:t>
      </w:r>
      <w:r w:rsidRPr="00C0193D">
        <w:rPr>
          <w:rFonts w:cs="Sylfaen"/>
          <w:b w:val="0"/>
          <w:szCs w:val="22"/>
          <w:lang w:val="hy-AM"/>
        </w:rPr>
        <w:t>համապատասխանում</w:t>
      </w:r>
      <w:r w:rsidRPr="00C0193D">
        <w:rPr>
          <w:b w:val="0"/>
          <w:szCs w:val="22"/>
          <w:lang w:val="hy-AM"/>
        </w:rPr>
        <w:t xml:space="preserve"> </w:t>
      </w:r>
      <w:r w:rsidRPr="00C0193D">
        <w:rPr>
          <w:rFonts w:cs="Sylfaen"/>
          <w:b w:val="0"/>
          <w:szCs w:val="22"/>
          <w:lang w:val="hy-AM"/>
        </w:rPr>
        <w:t>է</w:t>
      </w:r>
      <w:r w:rsidRPr="00C0193D">
        <w:rPr>
          <w:b w:val="0"/>
          <w:szCs w:val="22"/>
          <w:lang w:val="hy-AM"/>
        </w:rPr>
        <w:t xml:space="preserve"> </w:t>
      </w:r>
      <w:r w:rsidRPr="00C0193D">
        <w:rPr>
          <w:rFonts w:cs="Sylfaen"/>
          <w:b w:val="0"/>
          <w:szCs w:val="22"/>
          <w:lang w:val="hy-AM"/>
        </w:rPr>
        <w:t>անվտանգ</w:t>
      </w:r>
      <w:r w:rsidRPr="00C0193D">
        <w:rPr>
          <w:b w:val="0"/>
          <w:szCs w:val="22"/>
          <w:lang w:val="hy-AM"/>
        </w:rPr>
        <w:t xml:space="preserve"> </w:t>
      </w:r>
      <w:r w:rsidRPr="00C0193D">
        <w:rPr>
          <w:rFonts w:cs="Sylfaen"/>
          <w:b w:val="0"/>
          <w:szCs w:val="22"/>
          <w:lang w:val="hy-AM"/>
        </w:rPr>
        <w:t>և</w:t>
      </w:r>
      <w:r w:rsidRPr="00C0193D">
        <w:rPr>
          <w:b w:val="0"/>
          <w:szCs w:val="22"/>
          <w:lang w:val="hy-AM"/>
        </w:rPr>
        <w:t xml:space="preserve"> </w:t>
      </w:r>
      <w:r w:rsidRPr="00C0193D">
        <w:rPr>
          <w:rFonts w:cs="Sylfaen"/>
          <w:b w:val="0"/>
          <w:szCs w:val="22"/>
          <w:lang w:val="hy-AM"/>
        </w:rPr>
        <w:t>անխափան</w:t>
      </w:r>
      <w:r w:rsidRPr="00C0193D">
        <w:rPr>
          <w:b w:val="0"/>
          <w:szCs w:val="22"/>
          <w:lang w:val="hy-AM"/>
        </w:rPr>
        <w:t xml:space="preserve"> </w:t>
      </w:r>
      <w:r w:rsidRPr="00C0193D">
        <w:rPr>
          <w:rFonts w:cs="Sylfaen"/>
          <w:b w:val="0"/>
          <w:szCs w:val="22"/>
          <w:lang w:val="hy-AM"/>
        </w:rPr>
        <w:t>երթևեկության</w:t>
      </w:r>
      <w:r w:rsidRPr="00C0193D">
        <w:rPr>
          <w:b w:val="0"/>
          <w:szCs w:val="22"/>
          <w:lang w:val="hy-AM"/>
        </w:rPr>
        <w:t xml:space="preserve"> </w:t>
      </w:r>
      <w:r w:rsidRPr="00C0193D">
        <w:rPr>
          <w:rFonts w:cs="Sylfaen"/>
          <w:b w:val="0"/>
          <w:szCs w:val="22"/>
          <w:lang w:val="hy-AM"/>
        </w:rPr>
        <w:t>ապահովման</w:t>
      </w:r>
      <w:r w:rsidRPr="00C0193D">
        <w:rPr>
          <w:b w:val="0"/>
          <w:szCs w:val="22"/>
          <w:lang w:val="hy-AM"/>
        </w:rPr>
        <w:t xml:space="preserve"> </w:t>
      </w:r>
      <w:r w:rsidRPr="00C0193D">
        <w:rPr>
          <w:rFonts w:cs="Sylfaen"/>
          <w:b w:val="0"/>
          <w:szCs w:val="22"/>
          <w:lang w:val="hy-AM"/>
        </w:rPr>
        <w:t>պահանջներին</w:t>
      </w:r>
      <w:r w:rsidRPr="00C0193D">
        <w:rPr>
          <w:b w:val="0"/>
          <w:szCs w:val="22"/>
          <w:lang w:val="hy-AM"/>
        </w:rPr>
        <w:t xml:space="preserve">: </w:t>
      </w:r>
    </w:p>
    <w:p w14:paraId="1EAE8BF7" w14:textId="77777777" w:rsidR="002A287F" w:rsidRPr="00C0193D" w:rsidRDefault="002A287F" w:rsidP="00835DBE">
      <w:pPr>
        <w:tabs>
          <w:tab w:val="left" w:pos="284"/>
          <w:tab w:val="left" w:pos="993"/>
        </w:tabs>
        <w:rPr>
          <w:b w:val="0"/>
          <w:szCs w:val="22"/>
          <w:lang w:val="hy-AM"/>
        </w:rPr>
      </w:pPr>
      <w:r w:rsidRPr="00C0193D">
        <w:rPr>
          <w:b w:val="0"/>
          <w:szCs w:val="22"/>
          <w:lang w:val="hy-AM"/>
        </w:rPr>
        <w:t>2024թ.-ին վարկային և դրամաշնորհային միջոցների հաշվին կշարունակվի Հյուսիս-</w:t>
      </w:r>
      <w:r w:rsidR="00D854D1" w:rsidRPr="00C0193D">
        <w:rPr>
          <w:b w:val="0"/>
          <w:szCs w:val="22"/>
          <w:lang w:val="hy-AM"/>
        </w:rPr>
        <w:t>Հ</w:t>
      </w:r>
      <w:r w:rsidRPr="00C0193D">
        <w:rPr>
          <w:b w:val="0"/>
          <w:szCs w:val="22"/>
          <w:lang w:val="hy-AM"/>
        </w:rPr>
        <w:t xml:space="preserve">արավ ճանապարհային միջանցքի վերակառուցման, ինչպես նաև կմեկնարկեն </w:t>
      </w:r>
      <w:r w:rsidRPr="00C0193D">
        <w:rPr>
          <w:rFonts w:cs="Sylfaen"/>
          <w:b w:val="0"/>
          <w:szCs w:val="22"/>
          <w:lang w:val="hy-AM"/>
        </w:rPr>
        <w:t>Քաջարան-Ագարակ, Սիսիան-Քաջարան և Քաջարանի թունել տանող ճանապարհահատվածների հողերի օտարման և վերակառուցման աշխատանքները</w:t>
      </w:r>
      <w:r w:rsidRPr="00C0193D">
        <w:rPr>
          <w:b w:val="0"/>
          <w:szCs w:val="22"/>
          <w:lang w:val="hy-AM"/>
        </w:rPr>
        <w:t>։</w:t>
      </w:r>
    </w:p>
    <w:p w14:paraId="293C4A70" w14:textId="77777777" w:rsidR="005F226A" w:rsidRPr="00922161" w:rsidRDefault="005F226A" w:rsidP="00835DBE">
      <w:pPr>
        <w:keepNext/>
        <w:tabs>
          <w:tab w:val="left" w:pos="360"/>
        </w:tabs>
        <w:rPr>
          <w:rFonts w:eastAsiaTheme="majorEastAsia" w:cstheme="majorBidi"/>
          <w:bCs/>
          <w:color w:val="1F497D" w:themeColor="text2"/>
          <w:sz w:val="24"/>
          <w:lang w:val="hy-AM" w:eastAsia="en-US"/>
        </w:rPr>
      </w:pPr>
      <w:bookmarkStart w:id="19" w:name="_Toc83567435"/>
      <w:r w:rsidRPr="00922161">
        <w:rPr>
          <w:rFonts w:eastAsiaTheme="majorEastAsia" w:cstheme="majorBidi"/>
          <w:bCs/>
          <w:color w:val="1F497D" w:themeColor="text2"/>
          <w:sz w:val="24"/>
          <w:lang w:val="hy-AM" w:eastAsia="en-US"/>
        </w:rPr>
        <w:t>Էներգետիկա</w:t>
      </w:r>
      <w:bookmarkEnd w:id="19"/>
    </w:p>
    <w:p w14:paraId="31E19DD0" w14:textId="77777777" w:rsidR="008763EE" w:rsidRPr="00756793" w:rsidRDefault="008763EE" w:rsidP="00835DBE">
      <w:pPr>
        <w:tabs>
          <w:tab w:val="left" w:pos="284"/>
          <w:tab w:val="left" w:pos="993"/>
        </w:tabs>
        <w:autoSpaceDE w:val="0"/>
        <w:autoSpaceDN w:val="0"/>
        <w:adjustRightInd w:val="0"/>
        <w:rPr>
          <w:rFonts w:cs="Sylfaen"/>
          <w:b w:val="0"/>
          <w:szCs w:val="22"/>
          <w:lang w:val="hy-AM"/>
        </w:rPr>
      </w:pPr>
      <w:bookmarkStart w:id="20" w:name="_Toc57655418"/>
      <w:bookmarkStart w:id="21" w:name="_Toc83567436"/>
      <w:r w:rsidRPr="00756793">
        <w:rPr>
          <w:rFonts w:cs="Sylfaen"/>
          <w:b w:val="0"/>
          <w:szCs w:val="22"/>
          <w:lang w:val="hy-AM"/>
        </w:rPr>
        <w:t>Կմեկնարկեն «Հայկական ատոմային էլեկտրակայան» փակ բաժնետիրական ընկերության N-2 էներգաբլոկի շահագործման ժամկետը երկարացնելու (ՇԺԵ-2) ծրագրով նախատեսված աշխատանքները, ատոմային էլեկտրակայանի երկրորդ էներգաբլոկի շահագործման ժամկետը ևս 10 տարով՝ մինչև 2036թ, երկարաձգելու նպատակով» բառերի փոխարեն անհրաժեշտ է նշել «Կշարունակվեն Հայկական ԱԷԿ-ի երկրորդ էներգաբլոկի շահագործման նախագծային ժամկետի երկարաձգման արդիականացման աշխատանքները` ապահովելու Հայկական ԱԷԿ-ի աշխատանքը մինչև 2026 թվականը, և կմեկնարկեն «Հայկական ատոմային էլեկտրակայան» փակ բաժնետիրական ընկերության N 2 էներգաբլոկի շահագործման ժամկետը երկարացնելու (ՇԺԵ-2) ծրագրով նախատեսված աշխատանքները, ատոմային էլեկտրակայանի երկրորդ էներգաբլոկի շահագործման ժամկետը ևս 10 տարով՝ մինչև 2036թ</w:t>
      </w:r>
      <w:r w:rsidRPr="00756793">
        <w:rPr>
          <w:rFonts w:ascii="Cambria Math" w:hAnsi="Cambria Math" w:cs="Cambria Math"/>
          <w:b w:val="0"/>
          <w:szCs w:val="22"/>
          <w:lang w:val="hy-AM"/>
        </w:rPr>
        <w:t>․</w:t>
      </w:r>
      <w:r w:rsidRPr="00756793">
        <w:rPr>
          <w:rFonts w:cs="Sylfaen"/>
          <w:b w:val="0"/>
          <w:szCs w:val="22"/>
          <w:lang w:val="hy-AM"/>
        </w:rPr>
        <w:t>, երկարաձգելու նպատակով»</w:t>
      </w:r>
      <w:r w:rsidRPr="00655C09">
        <w:rPr>
          <w:rFonts w:cs="Sylfaen"/>
          <w:b w:val="0"/>
          <w:szCs w:val="22"/>
          <w:lang w:val="hy-AM"/>
        </w:rPr>
        <w:t>:</w:t>
      </w:r>
      <w:r w:rsidRPr="00756793">
        <w:rPr>
          <w:rFonts w:cs="Sylfaen"/>
          <w:b w:val="0"/>
          <w:szCs w:val="22"/>
          <w:lang w:val="hy-AM"/>
        </w:rPr>
        <w:t xml:space="preserve"> </w:t>
      </w:r>
    </w:p>
    <w:p w14:paraId="2A9FDC9F" w14:textId="77777777" w:rsidR="005F226A" w:rsidRPr="00922161" w:rsidRDefault="005F226A" w:rsidP="00835DBE">
      <w:pPr>
        <w:keepNext/>
        <w:tabs>
          <w:tab w:val="left" w:pos="360"/>
        </w:tabs>
        <w:rPr>
          <w:rFonts w:eastAsiaTheme="majorEastAsia" w:cstheme="majorBidi"/>
          <w:bCs/>
          <w:color w:val="1F497D" w:themeColor="text2"/>
          <w:sz w:val="24"/>
          <w:lang w:val="hy-AM" w:eastAsia="en-US"/>
        </w:rPr>
      </w:pPr>
      <w:r w:rsidRPr="00922161">
        <w:rPr>
          <w:rFonts w:eastAsiaTheme="majorEastAsia" w:cstheme="majorBidi"/>
          <w:bCs/>
          <w:color w:val="1F497D" w:themeColor="text2"/>
          <w:sz w:val="24"/>
          <w:lang w:val="hy-AM" w:eastAsia="en-US"/>
        </w:rPr>
        <w:t>Ջրային տնտեսություն</w:t>
      </w:r>
      <w:bookmarkEnd w:id="20"/>
      <w:bookmarkEnd w:id="21"/>
    </w:p>
    <w:p w14:paraId="51DF85BE" w14:textId="77777777" w:rsidR="008D4201" w:rsidRPr="00C0193D" w:rsidRDefault="008D4201" w:rsidP="00835DBE">
      <w:pPr>
        <w:tabs>
          <w:tab w:val="left" w:pos="0"/>
          <w:tab w:val="left" w:pos="284"/>
        </w:tabs>
        <w:autoSpaceDE w:val="0"/>
        <w:autoSpaceDN w:val="0"/>
        <w:adjustRightInd w:val="0"/>
        <w:rPr>
          <w:rFonts w:eastAsiaTheme="minorEastAsia" w:cs="GHEA Grapalat"/>
          <w:b w:val="0"/>
          <w:szCs w:val="22"/>
          <w:lang w:val="hy-AM" w:eastAsia="en-US"/>
        </w:rPr>
      </w:pPr>
      <w:r w:rsidRPr="00C0193D">
        <w:rPr>
          <w:rFonts w:eastAsiaTheme="minorEastAsia" w:cs="GHEA Grapalat"/>
          <w:b w:val="0"/>
          <w:szCs w:val="22"/>
          <w:lang w:val="hy-AM" w:eastAsia="en-US"/>
        </w:rPr>
        <w:t>Ջրային տնտեսության ոլորտում էապես կարևորվում է բարեփոխումների շարունակման գործընթացի ապահովումը, նոր գաղափարների իրացումն ու ոլորտի զարգացման քաղաքականությունից բխող հիմնախնդիրների լուծումը՝ մասնավորապես, ջրամատակարարման որակի բարձրացումը, յուրաքանչյուր սոցիալական խմբի և շահառուի համար ծառայությունների հասանելության ապահովումը, ոռոգվող հողատարածքների ընդլայնումը:</w:t>
      </w:r>
    </w:p>
    <w:p w14:paraId="071ABCE4" w14:textId="77777777" w:rsidR="008D4201" w:rsidRPr="00C0193D" w:rsidRDefault="008D4201" w:rsidP="00835DBE">
      <w:pPr>
        <w:tabs>
          <w:tab w:val="left" w:pos="0"/>
          <w:tab w:val="left" w:pos="284"/>
        </w:tabs>
        <w:autoSpaceDE w:val="0"/>
        <w:autoSpaceDN w:val="0"/>
        <w:adjustRightInd w:val="0"/>
        <w:rPr>
          <w:rFonts w:eastAsiaTheme="minorEastAsia" w:cs="GHEA Grapalat"/>
          <w:b w:val="0"/>
          <w:szCs w:val="22"/>
          <w:lang w:val="hy-AM" w:eastAsia="en-US"/>
        </w:rPr>
      </w:pPr>
      <w:r w:rsidRPr="00C0193D">
        <w:rPr>
          <w:rFonts w:eastAsiaTheme="minorEastAsia" w:cs="GHEA Grapalat"/>
          <w:b w:val="0"/>
          <w:szCs w:val="22"/>
          <w:lang w:val="hy-AM" w:eastAsia="en-US"/>
        </w:rPr>
        <w:lastRenderedPageBreak/>
        <w:t>ՀՀ 2024 թվականի պետական բյուջեում նախատեսվում է ապահովել խմելու և ոռոգման ջրի համակարգերի բարեփոխումների երկարաժամկետ ծրագրերի իրականացումը՝ հիմնականում նպատակ դնելով բարձրացնել համակարգերի շահագործման հուսալիությունը և արդյունավետությունը: Առաջնահերթ խնդիր է համակարգերի կազմակերպությունների գործունեության արդյունավետության բարձրացումը՝ ներառելով մասնավոր կառավարման բաղադրիչը, ինչպես նաև կրճատել ջրի կորուստները և բարելավել ջրամատակարարման ու ջրահեռացման ծառայությունների որակը:</w:t>
      </w:r>
    </w:p>
    <w:p w14:paraId="27CD3BC4" w14:textId="77777777" w:rsidR="008D4201" w:rsidRPr="00C0193D" w:rsidRDefault="008D4201" w:rsidP="00835DBE">
      <w:pPr>
        <w:tabs>
          <w:tab w:val="left" w:pos="0"/>
          <w:tab w:val="left" w:pos="284"/>
        </w:tabs>
        <w:autoSpaceDE w:val="0"/>
        <w:autoSpaceDN w:val="0"/>
        <w:adjustRightInd w:val="0"/>
        <w:rPr>
          <w:rFonts w:eastAsiaTheme="minorEastAsia" w:cs="GHEA Grapalat"/>
          <w:b w:val="0"/>
          <w:szCs w:val="22"/>
          <w:lang w:val="hy-AM" w:eastAsia="en-US"/>
        </w:rPr>
      </w:pPr>
      <w:r w:rsidRPr="00C0193D">
        <w:rPr>
          <w:rFonts w:eastAsiaTheme="minorEastAsia" w:cs="GHEA Grapalat"/>
          <w:b w:val="0"/>
          <w:szCs w:val="22"/>
          <w:lang w:val="hy-AM" w:eastAsia="en-US"/>
        </w:rPr>
        <w:t>Միաժամանակ, շարունակվելու են կարևորագույն հիդրոտեխնիկական կառուցվածքների, այդ թվում` ջրամբարների պատվարների ամրապնդման ու նորոգման աշխատանքները՝ երաշխավորելով դրանց անվտանգ ու անխափան շահագործումը:</w:t>
      </w:r>
    </w:p>
    <w:p w14:paraId="077A85E1" w14:textId="77777777" w:rsidR="008D4201" w:rsidRPr="00C0193D" w:rsidRDefault="008D4201" w:rsidP="00835DBE">
      <w:pPr>
        <w:tabs>
          <w:tab w:val="left" w:pos="0"/>
          <w:tab w:val="left" w:pos="284"/>
        </w:tabs>
        <w:autoSpaceDE w:val="0"/>
        <w:autoSpaceDN w:val="0"/>
        <w:adjustRightInd w:val="0"/>
        <w:rPr>
          <w:rFonts w:eastAsiaTheme="minorEastAsia" w:cs="GHEA Grapalat"/>
          <w:b w:val="0"/>
          <w:szCs w:val="22"/>
          <w:lang w:val="hy-AM" w:eastAsia="en-US"/>
        </w:rPr>
      </w:pPr>
      <w:r w:rsidRPr="00C0193D">
        <w:rPr>
          <w:rFonts w:eastAsiaTheme="minorEastAsia" w:cs="GHEA Grapalat"/>
          <w:b w:val="0"/>
          <w:szCs w:val="22"/>
          <w:lang w:val="hy-AM" w:eastAsia="en-US"/>
        </w:rPr>
        <w:t>Հասանելի և որակյալ ծառայությունների մատուցման ապահովման նպատակով 2024 թվականին շարունակվելու է համապատասխան ներդրումների կատարումը ջրային ոլորտում: Ներդրումային քաղաքականությունը պետք է նպատակաուղղված լինի համակարգերի պահպանմանը և վերականգնմանը, առկա ենթակառուցվածքների արդիականացման և նորերի կառուցմամբ ծառայությունների մատուցման էներգատար կառուցվածքների փոփոխմանը, համակարգերում հաշվառելիության համակարգի բարելավմանը և արդիականացմանը:</w:t>
      </w:r>
    </w:p>
    <w:p w14:paraId="026EBAA5" w14:textId="77777777" w:rsidR="008D4201" w:rsidRPr="00C0193D" w:rsidRDefault="008D4201" w:rsidP="00835DBE">
      <w:pPr>
        <w:tabs>
          <w:tab w:val="left" w:pos="0"/>
          <w:tab w:val="left" w:pos="284"/>
        </w:tabs>
        <w:autoSpaceDE w:val="0"/>
        <w:autoSpaceDN w:val="0"/>
        <w:adjustRightInd w:val="0"/>
        <w:rPr>
          <w:rFonts w:eastAsiaTheme="minorEastAsia" w:cs="GHEA Grapalat"/>
          <w:b w:val="0"/>
          <w:szCs w:val="22"/>
          <w:lang w:val="hy-AM" w:eastAsia="en-US"/>
        </w:rPr>
      </w:pPr>
      <w:r w:rsidRPr="00C0193D">
        <w:rPr>
          <w:rFonts w:eastAsiaTheme="minorEastAsia" w:cs="GHEA Grapalat"/>
          <w:b w:val="0"/>
          <w:szCs w:val="22"/>
          <w:lang w:val="hy-AM" w:eastAsia="en-US"/>
        </w:rPr>
        <w:t>ՀՀ ջրային տնտեսության ոլորտում նախատեսվում է իրականացնել հետևյալ հիմնական աշխատանքները՝</w:t>
      </w:r>
    </w:p>
    <w:p w14:paraId="6CFAFE5E" w14:textId="77777777" w:rsidR="008D4201" w:rsidRPr="00C0193D" w:rsidRDefault="008D4201" w:rsidP="00835DBE">
      <w:pPr>
        <w:pStyle w:val="ListParagraph"/>
        <w:numPr>
          <w:ilvl w:val="0"/>
          <w:numId w:val="52"/>
        </w:numPr>
        <w:tabs>
          <w:tab w:val="left" w:pos="0"/>
          <w:tab w:val="left" w:pos="567"/>
        </w:tabs>
        <w:autoSpaceDE w:val="0"/>
        <w:autoSpaceDN w:val="0"/>
        <w:adjustRightInd w:val="0"/>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ջրային պաշարների մակերևութային հոսքի կառավարման նպատակով իրականացվելու է ջրամբարների նախագծման աշխատանքները և մեկնարկելու է ջրամբարների կառուցման գործընթացը,</w:t>
      </w:r>
    </w:p>
    <w:p w14:paraId="73FD3F5A" w14:textId="77777777" w:rsidR="008D4201" w:rsidRPr="00C0193D" w:rsidRDefault="008D4201" w:rsidP="00835DBE">
      <w:pPr>
        <w:pStyle w:val="ListParagraph"/>
        <w:numPr>
          <w:ilvl w:val="0"/>
          <w:numId w:val="52"/>
        </w:numPr>
        <w:tabs>
          <w:tab w:val="left" w:pos="0"/>
          <w:tab w:val="left" w:pos="567"/>
        </w:tabs>
        <w:autoSpaceDE w:val="0"/>
        <w:autoSpaceDN w:val="0"/>
        <w:adjustRightInd w:val="0"/>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«Արփա-Սևան» թունելի վթարային առանձին հատվածների հիմնանորոգման աշխատանքներ, որոնց շնորհիվ ապահովվելու է թունելի հուսալի և անխափան շահագործումը,</w:t>
      </w:r>
    </w:p>
    <w:p w14:paraId="5574637E" w14:textId="77777777" w:rsidR="008D4201" w:rsidRPr="00C0193D" w:rsidRDefault="008D4201" w:rsidP="00835DBE">
      <w:pPr>
        <w:pStyle w:val="ListParagraph"/>
        <w:numPr>
          <w:ilvl w:val="0"/>
          <w:numId w:val="52"/>
        </w:numPr>
        <w:tabs>
          <w:tab w:val="left" w:pos="0"/>
          <w:tab w:val="left" w:pos="567"/>
        </w:tabs>
        <w:autoSpaceDE w:val="0"/>
        <w:autoSpaceDN w:val="0"/>
        <w:adjustRightInd w:val="0"/>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ցերեկային ժամերին առաջացած պոտենցիալ ջրերը, ինչպես նաև գիշերային ժամերին չօգտագործելու հետևանքով առաջացած ջրի ծավալները կուտակելու նպատակով մեկնարկելու է օրվա կարգավորման ջրավազանների կառուցման և վերակառուցման գործընթացը,</w:t>
      </w:r>
    </w:p>
    <w:p w14:paraId="6D19C617" w14:textId="77777777" w:rsidR="008D4201" w:rsidRPr="00C0193D" w:rsidRDefault="008D4201" w:rsidP="00835DBE">
      <w:pPr>
        <w:pStyle w:val="ListParagraph"/>
        <w:numPr>
          <w:ilvl w:val="0"/>
          <w:numId w:val="52"/>
        </w:numPr>
        <w:tabs>
          <w:tab w:val="left" w:pos="0"/>
          <w:tab w:val="left" w:pos="567"/>
        </w:tabs>
        <w:autoSpaceDE w:val="0"/>
        <w:autoSpaceDN w:val="0"/>
        <w:adjustRightInd w:val="0"/>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իրականացվելու է գետերի ափերի ամրացման համար նախագծման և շինարարական աշխատանքներ,</w:t>
      </w:r>
    </w:p>
    <w:p w14:paraId="10D16116" w14:textId="77777777" w:rsidR="008D4201" w:rsidRPr="00C0193D" w:rsidRDefault="008D4201" w:rsidP="00835DBE">
      <w:pPr>
        <w:pStyle w:val="ListParagraph"/>
        <w:numPr>
          <w:ilvl w:val="0"/>
          <w:numId w:val="52"/>
        </w:numPr>
        <w:tabs>
          <w:tab w:val="left" w:pos="0"/>
          <w:tab w:val="left" w:pos="567"/>
        </w:tabs>
        <w:autoSpaceDE w:val="0"/>
        <w:autoSpaceDN w:val="0"/>
        <w:adjustRightInd w:val="0"/>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շարունակվելու են խոնավ (գերխոնավ) գյուղատնտեսական հողատարածքների մելիորատիվ վիճակի բարելավման և կոլեկտորադրենաժային ցանցի պահպանման և շահագործման աշխատանքները,</w:t>
      </w:r>
    </w:p>
    <w:p w14:paraId="4B863EDE" w14:textId="77777777" w:rsidR="008D4201" w:rsidRPr="00C0193D" w:rsidRDefault="008D4201" w:rsidP="00835DBE">
      <w:pPr>
        <w:pStyle w:val="ListParagraph"/>
        <w:numPr>
          <w:ilvl w:val="0"/>
          <w:numId w:val="52"/>
        </w:numPr>
        <w:tabs>
          <w:tab w:val="left" w:pos="0"/>
          <w:tab w:val="left" w:pos="567"/>
        </w:tabs>
        <w:autoSpaceDE w:val="0"/>
        <w:autoSpaceDN w:val="0"/>
        <w:adjustRightInd w:val="0"/>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շարունակվելու են ջրի և էլեկտրաէներգիայի խնայողության խրախուսման, ջրամատակարարման տևողության ավելացման և ջրի որակի բարելավման, ինչպես նաև հաշվառման համակարգի շարունակական կատարելագործման աշխատանքները:</w:t>
      </w:r>
    </w:p>
    <w:p w14:paraId="78269520" w14:textId="77777777" w:rsidR="005F226A" w:rsidRPr="00922161" w:rsidRDefault="005F226A" w:rsidP="00835DBE">
      <w:pPr>
        <w:keepNext/>
        <w:tabs>
          <w:tab w:val="left" w:pos="360"/>
        </w:tabs>
        <w:rPr>
          <w:rFonts w:eastAsiaTheme="majorEastAsia" w:cstheme="majorBidi"/>
          <w:bCs/>
          <w:color w:val="1F497D" w:themeColor="text2"/>
          <w:sz w:val="24"/>
          <w:lang w:val="hy-AM" w:eastAsia="en-US"/>
        </w:rPr>
      </w:pPr>
      <w:bookmarkStart w:id="22" w:name="_Toc26174890"/>
      <w:bookmarkStart w:id="23" w:name="_Toc57655420"/>
      <w:bookmarkStart w:id="24" w:name="_Toc83567437"/>
      <w:r w:rsidRPr="00922161">
        <w:rPr>
          <w:rFonts w:eastAsiaTheme="majorEastAsia" w:cstheme="majorBidi"/>
          <w:bCs/>
          <w:color w:val="1F497D" w:themeColor="text2"/>
          <w:sz w:val="24"/>
          <w:lang w:val="hy-AM" w:eastAsia="en-US"/>
        </w:rPr>
        <w:lastRenderedPageBreak/>
        <w:t>Քաղաքացիական ավիացիա</w:t>
      </w:r>
      <w:bookmarkEnd w:id="22"/>
      <w:bookmarkEnd w:id="23"/>
      <w:bookmarkEnd w:id="24"/>
      <w:r w:rsidRPr="00922161">
        <w:rPr>
          <w:rFonts w:eastAsiaTheme="majorEastAsia" w:cstheme="majorBidi"/>
          <w:bCs/>
          <w:color w:val="1F497D" w:themeColor="text2"/>
          <w:sz w:val="24"/>
          <w:lang w:val="hy-AM" w:eastAsia="en-US"/>
        </w:rPr>
        <w:t xml:space="preserve"> </w:t>
      </w:r>
    </w:p>
    <w:p w14:paraId="7B33DB97" w14:textId="77777777" w:rsidR="008D4201" w:rsidRPr="00C0193D" w:rsidRDefault="008D4201" w:rsidP="00835DBE">
      <w:pPr>
        <w:tabs>
          <w:tab w:val="left" w:pos="0"/>
          <w:tab w:val="left" w:pos="284"/>
        </w:tabs>
        <w:autoSpaceDE w:val="0"/>
        <w:autoSpaceDN w:val="0"/>
        <w:adjustRightInd w:val="0"/>
        <w:rPr>
          <w:rFonts w:eastAsiaTheme="minorEastAsia" w:cs="GHEA Grapalat"/>
          <w:b w:val="0"/>
          <w:szCs w:val="22"/>
          <w:lang w:val="hy-AM" w:eastAsia="en-US"/>
        </w:rPr>
      </w:pPr>
      <w:r w:rsidRPr="00C0193D">
        <w:rPr>
          <w:rFonts w:eastAsiaTheme="minorEastAsia" w:cs="GHEA Grapalat"/>
          <w:b w:val="0"/>
          <w:szCs w:val="22"/>
          <w:lang w:val="hy-AM" w:eastAsia="en-US"/>
        </w:rPr>
        <w:t xml:space="preserve">Քաղաքացիական ավիացիայի ոլորտի կառավարման արդյունավետության բարձրացման նպատակով կշարունակվի թռիչքային և ավիացիոն անվտանգության մակարդակների համապատասխանեցումը եվրոպական և միջազգային ստանդարտներին: </w:t>
      </w:r>
    </w:p>
    <w:p w14:paraId="0F7C3083" w14:textId="77777777" w:rsidR="005F226A" w:rsidRPr="00922161" w:rsidRDefault="005F226A" w:rsidP="00835DBE">
      <w:pPr>
        <w:keepNext/>
        <w:tabs>
          <w:tab w:val="left" w:pos="360"/>
        </w:tabs>
        <w:rPr>
          <w:rFonts w:eastAsiaTheme="majorEastAsia" w:cstheme="majorBidi"/>
          <w:bCs/>
          <w:color w:val="1F497D" w:themeColor="text2"/>
          <w:sz w:val="24"/>
          <w:lang w:val="hy-AM" w:eastAsia="en-US"/>
        </w:rPr>
      </w:pPr>
      <w:bookmarkStart w:id="25" w:name="_Toc82989526"/>
      <w:bookmarkStart w:id="26" w:name="_Toc83567438"/>
      <w:r w:rsidRPr="00922161">
        <w:rPr>
          <w:rFonts w:eastAsiaTheme="majorEastAsia" w:cstheme="majorBidi"/>
          <w:bCs/>
          <w:color w:val="1F497D" w:themeColor="text2"/>
          <w:sz w:val="24"/>
          <w:lang w:val="hy-AM" w:eastAsia="en-US"/>
        </w:rPr>
        <w:t>Պետական գույքի կառավարման ոլորտ</w:t>
      </w:r>
      <w:bookmarkEnd w:id="25"/>
      <w:bookmarkEnd w:id="26"/>
    </w:p>
    <w:p w14:paraId="2A5DC06C" w14:textId="77777777" w:rsidR="00E95E34" w:rsidRPr="00C0193D" w:rsidRDefault="00E95E34" w:rsidP="00835DBE">
      <w:pPr>
        <w:tabs>
          <w:tab w:val="left" w:pos="851"/>
        </w:tabs>
        <w:rPr>
          <w:rFonts w:eastAsia="Calibri"/>
          <w:b w:val="0"/>
          <w:szCs w:val="22"/>
          <w:lang w:val="hy-AM" w:eastAsia="en-US"/>
        </w:rPr>
      </w:pPr>
      <w:r w:rsidRPr="00C0193D">
        <w:rPr>
          <w:rFonts w:eastAsia="Calibri"/>
          <w:b w:val="0"/>
          <w:szCs w:val="22"/>
          <w:lang w:val="hy-AM" w:eastAsia="en-US"/>
        </w:rPr>
        <w:t xml:space="preserve">Պետական գույքի կառավարման արդյունավետության բարձրացման շնորհիվ կբարձրացվեն պետական գույքի մասնավորեցումից, օտարումից և օգտագործումից եկամուտները, ինչպես </w:t>
      </w:r>
      <w:r w:rsidR="00451062" w:rsidRPr="00C0193D">
        <w:rPr>
          <w:rFonts w:eastAsia="Calibri"/>
          <w:b w:val="0"/>
          <w:szCs w:val="22"/>
          <w:lang w:val="hy-AM" w:eastAsia="en-US"/>
        </w:rPr>
        <w:t>նաև</w:t>
      </w:r>
      <w:r w:rsidRPr="00C0193D">
        <w:rPr>
          <w:rFonts w:eastAsia="Calibri"/>
          <w:b w:val="0"/>
          <w:szCs w:val="22"/>
          <w:lang w:val="hy-AM" w:eastAsia="en-US"/>
        </w:rPr>
        <w:t xml:space="preserve"> տնտեսական շրջանառության մեջ ներկայումս պետական սեփականություն հանդիսացող գույքի ներգրավվածությունը։</w:t>
      </w:r>
    </w:p>
    <w:p w14:paraId="69ABB6DD" w14:textId="77777777" w:rsidR="00E95E34" w:rsidRPr="00C0193D" w:rsidRDefault="00E95E34" w:rsidP="00835DBE">
      <w:pPr>
        <w:tabs>
          <w:tab w:val="left" w:pos="851"/>
        </w:tabs>
        <w:rPr>
          <w:rFonts w:eastAsia="Calibri"/>
          <w:b w:val="0"/>
          <w:szCs w:val="22"/>
          <w:lang w:val="hy-AM" w:eastAsia="en-US"/>
        </w:rPr>
      </w:pPr>
      <w:r w:rsidRPr="00C0193D">
        <w:rPr>
          <w:rFonts w:eastAsia="Calibri"/>
          <w:b w:val="0"/>
          <w:szCs w:val="22"/>
          <w:lang w:val="hy-AM" w:eastAsia="en-US"/>
        </w:rPr>
        <w:t>Պետական համակարգի մարմինների և պետական կազմակերպությունների կողմից վարձակալված՝ ոչ պետական սեփականություն համարվող տարածքները կփոխարինվեն պետության սեփականությունը համարվող համապատասխան տարածքներով։</w:t>
      </w:r>
    </w:p>
    <w:p w14:paraId="7B932EFF" w14:textId="77777777" w:rsidR="005F226A" w:rsidRPr="00D24128" w:rsidRDefault="005F226A" w:rsidP="00835DBE">
      <w:pPr>
        <w:pStyle w:val="Heading1"/>
      </w:pPr>
      <w:bookmarkStart w:id="27" w:name="_Toc26174892"/>
      <w:bookmarkStart w:id="28" w:name="_Toc83567440"/>
      <w:bookmarkStart w:id="29" w:name="_Toc153184445"/>
      <w:r w:rsidRPr="00D24128">
        <w:t>Բարձր տեխնոլոգիական արդյունաբերություն</w:t>
      </w:r>
      <w:bookmarkEnd w:id="27"/>
      <w:bookmarkEnd w:id="28"/>
      <w:bookmarkEnd w:id="29"/>
    </w:p>
    <w:p w14:paraId="587EF05C" w14:textId="77777777" w:rsidR="00604FC5" w:rsidRPr="00C0193D" w:rsidRDefault="00604FC5" w:rsidP="00835DBE">
      <w:pPr>
        <w:pStyle w:val="NormalWeb"/>
        <w:spacing w:before="120" w:beforeAutospacing="0" w:after="0" w:afterAutospacing="0"/>
        <w:rPr>
          <w:rFonts w:eastAsiaTheme="minorEastAsia" w:cs="GHEA Grapalat"/>
          <w:b w:val="0"/>
          <w:szCs w:val="22"/>
          <w:lang w:val="hy-AM" w:eastAsia="en-US"/>
        </w:rPr>
      </w:pPr>
      <w:r w:rsidRPr="00C0193D">
        <w:rPr>
          <w:rFonts w:eastAsiaTheme="minorEastAsia" w:cs="GHEA Grapalat"/>
          <w:b w:val="0"/>
          <w:szCs w:val="22"/>
          <w:lang w:val="hy-AM" w:eastAsia="en-US"/>
        </w:rPr>
        <w:t>Կառավարությունը նպատակադրվել է Հայաստանը դարձնել բարձր տեխնոլոգիական, արդյունաբերական երկիր։</w:t>
      </w:r>
    </w:p>
    <w:p w14:paraId="18D7DFDA" w14:textId="77777777" w:rsidR="00604FC5" w:rsidRPr="00C0193D" w:rsidRDefault="00604FC5" w:rsidP="00835DBE">
      <w:pPr>
        <w:pStyle w:val="NormalWeb"/>
        <w:spacing w:before="120" w:beforeAutospacing="0" w:after="0" w:afterAutospacing="0"/>
        <w:rPr>
          <w:rFonts w:eastAsiaTheme="minorEastAsia" w:cs="GHEA Grapalat"/>
          <w:b w:val="0"/>
          <w:szCs w:val="22"/>
          <w:lang w:val="hy-AM" w:eastAsia="en-US"/>
        </w:rPr>
      </w:pPr>
      <w:r w:rsidRPr="00C0193D">
        <w:rPr>
          <w:rFonts w:eastAsiaTheme="minorEastAsia" w:cs="GHEA Grapalat"/>
          <w:b w:val="0"/>
          <w:szCs w:val="22"/>
          <w:lang w:val="hy-AM" w:eastAsia="en-US"/>
        </w:rPr>
        <w:t xml:space="preserve">Կառավարությունը ռազմարդյունաբերական համալիրի զարգացումը սահմանում է որպես զինված ուժերի մարտունակության ապահովման և բարձրացման, տնտեսական աճի, գիտական և տեխնոլոգիական առաջընթացի առանցքային գործոններից մեկը:  </w:t>
      </w:r>
    </w:p>
    <w:p w14:paraId="2CB36D49" w14:textId="77777777" w:rsidR="00604FC5" w:rsidRPr="00C0193D" w:rsidRDefault="00604FC5" w:rsidP="00835DBE">
      <w:pPr>
        <w:pStyle w:val="NormalWeb"/>
        <w:spacing w:before="120" w:beforeAutospacing="0" w:after="0" w:afterAutospacing="0"/>
        <w:rPr>
          <w:rFonts w:eastAsiaTheme="minorEastAsia" w:cs="GHEA Grapalat"/>
          <w:b w:val="0"/>
          <w:szCs w:val="22"/>
          <w:lang w:val="hy-AM" w:eastAsia="en-US"/>
        </w:rPr>
      </w:pPr>
      <w:r w:rsidRPr="00C0193D">
        <w:rPr>
          <w:rFonts w:eastAsiaTheme="minorEastAsia" w:cs="GHEA Grapalat"/>
          <w:b w:val="0"/>
          <w:szCs w:val="22"/>
          <w:lang w:val="hy-AM" w:eastAsia="en-US"/>
        </w:rPr>
        <w:t>Բարձր տեխնոլոգիաների և ռազմարդյունաբերության զարգացման համար անհրաժեշտ միջոցառումների շրջանակներում 2024թ. նախատեսվում է.</w:t>
      </w:r>
    </w:p>
    <w:p w14:paraId="7A74611C"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 xml:space="preserve">Նպաստել ԲՈՒՀ-մասնավոր հատված համագործակցությանը՝ աջակցելով ՀՀ-ում բարձր տեխնոլոգիական և տեղեկատվական հանրության կայացմանը, ինչպես նաև Հայաստանի որպես գիտելիքահեն տնտեսություն, առաջատար դիրքի ձևավորմանը: </w:t>
      </w:r>
    </w:p>
    <w:p w14:paraId="5DBE55F9"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Ապակենտրոնացնել բարձր տեխնոլոգիաների ոլորտում վերապատրաստված մասնագետների խտացումը մայրաքաղաքում` նպաստելով Երևանի ու մարզերի միջև առկա սոցիալ-տնտեսական անհամամասնությունների կրճատմանը: Կադրերի վերապատրաստման համապատասխան ծրագրի իրականացման հիման վրա՝ ընձեռել հնարավորություն վերապատրաստված մասնագետներին տեխնոլոգիական ոլորտում  անցնել պրակտիկա:</w:t>
      </w:r>
    </w:p>
    <w:p w14:paraId="69F51363"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Զարգացնել բարձր տեխնոլոգիական ոլորտի համար անհրաժեշտ էկոհամակարգը ներառյալ թիրախավորված գիտահետազոտական աշխատանքների, ստեղծագործական խմբերի, նորաստեղծ ընկերությունների ֆինանսավորումը, ինչպես նաև միջազգային հայտնի աքսելերացիոն ծրագրերին մասնակցելու համար տրամադրվող աջակցության ապահովումը:</w:t>
      </w:r>
    </w:p>
    <w:p w14:paraId="79F5A650"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 xml:space="preserve">Հայկական Սփյուռքի ներգրավվածությունն ապահովելու նպատակով նախատեսվում է տարբեր ֆորմատներում շարունակական համագործակցության հարթակ ստեղծել </w:t>
      </w:r>
      <w:r w:rsidRPr="00C0193D">
        <w:rPr>
          <w:rFonts w:eastAsiaTheme="minorEastAsia" w:cs="GHEA Grapalat"/>
          <w:b w:val="0"/>
          <w:szCs w:val="22"/>
          <w:lang w:val="hy-AM" w:eastAsia="en-US"/>
        </w:rPr>
        <w:lastRenderedPageBreak/>
        <w:t>հայկական ընկերությունների, կազմակերպությունների և անհատների հետ, որի շնորհիվ հնարավորություն կստեղծվի օգտագործել Սփյուռքի ոչ միայն ֆինանսական այլ նաև ինտելեկտուալ և շուկայական կապերի ռեսուրսը:</w:t>
      </w:r>
    </w:p>
    <w:p w14:paraId="5FFA33BC"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Կառավարման համակարգի արդյունավետության բարձրացման, գործարար միջավայրի բարելավման, քաղաքացիների կյանքի որակի բարձրացման և պետական  մարմինների հետ առնչվելու դյուրացման, ինչպես նաև միջազգային տնտեսական գործընթացներին արդյունավետ մասնակցելու նպատակով, նախատեսվում է զանգվածաբար կիրառել և զարգացնել թվային տեխնոլոգիաներ։ Զուգահեռաբար բարձրացնելով կիբեռանվտանգության և ինտերնետ հասանելիության մակարդակը Հայաստանում։</w:t>
      </w:r>
    </w:p>
    <w:p w14:paraId="1C9FAA10"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Աջակցել միջազգային շուկաներում հայկական բարձր տեխնոլոգիական ընկերությունների, նրանց ստեղծած արտադրանքի և ծառայությունների պատշաճ ներկայացմանը և միջազգային G2G (կառավարություն-կառավարության) և B2B (բիզնես-բիզնես) համագործակցության պլատֆորմների զարգացմանը:</w:t>
      </w:r>
    </w:p>
    <w:p w14:paraId="344BD778" w14:textId="17FFF4EA"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 xml:space="preserve">Ձեռնարկել միջոցներ բարձր լուծաչափի տիեզերալուսանկարներ ձեռքբերելու մշակելու ուղղությամբ, այդ նպատակով նպաստավոր պայմաններ ստեղծելով երկրային ընդունիչ կայանի ստեղծման աշխատանքների ավարտի ուղղությամբ: </w:t>
      </w:r>
    </w:p>
    <w:p w14:paraId="5C95DE26"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Ռազմարդյունաբերության զարգացման ուղղությամբ պլանավորվում է ավելացնել  նոր տեխնոլոգիական ուղղություններով գիտահետազոտական աշխատանքների ֆինանսավորումը, ինչպես նաև ապահովել արտադրական կարողությունների զարգացումը, զորային և պետական փորձարկումների համար նախատեսված ռազմարդյունաբերական փորձանմուշների համար անհրաժեշտ հումքի, նյութերի, բաղկացուցիչների արտադրության կազմակերպումը։</w:t>
      </w:r>
    </w:p>
    <w:p w14:paraId="7C78438C"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2024 թվականին կշարունակվեն  ՀՀ տարածքում  բազային  և շարժական ռադիոմոնիթորինգի համակարգի ներդրման աշխատանքները, որի արդյունքում հաճախականային սպեկտրի հսկումը կլինի շատ ավելի արդյունավետ՝ հանգեցնելով  հաճախականությունների շահագործման համար պետական բյուջե փոխանցվող գումարների աճին: Համակարգի ներդրումից հետո կբացառվեն ՀՀ օրենսդրությամբ նախատեuված պահանջներին չհամապատաuխանող հեռարձակումները` զերծ պահելով եթերը վնասակար խանգարումներից:</w:t>
      </w:r>
    </w:p>
    <w:p w14:paraId="2CC459B5"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Թվային փոխակերպման գործընթացի շրջանակներում նախատեսվում է հանրային իշխանության մարմիններում թվայնացման համակարգերի ներդրում, կայքերի և սարքավորումների արդիականացում</w:t>
      </w:r>
    </w:p>
    <w:p w14:paraId="03B2345F" w14:textId="77777777" w:rsidR="00604FC5" w:rsidRPr="00C0193D" w:rsidRDefault="00604FC5" w:rsidP="00835DBE">
      <w:pPr>
        <w:pStyle w:val="ListParagraph"/>
        <w:numPr>
          <w:ilvl w:val="0"/>
          <w:numId w:val="41"/>
        </w:numPr>
        <w:tabs>
          <w:tab w:val="left" w:pos="567"/>
        </w:tabs>
        <w:ind w:left="0" w:firstLine="0"/>
        <w:rPr>
          <w:rFonts w:eastAsiaTheme="minorEastAsia" w:cs="GHEA Grapalat"/>
          <w:b w:val="0"/>
          <w:szCs w:val="22"/>
          <w:lang w:val="hy-AM" w:eastAsia="en-US"/>
        </w:rPr>
      </w:pPr>
      <w:r w:rsidRPr="00C0193D">
        <w:rPr>
          <w:rFonts w:eastAsiaTheme="minorEastAsia" w:cs="GHEA Grapalat"/>
          <w:b w:val="0"/>
          <w:szCs w:val="22"/>
          <w:lang w:val="hy-AM" w:eastAsia="en-US"/>
        </w:rPr>
        <w:t xml:space="preserve">Փոստային կապի շուկայական արդյունավետությունը և կենսունակությունը բարձրացնելու նպատակով նախատեսվում է ապահովել փոստային կապի ունիվերսալ ծառայությունների հասանելիությունը, մատչելիությունը և մատուցման բարձր որակը, փոստային ծառայությունների շուկայի ներդրումային դաշտի գրավչության բարձրացումը, </w:t>
      </w:r>
      <w:r w:rsidRPr="00C0193D">
        <w:rPr>
          <w:rFonts w:eastAsiaTheme="minorEastAsia" w:cs="GHEA Grapalat"/>
          <w:b w:val="0"/>
          <w:szCs w:val="22"/>
          <w:lang w:val="hy-AM" w:eastAsia="en-US"/>
        </w:rPr>
        <w:lastRenderedPageBreak/>
        <w:t xml:space="preserve">փոստային բաժանմունքներում ծառայությունների լայն շրջանակի մատուցումը, էլեկտրոնային առևտրի զարգացումը: </w:t>
      </w:r>
    </w:p>
    <w:p w14:paraId="37FDB47C" w14:textId="77777777" w:rsidR="005F226A" w:rsidRPr="00D24128" w:rsidRDefault="005F226A" w:rsidP="00835DBE">
      <w:pPr>
        <w:pStyle w:val="Heading1"/>
      </w:pPr>
      <w:bookmarkStart w:id="30" w:name="_Toc26174893"/>
      <w:bookmarkStart w:id="31" w:name="_Toc83567441"/>
      <w:bookmarkStart w:id="32" w:name="_Toc153184446"/>
      <w:r w:rsidRPr="00D24128">
        <w:t>Քաղաքաշինություն</w:t>
      </w:r>
      <w:bookmarkEnd w:id="30"/>
      <w:bookmarkEnd w:id="31"/>
      <w:bookmarkEnd w:id="32"/>
    </w:p>
    <w:p w14:paraId="1B01DD9A" w14:textId="77777777" w:rsidR="0078381A" w:rsidRPr="00C0193D" w:rsidRDefault="0078381A" w:rsidP="00835DBE">
      <w:pPr>
        <w:autoSpaceDE w:val="0"/>
        <w:autoSpaceDN w:val="0"/>
        <w:adjustRightInd w:val="0"/>
        <w:rPr>
          <w:b w:val="0"/>
          <w:szCs w:val="22"/>
          <w:lang w:val="pt-BR" w:eastAsia="en-US"/>
        </w:rPr>
      </w:pPr>
      <w:r w:rsidRPr="00C0193D">
        <w:rPr>
          <w:b w:val="0"/>
          <w:szCs w:val="22"/>
          <w:lang w:val="pt-BR"/>
        </w:rPr>
        <w:t xml:space="preserve">Ոլորտում իրագործվող ծախսային ծրագրերն ունեն ռազմավարական նշանակություն, որոնց իրականացման արդյունքում կապահովվեն ներկա և գալիք սերունդների կենսագործունեության բարենպաստ միջավայրի ձևավորումն ու քաղաքաշինական միջոցներով բնակչության կյանքի որակի հետևողական բարելավումը, բնակարանային խնդիրների լուծումը։ </w:t>
      </w:r>
    </w:p>
    <w:p w14:paraId="319F2DA5" w14:textId="77777777" w:rsidR="0078381A" w:rsidRPr="00C0193D" w:rsidRDefault="0078381A" w:rsidP="00835DBE">
      <w:pPr>
        <w:pStyle w:val="ListParagraph"/>
        <w:tabs>
          <w:tab w:val="left" w:pos="540"/>
          <w:tab w:val="left" w:pos="1418"/>
        </w:tabs>
        <w:ind w:left="0"/>
        <w:rPr>
          <w:b w:val="0"/>
          <w:szCs w:val="22"/>
          <w:lang w:val="hy-AM"/>
        </w:rPr>
      </w:pPr>
      <w:r w:rsidRPr="00C0193D">
        <w:rPr>
          <w:b w:val="0"/>
          <w:szCs w:val="22"/>
          <w:lang w:val="hy-AM"/>
        </w:rPr>
        <w:t>Ոլորտի քաղաքականության հիմնական թիրախներն են</w:t>
      </w:r>
      <w:r w:rsidRPr="00C0193D">
        <w:rPr>
          <w:rFonts w:cs="Calibri"/>
          <w:b w:val="0"/>
          <w:iCs/>
          <w:szCs w:val="22"/>
          <w:lang w:val="hy-AM" w:eastAsia="en-GB"/>
        </w:rPr>
        <w:t>.</w:t>
      </w:r>
    </w:p>
    <w:p w14:paraId="42A6DE78" w14:textId="77777777" w:rsidR="0078381A" w:rsidRPr="00C0193D" w:rsidRDefault="0078381A" w:rsidP="00835DBE">
      <w:pPr>
        <w:pStyle w:val="BodyText2"/>
        <w:numPr>
          <w:ilvl w:val="0"/>
          <w:numId w:val="36"/>
        </w:numPr>
        <w:spacing w:before="120" w:after="0"/>
        <w:ind w:left="0" w:firstLine="0"/>
      </w:pPr>
      <w:r w:rsidRPr="00C0193D">
        <w:t xml:space="preserve">Քաղաքաշինական նորմատիվ փաստաթղթերի միջազգային և եվրոպական նորմերին ու  ստանդարտներին համապատասխանեցում, </w:t>
      </w:r>
    </w:p>
    <w:p w14:paraId="16B17F08" w14:textId="77777777" w:rsidR="0078381A" w:rsidRPr="00C0193D" w:rsidRDefault="0078381A" w:rsidP="00835DBE">
      <w:pPr>
        <w:pStyle w:val="BodyText2"/>
        <w:numPr>
          <w:ilvl w:val="0"/>
          <w:numId w:val="36"/>
        </w:numPr>
        <w:spacing w:before="120" w:after="0"/>
        <w:ind w:left="0" w:firstLine="0"/>
      </w:pPr>
      <w:r w:rsidRPr="00C0193D">
        <w:t>Հանրապետության ողջ տարածքը համակցված տարածական պլանավորման փաստաթղթերով ապահովում,</w:t>
      </w:r>
    </w:p>
    <w:p w14:paraId="32631CCA" w14:textId="77777777" w:rsidR="0078381A" w:rsidRPr="00C0193D" w:rsidRDefault="0078381A" w:rsidP="00835DBE">
      <w:pPr>
        <w:pStyle w:val="BodyText2"/>
        <w:numPr>
          <w:ilvl w:val="0"/>
          <w:numId w:val="36"/>
        </w:numPr>
        <w:spacing w:before="120" w:after="0"/>
        <w:ind w:left="0" w:firstLine="0"/>
      </w:pPr>
      <w:r w:rsidRPr="00C0193D">
        <w:t>Քաղաքաշինության բնագավառում պետական ծրագրերի իրականացման ապահովում,</w:t>
      </w:r>
    </w:p>
    <w:p w14:paraId="1F5444C8" w14:textId="77777777" w:rsidR="0078381A" w:rsidRPr="00C0193D" w:rsidRDefault="0078381A" w:rsidP="00835DBE">
      <w:pPr>
        <w:pStyle w:val="BodyText2"/>
        <w:numPr>
          <w:ilvl w:val="0"/>
          <w:numId w:val="36"/>
        </w:numPr>
        <w:spacing w:before="120" w:after="0"/>
        <w:ind w:left="0" w:firstLine="0"/>
      </w:pPr>
      <w:r w:rsidRPr="00C0193D">
        <w:t>Շենքերի և շինությունների մատչելիություն և անձնագրավորում,</w:t>
      </w:r>
    </w:p>
    <w:p w14:paraId="7EDF667F" w14:textId="77777777" w:rsidR="007516EB" w:rsidRDefault="0078381A" w:rsidP="00835DBE">
      <w:pPr>
        <w:pStyle w:val="BodyText2"/>
        <w:numPr>
          <w:ilvl w:val="0"/>
          <w:numId w:val="36"/>
        </w:numPr>
        <w:spacing w:before="120" w:after="0"/>
        <w:ind w:left="0" w:firstLine="0"/>
      </w:pPr>
      <w:r w:rsidRPr="00C0193D">
        <w:t>Աղետի գոտու բնակավայրերի հողամասերը ոչ հիմնական շինություններից ազատում և քաղաքաշինական միջավայրի վերականգնում:</w:t>
      </w:r>
      <w:bookmarkStart w:id="33" w:name="_Toc83567444"/>
    </w:p>
    <w:p w14:paraId="5B6C1F08" w14:textId="77777777" w:rsidR="007516EB" w:rsidRPr="008C27FF" w:rsidRDefault="007516EB" w:rsidP="00835DBE">
      <w:pPr>
        <w:pStyle w:val="Heading1"/>
      </w:pPr>
      <w:bookmarkStart w:id="34" w:name="_Toc153184447"/>
      <w:r w:rsidRPr="008C27FF">
        <w:t>Արտաքին քաղաքականություն</w:t>
      </w:r>
      <w:bookmarkEnd w:id="34"/>
    </w:p>
    <w:p w14:paraId="5DEF4A59" w14:textId="77777777" w:rsidR="009E534A" w:rsidRPr="009E534A" w:rsidRDefault="009E534A" w:rsidP="00835DBE">
      <w:pPr>
        <w:tabs>
          <w:tab w:val="num" w:pos="0"/>
        </w:tabs>
        <w:rPr>
          <w:b w:val="0"/>
          <w:bCs/>
          <w:szCs w:val="22"/>
          <w:lang w:val="hy-AM"/>
        </w:rPr>
      </w:pPr>
      <w:r w:rsidRPr="009E534A">
        <w:rPr>
          <w:b w:val="0"/>
          <w:bCs/>
          <w:szCs w:val="22"/>
          <w:lang w:val="hy-AM"/>
        </w:rPr>
        <w:t>ՀՀ կառավարությունը շարունակում է հետևողականորեն իրագործել ՀՀ կառավարության 2021-2026թթ. ծրագրով ամրագրված քաղաքականությունը, որն ուղղված է ՀՀ ինքնիշխանության ու պետական շահերի պաշտպանությանը, ՀՀ շուրջ անվտանգային միջավայրի ձևավորմանը, տարածաշրջանային խաղաղության և կայունության հաստատմանը, ԼՂ բնակչության անվտանգության և իրավունքների հասցեագրմանը, գործընկերների հետ համագործակցության խթանմանը և հարաբերությունների կարգավորմանը, երկկողմ և բազմակողմ միջազգային հարթակներում գործունեության ծավալմանը, օտարերկրյա պետություններում ՀՀ քաղաքացիների և իրավաբանական անձանց շահերի պաշտպանության ապահովմանը, միջազգային և տարածաշրջանային գործընթացներին Հայաստանի ներգրավվածության ավելացմանը, միջազգային կազմակերպություններում արտաքին քաղաքական, անվտանգային, սոցիալ-տնտեսական, մշակութային և այլ ոլորտներին առնչվող ՀՀ հետաքրքրությունների առաջմղմանը:</w:t>
      </w:r>
    </w:p>
    <w:p w14:paraId="40042D5F" w14:textId="77777777" w:rsidR="009E534A" w:rsidRPr="009E534A" w:rsidRDefault="009E534A" w:rsidP="00835DBE">
      <w:pPr>
        <w:tabs>
          <w:tab w:val="num" w:pos="0"/>
        </w:tabs>
        <w:rPr>
          <w:b w:val="0"/>
          <w:bCs/>
          <w:szCs w:val="22"/>
          <w:lang w:val="hy-AM"/>
        </w:rPr>
      </w:pPr>
      <w:r w:rsidRPr="009E534A">
        <w:rPr>
          <w:b w:val="0"/>
          <w:bCs/>
          <w:szCs w:val="22"/>
          <w:lang w:val="hy-AM"/>
        </w:rPr>
        <w:t xml:space="preserve">Ադրբեջանի կողմից ուժի կիրառման միջոցով առկա խնդիրները հասցեագրելու քաղաքականությունը էապես խաթարում են մեր տարածաշրջանի խաղաղությունն ու կայունությունը, կոպտորեն խախտում մարդու իրավունքներն ու հումանիտար իրավունքը՝ գոյութենական սպառնալիք հանդիսանալով հայերի համար: </w:t>
      </w:r>
    </w:p>
    <w:p w14:paraId="7B4D64B5" w14:textId="77777777" w:rsidR="009E534A" w:rsidRPr="009E534A" w:rsidRDefault="009E534A" w:rsidP="00835DBE">
      <w:pPr>
        <w:tabs>
          <w:tab w:val="num" w:pos="0"/>
        </w:tabs>
        <w:rPr>
          <w:b w:val="0"/>
          <w:bCs/>
          <w:szCs w:val="22"/>
          <w:lang w:val="hy-AM"/>
        </w:rPr>
      </w:pPr>
      <w:r w:rsidRPr="009E534A">
        <w:rPr>
          <w:b w:val="0"/>
          <w:bCs/>
          <w:szCs w:val="22"/>
          <w:lang w:val="hy-AM"/>
        </w:rPr>
        <w:t xml:space="preserve">Ընդգծում ենք միջազգային համարժեք գնահատականի կարևորությունը թե´ ներկայիս մարդասիրական մարտահրավերների հաղթահարման, թե´ հետագա ուժի կիրառումները </w:t>
      </w:r>
      <w:r w:rsidRPr="009E534A">
        <w:rPr>
          <w:b w:val="0"/>
          <w:bCs/>
          <w:szCs w:val="22"/>
          <w:lang w:val="hy-AM"/>
        </w:rPr>
        <w:lastRenderedPageBreak/>
        <w:t>կանխելու համատեքստում՝ նաև հաշվի առնելով սեպտեմբերի 19-ին Ադրբեջանի լայնածավալ ռազմական հարձակման և Լեռնային Ղարաբաղի ժողովրդի զանգվածային բռնի տեղահանման հետևանքով ստեղծված իրավիճակը:</w:t>
      </w:r>
    </w:p>
    <w:p w14:paraId="631D73BB" w14:textId="77777777" w:rsidR="009E534A" w:rsidRPr="009E534A" w:rsidRDefault="009E534A" w:rsidP="00835DBE">
      <w:pPr>
        <w:tabs>
          <w:tab w:val="num" w:pos="0"/>
        </w:tabs>
        <w:rPr>
          <w:b w:val="0"/>
          <w:bCs/>
          <w:szCs w:val="22"/>
          <w:lang w:val="hy-AM"/>
        </w:rPr>
      </w:pPr>
      <w:r w:rsidRPr="009E534A">
        <w:rPr>
          <w:b w:val="0"/>
          <w:bCs/>
          <w:szCs w:val="22"/>
          <w:lang w:val="hy-AM"/>
        </w:rPr>
        <w:t>Մշտապես ՀՀ կառավարության ուշադրության կենտրոնում է ռազմագերիների հայրենադարձման, անհետ կորած անձանց և բռնի անհետացածների ճակատագրի պարզման հետ կապված հարցերը:</w:t>
      </w:r>
    </w:p>
    <w:p w14:paraId="7BEDB00F" w14:textId="77777777" w:rsidR="009E534A" w:rsidRPr="009E534A" w:rsidRDefault="009E534A" w:rsidP="00835DBE">
      <w:pPr>
        <w:tabs>
          <w:tab w:val="num" w:pos="0"/>
        </w:tabs>
        <w:rPr>
          <w:b w:val="0"/>
          <w:bCs/>
          <w:szCs w:val="22"/>
          <w:lang w:val="hy-AM"/>
        </w:rPr>
      </w:pPr>
      <w:r w:rsidRPr="009E534A">
        <w:rPr>
          <w:b w:val="0"/>
          <w:bCs/>
          <w:szCs w:val="22"/>
          <w:lang w:val="hy-AM"/>
        </w:rPr>
        <w:t>ՀՀ կառավարությունը` ունենալով մեր տարածաշրջանում խաղաղություն և կայունություն հաստատելու անկեղծ հավատ և ձգտում, շարունակելու է զգալի և հստակորեն արձանագրված ջանքեր գործադրել այդ ուղղությամբ:</w:t>
      </w:r>
    </w:p>
    <w:p w14:paraId="68883B90" w14:textId="77777777" w:rsidR="005F226A" w:rsidRPr="00D24128" w:rsidRDefault="005F226A" w:rsidP="00835DBE">
      <w:pPr>
        <w:pStyle w:val="Heading1"/>
      </w:pPr>
      <w:bookmarkStart w:id="35" w:name="_Toc153184448"/>
      <w:r w:rsidRPr="00D24128">
        <w:t>Սփյուռք</w:t>
      </w:r>
      <w:bookmarkEnd w:id="33"/>
      <w:bookmarkEnd w:id="35"/>
      <w:r w:rsidRPr="00D24128">
        <w:t xml:space="preserve"> </w:t>
      </w:r>
    </w:p>
    <w:p w14:paraId="5B5CE2C5" w14:textId="77777777" w:rsidR="008763EE" w:rsidRPr="00C0193D" w:rsidRDefault="008763EE" w:rsidP="00835DBE">
      <w:pPr>
        <w:tabs>
          <w:tab w:val="num" w:pos="0"/>
        </w:tabs>
        <w:rPr>
          <w:b w:val="0"/>
          <w:szCs w:val="22"/>
          <w:lang w:val="hy-AM"/>
        </w:rPr>
      </w:pPr>
      <w:bookmarkStart w:id="36" w:name="_Toc26174896"/>
      <w:bookmarkStart w:id="37" w:name="_Toc83567445"/>
      <w:r w:rsidRPr="00C0193D">
        <w:rPr>
          <w:b w:val="0"/>
          <w:szCs w:val="22"/>
          <w:lang w:val="hy-AM"/>
        </w:rPr>
        <w:t>ՀՀ կառավարությունը կարևորում է</w:t>
      </w:r>
      <w:r w:rsidRPr="00C0193D">
        <w:rPr>
          <w:szCs w:val="22"/>
          <w:lang w:val="hy-AM"/>
        </w:rPr>
        <w:t xml:space="preserve"> </w:t>
      </w:r>
      <w:r w:rsidRPr="00C0193D">
        <w:rPr>
          <w:b w:val="0"/>
          <w:bCs/>
          <w:szCs w:val="22"/>
          <w:lang w:val="hy-AM"/>
        </w:rPr>
        <w:t>Հայաստան-Սփյուռք գործակցության զարգացումը, որը նպատակաուղղված է լինելու հայ ինքնության պահպանմանը, հայրենադարձությանն ու Հայաստանում սփյուռքահայերի ինտեգրմանը, սփյուռքի մարդկային ներուժի վերհանմանն ու քարտեզագրմանը,</w:t>
      </w:r>
      <w:r w:rsidRPr="00C0193D">
        <w:rPr>
          <w:b w:val="0"/>
          <w:szCs w:val="22"/>
          <w:lang w:val="hy-AM"/>
        </w:rPr>
        <w:t xml:space="preserve"> աշխարհասփյուռ հայության մարդկային, մտավոր, տնտեսական ներուժի՝ հայրենիքի կայուն զարգացման նպատակի շուրջ համախմբմանը:</w:t>
      </w:r>
    </w:p>
    <w:p w14:paraId="15747C1B" w14:textId="77777777" w:rsidR="008763EE" w:rsidRPr="00C0193D" w:rsidRDefault="008763EE" w:rsidP="00835DBE">
      <w:pPr>
        <w:tabs>
          <w:tab w:val="num" w:pos="0"/>
        </w:tabs>
        <w:rPr>
          <w:rFonts w:eastAsia="Calibri"/>
          <w:b w:val="0"/>
          <w:szCs w:val="22"/>
          <w:lang w:val="hy-AM" w:eastAsia="en-US"/>
        </w:rPr>
      </w:pPr>
      <w:r w:rsidRPr="00C0193D">
        <w:rPr>
          <w:rFonts w:eastAsia="Calibri"/>
          <w:b w:val="0"/>
          <w:szCs w:val="22"/>
          <w:lang w:val="hy-AM" w:eastAsia="en-US"/>
        </w:rPr>
        <w:t xml:space="preserve">Այսօր սփյուռքի հայության առջև ծառացած հիմնական մարտահրավերներից մեկը հայ երիտասարդների մեջ ազգային ինքնության պահպանումն է, նրանց ընդգրկմամբ համահայկական միասնական օրակարգի ձևավորումը: </w:t>
      </w:r>
    </w:p>
    <w:p w14:paraId="30C9D7CC" w14:textId="77777777" w:rsidR="008763EE" w:rsidRPr="00C0193D" w:rsidRDefault="008763EE" w:rsidP="00835DBE">
      <w:pPr>
        <w:tabs>
          <w:tab w:val="num" w:pos="0"/>
        </w:tabs>
        <w:rPr>
          <w:rFonts w:eastAsia="Calibri"/>
          <w:b w:val="0"/>
          <w:szCs w:val="22"/>
          <w:lang w:val="hy-AM" w:eastAsia="en-US"/>
        </w:rPr>
      </w:pPr>
      <w:r w:rsidRPr="00C0193D">
        <w:rPr>
          <w:rFonts w:eastAsia="Calibri"/>
          <w:b w:val="0"/>
          <w:szCs w:val="22"/>
          <w:lang w:val="hy-AM" w:eastAsia="en-US"/>
        </w:rPr>
        <w:t xml:space="preserve">Հայաստան-Սփյուռք գործակցության համատեքստում անհրաժեշտ է խթանել համայնքային կառույցների գործունեությունը, դրանցում սփյուռքահայ երիտասարդների ներգրավվածությունը: </w:t>
      </w:r>
    </w:p>
    <w:p w14:paraId="4A688B98" w14:textId="77777777" w:rsidR="008763EE" w:rsidRPr="00C0193D" w:rsidRDefault="008763EE" w:rsidP="00835DBE">
      <w:pPr>
        <w:tabs>
          <w:tab w:val="num" w:pos="0"/>
        </w:tabs>
        <w:rPr>
          <w:rFonts w:eastAsia="Calibri"/>
          <w:b w:val="0"/>
          <w:szCs w:val="22"/>
          <w:lang w:val="hy-AM" w:eastAsia="en-US"/>
        </w:rPr>
      </w:pPr>
      <w:r w:rsidRPr="00C0193D">
        <w:rPr>
          <w:rFonts w:eastAsia="Calibri"/>
          <w:b w:val="0"/>
          <w:szCs w:val="22"/>
          <w:lang w:val="hy-AM" w:eastAsia="en-US"/>
        </w:rPr>
        <w:t xml:space="preserve">Համահայկական օրակարգերի ստեղծման հարցում կենսական է համայնքային գործիչների պատրաստումը՝ </w:t>
      </w:r>
      <w:r w:rsidRPr="00C0193D">
        <w:rPr>
          <w:rFonts w:eastAsia="Calibri" w:cs="Sylfaen"/>
          <w:b w:val="0"/>
          <w:bCs/>
          <w:szCs w:val="22"/>
          <w:lang w:val="hy-AM" w:eastAsia="en-US"/>
        </w:rPr>
        <w:t xml:space="preserve">նրանցում առաջնորդի, համայնքների ղեկավարման կարողությունների և հմտությունների </w:t>
      </w:r>
      <w:r>
        <w:rPr>
          <w:rFonts w:eastAsia="Calibri" w:cs="Sylfaen"/>
          <w:b w:val="0"/>
          <w:bCs/>
          <w:szCs w:val="22"/>
          <w:lang w:val="hy-AM" w:eastAsia="en-US"/>
        </w:rPr>
        <w:t>զարգաց</w:t>
      </w:r>
      <w:r w:rsidRPr="00C0193D">
        <w:rPr>
          <w:rFonts w:eastAsia="Calibri" w:cs="Sylfaen"/>
          <w:b w:val="0"/>
          <w:bCs/>
          <w:szCs w:val="22"/>
          <w:lang w:val="hy-AM" w:eastAsia="en-US"/>
        </w:rPr>
        <w:t>ումը:</w:t>
      </w:r>
    </w:p>
    <w:p w14:paraId="27C021EF" w14:textId="77777777" w:rsidR="008763EE" w:rsidRPr="00C0193D" w:rsidRDefault="008763EE" w:rsidP="00835DBE">
      <w:pPr>
        <w:tabs>
          <w:tab w:val="num" w:pos="0"/>
        </w:tabs>
        <w:rPr>
          <w:rFonts w:eastAsia="Calibri"/>
          <w:b w:val="0"/>
          <w:szCs w:val="22"/>
          <w:lang w:val="hy-AM" w:eastAsia="en-US"/>
        </w:rPr>
      </w:pPr>
      <w:r w:rsidRPr="00C0193D">
        <w:rPr>
          <w:rFonts w:eastAsia="Calibri"/>
          <w:b w:val="0"/>
          <w:szCs w:val="22"/>
          <w:lang w:val="hy-AM" w:eastAsia="en-US"/>
        </w:rPr>
        <w:t>Հայաստան-Սփյուռք գործակցության համատեքստում կարևորվում է սփյուռքի մասնագիտական ներուժի ներգրավումը Հայաստանի ինստիտուցիոնալ զարգացմանն ու հզորացմանը, որը կնպաստի նաև մասնագիտական հայրենադարձությանը:</w:t>
      </w:r>
    </w:p>
    <w:p w14:paraId="10E28DE4" w14:textId="77777777" w:rsidR="008763EE" w:rsidRPr="00C0193D" w:rsidRDefault="008763EE" w:rsidP="00835DBE">
      <w:pPr>
        <w:tabs>
          <w:tab w:val="num" w:pos="0"/>
        </w:tabs>
        <w:rPr>
          <w:rFonts w:eastAsia="Calibri"/>
          <w:b w:val="0"/>
          <w:szCs w:val="22"/>
          <w:lang w:val="hy-AM" w:eastAsia="en-US"/>
        </w:rPr>
      </w:pPr>
      <w:r w:rsidRPr="00C0193D">
        <w:rPr>
          <w:rFonts w:eastAsia="Calibri"/>
          <w:b w:val="0"/>
          <w:szCs w:val="22"/>
          <w:lang w:val="hy-AM" w:eastAsia="en-US"/>
        </w:rPr>
        <w:t xml:space="preserve">Հայաստան-Սփյուռք գործակցության մեջ մեծ կարևորություն ունեն նաև հանրային կապերն ու աշխարհասփյուռ հայության իրազեկվածության ապահովումը: Այս համագործակցության հանրայնացումն ունի թիրախային երկու լսարան՝ ներքին կամ ներհայաստանյան և արտաքին կամ նպատակաուղղված Սփյուռքին՝ հայ համայնքներին և միջազգային հանրությանը: </w:t>
      </w:r>
    </w:p>
    <w:p w14:paraId="5E6A22EB" w14:textId="77777777" w:rsidR="008763EE" w:rsidRPr="00C0193D" w:rsidRDefault="008763EE" w:rsidP="00835DBE">
      <w:pPr>
        <w:tabs>
          <w:tab w:val="num" w:pos="0"/>
        </w:tabs>
        <w:rPr>
          <w:rFonts w:eastAsia="Calibri"/>
          <w:b w:val="0"/>
          <w:szCs w:val="22"/>
          <w:lang w:val="hy-AM" w:eastAsia="en-US"/>
        </w:rPr>
      </w:pPr>
      <w:r w:rsidRPr="00C0193D">
        <w:rPr>
          <w:rFonts w:eastAsia="Calibri"/>
          <w:b w:val="0"/>
          <w:szCs w:val="22"/>
          <w:lang w:val="hy-AM" w:eastAsia="en-US"/>
        </w:rPr>
        <w:t xml:space="preserve">Տեղեկատվությունը լսարանին ճիշտ հասցեագրելու համար կարևոր է լրագրողական հանրույթի հետ գործընկերային կայուն կապերի ստեղծումն ու առողջ աշխատանքը, լրատվադաշտում Հայաստան-Սփյուռք գործակցության ու ամրապնդմանն ուղղված ծրագրերի, սոցիալական մեդիայի բոլոր հարթակների ակտիվ գործածումը, մեդիա </w:t>
      </w:r>
      <w:r w:rsidRPr="00C0193D">
        <w:rPr>
          <w:rFonts w:eastAsia="Calibri"/>
          <w:b w:val="0"/>
          <w:szCs w:val="22"/>
          <w:lang w:val="hy-AM" w:eastAsia="en-US"/>
        </w:rPr>
        <w:lastRenderedPageBreak/>
        <w:t xml:space="preserve">արշավների իրականացումը, ներգրավվածությունը սոցիալական նախաձեռնություններում և այլն: </w:t>
      </w:r>
    </w:p>
    <w:p w14:paraId="28CA68F7" w14:textId="77777777" w:rsidR="008763EE" w:rsidRPr="00C0193D" w:rsidRDefault="008763EE" w:rsidP="00835DBE">
      <w:pPr>
        <w:tabs>
          <w:tab w:val="num" w:pos="0"/>
        </w:tabs>
        <w:rPr>
          <w:rFonts w:eastAsia="Calibri"/>
          <w:b w:val="0"/>
          <w:szCs w:val="22"/>
          <w:lang w:val="hy-AM" w:eastAsia="en-US"/>
        </w:rPr>
      </w:pPr>
      <w:r w:rsidRPr="00C0193D">
        <w:rPr>
          <w:rFonts w:eastAsia="Calibri"/>
          <w:b w:val="0"/>
          <w:szCs w:val="22"/>
          <w:lang w:val="hy-AM" w:eastAsia="en-US"/>
        </w:rPr>
        <w:t>Հայաստան-Սփյուռք գործակցության մեջ կարևոր գործոն է հանդիսանալու աջակցել սփյուռքի ներդրողներին և բարեգործներին՝ Հայաստանում իրենց ծրագրերն իրականացնելիս:</w:t>
      </w:r>
    </w:p>
    <w:p w14:paraId="78298C2A" w14:textId="77777777" w:rsidR="008763EE" w:rsidRPr="00C0193D" w:rsidRDefault="008763EE" w:rsidP="00835DBE">
      <w:pPr>
        <w:tabs>
          <w:tab w:val="num" w:pos="0"/>
        </w:tabs>
        <w:rPr>
          <w:b w:val="0"/>
          <w:color w:val="000000"/>
          <w:szCs w:val="22"/>
          <w:lang w:val="hy-AM"/>
        </w:rPr>
      </w:pPr>
      <w:r w:rsidRPr="00C0193D">
        <w:rPr>
          <w:b w:val="0"/>
          <w:szCs w:val="22"/>
          <w:lang w:val="hy-AM"/>
        </w:rPr>
        <w:t xml:space="preserve">Հայաստանի Հանրապետության </w:t>
      </w:r>
      <w:r w:rsidRPr="00C0193D">
        <w:rPr>
          <w:rFonts w:cs="Sylfaen"/>
          <w:b w:val="0"/>
          <w:color w:val="000000"/>
          <w:szCs w:val="22"/>
          <w:lang w:val="hy-AM"/>
        </w:rPr>
        <w:t>պետական</w:t>
      </w:r>
      <w:r w:rsidRPr="00C0193D">
        <w:rPr>
          <w:b w:val="0"/>
          <w:color w:val="000000"/>
          <w:szCs w:val="22"/>
          <w:lang w:val="pt-BR"/>
        </w:rPr>
        <w:t xml:space="preserve"> </w:t>
      </w:r>
      <w:r w:rsidRPr="00C0193D">
        <w:rPr>
          <w:rFonts w:cs="Sylfaen"/>
          <w:b w:val="0"/>
          <w:color w:val="000000"/>
          <w:szCs w:val="22"/>
          <w:lang w:val="hy-AM"/>
        </w:rPr>
        <w:t>քաղաքականության</w:t>
      </w:r>
      <w:r w:rsidRPr="00C0193D">
        <w:rPr>
          <w:b w:val="0"/>
          <w:color w:val="000000"/>
          <w:szCs w:val="22"/>
          <w:lang w:val="pt-BR"/>
        </w:rPr>
        <w:t xml:space="preserve"> </w:t>
      </w:r>
      <w:r w:rsidRPr="00C0193D">
        <w:rPr>
          <w:rFonts w:cs="Sylfaen"/>
          <w:b w:val="0"/>
          <w:color w:val="000000"/>
          <w:szCs w:val="22"/>
          <w:lang w:val="hy-AM"/>
        </w:rPr>
        <w:t>առաջնահերթություններից</w:t>
      </w:r>
      <w:r w:rsidRPr="00C0193D">
        <w:rPr>
          <w:b w:val="0"/>
          <w:color w:val="000000"/>
          <w:szCs w:val="22"/>
          <w:lang w:val="pt-BR"/>
        </w:rPr>
        <w:t xml:space="preserve"> </w:t>
      </w:r>
      <w:r w:rsidRPr="00C0193D">
        <w:rPr>
          <w:rFonts w:cs="Sylfaen"/>
          <w:b w:val="0"/>
          <w:color w:val="000000"/>
          <w:szCs w:val="22"/>
          <w:lang w:val="hy-AM"/>
        </w:rPr>
        <w:t>է</w:t>
      </w:r>
      <w:r w:rsidRPr="00C0193D">
        <w:rPr>
          <w:b w:val="0"/>
          <w:color w:val="000000"/>
          <w:szCs w:val="22"/>
          <w:lang w:val="pt-BR"/>
        </w:rPr>
        <w:t xml:space="preserve"> </w:t>
      </w:r>
      <w:r w:rsidRPr="00C0193D">
        <w:rPr>
          <w:rFonts w:cs="Sylfaen"/>
          <w:b w:val="0"/>
          <w:color w:val="000000"/>
          <w:szCs w:val="22"/>
          <w:lang w:val="hy-AM"/>
        </w:rPr>
        <w:t>հանդիսանում</w:t>
      </w:r>
      <w:r w:rsidRPr="00C0193D">
        <w:rPr>
          <w:b w:val="0"/>
          <w:color w:val="000000"/>
          <w:szCs w:val="22"/>
          <w:lang w:val="pt-BR"/>
        </w:rPr>
        <w:t xml:space="preserve"> </w:t>
      </w:r>
      <w:r w:rsidRPr="00C0193D">
        <w:rPr>
          <w:rFonts w:cs="Sylfaen"/>
          <w:b w:val="0"/>
          <w:color w:val="000000"/>
          <w:szCs w:val="22"/>
          <w:lang w:val="hy-AM"/>
        </w:rPr>
        <w:t>հայրենադարձության</w:t>
      </w:r>
      <w:r w:rsidRPr="00C0193D">
        <w:rPr>
          <w:b w:val="0"/>
          <w:color w:val="000000"/>
          <w:szCs w:val="22"/>
          <w:lang w:val="pt-BR"/>
        </w:rPr>
        <w:t xml:space="preserve"> </w:t>
      </w:r>
      <w:r w:rsidRPr="00C0193D">
        <w:rPr>
          <w:rFonts w:cs="Sylfaen"/>
          <w:b w:val="0"/>
          <w:color w:val="000000"/>
          <w:szCs w:val="22"/>
          <w:lang w:val="hy-AM"/>
        </w:rPr>
        <w:t>խթանումը:</w:t>
      </w:r>
    </w:p>
    <w:p w14:paraId="6CF32F8D" w14:textId="77777777" w:rsidR="008763EE" w:rsidRDefault="008763EE" w:rsidP="00835DBE">
      <w:pPr>
        <w:tabs>
          <w:tab w:val="num" w:pos="0"/>
        </w:tabs>
        <w:rPr>
          <w:rFonts w:eastAsia="Calibri"/>
          <w:b w:val="0"/>
          <w:szCs w:val="22"/>
          <w:lang w:val="hy-AM" w:eastAsia="en-US"/>
        </w:rPr>
      </w:pPr>
      <w:r w:rsidRPr="00C0193D">
        <w:rPr>
          <w:rFonts w:eastAsia="Calibri"/>
          <w:b w:val="0"/>
          <w:szCs w:val="22"/>
          <w:lang w:val="hy-AM" w:eastAsia="en-US"/>
        </w:rPr>
        <w:t>ՀՀ պետական քաղաքականությունը միտված է մշակել և իրականացնել միջոցառումներ, որոնք նպատակաուղղված կլինեն Հայաստանի զարգացման գործընթացում Սփյուռքի ներգրավմանը:</w:t>
      </w:r>
    </w:p>
    <w:p w14:paraId="7DDD09F0" w14:textId="77777777" w:rsidR="005F226A" w:rsidRPr="00D24128" w:rsidRDefault="005F226A" w:rsidP="00835DBE">
      <w:pPr>
        <w:pStyle w:val="Heading1"/>
      </w:pPr>
      <w:bookmarkStart w:id="38" w:name="_Toc153184449"/>
      <w:r w:rsidRPr="00D24128">
        <w:t>Արդարադատություն</w:t>
      </w:r>
      <w:bookmarkEnd w:id="36"/>
      <w:bookmarkEnd w:id="37"/>
      <w:bookmarkEnd w:id="38"/>
      <w:r w:rsidRPr="00D24128">
        <w:t xml:space="preserve"> </w:t>
      </w:r>
    </w:p>
    <w:p w14:paraId="23D33473" w14:textId="77777777" w:rsidR="00C24ABE" w:rsidRPr="00922161" w:rsidRDefault="00FF26E5" w:rsidP="00835DBE">
      <w:pPr>
        <w:keepNext/>
        <w:tabs>
          <w:tab w:val="left" w:pos="360"/>
        </w:tabs>
        <w:rPr>
          <w:rFonts w:eastAsiaTheme="majorEastAsia" w:cstheme="majorBidi"/>
          <w:bCs/>
          <w:color w:val="1F497D" w:themeColor="text2"/>
          <w:sz w:val="24"/>
          <w:lang w:val="hy-AM" w:eastAsia="en-US"/>
        </w:rPr>
      </w:pPr>
      <w:bookmarkStart w:id="39" w:name="_Toc26174897"/>
      <w:r w:rsidRPr="00922161">
        <w:rPr>
          <w:rFonts w:eastAsiaTheme="majorEastAsia" w:cstheme="majorBidi"/>
          <w:bCs/>
          <w:color w:val="1F497D" w:themeColor="text2"/>
          <w:sz w:val="24"/>
          <w:lang w:val="hy-AM" w:eastAsia="en-US"/>
        </w:rPr>
        <w:t>Դատական և իրավական բարեփոխումներ</w:t>
      </w:r>
    </w:p>
    <w:p w14:paraId="788FE7C8" w14:textId="77777777" w:rsidR="00FF26E5" w:rsidRPr="00C0193D" w:rsidRDefault="00FF26E5" w:rsidP="00835DBE">
      <w:pPr>
        <w:tabs>
          <w:tab w:val="num" w:pos="0"/>
          <w:tab w:val="left" w:pos="851"/>
          <w:tab w:val="left" w:pos="993"/>
        </w:tabs>
        <w:rPr>
          <w:rFonts w:eastAsiaTheme="minorHAnsi" w:cstheme="minorBidi"/>
          <w:b w:val="0"/>
          <w:szCs w:val="22"/>
          <w:lang w:val="hy-AM" w:eastAsia="en-US"/>
        </w:rPr>
      </w:pPr>
      <w:r w:rsidRPr="00C0193D">
        <w:rPr>
          <w:rFonts w:eastAsiaTheme="minorHAnsi" w:cstheme="minorBidi"/>
          <w:b w:val="0"/>
          <w:szCs w:val="22"/>
          <w:lang w:val="hy-AM" w:eastAsia="en-US"/>
        </w:rPr>
        <w:t xml:space="preserve">2024 թվականի ընթացքում նախատեսվում է իրականացնել </w:t>
      </w:r>
      <w:r w:rsidR="00C24ABE" w:rsidRPr="00C0193D">
        <w:rPr>
          <w:rFonts w:eastAsiaTheme="minorHAnsi" w:cstheme="minorBidi"/>
          <w:b w:val="0"/>
          <w:szCs w:val="22"/>
          <w:lang w:val="hy-AM" w:eastAsia="en-US"/>
        </w:rPr>
        <w:t>դատական և իրավական բարեփոխումների 2022-2026 թվականների ռազմավարություն</w:t>
      </w:r>
      <w:r w:rsidRPr="00C0193D">
        <w:rPr>
          <w:rFonts w:eastAsiaTheme="minorHAnsi" w:cstheme="minorBidi"/>
          <w:b w:val="0"/>
          <w:szCs w:val="22"/>
          <w:lang w:val="hy-AM" w:eastAsia="en-US"/>
        </w:rPr>
        <w:t xml:space="preserve">ից բխող գործողությունների ծրագրով սահմանված միջոցառումները: </w:t>
      </w:r>
    </w:p>
    <w:p w14:paraId="43BBD2DA" w14:textId="77777777" w:rsidR="00FF26E5" w:rsidRPr="00C0193D" w:rsidRDefault="00FF26E5" w:rsidP="00835DBE">
      <w:pPr>
        <w:widowControl w:val="0"/>
        <w:tabs>
          <w:tab w:val="left" w:pos="6231"/>
        </w:tabs>
        <w:rPr>
          <w:rFonts w:eastAsiaTheme="minorHAnsi" w:cstheme="minorBidi"/>
          <w:b w:val="0"/>
          <w:szCs w:val="22"/>
          <w:lang w:val="hy-AM" w:eastAsia="en-US"/>
        </w:rPr>
      </w:pPr>
      <w:r w:rsidRPr="00C0193D">
        <w:rPr>
          <w:rFonts w:eastAsiaTheme="minorHAnsi" w:cstheme="minorBidi"/>
          <w:b w:val="0"/>
          <w:szCs w:val="22"/>
          <w:lang w:val="hy-AM" w:eastAsia="en-US"/>
        </w:rPr>
        <w:t>Արդարադատության արդյունավետության բարձրացման համար կշարունակվեն վեճերի լուծման այլընտրանքային եղանակների զարգմացմանն ուղղված աշխատանքները: Այս համատեքստում կարևորվում է հաշտարարության ոլորտի բարեփոխումից հետո համապասխան մասնագետների վերապատրաստումը, ինչպես նաև նոր հիմնադրված Արբիտրաժային կենտրոնի կայացմանն ուղղված աշխատանքերի իրականցումը:</w:t>
      </w:r>
    </w:p>
    <w:p w14:paraId="1794BDF4" w14:textId="77777777" w:rsidR="00FF26E5" w:rsidRPr="00C0193D" w:rsidRDefault="00FF26E5" w:rsidP="00835DBE">
      <w:pPr>
        <w:widowControl w:val="0"/>
        <w:tabs>
          <w:tab w:val="left" w:pos="6231"/>
        </w:tabs>
        <w:rPr>
          <w:rFonts w:eastAsiaTheme="minorHAnsi" w:cstheme="minorBidi"/>
          <w:b w:val="0"/>
          <w:szCs w:val="22"/>
          <w:lang w:val="hy-AM" w:eastAsia="en-US"/>
        </w:rPr>
      </w:pPr>
      <w:r w:rsidRPr="00C0193D">
        <w:rPr>
          <w:rFonts w:eastAsia="Tahoma" w:cs="Tahoma"/>
          <w:b w:val="0"/>
          <w:szCs w:val="22"/>
          <w:lang w:val="hy-AM" w:eastAsia="en-US"/>
        </w:rPr>
        <w:t xml:space="preserve">Սնանկության ոլորտի բարեփոխումների համատեքստում նախատեսվում է մշակել սնանկության մասին մեկ միասնական իրավական ակտի և, ըստ անհրաժեշտության, հարակից իրավական ակտերի նախագծեր, որոնցով լուծում կտրվի սնանկության ոլորտի իրավակիրառ պրակտիկայում բացահայտված խնդիրների հիմնական մասին, կկրճատվեն սնանկության գործերի քննության ժամկետները, կավելացվեն ֆինանսական առողջացումների դեպքերը և կներդրվեն սնանկության հատուկ ընթացակարգեր: Ակնկալվում է, որ մեկ միասնական ակտի շրջանակում անդրադարձ կկատարվի սնանկության ինչպես ընթացակարգային, այնպես էլ նյութական ասպեկտներին: </w:t>
      </w:r>
      <w:r w:rsidRPr="00C0193D">
        <w:rPr>
          <w:rFonts w:eastAsiaTheme="minorHAnsi" w:cstheme="minorBidi"/>
          <w:b w:val="0"/>
          <w:szCs w:val="22"/>
          <w:lang w:val="hy-AM" w:eastAsia="en-US"/>
        </w:rPr>
        <w:t xml:space="preserve"> </w:t>
      </w:r>
    </w:p>
    <w:p w14:paraId="4047FB6E" w14:textId="77777777" w:rsidR="00FF26E5" w:rsidRPr="00C0193D" w:rsidRDefault="00FF26E5" w:rsidP="00835DBE">
      <w:pPr>
        <w:widowControl w:val="0"/>
        <w:shd w:val="clear" w:color="auto" w:fill="FFFFFF"/>
        <w:rPr>
          <w:rFonts w:eastAsiaTheme="minorHAnsi" w:cstheme="minorBidi"/>
          <w:b w:val="0"/>
          <w:szCs w:val="22"/>
          <w:lang w:val="hy-AM" w:eastAsia="en-US"/>
        </w:rPr>
      </w:pPr>
      <w:r w:rsidRPr="00C0193D">
        <w:rPr>
          <w:rFonts w:eastAsiaTheme="minorHAnsi" w:cstheme="minorBidi"/>
          <w:b w:val="0"/>
          <w:szCs w:val="22"/>
          <w:lang w:val="hy-AM" w:eastAsia="en-US"/>
        </w:rPr>
        <w:t>Դատաիրավական բարեփոխումների շրջանակում անհրաժեշտ է իրականացնել հարկադիր կատարման ոլորտի համընդհանուր բարեփոխումներ՝ բարձրացնելու կատարողական գործողությունների արդյունավետությունը, առավելագույնս ապահովելու կատարողական վարույթի մասնակիցների օրինական շահերի պաշտպանությունը հավասարակշռվածությունը, նրանց խնդիրներին ու կարիքներին արագ և արդյունավետ արձագանքելու կառուցակարգերի ներդրմանը: Նշված նպատակներին հասնելու նպատակով իրականացվելիք գործողություններն ուղղված են լինելու կատարողական վարույթի օրենսդրության համապարփակ վերանայմանը, հարկադիր կատարման վարույթի ամբողջական թվայնացմանը, ըստ այդմ</w:t>
      </w:r>
      <w:r w:rsidR="00B237AC" w:rsidRPr="00C0193D">
        <w:rPr>
          <w:rFonts w:eastAsiaTheme="minorHAnsi" w:cstheme="minorBidi"/>
          <w:b w:val="0"/>
          <w:szCs w:val="22"/>
          <w:lang w:val="hy-AM" w:eastAsia="en-US"/>
        </w:rPr>
        <w:t xml:space="preserve"> </w:t>
      </w:r>
      <w:r w:rsidRPr="00C0193D">
        <w:rPr>
          <w:rFonts w:eastAsiaTheme="minorHAnsi" w:cstheme="minorBidi"/>
          <w:b w:val="0"/>
          <w:szCs w:val="22"/>
          <w:lang w:val="hy-AM" w:eastAsia="en-US"/>
        </w:rPr>
        <w:t xml:space="preserve">քաղաքացի-հարկադիր կատարող </w:t>
      </w:r>
      <w:r w:rsidRPr="00C0193D">
        <w:rPr>
          <w:rFonts w:eastAsiaTheme="minorHAnsi" w:cstheme="minorBidi"/>
          <w:b w:val="0"/>
          <w:szCs w:val="22"/>
          <w:lang w:val="hy-AM" w:eastAsia="en-US"/>
        </w:rPr>
        <w:lastRenderedPageBreak/>
        <w:t>արդյունավետ հաղորդակցության ապահովմանը, ինչպես նաև հարկադիր կատարողների սոցիալական երաշխիքների բարելավմանը:</w:t>
      </w:r>
    </w:p>
    <w:p w14:paraId="248570DF" w14:textId="77777777" w:rsidR="00C24ABE" w:rsidRPr="0009272D" w:rsidRDefault="00FF26E5" w:rsidP="00835DBE">
      <w:pPr>
        <w:keepNext/>
        <w:tabs>
          <w:tab w:val="left" w:pos="360"/>
        </w:tabs>
        <w:rPr>
          <w:rFonts w:eastAsiaTheme="majorEastAsia" w:cstheme="majorBidi"/>
          <w:bCs/>
          <w:color w:val="1F497D" w:themeColor="text2"/>
          <w:sz w:val="24"/>
          <w:lang w:val="hy-AM" w:eastAsia="en-US"/>
        </w:rPr>
      </w:pPr>
      <w:r w:rsidRPr="00922161">
        <w:rPr>
          <w:rFonts w:eastAsiaTheme="majorEastAsia" w:cstheme="majorBidi"/>
          <w:bCs/>
          <w:color w:val="1F497D" w:themeColor="text2"/>
          <w:sz w:val="24"/>
          <w:lang w:val="hy-AM" w:eastAsia="en-US"/>
        </w:rPr>
        <w:t>Էլեկտրոնային արդարադատությ</w:t>
      </w:r>
      <w:r w:rsidR="00F35FC6" w:rsidRPr="0009272D">
        <w:rPr>
          <w:rFonts w:eastAsiaTheme="majorEastAsia" w:cstheme="majorBidi"/>
          <w:bCs/>
          <w:color w:val="1F497D" w:themeColor="text2"/>
          <w:sz w:val="24"/>
          <w:lang w:val="hy-AM" w:eastAsia="en-US"/>
        </w:rPr>
        <w:t>ուն</w:t>
      </w:r>
    </w:p>
    <w:p w14:paraId="2E47E08C" w14:textId="77777777" w:rsidR="00FF26E5" w:rsidRPr="00C0193D" w:rsidRDefault="00FF26E5" w:rsidP="00835DBE">
      <w:pPr>
        <w:tabs>
          <w:tab w:val="left" w:pos="851"/>
          <w:tab w:val="left" w:pos="993"/>
        </w:tabs>
        <w:rPr>
          <w:rFonts w:eastAsia="Arial" w:cs="Arial"/>
          <w:b w:val="0"/>
          <w:color w:val="1C1E21"/>
          <w:szCs w:val="22"/>
          <w:lang w:val="hy-AM" w:eastAsia="en-US"/>
        </w:rPr>
      </w:pPr>
      <w:r w:rsidRPr="00C0193D">
        <w:rPr>
          <w:rFonts w:eastAsia="Arial" w:cs="Arial"/>
          <w:b w:val="0"/>
          <w:color w:val="1C1E21"/>
          <w:szCs w:val="22"/>
          <w:lang w:val="hy-AM" w:eastAsia="en-US"/>
        </w:rPr>
        <w:t xml:space="preserve">2024թ. </w:t>
      </w:r>
      <w:r w:rsidRPr="00C0193D">
        <w:rPr>
          <w:rFonts w:eastAsia="Arial" w:cs="Sylfaen"/>
          <w:b w:val="0"/>
          <w:color w:val="1C1E21"/>
          <w:szCs w:val="22"/>
          <w:lang w:val="hy-AM" w:eastAsia="en-US"/>
        </w:rPr>
        <w:t>արդարադատության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ոլորտում</w:t>
      </w:r>
      <w:r w:rsidRPr="00C0193D">
        <w:rPr>
          <w:rFonts w:eastAsia="Arial" w:cs="Arial"/>
          <w:b w:val="0"/>
          <w:color w:val="1C1E21"/>
          <w:szCs w:val="22"/>
          <w:lang w:val="hy-AM" w:eastAsia="en-US"/>
        </w:rPr>
        <w:t xml:space="preserve"> նախատեսվում է </w:t>
      </w:r>
      <w:r w:rsidRPr="00C0193D">
        <w:rPr>
          <w:rFonts w:eastAsia="Arial" w:cs="Sylfaen"/>
          <w:b w:val="0"/>
          <w:color w:val="1C1E21"/>
          <w:szCs w:val="22"/>
          <w:lang w:val="hy-AM" w:eastAsia="en-US"/>
        </w:rPr>
        <w:t>իրականացնել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տարբեր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հարթակների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ներդրման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և</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արդիականացման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աշխատանքներ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շարունակել</w:t>
      </w:r>
      <w:r w:rsidRPr="00C0193D">
        <w:rPr>
          <w:rFonts w:eastAsia="Arial" w:cs="Arial"/>
          <w:b w:val="0"/>
          <w:color w:val="1C1E21"/>
          <w:szCs w:val="22"/>
          <w:lang w:val="hy-AM" w:eastAsia="en-US"/>
        </w:rPr>
        <w:t xml:space="preserve"> և ավարտել </w:t>
      </w:r>
      <w:r w:rsidRPr="00C0193D">
        <w:rPr>
          <w:rFonts w:eastAsia="Arial" w:cs="Sylfaen"/>
          <w:b w:val="0"/>
          <w:color w:val="1C1E21"/>
          <w:szCs w:val="22"/>
          <w:lang w:val="hy-AM" w:eastAsia="en-US"/>
        </w:rPr>
        <w:t>ընթացիկ</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ծրագրերը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Մասնավորապես՝</w:t>
      </w:r>
      <w:r w:rsidRPr="00C0193D">
        <w:rPr>
          <w:rFonts w:eastAsia="Arial" w:cs="Arial"/>
          <w:b w:val="0"/>
          <w:color w:val="1C1E21"/>
          <w:szCs w:val="22"/>
          <w:lang w:val="hy-AM" w:eastAsia="en-US"/>
        </w:rPr>
        <w:t xml:space="preserve"> </w:t>
      </w:r>
    </w:p>
    <w:p w14:paraId="167E23EB" w14:textId="77777777" w:rsidR="00FF26E5" w:rsidRPr="00C0193D" w:rsidRDefault="00FF26E5"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Arial"/>
          <w:b w:val="0"/>
          <w:color w:val="1C1E21"/>
          <w:szCs w:val="22"/>
          <w:lang w:val="hy-AM" w:eastAsia="en-US"/>
        </w:rPr>
        <w:t>2023թ. ավարտին գործարկվել են քաղաքացիական և սնանկության դատարանների էլեկտրոնային կառավարման համակարգերը, որոնք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դատարան</w:t>
      </w:r>
      <w:r w:rsidRPr="00C0193D">
        <w:rPr>
          <w:rFonts w:eastAsia="Arial" w:cs="Arial"/>
          <w:b w:val="0"/>
          <w:color w:val="1C1E21"/>
          <w:szCs w:val="22"/>
          <w:lang w:val="hy-AM" w:eastAsia="en-US"/>
        </w:rPr>
        <w:t xml:space="preserve">» համակարգի առաջին մոդուլներն են: Գործարկվել է նաև  </w:t>
      </w:r>
      <w:r w:rsidRPr="00C0193D">
        <w:rPr>
          <w:rFonts w:eastAsia="Arial" w:cs="Sylfaen"/>
          <w:b w:val="0"/>
          <w:color w:val="1C1E21"/>
          <w:szCs w:val="22"/>
          <w:lang w:val="hy-AM" w:eastAsia="en-US"/>
        </w:rPr>
        <w:t>հարկադիր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կատարումն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ապահովող</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ծառայության</w:t>
      </w:r>
      <w:r w:rsidRPr="00C0193D">
        <w:rPr>
          <w:rFonts w:eastAsia="Arial" w:cs="Arial"/>
          <w:b w:val="0"/>
          <w:color w:val="1C1E21"/>
          <w:szCs w:val="22"/>
          <w:lang w:val="hy-AM" w:eastAsia="en-US"/>
        </w:rPr>
        <w:t xml:space="preserve"> նոր և ամբողջական ծրագրային ապահովումը: 2024թ. </w:t>
      </w:r>
      <w:r w:rsidR="00C24ABE">
        <w:rPr>
          <w:rFonts w:eastAsia="Arial" w:cs="Arial"/>
          <w:b w:val="0"/>
          <w:color w:val="1C1E21"/>
          <w:szCs w:val="22"/>
          <w:lang w:val="hy-AM" w:eastAsia="en-US"/>
        </w:rPr>
        <w:t>կ</w:t>
      </w:r>
      <w:r w:rsidRPr="00C0193D">
        <w:rPr>
          <w:rFonts w:eastAsia="Arial" w:cs="Sylfaen"/>
          <w:b w:val="0"/>
          <w:color w:val="1C1E21"/>
          <w:szCs w:val="22"/>
          <w:lang w:val="hy-AM" w:eastAsia="en-US"/>
        </w:rPr>
        <w:t>ապահով</w:t>
      </w:r>
      <w:r w:rsidR="00C24ABE">
        <w:rPr>
          <w:rFonts w:eastAsia="Arial" w:cs="Sylfaen"/>
          <w:b w:val="0"/>
          <w:color w:val="1C1E21"/>
          <w:szCs w:val="22"/>
          <w:lang w:val="hy-AM" w:eastAsia="en-US"/>
        </w:rPr>
        <w:t>վի</w:t>
      </w:r>
      <w:r w:rsidRPr="00C0193D">
        <w:rPr>
          <w:rFonts w:eastAsia="Arial" w:cs="Sylfaen"/>
          <w:b w:val="0"/>
          <w:color w:val="1C1E21"/>
          <w:szCs w:val="22"/>
          <w:lang w:val="hy-AM" w:eastAsia="en-US"/>
        </w:rPr>
        <w:t xml:space="preserve"> նշված համակարգերի անխափան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աշխատանքը, շարունակական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սպասարկումը և համաչափ զարգացումը</w:t>
      </w:r>
      <w:r w:rsidRPr="00C0193D">
        <w:rPr>
          <w:rFonts w:eastAsia="Arial" w:cs="Arial"/>
          <w:b w:val="0"/>
          <w:color w:val="1C1E21"/>
          <w:szCs w:val="22"/>
          <w:lang w:val="hy-AM" w:eastAsia="en-US"/>
        </w:rPr>
        <w:t xml:space="preserve">: </w:t>
      </w:r>
    </w:p>
    <w:p w14:paraId="0034A5AC" w14:textId="77777777" w:rsidR="00FF26E5" w:rsidRPr="00C0193D" w:rsidRDefault="00FF26E5"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Arial"/>
          <w:b w:val="0"/>
          <w:color w:val="1C1E21"/>
          <w:szCs w:val="22"/>
          <w:lang w:val="hy-AM" w:eastAsia="en-US"/>
        </w:rPr>
        <w:t xml:space="preserve">2024թ. նախատեսվում է ավարտել և գործարկել </w:t>
      </w:r>
      <w:r w:rsidRPr="00C0193D">
        <w:rPr>
          <w:rFonts w:eastAsia="Arial" w:cs="Sylfaen"/>
          <w:b w:val="0"/>
          <w:color w:val="1C1E21"/>
          <w:szCs w:val="22"/>
          <w:lang w:val="hy-AM" w:eastAsia="en-US"/>
        </w:rPr>
        <w:t>վարչական</w:t>
      </w:r>
      <w:r w:rsidRPr="00C0193D">
        <w:rPr>
          <w:rFonts w:eastAsia="Arial" w:cs="Arial"/>
          <w:b w:val="0"/>
          <w:color w:val="1C1E21"/>
          <w:szCs w:val="22"/>
          <w:lang w:val="hy-AM" w:eastAsia="en-US"/>
        </w:rPr>
        <w:t xml:space="preserve"> դատարանի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կառավարման համակարգը: 2023թ. մեկնարկել է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դատարան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դատական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գործերի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կառավարման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միասնական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համակարգի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քրեական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գործերով</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 xml:space="preserve">մոդուլի նախագծման աշխատանքները: 2024թ. նախատեսվում է իրականացնել համակարգի ձեռքբերումը և մեկնարկել ներդրման աշխատանքները: Վերջնական արդյունքում այն համակցվելու է էլեկտրոնային նախաքննության համակարգի հետ՝ ապահովելով քրեական վարույթների ամբողջական թվային շղթան: </w:t>
      </w:r>
      <w:r w:rsidRPr="00C0193D">
        <w:rPr>
          <w:rFonts w:eastAsia="Arial" w:cs="Arial"/>
          <w:b w:val="0"/>
          <w:color w:val="1C1E21"/>
          <w:szCs w:val="22"/>
          <w:lang w:val="hy-AM" w:eastAsia="en-US"/>
        </w:rPr>
        <w:t xml:space="preserve"> </w:t>
      </w:r>
    </w:p>
    <w:p w14:paraId="7EC46CE8" w14:textId="77777777" w:rsidR="00FF26E5" w:rsidRPr="00C0193D" w:rsidRDefault="00D8652A"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Arial"/>
          <w:b w:val="0"/>
          <w:color w:val="1C1E21"/>
          <w:szCs w:val="22"/>
          <w:lang w:val="hy-AM" w:eastAsia="en-US"/>
        </w:rPr>
        <w:t>Ն</w:t>
      </w:r>
      <w:r w:rsidR="00FF26E5" w:rsidRPr="00C0193D">
        <w:rPr>
          <w:rFonts w:eastAsia="Arial" w:cs="Arial"/>
          <w:b w:val="0"/>
          <w:color w:val="1C1E21"/>
          <w:szCs w:val="22"/>
          <w:lang w:val="hy-AM" w:eastAsia="en-US"/>
        </w:rPr>
        <w:t>երդրվելու է «</w:t>
      </w:r>
      <w:r w:rsidR="00FF26E5" w:rsidRPr="00C0193D">
        <w:rPr>
          <w:rFonts w:eastAsia="Arial" w:cs="Sylfaen"/>
          <w:b w:val="0"/>
          <w:color w:val="1C1E21"/>
          <w:szCs w:val="22"/>
          <w:lang w:val="hy-AM" w:eastAsia="en-US"/>
        </w:rPr>
        <w:t>Էլեկտրոնային</w:t>
      </w:r>
      <w:r w:rsidR="00FF26E5" w:rsidRPr="00C0193D">
        <w:rPr>
          <w:rFonts w:eastAsia="Arial" w:cs="Arial"/>
          <w:b w:val="0"/>
          <w:color w:val="1C1E21"/>
          <w:szCs w:val="22"/>
          <w:lang w:val="hy-AM" w:eastAsia="en-US"/>
        </w:rPr>
        <w:t xml:space="preserve"> </w:t>
      </w:r>
      <w:r w:rsidR="00FF26E5" w:rsidRPr="00C0193D">
        <w:rPr>
          <w:rFonts w:eastAsia="Arial" w:cs="Sylfaen"/>
          <w:b w:val="0"/>
          <w:color w:val="1C1E21"/>
          <w:szCs w:val="22"/>
          <w:lang w:val="hy-AM" w:eastAsia="en-US"/>
        </w:rPr>
        <w:t>հաշտարարության</w:t>
      </w:r>
      <w:r w:rsidR="00FF26E5" w:rsidRPr="00C0193D">
        <w:rPr>
          <w:rFonts w:eastAsia="Arial" w:cs="Arial"/>
          <w:b w:val="0"/>
          <w:color w:val="1C1E21"/>
          <w:szCs w:val="22"/>
          <w:lang w:val="hy-AM" w:eastAsia="en-US"/>
        </w:rPr>
        <w:t xml:space="preserve">» </w:t>
      </w:r>
      <w:r w:rsidR="00FF26E5" w:rsidRPr="00C0193D">
        <w:rPr>
          <w:rFonts w:eastAsia="Arial" w:cs="Sylfaen"/>
          <w:b w:val="0"/>
          <w:color w:val="1C1E21"/>
          <w:szCs w:val="22"/>
          <w:lang w:val="hy-AM" w:eastAsia="en-US"/>
        </w:rPr>
        <w:t xml:space="preserve">համակարգը, որի միջոցով ամբողջովին թվային եղանակով իրականացվելու է հաշտարարության գործընթացը: </w:t>
      </w:r>
    </w:p>
    <w:p w14:paraId="5092EDAD" w14:textId="77777777" w:rsidR="00FF26E5" w:rsidRPr="00C0193D" w:rsidRDefault="00FF26E5"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Sylfaen"/>
          <w:b w:val="0"/>
          <w:color w:val="1C1E21"/>
          <w:szCs w:val="22"/>
          <w:lang w:val="hy-AM" w:eastAsia="en-US"/>
        </w:rPr>
        <w:t>Մեկնարկվել է միասնական</w:t>
      </w:r>
      <w:r w:rsidRPr="00C0193D">
        <w:rPr>
          <w:rFonts w:eastAsia="Arial" w:cs="Arial"/>
          <w:b w:val="0"/>
          <w:color w:val="1C1E21"/>
          <w:szCs w:val="22"/>
          <w:lang w:val="hy-AM" w:eastAsia="en-US"/>
        </w:rPr>
        <w:t xml:space="preserve"> «</w:t>
      </w:r>
      <w:r w:rsidR="00B06FAC" w:rsidRPr="00C0193D">
        <w:rPr>
          <w:rFonts w:eastAsia="Arial" w:cs="Sylfaen"/>
          <w:b w:val="0"/>
          <w:color w:val="1C1E21"/>
          <w:szCs w:val="22"/>
          <w:lang w:val="hy-AM" w:eastAsia="en-US"/>
        </w:rPr>
        <w:t>Է</w:t>
      </w:r>
      <w:r w:rsidRPr="00C0193D">
        <w:rPr>
          <w:rFonts w:eastAsia="Arial" w:cs="Sylfaen"/>
          <w:b w:val="0"/>
          <w:color w:val="1C1E21"/>
          <w:szCs w:val="22"/>
          <w:lang w:val="hy-AM" w:eastAsia="en-US"/>
        </w:rPr>
        <w:t>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նոտար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համակարգի</w:t>
      </w:r>
      <w:r w:rsidRPr="00C0193D">
        <w:rPr>
          <w:rFonts w:eastAsia="Arial" w:cs="Arial"/>
          <w:b w:val="0"/>
          <w:color w:val="1C1E21"/>
          <w:szCs w:val="22"/>
          <w:lang w:val="hy-AM" w:eastAsia="en-US"/>
        </w:rPr>
        <w:t xml:space="preserve"> ստեղծման </w:t>
      </w:r>
      <w:r w:rsidRPr="00C0193D">
        <w:rPr>
          <w:rFonts w:eastAsia="Arial" w:cs="Sylfaen"/>
          <w:b w:val="0"/>
          <w:color w:val="1C1E21"/>
          <w:szCs w:val="22"/>
          <w:lang w:val="hy-AM" w:eastAsia="en-US"/>
        </w:rPr>
        <w:t>աշխատանքները: Ներկայումս խորհրդատուներն իրականացնում են ուսումնասիրություն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որի արդյունքներով 2024թ. իրականացվելու են համակարգի գնման գործընթացը: Այն քաղաքացիներին հնարավորություն է տալու առանց նոտարական գրասենյակներ այցելելու և անհրաժեշտ տեղեկանքներ ու այլ փաստաթղթեր անձամբ ներկայացնելու</w:t>
      </w:r>
      <w:r w:rsidRPr="00C0193D">
        <w:rPr>
          <w:rFonts w:eastAsia="Arial" w:cs="Arial"/>
          <w:b w:val="0"/>
          <w:color w:val="1C1E21"/>
          <w:szCs w:val="22"/>
          <w:lang w:val="hy-AM" w:eastAsia="en-US"/>
        </w:rPr>
        <w:t xml:space="preserve">, կատարել հեռավար գործարքներ: </w:t>
      </w:r>
      <w:r w:rsidRPr="00C0193D">
        <w:rPr>
          <w:rFonts w:eastAsia="Arial" w:cs="Sylfaen"/>
          <w:b w:val="0"/>
          <w:color w:val="1C1E21"/>
          <w:szCs w:val="22"/>
          <w:lang w:val="hy-AM" w:eastAsia="en-US"/>
        </w:rPr>
        <w:t>Միևնույն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ժամանակ</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բռնագանձման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որոշ</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պահանջներով</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գործեր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նոտարների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իրավասությանը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հանձնելու</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օրենսդրական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փոփոխություններով</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պայմանավորված՝</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նախատեսվում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ապահովել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նաև</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այդ</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վարույթները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ամբողջությամբ</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եղանակով</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իրականացնելու</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հնարավորությունը։</w:t>
      </w:r>
    </w:p>
    <w:p w14:paraId="2FB4F591" w14:textId="77777777" w:rsidR="00FF26E5" w:rsidRPr="00C0193D" w:rsidRDefault="00FF26E5"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Arial"/>
          <w:b w:val="0"/>
          <w:color w:val="1C1E21"/>
          <w:szCs w:val="22"/>
          <w:lang w:val="hy-AM" w:eastAsia="en-US"/>
        </w:rPr>
        <w:t>Նախատեսվում է մեկնարկել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արդարադատություն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միասնական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կառավարման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 xml:space="preserve">համակարգի ստեղծման աշխատանքները, </w:t>
      </w:r>
      <w:r w:rsidRPr="00C0193D">
        <w:rPr>
          <w:rFonts w:eastAsia="Arial" w:cs="Arial"/>
          <w:b w:val="0"/>
          <w:color w:val="1C1E21"/>
          <w:szCs w:val="22"/>
          <w:lang w:val="hy-AM" w:eastAsia="en-US"/>
        </w:rPr>
        <w:t xml:space="preserve"> որն ապահովելու է ՀՀ ԱՆ համակարգման ոլորտի բոլոր համակարգերի սինխրոն աշխատանքը, ա</w:t>
      </w:r>
      <w:r w:rsidRPr="00C0193D">
        <w:rPr>
          <w:rFonts w:eastAsia="Arial" w:cs="Sylfaen"/>
          <w:b w:val="0"/>
          <w:color w:val="1C1E21"/>
          <w:szCs w:val="22"/>
          <w:lang w:val="hy-AM" w:eastAsia="en-US"/>
        </w:rPr>
        <w:t>զգային</w:t>
      </w:r>
      <w:r w:rsidRPr="00C0193D">
        <w:rPr>
          <w:rFonts w:eastAsia="Arial" w:cs="Arial"/>
          <w:b w:val="0"/>
          <w:color w:val="1C1E21"/>
          <w:szCs w:val="22"/>
          <w:lang w:val="hy-AM" w:eastAsia="en-US"/>
        </w:rPr>
        <w:t xml:space="preserve"> և դատական </w:t>
      </w:r>
      <w:r w:rsidRPr="00C0193D">
        <w:rPr>
          <w:rFonts w:eastAsia="Arial" w:cs="Sylfaen"/>
          <w:b w:val="0"/>
          <w:color w:val="1C1E21"/>
          <w:szCs w:val="22"/>
          <w:lang w:val="hy-AM" w:eastAsia="en-US"/>
        </w:rPr>
        <w:t>արխիվների</w:t>
      </w:r>
      <w:r w:rsidRPr="00C0193D">
        <w:rPr>
          <w:rFonts w:eastAsia="Arial" w:cs="Arial"/>
          <w:b w:val="0"/>
          <w:color w:val="1C1E21"/>
          <w:szCs w:val="22"/>
          <w:lang w:val="hy-AM" w:eastAsia="en-US"/>
        </w:rPr>
        <w:t xml:space="preserve"> թվայնացման գործնթացը: </w:t>
      </w:r>
    </w:p>
    <w:p w14:paraId="4C3D8ED9" w14:textId="77777777" w:rsidR="00FF26E5" w:rsidRPr="00C0193D" w:rsidRDefault="00FF26E5"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Arial"/>
          <w:b w:val="0"/>
          <w:color w:val="1C1E21"/>
          <w:szCs w:val="22"/>
          <w:lang w:val="hy-AM" w:eastAsia="en-US"/>
        </w:rPr>
        <w:lastRenderedPageBreak/>
        <w:t xml:space="preserve">«E-draft»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համակարգի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արդիականացումից</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հետո</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ապահովել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համակարգի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անխափան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աշխատանքն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ու</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շարունակական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սպասարկումը</w:t>
      </w:r>
      <w:r w:rsidRPr="00C0193D">
        <w:rPr>
          <w:rFonts w:eastAsia="Arial" w:cs="Arial"/>
          <w:b w:val="0"/>
          <w:color w:val="1C1E21"/>
          <w:szCs w:val="22"/>
          <w:lang w:val="hy-AM" w:eastAsia="en-US"/>
        </w:rPr>
        <w:t>:</w:t>
      </w:r>
    </w:p>
    <w:p w14:paraId="709DE622" w14:textId="77777777" w:rsidR="00FF26E5" w:rsidRPr="00C0193D" w:rsidRDefault="00FF26E5"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Sylfaen"/>
          <w:b w:val="0"/>
          <w:color w:val="1C1E21"/>
          <w:szCs w:val="22"/>
          <w:lang w:val="hy-AM" w:eastAsia="en-US"/>
        </w:rPr>
        <w:t>Ապահովել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իրավաբանական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անձանց</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պետական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ռեգիստրի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թվայնացումը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ընդ</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որում՝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այս</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առումով</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ընդլայնվել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են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թվայնացման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շրջանակները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այն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գործընթացը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վերաբերում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w:t>
      </w:r>
      <w:r w:rsidRPr="00C0193D">
        <w:rPr>
          <w:rFonts w:eastAsia="Arial" w:cs="Arial"/>
          <w:b w:val="0"/>
          <w:color w:val="1C1E21"/>
          <w:szCs w:val="22"/>
          <w:lang w:val="hy-AM" w:eastAsia="en-US"/>
        </w:rPr>
        <w:t xml:space="preserve"> </w:t>
      </w:r>
      <w:r w:rsidR="002E63EA" w:rsidRPr="00C0193D">
        <w:rPr>
          <w:rFonts w:eastAsia="Arial" w:cs="Sylfaen"/>
          <w:b w:val="0"/>
          <w:color w:val="1C1E21"/>
          <w:szCs w:val="22"/>
          <w:lang w:val="hy-AM" w:eastAsia="en-US"/>
        </w:rPr>
        <w:t>ի</w:t>
      </w:r>
      <w:r w:rsidRPr="00C0193D">
        <w:rPr>
          <w:rFonts w:eastAsia="Arial" w:cs="Sylfaen"/>
          <w:b w:val="0"/>
          <w:color w:val="1C1E21"/>
          <w:szCs w:val="22"/>
          <w:lang w:val="hy-AM" w:eastAsia="en-US"/>
        </w:rPr>
        <w:t>րավաբանական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անձանց</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պետական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ռեգիստրի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գործակալության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ինչպես</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գոյություն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ունեցող</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այնպես</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բիզնես</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ստեղծելու</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և</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վարելու</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հետ</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կապված</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բոլոր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գործառույթների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թվայնացմանը</w:t>
      </w:r>
      <w:r w:rsidRPr="00C0193D">
        <w:rPr>
          <w:rFonts w:eastAsia="Arial" w:cs="Arial"/>
          <w:b w:val="0"/>
          <w:color w:val="1C1E21"/>
          <w:szCs w:val="22"/>
          <w:lang w:val="hy-AM" w:eastAsia="en-US"/>
        </w:rPr>
        <w:t>:</w:t>
      </w:r>
    </w:p>
    <w:p w14:paraId="7492953E" w14:textId="77777777" w:rsidR="00FF26E5" w:rsidRPr="00C0193D" w:rsidRDefault="00FF26E5" w:rsidP="00835DBE">
      <w:pPr>
        <w:pStyle w:val="ListParagraph"/>
        <w:numPr>
          <w:ilvl w:val="0"/>
          <w:numId w:val="51"/>
        </w:numPr>
        <w:tabs>
          <w:tab w:val="left" w:pos="567"/>
          <w:tab w:val="left" w:pos="851"/>
        </w:tabs>
        <w:ind w:left="0" w:firstLine="0"/>
        <w:rPr>
          <w:rFonts w:eastAsia="Arial" w:cs="Arial"/>
          <w:b w:val="0"/>
          <w:color w:val="1C1E21"/>
          <w:szCs w:val="22"/>
          <w:lang w:val="hy-AM" w:eastAsia="en-US"/>
        </w:rPr>
      </w:pPr>
      <w:r w:rsidRPr="00C0193D">
        <w:rPr>
          <w:rFonts w:eastAsia="Arial" w:cs="Sylfaen"/>
          <w:b w:val="0"/>
          <w:color w:val="1C1E21"/>
          <w:szCs w:val="22"/>
          <w:lang w:val="hy-AM" w:eastAsia="en-US"/>
        </w:rPr>
        <w:t>Արդիականացնել</w:t>
      </w:r>
      <w:r w:rsidRPr="00C0193D">
        <w:rPr>
          <w:rFonts w:eastAsia="Arial" w:cs="Arial"/>
          <w:b w:val="0"/>
          <w:color w:val="1C1E21"/>
          <w:szCs w:val="22"/>
          <w:lang w:val="hy-AM" w:eastAsia="en-US"/>
        </w:rPr>
        <w:t xml:space="preserve"> «e-penitentiary» </w:t>
      </w:r>
      <w:r w:rsidRPr="00C0193D">
        <w:rPr>
          <w:rFonts w:eastAsia="Arial" w:cs="Sylfaen"/>
          <w:b w:val="0"/>
          <w:color w:val="1C1E21"/>
          <w:szCs w:val="22"/>
          <w:lang w:val="hy-AM" w:eastAsia="en-US"/>
        </w:rPr>
        <w:t>էլեկտրոնային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կառավարման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համակարգը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որը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կատարված</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բիզնես</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գործընթացների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վերլուծության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արդյունքների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համաձայն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ենթադրում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ըստ</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էության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նոր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համակարգի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մշակում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և</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ներդնում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քանի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որ</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առկա</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ծրագիրը</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հնացել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անվտանգության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առումով</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խոցելի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է</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չի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բավարարում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ներկա</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պահանջներին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և</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այն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արդիականացնելու</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դեպքում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չի</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կարող</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ամբողջապես</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լուծել</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քրեակատարողական</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համակարգում</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առաջացած</w:t>
      </w:r>
      <w:r w:rsidRPr="00C0193D">
        <w:rPr>
          <w:rFonts w:eastAsia="Arial" w:cs="Arial"/>
          <w:b w:val="0"/>
          <w:color w:val="1C1E21"/>
          <w:szCs w:val="22"/>
          <w:lang w:val="hy-AM" w:eastAsia="en-US"/>
        </w:rPr>
        <w:t xml:space="preserve"> </w:t>
      </w:r>
      <w:r w:rsidRPr="00C0193D">
        <w:rPr>
          <w:rFonts w:eastAsia="Arial" w:cs="Sylfaen"/>
          <w:b w:val="0"/>
          <w:color w:val="1C1E21"/>
          <w:szCs w:val="22"/>
          <w:lang w:val="hy-AM" w:eastAsia="en-US"/>
        </w:rPr>
        <w:t>խնդիրները</w:t>
      </w:r>
      <w:r w:rsidRPr="00C0193D">
        <w:rPr>
          <w:rFonts w:eastAsia="Arial" w:cs="Arial"/>
          <w:b w:val="0"/>
          <w:color w:val="1C1E21"/>
          <w:szCs w:val="22"/>
          <w:lang w:val="hy-AM" w:eastAsia="en-US"/>
        </w:rPr>
        <w:t>:</w:t>
      </w:r>
    </w:p>
    <w:p w14:paraId="36746522" w14:textId="77777777" w:rsidR="00D24128" w:rsidRPr="0009272D" w:rsidRDefault="00FF26E5" w:rsidP="00835DBE">
      <w:pPr>
        <w:tabs>
          <w:tab w:val="left" w:pos="851"/>
          <w:tab w:val="left" w:pos="993"/>
        </w:tabs>
        <w:rPr>
          <w:rFonts w:eastAsiaTheme="majorEastAsia" w:cstheme="majorBidi"/>
          <w:bCs/>
          <w:color w:val="1F497D" w:themeColor="text2"/>
          <w:sz w:val="24"/>
          <w:lang w:val="hy-AM" w:eastAsia="en-US"/>
        </w:rPr>
      </w:pPr>
      <w:r w:rsidRPr="00D24128">
        <w:rPr>
          <w:rFonts w:eastAsiaTheme="majorEastAsia" w:cstheme="majorBidi"/>
          <w:bCs/>
          <w:color w:val="1F497D" w:themeColor="text2"/>
          <w:sz w:val="24"/>
          <w:lang w:val="hy-AM" w:eastAsia="en-US"/>
        </w:rPr>
        <w:t xml:space="preserve">Հակակոռուպցիոն </w:t>
      </w:r>
      <w:r w:rsidR="00F35FC6" w:rsidRPr="0009272D">
        <w:rPr>
          <w:rFonts w:eastAsiaTheme="majorEastAsia" w:cstheme="majorBidi"/>
          <w:bCs/>
          <w:color w:val="1F497D" w:themeColor="text2"/>
          <w:sz w:val="24"/>
          <w:lang w:val="hy-AM" w:eastAsia="en-US"/>
        </w:rPr>
        <w:t>քաղաքականություն</w:t>
      </w:r>
    </w:p>
    <w:p w14:paraId="2A589BB3" w14:textId="5EE595FA" w:rsidR="00FF26E5" w:rsidRPr="00C0193D" w:rsidRDefault="00FF26E5" w:rsidP="00835DBE">
      <w:pPr>
        <w:tabs>
          <w:tab w:val="left" w:pos="851"/>
          <w:tab w:val="left" w:pos="993"/>
        </w:tabs>
        <w:rPr>
          <w:rFonts w:eastAsia="GHEA Grapalat" w:cs="GHEA Grapalat"/>
          <w:szCs w:val="22"/>
          <w:lang w:val="hy-AM" w:eastAsia="en-US"/>
        </w:rPr>
      </w:pPr>
      <w:r w:rsidRPr="00922161">
        <w:rPr>
          <w:rFonts w:eastAsia="Arial" w:cs="Sylfaen"/>
          <w:b w:val="0"/>
          <w:color w:val="1C1E21"/>
          <w:szCs w:val="22"/>
          <w:lang w:val="hy-AM" w:eastAsia="en-US"/>
        </w:rPr>
        <w:t xml:space="preserve"> Հայաստանի</w:t>
      </w:r>
      <w:r w:rsidRPr="00C0193D">
        <w:rPr>
          <w:rFonts w:eastAsia="GHEA Grapalat" w:cs="GHEA Grapalat"/>
          <w:b w:val="0"/>
          <w:szCs w:val="22"/>
          <w:lang w:val="hy-AM" w:eastAsia="en-US"/>
        </w:rPr>
        <w:t xml:space="preserve"> Հանրապետության կառավարությունը շարունակելու է իրականացնել հակակոռուպցիոն քաղաքականությունը Հայաստանի Հանրապետության հակակոռուպցիոն ռազմավարության և դրանից բխող 2023-2026 թվականների գործողությունների ծրագրի շրջանակներում, որը ներկայումս նախագծային փուլում է և ակնկալվում է հաստատել սույն թվականի հոկտեմբերի վերջ</w:t>
      </w:r>
      <w:r w:rsidR="008763EE">
        <w:rPr>
          <w:rFonts w:eastAsia="GHEA Grapalat" w:cs="GHEA Grapalat"/>
          <w:b w:val="0"/>
          <w:szCs w:val="22"/>
          <w:lang w:val="hy-AM" w:eastAsia="en-US"/>
        </w:rPr>
        <w:t>ին</w:t>
      </w:r>
      <w:r w:rsidRPr="00C0193D">
        <w:rPr>
          <w:rFonts w:eastAsia="GHEA Grapalat" w:cs="GHEA Grapalat"/>
          <w:b w:val="0"/>
          <w:szCs w:val="22"/>
          <w:lang w:val="hy-AM" w:eastAsia="en-US"/>
        </w:rPr>
        <w:t>։</w:t>
      </w:r>
    </w:p>
    <w:p w14:paraId="2459ED68" w14:textId="77777777" w:rsidR="00FF26E5" w:rsidRPr="00C0193D" w:rsidRDefault="00FF26E5" w:rsidP="00835DBE">
      <w:pPr>
        <w:rPr>
          <w:rFonts w:eastAsia="GHEA Grapalat" w:cs="GHEA Grapalat"/>
          <w:b w:val="0"/>
          <w:szCs w:val="22"/>
          <w:lang w:val="hy-AM" w:eastAsia="en-US"/>
        </w:rPr>
      </w:pPr>
      <w:r w:rsidRPr="00C0193D">
        <w:rPr>
          <w:rFonts w:eastAsia="GHEA Grapalat" w:cs="GHEA Grapalat"/>
          <w:b w:val="0"/>
          <w:szCs w:val="22"/>
          <w:lang w:val="hy-AM" w:eastAsia="en-US"/>
        </w:rPr>
        <w:t xml:space="preserve">Վերոնշյալ ռազմավարության շրջանակներում հիմնական թիրախային նպատակները հանգում են հետևյալին՝ </w:t>
      </w:r>
    </w:p>
    <w:p w14:paraId="28F57E48" w14:textId="77777777" w:rsidR="00FF26E5" w:rsidRPr="00C0193D" w:rsidRDefault="00FF26E5" w:rsidP="00835DBE">
      <w:pPr>
        <w:numPr>
          <w:ilvl w:val="0"/>
          <w:numId w:val="35"/>
        </w:numPr>
        <w:tabs>
          <w:tab w:val="left" w:pos="567"/>
        </w:tabs>
        <w:ind w:left="0" w:firstLine="0"/>
        <w:rPr>
          <w:rFonts w:eastAsia="GHEA Grapalat" w:cs="GHEA Grapalat"/>
          <w:b w:val="0"/>
          <w:szCs w:val="22"/>
          <w:lang w:val="hy-AM" w:eastAsia="en-US"/>
        </w:rPr>
      </w:pPr>
      <w:r w:rsidRPr="00C0193D">
        <w:rPr>
          <w:rFonts w:eastAsia="GHEA Grapalat" w:cs="GHEA Grapalat"/>
          <w:b w:val="0"/>
          <w:bCs/>
          <w:szCs w:val="22"/>
          <w:lang w:val="hy-AM" w:eastAsia="en-US"/>
        </w:rPr>
        <w:t>Կկատարելագործվի կոռուպցիայի կանխարգելման և բարեվարքության ամրապնդման մեխանիզմները՝ կոռուպցիայի կանխարգելման և բարեվարքության համակարգի տարրերին առնչվող օրենսդրական դաշտի համապարփակ և միասնական կարգավորումներ ներդնելով։ Նշվածի արդյունքում կվերանայվեն կենտրոնական և ՏԻՄ մարմիններում վարքագծի կանոնների առկա կառուցակարգերը, վերոգրյալ մարմիններում կներդրվեն կոռուպցիոն ռիսկերի գնահատման և կառավարման համակարգեր, կներդրվեն իրավական ակտերի նախագծերի հակակոռուպցիոն փորձաքննության նոր մեխանիզմներ, կկատարելագործվեն կուսակցությունների ֆինանսական գործունեության նկատմամբ վերահսկողության մեխանիզմները և կոռուպցիայի կանխարգելման ոլորտին առնչվող այլ կառուցակարգերը, կհզորացվեն կոռուպցիայի կանխարգելման ինստիտուցիոնալ մարմինների կարողությունները։</w:t>
      </w:r>
    </w:p>
    <w:p w14:paraId="6CFA5F47" w14:textId="77777777" w:rsidR="00FF26E5" w:rsidRPr="00C0193D" w:rsidRDefault="00FF26E5" w:rsidP="00835DBE">
      <w:pPr>
        <w:numPr>
          <w:ilvl w:val="0"/>
          <w:numId w:val="35"/>
        </w:numPr>
        <w:tabs>
          <w:tab w:val="left" w:pos="567"/>
        </w:tabs>
        <w:ind w:left="0" w:firstLine="0"/>
        <w:rPr>
          <w:rFonts w:eastAsia="GHEA Grapalat" w:cs="GHEA Grapalat"/>
          <w:b w:val="0"/>
          <w:bCs/>
          <w:szCs w:val="22"/>
          <w:lang w:val="hy-AM" w:eastAsia="en-US"/>
        </w:rPr>
      </w:pPr>
      <w:r w:rsidRPr="00C0193D">
        <w:rPr>
          <w:rFonts w:eastAsia="GHEA Grapalat" w:cs="GHEA Grapalat"/>
          <w:b w:val="0"/>
          <w:bCs/>
          <w:szCs w:val="22"/>
          <w:lang w:val="hy-AM" w:eastAsia="en-US"/>
        </w:rPr>
        <w:t xml:space="preserve">Կներդրվեն և կկատարելագործվեն գործարար բարեվարքության, գործարար իրավունքների պաշտպանության կառուցակարգերը, պետություն-բիզնես վարչարարությունը կդյուրինացվի։ Նշվածը կապահովվի Կորպորատիվ կառավարման նոր կանոնագիրքը հաստատելու, պետություն-բիզնես հարաբերություններում գործարարների իրավունքների պաշտպանության համատեքստում Մարդու իրավունքների պաշտպանի իրավասությունների և կարողությունների ընդլայնման, հարկային և մաքսային </w:t>
      </w:r>
      <w:r w:rsidRPr="00C0193D">
        <w:rPr>
          <w:rFonts w:eastAsia="GHEA Grapalat" w:cs="GHEA Grapalat"/>
          <w:b w:val="0"/>
          <w:bCs/>
          <w:szCs w:val="22"/>
          <w:lang w:val="hy-AM" w:eastAsia="en-US"/>
        </w:rPr>
        <w:lastRenderedPageBreak/>
        <w:t>ոլորտներում հակակոռուպցիոն և բարեվարքության մեխանիզմների կատարելագործման, իրավաբանական անձանց իրական շահառուների բացահայտման ինստիտուտի զարգացման և այլ գործողություններով։</w:t>
      </w:r>
    </w:p>
    <w:p w14:paraId="5C261FCD" w14:textId="77777777" w:rsidR="00FF26E5" w:rsidRPr="00C0193D" w:rsidRDefault="00FF26E5" w:rsidP="00835DBE">
      <w:pPr>
        <w:numPr>
          <w:ilvl w:val="0"/>
          <w:numId w:val="35"/>
        </w:numPr>
        <w:tabs>
          <w:tab w:val="left" w:pos="567"/>
        </w:tabs>
        <w:ind w:left="0" w:firstLine="0"/>
        <w:rPr>
          <w:rFonts w:eastAsia="GHEA Grapalat" w:cs="GHEA Grapalat"/>
          <w:b w:val="0"/>
          <w:bCs/>
          <w:szCs w:val="22"/>
          <w:lang w:val="hy-AM" w:eastAsia="en-US"/>
        </w:rPr>
      </w:pPr>
      <w:r w:rsidRPr="00C0193D">
        <w:rPr>
          <w:rFonts w:eastAsia="GHEA Grapalat" w:cs="GHEA Grapalat"/>
          <w:b w:val="0"/>
          <w:bCs/>
          <w:szCs w:val="22"/>
          <w:lang w:val="hy-AM" w:eastAsia="en-US"/>
        </w:rPr>
        <w:t>Կհզորացվեն կոռուպցիայի դեմ պայքար մղող իրավապահ մարմինների, հակակոռուպցիոն դատարանների ինստիտուցիոնալ կարողությունները, կկատարելագործվեն կոռուպցիոն հանցագործությունների արդյունքում ձեռք բերված գույքի, ապօրինի ծագում ունեցող գույքի վերադարձի և կառավարման, իրավաբանական անձանց քրեական պատասխանատվության և ազդարարման կառուցակարգերը։</w:t>
      </w:r>
    </w:p>
    <w:p w14:paraId="3D9EE2CD" w14:textId="77777777" w:rsidR="00FF26E5" w:rsidRPr="00C0193D" w:rsidRDefault="00FF26E5" w:rsidP="00835DBE">
      <w:pPr>
        <w:numPr>
          <w:ilvl w:val="0"/>
          <w:numId w:val="35"/>
        </w:numPr>
        <w:tabs>
          <w:tab w:val="left" w:pos="567"/>
          <w:tab w:val="left" w:pos="709"/>
          <w:tab w:val="left" w:pos="851"/>
        </w:tabs>
        <w:ind w:left="0" w:firstLine="0"/>
        <w:rPr>
          <w:rFonts w:eastAsia="GHEA Grapalat" w:cs="GHEA Grapalat"/>
          <w:b w:val="0"/>
          <w:bCs/>
          <w:szCs w:val="22"/>
          <w:lang w:val="hy-AM" w:eastAsia="en-US"/>
        </w:rPr>
      </w:pPr>
      <w:r w:rsidRPr="00C0193D">
        <w:rPr>
          <w:rFonts w:eastAsia="GHEA Grapalat" w:cs="GHEA Grapalat"/>
          <w:b w:val="0"/>
          <w:bCs/>
          <w:szCs w:val="22"/>
          <w:lang w:val="hy-AM" w:eastAsia="en-US"/>
        </w:rPr>
        <w:t xml:space="preserve"> Կներդրվի շարունակական հակակոռուպցիոն կրթություն՝ մանկապարտեզ-դպրոց-բուհ կրթական շղթայով, կկատարելագործվի հանրային իրազեկման կառուցակարգերը և այդ </w:t>
      </w:r>
      <w:r w:rsidRPr="00C0193D">
        <w:rPr>
          <w:rFonts w:eastAsia="GHEA Grapalat" w:cs="GHEA Grapalat"/>
          <w:b w:val="0"/>
          <w:color w:val="000000"/>
          <w:szCs w:val="22"/>
          <w:lang w:val="hy-AM" w:eastAsia="en-US"/>
        </w:rPr>
        <w:t>միջոցներով կսերմանվի կոռուպցիայի նկատմամբ ժխտողական վերաբերմունքը։</w:t>
      </w:r>
    </w:p>
    <w:p w14:paraId="136F9875"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Կկատարելագործվեն հակակոռուպցիոն ռազմավարության իրականացման նկատմամբ մոնիթորինգի և համակարգման ինստիտուտները և կարգավորումները, կթվայնացվեն գործընթացները և այլն:</w:t>
      </w:r>
    </w:p>
    <w:p w14:paraId="3B388D02" w14:textId="77777777" w:rsidR="00D24128" w:rsidRPr="0009272D" w:rsidRDefault="00FF26E5" w:rsidP="00835DBE">
      <w:pPr>
        <w:tabs>
          <w:tab w:val="left" w:pos="567"/>
          <w:tab w:val="left" w:pos="851"/>
          <w:tab w:val="left" w:pos="993"/>
        </w:tabs>
        <w:rPr>
          <w:rFonts w:eastAsiaTheme="majorEastAsia" w:cstheme="majorBidi"/>
          <w:bCs/>
          <w:color w:val="1F497D" w:themeColor="text2"/>
          <w:sz w:val="24"/>
          <w:lang w:val="hy-AM" w:eastAsia="en-US"/>
        </w:rPr>
      </w:pPr>
      <w:r w:rsidRPr="00D24128">
        <w:rPr>
          <w:rFonts w:eastAsiaTheme="majorEastAsia" w:cstheme="majorBidi"/>
          <w:bCs/>
          <w:color w:val="1F497D" w:themeColor="text2"/>
          <w:sz w:val="24"/>
          <w:lang w:val="hy-AM" w:eastAsia="en-US"/>
        </w:rPr>
        <w:t xml:space="preserve">Քրեակատարողական և </w:t>
      </w:r>
      <w:r w:rsidR="00D24128">
        <w:rPr>
          <w:rFonts w:eastAsiaTheme="majorEastAsia" w:cstheme="majorBidi"/>
          <w:bCs/>
          <w:color w:val="1F497D" w:themeColor="text2"/>
          <w:sz w:val="24"/>
          <w:lang w:val="hy-AM" w:eastAsia="en-US"/>
        </w:rPr>
        <w:t>պրոբացիա</w:t>
      </w:r>
      <w:r w:rsidR="00F35FC6" w:rsidRPr="0009272D">
        <w:rPr>
          <w:rFonts w:eastAsiaTheme="majorEastAsia" w:cstheme="majorBidi"/>
          <w:bCs/>
          <w:color w:val="1F497D" w:themeColor="text2"/>
          <w:sz w:val="24"/>
          <w:lang w:val="hy-AM" w:eastAsia="en-US"/>
        </w:rPr>
        <w:t>յի համակարգ</w:t>
      </w:r>
    </w:p>
    <w:p w14:paraId="03864AAA" w14:textId="77777777" w:rsidR="00FF26E5" w:rsidRPr="00C0193D" w:rsidRDefault="00FF26E5" w:rsidP="00835DBE">
      <w:pPr>
        <w:tabs>
          <w:tab w:val="left" w:pos="567"/>
          <w:tab w:val="left" w:pos="851"/>
          <w:tab w:val="left" w:pos="993"/>
        </w:tabs>
        <w:rPr>
          <w:rFonts w:eastAsia="Calibri" w:cs="Sylfaen"/>
          <w:b w:val="0"/>
          <w:szCs w:val="22"/>
          <w:lang w:val="hy-AM" w:eastAsia="en-US"/>
        </w:rPr>
      </w:pPr>
      <w:r w:rsidRPr="00170014">
        <w:rPr>
          <w:rFonts w:eastAsia="Calibri" w:cs="Calibri"/>
          <w:b w:val="0"/>
          <w:szCs w:val="22"/>
          <w:lang w:val="hy-AM" w:eastAsia="en-US"/>
        </w:rPr>
        <w:t xml:space="preserve"> </w:t>
      </w:r>
      <w:r w:rsidRPr="00170014">
        <w:rPr>
          <w:rFonts w:eastAsia="Calibri" w:cs="Sylfaen"/>
          <w:b w:val="0"/>
          <w:szCs w:val="22"/>
          <w:lang w:val="hy-AM" w:eastAsia="en-US"/>
        </w:rPr>
        <w:t>Կառավարությունը</w:t>
      </w:r>
      <w:r w:rsidRPr="00170014">
        <w:rPr>
          <w:rFonts w:eastAsia="Calibri" w:cs="Calibri"/>
          <w:b w:val="0"/>
          <w:szCs w:val="22"/>
          <w:lang w:val="hy-AM" w:eastAsia="en-US"/>
        </w:rPr>
        <w:t xml:space="preserve"> </w:t>
      </w:r>
      <w:r w:rsidRPr="00170014">
        <w:rPr>
          <w:rFonts w:eastAsia="Calibri" w:cs="Sylfaen"/>
          <w:b w:val="0"/>
          <w:szCs w:val="22"/>
          <w:lang w:val="hy-AM" w:eastAsia="en-US"/>
        </w:rPr>
        <w:t>շարունակելու</w:t>
      </w:r>
      <w:r w:rsidRPr="00170014">
        <w:rPr>
          <w:rFonts w:eastAsia="Calibri" w:cs="Calibri"/>
          <w:b w:val="0"/>
          <w:szCs w:val="22"/>
          <w:lang w:val="hy-AM" w:eastAsia="en-US"/>
        </w:rPr>
        <w:t xml:space="preserve"> </w:t>
      </w:r>
      <w:r w:rsidRPr="00170014">
        <w:rPr>
          <w:rFonts w:eastAsia="Calibri" w:cs="Sylfaen"/>
          <w:b w:val="0"/>
          <w:szCs w:val="22"/>
          <w:lang w:val="hy-AM" w:eastAsia="en-US"/>
        </w:rPr>
        <w:t>է</w:t>
      </w:r>
      <w:r w:rsidRPr="00170014">
        <w:rPr>
          <w:rFonts w:eastAsia="Calibri" w:cs="Calibri"/>
          <w:b w:val="0"/>
          <w:szCs w:val="22"/>
          <w:lang w:val="hy-AM" w:eastAsia="en-US"/>
        </w:rPr>
        <w:t xml:space="preserve"> </w:t>
      </w:r>
      <w:r w:rsidRPr="00170014">
        <w:rPr>
          <w:rFonts w:eastAsia="Calibri" w:cs="Sylfaen"/>
          <w:b w:val="0"/>
          <w:szCs w:val="22"/>
          <w:lang w:val="hy-AM" w:eastAsia="en-US"/>
        </w:rPr>
        <w:t>վճռական</w:t>
      </w:r>
      <w:r w:rsidRPr="00C0193D">
        <w:rPr>
          <w:rFonts w:eastAsia="Calibri" w:cs="Calibri"/>
          <w:b w:val="0"/>
          <w:szCs w:val="22"/>
          <w:lang w:val="hy-AM" w:eastAsia="en-US"/>
        </w:rPr>
        <w:t xml:space="preserve"> </w:t>
      </w:r>
      <w:r w:rsidRPr="00C0193D">
        <w:rPr>
          <w:rFonts w:eastAsia="Calibri" w:cs="Sylfaen"/>
          <w:b w:val="0"/>
          <w:szCs w:val="22"/>
          <w:lang w:val="hy-AM" w:eastAsia="en-US"/>
        </w:rPr>
        <w:t>մնալ</w:t>
      </w:r>
      <w:r w:rsidRPr="00C0193D">
        <w:rPr>
          <w:rFonts w:eastAsia="Calibri" w:cs="Calibri"/>
          <w:b w:val="0"/>
          <w:szCs w:val="22"/>
          <w:lang w:val="hy-AM" w:eastAsia="en-US"/>
        </w:rPr>
        <w:t xml:space="preserve"> </w:t>
      </w:r>
      <w:r w:rsidRPr="00C0193D">
        <w:rPr>
          <w:rFonts w:eastAsia="Calibri" w:cs="Sylfaen"/>
          <w:b w:val="0"/>
          <w:szCs w:val="22"/>
          <w:lang w:val="hy-AM" w:eastAsia="en-US"/>
        </w:rPr>
        <w:t>վերականգնողական</w:t>
      </w:r>
      <w:r w:rsidRPr="00C0193D">
        <w:rPr>
          <w:rFonts w:eastAsia="Calibri" w:cs="Calibri"/>
          <w:b w:val="0"/>
          <w:szCs w:val="22"/>
          <w:lang w:val="hy-AM" w:eastAsia="en-US"/>
        </w:rPr>
        <w:t xml:space="preserve"> </w:t>
      </w:r>
      <w:r w:rsidRPr="00C0193D">
        <w:rPr>
          <w:rFonts w:eastAsia="Calibri" w:cs="Sylfaen"/>
          <w:b w:val="0"/>
          <w:szCs w:val="22"/>
          <w:lang w:val="hy-AM" w:eastAsia="en-US"/>
        </w:rPr>
        <w:t>արդարադատության</w:t>
      </w:r>
      <w:r w:rsidRPr="00C0193D">
        <w:rPr>
          <w:rFonts w:eastAsia="Calibri" w:cs="Calibri"/>
          <w:b w:val="0"/>
          <w:szCs w:val="22"/>
          <w:lang w:val="hy-AM" w:eastAsia="en-US"/>
        </w:rPr>
        <w:t xml:space="preserve"> </w:t>
      </w:r>
      <w:r w:rsidRPr="00C0193D">
        <w:rPr>
          <w:rFonts w:eastAsia="Calibri" w:cs="Sylfaen"/>
          <w:b w:val="0"/>
          <w:szCs w:val="22"/>
          <w:lang w:val="hy-AM" w:eastAsia="en-US"/>
        </w:rPr>
        <w:t>սկզբունքների</w:t>
      </w:r>
      <w:r w:rsidRPr="00C0193D">
        <w:rPr>
          <w:rFonts w:eastAsia="Calibri" w:cs="Calibri"/>
          <w:b w:val="0"/>
          <w:szCs w:val="22"/>
          <w:lang w:val="hy-AM" w:eastAsia="en-US"/>
        </w:rPr>
        <w:t xml:space="preserve"> </w:t>
      </w:r>
      <w:r w:rsidRPr="00C0193D">
        <w:rPr>
          <w:rFonts w:eastAsia="Calibri" w:cs="Sylfaen"/>
          <w:b w:val="0"/>
          <w:szCs w:val="22"/>
          <w:lang w:val="hy-AM" w:eastAsia="en-US"/>
        </w:rPr>
        <w:t>արմատավորման, ինչպես նաև քրեակատարողական համակարգի կայուն զարգացումն ապահովելու</w:t>
      </w:r>
      <w:r w:rsidRPr="00C0193D">
        <w:rPr>
          <w:rFonts w:eastAsia="Calibri" w:cs="Calibri"/>
          <w:b w:val="0"/>
          <w:szCs w:val="22"/>
          <w:lang w:val="hy-AM" w:eastAsia="en-US"/>
        </w:rPr>
        <w:t xml:space="preserve"> </w:t>
      </w:r>
      <w:r w:rsidRPr="00C0193D">
        <w:rPr>
          <w:rFonts w:eastAsia="Calibri" w:cs="Sylfaen"/>
          <w:b w:val="0"/>
          <w:szCs w:val="22"/>
          <w:lang w:val="hy-AM" w:eastAsia="en-US"/>
        </w:rPr>
        <w:t>հարցում:</w:t>
      </w:r>
    </w:p>
    <w:p w14:paraId="51EB136E" w14:textId="77777777" w:rsidR="00FF26E5" w:rsidRPr="00C0193D" w:rsidRDefault="00FF26E5" w:rsidP="00835DBE">
      <w:pPr>
        <w:tabs>
          <w:tab w:val="left" w:pos="0"/>
          <w:tab w:val="left" w:pos="567"/>
        </w:tabs>
        <w:rPr>
          <w:rFonts w:eastAsiaTheme="minorHAnsi" w:cstheme="minorBidi"/>
          <w:b w:val="0"/>
          <w:szCs w:val="22"/>
          <w:lang w:val="hy-AM" w:eastAsia="en-US"/>
        </w:rPr>
      </w:pPr>
      <w:r w:rsidRPr="00C0193D">
        <w:rPr>
          <w:rFonts w:eastAsiaTheme="minorHAnsi" w:cs="Sylfaen"/>
          <w:b w:val="0"/>
          <w:szCs w:val="22"/>
          <w:lang w:val="hy-AM" w:eastAsia="en-US"/>
        </w:rPr>
        <w:t>Այս համատեքստում հիմնական թիրախային ուղղությունները լինելու են.</w:t>
      </w:r>
    </w:p>
    <w:p w14:paraId="42553B3A"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 xml:space="preserve"> զարգացնել Պրոբացիայի ծառայության կարողությունները և հզորացնել կադրային ներուժը, ինչպես նաև բարելավել սոցիալական երաշխիքները. </w:t>
      </w:r>
    </w:p>
    <w:p w14:paraId="5ACDF8DC"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խթանել պրոբացիայի համակարգում էլեկտրոնային կառավարման գործիքների կիրառումը՝ ամբողջությամբ գործարկելով E-probation էլեկտրոնային կառավարման համակարգը և դրանով իսկ ապահովելով պրոբացիայի ծառայողների աշխատանքի թվայնացումը, փաստաթղթաշրջանառության կրճատումը, հաշվետու և թափանցիկ աշխատանքը, ինչպես նաև կոռուպցիոն ռիսկերի նվազեցումը.</w:t>
      </w:r>
    </w:p>
    <w:p w14:paraId="2AD0F321"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ազատությունից զրկելուն այլընտրանք հանդիսացող նոր պատժատեսակների և խափանման միջոցների արդյունավետ կիրառման նպատակով</w:t>
      </w:r>
      <w:r w:rsidR="00D854D1" w:rsidRPr="00C0193D">
        <w:rPr>
          <w:rFonts w:eastAsia="GHEA Grapalat" w:cs="GHEA Grapalat"/>
          <w:b w:val="0"/>
          <w:color w:val="000000"/>
          <w:szCs w:val="22"/>
          <w:lang w:val="hy-AM" w:eastAsia="en-US"/>
        </w:rPr>
        <w:t xml:space="preserve"> </w:t>
      </w:r>
      <w:r w:rsidRPr="00C0193D">
        <w:rPr>
          <w:rFonts w:eastAsia="GHEA Grapalat" w:cs="GHEA Grapalat"/>
          <w:b w:val="0"/>
          <w:color w:val="000000"/>
          <w:szCs w:val="22"/>
          <w:lang w:val="hy-AM" w:eastAsia="en-US"/>
        </w:rPr>
        <w:t>Պրոբացիայի ծառայությանը զինել էլեկտրոնային հսկողության համար անհրաժեշտ միջոցներով ու ենթակառուցվածքներով և, ըստ այդմ, ապահովել իրավակիրառ պրակտիկայում էլեկտրոնային հսկողության փաստացի կիրառումը.</w:t>
      </w:r>
    </w:p>
    <w:p w14:paraId="2D0BFF59"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օպտիմալացնել քրեակատարողական հիմնարկները և դրա արդյունքներով տնտեսված միջոցներն արդյունավետ բաշխել և ուղղորդել այլ քրեակատարողական հիմնարկներում ազատությունից զրկված անձանց պահման պայմանները բարելավմանը.</w:t>
      </w:r>
    </w:p>
    <w:p w14:paraId="404FC250"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lastRenderedPageBreak/>
        <w:t>ապահովել քրեակատարողական հիմնարկներում գտնվող հաշմանդամություն ունեցող անձանց, անչափահասների, մինչև 3 տարեկան երեխա ունեցող և հղի կանանց համար անհրաժեշտ և մատչելի պայմանները.</w:t>
      </w:r>
    </w:p>
    <w:p w14:paraId="4EDE4DC1"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վերազինել քրեակատարողական հիմնարկներն արդի ինժեներատեխնիկական և անվտանգության ապահովման միջոցներով, այդ թվում՝ օպերատիվ կառավարման կենտրոնով՝ այդպիսով ապահովելով կադրերի հաշվետու և թափանցիկ գործելաոճը, ճգնաժամային իրավիճակի կառավարումը քրեակատարողական հաստատություններում, ինչպես նաև նվազագույնի հասցնելով կոռուպցիոն ռիսկերը.</w:t>
      </w:r>
    </w:p>
    <w:p w14:paraId="4159C506"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ապահովել ազատությունից զրկված անձանց, այդ թվում` անչափահասների կրթություն ստանալու իրավունքի շարունակականությունը, մասնագիտական կրթության նոր ծրագրերի ներդնումը, ինչպես նաև ազատությունից զրկված անձանց համար հանրակրթության իրականացումը՝ անկախ տարիքից.</w:t>
      </w:r>
    </w:p>
    <w:p w14:paraId="2BE83DD7" w14:textId="77777777" w:rsidR="00FF26E5" w:rsidRPr="00C0193D" w:rsidRDefault="00FF26E5" w:rsidP="00835DBE">
      <w:pPr>
        <w:numPr>
          <w:ilvl w:val="0"/>
          <w:numId w:val="35"/>
        </w:numPr>
        <w:tabs>
          <w:tab w:val="left" w:pos="567"/>
        </w:tabs>
        <w:ind w:left="0" w:firstLine="0"/>
        <w:rPr>
          <w:rFonts w:eastAsia="GHEA Grapalat" w:cs="GHEA Grapalat"/>
          <w:b w:val="0"/>
          <w:color w:val="000000"/>
          <w:szCs w:val="22"/>
          <w:lang w:val="hy-AM" w:eastAsia="en-US"/>
        </w:rPr>
      </w:pPr>
      <w:r w:rsidRPr="00C0193D">
        <w:rPr>
          <w:rFonts w:eastAsia="GHEA Grapalat" w:cs="GHEA Grapalat"/>
          <w:b w:val="0"/>
          <w:color w:val="000000"/>
          <w:szCs w:val="22"/>
          <w:lang w:val="hy-AM" w:eastAsia="en-US"/>
        </w:rPr>
        <w:t>ներդնել քրեակատարողական հիմնարկներում ինքնասպանության և ինքնավնասման ռիսկի վերհանման և գնահատման, ինչպես նաև հոգեկան առողջության զննության և ռիսկի գնահատման գործիքակազմը՝ նախականխելով ինքնասպանության և ինքնավնասման հետագա դեպքերի առաջացումը, ինչպես նաև նախապես բացահայտելով հոգեկան առողջության վիճակի հնարավոր խնդիրը.</w:t>
      </w:r>
    </w:p>
    <w:p w14:paraId="07991F99" w14:textId="68C5BB2B" w:rsidR="00FF26E5" w:rsidRPr="00C0193D" w:rsidRDefault="00272B9D" w:rsidP="00835DBE">
      <w:pPr>
        <w:numPr>
          <w:ilvl w:val="0"/>
          <w:numId w:val="35"/>
        </w:numPr>
        <w:tabs>
          <w:tab w:val="left" w:pos="567"/>
        </w:tabs>
        <w:ind w:left="0" w:firstLine="0"/>
        <w:rPr>
          <w:rFonts w:eastAsia="GHEA Grapalat" w:cs="GHEA Grapalat"/>
          <w:b w:val="0"/>
          <w:color w:val="000000"/>
          <w:szCs w:val="22"/>
          <w:lang w:val="hy-AM" w:eastAsia="en-US"/>
        </w:rPr>
      </w:pPr>
      <w:r>
        <w:rPr>
          <w:rFonts w:eastAsia="GHEA Grapalat" w:cs="GHEA Grapalat"/>
          <w:b w:val="0"/>
          <w:color w:val="000000"/>
          <w:szCs w:val="22"/>
          <w:lang w:val="hy-AM" w:eastAsia="en-US"/>
        </w:rPr>
        <w:t>բ</w:t>
      </w:r>
      <w:r w:rsidR="00FF26E5" w:rsidRPr="00C0193D">
        <w:rPr>
          <w:rFonts w:eastAsia="GHEA Grapalat" w:cs="GHEA Grapalat"/>
          <w:b w:val="0"/>
          <w:color w:val="000000"/>
          <w:szCs w:val="22"/>
          <w:lang w:val="hy-AM" w:eastAsia="en-US"/>
        </w:rPr>
        <w:t>արելավել քրեակատարողական ծառայողների սոցիալական երաշխիքները, ինչպես նաև նպաստել քրեակատարողական ծառայողի նոր կերպարի ձևավորմանը.</w:t>
      </w:r>
    </w:p>
    <w:p w14:paraId="185DF6CB" w14:textId="77777777" w:rsidR="00D24128" w:rsidRPr="0009272D" w:rsidRDefault="00FF26E5" w:rsidP="00835DBE">
      <w:pPr>
        <w:rPr>
          <w:rFonts w:cs="Calibri"/>
          <w:b w:val="0"/>
          <w:szCs w:val="22"/>
          <w:lang w:val="hy-AM"/>
        </w:rPr>
      </w:pPr>
      <w:r w:rsidRPr="00D24128">
        <w:rPr>
          <w:rFonts w:eastAsiaTheme="majorEastAsia" w:cstheme="majorBidi"/>
          <w:bCs/>
          <w:color w:val="1F497D" w:themeColor="text2"/>
          <w:sz w:val="24"/>
          <w:lang w:val="hy-AM" w:eastAsia="en-US"/>
        </w:rPr>
        <w:t>Մարդու իրավունքների պաշտպանությ</w:t>
      </w:r>
      <w:r w:rsidR="00D24128" w:rsidRPr="0009272D">
        <w:rPr>
          <w:rFonts w:eastAsiaTheme="majorEastAsia" w:cstheme="majorBidi"/>
          <w:bCs/>
          <w:color w:val="1F497D" w:themeColor="text2"/>
          <w:sz w:val="24"/>
          <w:lang w:val="hy-AM" w:eastAsia="en-US"/>
        </w:rPr>
        <w:t>ուն</w:t>
      </w:r>
    </w:p>
    <w:p w14:paraId="67D184CA" w14:textId="77777777" w:rsidR="00FF26E5" w:rsidRPr="00C0193D" w:rsidRDefault="00FF26E5" w:rsidP="00835DBE">
      <w:pPr>
        <w:rPr>
          <w:rFonts w:eastAsiaTheme="minorHAnsi" w:cstheme="minorBidi"/>
          <w:b w:val="0"/>
          <w:szCs w:val="22"/>
          <w:lang w:val="hy-AM" w:eastAsia="en-US"/>
        </w:rPr>
      </w:pPr>
      <w:r w:rsidRPr="00170014">
        <w:rPr>
          <w:rFonts w:eastAsiaTheme="minorHAnsi" w:cstheme="minorBidi"/>
          <w:b w:val="0"/>
          <w:szCs w:val="22"/>
          <w:lang w:val="hy-AM" w:eastAsia="en-US"/>
        </w:rPr>
        <w:t>Արդարադատության</w:t>
      </w:r>
      <w:r w:rsidRPr="00C0193D">
        <w:rPr>
          <w:rFonts w:eastAsiaTheme="minorHAnsi" w:cstheme="minorBidi"/>
          <w:b w:val="0"/>
          <w:szCs w:val="22"/>
          <w:lang w:val="hy-AM" w:eastAsia="en-US"/>
        </w:rPr>
        <w:t xml:space="preserve"> նախարարությունը շարունակելու է իրականացնել ոլորտի բարեփոխումները Մարդու իրավունքների պաշտպանության ազգային ռազմավարությունից բխող 2023-2025թթ. գործողությունների ծրագրին (այսուհետ՝ Ծրագիր)  համապատասխան: </w:t>
      </w:r>
    </w:p>
    <w:p w14:paraId="6BE01851" w14:textId="77777777" w:rsidR="00FF26E5" w:rsidRPr="00C0193D" w:rsidRDefault="00FF26E5" w:rsidP="00835DBE">
      <w:pPr>
        <w:rPr>
          <w:rFonts w:eastAsiaTheme="minorHAnsi" w:cstheme="minorBidi"/>
          <w:b w:val="0"/>
          <w:szCs w:val="22"/>
          <w:lang w:val="hy-AM" w:eastAsia="en-US"/>
        </w:rPr>
      </w:pPr>
      <w:r w:rsidRPr="00C0193D">
        <w:rPr>
          <w:rFonts w:eastAsiaTheme="minorHAnsi" w:cstheme="minorBidi"/>
          <w:b w:val="0"/>
          <w:szCs w:val="22"/>
          <w:lang w:val="hy-AM" w:eastAsia="en-US"/>
        </w:rPr>
        <w:t xml:space="preserve">Ներառական քննարկումների արդյունքում Ծրագրում նախատեսվել են միջոցառումներ՝ միտված մարդու իրավունքների պաշտպանության ոլորտում առկա խնդիրների վերհանմանն ու ինստիտուցիոնալ կերպով դրանց հասցեագրմանը: </w:t>
      </w:r>
    </w:p>
    <w:p w14:paraId="0F11BA97" w14:textId="77777777" w:rsidR="00FF26E5" w:rsidRPr="00C0193D" w:rsidRDefault="00FF26E5" w:rsidP="00835DBE">
      <w:pPr>
        <w:rPr>
          <w:rFonts w:eastAsiaTheme="minorHAnsi" w:cstheme="minorBidi"/>
          <w:b w:val="0"/>
          <w:szCs w:val="22"/>
          <w:lang w:val="hy-AM" w:eastAsia="en-US"/>
        </w:rPr>
      </w:pPr>
      <w:r w:rsidRPr="00C0193D">
        <w:rPr>
          <w:rFonts w:eastAsiaTheme="minorHAnsi" w:cstheme="minorBidi"/>
          <w:b w:val="0"/>
          <w:szCs w:val="22"/>
          <w:lang w:val="hy-AM" w:eastAsia="en-US"/>
        </w:rPr>
        <w:t xml:space="preserve">Նախատեսվում է ազատությունից զրկման վայրերում ներդնել խոշտանգումների, անմարդկային կամ արժանապատվությունը նվաստացնող վերաբերմունքի կամ պատժի մասին անանուն հաղորդումներ ներկայացնելու միջոցներ, Արդարադատության ակադեմիայում դատավորների և դատավորների թեկնածուների ցուցակում ընդգրկված անձանց տարեկան վերապատրաստման ուսուցման ծրագրում մշակել և ներդնել զինվորական ծառայության կարգի դեմ ուղղված հանցագործություններին վերաբերող առանձին և համապարփակ վերապատրաստման ծրագրեր  և այլն: </w:t>
      </w:r>
    </w:p>
    <w:p w14:paraId="362FDA58" w14:textId="77777777" w:rsidR="00FF26E5" w:rsidRPr="00170014" w:rsidRDefault="00FF26E5" w:rsidP="00835DBE">
      <w:pPr>
        <w:rPr>
          <w:rFonts w:eastAsiaTheme="minorHAnsi" w:cstheme="minorBidi"/>
          <w:b w:val="0"/>
          <w:szCs w:val="22"/>
          <w:lang w:val="hy-AM" w:eastAsia="en-US"/>
        </w:rPr>
      </w:pPr>
      <w:r w:rsidRPr="00C0193D">
        <w:rPr>
          <w:rFonts w:eastAsiaTheme="minorHAnsi" w:cstheme="minorBidi"/>
          <w:b w:val="0"/>
          <w:szCs w:val="22"/>
          <w:lang w:val="hy-AM" w:eastAsia="en-US"/>
        </w:rPr>
        <w:t xml:space="preserve">Նախատեսվում է նաև ընդունել «ֆիզիկական ուժեղ ցավ» և «հոգեկան տառապանք» եզրույթների մեկնաբանման և կիրառման վերաբերյալ ուղեցույցներ՝ միջազգային լավագույն փորձին և չափանիշներին համահունչ, օրենսդրորեն նախատեսել </w:t>
      </w:r>
      <w:r w:rsidRPr="00C0193D">
        <w:rPr>
          <w:rFonts w:eastAsiaTheme="minorHAnsi" w:cstheme="minorBidi"/>
          <w:b w:val="0"/>
          <w:szCs w:val="22"/>
          <w:lang w:val="hy-AM" w:eastAsia="en-US"/>
        </w:rPr>
        <w:lastRenderedPageBreak/>
        <w:t xml:space="preserve">կատարողական վարույթների ձգձգման հետևանքով առաջացած վնասի փոխհատուցում ստանալու համար իրավական պաշտպանության արդյունավետ միջոց՝ ըստ «Ավակիմյան vs Հայաստան» ՄԻԵԴ որոշման պահանջների, օրենսդրորեն նախատեսել ազատությունից զրկված անձանց բողոքների քննության առավել արդյունավետ պաշտպանության մեխանիզմներ, ՀՀ քաղաքացիական դատավարության օրենսգրքում նախատեսել տվյալ քաղաքացու, նրա ընտանիքի անդամների իրավունքը՝ դիմելու հոգեբուժական հիվանդանոցային հարկադիր բուժման ենթարկելու վճիռը վերացնելու պահանջով, հասարակական կազմակերպությունների համար սահմանել դատարան դիմելու իրավունք հանրային նշանակության, կարևորության հարցերով, ներդնել «դատավորի ընկեր» (amicus curie) հասկացության մեխանիզմներն ու կանոնակարգերը ներպետական իրավական համակարգում, կատարելագործել պատժից պայմանական վաղաժամկետ ազատելու կամ </w:t>
      </w:r>
      <w:r w:rsidRPr="00170014">
        <w:rPr>
          <w:rFonts w:eastAsiaTheme="minorHAnsi" w:cstheme="minorBidi"/>
          <w:b w:val="0"/>
          <w:szCs w:val="22"/>
          <w:lang w:val="hy-AM" w:eastAsia="en-US"/>
        </w:rPr>
        <w:t>պատժի չկրած մասն ավելի մեղմ պատժատեսակով փոխարինելու համակարգը, որոնց համար լրացուցիչ ֆինանսավորում չի պահանջվում:</w:t>
      </w:r>
    </w:p>
    <w:p w14:paraId="64D8313E" w14:textId="77777777" w:rsidR="00D24128" w:rsidRDefault="00FF26E5" w:rsidP="00835DBE">
      <w:pPr>
        <w:rPr>
          <w:rFonts w:eastAsiaTheme="majorEastAsia" w:cstheme="majorBidi"/>
          <w:bCs/>
          <w:color w:val="1F497D" w:themeColor="text2"/>
          <w:sz w:val="24"/>
          <w:lang w:val="hy-AM" w:eastAsia="en-US"/>
        </w:rPr>
      </w:pPr>
      <w:r w:rsidRPr="00D24128">
        <w:rPr>
          <w:rFonts w:eastAsiaTheme="majorEastAsia" w:cstheme="majorBidi"/>
          <w:bCs/>
          <w:color w:val="1F497D" w:themeColor="text2"/>
          <w:sz w:val="24"/>
          <w:lang w:val="hy-AM" w:eastAsia="en-US"/>
        </w:rPr>
        <w:t xml:space="preserve">Քաղաքացիական կացության ակտերի </w:t>
      </w:r>
      <w:r w:rsidR="00D24128">
        <w:rPr>
          <w:rFonts w:eastAsiaTheme="majorEastAsia" w:cstheme="majorBidi"/>
          <w:bCs/>
          <w:color w:val="1F497D" w:themeColor="text2"/>
          <w:sz w:val="24"/>
          <w:lang w:val="hy-AM" w:eastAsia="en-US"/>
        </w:rPr>
        <w:t>գրանցում</w:t>
      </w:r>
    </w:p>
    <w:p w14:paraId="54E5F81B" w14:textId="77777777" w:rsidR="00FF26E5" w:rsidRPr="00C0193D" w:rsidRDefault="00FF26E5" w:rsidP="00835DBE">
      <w:pPr>
        <w:rPr>
          <w:rFonts w:eastAsiaTheme="minorHAnsi" w:cstheme="minorBidi"/>
          <w:b w:val="0"/>
          <w:szCs w:val="22"/>
          <w:lang w:val="hy-AM" w:eastAsia="en-US"/>
        </w:rPr>
      </w:pPr>
      <w:r w:rsidRPr="00170014">
        <w:rPr>
          <w:rFonts w:eastAsiaTheme="minorHAnsi" w:cstheme="minorBidi"/>
          <w:b w:val="0"/>
          <w:szCs w:val="22"/>
          <w:lang w:val="hy-AM" w:eastAsia="en-US"/>
        </w:rPr>
        <w:t>Նախատեսվում է ՔԿԱԳ էլեկտրոնային համակարգի /e-civil/ արդիականացում, մասնավորապես քաղաքացիական կացության ակտերի պետական գրանցման կամ ՔԿԱԳ  այլ գործառույթ կատարելու նպատակով՝ էլեկտրոնային</w:t>
      </w:r>
      <w:r w:rsidRPr="00C0193D">
        <w:rPr>
          <w:rFonts w:eastAsiaTheme="minorHAnsi" w:cstheme="minorBidi"/>
          <w:b w:val="0"/>
          <w:szCs w:val="22"/>
          <w:lang w:val="hy-AM" w:eastAsia="en-US"/>
        </w:rPr>
        <w:t xml:space="preserve"> դիմում ներկայացնելու համար էլեկտրոնային /www.justice.e-gov.am/ հարթակի միջոցով մատուցվող ծառայությունների շրջանակի ավելացում: </w:t>
      </w:r>
    </w:p>
    <w:p w14:paraId="156C02D2" w14:textId="77777777" w:rsidR="00FF26E5" w:rsidRPr="00C0193D" w:rsidRDefault="00FF26E5" w:rsidP="00835DBE">
      <w:pPr>
        <w:rPr>
          <w:rFonts w:eastAsiaTheme="minorHAnsi" w:cstheme="minorBidi"/>
          <w:b w:val="0"/>
          <w:szCs w:val="22"/>
          <w:lang w:val="hy-AM" w:eastAsia="en-US"/>
        </w:rPr>
      </w:pPr>
      <w:r w:rsidRPr="00C0193D">
        <w:rPr>
          <w:rFonts w:eastAsiaTheme="minorHAnsi" w:cstheme="minorBidi"/>
          <w:b w:val="0"/>
          <w:szCs w:val="22"/>
          <w:lang w:val="hy-AM" w:eastAsia="en-US"/>
        </w:rPr>
        <w:t>Էլեկտրոնային հարթակով մատուցվող ծառայությունների շրջանակի ավելացմամբ  կբարելավվի ՔԿԱԳ ոլորտում ծառայութնուններ մատուցող կառույցների և դիմումատուների միջև անմիջական անխափան կապի հնարավորությունը, արդյունքում նշված ոլորտում ծառայությունների մատուցման որակը էականորեն կբարելավվի:</w:t>
      </w:r>
    </w:p>
    <w:p w14:paraId="6BB4F20D" w14:textId="77777777" w:rsidR="00FF26E5" w:rsidRPr="00C0193D" w:rsidRDefault="00FF26E5" w:rsidP="00835DBE">
      <w:pPr>
        <w:rPr>
          <w:rFonts w:eastAsiaTheme="minorHAnsi" w:cstheme="minorBidi"/>
          <w:b w:val="0"/>
          <w:szCs w:val="22"/>
          <w:lang w:val="hy-AM" w:eastAsia="en-US"/>
        </w:rPr>
      </w:pPr>
      <w:r w:rsidRPr="00C0193D">
        <w:rPr>
          <w:rFonts w:eastAsiaTheme="minorHAnsi" w:cstheme="minorBidi"/>
          <w:b w:val="0"/>
          <w:szCs w:val="22"/>
          <w:lang w:val="hy-AM" w:eastAsia="en-US"/>
        </w:rPr>
        <w:t xml:space="preserve">Միաժամանակ նախատեսվում է շարունակել թվայնացնել ՔԿԱԳ փաստաթղթային արխիվի թվայնացմանն ուղղված աշխատանքները:  </w:t>
      </w:r>
    </w:p>
    <w:p w14:paraId="17B6CCAB" w14:textId="77777777" w:rsidR="00D24128" w:rsidRDefault="00FF26E5" w:rsidP="00835DBE">
      <w:pPr>
        <w:rPr>
          <w:rFonts w:eastAsiaTheme="majorEastAsia" w:cstheme="majorBidi"/>
          <w:bCs/>
          <w:color w:val="1F497D" w:themeColor="text2"/>
          <w:sz w:val="24"/>
          <w:lang w:val="hy-AM" w:eastAsia="en-US"/>
        </w:rPr>
      </w:pPr>
      <w:r w:rsidRPr="00D24128">
        <w:rPr>
          <w:rFonts w:eastAsiaTheme="majorEastAsia" w:cstheme="majorBidi"/>
          <w:bCs/>
          <w:color w:val="1F497D" w:themeColor="text2"/>
          <w:sz w:val="24"/>
          <w:lang w:val="hy-AM" w:eastAsia="en-US"/>
        </w:rPr>
        <w:t xml:space="preserve">Իրավաբանական անձանց պետական գրանցման </w:t>
      </w:r>
      <w:r w:rsidR="00D24128">
        <w:rPr>
          <w:rFonts w:eastAsiaTheme="majorEastAsia" w:cstheme="majorBidi"/>
          <w:bCs/>
          <w:color w:val="1F497D" w:themeColor="text2"/>
          <w:sz w:val="24"/>
          <w:lang w:val="hy-AM" w:eastAsia="en-US"/>
        </w:rPr>
        <w:t>ռեգիստր</w:t>
      </w:r>
      <w:r w:rsidRPr="00D24128">
        <w:rPr>
          <w:rFonts w:eastAsiaTheme="majorEastAsia" w:cstheme="majorBidi"/>
          <w:bCs/>
          <w:color w:val="1F497D" w:themeColor="text2"/>
          <w:sz w:val="24"/>
          <w:lang w:val="hy-AM" w:eastAsia="en-US"/>
        </w:rPr>
        <w:t xml:space="preserve"> </w:t>
      </w:r>
    </w:p>
    <w:p w14:paraId="5AD67DFB" w14:textId="44383F33" w:rsidR="00FF26E5" w:rsidRDefault="00FF26E5" w:rsidP="00835DBE">
      <w:pPr>
        <w:rPr>
          <w:rFonts w:eastAsiaTheme="minorHAnsi" w:cstheme="minorBidi"/>
          <w:b w:val="0"/>
          <w:szCs w:val="22"/>
          <w:lang w:val="hy-AM" w:eastAsia="en-US"/>
        </w:rPr>
      </w:pPr>
      <w:r w:rsidRPr="00C0193D">
        <w:rPr>
          <w:rFonts w:eastAsiaTheme="minorHAnsi" w:cstheme="minorBidi"/>
          <w:b w:val="0"/>
          <w:szCs w:val="22"/>
          <w:lang w:val="hy-AM" w:eastAsia="en-US"/>
        </w:rPr>
        <w:t>Նախատեսվում է ԱՆ իրավաբանական անձանց պետական ռեգիստրի գործակալության նոր տեղեկատվական համակարգի ներդրմանն ուղղված աշխատանքների իրականացում,  առցանց իրականացվող պետական գրանցման/հաշվառման գործընթացների ընդլայնում, պետական գրանցում/հաշվառում ստացած արխիվային գործերի թվայնացմանն ուղղված աշխատանքների շարունակականության ապահովում,  տարբեր համակարգերի և տվյալների շտեմարանների միջև փոխգործելիության շարունակականության ապահովում, Վարչական իրավախախտումների վերաբերյալ օրենսգրքով սահմանված վարույթների թափանցիկ և արդյունավետ իրականացմանն ուղղված օրենսդրական փոփոխությունների ապահովում, վիճակագրության և հաշվետվությունների թափանցիկության ապահովմանն ուղղված ծրագրերի շարունակականության ապահովում։</w:t>
      </w:r>
    </w:p>
    <w:p w14:paraId="3CDD5800" w14:textId="77777777" w:rsidR="006958A1" w:rsidRPr="00C0193D" w:rsidRDefault="006958A1" w:rsidP="00835DBE">
      <w:pPr>
        <w:rPr>
          <w:rFonts w:eastAsiaTheme="minorHAnsi" w:cstheme="minorBidi"/>
          <w:b w:val="0"/>
          <w:szCs w:val="22"/>
          <w:lang w:val="hy-AM" w:eastAsia="en-US"/>
        </w:rPr>
      </w:pPr>
    </w:p>
    <w:p w14:paraId="71ABF96C" w14:textId="77777777" w:rsidR="00D24128" w:rsidRDefault="00FF26E5" w:rsidP="00835DBE">
      <w:pPr>
        <w:tabs>
          <w:tab w:val="num" w:pos="0"/>
          <w:tab w:val="left" w:pos="851"/>
          <w:tab w:val="left" w:pos="993"/>
        </w:tabs>
        <w:rPr>
          <w:rFonts w:eastAsiaTheme="majorEastAsia" w:cstheme="majorBidi"/>
          <w:bCs/>
          <w:color w:val="1F497D" w:themeColor="text2"/>
          <w:sz w:val="24"/>
          <w:lang w:val="hy-AM" w:eastAsia="en-US"/>
        </w:rPr>
      </w:pPr>
      <w:r w:rsidRPr="00D24128">
        <w:rPr>
          <w:rFonts w:eastAsiaTheme="majorEastAsia" w:cstheme="majorBidi"/>
          <w:bCs/>
          <w:color w:val="1F497D" w:themeColor="text2"/>
          <w:sz w:val="24"/>
          <w:lang w:val="hy-AM" w:eastAsia="en-US"/>
        </w:rPr>
        <w:lastRenderedPageBreak/>
        <w:t>Անձնական տվյալների պաշ</w:t>
      </w:r>
      <w:r w:rsidR="00D24128">
        <w:rPr>
          <w:rFonts w:eastAsiaTheme="majorEastAsia" w:cstheme="majorBidi"/>
          <w:bCs/>
          <w:color w:val="1F497D" w:themeColor="text2"/>
          <w:sz w:val="24"/>
          <w:lang w:val="hy-AM" w:eastAsia="en-US"/>
        </w:rPr>
        <w:t>տպանությու</w:t>
      </w:r>
      <w:r w:rsidRPr="00D24128">
        <w:rPr>
          <w:rFonts w:eastAsiaTheme="majorEastAsia" w:cstheme="majorBidi"/>
          <w:bCs/>
          <w:color w:val="1F497D" w:themeColor="text2"/>
          <w:sz w:val="24"/>
          <w:lang w:val="hy-AM" w:eastAsia="en-US"/>
        </w:rPr>
        <w:t xml:space="preserve">ն </w:t>
      </w:r>
    </w:p>
    <w:p w14:paraId="6D8C8C02" w14:textId="77777777" w:rsidR="00FF26E5" w:rsidRPr="00C0193D" w:rsidRDefault="00FF26E5" w:rsidP="00835DBE">
      <w:pPr>
        <w:tabs>
          <w:tab w:val="num" w:pos="0"/>
          <w:tab w:val="left" w:pos="851"/>
          <w:tab w:val="left" w:pos="993"/>
        </w:tabs>
        <w:rPr>
          <w:rFonts w:eastAsiaTheme="minorHAnsi" w:cstheme="minorBidi"/>
          <w:b w:val="0"/>
          <w:szCs w:val="22"/>
          <w:lang w:val="hy-AM" w:eastAsia="en-US"/>
        </w:rPr>
      </w:pPr>
      <w:r w:rsidRPr="00C0193D">
        <w:rPr>
          <w:rFonts w:eastAsiaTheme="minorHAnsi" w:cstheme="minorBidi"/>
          <w:b w:val="0"/>
          <w:szCs w:val="22"/>
          <w:lang w:val="hy-AM" w:eastAsia="en-US"/>
        </w:rPr>
        <w:t>Նախատեսվում է ապահովել անձնական տվյալների պաշտպանության ավելի բարձր մակարդակ, մասնավորապես՝ համապատասխանեցնել անձնական տվյալների պաշտպանության լիազոր մարմնի կարգավիճակն օրենքով սահմանված և միջազգային չափանիշներին՝ ապահովելով նաև մարդկային ռեսուրսների, մասնագիտական, նյութական և տեխնիկական կարողությունների զարգացում, ներդաշնակեցնել անձնական տվյալների մշակում նախատեսող օրենսդրական դաշտը, ավելացնել անձնական տվյալների պաշտպանության իրավունքի վերաբերյալ ինչպես անձնական տվյալներ մշակողների, այնպես էլ լայն հասարակության իրազեկվածությունը։</w:t>
      </w:r>
    </w:p>
    <w:p w14:paraId="43E41898" w14:textId="77777777" w:rsidR="00D24128" w:rsidRDefault="00FF26E5" w:rsidP="00835DBE">
      <w:pPr>
        <w:tabs>
          <w:tab w:val="num" w:pos="0"/>
          <w:tab w:val="left" w:pos="851"/>
          <w:tab w:val="left" w:pos="993"/>
        </w:tabs>
        <w:rPr>
          <w:rFonts w:eastAsiaTheme="majorEastAsia" w:cstheme="majorBidi"/>
          <w:bCs/>
          <w:color w:val="1F497D" w:themeColor="text2"/>
          <w:sz w:val="24"/>
          <w:lang w:val="hy-AM" w:eastAsia="en-US"/>
        </w:rPr>
      </w:pPr>
      <w:r w:rsidRPr="00D24128">
        <w:rPr>
          <w:rFonts w:eastAsiaTheme="majorEastAsia" w:cstheme="majorBidi"/>
          <w:bCs/>
          <w:color w:val="1F497D" w:themeColor="text2"/>
          <w:sz w:val="24"/>
          <w:lang w:val="hy-AM" w:eastAsia="en-US"/>
        </w:rPr>
        <w:t>Իրավական փոխօգնությ</w:t>
      </w:r>
      <w:r w:rsidR="00F35FC6" w:rsidRPr="0009272D">
        <w:rPr>
          <w:rFonts w:eastAsiaTheme="majorEastAsia" w:cstheme="majorBidi"/>
          <w:bCs/>
          <w:color w:val="1F497D" w:themeColor="text2"/>
          <w:sz w:val="24"/>
          <w:lang w:val="hy-AM" w:eastAsia="en-US"/>
        </w:rPr>
        <w:t>ու</w:t>
      </w:r>
      <w:r w:rsidRPr="00D24128">
        <w:rPr>
          <w:rFonts w:eastAsiaTheme="majorEastAsia" w:cstheme="majorBidi"/>
          <w:bCs/>
          <w:color w:val="1F497D" w:themeColor="text2"/>
          <w:sz w:val="24"/>
          <w:lang w:val="hy-AM" w:eastAsia="en-US"/>
        </w:rPr>
        <w:t xml:space="preserve">ն </w:t>
      </w:r>
    </w:p>
    <w:p w14:paraId="20906067" w14:textId="77777777" w:rsidR="00FF26E5" w:rsidRPr="00C0193D" w:rsidRDefault="00FF26E5" w:rsidP="00835DBE">
      <w:pPr>
        <w:tabs>
          <w:tab w:val="num" w:pos="0"/>
          <w:tab w:val="left" w:pos="851"/>
          <w:tab w:val="left" w:pos="993"/>
        </w:tabs>
        <w:rPr>
          <w:rFonts w:eastAsiaTheme="minorHAnsi" w:cstheme="minorBidi"/>
          <w:b w:val="0"/>
          <w:szCs w:val="22"/>
          <w:lang w:val="hy-AM" w:eastAsia="en-US"/>
        </w:rPr>
      </w:pPr>
      <w:r w:rsidRPr="00C0193D">
        <w:rPr>
          <w:rFonts w:eastAsiaTheme="minorHAnsi" w:cstheme="minorBidi"/>
          <w:b w:val="0"/>
          <w:szCs w:val="22"/>
          <w:lang w:val="hy-AM" w:eastAsia="en-US"/>
        </w:rPr>
        <w:t>Նախատեսվում է Իրավական փոխօգնության վարչության աշխատակիցների կարողությունների զարգացմանն ուղղված ծրագրերի ապահովման աշխատանքների իրականացում: Մասնավորապես, ներկայումս, մշակման և շրջանառման փուլում է գտնվում Քրեական վարույթներով իրավական փոխօգնության մասին Հայաստանի Հանրապետության օրենքի նախագիծը: Այս փուլում հատկապես կարևոր է ոլորտը կարգավորող լավագույն միջազգային փորձի ուսումնասիրումը, դրանում առկա լավագույն փորձի վերհանումն ու ներմուծումը ՀՀ իրավական համակարգ: Նախատեսվում է ոլորտը համակարգող մասնագետների կարողությունների զարգացման ծրագրերում ընդգրկել միջազգային կամ տարածաշրջանային մակարդակով փորձագետների փորձի փոխանակում՝ դասընթացների, սեմինարների տեսքով, ինչը կնպաստի Հայաստանի Հանրապետությունում ոլորտը կարգավորով իրավական կարգավորումների՝ միջազգային</w:t>
      </w:r>
      <w:r w:rsidR="00D854D1" w:rsidRPr="00C0193D">
        <w:rPr>
          <w:rFonts w:eastAsiaTheme="minorHAnsi" w:cstheme="minorBidi"/>
          <w:b w:val="0"/>
          <w:szCs w:val="22"/>
          <w:lang w:val="hy-AM" w:eastAsia="en-US"/>
        </w:rPr>
        <w:t xml:space="preserve"> </w:t>
      </w:r>
      <w:r w:rsidRPr="00C0193D">
        <w:rPr>
          <w:rFonts w:eastAsiaTheme="minorHAnsi" w:cstheme="minorBidi"/>
          <w:b w:val="0"/>
          <w:szCs w:val="22"/>
          <w:lang w:val="hy-AM" w:eastAsia="en-US"/>
        </w:rPr>
        <w:t xml:space="preserve">իրավական պարտավորություններին հնարավորինս համահունչ դարձնելուն և Հայաստանի Հանրապետության և այլ պետությունների ու միջազգային, տարածաշրջանային կազմակերպությունների միջև իրավական փոխօգնության բնագավառում համագործակցության ամրապնդմանը: Բացի այդ, իրավական փոխօգնության շրջանակներում նախատեսվում է ապահովել օտարերկրյա պետություններում պատիժը կրող ՀՀ քաղաքացի դատապարտյալների փոխանցման և նրանց վերասոցիալականացման, վերաինտեգրման գործընթացի ակտիվ իրականացում: </w:t>
      </w:r>
    </w:p>
    <w:p w14:paraId="5DCF1972" w14:textId="77777777" w:rsidR="00AD062C" w:rsidRPr="00D24128" w:rsidRDefault="00AD062C" w:rsidP="00835DBE">
      <w:pPr>
        <w:pStyle w:val="Heading1"/>
      </w:pPr>
      <w:bookmarkStart w:id="40" w:name="_Toc153184450"/>
      <w:bookmarkEnd w:id="39"/>
      <w:r w:rsidRPr="00D24128">
        <w:t>Կրթություն</w:t>
      </w:r>
      <w:bookmarkEnd w:id="40"/>
    </w:p>
    <w:p w14:paraId="6D1015EF" w14:textId="77777777" w:rsidR="00AD062C" w:rsidRPr="00C0193D" w:rsidRDefault="00AD062C" w:rsidP="00835DBE">
      <w:pPr>
        <w:tabs>
          <w:tab w:val="num" w:pos="0"/>
          <w:tab w:val="left" w:pos="851"/>
          <w:tab w:val="left" w:pos="993"/>
        </w:tabs>
        <w:rPr>
          <w:rFonts w:eastAsiaTheme="minorHAnsi" w:cstheme="minorBidi"/>
          <w:b w:val="0"/>
          <w:szCs w:val="22"/>
          <w:lang w:val="hy-AM" w:eastAsia="en-US"/>
        </w:rPr>
      </w:pPr>
      <w:r w:rsidRPr="00C0193D">
        <w:rPr>
          <w:rFonts w:eastAsiaTheme="minorHAnsi" w:cstheme="minorBidi"/>
          <w:b w:val="0"/>
          <w:szCs w:val="22"/>
          <w:lang w:val="hy-AM" w:eastAsia="en-US"/>
        </w:rPr>
        <w:t>Կրթությունը մարդու հիմնարար իրավունք է, և պետության պարտավորությունն է ապահովել համընդհանուր հավասարապես հասանելի, ներառական և որակյալ կրթություն: Այն դասվում է կառավարության ծրագրի գերակայությունների շարքում:</w:t>
      </w:r>
    </w:p>
    <w:p w14:paraId="1D2664C4" w14:textId="77777777" w:rsidR="00AD062C" w:rsidRPr="00C0193D" w:rsidRDefault="00AD062C" w:rsidP="00835DBE">
      <w:pPr>
        <w:tabs>
          <w:tab w:val="num" w:pos="0"/>
          <w:tab w:val="left" w:pos="851"/>
          <w:tab w:val="left" w:pos="993"/>
        </w:tabs>
        <w:rPr>
          <w:rFonts w:eastAsiaTheme="minorHAnsi" w:cstheme="minorBidi"/>
          <w:b w:val="0"/>
          <w:szCs w:val="22"/>
          <w:lang w:val="hy-AM" w:eastAsia="en-US"/>
        </w:rPr>
      </w:pPr>
      <w:r w:rsidRPr="00C0193D">
        <w:rPr>
          <w:rFonts w:eastAsiaTheme="minorHAnsi" w:cstheme="minorBidi"/>
          <w:b w:val="0"/>
          <w:szCs w:val="22"/>
          <w:lang w:val="hy-AM" w:eastAsia="en-US"/>
        </w:rPr>
        <w:t xml:space="preserve">2023 թվականի մարտի 16-ին Հայաստանի Հանրապետության կառավարության N-351-L որոշմամբ հաստատվել է «ՀՀ կրթության մինչև 2030 թվականի զարգացման պետական ծրագիրը» հաստատելու մասին» օրենքից բխող գործողությունների ծրագիրը, որով սահմանված են կրթության բոլոր մակարդակներում պետական քաղաքականության հստակ թիրախներ և ժամանակացույց: Համաձայն ծրագրի՝ կրթության որակի </w:t>
      </w:r>
      <w:r w:rsidRPr="00C0193D">
        <w:rPr>
          <w:rFonts w:eastAsiaTheme="minorHAnsi" w:cstheme="minorBidi"/>
          <w:b w:val="0"/>
          <w:szCs w:val="22"/>
          <w:lang w:val="hy-AM" w:eastAsia="en-US"/>
        </w:rPr>
        <w:lastRenderedPageBreak/>
        <w:t>բարելավման և մատչելիության բարձրացման քայլեր կիրականացվեն բոլոր մակարդակներում:</w:t>
      </w:r>
    </w:p>
    <w:p w14:paraId="64F47F41" w14:textId="77777777" w:rsidR="00AD062C" w:rsidRPr="00C0193D" w:rsidRDefault="00AD062C" w:rsidP="00835DBE">
      <w:pPr>
        <w:tabs>
          <w:tab w:val="num" w:pos="0"/>
          <w:tab w:val="left" w:pos="851"/>
          <w:tab w:val="left" w:pos="993"/>
        </w:tabs>
        <w:rPr>
          <w:rFonts w:eastAsiaTheme="minorHAnsi" w:cstheme="minorBidi"/>
          <w:b w:val="0"/>
          <w:szCs w:val="22"/>
          <w:lang w:val="hy-AM" w:eastAsia="en-US"/>
        </w:rPr>
      </w:pPr>
      <w:r w:rsidRPr="00C0193D">
        <w:rPr>
          <w:rFonts w:eastAsiaTheme="minorHAnsi" w:cstheme="minorBidi"/>
          <w:b w:val="0"/>
          <w:szCs w:val="22"/>
          <w:lang w:val="hy-AM" w:eastAsia="en-US"/>
        </w:rPr>
        <w:t>Նախադպրոցական կրթության ոլորտում կշարունակվեն աշխատանքները նախադպրոցական հաստատություններում երեխաների, այդ թվում՝ խոցելի խավերի, ընդգրկվածության մեծացման, նախադպրոցական հաստատությունների շենքային և գույքային հագեցվածությունը սահմանված պահանջներին համապատասխանեցնելու, նախադպրոցական կրթության պետական նոր չափորոշչից բխող՝ վերանայված, արդիականացված և արդի պահանջներին համապատասխանեցված նախադպրոցական ծրագրերով երեխաների կրթության և զարգացման գործընթացի իրականացման, մանկավարժական աշխատողների վարձատրության միասնական քաղաքականության և շարունակական աճի հնարավորության ապահովման ուղղությամբ:</w:t>
      </w:r>
    </w:p>
    <w:p w14:paraId="12C2C878" w14:textId="77777777" w:rsidR="00AD062C" w:rsidRPr="00C0193D" w:rsidRDefault="00AD062C" w:rsidP="00835DBE">
      <w:pPr>
        <w:tabs>
          <w:tab w:val="num" w:pos="0"/>
          <w:tab w:val="left" w:pos="851"/>
          <w:tab w:val="left" w:pos="993"/>
        </w:tabs>
        <w:rPr>
          <w:rFonts w:eastAsiaTheme="minorHAnsi" w:cstheme="minorBidi"/>
          <w:b w:val="0"/>
          <w:szCs w:val="22"/>
          <w:lang w:val="hy-AM" w:eastAsia="en-US"/>
        </w:rPr>
      </w:pPr>
      <w:r w:rsidRPr="00C0193D">
        <w:rPr>
          <w:rFonts w:eastAsiaTheme="minorHAnsi" w:cstheme="minorBidi"/>
          <w:b w:val="0"/>
          <w:szCs w:val="22"/>
          <w:lang w:val="hy-AM" w:eastAsia="en-US"/>
        </w:rPr>
        <w:t xml:space="preserve">Հանրակրթության ոլորտում կշարունակվեն հիմնական բարեփոխումները, որոնց նպատակն է միջնակարգ կրթության որակի բարձրացումը, բնակչության բոլոր խավերի համար որակյալ կրթության հավասար մատչելիության ապահովումը և համակարգի արդյունավետության շարունակական բարձրացումը: </w:t>
      </w:r>
    </w:p>
    <w:p w14:paraId="55914DA1" w14:textId="77777777" w:rsidR="00AD062C" w:rsidRPr="00C0193D" w:rsidRDefault="00AD062C" w:rsidP="00835DBE">
      <w:pPr>
        <w:tabs>
          <w:tab w:val="num" w:pos="0"/>
          <w:tab w:val="left" w:pos="360"/>
        </w:tabs>
        <w:rPr>
          <w:b w:val="0"/>
          <w:szCs w:val="22"/>
          <w:lang w:val="hy-AM"/>
        </w:rPr>
      </w:pPr>
      <w:r w:rsidRPr="00C0193D">
        <w:rPr>
          <w:b w:val="0"/>
          <w:szCs w:val="22"/>
          <w:lang w:val="hy-AM"/>
        </w:rPr>
        <w:t>Հանրակրթության ոլորտի քաղաքականության հիմնական թիրախներն են՝</w:t>
      </w:r>
    </w:p>
    <w:p w14:paraId="425BEF82" w14:textId="77777777" w:rsidR="00AD062C" w:rsidRPr="00C0193D" w:rsidRDefault="00AD062C" w:rsidP="00835DBE">
      <w:pPr>
        <w:numPr>
          <w:ilvl w:val="0"/>
          <w:numId w:val="27"/>
        </w:numPr>
        <w:tabs>
          <w:tab w:val="num" w:pos="0"/>
          <w:tab w:val="left" w:pos="567"/>
        </w:tabs>
        <w:ind w:left="0" w:firstLine="0"/>
        <w:rPr>
          <w:rFonts w:cs="Arial"/>
          <w:b w:val="0"/>
          <w:szCs w:val="22"/>
          <w:lang w:val="hy-AM"/>
        </w:rPr>
      </w:pPr>
      <w:r w:rsidRPr="00C0193D">
        <w:rPr>
          <w:b w:val="0"/>
          <w:szCs w:val="22"/>
          <w:lang w:val="hy-AM"/>
        </w:rPr>
        <w:t>ուսուցիչների մասնագիտական որակների բարձրացումը և սոցիալական վիճակի բարելավումը՝ որպես հանրակրթության որակի ապահովման հիմնական դերակատարներ,</w:t>
      </w:r>
    </w:p>
    <w:p w14:paraId="5C0015C8" w14:textId="77777777" w:rsidR="00AD062C" w:rsidRPr="00C0193D" w:rsidRDefault="00AD062C" w:rsidP="00835DBE">
      <w:pPr>
        <w:numPr>
          <w:ilvl w:val="0"/>
          <w:numId w:val="27"/>
        </w:numPr>
        <w:tabs>
          <w:tab w:val="num" w:pos="0"/>
          <w:tab w:val="left" w:pos="567"/>
        </w:tabs>
        <w:ind w:left="0" w:firstLine="0"/>
        <w:rPr>
          <w:rFonts w:eastAsia="Calibri"/>
          <w:b w:val="0"/>
          <w:szCs w:val="22"/>
          <w:lang w:val="hy-AM" w:eastAsia="en-US"/>
        </w:rPr>
      </w:pPr>
      <w:r w:rsidRPr="00C0193D">
        <w:rPr>
          <w:rFonts w:eastAsia="Calibri"/>
          <w:b w:val="0"/>
          <w:szCs w:val="22"/>
          <w:lang w:val="hy-AM" w:eastAsia="en-US"/>
        </w:rPr>
        <w:t xml:space="preserve">կրթության բովանդակային հենքի՝ առարկայական ծրագրերի և դասագրքերի բովանդակային որակի բարելավում, </w:t>
      </w:r>
    </w:p>
    <w:p w14:paraId="0A508568" w14:textId="77777777" w:rsidR="00AD062C" w:rsidRPr="00C0193D" w:rsidRDefault="00AD062C" w:rsidP="00835DBE">
      <w:pPr>
        <w:numPr>
          <w:ilvl w:val="0"/>
          <w:numId w:val="27"/>
        </w:numPr>
        <w:tabs>
          <w:tab w:val="num" w:pos="0"/>
          <w:tab w:val="left" w:pos="567"/>
        </w:tabs>
        <w:ind w:left="0" w:firstLine="0"/>
        <w:rPr>
          <w:rFonts w:eastAsia="Calibri"/>
          <w:b w:val="0"/>
          <w:szCs w:val="22"/>
          <w:lang w:val="hy-AM" w:eastAsia="en-US"/>
        </w:rPr>
      </w:pPr>
      <w:r w:rsidRPr="00C0193D">
        <w:rPr>
          <w:rFonts w:eastAsia="Calibri"/>
          <w:b w:val="0"/>
          <w:szCs w:val="22"/>
          <w:lang w:val="hy-AM" w:eastAsia="en-US"/>
        </w:rPr>
        <w:t>հանրակրթության ուսումնանյութական բազայի արդիականացում՝ առաջնահերթությունը տալով ժամանակակից գույքային հագեցվածությանը, տեղեկատվական տեխնոլոգիաների կիրառությանը և սեյսմակայուն դպրոցաշինությանը,</w:t>
      </w:r>
    </w:p>
    <w:p w14:paraId="4E1AA1E6" w14:textId="77777777" w:rsidR="00AD062C" w:rsidRPr="00C0193D" w:rsidRDefault="00AD062C" w:rsidP="00835DBE">
      <w:pPr>
        <w:numPr>
          <w:ilvl w:val="0"/>
          <w:numId w:val="27"/>
        </w:numPr>
        <w:tabs>
          <w:tab w:val="num" w:pos="0"/>
          <w:tab w:val="left" w:pos="567"/>
        </w:tabs>
        <w:ind w:left="0" w:firstLine="0"/>
        <w:rPr>
          <w:rFonts w:eastAsia="GHEA Grapalat" w:cs="GHEA Grapalat"/>
          <w:b w:val="0"/>
          <w:szCs w:val="22"/>
          <w:lang w:val="hy-AM" w:eastAsia="en-US"/>
        </w:rPr>
      </w:pPr>
      <w:r w:rsidRPr="00C0193D">
        <w:rPr>
          <w:rFonts w:cs="Arial"/>
          <w:b w:val="0"/>
          <w:szCs w:val="22"/>
          <w:lang w:val="hy-AM" w:eastAsia="en-US"/>
        </w:rPr>
        <w:t>ո</w:t>
      </w:r>
      <w:r w:rsidRPr="00C0193D">
        <w:rPr>
          <w:b w:val="0"/>
          <w:szCs w:val="22"/>
          <w:lang w:val="hy-AM" w:eastAsia="en-US"/>
        </w:rPr>
        <w:t>րակյալ կրթության հավասար հասանելիություն և ներառականության ընդլայնում:</w:t>
      </w:r>
    </w:p>
    <w:p w14:paraId="6EC1DA74" w14:textId="77777777" w:rsidR="00AD062C" w:rsidRPr="00C0193D" w:rsidRDefault="00AD062C" w:rsidP="00835DBE">
      <w:pPr>
        <w:tabs>
          <w:tab w:val="num" w:pos="0"/>
        </w:tabs>
        <w:rPr>
          <w:b w:val="0"/>
          <w:szCs w:val="22"/>
          <w:lang w:val="hy-AM" w:eastAsia="en-US"/>
        </w:rPr>
      </w:pPr>
      <w:r w:rsidRPr="00C0193D">
        <w:rPr>
          <w:b w:val="0"/>
          <w:szCs w:val="22"/>
          <w:lang w:val="hy-AM" w:eastAsia="en-US"/>
        </w:rPr>
        <w:t xml:space="preserve">Արտադպրոցական </w:t>
      </w:r>
      <w:r w:rsidRPr="00C0193D">
        <w:rPr>
          <w:rFonts w:cs="Arial"/>
          <w:b w:val="0"/>
          <w:szCs w:val="22"/>
          <w:lang w:val="hy-AM"/>
        </w:rPr>
        <w:t>կրթության ոլորտում կշարունակվի կամավոր ատես</w:t>
      </w:r>
      <w:r w:rsidR="00776A5D">
        <w:rPr>
          <w:rFonts w:cs="Arial"/>
          <w:b w:val="0"/>
          <w:szCs w:val="22"/>
          <w:lang w:val="hy-AM"/>
        </w:rPr>
        <w:t>տավորման նոր համակարգի ներդրումը</w:t>
      </w:r>
      <w:r w:rsidRPr="00C0193D">
        <w:rPr>
          <w:rFonts w:cs="Arial"/>
          <w:b w:val="0"/>
          <w:szCs w:val="22"/>
          <w:lang w:val="hy-AM"/>
        </w:rPr>
        <w:t>՝ ուղղված արտադպրոցական ուսումնական հաստատությունների մանկավարժական աշխատողների վարձատրության բարձրացմանը:</w:t>
      </w:r>
    </w:p>
    <w:p w14:paraId="1DE6958B" w14:textId="77777777" w:rsidR="00AD062C" w:rsidRPr="00C0193D" w:rsidRDefault="00AD062C" w:rsidP="00835DBE">
      <w:pPr>
        <w:tabs>
          <w:tab w:val="num" w:pos="0"/>
        </w:tabs>
        <w:rPr>
          <w:rFonts w:cs="Sylfaen"/>
          <w:b w:val="0"/>
          <w:szCs w:val="22"/>
          <w:lang w:val="hy-AM" w:eastAsia="en-US"/>
        </w:rPr>
      </w:pPr>
      <w:r w:rsidRPr="00C0193D">
        <w:rPr>
          <w:rFonts w:cs="Sylfaen"/>
          <w:b w:val="0"/>
          <w:szCs w:val="22"/>
          <w:lang w:val="hy-AM" w:eastAsia="en-US"/>
        </w:rPr>
        <w:t>Նախնական</w:t>
      </w:r>
      <w:r w:rsidRPr="00C0193D">
        <w:rPr>
          <w:b w:val="0"/>
          <w:szCs w:val="22"/>
          <w:lang w:val="hy-AM" w:eastAsia="en-US"/>
        </w:rPr>
        <w:t xml:space="preserve"> (</w:t>
      </w:r>
      <w:r w:rsidRPr="00C0193D">
        <w:rPr>
          <w:rFonts w:cs="Sylfaen"/>
          <w:b w:val="0"/>
          <w:szCs w:val="22"/>
          <w:lang w:val="hy-AM" w:eastAsia="en-US"/>
        </w:rPr>
        <w:t>արհեստագործական</w:t>
      </w:r>
      <w:r w:rsidRPr="00C0193D">
        <w:rPr>
          <w:b w:val="0"/>
          <w:szCs w:val="22"/>
          <w:lang w:val="hy-AM" w:eastAsia="en-US"/>
        </w:rPr>
        <w:t xml:space="preserve">) </w:t>
      </w:r>
      <w:r w:rsidRPr="00C0193D">
        <w:rPr>
          <w:rFonts w:cs="Sylfaen"/>
          <w:b w:val="0"/>
          <w:szCs w:val="22"/>
          <w:lang w:val="hy-AM" w:eastAsia="en-US"/>
        </w:rPr>
        <w:t>և</w:t>
      </w:r>
      <w:r w:rsidRPr="00C0193D">
        <w:rPr>
          <w:b w:val="0"/>
          <w:szCs w:val="22"/>
          <w:lang w:val="hy-AM" w:eastAsia="en-US"/>
        </w:rPr>
        <w:t xml:space="preserve"> </w:t>
      </w:r>
      <w:r w:rsidRPr="00C0193D">
        <w:rPr>
          <w:rFonts w:cs="Sylfaen"/>
          <w:b w:val="0"/>
          <w:szCs w:val="22"/>
          <w:lang w:val="hy-AM" w:eastAsia="en-US"/>
        </w:rPr>
        <w:t>միջին</w:t>
      </w:r>
      <w:r w:rsidRPr="00C0193D">
        <w:rPr>
          <w:b w:val="0"/>
          <w:szCs w:val="22"/>
          <w:lang w:val="hy-AM" w:eastAsia="en-US"/>
        </w:rPr>
        <w:t xml:space="preserve"> </w:t>
      </w:r>
      <w:r w:rsidRPr="00C0193D">
        <w:rPr>
          <w:rFonts w:cs="Sylfaen"/>
          <w:b w:val="0"/>
          <w:szCs w:val="22"/>
          <w:lang w:val="hy-AM" w:eastAsia="en-US"/>
        </w:rPr>
        <w:t>մասնագիտական</w:t>
      </w:r>
      <w:r w:rsidRPr="00C0193D">
        <w:rPr>
          <w:b w:val="0"/>
          <w:szCs w:val="22"/>
          <w:lang w:val="hy-AM" w:eastAsia="en-US"/>
        </w:rPr>
        <w:t xml:space="preserve"> </w:t>
      </w:r>
      <w:r w:rsidRPr="00C0193D">
        <w:rPr>
          <w:rFonts w:cs="Sylfaen"/>
          <w:b w:val="0"/>
          <w:szCs w:val="22"/>
          <w:lang w:val="hy-AM" w:eastAsia="en-US"/>
        </w:rPr>
        <w:t>կրթության</w:t>
      </w:r>
      <w:r w:rsidRPr="00C0193D">
        <w:rPr>
          <w:b w:val="0"/>
          <w:szCs w:val="22"/>
          <w:lang w:val="hy-AM" w:eastAsia="en-US"/>
        </w:rPr>
        <w:t xml:space="preserve"> </w:t>
      </w:r>
      <w:r w:rsidRPr="00C0193D">
        <w:rPr>
          <w:rFonts w:cs="Sylfaen"/>
          <w:b w:val="0"/>
          <w:szCs w:val="22"/>
          <w:lang w:val="hy-AM" w:eastAsia="en-US"/>
        </w:rPr>
        <w:t>ոլորտում</w:t>
      </w:r>
      <w:r w:rsidRPr="00C0193D">
        <w:rPr>
          <w:b w:val="0"/>
          <w:szCs w:val="22"/>
          <w:lang w:val="hy-AM" w:eastAsia="en-US"/>
        </w:rPr>
        <w:t xml:space="preserve"> </w:t>
      </w:r>
      <w:r w:rsidRPr="00C0193D">
        <w:rPr>
          <w:rFonts w:cs="Sylfaen"/>
          <w:b w:val="0"/>
          <w:szCs w:val="22"/>
          <w:lang w:val="hy-AM" w:eastAsia="en-US"/>
        </w:rPr>
        <w:t>շարունակվելու</w:t>
      </w:r>
      <w:r w:rsidRPr="00C0193D">
        <w:rPr>
          <w:b w:val="0"/>
          <w:szCs w:val="22"/>
          <w:lang w:val="hy-AM" w:eastAsia="en-US"/>
        </w:rPr>
        <w:t xml:space="preserve"> </w:t>
      </w:r>
      <w:r w:rsidRPr="00C0193D">
        <w:rPr>
          <w:rFonts w:cs="Sylfaen"/>
          <w:b w:val="0"/>
          <w:szCs w:val="22"/>
          <w:lang w:val="hy-AM" w:eastAsia="en-US"/>
        </w:rPr>
        <w:t>են</w:t>
      </w:r>
      <w:r w:rsidRPr="00C0193D">
        <w:rPr>
          <w:b w:val="0"/>
          <w:szCs w:val="22"/>
          <w:lang w:val="hy-AM" w:eastAsia="en-US"/>
        </w:rPr>
        <w:t xml:space="preserve"> </w:t>
      </w:r>
      <w:r w:rsidRPr="00C0193D">
        <w:rPr>
          <w:rFonts w:cs="Sylfaen"/>
          <w:b w:val="0"/>
          <w:szCs w:val="22"/>
          <w:lang w:val="hy-AM" w:eastAsia="en-US"/>
        </w:rPr>
        <w:t>ուսուցման</w:t>
      </w:r>
      <w:r w:rsidRPr="00C0193D">
        <w:rPr>
          <w:b w:val="0"/>
          <w:szCs w:val="22"/>
          <w:lang w:val="hy-AM" w:eastAsia="en-US"/>
        </w:rPr>
        <w:t xml:space="preserve"> </w:t>
      </w:r>
      <w:r w:rsidRPr="00C0193D">
        <w:rPr>
          <w:rFonts w:cs="Sylfaen"/>
          <w:b w:val="0"/>
          <w:szCs w:val="22"/>
          <w:lang w:val="hy-AM" w:eastAsia="en-US"/>
        </w:rPr>
        <w:t>կազմակերպման</w:t>
      </w:r>
      <w:r w:rsidRPr="00C0193D">
        <w:rPr>
          <w:b w:val="0"/>
          <w:szCs w:val="22"/>
          <w:lang w:val="hy-AM" w:eastAsia="en-US"/>
        </w:rPr>
        <w:t xml:space="preserve"> </w:t>
      </w:r>
      <w:r w:rsidRPr="00C0193D">
        <w:rPr>
          <w:rFonts w:cs="Sylfaen"/>
          <w:b w:val="0"/>
          <w:szCs w:val="22"/>
          <w:lang w:val="hy-AM" w:eastAsia="en-US"/>
        </w:rPr>
        <w:t>նոր</w:t>
      </w:r>
      <w:r w:rsidRPr="00C0193D">
        <w:rPr>
          <w:b w:val="0"/>
          <w:szCs w:val="22"/>
          <w:lang w:val="hy-AM" w:eastAsia="en-US"/>
        </w:rPr>
        <w:t xml:space="preserve"> </w:t>
      </w:r>
      <w:r w:rsidRPr="00C0193D">
        <w:rPr>
          <w:rFonts w:cs="Sylfaen"/>
          <w:b w:val="0"/>
          <w:szCs w:val="22"/>
          <w:lang w:val="hy-AM" w:eastAsia="en-US"/>
        </w:rPr>
        <w:t>մոդելների</w:t>
      </w:r>
      <w:r w:rsidRPr="00C0193D">
        <w:rPr>
          <w:b w:val="0"/>
          <w:szCs w:val="22"/>
          <w:lang w:val="hy-AM" w:eastAsia="en-US"/>
        </w:rPr>
        <w:t xml:space="preserve"> </w:t>
      </w:r>
      <w:r w:rsidRPr="00C0193D">
        <w:rPr>
          <w:rFonts w:cs="Sylfaen"/>
          <w:b w:val="0"/>
          <w:szCs w:val="22"/>
          <w:lang w:val="hy-AM" w:eastAsia="en-US"/>
        </w:rPr>
        <w:t>ներդրումը</w:t>
      </w:r>
      <w:r w:rsidRPr="00C0193D">
        <w:rPr>
          <w:b w:val="0"/>
          <w:szCs w:val="22"/>
          <w:lang w:val="hy-AM" w:eastAsia="en-US"/>
        </w:rPr>
        <w:t xml:space="preserve"> (</w:t>
      </w:r>
      <w:r w:rsidRPr="00C0193D">
        <w:rPr>
          <w:rFonts w:cs="Sylfaen"/>
          <w:b w:val="0"/>
          <w:szCs w:val="22"/>
          <w:lang w:val="hy-AM" w:eastAsia="en-US"/>
        </w:rPr>
        <w:t>աշխատանքի</w:t>
      </w:r>
      <w:r w:rsidRPr="00C0193D">
        <w:rPr>
          <w:b w:val="0"/>
          <w:szCs w:val="22"/>
          <w:lang w:val="hy-AM" w:eastAsia="en-US"/>
        </w:rPr>
        <w:t xml:space="preserve"> </w:t>
      </w:r>
      <w:r w:rsidRPr="00C0193D">
        <w:rPr>
          <w:rFonts w:cs="Sylfaen"/>
          <w:b w:val="0"/>
          <w:szCs w:val="22"/>
          <w:lang w:val="hy-AM" w:eastAsia="en-US"/>
        </w:rPr>
        <w:t>վրա</w:t>
      </w:r>
      <w:r w:rsidRPr="00C0193D">
        <w:rPr>
          <w:b w:val="0"/>
          <w:szCs w:val="22"/>
          <w:lang w:val="hy-AM" w:eastAsia="en-US"/>
        </w:rPr>
        <w:t xml:space="preserve"> </w:t>
      </w:r>
      <w:r w:rsidRPr="00C0193D">
        <w:rPr>
          <w:rFonts w:cs="Sylfaen"/>
          <w:b w:val="0"/>
          <w:szCs w:val="22"/>
          <w:lang w:val="hy-AM" w:eastAsia="en-US"/>
        </w:rPr>
        <w:t>հիմնված, դուալ ուսուցում</w:t>
      </w:r>
      <w:r w:rsidRPr="00C0193D">
        <w:rPr>
          <w:b w:val="0"/>
          <w:szCs w:val="22"/>
          <w:lang w:val="hy-AM" w:eastAsia="en-US"/>
        </w:rPr>
        <w:t xml:space="preserve">), </w:t>
      </w:r>
      <w:r w:rsidRPr="00C0193D">
        <w:rPr>
          <w:rFonts w:cs="Sylfaen"/>
          <w:b w:val="0"/>
          <w:szCs w:val="22"/>
          <w:lang w:val="hy-AM" w:eastAsia="en-US"/>
        </w:rPr>
        <w:t>համակարգի</w:t>
      </w:r>
      <w:r w:rsidRPr="00C0193D">
        <w:rPr>
          <w:b w:val="0"/>
          <w:szCs w:val="22"/>
          <w:lang w:val="hy-AM" w:eastAsia="en-US"/>
        </w:rPr>
        <w:t xml:space="preserve"> </w:t>
      </w:r>
      <w:r w:rsidRPr="00C0193D">
        <w:rPr>
          <w:rFonts w:cs="Sylfaen"/>
          <w:b w:val="0"/>
          <w:szCs w:val="22"/>
          <w:lang w:val="hy-AM" w:eastAsia="en-US"/>
        </w:rPr>
        <w:t>բովանդակային</w:t>
      </w:r>
      <w:r w:rsidRPr="00C0193D">
        <w:rPr>
          <w:b w:val="0"/>
          <w:szCs w:val="22"/>
          <w:lang w:val="hy-AM" w:eastAsia="en-US"/>
        </w:rPr>
        <w:t xml:space="preserve"> </w:t>
      </w:r>
      <w:r w:rsidRPr="00C0193D">
        <w:rPr>
          <w:rFonts w:cs="Sylfaen"/>
          <w:b w:val="0"/>
          <w:szCs w:val="22"/>
          <w:lang w:val="hy-AM" w:eastAsia="en-US"/>
        </w:rPr>
        <w:t>արդիականացումը</w:t>
      </w:r>
      <w:r w:rsidRPr="00C0193D">
        <w:rPr>
          <w:b w:val="0"/>
          <w:szCs w:val="22"/>
          <w:lang w:val="hy-AM" w:eastAsia="en-US"/>
        </w:rPr>
        <w:t xml:space="preserve">, </w:t>
      </w:r>
      <w:r w:rsidRPr="00C0193D">
        <w:rPr>
          <w:rFonts w:cs="Sylfaen"/>
          <w:b w:val="0"/>
          <w:szCs w:val="22"/>
          <w:lang w:val="hy-AM" w:eastAsia="en-US"/>
        </w:rPr>
        <w:t>ուսումնական</w:t>
      </w:r>
      <w:r w:rsidRPr="00C0193D">
        <w:rPr>
          <w:b w:val="0"/>
          <w:szCs w:val="22"/>
          <w:lang w:val="hy-AM" w:eastAsia="en-US"/>
        </w:rPr>
        <w:t xml:space="preserve"> </w:t>
      </w:r>
      <w:r w:rsidRPr="00C0193D">
        <w:rPr>
          <w:rFonts w:cs="Sylfaen"/>
          <w:b w:val="0"/>
          <w:szCs w:val="22"/>
          <w:lang w:val="hy-AM" w:eastAsia="en-US"/>
        </w:rPr>
        <w:t>հաստատությունների</w:t>
      </w:r>
      <w:r w:rsidRPr="00C0193D">
        <w:rPr>
          <w:b w:val="0"/>
          <w:szCs w:val="22"/>
          <w:lang w:val="hy-AM" w:eastAsia="en-US"/>
        </w:rPr>
        <w:t xml:space="preserve"> </w:t>
      </w:r>
      <w:r w:rsidRPr="00C0193D">
        <w:rPr>
          <w:rFonts w:cs="Sylfaen"/>
          <w:b w:val="0"/>
          <w:szCs w:val="22"/>
          <w:lang w:val="hy-AM" w:eastAsia="en-US"/>
        </w:rPr>
        <w:t>բարեկարգումը</w:t>
      </w:r>
      <w:r w:rsidRPr="00C0193D">
        <w:rPr>
          <w:b w:val="0"/>
          <w:szCs w:val="22"/>
          <w:lang w:val="hy-AM" w:eastAsia="en-US"/>
        </w:rPr>
        <w:t xml:space="preserve"> </w:t>
      </w:r>
      <w:r w:rsidRPr="00C0193D">
        <w:rPr>
          <w:rFonts w:cs="Sylfaen"/>
          <w:b w:val="0"/>
          <w:szCs w:val="22"/>
          <w:lang w:val="hy-AM" w:eastAsia="en-US"/>
        </w:rPr>
        <w:t>և</w:t>
      </w:r>
      <w:r w:rsidRPr="00C0193D">
        <w:rPr>
          <w:b w:val="0"/>
          <w:szCs w:val="22"/>
          <w:lang w:val="hy-AM" w:eastAsia="en-US"/>
        </w:rPr>
        <w:t xml:space="preserve"> </w:t>
      </w:r>
      <w:r w:rsidRPr="00C0193D">
        <w:rPr>
          <w:rFonts w:cs="Sylfaen"/>
          <w:b w:val="0"/>
          <w:szCs w:val="22"/>
          <w:lang w:val="hy-AM" w:eastAsia="en-US"/>
        </w:rPr>
        <w:t>ժամանակակից</w:t>
      </w:r>
      <w:r w:rsidRPr="00C0193D">
        <w:rPr>
          <w:b w:val="0"/>
          <w:szCs w:val="22"/>
          <w:lang w:val="hy-AM" w:eastAsia="en-US"/>
        </w:rPr>
        <w:t xml:space="preserve"> </w:t>
      </w:r>
      <w:r w:rsidRPr="00C0193D">
        <w:rPr>
          <w:rFonts w:cs="Sylfaen"/>
          <w:b w:val="0"/>
          <w:szCs w:val="22"/>
          <w:lang w:val="hy-AM" w:eastAsia="en-US"/>
        </w:rPr>
        <w:t>ուսումնական</w:t>
      </w:r>
      <w:r w:rsidRPr="00C0193D">
        <w:rPr>
          <w:b w:val="0"/>
          <w:szCs w:val="22"/>
          <w:lang w:val="hy-AM" w:eastAsia="en-US"/>
        </w:rPr>
        <w:t xml:space="preserve"> </w:t>
      </w:r>
      <w:r w:rsidRPr="00C0193D">
        <w:rPr>
          <w:rFonts w:cs="Sylfaen"/>
          <w:b w:val="0"/>
          <w:szCs w:val="22"/>
          <w:lang w:val="hy-AM" w:eastAsia="en-US"/>
        </w:rPr>
        <w:t>միջավայրի</w:t>
      </w:r>
      <w:r w:rsidRPr="00C0193D">
        <w:rPr>
          <w:b w:val="0"/>
          <w:szCs w:val="22"/>
          <w:lang w:val="hy-AM" w:eastAsia="en-US"/>
        </w:rPr>
        <w:t xml:space="preserve"> </w:t>
      </w:r>
      <w:r w:rsidRPr="00C0193D">
        <w:rPr>
          <w:rFonts w:cs="Sylfaen"/>
          <w:b w:val="0"/>
          <w:szCs w:val="22"/>
          <w:lang w:val="hy-AM" w:eastAsia="en-US"/>
        </w:rPr>
        <w:t>ստեղծումը: Կմշակվեն ու կներդրվեն մանկավարժական աշխատողների վերապատրաստման, ատեստավորման համակարգեր՝ փոխկապակցելով դրանք վարձատրության բարձրացման և հավելավճարների տրամադրման հետ:</w:t>
      </w:r>
    </w:p>
    <w:p w14:paraId="3203C3A6" w14:textId="77777777" w:rsidR="00AD062C" w:rsidRPr="00C0193D" w:rsidRDefault="00AD062C" w:rsidP="00835DBE">
      <w:pPr>
        <w:tabs>
          <w:tab w:val="num" w:pos="0"/>
        </w:tabs>
        <w:rPr>
          <w:b w:val="0"/>
          <w:szCs w:val="22"/>
          <w:lang w:val="hy-AM" w:eastAsia="en-US"/>
        </w:rPr>
      </w:pPr>
      <w:r w:rsidRPr="00C0193D">
        <w:rPr>
          <w:rFonts w:cs="Sylfaen"/>
          <w:b w:val="0"/>
          <w:szCs w:val="22"/>
          <w:lang w:val="hy-AM" w:eastAsia="en-US"/>
        </w:rPr>
        <w:t>Բարձրագույն մասնագիտական</w:t>
      </w:r>
      <w:r w:rsidRPr="00C0193D">
        <w:rPr>
          <w:b w:val="0"/>
          <w:szCs w:val="22"/>
          <w:lang w:val="hy-AM" w:eastAsia="en-US"/>
        </w:rPr>
        <w:t xml:space="preserve"> </w:t>
      </w:r>
      <w:r w:rsidRPr="00C0193D">
        <w:rPr>
          <w:rFonts w:cs="Sylfaen"/>
          <w:b w:val="0"/>
          <w:szCs w:val="22"/>
          <w:lang w:val="hy-AM" w:eastAsia="en-US"/>
        </w:rPr>
        <w:t>կրթության</w:t>
      </w:r>
      <w:r w:rsidRPr="00C0193D">
        <w:rPr>
          <w:b w:val="0"/>
          <w:szCs w:val="22"/>
          <w:lang w:val="hy-AM" w:eastAsia="en-US"/>
        </w:rPr>
        <w:t xml:space="preserve"> </w:t>
      </w:r>
      <w:r w:rsidRPr="00C0193D">
        <w:rPr>
          <w:rFonts w:cs="Sylfaen"/>
          <w:b w:val="0"/>
          <w:szCs w:val="22"/>
          <w:lang w:val="hy-AM" w:eastAsia="en-US"/>
        </w:rPr>
        <w:t>բնագավառում</w:t>
      </w:r>
      <w:r w:rsidRPr="00C0193D">
        <w:rPr>
          <w:b w:val="0"/>
          <w:szCs w:val="22"/>
          <w:lang w:val="hy-AM" w:eastAsia="en-US"/>
        </w:rPr>
        <w:t xml:space="preserve"> </w:t>
      </w:r>
      <w:r w:rsidRPr="00C0193D">
        <w:rPr>
          <w:rFonts w:cs="Sylfaen"/>
          <w:b w:val="0"/>
          <w:szCs w:val="22"/>
          <w:lang w:val="hy-AM" w:eastAsia="en-US"/>
        </w:rPr>
        <w:t>կիրականացվեն</w:t>
      </w:r>
      <w:r w:rsidRPr="00C0193D">
        <w:rPr>
          <w:b w:val="0"/>
          <w:szCs w:val="22"/>
          <w:lang w:val="hy-AM" w:eastAsia="en-US"/>
        </w:rPr>
        <w:t xml:space="preserve"> </w:t>
      </w:r>
      <w:r w:rsidRPr="00C0193D">
        <w:rPr>
          <w:rFonts w:cs="Sylfaen"/>
          <w:b w:val="0"/>
          <w:szCs w:val="22"/>
          <w:lang w:val="hy-AM" w:eastAsia="en-US"/>
        </w:rPr>
        <w:t>մի</w:t>
      </w:r>
      <w:r w:rsidRPr="00C0193D">
        <w:rPr>
          <w:b w:val="0"/>
          <w:szCs w:val="22"/>
          <w:lang w:val="hy-AM" w:eastAsia="en-US"/>
        </w:rPr>
        <w:t xml:space="preserve"> </w:t>
      </w:r>
      <w:r w:rsidRPr="00C0193D">
        <w:rPr>
          <w:rFonts w:cs="Sylfaen"/>
          <w:b w:val="0"/>
          <w:szCs w:val="22"/>
          <w:lang w:val="hy-AM" w:eastAsia="en-US"/>
        </w:rPr>
        <w:t>շարք</w:t>
      </w:r>
      <w:r w:rsidRPr="00C0193D">
        <w:rPr>
          <w:b w:val="0"/>
          <w:szCs w:val="22"/>
          <w:lang w:val="hy-AM" w:eastAsia="en-US"/>
        </w:rPr>
        <w:t xml:space="preserve"> </w:t>
      </w:r>
      <w:r w:rsidRPr="00C0193D">
        <w:rPr>
          <w:rFonts w:cs="Sylfaen"/>
          <w:b w:val="0"/>
          <w:szCs w:val="22"/>
          <w:lang w:val="hy-AM" w:eastAsia="en-US"/>
        </w:rPr>
        <w:t>միջոցառումներ</w:t>
      </w:r>
      <w:r w:rsidRPr="00C0193D">
        <w:rPr>
          <w:b w:val="0"/>
          <w:szCs w:val="22"/>
          <w:lang w:val="hy-AM" w:eastAsia="en-US"/>
        </w:rPr>
        <w:t xml:space="preserve">` </w:t>
      </w:r>
      <w:r w:rsidRPr="00C0193D">
        <w:rPr>
          <w:rFonts w:cs="Sylfaen"/>
          <w:b w:val="0"/>
          <w:szCs w:val="22"/>
          <w:lang w:val="hy-AM" w:eastAsia="en-US"/>
        </w:rPr>
        <w:t>ուղղված</w:t>
      </w:r>
      <w:r w:rsidRPr="00C0193D">
        <w:rPr>
          <w:b w:val="0"/>
          <w:szCs w:val="22"/>
          <w:lang w:val="hy-AM" w:eastAsia="en-US"/>
        </w:rPr>
        <w:t xml:space="preserve"> </w:t>
      </w:r>
      <w:r w:rsidRPr="00C0193D">
        <w:rPr>
          <w:rFonts w:cs="Sylfaen"/>
          <w:b w:val="0"/>
          <w:szCs w:val="22"/>
          <w:lang w:val="hy-AM" w:eastAsia="en-US"/>
        </w:rPr>
        <w:t>մասնագիտական</w:t>
      </w:r>
      <w:r w:rsidRPr="00C0193D">
        <w:rPr>
          <w:b w:val="0"/>
          <w:szCs w:val="22"/>
          <w:lang w:val="hy-AM" w:eastAsia="en-US"/>
        </w:rPr>
        <w:t xml:space="preserve"> </w:t>
      </w:r>
      <w:r w:rsidRPr="00C0193D">
        <w:rPr>
          <w:rFonts w:cs="Sylfaen"/>
          <w:b w:val="0"/>
          <w:szCs w:val="22"/>
          <w:lang w:val="hy-AM" w:eastAsia="en-US"/>
        </w:rPr>
        <w:t>կրթության</w:t>
      </w:r>
      <w:r w:rsidRPr="00C0193D">
        <w:rPr>
          <w:b w:val="0"/>
          <w:szCs w:val="22"/>
          <w:lang w:val="hy-AM" w:eastAsia="en-US"/>
        </w:rPr>
        <w:t xml:space="preserve"> </w:t>
      </w:r>
      <w:r w:rsidRPr="00C0193D">
        <w:rPr>
          <w:rFonts w:cs="Sylfaen"/>
          <w:b w:val="0"/>
          <w:szCs w:val="22"/>
          <w:lang w:val="hy-AM" w:eastAsia="en-US"/>
        </w:rPr>
        <w:t>որակի</w:t>
      </w:r>
      <w:r w:rsidRPr="00C0193D">
        <w:rPr>
          <w:b w:val="0"/>
          <w:szCs w:val="22"/>
          <w:lang w:val="hy-AM" w:eastAsia="en-US"/>
        </w:rPr>
        <w:t xml:space="preserve"> </w:t>
      </w:r>
      <w:r w:rsidRPr="00C0193D">
        <w:rPr>
          <w:rFonts w:cs="Sylfaen"/>
          <w:b w:val="0"/>
          <w:szCs w:val="22"/>
          <w:lang w:val="hy-AM" w:eastAsia="en-US"/>
        </w:rPr>
        <w:t>բարելավմանը</w:t>
      </w:r>
      <w:r w:rsidRPr="00C0193D">
        <w:rPr>
          <w:b w:val="0"/>
          <w:szCs w:val="22"/>
          <w:lang w:val="hy-AM" w:eastAsia="en-US"/>
        </w:rPr>
        <w:t xml:space="preserve">, </w:t>
      </w:r>
      <w:r w:rsidRPr="00C0193D">
        <w:rPr>
          <w:rFonts w:cs="Sylfaen"/>
          <w:b w:val="0"/>
          <w:szCs w:val="22"/>
          <w:lang w:val="hy-AM" w:eastAsia="en-US"/>
        </w:rPr>
        <w:t>եվրոպական</w:t>
      </w:r>
      <w:r w:rsidRPr="00C0193D">
        <w:rPr>
          <w:b w:val="0"/>
          <w:szCs w:val="22"/>
          <w:lang w:val="hy-AM" w:eastAsia="en-US"/>
        </w:rPr>
        <w:t xml:space="preserve"> </w:t>
      </w:r>
      <w:r w:rsidRPr="00C0193D">
        <w:rPr>
          <w:rFonts w:cs="Sylfaen"/>
          <w:b w:val="0"/>
          <w:szCs w:val="22"/>
          <w:lang w:val="hy-AM" w:eastAsia="en-US"/>
        </w:rPr>
        <w:t>կրթական</w:t>
      </w:r>
      <w:r w:rsidRPr="00C0193D">
        <w:rPr>
          <w:b w:val="0"/>
          <w:szCs w:val="22"/>
          <w:lang w:val="hy-AM" w:eastAsia="en-US"/>
        </w:rPr>
        <w:t xml:space="preserve"> </w:t>
      </w:r>
      <w:r w:rsidRPr="00C0193D">
        <w:rPr>
          <w:rFonts w:cs="Sylfaen"/>
          <w:b w:val="0"/>
          <w:szCs w:val="22"/>
          <w:lang w:val="hy-AM" w:eastAsia="en-US"/>
        </w:rPr>
        <w:t>տարածքին</w:t>
      </w:r>
      <w:r w:rsidRPr="00C0193D">
        <w:rPr>
          <w:b w:val="0"/>
          <w:szCs w:val="22"/>
          <w:lang w:val="hy-AM" w:eastAsia="en-US"/>
        </w:rPr>
        <w:t xml:space="preserve"> </w:t>
      </w:r>
      <w:r w:rsidRPr="00C0193D">
        <w:rPr>
          <w:rFonts w:cs="Sylfaen"/>
          <w:b w:val="0"/>
          <w:szCs w:val="22"/>
          <w:lang w:val="hy-AM" w:eastAsia="en-US"/>
        </w:rPr>
        <w:t>ինտեգրմանը</w:t>
      </w:r>
      <w:r w:rsidRPr="00C0193D">
        <w:rPr>
          <w:b w:val="0"/>
          <w:szCs w:val="22"/>
          <w:lang w:val="hy-AM" w:eastAsia="en-US"/>
        </w:rPr>
        <w:t xml:space="preserve">, </w:t>
      </w:r>
      <w:r w:rsidRPr="00C0193D">
        <w:rPr>
          <w:rFonts w:cs="Sylfaen"/>
          <w:b w:val="0"/>
          <w:szCs w:val="22"/>
          <w:lang w:val="hy-AM" w:eastAsia="en-US"/>
        </w:rPr>
        <w:t>սոցիալապես</w:t>
      </w:r>
      <w:r w:rsidRPr="00C0193D">
        <w:rPr>
          <w:b w:val="0"/>
          <w:szCs w:val="22"/>
          <w:lang w:val="hy-AM" w:eastAsia="en-US"/>
        </w:rPr>
        <w:t xml:space="preserve"> </w:t>
      </w:r>
      <w:r w:rsidRPr="00C0193D">
        <w:rPr>
          <w:rFonts w:cs="Sylfaen"/>
          <w:b w:val="0"/>
          <w:szCs w:val="22"/>
          <w:lang w:val="hy-AM" w:eastAsia="en-US"/>
        </w:rPr>
        <w:t>խոցելի</w:t>
      </w:r>
      <w:r w:rsidRPr="00C0193D">
        <w:rPr>
          <w:b w:val="0"/>
          <w:szCs w:val="22"/>
          <w:lang w:val="hy-AM" w:eastAsia="en-US"/>
        </w:rPr>
        <w:t xml:space="preserve"> </w:t>
      </w:r>
      <w:r w:rsidRPr="00C0193D">
        <w:rPr>
          <w:rFonts w:cs="Sylfaen"/>
          <w:b w:val="0"/>
          <w:szCs w:val="22"/>
          <w:lang w:val="hy-AM" w:eastAsia="en-US"/>
        </w:rPr>
        <w:t>խավերի</w:t>
      </w:r>
      <w:r w:rsidRPr="00C0193D">
        <w:rPr>
          <w:b w:val="0"/>
          <w:szCs w:val="22"/>
          <w:lang w:val="hy-AM" w:eastAsia="en-US"/>
        </w:rPr>
        <w:t xml:space="preserve"> </w:t>
      </w:r>
      <w:r w:rsidRPr="00C0193D">
        <w:rPr>
          <w:rFonts w:cs="Sylfaen"/>
          <w:b w:val="0"/>
          <w:szCs w:val="22"/>
          <w:lang w:val="hy-AM" w:eastAsia="en-US"/>
        </w:rPr>
        <w:t>համար</w:t>
      </w:r>
      <w:r w:rsidRPr="00C0193D">
        <w:rPr>
          <w:b w:val="0"/>
          <w:szCs w:val="22"/>
          <w:lang w:val="hy-AM" w:eastAsia="en-US"/>
        </w:rPr>
        <w:t xml:space="preserve"> </w:t>
      </w:r>
      <w:r w:rsidRPr="00C0193D">
        <w:rPr>
          <w:rFonts w:cs="Sylfaen"/>
          <w:b w:val="0"/>
          <w:szCs w:val="22"/>
          <w:lang w:val="hy-AM" w:eastAsia="en-US"/>
        </w:rPr>
        <w:lastRenderedPageBreak/>
        <w:t>մասնագիտական</w:t>
      </w:r>
      <w:r w:rsidRPr="00C0193D">
        <w:rPr>
          <w:b w:val="0"/>
          <w:szCs w:val="22"/>
          <w:lang w:val="hy-AM" w:eastAsia="en-US"/>
        </w:rPr>
        <w:t xml:space="preserve"> </w:t>
      </w:r>
      <w:r w:rsidRPr="00C0193D">
        <w:rPr>
          <w:rFonts w:cs="Sylfaen"/>
          <w:b w:val="0"/>
          <w:szCs w:val="22"/>
          <w:lang w:val="hy-AM" w:eastAsia="en-US"/>
        </w:rPr>
        <w:t>կրթության</w:t>
      </w:r>
      <w:r w:rsidRPr="00C0193D">
        <w:rPr>
          <w:b w:val="0"/>
          <w:szCs w:val="22"/>
          <w:lang w:val="hy-AM" w:eastAsia="en-US"/>
        </w:rPr>
        <w:t xml:space="preserve"> </w:t>
      </w:r>
      <w:r w:rsidRPr="00C0193D">
        <w:rPr>
          <w:rFonts w:cs="Sylfaen"/>
          <w:b w:val="0"/>
          <w:szCs w:val="22"/>
          <w:lang w:val="hy-AM" w:eastAsia="en-US"/>
        </w:rPr>
        <w:t>մատչելիությանը</w:t>
      </w:r>
      <w:r w:rsidRPr="00C0193D">
        <w:rPr>
          <w:b w:val="0"/>
          <w:szCs w:val="22"/>
          <w:lang w:val="hy-AM" w:eastAsia="en-US"/>
        </w:rPr>
        <w:t xml:space="preserve"> </w:t>
      </w:r>
      <w:r w:rsidRPr="00C0193D">
        <w:rPr>
          <w:rFonts w:cs="Sylfaen"/>
          <w:b w:val="0"/>
          <w:szCs w:val="22"/>
          <w:lang w:val="hy-AM" w:eastAsia="en-US"/>
        </w:rPr>
        <w:t>և</w:t>
      </w:r>
      <w:r w:rsidRPr="00C0193D">
        <w:rPr>
          <w:b w:val="0"/>
          <w:szCs w:val="22"/>
          <w:lang w:val="hy-AM" w:eastAsia="en-US"/>
        </w:rPr>
        <w:t xml:space="preserve"> </w:t>
      </w:r>
      <w:r w:rsidRPr="00C0193D">
        <w:rPr>
          <w:rFonts w:cs="Sylfaen"/>
          <w:b w:val="0"/>
          <w:szCs w:val="22"/>
          <w:lang w:val="hy-AM" w:eastAsia="en-US"/>
        </w:rPr>
        <w:t>հասանելիությանը` կրթաթոշակների տրամադր</w:t>
      </w:r>
      <w:r w:rsidR="005A1F4E" w:rsidRPr="00C0193D">
        <w:rPr>
          <w:rFonts w:cs="Sylfaen"/>
          <w:b w:val="0"/>
          <w:szCs w:val="22"/>
          <w:lang w:val="hy-AM" w:eastAsia="en-US"/>
        </w:rPr>
        <w:t xml:space="preserve">ման նոր մոտեցումների ձևավորման </w:t>
      </w:r>
      <w:r w:rsidRPr="00C0193D">
        <w:rPr>
          <w:rFonts w:cs="Sylfaen"/>
          <w:b w:val="0"/>
          <w:szCs w:val="22"/>
          <w:lang w:val="hy-AM" w:eastAsia="en-US"/>
        </w:rPr>
        <w:t>միջոցառումների միջոցով</w:t>
      </w:r>
      <w:r w:rsidRPr="00C0193D">
        <w:rPr>
          <w:b w:val="0"/>
          <w:szCs w:val="22"/>
          <w:lang w:val="hy-AM" w:eastAsia="en-US"/>
        </w:rPr>
        <w:t>:</w:t>
      </w:r>
    </w:p>
    <w:p w14:paraId="55757C16" w14:textId="77777777" w:rsidR="00AD062C" w:rsidRPr="00C0193D" w:rsidRDefault="00AD062C" w:rsidP="00835DBE">
      <w:pPr>
        <w:tabs>
          <w:tab w:val="num" w:pos="0"/>
        </w:tabs>
        <w:rPr>
          <w:rFonts w:cs="Sylfaen"/>
          <w:b w:val="0"/>
          <w:bCs/>
          <w:szCs w:val="22"/>
          <w:lang w:val="hy-AM" w:eastAsia="en-US"/>
        </w:rPr>
      </w:pPr>
      <w:r w:rsidRPr="00C0193D">
        <w:rPr>
          <w:rFonts w:cs="Sylfaen"/>
          <w:b w:val="0"/>
          <w:bCs/>
          <w:szCs w:val="22"/>
          <w:lang w:val="hy-AM" w:eastAsia="en-US"/>
        </w:rPr>
        <w:t>Սփյուռքի ոլորտում կիրականացվի կրթական</w:t>
      </w:r>
      <w:r w:rsidRPr="00C0193D">
        <w:rPr>
          <w:rFonts w:cs="Sylfaen"/>
          <w:b w:val="0"/>
          <w:bCs/>
          <w:szCs w:val="22"/>
          <w:lang w:val="af-ZA" w:eastAsia="en-US"/>
        </w:rPr>
        <w:t xml:space="preserve"> </w:t>
      </w:r>
      <w:r w:rsidRPr="00C0193D">
        <w:rPr>
          <w:rFonts w:cs="Sylfaen"/>
          <w:b w:val="0"/>
          <w:bCs/>
          <w:szCs w:val="22"/>
          <w:lang w:val="hy-AM" w:eastAsia="en-US"/>
        </w:rPr>
        <w:t>կարողությունների</w:t>
      </w:r>
      <w:r w:rsidRPr="00C0193D">
        <w:rPr>
          <w:rFonts w:cs="Sylfaen"/>
          <w:b w:val="0"/>
          <w:bCs/>
          <w:szCs w:val="22"/>
          <w:lang w:val="af-ZA" w:eastAsia="en-US"/>
        </w:rPr>
        <w:t xml:space="preserve"> </w:t>
      </w:r>
      <w:r w:rsidRPr="00C0193D">
        <w:rPr>
          <w:rFonts w:cs="Sylfaen"/>
          <w:b w:val="0"/>
          <w:bCs/>
          <w:szCs w:val="22"/>
          <w:lang w:val="hy-AM" w:eastAsia="en-US"/>
        </w:rPr>
        <w:t>հզորացման, հայրենագիտական նյութերի բովանդակության բարելավման, Հայաստանի հետ կապի ամրապնդման և մշակութային կյանքի աշխուժացման քաղաքականություն:</w:t>
      </w:r>
    </w:p>
    <w:p w14:paraId="17264E75" w14:textId="77777777" w:rsidR="00AD062C" w:rsidRPr="00C0193D" w:rsidRDefault="00AD062C" w:rsidP="00835DBE">
      <w:pPr>
        <w:tabs>
          <w:tab w:val="num" w:pos="0"/>
        </w:tabs>
        <w:rPr>
          <w:rFonts w:cs="Sylfaen"/>
          <w:b w:val="0"/>
          <w:bCs/>
          <w:szCs w:val="22"/>
          <w:lang w:val="hy-AM" w:eastAsia="en-US"/>
        </w:rPr>
      </w:pPr>
      <w:r w:rsidRPr="00C0193D">
        <w:rPr>
          <w:rFonts w:cs="Courier New"/>
          <w:b w:val="0"/>
          <w:szCs w:val="22"/>
          <w:shd w:val="clear" w:color="auto" w:fill="FFFFFF"/>
          <w:lang w:val="hy-AM" w:eastAsia="en-US"/>
        </w:rPr>
        <w:t>Կշարունակվի կրթության ոլորտում օտարերկրյա կազմակերպությունների հետ երկկողմ և բազմակողմ ձևաչափերով առկա համագործակցության ընդլայնումը և նոր համագործակցությունների ձևավորումը։</w:t>
      </w:r>
    </w:p>
    <w:p w14:paraId="339C98A6" w14:textId="77777777" w:rsidR="00AD062C" w:rsidRPr="00922161" w:rsidRDefault="00AD062C" w:rsidP="00835DBE">
      <w:pPr>
        <w:keepNext/>
        <w:tabs>
          <w:tab w:val="left" w:pos="360"/>
        </w:tabs>
        <w:rPr>
          <w:rFonts w:eastAsiaTheme="majorEastAsia" w:cstheme="majorBidi"/>
          <w:bCs/>
          <w:color w:val="1F497D" w:themeColor="text2"/>
          <w:sz w:val="24"/>
          <w:lang w:val="hy-AM" w:eastAsia="en-US"/>
        </w:rPr>
      </w:pPr>
      <w:bookmarkStart w:id="41" w:name="_Toc57655428"/>
      <w:r w:rsidRPr="00922161">
        <w:rPr>
          <w:rFonts w:eastAsiaTheme="majorEastAsia" w:cstheme="majorBidi"/>
          <w:bCs/>
          <w:color w:val="1F497D" w:themeColor="text2"/>
          <w:sz w:val="24"/>
          <w:lang w:val="hy-AM" w:eastAsia="en-US"/>
        </w:rPr>
        <w:t>Գիտությ</w:t>
      </w:r>
      <w:bookmarkEnd w:id="41"/>
      <w:r w:rsidRPr="00922161">
        <w:rPr>
          <w:rFonts w:eastAsiaTheme="majorEastAsia" w:cstheme="majorBidi"/>
          <w:bCs/>
          <w:color w:val="1F497D" w:themeColor="text2"/>
          <w:sz w:val="24"/>
          <w:lang w:val="hy-AM" w:eastAsia="en-US"/>
        </w:rPr>
        <w:t>ուն</w:t>
      </w:r>
    </w:p>
    <w:p w14:paraId="1998F059" w14:textId="77777777" w:rsidR="00236CE8" w:rsidRPr="00C0193D" w:rsidRDefault="00236CE8" w:rsidP="00835DBE">
      <w:pPr>
        <w:tabs>
          <w:tab w:val="left" w:pos="90"/>
          <w:tab w:val="left" w:pos="567"/>
        </w:tabs>
        <w:rPr>
          <w:rFonts w:cs="Sylfaen"/>
          <w:szCs w:val="22"/>
          <w:lang w:val="hy-AM"/>
        </w:rPr>
      </w:pPr>
      <w:r w:rsidRPr="00C0193D">
        <w:rPr>
          <w:rFonts w:cs="Sylfaen"/>
          <w:b w:val="0"/>
          <w:szCs w:val="22"/>
          <w:lang w:val="hy-AM"/>
        </w:rPr>
        <w:t>Հայաստանի Հանրապետության գիտության ոլորտը պետք է լինի Հայաստանի Հանրապետության կայուն զարգացման անկյունաքարային ոլորտներից մեկը, որի զարգացումը հնարավորություն է ընձեռելու Հայաստանին դիմակայել ներկայիս և ապագայի մարտահրավերներին, դառնալ Հայաստանի Հանրապետության առաջընթացի կարևոր մաս:</w:t>
      </w:r>
    </w:p>
    <w:p w14:paraId="1B494A38" w14:textId="77777777" w:rsidR="00236CE8" w:rsidRPr="00922161" w:rsidRDefault="00236CE8" w:rsidP="00835DBE">
      <w:pPr>
        <w:keepNext/>
        <w:tabs>
          <w:tab w:val="left" w:pos="360"/>
        </w:tabs>
        <w:rPr>
          <w:rFonts w:eastAsiaTheme="majorEastAsia" w:cstheme="majorBidi"/>
          <w:bCs/>
          <w:color w:val="1F497D" w:themeColor="text2"/>
          <w:sz w:val="24"/>
          <w:lang w:val="hy-AM" w:eastAsia="en-US"/>
        </w:rPr>
      </w:pPr>
      <w:r w:rsidRPr="00922161">
        <w:rPr>
          <w:rFonts w:eastAsiaTheme="majorEastAsia" w:cstheme="majorBidi"/>
          <w:bCs/>
          <w:color w:val="1F497D" w:themeColor="text2"/>
          <w:sz w:val="24"/>
          <w:lang w:val="hy-AM" w:eastAsia="en-US"/>
        </w:rPr>
        <w:t>Գիտության ոլորտի 2024 թվականի առաջնահերթ գերակա խնդիրներն են.</w:t>
      </w:r>
    </w:p>
    <w:p w14:paraId="65B10F8C" w14:textId="77777777" w:rsidR="00236CE8" w:rsidRPr="00C0193D" w:rsidRDefault="00236CE8" w:rsidP="00835DBE">
      <w:pPr>
        <w:numPr>
          <w:ilvl w:val="0"/>
          <w:numId w:val="40"/>
        </w:numPr>
        <w:tabs>
          <w:tab w:val="left" w:pos="90"/>
          <w:tab w:val="left" w:pos="567"/>
        </w:tabs>
        <w:ind w:left="0" w:firstLine="0"/>
        <w:rPr>
          <w:rFonts w:cs="Sylfaen"/>
          <w:b w:val="0"/>
          <w:szCs w:val="22"/>
          <w:lang w:val="hy-AM"/>
        </w:rPr>
      </w:pPr>
      <w:r w:rsidRPr="00C0193D">
        <w:rPr>
          <w:rFonts w:cs="Sylfaen"/>
          <w:b w:val="0"/>
          <w:szCs w:val="22"/>
          <w:lang w:val="hy-AM"/>
        </w:rPr>
        <w:t xml:space="preserve">մրցունակ գիտական գործունեության համար նպաստավոր ենթակառուցվածքների ստեղծում, որը գիտական գործունեության արդյունավետության և մրցունակության բարձրացման կարևորագույն գրավականներից է, ինչը հնարավորություն է տալու իրականացնելու մրցունակ գիտական հետազոտություններ ոչ միայն ժամանակակից գիտական սարքավորումների և նյութերի միջոցով, այլ նաև ընձեռելու է գիտական գործունեության համար բարենպաստ ֆիզիկական միջավայր, </w:t>
      </w:r>
    </w:p>
    <w:p w14:paraId="54AE5975" w14:textId="77777777" w:rsidR="00236CE8" w:rsidRPr="00C0193D" w:rsidRDefault="00236CE8" w:rsidP="00835DBE">
      <w:pPr>
        <w:numPr>
          <w:ilvl w:val="0"/>
          <w:numId w:val="40"/>
        </w:numPr>
        <w:tabs>
          <w:tab w:val="left" w:pos="90"/>
          <w:tab w:val="left" w:pos="567"/>
        </w:tabs>
        <w:ind w:left="0" w:firstLine="0"/>
        <w:rPr>
          <w:rFonts w:cs="Sylfaen"/>
          <w:b w:val="0"/>
          <w:szCs w:val="22"/>
          <w:lang w:val="hy-AM"/>
        </w:rPr>
      </w:pPr>
      <w:r w:rsidRPr="00C0193D">
        <w:rPr>
          <w:rFonts w:cs="Sylfaen"/>
          <w:b w:val="0"/>
          <w:szCs w:val="22"/>
          <w:lang w:val="hy-AM"/>
        </w:rPr>
        <w:t xml:space="preserve">գիտության ոլորտում աշխատողների որակավորման բարձրացում և երիտասարդ կադրերի ներգրավում, որը ոլորտի ծերացման հիմնահարցի լուծման և մրցունակության բարձրացման հիմնական գործիքներն են,  </w:t>
      </w:r>
    </w:p>
    <w:p w14:paraId="3FAAB10D" w14:textId="77777777" w:rsidR="00236CE8" w:rsidRPr="00C0193D" w:rsidRDefault="00236CE8" w:rsidP="00835DBE">
      <w:pPr>
        <w:numPr>
          <w:ilvl w:val="0"/>
          <w:numId w:val="40"/>
        </w:numPr>
        <w:tabs>
          <w:tab w:val="left" w:pos="90"/>
          <w:tab w:val="left" w:pos="567"/>
        </w:tabs>
        <w:ind w:left="0" w:firstLine="0"/>
        <w:rPr>
          <w:rFonts w:cs="Sylfaen"/>
          <w:b w:val="0"/>
          <w:szCs w:val="22"/>
          <w:lang w:val="hy-AM"/>
        </w:rPr>
      </w:pPr>
      <w:r w:rsidRPr="00C0193D">
        <w:rPr>
          <w:rFonts w:cs="Sylfaen"/>
          <w:b w:val="0"/>
          <w:szCs w:val="22"/>
          <w:lang w:val="hy-AM"/>
        </w:rPr>
        <w:t>գիտության ոլորտում պետական ֆինանսավորման արդյունավետության բարձրացում, որը հնարավորություն է ընձեռելու ներդնել առավել բարձր կատարողականով գիտական կազմակերպություններում բազային ֆինանսավորման հնգամյա մեխանիզմներ, ինչպես նաև իրականացնել գիտական կադրերի պատրաստման բոնուսային ծրագրեր՝ բազային ֆինանսավորման շրջանակներում:</w:t>
      </w:r>
    </w:p>
    <w:p w14:paraId="12570782" w14:textId="77777777" w:rsidR="00236CE8" w:rsidRPr="00922161" w:rsidRDefault="00236CE8" w:rsidP="00835DBE">
      <w:pPr>
        <w:keepNext/>
        <w:tabs>
          <w:tab w:val="left" w:pos="360"/>
        </w:tabs>
        <w:rPr>
          <w:rFonts w:eastAsiaTheme="majorEastAsia" w:cstheme="majorBidi"/>
          <w:bCs/>
          <w:color w:val="1F497D" w:themeColor="text2"/>
          <w:sz w:val="24"/>
          <w:lang w:val="hy-AM" w:eastAsia="en-US"/>
        </w:rPr>
      </w:pPr>
      <w:r w:rsidRPr="00922161">
        <w:rPr>
          <w:rFonts w:eastAsiaTheme="majorEastAsia" w:cstheme="majorBidi"/>
          <w:bCs/>
          <w:color w:val="1F497D" w:themeColor="text2"/>
          <w:sz w:val="24"/>
          <w:lang w:val="hy-AM" w:eastAsia="en-US"/>
        </w:rPr>
        <w:t>Վերոնշյալ գերակա խնդիրների լուծմանն ուղղված միջոցառումներն են.</w:t>
      </w:r>
    </w:p>
    <w:p w14:paraId="2FC7BA27" w14:textId="77777777" w:rsidR="00236CE8" w:rsidRPr="00C0193D" w:rsidRDefault="00236CE8" w:rsidP="00835DBE">
      <w:pPr>
        <w:numPr>
          <w:ilvl w:val="0"/>
          <w:numId w:val="40"/>
        </w:numPr>
        <w:tabs>
          <w:tab w:val="left" w:pos="90"/>
          <w:tab w:val="left" w:pos="567"/>
        </w:tabs>
        <w:ind w:left="0" w:firstLine="0"/>
        <w:rPr>
          <w:rFonts w:cs="Sylfaen"/>
          <w:b w:val="0"/>
          <w:szCs w:val="22"/>
          <w:lang w:val="hy-AM"/>
        </w:rPr>
      </w:pPr>
      <w:r w:rsidRPr="00C0193D">
        <w:rPr>
          <w:rFonts w:cs="Sylfaen"/>
          <w:b w:val="0"/>
          <w:szCs w:val="22"/>
          <w:lang w:val="hy-AM"/>
        </w:rPr>
        <w:t xml:space="preserve">ոլորտային համալիր հետազոտությունների համար անհրաժեշտ սարքավորումներով վերանորոգված և վերազինված գիտական կենտրոնների, գիտական կազմակերպություններում կամ բուհերում առկա առևտրայնացման պոտենցիալ ունեցող մշակումները վերհանող և դրանց առևտրայնացման գործընթացն ուղղորդող կառույցի, գիտությունից բիզնես ռիսկային նախաձեռնությունների գնահատման և ներդրումների ազգային հիմնադրամի, հետազոտությունների համար ավելի նպաստավոր միջավայրի, </w:t>
      </w:r>
      <w:r w:rsidRPr="00C0193D">
        <w:rPr>
          <w:rFonts w:cs="Sylfaen"/>
          <w:b w:val="0"/>
          <w:szCs w:val="22"/>
          <w:lang w:val="hy-AM"/>
        </w:rPr>
        <w:lastRenderedPageBreak/>
        <w:t>ինչպես նաև մարդկային և ֆիզիկական ռեսուրսի արդյունավետ օգտագործման պայմանների, գիտական և գիտատեխնիկական բնագավառում միջպետական կամ միջգերատեսչական պայմանագրերի և համաձայնագրերի, ինչպես նաև Եվրոպական շրջանակային ծրագրերին Հայաստանի մասնակցության խթանման մեխանիզմների առկայություն,</w:t>
      </w:r>
    </w:p>
    <w:p w14:paraId="1C3D3F4A" w14:textId="77777777" w:rsidR="00236CE8" w:rsidRPr="00C0193D" w:rsidRDefault="00236CE8" w:rsidP="00835DBE">
      <w:pPr>
        <w:numPr>
          <w:ilvl w:val="0"/>
          <w:numId w:val="40"/>
        </w:numPr>
        <w:tabs>
          <w:tab w:val="left" w:pos="284"/>
          <w:tab w:val="left" w:pos="567"/>
        </w:tabs>
        <w:ind w:left="0" w:firstLine="0"/>
        <w:rPr>
          <w:rFonts w:cs="Sylfaen"/>
          <w:b w:val="0"/>
          <w:szCs w:val="22"/>
          <w:lang w:val="hy-AM"/>
        </w:rPr>
      </w:pPr>
      <w:r w:rsidRPr="00C0193D">
        <w:rPr>
          <w:rFonts w:cs="Sylfaen"/>
          <w:b w:val="0"/>
          <w:szCs w:val="22"/>
          <w:lang w:val="hy-AM"/>
        </w:rPr>
        <w:t>ասպիրանտների և երիտասարդ հայցորդների հետազոտությունների աջակցությանն ու հետդոկտորական հետազոտությունների ծրագրերի իրականացման</w:t>
      </w:r>
      <w:r w:rsidR="00DB14F1" w:rsidRPr="00C0193D">
        <w:rPr>
          <w:rFonts w:cs="Sylfaen"/>
          <w:b w:val="0"/>
          <w:szCs w:val="22"/>
          <w:lang w:val="hy-AM"/>
        </w:rPr>
        <w:t>ն</w:t>
      </w:r>
      <w:r w:rsidRPr="00C0193D">
        <w:rPr>
          <w:rFonts w:cs="Sylfaen"/>
          <w:b w:val="0"/>
          <w:szCs w:val="22"/>
          <w:lang w:val="hy-AM"/>
        </w:rPr>
        <w:t xml:space="preserve"> ուղղված ծրագրերի, ինչպես նաև աշխարհի լավագույն գիտական կենտրոններում վերապատրաստված գիտաշխատողների առկայություն,</w:t>
      </w:r>
    </w:p>
    <w:p w14:paraId="74B1BA8B" w14:textId="77777777" w:rsidR="00236CE8" w:rsidRPr="00C0193D" w:rsidRDefault="00236CE8" w:rsidP="00835DBE">
      <w:pPr>
        <w:numPr>
          <w:ilvl w:val="0"/>
          <w:numId w:val="40"/>
        </w:numPr>
        <w:tabs>
          <w:tab w:val="left" w:pos="284"/>
          <w:tab w:val="left" w:pos="567"/>
        </w:tabs>
        <w:ind w:left="0" w:firstLine="0"/>
        <w:rPr>
          <w:szCs w:val="22"/>
          <w:lang w:val="hy-AM"/>
        </w:rPr>
      </w:pPr>
      <w:r w:rsidRPr="00C0193D">
        <w:rPr>
          <w:rFonts w:cs="Sylfaen"/>
          <w:b w:val="0"/>
          <w:szCs w:val="22"/>
          <w:lang w:val="hy-AM"/>
        </w:rPr>
        <w:t>հետազոտությունների միջազգային չափանիշների սահմանում, կատարողականի գնահատման մեխանիզմների, հեռավար ղեկավարվող լաբորատորիաների, հասարակական, հայագիտության և հու</w:t>
      </w:r>
      <w:r w:rsidR="005E139E">
        <w:rPr>
          <w:rFonts w:cs="Sylfaen"/>
          <w:b w:val="0"/>
          <w:szCs w:val="22"/>
          <w:lang w:val="hy-AM"/>
        </w:rPr>
        <w:t>մանիտար գիտությունների բնագավառ</w:t>
      </w:r>
      <w:r w:rsidRPr="00C0193D">
        <w:rPr>
          <w:rFonts w:cs="Sylfaen"/>
          <w:b w:val="0"/>
          <w:szCs w:val="22"/>
          <w:lang w:val="hy-AM"/>
        </w:rPr>
        <w:t>ների, երկակի նշանակության, կիրառական արդյունքի ձեռքբերման, պետական կարիքներից բխող, գերակա ուղղություններով հետազոտությունների աջակցությանն ուղղված ծրագրերի, ինչպես նաև hիմնարար հետազոտությունների ծրագրերի ընտրության մրցակցային մեխանիզմների առկայություն:</w:t>
      </w:r>
    </w:p>
    <w:p w14:paraId="614E5D55" w14:textId="77777777" w:rsidR="00AD062C" w:rsidRPr="00922161" w:rsidRDefault="00AD062C" w:rsidP="00835DBE">
      <w:pPr>
        <w:keepNext/>
        <w:tabs>
          <w:tab w:val="left" w:pos="360"/>
        </w:tabs>
        <w:rPr>
          <w:rFonts w:eastAsiaTheme="majorEastAsia" w:cstheme="majorBidi"/>
          <w:bCs/>
          <w:color w:val="1F497D" w:themeColor="text2"/>
          <w:sz w:val="24"/>
          <w:lang w:val="hy-AM" w:eastAsia="en-US"/>
        </w:rPr>
      </w:pPr>
      <w:r w:rsidRPr="00922161">
        <w:rPr>
          <w:rFonts w:eastAsiaTheme="majorEastAsia" w:cstheme="majorBidi"/>
          <w:bCs/>
          <w:color w:val="1F497D" w:themeColor="text2"/>
          <w:sz w:val="24"/>
          <w:lang w:val="hy-AM" w:eastAsia="en-US"/>
        </w:rPr>
        <w:t>Մշակույթ</w:t>
      </w:r>
    </w:p>
    <w:p w14:paraId="72B3EB93" w14:textId="77777777" w:rsidR="00091973" w:rsidRPr="00C0193D" w:rsidRDefault="00091973" w:rsidP="00835DBE">
      <w:pPr>
        <w:tabs>
          <w:tab w:val="num" w:pos="0"/>
          <w:tab w:val="left" w:pos="450"/>
          <w:tab w:val="left" w:pos="567"/>
        </w:tabs>
        <w:rPr>
          <w:rFonts w:eastAsia="Calibri"/>
          <w:szCs w:val="22"/>
          <w:lang w:val="af-ZA" w:eastAsia="en-US"/>
        </w:rPr>
      </w:pPr>
      <w:r w:rsidRPr="00C0193D">
        <w:rPr>
          <w:rFonts w:eastAsia="Calibri"/>
          <w:b w:val="0"/>
          <w:szCs w:val="22"/>
          <w:lang w:val="af-ZA" w:eastAsia="en-US"/>
        </w:rPr>
        <w:t xml:space="preserve">2024 թվականին կշարունակվեն մշակութային ժառանգության պահպանության և հանրահռչակման աշխատանքները` ուղղված ՀՀ տարածքում և արտերկրում գտնվող մշակութային արժեքների և պատմամշակութային հուշարձանների հաշվառմանն ու գիտական ուսումնասիրությունների իրականացմանը, մշակույթի ոլորտի տեղեկատվական </w:t>
      </w:r>
      <w:r w:rsidRPr="00C0193D">
        <w:rPr>
          <w:rFonts w:eastAsia="Calibri"/>
          <w:b w:val="0"/>
          <w:szCs w:val="22"/>
          <w:lang w:val="hy-AM" w:eastAsia="en-US"/>
        </w:rPr>
        <w:t xml:space="preserve">և տոմսային տնտեսության միասնական </w:t>
      </w:r>
      <w:r w:rsidRPr="00C0193D">
        <w:rPr>
          <w:rFonts w:eastAsia="Calibri"/>
          <w:b w:val="0"/>
          <w:szCs w:val="22"/>
          <w:lang w:val="af-ZA" w:eastAsia="en-US"/>
        </w:rPr>
        <w:t>հարթակի ներդրման</w:t>
      </w:r>
      <w:r w:rsidRPr="00C0193D">
        <w:rPr>
          <w:rFonts w:eastAsia="Calibri"/>
          <w:b w:val="0"/>
          <w:szCs w:val="22"/>
          <w:lang w:val="hy-AM" w:eastAsia="en-US"/>
        </w:rPr>
        <w:t>ը, ինչպես նաև մշակույթի զարգացման հիմնադրամի ստեղծմանը:</w:t>
      </w:r>
    </w:p>
    <w:p w14:paraId="7B61639B" w14:textId="77777777" w:rsidR="00091973" w:rsidRPr="00C0193D" w:rsidRDefault="00091973" w:rsidP="00835DBE">
      <w:pPr>
        <w:tabs>
          <w:tab w:val="num" w:pos="0"/>
        </w:tabs>
        <w:rPr>
          <w:rFonts w:eastAsia="Calibri" w:cs="Courier New"/>
          <w:b w:val="0"/>
          <w:szCs w:val="22"/>
          <w:shd w:val="clear" w:color="auto" w:fill="FFFFFF"/>
          <w:lang w:val="af-ZA" w:eastAsia="en-US"/>
        </w:rPr>
      </w:pPr>
      <w:r w:rsidRPr="00C0193D">
        <w:rPr>
          <w:rFonts w:eastAsia="Calibri" w:cs="Courier New"/>
          <w:b w:val="0"/>
          <w:szCs w:val="22"/>
          <w:shd w:val="clear" w:color="auto" w:fill="FFFFFF"/>
          <w:lang w:val="af-ZA" w:eastAsia="en-US"/>
        </w:rPr>
        <w:tab/>
      </w:r>
      <w:r w:rsidRPr="00C0193D">
        <w:rPr>
          <w:rFonts w:eastAsia="Calibri" w:cs="Courier New"/>
          <w:b w:val="0"/>
          <w:szCs w:val="22"/>
          <w:shd w:val="clear" w:color="auto" w:fill="FFFFFF"/>
          <w:lang w:val="hy-AM" w:eastAsia="en-US"/>
        </w:rPr>
        <w:t xml:space="preserve">Կշարունակվեն մատուցվել </w:t>
      </w:r>
      <w:r w:rsidRPr="00C0193D">
        <w:rPr>
          <w:rFonts w:eastAsia="Calibri" w:cs="Courier New"/>
          <w:b w:val="0"/>
          <w:szCs w:val="22"/>
          <w:shd w:val="clear" w:color="auto" w:fill="FFFFFF"/>
          <w:lang w:eastAsia="en-US"/>
        </w:rPr>
        <w:t>ազգային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արվեստների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հենքի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և</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ավանդույթների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հիմքի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վրա</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ժամանակակից</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մարդու</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ընկալումներին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ու</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ձգտումներին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համահունչ</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արվեստի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ստեղծման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և</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տարածման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ազգաբնակչության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ստեղծագործական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ներուժի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խթանման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նոր</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մտահղացումների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ու</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գաղափարների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ներդրման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անհրաժեշտ</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պայմանների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ապահովման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մշակութային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մրցունակ</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արտադրանքի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ստեղծման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մշակութային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միջոցառումների</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իրականացման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և</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այլ</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eastAsia="en-US"/>
        </w:rPr>
        <w:t>ծառայություններ</w:t>
      </w:r>
      <w:r w:rsidRPr="00C0193D">
        <w:rPr>
          <w:rFonts w:eastAsia="Calibri" w:cs="Courier New"/>
          <w:b w:val="0"/>
          <w:szCs w:val="22"/>
          <w:shd w:val="clear" w:color="auto" w:fill="FFFFFF"/>
          <w:lang w:val="af-ZA" w:eastAsia="en-US"/>
        </w:rPr>
        <w:t>:</w:t>
      </w:r>
    </w:p>
    <w:p w14:paraId="62371F3A" w14:textId="77777777" w:rsidR="00091973" w:rsidRPr="00C0193D" w:rsidRDefault="00091973" w:rsidP="00835DBE">
      <w:pPr>
        <w:tabs>
          <w:tab w:val="num" w:pos="0"/>
        </w:tabs>
        <w:rPr>
          <w:rFonts w:eastAsia="Calibri" w:cs="Courier New"/>
          <w:b w:val="0"/>
          <w:szCs w:val="22"/>
          <w:shd w:val="clear" w:color="auto" w:fill="FFFFFF"/>
          <w:lang w:val="af-ZA" w:eastAsia="en-US"/>
        </w:rPr>
      </w:pPr>
      <w:r w:rsidRPr="00C0193D">
        <w:rPr>
          <w:rFonts w:eastAsia="Calibri" w:cs="Courier New"/>
          <w:b w:val="0"/>
          <w:szCs w:val="22"/>
          <w:shd w:val="clear" w:color="auto" w:fill="FFFFFF"/>
          <w:lang w:val="hy-AM" w:eastAsia="en-US"/>
        </w:rPr>
        <w:t>Մշակույթի</w:t>
      </w:r>
      <w:r w:rsidRPr="00C0193D">
        <w:rPr>
          <w:rFonts w:eastAsia="Calibri" w:cs="Calibri"/>
          <w:b w:val="0"/>
          <w:szCs w:val="22"/>
          <w:shd w:val="clear" w:color="auto" w:fill="FFFFFF"/>
          <w:lang w:val="af-ZA" w:eastAsia="en-US"/>
        </w:rPr>
        <w:t xml:space="preserve"> </w:t>
      </w:r>
      <w:r w:rsidRPr="00C0193D">
        <w:rPr>
          <w:rFonts w:eastAsia="Calibri" w:cs="Courier New"/>
          <w:b w:val="0"/>
          <w:szCs w:val="22"/>
          <w:shd w:val="clear" w:color="auto" w:fill="FFFFFF"/>
          <w:lang w:val="hy-AM" w:eastAsia="en-US"/>
        </w:rPr>
        <w:t>ոլորտի</w:t>
      </w:r>
      <w:r w:rsidRPr="00C0193D">
        <w:rPr>
          <w:rFonts w:eastAsia="Calibri" w:cs="Calibri"/>
          <w:b w:val="0"/>
          <w:szCs w:val="22"/>
          <w:shd w:val="clear" w:color="auto" w:fill="FFFFFF"/>
          <w:lang w:val="af-ZA" w:eastAsia="en-US"/>
        </w:rPr>
        <w:t xml:space="preserve"> </w:t>
      </w:r>
      <w:r w:rsidRPr="00C0193D">
        <w:rPr>
          <w:rFonts w:eastAsia="Calibri" w:cs="Courier New"/>
          <w:b w:val="0"/>
          <w:szCs w:val="22"/>
          <w:shd w:val="clear" w:color="auto" w:fill="FFFFFF"/>
          <w:lang w:val="hy-AM" w:eastAsia="en-US"/>
        </w:rPr>
        <w:t>քաղաքականության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val="hy-AM" w:eastAsia="en-US"/>
        </w:rPr>
        <w:t>հիմնական</w:t>
      </w:r>
      <w:r w:rsidRPr="00C0193D">
        <w:rPr>
          <w:rFonts w:eastAsia="Calibri" w:cs="Calibri"/>
          <w:b w:val="0"/>
          <w:szCs w:val="22"/>
          <w:shd w:val="clear" w:color="auto" w:fill="FFFFFF"/>
          <w:lang w:val="af-ZA" w:eastAsia="en-US"/>
        </w:rPr>
        <w:t xml:space="preserve"> </w:t>
      </w:r>
      <w:r w:rsidRPr="00C0193D">
        <w:rPr>
          <w:rFonts w:eastAsia="Calibri" w:cs="Courier New"/>
          <w:b w:val="0"/>
          <w:szCs w:val="22"/>
          <w:shd w:val="clear" w:color="auto" w:fill="FFFFFF"/>
          <w:lang w:val="hy-AM" w:eastAsia="en-US"/>
        </w:rPr>
        <w:t>թիրախներն</w:t>
      </w:r>
      <w:r w:rsidRPr="00C0193D">
        <w:rPr>
          <w:rFonts w:eastAsia="Calibri" w:cs="Courier New"/>
          <w:b w:val="0"/>
          <w:szCs w:val="22"/>
          <w:shd w:val="clear" w:color="auto" w:fill="FFFFFF"/>
          <w:lang w:val="af-ZA" w:eastAsia="en-US"/>
        </w:rPr>
        <w:t xml:space="preserve"> </w:t>
      </w:r>
      <w:r w:rsidRPr="00C0193D">
        <w:rPr>
          <w:rFonts w:eastAsia="Calibri" w:cs="Courier New"/>
          <w:b w:val="0"/>
          <w:szCs w:val="22"/>
          <w:shd w:val="clear" w:color="auto" w:fill="FFFFFF"/>
          <w:lang w:val="hy-AM" w:eastAsia="en-US"/>
        </w:rPr>
        <w:t>են</w:t>
      </w:r>
      <w:r w:rsidRPr="00C0193D">
        <w:rPr>
          <w:rFonts w:eastAsia="Calibri" w:cs="Courier New"/>
          <w:b w:val="0"/>
          <w:szCs w:val="22"/>
          <w:shd w:val="clear" w:color="auto" w:fill="FFFFFF"/>
          <w:lang w:val="af-ZA" w:eastAsia="en-US"/>
        </w:rPr>
        <w:t>.</w:t>
      </w:r>
    </w:p>
    <w:p w14:paraId="77B5DFE4"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C0193D">
        <w:rPr>
          <w:rFonts w:cs="Sylfaen"/>
          <w:b w:val="0"/>
          <w:szCs w:val="22"/>
          <w:lang w:val="hy-AM" w:eastAsia="en-US"/>
        </w:rPr>
        <w:t xml:space="preserve">պատմամշակութային </w:t>
      </w:r>
      <w:r w:rsidRPr="00F46689">
        <w:rPr>
          <w:rFonts w:eastAsia="Calibri" w:cs="Arial"/>
          <w:b w:val="0"/>
          <w:bCs/>
          <w:kern w:val="2"/>
          <w:szCs w:val="22"/>
          <w:lang w:val="hy-AM"/>
          <w14:ligatures w14:val="standardContextual"/>
        </w:rPr>
        <w:t>հուշարձանների ամրակայումը, նորոգումը և վերականգնումը, հանրահռչակումը միջազգային հարթակներում,</w:t>
      </w:r>
    </w:p>
    <w:p w14:paraId="175B1648"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թանգարանային ծառայությունների մատուցումը և ցուցահանդեսների կազմակերպումը,</w:t>
      </w:r>
    </w:p>
    <w:p w14:paraId="1C7283BA"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գրական արտադրանքի միջոցով գրական-մշակութային ժառանգության պահպանումը, զարգացումը և հանրահռչակումը,</w:t>
      </w:r>
    </w:p>
    <w:p w14:paraId="7034398E"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 xml:space="preserve">թանգարանների և պատկերասրահների, թատերահամերգային կազմակերպությունների վերանորոգումը, գույքային և տեխնիկական հագեցվածությունը, նյութատեխնիկական բազայի համալրումը, </w:t>
      </w:r>
    </w:p>
    <w:p w14:paraId="1E90E543"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մշակութային հաստատությունների ֆինանսավորման նոր մոդելի ներդնումը,</w:t>
      </w:r>
    </w:p>
    <w:p w14:paraId="37B80BBD"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հայկական կինոժառանգության պահպանումն ու հանրահռչակումը, կինոարվեստի աջակցությունն ու կինոարտադրության զարգացումը, միջազգային համագործակցության ընդլայնումը,</w:t>
      </w:r>
    </w:p>
    <w:p w14:paraId="2AA727AE"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ազգային հենքի վրա թատերարվեստի, երաժշտարվեստի, կերպարվեստի և պարարվեստի զարգացումն ու տարածումը, նորարարական մոտեցումների ընդօրինակումը, </w:t>
      </w:r>
    </w:p>
    <w:p w14:paraId="69AA05C4"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ինքնազբաղ արվեստագետների համար ստեղծագործելու բարենպաստ միջավայրի ձևավորումը և ինստիտուցիոնալ և սոցիալական երաշխիքների ստեղծումը,</w:t>
      </w:r>
    </w:p>
    <w:p w14:paraId="3AAC1BF3"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ստեղծագործական միությունների հետ համագործակցության ընդլայնումը, </w:t>
      </w:r>
    </w:p>
    <w:p w14:paraId="77B91AC2"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մշակութային կյանքի ապակենտրոնացումը, մարզերում մշակութային կյանքի և մշակութաստեղծ գործունեության ակտիվացումը,</w:t>
      </w:r>
    </w:p>
    <w:p w14:paraId="13446A62"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գեղարվեստական կրթության զարգացումը, երեխաների հոգևոր և գեղագիտական ընդունակությունների բացահայտումն ու զարգացումը՝ կրթական ծրագրերի իրականացման և վարպետության դասերի կազմակերպման միջոցով,</w:t>
      </w:r>
    </w:p>
    <w:p w14:paraId="42B1E647" w14:textId="77777777" w:rsidR="00091973" w:rsidRPr="00F46689" w:rsidRDefault="00091973"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պետություն-մասնավոր համագործակցության ընդլայնումը՝ ստեղծագործական ներուժի խթանման, մրցունակ արտադրանքի տարածման և արտերկրում հայ մշակույթի հանրահռչակման նպատակով,</w:t>
      </w:r>
    </w:p>
    <w:p w14:paraId="3DDBFFDE" w14:textId="77777777" w:rsidR="00091973" w:rsidRPr="00C0193D" w:rsidRDefault="00091973" w:rsidP="00835DBE">
      <w:pPr>
        <w:pStyle w:val="ListParagraph"/>
        <w:numPr>
          <w:ilvl w:val="0"/>
          <w:numId w:val="55"/>
        </w:numPr>
        <w:tabs>
          <w:tab w:val="left" w:pos="284"/>
        </w:tabs>
        <w:suppressAutoHyphens/>
        <w:ind w:left="0" w:firstLine="0"/>
        <w:rPr>
          <w:rFonts w:cs="Courier New"/>
          <w:b w:val="0"/>
          <w:szCs w:val="22"/>
          <w:shd w:val="clear" w:color="auto" w:fill="FFFFFF"/>
          <w:lang w:val="hy-AM" w:eastAsia="en-US"/>
        </w:rPr>
      </w:pPr>
      <w:r w:rsidRPr="00F46689">
        <w:rPr>
          <w:rFonts w:eastAsia="Calibri" w:cs="Arial"/>
          <w:b w:val="0"/>
          <w:bCs/>
          <w:kern w:val="2"/>
          <w:szCs w:val="22"/>
          <w:lang w:val="hy-AM"/>
          <w14:ligatures w14:val="standardContextual"/>
        </w:rPr>
        <w:t>օտարերկրյա</w:t>
      </w:r>
      <w:r w:rsidRPr="0070523E">
        <w:rPr>
          <w:rFonts w:cs="Sylfaen"/>
          <w:b w:val="0"/>
          <w:szCs w:val="22"/>
          <w:lang w:val="hy-AM" w:eastAsia="en-US"/>
        </w:rPr>
        <w:t xml:space="preserve"> կազմակերպությունների հետ երկկողմ և բազմակողմ ձևաչափերով առկա համագ</w:t>
      </w:r>
      <w:r w:rsidRPr="00C0193D">
        <w:rPr>
          <w:rFonts w:cs="Courier New"/>
          <w:b w:val="0"/>
          <w:szCs w:val="22"/>
          <w:shd w:val="clear" w:color="auto" w:fill="FFFFFF"/>
          <w:lang w:val="hy-AM" w:eastAsia="en-US"/>
        </w:rPr>
        <w:t>ործակցության խորացումը և նոր համագործակցությունների ձևավորումը։</w:t>
      </w:r>
    </w:p>
    <w:p w14:paraId="3C29799B" w14:textId="77777777" w:rsidR="00AD062C" w:rsidRPr="00922161" w:rsidRDefault="00AD062C" w:rsidP="00835DBE">
      <w:pPr>
        <w:keepNext/>
        <w:tabs>
          <w:tab w:val="left" w:pos="360"/>
        </w:tabs>
        <w:rPr>
          <w:rFonts w:eastAsiaTheme="majorEastAsia" w:cstheme="majorBidi"/>
          <w:bCs/>
          <w:color w:val="1F497D" w:themeColor="text2"/>
          <w:sz w:val="24"/>
          <w:lang w:val="hy-AM" w:eastAsia="en-US"/>
        </w:rPr>
      </w:pPr>
      <w:r w:rsidRPr="00922161">
        <w:rPr>
          <w:rFonts w:eastAsiaTheme="majorEastAsia" w:cstheme="majorBidi"/>
          <w:bCs/>
          <w:color w:val="1F497D" w:themeColor="text2"/>
          <w:sz w:val="24"/>
          <w:lang w:val="hy-AM" w:eastAsia="en-US"/>
        </w:rPr>
        <w:t>Սպորտ</w:t>
      </w:r>
    </w:p>
    <w:p w14:paraId="1E2AF90A" w14:textId="6DF1EACF" w:rsidR="00AD062C" w:rsidRPr="00C0193D" w:rsidRDefault="00AD062C" w:rsidP="00835DBE">
      <w:pPr>
        <w:tabs>
          <w:tab w:val="num" w:pos="0"/>
        </w:tabs>
        <w:rPr>
          <w:rFonts w:eastAsia="Calibri"/>
          <w:b w:val="0"/>
          <w:szCs w:val="22"/>
          <w:lang w:val="hy-AM" w:eastAsia="en-US"/>
        </w:rPr>
      </w:pPr>
      <w:r w:rsidRPr="00C0193D">
        <w:rPr>
          <w:rFonts w:eastAsia="Calibri"/>
          <w:b w:val="0"/>
          <w:szCs w:val="22"/>
          <w:lang w:val="hy-AM" w:eastAsia="en-US"/>
        </w:rPr>
        <w:t>Սպորտի ոլորտում պետական քաղաքականությունն ուղղված է առողջ ապրելակերպի խթանմանը՝ զանգվածային սպորտային միջոցառումներ կազմակերպելու և դրանցում բնակչության տարիքային և սոցիալական տարբեր խմբեր ներգրավելու միջոցով, մանկապատանեկան սպորտի զարգացմանը, ինչպես նաև սպորտում Հայաստանի Հանրապետության միջազգային հեղինակության բարձրացմանը՝ միջազգային և տեղական մրցումներին հայ մարզիկների մասնակցության և բարձր նվաճումների խրախուսման միջոցով, ֆեդերացիաների գործունեության</w:t>
      </w:r>
      <w:r w:rsidR="00091973">
        <w:rPr>
          <w:rFonts w:eastAsia="Calibri"/>
          <w:b w:val="0"/>
          <w:szCs w:val="22"/>
          <w:lang w:val="hy-AM" w:eastAsia="en-US"/>
        </w:rPr>
        <w:t>ն</w:t>
      </w:r>
      <w:r w:rsidRPr="00C0193D">
        <w:rPr>
          <w:rFonts w:eastAsia="Calibri"/>
          <w:b w:val="0"/>
          <w:szCs w:val="22"/>
          <w:lang w:val="hy-AM" w:eastAsia="en-US"/>
        </w:rPr>
        <w:t xml:space="preserve"> աջակցելու միջոցով և Հայաստանի Հանրապետությունում միջազգային մարզական միջոցառումներ կազմակերպելու միջոցով: </w:t>
      </w:r>
    </w:p>
    <w:p w14:paraId="71A0C447" w14:textId="77777777" w:rsidR="00AD062C" w:rsidRPr="00C0193D" w:rsidRDefault="00AD062C" w:rsidP="00835DBE">
      <w:pPr>
        <w:tabs>
          <w:tab w:val="num" w:pos="0"/>
        </w:tabs>
        <w:rPr>
          <w:rFonts w:eastAsia="Calibri"/>
          <w:b w:val="0"/>
          <w:szCs w:val="22"/>
          <w:lang w:val="hy-AM" w:eastAsia="en-US"/>
        </w:rPr>
      </w:pPr>
      <w:r w:rsidRPr="00C0193D">
        <w:rPr>
          <w:rFonts w:eastAsia="Calibri"/>
          <w:b w:val="0"/>
          <w:szCs w:val="22"/>
          <w:lang w:val="hy-AM" w:eastAsia="en-US"/>
        </w:rPr>
        <w:t>Հայաստանի Հանրապետության կառավարության քաղաքականությունն է՝ ֆիզիկական կուլտուրայի և սպորտի բնագավառում առաջնորդվել հետևյալ սկզբունքներով.</w:t>
      </w:r>
    </w:p>
    <w:p w14:paraId="3F96DB38"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բնակչության առողջության ամրապնդումը, </w:t>
      </w:r>
    </w:p>
    <w:p w14:paraId="1964BDE6"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հայրենիքի պաշտպանությանը պատրաստ երիտասարդության ֆիզիկական պատրաստականության ապահովումը,</w:t>
      </w:r>
    </w:p>
    <w:p w14:paraId="48D5F021"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բարձրակարգ մարզիկների պատրաստումը</w:t>
      </w:r>
      <w:r w:rsidR="003B75BE" w:rsidRPr="00F46689">
        <w:rPr>
          <w:rFonts w:eastAsia="Calibri" w:cs="Arial"/>
          <w:b w:val="0"/>
          <w:bCs/>
          <w:kern w:val="2"/>
          <w:szCs w:val="22"/>
          <w:lang w:val="hy-AM"/>
          <w14:ligatures w14:val="standardContextual"/>
        </w:rPr>
        <w:t xml:space="preserve">, </w:t>
      </w:r>
      <w:r w:rsidRPr="00F46689">
        <w:rPr>
          <w:rFonts w:eastAsia="Calibri" w:cs="Arial"/>
          <w:b w:val="0"/>
          <w:bCs/>
          <w:kern w:val="2"/>
          <w:szCs w:val="22"/>
          <w:lang w:val="hy-AM"/>
          <w14:ligatures w14:val="standardContextual"/>
        </w:rPr>
        <w:t>միջազգային մրցասպարեզներում Հայաստանի Հանրապետության հավաքական թիմերի և մարզիկների մասնակցության ապահովումը:</w:t>
      </w:r>
    </w:p>
    <w:p w14:paraId="5269F815"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Ոլորտային քաղաքականության հիմնական նպատակներն են. </w:t>
      </w:r>
    </w:p>
    <w:p w14:paraId="465F0C27"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մարզաձևերի ազգային ֆեդերացիաների և հաշմանդամային մարզական հասարակական կազմակերպությունների կողմից մարզիկների պատրաստումը, Հայաստանի Հանրապետության առաջնությունների անցկացումը, օլիմպիական, պարալիմպիկ, սուրդլիմպիկ խաղերին, աշխարհի, Եվրոպայի և այլ միջազգային առաջնություններին, այդ թվում՝ հաշմանդամային սպորտի՝ մասնակցությունը:</w:t>
      </w:r>
    </w:p>
    <w:p w14:paraId="47621BCB"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 բնակչության շրջանում առողջ ապրելակերպի արմատավորումը և բնակչության առողջության ամրապնդումը, հասարակության մեջ ֆիզիկական կուլտուրայի և սպորտի դերի բարձրացումը և մասսայականացումը, </w:t>
      </w:r>
    </w:p>
    <w:p w14:paraId="19D11C9B" w14:textId="77777777" w:rsidR="00AD062C" w:rsidRPr="00C0193D" w:rsidRDefault="00AD062C" w:rsidP="00835DBE">
      <w:pPr>
        <w:pStyle w:val="ListParagraph"/>
        <w:numPr>
          <w:ilvl w:val="0"/>
          <w:numId w:val="55"/>
        </w:numPr>
        <w:tabs>
          <w:tab w:val="left" w:pos="284"/>
        </w:tabs>
        <w:suppressAutoHyphens/>
        <w:ind w:left="0" w:firstLine="0"/>
        <w:rPr>
          <w:rFonts w:eastAsia="Calibri"/>
          <w:b w:val="0"/>
          <w:szCs w:val="22"/>
          <w:lang w:val="af-ZA" w:eastAsia="en-US"/>
        </w:rPr>
      </w:pPr>
      <w:r w:rsidRPr="00F46689">
        <w:rPr>
          <w:rFonts w:eastAsia="Calibri" w:cs="Arial"/>
          <w:b w:val="0"/>
          <w:bCs/>
          <w:kern w:val="2"/>
          <w:szCs w:val="22"/>
          <w:lang w:val="hy-AM"/>
          <w14:ligatures w14:val="standardContextual"/>
        </w:rPr>
        <w:t>համայնքներում</w:t>
      </w:r>
      <w:r w:rsidRPr="00C0193D">
        <w:rPr>
          <w:rFonts w:eastAsia="Calibri"/>
          <w:b w:val="0"/>
          <w:szCs w:val="22"/>
          <w:lang w:val="hy-AM" w:eastAsia="en-US"/>
        </w:rPr>
        <w:t xml:space="preserve"> մարզական կյանքի աշխուժացումը ենթակառուցվածքների բարելավման միջոցով</w:t>
      </w:r>
      <w:r w:rsidRPr="00C0193D">
        <w:rPr>
          <w:rFonts w:eastAsia="Calibri"/>
          <w:b w:val="0"/>
          <w:szCs w:val="22"/>
          <w:lang w:val="af-ZA" w:eastAsia="en-US"/>
        </w:rPr>
        <w:t xml:space="preserve">: </w:t>
      </w:r>
    </w:p>
    <w:p w14:paraId="06432254" w14:textId="77777777" w:rsidR="00AD062C" w:rsidRPr="00922161" w:rsidRDefault="00AD062C" w:rsidP="00835DBE">
      <w:pPr>
        <w:keepNext/>
        <w:tabs>
          <w:tab w:val="left" w:pos="360"/>
        </w:tabs>
        <w:rPr>
          <w:rFonts w:eastAsiaTheme="majorEastAsia" w:cstheme="majorBidi"/>
          <w:bCs/>
          <w:color w:val="1F497D" w:themeColor="text2"/>
          <w:sz w:val="24"/>
          <w:lang w:val="hy-AM" w:eastAsia="en-US"/>
        </w:rPr>
      </w:pPr>
      <w:r w:rsidRPr="00922161">
        <w:rPr>
          <w:rFonts w:eastAsiaTheme="majorEastAsia" w:cstheme="majorBidi"/>
          <w:bCs/>
          <w:color w:val="1F497D" w:themeColor="text2"/>
          <w:sz w:val="24"/>
          <w:lang w:val="hy-AM" w:eastAsia="en-US"/>
        </w:rPr>
        <w:t>Երիտասարդություն</w:t>
      </w:r>
    </w:p>
    <w:p w14:paraId="5888B6F2" w14:textId="77777777" w:rsidR="00AD062C" w:rsidRPr="00C0193D" w:rsidRDefault="00AD062C" w:rsidP="00835DBE">
      <w:pPr>
        <w:tabs>
          <w:tab w:val="num" w:pos="0"/>
        </w:tabs>
        <w:overflowPunct w:val="0"/>
        <w:autoSpaceDE w:val="0"/>
        <w:autoSpaceDN w:val="0"/>
        <w:adjustRightInd w:val="0"/>
        <w:textAlignment w:val="baseline"/>
        <w:rPr>
          <w:rFonts w:eastAsia="Calibri"/>
          <w:b w:val="0"/>
          <w:szCs w:val="22"/>
          <w:lang w:val="hy-AM" w:eastAsia="en-US"/>
        </w:rPr>
      </w:pPr>
      <w:r w:rsidRPr="00C0193D">
        <w:rPr>
          <w:rFonts w:eastAsia="Calibri"/>
          <w:b w:val="0"/>
          <w:szCs w:val="22"/>
          <w:lang w:val="hy-AM" w:eastAsia="en-US"/>
        </w:rPr>
        <w:t>Երիտասարդական պետական քաղաքականությունն առաջնահերթությունների, ծրագրերի, միջոցառումների և մեխանիզմների համակարգ է, որն ուղղված է երիտասարդության մասնակցության, սոցիալականացման և ինքնաիրացման համար անհրաժեշտ պայմանների ստեղծմանը, երիտասարդության ներուժի ներգրավմանն ու դրա զարգացմանը:</w:t>
      </w:r>
    </w:p>
    <w:p w14:paraId="0FDF583B" w14:textId="77777777" w:rsidR="003B75BE" w:rsidRPr="00C0193D" w:rsidRDefault="00AD062C" w:rsidP="00835DBE">
      <w:pPr>
        <w:tabs>
          <w:tab w:val="num" w:pos="0"/>
        </w:tabs>
        <w:overflowPunct w:val="0"/>
        <w:autoSpaceDE w:val="0"/>
        <w:autoSpaceDN w:val="0"/>
        <w:adjustRightInd w:val="0"/>
        <w:textAlignment w:val="baseline"/>
        <w:rPr>
          <w:rFonts w:eastAsia="Calibri"/>
          <w:b w:val="0"/>
          <w:szCs w:val="22"/>
          <w:lang w:val="hy-AM" w:eastAsia="en-US"/>
        </w:rPr>
      </w:pPr>
      <w:r w:rsidRPr="00C0193D">
        <w:rPr>
          <w:rFonts w:eastAsia="Calibri"/>
          <w:b w:val="0"/>
          <w:szCs w:val="22"/>
          <w:lang w:val="hy-AM" w:eastAsia="en-US"/>
        </w:rPr>
        <w:t>Երիտասարդության ծրագրի նպատակն է` երիտասարդության ներուժի իրացման և զարգացման, երիտասարդական մասնակցության խթանման համար սոցիալ-տնտեսական, իրավաքաղաքական, հոգևոր-մշակութային պայմանների ստեղծումը` ուղղված Հայաստանի Հանրապետության զարգացմանը և հզորացմանը:</w:t>
      </w:r>
    </w:p>
    <w:p w14:paraId="06487BA5" w14:textId="77777777" w:rsidR="00AD062C" w:rsidRPr="00C0193D" w:rsidRDefault="00AD062C" w:rsidP="00835DBE">
      <w:pPr>
        <w:tabs>
          <w:tab w:val="num" w:pos="0"/>
        </w:tabs>
        <w:overflowPunct w:val="0"/>
        <w:autoSpaceDE w:val="0"/>
        <w:autoSpaceDN w:val="0"/>
        <w:adjustRightInd w:val="0"/>
        <w:textAlignment w:val="baseline"/>
        <w:rPr>
          <w:rFonts w:eastAsia="Calibri"/>
          <w:b w:val="0"/>
          <w:szCs w:val="22"/>
          <w:lang w:val="hy-AM" w:eastAsia="en-US"/>
        </w:rPr>
      </w:pPr>
      <w:r w:rsidRPr="00C0193D">
        <w:rPr>
          <w:rFonts w:eastAsia="Calibri"/>
          <w:b w:val="0"/>
          <w:szCs w:val="22"/>
          <w:lang w:val="hy-AM" w:eastAsia="en-US"/>
        </w:rPr>
        <w:t>Ոլորտային քաղաքականության հիմնական թիրախներն են.</w:t>
      </w:r>
    </w:p>
    <w:p w14:paraId="25BC22DD"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C0193D">
        <w:rPr>
          <w:rFonts w:eastAsia="Calibri"/>
          <w:b w:val="0"/>
          <w:szCs w:val="22"/>
          <w:lang w:val="hy-AM" w:eastAsia="en-US"/>
        </w:rPr>
        <w:t xml:space="preserve">Երիտասարդների </w:t>
      </w:r>
      <w:r w:rsidRPr="00F46689">
        <w:rPr>
          <w:rFonts w:eastAsia="Calibri" w:cs="Arial"/>
          <w:b w:val="0"/>
          <w:bCs/>
          <w:kern w:val="2"/>
          <w:szCs w:val="22"/>
          <w:lang w:val="hy-AM"/>
          <w14:ligatures w14:val="standardContextual"/>
        </w:rPr>
        <w:t xml:space="preserve">կարողությունների բացահայտումն ու զարգացումը, </w:t>
      </w:r>
    </w:p>
    <w:p w14:paraId="3D923B6C"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Հայաստանի մարզային համայնքներում «Երիտասարդական կենտրոնների» ստեղծումը,</w:t>
      </w:r>
    </w:p>
    <w:p w14:paraId="2DFE6E7C"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Հանրային կյանքին և որոշումների կայացման գործընթացներին երիտասարդների մասնակցությունը,</w:t>
      </w:r>
    </w:p>
    <w:p w14:paraId="14E15321"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«Բնակարան երիտասարդ ընտանիքներին» ծրագրի շահառուների աճը,</w:t>
      </w:r>
    </w:p>
    <w:p w14:paraId="233EE8CA" w14:textId="77777777" w:rsidR="00AD062C" w:rsidRPr="00F46689" w:rsidRDefault="00AD062C"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Տարբեր ոլորտների և ժամանակակից մարտահրավերների վերաբերյալ իրազեկվածության բարձրացումը,</w:t>
      </w:r>
    </w:p>
    <w:p w14:paraId="3F755204" w14:textId="77777777" w:rsidR="00AD062C" w:rsidRPr="00C0193D" w:rsidRDefault="00AD062C" w:rsidP="00835DBE">
      <w:pPr>
        <w:pStyle w:val="ListParagraph"/>
        <w:numPr>
          <w:ilvl w:val="0"/>
          <w:numId w:val="55"/>
        </w:numPr>
        <w:tabs>
          <w:tab w:val="left" w:pos="284"/>
        </w:tabs>
        <w:suppressAutoHyphens/>
        <w:ind w:left="0" w:firstLine="0"/>
        <w:rPr>
          <w:rFonts w:eastAsia="Calibri"/>
          <w:b w:val="0"/>
          <w:szCs w:val="22"/>
          <w:lang w:val="hy-AM" w:eastAsia="en-US"/>
        </w:rPr>
      </w:pPr>
      <w:r w:rsidRPr="00F46689">
        <w:rPr>
          <w:rFonts w:eastAsia="Calibri" w:cs="Arial"/>
          <w:b w:val="0"/>
          <w:bCs/>
          <w:kern w:val="2"/>
          <w:szCs w:val="22"/>
          <w:lang w:val="hy-AM"/>
          <w14:ligatures w14:val="standardContextual"/>
        </w:rPr>
        <w:lastRenderedPageBreak/>
        <w:t>Եր</w:t>
      </w:r>
      <w:r w:rsidRPr="00C0193D">
        <w:rPr>
          <w:rFonts w:eastAsia="Calibri"/>
          <w:b w:val="0"/>
          <w:szCs w:val="22"/>
          <w:lang w:val="hy-AM" w:eastAsia="en-US"/>
        </w:rPr>
        <w:t>իտասարդության՝ միջազգային</w:t>
      </w:r>
      <w:r w:rsidRPr="00C0193D">
        <w:rPr>
          <w:rFonts w:eastAsia="Calibri"/>
          <w:b w:val="0"/>
          <w:szCs w:val="22"/>
          <w:lang w:val="en-US" w:eastAsia="en-US"/>
        </w:rPr>
        <w:t xml:space="preserve"> </w:t>
      </w:r>
      <w:r w:rsidRPr="00C0193D">
        <w:rPr>
          <w:rFonts w:eastAsia="Calibri"/>
          <w:b w:val="0"/>
          <w:szCs w:val="22"/>
          <w:lang w:val="hy-AM" w:eastAsia="en-US"/>
        </w:rPr>
        <w:t>միջոցառումներին</w:t>
      </w:r>
      <w:r w:rsidRPr="00C0193D">
        <w:rPr>
          <w:rFonts w:eastAsia="Calibri"/>
          <w:b w:val="0"/>
          <w:szCs w:val="22"/>
          <w:lang w:val="en-US" w:eastAsia="en-US"/>
        </w:rPr>
        <w:t xml:space="preserve"> </w:t>
      </w:r>
      <w:r w:rsidRPr="00C0193D">
        <w:rPr>
          <w:rFonts w:eastAsia="Calibri"/>
          <w:b w:val="0"/>
          <w:szCs w:val="22"/>
          <w:lang w:val="hy-AM" w:eastAsia="en-US"/>
        </w:rPr>
        <w:t>մասնակցությունը:</w:t>
      </w:r>
    </w:p>
    <w:p w14:paraId="0EE79E93" w14:textId="77777777" w:rsidR="005F226A" w:rsidRPr="00D24128" w:rsidRDefault="005F226A" w:rsidP="00835DBE">
      <w:pPr>
        <w:pStyle w:val="Heading1"/>
      </w:pPr>
      <w:bookmarkStart w:id="42" w:name="_Toc26174902"/>
      <w:bookmarkStart w:id="43" w:name="_Toc83567451"/>
      <w:bookmarkStart w:id="44" w:name="_Toc153184451"/>
      <w:r w:rsidRPr="00D24128">
        <w:t>Առողջապահություն</w:t>
      </w:r>
      <w:bookmarkEnd w:id="42"/>
      <w:bookmarkEnd w:id="43"/>
      <w:bookmarkEnd w:id="44"/>
    </w:p>
    <w:p w14:paraId="66BB1E54" w14:textId="77777777" w:rsidR="00844C7F" w:rsidRPr="00C0193D" w:rsidRDefault="00844C7F" w:rsidP="00835DBE">
      <w:pPr>
        <w:rPr>
          <w:b w:val="0"/>
          <w:szCs w:val="22"/>
          <w:lang w:val="hy-AM" w:eastAsia="x-none"/>
        </w:rPr>
      </w:pPr>
      <w:bookmarkStart w:id="45" w:name="_Toc26174903"/>
      <w:r w:rsidRPr="00C0193D">
        <w:rPr>
          <w:b w:val="0"/>
          <w:szCs w:val="22"/>
          <w:lang w:val="hy-AM" w:eastAsia="x-none"/>
        </w:rPr>
        <w:t xml:space="preserve">Առողջապահության ոլորտը` որպես սոցիալական կարևոր ոլորտ հանդիսանում է ՀՀ պետական քաղաքականության գերակա ուղղություններից և </w:t>
      </w:r>
      <w:r w:rsidRPr="00C0193D">
        <w:rPr>
          <w:rFonts w:cs="GHEA Grapalat"/>
          <w:b w:val="0"/>
          <w:color w:val="000000"/>
          <w:szCs w:val="22"/>
          <w:lang w:val="hy-AM"/>
        </w:rPr>
        <w:t xml:space="preserve">Կառավարության </w:t>
      </w:r>
      <w:r w:rsidRPr="00C0193D">
        <w:rPr>
          <w:b w:val="0"/>
          <w:szCs w:val="22"/>
          <w:lang w:val="hy-AM" w:eastAsia="x-none"/>
        </w:rPr>
        <w:t xml:space="preserve">հիմնական առաջնահերթություններից մեկը: </w:t>
      </w:r>
    </w:p>
    <w:p w14:paraId="33876DCF" w14:textId="77777777" w:rsidR="00B36DB0" w:rsidRPr="00C0193D" w:rsidRDefault="00B36DB0" w:rsidP="00835DBE">
      <w:pPr>
        <w:rPr>
          <w:b w:val="0"/>
          <w:szCs w:val="22"/>
          <w:lang w:val="hy-AM" w:eastAsia="x-none"/>
        </w:rPr>
      </w:pPr>
      <w:r w:rsidRPr="00C0193D">
        <w:rPr>
          <w:b w:val="0"/>
          <w:szCs w:val="22"/>
          <w:lang w:val="hy-AM" w:eastAsia="x-none"/>
        </w:rPr>
        <w:t>Քաղաքացիների համար առողջապահական ծառայությունների հասանելիության և մատչելիության ապահովման</w:t>
      </w:r>
      <w:r w:rsidR="00CF027D" w:rsidRPr="00CF027D">
        <w:rPr>
          <w:b w:val="0"/>
          <w:szCs w:val="22"/>
          <w:lang w:val="hy-AM" w:eastAsia="x-none"/>
        </w:rPr>
        <w:t xml:space="preserve"> նպատակով</w:t>
      </w:r>
      <w:r w:rsidR="00C27105">
        <w:rPr>
          <w:b w:val="0"/>
          <w:szCs w:val="22"/>
          <w:lang w:val="hy-AM" w:eastAsia="x-none"/>
        </w:rPr>
        <w:t xml:space="preserve"> ներկայումս քննարկվում է </w:t>
      </w:r>
      <w:r w:rsidRPr="00C0193D">
        <w:rPr>
          <w:b w:val="0"/>
          <w:szCs w:val="22"/>
          <w:lang w:val="hy-AM" w:eastAsia="x-none"/>
        </w:rPr>
        <w:t xml:space="preserve">առողջության համապարփակ ապահովագրության համակարգի ներդրման հարցը: Նշված համակարգի ներդրումն ուղղված է լինելու առողջապահական ծառայություններ ստանալու պահին քաղաքացու համար զգալի ծախսերի նվազեցմանը: </w:t>
      </w:r>
    </w:p>
    <w:p w14:paraId="6D8C6A40" w14:textId="77777777" w:rsidR="00844C7F" w:rsidRPr="00C0193D" w:rsidRDefault="00844C7F" w:rsidP="00835DBE">
      <w:pPr>
        <w:rPr>
          <w:rFonts w:cs="GHEA Grapalat"/>
          <w:b w:val="0"/>
          <w:color w:val="000000"/>
          <w:szCs w:val="22"/>
          <w:lang w:val="hy-AM"/>
        </w:rPr>
      </w:pPr>
      <w:r w:rsidRPr="00C0193D">
        <w:rPr>
          <w:b w:val="0"/>
          <w:szCs w:val="22"/>
          <w:lang w:val="hy-AM" w:eastAsia="x-none"/>
        </w:rPr>
        <w:t>Բնակչության առողջության պահպանման նպատակով որպես գերակա խնդիր</w:t>
      </w:r>
      <w:r w:rsidRPr="00C0193D">
        <w:rPr>
          <w:b w:val="0"/>
          <w:szCs w:val="22"/>
          <w:lang w:val="hy-AM" w:eastAsia="x-none"/>
        </w:rPr>
        <w:br w:type="textWrapping" w:clear="all"/>
        <w:t>շարունակելու է դիտարկվել վարակիչ և ոչ վարակիչ հիվանդությունների</w:t>
      </w:r>
      <w:r w:rsidRPr="00C0193D">
        <w:rPr>
          <w:b w:val="0"/>
          <w:szCs w:val="22"/>
          <w:lang w:val="hy-AM" w:eastAsia="x-none"/>
        </w:rPr>
        <w:br w:type="textWrapping" w:clear="all"/>
        <w:t>կանխարգելման ու վաղ հայտնաբերման ուղղությունների զարգացումը, որոնց շրջանակներում առողջապահության ոլորտի կառավարման արդյունավետության բարձրացման համար</w:t>
      </w:r>
      <w:r w:rsidRPr="00C0193D">
        <w:rPr>
          <w:rFonts w:cs="GHEA Grapalat"/>
          <w:b w:val="0"/>
          <w:color w:val="000000"/>
          <w:szCs w:val="22"/>
          <w:lang w:val="hy-AM"/>
        </w:rPr>
        <w:t xml:space="preserve"> իրականացվող բարեփոխումներն</w:t>
      </w:r>
      <w:r w:rsidRPr="00C0193D">
        <w:rPr>
          <w:rFonts w:cs="GHEA Grapalat"/>
          <w:b w:val="0"/>
          <w:color w:val="000000"/>
          <w:spacing w:val="71"/>
          <w:szCs w:val="22"/>
          <w:lang w:val="hy-AM"/>
        </w:rPr>
        <w:t xml:space="preserve"> </w:t>
      </w:r>
      <w:r w:rsidRPr="00C0193D">
        <w:rPr>
          <w:rFonts w:cs="GHEA Grapalat"/>
          <w:b w:val="0"/>
          <w:color w:val="000000"/>
          <w:szCs w:val="22"/>
          <w:lang w:val="hy-AM"/>
        </w:rPr>
        <w:t>ուղղված</w:t>
      </w:r>
      <w:r w:rsidRPr="00C0193D">
        <w:rPr>
          <w:rFonts w:cs="GHEA Grapalat"/>
          <w:b w:val="0"/>
          <w:color w:val="000000"/>
          <w:spacing w:val="71"/>
          <w:szCs w:val="22"/>
          <w:lang w:val="hy-AM"/>
        </w:rPr>
        <w:t xml:space="preserve"> </w:t>
      </w:r>
      <w:r w:rsidRPr="00C0193D">
        <w:rPr>
          <w:rFonts w:cs="GHEA Grapalat"/>
          <w:b w:val="0"/>
          <w:color w:val="000000"/>
          <w:szCs w:val="22"/>
          <w:lang w:val="hy-AM"/>
        </w:rPr>
        <w:t>են</w:t>
      </w:r>
      <w:r w:rsidRPr="00C0193D">
        <w:rPr>
          <w:rFonts w:cs="GHEA Grapalat"/>
          <w:b w:val="0"/>
          <w:color w:val="000000"/>
          <w:spacing w:val="72"/>
          <w:szCs w:val="22"/>
          <w:lang w:val="hy-AM"/>
        </w:rPr>
        <w:t xml:space="preserve"> </w:t>
      </w:r>
      <w:r w:rsidRPr="00C0193D">
        <w:rPr>
          <w:rFonts w:cs="GHEA Grapalat"/>
          <w:b w:val="0"/>
          <w:color w:val="000000"/>
          <w:szCs w:val="22"/>
          <w:lang w:val="hy-AM"/>
        </w:rPr>
        <w:t>լինելու</w:t>
      </w:r>
      <w:r w:rsidRPr="00C0193D">
        <w:rPr>
          <w:rFonts w:cs="GHEA Grapalat"/>
          <w:b w:val="0"/>
          <w:color w:val="000000"/>
          <w:spacing w:val="72"/>
          <w:szCs w:val="22"/>
          <w:lang w:val="hy-AM"/>
        </w:rPr>
        <w:t xml:space="preserve"> </w:t>
      </w:r>
      <w:r w:rsidRPr="00C0193D">
        <w:rPr>
          <w:rFonts w:cs="GHEA Grapalat"/>
          <w:b w:val="0"/>
          <w:color w:val="000000"/>
          <w:szCs w:val="22"/>
          <w:lang w:val="hy-AM"/>
        </w:rPr>
        <w:t>առողջության առաջնային</w:t>
      </w:r>
      <w:r w:rsidRPr="00C0193D">
        <w:rPr>
          <w:rFonts w:cs="GHEA Grapalat"/>
          <w:b w:val="0"/>
          <w:color w:val="000000"/>
          <w:spacing w:val="71"/>
          <w:szCs w:val="22"/>
          <w:lang w:val="hy-AM"/>
        </w:rPr>
        <w:t xml:space="preserve"> </w:t>
      </w:r>
      <w:r w:rsidRPr="00C0193D">
        <w:rPr>
          <w:rFonts w:cs="GHEA Grapalat"/>
          <w:b w:val="0"/>
          <w:color w:val="000000"/>
          <w:szCs w:val="22"/>
          <w:lang w:val="hy-AM"/>
        </w:rPr>
        <w:t>պահպանման</w:t>
      </w:r>
      <w:r w:rsidRPr="00C0193D">
        <w:rPr>
          <w:b w:val="0"/>
          <w:szCs w:val="22"/>
          <w:lang w:val="hy-AM"/>
        </w:rPr>
        <w:t xml:space="preserve"> </w:t>
      </w:r>
      <w:r w:rsidRPr="00C0193D">
        <w:rPr>
          <w:rFonts w:cs="GHEA Grapalat"/>
          <w:b w:val="0"/>
          <w:color w:val="000000"/>
          <w:szCs w:val="22"/>
          <w:lang w:val="hy-AM"/>
        </w:rPr>
        <w:t>օղակի</w:t>
      </w:r>
      <w:r w:rsidR="005736F5" w:rsidRPr="00C0193D">
        <w:rPr>
          <w:rFonts w:cs="GHEA Grapalat"/>
          <w:b w:val="0"/>
          <w:color w:val="000000"/>
          <w:spacing w:val="583"/>
          <w:szCs w:val="22"/>
          <w:lang w:val="hy-AM"/>
        </w:rPr>
        <w:t xml:space="preserve"> </w:t>
      </w:r>
      <w:r w:rsidRPr="00C0193D">
        <w:rPr>
          <w:rFonts w:cs="GHEA Grapalat"/>
          <w:b w:val="0"/>
          <w:color w:val="000000"/>
          <w:szCs w:val="22"/>
          <w:lang w:val="hy-AM"/>
        </w:rPr>
        <w:t>արդիականացմանը, շարունակական զարգացմանը և արդյունավետության</w:t>
      </w:r>
      <w:r w:rsidRPr="00C0193D">
        <w:rPr>
          <w:rFonts w:cs="GHEA Grapalat"/>
          <w:b w:val="0"/>
          <w:color w:val="000000"/>
          <w:spacing w:val="28"/>
          <w:szCs w:val="22"/>
          <w:lang w:val="hy-AM"/>
        </w:rPr>
        <w:t xml:space="preserve"> </w:t>
      </w:r>
      <w:r w:rsidRPr="00C0193D">
        <w:rPr>
          <w:rFonts w:cs="GHEA Grapalat"/>
          <w:b w:val="0"/>
          <w:color w:val="000000"/>
          <w:szCs w:val="22"/>
          <w:lang w:val="hy-AM"/>
        </w:rPr>
        <w:t>բարձրացմանը`</w:t>
      </w:r>
      <w:r w:rsidRPr="00C0193D">
        <w:rPr>
          <w:rFonts w:cs="GHEA Grapalat"/>
          <w:b w:val="0"/>
          <w:color w:val="000000"/>
          <w:spacing w:val="28"/>
          <w:szCs w:val="22"/>
          <w:lang w:val="hy-AM"/>
        </w:rPr>
        <w:t xml:space="preserve"> </w:t>
      </w:r>
      <w:r w:rsidRPr="00C0193D">
        <w:rPr>
          <w:rFonts w:cs="GHEA Grapalat"/>
          <w:b w:val="0"/>
          <w:color w:val="000000"/>
          <w:szCs w:val="22"/>
          <w:lang w:val="hy-AM"/>
        </w:rPr>
        <w:t>պայմանավորված բնակչությանը հասանելի որակյալ բժշկական ծառայություններ մատուցելու անհրաժեշտությամբ:</w:t>
      </w:r>
    </w:p>
    <w:p w14:paraId="3ED5011A" w14:textId="347929FD" w:rsidR="00844C7F" w:rsidRPr="00C0193D" w:rsidRDefault="00844C7F" w:rsidP="00835DBE">
      <w:pPr>
        <w:rPr>
          <w:rFonts w:cs="GHEA Grapalat"/>
          <w:b w:val="0"/>
          <w:color w:val="000000"/>
          <w:szCs w:val="22"/>
          <w:lang w:val="hy-AM"/>
        </w:rPr>
      </w:pPr>
      <w:r w:rsidRPr="00C0193D">
        <w:rPr>
          <w:rFonts w:cs="GHEA Grapalat"/>
          <w:b w:val="0"/>
          <w:color w:val="000000"/>
          <w:szCs w:val="22"/>
          <w:lang w:val="hy-AM"/>
        </w:rPr>
        <w:t>Մոր և մանկան առողջության պահպանման ծառայությունների բարելավման ոլորտում շարունակվելու են մայրական (վերարտադրողական), մանկական, այդ թվում`</w:t>
      </w:r>
      <w:r w:rsidRPr="00C0193D">
        <w:rPr>
          <w:rFonts w:cs="Sylfaen"/>
          <w:b w:val="0"/>
          <w:szCs w:val="22"/>
          <w:lang w:val="hy-AM"/>
        </w:rPr>
        <w:t xml:space="preserve"> նորածնային</w:t>
      </w:r>
      <w:r w:rsidRPr="00C0193D">
        <w:rPr>
          <w:b w:val="0"/>
          <w:szCs w:val="22"/>
          <w:lang w:val="hy-AM"/>
        </w:rPr>
        <w:t xml:space="preserve"> </w:t>
      </w:r>
      <w:r w:rsidR="002373A5" w:rsidRPr="00C0193D">
        <w:rPr>
          <w:rFonts w:cs="Sylfaen"/>
          <w:b w:val="0"/>
          <w:szCs w:val="22"/>
          <w:lang w:val="hy-AM"/>
        </w:rPr>
        <w:t>առողջության բարելավ</w:t>
      </w:r>
      <w:r w:rsidRPr="00C0193D">
        <w:rPr>
          <w:rFonts w:cs="Sylfaen"/>
          <w:b w:val="0"/>
          <w:szCs w:val="22"/>
          <w:lang w:val="hy-AM"/>
        </w:rPr>
        <w:t xml:space="preserve">մանն ուղղված </w:t>
      </w:r>
      <w:r w:rsidRPr="00C0193D">
        <w:rPr>
          <w:b w:val="0"/>
          <w:szCs w:val="22"/>
          <w:lang w:val="hy-AM"/>
        </w:rPr>
        <w:t>միջոցառումներ</w:t>
      </w:r>
      <w:r w:rsidR="00CF027D" w:rsidRPr="00CF027D">
        <w:rPr>
          <w:b w:val="0"/>
          <w:szCs w:val="22"/>
          <w:lang w:val="hy-AM"/>
        </w:rPr>
        <w:t>ը</w:t>
      </w:r>
      <w:r w:rsidRPr="00C0193D">
        <w:rPr>
          <w:b w:val="0"/>
          <w:szCs w:val="22"/>
          <w:lang w:val="hy-AM"/>
        </w:rPr>
        <w:t>, ս</w:t>
      </w:r>
      <w:r w:rsidR="00091973">
        <w:rPr>
          <w:b w:val="0"/>
          <w:szCs w:val="22"/>
          <w:lang w:val="hy-AM"/>
        </w:rPr>
        <w:t>ք</w:t>
      </w:r>
      <w:r w:rsidRPr="00C0193D">
        <w:rPr>
          <w:b w:val="0"/>
          <w:szCs w:val="22"/>
          <w:lang w:val="hy-AM"/>
        </w:rPr>
        <w:t>րինինգները, որոնք միտված են կանխարգելելու հաշմանդամությունը, հնարավորինս խթանել ծնելիությունը` բարելավելով բնակչության վերարտադրողական առողջությունը, նվազեցնելով պերինատալ կորուստները, հաղթահարելով անպտղությունը:</w:t>
      </w:r>
    </w:p>
    <w:p w14:paraId="0C9812FF" w14:textId="691EFA7F" w:rsidR="00844C7F" w:rsidRPr="00C0193D" w:rsidRDefault="00844C7F" w:rsidP="00835DBE">
      <w:pPr>
        <w:pStyle w:val="norm"/>
        <w:spacing w:before="120" w:line="276" w:lineRule="auto"/>
        <w:ind w:firstLine="0"/>
        <w:rPr>
          <w:rFonts w:ascii="GHEA Grapalat" w:eastAsiaTheme="minorHAnsi" w:hAnsi="GHEA Grapalat" w:cs="Sylfaen"/>
          <w:b w:val="0"/>
          <w:szCs w:val="22"/>
          <w:lang w:val="hy-AM" w:eastAsia="en-US"/>
        </w:rPr>
      </w:pPr>
      <w:r w:rsidRPr="00C0193D">
        <w:rPr>
          <w:rFonts w:ascii="GHEA Grapalat" w:eastAsiaTheme="minorHAnsi" w:hAnsi="GHEA Grapalat" w:cs="Sylfaen"/>
          <w:b w:val="0"/>
          <w:szCs w:val="22"/>
          <w:lang w:val="hy-AM" w:eastAsia="en-US"/>
        </w:rPr>
        <w:t xml:space="preserve">ՀՀ կառավարության 2023 թվականի հունվարի 5-ի </w:t>
      </w:r>
      <w:r w:rsidR="00666E8A">
        <w:rPr>
          <w:rFonts w:ascii="GHEA Grapalat" w:eastAsiaTheme="minorHAnsi" w:hAnsi="GHEA Grapalat" w:cs="Sylfaen"/>
          <w:b w:val="0"/>
          <w:szCs w:val="22"/>
          <w:lang w:val="hy-AM" w:eastAsia="en-US"/>
        </w:rPr>
        <w:t>N</w:t>
      </w:r>
      <w:r w:rsidRPr="00C0193D">
        <w:rPr>
          <w:rFonts w:ascii="GHEA Grapalat" w:eastAsiaTheme="minorHAnsi" w:hAnsi="GHEA Grapalat" w:cs="Sylfaen"/>
          <w:b w:val="0"/>
          <w:szCs w:val="22"/>
          <w:lang w:val="hy-AM" w:eastAsia="en-US"/>
        </w:rPr>
        <w:t xml:space="preserve"> 22-Ն որոշմամբ փոփոխվել և ընդլայնվել է ՀՀ կառավարության 2015 թվականի մայիսի 27-ի </w:t>
      </w:r>
      <w:r w:rsidR="00666E8A">
        <w:rPr>
          <w:rFonts w:ascii="GHEA Grapalat" w:eastAsiaTheme="minorHAnsi" w:hAnsi="GHEA Grapalat" w:cs="Sylfaen"/>
          <w:b w:val="0"/>
          <w:szCs w:val="22"/>
          <w:lang w:val="hy-AM" w:eastAsia="en-US"/>
        </w:rPr>
        <w:t>N</w:t>
      </w:r>
      <w:r w:rsidRPr="00C0193D">
        <w:rPr>
          <w:rFonts w:ascii="GHEA Grapalat" w:eastAsiaTheme="minorHAnsi" w:hAnsi="GHEA Grapalat" w:cs="Sylfaen"/>
          <w:b w:val="0"/>
          <w:szCs w:val="22"/>
          <w:lang w:val="hy-AM" w:eastAsia="en-US"/>
        </w:rPr>
        <w:t xml:space="preserve"> 568-Ն որոշմամբ պետական պատվերի շրջանակներում վերարտադրողականության օժանդակ տեխնոլոգիաների կիրառմամբ բժշկական օգնություն և սպասարկում ստացող շահառուների շրջանակը:  </w:t>
      </w:r>
    </w:p>
    <w:p w14:paraId="411D7E3A" w14:textId="77777777" w:rsidR="00844C7F" w:rsidRPr="00C0193D" w:rsidRDefault="00844C7F" w:rsidP="00835DBE">
      <w:pPr>
        <w:rPr>
          <w:rFonts w:cs="Sylfaen"/>
          <w:b w:val="0"/>
          <w:szCs w:val="22"/>
          <w:lang w:val="hy-AM"/>
        </w:rPr>
      </w:pPr>
      <w:r w:rsidRPr="00C0193D">
        <w:rPr>
          <w:rFonts w:cs="Sylfaen"/>
          <w:b w:val="0"/>
          <w:szCs w:val="22"/>
          <w:lang w:val="hy-AM"/>
        </w:rPr>
        <w:t>Փոփոխությունները կնպաստեն պտղաբերության ցուցանիշի բարձրացմանը, վերա</w:t>
      </w:r>
      <w:r w:rsidR="005736F5" w:rsidRPr="00C0193D">
        <w:rPr>
          <w:rFonts w:cs="Sylfaen"/>
          <w:b w:val="0"/>
          <w:szCs w:val="22"/>
          <w:lang w:val="hy-AM"/>
        </w:rPr>
        <w:t>րտադրողական իրավունքի իրացմանը:</w:t>
      </w:r>
    </w:p>
    <w:p w14:paraId="23805CC0" w14:textId="77777777" w:rsidR="00844C7F" w:rsidRPr="00C0193D" w:rsidRDefault="00844C7F" w:rsidP="00835DBE">
      <w:pPr>
        <w:rPr>
          <w:rFonts w:cs="GHEA Grapalat"/>
          <w:b w:val="0"/>
          <w:color w:val="000000"/>
          <w:szCs w:val="22"/>
          <w:lang w:val="hy-AM"/>
        </w:rPr>
      </w:pPr>
      <w:r w:rsidRPr="00C0193D">
        <w:rPr>
          <w:rFonts w:cs="Sylfaen"/>
          <w:b w:val="0"/>
          <w:szCs w:val="22"/>
          <w:lang w:val="hy-AM"/>
        </w:rPr>
        <w:t>Դեղերի անվտանգության, արդյունավետության և որակի ապահովման ոլորտում աշխատանքներ կիրականացվեն հանրապետությունում անվտանգ, արդյունավետ, որակյալ և մատչելի դեղեր ունենալու ուղղությամբ` դեղային ազգային քաղաքականության</w:t>
      </w:r>
      <w:r w:rsidRPr="00C0193D">
        <w:rPr>
          <w:rFonts w:eastAsia="Calibri"/>
          <w:b w:val="0"/>
          <w:noProof/>
          <w:szCs w:val="22"/>
          <w:lang w:val="hy-AM"/>
        </w:rPr>
        <w:t xml:space="preserve"> մշակման, դեղերի շրջանառության բոլոր փուլերի կանոնակարգման, այս ոլորտի պետական վերահսկողության բարելավման, հայրենական արտադրության դեղերի մրցունակության ապահովման և տեղական դեղարտադրության խրախուսման միջոցով: </w:t>
      </w:r>
    </w:p>
    <w:p w14:paraId="0E72F7E3" w14:textId="3FA18EB1" w:rsidR="00844C7F" w:rsidRPr="00C0193D" w:rsidRDefault="00844C7F" w:rsidP="00835DBE">
      <w:pPr>
        <w:pStyle w:val="NormalWeb"/>
        <w:shd w:val="clear" w:color="auto" w:fill="FFFFFF"/>
        <w:spacing w:before="120" w:beforeAutospacing="0" w:after="0" w:afterAutospacing="0"/>
        <w:rPr>
          <w:rFonts w:cs="Sylfaen"/>
          <w:b w:val="0"/>
          <w:szCs w:val="22"/>
          <w:lang w:val="hy-AM"/>
        </w:rPr>
      </w:pPr>
      <w:r w:rsidRPr="00C0193D">
        <w:rPr>
          <w:rFonts w:cs="Sylfaen"/>
          <w:b w:val="0"/>
          <w:szCs w:val="22"/>
          <w:lang w:val="hy-AM"/>
        </w:rPr>
        <w:lastRenderedPageBreak/>
        <w:t xml:space="preserve">ՀՀ կառավարության 2023 թվականի հունիսի 29-ի </w:t>
      </w:r>
      <w:r w:rsidR="00666E8A">
        <w:rPr>
          <w:rFonts w:cs="Sylfaen"/>
          <w:b w:val="0"/>
          <w:szCs w:val="22"/>
          <w:lang w:val="hy-AM"/>
        </w:rPr>
        <w:t>N</w:t>
      </w:r>
      <w:r w:rsidRPr="00C0193D">
        <w:rPr>
          <w:rFonts w:cs="Sylfaen"/>
          <w:b w:val="0"/>
          <w:szCs w:val="22"/>
          <w:lang w:val="hy-AM"/>
        </w:rPr>
        <w:t xml:space="preserve"> 1061-Ն որոշմամբ փոփոխվել</w:t>
      </w:r>
      <w:r w:rsidR="00CF027D" w:rsidRPr="00CF027D">
        <w:rPr>
          <w:rFonts w:cs="Sylfaen"/>
          <w:b w:val="0"/>
          <w:szCs w:val="22"/>
          <w:lang w:val="hy-AM"/>
        </w:rPr>
        <w:t xml:space="preserve"> է</w:t>
      </w:r>
      <w:r w:rsidRPr="00C0193D">
        <w:rPr>
          <w:rFonts w:cs="Sylfaen"/>
          <w:b w:val="0"/>
          <w:szCs w:val="22"/>
          <w:lang w:val="hy-AM"/>
        </w:rPr>
        <w:t xml:space="preserve"> ՀՀ կառավարության 2019 թվականի մայիսի 30-ի </w:t>
      </w:r>
      <w:r w:rsidR="00666E8A">
        <w:rPr>
          <w:rFonts w:cs="Sylfaen"/>
          <w:b w:val="0"/>
          <w:szCs w:val="22"/>
          <w:lang w:val="hy-AM"/>
        </w:rPr>
        <w:t>N</w:t>
      </w:r>
      <w:r w:rsidRPr="00C0193D">
        <w:rPr>
          <w:rFonts w:cs="Sylfaen"/>
          <w:b w:val="0"/>
          <w:szCs w:val="22"/>
          <w:lang w:val="hy-AM"/>
        </w:rPr>
        <w:t xml:space="preserve"> 642-Ն որոշումը, որով փոփոխվել է ֆունկցիոնալության միջին աստիճանի սահմանափակումներ և 3-րդ խմբի հաշմանդամություն ունեցող անձանց` պետության կողմից ամբուլատոր-առաջնային օղակի միջոցով տրամադրվող դեղերի (50 տոկոս) փոխհատուցման չափը` գործող 50 տոկոս զեղչը դարձել է 100 տոկոս անվճար, շուրջ 110 հազար շահառուի համար, ինչպես նաև </w:t>
      </w:r>
      <w:r w:rsidR="00CF027D" w:rsidRPr="00C0193D">
        <w:rPr>
          <w:rFonts w:cs="Sylfaen"/>
          <w:b w:val="0"/>
          <w:szCs w:val="22"/>
          <w:lang w:val="hy-AM"/>
        </w:rPr>
        <w:t>փոփոխվել</w:t>
      </w:r>
      <w:r w:rsidR="00CF027D" w:rsidRPr="00CF027D">
        <w:rPr>
          <w:rFonts w:cs="Sylfaen"/>
          <w:b w:val="0"/>
          <w:szCs w:val="22"/>
          <w:lang w:val="hy-AM"/>
        </w:rPr>
        <w:t xml:space="preserve"> է</w:t>
      </w:r>
      <w:r w:rsidR="00CF027D" w:rsidRPr="00C0193D">
        <w:rPr>
          <w:rFonts w:cs="Sylfaen"/>
          <w:b w:val="0"/>
          <w:szCs w:val="22"/>
          <w:lang w:val="hy-AM"/>
        </w:rPr>
        <w:t xml:space="preserve"> </w:t>
      </w:r>
      <w:r w:rsidRPr="00C0193D">
        <w:rPr>
          <w:rFonts w:cs="Sylfaen"/>
          <w:b w:val="0"/>
          <w:szCs w:val="22"/>
          <w:lang w:val="hy-AM"/>
        </w:rPr>
        <w:t xml:space="preserve">հիվանդությունների ցանկը, որոնց </w:t>
      </w:r>
      <w:r w:rsidR="00CF027D" w:rsidRPr="00CF027D">
        <w:rPr>
          <w:rFonts w:cs="Sylfaen"/>
          <w:b w:val="0"/>
          <w:szCs w:val="22"/>
          <w:lang w:val="hy-AM"/>
        </w:rPr>
        <w:t>արդյունքում</w:t>
      </w:r>
      <w:r w:rsidRPr="00C0193D">
        <w:rPr>
          <w:rFonts w:cs="Sylfaen"/>
          <w:b w:val="0"/>
          <w:szCs w:val="22"/>
          <w:lang w:val="hy-AM"/>
        </w:rPr>
        <w:t xml:space="preserve"> դեղերը շուրջ 500 շահառուների հատկացվում են դրանց արժեքի լրիվ (100 տոկոս) փոխհատուցմամբ:</w:t>
      </w:r>
    </w:p>
    <w:p w14:paraId="6B9C738A" w14:textId="77777777" w:rsidR="00844C7F" w:rsidRPr="00C0193D" w:rsidRDefault="00844C7F" w:rsidP="00835DBE">
      <w:pPr>
        <w:rPr>
          <w:rFonts w:cs="GHEA Grapalat"/>
          <w:b w:val="0"/>
          <w:color w:val="000000"/>
          <w:szCs w:val="22"/>
          <w:lang w:val="hy-AM"/>
        </w:rPr>
      </w:pPr>
      <w:r w:rsidRPr="00C0193D">
        <w:rPr>
          <w:rFonts w:eastAsia="Calibri"/>
          <w:b w:val="0"/>
          <w:noProof/>
          <w:szCs w:val="22"/>
          <w:lang w:val="hy-AM"/>
        </w:rPr>
        <w:t>Վարակիչ և ոչ վարակիչ հիվանդությունների կանխարգելումը ռազմավարական մեկ այլ կարևոր նպատակ է, որի շրջանակներում ապահովվելու է առավել տարածված ոչ վարակիչ հիվանդությունների վաղ հայտնաբերման, ախտորոշման ու կանխարգելման ճանապարհով բնակչության առողջության հիմնական ցուցանիշների բարելավում և այդ հիվանդությունների բարդությունների, հաշմանդամության և մահացության ցուցանիշների կրճատում, ինչպես նաև վարակիչ հիվանդություններով հիվանդացության նվազեցում, կառավարելի վարակիչ հիվանդություններից մահվան դեպքերի կանխում և վարակիչ հիվանդությունների նկատմամբ բնակչության անընկալության ապահովում:</w:t>
      </w:r>
      <w:r w:rsidRPr="00C0193D">
        <w:rPr>
          <w:rFonts w:cs="GHEA Grapalat"/>
          <w:b w:val="0"/>
          <w:color w:val="000000"/>
          <w:szCs w:val="22"/>
          <w:lang w:val="hy-AM"/>
        </w:rPr>
        <w:t xml:space="preserve"> </w:t>
      </w:r>
    </w:p>
    <w:p w14:paraId="6C095830" w14:textId="77777777" w:rsidR="00844C7F" w:rsidRPr="00C0193D" w:rsidRDefault="00844C7F" w:rsidP="00835DBE">
      <w:pPr>
        <w:rPr>
          <w:rFonts w:eastAsia="Calibri"/>
          <w:b w:val="0"/>
          <w:noProof/>
          <w:szCs w:val="22"/>
          <w:lang w:val="hy-AM"/>
        </w:rPr>
      </w:pPr>
      <w:r w:rsidRPr="00C0193D">
        <w:rPr>
          <w:rFonts w:eastAsia="Calibri"/>
          <w:b w:val="0"/>
          <w:noProof/>
          <w:szCs w:val="22"/>
          <w:lang w:val="hy-AM"/>
        </w:rPr>
        <w:t>Ոլորտի հիմնական խնդիրներից է հանրապետությունում ուռուցքաբանական ծառայությունների շարունակական բարելավումը: Ուռուցքաբանական վիրահատությունների գների վերանայման, ճառագայթային բուժման դեպքերի, քիմիաթերապիայի դեղերի ցանկի ընդլայնման և պետության կողմից երաշխավորված անվճար պալիատիվ ծառայության ներդրման միջոցով ուռուցքաբանական հիվանդություններով հիվանդ քաղաքացիներին մատուցվելու են որակյալ բժշկական օգնության և սպասարկման ծառայություններ, միաժամանակ վերջիններիս «փրկելով» հիվանդության բուժման հետ կապված կործանարար ծախսեր կատարելու վտանգներից: Նախատեսվում է նոր տեխնոլոգիաների կիրառմամբ իրականացնել մարդու օրգանների (երիկամ/լյարդ), և ոսկրածուծի/ցողունային բջիջների փոխպատվաստման ծառայություններ, որոնք կբարելավեն քրոնիկ երիկամային անբավարությամբ և արյան չարորակ հիվանդություններով տառապող անձանց կյանքի որակը և ապրելիության ցուցանիշը:</w:t>
      </w:r>
    </w:p>
    <w:p w14:paraId="3D89085F" w14:textId="77777777" w:rsidR="00844C7F" w:rsidRPr="00C0193D" w:rsidRDefault="00CF027D" w:rsidP="00835DBE">
      <w:pPr>
        <w:rPr>
          <w:b w:val="0"/>
          <w:color w:val="010302"/>
          <w:szCs w:val="22"/>
          <w:lang w:val="hy-AM"/>
        </w:rPr>
      </w:pPr>
      <w:r w:rsidRPr="00025871">
        <w:rPr>
          <w:rFonts w:cs="GHEA Grapalat"/>
          <w:b w:val="0"/>
          <w:color w:val="000000"/>
          <w:szCs w:val="22"/>
          <w:lang w:val="hy-AM"/>
        </w:rPr>
        <w:t>Շարունակվելու է</w:t>
      </w:r>
      <w:r w:rsidR="00844C7F" w:rsidRPr="00C0193D">
        <w:rPr>
          <w:rFonts w:cs="GHEA Grapalat"/>
          <w:b w:val="0"/>
          <w:color w:val="000000"/>
          <w:spacing w:val="196"/>
          <w:szCs w:val="22"/>
          <w:lang w:val="hy-AM"/>
        </w:rPr>
        <w:t xml:space="preserve"> </w:t>
      </w:r>
      <w:r w:rsidR="00844C7F" w:rsidRPr="00C0193D">
        <w:rPr>
          <w:rFonts w:cs="GHEA Grapalat"/>
          <w:b w:val="0"/>
          <w:color w:val="000000"/>
          <w:szCs w:val="22"/>
          <w:lang w:val="hy-AM"/>
        </w:rPr>
        <w:t>նաև</w:t>
      </w:r>
      <w:r w:rsidR="00844C7F" w:rsidRPr="00C0193D">
        <w:rPr>
          <w:rFonts w:cs="GHEA Grapalat"/>
          <w:b w:val="0"/>
          <w:color w:val="000000"/>
          <w:spacing w:val="195"/>
          <w:szCs w:val="22"/>
          <w:lang w:val="hy-AM"/>
        </w:rPr>
        <w:t xml:space="preserve"> </w:t>
      </w:r>
      <w:r w:rsidR="00844C7F" w:rsidRPr="00C0193D">
        <w:rPr>
          <w:rFonts w:cs="GHEA Grapalat"/>
          <w:b w:val="0"/>
          <w:color w:val="000000"/>
          <w:szCs w:val="22"/>
          <w:lang w:val="hy-AM"/>
        </w:rPr>
        <w:t>կատարելագործել</w:t>
      </w:r>
      <w:r w:rsidR="00844C7F" w:rsidRPr="00C0193D">
        <w:rPr>
          <w:rFonts w:cs="GHEA Grapalat"/>
          <w:b w:val="0"/>
          <w:color w:val="000000"/>
          <w:spacing w:val="196"/>
          <w:szCs w:val="22"/>
          <w:lang w:val="hy-AM"/>
        </w:rPr>
        <w:t xml:space="preserve"> </w:t>
      </w:r>
      <w:r w:rsidR="00844C7F" w:rsidRPr="00C0193D">
        <w:rPr>
          <w:rFonts w:cs="GHEA Grapalat"/>
          <w:b w:val="0"/>
          <w:color w:val="000000"/>
          <w:szCs w:val="22"/>
          <w:lang w:val="hy-AM"/>
        </w:rPr>
        <w:t>վարակիչ</w:t>
      </w:r>
      <w:r w:rsidR="00844C7F" w:rsidRPr="00C0193D">
        <w:rPr>
          <w:rFonts w:cs="GHEA Grapalat"/>
          <w:b w:val="0"/>
          <w:color w:val="000000"/>
          <w:spacing w:val="196"/>
          <w:szCs w:val="22"/>
          <w:lang w:val="hy-AM"/>
        </w:rPr>
        <w:t xml:space="preserve"> </w:t>
      </w:r>
      <w:r w:rsidR="00844C7F" w:rsidRPr="00C0193D">
        <w:rPr>
          <w:rFonts w:cs="GHEA Grapalat"/>
          <w:b w:val="0"/>
          <w:color w:val="000000"/>
          <w:szCs w:val="22"/>
          <w:lang w:val="hy-AM"/>
        </w:rPr>
        <w:t>հիվանդությունների համաճարակաբանական</w:t>
      </w:r>
      <w:r w:rsidR="00844C7F" w:rsidRPr="00C0193D">
        <w:rPr>
          <w:rFonts w:cs="GHEA Grapalat"/>
          <w:b w:val="0"/>
          <w:color w:val="000000"/>
          <w:spacing w:val="134"/>
          <w:szCs w:val="22"/>
          <w:lang w:val="hy-AM"/>
        </w:rPr>
        <w:t xml:space="preserve"> </w:t>
      </w:r>
      <w:r w:rsidR="00844C7F" w:rsidRPr="00C0193D">
        <w:rPr>
          <w:rFonts w:cs="GHEA Grapalat"/>
          <w:b w:val="0"/>
          <w:color w:val="000000"/>
          <w:szCs w:val="22"/>
          <w:lang w:val="hy-AM"/>
        </w:rPr>
        <w:t>դիտարկման</w:t>
      </w:r>
      <w:r w:rsidR="00844C7F" w:rsidRPr="00C0193D">
        <w:rPr>
          <w:rFonts w:cs="GHEA Grapalat"/>
          <w:b w:val="0"/>
          <w:color w:val="000000"/>
          <w:spacing w:val="133"/>
          <w:szCs w:val="22"/>
          <w:lang w:val="hy-AM"/>
        </w:rPr>
        <w:t xml:space="preserve"> </w:t>
      </w:r>
      <w:r w:rsidR="00844C7F" w:rsidRPr="00C0193D">
        <w:rPr>
          <w:rFonts w:cs="GHEA Grapalat"/>
          <w:b w:val="0"/>
          <w:color w:val="000000"/>
          <w:szCs w:val="22"/>
          <w:lang w:val="hy-AM"/>
        </w:rPr>
        <w:t>համակարգը հնարավորինս</w:t>
      </w:r>
      <w:r w:rsidR="007C66E5" w:rsidRPr="00C0193D">
        <w:rPr>
          <w:rFonts w:cs="GHEA Grapalat"/>
          <w:b w:val="0"/>
          <w:color w:val="000000"/>
          <w:szCs w:val="22"/>
          <w:lang w:val="hy-AM"/>
        </w:rPr>
        <w:t xml:space="preserve"> </w:t>
      </w:r>
      <w:r w:rsidR="00844C7F" w:rsidRPr="00C0193D">
        <w:rPr>
          <w:rFonts w:cs="GHEA Grapalat"/>
          <w:b w:val="0"/>
          <w:color w:val="000000"/>
          <w:szCs w:val="22"/>
          <w:lang w:val="hy-AM"/>
        </w:rPr>
        <w:t>ապահովելով</w:t>
      </w:r>
      <w:r w:rsidR="00844C7F" w:rsidRPr="00C0193D">
        <w:rPr>
          <w:rFonts w:cs="GHEA Grapalat"/>
          <w:b w:val="0"/>
          <w:color w:val="000000"/>
          <w:spacing w:val="136"/>
          <w:szCs w:val="22"/>
          <w:lang w:val="hy-AM"/>
        </w:rPr>
        <w:t xml:space="preserve"> </w:t>
      </w:r>
      <w:r w:rsidR="00844C7F" w:rsidRPr="00C0193D">
        <w:rPr>
          <w:rFonts w:cs="GHEA Grapalat"/>
          <w:b w:val="0"/>
          <w:color w:val="000000"/>
          <w:szCs w:val="22"/>
          <w:lang w:val="hy-AM"/>
        </w:rPr>
        <w:t>երկրի</w:t>
      </w:r>
      <w:r w:rsidR="00844C7F" w:rsidRPr="00C0193D">
        <w:rPr>
          <w:rFonts w:cs="GHEA Grapalat"/>
          <w:b w:val="0"/>
          <w:color w:val="000000"/>
          <w:spacing w:val="136"/>
          <w:szCs w:val="22"/>
          <w:lang w:val="hy-AM"/>
        </w:rPr>
        <w:t xml:space="preserve"> </w:t>
      </w:r>
      <w:r w:rsidR="00844C7F" w:rsidRPr="00C0193D">
        <w:rPr>
          <w:rFonts w:cs="GHEA Grapalat"/>
          <w:b w:val="0"/>
          <w:color w:val="000000"/>
          <w:szCs w:val="22"/>
          <w:lang w:val="hy-AM"/>
        </w:rPr>
        <w:t>տարածք</w:t>
      </w:r>
      <w:r w:rsidR="00844C7F" w:rsidRPr="00C0193D">
        <w:rPr>
          <w:rFonts w:cs="GHEA Grapalat"/>
          <w:b w:val="0"/>
          <w:color w:val="000000"/>
          <w:spacing w:val="136"/>
          <w:szCs w:val="22"/>
          <w:lang w:val="hy-AM"/>
        </w:rPr>
        <w:t xml:space="preserve"> </w:t>
      </w:r>
      <w:r w:rsidR="00844C7F" w:rsidRPr="00C0193D">
        <w:rPr>
          <w:rFonts w:cs="GHEA Grapalat"/>
          <w:b w:val="0"/>
          <w:color w:val="000000"/>
          <w:szCs w:val="22"/>
          <w:lang w:val="hy-AM"/>
        </w:rPr>
        <w:t>վարակիչ</w:t>
      </w:r>
      <w:r w:rsidR="00844C7F" w:rsidRPr="00C0193D">
        <w:rPr>
          <w:rFonts w:cs="GHEA Grapalat"/>
          <w:b w:val="0"/>
          <w:color w:val="000000"/>
          <w:spacing w:val="136"/>
          <w:szCs w:val="22"/>
          <w:lang w:val="hy-AM"/>
        </w:rPr>
        <w:t xml:space="preserve"> </w:t>
      </w:r>
      <w:r w:rsidR="00844C7F" w:rsidRPr="00C0193D">
        <w:rPr>
          <w:rFonts w:cs="GHEA Grapalat"/>
          <w:b w:val="0"/>
          <w:color w:val="000000"/>
          <w:szCs w:val="22"/>
          <w:lang w:val="hy-AM"/>
        </w:rPr>
        <w:t>հիվանդությունների</w:t>
      </w:r>
      <w:r w:rsidR="00844C7F" w:rsidRPr="00C0193D">
        <w:rPr>
          <w:rFonts w:cs="GHEA Grapalat"/>
          <w:b w:val="0"/>
          <w:color w:val="000000"/>
          <w:spacing w:val="136"/>
          <w:szCs w:val="22"/>
          <w:lang w:val="hy-AM"/>
        </w:rPr>
        <w:t xml:space="preserve"> </w:t>
      </w:r>
      <w:r w:rsidR="00844C7F" w:rsidRPr="00C0193D">
        <w:rPr>
          <w:rFonts w:cs="GHEA Grapalat"/>
          <w:b w:val="0"/>
          <w:color w:val="000000"/>
          <w:szCs w:val="22"/>
          <w:lang w:val="hy-AM"/>
        </w:rPr>
        <w:t>ներմուծման</w:t>
      </w:r>
      <w:r w:rsidR="00844C7F" w:rsidRPr="00C0193D">
        <w:rPr>
          <w:rFonts w:cs="GHEA Grapalat"/>
          <w:b w:val="0"/>
          <w:color w:val="000000"/>
          <w:spacing w:val="136"/>
          <w:szCs w:val="22"/>
          <w:lang w:val="hy-AM"/>
        </w:rPr>
        <w:t xml:space="preserve"> </w:t>
      </w:r>
      <w:r w:rsidR="00844C7F" w:rsidRPr="00C0193D">
        <w:rPr>
          <w:rFonts w:cs="GHEA Grapalat"/>
          <w:b w:val="0"/>
          <w:color w:val="000000"/>
          <w:szCs w:val="22"/>
          <w:lang w:val="hy-AM"/>
        </w:rPr>
        <w:t>ու</w:t>
      </w:r>
      <w:r w:rsidR="007C66E5" w:rsidRPr="00C0193D">
        <w:rPr>
          <w:rFonts w:cs="GHEA Grapalat"/>
          <w:b w:val="0"/>
          <w:color w:val="000000"/>
          <w:szCs w:val="22"/>
          <w:lang w:val="hy-AM"/>
        </w:rPr>
        <w:t xml:space="preserve"> </w:t>
      </w:r>
      <w:r w:rsidR="00844C7F" w:rsidRPr="00C0193D">
        <w:rPr>
          <w:rFonts w:cs="GHEA Grapalat"/>
          <w:b w:val="0"/>
          <w:color w:val="000000"/>
          <w:szCs w:val="22"/>
          <w:lang w:val="hy-AM"/>
        </w:rPr>
        <w:t>տարածման</w:t>
      </w:r>
      <w:r w:rsidR="00844C7F" w:rsidRPr="00C0193D">
        <w:rPr>
          <w:rFonts w:cs="GHEA Grapalat"/>
          <w:b w:val="0"/>
          <w:color w:val="000000"/>
          <w:spacing w:val="53"/>
          <w:szCs w:val="22"/>
          <w:lang w:val="hy-AM"/>
        </w:rPr>
        <w:t xml:space="preserve"> </w:t>
      </w:r>
      <w:r w:rsidR="00844C7F" w:rsidRPr="00C0193D">
        <w:rPr>
          <w:rFonts w:cs="GHEA Grapalat"/>
          <w:b w:val="0"/>
          <w:color w:val="000000"/>
          <w:szCs w:val="22"/>
          <w:lang w:val="hy-AM"/>
        </w:rPr>
        <w:t>կանխարգելումը,</w:t>
      </w:r>
      <w:r w:rsidR="00844C7F" w:rsidRPr="00C0193D">
        <w:rPr>
          <w:rFonts w:cs="GHEA Grapalat"/>
          <w:b w:val="0"/>
          <w:color w:val="000000"/>
          <w:spacing w:val="54"/>
          <w:szCs w:val="22"/>
          <w:lang w:val="hy-AM"/>
        </w:rPr>
        <w:t xml:space="preserve"> </w:t>
      </w:r>
      <w:r w:rsidR="00844C7F" w:rsidRPr="00C0193D">
        <w:rPr>
          <w:rFonts w:cs="GHEA Grapalat"/>
          <w:b w:val="0"/>
          <w:color w:val="000000"/>
          <w:szCs w:val="22"/>
          <w:lang w:val="hy-AM"/>
        </w:rPr>
        <w:t>իմունականխարգելումը</w:t>
      </w:r>
      <w:r w:rsidR="00844C7F" w:rsidRPr="00C0193D">
        <w:rPr>
          <w:rFonts w:cs="GHEA Grapalat"/>
          <w:b w:val="0"/>
          <w:color w:val="000000"/>
          <w:spacing w:val="54"/>
          <w:szCs w:val="22"/>
          <w:lang w:val="hy-AM"/>
        </w:rPr>
        <w:t xml:space="preserve"> </w:t>
      </w:r>
      <w:r w:rsidR="00844C7F" w:rsidRPr="00C0193D">
        <w:rPr>
          <w:rFonts w:cs="GHEA Grapalat"/>
          <w:b w:val="0"/>
          <w:color w:val="000000"/>
          <w:szCs w:val="22"/>
          <w:lang w:val="hy-AM"/>
        </w:rPr>
        <w:t>և</w:t>
      </w:r>
      <w:r w:rsidR="00844C7F" w:rsidRPr="00C0193D">
        <w:rPr>
          <w:rFonts w:cs="GHEA Grapalat"/>
          <w:b w:val="0"/>
          <w:color w:val="000000"/>
          <w:spacing w:val="53"/>
          <w:szCs w:val="22"/>
          <w:lang w:val="hy-AM"/>
        </w:rPr>
        <w:t xml:space="preserve"> </w:t>
      </w:r>
      <w:r w:rsidR="00844C7F" w:rsidRPr="00C0193D">
        <w:rPr>
          <w:rFonts w:cs="GHEA Grapalat"/>
          <w:b w:val="0"/>
          <w:color w:val="000000"/>
          <w:szCs w:val="22"/>
          <w:lang w:val="hy-AM"/>
        </w:rPr>
        <w:t>ապահովելով</w:t>
      </w:r>
      <w:r w:rsidR="00844C7F" w:rsidRPr="00C0193D">
        <w:rPr>
          <w:rFonts w:cs="GHEA Grapalat"/>
          <w:b w:val="0"/>
          <w:color w:val="000000"/>
          <w:spacing w:val="55"/>
          <w:szCs w:val="22"/>
          <w:lang w:val="hy-AM"/>
        </w:rPr>
        <w:t xml:space="preserve"> </w:t>
      </w:r>
      <w:r w:rsidR="00844C7F" w:rsidRPr="00C0193D">
        <w:rPr>
          <w:rFonts w:cs="GHEA Grapalat"/>
          <w:b w:val="0"/>
          <w:color w:val="000000"/>
          <w:szCs w:val="22"/>
          <w:lang w:val="hy-AM"/>
        </w:rPr>
        <w:t>իրական ժամանակում</w:t>
      </w:r>
      <w:r w:rsidR="00844C7F" w:rsidRPr="00C0193D">
        <w:rPr>
          <w:rFonts w:cs="GHEA Grapalat"/>
          <w:b w:val="0"/>
          <w:color w:val="000000"/>
          <w:spacing w:val="244"/>
          <w:szCs w:val="22"/>
          <w:lang w:val="hy-AM"/>
        </w:rPr>
        <w:t xml:space="preserve"> </w:t>
      </w:r>
      <w:r w:rsidR="00844C7F" w:rsidRPr="00C0193D">
        <w:rPr>
          <w:rFonts w:cs="GHEA Grapalat"/>
          <w:b w:val="0"/>
          <w:color w:val="000000"/>
          <w:szCs w:val="22"/>
          <w:lang w:val="hy-AM"/>
        </w:rPr>
        <w:t>հիվանդությունների</w:t>
      </w:r>
      <w:r w:rsidR="00844C7F" w:rsidRPr="00C0193D">
        <w:rPr>
          <w:rFonts w:cs="GHEA Grapalat"/>
          <w:b w:val="0"/>
          <w:color w:val="000000"/>
          <w:spacing w:val="244"/>
          <w:szCs w:val="22"/>
          <w:lang w:val="hy-AM"/>
        </w:rPr>
        <w:t xml:space="preserve"> </w:t>
      </w:r>
      <w:r w:rsidR="00844C7F" w:rsidRPr="00C0193D">
        <w:rPr>
          <w:rFonts w:cs="GHEA Grapalat"/>
          <w:b w:val="0"/>
          <w:color w:val="000000"/>
          <w:szCs w:val="22"/>
          <w:lang w:val="hy-AM"/>
        </w:rPr>
        <w:t>մասին</w:t>
      </w:r>
      <w:r w:rsidR="00844C7F" w:rsidRPr="00C0193D">
        <w:rPr>
          <w:rFonts w:cs="GHEA Grapalat"/>
          <w:b w:val="0"/>
          <w:color w:val="000000"/>
          <w:spacing w:val="244"/>
          <w:szCs w:val="22"/>
          <w:lang w:val="hy-AM"/>
        </w:rPr>
        <w:t xml:space="preserve"> </w:t>
      </w:r>
      <w:r w:rsidR="00844C7F" w:rsidRPr="00C0193D">
        <w:rPr>
          <w:rFonts w:cs="GHEA Grapalat"/>
          <w:b w:val="0"/>
          <w:color w:val="000000"/>
          <w:szCs w:val="22"/>
          <w:lang w:val="hy-AM"/>
        </w:rPr>
        <w:t>տեղեկատվության</w:t>
      </w:r>
      <w:r w:rsidR="00844C7F" w:rsidRPr="00C0193D">
        <w:rPr>
          <w:rFonts w:cs="GHEA Grapalat"/>
          <w:b w:val="0"/>
          <w:color w:val="000000"/>
          <w:spacing w:val="244"/>
          <w:szCs w:val="22"/>
          <w:lang w:val="hy-AM"/>
        </w:rPr>
        <w:t xml:space="preserve"> </w:t>
      </w:r>
      <w:r w:rsidR="00844C7F" w:rsidRPr="00C0193D">
        <w:rPr>
          <w:rFonts w:cs="GHEA Grapalat"/>
          <w:b w:val="0"/>
          <w:color w:val="000000"/>
          <w:szCs w:val="22"/>
          <w:lang w:val="hy-AM"/>
        </w:rPr>
        <w:t>հաղորդումը: Քաղաքականությունն</w:t>
      </w:r>
      <w:r w:rsidR="00844C7F" w:rsidRPr="00C0193D">
        <w:rPr>
          <w:rFonts w:cs="GHEA Grapalat"/>
          <w:b w:val="0"/>
          <w:color w:val="000000"/>
          <w:spacing w:val="311"/>
          <w:szCs w:val="22"/>
          <w:lang w:val="hy-AM"/>
        </w:rPr>
        <w:t xml:space="preserve"> </w:t>
      </w:r>
      <w:r w:rsidR="00844C7F" w:rsidRPr="00C0193D">
        <w:rPr>
          <w:rFonts w:cs="GHEA Grapalat"/>
          <w:b w:val="0"/>
          <w:color w:val="000000"/>
          <w:szCs w:val="22"/>
          <w:lang w:val="hy-AM"/>
        </w:rPr>
        <w:t>ուղղված</w:t>
      </w:r>
      <w:r w:rsidR="00844C7F" w:rsidRPr="00C0193D">
        <w:rPr>
          <w:rFonts w:cs="GHEA Grapalat"/>
          <w:b w:val="0"/>
          <w:color w:val="000000"/>
          <w:spacing w:val="311"/>
          <w:szCs w:val="22"/>
          <w:lang w:val="hy-AM"/>
        </w:rPr>
        <w:t xml:space="preserve"> </w:t>
      </w:r>
      <w:r w:rsidR="00844C7F" w:rsidRPr="00C0193D">
        <w:rPr>
          <w:rFonts w:cs="GHEA Grapalat"/>
          <w:b w:val="0"/>
          <w:color w:val="000000"/>
          <w:szCs w:val="22"/>
          <w:lang w:val="hy-AM"/>
        </w:rPr>
        <w:t>է</w:t>
      </w:r>
      <w:r w:rsidR="00AF3FC2" w:rsidRPr="00C0193D">
        <w:rPr>
          <w:rFonts w:cs="GHEA Grapalat"/>
          <w:b w:val="0"/>
          <w:color w:val="000000"/>
          <w:szCs w:val="22"/>
          <w:lang w:val="hy-AM"/>
        </w:rPr>
        <w:t xml:space="preserve"> </w:t>
      </w:r>
      <w:r w:rsidR="00844C7F" w:rsidRPr="00C0193D">
        <w:rPr>
          <w:rFonts w:cs="GHEA Grapalat"/>
          <w:b w:val="0"/>
          <w:color w:val="000000"/>
          <w:szCs w:val="22"/>
          <w:lang w:val="hy-AM"/>
        </w:rPr>
        <w:t>լինելու</w:t>
      </w:r>
      <w:r w:rsidR="00844C7F" w:rsidRPr="00C0193D">
        <w:rPr>
          <w:rFonts w:cs="GHEA Grapalat"/>
          <w:b w:val="0"/>
          <w:color w:val="000000"/>
          <w:spacing w:val="311"/>
          <w:szCs w:val="22"/>
          <w:lang w:val="hy-AM"/>
        </w:rPr>
        <w:t xml:space="preserve"> </w:t>
      </w:r>
      <w:r w:rsidR="00844C7F" w:rsidRPr="00C0193D">
        <w:rPr>
          <w:rFonts w:cs="GHEA Grapalat"/>
          <w:b w:val="0"/>
          <w:color w:val="000000"/>
          <w:szCs w:val="22"/>
          <w:lang w:val="hy-AM"/>
        </w:rPr>
        <w:t>hանրային առողջապահության</w:t>
      </w:r>
      <w:r w:rsidR="00844C7F" w:rsidRPr="00C0193D">
        <w:rPr>
          <w:rFonts w:cs="GHEA Grapalat"/>
          <w:b w:val="0"/>
          <w:color w:val="000000"/>
          <w:spacing w:val="116"/>
          <w:szCs w:val="22"/>
          <w:lang w:val="hy-AM"/>
        </w:rPr>
        <w:t xml:space="preserve"> </w:t>
      </w:r>
      <w:r w:rsidR="00844C7F" w:rsidRPr="00C0193D">
        <w:rPr>
          <w:rFonts w:cs="GHEA Grapalat"/>
          <w:b w:val="0"/>
          <w:color w:val="000000"/>
          <w:szCs w:val="22"/>
          <w:lang w:val="hy-AM"/>
        </w:rPr>
        <w:t>ոլորտում</w:t>
      </w:r>
      <w:r w:rsidR="00844C7F" w:rsidRPr="00C0193D">
        <w:rPr>
          <w:rFonts w:cs="GHEA Grapalat"/>
          <w:b w:val="0"/>
          <w:color w:val="000000"/>
          <w:spacing w:val="116"/>
          <w:szCs w:val="22"/>
          <w:lang w:val="hy-AM"/>
        </w:rPr>
        <w:t xml:space="preserve"> </w:t>
      </w:r>
      <w:r w:rsidR="00844C7F" w:rsidRPr="00C0193D">
        <w:rPr>
          <w:rFonts w:cs="GHEA Grapalat"/>
          <w:b w:val="0"/>
          <w:color w:val="000000"/>
          <w:szCs w:val="22"/>
          <w:lang w:val="hy-AM"/>
        </w:rPr>
        <w:t>արտակարգ</w:t>
      </w:r>
      <w:r w:rsidR="00844C7F" w:rsidRPr="00C0193D">
        <w:rPr>
          <w:rFonts w:cs="GHEA Grapalat"/>
          <w:b w:val="0"/>
          <w:color w:val="000000"/>
          <w:spacing w:val="116"/>
          <w:szCs w:val="22"/>
          <w:lang w:val="hy-AM"/>
        </w:rPr>
        <w:t xml:space="preserve"> </w:t>
      </w:r>
      <w:r w:rsidR="00844C7F" w:rsidRPr="00C0193D">
        <w:rPr>
          <w:rFonts w:cs="GHEA Grapalat"/>
          <w:b w:val="0"/>
          <w:color w:val="000000"/>
          <w:szCs w:val="22"/>
          <w:lang w:val="hy-AM"/>
        </w:rPr>
        <w:t>իրավիճակներին,</w:t>
      </w:r>
      <w:r w:rsidR="00844C7F" w:rsidRPr="00C0193D">
        <w:rPr>
          <w:rFonts w:cs="GHEA Grapalat"/>
          <w:b w:val="0"/>
          <w:color w:val="000000"/>
          <w:spacing w:val="116"/>
          <w:szCs w:val="22"/>
          <w:lang w:val="hy-AM"/>
        </w:rPr>
        <w:t xml:space="preserve"> </w:t>
      </w:r>
      <w:r w:rsidR="00844C7F" w:rsidRPr="00C0193D">
        <w:rPr>
          <w:rFonts w:cs="GHEA Grapalat"/>
          <w:b w:val="0"/>
          <w:color w:val="000000"/>
          <w:szCs w:val="22"/>
          <w:lang w:val="hy-AM"/>
        </w:rPr>
        <w:t>մասնավորապես միջազգային</w:t>
      </w:r>
      <w:r w:rsidR="00844C7F" w:rsidRPr="00C0193D">
        <w:rPr>
          <w:rFonts w:cs="GHEA Grapalat"/>
          <w:b w:val="0"/>
          <w:color w:val="000000"/>
          <w:spacing w:val="22"/>
          <w:szCs w:val="22"/>
          <w:lang w:val="hy-AM"/>
        </w:rPr>
        <w:t xml:space="preserve"> </w:t>
      </w:r>
      <w:r w:rsidR="00844C7F" w:rsidRPr="00C0193D">
        <w:rPr>
          <w:rFonts w:cs="GHEA Grapalat"/>
          <w:b w:val="0"/>
          <w:color w:val="000000"/>
          <w:szCs w:val="22"/>
          <w:lang w:val="hy-AM"/>
        </w:rPr>
        <w:t>նշանակության</w:t>
      </w:r>
      <w:r w:rsidR="00844C7F" w:rsidRPr="00C0193D">
        <w:rPr>
          <w:rFonts w:cs="GHEA Grapalat"/>
          <w:b w:val="0"/>
          <w:color w:val="000000"/>
          <w:spacing w:val="22"/>
          <w:szCs w:val="22"/>
          <w:lang w:val="hy-AM"/>
        </w:rPr>
        <w:t xml:space="preserve"> </w:t>
      </w:r>
      <w:r w:rsidR="00844C7F" w:rsidRPr="00C0193D">
        <w:rPr>
          <w:rFonts w:cs="GHEA Grapalat"/>
          <w:b w:val="0"/>
          <w:color w:val="000000"/>
          <w:szCs w:val="22"/>
          <w:lang w:val="hy-AM"/>
        </w:rPr>
        <w:t>արտակարգ</w:t>
      </w:r>
      <w:r w:rsidR="00844C7F" w:rsidRPr="00C0193D">
        <w:rPr>
          <w:rFonts w:cs="GHEA Grapalat"/>
          <w:b w:val="0"/>
          <w:color w:val="000000"/>
          <w:spacing w:val="22"/>
          <w:szCs w:val="22"/>
          <w:lang w:val="hy-AM"/>
        </w:rPr>
        <w:t xml:space="preserve"> </w:t>
      </w:r>
      <w:r w:rsidR="00844C7F" w:rsidRPr="00C0193D">
        <w:rPr>
          <w:rFonts w:cs="GHEA Grapalat"/>
          <w:b w:val="0"/>
          <w:color w:val="000000"/>
          <w:szCs w:val="22"/>
          <w:lang w:val="hy-AM"/>
        </w:rPr>
        <w:t>իրավիճակ</w:t>
      </w:r>
      <w:r w:rsidR="00844C7F" w:rsidRPr="00C0193D">
        <w:rPr>
          <w:rFonts w:cs="GHEA Grapalat"/>
          <w:b w:val="0"/>
          <w:color w:val="000000"/>
          <w:spacing w:val="22"/>
          <w:szCs w:val="22"/>
          <w:lang w:val="hy-AM"/>
        </w:rPr>
        <w:t xml:space="preserve"> </w:t>
      </w:r>
      <w:r w:rsidR="00844C7F" w:rsidRPr="00C0193D">
        <w:rPr>
          <w:rFonts w:cs="GHEA Grapalat"/>
          <w:b w:val="0"/>
          <w:color w:val="000000"/>
          <w:szCs w:val="22"/>
          <w:lang w:val="hy-AM"/>
        </w:rPr>
        <w:t>ներկայացնող</w:t>
      </w:r>
      <w:r w:rsidR="00844C7F" w:rsidRPr="00C0193D">
        <w:rPr>
          <w:rFonts w:cs="GHEA Grapalat"/>
          <w:b w:val="0"/>
          <w:color w:val="000000"/>
          <w:spacing w:val="22"/>
          <w:szCs w:val="22"/>
          <w:lang w:val="hy-AM"/>
        </w:rPr>
        <w:t xml:space="preserve"> </w:t>
      </w:r>
      <w:r w:rsidR="00844C7F" w:rsidRPr="00C0193D">
        <w:rPr>
          <w:rFonts w:cs="GHEA Grapalat"/>
          <w:b w:val="0"/>
          <w:color w:val="000000"/>
          <w:szCs w:val="22"/>
          <w:lang w:val="hy-AM"/>
        </w:rPr>
        <w:t>երևույթներին պատրաստվածության</w:t>
      </w:r>
      <w:r w:rsidR="00844C7F" w:rsidRPr="00C0193D">
        <w:rPr>
          <w:rFonts w:cs="GHEA Grapalat"/>
          <w:b w:val="0"/>
          <w:color w:val="000000"/>
          <w:spacing w:val="199"/>
          <w:szCs w:val="22"/>
          <w:lang w:val="hy-AM"/>
        </w:rPr>
        <w:t xml:space="preserve"> </w:t>
      </w:r>
      <w:r w:rsidR="00844C7F" w:rsidRPr="00C0193D">
        <w:rPr>
          <w:rFonts w:cs="GHEA Grapalat"/>
          <w:b w:val="0"/>
          <w:color w:val="000000"/>
          <w:szCs w:val="22"/>
          <w:lang w:val="hy-AM"/>
        </w:rPr>
        <w:t>և</w:t>
      </w:r>
      <w:r w:rsidR="00844C7F" w:rsidRPr="00C0193D">
        <w:rPr>
          <w:rFonts w:cs="GHEA Grapalat"/>
          <w:b w:val="0"/>
          <w:color w:val="000000"/>
          <w:spacing w:val="197"/>
          <w:szCs w:val="22"/>
          <w:lang w:val="hy-AM"/>
        </w:rPr>
        <w:t xml:space="preserve"> </w:t>
      </w:r>
      <w:r w:rsidR="00844C7F" w:rsidRPr="00C0193D">
        <w:rPr>
          <w:rFonts w:cs="GHEA Grapalat"/>
          <w:b w:val="0"/>
          <w:color w:val="000000"/>
          <w:szCs w:val="22"/>
          <w:lang w:val="hy-AM"/>
        </w:rPr>
        <w:t>արագ արձագանքման,</w:t>
      </w:r>
      <w:r w:rsidR="00844C7F" w:rsidRPr="00C0193D">
        <w:rPr>
          <w:rFonts w:cs="GHEA Grapalat"/>
          <w:b w:val="0"/>
          <w:color w:val="000000"/>
          <w:spacing w:val="199"/>
          <w:szCs w:val="22"/>
          <w:lang w:val="hy-AM"/>
        </w:rPr>
        <w:t xml:space="preserve"> </w:t>
      </w:r>
      <w:r w:rsidR="00844C7F" w:rsidRPr="00C0193D">
        <w:rPr>
          <w:rFonts w:cs="GHEA Grapalat"/>
          <w:b w:val="0"/>
          <w:color w:val="000000"/>
          <w:szCs w:val="22"/>
          <w:lang w:val="hy-AM"/>
        </w:rPr>
        <w:t>միջգերատեսչական</w:t>
      </w:r>
      <w:r w:rsidR="00844C7F" w:rsidRPr="00C0193D">
        <w:rPr>
          <w:rFonts w:cs="GHEA Grapalat"/>
          <w:b w:val="0"/>
          <w:color w:val="000000"/>
          <w:spacing w:val="199"/>
          <w:szCs w:val="22"/>
          <w:lang w:val="hy-AM"/>
        </w:rPr>
        <w:t xml:space="preserve"> </w:t>
      </w:r>
      <w:r w:rsidR="00844C7F" w:rsidRPr="00C0193D">
        <w:rPr>
          <w:rFonts w:cs="GHEA Grapalat"/>
          <w:b w:val="0"/>
          <w:color w:val="000000"/>
          <w:szCs w:val="22"/>
          <w:lang w:val="hy-AM"/>
        </w:rPr>
        <w:t>և միջոլորտային համագործակցության ապահովմանը:</w:t>
      </w:r>
    </w:p>
    <w:p w14:paraId="4D1303BF" w14:textId="77777777" w:rsidR="00844C7F" w:rsidRPr="00C0193D" w:rsidRDefault="00844C7F" w:rsidP="00835DBE">
      <w:pPr>
        <w:rPr>
          <w:rFonts w:eastAsia="Calibri"/>
          <w:b w:val="0"/>
          <w:noProof/>
          <w:szCs w:val="22"/>
          <w:lang w:val="hy-AM"/>
        </w:rPr>
      </w:pPr>
      <w:r w:rsidRPr="00C0193D">
        <w:rPr>
          <w:rFonts w:eastAsia="Calibri"/>
          <w:b w:val="0"/>
          <w:noProof/>
          <w:szCs w:val="22"/>
          <w:lang w:val="hy-AM"/>
        </w:rPr>
        <w:lastRenderedPageBreak/>
        <w:t>Առողջապահական կադրային ներուժի ապահովման ոլորտում իրականացվելու են աշխատանքներ բուժաշխատողների մասնագիտական գիտելիքների և հմտությունների շարունակական բարելավման ուղղությամբ: Ներդրվելու են մեխանիզմներ առողջապահական կադրային ներուժի տարածքային օպտիմալ բաշխման, մարզային առողջապահական կազմակերպությունները որակյալ կադրերով ապահովելու և բժշկի աշխատանքը մարզում հնարավորինս խրախուսելու համար:</w:t>
      </w:r>
    </w:p>
    <w:p w14:paraId="6157144F" w14:textId="450DADBF" w:rsidR="005716DB" w:rsidRDefault="005F226A" w:rsidP="00835DBE">
      <w:pPr>
        <w:pStyle w:val="Heading1"/>
      </w:pPr>
      <w:bookmarkStart w:id="46" w:name="_Toc83567452"/>
      <w:bookmarkStart w:id="47" w:name="_Toc153184452"/>
      <w:r w:rsidRPr="00D24128">
        <w:t>Աշխատանքի և սոցիալական պաշտպանություն</w:t>
      </w:r>
      <w:bookmarkStart w:id="48" w:name="_Toc26174904"/>
      <w:bookmarkStart w:id="49" w:name="_Toc83567453"/>
      <w:bookmarkEnd w:id="45"/>
      <w:bookmarkEnd w:id="46"/>
      <w:bookmarkEnd w:id="47"/>
    </w:p>
    <w:p w14:paraId="44AD2CA9" w14:textId="77777777" w:rsidR="005716DB" w:rsidRPr="00C0193D" w:rsidRDefault="005716DB" w:rsidP="00835DBE">
      <w:pPr>
        <w:tabs>
          <w:tab w:val="num" w:pos="0"/>
        </w:tabs>
        <w:rPr>
          <w:rFonts w:eastAsia="Calibri"/>
          <w:b w:val="0"/>
          <w:noProof/>
          <w:szCs w:val="22"/>
          <w:lang w:val="hy-AM"/>
        </w:rPr>
      </w:pPr>
      <w:r w:rsidRPr="00C0193D">
        <w:rPr>
          <w:rFonts w:eastAsia="Calibri"/>
          <w:b w:val="0"/>
          <w:noProof/>
          <w:szCs w:val="22"/>
          <w:lang w:val="hy-AM"/>
        </w:rPr>
        <w:t>Սոցիալական պաշտպանությունը շարունակում է լինել ՀՀ պետական քաղաքականության գերակա ուղղություններից մեկը, որի հիմնական նպատակն է երկրում ծայրահեղ աղքատության վերացումը, աղքատության մակարդակի էական կրճատումը, ժողովրդագրական իրավիճակի բարելավումն ու ՀՀ բնակչության առանձին խմբերի համար սոցիալական երաշխիքների ապահովումը։</w:t>
      </w:r>
    </w:p>
    <w:p w14:paraId="42971694" w14:textId="77777777" w:rsidR="005716DB" w:rsidRPr="00060AD1" w:rsidRDefault="005716DB" w:rsidP="00835DBE">
      <w:pPr>
        <w:tabs>
          <w:tab w:val="num" w:pos="0"/>
        </w:tabs>
        <w:rPr>
          <w:rFonts w:eastAsia="Calibri"/>
          <w:b w:val="0"/>
          <w:noProof/>
          <w:szCs w:val="22"/>
          <w:lang w:val="hy-AM"/>
        </w:rPr>
      </w:pPr>
      <w:r w:rsidRPr="00170014">
        <w:rPr>
          <w:rFonts w:eastAsia="Calibri"/>
          <w:b w:val="0"/>
          <w:noProof/>
          <w:szCs w:val="22"/>
          <w:lang w:val="hy-AM"/>
        </w:rPr>
        <w:t xml:space="preserve">Ժողովրդագրության և ընտանիքի սոցիալական երաշխիքների բնագավառում </w:t>
      </w:r>
      <w:r w:rsidRPr="00C0193D">
        <w:rPr>
          <w:rFonts w:eastAsia="Calibri"/>
          <w:b w:val="0"/>
          <w:noProof/>
          <w:szCs w:val="22"/>
          <w:lang w:val="hy-AM"/>
        </w:rPr>
        <w:t xml:space="preserve">2024 թվականին նախատեսվում է պետական նպաստների քաղաքականության մեջ ընտանիքների անապահովության (սոցիալական) գնահատման համակարգի հասցեականության բարձրացմանն ուղղված միջոցառումների իրականացումը, մասնավորապես, առցանց եղանակով ստացվող անհրաժեշտ տվյալների </w:t>
      </w:r>
      <w:r w:rsidRPr="00060AD1">
        <w:rPr>
          <w:rFonts w:eastAsia="Calibri"/>
          <w:b w:val="0"/>
          <w:noProof/>
          <w:szCs w:val="22"/>
          <w:lang w:val="hy-AM"/>
        </w:rPr>
        <w:t xml:space="preserve">շրջանակի հնարավոր ընդլայնում, նպաստի նշանակման գործընթացների թվայնացում և ավտոմատացում, իրական ժամանակում ինքնաշխատ համադրումներ տարբեր տեղեկատվական բազաների տվյալների հետ` նպաստառության ոչ ենթակա ընտանիքների հայտնաբերման նպատակով: 2024 թվականի մարտի 1-ից՝ փուլային տարբերակով ներդրվելու է ընտանիքների անապահովության գնահատման նոր համակարգը՝ ուղղված ծայրահեղ աղքատ ընտանիքներին համակարգում ներառմանը և ծայրահեղ աղքատության վերացմանը։ </w:t>
      </w:r>
    </w:p>
    <w:p w14:paraId="3949F4AC" w14:textId="77777777" w:rsidR="005716DB" w:rsidRPr="00060AD1" w:rsidRDefault="005716DB" w:rsidP="00835DBE">
      <w:pPr>
        <w:tabs>
          <w:tab w:val="num" w:pos="0"/>
        </w:tabs>
        <w:rPr>
          <w:rFonts w:eastAsia="Calibri"/>
          <w:b w:val="0"/>
          <w:noProof/>
          <w:szCs w:val="22"/>
          <w:lang w:val="hy-AM"/>
        </w:rPr>
      </w:pPr>
      <w:r w:rsidRPr="00060AD1">
        <w:rPr>
          <w:rFonts w:eastAsia="Calibri"/>
          <w:b w:val="0"/>
          <w:noProof/>
          <w:szCs w:val="22"/>
          <w:lang w:val="hy-AM"/>
        </w:rPr>
        <w:t>Վերանայվում է սոցիալական աջակցության քաղաքականությունը, որի շնորհիվ սոցիալական աջակցության ծրագրերը կլինեն ավելի հասցեական, խրախուսվելու է անձի սոցիալ-տնտեսական ակտիվացումը՝ հիմք ընդունելով սոցիալական կարիքի գնահատումը և դրան համաչափ սոցիալական ծառայությունների տրամադրումը։ Այս համատեքստում աղքատության հաղթահարման համար կարևորվում է աղքատության փուլային հաղթահարման մոդելների կիրառումը, աշխատունակ յուրաքանչյուր անձի տնտեսական ակտիվացումը և զբաղվածության ակտիվ ծրագրերում ներառելու գործընթացի ապահովումը:</w:t>
      </w:r>
    </w:p>
    <w:p w14:paraId="653C3A35" w14:textId="77777777" w:rsidR="005716DB" w:rsidRPr="00C0193D" w:rsidRDefault="005716DB" w:rsidP="00835DBE">
      <w:pPr>
        <w:tabs>
          <w:tab w:val="num" w:pos="0"/>
        </w:tabs>
        <w:rPr>
          <w:rFonts w:eastAsia="Calibri"/>
          <w:b w:val="0"/>
          <w:noProof/>
          <w:szCs w:val="22"/>
          <w:lang w:val="hy-AM"/>
        </w:rPr>
      </w:pPr>
      <w:r w:rsidRPr="00060AD1">
        <w:rPr>
          <w:rFonts w:eastAsia="Calibri"/>
          <w:b w:val="0"/>
          <w:noProof/>
          <w:szCs w:val="22"/>
          <w:lang w:val="hy-AM"/>
        </w:rPr>
        <w:t xml:space="preserve">Շարունակվելու են աշխատանքները Միասնական սոցիալական ծառայության աշխատողների պրոֆեսիոնալիզմի բարձրացման, ինչպես նաև ընդհանուր </w:t>
      </w:r>
      <w:r w:rsidRPr="00C0193D">
        <w:rPr>
          <w:rFonts w:eastAsia="Calibri"/>
          <w:b w:val="0"/>
          <w:noProof/>
          <w:szCs w:val="22"/>
          <w:lang w:val="hy-AM"/>
        </w:rPr>
        <w:t>կարողությունների հզորացման ուղղությամբ: Իրականացվելու են միջոցառումներ համայնքային սոցիալական աշխատանքի ընթացակարգերը լավարկելու և տունայցերը խրախուսելու ուղղությամբ։</w:t>
      </w:r>
    </w:p>
    <w:p w14:paraId="5291E748" w14:textId="77777777" w:rsidR="005716DB" w:rsidRPr="00060AD1" w:rsidRDefault="005716DB" w:rsidP="00835DBE">
      <w:pPr>
        <w:tabs>
          <w:tab w:val="num" w:pos="0"/>
        </w:tabs>
        <w:rPr>
          <w:rFonts w:eastAsia="Calibri"/>
          <w:b w:val="0"/>
          <w:noProof/>
          <w:szCs w:val="22"/>
          <w:lang w:val="hy-AM"/>
        </w:rPr>
      </w:pPr>
      <w:r w:rsidRPr="00C0193D">
        <w:rPr>
          <w:rFonts w:eastAsia="Calibri"/>
          <w:b w:val="0"/>
          <w:noProof/>
          <w:szCs w:val="22"/>
          <w:lang w:val="hy-AM"/>
        </w:rPr>
        <w:lastRenderedPageBreak/>
        <w:t xml:space="preserve">Ընդլայնվելու են սոցիալապես անապահով և հատուկ խմբերին դասված անձանց կացարանի խնդրի լուծման նպատակով սոցիալական բնակարանային ֆոնդի ձևավորման, կացարանի և այլ սոցիալական ծառայությունների տրամադրման հասցեական ծրագրերի իրականացման աշխատանքները: </w:t>
      </w:r>
      <w:r w:rsidRPr="00060AD1">
        <w:rPr>
          <w:rFonts w:eastAsia="Calibri"/>
          <w:b w:val="0"/>
          <w:noProof/>
          <w:szCs w:val="22"/>
          <w:lang w:val="hy-AM"/>
        </w:rPr>
        <w:t>Լեռնային Ղարաբաղից բռնի տեղահանված անձանց բնակարանային ֆոնդի շահառուների սպասարկումն ապահովելու համար նախատեսվում է նաև ևս 3 սոցիալական բնակարանային ֆոնդի կացարանների շենքերի ավելացում։</w:t>
      </w:r>
    </w:p>
    <w:p w14:paraId="4262A1CD" w14:textId="77777777" w:rsidR="005716DB" w:rsidRPr="00C0193D" w:rsidRDefault="005716DB" w:rsidP="00835DBE">
      <w:pPr>
        <w:tabs>
          <w:tab w:val="num" w:pos="0"/>
        </w:tabs>
        <w:rPr>
          <w:rFonts w:eastAsia="Calibri"/>
          <w:b w:val="0"/>
          <w:noProof/>
          <w:szCs w:val="22"/>
          <w:lang w:val="hy-AM"/>
        </w:rPr>
      </w:pPr>
      <w:r w:rsidRPr="00C0193D">
        <w:rPr>
          <w:rFonts w:eastAsia="Calibri"/>
          <w:b w:val="0"/>
          <w:noProof/>
          <w:szCs w:val="22"/>
          <w:lang w:val="hy-AM"/>
        </w:rPr>
        <w:t xml:space="preserve">Իրականացվելու են սոցիալական բնակարանային ապահովությանն ուղղված այլ միջոցառումներ, այդ թվում նաև վարձավճարի հատուցման ձևով՝ </w:t>
      </w:r>
      <w:r>
        <w:rPr>
          <w:rFonts w:eastAsia="Calibri"/>
          <w:b w:val="0"/>
          <w:noProof/>
          <w:szCs w:val="22"/>
          <w:lang w:val="hy-AM"/>
        </w:rPr>
        <w:t xml:space="preserve">բռնի </w:t>
      </w:r>
      <w:r w:rsidRPr="00C0193D">
        <w:rPr>
          <w:rFonts w:eastAsia="Calibri"/>
          <w:b w:val="0"/>
          <w:noProof/>
          <w:szCs w:val="22"/>
          <w:lang w:val="hy-AM"/>
        </w:rPr>
        <w:t>տեղահանված անձանց, պատժից ազատվող</w:t>
      </w:r>
      <w:r w:rsidRPr="00C0193D" w:rsidDel="00F74508">
        <w:rPr>
          <w:rFonts w:eastAsia="Calibri"/>
          <w:b w:val="0"/>
          <w:noProof/>
          <w:szCs w:val="22"/>
          <w:lang w:val="hy-AM"/>
        </w:rPr>
        <w:t xml:space="preserve"> </w:t>
      </w:r>
      <w:r w:rsidRPr="00C0193D">
        <w:rPr>
          <w:rFonts w:eastAsia="Calibri"/>
          <w:b w:val="0"/>
          <w:noProof/>
          <w:szCs w:val="22"/>
          <w:lang w:val="hy-AM"/>
        </w:rPr>
        <w:t>կալանավորների, նաև փախստական ճանաչված անձանց մասով։</w:t>
      </w:r>
    </w:p>
    <w:p w14:paraId="5CE61DD9" w14:textId="77777777" w:rsidR="005716DB" w:rsidRPr="00C0193D" w:rsidRDefault="005716DB" w:rsidP="00835DBE">
      <w:pPr>
        <w:tabs>
          <w:tab w:val="num" w:pos="0"/>
        </w:tabs>
        <w:rPr>
          <w:rFonts w:eastAsia="Calibri"/>
          <w:b w:val="0"/>
          <w:noProof/>
          <w:szCs w:val="22"/>
          <w:lang w:val="hy-AM"/>
        </w:rPr>
      </w:pPr>
      <w:r w:rsidRPr="00C0193D">
        <w:rPr>
          <w:rFonts w:eastAsia="Calibri"/>
          <w:b w:val="0"/>
          <w:noProof/>
          <w:szCs w:val="22"/>
          <w:lang w:val="hy-AM"/>
        </w:rPr>
        <w:t>Շարունակվելու են երեխայի ծննդյան միանվագ, մինչև 2 տարեկան երեխայի խնամքի նպաստների տրամադրման, ինչպես նաև ընտանիքում 3-րդ և հաջորդ երեխայի ծննդյան դեպքում դրամական աջակցության միջոցառումները, որոնց շրջանակներում տրվող վճարատեսակների չափերը 2024 թվականին չեն փոխվելու։</w:t>
      </w:r>
    </w:p>
    <w:p w14:paraId="0313E8A6" w14:textId="77777777" w:rsidR="005716DB" w:rsidRPr="00C0193D" w:rsidRDefault="005716DB" w:rsidP="00835DBE">
      <w:pPr>
        <w:tabs>
          <w:tab w:val="num" w:pos="0"/>
        </w:tabs>
        <w:rPr>
          <w:rFonts w:eastAsia="Calibri"/>
          <w:b w:val="0"/>
          <w:noProof/>
          <w:szCs w:val="22"/>
          <w:lang w:val="hy-AM"/>
        </w:rPr>
      </w:pPr>
      <w:r w:rsidRPr="00C0193D">
        <w:rPr>
          <w:rFonts w:eastAsia="Calibri"/>
          <w:b w:val="0"/>
          <w:noProof/>
          <w:szCs w:val="22"/>
          <w:lang w:val="hy-AM"/>
        </w:rPr>
        <w:t>Հարկ է նշել, որ ներկայում</w:t>
      </w:r>
      <w:r>
        <w:rPr>
          <w:rFonts w:eastAsia="Calibri"/>
          <w:b w:val="0"/>
          <w:noProof/>
          <w:szCs w:val="22"/>
          <w:lang w:val="hy-AM"/>
        </w:rPr>
        <w:t>ս</w:t>
      </w:r>
      <w:r w:rsidRPr="00C0193D">
        <w:rPr>
          <w:rFonts w:eastAsia="Calibri"/>
          <w:b w:val="0"/>
          <w:noProof/>
          <w:szCs w:val="22"/>
          <w:lang w:val="hy-AM"/>
        </w:rPr>
        <w:t xml:space="preserve"> մշակման փուլում են.</w:t>
      </w:r>
    </w:p>
    <w:p w14:paraId="2DD0E17A"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70523E">
        <w:rPr>
          <w:rFonts w:cs="Sylfaen"/>
          <w:b w:val="0"/>
          <w:szCs w:val="22"/>
          <w:lang w:val="hy-AM" w:eastAsia="en-US"/>
        </w:rPr>
        <w:t xml:space="preserve">ՀՀ </w:t>
      </w:r>
      <w:r w:rsidRPr="00F46689">
        <w:rPr>
          <w:rFonts w:eastAsia="Calibri" w:cs="Arial"/>
          <w:b w:val="0"/>
          <w:bCs/>
          <w:kern w:val="2"/>
          <w:szCs w:val="22"/>
          <w:lang w:val="hy-AM"/>
          <w14:ligatures w14:val="standardContextual"/>
        </w:rPr>
        <w:t>ժողովրդագրական իրավիճակի բարելավման նոր ռազմավարությունը, որի տեսլականն է ունենալ բնակչության հավասարակշռված և կայուն կառուցվածք՝ միտված բնակչության երկարաժամկետ մարդկային կապիտալի զարգացմանն ու կյանքի որակի բարձրացմանը։</w:t>
      </w:r>
    </w:p>
    <w:p w14:paraId="4166CF80"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Սոցիալական և մատչելի բնակարանով ապահովելու քաղաքականության ծրագիրը, որով կապահովվի բնակարանով ապահովման միասնական քաղաքականության իրականացումը՝ ցածր եկամուտներ ունեցող, ինչպես նաև անապահով ընտանիքներին և խոցելի այլ խմբերին մշտական կամ ժամանակավոր կացարաններով ապահովելու նպատակով: </w:t>
      </w:r>
    </w:p>
    <w:p w14:paraId="20334B9A" w14:textId="77777777" w:rsidR="005716DB" w:rsidRPr="00C0193D" w:rsidRDefault="005716DB" w:rsidP="00835DBE">
      <w:pPr>
        <w:pStyle w:val="ListParagraph"/>
        <w:numPr>
          <w:ilvl w:val="0"/>
          <w:numId w:val="55"/>
        </w:numPr>
        <w:tabs>
          <w:tab w:val="left" w:pos="284"/>
        </w:tabs>
        <w:suppressAutoHyphens/>
        <w:ind w:left="0" w:firstLine="0"/>
        <w:rPr>
          <w:rFonts w:eastAsia="Calibri"/>
          <w:b w:val="0"/>
          <w:noProof/>
          <w:szCs w:val="22"/>
          <w:lang w:val="hy-AM"/>
        </w:rPr>
      </w:pPr>
      <w:r w:rsidRPr="00F46689">
        <w:rPr>
          <w:rFonts w:eastAsia="Calibri" w:cs="Arial"/>
          <w:b w:val="0"/>
          <w:bCs/>
          <w:kern w:val="2"/>
          <w:szCs w:val="22"/>
          <w:lang w:val="hy-AM"/>
          <w14:ligatures w14:val="standardContextual"/>
        </w:rPr>
        <w:tab/>
        <w:t>Ինտեգրված սոցիալական ծառայությունների համակարգի բարեփոխման և միասնական սոցիալական ծառայության զարգացման ռազմավարական փաստաթուղթը, որի նպատակն է հզորացնել միասնական սոցիալական ծառայության ինստիտուցիոնալ կարողությունները, ինչպես նաև շարունակաբար զարգացնել</w:t>
      </w:r>
      <w:r w:rsidRPr="00C0193D">
        <w:rPr>
          <w:rFonts w:eastAsia="Calibri"/>
          <w:b w:val="0"/>
          <w:noProof/>
          <w:szCs w:val="22"/>
          <w:lang w:val="hy-AM"/>
        </w:rPr>
        <w:t xml:space="preserve"> սոցիալական ծառայություններ մատուցող տարբեր կառույցների անձնակազմի մասնագիտական կարողությունները:</w:t>
      </w:r>
    </w:p>
    <w:p w14:paraId="6AE80E36" w14:textId="77777777" w:rsidR="005716DB" w:rsidRPr="00C0193D" w:rsidRDefault="005716DB" w:rsidP="00835DBE">
      <w:pPr>
        <w:tabs>
          <w:tab w:val="num" w:pos="0"/>
        </w:tabs>
        <w:rPr>
          <w:rFonts w:eastAsia="Calibri"/>
          <w:b w:val="0"/>
          <w:noProof/>
          <w:szCs w:val="22"/>
          <w:lang w:val="hy-AM"/>
        </w:rPr>
      </w:pPr>
      <w:r w:rsidRPr="008A178C">
        <w:rPr>
          <w:rFonts w:cs="Sylfaen"/>
          <w:b w:val="0"/>
          <w:bCs/>
          <w:szCs w:val="22"/>
          <w:lang w:val="hy-AM" w:eastAsia="en-US"/>
        </w:rPr>
        <w:t>Սոցիալական ապահովության</w:t>
      </w:r>
      <w:r w:rsidRPr="00C0193D">
        <w:rPr>
          <w:rFonts w:cs="Sylfaen"/>
          <w:bCs/>
          <w:szCs w:val="22"/>
          <w:lang w:val="hy-AM" w:eastAsia="en-US"/>
        </w:rPr>
        <w:t xml:space="preserve"> </w:t>
      </w:r>
      <w:r w:rsidRPr="00C0193D">
        <w:rPr>
          <w:rFonts w:eastAsia="Calibri"/>
          <w:b w:val="0"/>
          <w:noProof/>
          <w:szCs w:val="22"/>
          <w:lang w:val="hy-AM"/>
        </w:rPr>
        <w:t>շրջանակում 2024 թվականին պետություն-մասնավոր սոցիալական փոխգործակցության շրջանակում կշարունակվի անկանխիկ եղանակով վճարումներից կենսաթոշակառուներին հետվճարի տրամադրումը, իսկ օգտվողների միջին տարեկան թիվը կկազմի շուրջ</w:t>
      </w:r>
      <w:r>
        <w:rPr>
          <w:rFonts w:eastAsia="Calibri"/>
          <w:b w:val="0"/>
          <w:noProof/>
          <w:szCs w:val="22"/>
          <w:lang w:val="hy-AM"/>
        </w:rPr>
        <w:t xml:space="preserve"> 230000</w:t>
      </w:r>
      <w:r w:rsidRPr="00C0193D">
        <w:rPr>
          <w:rFonts w:eastAsia="Calibri"/>
          <w:b w:val="0"/>
          <w:noProof/>
          <w:szCs w:val="22"/>
          <w:lang w:val="hy-AM"/>
        </w:rPr>
        <w:t xml:space="preserve"> </w:t>
      </w:r>
      <w:r w:rsidRPr="00060AD1">
        <w:rPr>
          <w:rFonts w:eastAsia="Calibri"/>
          <w:b w:val="0"/>
          <w:noProof/>
          <w:szCs w:val="22"/>
          <w:lang w:val="hy-AM"/>
        </w:rPr>
        <w:t>(</w:t>
      </w:r>
      <w:r>
        <w:rPr>
          <w:rFonts w:eastAsia="Calibri"/>
          <w:b w:val="0"/>
          <w:noProof/>
          <w:szCs w:val="22"/>
          <w:lang w:val="hy-AM"/>
        </w:rPr>
        <w:t xml:space="preserve">ներառյալ 8382 Լեռնային Ղարաբաղից բռնի տեղահանված </w:t>
      </w:r>
      <w:r w:rsidRPr="00C0193D">
        <w:rPr>
          <w:rFonts w:eastAsia="Calibri"/>
          <w:b w:val="0"/>
          <w:noProof/>
          <w:szCs w:val="22"/>
          <w:lang w:val="hy-AM"/>
        </w:rPr>
        <w:t>կենսաթոշակառու</w:t>
      </w:r>
      <w:r>
        <w:rPr>
          <w:rFonts w:eastAsia="Calibri"/>
          <w:b w:val="0"/>
          <w:noProof/>
          <w:szCs w:val="22"/>
          <w:lang w:val="hy-AM"/>
        </w:rPr>
        <w:t>ները</w:t>
      </w:r>
      <w:r w:rsidRPr="00060AD1">
        <w:rPr>
          <w:rFonts w:eastAsia="Calibri"/>
          <w:b w:val="0"/>
          <w:noProof/>
          <w:szCs w:val="22"/>
          <w:lang w:val="hy-AM"/>
        </w:rPr>
        <w:t>)</w:t>
      </w:r>
      <w:r>
        <w:rPr>
          <w:rFonts w:eastAsia="Calibri"/>
          <w:b w:val="0"/>
          <w:noProof/>
          <w:szCs w:val="22"/>
          <w:lang w:val="hy-AM"/>
        </w:rPr>
        <w:t xml:space="preserve"> </w:t>
      </w:r>
      <w:r w:rsidRPr="00C0193D">
        <w:rPr>
          <w:rFonts w:eastAsia="Calibri"/>
          <w:b w:val="0"/>
          <w:noProof/>
          <w:szCs w:val="22"/>
          <w:lang w:val="hy-AM"/>
        </w:rPr>
        <w:t>կենսաթոշակառու:</w:t>
      </w:r>
    </w:p>
    <w:p w14:paraId="63762174" w14:textId="77777777" w:rsidR="005716DB" w:rsidRPr="00C0193D" w:rsidRDefault="005716DB" w:rsidP="00835DBE">
      <w:pPr>
        <w:tabs>
          <w:tab w:val="num" w:pos="0"/>
        </w:tabs>
        <w:rPr>
          <w:rFonts w:eastAsia="Calibri"/>
          <w:b w:val="0"/>
          <w:noProof/>
          <w:szCs w:val="22"/>
          <w:lang w:val="hy-AM"/>
        </w:rPr>
      </w:pPr>
      <w:r w:rsidRPr="008A178C">
        <w:rPr>
          <w:rFonts w:cs="Sylfaen"/>
          <w:b w:val="0"/>
          <w:szCs w:val="22"/>
          <w:lang w:val="af-ZA" w:eastAsia="en-US"/>
        </w:rPr>
        <w:t>Աշխատանքի և զբաղվածության բնագավառում</w:t>
      </w:r>
      <w:r w:rsidRPr="00C0193D">
        <w:rPr>
          <w:rFonts w:cs="Sylfaen"/>
          <w:szCs w:val="22"/>
          <w:lang w:val="af-ZA" w:eastAsia="en-US"/>
        </w:rPr>
        <w:t xml:space="preserve"> </w:t>
      </w:r>
      <w:r w:rsidRPr="00C0193D">
        <w:rPr>
          <w:rFonts w:eastAsia="Calibri"/>
          <w:b w:val="0"/>
          <w:noProof/>
          <w:szCs w:val="22"/>
          <w:lang w:val="hy-AM"/>
        </w:rPr>
        <w:t>պետական քաղաքականության մեջ կարևորվում են.</w:t>
      </w:r>
    </w:p>
    <w:p w14:paraId="45EE5873"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 xml:space="preserve">զբաղվածության կարգավորման պետական ծրագրերի հասցեականության ու արդյունավետության բարձրացումը, </w:t>
      </w:r>
    </w:p>
    <w:p w14:paraId="63C41089"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գործատուների շահագրգիռ ներգրավվածության խթանումը, նրանց կողմից ներկայացված թափուր աշխատատեղերը որակյալ մասնագետներով համալրումը, </w:t>
      </w:r>
    </w:p>
    <w:p w14:paraId="73BB5306"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զբաղվածության պետական ծրագրերում Լեռնային Ղարաբաղից բռնի տեղահանված անձանց ներառականության ապահովումը և ՀՀ աշխատաշուկայում նրանց ինտեգրման հնարավորությունների մեծացումը,</w:t>
      </w:r>
    </w:p>
    <w:p w14:paraId="746D05A9"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ՀՀ աշխատանքային օրենսդրության կարգավորումների շարունակական բարելավումը,</w:t>
      </w:r>
    </w:p>
    <w:p w14:paraId="157F2799"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Հայաստանի Հանրապետությունում աշխատանքային պայմանագրերի հաշվառման և կնքման թվային համակարգի ներդրումը, որը կնպաստի աշխատանքային իրավունքների պաշտպանության մակարդակի բարելավմանը, </w:t>
      </w:r>
    </w:p>
    <w:p w14:paraId="4A1ECE28" w14:textId="77777777" w:rsidR="005716DB" w:rsidRPr="00F46689" w:rsidRDefault="005716DB"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բոլոր մակարդակներում սոցիալական գործընկերության կարգավորման և խորացման նպատակով կվերանայվեն գործատուների և արհեստակցական միությունների գործունեության օրենսդրական կարգերը, </w:t>
      </w:r>
    </w:p>
    <w:p w14:paraId="1AD7A981" w14:textId="77777777" w:rsidR="005716DB" w:rsidRPr="00060AD1" w:rsidRDefault="005716DB" w:rsidP="00835DBE">
      <w:pPr>
        <w:pStyle w:val="ListParagraph"/>
        <w:numPr>
          <w:ilvl w:val="0"/>
          <w:numId w:val="55"/>
        </w:numPr>
        <w:tabs>
          <w:tab w:val="left" w:pos="284"/>
        </w:tabs>
        <w:suppressAutoHyphens/>
        <w:ind w:left="0" w:firstLine="0"/>
        <w:rPr>
          <w:rFonts w:cs="Sylfaen"/>
          <w:b w:val="0"/>
          <w:szCs w:val="22"/>
          <w:lang w:val="hy-AM" w:eastAsia="en-US"/>
        </w:rPr>
      </w:pPr>
      <w:r w:rsidRPr="00F46689">
        <w:rPr>
          <w:rFonts w:eastAsia="Calibri" w:cs="Arial"/>
          <w:b w:val="0"/>
          <w:bCs/>
          <w:kern w:val="2"/>
          <w:szCs w:val="22"/>
          <w:lang w:val="hy-AM"/>
          <w14:ligatures w14:val="standardContextual"/>
        </w:rPr>
        <w:t>աշխատանքային իրավունքների պաշտպանության արտադատական մեխանիզմների ներդրումը, պետական հատվածի աշխատողների սոցիալական երաշխիքների</w:t>
      </w:r>
      <w:r w:rsidRPr="00060AD1">
        <w:rPr>
          <w:rFonts w:cs="Sylfaen"/>
          <w:b w:val="0"/>
          <w:szCs w:val="22"/>
          <w:lang w:val="hy-AM" w:eastAsia="en-US"/>
        </w:rPr>
        <w:t xml:space="preserve"> ընդլայնումը։</w:t>
      </w:r>
    </w:p>
    <w:p w14:paraId="5E8E6C97" w14:textId="77777777" w:rsidR="005716DB" w:rsidRPr="00060AD1" w:rsidRDefault="005716DB" w:rsidP="00835DBE">
      <w:pPr>
        <w:tabs>
          <w:tab w:val="num" w:pos="0"/>
        </w:tabs>
        <w:rPr>
          <w:rFonts w:cs="Sylfaen"/>
          <w:b w:val="0"/>
          <w:szCs w:val="22"/>
          <w:lang w:val="hy-AM" w:eastAsia="en-US"/>
        </w:rPr>
      </w:pPr>
      <w:r w:rsidRPr="00060AD1">
        <w:rPr>
          <w:rFonts w:cs="Sylfaen"/>
          <w:b w:val="0"/>
          <w:szCs w:val="22"/>
          <w:lang w:val="hy-AM" w:eastAsia="en-US"/>
        </w:rPr>
        <w:t xml:space="preserve">2024 թվականին զբաղվածության ոլորտում կիրականացվեն աշխատանքային փորձի ձեռքբերման, մասնագիտական, ինքնազբաղվածության խթանման և այլ միջոցառումներ գործազուրկների, այդ թվում՝ պատերազմի մասնակիցների, ժամկետային պարտադիր ծառայությունից զորացրված գործազուրկ անձանց, ինչպես նաև Լեռնային Ղարաբաղից բռնի տեղահանված անձանց համար։ Նպաստառու ընտանիքների գործազուրկների և կյանքի դժվարին իրավիճակում հայտնված այլ անձանց համար կիրականացվեն նաև ժամանակավոր զբաղվածության ապահովմանն ուղղված, ինչպես նաև Կառավարության ծրագրից և զբաղվածության ներկայումս մշակվող ռազմավարությունից բխող այլ միջոցառումներ։ </w:t>
      </w:r>
    </w:p>
    <w:p w14:paraId="18E8B593" w14:textId="77777777" w:rsidR="005716DB" w:rsidRPr="00C0193D" w:rsidRDefault="005716DB" w:rsidP="00835DBE">
      <w:pPr>
        <w:tabs>
          <w:tab w:val="num" w:pos="0"/>
        </w:tabs>
        <w:rPr>
          <w:rFonts w:eastAsia="Calibri"/>
          <w:b w:val="0"/>
          <w:noProof/>
          <w:szCs w:val="22"/>
          <w:lang w:val="hy-AM"/>
        </w:rPr>
      </w:pPr>
      <w:r w:rsidRPr="00060AD1">
        <w:rPr>
          <w:rFonts w:cs="Sylfaen"/>
          <w:b w:val="0"/>
          <w:szCs w:val="22"/>
          <w:lang w:val="hy-AM" w:eastAsia="en-US"/>
        </w:rPr>
        <w:t>Երեխաների հիմնահարցերի բնագավառում պետական քաղաքականությունը ուղղված կլինի</w:t>
      </w:r>
      <w:r w:rsidRPr="00C0193D">
        <w:rPr>
          <w:rFonts w:eastAsia="Calibri"/>
          <w:b w:val="0"/>
          <w:noProof/>
          <w:szCs w:val="22"/>
          <w:lang w:val="hy-AM"/>
        </w:rPr>
        <w:t xml:space="preserve"> կյանքի դժվարին իրավիճակում հայտնված երեխաների և նրանց ընտանիքների սոցիալական պաշտպանությանը, հաստատություններում նրանց խնամքի, դաստիարակության, ուսման և ֆիզիկական զարգացման համար նպաստավոր պայմանների ստեղծմանը։ </w:t>
      </w:r>
    </w:p>
    <w:p w14:paraId="328A7E47" w14:textId="77777777" w:rsidR="005716DB" w:rsidRDefault="005716DB" w:rsidP="00835DBE">
      <w:pPr>
        <w:tabs>
          <w:tab w:val="num" w:pos="0"/>
        </w:tabs>
        <w:rPr>
          <w:rFonts w:eastAsia="Calibri"/>
          <w:b w:val="0"/>
          <w:noProof/>
          <w:szCs w:val="22"/>
          <w:lang w:val="hy-AM"/>
        </w:rPr>
      </w:pPr>
      <w:r w:rsidRPr="00AC2558">
        <w:rPr>
          <w:rFonts w:cs="Browallia New"/>
          <w:b w:val="0"/>
          <w:bCs/>
          <w:szCs w:val="22"/>
          <w:lang w:val="hy-AM"/>
        </w:rPr>
        <w:t xml:space="preserve">Մարդկանց թրաֆիքինգի և կանանց հիմնահարցերի բնագավառում </w:t>
      </w:r>
      <w:r w:rsidRPr="00AC2558">
        <w:rPr>
          <w:rFonts w:eastAsia="Calibri"/>
          <w:b w:val="0"/>
          <w:noProof/>
          <w:szCs w:val="22"/>
          <w:lang w:val="hy-AM"/>
        </w:rPr>
        <w:t>2024 թվականին կշարունակվեն ընտանիքում բռնության ենթարկված անձանց օրենսդրությամբ սահմանված ծառայությունների տրամադրումը՝ մասնավորապես կտրամադրվի սոցիալ-հոգեբանական վերականգնողական ծառայություններ, իրավաբանական խորհրդատվություն, ապահով բնակելի տարած</w:t>
      </w:r>
      <w:r>
        <w:rPr>
          <w:rFonts w:eastAsia="Calibri"/>
          <w:b w:val="0"/>
          <w:noProof/>
          <w:szCs w:val="22"/>
          <w:lang w:val="hy-AM"/>
        </w:rPr>
        <w:t>քի և</w:t>
      </w:r>
      <w:r w:rsidRPr="00AC2558">
        <w:rPr>
          <w:rFonts w:eastAsia="Calibri"/>
          <w:b w:val="0"/>
          <w:noProof/>
          <w:szCs w:val="22"/>
          <w:lang w:val="hy-AM"/>
        </w:rPr>
        <w:t xml:space="preserve"> ապաստարանի տրամադրում, բնաիրային օգնություն, սոցիալական և հոգեբանական աջակցություն, բժշկական </w:t>
      </w:r>
      <w:r w:rsidRPr="00AC2558">
        <w:rPr>
          <w:rFonts w:eastAsia="Calibri"/>
          <w:b w:val="0"/>
          <w:noProof/>
          <w:szCs w:val="22"/>
          <w:lang w:val="hy-AM"/>
        </w:rPr>
        <w:lastRenderedPageBreak/>
        <w:t>օգնություն և այլ կարիքի վրա հիմնված աջակցություն: Մատուցվող ծառայությունները կներառեն նաև կանանց տնտեսական հզորացմանն ու սեփական կյանքի ինքնուրույն կազմակերպմանն ուղղված ծառայության տեսակներ: սոցիալ-հոգեբանական աջակցության, իրավաբանական խորհրդատվության տրամադրումը:</w:t>
      </w:r>
    </w:p>
    <w:p w14:paraId="061B3447" w14:textId="77777777" w:rsidR="005716DB" w:rsidRPr="00C0193D" w:rsidRDefault="005716DB" w:rsidP="00835DBE">
      <w:pPr>
        <w:tabs>
          <w:tab w:val="num" w:pos="0"/>
        </w:tabs>
        <w:rPr>
          <w:rFonts w:eastAsia="Calibri"/>
          <w:b w:val="0"/>
          <w:noProof/>
          <w:szCs w:val="22"/>
          <w:lang w:val="hy-AM"/>
        </w:rPr>
      </w:pPr>
      <w:r w:rsidRPr="008A178C">
        <w:rPr>
          <w:rFonts w:eastAsia="Calibri"/>
          <w:b w:val="0"/>
          <w:noProof/>
          <w:szCs w:val="22"/>
          <w:lang w:val="hy-AM"/>
        </w:rPr>
        <w:t xml:space="preserve">Հաշմանդամություն ունեցող անձանց հիմնահարցերի բնագավառում </w:t>
      </w:r>
      <w:r w:rsidRPr="00C0193D">
        <w:rPr>
          <w:rFonts w:eastAsia="Calibri"/>
          <w:b w:val="0"/>
          <w:noProof/>
          <w:szCs w:val="22"/>
          <w:lang w:val="hy-AM"/>
        </w:rPr>
        <w:t>աշխատանքները ուղղված են հաշմանդամություն ունեցող անձանց իրավունքների պաշտպանությանը և հավասար հնարավորությունների ապահովմանը` բնագավառի օրենսդրության կատարելագործման և հաշմանդամություն ունեցող անձի գնահատված կարիքին համարժեք ծառայությունների մատուցման միջոցով:</w:t>
      </w:r>
    </w:p>
    <w:p w14:paraId="5CB12A09" w14:textId="0713DC6B" w:rsidR="005716DB" w:rsidRDefault="005716DB" w:rsidP="00835DBE">
      <w:pPr>
        <w:tabs>
          <w:tab w:val="num" w:pos="0"/>
        </w:tabs>
        <w:rPr>
          <w:rFonts w:eastAsia="Calibri"/>
          <w:b w:val="0"/>
          <w:noProof/>
          <w:szCs w:val="22"/>
          <w:lang w:val="hy-AM"/>
        </w:rPr>
      </w:pPr>
      <w:r w:rsidRPr="00C0193D">
        <w:rPr>
          <w:rFonts w:eastAsia="Calibri"/>
          <w:b w:val="0"/>
          <w:noProof/>
          <w:szCs w:val="22"/>
          <w:lang w:val="hy-AM"/>
        </w:rPr>
        <w:t>2023 թվականի փետրվարից ներդրվել է անձի ֆունկցիոնալության գնահատման նոր համակարգը հաշմանդամության համար առաջնակի դիմողների համար, իսկ 2024 թվականից այն կգործարկվի նաև հաշմանդամության համար կրկնակի դիմողների դեպքում։ Վեր հանված դիսագրեգացված տեղեկատվության հիման վրա պետությունը կկարողանա տարբերակված, անհատականացված ծառայություններ մատուցել հաշմանդամություն ունեցող անձանց՝ հաշվի առնելով այս կամ այն ոլորտում քաղաքացու կարողություններն ու կատարողականը, ինչպես նաև 2023 թվականին իրականացրած՝ հաշմանդամությամբ պայմանավորված ծախսերի գնահատման գործընթացի արդյու</w:t>
      </w:r>
      <w:r w:rsidR="008810FC">
        <w:rPr>
          <w:rFonts w:eastAsia="Calibri"/>
          <w:b w:val="0"/>
          <w:noProof/>
          <w:szCs w:val="22"/>
          <w:lang w:val="hy-AM"/>
        </w:rPr>
        <w:t>ն</w:t>
      </w:r>
      <w:r w:rsidRPr="00C0193D">
        <w:rPr>
          <w:rFonts w:eastAsia="Calibri"/>
          <w:b w:val="0"/>
          <w:noProof/>
          <w:szCs w:val="22"/>
          <w:lang w:val="hy-AM"/>
        </w:rPr>
        <w:t>քները։</w:t>
      </w:r>
    </w:p>
    <w:p w14:paraId="13A6757C" w14:textId="0784732E" w:rsidR="005716DB" w:rsidRPr="00216A00" w:rsidRDefault="005716DB" w:rsidP="00835DBE">
      <w:pPr>
        <w:tabs>
          <w:tab w:val="num" w:pos="0"/>
        </w:tabs>
        <w:rPr>
          <w:rFonts w:eastAsia="Calibri"/>
          <w:b w:val="0"/>
          <w:noProof/>
          <w:szCs w:val="22"/>
          <w:lang w:val="hy-AM"/>
        </w:rPr>
      </w:pPr>
      <w:r w:rsidRPr="00216A00">
        <w:rPr>
          <w:rFonts w:eastAsia="Calibri"/>
          <w:b w:val="0"/>
          <w:noProof/>
          <w:szCs w:val="22"/>
          <w:lang w:val="hy-AM"/>
        </w:rPr>
        <w:t>2024 թվականին պետական նպատակային ծրագրերի շրջանակներում պետական հավաստագրերի հիման վրա շահառուներին (այդ թվում ԼՂ բնակիչներին) տրամադրվելու են աջակցող միջոցներ (վերին և ստորին վերջույթների ֆունկցիոնալ և սովորական պրոթեզներ, օրթեզներ, քայլակներ, անվասայլակներ, լսողական սարքեր և այլն) և իրականացվելու են  դրանց վերանորոգում։ Միաժամանակ, շարունակվելու է աջակցությունը պետության կողմից հավաստագրված ՀԿ-ներին` ցերեկային կենտրոններում և խմբային փոքր տներում հաշմանդամություն ունեցող անձանց խնամք և սոցիալ-վերականգնողական ծառայություններ մատուցելու նպատակով:</w:t>
      </w:r>
    </w:p>
    <w:p w14:paraId="73F5E432" w14:textId="77777777" w:rsidR="005716DB" w:rsidRPr="00216A00" w:rsidRDefault="005716DB" w:rsidP="00835DBE">
      <w:pPr>
        <w:tabs>
          <w:tab w:val="num" w:pos="0"/>
        </w:tabs>
        <w:rPr>
          <w:rFonts w:eastAsia="Calibri"/>
          <w:b w:val="0"/>
          <w:noProof/>
          <w:szCs w:val="22"/>
          <w:lang w:val="hy-AM"/>
        </w:rPr>
      </w:pPr>
      <w:r w:rsidRPr="00B56D35">
        <w:rPr>
          <w:rFonts w:eastAsia="Calibri"/>
          <w:b w:val="0"/>
          <w:noProof/>
          <w:szCs w:val="22"/>
          <w:lang w:val="hy-AM"/>
        </w:rPr>
        <w:t>Հատկանշական է, որ ՀՀ կառավարության 08.06.2023 N 943-Լ որոշմամբ ընդունվել է Հաշմանդամություն ունեցող անձանց սոցիալական ներառման 2023-2027 թթ. համալիր ծրագիրը և ծրագրի իրականացումն ապահովող միջոցառումների ցանկը, որով սահմանվում են ոլորտի առաջիկա 5 տարիների առաջնահերթությունները և միջոցառումները, որոնք ուղղված են հաշմանդամություն ունեցող անձանց կյանքի որակի բարելավմանը, հաշմանդամության հիմքով խտրականության բացառմանը, բոլոր ոլորտներում նրանց լիարժեք և արդյունավետ մասնակցության ապահովմանը։</w:t>
      </w:r>
      <w:r w:rsidRPr="00216A00">
        <w:rPr>
          <w:rFonts w:eastAsia="Calibri"/>
          <w:b w:val="0"/>
          <w:noProof/>
          <w:szCs w:val="22"/>
          <w:lang w:val="hy-AM"/>
        </w:rPr>
        <w:t xml:space="preserve"> Այդ համատեքտում 2024 թվականից ներդրվելու է հաշմանդամություն ունեցող անձանց անկախ կյանքի ապահովմանն ուղղված անձնական օգնականի ծառայությունը՝ 189 շահառուի համար։</w:t>
      </w:r>
    </w:p>
    <w:p w14:paraId="3B403D50" w14:textId="77777777" w:rsidR="005716DB" w:rsidRPr="00C0193D" w:rsidRDefault="005716DB" w:rsidP="00835DBE">
      <w:pPr>
        <w:tabs>
          <w:tab w:val="num" w:pos="0"/>
        </w:tabs>
        <w:rPr>
          <w:rFonts w:eastAsia="Calibri"/>
          <w:b w:val="0"/>
          <w:noProof/>
          <w:szCs w:val="22"/>
          <w:lang w:val="hy-AM"/>
        </w:rPr>
      </w:pPr>
      <w:r w:rsidRPr="00216A00">
        <w:rPr>
          <w:rFonts w:eastAsia="Calibri"/>
          <w:b w:val="0"/>
          <w:noProof/>
          <w:szCs w:val="22"/>
          <w:lang w:val="hy-AM"/>
        </w:rPr>
        <w:t xml:space="preserve">Տարեցների հիմնահարցերի բնագավառում </w:t>
      </w:r>
      <w:r w:rsidRPr="00C0193D">
        <w:rPr>
          <w:rFonts w:eastAsia="Calibri"/>
          <w:b w:val="0"/>
          <w:noProof/>
          <w:szCs w:val="22"/>
          <w:lang w:val="hy-AM"/>
        </w:rPr>
        <w:t xml:space="preserve">2024 թվականին կշարունակվեն խնամքի ծառայությունների տրամադրումը՝ խրախուսելով մրցութային եղանակով </w:t>
      </w:r>
      <w:r w:rsidRPr="00C0193D">
        <w:rPr>
          <w:rFonts w:eastAsia="Calibri"/>
          <w:b w:val="0"/>
          <w:noProof/>
          <w:szCs w:val="22"/>
          <w:lang w:val="hy-AM"/>
        </w:rPr>
        <w:lastRenderedPageBreak/>
        <w:t xml:space="preserve">ծառայությունների պատվիրակումը ՀԿ-ներին, կբարելավվեն շահառուներին մատուցվող ծառայությունների որակը, կընդլայնվեն տարեցներին մատուցվող համայնքահեն ծառայությունները՝ ներգրավելով համայնքի ներուժը, և այս </w:t>
      </w:r>
      <w:r>
        <w:rPr>
          <w:rFonts w:eastAsia="Calibri"/>
          <w:b w:val="0"/>
          <w:noProof/>
          <w:szCs w:val="22"/>
          <w:lang w:val="hy-AM"/>
        </w:rPr>
        <w:t>ամեն</w:t>
      </w:r>
      <w:r w:rsidRPr="006B6E50">
        <w:rPr>
          <w:rFonts w:eastAsia="Calibri"/>
          <w:b w:val="0"/>
          <w:noProof/>
          <w:szCs w:val="22"/>
          <w:lang w:val="hy-AM"/>
        </w:rPr>
        <w:t>ը</w:t>
      </w:r>
      <w:r w:rsidRPr="00C0193D">
        <w:rPr>
          <w:rFonts w:eastAsia="Calibri"/>
          <w:b w:val="0"/>
          <w:noProof/>
          <w:szCs w:val="22"/>
          <w:lang w:val="hy-AM"/>
        </w:rPr>
        <w:t xml:space="preserve"> կիրականացվի՝ զուգորդված իրավական դաշտի կատարելագործման հետ:</w:t>
      </w:r>
    </w:p>
    <w:p w14:paraId="2A7CF650" w14:textId="77777777" w:rsidR="005716DB" w:rsidRDefault="005716DB" w:rsidP="00835DBE">
      <w:pPr>
        <w:tabs>
          <w:tab w:val="num" w:pos="0"/>
        </w:tabs>
        <w:rPr>
          <w:rFonts w:eastAsia="Calibri"/>
          <w:b w:val="0"/>
          <w:noProof/>
          <w:szCs w:val="22"/>
          <w:lang w:val="hy-AM"/>
        </w:rPr>
      </w:pPr>
      <w:r w:rsidRPr="008A178C">
        <w:rPr>
          <w:rFonts w:eastAsia="Calibri"/>
          <w:b w:val="0"/>
          <w:noProof/>
          <w:szCs w:val="22"/>
          <w:lang w:val="hy-AM"/>
        </w:rPr>
        <w:t>Կշարունակվի նախկին ԽՍՀՄ խնայբանկի ՀԽՍՀ հանրապետական բանկում մինչև 1993 թվականի հունիսի 10-ը ներդրված դրամական ավանդների փոխհատուցումը, որի շրջանակում</w:t>
      </w:r>
      <w:r>
        <w:rPr>
          <w:rFonts w:eastAsia="Calibri"/>
          <w:b w:val="0"/>
          <w:noProof/>
          <w:szCs w:val="22"/>
          <w:lang w:val="hy-AM"/>
        </w:rPr>
        <w:t xml:space="preserve"> </w:t>
      </w:r>
      <w:r w:rsidRPr="00563849">
        <w:rPr>
          <w:rFonts w:eastAsia="Calibri"/>
          <w:b w:val="0"/>
          <w:noProof/>
          <w:szCs w:val="22"/>
          <w:lang w:val="hy-AM"/>
        </w:rPr>
        <w:t>փոխհատուցում ստանալու իրավունք կտրվի նաև մինչև 1941 թվականի հուլիսի 1-ը ծնված ավանդատուներին:</w:t>
      </w:r>
    </w:p>
    <w:p w14:paraId="17022325" w14:textId="77777777" w:rsidR="005716DB" w:rsidRDefault="005716DB" w:rsidP="00835DBE">
      <w:pPr>
        <w:tabs>
          <w:tab w:val="num" w:pos="0"/>
        </w:tabs>
        <w:rPr>
          <w:rFonts w:eastAsia="Calibri"/>
          <w:b w:val="0"/>
          <w:noProof/>
          <w:szCs w:val="22"/>
          <w:lang w:val="hy-AM"/>
        </w:rPr>
      </w:pPr>
      <w:r w:rsidRPr="00456342">
        <w:rPr>
          <w:rFonts w:eastAsia="Calibri"/>
          <w:b w:val="0"/>
          <w:noProof/>
          <w:szCs w:val="22"/>
          <w:lang w:val="hy-AM"/>
        </w:rPr>
        <w:t xml:space="preserve">Կիրականացվի նաև </w:t>
      </w:r>
      <w:r>
        <w:rPr>
          <w:rFonts w:eastAsia="Calibri"/>
          <w:b w:val="0"/>
          <w:noProof/>
          <w:szCs w:val="22"/>
          <w:lang w:val="hy-AM"/>
        </w:rPr>
        <w:t>ճ</w:t>
      </w:r>
      <w:r w:rsidRPr="00456342">
        <w:rPr>
          <w:rFonts w:eastAsia="Calibri"/>
          <w:b w:val="0"/>
          <w:noProof/>
          <w:szCs w:val="22"/>
          <w:lang w:val="hy-AM"/>
        </w:rPr>
        <w:t>գնաժամերի հակազդման և արտակարգ իրավիճակների հետևանքների նվազեցման և վերացման նպատակով առանձին սոցիալական խմբերին տրվող սոցիալական աջակցություն</w:t>
      </w:r>
      <w:r>
        <w:rPr>
          <w:rFonts w:eastAsia="Calibri"/>
          <w:b w:val="0"/>
          <w:noProof/>
          <w:szCs w:val="22"/>
          <w:lang w:val="hy-AM"/>
        </w:rPr>
        <w:t>՝</w:t>
      </w:r>
      <w:r w:rsidRPr="00456342">
        <w:rPr>
          <w:rFonts w:eastAsia="Calibri"/>
          <w:b w:val="0"/>
          <w:noProof/>
          <w:szCs w:val="22"/>
          <w:lang w:val="hy-AM"/>
        </w:rPr>
        <w:t xml:space="preserve"> </w:t>
      </w:r>
      <w:r>
        <w:rPr>
          <w:rFonts w:eastAsia="Calibri"/>
          <w:b w:val="0"/>
          <w:noProof/>
          <w:szCs w:val="22"/>
          <w:lang w:val="hy-AM"/>
        </w:rPr>
        <w:t>որպես շահառու նախատեսելով</w:t>
      </w:r>
      <w:r w:rsidRPr="00456342">
        <w:rPr>
          <w:rFonts w:eastAsia="Calibri"/>
          <w:b w:val="0"/>
          <w:noProof/>
          <w:szCs w:val="22"/>
          <w:lang w:val="hy-AM"/>
        </w:rPr>
        <w:t xml:space="preserve"> </w:t>
      </w:r>
      <w:r>
        <w:rPr>
          <w:rFonts w:eastAsia="Calibri"/>
          <w:b w:val="0"/>
          <w:noProof/>
          <w:szCs w:val="22"/>
          <w:lang w:val="hy-AM"/>
        </w:rPr>
        <w:t>ԼՂ-</w:t>
      </w:r>
      <w:r w:rsidRPr="00456342">
        <w:rPr>
          <w:rFonts w:eastAsia="Calibri"/>
          <w:b w:val="0"/>
          <w:noProof/>
          <w:szCs w:val="22"/>
          <w:lang w:val="hy-AM"/>
        </w:rPr>
        <w:t xml:space="preserve">ից </w:t>
      </w:r>
      <w:r>
        <w:rPr>
          <w:rFonts w:eastAsia="Calibri"/>
          <w:b w:val="0"/>
          <w:noProof/>
          <w:szCs w:val="22"/>
          <w:lang w:val="hy-AM"/>
        </w:rPr>
        <w:t xml:space="preserve">բռնի </w:t>
      </w:r>
      <w:r w:rsidRPr="00456342">
        <w:rPr>
          <w:rFonts w:eastAsia="Calibri"/>
          <w:b w:val="0"/>
          <w:noProof/>
          <w:szCs w:val="22"/>
          <w:lang w:val="hy-AM"/>
        </w:rPr>
        <w:t>տեղահանված բնակչությանը։</w:t>
      </w:r>
      <w:r>
        <w:rPr>
          <w:rFonts w:eastAsia="Calibri"/>
          <w:b w:val="0"/>
          <w:noProof/>
          <w:szCs w:val="22"/>
          <w:lang w:val="hy-AM"/>
        </w:rPr>
        <w:t xml:space="preserve"> </w:t>
      </w:r>
      <w:r w:rsidRPr="003010CB">
        <w:rPr>
          <w:rFonts w:eastAsia="Calibri"/>
          <w:b w:val="0"/>
          <w:noProof/>
          <w:szCs w:val="22"/>
          <w:lang w:val="hy-AM"/>
        </w:rPr>
        <w:t xml:space="preserve">Լեռնային Ղարաբաղից բռնի տեղահանված մեր հայրենակիցների բնականոն կյանքի ինտեգրումն ապահովելու նպատակով 2024թ-ին նախատեսվում են իրականացնել մի շարք միջոցառումներ, որոնց միջոցով հնարավոր կլինի ապահովել կենսաթոշակների, նպաստների տրամադրումը և այլ սոցիալական ծրագրերի իրականացումը։ </w:t>
      </w:r>
    </w:p>
    <w:p w14:paraId="15F22F7B" w14:textId="085288CF" w:rsidR="005F226A" w:rsidRPr="00D24128" w:rsidRDefault="005F226A" w:rsidP="00835DBE">
      <w:pPr>
        <w:pStyle w:val="Heading1"/>
      </w:pPr>
      <w:bookmarkStart w:id="50" w:name="_Toc153184453"/>
      <w:r w:rsidRPr="00D24128">
        <w:t>Շրջակա միջավայր</w:t>
      </w:r>
      <w:bookmarkEnd w:id="48"/>
      <w:bookmarkEnd w:id="49"/>
      <w:bookmarkEnd w:id="50"/>
    </w:p>
    <w:p w14:paraId="0714431A" w14:textId="705A5747" w:rsidR="00532895" w:rsidRPr="00C0193D" w:rsidRDefault="00532895" w:rsidP="00835DBE">
      <w:pPr>
        <w:pStyle w:val="ListParagraph"/>
        <w:tabs>
          <w:tab w:val="left" w:pos="284"/>
          <w:tab w:val="left" w:pos="720"/>
        </w:tabs>
        <w:ind w:left="0"/>
        <w:rPr>
          <w:rFonts w:cs="Arial Armenian"/>
          <w:b w:val="0"/>
          <w:szCs w:val="22"/>
          <w:lang w:val="hy-AM"/>
        </w:rPr>
      </w:pPr>
      <w:bookmarkStart w:id="51" w:name="_Toc26174905"/>
      <w:bookmarkStart w:id="52" w:name="_Toc83567454"/>
      <w:r w:rsidRPr="00C0193D">
        <w:rPr>
          <w:rFonts w:cs="Arial Armenian"/>
          <w:b w:val="0"/>
          <w:szCs w:val="22"/>
          <w:lang w:val="hy-AM"/>
        </w:rPr>
        <w:t xml:space="preserve">ՀՀ շրջակա միջավայրի ոլորտի նպատակները և ծախսային գերակայությունները բխում են ՀՀ կառավարության` 2021 թվականի օգոստոսի 18-ի </w:t>
      </w:r>
      <w:r w:rsidR="00666E8A">
        <w:rPr>
          <w:rFonts w:cs="Arial Armenian"/>
          <w:b w:val="0"/>
          <w:szCs w:val="22"/>
          <w:lang w:val="hy-AM"/>
        </w:rPr>
        <w:t>N</w:t>
      </w:r>
      <w:r w:rsidRPr="00C0193D">
        <w:rPr>
          <w:rFonts w:cs="Arial Armenian"/>
          <w:b w:val="0"/>
          <w:szCs w:val="22"/>
          <w:lang w:val="hy-AM"/>
        </w:rPr>
        <w:t xml:space="preserve"> 1363-Ա որոշմամբ հաստատված ՀՀ կառավարության 2021-2026թթ. ծրագրի առաջնահերթություններից:</w:t>
      </w:r>
    </w:p>
    <w:p w14:paraId="2F5EDF83" w14:textId="77777777" w:rsidR="00532895" w:rsidRPr="00C0193D" w:rsidRDefault="00532895" w:rsidP="00835DBE">
      <w:pPr>
        <w:pStyle w:val="BodyText2"/>
        <w:spacing w:before="120" w:after="0"/>
        <w:rPr>
          <w:rFonts w:cs="Arial"/>
        </w:rPr>
      </w:pPr>
      <w:r w:rsidRPr="00C0193D">
        <w:t>Հիմնական ռազմավարության նպատակները և գերակա վերջնական արդյունքներն են՝</w:t>
      </w:r>
    </w:p>
    <w:p w14:paraId="65B17EBA"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C0193D">
        <w:rPr>
          <w:rFonts w:cs="Arial Armenian"/>
          <w:b w:val="0"/>
          <w:iCs/>
          <w:szCs w:val="22"/>
          <w:lang w:val="hy-AM"/>
        </w:rPr>
        <w:t xml:space="preserve"> </w:t>
      </w:r>
      <w:r w:rsidRPr="00F46689">
        <w:rPr>
          <w:rFonts w:eastAsia="Calibri" w:cs="Arial"/>
          <w:b w:val="0"/>
          <w:bCs/>
          <w:kern w:val="2"/>
          <w:szCs w:val="22"/>
          <w:lang w:val="hy-AM"/>
          <w14:ligatures w14:val="standardContextual"/>
        </w:rPr>
        <w:t>Շրջակա միջավայրի վերաբերյալ տեղեկատվության հրապարակում,</w:t>
      </w:r>
    </w:p>
    <w:p w14:paraId="6557931D"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 Ազդակիր համայնքներում բարելավված շրջակա միջավայր,</w:t>
      </w:r>
    </w:p>
    <w:p w14:paraId="6BB3AECD"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 Բնական պաշարների և կենսաբազմազանության վերարտադրության աճի ապահովում</w:t>
      </w:r>
    </w:p>
    <w:p w14:paraId="6745E48F"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 Կայուն կառավարվող անտառային տարածքների աճ,</w:t>
      </w:r>
    </w:p>
    <w:p w14:paraId="7F5E25FA" w14:textId="29633460" w:rsidR="00532895" w:rsidRPr="00C0193D" w:rsidRDefault="00532895" w:rsidP="00835DBE">
      <w:pPr>
        <w:pStyle w:val="ListParagraph"/>
        <w:numPr>
          <w:ilvl w:val="0"/>
          <w:numId w:val="55"/>
        </w:numPr>
        <w:tabs>
          <w:tab w:val="left" w:pos="284"/>
        </w:tabs>
        <w:suppressAutoHyphens/>
        <w:ind w:left="0" w:firstLine="0"/>
        <w:rPr>
          <w:rFonts w:cs="Arial Armenian"/>
          <w:b w:val="0"/>
          <w:iCs/>
          <w:szCs w:val="22"/>
          <w:lang w:val="hy-AM"/>
        </w:rPr>
      </w:pPr>
      <w:r w:rsidRPr="00F46689">
        <w:rPr>
          <w:rFonts w:eastAsia="Calibri" w:cs="Arial"/>
          <w:b w:val="0"/>
          <w:bCs/>
          <w:kern w:val="2"/>
          <w:szCs w:val="22"/>
          <w:lang w:val="hy-AM"/>
          <w14:ligatures w14:val="standardContextual"/>
        </w:rPr>
        <w:t xml:space="preserve"> Մշտական</w:t>
      </w:r>
      <w:r w:rsidRPr="00C0193D">
        <w:rPr>
          <w:rFonts w:cs="Arial Armenian"/>
          <w:b w:val="0"/>
          <w:iCs/>
          <w:szCs w:val="22"/>
          <w:lang w:val="hy-AM"/>
        </w:rPr>
        <w:t xml:space="preserve"> և ժամանակավոր ցուցահանդեսների միջոցով հավաքածուներ</w:t>
      </w:r>
      <w:r w:rsidR="003B469B">
        <w:rPr>
          <w:rFonts w:cs="Arial Armenian"/>
          <w:b w:val="0"/>
          <w:iCs/>
          <w:szCs w:val="22"/>
          <w:lang w:val="hy-AM"/>
        </w:rPr>
        <w:t>ի</w:t>
      </w:r>
      <w:r w:rsidRPr="00C0193D">
        <w:rPr>
          <w:rFonts w:cs="Arial Armenian"/>
          <w:b w:val="0"/>
          <w:iCs/>
          <w:szCs w:val="22"/>
          <w:lang w:val="hy-AM"/>
        </w:rPr>
        <w:t xml:space="preserve"> ներկայացում հանրությանը և բնապահպանական քարոզչության իրականացում։</w:t>
      </w:r>
    </w:p>
    <w:p w14:paraId="59E3D477" w14:textId="77777777" w:rsidR="00532895" w:rsidRPr="00C0193D" w:rsidRDefault="00532895" w:rsidP="00835DBE">
      <w:pPr>
        <w:pStyle w:val="ListParagraph"/>
        <w:tabs>
          <w:tab w:val="left" w:pos="284"/>
          <w:tab w:val="left" w:pos="720"/>
        </w:tabs>
        <w:ind w:left="0"/>
        <w:rPr>
          <w:rFonts w:cs="Arial Armenian"/>
          <w:b w:val="0"/>
          <w:szCs w:val="22"/>
          <w:lang w:val="hy-AM"/>
        </w:rPr>
      </w:pPr>
      <w:r w:rsidRPr="00C0193D">
        <w:rPr>
          <w:rFonts w:cs="Arial Armenian"/>
          <w:b w:val="0"/>
          <w:szCs w:val="22"/>
          <w:lang w:val="hy-AM"/>
        </w:rPr>
        <w:t>Շրջակա միջավայրի ոլորտի զարգացման կարևորագույն նպատակների իրագործման շրջանակներում 2024 թվականին  կիրականացվեն հետևյալ  ծրագրերն և միջոցառումները.</w:t>
      </w:r>
    </w:p>
    <w:p w14:paraId="145AC1C2" w14:textId="5B65646F"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3B469B">
        <w:rPr>
          <w:rFonts w:cs="Arial Armenian"/>
          <w:b w:val="0"/>
          <w:iCs/>
          <w:szCs w:val="22"/>
          <w:lang w:val="hy-AM"/>
        </w:rPr>
        <w:t>«</w:t>
      </w:r>
      <w:r w:rsidRPr="00F46689">
        <w:rPr>
          <w:rFonts w:eastAsia="Calibri" w:cs="Arial"/>
          <w:b w:val="0"/>
          <w:bCs/>
          <w:kern w:val="2"/>
          <w:szCs w:val="22"/>
          <w:lang w:val="hy-AM"/>
          <w14:ligatures w14:val="standardContextual"/>
        </w:rPr>
        <w:t>Բնապահպանական ծրագրերի իրականացում համայնքներում» ծրագրի շրջանակներում  իրականացվելու է «Բնապահպանական սուբվենցիաներ համայնքներին» միջոցառումը,</w:t>
      </w:r>
    </w:p>
    <w:p w14:paraId="78C7F1DC" w14:textId="4DDDB888"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«Բնական պաշարների և բնության հատուկ պահպանվող տարածքների կառավարում» ծրագրի շրջանակներում իրականացվելու է Սևանա լճի համալիր ծրագրով նախատեսված համապատասխան միջոցառումների կատարումը,</w:t>
      </w:r>
    </w:p>
    <w:p w14:paraId="29968294" w14:textId="74E634DD"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2024 թվականին բյուջետային հատկացումները նպատակաուղղվելու են հանրապետության բնության հատուկ պահպանվող տարածքների («Սևան», «Դիլիջան», «Արևիկ» և «Արփի լիճ» ազգային պարկեր, «Խոսրովի անտառ» և «Շիկահող» պետարգելոցներ, «Սոսիների պուրակ», «Խուստուփ», «Զանգեզուր» և «Զիկատար» պետական արգելավայրեր, դենդրոպարկեր և բնության հատուկ պահպանվող այլ տարածքներ) պահպանությանը, անտառային տարածքների խնամքի և բնապահպանական այլ աշխատանքների և գիտական ուսումնասիրությունների իրականացմանը, Սևանի իշխանի պաշարների վերականգնման և ձկնաբուծության զարգացման հիմնադրամի առողջացմանն ուղ</w:t>
      </w:r>
      <w:r w:rsidR="00022603" w:rsidRPr="00F46689">
        <w:rPr>
          <w:rFonts w:eastAsia="Calibri" w:cs="Arial"/>
          <w:b w:val="0"/>
          <w:bCs/>
          <w:kern w:val="2"/>
          <w:szCs w:val="22"/>
          <w:lang w:val="hy-AM"/>
          <w14:ligatures w14:val="standardContextual"/>
        </w:rPr>
        <w:t>ղ</w:t>
      </w:r>
      <w:r w:rsidRPr="00F46689">
        <w:rPr>
          <w:rFonts w:eastAsia="Calibri" w:cs="Arial"/>
          <w:b w:val="0"/>
          <w:bCs/>
          <w:kern w:val="2"/>
          <w:szCs w:val="22"/>
          <w:lang w:val="hy-AM"/>
          <w14:ligatures w14:val="standardContextual"/>
        </w:rPr>
        <w:t xml:space="preserve">ված աջակցությանը, ինչպես նաև Կովկասյան տարածաշրջանային կենտրոնի հայաստանյան մասնաճյուղի գրասենյակի վարձակալության ծառայությունների ֆինանսավորմանը: </w:t>
      </w:r>
    </w:p>
    <w:p w14:paraId="0E1C32C6"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«Շրջակա միջավայրի վրա ազդեցության գնահատում և մոնիթորինգ» ծրագրի  շրջանակներում իրականացվելու են «Շրջակա միջավայրի վրա ազդեցության գնահատում և փորձաքննություն», «Հիդրոօդերևութաբանության, շրջակա միջավայրի մոնիտորինգ և տեղեկատվության ապահովում», «Հիդրոօդերևութաբանության և մոնիթորինգի կենտրոն» ՊՈԱԿ-ի տեխնիկական միջոցների արդիականացում և նոր սարքավորումների ձեռք բերում» միջոցառումները:</w:t>
      </w:r>
    </w:p>
    <w:p w14:paraId="6AD48296" w14:textId="60EB8642"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«Անտառների կառավարում» ծրագրի շրջանակներում իրականացվելու են ներքոհիշյալ  միջոցառումները`</w:t>
      </w:r>
    </w:p>
    <w:p w14:paraId="75A29838"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 «Անտառպահպանական ծառայություններ»,</w:t>
      </w:r>
    </w:p>
    <w:p w14:paraId="79B6938D"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 «Անտառվերականգնման և անտառապատման աշխատանքներ»,</w:t>
      </w:r>
    </w:p>
    <w:p w14:paraId="6C47881F" w14:textId="77777777" w:rsidR="00532895" w:rsidRPr="00F46689" w:rsidRDefault="00532895"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«Անտառների վնասակար օրգանիզմների դեմ պայքար»։</w:t>
      </w:r>
    </w:p>
    <w:p w14:paraId="0F3E0FDD" w14:textId="48C84D99" w:rsidR="00532895" w:rsidRPr="003B469B" w:rsidRDefault="00532895" w:rsidP="00835DBE">
      <w:pPr>
        <w:pStyle w:val="ListParagraph"/>
        <w:numPr>
          <w:ilvl w:val="0"/>
          <w:numId w:val="55"/>
        </w:numPr>
        <w:tabs>
          <w:tab w:val="left" w:pos="284"/>
        </w:tabs>
        <w:suppressAutoHyphens/>
        <w:ind w:left="0" w:firstLine="0"/>
        <w:rPr>
          <w:rFonts w:cs="Arial Armenian"/>
          <w:b w:val="0"/>
          <w:szCs w:val="22"/>
          <w:lang w:val="hy-AM"/>
        </w:rPr>
      </w:pPr>
      <w:r w:rsidRPr="00F46689">
        <w:rPr>
          <w:rFonts w:eastAsia="Calibri" w:cs="Arial"/>
          <w:b w:val="0"/>
          <w:bCs/>
          <w:kern w:val="2"/>
          <w:szCs w:val="22"/>
          <w:lang w:val="hy-AM"/>
          <w14:ligatures w14:val="standardContextual"/>
        </w:rPr>
        <w:t>«Բնագիտական նմուշների պահպանություն և</w:t>
      </w:r>
      <w:r w:rsidRPr="003B469B">
        <w:rPr>
          <w:rFonts w:cs="Arial Armenian"/>
          <w:b w:val="0"/>
          <w:szCs w:val="22"/>
          <w:lang w:val="hy-AM"/>
        </w:rPr>
        <w:t xml:space="preserve"> ցուցադրություն» ծրագրի շրջանակներում իրականացվելու է «Բնագիտական նմուշների պահպանություն և ցուցադրություն» միջոցառումը:</w:t>
      </w:r>
    </w:p>
    <w:p w14:paraId="5AF35BD6" w14:textId="77777777" w:rsidR="005F226A" w:rsidRPr="00D24128" w:rsidRDefault="005F226A" w:rsidP="00835DBE">
      <w:pPr>
        <w:pStyle w:val="Heading1"/>
      </w:pPr>
      <w:bookmarkStart w:id="53" w:name="_Toc153184454"/>
      <w:r w:rsidRPr="00D24128">
        <w:t>Բյուջեների կազմման բնագավառ</w:t>
      </w:r>
      <w:bookmarkEnd w:id="51"/>
      <w:bookmarkEnd w:id="52"/>
      <w:bookmarkEnd w:id="53"/>
    </w:p>
    <w:p w14:paraId="685A7CBA" w14:textId="77777777" w:rsidR="00C02568" w:rsidRPr="00C0193D" w:rsidRDefault="00C02568" w:rsidP="00835DBE">
      <w:pPr>
        <w:tabs>
          <w:tab w:val="left" w:pos="-7020"/>
        </w:tabs>
        <w:rPr>
          <w:b w:val="0"/>
          <w:szCs w:val="22"/>
          <w:lang w:val="hy-AM"/>
        </w:rPr>
      </w:pPr>
      <w:bookmarkStart w:id="54" w:name="_Toc83567455"/>
      <w:bookmarkStart w:id="55" w:name="_Toc114734104"/>
      <w:bookmarkStart w:id="56" w:name="_Toc530663240"/>
      <w:bookmarkStart w:id="57" w:name="_Toc26174908"/>
      <w:r w:rsidRPr="00C0193D">
        <w:rPr>
          <w:b w:val="0"/>
          <w:szCs w:val="22"/>
          <w:lang w:val="hy-AM"/>
        </w:rPr>
        <w:t>Պետական կառավարման համակարգում պատասխանատվության համախմբման և ռեսուրսների դիմաց առավելագույն արդյունքի ստացման նպատակով պետական բյուջեի կազմման բնագավառում իրականացվում են մի շարք քայլեր, որոնց իրագործումը թույլ կտա ապահովել հանրային կառավարման թափանցիկության, հաշվետվողականության և հսկողության բարձրացումը, ինչպես նաև պետության կողմից մատուցվող ծառայությունների որակի բարելավումը՝ հանրային բարիքի արդյունավետ, օգտավետ և խնայողաբար հասցեական օգտագործման հաշվին: Մասնավորապես՝</w:t>
      </w:r>
    </w:p>
    <w:p w14:paraId="726FE0AE" w14:textId="77777777" w:rsidR="00C02568" w:rsidRPr="008854A8" w:rsidRDefault="00C02568" w:rsidP="00835DBE">
      <w:pPr>
        <w:numPr>
          <w:ilvl w:val="0"/>
          <w:numId w:val="28"/>
        </w:numPr>
        <w:tabs>
          <w:tab w:val="left" w:pos="567"/>
        </w:tabs>
        <w:ind w:left="0" w:firstLine="0"/>
        <w:rPr>
          <w:rFonts w:cs="Sylfaen"/>
          <w:b w:val="0"/>
          <w:szCs w:val="22"/>
          <w:lang w:val="hy-AM" w:eastAsia="en-US"/>
        </w:rPr>
      </w:pPr>
      <w:r w:rsidRPr="008854A8">
        <w:rPr>
          <w:rFonts w:cs="Sylfaen"/>
          <w:b w:val="0"/>
          <w:szCs w:val="22"/>
          <w:lang w:val="hy-AM" w:eastAsia="en-US"/>
        </w:rPr>
        <w:t xml:space="preserve">Ծրագրի արդյունավետության և օգտավետության բարձրացման նպատակով կներդրվի բյուջետային ծրագրերի գնահատման կանոնավոր գործընթաց, որի առաջին քայլի իրականացման նպատակով հաստատվել է ծրագրերի գնահատման հայեցակարգը, մշակվել է ծրագրերի գնահատման ուղեցույց, որով գնահատվել են փորձնական երեք </w:t>
      </w:r>
      <w:r w:rsidRPr="008854A8">
        <w:rPr>
          <w:rFonts w:cs="Sylfaen"/>
          <w:b w:val="0"/>
          <w:szCs w:val="22"/>
          <w:lang w:val="hy-AM" w:eastAsia="en-US"/>
        </w:rPr>
        <w:lastRenderedPageBreak/>
        <w:t>ծրագրեր։ 2024 թվականի ընթացքում աշխատանքներ կտարվեն նաև բյուջետային ծրագրերի գնահատման համակարգի գործնական ներդրման հետ կապված խնդիրների բացահայտման, այդ թվում նաև՝ ՀՀ ֆինանսների նախարարությունում գնահատման գործառույթների ներդրման հետ կապված կառուցվածքային, ֆունկցիոնալ, ինչպես նաև անձնակազմին ներկայացվող պահանջների հստակեցման ուղղությամբ:</w:t>
      </w:r>
    </w:p>
    <w:p w14:paraId="490B6FBE" w14:textId="77777777" w:rsidR="00C02568" w:rsidRPr="008854A8" w:rsidRDefault="00C02568" w:rsidP="00835DBE">
      <w:pPr>
        <w:numPr>
          <w:ilvl w:val="0"/>
          <w:numId w:val="28"/>
        </w:numPr>
        <w:tabs>
          <w:tab w:val="left" w:pos="567"/>
        </w:tabs>
        <w:ind w:left="0" w:firstLine="0"/>
        <w:rPr>
          <w:rFonts w:cs="Sylfaen"/>
          <w:b w:val="0"/>
          <w:szCs w:val="22"/>
          <w:lang w:val="hy-AM" w:eastAsia="en-US"/>
        </w:rPr>
      </w:pPr>
      <w:r w:rsidRPr="008854A8">
        <w:rPr>
          <w:rFonts w:cs="Sylfaen"/>
          <w:b w:val="0"/>
          <w:szCs w:val="22"/>
          <w:lang w:val="hy-AM" w:eastAsia="en-US"/>
        </w:rPr>
        <w:t>Համայնքներում մասնակցային գործընթացի ներդրման նպատակով ՀՀ 2024 թվականի բյուջետային գործընթացի շրջանակում նախատեսվել են լրացուցիչ սուբվենցիաներ՝ մասնակցային բյուջետավորմամբ ձևավորված ծրագրերի համար ըստ համայնքների սամանված սամանաչափերով։ Մասնակցային բյուջետավորման գործընթացների ներդրմամբ հնարավորություն կստեղծվի տեղական ինքնակառավարման մակարդակում ակտիվացնել բնակիչներին՝ հանդես գալու իրենց համար ամենակարևոր, հրատապ և արդի խնդիրների լուծման նախաձեռնություններով, կակտիվանա նրանց մասնակցությանը ծրագրերի առաջադրման, քննարկման, որոշումների կայացման գործընթացում։</w:t>
      </w:r>
    </w:p>
    <w:p w14:paraId="67BC3ECE" w14:textId="77777777" w:rsidR="00C123AE" w:rsidRPr="00D24128" w:rsidRDefault="00C123AE" w:rsidP="00835DBE">
      <w:pPr>
        <w:pStyle w:val="Heading1"/>
      </w:pPr>
      <w:bookmarkStart w:id="58" w:name="_Toc153184455"/>
      <w:r w:rsidRPr="00D24128">
        <w:t>Հաշվապահական հաշվառում և աուդիտորական գործունեություն</w:t>
      </w:r>
      <w:bookmarkEnd w:id="54"/>
      <w:bookmarkEnd w:id="55"/>
      <w:bookmarkEnd w:id="58"/>
    </w:p>
    <w:p w14:paraId="3BC2547B" w14:textId="77777777" w:rsidR="00E960A7" w:rsidRPr="00C0193D" w:rsidRDefault="00E960A7" w:rsidP="00835DBE">
      <w:pPr>
        <w:pStyle w:val="BodyText2"/>
        <w:spacing w:before="120" w:after="0"/>
      </w:pPr>
      <w:r w:rsidRPr="00C0193D">
        <w:t>Հայաստանի Հանրապետության կառավարության նախաձեռնած հաշվապահական հաշվառման և աուդիտորական գործունեության ոլորտներում իրականացվող բարեփոխումների շրջանակում՝ 2024 թվականի ընթացքում շարունակվելու են «Հաշվապահական հաշվառման մասին», «Աուդիտորական գործունեության մասին», «Հաշվապահական հաշվառման և աուդիտորական գործունեության կարգավորման և հանրային վերահսկողության մասին» ՀՀ օրենքներով նախատեսված կառուցակարգերի կատարելագործման աշխատանքները, մասնավորապես նախատեսվում է կատարելագործել աուդիտի որակի հանրային վերահսկողության մեխանիզմները, ինչը թույլ կտա բարձրացնել մատուցվող աուդիտորական ծառայությունների որակը և հանրային վստահությունը։</w:t>
      </w:r>
    </w:p>
    <w:p w14:paraId="292FBEE3" w14:textId="77777777" w:rsidR="00E960A7" w:rsidRPr="00C0193D" w:rsidRDefault="00E960A7" w:rsidP="00835DBE">
      <w:pPr>
        <w:pStyle w:val="BodyText2"/>
        <w:spacing w:before="120" w:after="0"/>
      </w:pPr>
      <w:r w:rsidRPr="00C0193D">
        <w:tab/>
        <w:t xml:space="preserve">Հանրային հատվածի հաշվապահական հաշվառման ոլորտում՝ 2024 թվականի ընթացքում շարունակվելու է հանրային հատվածի հաշվապահների որակավորման գործընթացը՝ հաշվապահի որակավորման քննությունների կազմակերպման միջոցով։ Միաժամանակ, շարունակվելու են հանրային հատվածի կազմակերպությունների կողմից ներկայացված հաշվապահական հաշվառման գրանցամատյանների և ֆինանսական հաշվետվությունների փաթեթների մշտադիտարկման աշխատանքները։  </w:t>
      </w:r>
    </w:p>
    <w:p w14:paraId="27BAD9E4" w14:textId="77777777" w:rsidR="005F226A" w:rsidRPr="00D24128" w:rsidRDefault="005F226A" w:rsidP="00835DBE">
      <w:pPr>
        <w:pStyle w:val="Heading1"/>
      </w:pPr>
      <w:bookmarkStart w:id="59" w:name="_Toc83567456"/>
      <w:bookmarkStart w:id="60" w:name="_Toc153184456"/>
      <w:r w:rsidRPr="00D24128">
        <w:t>Եկամուտների քաղաքականության ոլորտ</w:t>
      </w:r>
      <w:bookmarkEnd w:id="56"/>
      <w:bookmarkEnd w:id="57"/>
      <w:bookmarkEnd w:id="59"/>
      <w:bookmarkEnd w:id="60"/>
    </w:p>
    <w:p w14:paraId="4645C7FC" w14:textId="77777777" w:rsidR="0009272D" w:rsidRDefault="0009272D" w:rsidP="00835DBE">
      <w:pPr>
        <w:tabs>
          <w:tab w:val="left" w:pos="284"/>
        </w:tabs>
        <w:rPr>
          <w:rFonts w:eastAsia="Calibri"/>
          <w:b w:val="0"/>
          <w:szCs w:val="22"/>
          <w:lang w:val="hy-AM" w:eastAsia="en-US"/>
        </w:rPr>
      </w:pPr>
      <w:bookmarkStart w:id="61" w:name="_Toc83567457"/>
      <w:r>
        <w:rPr>
          <w:rFonts w:eastAsia="Calibri"/>
          <w:b w:val="0"/>
          <w:szCs w:val="22"/>
          <w:lang w:val="hy-AM" w:eastAsia="en-US"/>
        </w:rPr>
        <w:t xml:space="preserve">Եկամուտների քաղաքականության ոլորտում իրականացվելիք միջոցառումները բխելու են ՀՀ կառավարության ծրագրից : </w:t>
      </w:r>
    </w:p>
    <w:p w14:paraId="7E15E54F" w14:textId="77777777" w:rsidR="0009272D" w:rsidRDefault="0009272D" w:rsidP="00835DBE">
      <w:pPr>
        <w:tabs>
          <w:tab w:val="left" w:pos="284"/>
        </w:tabs>
        <w:rPr>
          <w:rFonts w:eastAsia="Calibri"/>
          <w:b w:val="0"/>
          <w:szCs w:val="22"/>
          <w:lang w:val="hy-AM" w:eastAsia="en-US"/>
        </w:rPr>
      </w:pPr>
      <w:r>
        <w:rPr>
          <w:rFonts w:eastAsia="Calibri"/>
          <w:b w:val="0"/>
          <w:szCs w:val="22"/>
          <w:lang w:val="hy-AM" w:eastAsia="en-US"/>
        </w:rPr>
        <w:t xml:space="preserve">Հարկային քաղաքականության ոլորտում Կառավարության կողմից առաջիկայում կատարվելիք աշխատանքներն ուղղված են լինելու՝ </w:t>
      </w:r>
    </w:p>
    <w:p w14:paraId="290B14F1" w14:textId="77777777" w:rsidR="0009272D" w:rsidRPr="00F46689" w:rsidRDefault="0009272D"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hարկման այլընտրանքային համակարգերի ընդհանուր բարեփոխմանը՝ նպատակ ունենալով ապահովել հարկ</w:t>
      </w:r>
      <w:r w:rsidRPr="00F46689">
        <w:rPr>
          <w:rFonts w:eastAsia="Calibri" w:cs="Arial"/>
          <w:b w:val="0"/>
          <w:bCs/>
          <w:kern w:val="2"/>
          <w:szCs w:val="22"/>
          <w:lang w:val="hy-AM"/>
          <w14:ligatures w14:val="standardContextual"/>
        </w:rPr>
        <w:softHyphen/>
        <w:t>ման տարբեր համակարգերի միջև հարկային բեռի արդարացի և հավասար բաշխում, ինչպես նաև նվազեցնել ստորին մակարդակում գտնվող հարկման համակարգերում արհեստա</w:t>
      </w:r>
      <w:r w:rsidRPr="00F46689">
        <w:rPr>
          <w:rFonts w:eastAsia="Calibri" w:cs="Arial"/>
          <w:b w:val="0"/>
          <w:bCs/>
          <w:kern w:val="2"/>
          <w:szCs w:val="22"/>
          <w:lang w:val="hy-AM"/>
          <w14:ligatures w14:val="standardContextual"/>
        </w:rPr>
        <w:softHyphen/>
        <w:t>կանորեն տեղավորվելու և այդ կերպ հարկերի վճարումից խուսափելու, հարկման տար</w:t>
      </w:r>
      <w:r w:rsidRPr="00F46689">
        <w:rPr>
          <w:rFonts w:eastAsia="Calibri" w:cs="Arial"/>
          <w:b w:val="0"/>
          <w:bCs/>
          <w:kern w:val="2"/>
          <w:szCs w:val="22"/>
          <w:lang w:val="hy-AM"/>
          <w14:ligatures w14:val="standardContextual"/>
        </w:rPr>
        <w:softHyphen/>
        <w:t>բեր համակարգերի միջև արհես</w:t>
      </w:r>
      <w:r w:rsidRPr="00F46689">
        <w:rPr>
          <w:rFonts w:eastAsia="Calibri" w:cs="Arial"/>
          <w:b w:val="0"/>
          <w:bCs/>
          <w:kern w:val="2"/>
          <w:szCs w:val="22"/>
          <w:lang w:val="hy-AM"/>
          <w14:ligatures w14:val="standardContextual"/>
        </w:rPr>
        <w:softHyphen/>
        <w:t>տա</w:t>
      </w:r>
      <w:r w:rsidRPr="00F46689">
        <w:rPr>
          <w:rFonts w:eastAsia="Calibri" w:cs="Arial"/>
          <w:b w:val="0"/>
          <w:bCs/>
          <w:kern w:val="2"/>
          <w:szCs w:val="22"/>
          <w:lang w:val="hy-AM"/>
          <w14:ligatures w14:val="standardContextual"/>
        </w:rPr>
        <w:softHyphen/>
        <w:t>կան գործարքների իրականացմամբ հարկային պլա</w:t>
      </w:r>
      <w:r w:rsidRPr="00F46689">
        <w:rPr>
          <w:rFonts w:eastAsia="Calibri" w:cs="Arial"/>
          <w:b w:val="0"/>
          <w:bCs/>
          <w:kern w:val="2"/>
          <w:szCs w:val="22"/>
          <w:lang w:val="hy-AM"/>
          <w14:ligatures w14:val="standardContextual"/>
        </w:rPr>
        <w:softHyphen/>
        <w:t>նավորման և գործարքների փաս</w:t>
      </w:r>
      <w:r w:rsidRPr="00F46689">
        <w:rPr>
          <w:rFonts w:eastAsia="Calibri" w:cs="Arial"/>
          <w:b w:val="0"/>
          <w:bCs/>
          <w:kern w:val="2"/>
          <w:szCs w:val="22"/>
          <w:lang w:val="hy-AM"/>
          <w14:ligatures w14:val="standardContextual"/>
        </w:rPr>
        <w:softHyphen/>
        <w:t>տա</w:t>
      </w:r>
      <w:r w:rsidRPr="00F46689">
        <w:rPr>
          <w:rFonts w:eastAsia="Calibri" w:cs="Arial"/>
          <w:b w:val="0"/>
          <w:bCs/>
          <w:kern w:val="2"/>
          <w:szCs w:val="22"/>
          <w:lang w:val="hy-AM"/>
          <w14:ligatures w14:val="standardContextual"/>
        </w:rPr>
        <w:softHyphen/>
        <w:t>թղ</w:t>
      </w:r>
      <w:r w:rsidRPr="00F46689">
        <w:rPr>
          <w:rFonts w:eastAsia="Calibri" w:cs="Arial"/>
          <w:b w:val="0"/>
          <w:bCs/>
          <w:kern w:val="2"/>
          <w:szCs w:val="22"/>
          <w:lang w:val="hy-AM"/>
          <w14:ligatures w14:val="standardContextual"/>
        </w:rPr>
        <w:softHyphen/>
        <w:t>թա</w:t>
      </w:r>
      <w:r w:rsidRPr="00F46689">
        <w:rPr>
          <w:rFonts w:eastAsia="Calibri" w:cs="Arial"/>
          <w:b w:val="0"/>
          <w:bCs/>
          <w:kern w:val="2"/>
          <w:szCs w:val="22"/>
          <w:lang w:val="hy-AM"/>
          <w14:ligatures w14:val="standardContextual"/>
        </w:rPr>
        <w:softHyphen/>
        <w:t>վորման շղթայի ամբողջականության խաթար</w:t>
      </w:r>
      <w:r w:rsidRPr="00F46689">
        <w:rPr>
          <w:rFonts w:eastAsia="Calibri" w:cs="Arial"/>
          <w:b w:val="0"/>
          <w:bCs/>
          <w:kern w:val="2"/>
          <w:szCs w:val="22"/>
          <w:lang w:val="hy-AM"/>
          <w14:ligatures w14:val="standardContextual"/>
        </w:rPr>
        <w:softHyphen/>
        <w:t>ման ռիսկերը,</w:t>
      </w:r>
    </w:p>
    <w:p w14:paraId="292F242A" w14:textId="77777777" w:rsidR="0009272D" w:rsidRPr="00F46689" w:rsidRDefault="0009272D"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միկրոձեռնարկատիրության հարկման համակարգի շրջանակում հարկվող գործունեության տեսակների շրջանակի կրճատմանը՝ նպատակ ունենալով ապահովել միկրոձեռնարկատիրության հարկման համակարգի առավել հասցեականությունը,</w:t>
      </w:r>
    </w:p>
    <w:p w14:paraId="108B2518" w14:textId="77777777" w:rsidR="0009272D" w:rsidRPr="00F46689" w:rsidRDefault="0009272D"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գույքի արժեքի հավելաճի տեսքով ստացվող պասիվ եկամուտների հարկման հնարավորությունների քննարկմանը, </w:t>
      </w:r>
    </w:p>
    <w:p w14:paraId="451AC849" w14:textId="77777777" w:rsidR="0009272D" w:rsidRPr="00F46689" w:rsidRDefault="0009272D"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բնապահպանական հարկով հարկման օբյեկտ համարվող առանձին ապրանքատեսակների մասով բնապահպանական հարկի դրույքաչափերի վերանայմանը,</w:t>
      </w:r>
    </w:p>
    <w:p w14:paraId="2F8265B2" w14:textId="77777777" w:rsidR="0009272D" w:rsidRPr="0009272D" w:rsidRDefault="0009272D" w:rsidP="00835DBE">
      <w:pPr>
        <w:pStyle w:val="ListParagraph"/>
        <w:numPr>
          <w:ilvl w:val="0"/>
          <w:numId w:val="55"/>
        </w:numPr>
        <w:tabs>
          <w:tab w:val="left" w:pos="284"/>
        </w:tabs>
        <w:suppressAutoHyphens/>
        <w:ind w:left="0" w:firstLine="0"/>
        <w:rPr>
          <w:rFonts w:eastAsia="Calibri"/>
          <w:b w:val="0"/>
          <w:szCs w:val="22"/>
          <w:lang w:val="hy-AM" w:eastAsia="en-US"/>
        </w:rPr>
      </w:pPr>
      <w:r w:rsidRPr="00F46689">
        <w:rPr>
          <w:rFonts w:eastAsia="Calibri" w:cs="Arial"/>
          <w:b w:val="0"/>
          <w:bCs/>
          <w:kern w:val="2"/>
          <w:szCs w:val="22"/>
          <w:lang w:val="hy-AM"/>
          <w14:ligatures w14:val="standardContextual"/>
        </w:rPr>
        <w:t>կրկնակի հարկումը բացառող համաձայնագրերի աշխարհագրության ընդլայնմանը՝ նպա</w:t>
      </w:r>
      <w:r w:rsidRPr="00F46689">
        <w:rPr>
          <w:rFonts w:eastAsia="Calibri" w:cs="Arial"/>
          <w:b w:val="0"/>
          <w:bCs/>
          <w:kern w:val="2"/>
          <w:szCs w:val="22"/>
          <w:lang w:val="hy-AM"/>
          <w14:ligatures w14:val="standardContextual"/>
        </w:rPr>
        <w:softHyphen/>
        <w:t>տակ</w:t>
      </w:r>
      <w:r w:rsidRPr="0009272D">
        <w:rPr>
          <w:rFonts w:eastAsia="Calibri"/>
          <w:b w:val="0"/>
          <w:szCs w:val="22"/>
          <w:lang w:val="hy-AM" w:eastAsia="en-US"/>
        </w:rPr>
        <w:t xml:space="preserve"> ունենալով նաև գործող համաձայնագրերը համապատասխանեցնել կրկնակի հարկումը բացա</w:t>
      </w:r>
      <w:r w:rsidRPr="0009272D">
        <w:rPr>
          <w:rFonts w:eastAsia="Calibri"/>
          <w:b w:val="0"/>
          <w:szCs w:val="22"/>
          <w:lang w:val="hy-AM" w:eastAsia="en-US"/>
        </w:rPr>
        <w:softHyphen/>
        <w:t>ռող համաձայնագրերին վերաբերող՝ միջազգայնորեն ընդունված արդի ստանդարտներին և մոտեցումներին:</w:t>
      </w:r>
    </w:p>
    <w:p w14:paraId="38843AF3" w14:textId="77777777" w:rsidR="005F226A" w:rsidRPr="00D24128" w:rsidRDefault="005F226A" w:rsidP="00835DBE">
      <w:pPr>
        <w:pStyle w:val="Heading1"/>
      </w:pPr>
      <w:bookmarkStart w:id="62" w:name="_Toc153184457"/>
      <w:r w:rsidRPr="00D24128">
        <w:t>Պետական եկամուտների վարչարարություն</w:t>
      </w:r>
      <w:bookmarkEnd w:id="61"/>
      <w:bookmarkEnd w:id="62"/>
    </w:p>
    <w:p w14:paraId="43D65B96" w14:textId="77777777" w:rsidR="007D4501" w:rsidRPr="00C0193D" w:rsidRDefault="007D4501" w:rsidP="00835DBE">
      <w:pPr>
        <w:tabs>
          <w:tab w:val="num" w:pos="0"/>
        </w:tabs>
        <w:rPr>
          <w:rFonts w:cs="Sylfaen"/>
          <w:b w:val="0"/>
          <w:szCs w:val="22"/>
          <w:lang w:val="hy-AM"/>
        </w:rPr>
      </w:pPr>
      <w:r w:rsidRPr="00C0193D">
        <w:rPr>
          <w:rFonts w:cs="Sylfaen"/>
          <w:b w:val="0"/>
          <w:szCs w:val="22"/>
          <w:lang w:val="hy-AM"/>
        </w:rPr>
        <w:t>Պետական եկամուտների վարչարարության ոլորտում իրականացվելիք միջոցառումները բխելու են ՀՀ կառավարության 2021 թվականի նոյեմբերի 18-ի N 1902-Ա որոշմամբ հաստատված Հայաստանի Հանրապետության կառավարության 2021-2026թթ. գործունեության միջոցառումների ծրագրից, ինչպես նաև ՀՀ կառավարության 2019 թվականի դեկտեմբերի 12-ի N 1830-Լ որոշմամբ հաստատված Հայաստանի Հանրապետության պետական եկամուտների կոմիտեի զարգացման և վարչարարության բարելավման ռազմավարական ծրագրից:</w:t>
      </w:r>
    </w:p>
    <w:p w14:paraId="11846522" w14:textId="77777777" w:rsidR="007D4501" w:rsidRPr="00C0193D" w:rsidRDefault="007D4501" w:rsidP="00835DBE">
      <w:pPr>
        <w:tabs>
          <w:tab w:val="num" w:pos="0"/>
        </w:tabs>
        <w:rPr>
          <w:rFonts w:cs="Sylfaen"/>
          <w:b w:val="0"/>
          <w:szCs w:val="22"/>
          <w:lang w:val="hy-AM"/>
        </w:rPr>
      </w:pPr>
      <w:r w:rsidRPr="00C0193D">
        <w:rPr>
          <w:rFonts w:cs="Sylfaen"/>
          <w:b w:val="0"/>
          <w:szCs w:val="22"/>
          <w:lang w:val="hy-AM"/>
        </w:rPr>
        <w:t>2024 թվականի ընթացքում պետական եկամուտների կոմիտեի վարչարարությունն ուղղված է լինելու հարկեր/ՀՆԱ ցուցանիշի բարելավմանը, հարկ վճարողներին որակյալ և արդի պահանջներին բավարարող ծառայությունների մատուցմանը, հարկ վճարող-ՊԵԿ երկխոսության ամրապնդմանը, որի շրջանակներում իրականացվող միջոցառումները միտված են լինելու հարկային և մաքսային ոլորտներին առնչվող հետևյալ հիմնական նպատակների իրագործմանը.</w:t>
      </w:r>
    </w:p>
    <w:p w14:paraId="1F288273" w14:textId="77777777" w:rsidR="007D4501" w:rsidRPr="00C0193D" w:rsidRDefault="007D4501" w:rsidP="00835DBE">
      <w:pPr>
        <w:numPr>
          <w:ilvl w:val="0"/>
          <w:numId w:val="26"/>
        </w:numPr>
        <w:tabs>
          <w:tab w:val="num" w:pos="0"/>
          <w:tab w:val="left" w:pos="284"/>
        </w:tabs>
        <w:ind w:left="0" w:firstLine="0"/>
        <w:rPr>
          <w:rFonts w:cs="Sylfaen"/>
          <w:b w:val="0"/>
          <w:szCs w:val="22"/>
          <w:lang w:val="hy-AM"/>
        </w:rPr>
      </w:pPr>
      <w:r w:rsidRPr="00C0193D">
        <w:rPr>
          <w:rFonts w:cs="Sylfaen"/>
          <w:b w:val="0"/>
          <w:szCs w:val="22"/>
          <w:lang w:val="hy-AM"/>
        </w:rPr>
        <w:t>Վարչարարության արդյունավետության բարձրացում, հարկային և մաքսային ռիսկերի կառավարման համակարգերի կատարելագործում և կարգապահության բարձրացում, որի շրջանակներում նախատեսվում է.</w:t>
      </w:r>
    </w:p>
    <w:p w14:paraId="702138FC"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բարելավել տնտեսավարող սուբյեկտների կողմից իրականացվող գործունեության օրինականության կամ գործարքների լիարժեք փաստաթղթավորման կարգապահությունը, կատարելագործել հսկողական գործիքակազմը,</w:t>
      </w:r>
    </w:p>
    <w:p w14:paraId="45941920"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բարելավել Եվրասիական տնտեսական միության անդամ պետություններից Հայաստանի Հանրապետություն ներմուծում իրականացնող հարկ վճարողների հարկային կարգապահությունն ու կատարելագործել հսկողական գործիքները,</w:t>
      </w:r>
    </w:p>
    <w:p w14:paraId="5D94CAF2"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հզորացնել հարկային կարգապահության ռիսկերի կառավարման համակարգի կարողությունները՝ ռիսկերի շրջանակի ընդլայնմամբ և դրանց բացահայտման վերլուծական մեխանիզմների ավտոմատացմամբ,</w:t>
      </w:r>
    </w:p>
    <w:p w14:paraId="303A9C74"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կատարելագործել ԵԱՏՄ շրջանակներում ապրանքների հետագծելիության ապահովման ներդրված մեխանիզմները, </w:t>
      </w:r>
    </w:p>
    <w:p w14:paraId="5390CF41"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ստեղծել պետական տուրքի վերահսկողության գործուն համակարգ,</w:t>
      </w:r>
    </w:p>
    <w:p w14:paraId="756BC488"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ներդրնել ֆիզիկական անձանց եկամուտների և ծախսերի համատարած հայտարարագրման ավտոմատացված համակարգի վեբ տարբերակը և բջջային հավելվածը,</w:t>
      </w:r>
    </w:p>
    <w:p w14:paraId="425F8008"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արհեստական բանականության տեխնոլոգիաների միջոցով կատարելագործել համալիր հարկային ստուգումների ընտրողականության էլեկտրոնային համակարգը,</w:t>
      </w:r>
    </w:p>
    <w:p w14:paraId="64BF78AA"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մաքսային մարմինների կողմից ծառայությունների մատուցման գործընթացի պարզեցում և որակի բարձրացում,</w:t>
      </w:r>
    </w:p>
    <w:p w14:paraId="2084EFB8" w14:textId="77777777" w:rsidR="007D4501" w:rsidRPr="00C0193D" w:rsidRDefault="007D4501" w:rsidP="00835DBE">
      <w:pPr>
        <w:pStyle w:val="ListParagraph"/>
        <w:numPr>
          <w:ilvl w:val="0"/>
          <w:numId w:val="55"/>
        </w:numPr>
        <w:tabs>
          <w:tab w:val="left" w:pos="284"/>
        </w:tabs>
        <w:suppressAutoHyphens/>
        <w:ind w:left="0" w:firstLine="0"/>
        <w:rPr>
          <w:rFonts w:cs="Sylfaen"/>
          <w:b w:val="0"/>
          <w:szCs w:val="22"/>
          <w:lang w:val="hy-AM"/>
        </w:rPr>
      </w:pPr>
      <w:r w:rsidRPr="00F46689">
        <w:rPr>
          <w:rFonts w:eastAsia="Calibri" w:cs="Arial"/>
          <w:b w:val="0"/>
          <w:bCs/>
          <w:kern w:val="2"/>
          <w:szCs w:val="22"/>
          <w:lang w:val="hy-AM"/>
          <w14:ligatures w14:val="standardContextual"/>
        </w:rPr>
        <w:t>ոլորտային</w:t>
      </w:r>
      <w:r w:rsidRPr="00C0193D">
        <w:rPr>
          <w:rFonts w:cs="Sylfaen"/>
          <w:b w:val="0"/>
          <w:szCs w:val="22"/>
          <w:lang w:val="hy-AM"/>
        </w:rPr>
        <w:t xml:space="preserve"> կարգապահության բարելավման ծրագրերի մշակման, իրականացման և մոնիթորինգի միջոցով բարելավել ռիսկային ոլորտների կարգապահության մակարդակը:</w:t>
      </w:r>
    </w:p>
    <w:p w14:paraId="26ED3725" w14:textId="77777777" w:rsidR="007D4501" w:rsidRPr="00C0193D" w:rsidRDefault="007D4501" w:rsidP="00835DBE">
      <w:pPr>
        <w:numPr>
          <w:ilvl w:val="0"/>
          <w:numId w:val="26"/>
        </w:numPr>
        <w:tabs>
          <w:tab w:val="num" w:pos="0"/>
          <w:tab w:val="left" w:pos="284"/>
        </w:tabs>
        <w:ind w:left="0" w:firstLine="0"/>
        <w:rPr>
          <w:rFonts w:cs="Sylfaen"/>
          <w:b w:val="0"/>
          <w:szCs w:val="22"/>
          <w:lang w:val="hy-AM"/>
        </w:rPr>
      </w:pPr>
      <w:r w:rsidRPr="00C0193D">
        <w:rPr>
          <w:rFonts w:cs="Sylfaen"/>
          <w:b w:val="0"/>
          <w:szCs w:val="22"/>
          <w:lang w:val="hy-AM"/>
        </w:rPr>
        <w:t>ՏՏ նորարարական լուծումներով թվայնացված համակարգերի ներդրման և ՊԵԿ տեղեկատվական բազայի հուսալիության մակարդակի բարձրացման նպատակով էլեկտրոնային համակարգերի կատարելագործում: Այս նպատակի իրագործումն ընդգրկելու է հետևյալ աշխատանքները</w:t>
      </w:r>
      <w:r w:rsidRPr="00C0193D">
        <w:rPr>
          <w:rFonts w:ascii="Cambria Math" w:hAnsi="Cambria Math" w:cs="Cambria Math"/>
          <w:b w:val="0"/>
          <w:szCs w:val="22"/>
          <w:lang w:val="hy-AM"/>
        </w:rPr>
        <w:t>․</w:t>
      </w:r>
    </w:p>
    <w:p w14:paraId="75693CFC"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C0193D">
        <w:rPr>
          <w:rFonts w:cs="Sylfaen"/>
          <w:b w:val="0"/>
          <w:szCs w:val="22"/>
          <w:lang w:val="hy-AM"/>
        </w:rPr>
        <w:t>բարելավել այլ պետական մարմինների հետ տեղեկատվության փոխանակման գործընթացը</w:t>
      </w:r>
      <w:r w:rsidRPr="00F46689">
        <w:rPr>
          <w:rFonts w:eastAsia="Calibri" w:cs="Arial"/>
          <w:b w:val="0"/>
          <w:bCs/>
          <w:kern w:val="2"/>
          <w:szCs w:val="22"/>
          <w:lang w:val="hy-AM"/>
          <w14:ligatures w14:val="standardContextual"/>
        </w:rPr>
        <w:t>,</w:t>
      </w:r>
    </w:p>
    <w:p w14:paraId="615598BD"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կատարելագործել երրորդ անձանցից ստացվող տեղեկությունների մշակման էլեկտրոնային համակարգերը,</w:t>
      </w:r>
    </w:p>
    <w:p w14:paraId="2BD17AFB"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ավտոմատացնել պետական գնումների գործընթացում ՊԵԿ-ին առնչվող և իրականացվող գործառույթների իրագործումը,</w:t>
      </w:r>
    </w:p>
    <w:p w14:paraId="1E67AD60"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ստեղծել պետական տուրքի հաշվառման ինքնաշխատ համակարգ,</w:t>
      </w:r>
    </w:p>
    <w:p w14:paraId="0A730C94"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ապահովել ԵԱՏՄ շրջանակներում էլեկտրոնային ուղեկցող փաստաթղթերի փոխադարձ ճանաչմանն ուղղված գործընթացների իրագործումը,</w:t>
      </w:r>
    </w:p>
    <w:p w14:paraId="7AB62EED"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ստեղծել, ընդլայնել և զարգացնել Մեծ ծավալի տվյալների (Big Data) ժամանակակից կառուցվածքով տվյալների շտեմարանների մշակման գործիքակազմը,</w:t>
      </w:r>
    </w:p>
    <w:p w14:paraId="3A333DE6"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ներդնել ֆիզիկական անձանց համար էլեկտրոնային ծառայությունների (e-services) նոր հարթակ,</w:t>
      </w:r>
    </w:p>
    <w:p w14:paraId="5ADA6783"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ներդնել հարկ վճարողների անձնական հաշվի քարտերում առկա պարտավորությունների և դեբետային գումարների մարման հաջորդականության նոր մեթոդաբանություն,</w:t>
      </w:r>
    </w:p>
    <w:p w14:paraId="07C1E6F5" w14:textId="77777777" w:rsidR="007D4501" w:rsidRPr="00C0193D" w:rsidRDefault="007D4501" w:rsidP="00835DBE">
      <w:pPr>
        <w:pStyle w:val="ListParagraph"/>
        <w:numPr>
          <w:ilvl w:val="0"/>
          <w:numId w:val="55"/>
        </w:numPr>
        <w:tabs>
          <w:tab w:val="left" w:pos="284"/>
        </w:tabs>
        <w:suppressAutoHyphens/>
        <w:ind w:left="0" w:firstLine="0"/>
        <w:rPr>
          <w:rFonts w:cs="Sylfaen"/>
          <w:b w:val="0"/>
          <w:szCs w:val="22"/>
          <w:lang w:val="hy-AM"/>
        </w:rPr>
      </w:pPr>
      <w:r w:rsidRPr="00F46689">
        <w:rPr>
          <w:rFonts w:eastAsia="Calibri" w:cs="Arial"/>
          <w:b w:val="0"/>
          <w:bCs/>
          <w:kern w:val="2"/>
          <w:szCs w:val="22"/>
          <w:lang w:val="hy-AM"/>
          <w14:ligatures w14:val="standardContextual"/>
        </w:rPr>
        <w:t>ներդնել դրոշմանիշային վճարների</w:t>
      </w:r>
      <w:r w:rsidRPr="00C0193D">
        <w:rPr>
          <w:rFonts w:cs="Sylfaen"/>
          <w:b w:val="0"/>
          <w:szCs w:val="22"/>
          <w:lang w:val="hy-AM"/>
        </w:rPr>
        <w:t xml:space="preserve"> ինքնաշխատ հաշվառման համակարգ,</w:t>
      </w:r>
    </w:p>
    <w:p w14:paraId="34C5FABA" w14:textId="77777777" w:rsidR="007D4501" w:rsidRPr="00C0193D" w:rsidRDefault="007D4501" w:rsidP="00835DBE">
      <w:pPr>
        <w:numPr>
          <w:ilvl w:val="0"/>
          <w:numId w:val="26"/>
        </w:numPr>
        <w:tabs>
          <w:tab w:val="num" w:pos="0"/>
          <w:tab w:val="left" w:pos="284"/>
        </w:tabs>
        <w:ind w:left="0" w:firstLine="0"/>
        <w:rPr>
          <w:rFonts w:cs="Sylfaen"/>
          <w:b w:val="0"/>
          <w:szCs w:val="22"/>
          <w:lang w:val="hy-AM"/>
        </w:rPr>
      </w:pPr>
      <w:r w:rsidRPr="00C0193D">
        <w:rPr>
          <w:rFonts w:cs="Sylfaen"/>
          <w:b w:val="0"/>
          <w:szCs w:val="22"/>
          <w:lang w:val="hy-AM"/>
        </w:rPr>
        <w:t>Հարկ վճարողների սպասարկում և միջազգային ստանդարտներին համապատասխան որակյալ ծառայությունների մատուցում։ Այս նպատակի շրջանակներում նախատեսվում է իրականացնել հետևյալ աշխատանքները</w:t>
      </w:r>
      <w:r w:rsidRPr="00C0193D">
        <w:rPr>
          <w:rFonts w:ascii="Cambria Math" w:hAnsi="Cambria Math" w:cs="Cambria Math"/>
          <w:b w:val="0"/>
          <w:szCs w:val="22"/>
          <w:lang w:val="hy-AM"/>
        </w:rPr>
        <w:t>․</w:t>
      </w:r>
    </w:p>
    <w:p w14:paraId="2A30947A"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C0193D">
        <w:rPr>
          <w:rFonts w:cs="Sylfaen"/>
          <w:b w:val="0"/>
          <w:szCs w:val="22"/>
          <w:lang w:val="hy-AM"/>
        </w:rPr>
        <w:t xml:space="preserve">կատարելագործել Օրինապահ հարկ վճարողների համակարգը` հարկ վճարողների բարեխիղճ և </w:t>
      </w:r>
      <w:r w:rsidRPr="00F46689">
        <w:rPr>
          <w:rFonts w:eastAsia="Calibri" w:cs="Arial"/>
          <w:b w:val="0"/>
          <w:bCs/>
          <w:kern w:val="2"/>
          <w:szCs w:val="22"/>
          <w:lang w:val="hy-AM"/>
          <w14:ligatures w14:val="standardContextual"/>
        </w:rPr>
        <w:t>օրինապահ վարքագծի խրախուսման, նրանց համար պարզեցված հարկային ընթացակարգերի ընդլայնման և մաքսային մարմինների կողմից մատուցվող ծառայությունների բարելավման միջոցով,</w:t>
      </w:r>
    </w:p>
    <w:p w14:paraId="24BCDD2C"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անընդմեջ կատարելագործել հարկ վճարողների իրազեկման և ուսուցման համակարգը, բարձրացնել հարկային և մաքսային օրենսդրության վերաբերյալ իրազեկվածության մակարդակը,</w:t>
      </w:r>
    </w:p>
    <w:p w14:paraId="7C7D9415"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հարկային և մաքսային վարչարարության վերաբերյալ հարցումների կազմակերպման միջոցով գնահատել հարկ վճարողների դիրքորոշումն ու քայլեր ձեռնարկել հանրային գնահատականի ու մատուցվող ծառայությունների որակի բարելավման ուղղությամբ,</w:t>
      </w:r>
    </w:p>
    <w:p w14:paraId="78A6E52F" w14:textId="77777777" w:rsidR="007D4501" w:rsidRPr="00F46689" w:rsidRDefault="007D4501"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մատուցվող ծառայությունների որակի բարելավման, հարկային մարմին-հարկ վճարող երկխոսության արդյունավետության բարձրացման նպատակով կատարելագործել մարդկային ռեսուրսների կառավարման համակարգը, ընդլայնել ՊԵԿ աշխատակիցների մասնագիտական կարողությունները,</w:t>
      </w:r>
    </w:p>
    <w:p w14:paraId="35B32A25" w14:textId="77777777" w:rsidR="007D4501" w:rsidRPr="00C0193D" w:rsidRDefault="007D4501" w:rsidP="00835DBE">
      <w:pPr>
        <w:pStyle w:val="ListParagraph"/>
        <w:numPr>
          <w:ilvl w:val="0"/>
          <w:numId w:val="55"/>
        </w:numPr>
        <w:tabs>
          <w:tab w:val="left" w:pos="284"/>
        </w:tabs>
        <w:suppressAutoHyphens/>
        <w:ind w:left="0" w:firstLine="0"/>
        <w:rPr>
          <w:rFonts w:cs="Sylfaen"/>
          <w:b w:val="0"/>
          <w:szCs w:val="22"/>
          <w:lang w:val="hy-AM"/>
        </w:rPr>
      </w:pPr>
      <w:r w:rsidRPr="00F46689">
        <w:rPr>
          <w:rFonts w:eastAsia="Calibri" w:cs="Arial"/>
          <w:b w:val="0"/>
          <w:bCs/>
          <w:kern w:val="2"/>
          <w:szCs w:val="22"/>
          <w:lang w:val="hy-AM"/>
          <w14:ligatures w14:val="standardContextual"/>
        </w:rPr>
        <w:t>հանրության շրջանում ՊԵԿ վստահության ամրապնդման նպատակով ապահովել իր գործունեությ</w:t>
      </w:r>
      <w:r w:rsidRPr="00C0193D">
        <w:rPr>
          <w:rFonts w:cs="Sylfaen"/>
          <w:b w:val="0"/>
          <w:szCs w:val="22"/>
          <w:lang w:val="hy-AM"/>
        </w:rPr>
        <w:t>ան բավարար թափանցիկությունն ու ԶԼՄ-ներով և տեղեկատվական այլ հարթակներով լայնորեն լուսաբանել ու ներկայացնել կոմիտեի գործունեության արդյունքները և առաջիկա ծրագրերը,</w:t>
      </w:r>
    </w:p>
    <w:p w14:paraId="3564A0D6" w14:textId="77777777" w:rsidR="007D4501" w:rsidRPr="00C0193D" w:rsidRDefault="007D4501" w:rsidP="00835DBE">
      <w:pPr>
        <w:pStyle w:val="ListParagraph"/>
        <w:numPr>
          <w:ilvl w:val="0"/>
          <w:numId w:val="31"/>
        </w:numPr>
        <w:tabs>
          <w:tab w:val="left" w:pos="567"/>
        </w:tabs>
        <w:ind w:left="0" w:firstLine="0"/>
        <w:rPr>
          <w:rFonts w:cs="Sylfaen"/>
          <w:b w:val="0"/>
          <w:szCs w:val="22"/>
          <w:lang w:val="hy-AM"/>
        </w:rPr>
      </w:pPr>
      <w:r w:rsidRPr="00F46689">
        <w:rPr>
          <w:rFonts w:eastAsia="Calibri" w:cs="Arial"/>
          <w:b w:val="0"/>
          <w:bCs/>
          <w:kern w:val="2"/>
          <w:szCs w:val="22"/>
          <w:lang w:val="hy-AM"/>
          <w14:ligatures w14:val="standardContextual"/>
        </w:rPr>
        <w:t>միջազգային համագործակցության ամրապնդման նպատակով ապահովել «Հար</w:t>
      </w:r>
      <w:r w:rsidRPr="00C0193D">
        <w:rPr>
          <w:rFonts w:cs="Sylfaen"/>
          <w:b w:val="0"/>
          <w:szCs w:val="22"/>
          <w:lang w:val="hy-AM"/>
        </w:rPr>
        <w:t>կվող բազայի քայքայումը և շահույթի տեղաշարժ» ծրագրի շրջանակներում</w:t>
      </w:r>
      <w:r w:rsidRPr="00C0193D">
        <w:rPr>
          <w:b w:val="0"/>
          <w:szCs w:val="22"/>
          <w:lang w:val="hy-AM" w:eastAsia="x-none"/>
        </w:rPr>
        <w:t xml:space="preserve"> </w:t>
      </w:r>
      <w:r w:rsidRPr="00C0193D">
        <w:rPr>
          <w:rFonts w:cs="Sylfaen"/>
          <w:b w:val="0"/>
          <w:szCs w:val="22"/>
          <w:lang w:val="hy-AM"/>
        </w:rPr>
        <w:t>ՀՀ ստանձնած պարտավորությունների կատարումը:</w:t>
      </w:r>
    </w:p>
    <w:p w14:paraId="707B11F3" w14:textId="77777777" w:rsidR="005F226A" w:rsidRPr="00D24128" w:rsidRDefault="005F226A" w:rsidP="00835DBE">
      <w:pPr>
        <w:pStyle w:val="Heading1"/>
      </w:pPr>
      <w:bookmarkStart w:id="63" w:name="_Toc26174911"/>
      <w:bookmarkStart w:id="64" w:name="_Toc83567459"/>
      <w:bookmarkStart w:id="65" w:name="_Toc153184458"/>
      <w:r w:rsidRPr="00D24128">
        <w:t>Անշարժ գույքի կադաստր</w:t>
      </w:r>
      <w:bookmarkEnd w:id="63"/>
      <w:bookmarkEnd w:id="64"/>
      <w:bookmarkEnd w:id="65"/>
      <w:r w:rsidRPr="00D24128">
        <w:t xml:space="preserve"> </w:t>
      </w:r>
    </w:p>
    <w:p w14:paraId="7882EBD9" w14:textId="77777777" w:rsidR="007535B5" w:rsidRPr="00EF2996" w:rsidRDefault="007535B5" w:rsidP="00835DBE">
      <w:pPr>
        <w:tabs>
          <w:tab w:val="left" w:pos="567"/>
          <w:tab w:val="left" w:pos="720"/>
          <w:tab w:val="left" w:pos="900"/>
          <w:tab w:val="left" w:pos="1080"/>
        </w:tabs>
        <w:rPr>
          <w:rFonts w:cs="Sylfaen"/>
          <w:b w:val="0"/>
          <w:szCs w:val="22"/>
          <w:lang w:val="hy-AM"/>
        </w:rPr>
      </w:pPr>
      <w:bookmarkStart w:id="66" w:name="_Toc26174912"/>
      <w:bookmarkStart w:id="67" w:name="_Toc83567460"/>
      <w:r w:rsidRPr="00EF2996">
        <w:rPr>
          <w:rFonts w:cs="Sylfaen"/>
          <w:b w:val="0"/>
          <w:szCs w:val="22"/>
          <w:lang w:val="hy-AM"/>
        </w:rPr>
        <w:t xml:space="preserve">Հայաստանի Հանրապետությունում արդեն ներդրվել է անշարժ գույքի միասնական գնահատման և հարկման համակարգ, որը հնարավորություն է տալիս անշարժ գույքի հարկով արդարացի հարկման մեխանիզմներ իրականացնել, ապահովել անշարժ գույքի </w:t>
      </w:r>
      <w:r w:rsidRPr="00EF2996">
        <w:rPr>
          <w:rFonts w:cs="Sylfaen"/>
          <w:b w:val="0"/>
          <w:szCs w:val="22"/>
          <w:lang w:val="hy-AM"/>
        </w:rPr>
        <w:lastRenderedPageBreak/>
        <w:t>շուկայի գնային իրավիճակի վերաբերյալ վերլուծական տեղեկատվական բազայի ստեղծումը:</w:t>
      </w:r>
    </w:p>
    <w:p w14:paraId="519EDABE" w14:textId="77777777" w:rsidR="007535B5" w:rsidRPr="00EF2996" w:rsidRDefault="007535B5" w:rsidP="00835DBE">
      <w:pPr>
        <w:tabs>
          <w:tab w:val="left" w:pos="567"/>
          <w:tab w:val="left" w:pos="720"/>
          <w:tab w:val="left" w:pos="900"/>
          <w:tab w:val="left" w:pos="1080"/>
        </w:tabs>
        <w:rPr>
          <w:rFonts w:cs="Sylfaen"/>
          <w:b w:val="0"/>
          <w:szCs w:val="22"/>
          <w:lang w:val="hy-AM"/>
        </w:rPr>
      </w:pPr>
      <w:r w:rsidRPr="00EF2996">
        <w:rPr>
          <w:rFonts w:cs="Sylfaen"/>
          <w:b w:val="0"/>
          <w:szCs w:val="22"/>
          <w:lang w:val="hy-AM"/>
        </w:rPr>
        <w:t>Բարեփոխումներ են իրականացվել նաև գույքի շուկայական գնահատման ոլորտում, մասնավորապես օրենսդրական փոփոխություններով կկարգավորվեն  ոչ միայն անշարժ, այլ նաև շարժական գույքի շուկայական գնահատումները:</w:t>
      </w:r>
    </w:p>
    <w:p w14:paraId="563A8F0D" w14:textId="77777777" w:rsidR="007535B5" w:rsidRPr="00EF2996" w:rsidRDefault="007535B5" w:rsidP="00835DBE">
      <w:pPr>
        <w:tabs>
          <w:tab w:val="left" w:pos="567"/>
          <w:tab w:val="left" w:pos="720"/>
          <w:tab w:val="left" w:pos="900"/>
          <w:tab w:val="left" w:pos="1080"/>
        </w:tabs>
        <w:rPr>
          <w:rFonts w:cs="Sylfaen"/>
          <w:b w:val="0"/>
          <w:szCs w:val="22"/>
          <w:lang w:val="hy-AM"/>
        </w:rPr>
      </w:pPr>
      <w:r w:rsidRPr="00EF2996">
        <w:rPr>
          <w:rFonts w:cs="Sylfaen"/>
          <w:b w:val="0"/>
          <w:szCs w:val="22"/>
          <w:lang w:val="hy-AM"/>
        </w:rPr>
        <w:t>Նշված ռազմավարության պահանջների խթանումը գեոդեզիական, քարտեզագրական և երկրատեղեկատվական համակարգի հիման վրա Հայաստանի Հանրապետության ինտեգրված, միասնական կադաստրի ստեղծումն է։ Ստեղծված քարտեզագեոդեզիական հիմքով երկրատեղեկատվական համակարգը հանդիսանալու է գերատեսչական տարբեր ոլորտների և առանձին տարածքների զարգացման ու արդյունավետ պլանավորման համար՝ որպես բազա:</w:t>
      </w:r>
    </w:p>
    <w:p w14:paraId="4D3FA299" w14:textId="77777777" w:rsidR="005F226A" w:rsidRPr="00D24128" w:rsidRDefault="005F226A" w:rsidP="00835DBE">
      <w:pPr>
        <w:pStyle w:val="Heading1"/>
      </w:pPr>
      <w:bookmarkStart w:id="68" w:name="_Toc153184459"/>
      <w:r w:rsidRPr="00D24128">
        <w:t>Հասարակական կարգի պահպանություն</w:t>
      </w:r>
      <w:bookmarkEnd w:id="66"/>
      <w:bookmarkEnd w:id="67"/>
      <w:bookmarkEnd w:id="68"/>
      <w:r w:rsidRPr="00D24128">
        <w:t xml:space="preserve"> </w:t>
      </w:r>
    </w:p>
    <w:p w14:paraId="07B36511" w14:textId="77777777" w:rsidR="00A42954" w:rsidRPr="00210949" w:rsidRDefault="00A42954" w:rsidP="00835DBE">
      <w:pPr>
        <w:rPr>
          <w:rFonts w:cs="Sylfaen"/>
          <w:b w:val="0"/>
          <w:szCs w:val="22"/>
          <w:lang w:val="hy-AM"/>
        </w:rPr>
      </w:pPr>
      <w:bookmarkStart w:id="69" w:name="_Toc51947410"/>
      <w:bookmarkStart w:id="70" w:name="_Toc52452083"/>
      <w:bookmarkStart w:id="71" w:name="_Toc45838512"/>
      <w:bookmarkStart w:id="72" w:name="_Toc46154342"/>
      <w:bookmarkStart w:id="73" w:name="_Toc57559411"/>
      <w:bookmarkStart w:id="74" w:name="_Toc83663893"/>
      <w:bookmarkStart w:id="75" w:name="_Toc83972829"/>
      <w:bookmarkStart w:id="76" w:name="_Toc46760415"/>
      <w:r w:rsidRPr="00210949">
        <w:rPr>
          <w:rFonts w:cs="Sylfaen"/>
          <w:b w:val="0"/>
          <w:szCs w:val="22"/>
          <w:lang w:val="hy-AM"/>
        </w:rPr>
        <w:t>ՀՀ ներքին գործերի նախարարությունը, վերջնական կազմավորումից հետո, իր մեջ ներառում է երեք խոշոր ծառայություն՝ ոստիկանություն, փրկարար ծառայություն, միգրացիայի և քաղաքացիության ծառայություն:</w:t>
      </w:r>
    </w:p>
    <w:p w14:paraId="0838FFB7" w14:textId="77777777" w:rsidR="00A42954" w:rsidRPr="00210949" w:rsidRDefault="00A42954" w:rsidP="00835DBE">
      <w:pPr>
        <w:tabs>
          <w:tab w:val="left" w:pos="567"/>
          <w:tab w:val="left" w:pos="720"/>
          <w:tab w:val="left" w:pos="900"/>
          <w:tab w:val="left" w:pos="1080"/>
        </w:tabs>
        <w:rPr>
          <w:rFonts w:cs="Sylfaen"/>
          <w:b w:val="0"/>
          <w:szCs w:val="22"/>
          <w:lang w:val="hy-AM"/>
        </w:rPr>
      </w:pPr>
      <w:r w:rsidRPr="00210949">
        <w:rPr>
          <w:rFonts w:cs="Sylfaen"/>
          <w:b w:val="0"/>
          <w:szCs w:val="22"/>
          <w:lang w:val="hy-AM"/>
        </w:rPr>
        <w:t>ՀՀ ներքին գործերի նախարարության ոստիկանության կարևորագույն հայեցակարգային խնդիրը, ոստիկանությունում մեկնարկած բարեփոխումների նպատակը ժամանակակից մարտահրավերներին դիմակայող, մասնագիտացված ու տեխնիկապես հագեցած, բարեվարք և հարգանքի արժանի ոստիկանության վերափոխումն ու ժողովրդավարական իրավակարգին բնորոշ նոր ոստիկանի կերպարի ստեղծումն է։</w:t>
      </w:r>
      <w:r w:rsidRPr="00210949">
        <w:rPr>
          <w:rFonts w:ascii="Calibri" w:hAnsi="Calibri" w:cs="Calibri"/>
          <w:b w:val="0"/>
          <w:szCs w:val="22"/>
          <w:lang w:val="hy-AM"/>
        </w:rPr>
        <w:t> </w:t>
      </w:r>
    </w:p>
    <w:p w14:paraId="0DB6CE59" w14:textId="77777777" w:rsidR="00A42954" w:rsidRPr="00210949" w:rsidRDefault="00A42954" w:rsidP="00835DBE">
      <w:pPr>
        <w:tabs>
          <w:tab w:val="left" w:pos="567"/>
          <w:tab w:val="left" w:pos="720"/>
          <w:tab w:val="left" w:pos="900"/>
          <w:tab w:val="left" w:pos="1080"/>
        </w:tabs>
        <w:rPr>
          <w:rFonts w:cs="Sylfaen"/>
          <w:b w:val="0"/>
          <w:szCs w:val="22"/>
          <w:lang w:val="hy-AM"/>
        </w:rPr>
      </w:pPr>
      <w:r w:rsidRPr="00210949">
        <w:rPr>
          <w:rFonts w:cs="Sylfaen"/>
          <w:b w:val="0"/>
          <w:szCs w:val="22"/>
          <w:lang w:val="hy-AM"/>
        </w:rPr>
        <w:t xml:space="preserve">Նշված նպատակադրումների իրականացմանն ուղղված միջոցառումները, որոնք ներառված են ոստիկանության բարեփոխումների ռազմավարությունում և Կառավարության 2021-2026 թվականների գործունեության միջոցառումների ծրագրում, հանդիսանալու են ոստիկանության գործունեության ոլորտում առաջիկա տարիներին նախատեսվող բոլոր  բարեփոխումների հիմքը: </w:t>
      </w:r>
    </w:p>
    <w:p w14:paraId="3916EF05" w14:textId="77777777" w:rsidR="00A42954" w:rsidRPr="00210949" w:rsidRDefault="00A42954" w:rsidP="00835DBE">
      <w:pPr>
        <w:tabs>
          <w:tab w:val="left" w:pos="567"/>
          <w:tab w:val="left" w:pos="720"/>
          <w:tab w:val="left" w:pos="900"/>
          <w:tab w:val="left" w:pos="1080"/>
        </w:tabs>
        <w:rPr>
          <w:rFonts w:cs="Sylfaen"/>
          <w:b w:val="0"/>
          <w:szCs w:val="22"/>
          <w:lang w:val="hy-AM"/>
        </w:rPr>
      </w:pPr>
      <w:r w:rsidRPr="00210949">
        <w:rPr>
          <w:rFonts w:cs="Sylfaen"/>
          <w:b w:val="0"/>
          <w:szCs w:val="22"/>
          <w:lang w:val="hy-AM"/>
        </w:rPr>
        <w:t xml:space="preserve">Ներքին գործերի նախարարության վերջնական ձևավորումից հետո նախատեսվում է Ոստիկանության զորքերն ապառազմականացնել և վերակազմակերպել ոստիկանության գվարդիայի, որը ներառելու է նաև ներկայիս պետական պահպանության գլխավոր վարչությունը, Ճանապարհային ոստիկանության ուղեկցող ստորաբաժանումը, կարանտին վաշտը և հատուկ նշանակության ստորաբաժանումները: </w:t>
      </w:r>
    </w:p>
    <w:p w14:paraId="3FDC5F9E" w14:textId="77777777" w:rsidR="00A42954" w:rsidRPr="00210949" w:rsidRDefault="00A42954" w:rsidP="00835DBE">
      <w:pPr>
        <w:tabs>
          <w:tab w:val="left" w:pos="567"/>
          <w:tab w:val="left" w:pos="720"/>
          <w:tab w:val="left" w:pos="900"/>
          <w:tab w:val="left" w:pos="1080"/>
        </w:tabs>
        <w:rPr>
          <w:rFonts w:cs="Sylfaen"/>
          <w:b w:val="0"/>
          <w:szCs w:val="22"/>
          <w:lang w:val="hy-AM"/>
        </w:rPr>
      </w:pPr>
      <w:r w:rsidRPr="00210949">
        <w:rPr>
          <w:rFonts w:cs="Sylfaen"/>
          <w:b w:val="0"/>
          <w:szCs w:val="22"/>
          <w:lang w:val="hy-AM"/>
        </w:rPr>
        <w:t xml:space="preserve">Սկզբունքորեն վերաիմաստավորվելու է Ոստիկանության տարածքային մարմինների կազմակերպական ձևն ու գործառույթները, որը միտված է լինելու ինչպես ծանր և առանձնապես ծանր հանցագործությունների բացահայտման արդյունավետության բարձրացմանը, այնպես էլ այդ մարմինների գործունեությունը առավելապես հանցագործությունների կանխարգելմանը նպատակաուղղելուն: </w:t>
      </w:r>
    </w:p>
    <w:p w14:paraId="044D1136" w14:textId="77777777" w:rsidR="00A42954" w:rsidRPr="00210949" w:rsidRDefault="00A42954" w:rsidP="00835DBE">
      <w:pPr>
        <w:tabs>
          <w:tab w:val="left" w:pos="567"/>
          <w:tab w:val="left" w:pos="720"/>
          <w:tab w:val="left" w:pos="900"/>
          <w:tab w:val="left" w:pos="1080"/>
        </w:tabs>
        <w:rPr>
          <w:rFonts w:eastAsiaTheme="majorEastAsia" w:cstheme="majorBidi"/>
          <w:bCs/>
          <w:sz w:val="24"/>
          <w:lang w:val="hy-AM" w:eastAsia="en-US"/>
        </w:rPr>
      </w:pPr>
      <w:r w:rsidRPr="00210949">
        <w:rPr>
          <w:rFonts w:cs="Sylfaen"/>
          <w:b w:val="0"/>
          <w:szCs w:val="22"/>
          <w:lang w:val="hy-AM"/>
        </w:rPr>
        <w:t xml:space="preserve">ՀՀ ներքին գործերի նախարարության ձևավորմամբ պայմանավորված՝ ներկայումս ընթանում է ՆԳՆ կրթահամալիրի և Ճգնաժամային կառավարման պետական </w:t>
      </w:r>
      <w:r w:rsidRPr="00210949">
        <w:rPr>
          <w:rFonts w:cs="Sylfaen"/>
          <w:b w:val="0"/>
          <w:szCs w:val="22"/>
          <w:lang w:val="hy-AM"/>
        </w:rPr>
        <w:lastRenderedPageBreak/>
        <w:t xml:space="preserve">ակադեմիայի միավորման գործընթաց: Մշակվում է միասնական կրթահամալիրի ձևավորման հայեցակարգ, որի նպատակն է ստեղծվելիք կրթահամալիրի կրթական ծրագրերի իրականացումը նպատակաուղղել ոստիկանության գվարդիայի, պարեկային ծառայության, քրեական ոստիկանության, համայնքային ոստիկանության, փրկարար ծառայության և ճգնաժամային կառավարման կենտրոնի կադրային պահանջարկը բավարարելուն, սկսած նշված համակարգեր առաջին անգամ ծառայության անցնելուց, մինչև ծառայողների մասնագիտական պատրաստվածության բարձրացում: </w:t>
      </w:r>
    </w:p>
    <w:p w14:paraId="1B99EBCF" w14:textId="77777777" w:rsidR="00A42954" w:rsidRPr="00210949" w:rsidRDefault="00A42954" w:rsidP="00835DBE">
      <w:pPr>
        <w:tabs>
          <w:tab w:val="left" w:pos="567"/>
          <w:tab w:val="left" w:pos="720"/>
          <w:tab w:val="left" w:pos="900"/>
          <w:tab w:val="left" w:pos="1080"/>
        </w:tabs>
        <w:ind w:left="7" w:hanging="7"/>
        <w:rPr>
          <w:rFonts w:cs="Sylfaen"/>
          <w:b w:val="0"/>
          <w:szCs w:val="22"/>
          <w:lang w:val="hy-AM"/>
        </w:rPr>
      </w:pPr>
      <w:r w:rsidRPr="00210949">
        <w:rPr>
          <w:rFonts w:cs="Sylfaen"/>
          <w:b w:val="0"/>
          <w:szCs w:val="22"/>
          <w:lang w:val="hy-AM"/>
        </w:rPr>
        <w:t>Փրկարար ծառայության հիմնական նպատակներն են.</w:t>
      </w:r>
    </w:p>
    <w:p w14:paraId="7AF81799"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210949">
        <w:rPr>
          <w:rFonts w:cs="Sylfaen"/>
          <w:b w:val="0"/>
          <w:szCs w:val="22"/>
          <w:lang w:val="hy-AM"/>
        </w:rPr>
        <w:t>մ</w:t>
      </w:r>
      <w:r w:rsidRPr="00210949">
        <w:rPr>
          <w:rFonts w:cs="Sylfaen"/>
          <w:b w:val="0"/>
          <w:szCs w:val="22"/>
          <w:lang w:val="hy-AM" w:eastAsia="en-US"/>
        </w:rPr>
        <w:t xml:space="preserve">ասնագիտացված փրկարարական ուժերի կարողությունների զարգացում, </w:t>
      </w:r>
      <w:r w:rsidRPr="00F46689">
        <w:rPr>
          <w:rFonts w:eastAsia="Calibri" w:cs="Arial"/>
          <w:b w:val="0"/>
          <w:bCs/>
          <w:kern w:val="2"/>
          <w:szCs w:val="22"/>
          <w:lang w:val="hy-AM"/>
          <w14:ligatures w14:val="standardContextual"/>
        </w:rPr>
        <w:t>պատրաստականության բարձրացում, ժամանակակից վարժահրապարակի կառուցում, փրկարարական ծառայողների վերապատրաստում, գիտելիքների և հմտությունների կատարելագործում.</w:t>
      </w:r>
    </w:p>
    <w:p w14:paraId="1AAE39A7"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քաղաքացիական պաշտպանության հենակետերի միջոցով ՀՀ սահմանամերձ և բարձր լեռնային համայնքներում փրկարարական և հրդեհաշիջման աշխատանքների իրականացում, բնակչության պաշտպանության, ռազմավարական նշանակության օբյեկտների և ենթակառուցվածքների անվտանգության ապահովում.</w:t>
      </w:r>
    </w:p>
    <w:p w14:paraId="28E672E4"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աղետների վաղ ազդարար</w:t>
      </w:r>
      <w:r w:rsidRPr="00F46689">
        <w:rPr>
          <w:rFonts w:eastAsia="Calibri" w:cs="Arial"/>
          <w:b w:val="0"/>
          <w:bCs/>
          <w:kern w:val="2"/>
          <w:szCs w:val="22"/>
          <w:lang w:val="hy-AM"/>
          <w14:ligatures w14:val="standardContextual"/>
        </w:rPr>
        <w:softHyphen/>
        <w:t>ման համա</w:t>
      </w:r>
      <w:r w:rsidRPr="00F46689">
        <w:rPr>
          <w:rFonts w:eastAsia="Calibri" w:cs="Arial"/>
          <w:b w:val="0"/>
          <w:bCs/>
          <w:kern w:val="2"/>
          <w:szCs w:val="22"/>
          <w:lang w:val="hy-AM"/>
          <w14:ligatures w14:val="standardContextual"/>
        </w:rPr>
        <w:softHyphen/>
        <w:t>կարգի զարգացում, օրենսդրական դաշտի կատարելագործում, հավաստի օպերատիվ տեղեկատվության տրա</w:t>
      </w:r>
      <w:r w:rsidRPr="00F46689">
        <w:rPr>
          <w:rFonts w:eastAsia="Calibri" w:cs="Arial"/>
          <w:b w:val="0"/>
          <w:bCs/>
          <w:kern w:val="2"/>
          <w:szCs w:val="22"/>
          <w:lang w:val="hy-AM"/>
          <w14:ligatures w14:val="standardContextual"/>
        </w:rPr>
        <w:softHyphen/>
        <w:t>մադրման հնարավորություն,  մարդկային կո</w:t>
      </w:r>
      <w:r w:rsidRPr="00F46689">
        <w:rPr>
          <w:rFonts w:eastAsia="Calibri" w:cs="Arial"/>
          <w:b w:val="0"/>
          <w:bCs/>
          <w:kern w:val="2"/>
          <w:szCs w:val="22"/>
          <w:lang w:val="hy-AM"/>
          <w14:ligatures w14:val="standardContextual"/>
        </w:rPr>
        <w:softHyphen/>
        <w:t>րուստ</w:t>
      </w:r>
      <w:r w:rsidRPr="00F46689">
        <w:rPr>
          <w:rFonts w:eastAsia="Calibri" w:cs="Arial"/>
          <w:b w:val="0"/>
          <w:bCs/>
          <w:kern w:val="2"/>
          <w:szCs w:val="22"/>
          <w:lang w:val="hy-AM"/>
          <w14:ligatures w14:val="standardContextual"/>
        </w:rPr>
        <w:softHyphen/>
        <w:t>ների  և տնտե</w:t>
      </w:r>
      <w:r w:rsidRPr="00F46689">
        <w:rPr>
          <w:rFonts w:eastAsia="Calibri" w:cs="Arial"/>
          <w:b w:val="0"/>
          <w:bCs/>
          <w:kern w:val="2"/>
          <w:szCs w:val="22"/>
          <w:lang w:val="hy-AM"/>
          <w14:ligatures w14:val="standardContextual"/>
        </w:rPr>
        <w:softHyphen/>
        <w:t>սա</w:t>
      </w:r>
      <w:r w:rsidRPr="00F46689">
        <w:rPr>
          <w:rFonts w:eastAsia="Calibri" w:cs="Arial"/>
          <w:b w:val="0"/>
          <w:bCs/>
          <w:kern w:val="2"/>
          <w:szCs w:val="22"/>
          <w:lang w:val="hy-AM"/>
          <w14:ligatures w14:val="standardContextual"/>
        </w:rPr>
        <w:softHyphen/>
        <w:t>կան վնասների նվազեցում.</w:t>
      </w:r>
    </w:p>
    <w:p w14:paraId="2BD269A6"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զանգերի միասնական կառավարման կենտրոնի հիմնման, ահազանգման մեկ միասնական հեռախոսահամարի ներդրման հետ կապված աշխատանքների իրականացում, «911» դիսպետչերական ծառայության զարգացում` ծառայության մատուցումը հնարավորինս մոտեցնելով միջազգային չափանիշներին.</w:t>
      </w:r>
    </w:p>
    <w:p w14:paraId="422BD075"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արտակարգ իրավիճակներում բնակչության պաշտպանության և քաղաքացիական պաշտպանության միջոցառումների իրականացման ընթացքում ճգնաժամային կառավարման համակարգի կատարելագործում։</w:t>
      </w:r>
    </w:p>
    <w:p w14:paraId="25E8F977"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սեյսմիկ պաշտպանության ոլորտում սեյսմիկ վտանգի գնահատման հուսալիությունը բարձրացնելու նպատակով սեյսմիկ պաշտպանության ազգային դիտացանցի արդիականացում և թվայնացում: </w:t>
      </w:r>
    </w:p>
    <w:p w14:paraId="75B6FF5A"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տեխնիկական անվտանգության ոլորտում՝ արտադրական վտանգավոր օբյեկտների շահագործմամբ պայմանավորված տեխնածին վթարների, դրանց հետևանքով հասարակությանը և տնտեսությանը պատճառվող վնասների ռիսկերի նվազեցում:</w:t>
      </w:r>
    </w:p>
    <w:p w14:paraId="086F1796"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ՀՀ կառավարության կողմից հաստատված պետական պահուստի համակարգի զարգացման և բարեփոխումների հայեցակարգի դրույթների իրականացում, նյութական արժեքների կուտակում, թարմացում, փոխարինում և պահպանում: Այս ոլորտում նոր քաղաքականության մշակում՝ ընդգրկելով մասնավոր սեկտորի հնարավորություններն ու կարողությունները:</w:t>
      </w:r>
      <w:r w:rsidRPr="00F46689">
        <w:rPr>
          <w:rFonts w:eastAsia="Calibri" w:cs="Arial"/>
          <w:b w:val="0"/>
          <w:bCs/>
          <w:kern w:val="2"/>
          <w:szCs w:val="22"/>
          <w:lang w:val="hy-AM"/>
          <w14:ligatures w14:val="standardContextual"/>
        </w:rPr>
        <w:tab/>
      </w:r>
    </w:p>
    <w:p w14:paraId="28E87A95" w14:textId="77777777" w:rsidR="00A42954" w:rsidRPr="00210949" w:rsidRDefault="00A42954" w:rsidP="00835DBE">
      <w:pPr>
        <w:tabs>
          <w:tab w:val="left" w:pos="567"/>
          <w:tab w:val="left" w:pos="720"/>
          <w:tab w:val="left" w:pos="900"/>
          <w:tab w:val="left" w:pos="1080"/>
        </w:tabs>
        <w:ind w:hanging="7"/>
        <w:rPr>
          <w:rFonts w:cs="Sylfaen"/>
          <w:b w:val="0"/>
          <w:szCs w:val="22"/>
          <w:lang w:val="hy-AM"/>
        </w:rPr>
      </w:pPr>
      <w:r w:rsidRPr="00210949">
        <w:rPr>
          <w:rFonts w:cs="Sylfaen"/>
          <w:b w:val="0"/>
          <w:szCs w:val="22"/>
          <w:lang w:val="hy-AM"/>
        </w:rPr>
        <w:lastRenderedPageBreak/>
        <w:t>Միգրացիայի և քաղաքացիության ծառայության առաջնահերթ խնդիրներն են.</w:t>
      </w:r>
    </w:p>
    <w:p w14:paraId="79B37C98"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ՀՀ-ում կենսաչափական փաստաթղթերի տրամադրման համակարգի արդիականացում և բնակչությանը մատուցվող էլեկտրոնային ծառայությունների հնարավորությունների ավելացում,</w:t>
      </w:r>
    </w:p>
    <w:p w14:paraId="75BFC495"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հին անձնագրերի և էլեկտրոնային քարտերի աստիճանաբար փոխարինում ապագա սերնդի տեխնոլոգիաներով,</w:t>
      </w:r>
    </w:p>
    <w:p w14:paraId="58E58196" w14:textId="77777777" w:rsidR="00A42954" w:rsidRPr="00F46689" w:rsidRDefault="00A42954" w:rsidP="00835DB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ապաստան հայցողներին և նրանց ընտանիքներին ժամանակավոր կացարանի, սննդի, իրավաբանական խորհրդատվական անվճար ծառայությունների մատուցում,</w:t>
      </w:r>
    </w:p>
    <w:p w14:paraId="77A94243" w14:textId="77777777" w:rsidR="00A42954" w:rsidRPr="00210949" w:rsidRDefault="00A42954" w:rsidP="00835DBE">
      <w:pPr>
        <w:pStyle w:val="ListParagraph"/>
        <w:numPr>
          <w:ilvl w:val="0"/>
          <w:numId w:val="55"/>
        </w:numPr>
        <w:tabs>
          <w:tab w:val="left" w:pos="284"/>
        </w:tabs>
        <w:suppressAutoHyphens/>
        <w:ind w:left="0" w:firstLine="0"/>
        <w:rPr>
          <w:rFonts w:cs="Sylfaen"/>
          <w:b w:val="0"/>
          <w:szCs w:val="22"/>
          <w:lang w:val="hy-AM" w:eastAsia="en-US"/>
        </w:rPr>
      </w:pPr>
      <w:r w:rsidRPr="00F46689">
        <w:rPr>
          <w:rFonts w:eastAsia="Calibri" w:cs="Arial"/>
          <w:b w:val="0"/>
          <w:bCs/>
          <w:kern w:val="2"/>
          <w:szCs w:val="22"/>
          <w:lang w:val="hy-AM"/>
          <w14:ligatures w14:val="standardContextual"/>
        </w:rPr>
        <w:t>ապաստան հայցողների հետ իրենց հասկանալի լեզվով հարցազրույցի անցկացման, ինչպես նաև ապաստանի ընթացակարգում անհրաժեշտ փաստաթղթերի թարգմանչական</w:t>
      </w:r>
      <w:r w:rsidRPr="00210949">
        <w:rPr>
          <w:rFonts w:cs="Sylfaen"/>
          <w:b w:val="0"/>
          <w:szCs w:val="22"/>
          <w:lang w:val="hy-AM" w:eastAsia="en-US"/>
        </w:rPr>
        <w:t xml:space="preserve"> ծառայությունների կազմակերպում,</w:t>
      </w:r>
    </w:p>
    <w:p w14:paraId="335FFE53" w14:textId="77777777" w:rsidR="00A42954" w:rsidRPr="00C0193D" w:rsidRDefault="00A42954" w:rsidP="00A42954">
      <w:pPr>
        <w:rPr>
          <w:rFonts w:eastAsiaTheme="majorEastAsia" w:cstheme="majorBidi"/>
          <w:bCs/>
          <w:color w:val="1F497D" w:themeColor="text2"/>
          <w:szCs w:val="22"/>
          <w:lang w:val="hy-AM" w:eastAsia="en-US"/>
        </w:rPr>
      </w:pPr>
      <w:r w:rsidRPr="00C0193D">
        <w:rPr>
          <w:szCs w:val="22"/>
          <w:lang w:val="hy-AM"/>
        </w:rPr>
        <w:br w:type="page"/>
      </w:r>
    </w:p>
    <w:p w14:paraId="5F10702E" w14:textId="77777777" w:rsidR="00F04DA1" w:rsidRPr="005B1359" w:rsidRDefault="00F04DA1" w:rsidP="0009272D">
      <w:pPr>
        <w:pStyle w:val="Heading1"/>
      </w:pPr>
      <w:bookmarkStart w:id="77" w:name="_Toc153184460"/>
      <w:r w:rsidRPr="005B1359">
        <w:lastRenderedPageBreak/>
        <w:t>ՄԱՍ I - Բ. ՄԱԿՐՈՏՆՏԵՍԱԿԱՆ ԶԱՐԳԱՑՈՒՄՆԵՐ ԵՎ ԿԱՆԽԱՏԵՍՈՒՄՆԵՐ</w:t>
      </w:r>
      <w:bookmarkEnd w:id="69"/>
      <w:bookmarkEnd w:id="70"/>
      <w:bookmarkEnd w:id="71"/>
      <w:bookmarkEnd w:id="72"/>
      <w:bookmarkEnd w:id="73"/>
      <w:bookmarkEnd w:id="74"/>
      <w:bookmarkEnd w:id="75"/>
      <w:bookmarkEnd w:id="77"/>
    </w:p>
    <w:p w14:paraId="14AC85C8" w14:textId="77777777" w:rsidR="00D178DD" w:rsidRPr="005B1359" w:rsidRDefault="00D178DD" w:rsidP="00BD3874">
      <w:pPr>
        <w:keepNext/>
        <w:keepLines/>
        <w:spacing w:before="0"/>
        <w:outlineLvl w:val="2"/>
        <w:rPr>
          <w:b w:val="0"/>
          <w:bCs/>
          <w:sz w:val="24"/>
          <w:lang w:val="hy-AM"/>
        </w:rPr>
      </w:pPr>
      <w:bookmarkStart w:id="78" w:name="_Toc51947412"/>
      <w:bookmarkStart w:id="79" w:name="_Toc52452085"/>
      <w:bookmarkStart w:id="80" w:name="_Toc57559412"/>
      <w:bookmarkStart w:id="81" w:name="_Toc83663894"/>
      <w:bookmarkStart w:id="82" w:name="_Toc83972830"/>
      <w:bookmarkStart w:id="83" w:name="_Toc115686016"/>
      <w:bookmarkStart w:id="84" w:name="_Toc83972842"/>
      <w:bookmarkStart w:id="85" w:name="_Toc153184461"/>
      <w:bookmarkEnd w:id="76"/>
      <w:r w:rsidRPr="005B1359">
        <w:rPr>
          <w:rFonts w:eastAsiaTheme="majorEastAsia" w:cstheme="majorBidi"/>
          <w:bCs/>
          <w:color w:val="1F497D" w:themeColor="text2"/>
          <w:sz w:val="24"/>
          <w:lang w:val="hy-AM" w:eastAsia="en-US"/>
        </w:rPr>
        <w:t>1.1 ՄԱԿՐՈՏՆՏԵՍԱԿԱՆ ԱՄՓՈՓԱԳԻՐ ԵՎ ՇՐՋԱՆԱԿ</w:t>
      </w:r>
      <w:bookmarkEnd w:id="78"/>
      <w:bookmarkEnd w:id="79"/>
      <w:bookmarkEnd w:id="80"/>
      <w:bookmarkEnd w:id="81"/>
      <w:bookmarkEnd w:id="82"/>
      <w:bookmarkEnd w:id="83"/>
      <w:bookmarkEnd w:id="85"/>
      <w:r w:rsidRPr="005B1359">
        <w:rPr>
          <w:bCs/>
          <w:sz w:val="24"/>
          <w:lang w:val="hy-AM"/>
        </w:rPr>
        <w:t xml:space="preserve"> </w:t>
      </w:r>
    </w:p>
    <w:p w14:paraId="069E93C3"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bookmarkStart w:id="86" w:name="_Toc51947413"/>
      <w:bookmarkStart w:id="87" w:name="_Toc52452086"/>
      <w:bookmarkStart w:id="88" w:name="_Toc57559413"/>
      <w:bookmarkStart w:id="89" w:name="_Toc83663895"/>
      <w:bookmarkStart w:id="90" w:name="_Toc83972831"/>
      <w:bookmarkStart w:id="91" w:name="_Toc115686017"/>
      <w:bookmarkStart w:id="92" w:name="_Toc57655452"/>
      <w:bookmarkStart w:id="93" w:name="_Toc83199220"/>
      <w:bookmarkStart w:id="94" w:name="_Toc83972836"/>
      <w:bookmarkStart w:id="95" w:name="_Toc115686024"/>
      <w:r w:rsidRPr="005D1807">
        <w:rPr>
          <w:rFonts w:eastAsia="Calibri"/>
          <w:b w:val="0"/>
          <w:bCs/>
          <w:lang w:val="hy-AM"/>
        </w:rPr>
        <w:t xml:space="preserve">Ռուս-ուկրաինական հակամարտության աշխարհաքաղաքական և տնտեսական մարտահրավերների և դրա բացասական ազդեցությունների հետևանքով համաշխարհային </w:t>
      </w:r>
      <w:r w:rsidRPr="00F46689">
        <w:rPr>
          <w:rFonts w:eastAsia="Calibri" w:cs="Arial"/>
          <w:b w:val="0"/>
          <w:bCs/>
          <w:kern w:val="2"/>
          <w:szCs w:val="22"/>
          <w:lang w:val="hy-AM"/>
          <w14:ligatures w14:val="standardContextual"/>
        </w:rPr>
        <w:t>տնտեսության աճի տեմպերը 2022թ. դանդաղել են: ՀՀ հիմնական գործընկեր երկրներից ՌԴ-ում դիտվել է տնտեսական անկում, իսկ մյուս տնտեսություններում տեղի են ունեցել տնտեսական աճի էական դանդաղումներ՝ պայմանավորված համաշխարհային արժեշղթաների խաթարումներով,  պարենային և հումքային ապրանքների միջազգային գների բարձրացմամբ, դրանց հետևանքով առաջացած բարձր գնաճերին հակազդող աննախադեպ զսպող դրամավարկային քաղաքականություններով ու համաշխարհային ֆինանսական պայմանների խստացմամբ: 2023թ. ընթացքում համաշխարհային արժեշղթաների որոշակի վերականգման և խստացող դրամավարկային քաղաքականությունների պայմաններում գնաճային ճնշումները թուլացել են: Այս պայմաններում 2023թ. սպասվում է ԵԳ և ԱՄՆ տնտեսական աճերի դանդաղում, իսկ Չինաստանում սպասվում է ներուժային տնտեսական աճից ավելի ցածր տնտեսական աճ: ՀՀ գործընկեր երկրների տնտեսությունների համար 2024թ. կանխատեսվում է իրենց նախաճգնաժամային ներուժային աճերի շուրջ տնտեսական աճեր, բացառությամբ Չինաստանի, որի համար կանխատեսվում է տնտեսական աճի տեմպի դանդաղում:</w:t>
      </w:r>
    </w:p>
    <w:p w14:paraId="0C9741DC"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Համավարակի և 44-օրյա պատերազմի շոկերից հետո ՀՀ տնտեսության 2021թ. վերականգնման տեմպերը 2022թ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 փետրվարի վերջերից սկիզբ առած ռուս-ուկրաինական հակամարտության և Ռուսաստանի դեմ կիրառված պատժամիջոցների հետևանքով դեպի Հայաստան մարդկանց ներհոսքի, զբոսաշրջության զգալի ավելացման և տեղեկատվական տեխնոլոգիաների ոլորտի ընկերությունների ՀՀ տեղափոխման, ինչպես նաև պատժամիջոցների հետևանքով որոշ երկրներից ՌԴ ներմուծման շուկայի սահմանափակումների պայմաններում ՀՀ-ից դեպի Ռուսաստան արտահանման պահանջարկի ավելացման արդյունքում տնտեսական ակտիվության աճի տեմպերը կտրուկ արագացել են, հատկապես՝ ծառայությունների ոլորտում: Արդյունքում 2022թ. գրանցվել է 12.6% տնտեսական աճ: </w:t>
      </w:r>
    </w:p>
    <w:p w14:paraId="21C65A3C"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Դեպի Հայաստան մարդկանց ներհոսքի, զբոսաշրջության զգալի ավելացման, տեղեկատվական տեխնոլոգիաների ոլորտի ընկերությունների ՀՀ տեղափոխման, ինչպես նաև ՀՀ-ից դեպի Ռուսաստան արտահանման պահանջարկի ավելացման արդյունքում ձևավորված տնտեսական աճի բարձր տեմպերը շարունակվել են նաև 2023թ. առաջին կիսամյակում՝ գրանցելով 10</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5% աճ՝ պայմանավորված հիմնականում ծառայությունների աճով: Չնայած հունիս-հուլիս ամիսներին տնտեսական ակտիվությունը փոքր-ինչ դանդաղել է՝ պայմանավորված հիմնականում ծառայությունների դանդաղմամբ և արդյունաբերության նվազմամբ, սակայն տնտեսական ակտիվության բարձր մակարդակը շարունակվում է պահպանվել: </w:t>
      </w:r>
    </w:p>
    <w:p w14:paraId="518063F2"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Վերոնշյալ դրական զարգացումների որոշակի պահպանման և ՀՀ կառավարության 2021-2026թթ. ծրագրով նախատեսված տնտեսության և տնտեսական աճի ներուժի բարձրացմանն ուղղված քաղաքականությունների և դրանցից բխող միջոցառումների պայմաններում, 2023թ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 կանխատեսվում է 7</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4%, իսկ 2024թ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թիրախավորվում 7</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0% տնտեսական աճ։ Այնուամենայնիվ նշված աճերը պարունակում են նաև հարկաբյուջետային, կառուցվածքային բարեփոխումների հնարավոր ազդեցությունները, որոնք պետք է ապահովեն բազային կանխատեսումերից (2024թ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 համար 5.6%) ավելի բարձր տնտեսական աճի թիրախը։  </w:t>
      </w:r>
    </w:p>
    <w:p w14:paraId="458724F0"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Բարձր տնտեսական ակտիվության և առանձին շուկաներում (մասնավորապես ՌԴ շուկայում) արտաքին բարձր պահանջարկի պայմաններում 2023թ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 տեղի կունենա և՛ արտահանման, և՛ ներմուծման ծավալների աճ: Հիմնականում պայմանավորված առևտրային հաշվեկշռի վատթարացմամբ, ինչպես նաև դրամական փոխանցումների ՀՆԱ-ում դերի նվազմամբ՝ 2023թ. ընթացիկ հաշվի պակասուրդը կվատթարանա՝ մոտենալով ՀՆԱ-ի 4%-ին: 2024թ. ընթացիկ հաշվի պակասուրդը ներդրումների խթանման արդյունքում ներդրումային բնույթի ապրանքների ներմուծման աճով պայմանավորված կխորանա՝ մոտենալով իր երկարաժամկետ հավասարակշիռ մակարդակին:</w:t>
      </w:r>
    </w:p>
    <w:p w14:paraId="6CA0E5D9"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2023թ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 առաջին կեսին գրանցված 12-ամսյա գնաճի կտրուկ նվազման պայմաններում գնաճը մինչև տարեվերջ կգտնվի թիրախից ցածր մակարդակում: 2024թ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 այն աստիճանաբար կարագանա և տարեվերջին կմոտենա թիրախային 4% մակարդակին։ Նախանշված ուղեգծից ռիսկերի որևէ ուղղությամբ դրսևորման պարագայում ԿԲ-ը համարժեքորեն կարձագանքի և կապահովի գների կայունության նպատակը:</w:t>
      </w:r>
    </w:p>
    <w:p w14:paraId="739EADCA"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2024 թվականին հարկաբյուջետային քաղաքականությունը ՀՀ կառավարության 2021-2026թթ. ծրագրին համահունչ ուղղված կլինի թիրախավորված 7% տնտեսական աճի ապահովմանը՝ շեշտադրելով պետական ներդրումների մասնաբաժնի էական մեծացումը (կապիտալ ծախսերի կշիռը ՀՆԱ-ում հասցնելով 6.6%-ի) և ծախսերի իրականացման արդյունավետության բարձրացումը, ինչպես նաև՝ պարտքի կայունության պահպանմանը: Ընդ որում հարկաբյուջետային քաղաքականությունը ամբողջական պահանջարկի վրա 2024թ. կունենա չեզոք ազդեցություն և միաժամանակ կխթանի ներուժային տնտեսական աճը:</w:t>
      </w:r>
    </w:p>
    <w:p w14:paraId="297E173E" w14:textId="77777777" w:rsidR="005D1807" w:rsidRPr="0073392C" w:rsidRDefault="005D1807" w:rsidP="00F46689">
      <w:pPr>
        <w:pStyle w:val="ListParagraph"/>
        <w:numPr>
          <w:ilvl w:val="0"/>
          <w:numId w:val="55"/>
        </w:numPr>
        <w:tabs>
          <w:tab w:val="left" w:pos="284"/>
        </w:tabs>
        <w:suppressAutoHyphens/>
        <w:spacing w:before="0" w:after="160"/>
        <w:ind w:left="0" w:firstLine="0"/>
        <w:rPr>
          <w:b w:val="0"/>
          <w:bCs/>
          <w:lang w:val="hy-AM"/>
        </w:rPr>
      </w:pPr>
      <w:r w:rsidRPr="00F46689">
        <w:rPr>
          <w:rFonts w:eastAsia="Calibri" w:cs="Arial"/>
          <w:b w:val="0"/>
          <w:bCs/>
          <w:kern w:val="2"/>
          <w:szCs w:val="22"/>
          <w:lang w:val="hy-AM"/>
          <w14:ligatures w14:val="standardContextual"/>
        </w:rPr>
        <w:t>Ռուս-ուկրաինական հակամարտությունը և Ռուսաստանի դեմ կիրառված աննախադեպ պատժամիջոցները աշխարհում ստեղծել են նոր իրականություն, որի  պայմաններում ինչպես աշխարհի և ՀՀ գործընկեր երկրների, այնպես էլ ՀՀ տնտեսական աճի կանխատեսումները իրենց մեջ կրում են մեծ անորոշություն: Այս պայմաններում, ինչպես աշխարհի և ՀՀ գործընկերների, այնպես էլ պետական բյուջեի շրջանակում ՀՀ տնտեսական աճի կանխատեսումների համար առկա են երկկողմանի ռիսկեր, սակայն դեպի ներքև ռիսկերը</w:t>
      </w:r>
      <w:r w:rsidRPr="0073392C">
        <w:rPr>
          <w:b w:val="0"/>
          <w:bCs/>
          <w:lang w:val="hy-AM"/>
        </w:rPr>
        <w:t xml:space="preserve"> համեմատաբար մեծ են։</w:t>
      </w:r>
    </w:p>
    <w:p w14:paraId="654E7EE9" w14:textId="19232FF8" w:rsidR="005D1807" w:rsidRPr="0073392C" w:rsidRDefault="005D1807" w:rsidP="005D1807">
      <w:pPr>
        <w:rPr>
          <w:rFonts w:eastAsia="Calibri"/>
          <w:b w:val="0"/>
          <w:bCs/>
          <w:lang w:val="hy-AM"/>
        </w:rPr>
      </w:pPr>
    </w:p>
    <w:p w14:paraId="75F40BFE" w14:textId="77777777" w:rsidR="005D1807" w:rsidRPr="0073392C" w:rsidRDefault="005D1807" w:rsidP="005D1807">
      <w:pPr>
        <w:rPr>
          <w:rFonts w:eastAsia="Calibri"/>
          <w:b w:val="0"/>
          <w:bCs/>
          <w:lang w:val="hy-AM"/>
        </w:rPr>
      </w:pPr>
    </w:p>
    <w:p w14:paraId="0F67A53C" w14:textId="77777777" w:rsidR="005D1807" w:rsidRPr="0073392C" w:rsidRDefault="005D1807" w:rsidP="005D1807">
      <w:pPr>
        <w:rPr>
          <w:b w:val="0"/>
          <w:bCs/>
          <w:lang w:val="hy-AM"/>
        </w:rPr>
      </w:pPr>
      <w:r w:rsidRPr="0073392C">
        <w:rPr>
          <w:lang w:val="hy-AM"/>
        </w:rPr>
        <w:lastRenderedPageBreak/>
        <w:t>Աղյուսակ 1.1.</w:t>
      </w:r>
      <w:r w:rsidRPr="0073392C">
        <w:rPr>
          <w:b w:val="0"/>
          <w:bCs/>
          <w:lang w:val="hy-AM"/>
        </w:rPr>
        <w:t xml:space="preserve"> 2024թ. պետական բյուջեի մակրոտնտեսական շրջանակ</w:t>
      </w:r>
    </w:p>
    <w:tbl>
      <w:tblPr>
        <w:tblStyle w:val="GridTable1Light-Accent51112"/>
        <w:tblpPr w:leftFromText="180" w:rightFromText="180" w:vertAnchor="text" w:horzAnchor="margin" w:tblpXSpec="center" w:tblpY="107"/>
        <w:tblW w:w="9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3720"/>
        <w:gridCol w:w="1286"/>
        <w:gridCol w:w="1143"/>
        <w:gridCol w:w="1163"/>
        <w:gridCol w:w="1143"/>
        <w:gridCol w:w="1345"/>
      </w:tblGrid>
      <w:tr w:rsidR="005D1807" w:rsidRPr="002D6400" w14:paraId="5806F320" w14:textId="77777777" w:rsidTr="002D6400">
        <w:trPr>
          <w:trHeight w:val="233"/>
          <w:tblHeader/>
        </w:trPr>
        <w:tc>
          <w:tcPr>
            <w:tcW w:w="3720" w:type="dxa"/>
            <w:vMerge w:val="restart"/>
            <w:shd w:val="clear" w:color="auto" w:fill="auto"/>
            <w:noWrap/>
          </w:tcPr>
          <w:p w14:paraId="163ABA8D" w14:textId="77777777" w:rsidR="005D1807" w:rsidRPr="002D6400" w:rsidRDefault="005D1807" w:rsidP="005D1807">
            <w:pPr>
              <w:spacing w:line="240" w:lineRule="auto"/>
              <w:rPr>
                <w:b w:val="0"/>
                <w:bCs/>
                <w:sz w:val="20"/>
                <w:szCs w:val="20"/>
              </w:rPr>
            </w:pPr>
            <w:r w:rsidRPr="002D6400">
              <w:rPr>
                <w:b w:val="0"/>
                <w:bCs/>
                <w:sz w:val="20"/>
                <w:szCs w:val="20"/>
              </w:rPr>
              <w:t>Հիմնական մակրոտնտեսական ցուցանիշներ</w:t>
            </w:r>
          </w:p>
        </w:tc>
        <w:tc>
          <w:tcPr>
            <w:tcW w:w="1286" w:type="dxa"/>
            <w:shd w:val="clear" w:color="auto" w:fill="auto"/>
          </w:tcPr>
          <w:p w14:paraId="66137F33" w14:textId="77777777" w:rsidR="005D1807" w:rsidRPr="002D6400" w:rsidRDefault="005D1807" w:rsidP="005D1807">
            <w:pPr>
              <w:spacing w:line="240" w:lineRule="auto"/>
              <w:rPr>
                <w:b w:val="0"/>
                <w:bCs/>
                <w:sz w:val="20"/>
                <w:szCs w:val="20"/>
              </w:rPr>
            </w:pPr>
          </w:p>
        </w:tc>
        <w:tc>
          <w:tcPr>
            <w:tcW w:w="1143" w:type="dxa"/>
            <w:shd w:val="clear" w:color="auto" w:fill="auto"/>
          </w:tcPr>
          <w:p w14:paraId="1503A86A" w14:textId="77777777" w:rsidR="005D1807" w:rsidRPr="002D6400" w:rsidRDefault="005D1807" w:rsidP="005D1807">
            <w:pPr>
              <w:spacing w:line="240" w:lineRule="auto"/>
              <w:rPr>
                <w:b w:val="0"/>
                <w:bCs/>
                <w:sz w:val="20"/>
                <w:szCs w:val="20"/>
              </w:rPr>
            </w:pPr>
          </w:p>
        </w:tc>
        <w:tc>
          <w:tcPr>
            <w:tcW w:w="1162" w:type="dxa"/>
            <w:shd w:val="clear" w:color="auto" w:fill="auto"/>
          </w:tcPr>
          <w:p w14:paraId="486098AA" w14:textId="77777777" w:rsidR="005D1807" w:rsidRPr="002D6400" w:rsidRDefault="005D1807" w:rsidP="005D1807">
            <w:pPr>
              <w:spacing w:line="240" w:lineRule="auto"/>
              <w:rPr>
                <w:b w:val="0"/>
                <w:bCs/>
                <w:sz w:val="20"/>
                <w:szCs w:val="20"/>
              </w:rPr>
            </w:pPr>
          </w:p>
        </w:tc>
        <w:tc>
          <w:tcPr>
            <w:tcW w:w="1143" w:type="dxa"/>
            <w:shd w:val="clear" w:color="auto" w:fill="auto"/>
          </w:tcPr>
          <w:p w14:paraId="3CCD8767" w14:textId="77777777" w:rsidR="005D1807" w:rsidRPr="002D6400" w:rsidRDefault="005D1807" w:rsidP="005D1807">
            <w:pPr>
              <w:spacing w:line="240" w:lineRule="auto"/>
              <w:rPr>
                <w:b w:val="0"/>
                <w:bCs/>
                <w:sz w:val="20"/>
                <w:szCs w:val="20"/>
              </w:rPr>
            </w:pPr>
          </w:p>
        </w:tc>
        <w:tc>
          <w:tcPr>
            <w:tcW w:w="1343" w:type="dxa"/>
            <w:shd w:val="clear" w:color="auto" w:fill="auto"/>
          </w:tcPr>
          <w:p w14:paraId="33D0457F" w14:textId="77777777" w:rsidR="005D1807" w:rsidRPr="002D6400" w:rsidRDefault="005D1807" w:rsidP="005D1807">
            <w:pPr>
              <w:spacing w:line="240" w:lineRule="auto"/>
              <w:rPr>
                <w:b w:val="0"/>
                <w:bCs/>
                <w:sz w:val="20"/>
                <w:szCs w:val="20"/>
              </w:rPr>
            </w:pPr>
          </w:p>
        </w:tc>
      </w:tr>
      <w:tr w:rsidR="005D1807" w:rsidRPr="002D6400" w14:paraId="26F30457" w14:textId="77777777" w:rsidTr="002D6400">
        <w:trPr>
          <w:trHeight w:val="245"/>
          <w:tblHeader/>
        </w:trPr>
        <w:tc>
          <w:tcPr>
            <w:tcW w:w="3720" w:type="dxa"/>
            <w:vMerge/>
            <w:shd w:val="clear" w:color="auto" w:fill="auto"/>
            <w:noWrap/>
          </w:tcPr>
          <w:p w14:paraId="1DA9F23C" w14:textId="77777777" w:rsidR="005D1807" w:rsidRPr="002D6400" w:rsidRDefault="005D1807" w:rsidP="005D1807">
            <w:pPr>
              <w:spacing w:line="240" w:lineRule="auto"/>
              <w:rPr>
                <w:b w:val="0"/>
                <w:bCs/>
                <w:sz w:val="20"/>
                <w:szCs w:val="20"/>
              </w:rPr>
            </w:pPr>
          </w:p>
        </w:tc>
        <w:tc>
          <w:tcPr>
            <w:tcW w:w="3592" w:type="dxa"/>
            <w:gridSpan w:val="3"/>
            <w:tcBorders>
              <w:bottom w:val="single" w:sz="4" w:space="0" w:color="auto"/>
            </w:tcBorders>
            <w:shd w:val="clear" w:color="auto" w:fill="auto"/>
          </w:tcPr>
          <w:p w14:paraId="1BBEB8F2" w14:textId="77777777" w:rsidR="005D1807" w:rsidRPr="002D6400" w:rsidRDefault="005D1807" w:rsidP="005D1807">
            <w:pPr>
              <w:spacing w:line="240" w:lineRule="auto"/>
              <w:rPr>
                <w:b w:val="0"/>
                <w:bCs/>
                <w:sz w:val="20"/>
                <w:szCs w:val="20"/>
              </w:rPr>
            </w:pPr>
            <w:r w:rsidRPr="002D6400">
              <w:rPr>
                <w:b w:val="0"/>
                <w:bCs/>
                <w:sz w:val="20"/>
                <w:szCs w:val="20"/>
              </w:rPr>
              <w:t>Փաստ</w:t>
            </w:r>
          </w:p>
        </w:tc>
        <w:tc>
          <w:tcPr>
            <w:tcW w:w="1143" w:type="dxa"/>
            <w:shd w:val="clear" w:color="auto" w:fill="auto"/>
          </w:tcPr>
          <w:p w14:paraId="7EC9EAE3" w14:textId="77777777" w:rsidR="005D1807" w:rsidRPr="002D6400" w:rsidRDefault="005D1807" w:rsidP="005D1807">
            <w:pPr>
              <w:spacing w:line="240" w:lineRule="auto"/>
              <w:rPr>
                <w:b w:val="0"/>
                <w:bCs/>
                <w:sz w:val="20"/>
                <w:szCs w:val="20"/>
              </w:rPr>
            </w:pPr>
            <w:r w:rsidRPr="002D6400">
              <w:rPr>
                <w:b w:val="0"/>
                <w:bCs/>
                <w:sz w:val="20"/>
                <w:szCs w:val="20"/>
              </w:rPr>
              <w:t>սպասում</w:t>
            </w:r>
          </w:p>
        </w:tc>
        <w:tc>
          <w:tcPr>
            <w:tcW w:w="1343" w:type="dxa"/>
            <w:tcBorders>
              <w:bottom w:val="single" w:sz="4" w:space="0" w:color="auto"/>
            </w:tcBorders>
            <w:shd w:val="clear" w:color="auto" w:fill="auto"/>
          </w:tcPr>
          <w:p w14:paraId="2344F18A" w14:textId="77777777" w:rsidR="005D1807" w:rsidRPr="002D6400" w:rsidRDefault="005D1807" w:rsidP="005D1807">
            <w:pPr>
              <w:spacing w:line="240" w:lineRule="auto"/>
              <w:rPr>
                <w:b w:val="0"/>
                <w:bCs/>
                <w:sz w:val="20"/>
                <w:szCs w:val="20"/>
              </w:rPr>
            </w:pPr>
            <w:r w:rsidRPr="002D6400">
              <w:rPr>
                <w:b w:val="0"/>
                <w:bCs/>
                <w:sz w:val="20"/>
                <w:szCs w:val="20"/>
              </w:rPr>
              <w:t>ծրագիր</w:t>
            </w:r>
          </w:p>
        </w:tc>
      </w:tr>
      <w:tr w:rsidR="002D6400" w:rsidRPr="002D6400" w14:paraId="5541C7E7" w14:textId="77777777" w:rsidTr="002D6400">
        <w:trPr>
          <w:trHeight w:val="233"/>
        </w:trPr>
        <w:tc>
          <w:tcPr>
            <w:tcW w:w="3720" w:type="dxa"/>
            <w:tcBorders>
              <w:top w:val="single" w:sz="4" w:space="0" w:color="auto"/>
              <w:bottom w:val="single" w:sz="4" w:space="0" w:color="auto"/>
            </w:tcBorders>
            <w:shd w:val="clear" w:color="auto" w:fill="auto"/>
            <w:noWrap/>
          </w:tcPr>
          <w:p w14:paraId="53FA42D7" w14:textId="77777777" w:rsidR="005D1807" w:rsidRPr="002D6400" w:rsidRDefault="005D1807" w:rsidP="005D1807">
            <w:pPr>
              <w:spacing w:line="240" w:lineRule="auto"/>
              <w:rPr>
                <w:b w:val="0"/>
                <w:bCs/>
                <w:sz w:val="20"/>
                <w:szCs w:val="20"/>
              </w:rPr>
            </w:pPr>
          </w:p>
        </w:tc>
        <w:tc>
          <w:tcPr>
            <w:tcW w:w="1286" w:type="dxa"/>
            <w:tcBorders>
              <w:top w:val="single" w:sz="4" w:space="0" w:color="auto"/>
              <w:bottom w:val="single" w:sz="4" w:space="0" w:color="auto"/>
            </w:tcBorders>
            <w:shd w:val="clear" w:color="auto" w:fill="auto"/>
          </w:tcPr>
          <w:p w14:paraId="42E305A7" w14:textId="77777777" w:rsidR="005D1807" w:rsidRPr="002D6400" w:rsidRDefault="005D1807" w:rsidP="005D1807">
            <w:pPr>
              <w:spacing w:line="240" w:lineRule="auto"/>
              <w:rPr>
                <w:b w:val="0"/>
                <w:bCs/>
                <w:sz w:val="20"/>
                <w:szCs w:val="20"/>
              </w:rPr>
            </w:pPr>
            <w:r w:rsidRPr="002D6400">
              <w:rPr>
                <w:b w:val="0"/>
                <w:bCs/>
                <w:sz w:val="20"/>
                <w:szCs w:val="20"/>
              </w:rPr>
              <w:t>2020</w:t>
            </w:r>
          </w:p>
        </w:tc>
        <w:tc>
          <w:tcPr>
            <w:tcW w:w="1143" w:type="dxa"/>
            <w:tcBorders>
              <w:top w:val="single" w:sz="4" w:space="0" w:color="auto"/>
              <w:bottom w:val="single" w:sz="4" w:space="0" w:color="auto"/>
            </w:tcBorders>
            <w:shd w:val="clear" w:color="auto" w:fill="auto"/>
          </w:tcPr>
          <w:p w14:paraId="1A5C9F74" w14:textId="77777777" w:rsidR="005D1807" w:rsidRPr="002D6400" w:rsidRDefault="005D1807" w:rsidP="005D1807">
            <w:pPr>
              <w:spacing w:line="240" w:lineRule="auto"/>
              <w:rPr>
                <w:b w:val="0"/>
                <w:bCs/>
                <w:sz w:val="20"/>
                <w:szCs w:val="20"/>
              </w:rPr>
            </w:pPr>
            <w:r w:rsidRPr="002D6400">
              <w:rPr>
                <w:b w:val="0"/>
                <w:bCs/>
                <w:sz w:val="20"/>
                <w:szCs w:val="20"/>
              </w:rPr>
              <w:t>2021</w:t>
            </w:r>
          </w:p>
        </w:tc>
        <w:tc>
          <w:tcPr>
            <w:tcW w:w="1162" w:type="dxa"/>
            <w:tcBorders>
              <w:top w:val="single" w:sz="4" w:space="0" w:color="auto"/>
              <w:bottom w:val="single" w:sz="4" w:space="0" w:color="auto"/>
            </w:tcBorders>
            <w:shd w:val="clear" w:color="auto" w:fill="auto"/>
          </w:tcPr>
          <w:p w14:paraId="6E5DD910" w14:textId="77777777" w:rsidR="005D1807" w:rsidRPr="002D6400" w:rsidRDefault="005D1807" w:rsidP="005D1807">
            <w:pPr>
              <w:spacing w:line="240" w:lineRule="auto"/>
              <w:rPr>
                <w:b w:val="0"/>
                <w:bCs/>
                <w:sz w:val="20"/>
                <w:szCs w:val="20"/>
              </w:rPr>
            </w:pPr>
            <w:r w:rsidRPr="002D6400">
              <w:rPr>
                <w:b w:val="0"/>
                <w:bCs/>
                <w:sz w:val="20"/>
                <w:szCs w:val="20"/>
              </w:rPr>
              <w:t>2022</w:t>
            </w:r>
          </w:p>
        </w:tc>
        <w:tc>
          <w:tcPr>
            <w:tcW w:w="1143" w:type="dxa"/>
            <w:tcBorders>
              <w:top w:val="single" w:sz="4" w:space="0" w:color="auto"/>
              <w:bottom w:val="single" w:sz="4" w:space="0" w:color="auto"/>
            </w:tcBorders>
            <w:shd w:val="clear" w:color="auto" w:fill="auto"/>
          </w:tcPr>
          <w:p w14:paraId="215D364C" w14:textId="77777777" w:rsidR="005D1807" w:rsidRPr="002D6400" w:rsidRDefault="005D1807" w:rsidP="005D1807">
            <w:pPr>
              <w:spacing w:line="240" w:lineRule="auto"/>
              <w:rPr>
                <w:b w:val="0"/>
                <w:bCs/>
                <w:sz w:val="20"/>
                <w:szCs w:val="20"/>
              </w:rPr>
            </w:pPr>
            <w:r w:rsidRPr="002D6400">
              <w:rPr>
                <w:b w:val="0"/>
                <w:bCs/>
                <w:sz w:val="20"/>
                <w:szCs w:val="20"/>
              </w:rPr>
              <w:t>2023</w:t>
            </w:r>
          </w:p>
        </w:tc>
        <w:tc>
          <w:tcPr>
            <w:tcW w:w="1343" w:type="dxa"/>
            <w:tcBorders>
              <w:top w:val="single" w:sz="4" w:space="0" w:color="auto"/>
              <w:bottom w:val="single" w:sz="4" w:space="0" w:color="auto"/>
            </w:tcBorders>
            <w:shd w:val="clear" w:color="auto" w:fill="auto"/>
          </w:tcPr>
          <w:p w14:paraId="0FF8C247" w14:textId="77777777" w:rsidR="005D1807" w:rsidRPr="002D6400" w:rsidRDefault="005D1807" w:rsidP="005D1807">
            <w:pPr>
              <w:spacing w:line="240" w:lineRule="auto"/>
              <w:rPr>
                <w:b w:val="0"/>
                <w:bCs/>
                <w:sz w:val="20"/>
                <w:szCs w:val="20"/>
              </w:rPr>
            </w:pPr>
            <w:r w:rsidRPr="002D6400">
              <w:rPr>
                <w:b w:val="0"/>
                <w:bCs/>
                <w:sz w:val="20"/>
                <w:szCs w:val="20"/>
              </w:rPr>
              <w:t>2024</w:t>
            </w:r>
          </w:p>
        </w:tc>
      </w:tr>
      <w:tr w:rsidR="002D6400" w:rsidRPr="002D6400" w14:paraId="4FFD21D4" w14:textId="77777777" w:rsidTr="002D6400">
        <w:trPr>
          <w:trHeight w:val="233"/>
        </w:trPr>
        <w:tc>
          <w:tcPr>
            <w:tcW w:w="3720" w:type="dxa"/>
            <w:tcBorders>
              <w:top w:val="single" w:sz="4" w:space="0" w:color="auto"/>
            </w:tcBorders>
            <w:shd w:val="clear" w:color="auto" w:fill="auto"/>
            <w:noWrap/>
          </w:tcPr>
          <w:p w14:paraId="579EC5E7" w14:textId="77777777" w:rsidR="005D1807" w:rsidRPr="002D6400" w:rsidRDefault="005D1807" w:rsidP="005D1807">
            <w:pPr>
              <w:spacing w:line="240" w:lineRule="auto"/>
              <w:rPr>
                <w:b w:val="0"/>
                <w:bCs/>
                <w:sz w:val="20"/>
                <w:szCs w:val="20"/>
              </w:rPr>
            </w:pPr>
            <w:r w:rsidRPr="002D6400">
              <w:rPr>
                <w:b w:val="0"/>
                <w:bCs/>
                <w:sz w:val="20"/>
                <w:szCs w:val="20"/>
              </w:rPr>
              <w:t>Անվանական ՀՆԱ, մլրդ դրամ</w:t>
            </w:r>
          </w:p>
        </w:tc>
        <w:tc>
          <w:tcPr>
            <w:tcW w:w="1286" w:type="dxa"/>
            <w:tcBorders>
              <w:top w:val="single" w:sz="4" w:space="0" w:color="auto"/>
            </w:tcBorders>
            <w:shd w:val="clear" w:color="auto" w:fill="auto"/>
          </w:tcPr>
          <w:p w14:paraId="011B18B9" w14:textId="77777777" w:rsidR="005D1807" w:rsidRPr="002D6400" w:rsidRDefault="005D1807" w:rsidP="005D1807">
            <w:pPr>
              <w:spacing w:line="240" w:lineRule="auto"/>
              <w:rPr>
                <w:b w:val="0"/>
                <w:bCs/>
                <w:sz w:val="20"/>
                <w:szCs w:val="20"/>
              </w:rPr>
            </w:pPr>
            <w:r w:rsidRPr="002D6400">
              <w:rPr>
                <w:b w:val="0"/>
                <w:bCs/>
                <w:sz w:val="20"/>
                <w:szCs w:val="20"/>
              </w:rPr>
              <w:t>6,181.9</w:t>
            </w:r>
          </w:p>
        </w:tc>
        <w:tc>
          <w:tcPr>
            <w:tcW w:w="1143" w:type="dxa"/>
            <w:tcBorders>
              <w:top w:val="single" w:sz="4" w:space="0" w:color="auto"/>
            </w:tcBorders>
            <w:shd w:val="clear" w:color="auto" w:fill="auto"/>
          </w:tcPr>
          <w:p w14:paraId="0790109B" w14:textId="77777777" w:rsidR="005D1807" w:rsidRPr="002D6400" w:rsidRDefault="005D1807" w:rsidP="005D1807">
            <w:pPr>
              <w:spacing w:line="240" w:lineRule="auto"/>
              <w:rPr>
                <w:b w:val="0"/>
                <w:bCs/>
                <w:sz w:val="20"/>
                <w:szCs w:val="20"/>
              </w:rPr>
            </w:pPr>
            <w:r w:rsidRPr="002D6400">
              <w:rPr>
                <w:b w:val="0"/>
                <w:bCs/>
                <w:sz w:val="20"/>
                <w:szCs w:val="20"/>
              </w:rPr>
              <w:t>6,991.8</w:t>
            </w:r>
          </w:p>
        </w:tc>
        <w:tc>
          <w:tcPr>
            <w:tcW w:w="1162" w:type="dxa"/>
            <w:tcBorders>
              <w:top w:val="single" w:sz="4" w:space="0" w:color="auto"/>
            </w:tcBorders>
            <w:shd w:val="clear" w:color="auto" w:fill="auto"/>
          </w:tcPr>
          <w:p w14:paraId="3CD9C1E8" w14:textId="77777777" w:rsidR="005D1807" w:rsidRPr="002D6400" w:rsidRDefault="005D1807" w:rsidP="005D1807">
            <w:pPr>
              <w:spacing w:line="240" w:lineRule="auto"/>
              <w:rPr>
                <w:b w:val="0"/>
                <w:bCs/>
                <w:sz w:val="20"/>
                <w:szCs w:val="20"/>
              </w:rPr>
            </w:pPr>
            <w:r w:rsidRPr="002D6400">
              <w:rPr>
                <w:b w:val="0"/>
                <w:bCs/>
                <w:sz w:val="20"/>
                <w:szCs w:val="20"/>
              </w:rPr>
              <w:t>8,501.4</w:t>
            </w:r>
          </w:p>
        </w:tc>
        <w:tc>
          <w:tcPr>
            <w:tcW w:w="1143" w:type="dxa"/>
            <w:tcBorders>
              <w:top w:val="single" w:sz="4" w:space="0" w:color="auto"/>
            </w:tcBorders>
            <w:shd w:val="clear" w:color="auto" w:fill="auto"/>
          </w:tcPr>
          <w:p w14:paraId="08F0BE15" w14:textId="77777777" w:rsidR="005D1807" w:rsidRPr="002D6400" w:rsidRDefault="005D1807" w:rsidP="005D1807">
            <w:pPr>
              <w:spacing w:line="240" w:lineRule="auto"/>
              <w:rPr>
                <w:b w:val="0"/>
                <w:bCs/>
                <w:sz w:val="20"/>
                <w:szCs w:val="20"/>
              </w:rPr>
            </w:pPr>
            <w:r w:rsidRPr="002D6400">
              <w:rPr>
                <w:b w:val="0"/>
                <w:bCs/>
                <w:sz w:val="20"/>
                <w:szCs w:val="20"/>
              </w:rPr>
              <w:t xml:space="preserve"> 9,450.1 </w:t>
            </w:r>
          </w:p>
        </w:tc>
        <w:tc>
          <w:tcPr>
            <w:tcW w:w="1343" w:type="dxa"/>
            <w:tcBorders>
              <w:top w:val="single" w:sz="4" w:space="0" w:color="auto"/>
            </w:tcBorders>
            <w:shd w:val="clear" w:color="auto" w:fill="auto"/>
          </w:tcPr>
          <w:p w14:paraId="16B8F0DE" w14:textId="77777777" w:rsidR="005D1807" w:rsidRPr="002D6400" w:rsidRDefault="005D1807" w:rsidP="005D1807">
            <w:pPr>
              <w:spacing w:line="240" w:lineRule="auto"/>
              <w:rPr>
                <w:b w:val="0"/>
                <w:bCs/>
                <w:sz w:val="20"/>
                <w:szCs w:val="20"/>
              </w:rPr>
            </w:pPr>
            <w:r w:rsidRPr="002D6400">
              <w:rPr>
                <w:b w:val="0"/>
                <w:bCs/>
                <w:sz w:val="20"/>
                <w:szCs w:val="20"/>
              </w:rPr>
              <w:t xml:space="preserve"> 10,516.1 </w:t>
            </w:r>
          </w:p>
        </w:tc>
      </w:tr>
      <w:tr w:rsidR="005D1807" w:rsidRPr="002D6400" w14:paraId="17F19A91" w14:textId="77777777" w:rsidTr="002D6400">
        <w:trPr>
          <w:trHeight w:val="233"/>
        </w:trPr>
        <w:tc>
          <w:tcPr>
            <w:tcW w:w="3720" w:type="dxa"/>
            <w:shd w:val="clear" w:color="auto" w:fill="auto"/>
            <w:noWrap/>
          </w:tcPr>
          <w:p w14:paraId="3D07B029" w14:textId="77777777" w:rsidR="005D1807" w:rsidRPr="002D6400" w:rsidRDefault="005D1807" w:rsidP="005D1807">
            <w:pPr>
              <w:spacing w:line="240" w:lineRule="auto"/>
              <w:rPr>
                <w:b w:val="0"/>
                <w:bCs/>
                <w:sz w:val="20"/>
                <w:szCs w:val="20"/>
              </w:rPr>
            </w:pPr>
            <w:r w:rsidRPr="002D6400">
              <w:rPr>
                <w:b w:val="0"/>
                <w:bCs/>
                <w:sz w:val="20"/>
                <w:szCs w:val="20"/>
              </w:rPr>
              <w:t>Տնտեսական աճ, %</w:t>
            </w:r>
          </w:p>
        </w:tc>
        <w:tc>
          <w:tcPr>
            <w:tcW w:w="1286" w:type="dxa"/>
            <w:shd w:val="clear" w:color="auto" w:fill="auto"/>
          </w:tcPr>
          <w:p w14:paraId="6AFDEF2E" w14:textId="77777777" w:rsidR="005D1807" w:rsidRPr="002D6400" w:rsidRDefault="005D1807" w:rsidP="005D1807">
            <w:pPr>
              <w:spacing w:line="240" w:lineRule="auto"/>
              <w:rPr>
                <w:b w:val="0"/>
                <w:bCs/>
                <w:sz w:val="20"/>
                <w:szCs w:val="20"/>
              </w:rPr>
            </w:pPr>
            <w:r w:rsidRPr="002D6400">
              <w:rPr>
                <w:b w:val="0"/>
                <w:bCs/>
                <w:sz w:val="20"/>
                <w:szCs w:val="20"/>
              </w:rPr>
              <w:t>-7.2</w:t>
            </w:r>
          </w:p>
        </w:tc>
        <w:tc>
          <w:tcPr>
            <w:tcW w:w="1143" w:type="dxa"/>
            <w:shd w:val="clear" w:color="auto" w:fill="auto"/>
          </w:tcPr>
          <w:p w14:paraId="2ACDB332" w14:textId="77777777" w:rsidR="005D1807" w:rsidRPr="002D6400" w:rsidRDefault="005D1807" w:rsidP="005D1807">
            <w:pPr>
              <w:spacing w:line="240" w:lineRule="auto"/>
              <w:rPr>
                <w:b w:val="0"/>
                <w:bCs/>
                <w:sz w:val="20"/>
                <w:szCs w:val="20"/>
              </w:rPr>
            </w:pPr>
            <w:r w:rsidRPr="002D6400">
              <w:rPr>
                <w:b w:val="0"/>
                <w:bCs/>
                <w:sz w:val="20"/>
                <w:szCs w:val="20"/>
              </w:rPr>
              <w:t>5.8</w:t>
            </w:r>
          </w:p>
        </w:tc>
        <w:tc>
          <w:tcPr>
            <w:tcW w:w="1162" w:type="dxa"/>
            <w:shd w:val="clear" w:color="auto" w:fill="auto"/>
          </w:tcPr>
          <w:p w14:paraId="306045D4" w14:textId="77777777" w:rsidR="005D1807" w:rsidRPr="002D6400" w:rsidRDefault="005D1807" w:rsidP="005D1807">
            <w:pPr>
              <w:spacing w:line="240" w:lineRule="auto"/>
              <w:rPr>
                <w:b w:val="0"/>
                <w:bCs/>
                <w:sz w:val="20"/>
                <w:szCs w:val="20"/>
              </w:rPr>
            </w:pPr>
            <w:r w:rsidRPr="002D6400">
              <w:rPr>
                <w:b w:val="0"/>
                <w:bCs/>
                <w:sz w:val="20"/>
                <w:szCs w:val="20"/>
              </w:rPr>
              <w:t>12.6</w:t>
            </w:r>
          </w:p>
        </w:tc>
        <w:tc>
          <w:tcPr>
            <w:tcW w:w="1143" w:type="dxa"/>
            <w:shd w:val="clear" w:color="auto" w:fill="auto"/>
          </w:tcPr>
          <w:p w14:paraId="7863A67C" w14:textId="77777777" w:rsidR="005D1807" w:rsidRPr="002D6400" w:rsidRDefault="005D1807" w:rsidP="005D1807">
            <w:pPr>
              <w:spacing w:line="240" w:lineRule="auto"/>
              <w:rPr>
                <w:b w:val="0"/>
                <w:bCs/>
                <w:sz w:val="20"/>
                <w:szCs w:val="20"/>
              </w:rPr>
            </w:pPr>
            <w:r w:rsidRPr="002D6400">
              <w:rPr>
                <w:b w:val="0"/>
                <w:bCs/>
                <w:sz w:val="20"/>
                <w:szCs w:val="20"/>
              </w:rPr>
              <w:t>7.4</w:t>
            </w:r>
          </w:p>
        </w:tc>
        <w:tc>
          <w:tcPr>
            <w:tcW w:w="1343" w:type="dxa"/>
            <w:shd w:val="clear" w:color="auto" w:fill="auto"/>
          </w:tcPr>
          <w:p w14:paraId="21F6E666" w14:textId="77777777" w:rsidR="005D1807" w:rsidRPr="002D6400" w:rsidRDefault="005D1807" w:rsidP="005D1807">
            <w:pPr>
              <w:spacing w:line="240" w:lineRule="auto"/>
              <w:rPr>
                <w:b w:val="0"/>
                <w:bCs/>
                <w:sz w:val="20"/>
                <w:szCs w:val="20"/>
              </w:rPr>
            </w:pPr>
            <w:r w:rsidRPr="002D6400">
              <w:rPr>
                <w:b w:val="0"/>
                <w:bCs/>
                <w:sz w:val="20"/>
                <w:szCs w:val="20"/>
              </w:rPr>
              <w:t>7.0</w:t>
            </w:r>
          </w:p>
        </w:tc>
      </w:tr>
      <w:tr w:rsidR="005D1807" w:rsidRPr="002D6400" w14:paraId="259B101C" w14:textId="77777777" w:rsidTr="002D6400">
        <w:trPr>
          <w:trHeight w:val="242"/>
        </w:trPr>
        <w:tc>
          <w:tcPr>
            <w:tcW w:w="3720" w:type="dxa"/>
            <w:shd w:val="clear" w:color="auto" w:fill="auto"/>
            <w:noWrap/>
          </w:tcPr>
          <w:p w14:paraId="2AC37967" w14:textId="77777777" w:rsidR="005D1807" w:rsidRPr="002D6400" w:rsidRDefault="005D1807" w:rsidP="005D1807">
            <w:pPr>
              <w:spacing w:line="240" w:lineRule="auto"/>
              <w:rPr>
                <w:b w:val="0"/>
                <w:bCs/>
                <w:sz w:val="20"/>
                <w:szCs w:val="20"/>
              </w:rPr>
            </w:pPr>
            <w:r w:rsidRPr="002D6400">
              <w:rPr>
                <w:b w:val="0"/>
                <w:bCs/>
                <w:sz w:val="20"/>
                <w:szCs w:val="20"/>
              </w:rPr>
              <w:t>ՀՆԱ դեֆլյատորի աճ, %</w:t>
            </w:r>
          </w:p>
        </w:tc>
        <w:tc>
          <w:tcPr>
            <w:tcW w:w="1286" w:type="dxa"/>
            <w:shd w:val="clear" w:color="auto" w:fill="auto"/>
          </w:tcPr>
          <w:p w14:paraId="28153E42" w14:textId="77777777" w:rsidR="005D1807" w:rsidRPr="002D6400" w:rsidRDefault="005D1807" w:rsidP="005D1807">
            <w:pPr>
              <w:spacing w:line="240" w:lineRule="auto"/>
              <w:rPr>
                <w:b w:val="0"/>
                <w:bCs/>
                <w:sz w:val="20"/>
                <w:szCs w:val="20"/>
              </w:rPr>
            </w:pPr>
            <w:r w:rsidRPr="002D6400">
              <w:rPr>
                <w:b w:val="0"/>
                <w:bCs/>
                <w:sz w:val="20"/>
                <w:szCs w:val="20"/>
              </w:rPr>
              <w:t>1.8</w:t>
            </w:r>
          </w:p>
        </w:tc>
        <w:tc>
          <w:tcPr>
            <w:tcW w:w="1143" w:type="dxa"/>
            <w:shd w:val="clear" w:color="auto" w:fill="auto"/>
          </w:tcPr>
          <w:p w14:paraId="52023BA6" w14:textId="77777777" w:rsidR="005D1807" w:rsidRPr="002D6400" w:rsidRDefault="005D1807" w:rsidP="005D1807">
            <w:pPr>
              <w:spacing w:line="240" w:lineRule="auto"/>
              <w:rPr>
                <w:b w:val="0"/>
                <w:bCs/>
                <w:sz w:val="20"/>
                <w:szCs w:val="20"/>
              </w:rPr>
            </w:pPr>
            <w:r w:rsidRPr="002D6400">
              <w:rPr>
                <w:b w:val="0"/>
                <w:bCs/>
                <w:sz w:val="20"/>
                <w:szCs w:val="20"/>
              </w:rPr>
              <w:t>6.9</w:t>
            </w:r>
          </w:p>
        </w:tc>
        <w:tc>
          <w:tcPr>
            <w:tcW w:w="1162" w:type="dxa"/>
            <w:shd w:val="clear" w:color="auto" w:fill="auto"/>
          </w:tcPr>
          <w:p w14:paraId="3AB728B2" w14:textId="77777777" w:rsidR="005D1807" w:rsidRPr="002D6400" w:rsidRDefault="005D1807" w:rsidP="005D1807">
            <w:pPr>
              <w:spacing w:line="240" w:lineRule="auto"/>
              <w:rPr>
                <w:b w:val="0"/>
                <w:bCs/>
                <w:sz w:val="20"/>
                <w:szCs w:val="20"/>
              </w:rPr>
            </w:pPr>
            <w:r w:rsidRPr="002D6400">
              <w:rPr>
                <w:b w:val="0"/>
                <w:bCs/>
                <w:sz w:val="20"/>
                <w:szCs w:val="20"/>
              </w:rPr>
              <w:t>8.0</w:t>
            </w:r>
          </w:p>
        </w:tc>
        <w:tc>
          <w:tcPr>
            <w:tcW w:w="1143" w:type="dxa"/>
            <w:shd w:val="clear" w:color="auto" w:fill="auto"/>
          </w:tcPr>
          <w:p w14:paraId="1FA102E4" w14:textId="77777777" w:rsidR="005D1807" w:rsidRPr="002D6400" w:rsidRDefault="005D1807" w:rsidP="005D1807">
            <w:pPr>
              <w:spacing w:line="240" w:lineRule="auto"/>
              <w:rPr>
                <w:b w:val="0"/>
                <w:bCs/>
                <w:sz w:val="20"/>
                <w:szCs w:val="20"/>
              </w:rPr>
            </w:pPr>
            <w:r w:rsidRPr="002D6400">
              <w:rPr>
                <w:b w:val="0"/>
                <w:bCs/>
                <w:sz w:val="20"/>
                <w:szCs w:val="20"/>
              </w:rPr>
              <w:t>3.5</w:t>
            </w:r>
          </w:p>
        </w:tc>
        <w:tc>
          <w:tcPr>
            <w:tcW w:w="1343" w:type="dxa"/>
            <w:shd w:val="clear" w:color="auto" w:fill="auto"/>
          </w:tcPr>
          <w:p w14:paraId="7EF8B094" w14:textId="77777777" w:rsidR="005D1807" w:rsidRPr="002D6400" w:rsidRDefault="005D1807" w:rsidP="005D1807">
            <w:pPr>
              <w:spacing w:line="240" w:lineRule="auto"/>
              <w:rPr>
                <w:b w:val="0"/>
                <w:bCs/>
                <w:sz w:val="20"/>
                <w:szCs w:val="20"/>
              </w:rPr>
            </w:pPr>
            <w:r w:rsidRPr="002D6400">
              <w:rPr>
                <w:b w:val="0"/>
                <w:bCs/>
                <w:sz w:val="20"/>
                <w:szCs w:val="20"/>
              </w:rPr>
              <w:t>4.0</w:t>
            </w:r>
          </w:p>
        </w:tc>
      </w:tr>
      <w:tr w:rsidR="005D1807" w:rsidRPr="002D6400" w14:paraId="39C19428" w14:textId="77777777" w:rsidTr="002D6400">
        <w:trPr>
          <w:trHeight w:val="233"/>
        </w:trPr>
        <w:tc>
          <w:tcPr>
            <w:tcW w:w="3720" w:type="dxa"/>
            <w:shd w:val="clear" w:color="auto" w:fill="auto"/>
            <w:noWrap/>
          </w:tcPr>
          <w:p w14:paraId="48C5BCD7" w14:textId="77777777" w:rsidR="005D1807" w:rsidRPr="002D6400" w:rsidRDefault="005D1807" w:rsidP="005D1807">
            <w:pPr>
              <w:spacing w:line="240" w:lineRule="auto"/>
              <w:rPr>
                <w:b w:val="0"/>
                <w:bCs/>
                <w:sz w:val="20"/>
                <w:szCs w:val="20"/>
              </w:rPr>
            </w:pPr>
            <w:r w:rsidRPr="002D6400">
              <w:rPr>
                <w:b w:val="0"/>
                <w:bCs/>
                <w:sz w:val="20"/>
                <w:szCs w:val="20"/>
              </w:rPr>
              <w:t>Գնաճ (ժամանակաշրջանի վերջ), %</w:t>
            </w:r>
          </w:p>
        </w:tc>
        <w:tc>
          <w:tcPr>
            <w:tcW w:w="1286" w:type="dxa"/>
            <w:shd w:val="clear" w:color="auto" w:fill="auto"/>
            <w:vAlign w:val="center"/>
          </w:tcPr>
          <w:p w14:paraId="64EA668F" w14:textId="77777777" w:rsidR="005D1807" w:rsidRPr="002D6400" w:rsidRDefault="005D1807" w:rsidP="005D1807">
            <w:pPr>
              <w:spacing w:line="240" w:lineRule="auto"/>
              <w:rPr>
                <w:b w:val="0"/>
                <w:bCs/>
                <w:sz w:val="20"/>
                <w:szCs w:val="20"/>
              </w:rPr>
            </w:pPr>
            <w:r w:rsidRPr="002D6400">
              <w:rPr>
                <w:b w:val="0"/>
                <w:bCs/>
                <w:sz w:val="20"/>
                <w:szCs w:val="20"/>
              </w:rPr>
              <w:t>3.7</w:t>
            </w:r>
          </w:p>
        </w:tc>
        <w:tc>
          <w:tcPr>
            <w:tcW w:w="1143" w:type="dxa"/>
            <w:shd w:val="clear" w:color="auto" w:fill="auto"/>
            <w:vAlign w:val="center"/>
          </w:tcPr>
          <w:p w14:paraId="0F6D6FB7" w14:textId="77777777" w:rsidR="005D1807" w:rsidRPr="002D6400" w:rsidRDefault="005D1807" w:rsidP="005D1807">
            <w:pPr>
              <w:spacing w:line="240" w:lineRule="auto"/>
              <w:rPr>
                <w:b w:val="0"/>
                <w:bCs/>
                <w:sz w:val="20"/>
                <w:szCs w:val="20"/>
              </w:rPr>
            </w:pPr>
            <w:r w:rsidRPr="002D6400">
              <w:rPr>
                <w:b w:val="0"/>
                <w:bCs/>
                <w:sz w:val="20"/>
                <w:szCs w:val="20"/>
              </w:rPr>
              <w:t>7.7</w:t>
            </w:r>
          </w:p>
        </w:tc>
        <w:tc>
          <w:tcPr>
            <w:tcW w:w="1162" w:type="dxa"/>
            <w:shd w:val="clear" w:color="auto" w:fill="auto"/>
            <w:vAlign w:val="center"/>
          </w:tcPr>
          <w:p w14:paraId="74638B4E" w14:textId="77777777" w:rsidR="005D1807" w:rsidRPr="002D6400" w:rsidRDefault="005D1807" w:rsidP="005D1807">
            <w:pPr>
              <w:spacing w:line="240" w:lineRule="auto"/>
              <w:rPr>
                <w:b w:val="0"/>
                <w:bCs/>
                <w:sz w:val="20"/>
                <w:szCs w:val="20"/>
              </w:rPr>
            </w:pPr>
            <w:r w:rsidRPr="002D6400">
              <w:rPr>
                <w:b w:val="0"/>
                <w:bCs/>
                <w:sz w:val="20"/>
                <w:szCs w:val="20"/>
              </w:rPr>
              <w:t>8.3</w:t>
            </w:r>
          </w:p>
        </w:tc>
        <w:tc>
          <w:tcPr>
            <w:tcW w:w="1143" w:type="dxa"/>
            <w:shd w:val="clear" w:color="auto" w:fill="auto"/>
          </w:tcPr>
          <w:p w14:paraId="29E428A6" w14:textId="77777777" w:rsidR="005D1807" w:rsidRPr="002D6400" w:rsidRDefault="005D1807" w:rsidP="005D1807">
            <w:pPr>
              <w:spacing w:line="240" w:lineRule="auto"/>
              <w:rPr>
                <w:b w:val="0"/>
                <w:bCs/>
                <w:sz w:val="20"/>
                <w:szCs w:val="20"/>
              </w:rPr>
            </w:pPr>
            <w:r w:rsidRPr="002D6400">
              <w:rPr>
                <w:b w:val="0"/>
                <w:bCs/>
                <w:sz w:val="20"/>
                <w:szCs w:val="20"/>
              </w:rPr>
              <w:t>0.4</w:t>
            </w:r>
          </w:p>
        </w:tc>
        <w:tc>
          <w:tcPr>
            <w:tcW w:w="1343" w:type="dxa"/>
            <w:shd w:val="clear" w:color="auto" w:fill="auto"/>
          </w:tcPr>
          <w:p w14:paraId="30F81EC7" w14:textId="77777777" w:rsidR="005D1807" w:rsidRPr="002D6400" w:rsidRDefault="005D1807" w:rsidP="005D1807">
            <w:pPr>
              <w:spacing w:line="240" w:lineRule="auto"/>
              <w:rPr>
                <w:b w:val="0"/>
                <w:bCs/>
                <w:sz w:val="20"/>
                <w:szCs w:val="20"/>
              </w:rPr>
            </w:pPr>
            <w:r w:rsidRPr="002D6400">
              <w:rPr>
                <w:b w:val="0"/>
                <w:bCs/>
                <w:sz w:val="20"/>
                <w:szCs w:val="20"/>
              </w:rPr>
              <w:t>4.0</w:t>
            </w:r>
          </w:p>
        </w:tc>
      </w:tr>
      <w:tr w:rsidR="002D6400" w:rsidRPr="002D6400" w14:paraId="4090E51E" w14:textId="77777777" w:rsidTr="002D6400">
        <w:trPr>
          <w:trHeight w:val="239"/>
        </w:trPr>
        <w:tc>
          <w:tcPr>
            <w:tcW w:w="3720" w:type="dxa"/>
            <w:tcBorders>
              <w:bottom w:val="single" w:sz="4" w:space="0" w:color="auto"/>
            </w:tcBorders>
            <w:shd w:val="clear" w:color="auto" w:fill="auto"/>
          </w:tcPr>
          <w:p w14:paraId="525D9088" w14:textId="77777777" w:rsidR="005D1807" w:rsidRPr="002D6400" w:rsidRDefault="005D1807" w:rsidP="005D1807">
            <w:pPr>
              <w:spacing w:line="240" w:lineRule="auto"/>
              <w:rPr>
                <w:b w:val="0"/>
                <w:bCs/>
                <w:sz w:val="20"/>
                <w:szCs w:val="20"/>
              </w:rPr>
            </w:pPr>
            <w:r w:rsidRPr="002D6400">
              <w:rPr>
                <w:b w:val="0"/>
                <w:bCs/>
                <w:sz w:val="20"/>
                <w:szCs w:val="20"/>
              </w:rPr>
              <w:t>Գնաճ (միջին), %</w:t>
            </w:r>
          </w:p>
        </w:tc>
        <w:tc>
          <w:tcPr>
            <w:tcW w:w="1286" w:type="dxa"/>
            <w:tcBorders>
              <w:bottom w:val="single" w:sz="4" w:space="0" w:color="auto"/>
            </w:tcBorders>
            <w:shd w:val="clear" w:color="auto" w:fill="auto"/>
            <w:vAlign w:val="center"/>
          </w:tcPr>
          <w:p w14:paraId="6A7E8E9D" w14:textId="77777777" w:rsidR="005D1807" w:rsidRPr="002D6400" w:rsidRDefault="005D1807" w:rsidP="005D1807">
            <w:pPr>
              <w:spacing w:line="240" w:lineRule="auto"/>
              <w:rPr>
                <w:b w:val="0"/>
                <w:bCs/>
                <w:sz w:val="20"/>
                <w:szCs w:val="20"/>
              </w:rPr>
            </w:pPr>
            <w:r w:rsidRPr="002D6400">
              <w:rPr>
                <w:b w:val="0"/>
                <w:bCs/>
                <w:sz w:val="20"/>
                <w:szCs w:val="20"/>
              </w:rPr>
              <w:t>1.2</w:t>
            </w:r>
          </w:p>
        </w:tc>
        <w:tc>
          <w:tcPr>
            <w:tcW w:w="1143" w:type="dxa"/>
            <w:tcBorders>
              <w:bottom w:val="single" w:sz="4" w:space="0" w:color="auto"/>
            </w:tcBorders>
            <w:shd w:val="clear" w:color="auto" w:fill="auto"/>
            <w:vAlign w:val="center"/>
          </w:tcPr>
          <w:p w14:paraId="14321BBE" w14:textId="77777777" w:rsidR="005D1807" w:rsidRPr="002D6400" w:rsidRDefault="005D1807" w:rsidP="005D1807">
            <w:pPr>
              <w:spacing w:line="240" w:lineRule="auto"/>
              <w:rPr>
                <w:b w:val="0"/>
                <w:bCs/>
                <w:sz w:val="20"/>
                <w:szCs w:val="20"/>
              </w:rPr>
            </w:pPr>
            <w:r w:rsidRPr="002D6400">
              <w:rPr>
                <w:b w:val="0"/>
                <w:bCs/>
                <w:sz w:val="20"/>
                <w:szCs w:val="20"/>
              </w:rPr>
              <w:t>7.2</w:t>
            </w:r>
          </w:p>
        </w:tc>
        <w:tc>
          <w:tcPr>
            <w:tcW w:w="1162" w:type="dxa"/>
            <w:tcBorders>
              <w:bottom w:val="single" w:sz="4" w:space="0" w:color="auto"/>
            </w:tcBorders>
            <w:shd w:val="clear" w:color="auto" w:fill="auto"/>
            <w:vAlign w:val="center"/>
          </w:tcPr>
          <w:p w14:paraId="615F016B" w14:textId="77777777" w:rsidR="005D1807" w:rsidRPr="002D6400" w:rsidRDefault="005D1807" w:rsidP="005D1807">
            <w:pPr>
              <w:spacing w:line="240" w:lineRule="auto"/>
              <w:rPr>
                <w:b w:val="0"/>
                <w:bCs/>
                <w:sz w:val="20"/>
                <w:szCs w:val="20"/>
              </w:rPr>
            </w:pPr>
            <w:r w:rsidRPr="002D6400">
              <w:rPr>
                <w:b w:val="0"/>
                <w:bCs/>
                <w:sz w:val="20"/>
                <w:szCs w:val="20"/>
              </w:rPr>
              <w:t>8.6</w:t>
            </w:r>
          </w:p>
        </w:tc>
        <w:tc>
          <w:tcPr>
            <w:tcW w:w="1143" w:type="dxa"/>
            <w:tcBorders>
              <w:bottom w:val="single" w:sz="4" w:space="0" w:color="auto"/>
            </w:tcBorders>
            <w:shd w:val="clear" w:color="auto" w:fill="auto"/>
          </w:tcPr>
          <w:p w14:paraId="14C644F5" w14:textId="77777777" w:rsidR="005D1807" w:rsidRPr="002D6400" w:rsidRDefault="005D1807" w:rsidP="005D1807">
            <w:pPr>
              <w:spacing w:line="240" w:lineRule="auto"/>
              <w:rPr>
                <w:b w:val="0"/>
                <w:bCs/>
                <w:sz w:val="20"/>
                <w:szCs w:val="20"/>
              </w:rPr>
            </w:pPr>
            <w:r w:rsidRPr="002D6400">
              <w:rPr>
                <w:b w:val="0"/>
                <w:bCs/>
                <w:sz w:val="20"/>
                <w:szCs w:val="20"/>
              </w:rPr>
              <w:t>2.2</w:t>
            </w:r>
          </w:p>
        </w:tc>
        <w:tc>
          <w:tcPr>
            <w:tcW w:w="1343" w:type="dxa"/>
            <w:tcBorders>
              <w:bottom w:val="single" w:sz="4" w:space="0" w:color="auto"/>
            </w:tcBorders>
            <w:shd w:val="clear" w:color="auto" w:fill="auto"/>
          </w:tcPr>
          <w:p w14:paraId="155031BD" w14:textId="77777777" w:rsidR="005D1807" w:rsidRPr="002D6400" w:rsidRDefault="005D1807" w:rsidP="005D1807">
            <w:pPr>
              <w:spacing w:line="240" w:lineRule="auto"/>
              <w:rPr>
                <w:b w:val="0"/>
                <w:bCs/>
                <w:sz w:val="20"/>
                <w:szCs w:val="20"/>
              </w:rPr>
            </w:pPr>
            <w:r w:rsidRPr="002D6400">
              <w:rPr>
                <w:b w:val="0"/>
                <w:bCs/>
                <w:sz w:val="20"/>
                <w:szCs w:val="20"/>
              </w:rPr>
              <w:t>3.2</w:t>
            </w:r>
          </w:p>
        </w:tc>
      </w:tr>
      <w:tr w:rsidR="005D1807" w:rsidRPr="002D6400" w14:paraId="0B8B701E" w14:textId="77777777" w:rsidTr="002D6400">
        <w:trPr>
          <w:trHeight w:val="233"/>
        </w:trPr>
        <w:tc>
          <w:tcPr>
            <w:tcW w:w="9800" w:type="dxa"/>
            <w:gridSpan w:val="6"/>
            <w:tcBorders>
              <w:top w:val="single" w:sz="4" w:space="0" w:color="auto"/>
            </w:tcBorders>
            <w:shd w:val="clear" w:color="auto" w:fill="auto"/>
            <w:noWrap/>
            <w:vAlign w:val="center"/>
          </w:tcPr>
          <w:p w14:paraId="11B2985A" w14:textId="77777777" w:rsidR="005D1807" w:rsidRPr="002D6400" w:rsidRDefault="005D1807" w:rsidP="005D1807">
            <w:pPr>
              <w:spacing w:line="240" w:lineRule="auto"/>
              <w:rPr>
                <w:b w:val="0"/>
                <w:bCs/>
                <w:sz w:val="20"/>
                <w:szCs w:val="20"/>
              </w:rPr>
            </w:pPr>
            <w:r w:rsidRPr="002D6400">
              <w:rPr>
                <w:b w:val="0"/>
                <w:bCs/>
                <w:sz w:val="20"/>
                <w:szCs w:val="20"/>
              </w:rPr>
              <w:t>ՀՆԱ իրական աճն ըստ ճյուղերի ավելացված արժեքների, %</w:t>
            </w:r>
          </w:p>
        </w:tc>
      </w:tr>
      <w:tr w:rsidR="005D1807" w:rsidRPr="002D6400" w14:paraId="0EA3BE3D" w14:textId="77777777" w:rsidTr="002D6400">
        <w:trPr>
          <w:trHeight w:val="233"/>
        </w:trPr>
        <w:tc>
          <w:tcPr>
            <w:tcW w:w="3720" w:type="dxa"/>
            <w:shd w:val="clear" w:color="auto" w:fill="auto"/>
            <w:noWrap/>
          </w:tcPr>
          <w:p w14:paraId="7F58E3F2" w14:textId="77777777" w:rsidR="005D1807" w:rsidRPr="002D6400" w:rsidRDefault="005D1807" w:rsidP="005D1807">
            <w:pPr>
              <w:spacing w:line="240" w:lineRule="auto"/>
              <w:rPr>
                <w:b w:val="0"/>
                <w:bCs/>
                <w:sz w:val="20"/>
                <w:szCs w:val="20"/>
              </w:rPr>
            </w:pPr>
            <w:r w:rsidRPr="002D6400">
              <w:rPr>
                <w:b w:val="0"/>
                <w:bCs/>
                <w:sz w:val="20"/>
                <w:szCs w:val="20"/>
              </w:rPr>
              <w:t>Արդյունաբերություն</w:t>
            </w:r>
          </w:p>
        </w:tc>
        <w:tc>
          <w:tcPr>
            <w:tcW w:w="1286" w:type="dxa"/>
            <w:shd w:val="clear" w:color="auto" w:fill="auto"/>
          </w:tcPr>
          <w:p w14:paraId="102DABD6" w14:textId="77777777" w:rsidR="005D1807" w:rsidRPr="002D6400" w:rsidRDefault="005D1807" w:rsidP="005D1807">
            <w:pPr>
              <w:spacing w:line="240" w:lineRule="auto"/>
              <w:rPr>
                <w:b w:val="0"/>
                <w:bCs/>
                <w:sz w:val="20"/>
                <w:szCs w:val="20"/>
              </w:rPr>
            </w:pPr>
            <w:r w:rsidRPr="002D6400">
              <w:rPr>
                <w:b w:val="0"/>
                <w:bCs/>
                <w:sz w:val="20"/>
                <w:szCs w:val="20"/>
              </w:rPr>
              <w:t>-1.4</w:t>
            </w:r>
          </w:p>
        </w:tc>
        <w:tc>
          <w:tcPr>
            <w:tcW w:w="1143" w:type="dxa"/>
            <w:shd w:val="clear" w:color="auto" w:fill="auto"/>
          </w:tcPr>
          <w:p w14:paraId="4325DA07" w14:textId="77777777" w:rsidR="005D1807" w:rsidRPr="002D6400" w:rsidRDefault="005D1807" w:rsidP="005D1807">
            <w:pPr>
              <w:spacing w:line="240" w:lineRule="auto"/>
              <w:rPr>
                <w:b w:val="0"/>
                <w:bCs/>
                <w:sz w:val="20"/>
                <w:szCs w:val="20"/>
              </w:rPr>
            </w:pPr>
            <w:r w:rsidRPr="002D6400">
              <w:rPr>
                <w:b w:val="0"/>
                <w:bCs/>
                <w:sz w:val="20"/>
                <w:szCs w:val="20"/>
              </w:rPr>
              <w:t>2.4</w:t>
            </w:r>
          </w:p>
        </w:tc>
        <w:tc>
          <w:tcPr>
            <w:tcW w:w="1162" w:type="dxa"/>
            <w:shd w:val="clear" w:color="auto" w:fill="auto"/>
          </w:tcPr>
          <w:p w14:paraId="1E2A1B9B" w14:textId="77777777" w:rsidR="005D1807" w:rsidRPr="002D6400" w:rsidRDefault="005D1807" w:rsidP="005D1807">
            <w:pPr>
              <w:spacing w:line="240" w:lineRule="auto"/>
              <w:rPr>
                <w:b w:val="0"/>
                <w:bCs/>
                <w:sz w:val="20"/>
                <w:szCs w:val="20"/>
              </w:rPr>
            </w:pPr>
            <w:r w:rsidRPr="002D6400">
              <w:rPr>
                <w:b w:val="0"/>
                <w:bCs/>
                <w:sz w:val="20"/>
                <w:szCs w:val="20"/>
              </w:rPr>
              <w:t>6.0</w:t>
            </w:r>
          </w:p>
        </w:tc>
        <w:tc>
          <w:tcPr>
            <w:tcW w:w="1143" w:type="dxa"/>
            <w:shd w:val="clear" w:color="auto" w:fill="auto"/>
          </w:tcPr>
          <w:p w14:paraId="5071D3B6" w14:textId="77777777" w:rsidR="005D1807" w:rsidRPr="002D6400" w:rsidRDefault="005D1807" w:rsidP="005D1807">
            <w:pPr>
              <w:spacing w:line="240" w:lineRule="auto"/>
              <w:rPr>
                <w:b w:val="0"/>
                <w:bCs/>
                <w:sz w:val="20"/>
                <w:szCs w:val="20"/>
              </w:rPr>
            </w:pPr>
            <w:r w:rsidRPr="002D6400">
              <w:rPr>
                <w:b w:val="0"/>
                <w:bCs/>
                <w:sz w:val="20"/>
                <w:szCs w:val="20"/>
              </w:rPr>
              <w:t>0.8</w:t>
            </w:r>
          </w:p>
        </w:tc>
        <w:tc>
          <w:tcPr>
            <w:tcW w:w="1343" w:type="dxa"/>
            <w:shd w:val="clear" w:color="auto" w:fill="auto"/>
          </w:tcPr>
          <w:p w14:paraId="39D3D51E" w14:textId="77777777" w:rsidR="005D1807" w:rsidRPr="002D6400" w:rsidRDefault="005D1807" w:rsidP="005D1807">
            <w:pPr>
              <w:spacing w:line="240" w:lineRule="auto"/>
              <w:rPr>
                <w:b w:val="0"/>
                <w:bCs/>
                <w:sz w:val="20"/>
                <w:szCs w:val="20"/>
              </w:rPr>
            </w:pPr>
            <w:r w:rsidRPr="002D6400">
              <w:rPr>
                <w:b w:val="0"/>
                <w:bCs/>
                <w:sz w:val="20"/>
                <w:szCs w:val="20"/>
              </w:rPr>
              <w:t>4.7</w:t>
            </w:r>
          </w:p>
        </w:tc>
      </w:tr>
      <w:tr w:rsidR="005D1807" w:rsidRPr="002D6400" w14:paraId="4EDC444C" w14:textId="77777777" w:rsidTr="002D6400">
        <w:trPr>
          <w:trHeight w:val="58"/>
        </w:trPr>
        <w:tc>
          <w:tcPr>
            <w:tcW w:w="3720" w:type="dxa"/>
            <w:shd w:val="clear" w:color="auto" w:fill="auto"/>
          </w:tcPr>
          <w:p w14:paraId="3AC5D193" w14:textId="77777777" w:rsidR="005D1807" w:rsidRPr="002D6400" w:rsidRDefault="005D1807" w:rsidP="005D1807">
            <w:pPr>
              <w:spacing w:line="240" w:lineRule="auto"/>
              <w:rPr>
                <w:b w:val="0"/>
                <w:bCs/>
                <w:sz w:val="20"/>
                <w:szCs w:val="20"/>
              </w:rPr>
            </w:pPr>
            <w:r w:rsidRPr="002D6400">
              <w:rPr>
                <w:b w:val="0"/>
                <w:bCs/>
                <w:sz w:val="20"/>
                <w:szCs w:val="20"/>
              </w:rPr>
              <w:t xml:space="preserve">Գյուղատնտեսություն </w:t>
            </w:r>
          </w:p>
        </w:tc>
        <w:tc>
          <w:tcPr>
            <w:tcW w:w="1286" w:type="dxa"/>
            <w:shd w:val="clear" w:color="auto" w:fill="auto"/>
          </w:tcPr>
          <w:p w14:paraId="5205BCB5" w14:textId="77777777" w:rsidR="005D1807" w:rsidRPr="002D6400" w:rsidRDefault="005D1807" w:rsidP="005D1807">
            <w:pPr>
              <w:spacing w:line="240" w:lineRule="auto"/>
              <w:rPr>
                <w:b w:val="0"/>
                <w:bCs/>
                <w:sz w:val="20"/>
                <w:szCs w:val="20"/>
              </w:rPr>
            </w:pPr>
            <w:r w:rsidRPr="002D6400">
              <w:rPr>
                <w:b w:val="0"/>
                <w:bCs/>
                <w:sz w:val="20"/>
                <w:szCs w:val="20"/>
              </w:rPr>
              <w:t>-3.7</w:t>
            </w:r>
          </w:p>
        </w:tc>
        <w:tc>
          <w:tcPr>
            <w:tcW w:w="1143" w:type="dxa"/>
            <w:shd w:val="clear" w:color="auto" w:fill="auto"/>
          </w:tcPr>
          <w:p w14:paraId="41255075" w14:textId="77777777" w:rsidR="005D1807" w:rsidRPr="002D6400" w:rsidRDefault="005D1807" w:rsidP="005D1807">
            <w:pPr>
              <w:spacing w:line="240" w:lineRule="auto"/>
              <w:rPr>
                <w:b w:val="0"/>
                <w:bCs/>
                <w:sz w:val="20"/>
                <w:szCs w:val="20"/>
              </w:rPr>
            </w:pPr>
            <w:r w:rsidRPr="002D6400">
              <w:rPr>
                <w:b w:val="0"/>
                <w:bCs/>
                <w:sz w:val="20"/>
                <w:szCs w:val="20"/>
              </w:rPr>
              <w:t>-0.8</w:t>
            </w:r>
          </w:p>
        </w:tc>
        <w:tc>
          <w:tcPr>
            <w:tcW w:w="1162" w:type="dxa"/>
            <w:shd w:val="clear" w:color="auto" w:fill="auto"/>
          </w:tcPr>
          <w:p w14:paraId="4F8C7723" w14:textId="77777777" w:rsidR="005D1807" w:rsidRPr="002D6400" w:rsidRDefault="005D1807" w:rsidP="005D1807">
            <w:pPr>
              <w:spacing w:line="240" w:lineRule="auto"/>
              <w:rPr>
                <w:b w:val="0"/>
                <w:bCs/>
                <w:sz w:val="20"/>
                <w:szCs w:val="20"/>
              </w:rPr>
            </w:pPr>
            <w:r w:rsidRPr="002D6400">
              <w:rPr>
                <w:b w:val="0"/>
                <w:bCs/>
                <w:sz w:val="20"/>
                <w:szCs w:val="20"/>
              </w:rPr>
              <w:t>-0.7</w:t>
            </w:r>
          </w:p>
        </w:tc>
        <w:tc>
          <w:tcPr>
            <w:tcW w:w="1143" w:type="dxa"/>
            <w:shd w:val="clear" w:color="auto" w:fill="auto"/>
          </w:tcPr>
          <w:p w14:paraId="5AC3635D" w14:textId="77777777" w:rsidR="005D1807" w:rsidRPr="002D6400" w:rsidRDefault="005D1807" w:rsidP="005D1807">
            <w:pPr>
              <w:spacing w:line="240" w:lineRule="auto"/>
              <w:rPr>
                <w:b w:val="0"/>
                <w:bCs/>
                <w:sz w:val="20"/>
                <w:szCs w:val="20"/>
              </w:rPr>
            </w:pPr>
            <w:r w:rsidRPr="002D6400">
              <w:rPr>
                <w:b w:val="0"/>
                <w:bCs/>
                <w:sz w:val="20"/>
                <w:szCs w:val="20"/>
              </w:rPr>
              <w:t>1.2</w:t>
            </w:r>
          </w:p>
        </w:tc>
        <w:tc>
          <w:tcPr>
            <w:tcW w:w="1343" w:type="dxa"/>
            <w:shd w:val="clear" w:color="auto" w:fill="auto"/>
          </w:tcPr>
          <w:p w14:paraId="14C7C4F9" w14:textId="77777777" w:rsidR="005D1807" w:rsidRPr="002D6400" w:rsidRDefault="005D1807" w:rsidP="005D1807">
            <w:pPr>
              <w:spacing w:line="240" w:lineRule="auto"/>
              <w:rPr>
                <w:b w:val="0"/>
                <w:bCs/>
                <w:sz w:val="20"/>
                <w:szCs w:val="20"/>
              </w:rPr>
            </w:pPr>
            <w:r w:rsidRPr="002D6400">
              <w:rPr>
                <w:b w:val="0"/>
                <w:bCs/>
                <w:sz w:val="20"/>
                <w:szCs w:val="20"/>
              </w:rPr>
              <w:t>3.5</w:t>
            </w:r>
          </w:p>
        </w:tc>
      </w:tr>
      <w:tr w:rsidR="005D1807" w:rsidRPr="002D6400" w14:paraId="741FA80F" w14:textId="77777777" w:rsidTr="002D6400">
        <w:trPr>
          <w:trHeight w:val="233"/>
        </w:trPr>
        <w:tc>
          <w:tcPr>
            <w:tcW w:w="3720" w:type="dxa"/>
            <w:shd w:val="clear" w:color="auto" w:fill="auto"/>
            <w:noWrap/>
          </w:tcPr>
          <w:p w14:paraId="7334E828" w14:textId="77777777" w:rsidR="005D1807" w:rsidRPr="002D6400" w:rsidRDefault="005D1807" w:rsidP="005D1807">
            <w:pPr>
              <w:spacing w:line="240" w:lineRule="auto"/>
              <w:rPr>
                <w:b w:val="0"/>
                <w:bCs/>
                <w:sz w:val="20"/>
                <w:szCs w:val="20"/>
              </w:rPr>
            </w:pPr>
            <w:r w:rsidRPr="002D6400">
              <w:rPr>
                <w:b w:val="0"/>
                <w:bCs/>
                <w:sz w:val="20"/>
                <w:szCs w:val="20"/>
              </w:rPr>
              <w:t xml:space="preserve">Շինարարություն </w:t>
            </w:r>
          </w:p>
        </w:tc>
        <w:tc>
          <w:tcPr>
            <w:tcW w:w="1286" w:type="dxa"/>
            <w:shd w:val="clear" w:color="auto" w:fill="auto"/>
          </w:tcPr>
          <w:p w14:paraId="4FBB2A7C" w14:textId="77777777" w:rsidR="005D1807" w:rsidRPr="002D6400" w:rsidRDefault="005D1807" w:rsidP="005D1807">
            <w:pPr>
              <w:spacing w:line="240" w:lineRule="auto"/>
              <w:rPr>
                <w:b w:val="0"/>
                <w:bCs/>
                <w:sz w:val="20"/>
                <w:szCs w:val="20"/>
              </w:rPr>
            </w:pPr>
            <w:r w:rsidRPr="002D6400">
              <w:rPr>
                <w:b w:val="0"/>
                <w:bCs/>
                <w:sz w:val="20"/>
                <w:szCs w:val="20"/>
              </w:rPr>
              <w:t>-5.9</w:t>
            </w:r>
          </w:p>
        </w:tc>
        <w:tc>
          <w:tcPr>
            <w:tcW w:w="1143" w:type="dxa"/>
            <w:shd w:val="clear" w:color="auto" w:fill="auto"/>
          </w:tcPr>
          <w:p w14:paraId="5A59BCE0" w14:textId="77777777" w:rsidR="005D1807" w:rsidRPr="002D6400" w:rsidRDefault="005D1807" w:rsidP="005D1807">
            <w:pPr>
              <w:spacing w:line="240" w:lineRule="auto"/>
              <w:rPr>
                <w:b w:val="0"/>
                <w:bCs/>
                <w:sz w:val="20"/>
                <w:szCs w:val="20"/>
              </w:rPr>
            </w:pPr>
            <w:r w:rsidRPr="002D6400">
              <w:rPr>
                <w:b w:val="0"/>
                <w:bCs/>
                <w:sz w:val="20"/>
                <w:szCs w:val="20"/>
              </w:rPr>
              <w:t>3.1</w:t>
            </w:r>
          </w:p>
        </w:tc>
        <w:tc>
          <w:tcPr>
            <w:tcW w:w="1162" w:type="dxa"/>
            <w:shd w:val="clear" w:color="auto" w:fill="auto"/>
          </w:tcPr>
          <w:p w14:paraId="3FAFB172" w14:textId="77777777" w:rsidR="005D1807" w:rsidRPr="002D6400" w:rsidRDefault="005D1807" w:rsidP="005D1807">
            <w:pPr>
              <w:spacing w:line="240" w:lineRule="auto"/>
              <w:rPr>
                <w:b w:val="0"/>
                <w:bCs/>
                <w:sz w:val="20"/>
                <w:szCs w:val="20"/>
              </w:rPr>
            </w:pPr>
            <w:r w:rsidRPr="002D6400">
              <w:rPr>
                <w:b w:val="0"/>
                <w:bCs/>
                <w:sz w:val="20"/>
                <w:szCs w:val="20"/>
              </w:rPr>
              <w:t>18.8</w:t>
            </w:r>
          </w:p>
        </w:tc>
        <w:tc>
          <w:tcPr>
            <w:tcW w:w="1143" w:type="dxa"/>
            <w:shd w:val="clear" w:color="auto" w:fill="auto"/>
          </w:tcPr>
          <w:p w14:paraId="5237349C" w14:textId="77777777" w:rsidR="005D1807" w:rsidRPr="002D6400" w:rsidRDefault="005D1807" w:rsidP="005D1807">
            <w:pPr>
              <w:spacing w:line="240" w:lineRule="auto"/>
              <w:rPr>
                <w:b w:val="0"/>
                <w:bCs/>
                <w:sz w:val="20"/>
                <w:szCs w:val="20"/>
              </w:rPr>
            </w:pPr>
            <w:r w:rsidRPr="002D6400">
              <w:rPr>
                <w:b w:val="0"/>
                <w:bCs/>
                <w:sz w:val="20"/>
                <w:szCs w:val="20"/>
              </w:rPr>
              <w:t>17.6</w:t>
            </w:r>
          </w:p>
        </w:tc>
        <w:tc>
          <w:tcPr>
            <w:tcW w:w="1343" w:type="dxa"/>
            <w:shd w:val="clear" w:color="auto" w:fill="auto"/>
          </w:tcPr>
          <w:p w14:paraId="2AEA287A" w14:textId="77777777" w:rsidR="005D1807" w:rsidRPr="002D6400" w:rsidRDefault="005D1807" w:rsidP="005D1807">
            <w:pPr>
              <w:spacing w:line="240" w:lineRule="auto"/>
              <w:rPr>
                <w:b w:val="0"/>
                <w:bCs/>
                <w:sz w:val="20"/>
                <w:szCs w:val="20"/>
              </w:rPr>
            </w:pPr>
            <w:r w:rsidRPr="002D6400">
              <w:rPr>
                <w:b w:val="0"/>
                <w:bCs/>
                <w:sz w:val="20"/>
                <w:szCs w:val="20"/>
              </w:rPr>
              <w:t>8.9</w:t>
            </w:r>
          </w:p>
        </w:tc>
      </w:tr>
      <w:tr w:rsidR="005D1807" w:rsidRPr="002D6400" w14:paraId="2D424B7E" w14:textId="77777777" w:rsidTr="002D6400">
        <w:trPr>
          <w:trHeight w:val="233"/>
        </w:trPr>
        <w:tc>
          <w:tcPr>
            <w:tcW w:w="3720" w:type="dxa"/>
            <w:shd w:val="clear" w:color="auto" w:fill="auto"/>
            <w:noWrap/>
          </w:tcPr>
          <w:p w14:paraId="7D7F3C2F" w14:textId="77777777" w:rsidR="005D1807" w:rsidRPr="002D6400" w:rsidRDefault="005D1807" w:rsidP="005D1807">
            <w:pPr>
              <w:spacing w:line="240" w:lineRule="auto"/>
              <w:rPr>
                <w:b w:val="0"/>
                <w:bCs/>
                <w:sz w:val="20"/>
                <w:szCs w:val="20"/>
              </w:rPr>
            </w:pPr>
            <w:r w:rsidRPr="002D6400">
              <w:rPr>
                <w:b w:val="0"/>
                <w:bCs/>
                <w:sz w:val="20"/>
                <w:szCs w:val="20"/>
              </w:rPr>
              <w:t>Ծառայություններ</w:t>
            </w:r>
          </w:p>
        </w:tc>
        <w:tc>
          <w:tcPr>
            <w:tcW w:w="1286" w:type="dxa"/>
            <w:shd w:val="clear" w:color="auto" w:fill="auto"/>
          </w:tcPr>
          <w:p w14:paraId="1534D748" w14:textId="77777777" w:rsidR="005D1807" w:rsidRPr="002D6400" w:rsidRDefault="005D1807" w:rsidP="005D1807">
            <w:pPr>
              <w:spacing w:line="240" w:lineRule="auto"/>
              <w:rPr>
                <w:b w:val="0"/>
                <w:bCs/>
                <w:sz w:val="20"/>
                <w:szCs w:val="20"/>
              </w:rPr>
            </w:pPr>
            <w:r w:rsidRPr="002D6400">
              <w:rPr>
                <w:b w:val="0"/>
                <w:bCs/>
                <w:sz w:val="20"/>
                <w:szCs w:val="20"/>
              </w:rPr>
              <w:t>-9.6</w:t>
            </w:r>
          </w:p>
        </w:tc>
        <w:tc>
          <w:tcPr>
            <w:tcW w:w="1143" w:type="dxa"/>
            <w:shd w:val="clear" w:color="auto" w:fill="auto"/>
          </w:tcPr>
          <w:p w14:paraId="2733908B" w14:textId="77777777" w:rsidR="005D1807" w:rsidRPr="002D6400" w:rsidRDefault="005D1807" w:rsidP="005D1807">
            <w:pPr>
              <w:spacing w:line="240" w:lineRule="auto"/>
              <w:rPr>
                <w:b w:val="0"/>
                <w:bCs/>
                <w:sz w:val="20"/>
                <w:szCs w:val="20"/>
              </w:rPr>
            </w:pPr>
            <w:r w:rsidRPr="002D6400">
              <w:rPr>
                <w:b w:val="0"/>
                <w:bCs/>
                <w:sz w:val="20"/>
                <w:szCs w:val="20"/>
              </w:rPr>
              <w:t>8.6</w:t>
            </w:r>
          </w:p>
        </w:tc>
        <w:tc>
          <w:tcPr>
            <w:tcW w:w="1162" w:type="dxa"/>
            <w:shd w:val="clear" w:color="auto" w:fill="auto"/>
          </w:tcPr>
          <w:p w14:paraId="003CDE7F" w14:textId="77777777" w:rsidR="005D1807" w:rsidRPr="002D6400" w:rsidRDefault="005D1807" w:rsidP="005D1807">
            <w:pPr>
              <w:spacing w:line="240" w:lineRule="auto"/>
              <w:rPr>
                <w:b w:val="0"/>
                <w:bCs/>
                <w:sz w:val="20"/>
                <w:szCs w:val="20"/>
              </w:rPr>
            </w:pPr>
            <w:r w:rsidRPr="002D6400">
              <w:rPr>
                <w:b w:val="0"/>
                <w:bCs/>
                <w:sz w:val="20"/>
                <w:szCs w:val="20"/>
              </w:rPr>
              <w:t>18.3</w:t>
            </w:r>
          </w:p>
        </w:tc>
        <w:tc>
          <w:tcPr>
            <w:tcW w:w="1143" w:type="dxa"/>
            <w:shd w:val="clear" w:color="auto" w:fill="auto"/>
          </w:tcPr>
          <w:p w14:paraId="3A3051E1" w14:textId="77777777" w:rsidR="005D1807" w:rsidRPr="002D6400" w:rsidRDefault="005D1807" w:rsidP="005D1807">
            <w:pPr>
              <w:spacing w:line="240" w:lineRule="auto"/>
              <w:rPr>
                <w:b w:val="0"/>
                <w:bCs/>
                <w:sz w:val="20"/>
                <w:szCs w:val="20"/>
              </w:rPr>
            </w:pPr>
            <w:r w:rsidRPr="002D6400">
              <w:rPr>
                <w:b w:val="0"/>
                <w:bCs/>
                <w:sz w:val="20"/>
                <w:szCs w:val="20"/>
              </w:rPr>
              <w:t>8.6</w:t>
            </w:r>
          </w:p>
        </w:tc>
        <w:tc>
          <w:tcPr>
            <w:tcW w:w="1343" w:type="dxa"/>
            <w:shd w:val="clear" w:color="auto" w:fill="auto"/>
          </w:tcPr>
          <w:p w14:paraId="6AC1F0DD" w14:textId="77777777" w:rsidR="005D1807" w:rsidRPr="002D6400" w:rsidRDefault="005D1807" w:rsidP="005D1807">
            <w:pPr>
              <w:spacing w:line="240" w:lineRule="auto"/>
              <w:rPr>
                <w:b w:val="0"/>
                <w:bCs/>
                <w:sz w:val="20"/>
                <w:szCs w:val="20"/>
              </w:rPr>
            </w:pPr>
            <w:r w:rsidRPr="002D6400">
              <w:rPr>
                <w:b w:val="0"/>
                <w:bCs/>
                <w:sz w:val="20"/>
                <w:szCs w:val="20"/>
              </w:rPr>
              <w:t>7.9</w:t>
            </w:r>
          </w:p>
        </w:tc>
      </w:tr>
      <w:tr w:rsidR="002D6400" w:rsidRPr="002D6400" w14:paraId="0FABEB7B" w14:textId="77777777" w:rsidTr="002D6400">
        <w:trPr>
          <w:trHeight w:val="233"/>
        </w:trPr>
        <w:tc>
          <w:tcPr>
            <w:tcW w:w="3720" w:type="dxa"/>
            <w:tcBorders>
              <w:bottom w:val="single" w:sz="4" w:space="0" w:color="auto"/>
            </w:tcBorders>
            <w:shd w:val="clear" w:color="auto" w:fill="auto"/>
            <w:noWrap/>
          </w:tcPr>
          <w:p w14:paraId="6356E841" w14:textId="77777777" w:rsidR="005D1807" w:rsidRPr="002D6400" w:rsidRDefault="005D1807" w:rsidP="005D1807">
            <w:pPr>
              <w:spacing w:line="240" w:lineRule="auto"/>
              <w:rPr>
                <w:b w:val="0"/>
                <w:bCs/>
                <w:sz w:val="20"/>
                <w:szCs w:val="20"/>
              </w:rPr>
            </w:pPr>
            <w:r w:rsidRPr="002D6400">
              <w:rPr>
                <w:b w:val="0"/>
                <w:bCs/>
                <w:sz w:val="20"/>
                <w:szCs w:val="20"/>
              </w:rPr>
              <w:t>Զուտ հարկեր</w:t>
            </w:r>
          </w:p>
        </w:tc>
        <w:tc>
          <w:tcPr>
            <w:tcW w:w="1286" w:type="dxa"/>
            <w:tcBorders>
              <w:bottom w:val="single" w:sz="4" w:space="0" w:color="auto"/>
            </w:tcBorders>
            <w:shd w:val="clear" w:color="auto" w:fill="auto"/>
          </w:tcPr>
          <w:p w14:paraId="1818EA65" w14:textId="77777777" w:rsidR="005D1807" w:rsidRPr="002D6400" w:rsidRDefault="005D1807" w:rsidP="005D1807">
            <w:pPr>
              <w:spacing w:line="240" w:lineRule="auto"/>
              <w:rPr>
                <w:b w:val="0"/>
                <w:bCs/>
                <w:sz w:val="20"/>
                <w:szCs w:val="20"/>
              </w:rPr>
            </w:pPr>
            <w:r w:rsidRPr="002D6400">
              <w:rPr>
                <w:b w:val="0"/>
                <w:bCs/>
                <w:sz w:val="20"/>
                <w:szCs w:val="20"/>
              </w:rPr>
              <w:t>-9.9</w:t>
            </w:r>
          </w:p>
        </w:tc>
        <w:tc>
          <w:tcPr>
            <w:tcW w:w="1143" w:type="dxa"/>
            <w:tcBorders>
              <w:bottom w:val="single" w:sz="4" w:space="0" w:color="auto"/>
            </w:tcBorders>
            <w:shd w:val="clear" w:color="auto" w:fill="auto"/>
          </w:tcPr>
          <w:p w14:paraId="0EE4E3EF" w14:textId="77777777" w:rsidR="005D1807" w:rsidRPr="002D6400" w:rsidRDefault="005D1807" w:rsidP="005D1807">
            <w:pPr>
              <w:spacing w:line="240" w:lineRule="auto"/>
              <w:rPr>
                <w:b w:val="0"/>
                <w:bCs/>
                <w:sz w:val="20"/>
                <w:szCs w:val="20"/>
              </w:rPr>
            </w:pPr>
            <w:r w:rsidRPr="002D6400">
              <w:rPr>
                <w:b w:val="0"/>
                <w:bCs/>
                <w:sz w:val="20"/>
                <w:szCs w:val="20"/>
              </w:rPr>
              <w:t>7.4</w:t>
            </w:r>
          </w:p>
        </w:tc>
        <w:tc>
          <w:tcPr>
            <w:tcW w:w="1162" w:type="dxa"/>
            <w:tcBorders>
              <w:bottom w:val="single" w:sz="4" w:space="0" w:color="auto"/>
            </w:tcBorders>
            <w:shd w:val="clear" w:color="auto" w:fill="auto"/>
          </w:tcPr>
          <w:p w14:paraId="7E0906FC" w14:textId="77777777" w:rsidR="005D1807" w:rsidRPr="002D6400" w:rsidRDefault="005D1807" w:rsidP="005D1807">
            <w:pPr>
              <w:spacing w:line="240" w:lineRule="auto"/>
              <w:rPr>
                <w:b w:val="0"/>
                <w:bCs/>
                <w:sz w:val="20"/>
                <w:szCs w:val="20"/>
              </w:rPr>
            </w:pPr>
            <w:r w:rsidRPr="002D6400">
              <w:rPr>
                <w:b w:val="0"/>
                <w:bCs/>
                <w:sz w:val="20"/>
                <w:szCs w:val="20"/>
              </w:rPr>
              <w:t>8.1</w:t>
            </w:r>
          </w:p>
        </w:tc>
        <w:tc>
          <w:tcPr>
            <w:tcW w:w="1143" w:type="dxa"/>
            <w:tcBorders>
              <w:bottom w:val="single" w:sz="4" w:space="0" w:color="auto"/>
            </w:tcBorders>
            <w:shd w:val="clear" w:color="auto" w:fill="auto"/>
          </w:tcPr>
          <w:p w14:paraId="3B5DF678" w14:textId="77777777" w:rsidR="005D1807" w:rsidRPr="002D6400" w:rsidRDefault="005D1807" w:rsidP="005D1807">
            <w:pPr>
              <w:spacing w:line="240" w:lineRule="auto"/>
              <w:rPr>
                <w:b w:val="0"/>
                <w:bCs/>
                <w:sz w:val="20"/>
                <w:szCs w:val="20"/>
              </w:rPr>
            </w:pPr>
            <w:r w:rsidRPr="002D6400">
              <w:rPr>
                <w:b w:val="0"/>
                <w:bCs/>
                <w:sz w:val="20"/>
                <w:szCs w:val="20"/>
              </w:rPr>
              <w:t>12.2</w:t>
            </w:r>
          </w:p>
        </w:tc>
        <w:tc>
          <w:tcPr>
            <w:tcW w:w="1343" w:type="dxa"/>
            <w:tcBorders>
              <w:bottom w:val="single" w:sz="4" w:space="0" w:color="auto"/>
            </w:tcBorders>
            <w:shd w:val="clear" w:color="auto" w:fill="auto"/>
          </w:tcPr>
          <w:p w14:paraId="1EC53C6D" w14:textId="77777777" w:rsidR="005D1807" w:rsidRPr="002D6400" w:rsidRDefault="005D1807" w:rsidP="005D1807">
            <w:pPr>
              <w:spacing w:line="240" w:lineRule="auto"/>
              <w:rPr>
                <w:b w:val="0"/>
                <w:bCs/>
                <w:sz w:val="20"/>
                <w:szCs w:val="20"/>
              </w:rPr>
            </w:pPr>
            <w:r w:rsidRPr="002D6400">
              <w:rPr>
                <w:b w:val="0"/>
                <w:bCs/>
                <w:sz w:val="20"/>
                <w:szCs w:val="20"/>
              </w:rPr>
              <w:t>7.3</w:t>
            </w:r>
          </w:p>
        </w:tc>
      </w:tr>
      <w:tr w:rsidR="005D1807" w:rsidRPr="002D6400" w14:paraId="24788D1A" w14:textId="77777777" w:rsidTr="002D6400">
        <w:trPr>
          <w:trHeight w:val="233"/>
        </w:trPr>
        <w:tc>
          <w:tcPr>
            <w:tcW w:w="9800" w:type="dxa"/>
            <w:gridSpan w:val="6"/>
            <w:tcBorders>
              <w:top w:val="single" w:sz="4" w:space="0" w:color="auto"/>
            </w:tcBorders>
            <w:shd w:val="clear" w:color="auto" w:fill="auto"/>
            <w:noWrap/>
            <w:vAlign w:val="center"/>
          </w:tcPr>
          <w:p w14:paraId="517584E8" w14:textId="77777777" w:rsidR="005D1807" w:rsidRPr="002D6400" w:rsidRDefault="005D1807" w:rsidP="005D1807">
            <w:pPr>
              <w:spacing w:line="240" w:lineRule="auto"/>
              <w:rPr>
                <w:b w:val="0"/>
                <w:bCs/>
                <w:sz w:val="20"/>
                <w:szCs w:val="20"/>
              </w:rPr>
            </w:pPr>
            <w:r w:rsidRPr="002D6400">
              <w:rPr>
                <w:b w:val="0"/>
                <w:bCs/>
                <w:sz w:val="20"/>
                <w:szCs w:val="20"/>
              </w:rPr>
              <w:t>ՀՆԱ ծախսային բաղադրիչների իրական աճերը, %</w:t>
            </w:r>
          </w:p>
        </w:tc>
      </w:tr>
      <w:tr w:rsidR="005D1807" w:rsidRPr="002D6400" w14:paraId="6E517919" w14:textId="77777777" w:rsidTr="002D6400">
        <w:trPr>
          <w:trHeight w:val="233"/>
        </w:trPr>
        <w:tc>
          <w:tcPr>
            <w:tcW w:w="3720" w:type="dxa"/>
            <w:shd w:val="clear" w:color="auto" w:fill="auto"/>
          </w:tcPr>
          <w:p w14:paraId="3FC9E999" w14:textId="77777777" w:rsidR="005D1807" w:rsidRPr="002D6400" w:rsidRDefault="005D1807" w:rsidP="005D1807">
            <w:pPr>
              <w:spacing w:line="240" w:lineRule="auto"/>
              <w:rPr>
                <w:b w:val="0"/>
                <w:bCs/>
                <w:sz w:val="20"/>
                <w:szCs w:val="20"/>
              </w:rPr>
            </w:pPr>
            <w:r w:rsidRPr="002D6400">
              <w:rPr>
                <w:b w:val="0"/>
                <w:bCs/>
                <w:sz w:val="20"/>
                <w:szCs w:val="20"/>
              </w:rPr>
              <w:t>Վերջնական սպառում</w:t>
            </w:r>
          </w:p>
        </w:tc>
        <w:tc>
          <w:tcPr>
            <w:tcW w:w="1286" w:type="dxa"/>
            <w:shd w:val="clear" w:color="auto" w:fill="auto"/>
          </w:tcPr>
          <w:p w14:paraId="4013738A" w14:textId="77777777" w:rsidR="005D1807" w:rsidRPr="002D6400" w:rsidRDefault="005D1807" w:rsidP="005D1807">
            <w:pPr>
              <w:spacing w:line="240" w:lineRule="auto"/>
              <w:rPr>
                <w:b w:val="0"/>
                <w:bCs/>
                <w:sz w:val="20"/>
                <w:szCs w:val="20"/>
              </w:rPr>
            </w:pPr>
            <w:r w:rsidRPr="002D6400">
              <w:rPr>
                <w:b w:val="0"/>
                <w:bCs/>
                <w:sz w:val="20"/>
                <w:szCs w:val="20"/>
              </w:rPr>
              <w:t>-10.9</w:t>
            </w:r>
          </w:p>
        </w:tc>
        <w:tc>
          <w:tcPr>
            <w:tcW w:w="1143" w:type="dxa"/>
            <w:shd w:val="clear" w:color="auto" w:fill="auto"/>
          </w:tcPr>
          <w:p w14:paraId="4544509F" w14:textId="77777777" w:rsidR="005D1807" w:rsidRPr="002D6400" w:rsidRDefault="005D1807" w:rsidP="005D1807">
            <w:pPr>
              <w:spacing w:line="240" w:lineRule="auto"/>
              <w:rPr>
                <w:b w:val="0"/>
                <w:bCs/>
                <w:sz w:val="20"/>
                <w:szCs w:val="20"/>
              </w:rPr>
            </w:pPr>
            <w:r w:rsidRPr="002D6400">
              <w:rPr>
                <w:b w:val="0"/>
                <w:bCs/>
                <w:sz w:val="20"/>
                <w:szCs w:val="20"/>
              </w:rPr>
              <w:t>1.3</w:t>
            </w:r>
          </w:p>
        </w:tc>
        <w:tc>
          <w:tcPr>
            <w:tcW w:w="1162" w:type="dxa"/>
            <w:shd w:val="clear" w:color="auto" w:fill="auto"/>
          </w:tcPr>
          <w:p w14:paraId="68D5B548" w14:textId="77777777" w:rsidR="005D1807" w:rsidRPr="002D6400" w:rsidRDefault="005D1807" w:rsidP="005D1807">
            <w:pPr>
              <w:spacing w:line="240" w:lineRule="auto"/>
              <w:rPr>
                <w:b w:val="0"/>
                <w:bCs/>
                <w:sz w:val="20"/>
                <w:szCs w:val="20"/>
              </w:rPr>
            </w:pPr>
            <w:r w:rsidRPr="002D6400">
              <w:rPr>
                <w:b w:val="0"/>
                <w:bCs/>
                <w:sz w:val="20"/>
                <w:szCs w:val="20"/>
              </w:rPr>
              <w:t>5.6</w:t>
            </w:r>
          </w:p>
        </w:tc>
        <w:tc>
          <w:tcPr>
            <w:tcW w:w="1143" w:type="dxa"/>
            <w:shd w:val="clear" w:color="auto" w:fill="auto"/>
          </w:tcPr>
          <w:p w14:paraId="69987CF8" w14:textId="77777777" w:rsidR="005D1807" w:rsidRPr="002D6400" w:rsidRDefault="005D1807" w:rsidP="005D1807">
            <w:pPr>
              <w:spacing w:line="240" w:lineRule="auto"/>
              <w:rPr>
                <w:b w:val="0"/>
                <w:bCs/>
                <w:sz w:val="20"/>
                <w:szCs w:val="20"/>
              </w:rPr>
            </w:pPr>
            <w:r w:rsidRPr="002D6400">
              <w:rPr>
                <w:b w:val="0"/>
                <w:bCs/>
                <w:sz w:val="20"/>
                <w:szCs w:val="20"/>
              </w:rPr>
              <w:t>8.7</w:t>
            </w:r>
          </w:p>
        </w:tc>
        <w:tc>
          <w:tcPr>
            <w:tcW w:w="1343" w:type="dxa"/>
            <w:shd w:val="clear" w:color="auto" w:fill="auto"/>
          </w:tcPr>
          <w:p w14:paraId="19FF32ED" w14:textId="77777777" w:rsidR="005D1807" w:rsidRPr="002D6400" w:rsidRDefault="005D1807" w:rsidP="005D1807">
            <w:pPr>
              <w:spacing w:line="240" w:lineRule="auto"/>
              <w:rPr>
                <w:b w:val="0"/>
                <w:bCs/>
                <w:sz w:val="20"/>
                <w:szCs w:val="20"/>
              </w:rPr>
            </w:pPr>
            <w:r w:rsidRPr="002D6400">
              <w:rPr>
                <w:b w:val="0"/>
                <w:bCs/>
                <w:sz w:val="20"/>
                <w:szCs w:val="20"/>
              </w:rPr>
              <w:t>7.7</w:t>
            </w:r>
          </w:p>
        </w:tc>
      </w:tr>
      <w:tr w:rsidR="005D1807" w:rsidRPr="002D6400" w14:paraId="5E52AF9D" w14:textId="77777777" w:rsidTr="002D6400">
        <w:trPr>
          <w:trHeight w:val="233"/>
        </w:trPr>
        <w:tc>
          <w:tcPr>
            <w:tcW w:w="3720" w:type="dxa"/>
            <w:shd w:val="clear" w:color="auto" w:fill="auto"/>
          </w:tcPr>
          <w:p w14:paraId="469FAD77" w14:textId="77777777" w:rsidR="005D1807" w:rsidRPr="002D6400" w:rsidRDefault="005D1807" w:rsidP="005D1807">
            <w:pPr>
              <w:spacing w:line="240" w:lineRule="auto"/>
              <w:rPr>
                <w:b w:val="0"/>
                <w:bCs/>
                <w:sz w:val="20"/>
                <w:szCs w:val="20"/>
              </w:rPr>
            </w:pPr>
            <w:r w:rsidRPr="002D6400">
              <w:rPr>
                <w:b w:val="0"/>
                <w:bCs/>
                <w:sz w:val="20"/>
                <w:szCs w:val="20"/>
              </w:rPr>
              <w:t>Պետական</w:t>
            </w:r>
          </w:p>
        </w:tc>
        <w:tc>
          <w:tcPr>
            <w:tcW w:w="1286" w:type="dxa"/>
            <w:shd w:val="clear" w:color="auto" w:fill="auto"/>
          </w:tcPr>
          <w:p w14:paraId="76CE91F5" w14:textId="77777777" w:rsidR="005D1807" w:rsidRPr="002D6400" w:rsidRDefault="005D1807" w:rsidP="005D1807">
            <w:pPr>
              <w:spacing w:line="240" w:lineRule="auto"/>
              <w:rPr>
                <w:b w:val="0"/>
                <w:bCs/>
                <w:sz w:val="20"/>
                <w:szCs w:val="20"/>
              </w:rPr>
            </w:pPr>
            <w:r w:rsidRPr="002D6400">
              <w:rPr>
                <w:b w:val="0"/>
                <w:bCs/>
                <w:sz w:val="20"/>
                <w:szCs w:val="20"/>
              </w:rPr>
              <w:t>9.2</w:t>
            </w:r>
          </w:p>
        </w:tc>
        <w:tc>
          <w:tcPr>
            <w:tcW w:w="1143" w:type="dxa"/>
            <w:shd w:val="clear" w:color="auto" w:fill="auto"/>
          </w:tcPr>
          <w:p w14:paraId="6DC25B23" w14:textId="77777777" w:rsidR="005D1807" w:rsidRPr="002D6400" w:rsidRDefault="005D1807" w:rsidP="005D1807">
            <w:pPr>
              <w:spacing w:line="240" w:lineRule="auto"/>
              <w:rPr>
                <w:b w:val="0"/>
                <w:bCs/>
                <w:sz w:val="20"/>
                <w:szCs w:val="20"/>
              </w:rPr>
            </w:pPr>
            <w:r w:rsidRPr="002D6400">
              <w:rPr>
                <w:b w:val="0"/>
                <w:bCs/>
                <w:sz w:val="20"/>
                <w:szCs w:val="20"/>
              </w:rPr>
              <w:t>-6.2</w:t>
            </w:r>
          </w:p>
        </w:tc>
        <w:tc>
          <w:tcPr>
            <w:tcW w:w="1162" w:type="dxa"/>
            <w:shd w:val="clear" w:color="auto" w:fill="auto"/>
          </w:tcPr>
          <w:p w14:paraId="542F46B9" w14:textId="77777777" w:rsidR="005D1807" w:rsidRPr="002D6400" w:rsidRDefault="005D1807" w:rsidP="005D1807">
            <w:pPr>
              <w:spacing w:line="240" w:lineRule="auto"/>
              <w:rPr>
                <w:b w:val="0"/>
                <w:bCs/>
                <w:sz w:val="20"/>
                <w:szCs w:val="20"/>
              </w:rPr>
            </w:pPr>
            <w:r w:rsidRPr="002D6400">
              <w:rPr>
                <w:b w:val="0"/>
                <w:bCs/>
                <w:sz w:val="20"/>
                <w:szCs w:val="20"/>
              </w:rPr>
              <w:t>6.3</w:t>
            </w:r>
          </w:p>
        </w:tc>
        <w:tc>
          <w:tcPr>
            <w:tcW w:w="1143" w:type="dxa"/>
            <w:shd w:val="clear" w:color="auto" w:fill="auto"/>
          </w:tcPr>
          <w:p w14:paraId="34B90E89" w14:textId="77777777" w:rsidR="005D1807" w:rsidRPr="002D6400" w:rsidRDefault="005D1807" w:rsidP="005D1807">
            <w:pPr>
              <w:spacing w:line="240" w:lineRule="auto"/>
              <w:rPr>
                <w:b w:val="0"/>
                <w:bCs/>
                <w:sz w:val="20"/>
                <w:szCs w:val="20"/>
              </w:rPr>
            </w:pPr>
            <w:r w:rsidRPr="002D6400">
              <w:rPr>
                <w:b w:val="0"/>
                <w:bCs/>
                <w:sz w:val="20"/>
                <w:szCs w:val="20"/>
              </w:rPr>
              <w:t>3.3</w:t>
            </w:r>
          </w:p>
        </w:tc>
        <w:tc>
          <w:tcPr>
            <w:tcW w:w="1343" w:type="dxa"/>
            <w:shd w:val="clear" w:color="auto" w:fill="auto"/>
          </w:tcPr>
          <w:p w14:paraId="3A6F63C1" w14:textId="77777777" w:rsidR="005D1807" w:rsidRPr="002D6400" w:rsidRDefault="005D1807" w:rsidP="005D1807">
            <w:pPr>
              <w:spacing w:line="240" w:lineRule="auto"/>
              <w:rPr>
                <w:b w:val="0"/>
                <w:bCs/>
                <w:sz w:val="20"/>
                <w:szCs w:val="20"/>
              </w:rPr>
            </w:pPr>
            <w:r w:rsidRPr="002D6400">
              <w:rPr>
                <w:b w:val="0"/>
                <w:bCs/>
                <w:sz w:val="20"/>
                <w:szCs w:val="20"/>
              </w:rPr>
              <w:t>9.0</w:t>
            </w:r>
          </w:p>
        </w:tc>
      </w:tr>
      <w:tr w:rsidR="005D1807" w:rsidRPr="002D6400" w14:paraId="7C22BD2E" w14:textId="77777777" w:rsidTr="002D6400">
        <w:trPr>
          <w:trHeight w:val="233"/>
        </w:trPr>
        <w:tc>
          <w:tcPr>
            <w:tcW w:w="3720" w:type="dxa"/>
            <w:shd w:val="clear" w:color="auto" w:fill="auto"/>
          </w:tcPr>
          <w:p w14:paraId="25280556" w14:textId="77777777" w:rsidR="005D1807" w:rsidRPr="002D6400" w:rsidRDefault="005D1807" w:rsidP="005D1807">
            <w:pPr>
              <w:spacing w:line="240" w:lineRule="auto"/>
              <w:rPr>
                <w:b w:val="0"/>
                <w:bCs/>
                <w:sz w:val="20"/>
                <w:szCs w:val="20"/>
              </w:rPr>
            </w:pPr>
            <w:r w:rsidRPr="002D6400">
              <w:rPr>
                <w:b w:val="0"/>
                <w:bCs/>
                <w:sz w:val="20"/>
                <w:szCs w:val="20"/>
              </w:rPr>
              <w:t>Մասնավոր</w:t>
            </w:r>
          </w:p>
        </w:tc>
        <w:tc>
          <w:tcPr>
            <w:tcW w:w="1286" w:type="dxa"/>
            <w:shd w:val="clear" w:color="auto" w:fill="auto"/>
          </w:tcPr>
          <w:p w14:paraId="0B616BEB" w14:textId="77777777" w:rsidR="005D1807" w:rsidRPr="002D6400" w:rsidRDefault="005D1807" w:rsidP="005D1807">
            <w:pPr>
              <w:spacing w:line="240" w:lineRule="auto"/>
              <w:rPr>
                <w:b w:val="0"/>
                <w:bCs/>
                <w:sz w:val="20"/>
                <w:szCs w:val="20"/>
              </w:rPr>
            </w:pPr>
            <w:r w:rsidRPr="002D6400">
              <w:rPr>
                <w:b w:val="0"/>
                <w:bCs/>
                <w:sz w:val="20"/>
                <w:szCs w:val="20"/>
              </w:rPr>
              <w:t>-14.0</w:t>
            </w:r>
          </w:p>
        </w:tc>
        <w:tc>
          <w:tcPr>
            <w:tcW w:w="1143" w:type="dxa"/>
            <w:shd w:val="clear" w:color="auto" w:fill="auto"/>
          </w:tcPr>
          <w:p w14:paraId="3375C846" w14:textId="77777777" w:rsidR="005D1807" w:rsidRPr="002D6400" w:rsidRDefault="005D1807" w:rsidP="005D1807">
            <w:pPr>
              <w:spacing w:line="240" w:lineRule="auto"/>
              <w:rPr>
                <w:b w:val="0"/>
                <w:bCs/>
                <w:sz w:val="20"/>
                <w:szCs w:val="20"/>
              </w:rPr>
            </w:pPr>
            <w:r w:rsidRPr="002D6400">
              <w:rPr>
                <w:b w:val="0"/>
                <w:bCs/>
                <w:sz w:val="20"/>
                <w:szCs w:val="20"/>
              </w:rPr>
              <w:t>2.8</w:t>
            </w:r>
          </w:p>
        </w:tc>
        <w:tc>
          <w:tcPr>
            <w:tcW w:w="1162" w:type="dxa"/>
            <w:shd w:val="clear" w:color="auto" w:fill="auto"/>
          </w:tcPr>
          <w:p w14:paraId="4890FE38" w14:textId="77777777" w:rsidR="005D1807" w:rsidRPr="002D6400" w:rsidRDefault="005D1807" w:rsidP="005D1807">
            <w:pPr>
              <w:spacing w:line="240" w:lineRule="auto"/>
              <w:rPr>
                <w:b w:val="0"/>
                <w:bCs/>
                <w:sz w:val="20"/>
                <w:szCs w:val="20"/>
              </w:rPr>
            </w:pPr>
            <w:r w:rsidRPr="002D6400">
              <w:rPr>
                <w:b w:val="0"/>
                <w:bCs/>
                <w:sz w:val="20"/>
                <w:szCs w:val="20"/>
              </w:rPr>
              <w:t>5.4</w:t>
            </w:r>
          </w:p>
        </w:tc>
        <w:tc>
          <w:tcPr>
            <w:tcW w:w="1143" w:type="dxa"/>
            <w:shd w:val="clear" w:color="auto" w:fill="auto"/>
          </w:tcPr>
          <w:p w14:paraId="7D758D8C" w14:textId="77777777" w:rsidR="005D1807" w:rsidRPr="002D6400" w:rsidRDefault="005D1807" w:rsidP="005D1807">
            <w:pPr>
              <w:spacing w:line="240" w:lineRule="auto"/>
              <w:rPr>
                <w:b w:val="0"/>
                <w:bCs/>
                <w:sz w:val="20"/>
                <w:szCs w:val="20"/>
              </w:rPr>
            </w:pPr>
            <w:r w:rsidRPr="002D6400">
              <w:rPr>
                <w:b w:val="0"/>
                <w:bCs/>
                <w:sz w:val="20"/>
                <w:szCs w:val="20"/>
              </w:rPr>
              <w:t>9.7</w:t>
            </w:r>
          </w:p>
        </w:tc>
        <w:tc>
          <w:tcPr>
            <w:tcW w:w="1343" w:type="dxa"/>
            <w:shd w:val="clear" w:color="auto" w:fill="auto"/>
          </w:tcPr>
          <w:p w14:paraId="21C42095" w14:textId="77777777" w:rsidR="005D1807" w:rsidRPr="002D6400" w:rsidRDefault="005D1807" w:rsidP="005D1807">
            <w:pPr>
              <w:spacing w:line="240" w:lineRule="auto"/>
              <w:rPr>
                <w:b w:val="0"/>
                <w:bCs/>
                <w:sz w:val="20"/>
                <w:szCs w:val="20"/>
              </w:rPr>
            </w:pPr>
            <w:r w:rsidRPr="002D6400">
              <w:rPr>
                <w:b w:val="0"/>
                <w:bCs/>
                <w:sz w:val="20"/>
                <w:szCs w:val="20"/>
              </w:rPr>
              <w:t>7.5</w:t>
            </w:r>
          </w:p>
        </w:tc>
      </w:tr>
      <w:tr w:rsidR="005D1807" w:rsidRPr="002D6400" w14:paraId="4BB63BAD" w14:textId="77777777" w:rsidTr="002D6400">
        <w:trPr>
          <w:trHeight w:val="233"/>
        </w:trPr>
        <w:tc>
          <w:tcPr>
            <w:tcW w:w="3720" w:type="dxa"/>
            <w:shd w:val="clear" w:color="auto" w:fill="auto"/>
          </w:tcPr>
          <w:p w14:paraId="5BC091BC" w14:textId="77777777" w:rsidR="005D1807" w:rsidRPr="002D6400" w:rsidRDefault="005D1807" w:rsidP="005D1807">
            <w:pPr>
              <w:spacing w:line="240" w:lineRule="auto"/>
              <w:rPr>
                <w:b w:val="0"/>
                <w:bCs/>
                <w:sz w:val="20"/>
                <w:szCs w:val="20"/>
              </w:rPr>
            </w:pPr>
            <w:r w:rsidRPr="002D6400">
              <w:rPr>
                <w:b w:val="0"/>
                <w:bCs/>
                <w:sz w:val="20"/>
                <w:szCs w:val="20"/>
              </w:rPr>
              <w:t>Հիմնական միջոցներում ներդրումներ</w:t>
            </w:r>
            <w:r w:rsidRPr="002D6400">
              <w:rPr>
                <w:b w:val="0"/>
                <w:bCs/>
                <w:sz w:val="20"/>
                <w:szCs w:val="20"/>
              </w:rPr>
              <w:footnoteReference w:id="1"/>
            </w:r>
          </w:p>
        </w:tc>
        <w:tc>
          <w:tcPr>
            <w:tcW w:w="1286" w:type="dxa"/>
            <w:shd w:val="clear" w:color="auto" w:fill="auto"/>
            <w:vAlign w:val="center"/>
          </w:tcPr>
          <w:p w14:paraId="05A3B53D" w14:textId="77777777" w:rsidR="005D1807" w:rsidRPr="002D6400" w:rsidRDefault="005D1807" w:rsidP="005D1807">
            <w:pPr>
              <w:spacing w:line="240" w:lineRule="auto"/>
              <w:rPr>
                <w:b w:val="0"/>
                <w:bCs/>
                <w:sz w:val="20"/>
                <w:szCs w:val="20"/>
              </w:rPr>
            </w:pPr>
            <w:r w:rsidRPr="002D6400">
              <w:rPr>
                <w:b w:val="0"/>
                <w:bCs/>
                <w:sz w:val="20"/>
                <w:szCs w:val="20"/>
              </w:rPr>
              <w:t>-1.5</w:t>
            </w:r>
          </w:p>
        </w:tc>
        <w:tc>
          <w:tcPr>
            <w:tcW w:w="1143" w:type="dxa"/>
            <w:shd w:val="clear" w:color="auto" w:fill="auto"/>
            <w:vAlign w:val="center"/>
          </w:tcPr>
          <w:p w14:paraId="746C93C3" w14:textId="77777777" w:rsidR="005D1807" w:rsidRPr="002D6400" w:rsidRDefault="005D1807" w:rsidP="005D1807">
            <w:pPr>
              <w:spacing w:line="240" w:lineRule="auto"/>
              <w:rPr>
                <w:b w:val="0"/>
                <w:bCs/>
                <w:sz w:val="20"/>
                <w:szCs w:val="20"/>
              </w:rPr>
            </w:pPr>
            <w:r w:rsidRPr="002D6400">
              <w:rPr>
                <w:b w:val="0"/>
                <w:bCs/>
                <w:sz w:val="20"/>
                <w:szCs w:val="20"/>
              </w:rPr>
              <w:t>23.6</w:t>
            </w:r>
          </w:p>
        </w:tc>
        <w:tc>
          <w:tcPr>
            <w:tcW w:w="1162" w:type="dxa"/>
            <w:shd w:val="clear" w:color="auto" w:fill="auto"/>
            <w:vAlign w:val="center"/>
          </w:tcPr>
          <w:p w14:paraId="046D9F4C" w14:textId="77777777" w:rsidR="005D1807" w:rsidRPr="002D6400" w:rsidRDefault="005D1807" w:rsidP="005D1807">
            <w:pPr>
              <w:spacing w:line="240" w:lineRule="auto"/>
              <w:rPr>
                <w:b w:val="0"/>
                <w:bCs/>
                <w:sz w:val="20"/>
                <w:szCs w:val="20"/>
              </w:rPr>
            </w:pPr>
            <w:r w:rsidRPr="002D6400">
              <w:rPr>
                <w:b w:val="0"/>
                <w:bCs/>
                <w:sz w:val="20"/>
                <w:szCs w:val="20"/>
              </w:rPr>
              <w:t>9.0</w:t>
            </w:r>
          </w:p>
        </w:tc>
        <w:tc>
          <w:tcPr>
            <w:tcW w:w="1143" w:type="dxa"/>
            <w:shd w:val="clear" w:color="auto" w:fill="auto"/>
            <w:vAlign w:val="center"/>
          </w:tcPr>
          <w:p w14:paraId="7C84D908" w14:textId="77777777" w:rsidR="005D1807" w:rsidRPr="002D6400" w:rsidRDefault="005D1807" w:rsidP="005D1807">
            <w:pPr>
              <w:spacing w:line="240" w:lineRule="auto"/>
              <w:rPr>
                <w:b w:val="0"/>
                <w:bCs/>
                <w:sz w:val="20"/>
                <w:szCs w:val="20"/>
              </w:rPr>
            </w:pPr>
            <w:r w:rsidRPr="002D6400">
              <w:rPr>
                <w:b w:val="0"/>
                <w:bCs/>
                <w:sz w:val="20"/>
                <w:szCs w:val="20"/>
              </w:rPr>
              <w:t>23.2</w:t>
            </w:r>
          </w:p>
        </w:tc>
        <w:tc>
          <w:tcPr>
            <w:tcW w:w="1343" w:type="dxa"/>
            <w:shd w:val="clear" w:color="auto" w:fill="auto"/>
            <w:vAlign w:val="center"/>
          </w:tcPr>
          <w:p w14:paraId="0F87117A" w14:textId="77777777" w:rsidR="005D1807" w:rsidRPr="002D6400" w:rsidRDefault="005D1807" w:rsidP="005D1807">
            <w:pPr>
              <w:spacing w:line="240" w:lineRule="auto"/>
              <w:rPr>
                <w:b w:val="0"/>
                <w:bCs/>
                <w:sz w:val="20"/>
                <w:szCs w:val="20"/>
              </w:rPr>
            </w:pPr>
            <w:r w:rsidRPr="002D6400">
              <w:rPr>
                <w:b w:val="0"/>
                <w:bCs/>
                <w:sz w:val="20"/>
                <w:szCs w:val="20"/>
              </w:rPr>
              <w:t>11.8</w:t>
            </w:r>
          </w:p>
        </w:tc>
      </w:tr>
      <w:tr w:rsidR="005D1807" w:rsidRPr="002D6400" w14:paraId="3BE6B2C3" w14:textId="77777777" w:rsidTr="002D6400">
        <w:trPr>
          <w:trHeight w:val="233"/>
        </w:trPr>
        <w:tc>
          <w:tcPr>
            <w:tcW w:w="3720" w:type="dxa"/>
            <w:shd w:val="clear" w:color="auto" w:fill="auto"/>
          </w:tcPr>
          <w:p w14:paraId="291C4B31" w14:textId="77777777" w:rsidR="005D1807" w:rsidRPr="002D6400" w:rsidRDefault="005D1807" w:rsidP="005D1807">
            <w:pPr>
              <w:spacing w:line="240" w:lineRule="auto"/>
              <w:rPr>
                <w:b w:val="0"/>
                <w:bCs/>
                <w:sz w:val="20"/>
                <w:szCs w:val="20"/>
              </w:rPr>
            </w:pPr>
            <w:r w:rsidRPr="002D6400">
              <w:rPr>
                <w:b w:val="0"/>
                <w:bCs/>
                <w:sz w:val="20"/>
                <w:szCs w:val="20"/>
              </w:rPr>
              <w:t>Պետական</w:t>
            </w:r>
          </w:p>
        </w:tc>
        <w:tc>
          <w:tcPr>
            <w:tcW w:w="1286" w:type="dxa"/>
            <w:shd w:val="clear" w:color="auto" w:fill="auto"/>
          </w:tcPr>
          <w:p w14:paraId="3D7D6D7E" w14:textId="77777777" w:rsidR="005D1807" w:rsidRPr="002D6400" w:rsidRDefault="005D1807" w:rsidP="005D1807">
            <w:pPr>
              <w:spacing w:line="240" w:lineRule="auto"/>
              <w:rPr>
                <w:b w:val="0"/>
                <w:bCs/>
                <w:sz w:val="20"/>
                <w:szCs w:val="20"/>
              </w:rPr>
            </w:pPr>
            <w:r w:rsidRPr="002D6400">
              <w:rPr>
                <w:b w:val="0"/>
                <w:bCs/>
                <w:sz w:val="20"/>
                <w:szCs w:val="20"/>
              </w:rPr>
              <w:t>6.1</w:t>
            </w:r>
          </w:p>
        </w:tc>
        <w:tc>
          <w:tcPr>
            <w:tcW w:w="1143" w:type="dxa"/>
            <w:shd w:val="clear" w:color="auto" w:fill="auto"/>
          </w:tcPr>
          <w:p w14:paraId="0FDE5AAF" w14:textId="77777777" w:rsidR="005D1807" w:rsidRPr="002D6400" w:rsidRDefault="005D1807" w:rsidP="005D1807">
            <w:pPr>
              <w:spacing w:line="240" w:lineRule="auto"/>
              <w:rPr>
                <w:b w:val="0"/>
                <w:bCs/>
                <w:sz w:val="20"/>
                <w:szCs w:val="20"/>
              </w:rPr>
            </w:pPr>
            <w:r w:rsidRPr="002D6400">
              <w:rPr>
                <w:b w:val="0"/>
                <w:bCs/>
                <w:sz w:val="20"/>
                <w:szCs w:val="20"/>
              </w:rPr>
              <w:t>26.0</w:t>
            </w:r>
          </w:p>
        </w:tc>
        <w:tc>
          <w:tcPr>
            <w:tcW w:w="1162" w:type="dxa"/>
            <w:shd w:val="clear" w:color="auto" w:fill="auto"/>
          </w:tcPr>
          <w:p w14:paraId="6049B23B" w14:textId="77777777" w:rsidR="005D1807" w:rsidRPr="002D6400" w:rsidRDefault="005D1807" w:rsidP="005D1807">
            <w:pPr>
              <w:spacing w:line="240" w:lineRule="auto"/>
              <w:rPr>
                <w:b w:val="0"/>
                <w:bCs/>
                <w:sz w:val="20"/>
                <w:szCs w:val="20"/>
              </w:rPr>
            </w:pPr>
            <w:r w:rsidRPr="002D6400">
              <w:rPr>
                <w:b w:val="0"/>
                <w:bCs/>
                <w:sz w:val="20"/>
                <w:szCs w:val="20"/>
              </w:rPr>
              <w:t>12.3</w:t>
            </w:r>
          </w:p>
        </w:tc>
        <w:tc>
          <w:tcPr>
            <w:tcW w:w="1143" w:type="dxa"/>
            <w:shd w:val="clear" w:color="auto" w:fill="auto"/>
          </w:tcPr>
          <w:p w14:paraId="0647664A" w14:textId="77777777" w:rsidR="005D1807" w:rsidRPr="002D6400" w:rsidRDefault="005D1807" w:rsidP="005D1807">
            <w:pPr>
              <w:spacing w:line="240" w:lineRule="auto"/>
              <w:rPr>
                <w:b w:val="0"/>
                <w:bCs/>
                <w:sz w:val="20"/>
                <w:szCs w:val="20"/>
              </w:rPr>
            </w:pPr>
            <w:r w:rsidRPr="002D6400">
              <w:rPr>
                <w:b w:val="0"/>
                <w:bCs/>
                <w:sz w:val="20"/>
                <w:szCs w:val="20"/>
              </w:rPr>
              <w:t>49.1</w:t>
            </w:r>
          </w:p>
        </w:tc>
        <w:tc>
          <w:tcPr>
            <w:tcW w:w="1343" w:type="dxa"/>
            <w:shd w:val="clear" w:color="auto" w:fill="auto"/>
          </w:tcPr>
          <w:p w14:paraId="7C2BEB16" w14:textId="77777777" w:rsidR="005D1807" w:rsidRPr="002D6400" w:rsidRDefault="005D1807" w:rsidP="005D1807">
            <w:pPr>
              <w:spacing w:line="240" w:lineRule="auto"/>
              <w:rPr>
                <w:b w:val="0"/>
                <w:bCs/>
                <w:sz w:val="20"/>
                <w:szCs w:val="20"/>
              </w:rPr>
            </w:pPr>
            <w:r w:rsidRPr="002D6400">
              <w:rPr>
                <w:b w:val="0"/>
                <w:bCs/>
                <w:sz w:val="20"/>
                <w:szCs w:val="20"/>
              </w:rPr>
              <w:t>15.5</w:t>
            </w:r>
          </w:p>
        </w:tc>
      </w:tr>
      <w:tr w:rsidR="005D1807" w:rsidRPr="002D6400" w14:paraId="2ADFDFBE" w14:textId="77777777" w:rsidTr="002D6400">
        <w:trPr>
          <w:trHeight w:val="233"/>
        </w:trPr>
        <w:tc>
          <w:tcPr>
            <w:tcW w:w="3720" w:type="dxa"/>
            <w:shd w:val="clear" w:color="auto" w:fill="auto"/>
          </w:tcPr>
          <w:p w14:paraId="1C64C1C7" w14:textId="77777777" w:rsidR="005D1807" w:rsidRPr="002D6400" w:rsidRDefault="005D1807" w:rsidP="005D1807">
            <w:pPr>
              <w:spacing w:line="240" w:lineRule="auto"/>
              <w:rPr>
                <w:b w:val="0"/>
                <w:bCs/>
                <w:sz w:val="20"/>
                <w:szCs w:val="20"/>
              </w:rPr>
            </w:pPr>
            <w:r w:rsidRPr="002D6400">
              <w:rPr>
                <w:b w:val="0"/>
                <w:bCs/>
                <w:sz w:val="20"/>
                <w:szCs w:val="20"/>
              </w:rPr>
              <w:t>Մասնավոր</w:t>
            </w:r>
          </w:p>
        </w:tc>
        <w:tc>
          <w:tcPr>
            <w:tcW w:w="1286" w:type="dxa"/>
            <w:shd w:val="clear" w:color="auto" w:fill="auto"/>
          </w:tcPr>
          <w:p w14:paraId="606AA816" w14:textId="77777777" w:rsidR="005D1807" w:rsidRPr="002D6400" w:rsidRDefault="005D1807" w:rsidP="005D1807">
            <w:pPr>
              <w:spacing w:line="240" w:lineRule="auto"/>
              <w:rPr>
                <w:b w:val="0"/>
                <w:bCs/>
                <w:sz w:val="20"/>
                <w:szCs w:val="20"/>
              </w:rPr>
            </w:pPr>
            <w:r w:rsidRPr="002D6400">
              <w:rPr>
                <w:b w:val="0"/>
                <w:bCs/>
                <w:sz w:val="20"/>
                <w:szCs w:val="20"/>
              </w:rPr>
              <w:t>-3.1</w:t>
            </w:r>
          </w:p>
        </w:tc>
        <w:tc>
          <w:tcPr>
            <w:tcW w:w="1143" w:type="dxa"/>
            <w:shd w:val="clear" w:color="auto" w:fill="auto"/>
          </w:tcPr>
          <w:p w14:paraId="76BF480E" w14:textId="77777777" w:rsidR="005D1807" w:rsidRPr="002D6400" w:rsidRDefault="005D1807" w:rsidP="005D1807">
            <w:pPr>
              <w:spacing w:line="240" w:lineRule="auto"/>
              <w:rPr>
                <w:b w:val="0"/>
                <w:bCs/>
                <w:sz w:val="20"/>
                <w:szCs w:val="20"/>
              </w:rPr>
            </w:pPr>
            <w:r w:rsidRPr="002D6400">
              <w:rPr>
                <w:b w:val="0"/>
                <w:bCs/>
                <w:sz w:val="20"/>
                <w:szCs w:val="20"/>
              </w:rPr>
              <w:t>23.0</w:t>
            </w:r>
          </w:p>
        </w:tc>
        <w:tc>
          <w:tcPr>
            <w:tcW w:w="1162" w:type="dxa"/>
            <w:shd w:val="clear" w:color="auto" w:fill="auto"/>
          </w:tcPr>
          <w:p w14:paraId="233C28CA" w14:textId="77777777" w:rsidR="005D1807" w:rsidRPr="002D6400" w:rsidRDefault="005D1807" w:rsidP="005D1807">
            <w:pPr>
              <w:spacing w:line="240" w:lineRule="auto"/>
              <w:rPr>
                <w:b w:val="0"/>
                <w:bCs/>
                <w:sz w:val="20"/>
                <w:szCs w:val="20"/>
              </w:rPr>
            </w:pPr>
            <w:r w:rsidRPr="002D6400">
              <w:rPr>
                <w:b w:val="0"/>
                <w:bCs/>
                <w:sz w:val="20"/>
                <w:szCs w:val="20"/>
              </w:rPr>
              <w:t>8.2</w:t>
            </w:r>
          </w:p>
        </w:tc>
        <w:tc>
          <w:tcPr>
            <w:tcW w:w="1143" w:type="dxa"/>
            <w:shd w:val="clear" w:color="auto" w:fill="auto"/>
          </w:tcPr>
          <w:p w14:paraId="55F58FD8" w14:textId="77777777" w:rsidR="005D1807" w:rsidRPr="002D6400" w:rsidRDefault="005D1807" w:rsidP="005D1807">
            <w:pPr>
              <w:spacing w:line="240" w:lineRule="auto"/>
              <w:rPr>
                <w:b w:val="0"/>
                <w:bCs/>
                <w:sz w:val="20"/>
                <w:szCs w:val="20"/>
              </w:rPr>
            </w:pPr>
            <w:r w:rsidRPr="002D6400">
              <w:rPr>
                <w:b w:val="0"/>
                <w:bCs/>
                <w:sz w:val="20"/>
                <w:szCs w:val="20"/>
              </w:rPr>
              <w:t>16.8</w:t>
            </w:r>
          </w:p>
        </w:tc>
        <w:tc>
          <w:tcPr>
            <w:tcW w:w="1343" w:type="dxa"/>
            <w:shd w:val="clear" w:color="auto" w:fill="auto"/>
          </w:tcPr>
          <w:p w14:paraId="489C2FBA" w14:textId="77777777" w:rsidR="005D1807" w:rsidRPr="002D6400" w:rsidRDefault="005D1807" w:rsidP="005D1807">
            <w:pPr>
              <w:spacing w:line="240" w:lineRule="auto"/>
              <w:rPr>
                <w:b w:val="0"/>
                <w:bCs/>
                <w:sz w:val="20"/>
                <w:szCs w:val="20"/>
              </w:rPr>
            </w:pPr>
            <w:r w:rsidRPr="002D6400">
              <w:rPr>
                <w:b w:val="0"/>
                <w:bCs/>
                <w:sz w:val="20"/>
                <w:szCs w:val="20"/>
              </w:rPr>
              <w:t>10.6</w:t>
            </w:r>
          </w:p>
        </w:tc>
      </w:tr>
      <w:tr w:rsidR="005D1807" w:rsidRPr="002D6400" w14:paraId="204AFF67" w14:textId="77777777" w:rsidTr="002D6400">
        <w:trPr>
          <w:trHeight w:val="233"/>
        </w:trPr>
        <w:tc>
          <w:tcPr>
            <w:tcW w:w="3720" w:type="dxa"/>
            <w:shd w:val="clear" w:color="auto" w:fill="auto"/>
          </w:tcPr>
          <w:p w14:paraId="69974873" w14:textId="77777777" w:rsidR="005D1807" w:rsidRPr="002D6400" w:rsidRDefault="005D1807" w:rsidP="005D1807">
            <w:pPr>
              <w:spacing w:line="240" w:lineRule="auto"/>
              <w:rPr>
                <w:b w:val="0"/>
                <w:bCs/>
                <w:sz w:val="20"/>
                <w:szCs w:val="20"/>
              </w:rPr>
            </w:pPr>
            <w:r w:rsidRPr="002D6400">
              <w:rPr>
                <w:b w:val="0"/>
                <w:bCs/>
                <w:sz w:val="20"/>
                <w:szCs w:val="20"/>
              </w:rPr>
              <w:t xml:space="preserve">Արտահանում </w:t>
            </w:r>
          </w:p>
        </w:tc>
        <w:tc>
          <w:tcPr>
            <w:tcW w:w="1286" w:type="dxa"/>
            <w:shd w:val="clear" w:color="auto" w:fill="auto"/>
          </w:tcPr>
          <w:p w14:paraId="6BC3481B" w14:textId="77777777" w:rsidR="005D1807" w:rsidRPr="002D6400" w:rsidRDefault="005D1807" w:rsidP="005D1807">
            <w:pPr>
              <w:spacing w:line="240" w:lineRule="auto"/>
              <w:rPr>
                <w:b w:val="0"/>
                <w:bCs/>
                <w:sz w:val="20"/>
                <w:szCs w:val="20"/>
              </w:rPr>
            </w:pPr>
            <w:r w:rsidRPr="002D6400">
              <w:rPr>
                <w:b w:val="0"/>
                <w:bCs/>
                <w:sz w:val="20"/>
                <w:szCs w:val="20"/>
              </w:rPr>
              <w:t>-33.5</w:t>
            </w:r>
          </w:p>
        </w:tc>
        <w:tc>
          <w:tcPr>
            <w:tcW w:w="1143" w:type="dxa"/>
            <w:shd w:val="clear" w:color="auto" w:fill="auto"/>
          </w:tcPr>
          <w:p w14:paraId="3DB215F7" w14:textId="77777777" w:rsidR="005D1807" w:rsidRPr="002D6400" w:rsidRDefault="005D1807" w:rsidP="005D1807">
            <w:pPr>
              <w:spacing w:line="240" w:lineRule="auto"/>
              <w:rPr>
                <w:b w:val="0"/>
                <w:bCs/>
                <w:sz w:val="20"/>
                <w:szCs w:val="20"/>
              </w:rPr>
            </w:pPr>
            <w:r w:rsidRPr="002D6400">
              <w:rPr>
                <w:b w:val="0"/>
                <w:bCs/>
                <w:sz w:val="20"/>
                <w:szCs w:val="20"/>
              </w:rPr>
              <w:t>18.6</w:t>
            </w:r>
          </w:p>
        </w:tc>
        <w:tc>
          <w:tcPr>
            <w:tcW w:w="1162" w:type="dxa"/>
            <w:shd w:val="clear" w:color="auto" w:fill="auto"/>
          </w:tcPr>
          <w:p w14:paraId="74017CC5" w14:textId="77777777" w:rsidR="005D1807" w:rsidRPr="002D6400" w:rsidRDefault="005D1807" w:rsidP="005D1807">
            <w:pPr>
              <w:spacing w:line="240" w:lineRule="auto"/>
              <w:rPr>
                <w:b w:val="0"/>
                <w:bCs/>
                <w:sz w:val="20"/>
                <w:szCs w:val="20"/>
              </w:rPr>
            </w:pPr>
            <w:r w:rsidRPr="002D6400">
              <w:rPr>
                <w:b w:val="0"/>
                <w:bCs/>
                <w:sz w:val="20"/>
                <w:szCs w:val="20"/>
              </w:rPr>
              <w:t>59.3</w:t>
            </w:r>
          </w:p>
        </w:tc>
        <w:tc>
          <w:tcPr>
            <w:tcW w:w="1143" w:type="dxa"/>
            <w:shd w:val="clear" w:color="auto" w:fill="auto"/>
          </w:tcPr>
          <w:p w14:paraId="781C7BD0" w14:textId="77777777" w:rsidR="005D1807" w:rsidRPr="002D6400" w:rsidRDefault="005D1807" w:rsidP="005D1807">
            <w:pPr>
              <w:spacing w:line="240" w:lineRule="auto"/>
              <w:rPr>
                <w:b w:val="0"/>
                <w:bCs/>
                <w:sz w:val="20"/>
                <w:szCs w:val="20"/>
              </w:rPr>
            </w:pPr>
            <w:r w:rsidRPr="002D6400">
              <w:rPr>
                <w:b w:val="0"/>
                <w:bCs/>
                <w:sz w:val="20"/>
                <w:szCs w:val="20"/>
              </w:rPr>
              <w:t>17.7</w:t>
            </w:r>
          </w:p>
        </w:tc>
        <w:tc>
          <w:tcPr>
            <w:tcW w:w="1343" w:type="dxa"/>
            <w:shd w:val="clear" w:color="auto" w:fill="auto"/>
          </w:tcPr>
          <w:p w14:paraId="77C6CA47" w14:textId="77777777" w:rsidR="005D1807" w:rsidRPr="002D6400" w:rsidRDefault="005D1807" w:rsidP="005D1807">
            <w:pPr>
              <w:spacing w:line="240" w:lineRule="auto"/>
              <w:rPr>
                <w:b w:val="0"/>
                <w:bCs/>
                <w:sz w:val="20"/>
                <w:szCs w:val="20"/>
              </w:rPr>
            </w:pPr>
            <w:r w:rsidRPr="002D6400">
              <w:rPr>
                <w:b w:val="0"/>
                <w:bCs/>
                <w:sz w:val="20"/>
                <w:szCs w:val="20"/>
              </w:rPr>
              <w:t>12.5</w:t>
            </w:r>
          </w:p>
        </w:tc>
      </w:tr>
      <w:tr w:rsidR="005D1807" w:rsidRPr="002D6400" w14:paraId="386459FC" w14:textId="77777777" w:rsidTr="002D6400">
        <w:trPr>
          <w:trHeight w:val="245"/>
        </w:trPr>
        <w:tc>
          <w:tcPr>
            <w:tcW w:w="3720" w:type="dxa"/>
            <w:tcBorders>
              <w:bottom w:val="single" w:sz="4" w:space="0" w:color="auto"/>
            </w:tcBorders>
            <w:shd w:val="clear" w:color="auto" w:fill="auto"/>
          </w:tcPr>
          <w:p w14:paraId="7834E4C3" w14:textId="77777777" w:rsidR="005D1807" w:rsidRPr="002D6400" w:rsidRDefault="005D1807" w:rsidP="005D1807">
            <w:pPr>
              <w:spacing w:line="240" w:lineRule="auto"/>
              <w:rPr>
                <w:b w:val="0"/>
                <w:bCs/>
                <w:sz w:val="20"/>
                <w:szCs w:val="20"/>
              </w:rPr>
            </w:pPr>
            <w:r w:rsidRPr="002D6400">
              <w:rPr>
                <w:b w:val="0"/>
                <w:bCs/>
                <w:sz w:val="20"/>
                <w:szCs w:val="20"/>
              </w:rPr>
              <w:t xml:space="preserve">Ներմուծում </w:t>
            </w:r>
          </w:p>
        </w:tc>
        <w:tc>
          <w:tcPr>
            <w:tcW w:w="1286" w:type="dxa"/>
            <w:tcBorders>
              <w:bottom w:val="single" w:sz="4" w:space="0" w:color="auto"/>
            </w:tcBorders>
            <w:shd w:val="clear" w:color="auto" w:fill="auto"/>
          </w:tcPr>
          <w:p w14:paraId="2038FE95" w14:textId="77777777" w:rsidR="005D1807" w:rsidRPr="002D6400" w:rsidRDefault="005D1807" w:rsidP="005D1807">
            <w:pPr>
              <w:spacing w:line="240" w:lineRule="auto"/>
              <w:rPr>
                <w:b w:val="0"/>
                <w:bCs/>
                <w:sz w:val="20"/>
                <w:szCs w:val="20"/>
              </w:rPr>
            </w:pPr>
            <w:r w:rsidRPr="002D6400">
              <w:rPr>
                <w:b w:val="0"/>
                <w:bCs/>
                <w:sz w:val="20"/>
                <w:szCs w:val="20"/>
              </w:rPr>
              <w:t>-31.5</w:t>
            </w:r>
          </w:p>
        </w:tc>
        <w:tc>
          <w:tcPr>
            <w:tcW w:w="1143" w:type="dxa"/>
            <w:tcBorders>
              <w:bottom w:val="single" w:sz="4" w:space="0" w:color="auto"/>
            </w:tcBorders>
            <w:shd w:val="clear" w:color="auto" w:fill="auto"/>
          </w:tcPr>
          <w:p w14:paraId="458B69C7" w14:textId="77777777" w:rsidR="005D1807" w:rsidRPr="002D6400" w:rsidRDefault="005D1807" w:rsidP="005D1807">
            <w:pPr>
              <w:spacing w:line="240" w:lineRule="auto"/>
              <w:rPr>
                <w:b w:val="0"/>
                <w:bCs/>
                <w:sz w:val="20"/>
                <w:szCs w:val="20"/>
              </w:rPr>
            </w:pPr>
            <w:r w:rsidRPr="002D6400">
              <w:rPr>
                <w:b w:val="0"/>
                <w:bCs/>
                <w:sz w:val="20"/>
                <w:szCs w:val="20"/>
              </w:rPr>
              <w:t>12.9</w:t>
            </w:r>
          </w:p>
        </w:tc>
        <w:tc>
          <w:tcPr>
            <w:tcW w:w="1162" w:type="dxa"/>
            <w:tcBorders>
              <w:bottom w:val="single" w:sz="4" w:space="0" w:color="auto"/>
            </w:tcBorders>
            <w:shd w:val="clear" w:color="auto" w:fill="auto"/>
          </w:tcPr>
          <w:p w14:paraId="1065D45B" w14:textId="77777777" w:rsidR="005D1807" w:rsidRPr="002D6400" w:rsidRDefault="005D1807" w:rsidP="005D1807">
            <w:pPr>
              <w:spacing w:line="240" w:lineRule="auto"/>
              <w:rPr>
                <w:b w:val="0"/>
                <w:bCs/>
                <w:sz w:val="20"/>
                <w:szCs w:val="20"/>
              </w:rPr>
            </w:pPr>
            <w:r w:rsidRPr="002D6400">
              <w:rPr>
                <w:b w:val="0"/>
                <w:bCs/>
                <w:sz w:val="20"/>
                <w:szCs w:val="20"/>
              </w:rPr>
              <w:t>34.5</w:t>
            </w:r>
          </w:p>
        </w:tc>
        <w:tc>
          <w:tcPr>
            <w:tcW w:w="1143" w:type="dxa"/>
            <w:tcBorders>
              <w:bottom w:val="single" w:sz="4" w:space="0" w:color="auto"/>
            </w:tcBorders>
            <w:shd w:val="clear" w:color="auto" w:fill="auto"/>
          </w:tcPr>
          <w:p w14:paraId="2D907177" w14:textId="77777777" w:rsidR="005D1807" w:rsidRPr="002D6400" w:rsidRDefault="005D1807" w:rsidP="005D1807">
            <w:pPr>
              <w:spacing w:line="240" w:lineRule="auto"/>
              <w:rPr>
                <w:b w:val="0"/>
                <w:bCs/>
                <w:sz w:val="20"/>
                <w:szCs w:val="20"/>
              </w:rPr>
            </w:pPr>
            <w:r w:rsidRPr="002D6400">
              <w:rPr>
                <w:b w:val="0"/>
                <w:bCs/>
                <w:sz w:val="20"/>
                <w:szCs w:val="20"/>
              </w:rPr>
              <w:t>25.6</w:t>
            </w:r>
          </w:p>
        </w:tc>
        <w:tc>
          <w:tcPr>
            <w:tcW w:w="1343" w:type="dxa"/>
            <w:tcBorders>
              <w:bottom w:val="single" w:sz="4" w:space="0" w:color="auto"/>
            </w:tcBorders>
            <w:shd w:val="clear" w:color="auto" w:fill="auto"/>
          </w:tcPr>
          <w:p w14:paraId="195DA3DF" w14:textId="77777777" w:rsidR="005D1807" w:rsidRPr="002D6400" w:rsidRDefault="005D1807" w:rsidP="005D1807">
            <w:pPr>
              <w:spacing w:line="240" w:lineRule="auto"/>
              <w:rPr>
                <w:b w:val="0"/>
                <w:bCs/>
                <w:sz w:val="20"/>
                <w:szCs w:val="20"/>
              </w:rPr>
            </w:pPr>
            <w:r w:rsidRPr="002D6400">
              <w:rPr>
                <w:b w:val="0"/>
                <w:bCs/>
                <w:sz w:val="20"/>
                <w:szCs w:val="20"/>
              </w:rPr>
              <w:t>14.9</w:t>
            </w:r>
          </w:p>
        </w:tc>
      </w:tr>
      <w:tr w:rsidR="005D1807" w:rsidRPr="002D6400" w14:paraId="417CC675" w14:textId="77777777" w:rsidTr="002D6400">
        <w:trPr>
          <w:trHeight w:val="233"/>
        </w:trPr>
        <w:tc>
          <w:tcPr>
            <w:tcW w:w="9800" w:type="dxa"/>
            <w:gridSpan w:val="6"/>
            <w:tcBorders>
              <w:top w:val="single" w:sz="4" w:space="0" w:color="auto"/>
            </w:tcBorders>
            <w:shd w:val="clear" w:color="auto" w:fill="auto"/>
            <w:noWrap/>
            <w:vAlign w:val="center"/>
          </w:tcPr>
          <w:p w14:paraId="7CDCE652" w14:textId="77777777" w:rsidR="005D1807" w:rsidRPr="002D6400" w:rsidRDefault="005D1807" w:rsidP="005D1807">
            <w:pPr>
              <w:spacing w:line="240" w:lineRule="auto"/>
              <w:rPr>
                <w:b w:val="0"/>
                <w:bCs/>
                <w:sz w:val="20"/>
                <w:szCs w:val="20"/>
              </w:rPr>
            </w:pPr>
            <w:r w:rsidRPr="002D6400">
              <w:rPr>
                <w:b w:val="0"/>
                <w:bCs/>
                <w:sz w:val="20"/>
                <w:szCs w:val="20"/>
              </w:rPr>
              <w:t>Արտաքին հատված (մլն ԱՄՆ դոլար)</w:t>
            </w:r>
          </w:p>
        </w:tc>
      </w:tr>
      <w:tr w:rsidR="005D1807" w:rsidRPr="002D6400" w14:paraId="2822CB2C" w14:textId="77777777" w:rsidTr="002D6400">
        <w:trPr>
          <w:trHeight w:val="233"/>
        </w:trPr>
        <w:tc>
          <w:tcPr>
            <w:tcW w:w="3720" w:type="dxa"/>
            <w:shd w:val="clear" w:color="auto" w:fill="auto"/>
          </w:tcPr>
          <w:p w14:paraId="6AD65B48" w14:textId="77777777" w:rsidR="005D1807" w:rsidRPr="002D6400" w:rsidRDefault="005D1807" w:rsidP="005D1807">
            <w:pPr>
              <w:spacing w:line="240" w:lineRule="auto"/>
              <w:rPr>
                <w:b w:val="0"/>
                <w:bCs/>
                <w:sz w:val="20"/>
                <w:szCs w:val="20"/>
              </w:rPr>
            </w:pPr>
            <w:r w:rsidRPr="002D6400">
              <w:rPr>
                <w:b w:val="0"/>
                <w:bCs/>
                <w:sz w:val="20"/>
                <w:szCs w:val="20"/>
              </w:rPr>
              <w:t>Ընթացիկ հաշիվ</w:t>
            </w:r>
          </w:p>
        </w:tc>
        <w:tc>
          <w:tcPr>
            <w:tcW w:w="1286" w:type="dxa"/>
            <w:shd w:val="clear" w:color="auto" w:fill="auto"/>
            <w:vAlign w:val="center"/>
          </w:tcPr>
          <w:p w14:paraId="3C78BEC2" w14:textId="77777777" w:rsidR="005D1807" w:rsidRPr="002D6400" w:rsidRDefault="005D1807" w:rsidP="005D1807">
            <w:pPr>
              <w:spacing w:line="240" w:lineRule="auto"/>
              <w:rPr>
                <w:b w:val="0"/>
                <w:bCs/>
                <w:sz w:val="20"/>
                <w:szCs w:val="20"/>
              </w:rPr>
            </w:pPr>
            <w:r w:rsidRPr="002D6400">
              <w:rPr>
                <w:b w:val="0"/>
                <w:bCs/>
                <w:sz w:val="20"/>
                <w:szCs w:val="20"/>
              </w:rPr>
              <w:t>-505.4</w:t>
            </w:r>
          </w:p>
        </w:tc>
        <w:tc>
          <w:tcPr>
            <w:tcW w:w="1143" w:type="dxa"/>
            <w:shd w:val="clear" w:color="auto" w:fill="auto"/>
            <w:vAlign w:val="center"/>
          </w:tcPr>
          <w:p w14:paraId="7F3AFE00" w14:textId="77777777" w:rsidR="005D1807" w:rsidRPr="002D6400" w:rsidRDefault="005D1807" w:rsidP="005D1807">
            <w:pPr>
              <w:spacing w:line="240" w:lineRule="auto"/>
              <w:rPr>
                <w:b w:val="0"/>
                <w:bCs/>
                <w:sz w:val="20"/>
                <w:szCs w:val="20"/>
              </w:rPr>
            </w:pPr>
            <w:r w:rsidRPr="002D6400">
              <w:rPr>
                <w:b w:val="0"/>
                <w:bCs/>
                <w:sz w:val="20"/>
                <w:szCs w:val="20"/>
              </w:rPr>
              <w:t>-483.0</w:t>
            </w:r>
          </w:p>
        </w:tc>
        <w:tc>
          <w:tcPr>
            <w:tcW w:w="1162" w:type="dxa"/>
            <w:shd w:val="clear" w:color="auto" w:fill="auto"/>
            <w:vAlign w:val="center"/>
          </w:tcPr>
          <w:p w14:paraId="152F4AED" w14:textId="77777777" w:rsidR="005D1807" w:rsidRPr="002D6400" w:rsidRDefault="005D1807" w:rsidP="005D1807">
            <w:pPr>
              <w:spacing w:line="240" w:lineRule="auto"/>
              <w:rPr>
                <w:b w:val="0"/>
                <w:bCs/>
                <w:sz w:val="20"/>
                <w:szCs w:val="20"/>
              </w:rPr>
            </w:pPr>
            <w:r w:rsidRPr="002D6400">
              <w:rPr>
                <w:b w:val="0"/>
                <w:bCs/>
                <w:sz w:val="20"/>
                <w:szCs w:val="20"/>
              </w:rPr>
              <w:t>151.0</w:t>
            </w:r>
          </w:p>
        </w:tc>
        <w:tc>
          <w:tcPr>
            <w:tcW w:w="1143" w:type="dxa"/>
            <w:shd w:val="clear" w:color="auto" w:fill="auto"/>
          </w:tcPr>
          <w:p w14:paraId="525A2290" w14:textId="77777777" w:rsidR="005D1807" w:rsidRPr="002D6400" w:rsidRDefault="005D1807" w:rsidP="005D1807">
            <w:pPr>
              <w:spacing w:line="240" w:lineRule="auto"/>
              <w:rPr>
                <w:b w:val="0"/>
                <w:bCs/>
                <w:sz w:val="20"/>
                <w:szCs w:val="20"/>
              </w:rPr>
            </w:pPr>
            <w:r w:rsidRPr="002D6400">
              <w:rPr>
                <w:b w:val="0"/>
                <w:bCs/>
                <w:sz w:val="20"/>
                <w:szCs w:val="20"/>
              </w:rPr>
              <w:t>-965.8</w:t>
            </w:r>
          </w:p>
        </w:tc>
        <w:tc>
          <w:tcPr>
            <w:tcW w:w="1343" w:type="dxa"/>
            <w:shd w:val="clear" w:color="auto" w:fill="auto"/>
          </w:tcPr>
          <w:p w14:paraId="66ECDE8E" w14:textId="77777777" w:rsidR="005D1807" w:rsidRPr="002D6400" w:rsidRDefault="005D1807" w:rsidP="005D1807">
            <w:pPr>
              <w:spacing w:line="240" w:lineRule="auto"/>
              <w:rPr>
                <w:b w:val="0"/>
                <w:bCs/>
                <w:sz w:val="20"/>
                <w:szCs w:val="20"/>
              </w:rPr>
            </w:pPr>
            <w:r w:rsidRPr="002D6400">
              <w:rPr>
                <w:b w:val="0"/>
                <w:bCs/>
                <w:sz w:val="20"/>
                <w:szCs w:val="20"/>
              </w:rPr>
              <w:t>-1,232.1</w:t>
            </w:r>
          </w:p>
        </w:tc>
      </w:tr>
      <w:tr w:rsidR="005D1807" w:rsidRPr="002D6400" w14:paraId="3B7D92FC" w14:textId="77777777" w:rsidTr="002D6400">
        <w:trPr>
          <w:trHeight w:val="233"/>
        </w:trPr>
        <w:tc>
          <w:tcPr>
            <w:tcW w:w="3720" w:type="dxa"/>
            <w:shd w:val="clear" w:color="auto" w:fill="auto"/>
          </w:tcPr>
          <w:p w14:paraId="59D92BCD" w14:textId="77777777" w:rsidR="005D1807" w:rsidRPr="002D6400" w:rsidRDefault="005D1807" w:rsidP="005D1807">
            <w:pPr>
              <w:spacing w:line="240" w:lineRule="auto"/>
              <w:rPr>
                <w:b w:val="0"/>
                <w:bCs/>
                <w:sz w:val="20"/>
                <w:szCs w:val="20"/>
              </w:rPr>
            </w:pPr>
            <w:r w:rsidRPr="002D6400">
              <w:rPr>
                <w:b w:val="0"/>
                <w:bCs/>
                <w:sz w:val="20"/>
                <w:szCs w:val="20"/>
              </w:rPr>
              <w:t>Ապրանքների և ծառայությունների հաշվեկշիռ</w:t>
            </w:r>
          </w:p>
        </w:tc>
        <w:tc>
          <w:tcPr>
            <w:tcW w:w="1286" w:type="dxa"/>
            <w:shd w:val="clear" w:color="auto" w:fill="auto"/>
            <w:vAlign w:val="center"/>
          </w:tcPr>
          <w:p w14:paraId="7B7248FC" w14:textId="77777777" w:rsidR="005D1807" w:rsidRPr="002D6400" w:rsidRDefault="005D1807" w:rsidP="005D1807">
            <w:pPr>
              <w:spacing w:line="240" w:lineRule="auto"/>
              <w:rPr>
                <w:b w:val="0"/>
                <w:bCs/>
                <w:sz w:val="20"/>
                <w:szCs w:val="20"/>
              </w:rPr>
            </w:pPr>
            <w:r w:rsidRPr="002D6400">
              <w:rPr>
                <w:b w:val="0"/>
                <w:bCs/>
                <w:sz w:val="20"/>
                <w:szCs w:val="20"/>
              </w:rPr>
              <w:t>-1,264.1</w:t>
            </w:r>
          </w:p>
        </w:tc>
        <w:tc>
          <w:tcPr>
            <w:tcW w:w="1143" w:type="dxa"/>
            <w:shd w:val="clear" w:color="auto" w:fill="auto"/>
            <w:vAlign w:val="center"/>
          </w:tcPr>
          <w:p w14:paraId="6A66F2DD" w14:textId="77777777" w:rsidR="005D1807" w:rsidRPr="002D6400" w:rsidRDefault="005D1807" w:rsidP="005D1807">
            <w:pPr>
              <w:spacing w:line="240" w:lineRule="auto"/>
              <w:rPr>
                <w:b w:val="0"/>
                <w:bCs/>
                <w:sz w:val="20"/>
                <w:szCs w:val="20"/>
              </w:rPr>
            </w:pPr>
            <w:r w:rsidRPr="002D6400">
              <w:rPr>
                <w:b w:val="0"/>
                <w:bCs/>
                <w:sz w:val="20"/>
                <w:szCs w:val="20"/>
              </w:rPr>
              <w:t>-1,107.9</w:t>
            </w:r>
          </w:p>
        </w:tc>
        <w:tc>
          <w:tcPr>
            <w:tcW w:w="1162" w:type="dxa"/>
            <w:shd w:val="clear" w:color="auto" w:fill="auto"/>
            <w:vAlign w:val="center"/>
          </w:tcPr>
          <w:p w14:paraId="0A800A4A" w14:textId="77777777" w:rsidR="005D1807" w:rsidRPr="002D6400" w:rsidRDefault="005D1807" w:rsidP="005D1807">
            <w:pPr>
              <w:spacing w:line="240" w:lineRule="auto"/>
              <w:rPr>
                <w:b w:val="0"/>
                <w:bCs/>
                <w:sz w:val="20"/>
                <w:szCs w:val="20"/>
              </w:rPr>
            </w:pPr>
            <w:r w:rsidRPr="002D6400">
              <w:rPr>
                <w:b w:val="0"/>
                <w:bCs/>
                <w:sz w:val="20"/>
                <w:szCs w:val="20"/>
              </w:rPr>
              <w:t>-148.2</w:t>
            </w:r>
          </w:p>
        </w:tc>
        <w:tc>
          <w:tcPr>
            <w:tcW w:w="1143" w:type="dxa"/>
            <w:shd w:val="clear" w:color="auto" w:fill="auto"/>
            <w:vAlign w:val="center"/>
          </w:tcPr>
          <w:p w14:paraId="6D1771FA" w14:textId="77777777" w:rsidR="005D1807" w:rsidRPr="002D6400" w:rsidRDefault="005D1807" w:rsidP="005D1807">
            <w:pPr>
              <w:spacing w:line="240" w:lineRule="auto"/>
              <w:rPr>
                <w:b w:val="0"/>
                <w:bCs/>
                <w:sz w:val="20"/>
                <w:szCs w:val="20"/>
              </w:rPr>
            </w:pPr>
            <w:r w:rsidRPr="002D6400">
              <w:rPr>
                <w:b w:val="0"/>
                <w:bCs/>
                <w:sz w:val="20"/>
                <w:szCs w:val="20"/>
              </w:rPr>
              <w:t>-537.0</w:t>
            </w:r>
          </w:p>
        </w:tc>
        <w:tc>
          <w:tcPr>
            <w:tcW w:w="1343" w:type="dxa"/>
            <w:shd w:val="clear" w:color="auto" w:fill="auto"/>
            <w:vAlign w:val="center"/>
          </w:tcPr>
          <w:p w14:paraId="377C6D65" w14:textId="77777777" w:rsidR="005D1807" w:rsidRPr="002D6400" w:rsidRDefault="005D1807" w:rsidP="005D1807">
            <w:pPr>
              <w:spacing w:line="240" w:lineRule="auto"/>
              <w:rPr>
                <w:b w:val="0"/>
                <w:bCs/>
                <w:sz w:val="20"/>
                <w:szCs w:val="20"/>
              </w:rPr>
            </w:pPr>
            <w:r w:rsidRPr="002D6400">
              <w:rPr>
                <w:b w:val="0"/>
                <w:bCs/>
                <w:sz w:val="20"/>
                <w:szCs w:val="20"/>
              </w:rPr>
              <w:t>-632.0</w:t>
            </w:r>
          </w:p>
        </w:tc>
      </w:tr>
      <w:tr w:rsidR="005D1807" w:rsidRPr="002D6400" w14:paraId="104D722E" w14:textId="77777777" w:rsidTr="002D6400">
        <w:trPr>
          <w:trHeight w:val="233"/>
        </w:trPr>
        <w:tc>
          <w:tcPr>
            <w:tcW w:w="3720" w:type="dxa"/>
            <w:shd w:val="clear" w:color="auto" w:fill="auto"/>
          </w:tcPr>
          <w:p w14:paraId="5B7C9879" w14:textId="77777777" w:rsidR="005D1807" w:rsidRPr="002D6400" w:rsidRDefault="005D1807" w:rsidP="005D1807">
            <w:pPr>
              <w:spacing w:line="240" w:lineRule="auto"/>
              <w:rPr>
                <w:b w:val="0"/>
                <w:bCs/>
                <w:sz w:val="20"/>
                <w:szCs w:val="20"/>
              </w:rPr>
            </w:pPr>
            <w:r w:rsidRPr="002D6400">
              <w:rPr>
                <w:b w:val="0"/>
                <w:bCs/>
                <w:sz w:val="20"/>
                <w:szCs w:val="20"/>
              </w:rPr>
              <w:t>Արտահանում</w:t>
            </w:r>
          </w:p>
        </w:tc>
        <w:tc>
          <w:tcPr>
            <w:tcW w:w="1286" w:type="dxa"/>
            <w:shd w:val="clear" w:color="auto" w:fill="auto"/>
            <w:vAlign w:val="center"/>
          </w:tcPr>
          <w:p w14:paraId="55F24C5F" w14:textId="77777777" w:rsidR="005D1807" w:rsidRPr="002D6400" w:rsidRDefault="005D1807" w:rsidP="005D1807">
            <w:pPr>
              <w:spacing w:line="240" w:lineRule="auto"/>
              <w:rPr>
                <w:b w:val="0"/>
                <w:bCs/>
                <w:sz w:val="20"/>
                <w:szCs w:val="20"/>
              </w:rPr>
            </w:pPr>
            <w:r w:rsidRPr="002D6400">
              <w:rPr>
                <w:b w:val="0"/>
                <w:bCs/>
                <w:sz w:val="20"/>
                <w:szCs w:val="20"/>
              </w:rPr>
              <w:t>3,818.2</w:t>
            </w:r>
          </w:p>
        </w:tc>
        <w:tc>
          <w:tcPr>
            <w:tcW w:w="1143" w:type="dxa"/>
            <w:shd w:val="clear" w:color="auto" w:fill="auto"/>
            <w:vAlign w:val="center"/>
          </w:tcPr>
          <w:p w14:paraId="4B68C05D" w14:textId="77777777" w:rsidR="005D1807" w:rsidRPr="002D6400" w:rsidRDefault="005D1807" w:rsidP="005D1807">
            <w:pPr>
              <w:spacing w:line="240" w:lineRule="auto"/>
              <w:rPr>
                <w:b w:val="0"/>
                <w:bCs/>
                <w:sz w:val="20"/>
                <w:szCs w:val="20"/>
              </w:rPr>
            </w:pPr>
            <w:r w:rsidRPr="002D6400">
              <w:rPr>
                <w:b w:val="0"/>
                <w:bCs/>
                <w:sz w:val="20"/>
                <w:szCs w:val="20"/>
              </w:rPr>
              <w:t>5,011.9</w:t>
            </w:r>
          </w:p>
        </w:tc>
        <w:tc>
          <w:tcPr>
            <w:tcW w:w="1162" w:type="dxa"/>
            <w:shd w:val="clear" w:color="auto" w:fill="auto"/>
            <w:vAlign w:val="center"/>
          </w:tcPr>
          <w:p w14:paraId="0CA88030" w14:textId="77777777" w:rsidR="005D1807" w:rsidRPr="002D6400" w:rsidRDefault="005D1807" w:rsidP="005D1807">
            <w:pPr>
              <w:spacing w:line="240" w:lineRule="auto"/>
              <w:rPr>
                <w:b w:val="0"/>
                <w:bCs/>
                <w:sz w:val="20"/>
                <w:szCs w:val="20"/>
              </w:rPr>
            </w:pPr>
            <w:r w:rsidRPr="002D6400">
              <w:rPr>
                <w:b w:val="0"/>
                <w:bCs/>
                <w:sz w:val="20"/>
                <w:szCs w:val="20"/>
              </w:rPr>
              <w:t>10,038.2</w:t>
            </w:r>
          </w:p>
        </w:tc>
        <w:tc>
          <w:tcPr>
            <w:tcW w:w="1143" w:type="dxa"/>
            <w:shd w:val="clear" w:color="auto" w:fill="auto"/>
            <w:vAlign w:val="center"/>
          </w:tcPr>
          <w:p w14:paraId="374A6118" w14:textId="77777777" w:rsidR="005D1807" w:rsidRPr="002D6400" w:rsidRDefault="005D1807" w:rsidP="005D1807">
            <w:pPr>
              <w:spacing w:line="240" w:lineRule="auto"/>
              <w:rPr>
                <w:b w:val="0"/>
                <w:bCs/>
                <w:sz w:val="20"/>
                <w:szCs w:val="20"/>
              </w:rPr>
            </w:pPr>
            <w:r w:rsidRPr="002D6400">
              <w:rPr>
                <w:b w:val="0"/>
                <w:bCs/>
                <w:sz w:val="20"/>
                <w:szCs w:val="20"/>
              </w:rPr>
              <w:t>13,239.0</w:t>
            </w:r>
          </w:p>
        </w:tc>
        <w:tc>
          <w:tcPr>
            <w:tcW w:w="1343" w:type="dxa"/>
            <w:shd w:val="clear" w:color="auto" w:fill="auto"/>
            <w:vAlign w:val="center"/>
          </w:tcPr>
          <w:p w14:paraId="3B7B9D47" w14:textId="77777777" w:rsidR="005D1807" w:rsidRPr="002D6400" w:rsidRDefault="005D1807" w:rsidP="005D1807">
            <w:pPr>
              <w:spacing w:line="240" w:lineRule="auto"/>
              <w:rPr>
                <w:b w:val="0"/>
                <w:bCs/>
                <w:sz w:val="20"/>
                <w:szCs w:val="20"/>
              </w:rPr>
            </w:pPr>
            <w:r w:rsidRPr="002D6400">
              <w:rPr>
                <w:b w:val="0"/>
                <w:bCs/>
                <w:sz w:val="20"/>
                <w:szCs w:val="20"/>
              </w:rPr>
              <w:t>14,359.3</w:t>
            </w:r>
          </w:p>
        </w:tc>
      </w:tr>
      <w:tr w:rsidR="005D1807" w:rsidRPr="002D6400" w14:paraId="5420CEB0" w14:textId="77777777" w:rsidTr="002D6400">
        <w:trPr>
          <w:trHeight w:val="233"/>
        </w:trPr>
        <w:tc>
          <w:tcPr>
            <w:tcW w:w="3720" w:type="dxa"/>
            <w:shd w:val="clear" w:color="auto" w:fill="auto"/>
          </w:tcPr>
          <w:p w14:paraId="062209D5" w14:textId="77777777" w:rsidR="005D1807" w:rsidRPr="002D6400" w:rsidRDefault="005D1807" w:rsidP="005D1807">
            <w:pPr>
              <w:spacing w:line="240" w:lineRule="auto"/>
              <w:rPr>
                <w:b w:val="0"/>
                <w:bCs/>
                <w:sz w:val="20"/>
                <w:szCs w:val="20"/>
              </w:rPr>
            </w:pPr>
            <w:r w:rsidRPr="002D6400">
              <w:rPr>
                <w:b w:val="0"/>
                <w:bCs/>
                <w:sz w:val="20"/>
                <w:szCs w:val="20"/>
              </w:rPr>
              <w:t>Փոփոխություն, %</w:t>
            </w:r>
          </w:p>
        </w:tc>
        <w:tc>
          <w:tcPr>
            <w:tcW w:w="1286" w:type="dxa"/>
            <w:shd w:val="clear" w:color="auto" w:fill="auto"/>
            <w:vAlign w:val="center"/>
          </w:tcPr>
          <w:p w14:paraId="62DFEFEB" w14:textId="77777777" w:rsidR="005D1807" w:rsidRPr="002D6400" w:rsidRDefault="005D1807" w:rsidP="005D1807">
            <w:pPr>
              <w:spacing w:line="240" w:lineRule="auto"/>
              <w:rPr>
                <w:b w:val="0"/>
                <w:bCs/>
                <w:sz w:val="20"/>
                <w:szCs w:val="20"/>
              </w:rPr>
            </w:pPr>
            <w:r w:rsidRPr="002D6400">
              <w:rPr>
                <w:b w:val="0"/>
                <w:bCs/>
                <w:sz w:val="20"/>
                <w:szCs w:val="20"/>
              </w:rPr>
              <w:t>-34.1</w:t>
            </w:r>
          </w:p>
        </w:tc>
        <w:tc>
          <w:tcPr>
            <w:tcW w:w="1143" w:type="dxa"/>
            <w:shd w:val="clear" w:color="auto" w:fill="auto"/>
            <w:vAlign w:val="center"/>
          </w:tcPr>
          <w:p w14:paraId="4403E569" w14:textId="77777777" w:rsidR="005D1807" w:rsidRPr="002D6400" w:rsidRDefault="005D1807" w:rsidP="005D1807">
            <w:pPr>
              <w:spacing w:line="240" w:lineRule="auto"/>
              <w:rPr>
                <w:b w:val="0"/>
                <w:bCs/>
                <w:sz w:val="20"/>
                <w:szCs w:val="20"/>
              </w:rPr>
            </w:pPr>
            <w:r w:rsidRPr="002D6400">
              <w:rPr>
                <w:b w:val="0"/>
                <w:bCs/>
                <w:sz w:val="20"/>
                <w:szCs w:val="20"/>
              </w:rPr>
              <w:t>31.3</w:t>
            </w:r>
          </w:p>
        </w:tc>
        <w:tc>
          <w:tcPr>
            <w:tcW w:w="1162" w:type="dxa"/>
            <w:shd w:val="clear" w:color="auto" w:fill="auto"/>
            <w:vAlign w:val="center"/>
          </w:tcPr>
          <w:p w14:paraId="6484BB38" w14:textId="77777777" w:rsidR="005D1807" w:rsidRPr="002D6400" w:rsidRDefault="005D1807" w:rsidP="005D1807">
            <w:pPr>
              <w:spacing w:line="240" w:lineRule="auto"/>
              <w:rPr>
                <w:b w:val="0"/>
                <w:bCs/>
                <w:sz w:val="20"/>
                <w:szCs w:val="20"/>
              </w:rPr>
            </w:pPr>
            <w:r w:rsidRPr="002D6400">
              <w:rPr>
                <w:b w:val="0"/>
                <w:bCs/>
                <w:sz w:val="20"/>
                <w:szCs w:val="20"/>
              </w:rPr>
              <w:t>100.3</w:t>
            </w:r>
          </w:p>
        </w:tc>
        <w:tc>
          <w:tcPr>
            <w:tcW w:w="1143" w:type="dxa"/>
            <w:shd w:val="clear" w:color="auto" w:fill="auto"/>
            <w:vAlign w:val="center"/>
          </w:tcPr>
          <w:p w14:paraId="530F3786" w14:textId="77777777" w:rsidR="005D1807" w:rsidRPr="002D6400" w:rsidRDefault="005D1807" w:rsidP="005D1807">
            <w:pPr>
              <w:spacing w:line="240" w:lineRule="auto"/>
              <w:rPr>
                <w:b w:val="0"/>
                <w:bCs/>
                <w:sz w:val="20"/>
                <w:szCs w:val="20"/>
              </w:rPr>
            </w:pPr>
            <w:r w:rsidRPr="002D6400">
              <w:rPr>
                <w:b w:val="0"/>
                <w:bCs/>
                <w:sz w:val="20"/>
                <w:szCs w:val="20"/>
              </w:rPr>
              <w:t>31.9</w:t>
            </w:r>
          </w:p>
        </w:tc>
        <w:tc>
          <w:tcPr>
            <w:tcW w:w="1343" w:type="dxa"/>
            <w:shd w:val="clear" w:color="auto" w:fill="auto"/>
            <w:vAlign w:val="center"/>
          </w:tcPr>
          <w:p w14:paraId="09D1E3E7" w14:textId="77777777" w:rsidR="005D1807" w:rsidRPr="002D6400" w:rsidRDefault="005D1807" w:rsidP="005D1807">
            <w:pPr>
              <w:spacing w:line="240" w:lineRule="auto"/>
              <w:rPr>
                <w:b w:val="0"/>
                <w:bCs/>
                <w:sz w:val="20"/>
                <w:szCs w:val="20"/>
              </w:rPr>
            </w:pPr>
            <w:r w:rsidRPr="002D6400">
              <w:rPr>
                <w:b w:val="0"/>
                <w:bCs/>
                <w:sz w:val="20"/>
                <w:szCs w:val="20"/>
              </w:rPr>
              <w:t>8.5</w:t>
            </w:r>
          </w:p>
        </w:tc>
      </w:tr>
      <w:tr w:rsidR="005D1807" w:rsidRPr="002D6400" w14:paraId="5F1C864E" w14:textId="77777777" w:rsidTr="002D6400">
        <w:trPr>
          <w:trHeight w:val="388"/>
        </w:trPr>
        <w:tc>
          <w:tcPr>
            <w:tcW w:w="3720" w:type="dxa"/>
            <w:shd w:val="clear" w:color="auto" w:fill="auto"/>
          </w:tcPr>
          <w:p w14:paraId="09A61181" w14:textId="77777777" w:rsidR="005D1807" w:rsidRPr="002D6400" w:rsidRDefault="005D1807" w:rsidP="005D1807">
            <w:pPr>
              <w:spacing w:line="240" w:lineRule="auto"/>
              <w:rPr>
                <w:b w:val="0"/>
                <w:bCs/>
                <w:sz w:val="20"/>
                <w:szCs w:val="20"/>
              </w:rPr>
            </w:pPr>
            <w:r w:rsidRPr="002D6400">
              <w:rPr>
                <w:b w:val="0"/>
                <w:bCs/>
                <w:sz w:val="20"/>
                <w:szCs w:val="20"/>
              </w:rPr>
              <w:t>Ներմուծում</w:t>
            </w:r>
          </w:p>
        </w:tc>
        <w:tc>
          <w:tcPr>
            <w:tcW w:w="1286" w:type="dxa"/>
            <w:shd w:val="clear" w:color="auto" w:fill="auto"/>
            <w:vAlign w:val="center"/>
          </w:tcPr>
          <w:p w14:paraId="42FA33FE" w14:textId="77777777" w:rsidR="005D1807" w:rsidRPr="002D6400" w:rsidRDefault="005D1807" w:rsidP="005D1807">
            <w:pPr>
              <w:spacing w:line="240" w:lineRule="auto"/>
              <w:rPr>
                <w:b w:val="0"/>
                <w:bCs/>
                <w:sz w:val="20"/>
                <w:szCs w:val="20"/>
              </w:rPr>
            </w:pPr>
            <w:r w:rsidRPr="002D6400">
              <w:rPr>
                <w:b w:val="0"/>
                <w:bCs/>
                <w:sz w:val="20"/>
                <w:szCs w:val="20"/>
              </w:rPr>
              <w:t>5,082.3</w:t>
            </w:r>
          </w:p>
        </w:tc>
        <w:tc>
          <w:tcPr>
            <w:tcW w:w="1143" w:type="dxa"/>
            <w:shd w:val="clear" w:color="auto" w:fill="auto"/>
            <w:vAlign w:val="center"/>
          </w:tcPr>
          <w:p w14:paraId="13A95E9C" w14:textId="77777777" w:rsidR="005D1807" w:rsidRPr="002D6400" w:rsidRDefault="005D1807" w:rsidP="005D1807">
            <w:pPr>
              <w:spacing w:line="240" w:lineRule="auto"/>
              <w:rPr>
                <w:b w:val="0"/>
                <w:bCs/>
                <w:sz w:val="20"/>
                <w:szCs w:val="20"/>
              </w:rPr>
            </w:pPr>
            <w:r w:rsidRPr="002D6400">
              <w:rPr>
                <w:b w:val="0"/>
                <w:bCs/>
                <w:sz w:val="20"/>
                <w:szCs w:val="20"/>
              </w:rPr>
              <w:t>6,119.7</w:t>
            </w:r>
          </w:p>
        </w:tc>
        <w:tc>
          <w:tcPr>
            <w:tcW w:w="1162" w:type="dxa"/>
            <w:shd w:val="clear" w:color="auto" w:fill="auto"/>
            <w:vAlign w:val="center"/>
          </w:tcPr>
          <w:p w14:paraId="639F3726" w14:textId="77777777" w:rsidR="005D1807" w:rsidRPr="002D6400" w:rsidRDefault="005D1807" w:rsidP="005D1807">
            <w:pPr>
              <w:spacing w:line="240" w:lineRule="auto"/>
              <w:rPr>
                <w:b w:val="0"/>
                <w:bCs/>
                <w:sz w:val="20"/>
                <w:szCs w:val="20"/>
              </w:rPr>
            </w:pPr>
            <w:r w:rsidRPr="002D6400">
              <w:rPr>
                <w:b w:val="0"/>
                <w:bCs/>
                <w:sz w:val="20"/>
                <w:szCs w:val="20"/>
              </w:rPr>
              <w:t>10,186.4</w:t>
            </w:r>
          </w:p>
        </w:tc>
        <w:tc>
          <w:tcPr>
            <w:tcW w:w="1143" w:type="dxa"/>
            <w:shd w:val="clear" w:color="auto" w:fill="auto"/>
            <w:vAlign w:val="center"/>
          </w:tcPr>
          <w:p w14:paraId="6E139AA6" w14:textId="77777777" w:rsidR="005D1807" w:rsidRPr="002D6400" w:rsidRDefault="005D1807" w:rsidP="005D1807">
            <w:pPr>
              <w:spacing w:line="240" w:lineRule="auto"/>
              <w:rPr>
                <w:b w:val="0"/>
                <w:bCs/>
                <w:sz w:val="20"/>
                <w:szCs w:val="20"/>
              </w:rPr>
            </w:pPr>
            <w:r w:rsidRPr="002D6400">
              <w:rPr>
                <w:b w:val="0"/>
                <w:bCs/>
                <w:sz w:val="20"/>
                <w:szCs w:val="20"/>
              </w:rPr>
              <w:t>13,775.9</w:t>
            </w:r>
          </w:p>
        </w:tc>
        <w:tc>
          <w:tcPr>
            <w:tcW w:w="1343" w:type="dxa"/>
            <w:shd w:val="clear" w:color="auto" w:fill="auto"/>
            <w:vAlign w:val="center"/>
          </w:tcPr>
          <w:p w14:paraId="0120B716" w14:textId="77777777" w:rsidR="005D1807" w:rsidRPr="002D6400" w:rsidRDefault="005D1807" w:rsidP="005D1807">
            <w:pPr>
              <w:spacing w:line="240" w:lineRule="auto"/>
              <w:rPr>
                <w:b w:val="0"/>
                <w:bCs/>
                <w:sz w:val="20"/>
                <w:szCs w:val="20"/>
              </w:rPr>
            </w:pPr>
            <w:r w:rsidRPr="002D6400">
              <w:rPr>
                <w:b w:val="0"/>
                <w:bCs/>
                <w:sz w:val="20"/>
                <w:szCs w:val="20"/>
              </w:rPr>
              <w:t>14,991.3</w:t>
            </w:r>
          </w:p>
        </w:tc>
      </w:tr>
      <w:tr w:rsidR="005D1807" w:rsidRPr="002D6400" w14:paraId="7DDBF7C8" w14:textId="77777777" w:rsidTr="002D6400">
        <w:trPr>
          <w:trHeight w:val="233"/>
        </w:trPr>
        <w:tc>
          <w:tcPr>
            <w:tcW w:w="3720" w:type="dxa"/>
            <w:shd w:val="clear" w:color="auto" w:fill="auto"/>
            <w:noWrap/>
          </w:tcPr>
          <w:p w14:paraId="64594AD5" w14:textId="77777777" w:rsidR="005D1807" w:rsidRPr="002D6400" w:rsidRDefault="005D1807" w:rsidP="005D1807">
            <w:pPr>
              <w:spacing w:line="240" w:lineRule="auto"/>
              <w:rPr>
                <w:b w:val="0"/>
                <w:bCs/>
                <w:sz w:val="20"/>
                <w:szCs w:val="20"/>
              </w:rPr>
            </w:pPr>
            <w:r w:rsidRPr="002D6400">
              <w:rPr>
                <w:b w:val="0"/>
                <w:bCs/>
                <w:sz w:val="20"/>
                <w:szCs w:val="20"/>
              </w:rPr>
              <w:lastRenderedPageBreak/>
              <w:t>Փոփոխություն, %</w:t>
            </w:r>
          </w:p>
        </w:tc>
        <w:tc>
          <w:tcPr>
            <w:tcW w:w="1286" w:type="dxa"/>
            <w:shd w:val="clear" w:color="auto" w:fill="auto"/>
          </w:tcPr>
          <w:p w14:paraId="5098B348" w14:textId="77777777" w:rsidR="005D1807" w:rsidRPr="002D6400" w:rsidRDefault="005D1807" w:rsidP="005D1807">
            <w:pPr>
              <w:spacing w:line="240" w:lineRule="auto"/>
              <w:rPr>
                <w:b w:val="0"/>
                <w:bCs/>
                <w:sz w:val="20"/>
                <w:szCs w:val="20"/>
              </w:rPr>
            </w:pPr>
            <w:r w:rsidRPr="002D6400">
              <w:rPr>
                <w:b w:val="0"/>
                <w:bCs/>
                <w:sz w:val="20"/>
                <w:szCs w:val="20"/>
              </w:rPr>
              <w:t>-33.2</w:t>
            </w:r>
          </w:p>
        </w:tc>
        <w:tc>
          <w:tcPr>
            <w:tcW w:w="1143" w:type="dxa"/>
            <w:shd w:val="clear" w:color="auto" w:fill="auto"/>
          </w:tcPr>
          <w:p w14:paraId="0D22AC33" w14:textId="77777777" w:rsidR="005D1807" w:rsidRPr="002D6400" w:rsidRDefault="005D1807" w:rsidP="005D1807">
            <w:pPr>
              <w:spacing w:line="240" w:lineRule="auto"/>
              <w:rPr>
                <w:b w:val="0"/>
                <w:bCs/>
                <w:sz w:val="20"/>
                <w:szCs w:val="20"/>
              </w:rPr>
            </w:pPr>
            <w:r w:rsidRPr="002D6400">
              <w:rPr>
                <w:b w:val="0"/>
                <w:bCs/>
                <w:sz w:val="20"/>
                <w:szCs w:val="20"/>
              </w:rPr>
              <w:t>20.4</w:t>
            </w:r>
          </w:p>
        </w:tc>
        <w:tc>
          <w:tcPr>
            <w:tcW w:w="1162" w:type="dxa"/>
            <w:shd w:val="clear" w:color="auto" w:fill="auto"/>
          </w:tcPr>
          <w:p w14:paraId="0634C83E" w14:textId="77777777" w:rsidR="005D1807" w:rsidRPr="002D6400" w:rsidRDefault="005D1807" w:rsidP="005D1807">
            <w:pPr>
              <w:spacing w:line="240" w:lineRule="auto"/>
              <w:rPr>
                <w:b w:val="0"/>
                <w:bCs/>
                <w:sz w:val="20"/>
                <w:szCs w:val="20"/>
              </w:rPr>
            </w:pPr>
            <w:r w:rsidRPr="002D6400">
              <w:rPr>
                <w:b w:val="0"/>
                <w:bCs/>
                <w:sz w:val="20"/>
                <w:szCs w:val="20"/>
              </w:rPr>
              <w:t>66.5</w:t>
            </w:r>
          </w:p>
        </w:tc>
        <w:tc>
          <w:tcPr>
            <w:tcW w:w="1143" w:type="dxa"/>
            <w:shd w:val="clear" w:color="auto" w:fill="auto"/>
          </w:tcPr>
          <w:p w14:paraId="31F2B057" w14:textId="77777777" w:rsidR="005D1807" w:rsidRPr="002D6400" w:rsidRDefault="005D1807" w:rsidP="005D1807">
            <w:pPr>
              <w:spacing w:line="240" w:lineRule="auto"/>
              <w:rPr>
                <w:b w:val="0"/>
                <w:bCs/>
                <w:sz w:val="20"/>
                <w:szCs w:val="20"/>
              </w:rPr>
            </w:pPr>
            <w:r w:rsidRPr="002D6400">
              <w:rPr>
                <w:b w:val="0"/>
                <w:bCs/>
                <w:sz w:val="20"/>
                <w:szCs w:val="20"/>
              </w:rPr>
              <w:t>35.2</w:t>
            </w:r>
          </w:p>
        </w:tc>
        <w:tc>
          <w:tcPr>
            <w:tcW w:w="1343" w:type="dxa"/>
            <w:shd w:val="clear" w:color="auto" w:fill="auto"/>
          </w:tcPr>
          <w:p w14:paraId="4663CDD3" w14:textId="77777777" w:rsidR="005D1807" w:rsidRPr="002D6400" w:rsidRDefault="005D1807" w:rsidP="005D1807">
            <w:pPr>
              <w:spacing w:line="240" w:lineRule="auto"/>
              <w:rPr>
                <w:b w:val="0"/>
                <w:bCs/>
                <w:sz w:val="20"/>
                <w:szCs w:val="20"/>
              </w:rPr>
            </w:pPr>
            <w:r w:rsidRPr="002D6400">
              <w:rPr>
                <w:b w:val="0"/>
                <w:bCs/>
                <w:sz w:val="20"/>
                <w:szCs w:val="20"/>
              </w:rPr>
              <w:t>8.8</w:t>
            </w:r>
          </w:p>
        </w:tc>
      </w:tr>
      <w:tr w:rsidR="002D6400" w:rsidRPr="002D6400" w14:paraId="3212F977" w14:textId="77777777" w:rsidTr="002D6400">
        <w:trPr>
          <w:trHeight w:val="233"/>
        </w:trPr>
        <w:tc>
          <w:tcPr>
            <w:tcW w:w="3720" w:type="dxa"/>
            <w:tcBorders>
              <w:bottom w:val="single" w:sz="4" w:space="0" w:color="auto"/>
            </w:tcBorders>
            <w:shd w:val="clear" w:color="auto" w:fill="auto"/>
            <w:noWrap/>
          </w:tcPr>
          <w:p w14:paraId="7ABDB594" w14:textId="77777777" w:rsidR="005D1807" w:rsidRPr="002D6400" w:rsidRDefault="005D1807" w:rsidP="005D1807">
            <w:pPr>
              <w:spacing w:line="240" w:lineRule="auto"/>
              <w:rPr>
                <w:b w:val="0"/>
                <w:bCs/>
                <w:sz w:val="20"/>
                <w:szCs w:val="20"/>
              </w:rPr>
            </w:pPr>
            <w:r w:rsidRPr="002D6400">
              <w:rPr>
                <w:b w:val="0"/>
                <w:bCs/>
                <w:sz w:val="20"/>
                <w:szCs w:val="20"/>
              </w:rPr>
              <w:t>Դրամական փոխանցումներ</w:t>
            </w:r>
          </w:p>
        </w:tc>
        <w:tc>
          <w:tcPr>
            <w:tcW w:w="1286" w:type="dxa"/>
            <w:tcBorders>
              <w:bottom w:val="single" w:sz="4" w:space="0" w:color="auto"/>
            </w:tcBorders>
            <w:shd w:val="clear" w:color="auto" w:fill="auto"/>
            <w:vAlign w:val="center"/>
          </w:tcPr>
          <w:p w14:paraId="5AEBEDC5" w14:textId="77777777" w:rsidR="005D1807" w:rsidRPr="002D6400" w:rsidRDefault="005D1807" w:rsidP="005D1807">
            <w:pPr>
              <w:spacing w:line="240" w:lineRule="auto"/>
              <w:rPr>
                <w:b w:val="0"/>
                <w:bCs/>
                <w:sz w:val="20"/>
                <w:szCs w:val="20"/>
              </w:rPr>
            </w:pPr>
            <w:r w:rsidRPr="002D6400">
              <w:rPr>
                <w:b w:val="0"/>
                <w:bCs/>
                <w:sz w:val="20"/>
                <w:szCs w:val="20"/>
              </w:rPr>
              <w:t>1,072.1</w:t>
            </w:r>
          </w:p>
        </w:tc>
        <w:tc>
          <w:tcPr>
            <w:tcW w:w="1143" w:type="dxa"/>
            <w:tcBorders>
              <w:bottom w:val="single" w:sz="4" w:space="0" w:color="auto"/>
            </w:tcBorders>
            <w:shd w:val="clear" w:color="auto" w:fill="auto"/>
            <w:vAlign w:val="center"/>
          </w:tcPr>
          <w:p w14:paraId="280D73E9" w14:textId="77777777" w:rsidR="005D1807" w:rsidRPr="002D6400" w:rsidRDefault="005D1807" w:rsidP="005D1807">
            <w:pPr>
              <w:spacing w:line="240" w:lineRule="auto"/>
              <w:rPr>
                <w:b w:val="0"/>
                <w:bCs/>
                <w:sz w:val="20"/>
                <w:szCs w:val="20"/>
              </w:rPr>
            </w:pPr>
            <w:r w:rsidRPr="002D6400">
              <w:rPr>
                <w:b w:val="0"/>
                <w:bCs/>
                <w:sz w:val="20"/>
                <w:szCs w:val="20"/>
              </w:rPr>
              <w:t>1,274.0</w:t>
            </w:r>
          </w:p>
        </w:tc>
        <w:tc>
          <w:tcPr>
            <w:tcW w:w="1162" w:type="dxa"/>
            <w:tcBorders>
              <w:bottom w:val="single" w:sz="4" w:space="0" w:color="auto"/>
            </w:tcBorders>
            <w:shd w:val="clear" w:color="auto" w:fill="auto"/>
            <w:vAlign w:val="center"/>
          </w:tcPr>
          <w:p w14:paraId="27248737" w14:textId="77777777" w:rsidR="005D1807" w:rsidRPr="002D6400" w:rsidRDefault="005D1807" w:rsidP="005D1807">
            <w:pPr>
              <w:spacing w:line="240" w:lineRule="auto"/>
              <w:rPr>
                <w:b w:val="0"/>
                <w:bCs/>
                <w:sz w:val="20"/>
                <w:szCs w:val="20"/>
              </w:rPr>
            </w:pPr>
            <w:r w:rsidRPr="002D6400">
              <w:rPr>
                <w:b w:val="0"/>
                <w:bCs/>
                <w:sz w:val="20"/>
                <w:szCs w:val="20"/>
              </w:rPr>
              <w:t>1,538.3</w:t>
            </w:r>
          </w:p>
        </w:tc>
        <w:tc>
          <w:tcPr>
            <w:tcW w:w="1143" w:type="dxa"/>
            <w:tcBorders>
              <w:bottom w:val="single" w:sz="4" w:space="0" w:color="auto"/>
            </w:tcBorders>
            <w:shd w:val="clear" w:color="auto" w:fill="auto"/>
          </w:tcPr>
          <w:p w14:paraId="3F640D17" w14:textId="77777777" w:rsidR="005D1807" w:rsidRPr="002D6400" w:rsidRDefault="005D1807" w:rsidP="005D1807">
            <w:pPr>
              <w:spacing w:line="240" w:lineRule="auto"/>
              <w:rPr>
                <w:b w:val="0"/>
                <w:bCs/>
                <w:sz w:val="20"/>
                <w:szCs w:val="20"/>
              </w:rPr>
            </w:pPr>
            <w:r w:rsidRPr="002D6400">
              <w:rPr>
                <w:b w:val="0"/>
                <w:bCs/>
                <w:sz w:val="20"/>
                <w:szCs w:val="20"/>
              </w:rPr>
              <w:t>1,223.0</w:t>
            </w:r>
          </w:p>
        </w:tc>
        <w:tc>
          <w:tcPr>
            <w:tcW w:w="1343" w:type="dxa"/>
            <w:tcBorders>
              <w:bottom w:val="single" w:sz="4" w:space="0" w:color="auto"/>
            </w:tcBorders>
            <w:shd w:val="clear" w:color="auto" w:fill="auto"/>
          </w:tcPr>
          <w:p w14:paraId="7C570976" w14:textId="77777777" w:rsidR="005D1807" w:rsidRPr="002D6400" w:rsidRDefault="005D1807" w:rsidP="005D1807">
            <w:pPr>
              <w:spacing w:line="240" w:lineRule="auto"/>
              <w:rPr>
                <w:b w:val="0"/>
                <w:bCs/>
                <w:sz w:val="20"/>
                <w:szCs w:val="20"/>
              </w:rPr>
            </w:pPr>
            <w:r w:rsidRPr="002D6400">
              <w:rPr>
                <w:b w:val="0"/>
                <w:bCs/>
                <w:sz w:val="20"/>
                <w:szCs w:val="20"/>
              </w:rPr>
              <w:t>1,270.6</w:t>
            </w:r>
          </w:p>
        </w:tc>
      </w:tr>
      <w:tr w:rsidR="005D1807" w:rsidRPr="002D6400" w14:paraId="1C262102" w14:textId="77777777" w:rsidTr="002D6400">
        <w:trPr>
          <w:trHeight w:val="159"/>
        </w:trPr>
        <w:tc>
          <w:tcPr>
            <w:tcW w:w="9800" w:type="dxa"/>
            <w:gridSpan w:val="6"/>
            <w:tcBorders>
              <w:top w:val="single" w:sz="4" w:space="0" w:color="auto"/>
            </w:tcBorders>
            <w:shd w:val="clear" w:color="auto" w:fill="auto"/>
            <w:noWrap/>
            <w:vAlign w:val="center"/>
          </w:tcPr>
          <w:p w14:paraId="1CF91EFA" w14:textId="77777777" w:rsidR="005D1807" w:rsidRPr="002D6400" w:rsidRDefault="005D1807" w:rsidP="005D1807">
            <w:pPr>
              <w:spacing w:line="240" w:lineRule="auto"/>
              <w:rPr>
                <w:b w:val="0"/>
                <w:bCs/>
                <w:sz w:val="20"/>
                <w:szCs w:val="20"/>
              </w:rPr>
            </w:pPr>
            <w:r w:rsidRPr="002D6400">
              <w:rPr>
                <w:b w:val="0"/>
                <w:bCs/>
                <w:sz w:val="20"/>
                <w:szCs w:val="20"/>
              </w:rPr>
              <w:t>ՀՆԱ-ի նկատմամբ %</w:t>
            </w:r>
          </w:p>
        </w:tc>
      </w:tr>
      <w:tr w:rsidR="005D1807" w:rsidRPr="002D6400" w14:paraId="794B78BC" w14:textId="77777777" w:rsidTr="002D6400">
        <w:trPr>
          <w:trHeight w:val="233"/>
        </w:trPr>
        <w:tc>
          <w:tcPr>
            <w:tcW w:w="3720" w:type="dxa"/>
            <w:shd w:val="clear" w:color="auto" w:fill="auto"/>
            <w:noWrap/>
          </w:tcPr>
          <w:p w14:paraId="7DCD0870" w14:textId="77777777" w:rsidR="005D1807" w:rsidRPr="002D6400" w:rsidRDefault="005D1807" w:rsidP="005D1807">
            <w:pPr>
              <w:spacing w:line="240" w:lineRule="auto"/>
              <w:rPr>
                <w:b w:val="0"/>
                <w:bCs/>
                <w:sz w:val="20"/>
                <w:szCs w:val="20"/>
              </w:rPr>
            </w:pPr>
            <w:r w:rsidRPr="002D6400">
              <w:rPr>
                <w:b w:val="0"/>
                <w:bCs/>
                <w:sz w:val="20"/>
                <w:szCs w:val="20"/>
              </w:rPr>
              <w:t xml:space="preserve">Ընթացիկ հաշիվ </w:t>
            </w:r>
          </w:p>
        </w:tc>
        <w:tc>
          <w:tcPr>
            <w:tcW w:w="1286" w:type="dxa"/>
            <w:shd w:val="clear" w:color="auto" w:fill="auto"/>
            <w:vAlign w:val="center"/>
          </w:tcPr>
          <w:p w14:paraId="3DC9B22A" w14:textId="77777777" w:rsidR="005D1807" w:rsidRPr="002D6400" w:rsidRDefault="005D1807" w:rsidP="005D1807">
            <w:pPr>
              <w:spacing w:line="240" w:lineRule="auto"/>
              <w:rPr>
                <w:b w:val="0"/>
                <w:bCs/>
                <w:sz w:val="20"/>
                <w:szCs w:val="20"/>
              </w:rPr>
            </w:pPr>
            <w:r w:rsidRPr="002D6400">
              <w:rPr>
                <w:b w:val="0"/>
                <w:bCs/>
                <w:sz w:val="20"/>
                <w:szCs w:val="20"/>
              </w:rPr>
              <w:t>-4.0</w:t>
            </w:r>
          </w:p>
        </w:tc>
        <w:tc>
          <w:tcPr>
            <w:tcW w:w="1143" w:type="dxa"/>
            <w:shd w:val="clear" w:color="auto" w:fill="auto"/>
            <w:vAlign w:val="center"/>
          </w:tcPr>
          <w:p w14:paraId="7DC4CA4C" w14:textId="77777777" w:rsidR="005D1807" w:rsidRPr="002D6400" w:rsidRDefault="005D1807" w:rsidP="005D1807">
            <w:pPr>
              <w:spacing w:line="240" w:lineRule="auto"/>
              <w:rPr>
                <w:b w:val="0"/>
                <w:bCs/>
                <w:sz w:val="20"/>
                <w:szCs w:val="20"/>
              </w:rPr>
            </w:pPr>
            <w:r w:rsidRPr="002D6400">
              <w:rPr>
                <w:b w:val="0"/>
                <w:bCs/>
                <w:sz w:val="20"/>
                <w:szCs w:val="20"/>
              </w:rPr>
              <w:t>-3.5</w:t>
            </w:r>
          </w:p>
        </w:tc>
        <w:tc>
          <w:tcPr>
            <w:tcW w:w="1162" w:type="dxa"/>
            <w:shd w:val="clear" w:color="auto" w:fill="auto"/>
            <w:vAlign w:val="center"/>
          </w:tcPr>
          <w:p w14:paraId="0191CC09" w14:textId="77777777" w:rsidR="005D1807" w:rsidRPr="002D6400" w:rsidRDefault="005D1807" w:rsidP="005D1807">
            <w:pPr>
              <w:spacing w:line="240" w:lineRule="auto"/>
              <w:rPr>
                <w:b w:val="0"/>
                <w:bCs/>
                <w:sz w:val="20"/>
                <w:szCs w:val="20"/>
              </w:rPr>
            </w:pPr>
            <w:r w:rsidRPr="002D6400">
              <w:rPr>
                <w:b w:val="0"/>
                <w:bCs/>
                <w:sz w:val="20"/>
                <w:szCs w:val="20"/>
              </w:rPr>
              <w:t>0.8</w:t>
            </w:r>
          </w:p>
        </w:tc>
        <w:tc>
          <w:tcPr>
            <w:tcW w:w="1143" w:type="dxa"/>
            <w:shd w:val="clear" w:color="auto" w:fill="auto"/>
            <w:vAlign w:val="center"/>
          </w:tcPr>
          <w:p w14:paraId="514D23A6" w14:textId="77777777" w:rsidR="005D1807" w:rsidRPr="002D6400" w:rsidRDefault="005D1807" w:rsidP="005D1807">
            <w:pPr>
              <w:spacing w:line="240" w:lineRule="auto"/>
              <w:rPr>
                <w:b w:val="0"/>
                <w:bCs/>
                <w:sz w:val="20"/>
                <w:szCs w:val="20"/>
              </w:rPr>
            </w:pPr>
            <w:r w:rsidRPr="002D6400">
              <w:rPr>
                <w:b w:val="0"/>
                <w:bCs/>
                <w:sz w:val="20"/>
                <w:szCs w:val="20"/>
              </w:rPr>
              <w:t>-4.0</w:t>
            </w:r>
          </w:p>
        </w:tc>
        <w:tc>
          <w:tcPr>
            <w:tcW w:w="1343" w:type="dxa"/>
            <w:shd w:val="clear" w:color="auto" w:fill="auto"/>
            <w:vAlign w:val="center"/>
          </w:tcPr>
          <w:p w14:paraId="175D81DB" w14:textId="77777777" w:rsidR="005D1807" w:rsidRPr="002D6400" w:rsidRDefault="005D1807" w:rsidP="005D1807">
            <w:pPr>
              <w:spacing w:line="240" w:lineRule="auto"/>
              <w:rPr>
                <w:b w:val="0"/>
                <w:bCs/>
                <w:sz w:val="20"/>
                <w:szCs w:val="20"/>
              </w:rPr>
            </w:pPr>
            <w:r w:rsidRPr="002D6400">
              <w:rPr>
                <w:b w:val="0"/>
                <w:bCs/>
                <w:sz w:val="20"/>
                <w:szCs w:val="20"/>
              </w:rPr>
              <w:t>-4.8</w:t>
            </w:r>
          </w:p>
        </w:tc>
      </w:tr>
      <w:tr w:rsidR="005D1807" w:rsidRPr="002D6400" w14:paraId="25D3EDC1" w14:textId="77777777" w:rsidTr="002D6400">
        <w:trPr>
          <w:trHeight w:val="233"/>
        </w:trPr>
        <w:tc>
          <w:tcPr>
            <w:tcW w:w="3720" w:type="dxa"/>
            <w:shd w:val="clear" w:color="auto" w:fill="auto"/>
            <w:noWrap/>
          </w:tcPr>
          <w:p w14:paraId="5F63BDC1" w14:textId="77777777" w:rsidR="005D1807" w:rsidRPr="002D6400" w:rsidRDefault="005D1807" w:rsidP="005D1807">
            <w:pPr>
              <w:spacing w:line="240" w:lineRule="auto"/>
              <w:rPr>
                <w:b w:val="0"/>
                <w:bCs/>
                <w:sz w:val="20"/>
                <w:szCs w:val="20"/>
              </w:rPr>
            </w:pPr>
            <w:r w:rsidRPr="002D6400">
              <w:rPr>
                <w:b w:val="0"/>
                <w:bCs/>
                <w:sz w:val="20"/>
                <w:szCs w:val="20"/>
              </w:rPr>
              <w:t>Ապրանքների և ծառայությունների հաշվեկշիռ</w:t>
            </w:r>
          </w:p>
        </w:tc>
        <w:tc>
          <w:tcPr>
            <w:tcW w:w="1286" w:type="dxa"/>
            <w:shd w:val="clear" w:color="auto" w:fill="auto"/>
            <w:vAlign w:val="center"/>
          </w:tcPr>
          <w:p w14:paraId="10737FE4" w14:textId="77777777" w:rsidR="005D1807" w:rsidRPr="002D6400" w:rsidRDefault="005D1807" w:rsidP="005D1807">
            <w:pPr>
              <w:spacing w:line="240" w:lineRule="auto"/>
              <w:rPr>
                <w:b w:val="0"/>
                <w:bCs/>
                <w:sz w:val="20"/>
                <w:szCs w:val="20"/>
              </w:rPr>
            </w:pPr>
            <w:r w:rsidRPr="002D6400">
              <w:rPr>
                <w:b w:val="0"/>
                <w:bCs/>
                <w:sz w:val="20"/>
                <w:szCs w:val="20"/>
              </w:rPr>
              <w:t>-10.0</w:t>
            </w:r>
          </w:p>
        </w:tc>
        <w:tc>
          <w:tcPr>
            <w:tcW w:w="1143" w:type="dxa"/>
            <w:shd w:val="clear" w:color="auto" w:fill="auto"/>
            <w:vAlign w:val="center"/>
          </w:tcPr>
          <w:p w14:paraId="39FDFB16" w14:textId="77777777" w:rsidR="005D1807" w:rsidRPr="002D6400" w:rsidRDefault="005D1807" w:rsidP="005D1807">
            <w:pPr>
              <w:spacing w:line="240" w:lineRule="auto"/>
              <w:rPr>
                <w:b w:val="0"/>
                <w:bCs/>
                <w:sz w:val="20"/>
                <w:szCs w:val="20"/>
              </w:rPr>
            </w:pPr>
            <w:r w:rsidRPr="002D6400">
              <w:rPr>
                <w:b w:val="0"/>
                <w:bCs/>
                <w:sz w:val="20"/>
                <w:szCs w:val="20"/>
              </w:rPr>
              <w:t>-8.0</w:t>
            </w:r>
          </w:p>
        </w:tc>
        <w:tc>
          <w:tcPr>
            <w:tcW w:w="1162" w:type="dxa"/>
            <w:shd w:val="clear" w:color="auto" w:fill="auto"/>
            <w:vAlign w:val="center"/>
          </w:tcPr>
          <w:p w14:paraId="5F9649BD" w14:textId="77777777" w:rsidR="005D1807" w:rsidRPr="002D6400" w:rsidRDefault="005D1807" w:rsidP="005D1807">
            <w:pPr>
              <w:spacing w:line="240" w:lineRule="auto"/>
              <w:rPr>
                <w:b w:val="0"/>
                <w:bCs/>
                <w:sz w:val="20"/>
                <w:szCs w:val="20"/>
              </w:rPr>
            </w:pPr>
            <w:r w:rsidRPr="002D6400">
              <w:rPr>
                <w:b w:val="0"/>
                <w:bCs/>
                <w:sz w:val="20"/>
                <w:szCs w:val="20"/>
              </w:rPr>
              <w:t>-0.8</w:t>
            </w:r>
          </w:p>
        </w:tc>
        <w:tc>
          <w:tcPr>
            <w:tcW w:w="1143" w:type="dxa"/>
            <w:shd w:val="clear" w:color="auto" w:fill="auto"/>
            <w:vAlign w:val="center"/>
          </w:tcPr>
          <w:p w14:paraId="2397D431" w14:textId="77777777" w:rsidR="005D1807" w:rsidRPr="002D6400" w:rsidRDefault="005D1807" w:rsidP="005D1807">
            <w:pPr>
              <w:spacing w:line="240" w:lineRule="auto"/>
              <w:rPr>
                <w:b w:val="0"/>
                <w:bCs/>
                <w:sz w:val="20"/>
                <w:szCs w:val="20"/>
              </w:rPr>
            </w:pPr>
            <w:r w:rsidRPr="002D6400">
              <w:rPr>
                <w:b w:val="0"/>
                <w:bCs/>
                <w:sz w:val="20"/>
                <w:szCs w:val="20"/>
              </w:rPr>
              <w:t>-2.2</w:t>
            </w:r>
          </w:p>
        </w:tc>
        <w:tc>
          <w:tcPr>
            <w:tcW w:w="1343" w:type="dxa"/>
            <w:shd w:val="clear" w:color="auto" w:fill="auto"/>
            <w:vAlign w:val="center"/>
          </w:tcPr>
          <w:p w14:paraId="12B4314C" w14:textId="77777777" w:rsidR="005D1807" w:rsidRPr="002D6400" w:rsidRDefault="005D1807" w:rsidP="005D1807">
            <w:pPr>
              <w:spacing w:line="240" w:lineRule="auto"/>
              <w:rPr>
                <w:b w:val="0"/>
                <w:bCs/>
                <w:sz w:val="20"/>
                <w:szCs w:val="20"/>
              </w:rPr>
            </w:pPr>
            <w:r w:rsidRPr="002D6400">
              <w:rPr>
                <w:b w:val="0"/>
                <w:bCs/>
                <w:sz w:val="20"/>
                <w:szCs w:val="20"/>
              </w:rPr>
              <w:t>-2.5</w:t>
            </w:r>
          </w:p>
        </w:tc>
      </w:tr>
      <w:tr w:rsidR="005D1807" w:rsidRPr="002D6400" w14:paraId="3B9AD04B" w14:textId="77777777" w:rsidTr="002D6400">
        <w:trPr>
          <w:trHeight w:val="233"/>
        </w:trPr>
        <w:tc>
          <w:tcPr>
            <w:tcW w:w="3720" w:type="dxa"/>
            <w:shd w:val="clear" w:color="auto" w:fill="auto"/>
          </w:tcPr>
          <w:p w14:paraId="4E54C0FB" w14:textId="77777777" w:rsidR="005D1807" w:rsidRPr="002D6400" w:rsidRDefault="005D1807" w:rsidP="005D1807">
            <w:pPr>
              <w:spacing w:line="240" w:lineRule="auto"/>
              <w:rPr>
                <w:b w:val="0"/>
                <w:bCs/>
                <w:sz w:val="20"/>
                <w:szCs w:val="20"/>
              </w:rPr>
            </w:pPr>
            <w:r w:rsidRPr="002D6400">
              <w:rPr>
                <w:b w:val="0"/>
                <w:bCs/>
                <w:sz w:val="20"/>
                <w:szCs w:val="20"/>
              </w:rPr>
              <w:t>Արտահանում</w:t>
            </w:r>
          </w:p>
        </w:tc>
        <w:tc>
          <w:tcPr>
            <w:tcW w:w="1286" w:type="dxa"/>
            <w:shd w:val="clear" w:color="auto" w:fill="auto"/>
            <w:vAlign w:val="center"/>
          </w:tcPr>
          <w:p w14:paraId="247C3C0B" w14:textId="77777777" w:rsidR="005D1807" w:rsidRPr="002D6400" w:rsidRDefault="005D1807" w:rsidP="005D1807">
            <w:pPr>
              <w:spacing w:line="240" w:lineRule="auto"/>
              <w:rPr>
                <w:b w:val="0"/>
                <w:bCs/>
                <w:sz w:val="20"/>
                <w:szCs w:val="20"/>
              </w:rPr>
            </w:pPr>
            <w:r w:rsidRPr="002D6400">
              <w:rPr>
                <w:b w:val="0"/>
                <w:bCs/>
                <w:sz w:val="20"/>
                <w:szCs w:val="20"/>
              </w:rPr>
              <w:t>30.2</w:t>
            </w:r>
          </w:p>
        </w:tc>
        <w:tc>
          <w:tcPr>
            <w:tcW w:w="1143" w:type="dxa"/>
            <w:shd w:val="clear" w:color="auto" w:fill="auto"/>
            <w:vAlign w:val="center"/>
          </w:tcPr>
          <w:p w14:paraId="4D184A30" w14:textId="77777777" w:rsidR="005D1807" w:rsidRPr="002D6400" w:rsidRDefault="005D1807" w:rsidP="005D1807">
            <w:pPr>
              <w:spacing w:line="240" w:lineRule="auto"/>
              <w:rPr>
                <w:b w:val="0"/>
                <w:bCs/>
                <w:sz w:val="20"/>
                <w:szCs w:val="20"/>
              </w:rPr>
            </w:pPr>
            <w:r w:rsidRPr="002D6400">
              <w:rPr>
                <w:b w:val="0"/>
                <w:bCs/>
                <w:sz w:val="20"/>
                <w:szCs w:val="20"/>
              </w:rPr>
              <w:t>36.1</w:t>
            </w:r>
          </w:p>
        </w:tc>
        <w:tc>
          <w:tcPr>
            <w:tcW w:w="1162" w:type="dxa"/>
            <w:shd w:val="clear" w:color="auto" w:fill="auto"/>
            <w:vAlign w:val="center"/>
          </w:tcPr>
          <w:p w14:paraId="37E2E543" w14:textId="77777777" w:rsidR="005D1807" w:rsidRPr="002D6400" w:rsidRDefault="005D1807" w:rsidP="005D1807">
            <w:pPr>
              <w:spacing w:line="240" w:lineRule="auto"/>
              <w:rPr>
                <w:b w:val="0"/>
                <w:bCs/>
                <w:sz w:val="20"/>
                <w:szCs w:val="20"/>
              </w:rPr>
            </w:pPr>
            <w:r w:rsidRPr="002D6400">
              <w:rPr>
                <w:b w:val="0"/>
                <w:bCs/>
                <w:sz w:val="20"/>
                <w:szCs w:val="20"/>
              </w:rPr>
              <w:t>51.4</w:t>
            </w:r>
          </w:p>
        </w:tc>
        <w:tc>
          <w:tcPr>
            <w:tcW w:w="1143" w:type="dxa"/>
            <w:shd w:val="clear" w:color="auto" w:fill="auto"/>
          </w:tcPr>
          <w:p w14:paraId="1681FC4E" w14:textId="77777777" w:rsidR="005D1807" w:rsidRPr="002D6400" w:rsidRDefault="005D1807" w:rsidP="005D1807">
            <w:pPr>
              <w:spacing w:line="240" w:lineRule="auto"/>
              <w:rPr>
                <w:b w:val="0"/>
                <w:bCs/>
                <w:sz w:val="20"/>
                <w:szCs w:val="20"/>
              </w:rPr>
            </w:pPr>
            <w:r w:rsidRPr="002D6400">
              <w:rPr>
                <w:b w:val="0"/>
                <w:bCs/>
                <w:sz w:val="20"/>
                <w:szCs w:val="20"/>
              </w:rPr>
              <w:t>55.0</w:t>
            </w:r>
          </w:p>
        </w:tc>
        <w:tc>
          <w:tcPr>
            <w:tcW w:w="1343" w:type="dxa"/>
            <w:shd w:val="clear" w:color="auto" w:fill="auto"/>
          </w:tcPr>
          <w:p w14:paraId="13B90252" w14:textId="77777777" w:rsidR="005D1807" w:rsidRPr="002D6400" w:rsidRDefault="005D1807" w:rsidP="005D1807">
            <w:pPr>
              <w:spacing w:line="240" w:lineRule="auto"/>
              <w:rPr>
                <w:b w:val="0"/>
                <w:bCs/>
                <w:sz w:val="20"/>
                <w:szCs w:val="20"/>
              </w:rPr>
            </w:pPr>
            <w:r w:rsidRPr="002D6400">
              <w:rPr>
                <w:b w:val="0"/>
                <w:bCs/>
                <w:sz w:val="20"/>
                <w:szCs w:val="20"/>
              </w:rPr>
              <w:t>56.4</w:t>
            </w:r>
          </w:p>
        </w:tc>
      </w:tr>
      <w:tr w:rsidR="005D1807" w:rsidRPr="002D6400" w14:paraId="70A2CE5F" w14:textId="77777777" w:rsidTr="002D6400">
        <w:trPr>
          <w:trHeight w:val="233"/>
        </w:trPr>
        <w:tc>
          <w:tcPr>
            <w:tcW w:w="3720" w:type="dxa"/>
            <w:shd w:val="clear" w:color="auto" w:fill="auto"/>
          </w:tcPr>
          <w:p w14:paraId="3D35922E" w14:textId="77777777" w:rsidR="005D1807" w:rsidRPr="002D6400" w:rsidRDefault="005D1807" w:rsidP="005D1807">
            <w:pPr>
              <w:spacing w:line="240" w:lineRule="auto"/>
              <w:rPr>
                <w:b w:val="0"/>
                <w:bCs/>
                <w:sz w:val="20"/>
                <w:szCs w:val="20"/>
              </w:rPr>
            </w:pPr>
            <w:r w:rsidRPr="002D6400">
              <w:rPr>
                <w:b w:val="0"/>
                <w:bCs/>
                <w:sz w:val="20"/>
                <w:szCs w:val="20"/>
              </w:rPr>
              <w:t>Ներմուծում</w:t>
            </w:r>
          </w:p>
        </w:tc>
        <w:tc>
          <w:tcPr>
            <w:tcW w:w="1286" w:type="dxa"/>
            <w:shd w:val="clear" w:color="auto" w:fill="auto"/>
            <w:vAlign w:val="center"/>
          </w:tcPr>
          <w:p w14:paraId="4B35CCBF" w14:textId="77777777" w:rsidR="005D1807" w:rsidRPr="002D6400" w:rsidRDefault="005D1807" w:rsidP="005D1807">
            <w:pPr>
              <w:spacing w:line="240" w:lineRule="auto"/>
              <w:rPr>
                <w:b w:val="0"/>
                <w:bCs/>
                <w:sz w:val="20"/>
                <w:szCs w:val="20"/>
              </w:rPr>
            </w:pPr>
            <w:r w:rsidRPr="002D6400">
              <w:rPr>
                <w:b w:val="0"/>
                <w:bCs/>
                <w:sz w:val="20"/>
                <w:szCs w:val="20"/>
              </w:rPr>
              <w:t>40.2</w:t>
            </w:r>
          </w:p>
        </w:tc>
        <w:tc>
          <w:tcPr>
            <w:tcW w:w="1143" w:type="dxa"/>
            <w:shd w:val="clear" w:color="auto" w:fill="auto"/>
            <w:vAlign w:val="center"/>
          </w:tcPr>
          <w:p w14:paraId="69FC93A6" w14:textId="77777777" w:rsidR="005D1807" w:rsidRPr="002D6400" w:rsidRDefault="005D1807" w:rsidP="005D1807">
            <w:pPr>
              <w:spacing w:line="240" w:lineRule="auto"/>
              <w:rPr>
                <w:b w:val="0"/>
                <w:bCs/>
                <w:sz w:val="20"/>
                <w:szCs w:val="20"/>
              </w:rPr>
            </w:pPr>
            <w:r w:rsidRPr="002D6400">
              <w:rPr>
                <w:b w:val="0"/>
                <w:bCs/>
                <w:sz w:val="20"/>
                <w:szCs w:val="20"/>
              </w:rPr>
              <w:t>44.1</w:t>
            </w:r>
          </w:p>
        </w:tc>
        <w:tc>
          <w:tcPr>
            <w:tcW w:w="1162" w:type="dxa"/>
            <w:shd w:val="clear" w:color="auto" w:fill="auto"/>
            <w:vAlign w:val="center"/>
          </w:tcPr>
          <w:p w14:paraId="19B94676" w14:textId="77777777" w:rsidR="005D1807" w:rsidRPr="002D6400" w:rsidRDefault="005D1807" w:rsidP="005D1807">
            <w:pPr>
              <w:spacing w:line="240" w:lineRule="auto"/>
              <w:rPr>
                <w:b w:val="0"/>
                <w:bCs/>
                <w:sz w:val="20"/>
                <w:szCs w:val="20"/>
              </w:rPr>
            </w:pPr>
            <w:r w:rsidRPr="002D6400">
              <w:rPr>
                <w:b w:val="0"/>
                <w:bCs/>
                <w:sz w:val="20"/>
                <w:szCs w:val="20"/>
              </w:rPr>
              <w:t>52.2</w:t>
            </w:r>
          </w:p>
        </w:tc>
        <w:tc>
          <w:tcPr>
            <w:tcW w:w="1143" w:type="dxa"/>
            <w:shd w:val="clear" w:color="auto" w:fill="auto"/>
          </w:tcPr>
          <w:p w14:paraId="73D0D9B5" w14:textId="77777777" w:rsidR="005D1807" w:rsidRPr="002D6400" w:rsidRDefault="005D1807" w:rsidP="005D1807">
            <w:pPr>
              <w:spacing w:line="240" w:lineRule="auto"/>
              <w:rPr>
                <w:b w:val="0"/>
                <w:bCs/>
                <w:sz w:val="20"/>
                <w:szCs w:val="20"/>
              </w:rPr>
            </w:pPr>
            <w:r w:rsidRPr="002D6400">
              <w:rPr>
                <w:b w:val="0"/>
                <w:bCs/>
                <w:sz w:val="20"/>
                <w:szCs w:val="20"/>
              </w:rPr>
              <w:t>57.2</w:t>
            </w:r>
          </w:p>
        </w:tc>
        <w:tc>
          <w:tcPr>
            <w:tcW w:w="1343" w:type="dxa"/>
            <w:shd w:val="clear" w:color="auto" w:fill="auto"/>
          </w:tcPr>
          <w:p w14:paraId="2E3CE17A" w14:textId="77777777" w:rsidR="005D1807" w:rsidRPr="002D6400" w:rsidRDefault="005D1807" w:rsidP="005D1807">
            <w:pPr>
              <w:spacing w:line="240" w:lineRule="auto"/>
              <w:rPr>
                <w:b w:val="0"/>
                <w:bCs/>
                <w:sz w:val="20"/>
                <w:szCs w:val="20"/>
              </w:rPr>
            </w:pPr>
            <w:r w:rsidRPr="002D6400">
              <w:rPr>
                <w:b w:val="0"/>
                <w:bCs/>
                <w:sz w:val="20"/>
                <w:szCs w:val="20"/>
              </w:rPr>
              <w:t>58.9</w:t>
            </w:r>
          </w:p>
        </w:tc>
      </w:tr>
      <w:tr w:rsidR="002D6400" w:rsidRPr="002D6400" w14:paraId="62BF59CE" w14:textId="77777777" w:rsidTr="002D6400">
        <w:trPr>
          <w:trHeight w:val="406"/>
        </w:trPr>
        <w:tc>
          <w:tcPr>
            <w:tcW w:w="3720" w:type="dxa"/>
            <w:tcBorders>
              <w:bottom w:val="single" w:sz="4" w:space="0" w:color="auto"/>
            </w:tcBorders>
            <w:shd w:val="clear" w:color="auto" w:fill="auto"/>
          </w:tcPr>
          <w:p w14:paraId="30D41689" w14:textId="77777777" w:rsidR="005D1807" w:rsidRPr="002D6400" w:rsidRDefault="005D1807" w:rsidP="005D1807">
            <w:pPr>
              <w:spacing w:line="240" w:lineRule="auto"/>
              <w:rPr>
                <w:b w:val="0"/>
                <w:bCs/>
                <w:sz w:val="20"/>
                <w:szCs w:val="20"/>
              </w:rPr>
            </w:pPr>
            <w:r w:rsidRPr="002D6400">
              <w:rPr>
                <w:b w:val="0"/>
                <w:bCs/>
                <w:sz w:val="20"/>
                <w:szCs w:val="20"/>
              </w:rPr>
              <w:t>Դրամական փոխանցումներ</w:t>
            </w:r>
          </w:p>
        </w:tc>
        <w:tc>
          <w:tcPr>
            <w:tcW w:w="1286" w:type="dxa"/>
            <w:tcBorders>
              <w:bottom w:val="single" w:sz="4" w:space="0" w:color="auto"/>
            </w:tcBorders>
            <w:shd w:val="clear" w:color="auto" w:fill="auto"/>
            <w:vAlign w:val="center"/>
          </w:tcPr>
          <w:p w14:paraId="537161B5" w14:textId="77777777" w:rsidR="005D1807" w:rsidRPr="002D6400" w:rsidRDefault="005D1807" w:rsidP="005D1807">
            <w:pPr>
              <w:spacing w:line="240" w:lineRule="auto"/>
              <w:rPr>
                <w:b w:val="0"/>
                <w:bCs/>
                <w:sz w:val="20"/>
                <w:szCs w:val="20"/>
              </w:rPr>
            </w:pPr>
            <w:r w:rsidRPr="002D6400">
              <w:rPr>
                <w:b w:val="0"/>
                <w:bCs/>
                <w:sz w:val="20"/>
                <w:szCs w:val="20"/>
              </w:rPr>
              <w:t>8.5</w:t>
            </w:r>
          </w:p>
        </w:tc>
        <w:tc>
          <w:tcPr>
            <w:tcW w:w="1143" w:type="dxa"/>
            <w:tcBorders>
              <w:bottom w:val="single" w:sz="4" w:space="0" w:color="auto"/>
            </w:tcBorders>
            <w:shd w:val="clear" w:color="auto" w:fill="auto"/>
            <w:vAlign w:val="center"/>
          </w:tcPr>
          <w:p w14:paraId="3FBE31B9" w14:textId="77777777" w:rsidR="005D1807" w:rsidRPr="002D6400" w:rsidRDefault="005D1807" w:rsidP="005D1807">
            <w:pPr>
              <w:spacing w:line="240" w:lineRule="auto"/>
              <w:rPr>
                <w:b w:val="0"/>
                <w:bCs/>
                <w:sz w:val="20"/>
                <w:szCs w:val="20"/>
              </w:rPr>
            </w:pPr>
            <w:r w:rsidRPr="002D6400">
              <w:rPr>
                <w:b w:val="0"/>
                <w:bCs/>
                <w:sz w:val="20"/>
                <w:szCs w:val="20"/>
              </w:rPr>
              <w:t>9.2</w:t>
            </w:r>
          </w:p>
        </w:tc>
        <w:tc>
          <w:tcPr>
            <w:tcW w:w="1162" w:type="dxa"/>
            <w:tcBorders>
              <w:bottom w:val="single" w:sz="4" w:space="0" w:color="auto"/>
            </w:tcBorders>
            <w:shd w:val="clear" w:color="auto" w:fill="auto"/>
            <w:vAlign w:val="center"/>
          </w:tcPr>
          <w:p w14:paraId="7E865F4B" w14:textId="77777777" w:rsidR="005D1807" w:rsidRPr="002D6400" w:rsidRDefault="005D1807" w:rsidP="005D1807">
            <w:pPr>
              <w:spacing w:line="240" w:lineRule="auto"/>
              <w:rPr>
                <w:b w:val="0"/>
                <w:bCs/>
                <w:sz w:val="20"/>
                <w:szCs w:val="20"/>
              </w:rPr>
            </w:pPr>
            <w:r w:rsidRPr="002D6400">
              <w:rPr>
                <w:b w:val="0"/>
                <w:bCs/>
                <w:sz w:val="20"/>
                <w:szCs w:val="20"/>
              </w:rPr>
              <w:t>7.9</w:t>
            </w:r>
          </w:p>
        </w:tc>
        <w:tc>
          <w:tcPr>
            <w:tcW w:w="1143" w:type="dxa"/>
            <w:tcBorders>
              <w:bottom w:val="single" w:sz="4" w:space="0" w:color="auto"/>
            </w:tcBorders>
            <w:shd w:val="clear" w:color="auto" w:fill="auto"/>
            <w:vAlign w:val="center"/>
          </w:tcPr>
          <w:p w14:paraId="0402BF54" w14:textId="77777777" w:rsidR="005D1807" w:rsidRPr="002D6400" w:rsidRDefault="005D1807" w:rsidP="005D1807">
            <w:pPr>
              <w:spacing w:line="240" w:lineRule="auto"/>
              <w:rPr>
                <w:b w:val="0"/>
                <w:bCs/>
                <w:sz w:val="20"/>
                <w:szCs w:val="20"/>
              </w:rPr>
            </w:pPr>
            <w:r w:rsidRPr="002D6400">
              <w:rPr>
                <w:b w:val="0"/>
                <w:bCs/>
                <w:sz w:val="20"/>
                <w:szCs w:val="20"/>
              </w:rPr>
              <w:t>5.1</w:t>
            </w:r>
          </w:p>
        </w:tc>
        <w:tc>
          <w:tcPr>
            <w:tcW w:w="1343" w:type="dxa"/>
            <w:tcBorders>
              <w:bottom w:val="single" w:sz="4" w:space="0" w:color="auto"/>
            </w:tcBorders>
            <w:shd w:val="clear" w:color="auto" w:fill="auto"/>
            <w:vAlign w:val="center"/>
          </w:tcPr>
          <w:p w14:paraId="7872AF63" w14:textId="77777777" w:rsidR="005D1807" w:rsidRPr="002D6400" w:rsidRDefault="005D1807" w:rsidP="005D1807">
            <w:pPr>
              <w:spacing w:line="240" w:lineRule="auto"/>
              <w:rPr>
                <w:b w:val="0"/>
                <w:bCs/>
                <w:sz w:val="20"/>
                <w:szCs w:val="20"/>
              </w:rPr>
            </w:pPr>
            <w:r w:rsidRPr="002D6400">
              <w:rPr>
                <w:b w:val="0"/>
                <w:bCs/>
                <w:sz w:val="20"/>
                <w:szCs w:val="20"/>
              </w:rPr>
              <w:t>5.0</w:t>
            </w:r>
          </w:p>
        </w:tc>
      </w:tr>
    </w:tbl>
    <w:p w14:paraId="61E522F4" w14:textId="77777777" w:rsidR="005D1807" w:rsidRPr="005D1807" w:rsidRDefault="005D1807" w:rsidP="005D1807">
      <w:pPr>
        <w:spacing w:line="240" w:lineRule="auto"/>
        <w:rPr>
          <w:b w:val="0"/>
          <w:bCs/>
          <w:sz w:val="20"/>
          <w:szCs w:val="20"/>
        </w:rPr>
      </w:pPr>
    </w:p>
    <w:p w14:paraId="2E7AD2CB" w14:textId="77777777" w:rsidR="005D1807" w:rsidRPr="005D1807" w:rsidRDefault="005D1807" w:rsidP="005D1807">
      <w:pPr>
        <w:rPr>
          <w:b w:val="0"/>
          <w:bCs/>
        </w:rPr>
      </w:pPr>
    </w:p>
    <w:p w14:paraId="38F57BA8" w14:textId="77777777" w:rsidR="005D1807" w:rsidRPr="005D1807" w:rsidRDefault="005D1807" w:rsidP="005D1807">
      <w:pPr>
        <w:keepNext/>
        <w:keepLines/>
        <w:spacing w:before="0"/>
        <w:outlineLvl w:val="2"/>
        <w:rPr>
          <w:rFonts w:eastAsiaTheme="majorEastAsia" w:cstheme="majorBidi"/>
          <w:bCs/>
          <w:color w:val="1F497D" w:themeColor="text2"/>
          <w:sz w:val="24"/>
          <w:lang w:val="hy-AM" w:eastAsia="en-US"/>
        </w:rPr>
      </w:pPr>
      <w:bookmarkStart w:id="96" w:name="_Toc146911023"/>
      <w:bookmarkStart w:id="97" w:name="_Toc153184462"/>
      <w:r w:rsidRPr="005D1807">
        <w:rPr>
          <w:rFonts w:eastAsiaTheme="majorEastAsia" w:cstheme="majorBidi"/>
          <w:bCs/>
          <w:color w:val="1F497D" w:themeColor="text2"/>
          <w:sz w:val="24"/>
          <w:lang w:val="hy-AM" w:eastAsia="en-US"/>
        </w:rPr>
        <w:t>1.2. ՀԱՄԱՇԽԱՐՀԱՅԻՆ ՏՆՏԵՍՈՒԹՅԱՆ ԵՎ ԳՈՐԾԸՆԿԵՐ ԵՐԿՐՆԵՐԻ ԶԱՐԳԱՑՈՒՄՆԵՐ ԵՎ ԿԱՆԽԱՏԵՍՈՒՄՆԵՐ</w:t>
      </w:r>
      <w:bookmarkEnd w:id="86"/>
      <w:bookmarkEnd w:id="87"/>
      <w:bookmarkEnd w:id="88"/>
      <w:bookmarkEnd w:id="89"/>
      <w:bookmarkEnd w:id="90"/>
      <w:bookmarkEnd w:id="91"/>
      <w:bookmarkEnd w:id="96"/>
      <w:bookmarkEnd w:id="97"/>
    </w:p>
    <w:p w14:paraId="536400BB" w14:textId="77777777" w:rsidR="005D1807" w:rsidRPr="002D6400" w:rsidRDefault="005D1807" w:rsidP="005D1807">
      <w:pPr>
        <w:rPr>
          <w:b w:val="0"/>
          <w:bCs/>
          <w:lang w:val="hy-AM"/>
        </w:rPr>
      </w:pPr>
      <w:bookmarkStart w:id="98" w:name="_Toc57559414"/>
      <w:bookmarkStart w:id="99" w:name="_Toc83663896"/>
      <w:bookmarkStart w:id="100" w:name="_Toc83972832"/>
      <w:bookmarkStart w:id="101" w:name="_Toc115686018"/>
      <w:bookmarkStart w:id="102" w:name="_Toc45705389"/>
      <w:r w:rsidRPr="002D6400">
        <w:rPr>
          <w:lang w:val="hy-AM"/>
        </w:rPr>
        <w:t>Տնտեսական զարգացումներ: 2022թ. ռուս-ուկրաինական հակամարտության զարգացումների արդյունքում համաշխարհային տնտեսությունում, այդ թվում՝ ՀՀ գործընկեր երկրների տնտեսություններում տեղի է ունեցել տնտեսական աճի դանդաղում՝ պայմանավորված համաշխարհային մատակարարման շղթաների խաթարմամբ, դրա արդյունքում պարենային և հումքային ապրանքների միջազգային գների բարձրացմամբ, ձևավորված բարձր գնաճային միջավայրը մեղմելուն ուղղված՝ կենտրոնական բանկերի զսպող դրամավարկային քաղաքականությամբ:</w:t>
      </w:r>
      <w:r w:rsidRPr="002D6400">
        <w:rPr>
          <w:b w:val="0"/>
          <w:bCs/>
          <w:lang w:val="hy-AM"/>
        </w:rPr>
        <w:t xml:space="preserve"> Ռուս-ուկրաինական հակամարտության և դրա արդյունքում ՌԴ նկատմամբ կիրառված աննախադեպ պատժամիջոցների բացասական անուղղակի ազդեցությունները, ինչպես նաև կենտրոնական բանկերի կողմից իրականացված դրամավարկային քաղաքականության խստացումը հանգեցրին համաշխարհային տնտեսության, ինչպես նաև հիմնական գործընկեր երկրների տնտեսությունների աճի դանդաղման, իսկ ՌԴ-ում՝ անկման: Արժույթի միջազգային հիմնադրամի (ԱՄՀ) գնահատականներով 2022թ. համաշխարհային տնտեսական աճը կազմել է 3.5%՝ նախորդ տարվա 6.3%-ի դիմաց, իսկ ՀՀ հիմնական գործընկեր երկրներից ՌԴ-ում գրանցվել է 2.1% անկում, Եվրագոտում՝ 3.5% աճ, ԱՄՆ-ում՝ 2.1% և Չինաստանում՝ 3.0%: </w:t>
      </w:r>
    </w:p>
    <w:p w14:paraId="3E7CE398" w14:textId="1C3ABBA3" w:rsidR="005D1807" w:rsidRPr="0073392C" w:rsidRDefault="005D1807" w:rsidP="005D1807">
      <w:pPr>
        <w:rPr>
          <w:rFonts w:eastAsia="GHEA Grapalat"/>
          <w:b w:val="0"/>
          <w:bCs/>
          <w:lang w:val="hy-AM"/>
        </w:rPr>
      </w:pPr>
      <w:r w:rsidRPr="0073392C">
        <w:rPr>
          <w:lang w:val="hy-AM"/>
        </w:rPr>
        <w:t>2023թ․ առաջին կիսամյակում հիմնական գործընկեր երկրներում տնտեսական աճը շարունակում է մնալ դրական տիրույթում, սակայն որոշ երկրներում նկատվում է աճի տեմպի դանդաղում, իսկ որոշներում՝ արագացում։ Աճը զսպող գործոններ են շարունակում մնալ ռուս-ուկրաինական հակամարտության բացասական հետևանքներն ու կենտրոնական բանկերի կողմից կիրառվող դրամավարկային քաղաքականության խստացումները:</w:t>
      </w:r>
      <w:r w:rsidRPr="0073392C">
        <w:rPr>
          <w:b w:val="0"/>
          <w:bCs/>
          <w:lang w:val="hy-AM"/>
        </w:rPr>
        <w:t xml:space="preserve"> Տնտեսական դանդաղ աճը պայմանավորված է արդյունաբերության ոլորտի շարունակական անկմամբ, որը զուգակցում է </w:t>
      </w:r>
      <w:r w:rsidRPr="0073392C">
        <w:rPr>
          <w:b w:val="0"/>
          <w:bCs/>
          <w:lang w:val="hy-AM"/>
        </w:rPr>
        <w:lastRenderedPageBreak/>
        <w:t>ծառայությունների ոլորտի դանդաղ աճով</w:t>
      </w:r>
      <w:r w:rsidRPr="005D1807">
        <w:rPr>
          <w:rFonts w:eastAsia="GHEA Grapalat"/>
          <w:b w:val="0"/>
          <w:bCs/>
        </w:rPr>
        <w:footnoteReference w:id="2"/>
      </w:r>
      <w:r w:rsidRPr="0073392C">
        <w:rPr>
          <w:rFonts w:eastAsia="GHEA Grapalat"/>
          <w:b w:val="0"/>
          <w:bCs/>
          <w:lang w:val="hy-AM"/>
        </w:rPr>
        <w:t xml:space="preserve">։ </w:t>
      </w:r>
      <w:r w:rsidRPr="0073392C">
        <w:rPr>
          <w:b w:val="0"/>
          <w:bCs/>
          <w:lang w:val="hy-AM"/>
        </w:rPr>
        <w:t>2023 թվականի առաջին կիսամյակում ԱՄՆ տնտեսությունը նախորդ տարվա համապատասխան ժամանակահատվածի նկատմամբ գրանցել է միջինում 2․2% աճ, ընդ որում՝ առաջին եռամսյակում աճը կազմել է 1.8</w:t>
      </w:r>
      <w:r w:rsidRPr="0073392C">
        <w:rPr>
          <w:rFonts w:eastAsia="GHEA Grapalat"/>
          <w:b w:val="0"/>
          <w:bCs/>
          <w:lang w:val="hy-AM"/>
        </w:rPr>
        <w:t xml:space="preserve">% աճ, իսկ երկրորդ եռամսյակում՝ </w:t>
      </w:r>
      <w:r w:rsidRPr="0073392C">
        <w:rPr>
          <w:b w:val="0"/>
          <w:bCs/>
          <w:lang w:val="hy-AM"/>
        </w:rPr>
        <w:t>2.6</w:t>
      </w:r>
      <w:r w:rsidRPr="0073392C">
        <w:rPr>
          <w:rFonts w:eastAsia="GHEA Grapalat"/>
          <w:b w:val="0"/>
          <w:bCs/>
          <w:lang w:val="hy-AM"/>
        </w:rPr>
        <w:t>%</w:t>
      </w:r>
      <w:r w:rsidRPr="005D1807">
        <w:rPr>
          <w:b w:val="0"/>
          <w:bCs/>
        </w:rPr>
        <w:footnoteReference w:id="3"/>
      </w:r>
      <w:r w:rsidRPr="0073392C">
        <w:rPr>
          <w:rFonts w:eastAsia="GHEA Grapalat"/>
          <w:b w:val="0"/>
          <w:bCs/>
          <w:lang w:val="hy-AM"/>
        </w:rPr>
        <w:t>։ Եվրագոտու տնտեսությունն աճել է ավելի դանդաղ տեմպերով՝ 0.8%, ընդ որում՝ առաջին եռամսյակում՝ 1.1%-ով, երկրորդ եռամսյակում՝ 0.5%-ով</w:t>
      </w:r>
      <w:r w:rsidRPr="005D1807">
        <w:rPr>
          <w:b w:val="0"/>
          <w:bCs/>
        </w:rPr>
        <w:footnoteReference w:id="4"/>
      </w:r>
      <w:r w:rsidRPr="0073392C">
        <w:rPr>
          <w:rFonts w:eastAsia="GHEA Grapalat"/>
          <w:b w:val="0"/>
          <w:bCs/>
          <w:lang w:val="hy-AM"/>
        </w:rPr>
        <w:t>։ Չինաստանում առաջին կիսամյակում միջինում գրանցվել է  5.4% աճ, ընդ որում՝ առաջին եռամսյակում գրանցվել է 4.5% տնտեսական աճ, իսկ երկրորդ եռամսյակում՝ 6.3%</w:t>
      </w:r>
      <w:r w:rsidRPr="005D1807">
        <w:rPr>
          <w:b w:val="0"/>
          <w:bCs/>
        </w:rPr>
        <w:footnoteReference w:id="5"/>
      </w:r>
      <w:r w:rsidRPr="0073392C">
        <w:rPr>
          <w:rFonts w:eastAsia="GHEA Grapalat"/>
          <w:b w:val="0"/>
          <w:bCs/>
          <w:lang w:val="hy-AM"/>
        </w:rPr>
        <w:t>: Ռուսաստանի Դաշնությունում առաջին եռամսյակի 1․8% անկումից հետո ապրիլ-հունիս ամիսներին տնտեսական աճը միջինում կազմել է 4․9%, մասնավորապես, ապրիլին՝ 3.3%, մայիսին՝ 5.4%, հունիսին՝ 5.3%</w:t>
      </w:r>
      <w:r w:rsidRPr="005D1807">
        <w:rPr>
          <w:rFonts w:eastAsia="GHEA Grapalat"/>
          <w:b w:val="0"/>
          <w:bCs/>
        </w:rPr>
        <w:footnoteReference w:id="6"/>
      </w:r>
      <w:r w:rsidRPr="0073392C">
        <w:rPr>
          <w:rFonts w:eastAsia="GHEA Grapalat"/>
          <w:b w:val="0"/>
          <w:bCs/>
          <w:lang w:val="hy-AM"/>
        </w:rPr>
        <w:t xml:space="preserve">։  Առաջին կիսամյակի ընթացքում Ռուսաստանի տնտեսությունն աճել է միջինում 1.6%-ով, ինչն առավելապես պայմանավորված է մշակող արդյունաբերության (2.6%) գյուղատնտեսության (2.9%) և մանրածախ առևտրի (6.4%) աճերով։ Հուլիս ամսին ՌԴ տնտեսությունն աճել է 5%-ով` պայմանավորված կառավարության կողմից իրականացված միջոցառումներով՝ ուղղված խթանելու ռազմական տեխնիկայի արտադրությունը և բարձրացնելու կենսաթոշակներն ու աշխատավարձերը: Սա էլ իր հերթին հանգեցրել է մի շարք ապրանքների և ծառայությունների պահանջարկի, հետևաբար և գների աճի: Արդյունքում, հունվար-հուլիս ամիսներին ՌԴ տնտեսական աճը նախորդ տարվա համապատասխան ժամանակահատվածի նկատմամբ կազմել է 2.1%: </w:t>
      </w:r>
    </w:p>
    <w:p w14:paraId="58341A01" w14:textId="77777777" w:rsidR="005D1807" w:rsidRPr="0073392C" w:rsidRDefault="005D1807" w:rsidP="005D1807">
      <w:pPr>
        <w:rPr>
          <w:b w:val="0"/>
          <w:bCs/>
          <w:lang w:val="hy-AM"/>
        </w:rPr>
      </w:pPr>
      <w:r w:rsidRPr="0073392C">
        <w:rPr>
          <w:lang w:val="hy-AM"/>
        </w:rPr>
        <w:t xml:space="preserve">Գծապատկեր 1.1. </w:t>
      </w:r>
      <w:r w:rsidRPr="0073392C">
        <w:rPr>
          <w:b w:val="0"/>
          <w:bCs/>
          <w:lang w:val="hy-AM"/>
        </w:rPr>
        <w:t>Գործընկեր երկրների տնտեսական աճեր</w:t>
      </w:r>
      <w:r w:rsidRPr="005D1807">
        <w:rPr>
          <w:b w:val="0"/>
          <w:bCs/>
        </w:rPr>
        <w:footnoteReference w:id="7"/>
      </w:r>
      <w:r w:rsidRPr="0073392C">
        <w:rPr>
          <w:b w:val="0"/>
          <w:bCs/>
          <w:lang w:val="hy-AM"/>
        </w:rPr>
        <w:t>, եռամսյակային, տ/տ, %</w:t>
      </w:r>
    </w:p>
    <w:p w14:paraId="61D685C2" w14:textId="77777777" w:rsidR="005D1807" w:rsidRPr="005D1807" w:rsidRDefault="005D1807" w:rsidP="005D1807">
      <w:pPr>
        <w:rPr>
          <w:b w:val="0"/>
          <w:bCs/>
        </w:rPr>
      </w:pPr>
      <w:r w:rsidRPr="0073392C">
        <w:rPr>
          <w:b w:val="0"/>
          <w:bCs/>
          <w:lang w:val="hy-AM"/>
        </w:rPr>
        <w:t xml:space="preserve"> </w:t>
      </w:r>
      <w:r w:rsidRPr="005D1807">
        <w:rPr>
          <w:b w:val="0"/>
          <w:bCs/>
          <w:noProof/>
          <w:lang w:val="en-US" w:eastAsia="en-US"/>
        </w:rPr>
        <w:drawing>
          <wp:inline distT="0" distB="0" distL="0" distR="0" wp14:anchorId="2BB24E80" wp14:editId="727A495B">
            <wp:extent cx="6055995" cy="1936377"/>
            <wp:effectExtent l="0" t="0" r="1905" b="6985"/>
            <wp:docPr id="2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DD644CE" w14:textId="77777777" w:rsidR="005D1807" w:rsidRPr="005D1807" w:rsidRDefault="005D1807" w:rsidP="005D1807">
      <w:pPr>
        <w:rPr>
          <w:b w:val="0"/>
          <w:bCs/>
        </w:rPr>
      </w:pPr>
      <w:r w:rsidRPr="002D6400">
        <w:lastRenderedPageBreak/>
        <w:t>Կանխատեսում։ ԱՄՀ հուլիս ամսվա կանխատեսումների համաձայն, 2023թ․ համաշխարհային տնտեսական աճը կդանդաղի՝ կազմելով 3.0%,  2024թ. տնտեսական աճը կպահպանվի նույն մակարդակում (3.0%)՝ գտնվելով պատմական (2000-2019թթ․) միջին` 3.8%, ցուցանիշից ներքև:</w:t>
      </w:r>
      <w:r w:rsidRPr="005D1807">
        <w:rPr>
          <w:b w:val="0"/>
          <w:bCs/>
        </w:rPr>
        <w:t xml:space="preserve"> ՀՀ հիմնական գործընկեր երկրներից ԱՄՆ-ում և ԵԳ-ում տեղի կունենան աճի էական դանդաղումներ՝ պայմանավորված մշակող արդյունաբերության նվազող միտումով, մինչդեռ Չինաստանում տնտեսական աճը կարագանա, իսկ ՌԴ-ում նախորդ տարվա անկումից հետո կգրանցի աճ՝ պայմանավորված մանրածախ առևտրի, շինարարության և արդյունաբերական արտադրանքի աճերով։</w:t>
      </w:r>
    </w:p>
    <w:p w14:paraId="201A912B" w14:textId="77777777" w:rsidR="005D1807" w:rsidRPr="005D1807" w:rsidRDefault="005D1807" w:rsidP="005D1807">
      <w:pPr>
        <w:rPr>
          <w:b w:val="0"/>
          <w:bCs/>
        </w:rPr>
      </w:pPr>
      <w:r w:rsidRPr="002D6400">
        <w:t xml:space="preserve">Աղյուսակ 1.2. </w:t>
      </w:r>
      <w:r w:rsidRPr="005D1807">
        <w:rPr>
          <w:b w:val="0"/>
          <w:bCs/>
        </w:rPr>
        <w:t>ԱՄՀ կանխատեսումներ</w:t>
      </w:r>
    </w:p>
    <w:tbl>
      <w:tblPr>
        <w:tblpPr w:leftFromText="180" w:rightFromText="180" w:bottomFromText="160" w:vertAnchor="text" w:horzAnchor="margin" w:tblpY="40"/>
        <w:tblW w:w="9755" w:type="dxa"/>
        <w:tblBorders>
          <w:bottom w:val="single" w:sz="4" w:space="0" w:color="auto"/>
        </w:tblBorders>
        <w:tblLayout w:type="fixed"/>
        <w:tblLook w:val="04A0" w:firstRow="1" w:lastRow="0" w:firstColumn="1" w:lastColumn="0" w:noHBand="0" w:noVBand="1"/>
      </w:tblPr>
      <w:tblGrid>
        <w:gridCol w:w="1980"/>
        <w:gridCol w:w="1984"/>
        <w:gridCol w:w="1134"/>
        <w:gridCol w:w="850"/>
        <w:gridCol w:w="858"/>
        <w:gridCol w:w="1134"/>
        <w:gridCol w:w="850"/>
        <w:gridCol w:w="965"/>
      </w:tblGrid>
      <w:tr w:rsidR="005D1807" w:rsidRPr="002D6400" w14:paraId="4DDB462C" w14:textId="77777777" w:rsidTr="002D6400">
        <w:trPr>
          <w:trHeight w:val="627"/>
        </w:trPr>
        <w:tc>
          <w:tcPr>
            <w:tcW w:w="1980" w:type="dxa"/>
            <w:shd w:val="clear" w:color="auto" w:fill="auto"/>
            <w:vAlign w:val="center"/>
          </w:tcPr>
          <w:p w14:paraId="363FDBB0" w14:textId="77777777" w:rsidR="005D1807" w:rsidRPr="002D6400" w:rsidRDefault="005D1807" w:rsidP="005D1807">
            <w:pPr>
              <w:rPr>
                <w:b w:val="0"/>
                <w:bCs/>
                <w:sz w:val="20"/>
                <w:szCs w:val="20"/>
              </w:rPr>
            </w:pPr>
            <w:r w:rsidRPr="002D6400">
              <w:rPr>
                <w:b w:val="0"/>
                <w:bCs/>
                <w:sz w:val="20"/>
                <w:szCs w:val="20"/>
              </w:rPr>
              <w:t xml:space="preserve">Տնտեսական </w:t>
            </w:r>
          </w:p>
          <w:p w14:paraId="4ADBCA33" w14:textId="77777777" w:rsidR="005D1807" w:rsidRPr="002D6400" w:rsidRDefault="005D1807" w:rsidP="005D1807">
            <w:pPr>
              <w:rPr>
                <w:b w:val="0"/>
                <w:bCs/>
                <w:sz w:val="20"/>
                <w:szCs w:val="20"/>
              </w:rPr>
            </w:pPr>
            <w:r w:rsidRPr="002D6400">
              <w:rPr>
                <w:b w:val="0"/>
                <w:bCs/>
                <w:sz w:val="20"/>
                <w:szCs w:val="20"/>
              </w:rPr>
              <w:t>աճ, %</w:t>
            </w:r>
          </w:p>
        </w:tc>
        <w:tc>
          <w:tcPr>
            <w:tcW w:w="1984" w:type="dxa"/>
            <w:tcBorders>
              <w:bottom w:val="nil"/>
            </w:tcBorders>
            <w:shd w:val="clear" w:color="auto" w:fill="auto"/>
            <w:vAlign w:val="center"/>
          </w:tcPr>
          <w:p w14:paraId="6CE8E981" w14:textId="77777777" w:rsidR="005D1807" w:rsidRPr="002D6400" w:rsidRDefault="005D1807" w:rsidP="005D1807">
            <w:pPr>
              <w:rPr>
                <w:b w:val="0"/>
                <w:bCs/>
                <w:sz w:val="20"/>
                <w:szCs w:val="20"/>
              </w:rPr>
            </w:pPr>
            <w:r w:rsidRPr="002D6400">
              <w:rPr>
                <w:b w:val="0"/>
                <w:bCs/>
                <w:sz w:val="20"/>
                <w:szCs w:val="20"/>
              </w:rPr>
              <w:t>2022</w:t>
            </w:r>
          </w:p>
        </w:tc>
        <w:tc>
          <w:tcPr>
            <w:tcW w:w="2842" w:type="dxa"/>
            <w:gridSpan w:val="3"/>
            <w:tcBorders>
              <w:bottom w:val="single" w:sz="4" w:space="0" w:color="auto"/>
            </w:tcBorders>
            <w:shd w:val="clear" w:color="auto" w:fill="auto"/>
            <w:vAlign w:val="center"/>
          </w:tcPr>
          <w:p w14:paraId="3E52F80B" w14:textId="77777777" w:rsidR="005D1807" w:rsidRPr="002D6400" w:rsidRDefault="005D1807" w:rsidP="002D6400">
            <w:pPr>
              <w:jc w:val="center"/>
              <w:rPr>
                <w:b w:val="0"/>
                <w:bCs/>
                <w:sz w:val="20"/>
                <w:szCs w:val="20"/>
              </w:rPr>
            </w:pPr>
            <w:r w:rsidRPr="002D6400">
              <w:rPr>
                <w:b w:val="0"/>
                <w:bCs/>
                <w:sz w:val="20"/>
                <w:szCs w:val="20"/>
              </w:rPr>
              <w:t>2023</w:t>
            </w:r>
          </w:p>
        </w:tc>
        <w:tc>
          <w:tcPr>
            <w:tcW w:w="2949" w:type="dxa"/>
            <w:gridSpan w:val="3"/>
            <w:tcBorders>
              <w:bottom w:val="nil"/>
            </w:tcBorders>
            <w:shd w:val="clear" w:color="auto" w:fill="auto"/>
            <w:vAlign w:val="center"/>
          </w:tcPr>
          <w:p w14:paraId="10029358" w14:textId="77777777" w:rsidR="005D1807" w:rsidRPr="002D6400" w:rsidRDefault="005D1807" w:rsidP="002D6400">
            <w:pPr>
              <w:jc w:val="center"/>
              <w:rPr>
                <w:b w:val="0"/>
                <w:bCs/>
                <w:sz w:val="20"/>
                <w:szCs w:val="20"/>
              </w:rPr>
            </w:pPr>
            <w:r w:rsidRPr="002D6400">
              <w:rPr>
                <w:b w:val="0"/>
                <w:bCs/>
                <w:sz w:val="20"/>
                <w:szCs w:val="20"/>
              </w:rPr>
              <w:t>2024</w:t>
            </w:r>
          </w:p>
        </w:tc>
      </w:tr>
      <w:tr w:rsidR="005D1807" w:rsidRPr="002D6400" w14:paraId="54DAD73E" w14:textId="77777777" w:rsidTr="002D6400">
        <w:trPr>
          <w:trHeight w:val="482"/>
        </w:trPr>
        <w:tc>
          <w:tcPr>
            <w:tcW w:w="1980" w:type="dxa"/>
            <w:shd w:val="clear" w:color="auto" w:fill="auto"/>
          </w:tcPr>
          <w:p w14:paraId="701FF074" w14:textId="77777777" w:rsidR="005D1807" w:rsidRPr="002D6400" w:rsidRDefault="005D1807" w:rsidP="005D1807">
            <w:pPr>
              <w:rPr>
                <w:b w:val="0"/>
                <w:bCs/>
                <w:sz w:val="20"/>
                <w:szCs w:val="20"/>
              </w:rPr>
            </w:pPr>
          </w:p>
        </w:tc>
        <w:tc>
          <w:tcPr>
            <w:tcW w:w="1984" w:type="dxa"/>
            <w:tcBorders>
              <w:bottom w:val="single" w:sz="4" w:space="0" w:color="auto"/>
            </w:tcBorders>
            <w:shd w:val="clear" w:color="auto" w:fill="auto"/>
            <w:vAlign w:val="center"/>
            <w:hideMark/>
          </w:tcPr>
          <w:p w14:paraId="1458969E" w14:textId="77777777" w:rsidR="005D1807" w:rsidRPr="002D6400" w:rsidRDefault="005D1807" w:rsidP="002D6400">
            <w:pPr>
              <w:spacing w:line="240" w:lineRule="auto"/>
              <w:rPr>
                <w:b w:val="0"/>
                <w:bCs/>
                <w:sz w:val="20"/>
                <w:szCs w:val="20"/>
              </w:rPr>
            </w:pPr>
            <w:r w:rsidRPr="002D6400">
              <w:rPr>
                <w:b w:val="0"/>
                <w:bCs/>
                <w:sz w:val="20"/>
                <w:szCs w:val="20"/>
              </w:rPr>
              <w:t>Փաստ/ Գնահատական</w:t>
            </w:r>
          </w:p>
        </w:tc>
        <w:tc>
          <w:tcPr>
            <w:tcW w:w="1134" w:type="dxa"/>
            <w:tcBorders>
              <w:top w:val="single" w:sz="4" w:space="0" w:color="auto"/>
              <w:bottom w:val="single" w:sz="4" w:space="0" w:color="auto"/>
            </w:tcBorders>
            <w:shd w:val="clear" w:color="auto" w:fill="auto"/>
            <w:vAlign w:val="center"/>
            <w:hideMark/>
          </w:tcPr>
          <w:p w14:paraId="2596E445" w14:textId="77777777" w:rsidR="005D1807" w:rsidRPr="002D6400" w:rsidRDefault="005D1807" w:rsidP="005D1807">
            <w:pPr>
              <w:rPr>
                <w:b w:val="0"/>
                <w:bCs/>
                <w:sz w:val="20"/>
                <w:szCs w:val="20"/>
              </w:rPr>
            </w:pPr>
            <w:r w:rsidRPr="002D6400">
              <w:rPr>
                <w:b w:val="0"/>
                <w:bCs/>
                <w:sz w:val="20"/>
                <w:szCs w:val="20"/>
              </w:rPr>
              <w:t>Հունվար</w:t>
            </w:r>
          </w:p>
        </w:tc>
        <w:tc>
          <w:tcPr>
            <w:tcW w:w="850" w:type="dxa"/>
            <w:tcBorders>
              <w:top w:val="single" w:sz="4" w:space="0" w:color="auto"/>
              <w:bottom w:val="single" w:sz="4" w:space="0" w:color="auto"/>
            </w:tcBorders>
            <w:shd w:val="clear" w:color="auto" w:fill="auto"/>
            <w:vAlign w:val="center"/>
            <w:hideMark/>
          </w:tcPr>
          <w:p w14:paraId="28BFFFBD" w14:textId="77777777" w:rsidR="005D1807" w:rsidRPr="002D6400" w:rsidRDefault="005D1807" w:rsidP="005D1807">
            <w:pPr>
              <w:rPr>
                <w:b w:val="0"/>
                <w:bCs/>
                <w:sz w:val="20"/>
                <w:szCs w:val="20"/>
              </w:rPr>
            </w:pPr>
            <w:r w:rsidRPr="002D6400">
              <w:rPr>
                <w:b w:val="0"/>
                <w:bCs/>
                <w:sz w:val="20"/>
                <w:szCs w:val="20"/>
              </w:rPr>
              <w:t>Ապրիլ</w:t>
            </w:r>
          </w:p>
        </w:tc>
        <w:tc>
          <w:tcPr>
            <w:tcW w:w="855" w:type="dxa"/>
            <w:tcBorders>
              <w:top w:val="single" w:sz="4" w:space="0" w:color="auto"/>
              <w:bottom w:val="single" w:sz="4" w:space="0" w:color="auto"/>
            </w:tcBorders>
            <w:shd w:val="clear" w:color="auto" w:fill="auto"/>
            <w:vAlign w:val="center"/>
            <w:hideMark/>
          </w:tcPr>
          <w:p w14:paraId="68C2B2E0" w14:textId="77777777" w:rsidR="005D1807" w:rsidRPr="002D6400" w:rsidRDefault="005D1807" w:rsidP="005D1807">
            <w:pPr>
              <w:rPr>
                <w:b w:val="0"/>
                <w:bCs/>
                <w:sz w:val="20"/>
                <w:szCs w:val="20"/>
              </w:rPr>
            </w:pPr>
            <w:r w:rsidRPr="002D6400">
              <w:rPr>
                <w:b w:val="0"/>
                <w:bCs/>
                <w:sz w:val="20"/>
                <w:szCs w:val="20"/>
              </w:rPr>
              <w:t xml:space="preserve"> Հուլիս</w:t>
            </w:r>
          </w:p>
        </w:tc>
        <w:tc>
          <w:tcPr>
            <w:tcW w:w="1134" w:type="dxa"/>
            <w:tcBorders>
              <w:bottom w:val="single" w:sz="4" w:space="0" w:color="auto"/>
            </w:tcBorders>
            <w:shd w:val="clear" w:color="auto" w:fill="auto"/>
            <w:vAlign w:val="center"/>
            <w:hideMark/>
          </w:tcPr>
          <w:p w14:paraId="10552494" w14:textId="77777777" w:rsidR="005D1807" w:rsidRPr="002D6400" w:rsidRDefault="005D1807" w:rsidP="005D1807">
            <w:pPr>
              <w:rPr>
                <w:b w:val="0"/>
                <w:bCs/>
                <w:sz w:val="20"/>
                <w:szCs w:val="20"/>
              </w:rPr>
            </w:pPr>
            <w:r w:rsidRPr="002D6400">
              <w:rPr>
                <w:b w:val="0"/>
                <w:bCs/>
                <w:sz w:val="20"/>
                <w:szCs w:val="20"/>
              </w:rPr>
              <w:t xml:space="preserve"> Հունվար</w:t>
            </w:r>
          </w:p>
        </w:tc>
        <w:tc>
          <w:tcPr>
            <w:tcW w:w="850" w:type="dxa"/>
            <w:tcBorders>
              <w:bottom w:val="single" w:sz="4" w:space="0" w:color="auto"/>
            </w:tcBorders>
            <w:shd w:val="clear" w:color="auto" w:fill="auto"/>
            <w:vAlign w:val="center"/>
            <w:hideMark/>
          </w:tcPr>
          <w:p w14:paraId="2D68F624" w14:textId="77777777" w:rsidR="005D1807" w:rsidRPr="002D6400" w:rsidRDefault="005D1807" w:rsidP="005D1807">
            <w:pPr>
              <w:rPr>
                <w:b w:val="0"/>
                <w:bCs/>
                <w:sz w:val="20"/>
                <w:szCs w:val="20"/>
              </w:rPr>
            </w:pPr>
            <w:r w:rsidRPr="002D6400">
              <w:rPr>
                <w:b w:val="0"/>
                <w:bCs/>
                <w:sz w:val="20"/>
                <w:szCs w:val="20"/>
              </w:rPr>
              <w:t>Ապրիլ</w:t>
            </w:r>
          </w:p>
        </w:tc>
        <w:tc>
          <w:tcPr>
            <w:tcW w:w="965" w:type="dxa"/>
            <w:tcBorders>
              <w:bottom w:val="single" w:sz="4" w:space="0" w:color="auto"/>
            </w:tcBorders>
            <w:shd w:val="clear" w:color="auto" w:fill="auto"/>
            <w:vAlign w:val="center"/>
            <w:hideMark/>
          </w:tcPr>
          <w:p w14:paraId="2EB79BA5" w14:textId="77777777" w:rsidR="005D1807" w:rsidRPr="002D6400" w:rsidRDefault="005D1807" w:rsidP="005D1807">
            <w:pPr>
              <w:rPr>
                <w:b w:val="0"/>
                <w:bCs/>
                <w:sz w:val="20"/>
                <w:szCs w:val="20"/>
              </w:rPr>
            </w:pPr>
            <w:r w:rsidRPr="002D6400">
              <w:rPr>
                <w:b w:val="0"/>
                <w:bCs/>
                <w:sz w:val="20"/>
                <w:szCs w:val="20"/>
              </w:rPr>
              <w:t>Հուլիս</w:t>
            </w:r>
          </w:p>
        </w:tc>
      </w:tr>
      <w:tr w:rsidR="005D1807" w:rsidRPr="002D6400" w14:paraId="5E0A8EDC" w14:textId="77777777" w:rsidTr="00D656FB">
        <w:trPr>
          <w:trHeight w:val="14"/>
        </w:trPr>
        <w:tc>
          <w:tcPr>
            <w:tcW w:w="1980" w:type="dxa"/>
            <w:shd w:val="clear" w:color="auto" w:fill="auto"/>
            <w:hideMark/>
          </w:tcPr>
          <w:p w14:paraId="6A80383E" w14:textId="77777777" w:rsidR="005D1807" w:rsidRPr="002D6400" w:rsidRDefault="005D1807" w:rsidP="005D1807">
            <w:pPr>
              <w:rPr>
                <w:b w:val="0"/>
                <w:bCs/>
                <w:sz w:val="20"/>
                <w:szCs w:val="20"/>
              </w:rPr>
            </w:pPr>
            <w:r w:rsidRPr="002D6400">
              <w:rPr>
                <w:b w:val="0"/>
                <w:bCs/>
                <w:sz w:val="20"/>
                <w:szCs w:val="20"/>
              </w:rPr>
              <w:t>Աշխարհ</w:t>
            </w:r>
          </w:p>
        </w:tc>
        <w:tc>
          <w:tcPr>
            <w:tcW w:w="1984" w:type="dxa"/>
            <w:tcBorders>
              <w:top w:val="single" w:sz="4" w:space="0" w:color="auto"/>
            </w:tcBorders>
            <w:shd w:val="clear" w:color="auto" w:fill="auto"/>
            <w:hideMark/>
          </w:tcPr>
          <w:p w14:paraId="53FA90BE" w14:textId="77777777" w:rsidR="005D1807" w:rsidRPr="002D6400" w:rsidRDefault="005D1807" w:rsidP="005D1807">
            <w:pPr>
              <w:rPr>
                <w:b w:val="0"/>
                <w:bCs/>
                <w:sz w:val="20"/>
                <w:szCs w:val="20"/>
              </w:rPr>
            </w:pPr>
            <w:r w:rsidRPr="002D6400">
              <w:rPr>
                <w:b w:val="0"/>
                <w:bCs/>
                <w:sz w:val="20"/>
                <w:szCs w:val="20"/>
              </w:rPr>
              <w:t>3.5</w:t>
            </w:r>
          </w:p>
        </w:tc>
        <w:tc>
          <w:tcPr>
            <w:tcW w:w="1134" w:type="dxa"/>
            <w:tcBorders>
              <w:top w:val="single" w:sz="4" w:space="0" w:color="auto"/>
            </w:tcBorders>
            <w:shd w:val="clear" w:color="auto" w:fill="auto"/>
            <w:hideMark/>
          </w:tcPr>
          <w:p w14:paraId="4E8FAA48" w14:textId="77777777" w:rsidR="005D1807" w:rsidRPr="002D6400" w:rsidRDefault="005D1807" w:rsidP="005D1807">
            <w:pPr>
              <w:rPr>
                <w:b w:val="0"/>
                <w:bCs/>
                <w:sz w:val="20"/>
                <w:szCs w:val="20"/>
              </w:rPr>
            </w:pPr>
            <w:r w:rsidRPr="002D6400">
              <w:rPr>
                <w:b w:val="0"/>
                <w:bCs/>
                <w:sz w:val="20"/>
                <w:szCs w:val="20"/>
              </w:rPr>
              <w:t>2.9</w:t>
            </w:r>
          </w:p>
        </w:tc>
        <w:tc>
          <w:tcPr>
            <w:tcW w:w="850" w:type="dxa"/>
            <w:tcBorders>
              <w:top w:val="single" w:sz="4" w:space="0" w:color="auto"/>
            </w:tcBorders>
            <w:shd w:val="clear" w:color="auto" w:fill="auto"/>
            <w:hideMark/>
          </w:tcPr>
          <w:p w14:paraId="78845D27" w14:textId="77777777" w:rsidR="005D1807" w:rsidRPr="002D6400" w:rsidRDefault="005D1807" w:rsidP="005D1807">
            <w:pPr>
              <w:rPr>
                <w:b w:val="0"/>
                <w:bCs/>
                <w:sz w:val="20"/>
                <w:szCs w:val="20"/>
              </w:rPr>
            </w:pPr>
            <w:r w:rsidRPr="002D6400">
              <w:rPr>
                <w:b w:val="0"/>
                <w:bCs/>
                <w:sz w:val="20"/>
                <w:szCs w:val="20"/>
              </w:rPr>
              <w:t>2.8</w:t>
            </w:r>
          </w:p>
        </w:tc>
        <w:tc>
          <w:tcPr>
            <w:tcW w:w="855" w:type="dxa"/>
            <w:tcBorders>
              <w:top w:val="single" w:sz="4" w:space="0" w:color="auto"/>
            </w:tcBorders>
            <w:shd w:val="clear" w:color="auto" w:fill="auto"/>
            <w:hideMark/>
          </w:tcPr>
          <w:p w14:paraId="08F68893" w14:textId="77777777" w:rsidR="005D1807" w:rsidRPr="002D6400" w:rsidRDefault="005D1807" w:rsidP="005D1807">
            <w:pPr>
              <w:rPr>
                <w:b w:val="0"/>
                <w:bCs/>
                <w:sz w:val="20"/>
                <w:szCs w:val="20"/>
              </w:rPr>
            </w:pPr>
            <w:r w:rsidRPr="002D6400">
              <w:rPr>
                <w:b w:val="0"/>
                <w:bCs/>
                <w:sz w:val="20"/>
                <w:szCs w:val="20"/>
              </w:rPr>
              <w:t>3.0</w:t>
            </w:r>
          </w:p>
        </w:tc>
        <w:tc>
          <w:tcPr>
            <w:tcW w:w="1134" w:type="dxa"/>
            <w:tcBorders>
              <w:top w:val="single" w:sz="4" w:space="0" w:color="auto"/>
            </w:tcBorders>
            <w:shd w:val="clear" w:color="auto" w:fill="auto"/>
            <w:hideMark/>
          </w:tcPr>
          <w:p w14:paraId="74E215FD" w14:textId="77777777" w:rsidR="005D1807" w:rsidRPr="002D6400" w:rsidRDefault="005D1807" w:rsidP="005D1807">
            <w:pPr>
              <w:rPr>
                <w:b w:val="0"/>
                <w:bCs/>
                <w:sz w:val="20"/>
                <w:szCs w:val="20"/>
              </w:rPr>
            </w:pPr>
            <w:r w:rsidRPr="002D6400">
              <w:rPr>
                <w:b w:val="0"/>
                <w:bCs/>
                <w:sz w:val="20"/>
                <w:szCs w:val="20"/>
              </w:rPr>
              <w:t>3.1</w:t>
            </w:r>
          </w:p>
        </w:tc>
        <w:tc>
          <w:tcPr>
            <w:tcW w:w="850" w:type="dxa"/>
            <w:tcBorders>
              <w:top w:val="single" w:sz="4" w:space="0" w:color="auto"/>
            </w:tcBorders>
            <w:shd w:val="clear" w:color="auto" w:fill="auto"/>
            <w:hideMark/>
          </w:tcPr>
          <w:p w14:paraId="207279A8" w14:textId="77777777" w:rsidR="005D1807" w:rsidRPr="002D6400" w:rsidRDefault="005D1807" w:rsidP="005D1807">
            <w:pPr>
              <w:rPr>
                <w:b w:val="0"/>
                <w:bCs/>
                <w:sz w:val="20"/>
                <w:szCs w:val="20"/>
              </w:rPr>
            </w:pPr>
            <w:r w:rsidRPr="002D6400">
              <w:rPr>
                <w:b w:val="0"/>
                <w:bCs/>
                <w:sz w:val="20"/>
                <w:szCs w:val="20"/>
              </w:rPr>
              <w:t>3.0</w:t>
            </w:r>
          </w:p>
        </w:tc>
        <w:tc>
          <w:tcPr>
            <w:tcW w:w="965" w:type="dxa"/>
            <w:tcBorders>
              <w:top w:val="single" w:sz="4" w:space="0" w:color="auto"/>
            </w:tcBorders>
            <w:shd w:val="clear" w:color="auto" w:fill="auto"/>
            <w:hideMark/>
          </w:tcPr>
          <w:p w14:paraId="62B1E77D" w14:textId="77777777" w:rsidR="005D1807" w:rsidRPr="002D6400" w:rsidRDefault="005D1807" w:rsidP="005D1807">
            <w:pPr>
              <w:rPr>
                <w:b w:val="0"/>
                <w:bCs/>
                <w:sz w:val="20"/>
                <w:szCs w:val="20"/>
              </w:rPr>
            </w:pPr>
            <w:r w:rsidRPr="002D6400">
              <w:rPr>
                <w:b w:val="0"/>
                <w:bCs/>
                <w:sz w:val="20"/>
                <w:szCs w:val="20"/>
              </w:rPr>
              <w:t>3.0</w:t>
            </w:r>
          </w:p>
        </w:tc>
      </w:tr>
      <w:tr w:rsidR="005D1807" w:rsidRPr="002D6400" w14:paraId="1891B4A2" w14:textId="77777777" w:rsidTr="00D656FB">
        <w:trPr>
          <w:trHeight w:val="265"/>
        </w:trPr>
        <w:tc>
          <w:tcPr>
            <w:tcW w:w="1980" w:type="dxa"/>
            <w:shd w:val="clear" w:color="auto" w:fill="auto"/>
            <w:hideMark/>
          </w:tcPr>
          <w:p w14:paraId="56176FB4" w14:textId="77777777" w:rsidR="005D1807" w:rsidRPr="002D6400" w:rsidRDefault="005D1807" w:rsidP="005D1807">
            <w:pPr>
              <w:rPr>
                <w:b w:val="0"/>
                <w:bCs/>
                <w:sz w:val="20"/>
                <w:szCs w:val="20"/>
              </w:rPr>
            </w:pPr>
            <w:r w:rsidRPr="002D6400">
              <w:rPr>
                <w:b w:val="0"/>
                <w:bCs/>
                <w:sz w:val="20"/>
                <w:szCs w:val="20"/>
              </w:rPr>
              <w:t>ՌԴ</w:t>
            </w:r>
          </w:p>
        </w:tc>
        <w:tc>
          <w:tcPr>
            <w:tcW w:w="1984" w:type="dxa"/>
            <w:shd w:val="clear" w:color="auto" w:fill="auto"/>
            <w:hideMark/>
          </w:tcPr>
          <w:p w14:paraId="5C2527CD" w14:textId="77777777" w:rsidR="005D1807" w:rsidRPr="002D6400" w:rsidRDefault="005D1807" w:rsidP="005D1807">
            <w:pPr>
              <w:rPr>
                <w:b w:val="0"/>
                <w:bCs/>
                <w:sz w:val="20"/>
                <w:szCs w:val="20"/>
              </w:rPr>
            </w:pPr>
            <w:r w:rsidRPr="002D6400">
              <w:rPr>
                <w:b w:val="0"/>
                <w:bCs/>
                <w:sz w:val="20"/>
                <w:szCs w:val="20"/>
              </w:rPr>
              <w:t>-2.1</w:t>
            </w:r>
          </w:p>
        </w:tc>
        <w:tc>
          <w:tcPr>
            <w:tcW w:w="1134" w:type="dxa"/>
            <w:shd w:val="clear" w:color="auto" w:fill="auto"/>
            <w:hideMark/>
          </w:tcPr>
          <w:p w14:paraId="1874D464" w14:textId="77777777" w:rsidR="005D1807" w:rsidRPr="002D6400" w:rsidRDefault="005D1807" w:rsidP="005D1807">
            <w:pPr>
              <w:rPr>
                <w:b w:val="0"/>
                <w:bCs/>
                <w:sz w:val="20"/>
                <w:szCs w:val="20"/>
              </w:rPr>
            </w:pPr>
            <w:r w:rsidRPr="002D6400">
              <w:rPr>
                <w:b w:val="0"/>
                <w:bCs/>
                <w:sz w:val="20"/>
                <w:szCs w:val="20"/>
              </w:rPr>
              <w:t>0.3</w:t>
            </w:r>
          </w:p>
        </w:tc>
        <w:tc>
          <w:tcPr>
            <w:tcW w:w="850" w:type="dxa"/>
            <w:shd w:val="clear" w:color="auto" w:fill="auto"/>
            <w:hideMark/>
          </w:tcPr>
          <w:p w14:paraId="5504CFE7" w14:textId="77777777" w:rsidR="005D1807" w:rsidRPr="002D6400" w:rsidRDefault="005D1807" w:rsidP="005D1807">
            <w:pPr>
              <w:rPr>
                <w:b w:val="0"/>
                <w:bCs/>
                <w:sz w:val="20"/>
                <w:szCs w:val="20"/>
              </w:rPr>
            </w:pPr>
            <w:r w:rsidRPr="002D6400">
              <w:rPr>
                <w:b w:val="0"/>
                <w:bCs/>
                <w:sz w:val="20"/>
                <w:szCs w:val="20"/>
              </w:rPr>
              <w:t>0.7</w:t>
            </w:r>
          </w:p>
        </w:tc>
        <w:tc>
          <w:tcPr>
            <w:tcW w:w="855" w:type="dxa"/>
            <w:shd w:val="clear" w:color="auto" w:fill="auto"/>
            <w:hideMark/>
          </w:tcPr>
          <w:p w14:paraId="34A8A703" w14:textId="77777777" w:rsidR="005D1807" w:rsidRPr="002D6400" w:rsidRDefault="005D1807" w:rsidP="005D1807">
            <w:pPr>
              <w:rPr>
                <w:b w:val="0"/>
                <w:bCs/>
                <w:sz w:val="20"/>
                <w:szCs w:val="20"/>
              </w:rPr>
            </w:pPr>
            <w:r w:rsidRPr="002D6400">
              <w:rPr>
                <w:b w:val="0"/>
                <w:bCs/>
                <w:sz w:val="20"/>
                <w:szCs w:val="20"/>
              </w:rPr>
              <w:t>1.5</w:t>
            </w:r>
          </w:p>
        </w:tc>
        <w:tc>
          <w:tcPr>
            <w:tcW w:w="1134" w:type="dxa"/>
            <w:shd w:val="clear" w:color="auto" w:fill="auto"/>
            <w:hideMark/>
          </w:tcPr>
          <w:p w14:paraId="451BEC9D" w14:textId="77777777" w:rsidR="005D1807" w:rsidRPr="002D6400" w:rsidRDefault="005D1807" w:rsidP="005D1807">
            <w:pPr>
              <w:rPr>
                <w:b w:val="0"/>
                <w:bCs/>
                <w:sz w:val="20"/>
                <w:szCs w:val="20"/>
              </w:rPr>
            </w:pPr>
            <w:r w:rsidRPr="002D6400">
              <w:rPr>
                <w:b w:val="0"/>
                <w:bCs/>
                <w:sz w:val="20"/>
                <w:szCs w:val="20"/>
              </w:rPr>
              <w:t>2.1</w:t>
            </w:r>
          </w:p>
        </w:tc>
        <w:tc>
          <w:tcPr>
            <w:tcW w:w="850" w:type="dxa"/>
            <w:shd w:val="clear" w:color="auto" w:fill="auto"/>
            <w:hideMark/>
          </w:tcPr>
          <w:p w14:paraId="5B512AA9" w14:textId="77777777" w:rsidR="005D1807" w:rsidRPr="002D6400" w:rsidRDefault="005D1807" w:rsidP="005D1807">
            <w:pPr>
              <w:rPr>
                <w:b w:val="0"/>
                <w:bCs/>
                <w:sz w:val="20"/>
                <w:szCs w:val="20"/>
              </w:rPr>
            </w:pPr>
            <w:r w:rsidRPr="002D6400">
              <w:rPr>
                <w:b w:val="0"/>
                <w:bCs/>
                <w:sz w:val="20"/>
                <w:szCs w:val="20"/>
              </w:rPr>
              <w:t>1.3</w:t>
            </w:r>
          </w:p>
        </w:tc>
        <w:tc>
          <w:tcPr>
            <w:tcW w:w="965" w:type="dxa"/>
            <w:shd w:val="clear" w:color="auto" w:fill="auto"/>
            <w:hideMark/>
          </w:tcPr>
          <w:p w14:paraId="53DE7740" w14:textId="77777777" w:rsidR="005D1807" w:rsidRPr="002D6400" w:rsidRDefault="005D1807" w:rsidP="005D1807">
            <w:pPr>
              <w:rPr>
                <w:b w:val="0"/>
                <w:bCs/>
                <w:sz w:val="20"/>
                <w:szCs w:val="20"/>
              </w:rPr>
            </w:pPr>
            <w:r w:rsidRPr="002D6400">
              <w:rPr>
                <w:b w:val="0"/>
                <w:bCs/>
                <w:sz w:val="20"/>
                <w:szCs w:val="20"/>
              </w:rPr>
              <w:t>1.3</w:t>
            </w:r>
          </w:p>
        </w:tc>
      </w:tr>
      <w:tr w:rsidR="005D1807" w:rsidRPr="002D6400" w14:paraId="3061505F" w14:textId="77777777" w:rsidTr="00D656FB">
        <w:trPr>
          <w:trHeight w:val="352"/>
        </w:trPr>
        <w:tc>
          <w:tcPr>
            <w:tcW w:w="1980" w:type="dxa"/>
            <w:shd w:val="clear" w:color="auto" w:fill="auto"/>
            <w:hideMark/>
          </w:tcPr>
          <w:p w14:paraId="28CB7149" w14:textId="77777777" w:rsidR="005D1807" w:rsidRPr="002D6400" w:rsidRDefault="005D1807" w:rsidP="005D1807">
            <w:pPr>
              <w:rPr>
                <w:b w:val="0"/>
                <w:bCs/>
                <w:sz w:val="20"/>
                <w:szCs w:val="20"/>
              </w:rPr>
            </w:pPr>
            <w:r w:rsidRPr="002D6400">
              <w:rPr>
                <w:b w:val="0"/>
                <w:bCs/>
                <w:sz w:val="20"/>
                <w:szCs w:val="20"/>
              </w:rPr>
              <w:t>Եվրագոտի</w:t>
            </w:r>
          </w:p>
        </w:tc>
        <w:tc>
          <w:tcPr>
            <w:tcW w:w="1984" w:type="dxa"/>
            <w:shd w:val="clear" w:color="auto" w:fill="auto"/>
            <w:hideMark/>
          </w:tcPr>
          <w:p w14:paraId="1FC5CD78" w14:textId="77777777" w:rsidR="005D1807" w:rsidRPr="002D6400" w:rsidRDefault="005D1807" w:rsidP="005D1807">
            <w:pPr>
              <w:rPr>
                <w:b w:val="0"/>
                <w:bCs/>
                <w:sz w:val="20"/>
                <w:szCs w:val="20"/>
              </w:rPr>
            </w:pPr>
            <w:r w:rsidRPr="002D6400">
              <w:rPr>
                <w:b w:val="0"/>
                <w:bCs/>
                <w:sz w:val="20"/>
                <w:szCs w:val="20"/>
              </w:rPr>
              <w:t>3.5</w:t>
            </w:r>
          </w:p>
        </w:tc>
        <w:tc>
          <w:tcPr>
            <w:tcW w:w="1134" w:type="dxa"/>
            <w:shd w:val="clear" w:color="auto" w:fill="auto"/>
            <w:hideMark/>
          </w:tcPr>
          <w:p w14:paraId="0268472B" w14:textId="77777777" w:rsidR="005D1807" w:rsidRPr="002D6400" w:rsidRDefault="005D1807" w:rsidP="005D1807">
            <w:pPr>
              <w:rPr>
                <w:b w:val="0"/>
                <w:bCs/>
                <w:sz w:val="20"/>
                <w:szCs w:val="20"/>
              </w:rPr>
            </w:pPr>
            <w:r w:rsidRPr="002D6400">
              <w:rPr>
                <w:b w:val="0"/>
                <w:bCs/>
                <w:sz w:val="20"/>
                <w:szCs w:val="20"/>
              </w:rPr>
              <w:t>0.7</w:t>
            </w:r>
          </w:p>
        </w:tc>
        <w:tc>
          <w:tcPr>
            <w:tcW w:w="850" w:type="dxa"/>
            <w:shd w:val="clear" w:color="auto" w:fill="auto"/>
            <w:hideMark/>
          </w:tcPr>
          <w:p w14:paraId="757EF68A" w14:textId="77777777" w:rsidR="005D1807" w:rsidRPr="002D6400" w:rsidRDefault="005D1807" w:rsidP="005D1807">
            <w:pPr>
              <w:rPr>
                <w:b w:val="0"/>
                <w:bCs/>
                <w:sz w:val="20"/>
                <w:szCs w:val="20"/>
              </w:rPr>
            </w:pPr>
            <w:r w:rsidRPr="002D6400">
              <w:rPr>
                <w:b w:val="0"/>
                <w:bCs/>
                <w:sz w:val="20"/>
                <w:szCs w:val="20"/>
              </w:rPr>
              <w:t>0.7</w:t>
            </w:r>
          </w:p>
        </w:tc>
        <w:tc>
          <w:tcPr>
            <w:tcW w:w="855" w:type="dxa"/>
            <w:shd w:val="clear" w:color="auto" w:fill="auto"/>
            <w:hideMark/>
          </w:tcPr>
          <w:p w14:paraId="22C4F5A3" w14:textId="77777777" w:rsidR="005D1807" w:rsidRPr="002D6400" w:rsidRDefault="005D1807" w:rsidP="005D1807">
            <w:pPr>
              <w:rPr>
                <w:b w:val="0"/>
                <w:bCs/>
                <w:sz w:val="20"/>
                <w:szCs w:val="20"/>
              </w:rPr>
            </w:pPr>
            <w:r w:rsidRPr="002D6400">
              <w:rPr>
                <w:b w:val="0"/>
                <w:bCs/>
                <w:sz w:val="20"/>
                <w:szCs w:val="20"/>
              </w:rPr>
              <w:t>0.9</w:t>
            </w:r>
          </w:p>
        </w:tc>
        <w:tc>
          <w:tcPr>
            <w:tcW w:w="1134" w:type="dxa"/>
            <w:shd w:val="clear" w:color="auto" w:fill="auto"/>
            <w:hideMark/>
          </w:tcPr>
          <w:p w14:paraId="79102F2D" w14:textId="77777777" w:rsidR="005D1807" w:rsidRPr="002D6400" w:rsidRDefault="005D1807" w:rsidP="005D1807">
            <w:pPr>
              <w:rPr>
                <w:b w:val="0"/>
                <w:bCs/>
                <w:sz w:val="20"/>
                <w:szCs w:val="20"/>
              </w:rPr>
            </w:pPr>
            <w:r w:rsidRPr="002D6400">
              <w:rPr>
                <w:b w:val="0"/>
                <w:bCs/>
                <w:sz w:val="20"/>
                <w:szCs w:val="20"/>
              </w:rPr>
              <w:t>1.6</w:t>
            </w:r>
          </w:p>
        </w:tc>
        <w:tc>
          <w:tcPr>
            <w:tcW w:w="850" w:type="dxa"/>
            <w:shd w:val="clear" w:color="auto" w:fill="auto"/>
            <w:hideMark/>
          </w:tcPr>
          <w:p w14:paraId="7CEEBDB1" w14:textId="77777777" w:rsidR="005D1807" w:rsidRPr="002D6400" w:rsidRDefault="005D1807" w:rsidP="005D1807">
            <w:pPr>
              <w:rPr>
                <w:b w:val="0"/>
                <w:bCs/>
                <w:sz w:val="20"/>
                <w:szCs w:val="20"/>
              </w:rPr>
            </w:pPr>
            <w:r w:rsidRPr="002D6400">
              <w:rPr>
                <w:b w:val="0"/>
                <w:bCs/>
                <w:sz w:val="20"/>
                <w:szCs w:val="20"/>
              </w:rPr>
              <w:t>1.4</w:t>
            </w:r>
          </w:p>
        </w:tc>
        <w:tc>
          <w:tcPr>
            <w:tcW w:w="965" w:type="dxa"/>
            <w:shd w:val="clear" w:color="auto" w:fill="auto"/>
            <w:hideMark/>
          </w:tcPr>
          <w:p w14:paraId="6DF02250" w14:textId="77777777" w:rsidR="005D1807" w:rsidRPr="002D6400" w:rsidRDefault="005D1807" w:rsidP="005D1807">
            <w:pPr>
              <w:rPr>
                <w:b w:val="0"/>
                <w:bCs/>
                <w:sz w:val="20"/>
                <w:szCs w:val="20"/>
              </w:rPr>
            </w:pPr>
            <w:r w:rsidRPr="002D6400">
              <w:rPr>
                <w:b w:val="0"/>
                <w:bCs/>
                <w:sz w:val="20"/>
                <w:szCs w:val="20"/>
              </w:rPr>
              <w:t>1.5</w:t>
            </w:r>
          </w:p>
        </w:tc>
      </w:tr>
      <w:tr w:rsidR="005D1807" w:rsidRPr="002D6400" w14:paraId="6E2DBD96" w14:textId="77777777" w:rsidTr="00D656FB">
        <w:trPr>
          <w:trHeight w:val="267"/>
        </w:trPr>
        <w:tc>
          <w:tcPr>
            <w:tcW w:w="1980" w:type="dxa"/>
            <w:shd w:val="clear" w:color="auto" w:fill="auto"/>
            <w:hideMark/>
          </w:tcPr>
          <w:p w14:paraId="2055295A" w14:textId="77777777" w:rsidR="005D1807" w:rsidRPr="002D6400" w:rsidRDefault="005D1807" w:rsidP="005D1807">
            <w:pPr>
              <w:rPr>
                <w:b w:val="0"/>
                <w:bCs/>
                <w:sz w:val="20"/>
                <w:szCs w:val="20"/>
              </w:rPr>
            </w:pPr>
            <w:r w:rsidRPr="002D6400">
              <w:rPr>
                <w:b w:val="0"/>
                <w:bCs/>
                <w:sz w:val="20"/>
                <w:szCs w:val="20"/>
              </w:rPr>
              <w:t>Չինաստան</w:t>
            </w:r>
          </w:p>
        </w:tc>
        <w:tc>
          <w:tcPr>
            <w:tcW w:w="1984" w:type="dxa"/>
            <w:shd w:val="clear" w:color="auto" w:fill="auto"/>
            <w:hideMark/>
          </w:tcPr>
          <w:p w14:paraId="7E201731" w14:textId="77777777" w:rsidR="005D1807" w:rsidRPr="002D6400" w:rsidRDefault="005D1807" w:rsidP="005D1807">
            <w:pPr>
              <w:rPr>
                <w:b w:val="0"/>
                <w:bCs/>
                <w:sz w:val="20"/>
                <w:szCs w:val="20"/>
              </w:rPr>
            </w:pPr>
            <w:r w:rsidRPr="002D6400">
              <w:rPr>
                <w:b w:val="0"/>
                <w:bCs/>
                <w:sz w:val="20"/>
                <w:szCs w:val="20"/>
              </w:rPr>
              <w:t>3.0</w:t>
            </w:r>
          </w:p>
        </w:tc>
        <w:tc>
          <w:tcPr>
            <w:tcW w:w="1134" w:type="dxa"/>
            <w:shd w:val="clear" w:color="auto" w:fill="auto"/>
            <w:hideMark/>
          </w:tcPr>
          <w:p w14:paraId="3026A72A" w14:textId="77777777" w:rsidR="005D1807" w:rsidRPr="002D6400" w:rsidRDefault="005D1807" w:rsidP="005D1807">
            <w:pPr>
              <w:rPr>
                <w:b w:val="0"/>
                <w:bCs/>
                <w:sz w:val="20"/>
                <w:szCs w:val="20"/>
              </w:rPr>
            </w:pPr>
            <w:r w:rsidRPr="002D6400">
              <w:rPr>
                <w:b w:val="0"/>
                <w:bCs/>
                <w:sz w:val="20"/>
                <w:szCs w:val="20"/>
              </w:rPr>
              <w:t>5.2</w:t>
            </w:r>
          </w:p>
        </w:tc>
        <w:tc>
          <w:tcPr>
            <w:tcW w:w="850" w:type="dxa"/>
            <w:shd w:val="clear" w:color="auto" w:fill="auto"/>
            <w:hideMark/>
          </w:tcPr>
          <w:p w14:paraId="55E7D38B" w14:textId="77777777" w:rsidR="005D1807" w:rsidRPr="002D6400" w:rsidRDefault="005D1807" w:rsidP="005D1807">
            <w:pPr>
              <w:rPr>
                <w:b w:val="0"/>
                <w:bCs/>
                <w:sz w:val="20"/>
                <w:szCs w:val="20"/>
              </w:rPr>
            </w:pPr>
            <w:r w:rsidRPr="002D6400">
              <w:rPr>
                <w:b w:val="0"/>
                <w:bCs/>
                <w:sz w:val="20"/>
                <w:szCs w:val="20"/>
              </w:rPr>
              <w:t>5.2</w:t>
            </w:r>
          </w:p>
        </w:tc>
        <w:tc>
          <w:tcPr>
            <w:tcW w:w="855" w:type="dxa"/>
            <w:shd w:val="clear" w:color="auto" w:fill="auto"/>
            <w:hideMark/>
          </w:tcPr>
          <w:p w14:paraId="39AB5ACE" w14:textId="77777777" w:rsidR="005D1807" w:rsidRPr="002D6400" w:rsidRDefault="005D1807" w:rsidP="005D1807">
            <w:pPr>
              <w:rPr>
                <w:b w:val="0"/>
                <w:bCs/>
                <w:sz w:val="20"/>
                <w:szCs w:val="20"/>
              </w:rPr>
            </w:pPr>
            <w:r w:rsidRPr="002D6400">
              <w:rPr>
                <w:b w:val="0"/>
                <w:bCs/>
                <w:sz w:val="20"/>
                <w:szCs w:val="20"/>
              </w:rPr>
              <w:t>5.2</w:t>
            </w:r>
          </w:p>
        </w:tc>
        <w:tc>
          <w:tcPr>
            <w:tcW w:w="1134" w:type="dxa"/>
            <w:shd w:val="clear" w:color="auto" w:fill="auto"/>
            <w:hideMark/>
          </w:tcPr>
          <w:p w14:paraId="7DC76C78" w14:textId="77777777" w:rsidR="005D1807" w:rsidRPr="002D6400" w:rsidRDefault="005D1807" w:rsidP="005D1807">
            <w:pPr>
              <w:rPr>
                <w:b w:val="0"/>
                <w:bCs/>
                <w:sz w:val="20"/>
                <w:szCs w:val="20"/>
              </w:rPr>
            </w:pPr>
            <w:r w:rsidRPr="002D6400">
              <w:rPr>
                <w:b w:val="0"/>
                <w:bCs/>
                <w:sz w:val="20"/>
                <w:szCs w:val="20"/>
              </w:rPr>
              <w:t>4.5</w:t>
            </w:r>
          </w:p>
        </w:tc>
        <w:tc>
          <w:tcPr>
            <w:tcW w:w="850" w:type="dxa"/>
            <w:shd w:val="clear" w:color="auto" w:fill="auto"/>
            <w:hideMark/>
          </w:tcPr>
          <w:p w14:paraId="66993D6A" w14:textId="77777777" w:rsidR="005D1807" w:rsidRPr="002D6400" w:rsidRDefault="005D1807" w:rsidP="005D1807">
            <w:pPr>
              <w:rPr>
                <w:b w:val="0"/>
                <w:bCs/>
                <w:sz w:val="20"/>
                <w:szCs w:val="20"/>
              </w:rPr>
            </w:pPr>
            <w:r w:rsidRPr="002D6400">
              <w:rPr>
                <w:b w:val="0"/>
                <w:bCs/>
                <w:sz w:val="20"/>
                <w:szCs w:val="20"/>
              </w:rPr>
              <w:t>4.5</w:t>
            </w:r>
          </w:p>
        </w:tc>
        <w:tc>
          <w:tcPr>
            <w:tcW w:w="965" w:type="dxa"/>
            <w:shd w:val="clear" w:color="auto" w:fill="auto"/>
            <w:hideMark/>
          </w:tcPr>
          <w:p w14:paraId="1FD5F53C" w14:textId="77777777" w:rsidR="005D1807" w:rsidRPr="002D6400" w:rsidRDefault="005D1807" w:rsidP="005D1807">
            <w:pPr>
              <w:rPr>
                <w:b w:val="0"/>
                <w:bCs/>
                <w:sz w:val="20"/>
                <w:szCs w:val="20"/>
              </w:rPr>
            </w:pPr>
            <w:r w:rsidRPr="002D6400">
              <w:rPr>
                <w:b w:val="0"/>
                <w:bCs/>
                <w:sz w:val="20"/>
                <w:szCs w:val="20"/>
              </w:rPr>
              <w:t>4.5</w:t>
            </w:r>
          </w:p>
        </w:tc>
      </w:tr>
      <w:tr w:rsidR="005D1807" w:rsidRPr="002D6400" w14:paraId="32ED16E1" w14:textId="77777777" w:rsidTr="00D656FB">
        <w:trPr>
          <w:trHeight w:val="234"/>
        </w:trPr>
        <w:tc>
          <w:tcPr>
            <w:tcW w:w="1980" w:type="dxa"/>
            <w:shd w:val="clear" w:color="auto" w:fill="auto"/>
            <w:hideMark/>
          </w:tcPr>
          <w:p w14:paraId="6BCF0592" w14:textId="77777777" w:rsidR="005D1807" w:rsidRPr="002D6400" w:rsidRDefault="005D1807" w:rsidP="005D1807">
            <w:pPr>
              <w:rPr>
                <w:b w:val="0"/>
                <w:bCs/>
                <w:sz w:val="20"/>
                <w:szCs w:val="20"/>
              </w:rPr>
            </w:pPr>
            <w:r w:rsidRPr="002D6400">
              <w:rPr>
                <w:b w:val="0"/>
                <w:bCs/>
                <w:sz w:val="20"/>
                <w:szCs w:val="20"/>
              </w:rPr>
              <w:t>ԱՄՆ</w:t>
            </w:r>
          </w:p>
        </w:tc>
        <w:tc>
          <w:tcPr>
            <w:tcW w:w="1984" w:type="dxa"/>
            <w:shd w:val="clear" w:color="auto" w:fill="auto"/>
            <w:hideMark/>
          </w:tcPr>
          <w:p w14:paraId="0015A967" w14:textId="77777777" w:rsidR="005D1807" w:rsidRPr="002D6400" w:rsidRDefault="005D1807" w:rsidP="005D1807">
            <w:pPr>
              <w:rPr>
                <w:b w:val="0"/>
                <w:bCs/>
                <w:sz w:val="20"/>
                <w:szCs w:val="20"/>
              </w:rPr>
            </w:pPr>
            <w:r w:rsidRPr="002D6400">
              <w:rPr>
                <w:b w:val="0"/>
                <w:bCs/>
                <w:sz w:val="20"/>
                <w:szCs w:val="20"/>
              </w:rPr>
              <w:t>2.1</w:t>
            </w:r>
          </w:p>
        </w:tc>
        <w:tc>
          <w:tcPr>
            <w:tcW w:w="1134" w:type="dxa"/>
            <w:shd w:val="clear" w:color="auto" w:fill="auto"/>
            <w:hideMark/>
          </w:tcPr>
          <w:p w14:paraId="5A109588" w14:textId="77777777" w:rsidR="005D1807" w:rsidRPr="002D6400" w:rsidRDefault="005D1807" w:rsidP="005D1807">
            <w:pPr>
              <w:rPr>
                <w:b w:val="0"/>
                <w:bCs/>
                <w:sz w:val="20"/>
                <w:szCs w:val="20"/>
              </w:rPr>
            </w:pPr>
            <w:r w:rsidRPr="002D6400">
              <w:rPr>
                <w:b w:val="0"/>
                <w:bCs/>
                <w:sz w:val="20"/>
                <w:szCs w:val="20"/>
              </w:rPr>
              <w:t>1.4</w:t>
            </w:r>
          </w:p>
        </w:tc>
        <w:tc>
          <w:tcPr>
            <w:tcW w:w="850" w:type="dxa"/>
            <w:shd w:val="clear" w:color="auto" w:fill="auto"/>
            <w:hideMark/>
          </w:tcPr>
          <w:p w14:paraId="49455654" w14:textId="77777777" w:rsidR="005D1807" w:rsidRPr="002D6400" w:rsidRDefault="005D1807" w:rsidP="005D1807">
            <w:pPr>
              <w:rPr>
                <w:b w:val="0"/>
                <w:bCs/>
                <w:sz w:val="20"/>
                <w:szCs w:val="20"/>
              </w:rPr>
            </w:pPr>
            <w:r w:rsidRPr="002D6400">
              <w:rPr>
                <w:b w:val="0"/>
                <w:bCs/>
                <w:sz w:val="20"/>
                <w:szCs w:val="20"/>
              </w:rPr>
              <w:t>1.6</w:t>
            </w:r>
          </w:p>
        </w:tc>
        <w:tc>
          <w:tcPr>
            <w:tcW w:w="855" w:type="dxa"/>
            <w:shd w:val="clear" w:color="auto" w:fill="auto"/>
            <w:hideMark/>
          </w:tcPr>
          <w:p w14:paraId="040DA66B" w14:textId="77777777" w:rsidR="005D1807" w:rsidRPr="002D6400" w:rsidRDefault="005D1807" w:rsidP="005D1807">
            <w:pPr>
              <w:rPr>
                <w:b w:val="0"/>
                <w:bCs/>
                <w:sz w:val="20"/>
                <w:szCs w:val="20"/>
              </w:rPr>
            </w:pPr>
            <w:r w:rsidRPr="002D6400">
              <w:rPr>
                <w:b w:val="0"/>
                <w:bCs/>
                <w:sz w:val="20"/>
                <w:szCs w:val="20"/>
              </w:rPr>
              <w:t>1.8</w:t>
            </w:r>
          </w:p>
        </w:tc>
        <w:tc>
          <w:tcPr>
            <w:tcW w:w="1134" w:type="dxa"/>
            <w:shd w:val="clear" w:color="auto" w:fill="auto"/>
            <w:hideMark/>
          </w:tcPr>
          <w:p w14:paraId="1AB5F871" w14:textId="77777777" w:rsidR="005D1807" w:rsidRPr="002D6400" w:rsidRDefault="005D1807" w:rsidP="005D1807">
            <w:pPr>
              <w:rPr>
                <w:b w:val="0"/>
                <w:bCs/>
                <w:sz w:val="20"/>
                <w:szCs w:val="20"/>
              </w:rPr>
            </w:pPr>
            <w:r w:rsidRPr="002D6400">
              <w:rPr>
                <w:b w:val="0"/>
                <w:bCs/>
                <w:sz w:val="20"/>
                <w:szCs w:val="20"/>
              </w:rPr>
              <w:t>1.0</w:t>
            </w:r>
          </w:p>
        </w:tc>
        <w:tc>
          <w:tcPr>
            <w:tcW w:w="850" w:type="dxa"/>
            <w:shd w:val="clear" w:color="auto" w:fill="auto"/>
            <w:hideMark/>
          </w:tcPr>
          <w:p w14:paraId="5208C8E9" w14:textId="77777777" w:rsidR="005D1807" w:rsidRPr="002D6400" w:rsidRDefault="005D1807" w:rsidP="005D1807">
            <w:pPr>
              <w:rPr>
                <w:b w:val="0"/>
                <w:bCs/>
                <w:sz w:val="20"/>
                <w:szCs w:val="20"/>
              </w:rPr>
            </w:pPr>
            <w:r w:rsidRPr="002D6400">
              <w:rPr>
                <w:b w:val="0"/>
                <w:bCs/>
                <w:sz w:val="20"/>
                <w:szCs w:val="20"/>
              </w:rPr>
              <w:t>1.1</w:t>
            </w:r>
          </w:p>
        </w:tc>
        <w:tc>
          <w:tcPr>
            <w:tcW w:w="965" w:type="dxa"/>
            <w:shd w:val="clear" w:color="auto" w:fill="auto"/>
            <w:hideMark/>
          </w:tcPr>
          <w:p w14:paraId="361085E3" w14:textId="77777777" w:rsidR="005D1807" w:rsidRPr="002D6400" w:rsidRDefault="005D1807" w:rsidP="005D1807">
            <w:pPr>
              <w:rPr>
                <w:b w:val="0"/>
                <w:bCs/>
                <w:sz w:val="20"/>
                <w:szCs w:val="20"/>
              </w:rPr>
            </w:pPr>
            <w:r w:rsidRPr="002D6400">
              <w:rPr>
                <w:b w:val="0"/>
                <w:bCs/>
                <w:sz w:val="20"/>
                <w:szCs w:val="20"/>
              </w:rPr>
              <w:t>1.0</w:t>
            </w:r>
          </w:p>
        </w:tc>
      </w:tr>
      <w:tr w:rsidR="005D1807" w:rsidRPr="002D6400" w14:paraId="053EC4AC" w14:textId="77777777" w:rsidTr="00D656FB">
        <w:trPr>
          <w:trHeight w:val="14"/>
        </w:trPr>
        <w:tc>
          <w:tcPr>
            <w:tcW w:w="1980" w:type="dxa"/>
            <w:shd w:val="clear" w:color="auto" w:fill="auto"/>
            <w:hideMark/>
          </w:tcPr>
          <w:p w14:paraId="4C937F2B" w14:textId="77777777" w:rsidR="005D1807" w:rsidRPr="002D6400" w:rsidRDefault="005D1807" w:rsidP="005D1807">
            <w:pPr>
              <w:rPr>
                <w:b w:val="0"/>
                <w:bCs/>
                <w:sz w:val="20"/>
                <w:szCs w:val="20"/>
              </w:rPr>
            </w:pPr>
            <w:r w:rsidRPr="002D6400">
              <w:rPr>
                <w:b w:val="0"/>
                <w:bCs/>
                <w:sz w:val="20"/>
                <w:szCs w:val="20"/>
              </w:rPr>
              <w:t>Համաշխարհային առևտրի աճ, %</w:t>
            </w:r>
          </w:p>
        </w:tc>
        <w:tc>
          <w:tcPr>
            <w:tcW w:w="1984" w:type="dxa"/>
            <w:shd w:val="clear" w:color="auto" w:fill="auto"/>
            <w:vAlign w:val="center"/>
            <w:hideMark/>
          </w:tcPr>
          <w:p w14:paraId="51826EC2" w14:textId="77777777" w:rsidR="005D1807" w:rsidRPr="002D6400" w:rsidRDefault="005D1807" w:rsidP="005D1807">
            <w:pPr>
              <w:rPr>
                <w:b w:val="0"/>
                <w:bCs/>
                <w:sz w:val="20"/>
                <w:szCs w:val="20"/>
              </w:rPr>
            </w:pPr>
            <w:r w:rsidRPr="002D6400">
              <w:rPr>
                <w:b w:val="0"/>
                <w:bCs/>
                <w:sz w:val="20"/>
                <w:szCs w:val="20"/>
              </w:rPr>
              <w:t>5.2</w:t>
            </w:r>
          </w:p>
        </w:tc>
        <w:tc>
          <w:tcPr>
            <w:tcW w:w="1134" w:type="dxa"/>
            <w:shd w:val="clear" w:color="auto" w:fill="auto"/>
            <w:vAlign w:val="center"/>
            <w:hideMark/>
          </w:tcPr>
          <w:p w14:paraId="13DFF606" w14:textId="77777777" w:rsidR="005D1807" w:rsidRPr="002D6400" w:rsidRDefault="005D1807" w:rsidP="005D1807">
            <w:pPr>
              <w:rPr>
                <w:b w:val="0"/>
                <w:bCs/>
                <w:sz w:val="20"/>
                <w:szCs w:val="20"/>
              </w:rPr>
            </w:pPr>
            <w:r w:rsidRPr="002D6400">
              <w:rPr>
                <w:b w:val="0"/>
                <w:bCs/>
                <w:sz w:val="20"/>
                <w:szCs w:val="20"/>
              </w:rPr>
              <w:t>2.4</w:t>
            </w:r>
          </w:p>
        </w:tc>
        <w:tc>
          <w:tcPr>
            <w:tcW w:w="850" w:type="dxa"/>
            <w:shd w:val="clear" w:color="auto" w:fill="auto"/>
            <w:vAlign w:val="center"/>
            <w:hideMark/>
          </w:tcPr>
          <w:p w14:paraId="11EE0D17" w14:textId="77777777" w:rsidR="005D1807" w:rsidRPr="002D6400" w:rsidRDefault="005D1807" w:rsidP="005D1807">
            <w:pPr>
              <w:rPr>
                <w:b w:val="0"/>
                <w:bCs/>
                <w:sz w:val="20"/>
                <w:szCs w:val="20"/>
              </w:rPr>
            </w:pPr>
            <w:r w:rsidRPr="002D6400">
              <w:rPr>
                <w:b w:val="0"/>
                <w:bCs/>
                <w:sz w:val="20"/>
                <w:szCs w:val="20"/>
              </w:rPr>
              <w:t>2.4</w:t>
            </w:r>
          </w:p>
        </w:tc>
        <w:tc>
          <w:tcPr>
            <w:tcW w:w="855" w:type="dxa"/>
            <w:shd w:val="clear" w:color="auto" w:fill="auto"/>
            <w:vAlign w:val="center"/>
            <w:hideMark/>
          </w:tcPr>
          <w:p w14:paraId="7478D4B7" w14:textId="77777777" w:rsidR="005D1807" w:rsidRPr="002D6400" w:rsidRDefault="005D1807" w:rsidP="005D1807">
            <w:pPr>
              <w:rPr>
                <w:b w:val="0"/>
                <w:bCs/>
                <w:sz w:val="20"/>
                <w:szCs w:val="20"/>
              </w:rPr>
            </w:pPr>
            <w:r w:rsidRPr="002D6400">
              <w:rPr>
                <w:b w:val="0"/>
                <w:bCs/>
                <w:sz w:val="20"/>
                <w:szCs w:val="20"/>
              </w:rPr>
              <w:t>2.0</w:t>
            </w:r>
          </w:p>
        </w:tc>
        <w:tc>
          <w:tcPr>
            <w:tcW w:w="1134" w:type="dxa"/>
            <w:shd w:val="clear" w:color="auto" w:fill="auto"/>
            <w:vAlign w:val="center"/>
            <w:hideMark/>
          </w:tcPr>
          <w:p w14:paraId="5A855482" w14:textId="77777777" w:rsidR="005D1807" w:rsidRPr="002D6400" w:rsidRDefault="005D1807" w:rsidP="005D1807">
            <w:pPr>
              <w:rPr>
                <w:b w:val="0"/>
                <w:bCs/>
                <w:sz w:val="20"/>
                <w:szCs w:val="20"/>
              </w:rPr>
            </w:pPr>
            <w:r w:rsidRPr="002D6400">
              <w:rPr>
                <w:b w:val="0"/>
                <w:bCs/>
                <w:sz w:val="20"/>
                <w:szCs w:val="20"/>
              </w:rPr>
              <w:t>3.4</w:t>
            </w:r>
          </w:p>
        </w:tc>
        <w:tc>
          <w:tcPr>
            <w:tcW w:w="850" w:type="dxa"/>
            <w:shd w:val="clear" w:color="auto" w:fill="auto"/>
            <w:vAlign w:val="center"/>
            <w:hideMark/>
          </w:tcPr>
          <w:p w14:paraId="4807EBF3" w14:textId="77777777" w:rsidR="005D1807" w:rsidRPr="002D6400" w:rsidRDefault="005D1807" w:rsidP="005D1807">
            <w:pPr>
              <w:rPr>
                <w:b w:val="0"/>
                <w:bCs/>
                <w:sz w:val="20"/>
                <w:szCs w:val="20"/>
              </w:rPr>
            </w:pPr>
            <w:r w:rsidRPr="002D6400">
              <w:rPr>
                <w:b w:val="0"/>
                <w:bCs/>
                <w:sz w:val="20"/>
                <w:szCs w:val="20"/>
              </w:rPr>
              <w:t>3.5</w:t>
            </w:r>
          </w:p>
        </w:tc>
        <w:tc>
          <w:tcPr>
            <w:tcW w:w="965" w:type="dxa"/>
            <w:shd w:val="clear" w:color="auto" w:fill="auto"/>
            <w:vAlign w:val="center"/>
            <w:hideMark/>
          </w:tcPr>
          <w:p w14:paraId="72F39241" w14:textId="77777777" w:rsidR="005D1807" w:rsidRPr="002D6400" w:rsidRDefault="005D1807" w:rsidP="005D1807">
            <w:pPr>
              <w:rPr>
                <w:b w:val="0"/>
                <w:bCs/>
                <w:sz w:val="20"/>
                <w:szCs w:val="20"/>
              </w:rPr>
            </w:pPr>
            <w:r w:rsidRPr="002D6400">
              <w:rPr>
                <w:b w:val="0"/>
                <w:bCs/>
                <w:sz w:val="20"/>
                <w:szCs w:val="20"/>
              </w:rPr>
              <w:t>3.7</w:t>
            </w:r>
          </w:p>
        </w:tc>
      </w:tr>
    </w:tbl>
    <w:p w14:paraId="540BB41A" w14:textId="77777777" w:rsidR="005D1807" w:rsidRPr="002D6400" w:rsidRDefault="005D1807" w:rsidP="005D1807">
      <w:pPr>
        <w:rPr>
          <w:b w:val="0"/>
          <w:bCs/>
          <w:sz w:val="20"/>
          <w:szCs w:val="20"/>
          <w:lang w:val="en-US"/>
        </w:rPr>
      </w:pPr>
      <w:r w:rsidRPr="002D6400">
        <w:rPr>
          <w:b w:val="0"/>
          <w:bCs/>
          <w:sz w:val="20"/>
          <w:szCs w:val="20"/>
        </w:rPr>
        <w:t>Աղբյուրը</w:t>
      </w:r>
      <w:r w:rsidRPr="002D6400">
        <w:rPr>
          <w:b w:val="0"/>
          <w:bCs/>
          <w:sz w:val="20"/>
          <w:szCs w:val="20"/>
          <w:lang w:val="en-US"/>
        </w:rPr>
        <w:t xml:space="preserve">` </w:t>
      </w:r>
      <w:r w:rsidRPr="002D6400">
        <w:rPr>
          <w:b w:val="0"/>
          <w:bCs/>
          <w:sz w:val="20"/>
          <w:szCs w:val="20"/>
        </w:rPr>
        <w:t>ԱՄՀ</w:t>
      </w:r>
      <w:r w:rsidRPr="002D6400">
        <w:rPr>
          <w:b w:val="0"/>
          <w:bCs/>
          <w:sz w:val="20"/>
          <w:szCs w:val="20"/>
          <w:lang w:val="en-US"/>
        </w:rPr>
        <w:t xml:space="preserve"> «World Economic Outlook»</w:t>
      </w:r>
    </w:p>
    <w:p w14:paraId="60093D6F" w14:textId="77777777" w:rsidR="005D1807" w:rsidRPr="005D1807" w:rsidRDefault="005D1807" w:rsidP="005D1807">
      <w:pPr>
        <w:rPr>
          <w:b w:val="0"/>
          <w:bCs/>
          <w:lang w:val="en-US"/>
        </w:rPr>
      </w:pPr>
      <w:r w:rsidRPr="002D6400">
        <w:t>Ռուս</w:t>
      </w:r>
      <w:r w:rsidRPr="002D6400">
        <w:rPr>
          <w:lang w:val="en-US"/>
        </w:rPr>
        <w:t>-</w:t>
      </w:r>
      <w:r w:rsidRPr="002D6400">
        <w:t>ուկրաինական</w:t>
      </w:r>
      <w:r w:rsidRPr="002D6400">
        <w:rPr>
          <w:lang w:val="en-US"/>
        </w:rPr>
        <w:t xml:space="preserve"> </w:t>
      </w:r>
      <w:r w:rsidRPr="002D6400">
        <w:t>հակամարտության</w:t>
      </w:r>
      <w:r w:rsidRPr="002D6400">
        <w:rPr>
          <w:lang w:val="en-US"/>
        </w:rPr>
        <w:t xml:space="preserve"> </w:t>
      </w:r>
      <w:r w:rsidRPr="002D6400">
        <w:t>պայմաններում</w:t>
      </w:r>
      <w:r w:rsidRPr="002D6400">
        <w:rPr>
          <w:lang w:val="en-US"/>
        </w:rPr>
        <w:t xml:space="preserve"> 2022</w:t>
      </w:r>
      <w:r w:rsidRPr="002D6400">
        <w:t>թ</w:t>
      </w:r>
      <w:r w:rsidRPr="002D6400">
        <w:rPr>
          <w:lang w:val="en-US"/>
        </w:rPr>
        <w:t xml:space="preserve">․ </w:t>
      </w:r>
      <w:r w:rsidRPr="002D6400">
        <w:t>մարտ</w:t>
      </w:r>
      <w:r w:rsidRPr="002D6400">
        <w:rPr>
          <w:lang w:val="en-US"/>
        </w:rPr>
        <w:t xml:space="preserve"> </w:t>
      </w:r>
      <w:r w:rsidRPr="002D6400">
        <w:t>ամսից</w:t>
      </w:r>
      <w:r w:rsidRPr="002D6400">
        <w:rPr>
          <w:lang w:val="en-US"/>
        </w:rPr>
        <w:t xml:space="preserve"> </w:t>
      </w:r>
      <w:r w:rsidRPr="002D6400">
        <w:t>արագացող</w:t>
      </w:r>
      <w:r w:rsidRPr="002D6400">
        <w:rPr>
          <w:lang w:val="en-US"/>
        </w:rPr>
        <w:t xml:space="preserve"> </w:t>
      </w:r>
      <w:r w:rsidRPr="002D6400">
        <w:t>գնաճը</w:t>
      </w:r>
      <w:r w:rsidRPr="002D6400">
        <w:rPr>
          <w:lang w:val="en-US"/>
        </w:rPr>
        <w:t xml:space="preserve"> </w:t>
      </w:r>
      <w:r w:rsidRPr="002D6400">
        <w:t>զսպելու</w:t>
      </w:r>
      <w:r w:rsidRPr="002D6400">
        <w:rPr>
          <w:lang w:val="en-US"/>
        </w:rPr>
        <w:t xml:space="preserve"> </w:t>
      </w:r>
      <w:r w:rsidRPr="002D6400">
        <w:t>նպատակով</w:t>
      </w:r>
      <w:r w:rsidRPr="002D6400">
        <w:rPr>
          <w:lang w:val="en-US"/>
        </w:rPr>
        <w:t xml:space="preserve"> </w:t>
      </w:r>
      <w:r w:rsidRPr="002D6400">
        <w:t>գործընկեր</w:t>
      </w:r>
      <w:r w:rsidRPr="002D6400">
        <w:rPr>
          <w:lang w:val="en-US"/>
        </w:rPr>
        <w:t xml:space="preserve"> </w:t>
      </w:r>
      <w:r w:rsidRPr="002D6400">
        <w:t>երկրների</w:t>
      </w:r>
      <w:r w:rsidRPr="002D6400">
        <w:rPr>
          <w:lang w:val="en-US"/>
        </w:rPr>
        <w:t xml:space="preserve"> </w:t>
      </w:r>
      <w:r w:rsidRPr="002D6400">
        <w:t>կենտրոնական</w:t>
      </w:r>
      <w:r w:rsidRPr="002D6400">
        <w:rPr>
          <w:lang w:val="en-US"/>
        </w:rPr>
        <w:t xml:space="preserve"> </w:t>
      </w:r>
      <w:r w:rsidRPr="002D6400">
        <w:t>բանկերի</w:t>
      </w:r>
      <w:r w:rsidRPr="002D6400">
        <w:rPr>
          <w:lang w:val="en-US"/>
        </w:rPr>
        <w:t xml:space="preserve"> </w:t>
      </w:r>
      <w:r w:rsidRPr="002D6400">
        <w:t>կողմից</w:t>
      </w:r>
      <w:r w:rsidRPr="002D6400">
        <w:rPr>
          <w:lang w:val="en-US"/>
        </w:rPr>
        <w:t xml:space="preserve"> </w:t>
      </w:r>
      <w:r w:rsidRPr="002D6400">
        <w:t>շարունակվում</w:t>
      </w:r>
      <w:r w:rsidRPr="002D6400">
        <w:rPr>
          <w:lang w:val="en-US"/>
        </w:rPr>
        <w:t xml:space="preserve"> </w:t>
      </w:r>
      <w:r w:rsidRPr="002D6400">
        <w:t>է</w:t>
      </w:r>
      <w:r w:rsidRPr="002D6400">
        <w:rPr>
          <w:lang w:val="en-US"/>
        </w:rPr>
        <w:t xml:space="preserve"> </w:t>
      </w:r>
      <w:r w:rsidRPr="002D6400">
        <w:t>իրականացվել</w:t>
      </w:r>
      <w:r w:rsidRPr="002D6400">
        <w:rPr>
          <w:lang w:val="en-US"/>
        </w:rPr>
        <w:t xml:space="preserve"> </w:t>
      </w:r>
      <w:r w:rsidRPr="002D6400">
        <w:t>զսպող</w:t>
      </w:r>
      <w:r w:rsidRPr="002D6400">
        <w:rPr>
          <w:lang w:val="en-US"/>
        </w:rPr>
        <w:t xml:space="preserve"> </w:t>
      </w:r>
      <w:r w:rsidRPr="002D6400">
        <w:t>քաղաքականություն</w:t>
      </w:r>
      <w:r w:rsidRPr="002D6400">
        <w:rPr>
          <w:lang w:val="en-US"/>
        </w:rPr>
        <w:t>:</w:t>
      </w:r>
      <w:r w:rsidRPr="005D1807">
        <w:rPr>
          <w:b w:val="0"/>
          <w:bCs/>
          <w:lang w:val="en-US"/>
        </w:rPr>
        <w:t xml:space="preserve"> </w:t>
      </w:r>
      <w:r w:rsidRPr="005D1807">
        <w:rPr>
          <w:b w:val="0"/>
          <w:bCs/>
        </w:rPr>
        <w:t>Ընդ</w:t>
      </w:r>
      <w:r w:rsidRPr="005D1807">
        <w:rPr>
          <w:b w:val="0"/>
          <w:bCs/>
          <w:lang w:val="en-US"/>
        </w:rPr>
        <w:t xml:space="preserve"> </w:t>
      </w:r>
      <w:r w:rsidRPr="005D1807">
        <w:rPr>
          <w:b w:val="0"/>
          <w:bCs/>
        </w:rPr>
        <w:t>որում</w:t>
      </w:r>
      <w:r w:rsidRPr="005D1807">
        <w:rPr>
          <w:b w:val="0"/>
          <w:bCs/>
          <w:lang w:val="en-US"/>
        </w:rPr>
        <w:t xml:space="preserve">, </w:t>
      </w:r>
      <w:r w:rsidRPr="005D1807">
        <w:rPr>
          <w:b w:val="0"/>
          <w:bCs/>
        </w:rPr>
        <w:t>ԱՄՆ</w:t>
      </w:r>
      <w:r w:rsidRPr="005D1807">
        <w:rPr>
          <w:b w:val="0"/>
          <w:bCs/>
          <w:lang w:val="en-US"/>
        </w:rPr>
        <w:t>-</w:t>
      </w:r>
      <w:r w:rsidRPr="005D1807">
        <w:rPr>
          <w:b w:val="0"/>
          <w:bCs/>
        </w:rPr>
        <w:t>ում</w:t>
      </w:r>
      <w:r w:rsidRPr="005D1807">
        <w:rPr>
          <w:b w:val="0"/>
          <w:bCs/>
          <w:lang w:val="en-US"/>
        </w:rPr>
        <w:t xml:space="preserve"> </w:t>
      </w:r>
      <w:r w:rsidRPr="005D1807">
        <w:rPr>
          <w:b w:val="0"/>
          <w:bCs/>
        </w:rPr>
        <w:t>և</w:t>
      </w:r>
      <w:r w:rsidRPr="005D1807">
        <w:rPr>
          <w:b w:val="0"/>
          <w:bCs/>
          <w:lang w:val="en-US"/>
        </w:rPr>
        <w:t xml:space="preserve"> </w:t>
      </w:r>
      <w:r w:rsidRPr="005D1807">
        <w:rPr>
          <w:b w:val="0"/>
          <w:bCs/>
        </w:rPr>
        <w:t>ԵԳ</w:t>
      </w:r>
      <w:r w:rsidRPr="005D1807">
        <w:rPr>
          <w:b w:val="0"/>
          <w:bCs/>
          <w:lang w:val="en-US"/>
        </w:rPr>
        <w:t>-</w:t>
      </w:r>
      <w:r w:rsidRPr="005D1807">
        <w:rPr>
          <w:b w:val="0"/>
          <w:bCs/>
        </w:rPr>
        <w:t>ում</w:t>
      </w:r>
      <w:r w:rsidRPr="005D1807">
        <w:rPr>
          <w:b w:val="0"/>
          <w:bCs/>
          <w:lang w:val="en-US"/>
        </w:rPr>
        <w:t xml:space="preserve"> </w:t>
      </w:r>
      <w:r w:rsidRPr="005D1807">
        <w:rPr>
          <w:b w:val="0"/>
          <w:bCs/>
        </w:rPr>
        <w:t>գնաճը</w:t>
      </w:r>
      <w:r w:rsidRPr="005D1807">
        <w:rPr>
          <w:b w:val="0"/>
          <w:bCs/>
          <w:lang w:val="en-US"/>
        </w:rPr>
        <w:t xml:space="preserve"> </w:t>
      </w:r>
      <w:r w:rsidRPr="005D1807">
        <w:rPr>
          <w:b w:val="0"/>
          <w:bCs/>
        </w:rPr>
        <w:t>շարունակում</w:t>
      </w:r>
      <w:r w:rsidRPr="005D1807">
        <w:rPr>
          <w:b w:val="0"/>
          <w:bCs/>
          <w:lang w:val="en-US"/>
        </w:rPr>
        <w:t xml:space="preserve"> </w:t>
      </w:r>
      <w:r w:rsidRPr="005D1807">
        <w:rPr>
          <w:b w:val="0"/>
          <w:bCs/>
        </w:rPr>
        <w:t>է</w:t>
      </w:r>
      <w:r w:rsidRPr="005D1807">
        <w:rPr>
          <w:b w:val="0"/>
          <w:bCs/>
          <w:lang w:val="en-US"/>
        </w:rPr>
        <w:t xml:space="preserve"> </w:t>
      </w:r>
      <w:r w:rsidRPr="005D1807">
        <w:rPr>
          <w:b w:val="0"/>
          <w:bCs/>
        </w:rPr>
        <w:t>բարձր</w:t>
      </w:r>
      <w:r w:rsidRPr="005D1807">
        <w:rPr>
          <w:b w:val="0"/>
          <w:bCs/>
          <w:lang w:val="en-US"/>
        </w:rPr>
        <w:t xml:space="preserve"> </w:t>
      </w:r>
      <w:r w:rsidRPr="005D1807">
        <w:rPr>
          <w:b w:val="0"/>
          <w:bCs/>
        </w:rPr>
        <w:t>մնալ</w:t>
      </w:r>
      <w:r w:rsidRPr="005D1807">
        <w:rPr>
          <w:b w:val="0"/>
          <w:bCs/>
          <w:lang w:val="en-US"/>
        </w:rPr>
        <w:t xml:space="preserve"> </w:t>
      </w:r>
      <w:r w:rsidRPr="005D1807">
        <w:rPr>
          <w:b w:val="0"/>
          <w:bCs/>
        </w:rPr>
        <w:t>սահմանված</w:t>
      </w:r>
      <w:r w:rsidRPr="005D1807">
        <w:rPr>
          <w:b w:val="0"/>
          <w:bCs/>
          <w:lang w:val="en-US"/>
        </w:rPr>
        <w:t xml:space="preserve"> </w:t>
      </w:r>
      <w:r w:rsidRPr="005D1807">
        <w:rPr>
          <w:b w:val="0"/>
          <w:bCs/>
        </w:rPr>
        <w:t>թիրախներից</w:t>
      </w:r>
      <w:r w:rsidRPr="005D1807">
        <w:rPr>
          <w:b w:val="0"/>
          <w:bCs/>
          <w:lang w:val="en-US"/>
        </w:rPr>
        <w:t xml:space="preserve">, </w:t>
      </w:r>
      <w:r w:rsidRPr="005D1807">
        <w:rPr>
          <w:b w:val="0"/>
          <w:bCs/>
        </w:rPr>
        <w:t>Չինաստանում</w:t>
      </w:r>
      <w:r w:rsidRPr="005D1807">
        <w:rPr>
          <w:b w:val="0"/>
          <w:bCs/>
          <w:lang w:val="en-US"/>
        </w:rPr>
        <w:t xml:space="preserve"> </w:t>
      </w:r>
      <w:r w:rsidRPr="005D1807">
        <w:rPr>
          <w:b w:val="0"/>
          <w:bCs/>
        </w:rPr>
        <w:t>գտնվում</w:t>
      </w:r>
      <w:r w:rsidRPr="005D1807">
        <w:rPr>
          <w:b w:val="0"/>
          <w:bCs/>
          <w:lang w:val="en-US"/>
        </w:rPr>
        <w:t xml:space="preserve"> </w:t>
      </w:r>
      <w:r w:rsidRPr="005D1807">
        <w:rPr>
          <w:b w:val="0"/>
          <w:bCs/>
        </w:rPr>
        <w:t>է</w:t>
      </w:r>
      <w:r w:rsidRPr="005D1807">
        <w:rPr>
          <w:b w:val="0"/>
          <w:bCs/>
          <w:lang w:val="en-US"/>
        </w:rPr>
        <w:t xml:space="preserve"> </w:t>
      </w:r>
      <w:r w:rsidRPr="005D1807">
        <w:rPr>
          <w:b w:val="0"/>
          <w:bCs/>
        </w:rPr>
        <w:t>թիրախային</w:t>
      </w:r>
      <w:r w:rsidRPr="005D1807">
        <w:rPr>
          <w:b w:val="0"/>
          <w:bCs/>
          <w:lang w:val="en-US"/>
        </w:rPr>
        <w:t xml:space="preserve"> </w:t>
      </w:r>
      <w:r w:rsidRPr="005D1807">
        <w:rPr>
          <w:b w:val="0"/>
          <w:bCs/>
        </w:rPr>
        <w:t>մակարդակից</w:t>
      </w:r>
      <w:r w:rsidRPr="005D1807">
        <w:rPr>
          <w:b w:val="0"/>
          <w:bCs/>
          <w:lang w:val="en-US"/>
        </w:rPr>
        <w:t xml:space="preserve"> </w:t>
      </w:r>
      <w:r w:rsidRPr="005D1807">
        <w:rPr>
          <w:b w:val="0"/>
          <w:bCs/>
        </w:rPr>
        <w:t>ներքև</w:t>
      </w:r>
      <w:r w:rsidRPr="005D1807">
        <w:rPr>
          <w:b w:val="0"/>
          <w:bCs/>
          <w:lang w:val="en-US"/>
        </w:rPr>
        <w:t xml:space="preserve">, </w:t>
      </w:r>
      <w:r w:rsidRPr="005D1807">
        <w:rPr>
          <w:b w:val="0"/>
          <w:bCs/>
        </w:rPr>
        <w:t>իսկ</w:t>
      </w:r>
      <w:r w:rsidRPr="005D1807">
        <w:rPr>
          <w:b w:val="0"/>
          <w:bCs/>
          <w:lang w:val="en-US"/>
        </w:rPr>
        <w:t xml:space="preserve"> </w:t>
      </w:r>
      <w:r w:rsidRPr="005D1807">
        <w:rPr>
          <w:b w:val="0"/>
          <w:bCs/>
        </w:rPr>
        <w:t>ՌԴ</w:t>
      </w:r>
      <w:r w:rsidRPr="005D1807">
        <w:rPr>
          <w:b w:val="0"/>
          <w:bCs/>
          <w:lang w:val="en-US"/>
        </w:rPr>
        <w:t>-</w:t>
      </w:r>
      <w:r w:rsidRPr="005D1807">
        <w:rPr>
          <w:b w:val="0"/>
          <w:bCs/>
        </w:rPr>
        <w:t>ում</w:t>
      </w:r>
      <w:r w:rsidRPr="005D1807">
        <w:rPr>
          <w:b w:val="0"/>
          <w:bCs/>
          <w:lang w:val="en-US"/>
        </w:rPr>
        <w:t xml:space="preserve"> </w:t>
      </w:r>
      <w:r w:rsidRPr="005D1807">
        <w:rPr>
          <w:b w:val="0"/>
          <w:bCs/>
        </w:rPr>
        <w:t>կազմել</w:t>
      </w:r>
      <w:r w:rsidRPr="005D1807">
        <w:rPr>
          <w:b w:val="0"/>
          <w:bCs/>
          <w:lang w:val="en-US"/>
        </w:rPr>
        <w:t xml:space="preserve"> </w:t>
      </w:r>
      <w:r w:rsidRPr="005D1807">
        <w:rPr>
          <w:b w:val="0"/>
          <w:bCs/>
        </w:rPr>
        <w:t>է</w:t>
      </w:r>
      <w:r w:rsidRPr="005D1807">
        <w:rPr>
          <w:b w:val="0"/>
          <w:bCs/>
          <w:lang w:val="en-US"/>
        </w:rPr>
        <w:t xml:space="preserve"> 4.3%</w:t>
      </w:r>
      <w:r w:rsidRPr="005D1807">
        <w:rPr>
          <w:b w:val="0"/>
          <w:bCs/>
        </w:rPr>
        <w:t>՝</w:t>
      </w:r>
      <w:r w:rsidRPr="005D1807">
        <w:rPr>
          <w:b w:val="0"/>
          <w:bCs/>
          <w:lang w:val="en-US"/>
        </w:rPr>
        <w:t xml:space="preserve"> </w:t>
      </w:r>
      <w:r w:rsidRPr="005D1807">
        <w:rPr>
          <w:b w:val="0"/>
          <w:bCs/>
        </w:rPr>
        <w:t>համապատասխանելով</w:t>
      </w:r>
      <w:r w:rsidRPr="005D1807">
        <w:rPr>
          <w:b w:val="0"/>
          <w:bCs/>
          <w:lang w:val="en-US"/>
        </w:rPr>
        <w:t xml:space="preserve"> </w:t>
      </w:r>
      <w:r w:rsidRPr="005D1807">
        <w:rPr>
          <w:b w:val="0"/>
          <w:bCs/>
        </w:rPr>
        <w:t>ՌԴ</w:t>
      </w:r>
      <w:r w:rsidRPr="005D1807">
        <w:rPr>
          <w:b w:val="0"/>
          <w:bCs/>
          <w:lang w:val="en-US"/>
        </w:rPr>
        <w:t xml:space="preserve"> </w:t>
      </w:r>
      <w:r w:rsidRPr="005D1807">
        <w:rPr>
          <w:b w:val="0"/>
          <w:bCs/>
        </w:rPr>
        <w:t>ԿԲ</w:t>
      </w:r>
      <w:r w:rsidRPr="005D1807">
        <w:rPr>
          <w:b w:val="0"/>
          <w:bCs/>
          <w:lang w:val="en-US"/>
        </w:rPr>
        <w:t xml:space="preserve"> </w:t>
      </w:r>
      <w:r w:rsidRPr="005D1807">
        <w:rPr>
          <w:b w:val="0"/>
          <w:bCs/>
        </w:rPr>
        <w:t>կանխատեսումներին</w:t>
      </w:r>
      <w:r w:rsidRPr="005D1807">
        <w:rPr>
          <w:b w:val="0"/>
          <w:bCs/>
          <w:lang w:val="en-US"/>
        </w:rPr>
        <w:t xml:space="preserve">: </w:t>
      </w:r>
      <w:r w:rsidRPr="005D1807">
        <w:rPr>
          <w:b w:val="0"/>
          <w:bCs/>
        </w:rPr>
        <w:t>ՌԴ</w:t>
      </w:r>
      <w:r w:rsidRPr="005D1807">
        <w:rPr>
          <w:b w:val="0"/>
          <w:bCs/>
          <w:lang w:val="en-US"/>
        </w:rPr>
        <w:t xml:space="preserve"> </w:t>
      </w:r>
      <w:r w:rsidRPr="005D1807">
        <w:rPr>
          <w:b w:val="0"/>
          <w:bCs/>
        </w:rPr>
        <w:t>կենտրոնական</w:t>
      </w:r>
      <w:r w:rsidRPr="005D1807">
        <w:rPr>
          <w:b w:val="0"/>
          <w:bCs/>
          <w:lang w:val="en-US"/>
        </w:rPr>
        <w:t xml:space="preserve"> </w:t>
      </w:r>
      <w:r w:rsidRPr="005D1807">
        <w:rPr>
          <w:b w:val="0"/>
          <w:bCs/>
        </w:rPr>
        <w:t>բանկի</w:t>
      </w:r>
      <w:r w:rsidRPr="005D1807">
        <w:rPr>
          <w:b w:val="0"/>
          <w:bCs/>
          <w:lang w:val="en-US"/>
        </w:rPr>
        <w:t xml:space="preserve"> </w:t>
      </w:r>
      <w:r w:rsidRPr="005D1807">
        <w:rPr>
          <w:b w:val="0"/>
          <w:bCs/>
        </w:rPr>
        <w:t>հիմնական</w:t>
      </w:r>
      <w:r w:rsidRPr="005D1807">
        <w:rPr>
          <w:b w:val="0"/>
          <w:bCs/>
          <w:lang w:val="en-US"/>
        </w:rPr>
        <w:t xml:space="preserve"> </w:t>
      </w:r>
      <w:r w:rsidRPr="005D1807">
        <w:rPr>
          <w:b w:val="0"/>
          <w:bCs/>
        </w:rPr>
        <w:t>տոկոսադրույքը</w:t>
      </w:r>
      <w:r w:rsidRPr="005D1807">
        <w:rPr>
          <w:b w:val="0"/>
          <w:bCs/>
          <w:lang w:val="en-US"/>
        </w:rPr>
        <w:t xml:space="preserve">  </w:t>
      </w:r>
      <w:r w:rsidRPr="005D1807">
        <w:rPr>
          <w:b w:val="0"/>
          <w:bCs/>
        </w:rPr>
        <w:t>նախորդ</w:t>
      </w:r>
      <w:r w:rsidRPr="005D1807">
        <w:rPr>
          <w:b w:val="0"/>
          <w:bCs/>
          <w:lang w:val="en-US"/>
        </w:rPr>
        <w:t xml:space="preserve"> </w:t>
      </w:r>
      <w:r w:rsidRPr="005D1807">
        <w:rPr>
          <w:b w:val="0"/>
          <w:bCs/>
        </w:rPr>
        <w:t>տարվա</w:t>
      </w:r>
      <w:r w:rsidRPr="005D1807">
        <w:rPr>
          <w:b w:val="0"/>
          <w:bCs/>
          <w:lang w:val="en-US"/>
        </w:rPr>
        <w:t xml:space="preserve"> </w:t>
      </w:r>
      <w:r w:rsidRPr="005D1807">
        <w:rPr>
          <w:b w:val="0"/>
          <w:bCs/>
        </w:rPr>
        <w:t>հունիս</w:t>
      </w:r>
      <w:r w:rsidRPr="005D1807">
        <w:rPr>
          <w:b w:val="0"/>
          <w:bCs/>
          <w:lang w:val="en-US"/>
        </w:rPr>
        <w:t xml:space="preserve"> </w:t>
      </w:r>
      <w:r w:rsidRPr="005D1807">
        <w:rPr>
          <w:b w:val="0"/>
          <w:bCs/>
        </w:rPr>
        <w:t>ամսից</w:t>
      </w:r>
      <w:r w:rsidRPr="005D1807">
        <w:rPr>
          <w:b w:val="0"/>
          <w:bCs/>
          <w:lang w:val="en-US"/>
        </w:rPr>
        <w:t xml:space="preserve"> 7.5% </w:t>
      </w:r>
      <w:r w:rsidRPr="005D1807">
        <w:rPr>
          <w:b w:val="0"/>
          <w:bCs/>
        </w:rPr>
        <w:t>է</w:t>
      </w:r>
      <w:r w:rsidRPr="005D1807">
        <w:rPr>
          <w:b w:val="0"/>
          <w:bCs/>
          <w:lang w:val="en-US"/>
        </w:rPr>
        <w:t xml:space="preserve"> </w:t>
      </w:r>
      <w:r w:rsidRPr="005D1807">
        <w:rPr>
          <w:b w:val="0"/>
          <w:bCs/>
        </w:rPr>
        <w:t>կազմել</w:t>
      </w:r>
      <w:r w:rsidRPr="005D1807">
        <w:rPr>
          <w:b w:val="0"/>
          <w:bCs/>
          <w:lang w:val="en-US"/>
        </w:rPr>
        <w:t xml:space="preserve">, </w:t>
      </w:r>
      <w:r w:rsidRPr="005D1807">
        <w:rPr>
          <w:b w:val="0"/>
          <w:bCs/>
        </w:rPr>
        <w:t>սակայն</w:t>
      </w:r>
      <w:r w:rsidRPr="005D1807">
        <w:rPr>
          <w:b w:val="0"/>
          <w:bCs/>
          <w:lang w:val="en-US"/>
        </w:rPr>
        <w:t xml:space="preserve"> 2023</w:t>
      </w:r>
      <w:r w:rsidRPr="005D1807">
        <w:rPr>
          <w:b w:val="0"/>
          <w:bCs/>
        </w:rPr>
        <w:t>թ</w:t>
      </w:r>
      <w:r w:rsidRPr="005D1807">
        <w:rPr>
          <w:b w:val="0"/>
          <w:bCs/>
          <w:lang w:val="en-US"/>
        </w:rPr>
        <w:t xml:space="preserve">․ </w:t>
      </w:r>
      <w:r w:rsidRPr="005D1807">
        <w:rPr>
          <w:b w:val="0"/>
          <w:bCs/>
        </w:rPr>
        <w:t>հուլիսին</w:t>
      </w:r>
      <w:r w:rsidRPr="005D1807">
        <w:rPr>
          <w:b w:val="0"/>
          <w:bCs/>
          <w:lang w:val="en-US"/>
        </w:rPr>
        <w:t xml:space="preserve"> </w:t>
      </w:r>
      <w:r w:rsidRPr="005D1807">
        <w:rPr>
          <w:b w:val="0"/>
          <w:bCs/>
        </w:rPr>
        <w:t>կենտրոնական</w:t>
      </w:r>
      <w:r w:rsidRPr="005D1807">
        <w:rPr>
          <w:b w:val="0"/>
          <w:bCs/>
          <w:lang w:val="en-US"/>
        </w:rPr>
        <w:t xml:space="preserve"> </w:t>
      </w:r>
      <w:r w:rsidRPr="005D1807">
        <w:rPr>
          <w:b w:val="0"/>
          <w:bCs/>
        </w:rPr>
        <w:t>բանկի</w:t>
      </w:r>
      <w:r w:rsidRPr="005D1807">
        <w:rPr>
          <w:b w:val="0"/>
          <w:bCs/>
          <w:lang w:val="en-US"/>
        </w:rPr>
        <w:t xml:space="preserve"> </w:t>
      </w:r>
      <w:r w:rsidRPr="005D1807">
        <w:rPr>
          <w:b w:val="0"/>
          <w:bCs/>
        </w:rPr>
        <w:t>կողմից</w:t>
      </w:r>
      <w:r w:rsidRPr="005D1807">
        <w:rPr>
          <w:b w:val="0"/>
          <w:bCs/>
          <w:lang w:val="en-US"/>
        </w:rPr>
        <w:t xml:space="preserve"> </w:t>
      </w:r>
      <w:r w:rsidRPr="005D1807">
        <w:rPr>
          <w:b w:val="0"/>
          <w:bCs/>
        </w:rPr>
        <w:t>այն</w:t>
      </w:r>
      <w:r w:rsidRPr="005D1807">
        <w:rPr>
          <w:b w:val="0"/>
          <w:bCs/>
          <w:lang w:val="en-US"/>
        </w:rPr>
        <w:t xml:space="preserve"> </w:t>
      </w:r>
      <w:r w:rsidRPr="005D1807">
        <w:rPr>
          <w:b w:val="0"/>
          <w:bCs/>
        </w:rPr>
        <w:t>բարձրացվեց</w:t>
      </w:r>
      <w:r w:rsidRPr="005D1807">
        <w:rPr>
          <w:b w:val="0"/>
          <w:bCs/>
          <w:lang w:val="en-US"/>
        </w:rPr>
        <w:t xml:space="preserve"> 1 </w:t>
      </w:r>
      <w:r w:rsidRPr="005D1807">
        <w:rPr>
          <w:b w:val="0"/>
          <w:bCs/>
        </w:rPr>
        <w:t>տոկոսային</w:t>
      </w:r>
      <w:r w:rsidRPr="005D1807">
        <w:rPr>
          <w:b w:val="0"/>
          <w:bCs/>
          <w:lang w:val="en-US"/>
        </w:rPr>
        <w:t xml:space="preserve"> </w:t>
      </w:r>
      <w:r w:rsidRPr="005D1807">
        <w:rPr>
          <w:b w:val="0"/>
          <w:bCs/>
        </w:rPr>
        <w:t>կետով</w:t>
      </w:r>
      <w:r w:rsidRPr="005D1807">
        <w:rPr>
          <w:b w:val="0"/>
          <w:bCs/>
          <w:lang w:val="en-US"/>
        </w:rPr>
        <w:t xml:space="preserve">, </w:t>
      </w:r>
      <w:r w:rsidRPr="005D1807">
        <w:rPr>
          <w:b w:val="0"/>
          <w:bCs/>
        </w:rPr>
        <w:t>իսկ</w:t>
      </w:r>
      <w:r w:rsidRPr="005D1807">
        <w:rPr>
          <w:b w:val="0"/>
          <w:bCs/>
          <w:lang w:val="en-US"/>
        </w:rPr>
        <w:t xml:space="preserve"> </w:t>
      </w:r>
      <w:r w:rsidRPr="005D1807">
        <w:rPr>
          <w:b w:val="0"/>
          <w:bCs/>
        </w:rPr>
        <w:t>օգոստոսին</w:t>
      </w:r>
      <w:r w:rsidRPr="005D1807">
        <w:rPr>
          <w:b w:val="0"/>
          <w:bCs/>
          <w:lang w:val="en-US"/>
        </w:rPr>
        <w:t xml:space="preserve"> </w:t>
      </w:r>
      <w:r w:rsidRPr="005D1807">
        <w:rPr>
          <w:b w:val="0"/>
          <w:bCs/>
        </w:rPr>
        <w:t>ավելի</w:t>
      </w:r>
      <w:r w:rsidRPr="005D1807">
        <w:rPr>
          <w:b w:val="0"/>
          <w:bCs/>
          <w:lang w:val="en-US"/>
        </w:rPr>
        <w:t xml:space="preserve"> </w:t>
      </w:r>
      <w:r w:rsidRPr="005D1807">
        <w:rPr>
          <w:b w:val="0"/>
          <w:bCs/>
        </w:rPr>
        <w:t>կտրուկ՝</w:t>
      </w:r>
      <w:r w:rsidRPr="005D1807">
        <w:rPr>
          <w:b w:val="0"/>
          <w:bCs/>
          <w:lang w:val="en-US"/>
        </w:rPr>
        <w:t xml:space="preserve"> 3.5%-</w:t>
      </w:r>
      <w:r w:rsidRPr="005D1807">
        <w:rPr>
          <w:b w:val="0"/>
          <w:bCs/>
        </w:rPr>
        <w:t>ով</w:t>
      </w:r>
      <w:r w:rsidRPr="005D1807">
        <w:rPr>
          <w:b w:val="0"/>
          <w:bCs/>
          <w:lang w:val="en-US"/>
        </w:rPr>
        <w:t xml:space="preserve">․ </w:t>
      </w:r>
      <w:r w:rsidRPr="005D1807">
        <w:rPr>
          <w:b w:val="0"/>
          <w:bCs/>
        </w:rPr>
        <w:t>այժմ</w:t>
      </w:r>
      <w:r w:rsidRPr="005D1807">
        <w:rPr>
          <w:b w:val="0"/>
          <w:bCs/>
          <w:lang w:val="en-US"/>
        </w:rPr>
        <w:t xml:space="preserve"> </w:t>
      </w:r>
      <w:r w:rsidRPr="005D1807">
        <w:rPr>
          <w:b w:val="0"/>
          <w:bCs/>
        </w:rPr>
        <w:t>այն</w:t>
      </w:r>
      <w:r w:rsidRPr="005D1807">
        <w:rPr>
          <w:b w:val="0"/>
          <w:bCs/>
          <w:lang w:val="en-US"/>
        </w:rPr>
        <w:t xml:space="preserve"> </w:t>
      </w:r>
      <w:r w:rsidRPr="005D1807">
        <w:rPr>
          <w:b w:val="0"/>
          <w:bCs/>
        </w:rPr>
        <w:t>կազմում</w:t>
      </w:r>
      <w:r w:rsidRPr="005D1807">
        <w:rPr>
          <w:b w:val="0"/>
          <w:bCs/>
          <w:lang w:val="en-US"/>
        </w:rPr>
        <w:t xml:space="preserve"> </w:t>
      </w:r>
      <w:r w:rsidRPr="005D1807">
        <w:rPr>
          <w:b w:val="0"/>
          <w:bCs/>
        </w:rPr>
        <w:t>է</w:t>
      </w:r>
      <w:r w:rsidRPr="005D1807">
        <w:rPr>
          <w:b w:val="0"/>
          <w:bCs/>
          <w:lang w:val="en-US"/>
        </w:rPr>
        <w:t xml:space="preserve"> 12%</w:t>
      </w:r>
      <w:r w:rsidRPr="005D1807">
        <w:rPr>
          <w:b w:val="0"/>
          <w:bCs/>
        </w:rPr>
        <w:t>։</w:t>
      </w:r>
      <w:r w:rsidRPr="005D1807">
        <w:rPr>
          <w:b w:val="0"/>
          <w:bCs/>
          <w:lang w:val="en-US"/>
        </w:rPr>
        <w:t xml:space="preserve"> </w:t>
      </w:r>
      <w:r w:rsidRPr="005D1807">
        <w:rPr>
          <w:b w:val="0"/>
          <w:bCs/>
        </w:rPr>
        <w:t>Չնայած</w:t>
      </w:r>
      <w:r w:rsidRPr="005D1807">
        <w:rPr>
          <w:b w:val="0"/>
          <w:bCs/>
          <w:lang w:val="en-US"/>
        </w:rPr>
        <w:t xml:space="preserve"> </w:t>
      </w:r>
      <w:r w:rsidRPr="005D1807">
        <w:rPr>
          <w:b w:val="0"/>
          <w:bCs/>
        </w:rPr>
        <w:t>այն</w:t>
      </w:r>
      <w:r w:rsidRPr="005D1807">
        <w:rPr>
          <w:b w:val="0"/>
          <w:bCs/>
          <w:lang w:val="en-US"/>
        </w:rPr>
        <w:t xml:space="preserve"> </w:t>
      </w:r>
      <w:r w:rsidRPr="005D1807">
        <w:rPr>
          <w:b w:val="0"/>
          <w:bCs/>
        </w:rPr>
        <w:t>հանգամանքին</w:t>
      </w:r>
      <w:r w:rsidRPr="005D1807">
        <w:rPr>
          <w:b w:val="0"/>
          <w:bCs/>
          <w:lang w:val="en-US"/>
        </w:rPr>
        <w:t xml:space="preserve">, </w:t>
      </w:r>
      <w:r w:rsidRPr="005D1807">
        <w:rPr>
          <w:b w:val="0"/>
          <w:bCs/>
        </w:rPr>
        <w:t>որ</w:t>
      </w:r>
      <w:r w:rsidRPr="005D1807">
        <w:rPr>
          <w:b w:val="0"/>
          <w:bCs/>
          <w:lang w:val="en-US"/>
        </w:rPr>
        <w:t xml:space="preserve"> </w:t>
      </w:r>
      <w:r w:rsidRPr="005D1807">
        <w:rPr>
          <w:b w:val="0"/>
          <w:bCs/>
        </w:rPr>
        <w:t>Եվրագոտում</w:t>
      </w:r>
      <w:r w:rsidRPr="005D1807">
        <w:rPr>
          <w:b w:val="0"/>
          <w:bCs/>
          <w:lang w:val="en-US"/>
        </w:rPr>
        <w:t xml:space="preserve"> </w:t>
      </w:r>
      <w:r w:rsidRPr="005D1807">
        <w:rPr>
          <w:b w:val="0"/>
          <w:bCs/>
        </w:rPr>
        <w:t>և</w:t>
      </w:r>
      <w:r w:rsidRPr="005D1807">
        <w:rPr>
          <w:b w:val="0"/>
          <w:bCs/>
          <w:lang w:val="en-US"/>
        </w:rPr>
        <w:t xml:space="preserve"> </w:t>
      </w:r>
      <w:r w:rsidRPr="005D1807">
        <w:rPr>
          <w:b w:val="0"/>
          <w:bCs/>
        </w:rPr>
        <w:t>ԱՄՆ</w:t>
      </w:r>
      <w:r w:rsidRPr="005D1807">
        <w:rPr>
          <w:b w:val="0"/>
          <w:bCs/>
          <w:lang w:val="en-US"/>
        </w:rPr>
        <w:t>-</w:t>
      </w:r>
      <w:r w:rsidRPr="005D1807">
        <w:rPr>
          <w:b w:val="0"/>
          <w:bCs/>
        </w:rPr>
        <w:t>ում</w:t>
      </w:r>
      <w:r w:rsidRPr="005D1807">
        <w:rPr>
          <w:b w:val="0"/>
          <w:bCs/>
          <w:lang w:val="en-US"/>
        </w:rPr>
        <w:t xml:space="preserve"> </w:t>
      </w:r>
      <w:r w:rsidRPr="005D1807">
        <w:rPr>
          <w:b w:val="0"/>
          <w:bCs/>
        </w:rPr>
        <w:t>գնաճը</w:t>
      </w:r>
      <w:r w:rsidRPr="005D1807">
        <w:rPr>
          <w:b w:val="0"/>
          <w:bCs/>
          <w:lang w:val="en-US"/>
        </w:rPr>
        <w:t xml:space="preserve"> </w:t>
      </w:r>
      <w:r w:rsidRPr="005D1807">
        <w:rPr>
          <w:b w:val="0"/>
          <w:bCs/>
        </w:rPr>
        <w:t>դանդաղում</w:t>
      </w:r>
      <w:r w:rsidRPr="005D1807">
        <w:rPr>
          <w:b w:val="0"/>
          <w:bCs/>
          <w:lang w:val="en-US"/>
        </w:rPr>
        <w:t xml:space="preserve"> </w:t>
      </w:r>
      <w:r w:rsidRPr="005D1807">
        <w:rPr>
          <w:b w:val="0"/>
          <w:bCs/>
        </w:rPr>
        <w:t>է</w:t>
      </w:r>
      <w:r w:rsidRPr="005D1807">
        <w:rPr>
          <w:b w:val="0"/>
          <w:bCs/>
          <w:lang w:val="en-US"/>
        </w:rPr>
        <w:t xml:space="preserve">, </w:t>
      </w:r>
      <w:r w:rsidRPr="005D1807">
        <w:rPr>
          <w:b w:val="0"/>
          <w:bCs/>
        </w:rPr>
        <w:t>Եվրոպական</w:t>
      </w:r>
      <w:r w:rsidRPr="005D1807">
        <w:rPr>
          <w:b w:val="0"/>
          <w:bCs/>
          <w:lang w:val="en-US"/>
        </w:rPr>
        <w:t xml:space="preserve"> </w:t>
      </w:r>
      <w:r w:rsidRPr="005D1807">
        <w:rPr>
          <w:b w:val="0"/>
          <w:bCs/>
        </w:rPr>
        <w:t>կենտրոնական</w:t>
      </w:r>
      <w:r w:rsidRPr="005D1807">
        <w:rPr>
          <w:b w:val="0"/>
          <w:bCs/>
          <w:lang w:val="en-US"/>
        </w:rPr>
        <w:t xml:space="preserve"> </w:t>
      </w:r>
      <w:r w:rsidRPr="005D1807">
        <w:rPr>
          <w:b w:val="0"/>
          <w:bCs/>
        </w:rPr>
        <w:t>բանկը</w:t>
      </w:r>
      <w:r w:rsidRPr="005D1807">
        <w:rPr>
          <w:b w:val="0"/>
          <w:bCs/>
          <w:lang w:val="en-US"/>
        </w:rPr>
        <w:t xml:space="preserve"> </w:t>
      </w:r>
      <w:r w:rsidRPr="005D1807">
        <w:rPr>
          <w:b w:val="0"/>
          <w:bCs/>
        </w:rPr>
        <w:t>և</w:t>
      </w:r>
      <w:r w:rsidRPr="005D1807">
        <w:rPr>
          <w:b w:val="0"/>
          <w:bCs/>
          <w:lang w:val="en-US"/>
        </w:rPr>
        <w:t xml:space="preserve"> </w:t>
      </w:r>
      <w:r w:rsidRPr="005D1807">
        <w:rPr>
          <w:b w:val="0"/>
          <w:bCs/>
        </w:rPr>
        <w:t>ԱՄՆ</w:t>
      </w:r>
      <w:r w:rsidRPr="005D1807">
        <w:rPr>
          <w:b w:val="0"/>
          <w:bCs/>
          <w:lang w:val="en-US"/>
        </w:rPr>
        <w:t xml:space="preserve"> </w:t>
      </w:r>
      <w:r w:rsidRPr="005D1807">
        <w:rPr>
          <w:b w:val="0"/>
          <w:bCs/>
        </w:rPr>
        <w:t>դաշնային</w:t>
      </w:r>
      <w:r w:rsidRPr="005D1807">
        <w:rPr>
          <w:b w:val="0"/>
          <w:bCs/>
          <w:lang w:val="en-US"/>
        </w:rPr>
        <w:t xml:space="preserve"> </w:t>
      </w:r>
      <w:r w:rsidRPr="005D1807">
        <w:rPr>
          <w:b w:val="0"/>
          <w:bCs/>
        </w:rPr>
        <w:t>պահուստային</w:t>
      </w:r>
      <w:r w:rsidRPr="005D1807">
        <w:rPr>
          <w:b w:val="0"/>
          <w:bCs/>
          <w:lang w:val="en-US"/>
        </w:rPr>
        <w:t xml:space="preserve"> </w:t>
      </w:r>
      <w:r w:rsidRPr="005D1807">
        <w:rPr>
          <w:b w:val="0"/>
          <w:bCs/>
        </w:rPr>
        <w:t>համակարգը</w:t>
      </w:r>
      <w:r w:rsidRPr="005D1807">
        <w:rPr>
          <w:b w:val="0"/>
          <w:bCs/>
          <w:lang w:val="en-US"/>
        </w:rPr>
        <w:t xml:space="preserve"> </w:t>
      </w:r>
      <w:r w:rsidRPr="005D1807">
        <w:rPr>
          <w:b w:val="0"/>
          <w:bCs/>
        </w:rPr>
        <w:t>շարունակում</w:t>
      </w:r>
      <w:r w:rsidRPr="005D1807">
        <w:rPr>
          <w:b w:val="0"/>
          <w:bCs/>
          <w:lang w:val="en-US"/>
        </w:rPr>
        <w:t xml:space="preserve"> </w:t>
      </w:r>
      <w:r w:rsidRPr="005D1807">
        <w:rPr>
          <w:b w:val="0"/>
          <w:bCs/>
        </w:rPr>
        <w:t>են</w:t>
      </w:r>
      <w:r w:rsidRPr="005D1807">
        <w:rPr>
          <w:b w:val="0"/>
          <w:bCs/>
          <w:lang w:val="en-US"/>
        </w:rPr>
        <w:t xml:space="preserve"> </w:t>
      </w:r>
      <w:r w:rsidRPr="005D1807">
        <w:rPr>
          <w:b w:val="0"/>
          <w:bCs/>
        </w:rPr>
        <w:t>իրականացնել</w:t>
      </w:r>
      <w:r w:rsidRPr="005D1807">
        <w:rPr>
          <w:b w:val="0"/>
          <w:bCs/>
          <w:lang w:val="en-US"/>
        </w:rPr>
        <w:t xml:space="preserve"> </w:t>
      </w:r>
      <w:r w:rsidRPr="005D1807">
        <w:rPr>
          <w:b w:val="0"/>
          <w:bCs/>
        </w:rPr>
        <w:t>զսպող</w:t>
      </w:r>
      <w:r w:rsidRPr="005D1807">
        <w:rPr>
          <w:b w:val="0"/>
          <w:bCs/>
          <w:lang w:val="en-US"/>
        </w:rPr>
        <w:t xml:space="preserve"> </w:t>
      </w:r>
      <w:r w:rsidRPr="005D1807">
        <w:rPr>
          <w:b w:val="0"/>
          <w:bCs/>
        </w:rPr>
        <w:t>դրամավարկային</w:t>
      </w:r>
      <w:r w:rsidRPr="005D1807">
        <w:rPr>
          <w:b w:val="0"/>
          <w:bCs/>
          <w:lang w:val="en-US"/>
        </w:rPr>
        <w:t xml:space="preserve"> </w:t>
      </w:r>
      <w:r w:rsidRPr="005D1807">
        <w:rPr>
          <w:b w:val="0"/>
          <w:bCs/>
        </w:rPr>
        <w:t>քաղաքականություն</w:t>
      </w:r>
      <w:r w:rsidRPr="005D1807">
        <w:rPr>
          <w:b w:val="0"/>
          <w:bCs/>
          <w:lang w:val="en-US"/>
        </w:rPr>
        <w:t xml:space="preserve">: </w:t>
      </w:r>
    </w:p>
    <w:p w14:paraId="5D86AC0E" w14:textId="77777777" w:rsidR="005D1807" w:rsidRPr="005D1807" w:rsidRDefault="005D1807" w:rsidP="005D1807">
      <w:pPr>
        <w:rPr>
          <w:b w:val="0"/>
          <w:bCs/>
          <w:lang w:val="en-US"/>
        </w:rPr>
      </w:pPr>
    </w:p>
    <w:p w14:paraId="12838209" w14:textId="77777777" w:rsidR="005D1807" w:rsidRPr="0073392C" w:rsidRDefault="005D1807" w:rsidP="005D1807">
      <w:pPr>
        <w:rPr>
          <w:b w:val="0"/>
          <w:bCs/>
          <w:lang w:val="en-US"/>
        </w:rPr>
      </w:pPr>
      <w:r w:rsidRPr="002D6400">
        <w:lastRenderedPageBreak/>
        <w:t>Գծապատկեր</w:t>
      </w:r>
      <w:r w:rsidRPr="0073392C">
        <w:rPr>
          <w:lang w:val="en-US"/>
        </w:rPr>
        <w:t xml:space="preserve"> 1.2.</w:t>
      </w:r>
      <w:r w:rsidRPr="0073392C">
        <w:rPr>
          <w:b w:val="0"/>
          <w:bCs/>
          <w:lang w:val="en-US"/>
        </w:rPr>
        <w:t xml:space="preserve"> </w:t>
      </w:r>
      <w:r w:rsidRPr="005D1807">
        <w:rPr>
          <w:b w:val="0"/>
          <w:bCs/>
        </w:rPr>
        <w:t>Գնաճն</w:t>
      </w:r>
      <w:r w:rsidRPr="0073392C">
        <w:rPr>
          <w:b w:val="0"/>
          <w:bCs/>
          <w:lang w:val="en-US"/>
        </w:rPr>
        <w:t xml:space="preserve"> </w:t>
      </w:r>
      <w:r w:rsidRPr="005D1807">
        <w:rPr>
          <w:b w:val="0"/>
          <w:bCs/>
        </w:rPr>
        <w:t>ու</w:t>
      </w:r>
      <w:r w:rsidRPr="0073392C">
        <w:rPr>
          <w:b w:val="0"/>
          <w:bCs/>
          <w:lang w:val="en-US"/>
        </w:rPr>
        <w:t xml:space="preserve"> </w:t>
      </w:r>
      <w:r w:rsidRPr="005D1807">
        <w:rPr>
          <w:b w:val="0"/>
          <w:bCs/>
        </w:rPr>
        <w:t>դրամավարկային</w:t>
      </w:r>
      <w:r w:rsidRPr="0073392C">
        <w:rPr>
          <w:b w:val="0"/>
          <w:bCs/>
          <w:lang w:val="en-US"/>
        </w:rPr>
        <w:t xml:space="preserve"> </w:t>
      </w:r>
      <w:r w:rsidRPr="005D1807">
        <w:rPr>
          <w:b w:val="0"/>
          <w:bCs/>
        </w:rPr>
        <w:t>քաղաքականության</w:t>
      </w:r>
      <w:r w:rsidRPr="0073392C">
        <w:rPr>
          <w:b w:val="0"/>
          <w:bCs/>
          <w:lang w:val="en-US"/>
        </w:rPr>
        <w:t xml:space="preserve"> </w:t>
      </w:r>
      <w:r w:rsidRPr="005D1807">
        <w:rPr>
          <w:b w:val="0"/>
          <w:bCs/>
        </w:rPr>
        <w:t>արձագանքը</w:t>
      </w:r>
      <w:r w:rsidRPr="0073392C">
        <w:rPr>
          <w:b w:val="0"/>
          <w:bCs/>
          <w:lang w:val="en-US"/>
        </w:rPr>
        <w:t xml:space="preserve"> </w:t>
      </w:r>
      <w:r w:rsidRPr="005D1807">
        <w:rPr>
          <w:b w:val="0"/>
          <w:bCs/>
        </w:rPr>
        <w:t>գործընկեր</w:t>
      </w:r>
      <w:r w:rsidRPr="0073392C">
        <w:rPr>
          <w:b w:val="0"/>
          <w:bCs/>
          <w:lang w:val="en-US"/>
        </w:rPr>
        <w:t xml:space="preserve"> </w:t>
      </w:r>
      <w:r w:rsidRPr="005D1807">
        <w:rPr>
          <w:b w:val="0"/>
          <w:bCs/>
        </w:rPr>
        <w:t>երկրներում</w:t>
      </w:r>
      <w:r w:rsidRPr="005D1807">
        <w:rPr>
          <w:b w:val="0"/>
          <w:bCs/>
        </w:rPr>
        <w:footnoteReference w:id="8"/>
      </w:r>
    </w:p>
    <w:tbl>
      <w:tblPr>
        <w:tblW w:w="9846" w:type="dxa"/>
        <w:jc w:val="center"/>
        <w:tblLook w:val="04A0" w:firstRow="1" w:lastRow="0" w:firstColumn="1" w:lastColumn="0" w:noHBand="0" w:noVBand="1"/>
      </w:tblPr>
      <w:tblGrid>
        <w:gridCol w:w="9846"/>
      </w:tblGrid>
      <w:tr w:rsidR="005D1807" w:rsidRPr="00933CA4" w14:paraId="33C271F0" w14:textId="77777777" w:rsidTr="00D656FB">
        <w:trPr>
          <w:trHeight w:val="3782"/>
          <w:jc w:val="center"/>
        </w:trPr>
        <w:tc>
          <w:tcPr>
            <w:tcW w:w="9846" w:type="dxa"/>
            <w:shd w:val="clear" w:color="auto" w:fill="auto"/>
          </w:tcPr>
          <w:p w14:paraId="5A204ACA" w14:textId="77777777" w:rsidR="005D1807" w:rsidRPr="00F46689" w:rsidRDefault="005D1807" w:rsidP="005D1807">
            <w:pPr>
              <w:rPr>
                <w:b w:val="0"/>
                <w:bCs/>
                <w:lang w:val="en-US"/>
              </w:rPr>
            </w:pPr>
            <w:r w:rsidRPr="005D1807">
              <w:rPr>
                <w:b w:val="0"/>
                <w:bCs/>
                <w:noProof/>
                <w:lang w:val="en-US" w:eastAsia="en-US"/>
              </w:rPr>
              <w:drawing>
                <wp:inline distT="0" distB="0" distL="0" distR="0" wp14:anchorId="585D257D" wp14:editId="087408F3">
                  <wp:extent cx="3067291" cy="1908000"/>
                  <wp:effectExtent l="0" t="0" r="0" b="16510"/>
                  <wp:docPr id="31" name="Objec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F46689">
              <w:rPr>
                <w:b w:val="0"/>
                <w:bCs/>
                <w:lang w:val="en-US"/>
              </w:rPr>
              <w:t xml:space="preserve"> </w:t>
            </w:r>
            <w:r w:rsidRPr="005D1807">
              <w:rPr>
                <w:b w:val="0"/>
                <w:bCs/>
                <w:noProof/>
                <w:lang w:val="en-US" w:eastAsia="en-US"/>
              </w:rPr>
              <w:drawing>
                <wp:inline distT="0" distB="0" distL="0" distR="0" wp14:anchorId="66881244" wp14:editId="0D319931">
                  <wp:extent cx="2992755" cy="1908000"/>
                  <wp:effectExtent l="0" t="0" r="17145" b="16510"/>
                  <wp:docPr id="22" name="Objec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5D1807">
              <w:rPr>
                <w:b w:val="0"/>
                <w:bCs/>
                <w:noProof/>
                <w:lang w:val="en-US" w:eastAsia="en-US"/>
              </w:rPr>
              <w:drawing>
                <wp:inline distT="0" distB="0" distL="0" distR="0" wp14:anchorId="42CEA226" wp14:editId="0C2F723C">
                  <wp:extent cx="6099810" cy="219911"/>
                  <wp:effectExtent l="0" t="0" r="15240" b="8890"/>
                  <wp:docPr id="37" name="Objec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3E21814" w14:textId="77777777" w:rsidR="005D1807" w:rsidRPr="00F46689" w:rsidRDefault="005D1807" w:rsidP="005D1807">
            <w:pPr>
              <w:rPr>
                <w:b w:val="0"/>
                <w:bCs/>
                <w:lang w:val="en-US"/>
              </w:rPr>
            </w:pPr>
            <w:r w:rsidRPr="005D1807">
              <w:rPr>
                <w:b w:val="0"/>
                <w:bCs/>
              </w:rPr>
              <w:t>Աղբյուրը՝</w:t>
            </w:r>
            <w:r w:rsidRPr="00F46689">
              <w:rPr>
                <w:b w:val="0"/>
                <w:bCs/>
                <w:lang w:val="en-US"/>
              </w:rPr>
              <w:t xml:space="preserve"> </w:t>
            </w:r>
            <w:r w:rsidRPr="005D1807">
              <w:rPr>
                <w:b w:val="0"/>
                <w:bCs/>
              </w:rPr>
              <w:t>ԱՄՆ</w:t>
            </w:r>
            <w:r w:rsidRPr="00F46689">
              <w:rPr>
                <w:b w:val="0"/>
                <w:bCs/>
                <w:lang w:val="en-US"/>
              </w:rPr>
              <w:t xml:space="preserve"> </w:t>
            </w:r>
            <w:r w:rsidRPr="005D1807">
              <w:rPr>
                <w:b w:val="0"/>
                <w:bCs/>
              </w:rPr>
              <w:t>ԴՊՀ</w:t>
            </w:r>
            <w:r w:rsidRPr="00F46689">
              <w:rPr>
                <w:b w:val="0"/>
                <w:bCs/>
                <w:lang w:val="en-US"/>
              </w:rPr>
              <w:t xml:space="preserve">, </w:t>
            </w:r>
            <w:r w:rsidRPr="005D1807">
              <w:rPr>
                <w:b w:val="0"/>
                <w:bCs/>
              </w:rPr>
              <w:t>ԵԿԲ</w:t>
            </w:r>
            <w:r w:rsidRPr="00F46689">
              <w:rPr>
                <w:b w:val="0"/>
                <w:bCs/>
                <w:lang w:val="en-US"/>
              </w:rPr>
              <w:t xml:space="preserve">, </w:t>
            </w:r>
            <w:r w:rsidRPr="005D1807">
              <w:rPr>
                <w:b w:val="0"/>
                <w:bCs/>
              </w:rPr>
              <w:t>Չինաստանի</w:t>
            </w:r>
            <w:r w:rsidRPr="00F46689">
              <w:rPr>
                <w:b w:val="0"/>
                <w:bCs/>
                <w:lang w:val="en-US"/>
              </w:rPr>
              <w:t xml:space="preserve"> </w:t>
            </w:r>
            <w:r w:rsidRPr="005D1807">
              <w:rPr>
                <w:b w:val="0"/>
                <w:bCs/>
              </w:rPr>
              <w:t>ժողովրդական</w:t>
            </w:r>
            <w:r w:rsidRPr="00F46689">
              <w:rPr>
                <w:b w:val="0"/>
                <w:bCs/>
                <w:lang w:val="en-US"/>
              </w:rPr>
              <w:t xml:space="preserve"> </w:t>
            </w:r>
            <w:r w:rsidRPr="005D1807">
              <w:rPr>
                <w:b w:val="0"/>
                <w:bCs/>
              </w:rPr>
              <w:t>բանկ</w:t>
            </w:r>
            <w:r w:rsidRPr="00F46689">
              <w:rPr>
                <w:b w:val="0"/>
                <w:bCs/>
                <w:lang w:val="en-US"/>
              </w:rPr>
              <w:t xml:space="preserve">, </w:t>
            </w:r>
            <w:r w:rsidRPr="005D1807">
              <w:rPr>
                <w:b w:val="0"/>
                <w:bCs/>
              </w:rPr>
              <w:t>ՌԴ</w:t>
            </w:r>
            <w:r w:rsidRPr="00F46689">
              <w:rPr>
                <w:b w:val="0"/>
                <w:bCs/>
                <w:lang w:val="en-US"/>
              </w:rPr>
              <w:t xml:space="preserve"> </w:t>
            </w:r>
            <w:r w:rsidRPr="005D1807">
              <w:rPr>
                <w:b w:val="0"/>
                <w:bCs/>
              </w:rPr>
              <w:t>ԿԲ</w:t>
            </w:r>
          </w:p>
        </w:tc>
      </w:tr>
    </w:tbl>
    <w:p w14:paraId="4599C048" w14:textId="77777777" w:rsidR="005D1807" w:rsidRPr="005D1807" w:rsidRDefault="005D1807" w:rsidP="005D1807">
      <w:pPr>
        <w:rPr>
          <w:b w:val="0"/>
          <w:bCs/>
          <w:lang w:val="hy-AM"/>
        </w:rPr>
      </w:pPr>
      <w:r w:rsidRPr="005D1807">
        <w:rPr>
          <w:b w:val="0"/>
          <w:bCs/>
          <w:lang w:val="hy-AM"/>
        </w:rPr>
        <w:t>Եվրոպական կենտրոնական բանկը սեպտեմբերին բարձրացրել է քաղաքականության տոկոսադրույքը 0.25 տոկոսային կետով և սահմանել՝ 4.5%, իսկ ԱՄՆ դաշնային պահուստային համակարգը հուլիսի 0.25 տոկոսային կետ բարձրացումից հետո՝ սեպտեմբեր ամսին քաղաքականության տոկոսադրույքը պահպանել է նույն՝ 5.5% մակարդակում։ Քաղաքականության խստացումը պայմանավորված է այն հանգամանքով, որ չնայած նվազող գնաճին առկա են սպասումներ, որ այն դեռևս երկար ժամանակ կպահպանվի բարձր մակարդակում։</w:t>
      </w:r>
    </w:p>
    <w:p w14:paraId="3672578F" w14:textId="77777777" w:rsidR="005D1807" w:rsidRPr="0073392C" w:rsidRDefault="005D1807" w:rsidP="005D1807">
      <w:pPr>
        <w:rPr>
          <w:b w:val="0"/>
          <w:bCs/>
          <w:lang w:val="hy-AM"/>
        </w:rPr>
      </w:pPr>
      <w:r w:rsidRPr="0073392C">
        <w:rPr>
          <w:lang w:val="hy-AM"/>
        </w:rPr>
        <w:t>Միջազգային գներ</w:t>
      </w:r>
      <w:r w:rsidRPr="00CC7087">
        <w:footnoteReference w:id="9"/>
      </w:r>
      <w:r w:rsidRPr="0073392C">
        <w:rPr>
          <w:lang w:val="hy-AM"/>
        </w:rPr>
        <w:t>: 2022թ․ ռուս-ուկրաինական հակամարտության արդյունքում խաթարված արժեշղթաները, որոնք սկսեցին վերականգնվել երրորդ եռամսյակից՝ թուլացրին հումքային և պարենային ապրանաքային շուկաներում առկա գնաճային ճնշումները, մասնավորապես, նկատվում է  մետաղների և նավթի գների դանդաղ անկում։</w:t>
      </w:r>
      <w:r w:rsidRPr="0073392C">
        <w:rPr>
          <w:b w:val="0"/>
          <w:bCs/>
          <w:lang w:val="hy-AM"/>
        </w:rPr>
        <w:t xml:space="preserve"> 2023թ․ առաջին ութ ամիսներին նախորդ տարվա նույն ժամանակահատվածի նկատմամբ նավթի համաշխարհային գները միջինում նվազել են 23.4%-ով։ Օգոստոս ամսին նավթի գների աճը պայմանավորված է ՕՊԵԿ-ի կողմից արդյունահանման կրճատմամբ՝ հիմնականում, ի հաշիվ Սաուդյան Արաբիայի կողմից օրական 9.3 մլն բարելով նավթի արդյունահանման կրճատման։</w:t>
      </w:r>
    </w:p>
    <w:p w14:paraId="5B95D4C6" w14:textId="77777777" w:rsidR="005D1807" w:rsidRPr="00F46689" w:rsidRDefault="005D1807" w:rsidP="005D1807">
      <w:pPr>
        <w:rPr>
          <w:b w:val="0"/>
          <w:bCs/>
          <w:lang w:val="hy-AM"/>
        </w:rPr>
      </w:pPr>
      <w:r w:rsidRPr="00F46689">
        <w:rPr>
          <w:b w:val="0"/>
          <w:bCs/>
          <w:lang w:val="hy-AM"/>
        </w:rPr>
        <w:t xml:space="preserve">Պղնձի միջազգային գները նույնպես շարունակել են նվազել։ Այսպիսով, 2023թ․ առաջին ութ ամսիներին նախորդ տարվա նույն ժամանակահատվածի նկատմամբ պղնձի միջազգային գները նվազել են 6.7%-ով՝ օգոստոս ամսին կազմելով 8,349 ԱՄՆ դոլար մեկ տոննայի համար: Մոլիբդենի միջազգային գները փետրվարի կտրուկ աճից հետո նվազել </w:t>
      </w:r>
      <w:r w:rsidRPr="00F46689">
        <w:rPr>
          <w:b w:val="0"/>
          <w:bCs/>
          <w:lang w:val="hy-AM"/>
        </w:rPr>
        <w:lastRenderedPageBreak/>
        <w:t>են՝ մարտ ամսին կազմելով 53,149 ԱՄՆ դոլար մեկ տոննայի համար, սակայն 2023թ․ հունվար-օգոստոս ամսիներին նախորդ տարվա նույն ժամանակահատվածի համեմատ եղել են 44%-ով բարձր մակարդակում:</w:t>
      </w:r>
    </w:p>
    <w:p w14:paraId="1E10A93E" w14:textId="77777777" w:rsidR="005D1807" w:rsidRPr="00F46689" w:rsidRDefault="005D1807" w:rsidP="005D1807">
      <w:pPr>
        <w:rPr>
          <w:b w:val="0"/>
          <w:bCs/>
          <w:lang w:val="hy-AM"/>
        </w:rPr>
      </w:pPr>
      <w:r w:rsidRPr="00F46689">
        <w:rPr>
          <w:b w:val="0"/>
          <w:bCs/>
          <w:lang w:val="hy-AM"/>
        </w:rPr>
        <w:t>Պարենի միջազգային գները</w:t>
      </w:r>
      <w:r w:rsidRPr="005D1807">
        <w:rPr>
          <w:b w:val="0"/>
          <w:bCs/>
        </w:rPr>
        <w:footnoteReference w:id="10"/>
      </w:r>
      <w:r w:rsidRPr="00F46689">
        <w:rPr>
          <w:b w:val="0"/>
          <w:bCs/>
          <w:lang w:val="hy-AM"/>
        </w:rPr>
        <w:t xml:space="preserve"> 2023թ․ առաջին ութ ամիսներին շարունակաբար նվազել են․ նախորդ տարվա համապաստասխան ժամանակահատվածի նկատմամբ նվազել են 15.1%-ով՝ պայմանավորված որոշ ապրանքների (միս, կաթնամթերք, հացահատիկ, բուսական յուղեր) միջազգային գների նվազմամբ, ինչպես նաև դրամավարկային քաղաքականության բարձր տոկոսադրույքներով:</w:t>
      </w:r>
    </w:p>
    <w:p w14:paraId="003965ED" w14:textId="77777777" w:rsidR="005D1807" w:rsidRPr="00F46689" w:rsidRDefault="005D1807" w:rsidP="005D1807">
      <w:pPr>
        <w:rPr>
          <w:b w:val="0"/>
          <w:bCs/>
          <w:lang w:val="hy-AM"/>
        </w:rPr>
      </w:pPr>
      <w:r w:rsidRPr="00F46689">
        <w:rPr>
          <w:lang w:val="hy-AM"/>
        </w:rPr>
        <w:t>Գծապատկեր 1.3․</w:t>
      </w:r>
      <w:r w:rsidRPr="00F46689">
        <w:rPr>
          <w:b w:val="0"/>
          <w:bCs/>
          <w:lang w:val="hy-AM"/>
        </w:rPr>
        <w:t xml:space="preserve"> Նավթի, մետաղների և պարենի գների զարգացումներ</w:t>
      </w:r>
    </w:p>
    <w:p w14:paraId="3507E3A1" w14:textId="77777777" w:rsidR="005D1807" w:rsidRPr="005D1807" w:rsidRDefault="005D1807" w:rsidP="005D1807">
      <w:pPr>
        <w:rPr>
          <w:b w:val="0"/>
          <w:bCs/>
        </w:rPr>
      </w:pPr>
      <w:r w:rsidRPr="00F46689">
        <w:rPr>
          <w:b w:val="0"/>
          <w:bCs/>
          <w:lang w:val="hy-AM"/>
        </w:rPr>
        <w:t xml:space="preserve"> </w:t>
      </w:r>
      <w:r w:rsidRPr="005D1807">
        <w:rPr>
          <w:b w:val="0"/>
          <w:bCs/>
          <w:noProof/>
          <w:lang w:val="en-US" w:eastAsia="en-US"/>
        </w:rPr>
        <w:drawing>
          <wp:inline distT="0" distB="0" distL="0" distR="0" wp14:anchorId="133E26E4" wp14:editId="5266AA0E">
            <wp:extent cx="2543175" cy="2657475"/>
            <wp:effectExtent l="0" t="0" r="9525"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5D1807">
        <w:rPr>
          <w:b w:val="0"/>
          <w:bCs/>
        </w:rPr>
        <w:t xml:space="preserve">   </w:t>
      </w:r>
      <w:r w:rsidRPr="005D1807">
        <w:rPr>
          <w:b w:val="0"/>
          <w:bCs/>
          <w:noProof/>
          <w:lang w:val="en-US" w:eastAsia="en-US"/>
        </w:rPr>
        <w:drawing>
          <wp:inline distT="0" distB="0" distL="0" distR="0" wp14:anchorId="4796C1E3" wp14:editId="7D990365">
            <wp:extent cx="3071611" cy="2794000"/>
            <wp:effectExtent l="0" t="0" r="14605" b="635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bl>
      <w:tblPr>
        <w:tblW w:w="0" w:type="auto"/>
        <w:jc w:val="center"/>
        <w:tblLook w:val="04A0" w:firstRow="1" w:lastRow="0" w:firstColumn="1" w:lastColumn="0" w:noHBand="0" w:noVBand="1"/>
      </w:tblPr>
      <w:tblGrid>
        <w:gridCol w:w="4464"/>
        <w:gridCol w:w="4648"/>
      </w:tblGrid>
      <w:tr w:rsidR="005D1807" w:rsidRPr="005D1807" w14:paraId="3D94385D" w14:textId="77777777" w:rsidTr="00D656FB">
        <w:trPr>
          <w:trHeight w:val="113"/>
          <w:jc w:val="center"/>
        </w:trPr>
        <w:tc>
          <w:tcPr>
            <w:tcW w:w="4650" w:type="dxa"/>
            <w:shd w:val="clear" w:color="auto" w:fill="auto"/>
          </w:tcPr>
          <w:p w14:paraId="0AB4699D" w14:textId="77777777" w:rsidR="005D1807" w:rsidRPr="005D1807" w:rsidRDefault="005D1807" w:rsidP="005D1807">
            <w:pPr>
              <w:rPr>
                <w:rFonts w:eastAsia="Calibri"/>
                <w:b w:val="0"/>
                <w:bCs/>
              </w:rPr>
            </w:pPr>
            <w:r w:rsidRPr="005D1807">
              <w:rPr>
                <w:rFonts w:eastAsia="Calibri"/>
                <w:b w:val="0"/>
                <w:bCs/>
              </w:rPr>
              <w:t>Աղբյուրը՝ Համաշխարհային բանկ</w:t>
            </w:r>
          </w:p>
          <w:p w14:paraId="464470E5" w14:textId="77777777" w:rsidR="005D1807" w:rsidRPr="005D1807" w:rsidRDefault="005D1807" w:rsidP="005D1807">
            <w:pPr>
              <w:rPr>
                <w:rFonts w:eastAsia="Calibri"/>
                <w:b w:val="0"/>
                <w:bCs/>
              </w:rPr>
            </w:pPr>
          </w:p>
        </w:tc>
        <w:tc>
          <w:tcPr>
            <w:tcW w:w="4825" w:type="dxa"/>
            <w:shd w:val="clear" w:color="auto" w:fill="auto"/>
          </w:tcPr>
          <w:p w14:paraId="4AABD842" w14:textId="77777777" w:rsidR="005D1807" w:rsidRPr="005D1807" w:rsidRDefault="005D1807" w:rsidP="005D1807">
            <w:pPr>
              <w:rPr>
                <w:rFonts w:eastAsia="GHEA Grapalat"/>
                <w:b w:val="0"/>
                <w:bCs/>
              </w:rPr>
            </w:pPr>
            <w:r w:rsidRPr="005D1807">
              <w:rPr>
                <w:rFonts w:eastAsia="GHEA Grapalat"/>
                <w:b w:val="0"/>
                <w:bCs/>
              </w:rPr>
              <w:t>Աղբյուրը՝ ՄԱԿ–ի պարենի և գյուղատնտեսության կազմակերպություն</w:t>
            </w:r>
          </w:p>
        </w:tc>
      </w:tr>
    </w:tbl>
    <w:p w14:paraId="7A432033" w14:textId="77777777" w:rsidR="005D1807" w:rsidRPr="005D1807" w:rsidRDefault="005D1807" w:rsidP="005D1807">
      <w:pPr>
        <w:rPr>
          <w:rFonts w:eastAsia="Calibri"/>
          <w:b w:val="0"/>
          <w:bCs/>
        </w:rPr>
      </w:pPr>
    </w:p>
    <w:p w14:paraId="7C372B40" w14:textId="77777777" w:rsidR="005D1807" w:rsidRPr="005D1807" w:rsidRDefault="005D1807" w:rsidP="005D1807">
      <w:pPr>
        <w:rPr>
          <w:rFonts w:eastAsia="Calibri"/>
          <w:b w:val="0"/>
          <w:bCs/>
        </w:rPr>
      </w:pPr>
      <w:r w:rsidRPr="005D1807">
        <w:rPr>
          <w:rFonts w:eastAsia="Calibri"/>
          <w:b w:val="0"/>
          <w:bCs/>
        </w:rPr>
        <w:br w:type="page"/>
      </w:r>
    </w:p>
    <w:p w14:paraId="23FACFD2" w14:textId="77777777" w:rsidR="005D1807" w:rsidRPr="005D1807" w:rsidRDefault="005D1807" w:rsidP="005D1807">
      <w:pPr>
        <w:rPr>
          <w:rFonts w:eastAsia="Calibri"/>
          <w:b w:val="0"/>
          <w:bCs/>
        </w:rPr>
      </w:pPr>
      <w:r w:rsidRPr="005D1807">
        <w:rPr>
          <w:b w:val="0"/>
          <w:bCs/>
        </w:rPr>
        <w:lastRenderedPageBreak/>
        <w:t>Միջազգային տնտեսական և ֆինանսական զարգացումները և կանխատեսումները</w:t>
      </w:r>
    </w:p>
    <w:tbl>
      <w:tblPr>
        <w:tblW w:w="10138" w:type="dxa"/>
        <w:tblInd w:w="-8" w:type="dxa"/>
        <w:tblBorders>
          <w:top w:val="single" w:sz="6" w:space="0" w:color="4F81BD"/>
          <w:left w:val="single" w:sz="6" w:space="0" w:color="4F81BD"/>
          <w:bottom w:val="single" w:sz="6" w:space="0" w:color="4F81BD"/>
          <w:right w:val="single" w:sz="6" w:space="0" w:color="4F81BD"/>
          <w:insideH w:val="single" w:sz="6" w:space="0" w:color="4F81BD"/>
          <w:insideV w:val="single" w:sz="6" w:space="0" w:color="4F81BD"/>
        </w:tblBorders>
        <w:tblLayout w:type="fixed"/>
        <w:tblLook w:val="04A0" w:firstRow="1" w:lastRow="0" w:firstColumn="1" w:lastColumn="0" w:noHBand="0" w:noVBand="1"/>
      </w:tblPr>
      <w:tblGrid>
        <w:gridCol w:w="5052"/>
        <w:gridCol w:w="5086"/>
      </w:tblGrid>
      <w:tr w:rsidR="005D1807" w:rsidRPr="005D1807" w14:paraId="6BF742C0" w14:textId="77777777" w:rsidTr="00D656FB">
        <w:trPr>
          <w:trHeight w:val="3504"/>
        </w:trPr>
        <w:tc>
          <w:tcPr>
            <w:tcW w:w="5052" w:type="dxa"/>
            <w:tcBorders>
              <w:top w:val="single" w:sz="6" w:space="0" w:color="4F81BD"/>
              <w:left w:val="single" w:sz="6" w:space="0" w:color="4F81BD"/>
              <w:bottom w:val="single" w:sz="6" w:space="0" w:color="4F81BD"/>
              <w:right w:val="single" w:sz="6" w:space="0" w:color="4F81BD"/>
            </w:tcBorders>
            <w:hideMark/>
          </w:tcPr>
          <w:p w14:paraId="68037025" w14:textId="77777777" w:rsidR="005D1807" w:rsidRPr="005D1807" w:rsidRDefault="005D1807" w:rsidP="005D1807">
            <w:pPr>
              <w:rPr>
                <w:b w:val="0"/>
                <w:bCs/>
              </w:rPr>
            </w:pPr>
            <w:r w:rsidRPr="00CC7087">
              <w:rPr>
                <w:noProof/>
                <w:lang w:val="en-US" w:eastAsia="en-US"/>
              </w:rPr>
              <w:drawing>
                <wp:anchor distT="0" distB="0" distL="114300" distR="114300" simplePos="0" relativeHeight="251761664" behindDoc="1" locked="0" layoutInCell="1" allowOverlap="1" wp14:anchorId="7224230A" wp14:editId="6F611F74">
                  <wp:simplePos x="0" y="0"/>
                  <wp:positionH relativeFrom="column">
                    <wp:posOffset>62865</wp:posOffset>
                  </wp:positionH>
                  <wp:positionV relativeFrom="paragraph">
                    <wp:posOffset>338455</wp:posOffset>
                  </wp:positionV>
                  <wp:extent cx="2790000" cy="1965325"/>
                  <wp:effectExtent l="0" t="0" r="10795" b="15875"/>
                  <wp:wrapTight wrapText="bothSides">
                    <wp:wrapPolygon edited="0">
                      <wp:start x="0" y="0"/>
                      <wp:lineTo x="0" y="21565"/>
                      <wp:lineTo x="21536" y="21565"/>
                      <wp:lineTo x="21536" y="0"/>
                      <wp:lineTo x="0" y="0"/>
                    </wp:wrapPolygon>
                  </wp:wrapTight>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Pr="00CC7087">
              <w:t>Գծապատկեր 1.4.</w:t>
            </w:r>
            <w:r w:rsidRPr="005D1807">
              <w:rPr>
                <w:b w:val="0"/>
                <w:bCs/>
              </w:rPr>
              <w:t xml:space="preserve"> Համաշխարհային և գործընկեր երկրների տնտեսական աճերը (%)</w:t>
            </w:r>
          </w:p>
          <w:p w14:paraId="66F238DF" w14:textId="77777777" w:rsidR="005D1807" w:rsidRPr="005D1807" w:rsidRDefault="005D1807" w:rsidP="005D1807">
            <w:pPr>
              <w:rPr>
                <w:b w:val="0"/>
                <w:bCs/>
              </w:rPr>
            </w:pPr>
            <w:r w:rsidRPr="005D1807">
              <w:rPr>
                <w:b w:val="0"/>
                <w:bCs/>
              </w:rPr>
              <w:t>Աղբյուրը՝ ԱՄՀ</w:t>
            </w:r>
          </w:p>
        </w:tc>
        <w:tc>
          <w:tcPr>
            <w:tcW w:w="5086" w:type="dxa"/>
            <w:tcBorders>
              <w:top w:val="single" w:sz="6" w:space="0" w:color="4F81BD"/>
              <w:left w:val="single" w:sz="6" w:space="0" w:color="4F81BD"/>
              <w:bottom w:val="single" w:sz="6" w:space="0" w:color="4F81BD"/>
              <w:right w:val="single" w:sz="6" w:space="0" w:color="4F81BD"/>
            </w:tcBorders>
            <w:hideMark/>
          </w:tcPr>
          <w:p w14:paraId="757C9F65" w14:textId="77777777" w:rsidR="005D1807" w:rsidRPr="005D1807" w:rsidRDefault="005D1807" w:rsidP="005D1807">
            <w:pPr>
              <w:rPr>
                <w:b w:val="0"/>
                <w:bCs/>
              </w:rPr>
            </w:pPr>
            <w:r w:rsidRPr="00CC7087">
              <w:t>Գծապատկեր 1.5.</w:t>
            </w:r>
            <w:r w:rsidRPr="005D1807">
              <w:rPr>
                <w:b w:val="0"/>
                <w:bCs/>
              </w:rPr>
              <w:t xml:space="preserve"> Հումքային ապրանքների գները (ԱՄՆ դոլար)</w:t>
            </w:r>
          </w:p>
          <w:p w14:paraId="48FBE478" w14:textId="77777777" w:rsidR="005D1807" w:rsidRPr="005D1807" w:rsidRDefault="005D1807" w:rsidP="005D1807">
            <w:pPr>
              <w:rPr>
                <w:b w:val="0"/>
                <w:bCs/>
              </w:rPr>
            </w:pPr>
            <w:r w:rsidRPr="005D1807">
              <w:rPr>
                <w:b w:val="0"/>
                <w:bCs/>
                <w:noProof/>
                <w:lang w:val="en-US" w:eastAsia="en-US"/>
              </w:rPr>
              <w:drawing>
                <wp:inline distT="0" distB="0" distL="0" distR="0" wp14:anchorId="7C00A9D6" wp14:editId="40806AF5">
                  <wp:extent cx="2789555" cy="1965600"/>
                  <wp:effectExtent l="0" t="0" r="10795" b="1587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278B653" w14:textId="77777777" w:rsidR="005D1807" w:rsidRPr="005D1807" w:rsidRDefault="005D1807" w:rsidP="005D1807">
            <w:pPr>
              <w:rPr>
                <w:b w:val="0"/>
                <w:bCs/>
              </w:rPr>
            </w:pPr>
            <w:r w:rsidRPr="005D1807">
              <w:rPr>
                <w:b w:val="0"/>
                <w:bCs/>
              </w:rPr>
              <w:t xml:space="preserve">     Աղբյուրը՝ կանխատեսումները ըստ Բլումբերգի </w:t>
            </w:r>
          </w:p>
        </w:tc>
      </w:tr>
      <w:tr w:rsidR="005D1807" w:rsidRPr="005D1807" w14:paraId="42CFE680" w14:textId="77777777" w:rsidTr="00D656FB">
        <w:trPr>
          <w:trHeight w:val="187"/>
        </w:trPr>
        <w:tc>
          <w:tcPr>
            <w:tcW w:w="5052" w:type="dxa"/>
            <w:tcBorders>
              <w:top w:val="single" w:sz="6" w:space="0" w:color="4F81BD"/>
              <w:left w:val="single" w:sz="6" w:space="0" w:color="4F81BD"/>
              <w:bottom w:val="single" w:sz="6" w:space="0" w:color="4F81BD"/>
              <w:right w:val="single" w:sz="6" w:space="0" w:color="4F81BD"/>
            </w:tcBorders>
            <w:hideMark/>
          </w:tcPr>
          <w:p w14:paraId="07C8AD3A" w14:textId="77777777" w:rsidR="005D1807" w:rsidRPr="005D1807" w:rsidRDefault="005D1807" w:rsidP="005D1807">
            <w:pPr>
              <w:rPr>
                <w:b w:val="0"/>
                <w:bCs/>
              </w:rPr>
            </w:pPr>
            <w:r w:rsidRPr="00CC7087">
              <w:t>Գծապատկեր 1.6.</w:t>
            </w:r>
            <w:r w:rsidRPr="005D1807">
              <w:rPr>
                <w:b w:val="0"/>
                <w:bCs/>
              </w:rPr>
              <w:t xml:space="preserve"> Համաշխարհային առևտրի դոլարային աճերը(%) </w:t>
            </w:r>
          </w:p>
          <w:p w14:paraId="38AA3CA6" w14:textId="77777777" w:rsidR="005D1807" w:rsidRPr="005D1807" w:rsidRDefault="005D1807" w:rsidP="005D1807">
            <w:pPr>
              <w:rPr>
                <w:b w:val="0"/>
                <w:bCs/>
              </w:rPr>
            </w:pPr>
            <w:r w:rsidRPr="005D1807">
              <w:rPr>
                <w:b w:val="0"/>
                <w:bCs/>
                <w:noProof/>
                <w:lang w:val="en-US" w:eastAsia="en-US"/>
              </w:rPr>
              <w:drawing>
                <wp:anchor distT="0" distB="0" distL="114300" distR="114300" simplePos="0" relativeHeight="251760640" behindDoc="1" locked="0" layoutInCell="1" allowOverlap="1" wp14:anchorId="1994085B" wp14:editId="5F114C3F">
                  <wp:simplePos x="0" y="0"/>
                  <wp:positionH relativeFrom="column">
                    <wp:posOffset>-5080</wp:posOffset>
                  </wp:positionH>
                  <wp:positionV relativeFrom="paragraph">
                    <wp:posOffset>181610</wp:posOffset>
                  </wp:positionV>
                  <wp:extent cx="2790000" cy="1965600"/>
                  <wp:effectExtent l="0" t="0" r="10795" b="15875"/>
                  <wp:wrapTight wrapText="bothSides">
                    <wp:wrapPolygon edited="0">
                      <wp:start x="0" y="0"/>
                      <wp:lineTo x="0" y="21565"/>
                      <wp:lineTo x="21536" y="21565"/>
                      <wp:lineTo x="21536" y="0"/>
                      <wp:lineTo x="0" y="0"/>
                    </wp:wrapPolygon>
                  </wp:wrapTight>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5E57715" w14:textId="77777777" w:rsidR="005D1807" w:rsidRPr="005D1807" w:rsidRDefault="005D1807" w:rsidP="005D1807">
            <w:pPr>
              <w:rPr>
                <w:b w:val="0"/>
                <w:bCs/>
              </w:rPr>
            </w:pPr>
            <w:r w:rsidRPr="005D1807">
              <w:rPr>
                <w:b w:val="0"/>
                <w:bCs/>
              </w:rPr>
              <w:t>Աղբյուրը՝ ԱՄՀ</w:t>
            </w:r>
          </w:p>
        </w:tc>
        <w:tc>
          <w:tcPr>
            <w:tcW w:w="5086" w:type="dxa"/>
            <w:tcBorders>
              <w:top w:val="single" w:sz="6" w:space="0" w:color="4F81BD"/>
              <w:left w:val="single" w:sz="6" w:space="0" w:color="4F81BD"/>
              <w:bottom w:val="single" w:sz="6" w:space="0" w:color="4F81BD"/>
              <w:right w:val="single" w:sz="6" w:space="0" w:color="4F81BD"/>
            </w:tcBorders>
          </w:tcPr>
          <w:p w14:paraId="7F16451B" w14:textId="77777777" w:rsidR="005D1807" w:rsidRPr="005D1807" w:rsidRDefault="005D1807" w:rsidP="005D1807">
            <w:pPr>
              <w:rPr>
                <w:b w:val="0"/>
                <w:bCs/>
              </w:rPr>
            </w:pPr>
            <w:r w:rsidRPr="00CC7087">
              <w:t>Գծապատկեր 1.7.</w:t>
            </w:r>
            <w:r w:rsidRPr="005D1807">
              <w:rPr>
                <w:b w:val="0"/>
                <w:bCs/>
              </w:rPr>
              <w:t xml:space="preserve"> Զարգացող երկրների ազգային արժույթների դոլարի նկատմամբ փոփոխությունները</w:t>
            </w:r>
            <w:r w:rsidRPr="005D1807">
              <w:rPr>
                <w:b w:val="0"/>
                <w:bCs/>
              </w:rPr>
              <w:footnoteReference w:id="11"/>
            </w:r>
          </w:p>
          <w:p w14:paraId="14660CFB" w14:textId="77777777" w:rsidR="005D1807" w:rsidRPr="005D1807" w:rsidRDefault="005D1807" w:rsidP="005D1807">
            <w:pPr>
              <w:rPr>
                <w:b w:val="0"/>
                <w:bCs/>
              </w:rPr>
            </w:pPr>
            <w:r w:rsidRPr="005D1807">
              <w:rPr>
                <w:b w:val="0"/>
                <w:bCs/>
                <w:noProof/>
                <w:lang w:val="en-US" w:eastAsia="en-US"/>
              </w:rPr>
              <w:drawing>
                <wp:anchor distT="0" distB="0" distL="114300" distR="114300" simplePos="0" relativeHeight="251762688" behindDoc="1" locked="0" layoutInCell="1" allowOverlap="1" wp14:anchorId="35A6E7C7" wp14:editId="5F167D6E">
                  <wp:simplePos x="0" y="0"/>
                  <wp:positionH relativeFrom="margin">
                    <wp:posOffset>145415</wp:posOffset>
                  </wp:positionH>
                  <wp:positionV relativeFrom="paragraph">
                    <wp:posOffset>182245</wp:posOffset>
                  </wp:positionV>
                  <wp:extent cx="2789555" cy="1965600"/>
                  <wp:effectExtent l="0" t="0" r="10795" b="15875"/>
                  <wp:wrapTight wrapText="bothSides">
                    <wp:wrapPolygon edited="0">
                      <wp:start x="0" y="0"/>
                      <wp:lineTo x="0" y="21565"/>
                      <wp:lineTo x="21536" y="21565"/>
                      <wp:lineTo x="21536" y="0"/>
                      <wp:lineTo x="0" y="0"/>
                    </wp:wrapPolygon>
                  </wp:wrapTight>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2A0CA984" w14:textId="77777777" w:rsidR="005D1807" w:rsidRPr="005D1807" w:rsidRDefault="005D1807" w:rsidP="005D1807">
            <w:pPr>
              <w:rPr>
                <w:b w:val="0"/>
                <w:bCs/>
              </w:rPr>
            </w:pPr>
            <w:r w:rsidRPr="005D1807">
              <w:rPr>
                <w:b w:val="0"/>
                <w:bCs/>
              </w:rPr>
              <w:t xml:space="preserve">     Աղբյուրը՝ Բլումբերգ, ՀՀ ԿԲ, ՀՀ ՖՆ հաշվարկներ</w:t>
            </w:r>
          </w:p>
        </w:tc>
      </w:tr>
      <w:tr w:rsidR="005D1807" w:rsidRPr="005D1807" w14:paraId="10381F13" w14:textId="77777777" w:rsidTr="00D656FB">
        <w:trPr>
          <w:trHeight w:val="52"/>
        </w:trPr>
        <w:tc>
          <w:tcPr>
            <w:tcW w:w="5052" w:type="dxa"/>
            <w:tcBorders>
              <w:top w:val="single" w:sz="6" w:space="0" w:color="4F81BD"/>
              <w:left w:val="single" w:sz="6" w:space="0" w:color="4F81BD"/>
              <w:bottom w:val="single" w:sz="6" w:space="0" w:color="4F81BD"/>
              <w:right w:val="single" w:sz="6" w:space="0" w:color="4F81BD"/>
            </w:tcBorders>
            <w:hideMark/>
          </w:tcPr>
          <w:p w14:paraId="3CCA8328" w14:textId="77777777" w:rsidR="005D1807" w:rsidRPr="005D1807" w:rsidRDefault="005D1807" w:rsidP="005D1807">
            <w:pPr>
              <w:rPr>
                <w:b w:val="0"/>
                <w:bCs/>
                <w:lang w:val="hy-AM"/>
              </w:rPr>
            </w:pPr>
            <w:r w:rsidRPr="005D1807">
              <w:rPr>
                <w:b w:val="0"/>
                <w:bCs/>
                <w:lang w:val="hy-AM"/>
              </w:rPr>
              <w:lastRenderedPageBreak/>
              <w:t xml:space="preserve">Գծապատկեր 1.8. Գործընկեր երկրների բաժնետոմսերի շուկաների ինդեքսները  </w:t>
            </w:r>
          </w:p>
          <w:p w14:paraId="40167A63" w14:textId="77777777" w:rsidR="005D1807" w:rsidRPr="005D1807" w:rsidRDefault="005D1807" w:rsidP="005D1807">
            <w:pPr>
              <w:rPr>
                <w:b w:val="0"/>
                <w:bCs/>
              </w:rPr>
            </w:pPr>
            <w:r w:rsidRPr="005D1807">
              <w:rPr>
                <w:b w:val="0"/>
                <w:bCs/>
                <w:noProof/>
                <w:lang w:val="en-US" w:eastAsia="en-US"/>
              </w:rPr>
              <w:drawing>
                <wp:inline distT="0" distB="0" distL="0" distR="0" wp14:anchorId="7CD6D161" wp14:editId="582B7012">
                  <wp:extent cx="2790000" cy="1965600"/>
                  <wp:effectExtent l="0" t="0" r="10795" b="1587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961EE2C" w14:textId="77777777" w:rsidR="005D1807" w:rsidRPr="005D1807" w:rsidRDefault="005D1807" w:rsidP="005D1807">
            <w:pPr>
              <w:rPr>
                <w:b w:val="0"/>
                <w:bCs/>
              </w:rPr>
            </w:pPr>
            <w:r w:rsidRPr="005D1807">
              <w:rPr>
                <w:b w:val="0"/>
                <w:bCs/>
              </w:rPr>
              <w:t>Աղբյուրը՝ Բլումբերգ, ՀՀ ՖՆ հաշվարկներ</w:t>
            </w:r>
          </w:p>
        </w:tc>
        <w:tc>
          <w:tcPr>
            <w:tcW w:w="5086" w:type="dxa"/>
            <w:tcBorders>
              <w:top w:val="single" w:sz="6" w:space="0" w:color="4F81BD"/>
              <w:left w:val="single" w:sz="6" w:space="0" w:color="4F81BD"/>
              <w:bottom w:val="single" w:sz="6" w:space="0" w:color="4F81BD"/>
              <w:right w:val="single" w:sz="6" w:space="0" w:color="4F81BD"/>
            </w:tcBorders>
          </w:tcPr>
          <w:p w14:paraId="7CFAEF63" w14:textId="77777777" w:rsidR="005D1807" w:rsidRPr="005D1807" w:rsidRDefault="005D1807" w:rsidP="005D1807">
            <w:pPr>
              <w:rPr>
                <w:b w:val="0"/>
                <w:bCs/>
              </w:rPr>
            </w:pPr>
            <w:r w:rsidRPr="005D1807">
              <w:rPr>
                <w:b w:val="0"/>
                <w:bCs/>
              </w:rPr>
              <w:t>Գծապատկեր 1.9. Զարգացող երկրների ռիսկի հավելավճարները</w:t>
            </w:r>
            <w:r w:rsidRPr="005D1807">
              <w:rPr>
                <w:b w:val="0"/>
                <w:bCs/>
              </w:rPr>
              <w:footnoteReference w:id="12"/>
            </w:r>
            <w:r w:rsidRPr="005D1807">
              <w:rPr>
                <w:b w:val="0"/>
                <w:bCs/>
              </w:rPr>
              <w:t xml:space="preserve"> </w:t>
            </w:r>
          </w:p>
          <w:p w14:paraId="41BEAE43" w14:textId="77777777" w:rsidR="005D1807" w:rsidRPr="005D1807" w:rsidRDefault="005D1807" w:rsidP="005D1807">
            <w:pPr>
              <w:rPr>
                <w:b w:val="0"/>
                <w:bCs/>
              </w:rPr>
            </w:pPr>
            <w:r w:rsidRPr="005D1807">
              <w:rPr>
                <w:b w:val="0"/>
                <w:bCs/>
                <w:noProof/>
                <w:lang w:val="en-US" w:eastAsia="en-US"/>
              </w:rPr>
              <w:drawing>
                <wp:inline distT="0" distB="0" distL="0" distR="0" wp14:anchorId="157749DE" wp14:editId="1C598FA2">
                  <wp:extent cx="3077155" cy="1965325"/>
                  <wp:effectExtent l="0" t="0" r="9525" b="1587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B301F93" w14:textId="77777777" w:rsidR="005D1807" w:rsidRPr="005D1807" w:rsidRDefault="005D1807" w:rsidP="005D1807">
            <w:pPr>
              <w:rPr>
                <w:b w:val="0"/>
                <w:bCs/>
              </w:rPr>
            </w:pPr>
            <w:r w:rsidRPr="005D1807">
              <w:rPr>
                <w:b w:val="0"/>
                <w:bCs/>
              </w:rPr>
              <w:t>Աղբյուրը՝ Բլումբերգ</w:t>
            </w:r>
          </w:p>
        </w:tc>
      </w:tr>
    </w:tbl>
    <w:p w14:paraId="540CD91E" w14:textId="77777777" w:rsidR="005D1807" w:rsidRPr="005D1807" w:rsidRDefault="005D1807" w:rsidP="005D1807">
      <w:pPr>
        <w:rPr>
          <w:rFonts w:eastAsia="Calibri"/>
          <w:b w:val="0"/>
          <w:bCs/>
        </w:rPr>
      </w:pPr>
      <w:r w:rsidRPr="00CC7087">
        <w:rPr>
          <w:rFonts w:eastAsia="Calibri"/>
        </w:rPr>
        <w:t>Կանխատեսում.</w:t>
      </w:r>
      <w:r w:rsidRPr="005D1807">
        <w:rPr>
          <w:rFonts w:eastAsia="Calibri"/>
          <w:b w:val="0"/>
          <w:bCs/>
        </w:rPr>
        <w:t xml:space="preserve"> Ըստ «Բլումբերգ» միջազգային հեղինակավոր կազմակերպության  կանխատեսումների 2023թ. նավթի միջազգային գները կնվազեն 17.8 %-ով, իսկ պղնձինը գները 3.6%-ով: 2024թ. նավթի և պղնձի գները կնվազեն համապատասխանաբար՝ 0.9% և 1.8%-ով:</w:t>
      </w:r>
    </w:p>
    <w:p w14:paraId="0BF23D1A" w14:textId="77777777" w:rsidR="005D1807" w:rsidRPr="005D1807" w:rsidRDefault="005D1807" w:rsidP="005D1807">
      <w:pPr>
        <w:rPr>
          <w:rFonts w:eastAsia="Calibri"/>
          <w:b w:val="0"/>
          <w:bCs/>
        </w:rPr>
      </w:pPr>
      <w:r w:rsidRPr="00CC7087">
        <w:rPr>
          <w:rFonts w:eastAsia="Calibri"/>
        </w:rPr>
        <w:t>Միջազգային ապրանքային, արժութային և ֆինանսական շուկաները էական տատանումների են ենթարկվում:</w:t>
      </w:r>
      <w:r w:rsidRPr="005D1807">
        <w:rPr>
          <w:rFonts w:eastAsia="Calibri"/>
          <w:b w:val="0"/>
          <w:bCs/>
        </w:rPr>
        <w:t xml:space="preserve"> Համաշխարհային առևտրի տեմպերը էապես դանդաղել են, իսկ ֆինանսական շուկաներում նկատվում են բաժնետոմսերի գների վերականգնում: Զարգացող երկրների արժույթները վերականգնման միտում ունեն, մինչդեռ ռուսական ռուբլին ԱՄՆ դոլարի նկատմամբ շարունակում է արժեզրկվել: Այս պայմաններում, զարգացող երկրների, այդ թվում տարածաշրջանի երկրների ռիսկի հավելավճարները նվազում են:</w:t>
      </w:r>
    </w:p>
    <w:p w14:paraId="671EC2D1" w14:textId="77777777" w:rsidR="005D1807" w:rsidRPr="005D1807" w:rsidRDefault="005D1807" w:rsidP="005D1807">
      <w:pPr>
        <w:rPr>
          <w:rFonts w:eastAsia="Calibri"/>
          <w:b w:val="0"/>
          <w:bCs/>
        </w:rPr>
      </w:pPr>
    </w:p>
    <w:p w14:paraId="2224CADB" w14:textId="77777777" w:rsidR="005D1807" w:rsidRPr="00CC7087" w:rsidRDefault="005D1807" w:rsidP="00CC7087">
      <w:pPr>
        <w:keepNext/>
        <w:keepLines/>
        <w:spacing w:before="0"/>
        <w:outlineLvl w:val="2"/>
        <w:rPr>
          <w:rFonts w:eastAsiaTheme="majorEastAsia" w:cstheme="majorBidi"/>
          <w:bCs/>
          <w:color w:val="1F497D" w:themeColor="text2"/>
          <w:sz w:val="24"/>
          <w:lang w:val="hy-AM" w:eastAsia="en-US"/>
        </w:rPr>
      </w:pPr>
      <w:bookmarkStart w:id="103" w:name="_Toc146911024"/>
      <w:bookmarkStart w:id="104" w:name="_Toc153184463"/>
      <w:r w:rsidRPr="00CC7087">
        <w:rPr>
          <w:rFonts w:eastAsiaTheme="majorEastAsia" w:cstheme="majorBidi"/>
          <w:bCs/>
          <w:color w:val="1F497D" w:themeColor="text2"/>
          <w:sz w:val="24"/>
          <w:lang w:val="hy-AM" w:eastAsia="en-US"/>
        </w:rPr>
        <w:t>1.3. ՀՀ ՄԱԿՐՈՏՆՏԵՍԱԿԱՆ ԶԱՐԳԱՑՈՒՄՆԵՐ ԵՎ ԿԱՆԽԱՏԵՍՈՒՄՆԵՐ</w:t>
      </w:r>
      <w:bookmarkEnd w:id="98"/>
      <w:bookmarkEnd w:id="99"/>
      <w:bookmarkEnd w:id="100"/>
      <w:bookmarkEnd w:id="101"/>
      <w:bookmarkEnd w:id="103"/>
      <w:bookmarkEnd w:id="104"/>
    </w:p>
    <w:p w14:paraId="788701DB" w14:textId="77777777" w:rsidR="005D1807" w:rsidRPr="00CC7087" w:rsidRDefault="005D1807" w:rsidP="00CC7087">
      <w:pPr>
        <w:spacing w:before="0" w:line="240" w:lineRule="auto"/>
        <w:jc w:val="left"/>
        <w:rPr>
          <w:rFonts w:eastAsiaTheme="majorEastAsia" w:cstheme="majorBidi"/>
          <w:bCs/>
          <w:color w:val="1F497D" w:themeColor="text2"/>
          <w:sz w:val="24"/>
          <w:lang w:val="hy-AM" w:eastAsia="en-US"/>
        </w:rPr>
      </w:pPr>
      <w:bookmarkStart w:id="105" w:name="_Toc45705385"/>
      <w:bookmarkStart w:id="106" w:name="_Toc51360523"/>
      <w:r w:rsidRPr="00CC7087">
        <w:rPr>
          <w:rFonts w:eastAsiaTheme="majorEastAsia" w:cstheme="majorBidi"/>
          <w:bCs/>
          <w:color w:val="1F497D" w:themeColor="text2"/>
          <w:sz w:val="24"/>
          <w:lang w:val="hy-AM" w:eastAsia="en-US"/>
        </w:rPr>
        <w:t>1.3.1. ՀՆԱ և տնտեսական աճ</w:t>
      </w:r>
      <w:bookmarkEnd w:id="105"/>
      <w:bookmarkEnd w:id="106"/>
    </w:p>
    <w:p w14:paraId="6E5F27A4" w14:textId="77777777" w:rsidR="005D1807" w:rsidRPr="0073392C" w:rsidRDefault="005D1807" w:rsidP="005D1807">
      <w:pPr>
        <w:rPr>
          <w:b w:val="0"/>
          <w:bCs/>
          <w:lang w:val="hy-AM"/>
        </w:rPr>
      </w:pPr>
      <w:bookmarkStart w:id="107" w:name="_Toc51360524"/>
      <w:r w:rsidRPr="0073392C">
        <w:rPr>
          <w:lang w:val="hy-AM"/>
        </w:rPr>
        <w:t>2021թ. տնտեսության վերականգնման տեմպերը` 2022թ. փետրվարի վերջերից սկիզբ առած ռուս-ուկրաինական հակամարտության և Ռուսաստանի դեմ կիրառված պատժամիջոցների հետևանքով դեպի Հայաստան մարդկանց ներհոսքի, զբոսաշրջության զգալի ավելացման, տեղեկատվական տեխնոլոգիաների ոլորտի ընկերությունների ՀՀ տեղափոխման, ինչպես նաև ՀՀ-ից դեպի Ռուսաստան արտահանման պահանջարկի ավելացման արդյունքում արագացան՝ 2022թ. գրանցելով 12.6% տնտեսական աճ։</w:t>
      </w:r>
      <w:r w:rsidRPr="0073392C">
        <w:rPr>
          <w:b w:val="0"/>
          <w:bCs/>
          <w:lang w:val="hy-AM"/>
        </w:rPr>
        <w:t xml:space="preserve"> Տնտեսական աճին հիմնականում նպաստել է </w:t>
      </w:r>
      <w:r w:rsidRPr="0073392C">
        <w:rPr>
          <w:b w:val="0"/>
          <w:bCs/>
          <w:lang w:val="hy-AM"/>
        </w:rPr>
        <w:lastRenderedPageBreak/>
        <w:t>ծառայությունների ճյուղը (նպաստումը՝ 9.4 տոկոսային կետ)։ Մյուս ճյուղերը (բացառությամբ գյուղատնտեսության) նույնպես նպաստել են տնտեսական աճին։ Պահանջարկի տեսանկյունից աճին նպաստել են ինչպես ներքին (պայմանավորված հիմնականում մասնավոր սպառման և մասնավոր ներդրումների աճով), այնպես էլ արտաքին պահանջարկը (հիմնականում պայմանավորված ծառայությունների արտահանմամբ)։</w:t>
      </w:r>
    </w:p>
    <w:p w14:paraId="5380ACCC" w14:textId="77777777" w:rsidR="005D1807" w:rsidRPr="00F46689" w:rsidRDefault="005D1807" w:rsidP="005D1807">
      <w:pPr>
        <w:rPr>
          <w:b w:val="0"/>
          <w:bCs/>
          <w:lang w:val="hy-AM"/>
        </w:rPr>
      </w:pPr>
      <w:r w:rsidRPr="00F46689">
        <w:rPr>
          <w:lang w:val="hy-AM"/>
        </w:rPr>
        <w:t>Տնտեսական աճի բարձր տեմպերը շարունակվել են նաև 2023թ.՝ իրենց վրա կրելով դեռևս նախորդ տարվանից ՀՀ տնտեսության համար ձևավորված նպաստավոր գործոնների ազդեցությունը։ Արդյունքում առաջին կիսամյակում գրանցվել է 10․5% տնտեսական աճ։</w:t>
      </w:r>
      <w:r w:rsidRPr="00F46689">
        <w:rPr>
          <w:b w:val="0"/>
          <w:bCs/>
          <w:lang w:val="hy-AM"/>
        </w:rPr>
        <w:t xml:space="preserve"> Տնտեսության բոլոր ճյուղերը (բացառությամբ՝ գյուղատնտեսության) աճել են, սակայն տնտեսական աճը պայմանավորված է եղել հիմնականում ծառայությունների աճով (նպաստումը՝ 7.7 տոկոսային կետ)։ Ծառայությունների բարձր աճը (13․4%) պայմանավորված է եղել հիմնականում տեղեկատվություն և կապ (63.1%) ու առևտուր (22․8%) ենթաճյուղերի աճերով։ Բարձր աճեր են գրանցվել նաև կացության և հանրային սննդի կազմակերպում (32․3%), փոխադրումներ և պահեստային տնտեսություն (24․6%), ինչպես նաև մշակույթ, զվարճություններ և հանգիստ (18․3%) ենթաճյուղերում։ </w:t>
      </w:r>
    </w:p>
    <w:tbl>
      <w:tblPr>
        <w:tblW w:w="0" w:type="auto"/>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Look w:val="04A0" w:firstRow="1" w:lastRow="0" w:firstColumn="1" w:lastColumn="0" w:noHBand="0" w:noVBand="1"/>
      </w:tblPr>
      <w:tblGrid>
        <w:gridCol w:w="4509"/>
        <w:gridCol w:w="4593"/>
      </w:tblGrid>
      <w:tr w:rsidR="005D1807" w:rsidRPr="005D1807" w14:paraId="7A34A6B7" w14:textId="77777777" w:rsidTr="00D656FB">
        <w:trPr>
          <w:trHeight w:val="3430"/>
        </w:trPr>
        <w:tc>
          <w:tcPr>
            <w:tcW w:w="4963" w:type="dxa"/>
          </w:tcPr>
          <w:p w14:paraId="0A71EF72" w14:textId="77777777" w:rsidR="005D1807" w:rsidRPr="00F46689" w:rsidRDefault="005D1807" w:rsidP="005D1807">
            <w:pPr>
              <w:rPr>
                <w:rFonts w:eastAsia="Calibri"/>
                <w:b w:val="0"/>
                <w:bCs/>
                <w:lang w:val="hy-AM"/>
              </w:rPr>
            </w:pPr>
            <w:r w:rsidRPr="00F46689">
              <w:rPr>
                <w:rFonts w:eastAsia="Calibri"/>
                <w:lang w:val="hy-AM"/>
              </w:rPr>
              <w:t>Գծապատկեր 1.11</w:t>
            </w:r>
            <w:r w:rsidRPr="00F46689">
              <w:rPr>
                <w:rFonts w:eastAsia="Calibri"/>
                <w:b w:val="0"/>
                <w:bCs/>
                <w:lang w:val="hy-AM"/>
              </w:rPr>
              <w:t>. ՀՆԱ աճ (%) և ճյուղերի նպաստում- ները ՀՆԱ աճին (տ.կ.)</w:t>
            </w:r>
          </w:p>
          <w:p w14:paraId="4FFB9A04" w14:textId="77777777" w:rsidR="005D1807" w:rsidRPr="005D1807" w:rsidRDefault="005D1807" w:rsidP="005D1807">
            <w:pPr>
              <w:rPr>
                <w:b w:val="0"/>
                <w:bCs/>
              </w:rPr>
            </w:pPr>
            <w:r w:rsidRPr="005D1807">
              <w:rPr>
                <w:b w:val="0"/>
                <w:bCs/>
                <w:noProof/>
                <w:lang w:val="en-US" w:eastAsia="en-US"/>
              </w:rPr>
              <w:drawing>
                <wp:inline distT="0" distB="0" distL="0" distR="0" wp14:anchorId="32E8065B" wp14:editId="0A4895FF">
                  <wp:extent cx="2903855" cy="1781092"/>
                  <wp:effectExtent l="0" t="0" r="10795" b="10160"/>
                  <wp:docPr id="68" name="Chart 68">
                    <a:extLst xmlns:a="http://schemas.openxmlformats.org/drawingml/2006/main">
                      <a:ext uri="{FF2B5EF4-FFF2-40B4-BE49-F238E27FC236}">
                        <a16:creationId xmlns:a16="http://schemas.microsoft.com/office/drawing/2014/main" id="{B706C3B2-915B-4C24-A125-9A8A708CD2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2506EBD" w14:textId="77777777" w:rsidR="005D1807" w:rsidRPr="005D1807" w:rsidRDefault="005D1807" w:rsidP="005D1807">
            <w:pPr>
              <w:rPr>
                <w:rFonts w:eastAsia="Calibri"/>
                <w:b w:val="0"/>
                <w:bCs/>
              </w:rPr>
            </w:pPr>
            <w:r w:rsidRPr="005D1807">
              <w:rPr>
                <w:rFonts w:eastAsia="Calibri"/>
                <w:b w:val="0"/>
                <w:bCs/>
              </w:rPr>
              <w:t xml:space="preserve">Աղբյուրը՝ ՀՀ ՎԿ, ՀՀ ՖՆ հաշվարկներ </w:t>
            </w:r>
          </w:p>
        </w:tc>
        <w:tc>
          <w:tcPr>
            <w:tcW w:w="4963" w:type="dxa"/>
          </w:tcPr>
          <w:p w14:paraId="62B4EF9F" w14:textId="77777777" w:rsidR="005D1807" w:rsidRPr="005D1807" w:rsidRDefault="005D1807" w:rsidP="005D1807">
            <w:pPr>
              <w:rPr>
                <w:rFonts w:eastAsia="Calibri"/>
                <w:b w:val="0"/>
                <w:bCs/>
              </w:rPr>
            </w:pPr>
            <w:r w:rsidRPr="00CC7087">
              <w:rPr>
                <w:rFonts w:eastAsia="Calibri"/>
              </w:rPr>
              <w:t>Գծապատկեր 1.12.</w:t>
            </w:r>
            <w:r w:rsidRPr="005D1807">
              <w:rPr>
                <w:rFonts w:eastAsia="Calibri"/>
                <w:b w:val="0"/>
                <w:bCs/>
              </w:rPr>
              <w:t xml:space="preserve"> ՀՆԱ աճ (%) և պահանջարկի բաղա- դրիչների նպաստումները ՀՆԱ աճին (տ.կ.)</w:t>
            </w:r>
          </w:p>
          <w:p w14:paraId="525991FC" w14:textId="77777777" w:rsidR="005D1807" w:rsidRPr="005D1807" w:rsidRDefault="005D1807" w:rsidP="005D1807">
            <w:pPr>
              <w:rPr>
                <w:rFonts w:eastAsia="Calibri"/>
                <w:b w:val="0"/>
                <w:bCs/>
              </w:rPr>
            </w:pPr>
            <w:r w:rsidRPr="005D1807">
              <w:rPr>
                <w:b w:val="0"/>
                <w:bCs/>
                <w:noProof/>
                <w:lang w:val="en-US" w:eastAsia="en-US"/>
              </w:rPr>
              <w:drawing>
                <wp:inline distT="0" distB="0" distL="0" distR="0" wp14:anchorId="1DAF0F50" wp14:editId="5FEB21F7">
                  <wp:extent cx="2962275" cy="1780540"/>
                  <wp:effectExtent l="0" t="0" r="9525" b="10160"/>
                  <wp:docPr id="40" name="Chart 40">
                    <a:extLst xmlns:a="http://schemas.openxmlformats.org/drawingml/2006/main">
                      <a:ext uri="{FF2B5EF4-FFF2-40B4-BE49-F238E27FC236}">
                        <a16:creationId xmlns:a16="http://schemas.microsoft.com/office/drawing/2014/main" id="{9315E2B3-D3AE-476A-B7C4-ACF3898E8B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1425E9E" w14:textId="77777777" w:rsidR="005D1807" w:rsidRPr="005D1807" w:rsidRDefault="005D1807" w:rsidP="005D1807">
            <w:pPr>
              <w:rPr>
                <w:rFonts w:eastAsia="Calibri"/>
                <w:b w:val="0"/>
                <w:bCs/>
              </w:rPr>
            </w:pPr>
            <w:r w:rsidRPr="005D1807">
              <w:rPr>
                <w:rFonts w:eastAsia="Calibri"/>
                <w:b w:val="0"/>
                <w:bCs/>
              </w:rPr>
              <w:t>Աղբյուրը՝ ՀՀ ՎԿ, ՀՀ ՖՆ հաշվարկներ</w:t>
            </w:r>
          </w:p>
        </w:tc>
      </w:tr>
    </w:tbl>
    <w:p w14:paraId="50ECBA15" w14:textId="77777777" w:rsidR="005D1807" w:rsidRPr="005D1807" w:rsidRDefault="005D1807" w:rsidP="005D1807">
      <w:pPr>
        <w:rPr>
          <w:b w:val="0"/>
          <w:bCs/>
          <w:lang w:val="hy-AM"/>
        </w:rPr>
      </w:pPr>
      <w:r w:rsidRPr="005D1807">
        <w:rPr>
          <w:b w:val="0"/>
          <w:bCs/>
          <w:lang w:val="hy-AM"/>
        </w:rPr>
        <w:t>Հունիս ամսից տնտեսական ակտիվությունը փոքր-ինչ դանդաղել է՝ պայմանավորված հիմնականում ծառայությունների աճի տեմպի դանդաղմամբ և արդյունաբերության նվազմամբ։ Արդյունքում 2023թ. հունվար-հուլիսին արձանագրվել է տնտեսական ակտիվության (ՏԱՑ) 10.4% աճ, ինչը պայմանավորված էր հիմնականում ծառայությունների և առևտրի աճերով (համապատասխանաբար՝ 5․0 և 2․9 տոկոսային կետ</w:t>
      </w:r>
      <w:r w:rsidRPr="005D1807">
        <w:rPr>
          <w:b w:val="0"/>
          <w:bCs/>
        </w:rPr>
        <w:footnoteReference w:id="13"/>
      </w:r>
      <w:r w:rsidRPr="005D1807">
        <w:rPr>
          <w:b w:val="0"/>
          <w:bCs/>
          <w:lang w:val="hy-AM"/>
        </w:rPr>
        <w:t xml:space="preserve">)։ Մյուս ճյուղերի </w:t>
      </w:r>
      <w:r w:rsidRPr="005D1807">
        <w:rPr>
          <w:b w:val="0"/>
          <w:bCs/>
          <w:lang w:val="hy-AM"/>
        </w:rPr>
        <w:lastRenderedPageBreak/>
        <w:t>համախառն թողարկումների իրական աճերը ևս նպաստել են տնտեսական ակտիվությանը։</w:t>
      </w:r>
    </w:p>
    <w:tbl>
      <w:tblPr>
        <w:tblStyle w:val="TableGrid3150"/>
        <w:tblW w:w="0" w:type="auto"/>
        <w:tblBorders>
          <w:top w:val="single" w:sz="6" w:space="0" w:color="4F81BD"/>
          <w:left w:val="single" w:sz="6" w:space="0" w:color="4F81BD"/>
          <w:bottom w:val="single" w:sz="6" w:space="0" w:color="4F81BD"/>
          <w:right w:val="single" w:sz="6" w:space="0" w:color="4F81BD"/>
          <w:insideH w:val="single" w:sz="6" w:space="0" w:color="4F81BD"/>
          <w:insideV w:val="single" w:sz="6" w:space="0" w:color="4F81BD"/>
        </w:tblBorders>
        <w:tblLook w:val="04A0" w:firstRow="1" w:lastRow="0" w:firstColumn="1" w:lastColumn="0" w:noHBand="0" w:noVBand="1"/>
      </w:tblPr>
      <w:tblGrid>
        <w:gridCol w:w="4602"/>
        <w:gridCol w:w="4494"/>
      </w:tblGrid>
      <w:tr w:rsidR="005D1807" w:rsidRPr="005D1807" w14:paraId="4B4AB501" w14:textId="77777777" w:rsidTr="00D656FB">
        <w:trPr>
          <w:trHeight w:val="4129"/>
        </w:trPr>
        <w:tc>
          <w:tcPr>
            <w:tcW w:w="4928" w:type="dxa"/>
            <w:shd w:val="clear" w:color="auto" w:fill="auto"/>
          </w:tcPr>
          <w:p w14:paraId="24AB9E5C" w14:textId="77777777" w:rsidR="005D1807" w:rsidRPr="0073392C" w:rsidRDefault="005D1807" w:rsidP="005D1807">
            <w:pPr>
              <w:rPr>
                <w:b w:val="0"/>
                <w:bCs/>
                <w:lang w:val="hy-AM"/>
              </w:rPr>
            </w:pPr>
            <w:r w:rsidRPr="0073392C">
              <w:rPr>
                <w:lang w:val="hy-AM"/>
              </w:rPr>
              <w:t>Գծապատկեր 1.13.</w:t>
            </w:r>
            <w:r w:rsidRPr="0073392C">
              <w:rPr>
                <w:b w:val="0"/>
                <w:bCs/>
                <w:lang w:val="hy-AM"/>
              </w:rPr>
              <w:t xml:space="preserve"> ՏԱՑ և տնտեսության ճյուղերի իրա- կան աճերը նախորդ տարվա նույն ժամանակահատվածի նկատմամբ (կուտակային, %)</w:t>
            </w:r>
          </w:p>
          <w:p w14:paraId="66E6E405" w14:textId="77777777" w:rsidR="005D1807" w:rsidRPr="005D1807" w:rsidRDefault="005D1807" w:rsidP="005D1807">
            <w:pPr>
              <w:rPr>
                <w:b w:val="0"/>
                <w:bCs/>
              </w:rPr>
            </w:pPr>
            <w:r w:rsidRPr="005D1807">
              <w:rPr>
                <w:b w:val="0"/>
                <w:bCs/>
                <w:noProof/>
                <w:lang w:val="en-US" w:eastAsia="en-US"/>
              </w:rPr>
              <w:drawing>
                <wp:inline distT="0" distB="0" distL="0" distR="0" wp14:anchorId="5A82D985" wp14:editId="68DFA685">
                  <wp:extent cx="3064510" cy="2176145"/>
                  <wp:effectExtent l="0" t="0" r="2540" b="1460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2C68149" w14:textId="77777777" w:rsidR="005D1807" w:rsidRPr="005D1807" w:rsidRDefault="005D1807" w:rsidP="005D1807">
            <w:pPr>
              <w:rPr>
                <w:b w:val="0"/>
                <w:bCs/>
                <w:highlight w:val="yellow"/>
              </w:rPr>
            </w:pPr>
            <w:r w:rsidRPr="005D1807">
              <w:rPr>
                <w:b w:val="0"/>
                <w:bCs/>
              </w:rPr>
              <w:t>Աղբյուրը՝ ՀՀ ՎԿ</w:t>
            </w:r>
          </w:p>
        </w:tc>
        <w:tc>
          <w:tcPr>
            <w:tcW w:w="4812" w:type="dxa"/>
          </w:tcPr>
          <w:p w14:paraId="545AB5D2" w14:textId="77777777" w:rsidR="005D1807" w:rsidRPr="005D1807" w:rsidRDefault="005D1807" w:rsidP="005D1807">
            <w:pPr>
              <w:rPr>
                <w:b w:val="0"/>
                <w:bCs/>
              </w:rPr>
            </w:pPr>
            <w:r w:rsidRPr="00CC7087">
              <w:rPr>
                <w:noProof/>
                <w:lang w:val="en-US" w:eastAsia="en-US"/>
              </w:rPr>
              <w:drawing>
                <wp:anchor distT="0" distB="0" distL="114300" distR="114300" simplePos="0" relativeHeight="251763712" behindDoc="1" locked="0" layoutInCell="1" allowOverlap="1" wp14:anchorId="67042909" wp14:editId="25A72D9D">
                  <wp:simplePos x="0" y="0"/>
                  <wp:positionH relativeFrom="column">
                    <wp:posOffset>-46355</wp:posOffset>
                  </wp:positionH>
                  <wp:positionV relativeFrom="paragraph">
                    <wp:posOffset>702945</wp:posOffset>
                  </wp:positionV>
                  <wp:extent cx="3028950" cy="2176145"/>
                  <wp:effectExtent l="0" t="0" r="0" b="14605"/>
                  <wp:wrapTight wrapText="bothSides">
                    <wp:wrapPolygon edited="0">
                      <wp:start x="0" y="0"/>
                      <wp:lineTo x="0" y="21556"/>
                      <wp:lineTo x="21464" y="21556"/>
                      <wp:lineTo x="21464" y="0"/>
                      <wp:lineTo x="0" y="0"/>
                    </wp:wrapPolygon>
                  </wp:wrapTight>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V relativeFrom="margin">
                    <wp14:pctHeight>0</wp14:pctHeight>
                  </wp14:sizeRelV>
                </wp:anchor>
              </w:drawing>
            </w:r>
            <w:r w:rsidRPr="00CC7087">
              <w:t>Գծապատկեր 1.14.</w:t>
            </w:r>
            <w:r w:rsidRPr="005D1807">
              <w:rPr>
                <w:b w:val="0"/>
                <w:bCs/>
              </w:rPr>
              <w:t xml:space="preserve"> ՏԱՑ և տնտեսության ճյուղերի իրական աճերը նախորդ տարվա նույն ամսվա նկատ- մամբ (ամսական, %)</w:t>
            </w:r>
          </w:p>
          <w:p w14:paraId="36FE0D22" w14:textId="77777777" w:rsidR="005D1807" w:rsidRPr="005D1807" w:rsidRDefault="005D1807" w:rsidP="005D1807">
            <w:pPr>
              <w:rPr>
                <w:b w:val="0"/>
                <w:bCs/>
                <w:highlight w:val="yellow"/>
              </w:rPr>
            </w:pPr>
            <w:r w:rsidRPr="005D1807">
              <w:rPr>
                <w:b w:val="0"/>
                <w:bCs/>
              </w:rPr>
              <w:t>Աղբյուրը՝ ՀՀ ՎԿ</w:t>
            </w:r>
            <w:r w:rsidRPr="005D1807" w:rsidDel="00DA0563">
              <w:rPr>
                <w:b w:val="0"/>
                <w:bCs/>
              </w:rPr>
              <w:t xml:space="preserve"> </w:t>
            </w:r>
          </w:p>
        </w:tc>
      </w:tr>
      <w:tr w:rsidR="005D1807" w:rsidRPr="005D1807" w14:paraId="2948E444" w14:textId="77777777" w:rsidTr="00D656FB">
        <w:trPr>
          <w:trHeight w:val="3949"/>
        </w:trPr>
        <w:tc>
          <w:tcPr>
            <w:tcW w:w="4928" w:type="dxa"/>
          </w:tcPr>
          <w:p w14:paraId="0C0ED789" w14:textId="77777777" w:rsidR="005D1807" w:rsidRPr="005D1807" w:rsidRDefault="005D1807" w:rsidP="005D1807">
            <w:pPr>
              <w:rPr>
                <w:b w:val="0"/>
                <w:bCs/>
              </w:rPr>
            </w:pPr>
            <w:r w:rsidRPr="00CC7087">
              <w:t>Գծապատկեր 1.15.</w:t>
            </w:r>
            <w:r w:rsidRPr="005D1807">
              <w:rPr>
                <w:b w:val="0"/>
                <w:bCs/>
              </w:rPr>
              <w:t xml:space="preserve"> Տնտեսության ճյուղերի նպաստում- ները ՏԱՑ-ին (կուտակային, տ.կ.)</w:t>
            </w:r>
            <w:r w:rsidRPr="005D1807">
              <w:rPr>
                <w:b w:val="0"/>
                <w:bCs/>
              </w:rPr>
              <w:footnoteReference w:id="14"/>
            </w:r>
            <w:r w:rsidRPr="005D1807">
              <w:rPr>
                <w:b w:val="0"/>
                <w:bCs/>
              </w:rPr>
              <w:t xml:space="preserve"> </w:t>
            </w:r>
            <w:r w:rsidRPr="005D1807">
              <w:rPr>
                <w:b w:val="0"/>
                <w:bCs/>
                <w:noProof/>
                <w:lang w:val="en-US" w:eastAsia="en-US"/>
              </w:rPr>
              <w:drawing>
                <wp:inline distT="0" distB="0" distL="0" distR="0" wp14:anchorId="198DB6BB" wp14:editId="6CA7DD7A">
                  <wp:extent cx="3095625" cy="2134235"/>
                  <wp:effectExtent l="0" t="0" r="9525" b="1841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06F5306" w14:textId="77777777" w:rsidR="005D1807" w:rsidRPr="005D1807" w:rsidRDefault="005D1807" w:rsidP="005D1807">
            <w:pPr>
              <w:rPr>
                <w:b w:val="0"/>
                <w:bCs/>
                <w:highlight w:val="yellow"/>
              </w:rPr>
            </w:pPr>
            <w:r w:rsidRPr="005D1807">
              <w:rPr>
                <w:b w:val="0"/>
                <w:bCs/>
              </w:rPr>
              <w:t>Աղբյուրը՝ ՀՀ ՎԿ, ՀՀ ՖՆ հաշվարկներ</w:t>
            </w:r>
            <w:r w:rsidRPr="005D1807">
              <w:rPr>
                <w:b w:val="0"/>
                <w:bCs/>
                <w:highlight w:val="yellow"/>
              </w:rPr>
              <w:t xml:space="preserve"> </w:t>
            </w:r>
          </w:p>
        </w:tc>
        <w:tc>
          <w:tcPr>
            <w:tcW w:w="4812" w:type="dxa"/>
          </w:tcPr>
          <w:p w14:paraId="39D0E61F" w14:textId="77777777" w:rsidR="005D1807" w:rsidRPr="005D1807" w:rsidRDefault="005D1807" w:rsidP="005D1807">
            <w:pPr>
              <w:rPr>
                <w:b w:val="0"/>
                <w:bCs/>
              </w:rPr>
            </w:pPr>
            <w:r w:rsidRPr="00CC7087">
              <w:t>Գծապատկեր 1.16.</w:t>
            </w:r>
            <w:r w:rsidRPr="005D1807">
              <w:rPr>
                <w:b w:val="0"/>
                <w:bCs/>
              </w:rPr>
              <w:t xml:space="preserve"> Տնտեսության ճյուղերի նպաստում- ները ՏԱՑ-ին նախորդ տարվա նույն ամսվա նկատ- մամբ (ամսական, տ.կ.)</w:t>
            </w:r>
          </w:p>
          <w:p w14:paraId="1E18FE0B" w14:textId="77777777" w:rsidR="005D1807" w:rsidRPr="005D1807" w:rsidRDefault="005D1807" w:rsidP="005D1807">
            <w:pPr>
              <w:rPr>
                <w:b w:val="0"/>
                <w:bCs/>
              </w:rPr>
            </w:pPr>
            <w:r w:rsidRPr="005D1807">
              <w:rPr>
                <w:b w:val="0"/>
                <w:bCs/>
                <w:noProof/>
                <w:lang w:val="en-US" w:eastAsia="en-US"/>
              </w:rPr>
              <w:drawing>
                <wp:inline distT="0" distB="0" distL="0" distR="0" wp14:anchorId="7EE87E56" wp14:editId="3843B489">
                  <wp:extent cx="3019425" cy="1959429"/>
                  <wp:effectExtent l="0" t="0" r="9525" b="317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FD6AA1D" w14:textId="77777777" w:rsidR="005D1807" w:rsidRPr="005D1807" w:rsidRDefault="005D1807" w:rsidP="005D1807">
            <w:pPr>
              <w:rPr>
                <w:b w:val="0"/>
                <w:bCs/>
                <w:highlight w:val="yellow"/>
              </w:rPr>
            </w:pPr>
            <w:r w:rsidRPr="005D1807">
              <w:rPr>
                <w:b w:val="0"/>
                <w:bCs/>
              </w:rPr>
              <w:t>Աղբյուրը՝ ՀՀ ՎԿ, ՀՀ ՖՆ հաշվարկներ</w:t>
            </w:r>
          </w:p>
        </w:tc>
      </w:tr>
    </w:tbl>
    <w:p w14:paraId="6C69D459" w14:textId="77777777" w:rsidR="005D1807" w:rsidRPr="005D1807" w:rsidRDefault="005D1807" w:rsidP="005D1807">
      <w:pPr>
        <w:rPr>
          <w:rFonts w:eastAsia="Calibri"/>
          <w:b w:val="0"/>
          <w:bCs/>
          <w:lang w:val="hy-AM"/>
        </w:rPr>
      </w:pPr>
      <w:r w:rsidRPr="00CC7087">
        <w:rPr>
          <w:rFonts w:eastAsia="Calibri"/>
          <w:lang w:val="hy-AM"/>
        </w:rPr>
        <w:lastRenderedPageBreak/>
        <w:t>Ներքին պահանջարկի աճը շարունակվել է նաև 2023թ. առաջին կիսամյակում։</w:t>
      </w:r>
      <w:r w:rsidRPr="00CC7087">
        <w:rPr>
          <w:lang w:val="hy-AM"/>
        </w:rPr>
        <w:t xml:space="preserve"> </w:t>
      </w:r>
      <w:r w:rsidRPr="005D1807">
        <w:rPr>
          <w:b w:val="0"/>
          <w:bCs/>
          <w:lang w:val="hy-AM"/>
        </w:rPr>
        <w:t>Ներքին պահանջարկի աճը պայմանավորված էր հիմնականում մասնավոր սպառման և մասնավոր ներդրումների աճով։ Պետական սպառումը և</w:t>
      </w:r>
      <w:r w:rsidRPr="005D1807">
        <w:rPr>
          <w:rFonts w:eastAsia="Calibri"/>
          <w:b w:val="0"/>
          <w:bCs/>
          <w:lang w:val="hy-AM"/>
        </w:rPr>
        <w:t xml:space="preserve"> պետական ներդրումները ևս աճել են։ Ներմուծման աճը արտահանման նկատմամբ եղել է առաջանցիկ, ինչի արդյունքում զուտ արտահանումը բացասաբար է նպաստել ՀՆԱ-ի իրական աճին։ Տնտեսության ներքին պահանջարկի աճի միտումները շարունակվել են նաև հուլիսին, մասնավորապես՝ սպառման աճի մասին են վկայում առևտրի և ծառայությունների, իսկ կապիտալ ներդրումների աճի մասին՝ շինարարության աճերը։  </w:t>
      </w:r>
    </w:p>
    <w:p w14:paraId="33045DC2" w14:textId="77777777" w:rsidR="005D1807" w:rsidRPr="0073392C" w:rsidRDefault="005D1807" w:rsidP="005D1807">
      <w:pPr>
        <w:rPr>
          <w:lang w:val="hy-AM"/>
        </w:rPr>
      </w:pPr>
      <w:r w:rsidRPr="0073392C">
        <w:rPr>
          <w:lang w:val="hy-AM"/>
        </w:rPr>
        <w:t xml:space="preserve">Կանխատեսում։ ՀՀ տնտեսության համար ձևավորված արտաքին նպաստավոր պայմանների պահպանման, պլանավորված մեծածավալ կապիտալ ծախսերի իրականացման, ՀՀ կառավարության կողմից նպատակադրված տնտեսության ներուժի բարձրացմանն ուղղված միջոցառումների </w:t>
      </w:r>
      <w:r w:rsidRPr="0073392C">
        <w:rPr>
          <w:rFonts w:eastAsia="Calibri"/>
          <w:lang w:val="hy-AM"/>
        </w:rPr>
        <w:t>պայմաններում 2023թ. սպասվում է 7.4% տնտեսական աճ</w:t>
      </w:r>
      <w:r w:rsidRPr="0073392C">
        <w:rPr>
          <w:lang w:val="hy-AM"/>
        </w:rPr>
        <w:t>:</w:t>
      </w:r>
    </w:p>
    <w:p w14:paraId="498DA608" w14:textId="77777777" w:rsidR="005D1807" w:rsidRPr="0073392C" w:rsidRDefault="005D1807" w:rsidP="005D1807">
      <w:pPr>
        <w:rPr>
          <w:highlight w:val="yellow"/>
          <w:lang w:val="hy-AM"/>
        </w:rPr>
      </w:pPr>
      <w:r w:rsidRPr="0073392C">
        <w:rPr>
          <w:lang w:val="hy-AM"/>
        </w:rPr>
        <w:t xml:space="preserve">Սպասվող արտաքին տնտեսական միջավայրի, ռուս-ուկրաինական հակամարտության արդյունքում դեպի ՀՀ մարդկանց և կապիտալի ներհոսքերի, ՏՏ ոլորտի ընկերությունների տեղափոխման արդյունքում առաջացած դրական զարգացումների որոշակի պահպանման   և ՀՀ կառավարության 2021-2026թթ. ծրագրով նախատեսված տնտեսության և տնտեսական աճի ներուժի բարձրացմանն ուղղված  քաղաքականության միջոցառումների պայմաններում 2024թ․ թիրախավորվում է 7․0% տնտեսական աճ։ </w:t>
      </w:r>
    </w:p>
    <w:p w14:paraId="5A27507B" w14:textId="77777777" w:rsidR="005D1807" w:rsidRPr="0073392C" w:rsidRDefault="005D1807" w:rsidP="005D1807">
      <w:pPr>
        <w:rPr>
          <w:rFonts w:eastAsia="GHEA Grapalat"/>
          <w:b w:val="0"/>
          <w:bCs/>
          <w:lang w:val="hy-AM"/>
        </w:rPr>
      </w:pPr>
      <w:r w:rsidRPr="0073392C">
        <w:rPr>
          <w:rFonts w:eastAsia="Calibri"/>
          <w:b w:val="0"/>
          <w:bCs/>
          <w:lang w:val="hy-AM"/>
        </w:rPr>
        <w:t>2023թ․ տ</w:t>
      </w:r>
      <w:r w:rsidRPr="0073392C">
        <w:rPr>
          <w:rFonts w:eastAsia="GHEA Grapalat"/>
          <w:b w:val="0"/>
          <w:bCs/>
          <w:lang w:val="hy-AM"/>
        </w:rPr>
        <w:t xml:space="preserve">նտեսական աճին հիմնականում կնպաստեն ծառայությունների և շինարարության ճյուղերի առաջանցիկ աճերը, իսկ 2024թ․ տնտեսական աճը պայմանավորված կլինի հիմնականում ծառայությունների և արդյունաբերության ճյուղերի աճով։ Տնտեսության մյուս ճյուղերը նույնպես դրական ազդեցություն կունենան տնտեսական աճի վրա: Ամբողջական պահանջարկը ևս կաճի՝ պայմանավորված ներքին սպառողական և ներդրումային պահանջարկի, ինչպես նաև արտահանման (հատկապես՝ ծառայությունների արտահանման մասով) աճով: </w:t>
      </w:r>
    </w:p>
    <w:p w14:paraId="314754C7" w14:textId="77777777" w:rsidR="005D1807" w:rsidRPr="00F46689" w:rsidRDefault="005D1807" w:rsidP="005D1807">
      <w:pPr>
        <w:rPr>
          <w:rFonts w:eastAsia="GHEA Grapalat"/>
          <w:lang w:val="hy-AM"/>
        </w:rPr>
      </w:pPr>
      <w:r w:rsidRPr="00F46689">
        <w:rPr>
          <w:rFonts w:eastAsia="GHEA Grapalat"/>
          <w:lang w:val="hy-AM"/>
        </w:rPr>
        <w:t>Պայմանավորված ՍԳԻ-ի և ապրանքների միջազգային գների զարգացումներով՝ 2023թ. ՀՆԱ-ի դեֆլյատորը նախորդ տարվա համեմատ կդանդաղի, իսկ 2024թ.՝ մի փոքր կաճի:</w:t>
      </w:r>
    </w:p>
    <w:p w14:paraId="188C24D2" w14:textId="77777777" w:rsidR="005D1807" w:rsidRPr="00CC7087" w:rsidRDefault="005D1807" w:rsidP="005D1807">
      <w:r w:rsidRPr="00F46689">
        <w:rPr>
          <w:lang w:val="hy-AM"/>
        </w:rPr>
        <w:t xml:space="preserve">Վերոնշյալ զարգացումների պայմաններում անվանական ՀՆԱ-ն 2023թ. կկազմի 9,450.1 մլրդ դրամ՝ 83.1 մլրդ դրամով պակաս լինելով 2024-2026թթ. ՄԺԾԾ-ով կանխատեսվող  ցուցանիշից, և 132.2 մլրդ դրամով ավելի` 2023թ․ բյուջեով ծրագրած ցուցանիշից: Իսկ 2024թ. անվանական ՀՆԱ-ն կկազմի 10,516.1 մլրդ դրամ՝ 92.1 մլրդ դրամով պակաս լինելով 2024-2026թթ. </w:t>
      </w:r>
      <w:r w:rsidRPr="00CC7087">
        <w:t xml:space="preserve">ՄԺԾԾ-ով կանխատեսվող  ցուցանիշից: </w:t>
      </w:r>
    </w:p>
    <w:tbl>
      <w:tblPr>
        <w:tblStyle w:val="TableGrid710"/>
        <w:tblW w:w="0" w:type="auto"/>
        <w:tblBorders>
          <w:top w:val="single" w:sz="6" w:space="0" w:color="4472C4"/>
          <w:left w:val="single" w:sz="6" w:space="0" w:color="4472C4"/>
          <w:bottom w:val="single" w:sz="6" w:space="0" w:color="4472C4"/>
          <w:right w:val="single" w:sz="6" w:space="0" w:color="4472C4"/>
          <w:insideH w:val="single" w:sz="6" w:space="0" w:color="4472C4"/>
          <w:insideV w:val="single" w:sz="6" w:space="0" w:color="4472C4"/>
        </w:tblBorders>
        <w:tblLook w:val="04A0" w:firstRow="1" w:lastRow="0" w:firstColumn="1" w:lastColumn="0" w:noHBand="0" w:noVBand="1"/>
      </w:tblPr>
      <w:tblGrid>
        <w:gridCol w:w="4577"/>
        <w:gridCol w:w="4519"/>
      </w:tblGrid>
      <w:tr w:rsidR="005D1807" w:rsidRPr="005D1807" w14:paraId="101E9861" w14:textId="77777777" w:rsidTr="00D656FB">
        <w:trPr>
          <w:trHeight w:val="3489"/>
        </w:trPr>
        <w:tc>
          <w:tcPr>
            <w:tcW w:w="5140" w:type="dxa"/>
            <w:tcBorders>
              <w:top w:val="single" w:sz="6" w:space="0" w:color="4472C4"/>
              <w:left w:val="single" w:sz="6" w:space="0" w:color="4472C4"/>
              <w:bottom w:val="single" w:sz="6" w:space="0" w:color="4472C4"/>
              <w:right w:val="single" w:sz="6" w:space="0" w:color="4472C4"/>
            </w:tcBorders>
          </w:tcPr>
          <w:p w14:paraId="536D4D8D" w14:textId="77777777" w:rsidR="005D1807" w:rsidRPr="005D1807" w:rsidRDefault="005D1807" w:rsidP="005D1807">
            <w:pPr>
              <w:rPr>
                <w:b w:val="0"/>
                <w:bCs/>
              </w:rPr>
            </w:pPr>
            <w:r w:rsidRPr="00CC7087">
              <w:lastRenderedPageBreak/>
              <w:t>Գծապատկեր 1.17.</w:t>
            </w:r>
            <w:r w:rsidRPr="005D1807">
              <w:rPr>
                <w:b w:val="0"/>
                <w:bCs/>
              </w:rPr>
              <w:t xml:space="preserve"> Անվանական ՀՆԱ և տնտեսական աճ</w:t>
            </w:r>
          </w:p>
          <w:p w14:paraId="2344FC15" w14:textId="77777777" w:rsidR="005D1807" w:rsidRPr="005D1807" w:rsidRDefault="005D1807" w:rsidP="005D1807">
            <w:pPr>
              <w:rPr>
                <w:b w:val="0"/>
                <w:bCs/>
              </w:rPr>
            </w:pPr>
          </w:p>
          <w:p w14:paraId="28876DA6" w14:textId="77777777" w:rsidR="005D1807" w:rsidRPr="005D1807" w:rsidRDefault="005D1807" w:rsidP="005D1807">
            <w:pPr>
              <w:rPr>
                <w:b w:val="0"/>
                <w:bCs/>
              </w:rPr>
            </w:pPr>
            <w:r w:rsidRPr="005D1807">
              <w:rPr>
                <w:b w:val="0"/>
                <w:bCs/>
                <w:noProof/>
                <w:lang w:val="en-US" w:eastAsia="en-US"/>
              </w:rPr>
              <w:drawing>
                <wp:inline distT="0" distB="0" distL="0" distR="0" wp14:anchorId="1871B906" wp14:editId="5DD3D912">
                  <wp:extent cx="2844000" cy="1852930"/>
                  <wp:effectExtent l="0" t="0" r="13970" b="1397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E863FBC" w14:textId="77777777" w:rsidR="005D1807" w:rsidRPr="005D1807" w:rsidRDefault="005D1807" w:rsidP="005D1807">
            <w:pPr>
              <w:rPr>
                <w:b w:val="0"/>
                <w:bCs/>
              </w:rPr>
            </w:pPr>
          </w:p>
          <w:p w14:paraId="2F48059C" w14:textId="77777777" w:rsidR="005D1807" w:rsidRPr="005D1807" w:rsidRDefault="005D1807" w:rsidP="005D1807">
            <w:pPr>
              <w:rPr>
                <w:b w:val="0"/>
                <w:bCs/>
              </w:rPr>
            </w:pPr>
            <w:r w:rsidRPr="005D1807">
              <w:rPr>
                <w:b w:val="0"/>
                <w:bCs/>
              </w:rPr>
              <w:t>Աղբյուրը՝ ՀՀ ՎԿ, ՀՀ ՖՆ հաշվարկներ և կանխատեսումներ</w:t>
            </w:r>
          </w:p>
        </w:tc>
        <w:tc>
          <w:tcPr>
            <w:tcW w:w="5110" w:type="dxa"/>
            <w:tcBorders>
              <w:top w:val="single" w:sz="6" w:space="0" w:color="4472C4"/>
              <w:left w:val="single" w:sz="6" w:space="0" w:color="4472C4"/>
              <w:bottom w:val="single" w:sz="6" w:space="0" w:color="4472C4"/>
              <w:right w:val="single" w:sz="6" w:space="0" w:color="4472C4"/>
            </w:tcBorders>
            <w:hideMark/>
          </w:tcPr>
          <w:p w14:paraId="790C0451" w14:textId="77777777" w:rsidR="005D1807" w:rsidRPr="005D1807" w:rsidRDefault="005D1807" w:rsidP="005D1807">
            <w:pPr>
              <w:rPr>
                <w:b w:val="0"/>
                <w:bCs/>
              </w:rPr>
            </w:pPr>
            <w:r w:rsidRPr="00CC7087">
              <w:t>Գծապատկեր 1.18.</w:t>
            </w:r>
            <w:r w:rsidRPr="005D1807">
              <w:rPr>
                <w:b w:val="0"/>
                <w:bCs/>
              </w:rPr>
              <w:t xml:space="preserve"> Իրական ՀՆԱ անկումը/աճը տնտե- սական ճգնաժամերի և հաջորդող տարիներին </w:t>
            </w:r>
          </w:p>
          <w:p w14:paraId="5D0E7EAD" w14:textId="77777777" w:rsidR="005D1807" w:rsidRPr="005D1807" w:rsidRDefault="005D1807" w:rsidP="005D1807">
            <w:pPr>
              <w:rPr>
                <w:b w:val="0"/>
                <w:bCs/>
              </w:rPr>
            </w:pPr>
            <w:r w:rsidRPr="005D1807">
              <w:rPr>
                <w:b w:val="0"/>
                <w:bCs/>
                <w:noProof/>
                <w:lang w:val="en-US" w:eastAsia="en-US"/>
              </w:rPr>
              <w:drawing>
                <wp:inline distT="0" distB="0" distL="0" distR="0" wp14:anchorId="233B62BB" wp14:editId="38475595">
                  <wp:extent cx="2808000" cy="1847850"/>
                  <wp:effectExtent l="0" t="0" r="1143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5D1807">
              <w:rPr>
                <w:b w:val="0"/>
                <w:bCs/>
              </w:rPr>
              <w:t>Աղբյուրը՝ ՀՀ ՎԿ, ՀՀ ՖՆ կանխատեսում</w:t>
            </w:r>
          </w:p>
        </w:tc>
      </w:tr>
      <w:tr w:rsidR="005D1807" w:rsidRPr="005D1807" w14:paraId="50CEB3EB" w14:textId="77777777" w:rsidTr="00D656FB">
        <w:trPr>
          <w:trHeight w:val="628"/>
        </w:trPr>
        <w:tc>
          <w:tcPr>
            <w:tcW w:w="5140" w:type="dxa"/>
            <w:tcBorders>
              <w:top w:val="single" w:sz="6" w:space="0" w:color="4472C4"/>
              <w:left w:val="single" w:sz="6" w:space="0" w:color="4472C4"/>
              <w:bottom w:val="single" w:sz="6" w:space="0" w:color="4472C4"/>
              <w:right w:val="single" w:sz="6" w:space="0" w:color="4472C4"/>
            </w:tcBorders>
            <w:hideMark/>
          </w:tcPr>
          <w:p w14:paraId="00C87970" w14:textId="77777777" w:rsidR="005D1807" w:rsidRPr="005D1807" w:rsidRDefault="005D1807" w:rsidP="005D1807">
            <w:pPr>
              <w:rPr>
                <w:b w:val="0"/>
                <w:bCs/>
                <w:lang w:val="hy-AM"/>
              </w:rPr>
            </w:pPr>
            <w:r w:rsidRPr="00CC7087">
              <w:rPr>
                <w:lang w:val="hy-AM"/>
              </w:rPr>
              <w:t>Գծապատկեր 1.19.</w:t>
            </w:r>
            <w:r w:rsidRPr="005D1807">
              <w:rPr>
                <w:b w:val="0"/>
                <w:bCs/>
                <w:lang w:val="hy-AM"/>
              </w:rPr>
              <w:t xml:space="preserve"> Տնտեսության առանձին ճյուղերի նպաստումները տնտեսական աճին </w:t>
            </w:r>
          </w:p>
          <w:p w14:paraId="25E77A02" w14:textId="77777777" w:rsidR="005D1807" w:rsidRPr="005D1807" w:rsidRDefault="005D1807" w:rsidP="005D1807">
            <w:pPr>
              <w:rPr>
                <w:b w:val="0"/>
                <w:bCs/>
              </w:rPr>
            </w:pPr>
            <w:r w:rsidRPr="005D1807">
              <w:rPr>
                <w:b w:val="0"/>
                <w:bCs/>
                <w:noProof/>
                <w:lang w:val="en-US" w:eastAsia="en-US"/>
              </w:rPr>
              <w:drawing>
                <wp:inline distT="0" distB="0" distL="0" distR="0" wp14:anchorId="23AB1111" wp14:editId="74BA8E24">
                  <wp:extent cx="2844000" cy="1905000"/>
                  <wp:effectExtent l="0" t="0" r="1397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C405AAC" w14:textId="77777777" w:rsidR="005D1807" w:rsidRPr="005D1807" w:rsidRDefault="005D1807" w:rsidP="005D1807">
            <w:pPr>
              <w:rPr>
                <w:b w:val="0"/>
                <w:bCs/>
              </w:rPr>
            </w:pPr>
            <w:r w:rsidRPr="005D1807">
              <w:rPr>
                <w:b w:val="0"/>
                <w:bCs/>
              </w:rPr>
              <w:t>Աղբյուրը՝ ՀՀ ՎԿ, ՀՀ ՖՆ հաշվարկներ և կանխատեսումներ</w:t>
            </w:r>
          </w:p>
        </w:tc>
        <w:tc>
          <w:tcPr>
            <w:tcW w:w="5110" w:type="dxa"/>
            <w:tcBorders>
              <w:top w:val="single" w:sz="6" w:space="0" w:color="4472C4"/>
              <w:left w:val="single" w:sz="6" w:space="0" w:color="4472C4"/>
              <w:bottom w:val="single" w:sz="6" w:space="0" w:color="4472C4"/>
              <w:right w:val="single" w:sz="6" w:space="0" w:color="4472C4"/>
            </w:tcBorders>
            <w:hideMark/>
          </w:tcPr>
          <w:p w14:paraId="0BE34374" w14:textId="77777777" w:rsidR="005D1807" w:rsidRPr="005D1807" w:rsidRDefault="005D1807" w:rsidP="005D1807">
            <w:pPr>
              <w:rPr>
                <w:b w:val="0"/>
                <w:bCs/>
              </w:rPr>
            </w:pPr>
            <w:r w:rsidRPr="00CC7087">
              <w:t>Գծապատկեր 1.20.</w:t>
            </w:r>
            <w:r w:rsidRPr="005D1807">
              <w:rPr>
                <w:b w:val="0"/>
                <w:bCs/>
              </w:rPr>
              <w:t xml:space="preserve"> Տնտեսական աճին պահանջարկի բաղադրիչների նպաստումները</w:t>
            </w:r>
          </w:p>
          <w:p w14:paraId="289F7589" w14:textId="77777777" w:rsidR="005D1807" w:rsidRPr="005D1807" w:rsidRDefault="005D1807" w:rsidP="005D1807">
            <w:pPr>
              <w:rPr>
                <w:b w:val="0"/>
                <w:bCs/>
              </w:rPr>
            </w:pPr>
            <w:r w:rsidRPr="005D1807">
              <w:rPr>
                <w:b w:val="0"/>
                <w:bCs/>
                <w:noProof/>
                <w:lang w:val="en-US" w:eastAsia="en-US"/>
              </w:rPr>
              <w:drawing>
                <wp:inline distT="0" distB="0" distL="0" distR="0" wp14:anchorId="33EBFA88" wp14:editId="7EF70C31">
                  <wp:extent cx="2808000" cy="1876425"/>
                  <wp:effectExtent l="0" t="0" r="11430" b="952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86CCBAF" w14:textId="77777777" w:rsidR="005D1807" w:rsidRPr="005D1807" w:rsidRDefault="005D1807" w:rsidP="005D1807">
            <w:pPr>
              <w:rPr>
                <w:b w:val="0"/>
                <w:bCs/>
              </w:rPr>
            </w:pPr>
            <w:r w:rsidRPr="005D1807">
              <w:rPr>
                <w:b w:val="0"/>
                <w:bCs/>
              </w:rPr>
              <w:t>Աղբյուրը՝ ՀՀ ՎԿ, ՀՀ ՖՆ հաշվարկներ և կանխատեսումներ</w:t>
            </w:r>
          </w:p>
        </w:tc>
      </w:tr>
    </w:tbl>
    <w:p w14:paraId="24D912D1" w14:textId="77777777" w:rsidR="005D1807" w:rsidRPr="005D1807" w:rsidRDefault="005D1807" w:rsidP="005D1807">
      <w:pPr>
        <w:rPr>
          <w:rFonts w:eastAsia="Calibri"/>
          <w:b w:val="0"/>
          <w:bCs/>
        </w:rPr>
      </w:pPr>
      <w:r w:rsidRPr="00CC7087">
        <w:t>Համախառն առաջարկի կանխատեսում.</w:t>
      </w:r>
      <w:r w:rsidRPr="005D1807">
        <w:rPr>
          <w:b w:val="0"/>
          <w:bCs/>
        </w:rPr>
        <w:t xml:space="preserve"> </w:t>
      </w:r>
      <w:r w:rsidRPr="005D1807">
        <w:rPr>
          <w:rFonts w:eastAsia="Calibri"/>
          <w:b w:val="0"/>
          <w:bCs/>
        </w:rPr>
        <w:t>ՀՀ տեղափոխված ՏՏ ոլորտի ընկերությունների և աշխատակիցների, կապիտալի և մարդկանց ներհոսքի թողած դրական ազդեցությունների որոշակիորեն պահպանման, ՀՀ կառավարության կողմից նախատեսված մասնավոր ներդրումների խթանման, տնտեսության արդիականացման և</w:t>
      </w:r>
      <w:r w:rsidRPr="005D1807">
        <w:rPr>
          <w:b w:val="0"/>
          <w:bCs/>
        </w:rPr>
        <w:t xml:space="preserve"> գործարար միջավայրի բարելավման, տեխնոլոգիական առաջընթացի ապահովման, տնտեսության արտահանելի հատվածի և արտահանման խթանմանն ուղղված քաղաքականությունների, ինչպես նաև մեծածավալ պետական ներդրումների իրականացման պայմաններում 2023թ․ սպասվոմ է 7.4% տնտեսական աճ, ինչը </w:t>
      </w:r>
      <w:r w:rsidRPr="005D1807">
        <w:rPr>
          <w:b w:val="0"/>
          <w:bCs/>
        </w:rPr>
        <w:lastRenderedPageBreak/>
        <w:t xml:space="preserve">հիմնականում պայմանավորված կլինի ծառայությունների (ներառյալ առևտուրը) և շինարարության, համապատասխանաբար՝ 8․6% և 17.6% առաջանցիկ աճերով։ Արդյունաբերության և գյուղատնտեսության ճյուղերը նույնպես կաճեն (համապատասխանաբար՝ 0․8% և 1.2%)` դրական նպաստելով տնտեսական աճին: </w:t>
      </w:r>
      <w:r w:rsidRPr="005D1807">
        <w:rPr>
          <w:rFonts w:eastAsia="Calibri"/>
          <w:b w:val="0"/>
          <w:bCs/>
        </w:rPr>
        <w:t>2024թ. շինարարությունը կաճի 8․9%-ով, ծառայությունները՝ 7․9%-ով</w:t>
      </w:r>
      <w:r w:rsidRPr="005D1807" w:rsidDel="004A0AAD">
        <w:rPr>
          <w:rFonts w:eastAsia="Calibri"/>
          <w:b w:val="0"/>
          <w:bCs/>
        </w:rPr>
        <w:t xml:space="preserve"> </w:t>
      </w:r>
      <w:r w:rsidRPr="005D1807">
        <w:rPr>
          <w:rFonts w:eastAsia="Calibri"/>
          <w:b w:val="0"/>
          <w:bCs/>
        </w:rPr>
        <w:t>արդյունաբերությունը՝ 4․7%-ով, իսկ գյուղատնտեսությունը՝ 3.5%-ով:</w:t>
      </w:r>
    </w:p>
    <w:p w14:paraId="36B3AA9A" w14:textId="77777777" w:rsidR="005D1807" w:rsidRPr="005D1807" w:rsidRDefault="005D1807" w:rsidP="005D1807">
      <w:pPr>
        <w:rPr>
          <w:rFonts w:eastAsia="Calibri"/>
          <w:b w:val="0"/>
          <w:bCs/>
        </w:rPr>
      </w:pPr>
    </w:p>
    <w:tbl>
      <w:tblPr>
        <w:tblStyle w:val="TableGrid810"/>
        <w:tblW w:w="0" w:type="auto"/>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4551"/>
        <w:gridCol w:w="4551"/>
      </w:tblGrid>
      <w:tr w:rsidR="005D1807" w:rsidRPr="005D1807" w14:paraId="357FB4D1" w14:textId="77777777" w:rsidTr="00D656FB">
        <w:trPr>
          <w:trHeight w:val="3783"/>
        </w:trPr>
        <w:tc>
          <w:tcPr>
            <w:tcW w:w="5215" w:type="dxa"/>
            <w:tcBorders>
              <w:top w:val="single" w:sz="4" w:space="0" w:color="4472C4"/>
              <w:left w:val="single" w:sz="4" w:space="0" w:color="4472C4"/>
              <w:bottom w:val="single" w:sz="4" w:space="0" w:color="4472C4"/>
              <w:right w:val="single" w:sz="4" w:space="0" w:color="4472C4"/>
            </w:tcBorders>
            <w:hideMark/>
          </w:tcPr>
          <w:p w14:paraId="25A4A525" w14:textId="77777777" w:rsidR="005D1807" w:rsidRPr="005D1807" w:rsidRDefault="005D1807" w:rsidP="005D1807">
            <w:pPr>
              <w:rPr>
                <w:b w:val="0"/>
                <w:bCs/>
              </w:rPr>
            </w:pPr>
            <w:r w:rsidRPr="005D1807">
              <w:rPr>
                <w:b w:val="0"/>
                <w:bCs/>
              </w:rPr>
              <w:t>Գծապատկեր 1.21. Ծախսային բաղադրիչների տեսակարար կշիռները ՀՆԱ-ի կազմում</w:t>
            </w:r>
          </w:p>
          <w:p w14:paraId="3860560E" w14:textId="77777777" w:rsidR="005D1807" w:rsidRPr="005D1807" w:rsidRDefault="005D1807" w:rsidP="005D1807">
            <w:pPr>
              <w:rPr>
                <w:b w:val="0"/>
                <w:bCs/>
              </w:rPr>
            </w:pPr>
            <w:r w:rsidRPr="005D1807">
              <w:rPr>
                <w:b w:val="0"/>
                <w:bCs/>
                <w:noProof/>
                <w:lang w:val="en-US" w:eastAsia="en-US"/>
              </w:rPr>
              <w:drawing>
                <wp:inline distT="0" distB="0" distL="0" distR="0" wp14:anchorId="669BBD5E" wp14:editId="7FBCABDE">
                  <wp:extent cx="2808000" cy="1822450"/>
                  <wp:effectExtent l="0" t="0" r="11430" b="63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2D23A37" w14:textId="77777777" w:rsidR="005D1807" w:rsidRPr="005D1807" w:rsidRDefault="005D1807" w:rsidP="005D1807">
            <w:pPr>
              <w:rPr>
                <w:b w:val="0"/>
                <w:bCs/>
              </w:rPr>
            </w:pPr>
            <w:r w:rsidRPr="005D1807">
              <w:rPr>
                <w:b w:val="0"/>
                <w:bCs/>
              </w:rPr>
              <w:t>Աղբյուրը՝ ՀՀ ՎԿ, ՀՀ ՖՆ հաշվարկներ և կանխատեսումներ</w:t>
            </w:r>
          </w:p>
        </w:tc>
        <w:tc>
          <w:tcPr>
            <w:tcW w:w="5030" w:type="dxa"/>
            <w:tcBorders>
              <w:top w:val="single" w:sz="4" w:space="0" w:color="4472C4"/>
              <w:left w:val="single" w:sz="4" w:space="0" w:color="4472C4"/>
              <w:bottom w:val="single" w:sz="4" w:space="0" w:color="4472C4"/>
              <w:right w:val="single" w:sz="4" w:space="0" w:color="4472C4"/>
            </w:tcBorders>
            <w:hideMark/>
          </w:tcPr>
          <w:p w14:paraId="361035BC" w14:textId="77777777" w:rsidR="005D1807" w:rsidRPr="005D1807" w:rsidRDefault="005D1807" w:rsidP="005D1807">
            <w:pPr>
              <w:rPr>
                <w:b w:val="0"/>
                <w:bCs/>
              </w:rPr>
            </w:pPr>
            <w:r w:rsidRPr="005D1807">
              <w:rPr>
                <w:b w:val="0"/>
                <w:bCs/>
              </w:rPr>
              <w:t>Գծապատկեր 1.22. Ճյուղերի տեսակարար կշիռները ՀՆԱ-ի կազմում</w:t>
            </w:r>
          </w:p>
          <w:p w14:paraId="26EA3A66" w14:textId="77777777" w:rsidR="005D1807" w:rsidRPr="005D1807" w:rsidRDefault="005D1807" w:rsidP="005D1807">
            <w:pPr>
              <w:rPr>
                <w:b w:val="0"/>
                <w:bCs/>
              </w:rPr>
            </w:pPr>
          </w:p>
          <w:p w14:paraId="02CF3160" w14:textId="77777777" w:rsidR="005D1807" w:rsidRPr="005D1807" w:rsidRDefault="005D1807" w:rsidP="005D1807">
            <w:pPr>
              <w:rPr>
                <w:b w:val="0"/>
                <w:bCs/>
              </w:rPr>
            </w:pPr>
            <w:r w:rsidRPr="005D1807">
              <w:rPr>
                <w:b w:val="0"/>
                <w:bCs/>
                <w:noProof/>
                <w:lang w:val="en-US" w:eastAsia="en-US"/>
              </w:rPr>
              <w:drawing>
                <wp:inline distT="0" distB="0" distL="0" distR="0" wp14:anchorId="041A52FF" wp14:editId="00EEB11F">
                  <wp:extent cx="2808000" cy="1822450"/>
                  <wp:effectExtent l="0" t="0" r="11430" b="63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1A5ECF1" w14:textId="77777777" w:rsidR="005D1807" w:rsidRPr="005D1807" w:rsidRDefault="005D1807" w:rsidP="005D1807">
            <w:pPr>
              <w:rPr>
                <w:b w:val="0"/>
                <w:bCs/>
              </w:rPr>
            </w:pPr>
            <w:r w:rsidRPr="005D1807">
              <w:rPr>
                <w:b w:val="0"/>
                <w:bCs/>
              </w:rPr>
              <w:t>Աղբյուրը՝ ՀՀ ՎԿ, ՀՀ ՖՆ հաշվարկներ և կանխատեսումներ</w:t>
            </w:r>
          </w:p>
        </w:tc>
      </w:tr>
    </w:tbl>
    <w:p w14:paraId="7F48898B" w14:textId="77777777" w:rsidR="005D1807" w:rsidRPr="005D1807" w:rsidRDefault="005D1807" w:rsidP="005D1807">
      <w:pPr>
        <w:rPr>
          <w:rFonts w:eastAsia="Calibri"/>
          <w:b w:val="0"/>
          <w:bCs/>
        </w:rPr>
      </w:pPr>
    </w:p>
    <w:p w14:paraId="1CD18E9D" w14:textId="77777777" w:rsidR="005D1807" w:rsidRPr="005D1807" w:rsidRDefault="005D1807" w:rsidP="005D1807">
      <w:pPr>
        <w:rPr>
          <w:rFonts w:eastAsia="Calibri"/>
          <w:b w:val="0"/>
          <w:bCs/>
        </w:rPr>
      </w:pPr>
      <w:r w:rsidRPr="005D1807">
        <w:rPr>
          <w:rFonts w:eastAsia="Calibri"/>
          <w:b w:val="0"/>
          <w:bCs/>
        </w:rPr>
        <w:t>Համախառն պահանջարկի կանխատեսում. Ընթացիկ զարգացումների պայմաններում 2023թ. վերջնական սպառումը իրական արտահայտությամբ կաճի 8.7%-ով, իսկ ներդրումները՝ 23.2%-ով։ Սպառման և ներդրումների աճին կնպաստեն տնօրինվող եկամտի աճը, օտարերկրացիների ներհոսքը, բնակարանային շինարարության շարունակվող աճը, ինչպես նաև ներդրումային միջավայրի բարելավմանն ու մասնավոր ներդրումների խթանմանն ուղղված պետական քաղաքականությունը։</w:t>
      </w:r>
    </w:p>
    <w:p w14:paraId="2E58CCEA" w14:textId="77777777" w:rsidR="005D1807" w:rsidRPr="005D1807" w:rsidRDefault="005D1807" w:rsidP="005D1807">
      <w:pPr>
        <w:rPr>
          <w:rFonts w:eastAsia="Calibri"/>
          <w:b w:val="0"/>
          <w:bCs/>
        </w:rPr>
      </w:pPr>
      <w:r w:rsidRPr="005D1807">
        <w:rPr>
          <w:rFonts w:eastAsia="Calibri"/>
          <w:b w:val="0"/>
          <w:bCs/>
        </w:rPr>
        <w:t>2024թ. սպառումը կաճի 7.7%-ով, իսկ ներդրումները՝ 11.8%-ով: Ներդրումների աճը կպայմանավորվի ինչպես պետական (15.5% աճ), այնպես էլ ՀՀ կառավարության կողմից ներդրումների խթանման քաղաքականության իրականացման արդյունքում ներքին և օտարերկրյա միջոցներով ֆինանսավորվող մասնավոր ներդրումներով (10.6% աճ)։</w:t>
      </w:r>
    </w:p>
    <w:p w14:paraId="1FBA0979" w14:textId="77777777" w:rsidR="005D1807" w:rsidRPr="005D1807" w:rsidRDefault="005D1807" w:rsidP="005D1807">
      <w:pPr>
        <w:rPr>
          <w:rFonts w:eastAsia="Calibri"/>
          <w:b w:val="0"/>
          <w:bCs/>
        </w:rPr>
      </w:pPr>
      <w:r w:rsidRPr="005D1807">
        <w:rPr>
          <w:rFonts w:eastAsia="Calibri"/>
          <w:b w:val="0"/>
          <w:bCs/>
        </w:rPr>
        <w:t xml:space="preserve">2023թ. արտահանումը և ներմուծումը կաճեն համապատասխանաբար 17․7%-ով և 25․6%-ով՝ պայմանավորված ներքին և արտաքին պահանջարկի (հատկապես՝ ծառայությունների արտահանման մասով), ինչպես նաև տնտեսական ակտիվության աճով։ ՀՀ և համաշխարհային տնտեսական աճերի, ՀՀ տնտեսության արտահանելի հատվածի </w:t>
      </w:r>
      <w:r w:rsidRPr="005D1807">
        <w:rPr>
          <w:rFonts w:eastAsia="Calibri"/>
          <w:b w:val="0"/>
          <w:bCs/>
        </w:rPr>
        <w:lastRenderedPageBreak/>
        <w:t>զարգացումների, տնօրինվող եկամտի աճի, զբոսաշրջության աճի տեմպերի պահպանման, ինչպես նաև արտահանմանը և ներդրումների խրախուսմանն ուղղված ՀՀ կառավարության քաղաքականության պայմաններում 2024թ. արտահանումն ու ներմուծումը կաճեն համապատասխանաբար` 12.5%-ով և 14.9%-ով:</w:t>
      </w:r>
    </w:p>
    <w:tbl>
      <w:tblPr>
        <w:tblW w:w="9356" w:type="dxa"/>
        <w:tblLayout w:type="fixed"/>
        <w:tblLook w:val="04A0" w:firstRow="1" w:lastRow="0" w:firstColumn="1" w:lastColumn="0" w:noHBand="0" w:noVBand="1"/>
      </w:tblPr>
      <w:tblGrid>
        <w:gridCol w:w="9356"/>
      </w:tblGrid>
      <w:tr w:rsidR="005D1807" w:rsidRPr="005D1807" w14:paraId="679F706B" w14:textId="77777777" w:rsidTr="00D656FB">
        <w:trPr>
          <w:trHeight w:val="4363"/>
        </w:trPr>
        <w:tc>
          <w:tcPr>
            <w:tcW w:w="9356" w:type="dxa"/>
            <w:shd w:val="clear" w:color="auto" w:fill="E7E6E6"/>
          </w:tcPr>
          <w:p w14:paraId="3F0A1FFA" w14:textId="77777777" w:rsidR="005D1807" w:rsidRPr="005E6B5D" w:rsidRDefault="005D1807" w:rsidP="005D1807">
            <w:pPr>
              <w:rPr>
                <w:sz w:val="20"/>
                <w:szCs w:val="20"/>
              </w:rPr>
            </w:pPr>
            <w:r w:rsidRPr="005E6B5D">
              <w:rPr>
                <w:sz w:val="20"/>
                <w:szCs w:val="20"/>
              </w:rPr>
              <w:t>Ներդիր 1․ Տնտեսական աճի կանխատեսումները և դրանց հիքում ընկած ենթադրությունները</w:t>
            </w:r>
          </w:p>
          <w:p w14:paraId="02799C6E" w14:textId="77777777" w:rsidR="005D1807" w:rsidRPr="005E6B5D" w:rsidRDefault="005D1807" w:rsidP="005D1807">
            <w:pPr>
              <w:rPr>
                <w:b w:val="0"/>
                <w:bCs/>
                <w:sz w:val="20"/>
                <w:szCs w:val="20"/>
              </w:rPr>
            </w:pPr>
            <w:r w:rsidRPr="005E6B5D">
              <w:rPr>
                <w:b w:val="0"/>
                <w:bCs/>
                <w:sz w:val="20"/>
                <w:szCs w:val="20"/>
              </w:rPr>
              <w:t>2024թ. պետական բյուջեի հիմքում դրվող տնտեսական աճի կանխատեսումներն իրականացվել են օգտագործելով ժամանակակից տնտեսաչափական գործիքակազմ, ինչպես նաև առանձին հարկաբյուջետային միջոցառումների ազդեցությունների գնահատման համար կիրառվել է ՀՀ ՖՆ Արարատ հարկաբյուջետային ռազմավարության դինամիկ ստոխաստիկ ընդհանուր հավասարակշռության (Ararat Fiscal Strategy Model) մոդելը</w:t>
            </w:r>
            <w:r w:rsidRPr="005E6B5D">
              <w:rPr>
                <w:b w:val="0"/>
                <w:bCs/>
                <w:sz w:val="20"/>
                <w:szCs w:val="20"/>
              </w:rPr>
              <w:footnoteReference w:id="15"/>
            </w:r>
            <w:r w:rsidRPr="005E6B5D">
              <w:rPr>
                <w:b w:val="0"/>
                <w:bCs/>
                <w:sz w:val="20"/>
                <w:szCs w:val="20"/>
              </w:rPr>
              <w:t>: Տնտեսական աճի կանխատեսման համար հիմք են հանդիսացել նեքին և արտաքին ընթացիկ տնտեսական և ֆինանսական զարգացումները, ինչպես նաև ՀՀ գործընկեր երկրների տնտեսական  զարգացումների և հումքային ապրանքների համաշխարհային գների միջազգային կառույցների կողմից արված կանխատեսումները (առավել մանրամասն տե՛ս 1․4 բաժնում)։</w:t>
            </w:r>
          </w:p>
          <w:p w14:paraId="0E72DCF0" w14:textId="77777777" w:rsidR="005D1807" w:rsidRPr="005E6B5D" w:rsidRDefault="005D1807" w:rsidP="005D1807">
            <w:pPr>
              <w:rPr>
                <w:b w:val="0"/>
                <w:bCs/>
                <w:sz w:val="20"/>
                <w:szCs w:val="20"/>
              </w:rPr>
            </w:pPr>
            <w:r w:rsidRPr="005E6B5D">
              <w:rPr>
                <w:b w:val="0"/>
                <w:bCs/>
                <w:sz w:val="20"/>
                <w:szCs w:val="20"/>
              </w:rPr>
              <w:t>Մասնավորապես, տնտեսաչափական մոդելների կիրառմամբ պատմական տվյալների հիման վրա կանխատեսվել է տնտեսական աճի, այնուհետև հաշվի են առնվել տնտեսական աճի վրա կանխատեսվող հորիզոնի համար ՀՀ կառավարության ծրագրով թիրախավորած և բյուջեով նախատեսված միջոցառումների ազդեցությունները։ Վերջիններս ըստ առանձին միջոցառումների (ծախսային միջոցառումներ, հարկային քաղաքականության փոփոխություն և վարչարարություն, պարտքի կայուն մակարդակի ապահովման միջոցառումներ (առավել մանրամասն տե՛ս 1․4 բաժնում) գնահատվել են ՀՀ ՖՆ Արարատ մոդելի միջոցով։ Բացի այդ գնահատվել են նաև կառուցվածքային բարեփոխումների հնարավոր ազդեցությունները</w:t>
            </w:r>
            <w:r w:rsidRPr="005E6B5D">
              <w:rPr>
                <w:b w:val="0"/>
                <w:bCs/>
                <w:sz w:val="20"/>
                <w:szCs w:val="20"/>
              </w:rPr>
              <w:footnoteReference w:id="16"/>
            </w:r>
            <w:r w:rsidRPr="005E6B5D">
              <w:rPr>
                <w:b w:val="0"/>
                <w:bCs/>
                <w:sz w:val="20"/>
                <w:szCs w:val="20"/>
              </w:rPr>
              <w:t xml:space="preserve">։ Արդյունքում 2023թ․ համար սպասվող տնտեսական աճը գնահատվել է 7.4%, իսկ 2024թ. համար կանխատեսվել է 5․6% տնտեսական աճ: </w:t>
            </w:r>
          </w:p>
          <w:p w14:paraId="6792A6C6" w14:textId="77777777" w:rsidR="005D1807" w:rsidRPr="005E6B5D" w:rsidRDefault="005D1807" w:rsidP="005D1807">
            <w:pPr>
              <w:rPr>
                <w:b w:val="0"/>
                <w:bCs/>
                <w:sz w:val="20"/>
                <w:szCs w:val="20"/>
              </w:rPr>
            </w:pPr>
            <w:r w:rsidRPr="005E6B5D">
              <w:rPr>
                <w:b w:val="0"/>
                <w:bCs/>
                <w:sz w:val="20"/>
                <w:szCs w:val="20"/>
              </w:rPr>
              <w:t xml:space="preserve">Այնուհետև, հաշվի առնելով ՀՀ կառավարության տնտեսական աճի 7% թիրախը, առանձին գնահատվել են նշված թիրախի ապահովման համար անհրաժեշտ լրացուցիչ մասնավոր ներդրումների և արտահանման ծավալները, որոնց ապահովման համար նախանշվել են մի շարք միջոցառումներ (առավել մանրամասն տե՛ս ՄԱՍ III. Բ - Ծախսերի կանխատեսում), որոնք </w:t>
            </w:r>
            <w:r w:rsidRPr="005E6B5D">
              <w:rPr>
                <w:b w:val="0"/>
                <w:bCs/>
                <w:sz w:val="20"/>
                <w:szCs w:val="20"/>
              </w:rPr>
              <w:lastRenderedPageBreak/>
              <w:t>հնարավորություն կտան մեծացնել տնտեսական աճի ներուժը՝ նպաստելով բարձր կայուն տնտեսական աճի ապահովմանը։</w:t>
            </w:r>
          </w:p>
          <w:tbl>
            <w:tblPr>
              <w:tblW w:w="0" w:type="auto"/>
              <w:tblLayout w:type="fixed"/>
              <w:tblLook w:val="04A0" w:firstRow="1" w:lastRow="0" w:firstColumn="1" w:lastColumn="0" w:noHBand="0" w:noVBand="1"/>
            </w:tblPr>
            <w:tblGrid>
              <w:gridCol w:w="4470"/>
              <w:gridCol w:w="4986"/>
            </w:tblGrid>
            <w:tr w:rsidR="005D1807" w:rsidRPr="005E6B5D" w14:paraId="38FEC46F" w14:textId="77777777" w:rsidTr="00D656FB">
              <w:tc>
                <w:tcPr>
                  <w:tcW w:w="4470" w:type="dxa"/>
                </w:tcPr>
                <w:p w14:paraId="0014E4A2" w14:textId="77777777" w:rsidR="005D1807" w:rsidRPr="005E6B5D" w:rsidRDefault="005D1807" w:rsidP="005D1807">
                  <w:pPr>
                    <w:rPr>
                      <w:sz w:val="20"/>
                      <w:szCs w:val="20"/>
                    </w:rPr>
                  </w:pPr>
                  <w:r w:rsidRPr="005E6B5D">
                    <w:rPr>
                      <w:sz w:val="20"/>
                      <w:szCs w:val="20"/>
                    </w:rPr>
                    <w:t>Կանխատեսված և կառավարության կողմից թիրախավորված ՀՆԱ իրական աճ (%)</w:t>
                  </w:r>
                </w:p>
                <w:p w14:paraId="3C93C124" w14:textId="77777777" w:rsidR="005D1807" w:rsidRPr="005E6B5D" w:rsidRDefault="005D1807" w:rsidP="005D1807">
                  <w:pPr>
                    <w:rPr>
                      <w:b w:val="0"/>
                      <w:bCs/>
                      <w:sz w:val="20"/>
                      <w:szCs w:val="20"/>
                    </w:rPr>
                  </w:pPr>
                </w:p>
                <w:p w14:paraId="0B6554F4" w14:textId="77777777" w:rsidR="005D1807" w:rsidRPr="005E6B5D" w:rsidRDefault="005D1807" w:rsidP="005D1807">
                  <w:pPr>
                    <w:rPr>
                      <w:b w:val="0"/>
                      <w:bCs/>
                      <w:sz w:val="20"/>
                      <w:szCs w:val="20"/>
                    </w:rPr>
                  </w:pPr>
                  <w:r w:rsidRPr="005E6B5D">
                    <w:rPr>
                      <w:b w:val="0"/>
                      <w:bCs/>
                      <w:noProof/>
                      <w:sz w:val="20"/>
                      <w:szCs w:val="20"/>
                      <w:lang w:val="en-US" w:eastAsia="en-US"/>
                    </w:rPr>
                    <w:drawing>
                      <wp:inline distT="0" distB="0" distL="0" distR="0" wp14:anchorId="600D9361" wp14:editId="03DBD506">
                        <wp:extent cx="2808000" cy="2148840"/>
                        <wp:effectExtent l="0" t="0" r="11430" b="381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986" w:type="dxa"/>
                </w:tcPr>
                <w:p w14:paraId="4978D1B5" w14:textId="77777777" w:rsidR="005D1807" w:rsidRPr="005E6B5D" w:rsidRDefault="005D1807" w:rsidP="005D1807">
                  <w:pPr>
                    <w:rPr>
                      <w:sz w:val="20"/>
                      <w:szCs w:val="20"/>
                    </w:rPr>
                  </w:pPr>
                  <w:r w:rsidRPr="005E6B5D">
                    <w:rPr>
                      <w:b w:val="0"/>
                      <w:bCs/>
                      <w:sz w:val="20"/>
                      <w:szCs w:val="20"/>
                    </w:rPr>
                    <w:t xml:space="preserve"> </w:t>
                  </w:r>
                  <w:r w:rsidRPr="005E6B5D">
                    <w:rPr>
                      <w:sz w:val="20"/>
                      <w:szCs w:val="20"/>
                    </w:rPr>
                    <w:t>Հիմնական միջոցներում կապիտալ ներդրումների և արտահանման կշիռները ՀՆԱ-ում (%)</w:t>
                  </w:r>
                </w:p>
                <w:p w14:paraId="3B11E804" w14:textId="77777777" w:rsidR="005D1807" w:rsidRPr="005E6B5D" w:rsidRDefault="005D1807" w:rsidP="005D1807">
                  <w:pPr>
                    <w:rPr>
                      <w:b w:val="0"/>
                      <w:bCs/>
                      <w:sz w:val="20"/>
                      <w:szCs w:val="20"/>
                    </w:rPr>
                  </w:pPr>
                  <w:r w:rsidRPr="005E6B5D">
                    <w:rPr>
                      <w:b w:val="0"/>
                      <w:bCs/>
                      <w:noProof/>
                      <w:sz w:val="20"/>
                      <w:szCs w:val="20"/>
                      <w:lang w:val="en-US" w:eastAsia="en-US"/>
                    </w:rPr>
                    <w:drawing>
                      <wp:inline distT="0" distB="0" distL="0" distR="0" wp14:anchorId="2387EB86" wp14:editId="30632AD4">
                        <wp:extent cx="2808000" cy="2148840"/>
                        <wp:effectExtent l="0" t="0" r="11430" b="381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20C2AE24" w14:textId="77777777" w:rsidR="005D1807" w:rsidRPr="005D1807" w:rsidRDefault="005D1807" w:rsidP="005D1807">
            <w:pPr>
              <w:rPr>
                <w:b w:val="0"/>
                <w:bCs/>
                <w:highlight w:val="yellow"/>
              </w:rPr>
            </w:pPr>
          </w:p>
        </w:tc>
      </w:tr>
    </w:tbl>
    <w:p w14:paraId="6AA8B4CD" w14:textId="77777777" w:rsidR="005D1807" w:rsidRPr="005D1807" w:rsidRDefault="005D1807" w:rsidP="005D1807">
      <w:pPr>
        <w:rPr>
          <w:b w:val="0"/>
          <w:bCs/>
        </w:rPr>
      </w:pPr>
    </w:p>
    <w:p w14:paraId="652D06F2" w14:textId="77777777" w:rsidR="005D1807" w:rsidRPr="005D1807" w:rsidRDefault="005D1807" w:rsidP="005D1807">
      <w:pPr>
        <w:rPr>
          <w:rFonts w:eastAsia="Calibri"/>
          <w:b w:val="0"/>
          <w:bCs/>
        </w:rPr>
      </w:pPr>
    </w:p>
    <w:p w14:paraId="0B705007" w14:textId="77777777" w:rsidR="005D1807" w:rsidRPr="005E6B5D" w:rsidRDefault="005D1807" w:rsidP="005E6B5D">
      <w:pPr>
        <w:spacing w:before="0" w:line="240" w:lineRule="auto"/>
        <w:jc w:val="left"/>
        <w:rPr>
          <w:rFonts w:eastAsiaTheme="majorEastAsia" w:cstheme="majorBidi"/>
          <w:bCs/>
          <w:color w:val="1F497D" w:themeColor="text2"/>
          <w:sz w:val="24"/>
          <w:lang w:val="hy-AM" w:eastAsia="en-US"/>
        </w:rPr>
      </w:pPr>
      <w:r w:rsidRPr="005E6B5D">
        <w:rPr>
          <w:rFonts w:eastAsiaTheme="majorEastAsia" w:cstheme="majorBidi"/>
          <w:bCs/>
          <w:color w:val="1F497D" w:themeColor="text2"/>
          <w:sz w:val="24"/>
          <w:lang w:val="hy-AM" w:eastAsia="en-US"/>
        </w:rPr>
        <w:t>1.3.2. Աշխատանքի շուկա</w:t>
      </w:r>
      <w:bookmarkEnd w:id="107"/>
    </w:p>
    <w:p w14:paraId="6EBAD569" w14:textId="77777777" w:rsidR="005D1807" w:rsidRPr="005D1807" w:rsidRDefault="005D1807" w:rsidP="005D1807">
      <w:pPr>
        <w:rPr>
          <w:b w:val="0"/>
          <w:bCs/>
          <w:highlight w:val="yellow"/>
        </w:rPr>
      </w:pPr>
      <w:r w:rsidRPr="005E6B5D">
        <w:t xml:space="preserve">Տնտեսական բարձր աճի պայմաններում 2022թ. գործազրկության մակարդակը նվազել է, իսկ աշխատուժի մասնակցության մակարդակն՝ աճել: Աճել է նաև միջին ամսական աշխատավարձը։ </w:t>
      </w:r>
      <w:r w:rsidRPr="005D1807">
        <w:rPr>
          <w:b w:val="0"/>
          <w:bCs/>
        </w:rPr>
        <w:t>2022թ. գործազրկության մակարդակը 15.5%-ից նվազել է 13.0%-ի, իսկ աշխատուժի մասնակցության մակարդակը 57.8%-ից բարձրացել` 58.8%-ի: Նույն ժամանակաշրջանում զբաղվածների թիվն աճել է 4.7%-ով, իսկ գործազուրկների թիվը՝ նվազել 14.5%-ով: Գործազրկության մակարդակի նվազումը հիմնականում պայմանավորված է եղել զբաղվածության աճով։ Միջին ամսական անվանական աշխատավարձը 2022թ. աճել է 15.5%-ով, միաժամանակ իրական աշխատավարձը` 8.6% միջին գնաճի պայմաններում ավելացել է 6.3%-ով:</w:t>
      </w:r>
    </w:p>
    <w:p w14:paraId="109A182E" w14:textId="77777777" w:rsidR="005D1807" w:rsidRPr="005D1807" w:rsidRDefault="005D1807" w:rsidP="005D1807">
      <w:pPr>
        <w:rPr>
          <w:b w:val="0"/>
          <w:bCs/>
        </w:rPr>
      </w:pPr>
      <w:r w:rsidRPr="005E6B5D">
        <w:t>Աշխատանքի շուկայի դրական զարգացումները շարունակվել են նաև 2023թ.։</w:t>
      </w:r>
      <w:r w:rsidRPr="005D1807">
        <w:rPr>
          <w:b w:val="0"/>
          <w:bCs/>
        </w:rPr>
        <w:t xml:space="preserve"> 2023թ. առաջին եռամսյակում գործազրկության մակարդակը կազմել է 13.7%` նախորդ տարվա նույն ժամանակահատվածի նկատմամբ նվազելով 1.1 տոկոսային կետով, իսկ աշխատուժի մասնակցության մակարդակն աճել է՝ 56.8%-ից հասնելով 59.0%-ի: Նույն ժամանակաշրջանում զբաղվածների թիվն աճել է 5.5%-ով՝ կազմելով 1129.7 հազ, մարդ, իսկ գործազուրկների թիվը նվազել է 3.6%-ով և կազմել՝ 179.6 հազ. մարդ:</w:t>
      </w:r>
    </w:p>
    <w:p w14:paraId="029E5A15" w14:textId="77777777" w:rsidR="005D1807" w:rsidRPr="005D1807" w:rsidRDefault="005D1807" w:rsidP="005D1807">
      <w:pPr>
        <w:rPr>
          <w:b w:val="0"/>
          <w:bCs/>
          <w:highlight w:val="yellow"/>
        </w:rPr>
      </w:pPr>
      <w:r w:rsidRPr="005D1807">
        <w:rPr>
          <w:rFonts w:eastAsiaTheme="majorEastAsia"/>
          <w:b w:val="0"/>
          <w:bCs/>
        </w:rPr>
        <w:t xml:space="preserve">2023թ. հունվար-հուլիսին պաշտոնապես գրանցված գործազուրկների միջին ամսական թիվը նախորդ տարվա նույն ժամանակահատվածի նկատմամբ նվազել է 16.2%-ով՝ կազմելով 46,436 մարդ: Նշենք, նաև, որ նշված ժամանակահատվածում 5.8%-ով աճել է վարձու աշխատողների թիվը, որին </w:t>
      </w:r>
      <w:r w:rsidRPr="005D1807">
        <w:rPr>
          <w:b w:val="0"/>
          <w:bCs/>
        </w:rPr>
        <w:t xml:space="preserve">հիմնականում նպաստել են մշակող արդյունաբերության, տեղեկատվության և կապի, կացության և հանրային սննդի </w:t>
      </w:r>
      <w:r w:rsidRPr="005D1807">
        <w:rPr>
          <w:b w:val="0"/>
          <w:bCs/>
        </w:rPr>
        <w:lastRenderedPageBreak/>
        <w:t>կազմակերպման, շինարարության, ինչպես նաև մշակույթ, զվարճություններ և հանգիստ</w:t>
      </w:r>
      <w:r w:rsidRPr="005D1807" w:rsidDel="0004524D">
        <w:rPr>
          <w:b w:val="0"/>
          <w:bCs/>
        </w:rPr>
        <w:t xml:space="preserve"> </w:t>
      </w:r>
      <w:r w:rsidRPr="005D1807">
        <w:rPr>
          <w:b w:val="0"/>
          <w:bCs/>
        </w:rPr>
        <w:t>ոլորտներում աշխատողների թվի աճը։ Սա իր հերթին հիմնականում պայմանավորված է ՀՀ ժամանած զբոսաշրջիկների և աշխատանքային միգրանտների թվի ավելացմամբ, ինչպես նաև մշակող արդյունաբերության արտադրանքի նկատմամբ պահանջարկի աճով և շինարարության ոլորտի դրական զարգացումներով։</w:t>
      </w:r>
    </w:p>
    <w:p w14:paraId="0FF2820B" w14:textId="77777777" w:rsidR="005D1807" w:rsidRPr="005D1807" w:rsidRDefault="005D1807" w:rsidP="005D1807">
      <w:pPr>
        <w:rPr>
          <w:b w:val="0"/>
          <w:bCs/>
        </w:rPr>
      </w:pPr>
      <w:r w:rsidRPr="005D1807">
        <w:rPr>
          <w:b w:val="0"/>
          <w:bCs/>
        </w:rPr>
        <w:t xml:space="preserve">2023թ. տնտեսական աճի պայմաններում աշխատանքի շուկայում կդրսևորվեն դրական զարգացումներ։ Այս պայմաններում ակնկալվում է զբաղվածության աճ և գործազրկության ավելի ցածր մակարդակ։ </w:t>
      </w: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51"/>
        <w:gridCol w:w="4551"/>
      </w:tblGrid>
      <w:tr w:rsidR="005D1807" w:rsidRPr="005D1807" w14:paraId="5AA3187A" w14:textId="77777777" w:rsidTr="00D656FB">
        <w:trPr>
          <w:trHeight w:val="4161"/>
        </w:trPr>
        <w:tc>
          <w:tcPr>
            <w:tcW w:w="5004" w:type="dxa"/>
          </w:tcPr>
          <w:p w14:paraId="65738C21" w14:textId="77777777" w:rsidR="005D1807" w:rsidRPr="005D1807" w:rsidRDefault="005D1807" w:rsidP="005D1807">
            <w:pPr>
              <w:rPr>
                <w:b w:val="0"/>
                <w:bCs/>
              </w:rPr>
            </w:pPr>
            <w:r w:rsidRPr="005D1807">
              <w:rPr>
                <w:b w:val="0"/>
                <w:bCs/>
              </w:rPr>
              <w:t>Գծապատկեր 1.23. Գործազրկություն, զբաղվածներ, վարձու աշխատողներ</w:t>
            </w:r>
          </w:p>
          <w:p w14:paraId="1CD3BE4F" w14:textId="77777777" w:rsidR="005D1807" w:rsidRPr="005D1807" w:rsidRDefault="005D1807" w:rsidP="005D1807">
            <w:pPr>
              <w:rPr>
                <w:b w:val="0"/>
                <w:bCs/>
              </w:rPr>
            </w:pPr>
            <w:r w:rsidRPr="005D1807">
              <w:rPr>
                <w:b w:val="0"/>
                <w:bCs/>
              </w:rPr>
              <w:t xml:space="preserve"> </w:t>
            </w:r>
            <w:r w:rsidRPr="005D1807">
              <w:rPr>
                <w:b w:val="0"/>
                <w:bCs/>
                <w:noProof/>
                <w:lang w:val="en-US" w:eastAsia="en-US"/>
              </w:rPr>
              <w:drawing>
                <wp:inline distT="0" distB="0" distL="0" distR="0" wp14:anchorId="676ED4DD" wp14:editId="21E917ED">
                  <wp:extent cx="2808000" cy="2003398"/>
                  <wp:effectExtent l="0" t="0" r="11430" b="16510"/>
                  <wp:docPr id="87"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2389AE5" w14:textId="77777777" w:rsidR="005D1807" w:rsidRPr="005D1807" w:rsidRDefault="005D1807" w:rsidP="005D1807">
            <w:pPr>
              <w:rPr>
                <w:b w:val="0"/>
                <w:bCs/>
                <w:highlight w:val="yellow"/>
              </w:rPr>
            </w:pPr>
            <w:r w:rsidRPr="005D1807">
              <w:rPr>
                <w:b w:val="0"/>
                <w:bCs/>
              </w:rPr>
              <w:t>Աղբյուրը՝ ՀՀ ՎԿ</w:t>
            </w:r>
          </w:p>
        </w:tc>
        <w:tc>
          <w:tcPr>
            <w:tcW w:w="5020" w:type="dxa"/>
          </w:tcPr>
          <w:p w14:paraId="509AED86" w14:textId="77777777" w:rsidR="005D1807" w:rsidRPr="005D1807" w:rsidRDefault="005D1807" w:rsidP="005D1807">
            <w:pPr>
              <w:rPr>
                <w:b w:val="0"/>
                <w:bCs/>
              </w:rPr>
            </w:pPr>
            <w:r w:rsidRPr="005D1807">
              <w:rPr>
                <w:b w:val="0"/>
                <w:bCs/>
              </w:rPr>
              <w:t xml:space="preserve">Գծապատկեր 1.24. Աշխատուժի մասնակցության մակարդակ և աշխատավարձ </w:t>
            </w:r>
            <w:r w:rsidRPr="005D1807">
              <w:rPr>
                <w:b w:val="0"/>
                <w:bCs/>
                <w:noProof/>
                <w:lang w:val="en-US" w:eastAsia="en-US"/>
              </w:rPr>
              <w:drawing>
                <wp:inline distT="0" distB="0" distL="0" distR="0" wp14:anchorId="06479952" wp14:editId="03D19770">
                  <wp:extent cx="2808000" cy="2019300"/>
                  <wp:effectExtent l="0" t="0" r="11430" b="0"/>
                  <wp:docPr id="88"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2971F92" w14:textId="77777777" w:rsidR="005D1807" w:rsidRPr="005D1807" w:rsidRDefault="005D1807" w:rsidP="005D1807">
            <w:pPr>
              <w:rPr>
                <w:b w:val="0"/>
                <w:bCs/>
                <w:highlight w:val="yellow"/>
              </w:rPr>
            </w:pPr>
            <w:r w:rsidRPr="005D1807">
              <w:rPr>
                <w:b w:val="0"/>
                <w:bCs/>
              </w:rPr>
              <w:t>Աղբյուրը՝ ՀՀ ՎԿ</w:t>
            </w:r>
          </w:p>
        </w:tc>
      </w:tr>
    </w:tbl>
    <w:p w14:paraId="3DEEE480" w14:textId="77777777" w:rsidR="005D1807" w:rsidRPr="005D1807" w:rsidRDefault="005D1807" w:rsidP="005D1807">
      <w:pPr>
        <w:rPr>
          <w:b w:val="0"/>
          <w:bCs/>
        </w:rPr>
      </w:pPr>
      <w:r w:rsidRPr="005D1807">
        <w:rPr>
          <w:b w:val="0"/>
          <w:bCs/>
        </w:rPr>
        <w:t>2023թ. տարեսկզբից տնտեսական աճի պայմաններում միջին ամսական անվանական աշխատավարձի աճի բարձր տեմպը (հիմնականում մասնավոր հատվածում) պահպանվել է, սակայն վերջին ամիսներին նկատվում է աճի տեմպի դանդաղում: 2023թ. հունվար-հուլիսին միջին ամսական անվանական աշխատավարձն աճել է 18.5%-ով՝ կազմելով 262,591 դրամ, ինչը հիմնականում պայմանավորված է եղել տեղեկատվական տեխնոլոգիաների, մշակող արդյունաբերության, մեծածախ և մանրածախ առևտրի, ինչպես նաև մշակույթ, զվարճություններ և հանգիստ ոլորտների աշխատավարձերի աճով:</w:t>
      </w:r>
    </w:p>
    <w:p w14:paraId="10C0D6B9" w14:textId="77777777" w:rsidR="005D1807" w:rsidRPr="005D1807" w:rsidRDefault="005D1807" w:rsidP="005D1807">
      <w:pPr>
        <w:rPr>
          <w:b w:val="0"/>
          <w:bCs/>
        </w:rPr>
      </w:pPr>
      <w:r w:rsidRPr="005D1807">
        <w:rPr>
          <w:b w:val="0"/>
          <w:bCs/>
        </w:rPr>
        <w:t>Միաժամանակ, սպառողական գների ինդեքսի 3.6% աճի պայմաններում իրական աշխատավարձն աճել է շուրջ 14.4%-ով: Պետական հատվածում միջին ամսական անվանական աշխատավարձն աճել է 9.3%-ով՝ կազմելով 195,749 դրամ, իսկ մասնավոր հատվածում՝ 20.6%-ով՝ կազմելով 290,140 դրամ:</w:t>
      </w:r>
    </w:p>
    <w:p w14:paraId="50FA30FA" w14:textId="77777777" w:rsidR="005D1807" w:rsidRPr="005D1807" w:rsidRDefault="005D1807" w:rsidP="005D1807">
      <w:pPr>
        <w:rPr>
          <w:b w:val="0"/>
          <w:bCs/>
        </w:rPr>
      </w:pPr>
    </w:p>
    <w:p w14:paraId="2935C262" w14:textId="77777777" w:rsidR="005D1807" w:rsidRPr="005E6B5D" w:rsidRDefault="005D1807" w:rsidP="005E6B5D">
      <w:pPr>
        <w:spacing w:before="0" w:line="240" w:lineRule="auto"/>
        <w:jc w:val="left"/>
        <w:rPr>
          <w:rFonts w:eastAsiaTheme="majorEastAsia" w:cstheme="majorBidi"/>
          <w:bCs/>
          <w:color w:val="1F497D" w:themeColor="text2"/>
          <w:sz w:val="24"/>
          <w:lang w:val="hy-AM" w:eastAsia="en-US"/>
        </w:rPr>
      </w:pPr>
      <w:r w:rsidRPr="005E6B5D">
        <w:rPr>
          <w:rFonts w:eastAsiaTheme="majorEastAsia" w:cstheme="majorBidi"/>
          <w:bCs/>
          <w:color w:val="1F497D" w:themeColor="text2"/>
          <w:sz w:val="24"/>
          <w:lang w:val="hy-AM" w:eastAsia="en-US"/>
        </w:rPr>
        <w:t xml:space="preserve">1.3.3. ՀՀ վճարային հաշվեկշիռ, արտահանում և ներմուծում </w:t>
      </w:r>
    </w:p>
    <w:p w14:paraId="0E6F0218" w14:textId="77777777" w:rsidR="005D1807" w:rsidRPr="0073392C" w:rsidRDefault="005D1807" w:rsidP="005D1807">
      <w:pPr>
        <w:rPr>
          <w:b w:val="0"/>
          <w:bCs/>
          <w:lang w:val="hy-AM"/>
        </w:rPr>
      </w:pPr>
      <w:r w:rsidRPr="0073392C">
        <w:rPr>
          <w:lang w:val="hy-AM"/>
        </w:rPr>
        <w:t>2022թ</w:t>
      </w:r>
      <w:r w:rsidRPr="0073392C">
        <w:rPr>
          <w:rFonts w:eastAsia="Calibri"/>
          <w:lang w:val="hy-AM"/>
        </w:rPr>
        <w:t>․ ընթացիկ հաշիվը նախորդ տարվա համեմատ բարելավվել է՝ կազմելով ՀՆԱ-ի 0.8%-ը:</w:t>
      </w:r>
      <w:r w:rsidRPr="0073392C">
        <w:rPr>
          <w:rFonts w:eastAsia="Calibri"/>
          <w:b w:val="0"/>
          <w:bCs/>
          <w:lang w:val="hy-AM"/>
        </w:rPr>
        <w:t xml:space="preserve"> Ընթացիկ հաշվի բարելավումը հիմնականում պայմանավորված է եղել ծառայությունների արտահանման բարձր աճով, ինչպես նաև արտաքին որոշ շուկաներում </w:t>
      </w:r>
      <w:r w:rsidRPr="0073392C">
        <w:rPr>
          <w:rFonts w:eastAsia="Calibri"/>
          <w:b w:val="0"/>
          <w:bCs/>
          <w:lang w:val="hy-AM"/>
        </w:rPr>
        <w:lastRenderedPageBreak/>
        <w:t>(հատկապես՝ ՌԴ-ում) ՀՀ ապրանքների նկատմամբ պահանջարկի ավելացմամբ: Դոլարային արտահայտությամբ ապրանքների և ծառայությունների բացասական հաշվեկշիռը կազմել է ՀՆԱ-ի 0.8%-ը` նախորդ տարվա համեմատ բարելավվելով 7.2 տոկոսային կետով, ինչը հիմնականում պայմանավորված է ծառայությունների հաշվեկշռի՝ ՀՆԱ-ում 5.9 տոկոսային կետով բարելավմամբ: Տնտեսություն ներհոսող դրամական զուտ փոխանցումները 2022թ. աճել են մոտ 21%-ով` հիմնականում պայմանավորված ինչպես տրանսֆերտների ներհոսքով, այնպես էլ ռուս-ուկրաինական հակամարտության արդյունքում ՌԴ-ից դեպի ՀՀ փոխանցվող այլ դրամական հոսքերով: 2022թ. նշված զարգացումների արդյունքում արձանագվել է ՀՆԱ-ում ընթացիկ հաշվի հավելուրդ՝ նախորդ տարվա համեմատ բարելավվելով 4.3 տոկոսային կետով:</w:t>
      </w:r>
    </w:p>
    <w:p w14:paraId="53B01A0D" w14:textId="77777777" w:rsidR="005D1807" w:rsidRPr="0073392C" w:rsidRDefault="005D1807" w:rsidP="005D1807">
      <w:pPr>
        <w:rPr>
          <w:b w:val="0"/>
          <w:bCs/>
          <w:lang w:val="hy-AM"/>
        </w:rPr>
      </w:pPr>
      <w:r w:rsidRPr="0073392C">
        <w:rPr>
          <w:lang w:val="hy-AM"/>
        </w:rPr>
        <w:t>2023թ. հունվար-հուլիս ամիսներին առևտրային հաշվեկշիռը վատթարացել է, ծառայությունների հաշվեկշիռը բարելավվել, իսկ զուտ դրամական փոխանցումների դերը նվազել:</w:t>
      </w:r>
      <w:r w:rsidRPr="0073392C">
        <w:rPr>
          <w:b w:val="0"/>
          <w:bCs/>
          <w:lang w:val="hy-AM"/>
        </w:rPr>
        <w:t xml:space="preserve"> Ծառայությունների հաշվեկշռի բարելավումը հիմնականում պայմանավորվել է ՀՀ այցելած զբոսաշրջիկների բարձր աճով: Բացի այդ, ՀՀ բանկերի միջոցով ֆիզիկական անձանց անունով առևտրային և ոչ առևտրային բնույթի դրամական փոխանցումներին զուտ ներհոսքը նվազել է, որում ոչ առևտրային բնույթի դրամական փոխանցումների նվազումն ավելի խորն է: Մ</w:t>
      </w:r>
      <w:r w:rsidRPr="0073392C">
        <w:rPr>
          <w:rFonts w:eastAsia="Calibri"/>
          <w:b w:val="0"/>
          <w:bCs/>
          <w:lang w:val="hy-AM"/>
        </w:rPr>
        <w:t xml:space="preserve">ասնավորապես՝ </w:t>
      </w:r>
      <w:r w:rsidRPr="0073392C">
        <w:rPr>
          <w:b w:val="0"/>
          <w:bCs/>
          <w:lang w:val="hy-AM"/>
        </w:rPr>
        <w:t>ընթացիկ տարվա հունվար-հուլիս ամիսներին տեղի է ունեցել արտերկրից ստացված ոչ առևտրային բնույթի զուտ դրամական փոխանցումների շուրջ 33 % նվազում</w:t>
      </w:r>
      <w:r w:rsidRPr="005D1807">
        <w:rPr>
          <w:b w:val="0"/>
          <w:bCs/>
        </w:rPr>
        <w:footnoteReference w:id="17"/>
      </w:r>
      <w:r w:rsidRPr="0073392C">
        <w:rPr>
          <w:b w:val="0"/>
          <w:bCs/>
          <w:lang w:val="hy-AM"/>
        </w:rPr>
        <w:t>։</w:t>
      </w:r>
    </w:p>
    <w:tbl>
      <w:tblPr>
        <w:tblW w:w="10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5"/>
        <w:gridCol w:w="4611"/>
      </w:tblGrid>
      <w:tr w:rsidR="005D1807" w:rsidRPr="005D1807" w14:paraId="157888DC" w14:textId="77777777" w:rsidTr="00D656FB">
        <w:trPr>
          <w:trHeight w:val="6112"/>
        </w:trPr>
        <w:tc>
          <w:tcPr>
            <w:tcW w:w="5395" w:type="dxa"/>
            <w:shd w:val="clear" w:color="auto" w:fill="auto"/>
          </w:tcPr>
          <w:p w14:paraId="25E43B91" w14:textId="77777777" w:rsidR="005D1807" w:rsidRPr="0073392C" w:rsidRDefault="005D1807" w:rsidP="005D1807">
            <w:pPr>
              <w:rPr>
                <w:rFonts w:eastAsia="Calibri"/>
                <w:b w:val="0"/>
                <w:bCs/>
                <w:lang w:val="hy-AM"/>
              </w:rPr>
            </w:pPr>
            <w:r w:rsidRPr="0073392C">
              <w:rPr>
                <w:rFonts w:eastAsia="Calibri"/>
                <w:lang w:val="hy-AM"/>
              </w:rPr>
              <w:lastRenderedPageBreak/>
              <w:t>Գծապատկեր 1.25.</w:t>
            </w:r>
            <w:r w:rsidRPr="0073392C">
              <w:rPr>
                <w:rFonts w:eastAsia="Calibri"/>
                <w:b w:val="0"/>
                <w:bCs/>
                <w:lang w:val="hy-AM"/>
              </w:rPr>
              <w:t xml:space="preserve"> Ընթացիկ հաշվի և դրա բաղադրատարրերի դինամիկան, % ՀՆԱ-ում</w:t>
            </w:r>
          </w:p>
          <w:p w14:paraId="3FCDF128" w14:textId="77777777" w:rsidR="005D1807" w:rsidRPr="0073392C" w:rsidRDefault="005D1807" w:rsidP="005D1807">
            <w:pPr>
              <w:rPr>
                <w:rFonts w:eastAsia="Calibri"/>
                <w:b w:val="0"/>
                <w:bCs/>
                <w:lang w:val="hy-AM"/>
              </w:rPr>
            </w:pPr>
            <w:r w:rsidRPr="005D1807">
              <w:rPr>
                <w:b w:val="0"/>
                <w:bCs/>
                <w:noProof/>
                <w:lang w:val="en-US" w:eastAsia="en-US"/>
              </w:rPr>
              <w:drawing>
                <wp:inline distT="0" distB="0" distL="0" distR="0" wp14:anchorId="1AAB6374" wp14:editId="3C1322B9">
                  <wp:extent cx="2860040" cy="2519680"/>
                  <wp:effectExtent l="0" t="0" r="16510" b="13970"/>
                  <wp:docPr id="16120835"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73392C">
              <w:rPr>
                <w:rFonts w:eastAsia="Calibri"/>
                <w:b w:val="0"/>
                <w:bCs/>
                <w:lang w:val="hy-AM"/>
              </w:rPr>
              <w:t>Աղբյուրը՝ ՀՀ ՎԿ, ՀՀ ՖՆ հաշվարկներ</w:t>
            </w:r>
          </w:p>
          <w:p w14:paraId="5AA9704F" w14:textId="77777777" w:rsidR="005D1807" w:rsidRPr="0073392C" w:rsidRDefault="005D1807" w:rsidP="005D1807">
            <w:pPr>
              <w:rPr>
                <w:rFonts w:eastAsia="Calibri"/>
                <w:b w:val="0"/>
                <w:bCs/>
                <w:lang w:val="hy-AM"/>
              </w:rPr>
            </w:pPr>
            <w:r w:rsidRPr="0073392C">
              <w:rPr>
                <w:rFonts w:eastAsia="Calibri"/>
                <w:lang w:val="hy-AM"/>
              </w:rPr>
              <w:t>Գծապատկեր 1.27.</w:t>
            </w:r>
            <w:r w:rsidRPr="0073392C">
              <w:rPr>
                <w:rFonts w:eastAsia="Calibri"/>
                <w:b w:val="0"/>
                <w:bCs/>
                <w:lang w:val="hy-AM"/>
              </w:rPr>
              <w:t xml:space="preserve"> Ծառայությունների արտահանում, ներմուծում և հաշվեկշռի դինամիկան, մլն ԱՄՆ դոլար</w:t>
            </w:r>
          </w:p>
          <w:p w14:paraId="31466C4E" w14:textId="77777777" w:rsidR="005D1807" w:rsidRPr="005D1807" w:rsidRDefault="005D1807" w:rsidP="005D1807">
            <w:pPr>
              <w:rPr>
                <w:rFonts w:eastAsia="GHEA Grapalat"/>
                <w:b w:val="0"/>
                <w:bCs/>
              </w:rPr>
            </w:pPr>
            <w:r w:rsidRPr="005D1807">
              <w:rPr>
                <w:b w:val="0"/>
                <w:bCs/>
                <w:noProof/>
                <w:lang w:val="en-US" w:eastAsia="en-US"/>
              </w:rPr>
              <w:drawing>
                <wp:inline distT="0" distB="0" distL="0" distR="0" wp14:anchorId="4527D4EB" wp14:editId="242020AD">
                  <wp:extent cx="2840990" cy="2355850"/>
                  <wp:effectExtent l="0" t="0" r="16510" b="6350"/>
                  <wp:docPr id="16120836"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5B5AB7F" w14:textId="77777777" w:rsidR="005D1807" w:rsidRPr="005D1807" w:rsidRDefault="005D1807" w:rsidP="005D1807">
            <w:pPr>
              <w:rPr>
                <w:rFonts w:eastAsia="GHEA Grapalat"/>
                <w:b w:val="0"/>
                <w:bCs/>
              </w:rPr>
            </w:pPr>
            <w:r w:rsidRPr="005D1807">
              <w:rPr>
                <w:rFonts w:eastAsia="Calibri"/>
                <w:b w:val="0"/>
                <w:bCs/>
              </w:rPr>
              <w:t>Աղբյուրը՝ ՀՀ ՎԿ, ՀՀ ՖՆ հաշվարկներ</w:t>
            </w:r>
          </w:p>
        </w:tc>
        <w:tc>
          <w:tcPr>
            <w:tcW w:w="4611" w:type="dxa"/>
            <w:shd w:val="clear" w:color="auto" w:fill="auto"/>
          </w:tcPr>
          <w:p w14:paraId="55812C0F" w14:textId="77777777" w:rsidR="005D1807" w:rsidRPr="005D1807" w:rsidRDefault="005D1807" w:rsidP="005D1807">
            <w:pPr>
              <w:rPr>
                <w:rFonts w:eastAsia="Calibri"/>
                <w:b w:val="0"/>
                <w:bCs/>
              </w:rPr>
            </w:pPr>
            <w:r w:rsidRPr="005E6B5D">
              <w:rPr>
                <w:rFonts w:eastAsia="Calibri"/>
              </w:rPr>
              <w:t>Գծապատկեր 1.26.</w:t>
            </w:r>
            <w:r w:rsidRPr="005D1807">
              <w:rPr>
                <w:rFonts w:eastAsia="Calibri"/>
                <w:b w:val="0"/>
                <w:bCs/>
              </w:rPr>
              <w:t xml:space="preserve"> Ապրանքների արտահանման, ներմուծման և առևտրային հաշվի դինամիկան, մլն ԱՄՆ դոլար </w:t>
            </w:r>
            <w:r w:rsidRPr="005D1807">
              <w:rPr>
                <w:rFonts w:eastAsia="Calibri"/>
                <w:b w:val="0"/>
                <w:bCs/>
                <w:noProof/>
                <w:lang w:val="en-US" w:eastAsia="en-US"/>
              </w:rPr>
              <w:drawing>
                <wp:inline distT="0" distB="0" distL="0" distR="0" wp14:anchorId="7F925680" wp14:editId="2C0D5B8C">
                  <wp:extent cx="2772461" cy="2519680"/>
                  <wp:effectExtent l="0" t="0" r="8890" b="13970"/>
                  <wp:docPr id="44" name="Char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5D1807">
              <w:rPr>
                <w:rFonts w:eastAsia="Calibri"/>
                <w:b w:val="0"/>
                <w:bCs/>
              </w:rPr>
              <w:t>Աղբյուրը՝ ՀՀ ՎԿ, ՀՀ ՖՆ հաշվարկներ</w:t>
            </w:r>
          </w:p>
          <w:p w14:paraId="57841E47" w14:textId="77777777" w:rsidR="005D1807" w:rsidRPr="005D1807" w:rsidRDefault="005D1807" w:rsidP="005D1807">
            <w:pPr>
              <w:rPr>
                <w:rFonts w:eastAsia="Calibri"/>
                <w:b w:val="0"/>
                <w:bCs/>
              </w:rPr>
            </w:pPr>
            <w:r w:rsidRPr="005E6B5D">
              <w:rPr>
                <w:rFonts w:eastAsia="Calibri"/>
              </w:rPr>
              <w:t>Գծապատկեր 1.28.</w:t>
            </w:r>
            <w:r w:rsidRPr="005D1807">
              <w:rPr>
                <w:rFonts w:eastAsia="Calibri"/>
                <w:b w:val="0"/>
                <w:bCs/>
              </w:rPr>
              <w:t xml:space="preserve"> Զուտ դրամական փոխանցումների դինամիկան, մլն ԱՄՆ դոլար</w:t>
            </w:r>
            <w:r w:rsidRPr="005D1807">
              <w:rPr>
                <w:rFonts w:eastAsia="Calibri"/>
                <w:b w:val="0"/>
                <w:bCs/>
                <w:noProof/>
                <w:lang w:val="en-US" w:eastAsia="en-US"/>
              </w:rPr>
              <w:drawing>
                <wp:inline distT="0" distB="0" distL="0" distR="0" wp14:anchorId="177DC4D5" wp14:editId="4EF4D0FB">
                  <wp:extent cx="2772410" cy="2353945"/>
                  <wp:effectExtent l="0" t="0" r="8890" b="8255"/>
                  <wp:docPr id="45" name="Chart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28A7A0A" w14:textId="77777777" w:rsidR="005D1807" w:rsidRPr="005D1807" w:rsidRDefault="005D1807" w:rsidP="005D1807">
            <w:pPr>
              <w:rPr>
                <w:rFonts w:eastAsia="Calibri"/>
                <w:b w:val="0"/>
                <w:bCs/>
              </w:rPr>
            </w:pPr>
            <w:r w:rsidRPr="005D1807">
              <w:rPr>
                <w:rFonts w:eastAsia="Calibri"/>
                <w:b w:val="0"/>
                <w:bCs/>
              </w:rPr>
              <w:t>Աղբյուրը՝ ՀՀ ՎԿ, ՀՀ ՖՆ հաշվարկներ</w:t>
            </w:r>
          </w:p>
        </w:tc>
      </w:tr>
    </w:tbl>
    <w:p w14:paraId="4C270E61" w14:textId="77777777" w:rsidR="005D1807" w:rsidRPr="005D1807" w:rsidRDefault="005D1807" w:rsidP="005D1807">
      <w:pPr>
        <w:rPr>
          <w:rFonts w:eastAsia="Calibri"/>
          <w:b w:val="0"/>
          <w:bCs/>
        </w:rPr>
      </w:pPr>
      <w:r w:rsidRPr="005D1807">
        <w:rPr>
          <w:b w:val="0"/>
          <w:bCs/>
        </w:rPr>
        <w:t xml:space="preserve"> </w:t>
      </w:r>
      <w:r w:rsidRPr="005D1807">
        <w:rPr>
          <w:rFonts w:eastAsia="Calibri"/>
          <w:b w:val="0"/>
          <w:bCs/>
        </w:rPr>
        <w:t xml:space="preserve">      </w:t>
      </w:r>
    </w:p>
    <w:p w14:paraId="115F8166" w14:textId="77777777" w:rsidR="005D1807" w:rsidRPr="005D1807" w:rsidRDefault="005D1807" w:rsidP="005D1807">
      <w:pPr>
        <w:rPr>
          <w:b w:val="0"/>
          <w:bCs/>
        </w:rPr>
      </w:pPr>
      <w:r w:rsidRPr="005D1807">
        <w:rPr>
          <w:rFonts w:eastAsia="Calibri"/>
          <w:b w:val="0"/>
          <w:bCs/>
        </w:rPr>
        <w:t xml:space="preserve">  </w:t>
      </w:r>
      <w:r w:rsidRPr="00FE6EF4">
        <w:rPr>
          <w:rFonts w:eastAsia="Calibri"/>
        </w:rPr>
        <w:t>Կանխատեսում։</w:t>
      </w:r>
      <w:r w:rsidRPr="005D1807">
        <w:rPr>
          <w:rFonts w:eastAsia="Calibri"/>
          <w:b w:val="0"/>
          <w:bCs/>
        </w:rPr>
        <w:t xml:space="preserve"> Ա</w:t>
      </w:r>
      <w:r w:rsidRPr="005D1807">
        <w:rPr>
          <w:b w:val="0"/>
          <w:bCs/>
        </w:rPr>
        <w:t>ռևտրային հաշվեկշռի և ոչ առևտրային բնույթի (աշխատավարձ և տրասնֆերտներ) դրամական փոխանցումների ՀՆԱ-ի նկատմամբ դերի վատթարացմամբ պայմանավորված ընթացիկ հաշվի պակասուրդը կխորանա և 2023թ․</w:t>
      </w:r>
      <w:r w:rsidRPr="005D1807">
        <w:rPr>
          <w:rFonts w:eastAsiaTheme="majorEastAsia"/>
          <w:b w:val="0"/>
          <w:bCs/>
        </w:rPr>
        <w:t xml:space="preserve"> կկազմի ՀՆԱ-ի 4.0%-ը</w:t>
      </w:r>
      <w:r w:rsidRPr="005D1807">
        <w:rPr>
          <w:b w:val="0"/>
          <w:bCs/>
        </w:rPr>
        <w:t xml:space="preserve">: Առևտրային հաշվեկշռի որոշակի վատթարացման և դրամական փոխանցումների դերի շարունակվող նվազման պայմաններում </w:t>
      </w:r>
      <w:r w:rsidRPr="005D1807">
        <w:rPr>
          <w:rFonts w:eastAsiaTheme="majorEastAsia"/>
          <w:b w:val="0"/>
          <w:bCs/>
        </w:rPr>
        <w:t>2024թ․ ընթացիկ հաշվի պակասուրդը կշարունակի խորանալ:</w:t>
      </w:r>
    </w:p>
    <w:p w14:paraId="17F3D796" w14:textId="77777777" w:rsidR="005D1807" w:rsidRPr="005D1807" w:rsidRDefault="005D1807" w:rsidP="005D1807">
      <w:pPr>
        <w:rPr>
          <w:rFonts w:eastAsia="Calibri"/>
          <w:b w:val="0"/>
          <w:bCs/>
        </w:rPr>
      </w:pPr>
      <w:r w:rsidRPr="00FE6EF4">
        <w:rPr>
          <w:rFonts w:eastAsia="Calibri"/>
        </w:rPr>
        <w:lastRenderedPageBreak/>
        <w:t>Արտահանում: 2022թ․ արձանագրվել է արտահանման երկնիշ դոլարային (100.3%) աճ` հիմնականում պայմանավորված ծառայությունների արտահանման (զբոսաշրջության) աճով, ինչպես նաև արտաքին որոշ շուկաներում (հատկապես՝ ՌԴ-ում) ՀՀ ապրանքների նկատմամբ պահանջարկի ավելացմամբ:</w:t>
      </w:r>
      <w:r w:rsidRPr="005D1807">
        <w:rPr>
          <w:rFonts w:eastAsia="Calibri"/>
          <w:b w:val="0"/>
          <w:bCs/>
        </w:rPr>
        <w:t xml:space="preserve"> 2022թ. ապրանքների արտահանումն աճել է 74.5%-ով՝ պայմանավորված արտաքին որոշ շուկաներում (հատկապես՝ ՌԴ-ում Ռուս-ուկրաինական հակամարտության և ՌԴ-ի նկատմամբ կիրառվող աննախադեպ պատժամիջոցների հետևանքով) ՀՀ ապրանքների նկատմամբ պահանջարկի աճով, ինչպես նաև արտահանման առաջարկի ավելացմամբ։ Ծառայությունների արտահանման շուրջ 2.5 անգամ աճին հիմնական նպաստում է ունեցել զբոսաշրջության կտրուկ աճը (ճանապարհորդության նպաստումը դոլարային աճին՝ 95.4 տոկոսային կետ): 2022թ. ՀՀ այցելած զբոսաշրջիկների թիվը կազմել է շուրջ 1666 հազար մարդ՝ նախորդ տարվա համեմատ ավելանալով շուրջ 2 անգամ (շուրջ 790 հազար մարդով): Ռուս-ուկրաինական հակամարտության, ՌԴ դեմ կիրառված աննախադեպ պատժամիջոցների և ՌԴ կողմից սեպտեմբերին հայտարարված մասնակի մոբիլիզացիայի արդյունքում 2022թ. ընթացքում ՀՀ այցելած ՌԴ զբոսաշրջիկների թվաքանակը կազմել է շուրջ 790 հազար՝ աճելով 2.2 անգամ (շուրջ 439 հազար մարդով): </w:t>
      </w:r>
    </w:p>
    <w:p w14:paraId="00A24B72" w14:textId="77777777" w:rsidR="005D1807" w:rsidRPr="005D1807" w:rsidRDefault="005D1807" w:rsidP="005D1807">
      <w:pPr>
        <w:rPr>
          <w:rFonts w:eastAsia="Calibri"/>
          <w:b w:val="0"/>
          <w:bCs/>
        </w:rPr>
      </w:pPr>
      <w:r w:rsidRPr="00FE6EF4">
        <w:rPr>
          <w:rFonts w:eastAsiaTheme="majorEastAsia"/>
        </w:rPr>
        <w:t>2023թ. հունվար-օգոստոս ամիսներին ՀՀ ապրանքների արտահանումը գրանցել է բարձր աճ՝ շուրջ 52%, սակայն հունիս ամսից սկսած նկատվել է արտահանման աճի տեմպի կտրուկ դանդաղում:</w:t>
      </w:r>
      <w:r w:rsidRPr="005D1807">
        <w:rPr>
          <w:rFonts w:eastAsiaTheme="majorEastAsia"/>
          <w:b w:val="0"/>
          <w:bCs/>
        </w:rPr>
        <w:t xml:space="preserve"> </w:t>
      </w:r>
      <w:r w:rsidRPr="005D1807">
        <w:rPr>
          <w:rFonts w:eastAsia="Calibri"/>
          <w:b w:val="0"/>
          <w:bCs/>
        </w:rPr>
        <w:t>Աճի տեմպի դանդաղումը պայմանավորված է այն հանգամանքով, որ 2022թ. հունիս ամսից ՀՀ արտահանման ծավալները կտրուկ ավելացել էին՝ արտաքին որոշ շուկաներում (հատկապես՝ ՌԴ-ում) ՀՀ ապրանքների նկատմամբ բարձր պահանջարկի արդյունքում: Ուստի 2023թ. արտահանման բարձր ծավալների պահպանման պայմաններում, բարձր բազայի առկայության պայմաններում աճի տեմպերը կտրուկ դանդաղում են:</w:t>
      </w:r>
    </w:p>
    <w:p w14:paraId="6D34FF7F" w14:textId="77777777" w:rsidR="005D1807" w:rsidRPr="005D1807" w:rsidRDefault="005D1807" w:rsidP="005D1807">
      <w:pPr>
        <w:rPr>
          <w:rFonts w:eastAsia="Calibri"/>
          <w:b w:val="0"/>
          <w:bCs/>
        </w:rPr>
      </w:pPr>
      <w:r w:rsidRPr="00FE6EF4">
        <w:rPr>
          <w:rFonts w:eastAsia="Calibri"/>
          <w:noProof/>
          <w:lang w:val="en-US" w:eastAsia="en-US"/>
        </w:rPr>
        <w:drawing>
          <wp:anchor distT="0" distB="0" distL="114300" distR="114300" simplePos="0" relativeHeight="251769856" behindDoc="1" locked="0" layoutInCell="1" allowOverlap="1" wp14:anchorId="21021077" wp14:editId="673E728E">
            <wp:simplePos x="0" y="0"/>
            <wp:positionH relativeFrom="margin">
              <wp:posOffset>3181350</wp:posOffset>
            </wp:positionH>
            <wp:positionV relativeFrom="paragraph">
              <wp:posOffset>354330</wp:posOffset>
            </wp:positionV>
            <wp:extent cx="3015615" cy="2070100"/>
            <wp:effectExtent l="0" t="0" r="13335" b="6350"/>
            <wp:wrapTight wrapText="bothSides">
              <wp:wrapPolygon edited="0">
                <wp:start x="0" y="0"/>
                <wp:lineTo x="0" y="21467"/>
                <wp:lineTo x="21559" y="21467"/>
                <wp:lineTo x="21559" y="0"/>
                <wp:lineTo x="0" y="0"/>
              </wp:wrapPolygon>
            </wp:wrapTight>
            <wp:docPr id="16120837" name="Chart 161208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Pr="00FE6EF4">
        <w:rPr>
          <w:rFonts w:eastAsia="Calibri"/>
          <w:noProof/>
          <w:lang w:val="en-US" w:eastAsia="en-US"/>
        </w:rPr>
        <w:drawing>
          <wp:anchor distT="0" distB="0" distL="114300" distR="114300" simplePos="0" relativeHeight="251768832" behindDoc="1" locked="0" layoutInCell="1" allowOverlap="1" wp14:anchorId="61BD9CCE" wp14:editId="42358844">
            <wp:simplePos x="0" y="0"/>
            <wp:positionH relativeFrom="margin">
              <wp:align>left</wp:align>
            </wp:positionH>
            <wp:positionV relativeFrom="paragraph">
              <wp:posOffset>365125</wp:posOffset>
            </wp:positionV>
            <wp:extent cx="3124835" cy="2084705"/>
            <wp:effectExtent l="0" t="0" r="18415" b="10795"/>
            <wp:wrapTight wrapText="bothSides">
              <wp:wrapPolygon edited="0">
                <wp:start x="0" y="0"/>
                <wp:lineTo x="0" y="21514"/>
                <wp:lineTo x="21596" y="21514"/>
                <wp:lineTo x="21596" y="0"/>
                <wp:lineTo x="0" y="0"/>
              </wp:wrapPolygon>
            </wp:wrapTight>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Pr="00FE6EF4">
        <w:rPr>
          <w:rFonts w:eastAsia="Calibri"/>
        </w:rPr>
        <w:t>Գծապատկեր 1.29</w:t>
      </w:r>
      <w:r w:rsidRPr="00FE6EF4">
        <w:rPr>
          <w:rFonts w:eastAsia="MS Gothic"/>
        </w:rPr>
        <w:t>․</w:t>
      </w:r>
      <w:r w:rsidRPr="005D1807">
        <w:rPr>
          <w:rFonts w:eastAsia="Calibri"/>
          <w:b w:val="0"/>
          <w:bCs/>
        </w:rPr>
        <w:t xml:space="preserve"> 2023թ. ապրանքների արտահանման միտումները, %</w:t>
      </w:r>
    </w:p>
    <w:p w14:paraId="253A95FD" w14:textId="77777777" w:rsidR="005D1807" w:rsidRPr="00FE6EF4" w:rsidRDefault="005D1807" w:rsidP="005D1807">
      <w:pPr>
        <w:rPr>
          <w:rFonts w:eastAsia="GHEA Grapalat"/>
          <w:b w:val="0"/>
          <w:bCs/>
          <w:sz w:val="20"/>
          <w:szCs w:val="20"/>
        </w:rPr>
      </w:pPr>
      <w:r w:rsidRPr="00FE6EF4">
        <w:rPr>
          <w:rFonts w:eastAsia="Calibri"/>
          <w:b w:val="0"/>
          <w:bCs/>
          <w:sz w:val="20"/>
          <w:szCs w:val="20"/>
        </w:rPr>
        <w:t>Աղբյուրը՝ ՀՀ ՎԿ և ՀՀ ՖՆ հաշվարկներ</w:t>
      </w:r>
    </w:p>
    <w:p w14:paraId="5398CAAC" w14:textId="77777777" w:rsidR="005D1807" w:rsidRPr="005D1807" w:rsidRDefault="005D1807" w:rsidP="005D1807">
      <w:pPr>
        <w:rPr>
          <w:rFonts w:eastAsia="Calibri"/>
          <w:b w:val="0"/>
          <w:bCs/>
        </w:rPr>
      </w:pPr>
      <w:r w:rsidRPr="00FE6EF4">
        <w:rPr>
          <w:rFonts w:eastAsia="GHEA Grapalat"/>
        </w:rPr>
        <w:t xml:space="preserve">2023 թվականի հունվար-հունիս ամիսներին ՀՀ այցելած զբոսաշրջիկների թվաքանակը նախորդ տարվա նույն ժամանակահատվածի համեմատ կտրուկ ավելացել է: </w:t>
      </w:r>
      <w:r w:rsidRPr="005D1807">
        <w:rPr>
          <w:rFonts w:eastAsia="Calibri"/>
          <w:b w:val="0"/>
          <w:bCs/>
        </w:rPr>
        <w:t xml:space="preserve"> 2023թ. առաջին կիսամյակում ՀՀ այցելած զբոսաշրջիկների թվաքանակը </w:t>
      </w:r>
      <w:r w:rsidRPr="005D1807">
        <w:rPr>
          <w:rFonts w:eastAsia="Calibri"/>
          <w:b w:val="0"/>
          <w:bCs/>
        </w:rPr>
        <w:lastRenderedPageBreak/>
        <w:t xml:space="preserve">հատել է մեկ միլիոնի շեմը,  նախորդ տարվա նույն կիսամյակի նկատմամբ աճելով 70.3% (շուրջ 414 հազար մարդով)`, որին ՌԴ զբոսաշրջիկների (շուրջ 518 հազար մարդ) նպաստումը կազմել է շուրջ 45.4%-ային կետ: </w:t>
      </w:r>
    </w:p>
    <w:p w14:paraId="27A4186E" w14:textId="77777777" w:rsidR="005D1807" w:rsidRPr="005D1807" w:rsidRDefault="005D1807" w:rsidP="005D1807">
      <w:pPr>
        <w:rPr>
          <w:rFonts w:eastAsia="GHEA Grapalat"/>
          <w:b w:val="0"/>
          <w:bCs/>
        </w:rPr>
      </w:pPr>
    </w:p>
    <w:p w14:paraId="5D49F5AC" w14:textId="77777777" w:rsidR="005D1807" w:rsidRPr="005D1807" w:rsidRDefault="005D1807" w:rsidP="005D1807">
      <w:pPr>
        <w:rPr>
          <w:rFonts w:eastAsia="GHEA Grapalat"/>
          <w:b w:val="0"/>
          <w:bCs/>
        </w:rPr>
      </w:pPr>
      <w:r w:rsidRPr="00FE6EF4">
        <w:rPr>
          <w:rFonts w:eastAsia="GHEA Grapalat"/>
        </w:rPr>
        <w:t>Գծապատկեր 1.30.</w:t>
      </w:r>
      <w:r w:rsidRPr="005D1807">
        <w:rPr>
          <w:rFonts w:eastAsia="GHEA Grapalat"/>
          <w:b w:val="0"/>
          <w:bCs/>
        </w:rPr>
        <w:t xml:space="preserve"> ՀՀ այցելած զբոսաշրջիկների  դինամիկան 2019-2022թթ. հունվար-հունիս ամիսներին, հազար մարդ</w:t>
      </w:r>
    </w:p>
    <w:p w14:paraId="7962ACC9" w14:textId="77777777" w:rsidR="005D1807" w:rsidRPr="005D1807" w:rsidRDefault="005D1807" w:rsidP="005D1807">
      <w:pPr>
        <w:rPr>
          <w:rFonts w:eastAsia="GHEA Grapalat"/>
          <w:b w:val="0"/>
          <w:bCs/>
        </w:rPr>
      </w:pPr>
      <w:r w:rsidRPr="005D1807">
        <w:rPr>
          <w:rFonts w:eastAsia="GHEA Grapalat"/>
          <w:b w:val="0"/>
          <w:bCs/>
          <w:noProof/>
          <w:lang w:val="en-US" w:eastAsia="en-US"/>
        </w:rPr>
        <w:drawing>
          <wp:inline distT="0" distB="0" distL="0" distR="0" wp14:anchorId="1AB97518" wp14:editId="57CDCBC5">
            <wp:extent cx="6486525" cy="2171700"/>
            <wp:effectExtent l="0" t="0" r="952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98B8B09" w14:textId="77777777" w:rsidR="005D1807" w:rsidRPr="00FE6EF4" w:rsidRDefault="005D1807" w:rsidP="005D1807">
      <w:pPr>
        <w:rPr>
          <w:rFonts w:eastAsia="GHEA Grapalat"/>
          <w:b w:val="0"/>
          <w:bCs/>
          <w:sz w:val="20"/>
          <w:szCs w:val="20"/>
        </w:rPr>
      </w:pPr>
      <w:r w:rsidRPr="00FE6EF4">
        <w:rPr>
          <w:rFonts w:eastAsia="GHEA Grapalat"/>
          <w:b w:val="0"/>
          <w:bCs/>
          <w:sz w:val="20"/>
          <w:szCs w:val="20"/>
        </w:rPr>
        <w:t>Աղբյուրը՝ ՀՀ ՎԿ</w:t>
      </w:r>
    </w:p>
    <w:p w14:paraId="5961C763" w14:textId="77777777" w:rsidR="005D1807" w:rsidRPr="005D1807" w:rsidRDefault="005D1807" w:rsidP="005D1807">
      <w:pPr>
        <w:rPr>
          <w:rFonts w:eastAsia="Calibri"/>
          <w:b w:val="0"/>
          <w:bCs/>
        </w:rPr>
      </w:pPr>
      <w:r w:rsidRPr="00FE6EF4">
        <w:rPr>
          <w:rFonts w:eastAsiaTheme="majorEastAsia"/>
        </w:rPr>
        <w:t>Կանխատեսում։</w:t>
      </w:r>
      <w:r w:rsidRPr="005D1807">
        <w:rPr>
          <w:rFonts w:eastAsiaTheme="majorEastAsia"/>
          <w:b w:val="0"/>
          <w:bCs/>
        </w:rPr>
        <w:t xml:space="preserve"> Վերոնշյալ արտաքին և ներքին տնտեսական զարգացումների պայմաններում 2023թ. սպասվում է մոտ 31.9% արտահանման աճ։ Իսկ 2024թ. դեպի ՀՀ տուրզմի բարձր ներհոսքի պահպանման, արտահանման ու ներդրումների խրախուսմանն ուղղված ՀՀ կառավարության քաղաքականությանը համահունչ ակնկալվում է ապրանքների և ծառայությունների արտահանման 8.5% աճ:</w:t>
      </w:r>
    </w:p>
    <w:p w14:paraId="172B091E" w14:textId="77777777" w:rsidR="005D1807" w:rsidRPr="005D1807" w:rsidRDefault="005D1807" w:rsidP="005D1807">
      <w:pPr>
        <w:rPr>
          <w:rFonts w:eastAsia="Calibri"/>
          <w:b w:val="0"/>
          <w:bCs/>
        </w:rPr>
      </w:pPr>
      <w:r w:rsidRPr="00FE6EF4">
        <w:rPr>
          <w:rFonts w:eastAsia="Calibri"/>
        </w:rPr>
        <w:t xml:space="preserve">Ներմուծում: </w:t>
      </w:r>
      <w:r w:rsidRPr="00FE6EF4">
        <w:rPr>
          <w:rFonts w:eastAsiaTheme="majorEastAsia"/>
        </w:rPr>
        <w:t>2022թ․ արձանագրվել է ապրանքների ներմուծման բարձր երկնիշ աճ (66.5%)։</w:t>
      </w:r>
      <w:r w:rsidRPr="005D1807">
        <w:rPr>
          <w:rFonts w:eastAsiaTheme="majorEastAsia"/>
          <w:b w:val="0"/>
          <w:bCs/>
        </w:rPr>
        <w:t xml:space="preserve"> Ներմուծման բարձր աճը պայմանավորվել է բարձր տնտեսական ակտիվությամբ, պահանջարկի բարձր աճով և արտահանման հնարավորությունների մեծացման պայմաններում ներմուծվող ապրանքների բարձր պահանջարկով: Ծառայությունների ներմուծման աճը 2022թ. կազմել է 95% և հիմնականում պայմանավորվել է համավարկի հետ կապված սահմանափակումների վերացման հետևանքով զբոսաշրջության կտրուկ աճով:</w:t>
      </w:r>
    </w:p>
    <w:p w14:paraId="690989CE" w14:textId="77777777" w:rsidR="005D1807" w:rsidRPr="005D1807" w:rsidRDefault="005D1807" w:rsidP="005D1807">
      <w:pPr>
        <w:rPr>
          <w:rFonts w:eastAsia="Calibri"/>
          <w:b w:val="0"/>
          <w:bCs/>
        </w:rPr>
      </w:pPr>
      <w:r w:rsidRPr="00FE6EF4">
        <w:rPr>
          <w:rFonts w:eastAsia="Calibri"/>
        </w:rPr>
        <w:t xml:space="preserve">2023թ. հունվար-օգոստոս ամիսներին արձանագրվել է ապրանքների ներմուծման շուրջ 54% աճ, </w:t>
      </w:r>
      <w:r w:rsidRPr="00FE6EF4">
        <w:rPr>
          <w:rFonts w:eastAsiaTheme="majorEastAsia"/>
        </w:rPr>
        <w:t>սակայն վերջին ամիսներին շարունակաբար նկատվում է աճի տեմպի դանդաղում:</w:t>
      </w:r>
      <w:r w:rsidRPr="005D1807">
        <w:rPr>
          <w:rFonts w:eastAsia="Calibri"/>
          <w:b w:val="0"/>
          <w:bCs/>
        </w:rPr>
        <w:t xml:space="preserve"> Ներմուծման բարձր աճը պայմանավորված է բարձր տնտեսական ակտիվության, պահանջարկի բարձր աճի և արտահանման հնարավորությունների մեծացման պայմաններում ներմուծվող ապրանքների բարձր պահանջարկով:</w:t>
      </w:r>
      <w:r w:rsidRPr="005D1807">
        <w:rPr>
          <w:rFonts w:eastAsiaTheme="majorEastAsia"/>
          <w:b w:val="0"/>
          <w:bCs/>
        </w:rPr>
        <w:t xml:space="preserve"> </w:t>
      </w:r>
    </w:p>
    <w:p w14:paraId="2DF88FBC" w14:textId="77777777" w:rsidR="005D1807" w:rsidRPr="005D1807" w:rsidRDefault="005D1807" w:rsidP="005D1807">
      <w:pPr>
        <w:rPr>
          <w:rFonts w:eastAsia="Calibri"/>
          <w:b w:val="0"/>
          <w:bCs/>
        </w:rPr>
      </w:pPr>
      <w:r w:rsidRPr="00FE6EF4">
        <w:rPr>
          <w:rFonts w:eastAsia="Calibri"/>
          <w:noProof/>
          <w:lang w:val="en-US" w:eastAsia="en-US"/>
        </w:rPr>
        <w:lastRenderedPageBreak/>
        <w:drawing>
          <wp:anchor distT="0" distB="0" distL="114300" distR="114300" simplePos="0" relativeHeight="251764736" behindDoc="1" locked="0" layoutInCell="1" allowOverlap="1" wp14:anchorId="0D0F2B4C" wp14:editId="19FCB736">
            <wp:simplePos x="0" y="0"/>
            <wp:positionH relativeFrom="margin">
              <wp:posOffset>47625</wp:posOffset>
            </wp:positionH>
            <wp:positionV relativeFrom="paragraph">
              <wp:posOffset>372110</wp:posOffset>
            </wp:positionV>
            <wp:extent cx="2962275" cy="2201545"/>
            <wp:effectExtent l="0" t="0" r="9525" b="8255"/>
            <wp:wrapTight wrapText="bothSides">
              <wp:wrapPolygon edited="0">
                <wp:start x="0" y="0"/>
                <wp:lineTo x="0" y="21494"/>
                <wp:lineTo x="21531" y="21494"/>
                <wp:lineTo x="21531" y="0"/>
                <wp:lineTo x="0" y="0"/>
              </wp:wrapPolygon>
            </wp:wrapTight>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Pr="00FE6EF4">
        <w:rPr>
          <w:rFonts w:eastAsia="Calibri"/>
          <w:noProof/>
          <w:lang w:val="en-US" w:eastAsia="en-US"/>
        </w:rPr>
        <w:drawing>
          <wp:anchor distT="0" distB="0" distL="114300" distR="114300" simplePos="0" relativeHeight="251765760" behindDoc="1" locked="0" layoutInCell="1" allowOverlap="1" wp14:anchorId="0F0D59BA" wp14:editId="0E37F683">
            <wp:simplePos x="0" y="0"/>
            <wp:positionH relativeFrom="margin">
              <wp:posOffset>3112770</wp:posOffset>
            </wp:positionH>
            <wp:positionV relativeFrom="paragraph">
              <wp:posOffset>372110</wp:posOffset>
            </wp:positionV>
            <wp:extent cx="3257550" cy="2201545"/>
            <wp:effectExtent l="0" t="0" r="0" b="8255"/>
            <wp:wrapTight wrapText="bothSides">
              <wp:wrapPolygon edited="0">
                <wp:start x="0" y="0"/>
                <wp:lineTo x="0" y="21494"/>
                <wp:lineTo x="21474" y="21494"/>
                <wp:lineTo x="21474" y="0"/>
                <wp:lineTo x="0" y="0"/>
              </wp:wrapPolygon>
            </wp:wrapTight>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Pr="00FE6EF4">
        <w:rPr>
          <w:rFonts w:eastAsia="Calibri"/>
        </w:rPr>
        <w:t>Գծապատկեր 1.31</w:t>
      </w:r>
      <w:r w:rsidRPr="00FE6EF4">
        <w:rPr>
          <w:rFonts w:eastAsia="MS Gothic"/>
        </w:rPr>
        <w:t>․</w:t>
      </w:r>
      <w:r w:rsidRPr="005D1807">
        <w:rPr>
          <w:rFonts w:eastAsia="Calibri"/>
          <w:b w:val="0"/>
          <w:bCs/>
        </w:rPr>
        <w:t xml:space="preserve"> 2023թ. ապրանքների ներմուծման միտումները, %</w:t>
      </w:r>
    </w:p>
    <w:p w14:paraId="33AEE85A" w14:textId="77777777" w:rsidR="005D1807" w:rsidRPr="00FE6EF4" w:rsidRDefault="005D1807" w:rsidP="005D1807">
      <w:pPr>
        <w:rPr>
          <w:rFonts w:eastAsia="Calibri"/>
          <w:b w:val="0"/>
          <w:bCs/>
          <w:sz w:val="20"/>
          <w:szCs w:val="20"/>
        </w:rPr>
      </w:pPr>
      <w:r w:rsidRPr="00FE6EF4">
        <w:rPr>
          <w:rFonts w:eastAsia="Calibri"/>
          <w:b w:val="0"/>
          <w:bCs/>
          <w:sz w:val="20"/>
          <w:szCs w:val="20"/>
        </w:rPr>
        <w:t xml:space="preserve">Աղբյուրը՝ ՀՀ ՎԿ և ՀՀ ՖՆ հաշվարկներ:  </w:t>
      </w:r>
    </w:p>
    <w:p w14:paraId="5814A25B" w14:textId="77777777" w:rsidR="005D1807" w:rsidRPr="005D1807" w:rsidRDefault="005D1807" w:rsidP="005D1807">
      <w:pPr>
        <w:rPr>
          <w:rFonts w:eastAsiaTheme="majorEastAsia"/>
          <w:b w:val="0"/>
          <w:bCs/>
        </w:rPr>
      </w:pPr>
    </w:p>
    <w:p w14:paraId="2AA558D9" w14:textId="77777777" w:rsidR="005D1807" w:rsidRPr="005D1807" w:rsidRDefault="005D1807" w:rsidP="005D1807">
      <w:pPr>
        <w:rPr>
          <w:rFonts w:eastAsia="Calibri"/>
          <w:b w:val="0"/>
          <w:bCs/>
        </w:rPr>
      </w:pPr>
      <w:r w:rsidRPr="005D1807">
        <w:rPr>
          <w:rFonts w:eastAsiaTheme="majorEastAsia"/>
          <w:b w:val="0"/>
          <w:bCs/>
        </w:rPr>
        <w:t>Կանխատեսում։ Սպասվող բարձր տնտեսական աճի և ապրանքների ու ծառայությունների նկատմամբ ներքին պահանջարկի աճով պայմանավորված 2023թ. սպասվում է շուրջ 35.2% ներմուծման աճ: ՀՀ տնտեսական ակտիվության և ներքին պահանջարկի, զբոսաշրջության աճին զուգընթաց, ինչպես նաև ՀՀ կառավարության կողմից նախատեսվող պետական ներդրումների իրականացման և մասնավոր ներդրումների խթանման միջոցառումների ազդեցության պայմաններում  2024թ.  կանխատեսվում է 8.8% ներմուծման աճ:</w:t>
      </w:r>
    </w:p>
    <w:p w14:paraId="698E569D" w14:textId="77777777" w:rsidR="005D1807" w:rsidRPr="00FE6EF4" w:rsidRDefault="005D1807" w:rsidP="00FE6EF4">
      <w:pPr>
        <w:spacing w:before="0" w:line="240" w:lineRule="auto"/>
        <w:jc w:val="left"/>
        <w:rPr>
          <w:rFonts w:eastAsiaTheme="majorEastAsia" w:cstheme="majorBidi"/>
          <w:bCs/>
          <w:color w:val="1F497D" w:themeColor="text2"/>
          <w:sz w:val="24"/>
          <w:lang w:val="hy-AM" w:eastAsia="en-US"/>
        </w:rPr>
      </w:pPr>
      <w:r w:rsidRPr="00FE6EF4">
        <w:rPr>
          <w:rFonts w:eastAsiaTheme="majorEastAsia" w:cstheme="majorBidi"/>
          <w:bCs/>
          <w:color w:val="1F497D" w:themeColor="text2"/>
          <w:sz w:val="24"/>
          <w:lang w:val="hy-AM" w:eastAsia="en-US"/>
        </w:rPr>
        <w:t>1.3.4. Փոխարժեքներ</w:t>
      </w:r>
    </w:p>
    <w:p w14:paraId="149DC35E" w14:textId="77777777" w:rsidR="005D1807" w:rsidRPr="005D1807" w:rsidRDefault="005D1807" w:rsidP="005D1807">
      <w:pPr>
        <w:rPr>
          <w:rFonts w:eastAsia="Calibri"/>
          <w:b w:val="0"/>
          <w:bCs/>
        </w:rPr>
      </w:pPr>
      <w:bookmarkStart w:id="108" w:name="_Toc46760406"/>
      <w:bookmarkStart w:id="109" w:name="_Toc51947415"/>
      <w:bookmarkStart w:id="110" w:name="_Toc52452088"/>
      <w:bookmarkStart w:id="111" w:name="_Toc57559415"/>
      <w:bookmarkStart w:id="112" w:name="_Toc83663897"/>
      <w:bookmarkStart w:id="113" w:name="_Toc83972833"/>
      <w:bookmarkStart w:id="114" w:name="_Toc115686019"/>
      <w:bookmarkEnd w:id="102"/>
      <w:r w:rsidRPr="00FE6EF4">
        <w:rPr>
          <w:rFonts w:eastAsia="Calibri"/>
          <w:u w:val="single"/>
        </w:rPr>
        <w:t>Ֆիզիկական անձանց փոխանցումներ։</w:t>
      </w:r>
      <w:r w:rsidRPr="00FE6EF4">
        <w:rPr>
          <w:rFonts w:eastAsia="Calibri"/>
        </w:rPr>
        <w:t xml:space="preserve"> Դեպի ՀՀ ֆիզիկական անձանց փոխանցումները</w:t>
      </w:r>
      <w:r w:rsidRPr="00FE6EF4">
        <w:rPr>
          <w:rFonts w:eastAsia="GHEA Grapalat"/>
        </w:rPr>
        <w:t xml:space="preserve"> 2022թ. հասել են աննախադեպ մակարդակի՝ զգալիորեն ավելացնելով ՀՀ-ում արտարժույթի առաջարկը։</w:t>
      </w:r>
      <w:r w:rsidRPr="005D1807">
        <w:rPr>
          <w:rFonts w:eastAsia="GHEA Grapalat"/>
          <w:b w:val="0"/>
          <w:bCs/>
        </w:rPr>
        <w:t xml:space="preserve"> 2022թ. երկրորդ եռամսյակից նկատվել է զուտ փոխանցումների կտրուկ աճ ի հաշիվ Ռուսաստանի Դաշնությունից փոխանցումների կտրուկ աճի։ Այլ երկրներից փոխանցումների ներհոսքը դեպի ՀՀ նվազել է, արտահոսքը՝ աճել։ 2022թ. զուտ փոխանցումները հասել են 2.6 մլրդ դոլարի՝ 2021թ. համեմատ աճելով 2.9 անգամ: Ընդ որում՝ ՌԴ-ից զուտ փոխանցումները 2022թ. կազմել են 3.1 մլրդ դոլար՝ նախորդ տարվա համեմատ աճելով շուրջ 6.8 անգամ։ Արդյունքում 2022թ. ՀՀ-ում արտարժույթի ծավալները կտրուկ ավելացել են:</w:t>
      </w:r>
    </w:p>
    <w:p w14:paraId="035CAA12" w14:textId="77777777" w:rsidR="005D1807" w:rsidRPr="005D1807" w:rsidRDefault="005D1807" w:rsidP="005D1807">
      <w:pPr>
        <w:rPr>
          <w:rFonts w:eastAsia="GHEA Grapalat"/>
          <w:b w:val="0"/>
          <w:bCs/>
        </w:rPr>
      </w:pPr>
      <w:r w:rsidRPr="00FE6EF4">
        <w:rPr>
          <w:rFonts w:eastAsia="GHEA Grapalat"/>
        </w:rPr>
        <w:t>2023թ. առաջին յոթ ամիսներին դեպի ՀՀ ֆիզիկական անձանց փոխանցումների ծավալները նախորդ տարվա համապատասխան ժամանակահատվածի նկատմամբ նվազել են։</w:t>
      </w:r>
      <w:r w:rsidRPr="005D1807">
        <w:rPr>
          <w:rFonts w:eastAsia="GHEA Grapalat"/>
          <w:b w:val="0"/>
          <w:bCs/>
        </w:rPr>
        <w:t xml:space="preserve">  2023 թվականի առաջին յոթ ամիսներին զուտ փոխանցումները կազմել են 1031 մլն դոլար, նախորդ տարվա նույն ժամանակահատվածի համեմատ արձանագրելով 8.7 տոկոս անկում: Ընդ որում՝ ՌԴ-ից զուտ փոխանցումները 2023 թվականի առաջին յոթ ամիսներին կազմել են շուրջ 2 մլրդ դոլար, նախորդ տարվա նույն ժամանակահատվածի համեմատ աճելով շուրջ 45.3 տոկոսով։ Արդյունքում՝ տարեսկզբին ավելացած </w:t>
      </w:r>
      <w:r w:rsidRPr="005D1807">
        <w:rPr>
          <w:rFonts w:eastAsia="GHEA Grapalat"/>
          <w:b w:val="0"/>
          <w:bCs/>
        </w:rPr>
        <w:lastRenderedPageBreak/>
        <w:t>արտարժույթի ծավալները սկսել են նվազել, դեռևս մնալով բարձր մակարդակի վրա՝ պահպանելով ՀՀ-ում արտարժույթի բարձր առաջարկը:</w:t>
      </w:r>
    </w:p>
    <w:p w14:paraId="14F51B81" w14:textId="77777777" w:rsidR="005D1807" w:rsidRPr="005D1807" w:rsidRDefault="005D1807" w:rsidP="005D1807">
      <w:pPr>
        <w:rPr>
          <w:rFonts w:eastAsia="GHEA Grapalat"/>
          <w:b w:val="0"/>
          <w:bCs/>
        </w:rPr>
      </w:pPr>
    </w:p>
    <w:p w14:paraId="1A2CE8BA" w14:textId="77777777" w:rsidR="005D1807" w:rsidRPr="005D1807" w:rsidRDefault="005D1807" w:rsidP="005D1807">
      <w:pPr>
        <w:rPr>
          <w:rFonts w:eastAsia="Calibri"/>
          <w:b w:val="0"/>
          <w:bCs/>
        </w:rPr>
      </w:pPr>
      <w:r w:rsidRPr="00FE6EF4">
        <w:rPr>
          <w:rFonts w:eastAsia="Calibri"/>
        </w:rPr>
        <w:t>Գծապատկեր 1.32․</w:t>
      </w:r>
      <w:r w:rsidRPr="005D1807">
        <w:rPr>
          <w:rFonts w:eastAsia="Calibri"/>
          <w:b w:val="0"/>
          <w:bCs/>
        </w:rPr>
        <w:t xml:space="preserve"> ՀՀ բանկերի միջոցով ֆիզիկական անձանց անունով արտերկրներից մուտք եղած և ՀՀ-ից ֆիզիկական անձանց կողմից արտերկիր կատարված զուտ փոխանցումներ, մլն ԱՄՆ դոլար </w:t>
      </w:r>
    </w:p>
    <w:p w14:paraId="47E8D846" w14:textId="77777777" w:rsidR="005D1807" w:rsidRPr="005D1807" w:rsidRDefault="005D1807" w:rsidP="005D1807">
      <w:pPr>
        <w:rPr>
          <w:rFonts w:eastAsia="Calibri"/>
          <w:b w:val="0"/>
          <w:bCs/>
        </w:rPr>
      </w:pPr>
      <w:r w:rsidRPr="005D1807">
        <w:rPr>
          <w:b w:val="0"/>
          <w:bCs/>
          <w:noProof/>
          <w:lang w:val="en-US" w:eastAsia="en-US"/>
        </w:rPr>
        <w:drawing>
          <wp:inline distT="0" distB="0" distL="0" distR="0" wp14:anchorId="13F8AD13" wp14:editId="46146F32">
            <wp:extent cx="5619750" cy="2162175"/>
            <wp:effectExtent l="0" t="0" r="0" b="952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ABDD1D1" w14:textId="77777777" w:rsidR="005D1807" w:rsidRPr="00FE6EF4" w:rsidRDefault="005D1807" w:rsidP="005D1807">
      <w:pPr>
        <w:rPr>
          <w:b w:val="0"/>
          <w:bCs/>
          <w:sz w:val="20"/>
          <w:szCs w:val="20"/>
        </w:rPr>
      </w:pPr>
      <w:r w:rsidRPr="00FE6EF4">
        <w:rPr>
          <w:b w:val="0"/>
          <w:bCs/>
          <w:sz w:val="20"/>
          <w:szCs w:val="20"/>
        </w:rPr>
        <w:t>Աղբյուրը՝ ՀՀ ԿԲ, ՀՀ ՖՆ հաշվարկներ</w:t>
      </w:r>
    </w:p>
    <w:p w14:paraId="6F271757" w14:textId="77777777" w:rsidR="005D1807" w:rsidRPr="005D1807" w:rsidRDefault="005D1807" w:rsidP="005D1807">
      <w:pPr>
        <w:rPr>
          <w:rFonts w:eastAsia="Calibri"/>
          <w:b w:val="0"/>
          <w:bCs/>
        </w:rPr>
      </w:pPr>
    </w:p>
    <w:p w14:paraId="49B74B55" w14:textId="77777777" w:rsidR="005D1807" w:rsidRPr="005D1807" w:rsidRDefault="005D1807" w:rsidP="005D1807">
      <w:pPr>
        <w:rPr>
          <w:rFonts w:eastAsia="GHEA Grapalat"/>
          <w:b w:val="0"/>
          <w:bCs/>
        </w:rPr>
      </w:pPr>
      <w:r w:rsidRPr="00A64D05">
        <w:rPr>
          <w:u w:val="single"/>
        </w:rPr>
        <w:t>Արժութային շուկա։</w:t>
      </w:r>
      <w:r w:rsidRPr="00A64D05">
        <w:rPr>
          <w:rFonts w:eastAsia="GHEA Grapalat"/>
        </w:rPr>
        <w:t xml:space="preserve"> Մինչև 2022թ. ՀՀ արժութային շուկայի շրջանառության ծավալները եղել են կայուն, սակայն 2022թ. մարտից սկսած մինչև տարեվերջ մեծ տեմպերով ավելացել են: </w:t>
      </w:r>
      <w:r w:rsidRPr="005D1807">
        <w:rPr>
          <w:rFonts w:eastAsia="GHEA Grapalat"/>
          <w:b w:val="0"/>
          <w:bCs/>
        </w:rPr>
        <w:t>Ընդ որում՝ 2022թ․ մարտ և ապրիլ ամիսներին բանկերի կողմից առքի ծավալները գերազանցել են վաճառքի ծավալները, իսկ մայիս, հունիս և հուլիս ամիսներին առքի և վաճառքի ծավալներն իրար ավելի մոտ են եղել: Սկսած օգոստոսից՝ առքի ծավալները նորից սկսել են գերազանցել վաճառքի ծավալներին։ Միաժամանակ, եթե մարտ և ապրիլ ամիսներին բանկերի կողմից լրացուցիչ ձեռքբերումները եղել են ԱՄՆ դոլարով, ապա մայիս ամսից սկսած՝ կտրուկ աճել է ռուսական ռուբլու առքի ծավալը՝ զգալիորեն գերազանցելով վաճառքի ծավալները։ Նշված զարգացումներով պայմանավորված՝ 2022 թվականին ՀՀ ԿԲ-ն արժութային շուկայում իրականացրել է արտարժույթի ձեռքբերումներ 573.8 մլն դոլարի չափով:</w:t>
      </w:r>
    </w:p>
    <w:p w14:paraId="17D1D6EB" w14:textId="77777777" w:rsidR="005D1807" w:rsidRPr="005D1807" w:rsidRDefault="005D1807" w:rsidP="005D1807">
      <w:pPr>
        <w:rPr>
          <w:rFonts w:eastAsia="GHEA Grapalat"/>
          <w:b w:val="0"/>
          <w:bCs/>
        </w:rPr>
      </w:pPr>
      <w:r w:rsidRPr="00A64D05">
        <w:rPr>
          <w:rFonts w:eastAsia="GHEA Grapalat"/>
        </w:rPr>
        <w:t xml:space="preserve">2023թ․ ՀՀ արժութային շուկայի շրջանառության ծավալները նախորդ տարվա աննախադեպ բարձր ծավալների համեմատ սկսել են կրճատվել: </w:t>
      </w:r>
      <w:r w:rsidRPr="005D1807">
        <w:rPr>
          <w:rFonts w:eastAsia="GHEA Grapalat"/>
          <w:b w:val="0"/>
          <w:bCs/>
        </w:rPr>
        <w:t xml:space="preserve"> Եթե հունվար ամսին արտարժույթի ներբանկային առքի և վաճառքի ծավալներն իրար ավելի մոտ են եղել, ապա, սկսած փետրվարից, առքը գերազանցել է վաճառքը՝ հիմնականում պայմանավորված ռուբլու ձեռքբերումներով, իսկ ապրիլից օգոստոս ամիսներին դոլարի զուտ առքը եղել է չնչին։  Նույն ժամանակահատվածում ՀՀ ԿԲ-ն արժութային շուկայում հունիսի դրությամբ իրականացրել է միջամտություններ շուրջ 781 մլն ԱՄՆ դոլարի չափով՝ ավելորդ տատանողականությունը չեզոքացնելու նպատակով։</w:t>
      </w:r>
    </w:p>
    <w:p w14:paraId="682EC372" w14:textId="77777777" w:rsidR="005D1807" w:rsidRPr="005D1807" w:rsidRDefault="005D1807" w:rsidP="005D1807">
      <w:pPr>
        <w:rPr>
          <w:rFonts w:eastAsia="GHEA Grapalat"/>
          <w:b w:val="0"/>
          <w:bCs/>
        </w:rPr>
      </w:pPr>
    </w:p>
    <w:tbl>
      <w:tblPr>
        <w:tblW w:w="5093" w:type="pct"/>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4A0" w:firstRow="1" w:lastRow="0" w:firstColumn="1" w:lastColumn="0" w:noHBand="0" w:noVBand="1"/>
      </w:tblPr>
      <w:tblGrid>
        <w:gridCol w:w="4637"/>
        <w:gridCol w:w="4634"/>
      </w:tblGrid>
      <w:tr w:rsidR="005D1807" w:rsidRPr="005D1807" w14:paraId="3CAE47D2" w14:textId="77777777" w:rsidTr="00D656FB">
        <w:trPr>
          <w:trHeight w:val="901"/>
        </w:trPr>
        <w:tc>
          <w:tcPr>
            <w:tcW w:w="2501" w:type="pct"/>
            <w:shd w:val="clear" w:color="auto" w:fill="auto"/>
          </w:tcPr>
          <w:p w14:paraId="650CD097" w14:textId="77777777" w:rsidR="005D1807" w:rsidRPr="005D1807" w:rsidRDefault="005D1807" w:rsidP="005D1807">
            <w:pPr>
              <w:rPr>
                <w:rFonts w:eastAsia="GHEA Grapalat"/>
                <w:b w:val="0"/>
                <w:bCs/>
              </w:rPr>
            </w:pPr>
            <w:r w:rsidRPr="00A64D05">
              <w:rPr>
                <w:rFonts w:eastAsia="Calibri"/>
              </w:rPr>
              <w:t>Գծապատկեր 1.33.</w:t>
            </w:r>
            <w:r w:rsidRPr="005D1807">
              <w:rPr>
                <w:rFonts w:eastAsia="Calibri"/>
                <w:b w:val="0"/>
                <w:bCs/>
              </w:rPr>
              <w:t xml:space="preserve"> ՀՀ արժութային (ներբանկային) շուկայի շրջանառության տվյալներն ըստ դրամային համարժեքների, զուտ մլրդ դրամ</w:t>
            </w:r>
          </w:p>
        </w:tc>
        <w:tc>
          <w:tcPr>
            <w:tcW w:w="2499" w:type="pct"/>
            <w:shd w:val="clear" w:color="auto" w:fill="auto"/>
          </w:tcPr>
          <w:p w14:paraId="37AB2B70" w14:textId="77777777" w:rsidR="005D1807" w:rsidRPr="005D1807" w:rsidRDefault="005D1807" w:rsidP="005D1807">
            <w:pPr>
              <w:rPr>
                <w:rFonts w:eastAsia="Calibri"/>
                <w:b w:val="0"/>
                <w:bCs/>
              </w:rPr>
            </w:pPr>
            <w:r w:rsidRPr="00A64D05">
              <w:rPr>
                <w:rFonts w:eastAsia="Calibri"/>
              </w:rPr>
              <w:t>Գծապատկեր 1.34.</w:t>
            </w:r>
            <w:r w:rsidRPr="005D1807">
              <w:rPr>
                <w:rFonts w:eastAsia="Calibri"/>
                <w:b w:val="0"/>
                <w:bCs/>
              </w:rPr>
              <w:t xml:space="preserve"> Փոխարժեք և ԿԲ արձագանք</w:t>
            </w:r>
          </w:p>
        </w:tc>
      </w:tr>
      <w:tr w:rsidR="005D1807" w:rsidRPr="005D1807" w14:paraId="14154C46" w14:textId="77777777" w:rsidTr="00D656FB">
        <w:trPr>
          <w:trHeight w:val="3912"/>
        </w:trPr>
        <w:tc>
          <w:tcPr>
            <w:tcW w:w="2501" w:type="pct"/>
            <w:shd w:val="clear" w:color="auto" w:fill="auto"/>
          </w:tcPr>
          <w:p w14:paraId="05061EDB" w14:textId="77777777" w:rsidR="005D1807" w:rsidRPr="005D1807" w:rsidRDefault="005D1807" w:rsidP="005D1807">
            <w:pPr>
              <w:rPr>
                <w:rFonts w:eastAsia="GHEA Grapalat"/>
                <w:b w:val="0"/>
                <w:bCs/>
              </w:rPr>
            </w:pPr>
            <w:r w:rsidRPr="005D1807">
              <w:rPr>
                <w:rFonts w:eastAsia="GHEA Grapalat"/>
                <w:b w:val="0"/>
                <w:bCs/>
                <w:noProof/>
                <w:lang w:val="en-US" w:eastAsia="en-US"/>
              </w:rPr>
              <w:drawing>
                <wp:anchor distT="0" distB="0" distL="114300" distR="114300" simplePos="0" relativeHeight="251767808" behindDoc="0" locked="0" layoutInCell="1" allowOverlap="1" wp14:anchorId="18FA9AF9" wp14:editId="6117F2B6">
                  <wp:simplePos x="0" y="0"/>
                  <wp:positionH relativeFrom="column">
                    <wp:posOffset>-4445</wp:posOffset>
                  </wp:positionH>
                  <wp:positionV relativeFrom="paragraph">
                    <wp:posOffset>6350</wp:posOffset>
                  </wp:positionV>
                  <wp:extent cx="2808000" cy="2413635"/>
                  <wp:effectExtent l="0" t="0" r="11430" b="5715"/>
                  <wp:wrapNone/>
                  <wp:docPr id="16120843" name="Chart 161208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tc>
        <w:tc>
          <w:tcPr>
            <w:tcW w:w="2499" w:type="pct"/>
            <w:shd w:val="clear" w:color="auto" w:fill="auto"/>
          </w:tcPr>
          <w:p w14:paraId="56DA69AF" w14:textId="77777777" w:rsidR="005D1807" w:rsidRPr="005D1807" w:rsidRDefault="005D1807" w:rsidP="005D1807">
            <w:pPr>
              <w:rPr>
                <w:rFonts w:eastAsia="GHEA Grapalat"/>
                <w:b w:val="0"/>
                <w:bCs/>
              </w:rPr>
            </w:pPr>
            <w:r w:rsidRPr="005D1807">
              <w:rPr>
                <w:rFonts w:eastAsia="GHEA Grapalat"/>
                <w:b w:val="0"/>
                <w:bCs/>
                <w:noProof/>
                <w:lang w:val="en-US" w:eastAsia="en-US"/>
              </w:rPr>
              <w:drawing>
                <wp:anchor distT="0" distB="0" distL="114300" distR="114300" simplePos="0" relativeHeight="251766784" behindDoc="0" locked="0" layoutInCell="1" allowOverlap="1" wp14:anchorId="6EC7090E" wp14:editId="64B34F3A">
                  <wp:simplePos x="0" y="0"/>
                  <wp:positionH relativeFrom="column">
                    <wp:posOffset>-35560</wp:posOffset>
                  </wp:positionH>
                  <wp:positionV relativeFrom="paragraph">
                    <wp:posOffset>22225</wp:posOffset>
                  </wp:positionV>
                  <wp:extent cx="2808000" cy="2413635"/>
                  <wp:effectExtent l="0" t="0" r="11430" b="5715"/>
                  <wp:wrapNone/>
                  <wp:docPr id="16120844" name="Chart 161208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tc>
      </w:tr>
      <w:tr w:rsidR="005D1807" w:rsidRPr="00933CA4" w14:paraId="30072B68" w14:textId="77777777" w:rsidTr="00D656FB">
        <w:trPr>
          <w:trHeight w:val="306"/>
        </w:trPr>
        <w:tc>
          <w:tcPr>
            <w:tcW w:w="2501" w:type="pct"/>
            <w:shd w:val="clear" w:color="auto" w:fill="auto"/>
          </w:tcPr>
          <w:p w14:paraId="101BC9E9" w14:textId="77777777" w:rsidR="005D1807" w:rsidRPr="005D1807" w:rsidRDefault="005D1807" w:rsidP="005D1807">
            <w:pPr>
              <w:rPr>
                <w:rFonts w:eastAsia="GHEA Grapalat"/>
                <w:b w:val="0"/>
                <w:bCs/>
                <w:lang w:val="hy-AM"/>
              </w:rPr>
            </w:pPr>
            <w:r w:rsidRPr="005D1807">
              <w:rPr>
                <w:b w:val="0"/>
                <w:bCs/>
                <w:lang w:val="hy-AM"/>
              </w:rPr>
              <w:t>Աղբյուրը՝ ՀՀ ԿԲ, ՀՀ ՖՆ հաշվարկներ</w:t>
            </w:r>
          </w:p>
        </w:tc>
        <w:tc>
          <w:tcPr>
            <w:tcW w:w="2499" w:type="pct"/>
            <w:shd w:val="clear" w:color="auto" w:fill="auto"/>
          </w:tcPr>
          <w:p w14:paraId="151DB721" w14:textId="77777777" w:rsidR="005D1807" w:rsidRPr="005D1807" w:rsidRDefault="005D1807" w:rsidP="005D1807">
            <w:pPr>
              <w:rPr>
                <w:rFonts w:eastAsia="GHEA Grapalat"/>
                <w:b w:val="0"/>
                <w:bCs/>
                <w:lang w:val="hy-AM"/>
              </w:rPr>
            </w:pPr>
            <w:r w:rsidRPr="005D1807">
              <w:rPr>
                <w:b w:val="0"/>
                <w:bCs/>
                <w:lang w:val="hy-AM"/>
              </w:rPr>
              <w:t>Աղբյուրը՝ ՀՀ ԿԲ, ՀՀ ՖՆ հաշվարկներ</w:t>
            </w:r>
          </w:p>
        </w:tc>
      </w:tr>
    </w:tbl>
    <w:p w14:paraId="1E18F406" w14:textId="77777777" w:rsidR="005D1807" w:rsidRPr="0073392C" w:rsidRDefault="005D1807" w:rsidP="005D1807">
      <w:pPr>
        <w:rPr>
          <w:rFonts w:eastAsia="Calibri"/>
          <w:b w:val="0"/>
          <w:bCs/>
          <w:lang w:val="hy-AM"/>
        </w:rPr>
      </w:pPr>
      <w:r w:rsidRPr="0073392C">
        <w:rPr>
          <w:u w:val="single"/>
          <w:lang w:val="hy-AM"/>
        </w:rPr>
        <w:t>Երկկողմանի փոխարժեքներ</w:t>
      </w:r>
      <w:r w:rsidRPr="0073392C">
        <w:rPr>
          <w:lang w:val="hy-AM"/>
        </w:rPr>
        <w:t>։</w:t>
      </w:r>
      <w:r w:rsidRPr="0073392C">
        <w:rPr>
          <w:rFonts w:eastAsia="Calibri"/>
          <w:lang w:val="hy-AM"/>
        </w:rPr>
        <w:t xml:space="preserve"> </w:t>
      </w:r>
      <w:r w:rsidRPr="0073392C">
        <w:rPr>
          <w:lang w:val="hy-AM"/>
        </w:rPr>
        <w:t xml:space="preserve">2022թ. ՀՀ դրամը արժևորվել է հիմնական արժույթների նկատմամաբ հիմնականում պայմանավորված </w:t>
      </w:r>
      <w:r w:rsidRPr="0073392C">
        <w:rPr>
          <w:rFonts w:eastAsia="GHEA Grapalat"/>
          <w:lang w:val="hy-AM"/>
        </w:rPr>
        <w:t>արտարժույթի նշանակալի ներհոսքի հետևանքով արժույթի շուկայում ՀՀ դրամի վրա ի հայտ եկած ճնշումներով:</w:t>
      </w:r>
      <w:r w:rsidRPr="0073392C">
        <w:rPr>
          <w:lang w:val="hy-AM"/>
        </w:rPr>
        <w:t xml:space="preserve"> </w:t>
      </w:r>
      <w:r w:rsidRPr="0073392C">
        <w:rPr>
          <w:b w:val="0"/>
          <w:bCs/>
          <w:lang w:val="hy-AM"/>
        </w:rPr>
        <w:t xml:space="preserve">Նախորդ տարվա միջինի համեմատ ԱՄՆ դոլարի նկատմամբ դրամը արժևորվել է՝ 15․6%, եվրոյի նկատմամբ` 29.4% և ռուբլու նկատմամբ՝ 5․6%-ով։ </w:t>
      </w:r>
    </w:p>
    <w:p w14:paraId="3E564958" w14:textId="77777777" w:rsidR="005D1807" w:rsidRPr="0073392C" w:rsidRDefault="005D1807" w:rsidP="005D1807">
      <w:pPr>
        <w:rPr>
          <w:b w:val="0"/>
          <w:bCs/>
          <w:lang w:val="hy-AM"/>
        </w:rPr>
      </w:pPr>
      <w:r w:rsidRPr="0073392C">
        <w:rPr>
          <w:lang w:val="hy-AM"/>
        </w:rPr>
        <w:t>2023թ․ հունվար-օգոստոս ամիսներին ՀՀ դրամի արժևորման միտումները պահպանվել են:</w:t>
      </w:r>
      <w:r w:rsidRPr="0073392C">
        <w:rPr>
          <w:b w:val="0"/>
          <w:bCs/>
          <w:lang w:val="hy-AM"/>
        </w:rPr>
        <w:t xml:space="preserve"> 2023թ. հունվար-օգոստոս ամիսներին ՀՀ դրամի միջին փոխարժեքը կազմել է մոտ 388․9 ՀՀ դրամ ԱՄՆ դոլարի դիմաց՝ նախորդ տարվա նույն ժամանակահատվածի միջինի նկատմամբ արժևորվելով 16.5%-ով: 2023թ. հունվար-օգոստոս ամիսներին ՀՀ դրամը եվրոյի նկատմամբ արժևորվել է շուրջ 15.7%-ով՝ կազմելով 422․3 դրամ մեկ եվրոյի նկատմամբ, իսկ ռուսական ռուբլու նկատմամբ՝ 33.6%-ով՝ կազմելով 4․8 դրամ մեկ ռուբլու նկատմամբ </w:t>
      </w:r>
    </w:p>
    <w:p w14:paraId="0F489388" w14:textId="77777777" w:rsidR="005D1807" w:rsidRPr="0073392C" w:rsidRDefault="005D1807" w:rsidP="005D1807">
      <w:pPr>
        <w:rPr>
          <w:b w:val="0"/>
          <w:bCs/>
          <w:lang w:val="hy-AM"/>
        </w:rPr>
      </w:pPr>
      <w:r w:rsidRPr="0073392C">
        <w:rPr>
          <w:b w:val="0"/>
          <w:bCs/>
          <w:lang w:val="hy-AM"/>
        </w:rPr>
        <w:t xml:space="preserve"> </w:t>
      </w:r>
      <w:r w:rsidRPr="0073392C">
        <w:rPr>
          <w:lang w:val="hy-AM"/>
        </w:rPr>
        <w:t>Անվանական և իրական արդյունավետ փոխարժեքները նույնպես արժևորվում են։</w:t>
      </w:r>
      <w:r w:rsidRPr="0073392C">
        <w:rPr>
          <w:b w:val="0"/>
          <w:bCs/>
          <w:lang w:val="hy-AM"/>
        </w:rPr>
        <w:t xml:space="preserve"> Այսպես, ՀՀ արտաքին առևտրի տեսանկյունից առավել կարևոր արժույթներից բաղկացած զամբյուղի նկատմամբ ՀՀ ազգային արժույթն իրական արտահայտությամբ 2022թ. արժևորվել է 33.5%-ով, իսկ անվանական արտահայտությամբ՝ 40.0%-ով: 2023թ. հունվար-հուլիս ամիսներին ՀՀ դրամի իրական արդյունավետ փոխարժեքի արժևորումը կազմել է 33.6%, իսկ անվանականի արժևորումը՝ 41.1%՝ իր բացասական ազդեցությունը թողնելով տեղական ապրանքների արտաքին մրցունակության վրա:</w:t>
      </w:r>
    </w:p>
    <w:tbl>
      <w:tblPr>
        <w:tblW w:w="9923" w:type="dxa"/>
        <w:tblInd w:w="-289"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4A0" w:firstRow="1" w:lastRow="0" w:firstColumn="1" w:lastColumn="0" w:noHBand="0" w:noVBand="1"/>
      </w:tblPr>
      <w:tblGrid>
        <w:gridCol w:w="4962"/>
        <w:gridCol w:w="4961"/>
      </w:tblGrid>
      <w:tr w:rsidR="005D1807" w:rsidRPr="005D1807" w14:paraId="619349B3" w14:textId="77777777" w:rsidTr="00D656FB">
        <w:trPr>
          <w:cantSplit/>
          <w:trHeight w:val="1134"/>
        </w:trPr>
        <w:tc>
          <w:tcPr>
            <w:tcW w:w="4962" w:type="dxa"/>
            <w:vAlign w:val="center"/>
          </w:tcPr>
          <w:p w14:paraId="6E5084B9" w14:textId="77777777" w:rsidR="005D1807" w:rsidRPr="0073392C" w:rsidRDefault="005D1807" w:rsidP="005D1807">
            <w:pPr>
              <w:rPr>
                <w:b w:val="0"/>
                <w:bCs/>
                <w:lang w:val="hy-AM"/>
              </w:rPr>
            </w:pPr>
            <w:r w:rsidRPr="0073392C">
              <w:rPr>
                <w:lang w:val="hy-AM"/>
              </w:rPr>
              <w:lastRenderedPageBreak/>
              <w:t>Գծապատկեր 1.35.</w:t>
            </w:r>
            <w:r w:rsidRPr="0073392C">
              <w:rPr>
                <w:b w:val="0"/>
                <w:bCs/>
                <w:lang w:val="hy-AM"/>
              </w:rPr>
              <w:t xml:space="preserve"> ՀՀ դրամի անվանական</w:t>
            </w:r>
          </w:p>
          <w:p w14:paraId="22008F84" w14:textId="77777777" w:rsidR="005D1807" w:rsidRPr="0073392C" w:rsidRDefault="005D1807" w:rsidP="005D1807">
            <w:pPr>
              <w:rPr>
                <w:b w:val="0"/>
                <w:bCs/>
                <w:lang w:val="hy-AM"/>
              </w:rPr>
            </w:pPr>
            <w:r w:rsidRPr="0073392C">
              <w:rPr>
                <w:b w:val="0"/>
                <w:bCs/>
                <w:lang w:val="hy-AM"/>
              </w:rPr>
              <w:t>փոխարժեքի դինամիկան հիմնական արժույթների</w:t>
            </w:r>
          </w:p>
          <w:p w14:paraId="0A8E7A6C" w14:textId="77777777" w:rsidR="005D1807" w:rsidRPr="005D1807" w:rsidRDefault="005D1807" w:rsidP="005D1807">
            <w:pPr>
              <w:rPr>
                <w:b w:val="0"/>
                <w:bCs/>
              </w:rPr>
            </w:pPr>
            <w:r w:rsidRPr="005D1807">
              <w:rPr>
                <w:b w:val="0"/>
                <w:bCs/>
              </w:rPr>
              <w:t>նկատմամբ (աճ՝ դրամի արժևորում)</w:t>
            </w:r>
          </w:p>
          <w:p w14:paraId="16FB2EF2" w14:textId="77777777" w:rsidR="005D1807" w:rsidRPr="005D1807" w:rsidRDefault="005D1807" w:rsidP="005D1807">
            <w:pPr>
              <w:rPr>
                <w:b w:val="0"/>
                <w:bCs/>
                <w:highlight w:val="yellow"/>
              </w:rPr>
            </w:pPr>
            <w:r w:rsidRPr="005D1807">
              <w:rPr>
                <w:b w:val="0"/>
                <w:bCs/>
                <w:noProof/>
                <w:lang w:val="en-US" w:eastAsia="en-US"/>
              </w:rPr>
              <w:drawing>
                <wp:inline distT="0" distB="0" distL="0" distR="0" wp14:anchorId="4DF348B3" wp14:editId="0938D2B2">
                  <wp:extent cx="2988000" cy="2340000"/>
                  <wp:effectExtent l="0" t="0" r="3175" b="3175"/>
                  <wp:docPr id="6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D44A5BF" w14:textId="77777777" w:rsidR="005D1807" w:rsidRPr="005D1807" w:rsidRDefault="005D1807" w:rsidP="005D1807">
            <w:pPr>
              <w:rPr>
                <w:b w:val="0"/>
                <w:bCs/>
                <w:highlight w:val="yellow"/>
              </w:rPr>
            </w:pPr>
            <w:r w:rsidRPr="005D1807">
              <w:rPr>
                <w:b w:val="0"/>
                <w:bCs/>
              </w:rPr>
              <w:t>Աղբյուրը՝ ՀՀ ԿԲ, ՀՀ ՖՆ հաշվարկներ</w:t>
            </w:r>
          </w:p>
        </w:tc>
        <w:tc>
          <w:tcPr>
            <w:tcW w:w="4961" w:type="dxa"/>
            <w:vAlign w:val="center"/>
          </w:tcPr>
          <w:p w14:paraId="0D977432" w14:textId="77777777" w:rsidR="005D1807" w:rsidRPr="005D1807" w:rsidRDefault="005D1807" w:rsidP="005D1807">
            <w:pPr>
              <w:rPr>
                <w:b w:val="0"/>
                <w:bCs/>
              </w:rPr>
            </w:pPr>
            <w:r w:rsidRPr="00A64D05">
              <w:t>Գծապատկեր 1.36.</w:t>
            </w:r>
            <w:r w:rsidRPr="005D1807">
              <w:rPr>
                <w:b w:val="0"/>
                <w:bCs/>
              </w:rPr>
              <w:t xml:space="preserve"> ՀՀ իրական և անվանական արդյունավետ փոխարժեքների կուտակային տ/տ աճերի դինամիկան (աճ՝ դրամի արժևորում)</w:t>
            </w:r>
          </w:p>
          <w:p w14:paraId="0651538C" w14:textId="77777777" w:rsidR="005D1807" w:rsidRPr="005D1807" w:rsidRDefault="005D1807" w:rsidP="005D1807">
            <w:pPr>
              <w:rPr>
                <w:b w:val="0"/>
                <w:bCs/>
              </w:rPr>
            </w:pPr>
            <w:r w:rsidRPr="005D1807">
              <w:rPr>
                <w:b w:val="0"/>
                <w:bCs/>
                <w:noProof/>
                <w:lang w:val="en-US" w:eastAsia="en-US"/>
              </w:rPr>
              <w:drawing>
                <wp:inline distT="0" distB="0" distL="0" distR="0" wp14:anchorId="63F7BE12" wp14:editId="3243965A">
                  <wp:extent cx="3024000" cy="2340000"/>
                  <wp:effectExtent l="0" t="0" r="5080" b="3175"/>
                  <wp:docPr id="1802460672" name="Chart 1802460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8FEC9DE" w14:textId="77777777" w:rsidR="005D1807" w:rsidRPr="005D1807" w:rsidRDefault="005D1807" w:rsidP="005D1807">
            <w:pPr>
              <w:rPr>
                <w:b w:val="0"/>
                <w:bCs/>
                <w:highlight w:val="yellow"/>
              </w:rPr>
            </w:pPr>
            <w:r w:rsidRPr="005D1807">
              <w:rPr>
                <w:b w:val="0"/>
                <w:bCs/>
              </w:rPr>
              <w:t>Աղբյուրը՝ ՀՀ ԿԲ, ՀՀ ՖՆ հաշվարկներ</w:t>
            </w:r>
          </w:p>
        </w:tc>
      </w:tr>
    </w:tbl>
    <w:p w14:paraId="6A7F4233" w14:textId="77777777" w:rsidR="005D1807" w:rsidRPr="005D1807" w:rsidRDefault="005D1807" w:rsidP="005D1807">
      <w:pPr>
        <w:rPr>
          <w:b w:val="0"/>
          <w:bCs/>
        </w:rPr>
      </w:pPr>
    </w:p>
    <w:p w14:paraId="2F1B8721" w14:textId="77777777" w:rsidR="005D1807" w:rsidRPr="00A64D05" w:rsidRDefault="005D1807" w:rsidP="00A64D05">
      <w:pPr>
        <w:spacing w:before="0" w:line="240" w:lineRule="auto"/>
        <w:jc w:val="left"/>
        <w:rPr>
          <w:rFonts w:eastAsiaTheme="majorEastAsia" w:cstheme="majorBidi"/>
          <w:bCs/>
          <w:color w:val="1F497D" w:themeColor="text2"/>
          <w:sz w:val="24"/>
          <w:lang w:val="hy-AM" w:eastAsia="en-US"/>
        </w:rPr>
      </w:pPr>
      <w:r w:rsidRPr="00A64D05">
        <w:rPr>
          <w:rFonts w:eastAsiaTheme="majorEastAsia" w:cstheme="majorBidi"/>
          <w:bCs/>
          <w:color w:val="1F497D" w:themeColor="text2"/>
          <w:sz w:val="24"/>
          <w:lang w:val="hy-AM" w:eastAsia="en-US"/>
        </w:rPr>
        <w:t xml:space="preserve">1.3.5. Գնաճ և դրամավարկային քաղաքականություն </w:t>
      </w:r>
    </w:p>
    <w:p w14:paraId="4E1BC658" w14:textId="77777777" w:rsidR="005D1807" w:rsidRPr="005D1807" w:rsidRDefault="005D1807" w:rsidP="005D1807">
      <w:pPr>
        <w:rPr>
          <w:b w:val="0"/>
          <w:bCs/>
        </w:rPr>
      </w:pPr>
      <w:r w:rsidRPr="00A64D05">
        <w:t>2022թ. ընթացքում գնաճի տեմպերն արագացել են, որի պայմաններում ՀՀ ԿԲ-ն շարունակել է խստացնել դրամավարկային պայմանները՝ բարձրացնելով վերաֆինանսավորման տոկոսադրույքը:</w:t>
      </w:r>
      <w:r w:rsidRPr="005D1807">
        <w:rPr>
          <w:b w:val="0"/>
          <w:bCs/>
        </w:rPr>
        <w:t xml:space="preserve"> Տարեսկզբին դիտվել է 12</w:t>
      </w:r>
      <w:r w:rsidRPr="005D1807">
        <w:rPr>
          <w:b w:val="0"/>
          <w:bCs/>
        </w:rPr>
        <w:noBreakHyphen/>
        <w:t>ամսյա գնաճի տեմպերի դանդաղման գործընթաց, մինչդեռ մարտ ամսից սկսած, պայմանավորված նախ ռուս-ուկրաինական հակամարտության սրման արդյունքում միջազգային ապրանքահումքային շուկաներում դիտված գների կտրուկ աճով և ՀՀ դրամի փոխարժեքի կարճատև արժեզրկմամբ, ապա՝ համախառն պահանջարկի զգալի աճով (այդ թվում՝ օտարերկյա այցելուների կտրուկ ավելացմամբ պայմանավորված), 12-ամսյա գնաճը զգալիորեն արագացել է՝ հունիսին հասնելով մինչև 10.3%, ապա նվազել՝ դեկտեմբերին կազմելով 8.3%։ Իսկ միջին գնաճը տարվա համար կազմել է 8.6%: Գնաճի տեմպերի լրացուցիչ արագացումը որոշակիորեն զսպվել է ՀՀ դրամի փոխարժեքի արժևորմամբ, որի ազդեցությունն աստիճանաբար արտացոլվել է ներմուծվող ապրանքների գներում։</w:t>
      </w:r>
    </w:p>
    <w:p w14:paraId="1A94F124" w14:textId="77777777" w:rsidR="005D1807" w:rsidRPr="005D1807" w:rsidRDefault="005D1807" w:rsidP="005D1807">
      <w:pPr>
        <w:rPr>
          <w:rFonts w:eastAsia="GHEA Grapalat"/>
          <w:b w:val="0"/>
          <w:bCs/>
        </w:rPr>
      </w:pPr>
      <w:r w:rsidRPr="00A64D05">
        <w:rPr>
          <w:rFonts w:eastAsia="GHEA Grapalat"/>
        </w:rPr>
        <w:t xml:space="preserve">2023թ. Հունվար-օգոստոս ամիսներին գնաճի տեմպերը կտրուկ դանդաղել են՝ հունիս ամսից մտնելով բացասական տիրույթ, որի պայմաններում ՀՀ ԿԲ-ն նվազեցրել է քաղաքականության տոկոսադրույքը՝ օգոստոսին այն սահմանելով 10.25%: </w:t>
      </w:r>
      <w:r w:rsidRPr="005D1807">
        <w:rPr>
          <w:rFonts w:eastAsia="GHEA Grapalat"/>
          <w:b w:val="0"/>
          <w:bCs/>
        </w:rPr>
        <w:t xml:space="preserve">Գնաճի տեմպերի զգալի դանդաղումը պայմանավորվել է արտաքին հատվածից գնաճային ճնշումների թուլացման, փոխարժեքի արժևորման և դրա լագային ազդեցությունների, ինչպես նաև իրականացված հետևողական զսպող դրամավարկային քաղաքականության ազդեցությամբ՝ միաժամանակ օժանդակություն ստանալով նախորդ տարվա գների բարձր </w:t>
      </w:r>
      <w:r w:rsidRPr="005D1807">
        <w:rPr>
          <w:rFonts w:eastAsia="GHEA Grapalat"/>
          <w:b w:val="0"/>
          <w:bCs/>
        </w:rPr>
        <w:lastRenderedPageBreak/>
        <w:t xml:space="preserve">բազայի գործոնից, որոնց, սակայն, որոշակիորեն հակակշռել է պահպանվող բարձր պահանջարկը։ Արդյունքում 12-ամսյա գնաճը օգոստոսին կազմել է -0.2%`, իսկ միջին գնաճը հունվար-օգոստոսին՝ 3.1%:  </w:t>
      </w:r>
    </w:p>
    <w:p w14:paraId="5EF3BD61" w14:textId="77777777" w:rsidR="005D1807" w:rsidRPr="005D1807" w:rsidRDefault="005D1807" w:rsidP="005D1807">
      <w:pPr>
        <w:rPr>
          <w:rFonts w:eastAsia="Calibri"/>
          <w:b w:val="0"/>
          <w:bCs/>
        </w:rPr>
      </w:pPr>
      <w:r w:rsidRPr="00A64D05">
        <w:rPr>
          <w:rFonts w:eastAsia="Calibri"/>
        </w:rPr>
        <w:t>Գծապատկեր 1.37.</w:t>
      </w:r>
      <w:r w:rsidRPr="005D1807">
        <w:rPr>
          <w:rFonts w:eastAsia="Calibri"/>
          <w:b w:val="0"/>
          <w:bCs/>
        </w:rPr>
        <w:t xml:space="preserve"> Գնաճի տեմպերը և ԿԲ տոկոսադրույքը ըստ ամիսների, 2020-2023թ</w:t>
      </w:r>
      <w:r w:rsidRPr="005D1807">
        <w:rPr>
          <w:rFonts w:eastAsia="MS Gothic"/>
          <w:b w:val="0"/>
          <w:bCs/>
        </w:rPr>
        <w:t xml:space="preserve">․ </w:t>
      </w:r>
      <w:r w:rsidRPr="005D1807">
        <w:rPr>
          <w:rFonts w:eastAsia="MS Mincho"/>
          <w:b w:val="0"/>
          <w:bCs/>
        </w:rPr>
        <w:t>օգոստոս,</w:t>
      </w:r>
      <w:r w:rsidRPr="005D1807">
        <w:rPr>
          <w:rFonts w:eastAsia="Calibri"/>
          <w:b w:val="0"/>
          <w:bCs/>
        </w:rPr>
        <w:t xml:space="preserve"> %</w:t>
      </w:r>
    </w:p>
    <w:p w14:paraId="47B52122" w14:textId="77777777" w:rsidR="005D1807" w:rsidRPr="005D1807" w:rsidRDefault="005D1807" w:rsidP="005D1807">
      <w:pPr>
        <w:rPr>
          <w:rFonts w:eastAsia="GHEA Grapalat"/>
          <w:b w:val="0"/>
          <w:bCs/>
        </w:rPr>
      </w:pPr>
      <w:r w:rsidRPr="005D1807">
        <w:rPr>
          <w:rFonts w:eastAsia="GHEA Grapalat"/>
          <w:b w:val="0"/>
          <w:bCs/>
          <w:noProof/>
          <w:lang w:val="en-US" w:eastAsia="en-US"/>
        </w:rPr>
        <w:drawing>
          <wp:inline distT="0" distB="0" distL="0" distR="0" wp14:anchorId="65EBBE0E" wp14:editId="1FE7043E">
            <wp:extent cx="5600700" cy="2371725"/>
            <wp:effectExtent l="0" t="0" r="0" b="9525"/>
            <wp:docPr id="10"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AC4E89A" w14:textId="77777777" w:rsidR="005D1807" w:rsidRPr="00A64D05" w:rsidRDefault="005D1807" w:rsidP="005D1807">
      <w:pPr>
        <w:rPr>
          <w:rFonts w:eastAsia="GHEA Grapalat"/>
          <w:b w:val="0"/>
          <w:bCs/>
          <w:sz w:val="20"/>
          <w:szCs w:val="20"/>
        </w:rPr>
      </w:pPr>
      <w:r w:rsidRPr="00A64D05">
        <w:rPr>
          <w:rFonts w:eastAsia="GHEA Grapalat"/>
          <w:b w:val="0"/>
          <w:bCs/>
          <w:sz w:val="20"/>
          <w:szCs w:val="20"/>
        </w:rPr>
        <w:t>Աղբյուրը՝ ՀՀ ԿԲ</w:t>
      </w:r>
    </w:p>
    <w:p w14:paraId="3F1C07DB" w14:textId="77777777" w:rsidR="005D1807" w:rsidRPr="005D1807" w:rsidRDefault="005D1807" w:rsidP="005D1807">
      <w:pPr>
        <w:rPr>
          <w:rFonts w:eastAsia="Calibri"/>
          <w:b w:val="0"/>
          <w:bCs/>
        </w:rPr>
      </w:pPr>
      <w:r w:rsidRPr="00A64D05">
        <w:rPr>
          <w:rFonts w:eastAsia="Calibri"/>
        </w:rPr>
        <w:t>Գծապատկեր 1.38.</w:t>
      </w:r>
      <w:r w:rsidRPr="005D1807">
        <w:rPr>
          <w:rFonts w:eastAsia="Calibri"/>
          <w:b w:val="0"/>
          <w:bCs/>
        </w:rPr>
        <w:t xml:space="preserve"> Գնաճի նպաստումները խոշոր ապրանքախմբերով, ըստ եռամսյակների, տոկոսային կետ</w:t>
      </w:r>
    </w:p>
    <w:p w14:paraId="316620F8" w14:textId="77777777" w:rsidR="005D1807" w:rsidRPr="005D1807" w:rsidRDefault="005D1807" w:rsidP="005D1807">
      <w:pPr>
        <w:rPr>
          <w:rFonts w:eastAsia="GHEA Grapalat"/>
          <w:b w:val="0"/>
          <w:bCs/>
        </w:rPr>
      </w:pPr>
      <w:r w:rsidRPr="005D1807">
        <w:rPr>
          <w:b w:val="0"/>
          <w:bCs/>
          <w:noProof/>
          <w:lang w:val="en-US" w:eastAsia="en-US"/>
        </w:rPr>
        <w:drawing>
          <wp:inline distT="0" distB="0" distL="0" distR="0" wp14:anchorId="7C9A7A3D" wp14:editId="4D506D72">
            <wp:extent cx="2876550" cy="2105025"/>
            <wp:effectExtent l="0" t="0" r="0" b="9525"/>
            <wp:docPr id="16120845" name="Chart 161208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5D1807">
        <w:rPr>
          <w:b w:val="0"/>
          <w:bCs/>
          <w:noProof/>
          <w:lang w:val="en-US" w:eastAsia="en-US"/>
        </w:rPr>
        <w:drawing>
          <wp:inline distT="0" distB="0" distL="0" distR="0" wp14:anchorId="21838ED9" wp14:editId="4F0BEBE7">
            <wp:extent cx="2714625" cy="2114550"/>
            <wp:effectExtent l="0" t="0" r="952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5D1807">
        <w:rPr>
          <w:b w:val="0"/>
          <w:bCs/>
          <w:noProof/>
          <w:lang w:val="en-US" w:eastAsia="en-US"/>
        </w:rPr>
        <w:drawing>
          <wp:inline distT="0" distB="0" distL="0" distR="0" wp14:anchorId="1765EB4A" wp14:editId="3C003EB7">
            <wp:extent cx="6029325" cy="590550"/>
            <wp:effectExtent l="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60B9DB7" w14:textId="77777777" w:rsidR="005D1807" w:rsidRPr="00A64D05" w:rsidRDefault="005D1807" w:rsidP="005D1807">
      <w:pPr>
        <w:rPr>
          <w:rFonts w:eastAsia="GHEA Grapalat"/>
          <w:b w:val="0"/>
          <w:bCs/>
          <w:sz w:val="20"/>
          <w:szCs w:val="20"/>
        </w:rPr>
      </w:pPr>
      <w:r w:rsidRPr="00A64D05">
        <w:rPr>
          <w:rFonts w:eastAsia="GHEA Grapalat"/>
          <w:b w:val="0"/>
          <w:bCs/>
          <w:sz w:val="20"/>
          <w:szCs w:val="20"/>
        </w:rPr>
        <w:t>Աղբյուրը՝ ՀՀ ՎԿ և ՀՀ ՖՆ հաշվարկներ</w:t>
      </w:r>
    </w:p>
    <w:p w14:paraId="76AE443A" w14:textId="77777777" w:rsidR="005D1807" w:rsidRPr="005D1807" w:rsidRDefault="005D1807" w:rsidP="005D1807">
      <w:pPr>
        <w:rPr>
          <w:rFonts w:eastAsia="GHEA Grapalat"/>
          <w:b w:val="0"/>
          <w:bCs/>
        </w:rPr>
      </w:pPr>
    </w:p>
    <w:p w14:paraId="167C619B" w14:textId="77777777" w:rsidR="005D1807" w:rsidRPr="005D1807" w:rsidRDefault="005D1807" w:rsidP="005D1807">
      <w:pPr>
        <w:rPr>
          <w:rFonts w:eastAsia="GHEA Grapalat"/>
          <w:b w:val="0"/>
          <w:bCs/>
        </w:rPr>
      </w:pPr>
      <w:r w:rsidRPr="00A64D05">
        <w:t>Դրամավարկային քաղաքականության փոխանցումային մեխանիզմը համեմատաբար արդյունավետ է գործել պետական պարտատոմսերի, և պակաս արդյունավետ՝ վարկերի և ավանդների շուկաներում՝ պայմանավորված նաև դեպի ՀՀ բանկային համակարգ տեղի ունեցած լրացուցիչ ներհոսքերով։</w:t>
      </w:r>
      <w:r w:rsidRPr="005D1807">
        <w:rPr>
          <w:b w:val="0"/>
          <w:bCs/>
        </w:rPr>
        <w:t xml:space="preserve"> 2022թ. ընթացքում, նախ հաշվի </w:t>
      </w:r>
      <w:r w:rsidRPr="005D1807">
        <w:rPr>
          <w:b w:val="0"/>
          <w:bCs/>
        </w:rPr>
        <w:lastRenderedPageBreak/>
        <w:t xml:space="preserve">առնելով միջազգային պարենային շուկաներում գնաճային զարգացումները, ապա՝ տնտեսությունում պահանջարկի և հատկապես ծառայությունների նկատմամբ արտաքին պահանջարկի բարձր աճը, ՀՀ ԿԲ-ն բարձրացրել է վերաֆինանսավորման տոկոսադրույքն ընդհանուր առմամբ 3.0 տոկոսային կետով՝ սահմանելով այն 10.75%: Այնուամենայնիվ, դրա ազդեցության ներքո ֆինանսական շուկաներում վարկերի և ավանդների տոկոսադրույքներն անհամաչափորեն են ճշգրտվել միջբանկային ռեպոյի և կարճաժամկետ պետական պարտատոմսերի շուկաների համեմատ, որոնք ավելի զգայուն են եղել դրամավարկային քաղաքականության տոկոսադրույքների նկատմամբ։ Ավելին, ավանդների տոկոսադրույքներն անգամ նվազման միտումներ են ունեցել՝ պայմանավորված դեպի բանկային համակարգ ֆինանսական էական հոսքերով։ </w:t>
      </w:r>
      <w:r w:rsidRPr="005D1807">
        <w:rPr>
          <w:rFonts w:eastAsia="GHEA Grapalat"/>
          <w:b w:val="0"/>
          <w:bCs/>
        </w:rPr>
        <w:t>2023թ․ ընթացիկ ամիսներին ֆինանսական շուկայում պետական պարտատոմսերի տոկոսադրույքները նախորդ տարվա ընթացքում գրանցած աճից հետո սկսել են որոշակի նվազել, իսկ վարկերի և ավանդների տոկոսադրույքներն ընդհանուր առմամբ շարունակել են պահպանվել իրենց միջին մակարդակների շրջակայքում։</w:t>
      </w:r>
    </w:p>
    <w:p w14:paraId="3CB92697" w14:textId="77777777" w:rsidR="005D1807" w:rsidRPr="005D1807" w:rsidRDefault="005D1807" w:rsidP="005D1807">
      <w:pPr>
        <w:rPr>
          <w:b w:val="0"/>
          <w:bCs/>
        </w:rPr>
      </w:pPr>
      <w:r w:rsidRPr="005D1807">
        <w:rPr>
          <w:b w:val="0"/>
          <w:bCs/>
        </w:rPr>
        <w:t>Կանխատեսում: 2023թ․ վերջին 12 ամսյա գնաճը կձևավորվի նպատակային ցուցանիշից ցածր և աստիճանաբար արագանալով՝ 2024թ․-ի վերջին կհասնի նպատակային 4% ցուցանիշին: Նախանշված ուղեգծից գնաճի շեղման հավանականային ռիսկերը հիմնականում հավասարակշռված են</w:t>
      </w:r>
      <w:r w:rsidRPr="005D1807">
        <w:rPr>
          <w:b w:val="0"/>
          <w:bCs/>
        </w:rPr>
        <w:footnoteReference w:id="18"/>
      </w:r>
      <w:r w:rsidRPr="005D1807">
        <w:rPr>
          <w:b w:val="0"/>
          <w:bCs/>
        </w:rPr>
        <w:t>:</w:t>
      </w:r>
    </w:p>
    <w:p w14:paraId="260A39EF" w14:textId="77777777" w:rsidR="005D1807" w:rsidRPr="005D1807" w:rsidRDefault="005D1807" w:rsidP="005D1807">
      <w:pPr>
        <w:rPr>
          <w:b w:val="0"/>
          <w:bCs/>
        </w:rPr>
      </w:pPr>
    </w:p>
    <w:p w14:paraId="715D5FCF" w14:textId="77777777" w:rsidR="005D1807" w:rsidRPr="005D1807" w:rsidRDefault="005D1807" w:rsidP="005D1807">
      <w:pPr>
        <w:rPr>
          <w:rFonts w:eastAsia="Calibri"/>
          <w:b w:val="0"/>
          <w:bCs/>
        </w:rPr>
      </w:pPr>
      <w:r w:rsidRPr="00A64D05">
        <w:rPr>
          <w:rFonts w:eastAsia="Calibri"/>
        </w:rPr>
        <w:t>Գծապատկեր 1.39.</w:t>
      </w:r>
      <w:r w:rsidRPr="005D1807">
        <w:rPr>
          <w:rFonts w:eastAsia="Calibri"/>
          <w:b w:val="0"/>
          <w:bCs/>
        </w:rPr>
        <w:t xml:space="preserve"> Դրամավարկային քաղաքականության ազդեցությունները ֆինանսական շուկայում և գնաճի կանխատեսումները</w:t>
      </w:r>
    </w:p>
    <w:p w14:paraId="26318E2C" w14:textId="77777777" w:rsidR="005D1807" w:rsidRPr="005D1807" w:rsidRDefault="005D1807" w:rsidP="005D1807">
      <w:pPr>
        <w:rPr>
          <w:b w:val="0"/>
          <w:bCs/>
        </w:rPr>
      </w:pPr>
      <w:r w:rsidRPr="005D1807">
        <w:rPr>
          <w:b w:val="0"/>
          <w:bCs/>
          <w:noProof/>
          <w:lang w:val="en-US" w:eastAsia="en-US"/>
        </w:rPr>
        <w:drawing>
          <wp:inline distT="0" distB="0" distL="0" distR="0" wp14:anchorId="7072BB3C" wp14:editId="7C85D4F2">
            <wp:extent cx="2828925" cy="2828925"/>
            <wp:effectExtent l="0" t="0" r="9525" b="9525"/>
            <wp:docPr id="16120846" name="Chart 161208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5D1807">
        <w:rPr>
          <w:b w:val="0"/>
          <w:bCs/>
          <w:noProof/>
          <w:lang w:val="en-US" w:eastAsia="en-US"/>
        </w:rPr>
        <w:drawing>
          <wp:inline distT="0" distB="0" distL="0" distR="0" wp14:anchorId="35473456" wp14:editId="07AF9ACA">
            <wp:extent cx="2895600" cy="2828925"/>
            <wp:effectExtent l="0" t="0" r="0" b="9525"/>
            <wp:docPr id="16120847" name="Chart 16120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627FF21" w14:textId="77777777" w:rsidR="005D1807" w:rsidRPr="005D1807" w:rsidRDefault="005D1807" w:rsidP="005D1807">
      <w:pPr>
        <w:rPr>
          <w:b w:val="0"/>
          <w:bCs/>
        </w:rPr>
      </w:pPr>
      <w:r w:rsidRPr="005D1807">
        <w:rPr>
          <w:b w:val="0"/>
          <w:bCs/>
        </w:rPr>
        <w:t>Աղբյուրը՝ ՀՀ ԿԲ</w:t>
      </w:r>
    </w:p>
    <w:p w14:paraId="068E7D3B" w14:textId="77777777" w:rsidR="005D1807" w:rsidRPr="00A64D05" w:rsidRDefault="005D1807" w:rsidP="00A64D05">
      <w:pPr>
        <w:keepNext/>
        <w:keepLines/>
        <w:spacing w:before="0"/>
        <w:outlineLvl w:val="2"/>
        <w:rPr>
          <w:rFonts w:eastAsiaTheme="majorEastAsia" w:cstheme="majorBidi"/>
          <w:bCs/>
          <w:color w:val="1F497D" w:themeColor="text2"/>
          <w:sz w:val="24"/>
          <w:lang w:val="hy-AM" w:eastAsia="en-US"/>
        </w:rPr>
      </w:pPr>
      <w:bookmarkStart w:id="115" w:name="_Toc146911025"/>
      <w:bookmarkStart w:id="116" w:name="_Toc153184464"/>
      <w:r w:rsidRPr="00A64D05">
        <w:rPr>
          <w:rFonts w:eastAsiaTheme="majorEastAsia" w:cstheme="majorBidi"/>
          <w:bCs/>
          <w:color w:val="1F497D" w:themeColor="text2"/>
          <w:sz w:val="24"/>
          <w:lang w:val="hy-AM" w:eastAsia="en-US"/>
        </w:rPr>
        <w:lastRenderedPageBreak/>
        <w:t>1.4. ԿԱՆԽԱՏԵՍՈՒՄՆԵՐԻ ՀԻՄՔՈՒՄ ԸՆԿԱԾ ԵՆԹԱԴՐՈՒԹՅՈՒՆՆԵՐԸ</w:t>
      </w:r>
      <w:bookmarkEnd w:id="108"/>
      <w:bookmarkEnd w:id="109"/>
      <w:bookmarkEnd w:id="110"/>
      <w:bookmarkEnd w:id="111"/>
      <w:bookmarkEnd w:id="112"/>
      <w:bookmarkEnd w:id="113"/>
      <w:bookmarkEnd w:id="114"/>
      <w:bookmarkEnd w:id="115"/>
      <w:bookmarkEnd w:id="116"/>
    </w:p>
    <w:p w14:paraId="2366E334" w14:textId="77777777" w:rsidR="005D1807" w:rsidRPr="0073392C" w:rsidRDefault="005D1807" w:rsidP="005D1807">
      <w:pPr>
        <w:rPr>
          <w:rFonts w:eastAsia="Calibri"/>
          <w:b w:val="0"/>
          <w:bCs/>
          <w:lang w:val="hy-AM"/>
        </w:rPr>
      </w:pPr>
      <w:r w:rsidRPr="0073392C">
        <w:rPr>
          <w:rFonts w:eastAsia="Calibri"/>
          <w:b w:val="0"/>
          <w:bCs/>
          <w:lang w:val="hy-AM"/>
        </w:rPr>
        <w:t>2024 թվականի պետական բյուջեի մակրոտնտեսական շրջանակի կանխատեսումներն իրականացվել են ՀՀ ՖՆ կողմից՝ կիրառելով տնտեսաչափական մոդելներ, և առանձին շոկերի և հարկաբյուջետային միջոցառումների ազդեցությունների գնահատման համար՝ ՀՀ ՖՆ Արարատ հարկաբյուջետային ռազմավարության դինամիկ ստոխաստիկ ընդհանուր հավասարակշռության (Ararat Fiscal Strategy Model) մոդելը,  որոնց համար տեղեկատվական հիմք են հանդիսացել 2023թ. օգոստոս ամսվա դրությամբ հասանելի նեքին և արտաքին ընթացիկ տնտեսական և ֆինանսական զարգացումները, ինչպես նաև ՀՀ գործընկեր երկրների տնտեսական  զարգացումների և հումքային ապրանքների համաշխարհային գների միջազգային կառույցների կողմից արված կանխատեսումները: Մասնավորապես՝</w:t>
      </w:r>
    </w:p>
    <w:p w14:paraId="3D270028" w14:textId="77777777" w:rsidR="005D1807" w:rsidRPr="00A64D05" w:rsidRDefault="005D1807" w:rsidP="00A64D05">
      <w:pPr>
        <w:tabs>
          <w:tab w:val="left" w:pos="284"/>
        </w:tabs>
        <w:rPr>
          <w:rFonts w:eastAsia="Calibri" w:cs="Sylfaen"/>
          <w:bCs/>
          <w:color w:val="1F497D" w:themeColor="text2"/>
          <w:szCs w:val="22"/>
          <w:lang w:val="hy-AM" w:eastAsia="en-US"/>
        </w:rPr>
      </w:pPr>
      <w:r w:rsidRPr="00A64D05">
        <w:rPr>
          <w:rFonts w:eastAsia="Calibri" w:cs="Sylfaen"/>
          <w:bCs/>
          <w:color w:val="1F497D" w:themeColor="text2"/>
          <w:szCs w:val="22"/>
          <w:lang w:val="hy-AM" w:eastAsia="en-US"/>
        </w:rPr>
        <w:t>1 Արտաքին  գործոններ.</w:t>
      </w:r>
    </w:p>
    <w:p w14:paraId="1C3DD633"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73392C">
        <w:rPr>
          <w:rFonts w:eastAsia="Calibri"/>
          <w:b w:val="0"/>
          <w:bCs/>
          <w:lang w:val="hy-AM"/>
        </w:rPr>
        <w:t xml:space="preserve">2022թ. փետրվար ամսից սկիզբ առած ռուս-ուկրաինական հակամարության տնտեսական հետևանքների, ինչպես </w:t>
      </w:r>
      <w:r w:rsidRPr="00F46689">
        <w:rPr>
          <w:rFonts w:eastAsia="Calibri" w:cs="Arial"/>
          <w:b w:val="0"/>
          <w:bCs/>
          <w:kern w:val="2"/>
          <w:szCs w:val="22"/>
          <w:lang w:val="hy-AM"/>
          <w14:ligatures w14:val="standardContextual"/>
        </w:rPr>
        <w:t>նաև գնաճը զսպող խստացնող դրամավարկային քաղաքականությունների պայմաններում 2023թ. հուլիս ամսվա ԱՄՀ կանխատեսումների համաձայն 2023թ. սպասվում է ԵԳ և ԱՄՆ տնտեսական աճերի դանդաղում (համապատասխանաբար՝ 0.9% և 1.8%), իսկ Չինաստանում սպասվում է ներուժային տնտեսական աճից ավելի ցածր՝ 5.2% տնտեսական աճ: Ըստ ԱՄՀ կանխատեսումների 2023թ. ՌԴ-ում սպասվում է 1.5% տնտեսական աճ: Հատկանշական է, որ ԱՄՀ ՀՀ հիմնական գործընկեր երկրների 2023թ. տնտեսական աճերի վերջին կանխատեսումները ապրիլ ամսվա կանխատեսումների համեմատ վերանայվել են դեպի վերև՝ պայմանավորված սպասվածից առավել դրական ընթացիկ զարգացումներով:</w:t>
      </w:r>
    </w:p>
    <w:p w14:paraId="0B4F29F0"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ՀՀ գործընկեր երկրների տնտեսությունների համար 2024թ. կանխատեսվում  է իրենց նախաճգնաժամային ներուժային աճերի շուրջ տնտեսական աճեր, բացառությամբ Չինաստանի, որի համար կանխատեսվում է տնտեսական աճի տեմպի դանդաղում</w:t>
      </w:r>
      <w:r w:rsidRPr="00F46689">
        <w:rPr>
          <w:rFonts w:eastAsia="Calibri" w:cs="Arial"/>
          <w:b w:val="0"/>
          <w:bCs/>
          <w:kern w:val="2"/>
          <w:szCs w:val="22"/>
          <w:lang w:val="hy-AM"/>
          <w14:ligatures w14:val="standardContextual"/>
        </w:rPr>
        <w:footnoteReference w:id="19"/>
      </w:r>
      <w:r w:rsidRPr="00F46689">
        <w:rPr>
          <w:rFonts w:eastAsia="Calibri" w:cs="Arial"/>
          <w:b w:val="0"/>
          <w:bCs/>
          <w:kern w:val="2"/>
          <w:szCs w:val="22"/>
          <w:lang w:val="hy-AM"/>
          <w14:ligatures w14:val="standardContextual"/>
        </w:rPr>
        <w:t xml:space="preserve">: </w:t>
      </w:r>
    </w:p>
    <w:p w14:paraId="770893A2"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2023թ. նավթի և պղնձի բորսային գները կգրանցեն նվազում: Նավթի գնի նվազումը պայմանավորված է զարգացած տնտեսություներում ավելի թույլ աճի հեռանկարներով: Ըստ «Բլումբերգ» միջազգային հեղինակավոր կազմակերպության  կանխատեսումների 2023թ. նավթի միջազգային գները կնվազեն 17.8 %-ով, իսկ պղնձինը գները 3.6%-ով: 2024թ. նավթի և պղնձի գները կնվազեն համապատասխանաբար՝ 0.9% և 1.8%-ով:</w:t>
      </w:r>
    </w:p>
    <w:p w14:paraId="1F149794"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Ենթադրվում է, որ ՀՀ ծառայությունների արտահանման վերականգնումը կլինի առաջանցիկ ներմուծման համեմատ՝ պայմանավորված լինելով ՌԴ նկատմամբ կիրառվող պատժամիջոցների հետևանքով ռուս զբոսաշրջիկների մեծ ներհոսքի պահպանմամբ: 2023թ. համար սպասվում է, որ դեպի ՀՀ զբոսաշրջությունը շուրջ 25%-ով կգերազանցի 2019թ. մակարդակը, պայմանավորված ՌԴ-ից զբոսաշրջիկների կտրուկ ավելացմամբ, </w:t>
      </w:r>
      <w:r w:rsidRPr="00F46689">
        <w:rPr>
          <w:rFonts w:eastAsia="Calibri" w:cs="Arial"/>
          <w:b w:val="0"/>
          <w:bCs/>
          <w:kern w:val="2"/>
          <w:szCs w:val="22"/>
          <w:lang w:val="hy-AM"/>
          <w14:ligatures w14:val="standardContextual"/>
        </w:rPr>
        <w:lastRenderedPageBreak/>
        <w:t>իսկ այլ երկրներից զբոսաշրջիկների թիվը 2024թ. դեռ կմնա 2019թ. մակարդակից ավելի ցածր:</w:t>
      </w:r>
    </w:p>
    <w:p w14:paraId="7407C7A1"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2023թ. սպասվում է դրամական փոխանցումների շուրջ 20.5% անկում՝ պայմանավորված ինչպես ՌԴ-ից, այնպես էլ այլ երկրներից դրամական փոխանցումների նվազմամբ: Կանխատեսումների համաձայն 2024թ. դրամական փոխանցումները միջինում կաճեն շուրջ 3.9%-ով:</w:t>
      </w:r>
    </w:p>
    <w:p w14:paraId="69825489" w14:textId="77777777" w:rsidR="005D1807" w:rsidRPr="0073392C" w:rsidRDefault="005D1807" w:rsidP="00F46689">
      <w:pPr>
        <w:pStyle w:val="ListParagraph"/>
        <w:numPr>
          <w:ilvl w:val="0"/>
          <w:numId w:val="55"/>
        </w:numPr>
        <w:tabs>
          <w:tab w:val="left" w:pos="284"/>
        </w:tabs>
        <w:suppressAutoHyphens/>
        <w:spacing w:before="0" w:after="160"/>
        <w:ind w:left="0" w:firstLine="0"/>
        <w:rPr>
          <w:rFonts w:eastAsia="Calibri"/>
          <w:b w:val="0"/>
          <w:bCs/>
          <w:lang w:val="hy-AM"/>
        </w:rPr>
      </w:pPr>
      <w:r w:rsidRPr="00F46689">
        <w:rPr>
          <w:rFonts w:eastAsia="Calibri" w:cs="Arial"/>
          <w:b w:val="0"/>
          <w:bCs/>
          <w:kern w:val="2"/>
          <w:szCs w:val="22"/>
          <w:lang w:val="hy-AM"/>
          <w14:ligatures w14:val="standardContextual"/>
        </w:rPr>
        <w:t>ՌԴ դեմ կիրառված պատժամիջոցների արդյունքում ՌԴ-ից դեպի Հայաստան տեղափոխված</w:t>
      </w:r>
      <w:r w:rsidRPr="0073392C">
        <w:rPr>
          <w:rFonts w:eastAsia="Calibri"/>
          <w:b w:val="0"/>
          <w:bCs/>
          <w:lang w:val="hy-AM"/>
        </w:rPr>
        <w:t xml:space="preserve"> ՏՏ ոլորտի ընկերությունների և աշխատակիցների որոշ մասը 2023թ. և 2024թ. ընթացքում կմնան Հայաստանում:</w:t>
      </w:r>
    </w:p>
    <w:p w14:paraId="29D3B760"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73392C">
        <w:rPr>
          <w:rFonts w:eastAsia="Calibri"/>
          <w:b w:val="0"/>
          <w:bCs/>
          <w:lang w:val="hy-AM"/>
        </w:rPr>
        <w:t xml:space="preserve">Կառավարության 2021-2026թթ. ծրագրից բխող թիրախներ և գործողություններ։ ՀՀ </w:t>
      </w:r>
      <w:r w:rsidRPr="00F46689">
        <w:rPr>
          <w:rFonts w:eastAsia="Calibri" w:cs="Arial"/>
          <w:b w:val="0"/>
          <w:bCs/>
          <w:kern w:val="2"/>
          <w:szCs w:val="22"/>
          <w:lang w:val="hy-AM"/>
          <w14:ligatures w14:val="standardContextual"/>
        </w:rPr>
        <w:t>կառավարության ծրագրում նպատակարդված թիրախներին համահունչ 2024թ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 xml:space="preserve"> տնտեսական աճի կանխատեսումների հիմքում դրվել է հետևյալ ենթադրությունները</w:t>
      </w:r>
      <w:r w:rsidRPr="00F46689">
        <w:rPr>
          <w:rFonts w:ascii="Cambria Math" w:eastAsia="Calibri" w:hAnsi="Cambria Math" w:cs="Cambria Math"/>
          <w:b w:val="0"/>
          <w:bCs/>
          <w:kern w:val="2"/>
          <w:szCs w:val="22"/>
          <w:lang w:val="hy-AM"/>
          <w14:ligatures w14:val="standardContextual"/>
        </w:rPr>
        <w:t>․</w:t>
      </w:r>
    </w:p>
    <w:p w14:paraId="3A2EA32F"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Գործարար միջավայրի բարելավման արդյունքում մասնավոր ներդրումների, այդ թվում՝ օտարերկրյա ուղղակի ներդրումների մակարդակի բարձրացում, </w:t>
      </w:r>
    </w:p>
    <w:p w14:paraId="2A371C97"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Ենթակառուցվածքներում, տնտեսության արտադրողական ոլորտներում թիրախավորված մեծածավալ պետական կապիտալ ներդրումների իրականացում,</w:t>
      </w:r>
    </w:p>
    <w:p w14:paraId="1F509085"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Տնտեսության արտահանելի հատվածի և արտահանման խթանմանն ուղղված քաղաքականության արդյունքում արտահանման ծավալների մեծացում,</w:t>
      </w:r>
    </w:p>
    <w:p w14:paraId="70C4F29D" w14:textId="77777777" w:rsidR="005D1807" w:rsidRPr="0073392C" w:rsidRDefault="005D1807" w:rsidP="00F46689">
      <w:pPr>
        <w:pStyle w:val="ListParagraph"/>
        <w:numPr>
          <w:ilvl w:val="0"/>
          <w:numId w:val="55"/>
        </w:numPr>
        <w:tabs>
          <w:tab w:val="left" w:pos="284"/>
        </w:tabs>
        <w:suppressAutoHyphens/>
        <w:spacing w:before="0" w:after="160"/>
        <w:ind w:left="0" w:firstLine="0"/>
        <w:rPr>
          <w:rFonts w:eastAsia="Calibri"/>
          <w:b w:val="0"/>
          <w:bCs/>
          <w:lang w:val="hy-AM"/>
        </w:rPr>
      </w:pPr>
      <w:r w:rsidRPr="00F46689">
        <w:rPr>
          <w:rFonts w:eastAsia="Calibri" w:cs="Arial"/>
          <w:b w:val="0"/>
          <w:bCs/>
          <w:kern w:val="2"/>
          <w:szCs w:val="22"/>
          <w:lang w:val="hy-AM"/>
          <w14:ligatures w14:val="standardContextual"/>
        </w:rPr>
        <w:t>Բարձր տեխնոլոգիական առաջընթացի ապահովմանն ուղղված քաղաքականության իրականացման</w:t>
      </w:r>
      <w:r w:rsidRPr="0073392C">
        <w:rPr>
          <w:rFonts w:eastAsia="Calibri"/>
          <w:b w:val="0"/>
          <w:bCs/>
          <w:lang w:val="hy-AM"/>
        </w:rPr>
        <w:t xml:space="preserve"> արդյունքում մրցակցության և արտադրողականության բարձրացում։</w:t>
      </w:r>
    </w:p>
    <w:p w14:paraId="4E9C68FF" w14:textId="77777777" w:rsidR="005D1807" w:rsidRPr="00A64D05" w:rsidRDefault="005D1807" w:rsidP="00A64D05">
      <w:pPr>
        <w:tabs>
          <w:tab w:val="left" w:pos="284"/>
        </w:tabs>
        <w:rPr>
          <w:rFonts w:eastAsia="Calibri" w:cs="Sylfaen"/>
          <w:bCs/>
          <w:color w:val="1F497D" w:themeColor="text2"/>
          <w:szCs w:val="22"/>
          <w:lang w:val="hy-AM" w:eastAsia="en-US"/>
        </w:rPr>
      </w:pPr>
      <w:r w:rsidRPr="00A64D05">
        <w:rPr>
          <w:rFonts w:eastAsia="Calibri" w:cs="Sylfaen"/>
          <w:bCs/>
          <w:color w:val="1F497D" w:themeColor="text2"/>
          <w:szCs w:val="22"/>
          <w:lang w:val="hy-AM" w:eastAsia="en-US"/>
        </w:rPr>
        <w:t xml:space="preserve">2 Տնտեսության ներուժ և պարբերաշրջաններ: </w:t>
      </w:r>
    </w:p>
    <w:p w14:paraId="6174D122" w14:textId="77777777" w:rsidR="005D1807" w:rsidRPr="0073392C" w:rsidRDefault="005D1807" w:rsidP="005D1807">
      <w:pPr>
        <w:rPr>
          <w:rFonts w:eastAsia="Calibri"/>
          <w:b w:val="0"/>
          <w:bCs/>
          <w:lang w:val="hy-AM"/>
        </w:rPr>
      </w:pPr>
      <w:r w:rsidRPr="0073392C">
        <w:rPr>
          <w:rFonts w:eastAsia="Calibri"/>
          <w:b w:val="0"/>
          <w:bCs/>
          <w:lang w:val="hy-AM"/>
        </w:rPr>
        <w:t>2022թ․ դրական զարգացումների պայմաններում ՀՀ տնտեսությունը գտնվել է ներուժային մակարդակից ավելի բարձր դիրքում՝ մտնելով դրական ճեղքի տիրույթ, ըստ կանխատեսումների 2023թ. և 2024թ. ՀՀ տնտեսությունը կշարունակի մնալ դրական ճեղքի տիրույթում։ Միաժամանակ,  պետական կապիտալ ծախսերի մակարդակի թիրախային բարձրացման, կառուցվածքային բարեփոխումների իրականացման և արտահանման առաջանցիկ աճի պայմաններում, ինչպես նաև ՀՀ տեղափոխված ՏՏ ոլորտի ընկերությունների և աշխատակիցների գործունեության արդյունքում ներուժային աճը միջնաժամկետում աստիճանաբար կբարձրանա:</w:t>
      </w:r>
    </w:p>
    <w:p w14:paraId="5987DEAA" w14:textId="77777777" w:rsidR="005D1807" w:rsidRPr="00A64D05" w:rsidRDefault="005D1807" w:rsidP="00A64D05">
      <w:pPr>
        <w:tabs>
          <w:tab w:val="left" w:pos="284"/>
        </w:tabs>
        <w:rPr>
          <w:rFonts w:eastAsia="Calibri" w:cs="Sylfaen"/>
          <w:bCs/>
          <w:color w:val="1F497D" w:themeColor="text2"/>
          <w:szCs w:val="22"/>
          <w:lang w:val="hy-AM" w:eastAsia="en-US"/>
        </w:rPr>
      </w:pPr>
      <w:r w:rsidRPr="00A64D05">
        <w:rPr>
          <w:rFonts w:eastAsia="Calibri" w:cs="Sylfaen"/>
          <w:bCs/>
          <w:color w:val="1F497D" w:themeColor="text2"/>
          <w:szCs w:val="22"/>
          <w:lang w:val="hy-AM" w:eastAsia="en-US"/>
        </w:rPr>
        <w:t>3 Հարկաբյուջետային քաղաքականություն.</w:t>
      </w:r>
    </w:p>
    <w:p w14:paraId="4C760D61"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2024 թվականին հարկաբյուջետային քաղաքականությունը ՀՀ կառավարության 2021-2026թթ. ծրագրին համահունչ ուղղված կլինի թիրախավորված 7% տնտեսական աճի ապահովմանը՝ շեշտադրելով պետական ներդրումների մասնաբաժնի էական մեծացումը (կապիտալ ծախսերի կշիռը ՀՆԱ-ում հասցնելով 6.3%-ի) և ծախսերի իրականացման արդյունավետության բարձրացումը, ինչպես նաև՝ պարտքի կայունության պահպանմանը: Ընդ որում հարկաբյուջետային քաղաքականությունը ամբողջական պահանջարկի վրա </w:t>
      </w:r>
      <w:r w:rsidRPr="00F46689">
        <w:rPr>
          <w:rFonts w:eastAsia="Calibri" w:cs="Arial"/>
          <w:b w:val="0"/>
          <w:bCs/>
          <w:kern w:val="2"/>
          <w:szCs w:val="22"/>
          <w:lang w:val="hy-AM"/>
          <w14:ligatures w14:val="standardContextual"/>
        </w:rPr>
        <w:lastRenderedPageBreak/>
        <w:t>2024թ. կունենա խթանող ազդեցություն և միաժամանակ կխթանի ներուժային տնտեսական աճը:</w:t>
      </w:r>
    </w:p>
    <w:p w14:paraId="67EC121C"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2024 թվականին կառավարությունը նախատեսում է պահպանել հարկային վարչարարության բարելավմանն տեմպերը, ինչպես նաև իրականացնել հարկային օրենսդրության բարեփոխումներ, որոնց արդյունքում ակնկալվում է ապահովել հարկեր/ՀՆԱ հարաբերակցության շուրջ 0.75 տոկոսային կետով բարելավում:</w:t>
      </w:r>
    </w:p>
    <w:p w14:paraId="667FAE23" w14:textId="77777777" w:rsidR="005D1807" w:rsidRPr="0073392C" w:rsidRDefault="005D1807" w:rsidP="00F46689">
      <w:pPr>
        <w:pStyle w:val="ListParagraph"/>
        <w:numPr>
          <w:ilvl w:val="0"/>
          <w:numId w:val="55"/>
        </w:numPr>
        <w:tabs>
          <w:tab w:val="left" w:pos="284"/>
        </w:tabs>
        <w:suppressAutoHyphens/>
        <w:spacing w:before="0" w:after="160"/>
        <w:ind w:left="0" w:firstLine="0"/>
        <w:rPr>
          <w:rFonts w:eastAsia="Calibri"/>
          <w:b w:val="0"/>
          <w:bCs/>
          <w:lang w:val="hy-AM"/>
        </w:rPr>
      </w:pPr>
      <w:r w:rsidRPr="00F46689">
        <w:rPr>
          <w:rFonts w:eastAsia="Calibri" w:cs="Arial"/>
          <w:b w:val="0"/>
          <w:bCs/>
          <w:kern w:val="2"/>
          <w:szCs w:val="22"/>
          <w:lang w:val="hy-AM"/>
          <w14:ligatures w14:val="standardContextual"/>
        </w:rPr>
        <w:t>Կառավարության կապիտալ ծախսերը կուղղվեն այնպիսի ուղղություններով, որոնք միջնաժամկետ և երկարաժամկետ հատվածում կբարձրացնեն տնտեսության պոտենցիալը։ Կապիտալ ծախսերի առաջնահերթությունները միջնաժամկետ հատվածի համար հիմնականում վերաբերում են կրթության (300 դպրոցների և 500 մանկապարտեզների</w:t>
      </w:r>
      <w:r w:rsidRPr="0073392C">
        <w:rPr>
          <w:rFonts w:eastAsia="Calibri"/>
          <w:b w:val="0"/>
          <w:bCs/>
          <w:lang w:val="hy-AM"/>
        </w:rPr>
        <w:t xml:space="preserve"> կառուցում, նորոգում կամ հիմնանորոգում), ճանապարհաշինության (Հյուսիս-հարավ ճանապարհային միջանցք, ճանապարհների ցանցի նորոգում, հիմնանորոգում) և ջրային տնտեսության (15 փոքր և միջին ջրամբարների կառուցման ծրագիր) ոլորտներին։</w:t>
      </w:r>
    </w:p>
    <w:p w14:paraId="4B48591E" w14:textId="77777777" w:rsidR="005D1807" w:rsidRPr="00A64D05" w:rsidRDefault="005D1807" w:rsidP="00A64D05">
      <w:pPr>
        <w:tabs>
          <w:tab w:val="left" w:pos="284"/>
        </w:tabs>
        <w:rPr>
          <w:rFonts w:eastAsia="Calibri" w:cs="Sylfaen"/>
          <w:bCs/>
          <w:color w:val="1F497D" w:themeColor="text2"/>
          <w:szCs w:val="22"/>
          <w:lang w:val="hy-AM" w:eastAsia="en-US"/>
        </w:rPr>
      </w:pPr>
      <w:r w:rsidRPr="00A64D05">
        <w:rPr>
          <w:rFonts w:eastAsia="Calibri" w:cs="Sylfaen"/>
          <w:bCs/>
          <w:color w:val="1F497D" w:themeColor="text2"/>
          <w:szCs w:val="22"/>
          <w:lang w:val="hy-AM" w:eastAsia="en-US"/>
        </w:rPr>
        <w:t xml:space="preserve">Գնաճ և դրամավարկային քաղաքականություն. </w:t>
      </w:r>
      <w:r w:rsidRPr="00A64D05">
        <w:rPr>
          <w:rFonts w:eastAsia="Calibri" w:cs="Sylfaen"/>
          <w:bCs/>
          <w:color w:val="1F497D" w:themeColor="text2"/>
          <w:szCs w:val="22"/>
          <w:lang w:val="hy-AM" w:eastAsia="en-US"/>
        </w:rPr>
        <w:tab/>
      </w:r>
    </w:p>
    <w:p w14:paraId="318FBD06"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73392C">
        <w:rPr>
          <w:rFonts w:eastAsia="Calibri"/>
          <w:b w:val="0"/>
          <w:bCs/>
          <w:lang w:val="hy-AM"/>
        </w:rPr>
        <w:t xml:space="preserve">2023թ․ վերջին 12 ամսյա </w:t>
      </w:r>
      <w:r w:rsidRPr="00F46689">
        <w:rPr>
          <w:rFonts w:eastAsia="Calibri" w:cs="Arial"/>
          <w:b w:val="0"/>
          <w:bCs/>
          <w:kern w:val="2"/>
          <w:szCs w:val="22"/>
          <w:lang w:val="hy-AM"/>
          <w14:ligatures w14:val="standardContextual"/>
        </w:rPr>
        <w:t>գնաճը կձևավորվի նպատակային ցուցանիշից ցածր, իսկ  2024թ</w:t>
      </w:r>
      <w:r w:rsidRPr="00F46689">
        <w:rPr>
          <w:rFonts w:ascii="Cambria Math" w:eastAsia="Calibri" w:hAnsi="Cambria Math" w:cs="Cambria Math"/>
          <w:b w:val="0"/>
          <w:bCs/>
          <w:kern w:val="2"/>
          <w:szCs w:val="22"/>
          <w:lang w:val="hy-AM"/>
          <w14:ligatures w14:val="standardContextual"/>
        </w:rPr>
        <w:t>․</w:t>
      </w:r>
      <w:r w:rsidRPr="00F46689">
        <w:rPr>
          <w:rFonts w:eastAsia="Calibri" w:cs="Arial"/>
          <w:b w:val="0"/>
          <w:bCs/>
          <w:kern w:val="2"/>
          <w:szCs w:val="22"/>
          <w:lang w:val="hy-AM"/>
          <w14:ligatures w14:val="standardContextual"/>
        </w:rPr>
        <w:t>-ին աստիճանաբար կաճի՝ տարեվերջին մոտենալով նպատակային 4% ցուցանիշին:</w:t>
      </w:r>
    </w:p>
    <w:p w14:paraId="725362F2"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Նախանշված ուղեգծից գնաճի շեղման ռիսկերի որևէ ուղղությամբ դրսևորման պարագայում ԿԲ-ը համարժեքորեն կարձագանքի և կապահովի գների կայունության նպատակը: </w:t>
      </w:r>
    </w:p>
    <w:p w14:paraId="3D4E31BB" w14:textId="77777777" w:rsidR="005D1807" w:rsidRPr="00A64D05" w:rsidRDefault="005D1807" w:rsidP="00A64D05">
      <w:pPr>
        <w:keepNext/>
        <w:keepLines/>
        <w:spacing w:before="0"/>
        <w:outlineLvl w:val="2"/>
        <w:rPr>
          <w:rFonts w:eastAsiaTheme="majorEastAsia" w:cstheme="majorBidi"/>
          <w:bCs/>
          <w:color w:val="1F497D" w:themeColor="text2"/>
          <w:sz w:val="24"/>
          <w:lang w:val="hy-AM" w:eastAsia="en-US"/>
        </w:rPr>
      </w:pPr>
      <w:bookmarkStart w:id="117" w:name="_Toc46154348"/>
      <w:bookmarkStart w:id="118" w:name="_Toc51360534"/>
      <w:bookmarkStart w:id="119" w:name="_Toc51947417"/>
      <w:bookmarkStart w:id="120" w:name="_Toc52452090"/>
      <w:bookmarkStart w:id="121" w:name="_Toc57559417"/>
      <w:bookmarkStart w:id="122" w:name="_Toc83663898"/>
      <w:bookmarkStart w:id="123" w:name="_Toc83972834"/>
      <w:bookmarkStart w:id="124" w:name="_Toc115686020"/>
      <w:bookmarkStart w:id="125" w:name="_Toc146911026"/>
      <w:bookmarkStart w:id="126" w:name="_Toc153184465"/>
      <w:r w:rsidRPr="00A64D05">
        <w:rPr>
          <w:rFonts w:eastAsiaTheme="majorEastAsia" w:cstheme="majorBidi"/>
          <w:bCs/>
          <w:color w:val="1F497D" w:themeColor="text2"/>
          <w:sz w:val="24"/>
          <w:lang w:val="hy-AM" w:eastAsia="en-US"/>
        </w:rPr>
        <w:t>1.5. ՄԱԿՐՈՏՆՏԵՍԱԿԱՆ ԿԱՆԽԱՏԵՍՈՒՄՆԵՐԻ ՌԻՍԿԵՐԸ</w:t>
      </w:r>
      <w:bookmarkEnd w:id="117"/>
      <w:bookmarkEnd w:id="118"/>
      <w:bookmarkEnd w:id="119"/>
      <w:bookmarkEnd w:id="120"/>
      <w:bookmarkEnd w:id="121"/>
      <w:bookmarkEnd w:id="122"/>
      <w:bookmarkEnd w:id="123"/>
      <w:bookmarkEnd w:id="124"/>
      <w:bookmarkEnd w:id="125"/>
      <w:bookmarkEnd w:id="126"/>
    </w:p>
    <w:p w14:paraId="7BD6B024" w14:textId="77777777" w:rsidR="005D1807" w:rsidRPr="0073392C" w:rsidRDefault="005D1807" w:rsidP="005D1807">
      <w:pPr>
        <w:rPr>
          <w:rFonts w:eastAsia="Calibri"/>
          <w:b w:val="0"/>
          <w:bCs/>
          <w:lang w:val="hy-AM"/>
        </w:rPr>
      </w:pPr>
      <w:bookmarkStart w:id="127" w:name="_Toc137662476"/>
      <w:r w:rsidRPr="0073392C">
        <w:rPr>
          <w:rFonts w:eastAsia="Calibri"/>
          <w:b w:val="0"/>
          <w:bCs/>
          <w:lang w:val="hy-AM"/>
        </w:rPr>
        <w:t>Կանխատեսման առկա ռիսկերը պայմանավորվում են ինչպես արտաքին, այնպես էլ ներքին տնտեսական գործոններով, որոնք կարող են հանգեցնել ինչպես տնտեսական աճի տեմպերի ավելացմանը, այնպես էլ նվազմանը՝ ներկայացված կենտրոնական կանխատեսումների համեմատ: Ռիսկերի տեղի ունենալու դեպքում շեղումներ կարձանագրվեն սույն փաստաթղթի 1.4 բաժնում ներկայացված ենթադրություններից՝ հանգեցնելով մակրոտնտեսական կանխատեսումներից շեղումների և դրա հետևանքով էլ հարկաբյուջետային շրջանակի ցուցանիշների շեղման այս պետական բյուջեի շրջանակից։</w:t>
      </w:r>
    </w:p>
    <w:p w14:paraId="763053C7" w14:textId="77777777" w:rsidR="005D1807" w:rsidRPr="0073392C" w:rsidRDefault="005D1807" w:rsidP="005D1807">
      <w:pPr>
        <w:rPr>
          <w:rFonts w:eastAsia="Calibri"/>
          <w:b w:val="0"/>
          <w:bCs/>
          <w:lang w:val="hy-AM"/>
        </w:rPr>
      </w:pPr>
      <w:r w:rsidRPr="0073392C">
        <w:rPr>
          <w:rFonts w:eastAsia="Calibri"/>
          <w:b w:val="0"/>
          <w:bCs/>
          <w:lang w:val="hy-AM"/>
        </w:rPr>
        <w:t xml:space="preserve">COVID-19 համավարակի հետևանքները դեռ չհաղթահարած տարածաշրջանը բախվեց ռուս-ուկրաինական հակամարտության առաջացրած աշխարհաքաղաքական և տնտեսական մարտահրավերներին, ինչի բացասական հետևանքներն արդեն տեսանելի են ոչ միայն տարածաշրջանում, այլ նաև ամբողջ աշխարհում, այդ թվում՝ ՀՀ համար Ռուսաստանից հետո երկրորդ ամենամեծ առևտրային գործընկեր՝ Եվրագոտու երկրներում։ Ռուս-ուկրաինական հակամարտությունը և Ռուսաստանի դեմ կիրառված աննախադեպ պատժամիջոցները դեռ համավարակից չսթափված աշխարհում ստեղծել են նոր իրականություն, որի  պայմաններում ինչպես աշխարհի և ՀՀ գործընկեր երկրների, </w:t>
      </w:r>
      <w:r w:rsidRPr="0073392C">
        <w:rPr>
          <w:rFonts w:eastAsia="Calibri"/>
          <w:b w:val="0"/>
          <w:bCs/>
          <w:lang w:val="hy-AM"/>
        </w:rPr>
        <w:lastRenderedPageBreak/>
        <w:t>այնպես էլ ՀՀ տնտեսական աճի կանխատեսումները իրենց մեջ կրում են մեծ անորոշություն։</w:t>
      </w:r>
    </w:p>
    <w:p w14:paraId="370AFF7E" w14:textId="77777777" w:rsidR="005D1807" w:rsidRPr="0073392C" w:rsidRDefault="005D1807" w:rsidP="005D1807">
      <w:pPr>
        <w:rPr>
          <w:rFonts w:eastAsia="Calibri"/>
          <w:b w:val="0"/>
          <w:bCs/>
          <w:lang w:val="hy-AM"/>
        </w:rPr>
      </w:pPr>
      <w:r w:rsidRPr="0073392C">
        <w:rPr>
          <w:rFonts w:eastAsia="Calibri"/>
          <w:b w:val="0"/>
          <w:bCs/>
          <w:lang w:val="hy-AM"/>
        </w:rPr>
        <w:t xml:space="preserve">Վերոնշյալ իրողությունների պայմաններում 2024թ. ՀՀ կառավարության թիրախավորած 7% տնտեսական աճի շուրջ առկա են անորոշություններ։ </w:t>
      </w:r>
    </w:p>
    <w:p w14:paraId="3BF8448A" w14:textId="77777777" w:rsidR="005D1807" w:rsidRPr="000739AC" w:rsidRDefault="005D1807" w:rsidP="000739AC">
      <w:pPr>
        <w:keepNext/>
        <w:keepLines/>
        <w:spacing w:before="240" w:after="60"/>
        <w:jc w:val="left"/>
        <w:outlineLvl w:val="2"/>
        <w:rPr>
          <w:color w:val="1F4E79"/>
          <w:sz w:val="24"/>
          <w:szCs w:val="22"/>
          <w:lang w:val="hy-AM" w:eastAsia="en-US"/>
        </w:rPr>
      </w:pPr>
      <w:bookmarkStart w:id="128" w:name="_Toc146911027"/>
      <w:bookmarkStart w:id="129" w:name="_Toc153184466"/>
      <w:r w:rsidRPr="000739AC">
        <w:rPr>
          <w:color w:val="1F4E79"/>
          <w:sz w:val="24"/>
          <w:szCs w:val="22"/>
          <w:lang w:val="hy-AM" w:eastAsia="en-US"/>
        </w:rPr>
        <w:t>1.5.1. ՀՀ տնտեսական աճի դեպի ներքև ուղղությամբ ռիսկեր</w:t>
      </w:r>
      <w:bookmarkEnd w:id="127"/>
      <w:bookmarkEnd w:id="128"/>
      <w:bookmarkEnd w:id="129"/>
    </w:p>
    <w:p w14:paraId="3E6A2BB6" w14:textId="77777777" w:rsidR="005D1807" w:rsidRPr="0073392C" w:rsidRDefault="005D1807" w:rsidP="005D1807">
      <w:pPr>
        <w:rPr>
          <w:rFonts w:eastAsia="Calibri"/>
          <w:lang w:val="hy-AM"/>
        </w:rPr>
      </w:pPr>
      <w:bookmarkStart w:id="130" w:name="_Toc137662477"/>
      <w:r w:rsidRPr="0073392C">
        <w:rPr>
          <w:rFonts w:eastAsia="Calibri"/>
          <w:lang w:val="hy-AM"/>
        </w:rPr>
        <w:t xml:space="preserve">Արտաքին միջավայրից բխող դեպի ներքև ռիսկերը պայմանավորված են՝ </w:t>
      </w:r>
    </w:p>
    <w:p w14:paraId="0A1BCD32"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Ռուս-ուկրաինական հակամարտության և Ռուսաստանի դեմ կիրառված պատժամիջոցների հետևանքով ՌԴ տնտեսության սպասվածից ավելի ցածր աճով,</w:t>
      </w:r>
    </w:p>
    <w:p w14:paraId="679BB61A"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Համաշխարհային տնտեսության, մասնավորապես՝ ՀՀ գործընկեր երկրների տնտեսական աճերի սպասվածից ավելի վատ դրսևորումներով,  </w:t>
      </w:r>
    </w:p>
    <w:p w14:paraId="5BA5F376"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Դեպի Հայաստան ՌԴ-ից տեղի ունեցած մարդկանց և կապիտալի զգալի ներհոսքի հետշրջում,</w:t>
      </w:r>
    </w:p>
    <w:p w14:paraId="0879E4EA"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ՀՀ հիմնական գործընկեր երկրներում գնաճային ճնշումների պայմաններում դրամավարկային պայմանների սպասվածից առավել խստացման արդյունքում տնտեսական աճերի դանդաղմամբ, զարգացած երկրներում տոկոսադրույքների սպասվածից առավել բարձրացման պայմաններում ՀՀ-ից կապիտալի զուտ արտահոսքի և մասնավոր հատվածի և կառավարության արտաքին պարտքով պակասուրդների ֆինանսավորման թանկացմամբ, </w:t>
      </w:r>
    </w:p>
    <w:p w14:paraId="474F9FD4"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ՀՀ ապրանքների արտահանման մատակարարումների լոգիստիկ խնդիրների խորացմամբ,</w:t>
      </w:r>
    </w:p>
    <w:p w14:paraId="54B3520B" w14:textId="77777777" w:rsidR="005D1807" w:rsidRPr="0073392C" w:rsidRDefault="005D1807" w:rsidP="00F46689">
      <w:pPr>
        <w:pStyle w:val="ListParagraph"/>
        <w:numPr>
          <w:ilvl w:val="0"/>
          <w:numId w:val="55"/>
        </w:numPr>
        <w:tabs>
          <w:tab w:val="left" w:pos="284"/>
        </w:tabs>
        <w:suppressAutoHyphens/>
        <w:spacing w:before="0" w:after="160"/>
        <w:ind w:left="0" w:firstLine="0"/>
        <w:rPr>
          <w:rFonts w:eastAsia="Calibri"/>
          <w:b w:val="0"/>
          <w:bCs/>
          <w:lang w:val="hy-AM"/>
        </w:rPr>
      </w:pPr>
      <w:r w:rsidRPr="00F46689">
        <w:rPr>
          <w:rFonts w:eastAsia="Calibri" w:cs="Arial"/>
          <w:b w:val="0"/>
          <w:bCs/>
          <w:kern w:val="2"/>
          <w:szCs w:val="22"/>
          <w:lang w:val="hy-AM"/>
          <w14:ligatures w14:val="standardContextual"/>
        </w:rPr>
        <w:t>Աշխարհաքաղաքական իրավիճակով, այդ թվում` տարածաշրջանային ռազմական հակամարտությունների</w:t>
      </w:r>
      <w:r w:rsidRPr="0073392C">
        <w:rPr>
          <w:rFonts w:eastAsia="Calibri"/>
          <w:b w:val="0"/>
          <w:bCs/>
          <w:lang w:val="hy-AM"/>
        </w:rPr>
        <w:t xml:space="preserve"> առկայությամբ:</w:t>
      </w:r>
    </w:p>
    <w:p w14:paraId="7E5F5B84" w14:textId="77777777" w:rsidR="005D1807" w:rsidRPr="0073392C" w:rsidRDefault="005D1807" w:rsidP="005D1807">
      <w:pPr>
        <w:rPr>
          <w:rFonts w:eastAsia="Calibri"/>
          <w:lang w:val="hy-AM"/>
        </w:rPr>
      </w:pPr>
      <w:r w:rsidRPr="0073392C">
        <w:rPr>
          <w:rFonts w:eastAsia="Calibri"/>
          <w:lang w:val="hy-AM"/>
        </w:rPr>
        <w:t>Ներքին միջավայրից բխող դեպի ներքև ռիսկերը պայմանավորված են՝</w:t>
      </w:r>
    </w:p>
    <w:p w14:paraId="2B46C9E5"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73392C">
        <w:rPr>
          <w:rFonts w:eastAsia="Calibri"/>
          <w:b w:val="0"/>
          <w:bCs/>
          <w:lang w:val="hy-AM"/>
        </w:rPr>
        <w:t xml:space="preserve">ՀՀ </w:t>
      </w:r>
      <w:r w:rsidRPr="00F46689">
        <w:rPr>
          <w:rFonts w:eastAsia="Calibri" w:cs="Arial"/>
          <w:b w:val="0"/>
          <w:bCs/>
          <w:kern w:val="2"/>
          <w:szCs w:val="22"/>
          <w:lang w:val="hy-AM"/>
          <w14:ligatures w14:val="standardContextual"/>
        </w:rPr>
        <w:t>դրամի փոխարժեքի սպասվածից առավել արժևորման ռիսկերով պայմանավորված արտահանման հնարավոր դանդաղմամբ, դոլարային դրամական փոխանցումների ցածր գնողունակությամբ,</w:t>
      </w:r>
    </w:p>
    <w:p w14:paraId="55BC223E"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Բարձր պահանջարկի պահպանման և գնաճային սպասումների արագացման պայմաններում աշխատավարձերի և առանձին ապրանքախմբերում ու ծառայություններում բարձր գնաճի պահպանմամբ,  </w:t>
      </w:r>
    </w:p>
    <w:p w14:paraId="2D7A8C60"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Կանխատեսվածից բարձր գնաճային ճնշումների արդյունքում բնակչության իրական եկամուտների նվազմամբ, </w:t>
      </w:r>
    </w:p>
    <w:p w14:paraId="51680F46"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Պետական կապիտալ ծախսերի հնարավոր թերակատարմամբ,</w:t>
      </w:r>
    </w:p>
    <w:p w14:paraId="201EC673"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lastRenderedPageBreak/>
        <w:t xml:space="preserve">ՀՀ կառավարության կառուցվածքային բարեփոխումների և արտահանման ու ներդրումների խթանման քաղաքականության ակնկալվող արդյունքների սպասվածից ավելի ուշ արտահայտմամբ, </w:t>
      </w:r>
    </w:p>
    <w:p w14:paraId="57AFF155" w14:textId="77777777" w:rsidR="005D1807" w:rsidRPr="0073392C" w:rsidRDefault="005D1807" w:rsidP="00F46689">
      <w:pPr>
        <w:pStyle w:val="ListParagraph"/>
        <w:numPr>
          <w:ilvl w:val="0"/>
          <w:numId w:val="55"/>
        </w:numPr>
        <w:tabs>
          <w:tab w:val="left" w:pos="284"/>
        </w:tabs>
        <w:suppressAutoHyphens/>
        <w:spacing w:before="0" w:after="160"/>
        <w:ind w:left="0" w:firstLine="0"/>
        <w:rPr>
          <w:rFonts w:eastAsia="Calibri"/>
          <w:b w:val="0"/>
          <w:bCs/>
          <w:lang w:val="hy-AM"/>
        </w:rPr>
      </w:pPr>
      <w:r w:rsidRPr="00F46689">
        <w:rPr>
          <w:rFonts w:eastAsia="Calibri" w:cs="Arial"/>
          <w:b w:val="0"/>
          <w:bCs/>
          <w:kern w:val="2"/>
          <w:szCs w:val="22"/>
          <w:lang w:val="hy-AM"/>
          <w14:ligatures w14:val="standardContextual"/>
        </w:rPr>
        <w:t>Բնա</w:t>
      </w:r>
      <w:r w:rsidRPr="00F46689">
        <w:rPr>
          <w:rFonts w:eastAsia="Calibri" w:cs="Arial"/>
          <w:b w:val="0"/>
          <w:bCs/>
          <w:kern w:val="2"/>
          <w:szCs w:val="22"/>
          <w:lang w:val="hy-AM"/>
          <w14:ligatures w14:val="standardContextual"/>
        </w:rPr>
        <w:softHyphen/>
        <w:t>կլիմայական անբարենպաստ պայման</w:t>
      </w:r>
      <w:r w:rsidRPr="00F46689">
        <w:rPr>
          <w:rFonts w:eastAsia="Calibri" w:cs="Arial"/>
          <w:b w:val="0"/>
          <w:bCs/>
          <w:kern w:val="2"/>
          <w:szCs w:val="22"/>
          <w:lang w:val="hy-AM"/>
          <w14:ligatures w14:val="standardContextual"/>
        </w:rPr>
        <w:softHyphen/>
        <w:t>ների շարունակական դրսևորման</w:t>
      </w:r>
      <w:r w:rsidRPr="0073392C">
        <w:rPr>
          <w:rFonts w:eastAsia="Calibri"/>
          <w:b w:val="0"/>
          <w:bCs/>
          <w:lang w:val="hy-AM"/>
        </w:rPr>
        <w:t xml:space="preserve"> հետևանքով գյուղատնտեսության ճյուղում հնարավոր ավելի ցածր աճի արձանագրմամբ:</w:t>
      </w:r>
    </w:p>
    <w:p w14:paraId="13CA35A1" w14:textId="77777777" w:rsidR="005D1807" w:rsidRPr="000739AC" w:rsidRDefault="005D1807" w:rsidP="000739AC">
      <w:pPr>
        <w:keepNext/>
        <w:keepLines/>
        <w:spacing w:before="240" w:after="60"/>
        <w:jc w:val="left"/>
        <w:outlineLvl w:val="2"/>
        <w:rPr>
          <w:color w:val="1F4E79"/>
          <w:sz w:val="24"/>
          <w:szCs w:val="22"/>
          <w:lang w:val="hy-AM" w:eastAsia="en-US"/>
        </w:rPr>
      </w:pPr>
      <w:bookmarkStart w:id="131" w:name="_Toc146911028"/>
      <w:bookmarkStart w:id="132" w:name="_Toc153184467"/>
      <w:r w:rsidRPr="000739AC">
        <w:rPr>
          <w:color w:val="1F4E79"/>
          <w:sz w:val="24"/>
          <w:szCs w:val="22"/>
          <w:lang w:val="hy-AM" w:eastAsia="en-US"/>
        </w:rPr>
        <w:t>1.5.2. Տնտեսական աճի դեպի վերև ուղղությամբ ռիսկեր</w:t>
      </w:r>
      <w:bookmarkEnd w:id="130"/>
      <w:bookmarkEnd w:id="131"/>
      <w:bookmarkEnd w:id="132"/>
    </w:p>
    <w:p w14:paraId="4F781C9B" w14:textId="77777777" w:rsidR="005D1807" w:rsidRPr="0073392C" w:rsidRDefault="005D1807" w:rsidP="005D1807">
      <w:pPr>
        <w:rPr>
          <w:rFonts w:eastAsia="Calibri"/>
          <w:lang w:val="hy-AM"/>
        </w:rPr>
      </w:pPr>
      <w:r w:rsidRPr="0073392C">
        <w:rPr>
          <w:rFonts w:eastAsia="Calibri"/>
          <w:lang w:val="hy-AM"/>
        </w:rPr>
        <w:t xml:space="preserve">Արտաքին գործոններից բխող դեպի վերև ռիսկերը պայմանավորված են՝ </w:t>
      </w:r>
    </w:p>
    <w:p w14:paraId="4DEE4C36"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Ռուսատանի նկատմամբ արևմուտքի կողմից կիրառվող պատժամիջոցների արդյունքում ՀՀ տնտեսության համար նոր հնարավորությունների ստեղծմամբ. մասնավորապես, Ռուսաստանի դեմ կիրառված աննախադեպ տարաբնույթ պատժամիջոցների պայմաններում Հայաստանը՝ որպես առևտրային, լոգիստիկ և ֆինանսական հանգույց ծառայելու հնարավորությամբ, </w:t>
      </w:r>
    </w:p>
    <w:p w14:paraId="49EE8EA8"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Համաշխարհային տնտեսության ավելի արագ վերականգնմամբ, քան կանխատեսումներում արված ենթադրություններն են: Այս իրավիճակի դրսևորումն ավելի հավանական կլինի, եթե Ռուսաստանի տնտեսությունը վերականգնվի ավելի արագ տեմպերով, քան ակնկալվում է,</w:t>
      </w:r>
    </w:p>
    <w:p w14:paraId="5FE3911B"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COVID-19 hամավարակի հաղթահարման պայմաններում համաշխարհային տուրիզմի՝ սպասվածից ավելի շուտ վերականգմամբ,</w:t>
      </w:r>
    </w:p>
    <w:p w14:paraId="38429CFD"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 xml:space="preserve">Ներքին միջավայրից բխող դեպի վերև ռիսկերը պայմանավորված են` </w:t>
      </w:r>
    </w:p>
    <w:p w14:paraId="6E8D6A21"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ՀՀ կառավարության Տնտեսական արձագանքման ծրագրով</w:t>
      </w:r>
      <w:r w:rsidRPr="00F46689">
        <w:rPr>
          <w:rFonts w:eastAsia="Calibri" w:cs="Arial"/>
          <w:b w:val="0"/>
          <w:bCs/>
          <w:kern w:val="2"/>
          <w:szCs w:val="22"/>
          <w:lang w:val="hy-AM"/>
          <w14:ligatures w14:val="standardContextual"/>
        </w:rPr>
        <w:footnoteReference w:id="20"/>
      </w:r>
      <w:r w:rsidRPr="00F46689">
        <w:rPr>
          <w:rFonts w:eastAsia="Calibri" w:cs="Arial"/>
          <w:b w:val="0"/>
          <w:bCs/>
          <w:kern w:val="2"/>
          <w:szCs w:val="22"/>
          <w:lang w:val="hy-AM"/>
          <w14:ligatures w14:val="standardContextual"/>
        </w:rPr>
        <w:t xml:space="preserve"> նախատեսված խոշոր մասնավոր ներդրումային ծրագրերի իրականացմամբ,</w:t>
      </w:r>
    </w:p>
    <w:p w14:paraId="422D541F"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«Հայաստանի արտահանման ներուժի բացահայտման և արտահանմանը խթանող մեխանիզմների մշակման» ծրագրի միջոցառումների նախատեսված ժամկետներում և ամբողջությամբ իրականացմամբ,</w:t>
      </w:r>
    </w:p>
    <w:p w14:paraId="600104E6"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Մասնավոր ներդրումների խթանմանն ուղղված ծրագրի (ANIF) իրականացման՝ տնտեսական ակտիվության վրա հնարավոր լրացուցիչ դրական ազդեցությամբ,</w:t>
      </w:r>
    </w:p>
    <w:p w14:paraId="2225CB04" w14:textId="77777777" w:rsidR="005D1807" w:rsidRPr="00F46689" w:rsidRDefault="005D1807"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«Ենթակառուցվածքներ ներդրումների դիմաց» ծրագրի հետ կապված ՊՄԳ շրջանակներում ավելի մեծ թվով ներդրումային ծրագրերի իրականացմամբ,</w:t>
      </w:r>
    </w:p>
    <w:p w14:paraId="1EEA1BAB" w14:textId="77777777" w:rsidR="005D1807" w:rsidRPr="0073392C" w:rsidRDefault="005D1807" w:rsidP="00F46689">
      <w:pPr>
        <w:pStyle w:val="ListParagraph"/>
        <w:numPr>
          <w:ilvl w:val="0"/>
          <w:numId w:val="55"/>
        </w:numPr>
        <w:tabs>
          <w:tab w:val="left" w:pos="284"/>
        </w:tabs>
        <w:suppressAutoHyphens/>
        <w:spacing w:before="0" w:after="160"/>
        <w:ind w:left="0" w:firstLine="0"/>
        <w:rPr>
          <w:rFonts w:eastAsia="Calibri"/>
          <w:b w:val="0"/>
          <w:bCs/>
          <w:lang w:val="hy-AM"/>
        </w:rPr>
      </w:pPr>
      <w:r w:rsidRPr="00F46689">
        <w:rPr>
          <w:rFonts w:eastAsia="Calibri" w:cs="Arial"/>
          <w:b w:val="0"/>
          <w:bCs/>
          <w:kern w:val="2"/>
          <w:szCs w:val="22"/>
          <w:lang w:val="hy-AM"/>
          <w14:ligatures w14:val="standardContextual"/>
        </w:rPr>
        <w:t>Թեղուտի հանքավայրի հնարավոր շահագործումից բխող տնտեսական ակտիվության արագացմամբ</w:t>
      </w:r>
      <w:r w:rsidRPr="0073392C">
        <w:rPr>
          <w:rFonts w:eastAsia="Calibri"/>
          <w:b w:val="0"/>
          <w:bCs/>
          <w:lang w:val="hy-AM"/>
        </w:rPr>
        <w:t>:</w:t>
      </w:r>
    </w:p>
    <w:p w14:paraId="16341FFA" w14:textId="77777777" w:rsidR="005D1807" w:rsidRPr="0073392C" w:rsidRDefault="005D1807" w:rsidP="005D1807">
      <w:pPr>
        <w:rPr>
          <w:rFonts w:eastAsia="Calibri"/>
          <w:b w:val="0"/>
          <w:bCs/>
          <w:lang w:val="hy-AM"/>
        </w:rPr>
      </w:pPr>
    </w:p>
    <w:p w14:paraId="68BB7DC7" w14:textId="77777777" w:rsidR="005D1807" w:rsidRPr="0073392C" w:rsidRDefault="005D1807" w:rsidP="005D1807">
      <w:pPr>
        <w:rPr>
          <w:rFonts w:eastAsia="Calibri"/>
          <w:b w:val="0"/>
          <w:bCs/>
          <w:lang w:val="hy-AM"/>
        </w:rPr>
      </w:pPr>
      <w:r w:rsidRPr="0073392C">
        <w:rPr>
          <w:rFonts w:eastAsia="Calibri"/>
          <w:lang w:val="hy-AM"/>
        </w:rPr>
        <w:lastRenderedPageBreak/>
        <w:t xml:space="preserve">Գծապատկեր 1.40. </w:t>
      </w:r>
      <w:r w:rsidRPr="0073392C">
        <w:rPr>
          <w:rFonts w:eastAsia="Calibri"/>
          <w:b w:val="0"/>
          <w:bCs/>
          <w:lang w:val="hy-AM"/>
        </w:rPr>
        <w:t>Իրական ՀՆԱ աճի կանխատեսման հավանականությունների բաշխումը (Fan Chart)</w:t>
      </w:r>
    </w:p>
    <w:p w14:paraId="7BD531D4" w14:textId="77777777" w:rsidR="005D1807" w:rsidRPr="005D1807" w:rsidRDefault="005D1807" w:rsidP="005D1807">
      <w:pPr>
        <w:rPr>
          <w:rFonts w:eastAsia="Calibri"/>
          <w:b w:val="0"/>
          <w:bCs/>
        </w:rPr>
      </w:pPr>
      <w:r w:rsidRPr="005D1807">
        <w:rPr>
          <w:b w:val="0"/>
          <w:bCs/>
          <w:noProof/>
          <w:lang w:val="en-US" w:eastAsia="en-US"/>
        </w:rPr>
        <w:drawing>
          <wp:inline distT="0" distB="0" distL="0" distR="0" wp14:anchorId="76D1FF29" wp14:editId="7136C88B">
            <wp:extent cx="5790432" cy="2838450"/>
            <wp:effectExtent l="0" t="0" r="1270" b="0"/>
            <wp:docPr id="1" name="Chart 1">
              <a:extLst xmlns:a="http://schemas.openxmlformats.org/drawingml/2006/main">
                <a:ext uri="{FF2B5EF4-FFF2-40B4-BE49-F238E27FC236}">
                  <a16:creationId xmlns:a16="http://schemas.microsoft.com/office/drawing/2014/main" id="{823BB41F-9252-493E-8DC7-9A5AB91CC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CE5797E" w14:textId="77777777" w:rsidR="005D1807" w:rsidRPr="000739AC" w:rsidRDefault="005D1807" w:rsidP="005D1807">
      <w:pPr>
        <w:rPr>
          <w:rFonts w:eastAsia="Calibri"/>
          <w:b w:val="0"/>
          <w:bCs/>
          <w:sz w:val="20"/>
          <w:szCs w:val="20"/>
        </w:rPr>
      </w:pPr>
      <w:r w:rsidRPr="000739AC">
        <w:rPr>
          <w:rFonts w:eastAsia="Calibri"/>
          <w:b w:val="0"/>
          <w:bCs/>
          <w:sz w:val="20"/>
          <w:szCs w:val="20"/>
        </w:rPr>
        <w:t>Աղբյուրը՝ ՀՀ ՖՆ գնահատումներ և կանխատեսումներ</w:t>
      </w:r>
    </w:p>
    <w:p w14:paraId="4A72AAC5" w14:textId="77777777" w:rsidR="005D1807" w:rsidRPr="005D1807" w:rsidRDefault="005D1807" w:rsidP="005D1807">
      <w:pPr>
        <w:rPr>
          <w:rFonts w:eastAsia="Calibri"/>
          <w:b w:val="0"/>
          <w:bCs/>
          <w:highlight w:val="yellow"/>
        </w:rPr>
      </w:pPr>
    </w:p>
    <w:p w14:paraId="2C0E12CC" w14:textId="77777777" w:rsidR="005D1807" w:rsidRPr="005D1807" w:rsidRDefault="005D1807" w:rsidP="005D1807">
      <w:pPr>
        <w:rPr>
          <w:b w:val="0"/>
          <w:bCs/>
        </w:rPr>
      </w:pPr>
      <w:r w:rsidRPr="000739AC">
        <w:rPr>
          <w:rFonts w:eastAsia="Calibri"/>
        </w:rPr>
        <w:t xml:space="preserve">Աղյուսակ 1.4. </w:t>
      </w:r>
      <w:r w:rsidRPr="005D1807">
        <w:rPr>
          <w:rFonts w:eastAsia="Calibri"/>
          <w:b w:val="0"/>
          <w:bCs/>
        </w:rPr>
        <w:t>Իրական ՀՆԱ-ի աճի կանխատեսման հավանականությունների բաշխումը, (կուտակային</w:t>
      </w:r>
      <w:r w:rsidRPr="005D1807">
        <w:rPr>
          <w:b w:val="0"/>
          <w:bCs/>
        </w:rPr>
        <w:t>)</w:t>
      </w:r>
      <w:r w:rsidRPr="005D1807">
        <w:rPr>
          <w:rFonts w:eastAsia="Calibri"/>
          <w:b w:val="0"/>
          <w:bCs/>
        </w:rPr>
        <w:footnoteReference w:id="21"/>
      </w:r>
    </w:p>
    <w:tbl>
      <w:tblPr>
        <w:tblW w:w="9071" w:type="dxa"/>
        <w:tblInd w:w="279" w:type="dxa"/>
        <w:tblBorders>
          <w:bottom w:val="single" w:sz="4" w:space="0" w:color="auto"/>
        </w:tblBorders>
        <w:tblLook w:val="04A0" w:firstRow="1" w:lastRow="0" w:firstColumn="1" w:lastColumn="0" w:noHBand="0" w:noVBand="1"/>
      </w:tblPr>
      <w:tblGrid>
        <w:gridCol w:w="2109"/>
        <w:gridCol w:w="1734"/>
        <w:gridCol w:w="1749"/>
        <w:gridCol w:w="1742"/>
        <w:gridCol w:w="1737"/>
      </w:tblGrid>
      <w:tr w:rsidR="005D1807" w:rsidRPr="005D1807" w14:paraId="22240B18" w14:textId="77777777" w:rsidTr="00D656FB">
        <w:trPr>
          <w:trHeight w:val="608"/>
        </w:trPr>
        <w:tc>
          <w:tcPr>
            <w:tcW w:w="2109" w:type="dxa"/>
            <w:vMerge w:val="restart"/>
            <w:tcBorders>
              <w:bottom w:val="nil"/>
            </w:tcBorders>
            <w:shd w:val="clear" w:color="auto" w:fill="auto"/>
            <w:vAlign w:val="center"/>
            <w:hideMark/>
          </w:tcPr>
          <w:p w14:paraId="32F3DDAC" w14:textId="77777777" w:rsidR="005D1807" w:rsidRPr="000739AC" w:rsidRDefault="005D1807" w:rsidP="005D1807">
            <w:pPr>
              <w:rPr>
                <w:rFonts w:eastAsia="Calibri"/>
                <w:b w:val="0"/>
                <w:bCs/>
                <w:sz w:val="20"/>
                <w:szCs w:val="20"/>
              </w:rPr>
            </w:pPr>
            <w:r w:rsidRPr="000739AC">
              <w:rPr>
                <w:rFonts w:eastAsia="Calibri"/>
                <w:b w:val="0"/>
                <w:bCs/>
                <w:sz w:val="20"/>
                <w:szCs w:val="20"/>
              </w:rPr>
              <w:t>Տնտեսական աճի միջակայքը, %</w:t>
            </w:r>
          </w:p>
        </w:tc>
        <w:tc>
          <w:tcPr>
            <w:tcW w:w="6962" w:type="dxa"/>
            <w:gridSpan w:val="4"/>
            <w:tcBorders>
              <w:bottom w:val="nil"/>
            </w:tcBorders>
            <w:shd w:val="clear" w:color="auto" w:fill="auto"/>
            <w:vAlign w:val="center"/>
            <w:hideMark/>
          </w:tcPr>
          <w:p w14:paraId="508BE6DA" w14:textId="77777777" w:rsidR="005D1807" w:rsidRPr="000739AC" w:rsidRDefault="005D1807" w:rsidP="005D1807">
            <w:pPr>
              <w:rPr>
                <w:rFonts w:eastAsia="Calibri"/>
                <w:b w:val="0"/>
                <w:bCs/>
                <w:sz w:val="20"/>
                <w:szCs w:val="20"/>
              </w:rPr>
            </w:pPr>
            <w:r w:rsidRPr="000739AC">
              <w:rPr>
                <w:rFonts w:eastAsia="Calibri"/>
                <w:b w:val="0"/>
                <w:bCs/>
                <w:sz w:val="20"/>
                <w:szCs w:val="20"/>
              </w:rPr>
              <w:t>Տնտեսական աճի` տվյալ միջակայքում ձևավորվելու հավանականությունը, %</w:t>
            </w:r>
          </w:p>
        </w:tc>
      </w:tr>
      <w:tr w:rsidR="005D1807" w:rsidRPr="005D1807" w14:paraId="46755768" w14:textId="77777777" w:rsidTr="00D656FB">
        <w:trPr>
          <w:trHeight w:val="530"/>
        </w:trPr>
        <w:tc>
          <w:tcPr>
            <w:tcW w:w="2109" w:type="dxa"/>
            <w:vMerge/>
            <w:tcBorders>
              <w:bottom w:val="single" w:sz="4" w:space="0" w:color="auto"/>
            </w:tcBorders>
            <w:vAlign w:val="center"/>
            <w:hideMark/>
          </w:tcPr>
          <w:p w14:paraId="5BCA5FA6" w14:textId="77777777" w:rsidR="005D1807" w:rsidRPr="000739AC" w:rsidRDefault="005D1807" w:rsidP="005D1807">
            <w:pPr>
              <w:rPr>
                <w:rFonts w:eastAsia="Calibri"/>
                <w:b w:val="0"/>
                <w:bCs/>
                <w:sz w:val="20"/>
                <w:szCs w:val="20"/>
              </w:rPr>
            </w:pPr>
          </w:p>
        </w:tc>
        <w:tc>
          <w:tcPr>
            <w:tcW w:w="1734" w:type="dxa"/>
            <w:tcBorders>
              <w:bottom w:val="single" w:sz="4" w:space="0" w:color="auto"/>
            </w:tcBorders>
            <w:shd w:val="clear" w:color="auto" w:fill="auto"/>
            <w:noWrap/>
            <w:vAlign w:val="center"/>
            <w:hideMark/>
          </w:tcPr>
          <w:p w14:paraId="7DC44B87" w14:textId="77777777" w:rsidR="005D1807" w:rsidRPr="000739AC" w:rsidRDefault="005D1807" w:rsidP="005D1807">
            <w:pPr>
              <w:rPr>
                <w:rFonts w:eastAsia="Calibri"/>
                <w:b w:val="0"/>
                <w:bCs/>
                <w:sz w:val="20"/>
                <w:szCs w:val="20"/>
              </w:rPr>
            </w:pPr>
            <w:r w:rsidRPr="000739AC">
              <w:rPr>
                <w:b w:val="0"/>
                <w:bCs/>
                <w:sz w:val="20"/>
                <w:szCs w:val="20"/>
              </w:rPr>
              <w:t>2024 I եռ.</w:t>
            </w:r>
          </w:p>
        </w:tc>
        <w:tc>
          <w:tcPr>
            <w:tcW w:w="1749" w:type="dxa"/>
            <w:tcBorders>
              <w:bottom w:val="single" w:sz="4" w:space="0" w:color="auto"/>
            </w:tcBorders>
            <w:shd w:val="clear" w:color="auto" w:fill="auto"/>
            <w:vAlign w:val="center"/>
            <w:hideMark/>
          </w:tcPr>
          <w:p w14:paraId="6E926D48" w14:textId="77777777" w:rsidR="005D1807" w:rsidRPr="000739AC" w:rsidRDefault="005D1807" w:rsidP="005D1807">
            <w:pPr>
              <w:rPr>
                <w:rFonts w:eastAsia="Calibri"/>
                <w:b w:val="0"/>
                <w:bCs/>
                <w:sz w:val="20"/>
                <w:szCs w:val="20"/>
              </w:rPr>
            </w:pPr>
            <w:r w:rsidRPr="000739AC">
              <w:rPr>
                <w:b w:val="0"/>
                <w:bCs/>
                <w:sz w:val="20"/>
                <w:szCs w:val="20"/>
              </w:rPr>
              <w:t>2024 II եռ.</w:t>
            </w:r>
          </w:p>
        </w:tc>
        <w:tc>
          <w:tcPr>
            <w:tcW w:w="1742" w:type="dxa"/>
            <w:tcBorders>
              <w:bottom w:val="single" w:sz="4" w:space="0" w:color="auto"/>
            </w:tcBorders>
            <w:shd w:val="clear" w:color="auto" w:fill="auto"/>
            <w:noWrap/>
            <w:vAlign w:val="center"/>
            <w:hideMark/>
          </w:tcPr>
          <w:p w14:paraId="02774B16" w14:textId="77777777" w:rsidR="005D1807" w:rsidRPr="000739AC" w:rsidRDefault="005D1807" w:rsidP="005D1807">
            <w:pPr>
              <w:rPr>
                <w:rFonts w:eastAsia="Calibri"/>
                <w:b w:val="0"/>
                <w:bCs/>
                <w:sz w:val="20"/>
                <w:szCs w:val="20"/>
              </w:rPr>
            </w:pPr>
            <w:r w:rsidRPr="000739AC">
              <w:rPr>
                <w:b w:val="0"/>
                <w:bCs/>
                <w:sz w:val="20"/>
                <w:szCs w:val="20"/>
              </w:rPr>
              <w:t>2024 III եռ.</w:t>
            </w:r>
          </w:p>
        </w:tc>
        <w:tc>
          <w:tcPr>
            <w:tcW w:w="1737" w:type="dxa"/>
            <w:tcBorders>
              <w:bottom w:val="single" w:sz="4" w:space="0" w:color="auto"/>
            </w:tcBorders>
            <w:shd w:val="clear" w:color="auto" w:fill="auto"/>
            <w:vAlign w:val="center"/>
            <w:hideMark/>
          </w:tcPr>
          <w:p w14:paraId="35883C12" w14:textId="77777777" w:rsidR="005D1807" w:rsidRPr="000739AC" w:rsidRDefault="005D1807" w:rsidP="005D1807">
            <w:pPr>
              <w:rPr>
                <w:rFonts w:eastAsia="Calibri"/>
                <w:b w:val="0"/>
                <w:bCs/>
                <w:sz w:val="20"/>
                <w:szCs w:val="20"/>
              </w:rPr>
            </w:pPr>
            <w:r w:rsidRPr="000739AC">
              <w:rPr>
                <w:b w:val="0"/>
                <w:bCs/>
                <w:sz w:val="20"/>
                <w:szCs w:val="20"/>
              </w:rPr>
              <w:t>2024 IV եռ.</w:t>
            </w:r>
          </w:p>
        </w:tc>
      </w:tr>
      <w:tr w:rsidR="005D1807" w:rsidRPr="005D1807" w14:paraId="2E10F3FD" w14:textId="77777777" w:rsidTr="00D656FB">
        <w:trPr>
          <w:trHeight w:val="257"/>
        </w:trPr>
        <w:tc>
          <w:tcPr>
            <w:tcW w:w="2109" w:type="dxa"/>
            <w:tcBorders>
              <w:top w:val="single" w:sz="4" w:space="0" w:color="auto"/>
            </w:tcBorders>
            <w:shd w:val="clear" w:color="auto" w:fill="auto"/>
            <w:noWrap/>
            <w:vAlign w:val="bottom"/>
            <w:hideMark/>
          </w:tcPr>
          <w:p w14:paraId="1EA70B99" w14:textId="77777777" w:rsidR="005D1807" w:rsidRPr="000739AC" w:rsidRDefault="005D1807" w:rsidP="005D1807">
            <w:pPr>
              <w:rPr>
                <w:b w:val="0"/>
                <w:bCs/>
                <w:sz w:val="20"/>
                <w:szCs w:val="20"/>
              </w:rPr>
            </w:pPr>
            <w:r w:rsidRPr="000739AC">
              <w:rPr>
                <w:b w:val="0"/>
                <w:bCs/>
                <w:sz w:val="20"/>
                <w:szCs w:val="20"/>
              </w:rPr>
              <w:t>2-4</w:t>
            </w:r>
          </w:p>
        </w:tc>
        <w:tc>
          <w:tcPr>
            <w:tcW w:w="1734" w:type="dxa"/>
            <w:tcBorders>
              <w:top w:val="single" w:sz="4" w:space="0" w:color="auto"/>
            </w:tcBorders>
            <w:shd w:val="clear" w:color="auto" w:fill="auto"/>
            <w:noWrap/>
            <w:hideMark/>
          </w:tcPr>
          <w:p w14:paraId="0974A5C2" w14:textId="77777777" w:rsidR="005D1807" w:rsidRPr="000739AC" w:rsidRDefault="005D1807" w:rsidP="005D1807">
            <w:pPr>
              <w:rPr>
                <w:b w:val="0"/>
                <w:bCs/>
                <w:sz w:val="20"/>
                <w:szCs w:val="20"/>
              </w:rPr>
            </w:pPr>
            <w:r w:rsidRPr="000739AC">
              <w:rPr>
                <w:b w:val="0"/>
                <w:bCs/>
                <w:sz w:val="20"/>
                <w:szCs w:val="20"/>
              </w:rPr>
              <w:t>0.16</w:t>
            </w:r>
          </w:p>
        </w:tc>
        <w:tc>
          <w:tcPr>
            <w:tcW w:w="1749" w:type="dxa"/>
            <w:tcBorders>
              <w:top w:val="single" w:sz="4" w:space="0" w:color="auto"/>
            </w:tcBorders>
            <w:shd w:val="clear" w:color="auto" w:fill="auto"/>
            <w:noWrap/>
            <w:hideMark/>
          </w:tcPr>
          <w:p w14:paraId="5B07A74A" w14:textId="77777777" w:rsidR="005D1807" w:rsidRPr="000739AC" w:rsidRDefault="005D1807" w:rsidP="005D1807">
            <w:pPr>
              <w:rPr>
                <w:b w:val="0"/>
                <w:bCs/>
                <w:sz w:val="20"/>
                <w:szCs w:val="20"/>
              </w:rPr>
            </w:pPr>
            <w:r w:rsidRPr="000739AC">
              <w:rPr>
                <w:b w:val="0"/>
                <w:bCs/>
                <w:sz w:val="20"/>
                <w:szCs w:val="20"/>
              </w:rPr>
              <w:t>0.16</w:t>
            </w:r>
          </w:p>
        </w:tc>
        <w:tc>
          <w:tcPr>
            <w:tcW w:w="1742" w:type="dxa"/>
            <w:tcBorders>
              <w:top w:val="single" w:sz="4" w:space="0" w:color="auto"/>
            </w:tcBorders>
            <w:shd w:val="clear" w:color="auto" w:fill="auto"/>
            <w:noWrap/>
            <w:hideMark/>
          </w:tcPr>
          <w:p w14:paraId="4FA9BB57" w14:textId="77777777" w:rsidR="005D1807" w:rsidRPr="000739AC" w:rsidRDefault="005D1807" w:rsidP="005D1807">
            <w:pPr>
              <w:rPr>
                <w:b w:val="0"/>
                <w:bCs/>
                <w:sz w:val="20"/>
                <w:szCs w:val="20"/>
              </w:rPr>
            </w:pPr>
            <w:r w:rsidRPr="000739AC">
              <w:rPr>
                <w:b w:val="0"/>
                <w:bCs/>
                <w:sz w:val="20"/>
                <w:szCs w:val="20"/>
              </w:rPr>
              <w:t>0.16</w:t>
            </w:r>
          </w:p>
        </w:tc>
        <w:tc>
          <w:tcPr>
            <w:tcW w:w="1737" w:type="dxa"/>
            <w:tcBorders>
              <w:top w:val="single" w:sz="4" w:space="0" w:color="auto"/>
            </w:tcBorders>
            <w:shd w:val="clear" w:color="auto" w:fill="auto"/>
            <w:noWrap/>
            <w:hideMark/>
          </w:tcPr>
          <w:p w14:paraId="3D84E34E" w14:textId="77777777" w:rsidR="005D1807" w:rsidRPr="000739AC" w:rsidRDefault="005D1807" w:rsidP="005D1807">
            <w:pPr>
              <w:rPr>
                <w:b w:val="0"/>
                <w:bCs/>
                <w:sz w:val="20"/>
                <w:szCs w:val="20"/>
              </w:rPr>
            </w:pPr>
            <w:r w:rsidRPr="000739AC">
              <w:rPr>
                <w:b w:val="0"/>
                <w:bCs/>
                <w:sz w:val="20"/>
                <w:szCs w:val="20"/>
              </w:rPr>
              <w:t>0.16</w:t>
            </w:r>
          </w:p>
        </w:tc>
      </w:tr>
      <w:tr w:rsidR="005D1807" w:rsidRPr="005D1807" w14:paraId="58B581C6" w14:textId="77777777" w:rsidTr="00D656FB">
        <w:trPr>
          <w:trHeight w:val="275"/>
        </w:trPr>
        <w:tc>
          <w:tcPr>
            <w:tcW w:w="2109" w:type="dxa"/>
            <w:shd w:val="clear" w:color="auto" w:fill="auto"/>
            <w:noWrap/>
            <w:vAlign w:val="bottom"/>
            <w:hideMark/>
          </w:tcPr>
          <w:p w14:paraId="5B6D03C8" w14:textId="77777777" w:rsidR="005D1807" w:rsidRPr="000739AC" w:rsidRDefault="005D1807" w:rsidP="005D1807">
            <w:pPr>
              <w:rPr>
                <w:b w:val="0"/>
                <w:bCs/>
                <w:sz w:val="20"/>
                <w:szCs w:val="20"/>
              </w:rPr>
            </w:pPr>
            <w:r w:rsidRPr="000739AC">
              <w:rPr>
                <w:b w:val="0"/>
                <w:bCs/>
                <w:sz w:val="20"/>
                <w:szCs w:val="20"/>
              </w:rPr>
              <w:t>4-6</w:t>
            </w:r>
          </w:p>
        </w:tc>
        <w:tc>
          <w:tcPr>
            <w:tcW w:w="1734" w:type="dxa"/>
            <w:shd w:val="clear" w:color="auto" w:fill="auto"/>
            <w:noWrap/>
            <w:hideMark/>
          </w:tcPr>
          <w:p w14:paraId="0036E574" w14:textId="77777777" w:rsidR="005D1807" w:rsidRPr="000739AC" w:rsidRDefault="005D1807" w:rsidP="005D1807">
            <w:pPr>
              <w:rPr>
                <w:b w:val="0"/>
                <w:bCs/>
                <w:sz w:val="20"/>
                <w:szCs w:val="20"/>
              </w:rPr>
            </w:pPr>
            <w:r w:rsidRPr="000739AC">
              <w:rPr>
                <w:b w:val="0"/>
                <w:bCs/>
                <w:sz w:val="20"/>
                <w:szCs w:val="20"/>
              </w:rPr>
              <w:t>0.25</w:t>
            </w:r>
          </w:p>
        </w:tc>
        <w:tc>
          <w:tcPr>
            <w:tcW w:w="1749" w:type="dxa"/>
            <w:shd w:val="clear" w:color="auto" w:fill="auto"/>
            <w:noWrap/>
            <w:hideMark/>
          </w:tcPr>
          <w:p w14:paraId="550D45CB" w14:textId="77777777" w:rsidR="005D1807" w:rsidRPr="000739AC" w:rsidRDefault="005D1807" w:rsidP="005D1807">
            <w:pPr>
              <w:rPr>
                <w:b w:val="0"/>
                <w:bCs/>
                <w:sz w:val="20"/>
                <w:szCs w:val="20"/>
              </w:rPr>
            </w:pPr>
            <w:r w:rsidRPr="000739AC">
              <w:rPr>
                <w:b w:val="0"/>
                <w:bCs/>
                <w:sz w:val="20"/>
                <w:szCs w:val="20"/>
              </w:rPr>
              <w:t>0.24</w:t>
            </w:r>
          </w:p>
        </w:tc>
        <w:tc>
          <w:tcPr>
            <w:tcW w:w="1742" w:type="dxa"/>
            <w:shd w:val="clear" w:color="auto" w:fill="auto"/>
            <w:noWrap/>
            <w:hideMark/>
          </w:tcPr>
          <w:p w14:paraId="793B4E7E" w14:textId="77777777" w:rsidR="005D1807" w:rsidRPr="000739AC" w:rsidRDefault="005D1807" w:rsidP="005D1807">
            <w:pPr>
              <w:rPr>
                <w:b w:val="0"/>
                <w:bCs/>
                <w:sz w:val="20"/>
                <w:szCs w:val="20"/>
              </w:rPr>
            </w:pPr>
            <w:r w:rsidRPr="000739AC">
              <w:rPr>
                <w:b w:val="0"/>
                <w:bCs/>
                <w:sz w:val="20"/>
                <w:szCs w:val="20"/>
              </w:rPr>
              <w:t>0.23</w:t>
            </w:r>
          </w:p>
        </w:tc>
        <w:tc>
          <w:tcPr>
            <w:tcW w:w="1737" w:type="dxa"/>
            <w:shd w:val="clear" w:color="auto" w:fill="auto"/>
            <w:noWrap/>
            <w:hideMark/>
          </w:tcPr>
          <w:p w14:paraId="733F2684" w14:textId="77777777" w:rsidR="005D1807" w:rsidRPr="000739AC" w:rsidRDefault="005D1807" w:rsidP="005D1807">
            <w:pPr>
              <w:rPr>
                <w:b w:val="0"/>
                <w:bCs/>
                <w:sz w:val="20"/>
                <w:szCs w:val="20"/>
              </w:rPr>
            </w:pPr>
            <w:r w:rsidRPr="000739AC">
              <w:rPr>
                <w:b w:val="0"/>
                <w:bCs/>
                <w:sz w:val="20"/>
                <w:szCs w:val="20"/>
              </w:rPr>
              <w:t>0.23</w:t>
            </w:r>
          </w:p>
        </w:tc>
      </w:tr>
      <w:tr w:rsidR="005D1807" w:rsidRPr="005D1807" w14:paraId="44B14B0C" w14:textId="77777777" w:rsidTr="00D656FB">
        <w:trPr>
          <w:trHeight w:val="279"/>
        </w:trPr>
        <w:tc>
          <w:tcPr>
            <w:tcW w:w="2109" w:type="dxa"/>
            <w:shd w:val="clear" w:color="auto" w:fill="auto"/>
            <w:noWrap/>
            <w:vAlign w:val="bottom"/>
            <w:hideMark/>
          </w:tcPr>
          <w:p w14:paraId="46407174" w14:textId="77777777" w:rsidR="005D1807" w:rsidRPr="000739AC" w:rsidRDefault="005D1807" w:rsidP="005D1807">
            <w:pPr>
              <w:rPr>
                <w:b w:val="0"/>
                <w:bCs/>
                <w:sz w:val="20"/>
                <w:szCs w:val="20"/>
              </w:rPr>
            </w:pPr>
            <w:r w:rsidRPr="000739AC">
              <w:rPr>
                <w:b w:val="0"/>
                <w:bCs/>
                <w:sz w:val="20"/>
                <w:szCs w:val="20"/>
              </w:rPr>
              <w:t>6-8</w:t>
            </w:r>
          </w:p>
        </w:tc>
        <w:tc>
          <w:tcPr>
            <w:tcW w:w="1734" w:type="dxa"/>
            <w:shd w:val="clear" w:color="auto" w:fill="auto"/>
            <w:noWrap/>
            <w:hideMark/>
          </w:tcPr>
          <w:p w14:paraId="314D57E4" w14:textId="77777777" w:rsidR="005D1807" w:rsidRPr="000739AC" w:rsidRDefault="005D1807" w:rsidP="005D1807">
            <w:pPr>
              <w:rPr>
                <w:b w:val="0"/>
                <w:bCs/>
                <w:sz w:val="20"/>
                <w:szCs w:val="20"/>
              </w:rPr>
            </w:pPr>
            <w:r w:rsidRPr="000739AC">
              <w:rPr>
                <w:b w:val="0"/>
                <w:bCs/>
                <w:sz w:val="20"/>
                <w:szCs w:val="20"/>
              </w:rPr>
              <w:t>0.28</w:t>
            </w:r>
          </w:p>
        </w:tc>
        <w:tc>
          <w:tcPr>
            <w:tcW w:w="1749" w:type="dxa"/>
            <w:shd w:val="clear" w:color="auto" w:fill="auto"/>
            <w:noWrap/>
            <w:hideMark/>
          </w:tcPr>
          <w:p w14:paraId="7F319D1E" w14:textId="77777777" w:rsidR="005D1807" w:rsidRPr="000739AC" w:rsidRDefault="005D1807" w:rsidP="005D1807">
            <w:pPr>
              <w:rPr>
                <w:b w:val="0"/>
                <w:bCs/>
                <w:sz w:val="20"/>
                <w:szCs w:val="20"/>
              </w:rPr>
            </w:pPr>
            <w:r w:rsidRPr="000739AC">
              <w:rPr>
                <w:b w:val="0"/>
                <w:bCs/>
                <w:sz w:val="20"/>
                <w:szCs w:val="20"/>
              </w:rPr>
              <w:t>0.27</w:t>
            </w:r>
          </w:p>
        </w:tc>
        <w:tc>
          <w:tcPr>
            <w:tcW w:w="1742" w:type="dxa"/>
            <w:shd w:val="clear" w:color="auto" w:fill="auto"/>
            <w:noWrap/>
            <w:hideMark/>
          </w:tcPr>
          <w:p w14:paraId="2D657931" w14:textId="77777777" w:rsidR="005D1807" w:rsidRPr="000739AC" w:rsidRDefault="005D1807" w:rsidP="005D1807">
            <w:pPr>
              <w:rPr>
                <w:b w:val="0"/>
                <w:bCs/>
                <w:sz w:val="20"/>
                <w:szCs w:val="20"/>
              </w:rPr>
            </w:pPr>
            <w:r w:rsidRPr="000739AC">
              <w:rPr>
                <w:b w:val="0"/>
                <w:bCs/>
                <w:sz w:val="20"/>
                <w:szCs w:val="20"/>
              </w:rPr>
              <w:t>0.26</w:t>
            </w:r>
          </w:p>
        </w:tc>
        <w:tc>
          <w:tcPr>
            <w:tcW w:w="1737" w:type="dxa"/>
            <w:shd w:val="clear" w:color="auto" w:fill="auto"/>
            <w:noWrap/>
            <w:hideMark/>
          </w:tcPr>
          <w:p w14:paraId="28E718DB" w14:textId="77777777" w:rsidR="005D1807" w:rsidRPr="000739AC" w:rsidRDefault="005D1807" w:rsidP="005D1807">
            <w:pPr>
              <w:rPr>
                <w:b w:val="0"/>
                <w:bCs/>
                <w:sz w:val="20"/>
                <w:szCs w:val="20"/>
              </w:rPr>
            </w:pPr>
            <w:r w:rsidRPr="000739AC">
              <w:rPr>
                <w:b w:val="0"/>
                <w:bCs/>
                <w:sz w:val="20"/>
                <w:szCs w:val="20"/>
              </w:rPr>
              <w:t>0.25</w:t>
            </w:r>
          </w:p>
        </w:tc>
      </w:tr>
      <w:tr w:rsidR="005D1807" w:rsidRPr="005D1807" w14:paraId="2C8EAB02" w14:textId="77777777" w:rsidTr="00D656FB">
        <w:trPr>
          <w:trHeight w:val="283"/>
        </w:trPr>
        <w:tc>
          <w:tcPr>
            <w:tcW w:w="2109" w:type="dxa"/>
            <w:shd w:val="clear" w:color="auto" w:fill="auto"/>
            <w:noWrap/>
            <w:vAlign w:val="bottom"/>
            <w:hideMark/>
          </w:tcPr>
          <w:p w14:paraId="6098DBC1" w14:textId="77777777" w:rsidR="005D1807" w:rsidRPr="000739AC" w:rsidRDefault="005D1807" w:rsidP="005D1807">
            <w:pPr>
              <w:rPr>
                <w:b w:val="0"/>
                <w:bCs/>
                <w:sz w:val="20"/>
                <w:szCs w:val="20"/>
              </w:rPr>
            </w:pPr>
            <w:r w:rsidRPr="000739AC">
              <w:rPr>
                <w:b w:val="0"/>
                <w:bCs/>
                <w:sz w:val="20"/>
                <w:szCs w:val="20"/>
              </w:rPr>
              <w:t>8-10</w:t>
            </w:r>
          </w:p>
        </w:tc>
        <w:tc>
          <w:tcPr>
            <w:tcW w:w="1734" w:type="dxa"/>
            <w:shd w:val="clear" w:color="auto" w:fill="auto"/>
            <w:noWrap/>
            <w:hideMark/>
          </w:tcPr>
          <w:p w14:paraId="6333777E" w14:textId="77777777" w:rsidR="005D1807" w:rsidRPr="000739AC" w:rsidRDefault="005D1807" w:rsidP="005D1807">
            <w:pPr>
              <w:rPr>
                <w:b w:val="0"/>
                <w:bCs/>
                <w:sz w:val="20"/>
                <w:szCs w:val="20"/>
              </w:rPr>
            </w:pPr>
            <w:r w:rsidRPr="000739AC">
              <w:rPr>
                <w:b w:val="0"/>
                <w:bCs/>
                <w:sz w:val="20"/>
                <w:szCs w:val="20"/>
              </w:rPr>
              <w:t>0.16</w:t>
            </w:r>
          </w:p>
        </w:tc>
        <w:tc>
          <w:tcPr>
            <w:tcW w:w="1749" w:type="dxa"/>
            <w:shd w:val="clear" w:color="auto" w:fill="auto"/>
            <w:noWrap/>
            <w:hideMark/>
          </w:tcPr>
          <w:p w14:paraId="487C0AB1" w14:textId="77777777" w:rsidR="005D1807" w:rsidRPr="000739AC" w:rsidRDefault="005D1807" w:rsidP="005D1807">
            <w:pPr>
              <w:rPr>
                <w:b w:val="0"/>
                <w:bCs/>
                <w:sz w:val="20"/>
                <w:szCs w:val="20"/>
              </w:rPr>
            </w:pPr>
            <w:r w:rsidRPr="000739AC">
              <w:rPr>
                <w:b w:val="0"/>
                <w:bCs/>
                <w:sz w:val="20"/>
                <w:szCs w:val="20"/>
              </w:rPr>
              <w:t>0.16</w:t>
            </w:r>
          </w:p>
        </w:tc>
        <w:tc>
          <w:tcPr>
            <w:tcW w:w="1742" w:type="dxa"/>
            <w:shd w:val="clear" w:color="auto" w:fill="auto"/>
            <w:noWrap/>
            <w:hideMark/>
          </w:tcPr>
          <w:p w14:paraId="59B3140C" w14:textId="77777777" w:rsidR="005D1807" w:rsidRPr="000739AC" w:rsidRDefault="005D1807" w:rsidP="005D1807">
            <w:pPr>
              <w:rPr>
                <w:b w:val="0"/>
                <w:bCs/>
                <w:sz w:val="20"/>
                <w:szCs w:val="20"/>
              </w:rPr>
            </w:pPr>
            <w:r w:rsidRPr="000739AC">
              <w:rPr>
                <w:b w:val="0"/>
                <w:bCs/>
                <w:sz w:val="20"/>
                <w:szCs w:val="20"/>
              </w:rPr>
              <w:t>0.17</w:t>
            </w:r>
          </w:p>
        </w:tc>
        <w:tc>
          <w:tcPr>
            <w:tcW w:w="1737" w:type="dxa"/>
            <w:shd w:val="clear" w:color="auto" w:fill="auto"/>
            <w:noWrap/>
            <w:hideMark/>
          </w:tcPr>
          <w:p w14:paraId="4614F1D7" w14:textId="77777777" w:rsidR="005D1807" w:rsidRPr="000739AC" w:rsidRDefault="005D1807" w:rsidP="005D1807">
            <w:pPr>
              <w:rPr>
                <w:b w:val="0"/>
                <w:bCs/>
                <w:sz w:val="20"/>
                <w:szCs w:val="20"/>
              </w:rPr>
            </w:pPr>
            <w:r w:rsidRPr="000739AC">
              <w:rPr>
                <w:b w:val="0"/>
                <w:bCs/>
                <w:sz w:val="20"/>
                <w:szCs w:val="20"/>
              </w:rPr>
              <w:t>0.17</w:t>
            </w:r>
          </w:p>
        </w:tc>
      </w:tr>
    </w:tbl>
    <w:p w14:paraId="0D97D720" w14:textId="470AF036" w:rsidR="005D1807" w:rsidRPr="005D1807" w:rsidRDefault="005D1807" w:rsidP="005D1807">
      <w:pPr>
        <w:rPr>
          <w:b w:val="0"/>
          <w:bCs/>
        </w:rPr>
      </w:pPr>
      <w:r w:rsidRPr="005D1807">
        <w:rPr>
          <w:rFonts w:eastAsia="Calibri"/>
          <w:b w:val="0"/>
          <w:bCs/>
        </w:rPr>
        <w:t>Ինչպես երևում է Գծապատկեր 1.32-ից, 2023թ.</w:t>
      </w:r>
      <w:r w:rsidRPr="005D1807" w:rsidDel="00301E27">
        <w:rPr>
          <w:rFonts w:eastAsia="Calibri"/>
          <w:b w:val="0"/>
          <w:bCs/>
        </w:rPr>
        <w:t xml:space="preserve"> </w:t>
      </w:r>
      <w:r w:rsidRPr="005D1807">
        <w:rPr>
          <w:rFonts w:eastAsia="Calibri"/>
          <w:b w:val="0"/>
          <w:bCs/>
        </w:rPr>
        <w:t xml:space="preserve">տնտեսական աճի ձևավորման ամենաբարձր հավանականությունը գտնվում է 6-8% միջակայքում (Աղյուսակ 1.4-ում այն հոծ նշումով է), իսկ իրական ՀՆԱ-ի տարեկան աճի կենտրոնական կանխատեսումներից շեղման ռիսկերը ուղղված են դեպի ներքև: </w:t>
      </w:r>
    </w:p>
    <w:tbl>
      <w:tblPr>
        <w:tblStyle w:val="TableGrid1213"/>
        <w:tblpPr w:leftFromText="180" w:rightFromText="180" w:horzAnchor="margin" w:tblpXSpec="center" w:tblpY="540"/>
        <w:tblW w:w="10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31"/>
      </w:tblGrid>
      <w:tr w:rsidR="005D1807" w:rsidRPr="005D1807" w14:paraId="1A939B1C" w14:textId="77777777" w:rsidTr="00D656FB">
        <w:trPr>
          <w:trHeight w:val="9147"/>
        </w:trPr>
        <w:tc>
          <w:tcPr>
            <w:tcW w:w="10931" w:type="dxa"/>
          </w:tcPr>
          <w:p w14:paraId="1524A26C" w14:textId="28D9BC53" w:rsidR="005D1807" w:rsidRPr="000739AC" w:rsidRDefault="005D1807" w:rsidP="000739AC">
            <w:pPr>
              <w:spacing w:line="240" w:lineRule="auto"/>
              <w:rPr>
                <w:rFonts w:eastAsia="Calibri"/>
                <w:b w:val="0"/>
                <w:bCs/>
                <w:szCs w:val="22"/>
              </w:rPr>
            </w:pPr>
            <w:r w:rsidRPr="000739AC">
              <w:rPr>
                <w:rFonts w:eastAsia="Calibri"/>
                <w:szCs w:val="22"/>
              </w:rPr>
              <w:lastRenderedPageBreak/>
              <w:t>Աղյուսակ 1.5.</w:t>
            </w:r>
            <w:r w:rsidRPr="000739AC">
              <w:rPr>
                <w:rFonts w:eastAsia="Calibri"/>
                <w:b w:val="0"/>
                <w:bCs/>
                <w:szCs w:val="22"/>
              </w:rPr>
              <w:t xml:space="preserve"> ՀՆԱ-ի կանխատեսումները 2024-2026 թթ. ՄԺԾԾ-ով  և 2023թ. և 2024թ. </w:t>
            </w:r>
          </w:p>
          <w:p w14:paraId="3977BAC3" w14:textId="77777777" w:rsidR="005D1807" w:rsidRPr="000739AC" w:rsidRDefault="005D1807" w:rsidP="000739AC">
            <w:pPr>
              <w:spacing w:line="240" w:lineRule="auto"/>
              <w:rPr>
                <w:rFonts w:eastAsia="Calibri"/>
                <w:b w:val="0"/>
                <w:bCs/>
                <w:szCs w:val="22"/>
              </w:rPr>
            </w:pPr>
            <w:r w:rsidRPr="000739AC">
              <w:rPr>
                <w:rFonts w:eastAsia="Calibri"/>
                <w:b w:val="0"/>
                <w:bCs/>
                <w:szCs w:val="22"/>
              </w:rPr>
              <w:t>պետական բյուջեներով</w:t>
            </w:r>
          </w:p>
          <w:tbl>
            <w:tblPr>
              <w:tblW w:w="9437" w:type="dxa"/>
              <w:tblInd w:w="508" w:type="dxa"/>
              <w:tblLook w:val="04A0" w:firstRow="1" w:lastRow="0" w:firstColumn="1" w:lastColumn="0" w:noHBand="0" w:noVBand="1"/>
            </w:tblPr>
            <w:tblGrid>
              <w:gridCol w:w="2052"/>
              <w:gridCol w:w="2478"/>
              <w:gridCol w:w="1585"/>
              <w:gridCol w:w="1890"/>
              <w:gridCol w:w="1432"/>
            </w:tblGrid>
            <w:tr w:rsidR="005D1807" w:rsidRPr="000739AC" w14:paraId="27BD4A4D" w14:textId="77777777" w:rsidTr="00535E30">
              <w:trPr>
                <w:trHeight w:val="303"/>
              </w:trPr>
              <w:tc>
                <w:tcPr>
                  <w:tcW w:w="2052" w:type="dxa"/>
                  <w:vMerge w:val="restart"/>
                  <w:tcBorders>
                    <w:bottom w:val="single" w:sz="4" w:space="0" w:color="auto"/>
                  </w:tcBorders>
                  <w:shd w:val="clear" w:color="auto" w:fill="auto"/>
                  <w:noWrap/>
                  <w:vAlign w:val="center"/>
                  <w:hideMark/>
                </w:tcPr>
                <w:p w14:paraId="4144A727"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Ցուցանիշներ</w:t>
                  </w:r>
                </w:p>
              </w:tc>
              <w:tc>
                <w:tcPr>
                  <w:tcW w:w="2478" w:type="dxa"/>
                  <w:vMerge w:val="restart"/>
                  <w:tcBorders>
                    <w:bottom w:val="single" w:sz="4" w:space="0" w:color="auto"/>
                  </w:tcBorders>
                  <w:shd w:val="clear" w:color="auto" w:fill="auto"/>
                  <w:vAlign w:val="center"/>
                  <w:hideMark/>
                </w:tcPr>
                <w:p w14:paraId="01CD549F"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Ծրագիր</w:t>
                  </w:r>
                </w:p>
              </w:tc>
              <w:tc>
                <w:tcPr>
                  <w:tcW w:w="1585" w:type="dxa"/>
                  <w:tcBorders>
                    <w:bottom w:val="single" w:sz="4" w:space="0" w:color="auto"/>
                  </w:tcBorders>
                  <w:shd w:val="clear" w:color="auto" w:fill="auto"/>
                  <w:vAlign w:val="center"/>
                </w:tcPr>
                <w:p w14:paraId="3D33F5E2"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2022</w:t>
                  </w:r>
                </w:p>
              </w:tc>
              <w:tc>
                <w:tcPr>
                  <w:tcW w:w="1890" w:type="dxa"/>
                  <w:tcBorders>
                    <w:bottom w:val="single" w:sz="4" w:space="0" w:color="auto"/>
                  </w:tcBorders>
                  <w:shd w:val="clear" w:color="auto" w:fill="auto"/>
                  <w:vAlign w:val="center"/>
                  <w:hideMark/>
                </w:tcPr>
                <w:p w14:paraId="0D6CB9B2"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2023</w:t>
                  </w:r>
                </w:p>
              </w:tc>
              <w:tc>
                <w:tcPr>
                  <w:tcW w:w="1432" w:type="dxa"/>
                  <w:tcBorders>
                    <w:bottom w:val="single" w:sz="4" w:space="0" w:color="auto"/>
                  </w:tcBorders>
                  <w:shd w:val="clear" w:color="auto" w:fill="auto"/>
                  <w:vAlign w:val="center"/>
                  <w:hideMark/>
                </w:tcPr>
                <w:p w14:paraId="1F1C9CEF"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w:t>
                  </w:r>
                </w:p>
              </w:tc>
            </w:tr>
            <w:tr w:rsidR="005D1807" w:rsidRPr="000739AC" w14:paraId="0DACC55D" w14:textId="77777777" w:rsidTr="00535E30">
              <w:trPr>
                <w:trHeight w:val="303"/>
              </w:trPr>
              <w:tc>
                <w:tcPr>
                  <w:tcW w:w="2052" w:type="dxa"/>
                  <w:vMerge/>
                  <w:tcBorders>
                    <w:top w:val="single" w:sz="4" w:space="0" w:color="auto"/>
                  </w:tcBorders>
                  <w:shd w:val="clear" w:color="auto" w:fill="auto"/>
                  <w:vAlign w:val="center"/>
                  <w:hideMark/>
                </w:tcPr>
                <w:p w14:paraId="23D83EC5" w14:textId="77777777" w:rsidR="005D1807" w:rsidRPr="000739AC" w:rsidRDefault="005D1807" w:rsidP="00933CA4">
                  <w:pPr>
                    <w:framePr w:hSpace="180" w:wrap="around" w:hAnchor="margin" w:xAlign="center" w:y="540"/>
                    <w:spacing w:line="240" w:lineRule="auto"/>
                    <w:rPr>
                      <w:b w:val="0"/>
                      <w:bCs/>
                      <w:sz w:val="20"/>
                      <w:szCs w:val="20"/>
                    </w:rPr>
                  </w:pPr>
                </w:p>
              </w:tc>
              <w:tc>
                <w:tcPr>
                  <w:tcW w:w="2478" w:type="dxa"/>
                  <w:vMerge/>
                  <w:tcBorders>
                    <w:top w:val="single" w:sz="4" w:space="0" w:color="auto"/>
                  </w:tcBorders>
                  <w:shd w:val="clear" w:color="auto" w:fill="auto"/>
                  <w:vAlign w:val="center"/>
                  <w:hideMark/>
                </w:tcPr>
                <w:p w14:paraId="39ECDA64" w14:textId="77777777" w:rsidR="005D1807" w:rsidRPr="000739AC" w:rsidRDefault="005D1807" w:rsidP="00933CA4">
                  <w:pPr>
                    <w:framePr w:hSpace="180" w:wrap="around" w:hAnchor="margin" w:xAlign="center" w:y="540"/>
                    <w:spacing w:line="240" w:lineRule="auto"/>
                    <w:rPr>
                      <w:b w:val="0"/>
                      <w:bCs/>
                      <w:sz w:val="20"/>
                      <w:szCs w:val="20"/>
                    </w:rPr>
                  </w:pPr>
                </w:p>
              </w:tc>
              <w:tc>
                <w:tcPr>
                  <w:tcW w:w="1585" w:type="dxa"/>
                  <w:tcBorders>
                    <w:top w:val="single" w:sz="4" w:space="0" w:color="auto"/>
                  </w:tcBorders>
                  <w:shd w:val="clear" w:color="auto" w:fill="auto"/>
                  <w:vAlign w:val="center"/>
                </w:tcPr>
                <w:p w14:paraId="4E830B77"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փաստ*/կանխ.</w:t>
                  </w:r>
                </w:p>
              </w:tc>
              <w:tc>
                <w:tcPr>
                  <w:tcW w:w="1890" w:type="dxa"/>
                  <w:tcBorders>
                    <w:top w:val="single" w:sz="4" w:space="0" w:color="auto"/>
                  </w:tcBorders>
                  <w:shd w:val="clear" w:color="auto" w:fill="auto"/>
                  <w:vAlign w:val="center"/>
                  <w:hideMark/>
                </w:tcPr>
                <w:p w14:paraId="145BA59B"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կանխ.</w:t>
                  </w:r>
                </w:p>
              </w:tc>
              <w:tc>
                <w:tcPr>
                  <w:tcW w:w="1432" w:type="dxa"/>
                  <w:tcBorders>
                    <w:top w:val="single" w:sz="4" w:space="0" w:color="auto"/>
                  </w:tcBorders>
                  <w:shd w:val="clear" w:color="auto" w:fill="auto"/>
                  <w:vAlign w:val="center"/>
                  <w:hideMark/>
                </w:tcPr>
                <w:p w14:paraId="1AECE8D4"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կանխ.</w:t>
                  </w:r>
                </w:p>
              </w:tc>
            </w:tr>
            <w:tr w:rsidR="005D1807" w:rsidRPr="000739AC" w14:paraId="07D2FE98" w14:textId="77777777" w:rsidTr="00535E30">
              <w:trPr>
                <w:trHeight w:val="303"/>
              </w:trPr>
              <w:tc>
                <w:tcPr>
                  <w:tcW w:w="2052" w:type="dxa"/>
                  <w:vMerge w:val="restart"/>
                  <w:shd w:val="clear" w:color="auto" w:fill="auto"/>
                  <w:vAlign w:val="center"/>
                </w:tcPr>
                <w:p w14:paraId="381C4B0A"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Անվանական ՀՆԱ, մլրդ դրամ</w:t>
                  </w:r>
                </w:p>
              </w:tc>
              <w:tc>
                <w:tcPr>
                  <w:tcW w:w="2478" w:type="dxa"/>
                  <w:shd w:val="clear" w:color="auto" w:fill="auto"/>
                  <w:vAlign w:val="center"/>
                </w:tcPr>
                <w:p w14:paraId="307798B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 Պետական բյուջե</w:t>
                  </w:r>
                </w:p>
              </w:tc>
              <w:tc>
                <w:tcPr>
                  <w:tcW w:w="1585" w:type="dxa"/>
                  <w:shd w:val="clear" w:color="auto" w:fill="auto"/>
                </w:tcPr>
                <w:p w14:paraId="7729CB3D"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8,501.4</w:t>
                  </w:r>
                </w:p>
              </w:tc>
              <w:tc>
                <w:tcPr>
                  <w:tcW w:w="1890" w:type="dxa"/>
                  <w:shd w:val="clear" w:color="auto" w:fill="auto"/>
                  <w:noWrap/>
                </w:tcPr>
                <w:p w14:paraId="1966D68D"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9,450.8</w:t>
                  </w:r>
                </w:p>
              </w:tc>
              <w:tc>
                <w:tcPr>
                  <w:tcW w:w="1432" w:type="dxa"/>
                  <w:shd w:val="clear" w:color="auto" w:fill="auto"/>
                </w:tcPr>
                <w:p w14:paraId="1941AE9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10,517.0</w:t>
                  </w:r>
                </w:p>
              </w:tc>
            </w:tr>
            <w:tr w:rsidR="005D1807" w:rsidRPr="000739AC" w14:paraId="3FDDBA7C" w14:textId="77777777" w:rsidTr="00535E30">
              <w:trPr>
                <w:trHeight w:val="303"/>
              </w:trPr>
              <w:tc>
                <w:tcPr>
                  <w:tcW w:w="2052" w:type="dxa"/>
                  <w:vMerge/>
                  <w:shd w:val="clear" w:color="auto" w:fill="auto"/>
                  <w:vAlign w:val="center"/>
                  <w:hideMark/>
                </w:tcPr>
                <w:p w14:paraId="447DC1BE" w14:textId="77777777" w:rsidR="005D1807" w:rsidRPr="000739AC" w:rsidRDefault="005D1807" w:rsidP="00933CA4">
                  <w:pPr>
                    <w:framePr w:hSpace="180" w:wrap="around" w:hAnchor="margin" w:xAlign="center" w:y="540"/>
                    <w:spacing w:line="240" w:lineRule="auto"/>
                    <w:rPr>
                      <w:b w:val="0"/>
                      <w:bCs/>
                      <w:sz w:val="20"/>
                      <w:szCs w:val="20"/>
                    </w:rPr>
                  </w:pPr>
                </w:p>
              </w:tc>
              <w:tc>
                <w:tcPr>
                  <w:tcW w:w="2478" w:type="dxa"/>
                  <w:shd w:val="clear" w:color="auto" w:fill="auto"/>
                  <w:vAlign w:val="center"/>
                  <w:hideMark/>
                </w:tcPr>
                <w:p w14:paraId="277E7C87"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2024-2026 ՄԺԾԾ</w:t>
                  </w:r>
                </w:p>
              </w:tc>
              <w:tc>
                <w:tcPr>
                  <w:tcW w:w="1585" w:type="dxa"/>
                  <w:shd w:val="clear" w:color="auto" w:fill="auto"/>
                </w:tcPr>
                <w:p w14:paraId="3A7C0D1A"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8501.4</w:t>
                  </w:r>
                </w:p>
              </w:tc>
              <w:tc>
                <w:tcPr>
                  <w:tcW w:w="1890" w:type="dxa"/>
                  <w:shd w:val="clear" w:color="auto" w:fill="auto"/>
                  <w:noWrap/>
                </w:tcPr>
                <w:p w14:paraId="440F71EA"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9,533.0</w:t>
                  </w:r>
                </w:p>
              </w:tc>
              <w:tc>
                <w:tcPr>
                  <w:tcW w:w="1432" w:type="dxa"/>
                  <w:shd w:val="clear" w:color="auto" w:fill="auto"/>
                </w:tcPr>
                <w:p w14:paraId="1F920530"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10,608.1</w:t>
                  </w:r>
                </w:p>
              </w:tc>
            </w:tr>
            <w:tr w:rsidR="005D1807" w:rsidRPr="000739AC" w14:paraId="5ACBB585" w14:textId="77777777" w:rsidTr="00535E30">
              <w:trPr>
                <w:trHeight w:val="303"/>
              </w:trPr>
              <w:tc>
                <w:tcPr>
                  <w:tcW w:w="2052" w:type="dxa"/>
                  <w:vMerge/>
                  <w:tcBorders>
                    <w:bottom w:val="single" w:sz="4" w:space="0" w:color="auto"/>
                  </w:tcBorders>
                  <w:shd w:val="clear" w:color="auto" w:fill="auto"/>
                  <w:vAlign w:val="center"/>
                  <w:hideMark/>
                </w:tcPr>
                <w:p w14:paraId="3847FBCB" w14:textId="77777777" w:rsidR="005D1807" w:rsidRPr="000739AC" w:rsidRDefault="005D1807" w:rsidP="00933CA4">
                  <w:pPr>
                    <w:framePr w:hSpace="180" w:wrap="around" w:hAnchor="margin" w:xAlign="center" w:y="540"/>
                    <w:spacing w:line="240" w:lineRule="auto"/>
                    <w:rPr>
                      <w:b w:val="0"/>
                      <w:bCs/>
                      <w:sz w:val="20"/>
                      <w:szCs w:val="20"/>
                    </w:rPr>
                  </w:pPr>
                </w:p>
              </w:tc>
              <w:tc>
                <w:tcPr>
                  <w:tcW w:w="2478" w:type="dxa"/>
                  <w:tcBorders>
                    <w:bottom w:val="single" w:sz="4" w:space="0" w:color="auto"/>
                  </w:tcBorders>
                  <w:shd w:val="clear" w:color="auto" w:fill="auto"/>
                  <w:vAlign w:val="center"/>
                  <w:hideMark/>
                </w:tcPr>
                <w:p w14:paraId="3C935EEE"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2023 Պետական բյուջե</w:t>
                  </w:r>
                </w:p>
              </w:tc>
              <w:tc>
                <w:tcPr>
                  <w:tcW w:w="1585" w:type="dxa"/>
                  <w:tcBorders>
                    <w:bottom w:val="single" w:sz="4" w:space="0" w:color="auto"/>
                  </w:tcBorders>
                  <w:shd w:val="clear" w:color="auto" w:fill="auto"/>
                </w:tcPr>
                <w:p w14:paraId="7CADB589"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8,293.7</w:t>
                  </w:r>
                </w:p>
              </w:tc>
              <w:tc>
                <w:tcPr>
                  <w:tcW w:w="1890" w:type="dxa"/>
                  <w:tcBorders>
                    <w:bottom w:val="single" w:sz="4" w:space="0" w:color="auto"/>
                  </w:tcBorders>
                  <w:shd w:val="clear" w:color="auto" w:fill="auto"/>
                  <w:noWrap/>
                </w:tcPr>
                <w:p w14:paraId="2F1A4A3F"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9,317.9</w:t>
                  </w:r>
                </w:p>
              </w:tc>
              <w:tc>
                <w:tcPr>
                  <w:tcW w:w="1432" w:type="dxa"/>
                  <w:tcBorders>
                    <w:bottom w:val="single" w:sz="4" w:space="0" w:color="auto"/>
                  </w:tcBorders>
                  <w:shd w:val="clear" w:color="auto" w:fill="auto"/>
                  <w:hideMark/>
                </w:tcPr>
                <w:p w14:paraId="1E9F27EF"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w:t>
                  </w:r>
                </w:p>
              </w:tc>
            </w:tr>
            <w:tr w:rsidR="005D1807" w:rsidRPr="000739AC" w14:paraId="5EE10395" w14:textId="77777777" w:rsidTr="00535E30">
              <w:trPr>
                <w:trHeight w:val="303"/>
              </w:trPr>
              <w:tc>
                <w:tcPr>
                  <w:tcW w:w="2052" w:type="dxa"/>
                  <w:vMerge w:val="restart"/>
                  <w:tcBorders>
                    <w:top w:val="single" w:sz="4" w:space="0" w:color="auto"/>
                  </w:tcBorders>
                  <w:shd w:val="clear" w:color="auto" w:fill="auto"/>
                  <w:vAlign w:val="center"/>
                </w:tcPr>
                <w:p w14:paraId="53FF83E9"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Տնտեսական (իրական ՀՆԱ-ի) աճ, %</w:t>
                  </w:r>
                </w:p>
              </w:tc>
              <w:tc>
                <w:tcPr>
                  <w:tcW w:w="2478" w:type="dxa"/>
                  <w:tcBorders>
                    <w:top w:val="single" w:sz="4" w:space="0" w:color="auto"/>
                  </w:tcBorders>
                  <w:shd w:val="clear" w:color="auto" w:fill="auto"/>
                  <w:vAlign w:val="center"/>
                </w:tcPr>
                <w:p w14:paraId="0C745E42"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 Պետական բյուջե</w:t>
                  </w:r>
                </w:p>
              </w:tc>
              <w:tc>
                <w:tcPr>
                  <w:tcW w:w="1585" w:type="dxa"/>
                  <w:tcBorders>
                    <w:top w:val="single" w:sz="4" w:space="0" w:color="auto"/>
                  </w:tcBorders>
                  <w:shd w:val="clear" w:color="auto" w:fill="auto"/>
                </w:tcPr>
                <w:p w14:paraId="6750D0EE"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12.6</w:t>
                  </w:r>
                </w:p>
              </w:tc>
              <w:tc>
                <w:tcPr>
                  <w:tcW w:w="1890" w:type="dxa"/>
                  <w:tcBorders>
                    <w:top w:val="single" w:sz="4" w:space="0" w:color="auto"/>
                  </w:tcBorders>
                  <w:shd w:val="clear" w:color="auto" w:fill="auto"/>
                  <w:noWrap/>
                </w:tcPr>
                <w:p w14:paraId="226C3B31"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7.4</w:t>
                  </w:r>
                </w:p>
              </w:tc>
              <w:tc>
                <w:tcPr>
                  <w:tcW w:w="1432" w:type="dxa"/>
                  <w:tcBorders>
                    <w:top w:val="single" w:sz="4" w:space="0" w:color="auto"/>
                  </w:tcBorders>
                  <w:shd w:val="clear" w:color="auto" w:fill="auto"/>
                </w:tcPr>
                <w:p w14:paraId="2D277C87"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7.0</w:t>
                  </w:r>
                </w:p>
              </w:tc>
            </w:tr>
            <w:tr w:rsidR="005D1807" w:rsidRPr="000739AC" w14:paraId="11D80255" w14:textId="77777777" w:rsidTr="00535E30">
              <w:trPr>
                <w:trHeight w:val="303"/>
              </w:trPr>
              <w:tc>
                <w:tcPr>
                  <w:tcW w:w="2052" w:type="dxa"/>
                  <w:vMerge/>
                  <w:shd w:val="clear" w:color="auto" w:fill="auto"/>
                  <w:vAlign w:val="center"/>
                  <w:hideMark/>
                </w:tcPr>
                <w:p w14:paraId="79536256" w14:textId="77777777" w:rsidR="005D1807" w:rsidRPr="000739AC" w:rsidRDefault="005D1807" w:rsidP="00933CA4">
                  <w:pPr>
                    <w:framePr w:hSpace="180" w:wrap="around" w:hAnchor="margin" w:xAlign="center" w:y="540"/>
                    <w:spacing w:line="240" w:lineRule="auto"/>
                    <w:rPr>
                      <w:b w:val="0"/>
                      <w:bCs/>
                      <w:sz w:val="20"/>
                      <w:szCs w:val="20"/>
                    </w:rPr>
                  </w:pPr>
                </w:p>
              </w:tc>
              <w:tc>
                <w:tcPr>
                  <w:tcW w:w="2478" w:type="dxa"/>
                  <w:shd w:val="clear" w:color="auto" w:fill="auto"/>
                  <w:vAlign w:val="center"/>
                  <w:hideMark/>
                </w:tcPr>
                <w:p w14:paraId="0EF07D1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2024-2026 ՄԺԾԾ</w:t>
                  </w:r>
                </w:p>
              </w:tc>
              <w:tc>
                <w:tcPr>
                  <w:tcW w:w="1585" w:type="dxa"/>
                  <w:shd w:val="clear" w:color="auto" w:fill="auto"/>
                </w:tcPr>
                <w:p w14:paraId="3AFAF0E2"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12.6</w:t>
                  </w:r>
                </w:p>
              </w:tc>
              <w:tc>
                <w:tcPr>
                  <w:tcW w:w="1890" w:type="dxa"/>
                  <w:shd w:val="clear" w:color="auto" w:fill="auto"/>
                  <w:noWrap/>
                </w:tcPr>
                <w:p w14:paraId="47F7E3AB"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7.0</w:t>
                  </w:r>
                </w:p>
              </w:tc>
              <w:tc>
                <w:tcPr>
                  <w:tcW w:w="1432" w:type="dxa"/>
                  <w:shd w:val="clear" w:color="auto" w:fill="auto"/>
                </w:tcPr>
                <w:p w14:paraId="0BE60199"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7.0</w:t>
                  </w:r>
                </w:p>
              </w:tc>
            </w:tr>
            <w:tr w:rsidR="005D1807" w:rsidRPr="000739AC" w14:paraId="41C0D084" w14:textId="77777777" w:rsidTr="00535E30">
              <w:trPr>
                <w:trHeight w:val="303"/>
              </w:trPr>
              <w:tc>
                <w:tcPr>
                  <w:tcW w:w="2052" w:type="dxa"/>
                  <w:vMerge/>
                  <w:tcBorders>
                    <w:bottom w:val="single" w:sz="4" w:space="0" w:color="auto"/>
                  </w:tcBorders>
                  <w:shd w:val="clear" w:color="auto" w:fill="auto"/>
                  <w:vAlign w:val="center"/>
                  <w:hideMark/>
                </w:tcPr>
                <w:p w14:paraId="26DE2FC0" w14:textId="77777777" w:rsidR="005D1807" w:rsidRPr="000739AC" w:rsidRDefault="005D1807" w:rsidP="00933CA4">
                  <w:pPr>
                    <w:framePr w:hSpace="180" w:wrap="around" w:hAnchor="margin" w:xAlign="center" w:y="540"/>
                    <w:spacing w:line="240" w:lineRule="auto"/>
                    <w:rPr>
                      <w:b w:val="0"/>
                      <w:bCs/>
                      <w:sz w:val="20"/>
                      <w:szCs w:val="20"/>
                    </w:rPr>
                  </w:pPr>
                </w:p>
              </w:tc>
              <w:tc>
                <w:tcPr>
                  <w:tcW w:w="2478" w:type="dxa"/>
                  <w:tcBorders>
                    <w:bottom w:val="single" w:sz="4" w:space="0" w:color="auto"/>
                  </w:tcBorders>
                  <w:shd w:val="clear" w:color="auto" w:fill="auto"/>
                  <w:vAlign w:val="center"/>
                  <w:hideMark/>
                </w:tcPr>
                <w:p w14:paraId="34DAAD6C"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2023 Պետական բյուջե</w:t>
                  </w:r>
                </w:p>
              </w:tc>
              <w:tc>
                <w:tcPr>
                  <w:tcW w:w="1585" w:type="dxa"/>
                  <w:tcBorders>
                    <w:bottom w:val="single" w:sz="4" w:space="0" w:color="auto"/>
                  </w:tcBorders>
                  <w:shd w:val="clear" w:color="auto" w:fill="auto"/>
                </w:tcPr>
                <w:p w14:paraId="443BC57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11.0</w:t>
                  </w:r>
                </w:p>
              </w:tc>
              <w:tc>
                <w:tcPr>
                  <w:tcW w:w="1890" w:type="dxa"/>
                  <w:tcBorders>
                    <w:bottom w:val="single" w:sz="4" w:space="0" w:color="auto"/>
                  </w:tcBorders>
                  <w:shd w:val="clear" w:color="auto" w:fill="auto"/>
                  <w:noWrap/>
                </w:tcPr>
                <w:p w14:paraId="4412B5FA"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7.0</w:t>
                  </w:r>
                </w:p>
              </w:tc>
              <w:tc>
                <w:tcPr>
                  <w:tcW w:w="1432" w:type="dxa"/>
                  <w:tcBorders>
                    <w:bottom w:val="single" w:sz="4" w:space="0" w:color="auto"/>
                  </w:tcBorders>
                  <w:shd w:val="clear" w:color="auto" w:fill="auto"/>
                  <w:hideMark/>
                </w:tcPr>
                <w:p w14:paraId="1CDC1290"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w:t>
                  </w:r>
                </w:p>
              </w:tc>
            </w:tr>
            <w:tr w:rsidR="005D1807" w:rsidRPr="000739AC" w14:paraId="79F62C1B" w14:textId="77777777" w:rsidTr="00535E30">
              <w:trPr>
                <w:trHeight w:val="303"/>
              </w:trPr>
              <w:tc>
                <w:tcPr>
                  <w:tcW w:w="2052" w:type="dxa"/>
                  <w:vMerge w:val="restart"/>
                  <w:tcBorders>
                    <w:top w:val="single" w:sz="4" w:space="0" w:color="auto"/>
                  </w:tcBorders>
                  <w:shd w:val="clear" w:color="auto" w:fill="auto"/>
                  <w:vAlign w:val="center"/>
                </w:tcPr>
                <w:p w14:paraId="1D0C2641"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ՀՆԱ-ի դեֆլյատորի աճ, %</w:t>
                  </w:r>
                </w:p>
              </w:tc>
              <w:tc>
                <w:tcPr>
                  <w:tcW w:w="2478" w:type="dxa"/>
                  <w:tcBorders>
                    <w:top w:val="single" w:sz="4" w:space="0" w:color="auto"/>
                  </w:tcBorders>
                  <w:shd w:val="clear" w:color="auto" w:fill="auto"/>
                  <w:vAlign w:val="center"/>
                </w:tcPr>
                <w:p w14:paraId="76245E55"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 Պետական բյուջե</w:t>
                  </w:r>
                </w:p>
              </w:tc>
              <w:tc>
                <w:tcPr>
                  <w:tcW w:w="1585" w:type="dxa"/>
                  <w:tcBorders>
                    <w:top w:val="single" w:sz="4" w:space="0" w:color="auto"/>
                  </w:tcBorders>
                  <w:shd w:val="clear" w:color="auto" w:fill="auto"/>
                </w:tcPr>
                <w:p w14:paraId="6C43D119"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8.0</w:t>
                  </w:r>
                </w:p>
              </w:tc>
              <w:tc>
                <w:tcPr>
                  <w:tcW w:w="1890" w:type="dxa"/>
                  <w:tcBorders>
                    <w:top w:val="single" w:sz="4" w:space="0" w:color="auto"/>
                  </w:tcBorders>
                  <w:shd w:val="clear" w:color="auto" w:fill="auto"/>
                  <w:noWrap/>
                </w:tcPr>
                <w:p w14:paraId="00B98D6B"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3.5</w:t>
                  </w:r>
                </w:p>
              </w:tc>
              <w:tc>
                <w:tcPr>
                  <w:tcW w:w="1432" w:type="dxa"/>
                  <w:tcBorders>
                    <w:top w:val="single" w:sz="4" w:space="0" w:color="auto"/>
                  </w:tcBorders>
                  <w:shd w:val="clear" w:color="auto" w:fill="auto"/>
                </w:tcPr>
                <w:p w14:paraId="6972F38C"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4.0</w:t>
                  </w:r>
                </w:p>
              </w:tc>
            </w:tr>
            <w:tr w:rsidR="005D1807" w:rsidRPr="000739AC" w14:paraId="33CE49EC" w14:textId="77777777" w:rsidTr="00535E30">
              <w:trPr>
                <w:trHeight w:val="303"/>
              </w:trPr>
              <w:tc>
                <w:tcPr>
                  <w:tcW w:w="2052" w:type="dxa"/>
                  <w:vMerge/>
                  <w:shd w:val="clear" w:color="auto" w:fill="auto"/>
                  <w:vAlign w:val="center"/>
                  <w:hideMark/>
                </w:tcPr>
                <w:p w14:paraId="740702D7" w14:textId="77777777" w:rsidR="005D1807" w:rsidRPr="000739AC" w:rsidRDefault="005D1807" w:rsidP="00933CA4">
                  <w:pPr>
                    <w:framePr w:hSpace="180" w:wrap="around" w:hAnchor="margin" w:xAlign="center" w:y="540"/>
                    <w:spacing w:line="240" w:lineRule="auto"/>
                    <w:rPr>
                      <w:b w:val="0"/>
                      <w:bCs/>
                      <w:sz w:val="20"/>
                      <w:szCs w:val="20"/>
                    </w:rPr>
                  </w:pPr>
                </w:p>
              </w:tc>
              <w:tc>
                <w:tcPr>
                  <w:tcW w:w="2478" w:type="dxa"/>
                  <w:shd w:val="clear" w:color="auto" w:fill="auto"/>
                  <w:vAlign w:val="center"/>
                  <w:hideMark/>
                </w:tcPr>
                <w:p w14:paraId="4C04D5D6"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2024-2026 ՄԺԾԾ</w:t>
                  </w:r>
                </w:p>
              </w:tc>
              <w:tc>
                <w:tcPr>
                  <w:tcW w:w="1585" w:type="dxa"/>
                  <w:shd w:val="clear" w:color="auto" w:fill="auto"/>
                </w:tcPr>
                <w:p w14:paraId="708C4396"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8.0</w:t>
                  </w:r>
                </w:p>
              </w:tc>
              <w:tc>
                <w:tcPr>
                  <w:tcW w:w="1890" w:type="dxa"/>
                  <w:shd w:val="clear" w:color="auto" w:fill="auto"/>
                  <w:noWrap/>
                </w:tcPr>
                <w:p w14:paraId="5009D152"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4.8</w:t>
                  </w:r>
                </w:p>
              </w:tc>
              <w:tc>
                <w:tcPr>
                  <w:tcW w:w="1432" w:type="dxa"/>
                  <w:shd w:val="clear" w:color="auto" w:fill="auto"/>
                </w:tcPr>
                <w:p w14:paraId="23B00C22"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4.0</w:t>
                  </w:r>
                </w:p>
              </w:tc>
            </w:tr>
            <w:tr w:rsidR="005D1807" w:rsidRPr="000739AC" w14:paraId="1E56B23B" w14:textId="77777777" w:rsidTr="00535E30">
              <w:trPr>
                <w:trHeight w:val="303"/>
              </w:trPr>
              <w:tc>
                <w:tcPr>
                  <w:tcW w:w="2052" w:type="dxa"/>
                  <w:vMerge/>
                  <w:tcBorders>
                    <w:bottom w:val="single" w:sz="4" w:space="0" w:color="auto"/>
                  </w:tcBorders>
                  <w:shd w:val="clear" w:color="auto" w:fill="auto"/>
                  <w:vAlign w:val="center"/>
                  <w:hideMark/>
                </w:tcPr>
                <w:p w14:paraId="0BF6A6D9" w14:textId="77777777" w:rsidR="005D1807" w:rsidRPr="000739AC" w:rsidRDefault="005D1807" w:rsidP="00933CA4">
                  <w:pPr>
                    <w:framePr w:hSpace="180" w:wrap="around" w:hAnchor="margin" w:xAlign="center" w:y="540"/>
                    <w:spacing w:line="240" w:lineRule="auto"/>
                    <w:rPr>
                      <w:b w:val="0"/>
                      <w:bCs/>
                      <w:sz w:val="20"/>
                      <w:szCs w:val="20"/>
                    </w:rPr>
                  </w:pPr>
                </w:p>
              </w:tc>
              <w:tc>
                <w:tcPr>
                  <w:tcW w:w="2478" w:type="dxa"/>
                  <w:tcBorders>
                    <w:bottom w:val="single" w:sz="4" w:space="0" w:color="auto"/>
                  </w:tcBorders>
                  <w:shd w:val="clear" w:color="auto" w:fill="auto"/>
                  <w:vAlign w:val="center"/>
                  <w:hideMark/>
                </w:tcPr>
                <w:p w14:paraId="106B8A95"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2023 Պետական բյուջե</w:t>
                  </w:r>
                </w:p>
              </w:tc>
              <w:tc>
                <w:tcPr>
                  <w:tcW w:w="1585" w:type="dxa"/>
                  <w:tcBorders>
                    <w:bottom w:val="single" w:sz="4" w:space="0" w:color="auto"/>
                  </w:tcBorders>
                  <w:shd w:val="clear" w:color="auto" w:fill="auto"/>
                </w:tcPr>
                <w:p w14:paraId="08B02F01"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7.0</w:t>
                  </w:r>
                </w:p>
              </w:tc>
              <w:tc>
                <w:tcPr>
                  <w:tcW w:w="1890" w:type="dxa"/>
                  <w:tcBorders>
                    <w:bottom w:val="single" w:sz="4" w:space="0" w:color="auto"/>
                  </w:tcBorders>
                  <w:shd w:val="clear" w:color="auto" w:fill="auto"/>
                  <w:noWrap/>
                </w:tcPr>
                <w:p w14:paraId="6A07E7AB"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5.0</w:t>
                  </w:r>
                </w:p>
              </w:tc>
              <w:tc>
                <w:tcPr>
                  <w:tcW w:w="1432" w:type="dxa"/>
                  <w:tcBorders>
                    <w:bottom w:val="single" w:sz="4" w:space="0" w:color="auto"/>
                  </w:tcBorders>
                  <w:shd w:val="clear" w:color="auto" w:fill="auto"/>
                  <w:hideMark/>
                </w:tcPr>
                <w:p w14:paraId="4C4F6EB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w:t>
                  </w:r>
                </w:p>
              </w:tc>
            </w:tr>
          </w:tbl>
          <w:p w14:paraId="7F0035CE" w14:textId="77777777" w:rsidR="005D1807" w:rsidRPr="00535E30" w:rsidRDefault="005D1807" w:rsidP="000739AC">
            <w:pPr>
              <w:spacing w:line="240" w:lineRule="auto"/>
              <w:rPr>
                <w:b w:val="0"/>
                <w:bCs/>
                <w:sz w:val="20"/>
                <w:szCs w:val="20"/>
                <w:lang w:val="hy-AM"/>
              </w:rPr>
            </w:pPr>
            <w:r w:rsidRPr="00535E30">
              <w:rPr>
                <w:rFonts w:eastAsia="Calibri"/>
                <w:b w:val="0"/>
                <w:bCs/>
                <w:sz w:val="20"/>
                <w:szCs w:val="20"/>
                <w:lang w:val="hy-AM"/>
              </w:rPr>
              <w:t xml:space="preserve">* </w:t>
            </w:r>
            <w:r w:rsidRPr="00535E30">
              <w:rPr>
                <w:b w:val="0"/>
                <w:bCs/>
                <w:sz w:val="20"/>
                <w:szCs w:val="20"/>
                <w:lang w:val="hy-AM"/>
              </w:rPr>
              <w:t xml:space="preserve">2024-2026 ՄԺԾԾ և 2024 պետական բյուջեի համար 2022թ. ցուցանիշները փաստացի են </w:t>
            </w:r>
          </w:p>
          <w:p w14:paraId="461D1EC4" w14:textId="32D85322" w:rsidR="005D1807" w:rsidRPr="00730639" w:rsidRDefault="005D1807" w:rsidP="000739AC">
            <w:pPr>
              <w:spacing w:line="240" w:lineRule="auto"/>
              <w:rPr>
                <w:b w:val="0"/>
                <w:bCs/>
                <w:sz w:val="20"/>
                <w:szCs w:val="20"/>
                <w:lang w:val="hy-AM"/>
              </w:rPr>
            </w:pPr>
            <w:r w:rsidRPr="00730639">
              <w:rPr>
                <w:b w:val="0"/>
                <w:bCs/>
                <w:sz w:val="20"/>
                <w:szCs w:val="20"/>
                <w:lang w:val="hy-AM"/>
              </w:rPr>
              <w:t>Աղբյուրը ՝ ՀՀ ՖՆ կանխատեսումներ</w:t>
            </w:r>
          </w:p>
          <w:p w14:paraId="2FFA1FB6" w14:textId="77777777" w:rsidR="00535E30" w:rsidRPr="00730639" w:rsidRDefault="00535E30" w:rsidP="000739AC">
            <w:pPr>
              <w:spacing w:line="240" w:lineRule="auto"/>
              <w:rPr>
                <w:b w:val="0"/>
                <w:bCs/>
                <w:sz w:val="20"/>
                <w:szCs w:val="20"/>
                <w:lang w:val="hy-AM"/>
              </w:rPr>
            </w:pPr>
          </w:p>
          <w:p w14:paraId="2A28CE54" w14:textId="77777777" w:rsidR="005D1807" w:rsidRPr="00730639" w:rsidRDefault="005D1807" w:rsidP="000739AC">
            <w:pPr>
              <w:spacing w:line="240" w:lineRule="auto"/>
              <w:rPr>
                <w:rFonts w:eastAsia="Calibri"/>
                <w:b w:val="0"/>
                <w:bCs/>
                <w:szCs w:val="22"/>
                <w:lang w:val="hy-AM"/>
              </w:rPr>
            </w:pPr>
            <w:r w:rsidRPr="00730639">
              <w:rPr>
                <w:rFonts w:eastAsia="Calibri"/>
                <w:szCs w:val="22"/>
                <w:lang w:val="hy-AM"/>
              </w:rPr>
              <w:t>Աղյուսակ 1.6.</w:t>
            </w:r>
            <w:r w:rsidRPr="00730639">
              <w:rPr>
                <w:rFonts w:eastAsia="Calibri"/>
                <w:b w:val="0"/>
                <w:bCs/>
                <w:szCs w:val="22"/>
                <w:lang w:val="hy-AM"/>
              </w:rPr>
              <w:t xml:space="preserve"> Ընթացիկ հաշվի կանխատեսումները 2024-2026թթ. ՄԺԾԾ-ով, 2023թ. և 2024թ. </w:t>
            </w:r>
          </w:p>
          <w:p w14:paraId="7A802C20" w14:textId="77777777" w:rsidR="005D1807" w:rsidRPr="000739AC" w:rsidRDefault="005D1807" w:rsidP="000739AC">
            <w:pPr>
              <w:spacing w:line="240" w:lineRule="auto"/>
              <w:rPr>
                <w:rFonts w:eastAsia="Calibri"/>
                <w:b w:val="0"/>
                <w:bCs/>
                <w:szCs w:val="22"/>
              </w:rPr>
            </w:pPr>
            <w:r w:rsidRPr="000739AC">
              <w:rPr>
                <w:rFonts w:eastAsia="Calibri"/>
                <w:b w:val="0"/>
                <w:bCs/>
                <w:szCs w:val="22"/>
              </w:rPr>
              <w:t>պետական բյուջեներով</w:t>
            </w:r>
          </w:p>
          <w:tbl>
            <w:tblPr>
              <w:tblW w:w="9360" w:type="dxa"/>
              <w:tblInd w:w="390" w:type="dxa"/>
              <w:tblLook w:val="04A0" w:firstRow="1" w:lastRow="0" w:firstColumn="1" w:lastColumn="0" w:noHBand="0" w:noVBand="1"/>
            </w:tblPr>
            <w:tblGrid>
              <w:gridCol w:w="2279"/>
              <w:gridCol w:w="2337"/>
              <w:gridCol w:w="1585"/>
              <w:gridCol w:w="1685"/>
              <w:gridCol w:w="1474"/>
            </w:tblGrid>
            <w:tr w:rsidR="005D1807" w:rsidRPr="000739AC" w14:paraId="266C2113" w14:textId="77777777" w:rsidTr="00D656FB">
              <w:trPr>
                <w:trHeight w:val="384"/>
              </w:trPr>
              <w:tc>
                <w:tcPr>
                  <w:tcW w:w="2279" w:type="dxa"/>
                  <w:vMerge w:val="restart"/>
                  <w:tcBorders>
                    <w:bottom w:val="single" w:sz="4" w:space="0" w:color="auto"/>
                  </w:tcBorders>
                  <w:shd w:val="clear" w:color="auto" w:fill="auto"/>
                  <w:noWrap/>
                  <w:vAlign w:val="center"/>
                  <w:hideMark/>
                </w:tcPr>
                <w:p w14:paraId="2229CFFF"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Ցուցանիշներ</w:t>
                  </w:r>
                </w:p>
              </w:tc>
              <w:tc>
                <w:tcPr>
                  <w:tcW w:w="2374" w:type="dxa"/>
                  <w:vMerge w:val="restart"/>
                  <w:tcBorders>
                    <w:bottom w:val="single" w:sz="4" w:space="0" w:color="auto"/>
                  </w:tcBorders>
                  <w:shd w:val="clear" w:color="auto" w:fill="auto"/>
                  <w:vAlign w:val="center"/>
                  <w:hideMark/>
                </w:tcPr>
                <w:p w14:paraId="391D3397"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Ծրագիր</w:t>
                  </w:r>
                </w:p>
              </w:tc>
              <w:tc>
                <w:tcPr>
                  <w:tcW w:w="1527" w:type="dxa"/>
                  <w:tcBorders>
                    <w:bottom w:val="single" w:sz="4" w:space="0" w:color="auto"/>
                  </w:tcBorders>
                  <w:shd w:val="clear" w:color="auto" w:fill="auto"/>
                  <w:vAlign w:val="center"/>
                </w:tcPr>
                <w:p w14:paraId="30510C69"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2022</w:t>
                  </w:r>
                </w:p>
              </w:tc>
              <w:tc>
                <w:tcPr>
                  <w:tcW w:w="1685" w:type="dxa"/>
                  <w:tcBorders>
                    <w:bottom w:val="single" w:sz="4" w:space="0" w:color="auto"/>
                  </w:tcBorders>
                  <w:shd w:val="clear" w:color="auto" w:fill="auto"/>
                  <w:vAlign w:val="center"/>
                  <w:hideMark/>
                </w:tcPr>
                <w:p w14:paraId="3055E8D8"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2023</w:t>
                  </w:r>
                </w:p>
              </w:tc>
              <w:tc>
                <w:tcPr>
                  <w:tcW w:w="1495" w:type="dxa"/>
                  <w:tcBorders>
                    <w:bottom w:val="single" w:sz="4" w:space="0" w:color="auto"/>
                  </w:tcBorders>
                  <w:shd w:val="clear" w:color="auto" w:fill="auto"/>
                  <w:vAlign w:val="center"/>
                  <w:hideMark/>
                </w:tcPr>
                <w:p w14:paraId="6AD271FF"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w:t>
                  </w:r>
                </w:p>
              </w:tc>
            </w:tr>
            <w:tr w:rsidR="005D1807" w:rsidRPr="000739AC" w14:paraId="2901537B" w14:textId="77777777" w:rsidTr="00D656FB">
              <w:trPr>
                <w:trHeight w:val="384"/>
              </w:trPr>
              <w:tc>
                <w:tcPr>
                  <w:tcW w:w="2279" w:type="dxa"/>
                  <w:vMerge/>
                  <w:tcBorders>
                    <w:top w:val="single" w:sz="4" w:space="0" w:color="auto"/>
                  </w:tcBorders>
                  <w:shd w:val="clear" w:color="auto" w:fill="auto"/>
                  <w:vAlign w:val="center"/>
                  <w:hideMark/>
                </w:tcPr>
                <w:p w14:paraId="1D3D9CDD" w14:textId="77777777" w:rsidR="005D1807" w:rsidRPr="000739AC" w:rsidRDefault="005D1807" w:rsidP="00933CA4">
                  <w:pPr>
                    <w:framePr w:hSpace="180" w:wrap="around" w:hAnchor="margin" w:xAlign="center" w:y="540"/>
                    <w:spacing w:line="240" w:lineRule="auto"/>
                    <w:rPr>
                      <w:b w:val="0"/>
                      <w:bCs/>
                      <w:sz w:val="20"/>
                      <w:szCs w:val="20"/>
                    </w:rPr>
                  </w:pPr>
                </w:p>
              </w:tc>
              <w:tc>
                <w:tcPr>
                  <w:tcW w:w="2374" w:type="dxa"/>
                  <w:vMerge/>
                  <w:tcBorders>
                    <w:top w:val="single" w:sz="4" w:space="0" w:color="auto"/>
                  </w:tcBorders>
                  <w:shd w:val="clear" w:color="auto" w:fill="auto"/>
                  <w:vAlign w:val="center"/>
                  <w:hideMark/>
                </w:tcPr>
                <w:p w14:paraId="5FB77E49" w14:textId="77777777" w:rsidR="005D1807" w:rsidRPr="000739AC" w:rsidRDefault="005D1807" w:rsidP="00933CA4">
                  <w:pPr>
                    <w:framePr w:hSpace="180" w:wrap="around" w:hAnchor="margin" w:xAlign="center" w:y="540"/>
                    <w:spacing w:line="240" w:lineRule="auto"/>
                    <w:rPr>
                      <w:b w:val="0"/>
                      <w:bCs/>
                      <w:sz w:val="20"/>
                      <w:szCs w:val="20"/>
                    </w:rPr>
                  </w:pPr>
                </w:p>
              </w:tc>
              <w:tc>
                <w:tcPr>
                  <w:tcW w:w="1527" w:type="dxa"/>
                  <w:tcBorders>
                    <w:top w:val="single" w:sz="4" w:space="0" w:color="auto"/>
                  </w:tcBorders>
                  <w:shd w:val="clear" w:color="auto" w:fill="auto"/>
                  <w:vAlign w:val="center"/>
                </w:tcPr>
                <w:p w14:paraId="1D74929C"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փաստ*/կանխ.</w:t>
                  </w:r>
                </w:p>
              </w:tc>
              <w:tc>
                <w:tcPr>
                  <w:tcW w:w="1685" w:type="dxa"/>
                  <w:tcBorders>
                    <w:top w:val="single" w:sz="4" w:space="0" w:color="auto"/>
                  </w:tcBorders>
                  <w:shd w:val="clear" w:color="auto" w:fill="auto"/>
                  <w:vAlign w:val="center"/>
                  <w:hideMark/>
                </w:tcPr>
                <w:p w14:paraId="1C292737"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կանխ.</w:t>
                  </w:r>
                </w:p>
              </w:tc>
              <w:tc>
                <w:tcPr>
                  <w:tcW w:w="1495" w:type="dxa"/>
                  <w:tcBorders>
                    <w:top w:val="single" w:sz="4" w:space="0" w:color="auto"/>
                  </w:tcBorders>
                  <w:shd w:val="clear" w:color="auto" w:fill="auto"/>
                  <w:vAlign w:val="center"/>
                  <w:hideMark/>
                </w:tcPr>
                <w:p w14:paraId="71D239D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կանխ.</w:t>
                  </w:r>
                </w:p>
              </w:tc>
            </w:tr>
            <w:tr w:rsidR="005D1807" w:rsidRPr="000739AC" w14:paraId="7F41EDBF" w14:textId="77777777" w:rsidTr="00D656FB">
              <w:trPr>
                <w:trHeight w:val="384"/>
              </w:trPr>
              <w:tc>
                <w:tcPr>
                  <w:tcW w:w="2279" w:type="dxa"/>
                  <w:vMerge w:val="restart"/>
                  <w:shd w:val="clear" w:color="auto" w:fill="auto"/>
                  <w:vAlign w:val="center"/>
                  <w:hideMark/>
                </w:tcPr>
                <w:p w14:paraId="32EC6B07"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Ընթացիկ հաշիվ, մլն ԱՄՆ դոլար</w:t>
                  </w:r>
                </w:p>
              </w:tc>
              <w:tc>
                <w:tcPr>
                  <w:tcW w:w="2374" w:type="dxa"/>
                  <w:shd w:val="clear" w:color="auto" w:fill="auto"/>
                  <w:vAlign w:val="center"/>
                </w:tcPr>
                <w:p w14:paraId="32D2C11D"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 Պետական բյուջե</w:t>
                  </w:r>
                </w:p>
              </w:tc>
              <w:tc>
                <w:tcPr>
                  <w:tcW w:w="1527" w:type="dxa"/>
                  <w:shd w:val="clear" w:color="auto" w:fill="auto"/>
                  <w:vAlign w:val="center"/>
                </w:tcPr>
                <w:p w14:paraId="5A4739A5"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151.0</w:t>
                  </w:r>
                </w:p>
              </w:tc>
              <w:tc>
                <w:tcPr>
                  <w:tcW w:w="1685" w:type="dxa"/>
                  <w:shd w:val="clear" w:color="auto" w:fill="auto"/>
                  <w:noWrap/>
                </w:tcPr>
                <w:p w14:paraId="797B4D0C"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-965.8</w:t>
                  </w:r>
                </w:p>
              </w:tc>
              <w:tc>
                <w:tcPr>
                  <w:tcW w:w="1495" w:type="dxa"/>
                  <w:shd w:val="clear" w:color="auto" w:fill="auto"/>
                </w:tcPr>
                <w:p w14:paraId="0A47CAF6"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-1,232.1</w:t>
                  </w:r>
                </w:p>
              </w:tc>
            </w:tr>
            <w:tr w:rsidR="005D1807" w:rsidRPr="000739AC" w14:paraId="5489E393" w14:textId="77777777" w:rsidTr="00D656FB">
              <w:trPr>
                <w:trHeight w:val="384"/>
              </w:trPr>
              <w:tc>
                <w:tcPr>
                  <w:tcW w:w="2279" w:type="dxa"/>
                  <w:vMerge/>
                  <w:shd w:val="clear" w:color="auto" w:fill="auto"/>
                  <w:vAlign w:val="center"/>
                  <w:hideMark/>
                </w:tcPr>
                <w:p w14:paraId="1F4AA2F0" w14:textId="77777777" w:rsidR="005D1807" w:rsidRPr="000739AC" w:rsidRDefault="005D1807" w:rsidP="00933CA4">
                  <w:pPr>
                    <w:framePr w:hSpace="180" w:wrap="around" w:hAnchor="margin" w:xAlign="center" w:y="540"/>
                    <w:spacing w:line="240" w:lineRule="auto"/>
                    <w:rPr>
                      <w:b w:val="0"/>
                      <w:bCs/>
                      <w:sz w:val="20"/>
                      <w:szCs w:val="20"/>
                    </w:rPr>
                  </w:pPr>
                </w:p>
              </w:tc>
              <w:tc>
                <w:tcPr>
                  <w:tcW w:w="2374" w:type="dxa"/>
                  <w:shd w:val="clear" w:color="auto" w:fill="auto"/>
                  <w:vAlign w:val="center"/>
                  <w:hideMark/>
                </w:tcPr>
                <w:p w14:paraId="0D59900E"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2024-2026 ՄԺԾԾ</w:t>
                  </w:r>
                </w:p>
              </w:tc>
              <w:tc>
                <w:tcPr>
                  <w:tcW w:w="1527" w:type="dxa"/>
                  <w:shd w:val="clear" w:color="auto" w:fill="auto"/>
                  <w:vAlign w:val="center"/>
                </w:tcPr>
                <w:p w14:paraId="3FF82BC6"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-167.0</w:t>
                  </w:r>
                </w:p>
              </w:tc>
              <w:tc>
                <w:tcPr>
                  <w:tcW w:w="1685" w:type="dxa"/>
                  <w:shd w:val="clear" w:color="auto" w:fill="auto"/>
                  <w:noWrap/>
                  <w:vAlign w:val="center"/>
                </w:tcPr>
                <w:p w14:paraId="2EB417BC"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-596.1</w:t>
                  </w:r>
                </w:p>
              </w:tc>
              <w:tc>
                <w:tcPr>
                  <w:tcW w:w="1495" w:type="dxa"/>
                  <w:shd w:val="clear" w:color="auto" w:fill="auto"/>
                  <w:vAlign w:val="center"/>
                </w:tcPr>
                <w:p w14:paraId="4DFF41BE"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-832.3</w:t>
                  </w:r>
                </w:p>
              </w:tc>
            </w:tr>
            <w:tr w:rsidR="005D1807" w:rsidRPr="000739AC" w14:paraId="60B4EB7F" w14:textId="77777777" w:rsidTr="00D656FB">
              <w:trPr>
                <w:trHeight w:val="384"/>
              </w:trPr>
              <w:tc>
                <w:tcPr>
                  <w:tcW w:w="2279" w:type="dxa"/>
                  <w:vMerge/>
                  <w:tcBorders>
                    <w:bottom w:val="single" w:sz="4" w:space="0" w:color="auto"/>
                  </w:tcBorders>
                  <w:shd w:val="clear" w:color="auto" w:fill="auto"/>
                  <w:vAlign w:val="center"/>
                  <w:hideMark/>
                </w:tcPr>
                <w:p w14:paraId="48EC582B" w14:textId="77777777" w:rsidR="005D1807" w:rsidRPr="000739AC" w:rsidRDefault="005D1807" w:rsidP="00933CA4">
                  <w:pPr>
                    <w:framePr w:hSpace="180" w:wrap="around" w:hAnchor="margin" w:xAlign="center" w:y="540"/>
                    <w:spacing w:line="240" w:lineRule="auto"/>
                    <w:rPr>
                      <w:b w:val="0"/>
                      <w:bCs/>
                      <w:sz w:val="20"/>
                      <w:szCs w:val="20"/>
                    </w:rPr>
                  </w:pPr>
                </w:p>
              </w:tc>
              <w:tc>
                <w:tcPr>
                  <w:tcW w:w="2374" w:type="dxa"/>
                  <w:tcBorders>
                    <w:bottom w:val="single" w:sz="4" w:space="0" w:color="auto"/>
                  </w:tcBorders>
                  <w:shd w:val="clear" w:color="auto" w:fill="auto"/>
                  <w:vAlign w:val="center"/>
                </w:tcPr>
                <w:p w14:paraId="2DFF345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2023 Պետական բյուջե</w:t>
                  </w:r>
                </w:p>
              </w:tc>
              <w:tc>
                <w:tcPr>
                  <w:tcW w:w="1527" w:type="dxa"/>
                  <w:tcBorders>
                    <w:bottom w:val="single" w:sz="4" w:space="0" w:color="auto"/>
                  </w:tcBorders>
                  <w:shd w:val="clear" w:color="auto" w:fill="auto"/>
                </w:tcPr>
                <w:p w14:paraId="328731AA"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-515.1</w:t>
                  </w:r>
                </w:p>
              </w:tc>
              <w:tc>
                <w:tcPr>
                  <w:tcW w:w="1685" w:type="dxa"/>
                  <w:tcBorders>
                    <w:bottom w:val="single" w:sz="4" w:space="0" w:color="auto"/>
                  </w:tcBorders>
                  <w:shd w:val="clear" w:color="auto" w:fill="auto"/>
                  <w:noWrap/>
                </w:tcPr>
                <w:p w14:paraId="0789149D"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-768.9</w:t>
                  </w:r>
                </w:p>
              </w:tc>
              <w:tc>
                <w:tcPr>
                  <w:tcW w:w="1495" w:type="dxa"/>
                  <w:tcBorders>
                    <w:bottom w:val="single" w:sz="4" w:space="0" w:color="auto"/>
                  </w:tcBorders>
                  <w:shd w:val="clear" w:color="auto" w:fill="auto"/>
                  <w:vAlign w:val="center"/>
                </w:tcPr>
                <w:p w14:paraId="30E873F2"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w:t>
                  </w:r>
                </w:p>
              </w:tc>
            </w:tr>
            <w:tr w:rsidR="005D1807" w:rsidRPr="000739AC" w14:paraId="00EABD00" w14:textId="77777777" w:rsidTr="00D656FB">
              <w:trPr>
                <w:trHeight w:val="384"/>
              </w:trPr>
              <w:tc>
                <w:tcPr>
                  <w:tcW w:w="2279" w:type="dxa"/>
                  <w:vMerge w:val="restart"/>
                  <w:tcBorders>
                    <w:top w:val="single" w:sz="4" w:space="0" w:color="auto"/>
                  </w:tcBorders>
                  <w:shd w:val="clear" w:color="auto" w:fill="auto"/>
                  <w:vAlign w:val="center"/>
                  <w:hideMark/>
                </w:tcPr>
                <w:p w14:paraId="17BB4626"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Ընթացիկ հաշիվ, %-ով՝ ՀՆԱ-ի նկատմամբ</w:t>
                  </w:r>
                </w:p>
              </w:tc>
              <w:tc>
                <w:tcPr>
                  <w:tcW w:w="2374" w:type="dxa"/>
                  <w:tcBorders>
                    <w:top w:val="single" w:sz="4" w:space="0" w:color="auto"/>
                  </w:tcBorders>
                  <w:shd w:val="clear" w:color="auto" w:fill="auto"/>
                  <w:vAlign w:val="center"/>
                </w:tcPr>
                <w:p w14:paraId="067EDF9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 պետկան բյուջե</w:t>
                  </w:r>
                </w:p>
              </w:tc>
              <w:tc>
                <w:tcPr>
                  <w:tcW w:w="1527" w:type="dxa"/>
                  <w:tcBorders>
                    <w:top w:val="single" w:sz="4" w:space="0" w:color="auto"/>
                  </w:tcBorders>
                  <w:shd w:val="clear" w:color="auto" w:fill="auto"/>
                  <w:vAlign w:val="center"/>
                </w:tcPr>
                <w:p w14:paraId="4C53AD9E"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0.8</w:t>
                  </w:r>
                </w:p>
              </w:tc>
              <w:tc>
                <w:tcPr>
                  <w:tcW w:w="1685" w:type="dxa"/>
                  <w:tcBorders>
                    <w:top w:val="single" w:sz="4" w:space="0" w:color="auto"/>
                  </w:tcBorders>
                  <w:shd w:val="clear" w:color="auto" w:fill="auto"/>
                  <w:noWrap/>
                  <w:vAlign w:val="center"/>
                </w:tcPr>
                <w:p w14:paraId="41386E79"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-4.0</w:t>
                  </w:r>
                </w:p>
              </w:tc>
              <w:tc>
                <w:tcPr>
                  <w:tcW w:w="1495" w:type="dxa"/>
                  <w:tcBorders>
                    <w:top w:val="single" w:sz="4" w:space="0" w:color="auto"/>
                  </w:tcBorders>
                  <w:shd w:val="clear" w:color="auto" w:fill="auto"/>
                  <w:vAlign w:val="center"/>
                </w:tcPr>
                <w:p w14:paraId="2CF2FD4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-4.8</w:t>
                  </w:r>
                </w:p>
              </w:tc>
            </w:tr>
            <w:tr w:rsidR="005D1807" w:rsidRPr="000739AC" w14:paraId="69763F65" w14:textId="77777777" w:rsidTr="00D656FB">
              <w:trPr>
                <w:trHeight w:val="384"/>
              </w:trPr>
              <w:tc>
                <w:tcPr>
                  <w:tcW w:w="2279" w:type="dxa"/>
                  <w:vMerge/>
                  <w:shd w:val="clear" w:color="auto" w:fill="auto"/>
                  <w:vAlign w:val="center"/>
                  <w:hideMark/>
                </w:tcPr>
                <w:p w14:paraId="48614B51" w14:textId="77777777" w:rsidR="005D1807" w:rsidRPr="000739AC" w:rsidRDefault="005D1807" w:rsidP="00933CA4">
                  <w:pPr>
                    <w:framePr w:hSpace="180" w:wrap="around" w:hAnchor="margin" w:xAlign="center" w:y="540"/>
                    <w:spacing w:line="240" w:lineRule="auto"/>
                    <w:rPr>
                      <w:b w:val="0"/>
                      <w:bCs/>
                      <w:sz w:val="20"/>
                      <w:szCs w:val="20"/>
                    </w:rPr>
                  </w:pPr>
                </w:p>
              </w:tc>
              <w:tc>
                <w:tcPr>
                  <w:tcW w:w="2374" w:type="dxa"/>
                  <w:shd w:val="clear" w:color="auto" w:fill="auto"/>
                  <w:vAlign w:val="center"/>
                  <w:hideMark/>
                </w:tcPr>
                <w:p w14:paraId="5793439C"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2024-2026 ՄԺԾԾ</w:t>
                  </w:r>
                </w:p>
              </w:tc>
              <w:tc>
                <w:tcPr>
                  <w:tcW w:w="1527" w:type="dxa"/>
                  <w:shd w:val="clear" w:color="auto" w:fill="auto"/>
                  <w:vAlign w:val="center"/>
                </w:tcPr>
                <w:p w14:paraId="47958D2A"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-0.9</w:t>
                  </w:r>
                </w:p>
              </w:tc>
              <w:tc>
                <w:tcPr>
                  <w:tcW w:w="1685" w:type="dxa"/>
                  <w:shd w:val="clear" w:color="auto" w:fill="auto"/>
                  <w:noWrap/>
                  <w:vAlign w:val="center"/>
                </w:tcPr>
                <w:p w14:paraId="4F5567C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-2.7</w:t>
                  </w:r>
                </w:p>
              </w:tc>
              <w:tc>
                <w:tcPr>
                  <w:tcW w:w="1495" w:type="dxa"/>
                  <w:shd w:val="clear" w:color="auto" w:fill="auto"/>
                  <w:vAlign w:val="center"/>
                </w:tcPr>
                <w:p w14:paraId="1A7A8613"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-3.5</w:t>
                  </w:r>
                </w:p>
              </w:tc>
            </w:tr>
            <w:tr w:rsidR="005D1807" w:rsidRPr="000739AC" w14:paraId="5EA0D611" w14:textId="77777777" w:rsidTr="00D656FB">
              <w:trPr>
                <w:trHeight w:val="384"/>
              </w:trPr>
              <w:tc>
                <w:tcPr>
                  <w:tcW w:w="2279" w:type="dxa"/>
                  <w:vMerge/>
                  <w:tcBorders>
                    <w:bottom w:val="single" w:sz="4" w:space="0" w:color="auto"/>
                  </w:tcBorders>
                  <w:shd w:val="clear" w:color="auto" w:fill="auto"/>
                  <w:vAlign w:val="center"/>
                  <w:hideMark/>
                </w:tcPr>
                <w:p w14:paraId="786B043E" w14:textId="77777777" w:rsidR="005D1807" w:rsidRPr="000739AC" w:rsidRDefault="005D1807" w:rsidP="00933CA4">
                  <w:pPr>
                    <w:framePr w:hSpace="180" w:wrap="around" w:hAnchor="margin" w:xAlign="center" w:y="540"/>
                    <w:spacing w:line="240" w:lineRule="auto"/>
                    <w:rPr>
                      <w:b w:val="0"/>
                      <w:bCs/>
                      <w:sz w:val="20"/>
                      <w:szCs w:val="20"/>
                    </w:rPr>
                  </w:pPr>
                </w:p>
              </w:tc>
              <w:tc>
                <w:tcPr>
                  <w:tcW w:w="2374" w:type="dxa"/>
                  <w:tcBorders>
                    <w:bottom w:val="single" w:sz="4" w:space="0" w:color="auto"/>
                  </w:tcBorders>
                  <w:shd w:val="clear" w:color="auto" w:fill="auto"/>
                  <w:vAlign w:val="center"/>
                </w:tcPr>
                <w:p w14:paraId="3C8EB6B5"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2023 Պետական բյուջե</w:t>
                  </w:r>
                </w:p>
              </w:tc>
              <w:tc>
                <w:tcPr>
                  <w:tcW w:w="1527" w:type="dxa"/>
                  <w:tcBorders>
                    <w:bottom w:val="single" w:sz="4" w:space="0" w:color="auto"/>
                  </w:tcBorders>
                  <w:shd w:val="clear" w:color="auto" w:fill="auto"/>
                </w:tcPr>
                <w:p w14:paraId="4A042514"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-3.7</w:t>
                  </w:r>
                </w:p>
              </w:tc>
              <w:tc>
                <w:tcPr>
                  <w:tcW w:w="1685" w:type="dxa"/>
                  <w:tcBorders>
                    <w:bottom w:val="single" w:sz="4" w:space="0" w:color="auto"/>
                  </w:tcBorders>
                  <w:shd w:val="clear" w:color="auto" w:fill="auto"/>
                  <w:noWrap/>
                </w:tcPr>
                <w:p w14:paraId="1C0F5C9D"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-4.2</w:t>
                  </w:r>
                </w:p>
              </w:tc>
              <w:tc>
                <w:tcPr>
                  <w:tcW w:w="1495" w:type="dxa"/>
                  <w:tcBorders>
                    <w:bottom w:val="single" w:sz="4" w:space="0" w:color="auto"/>
                  </w:tcBorders>
                  <w:shd w:val="clear" w:color="auto" w:fill="auto"/>
                  <w:vAlign w:val="center"/>
                </w:tcPr>
                <w:p w14:paraId="1460BF8A" w14:textId="77777777" w:rsidR="005D1807" w:rsidRPr="000739AC" w:rsidRDefault="005D1807" w:rsidP="00933CA4">
                  <w:pPr>
                    <w:framePr w:hSpace="180" w:wrap="around" w:hAnchor="margin" w:xAlign="center" w:y="540"/>
                    <w:spacing w:line="240" w:lineRule="auto"/>
                    <w:rPr>
                      <w:b w:val="0"/>
                      <w:bCs/>
                      <w:sz w:val="20"/>
                      <w:szCs w:val="20"/>
                    </w:rPr>
                  </w:pPr>
                  <w:r w:rsidRPr="000739AC">
                    <w:rPr>
                      <w:b w:val="0"/>
                      <w:bCs/>
                      <w:sz w:val="20"/>
                      <w:szCs w:val="20"/>
                    </w:rPr>
                    <w:t>-</w:t>
                  </w:r>
                </w:p>
              </w:tc>
            </w:tr>
          </w:tbl>
          <w:p w14:paraId="5B412836" w14:textId="77777777" w:rsidR="005D1807" w:rsidRPr="000739AC" w:rsidRDefault="005D1807" w:rsidP="005D1807">
            <w:pPr>
              <w:rPr>
                <w:b w:val="0"/>
                <w:bCs/>
                <w:sz w:val="20"/>
                <w:szCs w:val="20"/>
              </w:rPr>
            </w:pPr>
            <w:r w:rsidRPr="000739AC">
              <w:rPr>
                <w:rFonts w:eastAsia="Calibri"/>
                <w:b w:val="0"/>
                <w:bCs/>
                <w:sz w:val="20"/>
                <w:szCs w:val="20"/>
              </w:rPr>
              <w:t xml:space="preserve">* </w:t>
            </w:r>
            <w:r w:rsidRPr="000739AC">
              <w:rPr>
                <w:b w:val="0"/>
                <w:bCs/>
                <w:sz w:val="20"/>
                <w:szCs w:val="20"/>
              </w:rPr>
              <w:t xml:space="preserve">2024-2026 ՄԺԾԾ և 2024 պետական բյուջեի համար 2022թ. ցուցանիշները փաստացի են   </w:t>
            </w:r>
          </w:p>
          <w:p w14:paraId="6DB077E1" w14:textId="299F5339" w:rsidR="005D1807" w:rsidRDefault="005D1807" w:rsidP="005D1807">
            <w:pPr>
              <w:rPr>
                <w:b w:val="0"/>
                <w:bCs/>
                <w:sz w:val="20"/>
                <w:szCs w:val="20"/>
              </w:rPr>
            </w:pPr>
            <w:r w:rsidRPr="000739AC">
              <w:rPr>
                <w:b w:val="0"/>
                <w:bCs/>
                <w:sz w:val="20"/>
                <w:szCs w:val="20"/>
              </w:rPr>
              <w:t>Աղբյուրը ՝ ՀՀ ՖՆ կանխատեսումներ</w:t>
            </w:r>
          </w:p>
          <w:p w14:paraId="60487DD5" w14:textId="77777777" w:rsidR="00535E30" w:rsidRPr="000739AC" w:rsidRDefault="00535E30" w:rsidP="005D1807">
            <w:pPr>
              <w:rPr>
                <w:b w:val="0"/>
                <w:bCs/>
                <w:sz w:val="20"/>
                <w:szCs w:val="20"/>
              </w:rPr>
            </w:pPr>
          </w:p>
          <w:p w14:paraId="25F3F1E5" w14:textId="77777777" w:rsidR="005D1807" w:rsidRPr="000739AC" w:rsidRDefault="005D1807" w:rsidP="005D1807">
            <w:pPr>
              <w:rPr>
                <w:rFonts w:eastAsia="GHEA Grapalat"/>
                <w:b w:val="0"/>
                <w:bCs/>
                <w:sz w:val="20"/>
                <w:szCs w:val="20"/>
              </w:rPr>
            </w:pPr>
          </w:p>
        </w:tc>
      </w:tr>
    </w:tbl>
    <w:p w14:paraId="4CE04357" w14:textId="0CBB71D3" w:rsidR="00D178DD" w:rsidRPr="00922161" w:rsidRDefault="00D178DD" w:rsidP="0009272D">
      <w:pPr>
        <w:pStyle w:val="Heading1"/>
      </w:pPr>
      <w:bookmarkStart w:id="133" w:name="_Hlk152316655"/>
      <w:bookmarkStart w:id="134" w:name="_Toc153184468"/>
      <w:r w:rsidRPr="00922161">
        <w:lastRenderedPageBreak/>
        <w:t>ՄԱՍ I-Գ</w:t>
      </w:r>
      <w:bookmarkStart w:id="135" w:name="_Toc46154350"/>
      <w:r w:rsidRPr="00922161">
        <w:t>. ՀԱՐԿԱԲՅՈՒՋԵՏԱՅԻՆ ՔԱՂԱՔԱԿԱՆՈՒԹՅԱՆ ՀԻՄՆԱԿԱՆ ՈՒՂՂՈՒԹՅՈՒՆՆԵՐԸ ԵՎ ԿԱՆԽԱՏԵՍՈՒՄՆԵՐԸ</w:t>
      </w:r>
      <w:bookmarkEnd w:id="92"/>
      <w:bookmarkEnd w:id="93"/>
      <w:bookmarkEnd w:id="94"/>
      <w:bookmarkEnd w:id="95"/>
      <w:bookmarkEnd w:id="135"/>
      <w:bookmarkEnd w:id="134"/>
    </w:p>
    <w:bookmarkEnd w:id="133"/>
    <w:p w14:paraId="52844A07" w14:textId="77777777" w:rsidR="00D178DD" w:rsidRPr="00922161" w:rsidRDefault="00D178DD" w:rsidP="002E02D6">
      <w:pPr>
        <w:keepNext/>
        <w:tabs>
          <w:tab w:val="left" w:pos="567"/>
        </w:tabs>
        <w:spacing w:before="0"/>
        <w:rPr>
          <w:sz w:val="24"/>
          <w:lang w:val="hy-AM"/>
        </w:rPr>
      </w:pPr>
    </w:p>
    <w:p w14:paraId="3818DE30" w14:textId="77777777" w:rsidR="00D178DD" w:rsidRPr="00922161" w:rsidRDefault="00D178DD" w:rsidP="0038558B">
      <w:pPr>
        <w:keepNext/>
        <w:keepLines/>
        <w:spacing w:before="0"/>
        <w:ind w:firstLine="284"/>
        <w:outlineLvl w:val="2"/>
        <w:rPr>
          <w:rFonts w:eastAsiaTheme="majorEastAsia" w:cstheme="majorBidi"/>
          <w:bCs/>
          <w:color w:val="1F497D" w:themeColor="text2"/>
          <w:sz w:val="24"/>
          <w:lang w:val="hy-AM" w:eastAsia="en-US"/>
        </w:rPr>
      </w:pPr>
      <w:bookmarkStart w:id="136" w:name="_Toc46154351"/>
      <w:bookmarkStart w:id="137" w:name="_Toc57655453"/>
      <w:bookmarkStart w:id="138" w:name="_Toc83199221"/>
      <w:bookmarkStart w:id="139" w:name="_Toc83972837"/>
      <w:bookmarkStart w:id="140" w:name="_Toc115686025"/>
      <w:bookmarkStart w:id="141" w:name="_Toc153184469"/>
      <w:r w:rsidRPr="00922161">
        <w:rPr>
          <w:rFonts w:eastAsiaTheme="majorEastAsia" w:cstheme="majorBidi"/>
          <w:bCs/>
          <w:color w:val="1F497D" w:themeColor="text2"/>
          <w:sz w:val="24"/>
          <w:lang w:val="hy-AM" w:eastAsia="en-US"/>
        </w:rPr>
        <w:t xml:space="preserve">2.1. </w:t>
      </w:r>
      <w:bookmarkStart w:id="142" w:name="_Toc45838522"/>
      <w:r w:rsidRPr="00922161">
        <w:rPr>
          <w:rFonts w:eastAsiaTheme="majorEastAsia" w:cstheme="majorBidi"/>
          <w:bCs/>
          <w:color w:val="1F497D" w:themeColor="text2"/>
          <w:sz w:val="24"/>
          <w:lang w:val="hy-AM" w:eastAsia="en-US"/>
        </w:rPr>
        <w:t>ՀԱՐԿԱԲՅՈՒՋԵՏԱՅԻՆ ԸՆԴՀԱՆՈՒՐ ԱԿՆԱՐԿ ԵՎ ՀԱՐԿԱԲՅՈՒՋԵՏԱՅԻՆ ՇՐՋԱՆԱԿ</w:t>
      </w:r>
      <w:bookmarkEnd w:id="136"/>
      <w:bookmarkEnd w:id="137"/>
      <w:bookmarkEnd w:id="138"/>
      <w:bookmarkEnd w:id="139"/>
      <w:bookmarkEnd w:id="140"/>
      <w:bookmarkEnd w:id="142"/>
      <w:bookmarkEnd w:id="141"/>
    </w:p>
    <w:p w14:paraId="0E91C0AD" w14:textId="77777777" w:rsidR="00730639" w:rsidRPr="00F46689" w:rsidRDefault="00730639"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bookmarkStart w:id="143" w:name="_Toc45838524"/>
      <w:bookmarkStart w:id="144" w:name="_Toc46154353"/>
      <w:bookmarkStart w:id="145" w:name="_Toc57655454"/>
      <w:bookmarkStart w:id="146" w:name="_Toc83199222"/>
      <w:bookmarkStart w:id="147" w:name="_Toc83972838"/>
      <w:bookmarkStart w:id="148" w:name="_Toc115686026"/>
      <w:r w:rsidRPr="00F46689">
        <w:rPr>
          <w:rFonts w:eastAsia="Calibri" w:cs="Arial"/>
          <w:b w:val="0"/>
          <w:bCs/>
          <w:kern w:val="2"/>
          <w:szCs w:val="22"/>
          <w:lang w:val="hy-AM"/>
          <w14:ligatures w14:val="standardContextual"/>
        </w:rPr>
        <w:t>2022 թ. բարձր տնտեսական աճը և հարկաբյուջետային քաղաքականության ջանքերը թույլ են տվել ապահովելու ՀՆԱ համեմատությամբ պետական բյուջեի պակասուրդի և կառավարության պարտքի նվազում, որը հիմքեր է ստեղծել 2022-2026 թթ. պարտքի բեռի նվազեցման ծրագրի թիրախների իրականացման համար։ ՀՆԱ-ի նկատմամբ 2022թ. պետական բյուջեի պակասուրդը կազմել է 2.1%՝ նախորդ տարվա համեմատ նվազելով 2.5 տոկոսային կետով: ՀՀ կառավարության պարտք/ՀՆԱ ցուցանիշը կազմել է 46.7%՝ նախորդ տարվա նկատմամբ նվազելով 13.6 տոկոսային կետով:</w:t>
      </w:r>
    </w:p>
    <w:p w14:paraId="08996F9D" w14:textId="77777777" w:rsidR="00730639" w:rsidRPr="00F46689" w:rsidRDefault="00730639"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2023 թվականի առաջին կիսամյակում բարձր տնտեսական աճի պայմաններում հարկաբյուջետային քաղաքականությունն ամբողջական պահանջարկի վրա ունեցել է զսպող ազդեցութուն: Սպասվում է, որ տնտեսական ընթացիկ տնտեսական միտումների  պայմաններում հարկաբյուջետային քաղաքականության  զսպող ազդեցությունը կպահպանվի:</w:t>
      </w:r>
    </w:p>
    <w:p w14:paraId="015B8772" w14:textId="77777777" w:rsidR="00730639" w:rsidRPr="00F46689" w:rsidRDefault="00730639"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2023 թվականի առաջին ութ ամիսներին հարկման բազաների բարձր աճի և 2022 թվականի հարկային օրենսդրության փոփոխությունների պայմաններում ՀՀ պետական բյուջեի հարկային եկամուտներն աճել են ՀՆԱ անվանական աճը գերազանցող՝ շուրջ 15.5% տեմպով: Արդյունքում ակնկալվում է, որ հարկեր/ՀՆԱ հարաբերակցությունը նախորդ տարվա համեմատ կբարելավվի 1.0 տոկոսային կետով՝ հասնելով 24.1%-ի, ինչի պայմաններում կձևավորվի հարկային եկամուտների 2277.8 մլրդ դրամ ցուցանիշ` ներառյալ եկամտային հարկի վերադարձը։</w:t>
      </w:r>
    </w:p>
    <w:p w14:paraId="2F67D6BD" w14:textId="77777777" w:rsidR="00730639" w:rsidRPr="00F46689" w:rsidRDefault="00730639"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2024 թվականին կառավարությունը նախատեսում է պահպանել հարկային վարչարարության բարելավմանն տեմպերը, ինչպես նաև իրականացնել հարկային օրենսդրության բարեփոխումներ, որոնց արդյունքում ակնկալվում է ապահովել հարկեր/ՀՆԱ հարաբերակցության շուրջ 0.75 տոկոսային կետով բարելավում:</w:t>
      </w:r>
    </w:p>
    <w:p w14:paraId="3DA5DE96" w14:textId="77777777" w:rsidR="00730639" w:rsidRPr="00F46689" w:rsidRDefault="00730639" w:rsidP="00F46689">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F46689">
        <w:rPr>
          <w:rFonts w:eastAsia="Calibri" w:cs="Arial"/>
          <w:b w:val="0"/>
          <w:bCs/>
          <w:kern w:val="2"/>
          <w:szCs w:val="22"/>
          <w:lang w:val="hy-AM"/>
          <w14:ligatures w14:val="standardContextual"/>
        </w:rPr>
        <w:t>2024 թվականին հարկաբյուջետային քաղաքականությունը ՀՀ կառավարության 2021-2026թթ. ծրագրին համահունչ ուղղված կլինի թիրախավորված 7% տնտեսական աճի ապահովմանը՝ շեշտադրելով պետական ներդրումների մասնաբաժնի էական մեծացումը (կապիտալ ծախսերի կշիռը ՀՆԱ-ում հասցնելով 6.6%-ի) և ծախսերի իրականացման արդյունավետության բարձրացումը, ինչպես նաև՝ պարտքի կայունության պահպանմանը: Ընդ որում հարկաբյուջետային քաղաքականությունը ամբողջական պահանջարկի վրա 2024թ. կունենա չեզոք ազդեցություն և միաժամանակ կխթանի ներուժային տնտեսական աճը:</w:t>
      </w:r>
    </w:p>
    <w:p w14:paraId="1F59023D" w14:textId="77777777" w:rsidR="00730639" w:rsidRPr="00E126C7" w:rsidRDefault="00730639" w:rsidP="00F46689">
      <w:pPr>
        <w:pStyle w:val="ListParagraph"/>
        <w:numPr>
          <w:ilvl w:val="0"/>
          <w:numId w:val="55"/>
        </w:numPr>
        <w:tabs>
          <w:tab w:val="left" w:pos="284"/>
        </w:tabs>
        <w:suppressAutoHyphens/>
        <w:spacing w:before="0" w:after="160"/>
        <w:ind w:left="0" w:firstLine="0"/>
        <w:rPr>
          <w:rFonts w:cs="Arial"/>
          <w:b w:val="0"/>
          <w:szCs w:val="22"/>
          <w:lang w:val="hy-AM" w:eastAsia="en-US"/>
        </w:rPr>
      </w:pPr>
      <w:r w:rsidRPr="00F46689">
        <w:rPr>
          <w:rFonts w:eastAsia="Calibri" w:cs="Arial"/>
          <w:b w:val="0"/>
          <w:bCs/>
          <w:kern w:val="2"/>
          <w:szCs w:val="22"/>
          <w:lang w:val="hy-AM"/>
          <w14:ligatures w14:val="standardContextual"/>
        </w:rPr>
        <w:lastRenderedPageBreak/>
        <w:t>Նշված հարկաբյուջետային նպատակների իրականացումը բախվում է ռիսկերի կապված միջազգային</w:t>
      </w:r>
      <w:r w:rsidRPr="004A1E79">
        <w:rPr>
          <w:rFonts w:cs="Arial"/>
          <w:b w:val="0"/>
          <w:szCs w:val="22"/>
          <w:lang w:val="hy-AM" w:eastAsia="en-US"/>
        </w:rPr>
        <w:t xml:space="preserve"> ու տարածաշրջանային անբարենպաստ տնտեսական զարգացումների, Հայաստանի  անվտանգային միջավայրի վատթարացման, տնտեսության ներքին մարտահրավերներների հաղթահարման դժվարությունների հետ։ Այդ ռիսկերի կառավարումը իրականացվում է «անվտանգության բարձիկների» ստեղծման ճանապարհով, մասնավորապես  ընթացիկ ծախսերի կազմում պահուստային ֆոնդի նախատեսմամբ, ինչպես նաև իրացվելիության անհրաժեշտ մակարդակ երաշխավորելու համար գանձապետական կայունացման հաշվում անհրաժեշտ միջոցների ապահովմամբ։</w:t>
      </w:r>
    </w:p>
    <w:p w14:paraId="34B7A2F2" w14:textId="77777777" w:rsidR="00730639" w:rsidRDefault="00730639" w:rsidP="00730639">
      <w:pPr>
        <w:spacing w:before="0"/>
        <w:rPr>
          <w:rFonts w:eastAsia="Calibri" w:cs="Arial"/>
          <w:iCs/>
          <w:szCs w:val="22"/>
          <w:lang w:val="hy-AM" w:eastAsia="en-US"/>
        </w:rPr>
      </w:pPr>
    </w:p>
    <w:p w14:paraId="03F2EE04" w14:textId="77777777" w:rsidR="00730639" w:rsidRPr="007B2906" w:rsidRDefault="00730639" w:rsidP="00730639">
      <w:pPr>
        <w:spacing w:before="0"/>
        <w:rPr>
          <w:rFonts w:cs="Calibri"/>
          <w:b w:val="0"/>
          <w:iCs/>
          <w:szCs w:val="22"/>
          <w:lang w:val="hy-AM" w:eastAsia="en-US"/>
        </w:rPr>
      </w:pPr>
      <w:r w:rsidRPr="00654AEF">
        <w:rPr>
          <w:rFonts w:eastAsia="Calibri" w:cs="Arial"/>
          <w:iCs/>
          <w:szCs w:val="22"/>
          <w:lang w:val="hy-AM" w:eastAsia="en-US"/>
        </w:rPr>
        <w:t xml:space="preserve">Աղյուսակ 2.1. </w:t>
      </w:r>
      <w:r w:rsidRPr="00654AEF">
        <w:rPr>
          <w:rFonts w:eastAsia="Calibri" w:cs="Arial"/>
          <w:b w:val="0"/>
          <w:bCs/>
          <w:iCs/>
          <w:szCs w:val="22"/>
          <w:lang w:val="hy-AM" w:eastAsia="en-US"/>
        </w:rPr>
        <w:t xml:space="preserve">2024թ. պետական բյուջեի հարկաբյուջետային շրջանակ, </w:t>
      </w:r>
      <w:r w:rsidRPr="00654AEF">
        <w:rPr>
          <w:rFonts w:cs="Calibri"/>
          <w:b w:val="0"/>
          <w:iCs/>
          <w:szCs w:val="22"/>
          <w:lang w:val="hy-AM" w:eastAsia="en-US"/>
        </w:rPr>
        <w:t>մլրդ դրամ</w:t>
      </w:r>
      <w:r w:rsidRPr="001C5EA5">
        <w:rPr>
          <w:rFonts w:cs="Calibri"/>
          <w:b w:val="0"/>
          <w:iCs/>
          <w:szCs w:val="22"/>
          <w:lang w:val="hy-AM" w:eastAsia="en-US"/>
        </w:rPr>
        <w:t>*</w:t>
      </w:r>
    </w:p>
    <w:tbl>
      <w:tblPr>
        <w:tblW w:w="9000" w:type="dxa"/>
        <w:tblLook w:val="04A0" w:firstRow="1" w:lastRow="0" w:firstColumn="1" w:lastColumn="0" w:noHBand="0" w:noVBand="1"/>
      </w:tblPr>
      <w:tblGrid>
        <w:gridCol w:w="4000"/>
        <w:gridCol w:w="1000"/>
        <w:gridCol w:w="1000"/>
        <w:gridCol w:w="1000"/>
        <w:gridCol w:w="1000"/>
        <w:gridCol w:w="1000"/>
      </w:tblGrid>
      <w:tr w:rsidR="00730639" w:rsidRPr="00603957" w14:paraId="5975DFA4" w14:textId="77777777" w:rsidTr="00D656FB">
        <w:trPr>
          <w:trHeight w:val="360"/>
        </w:trPr>
        <w:tc>
          <w:tcPr>
            <w:tcW w:w="4000" w:type="dxa"/>
            <w:shd w:val="clear" w:color="auto" w:fill="FFFFFF" w:themeFill="background1"/>
            <w:noWrap/>
            <w:vAlign w:val="center"/>
            <w:hideMark/>
          </w:tcPr>
          <w:p w14:paraId="19A1C99A" w14:textId="77777777" w:rsidR="00730639" w:rsidRPr="00603957" w:rsidRDefault="00730639" w:rsidP="00D656FB">
            <w:pPr>
              <w:spacing w:before="0" w:line="240" w:lineRule="auto"/>
              <w:rPr>
                <w:rFonts w:ascii="Calibri" w:hAnsi="Calibri" w:cs="Calibri"/>
                <w:b w:val="0"/>
                <w:sz w:val="18"/>
                <w:szCs w:val="18"/>
                <w:lang w:val="hy-AM" w:eastAsia="en-US"/>
              </w:rPr>
            </w:pPr>
            <w:r w:rsidRPr="00603957">
              <w:rPr>
                <w:rFonts w:ascii="Calibri" w:hAnsi="Calibri" w:cs="Calibri"/>
                <w:b w:val="0"/>
                <w:sz w:val="18"/>
                <w:szCs w:val="18"/>
                <w:lang w:val="hy-AM" w:eastAsia="en-US"/>
              </w:rPr>
              <w:t> </w:t>
            </w:r>
          </w:p>
        </w:tc>
        <w:tc>
          <w:tcPr>
            <w:tcW w:w="1000" w:type="dxa"/>
            <w:tcBorders>
              <w:bottom w:val="single" w:sz="4" w:space="0" w:color="auto"/>
            </w:tcBorders>
            <w:shd w:val="clear" w:color="auto" w:fill="FFFFFF" w:themeFill="background1"/>
            <w:noWrap/>
            <w:vAlign w:val="center"/>
            <w:hideMark/>
          </w:tcPr>
          <w:p w14:paraId="6EBFCA9F"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2020</w:t>
            </w:r>
          </w:p>
        </w:tc>
        <w:tc>
          <w:tcPr>
            <w:tcW w:w="1000" w:type="dxa"/>
            <w:tcBorders>
              <w:bottom w:val="single" w:sz="4" w:space="0" w:color="auto"/>
            </w:tcBorders>
            <w:shd w:val="clear" w:color="auto" w:fill="FFFFFF" w:themeFill="background1"/>
            <w:noWrap/>
            <w:vAlign w:val="center"/>
            <w:hideMark/>
          </w:tcPr>
          <w:p w14:paraId="4ECD2002"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2021</w:t>
            </w:r>
          </w:p>
        </w:tc>
        <w:tc>
          <w:tcPr>
            <w:tcW w:w="1000" w:type="dxa"/>
            <w:tcBorders>
              <w:bottom w:val="single" w:sz="4" w:space="0" w:color="auto"/>
            </w:tcBorders>
            <w:shd w:val="clear" w:color="auto" w:fill="FFFFFF" w:themeFill="background1"/>
            <w:noWrap/>
            <w:vAlign w:val="center"/>
            <w:hideMark/>
          </w:tcPr>
          <w:p w14:paraId="2E51DC72"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2022</w:t>
            </w:r>
          </w:p>
        </w:tc>
        <w:tc>
          <w:tcPr>
            <w:tcW w:w="1000" w:type="dxa"/>
            <w:shd w:val="clear" w:color="auto" w:fill="FFFFFF" w:themeFill="background1"/>
            <w:noWrap/>
            <w:vAlign w:val="center"/>
            <w:hideMark/>
          </w:tcPr>
          <w:p w14:paraId="1582D496"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2023</w:t>
            </w:r>
          </w:p>
        </w:tc>
        <w:tc>
          <w:tcPr>
            <w:tcW w:w="1000" w:type="dxa"/>
            <w:tcBorders>
              <w:bottom w:val="single" w:sz="4" w:space="0" w:color="auto"/>
            </w:tcBorders>
            <w:shd w:val="clear" w:color="auto" w:fill="FFFFFF" w:themeFill="background1"/>
            <w:noWrap/>
            <w:vAlign w:val="center"/>
            <w:hideMark/>
          </w:tcPr>
          <w:p w14:paraId="572249CB"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2024</w:t>
            </w:r>
          </w:p>
        </w:tc>
      </w:tr>
      <w:tr w:rsidR="00730639" w:rsidRPr="00603957" w14:paraId="70621A94" w14:textId="77777777" w:rsidTr="00D656FB">
        <w:trPr>
          <w:trHeight w:val="345"/>
        </w:trPr>
        <w:tc>
          <w:tcPr>
            <w:tcW w:w="4000" w:type="dxa"/>
            <w:shd w:val="clear" w:color="auto" w:fill="FFFFFF" w:themeFill="background1"/>
            <w:noWrap/>
            <w:vAlign w:val="center"/>
            <w:hideMark/>
          </w:tcPr>
          <w:p w14:paraId="1A1169D3" w14:textId="77777777" w:rsidR="00730639" w:rsidRPr="00603957" w:rsidRDefault="00730639" w:rsidP="00D656FB">
            <w:pPr>
              <w:spacing w:before="0" w:line="240" w:lineRule="auto"/>
              <w:jc w:val="center"/>
              <w:rPr>
                <w:rFonts w:cs="Calibri"/>
                <w:b w:val="0"/>
                <w:i/>
                <w:iCs/>
                <w:sz w:val="18"/>
                <w:szCs w:val="18"/>
                <w:lang w:val="en-US" w:eastAsia="en-US"/>
              </w:rPr>
            </w:pPr>
            <w:r w:rsidRPr="00603957">
              <w:rPr>
                <w:rFonts w:cs="Calibri"/>
                <w:b w:val="0"/>
                <w:i/>
                <w:iCs/>
                <w:sz w:val="18"/>
                <w:szCs w:val="18"/>
                <w:lang w:val="en-US" w:eastAsia="en-US"/>
              </w:rPr>
              <w:t>մլրդ դրամ</w:t>
            </w:r>
          </w:p>
        </w:tc>
        <w:tc>
          <w:tcPr>
            <w:tcW w:w="3000" w:type="dxa"/>
            <w:gridSpan w:val="3"/>
            <w:tcBorders>
              <w:top w:val="single" w:sz="4" w:space="0" w:color="auto"/>
            </w:tcBorders>
            <w:shd w:val="clear" w:color="auto" w:fill="FFFFFF" w:themeFill="background1"/>
            <w:noWrap/>
            <w:vAlign w:val="center"/>
            <w:hideMark/>
          </w:tcPr>
          <w:p w14:paraId="291595ED"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Փաստացի</w:t>
            </w:r>
          </w:p>
        </w:tc>
        <w:tc>
          <w:tcPr>
            <w:tcW w:w="1000" w:type="dxa"/>
            <w:shd w:val="clear" w:color="auto" w:fill="FFFFFF" w:themeFill="background1"/>
            <w:noWrap/>
            <w:vAlign w:val="center"/>
            <w:hideMark/>
          </w:tcPr>
          <w:p w14:paraId="3C256982"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Սպասում</w:t>
            </w:r>
          </w:p>
        </w:tc>
        <w:tc>
          <w:tcPr>
            <w:tcW w:w="1000" w:type="dxa"/>
            <w:tcBorders>
              <w:top w:val="single" w:sz="4" w:space="0" w:color="auto"/>
            </w:tcBorders>
            <w:shd w:val="clear" w:color="auto" w:fill="FFFFFF" w:themeFill="background1"/>
            <w:noWrap/>
            <w:vAlign w:val="center"/>
            <w:hideMark/>
          </w:tcPr>
          <w:p w14:paraId="024D73DA"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Բյուջե</w:t>
            </w:r>
          </w:p>
        </w:tc>
      </w:tr>
      <w:tr w:rsidR="00730639" w:rsidRPr="00603957" w14:paraId="7A36B672" w14:textId="77777777" w:rsidTr="00D656FB">
        <w:trPr>
          <w:trHeight w:val="345"/>
        </w:trPr>
        <w:tc>
          <w:tcPr>
            <w:tcW w:w="4000" w:type="dxa"/>
            <w:shd w:val="clear" w:color="auto" w:fill="auto"/>
            <w:vAlign w:val="center"/>
            <w:hideMark/>
          </w:tcPr>
          <w:p w14:paraId="7EA29C4C"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1</w:t>
            </w:r>
          </w:p>
        </w:tc>
        <w:tc>
          <w:tcPr>
            <w:tcW w:w="1000" w:type="dxa"/>
            <w:shd w:val="clear" w:color="auto" w:fill="auto"/>
            <w:noWrap/>
            <w:vAlign w:val="center"/>
            <w:hideMark/>
          </w:tcPr>
          <w:p w14:paraId="3F52FC2E"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2</w:t>
            </w:r>
          </w:p>
        </w:tc>
        <w:tc>
          <w:tcPr>
            <w:tcW w:w="1000" w:type="dxa"/>
            <w:shd w:val="clear" w:color="auto" w:fill="auto"/>
            <w:vAlign w:val="center"/>
            <w:hideMark/>
          </w:tcPr>
          <w:p w14:paraId="6DA15231"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3</w:t>
            </w:r>
          </w:p>
        </w:tc>
        <w:tc>
          <w:tcPr>
            <w:tcW w:w="1000" w:type="dxa"/>
            <w:shd w:val="clear" w:color="auto" w:fill="auto"/>
            <w:noWrap/>
            <w:vAlign w:val="center"/>
            <w:hideMark/>
          </w:tcPr>
          <w:p w14:paraId="60DB07B4"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4</w:t>
            </w:r>
          </w:p>
        </w:tc>
        <w:tc>
          <w:tcPr>
            <w:tcW w:w="1000" w:type="dxa"/>
            <w:shd w:val="clear" w:color="auto" w:fill="FFFFFF" w:themeFill="background1"/>
            <w:noWrap/>
            <w:vAlign w:val="center"/>
            <w:hideMark/>
          </w:tcPr>
          <w:p w14:paraId="4DC35F6E"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5</w:t>
            </w:r>
          </w:p>
        </w:tc>
        <w:tc>
          <w:tcPr>
            <w:tcW w:w="1000" w:type="dxa"/>
            <w:shd w:val="clear" w:color="auto" w:fill="FFFFFF" w:themeFill="background1"/>
            <w:noWrap/>
            <w:vAlign w:val="center"/>
            <w:hideMark/>
          </w:tcPr>
          <w:p w14:paraId="5B30CD09" w14:textId="77777777" w:rsidR="00730639" w:rsidRPr="00603957" w:rsidRDefault="00730639" w:rsidP="00D656FB">
            <w:pPr>
              <w:spacing w:before="0" w:line="240" w:lineRule="auto"/>
              <w:jc w:val="center"/>
              <w:rPr>
                <w:rFonts w:cs="Calibri"/>
                <w:b w:val="0"/>
                <w:sz w:val="18"/>
                <w:szCs w:val="18"/>
                <w:lang w:val="en-US" w:eastAsia="en-US"/>
              </w:rPr>
            </w:pPr>
            <w:r w:rsidRPr="00603957">
              <w:rPr>
                <w:rFonts w:cs="Calibri"/>
                <w:b w:val="0"/>
                <w:sz w:val="18"/>
                <w:szCs w:val="18"/>
                <w:lang w:val="en-US" w:eastAsia="en-US"/>
              </w:rPr>
              <w:t>6</w:t>
            </w:r>
          </w:p>
        </w:tc>
      </w:tr>
      <w:tr w:rsidR="00730639" w:rsidRPr="00603957" w14:paraId="3FFC2717" w14:textId="77777777" w:rsidTr="00D656FB">
        <w:trPr>
          <w:trHeight w:val="345"/>
        </w:trPr>
        <w:tc>
          <w:tcPr>
            <w:tcW w:w="4000" w:type="dxa"/>
            <w:shd w:val="clear" w:color="auto" w:fill="auto"/>
            <w:vAlign w:val="center"/>
            <w:hideMark/>
          </w:tcPr>
          <w:p w14:paraId="20022E00"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 xml:space="preserve">Պետական բյուջեի եկամուտներ </w:t>
            </w:r>
          </w:p>
        </w:tc>
        <w:tc>
          <w:tcPr>
            <w:tcW w:w="1000" w:type="dxa"/>
            <w:shd w:val="clear" w:color="auto" w:fill="auto"/>
            <w:noWrap/>
            <w:vAlign w:val="center"/>
            <w:hideMark/>
          </w:tcPr>
          <w:p w14:paraId="0EAB6FC6"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1,574.0</w:t>
            </w:r>
          </w:p>
        </w:tc>
        <w:tc>
          <w:tcPr>
            <w:tcW w:w="1000" w:type="dxa"/>
            <w:shd w:val="clear" w:color="auto" w:fill="auto"/>
            <w:noWrap/>
            <w:vAlign w:val="center"/>
            <w:hideMark/>
          </w:tcPr>
          <w:p w14:paraId="61EBB421"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1,706.6</w:t>
            </w:r>
          </w:p>
        </w:tc>
        <w:tc>
          <w:tcPr>
            <w:tcW w:w="1000" w:type="dxa"/>
            <w:shd w:val="clear" w:color="auto" w:fill="auto"/>
            <w:noWrap/>
            <w:vAlign w:val="center"/>
            <w:hideMark/>
          </w:tcPr>
          <w:p w14:paraId="2A6A2E7B"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2,099.6</w:t>
            </w:r>
          </w:p>
        </w:tc>
        <w:tc>
          <w:tcPr>
            <w:tcW w:w="1000" w:type="dxa"/>
            <w:shd w:val="clear" w:color="auto" w:fill="FFFFFF" w:themeFill="background1"/>
            <w:noWrap/>
            <w:vAlign w:val="center"/>
            <w:hideMark/>
          </w:tcPr>
          <w:p w14:paraId="4685EC0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2,408.1</w:t>
            </w:r>
          </w:p>
        </w:tc>
        <w:tc>
          <w:tcPr>
            <w:tcW w:w="1000" w:type="dxa"/>
            <w:shd w:val="clear" w:color="auto" w:fill="FFFFFF" w:themeFill="background1"/>
            <w:noWrap/>
            <w:vAlign w:val="center"/>
            <w:hideMark/>
          </w:tcPr>
          <w:p w14:paraId="1ABC2C4C"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2,723.6</w:t>
            </w:r>
          </w:p>
        </w:tc>
      </w:tr>
      <w:tr w:rsidR="00730639" w:rsidRPr="00603957" w14:paraId="3DDAE2AE" w14:textId="77777777" w:rsidTr="00D656FB">
        <w:trPr>
          <w:trHeight w:val="345"/>
        </w:trPr>
        <w:tc>
          <w:tcPr>
            <w:tcW w:w="4000" w:type="dxa"/>
            <w:shd w:val="clear" w:color="auto" w:fill="auto"/>
            <w:vAlign w:val="center"/>
            <w:hideMark/>
          </w:tcPr>
          <w:p w14:paraId="47748222" w14:textId="77777777" w:rsidR="00730639" w:rsidRPr="00603957" w:rsidRDefault="00730639" w:rsidP="00D656FB">
            <w:pPr>
              <w:spacing w:before="0" w:line="240" w:lineRule="auto"/>
              <w:ind w:firstLineChars="100" w:firstLine="180"/>
              <w:jc w:val="left"/>
              <w:rPr>
                <w:rFonts w:cs="Calibri"/>
                <w:b w:val="0"/>
                <w:sz w:val="18"/>
                <w:szCs w:val="18"/>
                <w:lang w:val="en-US" w:eastAsia="en-US"/>
              </w:rPr>
            </w:pPr>
            <w:r w:rsidRPr="00603957">
              <w:rPr>
                <w:rFonts w:cs="Calibri"/>
                <w:b w:val="0"/>
                <w:sz w:val="18"/>
                <w:szCs w:val="18"/>
                <w:lang w:val="en-US" w:eastAsia="en-US"/>
              </w:rPr>
              <w:t>Հարկային եկամուտներ և տուրքեր</w:t>
            </w:r>
          </w:p>
        </w:tc>
        <w:tc>
          <w:tcPr>
            <w:tcW w:w="1000" w:type="dxa"/>
            <w:shd w:val="clear" w:color="auto" w:fill="auto"/>
            <w:noWrap/>
            <w:vAlign w:val="center"/>
            <w:hideMark/>
          </w:tcPr>
          <w:p w14:paraId="5BB137F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1,398.6</w:t>
            </w:r>
          </w:p>
        </w:tc>
        <w:tc>
          <w:tcPr>
            <w:tcW w:w="1000" w:type="dxa"/>
            <w:shd w:val="clear" w:color="auto" w:fill="auto"/>
            <w:noWrap/>
            <w:vAlign w:val="center"/>
            <w:hideMark/>
          </w:tcPr>
          <w:p w14:paraId="38BC712B"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1,609.6</w:t>
            </w:r>
          </w:p>
        </w:tc>
        <w:tc>
          <w:tcPr>
            <w:tcW w:w="1000" w:type="dxa"/>
            <w:shd w:val="clear" w:color="auto" w:fill="auto"/>
            <w:noWrap/>
            <w:vAlign w:val="center"/>
            <w:hideMark/>
          </w:tcPr>
          <w:p w14:paraId="304E5D2F"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1,962.5</w:t>
            </w:r>
          </w:p>
        </w:tc>
        <w:tc>
          <w:tcPr>
            <w:tcW w:w="1000" w:type="dxa"/>
            <w:shd w:val="clear" w:color="auto" w:fill="FFFFFF" w:themeFill="background1"/>
            <w:noWrap/>
            <w:vAlign w:val="center"/>
            <w:hideMark/>
          </w:tcPr>
          <w:p w14:paraId="4959906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2,277.8</w:t>
            </w:r>
          </w:p>
        </w:tc>
        <w:tc>
          <w:tcPr>
            <w:tcW w:w="1000" w:type="dxa"/>
            <w:shd w:val="clear" w:color="auto" w:fill="FFFFFF" w:themeFill="background1"/>
            <w:noWrap/>
            <w:vAlign w:val="center"/>
            <w:hideMark/>
          </w:tcPr>
          <w:p w14:paraId="0C052EA3"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2,613.6</w:t>
            </w:r>
          </w:p>
        </w:tc>
      </w:tr>
      <w:tr w:rsidR="00730639" w:rsidRPr="00603957" w14:paraId="10707CB3" w14:textId="77777777" w:rsidTr="00D656FB">
        <w:trPr>
          <w:trHeight w:val="555"/>
        </w:trPr>
        <w:tc>
          <w:tcPr>
            <w:tcW w:w="4000" w:type="dxa"/>
            <w:tcBorders>
              <w:bottom w:val="single" w:sz="4" w:space="0" w:color="auto"/>
            </w:tcBorders>
            <w:shd w:val="clear" w:color="auto" w:fill="auto"/>
            <w:vAlign w:val="center"/>
            <w:hideMark/>
          </w:tcPr>
          <w:p w14:paraId="11370149" w14:textId="77777777" w:rsidR="00730639" w:rsidRPr="00603957" w:rsidRDefault="00730639" w:rsidP="00D656FB">
            <w:pPr>
              <w:spacing w:before="0" w:line="240" w:lineRule="auto"/>
              <w:ind w:left="440"/>
              <w:jc w:val="left"/>
              <w:rPr>
                <w:rFonts w:cs="Calibri"/>
                <w:b w:val="0"/>
                <w:sz w:val="18"/>
                <w:szCs w:val="18"/>
                <w:lang w:eastAsia="en-US"/>
              </w:rPr>
            </w:pPr>
            <w:r w:rsidRPr="00603957">
              <w:rPr>
                <w:rFonts w:cs="Calibri"/>
                <w:b w:val="0"/>
                <w:sz w:val="18"/>
                <w:szCs w:val="18"/>
                <w:lang w:val="en-US" w:eastAsia="en-US"/>
              </w:rPr>
              <w:t>որից</w:t>
            </w:r>
            <w:r w:rsidRPr="00603957">
              <w:rPr>
                <w:rFonts w:cs="Calibri"/>
                <w:b w:val="0"/>
                <w:sz w:val="18"/>
                <w:szCs w:val="18"/>
                <w:lang w:eastAsia="en-US"/>
              </w:rPr>
              <w:t xml:space="preserve"> </w:t>
            </w:r>
            <w:r w:rsidRPr="00603957">
              <w:rPr>
                <w:rFonts w:cs="Calibri"/>
                <w:b w:val="0"/>
                <w:sz w:val="18"/>
                <w:szCs w:val="18"/>
                <w:lang w:val="en-US" w:eastAsia="en-US"/>
              </w:rPr>
              <w:t>հիպոթեքի</w:t>
            </w:r>
            <w:r w:rsidRPr="00603957">
              <w:rPr>
                <w:rFonts w:cs="Calibri"/>
                <w:b w:val="0"/>
                <w:sz w:val="18"/>
                <w:szCs w:val="18"/>
                <w:lang w:eastAsia="en-US"/>
              </w:rPr>
              <w:t xml:space="preserve"> </w:t>
            </w:r>
            <w:r w:rsidRPr="00603957">
              <w:rPr>
                <w:rFonts w:cs="Calibri"/>
                <w:b w:val="0"/>
                <w:sz w:val="18"/>
                <w:szCs w:val="18"/>
                <w:lang w:val="en-US" w:eastAsia="en-US"/>
              </w:rPr>
              <w:t>տոկոսագումարների</w:t>
            </w:r>
            <w:r w:rsidRPr="00603957">
              <w:rPr>
                <w:rFonts w:cs="Calibri"/>
                <w:b w:val="0"/>
                <w:sz w:val="18"/>
                <w:szCs w:val="18"/>
                <w:lang w:eastAsia="en-US"/>
              </w:rPr>
              <w:t xml:space="preserve"> </w:t>
            </w:r>
            <w:r w:rsidRPr="00603957">
              <w:rPr>
                <w:rFonts w:cs="Calibri"/>
                <w:b w:val="0"/>
                <w:sz w:val="18"/>
                <w:szCs w:val="18"/>
                <w:lang w:val="en-US" w:eastAsia="en-US"/>
              </w:rPr>
              <w:t>գծով</w:t>
            </w:r>
            <w:r w:rsidRPr="00603957">
              <w:rPr>
                <w:rFonts w:cs="Calibri"/>
                <w:b w:val="0"/>
                <w:sz w:val="18"/>
                <w:szCs w:val="18"/>
                <w:lang w:eastAsia="en-US"/>
              </w:rPr>
              <w:t xml:space="preserve"> </w:t>
            </w:r>
            <w:r w:rsidRPr="00603957">
              <w:rPr>
                <w:rFonts w:cs="Calibri"/>
                <w:b w:val="0"/>
                <w:sz w:val="18"/>
                <w:szCs w:val="18"/>
                <w:lang w:val="en-US" w:eastAsia="en-US"/>
              </w:rPr>
              <w:t>եկամտային</w:t>
            </w:r>
            <w:r w:rsidRPr="00603957">
              <w:rPr>
                <w:rFonts w:cs="Calibri"/>
                <w:b w:val="0"/>
                <w:sz w:val="18"/>
                <w:szCs w:val="18"/>
                <w:lang w:eastAsia="en-US"/>
              </w:rPr>
              <w:t xml:space="preserve"> </w:t>
            </w:r>
            <w:r w:rsidRPr="00603957">
              <w:rPr>
                <w:rFonts w:cs="Calibri"/>
                <w:b w:val="0"/>
                <w:sz w:val="18"/>
                <w:szCs w:val="18"/>
                <w:lang w:val="en-US" w:eastAsia="en-US"/>
              </w:rPr>
              <w:t>հարկի</w:t>
            </w:r>
            <w:r w:rsidRPr="00603957">
              <w:rPr>
                <w:rFonts w:cs="Calibri"/>
                <w:b w:val="0"/>
                <w:sz w:val="18"/>
                <w:szCs w:val="18"/>
                <w:lang w:eastAsia="en-US"/>
              </w:rPr>
              <w:t xml:space="preserve"> </w:t>
            </w:r>
            <w:r w:rsidRPr="00603957">
              <w:rPr>
                <w:rFonts w:cs="Calibri"/>
                <w:b w:val="0"/>
                <w:sz w:val="18"/>
                <w:szCs w:val="18"/>
                <w:lang w:val="en-US" w:eastAsia="en-US"/>
              </w:rPr>
              <w:t>վերադարձ</w:t>
            </w:r>
          </w:p>
        </w:tc>
        <w:tc>
          <w:tcPr>
            <w:tcW w:w="1000" w:type="dxa"/>
            <w:tcBorders>
              <w:bottom w:val="single" w:sz="4" w:space="0" w:color="auto"/>
            </w:tcBorders>
            <w:shd w:val="clear" w:color="auto" w:fill="auto"/>
            <w:noWrap/>
            <w:vAlign w:val="center"/>
            <w:hideMark/>
          </w:tcPr>
          <w:p w14:paraId="0638F95B"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13.3</w:t>
            </w:r>
          </w:p>
        </w:tc>
        <w:tc>
          <w:tcPr>
            <w:tcW w:w="1000" w:type="dxa"/>
            <w:tcBorders>
              <w:bottom w:val="single" w:sz="4" w:space="0" w:color="auto"/>
            </w:tcBorders>
            <w:shd w:val="clear" w:color="auto" w:fill="auto"/>
            <w:noWrap/>
            <w:vAlign w:val="center"/>
            <w:hideMark/>
          </w:tcPr>
          <w:p w14:paraId="52C2D58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22.7</w:t>
            </w:r>
          </w:p>
        </w:tc>
        <w:tc>
          <w:tcPr>
            <w:tcW w:w="1000" w:type="dxa"/>
            <w:tcBorders>
              <w:bottom w:val="single" w:sz="4" w:space="0" w:color="auto"/>
            </w:tcBorders>
            <w:shd w:val="clear" w:color="auto" w:fill="auto"/>
            <w:noWrap/>
            <w:vAlign w:val="center"/>
            <w:hideMark/>
          </w:tcPr>
          <w:p w14:paraId="1785673E"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36.5</w:t>
            </w:r>
          </w:p>
        </w:tc>
        <w:tc>
          <w:tcPr>
            <w:tcW w:w="1000" w:type="dxa"/>
            <w:tcBorders>
              <w:bottom w:val="single" w:sz="4" w:space="0" w:color="auto"/>
            </w:tcBorders>
            <w:shd w:val="clear" w:color="auto" w:fill="FFFFFF" w:themeFill="background1"/>
            <w:noWrap/>
            <w:vAlign w:val="center"/>
            <w:hideMark/>
          </w:tcPr>
          <w:p w14:paraId="73D683E5"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53.0</w:t>
            </w:r>
          </w:p>
        </w:tc>
        <w:tc>
          <w:tcPr>
            <w:tcW w:w="1000" w:type="dxa"/>
            <w:tcBorders>
              <w:bottom w:val="single" w:sz="4" w:space="0" w:color="auto"/>
            </w:tcBorders>
            <w:shd w:val="clear" w:color="auto" w:fill="FFFFFF" w:themeFill="background1"/>
            <w:noWrap/>
            <w:vAlign w:val="center"/>
            <w:hideMark/>
          </w:tcPr>
          <w:p w14:paraId="078EE83F"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72.0</w:t>
            </w:r>
          </w:p>
        </w:tc>
      </w:tr>
      <w:tr w:rsidR="00730639" w:rsidRPr="00603957" w14:paraId="51B96F29" w14:textId="77777777" w:rsidTr="00D656FB">
        <w:trPr>
          <w:trHeight w:val="345"/>
        </w:trPr>
        <w:tc>
          <w:tcPr>
            <w:tcW w:w="4000" w:type="dxa"/>
            <w:tcBorders>
              <w:top w:val="single" w:sz="4" w:space="0" w:color="auto"/>
            </w:tcBorders>
            <w:shd w:val="clear" w:color="auto" w:fill="auto"/>
            <w:vAlign w:val="center"/>
            <w:hideMark/>
          </w:tcPr>
          <w:p w14:paraId="466CA144"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Պետական բյուջեի ծախսեր</w:t>
            </w:r>
          </w:p>
        </w:tc>
        <w:tc>
          <w:tcPr>
            <w:tcW w:w="1000" w:type="dxa"/>
            <w:tcBorders>
              <w:top w:val="single" w:sz="4" w:space="0" w:color="auto"/>
            </w:tcBorders>
            <w:shd w:val="clear" w:color="auto" w:fill="auto"/>
            <w:noWrap/>
            <w:vAlign w:val="center"/>
            <w:hideMark/>
          </w:tcPr>
          <w:p w14:paraId="5073770F"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1,908.0</w:t>
            </w:r>
          </w:p>
        </w:tc>
        <w:tc>
          <w:tcPr>
            <w:tcW w:w="1000" w:type="dxa"/>
            <w:tcBorders>
              <w:top w:val="single" w:sz="4" w:space="0" w:color="auto"/>
            </w:tcBorders>
            <w:shd w:val="clear" w:color="auto" w:fill="auto"/>
            <w:noWrap/>
            <w:vAlign w:val="center"/>
            <w:hideMark/>
          </w:tcPr>
          <w:p w14:paraId="78AB4D9E"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2,027.0</w:t>
            </w:r>
          </w:p>
        </w:tc>
        <w:tc>
          <w:tcPr>
            <w:tcW w:w="1000" w:type="dxa"/>
            <w:tcBorders>
              <w:top w:val="single" w:sz="4" w:space="0" w:color="auto"/>
            </w:tcBorders>
            <w:shd w:val="clear" w:color="auto" w:fill="auto"/>
            <w:noWrap/>
            <w:vAlign w:val="center"/>
            <w:hideMark/>
          </w:tcPr>
          <w:p w14:paraId="5ECD981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2,279.1</w:t>
            </w:r>
          </w:p>
        </w:tc>
        <w:tc>
          <w:tcPr>
            <w:tcW w:w="1000" w:type="dxa"/>
            <w:tcBorders>
              <w:top w:val="single" w:sz="4" w:space="0" w:color="auto"/>
            </w:tcBorders>
            <w:shd w:val="clear" w:color="auto" w:fill="FFFFFF" w:themeFill="background1"/>
            <w:noWrap/>
            <w:vAlign w:val="center"/>
            <w:hideMark/>
          </w:tcPr>
          <w:p w14:paraId="104F8CC9"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2,653.4</w:t>
            </w:r>
          </w:p>
        </w:tc>
        <w:tc>
          <w:tcPr>
            <w:tcW w:w="1000" w:type="dxa"/>
            <w:tcBorders>
              <w:top w:val="single" w:sz="4" w:space="0" w:color="auto"/>
            </w:tcBorders>
            <w:shd w:val="clear" w:color="auto" w:fill="FFFFFF" w:themeFill="background1"/>
            <w:noWrap/>
            <w:vAlign w:val="center"/>
            <w:hideMark/>
          </w:tcPr>
          <w:p w14:paraId="56D8AEDE"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3,206.5</w:t>
            </w:r>
          </w:p>
        </w:tc>
      </w:tr>
      <w:tr w:rsidR="00730639" w:rsidRPr="00603957" w14:paraId="6483275C" w14:textId="77777777" w:rsidTr="00D656FB">
        <w:trPr>
          <w:trHeight w:val="345"/>
        </w:trPr>
        <w:tc>
          <w:tcPr>
            <w:tcW w:w="4000" w:type="dxa"/>
            <w:shd w:val="clear" w:color="auto" w:fill="auto"/>
            <w:vAlign w:val="center"/>
            <w:hideMark/>
          </w:tcPr>
          <w:p w14:paraId="51EA630B" w14:textId="77777777" w:rsidR="00730639" w:rsidRPr="00603957" w:rsidRDefault="00730639" w:rsidP="00D656FB">
            <w:pPr>
              <w:spacing w:before="0" w:line="240" w:lineRule="auto"/>
              <w:ind w:firstLineChars="100" w:firstLine="180"/>
              <w:jc w:val="left"/>
              <w:rPr>
                <w:rFonts w:cs="Calibri"/>
                <w:b w:val="0"/>
                <w:sz w:val="18"/>
                <w:szCs w:val="18"/>
                <w:lang w:val="en-US" w:eastAsia="en-US"/>
              </w:rPr>
            </w:pPr>
            <w:r w:rsidRPr="00603957">
              <w:rPr>
                <w:rFonts w:cs="Calibri"/>
                <w:b w:val="0"/>
                <w:sz w:val="18"/>
                <w:szCs w:val="18"/>
                <w:lang w:val="en-US" w:eastAsia="en-US"/>
              </w:rPr>
              <w:t>Ընթացիկ ծախսեր</w:t>
            </w:r>
          </w:p>
        </w:tc>
        <w:tc>
          <w:tcPr>
            <w:tcW w:w="1000" w:type="dxa"/>
            <w:shd w:val="clear" w:color="auto" w:fill="auto"/>
            <w:noWrap/>
            <w:vAlign w:val="center"/>
            <w:hideMark/>
          </w:tcPr>
          <w:p w14:paraId="27E66D19"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1,681.8</w:t>
            </w:r>
          </w:p>
        </w:tc>
        <w:tc>
          <w:tcPr>
            <w:tcW w:w="1000" w:type="dxa"/>
            <w:shd w:val="clear" w:color="auto" w:fill="auto"/>
            <w:noWrap/>
            <w:vAlign w:val="center"/>
            <w:hideMark/>
          </w:tcPr>
          <w:p w14:paraId="4DF4123A"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1,810.7</w:t>
            </w:r>
          </w:p>
        </w:tc>
        <w:tc>
          <w:tcPr>
            <w:tcW w:w="1000" w:type="dxa"/>
            <w:shd w:val="clear" w:color="auto" w:fill="auto"/>
            <w:noWrap/>
            <w:vAlign w:val="center"/>
            <w:hideMark/>
          </w:tcPr>
          <w:p w14:paraId="276C131D"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1,898.7</w:t>
            </w:r>
          </w:p>
        </w:tc>
        <w:tc>
          <w:tcPr>
            <w:tcW w:w="1000" w:type="dxa"/>
            <w:shd w:val="clear" w:color="auto" w:fill="FFFFFF" w:themeFill="background1"/>
            <w:noWrap/>
            <w:vAlign w:val="center"/>
            <w:hideMark/>
          </w:tcPr>
          <w:p w14:paraId="7826036B"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2,091.3</w:t>
            </w:r>
          </w:p>
        </w:tc>
        <w:tc>
          <w:tcPr>
            <w:tcW w:w="1000" w:type="dxa"/>
            <w:shd w:val="clear" w:color="auto" w:fill="FFFFFF" w:themeFill="background1"/>
            <w:noWrap/>
            <w:vAlign w:val="center"/>
            <w:hideMark/>
          </w:tcPr>
          <w:p w14:paraId="655E0F7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2,511.2</w:t>
            </w:r>
          </w:p>
        </w:tc>
      </w:tr>
      <w:tr w:rsidR="00730639" w:rsidRPr="00603957" w14:paraId="37685E2E" w14:textId="77777777" w:rsidTr="00D656FB">
        <w:trPr>
          <w:trHeight w:val="555"/>
        </w:trPr>
        <w:tc>
          <w:tcPr>
            <w:tcW w:w="4000" w:type="dxa"/>
            <w:shd w:val="clear" w:color="auto" w:fill="auto"/>
            <w:vAlign w:val="center"/>
            <w:hideMark/>
          </w:tcPr>
          <w:p w14:paraId="1689CEF0" w14:textId="77777777" w:rsidR="00730639" w:rsidRPr="00603957" w:rsidRDefault="00730639" w:rsidP="00D656FB">
            <w:pPr>
              <w:spacing w:before="0" w:line="240" w:lineRule="auto"/>
              <w:ind w:left="440"/>
              <w:jc w:val="left"/>
              <w:rPr>
                <w:rFonts w:cs="Calibri"/>
                <w:b w:val="0"/>
                <w:sz w:val="18"/>
                <w:szCs w:val="18"/>
                <w:lang w:eastAsia="en-US"/>
              </w:rPr>
            </w:pPr>
            <w:r w:rsidRPr="00603957">
              <w:rPr>
                <w:rFonts w:cs="Calibri"/>
                <w:b w:val="0"/>
                <w:sz w:val="18"/>
                <w:szCs w:val="18"/>
                <w:lang w:val="en-US" w:eastAsia="en-US"/>
              </w:rPr>
              <w:t>որից</w:t>
            </w:r>
            <w:r w:rsidRPr="00603957">
              <w:rPr>
                <w:rFonts w:cs="Calibri"/>
                <w:b w:val="0"/>
                <w:sz w:val="18"/>
                <w:szCs w:val="18"/>
                <w:lang w:eastAsia="en-US"/>
              </w:rPr>
              <w:t xml:space="preserve"> </w:t>
            </w:r>
            <w:r w:rsidRPr="00603957">
              <w:rPr>
                <w:rFonts w:cs="Calibri"/>
                <w:b w:val="0"/>
                <w:sz w:val="18"/>
                <w:szCs w:val="18"/>
                <w:lang w:val="en-US" w:eastAsia="en-US"/>
              </w:rPr>
              <w:t>հիպոթեքի</w:t>
            </w:r>
            <w:r w:rsidRPr="00603957">
              <w:rPr>
                <w:rFonts w:cs="Calibri"/>
                <w:b w:val="0"/>
                <w:sz w:val="18"/>
                <w:szCs w:val="18"/>
                <w:lang w:eastAsia="en-US"/>
              </w:rPr>
              <w:t xml:space="preserve"> </w:t>
            </w:r>
            <w:r w:rsidRPr="00603957">
              <w:rPr>
                <w:rFonts w:cs="Calibri"/>
                <w:b w:val="0"/>
                <w:sz w:val="18"/>
                <w:szCs w:val="18"/>
                <w:lang w:val="en-US" w:eastAsia="en-US"/>
              </w:rPr>
              <w:t>տոկոսագումարների</w:t>
            </w:r>
            <w:r w:rsidRPr="00603957">
              <w:rPr>
                <w:rFonts w:cs="Calibri"/>
                <w:b w:val="0"/>
                <w:sz w:val="18"/>
                <w:szCs w:val="18"/>
                <w:lang w:eastAsia="en-US"/>
              </w:rPr>
              <w:t xml:space="preserve"> </w:t>
            </w:r>
            <w:r w:rsidRPr="00603957">
              <w:rPr>
                <w:rFonts w:cs="Calibri"/>
                <w:b w:val="0"/>
                <w:sz w:val="18"/>
                <w:szCs w:val="18"/>
                <w:lang w:val="en-US" w:eastAsia="en-US"/>
              </w:rPr>
              <w:t>գծով</w:t>
            </w:r>
            <w:r w:rsidRPr="00603957">
              <w:rPr>
                <w:rFonts w:cs="Calibri"/>
                <w:b w:val="0"/>
                <w:sz w:val="18"/>
                <w:szCs w:val="18"/>
                <w:lang w:eastAsia="en-US"/>
              </w:rPr>
              <w:t xml:space="preserve"> </w:t>
            </w:r>
            <w:r w:rsidRPr="00603957">
              <w:rPr>
                <w:rFonts w:cs="Calibri"/>
                <w:b w:val="0"/>
                <w:sz w:val="18"/>
                <w:szCs w:val="18"/>
                <w:lang w:val="en-US" w:eastAsia="en-US"/>
              </w:rPr>
              <w:t>եկամտային</w:t>
            </w:r>
            <w:r w:rsidRPr="00603957">
              <w:rPr>
                <w:rFonts w:cs="Calibri"/>
                <w:b w:val="0"/>
                <w:sz w:val="18"/>
                <w:szCs w:val="18"/>
                <w:lang w:eastAsia="en-US"/>
              </w:rPr>
              <w:t xml:space="preserve"> </w:t>
            </w:r>
            <w:r w:rsidRPr="00603957">
              <w:rPr>
                <w:rFonts w:cs="Calibri"/>
                <w:b w:val="0"/>
                <w:sz w:val="18"/>
                <w:szCs w:val="18"/>
                <w:lang w:val="en-US" w:eastAsia="en-US"/>
              </w:rPr>
              <w:t>հարկի</w:t>
            </w:r>
            <w:r w:rsidRPr="00603957">
              <w:rPr>
                <w:rFonts w:cs="Calibri"/>
                <w:b w:val="0"/>
                <w:sz w:val="18"/>
                <w:szCs w:val="18"/>
                <w:lang w:eastAsia="en-US"/>
              </w:rPr>
              <w:t xml:space="preserve"> </w:t>
            </w:r>
            <w:r w:rsidRPr="00603957">
              <w:rPr>
                <w:rFonts w:cs="Calibri"/>
                <w:b w:val="0"/>
                <w:sz w:val="18"/>
                <w:szCs w:val="18"/>
                <w:lang w:val="en-US" w:eastAsia="en-US"/>
              </w:rPr>
              <w:t>վերադարձ</w:t>
            </w:r>
          </w:p>
        </w:tc>
        <w:tc>
          <w:tcPr>
            <w:tcW w:w="1000" w:type="dxa"/>
            <w:shd w:val="clear" w:color="auto" w:fill="auto"/>
            <w:noWrap/>
            <w:vAlign w:val="center"/>
            <w:hideMark/>
          </w:tcPr>
          <w:p w14:paraId="3FD490D9"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13.3</w:t>
            </w:r>
          </w:p>
        </w:tc>
        <w:tc>
          <w:tcPr>
            <w:tcW w:w="1000" w:type="dxa"/>
            <w:shd w:val="clear" w:color="auto" w:fill="auto"/>
            <w:noWrap/>
            <w:vAlign w:val="center"/>
            <w:hideMark/>
          </w:tcPr>
          <w:p w14:paraId="58C5AF7E"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22.7</w:t>
            </w:r>
          </w:p>
        </w:tc>
        <w:tc>
          <w:tcPr>
            <w:tcW w:w="1000" w:type="dxa"/>
            <w:shd w:val="clear" w:color="auto" w:fill="auto"/>
            <w:noWrap/>
            <w:vAlign w:val="center"/>
            <w:hideMark/>
          </w:tcPr>
          <w:p w14:paraId="32EA6CBC"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36.5</w:t>
            </w:r>
          </w:p>
        </w:tc>
        <w:tc>
          <w:tcPr>
            <w:tcW w:w="1000" w:type="dxa"/>
            <w:shd w:val="clear" w:color="auto" w:fill="FFFFFF" w:themeFill="background1"/>
            <w:noWrap/>
            <w:vAlign w:val="center"/>
            <w:hideMark/>
          </w:tcPr>
          <w:p w14:paraId="665A3AB7"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53.0</w:t>
            </w:r>
          </w:p>
        </w:tc>
        <w:tc>
          <w:tcPr>
            <w:tcW w:w="1000" w:type="dxa"/>
            <w:shd w:val="clear" w:color="auto" w:fill="FFFFFF" w:themeFill="background1"/>
            <w:noWrap/>
            <w:vAlign w:val="center"/>
            <w:hideMark/>
          </w:tcPr>
          <w:p w14:paraId="2E8B7731"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72.0</w:t>
            </w:r>
          </w:p>
        </w:tc>
      </w:tr>
      <w:tr w:rsidR="00730639" w:rsidRPr="00603957" w14:paraId="1E3654B4" w14:textId="77777777" w:rsidTr="00D656FB">
        <w:trPr>
          <w:trHeight w:val="675"/>
        </w:trPr>
        <w:tc>
          <w:tcPr>
            <w:tcW w:w="4000" w:type="dxa"/>
            <w:tcBorders>
              <w:bottom w:val="single" w:sz="4" w:space="0" w:color="auto"/>
            </w:tcBorders>
            <w:shd w:val="clear" w:color="auto" w:fill="auto"/>
            <w:vAlign w:val="center"/>
            <w:hideMark/>
          </w:tcPr>
          <w:p w14:paraId="39F1DA36" w14:textId="77777777" w:rsidR="00730639" w:rsidRPr="00603957" w:rsidRDefault="00730639" w:rsidP="00D656FB">
            <w:pPr>
              <w:spacing w:before="0" w:line="240" w:lineRule="auto"/>
              <w:ind w:firstLineChars="100" w:firstLine="180"/>
              <w:jc w:val="left"/>
              <w:rPr>
                <w:rFonts w:cs="Calibri"/>
                <w:b w:val="0"/>
                <w:sz w:val="18"/>
                <w:szCs w:val="18"/>
                <w:lang w:eastAsia="en-US"/>
              </w:rPr>
            </w:pPr>
            <w:r w:rsidRPr="00603957">
              <w:rPr>
                <w:rFonts w:cs="Calibri"/>
                <w:b w:val="0"/>
                <w:sz w:val="18"/>
                <w:szCs w:val="18"/>
                <w:lang w:val="en-US" w:eastAsia="en-US"/>
              </w:rPr>
              <w:t>Ոչ</w:t>
            </w:r>
            <w:r w:rsidRPr="00603957">
              <w:rPr>
                <w:rFonts w:cs="Calibri"/>
                <w:b w:val="0"/>
                <w:sz w:val="18"/>
                <w:szCs w:val="18"/>
                <w:lang w:eastAsia="en-US"/>
              </w:rPr>
              <w:t xml:space="preserve"> </w:t>
            </w:r>
            <w:r w:rsidRPr="00603957">
              <w:rPr>
                <w:rFonts w:cs="Calibri"/>
                <w:b w:val="0"/>
                <w:sz w:val="18"/>
                <w:szCs w:val="18"/>
                <w:lang w:val="en-US" w:eastAsia="en-US"/>
              </w:rPr>
              <w:t>ֆինանսական</w:t>
            </w:r>
            <w:r w:rsidRPr="00603957">
              <w:rPr>
                <w:rFonts w:cs="Calibri"/>
                <w:b w:val="0"/>
                <w:sz w:val="18"/>
                <w:szCs w:val="18"/>
                <w:lang w:eastAsia="en-US"/>
              </w:rPr>
              <w:t xml:space="preserve"> </w:t>
            </w:r>
            <w:r w:rsidRPr="00603957">
              <w:rPr>
                <w:rFonts w:cs="Calibri"/>
                <w:b w:val="0"/>
                <w:sz w:val="18"/>
                <w:szCs w:val="18"/>
                <w:lang w:val="en-US" w:eastAsia="en-US"/>
              </w:rPr>
              <w:t>ակտիվների</w:t>
            </w:r>
            <w:r w:rsidRPr="00603957">
              <w:rPr>
                <w:rFonts w:cs="Calibri"/>
                <w:b w:val="0"/>
                <w:sz w:val="18"/>
                <w:szCs w:val="18"/>
                <w:lang w:eastAsia="en-US"/>
              </w:rPr>
              <w:t xml:space="preserve"> </w:t>
            </w:r>
            <w:r w:rsidRPr="00603957">
              <w:rPr>
                <w:rFonts w:cs="Calibri"/>
                <w:b w:val="0"/>
                <w:sz w:val="18"/>
                <w:szCs w:val="18"/>
                <w:lang w:val="en-US" w:eastAsia="en-US"/>
              </w:rPr>
              <w:t>հետ</w:t>
            </w:r>
            <w:r w:rsidRPr="00603957">
              <w:rPr>
                <w:rFonts w:cs="Calibri"/>
                <w:b w:val="0"/>
                <w:sz w:val="18"/>
                <w:szCs w:val="18"/>
                <w:lang w:eastAsia="en-US"/>
              </w:rPr>
              <w:t xml:space="preserve"> </w:t>
            </w:r>
            <w:r w:rsidRPr="00603957">
              <w:rPr>
                <w:rFonts w:cs="Calibri"/>
                <w:b w:val="0"/>
                <w:sz w:val="18"/>
                <w:szCs w:val="18"/>
                <w:lang w:val="en-US" w:eastAsia="en-US"/>
              </w:rPr>
              <w:t>գործառնություններ</w:t>
            </w:r>
          </w:p>
        </w:tc>
        <w:tc>
          <w:tcPr>
            <w:tcW w:w="1000" w:type="dxa"/>
            <w:tcBorders>
              <w:bottom w:val="single" w:sz="4" w:space="0" w:color="auto"/>
            </w:tcBorders>
            <w:shd w:val="clear" w:color="auto" w:fill="auto"/>
            <w:noWrap/>
            <w:vAlign w:val="center"/>
            <w:hideMark/>
          </w:tcPr>
          <w:p w14:paraId="0E4D18BF"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226.2</w:t>
            </w:r>
          </w:p>
        </w:tc>
        <w:tc>
          <w:tcPr>
            <w:tcW w:w="1000" w:type="dxa"/>
            <w:tcBorders>
              <w:bottom w:val="single" w:sz="4" w:space="0" w:color="auto"/>
            </w:tcBorders>
            <w:shd w:val="clear" w:color="auto" w:fill="auto"/>
            <w:noWrap/>
            <w:vAlign w:val="center"/>
            <w:hideMark/>
          </w:tcPr>
          <w:p w14:paraId="3EBB03AB"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216.3</w:t>
            </w:r>
          </w:p>
        </w:tc>
        <w:tc>
          <w:tcPr>
            <w:tcW w:w="1000" w:type="dxa"/>
            <w:tcBorders>
              <w:bottom w:val="single" w:sz="4" w:space="0" w:color="auto"/>
            </w:tcBorders>
            <w:shd w:val="clear" w:color="auto" w:fill="auto"/>
            <w:noWrap/>
            <w:vAlign w:val="center"/>
            <w:hideMark/>
          </w:tcPr>
          <w:p w14:paraId="27889E6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380.4</w:t>
            </w:r>
          </w:p>
        </w:tc>
        <w:tc>
          <w:tcPr>
            <w:tcW w:w="1000" w:type="dxa"/>
            <w:tcBorders>
              <w:bottom w:val="single" w:sz="4" w:space="0" w:color="auto"/>
            </w:tcBorders>
            <w:shd w:val="clear" w:color="auto" w:fill="FFFFFF" w:themeFill="background1"/>
            <w:noWrap/>
            <w:vAlign w:val="center"/>
            <w:hideMark/>
          </w:tcPr>
          <w:p w14:paraId="3F3087E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562.1</w:t>
            </w:r>
          </w:p>
        </w:tc>
        <w:tc>
          <w:tcPr>
            <w:tcW w:w="1000" w:type="dxa"/>
            <w:tcBorders>
              <w:bottom w:val="single" w:sz="4" w:space="0" w:color="auto"/>
            </w:tcBorders>
            <w:shd w:val="clear" w:color="auto" w:fill="FFFFFF" w:themeFill="background1"/>
            <w:noWrap/>
            <w:vAlign w:val="center"/>
            <w:hideMark/>
          </w:tcPr>
          <w:p w14:paraId="43DA0673"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695.3</w:t>
            </w:r>
          </w:p>
        </w:tc>
      </w:tr>
      <w:tr w:rsidR="00730639" w:rsidRPr="00603957" w14:paraId="0A377DD7" w14:textId="77777777" w:rsidTr="00D656FB">
        <w:trPr>
          <w:trHeight w:val="675"/>
        </w:trPr>
        <w:tc>
          <w:tcPr>
            <w:tcW w:w="4000" w:type="dxa"/>
            <w:tcBorders>
              <w:top w:val="single" w:sz="4" w:space="0" w:color="auto"/>
              <w:bottom w:val="single" w:sz="4" w:space="0" w:color="auto"/>
            </w:tcBorders>
            <w:shd w:val="clear" w:color="auto" w:fill="auto"/>
            <w:vAlign w:val="center"/>
            <w:hideMark/>
          </w:tcPr>
          <w:p w14:paraId="255C3896"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Պետական բյուջեի պակասուրդ(-) / պրոֆիցիտ (+)</w:t>
            </w:r>
          </w:p>
        </w:tc>
        <w:tc>
          <w:tcPr>
            <w:tcW w:w="1000" w:type="dxa"/>
            <w:tcBorders>
              <w:top w:val="single" w:sz="4" w:space="0" w:color="auto"/>
              <w:bottom w:val="single" w:sz="4" w:space="0" w:color="auto"/>
            </w:tcBorders>
            <w:shd w:val="clear" w:color="auto" w:fill="auto"/>
            <w:noWrap/>
            <w:vAlign w:val="center"/>
            <w:hideMark/>
          </w:tcPr>
          <w:p w14:paraId="5DF3990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-334.0</w:t>
            </w:r>
          </w:p>
        </w:tc>
        <w:tc>
          <w:tcPr>
            <w:tcW w:w="1000" w:type="dxa"/>
            <w:tcBorders>
              <w:top w:val="single" w:sz="4" w:space="0" w:color="auto"/>
              <w:bottom w:val="single" w:sz="4" w:space="0" w:color="auto"/>
            </w:tcBorders>
            <w:shd w:val="clear" w:color="auto" w:fill="auto"/>
            <w:noWrap/>
            <w:vAlign w:val="center"/>
            <w:hideMark/>
          </w:tcPr>
          <w:p w14:paraId="65416BEA"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-320.5</w:t>
            </w:r>
          </w:p>
        </w:tc>
        <w:tc>
          <w:tcPr>
            <w:tcW w:w="1000" w:type="dxa"/>
            <w:tcBorders>
              <w:top w:val="single" w:sz="4" w:space="0" w:color="auto"/>
              <w:bottom w:val="single" w:sz="4" w:space="0" w:color="auto"/>
            </w:tcBorders>
            <w:shd w:val="clear" w:color="auto" w:fill="auto"/>
            <w:noWrap/>
            <w:vAlign w:val="center"/>
            <w:hideMark/>
          </w:tcPr>
          <w:p w14:paraId="19D5E4D3"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-179.5</w:t>
            </w:r>
          </w:p>
        </w:tc>
        <w:tc>
          <w:tcPr>
            <w:tcW w:w="1000" w:type="dxa"/>
            <w:tcBorders>
              <w:top w:val="single" w:sz="4" w:space="0" w:color="auto"/>
              <w:bottom w:val="single" w:sz="4" w:space="0" w:color="auto"/>
            </w:tcBorders>
            <w:shd w:val="clear" w:color="auto" w:fill="FFFFFF" w:themeFill="background1"/>
            <w:noWrap/>
            <w:vAlign w:val="center"/>
            <w:hideMark/>
          </w:tcPr>
          <w:p w14:paraId="3DB82CF2"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-245.3</w:t>
            </w:r>
          </w:p>
        </w:tc>
        <w:tc>
          <w:tcPr>
            <w:tcW w:w="1000" w:type="dxa"/>
            <w:tcBorders>
              <w:top w:val="single" w:sz="4" w:space="0" w:color="auto"/>
              <w:bottom w:val="single" w:sz="4" w:space="0" w:color="auto"/>
            </w:tcBorders>
            <w:shd w:val="clear" w:color="auto" w:fill="FFFFFF" w:themeFill="background1"/>
            <w:noWrap/>
            <w:vAlign w:val="center"/>
            <w:hideMark/>
          </w:tcPr>
          <w:p w14:paraId="5DA125E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-482.9</w:t>
            </w:r>
          </w:p>
        </w:tc>
      </w:tr>
      <w:tr w:rsidR="00730639" w:rsidRPr="00603957" w14:paraId="7BF93A0C" w14:textId="77777777" w:rsidTr="00D656FB">
        <w:trPr>
          <w:trHeight w:val="390"/>
        </w:trPr>
        <w:tc>
          <w:tcPr>
            <w:tcW w:w="4000" w:type="dxa"/>
            <w:tcBorders>
              <w:top w:val="single" w:sz="4" w:space="0" w:color="auto"/>
              <w:bottom w:val="single" w:sz="4" w:space="0" w:color="auto"/>
            </w:tcBorders>
            <w:shd w:val="clear" w:color="auto" w:fill="auto"/>
            <w:vAlign w:val="center"/>
            <w:hideMark/>
          </w:tcPr>
          <w:p w14:paraId="0DE344B3"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Կառավարության պարտք</w:t>
            </w:r>
          </w:p>
        </w:tc>
        <w:tc>
          <w:tcPr>
            <w:tcW w:w="1000" w:type="dxa"/>
            <w:tcBorders>
              <w:top w:val="single" w:sz="4" w:space="0" w:color="auto"/>
              <w:bottom w:val="single" w:sz="4" w:space="0" w:color="auto"/>
            </w:tcBorders>
            <w:shd w:val="clear" w:color="auto" w:fill="auto"/>
            <w:noWrap/>
            <w:vAlign w:val="center"/>
            <w:hideMark/>
          </w:tcPr>
          <w:p w14:paraId="62CF4537"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3,923.9</w:t>
            </w:r>
          </w:p>
        </w:tc>
        <w:tc>
          <w:tcPr>
            <w:tcW w:w="1000" w:type="dxa"/>
            <w:tcBorders>
              <w:top w:val="single" w:sz="4" w:space="0" w:color="auto"/>
              <w:bottom w:val="single" w:sz="4" w:space="0" w:color="auto"/>
            </w:tcBorders>
            <w:shd w:val="clear" w:color="auto" w:fill="auto"/>
            <w:noWrap/>
            <w:vAlign w:val="center"/>
            <w:hideMark/>
          </w:tcPr>
          <w:p w14:paraId="449F460B"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4,209.8</w:t>
            </w:r>
          </w:p>
        </w:tc>
        <w:tc>
          <w:tcPr>
            <w:tcW w:w="1000" w:type="dxa"/>
            <w:tcBorders>
              <w:top w:val="single" w:sz="4" w:space="0" w:color="auto"/>
              <w:bottom w:val="single" w:sz="4" w:space="0" w:color="auto"/>
            </w:tcBorders>
            <w:shd w:val="clear" w:color="auto" w:fill="auto"/>
            <w:noWrap/>
            <w:vAlign w:val="center"/>
            <w:hideMark/>
          </w:tcPr>
          <w:p w14:paraId="2D4EDF86"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3,969.7</w:t>
            </w:r>
          </w:p>
        </w:tc>
        <w:tc>
          <w:tcPr>
            <w:tcW w:w="1000" w:type="dxa"/>
            <w:tcBorders>
              <w:top w:val="single" w:sz="4" w:space="0" w:color="auto"/>
              <w:bottom w:val="single" w:sz="4" w:space="0" w:color="auto"/>
            </w:tcBorders>
            <w:shd w:val="clear" w:color="auto" w:fill="FFFFFF" w:themeFill="background1"/>
            <w:noWrap/>
            <w:vAlign w:val="center"/>
            <w:hideMark/>
          </w:tcPr>
          <w:p w14:paraId="45E1F51D"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4,446.1</w:t>
            </w:r>
          </w:p>
        </w:tc>
        <w:tc>
          <w:tcPr>
            <w:tcW w:w="1000" w:type="dxa"/>
            <w:tcBorders>
              <w:top w:val="single" w:sz="4" w:space="0" w:color="auto"/>
              <w:bottom w:val="single" w:sz="4" w:space="0" w:color="auto"/>
            </w:tcBorders>
            <w:shd w:val="clear" w:color="auto" w:fill="FFFFFF" w:themeFill="background1"/>
            <w:noWrap/>
            <w:vAlign w:val="center"/>
            <w:hideMark/>
          </w:tcPr>
          <w:p w14:paraId="088546C9"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5,082.9</w:t>
            </w:r>
          </w:p>
        </w:tc>
      </w:tr>
      <w:tr w:rsidR="00730639" w:rsidRPr="00603957" w14:paraId="1D1CB5A6" w14:textId="77777777" w:rsidTr="00D656FB">
        <w:trPr>
          <w:trHeight w:val="315"/>
        </w:trPr>
        <w:tc>
          <w:tcPr>
            <w:tcW w:w="7000" w:type="dxa"/>
            <w:gridSpan w:val="4"/>
            <w:tcBorders>
              <w:top w:val="single" w:sz="4" w:space="0" w:color="auto"/>
            </w:tcBorders>
            <w:shd w:val="clear" w:color="auto" w:fill="auto"/>
            <w:noWrap/>
            <w:vAlign w:val="center"/>
            <w:hideMark/>
          </w:tcPr>
          <w:p w14:paraId="2334E4EF" w14:textId="77777777" w:rsidR="00730639" w:rsidRPr="00603957" w:rsidRDefault="00730639" w:rsidP="00D656FB">
            <w:pPr>
              <w:spacing w:before="0" w:line="240" w:lineRule="auto"/>
              <w:jc w:val="center"/>
              <w:rPr>
                <w:rFonts w:cs="Calibri"/>
                <w:b w:val="0"/>
                <w:i/>
                <w:iCs/>
                <w:sz w:val="18"/>
                <w:szCs w:val="18"/>
                <w:lang w:val="en-US" w:eastAsia="en-US"/>
              </w:rPr>
            </w:pPr>
            <w:r w:rsidRPr="00603957">
              <w:rPr>
                <w:rFonts w:cs="Calibri"/>
                <w:b w:val="0"/>
                <w:i/>
                <w:iCs/>
                <w:sz w:val="18"/>
                <w:szCs w:val="18"/>
                <w:lang w:val="en-US" w:eastAsia="en-US"/>
              </w:rPr>
              <w:t>կշիռը ՀՆԱ-ում, %</w:t>
            </w:r>
          </w:p>
        </w:tc>
        <w:tc>
          <w:tcPr>
            <w:tcW w:w="1000" w:type="dxa"/>
            <w:tcBorders>
              <w:top w:val="single" w:sz="4" w:space="0" w:color="auto"/>
            </w:tcBorders>
            <w:shd w:val="clear" w:color="auto" w:fill="FFFFFF" w:themeFill="background1"/>
            <w:noWrap/>
            <w:vAlign w:val="center"/>
            <w:hideMark/>
          </w:tcPr>
          <w:p w14:paraId="3F3F60FE" w14:textId="77777777" w:rsidR="00730639" w:rsidRPr="00603957" w:rsidRDefault="00730639" w:rsidP="00D656FB">
            <w:pPr>
              <w:spacing w:before="0" w:line="240" w:lineRule="auto"/>
              <w:jc w:val="right"/>
              <w:rPr>
                <w:rFonts w:ascii="Calibri" w:hAnsi="Calibri" w:cs="Calibri"/>
                <w:b w:val="0"/>
                <w:sz w:val="18"/>
                <w:szCs w:val="18"/>
                <w:lang w:val="en-US" w:eastAsia="en-US"/>
              </w:rPr>
            </w:pPr>
            <w:r w:rsidRPr="00603957">
              <w:rPr>
                <w:rFonts w:ascii="Calibri" w:hAnsi="Calibri" w:cs="Calibri"/>
                <w:b w:val="0"/>
                <w:sz w:val="18"/>
                <w:szCs w:val="18"/>
                <w:lang w:val="en-US" w:eastAsia="en-US"/>
              </w:rPr>
              <w:t> </w:t>
            </w:r>
          </w:p>
        </w:tc>
        <w:tc>
          <w:tcPr>
            <w:tcW w:w="1000" w:type="dxa"/>
            <w:tcBorders>
              <w:top w:val="single" w:sz="4" w:space="0" w:color="auto"/>
            </w:tcBorders>
            <w:shd w:val="clear" w:color="auto" w:fill="FFFFFF" w:themeFill="background1"/>
            <w:noWrap/>
            <w:vAlign w:val="center"/>
            <w:hideMark/>
          </w:tcPr>
          <w:p w14:paraId="7D78C4A4" w14:textId="77777777" w:rsidR="00730639" w:rsidRPr="00603957" w:rsidRDefault="00730639" w:rsidP="00D656FB">
            <w:pPr>
              <w:spacing w:before="0" w:line="240" w:lineRule="auto"/>
              <w:jc w:val="right"/>
              <w:rPr>
                <w:rFonts w:ascii="Calibri" w:hAnsi="Calibri" w:cs="Calibri"/>
                <w:b w:val="0"/>
                <w:sz w:val="18"/>
                <w:szCs w:val="18"/>
                <w:lang w:val="en-US" w:eastAsia="en-US"/>
              </w:rPr>
            </w:pPr>
            <w:r w:rsidRPr="00603957">
              <w:rPr>
                <w:rFonts w:ascii="Calibri" w:hAnsi="Calibri" w:cs="Calibri"/>
                <w:b w:val="0"/>
                <w:sz w:val="18"/>
                <w:szCs w:val="18"/>
                <w:lang w:val="en-US" w:eastAsia="en-US"/>
              </w:rPr>
              <w:t> </w:t>
            </w:r>
          </w:p>
        </w:tc>
      </w:tr>
      <w:tr w:rsidR="00730639" w:rsidRPr="00603957" w14:paraId="11369194" w14:textId="77777777" w:rsidTr="00D656FB">
        <w:trPr>
          <w:trHeight w:val="345"/>
        </w:trPr>
        <w:tc>
          <w:tcPr>
            <w:tcW w:w="4000" w:type="dxa"/>
            <w:shd w:val="clear" w:color="auto" w:fill="auto"/>
            <w:vAlign w:val="center"/>
            <w:hideMark/>
          </w:tcPr>
          <w:p w14:paraId="717174B2"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Պետական բյուջեի եկամուտներ</w:t>
            </w:r>
          </w:p>
        </w:tc>
        <w:tc>
          <w:tcPr>
            <w:tcW w:w="1000" w:type="dxa"/>
            <w:shd w:val="clear" w:color="auto" w:fill="auto"/>
            <w:noWrap/>
            <w:vAlign w:val="center"/>
            <w:hideMark/>
          </w:tcPr>
          <w:p w14:paraId="2896D73D"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25.5</w:t>
            </w:r>
          </w:p>
        </w:tc>
        <w:tc>
          <w:tcPr>
            <w:tcW w:w="1000" w:type="dxa"/>
            <w:shd w:val="clear" w:color="auto" w:fill="auto"/>
            <w:noWrap/>
            <w:vAlign w:val="center"/>
            <w:hideMark/>
          </w:tcPr>
          <w:p w14:paraId="3DCBFB5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24.4</w:t>
            </w:r>
          </w:p>
        </w:tc>
        <w:tc>
          <w:tcPr>
            <w:tcW w:w="1000" w:type="dxa"/>
            <w:shd w:val="clear" w:color="auto" w:fill="auto"/>
            <w:noWrap/>
            <w:vAlign w:val="center"/>
            <w:hideMark/>
          </w:tcPr>
          <w:p w14:paraId="557599E2"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24.7</w:t>
            </w:r>
          </w:p>
        </w:tc>
        <w:tc>
          <w:tcPr>
            <w:tcW w:w="1000" w:type="dxa"/>
            <w:shd w:val="clear" w:color="auto" w:fill="FFFFFF" w:themeFill="background1"/>
            <w:noWrap/>
            <w:vAlign w:val="center"/>
            <w:hideMark/>
          </w:tcPr>
          <w:p w14:paraId="1B9D612C"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25.5</w:t>
            </w:r>
          </w:p>
        </w:tc>
        <w:tc>
          <w:tcPr>
            <w:tcW w:w="1000" w:type="dxa"/>
            <w:shd w:val="clear" w:color="auto" w:fill="FFFFFF" w:themeFill="background1"/>
            <w:noWrap/>
            <w:vAlign w:val="center"/>
            <w:hideMark/>
          </w:tcPr>
          <w:p w14:paraId="7FA5A84D"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25.9</w:t>
            </w:r>
          </w:p>
        </w:tc>
      </w:tr>
      <w:tr w:rsidR="00730639" w:rsidRPr="00603957" w14:paraId="15DF159C" w14:textId="77777777" w:rsidTr="00D656FB">
        <w:trPr>
          <w:trHeight w:val="360"/>
        </w:trPr>
        <w:tc>
          <w:tcPr>
            <w:tcW w:w="4000" w:type="dxa"/>
            <w:shd w:val="clear" w:color="auto" w:fill="auto"/>
            <w:vAlign w:val="center"/>
            <w:hideMark/>
          </w:tcPr>
          <w:p w14:paraId="757B9B20" w14:textId="77777777" w:rsidR="00730639" w:rsidRPr="00603957" w:rsidRDefault="00730639" w:rsidP="00D656FB">
            <w:pPr>
              <w:spacing w:before="0" w:line="240" w:lineRule="auto"/>
              <w:ind w:firstLineChars="100" w:firstLine="180"/>
              <w:jc w:val="left"/>
              <w:rPr>
                <w:rFonts w:cs="Calibri"/>
                <w:b w:val="0"/>
                <w:sz w:val="18"/>
                <w:szCs w:val="18"/>
                <w:lang w:val="en-US" w:eastAsia="en-US"/>
              </w:rPr>
            </w:pPr>
            <w:r w:rsidRPr="00603957">
              <w:rPr>
                <w:rFonts w:cs="Calibri"/>
                <w:b w:val="0"/>
                <w:sz w:val="18"/>
                <w:szCs w:val="18"/>
                <w:lang w:val="en-US" w:eastAsia="en-US"/>
              </w:rPr>
              <w:t>Հարկային եկամուտներ և տուրքեր</w:t>
            </w:r>
          </w:p>
        </w:tc>
        <w:tc>
          <w:tcPr>
            <w:tcW w:w="1000" w:type="dxa"/>
            <w:shd w:val="clear" w:color="auto" w:fill="auto"/>
            <w:noWrap/>
            <w:vAlign w:val="center"/>
            <w:hideMark/>
          </w:tcPr>
          <w:p w14:paraId="21FB1BF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22.6</w:t>
            </w:r>
          </w:p>
        </w:tc>
        <w:tc>
          <w:tcPr>
            <w:tcW w:w="1000" w:type="dxa"/>
            <w:shd w:val="clear" w:color="auto" w:fill="auto"/>
            <w:noWrap/>
            <w:vAlign w:val="center"/>
            <w:hideMark/>
          </w:tcPr>
          <w:p w14:paraId="396C26E6"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23.0</w:t>
            </w:r>
          </w:p>
        </w:tc>
        <w:tc>
          <w:tcPr>
            <w:tcW w:w="1000" w:type="dxa"/>
            <w:shd w:val="clear" w:color="auto" w:fill="auto"/>
            <w:noWrap/>
            <w:vAlign w:val="center"/>
            <w:hideMark/>
          </w:tcPr>
          <w:p w14:paraId="051D156F"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23.1</w:t>
            </w:r>
          </w:p>
        </w:tc>
        <w:tc>
          <w:tcPr>
            <w:tcW w:w="1000" w:type="dxa"/>
            <w:shd w:val="clear" w:color="auto" w:fill="FFFFFF" w:themeFill="background1"/>
            <w:noWrap/>
            <w:vAlign w:val="center"/>
            <w:hideMark/>
          </w:tcPr>
          <w:p w14:paraId="47CBE89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24.1</w:t>
            </w:r>
          </w:p>
        </w:tc>
        <w:tc>
          <w:tcPr>
            <w:tcW w:w="1000" w:type="dxa"/>
            <w:shd w:val="clear" w:color="auto" w:fill="FFFFFF" w:themeFill="background1"/>
            <w:noWrap/>
            <w:vAlign w:val="center"/>
            <w:hideMark/>
          </w:tcPr>
          <w:p w14:paraId="74A5C0B7"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24.9</w:t>
            </w:r>
          </w:p>
        </w:tc>
      </w:tr>
      <w:tr w:rsidR="00730639" w:rsidRPr="00603957" w14:paraId="0EC18C9A" w14:textId="77777777" w:rsidTr="00D656FB">
        <w:trPr>
          <w:trHeight w:val="555"/>
        </w:trPr>
        <w:tc>
          <w:tcPr>
            <w:tcW w:w="4000" w:type="dxa"/>
            <w:shd w:val="clear" w:color="auto" w:fill="auto"/>
            <w:vAlign w:val="center"/>
            <w:hideMark/>
          </w:tcPr>
          <w:p w14:paraId="2A4CAF28" w14:textId="77777777" w:rsidR="00730639" w:rsidRPr="00603957" w:rsidRDefault="00730639" w:rsidP="00D656FB">
            <w:pPr>
              <w:spacing w:before="0" w:line="240" w:lineRule="auto"/>
              <w:ind w:firstLineChars="300" w:firstLine="540"/>
              <w:jc w:val="left"/>
              <w:rPr>
                <w:rFonts w:cs="Calibri"/>
                <w:b w:val="0"/>
                <w:sz w:val="18"/>
                <w:szCs w:val="18"/>
                <w:lang w:eastAsia="en-US"/>
              </w:rPr>
            </w:pPr>
            <w:r w:rsidRPr="00603957">
              <w:rPr>
                <w:rFonts w:cs="Calibri"/>
                <w:b w:val="0"/>
                <w:sz w:val="18"/>
                <w:szCs w:val="18"/>
                <w:lang w:val="en-US" w:eastAsia="en-US"/>
              </w:rPr>
              <w:t>որից</w:t>
            </w:r>
            <w:r w:rsidRPr="00603957">
              <w:rPr>
                <w:rFonts w:cs="Calibri"/>
                <w:b w:val="0"/>
                <w:sz w:val="18"/>
                <w:szCs w:val="18"/>
                <w:lang w:eastAsia="en-US"/>
              </w:rPr>
              <w:t xml:space="preserve"> </w:t>
            </w:r>
            <w:r w:rsidRPr="00603957">
              <w:rPr>
                <w:rFonts w:cs="Calibri"/>
                <w:b w:val="0"/>
                <w:sz w:val="18"/>
                <w:szCs w:val="18"/>
                <w:lang w:val="en-US" w:eastAsia="en-US"/>
              </w:rPr>
              <w:t>հիպոթեքի</w:t>
            </w:r>
            <w:r w:rsidRPr="00603957">
              <w:rPr>
                <w:rFonts w:cs="Calibri"/>
                <w:b w:val="0"/>
                <w:sz w:val="18"/>
                <w:szCs w:val="18"/>
                <w:lang w:eastAsia="en-US"/>
              </w:rPr>
              <w:t xml:space="preserve"> </w:t>
            </w:r>
            <w:r w:rsidRPr="00603957">
              <w:rPr>
                <w:rFonts w:cs="Calibri"/>
                <w:b w:val="0"/>
                <w:sz w:val="18"/>
                <w:szCs w:val="18"/>
                <w:lang w:val="en-US" w:eastAsia="en-US"/>
              </w:rPr>
              <w:t>տոկոսագումարների</w:t>
            </w:r>
            <w:r w:rsidRPr="00603957">
              <w:rPr>
                <w:rFonts w:cs="Calibri"/>
                <w:b w:val="0"/>
                <w:sz w:val="18"/>
                <w:szCs w:val="18"/>
                <w:lang w:eastAsia="en-US"/>
              </w:rPr>
              <w:t xml:space="preserve"> </w:t>
            </w:r>
            <w:r w:rsidRPr="00603957">
              <w:rPr>
                <w:rFonts w:cs="Calibri"/>
                <w:b w:val="0"/>
                <w:sz w:val="18"/>
                <w:szCs w:val="18"/>
                <w:lang w:val="en-US" w:eastAsia="en-US"/>
              </w:rPr>
              <w:t>գծով</w:t>
            </w:r>
            <w:r w:rsidRPr="00603957">
              <w:rPr>
                <w:rFonts w:cs="Calibri"/>
                <w:b w:val="0"/>
                <w:sz w:val="18"/>
                <w:szCs w:val="18"/>
                <w:lang w:eastAsia="en-US"/>
              </w:rPr>
              <w:t xml:space="preserve"> </w:t>
            </w:r>
            <w:r w:rsidRPr="00603957">
              <w:rPr>
                <w:rFonts w:cs="Calibri"/>
                <w:b w:val="0"/>
                <w:sz w:val="18"/>
                <w:szCs w:val="18"/>
                <w:lang w:val="en-US" w:eastAsia="en-US"/>
              </w:rPr>
              <w:t>եկամտային</w:t>
            </w:r>
            <w:r w:rsidRPr="00603957">
              <w:rPr>
                <w:rFonts w:cs="Calibri"/>
                <w:b w:val="0"/>
                <w:sz w:val="18"/>
                <w:szCs w:val="18"/>
                <w:lang w:eastAsia="en-US"/>
              </w:rPr>
              <w:t xml:space="preserve"> </w:t>
            </w:r>
            <w:r w:rsidRPr="00603957">
              <w:rPr>
                <w:rFonts w:cs="Calibri"/>
                <w:b w:val="0"/>
                <w:sz w:val="18"/>
                <w:szCs w:val="18"/>
                <w:lang w:val="en-US" w:eastAsia="en-US"/>
              </w:rPr>
              <w:t>հարկի</w:t>
            </w:r>
            <w:r w:rsidRPr="00603957">
              <w:rPr>
                <w:rFonts w:cs="Calibri"/>
                <w:b w:val="0"/>
                <w:sz w:val="18"/>
                <w:szCs w:val="18"/>
                <w:lang w:eastAsia="en-US"/>
              </w:rPr>
              <w:t xml:space="preserve"> </w:t>
            </w:r>
            <w:r w:rsidRPr="00603957">
              <w:rPr>
                <w:rFonts w:cs="Calibri"/>
                <w:b w:val="0"/>
                <w:sz w:val="18"/>
                <w:szCs w:val="18"/>
                <w:lang w:val="en-US" w:eastAsia="en-US"/>
              </w:rPr>
              <w:t>վերադարձ</w:t>
            </w:r>
          </w:p>
        </w:tc>
        <w:tc>
          <w:tcPr>
            <w:tcW w:w="1000" w:type="dxa"/>
            <w:shd w:val="clear" w:color="auto" w:fill="auto"/>
            <w:noWrap/>
            <w:vAlign w:val="center"/>
            <w:hideMark/>
          </w:tcPr>
          <w:p w14:paraId="5AE84ED2"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0.2</w:t>
            </w:r>
          </w:p>
        </w:tc>
        <w:tc>
          <w:tcPr>
            <w:tcW w:w="1000" w:type="dxa"/>
            <w:shd w:val="clear" w:color="auto" w:fill="auto"/>
            <w:noWrap/>
            <w:vAlign w:val="center"/>
            <w:hideMark/>
          </w:tcPr>
          <w:p w14:paraId="1D24BE76"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0.3</w:t>
            </w:r>
          </w:p>
        </w:tc>
        <w:tc>
          <w:tcPr>
            <w:tcW w:w="1000" w:type="dxa"/>
            <w:shd w:val="clear" w:color="auto" w:fill="auto"/>
            <w:noWrap/>
            <w:vAlign w:val="center"/>
            <w:hideMark/>
          </w:tcPr>
          <w:p w14:paraId="25AB651F"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0.4</w:t>
            </w:r>
          </w:p>
        </w:tc>
        <w:tc>
          <w:tcPr>
            <w:tcW w:w="1000" w:type="dxa"/>
            <w:shd w:val="clear" w:color="auto" w:fill="FFFFFF" w:themeFill="background1"/>
            <w:noWrap/>
            <w:vAlign w:val="center"/>
            <w:hideMark/>
          </w:tcPr>
          <w:p w14:paraId="3B532F34"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0.6</w:t>
            </w:r>
          </w:p>
        </w:tc>
        <w:tc>
          <w:tcPr>
            <w:tcW w:w="1000" w:type="dxa"/>
            <w:shd w:val="clear" w:color="auto" w:fill="FFFFFF" w:themeFill="background1"/>
            <w:noWrap/>
            <w:vAlign w:val="center"/>
            <w:hideMark/>
          </w:tcPr>
          <w:p w14:paraId="0146A8AC"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0.7</w:t>
            </w:r>
          </w:p>
        </w:tc>
      </w:tr>
      <w:tr w:rsidR="00730639" w:rsidRPr="00603957" w14:paraId="7247A1B3" w14:textId="77777777" w:rsidTr="00D656FB">
        <w:trPr>
          <w:trHeight w:val="345"/>
        </w:trPr>
        <w:tc>
          <w:tcPr>
            <w:tcW w:w="4000" w:type="dxa"/>
            <w:tcBorders>
              <w:bottom w:val="single" w:sz="4" w:space="0" w:color="auto"/>
            </w:tcBorders>
            <w:shd w:val="clear" w:color="auto" w:fill="auto"/>
            <w:vAlign w:val="center"/>
            <w:hideMark/>
          </w:tcPr>
          <w:p w14:paraId="323BB9AD"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Պետական բյուջեի ծախսեր</w:t>
            </w:r>
          </w:p>
        </w:tc>
        <w:tc>
          <w:tcPr>
            <w:tcW w:w="1000" w:type="dxa"/>
            <w:tcBorders>
              <w:bottom w:val="single" w:sz="4" w:space="0" w:color="auto"/>
            </w:tcBorders>
            <w:shd w:val="clear" w:color="auto" w:fill="auto"/>
            <w:noWrap/>
            <w:vAlign w:val="center"/>
            <w:hideMark/>
          </w:tcPr>
          <w:p w14:paraId="384EFD0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30.9</w:t>
            </w:r>
          </w:p>
        </w:tc>
        <w:tc>
          <w:tcPr>
            <w:tcW w:w="1000" w:type="dxa"/>
            <w:tcBorders>
              <w:bottom w:val="single" w:sz="4" w:space="0" w:color="auto"/>
            </w:tcBorders>
            <w:shd w:val="clear" w:color="auto" w:fill="auto"/>
            <w:noWrap/>
            <w:vAlign w:val="center"/>
            <w:hideMark/>
          </w:tcPr>
          <w:p w14:paraId="494CAE59"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29.0</w:t>
            </w:r>
          </w:p>
        </w:tc>
        <w:tc>
          <w:tcPr>
            <w:tcW w:w="1000" w:type="dxa"/>
            <w:tcBorders>
              <w:bottom w:val="single" w:sz="4" w:space="0" w:color="auto"/>
            </w:tcBorders>
            <w:shd w:val="clear" w:color="auto" w:fill="auto"/>
            <w:noWrap/>
            <w:vAlign w:val="center"/>
            <w:hideMark/>
          </w:tcPr>
          <w:p w14:paraId="1DC9571D"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26.8</w:t>
            </w:r>
          </w:p>
        </w:tc>
        <w:tc>
          <w:tcPr>
            <w:tcW w:w="1000" w:type="dxa"/>
            <w:tcBorders>
              <w:bottom w:val="single" w:sz="4" w:space="0" w:color="auto"/>
            </w:tcBorders>
            <w:shd w:val="clear" w:color="auto" w:fill="FFFFFF" w:themeFill="background1"/>
            <w:noWrap/>
            <w:vAlign w:val="center"/>
            <w:hideMark/>
          </w:tcPr>
          <w:p w14:paraId="501FB1A6"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28.1</w:t>
            </w:r>
          </w:p>
        </w:tc>
        <w:tc>
          <w:tcPr>
            <w:tcW w:w="1000" w:type="dxa"/>
            <w:tcBorders>
              <w:bottom w:val="single" w:sz="4" w:space="0" w:color="auto"/>
            </w:tcBorders>
            <w:shd w:val="clear" w:color="auto" w:fill="FFFFFF" w:themeFill="background1"/>
            <w:noWrap/>
            <w:vAlign w:val="center"/>
            <w:hideMark/>
          </w:tcPr>
          <w:p w14:paraId="6AEF1D65"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30.5</w:t>
            </w:r>
          </w:p>
        </w:tc>
      </w:tr>
      <w:tr w:rsidR="00730639" w:rsidRPr="00603957" w14:paraId="5A8417B5" w14:textId="77777777" w:rsidTr="00D656FB">
        <w:trPr>
          <w:trHeight w:val="345"/>
        </w:trPr>
        <w:tc>
          <w:tcPr>
            <w:tcW w:w="4000" w:type="dxa"/>
            <w:tcBorders>
              <w:top w:val="single" w:sz="4" w:space="0" w:color="auto"/>
            </w:tcBorders>
            <w:shd w:val="clear" w:color="auto" w:fill="auto"/>
            <w:vAlign w:val="center"/>
            <w:hideMark/>
          </w:tcPr>
          <w:p w14:paraId="41135387" w14:textId="77777777" w:rsidR="00730639" w:rsidRPr="00603957" w:rsidRDefault="00730639" w:rsidP="00D656FB">
            <w:pPr>
              <w:spacing w:before="0" w:line="240" w:lineRule="auto"/>
              <w:ind w:firstLineChars="100" w:firstLine="180"/>
              <w:jc w:val="left"/>
              <w:rPr>
                <w:rFonts w:cs="Calibri"/>
                <w:b w:val="0"/>
                <w:sz w:val="18"/>
                <w:szCs w:val="18"/>
                <w:lang w:val="en-US" w:eastAsia="en-US"/>
              </w:rPr>
            </w:pPr>
            <w:r w:rsidRPr="00603957">
              <w:rPr>
                <w:rFonts w:cs="Calibri"/>
                <w:b w:val="0"/>
                <w:sz w:val="18"/>
                <w:szCs w:val="18"/>
                <w:lang w:val="en-US" w:eastAsia="en-US"/>
              </w:rPr>
              <w:t>Ընթացիկ ծախսեր</w:t>
            </w:r>
          </w:p>
        </w:tc>
        <w:tc>
          <w:tcPr>
            <w:tcW w:w="1000" w:type="dxa"/>
            <w:tcBorders>
              <w:top w:val="single" w:sz="4" w:space="0" w:color="auto"/>
            </w:tcBorders>
            <w:shd w:val="clear" w:color="auto" w:fill="auto"/>
            <w:noWrap/>
            <w:vAlign w:val="center"/>
            <w:hideMark/>
          </w:tcPr>
          <w:p w14:paraId="1D78337E"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27.2</w:t>
            </w:r>
          </w:p>
        </w:tc>
        <w:tc>
          <w:tcPr>
            <w:tcW w:w="1000" w:type="dxa"/>
            <w:tcBorders>
              <w:top w:val="single" w:sz="4" w:space="0" w:color="auto"/>
            </w:tcBorders>
            <w:shd w:val="clear" w:color="auto" w:fill="auto"/>
            <w:noWrap/>
            <w:vAlign w:val="center"/>
            <w:hideMark/>
          </w:tcPr>
          <w:p w14:paraId="275C2D42"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25.9</w:t>
            </w:r>
          </w:p>
        </w:tc>
        <w:tc>
          <w:tcPr>
            <w:tcW w:w="1000" w:type="dxa"/>
            <w:tcBorders>
              <w:top w:val="single" w:sz="4" w:space="0" w:color="auto"/>
            </w:tcBorders>
            <w:shd w:val="clear" w:color="auto" w:fill="auto"/>
            <w:noWrap/>
            <w:vAlign w:val="center"/>
            <w:hideMark/>
          </w:tcPr>
          <w:p w14:paraId="16411791"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22.3</w:t>
            </w:r>
          </w:p>
        </w:tc>
        <w:tc>
          <w:tcPr>
            <w:tcW w:w="1000" w:type="dxa"/>
            <w:tcBorders>
              <w:top w:val="single" w:sz="4" w:space="0" w:color="auto"/>
            </w:tcBorders>
            <w:shd w:val="clear" w:color="auto" w:fill="FFFFFF" w:themeFill="background1"/>
            <w:noWrap/>
            <w:vAlign w:val="center"/>
            <w:hideMark/>
          </w:tcPr>
          <w:p w14:paraId="5A31E04E"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22.1</w:t>
            </w:r>
          </w:p>
        </w:tc>
        <w:tc>
          <w:tcPr>
            <w:tcW w:w="1000" w:type="dxa"/>
            <w:tcBorders>
              <w:top w:val="single" w:sz="4" w:space="0" w:color="auto"/>
            </w:tcBorders>
            <w:shd w:val="clear" w:color="auto" w:fill="FFFFFF" w:themeFill="background1"/>
            <w:noWrap/>
            <w:vAlign w:val="center"/>
            <w:hideMark/>
          </w:tcPr>
          <w:p w14:paraId="4676E6E1"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23.9</w:t>
            </w:r>
          </w:p>
        </w:tc>
      </w:tr>
      <w:tr w:rsidR="00730639" w:rsidRPr="00603957" w14:paraId="1DA45768" w14:textId="77777777" w:rsidTr="00D656FB">
        <w:trPr>
          <w:trHeight w:val="555"/>
        </w:trPr>
        <w:tc>
          <w:tcPr>
            <w:tcW w:w="4000" w:type="dxa"/>
            <w:shd w:val="clear" w:color="auto" w:fill="auto"/>
            <w:vAlign w:val="center"/>
            <w:hideMark/>
          </w:tcPr>
          <w:p w14:paraId="188E7005" w14:textId="77777777" w:rsidR="00730639" w:rsidRPr="00603957" w:rsidRDefault="00730639" w:rsidP="00D656FB">
            <w:pPr>
              <w:spacing w:before="0" w:line="240" w:lineRule="auto"/>
              <w:ind w:firstLineChars="300" w:firstLine="540"/>
              <w:jc w:val="left"/>
              <w:rPr>
                <w:rFonts w:cs="Calibri"/>
                <w:b w:val="0"/>
                <w:sz w:val="18"/>
                <w:szCs w:val="18"/>
                <w:lang w:eastAsia="en-US"/>
              </w:rPr>
            </w:pPr>
            <w:r w:rsidRPr="00603957">
              <w:rPr>
                <w:rFonts w:cs="Calibri"/>
                <w:b w:val="0"/>
                <w:sz w:val="18"/>
                <w:szCs w:val="18"/>
                <w:lang w:val="en-US" w:eastAsia="en-US"/>
              </w:rPr>
              <w:t>որից</w:t>
            </w:r>
            <w:r w:rsidRPr="00603957">
              <w:rPr>
                <w:rFonts w:cs="Calibri"/>
                <w:b w:val="0"/>
                <w:sz w:val="18"/>
                <w:szCs w:val="18"/>
                <w:lang w:eastAsia="en-US"/>
              </w:rPr>
              <w:t xml:space="preserve"> </w:t>
            </w:r>
            <w:r w:rsidRPr="00603957">
              <w:rPr>
                <w:rFonts w:cs="Calibri"/>
                <w:b w:val="0"/>
                <w:sz w:val="18"/>
                <w:szCs w:val="18"/>
                <w:lang w:val="en-US" w:eastAsia="en-US"/>
              </w:rPr>
              <w:t>հիպոթեքի</w:t>
            </w:r>
            <w:r w:rsidRPr="00603957">
              <w:rPr>
                <w:rFonts w:cs="Calibri"/>
                <w:b w:val="0"/>
                <w:sz w:val="18"/>
                <w:szCs w:val="18"/>
                <w:lang w:eastAsia="en-US"/>
              </w:rPr>
              <w:t xml:space="preserve"> </w:t>
            </w:r>
            <w:r w:rsidRPr="00603957">
              <w:rPr>
                <w:rFonts w:cs="Calibri"/>
                <w:b w:val="0"/>
                <w:sz w:val="18"/>
                <w:szCs w:val="18"/>
                <w:lang w:val="en-US" w:eastAsia="en-US"/>
              </w:rPr>
              <w:t>տոկոսագումարների</w:t>
            </w:r>
            <w:r w:rsidRPr="00603957">
              <w:rPr>
                <w:rFonts w:cs="Calibri"/>
                <w:b w:val="0"/>
                <w:sz w:val="18"/>
                <w:szCs w:val="18"/>
                <w:lang w:eastAsia="en-US"/>
              </w:rPr>
              <w:t xml:space="preserve"> </w:t>
            </w:r>
            <w:r w:rsidRPr="00603957">
              <w:rPr>
                <w:rFonts w:cs="Calibri"/>
                <w:b w:val="0"/>
                <w:sz w:val="18"/>
                <w:szCs w:val="18"/>
                <w:lang w:val="en-US" w:eastAsia="en-US"/>
              </w:rPr>
              <w:t>գծով</w:t>
            </w:r>
            <w:r w:rsidRPr="00603957">
              <w:rPr>
                <w:rFonts w:cs="Calibri"/>
                <w:b w:val="0"/>
                <w:sz w:val="18"/>
                <w:szCs w:val="18"/>
                <w:lang w:eastAsia="en-US"/>
              </w:rPr>
              <w:t xml:space="preserve"> </w:t>
            </w:r>
            <w:r w:rsidRPr="00603957">
              <w:rPr>
                <w:rFonts w:cs="Calibri"/>
                <w:b w:val="0"/>
                <w:sz w:val="18"/>
                <w:szCs w:val="18"/>
                <w:lang w:val="en-US" w:eastAsia="en-US"/>
              </w:rPr>
              <w:t>եկամտային</w:t>
            </w:r>
            <w:r w:rsidRPr="00603957">
              <w:rPr>
                <w:rFonts w:cs="Calibri"/>
                <w:b w:val="0"/>
                <w:sz w:val="18"/>
                <w:szCs w:val="18"/>
                <w:lang w:eastAsia="en-US"/>
              </w:rPr>
              <w:t xml:space="preserve"> </w:t>
            </w:r>
            <w:r w:rsidRPr="00603957">
              <w:rPr>
                <w:rFonts w:cs="Calibri"/>
                <w:b w:val="0"/>
                <w:sz w:val="18"/>
                <w:szCs w:val="18"/>
                <w:lang w:val="en-US" w:eastAsia="en-US"/>
              </w:rPr>
              <w:t>հարկի</w:t>
            </w:r>
            <w:r w:rsidRPr="00603957">
              <w:rPr>
                <w:rFonts w:cs="Calibri"/>
                <w:b w:val="0"/>
                <w:sz w:val="18"/>
                <w:szCs w:val="18"/>
                <w:lang w:eastAsia="en-US"/>
              </w:rPr>
              <w:t xml:space="preserve"> </w:t>
            </w:r>
            <w:r w:rsidRPr="00603957">
              <w:rPr>
                <w:rFonts w:cs="Calibri"/>
                <w:b w:val="0"/>
                <w:sz w:val="18"/>
                <w:szCs w:val="18"/>
                <w:lang w:val="en-US" w:eastAsia="en-US"/>
              </w:rPr>
              <w:t>վերադարձ</w:t>
            </w:r>
          </w:p>
        </w:tc>
        <w:tc>
          <w:tcPr>
            <w:tcW w:w="1000" w:type="dxa"/>
            <w:shd w:val="clear" w:color="auto" w:fill="auto"/>
            <w:noWrap/>
            <w:vAlign w:val="center"/>
            <w:hideMark/>
          </w:tcPr>
          <w:p w14:paraId="2B6C2D8F"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0.2</w:t>
            </w:r>
          </w:p>
        </w:tc>
        <w:tc>
          <w:tcPr>
            <w:tcW w:w="1000" w:type="dxa"/>
            <w:shd w:val="clear" w:color="auto" w:fill="auto"/>
            <w:noWrap/>
            <w:vAlign w:val="center"/>
            <w:hideMark/>
          </w:tcPr>
          <w:p w14:paraId="701C9433"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0.3</w:t>
            </w:r>
          </w:p>
        </w:tc>
        <w:tc>
          <w:tcPr>
            <w:tcW w:w="1000" w:type="dxa"/>
            <w:shd w:val="clear" w:color="auto" w:fill="auto"/>
            <w:noWrap/>
            <w:vAlign w:val="center"/>
            <w:hideMark/>
          </w:tcPr>
          <w:p w14:paraId="136E4CC9"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0.4</w:t>
            </w:r>
          </w:p>
        </w:tc>
        <w:tc>
          <w:tcPr>
            <w:tcW w:w="1000" w:type="dxa"/>
            <w:shd w:val="clear" w:color="auto" w:fill="FFFFFF" w:themeFill="background1"/>
            <w:noWrap/>
            <w:vAlign w:val="center"/>
            <w:hideMark/>
          </w:tcPr>
          <w:p w14:paraId="09846FFF"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0.6</w:t>
            </w:r>
          </w:p>
        </w:tc>
        <w:tc>
          <w:tcPr>
            <w:tcW w:w="1000" w:type="dxa"/>
            <w:shd w:val="clear" w:color="auto" w:fill="FFFFFF" w:themeFill="background1"/>
            <w:noWrap/>
            <w:vAlign w:val="center"/>
            <w:hideMark/>
          </w:tcPr>
          <w:p w14:paraId="38C94D39" w14:textId="77777777" w:rsidR="00730639" w:rsidRPr="00603957" w:rsidRDefault="00730639" w:rsidP="00D656FB">
            <w:pPr>
              <w:spacing w:before="0" w:line="240" w:lineRule="auto"/>
              <w:jc w:val="right"/>
              <w:rPr>
                <w:rFonts w:cs="Calibri"/>
                <w:b w:val="0"/>
                <w:sz w:val="18"/>
                <w:szCs w:val="18"/>
                <w:lang w:val="hy-AM" w:eastAsia="en-US"/>
              </w:rPr>
            </w:pPr>
            <w:r w:rsidRPr="00603957">
              <w:rPr>
                <w:rFonts w:cs="Calibri"/>
                <w:b w:val="0"/>
                <w:sz w:val="18"/>
                <w:szCs w:val="18"/>
                <w:lang w:val="hy-AM" w:eastAsia="en-US"/>
              </w:rPr>
              <w:t>0.7</w:t>
            </w:r>
          </w:p>
        </w:tc>
      </w:tr>
      <w:tr w:rsidR="00730639" w:rsidRPr="00603957" w14:paraId="168DF409" w14:textId="77777777" w:rsidTr="00D656FB">
        <w:trPr>
          <w:trHeight w:val="675"/>
        </w:trPr>
        <w:tc>
          <w:tcPr>
            <w:tcW w:w="4000" w:type="dxa"/>
            <w:tcBorders>
              <w:bottom w:val="single" w:sz="4" w:space="0" w:color="auto"/>
            </w:tcBorders>
            <w:shd w:val="clear" w:color="auto" w:fill="auto"/>
            <w:vAlign w:val="center"/>
            <w:hideMark/>
          </w:tcPr>
          <w:p w14:paraId="44B9E023" w14:textId="77777777" w:rsidR="00730639" w:rsidRPr="00603957" w:rsidRDefault="00730639" w:rsidP="00D656FB">
            <w:pPr>
              <w:spacing w:before="0" w:line="240" w:lineRule="auto"/>
              <w:ind w:firstLineChars="100" w:firstLine="180"/>
              <w:jc w:val="left"/>
              <w:rPr>
                <w:rFonts w:cs="Calibri"/>
                <w:b w:val="0"/>
                <w:sz w:val="18"/>
                <w:szCs w:val="18"/>
                <w:lang w:eastAsia="en-US"/>
              </w:rPr>
            </w:pPr>
            <w:r w:rsidRPr="00603957">
              <w:rPr>
                <w:rFonts w:cs="Calibri"/>
                <w:b w:val="0"/>
                <w:sz w:val="18"/>
                <w:szCs w:val="18"/>
                <w:lang w:val="en-US" w:eastAsia="en-US"/>
              </w:rPr>
              <w:t>Ոչ</w:t>
            </w:r>
            <w:r w:rsidRPr="00603957">
              <w:rPr>
                <w:rFonts w:cs="Calibri"/>
                <w:b w:val="0"/>
                <w:sz w:val="18"/>
                <w:szCs w:val="18"/>
                <w:lang w:eastAsia="en-US"/>
              </w:rPr>
              <w:t xml:space="preserve"> </w:t>
            </w:r>
            <w:r w:rsidRPr="00603957">
              <w:rPr>
                <w:rFonts w:cs="Calibri"/>
                <w:b w:val="0"/>
                <w:sz w:val="18"/>
                <w:szCs w:val="18"/>
                <w:lang w:val="en-US" w:eastAsia="en-US"/>
              </w:rPr>
              <w:t>ֆինանսական</w:t>
            </w:r>
            <w:r w:rsidRPr="00603957">
              <w:rPr>
                <w:rFonts w:cs="Calibri"/>
                <w:b w:val="0"/>
                <w:sz w:val="18"/>
                <w:szCs w:val="18"/>
                <w:lang w:eastAsia="en-US"/>
              </w:rPr>
              <w:t xml:space="preserve"> </w:t>
            </w:r>
            <w:r w:rsidRPr="00603957">
              <w:rPr>
                <w:rFonts w:cs="Calibri"/>
                <w:b w:val="0"/>
                <w:sz w:val="18"/>
                <w:szCs w:val="18"/>
                <w:lang w:val="en-US" w:eastAsia="en-US"/>
              </w:rPr>
              <w:t>ակտիվների</w:t>
            </w:r>
            <w:r w:rsidRPr="00603957">
              <w:rPr>
                <w:rFonts w:cs="Calibri"/>
                <w:b w:val="0"/>
                <w:sz w:val="18"/>
                <w:szCs w:val="18"/>
                <w:lang w:eastAsia="en-US"/>
              </w:rPr>
              <w:t xml:space="preserve"> </w:t>
            </w:r>
            <w:r w:rsidRPr="00603957">
              <w:rPr>
                <w:rFonts w:cs="Calibri"/>
                <w:b w:val="0"/>
                <w:sz w:val="18"/>
                <w:szCs w:val="18"/>
                <w:lang w:val="en-US" w:eastAsia="en-US"/>
              </w:rPr>
              <w:t>հետ</w:t>
            </w:r>
            <w:r w:rsidRPr="00603957">
              <w:rPr>
                <w:rFonts w:cs="Calibri"/>
                <w:b w:val="0"/>
                <w:sz w:val="18"/>
                <w:szCs w:val="18"/>
                <w:lang w:eastAsia="en-US"/>
              </w:rPr>
              <w:t xml:space="preserve"> </w:t>
            </w:r>
            <w:r w:rsidRPr="00603957">
              <w:rPr>
                <w:rFonts w:cs="Calibri"/>
                <w:b w:val="0"/>
                <w:sz w:val="18"/>
                <w:szCs w:val="18"/>
                <w:lang w:val="en-US" w:eastAsia="en-US"/>
              </w:rPr>
              <w:t>գործառնություններ</w:t>
            </w:r>
          </w:p>
        </w:tc>
        <w:tc>
          <w:tcPr>
            <w:tcW w:w="1000" w:type="dxa"/>
            <w:tcBorders>
              <w:bottom w:val="single" w:sz="4" w:space="0" w:color="auto"/>
            </w:tcBorders>
            <w:shd w:val="clear" w:color="auto" w:fill="auto"/>
            <w:noWrap/>
            <w:vAlign w:val="center"/>
            <w:hideMark/>
          </w:tcPr>
          <w:p w14:paraId="29D870C3"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3.7</w:t>
            </w:r>
          </w:p>
        </w:tc>
        <w:tc>
          <w:tcPr>
            <w:tcW w:w="1000" w:type="dxa"/>
            <w:tcBorders>
              <w:bottom w:val="single" w:sz="4" w:space="0" w:color="auto"/>
            </w:tcBorders>
            <w:shd w:val="clear" w:color="auto" w:fill="auto"/>
            <w:noWrap/>
            <w:vAlign w:val="center"/>
            <w:hideMark/>
          </w:tcPr>
          <w:p w14:paraId="6F6ABEB5"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3.1</w:t>
            </w:r>
          </w:p>
        </w:tc>
        <w:tc>
          <w:tcPr>
            <w:tcW w:w="1000" w:type="dxa"/>
            <w:tcBorders>
              <w:bottom w:val="single" w:sz="4" w:space="0" w:color="auto"/>
            </w:tcBorders>
            <w:shd w:val="clear" w:color="auto" w:fill="auto"/>
            <w:noWrap/>
            <w:vAlign w:val="center"/>
            <w:hideMark/>
          </w:tcPr>
          <w:p w14:paraId="6D2305BC"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4.5</w:t>
            </w:r>
          </w:p>
        </w:tc>
        <w:tc>
          <w:tcPr>
            <w:tcW w:w="1000" w:type="dxa"/>
            <w:tcBorders>
              <w:bottom w:val="single" w:sz="4" w:space="0" w:color="auto"/>
            </w:tcBorders>
            <w:shd w:val="clear" w:color="auto" w:fill="FFFFFF" w:themeFill="background1"/>
            <w:noWrap/>
            <w:vAlign w:val="center"/>
            <w:hideMark/>
          </w:tcPr>
          <w:p w14:paraId="739FF15C"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5.9</w:t>
            </w:r>
          </w:p>
        </w:tc>
        <w:tc>
          <w:tcPr>
            <w:tcW w:w="1000" w:type="dxa"/>
            <w:tcBorders>
              <w:bottom w:val="single" w:sz="4" w:space="0" w:color="auto"/>
            </w:tcBorders>
            <w:shd w:val="clear" w:color="auto" w:fill="FFFFFF" w:themeFill="background1"/>
            <w:noWrap/>
            <w:vAlign w:val="center"/>
            <w:hideMark/>
          </w:tcPr>
          <w:p w14:paraId="59FB3E32"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6.6</w:t>
            </w:r>
          </w:p>
        </w:tc>
      </w:tr>
      <w:tr w:rsidR="00730639" w:rsidRPr="00603957" w14:paraId="46DCB3C5" w14:textId="77777777" w:rsidTr="00D656FB">
        <w:trPr>
          <w:trHeight w:val="690"/>
        </w:trPr>
        <w:tc>
          <w:tcPr>
            <w:tcW w:w="4000" w:type="dxa"/>
            <w:tcBorders>
              <w:top w:val="single" w:sz="4" w:space="0" w:color="auto"/>
              <w:bottom w:val="single" w:sz="4" w:space="0" w:color="auto"/>
            </w:tcBorders>
            <w:shd w:val="clear" w:color="auto" w:fill="auto"/>
            <w:vAlign w:val="center"/>
            <w:hideMark/>
          </w:tcPr>
          <w:p w14:paraId="5ED7B803"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Պետական բյուջեի պակասուրդ(-) / պրոֆիցիտ (+)</w:t>
            </w:r>
          </w:p>
        </w:tc>
        <w:tc>
          <w:tcPr>
            <w:tcW w:w="1000" w:type="dxa"/>
            <w:tcBorders>
              <w:top w:val="single" w:sz="4" w:space="0" w:color="auto"/>
              <w:bottom w:val="single" w:sz="4" w:space="0" w:color="auto"/>
            </w:tcBorders>
            <w:shd w:val="clear" w:color="auto" w:fill="auto"/>
            <w:noWrap/>
            <w:vAlign w:val="center"/>
            <w:hideMark/>
          </w:tcPr>
          <w:p w14:paraId="14BB3484"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-5.4</w:t>
            </w:r>
          </w:p>
        </w:tc>
        <w:tc>
          <w:tcPr>
            <w:tcW w:w="1000" w:type="dxa"/>
            <w:tcBorders>
              <w:top w:val="single" w:sz="4" w:space="0" w:color="auto"/>
              <w:bottom w:val="single" w:sz="4" w:space="0" w:color="auto"/>
            </w:tcBorders>
            <w:shd w:val="clear" w:color="auto" w:fill="auto"/>
            <w:noWrap/>
            <w:vAlign w:val="center"/>
            <w:hideMark/>
          </w:tcPr>
          <w:p w14:paraId="6CDA753B"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-4.6</w:t>
            </w:r>
          </w:p>
        </w:tc>
        <w:tc>
          <w:tcPr>
            <w:tcW w:w="1000" w:type="dxa"/>
            <w:tcBorders>
              <w:top w:val="single" w:sz="4" w:space="0" w:color="auto"/>
              <w:bottom w:val="single" w:sz="4" w:space="0" w:color="auto"/>
            </w:tcBorders>
            <w:shd w:val="clear" w:color="auto" w:fill="auto"/>
            <w:noWrap/>
            <w:vAlign w:val="center"/>
            <w:hideMark/>
          </w:tcPr>
          <w:p w14:paraId="13D04B01"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-2.1</w:t>
            </w:r>
          </w:p>
        </w:tc>
        <w:tc>
          <w:tcPr>
            <w:tcW w:w="1000" w:type="dxa"/>
            <w:tcBorders>
              <w:top w:val="single" w:sz="4" w:space="0" w:color="auto"/>
              <w:bottom w:val="single" w:sz="4" w:space="0" w:color="auto"/>
            </w:tcBorders>
            <w:shd w:val="clear" w:color="auto" w:fill="FFFFFF" w:themeFill="background1"/>
            <w:noWrap/>
            <w:vAlign w:val="center"/>
            <w:hideMark/>
          </w:tcPr>
          <w:p w14:paraId="38DA0E8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-2.6</w:t>
            </w:r>
          </w:p>
        </w:tc>
        <w:tc>
          <w:tcPr>
            <w:tcW w:w="1000" w:type="dxa"/>
            <w:tcBorders>
              <w:top w:val="single" w:sz="4" w:space="0" w:color="auto"/>
              <w:bottom w:val="single" w:sz="4" w:space="0" w:color="auto"/>
            </w:tcBorders>
            <w:shd w:val="clear" w:color="auto" w:fill="FFFFFF" w:themeFill="background1"/>
            <w:noWrap/>
            <w:vAlign w:val="center"/>
            <w:hideMark/>
          </w:tcPr>
          <w:p w14:paraId="206B13A0"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-4.6</w:t>
            </w:r>
          </w:p>
        </w:tc>
      </w:tr>
      <w:tr w:rsidR="00730639" w:rsidRPr="00603957" w14:paraId="2C5CE40D" w14:textId="77777777" w:rsidTr="00D656FB">
        <w:trPr>
          <w:trHeight w:val="360"/>
        </w:trPr>
        <w:tc>
          <w:tcPr>
            <w:tcW w:w="4000" w:type="dxa"/>
            <w:tcBorders>
              <w:top w:val="single" w:sz="4" w:space="0" w:color="auto"/>
            </w:tcBorders>
            <w:shd w:val="clear" w:color="auto" w:fill="auto"/>
            <w:vAlign w:val="center"/>
            <w:hideMark/>
          </w:tcPr>
          <w:p w14:paraId="1BE973D2" w14:textId="77777777" w:rsidR="00730639" w:rsidRPr="00603957" w:rsidRDefault="00730639" w:rsidP="00D656FB">
            <w:pPr>
              <w:spacing w:before="0" w:line="240" w:lineRule="auto"/>
              <w:jc w:val="left"/>
              <w:rPr>
                <w:rFonts w:cs="Calibri"/>
                <w:b w:val="0"/>
                <w:sz w:val="18"/>
                <w:szCs w:val="18"/>
                <w:lang w:val="en-US" w:eastAsia="en-US"/>
              </w:rPr>
            </w:pPr>
            <w:r w:rsidRPr="00603957">
              <w:rPr>
                <w:rFonts w:cs="Calibri"/>
                <w:b w:val="0"/>
                <w:sz w:val="18"/>
                <w:szCs w:val="18"/>
                <w:lang w:val="en-US" w:eastAsia="en-US"/>
              </w:rPr>
              <w:t>Կառավարության պարտք</w:t>
            </w:r>
          </w:p>
        </w:tc>
        <w:tc>
          <w:tcPr>
            <w:tcW w:w="1000" w:type="dxa"/>
            <w:tcBorders>
              <w:top w:val="single" w:sz="4" w:space="0" w:color="auto"/>
            </w:tcBorders>
            <w:shd w:val="clear" w:color="auto" w:fill="auto"/>
            <w:noWrap/>
            <w:vAlign w:val="center"/>
            <w:hideMark/>
          </w:tcPr>
          <w:p w14:paraId="660CFE4D"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63.5</w:t>
            </w:r>
          </w:p>
        </w:tc>
        <w:tc>
          <w:tcPr>
            <w:tcW w:w="1000" w:type="dxa"/>
            <w:tcBorders>
              <w:top w:val="single" w:sz="4" w:space="0" w:color="auto"/>
            </w:tcBorders>
            <w:shd w:val="clear" w:color="auto" w:fill="auto"/>
            <w:noWrap/>
            <w:vAlign w:val="center"/>
            <w:hideMark/>
          </w:tcPr>
          <w:p w14:paraId="1B84C6F6"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60.2</w:t>
            </w:r>
          </w:p>
        </w:tc>
        <w:tc>
          <w:tcPr>
            <w:tcW w:w="1000" w:type="dxa"/>
            <w:tcBorders>
              <w:top w:val="single" w:sz="4" w:space="0" w:color="auto"/>
            </w:tcBorders>
            <w:shd w:val="clear" w:color="auto" w:fill="auto"/>
            <w:noWrap/>
            <w:vAlign w:val="center"/>
            <w:hideMark/>
          </w:tcPr>
          <w:p w14:paraId="4FD18FED"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46.7</w:t>
            </w:r>
          </w:p>
        </w:tc>
        <w:tc>
          <w:tcPr>
            <w:tcW w:w="1000" w:type="dxa"/>
            <w:tcBorders>
              <w:top w:val="single" w:sz="4" w:space="0" w:color="auto"/>
            </w:tcBorders>
            <w:shd w:val="clear" w:color="auto" w:fill="FFFFFF" w:themeFill="background1"/>
            <w:noWrap/>
            <w:vAlign w:val="center"/>
            <w:hideMark/>
          </w:tcPr>
          <w:p w14:paraId="358B58A8"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47.0</w:t>
            </w:r>
          </w:p>
        </w:tc>
        <w:tc>
          <w:tcPr>
            <w:tcW w:w="1000" w:type="dxa"/>
            <w:tcBorders>
              <w:top w:val="single" w:sz="4" w:space="0" w:color="auto"/>
            </w:tcBorders>
            <w:shd w:val="clear" w:color="auto" w:fill="FFFFFF" w:themeFill="background1"/>
            <w:noWrap/>
            <w:vAlign w:val="center"/>
            <w:hideMark/>
          </w:tcPr>
          <w:p w14:paraId="3DD4EB8A" w14:textId="77777777" w:rsidR="00730639" w:rsidRPr="00603957" w:rsidRDefault="00730639" w:rsidP="00D656FB">
            <w:pPr>
              <w:spacing w:before="0" w:line="240" w:lineRule="auto"/>
              <w:jc w:val="right"/>
              <w:rPr>
                <w:rFonts w:cs="Calibri"/>
                <w:b w:val="0"/>
                <w:sz w:val="18"/>
                <w:szCs w:val="18"/>
                <w:lang w:val="en-US" w:eastAsia="en-US"/>
              </w:rPr>
            </w:pPr>
            <w:r w:rsidRPr="00603957">
              <w:rPr>
                <w:rFonts w:cs="Calibri"/>
                <w:b w:val="0"/>
                <w:sz w:val="18"/>
                <w:szCs w:val="18"/>
                <w:lang w:val="en-US" w:eastAsia="en-US"/>
              </w:rPr>
              <w:t>48.3</w:t>
            </w:r>
          </w:p>
        </w:tc>
      </w:tr>
    </w:tbl>
    <w:p w14:paraId="02A5952D" w14:textId="77777777" w:rsidR="00730639" w:rsidRPr="001C5EA5" w:rsidRDefault="00730639" w:rsidP="00730639">
      <w:pPr>
        <w:spacing w:before="0"/>
        <w:rPr>
          <w:rFonts w:asciiTheme="minorHAnsi" w:eastAsiaTheme="minorHAnsi" w:hAnsiTheme="minorHAnsi" w:cstheme="minorBidi"/>
          <w:b w:val="0"/>
          <w:kern w:val="2"/>
          <w:szCs w:val="22"/>
          <w:lang w:val="hy-AM" w:eastAsia="en-US"/>
          <w14:ligatures w14:val="standardContextual"/>
        </w:rPr>
      </w:pPr>
      <w:r>
        <w:rPr>
          <w:rFonts w:eastAsia="Calibri"/>
          <w:lang w:val="hy-AM" w:eastAsia="en-US"/>
        </w:rPr>
        <w:fldChar w:fldCharType="begin"/>
      </w:r>
      <w:r>
        <w:rPr>
          <w:rFonts w:eastAsia="Calibri"/>
          <w:lang w:val="hy-AM" w:eastAsia="en-US"/>
        </w:rPr>
        <w:instrText xml:space="preserve"> LINK Excel.Sheet.12 "\\\\172.20.215.254\\Share\\macroeconomic\\Share\\Armine\\2023\\09\\2.Charts-and-Tables-Գլուխ 2.xlsx" "Աղյուսակ 2.1!R4C2:R25C7" \a \f 4 \h  \* MERGEFORMAT </w:instrText>
      </w:r>
      <w:r>
        <w:rPr>
          <w:rFonts w:eastAsia="Calibri"/>
          <w:lang w:val="hy-AM" w:eastAsia="en-US"/>
        </w:rPr>
        <w:fldChar w:fldCharType="separate"/>
      </w:r>
    </w:p>
    <w:p w14:paraId="255899A5" w14:textId="77777777" w:rsidR="00730639" w:rsidRPr="007414C5" w:rsidRDefault="00730639" w:rsidP="00730639">
      <w:pPr>
        <w:spacing w:before="0"/>
        <w:rPr>
          <w:rFonts w:cs="Calibri"/>
          <w:b w:val="0"/>
          <w:i/>
          <w:iCs/>
          <w:color w:val="000000"/>
          <w:sz w:val="20"/>
          <w:szCs w:val="20"/>
          <w:lang w:val="hy-AM"/>
        </w:rPr>
      </w:pPr>
      <w:r>
        <w:rPr>
          <w:rFonts w:eastAsia="Calibri" w:cs="Arial"/>
          <w:b w:val="0"/>
          <w:bCs/>
          <w:iCs/>
          <w:szCs w:val="22"/>
          <w:lang w:val="hy-AM" w:eastAsia="en-US"/>
        </w:rPr>
        <w:lastRenderedPageBreak/>
        <w:fldChar w:fldCharType="end"/>
      </w:r>
      <w:r w:rsidRPr="007414C5">
        <w:rPr>
          <w:rFonts w:cs="Calibri"/>
          <w:b w:val="0"/>
          <w:i/>
          <w:iCs/>
          <w:color w:val="000000"/>
          <w:sz w:val="20"/>
          <w:szCs w:val="20"/>
          <w:lang w:val="hy-AM"/>
        </w:rPr>
        <w:t>Աղբյուրը՝ ՀՀ ՖՆ կանխատեսումներ:</w:t>
      </w:r>
    </w:p>
    <w:p w14:paraId="530B0E8F" w14:textId="1CD81F20" w:rsidR="00730639" w:rsidRPr="007414C5" w:rsidRDefault="00730639" w:rsidP="00730639">
      <w:pPr>
        <w:spacing w:before="0"/>
        <w:rPr>
          <w:rFonts w:cs="Calibri"/>
          <w:b w:val="0"/>
          <w:i/>
          <w:iCs/>
          <w:color w:val="000000"/>
          <w:sz w:val="20"/>
          <w:szCs w:val="20"/>
          <w:lang w:val="hy-AM"/>
        </w:rPr>
      </w:pPr>
      <w:r w:rsidRPr="007414C5">
        <w:rPr>
          <w:rFonts w:cs="Calibri"/>
          <w:b w:val="0"/>
          <w:i/>
          <w:iCs/>
          <w:color w:val="000000"/>
          <w:sz w:val="20"/>
          <w:szCs w:val="20"/>
          <w:lang w:val="hy-AM"/>
        </w:rPr>
        <w:t>*Ինչպես կանխատեսված, այնպես էլ փաստացի տվյալներում ներառված է հիպոթեկի տոկոսագումարների գծով եկամտային հարկի վերադարձը։</w:t>
      </w:r>
    </w:p>
    <w:p w14:paraId="2A2EBFDB" w14:textId="77777777" w:rsidR="00730639" w:rsidRDefault="00730639" w:rsidP="00730639">
      <w:pPr>
        <w:spacing w:before="0"/>
        <w:rPr>
          <w:rFonts w:cs="Calibri"/>
          <w:b w:val="0"/>
          <w:i/>
          <w:iCs/>
          <w:color w:val="000000"/>
          <w:sz w:val="18"/>
          <w:szCs w:val="18"/>
          <w:lang w:val="hy-AM"/>
        </w:rPr>
      </w:pPr>
    </w:p>
    <w:p w14:paraId="7D912883" w14:textId="77777777" w:rsidR="00D178DD" w:rsidRDefault="00D178DD" w:rsidP="003B373F">
      <w:pPr>
        <w:keepNext/>
        <w:keepLines/>
        <w:spacing w:before="0"/>
        <w:ind w:firstLine="284"/>
        <w:outlineLvl w:val="2"/>
        <w:rPr>
          <w:rFonts w:eastAsiaTheme="majorEastAsia" w:cstheme="majorBidi"/>
          <w:bCs/>
          <w:color w:val="1F497D" w:themeColor="text2"/>
          <w:sz w:val="24"/>
          <w:lang w:val="hy-AM" w:eastAsia="en-US"/>
        </w:rPr>
      </w:pPr>
      <w:bookmarkStart w:id="149" w:name="_Hlk152316627"/>
      <w:bookmarkStart w:id="150" w:name="_Toc153184470"/>
      <w:r w:rsidRPr="00290696">
        <w:rPr>
          <w:rFonts w:eastAsiaTheme="majorEastAsia" w:cstheme="majorBidi"/>
          <w:bCs/>
          <w:color w:val="1F497D" w:themeColor="text2"/>
          <w:sz w:val="24"/>
          <w:lang w:val="hy-AM" w:eastAsia="en-US"/>
        </w:rPr>
        <w:t>2.2. ՀԱՐԿԱԲՅՈՒՋԵՏԱՅԻՆ ՔԱՂԱՔԱԿԱՆՈՒԹՅԱՆ ՄԻՏՈՒՄՆԵՐԸ ԵՎ ԿԱՆԽԱՏԵՍՈՒՄՆԵՐԸ</w:t>
      </w:r>
      <w:bookmarkEnd w:id="143"/>
      <w:bookmarkEnd w:id="144"/>
      <w:bookmarkEnd w:id="145"/>
      <w:bookmarkEnd w:id="146"/>
      <w:bookmarkEnd w:id="147"/>
      <w:bookmarkEnd w:id="148"/>
      <w:bookmarkEnd w:id="150"/>
    </w:p>
    <w:bookmarkEnd w:id="149"/>
    <w:p w14:paraId="689715F8" w14:textId="77777777" w:rsidR="00730639" w:rsidRPr="004A1E79" w:rsidRDefault="00730639" w:rsidP="00730639">
      <w:pPr>
        <w:rPr>
          <w:rFonts w:eastAsia="GHEA Grapalat" w:cs="GHEA Grapalat"/>
          <w:szCs w:val="22"/>
          <w:lang w:val="hy-AM"/>
        </w:rPr>
      </w:pPr>
      <w:r w:rsidRPr="004A1E79">
        <w:rPr>
          <w:bCs/>
          <w:lang w:val="hy-AM"/>
        </w:rPr>
        <w:t>2022թ</w:t>
      </w:r>
      <w:r w:rsidRPr="004A1E79">
        <w:rPr>
          <w:rFonts w:ascii="Cambria Math" w:hAnsi="Cambria Math" w:cs="Cambria Math"/>
          <w:bCs/>
          <w:lang w:val="hy-AM"/>
        </w:rPr>
        <w:t>․</w:t>
      </w:r>
      <w:r w:rsidRPr="004A1E79">
        <w:rPr>
          <w:bCs/>
          <w:lang w:val="hy-AM"/>
        </w:rPr>
        <w:t xml:space="preserve"> հարկաբյուջետային քաղաքականությունն ուղղված է եղել տնտեսական շոկերին արդյունավետ արձագանքելու միջոցով մակրոտնտեսական և հարկաբյուջետային կայունության ապահովմանը: Այդ նպատակից ելնելով, 2022 թ. կանխատեսվածից բարձր տնտեսական աճի պայմաններում կառավարությունը պլանավորված չեզոք հարկաբյուջետային քաղաքականության փոխարեն իրականացրել է զսպող քաղաքականություն՝ միևնույն ժամանակ իրականացնելով տնտեսական ներուժի բարձրացմանը միտված միջոցառումներ և նպաստելով պարտքի կայունության ապահովմանը: </w:t>
      </w:r>
    </w:p>
    <w:p w14:paraId="0732B5CC" w14:textId="77777777" w:rsidR="00730639" w:rsidRPr="004A1E79" w:rsidRDefault="00730639" w:rsidP="00730639">
      <w:pPr>
        <w:rPr>
          <w:rFonts w:eastAsia="GHEA Grapalat" w:cs="GHEA Grapalat"/>
          <w:b w:val="0"/>
          <w:szCs w:val="22"/>
          <w:lang w:val="hy-AM"/>
        </w:rPr>
      </w:pPr>
      <w:r w:rsidRPr="004A1E79">
        <w:rPr>
          <w:rFonts w:eastAsia="GHEA Grapalat" w:cs="GHEA Grapalat"/>
          <w:i/>
          <w:szCs w:val="22"/>
          <w:lang w:val="hy-AM"/>
        </w:rPr>
        <w:t>Պետական բյուջեի եկամուտները</w:t>
      </w:r>
      <w:r w:rsidRPr="004A1E79">
        <w:rPr>
          <w:rFonts w:eastAsia="GHEA Grapalat" w:cs="GHEA Grapalat"/>
          <w:b w:val="0"/>
          <w:i/>
          <w:szCs w:val="22"/>
          <w:lang w:val="hy-AM"/>
        </w:rPr>
        <w:t>:</w:t>
      </w:r>
      <w:r w:rsidRPr="004A1E79">
        <w:rPr>
          <w:rFonts w:eastAsia="GHEA Grapalat" w:cs="GHEA Grapalat"/>
          <w:b w:val="0"/>
          <w:szCs w:val="22"/>
          <w:lang w:val="hy-AM"/>
        </w:rPr>
        <w:t xml:space="preserve"> </w:t>
      </w:r>
      <w:r w:rsidRPr="004A1E79">
        <w:rPr>
          <w:rFonts w:eastAsia="GHEA Grapalat" w:cs="GHEA Grapalat"/>
          <w:bCs/>
          <w:szCs w:val="22"/>
          <w:lang w:val="hy-AM"/>
        </w:rPr>
        <w:t>2022 թվականին ՀՀ պետական բյուջեի եկամուտներն աճել են՝ պայմանավորված տնտեսության վերականգնման և հարկային օրենսդրության փոփոխությունների արդյունքում հարկային եկամուտների աճով:</w:t>
      </w:r>
      <w:r w:rsidRPr="004A1E79">
        <w:rPr>
          <w:rFonts w:eastAsia="GHEA Grapalat" w:cs="GHEA Grapalat"/>
          <w:b w:val="0"/>
          <w:szCs w:val="22"/>
          <w:lang w:val="hy-AM"/>
        </w:rPr>
        <w:t xml:space="preserve"> 2022 թվականին ՀՀ պետական բյուջեի ընդհանուր եկամուտները կազմել են 2063.1 մլրդ դրամ՝ նախորդ տարվա համեմատ աճելով 22.5%-ով,</w:t>
      </w:r>
      <w:r w:rsidRPr="004A1E79">
        <w:rPr>
          <w:rFonts w:eastAsia="Calibri" w:cs="Sylfaen"/>
          <w:szCs w:val="22"/>
          <w:lang w:val="hy-AM"/>
        </w:rPr>
        <w:t xml:space="preserve"> </w:t>
      </w:r>
      <w:r w:rsidRPr="004A1E79">
        <w:rPr>
          <w:rFonts w:eastAsia="Calibri" w:cs="Sylfaen"/>
          <w:b w:val="0"/>
          <w:bCs/>
          <w:szCs w:val="22"/>
          <w:lang w:val="hy-AM"/>
        </w:rPr>
        <w:t xml:space="preserve">որի վրա ազդել են ինչպես տնտեսական աճի և գնաճի բարձր տեմպերը, այնպես էլ հարկային օրենսդրության փոփոխությունները: ՀՀ պետական բյուջեի ընդհանուր եկամուտները (առանց </w:t>
      </w:r>
      <w:r w:rsidRPr="004A1E79">
        <w:rPr>
          <w:rFonts w:eastAsia="GHEA Grapalat" w:cs="GHEA Grapalat"/>
          <w:b w:val="0"/>
          <w:szCs w:val="22"/>
          <w:lang w:val="hy-AM"/>
        </w:rPr>
        <w:t>հիփոթեքային վարկերի տոկոսավճարների գծով եկամտային հարկի վերադարձի</w:t>
      </w:r>
      <w:r w:rsidRPr="004A1E79">
        <w:rPr>
          <w:rFonts w:eastAsia="Calibri" w:cs="Sylfaen"/>
          <w:b w:val="0"/>
          <w:bCs/>
          <w:szCs w:val="22"/>
          <w:lang w:val="hy-AM"/>
        </w:rPr>
        <w:t>) ՀՆԱ-ի նկատմամբ կազմել են 24.3%</w:t>
      </w:r>
      <w:r w:rsidRPr="004A1E79">
        <w:rPr>
          <w:rFonts w:eastAsia="Calibri" w:cs="Sylfaen"/>
          <w:b w:val="0"/>
          <w:bCs/>
          <w:szCs w:val="22"/>
          <w:lang w:val="hy-AM"/>
        </w:rPr>
        <w:noBreakHyphen/>
        <w:t xml:space="preserve">ը՝ նախորդ տարվա 24.1%-ի դիմաց, ինչը հիմնականում պայմանավորված է եղել ՀՆԱ-ի նկատմամբ այլ եկամուտների կշռի ավելացմամբ: </w:t>
      </w:r>
      <w:r w:rsidRPr="004A1E79">
        <w:rPr>
          <w:rFonts w:eastAsia="GHEA Grapalat" w:cs="GHEA Grapalat"/>
          <w:b w:val="0"/>
          <w:szCs w:val="22"/>
          <w:lang w:val="hy-AM"/>
        </w:rPr>
        <w:t xml:space="preserve"> Հարկեր և տուրքերը նույն ժամանակահատվածում կազմել են 1926.0 մլրդ դրամ (հիփոթեքային վարկերի տոկոսավճարների գծով եկամտային հարկի վերադարձը </w:t>
      </w:r>
      <w:r>
        <w:rPr>
          <w:rFonts w:eastAsia="GHEA Grapalat" w:cs="GHEA Grapalat"/>
          <w:b w:val="0"/>
          <w:szCs w:val="22"/>
          <w:lang w:val="hy-AM"/>
        </w:rPr>
        <w:t>ներառ</w:t>
      </w:r>
      <w:r w:rsidRPr="004A1E79">
        <w:rPr>
          <w:rFonts w:eastAsia="GHEA Grapalat" w:cs="GHEA Grapalat"/>
          <w:b w:val="0"/>
          <w:szCs w:val="22"/>
          <w:lang w:val="hy-AM"/>
        </w:rPr>
        <w:t xml:space="preserve">ելու դեպքում՝ 1,962.5 մլրդ դրամ)՝ նախորդ տարվա համեմատ աճելով 21.4%-ով՝ Հարկերի և տուրքերի աճը հիմնականում պայմանավորված է հարկման բազաների (հիմնականում՝ սպառման և ներմուծման, ինչպես նաև՝ շահույթների և աշխատավարձերի) աճի, ինչպես նաև 2021 թվականին իրականացված հարկային օրենսդրության բարեփոխումներով, մասնավորապես՝ մետաղական հանքանյութերի արտահանման տուրքի ներդրմամբ, որը գործել է մինչև 2022 թվականի սեպտեմբերի 1-ը: Չնայած որ 2022 թվականին ներմուծման հարկերի մասով արձանագրվել է աճ, սակայն մաքսատուրքերը նվազել են, որը պայմանավորված է ԵԱՏՄ երկրների՝ երրորդ երկրներից ընդհանուր ներմուծման ծավալի նվազմամբ: Այս պայմաններում հարկեր և տուրքերը կազմել են ՀՆԱ-ի 22.7%-ը (հիփոթեքային վարկերի տոկոսավճարների գծով եկամտային հարկի վերադարձը </w:t>
      </w:r>
      <w:r>
        <w:rPr>
          <w:rFonts w:eastAsia="GHEA Grapalat" w:cs="GHEA Grapalat"/>
          <w:b w:val="0"/>
          <w:szCs w:val="22"/>
          <w:lang w:val="hy-AM"/>
        </w:rPr>
        <w:t>ներառ</w:t>
      </w:r>
      <w:r w:rsidRPr="004A1E79">
        <w:rPr>
          <w:rFonts w:eastAsia="GHEA Grapalat" w:cs="GHEA Grapalat"/>
          <w:b w:val="0"/>
          <w:szCs w:val="22"/>
          <w:lang w:val="hy-AM"/>
        </w:rPr>
        <w:t xml:space="preserve">ելու դեպքում՝ </w:t>
      </w:r>
      <w:r>
        <w:rPr>
          <w:rFonts w:eastAsia="GHEA Grapalat" w:cs="GHEA Grapalat"/>
          <w:b w:val="0"/>
          <w:szCs w:val="22"/>
          <w:lang w:val="hy-AM"/>
        </w:rPr>
        <w:t>23.</w:t>
      </w:r>
      <w:r w:rsidRPr="004A1E79">
        <w:rPr>
          <w:rFonts w:eastAsia="GHEA Grapalat" w:cs="GHEA Grapalat"/>
          <w:b w:val="0"/>
          <w:szCs w:val="22"/>
          <w:lang w:val="hy-AM"/>
        </w:rPr>
        <w:t xml:space="preserve">1%)՝ պահպանվելով նախորդ տարվա գրեթե նույն մակարդակում (նվազելով 0.04 տոկոսային կետով, սակայն եթե հարկերի ցուցանիշում ներառենք հիփոթեքային վարկերի տոկոսավճարների գծով եկամտային հարկի վերադարձը, ապա բարելավումը կկազմի 0.1 տոկոսային կետ): </w:t>
      </w:r>
    </w:p>
    <w:p w14:paraId="3F74F966" w14:textId="77777777" w:rsidR="00730639" w:rsidRPr="004A1E79" w:rsidRDefault="00730639" w:rsidP="00730639">
      <w:pPr>
        <w:rPr>
          <w:rFonts w:eastAsia="GHEA Grapalat" w:cs="GHEA Grapalat"/>
          <w:b w:val="0"/>
          <w:szCs w:val="22"/>
          <w:lang w:val="hy-AM"/>
        </w:rPr>
      </w:pPr>
      <w:r w:rsidRPr="004A1E79">
        <w:rPr>
          <w:rFonts w:eastAsia="GHEA Grapalat" w:cs="GHEA Grapalat"/>
          <w:i/>
          <w:szCs w:val="22"/>
          <w:lang w:val="hy-AM"/>
        </w:rPr>
        <w:lastRenderedPageBreak/>
        <w:t>Պետական բյուջեի ծախսերը:</w:t>
      </w:r>
      <w:r w:rsidRPr="004A1E79">
        <w:rPr>
          <w:rFonts w:eastAsia="GHEA Grapalat" w:cs="GHEA Grapalat"/>
          <w:b w:val="0"/>
          <w:szCs w:val="22"/>
          <w:lang w:val="hy-AM"/>
        </w:rPr>
        <w:t xml:space="preserve"> </w:t>
      </w:r>
      <w:r w:rsidRPr="004A1E79">
        <w:rPr>
          <w:rFonts w:eastAsia="GHEA Grapalat" w:cs="GHEA Grapalat"/>
          <w:bCs/>
          <w:szCs w:val="22"/>
          <w:lang w:val="hy-AM"/>
        </w:rPr>
        <w:t>Պետական բյուջեի ծախսերը 2022 թվականին աճել են, սակայն ծախսերի կշիռը ՀՆԱ-ում նվազել է:</w:t>
      </w:r>
      <w:r w:rsidRPr="004A1E79">
        <w:rPr>
          <w:rFonts w:eastAsia="GHEA Grapalat" w:cs="GHEA Grapalat"/>
          <w:b w:val="0"/>
          <w:szCs w:val="22"/>
          <w:lang w:val="hy-AM"/>
        </w:rPr>
        <w:t xml:space="preserve"> 2022 թվականին պետական բյուջեի ծախսերը (</w:t>
      </w:r>
      <w:r w:rsidRPr="004A1E79">
        <w:rPr>
          <w:rFonts w:eastAsia="Calibri" w:cs="Sylfaen"/>
          <w:b w:val="0"/>
          <w:bCs/>
          <w:szCs w:val="22"/>
          <w:lang w:val="hy-AM"/>
        </w:rPr>
        <w:t xml:space="preserve">առանց </w:t>
      </w:r>
      <w:r w:rsidRPr="004A1E79">
        <w:rPr>
          <w:rFonts w:eastAsia="GHEA Grapalat" w:cs="GHEA Grapalat"/>
          <w:b w:val="0"/>
          <w:szCs w:val="22"/>
          <w:lang w:val="hy-AM"/>
        </w:rPr>
        <w:t>հիփոթեքային վարկերի տոկոսավճարների գծով եկամտային հարկի վերադարձի) կազմել են 2,242.6 մլրդ դրամ՝ նախորդ տարվա համեմատ աճելով 11.9%-ով: Ընդ որում, ընթացիկ ծախսերը կազմել են 1,862.2 մլրդ դրամ` նախորդ տարվա համեմատ աճելով 4.2%-ով: Պետական բյուջեի ծախսերի կշիռը ՀՆԱ-ում 2021 թվականի նկատմամբ նվազել է 2.3 տոկոսային կետով՝ կազմելով 26.4%, որում ընթացիկ ծախսերի կշիռը նվազել է 3.7 տոկոսային կետով՝ կազմելով 21.9%:</w:t>
      </w:r>
    </w:p>
    <w:p w14:paraId="059090EE" w14:textId="77777777" w:rsidR="00730639" w:rsidRPr="004A1E79" w:rsidRDefault="00730639" w:rsidP="00730639">
      <w:pPr>
        <w:rPr>
          <w:rFonts w:eastAsia="GHEA Grapalat" w:cs="GHEA Grapalat"/>
          <w:b w:val="0"/>
          <w:szCs w:val="22"/>
          <w:lang w:val="hy-AM"/>
        </w:rPr>
      </w:pPr>
      <w:r w:rsidRPr="004A1E79">
        <w:rPr>
          <w:rFonts w:eastAsia="GHEA Grapalat" w:cs="GHEA Grapalat"/>
          <w:b w:val="0"/>
          <w:szCs w:val="22"/>
          <w:lang w:val="hy-AM"/>
        </w:rPr>
        <w:t>Ոչ ֆինանսական ակտիվների հետ գործառնությունները կազմել են 380.4 մլրդ դրամ, որում ոչ ֆինանսական ակտիվների գծով ծախսերը (կապիտալ ծախսեր) կազմել են 389.1 մլրդ դրամ` նախորդ տարվա նկատմամբ աճելով 78.2%-ով: Ոչ ֆինանսական ակտիվների հետ գործառնությունների կշիռը ՀՆԱ-ում աճել է 1.4 տոկոսային կետով՝ կազմելով 4.5%: Միևնույն ժամանակ, 2020-2021 թվականների կապիտալ ծախսերի թերակատարման խնդիրը 2022 թվականին մեղմվել է, և կատարողականը ճշտված ծրագրի նկատմամբ կազմել է 94.9%՝ նախորդ տարվա 92.5%-ի համեմատ բարելավվելով 2.4 տոկոսային կետով:</w:t>
      </w:r>
    </w:p>
    <w:p w14:paraId="1614A9E5" w14:textId="77777777" w:rsidR="00730639" w:rsidRPr="004A1E79" w:rsidRDefault="00730639" w:rsidP="00730639">
      <w:pPr>
        <w:rPr>
          <w:rFonts w:eastAsia="GHEA Grapalat" w:cs="GHEA Grapalat"/>
          <w:b w:val="0"/>
          <w:szCs w:val="22"/>
          <w:lang w:val="hy-AM"/>
        </w:rPr>
      </w:pPr>
      <w:r w:rsidRPr="004A1E79">
        <w:rPr>
          <w:rFonts w:eastAsia="GHEA Grapalat" w:cs="GHEA Grapalat"/>
          <w:i/>
          <w:szCs w:val="22"/>
          <w:lang w:val="hy-AM"/>
        </w:rPr>
        <w:t>Պետական բյուջեի պակասուրդը և կառավարության պարտքը:</w:t>
      </w:r>
      <w:r w:rsidRPr="004A1E79">
        <w:rPr>
          <w:rFonts w:eastAsia="GHEA Grapalat" w:cs="GHEA Grapalat"/>
          <w:b w:val="0"/>
          <w:szCs w:val="22"/>
          <w:lang w:val="hy-AM"/>
        </w:rPr>
        <w:t xml:space="preserve"> </w:t>
      </w:r>
      <w:r w:rsidRPr="004A1E79">
        <w:rPr>
          <w:rFonts w:eastAsia="GHEA Grapalat" w:cs="GHEA Grapalat"/>
          <w:bCs/>
          <w:szCs w:val="22"/>
          <w:lang w:val="hy-AM"/>
        </w:rPr>
        <w:t>2022 թվականի բարձր տնտեսական աճը և հարկաբյուջետային քաղաքականության ջանքերը թույլ են տվել ապահովելու ՀՆԱ համեմատությամբ պետական բյուջեի պակասուրդի և կառավարության պարտքի նվազում, որը հիմքեր է ստեղծել 2022-2026թթ. պարտքի բեռի նվազեցման ծրագրի թիրախների իրականացման համար՝ միաժամանակ չխաթարելով 2020 թվականի շոկերից հետո տնտեսության վերականգնումը։</w:t>
      </w:r>
      <w:r w:rsidRPr="004A1E79">
        <w:rPr>
          <w:rFonts w:eastAsia="GHEA Grapalat" w:cs="GHEA Grapalat"/>
          <w:b w:val="0"/>
          <w:szCs w:val="22"/>
          <w:lang w:val="hy-AM"/>
        </w:rPr>
        <w:t xml:space="preserve"> 2022 թվականի ընթացքում ձևավորվել է պետական բյուջեի 179.5 մլրդ դրամ պակասուրդ՝ նախորդ տարվա 320.5 մլրդ դրամի համեմատ: ՀՆԱ-ի նկատմամբ, պետական բյուջեի պակասուրդը կազմել է 2.1%՝ նախորդ տարվա համեմատ նվազելով 2.5 տոկոսային կետով: ՀՀ կառավարության պարտք/ՀՆԱ ցուցանիշը կազմել է 46.7%՝ նախորդ տարվա նկատմամբ նվազելով 13.6 տոկոսային կետով:</w:t>
      </w:r>
    </w:p>
    <w:p w14:paraId="31C668D8" w14:textId="77777777" w:rsidR="00730639" w:rsidRPr="004A1E79" w:rsidRDefault="00730639" w:rsidP="00730639">
      <w:pPr>
        <w:rPr>
          <w:rFonts w:eastAsia="GHEA Grapalat" w:cs="GHEA Grapalat"/>
          <w:b w:val="0"/>
          <w:szCs w:val="22"/>
          <w:lang w:val="hy-AM"/>
        </w:rPr>
      </w:pPr>
      <w:r w:rsidRPr="004A1E79">
        <w:rPr>
          <w:rFonts w:eastAsia="GHEA Grapalat" w:cs="GHEA Grapalat"/>
          <w:b w:val="0"/>
          <w:szCs w:val="22"/>
          <w:lang w:val="hy-AM"/>
        </w:rPr>
        <w:t>Կառավարության պարտք/ՀՆԱ ցուցանիշի նվազումը հիմնականում պայմանավորվել է ՀՀ դրամի արժևորմամբ և ՀՆԱ իրական աճով։ Կառավարության պարտք/ՀՆԱ ցուցանիշի 13.6 տոկոսային կետով նվազմանը 11 տոկոսային կետով նպաստել է ԱՄՆ դոլարի նկատմամբ ՀՀ դրամի արժևորումը, 6.2 տոկոսային կետով՝ տնտեսական աճը, 1.8 տոկոսային կետով` իրական տոկոսադրույքի նվազումը, և 0.2 տոկոսային կետով՝ առաջնային պակասուրդը։ Պետական բյուջեից զուտ վարկավորումը կազմել է ՀՆԱ-ի 1.7%-ը:</w:t>
      </w:r>
    </w:p>
    <w:p w14:paraId="23B0F838" w14:textId="77777777" w:rsidR="00730639" w:rsidRPr="004A1E79" w:rsidRDefault="00730639" w:rsidP="00730639">
      <w:pPr>
        <w:rPr>
          <w:rFonts w:eastAsia="GHEA Grapalat" w:cs="GHEA Grapalat"/>
          <w:b w:val="0"/>
          <w:bCs/>
          <w:szCs w:val="22"/>
          <w:lang w:val="hy-AM"/>
        </w:rPr>
      </w:pPr>
      <w:r w:rsidRPr="004A1E79">
        <w:rPr>
          <w:rFonts w:eastAsia="GHEA Grapalat" w:cs="GHEA Grapalat"/>
          <w:i/>
          <w:szCs w:val="22"/>
          <w:lang w:val="hy-AM"/>
        </w:rPr>
        <w:t>Հարկաբյուջետային դիրքը և ազդակը:</w:t>
      </w:r>
      <w:r w:rsidRPr="004A1E79">
        <w:rPr>
          <w:rFonts w:eastAsia="GHEA Grapalat" w:cs="GHEA Grapalat"/>
          <w:szCs w:val="22"/>
          <w:lang w:val="hy-AM"/>
        </w:rPr>
        <w:t xml:space="preserve"> </w:t>
      </w:r>
      <w:r w:rsidRPr="004A1E79">
        <w:rPr>
          <w:rFonts w:eastAsia="GHEA Grapalat" w:cs="GHEA Grapalat"/>
          <w:b w:val="0"/>
          <w:bCs/>
          <w:szCs w:val="22"/>
          <w:lang w:val="hy-AM"/>
        </w:rPr>
        <w:t xml:space="preserve">2022 թվականի պետական բյուջեի ընդհանուր և առաջնային պակասուրդի ցուցանիշները զգալիորեն ցածր են եղել նախորդ 10 տարիների միջին ցուցանիշներից՝ արտացոլելով կառավարության կողմից նախանշված հարկաբյուջետային կոնսոլիդացիայի քաղաքականության իրականացումը և սպասվածից ավելի դրական տնտեսական զարգացումները։ Արդյունքում, համախառն պահանջարկի </w:t>
      </w:r>
      <w:r w:rsidRPr="004A1E79">
        <w:rPr>
          <w:rFonts w:eastAsia="GHEA Grapalat" w:cs="GHEA Grapalat"/>
          <w:b w:val="0"/>
          <w:bCs/>
          <w:szCs w:val="22"/>
          <w:lang w:val="hy-AM"/>
        </w:rPr>
        <w:lastRenderedPageBreak/>
        <w:t xml:space="preserve">վրա հարկաբյուջետային քաղաքականությունը 2022 թվականին նախորդ տարվա նկատմամբ ունեցել է 2.2 զսպող ազդեցություն` պայմանավորված եկամուտների չեզոք (0.2), ծախսերի զսպող (2.1) ազդեցություններով: </w:t>
      </w:r>
    </w:p>
    <w:p w14:paraId="572F3656" w14:textId="77777777" w:rsidR="00730639" w:rsidRPr="004A1E79" w:rsidRDefault="00730639" w:rsidP="00730639">
      <w:pPr>
        <w:rPr>
          <w:rFonts w:eastAsia="Calibri" w:cs="Arial"/>
          <w:bCs/>
          <w:color w:val="1F497D" w:themeColor="text2"/>
          <w:szCs w:val="22"/>
          <w:u w:val="single"/>
          <w:lang w:val="hy-AM" w:eastAsia="en-US"/>
        </w:rPr>
      </w:pPr>
      <w:r w:rsidRPr="004A1E79">
        <w:rPr>
          <w:rFonts w:eastAsia="Calibri" w:cs="Arial"/>
          <w:bCs/>
          <w:color w:val="1F497D" w:themeColor="text2"/>
          <w:szCs w:val="22"/>
          <w:u w:val="single"/>
          <w:lang w:val="hy-AM" w:eastAsia="en-US"/>
        </w:rPr>
        <w:t>2023թ. ընթացիկ զարգացումներ</w:t>
      </w:r>
    </w:p>
    <w:p w14:paraId="494471B6" w14:textId="77777777" w:rsidR="00730639" w:rsidRPr="004A1E79" w:rsidRDefault="00730639" w:rsidP="00730639">
      <w:pPr>
        <w:autoSpaceDE w:val="0"/>
        <w:autoSpaceDN w:val="0"/>
        <w:adjustRightInd w:val="0"/>
        <w:rPr>
          <w:b w:val="0"/>
          <w:bCs/>
          <w:lang w:val="hy-AM"/>
        </w:rPr>
      </w:pPr>
      <w:r w:rsidRPr="004A1E79">
        <w:rPr>
          <w:rFonts w:eastAsia="Calibri"/>
          <w:szCs w:val="22"/>
          <w:lang w:val="hy-AM" w:eastAsia="en-US"/>
        </w:rPr>
        <w:tab/>
        <w:t xml:space="preserve">2023 թվականի առաջին կիսամյակում տնտեսական բարձր աճի պայմաններում և հարկաբյուջետային քաղաքականության ազդեցությունը ամբողջական պահանջարկի վրա գնահատվում է զսպող: </w:t>
      </w:r>
      <w:r w:rsidRPr="004A1E79">
        <w:rPr>
          <w:b w:val="0"/>
          <w:bCs/>
          <w:lang w:val="hy-AM"/>
        </w:rPr>
        <w:t>Ընդ որում, մի կողմից արձանագրվել է պետական բյուջեի եկամուտների գերակատարում, մյուս կողմից ծախսերի թերակատարում, ինչի արդյունքում ձևավորվել է պետական բյուջեի հավելուրդ՝ պլանավորված պակասուրդի փոխարեն:</w:t>
      </w:r>
    </w:p>
    <w:p w14:paraId="61CB1F3E" w14:textId="77777777" w:rsidR="00730639" w:rsidRPr="004A1E79" w:rsidRDefault="00730639" w:rsidP="00730639">
      <w:pPr>
        <w:autoSpaceDE w:val="0"/>
        <w:autoSpaceDN w:val="0"/>
        <w:adjustRightInd w:val="0"/>
        <w:rPr>
          <w:rFonts w:eastAsia="Calibri"/>
          <w:b w:val="0"/>
          <w:bCs/>
          <w:szCs w:val="22"/>
          <w:lang w:val="hy-AM" w:eastAsia="en-US"/>
        </w:rPr>
      </w:pPr>
      <w:r w:rsidRPr="004A1E79">
        <w:rPr>
          <w:rFonts w:eastAsia="Calibri"/>
          <w:b w:val="0"/>
          <w:bCs/>
          <w:szCs w:val="22"/>
          <w:lang w:val="hy-AM" w:eastAsia="en-US"/>
        </w:rPr>
        <w:t>Միևնույն ժամանակ, կառավարությունը շարունակել է իրականացնել տնտեսական ներուժի բարձրացման, ոլորտային զարգացման քաղաքականությունների և լրացուցիչ սոցիալական պաշտպանության միջոցառումները:</w:t>
      </w:r>
    </w:p>
    <w:p w14:paraId="487A7C58" w14:textId="77777777" w:rsidR="00730639" w:rsidRPr="00654AEF" w:rsidRDefault="00730639" w:rsidP="00730639">
      <w:pPr>
        <w:rPr>
          <w:rFonts w:cs="GHEA Grapalat"/>
          <w:bCs/>
          <w:lang w:val="hy-AM"/>
        </w:rPr>
      </w:pPr>
      <w:r w:rsidRPr="004A1E79">
        <w:rPr>
          <w:rFonts w:eastAsia="Calibri"/>
          <w:i/>
          <w:szCs w:val="22"/>
          <w:lang w:val="hy-AM" w:eastAsia="en-US"/>
        </w:rPr>
        <w:t>Պետական բյուջեի եկամուտները:</w:t>
      </w:r>
      <w:r w:rsidRPr="004A1E79">
        <w:rPr>
          <w:rFonts w:eastAsia="Calibri"/>
          <w:b w:val="0"/>
          <w:szCs w:val="22"/>
          <w:lang w:val="hy-AM" w:eastAsia="en-US"/>
        </w:rPr>
        <w:t xml:space="preserve"> </w:t>
      </w:r>
      <w:r w:rsidRPr="004A1E79">
        <w:rPr>
          <w:rFonts w:cs="GHEA Grapalat"/>
          <w:bCs/>
          <w:lang w:val="hy-AM"/>
        </w:rPr>
        <w:t>2023թ</w:t>
      </w:r>
      <w:r w:rsidRPr="004A1E79">
        <w:rPr>
          <w:rFonts w:ascii="Cambria Math" w:hAnsi="Cambria Math" w:cs="Cambria Math"/>
          <w:bCs/>
          <w:lang w:val="hy-AM"/>
        </w:rPr>
        <w:t>.</w:t>
      </w:r>
      <w:r w:rsidRPr="004A1E79">
        <w:rPr>
          <w:rFonts w:cs="GHEA Grapalat"/>
          <w:bCs/>
          <w:lang w:val="hy-AM"/>
        </w:rPr>
        <w:t xml:space="preserve"> ութ ամիսներին ՀՀ պետական բյուջեի եկամուտները շարունակում են աճել բարձր տեմպերով՝ հիմնականում պայմանավորված պահպանվող բարձր տնտեսական աճով և որոշ հարկատեսակների համար՝ տնտեսական ակտիվությանն առաջանցիկ հարկման բազաների աճերով։ </w:t>
      </w:r>
      <w:r w:rsidRPr="004A1E79">
        <w:rPr>
          <w:rFonts w:cs="GHEA Grapalat"/>
          <w:b w:val="0"/>
          <w:szCs w:val="22"/>
          <w:lang w:val="hy-AM"/>
        </w:rPr>
        <w:t>2023 թվականի հունվար-օգոստոս ամիսների արդյունքներով ՀՀ պետական բյուջեի ընդհանուր եկամուտները կազմել են 1502.2</w:t>
      </w:r>
      <w:r w:rsidRPr="004A1E79">
        <w:rPr>
          <w:rFonts w:ascii="Calibri" w:hAnsi="Calibri" w:cs="Calibri"/>
          <w:b w:val="0"/>
          <w:szCs w:val="22"/>
          <w:lang w:val="hy-AM"/>
        </w:rPr>
        <w:t> </w:t>
      </w:r>
      <w:r w:rsidRPr="004A1E79">
        <w:rPr>
          <w:rFonts w:cs="GHEA Grapalat"/>
          <w:b w:val="0"/>
          <w:szCs w:val="22"/>
          <w:lang w:val="hy-AM"/>
        </w:rPr>
        <w:t xml:space="preserve">մլրդ դրամ՝ նախորդ տարվա նույն ժամանակահատվածի համեմատ աճելով 14.5%-ով, իսկ հարկերը և տուրքերը կազմել են 1422.9 մլրդ դրամ՝ նախորդ տարվա նույն ժամանակահատվածի համեմատ աճելով 15.5%-ով: </w:t>
      </w:r>
      <w:r w:rsidRPr="004A1E79">
        <w:rPr>
          <w:rFonts w:eastAsia="GHEA Grapalat" w:cs="GHEA Grapalat"/>
          <w:b w:val="0"/>
          <w:lang w:val="hy-AM"/>
        </w:rPr>
        <w:t>Հարկային եկամուտների աճը հիմնականում պայմանավորված է հարկման բազաների (հիմնականում սպառման և ներմուծման, ինչպես նաև շահույթների և աշխատավարձերի) աճով։ Միևնույն ժամանակ, հարկային եկամուտների աճին հակազդել են եկամտային հարկի դրույքաչափի նվազումը և վերադարձի ծավալների աճը, ինչպես նաև մետաղական հանքանյութերի նկատմամբ արտահանման տուրքի գործողության դադարեցումը (2022թ. սեպտեմբերի 1-ից):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85"/>
      </w:tblGrid>
      <w:tr w:rsidR="00730639" w:rsidRPr="00654AEF" w14:paraId="0A70A132" w14:textId="77777777" w:rsidTr="00D656FB">
        <w:tc>
          <w:tcPr>
            <w:tcW w:w="4705" w:type="dxa"/>
          </w:tcPr>
          <w:p w14:paraId="1E010840" w14:textId="77777777" w:rsidR="00730639" w:rsidRPr="00654AEF" w:rsidRDefault="00730639" w:rsidP="00D656FB">
            <w:pPr>
              <w:keepNext/>
              <w:keepLines/>
              <w:spacing w:line="240" w:lineRule="auto"/>
              <w:jc w:val="center"/>
              <w:rPr>
                <w:rFonts w:eastAsia="GHEA Grapalat" w:cs="GHEA Grapalat"/>
                <w:lang w:val="hy-AM"/>
              </w:rPr>
            </w:pPr>
            <w:r w:rsidRPr="00654AEF">
              <w:rPr>
                <w:rFonts w:eastAsiaTheme="majorEastAsia"/>
                <w:lang w:val="hy-AM"/>
              </w:rPr>
              <w:lastRenderedPageBreak/>
              <w:t>Գծապատկեր 2.1. Պետական բյուջեի հարկային եկամուտները և դրանց աճի տեմպը 2022-2023 թթ</w:t>
            </w:r>
            <w:r w:rsidRPr="00654AEF">
              <w:rPr>
                <w:rFonts w:ascii="Cambria Math" w:eastAsiaTheme="majorEastAsia" w:hAnsi="Cambria Math" w:cs="Cambria Math"/>
                <w:lang w:val="hy-AM"/>
              </w:rPr>
              <w:t>..</w:t>
            </w:r>
            <w:r w:rsidRPr="00654AEF">
              <w:rPr>
                <w:rFonts w:eastAsiaTheme="majorEastAsia"/>
                <w:lang w:val="hy-AM"/>
              </w:rPr>
              <w:t xml:space="preserve"> կուտակային</w:t>
            </w:r>
          </w:p>
        </w:tc>
        <w:tc>
          <w:tcPr>
            <w:tcW w:w="4645" w:type="dxa"/>
          </w:tcPr>
          <w:p w14:paraId="28A62F48" w14:textId="77777777" w:rsidR="00730639" w:rsidRPr="00654AEF" w:rsidRDefault="00730639" w:rsidP="00D656FB">
            <w:pPr>
              <w:keepNext/>
              <w:keepLines/>
              <w:spacing w:line="240" w:lineRule="auto"/>
              <w:jc w:val="center"/>
              <w:rPr>
                <w:rFonts w:eastAsia="GHEA Grapalat" w:cs="GHEA Grapalat"/>
                <w:lang w:val="hy-AM"/>
              </w:rPr>
            </w:pPr>
            <w:r w:rsidRPr="00654AEF">
              <w:rPr>
                <w:rFonts w:eastAsiaTheme="majorEastAsia"/>
                <w:lang w:val="hy-AM"/>
              </w:rPr>
              <w:t>Գծապատկեր 2.2. Պետական բյուջեի ծախսերի նպաստումները 2022-2023 թթ.</w:t>
            </w:r>
            <w:r w:rsidRPr="00654AEF">
              <w:rPr>
                <w:rFonts w:ascii="Cambria Math" w:eastAsiaTheme="majorEastAsia" w:hAnsi="Cambria Math" w:cs="Cambria Math"/>
                <w:lang w:val="hy-AM"/>
              </w:rPr>
              <w:t>.</w:t>
            </w:r>
            <w:r w:rsidRPr="00654AEF">
              <w:rPr>
                <w:rFonts w:eastAsiaTheme="majorEastAsia"/>
                <w:lang w:val="hy-AM"/>
              </w:rPr>
              <w:t xml:space="preserve"> ըստ ամիսների</w:t>
            </w:r>
          </w:p>
        </w:tc>
      </w:tr>
      <w:tr w:rsidR="00730639" w:rsidRPr="00654AEF" w14:paraId="21C5DB94" w14:textId="77777777" w:rsidTr="00D656FB">
        <w:tc>
          <w:tcPr>
            <w:tcW w:w="4705" w:type="dxa"/>
          </w:tcPr>
          <w:p w14:paraId="1DE4ABF2" w14:textId="77777777" w:rsidR="00730639" w:rsidRPr="00654AEF" w:rsidRDefault="00730639" w:rsidP="00D656FB">
            <w:pPr>
              <w:autoSpaceDE w:val="0"/>
              <w:autoSpaceDN w:val="0"/>
              <w:adjustRightInd w:val="0"/>
              <w:rPr>
                <w:rFonts w:eastAsia="GHEA Grapalat" w:cs="GHEA Grapalat"/>
                <w:lang w:val="hy-AM"/>
              </w:rPr>
            </w:pPr>
            <w:r w:rsidRPr="00654AEF">
              <w:rPr>
                <w:rFonts w:eastAsia="GHEA Grapalat" w:cs="GHEA Grapalat"/>
                <w:b w:val="0"/>
                <w:noProof/>
                <w:lang w:val="en-US" w:eastAsia="en-US"/>
              </w:rPr>
              <w:drawing>
                <wp:inline distT="0" distB="0" distL="0" distR="0" wp14:anchorId="0D267334" wp14:editId="171E5687">
                  <wp:extent cx="2808000" cy="2933700"/>
                  <wp:effectExtent l="0" t="0" r="11430" b="0"/>
                  <wp:docPr id="16375108" name="Chart 16375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645" w:type="dxa"/>
          </w:tcPr>
          <w:p w14:paraId="68A51FE7" w14:textId="77777777" w:rsidR="00730639" w:rsidRPr="00654AEF" w:rsidRDefault="00730639" w:rsidP="00D656FB">
            <w:pPr>
              <w:autoSpaceDE w:val="0"/>
              <w:autoSpaceDN w:val="0"/>
              <w:adjustRightInd w:val="0"/>
              <w:rPr>
                <w:rFonts w:eastAsia="GHEA Grapalat" w:cs="GHEA Grapalat"/>
                <w:lang w:val="hy-AM"/>
              </w:rPr>
            </w:pPr>
            <w:r w:rsidRPr="00654AEF">
              <w:rPr>
                <w:rFonts w:eastAsia="GHEA Grapalat" w:cs="GHEA Grapalat"/>
                <w:b w:val="0"/>
                <w:noProof/>
                <w:color w:val="4F81BD" w:themeColor="accent1"/>
                <w:lang w:val="en-US" w:eastAsia="en-US"/>
              </w:rPr>
              <w:drawing>
                <wp:inline distT="0" distB="0" distL="0" distR="0" wp14:anchorId="01EA3B35" wp14:editId="11EE22A5">
                  <wp:extent cx="2844000" cy="2933700"/>
                  <wp:effectExtent l="0" t="0" r="1397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bl>
    <w:p w14:paraId="3E857D81" w14:textId="77777777" w:rsidR="00730639" w:rsidRPr="00654AEF" w:rsidRDefault="00730639" w:rsidP="007306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Arial"/>
          <w:b w:val="0"/>
          <w:bCs/>
          <w:i/>
          <w:iCs/>
          <w:sz w:val="18"/>
          <w:szCs w:val="18"/>
          <w:lang w:val="hy-AM" w:eastAsia="en-US"/>
        </w:rPr>
      </w:pPr>
      <w:r w:rsidRPr="00654AEF">
        <w:rPr>
          <w:rFonts w:eastAsia="Calibri" w:cs="Arial"/>
          <w:b w:val="0"/>
          <w:bCs/>
          <w:i/>
          <w:iCs/>
          <w:sz w:val="18"/>
          <w:szCs w:val="18"/>
          <w:lang w:val="hy-AM" w:eastAsia="en-US"/>
        </w:rPr>
        <w:t>Աղբյուրը՝ ՀՀ ՖՆ</w:t>
      </w:r>
    </w:p>
    <w:p w14:paraId="222C954F" w14:textId="77777777" w:rsidR="00730639" w:rsidRPr="004A1E79" w:rsidRDefault="00730639" w:rsidP="00730639">
      <w:pPr>
        <w:rPr>
          <w:rFonts w:cs="GHEA Grapalat"/>
          <w:b w:val="0"/>
          <w:szCs w:val="22"/>
          <w:lang w:val="hy-AM"/>
        </w:rPr>
      </w:pPr>
      <w:r w:rsidRPr="004A1E79">
        <w:rPr>
          <w:rFonts w:eastAsia="Calibri"/>
          <w:i/>
          <w:szCs w:val="22"/>
          <w:lang w:val="hy-AM" w:eastAsia="en-US"/>
        </w:rPr>
        <w:t>Պետական բյուջեի ծախսերը:</w:t>
      </w:r>
      <w:r w:rsidRPr="004A1E79">
        <w:rPr>
          <w:rFonts w:eastAsia="Calibri"/>
          <w:b w:val="0"/>
          <w:szCs w:val="22"/>
          <w:lang w:val="hy-AM" w:eastAsia="en-US"/>
        </w:rPr>
        <w:t xml:space="preserve"> </w:t>
      </w:r>
      <w:r w:rsidRPr="004A1E79">
        <w:rPr>
          <w:rFonts w:cs="GHEA Grapalat"/>
          <w:szCs w:val="22"/>
          <w:lang w:val="hy-AM"/>
        </w:rPr>
        <w:t>Պետական բյուջեի ծախսերը 2023 թվականի առաջին ութ ամիսներին աճել են՝ պայմանավորված ինչպես ընթացիկ, այնպես էլ կապիտալ ծախսերի աճերով:</w:t>
      </w:r>
      <w:r w:rsidRPr="004A1E79">
        <w:rPr>
          <w:rFonts w:cs="GHEA Grapalat"/>
          <w:b w:val="0"/>
          <w:szCs w:val="22"/>
          <w:lang w:val="hy-AM"/>
        </w:rPr>
        <w:t xml:space="preserve"> 2023 թվականի ութ ամիսներին պետական բյուջեի ծախսերը կազմել են 1,430.6 մլրդ դրամ՝ նախորդ տարվա նույն ժամանակահատվածի համեմատ աճելով 13.7%-ով: Նույն ժամանակահատվածում ընթացիկ ծախսերը կազմել են 1,241.3</w:t>
      </w:r>
      <w:r w:rsidRPr="004A1E79">
        <w:rPr>
          <w:rFonts w:ascii="Calibri" w:hAnsi="Calibri" w:cs="Calibri"/>
          <w:b w:val="0"/>
          <w:szCs w:val="22"/>
          <w:lang w:val="hy-AM"/>
        </w:rPr>
        <w:t> </w:t>
      </w:r>
      <w:r w:rsidRPr="004A1E79">
        <w:rPr>
          <w:rFonts w:cs="GHEA Grapalat"/>
          <w:b w:val="0"/>
          <w:szCs w:val="22"/>
          <w:lang w:val="hy-AM"/>
        </w:rPr>
        <w:t>մլրդ դրամ` նախորդ տարվա նույն ժամանակահատվածի համեմատ աճելով 11.7%</w:t>
      </w:r>
      <w:r w:rsidRPr="004A1E79">
        <w:rPr>
          <w:rFonts w:cs="GHEA Grapalat"/>
          <w:b w:val="0"/>
          <w:szCs w:val="22"/>
          <w:lang w:val="hy-AM"/>
        </w:rPr>
        <w:noBreakHyphen/>
        <w:t xml:space="preserve">ով: </w:t>
      </w:r>
    </w:p>
    <w:p w14:paraId="2368AA34" w14:textId="77777777" w:rsidR="00730639" w:rsidRPr="004A1E79" w:rsidRDefault="00730639" w:rsidP="00730639">
      <w:pPr>
        <w:rPr>
          <w:rFonts w:cs="GHEA Grapalat"/>
          <w:b w:val="0"/>
          <w:szCs w:val="22"/>
          <w:lang w:val="hy-AM"/>
        </w:rPr>
      </w:pPr>
      <w:r w:rsidRPr="004A1E79">
        <w:rPr>
          <w:rFonts w:cs="GHEA Grapalat"/>
          <w:b w:val="0"/>
          <w:szCs w:val="22"/>
          <w:lang w:val="hy-AM"/>
        </w:rPr>
        <w:t>Ոչ ֆինանսական ակտիվների հետ գործառնությունները կազմել են 189.3 մլրդ դրամ, որում ոչ ֆինանսական ակտիվների գծով ծախսերը (կապիտալ ծախսեր) կազմել են 194.3 մլրդ դրամ` նախորդ տարվա նույն ժամանակահատվածի նկատմամբ աճելով 28.2%</w:t>
      </w:r>
      <w:r w:rsidRPr="004A1E79">
        <w:rPr>
          <w:rFonts w:cs="GHEA Grapalat"/>
          <w:b w:val="0"/>
          <w:szCs w:val="22"/>
          <w:lang w:val="hy-AM"/>
        </w:rPr>
        <w:noBreakHyphen/>
        <w:t xml:space="preserve">ով: </w:t>
      </w:r>
    </w:p>
    <w:p w14:paraId="015650B4" w14:textId="77777777" w:rsidR="00730639" w:rsidRPr="004A1E79" w:rsidRDefault="00730639" w:rsidP="00730639">
      <w:pPr>
        <w:rPr>
          <w:rFonts w:cs="GHEA Grapalat"/>
          <w:b w:val="0"/>
          <w:noProof/>
          <w:szCs w:val="22"/>
          <w:lang w:val="hy-AM" w:eastAsia="en-US"/>
        </w:rPr>
      </w:pPr>
      <w:r w:rsidRPr="004A1E79">
        <w:rPr>
          <w:rFonts w:eastAsia="Calibri"/>
          <w:i/>
          <w:szCs w:val="22"/>
          <w:lang w:val="hy-AM" w:eastAsia="en-US"/>
        </w:rPr>
        <w:t xml:space="preserve">Հարկաբյուջետային քաղաքականության արձագանքը մակրոտնտեսական զարգացումներին: </w:t>
      </w:r>
      <w:r w:rsidRPr="004A1E79">
        <w:rPr>
          <w:rFonts w:cs="GHEA Grapalat"/>
          <w:bCs/>
          <w:iCs/>
          <w:noProof/>
          <w:szCs w:val="22"/>
          <w:lang w:val="hy-AM" w:eastAsia="en-US"/>
        </w:rPr>
        <w:t>Սոցիալ-տնտեսական իրավիճակով պայմանավորված՝ հարկաբյուջետային քաղաքականության աջակցության միջոցառումների իրականացումը շարունակվել է նաև 2023 թվականի հունվար-օգոստոս ամիսներին:</w:t>
      </w:r>
      <w:r w:rsidRPr="004A1E79">
        <w:rPr>
          <w:rFonts w:cs="GHEA Grapalat"/>
          <w:b w:val="0"/>
          <w:bCs/>
          <w:iCs/>
          <w:noProof/>
          <w:szCs w:val="22"/>
          <w:lang w:val="hy-AM" w:eastAsia="en-US"/>
        </w:rPr>
        <w:t xml:space="preserve"> Տնտեսության արդիականացման պետական ծրագրի ներքո, որը ներառում է արտադրական կարողությունների արդիականացման (նոր մեքենա-սարքավորումների ձեռքբերման նպատակով տրամադրված վարկերի/լիզինգի տոկոսադույքների սուբսիդավորում) և բարձր որակավորում ունեցող մասնագետների ներգրավման (բարձր որակավորում ունեցող մասնագետի աշխատավարձի և դրան հավասարեցված այլ վճարների 20-70% փոխհատուցում) միջոցառումները, տնտեսավարողներին որպես աջակցություն տրամադրվել է շուրջ 3.4 մլրդ դրամ։ Իսկ </w:t>
      </w:r>
      <w:r w:rsidRPr="004A1E79">
        <w:rPr>
          <w:rFonts w:cs="GHEA Grapalat"/>
          <w:b w:val="0"/>
          <w:noProof/>
          <w:szCs w:val="22"/>
          <w:lang w:val="hy-AM" w:eastAsia="en-US"/>
        </w:rPr>
        <w:t>«</w:t>
      </w:r>
      <w:r w:rsidRPr="004A1E79">
        <w:rPr>
          <w:rFonts w:cs="GHEA Grapalat"/>
          <w:b w:val="0"/>
          <w:bCs/>
          <w:noProof/>
          <w:szCs w:val="22"/>
          <w:lang w:val="hy-AM" w:eastAsia="en-US"/>
        </w:rPr>
        <w:t xml:space="preserve">Պետական աջակցություն տեղեկատվական տեխնոլոգիաների ոլորտում գործունեություն իրականացնող </w:t>
      </w:r>
      <w:r w:rsidRPr="004A1E79">
        <w:rPr>
          <w:rFonts w:cs="GHEA Grapalat"/>
          <w:b w:val="0"/>
          <w:bCs/>
          <w:noProof/>
          <w:szCs w:val="22"/>
          <w:lang w:val="hy-AM" w:eastAsia="en-US"/>
        </w:rPr>
        <w:lastRenderedPageBreak/>
        <w:t xml:space="preserve">առևտրային կազմակերպություններին և անհատ ձեռնարկատերերին» ծրագրի </w:t>
      </w:r>
      <w:r w:rsidRPr="004A1E79">
        <w:rPr>
          <w:rFonts w:cs="GHEA Grapalat"/>
          <w:b w:val="0"/>
          <w:noProof/>
          <w:szCs w:val="22"/>
          <w:lang w:val="hy-AM" w:eastAsia="en-US"/>
        </w:rPr>
        <w:t xml:space="preserve">գծով, որով ՏՏ ոլորտի կազմակերպությունները օժանդակություն են ստանում նոր աշխատակիցների վճարած եկամտային հարկի 50%-ի չափով, փաստացի ծախսերը կազմել են շուրջ 12.7 մլրդ դրամ: </w:t>
      </w:r>
    </w:p>
    <w:p w14:paraId="6762CBA0" w14:textId="77777777" w:rsidR="00730639" w:rsidRPr="004A1E79" w:rsidRDefault="00730639" w:rsidP="00730639">
      <w:pPr>
        <w:rPr>
          <w:rFonts w:cs="GHEA Grapalat"/>
          <w:b w:val="0"/>
          <w:noProof/>
          <w:szCs w:val="22"/>
          <w:lang w:val="hy-AM" w:eastAsia="en-US"/>
        </w:rPr>
      </w:pPr>
      <w:r w:rsidRPr="004A1E79">
        <w:rPr>
          <w:rFonts w:cs="GHEA Grapalat"/>
          <w:b w:val="0"/>
          <w:noProof/>
          <w:szCs w:val="22"/>
          <w:lang w:val="hy-AM" w:eastAsia="en-US"/>
        </w:rPr>
        <w:t>Գյուղատնտեսություն ոլորտի խթանման ծրագրերը կազմել են 9.8 մլրդ դրամ (որում ներառված է նաև գյուղատնտեսական վարկերի տոկոսադրույքների սուբսիդավորումը (6.2 մլրդ դրամ), իսկ գյուղատնտեսական արդիականացման ծրագրերով հատկացվել է 8.0 մլրդ դրամ(որում ինտենսիվ այգեգործության զարգացման նպատակով սուբսիդավորումը կազմել է 4.4 մլրդ դրամ, իսկ գյուղատնտեսական տեխնիկայի  և ագրոպարենային ոլորտի սարքավորումների  լիզինգի  աջակցությունը (1.6</w:t>
      </w:r>
      <w:r w:rsidRPr="004A1E79">
        <w:rPr>
          <w:rFonts w:ascii="Calibri" w:hAnsi="Calibri" w:cs="Calibri"/>
          <w:b w:val="0"/>
          <w:noProof/>
          <w:szCs w:val="22"/>
          <w:lang w:val="hy-AM" w:eastAsia="en-US"/>
        </w:rPr>
        <w:t> </w:t>
      </w:r>
      <w:r w:rsidRPr="004A1E79">
        <w:rPr>
          <w:rFonts w:cs="GHEA Grapalat"/>
          <w:b w:val="0"/>
          <w:noProof/>
          <w:szCs w:val="22"/>
          <w:lang w:val="hy-AM" w:eastAsia="en-US"/>
        </w:rPr>
        <w:t>մլրդ դրամ) և գյուղատնտեսության ոլորտի սուբսիդավորման այլ ծրագրեր): Աճել է ՀՀ պետական բյուջեից Լեռնային Ղարաբաղին տրամադրված միջպետական վարկի ծավալը՝ կազմելով 131.6 մլրդ դրամ՝ նախորդ տարվա նույն ժամանակահատվածի 117.4 մլրդ դրամի համեմատ:</w:t>
      </w:r>
    </w:p>
    <w:p w14:paraId="542AA8D8" w14:textId="77777777" w:rsidR="00730639" w:rsidRPr="004A1E79" w:rsidRDefault="00730639" w:rsidP="00730639">
      <w:pPr>
        <w:rPr>
          <w:rFonts w:eastAsia="Calibri"/>
          <w:b w:val="0"/>
          <w:szCs w:val="22"/>
          <w:lang w:val="hy-AM" w:eastAsia="en-US"/>
        </w:rPr>
      </w:pPr>
      <w:r w:rsidRPr="004A1E79">
        <w:rPr>
          <w:rFonts w:eastAsia="Calibri"/>
          <w:i/>
          <w:szCs w:val="22"/>
          <w:lang w:val="hy-AM" w:eastAsia="en-US"/>
        </w:rPr>
        <w:t>Պետական բյուջեի պակասուրդը (հավելուրդը):</w:t>
      </w:r>
      <w:r w:rsidRPr="004A1E79">
        <w:rPr>
          <w:rFonts w:eastAsia="Calibri"/>
          <w:b w:val="0"/>
          <w:szCs w:val="22"/>
          <w:lang w:val="hy-AM" w:eastAsia="en-US"/>
        </w:rPr>
        <w:t xml:space="preserve"> </w:t>
      </w:r>
      <w:r w:rsidRPr="004A1E79">
        <w:rPr>
          <w:rFonts w:eastAsia="Calibri"/>
          <w:szCs w:val="22"/>
          <w:lang w:val="hy-AM" w:eastAsia="en-US"/>
        </w:rPr>
        <w:t>Վերոնշյալ զարգացումների արդյունքում պետական բյուջեն եղել է հավելուրդային:</w:t>
      </w:r>
      <w:r w:rsidRPr="004A1E79">
        <w:rPr>
          <w:rFonts w:eastAsia="Calibri"/>
          <w:b w:val="0"/>
          <w:szCs w:val="22"/>
          <w:lang w:val="hy-AM" w:eastAsia="en-US"/>
        </w:rPr>
        <w:t xml:space="preserve"> 2023 թվականի առաջին ութ ամիսների ընթացքում ձևավորվել է պետական բյուջեի 71.6 մլրդ դրամի հավելուրդ՝ նախորդ տարվա նույն ժամանակահատվածի 53.7 մլրդ դրամի հավելուրդի դիմաց:</w:t>
      </w:r>
    </w:p>
    <w:p w14:paraId="039C451B" w14:textId="77777777" w:rsidR="00730639" w:rsidRPr="004A1E79" w:rsidRDefault="00730639" w:rsidP="00730639">
      <w:pPr>
        <w:rPr>
          <w:rFonts w:eastAsia="Calibri"/>
          <w:b w:val="0"/>
          <w:szCs w:val="22"/>
          <w:lang w:val="hy-AM" w:eastAsia="en-US"/>
        </w:rPr>
      </w:pPr>
      <w:r w:rsidRPr="004A1E79">
        <w:rPr>
          <w:rFonts w:eastAsia="Calibri"/>
          <w:i/>
          <w:szCs w:val="22"/>
          <w:lang w:val="hy-AM" w:eastAsia="en-US"/>
        </w:rPr>
        <w:t>Հարկաբյուջետային ազդակը:</w:t>
      </w:r>
      <w:r w:rsidRPr="004A1E79">
        <w:rPr>
          <w:rFonts w:eastAsia="Calibri"/>
          <w:b w:val="0"/>
          <w:szCs w:val="22"/>
          <w:lang w:val="hy-AM" w:eastAsia="en-US"/>
        </w:rPr>
        <w:t xml:space="preserve"> 2023 թվականի առաջին կիսամյակի ընթացքում տնտեսության վերականգնման պայմաններում հարկաբյուջետային քաղաքականության ազդեցությունն ամբողջական պահանջարկի վրա գնահատվում է շուրջ -0.6% զսպող` պայմանավորված եկամուտների թույլ զսպող (-0.4) և ծախսերի (-0.2) չեզոքին մոտ ազդեցություններով: </w:t>
      </w:r>
    </w:p>
    <w:p w14:paraId="1D13E019" w14:textId="77777777" w:rsidR="00730639" w:rsidRPr="004A1E79" w:rsidRDefault="00730639" w:rsidP="00730639">
      <w:pPr>
        <w:rPr>
          <w:rFonts w:eastAsia="Calibri" w:cs="Arial"/>
          <w:bCs/>
          <w:color w:val="1F497D" w:themeColor="text2"/>
          <w:szCs w:val="22"/>
          <w:u w:val="single"/>
          <w:lang w:val="hy-AM" w:eastAsia="en-US"/>
        </w:rPr>
      </w:pPr>
      <w:r w:rsidRPr="004A1E79">
        <w:rPr>
          <w:rFonts w:eastAsia="Calibri" w:cs="Arial"/>
          <w:bCs/>
          <w:color w:val="1F497D" w:themeColor="text2"/>
          <w:szCs w:val="22"/>
          <w:u w:val="single"/>
          <w:lang w:val="hy-AM" w:eastAsia="en-US"/>
        </w:rPr>
        <w:t xml:space="preserve">Կարճաժամկետ կանխատեսումներ </w:t>
      </w:r>
    </w:p>
    <w:p w14:paraId="1E88D6E8" w14:textId="77777777" w:rsidR="00730639" w:rsidRPr="004A1E79" w:rsidRDefault="00730639" w:rsidP="00730639">
      <w:pPr>
        <w:rPr>
          <w:rFonts w:eastAsia="Calibri"/>
          <w:b w:val="0"/>
          <w:lang w:val="hy-AM"/>
        </w:rPr>
      </w:pPr>
      <w:r w:rsidRPr="004A1E79">
        <w:rPr>
          <w:rFonts w:eastAsia="Calibri"/>
          <w:bCs/>
          <w:lang w:val="hy-AM"/>
        </w:rPr>
        <w:t>2023թ</w:t>
      </w:r>
      <w:r w:rsidRPr="004A1E79">
        <w:rPr>
          <w:rFonts w:ascii="Cambria Math" w:eastAsia="Calibri" w:hAnsi="Cambria Math" w:cs="Cambria Math"/>
          <w:bCs/>
          <w:lang w:val="hy-AM"/>
        </w:rPr>
        <w:t>․</w:t>
      </w:r>
      <w:r w:rsidRPr="004A1E79">
        <w:rPr>
          <w:rFonts w:eastAsia="Calibri"/>
          <w:bCs/>
          <w:lang w:val="hy-AM"/>
        </w:rPr>
        <w:t xml:space="preserve"> նպատակ ունենալով նպաստել տնտեսական աճի ներուժի բարձրացմանը և պահպանել հարկաբյուջետային կայունությունը՝ թիրախավորվել է էապես բարձրացնել պետական ներդումների մակարդակը և պահպանել կառավարության պարտք/ՀՆԱ ցուցանիշը 50%-ից ցածր մակարդակում: </w:t>
      </w:r>
      <w:r w:rsidRPr="004A1E79">
        <w:rPr>
          <w:rFonts w:eastAsia="Calibri"/>
          <w:b w:val="0"/>
          <w:lang w:val="hy-AM"/>
        </w:rPr>
        <w:t>2023թ</w:t>
      </w:r>
      <w:r w:rsidRPr="004A1E79">
        <w:rPr>
          <w:rFonts w:ascii="Cambria Math" w:eastAsia="Calibri" w:hAnsi="Cambria Math" w:cs="Cambria Math"/>
          <w:b w:val="0"/>
          <w:lang w:val="hy-AM"/>
        </w:rPr>
        <w:t>․</w:t>
      </w:r>
      <w:r w:rsidRPr="004A1E79">
        <w:rPr>
          <w:rFonts w:eastAsia="Calibri"/>
          <w:b w:val="0"/>
          <w:lang w:val="hy-AM"/>
        </w:rPr>
        <w:t xml:space="preserve"> հարկաբյուջետային քաղաքականությունը կշարունակի ելնել բնականոն իրավիճակների համար սահմանված ծախսային կանոնների, այդ թվում՝ պետական ֆինանսների «ոսկե կանոնների» և ընթացիկ առաջնային ծախսերի աճի տեմպի՝ երկարաժամկետ տնտեսական աճի միջին տեմպով սահմանափակման կանոնի ամբողջական պահպանման տրամաբանության ներքո: Միաժամանակ, հարկաբյուջետային կայունությունը անխախտ պահելու և հարկաբյուջետային քաղաքականության ճկունությունը ապահովելու տեսակետից բյուջեի պակասուրդը  թիրախավորվել է այնպիսի մակարդակում, որը կապահովի կառավարության պարտք/ՀՆԱ ցուցանիշի պահպանումը ՀՆԱ 50%-ի շեմը չգերազանցող մակարդակում։ </w:t>
      </w:r>
    </w:p>
    <w:p w14:paraId="02A94220" w14:textId="77777777" w:rsidR="00730639" w:rsidRPr="004A1E79" w:rsidRDefault="00730639" w:rsidP="00730639">
      <w:pPr>
        <w:autoSpaceDE w:val="0"/>
        <w:autoSpaceDN w:val="0"/>
        <w:adjustRightInd w:val="0"/>
        <w:rPr>
          <w:rFonts w:eastAsia="Calibri" w:cs="GHEA Grapalat"/>
          <w:b w:val="0"/>
          <w:bCs/>
          <w:szCs w:val="22"/>
          <w:lang w:val="hy-AM" w:eastAsia="en-US"/>
        </w:rPr>
      </w:pPr>
      <w:r w:rsidRPr="004A1E79">
        <w:rPr>
          <w:rFonts w:eastAsia="Calibri" w:cs="GHEA Grapalat"/>
          <w:b w:val="0"/>
          <w:bCs/>
          <w:szCs w:val="22"/>
          <w:lang w:val="hy-AM" w:eastAsia="en-US"/>
        </w:rPr>
        <w:t xml:space="preserve">2023թ.-ին օրենսդրական բարեփոխումների, հարկային վարչարարության բարելավմանն ուղղված միջոցառումների և տնտեսական գործոնների (հարկման բազաների՝ </w:t>
      </w:r>
      <w:r w:rsidRPr="004A1E79">
        <w:rPr>
          <w:rFonts w:eastAsia="Calibri" w:cs="GHEA Grapalat"/>
          <w:b w:val="0"/>
          <w:bCs/>
          <w:szCs w:val="22"/>
          <w:lang w:val="hy-AM" w:eastAsia="en-US"/>
        </w:rPr>
        <w:lastRenderedPageBreak/>
        <w:t xml:space="preserve">անվանական ՀՆԱ-ն գերազանցող աճ) արդյունքում ակնկալվում է, որ հարկային եկամուտները ՀՆԱ-ի նկատմամբ կբարելավվեն շուրջ 1.0 տոկոսային կետով՝ կազմելով </w:t>
      </w:r>
      <w:r w:rsidRPr="004A1E79">
        <w:rPr>
          <w:rFonts w:eastAsia="Calibri" w:cs="GHEA Grapalat"/>
          <w:b w:val="0"/>
          <w:szCs w:val="22"/>
          <w:lang w:val="hy-AM" w:eastAsia="en-US"/>
        </w:rPr>
        <w:t>24.1%</w:t>
      </w:r>
      <w:r w:rsidRPr="004A1E79">
        <w:rPr>
          <w:rFonts w:eastAsia="Calibri" w:cs="GHEA Grapalat"/>
          <w:b w:val="0"/>
          <w:bCs/>
          <w:szCs w:val="22"/>
          <w:lang w:val="hy-AM" w:eastAsia="en-US"/>
        </w:rPr>
        <w:t xml:space="preserve"> կամ </w:t>
      </w:r>
      <w:r w:rsidRPr="004A1E79">
        <w:rPr>
          <w:rFonts w:eastAsia="Calibri" w:cs="GHEA Grapalat"/>
          <w:b w:val="0"/>
          <w:szCs w:val="22"/>
          <w:lang w:val="hy-AM" w:eastAsia="en-US"/>
        </w:rPr>
        <w:t>2,277.8 մլրդ դրամ։ Ընդ որում, ինչպես համեմատվող, այնպես էլ համեմատելի տարիների տվյալներում ներառված է  հիփոթեքային վարկի վճարված տոկոսների չափով եկամտային հարկի գումարների վերադարձը՝ ՀՆԱ-ի նկատմամբ համապատասխանաբար 0.6 և 0.4 տոկոսի չափով։</w:t>
      </w:r>
      <w:r w:rsidRPr="004A1E79">
        <w:rPr>
          <w:rFonts w:eastAsia="Calibri" w:cs="GHEA Grapalat"/>
          <w:b w:val="0"/>
          <w:bCs/>
          <w:szCs w:val="22"/>
          <w:lang w:val="hy-AM" w:eastAsia="en-US"/>
        </w:rPr>
        <w:t xml:space="preserve"> </w:t>
      </w:r>
    </w:p>
    <w:p w14:paraId="325A6FD0" w14:textId="77777777" w:rsidR="00730639" w:rsidRPr="004A1E79" w:rsidRDefault="00730639" w:rsidP="00730639">
      <w:pPr>
        <w:autoSpaceDE w:val="0"/>
        <w:autoSpaceDN w:val="0"/>
        <w:adjustRightInd w:val="0"/>
        <w:rPr>
          <w:rFonts w:eastAsia="Calibri" w:cs="GHEA Grapalat"/>
          <w:b w:val="0"/>
          <w:bCs/>
          <w:szCs w:val="22"/>
          <w:lang w:val="hy-AM" w:eastAsia="en-US"/>
        </w:rPr>
      </w:pPr>
      <w:r w:rsidRPr="004A1E79">
        <w:rPr>
          <w:rFonts w:eastAsia="Calibri" w:cs="GHEA Grapalat"/>
          <w:b w:val="0"/>
          <w:bCs/>
          <w:szCs w:val="22"/>
          <w:lang w:val="hy-AM" w:eastAsia="en-US"/>
        </w:rPr>
        <w:t xml:space="preserve">Միևնույն ժամանակ, </w:t>
      </w:r>
      <w:r w:rsidRPr="004A1E79">
        <w:rPr>
          <w:rFonts w:eastAsia="Calibri" w:cs="GHEA Grapalat"/>
          <w:b w:val="0"/>
          <w:szCs w:val="22"/>
          <w:lang w:val="hy-AM" w:eastAsia="en-US"/>
        </w:rPr>
        <w:t xml:space="preserve">պետական բյուջեի ընդհանուր ծախսերը ՀՆԱ-ի նկատմամբ կավելանան շուրջ 1.3 տոկոսային կետով՝ կազմելով 28.1 %, որը 2,653.4 մլրդ դրամ (պայմանավորված ինչպես կապիտալ, այնպես էլ ընթացիկ ծախսերով՝ գրեթե հավասարապես, (վերջինում նույնպես ներառված է հիփոթեքային վարկի վճարված տոկոսների չափով եկամտային հարկի գումարների վերադարձը))։  Արդյունքում, պետական բյուջեի պակասուրդը 2022 թվականի նկատմամբ կավելանա՝ կազմելով շուրջ 245.3 մլրդ դրամ, կամ կկազմի ՀՆԱ-ի շուրջ 2.6%-ը, իսկ հարկաբյուջետային քաղաքականության ազդեցությունը ամբողջական պահանջարկի վրա կլինի զսպող (եկամուտների (-0.8%) զսպող և ծախսերի (-0.2%) չեզոք ազդեցություններով): </w:t>
      </w:r>
    </w:p>
    <w:p w14:paraId="52803C28" w14:textId="77777777" w:rsidR="00730639" w:rsidRDefault="00730639" w:rsidP="00730639">
      <w:pPr>
        <w:autoSpaceDE w:val="0"/>
        <w:autoSpaceDN w:val="0"/>
        <w:adjustRightInd w:val="0"/>
        <w:spacing w:after="120"/>
        <w:rPr>
          <w:rFonts w:eastAsia="Calibri"/>
          <w:b w:val="0"/>
          <w:szCs w:val="22"/>
          <w:lang w:val="hy-AM" w:eastAsia="en-US"/>
        </w:rPr>
      </w:pPr>
      <w:r w:rsidRPr="004A1E79">
        <w:rPr>
          <w:rFonts w:eastAsia="Calibri"/>
          <w:szCs w:val="22"/>
          <w:lang w:val="hy-AM" w:eastAsia="en-US"/>
        </w:rPr>
        <w:t>Նպատակ ունենալով նպաստել տնտեսական աճի ներուժի բարձրացմանը և միաժամանակ ապահովել հարկաբյուջետային կայունություն՝ հարկաբյուջետային քաղաքականությամբ 2024թ. թիրախավորվել է էապես բարձրացնել պետական ներդրումների մակարդակը և միաժամանակ ապահովել ՀՀ կառավարության պարտքի բեռի նվազող միտումը:</w:t>
      </w:r>
      <w:r w:rsidRPr="004A1E79">
        <w:rPr>
          <w:rFonts w:eastAsia="Calibri"/>
          <w:b w:val="0"/>
          <w:bCs/>
          <w:szCs w:val="22"/>
          <w:lang w:val="hy-AM" w:eastAsia="en-US"/>
        </w:rPr>
        <w:t xml:space="preserve"> </w:t>
      </w:r>
      <w:r w:rsidRPr="004A1E79">
        <w:rPr>
          <w:rFonts w:eastAsia="Calibri"/>
          <w:b w:val="0"/>
          <w:szCs w:val="22"/>
          <w:lang w:val="hy-AM" w:eastAsia="en-US"/>
        </w:rPr>
        <w:t>Հարկային վարչարարության բարելավման և օրենսդրության բարեփոխումների արդյունքում, ակնկալվում է, որ հարկեր/ՀՆԱ հարաբերակցությունը 2024թ.-ին կբարելավվի շուրջ 0.75 տոկոսային կետով՝ կազմելով շուրջ 2,613.6 մլրդ դրամ, կամ ՀՆԱ-ի 24.9%-ը,</w:t>
      </w:r>
      <w:r w:rsidRPr="004A1E79">
        <w:rPr>
          <w:rFonts w:eastAsia="Calibri" w:cs="GHEA Grapalat"/>
          <w:b w:val="0"/>
          <w:szCs w:val="22"/>
          <w:lang w:val="hy-AM" w:eastAsia="en-US"/>
        </w:rPr>
        <w:t xml:space="preserve"> որում ներառված է 72.0 մլրդ դրամ հիփոթեքային վարկի վճարված տոկոսների չափով եկամտային հարկի գումարների վերադարձը, որը ՀՆԱ-ում կազմում է 0.7 տոկոս</w:t>
      </w:r>
      <w:r w:rsidRPr="004A1E79">
        <w:rPr>
          <w:rFonts w:eastAsia="Calibri" w:cs="GHEA Grapalat"/>
          <w:b w:val="0"/>
          <w:bCs/>
          <w:szCs w:val="22"/>
          <w:lang w:val="hy-AM" w:eastAsia="en-US"/>
        </w:rPr>
        <w:t>:</w:t>
      </w:r>
      <w:r w:rsidRPr="004A1E79">
        <w:rPr>
          <w:rFonts w:eastAsia="Calibri"/>
          <w:b w:val="0"/>
          <w:szCs w:val="22"/>
          <w:lang w:val="hy-AM" w:eastAsia="en-US"/>
        </w:rPr>
        <w:t xml:space="preserve"> </w:t>
      </w:r>
      <w:r>
        <w:rPr>
          <w:rFonts w:eastAsia="Calibri"/>
          <w:b w:val="0"/>
          <w:szCs w:val="22"/>
          <w:lang w:val="hy-AM" w:eastAsia="en-US"/>
        </w:rPr>
        <w:t xml:space="preserve">Հարկեր/ՀՆԱ հարաբերակցության բարելավումը պայմանավորված կլինի ինչպես հարկային վարչարարության բարելավմամբ (ՀՆԱ-ի նկատմամբ շուրջ 0.5 տոկոսային կետի չափով), այնպես էլ հարկային քաղաքականության բարեփոխումներով (ՀՆԱ-ի նկատմամբ շուրջ 0.25 տոկոսային կետի չափով): </w:t>
      </w:r>
      <w:r w:rsidRPr="004A1E79">
        <w:rPr>
          <w:rFonts w:eastAsia="Calibri"/>
          <w:b w:val="0"/>
          <w:szCs w:val="22"/>
          <w:lang w:val="hy-AM" w:eastAsia="en-US"/>
        </w:rPr>
        <w:t xml:space="preserve">Ընդ որում, ակնկալվում է, որ հարկային եկամուտների բարելավումը կապահովվի բոլոր հիմնական հարկատեսակների գծով՝ բխելով ինչպես հարկման բազաների, այնպես էլ օրենսդրության և վարչարարության միջոցառումների ազդեցությունից։ </w:t>
      </w:r>
      <w:r>
        <w:rPr>
          <w:rFonts w:eastAsia="Calibri"/>
          <w:b w:val="0"/>
          <w:szCs w:val="22"/>
          <w:lang w:val="hy-AM" w:eastAsia="en-US"/>
        </w:rPr>
        <w:t xml:space="preserve"> </w:t>
      </w:r>
    </w:p>
    <w:p w14:paraId="1C90A0DA" w14:textId="77777777" w:rsidR="00730639" w:rsidRPr="009A615D" w:rsidRDefault="00730639" w:rsidP="00730639">
      <w:pPr>
        <w:spacing w:before="0"/>
        <w:rPr>
          <w:rFonts w:cs="Calibri"/>
          <w:b w:val="0"/>
          <w:bCs/>
          <w:iCs/>
          <w:szCs w:val="22"/>
          <w:lang w:val="hy-AM" w:eastAsia="en-US"/>
        </w:rPr>
      </w:pPr>
      <w:bookmarkStart w:id="151" w:name="_Hlk152316570"/>
      <w:r w:rsidRPr="00654AEF">
        <w:rPr>
          <w:rFonts w:eastAsia="Calibri" w:cs="Arial"/>
          <w:iCs/>
          <w:szCs w:val="22"/>
          <w:lang w:val="hy-AM" w:eastAsia="en-US"/>
        </w:rPr>
        <w:t>Աղյուսակ</w:t>
      </w:r>
      <w:r>
        <w:rPr>
          <w:rFonts w:eastAsia="Calibri" w:cs="Arial"/>
          <w:iCs/>
          <w:szCs w:val="22"/>
          <w:lang w:val="hy-AM" w:eastAsia="en-US"/>
        </w:rPr>
        <w:t xml:space="preserve"> 2.2. </w:t>
      </w:r>
      <w:r w:rsidRPr="009A615D">
        <w:rPr>
          <w:rFonts w:eastAsia="Calibri" w:cs="Arial"/>
          <w:b w:val="0"/>
          <w:bCs/>
          <w:iCs/>
          <w:szCs w:val="22"/>
          <w:lang w:val="hy-AM" w:eastAsia="en-US"/>
        </w:rPr>
        <w:t>Հարկային եկամուտների կանխատեսումներն ըստ առանձին հարկատեսակների</w:t>
      </w:r>
      <w:r w:rsidRPr="009A615D">
        <w:rPr>
          <w:rStyle w:val="FootnoteReference"/>
          <w:rFonts w:eastAsia="Calibri" w:cs="Arial"/>
          <w:b w:val="0"/>
          <w:bCs/>
          <w:iCs/>
          <w:lang w:val="hy-AM" w:eastAsia="en-US"/>
        </w:rPr>
        <w:footnoteReference w:id="22"/>
      </w:r>
    </w:p>
    <w:tbl>
      <w:tblPr>
        <w:tblW w:w="9578" w:type="dxa"/>
        <w:tblBorders>
          <w:top w:val="single" w:sz="4" w:space="0" w:color="auto"/>
          <w:bottom w:val="single" w:sz="4" w:space="0" w:color="auto"/>
          <w:insideH w:val="single" w:sz="4" w:space="0" w:color="auto"/>
        </w:tblBorders>
        <w:tblLook w:val="04A0" w:firstRow="1" w:lastRow="0" w:firstColumn="1" w:lastColumn="0" w:noHBand="0" w:noVBand="1"/>
      </w:tblPr>
      <w:tblGrid>
        <w:gridCol w:w="3173"/>
        <w:gridCol w:w="1251"/>
        <w:gridCol w:w="982"/>
        <w:gridCol w:w="1261"/>
        <w:gridCol w:w="903"/>
        <w:gridCol w:w="1064"/>
        <w:gridCol w:w="944"/>
      </w:tblGrid>
      <w:tr w:rsidR="00730639" w:rsidRPr="00D94781" w14:paraId="106AEEA8" w14:textId="77777777" w:rsidTr="00D656FB">
        <w:trPr>
          <w:trHeight w:val="324"/>
        </w:trPr>
        <w:tc>
          <w:tcPr>
            <w:tcW w:w="3173" w:type="dxa"/>
            <w:vMerge w:val="restart"/>
            <w:shd w:val="clear" w:color="auto" w:fill="auto"/>
            <w:noWrap/>
            <w:vAlign w:val="bottom"/>
            <w:hideMark/>
          </w:tcPr>
          <w:bookmarkEnd w:id="151"/>
          <w:p w14:paraId="73778842" w14:textId="77777777" w:rsidR="00730639" w:rsidRPr="00DE5FA5" w:rsidRDefault="00730639" w:rsidP="00D656FB">
            <w:pPr>
              <w:spacing w:before="0" w:line="240" w:lineRule="auto"/>
              <w:jc w:val="center"/>
              <w:rPr>
                <w:b w:val="0"/>
                <w:color w:val="000000"/>
                <w:sz w:val="20"/>
                <w:szCs w:val="20"/>
                <w:lang w:val="hy-AM" w:eastAsia="en-US"/>
              </w:rPr>
            </w:pPr>
            <w:r w:rsidRPr="00DE5FA5">
              <w:rPr>
                <w:rFonts w:ascii="Calibri" w:hAnsi="Calibri" w:cs="Calibri"/>
                <w:b w:val="0"/>
                <w:color w:val="000000"/>
                <w:sz w:val="20"/>
                <w:szCs w:val="20"/>
                <w:lang w:val="hy-AM" w:eastAsia="en-US"/>
              </w:rPr>
              <w:t> </w:t>
            </w:r>
          </w:p>
        </w:tc>
        <w:tc>
          <w:tcPr>
            <w:tcW w:w="3494" w:type="dxa"/>
            <w:gridSpan w:val="3"/>
            <w:shd w:val="clear" w:color="auto" w:fill="auto"/>
            <w:noWrap/>
            <w:vAlign w:val="bottom"/>
            <w:hideMark/>
          </w:tcPr>
          <w:p w14:paraId="4BB34D9A"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Մլրդ դրամ</w:t>
            </w:r>
          </w:p>
        </w:tc>
        <w:tc>
          <w:tcPr>
            <w:tcW w:w="2911" w:type="dxa"/>
            <w:gridSpan w:val="3"/>
            <w:shd w:val="clear" w:color="auto" w:fill="auto"/>
            <w:noWrap/>
            <w:vAlign w:val="bottom"/>
            <w:hideMark/>
          </w:tcPr>
          <w:p w14:paraId="38B4F014"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 ՀՆԱ-ում</w:t>
            </w:r>
          </w:p>
        </w:tc>
      </w:tr>
      <w:tr w:rsidR="00730639" w:rsidRPr="00D94781" w14:paraId="56550BBA" w14:textId="77777777" w:rsidTr="00D656FB">
        <w:trPr>
          <w:trHeight w:val="324"/>
        </w:trPr>
        <w:tc>
          <w:tcPr>
            <w:tcW w:w="3173" w:type="dxa"/>
            <w:vMerge/>
            <w:vAlign w:val="center"/>
            <w:hideMark/>
          </w:tcPr>
          <w:p w14:paraId="71527021" w14:textId="77777777" w:rsidR="00730639" w:rsidRPr="00DE5FA5" w:rsidRDefault="00730639" w:rsidP="00D656FB">
            <w:pPr>
              <w:spacing w:before="0" w:line="240" w:lineRule="auto"/>
              <w:jc w:val="left"/>
              <w:rPr>
                <w:b w:val="0"/>
                <w:color w:val="000000"/>
                <w:sz w:val="20"/>
                <w:szCs w:val="20"/>
                <w:lang w:val="en-US" w:eastAsia="en-US"/>
              </w:rPr>
            </w:pPr>
          </w:p>
        </w:tc>
        <w:tc>
          <w:tcPr>
            <w:tcW w:w="1251" w:type="dxa"/>
            <w:shd w:val="clear" w:color="auto" w:fill="auto"/>
            <w:noWrap/>
            <w:vAlign w:val="bottom"/>
            <w:hideMark/>
          </w:tcPr>
          <w:p w14:paraId="02A49EAC"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2022</w:t>
            </w:r>
          </w:p>
        </w:tc>
        <w:tc>
          <w:tcPr>
            <w:tcW w:w="982" w:type="dxa"/>
            <w:shd w:val="clear" w:color="auto" w:fill="auto"/>
            <w:noWrap/>
            <w:vAlign w:val="bottom"/>
            <w:hideMark/>
          </w:tcPr>
          <w:p w14:paraId="0067E98E"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2023</w:t>
            </w:r>
          </w:p>
        </w:tc>
        <w:tc>
          <w:tcPr>
            <w:tcW w:w="1261" w:type="dxa"/>
            <w:shd w:val="clear" w:color="auto" w:fill="auto"/>
            <w:noWrap/>
            <w:vAlign w:val="bottom"/>
            <w:hideMark/>
          </w:tcPr>
          <w:p w14:paraId="2D77A17D"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2024</w:t>
            </w:r>
          </w:p>
        </w:tc>
        <w:tc>
          <w:tcPr>
            <w:tcW w:w="903" w:type="dxa"/>
            <w:shd w:val="clear" w:color="auto" w:fill="auto"/>
            <w:noWrap/>
            <w:vAlign w:val="bottom"/>
            <w:hideMark/>
          </w:tcPr>
          <w:p w14:paraId="617B0C06"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2022</w:t>
            </w:r>
          </w:p>
        </w:tc>
        <w:tc>
          <w:tcPr>
            <w:tcW w:w="1064" w:type="dxa"/>
            <w:shd w:val="clear" w:color="auto" w:fill="auto"/>
            <w:noWrap/>
            <w:vAlign w:val="bottom"/>
            <w:hideMark/>
          </w:tcPr>
          <w:p w14:paraId="48892708"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2023</w:t>
            </w:r>
          </w:p>
        </w:tc>
        <w:tc>
          <w:tcPr>
            <w:tcW w:w="944" w:type="dxa"/>
            <w:shd w:val="clear" w:color="auto" w:fill="auto"/>
            <w:noWrap/>
            <w:vAlign w:val="bottom"/>
            <w:hideMark/>
          </w:tcPr>
          <w:p w14:paraId="50AB4A7A" w14:textId="77777777" w:rsidR="00730639" w:rsidRPr="00DE5FA5" w:rsidRDefault="00730639" w:rsidP="00D656FB">
            <w:pPr>
              <w:spacing w:before="0" w:line="240" w:lineRule="auto"/>
              <w:jc w:val="center"/>
              <w:rPr>
                <w:b w:val="0"/>
                <w:color w:val="000000"/>
                <w:sz w:val="20"/>
                <w:szCs w:val="20"/>
                <w:lang w:val="en-US" w:eastAsia="en-US"/>
              </w:rPr>
            </w:pPr>
            <w:r w:rsidRPr="00DE5FA5">
              <w:rPr>
                <w:b w:val="0"/>
                <w:color w:val="000000"/>
                <w:sz w:val="20"/>
                <w:szCs w:val="20"/>
                <w:lang w:val="en-US" w:eastAsia="en-US"/>
              </w:rPr>
              <w:t>2024</w:t>
            </w:r>
          </w:p>
        </w:tc>
      </w:tr>
      <w:tr w:rsidR="00730639" w:rsidRPr="00D94781" w14:paraId="7AECA3C9" w14:textId="77777777" w:rsidTr="00D656FB">
        <w:trPr>
          <w:trHeight w:val="324"/>
        </w:trPr>
        <w:tc>
          <w:tcPr>
            <w:tcW w:w="3173" w:type="dxa"/>
            <w:shd w:val="clear" w:color="auto" w:fill="auto"/>
            <w:vAlign w:val="center"/>
            <w:hideMark/>
          </w:tcPr>
          <w:p w14:paraId="17AFBD82" w14:textId="77777777" w:rsidR="00730639" w:rsidRPr="00DE5FA5" w:rsidRDefault="00730639" w:rsidP="00D656FB">
            <w:pPr>
              <w:spacing w:before="0" w:line="240" w:lineRule="auto"/>
              <w:jc w:val="left"/>
              <w:rPr>
                <w:b w:val="0"/>
                <w:color w:val="000000"/>
                <w:sz w:val="20"/>
                <w:szCs w:val="20"/>
                <w:lang w:val="hy-AM" w:eastAsia="en-US"/>
              </w:rPr>
            </w:pPr>
            <w:r w:rsidRPr="00DE5FA5">
              <w:rPr>
                <w:b w:val="0"/>
                <w:color w:val="000000"/>
                <w:sz w:val="20"/>
                <w:szCs w:val="20"/>
                <w:lang w:val="hy-AM" w:eastAsia="en-US"/>
              </w:rPr>
              <w:t>Ընդհանուր հարկեր և տուրքեր</w:t>
            </w:r>
          </w:p>
        </w:tc>
        <w:tc>
          <w:tcPr>
            <w:tcW w:w="1251" w:type="dxa"/>
            <w:shd w:val="clear" w:color="auto" w:fill="auto"/>
            <w:noWrap/>
            <w:vAlign w:val="center"/>
            <w:hideMark/>
          </w:tcPr>
          <w:p w14:paraId="4C05DD06"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1,962.5</w:t>
            </w:r>
          </w:p>
        </w:tc>
        <w:tc>
          <w:tcPr>
            <w:tcW w:w="982" w:type="dxa"/>
            <w:shd w:val="clear" w:color="auto" w:fill="auto"/>
            <w:noWrap/>
            <w:vAlign w:val="center"/>
            <w:hideMark/>
          </w:tcPr>
          <w:p w14:paraId="17FCFCE2"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2,277.8</w:t>
            </w:r>
          </w:p>
        </w:tc>
        <w:tc>
          <w:tcPr>
            <w:tcW w:w="1261" w:type="dxa"/>
            <w:shd w:val="clear" w:color="auto" w:fill="auto"/>
            <w:noWrap/>
            <w:vAlign w:val="center"/>
            <w:hideMark/>
          </w:tcPr>
          <w:p w14:paraId="5F7E2B70"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2,613.6</w:t>
            </w:r>
          </w:p>
        </w:tc>
        <w:tc>
          <w:tcPr>
            <w:tcW w:w="903" w:type="dxa"/>
            <w:shd w:val="clear" w:color="auto" w:fill="auto"/>
            <w:noWrap/>
            <w:vAlign w:val="center"/>
            <w:hideMark/>
          </w:tcPr>
          <w:p w14:paraId="06555084"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23.1</w:t>
            </w:r>
          </w:p>
        </w:tc>
        <w:tc>
          <w:tcPr>
            <w:tcW w:w="1064" w:type="dxa"/>
            <w:shd w:val="clear" w:color="auto" w:fill="auto"/>
            <w:noWrap/>
            <w:vAlign w:val="center"/>
            <w:hideMark/>
          </w:tcPr>
          <w:p w14:paraId="11FE8FDA"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24.1</w:t>
            </w:r>
          </w:p>
        </w:tc>
        <w:tc>
          <w:tcPr>
            <w:tcW w:w="944" w:type="dxa"/>
            <w:shd w:val="clear" w:color="auto" w:fill="auto"/>
            <w:noWrap/>
            <w:vAlign w:val="center"/>
            <w:hideMark/>
          </w:tcPr>
          <w:p w14:paraId="6DE16500"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24.9</w:t>
            </w:r>
          </w:p>
        </w:tc>
      </w:tr>
      <w:tr w:rsidR="00730639" w:rsidRPr="00D94781" w14:paraId="4B9E289F" w14:textId="77777777" w:rsidTr="00D656FB">
        <w:trPr>
          <w:trHeight w:val="324"/>
        </w:trPr>
        <w:tc>
          <w:tcPr>
            <w:tcW w:w="3173" w:type="dxa"/>
            <w:shd w:val="clear" w:color="000000" w:fill="FFFFFF"/>
            <w:vAlign w:val="bottom"/>
            <w:hideMark/>
          </w:tcPr>
          <w:p w14:paraId="635460B6"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lastRenderedPageBreak/>
              <w:t>Ավելացված արժեքի հարկ</w:t>
            </w:r>
          </w:p>
        </w:tc>
        <w:tc>
          <w:tcPr>
            <w:tcW w:w="1251" w:type="dxa"/>
            <w:shd w:val="clear" w:color="000000" w:fill="FFFFFF"/>
            <w:noWrap/>
            <w:vAlign w:val="center"/>
            <w:hideMark/>
          </w:tcPr>
          <w:p w14:paraId="370F0859"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679.6</w:t>
            </w:r>
          </w:p>
        </w:tc>
        <w:tc>
          <w:tcPr>
            <w:tcW w:w="982" w:type="dxa"/>
            <w:shd w:val="clear" w:color="000000" w:fill="FFFFFF"/>
            <w:noWrap/>
            <w:vAlign w:val="center"/>
            <w:hideMark/>
          </w:tcPr>
          <w:p w14:paraId="56C01D31"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793.8</w:t>
            </w:r>
          </w:p>
        </w:tc>
        <w:tc>
          <w:tcPr>
            <w:tcW w:w="1261" w:type="dxa"/>
            <w:shd w:val="clear" w:color="000000" w:fill="FFFFFF"/>
            <w:noWrap/>
            <w:vAlign w:val="center"/>
            <w:hideMark/>
          </w:tcPr>
          <w:p w14:paraId="232CB8FE"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893.7</w:t>
            </w:r>
          </w:p>
        </w:tc>
        <w:tc>
          <w:tcPr>
            <w:tcW w:w="903" w:type="dxa"/>
            <w:shd w:val="clear" w:color="auto" w:fill="auto"/>
            <w:noWrap/>
            <w:vAlign w:val="center"/>
            <w:hideMark/>
          </w:tcPr>
          <w:p w14:paraId="05C1BA19"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8.0</w:t>
            </w:r>
          </w:p>
        </w:tc>
        <w:tc>
          <w:tcPr>
            <w:tcW w:w="1064" w:type="dxa"/>
            <w:shd w:val="clear" w:color="auto" w:fill="auto"/>
            <w:noWrap/>
            <w:vAlign w:val="center"/>
            <w:hideMark/>
          </w:tcPr>
          <w:p w14:paraId="740D120B"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8.4</w:t>
            </w:r>
          </w:p>
        </w:tc>
        <w:tc>
          <w:tcPr>
            <w:tcW w:w="944" w:type="dxa"/>
            <w:shd w:val="clear" w:color="auto" w:fill="auto"/>
            <w:noWrap/>
            <w:vAlign w:val="center"/>
            <w:hideMark/>
          </w:tcPr>
          <w:p w14:paraId="347A1C58"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8.5</w:t>
            </w:r>
          </w:p>
        </w:tc>
      </w:tr>
      <w:tr w:rsidR="00730639" w:rsidRPr="00D94781" w14:paraId="5C971AF8" w14:textId="77777777" w:rsidTr="00D656FB">
        <w:trPr>
          <w:trHeight w:val="324"/>
        </w:trPr>
        <w:tc>
          <w:tcPr>
            <w:tcW w:w="3173" w:type="dxa"/>
            <w:shd w:val="clear" w:color="000000" w:fill="FFFFFF"/>
            <w:vAlign w:val="bottom"/>
            <w:hideMark/>
          </w:tcPr>
          <w:p w14:paraId="0D892EA3"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t>Եկամտային հարկ</w:t>
            </w:r>
          </w:p>
        </w:tc>
        <w:tc>
          <w:tcPr>
            <w:tcW w:w="1251" w:type="dxa"/>
            <w:shd w:val="clear" w:color="000000" w:fill="FFFFFF"/>
            <w:noWrap/>
            <w:vAlign w:val="center"/>
            <w:hideMark/>
          </w:tcPr>
          <w:p w14:paraId="62CED2A5"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511.3</w:t>
            </w:r>
          </w:p>
        </w:tc>
        <w:tc>
          <w:tcPr>
            <w:tcW w:w="982" w:type="dxa"/>
            <w:shd w:val="clear" w:color="000000" w:fill="FFFFFF"/>
            <w:noWrap/>
            <w:vAlign w:val="center"/>
            <w:hideMark/>
          </w:tcPr>
          <w:p w14:paraId="3373DCF5"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591.8</w:t>
            </w:r>
          </w:p>
        </w:tc>
        <w:tc>
          <w:tcPr>
            <w:tcW w:w="1261" w:type="dxa"/>
            <w:shd w:val="clear" w:color="000000" w:fill="FFFFFF"/>
            <w:noWrap/>
            <w:vAlign w:val="center"/>
            <w:hideMark/>
          </w:tcPr>
          <w:p w14:paraId="7EF074BF"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687.0</w:t>
            </w:r>
          </w:p>
        </w:tc>
        <w:tc>
          <w:tcPr>
            <w:tcW w:w="903" w:type="dxa"/>
            <w:shd w:val="clear" w:color="auto" w:fill="auto"/>
            <w:noWrap/>
            <w:vAlign w:val="center"/>
            <w:hideMark/>
          </w:tcPr>
          <w:p w14:paraId="69BBCA1B"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6.0</w:t>
            </w:r>
          </w:p>
        </w:tc>
        <w:tc>
          <w:tcPr>
            <w:tcW w:w="1064" w:type="dxa"/>
            <w:shd w:val="clear" w:color="auto" w:fill="auto"/>
            <w:noWrap/>
            <w:vAlign w:val="center"/>
            <w:hideMark/>
          </w:tcPr>
          <w:p w14:paraId="64455E6D"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6.3</w:t>
            </w:r>
          </w:p>
        </w:tc>
        <w:tc>
          <w:tcPr>
            <w:tcW w:w="944" w:type="dxa"/>
            <w:shd w:val="clear" w:color="auto" w:fill="auto"/>
            <w:noWrap/>
            <w:vAlign w:val="center"/>
            <w:hideMark/>
          </w:tcPr>
          <w:p w14:paraId="544455A9"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6.5</w:t>
            </w:r>
          </w:p>
        </w:tc>
      </w:tr>
      <w:tr w:rsidR="00730639" w:rsidRPr="00D94781" w14:paraId="019A002E" w14:textId="77777777" w:rsidTr="00D656FB">
        <w:trPr>
          <w:trHeight w:val="649"/>
        </w:trPr>
        <w:tc>
          <w:tcPr>
            <w:tcW w:w="3173" w:type="dxa"/>
            <w:shd w:val="clear" w:color="000000" w:fill="FFFFFF"/>
            <w:vAlign w:val="bottom"/>
            <w:hideMark/>
          </w:tcPr>
          <w:p w14:paraId="2BF28F7C" w14:textId="77777777" w:rsidR="00730639" w:rsidRPr="00DE5FA5" w:rsidRDefault="00730639" w:rsidP="00D656FB">
            <w:pPr>
              <w:spacing w:before="0" w:line="240" w:lineRule="auto"/>
              <w:ind w:left="311"/>
              <w:jc w:val="left"/>
              <w:rPr>
                <w:b w:val="0"/>
                <w:color w:val="000000"/>
                <w:sz w:val="20"/>
                <w:szCs w:val="20"/>
                <w:lang w:val="hy-AM" w:eastAsia="en-US"/>
              </w:rPr>
            </w:pPr>
            <w:r w:rsidRPr="00DE5FA5">
              <w:rPr>
                <w:b w:val="0"/>
                <w:color w:val="000000"/>
                <w:sz w:val="20"/>
                <w:szCs w:val="20"/>
                <w:lang w:val="hy-AM" w:eastAsia="en-US"/>
              </w:rPr>
              <w:t>Եկամտային հարկի վերադարձ հիպոթեքի գծով</w:t>
            </w:r>
          </w:p>
        </w:tc>
        <w:tc>
          <w:tcPr>
            <w:tcW w:w="1251" w:type="dxa"/>
            <w:shd w:val="clear" w:color="000000" w:fill="FFFFFF"/>
            <w:noWrap/>
            <w:vAlign w:val="center"/>
            <w:hideMark/>
          </w:tcPr>
          <w:p w14:paraId="13775766"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36.5</w:t>
            </w:r>
          </w:p>
        </w:tc>
        <w:tc>
          <w:tcPr>
            <w:tcW w:w="982" w:type="dxa"/>
            <w:shd w:val="clear" w:color="000000" w:fill="FFFFFF"/>
            <w:noWrap/>
            <w:vAlign w:val="center"/>
            <w:hideMark/>
          </w:tcPr>
          <w:p w14:paraId="6460A53E"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53.0</w:t>
            </w:r>
          </w:p>
        </w:tc>
        <w:tc>
          <w:tcPr>
            <w:tcW w:w="1261" w:type="dxa"/>
            <w:shd w:val="clear" w:color="000000" w:fill="FFFFFF"/>
            <w:noWrap/>
            <w:vAlign w:val="center"/>
            <w:hideMark/>
          </w:tcPr>
          <w:p w14:paraId="6AB01669"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72.0</w:t>
            </w:r>
          </w:p>
        </w:tc>
        <w:tc>
          <w:tcPr>
            <w:tcW w:w="903" w:type="dxa"/>
            <w:shd w:val="clear" w:color="auto" w:fill="auto"/>
            <w:noWrap/>
            <w:vAlign w:val="center"/>
            <w:hideMark/>
          </w:tcPr>
          <w:p w14:paraId="0058A0A7"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0.4</w:t>
            </w:r>
          </w:p>
        </w:tc>
        <w:tc>
          <w:tcPr>
            <w:tcW w:w="1064" w:type="dxa"/>
            <w:shd w:val="clear" w:color="auto" w:fill="auto"/>
            <w:noWrap/>
            <w:vAlign w:val="center"/>
            <w:hideMark/>
          </w:tcPr>
          <w:p w14:paraId="6317C65C"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0.6</w:t>
            </w:r>
          </w:p>
        </w:tc>
        <w:tc>
          <w:tcPr>
            <w:tcW w:w="944" w:type="dxa"/>
            <w:shd w:val="clear" w:color="auto" w:fill="auto"/>
            <w:noWrap/>
            <w:vAlign w:val="center"/>
            <w:hideMark/>
          </w:tcPr>
          <w:p w14:paraId="2221B142"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0.7</w:t>
            </w:r>
          </w:p>
        </w:tc>
      </w:tr>
      <w:tr w:rsidR="00730639" w:rsidRPr="00D94781" w14:paraId="5D2E2507" w14:textId="77777777" w:rsidTr="00D656FB">
        <w:trPr>
          <w:trHeight w:val="324"/>
        </w:trPr>
        <w:tc>
          <w:tcPr>
            <w:tcW w:w="3173" w:type="dxa"/>
            <w:shd w:val="clear" w:color="000000" w:fill="FFFFFF"/>
            <w:vAlign w:val="bottom"/>
            <w:hideMark/>
          </w:tcPr>
          <w:p w14:paraId="0C0597F7"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t>Սոցիալական վճարումներ</w:t>
            </w:r>
          </w:p>
        </w:tc>
        <w:tc>
          <w:tcPr>
            <w:tcW w:w="1251" w:type="dxa"/>
            <w:shd w:val="clear" w:color="000000" w:fill="FFFFFF"/>
            <w:noWrap/>
            <w:vAlign w:val="center"/>
            <w:hideMark/>
          </w:tcPr>
          <w:p w14:paraId="4DA39B7F"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64.5</w:t>
            </w:r>
          </w:p>
        </w:tc>
        <w:tc>
          <w:tcPr>
            <w:tcW w:w="982" w:type="dxa"/>
            <w:shd w:val="clear" w:color="000000" w:fill="FFFFFF"/>
            <w:noWrap/>
            <w:vAlign w:val="center"/>
            <w:hideMark/>
          </w:tcPr>
          <w:p w14:paraId="18914865"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87.7</w:t>
            </w:r>
          </w:p>
        </w:tc>
        <w:tc>
          <w:tcPr>
            <w:tcW w:w="1261" w:type="dxa"/>
            <w:shd w:val="clear" w:color="000000" w:fill="FFFFFF"/>
            <w:noWrap/>
            <w:vAlign w:val="center"/>
            <w:hideMark/>
          </w:tcPr>
          <w:p w14:paraId="1893000B"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101.0</w:t>
            </w:r>
          </w:p>
        </w:tc>
        <w:tc>
          <w:tcPr>
            <w:tcW w:w="903" w:type="dxa"/>
            <w:shd w:val="clear" w:color="auto" w:fill="auto"/>
            <w:noWrap/>
            <w:vAlign w:val="center"/>
            <w:hideMark/>
          </w:tcPr>
          <w:p w14:paraId="5A75660F"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0.8</w:t>
            </w:r>
          </w:p>
        </w:tc>
        <w:tc>
          <w:tcPr>
            <w:tcW w:w="1064" w:type="dxa"/>
            <w:shd w:val="clear" w:color="auto" w:fill="auto"/>
            <w:noWrap/>
            <w:vAlign w:val="center"/>
            <w:hideMark/>
          </w:tcPr>
          <w:p w14:paraId="64D932E6"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0.9</w:t>
            </w:r>
          </w:p>
        </w:tc>
        <w:tc>
          <w:tcPr>
            <w:tcW w:w="944" w:type="dxa"/>
            <w:shd w:val="clear" w:color="auto" w:fill="auto"/>
            <w:noWrap/>
            <w:vAlign w:val="center"/>
            <w:hideMark/>
          </w:tcPr>
          <w:p w14:paraId="7B829F81"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1.0</w:t>
            </w:r>
          </w:p>
        </w:tc>
      </w:tr>
      <w:tr w:rsidR="00730639" w:rsidRPr="00D94781" w14:paraId="50068A37" w14:textId="77777777" w:rsidTr="00D656FB">
        <w:trPr>
          <w:trHeight w:val="324"/>
        </w:trPr>
        <w:tc>
          <w:tcPr>
            <w:tcW w:w="3173" w:type="dxa"/>
            <w:shd w:val="clear" w:color="000000" w:fill="FFFFFF"/>
            <w:noWrap/>
            <w:vAlign w:val="bottom"/>
            <w:hideMark/>
          </w:tcPr>
          <w:p w14:paraId="4E4F5F79"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t>Շահութահարկ</w:t>
            </w:r>
          </w:p>
        </w:tc>
        <w:tc>
          <w:tcPr>
            <w:tcW w:w="1251" w:type="dxa"/>
            <w:shd w:val="clear" w:color="000000" w:fill="FFFFFF"/>
            <w:noWrap/>
            <w:vAlign w:val="center"/>
            <w:hideMark/>
          </w:tcPr>
          <w:p w14:paraId="560E8E4E"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222.8</w:t>
            </w:r>
          </w:p>
        </w:tc>
        <w:tc>
          <w:tcPr>
            <w:tcW w:w="982" w:type="dxa"/>
            <w:shd w:val="clear" w:color="000000" w:fill="FFFFFF"/>
            <w:noWrap/>
            <w:vAlign w:val="center"/>
            <w:hideMark/>
          </w:tcPr>
          <w:p w14:paraId="07762F04"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340.7</w:t>
            </w:r>
          </w:p>
        </w:tc>
        <w:tc>
          <w:tcPr>
            <w:tcW w:w="1261" w:type="dxa"/>
            <w:shd w:val="clear" w:color="000000" w:fill="FFFFFF"/>
            <w:noWrap/>
            <w:vAlign w:val="center"/>
            <w:hideMark/>
          </w:tcPr>
          <w:p w14:paraId="5BF65669"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389.8</w:t>
            </w:r>
          </w:p>
        </w:tc>
        <w:tc>
          <w:tcPr>
            <w:tcW w:w="903" w:type="dxa"/>
            <w:shd w:val="clear" w:color="auto" w:fill="auto"/>
            <w:noWrap/>
            <w:vAlign w:val="center"/>
            <w:hideMark/>
          </w:tcPr>
          <w:p w14:paraId="145DEF8F"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2.6</w:t>
            </w:r>
          </w:p>
        </w:tc>
        <w:tc>
          <w:tcPr>
            <w:tcW w:w="1064" w:type="dxa"/>
            <w:shd w:val="clear" w:color="auto" w:fill="auto"/>
            <w:noWrap/>
            <w:vAlign w:val="center"/>
            <w:hideMark/>
          </w:tcPr>
          <w:p w14:paraId="72BC0CA0"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3.6</w:t>
            </w:r>
          </w:p>
        </w:tc>
        <w:tc>
          <w:tcPr>
            <w:tcW w:w="944" w:type="dxa"/>
            <w:shd w:val="clear" w:color="auto" w:fill="auto"/>
            <w:noWrap/>
            <w:vAlign w:val="center"/>
            <w:hideMark/>
          </w:tcPr>
          <w:p w14:paraId="333D4180"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3.7</w:t>
            </w:r>
          </w:p>
        </w:tc>
      </w:tr>
      <w:tr w:rsidR="00730639" w:rsidRPr="00D94781" w14:paraId="6E9F1531" w14:textId="77777777" w:rsidTr="00D656FB">
        <w:trPr>
          <w:trHeight w:val="324"/>
        </w:trPr>
        <w:tc>
          <w:tcPr>
            <w:tcW w:w="3173" w:type="dxa"/>
            <w:shd w:val="clear" w:color="000000" w:fill="FFFFFF"/>
            <w:noWrap/>
            <w:vAlign w:val="bottom"/>
            <w:hideMark/>
          </w:tcPr>
          <w:p w14:paraId="25F13B18"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t>Ակցիզային հարկ</w:t>
            </w:r>
          </w:p>
        </w:tc>
        <w:tc>
          <w:tcPr>
            <w:tcW w:w="1251" w:type="dxa"/>
            <w:shd w:val="clear" w:color="000000" w:fill="FFFFFF"/>
            <w:noWrap/>
            <w:vAlign w:val="center"/>
            <w:hideMark/>
          </w:tcPr>
          <w:p w14:paraId="3274DCC3"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127.5</w:t>
            </w:r>
          </w:p>
        </w:tc>
        <w:tc>
          <w:tcPr>
            <w:tcW w:w="982" w:type="dxa"/>
            <w:shd w:val="clear" w:color="000000" w:fill="FFFFFF"/>
            <w:noWrap/>
            <w:vAlign w:val="center"/>
            <w:hideMark/>
          </w:tcPr>
          <w:p w14:paraId="484604E6"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151.9</w:t>
            </w:r>
          </w:p>
        </w:tc>
        <w:tc>
          <w:tcPr>
            <w:tcW w:w="1261" w:type="dxa"/>
            <w:shd w:val="clear" w:color="000000" w:fill="FFFFFF"/>
            <w:noWrap/>
            <w:vAlign w:val="center"/>
            <w:hideMark/>
          </w:tcPr>
          <w:p w14:paraId="4136C026"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188.2</w:t>
            </w:r>
          </w:p>
        </w:tc>
        <w:tc>
          <w:tcPr>
            <w:tcW w:w="903" w:type="dxa"/>
            <w:shd w:val="clear" w:color="auto" w:fill="auto"/>
            <w:noWrap/>
            <w:vAlign w:val="center"/>
            <w:hideMark/>
          </w:tcPr>
          <w:p w14:paraId="6C764E6A"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1.5</w:t>
            </w:r>
          </w:p>
        </w:tc>
        <w:tc>
          <w:tcPr>
            <w:tcW w:w="1064" w:type="dxa"/>
            <w:shd w:val="clear" w:color="auto" w:fill="auto"/>
            <w:noWrap/>
            <w:vAlign w:val="center"/>
            <w:hideMark/>
          </w:tcPr>
          <w:p w14:paraId="11AB25D5"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1.6</w:t>
            </w:r>
          </w:p>
        </w:tc>
        <w:tc>
          <w:tcPr>
            <w:tcW w:w="944" w:type="dxa"/>
            <w:shd w:val="clear" w:color="auto" w:fill="auto"/>
            <w:noWrap/>
            <w:vAlign w:val="center"/>
            <w:hideMark/>
          </w:tcPr>
          <w:p w14:paraId="6DD71074"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1.8</w:t>
            </w:r>
          </w:p>
        </w:tc>
      </w:tr>
      <w:tr w:rsidR="00730639" w:rsidRPr="00D94781" w14:paraId="14884728" w14:textId="77777777" w:rsidTr="00D656FB">
        <w:trPr>
          <w:trHeight w:val="324"/>
        </w:trPr>
        <w:tc>
          <w:tcPr>
            <w:tcW w:w="3173" w:type="dxa"/>
            <w:shd w:val="clear" w:color="000000" w:fill="FFFFFF"/>
            <w:noWrap/>
            <w:vAlign w:val="bottom"/>
            <w:hideMark/>
          </w:tcPr>
          <w:p w14:paraId="67FCFE19"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t>Մաքսատուրք</w:t>
            </w:r>
          </w:p>
        </w:tc>
        <w:tc>
          <w:tcPr>
            <w:tcW w:w="1251" w:type="dxa"/>
            <w:shd w:val="clear" w:color="000000" w:fill="FFFFFF"/>
            <w:noWrap/>
            <w:vAlign w:val="center"/>
            <w:hideMark/>
          </w:tcPr>
          <w:p w14:paraId="6FACE450"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56.7</w:t>
            </w:r>
          </w:p>
        </w:tc>
        <w:tc>
          <w:tcPr>
            <w:tcW w:w="982" w:type="dxa"/>
            <w:shd w:val="clear" w:color="000000" w:fill="FFFFFF"/>
            <w:noWrap/>
            <w:vAlign w:val="center"/>
            <w:hideMark/>
          </w:tcPr>
          <w:p w14:paraId="56BFCC18"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67.7</w:t>
            </w:r>
          </w:p>
        </w:tc>
        <w:tc>
          <w:tcPr>
            <w:tcW w:w="1261" w:type="dxa"/>
            <w:shd w:val="clear" w:color="000000" w:fill="FFFFFF"/>
            <w:noWrap/>
            <w:vAlign w:val="center"/>
            <w:hideMark/>
          </w:tcPr>
          <w:p w14:paraId="17059873"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69.2</w:t>
            </w:r>
          </w:p>
        </w:tc>
        <w:tc>
          <w:tcPr>
            <w:tcW w:w="903" w:type="dxa"/>
            <w:shd w:val="clear" w:color="auto" w:fill="auto"/>
            <w:noWrap/>
            <w:vAlign w:val="center"/>
            <w:hideMark/>
          </w:tcPr>
          <w:p w14:paraId="4CB6448D"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0.7</w:t>
            </w:r>
          </w:p>
        </w:tc>
        <w:tc>
          <w:tcPr>
            <w:tcW w:w="1064" w:type="dxa"/>
            <w:shd w:val="clear" w:color="auto" w:fill="auto"/>
            <w:noWrap/>
            <w:vAlign w:val="center"/>
            <w:hideMark/>
          </w:tcPr>
          <w:p w14:paraId="0770A7B9"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0.7</w:t>
            </w:r>
          </w:p>
        </w:tc>
        <w:tc>
          <w:tcPr>
            <w:tcW w:w="944" w:type="dxa"/>
            <w:shd w:val="clear" w:color="auto" w:fill="auto"/>
            <w:noWrap/>
            <w:vAlign w:val="center"/>
            <w:hideMark/>
          </w:tcPr>
          <w:p w14:paraId="07DF1729"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0.7</w:t>
            </w:r>
          </w:p>
        </w:tc>
      </w:tr>
      <w:tr w:rsidR="00730639" w:rsidRPr="00D94781" w14:paraId="3FDF35CC" w14:textId="77777777" w:rsidTr="00D656FB">
        <w:trPr>
          <w:trHeight w:val="324"/>
        </w:trPr>
        <w:tc>
          <w:tcPr>
            <w:tcW w:w="3173" w:type="dxa"/>
            <w:shd w:val="clear" w:color="000000" w:fill="FFFFFF"/>
            <w:vAlign w:val="bottom"/>
            <w:hideMark/>
          </w:tcPr>
          <w:p w14:paraId="4B1E730B"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t>Շրջանառության հարկ</w:t>
            </w:r>
          </w:p>
        </w:tc>
        <w:tc>
          <w:tcPr>
            <w:tcW w:w="1251" w:type="dxa"/>
            <w:shd w:val="clear" w:color="000000" w:fill="FFFFFF"/>
            <w:noWrap/>
            <w:vAlign w:val="center"/>
            <w:hideMark/>
          </w:tcPr>
          <w:p w14:paraId="6A303899"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40.7</w:t>
            </w:r>
          </w:p>
        </w:tc>
        <w:tc>
          <w:tcPr>
            <w:tcW w:w="982" w:type="dxa"/>
            <w:shd w:val="clear" w:color="000000" w:fill="FFFFFF"/>
            <w:noWrap/>
            <w:vAlign w:val="center"/>
            <w:hideMark/>
          </w:tcPr>
          <w:p w14:paraId="56F829FC"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53.8</w:t>
            </w:r>
          </w:p>
        </w:tc>
        <w:tc>
          <w:tcPr>
            <w:tcW w:w="1261" w:type="dxa"/>
            <w:shd w:val="clear" w:color="000000" w:fill="FFFFFF"/>
            <w:noWrap/>
            <w:vAlign w:val="center"/>
            <w:hideMark/>
          </w:tcPr>
          <w:p w14:paraId="096F91AD"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59.6</w:t>
            </w:r>
          </w:p>
        </w:tc>
        <w:tc>
          <w:tcPr>
            <w:tcW w:w="903" w:type="dxa"/>
            <w:shd w:val="clear" w:color="auto" w:fill="auto"/>
            <w:noWrap/>
            <w:vAlign w:val="center"/>
            <w:hideMark/>
          </w:tcPr>
          <w:p w14:paraId="18344742"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0.5</w:t>
            </w:r>
          </w:p>
        </w:tc>
        <w:tc>
          <w:tcPr>
            <w:tcW w:w="1064" w:type="dxa"/>
            <w:shd w:val="clear" w:color="auto" w:fill="auto"/>
            <w:noWrap/>
            <w:vAlign w:val="center"/>
            <w:hideMark/>
          </w:tcPr>
          <w:p w14:paraId="289E654D"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0.6</w:t>
            </w:r>
          </w:p>
        </w:tc>
        <w:tc>
          <w:tcPr>
            <w:tcW w:w="944" w:type="dxa"/>
            <w:shd w:val="clear" w:color="auto" w:fill="auto"/>
            <w:noWrap/>
            <w:vAlign w:val="center"/>
            <w:hideMark/>
          </w:tcPr>
          <w:p w14:paraId="5FA108E5"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0.6</w:t>
            </w:r>
          </w:p>
        </w:tc>
      </w:tr>
      <w:tr w:rsidR="00730639" w:rsidRPr="00D94781" w14:paraId="57F9014B" w14:textId="77777777" w:rsidTr="00D656FB">
        <w:trPr>
          <w:trHeight w:val="324"/>
        </w:trPr>
        <w:tc>
          <w:tcPr>
            <w:tcW w:w="3173" w:type="dxa"/>
            <w:shd w:val="clear" w:color="000000" w:fill="FFFFFF"/>
            <w:noWrap/>
            <w:vAlign w:val="bottom"/>
            <w:hideMark/>
          </w:tcPr>
          <w:p w14:paraId="711FAF91" w14:textId="77777777" w:rsidR="00730639" w:rsidRPr="00DE5FA5" w:rsidRDefault="00730639" w:rsidP="00D656FB">
            <w:pPr>
              <w:spacing w:before="0" w:line="240" w:lineRule="auto"/>
              <w:ind w:left="169"/>
              <w:jc w:val="left"/>
              <w:rPr>
                <w:b w:val="0"/>
                <w:color w:val="000000"/>
                <w:sz w:val="20"/>
                <w:szCs w:val="20"/>
                <w:lang w:val="hy-AM" w:eastAsia="en-US"/>
              </w:rPr>
            </w:pPr>
            <w:r w:rsidRPr="00DE5FA5">
              <w:rPr>
                <w:b w:val="0"/>
                <w:color w:val="000000"/>
                <w:sz w:val="20"/>
                <w:szCs w:val="20"/>
                <w:lang w:val="hy-AM" w:eastAsia="en-US"/>
              </w:rPr>
              <w:t>Այլ հարկեր</w:t>
            </w:r>
          </w:p>
        </w:tc>
        <w:tc>
          <w:tcPr>
            <w:tcW w:w="1251" w:type="dxa"/>
            <w:shd w:val="clear" w:color="000000" w:fill="FFFFFF"/>
            <w:noWrap/>
            <w:vAlign w:val="center"/>
            <w:hideMark/>
          </w:tcPr>
          <w:p w14:paraId="679F536C"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259.5</w:t>
            </w:r>
          </w:p>
        </w:tc>
        <w:tc>
          <w:tcPr>
            <w:tcW w:w="982" w:type="dxa"/>
            <w:shd w:val="clear" w:color="000000" w:fill="FFFFFF"/>
            <w:noWrap/>
            <w:vAlign w:val="center"/>
            <w:hideMark/>
          </w:tcPr>
          <w:p w14:paraId="665038EA"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190.4</w:t>
            </w:r>
          </w:p>
        </w:tc>
        <w:tc>
          <w:tcPr>
            <w:tcW w:w="1261" w:type="dxa"/>
            <w:shd w:val="clear" w:color="000000" w:fill="FFFFFF"/>
            <w:noWrap/>
            <w:vAlign w:val="center"/>
            <w:hideMark/>
          </w:tcPr>
          <w:p w14:paraId="2EA44B51" w14:textId="77777777" w:rsidR="00730639" w:rsidRPr="00DE5FA5" w:rsidRDefault="00730639" w:rsidP="00D656FB">
            <w:pPr>
              <w:spacing w:before="0" w:line="240" w:lineRule="auto"/>
              <w:jc w:val="right"/>
              <w:rPr>
                <w:b w:val="0"/>
                <w:sz w:val="20"/>
                <w:szCs w:val="20"/>
                <w:lang w:val="en-US" w:eastAsia="en-US"/>
              </w:rPr>
            </w:pPr>
            <w:r w:rsidRPr="00DE5FA5">
              <w:rPr>
                <w:b w:val="0"/>
                <w:sz w:val="20"/>
                <w:szCs w:val="20"/>
                <w:lang w:val="en-US" w:eastAsia="en-US"/>
              </w:rPr>
              <w:t>225.2</w:t>
            </w:r>
          </w:p>
        </w:tc>
        <w:tc>
          <w:tcPr>
            <w:tcW w:w="903" w:type="dxa"/>
            <w:shd w:val="clear" w:color="auto" w:fill="auto"/>
            <w:noWrap/>
            <w:vAlign w:val="center"/>
            <w:hideMark/>
          </w:tcPr>
          <w:p w14:paraId="6FEA21E3"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3.1</w:t>
            </w:r>
          </w:p>
        </w:tc>
        <w:tc>
          <w:tcPr>
            <w:tcW w:w="1064" w:type="dxa"/>
            <w:shd w:val="clear" w:color="auto" w:fill="auto"/>
            <w:noWrap/>
            <w:vAlign w:val="center"/>
            <w:hideMark/>
          </w:tcPr>
          <w:p w14:paraId="0422FBE7"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2.0</w:t>
            </w:r>
          </w:p>
        </w:tc>
        <w:tc>
          <w:tcPr>
            <w:tcW w:w="944" w:type="dxa"/>
            <w:shd w:val="clear" w:color="auto" w:fill="auto"/>
            <w:noWrap/>
            <w:vAlign w:val="center"/>
            <w:hideMark/>
          </w:tcPr>
          <w:p w14:paraId="4D2678E7" w14:textId="77777777" w:rsidR="00730639" w:rsidRPr="00DE5FA5" w:rsidRDefault="00730639" w:rsidP="00D656FB">
            <w:pPr>
              <w:spacing w:before="0" w:line="240" w:lineRule="auto"/>
              <w:jc w:val="right"/>
              <w:rPr>
                <w:b w:val="0"/>
                <w:color w:val="000000"/>
                <w:sz w:val="20"/>
                <w:szCs w:val="20"/>
                <w:lang w:val="en-US" w:eastAsia="en-US"/>
              </w:rPr>
            </w:pPr>
            <w:r w:rsidRPr="00DE5FA5">
              <w:rPr>
                <w:b w:val="0"/>
                <w:color w:val="000000"/>
                <w:sz w:val="20"/>
                <w:szCs w:val="20"/>
                <w:lang w:val="en-US" w:eastAsia="en-US"/>
              </w:rPr>
              <w:t>2.1</w:t>
            </w:r>
          </w:p>
        </w:tc>
      </w:tr>
    </w:tbl>
    <w:p w14:paraId="06B3901D" w14:textId="77777777" w:rsidR="00730639" w:rsidRPr="001C5EA5" w:rsidRDefault="00730639" w:rsidP="00730639">
      <w:pPr>
        <w:autoSpaceDE w:val="0"/>
        <w:autoSpaceDN w:val="0"/>
        <w:adjustRightInd w:val="0"/>
        <w:rPr>
          <w:rFonts w:eastAsia="Calibri"/>
          <w:b w:val="0"/>
          <w:i/>
          <w:sz w:val="20"/>
          <w:szCs w:val="22"/>
          <w:lang w:val="hy-AM" w:eastAsia="en-US"/>
        </w:rPr>
      </w:pPr>
      <w:r w:rsidRPr="001C5EA5">
        <w:rPr>
          <w:rFonts w:eastAsia="Calibri"/>
          <w:b w:val="0"/>
          <w:i/>
          <w:sz w:val="20"/>
          <w:szCs w:val="22"/>
          <w:lang w:val="hy-AM" w:eastAsia="en-US"/>
        </w:rPr>
        <w:t>*Ընդհանուր հարկերի տուրքերի մեծությունը ներառում է հի</w:t>
      </w:r>
      <w:r>
        <w:rPr>
          <w:rFonts w:eastAsia="Calibri"/>
          <w:b w:val="0"/>
          <w:i/>
          <w:sz w:val="20"/>
          <w:szCs w:val="22"/>
          <w:lang w:val="hy-AM" w:eastAsia="en-US"/>
        </w:rPr>
        <w:t>փ</w:t>
      </w:r>
      <w:r w:rsidRPr="001C5EA5">
        <w:rPr>
          <w:rFonts w:eastAsia="Calibri"/>
          <w:b w:val="0"/>
          <w:i/>
          <w:sz w:val="20"/>
          <w:szCs w:val="22"/>
          <w:lang w:val="hy-AM" w:eastAsia="en-US"/>
        </w:rPr>
        <w:t>ոթեքի տոկոսագումարների դիմաց եկամտային հարկի վերադարձը</w:t>
      </w:r>
    </w:p>
    <w:p w14:paraId="31AC514C" w14:textId="77777777" w:rsidR="00730639" w:rsidRPr="004A1E79" w:rsidRDefault="00730639" w:rsidP="00730639">
      <w:pPr>
        <w:autoSpaceDE w:val="0"/>
        <w:autoSpaceDN w:val="0"/>
        <w:adjustRightInd w:val="0"/>
        <w:ind w:left="1" w:hanging="1"/>
        <w:rPr>
          <w:rFonts w:eastAsia="Calibri"/>
          <w:b w:val="0"/>
          <w:szCs w:val="22"/>
          <w:lang w:val="hy-AM" w:eastAsia="en-US"/>
        </w:rPr>
      </w:pPr>
      <w:r w:rsidRPr="004A1E79">
        <w:rPr>
          <w:rFonts w:eastAsia="Calibri"/>
          <w:b w:val="0"/>
          <w:szCs w:val="22"/>
          <w:lang w:val="hy-AM" w:eastAsia="en-US"/>
        </w:rPr>
        <w:t xml:space="preserve">Պետական բյուջեի ընթացիկ ծախսերը կկազմեն 2,511.2 մլրդ դրամ, որը նախորդ տարվա նկատմամբ  կբարելավվի ՀՆԱ-ի 1.8 տոկոսի չափով, իսկ ոչ ֆինանսական ակտիվների հետ գործառնությունների դերը զգալիորեն կբարելավվի՝ հասնելով ՀՆԱ-ի 6.6%-ին՝ 2023թ. սպասվող 5.9%-ի համեմատ աճելով 0.7 տոկոսային կետով, որում ոչ ֆինանսական ակտիվների գծով ծախսերը կհասնեն ՀՆԱ-ի 6.8%-ի: </w:t>
      </w:r>
    </w:p>
    <w:p w14:paraId="3AB7A342" w14:textId="77777777" w:rsidR="00730639" w:rsidRPr="004A1E79" w:rsidRDefault="00730639" w:rsidP="00730639">
      <w:pPr>
        <w:autoSpaceDE w:val="0"/>
        <w:autoSpaceDN w:val="0"/>
        <w:adjustRightInd w:val="0"/>
        <w:ind w:left="1" w:hanging="1"/>
        <w:rPr>
          <w:rFonts w:eastAsia="Calibri"/>
          <w:b w:val="0"/>
          <w:szCs w:val="22"/>
          <w:lang w:val="hy-AM" w:eastAsia="en-US"/>
        </w:rPr>
      </w:pPr>
      <w:r w:rsidRPr="004A1E79">
        <w:rPr>
          <w:rFonts w:eastAsia="Calibri"/>
          <w:szCs w:val="22"/>
          <w:lang w:val="hy-AM" w:eastAsia="en-US"/>
        </w:rPr>
        <w:t>2024թ. Բյուջեի ծախսերում ներառվել է նաև Լեռնային Ղարաբաղից բռնի տեղահանված բնակչության աջակցության միջոցառումների համար նախատեսված ծախսերը, որոնք ֆինանսավորվելու են Լեռնային Ղարաբաղին ուղղվող միջպետական վարկի համար նախատեսված ռեսուրսների հաշվին:</w:t>
      </w:r>
      <w:r w:rsidRPr="004A1E79">
        <w:rPr>
          <w:b w:val="0"/>
          <w:lang w:val="hy-AM"/>
        </w:rPr>
        <w:t xml:space="preserve"> Լեռնային Ղարաբաղից բռնի տեղահանված բնակչության համար 2024-ի համար նախատեսվել է օժանդակության ծրագրեր՝ 47.3 մլրդ դրամի չափով</w:t>
      </w:r>
      <w:r w:rsidRPr="004A1E79">
        <w:rPr>
          <w:lang w:val="hy-AM"/>
        </w:rPr>
        <w:t xml:space="preserve"> </w:t>
      </w:r>
      <w:r w:rsidRPr="004A1E79">
        <w:rPr>
          <w:b w:val="0"/>
          <w:bCs/>
          <w:lang w:val="hy-AM"/>
        </w:rPr>
        <w:t>(կրթության ոլորտի ծախսերը կազմում են 1.2 մլրդ դրամ, իսկ աշխատանքի և սոցիալական պաշտպանության ոլորտի գծով ծախսերը 46.1 մլրդ դրամ), միջպետական վարկի մնացած գումարը ուղղվել է պահուստային ֆոնդ՝ հետագայում կատարվելիք ծախսային միջոցառումների</w:t>
      </w:r>
      <w:r>
        <w:rPr>
          <w:b w:val="0"/>
          <w:bCs/>
          <w:lang w:val="hy-AM"/>
        </w:rPr>
        <w:t xml:space="preserve"> ֆինանսավորման</w:t>
      </w:r>
      <w:r w:rsidRPr="004A1E79">
        <w:rPr>
          <w:b w:val="0"/>
          <w:bCs/>
          <w:lang w:val="hy-AM"/>
        </w:rPr>
        <w:t xml:space="preserve"> համար</w:t>
      </w:r>
      <w:r w:rsidRPr="004A1E79">
        <w:rPr>
          <w:lang w:val="hy-AM"/>
        </w:rPr>
        <w:t xml:space="preserve">: </w:t>
      </w:r>
    </w:p>
    <w:p w14:paraId="31FEDBDE" w14:textId="77777777" w:rsidR="00730639" w:rsidRPr="004A1E79" w:rsidRDefault="00730639" w:rsidP="00730639">
      <w:pPr>
        <w:autoSpaceDE w:val="0"/>
        <w:autoSpaceDN w:val="0"/>
        <w:adjustRightInd w:val="0"/>
        <w:ind w:left="1" w:hanging="1"/>
        <w:rPr>
          <w:rFonts w:eastAsia="Calibri"/>
          <w:b w:val="0"/>
          <w:szCs w:val="22"/>
          <w:lang w:val="hy-AM" w:eastAsia="en-US"/>
        </w:rPr>
      </w:pPr>
      <w:r w:rsidRPr="004A1E79">
        <w:rPr>
          <w:rFonts w:eastAsia="Calibri"/>
          <w:szCs w:val="22"/>
          <w:lang w:val="hy-AM" w:eastAsia="en-US"/>
        </w:rPr>
        <w:t>2024 թվականին, ընթացիկ և կապիտալ ծախսերի ավելացման հաշվին պետական բյուջեի պակասուրդը կավելանա՝ կազմելով ՀՆԱ-ի 4.6</w:t>
      </w:r>
      <w:r w:rsidRPr="004A1E79">
        <w:rPr>
          <w:rFonts w:eastAsia="Calibri" w:cs="Sylfaen"/>
          <w:szCs w:val="22"/>
          <w:lang w:val="hy-AM" w:eastAsia="en-US"/>
        </w:rPr>
        <w:t>%-ը</w:t>
      </w:r>
      <w:r w:rsidRPr="004A1E79">
        <w:rPr>
          <w:rFonts w:eastAsia="Calibri"/>
          <w:szCs w:val="22"/>
          <w:lang w:val="hy-AM" w:eastAsia="en-US"/>
        </w:rPr>
        <w:t>։</w:t>
      </w:r>
      <w:r w:rsidRPr="004A1E79">
        <w:rPr>
          <w:rFonts w:eastAsia="Calibri"/>
          <w:b w:val="0"/>
          <w:szCs w:val="22"/>
          <w:lang w:val="hy-AM" w:eastAsia="en-US"/>
        </w:rPr>
        <w:t xml:space="preserve"> </w:t>
      </w:r>
      <w:r w:rsidRPr="004A1E79">
        <w:rPr>
          <w:b w:val="0"/>
          <w:lang w:val="hy-AM"/>
        </w:rPr>
        <w:t>Միաժամանակ, պետք է նշել, որ բյուջեի պակասուրդի ֆինանսավորման կազմից դեպի ծախսերի կազմ միջոցների տեղափոխումը հանգեցրել է վիճակագրական տեսակետից բյուջեի պակասուրդի էական աճի, սակայն բյուջեի փոխառությունների կարիքի, և հետևաբար՝ կառավարության պարտքի վրա ազդեցությունը (ըստ էության՝ լրացուցիչ հարկաբյուջետային ճնշումը) առավել սահմանափակ է լինելու՝ կազմելով 2024թ․ պակասուրդի և 2023թ․-ի պակասուրդի և ԼՂ վարկավորման հանրագումարի տարբերությունը (0.5%-ային կետ՝ 2%-ային կետի փոխարեն)։</w:t>
      </w:r>
      <w:r w:rsidRPr="004A1E79">
        <w:rPr>
          <w:rFonts w:eastAsia="Calibri"/>
          <w:b w:val="0"/>
          <w:szCs w:val="22"/>
          <w:lang w:val="hy-AM" w:eastAsia="en-US"/>
        </w:rPr>
        <w:t xml:space="preserve"> Արդյունքում հարկաբյուջետային քաղաքականության ուղղությունը կդառնա չեզոք (0.3 ազդակով), որը թույլ կտա ապահովելով հարկաբյուջետային </w:t>
      </w:r>
      <w:r w:rsidRPr="004A1E79">
        <w:rPr>
          <w:rFonts w:eastAsia="Calibri"/>
          <w:b w:val="0"/>
          <w:szCs w:val="22"/>
          <w:lang w:val="hy-AM" w:eastAsia="en-US"/>
        </w:rPr>
        <w:lastRenderedPageBreak/>
        <w:t>քաղաքականության պատշաճ արձագանքը անհետաձգելի ծախսային կարիքներին, և միաժամանակ՝ չի առաջացնի լրացուցիչ գնաճային ճնշումներ</w:t>
      </w:r>
      <w:r w:rsidRPr="004A1E79">
        <w:rPr>
          <w:rStyle w:val="FootnoteReference"/>
          <w:rFonts w:eastAsia="Calibri"/>
          <w:b w:val="0"/>
          <w:lang w:val="hy-AM" w:eastAsia="en-US"/>
        </w:rPr>
        <w:footnoteReference w:id="23"/>
      </w:r>
      <w:r w:rsidRPr="004A1E79">
        <w:rPr>
          <w:rFonts w:eastAsia="Calibri"/>
          <w:b w:val="0"/>
          <w:szCs w:val="22"/>
          <w:lang w:val="hy-AM" w:eastAsia="en-US"/>
        </w:rPr>
        <w:t xml:space="preserve">։ </w:t>
      </w:r>
    </w:p>
    <w:p w14:paraId="194592AA" w14:textId="77777777" w:rsidR="00730639" w:rsidRPr="004A1E79" w:rsidRDefault="00730639" w:rsidP="00730639">
      <w:pPr>
        <w:jc w:val="left"/>
        <w:rPr>
          <w:rFonts w:eastAsia="Calibri"/>
          <w:b w:val="0"/>
          <w:i/>
          <w:iCs/>
          <w:szCs w:val="22"/>
          <w:lang w:val="hy-AM" w:eastAsia="en-US"/>
        </w:rPr>
      </w:pPr>
      <w:r w:rsidRPr="004A1E79">
        <w:rPr>
          <w:rFonts w:eastAsia="Calibri"/>
          <w:bCs/>
          <w:i/>
          <w:iCs/>
          <w:szCs w:val="22"/>
          <w:lang w:val="hy-AM" w:eastAsia="en-US"/>
        </w:rPr>
        <w:t>Գծապատկեր 2.2.</w:t>
      </w:r>
      <w:r w:rsidRPr="004A1E79">
        <w:rPr>
          <w:rFonts w:eastAsia="Calibri"/>
          <w:b w:val="0"/>
          <w:i/>
          <w:iCs/>
          <w:szCs w:val="22"/>
          <w:lang w:val="hy-AM" w:eastAsia="en-US"/>
        </w:rPr>
        <w:t xml:space="preserve"> Պետական բյուջեի եկամուտները, ծախսերը և պակասուրդը, մլրդ դրամ*</w:t>
      </w:r>
    </w:p>
    <w:p w14:paraId="1D185462" w14:textId="77777777" w:rsidR="00730639" w:rsidRPr="004A1E79" w:rsidRDefault="00730639" w:rsidP="00730639">
      <w:pPr>
        <w:spacing w:before="0"/>
        <w:rPr>
          <w:rFonts w:eastAsia="Calibri"/>
          <w:sz w:val="20"/>
          <w:szCs w:val="22"/>
          <w:lang w:val="hy-AM" w:eastAsia="en-US"/>
        </w:rPr>
      </w:pPr>
      <w:r w:rsidRPr="004A1E79">
        <w:rPr>
          <w:rFonts w:eastAsia="Calibri"/>
          <w:szCs w:val="22"/>
          <w:lang w:val="hy-AM" w:eastAsia="en-US"/>
        </w:rPr>
        <w:t xml:space="preserve"> </w:t>
      </w:r>
      <w:r w:rsidRPr="004A1E79">
        <w:rPr>
          <w:rFonts w:eastAsia="Calibri"/>
          <w:b w:val="0"/>
          <w:noProof/>
          <w:sz w:val="20"/>
          <w:szCs w:val="20"/>
          <w:lang w:val="en-US" w:eastAsia="en-US"/>
        </w:rPr>
        <w:drawing>
          <wp:inline distT="0" distB="0" distL="0" distR="0" wp14:anchorId="77B3C4DE" wp14:editId="469480F1">
            <wp:extent cx="2844000" cy="3228975"/>
            <wp:effectExtent l="0" t="0" r="13970" b="9525"/>
            <wp:docPr id="103" name="Chart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4A1E79">
        <w:rPr>
          <w:rFonts w:eastAsia="Calibri"/>
          <w:b w:val="0"/>
          <w:noProof/>
          <w:sz w:val="20"/>
          <w:szCs w:val="20"/>
          <w:lang w:val="en-US" w:eastAsia="en-US"/>
        </w:rPr>
        <w:drawing>
          <wp:inline distT="0" distB="0" distL="0" distR="0" wp14:anchorId="4A2386F9" wp14:editId="4FFDEE19">
            <wp:extent cx="2844000" cy="3228975"/>
            <wp:effectExtent l="0" t="0" r="13970" b="9525"/>
            <wp:docPr id="104" name="Chart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969F829" w14:textId="77777777" w:rsidR="00730639" w:rsidRPr="004A1E79" w:rsidRDefault="00730639" w:rsidP="00730639">
      <w:pPr>
        <w:spacing w:before="0"/>
        <w:jc w:val="left"/>
        <w:rPr>
          <w:rFonts w:eastAsia="Calibri"/>
          <w:b w:val="0"/>
          <w:bCs/>
          <w:i/>
          <w:iCs/>
          <w:sz w:val="18"/>
          <w:szCs w:val="21"/>
          <w:lang w:val="hy-AM" w:eastAsia="en-US"/>
        </w:rPr>
      </w:pPr>
      <w:r w:rsidRPr="004A1E79">
        <w:rPr>
          <w:rFonts w:eastAsia="Calibri"/>
          <w:b w:val="0"/>
          <w:bCs/>
          <w:i/>
          <w:iCs/>
          <w:sz w:val="18"/>
          <w:szCs w:val="21"/>
          <w:lang w:val="hy-AM" w:eastAsia="en-US"/>
        </w:rPr>
        <w:t>*Պետական բյուջեի ցուցանիշներում ներառված է հիպոթեքային վարկերի տոկոսագումարների գծով եկամտային հարկի վերադարձի մեծությունը ամբողջ ժամանակահատվածի համար։</w:t>
      </w:r>
    </w:p>
    <w:p w14:paraId="01621E75" w14:textId="77777777" w:rsidR="00730639" w:rsidRPr="004A1E79" w:rsidRDefault="00730639" w:rsidP="00730639">
      <w:pPr>
        <w:spacing w:before="0"/>
        <w:jc w:val="left"/>
        <w:rPr>
          <w:rFonts w:eastAsia="Calibri"/>
          <w:bCs/>
          <w:i/>
          <w:iCs/>
          <w:sz w:val="21"/>
          <w:szCs w:val="21"/>
          <w:lang w:val="hy-AM" w:eastAsia="en-US"/>
        </w:rPr>
      </w:pPr>
    </w:p>
    <w:p w14:paraId="2C370EA6" w14:textId="77777777" w:rsidR="00730639" w:rsidRPr="004A1E79" w:rsidRDefault="00730639" w:rsidP="00730639">
      <w:pPr>
        <w:spacing w:before="0"/>
        <w:jc w:val="left"/>
        <w:rPr>
          <w:rFonts w:eastAsia="Calibri"/>
          <w:bCs/>
          <w:i/>
          <w:iCs/>
          <w:sz w:val="21"/>
          <w:szCs w:val="21"/>
          <w:lang w:val="hy-AM" w:eastAsia="en-US"/>
        </w:rPr>
      </w:pPr>
    </w:p>
    <w:p w14:paraId="5739CD39" w14:textId="77777777" w:rsidR="00730639" w:rsidRPr="004A1E79" w:rsidRDefault="00730639" w:rsidP="00730639">
      <w:pPr>
        <w:spacing w:before="0"/>
        <w:jc w:val="left"/>
        <w:rPr>
          <w:rFonts w:eastAsia="Calibri"/>
          <w:b w:val="0"/>
          <w:i/>
          <w:iCs/>
          <w:sz w:val="21"/>
          <w:szCs w:val="21"/>
          <w:lang w:val="hy-AM" w:eastAsia="en-US"/>
        </w:rPr>
      </w:pPr>
      <w:r w:rsidRPr="004A1E79">
        <w:rPr>
          <w:rFonts w:eastAsia="Calibri"/>
          <w:bCs/>
          <w:i/>
          <w:iCs/>
          <w:sz w:val="21"/>
          <w:szCs w:val="21"/>
          <w:lang w:val="hy-AM" w:eastAsia="en-US"/>
        </w:rPr>
        <w:t>Գծապատկեր 2.3.</w:t>
      </w:r>
      <w:r w:rsidRPr="004A1E79">
        <w:rPr>
          <w:rFonts w:eastAsia="Calibri"/>
          <w:b w:val="0"/>
          <w:i/>
          <w:iCs/>
          <w:sz w:val="21"/>
          <w:szCs w:val="21"/>
          <w:lang w:val="hy-AM" w:eastAsia="en-US"/>
        </w:rPr>
        <w:t xml:space="preserve"> Հարկաբյուջետային ազդակը</w:t>
      </w:r>
    </w:p>
    <w:p w14:paraId="5F82DDA8" w14:textId="77777777" w:rsidR="00730639" w:rsidRPr="004A1E79" w:rsidRDefault="00730639" w:rsidP="00730639">
      <w:pPr>
        <w:spacing w:before="0"/>
        <w:rPr>
          <w:rFonts w:eastAsia="Calibri"/>
          <w:b w:val="0"/>
          <w:szCs w:val="22"/>
          <w:lang w:val="hy-AM" w:eastAsia="en-US"/>
        </w:rPr>
      </w:pPr>
      <w:r w:rsidRPr="004A1E79">
        <w:rPr>
          <w:rFonts w:eastAsia="Calibri"/>
          <w:b w:val="0"/>
          <w:noProof/>
          <w:szCs w:val="22"/>
          <w:lang w:val="en-US" w:eastAsia="en-US"/>
        </w:rPr>
        <w:drawing>
          <wp:inline distT="0" distB="0" distL="0" distR="0" wp14:anchorId="5BA427A5" wp14:editId="4391DABB">
            <wp:extent cx="5969000" cy="2495550"/>
            <wp:effectExtent l="0" t="0" r="12700" b="0"/>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A7E6560" w14:textId="77777777" w:rsidR="00730639" w:rsidRPr="004A1E79" w:rsidRDefault="00730639" w:rsidP="00730639">
      <w:pPr>
        <w:autoSpaceDE w:val="0"/>
        <w:autoSpaceDN w:val="0"/>
        <w:adjustRightInd w:val="0"/>
        <w:spacing w:before="0"/>
        <w:ind w:firstLine="709"/>
        <w:rPr>
          <w:rFonts w:eastAsia="Calibri" w:cs="Arial"/>
          <w:b w:val="0"/>
          <w:bCs/>
          <w:i/>
          <w:iCs/>
          <w:sz w:val="18"/>
          <w:szCs w:val="18"/>
          <w:lang w:val="hy-AM" w:eastAsia="en-US"/>
        </w:rPr>
      </w:pPr>
      <w:r w:rsidRPr="004A1E79">
        <w:rPr>
          <w:rFonts w:eastAsia="Calibri" w:cs="Arial"/>
          <w:b w:val="0"/>
          <w:bCs/>
          <w:i/>
          <w:iCs/>
          <w:sz w:val="18"/>
          <w:szCs w:val="18"/>
          <w:lang w:val="hy-AM" w:eastAsia="en-US"/>
        </w:rPr>
        <w:t>Աղբյուրը՝ ՀՀ ՖՆ գնահատականներ</w:t>
      </w:r>
    </w:p>
    <w:p w14:paraId="1E03EA92" w14:textId="77777777" w:rsidR="00730639" w:rsidRPr="004A1E79" w:rsidRDefault="00730639" w:rsidP="00730639">
      <w:pPr>
        <w:spacing w:before="0"/>
        <w:ind w:firstLine="709"/>
        <w:rPr>
          <w:rFonts w:eastAsia="Calibri"/>
          <w:bCs/>
          <w:i/>
          <w:iCs/>
          <w:sz w:val="21"/>
          <w:szCs w:val="21"/>
          <w:lang w:val="hy-AM" w:eastAsia="en-US"/>
        </w:rPr>
      </w:pPr>
    </w:p>
    <w:p w14:paraId="174A9C96" w14:textId="77777777" w:rsidR="00730639" w:rsidRPr="004A1E79" w:rsidRDefault="00730639" w:rsidP="00730639">
      <w:pPr>
        <w:spacing w:before="0"/>
        <w:ind w:firstLine="709"/>
        <w:rPr>
          <w:rFonts w:eastAsia="Calibri"/>
          <w:b w:val="0"/>
          <w:iCs/>
          <w:szCs w:val="22"/>
          <w:lang w:val="hy-AM" w:eastAsia="en-US"/>
        </w:rPr>
      </w:pPr>
      <w:r w:rsidRPr="004A1E79">
        <w:rPr>
          <w:rFonts w:eastAsia="Calibri"/>
          <w:bCs/>
          <w:iCs/>
          <w:szCs w:val="22"/>
          <w:lang w:val="hy-AM" w:eastAsia="en-US"/>
        </w:rPr>
        <w:t>Գծապատկեր 2.4.</w:t>
      </w:r>
      <w:r w:rsidRPr="004A1E79">
        <w:rPr>
          <w:rFonts w:eastAsia="Calibri"/>
          <w:b w:val="0"/>
          <w:iCs/>
          <w:szCs w:val="22"/>
          <w:lang w:val="hy-AM" w:eastAsia="en-US"/>
        </w:rPr>
        <w:t xml:space="preserve"> 2022-2024 թթ-ի հարկաբյուջետային շրջանակի համապատասխանությունը պետական ֆինանսների «ոսկե կանոններին»* </w:t>
      </w:r>
    </w:p>
    <w:p w14:paraId="2465ED27" w14:textId="77777777" w:rsidR="00730639" w:rsidRPr="004A1E79" w:rsidRDefault="00730639" w:rsidP="00730639">
      <w:pPr>
        <w:spacing w:before="0" w:line="240" w:lineRule="auto"/>
        <w:jc w:val="center"/>
        <w:rPr>
          <w:rFonts w:eastAsia="Calibri"/>
          <w:b w:val="0"/>
          <w:noProof/>
          <w:sz w:val="20"/>
          <w:szCs w:val="20"/>
          <w:lang w:val="hy-AM" w:eastAsia="en-US"/>
        </w:rPr>
      </w:pPr>
      <w:r w:rsidRPr="004A1E79">
        <w:rPr>
          <w:rFonts w:eastAsia="Calibri"/>
          <w:b w:val="0"/>
          <w:noProof/>
          <w:sz w:val="20"/>
          <w:szCs w:val="20"/>
          <w:lang w:val="en-US" w:eastAsia="en-US"/>
        </w:rPr>
        <w:drawing>
          <wp:inline distT="0" distB="0" distL="0" distR="0" wp14:anchorId="4D810017" wp14:editId="68ED491F">
            <wp:extent cx="2844000" cy="2700000"/>
            <wp:effectExtent l="0" t="0" r="13970" b="5715"/>
            <wp:docPr id="106" name="Chart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4A1E79">
        <w:rPr>
          <w:rFonts w:eastAsia="Calibri"/>
          <w:b w:val="0"/>
          <w:noProof/>
          <w:sz w:val="20"/>
          <w:szCs w:val="20"/>
          <w:lang w:val="hy-AM" w:eastAsia="en-US"/>
        </w:rPr>
        <w:t xml:space="preserve"> </w:t>
      </w:r>
      <w:r w:rsidRPr="004A1E79">
        <w:rPr>
          <w:rFonts w:eastAsia="Calibri"/>
          <w:b w:val="0"/>
          <w:noProof/>
          <w:sz w:val="20"/>
          <w:szCs w:val="20"/>
          <w:lang w:val="en-US" w:eastAsia="en-US"/>
        </w:rPr>
        <w:drawing>
          <wp:inline distT="0" distB="0" distL="0" distR="0" wp14:anchorId="721B1123" wp14:editId="136D549E">
            <wp:extent cx="2844000" cy="2700000"/>
            <wp:effectExtent l="0" t="0" r="13970" b="5715"/>
            <wp:docPr id="107" name="Chart 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547AFA8" w14:textId="77777777" w:rsidR="00730639" w:rsidRPr="004A1E79" w:rsidRDefault="00730639" w:rsidP="007306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709"/>
        <w:rPr>
          <w:rFonts w:eastAsia="Calibri" w:cs="Arial"/>
          <w:b w:val="0"/>
          <w:bCs/>
          <w:i/>
          <w:iCs/>
          <w:sz w:val="20"/>
          <w:szCs w:val="20"/>
          <w:lang w:val="hy-AM" w:eastAsia="en-US"/>
        </w:rPr>
      </w:pPr>
    </w:p>
    <w:p w14:paraId="5A2AAC9A" w14:textId="77777777" w:rsidR="00730639" w:rsidRPr="004A1E79" w:rsidRDefault="00730639" w:rsidP="00730639">
      <w:pPr>
        <w:tabs>
          <w:tab w:val="left" w:pos="916"/>
        </w:tabs>
        <w:spacing w:before="0"/>
        <w:rPr>
          <w:rFonts w:eastAsia="Calibri" w:cs="Arial"/>
          <w:b w:val="0"/>
          <w:bCs/>
          <w:i/>
          <w:iCs/>
          <w:sz w:val="20"/>
          <w:szCs w:val="20"/>
          <w:lang w:val="hy-AM" w:eastAsia="en-US"/>
        </w:rPr>
      </w:pPr>
      <w:r w:rsidRPr="004A1E79">
        <w:rPr>
          <w:rFonts w:eastAsia="Calibri" w:cs="Arial"/>
          <w:b w:val="0"/>
          <w:bCs/>
          <w:i/>
          <w:iCs/>
          <w:sz w:val="20"/>
          <w:szCs w:val="20"/>
          <w:lang w:val="hy-AM" w:eastAsia="en-US"/>
        </w:rPr>
        <w:t>Աղբյուրը՝ ՀՀ ՖՆ</w:t>
      </w:r>
      <w:r w:rsidRPr="004A1E79">
        <w:rPr>
          <w:rFonts w:eastAsia="Calibri" w:cs="Arial"/>
          <w:b w:val="0"/>
          <w:bCs/>
          <w:i/>
          <w:iCs/>
          <w:sz w:val="20"/>
          <w:szCs w:val="20"/>
          <w:lang w:val="hy-AM" w:eastAsia="en-US"/>
        </w:rPr>
        <w:tab/>
      </w:r>
    </w:p>
    <w:p w14:paraId="322C716E" w14:textId="77777777" w:rsidR="00730639" w:rsidRPr="004A1E79" w:rsidRDefault="00730639" w:rsidP="00730639">
      <w:pPr>
        <w:spacing w:before="0"/>
        <w:jc w:val="left"/>
        <w:rPr>
          <w:rFonts w:eastAsia="Calibri"/>
          <w:b w:val="0"/>
          <w:bCs/>
          <w:i/>
          <w:iCs/>
          <w:sz w:val="18"/>
          <w:szCs w:val="21"/>
          <w:lang w:val="hy-AM" w:eastAsia="en-US"/>
        </w:rPr>
      </w:pPr>
      <w:r w:rsidRPr="004A1E79">
        <w:rPr>
          <w:rFonts w:eastAsia="Calibri"/>
          <w:b w:val="0"/>
          <w:bCs/>
          <w:i/>
          <w:iCs/>
          <w:sz w:val="18"/>
          <w:szCs w:val="21"/>
          <w:lang w:val="hy-AM" w:eastAsia="en-US"/>
        </w:rPr>
        <w:t>*Հարկային եկամուտների և ընթացիկ ծախսերի կազմում ներառված է հիպոթեքային վարկերի տոկոսագումարների գծով եկամտային հարկի վերադարձի մեծությունը ամբողջ ժամանակահատվածի համար։</w:t>
      </w:r>
    </w:p>
    <w:p w14:paraId="6E08487F" w14:textId="77777777" w:rsidR="00730639" w:rsidRPr="004A1E79" w:rsidRDefault="00730639" w:rsidP="007306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709"/>
        <w:rPr>
          <w:rFonts w:eastAsia="Calibri" w:cs="Arial"/>
          <w:b w:val="0"/>
          <w:bCs/>
          <w:i/>
          <w:iCs/>
          <w:sz w:val="20"/>
          <w:szCs w:val="20"/>
          <w:lang w:val="hy-AM" w:eastAsia="en-US"/>
        </w:rPr>
      </w:pPr>
    </w:p>
    <w:p w14:paraId="4ED2318A" w14:textId="0F9CB8C2" w:rsidR="00730639" w:rsidRDefault="00730639" w:rsidP="00730639">
      <w:pPr>
        <w:autoSpaceDE w:val="0"/>
        <w:autoSpaceDN w:val="0"/>
        <w:adjustRightInd w:val="0"/>
        <w:spacing w:before="0" w:after="160"/>
        <w:rPr>
          <w:rFonts w:eastAsia="Calibri"/>
          <w:b w:val="0"/>
          <w:bCs/>
          <w:lang w:val="hy-AM"/>
        </w:rPr>
      </w:pPr>
      <w:r w:rsidRPr="004A1E79">
        <w:rPr>
          <w:rFonts w:eastAsia="Calibri"/>
          <w:bCs/>
          <w:lang w:val="hy-AM"/>
        </w:rPr>
        <w:t xml:space="preserve">Ծրագրված հարկաբյուջետային քաղաքականության արդյունքում 2023-24 թվականներին կառավարության պարտք/ՀՆԱ հարաբերակցությունը կգտնվի 50%-ից ցածր մակարդակի վրա՝ պահպանելով հնարավոր շոկերին արձագանքելու հարկաբյուջետային տարածքը և քաղաքականության ճկունությունը։ </w:t>
      </w:r>
      <w:r w:rsidRPr="004A1E79">
        <w:rPr>
          <w:rFonts w:eastAsia="Calibri"/>
          <w:b w:val="0"/>
          <w:bCs/>
          <w:lang w:val="hy-AM"/>
        </w:rPr>
        <w:t>Այնուամենայնիվ,</w:t>
      </w:r>
      <w:r w:rsidRPr="004A1E79">
        <w:rPr>
          <w:rFonts w:eastAsia="Calibri"/>
          <w:bCs/>
          <w:lang w:val="hy-AM"/>
        </w:rPr>
        <w:t xml:space="preserve"> </w:t>
      </w:r>
      <w:r w:rsidRPr="004A1E79">
        <w:rPr>
          <w:rFonts w:eastAsia="Calibri"/>
          <w:b w:val="0"/>
          <w:bCs/>
          <w:lang w:val="hy-AM"/>
        </w:rPr>
        <w:t>պարտքի բեռը 2022թ</w:t>
      </w:r>
      <w:r w:rsidRPr="004A1E79">
        <w:rPr>
          <w:rFonts w:ascii="Cambria Math" w:eastAsia="Calibri" w:hAnsi="Cambria Math" w:cs="Cambria Math"/>
          <w:b w:val="0"/>
          <w:bCs/>
          <w:lang w:val="hy-AM"/>
        </w:rPr>
        <w:t>․</w:t>
      </w:r>
      <w:r w:rsidRPr="004A1E79">
        <w:rPr>
          <w:rFonts w:eastAsia="Calibri"/>
          <w:b w:val="0"/>
          <w:bCs/>
          <w:lang w:val="hy-AM"/>
        </w:rPr>
        <w:t>-ի կտրուկ նվազումից հետո որոշակի աճ կունենա՝ պայմանավորված, ի թիվս այլ գործոնների, պետական բյուջեի պակասուրդի որոշակի աճով և 2022թ</w:t>
      </w:r>
      <w:r w:rsidRPr="004A1E79">
        <w:rPr>
          <w:rFonts w:ascii="Cambria Math" w:eastAsia="Calibri" w:hAnsi="Cambria Math" w:cs="Cambria Math"/>
          <w:b w:val="0"/>
          <w:bCs/>
          <w:lang w:val="hy-AM"/>
        </w:rPr>
        <w:t>․</w:t>
      </w:r>
      <w:r w:rsidRPr="004A1E79">
        <w:rPr>
          <w:rFonts w:eastAsia="Calibri"/>
          <w:b w:val="0"/>
          <w:bCs/>
          <w:lang w:val="hy-AM"/>
        </w:rPr>
        <w:t xml:space="preserve">-ի բարձր բազայի համեմատությամբ տնտեսական աճի որոշակի դանդաղմամբ։ </w:t>
      </w:r>
    </w:p>
    <w:p w14:paraId="0A68A03E" w14:textId="6AD8175E" w:rsidR="00730639" w:rsidRDefault="00730639" w:rsidP="00730639">
      <w:pPr>
        <w:autoSpaceDE w:val="0"/>
        <w:autoSpaceDN w:val="0"/>
        <w:adjustRightInd w:val="0"/>
        <w:spacing w:before="0" w:after="160"/>
        <w:rPr>
          <w:rFonts w:eastAsia="Calibri"/>
          <w:b w:val="0"/>
          <w:bCs/>
          <w:lang w:val="hy-AM"/>
        </w:rPr>
      </w:pPr>
    </w:p>
    <w:p w14:paraId="7F05531D" w14:textId="0A527F97" w:rsidR="00730639" w:rsidRDefault="00730639" w:rsidP="00730639">
      <w:pPr>
        <w:autoSpaceDE w:val="0"/>
        <w:autoSpaceDN w:val="0"/>
        <w:adjustRightInd w:val="0"/>
        <w:spacing w:before="0" w:after="160"/>
        <w:rPr>
          <w:rFonts w:eastAsia="Calibri"/>
          <w:b w:val="0"/>
          <w:bCs/>
          <w:lang w:val="hy-AM"/>
        </w:rPr>
      </w:pPr>
    </w:p>
    <w:p w14:paraId="19F587AB" w14:textId="7B626D5B" w:rsidR="00730639" w:rsidRDefault="00730639" w:rsidP="00730639">
      <w:pPr>
        <w:autoSpaceDE w:val="0"/>
        <w:autoSpaceDN w:val="0"/>
        <w:adjustRightInd w:val="0"/>
        <w:spacing w:before="0" w:after="160"/>
        <w:rPr>
          <w:rFonts w:eastAsia="Calibri"/>
          <w:b w:val="0"/>
          <w:bCs/>
          <w:lang w:val="hy-AM"/>
        </w:rPr>
      </w:pPr>
    </w:p>
    <w:p w14:paraId="0A0A2BC8" w14:textId="433E448A" w:rsidR="00730639" w:rsidRDefault="00730639" w:rsidP="00730639">
      <w:pPr>
        <w:autoSpaceDE w:val="0"/>
        <w:autoSpaceDN w:val="0"/>
        <w:adjustRightInd w:val="0"/>
        <w:spacing w:before="0" w:after="160"/>
        <w:rPr>
          <w:rFonts w:eastAsia="Calibri"/>
          <w:b w:val="0"/>
          <w:bCs/>
          <w:lang w:val="hy-AM"/>
        </w:rPr>
      </w:pPr>
    </w:p>
    <w:p w14:paraId="46D83467" w14:textId="6F5F3E30" w:rsidR="00730639" w:rsidRDefault="00730639" w:rsidP="00730639">
      <w:pPr>
        <w:autoSpaceDE w:val="0"/>
        <w:autoSpaceDN w:val="0"/>
        <w:adjustRightInd w:val="0"/>
        <w:spacing w:before="0" w:after="160"/>
        <w:rPr>
          <w:rFonts w:eastAsia="Calibri"/>
          <w:b w:val="0"/>
          <w:bCs/>
          <w:lang w:val="hy-AM"/>
        </w:rPr>
      </w:pPr>
    </w:p>
    <w:p w14:paraId="33E1B16C" w14:textId="77777777" w:rsidR="00730639" w:rsidRPr="004A1E79" w:rsidRDefault="00730639" w:rsidP="00730639">
      <w:pPr>
        <w:autoSpaceDE w:val="0"/>
        <w:autoSpaceDN w:val="0"/>
        <w:adjustRightInd w:val="0"/>
        <w:spacing w:before="0" w:after="160"/>
        <w:rPr>
          <w:rFonts w:eastAsia="Calibri"/>
          <w:b w:val="0"/>
          <w:bCs/>
          <w:lang w:val="hy-AM"/>
        </w:rPr>
      </w:pPr>
    </w:p>
    <w:p w14:paraId="70C34948" w14:textId="77777777" w:rsidR="00730639" w:rsidRPr="004A1E79" w:rsidRDefault="00730639" w:rsidP="00730639">
      <w:pPr>
        <w:autoSpaceDE w:val="0"/>
        <w:autoSpaceDN w:val="0"/>
        <w:adjustRightInd w:val="0"/>
        <w:spacing w:before="0" w:after="160" w:line="240" w:lineRule="auto"/>
        <w:ind w:firstLine="709"/>
        <w:rPr>
          <w:rFonts w:eastAsia="Calibri" w:cs="GHEA Grapalat"/>
          <w:b w:val="0"/>
          <w:szCs w:val="22"/>
          <w:lang w:val="hy-AM" w:eastAsia="en-US"/>
        </w:rPr>
      </w:pPr>
      <w:r w:rsidRPr="004A1E79">
        <w:rPr>
          <w:rFonts w:eastAsia="Calibri" w:cs="GHEA Grapalat"/>
          <w:szCs w:val="22"/>
          <w:lang w:val="hy-AM" w:eastAsia="en-US"/>
        </w:rPr>
        <w:lastRenderedPageBreak/>
        <w:t>Գծապատկեր 2.5.</w:t>
      </w:r>
      <w:r w:rsidRPr="004A1E79">
        <w:rPr>
          <w:rFonts w:eastAsia="Calibri" w:cs="GHEA Grapalat"/>
          <w:b w:val="0"/>
          <w:szCs w:val="22"/>
          <w:lang w:val="hy-AM" w:eastAsia="en-US"/>
        </w:rPr>
        <w:t xml:space="preserve"> ՀՀ կառավարության պարտքի դինամիկան և այն պայմանավորող գործոնները</w:t>
      </w:r>
      <w:r w:rsidRPr="004A1E79">
        <w:rPr>
          <w:rStyle w:val="FootnoteReference"/>
          <w:rFonts w:eastAsia="Calibri" w:cs="GHEA Grapalat"/>
          <w:lang w:val="hy-AM" w:eastAsia="en-US"/>
        </w:rPr>
        <w:footnoteReference w:id="24"/>
      </w:r>
      <w:r w:rsidRPr="004A1E79">
        <w:rPr>
          <w:rFonts w:eastAsia="Calibri" w:cs="GHEA Grapalat"/>
          <w:b w:val="0"/>
          <w:szCs w:val="22"/>
          <w:lang w:val="hy-AM" w:eastAsia="en-US"/>
        </w:rPr>
        <w:t xml:space="preserve"> </w:t>
      </w:r>
    </w:p>
    <w:p w14:paraId="0EDF3A4F" w14:textId="77777777" w:rsidR="00730639" w:rsidRPr="004A1E79" w:rsidRDefault="00730639" w:rsidP="00730639">
      <w:pPr>
        <w:autoSpaceDE w:val="0"/>
        <w:autoSpaceDN w:val="0"/>
        <w:adjustRightInd w:val="0"/>
        <w:spacing w:before="0" w:after="160" w:line="240" w:lineRule="auto"/>
        <w:rPr>
          <w:rFonts w:eastAsia="Calibri" w:cs="GHEA Grapalat"/>
          <w:b w:val="0"/>
          <w:szCs w:val="22"/>
          <w:lang w:val="hy-AM" w:eastAsia="en-US"/>
        </w:rPr>
      </w:pPr>
      <w:r w:rsidRPr="004A1E79">
        <w:rPr>
          <w:rFonts w:eastAsia="Calibri" w:cs="GHEA Grapalat"/>
          <w:b w:val="0"/>
          <w:szCs w:val="22"/>
          <w:lang w:val="hy-AM" w:eastAsia="en-US"/>
        </w:rPr>
        <w:t xml:space="preserve">  </w:t>
      </w:r>
      <w:r w:rsidRPr="004A1E79">
        <w:rPr>
          <w:rFonts w:ascii="Calibri" w:eastAsia="Calibri" w:hAnsi="Calibri"/>
          <w:noProof/>
          <w:szCs w:val="22"/>
          <w:lang w:val="en-US" w:eastAsia="en-US"/>
        </w:rPr>
        <w:drawing>
          <wp:inline distT="0" distB="0" distL="0" distR="0" wp14:anchorId="6453F043" wp14:editId="763C0B23">
            <wp:extent cx="2581275" cy="2432050"/>
            <wp:effectExtent l="0" t="0" r="9525" b="635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4A1E79">
        <w:rPr>
          <w:noProof/>
          <w:lang w:val="en-US" w:eastAsia="en-US"/>
        </w:rPr>
        <w:drawing>
          <wp:inline distT="0" distB="0" distL="0" distR="0" wp14:anchorId="289B8022" wp14:editId="24FDC7EA">
            <wp:extent cx="2809875" cy="2438400"/>
            <wp:effectExtent l="0" t="0" r="9525" b="0"/>
            <wp:docPr id="23"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4CC9296" w14:textId="77777777" w:rsidR="00730639" w:rsidRPr="004A1E79" w:rsidRDefault="00730639" w:rsidP="007306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709"/>
        <w:rPr>
          <w:rFonts w:eastAsia="Calibri" w:cs="Arial"/>
          <w:b w:val="0"/>
          <w:bCs/>
          <w:i/>
          <w:iCs/>
          <w:sz w:val="20"/>
          <w:szCs w:val="20"/>
          <w:lang w:val="hy-AM" w:eastAsia="en-US"/>
        </w:rPr>
      </w:pPr>
      <w:r w:rsidRPr="004A1E79">
        <w:rPr>
          <w:rFonts w:eastAsia="Calibri" w:cs="Arial"/>
          <w:b w:val="0"/>
          <w:bCs/>
          <w:i/>
          <w:iCs/>
          <w:sz w:val="20"/>
          <w:szCs w:val="20"/>
          <w:lang w:val="hy-AM" w:eastAsia="en-US"/>
        </w:rPr>
        <w:t>Աղբյուրը՝ ՀՀ ՖՆ</w:t>
      </w:r>
    </w:p>
    <w:p w14:paraId="57204C92" w14:textId="77777777" w:rsidR="00730639" w:rsidRPr="003B373F" w:rsidRDefault="00730639" w:rsidP="00730639">
      <w:pPr>
        <w:spacing w:before="0" w:after="120"/>
        <w:rPr>
          <w:rFonts w:eastAsia="Calibri"/>
          <w:b w:val="0"/>
          <w:szCs w:val="22"/>
          <w:lang w:val="hy-AM" w:eastAsia="en-US"/>
        </w:rPr>
      </w:pPr>
    </w:p>
    <w:p w14:paraId="4FE9166D" w14:textId="77777777" w:rsidR="00D178DD" w:rsidRPr="00290696" w:rsidRDefault="00D178DD" w:rsidP="0038558B">
      <w:pPr>
        <w:keepNext/>
        <w:keepLines/>
        <w:spacing w:before="0"/>
        <w:ind w:firstLine="284"/>
        <w:outlineLvl w:val="2"/>
        <w:rPr>
          <w:rFonts w:eastAsiaTheme="majorEastAsia" w:cstheme="majorBidi"/>
          <w:bCs/>
          <w:color w:val="1F497D" w:themeColor="text2"/>
          <w:sz w:val="24"/>
          <w:lang w:val="hy-AM" w:eastAsia="en-US"/>
        </w:rPr>
      </w:pPr>
      <w:bookmarkStart w:id="152" w:name="_Toc45840842"/>
      <w:bookmarkStart w:id="153" w:name="_Toc45841159"/>
      <w:bookmarkStart w:id="154" w:name="_Toc45838526"/>
      <w:bookmarkStart w:id="155" w:name="_Toc46154354"/>
      <w:bookmarkStart w:id="156" w:name="_Toc52452094"/>
      <w:bookmarkStart w:id="157" w:name="_Toc52188795"/>
      <w:bookmarkStart w:id="158" w:name="_Toc57655455"/>
      <w:bookmarkStart w:id="159" w:name="_Toc83199223"/>
      <w:bookmarkStart w:id="160" w:name="_Toc83972839"/>
      <w:bookmarkStart w:id="161" w:name="_Toc115686027"/>
      <w:bookmarkStart w:id="162" w:name="_Toc153184471"/>
      <w:bookmarkEnd w:id="152"/>
      <w:bookmarkEnd w:id="153"/>
      <w:r w:rsidRPr="00290696">
        <w:rPr>
          <w:rFonts w:eastAsiaTheme="majorEastAsia" w:cstheme="majorBidi"/>
          <w:bCs/>
          <w:color w:val="1F497D" w:themeColor="text2"/>
          <w:sz w:val="24"/>
          <w:lang w:val="hy-AM" w:eastAsia="en-US"/>
        </w:rPr>
        <w:t>2.3. ՀԱՐԿԱԲՅՈՒՋԵՏԱՅԻՆ ՌԻՍԿԵՐ</w:t>
      </w:r>
      <w:bookmarkEnd w:id="154"/>
      <w:bookmarkEnd w:id="155"/>
      <w:bookmarkEnd w:id="156"/>
      <w:bookmarkEnd w:id="157"/>
      <w:bookmarkEnd w:id="158"/>
      <w:bookmarkEnd w:id="159"/>
      <w:bookmarkEnd w:id="160"/>
      <w:bookmarkEnd w:id="161"/>
      <w:bookmarkEnd w:id="162"/>
    </w:p>
    <w:p w14:paraId="7140BCA4" w14:textId="77777777" w:rsidR="00730639" w:rsidRPr="00654AEF" w:rsidRDefault="00730639" w:rsidP="00730639">
      <w:pPr>
        <w:rPr>
          <w:rFonts w:eastAsia="Calibri"/>
          <w:b w:val="0"/>
          <w:szCs w:val="22"/>
          <w:lang w:val="hy-AM" w:eastAsia="en-US"/>
        </w:rPr>
      </w:pPr>
      <w:r w:rsidRPr="00654AEF">
        <w:rPr>
          <w:rFonts w:eastAsia="Calibri"/>
          <w:b w:val="0"/>
          <w:szCs w:val="22"/>
          <w:lang w:val="hy-AM" w:eastAsia="en-US"/>
        </w:rPr>
        <w:t>Հարկաբյուջետային կանխատեսումները հիմնված են մի շարք ենթադրությունների և հիմնական դատողությունների վրա,  որոնց համար օգտագործվել է տվյալ պահի դրությամբ առկա և հասանելի ամբողջ տեղեկատվությունը</w:t>
      </w:r>
      <w:r w:rsidRPr="00654AEF">
        <w:rPr>
          <w:rFonts w:eastAsia="Calibri"/>
          <w:b w:val="0"/>
          <w:szCs w:val="22"/>
          <w:vertAlign w:val="superscript"/>
          <w:lang w:val="hy-AM" w:eastAsia="en-US"/>
        </w:rPr>
        <w:footnoteReference w:id="25"/>
      </w:r>
      <w:r w:rsidRPr="00654AEF">
        <w:rPr>
          <w:rFonts w:eastAsia="Calibri"/>
          <w:b w:val="0"/>
          <w:szCs w:val="22"/>
          <w:lang w:val="hy-AM" w:eastAsia="en-US"/>
        </w:rPr>
        <w:t>: Ինչպես ցանկացած կանխատեսում, հարկաբյուջետային կանխատեսումները նույնպես պարունակում են ռիսկեր առ այն, որ փաստացի իրադարձությունները կարող են տարբերվել սպասումներից: 2024 թվականի պետական բյուջեի հիմքում ընկած հիմնական մակրոտնտեսական հարկաբյուջետային ռիսկերը հետևյալն են՝</w:t>
      </w:r>
    </w:p>
    <w:p w14:paraId="5B91C87A" w14:textId="77777777" w:rsidR="00730639" w:rsidRPr="00654AEF" w:rsidRDefault="00730639" w:rsidP="00730639">
      <w:pPr>
        <w:rPr>
          <w:b w:val="0"/>
          <w:lang w:val="hy-AM"/>
        </w:rPr>
      </w:pPr>
      <w:r w:rsidRPr="00654AEF">
        <w:rPr>
          <w:bCs/>
          <w:lang w:val="hy-AM"/>
        </w:rPr>
        <w:t>2022թ.-ի ընթացքում դեպի Հայաստան ՌԴ-ից տեղի ունեցած մարդկանց և կապիտալի զգալի ներհոսքի հետշրջման ռիսկ։</w:t>
      </w:r>
      <w:r w:rsidRPr="00654AEF">
        <w:rPr>
          <w:b w:val="0"/>
          <w:lang w:val="hy-AM"/>
        </w:rPr>
        <w:t xml:space="preserve"> 2022թ. փետրվարից սրված ռուս-ուկրաինական հակամարտության և դրա արդյունքում ՌԴ-ի նկատմամբ կիրառվող աննախադեպ պատժամիջոցների պայմաններում տարածաշրջանային մի շարք երկրներ, այդ թվում՝ Հայաստանը գրանցել են աշխատուժի և կապիտալի էական ներհոսք, որը շարունակվել է նաև 2023թ.-ի ընթացքում՝ օժանդակելով տնտեսական աճի բարձր ցուցանիշի ապահովմանը։ Գրանցված ներհոսքերի հետշրջման գործընթացը զգալի բացասական ազդեցություն կունենա ՀՀ տնտեսական ակտիվության վրա, ինչն էլ իր հերթին կարող է հանգեցնել նախանշված ծավալով անվանական ՀՆԱ չձևավորման և դրա հիման վրա հարկային եկամուտների թերհավաքագրման ռիսկեր։ </w:t>
      </w:r>
    </w:p>
    <w:p w14:paraId="02C4D58D" w14:textId="77777777" w:rsidR="00730639" w:rsidRPr="00654AEF" w:rsidRDefault="00730639" w:rsidP="00730639">
      <w:pPr>
        <w:rPr>
          <w:b w:val="0"/>
          <w:lang w:val="hy-AM"/>
        </w:rPr>
      </w:pPr>
      <w:r w:rsidRPr="00654AEF">
        <w:rPr>
          <w:bCs/>
          <w:lang w:val="hy-AM"/>
        </w:rPr>
        <w:lastRenderedPageBreak/>
        <w:t xml:space="preserve">Համաշխարհային աշխարհաքաղաքական անկայունության և զարգացած երկրներում տոկոսադրույքի կտրուկ բարձրացման ազդեցությամբ համաշխարհային տնտեսական աճի դանդաղման շարունակման ռիսկ։ </w:t>
      </w:r>
      <w:r w:rsidRPr="00654AEF">
        <w:rPr>
          <w:b w:val="0"/>
          <w:lang w:val="hy-AM"/>
        </w:rPr>
        <w:t>2022թ</w:t>
      </w:r>
      <w:r w:rsidRPr="00654AEF">
        <w:rPr>
          <w:rFonts w:ascii="Cambria Math" w:hAnsi="Cambria Math" w:cs="Cambria Math"/>
          <w:b w:val="0"/>
          <w:lang w:val="hy-AM"/>
        </w:rPr>
        <w:t>․</w:t>
      </w:r>
      <w:r w:rsidRPr="00654AEF">
        <w:rPr>
          <w:b w:val="0"/>
          <w:lang w:val="hy-AM"/>
        </w:rPr>
        <w:t xml:space="preserve">, ռուս-ուկրաինական պատերազմի բացասական ազդեցություններով, հումքային և պարենային ակտիվների գների աճով, ինչպես նաև զարգացած երկրների կենտրոնական բանկերի կողմից իրականացված ագրեսիվ զսպող քաղաքականության ներքո համաշխարհային տնտեսական աճը դանդաղել է, առաջացել է կենսամակարդակի պայմանների վրա զգալի բացասական ճնշում, միաժամանակ՝ ֆինանսական կայունության զգալի ռիսկեր։ Թեպետ 2022թ.-ի երկրորդ կեսից սկսած գնաճային ճնշումները սկսել են թուլանալ, աշխարհաքաղաքական անկայունությունը և ֆինանսական կայունության ռիսկերը աշխարհում սպառնում են ավելի խորանալ, ինչը տարբեր խողովակներով կարող է փոխանցվել ՀՀ տնտեսություն՝ առաջացնելով տնտեսական ակտիվության դանդաղում, հարկային եկամուտների թերհավաքագրում և հարկաբյուջետային միջոցառումների անհրաժեշտություն։  </w:t>
      </w:r>
    </w:p>
    <w:p w14:paraId="544144E8" w14:textId="77777777" w:rsidR="00730639" w:rsidRPr="00654AEF" w:rsidRDefault="00730639" w:rsidP="00730639">
      <w:pPr>
        <w:rPr>
          <w:b w:val="0"/>
          <w:bCs/>
          <w:lang w:val="hy-AM"/>
        </w:rPr>
      </w:pPr>
      <w:r w:rsidRPr="00654AEF">
        <w:rPr>
          <w:lang w:val="hy-AM"/>
        </w:rPr>
        <w:t xml:space="preserve">Լրացուցիչ ֆինանսավորման կարիք առաջացնող այլ ներքին ռիսկեր։ </w:t>
      </w:r>
      <w:r w:rsidRPr="00654AEF">
        <w:rPr>
          <w:b w:val="0"/>
          <w:bCs/>
          <w:lang w:val="hy-AM"/>
        </w:rPr>
        <w:t xml:space="preserve">Լրացուցիչ ծախսային կարիք առաջացնող գործոնների շարքում են Լեռնային Ղարաբաղից բռնի տեղահանված անձանց կեցության և սոցիալական աջակցության ծախսերը, տարածաշրջանային անվտանգային միջավայրի վատթարացման պայմաններում անվտանգությանն ու պաշտպանությանն ուղղվող միջոցների ծավալի աճի լրացուցիչ կարիքի առաջացումը, ՀՀ դրամի արժևորման արդյունքում արտահանելի հատվածի համար տնտեսական աջակցության լրացուցիչ ծրագրերի իրականացումը և այլն։ </w:t>
      </w:r>
    </w:p>
    <w:p w14:paraId="66FD6B72" w14:textId="77777777" w:rsidR="00730639" w:rsidRPr="00654AEF" w:rsidRDefault="00730639" w:rsidP="00730639">
      <w:pPr>
        <w:rPr>
          <w:b w:val="0"/>
          <w:bCs/>
          <w:lang w:val="hy-AM"/>
        </w:rPr>
      </w:pPr>
      <w:r w:rsidRPr="00654AEF">
        <w:rPr>
          <w:lang w:val="hy-AM"/>
        </w:rPr>
        <w:t xml:space="preserve">Կապիտալ ծախսերի թերակատարում: </w:t>
      </w:r>
      <w:r w:rsidRPr="00654AEF">
        <w:rPr>
          <w:b w:val="0"/>
          <w:bCs/>
          <w:lang w:val="hy-AM"/>
        </w:rPr>
        <w:t xml:space="preserve">2024թ. բյուջեի հիմքում դրված սցենարում նախատեսվել է կապիտալ ծախսերի զգալի բարձր մակարդակ՝ ՀՆԱ-ի 6.3%-ի չափով: Սակայն հաշվի առնելով նախորդ տարիների փաստացի կատարողականները (չնայած այն հանգամանքին, որ առկա է եղել կատարողականների բարելավման միտում), առկա է ծրագրավորված ցուցանիշների թերակատարման ռիսկ, ինչը կարող է բացասական ազդեցություն ունենալ տնտեսական աճի վրա, ինչպես նաև ազդել հարկաբյուջետային շրջանակի ցուցանիշների վրա: </w:t>
      </w:r>
    </w:p>
    <w:p w14:paraId="230FEC3A" w14:textId="77777777" w:rsidR="00730639" w:rsidRPr="00654AEF" w:rsidRDefault="00730639" w:rsidP="00730639">
      <w:pPr>
        <w:rPr>
          <w:lang w:val="hy-AM"/>
        </w:rPr>
      </w:pPr>
      <w:r w:rsidRPr="00654AEF">
        <w:rPr>
          <w:lang w:val="hy-AM"/>
        </w:rPr>
        <w:t>Հարկաբյուջետային շրջանակի հնարավոր փոփոխությունները մակրոտնտեսական կանխատեսումների շեղումների դեպքում և սթրես թեստերի ներքո</w:t>
      </w:r>
      <w:r w:rsidRPr="00654AEF">
        <w:rPr>
          <w:vertAlign w:val="superscript"/>
          <w:lang w:val="hy-AM"/>
        </w:rPr>
        <w:footnoteReference w:id="26"/>
      </w:r>
      <w:r w:rsidRPr="00654AEF">
        <w:rPr>
          <w:lang w:val="hy-AM"/>
        </w:rPr>
        <w:t>.</w:t>
      </w:r>
    </w:p>
    <w:p w14:paraId="34E6318E" w14:textId="77777777" w:rsidR="00730639" w:rsidRPr="00654AEF" w:rsidRDefault="00730639" w:rsidP="00730639">
      <w:pPr>
        <w:pStyle w:val="ListParagraph"/>
        <w:numPr>
          <w:ilvl w:val="0"/>
          <w:numId w:val="25"/>
        </w:numPr>
        <w:ind w:left="0" w:firstLine="0"/>
        <w:rPr>
          <w:lang w:val="hy-AM"/>
        </w:rPr>
      </w:pPr>
      <w:r w:rsidRPr="00654AEF">
        <w:rPr>
          <w:lang w:val="hy-AM"/>
        </w:rPr>
        <w:t xml:space="preserve"> Հարկային եկամուտներ: </w:t>
      </w:r>
      <w:r w:rsidRPr="00654AEF">
        <w:rPr>
          <w:b w:val="0"/>
          <w:lang w:val="hy-AM"/>
        </w:rPr>
        <w:t xml:space="preserve">Կարճաժամկետ հորիզոնում ՀՀ պետական բյուջեի հարկային եկամուտների վրա գնահատված է մակրոտնտեսական ցուցանիշների՝ իրական ՀՆԱ-ի աճի, գնաճի, փոխարժեքի տատանողականության, ներմուծման և հարկեր/ՀՆԱ թիրախավորված բարելավում չապահովող ռիսկերի շեղման ամփոփ գնահատականը: Հարկային եկամուտների վրա ազդող վերոնշյալ ռիսկերի միաժամանակյա ի հայտ գալու </w:t>
      </w:r>
      <w:r w:rsidRPr="00654AEF">
        <w:rPr>
          <w:b w:val="0"/>
          <w:lang w:val="hy-AM"/>
        </w:rPr>
        <w:lastRenderedPageBreak/>
        <w:t>պարագայում հարկային եկամուտների ծրագրված մակարդակից շեղումը 2024 թվականին կկազմի շուրջ 95.4 մլրդ ՀՀ դրամ:</w:t>
      </w:r>
    </w:p>
    <w:p w14:paraId="7E07EF2C" w14:textId="77777777" w:rsidR="00730639" w:rsidRPr="00654AEF" w:rsidRDefault="00730639" w:rsidP="00730639">
      <w:pPr>
        <w:pStyle w:val="ListParagraph"/>
        <w:numPr>
          <w:ilvl w:val="0"/>
          <w:numId w:val="25"/>
        </w:numPr>
        <w:tabs>
          <w:tab w:val="left" w:pos="567"/>
        </w:tabs>
        <w:ind w:left="0" w:firstLine="0"/>
        <w:rPr>
          <w:rFonts w:eastAsia="Calibri"/>
          <w:b w:val="0"/>
          <w:szCs w:val="22"/>
          <w:lang w:val="hy-AM" w:eastAsia="en-US"/>
        </w:rPr>
      </w:pPr>
      <w:r w:rsidRPr="00654AEF">
        <w:rPr>
          <w:lang w:val="hy-AM"/>
        </w:rPr>
        <w:t>Պետական բյուջեի ծախսեր:</w:t>
      </w:r>
      <w:r w:rsidRPr="00654AEF">
        <w:rPr>
          <w:b w:val="0"/>
          <w:lang w:val="hy-AM"/>
        </w:rPr>
        <w:t xml:space="preserve"> Կանխատեսումներում մեծ ուշադրություն է դարձվում նաև պետական բյուջեի ծախսերի պլանավորված մակարդակների ապահովումը խաթարող ռիսկերին, որոնք կարող են հանգեցնել լրացուցիչ ֆինանսավորման պահանջի առաջացման: ՀՀ պետական բյուջեի ծախսերի վրա գնահատված է մակրոտնտեսական ցուցանիշների՝ իրական ՀՆԱ-ի աճի, գնաճի, փոխարժեքի տատանողականության և ներմուծման ռիսկերի շեղման ամփոփ գնահատականը, որոնց միաժամանակյա ի հայտ գալու պարագայում 2024 թվականին ՀՀ պետական բյուջեի դեֆիցիտի լրացուցիչ ֆինանսավորման պահանջը կկազմի շուրջ </w:t>
      </w:r>
      <w:r w:rsidRPr="00654AEF">
        <w:rPr>
          <w:rFonts w:cs="Sylfaen"/>
          <w:b w:val="0"/>
          <w:lang w:val="hy-AM"/>
        </w:rPr>
        <w:t>85.</w:t>
      </w:r>
      <w:r>
        <w:rPr>
          <w:rFonts w:cs="Sylfaen"/>
          <w:b w:val="0"/>
          <w:lang w:val="hy-AM"/>
        </w:rPr>
        <w:t xml:space="preserve">2 </w:t>
      </w:r>
      <w:r w:rsidRPr="00654AEF">
        <w:rPr>
          <w:rFonts w:cs="Sylfaen"/>
          <w:b w:val="0"/>
          <w:lang w:val="hy-AM"/>
        </w:rPr>
        <w:t>մլրդ ՀՀ դրամ կամ ՀՆԱ-ի 0.8%-ը:</w:t>
      </w:r>
      <w:r w:rsidRPr="00654AEF">
        <w:rPr>
          <w:b w:val="0"/>
          <w:lang w:val="hy-AM"/>
        </w:rPr>
        <w:t xml:space="preserve"> Ընդ որում` ՀՀ կառա</w:t>
      </w:r>
      <w:r w:rsidRPr="00654AEF">
        <w:rPr>
          <w:b w:val="0"/>
          <w:lang w:val="hy-AM"/>
        </w:rPr>
        <w:softHyphen/>
        <w:t>վարու</w:t>
      </w:r>
      <w:r w:rsidRPr="00654AEF">
        <w:rPr>
          <w:b w:val="0"/>
          <w:lang w:val="hy-AM"/>
        </w:rPr>
        <w:softHyphen/>
        <w:t>թյան տնտեսական քաղաքականության հիմնական նպատակադրումը լինելու է սոցիալական բնույթի ծախսերի կրճատման բացառումը, իսկ հնարավորության դեպքում` բյուջեի ծախսերի ամբողջական իրականացումը:</w:t>
      </w:r>
    </w:p>
    <w:p w14:paraId="116F5BFB" w14:textId="77777777" w:rsidR="00730639" w:rsidRPr="00654AEF" w:rsidRDefault="00730639" w:rsidP="00730639">
      <w:pPr>
        <w:pStyle w:val="ListParagraph"/>
        <w:numPr>
          <w:ilvl w:val="0"/>
          <w:numId w:val="25"/>
        </w:numPr>
        <w:tabs>
          <w:tab w:val="left" w:pos="567"/>
        </w:tabs>
        <w:ind w:left="0" w:firstLine="0"/>
        <w:rPr>
          <w:rFonts w:eastAsia="Calibri"/>
          <w:b w:val="0"/>
          <w:szCs w:val="22"/>
          <w:lang w:val="hy-AM" w:eastAsia="en-US"/>
        </w:rPr>
      </w:pPr>
      <w:r w:rsidRPr="00654AEF">
        <w:rPr>
          <w:rFonts w:eastAsia="Calibri"/>
          <w:szCs w:val="22"/>
          <w:lang w:val="hy-AM" w:eastAsia="en-US"/>
        </w:rPr>
        <w:t xml:space="preserve">Կառավարության պարտք։ </w:t>
      </w:r>
      <w:r w:rsidRPr="00654AEF">
        <w:rPr>
          <w:rFonts w:eastAsia="Calibri"/>
          <w:b w:val="0"/>
          <w:szCs w:val="22"/>
          <w:lang w:val="hy-AM" w:eastAsia="en-US"/>
        </w:rPr>
        <w:t>ՀՀ կառավարության պարտքի կայունության վերլուծությունները վկայում են, որ թեպետ  վերջինս կայուն է, կառավարելի և ցածր ռիսկային, զգայուն է տնտեսական աճի, որից հետո՝ փոխարժեքի շոկի նկատմամբ (տե՛ս 2024-2026թթ</w:t>
      </w:r>
      <w:r w:rsidRPr="00654AEF">
        <w:rPr>
          <w:rFonts w:ascii="Cambria Math" w:eastAsia="Calibri" w:hAnsi="Cambria Math" w:cs="Cambria Math"/>
          <w:b w:val="0"/>
          <w:szCs w:val="22"/>
          <w:lang w:val="hy-AM" w:eastAsia="en-US"/>
        </w:rPr>
        <w:t xml:space="preserve">․ </w:t>
      </w:r>
      <w:r w:rsidRPr="00654AEF">
        <w:rPr>
          <w:rFonts w:eastAsia="Calibri"/>
          <w:b w:val="0"/>
          <w:szCs w:val="22"/>
          <w:lang w:val="hy-AM" w:eastAsia="en-US"/>
        </w:rPr>
        <w:t>պետական միջնաժամկետ ծախսերի ծրագիր, Վերլուծություններ, ՀՀ կառավարության պարտքի կայունության վերլուծություն)։ Այդ տեսակետից, գնահատված տնտեսական աճի և փոխարժեքի ռիսկերի պայմաններում հաշվարկվել է կանխատեսումներից կառավարության պարտքի հնարավոր շեղման չափը։ Հաշվարկները ցույց են տվել, որ տնտեսական աճի ենթադրվող շոկի (1.5%-ային կետով ավելի ցածր աճ) պայմաններում ՀՀ կառավարության պարտք/ՀՆԱ հարաբերակցությունը 2024թ</w:t>
      </w:r>
      <w:r w:rsidRPr="00654AEF">
        <w:rPr>
          <w:rFonts w:ascii="Cambria Math" w:eastAsia="Calibri" w:hAnsi="Cambria Math" w:cs="Cambria Math"/>
          <w:b w:val="0"/>
          <w:szCs w:val="22"/>
          <w:lang w:val="hy-AM" w:eastAsia="en-US"/>
        </w:rPr>
        <w:t>․</w:t>
      </w:r>
      <w:r w:rsidRPr="00654AEF">
        <w:rPr>
          <w:rFonts w:eastAsia="Calibri"/>
          <w:b w:val="0"/>
          <w:szCs w:val="22"/>
          <w:lang w:val="hy-AM" w:eastAsia="en-US"/>
        </w:rPr>
        <w:t>-ին կկազմի 49.</w:t>
      </w:r>
      <w:r>
        <w:rPr>
          <w:rFonts w:eastAsia="Calibri"/>
          <w:b w:val="0"/>
          <w:szCs w:val="22"/>
          <w:lang w:val="hy-AM" w:eastAsia="en-US"/>
        </w:rPr>
        <w:t>4</w:t>
      </w:r>
      <w:r w:rsidRPr="00654AEF">
        <w:rPr>
          <w:rFonts w:eastAsia="Calibri"/>
          <w:b w:val="0"/>
          <w:szCs w:val="22"/>
          <w:lang w:val="hy-AM" w:eastAsia="en-US"/>
        </w:rPr>
        <w:t>%, փոխարժեքի շոկի դեպքում (վերադարձ դեպի 1 դոլարի դիմաց 480 դրամի մակարդակի)՝  51.</w:t>
      </w:r>
      <w:r>
        <w:rPr>
          <w:rFonts w:eastAsia="Calibri"/>
          <w:b w:val="0"/>
          <w:szCs w:val="22"/>
          <w:lang w:val="hy-AM" w:eastAsia="en-US"/>
        </w:rPr>
        <w:t>7</w:t>
      </w:r>
      <w:r w:rsidRPr="00654AEF">
        <w:rPr>
          <w:rFonts w:eastAsia="Calibri"/>
          <w:b w:val="0"/>
          <w:szCs w:val="22"/>
          <w:lang w:val="hy-AM" w:eastAsia="en-US"/>
        </w:rPr>
        <w:t>%, սպասվածից բարձր պակասուրդի դեպքում (1%-ային կետով) ՝ 49.</w:t>
      </w:r>
      <w:r>
        <w:rPr>
          <w:rFonts w:eastAsia="Calibri"/>
          <w:b w:val="0"/>
          <w:szCs w:val="22"/>
          <w:lang w:val="hy-AM" w:eastAsia="en-US"/>
        </w:rPr>
        <w:t>4</w:t>
      </w:r>
      <w:r w:rsidRPr="00654AEF">
        <w:rPr>
          <w:rFonts w:eastAsia="Calibri"/>
          <w:b w:val="0"/>
          <w:szCs w:val="22"/>
          <w:lang w:val="hy-AM" w:eastAsia="en-US"/>
        </w:rPr>
        <w:t>%։ Նշված շոկերի համադրման դեպքում կառավարության պարտք/ՀՆԱ ցուցանիշը կկազմի 53.</w:t>
      </w:r>
      <w:r>
        <w:rPr>
          <w:rFonts w:eastAsia="Calibri"/>
          <w:b w:val="0"/>
          <w:szCs w:val="22"/>
          <w:lang w:val="hy-AM" w:eastAsia="en-US"/>
        </w:rPr>
        <w:t>4</w:t>
      </w:r>
      <w:r w:rsidRPr="00654AEF">
        <w:rPr>
          <w:rFonts w:eastAsia="Calibri"/>
          <w:b w:val="0"/>
          <w:szCs w:val="22"/>
          <w:lang w:val="hy-AM" w:eastAsia="en-US"/>
        </w:rPr>
        <w:t xml:space="preserve">%՝ ցածր մնալով 60% սահմանային շեմից։ </w:t>
      </w:r>
    </w:p>
    <w:p w14:paraId="78285C5C" w14:textId="77777777" w:rsidR="00730639" w:rsidRPr="00654AEF" w:rsidRDefault="00730639" w:rsidP="00730639">
      <w:pPr>
        <w:rPr>
          <w:lang w:val="hy-AM"/>
        </w:rPr>
      </w:pPr>
      <w:r w:rsidRPr="00654AEF">
        <w:rPr>
          <w:u w:val="single"/>
          <w:lang w:val="hy-AM"/>
        </w:rPr>
        <w:t xml:space="preserve">Հարկաբյուջետային ռիսկերի կառավարումը՝ համարժեք «անվտանգության բարձիկների» ձևավորմամբ։ </w:t>
      </w:r>
      <w:r w:rsidRPr="00654AEF">
        <w:rPr>
          <w:lang w:val="hy-AM"/>
        </w:rPr>
        <w:t xml:space="preserve"> </w:t>
      </w:r>
    </w:p>
    <w:p w14:paraId="3F6C2DC2" w14:textId="77777777" w:rsidR="00730639" w:rsidRPr="00654AEF" w:rsidRDefault="00730639" w:rsidP="00730639">
      <w:pPr>
        <w:rPr>
          <w:b w:val="0"/>
          <w:szCs w:val="22"/>
          <w:lang w:val="hy-AM"/>
        </w:rPr>
      </w:pPr>
      <w:r w:rsidRPr="00654AEF">
        <w:rPr>
          <w:b w:val="0"/>
          <w:lang w:val="hy-AM"/>
        </w:rPr>
        <w:t>Ծրագրված հարկաբյուջետային քաղաքականության ուղեգծից շեղման ռիսկերի գնահատման արդյունքների հիման վրա նախատեսվել են համապատասխան «հարկաբյուջետային բարձիկներ»։ Մասնավորապես, ընթացիկ ծախսերի կազմում նախատեսվել է պահուստային ֆոնդ, որի մեծությունը 2024թ</w:t>
      </w:r>
      <w:r w:rsidRPr="00654AEF">
        <w:rPr>
          <w:rFonts w:ascii="Cambria Math" w:hAnsi="Cambria Math" w:cs="Cambria Math"/>
          <w:b w:val="0"/>
          <w:lang w:val="hy-AM"/>
        </w:rPr>
        <w:t>․</w:t>
      </w:r>
      <w:r w:rsidRPr="00654AEF">
        <w:rPr>
          <w:b w:val="0"/>
          <w:lang w:val="hy-AM"/>
        </w:rPr>
        <w:t>-</w:t>
      </w:r>
      <w:r w:rsidRPr="00654AEF">
        <w:rPr>
          <w:rFonts w:cs="GHEA Grapalat"/>
          <w:b w:val="0"/>
          <w:lang w:val="hy-AM"/>
        </w:rPr>
        <w:t>ին</w:t>
      </w:r>
      <w:r w:rsidRPr="00654AEF">
        <w:rPr>
          <w:b w:val="0"/>
          <w:lang w:val="hy-AM"/>
        </w:rPr>
        <w:t xml:space="preserve"> </w:t>
      </w:r>
      <w:r w:rsidRPr="00654AEF">
        <w:rPr>
          <w:rFonts w:cs="GHEA Grapalat"/>
          <w:b w:val="0"/>
          <w:lang w:val="hy-AM"/>
        </w:rPr>
        <w:t>կկազմի</w:t>
      </w:r>
      <w:r w:rsidRPr="00654AEF">
        <w:rPr>
          <w:b w:val="0"/>
          <w:lang w:val="hy-AM"/>
        </w:rPr>
        <w:t xml:space="preserve"> 60.5 մլրդ դրամ կամ ՀՆԱ 0</w:t>
      </w:r>
      <w:r w:rsidRPr="00654AEF">
        <w:rPr>
          <w:rFonts w:ascii="Cambria Math" w:hAnsi="Cambria Math"/>
          <w:b w:val="0"/>
          <w:lang w:val="hy-AM"/>
        </w:rPr>
        <w:t>․</w:t>
      </w:r>
      <w:r w:rsidRPr="00654AEF">
        <w:rPr>
          <w:b w:val="0"/>
          <w:lang w:val="hy-AM"/>
        </w:rPr>
        <w:t xml:space="preserve">6%, և ծախսերի 2%-ը։ Միաժամանակ, ՀՀ կառավարությունը, գործող կարգավորումների համաձայն, իրացվելիության անհրաժեշտ մակարդակ երաշխավորելու համար գանձապետական կայունացման հաշվում կապահովի նվազագույն ՀՆԱ 1%-ի չափով միջոցներ։  </w:t>
      </w:r>
    </w:p>
    <w:p w14:paraId="34243A87" w14:textId="77777777" w:rsidR="00730639" w:rsidRPr="00654AEF" w:rsidRDefault="00730639" w:rsidP="00730639">
      <w:pPr>
        <w:rPr>
          <w:b w:val="0"/>
          <w:lang w:val="hy-AM"/>
        </w:rPr>
      </w:pPr>
    </w:p>
    <w:p w14:paraId="6CE618B8" w14:textId="77777777" w:rsidR="00730639" w:rsidRPr="00654AEF" w:rsidRDefault="00730639" w:rsidP="00730639">
      <w:pPr>
        <w:rPr>
          <w:rFonts w:eastAsia="Calibri"/>
          <w:b w:val="0"/>
          <w:szCs w:val="22"/>
          <w:lang w:val="hy-AM" w:eastAsia="en-US"/>
        </w:rPr>
      </w:pPr>
      <w:r w:rsidRPr="00654AEF">
        <w:rPr>
          <w:b w:val="0"/>
          <w:lang w:val="hy-AM"/>
        </w:rPr>
        <w:lastRenderedPageBreak/>
        <w:t>Ամփոփելով հարկաբյուջետային ռիսկերի նկարագրությունը կարող ենք նշել, որ ինչպես 2020թ. ճգնաժամային իրավիճակով և դրա դրսևորումների շարունակությամբ, այնպես էլ 2022թ. փետրվարից ռուս-ուկրաինական համամարտության սրմամբ պայմանավորված ռիսկերն առավելապես վերաբերում են առկա անորոշություններին: Մասնավորապես, անորոշություններ են առկա ինչպես ՌԴ նկատմամբ կիրառված սանկցիաների՝ ՀՀ տնտեսության վրա հնարավոր ազդեցությունների, այնպես էլ տնտեսության հետագա աճի տեմպի հետ կապված: Նշված ռիսկերի ի հայտ գալու կամ անորոշությունների վերաբերյալ նոր տեղեկատվության առկայության պայմաններում, առաջիկա տարիների հարկաբյուջետային շրջանակը կարող է վերանայվել։</w:t>
      </w:r>
    </w:p>
    <w:p w14:paraId="524F3637" w14:textId="77777777" w:rsidR="00730639" w:rsidRPr="00D178DD" w:rsidRDefault="00730639" w:rsidP="00730639">
      <w:pPr>
        <w:rPr>
          <w:rFonts w:eastAsia="Calibri"/>
          <w:b w:val="0"/>
          <w:szCs w:val="22"/>
          <w:lang w:val="hy-AM" w:eastAsia="en-US"/>
        </w:rPr>
      </w:pPr>
    </w:p>
    <w:p w14:paraId="46D3FE0F" w14:textId="77777777" w:rsidR="00D178DD" w:rsidRPr="00290696" w:rsidRDefault="00D178DD" w:rsidP="0038558B">
      <w:pPr>
        <w:keepNext/>
        <w:keepLines/>
        <w:spacing w:before="0"/>
        <w:ind w:firstLine="284"/>
        <w:outlineLvl w:val="2"/>
        <w:rPr>
          <w:rFonts w:eastAsiaTheme="majorEastAsia" w:cstheme="majorBidi"/>
          <w:bCs/>
          <w:color w:val="1F497D" w:themeColor="text2"/>
          <w:sz w:val="24"/>
          <w:lang w:val="hy-AM" w:eastAsia="en-US"/>
        </w:rPr>
      </w:pPr>
      <w:bookmarkStart w:id="163" w:name="_Toc83972840"/>
      <w:bookmarkStart w:id="164" w:name="_Toc115686028"/>
      <w:bookmarkStart w:id="165" w:name="_Toc153184472"/>
      <w:r w:rsidRPr="00290696">
        <w:rPr>
          <w:rFonts w:eastAsiaTheme="majorEastAsia" w:cstheme="majorBidi"/>
          <w:bCs/>
          <w:color w:val="1F497D" w:themeColor="text2"/>
          <w:sz w:val="24"/>
          <w:lang w:val="hy-AM" w:eastAsia="en-US"/>
        </w:rPr>
        <w:t>2.4. ՀԱՐԿԱԲՅՈՒՋԵՏԱՅԻՆ  ՔԱՂԱՔԱԿԱՆՈՒԹՅԱՆ ՀԱՄԱՊԱՏԱՍԽԱՆՈՒԹՅՈՒՆԸ ՀԱՐԿԱԲՅՈՒՋԵՏԱՅԻՆ ԿԱՆՈՆՆԵՐԻՆ</w:t>
      </w:r>
      <w:bookmarkEnd w:id="163"/>
      <w:bookmarkEnd w:id="164"/>
      <w:bookmarkEnd w:id="165"/>
    </w:p>
    <w:p w14:paraId="0F7FD4B8" w14:textId="77777777" w:rsidR="00730639" w:rsidRPr="00654AEF" w:rsidRDefault="00730639" w:rsidP="00730639">
      <w:pPr>
        <w:rPr>
          <w:rFonts w:eastAsia="Calibri"/>
          <w:szCs w:val="22"/>
          <w:lang w:val="hy-AM" w:eastAsia="en-US"/>
        </w:rPr>
      </w:pPr>
      <w:bookmarkStart w:id="166" w:name="_Toc45838555"/>
      <w:bookmarkStart w:id="167" w:name="_Toc46154356"/>
      <w:bookmarkStart w:id="168" w:name="_Toc52452096"/>
      <w:bookmarkStart w:id="169" w:name="_Toc57655457"/>
      <w:bookmarkStart w:id="170" w:name="_Toc83972841"/>
      <w:bookmarkStart w:id="171" w:name="_Toc115686029"/>
      <w:r w:rsidRPr="00654AEF">
        <w:rPr>
          <w:rFonts w:eastAsia="Calibri"/>
          <w:b w:val="0"/>
          <w:szCs w:val="22"/>
          <w:lang w:val="hy-AM" w:eastAsia="en-US"/>
        </w:rPr>
        <w:t>ՀՀ հարկաբյուջետային կանոնների ներկա համակարգը գործարկվել է ՀՀ Ազգային ժողովի կողմից 2017 թվականի դեկտեմբերի 20-ին ՀՀ բյուջետային համակարգի մասին և Պետական պարտքի մասին ՀՀ օրենքներում փոփոխություններ և լրացումն</w:t>
      </w:r>
      <w:r w:rsidRPr="00654AEF">
        <w:rPr>
          <w:rFonts w:eastAsia="Calibri"/>
          <w:b w:val="0"/>
          <w:szCs w:val="22"/>
          <w:lang w:val="hy-AM" w:eastAsia="en-US"/>
        </w:rPr>
        <w:softHyphen/>
        <w:t>եր կատարող օրենքների, ինչպես նաև են ՀՀ Կառավարության՝ 2018 թվականի օգոստոսի 23-ի N 942-Ն որոշման ընդունմամբ: Կանոնների համակարգը ներառում է ծախսային կանոններ, որոնք ուժի մեջ են մտնում պարտքի սահմանված շեմերը գերազանցելիս։ Մասնավորապես</w:t>
      </w:r>
      <w:r w:rsidRPr="00654AEF">
        <w:rPr>
          <w:rFonts w:ascii="Cambria Math" w:eastAsia="Calibri" w:hAnsi="Cambria Math" w:cs="Cambria Math"/>
          <w:b w:val="0"/>
          <w:szCs w:val="22"/>
          <w:lang w:val="hy-AM" w:eastAsia="en-US"/>
        </w:rPr>
        <w:t>․</w:t>
      </w:r>
    </w:p>
    <w:p w14:paraId="36106093" w14:textId="77777777" w:rsidR="00730639" w:rsidRPr="00097368" w:rsidRDefault="00730639" w:rsidP="00097368">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654AEF">
        <w:rPr>
          <w:rFonts w:eastAsia="Calibri"/>
          <w:b w:val="0"/>
          <w:szCs w:val="22"/>
          <w:lang w:val="hy-AM" w:eastAsia="en-US"/>
        </w:rPr>
        <w:t xml:space="preserve">Երբ </w:t>
      </w:r>
      <w:r w:rsidRPr="00097368">
        <w:rPr>
          <w:rFonts w:eastAsia="Calibri" w:cs="Arial"/>
          <w:b w:val="0"/>
          <w:bCs/>
          <w:kern w:val="2"/>
          <w:szCs w:val="22"/>
          <w:lang w:val="hy-AM"/>
          <w14:ligatures w14:val="standardContextual"/>
        </w:rPr>
        <w:t>կառավարության պարտք/ՀՆԱ հարաբերակցությունը գերազանցում է 40%-ը, պետական բյուջեի կապիտալ ծախսերը չպետք է փոքր լինեն բյուջեի պակասուրդից:</w:t>
      </w:r>
    </w:p>
    <w:p w14:paraId="2D55B70D" w14:textId="77777777" w:rsidR="00730639" w:rsidRPr="00097368" w:rsidRDefault="00730639" w:rsidP="00097368">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Կառավարության պարտք/ՀՆԱ հարաբերակցության՝ 50-60% միջակայքում գտնվելու դեպքում, ընթացիկ առաջնային ծախսերի աճի տեմպը սահմանափակվում է նախորդ 7 տարիների ՀՆԱ-ների միջին աճով, ինչպես նաև հաջորդ տարում կազմվող պետական միջնաժամկետ ծախսերի ծրագրում կառավարությունը ներկայացնում է միջոցառումների ծրագիր՝ համախառն ներքին արդյունքի նկատմամբ կառավարության պարտքի մակարդակի կանխատեսվող հետագիծը 5 տարիների ընթացքում 50 տոկոսից նվազեցնելու համար:</w:t>
      </w:r>
    </w:p>
    <w:p w14:paraId="4C5C4AC8" w14:textId="77777777" w:rsidR="00730639" w:rsidRPr="00097368" w:rsidRDefault="00730639" w:rsidP="00097368">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Երբ Կառավարության պարտքը գերազանցում է ՀՆԱ 60%-ը, ընթացիկ առաջնային ծախսերի աճի տեմպը սահմանափակվում է նախորդ 7 տարիների ՀՆԱ-ների միջին աճից 0.5 տոկոսային կետով նվազեցված ցուցանիշով, ընթացիկ ծախսերը սահմանափակվում են հարկերի և տուրքերի մեծությամբ, ինչպես նաև Կառավարությունը Ազգային ժողովի ֆինանսավարկային և բյուջետային ու տնտեսական հարցերի մշտական հանձնաժողովների քննարկմանը ներկայացնում է միջոցառումների ծրագիր՝ ՀՆԱ նկատմամբ կառավարության պարտքի մակարդակի կանխատեսվող հետագիծը 5 տարիների ընթացքում 60 տոկոսից նվազեցնելու համար: </w:t>
      </w:r>
    </w:p>
    <w:p w14:paraId="0BADCB6D" w14:textId="77777777" w:rsidR="00730639" w:rsidRPr="00654AEF" w:rsidRDefault="00730639" w:rsidP="00097368">
      <w:pPr>
        <w:pStyle w:val="ListParagraph"/>
        <w:numPr>
          <w:ilvl w:val="0"/>
          <w:numId w:val="55"/>
        </w:numPr>
        <w:tabs>
          <w:tab w:val="left" w:pos="284"/>
        </w:tabs>
        <w:suppressAutoHyphens/>
        <w:spacing w:before="0" w:after="160"/>
        <w:ind w:left="0" w:firstLine="0"/>
        <w:rPr>
          <w:rFonts w:eastAsia="Calibri"/>
          <w:szCs w:val="22"/>
          <w:lang w:val="hy-AM" w:eastAsia="en-US"/>
        </w:rPr>
      </w:pPr>
      <w:r w:rsidRPr="00097368">
        <w:rPr>
          <w:rFonts w:eastAsia="Calibri" w:cs="Arial"/>
          <w:b w:val="0"/>
          <w:bCs/>
          <w:kern w:val="2"/>
          <w:szCs w:val="22"/>
          <w:lang w:val="hy-AM"/>
          <w14:ligatures w14:val="standardContextual"/>
        </w:rPr>
        <w:t>Ներկայացված սահմանափակումները չեն գործում կառավարության որոշմամբ սահմանված բացառիկ</w:t>
      </w:r>
      <w:r w:rsidRPr="00654AEF">
        <w:rPr>
          <w:rFonts w:eastAsia="Calibri"/>
          <w:b w:val="0"/>
          <w:szCs w:val="22"/>
          <w:lang w:val="hy-AM" w:eastAsia="en-US"/>
        </w:rPr>
        <w:t xml:space="preserve"> դեպքերում՝ ելնելով խոշորածավալ տարերային և տեխնածին </w:t>
      </w:r>
      <w:r w:rsidRPr="00654AEF">
        <w:rPr>
          <w:rFonts w:eastAsia="Calibri"/>
          <w:b w:val="0"/>
          <w:szCs w:val="22"/>
          <w:lang w:val="hy-AM" w:eastAsia="en-US"/>
        </w:rPr>
        <w:lastRenderedPageBreak/>
        <w:t>աղետների, պատերազմական գործողությունների, տնտեսությունը խաղաղ ժամանակաշրջանից պատերազմական ժամանակաշրջանի փոխադրման, տնտեսական ցնցման հանգամանքներով պայմանավորված բացասական տնտեսական զարգացումների պարագայում:</w:t>
      </w:r>
    </w:p>
    <w:p w14:paraId="2561D63D" w14:textId="77777777" w:rsidR="00730639" w:rsidRPr="00654AEF" w:rsidRDefault="00730639" w:rsidP="00730639">
      <w:pPr>
        <w:rPr>
          <w:rFonts w:eastAsia="Calibri"/>
          <w:b w:val="0"/>
          <w:bCs/>
          <w:szCs w:val="22"/>
          <w:lang w:val="hy-AM" w:eastAsia="en-US"/>
        </w:rPr>
      </w:pPr>
      <w:r w:rsidRPr="00654AEF">
        <w:rPr>
          <w:rFonts w:eastAsia="Calibri"/>
          <w:szCs w:val="22"/>
          <w:lang w:val="hy-AM" w:eastAsia="en-US"/>
        </w:rPr>
        <w:t xml:space="preserve">2022թ. վերականգնվել է հարկաբյուջետային կանոնների բնականոն իրավիճակների տրամաբանությունը՝ համահունչ 2022թ. պետական բյուջեի ուղերձում նախանշած քաղաքականությանը։ </w:t>
      </w:r>
      <w:r w:rsidRPr="00654AEF">
        <w:rPr>
          <w:rFonts w:eastAsia="Calibri"/>
          <w:b w:val="0"/>
          <w:bCs/>
          <w:szCs w:val="22"/>
          <w:lang w:val="hy-AM" w:eastAsia="en-US"/>
        </w:rPr>
        <w:t>Այսպես, եթե բացառիկ դեպքերի կարգավորումների կիրառման պայմաններում 2021թ. հաջողվել էր նվազեցնել պետական բյուջեի պակասուրդի և կապիտալ ծախսերի շեղման չափը, ապա 2022թ. պետական բյուջեի կապիտալ ծախսերը գերազանցել են պետական բյուջեի պակասուրդը շուրջ 201 մլրդ դրամով, ինչը կարևոր է երկարաժամկետ հարկաբյուջետային կայունության տեսակետից և երաշխավորում է, որ նոր վերցված փոխառություններին առաջանցիկ պետական ենթակառուցվածքներ ձևավորվեն՝ կայուն դարձնելով զուտ պարտքի դիրքը։ Միաժամանակ, ՀՀ կառավարությունը 2021թ. շեղման չափը կրճատելուց հետո 2022թ. մոտեցրել է ըստ կանոնի (երկու տարի նախորդող ցուցանիշի նկատմամբ հաշվարկված) ընթացիկ առաջնային ծախսերի աճի տեմպը նախորդ տարվա ՀՆԱ աճերի՝ 0.5 տոկոսային կետով նվազեցված ցուցանիշին՝ շեղման չափը կրճատելով մինչև 30 մլրդ դրամի։ Նշված շեղումը իր հերթին գրանցվել է տարվա ընթացքում պետական բյուջեի եկամուտների պլանի բարձրացման պայմաններում՝ համապատասխան 2022թ. պետական բյուջեի մասին ՀՀ օրենքի դրույթներին (ինչը թույլ է տալիս ավելացնել ծախսերը հարկային եկամուտների ավելացման պարագայում), ինչպես նաև հարկաբյուջետային կանոնների տրամաբանությանը։ Միաժամանակ, ընթացիկ առաջնային ծախսերի աճի տեմպի համապատասխանությունը եկամուտ գեներացնելու հնարավորություններն արտահայտող երկարաժամկետ միջին ՀՆԱ աճի ցուցանիշին համապատասխանեցված է՝ ըստ նախորդ տարվա նկատմամբ ցուցանիշի հաշվարկի, իսկ տարվա ընթացքում պլանավորված մակարդակից ծախսերի ավելացումները հիմնականում միանգամյա ծախսերի բնույթ են կրել և չեն ենթադրել երկարաժամկետ ծախսային պարտավորությունների բեռի ավելացում։ Նկատի ունենալով, որ 2022թ.-ի վերջի դրությամբ ՀՀ կառավարության պարտք/ՀՆԱ հարաբերակցությունը կազմել է 46.7%` ցածր լինելով 50%-ի շեմից, ՀՀ կառավարության պարտքի նվազեցման 2022-2026թթ. վերանայված ծրագրի թիրախը ապահովված է, ինչի արդյունքում նոր պարտքի նվազեցման ծրագիր չի մշակվել։</w:t>
      </w:r>
    </w:p>
    <w:p w14:paraId="35649A22" w14:textId="77777777" w:rsidR="00730639" w:rsidRPr="00654AEF" w:rsidRDefault="00730639" w:rsidP="00730639">
      <w:pPr>
        <w:rPr>
          <w:rFonts w:eastAsia="Calibri"/>
          <w:b w:val="0"/>
          <w:szCs w:val="22"/>
          <w:lang w:val="hy-AM" w:eastAsia="en-US"/>
        </w:rPr>
      </w:pPr>
      <w:r w:rsidRPr="00654AEF">
        <w:rPr>
          <w:rFonts w:eastAsia="Calibri"/>
          <w:szCs w:val="22"/>
          <w:lang w:val="hy-AM" w:eastAsia="en-US"/>
        </w:rPr>
        <w:t xml:space="preserve"> 2023թ</w:t>
      </w:r>
      <w:r w:rsidRPr="00654AEF">
        <w:rPr>
          <w:rFonts w:ascii="Cambria Math" w:eastAsia="Calibri" w:hAnsi="Cambria Math" w:cs="Cambria Math"/>
          <w:szCs w:val="22"/>
          <w:lang w:val="hy-AM" w:eastAsia="en-US"/>
        </w:rPr>
        <w:t>․</w:t>
      </w:r>
      <w:r w:rsidRPr="00654AEF">
        <w:rPr>
          <w:rFonts w:eastAsia="Calibri"/>
          <w:szCs w:val="22"/>
          <w:lang w:val="hy-AM" w:eastAsia="en-US"/>
        </w:rPr>
        <w:t>-ի պետական բյուջեի կատարումը և նախատեսվում է շարունակել, իսկ 2024թ</w:t>
      </w:r>
      <w:r w:rsidRPr="00654AEF">
        <w:rPr>
          <w:rFonts w:ascii="Cambria Math" w:eastAsia="Calibri" w:hAnsi="Cambria Math" w:cs="Cambria Math"/>
          <w:szCs w:val="22"/>
          <w:lang w:val="hy-AM" w:eastAsia="en-US"/>
        </w:rPr>
        <w:t>․</w:t>
      </w:r>
      <w:r w:rsidRPr="00654AEF">
        <w:rPr>
          <w:rFonts w:eastAsia="Calibri"/>
          <w:szCs w:val="22"/>
          <w:lang w:val="hy-AM" w:eastAsia="en-US"/>
        </w:rPr>
        <w:t xml:space="preserve">-ի պետական բյուջեն՝ կատարել հարկաբյուջետային կանոնների ամբողջական համապատասխանության ներքո։ </w:t>
      </w:r>
      <w:r w:rsidRPr="00654AEF">
        <w:rPr>
          <w:rFonts w:eastAsia="Calibri"/>
          <w:b w:val="0"/>
          <w:szCs w:val="22"/>
          <w:lang w:val="hy-AM" w:eastAsia="en-US"/>
        </w:rPr>
        <w:t xml:space="preserve">Պետական ֆինանսների «ոսկե կանոնների» պահպանումը թույլ կտա ապահովելով պարտքի զուտ ներգրավմանն առաջանցիկ պետական ակտիվներ աճը և կառավարելի պահել երկրի իրական պարտքային դիրքը և հետևաբար՝ երկարաժամկետ հարկաբյուջետային ռիսկերը։ </w:t>
      </w:r>
      <w:r w:rsidRPr="00654AEF">
        <w:rPr>
          <w:rFonts w:eastAsia="Calibri"/>
          <w:b w:val="0"/>
          <w:lang w:val="hy-AM"/>
        </w:rPr>
        <w:t xml:space="preserve">Իսկ ընթացիկ առաջնային ծախսերի աճի տեմպի՝ երկարաժամկետ տնտեսական աճի միջին տեմպով սահմանափակման կանոնի պահպանումը հնարավորություն կտա ապահովել </w:t>
      </w:r>
      <w:r w:rsidRPr="00654AEF">
        <w:rPr>
          <w:rFonts w:eastAsia="Calibri"/>
          <w:b w:val="0"/>
          <w:lang w:val="hy-AM"/>
        </w:rPr>
        <w:lastRenderedPageBreak/>
        <w:t xml:space="preserve">հակապարբերաշրջանային քաղաքականության իրականացումը և զսպել ապագայում եկամուտ գեներացնելու կարողություններին պարտավորությունների (ընթացիկ ծախսերի գծով ստանձնվող օրենսդրական պարտավորությունների և պարտքային պարտավորությունների ձևով) առաջանցիկ ավելացումը։ Միաժամանակ, </w:t>
      </w:r>
      <w:r w:rsidRPr="00654AEF">
        <w:rPr>
          <w:rFonts w:eastAsia="Calibri"/>
          <w:b w:val="0"/>
          <w:szCs w:val="22"/>
          <w:lang w:val="hy-AM" w:eastAsia="en-US"/>
        </w:rPr>
        <w:t>կառավարության պարտք/ՀՆԱ ցուցանիշը կշարունակի նվազել, ինչով հարկաբյուջետային քաղաքականությունը կտեղափոխի կանոններով  սահմանափակման առավել մեղմ ռեժիմների՝ թույլ տալով վարել առավել ճկուն հարկաբյուջետային քաղաքականություն (առավել մանրամասն տես՝ «Հարկաբյուջետային քաղաքականության հիմնական ուղղությունները և կանխատեսումները հատվածում»):</w:t>
      </w:r>
    </w:p>
    <w:p w14:paraId="6F79D820" w14:textId="77777777" w:rsidR="00730639" w:rsidRPr="00654AEF" w:rsidRDefault="00730639" w:rsidP="00730639">
      <w:pPr>
        <w:spacing w:before="0"/>
        <w:ind w:firstLine="706"/>
        <w:rPr>
          <w:rFonts w:eastAsia="Calibri"/>
          <w:b w:val="0"/>
          <w:szCs w:val="22"/>
          <w:lang w:val="hy-AM" w:eastAsia="en-US"/>
        </w:rPr>
      </w:pPr>
    </w:p>
    <w:p w14:paraId="3065324C" w14:textId="77777777" w:rsidR="00730639" w:rsidRPr="00654AEF" w:rsidRDefault="00730639" w:rsidP="00730639">
      <w:pPr>
        <w:keepNext/>
        <w:keepLines/>
        <w:spacing w:before="0" w:after="120"/>
        <w:rPr>
          <w:rFonts w:eastAsia="Calibri"/>
          <w:b w:val="0"/>
          <w:iCs/>
          <w:szCs w:val="22"/>
          <w:lang w:val="hy-AM" w:eastAsia="en-US"/>
        </w:rPr>
      </w:pPr>
      <w:r w:rsidRPr="00654AEF">
        <w:rPr>
          <w:rFonts w:eastAsia="Calibri"/>
          <w:iCs/>
          <w:szCs w:val="22"/>
          <w:lang w:val="hy-AM" w:eastAsia="en-US"/>
        </w:rPr>
        <w:t>Աղյուսակ 2.4.</w:t>
      </w:r>
      <w:r w:rsidRPr="00654AEF">
        <w:rPr>
          <w:rFonts w:eastAsia="Calibri"/>
          <w:b w:val="0"/>
          <w:iCs/>
          <w:szCs w:val="22"/>
          <w:lang w:val="hy-AM" w:eastAsia="en-US"/>
        </w:rPr>
        <w:t xml:space="preserve"> </w:t>
      </w:r>
      <w:r w:rsidRPr="00654AEF">
        <w:rPr>
          <w:rFonts w:eastAsia="Calibri"/>
          <w:b w:val="0"/>
          <w:bCs/>
          <w:iCs/>
          <w:szCs w:val="22"/>
          <w:lang w:val="hy-AM" w:eastAsia="en-US"/>
        </w:rPr>
        <w:t>Փաստացի և ծրագրավորված հարկաբյուջետային քաղաքականության համապատասխանությունը հարկաբյուջետային կանոններին</w:t>
      </w:r>
    </w:p>
    <w:tbl>
      <w:tblPr>
        <w:tblW w:w="9450" w:type="dxa"/>
        <w:shd w:val="clear" w:color="auto" w:fill="FFFFFF" w:themeFill="background1"/>
        <w:tblLook w:val="04A0" w:firstRow="1" w:lastRow="0" w:firstColumn="1" w:lastColumn="0" w:noHBand="0" w:noVBand="1"/>
      </w:tblPr>
      <w:tblGrid>
        <w:gridCol w:w="1511"/>
        <w:gridCol w:w="1493"/>
        <w:gridCol w:w="751"/>
        <w:gridCol w:w="830"/>
        <w:gridCol w:w="828"/>
        <w:gridCol w:w="811"/>
        <w:gridCol w:w="826"/>
        <w:gridCol w:w="860"/>
        <w:gridCol w:w="735"/>
        <w:gridCol w:w="835"/>
      </w:tblGrid>
      <w:tr w:rsidR="00730639" w:rsidRPr="00367064" w14:paraId="4EEDD9F2" w14:textId="77777777" w:rsidTr="00367064">
        <w:trPr>
          <w:trHeight w:val="345"/>
        </w:trPr>
        <w:tc>
          <w:tcPr>
            <w:tcW w:w="1787" w:type="dxa"/>
            <w:vMerge w:val="restart"/>
            <w:tcBorders>
              <w:top w:val="single" w:sz="4" w:space="0" w:color="auto"/>
              <w:bottom w:val="single" w:sz="4" w:space="0" w:color="auto"/>
            </w:tcBorders>
            <w:shd w:val="clear" w:color="auto" w:fill="FFFFFF" w:themeFill="background1"/>
            <w:vAlign w:val="center"/>
            <w:hideMark/>
          </w:tcPr>
          <w:p w14:paraId="35474C07"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Կանոնի ցուցանիշ</w:t>
            </w:r>
          </w:p>
        </w:tc>
        <w:tc>
          <w:tcPr>
            <w:tcW w:w="1764" w:type="dxa"/>
            <w:vMerge w:val="restart"/>
            <w:tcBorders>
              <w:top w:val="single" w:sz="4" w:space="0" w:color="auto"/>
              <w:bottom w:val="single" w:sz="4" w:space="0" w:color="auto"/>
            </w:tcBorders>
            <w:shd w:val="clear" w:color="auto" w:fill="FFFFFF" w:themeFill="background1"/>
            <w:vAlign w:val="center"/>
            <w:hideMark/>
          </w:tcPr>
          <w:p w14:paraId="0B3C67C9"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Ուղենի-շային ցուցանիշ</w:t>
            </w:r>
          </w:p>
        </w:tc>
        <w:tc>
          <w:tcPr>
            <w:tcW w:w="1581" w:type="dxa"/>
            <w:gridSpan w:val="2"/>
            <w:tcBorders>
              <w:top w:val="single" w:sz="4" w:space="0" w:color="auto"/>
              <w:bottom w:val="single" w:sz="4" w:space="0" w:color="auto"/>
            </w:tcBorders>
            <w:shd w:val="clear" w:color="auto" w:fill="FFFFFF" w:themeFill="background1"/>
            <w:noWrap/>
            <w:vAlign w:val="center"/>
            <w:hideMark/>
          </w:tcPr>
          <w:p w14:paraId="27664930"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2021</w:t>
            </w:r>
          </w:p>
        </w:tc>
        <w:tc>
          <w:tcPr>
            <w:tcW w:w="1639" w:type="dxa"/>
            <w:gridSpan w:val="2"/>
            <w:tcBorders>
              <w:top w:val="single" w:sz="4" w:space="0" w:color="auto"/>
              <w:bottom w:val="single" w:sz="4" w:space="0" w:color="auto"/>
            </w:tcBorders>
            <w:shd w:val="clear" w:color="auto" w:fill="FFFFFF" w:themeFill="background1"/>
            <w:noWrap/>
            <w:vAlign w:val="center"/>
            <w:hideMark/>
          </w:tcPr>
          <w:p w14:paraId="1A126EA3"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2022</w:t>
            </w:r>
          </w:p>
        </w:tc>
        <w:tc>
          <w:tcPr>
            <w:tcW w:w="1686" w:type="dxa"/>
            <w:gridSpan w:val="2"/>
            <w:tcBorders>
              <w:top w:val="single" w:sz="4" w:space="0" w:color="auto"/>
              <w:bottom w:val="single" w:sz="4" w:space="0" w:color="auto"/>
            </w:tcBorders>
            <w:shd w:val="clear" w:color="auto" w:fill="FFFFFF" w:themeFill="background1"/>
            <w:noWrap/>
            <w:vAlign w:val="center"/>
            <w:hideMark/>
          </w:tcPr>
          <w:p w14:paraId="502B1F88"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2023</w:t>
            </w:r>
          </w:p>
        </w:tc>
        <w:tc>
          <w:tcPr>
            <w:tcW w:w="993" w:type="dxa"/>
            <w:gridSpan w:val="2"/>
            <w:tcBorders>
              <w:top w:val="single" w:sz="4" w:space="0" w:color="auto"/>
              <w:bottom w:val="single" w:sz="4" w:space="0" w:color="auto"/>
            </w:tcBorders>
            <w:shd w:val="clear" w:color="auto" w:fill="FFFFFF" w:themeFill="background1"/>
            <w:noWrap/>
            <w:vAlign w:val="center"/>
            <w:hideMark/>
          </w:tcPr>
          <w:p w14:paraId="216586B7"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2024</w:t>
            </w:r>
          </w:p>
        </w:tc>
      </w:tr>
      <w:tr w:rsidR="00730639" w:rsidRPr="00367064" w14:paraId="092D09AF" w14:textId="77777777" w:rsidTr="00367064">
        <w:trPr>
          <w:trHeight w:val="900"/>
        </w:trPr>
        <w:tc>
          <w:tcPr>
            <w:tcW w:w="1787" w:type="dxa"/>
            <w:vMerge/>
            <w:tcBorders>
              <w:top w:val="single" w:sz="4" w:space="0" w:color="auto"/>
              <w:bottom w:val="single" w:sz="4" w:space="0" w:color="auto"/>
            </w:tcBorders>
            <w:shd w:val="clear" w:color="auto" w:fill="FFFFFF" w:themeFill="background1"/>
            <w:vAlign w:val="center"/>
            <w:hideMark/>
          </w:tcPr>
          <w:p w14:paraId="15CEECFD" w14:textId="77777777" w:rsidR="00730639" w:rsidRPr="00367064" w:rsidRDefault="00730639" w:rsidP="00D656FB">
            <w:pPr>
              <w:spacing w:before="0" w:line="240" w:lineRule="auto"/>
              <w:jc w:val="left"/>
              <w:rPr>
                <w:rFonts w:cs="Calibri"/>
                <w:b w:val="0"/>
                <w:sz w:val="20"/>
                <w:szCs w:val="20"/>
                <w:lang w:val="en-US" w:eastAsia="en-US"/>
              </w:rPr>
            </w:pPr>
          </w:p>
        </w:tc>
        <w:tc>
          <w:tcPr>
            <w:tcW w:w="1764" w:type="dxa"/>
            <w:vMerge/>
            <w:tcBorders>
              <w:top w:val="single" w:sz="4" w:space="0" w:color="auto"/>
              <w:bottom w:val="single" w:sz="4" w:space="0" w:color="auto"/>
            </w:tcBorders>
            <w:shd w:val="clear" w:color="auto" w:fill="FFFFFF" w:themeFill="background1"/>
            <w:vAlign w:val="center"/>
            <w:hideMark/>
          </w:tcPr>
          <w:p w14:paraId="3E6651BE" w14:textId="77777777" w:rsidR="00730639" w:rsidRPr="00367064" w:rsidRDefault="00730639" w:rsidP="00D656FB">
            <w:pPr>
              <w:spacing w:before="0" w:line="240" w:lineRule="auto"/>
              <w:jc w:val="left"/>
              <w:rPr>
                <w:rFonts w:cs="Calibri"/>
                <w:b w:val="0"/>
                <w:sz w:val="20"/>
                <w:szCs w:val="20"/>
                <w:lang w:val="en-US" w:eastAsia="en-US"/>
              </w:rPr>
            </w:pPr>
          </w:p>
        </w:tc>
        <w:tc>
          <w:tcPr>
            <w:tcW w:w="751" w:type="dxa"/>
            <w:tcBorders>
              <w:top w:val="single" w:sz="4" w:space="0" w:color="auto"/>
              <w:bottom w:val="single" w:sz="4" w:space="0" w:color="auto"/>
            </w:tcBorders>
            <w:shd w:val="clear" w:color="auto" w:fill="FFFFFF" w:themeFill="background1"/>
            <w:textDirection w:val="btLr"/>
            <w:vAlign w:val="center"/>
            <w:hideMark/>
          </w:tcPr>
          <w:p w14:paraId="765AC9D3"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Սահմ</w:t>
            </w:r>
            <w:r w:rsidRPr="00367064">
              <w:rPr>
                <w:rFonts w:ascii="Cambria Math" w:hAnsi="Cambria Math" w:cs="Calibri"/>
                <w:b w:val="0"/>
                <w:sz w:val="20"/>
                <w:szCs w:val="20"/>
                <w:lang w:val="en-US" w:eastAsia="en-US"/>
              </w:rPr>
              <w:t>.</w:t>
            </w:r>
          </w:p>
        </w:tc>
        <w:tc>
          <w:tcPr>
            <w:tcW w:w="830" w:type="dxa"/>
            <w:tcBorders>
              <w:top w:val="single" w:sz="4" w:space="0" w:color="auto"/>
              <w:bottom w:val="single" w:sz="4" w:space="0" w:color="auto"/>
            </w:tcBorders>
            <w:shd w:val="clear" w:color="auto" w:fill="FFFFFF" w:themeFill="background1"/>
            <w:textDirection w:val="btLr"/>
            <w:vAlign w:val="center"/>
            <w:hideMark/>
          </w:tcPr>
          <w:p w14:paraId="13FDA1C2"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Փաստ</w:t>
            </w:r>
            <w:r w:rsidRPr="00367064">
              <w:rPr>
                <w:rFonts w:ascii="Cambria Math" w:hAnsi="Cambria Math" w:cs="Calibri"/>
                <w:b w:val="0"/>
                <w:sz w:val="20"/>
                <w:szCs w:val="20"/>
                <w:lang w:val="en-US" w:eastAsia="en-US"/>
              </w:rPr>
              <w:t>.</w:t>
            </w:r>
          </w:p>
        </w:tc>
        <w:tc>
          <w:tcPr>
            <w:tcW w:w="828" w:type="dxa"/>
            <w:tcBorders>
              <w:top w:val="single" w:sz="4" w:space="0" w:color="auto"/>
              <w:bottom w:val="single" w:sz="4" w:space="0" w:color="auto"/>
            </w:tcBorders>
            <w:shd w:val="clear" w:color="auto" w:fill="FFFFFF" w:themeFill="background1"/>
            <w:textDirection w:val="btLr"/>
            <w:vAlign w:val="center"/>
            <w:hideMark/>
          </w:tcPr>
          <w:p w14:paraId="04335DEE"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Սահմ</w:t>
            </w:r>
            <w:r w:rsidRPr="00367064">
              <w:rPr>
                <w:rFonts w:ascii="Cambria Math" w:hAnsi="Cambria Math" w:cs="Calibri"/>
                <w:b w:val="0"/>
                <w:sz w:val="20"/>
                <w:szCs w:val="20"/>
                <w:lang w:val="en-US" w:eastAsia="en-US"/>
              </w:rPr>
              <w:t>.</w:t>
            </w:r>
          </w:p>
        </w:tc>
        <w:tc>
          <w:tcPr>
            <w:tcW w:w="811" w:type="dxa"/>
            <w:tcBorders>
              <w:top w:val="single" w:sz="4" w:space="0" w:color="auto"/>
              <w:bottom w:val="single" w:sz="4" w:space="0" w:color="auto"/>
            </w:tcBorders>
            <w:shd w:val="clear" w:color="auto" w:fill="FFFFFF" w:themeFill="background1"/>
            <w:textDirection w:val="btLr"/>
            <w:vAlign w:val="center"/>
            <w:hideMark/>
          </w:tcPr>
          <w:p w14:paraId="41A72DC1"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Փաստ</w:t>
            </w:r>
            <w:r w:rsidRPr="00367064">
              <w:rPr>
                <w:rFonts w:ascii="Cambria Math" w:hAnsi="Cambria Math" w:cs="Calibri"/>
                <w:b w:val="0"/>
                <w:sz w:val="20"/>
                <w:szCs w:val="20"/>
                <w:lang w:val="en-US" w:eastAsia="en-US"/>
              </w:rPr>
              <w:t>.</w:t>
            </w:r>
          </w:p>
        </w:tc>
        <w:tc>
          <w:tcPr>
            <w:tcW w:w="826" w:type="dxa"/>
            <w:tcBorders>
              <w:top w:val="single" w:sz="4" w:space="0" w:color="auto"/>
              <w:bottom w:val="single" w:sz="4" w:space="0" w:color="auto"/>
            </w:tcBorders>
            <w:shd w:val="clear" w:color="auto" w:fill="FFFFFF" w:themeFill="background1"/>
            <w:textDirection w:val="btLr"/>
            <w:vAlign w:val="center"/>
            <w:hideMark/>
          </w:tcPr>
          <w:p w14:paraId="45932B17"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Սահմ</w:t>
            </w:r>
            <w:r w:rsidRPr="00367064">
              <w:rPr>
                <w:rFonts w:ascii="Cambria Math" w:hAnsi="Cambria Math" w:cs="Calibri"/>
                <w:b w:val="0"/>
                <w:sz w:val="20"/>
                <w:szCs w:val="20"/>
                <w:lang w:val="en-US" w:eastAsia="en-US"/>
              </w:rPr>
              <w:t>.</w:t>
            </w:r>
          </w:p>
        </w:tc>
        <w:tc>
          <w:tcPr>
            <w:tcW w:w="860" w:type="dxa"/>
            <w:tcBorders>
              <w:top w:val="single" w:sz="4" w:space="0" w:color="auto"/>
              <w:bottom w:val="single" w:sz="4" w:space="0" w:color="auto"/>
            </w:tcBorders>
            <w:shd w:val="clear" w:color="auto" w:fill="FFFFFF" w:themeFill="background1"/>
            <w:textDirection w:val="btLr"/>
            <w:vAlign w:val="center"/>
            <w:hideMark/>
          </w:tcPr>
          <w:p w14:paraId="39E8F35D"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Պլան</w:t>
            </w:r>
          </w:p>
        </w:tc>
        <w:tc>
          <w:tcPr>
            <w:tcW w:w="750" w:type="dxa"/>
            <w:tcBorders>
              <w:top w:val="single" w:sz="4" w:space="0" w:color="auto"/>
              <w:bottom w:val="single" w:sz="4" w:space="0" w:color="auto"/>
            </w:tcBorders>
            <w:shd w:val="clear" w:color="auto" w:fill="FFFFFF" w:themeFill="background1"/>
            <w:textDirection w:val="btLr"/>
            <w:vAlign w:val="center"/>
            <w:hideMark/>
          </w:tcPr>
          <w:p w14:paraId="38CD00BD"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Սահմ</w:t>
            </w:r>
            <w:r w:rsidRPr="00367064">
              <w:rPr>
                <w:rFonts w:ascii="Cambria Math" w:hAnsi="Cambria Math" w:cs="Calibri"/>
                <w:b w:val="0"/>
                <w:sz w:val="20"/>
                <w:szCs w:val="20"/>
                <w:lang w:val="en-US" w:eastAsia="en-US"/>
              </w:rPr>
              <w:t>.</w:t>
            </w:r>
          </w:p>
        </w:tc>
        <w:tc>
          <w:tcPr>
            <w:tcW w:w="243" w:type="dxa"/>
            <w:tcBorders>
              <w:top w:val="single" w:sz="4" w:space="0" w:color="auto"/>
              <w:bottom w:val="single" w:sz="4" w:space="0" w:color="auto"/>
            </w:tcBorders>
            <w:shd w:val="clear" w:color="auto" w:fill="FFFFFF" w:themeFill="background1"/>
            <w:textDirection w:val="btLr"/>
            <w:vAlign w:val="center"/>
            <w:hideMark/>
          </w:tcPr>
          <w:p w14:paraId="2BA23737"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Պլան</w:t>
            </w:r>
          </w:p>
        </w:tc>
      </w:tr>
      <w:tr w:rsidR="00730639" w:rsidRPr="00367064" w14:paraId="5AA3C0FF" w14:textId="77777777" w:rsidTr="00367064">
        <w:trPr>
          <w:trHeight w:val="780"/>
        </w:trPr>
        <w:tc>
          <w:tcPr>
            <w:tcW w:w="1787" w:type="dxa"/>
            <w:tcBorders>
              <w:top w:val="single" w:sz="4" w:space="0" w:color="auto"/>
              <w:bottom w:val="single" w:sz="4" w:space="0" w:color="auto"/>
            </w:tcBorders>
            <w:shd w:val="clear" w:color="auto" w:fill="FFFFFF" w:themeFill="background1"/>
            <w:vAlign w:val="center"/>
            <w:hideMark/>
          </w:tcPr>
          <w:p w14:paraId="1FD923BE" w14:textId="77777777" w:rsidR="00730639" w:rsidRPr="00367064" w:rsidRDefault="00730639" w:rsidP="00D656FB">
            <w:pPr>
              <w:spacing w:before="0" w:line="240" w:lineRule="auto"/>
              <w:rPr>
                <w:rFonts w:cs="Calibri"/>
                <w:b w:val="0"/>
                <w:sz w:val="20"/>
                <w:szCs w:val="20"/>
                <w:lang w:eastAsia="en-US"/>
              </w:rPr>
            </w:pPr>
            <w:r w:rsidRPr="00367064">
              <w:rPr>
                <w:rFonts w:cs="Calibri"/>
                <w:b w:val="0"/>
                <w:sz w:val="20"/>
                <w:szCs w:val="20"/>
                <w:lang w:val="en-US" w:eastAsia="en-US"/>
              </w:rPr>
              <w:t>Պետական</w:t>
            </w:r>
            <w:r w:rsidRPr="00367064">
              <w:rPr>
                <w:rFonts w:cs="Calibri"/>
                <w:b w:val="0"/>
                <w:sz w:val="20"/>
                <w:szCs w:val="20"/>
                <w:lang w:eastAsia="en-US"/>
              </w:rPr>
              <w:t xml:space="preserve"> </w:t>
            </w:r>
            <w:r w:rsidRPr="00367064">
              <w:rPr>
                <w:rFonts w:cs="Calibri"/>
                <w:b w:val="0"/>
                <w:sz w:val="20"/>
                <w:szCs w:val="20"/>
                <w:lang w:val="en-US" w:eastAsia="en-US"/>
              </w:rPr>
              <w:t>բյուջեի</w:t>
            </w:r>
            <w:r w:rsidRPr="00367064">
              <w:rPr>
                <w:rFonts w:cs="Calibri"/>
                <w:b w:val="0"/>
                <w:sz w:val="20"/>
                <w:szCs w:val="20"/>
                <w:lang w:eastAsia="en-US"/>
              </w:rPr>
              <w:t xml:space="preserve"> </w:t>
            </w:r>
            <w:r w:rsidRPr="00367064">
              <w:rPr>
                <w:rFonts w:cs="Calibri"/>
                <w:b w:val="0"/>
                <w:sz w:val="20"/>
                <w:szCs w:val="20"/>
                <w:lang w:val="en-US" w:eastAsia="en-US"/>
              </w:rPr>
              <w:t>ոչ</w:t>
            </w:r>
            <w:r w:rsidRPr="00367064">
              <w:rPr>
                <w:rFonts w:cs="Calibri"/>
                <w:b w:val="0"/>
                <w:sz w:val="20"/>
                <w:szCs w:val="20"/>
                <w:lang w:eastAsia="en-US"/>
              </w:rPr>
              <w:t xml:space="preserve"> </w:t>
            </w:r>
            <w:r w:rsidRPr="00367064">
              <w:rPr>
                <w:rFonts w:cs="Calibri"/>
                <w:b w:val="0"/>
                <w:sz w:val="20"/>
                <w:szCs w:val="20"/>
                <w:lang w:val="en-US" w:eastAsia="en-US"/>
              </w:rPr>
              <w:t>ֆինանսական</w:t>
            </w:r>
            <w:r w:rsidRPr="00367064">
              <w:rPr>
                <w:rFonts w:cs="Calibri"/>
                <w:b w:val="0"/>
                <w:sz w:val="20"/>
                <w:szCs w:val="20"/>
                <w:lang w:eastAsia="en-US"/>
              </w:rPr>
              <w:t xml:space="preserve"> </w:t>
            </w:r>
            <w:r w:rsidRPr="00367064">
              <w:rPr>
                <w:rFonts w:cs="Calibri"/>
                <w:b w:val="0"/>
                <w:sz w:val="20"/>
                <w:szCs w:val="20"/>
                <w:lang w:val="en-US" w:eastAsia="en-US"/>
              </w:rPr>
              <w:t>ակտիվների</w:t>
            </w:r>
            <w:r w:rsidRPr="00367064">
              <w:rPr>
                <w:rFonts w:cs="Calibri"/>
                <w:b w:val="0"/>
                <w:sz w:val="20"/>
                <w:szCs w:val="20"/>
                <w:lang w:eastAsia="en-US"/>
              </w:rPr>
              <w:t xml:space="preserve"> </w:t>
            </w:r>
            <w:r w:rsidRPr="00367064">
              <w:rPr>
                <w:rFonts w:cs="Calibri"/>
                <w:b w:val="0"/>
                <w:sz w:val="20"/>
                <w:szCs w:val="20"/>
                <w:lang w:val="en-US" w:eastAsia="en-US"/>
              </w:rPr>
              <w:t>գծով</w:t>
            </w:r>
            <w:r w:rsidRPr="00367064">
              <w:rPr>
                <w:rFonts w:cs="Calibri"/>
                <w:b w:val="0"/>
                <w:sz w:val="20"/>
                <w:szCs w:val="20"/>
                <w:lang w:eastAsia="en-US"/>
              </w:rPr>
              <w:t xml:space="preserve"> </w:t>
            </w:r>
            <w:r w:rsidRPr="00367064">
              <w:rPr>
                <w:rFonts w:cs="Calibri"/>
                <w:b w:val="0"/>
                <w:sz w:val="20"/>
                <w:szCs w:val="20"/>
                <w:lang w:val="en-US" w:eastAsia="en-US"/>
              </w:rPr>
              <w:t>ծախսեր</w:t>
            </w:r>
          </w:p>
        </w:tc>
        <w:tc>
          <w:tcPr>
            <w:tcW w:w="1764" w:type="dxa"/>
            <w:tcBorders>
              <w:top w:val="single" w:sz="4" w:space="0" w:color="auto"/>
              <w:bottom w:val="single" w:sz="4" w:space="0" w:color="auto"/>
            </w:tcBorders>
            <w:shd w:val="clear" w:color="auto" w:fill="FFFFFF" w:themeFill="background1"/>
            <w:vAlign w:val="center"/>
            <w:hideMark/>
          </w:tcPr>
          <w:p w14:paraId="683CE718" w14:textId="77777777" w:rsidR="00730639" w:rsidRPr="00367064" w:rsidRDefault="00730639" w:rsidP="00D656FB">
            <w:pPr>
              <w:spacing w:before="0" w:line="240" w:lineRule="auto"/>
              <w:jc w:val="center"/>
              <w:rPr>
                <w:rFonts w:cs="Calibri"/>
                <w:b w:val="0"/>
                <w:sz w:val="20"/>
                <w:szCs w:val="20"/>
                <w:lang w:eastAsia="en-US"/>
              </w:rPr>
            </w:pPr>
            <w:r w:rsidRPr="00367064">
              <w:rPr>
                <w:rFonts w:cs="Calibri"/>
                <w:b w:val="0"/>
                <w:sz w:val="20"/>
                <w:szCs w:val="20"/>
                <w:lang w:eastAsia="en-US"/>
              </w:rPr>
              <w:t xml:space="preserve">&gt;/= </w:t>
            </w:r>
            <w:r w:rsidRPr="00367064">
              <w:rPr>
                <w:rFonts w:cs="Calibri"/>
                <w:b w:val="0"/>
                <w:sz w:val="20"/>
                <w:szCs w:val="20"/>
                <w:lang w:val="en-US" w:eastAsia="en-US"/>
              </w:rPr>
              <w:t>պետական</w:t>
            </w:r>
            <w:r w:rsidRPr="00367064">
              <w:rPr>
                <w:rFonts w:cs="Calibri"/>
                <w:b w:val="0"/>
                <w:sz w:val="20"/>
                <w:szCs w:val="20"/>
                <w:lang w:eastAsia="en-US"/>
              </w:rPr>
              <w:t xml:space="preserve"> </w:t>
            </w:r>
            <w:r w:rsidRPr="00367064">
              <w:rPr>
                <w:rFonts w:cs="Calibri"/>
                <w:b w:val="0"/>
                <w:sz w:val="20"/>
                <w:szCs w:val="20"/>
                <w:lang w:val="en-US" w:eastAsia="en-US"/>
              </w:rPr>
              <w:t>բյուջեի</w:t>
            </w:r>
            <w:r w:rsidRPr="00367064">
              <w:rPr>
                <w:rFonts w:cs="Calibri"/>
                <w:b w:val="0"/>
                <w:sz w:val="20"/>
                <w:szCs w:val="20"/>
                <w:lang w:eastAsia="en-US"/>
              </w:rPr>
              <w:t xml:space="preserve"> </w:t>
            </w:r>
            <w:r w:rsidRPr="00367064">
              <w:rPr>
                <w:rFonts w:cs="Calibri"/>
                <w:b w:val="0"/>
                <w:sz w:val="20"/>
                <w:szCs w:val="20"/>
                <w:lang w:val="en-US" w:eastAsia="en-US"/>
              </w:rPr>
              <w:t>պակասուրդ</w:t>
            </w:r>
            <w:r w:rsidRPr="00367064">
              <w:rPr>
                <w:rFonts w:cs="Calibri"/>
                <w:b w:val="0"/>
                <w:sz w:val="20"/>
                <w:szCs w:val="20"/>
                <w:lang w:eastAsia="en-US"/>
              </w:rPr>
              <w:t xml:space="preserve">, </w:t>
            </w:r>
            <w:r w:rsidRPr="00367064">
              <w:rPr>
                <w:rFonts w:cs="Calibri"/>
                <w:b w:val="0"/>
                <w:sz w:val="20"/>
                <w:szCs w:val="20"/>
                <w:lang w:val="en-US" w:eastAsia="en-US"/>
              </w:rPr>
              <w:t>մլրդ</w:t>
            </w:r>
            <w:r w:rsidRPr="00367064">
              <w:rPr>
                <w:rFonts w:cs="Calibri"/>
                <w:b w:val="0"/>
                <w:sz w:val="20"/>
                <w:szCs w:val="20"/>
                <w:lang w:eastAsia="en-US"/>
              </w:rPr>
              <w:t xml:space="preserve"> </w:t>
            </w:r>
            <w:r w:rsidRPr="00367064">
              <w:rPr>
                <w:rFonts w:cs="Calibri"/>
                <w:b w:val="0"/>
                <w:sz w:val="20"/>
                <w:szCs w:val="20"/>
                <w:lang w:val="en-US" w:eastAsia="en-US"/>
              </w:rPr>
              <w:t>դրամ</w:t>
            </w:r>
          </w:p>
        </w:tc>
        <w:tc>
          <w:tcPr>
            <w:tcW w:w="751" w:type="dxa"/>
            <w:tcBorders>
              <w:top w:val="single" w:sz="4" w:space="0" w:color="auto"/>
              <w:bottom w:val="single" w:sz="4" w:space="0" w:color="auto"/>
            </w:tcBorders>
            <w:shd w:val="clear" w:color="auto" w:fill="FFFFFF" w:themeFill="background1"/>
            <w:vAlign w:val="center"/>
            <w:hideMark/>
          </w:tcPr>
          <w:p w14:paraId="037A70F8"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320.5</w:t>
            </w:r>
          </w:p>
        </w:tc>
        <w:tc>
          <w:tcPr>
            <w:tcW w:w="830" w:type="dxa"/>
            <w:tcBorders>
              <w:top w:val="single" w:sz="4" w:space="0" w:color="auto"/>
              <w:bottom w:val="single" w:sz="4" w:space="0" w:color="auto"/>
            </w:tcBorders>
            <w:shd w:val="clear" w:color="auto" w:fill="FFFFFF" w:themeFill="background1"/>
            <w:vAlign w:val="center"/>
            <w:hideMark/>
          </w:tcPr>
          <w:p w14:paraId="0B4C8721"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216.3</w:t>
            </w:r>
          </w:p>
        </w:tc>
        <w:tc>
          <w:tcPr>
            <w:tcW w:w="828" w:type="dxa"/>
            <w:tcBorders>
              <w:top w:val="single" w:sz="4" w:space="0" w:color="auto"/>
              <w:bottom w:val="single" w:sz="4" w:space="0" w:color="auto"/>
            </w:tcBorders>
            <w:shd w:val="clear" w:color="auto" w:fill="FFFFFF" w:themeFill="background1"/>
            <w:vAlign w:val="center"/>
            <w:hideMark/>
          </w:tcPr>
          <w:p w14:paraId="11E8B6D6"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179.5</w:t>
            </w:r>
          </w:p>
        </w:tc>
        <w:tc>
          <w:tcPr>
            <w:tcW w:w="811" w:type="dxa"/>
            <w:tcBorders>
              <w:top w:val="single" w:sz="4" w:space="0" w:color="auto"/>
              <w:bottom w:val="single" w:sz="4" w:space="0" w:color="auto"/>
            </w:tcBorders>
            <w:shd w:val="clear" w:color="auto" w:fill="FFFFFF" w:themeFill="background1"/>
            <w:vAlign w:val="center"/>
            <w:hideMark/>
          </w:tcPr>
          <w:p w14:paraId="27BAEBE9"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380.4</w:t>
            </w:r>
          </w:p>
        </w:tc>
        <w:tc>
          <w:tcPr>
            <w:tcW w:w="826" w:type="dxa"/>
            <w:tcBorders>
              <w:top w:val="single" w:sz="4" w:space="0" w:color="auto"/>
              <w:bottom w:val="single" w:sz="4" w:space="0" w:color="auto"/>
            </w:tcBorders>
            <w:shd w:val="clear" w:color="auto" w:fill="FFFFFF" w:themeFill="background1"/>
            <w:vAlign w:val="center"/>
            <w:hideMark/>
          </w:tcPr>
          <w:p w14:paraId="48F91E03"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245.3</w:t>
            </w:r>
          </w:p>
        </w:tc>
        <w:tc>
          <w:tcPr>
            <w:tcW w:w="860" w:type="dxa"/>
            <w:tcBorders>
              <w:top w:val="single" w:sz="4" w:space="0" w:color="auto"/>
              <w:bottom w:val="single" w:sz="4" w:space="0" w:color="auto"/>
            </w:tcBorders>
            <w:shd w:val="clear" w:color="auto" w:fill="FFFFFF" w:themeFill="background1"/>
            <w:vAlign w:val="center"/>
            <w:hideMark/>
          </w:tcPr>
          <w:p w14:paraId="1801472A"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562.1</w:t>
            </w:r>
          </w:p>
        </w:tc>
        <w:tc>
          <w:tcPr>
            <w:tcW w:w="750" w:type="dxa"/>
            <w:tcBorders>
              <w:top w:val="single" w:sz="4" w:space="0" w:color="auto"/>
              <w:bottom w:val="single" w:sz="4" w:space="0" w:color="auto"/>
            </w:tcBorders>
            <w:shd w:val="clear" w:color="auto" w:fill="FFFFFF" w:themeFill="background1"/>
            <w:vAlign w:val="center"/>
            <w:hideMark/>
          </w:tcPr>
          <w:p w14:paraId="0413C338"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482.9</w:t>
            </w:r>
          </w:p>
        </w:tc>
        <w:tc>
          <w:tcPr>
            <w:tcW w:w="243" w:type="dxa"/>
            <w:tcBorders>
              <w:top w:val="single" w:sz="4" w:space="0" w:color="auto"/>
              <w:bottom w:val="single" w:sz="4" w:space="0" w:color="auto"/>
            </w:tcBorders>
            <w:shd w:val="clear" w:color="auto" w:fill="FFFFFF" w:themeFill="background1"/>
            <w:vAlign w:val="center"/>
            <w:hideMark/>
          </w:tcPr>
          <w:p w14:paraId="0534EE39"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695.3</w:t>
            </w:r>
          </w:p>
        </w:tc>
      </w:tr>
      <w:tr w:rsidR="00730639" w:rsidRPr="00367064" w14:paraId="3BC4A981" w14:textId="77777777" w:rsidTr="00367064">
        <w:trPr>
          <w:trHeight w:val="780"/>
        </w:trPr>
        <w:tc>
          <w:tcPr>
            <w:tcW w:w="1787" w:type="dxa"/>
            <w:tcBorders>
              <w:top w:val="single" w:sz="4" w:space="0" w:color="auto"/>
              <w:bottom w:val="single" w:sz="4" w:space="0" w:color="auto"/>
            </w:tcBorders>
            <w:shd w:val="clear" w:color="auto" w:fill="FFFFFF" w:themeFill="background1"/>
            <w:vAlign w:val="center"/>
            <w:hideMark/>
          </w:tcPr>
          <w:p w14:paraId="572FCAA1" w14:textId="77777777" w:rsidR="00730639" w:rsidRPr="00367064" w:rsidRDefault="00730639" w:rsidP="00D656FB">
            <w:pPr>
              <w:spacing w:before="0" w:line="240" w:lineRule="auto"/>
              <w:rPr>
                <w:rFonts w:cs="Calibri"/>
                <w:b w:val="0"/>
                <w:sz w:val="20"/>
                <w:szCs w:val="20"/>
                <w:lang w:eastAsia="en-US"/>
              </w:rPr>
            </w:pPr>
            <w:r w:rsidRPr="00367064">
              <w:rPr>
                <w:rFonts w:cs="Calibri"/>
                <w:b w:val="0"/>
                <w:sz w:val="20"/>
                <w:szCs w:val="20"/>
                <w:lang w:val="en-US" w:eastAsia="en-US"/>
              </w:rPr>
              <w:t>Պետական</w:t>
            </w:r>
            <w:r w:rsidRPr="00367064">
              <w:rPr>
                <w:rFonts w:cs="Calibri"/>
                <w:b w:val="0"/>
                <w:sz w:val="20"/>
                <w:szCs w:val="20"/>
                <w:lang w:eastAsia="en-US"/>
              </w:rPr>
              <w:t xml:space="preserve"> </w:t>
            </w:r>
            <w:r w:rsidRPr="00367064">
              <w:rPr>
                <w:rFonts w:cs="Calibri"/>
                <w:b w:val="0"/>
                <w:sz w:val="20"/>
                <w:szCs w:val="20"/>
                <w:lang w:val="en-US" w:eastAsia="en-US"/>
              </w:rPr>
              <w:t>բյուջեի</w:t>
            </w:r>
            <w:r w:rsidRPr="00367064">
              <w:rPr>
                <w:rFonts w:cs="Calibri"/>
                <w:b w:val="0"/>
                <w:sz w:val="20"/>
                <w:szCs w:val="20"/>
                <w:lang w:eastAsia="en-US"/>
              </w:rPr>
              <w:t xml:space="preserve"> </w:t>
            </w:r>
            <w:r w:rsidRPr="00367064">
              <w:rPr>
                <w:rFonts w:cs="Calibri"/>
                <w:b w:val="0"/>
                <w:sz w:val="20"/>
                <w:szCs w:val="20"/>
                <w:lang w:val="en-US" w:eastAsia="en-US"/>
              </w:rPr>
              <w:t>ընթացիկ</w:t>
            </w:r>
            <w:r w:rsidRPr="00367064">
              <w:rPr>
                <w:rFonts w:cs="Calibri"/>
                <w:b w:val="0"/>
                <w:sz w:val="20"/>
                <w:szCs w:val="20"/>
                <w:lang w:eastAsia="en-US"/>
              </w:rPr>
              <w:t xml:space="preserve"> </w:t>
            </w:r>
            <w:r w:rsidRPr="00367064">
              <w:rPr>
                <w:rFonts w:cs="Calibri"/>
                <w:b w:val="0"/>
                <w:sz w:val="20"/>
                <w:szCs w:val="20"/>
                <w:lang w:val="en-US" w:eastAsia="en-US"/>
              </w:rPr>
              <w:t>առաջնային</w:t>
            </w:r>
            <w:r w:rsidRPr="00367064">
              <w:rPr>
                <w:rFonts w:cs="Calibri"/>
                <w:b w:val="0"/>
                <w:sz w:val="20"/>
                <w:szCs w:val="20"/>
                <w:lang w:eastAsia="en-US"/>
              </w:rPr>
              <w:t xml:space="preserve"> </w:t>
            </w:r>
            <w:r w:rsidRPr="00367064">
              <w:rPr>
                <w:rFonts w:cs="Calibri"/>
                <w:b w:val="0"/>
                <w:sz w:val="20"/>
                <w:szCs w:val="20"/>
                <w:lang w:val="en-US" w:eastAsia="en-US"/>
              </w:rPr>
              <w:t>ծախսերի</w:t>
            </w:r>
            <w:r w:rsidRPr="00367064">
              <w:rPr>
                <w:rFonts w:cs="Calibri"/>
                <w:b w:val="0"/>
                <w:sz w:val="20"/>
                <w:szCs w:val="20"/>
                <w:lang w:eastAsia="en-US"/>
              </w:rPr>
              <w:t xml:space="preserve"> </w:t>
            </w:r>
            <w:r w:rsidRPr="00367064">
              <w:rPr>
                <w:rFonts w:cs="Calibri"/>
                <w:b w:val="0"/>
                <w:sz w:val="20"/>
                <w:szCs w:val="20"/>
                <w:lang w:val="en-US" w:eastAsia="en-US"/>
              </w:rPr>
              <w:t>աճի</w:t>
            </w:r>
            <w:r w:rsidRPr="00367064">
              <w:rPr>
                <w:rFonts w:cs="Calibri"/>
                <w:b w:val="0"/>
                <w:sz w:val="20"/>
                <w:szCs w:val="20"/>
                <w:lang w:eastAsia="en-US"/>
              </w:rPr>
              <w:t xml:space="preserve"> </w:t>
            </w:r>
            <w:r w:rsidRPr="00367064">
              <w:rPr>
                <w:rFonts w:cs="Calibri"/>
                <w:b w:val="0"/>
                <w:sz w:val="20"/>
                <w:szCs w:val="20"/>
                <w:lang w:val="en-US" w:eastAsia="en-US"/>
              </w:rPr>
              <w:t>տեմպ</w:t>
            </w:r>
          </w:p>
        </w:tc>
        <w:tc>
          <w:tcPr>
            <w:tcW w:w="1764" w:type="dxa"/>
            <w:tcBorders>
              <w:top w:val="single" w:sz="4" w:space="0" w:color="auto"/>
              <w:bottom w:val="single" w:sz="4" w:space="0" w:color="auto"/>
            </w:tcBorders>
            <w:shd w:val="clear" w:color="auto" w:fill="FFFFFF" w:themeFill="background1"/>
            <w:vAlign w:val="center"/>
            <w:hideMark/>
          </w:tcPr>
          <w:p w14:paraId="5F7D7414" w14:textId="77777777" w:rsidR="00730639" w:rsidRPr="00367064" w:rsidRDefault="00730639" w:rsidP="00D656FB">
            <w:pPr>
              <w:spacing w:before="0" w:line="240" w:lineRule="auto"/>
              <w:jc w:val="center"/>
              <w:rPr>
                <w:rFonts w:cs="Calibri"/>
                <w:b w:val="0"/>
                <w:sz w:val="20"/>
                <w:szCs w:val="20"/>
                <w:lang w:eastAsia="en-US"/>
              </w:rPr>
            </w:pPr>
            <w:r w:rsidRPr="00367064">
              <w:rPr>
                <w:rFonts w:cs="Calibri"/>
                <w:b w:val="0"/>
                <w:sz w:val="20"/>
                <w:szCs w:val="20"/>
                <w:lang w:eastAsia="en-US"/>
              </w:rPr>
              <w:t xml:space="preserve">&lt;/= </w:t>
            </w:r>
            <w:r w:rsidRPr="00367064">
              <w:rPr>
                <w:rFonts w:cs="Calibri"/>
                <w:b w:val="0"/>
                <w:sz w:val="20"/>
                <w:szCs w:val="20"/>
                <w:lang w:val="en-US" w:eastAsia="en-US"/>
              </w:rPr>
              <w:t>նախորդ</w:t>
            </w:r>
            <w:r w:rsidRPr="00367064">
              <w:rPr>
                <w:rFonts w:cs="Calibri"/>
                <w:b w:val="0"/>
                <w:sz w:val="20"/>
                <w:szCs w:val="20"/>
                <w:lang w:eastAsia="en-US"/>
              </w:rPr>
              <w:t xml:space="preserve"> 7 </w:t>
            </w:r>
            <w:r w:rsidRPr="00367064">
              <w:rPr>
                <w:rFonts w:cs="Calibri"/>
                <w:b w:val="0"/>
                <w:sz w:val="20"/>
                <w:szCs w:val="20"/>
                <w:lang w:val="en-US" w:eastAsia="en-US"/>
              </w:rPr>
              <w:t>տարիների</w:t>
            </w:r>
            <w:r w:rsidRPr="00367064">
              <w:rPr>
                <w:rFonts w:cs="Calibri"/>
                <w:b w:val="0"/>
                <w:sz w:val="20"/>
                <w:szCs w:val="20"/>
                <w:lang w:eastAsia="en-US"/>
              </w:rPr>
              <w:t xml:space="preserve"> </w:t>
            </w:r>
            <w:r w:rsidRPr="00367064">
              <w:rPr>
                <w:rFonts w:cs="Calibri"/>
                <w:b w:val="0"/>
                <w:sz w:val="20"/>
                <w:szCs w:val="20"/>
                <w:lang w:val="en-US" w:eastAsia="en-US"/>
              </w:rPr>
              <w:t>անվանական</w:t>
            </w:r>
            <w:r w:rsidRPr="00367064">
              <w:rPr>
                <w:rFonts w:cs="Calibri"/>
                <w:b w:val="0"/>
                <w:sz w:val="20"/>
                <w:szCs w:val="20"/>
                <w:lang w:eastAsia="en-US"/>
              </w:rPr>
              <w:t xml:space="preserve"> </w:t>
            </w:r>
            <w:r w:rsidRPr="00367064">
              <w:rPr>
                <w:rFonts w:cs="Calibri"/>
                <w:b w:val="0"/>
                <w:sz w:val="20"/>
                <w:szCs w:val="20"/>
                <w:lang w:val="en-US" w:eastAsia="en-US"/>
              </w:rPr>
              <w:t>ՀՆԱ</w:t>
            </w:r>
            <w:r w:rsidRPr="00367064">
              <w:rPr>
                <w:rFonts w:cs="Calibri"/>
                <w:b w:val="0"/>
                <w:sz w:val="20"/>
                <w:szCs w:val="20"/>
                <w:lang w:eastAsia="en-US"/>
              </w:rPr>
              <w:t xml:space="preserve"> </w:t>
            </w:r>
            <w:r w:rsidRPr="00367064">
              <w:rPr>
                <w:rFonts w:cs="Calibri"/>
                <w:b w:val="0"/>
                <w:sz w:val="20"/>
                <w:szCs w:val="20"/>
                <w:lang w:val="en-US" w:eastAsia="en-US"/>
              </w:rPr>
              <w:t>աճի</w:t>
            </w:r>
            <w:r w:rsidRPr="00367064">
              <w:rPr>
                <w:rFonts w:cs="Calibri"/>
                <w:b w:val="0"/>
                <w:sz w:val="20"/>
                <w:szCs w:val="20"/>
                <w:lang w:eastAsia="en-US"/>
              </w:rPr>
              <w:t xml:space="preserve"> </w:t>
            </w:r>
            <w:r w:rsidRPr="00367064">
              <w:rPr>
                <w:rFonts w:cs="Calibri"/>
                <w:b w:val="0"/>
                <w:sz w:val="20"/>
                <w:szCs w:val="20"/>
                <w:lang w:val="en-US" w:eastAsia="en-US"/>
              </w:rPr>
              <w:t>միջին</w:t>
            </w:r>
            <w:r w:rsidRPr="00367064">
              <w:rPr>
                <w:rFonts w:cs="Calibri"/>
                <w:b w:val="0"/>
                <w:sz w:val="20"/>
                <w:szCs w:val="20"/>
                <w:lang w:eastAsia="en-US"/>
              </w:rPr>
              <w:t xml:space="preserve"> </w:t>
            </w:r>
            <w:r w:rsidRPr="00367064">
              <w:rPr>
                <w:rFonts w:cs="Calibri"/>
                <w:b w:val="0"/>
                <w:sz w:val="20"/>
                <w:szCs w:val="20"/>
                <w:lang w:val="en-US" w:eastAsia="en-US"/>
              </w:rPr>
              <w:t>տեմպ</w:t>
            </w:r>
            <w:r w:rsidRPr="00367064">
              <w:rPr>
                <w:rFonts w:cs="Calibri"/>
                <w:b w:val="0"/>
                <w:sz w:val="20"/>
                <w:szCs w:val="20"/>
                <w:lang w:eastAsia="en-US"/>
              </w:rPr>
              <w:t>, %</w:t>
            </w:r>
          </w:p>
        </w:tc>
        <w:tc>
          <w:tcPr>
            <w:tcW w:w="751" w:type="dxa"/>
            <w:tcBorders>
              <w:top w:val="single" w:sz="4" w:space="0" w:color="auto"/>
              <w:bottom w:val="single" w:sz="4" w:space="0" w:color="auto"/>
            </w:tcBorders>
            <w:shd w:val="clear" w:color="auto" w:fill="FFFFFF" w:themeFill="background1"/>
            <w:vAlign w:val="center"/>
            <w:hideMark/>
          </w:tcPr>
          <w:p w14:paraId="6ADB0B30"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6.3</w:t>
            </w:r>
          </w:p>
        </w:tc>
        <w:tc>
          <w:tcPr>
            <w:tcW w:w="830" w:type="dxa"/>
            <w:tcBorders>
              <w:top w:val="single" w:sz="4" w:space="0" w:color="auto"/>
              <w:bottom w:val="single" w:sz="4" w:space="0" w:color="auto"/>
            </w:tcBorders>
            <w:shd w:val="clear" w:color="auto" w:fill="FFFFFF" w:themeFill="background1"/>
            <w:vAlign w:val="center"/>
            <w:hideMark/>
          </w:tcPr>
          <w:p w14:paraId="70492E2A"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12.8</w:t>
            </w:r>
          </w:p>
        </w:tc>
        <w:tc>
          <w:tcPr>
            <w:tcW w:w="828" w:type="dxa"/>
            <w:tcBorders>
              <w:top w:val="single" w:sz="4" w:space="0" w:color="auto"/>
              <w:bottom w:val="single" w:sz="4" w:space="0" w:color="auto"/>
            </w:tcBorders>
            <w:shd w:val="clear" w:color="auto" w:fill="FFFFFF" w:themeFill="background1"/>
            <w:vAlign w:val="center"/>
            <w:hideMark/>
          </w:tcPr>
          <w:p w14:paraId="427CF9AB"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4.1</w:t>
            </w:r>
          </w:p>
        </w:tc>
        <w:tc>
          <w:tcPr>
            <w:tcW w:w="811" w:type="dxa"/>
            <w:tcBorders>
              <w:top w:val="single" w:sz="4" w:space="0" w:color="auto"/>
              <w:bottom w:val="single" w:sz="4" w:space="0" w:color="auto"/>
            </w:tcBorders>
            <w:shd w:val="clear" w:color="auto" w:fill="FFFFFF" w:themeFill="background1"/>
            <w:vAlign w:val="center"/>
            <w:hideMark/>
          </w:tcPr>
          <w:p w14:paraId="4F82EB10"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5.3</w:t>
            </w:r>
          </w:p>
        </w:tc>
        <w:tc>
          <w:tcPr>
            <w:tcW w:w="826" w:type="dxa"/>
            <w:tcBorders>
              <w:top w:val="single" w:sz="4" w:space="0" w:color="auto"/>
              <w:bottom w:val="single" w:sz="4" w:space="0" w:color="auto"/>
            </w:tcBorders>
            <w:shd w:val="clear" w:color="auto" w:fill="FFFFFF" w:themeFill="background1"/>
            <w:vAlign w:val="center"/>
            <w:hideMark/>
          </w:tcPr>
          <w:p w14:paraId="6C80ABC3"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5.1</w:t>
            </w:r>
          </w:p>
        </w:tc>
        <w:tc>
          <w:tcPr>
            <w:tcW w:w="860" w:type="dxa"/>
            <w:tcBorders>
              <w:top w:val="single" w:sz="4" w:space="0" w:color="auto"/>
              <w:bottom w:val="single" w:sz="4" w:space="0" w:color="auto"/>
            </w:tcBorders>
            <w:shd w:val="clear" w:color="auto" w:fill="FFFFFF" w:themeFill="background1"/>
            <w:vAlign w:val="center"/>
            <w:hideMark/>
          </w:tcPr>
          <w:p w14:paraId="1F4A47B6"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5.2</w:t>
            </w:r>
          </w:p>
        </w:tc>
        <w:tc>
          <w:tcPr>
            <w:tcW w:w="750" w:type="dxa"/>
            <w:tcBorders>
              <w:top w:val="single" w:sz="4" w:space="0" w:color="auto"/>
              <w:bottom w:val="single" w:sz="4" w:space="0" w:color="auto"/>
            </w:tcBorders>
            <w:shd w:val="clear" w:color="auto" w:fill="FFFFFF" w:themeFill="background1"/>
            <w:vAlign w:val="center"/>
            <w:hideMark/>
          </w:tcPr>
          <w:p w14:paraId="7FADCBEF"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w:t>
            </w:r>
          </w:p>
        </w:tc>
        <w:tc>
          <w:tcPr>
            <w:tcW w:w="243" w:type="dxa"/>
            <w:tcBorders>
              <w:top w:val="single" w:sz="4" w:space="0" w:color="auto"/>
              <w:bottom w:val="single" w:sz="4" w:space="0" w:color="auto"/>
            </w:tcBorders>
            <w:shd w:val="clear" w:color="auto" w:fill="FFFFFF" w:themeFill="background1"/>
            <w:vAlign w:val="center"/>
            <w:hideMark/>
          </w:tcPr>
          <w:p w14:paraId="49758037"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13.6</w:t>
            </w:r>
          </w:p>
        </w:tc>
      </w:tr>
      <w:tr w:rsidR="00730639" w:rsidRPr="00367064" w14:paraId="17CE3DE5" w14:textId="77777777" w:rsidTr="00367064">
        <w:trPr>
          <w:trHeight w:val="780"/>
        </w:trPr>
        <w:tc>
          <w:tcPr>
            <w:tcW w:w="1787" w:type="dxa"/>
            <w:tcBorders>
              <w:top w:val="single" w:sz="4" w:space="0" w:color="auto"/>
              <w:bottom w:val="single" w:sz="4" w:space="0" w:color="auto"/>
            </w:tcBorders>
            <w:shd w:val="clear" w:color="auto" w:fill="FFFFFF" w:themeFill="background1"/>
            <w:vAlign w:val="center"/>
            <w:hideMark/>
          </w:tcPr>
          <w:p w14:paraId="02A78672" w14:textId="77777777" w:rsidR="00730639" w:rsidRPr="00367064" w:rsidRDefault="00730639" w:rsidP="00D656FB">
            <w:pPr>
              <w:spacing w:before="0" w:line="240" w:lineRule="auto"/>
              <w:rPr>
                <w:rFonts w:cs="Calibri"/>
                <w:b w:val="0"/>
                <w:sz w:val="20"/>
                <w:szCs w:val="20"/>
                <w:lang w:val="en-US" w:eastAsia="en-US"/>
              </w:rPr>
            </w:pPr>
            <w:r w:rsidRPr="00367064">
              <w:rPr>
                <w:rFonts w:cs="Calibri"/>
                <w:b w:val="0"/>
                <w:sz w:val="20"/>
                <w:szCs w:val="20"/>
                <w:lang w:val="en-US" w:eastAsia="en-US"/>
              </w:rPr>
              <w:t>Պետական բյուջեի ընթացիկ ծախսեր</w:t>
            </w:r>
          </w:p>
        </w:tc>
        <w:tc>
          <w:tcPr>
            <w:tcW w:w="1764" w:type="dxa"/>
            <w:tcBorders>
              <w:top w:val="single" w:sz="4" w:space="0" w:color="auto"/>
              <w:bottom w:val="single" w:sz="4" w:space="0" w:color="auto"/>
            </w:tcBorders>
            <w:shd w:val="clear" w:color="auto" w:fill="FFFFFF" w:themeFill="background1"/>
            <w:vAlign w:val="center"/>
            <w:hideMark/>
          </w:tcPr>
          <w:p w14:paraId="6FDD68F3"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&lt;/= հարկային եկամուտների և տուրքերի ծավալ, մլրդ դրամ</w:t>
            </w:r>
          </w:p>
        </w:tc>
        <w:tc>
          <w:tcPr>
            <w:tcW w:w="751" w:type="dxa"/>
            <w:tcBorders>
              <w:top w:val="single" w:sz="4" w:space="0" w:color="auto"/>
              <w:bottom w:val="single" w:sz="4" w:space="0" w:color="auto"/>
            </w:tcBorders>
            <w:shd w:val="clear" w:color="auto" w:fill="FFFFFF" w:themeFill="background1"/>
            <w:vAlign w:val="center"/>
            <w:hideMark/>
          </w:tcPr>
          <w:p w14:paraId="1C10328F"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w:t>
            </w:r>
          </w:p>
        </w:tc>
        <w:tc>
          <w:tcPr>
            <w:tcW w:w="830" w:type="dxa"/>
            <w:tcBorders>
              <w:top w:val="single" w:sz="4" w:space="0" w:color="auto"/>
              <w:bottom w:val="single" w:sz="4" w:space="0" w:color="auto"/>
            </w:tcBorders>
            <w:shd w:val="clear" w:color="auto" w:fill="FFFFFF" w:themeFill="background1"/>
            <w:vAlign w:val="center"/>
            <w:hideMark/>
          </w:tcPr>
          <w:p w14:paraId="3470614E"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1788.0</w:t>
            </w:r>
          </w:p>
        </w:tc>
        <w:tc>
          <w:tcPr>
            <w:tcW w:w="828" w:type="dxa"/>
            <w:tcBorders>
              <w:top w:val="single" w:sz="4" w:space="0" w:color="auto"/>
              <w:bottom w:val="single" w:sz="4" w:space="0" w:color="auto"/>
            </w:tcBorders>
            <w:shd w:val="clear" w:color="auto" w:fill="FFFFFF" w:themeFill="background1"/>
            <w:vAlign w:val="center"/>
            <w:hideMark/>
          </w:tcPr>
          <w:p w14:paraId="5651C081"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1926.0</w:t>
            </w:r>
          </w:p>
        </w:tc>
        <w:tc>
          <w:tcPr>
            <w:tcW w:w="811" w:type="dxa"/>
            <w:tcBorders>
              <w:top w:val="single" w:sz="4" w:space="0" w:color="auto"/>
              <w:bottom w:val="single" w:sz="4" w:space="0" w:color="auto"/>
            </w:tcBorders>
            <w:shd w:val="clear" w:color="auto" w:fill="FFFFFF" w:themeFill="background1"/>
            <w:noWrap/>
            <w:vAlign w:val="center"/>
            <w:hideMark/>
          </w:tcPr>
          <w:p w14:paraId="19530688"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1862.2</w:t>
            </w:r>
          </w:p>
        </w:tc>
        <w:tc>
          <w:tcPr>
            <w:tcW w:w="826" w:type="dxa"/>
            <w:tcBorders>
              <w:top w:val="single" w:sz="4" w:space="0" w:color="auto"/>
              <w:bottom w:val="single" w:sz="4" w:space="0" w:color="auto"/>
            </w:tcBorders>
            <w:shd w:val="clear" w:color="auto" w:fill="FFFFFF" w:themeFill="background1"/>
            <w:vAlign w:val="center"/>
            <w:hideMark/>
          </w:tcPr>
          <w:p w14:paraId="212E57F0"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2224.8</w:t>
            </w:r>
          </w:p>
        </w:tc>
        <w:tc>
          <w:tcPr>
            <w:tcW w:w="860" w:type="dxa"/>
            <w:tcBorders>
              <w:top w:val="single" w:sz="4" w:space="0" w:color="auto"/>
              <w:bottom w:val="single" w:sz="4" w:space="0" w:color="auto"/>
            </w:tcBorders>
            <w:shd w:val="clear" w:color="auto" w:fill="FFFFFF" w:themeFill="background1"/>
            <w:noWrap/>
            <w:vAlign w:val="center"/>
            <w:hideMark/>
          </w:tcPr>
          <w:p w14:paraId="09F06570"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2038.3</w:t>
            </w:r>
          </w:p>
        </w:tc>
        <w:tc>
          <w:tcPr>
            <w:tcW w:w="750" w:type="dxa"/>
            <w:tcBorders>
              <w:top w:val="single" w:sz="4" w:space="0" w:color="auto"/>
              <w:bottom w:val="single" w:sz="4" w:space="0" w:color="auto"/>
            </w:tcBorders>
            <w:shd w:val="clear" w:color="auto" w:fill="FFFFFF" w:themeFill="background1"/>
            <w:vAlign w:val="center"/>
            <w:hideMark/>
          </w:tcPr>
          <w:p w14:paraId="66702598"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w:t>
            </w:r>
          </w:p>
        </w:tc>
        <w:tc>
          <w:tcPr>
            <w:tcW w:w="243" w:type="dxa"/>
            <w:tcBorders>
              <w:top w:val="single" w:sz="4" w:space="0" w:color="auto"/>
              <w:bottom w:val="single" w:sz="4" w:space="0" w:color="auto"/>
            </w:tcBorders>
            <w:shd w:val="clear" w:color="auto" w:fill="FFFFFF" w:themeFill="background1"/>
            <w:noWrap/>
            <w:vAlign w:val="center"/>
            <w:hideMark/>
          </w:tcPr>
          <w:p w14:paraId="775F22FD"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2439.2</w:t>
            </w:r>
          </w:p>
        </w:tc>
      </w:tr>
      <w:tr w:rsidR="00730639" w:rsidRPr="00367064" w14:paraId="1BEC5C27" w14:textId="77777777" w:rsidTr="00367064">
        <w:trPr>
          <w:trHeight w:val="315"/>
        </w:trPr>
        <w:tc>
          <w:tcPr>
            <w:tcW w:w="3551" w:type="dxa"/>
            <w:gridSpan w:val="2"/>
            <w:tcBorders>
              <w:top w:val="single" w:sz="4" w:space="0" w:color="auto"/>
              <w:bottom w:val="single" w:sz="4" w:space="0" w:color="auto"/>
            </w:tcBorders>
            <w:shd w:val="clear" w:color="auto" w:fill="FFFFFF" w:themeFill="background1"/>
            <w:vAlign w:val="center"/>
            <w:hideMark/>
          </w:tcPr>
          <w:p w14:paraId="5E2948F1"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Կառավարության պարտք/ՀՆԱ, %</w:t>
            </w:r>
          </w:p>
        </w:tc>
        <w:tc>
          <w:tcPr>
            <w:tcW w:w="1581" w:type="dxa"/>
            <w:gridSpan w:val="2"/>
            <w:tcBorders>
              <w:top w:val="single" w:sz="4" w:space="0" w:color="auto"/>
              <w:bottom w:val="single" w:sz="4" w:space="0" w:color="auto"/>
            </w:tcBorders>
            <w:shd w:val="clear" w:color="auto" w:fill="FFFFFF" w:themeFill="background1"/>
            <w:vAlign w:val="center"/>
            <w:hideMark/>
          </w:tcPr>
          <w:p w14:paraId="70E01BB7"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60.3</w:t>
            </w:r>
          </w:p>
        </w:tc>
        <w:tc>
          <w:tcPr>
            <w:tcW w:w="1639" w:type="dxa"/>
            <w:gridSpan w:val="2"/>
            <w:tcBorders>
              <w:top w:val="single" w:sz="4" w:space="0" w:color="auto"/>
              <w:bottom w:val="single" w:sz="4" w:space="0" w:color="auto"/>
            </w:tcBorders>
            <w:shd w:val="clear" w:color="auto" w:fill="FFFFFF" w:themeFill="background1"/>
            <w:noWrap/>
            <w:vAlign w:val="center"/>
            <w:hideMark/>
          </w:tcPr>
          <w:p w14:paraId="60943756"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46.7</w:t>
            </w:r>
          </w:p>
        </w:tc>
        <w:tc>
          <w:tcPr>
            <w:tcW w:w="1686" w:type="dxa"/>
            <w:gridSpan w:val="2"/>
            <w:tcBorders>
              <w:top w:val="single" w:sz="4" w:space="0" w:color="auto"/>
              <w:bottom w:val="single" w:sz="4" w:space="0" w:color="auto"/>
            </w:tcBorders>
            <w:shd w:val="clear" w:color="auto" w:fill="FFFFFF" w:themeFill="background1"/>
            <w:noWrap/>
            <w:vAlign w:val="center"/>
            <w:hideMark/>
          </w:tcPr>
          <w:p w14:paraId="311BC1D3"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47.0</w:t>
            </w:r>
          </w:p>
        </w:tc>
        <w:tc>
          <w:tcPr>
            <w:tcW w:w="993" w:type="dxa"/>
            <w:gridSpan w:val="2"/>
            <w:tcBorders>
              <w:top w:val="single" w:sz="4" w:space="0" w:color="auto"/>
              <w:bottom w:val="single" w:sz="4" w:space="0" w:color="auto"/>
            </w:tcBorders>
            <w:shd w:val="clear" w:color="auto" w:fill="FFFFFF" w:themeFill="background1"/>
            <w:noWrap/>
            <w:vAlign w:val="center"/>
            <w:hideMark/>
          </w:tcPr>
          <w:p w14:paraId="10E77E7E" w14:textId="77777777" w:rsidR="00730639" w:rsidRPr="00367064" w:rsidRDefault="00730639" w:rsidP="00D656FB">
            <w:pPr>
              <w:spacing w:before="0" w:line="240" w:lineRule="auto"/>
              <w:jc w:val="center"/>
              <w:rPr>
                <w:rFonts w:cs="Calibri"/>
                <w:b w:val="0"/>
                <w:sz w:val="20"/>
                <w:szCs w:val="20"/>
                <w:lang w:val="en-US" w:eastAsia="en-US"/>
              </w:rPr>
            </w:pPr>
            <w:r w:rsidRPr="00367064">
              <w:rPr>
                <w:rFonts w:cs="Calibri"/>
                <w:b w:val="0"/>
                <w:sz w:val="20"/>
                <w:szCs w:val="20"/>
                <w:lang w:val="en-US" w:eastAsia="en-US"/>
              </w:rPr>
              <w:t>48.3</w:t>
            </w:r>
          </w:p>
        </w:tc>
      </w:tr>
    </w:tbl>
    <w:p w14:paraId="5597F65E" w14:textId="77777777" w:rsidR="00730639" w:rsidRPr="00367064" w:rsidRDefault="00730639" w:rsidP="00730639">
      <w:pPr>
        <w:spacing w:before="0" w:line="240" w:lineRule="auto"/>
        <w:ind w:left="284"/>
        <w:jc w:val="left"/>
        <w:rPr>
          <w:rFonts w:eastAsia="Calibri"/>
          <w:b w:val="0"/>
          <w:i/>
          <w:sz w:val="20"/>
          <w:szCs w:val="20"/>
          <w:lang w:val="hy-AM" w:eastAsia="en-US"/>
        </w:rPr>
      </w:pPr>
    </w:p>
    <w:p w14:paraId="41D368D0" w14:textId="77777777" w:rsidR="00730639" w:rsidRPr="00654AEF" w:rsidRDefault="00730639" w:rsidP="00730639">
      <w:pPr>
        <w:spacing w:before="0" w:line="240" w:lineRule="auto"/>
        <w:ind w:left="284"/>
        <w:jc w:val="left"/>
        <w:rPr>
          <w:rFonts w:eastAsia="Calibri"/>
          <w:i/>
          <w:sz w:val="20"/>
          <w:szCs w:val="20"/>
          <w:lang w:val="hy-AM" w:eastAsia="en-US"/>
        </w:rPr>
      </w:pPr>
      <w:r w:rsidRPr="00654AEF">
        <w:rPr>
          <w:rFonts w:eastAsia="Calibri"/>
          <w:b w:val="0"/>
          <w:i/>
          <w:sz w:val="20"/>
          <w:szCs w:val="20"/>
          <w:lang w:val="hy-AM" w:eastAsia="en-US"/>
        </w:rPr>
        <w:t>*Հաշվարկված է որպես երկու տարի առաջ (t-2) արձանագրված ցուցանիշի նկատմամբ համապատասխան տարվա (t) հավելաճի տեմպի կես</w:t>
      </w:r>
    </w:p>
    <w:p w14:paraId="6668C648" w14:textId="77777777" w:rsidR="00730639" w:rsidRPr="00654AEF" w:rsidRDefault="00730639" w:rsidP="00730639">
      <w:pPr>
        <w:spacing w:before="0" w:line="240" w:lineRule="auto"/>
        <w:ind w:left="284"/>
        <w:jc w:val="left"/>
        <w:rPr>
          <w:rFonts w:eastAsia="Calibri"/>
          <w:b w:val="0"/>
          <w:i/>
          <w:sz w:val="20"/>
          <w:szCs w:val="20"/>
          <w:lang w:val="hy-AM" w:eastAsia="en-US"/>
        </w:rPr>
      </w:pPr>
      <w:r w:rsidRPr="00654AEF">
        <w:rPr>
          <w:rFonts w:eastAsia="Calibri"/>
          <w:b w:val="0"/>
          <w:i/>
          <w:sz w:val="20"/>
          <w:szCs w:val="20"/>
          <w:lang w:val="hy-AM" w:eastAsia="en-US"/>
        </w:rPr>
        <w:t>**Պետական պարտքի առկա չափի դեպքում կիրառելի չէ</w:t>
      </w:r>
    </w:p>
    <w:p w14:paraId="5C8BA660" w14:textId="16E10524" w:rsidR="00730639" w:rsidRDefault="00730639" w:rsidP="00730639">
      <w:pPr>
        <w:spacing w:before="0" w:line="240" w:lineRule="auto"/>
        <w:ind w:left="284"/>
        <w:jc w:val="left"/>
        <w:rPr>
          <w:rFonts w:eastAsia="Calibri"/>
          <w:sz w:val="20"/>
          <w:szCs w:val="20"/>
          <w:lang w:val="hy-AM" w:eastAsia="en-US"/>
        </w:rPr>
      </w:pPr>
    </w:p>
    <w:p w14:paraId="518EE4AF" w14:textId="3F7DBCBB" w:rsidR="00367064" w:rsidRDefault="00367064" w:rsidP="00730639">
      <w:pPr>
        <w:spacing w:before="0" w:line="240" w:lineRule="auto"/>
        <w:ind w:left="284"/>
        <w:jc w:val="left"/>
        <w:rPr>
          <w:rFonts w:eastAsia="Calibri"/>
          <w:sz w:val="20"/>
          <w:szCs w:val="20"/>
          <w:lang w:val="hy-AM" w:eastAsia="en-US"/>
        </w:rPr>
      </w:pPr>
    </w:p>
    <w:p w14:paraId="55BE1BD0" w14:textId="793DD825" w:rsidR="00C46141" w:rsidRDefault="00C46141" w:rsidP="00730639">
      <w:pPr>
        <w:spacing w:before="0" w:line="240" w:lineRule="auto"/>
        <w:ind w:left="284"/>
        <w:jc w:val="left"/>
        <w:rPr>
          <w:rFonts w:eastAsia="Calibri"/>
          <w:sz w:val="20"/>
          <w:szCs w:val="20"/>
          <w:lang w:val="hy-AM" w:eastAsia="en-US"/>
        </w:rPr>
      </w:pPr>
    </w:p>
    <w:p w14:paraId="5499FE9F" w14:textId="32CA0B47" w:rsidR="00C46141" w:rsidRDefault="00C46141" w:rsidP="00730639">
      <w:pPr>
        <w:spacing w:before="0" w:line="240" w:lineRule="auto"/>
        <w:ind w:left="284"/>
        <w:jc w:val="left"/>
        <w:rPr>
          <w:rFonts w:eastAsia="Calibri"/>
          <w:sz w:val="20"/>
          <w:szCs w:val="20"/>
          <w:lang w:val="hy-AM" w:eastAsia="en-US"/>
        </w:rPr>
      </w:pPr>
    </w:p>
    <w:p w14:paraId="0C1F83C1" w14:textId="77777777" w:rsidR="00C46141" w:rsidRPr="00654AEF" w:rsidRDefault="00C46141" w:rsidP="00730639">
      <w:pPr>
        <w:spacing w:before="0" w:line="240" w:lineRule="auto"/>
        <w:ind w:left="284"/>
        <w:jc w:val="left"/>
        <w:rPr>
          <w:rFonts w:eastAsia="Calibri"/>
          <w:sz w:val="20"/>
          <w:szCs w:val="20"/>
          <w:lang w:val="hy-AM" w:eastAsia="en-US"/>
        </w:rPr>
      </w:pPr>
    </w:p>
    <w:p w14:paraId="747A9221" w14:textId="77777777" w:rsidR="00730639" w:rsidRPr="003B373F" w:rsidRDefault="00730639" w:rsidP="00730639">
      <w:pPr>
        <w:spacing w:before="0" w:line="240" w:lineRule="auto"/>
        <w:ind w:left="284"/>
        <w:jc w:val="left"/>
        <w:rPr>
          <w:rFonts w:eastAsia="Calibri"/>
          <w:sz w:val="20"/>
          <w:szCs w:val="20"/>
          <w:lang w:val="hy-AM" w:eastAsia="en-US"/>
        </w:rPr>
      </w:pPr>
    </w:p>
    <w:p w14:paraId="1D44F35A" w14:textId="77777777" w:rsidR="00730639" w:rsidRPr="009C0E1E" w:rsidRDefault="00730639" w:rsidP="00730639">
      <w:pPr>
        <w:keepNext/>
        <w:keepLines/>
        <w:spacing w:before="0"/>
        <w:ind w:firstLine="284"/>
        <w:outlineLvl w:val="2"/>
        <w:rPr>
          <w:rFonts w:eastAsiaTheme="majorEastAsia" w:cstheme="majorBidi"/>
          <w:bCs/>
          <w:color w:val="1F497D" w:themeColor="text2"/>
          <w:sz w:val="24"/>
          <w:lang w:val="hy-AM" w:eastAsia="en-US"/>
        </w:rPr>
      </w:pPr>
      <w:bookmarkStart w:id="172" w:name="_Toc152228531"/>
      <w:bookmarkStart w:id="173" w:name="_Toc153184473"/>
      <w:r w:rsidRPr="009C0E1E">
        <w:rPr>
          <w:rFonts w:eastAsiaTheme="majorEastAsia" w:cstheme="majorBidi"/>
          <w:bCs/>
          <w:color w:val="1F497D" w:themeColor="text2"/>
          <w:sz w:val="24"/>
          <w:lang w:val="hy-AM" w:eastAsia="en-US"/>
        </w:rPr>
        <w:lastRenderedPageBreak/>
        <w:t>2.5. ՊԵՏԱԿԱՆ ԲՅՈՒՋԵԻ ՑՈՒՑԱՆԻՇՆԵՐԻ ԿԱՆԽԱՏԵՍՈՒՄՆԵՐԻ ՀԱՄԵՄԱՏԱԿԱՆ ԱՂՅՈՒՍԱԿՆԵՐ</w:t>
      </w:r>
      <w:bookmarkEnd w:id="166"/>
      <w:bookmarkEnd w:id="167"/>
      <w:bookmarkEnd w:id="168"/>
      <w:bookmarkEnd w:id="169"/>
      <w:bookmarkEnd w:id="170"/>
      <w:bookmarkEnd w:id="171"/>
      <w:bookmarkEnd w:id="172"/>
      <w:bookmarkEnd w:id="173"/>
    </w:p>
    <w:p w14:paraId="793884CE" w14:textId="77777777" w:rsidR="00730639" w:rsidRPr="00D178DD" w:rsidRDefault="00730639" w:rsidP="00730639">
      <w:pPr>
        <w:rPr>
          <w:lang w:val="hy-AM" w:eastAsia="en-US"/>
        </w:rPr>
      </w:pPr>
    </w:p>
    <w:p w14:paraId="084BCD1F" w14:textId="77777777" w:rsidR="00730639" w:rsidRPr="00A83C94" w:rsidRDefault="00730639" w:rsidP="00730639">
      <w:pPr>
        <w:rPr>
          <w:lang w:val="hy-AM" w:eastAsia="en-US"/>
        </w:rPr>
      </w:pPr>
    </w:p>
    <w:p w14:paraId="5F08E285" w14:textId="77777777" w:rsidR="00730639" w:rsidRDefault="00730639" w:rsidP="00730639">
      <w:pPr>
        <w:spacing w:before="0"/>
        <w:rPr>
          <w:rFonts w:eastAsia="Calibri" w:cs="Sylfaen"/>
          <w:b w:val="0"/>
          <w:bCs/>
          <w:i/>
          <w:iCs/>
          <w:color w:val="000000"/>
          <w:sz w:val="20"/>
          <w:szCs w:val="20"/>
          <w:lang w:val="hy-AM" w:eastAsia="en-US"/>
        </w:rPr>
      </w:pPr>
      <w:r w:rsidRPr="00654AEF">
        <w:rPr>
          <w:rFonts w:eastAsia="Calibri"/>
          <w:bCs/>
          <w:i/>
          <w:iCs/>
          <w:color w:val="000000"/>
          <w:szCs w:val="22"/>
          <w:lang w:val="hy-AM" w:eastAsia="en-US"/>
        </w:rPr>
        <w:t xml:space="preserve">Աղյուսակ 2.5.1. </w:t>
      </w:r>
      <w:r w:rsidRPr="00654AEF">
        <w:rPr>
          <w:rFonts w:eastAsia="Calibri" w:cs="Sylfaen"/>
          <w:b w:val="0"/>
          <w:bCs/>
          <w:i/>
          <w:iCs/>
          <w:color w:val="000000"/>
          <w:sz w:val="20"/>
          <w:szCs w:val="20"/>
          <w:lang w:val="hy-AM" w:eastAsia="en-US"/>
        </w:rPr>
        <w:t>Պետական բյուջեի եկամուտների կանխատեսումների համեմատական աղյուսակը (մլրդ դրամ)</w:t>
      </w:r>
    </w:p>
    <w:p w14:paraId="72E6F45C" w14:textId="77777777" w:rsidR="00730639" w:rsidRPr="00654AEF" w:rsidRDefault="00730639" w:rsidP="00730639">
      <w:pPr>
        <w:spacing w:before="0"/>
        <w:rPr>
          <w:rFonts w:eastAsia="Calibri" w:cs="Sylfaen"/>
          <w:b w:val="0"/>
          <w:bCs/>
          <w:i/>
          <w:iCs/>
          <w:color w:val="000000"/>
          <w:sz w:val="20"/>
          <w:szCs w:val="20"/>
          <w:lang w:val="hy-AM" w:eastAsia="en-US"/>
        </w:rPr>
      </w:pPr>
    </w:p>
    <w:p w14:paraId="21396AC7" w14:textId="77777777" w:rsidR="00730639" w:rsidRPr="00654AEF" w:rsidRDefault="00730639" w:rsidP="00730639">
      <w:pPr>
        <w:spacing w:before="0"/>
        <w:ind w:left="360" w:hanging="360"/>
        <w:rPr>
          <w:rFonts w:eastAsia="Calibri"/>
          <w:bCs/>
          <w:i/>
          <w:iCs/>
          <w:color w:val="000000"/>
          <w:sz w:val="20"/>
          <w:szCs w:val="20"/>
          <w:lang w:val="hy-AM" w:eastAsia="en-US"/>
        </w:rPr>
      </w:pPr>
      <w:r>
        <w:rPr>
          <w:rFonts w:eastAsia="Calibri"/>
          <w:bCs/>
          <w:i/>
          <w:iCs/>
          <w:color w:val="000000"/>
          <w:sz w:val="20"/>
          <w:szCs w:val="20"/>
          <w:lang w:val="hy-AM" w:eastAsia="en-US"/>
        </w:rPr>
        <w:t xml:space="preserve"> </w:t>
      </w:r>
    </w:p>
    <w:tbl>
      <w:tblPr>
        <w:tblW w:w="8240" w:type="dxa"/>
        <w:tblBorders>
          <w:top w:val="single" w:sz="4" w:space="0" w:color="auto"/>
          <w:bottom w:val="single" w:sz="4" w:space="0" w:color="auto"/>
          <w:insideH w:val="single" w:sz="4" w:space="0" w:color="auto"/>
        </w:tblBorders>
        <w:shd w:val="clear" w:color="auto" w:fill="FFFFFF" w:themeFill="background1"/>
        <w:tblLook w:val="04A0" w:firstRow="1" w:lastRow="0" w:firstColumn="1" w:lastColumn="0" w:noHBand="0" w:noVBand="1"/>
      </w:tblPr>
      <w:tblGrid>
        <w:gridCol w:w="1280"/>
        <w:gridCol w:w="3340"/>
        <w:gridCol w:w="1120"/>
        <w:gridCol w:w="1240"/>
        <w:gridCol w:w="1260"/>
      </w:tblGrid>
      <w:tr w:rsidR="00730639" w:rsidRPr="00CE47BF" w14:paraId="0AF279E9" w14:textId="77777777" w:rsidTr="00D656FB">
        <w:trPr>
          <w:trHeight w:val="675"/>
        </w:trPr>
        <w:tc>
          <w:tcPr>
            <w:tcW w:w="1280" w:type="dxa"/>
            <w:shd w:val="clear" w:color="auto" w:fill="FFFFFF" w:themeFill="background1"/>
            <w:vAlign w:val="center"/>
            <w:hideMark/>
          </w:tcPr>
          <w:p w14:paraId="32C229CA"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Ընդունման տարին</w:t>
            </w:r>
          </w:p>
        </w:tc>
        <w:tc>
          <w:tcPr>
            <w:tcW w:w="3340" w:type="dxa"/>
            <w:shd w:val="clear" w:color="auto" w:fill="FFFFFF" w:themeFill="background1"/>
            <w:vAlign w:val="center"/>
            <w:hideMark/>
          </w:tcPr>
          <w:p w14:paraId="5DC9E786"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Ծրագիր</w:t>
            </w:r>
          </w:p>
        </w:tc>
        <w:tc>
          <w:tcPr>
            <w:tcW w:w="1120" w:type="dxa"/>
            <w:shd w:val="clear" w:color="auto" w:fill="FFFFFF" w:themeFill="background1"/>
            <w:vAlign w:val="center"/>
            <w:hideMark/>
          </w:tcPr>
          <w:p w14:paraId="25C3E1EA"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2022</w:t>
            </w:r>
          </w:p>
        </w:tc>
        <w:tc>
          <w:tcPr>
            <w:tcW w:w="1240" w:type="dxa"/>
            <w:shd w:val="clear" w:color="auto" w:fill="FFFFFF" w:themeFill="background1"/>
            <w:vAlign w:val="center"/>
            <w:hideMark/>
          </w:tcPr>
          <w:p w14:paraId="66BE8680"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2023</w:t>
            </w:r>
          </w:p>
        </w:tc>
        <w:tc>
          <w:tcPr>
            <w:tcW w:w="1260" w:type="dxa"/>
            <w:shd w:val="clear" w:color="auto" w:fill="FFFFFF" w:themeFill="background1"/>
            <w:vAlign w:val="center"/>
            <w:hideMark/>
          </w:tcPr>
          <w:p w14:paraId="363ADB0E"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2024</w:t>
            </w:r>
          </w:p>
        </w:tc>
      </w:tr>
      <w:tr w:rsidR="00730639" w:rsidRPr="00CE47BF" w14:paraId="1FCD61C2" w14:textId="77777777" w:rsidTr="00D656FB">
        <w:trPr>
          <w:trHeight w:val="345"/>
        </w:trPr>
        <w:tc>
          <w:tcPr>
            <w:tcW w:w="1280" w:type="dxa"/>
            <w:vMerge w:val="restart"/>
            <w:shd w:val="clear" w:color="auto" w:fill="FFFFFF" w:themeFill="background1"/>
            <w:vAlign w:val="center"/>
            <w:hideMark/>
          </w:tcPr>
          <w:p w14:paraId="133BA09C"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w:t>
            </w:r>
          </w:p>
        </w:tc>
        <w:tc>
          <w:tcPr>
            <w:tcW w:w="3340" w:type="dxa"/>
            <w:shd w:val="clear" w:color="auto" w:fill="FFFFFF" w:themeFill="background1"/>
            <w:noWrap/>
            <w:vAlign w:val="center"/>
            <w:hideMark/>
          </w:tcPr>
          <w:p w14:paraId="718D46A7" w14:textId="77777777" w:rsidR="00730639" w:rsidRPr="00CE47BF" w:rsidRDefault="00730639" w:rsidP="00D656FB">
            <w:pPr>
              <w:spacing w:before="0" w:line="240" w:lineRule="auto"/>
              <w:rPr>
                <w:rFonts w:cs="Calibri"/>
                <w:b w:val="0"/>
                <w:sz w:val="20"/>
                <w:szCs w:val="20"/>
                <w:lang w:val="en-US" w:eastAsia="en-US"/>
              </w:rPr>
            </w:pPr>
            <w:r w:rsidRPr="00CE47BF">
              <w:rPr>
                <w:rFonts w:cs="Calibri"/>
                <w:b w:val="0"/>
                <w:sz w:val="20"/>
                <w:szCs w:val="20"/>
                <w:lang w:val="en-US" w:eastAsia="en-US"/>
              </w:rPr>
              <w:t>Փաստացի</w:t>
            </w:r>
          </w:p>
        </w:tc>
        <w:tc>
          <w:tcPr>
            <w:tcW w:w="1120" w:type="dxa"/>
            <w:shd w:val="clear" w:color="auto" w:fill="FFFFFF" w:themeFill="background1"/>
            <w:vAlign w:val="center"/>
            <w:hideMark/>
          </w:tcPr>
          <w:p w14:paraId="53DC6788"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2,063.1</w:t>
            </w:r>
          </w:p>
        </w:tc>
        <w:tc>
          <w:tcPr>
            <w:tcW w:w="1240" w:type="dxa"/>
            <w:shd w:val="clear" w:color="auto" w:fill="FFFFFF" w:themeFill="background1"/>
            <w:noWrap/>
            <w:vAlign w:val="center"/>
            <w:hideMark/>
          </w:tcPr>
          <w:p w14:paraId="497CB7C7"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260" w:type="dxa"/>
            <w:shd w:val="clear" w:color="auto" w:fill="FFFFFF" w:themeFill="background1"/>
            <w:noWrap/>
            <w:vAlign w:val="center"/>
            <w:hideMark/>
          </w:tcPr>
          <w:p w14:paraId="50A3324C"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038586BE" w14:textId="77777777" w:rsidTr="00D656FB">
        <w:trPr>
          <w:trHeight w:val="345"/>
        </w:trPr>
        <w:tc>
          <w:tcPr>
            <w:tcW w:w="1280" w:type="dxa"/>
            <w:vMerge/>
            <w:shd w:val="clear" w:color="auto" w:fill="FFFFFF" w:themeFill="background1"/>
            <w:vAlign w:val="center"/>
            <w:hideMark/>
          </w:tcPr>
          <w:p w14:paraId="252C0248"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24603D7A"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1B234970"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24.27%</w:t>
            </w:r>
          </w:p>
        </w:tc>
        <w:tc>
          <w:tcPr>
            <w:tcW w:w="1240" w:type="dxa"/>
            <w:shd w:val="clear" w:color="auto" w:fill="FFFFFF" w:themeFill="background1"/>
            <w:noWrap/>
            <w:vAlign w:val="center"/>
            <w:hideMark/>
          </w:tcPr>
          <w:p w14:paraId="33C5188B"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260" w:type="dxa"/>
            <w:shd w:val="clear" w:color="auto" w:fill="FFFFFF" w:themeFill="background1"/>
            <w:noWrap/>
            <w:vAlign w:val="center"/>
            <w:hideMark/>
          </w:tcPr>
          <w:p w14:paraId="2B4B5195"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64BE00C2" w14:textId="77777777" w:rsidTr="00D656FB">
        <w:trPr>
          <w:trHeight w:val="345"/>
        </w:trPr>
        <w:tc>
          <w:tcPr>
            <w:tcW w:w="1280" w:type="dxa"/>
            <w:vMerge w:val="restart"/>
            <w:shd w:val="clear" w:color="auto" w:fill="FFFFFF" w:themeFill="background1"/>
            <w:vAlign w:val="center"/>
            <w:hideMark/>
          </w:tcPr>
          <w:p w14:paraId="348ED0AF"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2021</w:t>
            </w:r>
          </w:p>
        </w:tc>
        <w:tc>
          <w:tcPr>
            <w:tcW w:w="3340" w:type="dxa"/>
            <w:shd w:val="clear" w:color="auto" w:fill="FFFFFF" w:themeFill="background1"/>
            <w:noWrap/>
            <w:vAlign w:val="center"/>
            <w:hideMark/>
          </w:tcPr>
          <w:p w14:paraId="65E8A31D"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 xml:space="preserve"> ՄԺԾԾ 2022-2024</w:t>
            </w:r>
          </w:p>
        </w:tc>
        <w:tc>
          <w:tcPr>
            <w:tcW w:w="1120" w:type="dxa"/>
            <w:shd w:val="clear" w:color="auto" w:fill="FFFFFF" w:themeFill="background1"/>
            <w:vAlign w:val="center"/>
            <w:hideMark/>
          </w:tcPr>
          <w:p w14:paraId="28C66BB3"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1,819.2</w:t>
            </w:r>
          </w:p>
        </w:tc>
        <w:tc>
          <w:tcPr>
            <w:tcW w:w="1240" w:type="dxa"/>
            <w:shd w:val="clear" w:color="auto" w:fill="FFFFFF" w:themeFill="background1"/>
            <w:vAlign w:val="center"/>
            <w:hideMark/>
          </w:tcPr>
          <w:p w14:paraId="5F1E7589"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1,966.7</w:t>
            </w:r>
          </w:p>
        </w:tc>
        <w:tc>
          <w:tcPr>
            <w:tcW w:w="1260" w:type="dxa"/>
            <w:shd w:val="clear" w:color="auto" w:fill="FFFFFF" w:themeFill="background1"/>
            <w:vAlign w:val="center"/>
            <w:hideMark/>
          </w:tcPr>
          <w:p w14:paraId="2E8FFBDC"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2,148.3</w:t>
            </w:r>
          </w:p>
        </w:tc>
      </w:tr>
      <w:tr w:rsidR="00730639" w:rsidRPr="00CE47BF" w14:paraId="2C4EA24B" w14:textId="77777777" w:rsidTr="00D656FB">
        <w:trPr>
          <w:trHeight w:val="345"/>
        </w:trPr>
        <w:tc>
          <w:tcPr>
            <w:tcW w:w="1280" w:type="dxa"/>
            <w:vMerge/>
            <w:shd w:val="clear" w:color="auto" w:fill="FFFFFF" w:themeFill="background1"/>
            <w:vAlign w:val="center"/>
            <w:hideMark/>
          </w:tcPr>
          <w:p w14:paraId="68300A82"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16101CFB"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334976A"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24.00%</w:t>
            </w:r>
          </w:p>
        </w:tc>
        <w:tc>
          <w:tcPr>
            <w:tcW w:w="1240" w:type="dxa"/>
            <w:shd w:val="clear" w:color="auto" w:fill="FFFFFF" w:themeFill="background1"/>
            <w:vAlign w:val="center"/>
            <w:hideMark/>
          </w:tcPr>
          <w:p w14:paraId="13A162E6"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24.10%</w:t>
            </w:r>
          </w:p>
        </w:tc>
        <w:tc>
          <w:tcPr>
            <w:tcW w:w="1260" w:type="dxa"/>
            <w:shd w:val="clear" w:color="auto" w:fill="FFFFFF" w:themeFill="background1"/>
            <w:vAlign w:val="center"/>
            <w:hideMark/>
          </w:tcPr>
          <w:p w14:paraId="315BDD89"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24.30%</w:t>
            </w:r>
          </w:p>
        </w:tc>
      </w:tr>
      <w:tr w:rsidR="00730639" w:rsidRPr="00CE47BF" w14:paraId="7F2D2055" w14:textId="77777777" w:rsidTr="00D656FB">
        <w:trPr>
          <w:trHeight w:val="345"/>
        </w:trPr>
        <w:tc>
          <w:tcPr>
            <w:tcW w:w="1280" w:type="dxa"/>
            <w:vMerge/>
            <w:shd w:val="clear" w:color="auto" w:fill="FFFFFF" w:themeFill="background1"/>
            <w:vAlign w:val="center"/>
            <w:hideMark/>
          </w:tcPr>
          <w:p w14:paraId="5FB4E2B3"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3969C37F"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2022թ. Պետական բյուջե</w:t>
            </w:r>
          </w:p>
        </w:tc>
        <w:tc>
          <w:tcPr>
            <w:tcW w:w="1120" w:type="dxa"/>
            <w:shd w:val="clear" w:color="auto" w:fill="FFFFFF" w:themeFill="background1"/>
            <w:vAlign w:val="center"/>
            <w:hideMark/>
          </w:tcPr>
          <w:p w14:paraId="297DAA24"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1,947.8</w:t>
            </w:r>
          </w:p>
        </w:tc>
        <w:tc>
          <w:tcPr>
            <w:tcW w:w="1240" w:type="dxa"/>
            <w:shd w:val="clear" w:color="auto" w:fill="FFFFFF" w:themeFill="background1"/>
            <w:vAlign w:val="center"/>
            <w:hideMark/>
          </w:tcPr>
          <w:p w14:paraId="54F4FA19"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260" w:type="dxa"/>
            <w:shd w:val="clear" w:color="auto" w:fill="FFFFFF" w:themeFill="background1"/>
            <w:noWrap/>
            <w:vAlign w:val="center"/>
            <w:hideMark/>
          </w:tcPr>
          <w:p w14:paraId="552B74D0"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214A1155" w14:textId="77777777" w:rsidTr="00D656FB">
        <w:trPr>
          <w:trHeight w:val="345"/>
        </w:trPr>
        <w:tc>
          <w:tcPr>
            <w:tcW w:w="1280" w:type="dxa"/>
            <w:vMerge/>
            <w:shd w:val="clear" w:color="auto" w:fill="FFFFFF" w:themeFill="background1"/>
            <w:vAlign w:val="center"/>
            <w:hideMark/>
          </w:tcPr>
          <w:p w14:paraId="013E55BE"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4F6C0D0D"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7F3D79F2"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24.80%</w:t>
            </w:r>
          </w:p>
        </w:tc>
        <w:tc>
          <w:tcPr>
            <w:tcW w:w="1240" w:type="dxa"/>
            <w:shd w:val="clear" w:color="auto" w:fill="FFFFFF" w:themeFill="background1"/>
            <w:vAlign w:val="center"/>
            <w:hideMark/>
          </w:tcPr>
          <w:p w14:paraId="747C367E" w14:textId="77777777" w:rsidR="00730639" w:rsidRPr="00CE47BF" w:rsidRDefault="00730639" w:rsidP="00D656FB">
            <w:pPr>
              <w:spacing w:before="0" w:line="240" w:lineRule="auto"/>
              <w:jc w:val="right"/>
              <w:rPr>
                <w:rFonts w:ascii="Calibri" w:hAnsi="Calibri" w:cs="Calibri"/>
                <w:b w:val="0"/>
                <w:i/>
                <w:iCs/>
                <w:sz w:val="20"/>
                <w:szCs w:val="20"/>
                <w:lang w:val="en-US" w:eastAsia="en-US"/>
              </w:rPr>
            </w:pPr>
            <w:r w:rsidRPr="00CE47BF">
              <w:rPr>
                <w:rFonts w:ascii="Calibri" w:hAnsi="Calibri" w:cs="Calibri"/>
                <w:b w:val="0"/>
                <w:i/>
                <w:iCs/>
                <w:sz w:val="20"/>
                <w:szCs w:val="20"/>
                <w:lang w:val="en-US" w:eastAsia="en-US"/>
              </w:rPr>
              <w:t> </w:t>
            </w:r>
          </w:p>
        </w:tc>
        <w:tc>
          <w:tcPr>
            <w:tcW w:w="1260" w:type="dxa"/>
            <w:shd w:val="clear" w:color="auto" w:fill="FFFFFF" w:themeFill="background1"/>
            <w:noWrap/>
            <w:vAlign w:val="center"/>
            <w:hideMark/>
          </w:tcPr>
          <w:p w14:paraId="5C436A18" w14:textId="77777777" w:rsidR="00730639" w:rsidRPr="00CE47BF" w:rsidRDefault="00730639" w:rsidP="00D656FB">
            <w:pPr>
              <w:spacing w:before="0" w:line="240" w:lineRule="auto"/>
              <w:jc w:val="right"/>
              <w:rPr>
                <w:rFonts w:ascii="Calibri" w:hAnsi="Calibri" w:cs="Calibri"/>
                <w:b w:val="0"/>
                <w:i/>
                <w:iCs/>
                <w:sz w:val="20"/>
                <w:szCs w:val="20"/>
                <w:lang w:val="en-US" w:eastAsia="en-US"/>
              </w:rPr>
            </w:pPr>
            <w:r w:rsidRPr="00CE47BF">
              <w:rPr>
                <w:rFonts w:ascii="Calibri" w:hAnsi="Calibri" w:cs="Calibri"/>
                <w:b w:val="0"/>
                <w:i/>
                <w:iCs/>
                <w:sz w:val="20"/>
                <w:szCs w:val="20"/>
                <w:lang w:val="en-US" w:eastAsia="en-US"/>
              </w:rPr>
              <w:t> </w:t>
            </w:r>
          </w:p>
        </w:tc>
      </w:tr>
      <w:tr w:rsidR="00730639" w:rsidRPr="00CE47BF" w14:paraId="242E3565" w14:textId="77777777" w:rsidTr="00D656FB">
        <w:trPr>
          <w:trHeight w:val="345"/>
        </w:trPr>
        <w:tc>
          <w:tcPr>
            <w:tcW w:w="1280" w:type="dxa"/>
            <w:vMerge w:val="restart"/>
            <w:shd w:val="clear" w:color="auto" w:fill="FFFFFF" w:themeFill="background1"/>
            <w:vAlign w:val="center"/>
            <w:hideMark/>
          </w:tcPr>
          <w:p w14:paraId="3187B1F6"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2022</w:t>
            </w:r>
          </w:p>
        </w:tc>
        <w:tc>
          <w:tcPr>
            <w:tcW w:w="3340" w:type="dxa"/>
            <w:shd w:val="clear" w:color="auto" w:fill="FFFFFF" w:themeFill="background1"/>
            <w:noWrap/>
            <w:vAlign w:val="center"/>
            <w:hideMark/>
          </w:tcPr>
          <w:p w14:paraId="3DC2FA2B"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 xml:space="preserve"> ՄԺԾԾ 2023-2025</w:t>
            </w:r>
          </w:p>
        </w:tc>
        <w:tc>
          <w:tcPr>
            <w:tcW w:w="1120" w:type="dxa"/>
            <w:shd w:val="clear" w:color="auto" w:fill="FFFFFF" w:themeFill="background1"/>
            <w:vAlign w:val="center"/>
            <w:hideMark/>
          </w:tcPr>
          <w:p w14:paraId="7C040841"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2,020.9</w:t>
            </w:r>
          </w:p>
        </w:tc>
        <w:tc>
          <w:tcPr>
            <w:tcW w:w="1240" w:type="dxa"/>
            <w:shd w:val="clear" w:color="auto" w:fill="FFFFFF" w:themeFill="background1"/>
            <w:vAlign w:val="center"/>
            <w:hideMark/>
          </w:tcPr>
          <w:p w14:paraId="41BD8E23"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2,253.8</w:t>
            </w:r>
          </w:p>
        </w:tc>
        <w:tc>
          <w:tcPr>
            <w:tcW w:w="1260" w:type="dxa"/>
            <w:shd w:val="clear" w:color="auto" w:fill="FFFFFF" w:themeFill="background1"/>
            <w:vAlign w:val="center"/>
            <w:hideMark/>
          </w:tcPr>
          <w:p w14:paraId="2002BD8B"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2,537.6</w:t>
            </w:r>
          </w:p>
        </w:tc>
      </w:tr>
      <w:tr w:rsidR="00730639" w:rsidRPr="00CE47BF" w14:paraId="774B296A" w14:textId="77777777" w:rsidTr="00D656FB">
        <w:trPr>
          <w:trHeight w:val="345"/>
        </w:trPr>
        <w:tc>
          <w:tcPr>
            <w:tcW w:w="1280" w:type="dxa"/>
            <w:vMerge/>
            <w:shd w:val="clear" w:color="auto" w:fill="FFFFFF" w:themeFill="background1"/>
            <w:vAlign w:val="center"/>
            <w:hideMark/>
          </w:tcPr>
          <w:p w14:paraId="1BC32A80"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29423CEE"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6D28346D"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25.00%</w:t>
            </w:r>
          </w:p>
        </w:tc>
        <w:tc>
          <w:tcPr>
            <w:tcW w:w="1240" w:type="dxa"/>
            <w:shd w:val="clear" w:color="auto" w:fill="FFFFFF" w:themeFill="background1"/>
            <w:vAlign w:val="center"/>
            <w:hideMark/>
          </w:tcPr>
          <w:p w14:paraId="3A701BC1"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24.90%</w:t>
            </w:r>
          </w:p>
        </w:tc>
        <w:tc>
          <w:tcPr>
            <w:tcW w:w="1260" w:type="dxa"/>
            <w:shd w:val="clear" w:color="auto" w:fill="FFFFFF" w:themeFill="background1"/>
            <w:vAlign w:val="center"/>
            <w:hideMark/>
          </w:tcPr>
          <w:p w14:paraId="79E59327"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25.10%</w:t>
            </w:r>
          </w:p>
        </w:tc>
      </w:tr>
      <w:tr w:rsidR="00730639" w:rsidRPr="00CE47BF" w14:paraId="2B3EAC3B" w14:textId="77777777" w:rsidTr="00D656FB">
        <w:trPr>
          <w:trHeight w:val="345"/>
        </w:trPr>
        <w:tc>
          <w:tcPr>
            <w:tcW w:w="1280" w:type="dxa"/>
            <w:vMerge/>
            <w:shd w:val="clear" w:color="auto" w:fill="FFFFFF" w:themeFill="background1"/>
            <w:vAlign w:val="center"/>
            <w:hideMark/>
          </w:tcPr>
          <w:p w14:paraId="1980B73B"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7A01FF50"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2023թ. Պետական բյուջե</w:t>
            </w:r>
          </w:p>
        </w:tc>
        <w:tc>
          <w:tcPr>
            <w:tcW w:w="1120" w:type="dxa"/>
            <w:shd w:val="clear" w:color="auto" w:fill="FFFFFF" w:themeFill="background1"/>
            <w:vAlign w:val="center"/>
            <w:hideMark/>
          </w:tcPr>
          <w:p w14:paraId="39AC98B3"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2,042.5</w:t>
            </w:r>
          </w:p>
        </w:tc>
        <w:tc>
          <w:tcPr>
            <w:tcW w:w="1240" w:type="dxa"/>
            <w:shd w:val="clear" w:color="auto" w:fill="FFFFFF" w:themeFill="background1"/>
            <w:vAlign w:val="center"/>
            <w:hideMark/>
          </w:tcPr>
          <w:p w14:paraId="2D6ACF97"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2,302.0</w:t>
            </w:r>
          </w:p>
        </w:tc>
        <w:tc>
          <w:tcPr>
            <w:tcW w:w="1260" w:type="dxa"/>
            <w:shd w:val="clear" w:color="auto" w:fill="FFFFFF" w:themeFill="background1"/>
            <w:vAlign w:val="center"/>
            <w:hideMark/>
          </w:tcPr>
          <w:p w14:paraId="75AA8F0C" w14:textId="77777777" w:rsidR="00730639" w:rsidRPr="00CE47BF" w:rsidRDefault="00730639" w:rsidP="00D656FB">
            <w:pPr>
              <w:spacing w:before="0" w:line="240" w:lineRule="auto"/>
              <w:jc w:val="right"/>
              <w:rPr>
                <w:rFonts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63EB181B" w14:textId="77777777" w:rsidTr="00D656FB">
        <w:trPr>
          <w:trHeight w:val="345"/>
        </w:trPr>
        <w:tc>
          <w:tcPr>
            <w:tcW w:w="1280" w:type="dxa"/>
            <w:vMerge/>
            <w:shd w:val="clear" w:color="auto" w:fill="FFFFFF" w:themeFill="background1"/>
            <w:vAlign w:val="center"/>
            <w:hideMark/>
          </w:tcPr>
          <w:p w14:paraId="1E622A6D"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37026D04"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731D0EFD"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24.63%</w:t>
            </w:r>
          </w:p>
        </w:tc>
        <w:tc>
          <w:tcPr>
            <w:tcW w:w="1240" w:type="dxa"/>
            <w:shd w:val="clear" w:color="auto" w:fill="FFFFFF" w:themeFill="background1"/>
            <w:vAlign w:val="center"/>
            <w:hideMark/>
          </w:tcPr>
          <w:p w14:paraId="3CD4E643"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24.70%</w:t>
            </w:r>
          </w:p>
        </w:tc>
        <w:tc>
          <w:tcPr>
            <w:tcW w:w="1260" w:type="dxa"/>
            <w:shd w:val="clear" w:color="auto" w:fill="FFFFFF" w:themeFill="background1"/>
            <w:vAlign w:val="center"/>
            <w:hideMark/>
          </w:tcPr>
          <w:p w14:paraId="4E9276F9"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ascii="Calibri" w:hAnsi="Calibri" w:cs="Calibri"/>
                <w:b w:val="0"/>
                <w:i/>
                <w:iCs/>
                <w:sz w:val="20"/>
                <w:szCs w:val="20"/>
                <w:lang w:val="en-US" w:eastAsia="en-US"/>
              </w:rPr>
              <w:t> </w:t>
            </w:r>
          </w:p>
        </w:tc>
      </w:tr>
      <w:tr w:rsidR="00730639" w:rsidRPr="00CE47BF" w14:paraId="361AF842" w14:textId="77777777" w:rsidTr="00D656FB">
        <w:trPr>
          <w:trHeight w:val="345"/>
        </w:trPr>
        <w:tc>
          <w:tcPr>
            <w:tcW w:w="1280" w:type="dxa"/>
            <w:vMerge w:val="restart"/>
            <w:shd w:val="clear" w:color="auto" w:fill="FFFFFF" w:themeFill="background1"/>
            <w:vAlign w:val="center"/>
            <w:hideMark/>
          </w:tcPr>
          <w:p w14:paraId="4D08A1FE"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2023</w:t>
            </w:r>
          </w:p>
        </w:tc>
        <w:tc>
          <w:tcPr>
            <w:tcW w:w="3340" w:type="dxa"/>
            <w:shd w:val="clear" w:color="auto" w:fill="FFFFFF" w:themeFill="background1"/>
            <w:noWrap/>
            <w:vAlign w:val="center"/>
            <w:hideMark/>
          </w:tcPr>
          <w:p w14:paraId="5F3B7379"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 xml:space="preserve"> ՄԺԾԾ 2024-2026</w:t>
            </w:r>
          </w:p>
        </w:tc>
        <w:tc>
          <w:tcPr>
            <w:tcW w:w="1120" w:type="dxa"/>
            <w:shd w:val="clear" w:color="auto" w:fill="FFFFFF" w:themeFill="background1"/>
            <w:vAlign w:val="center"/>
            <w:hideMark/>
          </w:tcPr>
          <w:p w14:paraId="06C9DFDF"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240" w:type="dxa"/>
            <w:shd w:val="clear" w:color="auto" w:fill="FFFFFF" w:themeFill="background1"/>
            <w:vAlign w:val="center"/>
            <w:hideMark/>
          </w:tcPr>
          <w:p w14:paraId="099E2B9B"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2,333.7</w:t>
            </w:r>
          </w:p>
        </w:tc>
        <w:tc>
          <w:tcPr>
            <w:tcW w:w="1260" w:type="dxa"/>
            <w:shd w:val="clear" w:color="auto" w:fill="FFFFFF" w:themeFill="background1"/>
            <w:vAlign w:val="center"/>
            <w:hideMark/>
          </w:tcPr>
          <w:p w14:paraId="13FB98A0"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2,664.2</w:t>
            </w:r>
          </w:p>
        </w:tc>
      </w:tr>
      <w:tr w:rsidR="00730639" w:rsidRPr="00CE47BF" w14:paraId="07317AC0" w14:textId="77777777" w:rsidTr="00D656FB">
        <w:trPr>
          <w:trHeight w:val="345"/>
        </w:trPr>
        <w:tc>
          <w:tcPr>
            <w:tcW w:w="1280" w:type="dxa"/>
            <w:vMerge/>
            <w:shd w:val="clear" w:color="auto" w:fill="FFFFFF" w:themeFill="background1"/>
            <w:vAlign w:val="center"/>
            <w:hideMark/>
          </w:tcPr>
          <w:p w14:paraId="43B2D66A"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3ED88390"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133C0A1A"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240" w:type="dxa"/>
            <w:shd w:val="clear" w:color="auto" w:fill="FFFFFF" w:themeFill="background1"/>
            <w:vAlign w:val="center"/>
            <w:hideMark/>
          </w:tcPr>
          <w:p w14:paraId="015C324F"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24.48%</w:t>
            </w:r>
          </w:p>
        </w:tc>
        <w:tc>
          <w:tcPr>
            <w:tcW w:w="1260" w:type="dxa"/>
            <w:shd w:val="clear" w:color="auto" w:fill="FFFFFF" w:themeFill="background1"/>
            <w:vAlign w:val="center"/>
            <w:hideMark/>
          </w:tcPr>
          <w:p w14:paraId="4902B047"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25.11%</w:t>
            </w:r>
          </w:p>
        </w:tc>
      </w:tr>
      <w:tr w:rsidR="00730639" w:rsidRPr="00CE47BF" w14:paraId="7E31B4C7" w14:textId="77777777" w:rsidTr="00D656FB">
        <w:trPr>
          <w:trHeight w:val="345"/>
        </w:trPr>
        <w:tc>
          <w:tcPr>
            <w:tcW w:w="1280" w:type="dxa"/>
            <w:vMerge/>
            <w:shd w:val="clear" w:color="auto" w:fill="FFFFFF" w:themeFill="background1"/>
            <w:vAlign w:val="center"/>
            <w:hideMark/>
          </w:tcPr>
          <w:p w14:paraId="103EC65C"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534C6A26"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2024թ. Պետական բյուջե</w:t>
            </w:r>
          </w:p>
        </w:tc>
        <w:tc>
          <w:tcPr>
            <w:tcW w:w="1120" w:type="dxa"/>
            <w:shd w:val="clear" w:color="auto" w:fill="FFFFFF" w:themeFill="background1"/>
            <w:vAlign w:val="center"/>
            <w:hideMark/>
          </w:tcPr>
          <w:p w14:paraId="35910C85"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240" w:type="dxa"/>
            <w:shd w:val="clear" w:color="auto" w:fill="FFFFFF" w:themeFill="background1"/>
            <w:vAlign w:val="center"/>
            <w:hideMark/>
          </w:tcPr>
          <w:p w14:paraId="189A268E"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2,408.1</w:t>
            </w:r>
          </w:p>
        </w:tc>
        <w:tc>
          <w:tcPr>
            <w:tcW w:w="1260" w:type="dxa"/>
            <w:shd w:val="clear" w:color="auto" w:fill="FFFFFF" w:themeFill="background1"/>
            <w:vAlign w:val="center"/>
            <w:hideMark/>
          </w:tcPr>
          <w:p w14:paraId="6CC5E010"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2,723.6</w:t>
            </w:r>
          </w:p>
        </w:tc>
      </w:tr>
      <w:tr w:rsidR="00730639" w:rsidRPr="00CE47BF" w14:paraId="3A091563" w14:textId="77777777" w:rsidTr="00D656FB">
        <w:trPr>
          <w:trHeight w:val="345"/>
        </w:trPr>
        <w:tc>
          <w:tcPr>
            <w:tcW w:w="1280" w:type="dxa"/>
            <w:vMerge/>
            <w:shd w:val="clear" w:color="auto" w:fill="FFFFFF" w:themeFill="background1"/>
            <w:vAlign w:val="center"/>
            <w:hideMark/>
          </w:tcPr>
          <w:p w14:paraId="53F136F2"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67D5B71B"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CDE74CF"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240" w:type="dxa"/>
            <w:shd w:val="clear" w:color="auto" w:fill="FFFFFF" w:themeFill="background1"/>
            <w:vAlign w:val="center"/>
            <w:hideMark/>
          </w:tcPr>
          <w:p w14:paraId="4D33CF30"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25.48%</w:t>
            </w:r>
          </w:p>
        </w:tc>
        <w:tc>
          <w:tcPr>
            <w:tcW w:w="1260" w:type="dxa"/>
            <w:shd w:val="clear" w:color="auto" w:fill="FFFFFF" w:themeFill="background1"/>
            <w:vAlign w:val="center"/>
            <w:hideMark/>
          </w:tcPr>
          <w:p w14:paraId="57A041CC"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25.90%</w:t>
            </w:r>
          </w:p>
        </w:tc>
      </w:tr>
    </w:tbl>
    <w:p w14:paraId="09864E7C" w14:textId="77777777" w:rsidR="00730639" w:rsidRPr="00654AEF" w:rsidRDefault="00730639" w:rsidP="00730639">
      <w:pPr>
        <w:spacing w:before="0"/>
        <w:ind w:left="360" w:hanging="360"/>
        <w:rPr>
          <w:rFonts w:eastAsia="Calibri"/>
          <w:bCs/>
          <w:i/>
          <w:iCs/>
          <w:color w:val="000000"/>
          <w:sz w:val="20"/>
          <w:szCs w:val="20"/>
          <w:lang w:val="hy-AM" w:eastAsia="en-US"/>
        </w:rPr>
      </w:pPr>
    </w:p>
    <w:p w14:paraId="007DA485" w14:textId="77777777" w:rsidR="00730639" w:rsidRPr="00654AEF" w:rsidRDefault="00730639" w:rsidP="00730639">
      <w:pPr>
        <w:spacing w:before="0"/>
        <w:ind w:left="360" w:hanging="360"/>
        <w:rPr>
          <w:rFonts w:eastAsia="Calibri"/>
          <w:bCs/>
          <w:i/>
          <w:iCs/>
          <w:color w:val="000000"/>
          <w:sz w:val="20"/>
          <w:szCs w:val="20"/>
          <w:lang w:val="hy-AM" w:eastAsia="en-US"/>
        </w:rPr>
      </w:pPr>
    </w:p>
    <w:p w14:paraId="6F1D4201" w14:textId="77777777" w:rsidR="00730639" w:rsidRDefault="00730639" w:rsidP="00730639">
      <w:pPr>
        <w:spacing w:before="0" w:line="259" w:lineRule="auto"/>
        <w:rPr>
          <w:rFonts w:eastAsia="Calibri" w:cs="Sylfaen"/>
          <w:b w:val="0"/>
          <w:bCs/>
          <w:i/>
          <w:iCs/>
          <w:color w:val="000000"/>
          <w:sz w:val="20"/>
          <w:szCs w:val="20"/>
          <w:lang w:val="hy-AM" w:eastAsia="en-US"/>
        </w:rPr>
      </w:pPr>
      <w:r w:rsidRPr="00654AEF">
        <w:rPr>
          <w:rFonts w:eastAsia="Calibri"/>
          <w:bCs/>
          <w:i/>
          <w:iCs/>
          <w:color w:val="000000"/>
          <w:sz w:val="20"/>
          <w:szCs w:val="20"/>
          <w:lang w:val="hy-AM" w:eastAsia="en-US"/>
        </w:rPr>
        <w:t>Աղյուսակ 2.5.2.</w:t>
      </w:r>
      <w:r w:rsidRPr="00654AEF">
        <w:rPr>
          <w:rFonts w:eastAsia="Calibri"/>
          <w:bCs/>
          <w:i/>
          <w:iCs/>
          <w:sz w:val="20"/>
          <w:szCs w:val="20"/>
          <w:lang w:val="hy-AM" w:eastAsia="en-US"/>
        </w:rPr>
        <w:t xml:space="preserve"> </w:t>
      </w:r>
      <w:r w:rsidRPr="00654AEF">
        <w:rPr>
          <w:rFonts w:eastAsia="Calibri" w:cs="Sylfaen"/>
          <w:b w:val="0"/>
          <w:bCs/>
          <w:i/>
          <w:iCs/>
          <w:color w:val="000000"/>
          <w:sz w:val="20"/>
          <w:szCs w:val="20"/>
          <w:lang w:val="hy-AM" w:eastAsia="en-US"/>
        </w:rPr>
        <w:t>Պետական բյուջեի հարկային եկամուտների կանխատեսումների համեմատական աղյուսակը (մլրդ դրամ)</w:t>
      </w:r>
    </w:p>
    <w:tbl>
      <w:tblPr>
        <w:tblW w:w="7980" w:type="dxa"/>
        <w:tblBorders>
          <w:top w:val="single" w:sz="4" w:space="0" w:color="auto"/>
          <w:bottom w:val="single" w:sz="4" w:space="0" w:color="auto"/>
          <w:insideH w:val="single" w:sz="4" w:space="0" w:color="auto"/>
        </w:tblBorders>
        <w:shd w:val="clear" w:color="auto" w:fill="FFFFFF" w:themeFill="background1"/>
        <w:tblLook w:val="04A0" w:firstRow="1" w:lastRow="0" w:firstColumn="1" w:lastColumn="0" w:noHBand="0" w:noVBand="1"/>
      </w:tblPr>
      <w:tblGrid>
        <w:gridCol w:w="1280"/>
        <w:gridCol w:w="3340"/>
        <w:gridCol w:w="1120"/>
        <w:gridCol w:w="1120"/>
        <w:gridCol w:w="1120"/>
      </w:tblGrid>
      <w:tr w:rsidR="00730639" w:rsidRPr="00CE47BF" w14:paraId="35FECC39" w14:textId="77777777" w:rsidTr="00D656FB">
        <w:trPr>
          <w:trHeight w:val="675"/>
        </w:trPr>
        <w:tc>
          <w:tcPr>
            <w:tcW w:w="1280" w:type="dxa"/>
            <w:shd w:val="clear" w:color="auto" w:fill="FFFFFF" w:themeFill="background1"/>
            <w:vAlign w:val="center"/>
            <w:hideMark/>
          </w:tcPr>
          <w:p w14:paraId="507A0957"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Ընդունման տարին</w:t>
            </w:r>
          </w:p>
        </w:tc>
        <w:tc>
          <w:tcPr>
            <w:tcW w:w="3340" w:type="dxa"/>
            <w:shd w:val="clear" w:color="auto" w:fill="FFFFFF" w:themeFill="background1"/>
            <w:vAlign w:val="center"/>
            <w:hideMark/>
          </w:tcPr>
          <w:p w14:paraId="74C5200D"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Ծրագիր</w:t>
            </w:r>
          </w:p>
        </w:tc>
        <w:tc>
          <w:tcPr>
            <w:tcW w:w="1120" w:type="dxa"/>
            <w:shd w:val="clear" w:color="auto" w:fill="FFFFFF" w:themeFill="background1"/>
            <w:vAlign w:val="center"/>
            <w:hideMark/>
          </w:tcPr>
          <w:p w14:paraId="496B7D92"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2022</w:t>
            </w:r>
          </w:p>
        </w:tc>
        <w:tc>
          <w:tcPr>
            <w:tcW w:w="1120" w:type="dxa"/>
            <w:shd w:val="clear" w:color="auto" w:fill="FFFFFF" w:themeFill="background1"/>
            <w:vAlign w:val="center"/>
            <w:hideMark/>
          </w:tcPr>
          <w:p w14:paraId="3BBD24C7"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2023</w:t>
            </w:r>
          </w:p>
        </w:tc>
        <w:tc>
          <w:tcPr>
            <w:tcW w:w="1120" w:type="dxa"/>
            <w:shd w:val="clear" w:color="auto" w:fill="FFFFFF" w:themeFill="background1"/>
            <w:vAlign w:val="center"/>
            <w:hideMark/>
          </w:tcPr>
          <w:p w14:paraId="6238BEDB"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2024</w:t>
            </w:r>
          </w:p>
        </w:tc>
      </w:tr>
      <w:tr w:rsidR="00730639" w:rsidRPr="00CE47BF" w14:paraId="72DAD25F" w14:textId="77777777" w:rsidTr="00D656FB">
        <w:trPr>
          <w:trHeight w:val="345"/>
        </w:trPr>
        <w:tc>
          <w:tcPr>
            <w:tcW w:w="1280" w:type="dxa"/>
            <w:vMerge w:val="restart"/>
            <w:shd w:val="clear" w:color="auto" w:fill="FFFFFF" w:themeFill="background1"/>
            <w:vAlign w:val="center"/>
            <w:hideMark/>
          </w:tcPr>
          <w:p w14:paraId="0AED796E"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w:t>
            </w:r>
          </w:p>
        </w:tc>
        <w:tc>
          <w:tcPr>
            <w:tcW w:w="3340" w:type="dxa"/>
            <w:shd w:val="clear" w:color="auto" w:fill="FFFFFF" w:themeFill="background1"/>
            <w:noWrap/>
            <w:vAlign w:val="center"/>
            <w:hideMark/>
          </w:tcPr>
          <w:p w14:paraId="535838D1" w14:textId="77777777" w:rsidR="00730639" w:rsidRPr="00CE47BF" w:rsidRDefault="00730639" w:rsidP="00D656FB">
            <w:pPr>
              <w:spacing w:before="0" w:line="240" w:lineRule="auto"/>
              <w:rPr>
                <w:rFonts w:cs="Calibri"/>
                <w:b w:val="0"/>
                <w:sz w:val="20"/>
                <w:szCs w:val="20"/>
                <w:lang w:val="en-US" w:eastAsia="en-US"/>
              </w:rPr>
            </w:pPr>
            <w:r w:rsidRPr="00CE47BF">
              <w:rPr>
                <w:rFonts w:cs="Calibri"/>
                <w:b w:val="0"/>
                <w:sz w:val="20"/>
                <w:szCs w:val="20"/>
                <w:lang w:val="en-US" w:eastAsia="en-US"/>
              </w:rPr>
              <w:t>Փաստացի</w:t>
            </w:r>
          </w:p>
        </w:tc>
        <w:tc>
          <w:tcPr>
            <w:tcW w:w="1120" w:type="dxa"/>
            <w:shd w:val="clear" w:color="auto" w:fill="FFFFFF" w:themeFill="background1"/>
            <w:vAlign w:val="center"/>
            <w:hideMark/>
          </w:tcPr>
          <w:p w14:paraId="7A888B2E"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1,926.0</w:t>
            </w:r>
          </w:p>
        </w:tc>
        <w:tc>
          <w:tcPr>
            <w:tcW w:w="1120" w:type="dxa"/>
            <w:shd w:val="clear" w:color="auto" w:fill="FFFFFF" w:themeFill="background1"/>
            <w:noWrap/>
            <w:vAlign w:val="center"/>
            <w:hideMark/>
          </w:tcPr>
          <w:p w14:paraId="63505B12"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120" w:type="dxa"/>
            <w:shd w:val="clear" w:color="auto" w:fill="FFFFFF" w:themeFill="background1"/>
            <w:noWrap/>
            <w:vAlign w:val="center"/>
            <w:hideMark/>
          </w:tcPr>
          <w:p w14:paraId="1CC2A904"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611FA2BC" w14:textId="77777777" w:rsidTr="00D656FB">
        <w:trPr>
          <w:trHeight w:val="345"/>
        </w:trPr>
        <w:tc>
          <w:tcPr>
            <w:tcW w:w="1280" w:type="dxa"/>
            <w:vMerge/>
            <w:shd w:val="clear" w:color="auto" w:fill="FFFFFF" w:themeFill="background1"/>
            <w:vAlign w:val="center"/>
            <w:hideMark/>
          </w:tcPr>
          <w:p w14:paraId="4FC57122"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6492117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52B52CEB"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22.65%</w:t>
            </w:r>
          </w:p>
        </w:tc>
        <w:tc>
          <w:tcPr>
            <w:tcW w:w="1120" w:type="dxa"/>
            <w:shd w:val="clear" w:color="auto" w:fill="FFFFFF" w:themeFill="background1"/>
            <w:noWrap/>
            <w:vAlign w:val="center"/>
            <w:hideMark/>
          </w:tcPr>
          <w:p w14:paraId="0B8904AC"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120" w:type="dxa"/>
            <w:shd w:val="clear" w:color="auto" w:fill="FFFFFF" w:themeFill="background1"/>
            <w:noWrap/>
            <w:vAlign w:val="center"/>
            <w:hideMark/>
          </w:tcPr>
          <w:p w14:paraId="2284F109"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1AC94E6F" w14:textId="77777777" w:rsidTr="00D656FB">
        <w:trPr>
          <w:trHeight w:val="345"/>
        </w:trPr>
        <w:tc>
          <w:tcPr>
            <w:tcW w:w="1280" w:type="dxa"/>
            <w:vMerge w:val="restart"/>
            <w:shd w:val="clear" w:color="auto" w:fill="FFFFFF" w:themeFill="background1"/>
            <w:vAlign w:val="center"/>
            <w:hideMark/>
          </w:tcPr>
          <w:p w14:paraId="15B2F68B"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2021</w:t>
            </w:r>
          </w:p>
        </w:tc>
        <w:tc>
          <w:tcPr>
            <w:tcW w:w="3340" w:type="dxa"/>
            <w:shd w:val="clear" w:color="auto" w:fill="FFFFFF" w:themeFill="background1"/>
            <w:noWrap/>
            <w:vAlign w:val="center"/>
            <w:hideMark/>
          </w:tcPr>
          <w:p w14:paraId="0DA8E9B9"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 xml:space="preserve"> ՄԺԾԾ 2022-2024</w:t>
            </w:r>
          </w:p>
        </w:tc>
        <w:tc>
          <w:tcPr>
            <w:tcW w:w="1120" w:type="dxa"/>
            <w:shd w:val="clear" w:color="auto" w:fill="FFFFFF" w:themeFill="background1"/>
            <w:vAlign w:val="center"/>
            <w:hideMark/>
          </w:tcPr>
          <w:p w14:paraId="241B0CAA"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1,733.5</w:t>
            </w:r>
          </w:p>
        </w:tc>
        <w:tc>
          <w:tcPr>
            <w:tcW w:w="1120" w:type="dxa"/>
            <w:shd w:val="clear" w:color="auto" w:fill="FFFFFF" w:themeFill="background1"/>
            <w:vAlign w:val="center"/>
            <w:hideMark/>
          </w:tcPr>
          <w:p w14:paraId="3CC1A0E9"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1,889.9</w:t>
            </w:r>
          </w:p>
        </w:tc>
        <w:tc>
          <w:tcPr>
            <w:tcW w:w="1120" w:type="dxa"/>
            <w:shd w:val="clear" w:color="auto" w:fill="FFFFFF" w:themeFill="background1"/>
            <w:vAlign w:val="center"/>
            <w:hideMark/>
          </w:tcPr>
          <w:p w14:paraId="6B46EB99"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2,084.0</w:t>
            </w:r>
          </w:p>
        </w:tc>
      </w:tr>
      <w:tr w:rsidR="00730639" w:rsidRPr="00CE47BF" w14:paraId="447A9E2E" w14:textId="77777777" w:rsidTr="00D656FB">
        <w:trPr>
          <w:trHeight w:val="345"/>
        </w:trPr>
        <w:tc>
          <w:tcPr>
            <w:tcW w:w="1280" w:type="dxa"/>
            <w:vMerge/>
            <w:shd w:val="clear" w:color="auto" w:fill="FFFFFF" w:themeFill="background1"/>
            <w:vAlign w:val="center"/>
            <w:hideMark/>
          </w:tcPr>
          <w:p w14:paraId="37D2C9EC"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2C993528"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C9911E2"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22.90%</w:t>
            </w:r>
          </w:p>
        </w:tc>
        <w:tc>
          <w:tcPr>
            <w:tcW w:w="1120" w:type="dxa"/>
            <w:shd w:val="clear" w:color="auto" w:fill="FFFFFF" w:themeFill="background1"/>
            <w:vAlign w:val="center"/>
            <w:hideMark/>
          </w:tcPr>
          <w:p w14:paraId="674FB01D"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23.10%</w:t>
            </w:r>
          </w:p>
        </w:tc>
        <w:tc>
          <w:tcPr>
            <w:tcW w:w="1120" w:type="dxa"/>
            <w:shd w:val="clear" w:color="auto" w:fill="FFFFFF" w:themeFill="background1"/>
            <w:vAlign w:val="center"/>
            <w:hideMark/>
          </w:tcPr>
          <w:p w14:paraId="77243E65"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23.60%</w:t>
            </w:r>
          </w:p>
        </w:tc>
      </w:tr>
      <w:tr w:rsidR="00730639" w:rsidRPr="00CE47BF" w14:paraId="7F694085" w14:textId="77777777" w:rsidTr="00D656FB">
        <w:trPr>
          <w:trHeight w:val="345"/>
        </w:trPr>
        <w:tc>
          <w:tcPr>
            <w:tcW w:w="1280" w:type="dxa"/>
            <w:vMerge/>
            <w:shd w:val="clear" w:color="auto" w:fill="FFFFFF" w:themeFill="background1"/>
            <w:vAlign w:val="center"/>
            <w:hideMark/>
          </w:tcPr>
          <w:p w14:paraId="2F131D5C"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0B5A1350"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2022թ. Պետական բյուջե</w:t>
            </w:r>
          </w:p>
        </w:tc>
        <w:tc>
          <w:tcPr>
            <w:tcW w:w="1120" w:type="dxa"/>
            <w:shd w:val="clear" w:color="auto" w:fill="FFFFFF" w:themeFill="background1"/>
            <w:vAlign w:val="center"/>
            <w:hideMark/>
          </w:tcPr>
          <w:p w14:paraId="19A3A314"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1,843.9</w:t>
            </w:r>
          </w:p>
        </w:tc>
        <w:tc>
          <w:tcPr>
            <w:tcW w:w="1120" w:type="dxa"/>
            <w:shd w:val="clear" w:color="auto" w:fill="FFFFFF" w:themeFill="background1"/>
            <w:vAlign w:val="center"/>
            <w:hideMark/>
          </w:tcPr>
          <w:p w14:paraId="35B406E4"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120" w:type="dxa"/>
            <w:shd w:val="clear" w:color="auto" w:fill="FFFFFF" w:themeFill="background1"/>
            <w:noWrap/>
            <w:vAlign w:val="center"/>
            <w:hideMark/>
          </w:tcPr>
          <w:p w14:paraId="56791D63"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52411BA4" w14:textId="77777777" w:rsidTr="00D656FB">
        <w:trPr>
          <w:trHeight w:val="345"/>
        </w:trPr>
        <w:tc>
          <w:tcPr>
            <w:tcW w:w="1280" w:type="dxa"/>
            <w:vMerge/>
            <w:shd w:val="clear" w:color="auto" w:fill="FFFFFF" w:themeFill="background1"/>
            <w:vAlign w:val="center"/>
            <w:hideMark/>
          </w:tcPr>
          <w:p w14:paraId="03DD1B31"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5468D76E"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551D6C61"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23.40%</w:t>
            </w:r>
          </w:p>
        </w:tc>
        <w:tc>
          <w:tcPr>
            <w:tcW w:w="1120" w:type="dxa"/>
            <w:shd w:val="clear" w:color="auto" w:fill="FFFFFF" w:themeFill="background1"/>
            <w:vAlign w:val="center"/>
            <w:hideMark/>
          </w:tcPr>
          <w:p w14:paraId="64D3A1C6" w14:textId="77777777" w:rsidR="00730639" w:rsidRPr="00CE47BF" w:rsidRDefault="00730639" w:rsidP="00D656FB">
            <w:pPr>
              <w:spacing w:before="0" w:line="240" w:lineRule="auto"/>
              <w:jc w:val="right"/>
              <w:rPr>
                <w:rFonts w:ascii="Calibri" w:hAnsi="Calibri" w:cs="Calibri"/>
                <w:b w:val="0"/>
                <w:i/>
                <w:iCs/>
                <w:sz w:val="20"/>
                <w:szCs w:val="20"/>
                <w:lang w:val="en-US" w:eastAsia="en-US"/>
              </w:rPr>
            </w:pPr>
            <w:r w:rsidRPr="00CE47BF">
              <w:rPr>
                <w:rFonts w:ascii="Calibri" w:hAnsi="Calibri" w:cs="Calibri"/>
                <w:b w:val="0"/>
                <w:i/>
                <w:iCs/>
                <w:sz w:val="20"/>
                <w:szCs w:val="20"/>
                <w:lang w:val="en-US" w:eastAsia="en-US"/>
              </w:rPr>
              <w:t> </w:t>
            </w:r>
          </w:p>
        </w:tc>
        <w:tc>
          <w:tcPr>
            <w:tcW w:w="1120" w:type="dxa"/>
            <w:shd w:val="clear" w:color="auto" w:fill="FFFFFF" w:themeFill="background1"/>
            <w:noWrap/>
            <w:vAlign w:val="center"/>
            <w:hideMark/>
          </w:tcPr>
          <w:p w14:paraId="25F20F49" w14:textId="77777777" w:rsidR="00730639" w:rsidRPr="00CE47BF" w:rsidRDefault="00730639" w:rsidP="00D656FB">
            <w:pPr>
              <w:spacing w:before="0" w:line="240" w:lineRule="auto"/>
              <w:jc w:val="right"/>
              <w:rPr>
                <w:rFonts w:ascii="Calibri" w:hAnsi="Calibri" w:cs="Calibri"/>
                <w:b w:val="0"/>
                <w:i/>
                <w:iCs/>
                <w:sz w:val="20"/>
                <w:szCs w:val="20"/>
                <w:lang w:val="en-US" w:eastAsia="en-US"/>
              </w:rPr>
            </w:pPr>
            <w:r w:rsidRPr="00CE47BF">
              <w:rPr>
                <w:rFonts w:ascii="Calibri" w:hAnsi="Calibri" w:cs="Calibri"/>
                <w:b w:val="0"/>
                <w:i/>
                <w:iCs/>
                <w:sz w:val="20"/>
                <w:szCs w:val="20"/>
                <w:lang w:val="en-US" w:eastAsia="en-US"/>
              </w:rPr>
              <w:t> </w:t>
            </w:r>
          </w:p>
        </w:tc>
      </w:tr>
      <w:tr w:rsidR="00730639" w:rsidRPr="00CE47BF" w14:paraId="0C5F0E5D" w14:textId="77777777" w:rsidTr="00D656FB">
        <w:trPr>
          <w:trHeight w:val="345"/>
        </w:trPr>
        <w:tc>
          <w:tcPr>
            <w:tcW w:w="1280" w:type="dxa"/>
            <w:vMerge w:val="restart"/>
            <w:shd w:val="clear" w:color="auto" w:fill="FFFFFF" w:themeFill="background1"/>
            <w:vAlign w:val="center"/>
            <w:hideMark/>
          </w:tcPr>
          <w:p w14:paraId="26CE3E4B"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2022</w:t>
            </w:r>
          </w:p>
        </w:tc>
        <w:tc>
          <w:tcPr>
            <w:tcW w:w="3340" w:type="dxa"/>
            <w:shd w:val="clear" w:color="auto" w:fill="FFFFFF" w:themeFill="background1"/>
            <w:noWrap/>
            <w:vAlign w:val="center"/>
            <w:hideMark/>
          </w:tcPr>
          <w:p w14:paraId="5138834F"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 xml:space="preserve"> ՄԺԾԾ 2023-2025</w:t>
            </w:r>
          </w:p>
        </w:tc>
        <w:tc>
          <w:tcPr>
            <w:tcW w:w="1120" w:type="dxa"/>
            <w:shd w:val="clear" w:color="auto" w:fill="FFFFFF" w:themeFill="background1"/>
            <w:vAlign w:val="center"/>
            <w:hideMark/>
          </w:tcPr>
          <w:p w14:paraId="00125328"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1,900.0</w:t>
            </w:r>
          </w:p>
        </w:tc>
        <w:tc>
          <w:tcPr>
            <w:tcW w:w="1120" w:type="dxa"/>
            <w:shd w:val="clear" w:color="auto" w:fill="FFFFFF" w:themeFill="background1"/>
            <w:vAlign w:val="center"/>
            <w:hideMark/>
          </w:tcPr>
          <w:p w14:paraId="5A0CD6C2"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2,176.4</w:t>
            </w:r>
          </w:p>
        </w:tc>
        <w:tc>
          <w:tcPr>
            <w:tcW w:w="1120" w:type="dxa"/>
            <w:shd w:val="clear" w:color="auto" w:fill="FFFFFF" w:themeFill="background1"/>
            <w:vAlign w:val="center"/>
            <w:hideMark/>
          </w:tcPr>
          <w:p w14:paraId="3997B748"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2,467.0</w:t>
            </w:r>
          </w:p>
        </w:tc>
      </w:tr>
      <w:tr w:rsidR="00730639" w:rsidRPr="00CE47BF" w14:paraId="3CC89CDC" w14:textId="77777777" w:rsidTr="00D656FB">
        <w:trPr>
          <w:trHeight w:val="345"/>
        </w:trPr>
        <w:tc>
          <w:tcPr>
            <w:tcW w:w="1280" w:type="dxa"/>
            <w:vMerge/>
            <w:shd w:val="clear" w:color="auto" w:fill="FFFFFF" w:themeFill="background1"/>
            <w:vAlign w:val="center"/>
            <w:hideMark/>
          </w:tcPr>
          <w:p w14:paraId="35B6CB05"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4097525D"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83F8192"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23.50%</w:t>
            </w:r>
          </w:p>
        </w:tc>
        <w:tc>
          <w:tcPr>
            <w:tcW w:w="1120" w:type="dxa"/>
            <w:shd w:val="clear" w:color="auto" w:fill="FFFFFF" w:themeFill="background1"/>
            <w:vAlign w:val="center"/>
            <w:hideMark/>
          </w:tcPr>
          <w:p w14:paraId="075A71F8"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24.00%</w:t>
            </w:r>
          </w:p>
        </w:tc>
        <w:tc>
          <w:tcPr>
            <w:tcW w:w="1120" w:type="dxa"/>
            <w:shd w:val="clear" w:color="auto" w:fill="FFFFFF" w:themeFill="background1"/>
            <w:vAlign w:val="center"/>
            <w:hideMark/>
          </w:tcPr>
          <w:p w14:paraId="33D2E5DA"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24.40%</w:t>
            </w:r>
          </w:p>
        </w:tc>
      </w:tr>
      <w:tr w:rsidR="00730639" w:rsidRPr="00CE47BF" w14:paraId="545A8544" w14:textId="77777777" w:rsidTr="00D656FB">
        <w:trPr>
          <w:trHeight w:val="345"/>
        </w:trPr>
        <w:tc>
          <w:tcPr>
            <w:tcW w:w="1280" w:type="dxa"/>
            <w:vMerge/>
            <w:shd w:val="clear" w:color="auto" w:fill="FFFFFF" w:themeFill="background1"/>
            <w:vAlign w:val="center"/>
            <w:hideMark/>
          </w:tcPr>
          <w:p w14:paraId="77367464"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7F1C23AD"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2023թ. Պետական բյուջե</w:t>
            </w:r>
          </w:p>
        </w:tc>
        <w:tc>
          <w:tcPr>
            <w:tcW w:w="1120" w:type="dxa"/>
            <w:shd w:val="clear" w:color="auto" w:fill="FFFFFF" w:themeFill="background1"/>
            <w:vAlign w:val="center"/>
            <w:hideMark/>
          </w:tcPr>
          <w:p w14:paraId="75918DB8"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1,920.0</w:t>
            </w:r>
          </w:p>
        </w:tc>
        <w:tc>
          <w:tcPr>
            <w:tcW w:w="1120" w:type="dxa"/>
            <w:shd w:val="clear" w:color="auto" w:fill="FFFFFF" w:themeFill="background1"/>
            <w:vAlign w:val="center"/>
            <w:hideMark/>
          </w:tcPr>
          <w:p w14:paraId="6BF6BF02"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2,203.7</w:t>
            </w:r>
          </w:p>
        </w:tc>
        <w:tc>
          <w:tcPr>
            <w:tcW w:w="1120" w:type="dxa"/>
            <w:shd w:val="clear" w:color="auto" w:fill="FFFFFF" w:themeFill="background1"/>
            <w:vAlign w:val="center"/>
            <w:hideMark/>
          </w:tcPr>
          <w:p w14:paraId="740A909B" w14:textId="77777777" w:rsidR="00730639" w:rsidRPr="00CE47BF" w:rsidRDefault="00730639" w:rsidP="00D656FB">
            <w:pPr>
              <w:spacing w:before="0" w:line="240" w:lineRule="auto"/>
              <w:jc w:val="right"/>
              <w:rPr>
                <w:rFonts w:cs="Calibri"/>
                <w:b w:val="0"/>
                <w:sz w:val="20"/>
                <w:szCs w:val="20"/>
                <w:lang w:val="en-US" w:eastAsia="en-US"/>
              </w:rPr>
            </w:pPr>
            <w:r w:rsidRPr="00CE47BF">
              <w:rPr>
                <w:rFonts w:ascii="Calibri" w:hAnsi="Calibri" w:cs="Calibri"/>
                <w:b w:val="0"/>
                <w:sz w:val="20"/>
                <w:szCs w:val="20"/>
                <w:lang w:val="en-US" w:eastAsia="en-US"/>
              </w:rPr>
              <w:t> </w:t>
            </w:r>
          </w:p>
        </w:tc>
      </w:tr>
      <w:tr w:rsidR="00730639" w:rsidRPr="00CE47BF" w14:paraId="73FDB734" w14:textId="77777777" w:rsidTr="00D656FB">
        <w:trPr>
          <w:trHeight w:val="345"/>
        </w:trPr>
        <w:tc>
          <w:tcPr>
            <w:tcW w:w="1280" w:type="dxa"/>
            <w:vMerge/>
            <w:shd w:val="clear" w:color="auto" w:fill="FFFFFF" w:themeFill="background1"/>
            <w:vAlign w:val="center"/>
            <w:hideMark/>
          </w:tcPr>
          <w:p w14:paraId="2FB75E64"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28ACF04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D89C3DC"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23.15%</w:t>
            </w:r>
          </w:p>
        </w:tc>
        <w:tc>
          <w:tcPr>
            <w:tcW w:w="1120" w:type="dxa"/>
            <w:shd w:val="clear" w:color="auto" w:fill="FFFFFF" w:themeFill="background1"/>
            <w:vAlign w:val="center"/>
            <w:hideMark/>
          </w:tcPr>
          <w:p w14:paraId="792B8504"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23.65%</w:t>
            </w:r>
          </w:p>
        </w:tc>
        <w:tc>
          <w:tcPr>
            <w:tcW w:w="1120" w:type="dxa"/>
            <w:shd w:val="clear" w:color="auto" w:fill="FFFFFF" w:themeFill="background1"/>
            <w:vAlign w:val="center"/>
            <w:hideMark/>
          </w:tcPr>
          <w:p w14:paraId="159AF034"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ascii="Calibri" w:hAnsi="Calibri" w:cs="Calibri"/>
                <w:b w:val="0"/>
                <w:i/>
                <w:iCs/>
                <w:sz w:val="20"/>
                <w:szCs w:val="20"/>
                <w:lang w:val="en-US" w:eastAsia="en-US"/>
              </w:rPr>
              <w:t> </w:t>
            </w:r>
          </w:p>
        </w:tc>
      </w:tr>
      <w:tr w:rsidR="00730639" w:rsidRPr="00CE47BF" w14:paraId="343BB54E" w14:textId="77777777" w:rsidTr="00D656FB">
        <w:trPr>
          <w:trHeight w:val="345"/>
        </w:trPr>
        <w:tc>
          <w:tcPr>
            <w:tcW w:w="1280" w:type="dxa"/>
            <w:vMerge w:val="restart"/>
            <w:shd w:val="clear" w:color="auto" w:fill="FFFFFF" w:themeFill="background1"/>
            <w:vAlign w:val="center"/>
            <w:hideMark/>
          </w:tcPr>
          <w:p w14:paraId="676A4E8F" w14:textId="77777777" w:rsidR="00730639" w:rsidRPr="00CE47BF" w:rsidRDefault="00730639" w:rsidP="00D656FB">
            <w:pPr>
              <w:spacing w:before="0" w:line="240" w:lineRule="auto"/>
              <w:jc w:val="center"/>
              <w:rPr>
                <w:rFonts w:cs="Calibri"/>
                <w:b w:val="0"/>
                <w:sz w:val="20"/>
                <w:szCs w:val="20"/>
                <w:lang w:val="en-US" w:eastAsia="en-US"/>
              </w:rPr>
            </w:pPr>
            <w:r w:rsidRPr="00CE47BF">
              <w:rPr>
                <w:rFonts w:cs="Calibri"/>
                <w:b w:val="0"/>
                <w:sz w:val="20"/>
                <w:szCs w:val="20"/>
                <w:lang w:val="en-US" w:eastAsia="en-US"/>
              </w:rPr>
              <w:t>2023</w:t>
            </w:r>
          </w:p>
        </w:tc>
        <w:tc>
          <w:tcPr>
            <w:tcW w:w="3340" w:type="dxa"/>
            <w:shd w:val="clear" w:color="auto" w:fill="FFFFFF" w:themeFill="background1"/>
            <w:noWrap/>
            <w:vAlign w:val="center"/>
            <w:hideMark/>
          </w:tcPr>
          <w:p w14:paraId="7454A9C6"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 xml:space="preserve"> ՄԺԾԾ 2024-2026</w:t>
            </w:r>
          </w:p>
        </w:tc>
        <w:tc>
          <w:tcPr>
            <w:tcW w:w="1120" w:type="dxa"/>
            <w:shd w:val="clear" w:color="auto" w:fill="FFFFFF" w:themeFill="background1"/>
            <w:vAlign w:val="center"/>
            <w:hideMark/>
          </w:tcPr>
          <w:p w14:paraId="6F020B5C"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120" w:type="dxa"/>
            <w:shd w:val="clear" w:color="auto" w:fill="FFFFFF" w:themeFill="background1"/>
            <w:vAlign w:val="center"/>
            <w:hideMark/>
          </w:tcPr>
          <w:p w14:paraId="3C7AC122"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2,235.4</w:t>
            </w:r>
          </w:p>
        </w:tc>
        <w:tc>
          <w:tcPr>
            <w:tcW w:w="1120" w:type="dxa"/>
            <w:shd w:val="clear" w:color="auto" w:fill="FFFFFF" w:themeFill="background1"/>
            <w:vAlign w:val="center"/>
            <w:hideMark/>
          </w:tcPr>
          <w:p w14:paraId="4C5000CE"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2,566.2</w:t>
            </w:r>
          </w:p>
        </w:tc>
      </w:tr>
      <w:tr w:rsidR="00730639" w:rsidRPr="00CE47BF" w14:paraId="76EFDA30" w14:textId="77777777" w:rsidTr="00D656FB">
        <w:trPr>
          <w:trHeight w:val="345"/>
        </w:trPr>
        <w:tc>
          <w:tcPr>
            <w:tcW w:w="1280" w:type="dxa"/>
            <w:vMerge/>
            <w:shd w:val="clear" w:color="auto" w:fill="FFFFFF" w:themeFill="background1"/>
            <w:vAlign w:val="center"/>
            <w:hideMark/>
          </w:tcPr>
          <w:p w14:paraId="71A73C56"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vAlign w:val="center"/>
            <w:hideMark/>
          </w:tcPr>
          <w:p w14:paraId="37C2A8A0"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41CBE5DB"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120" w:type="dxa"/>
            <w:shd w:val="clear" w:color="auto" w:fill="FFFFFF" w:themeFill="background1"/>
            <w:vAlign w:val="center"/>
            <w:hideMark/>
          </w:tcPr>
          <w:p w14:paraId="463DD355"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23.45%</w:t>
            </w:r>
          </w:p>
        </w:tc>
        <w:tc>
          <w:tcPr>
            <w:tcW w:w="1120" w:type="dxa"/>
            <w:shd w:val="clear" w:color="auto" w:fill="FFFFFF" w:themeFill="background1"/>
            <w:vAlign w:val="center"/>
            <w:hideMark/>
          </w:tcPr>
          <w:p w14:paraId="4CE13660" w14:textId="77777777" w:rsidR="00730639" w:rsidRPr="00CE47BF" w:rsidRDefault="00730639" w:rsidP="00D656FB">
            <w:pPr>
              <w:spacing w:before="0" w:line="240" w:lineRule="auto"/>
              <w:jc w:val="right"/>
              <w:rPr>
                <w:rFonts w:cs="Calibri"/>
                <w:b w:val="0"/>
                <w:i/>
                <w:iCs/>
                <w:sz w:val="20"/>
                <w:szCs w:val="20"/>
                <w:lang w:val="en-US" w:eastAsia="en-US"/>
              </w:rPr>
            </w:pPr>
            <w:r w:rsidRPr="00CE47BF">
              <w:rPr>
                <w:rFonts w:cs="Calibri"/>
                <w:b w:val="0"/>
                <w:i/>
                <w:iCs/>
                <w:sz w:val="20"/>
                <w:szCs w:val="20"/>
                <w:lang w:val="en-US" w:eastAsia="en-US"/>
              </w:rPr>
              <w:t>24.19%</w:t>
            </w:r>
          </w:p>
        </w:tc>
      </w:tr>
      <w:tr w:rsidR="00730639" w:rsidRPr="00CE47BF" w14:paraId="4916AA67" w14:textId="77777777" w:rsidTr="00D656FB">
        <w:trPr>
          <w:trHeight w:val="345"/>
        </w:trPr>
        <w:tc>
          <w:tcPr>
            <w:tcW w:w="1280" w:type="dxa"/>
            <w:vMerge/>
            <w:shd w:val="clear" w:color="auto" w:fill="FFFFFF" w:themeFill="background1"/>
            <w:vAlign w:val="center"/>
            <w:hideMark/>
          </w:tcPr>
          <w:p w14:paraId="6A92510E" w14:textId="77777777" w:rsidR="00730639" w:rsidRPr="00CE47BF" w:rsidRDefault="00730639" w:rsidP="00D656FB">
            <w:pPr>
              <w:spacing w:before="0" w:line="240" w:lineRule="auto"/>
              <w:jc w:val="left"/>
              <w:rPr>
                <w:rFonts w:cs="Calibri"/>
                <w:b w:val="0"/>
                <w:sz w:val="20"/>
                <w:szCs w:val="20"/>
                <w:lang w:val="en-US" w:eastAsia="en-US"/>
              </w:rPr>
            </w:pPr>
          </w:p>
        </w:tc>
        <w:tc>
          <w:tcPr>
            <w:tcW w:w="3340" w:type="dxa"/>
            <w:shd w:val="clear" w:color="auto" w:fill="FFFFFF" w:themeFill="background1"/>
            <w:noWrap/>
            <w:vAlign w:val="center"/>
            <w:hideMark/>
          </w:tcPr>
          <w:p w14:paraId="0A3C7C67" w14:textId="77777777" w:rsidR="00730639" w:rsidRPr="00CE47BF" w:rsidRDefault="00730639" w:rsidP="00D656FB">
            <w:pPr>
              <w:spacing w:before="0" w:line="240" w:lineRule="auto"/>
              <w:jc w:val="left"/>
              <w:rPr>
                <w:rFonts w:cs="Calibri"/>
                <w:b w:val="0"/>
                <w:sz w:val="20"/>
                <w:szCs w:val="20"/>
                <w:lang w:val="en-US" w:eastAsia="en-US"/>
              </w:rPr>
            </w:pPr>
            <w:r w:rsidRPr="00CE47BF">
              <w:rPr>
                <w:rFonts w:cs="Calibri"/>
                <w:b w:val="0"/>
                <w:sz w:val="20"/>
                <w:szCs w:val="20"/>
                <w:lang w:val="en-US" w:eastAsia="en-US"/>
              </w:rPr>
              <w:t>2024թ. Պետական բյուջե</w:t>
            </w:r>
          </w:p>
        </w:tc>
        <w:tc>
          <w:tcPr>
            <w:tcW w:w="1120" w:type="dxa"/>
            <w:shd w:val="clear" w:color="auto" w:fill="FFFFFF" w:themeFill="background1"/>
            <w:vAlign w:val="center"/>
            <w:hideMark/>
          </w:tcPr>
          <w:p w14:paraId="4D7D27A0" w14:textId="77777777" w:rsidR="00730639" w:rsidRPr="00CE47BF" w:rsidRDefault="00730639" w:rsidP="00D656FB">
            <w:pPr>
              <w:spacing w:before="0" w:line="240" w:lineRule="auto"/>
              <w:jc w:val="right"/>
              <w:rPr>
                <w:rFonts w:ascii="Calibri" w:hAnsi="Calibri" w:cs="Calibri"/>
                <w:b w:val="0"/>
                <w:sz w:val="20"/>
                <w:szCs w:val="20"/>
                <w:lang w:val="en-US" w:eastAsia="en-US"/>
              </w:rPr>
            </w:pPr>
            <w:r w:rsidRPr="00CE47BF">
              <w:rPr>
                <w:rFonts w:ascii="Calibri" w:hAnsi="Calibri" w:cs="Calibri"/>
                <w:b w:val="0"/>
                <w:sz w:val="20"/>
                <w:szCs w:val="20"/>
                <w:lang w:val="en-US" w:eastAsia="en-US"/>
              </w:rPr>
              <w:t> </w:t>
            </w:r>
          </w:p>
        </w:tc>
        <w:tc>
          <w:tcPr>
            <w:tcW w:w="1120" w:type="dxa"/>
            <w:shd w:val="clear" w:color="auto" w:fill="FFFFFF" w:themeFill="background1"/>
            <w:vAlign w:val="center"/>
            <w:hideMark/>
          </w:tcPr>
          <w:p w14:paraId="55660568"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2,277.8</w:t>
            </w:r>
          </w:p>
        </w:tc>
        <w:tc>
          <w:tcPr>
            <w:tcW w:w="1120" w:type="dxa"/>
            <w:shd w:val="clear" w:color="auto" w:fill="FFFFFF" w:themeFill="background1"/>
            <w:vAlign w:val="center"/>
            <w:hideMark/>
          </w:tcPr>
          <w:p w14:paraId="45EA5048" w14:textId="77777777" w:rsidR="00730639" w:rsidRPr="00CE47BF" w:rsidRDefault="00730639" w:rsidP="00D656FB">
            <w:pPr>
              <w:spacing w:before="0" w:line="240" w:lineRule="auto"/>
              <w:jc w:val="right"/>
              <w:rPr>
                <w:rFonts w:cs="Calibri"/>
                <w:b w:val="0"/>
                <w:sz w:val="20"/>
                <w:szCs w:val="20"/>
                <w:lang w:val="en-US" w:eastAsia="en-US"/>
              </w:rPr>
            </w:pPr>
            <w:r w:rsidRPr="00CE47BF">
              <w:rPr>
                <w:rFonts w:cs="Calibri"/>
                <w:b w:val="0"/>
                <w:sz w:val="20"/>
                <w:szCs w:val="20"/>
                <w:lang w:val="en-US" w:eastAsia="en-US"/>
              </w:rPr>
              <w:t>2,613.6</w:t>
            </w:r>
          </w:p>
        </w:tc>
      </w:tr>
      <w:tr w:rsidR="00730639" w:rsidRPr="00CE47BF" w14:paraId="6E64B860" w14:textId="77777777" w:rsidTr="00D656FB">
        <w:trPr>
          <w:trHeight w:val="345"/>
        </w:trPr>
        <w:tc>
          <w:tcPr>
            <w:tcW w:w="1280" w:type="dxa"/>
            <w:vMerge/>
            <w:shd w:val="clear" w:color="auto" w:fill="FFFFFF" w:themeFill="background1"/>
            <w:vAlign w:val="center"/>
            <w:hideMark/>
          </w:tcPr>
          <w:p w14:paraId="05941FDE" w14:textId="77777777" w:rsidR="00730639" w:rsidRPr="00CE47BF" w:rsidRDefault="00730639" w:rsidP="00D656FB">
            <w:pPr>
              <w:spacing w:before="0" w:line="240" w:lineRule="auto"/>
              <w:jc w:val="left"/>
              <w:rPr>
                <w:rFonts w:cs="Calibri"/>
                <w:b w:val="0"/>
                <w:szCs w:val="22"/>
                <w:lang w:val="en-US" w:eastAsia="en-US"/>
              </w:rPr>
            </w:pPr>
          </w:p>
        </w:tc>
        <w:tc>
          <w:tcPr>
            <w:tcW w:w="3340" w:type="dxa"/>
            <w:shd w:val="clear" w:color="auto" w:fill="FFFFFF" w:themeFill="background1"/>
            <w:vAlign w:val="center"/>
            <w:hideMark/>
          </w:tcPr>
          <w:p w14:paraId="1E973116" w14:textId="77777777" w:rsidR="00730639" w:rsidRPr="00CE47BF" w:rsidRDefault="00730639" w:rsidP="00D656FB">
            <w:pPr>
              <w:spacing w:before="0" w:line="240" w:lineRule="auto"/>
              <w:jc w:val="left"/>
              <w:rPr>
                <w:rFonts w:cs="Calibri"/>
                <w:b w:val="0"/>
                <w:i/>
                <w:iCs/>
                <w:szCs w:val="22"/>
                <w:lang w:val="en-US" w:eastAsia="en-US"/>
              </w:rPr>
            </w:pPr>
            <w:r w:rsidRPr="00CE47BF">
              <w:rPr>
                <w:rFonts w:cs="Calibri"/>
                <w:b w:val="0"/>
                <w:i/>
                <w:iCs/>
                <w:szCs w:val="22"/>
                <w:lang w:val="en-US" w:eastAsia="en-US"/>
              </w:rPr>
              <w:t>%-ով՝ ՀՆԱ-ի նկատմամբ</w:t>
            </w:r>
          </w:p>
        </w:tc>
        <w:tc>
          <w:tcPr>
            <w:tcW w:w="1120" w:type="dxa"/>
            <w:shd w:val="clear" w:color="auto" w:fill="FFFFFF" w:themeFill="background1"/>
            <w:vAlign w:val="center"/>
            <w:hideMark/>
          </w:tcPr>
          <w:p w14:paraId="2942DDA1" w14:textId="77777777" w:rsidR="00730639" w:rsidRPr="00CE47BF" w:rsidRDefault="00730639" w:rsidP="00D656FB">
            <w:pPr>
              <w:spacing w:before="0" w:line="240" w:lineRule="auto"/>
              <w:jc w:val="right"/>
              <w:rPr>
                <w:rFonts w:ascii="Calibri" w:hAnsi="Calibri" w:cs="Calibri"/>
                <w:b w:val="0"/>
                <w:szCs w:val="22"/>
                <w:lang w:val="en-US" w:eastAsia="en-US"/>
              </w:rPr>
            </w:pPr>
            <w:r w:rsidRPr="00CE47BF">
              <w:rPr>
                <w:rFonts w:ascii="Calibri" w:hAnsi="Calibri" w:cs="Calibri"/>
                <w:b w:val="0"/>
                <w:szCs w:val="22"/>
                <w:lang w:val="en-US" w:eastAsia="en-US"/>
              </w:rPr>
              <w:t> </w:t>
            </w:r>
          </w:p>
        </w:tc>
        <w:tc>
          <w:tcPr>
            <w:tcW w:w="1120" w:type="dxa"/>
            <w:shd w:val="clear" w:color="auto" w:fill="FFFFFF" w:themeFill="background1"/>
            <w:vAlign w:val="center"/>
            <w:hideMark/>
          </w:tcPr>
          <w:p w14:paraId="053D2BA7" w14:textId="77777777" w:rsidR="00730639" w:rsidRPr="00CE47BF" w:rsidRDefault="00730639" w:rsidP="00D656FB">
            <w:pPr>
              <w:spacing w:before="0" w:line="240" w:lineRule="auto"/>
              <w:jc w:val="right"/>
              <w:rPr>
                <w:rFonts w:cs="Calibri"/>
                <w:b w:val="0"/>
                <w:i/>
                <w:iCs/>
                <w:szCs w:val="22"/>
                <w:lang w:val="en-US" w:eastAsia="en-US"/>
              </w:rPr>
            </w:pPr>
            <w:r w:rsidRPr="00CE47BF">
              <w:rPr>
                <w:rFonts w:cs="Calibri"/>
                <w:b w:val="0"/>
                <w:i/>
                <w:iCs/>
                <w:szCs w:val="22"/>
                <w:lang w:val="en-US" w:eastAsia="en-US"/>
              </w:rPr>
              <w:t>24.10%</w:t>
            </w:r>
          </w:p>
        </w:tc>
        <w:tc>
          <w:tcPr>
            <w:tcW w:w="1120" w:type="dxa"/>
            <w:shd w:val="clear" w:color="auto" w:fill="FFFFFF" w:themeFill="background1"/>
            <w:vAlign w:val="center"/>
            <w:hideMark/>
          </w:tcPr>
          <w:p w14:paraId="16C0680F" w14:textId="77777777" w:rsidR="00730639" w:rsidRPr="00CE47BF" w:rsidRDefault="00730639" w:rsidP="00D656FB">
            <w:pPr>
              <w:spacing w:before="0" w:line="240" w:lineRule="auto"/>
              <w:jc w:val="right"/>
              <w:rPr>
                <w:rFonts w:cs="Calibri"/>
                <w:b w:val="0"/>
                <w:i/>
                <w:iCs/>
                <w:szCs w:val="22"/>
                <w:lang w:val="en-US" w:eastAsia="en-US"/>
              </w:rPr>
            </w:pPr>
            <w:r w:rsidRPr="00CE47BF">
              <w:rPr>
                <w:rFonts w:cs="Calibri"/>
                <w:b w:val="0"/>
                <w:i/>
                <w:iCs/>
                <w:szCs w:val="22"/>
                <w:lang w:val="en-US" w:eastAsia="en-US"/>
              </w:rPr>
              <w:t>24.85%</w:t>
            </w:r>
          </w:p>
        </w:tc>
      </w:tr>
    </w:tbl>
    <w:p w14:paraId="29022C2B" w14:textId="77777777" w:rsidR="00730639" w:rsidRPr="00654AEF" w:rsidRDefault="00730639" w:rsidP="00730639">
      <w:pPr>
        <w:spacing w:before="0" w:line="259" w:lineRule="auto"/>
        <w:rPr>
          <w:rFonts w:eastAsia="Calibri"/>
          <w:bCs/>
          <w:i/>
          <w:iCs/>
          <w:color w:val="000000"/>
          <w:sz w:val="20"/>
          <w:szCs w:val="20"/>
          <w:lang w:val="hy-AM" w:eastAsia="en-US"/>
        </w:rPr>
      </w:pPr>
    </w:p>
    <w:p w14:paraId="536539AC" w14:textId="77777777" w:rsidR="00730639" w:rsidRPr="00654AEF" w:rsidRDefault="00730639" w:rsidP="00730639">
      <w:pPr>
        <w:spacing w:before="0" w:line="259" w:lineRule="auto"/>
        <w:rPr>
          <w:rFonts w:eastAsia="Calibri" w:cs="Sylfaen"/>
          <w:b w:val="0"/>
          <w:bCs/>
          <w:i/>
          <w:iCs/>
          <w:color w:val="000000"/>
          <w:sz w:val="20"/>
          <w:szCs w:val="20"/>
          <w:lang w:val="hy-AM" w:eastAsia="en-US"/>
        </w:rPr>
      </w:pPr>
      <w:r w:rsidRPr="00654AEF">
        <w:rPr>
          <w:rFonts w:eastAsia="Calibri"/>
          <w:bCs/>
          <w:i/>
          <w:iCs/>
          <w:color w:val="000000"/>
          <w:sz w:val="20"/>
          <w:szCs w:val="20"/>
          <w:lang w:val="hy-AM" w:eastAsia="en-US"/>
        </w:rPr>
        <w:t>Աղյուսակ 2.5.3.</w:t>
      </w:r>
      <w:r w:rsidRPr="00654AEF">
        <w:rPr>
          <w:rFonts w:eastAsia="Calibri"/>
          <w:bCs/>
          <w:i/>
          <w:iCs/>
          <w:sz w:val="20"/>
          <w:szCs w:val="20"/>
          <w:lang w:val="hy-AM" w:eastAsia="en-US"/>
        </w:rPr>
        <w:t xml:space="preserve"> </w:t>
      </w:r>
      <w:r w:rsidRPr="00654AEF">
        <w:rPr>
          <w:rFonts w:eastAsia="Calibri" w:cs="Sylfaen"/>
          <w:b w:val="0"/>
          <w:bCs/>
          <w:i/>
          <w:iCs/>
          <w:color w:val="000000"/>
          <w:sz w:val="20"/>
          <w:szCs w:val="20"/>
          <w:lang w:val="hy-AM" w:eastAsia="en-US"/>
        </w:rPr>
        <w:t>Պետական բյուջեի ծախսերի կանխատեսումների համեմատական աղյուսակը (մլրդ դրամ)</w:t>
      </w:r>
    </w:p>
    <w:tbl>
      <w:tblPr>
        <w:tblW w:w="7980" w:type="dxa"/>
        <w:tblInd w:w="10" w:type="dxa"/>
        <w:tblBorders>
          <w:top w:val="single" w:sz="4" w:space="0" w:color="auto"/>
          <w:bottom w:val="single" w:sz="4" w:space="0" w:color="auto"/>
          <w:insideH w:val="single" w:sz="4" w:space="0" w:color="auto"/>
        </w:tblBorders>
        <w:tblLook w:val="04A0" w:firstRow="1" w:lastRow="0" w:firstColumn="1" w:lastColumn="0" w:noHBand="0" w:noVBand="1"/>
      </w:tblPr>
      <w:tblGrid>
        <w:gridCol w:w="1280"/>
        <w:gridCol w:w="3340"/>
        <w:gridCol w:w="1120"/>
        <w:gridCol w:w="1120"/>
        <w:gridCol w:w="1120"/>
      </w:tblGrid>
      <w:tr w:rsidR="00730639" w:rsidRPr="00822EDF" w14:paraId="3DBD8071" w14:textId="77777777" w:rsidTr="00367064">
        <w:trPr>
          <w:trHeight w:val="602"/>
        </w:trPr>
        <w:tc>
          <w:tcPr>
            <w:tcW w:w="1280" w:type="dxa"/>
            <w:shd w:val="clear" w:color="auto" w:fill="FFFFFF" w:themeFill="background1"/>
            <w:vAlign w:val="center"/>
            <w:hideMark/>
          </w:tcPr>
          <w:p w14:paraId="6D62635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Ընդունման տարին</w:t>
            </w:r>
          </w:p>
        </w:tc>
        <w:tc>
          <w:tcPr>
            <w:tcW w:w="3340" w:type="dxa"/>
            <w:shd w:val="clear" w:color="auto" w:fill="FFFFFF" w:themeFill="background1"/>
            <w:vAlign w:val="center"/>
            <w:hideMark/>
          </w:tcPr>
          <w:p w14:paraId="7289AAA3"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Ծրագիր</w:t>
            </w:r>
          </w:p>
        </w:tc>
        <w:tc>
          <w:tcPr>
            <w:tcW w:w="1120" w:type="dxa"/>
            <w:shd w:val="clear" w:color="auto" w:fill="FFFFFF" w:themeFill="background1"/>
            <w:vAlign w:val="center"/>
            <w:hideMark/>
          </w:tcPr>
          <w:p w14:paraId="26642BAC"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w:t>
            </w:r>
          </w:p>
        </w:tc>
        <w:tc>
          <w:tcPr>
            <w:tcW w:w="1120" w:type="dxa"/>
            <w:shd w:val="clear" w:color="auto" w:fill="FFFFFF" w:themeFill="background1"/>
            <w:vAlign w:val="center"/>
            <w:hideMark/>
          </w:tcPr>
          <w:p w14:paraId="6BEC341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w:t>
            </w:r>
          </w:p>
        </w:tc>
        <w:tc>
          <w:tcPr>
            <w:tcW w:w="1120" w:type="dxa"/>
            <w:shd w:val="clear" w:color="auto" w:fill="FFFFFF" w:themeFill="background1"/>
            <w:vAlign w:val="center"/>
            <w:hideMark/>
          </w:tcPr>
          <w:p w14:paraId="5F96F83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w:t>
            </w:r>
          </w:p>
        </w:tc>
      </w:tr>
      <w:tr w:rsidR="00730639" w:rsidRPr="00822EDF" w14:paraId="6D7BD9D1" w14:textId="77777777" w:rsidTr="00D656FB">
        <w:trPr>
          <w:trHeight w:val="345"/>
        </w:trPr>
        <w:tc>
          <w:tcPr>
            <w:tcW w:w="1280" w:type="dxa"/>
            <w:vMerge w:val="restart"/>
            <w:shd w:val="clear" w:color="auto" w:fill="FFFFFF" w:themeFill="background1"/>
            <w:vAlign w:val="center"/>
            <w:hideMark/>
          </w:tcPr>
          <w:p w14:paraId="29F551CF"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w:t>
            </w:r>
          </w:p>
        </w:tc>
        <w:tc>
          <w:tcPr>
            <w:tcW w:w="3340" w:type="dxa"/>
            <w:shd w:val="clear" w:color="auto" w:fill="FFFFFF" w:themeFill="background1"/>
            <w:noWrap/>
            <w:vAlign w:val="center"/>
            <w:hideMark/>
          </w:tcPr>
          <w:p w14:paraId="4350351C"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Փաստացի</w:t>
            </w:r>
          </w:p>
        </w:tc>
        <w:tc>
          <w:tcPr>
            <w:tcW w:w="1120" w:type="dxa"/>
            <w:shd w:val="clear" w:color="auto" w:fill="FFFFFF" w:themeFill="background1"/>
            <w:vAlign w:val="center"/>
            <w:hideMark/>
          </w:tcPr>
          <w:p w14:paraId="771254E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2,242.6</w:t>
            </w:r>
          </w:p>
        </w:tc>
        <w:tc>
          <w:tcPr>
            <w:tcW w:w="1120" w:type="dxa"/>
            <w:shd w:val="clear" w:color="auto" w:fill="FFFFFF" w:themeFill="background1"/>
            <w:noWrap/>
            <w:vAlign w:val="center"/>
            <w:hideMark/>
          </w:tcPr>
          <w:p w14:paraId="154F102F" w14:textId="08E5053C"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152CA9D4" w14:textId="5506929B"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73001959" w14:textId="77777777" w:rsidTr="00D656FB">
        <w:trPr>
          <w:trHeight w:val="345"/>
        </w:trPr>
        <w:tc>
          <w:tcPr>
            <w:tcW w:w="1280" w:type="dxa"/>
            <w:vMerge/>
            <w:shd w:val="clear" w:color="auto" w:fill="FFFFFF" w:themeFill="background1"/>
            <w:vAlign w:val="center"/>
            <w:hideMark/>
          </w:tcPr>
          <w:p w14:paraId="436022C8"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5A23363C"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13E4850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26.38%</w:t>
            </w:r>
          </w:p>
        </w:tc>
        <w:tc>
          <w:tcPr>
            <w:tcW w:w="1120" w:type="dxa"/>
            <w:shd w:val="clear" w:color="auto" w:fill="FFFFFF" w:themeFill="background1"/>
            <w:noWrap/>
            <w:vAlign w:val="center"/>
            <w:hideMark/>
          </w:tcPr>
          <w:p w14:paraId="40CF0560" w14:textId="78332CE8"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610E0C70" w14:textId="5E4EAFFF"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54C84AB9" w14:textId="77777777" w:rsidTr="00D656FB">
        <w:trPr>
          <w:trHeight w:val="345"/>
        </w:trPr>
        <w:tc>
          <w:tcPr>
            <w:tcW w:w="1280" w:type="dxa"/>
            <w:vMerge w:val="restart"/>
            <w:shd w:val="clear" w:color="auto" w:fill="FFFFFF" w:themeFill="background1"/>
            <w:vAlign w:val="center"/>
            <w:hideMark/>
          </w:tcPr>
          <w:p w14:paraId="65D9646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2021</w:t>
            </w:r>
          </w:p>
        </w:tc>
        <w:tc>
          <w:tcPr>
            <w:tcW w:w="3340" w:type="dxa"/>
            <w:shd w:val="clear" w:color="auto" w:fill="FFFFFF" w:themeFill="background1"/>
            <w:noWrap/>
            <w:vAlign w:val="center"/>
            <w:hideMark/>
          </w:tcPr>
          <w:p w14:paraId="5FEE24BA" w14:textId="0BC2C340"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ՄԺԾԾ 2022-2024</w:t>
            </w:r>
          </w:p>
        </w:tc>
        <w:tc>
          <w:tcPr>
            <w:tcW w:w="1120" w:type="dxa"/>
            <w:shd w:val="clear" w:color="auto" w:fill="FFFFFF" w:themeFill="background1"/>
            <w:vAlign w:val="center"/>
            <w:hideMark/>
          </w:tcPr>
          <w:p w14:paraId="4E03D4D4"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2,000.9</w:t>
            </w:r>
          </w:p>
        </w:tc>
        <w:tc>
          <w:tcPr>
            <w:tcW w:w="1120" w:type="dxa"/>
            <w:shd w:val="clear" w:color="auto" w:fill="FFFFFF" w:themeFill="background1"/>
            <w:vAlign w:val="center"/>
            <w:hideMark/>
          </w:tcPr>
          <w:p w14:paraId="04089A04"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2,135.5</w:t>
            </w:r>
          </w:p>
        </w:tc>
        <w:tc>
          <w:tcPr>
            <w:tcW w:w="1120" w:type="dxa"/>
            <w:shd w:val="clear" w:color="auto" w:fill="FFFFFF" w:themeFill="background1"/>
            <w:vAlign w:val="center"/>
            <w:hideMark/>
          </w:tcPr>
          <w:p w14:paraId="59094C7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2,312.0</w:t>
            </w:r>
          </w:p>
        </w:tc>
      </w:tr>
      <w:tr w:rsidR="00730639" w:rsidRPr="00822EDF" w14:paraId="29330C2A" w14:textId="77777777" w:rsidTr="00D656FB">
        <w:trPr>
          <w:trHeight w:val="345"/>
        </w:trPr>
        <w:tc>
          <w:tcPr>
            <w:tcW w:w="1280" w:type="dxa"/>
            <w:vMerge/>
            <w:shd w:val="clear" w:color="auto" w:fill="FFFFFF" w:themeFill="background1"/>
            <w:vAlign w:val="center"/>
            <w:hideMark/>
          </w:tcPr>
          <w:p w14:paraId="22E789F4" w14:textId="77777777" w:rsidR="00730639" w:rsidRPr="00CE47BF" w:rsidRDefault="00730639" w:rsidP="00367064">
            <w:pPr>
              <w:spacing w:before="0" w:line="240" w:lineRule="auto"/>
              <w:jc w:val="center"/>
              <w:rPr>
                <w:rFonts w:cs="Calibri"/>
                <w:b w:val="0"/>
                <w:i/>
                <w:iCs/>
                <w:sz w:val="20"/>
                <w:szCs w:val="20"/>
                <w:lang w:val="en-US" w:eastAsia="en-US"/>
              </w:rPr>
            </w:pPr>
          </w:p>
        </w:tc>
        <w:tc>
          <w:tcPr>
            <w:tcW w:w="3340" w:type="dxa"/>
            <w:shd w:val="clear" w:color="auto" w:fill="FFFFFF" w:themeFill="background1"/>
            <w:vAlign w:val="center"/>
            <w:hideMark/>
          </w:tcPr>
          <w:p w14:paraId="27A41AF3"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5DAAB6C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26.40%</w:t>
            </w:r>
          </w:p>
        </w:tc>
        <w:tc>
          <w:tcPr>
            <w:tcW w:w="1120" w:type="dxa"/>
            <w:shd w:val="clear" w:color="auto" w:fill="FFFFFF" w:themeFill="background1"/>
            <w:vAlign w:val="center"/>
            <w:hideMark/>
          </w:tcPr>
          <w:p w14:paraId="79334D67"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26.10%</w:t>
            </w:r>
          </w:p>
        </w:tc>
        <w:tc>
          <w:tcPr>
            <w:tcW w:w="1120" w:type="dxa"/>
            <w:shd w:val="clear" w:color="auto" w:fill="FFFFFF" w:themeFill="background1"/>
            <w:vAlign w:val="center"/>
            <w:hideMark/>
          </w:tcPr>
          <w:p w14:paraId="402D6972"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26.20%</w:t>
            </w:r>
          </w:p>
        </w:tc>
      </w:tr>
      <w:tr w:rsidR="00730639" w:rsidRPr="00822EDF" w14:paraId="1748C1EA" w14:textId="77777777" w:rsidTr="00D656FB">
        <w:trPr>
          <w:trHeight w:val="345"/>
        </w:trPr>
        <w:tc>
          <w:tcPr>
            <w:tcW w:w="1280" w:type="dxa"/>
            <w:vMerge/>
            <w:shd w:val="clear" w:color="auto" w:fill="FFFFFF" w:themeFill="background1"/>
            <w:vAlign w:val="center"/>
            <w:hideMark/>
          </w:tcPr>
          <w:p w14:paraId="26666141" w14:textId="77777777" w:rsidR="00730639" w:rsidRPr="00CE47BF" w:rsidRDefault="00730639" w:rsidP="00367064">
            <w:pPr>
              <w:spacing w:before="0" w:line="240" w:lineRule="auto"/>
              <w:jc w:val="center"/>
              <w:rPr>
                <w:rFonts w:cs="Calibri"/>
                <w:b w:val="0"/>
                <w:i/>
                <w:iCs/>
                <w:sz w:val="20"/>
                <w:szCs w:val="20"/>
                <w:lang w:val="en-US" w:eastAsia="en-US"/>
              </w:rPr>
            </w:pPr>
          </w:p>
        </w:tc>
        <w:tc>
          <w:tcPr>
            <w:tcW w:w="3340" w:type="dxa"/>
            <w:shd w:val="clear" w:color="auto" w:fill="FFFFFF" w:themeFill="background1"/>
            <w:noWrap/>
            <w:vAlign w:val="center"/>
            <w:hideMark/>
          </w:tcPr>
          <w:p w14:paraId="40ADC4B8"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2022թ. Պետական բյուջե</w:t>
            </w:r>
          </w:p>
        </w:tc>
        <w:tc>
          <w:tcPr>
            <w:tcW w:w="1120" w:type="dxa"/>
            <w:shd w:val="clear" w:color="auto" w:fill="FFFFFF" w:themeFill="background1"/>
            <w:vAlign w:val="center"/>
            <w:hideMark/>
          </w:tcPr>
          <w:p w14:paraId="656092F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2,184.0</w:t>
            </w:r>
          </w:p>
        </w:tc>
        <w:tc>
          <w:tcPr>
            <w:tcW w:w="1120" w:type="dxa"/>
            <w:shd w:val="clear" w:color="auto" w:fill="FFFFFF" w:themeFill="background1"/>
            <w:vAlign w:val="center"/>
            <w:hideMark/>
          </w:tcPr>
          <w:p w14:paraId="44F322EA" w14:textId="49C91A28"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3E8F3749" w14:textId="42FD5B4E"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4D5A8720" w14:textId="77777777" w:rsidTr="00D656FB">
        <w:trPr>
          <w:trHeight w:val="345"/>
        </w:trPr>
        <w:tc>
          <w:tcPr>
            <w:tcW w:w="1280" w:type="dxa"/>
            <w:vMerge/>
            <w:shd w:val="clear" w:color="auto" w:fill="FFFFFF" w:themeFill="background1"/>
            <w:vAlign w:val="center"/>
            <w:hideMark/>
          </w:tcPr>
          <w:p w14:paraId="5D43F20B" w14:textId="77777777" w:rsidR="00730639" w:rsidRPr="00CE47BF" w:rsidRDefault="00730639" w:rsidP="00367064">
            <w:pPr>
              <w:spacing w:before="0" w:line="240" w:lineRule="auto"/>
              <w:jc w:val="center"/>
              <w:rPr>
                <w:rFonts w:cs="Calibri"/>
                <w:b w:val="0"/>
                <w:i/>
                <w:iCs/>
                <w:sz w:val="20"/>
                <w:szCs w:val="20"/>
                <w:lang w:val="en-US" w:eastAsia="en-US"/>
              </w:rPr>
            </w:pPr>
          </w:p>
        </w:tc>
        <w:tc>
          <w:tcPr>
            <w:tcW w:w="3340" w:type="dxa"/>
            <w:shd w:val="clear" w:color="auto" w:fill="FFFFFF" w:themeFill="background1"/>
            <w:vAlign w:val="center"/>
            <w:hideMark/>
          </w:tcPr>
          <w:p w14:paraId="12A96724"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7E68D1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27.80%</w:t>
            </w:r>
          </w:p>
        </w:tc>
        <w:tc>
          <w:tcPr>
            <w:tcW w:w="1120" w:type="dxa"/>
            <w:shd w:val="clear" w:color="auto" w:fill="FFFFFF" w:themeFill="background1"/>
            <w:vAlign w:val="center"/>
            <w:hideMark/>
          </w:tcPr>
          <w:p w14:paraId="32BEBFD6" w14:textId="0CA492F6"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5AD2357B" w14:textId="20A68FC1"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216D5164" w14:textId="77777777" w:rsidTr="00D656FB">
        <w:trPr>
          <w:trHeight w:val="345"/>
        </w:trPr>
        <w:tc>
          <w:tcPr>
            <w:tcW w:w="1280" w:type="dxa"/>
            <w:vMerge w:val="restart"/>
            <w:shd w:val="clear" w:color="auto" w:fill="FFFFFF" w:themeFill="background1"/>
            <w:vAlign w:val="center"/>
            <w:hideMark/>
          </w:tcPr>
          <w:p w14:paraId="24FEAF7E"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2022</w:t>
            </w:r>
          </w:p>
        </w:tc>
        <w:tc>
          <w:tcPr>
            <w:tcW w:w="3340" w:type="dxa"/>
            <w:shd w:val="clear" w:color="auto" w:fill="FFFFFF" w:themeFill="background1"/>
            <w:noWrap/>
            <w:vAlign w:val="center"/>
            <w:hideMark/>
          </w:tcPr>
          <w:p w14:paraId="599F3895" w14:textId="30E5B548"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ՄԺԾԾ 2023-2025</w:t>
            </w:r>
          </w:p>
        </w:tc>
        <w:tc>
          <w:tcPr>
            <w:tcW w:w="1120" w:type="dxa"/>
            <w:shd w:val="clear" w:color="auto" w:fill="FFFFFF" w:themeFill="background1"/>
            <w:vAlign w:val="center"/>
            <w:hideMark/>
          </w:tcPr>
          <w:p w14:paraId="4C4A94B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2,192.2</w:t>
            </w:r>
          </w:p>
        </w:tc>
        <w:tc>
          <w:tcPr>
            <w:tcW w:w="1120" w:type="dxa"/>
            <w:shd w:val="clear" w:color="auto" w:fill="FFFFFF" w:themeFill="background1"/>
            <w:vAlign w:val="center"/>
            <w:hideMark/>
          </w:tcPr>
          <w:p w14:paraId="6438934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2,546.0</w:t>
            </w:r>
          </w:p>
        </w:tc>
        <w:tc>
          <w:tcPr>
            <w:tcW w:w="1120" w:type="dxa"/>
            <w:shd w:val="clear" w:color="auto" w:fill="FFFFFF" w:themeFill="background1"/>
            <w:vAlign w:val="center"/>
            <w:hideMark/>
          </w:tcPr>
          <w:p w14:paraId="6977510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2,810.9</w:t>
            </w:r>
          </w:p>
        </w:tc>
      </w:tr>
      <w:tr w:rsidR="00730639" w:rsidRPr="00822EDF" w14:paraId="2B6C1285" w14:textId="77777777" w:rsidTr="00D656FB">
        <w:trPr>
          <w:trHeight w:val="345"/>
        </w:trPr>
        <w:tc>
          <w:tcPr>
            <w:tcW w:w="1280" w:type="dxa"/>
            <w:vMerge/>
            <w:shd w:val="clear" w:color="auto" w:fill="FFFFFF" w:themeFill="background1"/>
            <w:vAlign w:val="center"/>
            <w:hideMark/>
          </w:tcPr>
          <w:p w14:paraId="79D831DB" w14:textId="77777777" w:rsidR="00730639" w:rsidRPr="00CE47BF" w:rsidRDefault="00730639" w:rsidP="00367064">
            <w:pPr>
              <w:spacing w:before="0" w:line="240" w:lineRule="auto"/>
              <w:jc w:val="center"/>
              <w:rPr>
                <w:rFonts w:cs="Calibri"/>
                <w:b w:val="0"/>
                <w:i/>
                <w:iCs/>
                <w:sz w:val="20"/>
                <w:szCs w:val="20"/>
                <w:lang w:val="en-US" w:eastAsia="en-US"/>
              </w:rPr>
            </w:pPr>
          </w:p>
        </w:tc>
        <w:tc>
          <w:tcPr>
            <w:tcW w:w="3340" w:type="dxa"/>
            <w:shd w:val="clear" w:color="auto" w:fill="FFFFFF" w:themeFill="background1"/>
            <w:vAlign w:val="center"/>
            <w:hideMark/>
          </w:tcPr>
          <w:p w14:paraId="75FD982A"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1CC37BF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27.20%</w:t>
            </w:r>
          </w:p>
        </w:tc>
        <w:tc>
          <w:tcPr>
            <w:tcW w:w="1120" w:type="dxa"/>
            <w:shd w:val="clear" w:color="auto" w:fill="FFFFFF" w:themeFill="background1"/>
            <w:vAlign w:val="center"/>
            <w:hideMark/>
          </w:tcPr>
          <w:p w14:paraId="1277A48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28.10%</w:t>
            </w:r>
          </w:p>
        </w:tc>
        <w:tc>
          <w:tcPr>
            <w:tcW w:w="1120" w:type="dxa"/>
            <w:shd w:val="clear" w:color="auto" w:fill="FFFFFF" w:themeFill="background1"/>
            <w:vAlign w:val="center"/>
            <w:hideMark/>
          </w:tcPr>
          <w:p w14:paraId="12F06554"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27.80%</w:t>
            </w:r>
          </w:p>
        </w:tc>
      </w:tr>
      <w:tr w:rsidR="00730639" w:rsidRPr="00822EDF" w14:paraId="6E02EBC0" w14:textId="77777777" w:rsidTr="00D656FB">
        <w:trPr>
          <w:trHeight w:val="345"/>
        </w:trPr>
        <w:tc>
          <w:tcPr>
            <w:tcW w:w="1280" w:type="dxa"/>
            <w:vMerge/>
            <w:shd w:val="clear" w:color="auto" w:fill="FFFFFF" w:themeFill="background1"/>
            <w:vAlign w:val="center"/>
            <w:hideMark/>
          </w:tcPr>
          <w:p w14:paraId="6C0F4B56" w14:textId="77777777" w:rsidR="00730639" w:rsidRPr="00CE47BF" w:rsidRDefault="00730639" w:rsidP="00367064">
            <w:pPr>
              <w:spacing w:before="0" w:line="240" w:lineRule="auto"/>
              <w:jc w:val="center"/>
              <w:rPr>
                <w:rFonts w:cs="Calibri"/>
                <w:b w:val="0"/>
                <w:i/>
                <w:iCs/>
                <w:sz w:val="20"/>
                <w:szCs w:val="20"/>
                <w:lang w:val="en-US" w:eastAsia="en-US"/>
              </w:rPr>
            </w:pPr>
          </w:p>
        </w:tc>
        <w:tc>
          <w:tcPr>
            <w:tcW w:w="3340" w:type="dxa"/>
            <w:shd w:val="clear" w:color="auto" w:fill="FFFFFF" w:themeFill="background1"/>
            <w:noWrap/>
            <w:vAlign w:val="center"/>
            <w:hideMark/>
          </w:tcPr>
          <w:p w14:paraId="21CA05F9"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2023թ. Պետական բյուջե</w:t>
            </w:r>
          </w:p>
        </w:tc>
        <w:tc>
          <w:tcPr>
            <w:tcW w:w="1120" w:type="dxa"/>
            <w:shd w:val="clear" w:color="auto" w:fill="FFFFFF" w:themeFill="background1"/>
            <w:vAlign w:val="center"/>
            <w:hideMark/>
          </w:tcPr>
          <w:p w14:paraId="5E53F24E"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2,246.7</w:t>
            </w:r>
          </w:p>
        </w:tc>
        <w:tc>
          <w:tcPr>
            <w:tcW w:w="1120" w:type="dxa"/>
            <w:shd w:val="clear" w:color="auto" w:fill="FFFFFF" w:themeFill="background1"/>
            <w:vAlign w:val="center"/>
            <w:hideMark/>
          </w:tcPr>
          <w:p w14:paraId="558373C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2,591.0</w:t>
            </w:r>
          </w:p>
        </w:tc>
        <w:tc>
          <w:tcPr>
            <w:tcW w:w="1120" w:type="dxa"/>
            <w:shd w:val="clear" w:color="auto" w:fill="FFFFFF" w:themeFill="background1"/>
            <w:vAlign w:val="center"/>
            <w:hideMark/>
          </w:tcPr>
          <w:p w14:paraId="2EFE54AB" w14:textId="776860A5"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226AA553" w14:textId="77777777" w:rsidTr="00D656FB">
        <w:trPr>
          <w:trHeight w:val="345"/>
        </w:trPr>
        <w:tc>
          <w:tcPr>
            <w:tcW w:w="1280" w:type="dxa"/>
            <w:vMerge/>
            <w:shd w:val="clear" w:color="auto" w:fill="FFFFFF" w:themeFill="background1"/>
            <w:vAlign w:val="center"/>
            <w:hideMark/>
          </w:tcPr>
          <w:p w14:paraId="011B1778" w14:textId="77777777" w:rsidR="00730639" w:rsidRPr="00CE47BF" w:rsidRDefault="00730639" w:rsidP="00367064">
            <w:pPr>
              <w:spacing w:before="0" w:line="240" w:lineRule="auto"/>
              <w:jc w:val="center"/>
              <w:rPr>
                <w:rFonts w:cs="Calibri"/>
                <w:b w:val="0"/>
                <w:i/>
                <w:iCs/>
                <w:sz w:val="20"/>
                <w:szCs w:val="20"/>
                <w:lang w:val="en-US" w:eastAsia="en-US"/>
              </w:rPr>
            </w:pPr>
          </w:p>
        </w:tc>
        <w:tc>
          <w:tcPr>
            <w:tcW w:w="3340" w:type="dxa"/>
            <w:shd w:val="clear" w:color="auto" w:fill="FFFFFF" w:themeFill="background1"/>
            <w:vAlign w:val="center"/>
            <w:hideMark/>
          </w:tcPr>
          <w:p w14:paraId="07600DAB"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AF92002"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27.09%</w:t>
            </w:r>
          </w:p>
        </w:tc>
        <w:tc>
          <w:tcPr>
            <w:tcW w:w="1120" w:type="dxa"/>
            <w:shd w:val="clear" w:color="auto" w:fill="FFFFFF" w:themeFill="background1"/>
            <w:vAlign w:val="center"/>
            <w:hideMark/>
          </w:tcPr>
          <w:p w14:paraId="124DA54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27.80%</w:t>
            </w:r>
          </w:p>
        </w:tc>
        <w:tc>
          <w:tcPr>
            <w:tcW w:w="1120" w:type="dxa"/>
            <w:shd w:val="clear" w:color="auto" w:fill="FFFFFF" w:themeFill="background1"/>
            <w:vAlign w:val="center"/>
            <w:hideMark/>
          </w:tcPr>
          <w:p w14:paraId="47C9C3D5" w14:textId="7A50A3CE"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021A6E24" w14:textId="77777777" w:rsidTr="00D656FB">
        <w:trPr>
          <w:trHeight w:val="345"/>
        </w:trPr>
        <w:tc>
          <w:tcPr>
            <w:tcW w:w="1280" w:type="dxa"/>
            <w:vMerge w:val="restart"/>
            <w:shd w:val="clear" w:color="auto" w:fill="FFFFFF" w:themeFill="background1"/>
            <w:vAlign w:val="center"/>
            <w:hideMark/>
          </w:tcPr>
          <w:p w14:paraId="7055225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2023</w:t>
            </w:r>
          </w:p>
        </w:tc>
        <w:tc>
          <w:tcPr>
            <w:tcW w:w="3340" w:type="dxa"/>
            <w:shd w:val="clear" w:color="auto" w:fill="FFFFFF" w:themeFill="background1"/>
            <w:noWrap/>
            <w:vAlign w:val="center"/>
            <w:hideMark/>
          </w:tcPr>
          <w:p w14:paraId="0D133E7F" w14:textId="02A91E6F"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ՄԺԾԾ 2024-2026</w:t>
            </w:r>
          </w:p>
        </w:tc>
        <w:tc>
          <w:tcPr>
            <w:tcW w:w="1120" w:type="dxa"/>
            <w:shd w:val="clear" w:color="auto" w:fill="FFFFFF" w:themeFill="background1"/>
            <w:vAlign w:val="center"/>
            <w:hideMark/>
          </w:tcPr>
          <w:p w14:paraId="36514E5A" w14:textId="2D0140E6"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68379FB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2,607.6</w:t>
            </w:r>
          </w:p>
        </w:tc>
        <w:tc>
          <w:tcPr>
            <w:tcW w:w="1120" w:type="dxa"/>
            <w:shd w:val="clear" w:color="auto" w:fill="FFFFFF" w:themeFill="background1"/>
            <w:vAlign w:val="center"/>
            <w:hideMark/>
          </w:tcPr>
          <w:p w14:paraId="38F74B8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2,966.7</w:t>
            </w:r>
          </w:p>
        </w:tc>
      </w:tr>
      <w:tr w:rsidR="00730639" w:rsidRPr="00822EDF" w14:paraId="33BC6D47" w14:textId="77777777" w:rsidTr="00D656FB">
        <w:trPr>
          <w:trHeight w:val="345"/>
        </w:trPr>
        <w:tc>
          <w:tcPr>
            <w:tcW w:w="1280" w:type="dxa"/>
            <w:vMerge/>
            <w:shd w:val="clear" w:color="auto" w:fill="FFFFFF" w:themeFill="background1"/>
            <w:vAlign w:val="center"/>
            <w:hideMark/>
          </w:tcPr>
          <w:p w14:paraId="4B000F9A"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5C636D73"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6D6AB1D6" w14:textId="2423705B"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31354F8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27.35%</w:t>
            </w:r>
          </w:p>
        </w:tc>
        <w:tc>
          <w:tcPr>
            <w:tcW w:w="1120" w:type="dxa"/>
            <w:shd w:val="clear" w:color="auto" w:fill="FFFFFF" w:themeFill="background1"/>
            <w:vAlign w:val="center"/>
            <w:hideMark/>
          </w:tcPr>
          <w:p w14:paraId="6538164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27.97%</w:t>
            </w:r>
          </w:p>
        </w:tc>
      </w:tr>
      <w:tr w:rsidR="00730639" w:rsidRPr="00822EDF" w14:paraId="576ED714" w14:textId="77777777" w:rsidTr="00D656FB">
        <w:trPr>
          <w:trHeight w:val="345"/>
        </w:trPr>
        <w:tc>
          <w:tcPr>
            <w:tcW w:w="1280" w:type="dxa"/>
            <w:vMerge/>
            <w:shd w:val="clear" w:color="auto" w:fill="FFFFFF" w:themeFill="background1"/>
            <w:vAlign w:val="center"/>
            <w:hideMark/>
          </w:tcPr>
          <w:p w14:paraId="5EB90672"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7B393274"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2024թ. Պետական բյուջե</w:t>
            </w:r>
          </w:p>
        </w:tc>
        <w:tc>
          <w:tcPr>
            <w:tcW w:w="1120" w:type="dxa"/>
            <w:shd w:val="clear" w:color="auto" w:fill="FFFFFF" w:themeFill="background1"/>
            <w:vAlign w:val="center"/>
            <w:hideMark/>
          </w:tcPr>
          <w:p w14:paraId="5C5193AF" w14:textId="7E9A1165"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409B910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2,653.4</w:t>
            </w:r>
          </w:p>
        </w:tc>
        <w:tc>
          <w:tcPr>
            <w:tcW w:w="1120" w:type="dxa"/>
            <w:shd w:val="clear" w:color="auto" w:fill="FFFFFF" w:themeFill="background1"/>
            <w:vAlign w:val="center"/>
            <w:hideMark/>
          </w:tcPr>
          <w:p w14:paraId="2B181F2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3,206.5</w:t>
            </w:r>
          </w:p>
        </w:tc>
      </w:tr>
      <w:tr w:rsidR="00730639" w:rsidRPr="00822EDF" w14:paraId="618D4808" w14:textId="77777777" w:rsidTr="00D656FB">
        <w:trPr>
          <w:trHeight w:val="345"/>
        </w:trPr>
        <w:tc>
          <w:tcPr>
            <w:tcW w:w="1280" w:type="dxa"/>
            <w:vMerge/>
            <w:shd w:val="clear" w:color="auto" w:fill="FFFFFF" w:themeFill="background1"/>
            <w:vAlign w:val="center"/>
            <w:hideMark/>
          </w:tcPr>
          <w:p w14:paraId="523E0CE8"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3181F6AD" w14:textId="77777777" w:rsidR="00730639" w:rsidRPr="00CE47BF" w:rsidRDefault="00730639" w:rsidP="00367064">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61E10EE1" w14:textId="779A54B0"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1204CB3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28.08%</w:t>
            </w:r>
          </w:p>
        </w:tc>
        <w:tc>
          <w:tcPr>
            <w:tcW w:w="1120" w:type="dxa"/>
            <w:shd w:val="clear" w:color="auto" w:fill="FFFFFF" w:themeFill="background1"/>
            <w:vAlign w:val="center"/>
            <w:hideMark/>
          </w:tcPr>
          <w:p w14:paraId="5CF5ECE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30.49%</w:t>
            </w:r>
          </w:p>
        </w:tc>
      </w:tr>
    </w:tbl>
    <w:p w14:paraId="04114203" w14:textId="77777777" w:rsidR="00730639" w:rsidRPr="00654AEF" w:rsidRDefault="00730639" w:rsidP="00730639">
      <w:pPr>
        <w:spacing w:before="0" w:line="259" w:lineRule="auto"/>
        <w:rPr>
          <w:rFonts w:eastAsia="Calibri" w:cs="Sylfaen"/>
          <w:b w:val="0"/>
          <w:bCs/>
          <w:i/>
          <w:iCs/>
          <w:color w:val="000000"/>
          <w:sz w:val="20"/>
          <w:szCs w:val="20"/>
          <w:lang w:val="hy-AM" w:eastAsia="en-US"/>
        </w:rPr>
      </w:pPr>
    </w:p>
    <w:p w14:paraId="251E1E2B" w14:textId="77777777" w:rsidR="00730639" w:rsidRPr="00654AEF" w:rsidRDefault="00730639" w:rsidP="00730639">
      <w:pPr>
        <w:spacing w:before="0" w:line="259" w:lineRule="auto"/>
        <w:rPr>
          <w:rFonts w:eastAsia="Calibri" w:cs="Sylfaen"/>
          <w:b w:val="0"/>
          <w:bCs/>
          <w:i/>
          <w:iCs/>
          <w:color w:val="000000"/>
          <w:sz w:val="20"/>
          <w:szCs w:val="20"/>
          <w:lang w:val="hy-AM" w:eastAsia="en-US"/>
        </w:rPr>
      </w:pPr>
      <w:r w:rsidRPr="00654AEF">
        <w:rPr>
          <w:rFonts w:eastAsia="Calibri"/>
          <w:bCs/>
          <w:i/>
          <w:iCs/>
          <w:color w:val="000000"/>
          <w:sz w:val="20"/>
          <w:szCs w:val="20"/>
          <w:lang w:val="hy-AM" w:eastAsia="en-US"/>
        </w:rPr>
        <w:t>Աղյուսակ 2.5.4.</w:t>
      </w:r>
      <w:r w:rsidRPr="00654AEF">
        <w:rPr>
          <w:rFonts w:eastAsia="Calibri"/>
          <w:bCs/>
          <w:i/>
          <w:iCs/>
          <w:sz w:val="20"/>
          <w:szCs w:val="20"/>
          <w:lang w:val="hy-AM" w:eastAsia="en-US"/>
        </w:rPr>
        <w:t xml:space="preserve"> </w:t>
      </w:r>
      <w:r w:rsidRPr="00654AEF">
        <w:rPr>
          <w:rFonts w:eastAsia="Calibri" w:cs="Sylfaen"/>
          <w:b w:val="0"/>
          <w:bCs/>
          <w:i/>
          <w:iCs/>
          <w:color w:val="000000"/>
          <w:sz w:val="20"/>
          <w:szCs w:val="20"/>
          <w:lang w:val="hy-AM" w:eastAsia="en-US"/>
        </w:rPr>
        <w:t>Պետական բյուջեի ընթացիկ ծախսերի կանխատեսումների համեմատական աղյուսակը (մլրդ դրամ)</w:t>
      </w:r>
    </w:p>
    <w:tbl>
      <w:tblPr>
        <w:tblW w:w="7980" w:type="dxa"/>
        <w:tblBorders>
          <w:insideH w:val="single" w:sz="4" w:space="0" w:color="auto"/>
        </w:tblBorders>
        <w:tblLook w:val="04A0" w:firstRow="1" w:lastRow="0" w:firstColumn="1" w:lastColumn="0" w:noHBand="0" w:noVBand="1"/>
      </w:tblPr>
      <w:tblGrid>
        <w:gridCol w:w="1280"/>
        <w:gridCol w:w="3340"/>
        <w:gridCol w:w="1120"/>
        <w:gridCol w:w="1120"/>
        <w:gridCol w:w="1120"/>
      </w:tblGrid>
      <w:tr w:rsidR="00730639" w:rsidRPr="00822EDF" w14:paraId="5AF70176" w14:textId="77777777" w:rsidTr="00D656FB">
        <w:trPr>
          <w:trHeight w:val="675"/>
        </w:trPr>
        <w:tc>
          <w:tcPr>
            <w:tcW w:w="1280" w:type="dxa"/>
            <w:shd w:val="clear" w:color="auto" w:fill="FFFFFF" w:themeFill="background1"/>
            <w:vAlign w:val="center"/>
            <w:hideMark/>
          </w:tcPr>
          <w:p w14:paraId="0F78307D"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Ընդունման տարին</w:t>
            </w:r>
          </w:p>
        </w:tc>
        <w:tc>
          <w:tcPr>
            <w:tcW w:w="3340" w:type="dxa"/>
            <w:shd w:val="clear" w:color="auto" w:fill="FFFFFF" w:themeFill="background1"/>
            <w:vAlign w:val="center"/>
            <w:hideMark/>
          </w:tcPr>
          <w:p w14:paraId="10E8EF3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Ծրագիր</w:t>
            </w:r>
          </w:p>
        </w:tc>
        <w:tc>
          <w:tcPr>
            <w:tcW w:w="1120" w:type="dxa"/>
            <w:shd w:val="clear" w:color="auto" w:fill="FFFFFF" w:themeFill="background1"/>
            <w:vAlign w:val="center"/>
            <w:hideMark/>
          </w:tcPr>
          <w:p w14:paraId="532E1FF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w:t>
            </w:r>
          </w:p>
        </w:tc>
        <w:tc>
          <w:tcPr>
            <w:tcW w:w="1120" w:type="dxa"/>
            <w:shd w:val="clear" w:color="auto" w:fill="FFFFFF" w:themeFill="background1"/>
            <w:vAlign w:val="center"/>
            <w:hideMark/>
          </w:tcPr>
          <w:p w14:paraId="2B8C504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w:t>
            </w:r>
          </w:p>
        </w:tc>
        <w:tc>
          <w:tcPr>
            <w:tcW w:w="1120" w:type="dxa"/>
            <w:shd w:val="clear" w:color="auto" w:fill="FFFFFF" w:themeFill="background1"/>
            <w:vAlign w:val="center"/>
            <w:hideMark/>
          </w:tcPr>
          <w:p w14:paraId="40F03A3D"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w:t>
            </w:r>
          </w:p>
        </w:tc>
      </w:tr>
      <w:tr w:rsidR="00730639" w:rsidRPr="00822EDF" w14:paraId="5539FA48" w14:textId="77777777" w:rsidTr="00D656FB">
        <w:trPr>
          <w:trHeight w:val="345"/>
        </w:trPr>
        <w:tc>
          <w:tcPr>
            <w:tcW w:w="1280" w:type="dxa"/>
            <w:vMerge w:val="restart"/>
            <w:shd w:val="clear" w:color="auto" w:fill="FFFFFF" w:themeFill="background1"/>
            <w:vAlign w:val="center"/>
            <w:hideMark/>
          </w:tcPr>
          <w:p w14:paraId="50FFFAC3"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w:t>
            </w:r>
          </w:p>
        </w:tc>
        <w:tc>
          <w:tcPr>
            <w:tcW w:w="3340" w:type="dxa"/>
            <w:shd w:val="clear" w:color="auto" w:fill="FFFFFF" w:themeFill="background1"/>
            <w:noWrap/>
            <w:vAlign w:val="center"/>
            <w:hideMark/>
          </w:tcPr>
          <w:p w14:paraId="0743DE17"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Փաստացի</w:t>
            </w:r>
          </w:p>
        </w:tc>
        <w:tc>
          <w:tcPr>
            <w:tcW w:w="1120" w:type="dxa"/>
            <w:shd w:val="clear" w:color="auto" w:fill="FFFFFF" w:themeFill="background1"/>
            <w:vAlign w:val="center"/>
            <w:hideMark/>
          </w:tcPr>
          <w:p w14:paraId="51ABC44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1,862.2</w:t>
            </w:r>
          </w:p>
        </w:tc>
        <w:tc>
          <w:tcPr>
            <w:tcW w:w="1120" w:type="dxa"/>
            <w:shd w:val="clear" w:color="auto" w:fill="FFFFFF" w:themeFill="background1"/>
            <w:noWrap/>
            <w:vAlign w:val="center"/>
            <w:hideMark/>
          </w:tcPr>
          <w:p w14:paraId="4595291D" w14:textId="7FE59C80"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06571129" w14:textId="26B1E724"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7936A7CF" w14:textId="77777777" w:rsidTr="00D656FB">
        <w:trPr>
          <w:trHeight w:val="345"/>
        </w:trPr>
        <w:tc>
          <w:tcPr>
            <w:tcW w:w="1280" w:type="dxa"/>
            <w:vMerge/>
            <w:shd w:val="clear" w:color="auto" w:fill="FFFFFF" w:themeFill="background1"/>
            <w:vAlign w:val="center"/>
            <w:hideMark/>
          </w:tcPr>
          <w:p w14:paraId="2C437253"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3285AFA6"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4DB03072"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21.90%</w:t>
            </w:r>
          </w:p>
        </w:tc>
        <w:tc>
          <w:tcPr>
            <w:tcW w:w="1120" w:type="dxa"/>
            <w:shd w:val="clear" w:color="auto" w:fill="FFFFFF" w:themeFill="background1"/>
            <w:noWrap/>
            <w:vAlign w:val="center"/>
            <w:hideMark/>
          </w:tcPr>
          <w:p w14:paraId="7B3F67A4" w14:textId="11FD27AC"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4A7803CD" w14:textId="37E7B1EC"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11F01C95" w14:textId="77777777" w:rsidTr="00D656FB">
        <w:trPr>
          <w:trHeight w:val="345"/>
        </w:trPr>
        <w:tc>
          <w:tcPr>
            <w:tcW w:w="1280" w:type="dxa"/>
            <w:vMerge w:val="restart"/>
            <w:shd w:val="clear" w:color="auto" w:fill="FFFFFF" w:themeFill="background1"/>
            <w:vAlign w:val="center"/>
            <w:hideMark/>
          </w:tcPr>
          <w:p w14:paraId="40D0B652"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2021</w:t>
            </w:r>
          </w:p>
        </w:tc>
        <w:tc>
          <w:tcPr>
            <w:tcW w:w="3340" w:type="dxa"/>
            <w:shd w:val="clear" w:color="auto" w:fill="FFFFFF" w:themeFill="background1"/>
            <w:noWrap/>
            <w:vAlign w:val="center"/>
            <w:hideMark/>
          </w:tcPr>
          <w:p w14:paraId="21EF4706"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2022-2024</w:t>
            </w:r>
          </w:p>
        </w:tc>
        <w:tc>
          <w:tcPr>
            <w:tcW w:w="1120" w:type="dxa"/>
            <w:shd w:val="clear" w:color="auto" w:fill="FFFFFF" w:themeFill="background1"/>
            <w:vAlign w:val="center"/>
            <w:hideMark/>
          </w:tcPr>
          <w:p w14:paraId="738485D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1,708.3</w:t>
            </w:r>
          </w:p>
        </w:tc>
        <w:tc>
          <w:tcPr>
            <w:tcW w:w="1120" w:type="dxa"/>
            <w:shd w:val="clear" w:color="auto" w:fill="FFFFFF" w:themeFill="background1"/>
            <w:vAlign w:val="center"/>
            <w:hideMark/>
          </w:tcPr>
          <w:p w14:paraId="3E0FB96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1,827.3</w:t>
            </w:r>
          </w:p>
        </w:tc>
        <w:tc>
          <w:tcPr>
            <w:tcW w:w="1120" w:type="dxa"/>
            <w:shd w:val="clear" w:color="auto" w:fill="FFFFFF" w:themeFill="background1"/>
            <w:vAlign w:val="center"/>
            <w:hideMark/>
          </w:tcPr>
          <w:p w14:paraId="7C48DA6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1,958.1</w:t>
            </w:r>
          </w:p>
        </w:tc>
      </w:tr>
      <w:tr w:rsidR="00730639" w:rsidRPr="00822EDF" w14:paraId="4329BE3D" w14:textId="77777777" w:rsidTr="00D656FB">
        <w:trPr>
          <w:trHeight w:val="345"/>
        </w:trPr>
        <w:tc>
          <w:tcPr>
            <w:tcW w:w="1280" w:type="dxa"/>
            <w:vMerge/>
            <w:shd w:val="clear" w:color="auto" w:fill="FFFFFF" w:themeFill="background1"/>
            <w:vAlign w:val="center"/>
            <w:hideMark/>
          </w:tcPr>
          <w:p w14:paraId="43852E36"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674A9C4A"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345AB872"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22.60%</w:t>
            </w:r>
          </w:p>
        </w:tc>
        <w:tc>
          <w:tcPr>
            <w:tcW w:w="1120" w:type="dxa"/>
            <w:shd w:val="clear" w:color="auto" w:fill="FFFFFF" w:themeFill="background1"/>
            <w:vAlign w:val="center"/>
            <w:hideMark/>
          </w:tcPr>
          <w:p w14:paraId="1762C70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22.40%</w:t>
            </w:r>
          </w:p>
        </w:tc>
        <w:tc>
          <w:tcPr>
            <w:tcW w:w="1120" w:type="dxa"/>
            <w:shd w:val="clear" w:color="auto" w:fill="FFFFFF" w:themeFill="background1"/>
            <w:vAlign w:val="center"/>
            <w:hideMark/>
          </w:tcPr>
          <w:p w14:paraId="437A3AAC"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22.20%</w:t>
            </w:r>
          </w:p>
        </w:tc>
      </w:tr>
      <w:tr w:rsidR="00730639" w:rsidRPr="00822EDF" w14:paraId="5A3DB335" w14:textId="77777777" w:rsidTr="00D656FB">
        <w:trPr>
          <w:trHeight w:val="345"/>
        </w:trPr>
        <w:tc>
          <w:tcPr>
            <w:tcW w:w="1280" w:type="dxa"/>
            <w:vMerge/>
            <w:shd w:val="clear" w:color="auto" w:fill="FFFFFF" w:themeFill="background1"/>
            <w:vAlign w:val="center"/>
            <w:hideMark/>
          </w:tcPr>
          <w:p w14:paraId="3373F743"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02E19BA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2022թ. Պետական բյուջե</w:t>
            </w:r>
          </w:p>
        </w:tc>
        <w:tc>
          <w:tcPr>
            <w:tcW w:w="1120" w:type="dxa"/>
            <w:shd w:val="clear" w:color="auto" w:fill="FFFFFF" w:themeFill="background1"/>
            <w:vAlign w:val="center"/>
            <w:hideMark/>
          </w:tcPr>
          <w:p w14:paraId="241D5F77"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1,842.2</w:t>
            </w:r>
          </w:p>
        </w:tc>
        <w:tc>
          <w:tcPr>
            <w:tcW w:w="1120" w:type="dxa"/>
            <w:shd w:val="clear" w:color="auto" w:fill="FFFFFF" w:themeFill="background1"/>
            <w:vAlign w:val="center"/>
            <w:hideMark/>
          </w:tcPr>
          <w:p w14:paraId="15E40D23" w14:textId="4EA18CAA"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68D8A4F8" w14:textId="269E3F1C"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6BF546CE" w14:textId="77777777" w:rsidTr="00D656FB">
        <w:trPr>
          <w:trHeight w:val="345"/>
        </w:trPr>
        <w:tc>
          <w:tcPr>
            <w:tcW w:w="1280" w:type="dxa"/>
            <w:vMerge/>
            <w:shd w:val="clear" w:color="auto" w:fill="FFFFFF" w:themeFill="background1"/>
            <w:vAlign w:val="center"/>
            <w:hideMark/>
          </w:tcPr>
          <w:p w14:paraId="0C10CE6D"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7BCBDAB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5692F51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23.40%</w:t>
            </w:r>
          </w:p>
        </w:tc>
        <w:tc>
          <w:tcPr>
            <w:tcW w:w="1120" w:type="dxa"/>
            <w:shd w:val="clear" w:color="auto" w:fill="FFFFFF" w:themeFill="background1"/>
            <w:vAlign w:val="center"/>
            <w:hideMark/>
          </w:tcPr>
          <w:p w14:paraId="5ED0BC22" w14:textId="1FE7D77C"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08CE4337" w14:textId="1C42805F"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4EA98825" w14:textId="77777777" w:rsidTr="00D656FB">
        <w:trPr>
          <w:trHeight w:val="345"/>
        </w:trPr>
        <w:tc>
          <w:tcPr>
            <w:tcW w:w="1280" w:type="dxa"/>
            <w:vMerge w:val="restart"/>
            <w:shd w:val="clear" w:color="auto" w:fill="FFFFFF" w:themeFill="background1"/>
            <w:vAlign w:val="center"/>
            <w:hideMark/>
          </w:tcPr>
          <w:p w14:paraId="3BAA4506"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w:t>
            </w:r>
          </w:p>
        </w:tc>
        <w:tc>
          <w:tcPr>
            <w:tcW w:w="3340" w:type="dxa"/>
            <w:shd w:val="clear" w:color="auto" w:fill="FFFFFF" w:themeFill="background1"/>
            <w:noWrap/>
            <w:vAlign w:val="center"/>
            <w:hideMark/>
          </w:tcPr>
          <w:p w14:paraId="0E26B82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2023-2025</w:t>
            </w:r>
          </w:p>
        </w:tc>
        <w:tc>
          <w:tcPr>
            <w:tcW w:w="1120" w:type="dxa"/>
            <w:shd w:val="clear" w:color="auto" w:fill="FFFFFF" w:themeFill="background1"/>
            <w:vAlign w:val="center"/>
            <w:hideMark/>
          </w:tcPr>
          <w:p w14:paraId="7E73296C"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1,842.2</w:t>
            </w:r>
          </w:p>
        </w:tc>
        <w:tc>
          <w:tcPr>
            <w:tcW w:w="1120" w:type="dxa"/>
            <w:shd w:val="clear" w:color="auto" w:fill="FFFFFF" w:themeFill="background1"/>
            <w:vAlign w:val="center"/>
            <w:hideMark/>
          </w:tcPr>
          <w:p w14:paraId="2309071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2,030.7</w:t>
            </w:r>
          </w:p>
        </w:tc>
        <w:tc>
          <w:tcPr>
            <w:tcW w:w="1120" w:type="dxa"/>
            <w:shd w:val="clear" w:color="auto" w:fill="FFFFFF" w:themeFill="background1"/>
            <w:vAlign w:val="center"/>
            <w:hideMark/>
          </w:tcPr>
          <w:p w14:paraId="2C623575"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2,221.2</w:t>
            </w:r>
          </w:p>
        </w:tc>
      </w:tr>
      <w:tr w:rsidR="00730639" w:rsidRPr="00822EDF" w14:paraId="256703C6" w14:textId="77777777" w:rsidTr="00D656FB">
        <w:trPr>
          <w:trHeight w:val="345"/>
        </w:trPr>
        <w:tc>
          <w:tcPr>
            <w:tcW w:w="1280" w:type="dxa"/>
            <w:vMerge/>
            <w:shd w:val="clear" w:color="auto" w:fill="FFFFFF" w:themeFill="background1"/>
            <w:vAlign w:val="center"/>
            <w:hideMark/>
          </w:tcPr>
          <w:p w14:paraId="58D8C796"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0F6D9EA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7B6C72B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22.80%</w:t>
            </w:r>
          </w:p>
        </w:tc>
        <w:tc>
          <w:tcPr>
            <w:tcW w:w="1120" w:type="dxa"/>
            <w:shd w:val="clear" w:color="auto" w:fill="FFFFFF" w:themeFill="background1"/>
            <w:vAlign w:val="center"/>
            <w:hideMark/>
          </w:tcPr>
          <w:p w14:paraId="0A79AE9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22.40%</w:t>
            </w:r>
          </w:p>
        </w:tc>
        <w:tc>
          <w:tcPr>
            <w:tcW w:w="1120" w:type="dxa"/>
            <w:shd w:val="clear" w:color="auto" w:fill="FFFFFF" w:themeFill="background1"/>
            <w:vAlign w:val="center"/>
            <w:hideMark/>
          </w:tcPr>
          <w:p w14:paraId="792BEE6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22.00%</w:t>
            </w:r>
          </w:p>
        </w:tc>
      </w:tr>
      <w:tr w:rsidR="00730639" w:rsidRPr="00822EDF" w14:paraId="412FA2B3" w14:textId="77777777" w:rsidTr="00D656FB">
        <w:trPr>
          <w:trHeight w:val="345"/>
        </w:trPr>
        <w:tc>
          <w:tcPr>
            <w:tcW w:w="1280" w:type="dxa"/>
            <w:vMerge/>
            <w:shd w:val="clear" w:color="auto" w:fill="FFFFFF" w:themeFill="background1"/>
            <w:vAlign w:val="center"/>
            <w:hideMark/>
          </w:tcPr>
          <w:p w14:paraId="7C0888AF"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6E70A5E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2023թ. Պետական բյուջե</w:t>
            </w:r>
          </w:p>
        </w:tc>
        <w:tc>
          <w:tcPr>
            <w:tcW w:w="1120" w:type="dxa"/>
            <w:shd w:val="clear" w:color="auto" w:fill="FFFFFF" w:themeFill="background1"/>
            <w:vAlign w:val="center"/>
            <w:hideMark/>
          </w:tcPr>
          <w:p w14:paraId="72993A0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1,857.0</w:t>
            </w:r>
          </w:p>
        </w:tc>
        <w:tc>
          <w:tcPr>
            <w:tcW w:w="1120" w:type="dxa"/>
            <w:shd w:val="clear" w:color="auto" w:fill="FFFFFF" w:themeFill="background1"/>
            <w:vAlign w:val="center"/>
            <w:hideMark/>
          </w:tcPr>
          <w:p w14:paraId="7B52FCE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2,043.3</w:t>
            </w:r>
          </w:p>
        </w:tc>
        <w:tc>
          <w:tcPr>
            <w:tcW w:w="1120" w:type="dxa"/>
            <w:shd w:val="clear" w:color="auto" w:fill="FFFFFF" w:themeFill="background1"/>
            <w:vAlign w:val="center"/>
            <w:hideMark/>
          </w:tcPr>
          <w:p w14:paraId="39BDCB5E" w14:textId="3E438B90"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73CE959E" w14:textId="77777777" w:rsidTr="00D656FB">
        <w:trPr>
          <w:trHeight w:val="345"/>
        </w:trPr>
        <w:tc>
          <w:tcPr>
            <w:tcW w:w="1280" w:type="dxa"/>
            <w:vMerge/>
            <w:shd w:val="clear" w:color="auto" w:fill="FFFFFF" w:themeFill="background1"/>
            <w:vAlign w:val="center"/>
            <w:hideMark/>
          </w:tcPr>
          <w:p w14:paraId="5B8186CA"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131CE474"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5674ED4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22.39%</w:t>
            </w:r>
          </w:p>
        </w:tc>
        <w:tc>
          <w:tcPr>
            <w:tcW w:w="1120" w:type="dxa"/>
            <w:shd w:val="clear" w:color="auto" w:fill="FFFFFF" w:themeFill="background1"/>
            <w:vAlign w:val="center"/>
            <w:hideMark/>
          </w:tcPr>
          <w:p w14:paraId="5EBFFDB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21.92%</w:t>
            </w:r>
          </w:p>
        </w:tc>
        <w:tc>
          <w:tcPr>
            <w:tcW w:w="1120" w:type="dxa"/>
            <w:shd w:val="clear" w:color="auto" w:fill="FFFFFF" w:themeFill="background1"/>
            <w:vAlign w:val="center"/>
            <w:hideMark/>
          </w:tcPr>
          <w:p w14:paraId="0675E493" w14:textId="404DDEFE"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1B4939FE" w14:textId="77777777" w:rsidTr="00D656FB">
        <w:trPr>
          <w:trHeight w:val="345"/>
        </w:trPr>
        <w:tc>
          <w:tcPr>
            <w:tcW w:w="1280" w:type="dxa"/>
            <w:vMerge w:val="restart"/>
            <w:shd w:val="clear" w:color="auto" w:fill="FFFFFF" w:themeFill="background1"/>
            <w:vAlign w:val="center"/>
            <w:hideMark/>
          </w:tcPr>
          <w:p w14:paraId="574ED3C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w:t>
            </w:r>
          </w:p>
        </w:tc>
        <w:tc>
          <w:tcPr>
            <w:tcW w:w="3340" w:type="dxa"/>
            <w:shd w:val="clear" w:color="auto" w:fill="FFFFFF" w:themeFill="background1"/>
            <w:noWrap/>
            <w:vAlign w:val="center"/>
            <w:hideMark/>
          </w:tcPr>
          <w:p w14:paraId="061F12B3"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2024-2026</w:t>
            </w:r>
          </w:p>
        </w:tc>
        <w:tc>
          <w:tcPr>
            <w:tcW w:w="1120" w:type="dxa"/>
            <w:shd w:val="clear" w:color="auto" w:fill="FFFFFF" w:themeFill="background1"/>
            <w:vAlign w:val="center"/>
            <w:hideMark/>
          </w:tcPr>
          <w:p w14:paraId="711D003E" w14:textId="06707B49"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009F329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2,043.3</w:t>
            </w:r>
          </w:p>
        </w:tc>
        <w:tc>
          <w:tcPr>
            <w:tcW w:w="1120" w:type="dxa"/>
            <w:shd w:val="clear" w:color="auto" w:fill="FFFFFF" w:themeFill="background1"/>
            <w:vAlign w:val="center"/>
            <w:hideMark/>
          </w:tcPr>
          <w:p w14:paraId="7664FCF5"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2,301.4</w:t>
            </w:r>
          </w:p>
        </w:tc>
      </w:tr>
      <w:tr w:rsidR="00730639" w:rsidRPr="00822EDF" w14:paraId="6DAA9503" w14:textId="77777777" w:rsidTr="00D656FB">
        <w:trPr>
          <w:trHeight w:val="345"/>
        </w:trPr>
        <w:tc>
          <w:tcPr>
            <w:tcW w:w="1280" w:type="dxa"/>
            <w:vMerge/>
            <w:shd w:val="clear" w:color="auto" w:fill="FFFFFF" w:themeFill="background1"/>
            <w:vAlign w:val="center"/>
            <w:hideMark/>
          </w:tcPr>
          <w:p w14:paraId="6342955F"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0C693E06"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3C7D1DDC" w14:textId="24365E29"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26EF44C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21.43%</w:t>
            </w:r>
          </w:p>
        </w:tc>
        <w:tc>
          <w:tcPr>
            <w:tcW w:w="1120" w:type="dxa"/>
            <w:shd w:val="clear" w:color="auto" w:fill="FFFFFF" w:themeFill="background1"/>
            <w:vAlign w:val="center"/>
            <w:hideMark/>
          </w:tcPr>
          <w:p w14:paraId="442F8267"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21.69%</w:t>
            </w:r>
          </w:p>
        </w:tc>
      </w:tr>
      <w:tr w:rsidR="00730639" w:rsidRPr="00822EDF" w14:paraId="2E4035AB" w14:textId="77777777" w:rsidTr="00D656FB">
        <w:trPr>
          <w:trHeight w:val="345"/>
        </w:trPr>
        <w:tc>
          <w:tcPr>
            <w:tcW w:w="1280" w:type="dxa"/>
            <w:vMerge/>
            <w:shd w:val="clear" w:color="auto" w:fill="FFFFFF" w:themeFill="background1"/>
            <w:vAlign w:val="center"/>
            <w:hideMark/>
          </w:tcPr>
          <w:p w14:paraId="44238E00"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230B5DDC"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2024թ. Պետական բյուջե</w:t>
            </w:r>
          </w:p>
        </w:tc>
        <w:tc>
          <w:tcPr>
            <w:tcW w:w="1120" w:type="dxa"/>
            <w:shd w:val="clear" w:color="auto" w:fill="FFFFFF" w:themeFill="background1"/>
            <w:vAlign w:val="center"/>
            <w:hideMark/>
          </w:tcPr>
          <w:p w14:paraId="061C7BD2" w14:textId="54C71F0A"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0DC6D1E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2,091.3</w:t>
            </w:r>
          </w:p>
        </w:tc>
        <w:tc>
          <w:tcPr>
            <w:tcW w:w="1120" w:type="dxa"/>
            <w:shd w:val="clear" w:color="auto" w:fill="FFFFFF" w:themeFill="background1"/>
            <w:vAlign w:val="center"/>
            <w:hideMark/>
          </w:tcPr>
          <w:p w14:paraId="1F70322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2,511.2</w:t>
            </w:r>
          </w:p>
        </w:tc>
      </w:tr>
      <w:tr w:rsidR="00730639" w:rsidRPr="00822EDF" w14:paraId="619487A3" w14:textId="77777777" w:rsidTr="00D656FB">
        <w:trPr>
          <w:trHeight w:val="345"/>
        </w:trPr>
        <w:tc>
          <w:tcPr>
            <w:tcW w:w="1280" w:type="dxa"/>
            <w:vMerge/>
            <w:shd w:val="clear" w:color="auto" w:fill="FFFFFF" w:themeFill="background1"/>
            <w:vAlign w:val="center"/>
            <w:hideMark/>
          </w:tcPr>
          <w:p w14:paraId="7057A980"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6E0E7F2B"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3D319593" w14:textId="75FE9BCB"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3243F31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22.13%</w:t>
            </w:r>
          </w:p>
        </w:tc>
        <w:tc>
          <w:tcPr>
            <w:tcW w:w="1120" w:type="dxa"/>
            <w:shd w:val="clear" w:color="auto" w:fill="FFFFFF" w:themeFill="background1"/>
            <w:vAlign w:val="center"/>
            <w:hideMark/>
          </w:tcPr>
          <w:p w14:paraId="73D23051"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23.88%</w:t>
            </w:r>
          </w:p>
        </w:tc>
      </w:tr>
    </w:tbl>
    <w:p w14:paraId="1A246DEE" w14:textId="77777777" w:rsidR="00730639" w:rsidRPr="00654AEF" w:rsidRDefault="00730639" w:rsidP="00730639">
      <w:pPr>
        <w:spacing w:before="0" w:line="259" w:lineRule="auto"/>
        <w:rPr>
          <w:rFonts w:eastAsia="Calibri"/>
          <w:bCs/>
          <w:i/>
          <w:iCs/>
          <w:color w:val="000000"/>
          <w:sz w:val="20"/>
          <w:szCs w:val="20"/>
          <w:lang w:val="hy-AM" w:eastAsia="en-US"/>
        </w:rPr>
      </w:pPr>
    </w:p>
    <w:p w14:paraId="029A04A7" w14:textId="77777777" w:rsidR="00730639" w:rsidRPr="00654AEF" w:rsidRDefault="00730639" w:rsidP="00730639">
      <w:pPr>
        <w:spacing w:before="0" w:line="259" w:lineRule="auto"/>
        <w:rPr>
          <w:rFonts w:eastAsia="Calibri" w:cs="Sylfaen"/>
          <w:b w:val="0"/>
          <w:bCs/>
          <w:i/>
          <w:iCs/>
          <w:color w:val="000000"/>
          <w:sz w:val="20"/>
          <w:szCs w:val="20"/>
          <w:lang w:val="hy-AM" w:eastAsia="en-US"/>
        </w:rPr>
      </w:pPr>
      <w:r w:rsidRPr="00654AEF">
        <w:rPr>
          <w:rFonts w:eastAsia="Calibri"/>
          <w:bCs/>
          <w:i/>
          <w:iCs/>
          <w:color w:val="000000"/>
          <w:sz w:val="20"/>
          <w:szCs w:val="20"/>
          <w:lang w:val="hy-AM" w:eastAsia="en-US"/>
        </w:rPr>
        <w:t>Աղյուսակ 2.5.5.</w:t>
      </w:r>
      <w:r w:rsidRPr="00654AEF">
        <w:rPr>
          <w:rFonts w:eastAsia="Calibri"/>
          <w:bCs/>
          <w:i/>
          <w:iCs/>
          <w:sz w:val="20"/>
          <w:szCs w:val="20"/>
          <w:lang w:val="hy-AM" w:eastAsia="en-US"/>
        </w:rPr>
        <w:t xml:space="preserve"> </w:t>
      </w:r>
      <w:r w:rsidRPr="00654AEF">
        <w:rPr>
          <w:rFonts w:eastAsia="Calibri" w:cs="Sylfaen"/>
          <w:b w:val="0"/>
          <w:bCs/>
          <w:i/>
          <w:iCs/>
          <w:color w:val="000000"/>
          <w:sz w:val="20"/>
          <w:szCs w:val="20"/>
          <w:lang w:val="hy-AM" w:eastAsia="en-US"/>
        </w:rPr>
        <w:t>Պետական բյուջեի ոչ ֆինանսական ակտիվների գծով զուտ ծախսերի կանխատեսումների համեմատական աղյուսակը (մլրդ դրամ)</w:t>
      </w:r>
    </w:p>
    <w:tbl>
      <w:tblPr>
        <w:tblW w:w="7980" w:type="dxa"/>
        <w:tblBorders>
          <w:top w:val="single" w:sz="4" w:space="0" w:color="auto"/>
          <w:bottom w:val="single" w:sz="4" w:space="0" w:color="auto"/>
          <w:insideH w:val="single" w:sz="4" w:space="0" w:color="auto"/>
        </w:tblBorders>
        <w:tblLook w:val="04A0" w:firstRow="1" w:lastRow="0" w:firstColumn="1" w:lastColumn="0" w:noHBand="0" w:noVBand="1"/>
      </w:tblPr>
      <w:tblGrid>
        <w:gridCol w:w="1280"/>
        <w:gridCol w:w="3340"/>
        <w:gridCol w:w="1120"/>
        <w:gridCol w:w="1120"/>
        <w:gridCol w:w="1120"/>
      </w:tblGrid>
      <w:tr w:rsidR="00730639" w:rsidRPr="00822EDF" w14:paraId="0088B034" w14:textId="77777777" w:rsidTr="00D656FB">
        <w:trPr>
          <w:trHeight w:val="675"/>
        </w:trPr>
        <w:tc>
          <w:tcPr>
            <w:tcW w:w="1280" w:type="dxa"/>
            <w:shd w:val="clear" w:color="auto" w:fill="FFFFFF" w:themeFill="background1"/>
            <w:vAlign w:val="center"/>
            <w:hideMark/>
          </w:tcPr>
          <w:p w14:paraId="69B12F3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Ընդունման տարին</w:t>
            </w:r>
          </w:p>
        </w:tc>
        <w:tc>
          <w:tcPr>
            <w:tcW w:w="3340" w:type="dxa"/>
            <w:shd w:val="clear" w:color="auto" w:fill="FFFFFF" w:themeFill="background1"/>
            <w:vAlign w:val="center"/>
            <w:hideMark/>
          </w:tcPr>
          <w:p w14:paraId="4D6C514E"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Ծրագիր</w:t>
            </w:r>
          </w:p>
        </w:tc>
        <w:tc>
          <w:tcPr>
            <w:tcW w:w="1120" w:type="dxa"/>
            <w:shd w:val="clear" w:color="auto" w:fill="FFFFFF" w:themeFill="background1"/>
            <w:vAlign w:val="center"/>
            <w:hideMark/>
          </w:tcPr>
          <w:p w14:paraId="4F77FA6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w:t>
            </w:r>
          </w:p>
        </w:tc>
        <w:tc>
          <w:tcPr>
            <w:tcW w:w="1120" w:type="dxa"/>
            <w:shd w:val="clear" w:color="auto" w:fill="FFFFFF" w:themeFill="background1"/>
            <w:vAlign w:val="center"/>
            <w:hideMark/>
          </w:tcPr>
          <w:p w14:paraId="48CDE57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w:t>
            </w:r>
          </w:p>
        </w:tc>
        <w:tc>
          <w:tcPr>
            <w:tcW w:w="1120" w:type="dxa"/>
            <w:shd w:val="clear" w:color="auto" w:fill="FFFFFF" w:themeFill="background1"/>
            <w:vAlign w:val="center"/>
            <w:hideMark/>
          </w:tcPr>
          <w:p w14:paraId="1DE8A182"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w:t>
            </w:r>
          </w:p>
        </w:tc>
      </w:tr>
      <w:tr w:rsidR="00730639" w:rsidRPr="00822EDF" w14:paraId="7C529D26" w14:textId="77777777" w:rsidTr="00D656FB">
        <w:trPr>
          <w:trHeight w:val="345"/>
        </w:trPr>
        <w:tc>
          <w:tcPr>
            <w:tcW w:w="1280" w:type="dxa"/>
            <w:vMerge w:val="restart"/>
            <w:shd w:val="clear" w:color="auto" w:fill="FFFFFF" w:themeFill="background1"/>
            <w:vAlign w:val="center"/>
            <w:hideMark/>
          </w:tcPr>
          <w:p w14:paraId="16DC624E"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w:t>
            </w:r>
          </w:p>
        </w:tc>
        <w:tc>
          <w:tcPr>
            <w:tcW w:w="3340" w:type="dxa"/>
            <w:shd w:val="clear" w:color="auto" w:fill="FFFFFF" w:themeFill="background1"/>
            <w:noWrap/>
            <w:vAlign w:val="center"/>
            <w:hideMark/>
          </w:tcPr>
          <w:p w14:paraId="1FB412A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Փաստացի</w:t>
            </w:r>
          </w:p>
        </w:tc>
        <w:tc>
          <w:tcPr>
            <w:tcW w:w="1120" w:type="dxa"/>
            <w:shd w:val="clear" w:color="auto" w:fill="FFFFFF" w:themeFill="background1"/>
            <w:vAlign w:val="center"/>
            <w:hideMark/>
          </w:tcPr>
          <w:p w14:paraId="5A3C0DC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380.4</w:t>
            </w:r>
          </w:p>
        </w:tc>
        <w:tc>
          <w:tcPr>
            <w:tcW w:w="1120" w:type="dxa"/>
            <w:shd w:val="clear" w:color="auto" w:fill="FFFFFF" w:themeFill="background1"/>
            <w:noWrap/>
            <w:vAlign w:val="center"/>
            <w:hideMark/>
          </w:tcPr>
          <w:p w14:paraId="4CE99EF0" w14:textId="43ABC0CB"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39834749" w14:textId="2F1003F0"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3C46F0D0" w14:textId="77777777" w:rsidTr="00D656FB">
        <w:trPr>
          <w:trHeight w:val="345"/>
        </w:trPr>
        <w:tc>
          <w:tcPr>
            <w:tcW w:w="1280" w:type="dxa"/>
            <w:vMerge/>
            <w:shd w:val="clear" w:color="auto" w:fill="FFFFFF" w:themeFill="background1"/>
            <w:vAlign w:val="center"/>
            <w:hideMark/>
          </w:tcPr>
          <w:p w14:paraId="0863AEA6"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732FC2E2"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A545B3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4.47%</w:t>
            </w:r>
          </w:p>
        </w:tc>
        <w:tc>
          <w:tcPr>
            <w:tcW w:w="1120" w:type="dxa"/>
            <w:shd w:val="clear" w:color="auto" w:fill="FFFFFF" w:themeFill="background1"/>
            <w:noWrap/>
            <w:vAlign w:val="center"/>
            <w:hideMark/>
          </w:tcPr>
          <w:p w14:paraId="613C951D" w14:textId="1473E003"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6C315997" w14:textId="3C65940E"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2137B78C" w14:textId="77777777" w:rsidTr="00D656FB">
        <w:trPr>
          <w:trHeight w:val="345"/>
        </w:trPr>
        <w:tc>
          <w:tcPr>
            <w:tcW w:w="1280" w:type="dxa"/>
            <w:vMerge w:val="restart"/>
            <w:shd w:val="clear" w:color="auto" w:fill="FFFFFF" w:themeFill="background1"/>
            <w:vAlign w:val="center"/>
            <w:hideMark/>
          </w:tcPr>
          <w:p w14:paraId="0891384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2021</w:t>
            </w:r>
          </w:p>
        </w:tc>
        <w:tc>
          <w:tcPr>
            <w:tcW w:w="3340" w:type="dxa"/>
            <w:shd w:val="clear" w:color="auto" w:fill="FFFFFF" w:themeFill="background1"/>
            <w:noWrap/>
            <w:vAlign w:val="center"/>
            <w:hideMark/>
          </w:tcPr>
          <w:p w14:paraId="4627BD2D"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2022-2024</w:t>
            </w:r>
          </w:p>
        </w:tc>
        <w:tc>
          <w:tcPr>
            <w:tcW w:w="1120" w:type="dxa"/>
            <w:shd w:val="clear" w:color="auto" w:fill="FFFFFF" w:themeFill="background1"/>
            <w:vAlign w:val="center"/>
            <w:hideMark/>
          </w:tcPr>
          <w:p w14:paraId="7D913D9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292.6</w:t>
            </w:r>
          </w:p>
        </w:tc>
        <w:tc>
          <w:tcPr>
            <w:tcW w:w="1120" w:type="dxa"/>
            <w:shd w:val="clear" w:color="auto" w:fill="FFFFFF" w:themeFill="background1"/>
            <w:vAlign w:val="center"/>
            <w:hideMark/>
          </w:tcPr>
          <w:p w14:paraId="47F4A651"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308.1</w:t>
            </w:r>
          </w:p>
        </w:tc>
        <w:tc>
          <w:tcPr>
            <w:tcW w:w="1120" w:type="dxa"/>
            <w:shd w:val="clear" w:color="auto" w:fill="FFFFFF" w:themeFill="background1"/>
            <w:vAlign w:val="center"/>
            <w:hideMark/>
          </w:tcPr>
          <w:p w14:paraId="0F9D50F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353.9</w:t>
            </w:r>
          </w:p>
        </w:tc>
      </w:tr>
      <w:tr w:rsidR="00730639" w:rsidRPr="00822EDF" w14:paraId="7AB8AC23" w14:textId="77777777" w:rsidTr="00D656FB">
        <w:trPr>
          <w:trHeight w:val="345"/>
        </w:trPr>
        <w:tc>
          <w:tcPr>
            <w:tcW w:w="1280" w:type="dxa"/>
            <w:vMerge/>
            <w:shd w:val="clear" w:color="auto" w:fill="FFFFFF" w:themeFill="background1"/>
            <w:vAlign w:val="center"/>
            <w:hideMark/>
          </w:tcPr>
          <w:p w14:paraId="718948F4"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3AC0A357"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B470D4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3.90%</w:t>
            </w:r>
          </w:p>
        </w:tc>
        <w:tc>
          <w:tcPr>
            <w:tcW w:w="1120" w:type="dxa"/>
            <w:shd w:val="clear" w:color="auto" w:fill="FFFFFF" w:themeFill="background1"/>
            <w:vAlign w:val="center"/>
            <w:hideMark/>
          </w:tcPr>
          <w:p w14:paraId="3FD46FD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3.80%</w:t>
            </w:r>
          </w:p>
        </w:tc>
        <w:tc>
          <w:tcPr>
            <w:tcW w:w="1120" w:type="dxa"/>
            <w:shd w:val="clear" w:color="auto" w:fill="FFFFFF" w:themeFill="background1"/>
            <w:vAlign w:val="center"/>
            <w:hideMark/>
          </w:tcPr>
          <w:p w14:paraId="53D3ADA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4.00%</w:t>
            </w:r>
          </w:p>
        </w:tc>
      </w:tr>
      <w:tr w:rsidR="00730639" w:rsidRPr="00822EDF" w14:paraId="21744908" w14:textId="77777777" w:rsidTr="00D656FB">
        <w:trPr>
          <w:trHeight w:val="345"/>
        </w:trPr>
        <w:tc>
          <w:tcPr>
            <w:tcW w:w="1280" w:type="dxa"/>
            <w:vMerge/>
            <w:shd w:val="clear" w:color="auto" w:fill="FFFFFF" w:themeFill="background1"/>
            <w:vAlign w:val="center"/>
            <w:hideMark/>
          </w:tcPr>
          <w:p w14:paraId="19B0B2D4"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2AC92916"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2022թ. Պետական բյուջե</w:t>
            </w:r>
          </w:p>
        </w:tc>
        <w:tc>
          <w:tcPr>
            <w:tcW w:w="1120" w:type="dxa"/>
            <w:shd w:val="clear" w:color="auto" w:fill="FFFFFF" w:themeFill="background1"/>
            <w:vAlign w:val="center"/>
            <w:hideMark/>
          </w:tcPr>
          <w:p w14:paraId="023A0212"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341.9</w:t>
            </w:r>
          </w:p>
        </w:tc>
        <w:tc>
          <w:tcPr>
            <w:tcW w:w="1120" w:type="dxa"/>
            <w:shd w:val="clear" w:color="auto" w:fill="FFFFFF" w:themeFill="background1"/>
            <w:vAlign w:val="center"/>
            <w:hideMark/>
          </w:tcPr>
          <w:p w14:paraId="066E0E30" w14:textId="1FEDA312"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4722E9E8" w14:textId="7A95B60A"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2AB0215E" w14:textId="77777777" w:rsidTr="00D656FB">
        <w:trPr>
          <w:trHeight w:val="345"/>
        </w:trPr>
        <w:tc>
          <w:tcPr>
            <w:tcW w:w="1280" w:type="dxa"/>
            <w:vMerge/>
            <w:shd w:val="clear" w:color="auto" w:fill="FFFFFF" w:themeFill="background1"/>
            <w:vAlign w:val="center"/>
            <w:hideMark/>
          </w:tcPr>
          <w:p w14:paraId="052287B5"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18BCEF64"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2338917E"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4.30%</w:t>
            </w:r>
          </w:p>
        </w:tc>
        <w:tc>
          <w:tcPr>
            <w:tcW w:w="1120" w:type="dxa"/>
            <w:shd w:val="clear" w:color="auto" w:fill="FFFFFF" w:themeFill="background1"/>
            <w:vAlign w:val="center"/>
            <w:hideMark/>
          </w:tcPr>
          <w:p w14:paraId="4C325129" w14:textId="5C7588EE"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41606930" w14:textId="2412F07F"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7A031070" w14:textId="77777777" w:rsidTr="00D656FB">
        <w:trPr>
          <w:trHeight w:val="345"/>
        </w:trPr>
        <w:tc>
          <w:tcPr>
            <w:tcW w:w="1280" w:type="dxa"/>
            <w:vMerge w:val="restart"/>
            <w:shd w:val="clear" w:color="auto" w:fill="FFFFFF" w:themeFill="background1"/>
            <w:vAlign w:val="center"/>
            <w:hideMark/>
          </w:tcPr>
          <w:p w14:paraId="41FCDF33"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w:t>
            </w:r>
          </w:p>
        </w:tc>
        <w:tc>
          <w:tcPr>
            <w:tcW w:w="3340" w:type="dxa"/>
            <w:shd w:val="clear" w:color="auto" w:fill="FFFFFF" w:themeFill="background1"/>
            <w:noWrap/>
            <w:vAlign w:val="center"/>
            <w:hideMark/>
          </w:tcPr>
          <w:p w14:paraId="1D0B8F6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2023-2025</w:t>
            </w:r>
          </w:p>
        </w:tc>
        <w:tc>
          <w:tcPr>
            <w:tcW w:w="1120" w:type="dxa"/>
            <w:shd w:val="clear" w:color="auto" w:fill="FFFFFF" w:themeFill="background1"/>
            <w:vAlign w:val="center"/>
            <w:hideMark/>
          </w:tcPr>
          <w:p w14:paraId="5F884CA2"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350.0</w:t>
            </w:r>
          </w:p>
        </w:tc>
        <w:tc>
          <w:tcPr>
            <w:tcW w:w="1120" w:type="dxa"/>
            <w:shd w:val="clear" w:color="auto" w:fill="FFFFFF" w:themeFill="background1"/>
            <w:vAlign w:val="center"/>
            <w:hideMark/>
          </w:tcPr>
          <w:p w14:paraId="0AF0DF3C"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515.3</w:t>
            </w:r>
          </w:p>
        </w:tc>
        <w:tc>
          <w:tcPr>
            <w:tcW w:w="1120" w:type="dxa"/>
            <w:shd w:val="clear" w:color="auto" w:fill="FFFFFF" w:themeFill="background1"/>
            <w:vAlign w:val="center"/>
            <w:hideMark/>
          </w:tcPr>
          <w:p w14:paraId="55B0C85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589.7</w:t>
            </w:r>
          </w:p>
        </w:tc>
      </w:tr>
      <w:tr w:rsidR="00730639" w:rsidRPr="00822EDF" w14:paraId="5D1A700F" w14:textId="77777777" w:rsidTr="00D656FB">
        <w:trPr>
          <w:trHeight w:val="345"/>
        </w:trPr>
        <w:tc>
          <w:tcPr>
            <w:tcW w:w="1280" w:type="dxa"/>
            <w:vMerge/>
            <w:shd w:val="clear" w:color="auto" w:fill="FFFFFF" w:themeFill="background1"/>
            <w:vAlign w:val="center"/>
            <w:hideMark/>
          </w:tcPr>
          <w:p w14:paraId="629AA088"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610D6762"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5A43FC9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4.30%</w:t>
            </w:r>
          </w:p>
        </w:tc>
        <w:tc>
          <w:tcPr>
            <w:tcW w:w="1120" w:type="dxa"/>
            <w:shd w:val="clear" w:color="auto" w:fill="FFFFFF" w:themeFill="background1"/>
            <w:vAlign w:val="center"/>
            <w:hideMark/>
          </w:tcPr>
          <w:p w14:paraId="7D3EB69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5.70%</w:t>
            </w:r>
          </w:p>
        </w:tc>
        <w:tc>
          <w:tcPr>
            <w:tcW w:w="1120" w:type="dxa"/>
            <w:shd w:val="clear" w:color="auto" w:fill="FFFFFF" w:themeFill="background1"/>
            <w:vAlign w:val="center"/>
            <w:hideMark/>
          </w:tcPr>
          <w:p w14:paraId="69F0FCA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5.80%</w:t>
            </w:r>
          </w:p>
        </w:tc>
      </w:tr>
      <w:tr w:rsidR="00730639" w:rsidRPr="00822EDF" w14:paraId="53CA57FB" w14:textId="77777777" w:rsidTr="00D656FB">
        <w:trPr>
          <w:trHeight w:val="345"/>
        </w:trPr>
        <w:tc>
          <w:tcPr>
            <w:tcW w:w="1280" w:type="dxa"/>
            <w:vMerge/>
            <w:shd w:val="clear" w:color="auto" w:fill="FFFFFF" w:themeFill="background1"/>
            <w:vAlign w:val="center"/>
            <w:hideMark/>
          </w:tcPr>
          <w:p w14:paraId="5A49C8EA"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5BAD8E33"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2023թ. Պետական բյուջե</w:t>
            </w:r>
          </w:p>
        </w:tc>
        <w:tc>
          <w:tcPr>
            <w:tcW w:w="1120" w:type="dxa"/>
            <w:shd w:val="clear" w:color="auto" w:fill="FFFFFF" w:themeFill="background1"/>
            <w:vAlign w:val="center"/>
            <w:hideMark/>
          </w:tcPr>
          <w:p w14:paraId="2C35288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389.7</w:t>
            </w:r>
          </w:p>
        </w:tc>
        <w:tc>
          <w:tcPr>
            <w:tcW w:w="1120" w:type="dxa"/>
            <w:shd w:val="clear" w:color="auto" w:fill="FFFFFF" w:themeFill="background1"/>
            <w:vAlign w:val="center"/>
            <w:hideMark/>
          </w:tcPr>
          <w:p w14:paraId="0E60690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547.7</w:t>
            </w:r>
          </w:p>
        </w:tc>
        <w:tc>
          <w:tcPr>
            <w:tcW w:w="1120" w:type="dxa"/>
            <w:shd w:val="clear" w:color="auto" w:fill="FFFFFF" w:themeFill="background1"/>
            <w:vAlign w:val="center"/>
            <w:hideMark/>
          </w:tcPr>
          <w:p w14:paraId="23AA3545" w14:textId="05A11068"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0AA3D269" w14:textId="77777777" w:rsidTr="00D656FB">
        <w:trPr>
          <w:trHeight w:val="345"/>
        </w:trPr>
        <w:tc>
          <w:tcPr>
            <w:tcW w:w="1280" w:type="dxa"/>
            <w:vMerge/>
            <w:shd w:val="clear" w:color="auto" w:fill="FFFFFF" w:themeFill="background1"/>
            <w:vAlign w:val="center"/>
            <w:hideMark/>
          </w:tcPr>
          <w:p w14:paraId="149E0FB4"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0ECD25DD"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6F324EF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4.70%</w:t>
            </w:r>
          </w:p>
        </w:tc>
        <w:tc>
          <w:tcPr>
            <w:tcW w:w="1120" w:type="dxa"/>
            <w:shd w:val="clear" w:color="auto" w:fill="FFFFFF" w:themeFill="background1"/>
            <w:vAlign w:val="center"/>
            <w:hideMark/>
          </w:tcPr>
          <w:p w14:paraId="780C8F6E"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5.88%</w:t>
            </w:r>
          </w:p>
        </w:tc>
        <w:tc>
          <w:tcPr>
            <w:tcW w:w="1120" w:type="dxa"/>
            <w:shd w:val="clear" w:color="auto" w:fill="FFFFFF" w:themeFill="background1"/>
            <w:vAlign w:val="center"/>
            <w:hideMark/>
          </w:tcPr>
          <w:p w14:paraId="14E75B3C" w14:textId="0EFF1836"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48055476" w14:textId="77777777" w:rsidTr="00D656FB">
        <w:trPr>
          <w:trHeight w:val="345"/>
        </w:trPr>
        <w:tc>
          <w:tcPr>
            <w:tcW w:w="1280" w:type="dxa"/>
            <w:vMerge w:val="restart"/>
            <w:shd w:val="clear" w:color="auto" w:fill="FFFFFF" w:themeFill="background1"/>
            <w:vAlign w:val="center"/>
            <w:hideMark/>
          </w:tcPr>
          <w:p w14:paraId="49CBAFCE"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w:t>
            </w:r>
          </w:p>
        </w:tc>
        <w:tc>
          <w:tcPr>
            <w:tcW w:w="3340" w:type="dxa"/>
            <w:shd w:val="clear" w:color="auto" w:fill="FFFFFF" w:themeFill="background1"/>
            <w:noWrap/>
            <w:vAlign w:val="center"/>
            <w:hideMark/>
          </w:tcPr>
          <w:p w14:paraId="26244B6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2024-2026</w:t>
            </w:r>
          </w:p>
        </w:tc>
        <w:tc>
          <w:tcPr>
            <w:tcW w:w="1120" w:type="dxa"/>
            <w:shd w:val="clear" w:color="auto" w:fill="FFFFFF" w:themeFill="background1"/>
            <w:vAlign w:val="center"/>
            <w:hideMark/>
          </w:tcPr>
          <w:p w14:paraId="596C7E09" w14:textId="6B508C75"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322C0925"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564.3</w:t>
            </w:r>
          </w:p>
        </w:tc>
        <w:tc>
          <w:tcPr>
            <w:tcW w:w="1120" w:type="dxa"/>
            <w:shd w:val="clear" w:color="auto" w:fill="FFFFFF" w:themeFill="background1"/>
            <w:vAlign w:val="center"/>
            <w:hideMark/>
          </w:tcPr>
          <w:p w14:paraId="5E679D2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665.3</w:t>
            </w:r>
          </w:p>
        </w:tc>
      </w:tr>
      <w:tr w:rsidR="00730639" w:rsidRPr="00822EDF" w14:paraId="724627EB" w14:textId="77777777" w:rsidTr="00D656FB">
        <w:trPr>
          <w:trHeight w:val="345"/>
        </w:trPr>
        <w:tc>
          <w:tcPr>
            <w:tcW w:w="1280" w:type="dxa"/>
            <w:vMerge/>
            <w:shd w:val="clear" w:color="auto" w:fill="FFFFFF" w:themeFill="background1"/>
            <w:vAlign w:val="center"/>
            <w:hideMark/>
          </w:tcPr>
          <w:p w14:paraId="0F86048B"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2368FB86"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D8611E9" w14:textId="0C29513A"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6B69BD0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5.92%</w:t>
            </w:r>
          </w:p>
        </w:tc>
        <w:tc>
          <w:tcPr>
            <w:tcW w:w="1120" w:type="dxa"/>
            <w:shd w:val="clear" w:color="auto" w:fill="FFFFFF" w:themeFill="background1"/>
            <w:vAlign w:val="center"/>
            <w:hideMark/>
          </w:tcPr>
          <w:p w14:paraId="5285CE3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6.27%</w:t>
            </w:r>
          </w:p>
        </w:tc>
      </w:tr>
      <w:tr w:rsidR="00730639" w:rsidRPr="00822EDF" w14:paraId="3CEF17FA" w14:textId="77777777" w:rsidTr="00D656FB">
        <w:trPr>
          <w:trHeight w:val="345"/>
        </w:trPr>
        <w:tc>
          <w:tcPr>
            <w:tcW w:w="1280" w:type="dxa"/>
            <w:vMerge/>
            <w:shd w:val="clear" w:color="auto" w:fill="FFFFFF" w:themeFill="background1"/>
            <w:vAlign w:val="center"/>
            <w:hideMark/>
          </w:tcPr>
          <w:p w14:paraId="087644D5"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3C3B469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2024թ. Պետական բյուջե</w:t>
            </w:r>
          </w:p>
        </w:tc>
        <w:tc>
          <w:tcPr>
            <w:tcW w:w="1120" w:type="dxa"/>
            <w:shd w:val="clear" w:color="auto" w:fill="FFFFFF" w:themeFill="background1"/>
            <w:vAlign w:val="center"/>
            <w:hideMark/>
          </w:tcPr>
          <w:p w14:paraId="490F0271" w14:textId="281DE721"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5FDD73C1"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562.1</w:t>
            </w:r>
          </w:p>
        </w:tc>
        <w:tc>
          <w:tcPr>
            <w:tcW w:w="1120" w:type="dxa"/>
            <w:shd w:val="clear" w:color="auto" w:fill="FFFFFF" w:themeFill="background1"/>
            <w:vAlign w:val="center"/>
            <w:hideMark/>
          </w:tcPr>
          <w:p w14:paraId="4DAE90A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695.3</w:t>
            </w:r>
          </w:p>
        </w:tc>
      </w:tr>
      <w:tr w:rsidR="00730639" w:rsidRPr="00822EDF" w14:paraId="02C122A8" w14:textId="77777777" w:rsidTr="00D656FB">
        <w:trPr>
          <w:trHeight w:val="345"/>
        </w:trPr>
        <w:tc>
          <w:tcPr>
            <w:tcW w:w="1280" w:type="dxa"/>
            <w:vMerge/>
            <w:shd w:val="clear" w:color="auto" w:fill="FFFFFF" w:themeFill="background1"/>
            <w:vAlign w:val="center"/>
            <w:hideMark/>
          </w:tcPr>
          <w:p w14:paraId="3B77A118"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776BF64C"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3D4C6FC" w14:textId="1E38944A"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14E27150"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5.95%</w:t>
            </w:r>
          </w:p>
        </w:tc>
        <w:tc>
          <w:tcPr>
            <w:tcW w:w="1120" w:type="dxa"/>
            <w:shd w:val="clear" w:color="auto" w:fill="FFFFFF" w:themeFill="background1"/>
            <w:vAlign w:val="center"/>
            <w:hideMark/>
          </w:tcPr>
          <w:p w14:paraId="4E21D3A4"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6.61%</w:t>
            </w:r>
          </w:p>
        </w:tc>
      </w:tr>
    </w:tbl>
    <w:p w14:paraId="465B45F9" w14:textId="77777777" w:rsidR="00730639" w:rsidRPr="00654AEF" w:rsidRDefault="00730639" w:rsidP="00730639">
      <w:pPr>
        <w:spacing w:before="0" w:line="259" w:lineRule="auto"/>
        <w:rPr>
          <w:rFonts w:eastAsia="Calibri" w:cs="Sylfaen"/>
          <w:b w:val="0"/>
          <w:bCs/>
          <w:i/>
          <w:iCs/>
          <w:color w:val="000000"/>
          <w:sz w:val="20"/>
          <w:szCs w:val="20"/>
          <w:lang w:val="hy-AM" w:eastAsia="en-US"/>
        </w:rPr>
      </w:pPr>
    </w:p>
    <w:p w14:paraId="36982B1D" w14:textId="77777777" w:rsidR="00730639" w:rsidRDefault="00730639" w:rsidP="00730639">
      <w:pPr>
        <w:spacing w:before="0" w:line="259" w:lineRule="auto"/>
        <w:rPr>
          <w:rFonts w:eastAsia="Calibri" w:cs="Sylfaen"/>
          <w:b w:val="0"/>
          <w:bCs/>
          <w:i/>
          <w:iCs/>
          <w:color w:val="000000"/>
          <w:sz w:val="20"/>
          <w:szCs w:val="20"/>
          <w:lang w:val="hy-AM" w:eastAsia="en-US"/>
        </w:rPr>
      </w:pPr>
      <w:r w:rsidRPr="00654AEF">
        <w:rPr>
          <w:rFonts w:eastAsia="Calibri"/>
          <w:bCs/>
          <w:i/>
          <w:iCs/>
          <w:color w:val="000000"/>
          <w:sz w:val="20"/>
          <w:szCs w:val="20"/>
          <w:lang w:val="hy-AM" w:eastAsia="en-US"/>
        </w:rPr>
        <w:t>Աղյուսակ 2.5.6.</w:t>
      </w:r>
      <w:r w:rsidRPr="00654AEF">
        <w:rPr>
          <w:rFonts w:eastAsia="Calibri"/>
          <w:bCs/>
          <w:i/>
          <w:iCs/>
          <w:sz w:val="20"/>
          <w:szCs w:val="20"/>
          <w:lang w:val="hy-AM" w:eastAsia="en-US"/>
        </w:rPr>
        <w:t xml:space="preserve"> </w:t>
      </w:r>
      <w:r w:rsidRPr="00654AEF">
        <w:rPr>
          <w:rFonts w:eastAsia="Calibri" w:cs="Sylfaen"/>
          <w:b w:val="0"/>
          <w:bCs/>
          <w:i/>
          <w:iCs/>
          <w:color w:val="000000"/>
          <w:sz w:val="20"/>
          <w:szCs w:val="20"/>
          <w:lang w:val="hy-AM" w:eastAsia="en-US"/>
        </w:rPr>
        <w:t>Պետական բյուջեի պակասուրդի ֆինանսավորման կանխատեսումների համեմատական աղյուսակը (մլրդ դրամ)</w:t>
      </w:r>
    </w:p>
    <w:p w14:paraId="06BAD739" w14:textId="77777777" w:rsidR="00730639" w:rsidRPr="00654AEF" w:rsidRDefault="00730639" w:rsidP="00730639">
      <w:pPr>
        <w:spacing w:before="0" w:line="259" w:lineRule="auto"/>
        <w:rPr>
          <w:rFonts w:eastAsia="Calibri" w:cs="Sylfaen"/>
          <w:b w:val="0"/>
          <w:bCs/>
          <w:i/>
          <w:iCs/>
          <w:color w:val="000000"/>
          <w:sz w:val="20"/>
          <w:szCs w:val="20"/>
          <w:lang w:val="hy-AM" w:eastAsia="en-US"/>
        </w:rPr>
      </w:pPr>
    </w:p>
    <w:p w14:paraId="48DF5776" w14:textId="77777777" w:rsidR="00730639" w:rsidRDefault="00730639" w:rsidP="00730639">
      <w:pPr>
        <w:spacing w:before="0" w:line="240" w:lineRule="auto"/>
        <w:jc w:val="left"/>
        <w:rPr>
          <w:sz w:val="28"/>
          <w:szCs w:val="20"/>
          <w:lang w:val="hy-AM"/>
        </w:rPr>
      </w:pPr>
    </w:p>
    <w:tbl>
      <w:tblPr>
        <w:tblW w:w="7980" w:type="dxa"/>
        <w:tblBorders>
          <w:top w:val="single" w:sz="4" w:space="0" w:color="auto"/>
          <w:bottom w:val="single" w:sz="4" w:space="0" w:color="auto"/>
          <w:insideH w:val="single" w:sz="4" w:space="0" w:color="auto"/>
        </w:tblBorders>
        <w:tblLook w:val="04A0" w:firstRow="1" w:lastRow="0" w:firstColumn="1" w:lastColumn="0" w:noHBand="0" w:noVBand="1"/>
      </w:tblPr>
      <w:tblGrid>
        <w:gridCol w:w="1280"/>
        <w:gridCol w:w="3340"/>
        <w:gridCol w:w="1120"/>
        <w:gridCol w:w="1120"/>
        <w:gridCol w:w="1120"/>
      </w:tblGrid>
      <w:tr w:rsidR="00730639" w:rsidRPr="00822EDF" w14:paraId="6AED142C" w14:textId="77777777" w:rsidTr="00D656FB">
        <w:trPr>
          <w:trHeight w:val="675"/>
        </w:trPr>
        <w:tc>
          <w:tcPr>
            <w:tcW w:w="1280" w:type="dxa"/>
            <w:shd w:val="clear" w:color="auto" w:fill="FFFFFF" w:themeFill="background1"/>
            <w:vAlign w:val="center"/>
            <w:hideMark/>
          </w:tcPr>
          <w:p w14:paraId="3B2B14B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Ընդունման տարին</w:t>
            </w:r>
          </w:p>
        </w:tc>
        <w:tc>
          <w:tcPr>
            <w:tcW w:w="3340" w:type="dxa"/>
            <w:shd w:val="clear" w:color="auto" w:fill="FFFFFF" w:themeFill="background1"/>
            <w:vAlign w:val="center"/>
            <w:hideMark/>
          </w:tcPr>
          <w:p w14:paraId="7EC6C24A"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Ծրագիր</w:t>
            </w:r>
          </w:p>
        </w:tc>
        <w:tc>
          <w:tcPr>
            <w:tcW w:w="1120" w:type="dxa"/>
            <w:shd w:val="clear" w:color="auto" w:fill="FFFFFF" w:themeFill="background1"/>
            <w:vAlign w:val="center"/>
            <w:hideMark/>
          </w:tcPr>
          <w:p w14:paraId="2A187CDB"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w:t>
            </w:r>
          </w:p>
        </w:tc>
        <w:tc>
          <w:tcPr>
            <w:tcW w:w="1120" w:type="dxa"/>
            <w:shd w:val="clear" w:color="auto" w:fill="FFFFFF" w:themeFill="background1"/>
            <w:vAlign w:val="center"/>
            <w:hideMark/>
          </w:tcPr>
          <w:p w14:paraId="087AADA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w:t>
            </w:r>
          </w:p>
        </w:tc>
        <w:tc>
          <w:tcPr>
            <w:tcW w:w="1120" w:type="dxa"/>
            <w:shd w:val="clear" w:color="auto" w:fill="FFFFFF" w:themeFill="background1"/>
            <w:vAlign w:val="center"/>
            <w:hideMark/>
          </w:tcPr>
          <w:p w14:paraId="6564E68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w:t>
            </w:r>
          </w:p>
        </w:tc>
      </w:tr>
      <w:tr w:rsidR="00730639" w:rsidRPr="00822EDF" w14:paraId="18812899" w14:textId="77777777" w:rsidTr="00D656FB">
        <w:trPr>
          <w:trHeight w:val="345"/>
        </w:trPr>
        <w:tc>
          <w:tcPr>
            <w:tcW w:w="1280" w:type="dxa"/>
            <w:vMerge w:val="restart"/>
            <w:shd w:val="clear" w:color="auto" w:fill="FFFFFF" w:themeFill="background1"/>
            <w:vAlign w:val="center"/>
            <w:hideMark/>
          </w:tcPr>
          <w:p w14:paraId="242BC63C"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w:t>
            </w:r>
          </w:p>
        </w:tc>
        <w:tc>
          <w:tcPr>
            <w:tcW w:w="3340" w:type="dxa"/>
            <w:shd w:val="clear" w:color="auto" w:fill="FFFFFF" w:themeFill="background1"/>
            <w:noWrap/>
            <w:vAlign w:val="center"/>
            <w:hideMark/>
          </w:tcPr>
          <w:p w14:paraId="3E60B527"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Փաստացի</w:t>
            </w:r>
          </w:p>
        </w:tc>
        <w:tc>
          <w:tcPr>
            <w:tcW w:w="1120" w:type="dxa"/>
            <w:shd w:val="clear" w:color="auto" w:fill="FFFFFF" w:themeFill="background1"/>
            <w:vAlign w:val="center"/>
            <w:hideMark/>
          </w:tcPr>
          <w:p w14:paraId="1F126C57"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179.5</w:t>
            </w:r>
          </w:p>
        </w:tc>
        <w:tc>
          <w:tcPr>
            <w:tcW w:w="1120" w:type="dxa"/>
            <w:shd w:val="clear" w:color="auto" w:fill="FFFFFF" w:themeFill="background1"/>
            <w:noWrap/>
            <w:vAlign w:val="center"/>
            <w:hideMark/>
          </w:tcPr>
          <w:p w14:paraId="20D310E9" w14:textId="7B9D904E"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5C3C832C" w14:textId="66B5EDBB"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7B959656" w14:textId="77777777" w:rsidTr="00D656FB">
        <w:trPr>
          <w:trHeight w:val="345"/>
        </w:trPr>
        <w:tc>
          <w:tcPr>
            <w:tcW w:w="1280" w:type="dxa"/>
            <w:vMerge/>
            <w:shd w:val="clear" w:color="auto" w:fill="FFFFFF" w:themeFill="background1"/>
            <w:vAlign w:val="center"/>
            <w:hideMark/>
          </w:tcPr>
          <w:p w14:paraId="2DFF217E"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2FB4A32F"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3FE515B2"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2.11%</w:t>
            </w:r>
          </w:p>
        </w:tc>
        <w:tc>
          <w:tcPr>
            <w:tcW w:w="1120" w:type="dxa"/>
            <w:shd w:val="clear" w:color="auto" w:fill="FFFFFF" w:themeFill="background1"/>
            <w:noWrap/>
            <w:vAlign w:val="center"/>
            <w:hideMark/>
          </w:tcPr>
          <w:p w14:paraId="527E1C6A" w14:textId="6C6E0043"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4B14E4AD" w14:textId="530D08AB"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05DA9A7A" w14:textId="77777777" w:rsidTr="00D656FB">
        <w:trPr>
          <w:trHeight w:val="345"/>
        </w:trPr>
        <w:tc>
          <w:tcPr>
            <w:tcW w:w="1280" w:type="dxa"/>
            <w:vMerge w:val="restart"/>
            <w:shd w:val="clear" w:color="auto" w:fill="FFFFFF" w:themeFill="background1"/>
            <w:vAlign w:val="center"/>
            <w:hideMark/>
          </w:tcPr>
          <w:p w14:paraId="34B56B1C"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2021</w:t>
            </w:r>
          </w:p>
        </w:tc>
        <w:tc>
          <w:tcPr>
            <w:tcW w:w="3340" w:type="dxa"/>
            <w:shd w:val="clear" w:color="auto" w:fill="FFFFFF" w:themeFill="background1"/>
            <w:noWrap/>
            <w:vAlign w:val="center"/>
            <w:hideMark/>
          </w:tcPr>
          <w:p w14:paraId="2EDAF367"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2022-2024</w:t>
            </w:r>
          </w:p>
        </w:tc>
        <w:tc>
          <w:tcPr>
            <w:tcW w:w="1120" w:type="dxa"/>
            <w:shd w:val="clear" w:color="auto" w:fill="FFFFFF" w:themeFill="background1"/>
            <w:vAlign w:val="center"/>
            <w:hideMark/>
          </w:tcPr>
          <w:p w14:paraId="20B8954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181.7</w:t>
            </w:r>
          </w:p>
        </w:tc>
        <w:tc>
          <w:tcPr>
            <w:tcW w:w="1120" w:type="dxa"/>
            <w:shd w:val="clear" w:color="auto" w:fill="FFFFFF" w:themeFill="background1"/>
            <w:vAlign w:val="center"/>
            <w:hideMark/>
          </w:tcPr>
          <w:p w14:paraId="64439CF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168.8</w:t>
            </w:r>
          </w:p>
        </w:tc>
        <w:tc>
          <w:tcPr>
            <w:tcW w:w="1120" w:type="dxa"/>
            <w:shd w:val="clear" w:color="auto" w:fill="FFFFFF" w:themeFill="background1"/>
            <w:vAlign w:val="center"/>
            <w:hideMark/>
          </w:tcPr>
          <w:p w14:paraId="10EA415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163.7</w:t>
            </w:r>
          </w:p>
        </w:tc>
      </w:tr>
      <w:tr w:rsidR="00730639" w:rsidRPr="00822EDF" w14:paraId="36C078C1" w14:textId="77777777" w:rsidTr="00D656FB">
        <w:trPr>
          <w:trHeight w:val="345"/>
        </w:trPr>
        <w:tc>
          <w:tcPr>
            <w:tcW w:w="1280" w:type="dxa"/>
            <w:vMerge/>
            <w:shd w:val="clear" w:color="auto" w:fill="FFFFFF" w:themeFill="background1"/>
            <w:vAlign w:val="center"/>
            <w:hideMark/>
          </w:tcPr>
          <w:p w14:paraId="2E65004E"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73C97CD6"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13C7090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2.40%</w:t>
            </w:r>
          </w:p>
        </w:tc>
        <w:tc>
          <w:tcPr>
            <w:tcW w:w="1120" w:type="dxa"/>
            <w:shd w:val="clear" w:color="auto" w:fill="FFFFFF" w:themeFill="background1"/>
            <w:vAlign w:val="center"/>
            <w:hideMark/>
          </w:tcPr>
          <w:p w14:paraId="55B2A2A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2.10%</w:t>
            </w:r>
          </w:p>
        </w:tc>
        <w:tc>
          <w:tcPr>
            <w:tcW w:w="1120" w:type="dxa"/>
            <w:shd w:val="clear" w:color="auto" w:fill="FFFFFF" w:themeFill="background1"/>
            <w:vAlign w:val="center"/>
            <w:hideMark/>
          </w:tcPr>
          <w:p w14:paraId="4117526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1.90%</w:t>
            </w:r>
          </w:p>
        </w:tc>
      </w:tr>
      <w:tr w:rsidR="00730639" w:rsidRPr="00822EDF" w14:paraId="1C79CB34" w14:textId="77777777" w:rsidTr="00D656FB">
        <w:trPr>
          <w:trHeight w:val="345"/>
        </w:trPr>
        <w:tc>
          <w:tcPr>
            <w:tcW w:w="1280" w:type="dxa"/>
            <w:vMerge/>
            <w:shd w:val="clear" w:color="auto" w:fill="FFFFFF" w:themeFill="background1"/>
            <w:vAlign w:val="center"/>
            <w:hideMark/>
          </w:tcPr>
          <w:p w14:paraId="10E56752"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4BB97B2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2022թ. Պետական բյուջե</w:t>
            </w:r>
          </w:p>
        </w:tc>
        <w:tc>
          <w:tcPr>
            <w:tcW w:w="1120" w:type="dxa"/>
            <w:shd w:val="clear" w:color="auto" w:fill="FFFFFF" w:themeFill="background1"/>
            <w:vAlign w:val="center"/>
            <w:hideMark/>
          </w:tcPr>
          <w:p w14:paraId="25B629C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236.3</w:t>
            </w:r>
          </w:p>
        </w:tc>
        <w:tc>
          <w:tcPr>
            <w:tcW w:w="1120" w:type="dxa"/>
            <w:shd w:val="clear" w:color="auto" w:fill="FFFFFF" w:themeFill="background1"/>
            <w:vAlign w:val="center"/>
            <w:hideMark/>
          </w:tcPr>
          <w:p w14:paraId="586DDAB6" w14:textId="36126B8D"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096C5807" w14:textId="7BB4DB7B"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0493386E" w14:textId="77777777" w:rsidTr="00D656FB">
        <w:trPr>
          <w:trHeight w:val="345"/>
        </w:trPr>
        <w:tc>
          <w:tcPr>
            <w:tcW w:w="1280" w:type="dxa"/>
            <w:vMerge/>
            <w:shd w:val="clear" w:color="auto" w:fill="FFFFFF" w:themeFill="background1"/>
            <w:vAlign w:val="center"/>
            <w:hideMark/>
          </w:tcPr>
          <w:p w14:paraId="07754862"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39669DCF"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30C0EF9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3.00%</w:t>
            </w:r>
          </w:p>
        </w:tc>
        <w:tc>
          <w:tcPr>
            <w:tcW w:w="1120" w:type="dxa"/>
            <w:shd w:val="clear" w:color="auto" w:fill="FFFFFF" w:themeFill="background1"/>
            <w:vAlign w:val="center"/>
            <w:hideMark/>
          </w:tcPr>
          <w:p w14:paraId="74B4EC3D" w14:textId="64550706"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noWrap/>
            <w:vAlign w:val="center"/>
            <w:hideMark/>
          </w:tcPr>
          <w:p w14:paraId="5BD7E5AE" w14:textId="2CFB6F6F"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5BE4BDE2" w14:textId="77777777" w:rsidTr="00D656FB">
        <w:trPr>
          <w:trHeight w:val="345"/>
        </w:trPr>
        <w:tc>
          <w:tcPr>
            <w:tcW w:w="1280" w:type="dxa"/>
            <w:vMerge w:val="restart"/>
            <w:shd w:val="clear" w:color="auto" w:fill="FFFFFF" w:themeFill="background1"/>
            <w:vAlign w:val="center"/>
            <w:hideMark/>
          </w:tcPr>
          <w:p w14:paraId="1EE87CE0"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2022</w:t>
            </w:r>
          </w:p>
        </w:tc>
        <w:tc>
          <w:tcPr>
            <w:tcW w:w="3340" w:type="dxa"/>
            <w:shd w:val="clear" w:color="auto" w:fill="FFFFFF" w:themeFill="background1"/>
            <w:noWrap/>
            <w:vAlign w:val="center"/>
            <w:hideMark/>
          </w:tcPr>
          <w:p w14:paraId="580B5798"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2023-2025</w:t>
            </w:r>
          </w:p>
        </w:tc>
        <w:tc>
          <w:tcPr>
            <w:tcW w:w="1120" w:type="dxa"/>
            <w:shd w:val="clear" w:color="auto" w:fill="FFFFFF" w:themeFill="background1"/>
            <w:vAlign w:val="center"/>
            <w:hideMark/>
          </w:tcPr>
          <w:p w14:paraId="462C413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171.3</w:t>
            </w:r>
          </w:p>
        </w:tc>
        <w:tc>
          <w:tcPr>
            <w:tcW w:w="1120" w:type="dxa"/>
            <w:shd w:val="clear" w:color="auto" w:fill="FFFFFF" w:themeFill="background1"/>
            <w:vAlign w:val="center"/>
            <w:hideMark/>
          </w:tcPr>
          <w:p w14:paraId="2ACF343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292.2</w:t>
            </w:r>
          </w:p>
        </w:tc>
        <w:tc>
          <w:tcPr>
            <w:tcW w:w="1120" w:type="dxa"/>
            <w:shd w:val="clear" w:color="auto" w:fill="FFFFFF" w:themeFill="background1"/>
            <w:vAlign w:val="center"/>
            <w:hideMark/>
          </w:tcPr>
          <w:p w14:paraId="6A12521B"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273.3</w:t>
            </w:r>
          </w:p>
        </w:tc>
      </w:tr>
      <w:tr w:rsidR="00730639" w:rsidRPr="00822EDF" w14:paraId="4816670C" w14:textId="77777777" w:rsidTr="00D656FB">
        <w:trPr>
          <w:trHeight w:val="345"/>
        </w:trPr>
        <w:tc>
          <w:tcPr>
            <w:tcW w:w="1280" w:type="dxa"/>
            <w:vMerge/>
            <w:shd w:val="clear" w:color="auto" w:fill="FFFFFF" w:themeFill="background1"/>
            <w:vAlign w:val="center"/>
            <w:hideMark/>
          </w:tcPr>
          <w:p w14:paraId="71556C67"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752C9B6F"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4B53E071"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2.10%</w:t>
            </w:r>
          </w:p>
        </w:tc>
        <w:tc>
          <w:tcPr>
            <w:tcW w:w="1120" w:type="dxa"/>
            <w:shd w:val="clear" w:color="auto" w:fill="FFFFFF" w:themeFill="background1"/>
            <w:vAlign w:val="center"/>
            <w:hideMark/>
          </w:tcPr>
          <w:p w14:paraId="6BD6374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3.20%</w:t>
            </w:r>
          </w:p>
        </w:tc>
        <w:tc>
          <w:tcPr>
            <w:tcW w:w="1120" w:type="dxa"/>
            <w:shd w:val="clear" w:color="auto" w:fill="FFFFFF" w:themeFill="background1"/>
            <w:vAlign w:val="center"/>
            <w:hideMark/>
          </w:tcPr>
          <w:p w14:paraId="14136BAC"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2.70%</w:t>
            </w:r>
          </w:p>
        </w:tc>
      </w:tr>
      <w:tr w:rsidR="00730639" w:rsidRPr="00822EDF" w14:paraId="0157952F" w14:textId="77777777" w:rsidTr="00D656FB">
        <w:trPr>
          <w:trHeight w:val="345"/>
        </w:trPr>
        <w:tc>
          <w:tcPr>
            <w:tcW w:w="1280" w:type="dxa"/>
            <w:vMerge/>
            <w:shd w:val="clear" w:color="auto" w:fill="FFFFFF" w:themeFill="background1"/>
            <w:vAlign w:val="center"/>
            <w:hideMark/>
          </w:tcPr>
          <w:p w14:paraId="1E7C0EBA"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184DC778"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2023թ. Պետական բյուջե</w:t>
            </w:r>
          </w:p>
        </w:tc>
        <w:tc>
          <w:tcPr>
            <w:tcW w:w="1120" w:type="dxa"/>
            <w:shd w:val="clear" w:color="auto" w:fill="FFFFFF" w:themeFill="background1"/>
            <w:vAlign w:val="center"/>
            <w:hideMark/>
          </w:tcPr>
          <w:p w14:paraId="7AEA0E8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204.2</w:t>
            </w:r>
          </w:p>
        </w:tc>
        <w:tc>
          <w:tcPr>
            <w:tcW w:w="1120" w:type="dxa"/>
            <w:shd w:val="clear" w:color="auto" w:fill="FFFFFF" w:themeFill="background1"/>
            <w:vAlign w:val="center"/>
            <w:hideMark/>
          </w:tcPr>
          <w:p w14:paraId="003C12E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288.9</w:t>
            </w:r>
          </w:p>
        </w:tc>
        <w:tc>
          <w:tcPr>
            <w:tcW w:w="1120" w:type="dxa"/>
            <w:shd w:val="clear" w:color="auto" w:fill="FFFFFF" w:themeFill="background1"/>
            <w:vAlign w:val="center"/>
            <w:hideMark/>
          </w:tcPr>
          <w:p w14:paraId="1BAE1B3C" w14:textId="44EED1A3"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33AA5448" w14:textId="77777777" w:rsidTr="00D656FB">
        <w:trPr>
          <w:trHeight w:val="345"/>
        </w:trPr>
        <w:tc>
          <w:tcPr>
            <w:tcW w:w="1280" w:type="dxa"/>
            <w:vMerge/>
            <w:shd w:val="clear" w:color="auto" w:fill="FFFFFF" w:themeFill="background1"/>
            <w:vAlign w:val="center"/>
            <w:hideMark/>
          </w:tcPr>
          <w:p w14:paraId="1802D969"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405B4080"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07C64C0D"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2.46%</w:t>
            </w:r>
          </w:p>
        </w:tc>
        <w:tc>
          <w:tcPr>
            <w:tcW w:w="1120" w:type="dxa"/>
            <w:shd w:val="clear" w:color="auto" w:fill="FFFFFF" w:themeFill="background1"/>
            <w:vAlign w:val="center"/>
            <w:hideMark/>
          </w:tcPr>
          <w:p w14:paraId="5D604CE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3.10%</w:t>
            </w:r>
          </w:p>
        </w:tc>
        <w:tc>
          <w:tcPr>
            <w:tcW w:w="1120" w:type="dxa"/>
            <w:shd w:val="clear" w:color="auto" w:fill="FFFFFF" w:themeFill="background1"/>
            <w:vAlign w:val="center"/>
            <w:hideMark/>
          </w:tcPr>
          <w:p w14:paraId="52737DB4" w14:textId="18ED2BAA" w:rsidR="00730639" w:rsidRPr="00CE47BF" w:rsidRDefault="00730639" w:rsidP="00367064">
            <w:pPr>
              <w:spacing w:before="0" w:line="240" w:lineRule="auto"/>
              <w:jc w:val="center"/>
              <w:rPr>
                <w:rFonts w:cs="Calibri"/>
                <w:b w:val="0"/>
                <w:i/>
                <w:iCs/>
                <w:sz w:val="20"/>
                <w:szCs w:val="20"/>
                <w:lang w:val="en-US" w:eastAsia="en-US"/>
              </w:rPr>
            </w:pPr>
          </w:p>
        </w:tc>
      </w:tr>
      <w:tr w:rsidR="00730639" w:rsidRPr="00822EDF" w14:paraId="1A55357B" w14:textId="77777777" w:rsidTr="00D656FB">
        <w:trPr>
          <w:trHeight w:val="345"/>
        </w:trPr>
        <w:tc>
          <w:tcPr>
            <w:tcW w:w="1280" w:type="dxa"/>
            <w:vMerge w:val="restart"/>
            <w:shd w:val="clear" w:color="auto" w:fill="FFFFFF" w:themeFill="background1"/>
            <w:vAlign w:val="center"/>
            <w:hideMark/>
          </w:tcPr>
          <w:p w14:paraId="28702B98"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2023</w:t>
            </w:r>
          </w:p>
        </w:tc>
        <w:tc>
          <w:tcPr>
            <w:tcW w:w="3340" w:type="dxa"/>
            <w:shd w:val="clear" w:color="auto" w:fill="FFFFFF" w:themeFill="background1"/>
            <w:noWrap/>
            <w:vAlign w:val="center"/>
            <w:hideMark/>
          </w:tcPr>
          <w:p w14:paraId="72452D19"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 xml:space="preserve"> ՄԺԾԾ 2024-2026</w:t>
            </w:r>
          </w:p>
        </w:tc>
        <w:tc>
          <w:tcPr>
            <w:tcW w:w="1120" w:type="dxa"/>
            <w:shd w:val="clear" w:color="auto" w:fill="FFFFFF" w:themeFill="background1"/>
            <w:vAlign w:val="center"/>
            <w:hideMark/>
          </w:tcPr>
          <w:p w14:paraId="62E011D7" w14:textId="5DB0DD3E"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49194563"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273.9</w:t>
            </w:r>
          </w:p>
        </w:tc>
        <w:tc>
          <w:tcPr>
            <w:tcW w:w="1120" w:type="dxa"/>
            <w:shd w:val="clear" w:color="auto" w:fill="FFFFFF" w:themeFill="background1"/>
            <w:vAlign w:val="center"/>
            <w:hideMark/>
          </w:tcPr>
          <w:p w14:paraId="6987D07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302.5</w:t>
            </w:r>
          </w:p>
        </w:tc>
      </w:tr>
      <w:tr w:rsidR="00730639" w:rsidRPr="00822EDF" w14:paraId="135EBD3C" w14:textId="77777777" w:rsidTr="00D656FB">
        <w:trPr>
          <w:trHeight w:val="345"/>
        </w:trPr>
        <w:tc>
          <w:tcPr>
            <w:tcW w:w="1280" w:type="dxa"/>
            <w:vMerge/>
            <w:shd w:val="clear" w:color="auto" w:fill="FFFFFF" w:themeFill="background1"/>
            <w:vAlign w:val="center"/>
            <w:hideMark/>
          </w:tcPr>
          <w:p w14:paraId="51F177C4"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378C6A01"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20CB6D00" w14:textId="65246E1C"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37215B2A"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2.87%</w:t>
            </w:r>
          </w:p>
        </w:tc>
        <w:tc>
          <w:tcPr>
            <w:tcW w:w="1120" w:type="dxa"/>
            <w:shd w:val="clear" w:color="auto" w:fill="FFFFFF" w:themeFill="background1"/>
            <w:vAlign w:val="center"/>
            <w:hideMark/>
          </w:tcPr>
          <w:p w14:paraId="15B31CA6"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2.85%</w:t>
            </w:r>
          </w:p>
        </w:tc>
      </w:tr>
      <w:tr w:rsidR="00730639" w:rsidRPr="00822EDF" w14:paraId="360CBD87" w14:textId="77777777" w:rsidTr="00D656FB">
        <w:trPr>
          <w:trHeight w:val="345"/>
        </w:trPr>
        <w:tc>
          <w:tcPr>
            <w:tcW w:w="1280" w:type="dxa"/>
            <w:vMerge/>
            <w:shd w:val="clear" w:color="auto" w:fill="FFFFFF" w:themeFill="background1"/>
            <w:vAlign w:val="center"/>
            <w:hideMark/>
          </w:tcPr>
          <w:p w14:paraId="348E71BA"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noWrap/>
            <w:vAlign w:val="center"/>
            <w:hideMark/>
          </w:tcPr>
          <w:p w14:paraId="57ADB89F"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2024թ. Պետական բյուջե</w:t>
            </w:r>
          </w:p>
        </w:tc>
        <w:tc>
          <w:tcPr>
            <w:tcW w:w="1120" w:type="dxa"/>
            <w:shd w:val="clear" w:color="auto" w:fill="FFFFFF" w:themeFill="background1"/>
            <w:vAlign w:val="center"/>
            <w:hideMark/>
          </w:tcPr>
          <w:p w14:paraId="3E90939D" w14:textId="41A1192A"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4B7BBE6F"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245.3</w:t>
            </w:r>
          </w:p>
        </w:tc>
        <w:tc>
          <w:tcPr>
            <w:tcW w:w="1120" w:type="dxa"/>
            <w:shd w:val="clear" w:color="auto" w:fill="FFFFFF" w:themeFill="background1"/>
            <w:vAlign w:val="center"/>
            <w:hideMark/>
          </w:tcPr>
          <w:p w14:paraId="65457E57"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482.9</w:t>
            </w:r>
          </w:p>
        </w:tc>
      </w:tr>
      <w:tr w:rsidR="00730639" w:rsidRPr="00822EDF" w14:paraId="76AF5DC5" w14:textId="77777777" w:rsidTr="00D656FB">
        <w:trPr>
          <w:trHeight w:val="345"/>
        </w:trPr>
        <w:tc>
          <w:tcPr>
            <w:tcW w:w="1280" w:type="dxa"/>
            <w:vMerge/>
            <w:shd w:val="clear" w:color="auto" w:fill="FFFFFF" w:themeFill="background1"/>
            <w:vAlign w:val="center"/>
            <w:hideMark/>
          </w:tcPr>
          <w:p w14:paraId="21CFA96E" w14:textId="77777777" w:rsidR="00730639" w:rsidRPr="00CE47BF" w:rsidRDefault="00730639" w:rsidP="00D656FB">
            <w:pPr>
              <w:spacing w:before="0" w:line="240" w:lineRule="auto"/>
              <w:jc w:val="left"/>
              <w:rPr>
                <w:rFonts w:cs="Calibri"/>
                <w:b w:val="0"/>
                <w:i/>
                <w:iCs/>
                <w:sz w:val="20"/>
                <w:szCs w:val="20"/>
                <w:lang w:val="en-US" w:eastAsia="en-US"/>
              </w:rPr>
            </w:pPr>
          </w:p>
        </w:tc>
        <w:tc>
          <w:tcPr>
            <w:tcW w:w="3340" w:type="dxa"/>
            <w:shd w:val="clear" w:color="auto" w:fill="FFFFFF" w:themeFill="background1"/>
            <w:vAlign w:val="center"/>
            <w:hideMark/>
          </w:tcPr>
          <w:p w14:paraId="36A39C15" w14:textId="77777777" w:rsidR="00730639" w:rsidRPr="00CE47BF" w:rsidRDefault="00730639" w:rsidP="00D656FB">
            <w:pPr>
              <w:spacing w:before="0" w:line="240" w:lineRule="auto"/>
              <w:jc w:val="left"/>
              <w:rPr>
                <w:rFonts w:cs="Calibri"/>
                <w:b w:val="0"/>
                <w:i/>
                <w:iCs/>
                <w:sz w:val="20"/>
                <w:szCs w:val="20"/>
                <w:lang w:val="en-US" w:eastAsia="en-US"/>
              </w:rPr>
            </w:pPr>
            <w:r w:rsidRPr="00CE47BF">
              <w:rPr>
                <w:rFonts w:cs="Calibri"/>
                <w:b w:val="0"/>
                <w:i/>
                <w:iCs/>
                <w:sz w:val="20"/>
                <w:szCs w:val="20"/>
                <w:lang w:val="en-US" w:eastAsia="en-US"/>
              </w:rPr>
              <w:t>%-ով՝ ՀՆԱ-ի նկատմամբ</w:t>
            </w:r>
          </w:p>
        </w:tc>
        <w:tc>
          <w:tcPr>
            <w:tcW w:w="1120" w:type="dxa"/>
            <w:shd w:val="clear" w:color="auto" w:fill="FFFFFF" w:themeFill="background1"/>
            <w:vAlign w:val="center"/>
            <w:hideMark/>
          </w:tcPr>
          <w:p w14:paraId="3DA7912B" w14:textId="5C4F36CC" w:rsidR="00730639" w:rsidRPr="00CE47BF" w:rsidRDefault="00730639" w:rsidP="00367064">
            <w:pPr>
              <w:spacing w:before="0" w:line="240" w:lineRule="auto"/>
              <w:jc w:val="center"/>
              <w:rPr>
                <w:rFonts w:cs="Calibri"/>
                <w:b w:val="0"/>
                <w:i/>
                <w:iCs/>
                <w:sz w:val="20"/>
                <w:szCs w:val="20"/>
                <w:lang w:val="en-US" w:eastAsia="en-US"/>
              </w:rPr>
            </w:pPr>
          </w:p>
        </w:tc>
        <w:tc>
          <w:tcPr>
            <w:tcW w:w="1120" w:type="dxa"/>
            <w:shd w:val="clear" w:color="auto" w:fill="FFFFFF" w:themeFill="background1"/>
            <w:vAlign w:val="center"/>
            <w:hideMark/>
          </w:tcPr>
          <w:p w14:paraId="6078F9A8"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2.60%</w:t>
            </w:r>
          </w:p>
        </w:tc>
        <w:tc>
          <w:tcPr>
            <w:tcW w:w="1120" w:type="dxa"/>
            <w:shd w:val="clear" w:color="auto" w:fill="FFFFFF" w:themeFill="background1"/>
            <w:vAlign w:val="center"/>
            <w:hideMark/>
          </w:tcPr>
          <w:p w14:paraId="1C0E9679" w14:textId="77777777" w:rsidR="00730639" w:rsidRPr="00CE47BF" w:rsidRDefault="00730639" w:rsidP="00367064">
            <w:pPr>
              <w:spacing w:before="0" w:line="240" w:lineRule="auto"/>
              <w:jc w:val="center"/>
              <w:rPr>
                <w:rFonts w:cs="Calibri"/>
                <w:b w:val="0"/>
                <w:i/>
                <w:iCs/>
                <w:sz w:val="20"/>
                <w:szCs w:val="20"/>
                <w:lang w:val="en-US" w:eastAsia="en-US"/>
              </w:rPr>
            </w:pPr>
            <w:r w:rsidRPr="00CE47BF">
              <w:rPr>
                <w:rFonts w:cs="Calibri"/>
                <w:b w:val="0"/>
                <w:i/>
                <w:iCs/>
                <w:sz w:val="20"/>
                <w:szCs w:val="20"/>
                <w:lang w:val="en-US" w:eastAsia="en-US"/>
              </w:rPr>
              <w:t>4.59%</w:t>
            </w:r>
          </w:p>
        </w:tc>
      </w:tr>
    </w:tbl>
    <w:p w14:paraId="102E68C1" w14:textId="28ABC63D" w:rsidR="00730639" w:rsidRDefault="00730639" w:rsidP="00DE5FA5">
      <w:pPr>
        <w:spacing w:before="0" w:line="240" w:lineRule="auto"/>
        <w:ind w:left="284"/>
        <w:jc w:val="left"/>
        <w:rPr>
          <w:rFonts w:eastAsia="Calibri"/>
          <w:b w:val="0"/>
          <w:i/>
          <w:sz w:val="20"/>
          <w:szCs w:val="20"/>
          <w:lang w:val="hy-AM" w:eastAsia="en-US"/>
        </w:rPr>
      </w:pPr>
    </w:p>
    <w:p w14:paraId="60E0CB07" w14:textId="6937DD05" w:rsidR="00730639" w:rsidRDefault="00730639" w:rsidP="00DE5FA5">
      <w:pPr>
        <w:spacing w:before="0" w:line="240" w:lineRule="auto"/>
        <w:ind w:left="284"/>
        <w:jc w:val="left"/>
        <w:rPr>
          <w:rFonts w:eastAsia="Calibri"/>
          <w:b w:val="0"/>
          <w:i/>
          <w:sz w:val="20"/>
          <w:szCs w:val="20"/>
          <w:lang w:val="hy-AM" w:eastAsia="en-US"/>
        </w:rPr>
      </w:pPr>
    </w:p>
    <w:p w14:paraId="1F26FBD5" w14:textId="00354A6F" w:rsidR="00730639" w:rsidRDefault="00730639" w:rsidP="00DE5FA5">
      <w:pPr>
        <w:spacing w:before="0" w:line="240" w:lineRule="auto"/>
        <w:ind w:left="284"/>
        <w:jc w:val="left"/>
        <w:rPr>
          <w:rFonts w:eastAsia="Calibri"/>
          <w:b w:val="0"/>
          <w:i/>
          <w:sz w:val="20"/>
          <w:szCs w:val="20"/>
          <w:lang w:val="hy-AM" w:eastAsia="en-US"/>
        </w:rPr>
      </w:pPr>
    </w:p>
    <w:p w14:paraId="7FDCD8D3" w14:textId="3482A7C1" w:rsidR="00027FBF" w:rsidRPr="004D06A0" w:rsidRDefault="00027FBF" w:rsidP="0009272D">
      <w:pPr>
        <w:pStyle w:val="Heading1"/>
        <w:rPr>
          <w:lang w:val="sk-SK"/>
        </w:rPr>
      </w:pPr>
      <w:bookmarkStart w:id="174" w:name="_Toc153184474"/>
      <w:r w:rsidRPr="004D06A0">
        <w:t>ՄԱՍ</w:t>
      </w:r>
      <w:r w:rsidRPr="004D06A0">
        <w:rPr>
          <w:lang w:val="sk-SK"/>
        </w:rPr>
        <w:t xml:space="preserve"> II-</w:t>
      </w:r>
      <w:r w:rsidRPr="004D06A0">
        <w:t>Ա</w:t>
      </w:r>
      <w:r w:rsidRPr="004D06A0">
        <w:rPr>
          <w:lang w:val="sk-SK"/>
        </w:rPr>
        <w:t xml:space="preserve"> </w:t>
      </w:r>
      <w:r w:rsidRPr="004D06A0">
        <w:t>ՊԵՏԱԿԱՆ</w:t>
      </w:r>
      <w:r w:rsidRPr="004D06A0">
        <w:rPr>
          <w:lang w:val="sk-SK"/>
        </w:rPr>
        <w:t xml:space="preserve"> </w:t>
      </w:r>
      <w:r w:rsidRPr="004D06A0">
        <w:t>ԲՅՈՒՋԵԻ</w:t>
      </w:r>
      <w:r w:rsidRPr="004D06A0">
        <w:rPr>
          <w:lang w:val="sk-SK"/>
        </w:rPr>
        <w:t xml:space="preserve"> </w:t>
      </w:r>
      <w:r w:rsidRPr="004D06A0">
        <w:t>ՑՈՒՑԱՆԻՇՆԵՐԻ</w:t>
      </w:r>
      <w:r w:rsidRPr="004D06A0">
        <w:rPr>
          <w:lang w:val="sk-SK"/>
        </w:rPr>
        <w:t xml:space="preserve"> </w:t>
      </w:r>
      <w:r w:rsidRPr="004D06A0">
        <w:t>ԿԱՆԽԱՏԵՍՈՒՄՆԵՐ</w:t>
      </w:r>
      <w:bookmarkEnd w:id="84"/>
      <w:bookmarkEnd w:id="174"/>
    </w:p>
    <w:p w14:paraId="5677041F" w14:textId="77777777" w:rsidR="009A197C" w:rsidRPr="00922161" w:rsidRDefault="009A197C" w:rsidP="003976E6">
      <w:pPr>
        <w:keepNext/>
        <w:keepLines/>
        <w:spacing w:before="0"/>
        <w:outlineLvl w:val="2"/>
        <w:rPr>
          <w:rFonts w:eastAsiaTheme="majorEastAsia" w:cstheme="majorBidi"/>
          <w:bCs/>
          <w:color w:val="1F497D" w:themeColor="text2"/>
          <w:sz w:val="24"/>
          <w:lang w:val="hy-AM" w:eastAsia="en-US"/>
        </w:rPr>
      </w:pPr>
      <w:bookmarkStart w:id="175" w:name="_Toc26174926"/>
      <w:bookmarkStart w:id="176" w:name="_Toc83972843"/>
      <w:bookmarkStart w:id="177" w:name="_Toc153184475"/>
      <w:r w:rsidRPr="004D06A0">
        <w:rPr>
          <w:rFonts w:eastAsiaTheme="majorEastAsia" w:cstheme="majorBidi"/>
          <w:bCs/>
          <w:color w:val="1F497D" w:themeColor="text2"/>
          <w:sz w:val="24"/>
          <w:lang w:val="hy-AM" w:eastAsia="en-US"/>
        </w:rPr>
        <w:t>Հարկաբյուջետային սկզբունքները և ցուցանիշները</w:t>
      </w:r>
      <w:bookmarkEnd w:id="175"/>
      <w:bookmarkEnd w:id="176"/>
      <w:bookmarkEnd w:id="177"/>
    </w:p>
    <w:p w14:paraId="33E6585D" w14:textId="7842645F" w:rsidR="00087BCF" w:rsidRPr="00A9221C" w:rsidRDefault="00087BCF" w:rsidP="00087BCF">
      <w:pPr>
        <w:spacing w:before="0"/>
        <w:rPr>
          <w:rFonts w:eastAsia="Calibri"/>
          <w:b w:val="0"/>
          <w:szCs w:val="22"/>
          <w:lang w:val="hy-AM" w:eastAsia="en-US"/>
        </w:rPr>
      </w:pPr>
      <w:r w:rsidRPr="00A9221C">
        <w:rPr>
          <w:rFonts w:eastAsia="Calibri"/>
          <w:b w:val="0"/>
          <w:szCs w:val="22"/>
          <w:lang w:val="hy-AM" w:eastAsia="en-US"/>
        </w:rPr>
        <w:t>ՀՀ 2024 թվա</w:t>
      </w:r>
      <w:r w:rsidRPr="00A9221C">
        <w:rPr>
          <w:rFonts w:eastAsia="Calibri"/>
          <w:b w:val="0"/>
          <w:szCs w:val="22"/>
          <w:lang w:val="hy-AM" w:eastAsia="en-US"/>
        </w:rPr>
        <w:softHyphen/>
        <w:t>կա</w:t>
      </w:r>
      <w:r w:rsidRPr="00A9221C">
        <w:rPr>
          <w:rFonts w:eastAsia="Calibri"/>
          <w:b w:val="0"/>
          <w:szCs w:val="22"/>
          <w:lang w:val="hy-AM" w:eastAsia="en-US"/>
        </w:rPr>
        <w:softHyphen/>
      </w:r>
      <w:r w:rsidRPr="00A9221C">
        <w:rPr>
          <w:rFonts w:eastAsia="Calibri"/>
          <w:b w:val="0"/>
          <w:szCs w:val="22"/>
          <w:lang w:val="hy-AM" w:eastAsia="en-US"/>
        </w:rPr>
        <w:softHyphen/>
        <w:t>նի պետական բյուջեի մշակման ընթացքում ՀՀ կա</w:t>
      </w:r>
      <w:r w:rsidRPr="00A9221C">
        <w:rPr>
          <w:rFonts w:eastAsia="Calibri"/>
          <w:b w:val="0"/>
          <w:szCs w:val="22"/>
          <w:lang w:val="hy-AM" w:eastAsia="en-US"/>
        </w:rPr>
        <w:softHyphen/>
        <w:t>ռա</w:t>
      </w:r>
      <w:r w:rsidRPr="00A9221C">
        <w:rPr>
          <w:rFonts w:eastAsia="Calibri"/>
          <w:b w:val="0"/>
          <w:szCs w:val="22"/>
          <w:lang w:val="hy-AM" w:eastAsia="en-US"/>
        </w:rPr>
        <w:softHyphen/>
        <w:t>վա</w:t>
      </w:r>
      <w:r w:rsidRPr="00A9221C">
        <w:rPr>
          <w:rFonts w:eastAsia="Calibri"/>
          <w:b w:val="0"/>
          <w:szCs w:val="22"/>
          <w:lang w:val="hy-AM" w:eastAsia="en-US"/>
        </w:rPr>
        <w:softHyphen/>
      </w:r>
      <w:r w:rsidRPr="00A9221C">
        <w:rPr>
          <w:rFonts w:eastAsia="Calibri"/>
          <w:b w:val="0"/>
          <w:szCs w:val="22"/>
          <w:lang w:val="hy-AM" w:eastAsia="en-US"/>
        </w:rPr>
        <w:softHyphen/>
        <w:t>րու</w:t>
      </w:r>
      <w:r w:rsidRPr="00A9221C">
        <w:rPr>
          <w:rFonts w:eastAsia="Calibri"/>
          <w:b w:val="0"/>
          <w:szCs w:val="22"/>
          <w:lang w:val="hy-AM" w:eastAsia="en-US"/>
        </w:rPr>
        <w:softHyphen/>
        <w:t>թյունն առաջնորդվել է ՀՀ 2024-2026թթ. ՄԺԾԾ-ով ամրագրված հիմնական սկզբունքներով: Ստորև բերված Աղյուսակ 1</w:t>
      </w:r>
      <w:r w:rsidRPr="00A9221C">
        <w:rPr>
          <w:rFonts w:eastAsia="Calibri"/>
          <w:b w:val="0"/>
          <w:szCs w:val="22"/>
          <w:lang w:val="hy-AM" w:eastAsia="en-US"/>
        </w:rPr>
        <w:noBreakHyphen/>
        <w:t xml:space="preserve">ում ներկայացված են 2020-2024թթ պետական բյուջեների ցուցանիշներն  արտացոլող ամփոփ ցուցանիշները: </w:t>
      </w:r>
    </w:p>
    <w:p w14:paraId="26D8B2F1" w14:textId="77777777" w:rsidR="00087BCF" w:rsidRPr="00A9221C" w:rsidRDefault="00087BCF" w:rsidP="00087BCF">
      <w:pPr>
        <w:spacing w:before="0"/>
        <w:ind w:firstLine="538"/>
        <w:rPr>
          <w:rFonts w:eastAsia="Calibri"/>
          <w:b w:val="0"/>
          <w:szCs w:val="22"/>
          <w:lang w:val="hy-AM" w:eastAsia="en-US"/>
        </w:rPr>
      </w:pPr>
    </w:p>
    <w:p w14:paraId="62558225" w14:textId="45646F37" w:rsidR="00087BCF" w:rsidRPr="00710FCA" w:rsidRDefault="00087BCF" w:rsidP="00087BCF">
      <w:pPr>
        <w:spacing w:after="200"/>
        <w:rPr>
          <w:b w:val="0"/>
          <w:bCs/>
          <w:szCs w:val="22"/>
          <w:lang w:val="hy-AM"/>
        </w:rPr>
      </w:pPr>
      <w:bookmarkStart w:id="178" w:name="_Ref496723843"/>
      <w:bookmarkStart w:id="179" w:name="_Toc525773064"/>
      <w:bookmarkStart w:id="180" w:name="_Toc20590404"/>
      <w:bookmarkStart w:id="181" w:name="_Toc83928938"/>
      <w:bookmarkStart w:id="182" w:name="_Toc152324763"/>
      <w:r w:rsidRPr="00710FCA">
        <w:rPr>
          <w:bCs/>
          <w:szCs w:val="22"/>
          <w:lang w:val="hy-AM"/>
        </w:rPr>
        <w:t xml:space="preserve">Աղյուսակ </w:t>
      </w:r>
      <w:r w:rsidRPr="00710FCA">
        <w:rPr>
          <w:bCs/>
          <w:szCs w:val="22"/>
        </w:rPr>
        <w:fldChar w:fldCharType="begin"/>
      </w:r>
      <w:r w:rsidRPr="00710FCA">
        <w:rPr>
          <w:bCs/>
          <w:szCs w:val="22"/>
          <w:lang w:val="hy-AM"/>
        </w:rPr>
        <w:instrText xml:space="preserve"> SEQ Աղյուսակ \* ARABIC </w:instrText>
      </w:r>
      <w:r w:rsidRPr="00710FCA">
        <w:rPr>
          <w:bCs/>
          <w:szCs w:val="22"/>
        </w:rPr>
        <w:fldChar w:fldCharType="separate"/>
      </w:r>
      <w:r w:rsidR="00DB4E68">
        <w:rPr>
          <w:bCs/>
          <w:noProof/>
          <w:szCs w:val="22"/>
          <w:lang w:val="hy-AM"/>
        </w:rPr>
        <w:t>1</w:t>
      </w:r>
      <w:r w:rsidRPr="00710FCA">
        <w:rPr>
          <w:bCs/>
          <w:szCs w:val="22"/>
        </w:rPr>
        <w:fldChar w:fldCharType="end"/>
      </w:r>
      <w:r w:rsidRPr="00710FCA">
        <w:rPr>
          <w:bCs/>
          <w:szCs w:val="22"/>
          <w:lang w:val="hy-AM"/>
        </w:rPr>
        <w:t>.</w:t>
      </w:r>
      <w:r w:rsidRPr="00710FCA">
        <w:rPr>
          <w:b w:val="0"/>
          <w:bCs/>
          <w:szCs w:val="22"/>
          <w:lang w:val="hy-AM"/>
        </w:rPr>
        <w:t xml:space="preserve"> 2020-2024թթ պետական բյուջեի ամփոփ ցուցանիշները</w:t>
      </w:r>
      <w:bookmarkEnd w:id="178"/>
      <w:bookmarkEnd w:id="179"/>
      <w:bookmarkEnd w:id="180"/>
      <w:r w:rsidRPr="00710FCA">
        <w:rPr>
          <w:b w:val="0"/>
          <w:bCs/>
          <w:szCs w:val="22"/>
          <w:lang w:val="hy-AM"/>
        </w:rPr>
        <w:t>, մլրդ դրամ</w:t>
      </w:r>
      <w:bookmarkEnd w:id="181"/>
      <w:bookmarkEnd w:id="182"/>
    </w:p>
    <w:tbl>
      <w:tblPr>
        <w:tblW w:w="9879" w:type="dxa"/>
        <w:tblLook w:val="04A0" w:firstRow="1" w:lastRow="0" w:firstColumn="1" w:lastColumn="0" w:noHBand="0" w:noVBand="1"/>
      </w:tblPr>
      <w:tblGrid>
        <w:gridCol w:w="3330"/>
        <w:gridCol w:w="1440"/>
        <w:gridCol w:w="1193"/>
        <w:gridCol w:w="1193"/>
        <w:gridCol w:w="1240"/>
        <w:gridCol w:w="1483"/>
      </w:tblGrid>
      <w:tr w:rsidR="00087BCF" w:rsidRPr="00A9221C" w14:paraId="708CE0FB" w14:textId="77777777" w:rsidTr="003F088D">
        <w:trPr>
          <w:trHeight w:val="315"/>
        </w:trPr>
        <w:tc>
          <w:tcPr>
            <w:tcW w:w="3330" w:type="dxa"/>
            <w:vMerge w:val="restart"/>
            <w:tcBorders>
              <w:top w:val="nil"/>
              <w:left w:val="nil"/>
              <w:bottom w:val="single" w:sz="8" w:space="0" w:color="000000"/>
              <w:right w:val="nil"/>
            </w:tcBorders>
            <w:shd w:val="clear" w:color="auto" w:fill="auto"/>
            <w:vAlign w:val="center"/>
            <w:hideMark/>
          </w:tcPr>
          <w:p w14:paraId="056EA0EF" w14:textId="77777777" w:rsidR="00087BCF" w:rsidRPr="00A9221C" w:rsidRDefault="00087BCF" w:rsidP="003F088D">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Ցուցանիշներ</w:t>
            </w:r>
          </w:p>
        </w:tc>
        <w:tc>
          <w:tcPr>
            <w:tcW w:w="3826" w:type="dxa"/>
            <w:gridSpan w:val="3"/>
            <w:tcBorders>
              <w:top w:val="nil"/>
              <w:left w:val="nil"/>
              <w:bottom w:val="single" w:sz="8" w:space="0" w:color="auto"/>
              <w:right w:val="nil"/>
            </w:tcBorders>
            <w:shd w:val="clear" w:color="auto" w:fill="auto"/>
            <w:noWrap/>
            <w:vAlign w:val="center"/>
            <w:hideMark/>
          </w:tcPr>
          <w:p w14:paraId="00209BFD" w14:textId="77777777" w:rsidR="00087BCF" w:rsidRPr="00A9221C" w:rsidRDefault="00087BCF" w:rsidP="003F088D">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hy-AM" w:eastAsia="en-US"/>
              </w:rPr>
              <w:t>Փաստ</w:t>
            </w:r>
          </w:p>
        </w:tc>
        <w:tc>
          <w:tcPr>
            <w:tcW w:w="1240" w:type="dxa"/>
            <w:tcBorders>
              <w:top w:val="nil"/>
              <w:left w:val="nil"/>
              <w:right w:val="nil"/>
            </w:tcBorders>
            <w:shd w:val="clear" w:color="auto" w:fill="auto"/>
            <w:noWrap/>
            <w:vAlign w:val="center"/>
            <w:hideMark/>
          </w:tcPr>
          <w:p w14:paraId="7E0CDDFF" w14:textId="77777777" w:rsidR="00087BCF" w:rsidRPr="00A9221C" w:rsidRDefault="00087BCF" w:rsidP="003F088D">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Սպասում</w:t>
            </w:r>
          </w:p>
        </w:tc>
        <w:tc>
          <w:tcPr>
            <w:tcW w:w="1483" w:type="dxa"/>
            <w:tcBorders>
              <w:top w:val="nil"/>
              <w:left w:val="nil"/>
              <w:bottom w:val="single" w:sz="8" w:space="0" w:color="auto"/>
              <w:right w:val="nil"/>
            </w:tcBorders>
            <w:shd w:val="clear" w:color="auto" w:fill="auto"/>
            <w:noWrap/>
            <w:vAlign w:val="center"/>
            <w:hideMark/>
          </w:tcPr>
          <w:p w14:paraId="4EAD7C78" w14:textId="5E9ED7B4" w:rsidR="00087BCF" w:rsidRPr="00933CA4" w:rsidRDefault="00933CA4" w:rsidP="003F088D">
            <w:pPr>
              <w:spacing w:before="0" w:line="240" w:lineRule="auto"/>
              <w:jc w:val="center"/>
              <w:rPr>
                <w:rFonts w:cs="Calibri"/>
                <w:b w:val="0"/>
                <w:color w:val="000000"/>
                <w:sz w:val="18"/>
                <w:szCs w:val="18"/>
                <w:lang w:val="hy-AM" w:eastAsia="en-US"/>
              </w:rPr>
            </w:pPr>
            <w:r>
              <w:rPr>
                <w:rFonts w:cs="Calibri"/>
                <w:b w:val="0"/>
                <w:color w:val="000000"/>
                <w:sz w:val="18"/>
                <w:szCs w:val="18"/>
                <w:lang w:val="hy-AM" w:eastAsia="en-US"/>
              </w:rPr>
              <w:t>ծրագիր</w:t>
            </w:r>
          </w:p>
        </w:tc>
      </w:tr>
      <w:tr w:rsidR="00087BCF" w:rsidRPr="00A9221C" w14:paraId="51CA7F61" w14:textId="77777777" w:rsidTr="003F088D">
        <w:trPr>
          <w:trHeight w:val="315"/>
        </w:trPr>
        <w:tc>
          <w:tcPr>
            <w:tcW w:w="3330" w:type="dxa"/>
            <w:vMerge/>
            <w:tcBorders>
              <w:top w:val="nil"/>
              <w:left w:val="nil"/>
              <w:bottom w:val="single" w:sz="8" w:space="0" w:color="000000"/>
              <w:right w:val="nil"/>
            </w:tcBorders>
            <w:vAlign w:val="center"/>
            <w:hideMark/>
          </w:tcPr>
          <w:p w14:paraId="679FF1C5" w14:textId="77777777" w:rsidR="00087BCF" w:rsidRPr="00A9221C" w:rsidRDefault="00087BCF" w:rsidP="003F088D">
            <w:pPr>
              <w:spacing w:before="0" w:line="240" w:lineRule="auto"/>
              <w:jc w:val="left"/>
              <w:rPr>
                <w:rFonts w:cs="Calibri"/>
                <w:b w:val="0"/>
                <w:color w:val="000000"/>
                <w:sz w:val="18"/>
                <w:szCs w:val="18"/>
                <w:lang w:val="en-US" w:eastAsia="en-US"/>
              </w:rPr>
            </w:pPr>
          </w:p>
        </w:tc>
        <w:tc>
          <w:tcPr>
            <w:tcW w:w="1440" w:type="dxa"/>
            <w:tcBorders>
              <w:top w:val="nil"/>
              <w:left w:val="nil"/>
              <w:bottom w:val="single" w:sz="8" w:space="0" w:color="auto"/>
              <w:right w:val="nil"/>
            </w:tcBorders>
            <w:shd w:val="clear" w:color="auto" w:fill="auto"/>
            <w:noWrap/>
            <w:vAlign w:val="center"/>
            <w:hideMark/>
          </w:tcPr>
          <w:p w14:paraId="7E0B04AE" w14:textId="77777777" w:rsidR="00087BCF" w:rsidRPr="00A9221C" w:rsidRDefault="00087BCF" w:rsidP="003F088D">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2020</w:t>
            </w:r>
          </w:p>
        </w:tc>
        <w:tc>
          <w:tcPr>
            <w:tcW w:w="1193" w:type="dxa"/>
            <w:tcBorders>
              <w:top w:val="nil"/>
              <w:left w:val="nil"/>
              <w:bottom w:val="single" w:sz="8" w:space="0" w:color="auto"/>
              <w:right w:val="nil"/>
            </w:tcBorders>
            <w:shd w:val="clear" w:color="auto" w:fill="auto"/>
            <w:noWrap/>
            <w:vAlign w:val="center"/>
            <w:hideMark/>
          </w:tcPr>
          <w:p w14:paraId="07BF798E" w14:textId="77777777" w:rsidR="00087BCF" w:rsidRPr="00A9221C" w:rsidRDefault="00087BCF" w:rsidP="003F088D">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2021</w:t>
            </w:r>
          </w:p>
        </w:tc>
        <w:tc>
          <w:tcPr>
            <w:tcW w:w="1193" w:type="dxa"/>
            <w:tcBorders>
              <w:top w:val="nil"/>
              <w:left w:val="nil"/>
              <w:bottom w:val="single" w:sz="8" w:space="0" w:color="auto"/>
              <w:right w:val="nil"/>
            </w:tcBorders>
            <w:shd w:val="clear" w:color="auto" w:fill="auto"/>
            <w:noWrap/>
            <w:vAlign w:val="center"/>
            <w:hideMark/>
          </w:tcPr>
          <w:p w14:paraId="57A6F741" w14:textId="77777777" w:rsidR="00087BCF" w:rsidRPr="00A9221C" w:rsidRDefault="00087BCF" w:rsidP="003F088D">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2022</w:t>
            </w:r>
          </w:p>
        </w:tc>
        <w:tc>
          <w:tcPr>
            <w:tcW w:w="1240" w:type="dxa"/>
            <w:tcBorders>
              <w:top w:val="nil"/>
              <w:left w:val="nil"/>
              <w:right w:val="nil"/>
            </w:tcBorders>
            <w:shd w:val="clear" w:color="auto" w:fill="auto"/>
            <w:noWrap/>
            <w:vAlign w:val="center"/>
            <w:hideMark/>
          </w:tcPr>
          <w:p w14:paraId="3B685B12" w14:textId="77777777" w:rsidR="00087BCF" w:rsidRPr="00604185" w:rsidRDefault="00087BCF" w:rsidP="003F088D">
            <w:pPr>
              <w:spacing w:before="0" w:line="240" w:lineRule="auto"/>
              <w:jc w:val="center"/>
              <w:rPr>
                <w:rFonts w:cs="Calibri"/>
                <w:b w:val="0"/>
                <w:color w:val="000000"/>
                <w:sz w:val="18"/>
                <w:szCs w:val="18"/>
                <w:lang w:val="en-US" w:eastAsia="en-US"/>
              </w:rPr>
            </w:pPr>
            <w:r w:rsidRPr="00604185">
              <w:rPr>
                <w:rFonts w:cs="Calibri"/>
                <w:b w:val="0"/>
                <w:color w:val="000000"/>
                <w:sz w:val="18"/>
                <w:szCs w:val="18"/>
                <w:lang w:val="en-US" w:eastAsia="en-US"/>
              </w:rPr>
              <w:t>2023</w:t>
            </w:r>
          </w:p>
        </w:tc>
        <w:tc>
          <w:tcPr>
            <w:tcW w:w="1483" w:type="dxa"/>
            <w:tcBorders>
              <w:top w:val="nil"/>
              <w:left w:val="nil"/>
              <w:bottom w:val="single" w:sz="8" w:space="0" w:color="auto"/>
              <w:right w:val="nil"/>
            </w:tcBorders>
            <w:shd w:val="clear" w:color="auto" w:fill="auto"/>
            <w:noWrap/>
            <w:vAlign w:val="center"/>
            <w:hideMark/>
          </w:tcPr>
          <w:p w14:paraId="2D7A8EF1" w14:textId="77777777" w:rsidR="00087BCF" w:rsidRPr="00604185" w:rsidRDefault="00087BCF" w:rsidP="003F088D">
            <w:pPr>
              <w:spacing w:before="0" w:line="240" w:lineRule="auto"/>
              <w:jc w:val="center"/>
              <w:rPr>
                <w:rFonts w:cs="Calibri"/>
                <w:b w:val="0"/>
                <w:color w:val="000000"/>
                <w:sz w:val="18"/>
                <w:szCs w:val="18"/>
                <w:lang w:val="en-US" w:eastAsia="en-US"/>
              </w:rPr>
            </w:pPr>
            <w:r w:rsidRPr="00604185">
              <w:rPr>
                <w:rFonts w:cs="Calibri"/>
                <w:b w:val="0"/>
                <w:color w:val="000000"/>
                <w:sz w:val="18"/>
                <w:szCs w:val="18"/>
                <w:lang w:val="en-US" w:eastAsia="en-US"/>
              </w:rPr>
              <w:t>2024</w:t>
            </w:r>
          </w:p>
        </w:tc>
      </w:tr>
      <w:tr w:rsidR="00DB6662" w:rsidRPr="00A9221C" w14:paraId="644F0C15" w14:textId="77777777" w:rsidTr="003F088D">
        <w:trPr>
          <w:trHeight w:val="600"/>
        </w:trPr>
        <w:tc>
          <w:tcPr>
            <w:tcW w:w="3330" w:type="dxa"/>
            <w:tcBorders>
              <w:top w:val="nil"/>
              <w:left w:val="nil"/>
              <w:bottom w:val="nil"/>
              <w:right w:val="nil"/>
            </w:tcBorders>
            <w:shd w:val="clear" w:color="000000" w:fill="FFFFFF"/>
            <w:vAlign w:val="center"/>
            <w:hideMark/>
          </w:tcPr>
          <w:p w14:paraId="60857F2F"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1. Պետական բյուջեի եկամուտներ</w:t>
            </w:r>
          </w:p>
        </w:tc>
        <w:tc>
          <w:tcPr>
            <w:tcW w:w="1440" w:type="dxa"/>
            <w:tcBorders>
              <w:top w:val="nil"/>
              <w:left w:val="nil"/>
              <w:bottom w:val="nil"/>
              <w:right w:val="nil"/>
            </w:tcBorders>
            <w:shd w:val="clear" w:color="000000" w:fill="FFFFFF"/>
            <w:noWrap/>
            <w:vAlign w:val="center"/>
            <w:hideMark/>
          </w:tcPr>
          <w:p w14:paraId="7C6D0AD5"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1,574.0</w:t>
            </w:r>
          </w:p>
        </w:tc>
        <w:tc>
          <w:tcPr>
            <w:tcW w:w="1193" w:type="dxa"/>
            <w:tcBorders>
              <w:left w:val="nil"/>
              <w:bottom w:val="nil"/>
              <w:right w:val="nil"/>
            </w:tcBorders>
            <w:shd w:val="clear" w:color="000000" w:fill="FFFFFF"/>
            <w:noWrap/>
            <w:vAlign w:val="center"/>
            <w:hideMark/>
          </w:tcPr>
          <w:p w14:paraId="7E4588A2"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1,706</w:t>
            </w:r>
          </w:p>
        </w:tc>
        <w:tc>
          <w:tcPr>
            <w:tcW w:w="1193" w:type="dxa"/>
            <w:tcBorders>
              <w:left w:val="nil"/>
              <w:bottom w:val="nil"/>
              <w:right w:val="nil"/>
            </w:tcBorders>
            <w:shd w:val="clear" w:color="000000" w:fill="FFFFFF"/>
            <w:noWrap/>
            <w:vAlign w:val="center"/>
            <w:hideMark/>
          </w:tcPr>
          <w:p w14:paraId="4C97A769"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2,099.6</w:t>
            </w:r>
          </w:p>
        </w:tc>
        <w:tc>
          <w:tcPr>
            <w:tcW w:w="1240" w:type="dxa"/>
            <w:tcBorders>
              <w:left w:val="nil"/>
              <w:bottom w:val="nil"/>
              <w:right w:val="nil"/>
            </w:tcBorders>
            <w:shd w:val="clear" w:color="000000" w:fill="FFFFFF"/>
            <w:noWrap/>
            <w:vAlign w:val="center"/>
            <w:hideMark/>
          </w:tcPr>
          <w:p w14:paraId="70FE4B05" w14:textId="75775C9A" w:rsidR="00DB6662" w:rsidRPr="00A9221C"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2,408.10</w:t>
            </w:r>
          </w:p>
        </w:tc>
        <w:tc>
          <w:tcPr>
            <w:tcW w:w="1483" w:type="dxa"/>
            <w:tcBorders>
              <w:top w:val="nil"/>
              <w:left w:val="nil"/>
              <w:bottom w:val="nil"/>
              <w:right w:val="nil"/>
            </w:tcBorders>
            <w:shd w:val="clear" w:color="000000" w:fill="FFFFFF"/>
            <w:noWrap/>
            <w:vAlign w:val="center"/>
            <w:hideMark/>
          </w:tcPr>
          <w:p w14:paraId="669103E3"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2,723.6</w:t>
            </w:r>
          </w:p>
        </w:tc>
      </w:tr>
      <w:tr w:rsidR="00DB6662" w:rsidRPr="00A9221C" w14:paraId="39BAB76E" w14:textId="77777777" w:rsidTr="003F088D">
        <w:trPr>
          <w:trHeight w:val="405"/>
        </w:trPr>
        <w:tc>
          <w:tcPr>
            <w:tcW w:w="3330" w:type="dxa"/>
            <w:tcBorders>
              <w:top w:val="nil"/>
              <w:left w:val="nil"/>
              <w:bottom w:val="single" w:sz="8" w:space="0" w:color="auto"/>
              <w:right w:val="nil"/>
            </w:tcBorders>
            <w:shd w:val="clear" w:color="000000" w:fill="FFFFFF"/>
            <w:vAlign w:val="center"/>
            <w:hideMark/>
          </w:tcPr>
          <w:p w14:paraId="478F5BB1"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 xml:space="preserve">ՀՆԱ-ի նկատմամբ (%) </w:t>
            </w:r>
          </w:p>
        </w:tc>
        <w:tc>
          <w:tcPr>
            <w:tcW w:w="1440" w:type="dxa"/>
            <w:tcBorders>
              <w:top w:val="nil"/>
              <w:left w:val="nil"/>
              <w:bottom w:val="single" w:sz="8" w:space="0" w:color="auto"/>
              <w:right w:val="nil"/>
            </w:tcBorders>
            <w:shd w:val="clear" w:color="000000" w:fill="FFFFFF"/>
            <w:noWrap/>
            <w:vAlign w:val="center"/>
            <w:hideMark/>
          </w:tcPr>
          <w:p w14:paraId="61BD7BE0"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25.5%</w:t>
            </w:r>
          </w:p>
        </w:tc>
        <w:tc>
          <w:tcPr>
            <w:tcW w:w="1193" w:type="dxa"/>
            <w:tcBorders>
              <w:top w:val="nil"/>
              <w:left w:val="nil"/>
              <w:bottom w:val="single" w:sz="8" w:space="0" w:color="auto"/>
              <w:right w:val="nil"/>
            </w:tcBorders>
            <w:shd w:val="clear" w:color="000000" w:fill="FFFFFF"/>
            <w:noWrap/>
            <w:vAlign w:val="center"/>
            <w:hideMark/>
          </w:tcPr>
          <w:p w14:paraId="3D4633C4"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24.4%</w:t>
            </w:r>
          </w:p>
        </w:tc>
        <w:tc>
          <w:tcPr>
            <w:tcW w:w="1193" w:type="dxa"/>
            <w:tcBorders>
              <w:top w:val="nil"/>
              <w:left w:val="nil"/>
              <w:bottom w:val="single" w:sz="8" w:space="0" w:color="auto"/>
              <w:right w:val="nil"/>
            </w:tcBorders>
            <w:shd w:val="clear" w:color="000000" w:fill="FFFFFF"/>
            <w:noWrap/>
            <w:vAlign w:val="center"/>
            <w:hideMark/>
          </w:tcPr>
          <w:p w14:paraId="493CB58D"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24.7%</w:t>
            </w:r>
          </w:p>
        </w:tc>
        <w:tc>
          <w:tcPr>
            <w:tcW w:w="1240" w:type="dxa"/>
            <w:tcBorders>
              <w:top w:val="nil"/>
              <w:left w:val="nil"/>
              <w:bottom w:val="single" w:sz="8" w:space="0" w:color="auto"/>
              <w:right w:val="nil"/>
            </w:tcBorders>
            <w:shd w:val="clear" w:color="000000" w:fill="FFFFFF"/>
            <w:noWrap/>
            <w:vAlign w:val="center"/>
            <w:hideMark/>
          </w:tcPr>
          <w:p w14:paraId="390DC9C6" w14:textId="503EDE2C"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25.5%</w:t>
            </w:r>
          </w:p>
        </w:tc>
        <w:tc>
          <w:tcPr>
            <w:tcW w:w="1483" w:type="dxa"/>
            <w:tcBorders>
              <w:top w:val="nil"/>
              <w:left w:val="nil"/>
              <w:bottom w:val="single" w:sz="8" w:space="0" w:color="auto"/>
              <w:right w:val="nil"/>
            </w:tcBorders>
            <w:shd w:val="clear" w:color="000000" w:fill="FFFFFF"/>
            <w:noWrap/>
            <w:vAlign w:val="center"/>
            <w:hideMark/>
          </w:tcPr>
          <w:p w14:paraId="61028BD1"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25.9%</w:t>
            </w:r>
          </w:p>
        </w:tc>
      </w:tr>
      <w:tr w:rsidR="00DB6662" w:rsidRPr="00A9221C" w14:paraId="42BCCFEC" w14:textId="77777777" w:rsidTr="003F088D">
        <w:trPr>
          <w:trHeight w:val="450"/>
        </w:trPr>
        <w:tc>
          <w:tcPr>
            <w:tcW w:w="3330" w:type="dxa"/>
            <w:tcBorders>
              <w:top w:val="nil"/>
              <w:left w:val="nil"/>
              <w:bottom w:val="nil"/>
              <w:right w:val="nil"/>
            </w:tcBorders>
            <w:shd w:val="clear" w:color="000000" w:fill="FFFFFF"/>
            <w:vAlign w:val="center"/>
            <w:hideMark/>
          </w:tcPr>
          <w:p w14:paraId="4B1BBD05"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Ներքին եկամուտներ</w:t>
            </w:r>
          </w:p>
        </w:tc>
        <w:tc>
          <w:tcPr>
            <w:tcW w:w="1440" w:type="dxa"/>
            <w:tcBorders>
              <w:top w:val="nil"/>
              <w:left w:val="nil"/>
              <w:bottom w:val="nil"/>
              <w:right w:val="nil"/>
            </w:tcBorders>
            <w:shd w:val="clear" w:color="000000" w:fill="FFFFFF"/>
            <w:noWrap/>
            <w:vAlign w:val="center"/>
            <w:hideMark/>
          </w:tcPr>
          <w:p w14:paraId="022F3C4A"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1,520.8</w:t>
            </w:r>
          </w:p>
        </w:tc>
        <w:tc>
          <w:tcPr>
            <w:tcW w:w="1193" w:type="dxa"/>
            <w:tcBorders>
              <w:top w:val="nil"/>
              <w:left w:val="nil"/>
              <w:bottom w:val="nil"/>
              <w:right w:val="nil"/>
            </w:tcBorders>
            <w:shd w:val="clear" w:color="000000" w:fill="FFFFFF"/>
            <w:noWrap/>
            <w:vAlign w:val="center"/>
            <w:hideMark/>
          </w:tcPr>
          <w:p w14:paraId="6928A3B2"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1,694.1</w:t>
            </w:r>
          </w:p>
        </w:tc>
        <w:tc>
          <w:tcPr>
            <w:tcW w:w="1193" w:type="dxa"/>
            <w:tcBorders>
              <w:top w:val="nil"/>
              <w:left w:val="nil"/>
              <w:bottom w:val="nil"/>
              <w:right w:val="nil"/>
            </w:tcBorders>
            <w:shd w:val="clear" w:color="000000" w:fill="FFFFFF"/>
            <w:noWrap/>
            <w:vAlign w:val="center"/>
            <w:hideMark/>
          </w:tcPr>
          <w:p w14:paraId="571CC213"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2,084.6</w:t>
            </w:r>
          </w:p>
        </w:tc>
        <w:tc>
          <w:tcPr>
            <w:tcW w:w="1240" w:type="dxa"/>
            <w:tcBorders>
              <w:top w:val="nil"/>
              <w:left w:val="nil"/>
              <w:bottom w:val="nil"/>
              <w:right w:val="nil"/>
            </w:tcBorders>
            <w:shd w:val="clear" w:color="000000" w:fill="FFFFFF"/>
            <w:noWrap/>
            <w:vAlign w:val="center"/>
            <w:hideMark/>
          </w:tcPr>
          <w:p w14:paraId="054E3EA7" w14:textId="64A32486" w:rsidR="00DB6662" w:rsidRPr="00A9221C"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2,390.8</w:t>
            </w:r>
          </w:p>
        </w:tc>
        <w:tc>
          <w:tcPr>
            <w:tcW w:w="1483" w:type="dxa"/>
            <w:tcBorders>
              <w:top w:val="nil"/>
              <w:left w:val="nil"/>
              <w:bottom w:val="nil"/>
              <w:right w:val="nil"/>
            </w:tcBorders>
            <w:shd w:val="clear" w:color="000000" w:fill="FFFFFF"/>
            <w:noWrap/>
            <w:vAlign w:val="center"/>
            <w:hideMark/>
          </w:tcPr>
          <w:p w14:paraId="25C647CA"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2,701.3</w:t>
            </w:r>
          </w:p>
        </w:tc>
      </w:tr>
      <w:tr w:rsidR="00DB6662" w:rsidRPr="00A9221C" w14:paraId="72B8E312" w14:textId="77777777" w:rsidTr="003F088D">
        <w:trPr>
          <w:trHeight w:val="540"/>
        </w:trPr>
        <w:tc>
          <w:tcPr>
            <w:tcW w:w="3330" w:type="dxa"/>
            <w:tcBorders>
              <w:top w:val="nil"/>
              <w:left w:val="nil"/>
              <w:bottom w:val="nil"/>
              <w:right w:val="nil"/>
            </w:tcBorders>
            <w:shd w:val="clear" w:color="000000" w:fill="FFFFFF"/>
            <w:vAlign w:val="center"/>
            <w:hideMark/>
          </w:tcPr>
          <w:p w14:paraId="60816BC5"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ՀՆԱ-ի նկատմամբ (%)</w:t>
            </w:r>
          </w:p>
        </w:tc>
        <w:tc>
          <w:tcPr>
            <w:tcW w:w="1440" w:type="dxa"/>
            <w:tcBorders>
              <w:top w:val="nil"/>
              <w:left w:val="nil"/>
              <w:bottom w:val="nil"/>
              <w:right w:val="nil"/>
            </w:tcBorders>
            <w:shd w:val="clear" w:color="000000" w:fill="FFFFFF"/>
            <w:noWrap/>
            <w:vAlign w:val="center"/>
            <w:hideMark/>
          </w:tcPr>
          <w:p w14:paraId="60105901"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24.6%</w:t>
            </w:r>
          </w:p>
        </w:tc>
        <w:tc>
          <w:tcPr>
            <w:tcW w:w="1193" w:type="dxa"/>
            <w:tcBorders>
              <w:top w:val="nil"/>
              <w:left w:val="nil"/>
              <w:bottom w:val="nil"/>
              <w:right w:val="nil"/>
            </w:tcBorders>
            <w:shd w:val="clear" w:color="000000" w:fill="FFFFFF"/>
            <w:noWrap/>
            <w:vAlign w:val="center"/>
            <w:hideMark/>
          </w:tcPr>
          <w:p w14:paraId="6E335F8A"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24.2%</w:t>
            </w:r>
          </w:p>
        </w:tc>
        <w:tc>
          <w:tcPr>
            <w:tcW w:w="1193" w:type="dxa"/>
            <w:tcBorders>
              <w:top w:val="nil"/>
              <w:left w:val="nil"/>
              <w:bottom w:val="nil"/>
              <w:right w:val="nil"/>
            </w:tcBorders>
            <w:shd w:val="clear" w:color="000000" w:fill="FFFFFF"/>
            <w:noWrap/>
            <w:vAlign w:val="center"/>
            <w:hideMark/>
          </w:tcPr>
          <w:p w14:paraId="43E52BB7"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24.5%</w:t>
            </w:r>
          </w:p>
        </w:tc>
        <w:tc>
          <w:tcPr>
            <w:tcW w:w="1240" w:type="dxa"/>
            <w:tcBorders>
              <w:top w:val="nil"/>
              <w:left w:val="nil"/>
              <w:bottom w:val="nil"/>
              <w:right w:val="nil"/>
            </w:tcBorders>
            <w:shd w:val="clear" w:color="000000" w:fill="FFFFFF"/>
            <w:noWrap/>
            <w:vAlign w:val="center"/>
            <w:hideMark/>
          </w:tcPr>
          <w:p w14:paraId="49CAEB9D" w14:textId="2F77878D"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25.30%</w:t>
            </w:r>
          </w:p>
        </w:tc>
        <w:tc>
          <w:tcPr>
            <w:tcW w:w="1483" w:type="dxa"/>
            <w:tcBorders>
              <w:top w:val="nil"/>
              <w:left w:val="nil"/>
              <w:bottom w:val="nil"/>
              <w:right w:val="nil"/>
            </w:tcBorders>
            <w:shd w:val="clear" w:color="000000" w:fill="FFFFFF"/>
            <w:noWrap/>
            <w:vAlign w:val="center"/>
            <w:hideMark/>
          </w:tcPr>
          <w:p w14:paraId="08BDC19A"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25.7%</w:t>
            </w:r>
          </w:p>
        </w:tc>
      </w:tr>
      <w:tr w:rsidR="00DB6662" w:rsidRPr="00A9221C" w14:paraId="0C7E15BA" w14:textId="77777777" w:rsidTr="003F088D">
        <w:trPr>
          <w:trHeight w:val="555"/>
        </w:trPr>
        <w:tc>
          <w:tcPr>
            <w:tcW w:w="3330" w:type="dxa"/>
            <w:tcBorders>
              <w:top w:val="nil"/>
              <w:left w:val="nil"/>
              <w:bottom w:val="single" w:sz="8" w:space="0" w:color="auto"/>
              <w:right w:val="nil"/>
            </w:tcBorders>
            <w:shd w:val="clear" w:color="000000" w:fill="FFFFFF"/>
            <w:vAlign w:val="center"/>
            <w:hideMark/>
          </w:tcPr>
          <w:p w14:paraId="39EC173C" w14:textId="77777777" w:rsidR="00DB6662" w:rsidRPr="00D26E04" w:rsidRDefault="00DB6662" w:rsidP="00DB6662">
            <w:pPr>
              <w:spacing w:before="0" w:line="240" w:lineRule="auto"/>
              <w:jc w:val="left"/>
              <w:rPr>
                <w:rFonts w:cs="Calibri"/>
                <w:b w:val="0"/>
                <w:color w:val="000000"/>
                <w:sz w:val="18"/>
                <w:szCs w:val="18"/>
                <w:lang w:val="en-US" w:eastAsia="en-US"/>
              </w:rPr>
            </w:pPr>
            <w:r w:rsidRPr="00D26E04">
              <w:rPr>
                <w:rFonts w:cs="Calibri"/>
                <w:b w:val="0"/>
                <w:color w:val="000000"/>
                <w:sz w:val="18"/>
                <w:szCs w:val="18"/>
              </w:rPr>
              <w:t>Ընդհանուրի նկատմամբ (%)</w:t>
            </w:r>
          </w:p>
        </w:tc>
        <w:tc>
          <w:tcPr>
            <w:tcW w:w="1440" w:type="dxa"/>
            <w:tcBorders>
              <w:top w:val="nil"/>
              <w:left w:val="nil"/>
              <w:bottom w:val="single" w:sz="8" w:space="0" w:color="auto"/>
              <w:right w:val="nil"/>
            </w:tcBorders>
            <w:shd w:val="clear" w:color="000000" w:fill="FFFFFF"/>
            <w:noWrap/>
            <w:vAlign w:val="center"/>
            <w:hideMark/>
          </w:tcPr>
          <w:p w14:paraId="31442FA4"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96.6%</w:t>
            </w:r>
          </w:p>
        </w:tc>
        <w:tc>
          <w:tcPr>
            <w:tcW w:w="1193" w:type="dxa"/>
            <w:tcBorders>
              <w:top w:val="nil"/>
              <w:left w:val="nil"/>
              <w:bottom w:val="single" w:sz="8" w:space="0" w:color="auto"/>
              <w:right w:val="nil"/>
            </w:tcBorders>
            <w:shd w:val="clear" w:color="000000" w:fill="FFFFFF"/>
            <w:noWrap/>
            <w:vAlign w:val="center"/>
            <w:hideMark/>
          </w:tcPr>
          <w:p w14:paraId="1FE46E10"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99.3%</w:t>
            </w:r>
          </w:p>
        </w:tc>
        <w:tc>
          <w:tcPr>
            <w:tcW w:w="1193" w:type="dxa"/>
            <w:tcBorders>
              <w:top w:val="nil"/>
              <w:left w:val="nil"/>
              <w:bottom w:val="single" w:sz="8" w:space="0" w:color="auto"/>
              <w:right w:val="nil"/>
            </w:tcBorders>
            <w:shd w:val="clear" w:color="000000" w:fill="FFFFFF"/>
            <w:noWrap/>
            <w:vAlign w:val="center"/>
            <w:hideMark/>
          </w:tcPr>
          <w:p w14:paraId="195F1A3B"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99.3%</w:t>
            </w:r>
          </w:p>
        </w:tc>
        <w:tc>
          <w:tcPr>
            <w:tcW w:w="1240" w:type="dxa"/>
            <w:tcBorders>
              <w:top w:val="nil"/>
              <w:left w:val="nil"/>
              <w:bottom w:val="single" w:sz="8" w:space="0" w:color="auto"/>
              <w:right w:val="nil"/>
            </w:tcBorders>
            <w:shd w:val="clear" w:color="000000" w:fill="FFFFFF"/>
            <w:noWrap/>
            <w:vAlign w:val="center"/>
            <w:hideMark/>
          </w:tcPr>
          <w:p w14:paraId="707E08AC" w14:textId="3EB75F47"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99.3%</w:t>
            </w:r>
          </w:p>
        </w:tc>
        <w:tc>
          <w:tcPr>
            <w:tcW w:w="1483" w:type="dxa"/>
            <w:tcBorders>
              <w:top w:val="nil"/>
              <w:left w:val="nil"/>
              <w:bottom w:val="single" w:sz="8" w:space="0" w:color="auto"/>
              <w:right w:val="nil"/>
            </w:tcBorders>
            <w:shd w:val="clear" w:color="000000" w:fill="FFFFFF"/>
            <w:noWrap/>
            <w:vAlign w:val="center"/>
            <w:hideMark/>
          </w:tcPr>
          <w:p w14:paraId="2E1F9403"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99.2%</w:t>
            </w:r>
          </w:p>
        </w:tc>
      </w:tr>
      <w:tr w:rsidR="00DB6662" w:rsidRPr="00A9221C" w14:paraId="22257A29" w14:textId="77777777" w:rsidTr="003F088D">
        <w:trPr>
          <w:trHeight w:val="540"/>
        </w:trPr>
        <w:tc>
          <w:tcPr>
            <w:tcW w:w="3330" w:type="dxa"/>
            <w:tcBorders>
              <w:top w:val="nil"/>
              <w:left w:val="nil"/>
              <w:bottom w:val="nil"/>
              <w:right w:val="nil"/>
            </w:tcBorders>
            <w:shd w:val="clear" w:color="000000" w:fill="FFFFFF"/>
            <w:vAlign w:val="center"/>
            <w:hideMark/>
          </w:tcPr>
          <w:p w14:paraId="5C1443DB" w14:textId="77777777" w:rsidR="00DB6662" w:rsidRPr="00A9221C" w:rsidRDefault="00DB6662" w:rsidP="00DB6662">
            <w:pPr>
              <w:spacing w:before="0" w:line="240" w:lineRule="auto"/>
              <w:jc w:val="left"/>
              <w:rPr>
                <w:rFonts w:cs="Calibri"/>
                <w:b w:val="0"/>
                <w:color w:val="000000"/>
                <w:sz w:val="18"/>
                <w:szCs w:val="18"/>
                <w:lang w:eastAsia="en-US"/>
              </w:rPr>
            </w:pPr>
            <w:r w:rsidRPr="00A9221C">
              <w:rPr>
                <w:rFonts w:cs="Calibri"/>
                <w:b w:val="0"/>
                <w:color w:val="000000"/>
                <w:sz w:val="18"/>
                <w:szCs w:val="18"/>
                <w:lang w:eastAsia="en-US"/>
              </w:rPr>
              <w:t xml:space="preserve"> Հարկային եկամուտներ և պետական տուրքեր</w:t>
            </w:r>
          </w:p>
        </w:tc>
        <w:tc>
          <w:tcPr>
            <w:tcW w:w="1440" w:type="dxa"/>
            <w:tcBorders>
              <w:top w:val="nil"/>
              <w:left w:val="nil"/>
              <w:bottom w:val="nil"/>
              <w:right w:val="nil"/>
            </w:tcBorders>
            <w:shd w:val="clear" w:color="000000" w:fill="FFFFFF"/>
            <w:noWrap/>
            <w:vAlign w:val="center"/>
            <w:hideMark/>
          </w:tcPr>
          <w:p w14:paraId="107C06BF"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1,398.5</w:t>
            </w:r>
          </w:p>
        </w:tc>
        <w:tc>
          <w:tcPr>
            <w:tcW w:w="1193" w:type="dxa"/>
            <w:tcBorders>
              <w:top w:val="nil"/>
              <w:left w:val="nil"/>
              <w:bottom w:val="nil"/>
              <w:right w:val="nil"/>
            </w:tcBorders>
            <w:shd w:val="clear" w:color="000000" w:fill="FFFFFF"/>
            <w:noWrap/>
            <w:vAlign w:val="center"/>
            <w:hideMark/>
          </w:tcPr>
          <w:p w14:paraId="011B8D3B"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1,609.6</w:t>
            </w:r>
          </w:p>
        </w:tc>
        <w:tc>
          <w:tcPr>
            <w:tcW w:w="1193" w:type="dxa"/>
            <w:tcBorders>
              <w:top w:val="nil"/>
              <w:left w:val="nil"/>
              <w:bottom w:val="nil"/>
              <w:right w:val="nil"/>
            </w:tcBorders>
            <w:shd w:val="clear" w:color="000000" w:fill="FFFFFF"/>
            <w:noWrap/>
            <w:vAlign w:val="center"/>
            <w:hideMark/>
          </w:tcPr>
          <w:p w14:paraId="1905BA9F"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1,962.5</w:t>
            </w:r>
          </w:p>
        </w:tc>
        <w:tc>
          <w:tcPr>
            <w:tcW w:w="1240" w:type="dxa"/>
            <w:tcBorders>
              <w:top w:val="nil"/>
              <w:left w:val="nil"/>
              <w:bottom w:val="nil"/>
              <w:right w:val="nil"/>
            </w:tcBorders>
            <w:shd w:val="clear" w:color="000000" w:fill="FFFFFF"/>
            <w:noWrap/>
            <w:vAlign w:val="center"/>
            <w:hideMark/>
          </w:tcPr>
          <w:p w14:paraId="0BD5235C" w14:textId="6E60E3A5"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2,277.8</w:t>
            </w:r>
          </w:p>
        </w:tc>
        <w:tc>
          <w:tcPr>
            <w:tcW w:w="1483" w:type="dxa"/>
            <w:tcBorders>
              <w:top w:val="nil"/>
              <w:left w:val="nil"/>
              <w:bottom w:val="nil"/>
              <w:right w:val="nil"/>
            </w:tcBorders>
            <w:shd w:val="clear" w:color="000000" w:fill="FFFFFF"/>
            <w:noWrap/>
            <w:vAlign w:val="center"/>
            <w:hideMark/>
          </w:tcPr>
          <w:p w14:paraId="0ABA24E1"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2,613.6</w:t>
            </w:r>
          </w:p>
        </w:tc>
      </w:tr>
      <w:tr w:rsidR="00DB6662" w:rsidRPr="00A9221C" w14:paraId="5AC9BCB6" w14:textId="77777777" w:rsidTr="003F088D">
        <w:trPr>
          <w:trHeight w:val="525"/>
        </w:trPr>
        <w:tc>
          <w:tcPr>
            <w:tcW w:w="3330" w:type="dxa"/>
            <w:tcBorders>
              <w:top w:val="nil"/>
              <w:left w:val="nil"/>
              <w:bottom w:val="nil"/>
              <w:right w:val="nil"/>
            </w:tcBorders>
            <w:shd w:val="clear" w:color="000000" w:fill="FFFFFF"/>
            <w:vAlign w:val="center"/>
            <w:hideMark/>
          </w:tcPr>
          <w:p w14:paraId="12CC2B63"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 xml:space="preserve">ՀՆԱ-ի նկատմամբ (%) </w:t>
            </w:r>
          </w:p>
        </w:tc>
        <w:tc>
          <w:tcPr>
            <w:tcW w:w="1440" w:type="dxa"/>
            <w:tcBorders>
              <w:top w:val="nil"/>
              <w:left w:val="nil"/>
              <w:bottom w:val="nil"/>
              <w:right w:val="nil"/>
            </w:tcBorders>
            <w:shd w:val="clear" w:color="000000" w:fill="FFFFFF"/>
            <w:noWrap/>
            <w:vAlign w:val="center"/>
            <w:hideMark/>
          </w:tcPr>
          <w:p w14:paraId="3DA91E70"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22.6%</w:t>
            </w:r>
          </w:p>
        </w:tc>
        <w:tc>
          <w:tcPr>
            <w:tcW w:w="1193" w:type="dxa"/>
            <w:tcBorders>
              <w:top w:val="nil"/>
              <w:left w:val="nil"/>
              <w:bottom w:val="nil"/>
              <w:right w:val="nil"/>
            </w:tcBorders>
            <w:shd w:val="clear" w:color="000000" w:fill="FFFFFF"/>
            <w:noWrap/>
            <w:vAlign w:val="center"/>
            <w:hideMark/>
          </w:tcPr>
          <w:p w14:paraId="1C0189FD"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23.0%</w:t>
            </w:r>
          </w:p>
        </w:tc>
        <w:tc>
          <w:tcPr>
            <w:tcW w:w="1193" w:type="dxa"/>
            <w:tcBorders>
              <w:top w:val="nil"/>
              <w:left w:val="nil"/>
              <w:bottom w:val="nil"/>
              <w:right w:val="nil"/>
            </w:tcBorders>
            <w:shd w:val="clear" w:color="000000" w:fill="FFFFFF"/>
            <w:noWrap/>
            <w:vAlign w:val="center"/>
            <w:hideMark/>
          </w:tcPr>
          <w:p w14:paraId="0217823C"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23.1%</w:t>
            </w:r>
          </w:p>
        </w:tc>
        <w:tc>
          <w:tcPr>
            <w:tcW w:w="1240" w:type="dxa"/>
            <w:tcBorders>
              <w:top w:val="nil"/>
              <w:left w:val="nil"/>
              <w:bottom w:val="nil"/>
              <w:right w:val="nil"/>
            </w:tcBorders>
            <w:shd w:val="clear" w:color="000000" w:fill="FFFFFF"/>
            <w:noWrap/>
            <w:vAlign w:val="center"/>
            <w:hideMark/>
          </w:tcPr>
          <w:p w14:paraId="5AEBEAAC" w14:textId="1B99DD67"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24.1%</w:t>
            </w:r>
          </w:p>
        </w:tc>
        <w:tc>
          <w:tcPr>
            <w:tcW w:w="1483" w:type="dxa"/>
            <w:tcBorders>
              <w:top w:val="nil"/>
              <w:left w:val="nil"/>
              <w:bottom w:val="nil"/>
              <w:right w:val="nil"/>
            </w:tcBorders>
            <w:shd w:val="clear" w:color="000000" w:fill="FFFFFF"/>
            <w:noWrap/>
            <w:vAlign w:val="center"/>
            <w:hideMark/>
          </w:tcPr>
          <w:p w14:paraId="2796AF24"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24.9%</w:t>
            </w:r>
          </w:p>
        </w:tc>
      </w:tr>
      <w:tr w:rsidR="00DB6662" w:rsidRPr="00A9221C" w14:paraId="35BE11B9" w14:textId="77777777" w:rsidTr="003F088D">
        <w:trPr>
          <w:trHeight w:val="645"/>
        </w:trPr>
        <w:tc>
          <w:tcPr>
            <w:tcW w:w="3330" w:type="dxa"/>
            <w:tcBorders>
              <w:top w:val="nil"/>
              <w:left w:val="nil"/>
              <w:bottom w:val="single" w:sz="8" w:space="0" w:color="auto"/>
              <w:right w:val="nil"/>
            </w:tcBorders>
            <w:shd w:val="clear" w:color="000000" w:fill="FFFFFF"/>
            <w:vAlign w:val="center"/>
            <w:hideMark/>
          </w:tcPr>
          <w:p w14:paraId="08597AA5"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 xml:space="preserve">Ընդհանուրի նկատմամբ (%) </w:t>
            </w:r>
          </w:p>
        </w:tc>
        <w:tc>
          <w:tcPr>
            <w:tcW w:w="1440" w:type="dxa"/>
            <w:tcBorders>
              <w:top w:val="nil"/>
              <w:left w:val="nil"/>
              <w:bottom w:val="single" w:sz="8" w:space="0" w:color="auto"/>
              <w:right w:val="nil"/>
            </w:tcBorders>
            <w:shd w:val="clear" w:color="000000" w:fill="FFFFFF"/>
            <w:noWrap/>
            <w:vAlign w:val="center"/>
            <w:hideMark/>
          </w:tcPr>
          <w:p w14:paraId="6BC2CE53"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88.9%</w:t>
            </w:r>
          </w:p>
        </w:tc>
        <w:tc>
          <w:tcPr>
            <w:tcW w:w="1193" w:type="dxa"/>
            <w:tcBorders>
              <w:top w:val="nil"/>
              <w:left w:val="nil"/>
              <w:bottom w:val="single" w:sz="8" w:space="0" w:color="auto"/>
              <w:right w:val="nil"/>
            </w:tcBorders>
            <w:shd w:val="clear" w:color="000000" w:fill="FFFFFF"/>
            <w:noWrap/>
            <w:vAlign w:val="center"/>
            <w:hideMark/>
          </w:tcPr>
          <w:p w14:paraId="2B7243CF"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94.3%</w:t>
            </w:r>
          </w:p>
        </w:tc>
        <w:tc>
          <w:tcPr>
            <w:tcW w:w="1193" w:type="dxa"/>
            <w:tcBorders>
              <w:top w:val="nil"/>
              <w:left w:val="nil"/>
              <w:bottom w:val="single" w:sz="8" w:space="0" w:color="auto"/>
              <w:right w:val="nil"/>
            </w:tcBorders>
            <w:shd w:val="clear" w:color="000000" w:fill="FFFFFF"/>
            <w:noWrap/>
            <w:vAlign w:val="center"/>
            <w:hideMark/>
          </w:tcPr>
          <w:p w14:paraId="59A02734"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93.5%</w:t>
            </w:r>
          </w:p>
        </w:tc>
        <w:tc>
          <w:tcPr>
            <w:tcW w:w="1240" w:type="dxa"/>
            <w:tcBorders>
              <w:top w:val="nil"/>
              <w:left w:val="nil"/>
              <w:bottom w:val="single" w:sz="8" w:space="0" w:color="auto"/>
              <w:right w:val="nil"/>
            </w:tcBorders>
            <w:shd w:val="clear" w:color="000000" w:fill="FFFFFF"/>
            <w:noWrap/>
            <w:vAlign w:val="center"/>
            <w:hideMark/>
          </w:tcPr>
          <w:p w14:paraId="700CC8E9" w14:textId="4C7E72EB"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94.6%</w:t>
            </w:r>
          </w:p>
        </w:tc>
        <w:tc>
          <w:tcPr>
            <w:tcW w:w="1483" w:type="dxa"/>
            <w:tcBorders>
              <w:top w:val="nil"/>
              <w:left w:val="nil"/>
              <w:bottom w:val="single" w:sz="8" w:space="0" w:color="auto"/>
              <w:right w:val="nil"/>
            </w:tcBorders>
            <w:shd w:val="clear" w:color="000000" w:fill="FFFFFF"/>
            <w:noWrap/>
            <w:vAlign w:val="center"/>
            <w:hideMark/>
          </w:tcPr>
          <w:p w14:paraId="35847660" w14:textId="77777777" w:rsidR="00DB6662" w:rsidRPr="00D26E04" w:rsidRDefault="00DB6662" w:rsidP="00DB6662">
            <w:pPr>
              <w:spacing w:before="0" w:line="240" w:lineRule="auto"/>
              <w:jc w:val="center"/>
              <w:rPr>
                <w:rFonts w:cs="Calibri"/>
                <w:b w:val="0"/>
                <w:color w:val="000000"/>
                <w:sz w:val="18"/>
                <w:szCs w:val="18"/>
                <w:lang w:val="en-US" w:eastAsia="en-US"/>
              </w:rPr>
            </w:pPr>
            <w:r w:rsidRPr="00D26E04">
              <w:rPr>
                <w:rFonts w:cs="Calibri"/>
                <w:b w:val="0"/>
                <w:color w:val="000000"/>
                <w:sz w:val="18"/>
                <w:szCs w:val="18"/>
              </w:rPr>
              <w:t>96.0%</w:t>
            </w:r>
          </w:p>
        </w:tc>
      </w:tr>
      <w:tr w:rsidR="00DB6662" w:rsidRPr="00A9221C" w14:paraId="56343289" w14:textId="77777777" w:rsidTr="003F088D">
        <w:trPr>
          <w:trHeight w:val="555"/>
        </w:trPr>
        <w:tc>
          <w:tcPr>
            <w:tcW w:w="3330" w:type="dxa"/>
            <w:tcBorders>
              <w:top w:val="nil"/>
              <w:left w:val="nil"/>
              <w:bottom w:val="nil"/>
              <w:right w:val="nil"/>
            </w:tcBorders>
            <w:shd w:val="clear" w:color="000000" w:fill="FFFFFF"/>
            <w:vAlign w:val="center"/>
            <w:hideMark/>
          </w:tcPr>
          <w:p w14:paraId="57BABFAC" w14:textId="77777777" w:rsidR="00DB6662" w:rsidRPr="00666DD2" w:rsidRDefault="00DB6662" w:rsidP="00DB6662">
            <w:pPr>
              <w:spacing w:before="0" w:line="240" w:lineRule="auto"/>
              <w:jc w:val="left"/>
              <w:rPr>
                <w:rFonts w:cs="Calibri"/>
                <w:b w:val="0"/>
                <w:color w:val="000000"/>
                <w:sz w:val="18"/>
                <w:szCs w:val="18"/>
                <w:lang w:val="en-US" w:eastAsia="en-US"/>
              </w:rPr>
            </w:pPr>
            <w:r w:rsidRPr="00666DD2">
              <w:rPr>
                <w:rFonts w:cs="Calibri"/>
                <w:b w:val="0"/>
                <w:color w:val="000000"/>
                <w:sz w:val="18"/>
                <w:szCs w:val="18"/>
                <w:lang w:val="en-US" w:eastAsia="en-US"/>
              </w:rPr>
              <w:t xml:space="preserve"> 2. Պետական բյուջեի ծախսեր </w:t>
            </w:r>
          </w:p>
        </w:tc>
        <w:tc>
          <w:tcPr>
            <w:tcW w:w="1440" w:type="dxa"/>
            <w:tcBorders>
              <w:top w:val="nil"/>
              <w:left w:val="nil"/>
              <w:bottom w:val="nil"/>
              <w:right w:val="nil"/>
            </w:tcBorders>
            <w:shd w:val="clear" w:color="000000" w:fill="FFFFFF"/>
            <w:noWrap/>
            <w:vAlign w:val="center"/>
            <w:hideMark/>
          </w:tcPr>
          <w:p w14:paraId="3257FEAE"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1,908.0</w:t>
            </w:r>
          </w:p>
        </w:tc>
        <w:tc>
          <w:tcPr>
            <w:tcW w:w="1193" w:type="dxa"/>
            <w:tcBorders>
              <w:top w:val="nil"/>
              <w:left w:val="nil"/>
              <w:bottom w:val="nil"/>
              <w:right w:val="nil"/>
            </w:tcBorders>
            <w:shd w:val="clear" w:color="000000" w:fill="FFFFFF"/>
            <w:noWrap/>
            <w:vAlign w:val="center"/>
            <w:hideMark/>
          </w:tcPr>
          <w:p w14:paraId="74D220D7"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2,027.0</w:t>
            </w:r>
          </w:p>
        </w:tc>
        <w:tc>
          <w:tcPr>
            <w:tcW w:w="1193" w:type="dxa"/>
            <w:tcBorders>
              <w:top w:val="nil"/>
              <w:left w:val="nil"/>
              <w:bottom w:val="nil"/>
              <w:right w:val="nil"/>
            </w:tcBorders>
            <w:shd w:val="clear" w:color="000000" w:fill="FFFFFF"/>
            <w:noWrap/>
            <w:vAlign w:val="center"/>
            <w:hideMark/>
          </w:tcPr>
          <w:p w14:paraId="3C42CAD2"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2,279.1</w:t>
            </w:r>
          </w:p>
        </w:tc>
        <w:tc>
          <w:tcPr>
            <w:tcW w:w="1240" w:type="dxa"/>
            <w:tcBorders>
              <w:top w:val="nil"/>
              <w:left w:val="nil"/>
              <w:bottom w:val="nil"/>
              <w:right w:val="nil"/>
            </w:tcBorders>
            <w:shd w:val="clear" w:color="000000" w:fill="FFFFFF"/>
            <w:noWrap/>
            <w:vAlign w:val="center"/>
            <w:hideMark/>
          </w:tcPr>
          <w:p w14:paraId="696BB7B9" w14:textId="157CD88D"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2,653.40</w:t>
            </w:r>
          </w:p>
        </w:tc>
        <w:tc>
          <w:tcPr>
            <w:tcW w:w="1483" w:type="dxa"/>
            <w:tcBorders>
              <w:top w:val="nil"/>
              <w:left w:val="nil"/>
              <w:bottom w:val="nil"/>
              <w:right w:val="nil"/>
            </w:tcBorders>
            <w:shd w:val="clear" w:color="000000" w:fill="FFFFFF"/>
            <w:noWrap/>
            <w:vAlign w:val="center"/>
            <w:hideMark/>
          </w:tcPr>
          <w:p w14:paraId="64742173"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3,206.5</w:t>
            </w:r>
          </w:p>
        </w:tc>
      </w:tr>
      <w:tr w:rsidR="00DB6662" w:rsidRPr="00A9221C" w14:paraId="77EC21C6" w14:textId="77777777" w:rsidTr="003F088D">
        <w:trPr>
          <w:trHeight w:val="435"/>
        </w:trPr>
        <w:tc>
          <w:tcPr>
            <w:tcW w:w="3330" w:type="dxa"/>
            <w:tcBorders>
              <w:top w:val="nil"/>
              <w:left w:val="nil"/>
              <w:bottom w:val="nil"/>
              <w:right w:val="nil"/>
            </w:tcBorders>
            <w:shd w:val="clear" w:color="000000" w:fill="FFFFFF"/>
            <w:vAlign w:val="center"/>
            <w:hideMark/>
          </w:tcPr>
          <w:p w14:paraId="2B8391FB" w14:textId="77777777" w:rsidR="00DB6662" w:rsidRPr="00666DD2" w:rsidRDefault="00DB6662" w:rsidP="00DB6662">
            <w:pPr>
              <w:spacing w:before="0" w:line="240" w:lineRule="auto"/>
              <w:jc w:val="left"/>
              <w:rPr>
                <w:rFonts w:cs="Calibri"/>
                <w:b w:val="0"/>
                <w:color w:val="000000"/>
                <w:sz w:val="18"/>
                <w:szCs w:val="18"/>
                <w:lang w:val="en-US" w:eastAsia="en-US"/>
              </w:rPr>
            </w:pPr>
            <w:r w:rsidRPr="00666DD2">
              <w:rPr>
                <w:rFonts w:cs="Calibri"/>
                <w:b w:val="0"/>
                <w:color w:val="000000"/>
                <w:sz w:val="18"/>
                <w:szCs w:val="18"/>
                <w:lang w:val="en-US" w:eastAsia="en-US"/>
              </w:rPr>
              <w:t xml:space="preserve">ՀՆԱ-ի նկատմամբ (%) </w:t>
            </w:r>
          </w:p>
        </w:tc>
        <w:tc>
          <w:tcPr>
            <w:tcW w:w="1440" w:type="dxa"/>
            <w:tcBorders>
              <w:top w:val="nil"/>
              <w:left w:val="nil"/>
              <w:bottom w:val="nil"/>
              <w:right w:val="nil"/>
            </w:tcBorders>
            <w:shd w:val="clear" w:color="000000" w:fill="FFFFFF"/>
            <w:noWrap/>
            <w:vAlign w:val="center"/>
            <w:hideMark/>
          </w:tcPr>
          <w:p w14:paraId="71840659"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30.9%</w:t>
            </w:r>
          </w:p>
        </w:tc>
        <w:tc>
          <w:tcPr>
            <w:tcW w:w="1193" w:type="dxa"/>
            <w:tcBorders>
              <w:top w:val="nil"/>
              <w:left w:val="nil"/>
              <w:bottom w:val="nil"/>
              <w:right w:val="nil"/>
            </w:tcBorders>
            <w:shd w:val="clear" w:color="000000" w:fill="FFFFFF"/>
            <w:noWrap/>
            <w:vAlign w:val="center"/>
            <w:hideMark/>
          </w:tcPr>
          <w:p w14:paraId="70F47F10"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29.0%</w:t>
            </w:r>
          </w:p>
        </w:tc>
        <w:tc>
          <w:tcPr>
            <w:tcW w:w="1193" w:type="dxa"/>
            <w:tcBorders>
              <w:top w:val="nil"/>
              <w:left w:val="nil"/>
              <w:bottom w:val="nil"/>
              <w:right w:val="nil"/>
            </w:tcBorders>
            <w:shd w:val="clear" w:color="000000" w:fill="FFFFFF"/>
            <w:noWrap/>
            <w:vAlign w:val="center"/>
            <w:hideMark/>
          </w:tcPr>
          <w:p w14:paraId="6EBB7708"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26.8%</w:t>
            </w:r>
          </w:p>
        </w:tc>
        <w:tc>
          <w:tcPr>
            <w:tcW w:w="1240" w:type="dxa"/>
            <w:tcBorders>
              <w:top w:val="nil"/>
              <w:left w:val="nil"/>
              <w:bottom w:val="nil"/>
              <w:right w:val="nil"/>
            </w:tcBorders>
            <w:shd w:val="clear" w:color="000000" w:fill="FFFFFF"/>
            <w:noWrap/>
            <w:vAlign w:val="center"/>
            <w:hideMark/>
          </w:tcPr>
          <w:p w14:paraId="28D24F3D" w14:textId="2F923340"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28.1%</w:t>
            </w:r>
          </w:p>
        </w:tc>
        <w:tc>
          <w:tcPr>
            <w:tcW w:w="1483" w:type="dxa"/>
            <w:tcBorders>
              <w:top w:val="nil"/>
              <w:left w:val="nil"/>
              <w:bottom w:val="nil"/>
              <w:right w:val="nil"/>
            </w:tcBorders>
            <w:shd w:val="clear" w:color="000000" w:fill="FFFFFF"/>
            <w:noWrap/>
            <w:vAlign w:val="center"/>
            <w:hideMark/>
          </w:tcPr>
          <w:p w14:paraId="2736AF34" w14:textId="77777777" w:rsidR="00DB6662" w:rsidRPr="00282CFA" w:rsidRDefault="00DB6662" w:rsidP="00DB6662">
            <w:pPr>
              <w:spacing w:before="0" w:line="240" w:lineRule="auto"/>
              <w:jc w:val="center"/>
              <w:rPr>
                <w:rFonts w:cs="Calibri"/>
                <w:b w:val="0"/>
                <w:color w:val="000000"/>
                <w:sz w:val="18"/>
                <w:szCs w:val="18"/>
                <w:highlight w:val="yellow"/>
                <w:lang w:val="en-US" w:eastAsia="en-US"/>
              </w:rPr>
            </w:pPr>
            <w:r w:rsidRPr="00282CFA">
              <w:rPr>
                <w:rFonts w:cs="Calibri"/>
                <w:b w:val="0"/>
                <w:color w:val="000000"/>
                <w:sz w:val="18"/>
                <w:szCs w:val="18"/>
              </w:rPr>
              <w:t>30.5%</w:t>
            </w:r>
          </w:p>
        </w:tc>
      </w:tr>
      <w:tr w:rsidR="00DB6662" w:rsidRPr="00A9221C" w14:paraId="4578CD2F" w14:textId="77777777" w:rsidTr="003F088D">
        <w:trPr>
          <w:trHeight w:val="630"/>
        </w:trPr>
        <w:tc>
          <w:tcPr>
            <w:tcW w:w="3330" w:type="dxa"/>
            <w:tcBorders>
              <w:top w:val="single" w:sz="8" w:space="0" w:color="auto"/>
              <w:left w:val="nil"/>
              <w:bottom w:val="nil"/>
              <w:right w:val="nil"/>
            </w:tcBorders>
            <w:shd w:val="clear" w:color="000000" w:fill="FFFFFF"/>
            <w:vAlign w:val="center"/>
            <w:hideMark/>
          </w:tcPr>
          <w:p w14:paraId="38D89880" w14:textId="77777777" w:rsidR="00DB6662" w:rsidRPr="00666DD2" w:rsidRDefault="00DB6662" w:rsidP="00DB6662">
            <w:pPr>
              <w:spacing w:before="0" w:line="240" w:lineRule="auto"/>
              <w:jc w:val="left"/>
              <w:rPr>
                <w:rFonts w:cs="Calibri"/>
                <w:b w:val="0"/>
                <w:color w:val="000000"/>
                <w:sz w:val="18"/>
                <w:szCs w:val="18"/>
                <w:lang w:val="en-US" w:eastAsia="en-US"/>
              </w:rPr>
            </w:pPr>
            <w:r w:rsidRPr="00666DD2">
              <w:rPr>
                <w:rFonts w:cs="Calibri"/>
                <w:b w:val="0"/>
                <w:color w:val="000000"/>
                <w:sz w:val="18"/>
                <w:szCs w:val="18"/>
                <w:lang w:val="en-US" w:eastAsia="en-US"/>
              </w:rPr>
              <w:t xml:space="preserve">Ընթացիկ ծախսեր </w:t>
            </w:r>
          </w:p>
        </w:tc>
        <w:tc>
          <w:tcPr>
            <w:tcW w:w="1440" w:type="dxa"/>
            <w:tcBorders>
              <w:top w:val="single" w:sz="8" w:space="0" w:color="auto"/>
              <w:left w:val="nil"/>
              <w:bottom w:val="nil"/>
              <w:right w:val="nil"/>
            </w:tcBorders>
            <w:shd w:val="clear" w:color="000000" w:fill="FFFFFF"/>
            <w:noWrap/>
            <w:vAlign w:val="center"/>
            <w:hideMark/>
          </w:tcPr>
          <w:p w14:paraId="685F2BC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1,681.8</w:t>
            </w:r>
          </w:p>
        </w:tc>
        <w:tc>
          <w:tcPr>
            <w:tcW w:w="1193" w:type="dxa"/>
            <w:tcBorders>
              <w:top w:val="single" w:sz="8" w:space="0" w:color="auto"/>
              <w:left w:val="nil"/>
              <w:bottom w:val="nil"/>
              <w:right w:val="nil"/>
            </w:tcBorders>
            <w:shd w:val="clear" w:color="000000" w:fill="FFFFFF"/>
            <w:noWrap/>
            <w:vAlign w:val="center"/>
            <w:hideMark/>
          </w:tcPr>
          <w:p w14:paraId="26207EB7"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1,810.7</w:t>
            </w:r>
          </w:p>
        </w:tc>
        <w:tc>
          <w:tcPr>
            <w:tcW w:w="1193" w:type="dxa"/>
            <w:tcBorders>
              <w:top w:val="single" w:sz="8" w:space="0" w:color="auto"/>
              <w:left w:val="nil"/>
              <w:bottom w:val="nil"/>
              <w:right w:val="nil"/>
            </w:tcBorders>
            <w:shd w:val="clear" w:color="000000" w:fill="FFFFFF"/>
            <w:noWrap/>
            <w:vAlign w:val="center"/>
            <w:hideMark/>
          </w:tcPr>
          <w:p w14:paraId="47A9F624"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1,898.7</w:t>
            </w:r>
          </w:p>
        </w:tc>
        <w:tc>
          <w:tcPr>
            <w:tcW w:w="1240" w:type="dxa"/>
            <w:tcBorders>
              <w:top w:val="single" w:sz="8" w:space="0" w:color="auto"/>
              <w:left w:val="nil"/>
              <w:bottom w:val="nil"/>
              <w:right w:val="nil"/>
            </w:tcBorders>
            <w:shd w:val="clear" w:color="000000" w:fill="FFFFFF"/>
            <w:noWrap/>
            <w:vAlign w:val="center"/>
            <w:hideMark/>
          </w:tcPr>
          <w:p w14:paraId="5E549DBD" w14:textId="1C65E7EE"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2,091.3</w:t>
            </w:r>
          </w:p>
        </w:tc>
        <w:tc>
          <w:tcPr>
            <w:tcW w:w="1483" w:type="dxa"/>
            <w:tcBorders>
              <w:top w:val="single" w:sz="8" w:space="0" w:color="auto"/>
              <w:left w:val="nil"/>
              <w:bottom w:val="nil"/>
              <w:right w:val="nil"/>
            </w:tcBorders>
            <w:shd w:val="clear" w:color="000000" w:fill="FFFFFF"/>
            <w:noWrap/>
            <w:vAlign w:val="center"/>
            <w:hideMark/>
          </w:tcPr>
          <w:p w14:paraId="6F34539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2,511.2</w:t>
            </w:r>
          </w:p>
        </w:tc>
      </w:tr>
      <w:tr w:rsidR="00DB6662" w:rsidRPr="00A9221C" w14:paraId="466544A7" w14:textId="77777777" w:rsidTr="003F088D">
        <w:trPr>
          <w:trHeight w:val="390"/>
        </w:trPr>
        <w:tc>
          <w:tcPr>
            <w:tcW w:w="3330" w:type="dxa"/>
            <w:tcBorders>
              <w:top w:val="nil"/>
              <w:left w:val="nil"/>
              <w:bottom w:val="nil"/>
              <w:right w:val="nil"/>
            </w:tcBorders>
            <w:shd w:val="clear" w:color="000000" w:fill="FFFFFF"/>
            <w:vAlign w:val="center"/>
            <w:hideMark/>
          </w:tcPr>
          <w:p w14:paraId="4664566C" w14:textId="77777777" w:rsidR="00DB6662" w:rsidRPr="00666DD2" w:rsidRDefault="00DB6662" w:rsidP="00DB6662">
            <w:pPr>
              <w:spacing w:before="0" w:line="240" w:lineRule="auto"/>
              <w:jc w:val="left"/>
              <w:rPr>
                <w:rFonts w:cs="Calibri"/>
                <w:b w:val="0"/>
                <w:color w:val="000000"/>
                <w:sz w:val="18"/>
                <w:szCs w:val="18"/>
                <w:lang w:val="en-US" w:eastAsia="en-US"/>
              </w:rPr>
            </w:pPr>
            <w:r w:rsidRPr="00666DD2">
              <w:rPr>
                <w:rFonts w:cs="Calibri"/>
                <w:b w:val="0"/>
                <w:color w:val="000000"/>
                <w:sz w:val="18"/>
                <w:szCs w:val="18"/>
                <w:lang w:val="en-US" w:eastAsia="en-US"/>
              </w:rPr>
              <w:t xml:space="preserve">ՀՆԱ-ի նկատմամբ (%) </w:t>
            </w:r>
          </w:p>
        </w:tc>
        <w:tc>
          <w:tcPr>
            <w:tcW w:w="1440" w:type="dxa"/>
            <w:tcBorders>
              <w:top w:val="nil"/>
              <w:left w:val="nil"/>
              <w:bottom w:val="nil"/>
              <w:right w:val="nil"/>
            </w:tcBorders>
            <w:shd w:val="clear" w:color="000000" w:fill="FFFFFF"/>
            <w:noWrap/>
            <w:vAlign w:val="center"/>
            <w:hideMark/>
          </w:tcPr>
          <w:p w14:paraId="1254389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27.2%</w:t>
            </w:r>
          </w:p>
        </w:tc>
        <w:tc>
          <w:tcPr>
            <w:tcW w:w="1193" w:type="dxa"/>
            <w:tcBorders>
              <w:top w:val="nil"/>
              <w:left w:val="nil"/>
              <w:bottom w:val="nil"/>
              <w:right w:val="nil"/>
            </w:tcBorders>
            <w:shd w:val="clear" w:color="000000" w:fill="FFFFFF"/>
            <w:noWrap/>
            <w:vAlign w:val="center"/>
            <w:hideMark/>
          </w:tcPr>
          <w:p w14:paraId="440CAE89"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25.9%</w:t>
            </w:r>
          </w:p>
        </w:tc>
        <w:tc>
          <w:tcPr>
            <w:tcW w:w="1193" w:type="dxa"/>
            <w:tcBorders>
              <w:top w:val="nil"/>
              <w:left w:val="nil"/>
              <w:bottom w:val="nil"/>
              <w:right w:val="nil"/>
            </w:tcBorders>
            <w:shd w:val="clear" w:color="000000" w:fill="FFFFFF"/>
            <w:noWrap/>
            <w:vAlign w:val="center"/>
            <w:hideMark/>
          </w:tcPr>
          <w:p w14:paraId="35908CE5"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22.3%</w:t>
            </w:r>
          </w:p>
        </w:tc>
        <w:tc>
          <w:tcPr>
            <w:tcW w:w="1240" w:type="dxa"/>
            <w:tcBorders>
              <w:top w:val="nil"/>
              <w:left w:val="nil"/>
              <w:bottom w:val="nil"/>
              <w:right w:val="nil"/>
            </w:tcBorders>
            <w:shd w:val="clear" w:color="000000" w:fill="FFFFFF"/>
            <w:noWrap/>
            <w:vAlign w:val="center"/>
            <w:hideMark/>
          </w:tcPr>
          <w:p w14:paraId="0579FFD7" w14:textId="09603966"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22.1%</w:t>
            </w:r>
          </w:p>
        </w:tc>
        <w:tc>
          <w:tcPr>
            <w:tcW w:w="1483" w:type="dxa"/>
            <w:tcBorders>
              <w:top w:val="nil"/>
              <w:left w:val="nil"/>
              <w:bottom w:val="nil"/>
              <w:right w:val="nil"/>
            </w:tcBorders>
            <w:shd w:val="clear" w:color="000000" w:fill="FFFFFF"/>
            <w:noWrap/>
            <w:vAlign w:val="center"/>
            <w:hideMark/>
          </w:tcPr>
          <w:p w14:paraId="34589BFF"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23.9%</w:t>
            </w:r>
          </w:p>
        </w:tc>
      </w:tr>
      <w:tr w:rsidR="00DB6662" w:rsidRPr="00A9221C" w14:paraId="37CBD5F2" w14:textId="77777777" w:rsidTr="003F088D">
        <w:trPr>
          <w:trHeight w:val="555"/>
        </w:trPr>
        <w:tc>
          <w:tcPr>
            <w:tcW w:w="3330" w:type="dxa"/>
            <w:tcBorders>
              <w:top w:val="nil"/>
              <w:left w:val="nil"/>
              <w:bottom w:val="single" w:sz="8" w:space="0" w:color="auto"/>
              <w:right w:val="nil"/>
            </w:tcBorders>
            <w:shd w:val="clear" w:color="000000" w:fill="FFFFFF"/>
            <w:vAlign w:val="center"/>
            <w:hideMark/>
          </w:tcPr>
          <w:p w14:paraId="36078B4B" w14:textId="77777777" w:rsidR="00DB6662" w:rsidRPr="00666DD2" w:rsidRDefault="00DB6662" w:rsidP="00DB6662">
            <w:pPr>
              <w:spacing w:before="0" w:line="240" w:lineRule="auto"/>
              <w:jc w:val="left"/>
              <w:rPr>
                <w:rFonts w:cs="Calibri"/>
                <w:b w:val="0"/>
                <w:color w:val="000000"/>
                <w:sz w:val="18"/>
                <w:szCs w:val="18"/>
                <w:lang w:val="en-US" w:eastAsia="en-US"/>
              </w:rPr>
            </w:pPr>
            <w:r w:rsidRPr="00666DD2">
              <w:rPr>
                <w:rFonts w:cs="Calibri"/>
                <w:b w:val="0"/>
                <w:color w:val="000000"/>
                <w:sz w:val="18"/>
                <w:szCs w:val="18"/>
                <w:lang w:val="en-US" w:eastAsia="en-US"/>
              </w:rPr>
              <w:t xml:space="preserve">Ընդհանուրի նկատմամբ (%) </w:t>
            </w:r>
          </w:p>
        </w:tc>
        <w:tc>
          <w:tcPr>
            <w:tcW w:w="1440" w:type="dxa"/>
            <w:tcBorders>
              <w:top w:val="nil"/>
              <w:left w:val="nil"/>
              <w:bottom w:val="single" w:sz="8" w:space="0" w:color="auto"/>
              <w:right w:val="nil"/>
            </w:tcBorders>
            <w:shd w:val="clear" w:color="000000" w:fill="FFFFFF"/>
            <w:noWrap/>
            <w:vAlign w:val="center"/>
            <w:hideMark/>
          </w:tcPr>
          <w:p w14:paraId="5A7780C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88.1%</w:t>
            </w:r>
          </w:p>
        </w:tc>
        <w:tc>
          <w:tcPr>
            <w:tcW w:w="1193" w:type="dxa"/>
            <w:tcBorders>
              <w:top w:val="nil"/>
              <w:left w:val="nil"/>
              <w:bottom w:val="single" w:sz="8" w:space="0" w:color="auto"/>
              <w:right w:val="nil"/>
            </w:tcBorders>
            <w:shd w:val="clear" w:color="000000" w:fill="FFFFFF"/>
            <w:noWrap/>
            <w:vAlign w:val="center"/>
            <w:hideMark/>
          </w:tcPr>
          <w:p w14:paraId="35954065"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89.3%</w:t>
            </w:r>
          </w:p>
        </w:tc>
        <w:tc>
          <w:tcPr>
            <w:tcW w:w="1193" w:type="dxa"/>
            <w:tcBorders>
              <w:top w:val="nil"/>
              <w:left w:val="nil"/>
              <w:bottom w:val="single" w:sz="8" w:space="0" w:color="auto"/>
              <w:right w:val="nil"/>
            </w:tcBorders>
            <w:shd w:val="clear" w:color="000000" w:fill="FFFFFF"/>
            <w:noWrap/>
            <w:vAlign w:val="center"/>
            <w:hideMark/>
          </w:tcPr>
          <w:p w14:paraId="39D42933"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83.3%</w:t>
            </w:r>
          </w:p>
        </w:tc>
        <w:tc>
          <w:tcPr>
            <w:tcW w:w="1240" w:type="dxa"/>
            <w:tcBorders>
              <w:top w:val="nil"/>
              <w:left w:val="nil"/>
              <w:bottom w:val="single" w:sz="8" w:space="0" w:color="auto"/>
              <w:right w:val="nil"/>
            </w:tcBorders>
            <w:shd w:val="clear" w:color="000000" w:fill="FFFFFF"/>
            <w:noWrap/>
            <w:vAlign w:val="center"/>
            <w:hideMark/>
          </w:tcPr>
          <w:p w14:paraId="1B3D6072" w14:textId="09C87AE9"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78.8%</w:t>
            </w:r>
          </w:p>
        </w:tc>
        <w:tc>
          <w:tcPr>
            <w:tcW w:w="1483" w:type="dxa"/>
            <w:tcBorders>
              <w:top w:val="nil"/>
              <w:left w:val="nil"/>
              <w:bottom w:val="single" w:sz="8" w:space="0" w:color="auto"/>
              <w:right w:val="nil"/>
            </w:tcBorders>
            <w:shd w:val="clear" w:color="000000" w:fill="FFFFFF"/>
            <w:noWrap/>
            <w:vAlign w:val="center"/>
            <w:hideMark/>
          </w:tcPr>
          <w:p w14:paraId="1CA9C3D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78.3%</w:t>
            </w:r>
          </w:p>
        </w:tc>
      </w:tr>
      <w:tr w:rsidR="00DB6662" w:rsidRPr="00A9221C" w14:paraId="347792FA" w14:textId="77777777" w:rsidTr="003F088D">
        <w:trPr>
          <w:trHeight w:val="810"/>
        </w:trPr>
        <w:tc>
          <w:tcPr>
            <w:tcW w:w="3330" w:type="dxa"/>
            <w:tcBorders>
              <w:top w:val="nil"/>
              <w:left w:val="nil"/>
              <w:bottom w:val="nil"/>
              <w:right w:val="nil"/>
            </w:tcBorders>
            <w:shd w:val="clear" w:color="000000" w:fill="FFFFFF"/>
            <w:vAlign w:val="center"/>
            <w:hideMark/>
          </w:tcPr>
          <w:p w14:paraId="21DB6488" w14:textId="77777777" w:rsidR="00DB6662" w:rsidRPr="00666DD2" w:rsidRDefault="00DB6662" w:rsidP="00DB6662">
            <w:pPr>
              <w:spacing w:before="0" w:line="240" w:lineRule="auto"/>
              <w:jc w:val="left"/>
              <w:rPr>
                <w:rFonts w:cs="Calibri"/>
                <w:b w:val="0"/>
                <w:color w:val="000000"/>
                <w:sz w:val="18"/>
                <w:szCs w:val="18"/>
                <w:lang w:eastAsia="en-US"/>
              </w:rPr>
            </w:pPr>
            <w:r w:rsidRPr="00666DD2">
              <w:rPr>
                <w:rFonts w:cs="Calibri"/>
                <w:b w:val="0"/>
                <w:color w:val="000000"/>
                <w:sz w:val="18"/>
                <w:szCs w:val="18"/>
                <w:lang w:val="en-US" w:eastAsia="en-US"/>
              </w:rPr>
              <w:t>Ոչ</w:t>
            </w:r>
            <w:r w:rsidRPr="00666DD2">
              <w:rPr>
                <w:rFonts w:cs="Calibri"/>
                <w:b w:val="0"/>
                <w:color w:val="000000"/>
                <w:sz w:val="18"/>
                <w:szCs w:val="18"/>
                <w:lang w:eastAsia="en-US"/>
              </w:rPr>
              <w:t xml:space="preserve"> </w:t>
            </w:r>
            <w:r w:rsidRPr="00666DD2">
              <w:rPr>
                <w:rFonts w:cs="Calibri"/>
                <w:b w:val="0"/>
                <w:color w:val="000000"/>
                <w:sz w:val="18"/>
                <w:szCs w:val="18"/>
                <w:lang w:val="en-US" w:eastAsia="en-US"/>
              </w:rPr>
              <w:t>ֆինանսական</w:t>
            </w:r>
            <w:r w:rsidRPr="00666DD2">
              <w:rPr>
                <w:rFonts w:cs="Calibri"/>
                <w:b w:val="0"/>
                <w:color w:val="000000"/>
                <w:sz w:val="18"/>
                <w:szCs w:val="18"/>
                <w:lang w:eastAsia="en-US"/>
              </w:rPr>
              <w:t xml:space="preserve"> </w:t>
            </w:r>
            <w:r w:rsidRPr="00666DD2">
              <w:rPr>
                <w:rFonts w:cs="Calibri"/>
                <w:b w:val="0"/>
                <w:color w:val="000000"/>
                <w:sz w:val="18"/>
                <w:szCs w:val="18"/>
                <w:lang w:val="en-US" w:eastAsia="en-US"/>
              </w:rPr>
              <w:t>ակտիվների</w:t>
            </w:r>
            <w:r w:rsidRPr="00666DD2">
              <w:rPr>
                <w:rFonts w:cs="Calibri"/>
                <w:b w:val="0"/>
                <w:color w:val="000000"/>
                <w:sz w:val="18"/>
                <w:szCs w:val="18"/>
                <w:lang w:eastAsia="en-US"/>
              </w:rPr>
              <w:t xml:space="preserve"> </w:t>
            </w:r>
            <w:r w:rsidRPr="00666DD2">
              <w:rPr>
                <w:rFonts w:cs="Calibri"/>
                <w:b w:val="0"/>
                <w:color w:val="000000"/>
                <w:sz w:val="18"/>
                <w:szCs w:val="18"/>
                <w:lang w:val="en-US" w:eastAsia="en-US"/>
              </w:rPr>
              <w:t>հետ</w:t>
            </w:r>
            <w:r w:rsidRPr="00666DD2">
              <w:rPr>
                <w:rFonts w:cs="Calibri"/>
                <w:b w:val="0"/>
                <w:color w:val="000000"/>
                <w:sz w:val="18"/>
                <w:szCs w:val="18"/>
                <w:lang w:eastAsia="en-US"/>
              </w:rPr>
              <w:t xml:space="preserve"> </w:t>
            </w:r>
            <w:r w:rsidRPr="00666DD2">
              <w:rPr>
                <w:rFonts w:cs="Calibri"/>
                <w:b w:val="0"/>
                <w:color w:val="000000"/>
                <w:sz w:val="18"/>
                <w:szCs w:val="18"/>
                <w:lang w:val="en-US" w:eastAsia="en-US"/>
              </w:rPr>
              <w:t>գործառնություններ</w:t>
            </w:r>
          </w:p>
        </w:tc>
        <w:tc>
          <w:tcPr>
            <w:tcW w:w="1440" w:type="dxa"/>
            <w:tcBorders>
              <w:top w:val="nil"/>
              <w:left w:val="nil"/>
              <w:bottom w:val="nil"/>
              <w:right w:val="nil"/>
            </w:tcBorders>
            <w:shd w:val="clear" w:color="000000" w:fill="FFFFFF"/>
            <w:noWrap/>
            <w:vAlign w:val="center"/>
            <w:hideMark/>
          </w:tcPr>
          <w:p w14:paraId="78AC710C"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226.2</w:t>
            </w:r>
          </w:p>
        </w:tc>
        <w:tc>
          <w:tcPr>
            <w:tcW w:w="1193" w:type="dxa"/>
            <w:tcBorders>
              <w:top w:val="nil"/>
              <w:left w:val="nil"/>
              <w:bottom w:val="nil"/>
              <w:right w:val="nil"/>
            </w:tcBorders>
            <w:shd w:val="clear" w:color="000000" w:fill="FFFFFF"/>
            <w:noWrap/>
            <w:vAlign w:val="center"/>
            <w:hideMark/>
          </w:tcPr>
          <w:p w14:paraId="0A79C9A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216.3</w:t>
            </w:r>
          </w:p>
        </w:tc>
        <w:tc>
          <w:tcPr>
            <w:tcW w:w="1193" w:type="dxa"/>
            <w:tcBorders>
              <w:top w:val="nil"/>
              <w:left w:val="nil"/>
              <w:bottom w:val="nil"/>
              <w:right w:val="nil"/>
            </w:tcBorders>
            <w:shd w:val="clear" w:color="000000" w:fill="FFFFFF"/>
            <w:noWrap/>
            <w:vAlign w:val="center"/>
            <w:hideMark/>
          </w:tcPr>
          <w:p w14:paraId="7D3AD679"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380.4</w:t>
            </w:r>
          </w:p>
        </w:tc>
        <w:tc>
          <w:tcPr>
            <w:tcW w:w="1240" w:type="dxa"/>
            <w:tcBorders>
              <w:top w:val="nil"/>
              <w:left w:val="nil"/>
              <w:bottom w:val="nil"/>
              <w:right w:val="nil"/>
            </w:tcBorders>
            <w:shd w:val="clear" w:color="000000" w:fill="FFFFFF"/>
            <w:noWrap/>
            <w:vAlign w:val="center"/>
            <w:hideMark/>
          </w:tcPr>
          <w:p w14:paraId="5542DDFC" w14:textId="41857B5E"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562.1</w:t>
            </w:r>
          </w:p>
        </w:tc>
        <w:tc>
          <w:tcPr>
            <w:tcW w:w="1483" w:type="dxa"/>
            <w:tcBorders>
              <w:top w:val="nil"/>
              <w:left w:val="nil"/>
              <w:bottom w:val="nil"/>
              <w:right w:val="nil"/>
            </w:tcBorders>
            <w:shd w:val="clear" w:color="000000" w:fill="FFFFFF"/>
            <w:noWrap/>
            <w:vAlign w:val="center"/>
            <w:hideMark/>
          </w:tcPr>
          <w:p w14:paraId="014AFA79"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695.3</w:t>
            </w:r>
          </w:p>
        </w:tc>
      </w:tr>
      <w:tr w:rsidR="00DB6662" w:rsidRPr="00A9221C" w14:paraId="6D3574F5" w14:textId="77777777" w:rsidTr="003F088D">
        <w:trPr>
          <w:trHeight w:val="300"/>
        </w:trPr>
        <w:tc>
          <w:tcPr>
            <w:tcW w:w="3330" w:type="dxa"/>
            <w:tcBorders>
              <w:top w:val="nil"/>
              <w:left w:val="nil"/>
              <w:bottom w:val="nil"/>
              <w:right w:val="nil"/>
            </w:tcBorders>
            <w:shd w:val="clear" w:color="000000" w:fill="FFFFFF"/>
            <w:vAlign w:val="center"/>
            <w:hideMark/>
          </w:tcPr>
          <w:p w14:paraId="6A4E624D" w14:textId="77777777" w:rsidR="00DB6662" w:rsidRPr="00666DD2" w:rsidRDefault="00DB6662" w:rsidP="00DB6662">
            <w:pPr>
              <w:spacing w:before="0" w:line="240" w:lineRule="auto"/>
              <w:jc w:val="left"/>
              <w:rPr>
                <w:rFonts w:cs="Calibri"/>
                <w:b w:val="0"/>
                <w:color w:val="000000"/>
                <w:sz w:val="18"/>
                <w:szCs w:val="18"/>
                <w:lang w:val="en-US" w:eastAsia="en-US"/>
              </w:rPr>
            </w:pPr>
            <w:r w:rsidRPr="00666DD2">
              <w:rPr>
                <w:rFonts w:cs="Calibri"/>
                <w:b w:val="0"/>
                <w:color w:val="000000"/>
                <w:sz w:val="18"/>
                <w:szCs w:val="18"/>
                <w:lang w:val="en-US" w:eastAsia="en-US"/>
              </w:rPr>
              <w:lastRenderedPageBreak/>
              <w:t xml:space="preserve">ՀՆԱ-ի նկատմամբ (%) </w:t>
            </w:r>
          </w:p>
        </w:tc>
        <w:tc>
          <w:tcPr>
            <w:tcW w:w="1440" w:type="dxa"/>
            <w:tcBorders>
              <w:top w:val="nil"/>
              <w:left w:val="nil"/>
              <w:bottom w:val="nil"/>
              <w:right w:val="nil"/>
            </w:tcBorders>
            <w:shd w:val="clear" w:color="000000" w:fill="FFFFFF"/>
            <w:noWrap/>
            <w:vAlign w:val="center"/>
            <w:hideMark/>
          </w:tcPr>
          <w:p w14:paraId="5C1E1560"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3.7%</w:t>
            </w:r>
          </w:p>
        </w:tc>
        <w:tc>
          <w:tcPr>
            <w:tcW w:w="1193" w:type="dxa"/>
            <w:tcBorders>
              <w:top w:val="nil"/>
              <w:left w:val="nil"/>
              <w:bottom w:val="nil"/>
              <w:right w:val="nil"/>
            </w:tcBorders>
            <w:shd w:val="clear" w:color="000000" w:fill="FFFFFF"/>
            <w:noWrap/>
            <w:vAlign w:val="center"/>
            <w:hideMark/>
          </w:tcPr>
          <w:p w14:paraId="0926ED87"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3.1%</w:t>
            </w:r>
          </w:p>
        </w:tc>
        <w:tc>
          <w:tcPr>
            <w:tcW w:w="1193" w:type="dxa"/>
            <w:tcBorders>
              <w:top w:val="nil"/>
              <w:left w:val="nil"/>
              <w:bottom w:val="nil"/>
              <w:right w:val="nil"/>
            </w:tcBorders>
            <w:shd w:val="clear" w:color="000000" w:fill="FFFFFF"/>
            <w:noWrap/>
            <w:vAlign w:val="center"/>
            <w:hideMark/>
          </w:tcPr>
          <w:p w14:paraId="35730BD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4.5%</w:t>
            </w:r>
          </w:p>
        </w:tc>
        <w:tc>
          <w:tcPr>
            <w:tcW w:w="1240" w:type="dxa"/>
            <w:tcBorders>
              <w:top w:val="nil"/>
              <w:left w:val="nil"/>
              <w:bottom w:val="nil"/>
              <w:right w:val="nil"/>
            </w:tcBorders>
            <w:shd w:val="clear" w:color="000000" w:fill="FFFFFF"/>
            <w:noWrap/>
            <w:vAlign w:val="center"/>
            <w:hideMark/>
          </w:tcPr>
          <w:p w14:paraId="199B037D" w14:textId="35D8A42B"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5.9%</w:t>
            </w:r>
          </w:p>
        </w:tc>
        <w:tc>
          <w:tcPr>
            <w:tcW w:w="1483" w:type="dxa"/>
            <w:tcBorders>
              <w:top w:val="nil"/>
              <w:left w:val="nil"/>
              <w:bottom w:val="nil"/>
              <w:right w:val="nil"/>
            </w:tcBorders>
            <w:shd w:val="clear" w:color="000000" w:fill="FFFFFF"/>
            <w:noWrap/>
            <w:vAlign w:val="center"/>
            <w:hideMark/>
          </w:tcPr>
          <w:p w14:paraId="6AE1A2F5"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6.6%</w:t>
            </w:r>
          </w:p>
        </w:tc>
      </w:tr>
      <w:tr w:rsidR="00DB6662" w:rsidRPr="00A9221C" w14:paraId="1164F6DA" w14:textId="77777777" w:rsidTr="003F088D">
        <w:trPr>
          <w:trHeight w:val="315"/>
        </w:trPr>
        <w:tc>
          <w:tcPr>
            <w:tcW w:w="3330" w:type="dxa"/>
            <w:tcBorders>
              <w:top w:val="nil"/>
              <w:left w:val="nil"/>
              <w:bottom w:val="single" w:sz="8" w:space="0" w:color="auto"/>
              <w:right w:val="nil"/>
            </w:tcBorders>
            <w:shd w:val="clear" w:color="000000" w:fill="FFFFFF"/>
            <w:vAlign w:val="center"/>
            <w:hideMark/>
          </w:tcPr>
          <w:p w14:paraId="36D4C0D5" w14:textId="77777777" w:rsidR="00DB6662" w:rsidRPr="00666DD2" w:rsidRDefault="00DB6662" w:rsidP="00DB6662">
            <w:pPr>
              <w:spacing w:before="0" w:line="240" w:lineRule="auto"/>
              <w:jc w:val="left"/>
              <w:rPr>
                <w:rFonts w:cs="Calibri"/>
                <w:b w:val="0"/>
                <w:color w:val="000000"/>
                <w:sz w:val="18"/>
                <w:szCs w:val="18"/>
                <w:lang w:val="en-US" w:eastAsia="en-US"/>
              </w:rPr>
            </w:pPr>
            <w:r w:rsidRPr="00666DD2">
              <w:rPr>
                <w:rFonts w:cs="Calibri"/>
                <w:b w:val="0"/>
                <w:color w:val="000000"/>
                <w:sz w:val="18"/>
                <w:szCs w:val="18"/>
                <w:lang w:val="en-US" w:eastAsia="en-US"/>
              </w:rPr>
              <w:t xml:space="preserve">Ընդհանուրի նկատմամբ (%) </w:t>
            </w:r>
          </w:p>
        </w:tc>
        <w:tc>
          <w:tcPr>
            <w:tcW w:w="1440" w:type="dxa"/>
            <w:tcBorders>
              <w:top w:val="nil"/>
              <w:left w:val="nil"/>
              <w:bottom w:val="single" w:sz="8" w:space="0" w:color="auto"/>
              <w:right w:val="nil"/>
            </w:tcBorders>
            <w:shd w:val="clear" w:color="000000" w:fill="FFFFFF"/>
            <w:noWrap/>
            <w:vAlign w:val="center"/>
            <w:hideMark/>
          </w:tcPr>
          <w:p w14:paraId="1AF67F87"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11.9%</w:t>
            </w:r>
          </w:p>
        </w:tc>
        <w:tc>
          <w:tcPr>
            <w:tcW w:w="1193" w:type="dxa"/>
            <w:tcBorders>
              <w:top w:val="nil"/>
              <w:left w:val="nil"/>
              <w:bottom w:val="single" w:sz="8" w:space="0" w:color="auto"/>
              <w:right w:val="nil"/>
            </w:tcBorders>
            <w:shd w:val="clear" w:color="000000" w:fill="FFFFFF"/>
            <w:noWrap/>
            <w:vAlign w:val="center"/>
            <w:hideMark/>
          </w:tcPr>
          <w:p w14:paraId="7D8710D7"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10.7%</w:t>
            </w:r>
          </w:p>
        </w:tc>
        <w:tc>
          <w:tcPr>
            <w:tcW w:w="1193" w:type="dxa"/>
            <w:tcBorders>
              <w:top w:val="nil"/>
              <w:left w:val="nil"/>
              <w:bottom w:val="single" w:sz="8" w:space="0" w:color="auto"/>
              <w:right w:val="nil"/>
            </w:tcBorders>
            <w:shd w:val="clear" w:color="000000" w:fill="FFFFFF"/>
            <w:noWrap/>
            <w:vAlign w:val="center"/>
            <w:hideMark/>
          </w:tcPr>
          <w:p w14:paraId="419E0E27"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16.7%</w:t>
            </w:r>
          </w:p>
        </w:tc>
        <w:tc>
          <w:tcPr>
            <w:tcW w:w="1240" w:type="dxa"/>
            <w:tcBorders>
              <w:top w:val="nil"/>
              <w:left w:val="nil"/>
              <w:bottom w:val="single" w:sz="8" w:space="0" w:color="auto"/>
              <w:right w:val="nil"/>
            </w:tcBorders>
            <w:shd w:val="clear" w:color="000000" w:fill="FFFFFF"/>
            <w:noWrap/>
            <w:vAlign w:val="center"/>
            <w:hideMark/>
          </w:tcPr>
          <w:p w14:paraId="6791C65B" w14:textId="6338BA7C" w:rsidR="00DB6662" w:rsidRPr="00DB6662"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21.2%</w:t>
            </w:r>
          </w:p>
        </w:tc>
        <w:tc>
          <w:tcPr>
            <w:tcW w:w="1483" w:type="dxa"/>
            <w:tcBorders>
              <w:top w:val="nil"/>
              <w:left w:val="nil"/>
              <w:bottom w:val="single" w:sz="8" w:space="0" w:color="auto"/>
              <w:right w:val="nil"/>
            </w:tcBorders>
            <w:shd w:val="clear" w:color="000000" w:fill="FFFFFF"/>
            <w:noWrap/>
            <w:vAlign w:val="center"/>
            <w:hideMark/>
          </w:tcPr>
          <w:p w14:paraId="5E73893E" w14:textId="77777777" w:rsidR="00DB6662" w:rsidRPr="00666DD2" w:rsidRDefault="00DB6662" w:rsidP="00DB6662">
            <w:pPr>
              <w:spacing w:before="0" w:line="240" w:lineRule="auto"/>
              <w:jc w:val="center"/>
              <w:rPr>
                <w:rFonts w:cs="Calibri"/>
                <w:b w:val="0"/>
                <w:color w:val="000000"/>
                <w:sz w:val="18"/>
                <w:szCs w:val="18"/>
                <w:highlight w:val="yellow"/>
                <w:lang w:val="en-US" w:eastAsia="en-US"/>
              </w:rPr>
            </w:pPr>
            <w:r w:rsidRPr="00666DD2">
              <w:rPr>
                <w:rFonts w:cs="Calibri"/>
                <w:b w:val="0"/>
                <w:color w:val="000000"/>
                <w:sz w:val="18"/>
                <w:szCs w:val="18"/>
              </w:rPr>
              <w:t>21.7%</w:t>
            </w:r>
          </w:p>
        </w:tc>
      </w:tr>
      <w:tr w:rsidR="00DB6662" w:rsidRPr="00A9221C" w14:paraId="45C09B31" w14:textId="77777777" w:rsidTr="003F088D">
        <w:trPr>
          <w:trHeight w:val="540"/>
        </w:trPr>
        <w:tc>
          <w:tcPr>
            <w:tcW w:w="3330" w:type="dxa"/>
            <w:tcBorders>
              <w:top w:val="nil"/>
              <w:left w:val="nil"/>
              <w:bottom w:val="nil"/>
              <w:right w:val="nil"/>
            </w:tcBorders>
            <w:shd w:val="clear" w:color="000000" w:fill="FFFFFF"/>
            <w:vAlign w:val="center"/>
            <w:hideMark/>
          </w:tcPr>
          <w:p w14:paraId="695ECF2D"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3. Պետական բյուջեի դեֆիցիտ</w:t>
            </w:r>
          </w:p>
        </w:tc>
        <w:tc>
          <w:tcPr>
            <w:tcW w:w="1440" w:type="dxa"/>
            <w:tcBorders>
              <w:top w:val="nil"/>
              <w:left w:val="nil"/>
              <w:bottom w:val="nil"/>
              <w:right w:val="nil"/>
            </w:tcBorders>
            <w:shd w:val="clear" w:color="000000" w:fill="FFFFFF"/>
            <w:noWrap/>
            <w:vAlign w:val="center"/>
            <w:hideMark/>
          </w:tcPr>
          <w:p w14:paraId="753EE436" w14:textId="77777777" w:rsidR="00DB6662" w:rsidRPr="00A9221C" w:rsidRDefault="00DB6662" w:rsidP="00DB6662">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334.0</w:t>
            </w:r>
          </w:p>
        </w:tc>
        <w:tc>
          <w:tcPr>
            <w:tcW w:w="1193" w:type="dxa"/>
            <w:tcBorders>
              <w:top w:val="nil"/>
              <w:left w:val="nil"/>
              <w:bottom w:val="nil"/>
              <w:right w:val="nil"/>
            </w:tcBorders>
            <w:shd w:val="clear" w:color="000000" w:fill="FFFFFF"/>
            <w:noWrap/>
            <w:vAlign w:val="center"/>
            <w:hideMark/>
          </w:tcPr>
          <w:p w14:paraId="08C5D6EB" w14:textId="77777777" w:rsidR="00DB6662" w:rsidRPr="00A9221C" w:rsidRDefault="00DB6662" w:rsidP="00DB6662">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320.5</w:t>
            </w:r>
          </w:p>
        </w:tc>
        <w:tc>
          <w:tcPr>
            <w:tcW w:w="1193" w:type="dxa"/>
            <w:tcBorders>
              <w:top w:val="nil"/>
              <w:left w:val="nil"/>
              <w:bottom w:val="nil"/>
              <w:right w:val="nil"/>
            </w:tcBorders>
            <w:shd w:val="clear" w:color="000000" w:fill="FFFFFF"/>
            <w:noWrap/>
            <w:vAlign w:val="center"/>
            <w:hideMark/>
          </w:tcPr>
          <w:p w14:paraId="28D2AD0B" w14:textId="77777777" w:rsidR="00DB6662" w:rsidRPr="00A9221C" w:rsidRDefault="00DB6662" w:rsidP="00DB6662">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179.5</w:t>
            </w:r>
          </w:p>
        </w:tc>
        <w:tc>
          <w:tcPr>
            <w:tcW w:w="1240" w:type="dxa"/>
            <w:tcBorders>
              <w:top w:val="nil"/>
              <w:left w:val="nil"/>
              <w:bottom w:val="nil"/>
              <w:right w:val="nil"/>
            </w:tcBorders>
            <w:shd w:val="clear" w:color="000000" w:fill="FFFFFF"/>
            <w:noWrap/>
            <w:vAlign w:val="center"/>
            <w:hideMark/>
          </w:tcPr>
          <w:p w14:paraId="35455743" w14:textId="317BB71A"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245.3</w:t>
            </w:r>
          </w:p>
        </w:tc>
        <w:tc>
          <w:tcPr>
            <w:tcW w:w="1483" w:type="dxa"/>
            <w:tcBorders>
              <w:top w:val="nil"/>
              <w:left w:val="nil"/>
              <w:bottom w:val="nil"/>
              <w:right w:val="nil"/>
            </w:tcBorders>
            <w:shd w:val="clear" w:color="000000" w:fill="FFFFFF"/>
            <w:noWrap/>
            <w:vAlign w:val="center"/>
            <w:hideMark/>
          </w:tcPr>
          <w:p w14:paraId="40317E21"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482.9</w:t>
            </w:r>
          </w:p>
        </w:tc>
      </w:tr>
      <w:tr w:rsidR="00DB6662" w:rsidRPr="00A9221C" w14:paraId="0463FF30" w14:textId="77777777" w:rsidTr="003F088D">
        <w:trPr>
          <w:trHeight w:val="315"/>
        </w:trPr>
        <w:tc>
          <w:tcPr>
            <w:tcW w:w="3330" w:type="dxa"/>
            <w:tcBorders>
              <w:top w:val="nil"/>
              <w:left w:val="nil"/>
              <w:bottom w:val="single" w:sz="8" w:space="0" w:color="auto"/>
              <w:right w:val="nil"/>
            </w:tcBorders>
            <w:shd w:val="clear" w:color="000000" w:fill="FFFFFF"/>
            <w:vAlign w:val="center"/>
            <w:hideMark/>
          </w:tcPr>
          <w:p w14:paraId="090E9387"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 xml:space="preserve">ՀՆԱ-ի նկատմամբ (%) </w:t>
            </w:r>
          </w:p>
        </w:tc>
        <w:tc>
          <w:tcPr>
            <w:tcW w:w="1440" w:type="dxa"/>
            <w:tcBorders>
              <w:top w:val="nil"/>
              <w:left w:val="nil"/>
              <w:bottom w:val="single" w:sz="8" w:space="0" w:color="auto"/>
              <w:right w:val="nil"/>
            </w:tcBorders>
            <w:shd w:val="clear" w:color="000000" w:fill="FFFFFF"/>
            <w:noWrap/>
            <w:vAlign w:val="center"/>
            <w:hideMark/>
          </w:tcPr>
          <w:p w14:paraId="0F3E44AA"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5.4</w:t>
            </w:r>
          </w:p>
        </w:tc>
        <w:tc>
          <w:tcPr>
            <w:tcW w:w="1193" w:type="dxa"/>
            <w:tcBorders>
              <w:top w:val="nil"/>
              <w:left w:val="nil"/>
              <w:bottom w:val="single" w:sz="8" w:space="0" w:color="auto"/>
              <w:right w:val="nil"/>
            </w:tcBorders>
            <w:shd w:val="clear" w:color="000000" w:fill="FFFFFF"/>
            <w:noWrap/>
            <w:vAlign w:val="center"/>
            <w:hideMark/>
          </w:tcPr>
          <w:p w14:paraId="62DCDE16"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4.6</w:t>
            </w:r>
          </w:p>
        </w:tc>
        <w:tc>
          <w:tcPr>
            <w:tcW w:w="1193" w:type="dxa"/>
            <w:tcBorders>
              <w:top w:val="nil"/>
              <w:left w:val="nil"/>
              <w:bottom w:val="single" w:sz="8" w:space="0" w:color="auto"/>
              <w:right w:val="nil"/>
            </w:tcBorders>
            <w:shd w:val="clear" w:color="000000" w:fill="FFFFFF"/>
            <w:noWrap/>
            <w:vAlign w:val="center"/>
            <w:hideMark/>
          </w:tcPr>
          <w:p w14:paraId="4E40D1E6"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2.1</w:t>
            </w:r>
          </w:p>
        </w:tc>
        <w:tc>
          <w:tcPr>
            <w:tcW w:w="1240" w:type="dxa"/>
            <w:tcBorders>
              <w:top w:val="nil"/>
              <w:left w:val="nil"/>
              <w:bottom w:val="single" w:sz="8" w:space="0" w:color="auto"/>
              <w:right w:val="nil"/>
            </w:tcBorders>
            <w:shd w:val="clear" w:color="000000" w:fill="FFFFFF"/>
            <w:noWrap/>
            <w:vAlign w:val="center"/>
            <w:hideMark/>
          </w:tcPr>
          <w:p w14:paraId="27C15194" w14:textId="2135C8B3" w:rsidR="00DB6662" w:rsidRPr="00D26E04"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2.6</w:t>
            </w:r>
          </w:p>
        </w:tc>
        <w:tc>
          <w:tcPr>
            <w:tcW w:w="1483" w:type="dxa"/>
            <w:tcBorders>
              <w:top w:val="nil"/>
              <w:left w:val="nil"/>
              <w:bottom w:val="single" w:sz="8" w:space="0" w:color="auto"/>
              <w:right w:val="nil"/>
            </w:tcBorders>
            <w:shd w:val="clear" w:color="000000" w:fill="FFFFFF"/>
            <w:noWrap/>
            <w:vAlign w:val="center"/>
            <w:hideMark/>
          </w:tcPr>
          <w:p w14:paraId="3E635942" w14:textId="77777777" w:rsidR="00DB6662" w:rsidRPr="00A9221C" w:rsidRDefault="00DB6662" w:rsidP="00DB6662">
            <w:pPr>
              <w:spacing w:before="0" w:line="240" w:lineRule="auto"/>
              <w:jc w:val="center"/>
              <w:rPr>
                <w:rFonts w:cs="Calibri"/>
                <w:b w:val="0"/>
                <w:color w:val="000000"/>
                <w:sz w:val="18"/>
                <w:szCs w:val="18"/>
                <w:lang w:val="en-US" w:eastAsia="en-US"/>
              </w:rPr>
            </w:pPr>
            <w:r>
              <w:rPr>
                <w:rFonts w:cs="Calibri"/>
                <w:b w:val="0"/>
                <w:color w:val="000000"/>
                <w:sz w:val="18"/>
                <w:szCs w:val="18"/>
                <w:lang w:val="en-US" w:eastAsia="en-US"/>
              </w:rPr>
              <w:t>4.6</w:t>
            </w:r>
          </w:p>
        </w:tc>
      </w:tr>
      <w:tr w:rsidR="00DB6662" w:rsidRPr="00A9221C" w14:paraId="2E01DE1B" w14:textId="77777777" w:rsidTr="003F088D">
        <w:trPr>
          <w:trHeight w:val="435"/>
        </w:trPr>
        <w:tc>
          <w:tcPr>
            <w:tcW w:w="3330" w:type="dxa"/>
            <w:tcBorders>
              <w:top w:val="nil"/>
              <w:left w:val="nil"/>
              <w:bottom w:val="single" w:sz="8" w:space="0" w:color="auto"/>
              <w:right w:val="nil"/>
            </w:tcBorders>
            <w:shd w:val="clear" w:color="000000" w:fill="FFFFFF"/>
            <w:vAlign w:val="center"/>
            <w:hideMark/>
          </w:tcPr>
          <w:p w14:paraId="0B418F7C" w14:textId="77777777" w:rsidR="00DB6662" w:rsidRPr="00A9221C" w:rsidRDefault="00DB6662" w:rsidP="00DB6662">
            <w:pPr>
              <w:spacing w:before="0" w:line="240" w:lineRule="auto"/>
              <w:jc w:val="left"/>
              <w:rPr>
                <w:rFonts w:cs="Calibri"/>
                <w:b w:val="0"/>
                <w:color w:val="000000"/>
                <w:sz w:val="18"/>
                <w:szCs w:val="18"/>
                <w:lang w:val="en-US" w:eastAsia="en-US"/>
              </w:rPr>
            </w:pPr>
            <w:r w:rsidRPr="00A9221C">
              <w:rPr>
                <w:rFonts w:cs="Calibri"/>
                <w:b w:val="0"/>
                <w:color w:val="000000"/>
                <w:sz w:val="18"/>
                <w:szCs w:val="18"/>
                <w:lang w:val="en-US" w:eastAsia="en-US"/>
              </w:rPr>
              <w:t>Անվանական ՀՆԱ</w:t>
            </w:r>
          </w:p>
        </w:tc>
        <w:tc>
          <w:tcPr>
            <w:tcW w:w="1440" w:type="dxa"/>
            <w:tcBorders>
              <w:top w:val="nil"/>
              <w:left w:val="nil"/>
              <w:bottom w:val="single" w:sz="8" w:space="0" w:color="auto"/>
              <w:right w:val="nil"/>
            </w:tcBorders>
            <w:shd w:val="clear" w:color="000000" w:fill="FFFFFF"/>
            <w:noWrap/>
            <w:vAlign w:val="center"/>
            <w:hideMark/>
          </w:tcPr>
          <w:p w14:paraId="6D2A409E" w14:textId="77777777" w:rsidR="00DB6662" w:rsidRPr="00A9221C" w:rsidRDefault="00DB6662" w:rsidP="00DB6662">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6,181.9</w:t>
            </w:r>
          </w:p>
        </w:tc>
        <w:tc>
          <w:tcPr>
            <w:tcW w:w="1193" w:type="dxa"/>
            <w:tcBorders>
              <w:top w:val="nil"/>
              <w:left w:val="nil"/>
              <w:bottom w:val="single" w:sz="8" w:space="0" w:color="auto"/>
              <w:right w:val="nil"/>
            </w:tcBorders>
            <w:shd w:val="clear" w:color="000000" w:fill="FFFFFF"/>
            <w:noWrap/>
            <w:vAlign w:val="center"/>
            <w:hideMark/>
          </w:tcPr>
          <w:p w14:paraId="08FDCC90" w14:textId="77777777" w:rsidR="00DB6662" w:rsidRPr="00A9221C" w:rsidRDefault="00DB6662" w:rsidP="00DB6662">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6,991.8</w:t>
            </w:r>
          </w:p>
        </w:tc>
        <w:tc>
          <w:tcPr>
            <w:tcW w:w="1193" w:type="dxa"/>
            <w:tcBorders>
              <w:top w:val="nil"/>
              <w:left w:val="nil"/>
              <w:bottom w:val="single" w:sz="8" w:space="0" w:color="auto"/>
              <w:right w:val="nil"/>
            </w:tcBorders>
            <w:shd w:val="clear" w:color="000000" w:fill="FFFFFF"/>
            <w:noWrap/>
            <w:vAlign w:val="center"/>
            <w:hideMark/>
          </w:tcPr>
          <w:p w14:paraId="0B9D57CE" w14:textId="77777777" w:rsidR="00DB6662" w:rsidRPr="00A9221C" w:rsidRDefault="00DB6662" w:rsidP="00DB6662">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8,501.4</w:t>
            </w:r>
          </w:p>
        </w:tc>
        <w:tc>
          <w:tcPr>
            <w:tcW w:w="1240" w:type="dxa"/>
            <w:tcBorders>
              <w:top w:val="nil"/>
              <w:left w:val="nil"/>
              <w:bottom w:val="single" w:sz="8" w:space="0" w:color="auto"/>
              <w:right w:val="nil"/>
            </w:tcBorders>
            <w:shd w:val="clear" w:color="000000" w:fill="FFFFFF"/>
            <w:noWrap/>
            <w:vAlign w:val="center"/>
            <w:hideMark/>
          </w:tcPr>
          <w:p w14:paraId="2E3E22C0" w14:textId="6B4E96B8" w:rsidR="00DB6662" w:rsidRPr="00A9221C" w:rsidRDefault="00DB6662" w:rsidP="00DB6662">
            <w:pPr>
              <w:spacing w:before="0" w:line="240" w:lineRule="auto"/>
              <w:jc w:val="center"/>
              <w:rPr>
                <w:rFonts w:cs="Calibri"/>
                <w:b w:val="0"/>
                <w:color w:val="000000"/>
                <w:sz w:val="18"/>
                <w:szCs w:val="18"/>
                <w:lang w:val="en-US" w:eastAsia="en-US"/>
              </w:rPr>
            </w:pPr>
            <w:r w:rsidRPr="00DB6662">
              <w:rPr>
                <w:rFonts w:cs="Calibri"/>
                <w:b w:val="0"/>
                <w:color w:val="000000"/>
                <w:sz w:val="18"/>
                <w:szCs w:val="18"/>
                <w:lang w:val="en-US" w:eastAsia="en-US"/>
              </w:rPr>
              <w:t>9,450.1</w:t>
            </w:r>
          </w:p>
        </w:tc>
        <w:tc>
          <w:tcPr>
            <w:tcW w:w="1483" w:type="dxa"/>
            <w:tcBorders>
              <w:top w:val="nil"/>
              <w:left w:val="nil"/>
              <w:bottom w:val="single" w:sz="8" w:space="0" w:color="auto"/>
              <w:right w:val="nil"/>
            </w:tcBorders>
            <w:shd w:val="clear" w:color="000000" w:fill="FFFFFF"/>
            <w:noWrap/>
            <w:vAlign w:val="center"/>
            <w:hideMark/>
          </w:tcPr>
          <w:p w14:paraId="20C7D9F9" w14:textId="77777777" w:rsidR="00DB6662" w:rsidRPr="00A9221C" w:rsidRDefault="00DB6662" w:rsidP="00DB6662">
            <w:pPr>
              <w:spacing w:before="0" w:line="240" w:lineRule="auto"/>
              <w:jc w:val="center"/>
              <w:rPr>
                <w:rFonts w:cs="Calibri"/>
                <w:b w:val="0"/>
                <w:color w:val="000000"/>
                <w:sz w:val="18"/>
                <w:szCs w:val="18"/>
                <w:lang w:val="en-US" w:eastAsia="en-US"/>
              </w:rPr>
            </w:pPr>
            <w:r w:rsidRPr="00A9221C">
              <w:rPr>
                <w:rFonts w:cs="Calibri"/>
                <w:b w:val="0"/>
                <w:color w:val="000000"/>
                <w:sz w:val="18"/>
                <w:szCs w:val="18"/>
                <w:lang w:val="en-US" w:eastAsia="en-US"/>
              </w:rPr>
              <w:t>10,</w:t>
            </w:r>
            <w:r>
              <w:rPr>
                <w:rFonts w:cs="Calibri"/>
                <w:b w:val="0"/>
                <w:color w:val="000000"/>
                <w:sz w:val="18"/>
                <w:szCs w:val="18"/>
                <w:lang w:val="en-US" w:eastAsia="en-US"/>
              </w:rPr>
              <w:t>516.1</w:t>
            </w:r>
          </w:p>
        </w:tc>
      </w:tr>
    </w:tbl>
    <w:p w14:paraId="18B27193" w14:textId="77777777" w:rsidR="00087BCF" w:rsidRPr="00A9221C" w:rsidRDefault="00087BCF" w:rsidP="00087BCF">
      <w:pPr>
        <w:spacing w:before="0"/>
        <w:rPr>
          <w:rFonts w:eastAsia="Calibri"/>
          <w:b w:val="0"/>
          <w:szCs w:val="22"/>
          <w:lang w:val="hy-AM" w:eastAsia="en-US"/>
        </w:rPr>
      </w:pPr>
    </w:p>
    <w:p w14:paraId="10BBDDFC" w14:textId="77777777" w:rsidR="00087BCF" w:rsidRDefault="00087BCF" w:rsidP="00087BCF">
      <w:pPr>
        <w:spacing w:before="0"/>
        <w:rPr>
          <w:rFonts w:eastAsia="Calibri"/>
          <w:b w:val="0"/>
          <w:szCs w:val="22"/>
          <w:lang w:val="hy-AM" w:eastAsia="en-US"/>
        </w:rPr>
      </w:pPr>
      <w:r w:rsidRPr="00A9221C">
        <w:rPr>
          <w:rFonts w:eastAsia="Calibri"/>
          <w:b w:val="0"/>
          <w:szCs w:val="22"/>
          <w:lang w:val="hy-AM" w:eastAsia="en-US"/>
        </w:rPr>
        <w:t>Հիմք ընդունելով ՀՆԱ-ի 25</w:t>
      </w:r>
      <w:r>
        <w:rPr>
          <w:rFonts w:eastAsia="Calibri"/>
          <w:b w:val="0"/>
          <w:szCs w:val="22"/>
          <w:lang w:val="hy-AM" w:eastAsia="en-US"/>
        </w:rPr>
        <w:t>.</w:t>
      </w:r>
      <w:r w:rsidRPr="00F20BEB">
        <w:rPr>
          <w:rFonts w:eastAsia="Calibri"/>
          <w:b w:val="0"/>
          <w:szCs w:val="22"/>
          <w:lang w:val="hy-AM" w:eastAsia="en-US"/>
        </w:rPr>
        <w:t>9</w:t>
      </w:r>
      <w:r w:rsidRPr="00710FCA">
        <w:rPr>
          <w:rFonts w:eastAsia="Calibri"/>
          <w:b w:val="0"/>
          <w:szCs w:val="22"/>
          <w:lang w:val="hy-AM" w:eastAsia="en-US"/>
        </w:rPr>
        <w:t xml:space="preserve"> %-ի չափով կանխատեսված ՀՀ 2024 թվականի պե</w:t>
      </w:r>
      <w:r w:rsidRPr="00710FCA">
        <w:rPr>
          <w:rFonts w:eastAsia="Calibri"/>
          <w:b w:val="0"/>
          <w:szCs w:val="22"/>
          <w:lang w:val="hy-AM" w:eastAsia="en-US"/>
        </w:rPr>
        <w:softHyphen/>
        <w:t>տա</w:t>
      </w:r>
      <w:r w:rsidRPr="00710FCA">
        <w:rPr>
          <w:rFonts w:eastAsia="Calibri"/>
          <w:b w:val="0"/>
          <w:szCs w:val="22"/>
          <w:lang w:val="hy-AM" w:eastAsia="en-US"/>
        </w:rPr>
        <w:softHyphen/>
        <w:t>կան բյու</w:t>
      </w:r>
      <w:r w:rsidRPr="00710FCA">
        <w:rPr>
          <w:rFonts w:eastAsia="Calibri"/>
          <w:b w:val="0"/>
          <w:szCs w:val="22"/>
          <w:lang w:val="hy-AM" w:eastAsia="en-US"/>
        </w:rPr>
        <w:softHyphen/>
        <w:t>ջեի եկամուտների մակարդակը և ելնելով ՀՆԱ-ի</w:t>
      </w:r>
      <w:r>
        <w:rPr>
          <w:rFonts w:eastAsia="Calibri"/>
          <w:b w:val="0"/>
          <w:szCs w:val="22"/>
          <w:lang w:val="hy-AM" w:eastAsia="en-US"/>
        </w:rPr>
        <w:t xml:space="preserve"> 4.</w:t>
      </w:r>
      <w:r w:rsidRPr="00F20BEB">
        <w:rPr>
          <w:rFonts w:eastAsia="Calibri"/>
          <w:b w:val="0"/>
          <w:szCs w:val="22"/>
          <w:lang w:val="hy-AM" w:eastAsia="en-US"/>
        </w:rPr>
        <w:t>6</w:t>
      </w:r>
      <w:r w:rsidRPr="00710FCA">
        <w:rPr>
          <w:rFonts w:eastAsia="Calibri"/>
          <w:b w:val="0"/>
          <w:szCs w:val="22"/>
          <w:lang w:val="hy-AM" w:eastAsia="en-US"/>
        </w:rPr>
        <w:t xml:space="preserve"> %-ի չափով դեֆի</w:t>
      </w:r>
      <w:r w:rsidRPr="00710FCA">
        <w:rPr>
          <w:rFonts w:eastAsia="Calibri"/>
          <w:b w:val="0"/>
          <w:szCs w:val="22"/>
          <w:lang w:val="hy-AM" w:eastAsia="en-US"/>
        </w:rPr>
        <w:softHyphen/>
        <w:t>ցի</w:t>
      </w:r>
      <w:r w:rsidRPr="00710FCA">
        <w:rPr>
          <w:rFonts w:eastAsia="Calibri"/>
          <w:b w:val="0"/>
          <w:szCs w:val="22"/>
          <w:lang w:val="hy-AM" w:eastAsia="en-US"/>
        </w:rPr>
        <w:softHyphen/>
        <w:t>տի ֆինան</w:t>
      </w:r>
      <w:r w:rsidRPr="00710FCA">
        <w:rPr>
          <w:rFonts w:eastAsia="Calibri"/>
          <w:b w:val="0"/>
          <w:szCs w:val="22"/>
          <w:lang w:val="hy-AM" w:eastAsia="en-US"/>
        </w:rPr>
        <w:softHyphen/>
        <w:t>սա</w:t>
      </w:r>
      <w:r w:rsidRPr="00710FCA">
        <w:rPr>
          <w:rFonts w:eastAsia="Calibri"/>
          <w:b w:val="0"/>
          <w:szCs w:val="22"/>
          <w:lang w:val="hy-AM" w:eastAsia="en-US"/>
        </w:rPr>
        <w:softHyphen/>
        <w:t>վոր</w:t>
      </w:r>
      <w:r w:rsidRPr="00710FCA">
        <w:rPr>
          <w:rFonts w:eastAsia="Calibri"/>
          <w:b w:val="0"/>
          <w:szCs w:val="22"/>
          <w:lang w:val="hy-AM" w:eastAsia="en-US"/>
        </w:rPr>
        <w:softHyphen/>
        <w:t>ման հնարավորություններից, ՀՀ կառավարությունը ծրագրում է 2024 թվա</w:t>
      </w:r>
      <w:r w:rsidRPr="00710FCA">
        <w:rPr>
          <w:rFonts w:eastAsia="Calibri"/>
          <w:b w:val="0"/>
          <w:szCs w:val="22"/>
          <w:lang w:val="hy-AM" w:eastAsia="en-US"/>
        </w:rPr>
        <w:softHyphen/>
        <w:t>կանին ապահովել ծախսերը ՀՆԱ-ի</w:t>
      </w:r>
      <w:r>
        <w:rPr>
          <w:rFonts w:eastAsia="Calibri"/>
          <w:b w:val="0"/>
          <w:szCs w:val="22"/>
          <w:lang w:val="hy-AM" w:eastAsia="en-US"/>
        </w:rPr>
        <w:t xml:space="preserve"> 30.</w:t>
      </w:r>
      <w:r w:rsidRPr="00F20BEB">
        <w:rPr>
          <w:rFonts w:eastAsia="Calibri"/>
          <w:b w:val="0"/>
          <w:szCs w:val="22"/>
          <w:lang w:val="hy-AM" w:eastAsia="en-US"/>
        </w:rPr>
        <w:t>5</w:t>
      </w:r>
      <w:r w:rsidRPr="00710FCA">
        <w:rPr>
          <w:rFonts w:eastAsia="Calibri"/>
          <w:b w:val="0"/>
          <w:szCs w:val="22"/>
          <w:lang w:val="hy-AM" w:eastAsia="en-US"/>
        </w:rPr>
        <w:t xml:space="preserve"> %-ի կամ</w:t>
      </w:r>
      <w:r>
        <w:rPr>
          <w:rFonts w:eastAsia="Calibri"/>
          <w:b w:val="0"/>
          <w:szCs w:val="22"/>
          <w:lang w:val="hy-AM" w:eastAsia="en-US"/>
        </w:rPr>
        <w:t xml:space="preserve"> 3,206.</w:t>
      </w:r>
      <w:r w:rsidRPr="00F20BEB">
        <w:rPr>
          <w:rFonts w:eastAsia="Calibri"/>
          <w:b w:val="0"/>
          <w:szCs w:val="22"/>
          <w:lang w:val="hy-AM" w:eastAsia="en-US"/>
        </w:rPr>
        <w:t>5</w:t>
      </w:r>
      <w:r w:rsidRPr="00710FCA">
        <w:rPr>
          <w:rFonts w:eastAsia="Calibri"/>
          <w:b w:val="0"/>
          <w:szCs w:val="22"/>
          <w:lang w:val="hy-AM" w:eastAsia="en-US"/>
        </w:rPr>
        <w:t xml:space="preserve"> մլրդ դրամի չափով:</w:t>
      </w:r>
    </w:p>
    <w:p w14:paraId="123FCE43" w14:textId="77777777" w:rsidR="00087BCF" w:rsidRPr="00A9221C" w:rsidRDefault="00087BCF" w:rsidP="00087BCF">
      <w:pPr>
        <w:spacing w:before="0"/>
        <w:rPr>
          <w:rFonts w:eastAsia="Calibri"/>
          <w:b w:val="0"/>
          <w:szCs w:val="22"/>
          <w:lang w:val="hy-AM" w:eastAsia="en-US"/>
        </w:rPr>
      </w:pPr>
    </w:p>
    <w:p w14:paraId="6679A918" w14:textId="77777777" w:rsidR="00D379EC" w:rsidRPr="00922161" w:rsidRDefault="00D379EC" w:rsidP="0009272D">
      <w:pPr>
        <w:pStyle w:val="Heading1"/>
      </w:pPr>
      <w:bookmarkStart w:id="183" w:name="_Toc153184476"/>
      <w:r w:rsidRPr="001F7A3C">
        <w:t>ՄԱՍ II – Բ.</w:t>
      </w:r>
      <w:r w:rsidR="00311F2E" w:rsidRPr="001F7A3C">
        <w:t xml:space="preserve"> </w:t>
      </w:r>
      <w:r w:rsidRPr="001F7A3C">
        <w:t xml:space="preserve">ՀԱՐԿԱԲՅՈՒՋԵՏԱՅԻՆ </w:t>
      </w:r>
      <w:r w:rsidRPr="001F7A3C">
        <w:rPr>
          <w:lang w:val="sk-SK"/>
        </w:rPr>
        <w:t>ՑՈՒՑԱՆԻՇՆԵՐԻ</w:t>
      </w:r>
      <w:r w:rsidRPr="001F7A3C">
        <w:t xml:space="preserve"> ԿԱՆԽԱՏԵՍՈՒՄ</w:t>
      </w:r>
      <w:bookmarkEnd w:id="183"/>
    </w:p>
    <w:p w14:paraId="045AD0D4" w14:textId="43A2A0E1" w:rsidR="00630125" w:rsidRPr="00A9221C" w:rsidRDefault="00630125" w:rsidP="00630125">
      <w:pPr>
        <w:rPr>
          <w:rFonts w:eastAsia="Calibri"/>
          <w:b w:val="0"/>
          <w:szCs w:val="22"/>
          <w:lang w:val="hy-AM" w:eastAsia="en-US"/>
        </w:rPr>
      </w:pPr>
      <w:bookmarkStart w:id="184" w:name="_Toc525773067"/>
      <w:bookmarkStart w:id="185" w:name="_Toc20590407"/>
      <w:r w:rsidRPr="00A9221C">
        <w:rPr>
          <w:rFonts w:eastAsia="Calibri"/>
          <w:b w:val="0"/>
          <w:szCs w:val="22"/>
          <w:lang w:val="hy-AM" w:eastAsia="en-US"/>
        </w:rPr>
        <w:t>ՀՀ 2024 թվականի պետական բյուջեով նախատեսված բյուջետային եկա</w:t>
      </w:r>
      <w:r w:rsidRPr="00A9221C">
        <w:rPr>
          <w:rFonts w:eastAsia="Calibri"/>
          <w:b w:val="0"/>
          <w:szCs w:val="22"/>
          <w:lang w:val="hy-AM" w:eastAsia="en-US"/>
        </w:rPr>
        <w:softHyphen/>
        <w:t>մուտների կազմում, ինչպես և նախորդ տարիներին, գերակշիռ մաս են կազմում հար</w:t>
      </w:r>
      <w:r w:rsidRPr="00A9221C">
        <w:rPr>
          <w:rFonts w:eastAsia="Calibri"/>
          <w:b w:val="0"/>
          <w:szCs w:val="22"/>
          <w:lang w:val="hy-AM" w:eastAsia="en-US"/>
        </w:rPr>
        <w:softHyphen/>
        <w:t>կային եկամուտների և պետական տուրքերի գծով ակնկալվող մուտքերը, ինչը ներկայացված է գծապատկերում:</w:t>
      </w:r>
    </w:p>
    <w:p w14:paraId="2B0A008D" w14:textId="319DFEA5" w:rsidR="00630125" w:rsidRPr="00A9221C" w:rsidRDefault="00630125" w:rsidP="00630125">
      <w:pPr>
        <w:rPr>
          <w:rFonts w:eastAsia="Calibri"/>
          <w:b w:val="0"/>
          <w:szCs w:val="22"/>
          <w:lang w:val="hy-AM" w:eastAsia="en-US"/>
        </w:rPr>
      </w:pPr>
      <w:bookmarkStart w:id="186" w:name="_Ref497897119"/>
      <w:bookmarkStart w:id="187" w:name="_Toc525773080"/>
      <w:r w:rsidRPr="00A9221C">
        <w:rPr>
          <w:rFonts w:eastAsia="Calibri"/>
          <w:b w:val="0"/>
          <w:szCs w:val="22"/>
          <w:lang w:val="hy-AM" w:eastAsia="en-US"/>
        </w:rPr>
        <w:t xml:space="preserve"> </w:t>
      </w:r>
      <w:bookmarkStart w:id="188" w:name="_Toc530250447"/>
      <w:r w:rsidRPr="00A9221C">
        <w:rPr>
          <w:rFonts w:eastAsia="Calibri"/>
          <w:b w:val="0"/>
          <w:szCs w:val="22"/>
          <w:lang w:val="hy-AM" w:eastAsia="en-US"/>
        </w:rPr>
        <w:t>ՀՀ 2024 թվականի պետական բյուջեով նախատեսված բյուջետային եկամուտների կառուցվածքը (%-ով ընդհանուրի նկատմամբ)</w:t>
      </w:r>
      <w:bookmarkEnd w:id="186"/>
      <w:bookmarkEnd w:id="187"/>
      <w:bookmarkEnd w:id="188"/>
      <w:r w:rsidRPr="00A9221C">
        <w:rPr>
          <w:rFonts w:eastAsia="Calibri"/>
          <w:b w:val="0"/>
          <w:szCs w:val="22"/>
          <w:lang w:val="hy-AM" w:eastAsia="en-US"/>
        </w:rPr>
        <w:tab/>
      </w:r>
    </w:p>
    <w:p w14:paraId="39C3E928" w14:textId="77777777" w:rsidR="00630125" w:rsidRPr="00A9221C" w:rsidRDefault="00630125" w:rsidP="00630125">
      <w:pPr>
        <w:rPr>
          <w:rFonts w:eastAsia="Calibri"/>
          <w:b w:val="0"/>
          <w:szCs w:val="22"/>
          <w:lang w:val="hy-AM" w:eastAsia="en-US"/>
        </w:rPr>
      </w:pPr>
    </w:p>
    <w:p w14:paraId="2BD46565" w14:textId="77777777" w:rsidR="00630125" w:rsidRPr="00A9221C" w:rsidRDefault="00630125" w:rsidP="00630125">
      <w:pPr>
        <w:ind w:firstLine="709"/>
        <w:rPr>
          <w:rFonts w:eastAsia="Calibri"/>
          <w:b w:val="0"/>
          <w:szCs w:val="22"/>
          <w:lang w:val="hy-AM" w:eastAsia="en-US"/>
        </w:rPr>
      </w:pPr>
      <w:r w:rsidRPr="00A9221C">
        <w:rPr>
          <w:rFonts w:eastAsia="Calibri"/>
          <w:b w:val="0"/>
          <w:noProof/>
          <w:szCs w:val="22"/>
          <w:lang w:val="en-US" w:eastAsia="en-US"/>
        </w:rPr>
        <w:drawing>
          <wp:inline distT="0" distB="0" distL="0" distR="0" wp14:anchorId="5D2EA592" wp14:editId="6192AC2D">
            <wp:extent cx="4952390" cy="2428240"/>
            <wp:effectExtent l="0" t="0" r="635" b="1016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E42A092" w14:textId="77777777" w:rsidR="00630125" w:rsidRPr="00A9221C" w:rsidRDefault="00630125" w:rsidP="00630125">
      <w:pPr>
        <w:rPr>
          <w:rFonts w:eastAsia="Calibri"/>
          <w:b w:val="0"/>
          <w:szCs w:val="22"/>
          <w:lang w:val="hy-AM" w:eastAsia="en-US"/>
        </w:rPr>
      </w:pPr>
    </w:p>
    <w:p w14:paraId="2D16C274" w14:textId="690A1390" w:rsidR="00630125" w:rsidRPr="00A9221C" w:rsidRDefault="00630125" w:rsidP="00630125">
      <w:pPr>
        <w:rPr>
          <w:rFonts w:eastAsia="Calibri"/>
          <w:b w:val="0"/>
          <w:szCs w:val="22"/>
          <w:lang w:val="hy-AM" w:eastAsia="en-US"/>
        </w:rPr>
      </w:pPr>
      <w:r w:rsidRPr="00A9221C">
        <w:rPr>
          <w:rFonts w:eastAsia="Calibri"/>
          <w:b w:val="0"/>
          <w:szCs w:val="22"/>
          <w:lang w:val="hy-AM" w:eastAsia="en-US"/>
        </w:rPr>
        <w:t>ՀՀ 2024 թվականի պետական բյուջեով նախատեսվել է</w:t>
      </w:r>
      <w:r>
        <w:rPr>
          <w:rFonts w:eastAsia="Calibri"/>
          <w:b w:val="0"/>
          <w:szCs w:val="22"/>
          <w:lang w:val="hy-AM" w:eastAsia="en-US"/>
        </w:rPr>
        <w:t xml:space="preserve"> 2,723.</w:t>
      </w:r>
      <w:r w:rsidRPr="00AB016D">
        <w:rPr>
          <w:rFonts w:eastAsia="Calibri"/>
          <w:b w:val="0"/>
          <w:szCs w:val="22"/>
          <w:lang w:val="hy-AM" w:eastAsia="en-US"/>
        </w:rPr>
        <w:t>6</w:t>
      </w:r>
      <w:r w:rsidRPr="00A9221C">
        <w:rPr>
          <w:rFonts w:eastAsia="Calibri"/>
          <w:b w:val="0"/>
          <w:szCs w:val="22"/>
          <w:lang w:val="hy-AM" w:eastAsia="en-US"/>
        </w:rPr>
        <w:t xml:space="preserve"> մլրդ դրամ եկա</w:t>
      </w:r>
      <w:r w:rsidRPr="00A9221C">
        <w:rPr>
          <w:rFonts w:eastAsia="Calibri"/>
          <w:b w:val="0"/>
          <w:szCs w:val="22"/>
          <w:lang w:val="hy-AM" w:eastAsia="en-US"/>
        </w:rPr>
        <w:softHyphen/>
        <w:t>մուտ</w:t>
      </w:r>
      <w:r w:rsidRPr="00A9221C">
        <w:rPr>
          <w:rFonts w:eastAsia="Calibri"/>
          <w:b w:val="0"/>
          <w:szCs w:val="22"/>
          <w:lang w:val="hy-AM" w:eastAsia="en-US"/>
        </w:rPr>
        <w:softHyphen/>
      </w:r>
      <w:r w:rsidRPr="00A9221C">
        <w:rPr>
          <w:rFonts w:eastAsia="Calibri"/>
          <w:b w:val="0"/>
          <w:szCs w:val="22"/>
          <w:lang w:val="hy-AM" w:eastAsia="en-US"/>
        </w:rPr>
        <w:softHyphen/>
        <w:t xml:space="preserve">ներ, որից հարկային եկամուտների և պետական տուրքերի գծով` </w:t>
      </w:r>
      <w:r>
        <w:rPr>
          <w:rFonts w:eastAsia="Calibri"/>
          <w:b w:val="0"/>
          <w:szCs w:val="22"/>
          <w:lang w:val="hy-AM" w:eastAsia="en-US"/>
        </w:rPr>
        <w:t>2,613.</w:t>
      </w:r>
      <w:r w:rsidRPr="00AB016D">
        <w:rPr>
          <w:rFonts w:eastAsia="Calibri"/>
          <w:b w:val="0"/>
          <w:szCs w:val="22"/>
          <w:lang w:val="hy-AM" w:eastAsia="en-US"/>
        </w:rPr>
        <w:t>6</w:t>
      </w:r>
      <w:r w:rsidRPr="00A9221C">
        <w:rPr>
          <w:rFonts w:eastAsia="Calibri"/>
          <w:b w:val="0"/>
          <w:szCs w:val="22"/>
          <w:lang w:val="hy-AM" w:eastAsia="en-US"/>
        </w:rPr>
        <w:t xml:space="preserve"> մլրդ դրամ:</w:t>
      </w:r>
      <w:r w:rsidRPr="00A9221C">
        <w:rPr>
          <w:rFonts w:ascii="Calibri" w:eastAsia="Calibri" w:hAnsi="Calibri" w:cs="Calibri"/>
          <w:b w:val="0"/>
          <w:szCs w:val="22"/>
          <w:lang w:val="hy-AM" w:eastAsia="en-US"/>
        </w:rPr>
        <w:t> </w:t>
      </w:r>
      <w:r w:rsidRPr="00A9221C">
        <w:rPr>
          <w:rFonts w:eastAsia="Calibri"/>
          <w:b w:val="0"/>
          <w:szCs w:val="22"/>
          <w:lang w:val="hy-AM" w:eastAsia="en-US"/>
        </w:rPr>
        <w:t>Բյուջետային եկամուտների` ըստ առանձին եկամտատեսակների կանխա</w:t>
      </w:r>
      <w:r w:rsidRPr="00A9221C">
        <w:rPr>
          <w:rFonts w:eastAsia="Calibri"/>
          <w:b w:val="0"/>
          <w:szCs w:val="22"/>
          <w:lang w:val="hy-AM" w:eastAsia="en-US"/>
        </w:rPr>
        <w:softHyphen/>
        <w:t>տե</w:t>
      </w:r>
      <w:r w:rsidRPr="00A9221C">
        <w:rPr>
          <w:rFonts w:eastAsia="Calibri"/>
          <w:b w:val="0"/>
          <w:szCs w:val="22"/>
          <w:lang w:val="hy-AM" w:eastAsia="en-US"/>
        </w:rPr>
        <w:softHyphen/>
        <w:t>սում</w:t>
      </w:r>
      <w:r w:rsidRPr="00A9221C">
        <w:rPr>
          <w:rFonts w:eastAsia="Calibri"/>
          <w:b w:val="0"/>
          <w:szCs w:val="22"/>
          <w:lang w:val="hy-AM" w:eastAsia="en-US"/>
        </w:rPr>
        <w:softHyphen/>
        <w:t>ների ման</w:t>
      </w:r>
      <w:r w:rsidRPr="00A9221C">
        <w:rPr>
          <w:rFonts w:eastAsia="Calibri"/>
          <w:b w:val="0"/>
          <w:szCs w:val="22"/>
          <w:lang w:val="hy-AM" w:eastAsia="en-US"/>
        </w:rPr>
        <w:softHyphen/>
      </w:r>
      <w:r w:rsidRPr="00A9221C">
        <w:rPr>
          <w:rFonts w:eastAsia="Calibri"/>
          <w:b w:val="0"/>
          <w:szCs w:val="22"/>
          <w:lang w:val="hy-AM" w:eastAsia="en-US"/>
        </w:rPr>
        <w:softHyphen/>
        <w:t xml:space="preserve">րամասները ներկայացված են «Հայաստանի Հանրապետության 2024 թվականի </w:t>
      </w:r>
      <w:r w:rsidRPr="00A9221C">
        <w:rPr>
          <w:rFonts w:eastAsia="Calibri"/>
          <w:b w:val="0"/>
          <w:szCs w:val="22"/>
          <w:lang w:val="hy-AM" w:eastAsia="en-US"/>
        </w:rPr>
        <w:lastRenderedPageBreak/>
        <w:t>պե</w:t>
      </w:r>
      <w:r w:rsidRPr="00A9221C">
        <w:rPr>
          <w:rFonts w:eastAsia="Calibri"/>
          <w:b w:val="0"/>
          <w:szCs w:val="22"/>
          <w:lang w:val="hy-AM" w:eastAsia="en-US"/>
        </w:rPr>
        <w:softHyphen/>
        <w:t>տա</w:t>
      </w:r>
      <w:r w:rsidRPr="00A9221C">
        <w:rPr>
          <w:rFonts w:eastAsia="Calibri"/>
          <w:b w:val="0"/>
          <w:szCs w:val="22"/>
          <w:lang w:val="hy-AM" w:eastAsia="en-US"/>
        </w:rPr>
        <w:softHyphen/>
      </w:r>
      <w:r w:rsidRPr="00A9221C">
        <w:rPr>
          <w:rFonts w:eastAsia="Calibri"/>
          <w:b w:val="0"/>
          <w:szCs w:val="22"/>
          <w:lang w:val="hy-AM" w:eastAsia="en-US"/>
        </w:rPr>
        <w:softHyphen/>
        <w:t>կան բյուջեի մասին» ՀՀ օրենքի բացատրագրի` եկամուտների կան</w:t>
      </w:r>
      <w:r w:rsidRPr="00A9221C">
        <w:rPr>
          <w:rFonts w:eastAsia="Calibri"/>
          <w:b w:val="0"/>
          <w:szCs w:val="22"/>
          <w:lang w:val="hy-AM" w:eastAsia="en-US"/>
        </w:rPr>
        <w:softHyphen/>
        <w:t>խա</w:t>
      </w:r>
      <w:r w:rsidRPr="00A9221C">
        <w:rPr>
          <w:rFonts w:eastAsia="Calibri"/>
          <w:b w:val="0"/>
          <w:szCs w:val="22"/>
          <w:lang w:val="hy-AM" w:eastAsia="en-US"/>
        </w:rPr>
        <w:softHyphen/>
        <w:t>տես</w:t>
      </w:r>
      <w:r w:rsidRPr="00A9221C">
        <w:rPr>
          <w:rFonts w:eastAsia="Calibri"/>
          <w:b w:val="0"/>
          <w:szCs w:val="22"/>
          <w:lang w:val="hy-AM" w:eastAsia="en-US"/>
        </w:rPr>
        <w:softHyphen/>
        <w:t>մանը վերաբերվող մասում (սույն ուղերձի մաս 3):</w:t>
      </w:r>
    </w:p>
    <w:p w14:paraId="65A31075" w14:textId="77777777" w:rsidR="00331A80" w:rsidRPr="00A9221C" w:rsidRDefault="00331A80" w:rsidP="00331A80">
      <w:pPr>
        <w:spacing w:before="0"/>
        <w:ind w:firstLine="538"/>
        <w:rPr>
          <w:rFonts w:eastAsia="Calibri"/>
          <w:b w:val="0"/>
          <w:szCs w:val="22"/>
          <w:lang w:val="hy-AM" w:eastAsia="en-US"/>
        </w:rPr>
      </w:pPr>
    </w:p>
    <w:p w14:paraId="3BBB478C" w14:textId="77777777" w:rsidR="00331A80" w:rsidRPr="00A9221C" w:rsidRDefault="00331A80" w:rsidP="00922161">
      <w:pPr>
        <w:keepNext/>
        <w:keepLines/>
        <w:spacing w:before="0"/>
        <w:outlineLvl w:val="2"/>
        <w:rPr>
          <w:rFonts w:eastAsia="Calibri" w:cs="Times LatArm"/>
          <w:sz w:val="24"/>
          <w:lang w:val="hy-AM" w:eastAsia="en-US"/>
        </w:rPr>
      </w:pPr>
      <w:r w:rsidRPr="00A9221C">
        <w:rPr>
          <w:rFonts w:eastAsia="Calibri" w:cs="Times LatArm"/>
          <w:sz w:val="24"/>
          <w:lang w:val="hy-AM" w:eastAsia="en-US"/>
        </w:rPr>
        <w:t xml:space="preserve"> </w:t>
      </w:r>
      <w:bookmarkStart w:id="189" w:name="_Toc153184477"/>
      <w:r w:rsidRPr="001F7A3C">
        <w:rPr>
          <w:rFonts w:eastAsiaTheme="majorEastAsia" w:cstheme="majorBidi"/>
          <w:bCs/>
          <w:color w:val="1F497D" w:themeColor="text2"/>
          <w:sz w:val="24"/>
          <w:lang w:val="hy-AM" w:eastAsia="en-US"/>
        </w:rPr>
        <w:t>2024 ԹՎԱԿԱՆԻ ԾԱԽՍԵՐԻ ՄԱԿԱՐԴԱԿԸ ԵՎ ԳԵՐԱԿԱՅՈՒԹՅՈՒՆՆԵՐԸ</w:t>
      </w:r>
      <w:bookmarkEnd w:id="189"/>
    </w:p>
    <w:p w14:paraId="0506F053" w14:textId="77777777" w:rsidR="00630125" w:rsidRPr="00082280" w:rsidRDefault="00630125" w:rsidP="00630125">
      <w:pPr>
        <w:rPr>
          <w:rFonts w:eastAsia="Calibri"/>
          <w:b w:val="0"/>
          <w:szCs w:val="22"/>
          <w:lang w:val="hy-AM" w:eastAsia="en-US"/>
        </w:rPr>
      </w:pPr>
      <w:bookmarkStart w:id="190" w:name="_Toc48835701"/>
      <w:r w:rsidRPr="00082280">
        <w:rPr>
          <w:rFonts w:eastAsia="Calibri"/>
          <w:b w:val="0"/>
          <w:szCs w:val="22"/>
          <w:lang w:val="hy-AM" w:eastAsia="en-US"/>
        </w:rPr>
        <w:t>Հաշվի առնելով ՀՀ 2024 թվականի պետական բյուջեի եկամուտների կանխատեսվող մակարդակը և դեֆիցիտի ու պետական պարտքի նպատակային ցուցանիշները, որոնք ներկա</w:t>
      </w:r>
      <w:r w:rsidRPr="00082280">
        <w:rPr>
          <w:rFonts w:eastAsia="Calibri"/>
          <w:b w:val="0"/>
          <w:szCs w:val="22"/>
          <w:lang w:val="hy-AM" w:eastAsia="en-US"/>
        </w:rPr>
        <w:softHyphen/>
        <w:t xml:space="preserve">յացվում են հաջորդ բաժնում, ՀՀ կառավարությունը ՀՀ 2024 թվականի պետական բյուջեի ծախսերի ծավալը առաջարկում է սահմանել </w:t>
      </w:r>
      <w:r>
        <w:rPr>
          <w:rFonts w:eastAsia="Calibri"/>
          <w:b w:val="0"/>
          <w:szCs w:val="22"/>
          <w:lang w:val="hy-AM" w:eastAsia="en-US"/>
        </w:rPr>
        <w:t>3,206.</w:t>
      </w:r>
      <w:r w:rsidRPr="00F20BEB">
        <w:rPr>
          <w:rFonts w:eastAsia="Calibri"/>
          <w:b w:val="0"/>
          <w:szCs w:val="22"/>
          <w:lang w:val="hy-AM" w:eastAsia="en-US"/>
        </w:rPr>
        <w:t>5</w:t>
      </w:r>
      <w:r w:rsidRPr="00A9221C">
        <w:rPr>
          <w:rFonts w:eastAsia="Calibri"/>
          <w:b w:val="0"/>
          <w:szCs w:val="22"/>
          <w:lang w:val="hy-AM" w:eastAsia="en-US"/>
        </w:rPr>
        <w:t xml:space="preserve"> </w:t>
      </w:r>
      <w:r w:rsidRPr="00082280">
        <w:rPr>
          <w:rFonts w:eastAsia="Calibri"/>
          <w:b w:val="0"/>
          <w:szCs w:val="22"/>
          <w:lang w:val="hy-AM" w:eastAsia="en-US"/>
        </w:rPr>
        <w:t>մլրդ դրամի չափով:</w:t>
      </w:r>
    </w:p>
    <w:p w14:paraId="763E5BF1" w14:textId="77777777" w:rsidR="00630125" w:rsidRPr="00082280" w:rsidRDefault="00630125" w:rsidP="00630125">
      <w:pPr>
        <w:rPr>
          <w:rFonts w:eastAsia="Calibri"/>
          <w:b w:val="0"/>
          <w:szCs w:val="22"/>
          <w:lang w:val="hy-AM" w:eastAsia="en-US"/>
        </w:rPr>
      </w:pPr>
      <w:r w:rsidRPr="00082280">
        <w:rPr>
          <w:rFonts w:eastAsia="Calibri"/>
          <w:b w:val="0"/>
          <w:szCs w:val="22"/>
          <w:lang w:val="hy-AM" w:eastAsia="en-US"/>
        </w:rPr>
        <w:t>ՀՀ կա</w:t>
      </w:r>
      <w:r w:rsidRPr="00082280">
        <w:rPr>
          <w:rFonts w:eastAsia="Calibri"/>
          <w:b w:val="0"/>
          <w:szCs w:val="22"/>
          <w:lang w:val="hy-AM" w:eastAsia="en-US"/>
        </w:rPr>
        <w:softHyphen/>
        <w:t>ռա</w:t>
      </w:r>
      <w:r w:rsidRPr="00082280">
        <w:rPr>
          <w:rFonts w:eastAsia="Calibri"/>
          <w:b w:val="0"/>
          <w:szCs w:val="22"/>
          <w:lang w:val="hy-AM" w:eastAsia="en-US"/>
        </w:rPr>
        <w:softHyphen/>
        <w:t>վա</w:t>
      </w:r>
      <w:r w:rsidRPr="00082280">
        <w:rPr>
          <w:rFonts w:eastAsia="Calibri"/>
          <w:b w:val="0"/>
          <w:szCs w:val="22"/>
          <w:lang w:val="hy-AM" w:eastAsia="en-US"/>
        </w:rPr>
        <w:softHyphen/>
        <w:t>րու</w:t>
      </w:r>
      <w:r w:rsidRPr="00082280">
        <w:rPr>
          <w:rFonts w:eastAsia="Calibri"/>
          <w:b w:val="0"/>
          <w:szCs w:val="22"/>
          <w:lang w:val="hy-AM" w:eastAsia="en-US"/>
        </w:rPr>
        <w:softHyphen/>
        <w:t>թ</w:t>
      </w:r>
      <w:r w:rsidRPr="00082280">
        <w:rPr>
          <w:rFonts w:eastAsia="Calibri"/>
          <w:b w:val="0"/>
          <w:szCs w:val="22"/>
          <w:lang w:val="hy-AM" w:eastAsia="en-US"/>
        </w:rPr>
        <w:softHyphen/>
        <w:t>յան 2024 թվականի ծախ</w:t>
      </w:r>
      <w:r w:rsidRPr="00082280">
        <w:rPr>
          <w:rFonts w:eastAsia="Calibri"/>
          <w:b w:val="0"/>
          <w:szCs w:val="22"/>
          <w:lang w:val="hy-AM" w:eastAsia="en-US"/>
        </w:rPr>
        <w:softHyphen/>
        <w:t>սային գերա</w:t>
      </w:r>
      <w:r w:rsidRPr="00082280">
        <w:rPr>
          <w:rFonts w:eastAsia="Calibri"/>
          <w:b w:val="0"/>
          <w:szCs w:val="22"/>
          <w:lang w:val="hy-AM" w:eastAsia="en-US"/>
        </w:rPr>
        <w:softHyphen/>
        <w:t>կա</w:t>
      </w:r>
      <w:r w:rsidRPr="00082280">
        <w:rPr>
          <w:rFonts w:eastAsia="Calibri"/>
          <w:b w:val="0"/>
          <w:szCs w:val="22"/>
          <w:lang w:val="hy-AM" w:eastAsia="en-US"/>
        </w:rPr>
        <w:softHyphen/>
        <w:t>յու</w:t>
      </w:r>
      <w:r w:rsidRPr="00082280">
        <w:rPr>
          <w:rFonts w:eastAsia="Calibri"/>
          <w:b w:val="0"/>
          <w:szCs w:val="22"/>
          <w:lang w:val="hy-AM" w:eastAsia="en-US"/>
        </w:rPr>
        <w:softHyphen/>
        <w:t>թ</w:t>
      </w:r>
      <w:r w:rsidRPr="00082280">
        <w:rPr>
          <w:rFonts w:eastAsia="Calibri"/>
          <w:b w:val="0"/>
          <w:szCs w:val="22"/>
          <w:lang w:val="hy-AM" w:eastAsia="en-US"/>
        </w:rPr>
        <w:softHyphen/>
        <w:t>յուն</w:t>
      </w:r>
      <w:r w:rsidRPr="00082280">
        <w:rPr>
          <w:rFonts w:eastAsia="Calibri"/>
          <w:b w:val="0"/>
          <w:szCs w:val="22"/>
          <w:lang w:val="hy-AM" w:eastAsia="en-US"/>
        </w:rPr>
        <w:softHyphen/>
        <w:t>ները բխում են ՀՀ կառավարության 2021 թվականի օգոստոսի 18-ի թիվ 1363-Ա որոշմամբ հաստատված ՀՀ կառավարության 2021-2026թթ. ծրագրի առաջնահերթություններից:</w:t>
      </w:r>
    </w:p>
    <w:p w14:paraId="040EA0B5" w14:textId="77777777" w:rsidR="006777A1" w:rsidRPr="007955BB" w:rsidRDefault="006777A1" w:rsidP="00922161">
      <w:pPr>
        <w:rPr>
          <w:rFonts w:eastAsia="Calibri"/>
          <w:b w:val="0"/>
          <w:szCs w:val="22"/>
          <w:lang w:val="hy-AM" w:eastAsia="en-US"/>
        </w:rPr>
      </w:pPr>
    </w:p>
    <w:p w14:paraId="4037E5F8" w14:textId="77777777" w:rsidR="006777A1" w:rsidRPr="009C0E1E" w:rsidRDefault="006777A1" w:rsidP="009C0E1E">
      <w:pPr>
        <w:keepNext/>
        <w:keepLines/>
        <w:spacing w:before="0"/>
        <w:ind w:firstLine="284"/>
        <w:outlineLvl w:val="2"/>
        <w:rPr>
          <w:rFonts w:eastAsiaTheme="majorEastAsia" w:cstheme="majorBidi"/>
          <w:bCs/>
          <w:color w:val="1F497D" w:themeColor="text2"/>
          <w:sz w:val="24"/>
          <w:lang w:val="hy-AM" w:eastAsia="en-US"/>
        </w:rPr>
      </w:pPr>
      <w:bookmarkStart w:id="191" w:name="_Toc89254349"/>
      <w:bookmarkStart w:id="192" w:name="_Toc89428301"/>
      <w:bookmarkStart w:id="193" w:name="_Toc153184478"/>
      <w:r w:rsidRPr="009C0E1E">
        <w:rPr>
          <w:rFonts w:eastAsiaTheme="majorEastAsia" w:cstheme="majorBidi"/>
          <w:bCs/>
          <w:color w:val="1F497D" w:themeColor="text2"/>
          <w:sz w:val="24"/>
          <w:lang w:val="hy-AM" w:eastAsia="en-US"/>
        </w:rPr>
        <w:t>ՊԵՏԱԿԱՆ ԲՅՈՒՋԵԻ ԴԵՖԻՑԻՏԻ (ՊԱԿԱՍՈՒՐԴԻ) ԵՎ ՊԱՐՏՔԻ ՄԱԿԱՐԴԱԿԸ</w:t>
      </w:r>
      <w:bookmarkEnd w:id="191"/>
      <w:bookmarkEnd w:id="192"/>
      <w:bookmarkEnd w:id="193"/>
    </w:p>
    <w:p w14:paraId="4C7F3F21" w14:textId="77777777" w:rsidR="00630125" w:rsidRPr="00A9221C" w:rsidRDefault="00630125" w:rsidP="00630125">
      <w:pPr>
        <w:rPr>
          <w:rFonts w:eastAsia="Calibri"/>
          <w:b w:val="0"/>
          <w:szCs w:val="22"/>
          <w:lang w:val="es-ES" w:eastAsia="en-US"/>
        </w:rPr>
      </w:pPr>
      <w:bookmarkStart w:id="194" w:name="_Toc76556774"/>
      <w:bookmarkStart w:id="195" w:name="_Ref497916450"/>
      <w:bookmarkStart w:id="196" w:name="_Toc525773066"/>
      <w:bookmarkStart w:id="197" w:name="_Toc20590406"/>
      <w:bookmarkStart w:id="198" w:name="_Toc83928939"/>
      <w:bookmarkStart w:id="199" w:name="_Toc76456833"/>
      <w:bookmarkStart w:id="200" w:name="_Toc89254350"/>
      <w:bookmarkStart w:id="201" w:name="_Toc57655464"/>
      <w:bookmarkStart w:id="202" w:name="_Toc57655465"/>
      <w:bookmarkEnd w:id="184"/>
      <w:bookmarkEnd w:id="185"/>
      <w:bookmarkEnd w:id="190"/>
      <w:r w:rsidRPr="00A9221C">
        <w:rPr>
          <w:rFonts w:eastAsia="Calibri"/>
          <w:b w:val="0"/>
          <w:szCs w:val="22"/>
          <w:lang w:val="hy-AM" w:eastAsia="en-US"/>
        </w:rPr>
        <w:t>ՀՀ</w:t>
      </w:r>
      <w:r w:rsidRPr="00A9221C">
        <w:rPr>
          <w:rFonts w:eastAsia="Calibri"/>
          <w:b w:val="0"/>
          <w:szCs w:val="22"/>
          <w:lang w:val="es-ES" w:eastAsia="en-US"/>
        </w:rPr>
        <w:t xml:space="preserve"> </w:t>
      </w:r>
      <w:r w:rsidRPr="00A9221C">
        <w:rPr>
          <w:rFonts w:eastAsia="Calibri"/>
          <w:b w:val="0"/>
          <w:szCs w:val="22"/>
          <w:lang w:val="hy-AM" w:eastAsia="en-US"/>
        </w:rPr>
        <w:t>202</w:t>
      </w:r>
      <w:r w:rsidRPr="00A9221C">
        <w:rPr>
          <w:rFonts w:eastAsia="Calibri"/>
          <w:b w:val="0"/>
          <w:szCs w:val="22"/>
          <w:lang w:val="es-ES" w:eastAsia="en-US"/>
        </w:rPr>
        <w:t xml:space="preserve">4 </w:t>
      </w:r>
      <w:r w:rsidRPr="00A9221C">
        <w:rPr>
          <w:rFonts w:eastAsia="Calibri"/>
          <w:b w:val="0"/>
          <w:szCs w:val="22"/>
          <w:lang w:val="hy-AM" w:eastAsia="en-US"/>
        </w:rPr>
        <w:t>թվականի</w:t>
      </w:r>
      <w:r w:rsidRPr="00710FCA">
        <w:rPr>
          <w:rFonts w:eastAsia="Calibri"/>
          <w:b w:val="0"/>
          <w:szCs w:val="22"/>
          <w:lang w:val="hy-AM" w:eastAsia="en-US"/>
        </w:rPr>
        <w:t xml:space="preserve"> </w:t>
      </w:r>
      <w:r w:rsidRPr="00A9221C">
        <w:rPr>
          <w:rFonts w:eastAsia="Calibri"/>
          <w:b w:val="0"/>
          <w:szCs w:val="22"/>
          <w:lang w:val="hy-AM" w:eastAsia="en-US"/>
        </w:rPr>
        <w:t>պետական</w:t>
      </w:r>
      <w:r w:rsidRPr="00710FCA">
        <w:rPr>
          <w:rFonts w:eastAsia="Calibri"/>
          <w:b w:val="0"/>
          <w:szCs w:val="22"/>
          <w:lang w:val="hy-AM" w:eastAsia="en-US"/>
        </w:rPr>
        <w:t xml:space="preserve"> </w:t>
      </w:r>
      <w:r w:rsidRPr="00A9221C">
        <w:rPr>
          <w:rFonts w:eastAsia="Calibri"/>
          <w:b w:val="0"/>
          <w:szCs w:val="22"/>
          <w:lang w:val="hy-AM" w:eastAsia="en-US"/>
        </w:rPr>
        <w:t>բյուջեի</w:t>
      </w:r>
      <w:r w:rsidRPr="00710FCA">
        <w:rPr>
          <w:rFonts w:eastAsia="Calibri"/>
          <w:b w:val="0"/>
          <w:szCs w:val="22"/>
          <w:lang w:val="hy-AM" w:eastAsia="en-US"/>
        </w:rPr>
        <w:t xml:space="preserve"> </w:t>
      </w:r>
      <w:r w:rsidRPr="00A9221C">
        <w:rPr>
          <w:rFonts w:eastAsia="Calibri"/>
          <w:b w:val="0"/>
          <w:szCs w:val="22"/>
          <w:lang w:val="hy-AM" w:eastAsia="en-US"/>
        </w:rPr>
        <w:t>դեֆիցիտը</w:t>
      </w:r>
      <w:r w:rsidRPr="00710FCA">
        <w:rPr>
          <w:rFonts w:eastAsia="Calibri"/>
          <w:b w:val="0"/>
          <w:szCs w:val="22"/>
          <w:lang w:val="hy-AM" w:eastAsia="en-US"/>
        </w:rPr>
        <w:t xml:space="preserve"> </w:t>
      </w:r>
      <w:r w:rsidRPr="00A9221C">
        <w:rPr>
          <w:rFonts w:eastAsia="Calibri"/>
          <w:b w:val="0"/>
          <w:szCs w:val="22"/>
          <w:lang w:val="hy-AM" w:eastAsia="en-US"/>
        </w:rPr>
        <w:t>ծրագրավորվել է ՀՆԱ-</w:t>
      </w:r>
      <w:r w:rsidRPr="00710FCA">
        <w:rPr>
          <w:rFonts w:eastAsia="Calibri"/>
          <w:b w:val="0"/>
          <w:szCs w:val="22"/>
          <w:lang w:val="hy-AM" w:eastAsia="en-US"/>
        </w:rPr>
        <w:t>ի</w:t>
      </w:r>
      <w:r>
        <w:rPr>
          <w:rFonts w:eastAsia="Calibri"/>
          <w:b w:val="0"/>
          <w:szCs w:val="22"/>
          <w:lang w:val="hy-AM" w:eastAsia="en-US"/>
        </w:rPr>
        <w:t xml:space="preserve"> 4.</w:t>
      </w:r>
      <w:r w:rsidRPr="00F20BEB">
        <w:rPr>
          <w:rFonts w:eastAsia="Calibri"/>
          <w:b w:val="0"/>
          <w:szCs w:val="22"/>
          <w:lang w:val="hy-AM" w:eastAsia="en-US"/>
        </w:rPr>
        <w:t>6</w:t>
      </w:r>
      <w:r w:rsidRPr="00A9221C">
        <w:rPr>
          <w:rFonts w:eastAsia="Calibri"/>
          <w:b w:val="0"/>
          <w:szCs w:val="22"/>
          <w:lang w:val="hy-AM" w:eastAsia="en-US"/>
        </w:rPr>
        <w:t xml:space="preserve"> %-ի չա</w:t>
      </w:r>
      <w:r w:rsidRPr="00A9221C">
        <w:rPr>
          <w:rFonts w:eastAsia="Calibri"/>
          <w:b w:val="0"/>
          <w:szCs w:val="22"/>
          <w:lang w:val="hy-AM" w:eastAsia="en-US"/>
        </w:rPr>
        <w:softHyphen/>
        <w:t xml:space="preserve">փով և կազմում է </w:t>
      </w:r>
      <w:r>
        <w:rPr>
          <w:rFonts w:eastAsia="Calibri"/>
          <w:b w:val="0"/>
          <w:szCs w:val="22"/>
          <w:lang w:val="hy-AM" w:eastAsia="en-US"/>
        </w:rPr>
        <w:t>482.</w:t>
      </w:r>
      <w:r w:rsidRPr="00F20BEB">
        <w:rPr>
          <w:rFonts w:eastAsia="Calibri"/>
          <w:b w:val="0"/>
          <w:szCs w:val="22"/>
          <w:lang w:val="hy-AM" w:eastAsia="en-US"/>
        </w:rPr>
        <w:t>9</w:t>
      </w:r>
      <w:r w:rsidRPr="00A9221C">
        <w:rPr>
          <w:rFonts w:eastAsia="Calibri"/>
          <w:b w:val="0"/>
          <w:szCs w:val="22"/>
          <w:lang w:val="hy-AM" w:eastAsia="en-US"/>
        </w:rPr>
        <w:t xml:space="preserve"> մլրդ դրամ: Դեֆիցիտի ֆինանսավորման ներքին աղբյուրների հիմ</w:t>
      </w:r>
      <w:r w:rsidRPr="00A9221C">
        <w:rPr>
          <w:rFonts w:eastAsia="Calibri"/>
          <w:b w:val="0"/>
          <w:szCs w:val="22"/>
          <w:lang w:val="hy-AM" w:eastAsia="en-US"/>
        </w:rPr>
        <w:softHyphen/>
        <w:t>նա</w:t>
      </w:r>
      <w:r w:rsidRPr="00A9221C">
        <w:rPr>
          <w:rFonts w:eastAsia="Calibri"/>
          <w:b w:val="0"/>
          <w:szCs w:val="22"/>
          <w:lang w:val="hy-AM" w:eastAsia="en-US"/>
        </w:rPr>
        <w:softHyphen/>
        <w:t>կան մասը ՀՀ 202</w:t>
      </w:r>
      <w:r w:rsidRPr="00710FCA">
        <w:rPr>
          <w:rFonts w:eastAsia="Calibri"/>
          <w:b w:val="0"/>
          <w:szCs w:val="22"/>
          <w:lang w:val="hy-AM" w:eastAsia="en-US"/>
        </w:rPr>
        <w:t>4</w:t>
      </w:r>
      <w:r w:rsidRPr="00A9221C">
        <w:rPr>
          <w:rFonts w:eastAsia="Calibri"/>
          <w:b w:val="0"/>
          <w:szCs w:val="22"/>
          <w:lang w:val="hy-AM" w:eastAsia="en-US"/>
        </w:rPr>
        <w:t xml:space="preserve"> թվականին ձևավորվելու է պե</w:t>
      </w:r>
      <w:r w:rsidRPr="00A9221C">
        <w:rPr>
          <w:rFonts w:eastAsia="Calibri"/>
          <w:b w:val="0"/>
          <w:szCs w:val="22"/>
          <w:lang w:val="hy-AM" w:eastAsia="en-US"/>
        </w:rPr>
        <w:softHyphen/>
      </w:r>
      <w:r w:rsidRPr="00A9221C">
        <w:rPr>
          <w:rFonts w:eastAsia="Calibri"/>
          <w:b w:val="0"/>
          <w:szCs w:val="22"/>
          <w:lang w:val="hy-AM" w:eastAsia="en-US"/>
        </w:rPr>
        <w:softHyphen/>
        <w:t>տական արժեթղթերի տեղաբաշխումից գոյացող մուտքերից, կայունացման</w:t>
      </w:r>
      <w:r w:rsidRPr="00A9221C">
        <w:rPr>
          <w:rFonts w:eastAsia="Calibri"/>
          <w:b w:val="0"/>
          <w:szCs w:val="22"/>
          <w:lang w:val="es-ES" w:eastAsia="en-US"/>
        </w:rPr>
        <w:t xml:space="preserve"> </w:t>
      </w:r>
      <w:r w:rsidRPr="00A9221C">
        <w:rPr>
          <w:rFonts w:eastAsia="Calibri"/>
          <w:b w:val="0"/>
          <w:szCs w:val="22"/>
          <w:lang w:val="hy-AM" w:eastAsia="en-US"/>
        </w:rPr>
        <w:t>դեպոզիտային</w:t>
      </w:r>
      <w:r w:rsidRPr="00A9221C">
        <w:rPr>
          <w:rFonts w:eastAsia="Calibri"/>
          <w:b w:val="0"/>
          <w:szCs w:val="22"/>
          <w:lang w:val="es-ES" w:eastAsia="en-US"/>
        </w:rPr>
        <w:t xml:space="preserve"> </w:t>
      </w:r>
      <w:r w:rsidRPr="00A9221C">
        <w:rPr>
          <w:rFonts w:eastAsia="Calibri"/>
          <w:b w:val="0"/>
          <w:szCs w:val="22"/>
          <w:lang w:val="hy-AM" w:eastAsia="en-US"/>
        </w:rPr>
        <w:t>հաշվի</w:t>
      </w:r>
      <w:r w:rsidRPr="00A9221C">
        <w:rPr>
          <w:rFonts w:eastAsia="Calibri"/>
          <w:b w:val="0"/>
          <w:szCs w:val="22"/>
          <w:lang w:val="es-ES" w:eastAsia="en-US"/>
        </w:rPr>
        <w:t xml:space="preserve"> </w:t>
      </w:r>
      <w:r w:rsidRPr="00A9221C">
        <w:rPr>
          <w:rFonts w:eastAsia="Calibri"/>
          <w:b w:val="0"/>
          <w:szCs w:val="22"/>
          <w:lang w:val="hy-AM" w:eastAsia="en-US"/>
        </w:rPr>
        <w:t>միջոցներից</w:t>
      </w:r>
      <w:r w:rsidRPr="00A9221C">
        <w:rPr>
          <w:rFonts w:eastAsia="Calibri"/>
          <w:b w:val="0"/>
          <w:szCs w:val="22"/>
          <w:lang w:val="es-ES" w:eastAsia="en-US"/>
        </w:rPr>
        <w:t xml:space="preserve">, </w:t>
      </w:r>
      <w:r w:rsidRPr="00A9221C">
        <w:rPr>
          <w:rFonts w:eastAsia="Calibri"/>
          <w:b w:val="0"/>
          <w:szCs w:val="22"/>
          <w:lang w:val="hy-AM" w:eastAsia="en-US"/>
        </w:rPr>
        <w:t>ինչպես նաև տնտեսվարող սուբյեկտներին տրա</w:t>
      </w:r>
      <w:r w:rsidRPr="00A9221C">
        <w:rPr>
          <w:rFonts w:eastAsia="Calibri"/>
          <w:b w:val="0"/>
          <w:szCs w:val="22"/>
          <w:lang w:val="hy-AM" w:eastAsia="en-US"/>
        </w:rPr>
        <w:softHyphen/>
        <w:t>մադրված բյուջետային վարկերի</w:t>
      </w:r>
      <w:r w:rsidRPr="00A9221C">
        <w:rPr>
          <w:rFonts w:eastAsia="Calibri"/>
          <w:b w:val="0"/>
          <w:szCs w:val="22"/>
          <w:lang w:val="es-ES" w:eastAsia="en-US"/>
        </w:rPr>
        <w:t xml:space="preserve"> </w:t>
      </w:r>
      <w:r w:rsidRPr="00A9221C">
        <w:rPr>
          <w:rFonts w:eastAsia="Calibri"/>
          <w:b w:val="0"/>
          <w:szCs w:val="22"/>
          <w:lang w:val="hy-AM" w:eastAsia="en-US"/>
        </w:rPr>
        <w:t>զուտ</w:t>
      </w:r>
      <w:r w:rsidRPr="00A9221C">
        <w:rPr>
          <w:rFonts w:eastAsia="Calibri"/>
          <w:b w:val="0"/>
          <w:szCs w:val="22"/>
          <w:lang w:val="es-ES" w:eastAsia="en-US"/>
        </w:rPr>
        <w:t xml:space="preserve"> </w:t>
      </w:r>
      <w:r w:rsidRPr="00A9221C">
        <w:rPr>
          <w:rFonts w:eastAsia="Calibri"/>
          <w:b w:val="0"/>
          <w:szCs w:val="22"/>
          <w:lang w:val="hy-AM" w:eastAsia="en-US"/>
        </w:rPr>
        <w:t>մուտքերից</w:t>
      </w:r>
      <w:r w:rsidRPr="00A9221C">
        <w:rPr>
          <w:rFonts w:eastAsia="Calibri"/>
          <w:b w:val="0"/>
          <w:szCs w:val="22"/>
          <w:lang w:val="es-ES" w:eastAsia="en-US"/>
        </w:rPr>
        <w:t xml:space="preserve"> (</w:t>
      </w:r>
      <w:r w:rsidRPr="00A9221C">
        <w:rPr>
          <w:rFonts w:eastAsia="Calibri"/>
          <w:b w:val="0"/>
          <w:szCs w:val="22"/>
          <w:lang w:val="hy-AM" w:eastAsia="en-US"/>
        </w:rPr>
        <w:t>տրամադրվածից</w:t>
      </w:r>
      <w:r w:rsidRPr="00A9221C">
        <w:rPr>
          <w:rFonts w:eastAsia="Calibri"/>
          <w:b w:val="0"/>
          <w:szCs w:val="22"/>
          <w:lang w:val="es-ES" w:eastAsia="en-US"/>
        </w:rPr>
        <w:t xml:space="preserve"> </w:t>
      </w:r>
      <w:r w:rsidRPr="00A9221C">
        <w:rPr>
          <w:rFonts w:eastAsia="Calibri"/>
          <w:b w:val="0"/>
          <w:szCs w:val="22"/>
          <w:lang w:val="hy-AM" w:eastAsia="en-US"/>
        </w:rPr>
        <w:t>հանած</w:t>
      </w:r>
      <w:r w:rsidRPr="00A9221C">
        <w:rPr>
          <w:rFonts w:eastAsia="Calibri"/>
          <w:b w:val="0"/>
          <w:szCs w:val="22"/>
          <w:lang w:val="es-ES" w:eastAsia="en-US"/>
        </w:rPr>
        <w:t xml:space="preserve"> </w:t>
      </w:r>
      <w:r w:rsidRPr="00A9221C">
        <w:rPr>
          <w:rFonts w:eastAsia="Calibri"/>
          <w:b w:val="0"/>
          <w:szCs w:val="22"/>
          <w:lang w:val="hy-AM" w:eastAsia="en-US"/>
        </w:rPr>
        <w:t>մարումները</w:t>
      </w:r>
      <w:r w:rsidRPr="00A9221C">
        <w:rPr>
          <w:rFonts w:eastAsia="Calibri"/>
          <w:b w:val="0"/>
          <w:szCs w:val="22"/>
          <w:lang w:val="es-ES" w:eastAsia="en-US"/>
        </w:rPr>
        <w:t xml:space="preserve">): </w:t>
      </w:r>
      <w:r w:rsidRPr="00A9221C">
        <w:rPr>
          <w:rFonts w:eastAsia="Calibri"/>
          <w:b w:val="0"/>
          <w:szCs w:val="22"/>
          <w:lang w:val="hy-AM" w:eastAsia="en-US"/>
        </w:rPr>
        <w:t>Դեռևս</w:t>
      </w:r>
      <w:r w:rsidRPr="00A9221C">
        <w:rPr>
          <w:rFonts w:eastAsia="Calibri"/>
          <w:b w:val="0"/>
          <w:szCs w:val="22"/>
          <w:lang w:val="es-ES" w:eastAsia="en-US"/>
        </w:rPr>
        <w:t xml:space="preserve"> </w:t>
      </w:r>
      <w:r w:rsidRPr="00A9221C">
        <w:rPr>
          <w:rFonts w:eastAsia="Calibri"/>
          <w:b w:val="0"/>
          <w:szCs w:val="22"/>
          <w:lang w:val="hy-AM" w:eastAsia="en-US"/>
        </w:rPr>
        <w:t>զգալի</w:t>
      </w:r>
      <w:r w:rsidRPr="00A9221C">
        <w:rPr>
          <w:rFonts w:eastAsia="Calibri"/>
          <w:b w:val="0"/>
          <w:szCs w:val="22"/>
          <w:lang w:val="es-ES" w:eastAsia="en-US"/>
        </w:rPr>
        <w:t xml:space="preserve"> </w:t>
      </w:r>
      <w:r w:rsidRPr="00A9221C">
        <w:rPr>
          <w:rFonts w:eastAsia="Calibri"/>
          <w:b w:val="0"/>
          <w:szCs w:val="22"/>
          <w:lang w:val="hy-AM" w:eastAsia="en-US"/>
        </w:rPr>
        <w:t>են</w:t>
      </w:r>
      <w:r w:rsidRPr="00A9221C">
        <w:rPr>
          <w:rFonts w:eastAsia="Calibri"/>
          <w:b w:val="0"/>
          <w:szCs w:val="22"/>
          <w:lang w:val="es-ES" w:eastAsia="en-US"/>
        </w:rPr>
        <w:t xml:space="preserve"> </w:t>
      </w:r>
      <w:r w:rsidRPr="00A9221C">
        <w:rPr>
          <w:rFonts w:eastAsia="Calibri"/>
          <w:b w:val="0"/>
          <w:szCs w:val="22"/>
          <w:lang w:val="hy-AM" w:eastAsia="en-US"/>
        </w:rPr>
        <w:t>արտաքին</w:t>
      </w:r>
      <w:r w:rsidRPr="00A9221C">
        <w:rPr>
          <w:rFonts w:eastAsia="Calibri"/>
          <w:b w:val="0"/>
          <w:szCs w:val="22"/>
          <w:lang w:val="es-ES" w:eastAsia="en-US"/>
        </w:rPr>
        <w:t xml:space="preserve"> </w:t>
      </w:r>
      <w:r w:rsidRPr="00A9221C">
        <w:rPr>
          <w:rFonts w:eastAsia="Calibri"/>
          <w:b w:val="0"/>
          <w:szCs w:val="22"/>
          <w:lang w:val="hy-AM" w:eastAsia="en-US"/>
        </w:rPr>
        <w:t>աղբյուրներից</w:t>
      </w:r>
      <w:r w:rsidRPr="00A9221C">
        <w:rPr>
          <w:rFonts w:eastAsia="Calibri"/>
          <w:b w:val="0"/>
          <w:szCs w:val="22"/>
          <w:lang w:val="es-ES" w:eastAsia="en-US"/>
        </w:rPr>
        <w:t xml:space="preserve">` </w:t>
      </w:r>
      <w:r w:rsidRPr="00A9221C">
        <w:rPr>
          <w:rFonts w:eastAsia="Calibri"/>
          <w:b w:val="0"/>
          <w:szCs w:val="22"/>
          <w:lang w:val="hy-AM" w:eastAsia="en-US"/>
        </w:rPr>
        <w:t>միջազգային</w:t>
      </w:r>
      <w:r w:rsidRPr="00A9221C">
        <w:rPr>
          <w:rFonts w:eastAsia="Calibri"/>
          <w:b w:val="0"/>
          <w:szCs w:val="22"/>
          <w:lang w:val="es-ES" w:eastAsia="en-US"/>
        </w:rPr>
        <w:t xml:space="preserve"> </w:t>
      </w:r>
      <w:r w:rsidRPr="00A9221C">
        <w:rPr>
          <w:rFonts w:eastAsia="Calibri"/>
          <w:b w:val="0"/>
          <w:szCs w:val="22"/>
          <w:lang w:val="hy-AM" w:eastAsia="en-US"/>
        </w:rPr>
        <w:t>կազմակերպություններից</w:t>
      </w:r>
      <w:r w:rsidRPr="00A9221C">
        <w:rPr>
          <w:rFonts w:eastAsia="Calibri"/>
          <w:b w:val="0"/>
          <w:szCs w:val="22"/>
          <w:lang w:val="es-ES" w:eastAsia="en-US"/>
        </w:rPr>
        <w:t xml:space="preserve"> </w:t>
      </w:r>
      <w:r w:rsidRPr="00A9221C">
        <w:rPr>
          <w:rFonts w:eastAsia="Calibri"/>
          <w:b w:val="0"/>
          <w:szCs w:val="22"/>
          <w:lang w:val="hy-AM" w:eastAsia="en-US"/>
        </w:rPr>
        <w:t>և</w:t>
      </w:r>
      <w:r w:rsidRPr="00A9221C">
        <w:rPr>
          <w:rFonts w:eastAsia="Calibri"/>
          <w:b w:val="0"/>
          <w:szCs w:val="22"/>
          <w:lang w:val="es-ES" w:eastAsia="en-US"/>
        </w:rPr>
        <w:t xml:space="preserve"> </w:t>
      </w:r>
      <w:r w:rsidRPr="00A9221C">
        <w:rPr>
          <w:rFonts w:eastAsia="Calibri"/>
          <w:b w:val="0"/>
          <w:szCs w:val="22"/>
          <w:lang w:val="hy-AM" w:eastAsia="en-US"/>
        </w:rPr>
        <w:t>օտարեր</w:t>
      </w:r>
      <w:r w:rsidRPr="00A9221C">
        <w:rPr>
          <w:rFonts w:eastAsia="Calibri"/>
          <w:b w:val="0"/>
          <w:szCs w:val="22"/>
          <w:lang w:val="es-ES" w:eastAsia="en-US"/>
        </w:rPr>
        <w:softHyphen/>
      </w:r>
      <w:r w:rsidRPr="00A9221C">
        <w:rPr>
          <w:rFonts w:eastAsia="Calibri"/>
          <w:b w:val="0"/>
          <w:szCs w:val="22"/>
          <w:lang w:val="hy-AM" w:eastAsia="en-US"/>
        </w:rPr>
        <w:t>կր</w:t>
      </w:r>
      <w:r w:rsidRPr="00A9221C">
        <w:rPr>
          <w:rFonts w:eastAsia="Calibri"/>
          <w:b w:val="0"/>
          <w:szCs w:val="22"/>
          <w:lang w:val="es-ES" w:eastAsia="en-US"/>
        </w:rPr>
        <w:softHyphen/>
      </w:r>
      <w:r w:rsidRPr="00A9221C">
        <w:rPr>
          <w:rFonts w:eastAsia="Calibri"/>
          <w:b w:val="0"/>
          <w:szCs w:val="22"/>
          <w:lang w:val="hy-AM" w:eastAsia="en-US"/>
        </w:rPr>
        <w:t>յա</w:t>
      </w:r>
      <w:r w:rsidRPr="00A9221C">
        <w:rPr>
          <w:rFonts w:eastAsia="Calibri"/>
          <w:b w:val="0"/>
          <w:szCs w:val="22"/>
          <w:lang w:val="es-ES" w:eastAsia="en-US"/>
        </w:rPr>
        <w:t xml:space="preserve"> </w:t>
      </w:r>
      <w:r w:rsidRPr="00A9221C">
        <w:rPr>
          <w:rFonts w:eastAsia="Calibri"/>
          <w:b w:val="0"/>
          <w:szCs w:val="22"/>
          <w:lang w:val="hy-AM" w:eastAsia="en-US"/>
        </w:rPr>
        <w:t>պետություն</w:t>
      </w:r>
      <w:r w:rsidRPr="00A9221C">
        <w:rPr>
          <w:rFonts w:eastAsia="Calibri"/>
          <w:b w:val="0"/>
          <w:szCs w:val="22"/>
          <w:lang w:val="es-ES" w:eastAsia="en-US"/>
        </w:rPr>
        <w:softHyphen/>
      </w:r>
      <w:r w:rsidRPr="00A9221C">
        <w:rPr>
          <w:rFonts w:eastAsia="Calibri"/>
          <w:b w:val="0"/>
          <w:szCs w:val="22"/>
          <w:lang w:val="hy-AM" w:eastAsia="en-US"/>
        </w:rPr>
        <w:t>նե</w:t>
      </w:r>
      <w:r w:rsidRPr="00A9221C">
        <w:rPr>
          <w:rFonts w:eastAsia="Calibri"/>
          <w:b w:val="0"/>
          <w:szCs w:val="22"/>
          <w:lang w:val="es-ES" w:eastAsia="en-US"/>
        </w:rPr>
        <w:softHyphen/>
      </w:r>
      <w:r w:rsidRPr="00A9221C">
        <w:rPr>
          <w:rFonts w:eastAsia="Calibri"/>
          <w:b w:val="0"/>
          <w:szCs w:val="22"/>
          <w:lang w:val="hy-AM" w:eastAsia="en-US"/>
        </w:rPr>
        <w:t>րից</w:t>
      </w:r>
      <w:r w:rsidRPr="00A9221C">
        <w:rPr>
          <w:rFonts w:eastAsia="Calibri"/>
          <w:b w:val="0"/>
          <w:szCs w:val="22"/>
          <w:lang w:val="es-ES" w:eastAsia="en-US"/>
        </w:rPr>
        <w:t xml:space="preserve"> </w:t>
      </w:r>
      <w:r w:rsidRPr="00A9221C">
        <w:rPr>
          <w:rFonts w:eastAsia="Calibri"/>
          <w:b w:val="0"/>
          <w:szCs w:val="22"/>
          <w:lang w:val="hy-AM" w:eastAsia="en-US"/>
        </w:rPr>
        <w:t>ստաց</w:t>
      </w:r>
      <w:r w:rsidRPr="00A9221C">
        <w:rPr>
          <w:rFonts w:eastAsia="Calibri"/>
          <w:b w:val="0"/>
          <w:szCs w:val="22"/>
          <w:lang w:val="es-ES" w:eastAsia="en-US"/>
        </w:rPr>
        <w:softHyphen/>
      </w:r>
      <w:r w:rsidRPr="00A9221C">
        <w:rPr>
          <w:rFonts w:eastAsia="Calibri"/>
          <w:b w:val="0"/>
          <w:szCs w:val="22"/>
          <w:lang w:val="hy-AM" w:eastAsia="en-US"/>
        </w:rPr>
        <w:t>վելիք</w:t>
      </w:r>
      <w:r w:rsidRPr="00A9221C">
        <w:rPr>
          <w:rFonts w:eastAsia="Calibri"/>
          <w:b w:val="0"/>
          <w:szCs w:val="22"/>
          <w:lang w:val="es-ES" w:eastAsia="en-US"/>
        </w:rPr>
        <w:t xml:space="preserve"> </w:t>
      </w:r>
      <w:r w:rsidRPr="00A9221C">
        <w:rPr>
          <w:rFonts w:eastAsia="Calibri"/>
          <w:b w:val="0"/>
          <w:szCs w:val="22"/>
          <w:lang w:val="hy-AM" w:eastAsia="en-US"/>
        </w:rPr>
        <w:t>վարկերի</w:t>
      </w:r>
      <w:r w:rsidRPr="00A9221C">
        <w:rPr>
          <w:rFonts w:eastAsia="Calibri"/>
          <w:b w:val="0"/>
          <w:szCs w:val="22"/>
          <w:lang w:val="es-ES" w:eastAsia="en-US"/>
        </w:rPr>
        <w:t xml:space="preserve"> </w:t>
      </w:r>
      <w:r w:rsidRPr="00A9221C">
        <w:rPr>
          <w:rFonts w:eastAsia="Calibri"/>
          <w:b w:val="0"/>
          <w:szCs w:val="22"/>
          <w:lang w:val="hy-AM" w:eastAsia="en-US"/>
        </w:rPr>
        <w:t>հաշվին</w:t>
      </w:r>
      <w:r w:rsidRPr="00A9221C">
        <w:rPr>
          <w:rFonts w:eastAsia="Calibri"/>
          <w:b w:val="0"/>
          <w:szCs w:val="22"/>
          <w:lang w:val="es-ES" w:eastAsia="en-US"/>
        </w:rPr>
        <w:t xml:space="preserve"> </w:t>
      </w:r>
      <w:r w:rsidRPr="00A9221C">
        <w:rPr>
          <w:rFonts w:eastAsia="Calibri"/>
          <w:b w:val="0"/>
          <w:szCs w:val="22"/>
          <w:lang w:val="hy-AM" w:eastAsia="en-US"/>
        </w:rPr>
        <w:t>պետական</w:t>
      </w:r>
      <w:r w:rsidRPr="00A9221C">
        <w:rPr>
          <w:rFonts w:eastAsia="Calibri"/>
          <w:b w:val="0"/>
          <w:szCs w:val="22"/>
          <w:lang w:val="es-ES" w:eastAsia="en-US"/>
        </w:rPr>
        <w:t xml:space="preserve"> </w:t>
      </w:r>
      <w:r w:rsidRPr="00A9221C">
        <w:rPr>
          <w:rFonts w:eastAsia="Calibri"/>
          <w:b w:val="0"/>
          <w:szCs w:val="22"/>
          <w:lang w:val="hy-AM" w:eastAsia="en-US"/>
        </w:rPr>
        <w:t>բյուջեի</w:t>
      </w:r>
      <w:r w:rsidRPr="00A9221C">
        <w:rPr>
          <w:rFonts w:eastAsia="Calibri"/>
          <w:b w:val="0"/>
          <w:szCs w:val="22"/>
          <w:lang w:val="es-ES" w:eastAsia="en-US"/>
        </w:rPr>
        <w:t xml:space="preserve"> </w:t>
      </w:r>
      <w:r w:rsidRPr="00A9221C">
        <w:rPr>
          <w:rFonts w:eastAsia="Calibri"/>
          <w:b w:val="0"/>
          <w:szCs w:val="22"/>
          <w:lang w:val="hy-AM" w:eastAsia="en-US"/>
        </w:rPr>
        <w:t>դեֆիցիտի</w:t>
      </w:r>
      <w:r w:rsidRPr="00A9221C">
        <w:rPr>
          <w:rFonts w:eastAsia="Calibri"/>
          <w:b w:val="0"/>
          <w:szCs w:val="22"/>
          <w:lang w:val="es-ES" w:eastAsia="en-US"/>
        </w:rPr>
        <w:t xml:space="preserve"> </w:t>
      </w:r>
      <w:r w:rsidRPr="00A9221C">
        <w:rPr>
          <w:rFonts w:eastAsia="Calibri"/>
          <w:b w:val="0"/>
          <w:szCs w:val="22"/>
          <w:lang w:val="hy-AM" w:eastAsia="en-US"/>
        </w:rPr>
        <w:t>ֆի</w:t>
      </w:r>
      <w:r w:rsidRPr="00A9221C">
        <w:rPr>
          <w:rFonts w:eastAsia="Calibri"/>
          <w:b w:val="0"/>
          <w:szCs w:val="22"/>
          <w:lang w:val="es-ES" w:eastAsia="en-US"/>
        </w:rPr>
        <w:softHyphen/>
      </w:r>
      <w:r w:rsidRPr="00A9221C">
        <w:rPr>
          <w:rFonts w:eastAsia="Calibri"/>
          <w:b w:val="0"/>
          <w:szCs w:val="22"/>
          <w:lang w:val="hy-AM" w:eastAsia="en-US"/>
        </w:rPr>
        <w:t>նան</w:t>
      </w:r>
      <w:r w:rsidRPr="00A9221C">
        <w:rPr>
          <w:rFonts w:eastAsia="Calibri"/>
          <w:b w:val="0"/>
          <w:szCs w:val="22"/>
          <w:lang w:val="es-ES" w:eastAsia="en-US"/>
        </w:rPr>
        <w:softHyphen/>
      </w:r>
      <w:r w:rsidRPr="00A9221C">
        <w:rPr>
          <w:rFonts w:eastAsia="Calibri"/>
          <w:b w:val="0"/>
          <w:szCs w:val="22"/>
          <w:lang w:val="hy-AM" w:eastAsia="en-US"/>
        </w:rPr>
        <w:t>սա</w:t>
      </w:r>
      <w:r w:rsidRPr="00A9221C">
        <w:rPr>
          <w:rFonts w:eastAsia="Calibri"/>
          <w:b w:val="0"/>
          <w:szCs w:val="22"/>
          <w:lang w:val="es-ES" w:eastAsia="en-US"/>
        </w:rPr>
        <w:softHyphen/>
      </w:r>
      <w:r w:rsidRPr="00A9221C">
        <w:rPr>
          <w:rFonts w:eastAsia="Calibri"/>
          <w:b w:val="0"/>
          <w:szCs w:val="22"/>
          <w:lang w:val="hy-AM" w:eastAsia="en-US"/>
        </w:rPr>
        <w:t>վորմանն</w:t>
      </w:r>
      <w:r w:rsidRPr="00A9221C">
        <w:rPr>
          <w:rFonts w:eastAsia="Calibri"/>
          <w:b w:val="0"/>
          <w:szCs w:val="22"/>
          <w:lang w:val="es-ES" w:eastAsia="en-US"/>
        </w:rPr>
        <w:t xml:space="preserve"> </w:t>
      </w:r>
      <w:r w:rsidRPr="00A9221C">
        <w:rPr>
          <w:rFonts w:eastAsia="Calibri"/>
          <w:b w:val="0"/>
          <w:szCs w:val="22"/>
          <w:lang w:val="hy-AM" w:eastAsia="en-US"/>
        </w:rPr>
        <w:t>ուղղվող</w:t>
      </w:r>
      <w:r w:rsidRPr="00A9221C">
        <w:rPr>
          <w:rFonts w:eastAsia="Calibri"/>
          <w:b w:val="0"/>
          <w:szCs w:val="22"/>
          <w:lang w:val="es-ES" w:eastAsia="en-US"/>
        </w:rPr>
        <w:t xml:space="preserve"> </w:t>
      </w:r>
      <w:r w:rsidRPr="00A9221C">
        <w:rPr>
          <w:rFonts w:eastAsia="Calibri"/>
          <w:b w:val="0"/>
          <w:szCs w:val="22"/>
          <w:lang w:val="hy-AM" w:eastAsia="en-US"/>
        </w:rPr>
        <w:t>միջոց</w:t>
      </w:r>
      <w:r w:rsidRPr="00A9221C">
        <w:rPr>
          <w:rFonts w:eastAsia="Calibri"/>
          <w:b w:val="0"/>
          <w:szCs w:val="22"/>
          <w:lang w:val="es-ES" w:eastAsia="en-US"/>
        </w:rPr>
        <w:softHyphen/>
      </w:r>
      <w:r w:rsidRPr="00A9221C">
        <w:rPr>
          <w:rFonts w:eastAsia="Calibri"/>
          <w:b w:val="0"/>
          <w:szCs w:val="22"/>
          <w:lang w:val="hy-AM" w:eastAsia="en-US"/>
        </w:rPr>
        <w:t>ները</w:t>
      </w:r>
      <w:r w:rsidRPr="00A9221C">
        <w:rPr>
          <w:rFonts w:eastAsia="Calibri"/>
          <w:b w:val="0"/>
          <w:szCs w:val="22"/>
          <w:lang w:val="es-ES" w:eastAsia="en-US"/>
        </w:rPr>
        <w:t xml:space="preserve">: </w:t>
      </w:r>
    </w:p>
    <w:p w14:paraId="48A5A4D3" w14:textId="77777777" w:rsidR="00630125" w:rsidRPr="00A9221C" w:rsidRDefault="00630125" w:rsidP="00630125">
      <w:pPr>
        <w:rPr>
          <w:rFonts w:eastAsia="Calibri"/>
          <w:b w:val="0"/>
          <w:szCs w:val="22"/>
          <w:lang w:val="es-ES" w:eastAsia="en-US"/>
        </w:rPr>
      </w:pPr>
      <w:r w:rsidRPr="00A9221C">
        <w:rPr>
          <w:rFonts w:eastAsia="Calibri"/>
          <w:b w:val="0"/>
          <w:szCs w:val="22"/>
          <w:lang w:val="hy-AM" w:eastAsia="en-US"/>
        </w:rPr>
        <w:t>Համաձայն</w:t>
      </w:r>
      <w:r w:rsidRPr="00A9221C">
        <w:rPr>
          <w:rFonts w:eastAsia="Calibri"/>
          <w:b w:val="0"/>
          <w:szCs w:val="22"/>
          <w:lang w:val="es-ES" w:eastAsia="en-US"/>
        </w:rPr>
        <w:t xml:space="preserve"> </w:t>
      </w:r>
      <w:r w:rsidRPr="00A9221C">
        <w:rPr>
          <w:rFonts w:eastAsia="Calibri"/>
          <w:b w:val="0"/>
          <w:szCs w:val="22"/>
          <w:lang w:val="hy-AM" w:eastAsia="en-US"/>
        </w:rPr>
        <w:t>կանխատեսումների</w:t>
      </w:r>
      <w:r w:rsidRPr="00A9221C">
        <w:rPr>
          <w:rFonts w:eastAsia="Calibri"/>
          <w:b w:val="0"/>
          <w:szCs w:val="22"/>
          <w:lang w:val="es-ES" w:eastAsia="en-US"/>
        </w:rPr>
        <w:t xml:space="preserve"> </w:t>
      </w:r>
      <w:r w:rsidRPr="00A9221C">
        <w:rPr>
          <w:rFonts w:eastAsia="Calibri"/>
          <w:b w:val="0"/>
          <w:szCs w:val="22"/>
          <w:lang w:val="hy-AM" w:eastAsia="en-US"/>
        </w:rPr>
        <w:t>ծրագրային</w:t>
      </w:r>
      <w:r w:rsidRPr="00A9221C">
        <w:rPr>
          <w:rFonts w:eastAsia="Calibri"/>
          <w:b w:val="0"/>
          <w:szCs w:val="22"/>
          <w:lang w:val="es-ES" w:eastAsia="en-US"/>
        </w:rPr>
        <w:t xml:space="preserve"> </w:t>
      </w:r>
      <w:r w:rsidRPr="00A9221C">
        <w:rPr>
          <w:rFonts w:eastAsia="Calibri"/>
          <w:b w:val="0"/>
          <w:szCs w:val="22"/>
          <w:lang w:val="hy-AM" w:eastAsia="en-US"/>
        </w:rPr>
        <w:t>ժամանակահատվածում</w:t>
      </w:r>
      <w:r w:rsidRPr="00A9221C">
        <w:rPr>
          <w:rFonts w:eastAsia="Calibri"/>
          <w:b w:val="0"/>
          <w:szCs w:val="22"/>
          <w:lang w:val="es-ES" w:eastAsia="en-US"/>
        </w:rPr>
        <w:t xml:space="preserve"> </w:t>
      </w:r>
      <w:r w:rsidRPr="00A9221C">
        <w:rPr>
          <w:rFonts w:eastAsia="Calibri"/>
          <w:b w:val="0"/>
          <w:szCs w:val="22"/>
          <w:lang w:val="hy-AM" w:eastAsia="en-US"/>
        </w:rPr>
        <w:t>արտաքին</w:t>
      </w:r>
      <w:r w:rsidRPr="00A9221C">
        <w:rPr>
          <w:rFonts w:eastAsia="Calibri"/>
          <w:b w:val="0"/>
          <w:szCs w:val="22"/>
          <w:lang w:val="es-ES" w:eastAsia="en-US"/>
        </w:rPr>
        <w:t xml:space="preserve"> </w:t>
      </w:r>
      <w:r w:rsidRPr="00A9221C">
        <w:rPr>
          <w:rFonts w:eastAsia="Calibri"/>
          <w:b w:val="0"/>
          <w:szCs w:val="22"/>
          <w:lang w:val="hy-AM" w:eastAsia="en-US"/>
        </w:rPr>
        <w:t>օժան</w:t>
      </w:r>
      <w:r w:rsidRPr="00A9221C">
        <w:rPr>
          <w:rFonts w:eastAsia="Calibri"/>
          <w:b w:val="0"/>
          <w:szCs w:val="22"/>
          <w:lang w:val="es-ES" w:eastAsia="en-US"/>
        </w:rPr>
        <w:softHyphen/>
      </w:r>
      <w:r w:rsidRPr="00A9221C">
        <w:rPr>
          <w:rFonts w:eastAsia="Calibri"/>
          <w:b w:val="0"/>
          <w:szCs w:val="22"/>
          <w:lang w:val="hy-AM" w:eastAsia="en-US"/>
        </w:rPr>
        <w:t>դա</w:t>
      </w:r>
      <w:r w:rsidRPr="00A9221C">
        <w:rPr>
          <w:rFonts w:eastAsia="Calibri"/>
          <w:b w:val="0"/>
          <w:szCs w:val="22"/>
          <w:lang w:val="es-ES" w:eastAsia="en-US"/>
        </w:rPr>
        <w:softHyphen/>
      </w:r>
      <w:r w:rsidRPr="00A9221C">
        <w:rPr>
          <w:rFonts w:eastAsia="Calibri"/>
          <w:b w:val="0"/>
          <w:szCs w:val="22"/>
          <w:lang w:val="es-ES" w:eastAsia="en-US"/>
        </w:rPr>
        <w:softHyphen/>
      </w:r>
      <w:r w:rsidRPr="00A9221C">
        <w:rPr>
          <w:rFonts w:eastAsia="Calibri"/>
          <w:b w:val="0"/>
          <w:szCs w:val="22"/>
          <w:lang w:val="hy-AM" w:eastAsia="en-US"/>
        </w:rPr>
        <w:t>կության</w:t>
      </w:r>
      <w:r w:rsidRPr="00A9221C">
        <w:rPr>
          <w:rFonts w:eastAsia="Calibri"/>
          <w:b w:val="0"/>
          <w:szCs w:val="22"/>
          <w:lang w:val="es-ES" w:eastAsia="en-US"/>
        </w:rPr>
        <w:t xml:space="preserve"> </w:t>
      </w:r>
      <w:r w:rsidRPr="00A9221C">
        <w:rPr>
          <w:rFonts w:eastAsia="Calibri"/>
          <w:b w:val="0"/>
          <w:szCs w:val="22"/>
          <w:lang w:val="hy-AM" w:eastAsia="en-US"/>
        </w:rPr>
        <w:t>կառուցվածքում</w:t>
      </w:r>
      <w:r w:rsidRPr="00A9221C">
        <w:rPr>
          <w:rFonts w:eastAsia="Calibri"/>
          <w:b w:val="0"/>
          <w:szCs w:val="22"/>
          <w:lang w:val="es-ES" w:eastAsia="en-US"/>
        </w:rPr>
        <w:t xml:space="preserve"> </w:t>
      </w:r>
      <w:r w:rsidRPr="00A9221C">
        <w:rPr>
          <w:rFonts w:eastAsia="Calibri"/>
          <w:b w:val="0"/>
          <w:szCs w:val="22"/>
          <w:lang w:val="hy-AM" w:eastAsia="en-US"/>
        </w:rPr>
        <w:t>գերակշռելու</w:t>
      </w:r>
      <w:r w:rsidRPr="00A9221C">
        <w:rPr>
          <w:rFonts w:eastAsia="Calibri"/>
          <w:b w:val="0"/>
          <w:szCs w:val="22"/>
          <w:lang w:val="es-ES" w:eastAsia="en-US"/>
        </w:rPr>
        <w:t xml:space="preserve"> </w:t>
      </w:r>
      <w:r w:rsidRPr="00A9221C">
        <w:rPr>
          <w:rFonts w:eastAsia="Calibri"/>
          <w:b w:val="0"/>
          <w:szCs w:val="22"/>
          <w:lang w:val="hy-AM" w:eastAsia="en-US"/>
        </w:rPr>
        <w:t>են</w:t>
      </w:r>
      <w:r w:rsidRPr="00A9221C">
        <w:rPr>
          <w:rFonts w:eastAsia="Calibri"/>
          <w:b w:val="0"/>
          <w:szCs w:val="22"/>
          <w:lang w:val="es-ES" w:eastAsia="en-US"/>
        </w:rPr>
        <w:t xml:space="preserve"> </w:t>
      </w:r>
      <w:r w:rsidRPr="00A9221C">
        <w:rPr>
          <w:rFonts w:eastAsia="Calibri"/>
          <w:b w:val="0"/>
          <w:szCs w:val="22"/>
          <w:lang w:val="hy-AM" w:eastAsia="en-US"/>
        </w:rPr>
        <w:t>նպատա</w:t>
      </w:r>
      <w:r w:rsidRPr="00A9221C">
        <w:rPr>
          <w:rFonts w:eastAsia="Calibri"/>
          <w:b w:val="0"/>
          <w:szCs w:val="22"/>
          <w:lang w:val="es-ES" w:eastAsia="en-US"/>
        </w:rPr>
        <w:softHyphen/>
      </w:r>
      <w:r w:rsidRPr="00A9221C">
        <w:rPr>
          <w:rFonts w:eastAsia="Calibri"/>
          <w:b w:val="0"/>
          <w:szCs w:val="22"/>
          <w:lang w:val="hy-AM" w:eastAsia="en-US"/>
        </w:rPr>
        <w:t>կային</w:t>
      </w:r>
      <w:r w:rsidRPr="00A9221C">
        <w:rPr>
          <w:rFonts w:eastAsia="Calibri"/>
          <w:b w:val="0"/>
          <w:szCs w:val="22"/>
          <w:lang w:val="es-ES" w:eastAsia="en-US"/>
        </w:rPr>
        <w:t xml:space="preserve"> </w:t>
      </w:r>
      <w:r w:rsidRPr="00A9221C">
        <w:rPr>
          <w:rFonts w:eastAsia="Calibri"/>
          <w:b w:val="0"/>
          <w:szCs w:val="22"/>
          <w:lang w:val="hy-AM" w:eastAsia="en-US"/>
        </w:rPr>
        <w:t>ծրագրերի</w:t>
      </w:r>
      <w:r w:rsidRPr="00A9221C">
        <w:rPr>
          <w:rFonts w:eastAsia="Calibri"/>
          <w:b w:val="0"/>
          <w:szCs w:val="22"/>
          <w:lang w:val="es-ES" w:eastAsia="en-US"/>
        </w:rPr>
        <w:t xml:space="preserve"> </w:t>
      </w:r>
      <w:r w:rsidRPr="00A9221C">
        <w:rPr>
          <w:rFonts w:eastAsia="Calibri"/>
          <w:b w:val="0"/>
          <w:szCs w:val="22"/>
          <w:lang w:val="hy-AM" w:eastAsia="en-US"/>
        </w:rPr>
        <w:t>ֆինանսավորման</w:t>
      </w:r>
      <w:r w:rsidRPr="00A9221C">
        <w:rPr>
          <w:rFonts w:eastAsia="Calibri"/>
          <w:b w:val="0"/>
          <w:szCs w:val="22"/>
          <w:lang w:val="es-ES" w:eastAsia="en-US"/>
        </w:rPr>
        <w:t xml:space="preserve"> </w:t>
      </w:r>
      <w:r w:rsidRPr="00A9221C">
        <w:rPr>
          <w:rFonts w:eastAsia="Calibri"/>
          <w:b w:val="0"/>
          <w:szCs w:val="22"/>
          <w:lang w:val="hy-AM" w:eastAsia="en-US"/>
        </w:rPr>
        <w:t>համար</w:t>
      </w:r>
      <w:r w:rsidRPr="00A9221C">
        <w:rPr>
          <w:rFonts w:eastAsia="Calibri"/>
          <w:b w:val="0"/>
          <w:szCs w:val="22"/>
          <w:lang w:val="es-ES" w:eastAsia="en-US"/>
        </w:rPr>
        <w:t xml:space="preserve"> </w:t>
      </w:r>
      <w:r w:rsidRPr="00A9221C">
        <w:rPr>
          <w:rFonts w:eastAsia="Calibri"/>
          <w:b w:val="0"/>
          <w:szCs w:val="22"/>
          <w:lang w:val="hy-AM" w:eastAsia="en-US"/>
        </w:rPr>
        <w:t>նախատեսված</w:t>
      </w:r>
      <w:r w:rsidRPr="00A9221C">
        <w:rPr>
          <w:rFonts w:eastAsia="Calibri"/>
          <w:b w:val="0"/>
          <w:szCs w:val="22"/>
          <w:lang w:val="es-ES" w:eastAsia="en-US"/>
        </w:rPr>
        <w:t xml:space="preserve"> </w:t>
      </w:r>
      <w:r w:rsidRPr="00A9221C">
        <w:rPr>
          <w:rFonts w:eastAsia="Calibri"/>
          <w:b w:val="0"/>
          <w:szCs w:val="22"/>
          <w:lang w:val="hy-AM" w:eastAsia="en-US"/>
        </w:rPr>
        <w:t>բյուջետային</w:t>
      </w:r>
      <w:r w:rsidRPr="00A9221C">
        <w:rPr>
          <w:rFonts w:eastAsia="Calibri"/>
          <w:b w:val="0"/>
          <w:szCs w:val="22"/>
          <w:lang w:val="es-ES" w:eastAsia="en-US"/>
        </w:rPr>
        <w:t xml:space="preserve"> </w:t>
      </w:r>
      <w:r w:rsidRPr="00A9221C">
        <w:rPr>
          <w:rFonts w:eastAsia="Calibri"/>
          <w:b w:val="0"/>
          <w:szCs w:val="22"/>
          <w:lang w:val="hy-AM" w:eastAsia="en-US"/>
        </w:rPr>
        <w:t>աջակցության</w:t>
      </w:r>
      <w:r w:rsidRPr="00A9221C">
        <w:rPr>
          <w:rFonts w:eastAsia="Calibri"/>
          <w:b w:val="0"/>
          <w:szCs w:val="22"/>
          <w:lang w:val="es-ES" w:eastAsia="en-US"/>
        </w:rPr>
        <w:t xml:space="preserve"> </w:t>
      </w:r>
      <w:r w:rsidRPr="00A9221C">
        <w:rPr>
          <w:rFonts w:eastAsia="Calibri"/>
          <w:b w:val="0"/>
          <w:szCs w:val="22"/>
          <w:lang w:val="hy-AM" w:eastAsia="en-US"/>
        </w:rPr>
        <w:t>պաշ</w:t>
      </w:r>
      <w:r w:rsidRPr="00A9221C">
        <w:rPr>
          <w:rFonts w:eastAsia="Calibri"/>
          <w:b w:val="0"/>
          <w:szCs w:val="22"/>
          <w:lang w:val="es-ES" w:eastAsia="en-US"/>
        </w:rPr>
        <w:softHyphen/>
      </w:r>
      <w:r w:rsidRPr="00A9221C">
        <w:rPr>
          <w:rFonts w:eastAsia="Calibri"/>
          <w:b w:val="0"/>
          <w:szCs w:val="22"/>
          <w:lang w:val="hy-AM" w:eastAsia="en-US"/>
        </w:rPr>
        <w:t>տո</w:t>
      </w:r>
      <w:r w:rsidRPr="00A9221C">
        <w:rPr>
          <w:rFonts w:eastAsia="Calibri"/>
          <w:b w:val="0"/>
          <w:szCs w:val="22"/>
          <w:lang w:val="es-ES" w:eastAsia="en-US"/>
        </w:rPr>
        <w:softHyphen/>
      </w:r>
      <w:r w:rsidRPr="00A9221C">
        <w:rPr>
          <w:rFonts w:eastAsia="Calibri"/>
          <w:b w:val="0"/>
          <w:szCs w:val="22"/>
          <w:lang w:val="hy-AM" w:eastAsia="en-US"/>
        </w:rPr>
        <w:t>նա</w:t>
      </w:r>
      <w:r w:rsidRPr="00A9221C">
        <w:rPr>
          <w:rFonts w:eastAsia="Calibri"/>
          <w:b w:val="0"/>
          <w:szCs w:val="22"/>
          <w:lang w:val="es-ES" w:eastAsia="en-US"/>
        </w:rPr>
        <w:softHyphen/>
      </w:r>
      <w:r w:rsidRPr="00A9221C">
        <w:rPr>
          <w:rFonts w:eastAsia="Calibri"/>
          <w:b w:val="0"/>
          <w:szCs w:val="22"/>
          <w:lang w:val="hy-AM" w:eastAsia="en-US"/>
        </w:rPr>
        <w:t>կան</w:t>
      </w:r>
      <w:r w:rsidRPr="00A9221C">
        <w:rPr>
          <w:rFonts w:eastAsia="Calibri"/>
          <w:b w:val="0"/>
          <w:szCs w:val="22"/>
          <w:lang w:val="es-ES" w:eastAsia="en-US"/>
        </w:rPr>
        <w:t xml:space="preserve"> </w:t>
      </w:r>
      <w:r w:rsidRPr="00A9221C">
        <w:rPr>
          <w:rFonts w:eastAsia="Calibri"/>
          <w:b w:val="0"/>
          <w:szCs w:val="22"/>
          <w:lang w:val="hy-AM" w:eastAsia="en-US"/>
        </w:rPr>
        <w:t>դրամաշնորհներն</w:t>
      </w:r>
      <w:r w:rsidRPr="00A9221C">
        <w:rPr>
          <w:rFonts w:eastAsia="Calibri"/>
          <w:b w:val="0"/>
          <w:szCs w:val="22"/>
          <w:lang w:val="es-ES" w:eastAsia="en-US"/>
        </w:rPr>
        <w:t xml:space="preserve"> </w:t>
      </w:r>
      <w:r w:rsidRPr="00A9221C">
        <w:rPr>
          <w:rFonts w:eastAsia="Calibri"/>
          <w:b w:val="0"/>
          <w:szCs w:val="22"/>
          <w:lang w:val="hy-AM" w:eastAsia="en-US"/>
        </w:rPr>
        <w:t>ու</w:t>
      </w:r>
      <w:r w:rsidRPr="00A9221C">
        <w:rPr>
          <w:rFonts w:eastAsia="Calibri"/>
          <w:b w:val="0"/>
          <w:szCs w:val="22"/>
          <w:lang w:val="es-ES" w:eastAsia="en-US"/>
        </w:rPr>
        <w:t xml:space="preserve"> </w:t>
      </w:r>
      <w:r w:rsidRPr="00A9221C">
        <w:rPr>
          <w:rFonts w:eastAsia="Calibri"/>
          <w:b w:val="0"/>
          <w:szCs w:val="22"/>
          <w:lang w:val="hy-AM" w:eastAsia="en-US"/>
        </w:rPr>
        <w:t>վարկերը</w:t>
      </w:r>
      <w:r w:rsidRPr="00A9221C">
        <w:rPr>
          <w:rFonts w:eastAsia="Calibri"/>
          <w:b w:val="0"/>
          <w:szCs w:val="22"/>
          <w:lang w:val="es-ES" w:eastAsia="en-US"/>
        </w:rPr>
        <w:t xml:space="preserve"> </w:t>
      </w:r>
      <w:r w:rsidRPr="00880D33">
        <w:rPr>
          <w:rFonts w:eastAsia="Calibri"/>
          <w:b w:val="0"/>
          <w:szCs w:val="22"/>
          <w:lang w:val="es-ES" w:eastAsia="en-US"/>
        </w:rPr>
        <w:t>(95.1%):</w:t>
      </w:r>
    </w:p>
    <w:bookmarkEnd w:id="194"/>
    <w:p w14:paraId="1CD076C4" w14:textId="77777777" w:rsidR="00DE50C8" w:rsidRDefault="00DE50C8" w:rsidP="00630125">
      <w:pPr>
        <w:spacing w:after="200"/>
        <w:rPr>
          <w:bCs/>
          <w:szCs w:val="22"/>
          <w:lang w:val="hy-AM"/>
        </w:rPr>
      </w:pPr>
    </w:p>
    <w:p w14:paraId="0B4C3DBB" w14:textId="6527808D" w:rsidR="00630125" w:rsidRPr="00710FCA" w:rsidRDefault="00630125" w:rsidP="00630125">
      <w:pPr>
        <w:spacing w:after="200"/>
        <w:rPr>
          <w:b w:val="0"/>
          <w:bCs/>
          <w:szCs w:val="22"/>
          <w:lang w:val="hy-AM"/>
        </w:rPr>
      </w:pPr>
      <w:bookmarkStart w:id="203" w:name="_Toc152324764"/>
      <w:r w:rsidRPr="00710FCA">
        <w:rPr>
          <w:bCs/>
          <w:szCs w:val="22"/>
          <w:lang w:val="hy-AM"/>
        </w:rPr>
        <w:t xml:space="preserve">Աղյուսակ </w:t>
      </w:r>
      <w:r w:rsidRPr="00710FCA">
        <w:rPr>
          <w:bCs/>
          <w:szCs w:val="22"/>
          <w:lang w:val="hy-AM"/>
        </w:rPr>
        <w:fldChar w:fldCharType="begin"/>
      </w:r>
      <w:r w:rsidRPr="00710FCA">
        <w:rPr>
          <w:bCs/>
          <w:szCs w:val="22"/>
          <w:lang w:val="hy-AM"/>
        </w:rPr>
        <w:instrText xml:space="preserve"> SEQ Աղյուսակ \* ARABIC </w:instrText>
      </w:r>
      <w:r w:rsidRPr="00710FCA">
        <w:rPr>
          <w:bCs/>
          <w:szCs w:val="22"/>
          <w:lang w:val="hy-AM"/>
        </w:rPr>
        <w:fldChar w:fldCharType="separate"/>
      </w:r>
      <w:r w:rsidR="00DB4E68">
        <w:rPr>
          <w:bCs/>
          <w:noProof/>
          <w:szCs w:val="22"/>
          <w:lang w:val="hy-AM"/>
        </w:rPr>
        <w:t>2</w:t>
      </w:r>
      <w:r w:rsidRPr="00710FCA">
        <w:rPr>
          <w:bCs/>
          <w:szCs w:val="22"/>
          <w:lang w:val="hy-AM"/>
        </w:rPr>
        <w:fldChar w:fldCharType="end"/>
      </w:r>
      <w:r w:rsidRPr="00710FCA">
        <w:rPr>
          <w:rFonts w:ascii="Cambria Math" w:hAnsi="Cambria Math" w:cs="Cambria Math"/>
          <w:bCs/>
          <w:szCs w:val="22"/>
          <w:lang w:val="hy-AM"/>
        </w:rPr>
        <w:t>․</w:t>
      </w:r>
      <w:r w:rsidRPr="00710FCA">
        <w:rPr>
          <w:b w:val="0"/>
          <w:bCs/>
          <w:szCs w:val="22"/>
          <w:lang w:val="hy-AM"/>
        </w:rPr>
        <w:t xml:space="preserve"> 2024թ ակնկալվող արտաքին օժանդակությունն ըստ բնույթի</w:t>
      </w:r>
      <w:bookmarkEnd w:id="195"/>
      <w:bookmarkEnd w:id="196"/>
      <w:bookmarkEnd w:id="197"/>
      <w:bookmarkEnd w:id="198"/>
      <w:bookmarkEnd w:id="203"/>
    </w:p>
    <w:tbl>
      <w:tblPr>
        <w:tblW w:w="5000" w:type="pct"/>
        <w:shd w:val="clear" w:color="auto" w:fill="FFFFFF" w:themeFill="background1"/>
        <w:tblCellMar>
          <w:left w:w="0" w:type="dxa"/>
          <w:right w:w="0" w:type="dxa"/>
        </w:tblCellMar>
        <w:tblLook w:val="0000" w:firstRow="0" w:lastRow="0" w:firstColumn="0" w:lastColumn="0" w:noHBand="0" w:noVBand="0"/>
      </w:tblPr>
      <w:tblGrid>
        <w:gridCol w:w="4636"/>
        <w:gridCol w:w="1469"/>
        <w:gridCol w:w="3007"/>
      </w:tblGrid>
      <w:tr w:rsidR="00630125" w:rsidRPr="00933CA4" w14:paraId="2C43E37D" w14:textId="77777777" w:rsidTr="003F088D">
        <w:trPr>
          <w:trHeight w:val="551"/>
        </w:trPr>
        <w:tc>
          <w:tcPr>
            <w:tcW w:w="2544" w:type="pct"/>
            <w:tcBorders>
              <w:bottom w:val="single" w:sz="4" w:space="0" w:color="auto"/>
            </w:tcBorders>
            <w:shd w:val="clear" w:color="auto" w:fill="FFFFFF" w:themeFill="background1"/>
            <w:noWrap/>
            <w:tcMar>
              <w:top w:w="0" w:type="dxa"/>
              <w:left w:w="57" w:type="dxa"/>
              <w:bottom w:w="0" w:type="dxa"/>
              <w:right w:w="113" w:type="dxa"/>
            </w:tcMar>
            <w:vAlign w:val="center"/>
          </w:tcPr>
          <w:bookmarkEnd w:id="199"/>
          <w:p w14:paraId="06E8DDEB" w14:textId="77777777" w:rsidR="00630125" w:rsidRPr="00A9221C" w:rsidRDefault="00630125" w:rsidP="003F088D">
            <w:pPr>
              <w:spacing w:before="0" w:line="240" w:lineRule="auto"/>
              <w:jc w:val="center"/>
              <w:rPr>
                <w:rFonts w:cs="Courier New"/>
                <w:b w:val="0"/>
                <w:sz w:val="18"/>
                <w:szCs w:val="18"/>
                <w:lang w:val="en-US"/>
              </w:rPr>
            </w:pPr>
            <w:r w:rsidRPr="00A9221C">
              <w:rPr>
                <w:rFonts w:cs="Calibri"/>
                <w:b w:val="0"/>
                <w:color w:val="000000"/>
                <w:sz w:val="18"/>
                <w:szCs w:val="18"/>
                <w:lang w:val="en-US" w:eastAsia="en-US"/>
              </w:rPr>
              <w:t>Ցուցանիշներ</w:t>
            </w:r>
          </w:p>
        </w:tc>
        <w:tc>
          <w:tcPr>
            <w:tcW w:w="806" w:type="pct"/>
            <w:tcBorders>
              <w:bottom w:val="single" w:sz="4" w:space="0" w:color="auto"/>
            </w:tcBorders>
            <w:shd w:val="clear" w:color="auto" w:fill="FFFFFF" w:themeFill="background1"/>
            <w:vAlign w:val="center"/>
          </w:tcPr>
          <w:p w14:paraId="2E962F94" w14:textId="77777777" w:rsidR="00630125" w:rsidRPr="00A9221C" w:rsidRDefault="00630125" w:rsidP="003F088D">
            <w:pPr>
              <w:spacing w:before="0"/>
              <w:jc w:val="center"/>
              <w:rPr>
                <w:rFonts w:cs="Courier New"/>
                <w:b w:val="0"/>
                <w:sz w:val="18"/>
                <w:szCs w:val="18"/>
                <w:lang w:val="en-US"/>
              </w:rPr>
            </w:pPr>
            <w:r w:rsidRPr="00A9221C">
              <w:rPr>
                <w:rFonts w:cs="Courier New"/>
                <w:b w:val="0"/>
                <w:sz w:val="18"/>
                <w:szCs w:val="18"/>
                <w:lang w:val="en-US"/>
              </w:rPr>
              <w:t>Գումարը (մլրդ դրամներով)</w:t>
            </w:r>
          </w:p>
        </w:tc>
        <w:tc>
          <w:tcPr>
            <w:tcW w:w="1650" w:type="pct"/>
            <w:tcBorders>
              <w:bottom w:val="single" w:sz="4" w:space="0" w:color="auto"/>
            </w:tcBorders>
            <w:shd w:val="clear" w:color="auto" w:fill="FFFFFF" w:themeFill="background1"/>
            <w:vAlign w:val="center"/>
          </w:tcPr>
          <w:p w14:paraId="52AC04E0" w14:textId="77777777" w:rsidR="00630125" w:rsidRPr="00A9221C" w:rsidRDefault="00630125" w:rsidP="003F088D">
            <w:pPr>
              <w:spacing w:before="0"/>
              <w:jc w:val="center"/>
              <w:rPr>
                <w:rFonts w:cs="Courier New"/>
                <w:b w:val="0"/>
                <w:sz w:val="18"/>
                <w:szCs w:val="18"/>
                <w:lang w:val="en-US"/>
              </w:rPr>
            </w:pPr>
            <w:r w:rsidRPr="00A9221C">
              <w:rPr>
                <w:rFonts w:cs="Courier New"/>
                <w:b w:val="0"/>
                <w:sz w:val="18"/>
                <w:szCs w:val="18"/>
                <w:lang w:val="en-US"/>
              </w:rPr>
              <w:t>Տեսակարար կշիռը արտաքին օժան</w:t>
            </w:r>
            <w:r w:rsidRPr="00A9221C">
              <w:rPr>
                <w:rFonts w:cs="Courier New"/>
                <w:b w:val="0"/>
                <w:sz w:val="18"/>
                <w:szCs w:val="18"/>
                <w:lang w:val="en-US"/>
              </w:rPr>
              <w:softHyphen/>
              <w:t>դա</w:t>
            </w:r>
            <w:r w:rsidRPr="00A9221C">
              <w:rPr>
                <w:rFonts w:cs="Courier New"/>
                <w:b w:val="0"/>
                <w:sz w:val="18"/>
                <w:szCs w:val="18"/>
                <w:lang w:val="en-US"/>
              </w:rPr>
              <w:softHyphen/>
              <w:t>կութ</w:t>
            </w:r>
            <w:r w:rsidRPr="00A9221C">
              <w:rPr>
                <w:rFonts w:cs="Courier New"/>
                <w:b w:val="0"/>
                <w:sz w:val="18"/>
                <w:szCs w:val="18"/>
                <w:lang w:val="en-US"/>
              </w:rPr>
              <w:softHyphen/>
              <w:t>յան ընդհանուր գումարում (%)</w:t>
            </w:r>
          </w:p>
        </w:tc>
      </w:tr>
      <w:tr w:rsidR="00630125" w:rsidRPr="00A9221C" w14:paraId="36BC9FA2" w14:textId="77777777" w:rsidTr="003F088D">
        <w:trPr>
          <w:trHeight w:val="372"/>
        </w:trPr>
        <w:tc>
          <w:tcPr>
            <w:tcW w:w="2544" w:type="pct"/>
            <w:tcBorders>
              <w:top w:val="single" w:sz="4" w:space="0" w:color="auto"/>
            </w:tcBorders>
            <w:shd w:val="clear" w:color="auto" w:fill="FFFFFF" w:themeFill="background1"/>
            <w:noWrap/>
            <w:tcMar>
              <w:top w:w="0" w:type="dxa"/>
              <w:left w:w="57" w:type="dxa"/>
              <w:bottom w:w="0" w:type="dxa"/>
              <w:right w:w="113" w:type="dxa"/>
            </w:tcMar>
          </w:tcPr>
          <w:p w14:paraId="437AEB48" w14:textId="77777777" w:rsidR="00630125" w:rsidRPr="00A9221C" w:rsidRDefault="00630125" w:rsidP="003F088D">
            <w:pPr>
              <w:spacing w:before="0"/>
              <w:jc w:val="left"/>
              <w:rPr>
                <w:rFonts w:cs="Courier New"/>
                <w:b w:val="0"/>
                <w:sz w:val="18"/>
                <w:szCs w:val="18"/>
                <w:lang w:val="en-US"/>
              </w:rPr>
            </w:pPr>
            <w:r w:rsidRPr="00A9221C">
              <w:rPr>
                <w:rFonts w:cs="Courier New"/>
                <w:b w:val="0"/>
                <w:sz w:val="18"/>
                <w:szCs w:val="18"/>
                <w:lang w:val="en-US"/>
              </w:rPr>
              <w:t xml:space="preserve">1. </w:t>
            </w:r>
            <w:r w:rsidRPr="00A9221C">
              <w:rPr>
                <w:rFonts w:cs="Arial"/>
                <w:b w:val="0"/>
                <w:sz w:val="18"/>
                <w:szCs w:val="18"/>
                <w:lang w:val="en-US"/>
              </w:rPr>
              <w:t>Ընդհանուր</w:t>
            </w:r>
            <w:r w:rsidRPr="00A9221C">
              <w:rPr>
                <w:rFonts w:cs="Courier New"/>
                <w:b w:val="0"/>
                <w:sz w:val="18"/>
                <w:szCs w:val="18"/>
                <w:lang w:val="en-US"/>
              </w:rPr>
              <w:t xml:space="preserve"> </w:t>
            </w:r>
            <w:r w:rsidRPr="00A9221C">
              <w:rPr>
                <w:rFonts w:cs="Arial"/>
                <w:b w:val="0"/>
                <w:sz w:val="18"/>
                <w:szCs w:val="18"/>
                <w:lang w:val="en-US"/>
              </w:rPr>
              <w:t>բնույթի</w:t>
            </w:r>
            <w:r w:rsidRPr="00A9221C">
              <w:rPr>
                <w:rFonts w:cs="Courier New"/>
                <w:b w:val="0"/>
                <w:sz w:val="18"/>
                <w:szCs w:val="18"/>
                <w:lang w:val="en-US"/>
              </w:rPr>
              <w:t xml:space="preserve"> </w:t>
            </w:r>
            <w:r w:rsidRPr="00A9221C">
              <w:rPr>
                <w:rFonts w:cs="Arial"/>
                <w:b w:val="0"/>
                <w:sz w:val="18"/>
                <w:szCs w:val="18"/>
                <w:lang w:val="en-US"/>
              </w:rPr>
              <w:t>բյուջետային</w:t>
            </w:r>
            <w:r w:rsidRPr="00A9221C">
              <w:rPr>
                <w:rFonts w:cs="Courier New"/>
                <w:b w:val="0"/>
                <w:sz w:val="18"/>
                <w:szCs w:val="18"/>
                <w:lang w:val="en-US"/>
              </w:rPr>
              <w:t xml:space="preserve"> </w:t>
            </w:r>
            <w:r w:rsidRPr="00A9221C">
              <w:rPr>
                <w:rFonts w:cs="Arial"/>
                <w:b w:val="0"/>
                <w:sz w:val="18"/>
                <w:szCs w:val="18"/>
                <w:lang w:val="en-US"/>
              </w:rPr>
              <w:t>օժանդակություն</w:t>
            </w:r>
          </w:p>
        </w:tc>
        <w:tc>
          <w:tcPr>
            <w:tcW w:w="806" w:type="pct"/>
            <w:tcBorders>
              <w:top w:val="single" w:sz="4" w:space="0" w:color="auto"/>
            </w:tcBorders>
            <w:shd w:val="clear" w:color="auto" w:fill="FFFFFF" w:themeFill="background1"/>
            <w:vAlign w:val="center"/>
          </w:tcPr>
          <w:p w14:paraId="5DA0FDD3" w14:textId="77777777" w:rsidR="00630125" w:rsidRPr="00880D33" w:rsidRDefault="00630125" w:rsidP="003F088D">
            <w:pPr>
              <w:spacing w:before="0"/>
              <w:jc w:val="center"/>
              <w:rPr>
                <w:rFonts w:cs="Courier New"/>
                <w:b w:val="0"/>
                <w:sz w:val="18"/>
                <w:szCs w:val="18"/>
                <w:lang w:val="en-US"/>
              </w:rPr>
            </w:pPr>
            <w:r>
              <w:rPr>
                <w:rFonts w:cs="Courier New"/>
                <w:b w:val="0"/>
                <w:sz w:val="18"/>
                <w:szCs w:val="18"/>
                <w:lang w:val="en-US"/>
              </w:rPr>
              <w:t>7.6</w:t>
            </w:r>
          </w:p>
        </w:tc>
        <w:tc>
          <w:tcPr>
            <w:tcW w:w="1650" w:type="pct"/>
            <w:tcBorders>
              <w:top w:val="single" w:sz="4" w:space="0" w:color="auto"/>
            </w:tcBorders>
            <w:shd w:val="clear" w:color="auto" w:fill="FFFFFF" w:themeFill="background1"/>
            <w:vAlign w:val="center"/>
          </w:tcPr>
          <w:p w14:paraId="04366B3C" w14:textId="77777777" w:rsidR="00630125" w:rsidRPr="00880D33" w:rsidRDefault="00630125" w:rsidP="003F088D">
            <w:pPr>
              <w:spacing w:before="0"/>
              <w:jc w:val="center"/>
              <w:rPr>
                <w:rFonts w:cs="Courier New"/>
                <w:b w:val="0"/>
                <w:sz w:val="18"/>
                <w:szCs w:val="18"/>
                <w:lang w:val="en-US"/>
              </w:rPr>
            </w:pPr>
            <w:r w:rsidRPr="00880D33">
              <w:rPr>
                <w:rFonts w:cs="Courier New"/>
                <w:b w:val="0"/>
                <w:sz w:val="18"/>
                <w:szCs w:val="18"/>
                <w:lang w:val="en-US"/>
              </w:rPr>
              <w:t>4.9</w:t>
            </w:r>
          </w:p>
        </w:tc>
      </w:tr>
      <w:tr w:rsidR="00630125" w:rsidRPr="00A9221C" w14:paraId="38E4783C" w14:textId="77777777" w:rsidTr="003F088D">
        <w:tc>
          <w:tcPr>
            <w:tcW w:w="2544" w:type="pct"/>
            <w:tcBorders>
              <w:bottom w:val="single" w:sz="4" w:space="0" w:color="auto"/>
            </w:tcBorders>
            <w:shd w:val="clear" w:color="auto" w:fill="FFFFFF" w:themeFill="background1"/>
            <w:noWrap/>
            <w:tcMar>
              <w:top w:w="0" w:type="dxa"/>
              <w:left w:w="57" w:type="dxa"/>
              <w:bottom w:w="0" w:type="dxa"/>
              <w:right w:w="113" w:type="dxa"/>
            </w:tcMar>
          </w:tcPr>
          <w:p w14:paraId="7D44E496" w14:textId="77777777" w:rsidR="00630125" w:rsidRPr="00A9221C" w:rsidRDefault="00630125" w:rsidP="003F088D">
            <w:pPr>
              <w:spacing w:before="0"/>
              <w:jc w:val="left"/>
              <w:rPr>
                <w:rFonts w:cs="Courier New"/>
                <w:b w:val="0"/>
                <w:sz w:val="18"/>
                <w:szCs w:val="18"/>
                <w:lang w:val="en-US"/>
              </w:rPr>
            </w:pPr>
            <w:r w:rsidRPr="00A9221C">
              <w:rPr>
                <w:rFonts w:cs="Courier New"/>
                <w:b w:val="0"/>
                <w:sz w:val="18"/>
                <w:szCs w:val="18"/>
                <w:lang w:val="en-US"/>
              </w:rPr>
              <w:t>1.1 Պաշտոնական դրամաշնորհներ</w:t>
            </w:r>
          </w:p>
        </w:tc>
        <w:tc>
          <w:tcPr>
            <w:tcW w:w="806" w:type="pct"/>
            <w:tcBorders>
              <w:bottom w:val="single" w:sz="4" w:space="0" w:color="auto"/>
            </w:tcBorders>
            <w:shd w:val="clear" w:color="auto" w:fill="FFFFFF" w:themeFill="background1"/>
            <w:vAlign w:val="center"/>
          </w:tcPr>
          <w:p w14:paraId="57024D6B" w14:textId="77777777" w:rsidR="00630125" w:rsidRPr="00880D33" w:rsidRDefault="00630125" w:rsidP="003F088D">
            <w:pPr>
              <w:spacing w:before="0"/>
              <w:jc w:val="center"/>
              <w:rPr>
                <w:rFonts w:cs="Courier New"/>
                <w:b w:val="0"/>
                <w:sz w:val="18"/>
                <w:szCs w:val="18"/>
                <w:lang w:val="hy-AM"/>
              </w:rPr>
            </w:pPr>
            <w:r w:rsidRPr="00880D33">
              <w:rPr>
                <w:rFonts w:cs="Courier New"/>
                <w:b w:val="0"/>
                <w:sz w:val="18"/>
                <w:szCs w:val="18"/>
                <w:lang w:val="en-US"/>
              </w:rPr>
              <w:t>7.</w:t>
            </w:r>
            <w:r>
              <w:rPr>
                <w:rFonts w:cs="Courier New"/>
                <w:b w:val="0"/>
                <w:sz w:val="18"/>
                <w:szCs w:val="18"/>
                <w:lang w:val="en-US"/>
              </w:rPr>
              <w:t>6</w:t>
            </w:r>
          </w:p>
        </w:tc>
        <w:tc>
          <w:tcPr>
            <w:tcW w:w="1650" w:type="pct"/>
            <w:tcBorders>
              <w:bottom w:val="single" w:sz="4" w:space="0" w:color="auto"/>
            </w:tcBorders>
            <w:shd w:val="clear" w:color="auto" w:fill="FFFFFF" w:themeFill="background1"/>
            <w:vAlign w:val="center"/>
          </w:tcPr>
          <w:p w14:paraId="0E60F6B0" w14:textId="77777777" w:rsidR="00630125" w:rsidRPr="00880D33" w:rsidRDefault="00630125" w:rsidP="003F088D">
            <w:pPr>
              <w:spacing w:before="0"/>
              <w:jc w:val="center"/>
              <w:rPr>
                <w:rFonts w:cs="Courier New"/>
                <w:b w:val="0"/>
                <w:sz w:val="18"/>
                <w:szCs w:val="18"/>
                <w:lang w:val="en-US"/>
              </w:rPr>
            </w:pPr>
            <w:r w:rsidRPr="00880D33">
              <w:rPr>
                <w:rFonts w:cs="Courier New"/>
                <w:b w:val="0"/>
                <w:sz w:val="18"/>
                <w:szCs w:val="18"/>
                <w:lang w:val="en-US"/>
              </w:rPr>
              <w:t>X</w:t>
            </w:r>
          </w:p>
        </w:tc>
      </w:tr>
      <w:tr w:rsidR="00630125" w:rsidRPr="00A9221C" w14:paraId="29E31AD1" w14:textId="77777777" w:rsidTr="003F088D">
        <w:trPr>
          <w:trHeight w:val="291"/>
        </w:trPr>
        <w:tc>
          <w:tcPr>
            <w:tcW w:w="2544" w:type="pct"/>
            <w:tcBorders>
              <w:top w:val="single" w:sz="4" w:space="0" w:color="auto"/>
            </w:tcBorders>
            <w:shd w:val="clear" w:color="auto" w:fill="FFFFFF" w:themeFill="background1"/>
            <w:noWrap/>
            <w:tcMar>
              <w:top w:w="0" w:type="dxa"/>
              <w:left w:w="57" w:type="dxa"/>
              <w:bottom w:w="0" w:type="dxa"/>
              <w:right w:w="113" w:type="dxa"/>
            </w:tcMar>
          </w:tcPr>
          <w:p w14:paraId="2FE5556A" w14:textId="77777777" w:rsidR="00630125" w:rsidRPr="00A9221C" w:rsidRDefault="00630125" w:rsidP="003F088D">
            <w:pPr>
              <w:spacing w:before="0"/>
              <w:jc w:val="left"/>
              <w:rPr>
                <w:rFonts w:cs="Courier New"/>
                <w:b w:val="0"/>
                <w:sz w:val="18"/>
                <w:szCs w:val="18"/>
                <w:lang w:val="en-US"/>
              </w:rPr>
            </w:pPr>
            <w:r w:rsidRPr="00A9221C">
              <w:rPr>
                <w:rFonts w:cs="Courier New"/>
                <w:b w:val="0"/>
                <w:sz w:val="18"/>
                <w:szCs w:val="18"/>
                <w:lang w:val="en-US"/>
              </w:rPr>
              <w:t>2. Ծրագրային (նպատակային) օժանդակություն</w:t>
            </w:r>
          </w:p>
        </w:tc>
        <w:tc>
          <w:tcPr>
            <w:tcW w:w="806" w:type="pct"/>
            <w:tcBorders>
              <w:top w:val="single" w:sz="4" w:space="0" w:color="auto"/>
            </w:tcBorders>
            <w:shd w:val="clear" w:color="auto" w:fill="FFFFFF" w:themeFill="background1"/>
            <w:vAlign w:val="center"/>
          </w:tcPr>
          <w:p w14:paraId="0C0A7F27" w14:textId="77777777" w:rsidR="00630125" w:rsidRPr="00880D33" w:rsidRDefault="00630125" w:rsidP="003F088D">
            <w:pPr>
              <w:spacing w:before="0"/>
              <w:jc w:val="center"/>
              <w:rPr>
                <w:rFonts w:cs="Courier New"/>
                <w:b w:val="0"/>
                <w:sz w:val="18"/>
                <w:szCs w:val="18"/>
                <w:lang w:val="en-US"/>
              </w:rPr>
            </w:pPr>
            <w:r>
              <w:rPr>
                <w:rFonts w:cs="Courier New"/>
                <w:b w:val="0"/>
                <w:sz w:val="18"/>
                <w:szCs w:val="18"/>
                <w:lang w:val="en-US"/>
              </w:rPr>
              <w:t>147.5</w:t>
            </w:r>
          </w:p>
        </w:tc>
        <w:tc>
          <w:tcPr>
            <w:tcW w:w="1650" w:type="pct"/>
            <w:tcBorders>
              <w:top w:val="single" w:sz="4" w:space="0" w:color="auto"/>
            </w:tcBorders>
            <w:shd w:val="clear" w:color="auto" w:fill="FFFFFF" w:themeFill="background1"/>
            <w:vAlign w:val="center"/>
          </w:tcPr>
          <w:p w14:paraId="09BCC520" w14:textId="77777777" w:rsidR="00630125" w:rsidRPr="00880D33" w:rsidRDefault="00630125" w:rsidP="003F088D">
            <w:pPr>
              <w:spacing w:before="0"/>
              <w:jc w:val="center"/>
              <w:rPr>
                <w:rFonts w:cs="Courier New"/>
                <w:b w:val="0"/>
                <w:sz w:val="18"/>
                <w:szCs w:val="18"/>
                <w:lang w:val="en-US"/>
              </w:rPr>
            </w:pPr>
            <w:r w:rsidRPr="00880D33">
              <w:rPr>
                <w:rFonts w:cs="Courier New"/>
                <w:b w:val="0"/>
                <w:sz w:val="18"/>
                <w:szCs w:val="18"/>
                <w:lang w:val="en-US"/>
              </w:rPr>
              <w:t>95.1</w:t>
            </w:r>
          </w:p>
        </w:tc>
      </w:tr>
      <w:tr w:rsidR="00630125" w:rsidRPr="00A9221C" w14:paraId="624737C4" w14:textId="77777777" w:rsidTr="003F088D">
        <w:tc>
          <w:tcPr>
            <w:tcW w:w="2544" w:type="pct"/>
            <w:shd w:val="clear" w:color="auto" w:fill="FFFFFF" w:themeFill="background1"/>
            <w:noWrap/>
            <w:tcMar>
              <w:top w:w="0" w:type="dxa"/>
              <w:left w:w="57" w:type="dxa"/>
              <w:bottom w:w="0" w:type="dxa"/>
              <w:right w:w="113" w:type="dxa"/>
            </w:tcMar>
          </w:tcPr>
          <w:p w14:paraId="088894A1" w14:textId="77777777" w:rsidR="00630125" w:rsidRPr="00A9221C" w:rsidRDefault="00630125" w:rsidP="003F088D">
            <w:pPr>
              <w:spacing w:before="0"/>
              <w:jc w:val="left"/>
              <w:rPr>
                <w:rFonts w:cs="Courier New"/>
                <w:b w:val="0"/>
                <w:sz w:val="18"/>
                <w:szCs w:val="18"/>
                <w:lang w:val="en-US"/>
              </w:rPr>
            </w:pPr>
            <w:r w:rsidRPr="00A9221C">
              <w:rPr>
                <w:rFonts w:cs="Courier New"/>
                <w:b w:val="0"/>
                <w:sz w:val="18"/>
                <w:szCs w:val="18"/>
                <w:lang w:val="en-US"/>
              </w:rPr>
              <w:t>2.1 Պաշտոնական դրամաշնորհներ</w:t>
            </w:r>
          </w:p>
        </w:tc>
        <w:tc>
          <w:tcPr>
            <w:tcW w:w="806" w:type="pct"/>
            <w:shd w:val="clear" w:color="auto" w:fill="FFFFFF" w:themeFill="background1"/>
            <w:vAlign w:val="center"/>
          </w:tcPr>
          <w:p w14:paraId="7ABA89A6" w14:textId="77777777" w:rsidR="00630125" w:rsidRPr="00880D33" w:rsidRDefault="00630125" w:rsidP="003F088D">
            <w:pPr>
              <w:spacing w:before="0"/>
              <w:jc w:val="center"/>
              <w:rPr>
                <w:rFonts w:cs="Courier New"/>
                <w:b w:val="0"/>
                <w:sz w:val="18"/>
                <w:szCs w:val="18"/>
                <w:lang w:val="en-US"/>
              </w:rPr>
            </w:pPr>
            <w:r>
              <w:rPr>
                <w:rFonts w:cs="Courier New"/>
                <w:b w:val="0"/>
                <w:sz w:val="18"/>
                <w:szCs w:val="18"/>
                <w:lang w:val="en-US"/>
              </w:rPr>
              <w:t>14.7</w:t>
            </w:r>
          </w:p>
        </w:tc>
        <w:tc>
          <w:tcPr>
            <w:tcW w:w="1650" w:type="pct"/>
            <w:shd w:val="clear" w:color="auto" w:fill="FFFFFF" w:themeFill="background1"/>
            <w:vAlign w:val="center"/>
          </w:tcPr>
          <w:p w14:paraId="613FA91A" w14:textId="77777777" w:rsidR="00630125" w:rsidRPr="00880D33" w:rsidRDefault="00630125" w:rsidP="003F088D">
            <w:pPr>
              <w:spacing w:before="0"/>
              <w:jc w:val="center"/>
              <w:rPr>
                <w:rFonts w:cs="Courier New"/>
                <w:b w:val="0"/>
                <w:sz w:val="18"/>
                <w:szCs w:val="18"/>
                <w:lang w:val="en-US"/>
              </w:rPr>
            </w:pPr>
            <w:r w:rsidRPr="00880D33">
              <w:rPr>
                <w:rFonts w:cs="Courier New"/>
                <w:b w:val="0"/>
                <w:sz w:val="18"/>
                <w:szCs w:val="18"/>
                <w:lang w:val="en-US"/>
              </w:rPr>
              <w:t>X</w:t>
            </w:r>
          </w:p>
        </w:tc>
      </w:tr>
      <w:tr w:rsidR="00630125" w:rsidRPr="00A9221C" w14:paraId="3CFD093C" w14:textId="77777777" w:rsidTr="003F088D">
        <w:trPr>
          <w:trHeight w:val="244"/>
        </w:trPr>
        <w:tc>
          <w:tcPr>
            <w:tcW w:w="2544" w:type="pct"/>
            <w:tcBorders>
              <w:bottom w:val="single" w:sz="4" w:space="0" w:color="auto"/>
            </w:tcBorders>
            <w:shd w:val="clear" w:color="auto" w:fill="FFFFFF" w:themeFill="background1"/>
            <w:noWrap/>
            <w:tcMar>
              <w:top w:w="0" w:type="dxa"/>
              <w:left w:w="57" w:type="dxa"/>
              <w:bottom w:w="0" w:type="dxa"/>
              <w:right w:w="113" w:type="dxa"/>
            </w:tcMar>
          </w:tcPr>
          <w:p w14:paraId="61333491" w14:textId="77777777" w:rsidR="00630125" w:rsidRPr="00A9221C" w:rsidRDefault="00630125" w:rsidP="003F088D">
            <w:pPr>
              <w:spacing w:before="0"/>
              <w:jc w:val="left"/>
              <w:rPr>
                <w:rFonts w:cs="Courier New"/>
                <w:b w:val="0"/>
                <w:sz w:val="18"/>
                <w:szCs w:val="18"/>
                <w:lang w:val="en-US"/>
              </w:rPr>
            </w:pPr>
            <w:r w:rsidRPr="00A9221C">
              <w:rPr>
                <w:rFonts w:cs="Courier New"/>
                <w:b w:val="0"/>
                <w:sz w:val="18"/>
                <w:szCs w:val="18"/>
                <w:lang w:val="en-US"/>
              </w:rPr>
              <w:t>2.2 Վարկեր</w:t>
            </w:r>
          </w:p>
        </w:tc>
        <w:tc>
          <w:tcPr>
            <w:tcW w:w="806" w:type="pct"/>
            <w:tcBorders>
              <w:bottom w:val="single" w:sz="4" w:space="0" w:color="auto"/>
            </w:tcBorders>
            <w:shd w:val="clear" w:color="auto" w:fill="FFFFFF" w:themeFill="background1"/>
            <w:vAlign w:val="center"/>
          </w:tcPr>
          <w:p w14:paraId="04747AC4" w14:textId="77777777" w:rsidR="00630125" w:rsidRPr="00880D33" w:rsidRDefault="00630125" w:rsidP="003F088D">
            <w:pPr>
              <w:spacing w:before="0"/>
              <w:jc w:val="center"/>
              <w:rPr>
                <w:rFonts w:cs="Courier New"/>
                <w:b w:val="0"/>
                <w:sz w:val="18"/>
                <w:szCs w:val="18"/>
                <w:lang w:val="en-US"/>
              </w:rPr>
            </w:pPr>
            <w:r>
              <w:rPr>
                <w:rFonts w:cs="Courier New"/>
                <w:b w:val="0"/>
                <w:sz w:val="18"/>
                <w:szCs w:val="18"/>
                <w:lang w:val="en-US"/>
              </w:rPr>
              <w:t>132.8</w:t>
            </w:r>
          </w:p>
        </w:tc>
        <w:tc>
          <w:tcPr>
            <w:tcW w:w="1650" w:type="pct"/>
            <w:tcBorders>
              <w:bottom w:val="single" w:sz="4" w:space="0" w:color="auto"/>
            </w:tcBorders>
            <w:shd w:val="clear" w:color="auto" w:fill="FFFFFF" w:themeFill="background1"/>
            <w:vAlign w:val="center"/>
          </w:tcPr>
          <w:p w14:paraId="03966DC0" w14:textId="77777777" w:rsidR="00630125" w:rsidRPr="00880D33" w:rsidRDefault="00630125" w:rsidP="003F088D">
            <w:pPr>
              <w:spacing w:before="0"/>
              <w:jc w:val="center"/>
              <w:rPr>
                <w:rFonts w:cs="Courier New"/>
                <w:b w:val="0"/>
                <w:sz w:val="18"/>
                <w:szCs w:val="18"/>
                <w:lang w:val="en-US"/>
              </w:rPr>
            </w:pPr>
            <w:r w:rsidRPr="00880D33">
              <w:rPr>
                <w:rFonts w:cs="Courier New"/>
                <w:b w:val="0"/>
                <w:sz w:val="18"/>
                <w:szCs w:val="18"/>
                <w:lang w:val="en-US"/>
              </w:rPr>
              <w:t>X</w:t>
            </w:r>
          </w:p>
        </w:tc>
      </w:tr>
      <w:tr w:rsidR="00630125" w:rsidRPr="00A9221C" w14:paraId="762091C4" w14:textId="77777777" w:rsidTr="003F088D">
        <w:trPr>
          <w:trHeight w:val="332"/>
        </w:trPr>
        <w:tc>
          <w:tcPr>
            <w:tcW w:w="2544" w:type="pct"/>
            <w:tcBorders>
              <w:top w:val="single" w:sz="4" w:space="0" w:color="auto"/>
              <w:bottom w:val="single" w:sz="4" w:space="0" w:color="auto"/>
            </w:tcBorders>
            <w:shd w:val="clear" w:color="auto" w:fill="FFFFFF" w:themeFill="background1"/>
            <w:noWrap/>
            <w:tcMar>
              <w:top w:w="0" w:type="dxa"/>
              <w:left w:w="57" w:type="dxa"/>
              <w:bottom w:w="0" w:type="dxa"/>
              <w:right w:w="113" w:type="dxa"/>
            </w:tcMar>
          </w:tcPr>
          <w:p w14:paraId="52581C43" w14:textId="77777777" w:rsidR="00630125" w:rsidRPr="00A9221C" w:rsidRDefault="00630125" w:rsidP="003F088D">
            <w:pPr>
              <w:spacing w:before="0"/>
              <w:jc w:val="left"/>
              <w:rPr>
                <w:rFonts w:cs="Courier New"/>
                <w:b w:val="0"/>
                <w:sz w:val="18"/>
                <w:szCs w:val="18"/>
                <w:lang w:val="en-US"/>
              </w:rPr>
            </w:pPr>
            <w:r w:rsidRPr="00A9221C">
              <w:rPr>
                <w:rFonts w:cs="Courier New"/>
                <w:b w:val="0"/>
                <w:sz w:val="18"/>
                <w:szCs w:val="18"/>
                <w:lang w:val="en-US"/>
              </w:rPr>
              <w:t>Ընդամենը արտաքին օժանդակություն</w:t>
            </w:r>
          </w:p>
        </w:tc>
        <w:tc>
          <w:tcPr>
            <w:tcW w:w="806" w:type="pct"/>
            <w:tcBorders>
              <w:top w:val="single" w:sz="4" w:space="0" w:color="auto"/>
              <w:bottom w:val="single" w:sz="4" w:space="0" w:color="auto"/>
            </w:tcBorders>
            <w:shd w:val="clear" w:color="auto" w:fill="FFFFFF" w:themeFill="background1"/>
            <w:vAlign w:val="center"/>
          </w:tcPr>
          <w:p w14:paraId="19410B89" w14:textId="77777777" w:rsidR="00630125" w:rsidRPr="00880D33" w:rsidRDefault="00630125" w:rsidP="003F088D">
            <w:pPr>
              <w:spacing w:before="0"/>
              <w:jc w:val="center"/>
              <w:rPr>
                <w:rFonts w:cs="Courier New"/>
                <w:b w:val="0"/>
                <w:sz w:val="18"/>
                <w:szCs w:val="18"/>
                <w:lang w:val="en-US" w:eastAsia="en-US"/>
              </w:rPr>
            </w:pPr>
            <w:r>
              <w:rPr>
                <w:rFonts w:cs="Courier New"/>
                <w:b w:val="0"/>
                <w:sz w:val="18"/>
                <w:szCs w:val="18"/>
                <w:lang w:val="en-US"/>
              </w:rPr>
              <w:t>155</w:t>
            </w:r>
            <w:r w:rsidRPr="00880D33">
              <w:rPr>
                <w:rFonts w:cs="Courier New"/>
                <w:b w:val="0"/>
                <w:sz w:val="18"/>
                <w:szCs w:val="18"/>
                <w:lang w:val="en-US"/>
              </w:rPr>
              <w:t>.1</w:t>
            </w:r>
          </w:p>
        </w:tc>
        <w:tc>
          <w:tcPr>
            <w:tcW w:w="1650" w:type="pct"/>
            <w:tcBorders>
              <w:top w:val="single" w:sz="4" w:space="0" w:color="auto"/>
              <w:bottom w:val="single" w:sz="4" w:space="0" w:color="auto"/>
            </w:tcBorders>
            <w:shd w:val="clear" w:color="auto" w:fill="FFFFFF" w:themeFill="background1"/>
            <w:vAlign w:val="center"/>
          </w:tcPr>
          <w:p w14:paraId="6F644E66" w14:textId="77777777" w:rsidR="00630125" w:rsidRPr="00880D33" w:rsidRDefault="00630125" w:rsidP="003F088D">
            <w:pPr>
              <w:spacing w:before="0"/>
              <w:jc w:val="center"/>
              <w:rPr>
                <w:rFonts w:cs="Courier New"/>
                <w:b w:val="0"/>
                <w:sz w:val="18"/>
                <w:szCs w:val="18"/>
                <w:lang w:val="en-US"/>
              </w:rPr>
            </w:pPr>
          </w:p>
        </w:tc>
      </w:tr>
    </w:tbl>
    <w:p w14:paraId="5A851000" w14:textId="77777777" w:rsidR="00630125" w:rsidRPr="00A9221C" w:rsidRDefault="00630125" w:rsidP="00630125">
      <w:pPr>
        <w:rPr>
          <w:rFonts w:eastAsia="Calibri"/>
          <w:b w:val="0"/>
          <w:szCs w:val="22"/>
          <w:lang w:val="hy-AM" w:eastAsia="en-US"/>
        </w:rPr>
      </w:pPr>
      <w:r w:rsidRPr="00A9221C">
        <w:rPr>
          <w:rFonts w:eastAsia="Calibri"/>
          <w:b w:val="0"/>
          <w:szCs w:val="22"/>
          <w:lang w:val="hy-AM" w:eastAsia="en-US"/>
        </w:rPr>
        <w:lastRenderedPageBreak/>
        <w:t>Բյուջետային փաթեթում ընդհանուր բնույթի բյուջետային օժանդակության թերստաց</w:t>
      </w:r>
      <w:r w:rsidRPr="00A9221C">
        <w:rPr>
          <w:rFonts w:eastAsia="Calibri"/>
          <w:b w:val="0"/>
          <w:szCs w:val="22"/>
          <w:lang w:val="hy-AM" w:eastAsia="en-US"/>
        </w:rPr>
        <w:softHyphen/>
        <w:t>ման պայ</w:t>
      </w:r>
      <w:r w:rsidRPr="00A9221C">
        <w:rPr>
          <w:rFonts w:eastAsia="Calibri"/>
          <w:b w:val="0"/>
          <w:szCs w:val="22"/>
          <w:lang w:val="hy-AM" w:eastAsia="en-US"/>
        </w:rPr>
        <w:softHyphen/>
      </w:r>
      <w:r w:rsidRPr="00A9221C">
        <w:rPr>
          <w:rFonts w:eastAsia="Calibri"/>
          <w:b w:val="0"/>
          <w:szCs w:val="22"/>
          <w:lang w:val="hy-AM" w:eastAsia="en-US"/>
        </w:rPr>
        <w:softHyphen/>
        <w:t>մաններում ծախսերի վերանայման անհրաժեշտության առաջացման դեպ</w:t>
      </w:r>
      <w:r w:rsidRPr="00A9221C">
        <w:rPr>
          <w:rFonts w:eastAsia="Calibri"/>
          <w:b w:val="0"/>
          <w:szCs w:val="22"/>
          <w:lang w:val="hy-AM" w:eastAsia="en-US"/>
        </w:rPr>
        <w:softHyphen/>
        <w:t>քում այդ վերանայումն իրականացվելու է` ելնելով ծախսերի գե</w:t>
      </w:r>
      <w:r w:rsidRPr="00A9221C">
        <w:rPr>
          <w:rFonts w:eastAsia="Calibri"/>
          <w:b w:val="0"/>
          <w:szCs w:val="22"/>
          <w:lang w:val="hy-AM" w:eastAsia="en-US"/>
        </w:rPr>
        <w:softHyphen/>
        <w:t>րա</w:t>
      </w:r>
      <w:r w:rsidRPr="00A9221C">
        <w:rPr>
          <w:rFonts w:eastAsia="Calibri"/>
          <w:b w:val="0"/>
          <w:szCs w:val="22"/>
          <w:lang w:val="hy-AM" w:eastAsia="en-US"/>
        </w:rPr>
        <w:softHyphen/>
      </w:r>
      <w:r w:rsidRPr="00A9221C">
        <w:rPr>
          <w:rFonts w:eastAsia="Calibri"/>
          <w:b w:val="0"/>
          <w:szCs w:val="22"/>
          <w:lang w:val="hy-AM" w:eastAsia="en-US"/>
        </w:rPr>
        <w:softHyphen/>
      </w:r>
      <w:r w:rsidRPr="00A9221C">
        <w:rPr>
          <w:rFonts w:eastAsia="Calibri"/>
          <w:b w:val="0"/>
          <w:szCs w:val="22"/>
          <w:lang w:val="hy-AM" w:eastAsia="en-US"/>
        </w:rPr>
        <w:softHyphen/>
        <w:t>կա</w:t>
      </w:r>
      <w:r w:rsidRPr="00A9221C">
        <w:rPr>
          <w:rFonts w:eastAsia="Calibri"/>
          <w:b w:val="0"/>
          <w:szCs w:val="22"/>
          <w:lang w:val="hy-AM" w:eastAsia="en-US"/>
        </w:rPr>
        <w:softHyphen/>
        <w:t>յու</w:t>
      </w:r>
      <w:r w:rsidRPr="00A9221C">
        <w:rPr>
          <w:rFonts w:eastAsia="Calibri"/>
          <w:b w:val="0"/>
          <w:szCs w:val="22"/>
          <w:lang w:val="hy-AM" w:eastAsia="en-US"/>
        </w:rPr>
        <w:softHyphen/>
        <w:t>թյան աստիճանից: Ծրագրային (նպատակային) պաշտոնական դրամաշ</w:t>
      </w:r>
      <w:r w:rsidRPr="00A9221C">
        <w:rPr>
          <w:rFonts w:eastAsia="Calibri"/>
          <w:b w:val="0"/>
          <w:szCs w:val="22"/>
          <w:lang w:val="hy-AM" w:eastAsia="en-US"/>
        </w:rPr>
        <w:softHyphen/>
        <w:t>նորհ</w:t>
      </w:r>
      <w:r w:rsidRPr="00A9221C">
        <w:rPr>
          <w:rFonts w:eastAsia="Calibri"/>
          <w:b w:val="0"/>
          <w:szCs w:val="22"/>
          <w:lang w:val="hy-AM" w:eastAsia="en-US"/>
        </w:rPr>
        <w:softHyphen/>
        <w:t>ների և վար</w:t>
      </w:r>
      <w:r w:rsidRPr="00A9221C">
        <w:rPr>
          <w:rFonts w:eastAsia="Calibri"/>
          <w:b w:val="0"/>
          <w:szCs w:val="22"/>
          <w:lang w:val="hy-AM" w:eastAsia="en-US"/>
        </w:rPr>
        <w:softHyphen/>
      </w:r>
      <w:r w:rsidRPr="00A9221C">
        <w:rPr>
          <w:rFonts w:eastAsia="Calibri"/>
          <w:b w:val="0"/>
          <w:szCs w:val="22"/>
          <w:lang w:val="hy-AM" w:eastAsia="en-US"/>
        </w:rPr>
        <w:softHyphen/>
        <w:t>կերի թերս</w:t>
      </w:r>
      <w:r w:rsidRPr="00A9221C">
        <w:rPr>
          <w:rFonts w:eastAsia="Calibri"/>
          <w:b w:val="0"/>
          <w:szCs w:val="22"/>
          <w:lang w:val="hy-AM" w:eastAsia="en-US"/>
        </w:rPr>
        <w:softHyphen/>
        <w:t>տացումը հանգեցնելու է այն ծրագրերի գծով ծախսերի կրճատ</w:t>
      </w:r>
      <w:r w:rsidRPr="00A9221C">
        <w:rPr>
          <w:rFonts w:eastAsia="Calibri"/>
          <w:b w:val="0"/>
          <w:szCs w:val="22"/>
          <w:lang w:val="hy-AM" w:eastAsia="en-US"/>
        </w:rPr>
        <w:softHyphen/>
        <w:t>մա</w:t>
      </w:r>
      <w:r w:rsidRPr="00A9221C">
        <w:rPr>
          <w:rFonts w:eastAsia="Calibri"/>
          <w:b w:val="0"/>
          <w:szCs w:val="22"/>
          <w:lang w:val="hy-AM" w:eastAsia="en-US"/>
        </w:rPr>
        <w:softHyphen/>
        <w:t>նը, որոնք ան</w:t>
      </w:r>
      <w:r w:rsidRPr="00A9221C">
        <w:rPr>
          <w:rFonts w:eastAsia="Calibri"/>
          <w:b w:val="0"/>
          <w:szCs w:val="22"/>
          <w:lang w:val="hy-AM" w:eastAsia="en-US"/>
        </w:rPr>
        <w:softHyphen/>
        <w:t>մի</w:t>
      </w:r>
      <w:r w:rsidRPr="00A9221C">
        <w:rPr>
          <w:rFonts w:eastAsia="Calibri"/>
          <w:b w:val="0"/>
          <w:szCs w:val="22"/>
          <w:lang w:val="hy-AM" w:eastAsia="en-US"/>
        </w:rPr>
        <w:softHyphen/>
        <w:t>ջա</w:t>
      </w:r>
      <w:r w:rsidRPr="00A9221C">
        <w:rPr>
          <w:rFonts w:eastAsia="Calibri"/>
          <w:b w:val="0"/>
          <w:szCs w:val="22"/>
          <w:lang w:val="hy-AM" w:eastAsia="en-US"/>
        </w:rPr>
        <w:softHyphen/>
      </w:r>
      <w:r w:rsidRPr="00A9221C">
        <w:rPr>
          <w:rFonts w:eastAsia="Calibri"/>
          <w:b w:val="0"/>
          <w:szCs w:val="22"/>
          <w:lang w:val="hy-AM" w:eastAsia="en-US"/>
        </w:rPr>
        <w:softHyphen/>
        <w:t xml:space="preserve">կանորեն </w:t>
      </w:r>
      <w:r w:rsidRPr="00A9221C">
        <w:rPr>
          <w:rFonts w:eastAsia="Calibri"/>
          <w:b w:val="0"/>
          <w:szCs w:val="22"/>
          <w:lang w:val="hy-AM" w:eastAsia="en-US"/>
        </w:rPr>
        <w:softHyphen/>
        <w:t xml:space="preserve">կապակցված են ֆինանսավորման այդ աղբյուրներին: </w:t>
      </w:r>
    </w:p>
    <w:p w14:paraId="3DC3BD52" w14:textId="2DDE1E22" w:rsidR="00630125" w:rsidRDefault="00630125" w:rsidP="00630125">
      <w:pPr>
        <w:rPr>
          <w:rFonts w:eastAsia="Calibri"/>
          <w:b w:val="0"/>
          <w:szCs w:val="22"/>
          <w:lang w:val="hy-AM" w:eastAsia="en-US"/>
        </w:rPr>
      </w:pPr>
      <w:r w:rsidRPr="00A9221C">
        <w:rPr>
          <w:rFonts w:eastAsia="Calibri"/>
          <w:b w:val="0"/>
          <w:szCs w:val="22"/>
          <w:lang w:val="hy-AM" w:eastAsia="en-US"/>
        </w:rPr>
        <w:t>ՀՀ 2024 թվականի պետական բյուջեի հաշվարկներում «Հայաստանի Հան</w:t>
      </w:r>
      <w:r w:rsidRPr="00A9221C">
        <w:rPr>
          <w:rFonts w:eastAsia="Calibri"/>
          <w:b w:val="0"/>
          <w:szCs w:val="22"/>
          <w:lang w:val="hy-AM" w:eastAsia="en-US"/>
        </w:rPr>
        <w:softHyphen/>
        <w:t>րա</w:t>
      </w:r>
      <w:r w:rsidRPr="00A9221C">
        <w:rPr>
          <w:rFonts w:eastAsia="Calibri"/>
          <w:b w:val="0"/>
          <w:szCs w:val="22"/>
          <w:lang w:val="hy-AM" w:eastAsia="en-US"/>
        </w:rPr>
        <w:softHyphen/>
        <w:t>պետության բյուջետային հա</w:t>
      </w:r>
      <w:r w:rsidRPr="00A9221C">
        <w:rPr>
          <w:rFonts w:eastAsia="Calibri"/>
          <w:b w:val="0"/>
          <w:szCs w:val="22"/>
          <w:lang w:val="hy-AM" w:eastAsia="en-US"/>
        </w:rPr>
        <w:softHyphen/>
        <w:t>մակարգի մասին» ՀՀ օրենքի 21-րդ հոդվածի 8.1-րդ մա</w:t>
      </w:r>
      <w:r w:rsidRPr="00A9221C">
        <w:rPr>
          <w:rFonts w:eastAsia="Calibri"/>
          <w:b w:val="0"/>
          <w:szCs w:val="22"/>
          <w:lang w:val="hy-AM" w:eastAsia="en-US"/>
        </w:rPr>
        <w:softHyphen/>
        <w:t>սի պա</w:t>
      </w:r>
      <w:r w:rsidRPr="00A9221C">
        <w:rPr>
          <w:rFonts w:eastAsia="Calibri"/>
          <w:b w:val="0"/>
          <w:szCs w:val="22"/>
          <w:lang w:val="hy-AM" w:eastAsia="en-US"/>
        </w:rPr>
        <w:softHyphen/>
      </w:r>
      <w:r w:rsidRPr="00A9221C">
        <w:rPr>
          <w:rFonts w:eastAsia="Calibri"/>
          <w:b w:val="0"/>
          <w:szCs w:val="22"/>
          <w:lang w:val="hy-AM" w:eastAsia="en-US"/>
        </w:rPr>
        <w:softHyphen/>
        <w:t>հան</w:t>
      </w:r>
      <w:r w:rsidRPr="00A9221C">
        <w:rPr>
          <w:rFonts w:eastAsia="Calibri"/>
          <w:b w:val="0"/>
          <w:szCs w:val="22"/>
          <w:lang w:val="hy-AM" w:eastAsia="en-US"/>
        </w:rPr>
        <w:softHyphen/>
        <w:t>ջի համաձայն կիրառ</w:t>
      </w:r>
      <w:r w:rsidRPr="00A9221C">
        <w:rPr>
          <w:rFonts w:eastAsia="Calibri"/>
          <w:b w:val="0"/>
          <w:szCs w:val="22"/>
          <w:lang w:val="hy-AM" w:eastAsia="en-US"/>
        </w:rPr>
        <w:softHyphen/>
        <w:t xml:space="preserve">վել են ս.թ. </w:t>
      </w:r>
      <w:r w:rsidRPr="00772BA0">
        <w:rPr>
          <w:rFonts w:eastAsia="Calibri"/>
          <w:b w:val="0"/>
          <w:szCs w:val="22"/>
          <w:lang w:val="hy-AM" w:eastAsia="en-US"/>
        </w:rPr>
        <w:t>նոյեմբերի</w:t>
      </w:r>
      <w:r w:rsidRPr="00A9221C">
        <w:rPr>
          <w:rFonts w:eastAsia="Calibri"/>
          <w:b w:val="0"/>
          <w:szCs w:val="22"/>
          <w:lang w:val="hy-AM" w:eastAsia="en-US"/>
        </w:rPr>
        <w:t xml:space="preserve"> 1-ի դրությամբ ՀՀ արտար</w:t>
      </w:r>
      <w:r w:rsidRPr="00A9221C">
        <w:rPr>
          <w:rFonts w:eastAsia="Calibri"/>
          <w:b w:val="0"/>
          <w:szCs w:val="22"/>
          <w:lang w:val="hy-AM" w:eastAsia="en-US"/>
        </w:rPr>
        <w:softHyphen/>
        <w:t>ժու</w:t>
      </w:r>
      <w:r w:rsidRPr="00A9221C">
        <w:rPr>
          <w:rFonts w:eastAsia="Calibri"/>
          <w:b w:val="0"/>
          <w:szCs w:val="22"/>
          <w:lang w:val="hy-AM" w:eastAsia="en-US"/>
        </w:rPr>
        <w:softHyphen/>
        <w:t>թա</w:t>
      </w:r>
      <w:r w:rsidRPr="00A9221C">
        <w:rPr>
          <w:rFonts w:eastAsia="Calibri"/>
          <w:b w:val="0"/>
          <w:szCs w:val="22"/>
          <w:lang w:val="hy-AM" w:eastAsia="en-US"/>
        </w:rPr>
        <w:softHyphen/>
        <w:t>յին շու</w:t>
      </w:r>
      <w:r w:rsidRPr="00A9221C">
        <w:rPr>
          <w:rFonts w:eastAsia="Calibri"/>
          <w:b w:val="0"/>
          <w:szCs w:val="22"/>
          <w:lang w:val="hy-AM" w:eastAsia="en-US"/>
        </w:rPr>
        <w:softHyphen/>
      </w:r>
      <w:r w:rsidRPr="00A9221C">
        <w:rPr>
          <w:rFonts w:eastAsia="Calibri"/>
          <w:b w:val="0"/>
          <w:szCs w:val="22"/>
          <w:lang w:val="hy-AM" w:eastAsia="en-US"/>
        </w:rPr>
        <w:softHyphen/>
        <w:t>կա</w:t>
      </w:r>
      <w:r w:rsidRPr="00A9221C">
        <w:rPr>
          <w:rFonts w:eastAsia="Calibri"/>
          <w:b w:val="0"/>
          <w:szCs w:val="22"/>
          <w:lang w:val="hy-AM" w:eastAsia="en-US"/>
        </w:rPr>
        <w:softHyphen/>
        <w:t>յում ձևավորված տա</w:t>
      </w:r>
      <w:r w:rsidRPr="00A9221C">
        <w:rPr>
          <w:rFonts w:eastAsia="Calibri"/>
          <w:b w:val="0"/>
          <w:szCs w:val="22"/>
          <w:lang w:val="hy-AM" w:eastAsia="en-US"/>
        </w:rPr>
        <w:softHyphen/>
        <w:t>րա</w:t>
      </w:r>
      <w:r w:rsidRPr="00A9221C">
        <w:rPr>
          <w:rFonts w:eastAsia="Calibri"/>
          <w:b w:val="0"/>
          <w:szCs w:val="22"/>
          <w:lang w:val="hy-AM" w:eastAsia="en-US"/>
        </w:rPr>
        <w:softHyphen/>
        <w:t>դրա</w:t>
      </w:r>
      <w:r w:rsidRPr="00A9221C">
        <w:rPr>
          <w:rFonts w:eastAsia="Calibri"/>
          <w:b w:val="0"/>
          <w:szCs w:val="22"/>
          <w:lang w:val="hy-AM" w:eastAsia="en-US"/>
        </w:rPr>
        <w:softHyphen/>
        <w:t>մի փոխարժեքները ՀՀ դրամով:</w:t>
      </w:r>
    </w:p>
    <w:p w14:paraId="1942CD28" w14:textId="77777777" w:rsidR="00630125" w:rsidRPr="00A9221C" w:rsidRDefault="00630125" w:rsidP="00630125">
      <w:pPr>
        <w:rPr>
          <w:lang w:val="hy-AM"/>
        </w:rPr>
      </w:pPr>
    </w:p>
    <w:p w14:paraId="32C52D42" w14:textId="77777777" w:rsidR="00630125" w:rsidRPr="00A9221C" w:rsidRDefault="00630125" w:rsidP="00630125">
      <w:pPr>
        <w:pStyle w:val="Heading3"/>
      </w:pPr>
    </w:p>
    <w:tbl>
      <w:tblPr>
        <w:tblW w:w="8100" w:type="dxa"/>
        <w:tblInd w:w="630" w:type="dxa"/>
        <w:tblLook w:val="04A0" w:firstRow="1" w:lastRow="0" w:firstColumn="1" w:lastColumn="0" w:noHBand="0" w:noVBand="1"/>
      </w:tblPr>
      <w:tblGrid>
        <w:gridCol w:w="3920"/>
        <w:gridCol w:w="4180"/>
      </w:tblGrid>
      <w:tr w:rsidR="00630125" w:rsidRPr="00A9221C" w14:paraId="4B3808B9" w14:textId="77777777" w:rsidTr="003F088D">
        <w:trPr>
          <w:trHeight w:val="300"/>
        </w:trPr>
        <w:tc>
          <w:tcPr>
            <w:tcW w:w="3920" w:type="dxa"/>
            <w:tcBorders>
              <w:top w:val="nil"/>
              <w:left w:val="nil"/>
              <w:bottom w:val="single" w:sz="4" w:space="0" w:color="auto"/>
              <w:right w:val="nil"/>
            </w:tcBorders>
            <w:shd w:val="clear" w:color="000000" w:fill="FFFFFF"/>
            <w:noWrap/>
            <w:vAlign w:val="center"/>
            <w:hideMark/>
          </w:tcPr>
          <w:p w14:paraId="5165F985"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Տարադրամի տեսակը</w:t>
            </w:r>
          </w:p>
        </w:tc>
        <w:tc>
          <w:tcPr>
            <w:tcW w:w="4180" w:type="dxa"/>
            <w:tcBorders>
              <w:top w:val="nil"/>
              <w:left w:val="nil"/>
              <w:bottom w:val="single" w:sz="4" w:space="0" w:color="auto"/>
              <w:right w:val="nil"/>
            </w:tcBorders>
            <w:shd w:val="clear" w:color="000000" w:fill="FFFFFF"/>
            <w:noWrap/>
            <w:vAlign w:val="center"/>
            <w:hideMark/>
          </w:tcPr>
          <w:p w14:paraId="5022342A"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Փոխարժեքը ՀՀ դրամով</w:t>
            </w:r>
          </w:p>
        </w:tc>
      </w:tr>
      <w:tr w:rsidR="00630125" w:rsidRPr="00A9221C" w14:paraId="307E6013" w14:textId="77777777" w:rsidTr="003F088D">
        <w:trPr>
          <w:trHeight w:val="300"/>
        </w:trPr>
        <w:tc>
          <w:tcPr>
            <w:tcW w:w="3920" w:type="dxa"/>
            <w:tcBorders>
              <w:top w:val="nil"/>
              <w:left w:val="nil"/>
              <w:bottom w:val="nil"/>
              <w:right w:val="nil"/>
            </w:tcBorders>
            <w:shd w:val="clear" w:color="000000" w:fill="FFFFFF"/>
            <w:noWrap/>
            <w:vAlign w:val="center"/>
            <w:hideMark/>
          </w:tcPr>
          <w:p w14:paraId="3FB37667"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 xml:space="preserve">1 ԱՄՆ դոլար </w:t>
            </w:r>
          </w:p>
        </w:tc>
        <w:tc>
          <w:tcPr>
            <w:tcW w:w="4180" w:type="dxa"/>
            <w:tcBorders>
              <w:top w:val="nil"/>
              <w:left w:val="nil"/>
              <w:bottom w:val="nil"/>
              <w:right w:val="nil"/>
            </w:tcBorders>
            <w:shd w:val="clear" w:color="000000" w:fill="FFFFFF"/>
            <w:noWrap/>
            <w:vAlign w:val="center"/>
            <w:hideMark/>
          </w:tcPr>
          <w:p w14:paraId="62D2150C"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402.39</w:t>
            </w:r>
          </w:p>
        </w:tc>
      </w:tr>
      <w:tr w:rsidR="00630125" w:rsidRPr="00A9221C" w14:paraId="4A457AFD" w14:textId="77777777" w:rsidTr="003F088D">
        <w:trPr>
          <w:trHeight w:val="300"/>
        </w:trPr>
        <w:tc>
          <w:tcPr>
            <w:tcW w:w="3920" w:type="dxa"/>
            <w:tcBorders>
              <w:top w:val="nil"/>
              <w:left w:val="nil"/>
              <w:bottom w:val="nil"/>
              <w:right w:val="nil"/>
            </w:tcBorders>
            <w:shd w:val="clear" w:color="000000" w:fill="FFFFFF"/>
            <w:noWrap/>
            <w:vAlign w:val="center"/>
            <w:hideMark/>
          </w:tcPr>
          <w:p w14:paraId="7B389642"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1 եվրո</w:t>
            </w:r>
          </w:p>
        </w:tc>
        <w:tc>
          <w:tcPr>
            <w:tcW w:w="4180" w:type="dxa"/>
            <w:tcBorders>
              <w:top w:val="nil"/>
              <w:left w:val="nil"/>
              <w:bottom w:val="nil"/>
              <w:right w:val="nil"/>
            </w:tcBorders>
            <w:shd w:val="clear" w:color="000000" w:fill="FFFFFF"/>
            <w:noWrap/>
            <w:vAlign w:val="center"/>
            <w:hideMark/>
          </w:tcPr>
          <w:p w14:paraId="44E96E9E"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424.48</w:t>
            </w:r>
          </w:p>
        </w:tc>
      </w:tr>
      <w:tr w:rsidR="00630125" w:rsidRPr="00A9221C" w14:paraId="45B5EFB5" w14:textId="77777777" w:rsidTr="003F088D">
        <w:trPr>
          <w:trHeight w:val="300"/>
        </w:trPr>
        <w:tc>
          <w:tcPr>
            <w:tcW w:w="3920" w:type="dxa"/>
            <w:tcBorders>
              <w:top w:val="nil"/>
              <w:left w:val="nil"/>
              <w:bottom w:val="nil"/>
              <w:right w:val="nil"/>
            </w:tcBorders>
            <w:shd w:val="clear" w:color="000000" w:fill="FFFFFF"/>
            <w:vAlign w:val="center"/>
            <w:hideMark/>
          </w:tcPr>
          <w:p w14:paraId="668C22B6"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 xml:space="preserve">1 Մեծ Բրիտանիայի ֆունտ ստեռլինգ </w:t>
            </w:r>
          </w:p>
        </w:tc>
        <w:tc>
          <w:tcPr>
            <w:tcW w:w="4180" w:type="dxa"/>
            <w:tcBorders>
              <w:top w:val="nil"/>
              <w:left w:val="nil"/>
              <w:bottom w:val="nil"/>
              <w:right w:val="nil"/>
            </w:tcBorders>
            <w:shd w:val="clear" w:color="000000" w:fill="FFFFFF"/>
            <w:noWrap/>
            <w:vAlign w:val="center"/>
            <w:hideMark/>
          </w:tcPr>
          <w:p w14:paraId="291C820D"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488.46</w:t>
            </w:r>
          </w:p>
        </w:tc>
      </w:tr>
      <w:tr w:rsidR="00630125" w:rsidRPr="00A9221C" w14:paraId="22A04E92" w14:textId="77777777" w:rsidTr="003F088D">
        <w:trPr>
          <w:trHeight w:val="300"/>
        </w:trPr>
        <w:tc>
          <w:tcPr>
            <w:tcW w:w="3920" w:type="dxa"/>
            <w:tcBorders>
              <w:top w:val="nil"/>
              <w:left w:val="nil"/>
              <w:bottom w:val="nil"/>
              <w:right w:val="nil"/>
            </w:tcBorders>
            <w:shd w:val="clear" w:color="000000" w:fill="FFFFFF"/>
            <w:vAlign w:val="center"/>
            <w:hideMark/>
          </w:tcPr>
          <w:p w14:paraId="6FB9DB6D"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 xml:space="preserve">1 Ռուսաստանյան ռուբլի </w:t>
            </w:r>
          </w:p>
        </w:tc>
        <w:tc>
          <w:tcPr>
            <w:tcW w:w="4180" w:type="dxa"/>
            <w:tcBorders>
              <w:top w:val="nil"/>
              <w:left w:val="nil"/>
              <w:bottom w:val="nil"/>
              <w:right w:val="nil"/>
            </w:tcBorders>
            <w:shd w:val="clear" w:color="000000" w:fill="FFFFFF"/>
            <w:noWrap/>
            <w:vAlign w:val="center"/>
            <w:hideMark/>
          </w:tcPr>
          <w:p w14:paraId="4823DB49"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4.33</w:t>
            </w:r>
          </w:p>
        </w:tc>
      </w:tr>
      <w:tr w:rsidR="00630125" w:rsidRPr="00A9221C" w14:paraId="6505BD46" w14:textId="77777777" w:rsidTr="003F088D">
        <w:trPr>
          <w:trHeight w:val="300"/>
        </w:trPr>
        <w:tc>
          <w:tcPr>
            <w:tcW w:w="3920" w:type="dxa"/>
            <w:tcBorders>
              <w:top w:val="nil"/>
              <w:left w:val="nil"/>
              <w:bottom w:val="nil"/>
              <w:right w:val="nil"/>
            </w:tcBorders>
            <w:shd w:val="clear" w:color="000000" w:fill="FFFFFF"/>
            <w:vAlign w:val="center"/>
            <w:hideMark/>
          </w:tcPr>
          <w:p w14:paraId="7AF302B7"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 xml:space="preserve">1 Շվեյցարական ֆրանկ </w:t>
            </w:r>
          </w:p>
        </w:tc>
        <w:tc>
          <w:tcPr>
            <w:tcW w:w="4180" w:type="dxa"/>
            <w:tcBorders>
              <w:top w:val="nil"/>
              <w:left w:val="nil"/>
              <w:bottom w:val="nil"/>
              <w:right w:val="nil"/>
            </w:tcBorders>
            <w:shd w:val="clear" w:color="000000" w:fill="FFFFFF"/>
            <w:noWrap/>
            <w:vAlign w:val="center"/>
            <w:hideMark/>
          </w:tcPr>
          <w:p w14:paraId="57BC11DA"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442.67</w:t>
            </w:r>
          </w:p>
        </w:tc>
      </w:tr>
      <w:tr w:rsidR="00630125" w:rsidRPr="00A9221C" w14:paraId="5A82BC31" w14:textId="77777777" w:rsidTr="003F088D">
        <w:trPr>
          <w:trHeight w:val="300"/>
        </w:trPr>
        <w:tc>
          <w:tcPr>
            <w:tcW w:w="3920" w:type="dxa"/>
            <w:tcBorders>
              <w:top w:val="nil"/>
              <w:left w:val="nil"/>
              <w:bottom w:val="nil"/>
              <w:right w:val="nil"/>
            </w:tcBorders>
            <w:shd w:val="clear" w:color="000000" w:fill="FFFFFF"/>
            <w:vAlign w:val="center"/>
            <w:hideMark/>
          </w:tcPr>
          <w:p w14:paraId="283B018B"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 xml:space="preserve">1 Կանադական դոլար </w:t>
            </w:r>
          </w:p>
        </w:tc>
        <w:tc>
          <w:tcPr>
            <w:tcW w:w="4180" w:type="dxa"/>
            <w:tcBorders>
              <w:top w:val="nil"/>
              <w:left w:val="nil"/>
              <w:bottom w:val="nil"/>
              <w:right w:val="nil"/>
            </w:tcBorders>
            <w:shd w:val="clear" w:color="000000" w:fill="FFFFFF"/>
            <w:noWrap/>
            <w:vAlign w:val="center"/>
            <w:hideMark/>
          </w:tcPr>
          <w:p w14:paraId="7AB70689"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289.91</w:t>
            </w:r>
          </w:p>
        </w:tc>
      </w:tr>
      <w:tr w:rsidR="00630125" w:rsidRPr="00A9221C" w14:paraId="4F6B2613" w14:textId="77777777" w:rsidTr="003F088D">
        <w:trPr>
          <w:trHeight w:val="300"/>
        </w:trPr>
        <w:tc>
          <w:tcPr>
            <w:tcW w:w="3920" w:type="dxa"/>
            <w:tcBorders>
              <w:top w:val="nil"/>
              <w:left w:val="nil"/>
              <w:bottom w:val="nil"/>
              <w:right w:val="nil"/>
            </w:tcBorders>
            <w:shd w:val="clear" w:color="000000" w:fill="FFFFFF"/>
            <w:vAlign w:val="center"/>
            <w:hideMark/>
          </w:tcPr>
          <w:p w14:paraId="647A788B"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 xml:space="preserve">10 ճապոնական իեն </w:t>
            </w:r>
          </w:p>
        </w:tc>
        <w:tc>
          <w:tcPr>
            <w:tcW w:w="4180" w:type="dxa"/>
            <w:tcBorders>
              <w:top w:val="nil"/>
              <w:left w:val="nil"/>
              <w:bottom w:val="nil"/>
              <w:right w:val="nil"/>
            </w:tcBorders>
            <w:shd w:val="clear" w:color="000000" w:fill="FFFFFF"/>
            <w:noWrap/>
            <w:vAlign w:val="center"/>
            <w:hideMark/>
          </w:tcPr>
          <w:p w14:paraId="496F570B"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26.61</w:t>
            </w:r>
          </w:p>
        </w:tc>
      </w:tr>
      <w:tr w:rsidR="00630125" w:rsidRPr="00A9221C" w14:paraId="2554F032" w14:textId="77777777" w:rsidTr="003F088D">
        <w:trPr>
          <w:trHeight w:val="300"/>
        </w:trPr>
        <w:tc>
          <w:tcPr>
            <w:tcW w:w="3920" w:type="dxa"/>
            <w:tcBorders>
              <w:top w:val="nil"/>
              <w:left w:val="nil"/>
              <w:bottom w:val="nil"/>
              <w:right w:val="nil"/>
            </w:tcBorders>
            <w:shd w:val="clear" w:color="000000" w:fill="FFFFFF"/>
            <w:vAlign w:val="center"/>
            <w:hideMark/>
          </w:tcPr>
          <w:p w14:paraId="5CA08204" w14:textId="77777777" w:rsidR="00630125" w:rsidRPr="00772BA0" w:rsidRDefault="00630125" w:rsidP="003F088D">
            <w:pPr>
              <w:spacing w:before="0" w:line="240" w:lineRule="auto"/>
              <w:jc w:val="left"/>
              <w:rPr>
                <w:rFonts w:cs="Calibri"/>
                <w:b w:val="0"/>
                <w:sz w:val="20"/>
                <w:szCs w:val="20"/>
                <w:lang w:val="en-US" w:eastAsia="en-US"/>
              </w:rPr>
            </w:pPr>
            <w:r w:rsidRPr="00772BA0">
              <w:rPr>
                <w:rFonts w:cs="Calibri"/>
                <w:b w:val="0"/>
                <w:sz w:val="20"/>
                <w:szCs w:val="20"/>
                <w:lang w:val="en-US" w:eastAsia="en-US"/>
              </w:rPr>
              <w:t xml:space="preserve">1 Չինական յուան </w:t>
            </w:r>
          </w:p>
        </w:tc>
        <w:tc>
          <w:tcPr>
            <w:tcW w:w="4180" w:type="dxa"/>
            <w:tcBorders>
              <w:top w:val="nil"/>
              <w:left w:val="nil"/>
              <w:bottom w:val="nil"/>
              <w:right w:val="nil"/>
            </w:tcBorders>
            <w:shd w:val="clear" w:color="000000" w:fill="FFFFFF"/>
            <w:noWrap/>
            <w:vAlign w:val="center"/>
            <w:hideMark/>
          </w:tcPr>
          <w:p w14:paraId="14A8A880" w14:textId="77777777" w:rsidR="00630125" w:rsidRPr="00772BA0" w:rsidRDefault="00630125" w:rsidP="003F088D">
            <w:pPr>
              <w:spacing w:before="0" w:line="240" w:lineRule="auto"/>
              <w:jc w:val="center"/>
              <w:rPr>
                <w:rFonts w:cs="Calibri"/>
                <w:b w:val="0"/>
                <w:sz w:val="20"/>
                <w:szCs w:val="20"/>
                <w:lang w:val="en-US" w:eastAsia="en-US"/>
              </w:rPr>
            </w:pPr>
            <w:r w:rsidRPr="00772BA0">
              <w:rPr>
                <w:rFonts w:cs="Calibri"/>
                <w:b w:val="0"/>
                <w:sz w:val="20"/>
                <w:szCs w:val="20"/>
                <w:lang w:val="en-US" w:eastAsia="en-US"/>
              </w:rPr>
              <w:t>54.98</w:t>
            </w:r>
          </w:p>
        </w:tc>
      </w:tr>
    </w:tbl>
    <w:p w14:paraId="519343AF" w14:textId="77777777" w:rsidR="00710FCA" w:rsidRPr="00A9221C" w:rsidRDefault="00710FCA" w:rsidP="00710FCA">
      <w:pPr>
        <w:pStyle w:val="Heading3"/>
      </w:pPr>
    </w:p>
    <w:p w14:paraId="1998846B" w14:textId="77777777" w:rsidR="00C72188" w:rsidRPr="00290696" w:rsidRDefault="00C72188" w:rsidP="00290696">
      <w:pPr>
        <w:keepNext/>
        <w:keepLines/>
        <w:rPr>
          <w:rFonts w:eastAsiaTheme="majorEastAsia" w:cstheme="majorBidi"/>
          <w:bCs/>
          <w:color w:val="1F497D" w:themeColor="text2"/>
          <w:sz w:val="24"/>
          <w:lang w:val="hy-AM" w:eastAsia="en-US"/>
        </w:rPr>
      </w:pPr>
      <w:r w:rsidRPr="00290696">
        <w:rPr>
          <w:rFonts w:eastAsiaTheme="majorEastAsia" w:cstheme="majorBidi"/>
          <w:bCs/>
          <w:color w:val="1F497D" w:themeColor="text2"/>
          <w:sz w:val="24"/>
          <w:lang w:val="hy-AM" w:eastAsia="en-US"/>
        </w:rPr>
        <w:t>Պետական բյուջեի դեֆիցիտի ֆինանսավորման աղբյուրները</w:t>
      </w:r>
      <w:bookmarkEnd w:id="200"/>
    </w:p>
    <w:p w14:paraId="47DC0FA9" w14:textId="77777777" w:rsidR="00630125" w:rsidRPr="00710FCA" w:rsidRDefault="00630125" w:rsidP="00630125">
      <w:pPr>
        <w:rPr>
          <w:rFonts w:cs="Sylfaen"/>
          <w:b w:val="0"/>
          <w:szCs w:val="22"/>
          <w:lang w:val="hy-AM" w:eastAsia="en-US"/>
        </w:rPr>
      </w:pPr>
      <w:bookmarkStart w:id="204" w:name="_Toc83728697"/>
      <w:bookmarkStart w:id="205" w:name="_Toc89254351"/>
      <w:bookmarkEnd w:id="201"/>
      <w:bookmarkEnd w:id="202"/>
      <w:r w:rsidRPr="00710FCA">
        <w:rPr>
          <w:rFonts w:cs="Sylfaen"/>
          <w:b w:val="0"/>
          <w:szCs w:val="22"/>
          <w:lang w:val="hy-AM" w:eastAsia="en-US"/>
        </w:rPr>
        <w:t>Պետական  բյուջեի ձևավորումը 202</w:t>
      </w:r>
      <w:r w:rsidRPr="00710FCA">
        <w:rPr>
          <w:rFonts w:cs="Sylfaen"/>
          <w:b w:val="0"/>
          <w:szCs w:val="22"/>
          <w:lang w:val="af-ZA" w:eastAsia="en-US"/>
        </w:rPr>
        <w:t>4</w:t>
      </w:r>
      <w:r w:rsidRPr="00710FCA">
        <w:rPr>
          <w:rFonts w:cs="Sylfaen"/>
          <w:b w:val="0"/>
          <w:szCs w:val="22"/>
          <w:lang w:val="hy-AM" w:eastAsia="en-US"/>
        </w:rPr>
        <w:t xml:space="preserve"> թվականին շարունակելու  է ընթանալ բյուջե</w:t>
      </w:r>
      <w:r w:rsidRPr="00710FCA">
        <w:rPr>
          <w:rFonts w:cs="Sylfaen"/>
          <w:b w:val="0"/>
          <w:szCs w:val="22"/>
          <w:lang w:val="hy-AM" w:eastAsia="en-US"/>
        </w:rPr>
        <w:softHyphen/>
        <w:t>տա</w:t>
      </w:r>
      <w:r w:rsidRPr="00710FCA">
        <w:rPr>
          <w:rFonts w:cs="Sylfaen"/>
          <w:b w:val="0"/>
          <w:szCs w:val="22"/>
          <w:lang w:val="hy-AM" w:eastAsia="en-US"/>
        </w:rPr>
        <w:softHyphen/>
        <w:t>յին եկա</w:t>
      </w:r>
      <w:r w:rsidRPr="00710FCA">
        <w:rPr>
          <w:rFonts w:cs="Sylfaen"/>
          <w:b w:val="0"/>
          <w:szCs w:val="22"/>
          <w:lang w:val="hy-AM" w:eastAsia="en-US"/>
        </w:rPr>
        <w:softHyphen/>
        <w:t>մուտների նկատ</w:t>
      </w:r>
      <w:r w:rsidRPr="00710FCA">
        <w:rPr>
          <w:rFonts w:cs="Sylfaen"/>
          <w:b w:val="0"/>
          <w:szCs w:val="22"/>
          <w:lang w:val="hy-AM" w:eastAsia="en-US"/>
        </w:rPr>
        <w:softHyphen/>
        <w:t>մամբ ծախսերի գերազանցմամբ, ընդ որում՝ բյուջետային դեֆիցի</w:t>
      </w:r>
      <w:r w:rsidRPr="00710FCA">
        <w:rPr>
          <w:rFonts w:cs="Sylfaen"/>
          <w:b w:val="0"/>
          <w:szCs w:val="22"/>
          <w:lang w:val="hy-AM" w:eastAsia="en-US"/>
        </w:rPr>
        <w:softHyphen/>
        <w:t>տի ֆինան</w:t>
      </w:r>
      <w:r w:rsidRPr="00710FCA">
        <w:rPr>
          <w:rFonts w:cs="Sylfaen"/>
          <w:b w:val="0"/>
          <w:szCs w:val="22"/>
          <w:lang w:val="hy-AM" w:eastAsia="en-US"/>
        </w:rPr>
        <w:softHyphen/>
      </w:r>
      <w:r w:rsidRPr="00710FCA">
        <w:rPr>
          <w:rFonts w:cs="Sylfaen"/>
          <w:b w:val="0"/>
          <w:szCs w:val="22"/>
          <w:lang w:val="hy-AM" w:eastAsia="en-US"/>
        </w:rPr>
        <w:softHyphen/>
        <w:t>սա</w:t>
      </w:r>
      <w:r w:rsidRPr="00710FCA">
        <w:rPr>
          <w:rFonts w:cs="Sylfaen"/>
          <w:b w:val="0"/>
          <w:szCs w:val="22"/>
          <w:lang w:val="hy-AM" w:eastAsia="en-US"/>
        </w:rPr>
        <w:softHyphen/>
        <w:t>վորման համար միջոց</w:t>
      </w:r>
      <w:r w:rsidRPr="00710FCA">
        <w:rPr>
          <w:rFonts w:cs="Sylfaen"/>
          <w:b w:val="0"/>
          <w:szCs w:val="22"/>
          <w:lang w:val="hy-AM" w:eastAsia="en-US"/>
        </w:rPr>
        <w:softHyphen/>
        <w:t>ների ներգրավումն իրականացվելու է ինչպես ներքին, այն</w:t>
      </w:r>
      <w:r w:rsidRPr="00710FCA">
        <w:rPr>
          <w:rFonts w:cs="Sylfaen"/>
          <w:b w:val="0"/>
          <w:szCs w:val="22"/>
          <w:lang w:val="hy-AM" w:eastAsia="en-US"/>
        </w:rPr>
        <w:softHyphen/>
        <w:t>պես էլ  արտա</w:t>
      </w:r>
      <w:r w:rsidRPr="00710FCA">
        <w:rPr>
          <w:rFonts w:cs="Sylfaen"/>
          <w:b w:val="0"/>
          <w:szCs w:val="22"/>
          <w:lang w:val="hy-AM" w:eastAsia="en-US"/>
        </w:rPr>
        <w:softHyphen/>
        <w:t>քին աղբյուր</w:t>
      </w:r>
      <w:r w:rsidRPr="00710FCA">
        <w:rPr>
          <w:rFonts w:cs="Sylfaen"/>
          <w:b w:val="0"/>
          <w:szCs w:val="22"/>
          <w:lang w:val="hy-AM" w:eastAsia="en-US"/>
        </w:rPr>
        <w:softHyphen/>
        <w:t xml:space="preserve">ներից, համապատասխանաբար` </w:t>
      </w:r>
      <w:r>
        <w:rPr>
          <w:rFonts w:cs="Sylfaen"/>
          <w:b w:val="0"/>
          <w:szCs w:val="22"/>
          <w:lang w:val="af-ZA" w:eastAsia="en-US"/>
        </w:rPr>
        <w:t>351.2</w:t>
      </w:r>
      <w:r>
        <w:rPr>
          <w:rFonts w:cs="Sylfaen"/>
          <w:b w:val="0"/>
          <w:szCs w:val="22"/>
          <w:lang w:val="hy-AM" w:eastAsia="en-US"/>
        </w:rPr>
        <w:t xml:space="preserve"> մլրդ դրամի և 131.</w:t>
      </w:r>
      <w:r w:rsidRPr="00901B99">
        <w:rPr>
          <w:rFonts w:cs="Sylfaen"/>
          <w:b w:val="0"/>
          <w:szCs w:val="22"/>
          <w:lang w:val="hy-AM" w:eastAsia="en-US"/>
        </w:rPr>
        <w:t>7</w:t>
      </w:r>
      <w:r w:rsidRPr="00710FCA">
        <w:rPr>
          <w:rFonts w:cs="Sylfaen"/>
          <w:b w:val="0"/>
          <w:szCs w:val="22"/>
          <w:lang w:val="hy-AM" w:eastAsia="en-US"/>
        </w:rPr>
        <w:t xml:space="preserve"> մլրդ</w:t>
      </w:r>
      <w:r>
        <w:rPr>
          <w:rFonts w:ascii="Cambria Math" w:hAnsi="Cambria Math" w:cs="Cambria Math"/>
          <w:b w:val="0"/>
          <w:szCs w:val="22"/>
          <w:lang w:val="hy-AM" w:eastAsia="en-US"/>
        </w:rPr>
        <w:t xml:space="preserve"> </w:t>
      </w:r>
      <w:r w:rsidRPr="00710FCA">
        <w:rPr>
          <w:rFonts w:cs="Sylfaen"/>
          <w:b w:val="0"/>
          <w:szCs w:val="22"/>
          <w:lang w:val="hy-AM" w:eastAsia="en-US"/>
        </w:rPr>
        <w:t xml:space="preserve">դրամի չափով: </w:t>
      </w:r>
    </w:p>
    <w:p w14:paraId="6051979D" w14:textId="6266D4B6" w:rsidR="00630125" w:rsidRPr="00710FCA" w:rsidRDefault="00630125" w:rsidP="00630125">
      <w:pPr>
        <w:rPr>
          <w:rFonts w:cs="Sylfaen"/>
          <w:b w:val="0"/>
          <w:color w:val="FF0000"/>
          <w:szCs w:val="22"/>
          <w:lang w:val="hy-AM" w:eastAsia="en-US"/>
        </w:rPr>
      </w:pPr>
      <w:r w:rsidRPr="00710FCA">
        <w:rPr>
          <w:rFonts w:cs="Sylfaen"/>
          <w:b w:val="0"/>
          <w:szCs w:val="22"/>
          <w:lang w:val="hy-AM" w:eastAsia="en-US"/>
        </w:rPr>
        <w:t>ՀՀ 2024 թվականի պետական բյուջեով դեֆիցիտի ֆինանսավորման նպա</w:t>
      </w:r>
      <w:r w:rsidRPr="00710FCA">
        <w:rPr>
          <w:rFonts w:cs="Sylfaen"/>
          <w:b w:val="0"/>
          <w:szCs w:val="22"/>
          <w:lang w:val="hy-AM" w:eastAsia="en-US"/>
        </w:rPr>
        <w:softHyphen/>
        <w:t>տա</w:t>
      </w:r>
      <w:r w:rsidRPr="00710FCA">
        <w:rPr>
          <w:rFonts w:cs="Sylfaen"/>
          <w:b w:val="0"/>
          <w:szCs w:val="22"/>
          <w:lang w:val="hy-AM" w:eastAsia="en-US"/>
        </w:rPr>
        <w:softHyphen/>
        <w:t>կով ներքին աղբյուրներից ներգրավվող փոխառու զուտ միջոցների ընդհանուր գու</w:t>
      </w:r>
      <w:r w:rsidRPr="00710FCA">
        <w:rPr>
          <w:rFonts w:cs="Sylfaen"/>
          <w:b w:val="0"/>
          <w:szCs w:val="22"/>
          <w:lang w:val="hy-AM" w:eastAsia="en-US"/>
        </w:rPr>
        <w:softHyphen/>
        <w:t>մարը ծրագ</w:t>
      </w:r>
      <w:r w:rsidRPr="00710FCA">
        <w:rPr>
          <w:rFonts w:cs="Sylfaen"/>
          <w:b w:val="0"/>
          <w:szCs w:val="22"/>
          <w:lang w:val="hy-AM" w:eastAsia="en-US"/>
        </w:rPr>
        <w:softHyphen/>
        <w:t>րա</w:t>
      </w:r>
      <w:r w:rsidRPr="00710FCA">
        <w:rPr>
          <w:rFonts w:cs="Sylfaen"/>
          <w:b w:val="0"/>
          <w:szCs w:val="22"/>
          <w:lang w:val="hy-AM" w:eastAsia="en-US"/>
        </w:rPr>
        <w:softHyphen/>
        <w:t>վորվում է շուրջ 350.8 մլրդ դրամի չափով, ընդ որում, փոխառու միջոցների մուտ</w:t>
      </w:r>
      <w:r w:rsidRPr="00710FCA">
        <w:rPr>
          <w:rFonts w:cs="Sylfaen"/>
          <w:b w:val="0"/>
          <w:szCs w:val="22"/>
          <w:lang w:val="hy-AM" w:eastAsia="en-US"/>
        </w:rPr>
        <w:softHyphen/>
        <w:t>քերի ներ</w:t>
      </w:r>
      <w:r w:rsidRPr="00710FCA">
        <w:rPr>
          <w:rFonts w:cs="Sylfaen"/>
          <w:b w:val="0"/>
          <w:szCs w:val="22"/>
          <w:lang w:val="hy-AM" w:eastAsia="en-US"/>
        </w:rPr>
        <w:softHyphen/>
        <w:t>գրա</w:t>
      </w:r>
      <w:r w:rsidRPr="00710FCA">
        <w:rPr>
          <w:rFonts w:cs="Sylfaen"/>
          <w:b w:val="0"/>
          <w:szCs w:val="22"/>
          <w:lang w:val="hy-AM" w:eastAsia="en-US"/>
        </w:rPr>
        <w:softHyphen/>
        <w:t>վու</w:t>
      </w:r>
      <w:r w:rsidRPr="00710FCA">
        <w:rPr>
          <w:rFonts w:cs="Sylfaen"/>
          <w:b w:val="0"/>
          <w:szCs w:val="22"/>
          <w:lang w:val="hy-AM" w:eastAsia="en-US"/>
        </w:rPr>
        <w:softHyphen/>
        <w:t>մը ամբողջությամբ նախատեսվում է ապահովել պետական արժեթղթերի թողար</w:t>
      </w:r>
      <w:r w:rsidRPr="00710FCA">
        <w:rPr>
          <w:rFonts w:cs="Sylfaen"/>
          <w:b w:val="0"/>
          <w:szCs w:val="22"/>
          <w:lang w:val="hy-AM" w:eastAsia="en-US"/>
        </w:rPr>
        <w:softHyphen/>
        <w:t>կումից: Ֆի</w:t>
      </w:r>
      <w:r w:rsidRPr="00710FCA">
        <w:rPr>
          <w:rFonts w:cs="Sylfaen"/>
          <w:b w:val="0"/>
          <w:szCs w:val="22"/>
          <w:lang w:val="hy-AM" w:eastAsia="en-US"/>
        </w:rPr>
        <w:softHyphen/>
        <w:t>նան</w:t>
      </w:r>
      <w:r w:rsidRPr="00710FCA">
        <w:rPr>
          <w:rFonts w:cs="Sylfaen"/>
          <w:b w:val="0"/>
          <w:szCs w:val="22"/>
          <w:lang w:val="hy-AM" w:eastAsia="en-US"/>
        </w:rPr>
        <w:softHyphen/>
        <w:t>սա</w:t>
      </w:r>
      <w:r w:rsidRPr="00710FCA">
        <w:rPr>
          <w:rFonts w:cs="Sylfaen"/>
          <w:b w:val="0"/>
          <w:szCs w:val="22"/>
          <w:lang w:val="hy-AM" w:eastAsia="en-US"/>
        </w:rPr>
        <w:softHyphen/>
        <w:t>կան ակտիվներից 2024 թվականի զուտ մուտք</w:t>
      </w:r>
      <w:r>
        <w:rPr>
          <w:rFonts w:cs="Sylfaen"/>
          <w:b w:val="0"/>
          <w:szCs w:val="22"/>
          <w:lang w:val="hy-AM" w:eastAsia="en-US"/>
        </w:rPr>
        <w:t>երը ծրագրավորվում են շուրջ 0.</w:t>
      </w:r>
      <w:r w:rsidRPr="005B245B">
        <w:rPr>
          <w:rFonts w:cs="Sylfaen"/>
          <w:b w:val="0"/>
          <w:szCs w:val="22"/>
          <w:lang w:val="hy-AM" w:eastAsia="en-US"/>
        </w:rPr>
        <w:t>4</w:t>
      </w:r>
      <w:r w:rsidRPr="00710FCA">
        <w:rPr>
          <w:rFonts w:cs="Sylfaen"/>
          <w:b w:val="0"/>
          <w:szCs w:val="22"/>
          <w:lang w:val="hy-AM" w:eastAsia="en-US"/>
        </w:rPr>
        <w:t xml:space="preserve"> մլրդ դրամ:</w:t>
      </w:r>
    </w:p>
    <w:p w14:paraId="35325E58" w14:textId="225292E5" w:rsidR="00630125" w:rsidRDefault="00630125" w:rsidP="00630125">
      <w:pPr>
        <w:rPr>
          <w:rFonts w:cs="Sylfaen"/>
          <w:b w:val="0"/>
          <w:szCs w:val="22"/>
          <w:lang w:val="hy-AM" w:eastAsia="en-US"/>
        </w:rPr>
      </w:pPr>
      <w:r w:rsidRPr="00710FCA">
        <w:rPr>
          <w:rFonts w:cs="Sylfaen"/>
          <w:b w:val="0"/>
          <w:szCs w:val="22"/>
          <w:lang w:val="hy-AM" w:eastAsia="en-US"/>
        </w:rPr>
        <w:t>ՀՀ 2024 թվականի պետական բյուջեով դեֆիցիտի ֆինանսավորման նպա</w:t>
      </w:r>
      <w:r w:rsidRPr="00710FCA">
        <w:rPr>
          <w:rFonts w:cs="Sylfaen"/>
          <w:b w:val="0"/>
          <w:szCs w:val="22"/>
          <w:lang w:val="hy-AM" w:eastAsia="en-US"/>
        </w:rPr>
        <w:softHyphen/>
        <w:t>տա</w:t>
      </w:r>
      <w:r w:rsidRPr="00710FCA">
        <w:rPr>
          <w:rFonts w:cs="Sylfaen"/>
          <w:b w:val="0"/>
          <w:szCs w:val="22"/>
          <w:lang w:val="hy-AM" w:eastAsia="en-US"/>
        </w:rPr>
        <w:softHyphen/>
        <w:t>կով արտաքին աղբյուրներից ներգրավվող փոխառու զուտ միջոցների ծրա</w:t>
      </w:r>
      <w:r w:rsidRPr="00710FCA">
        <w:rPr>
          <w:rFonts w:cs="Sylfaen"/>
          <w:b w:val="0"/>
          <w:szCs w:val="22"/>
          <w:lang w:val="hy-AM" w:eastAsia="en-US"/>
        </w:rPr>
        <w:softHyphen/>
        <w:t>գ</w:t>
      </w:r>
      <w:r>
        <w:rPr>
          <w:rFonts w:cs="Sylfaen"/>
          <w:b w:val="0"/>
          <w:szCs w:val="22"/>
          <w:lang w:val="hy-AM" w:eastAsia="en-US"/>
        </w:rPr>
        <w:t>ր</w:t>
      </w:r>
      <w:r>
        <w:rPr>
          <w:rFonts w:cs="Sylfaen"/>
          <w:b w:val="0"/>
          <w:szCs w:val="22"/>
          <w:lang w:val="hy-AM" w:eastAsia="en-US"/>
        </w:rPr>
        <w:softHyphen/>
        <w:t>ված ընդ</w:t>
      </w:r>
      <w:r>
        <w:rPr>
          <w:rFonts w:cs="Sylfaen"/>
          <w:b w:val="0"/>
          <w:szCs w:val="22"/>
          <w:lang w:val="hy-AM" w:eastAsia="en-US"/>
        </w:rPr>
        <w:softHyphen/>
        <w:t>հա</w:t>
      </w:r>
      <w:r>
        <w:rPr>
          <w:rFonts w:cs="Sylfaen"/>
          <w:b w:val="0"/>
          <w:szCs w:val="22"/>
          <w:lang w:val="hy-AM" w:eastAsia="en-US"/>
        </w:rPr>
        <w:softHyphen/>
        <w:t>նուր գու</w:t>
      </w:r>
      <w:r>
        <w:rPr>
          <w:rFonts w:cs="Sylfaen"/>
          <w:b w:val="0"/>
          <w:szCs w:val="22"/>
          <w:lang w:val="hy-AM" w:eastAsia="en-US"/>
        </w:rPr>
        <w:softHyphen/>
        <w:t>մա</w:t>
      </w:r>
      <w:r>
        <w:rPr>
          <w:rFonts w:cs="Sylfaen"/>
          <w:b w:val="0"/>
          <w:szCs w:val="22"/>
          <w:lang w:val="hy-AM" w:eastAsia="en-US"/>
        </w:rPr>
        <w:softHyphen/>
        <w:t>րը՝ 139.</w:t>
      </w:r>
      <w:r w:rsidRPr="005B245B">
        <w:rPr>
          <w:rFonts w:cs="Sylfaen"/>
          <w:b w:val="0"/>
          <w:szCs w:val="22"/>
          <w:lang w:val="hy-AM" w:eastAsia="en-US"/>
        </w:rPr>
        <w:t>9</w:t>
      </w:r>
      <w:r w:rsidRPr="00710FCA">
        <w:rPr>
          <w:rFonts w:cs="Sylfaen"/>
          <w:b w:val="0"/>
          <w:szCs w:val="22"/>
          <w:lang w:val="hy-AM" w:eastAsia="en-US"/>
        </w:rPr>
        <w:t xml:space="preserve"> մլրդ դրամ է, որը հաշվարկվել է որպես միջազ</w:t>
      </w:r>
      <w:r w:rsidRPr="00710FCA">
        <w:rPr>
          <w:rFonts w:cs="Sylfaen"/>
          <w:b w:val="0"/>
          <w:szCs w:val="22"/>
          <w:lang w:val="hy-AM" w:eastAsia="en-US"/>
        </w:rPr>
        <w:softHyphen/>
        <w:t>գային կազմակեր</w:t>
      </w:r>
      <w:r w:rsidRPr="00710FCA">
        <w:rPr>
          <w:rFonts w:cs="Sylfaen"/>
          <w:b w:val="0"/>
          <w:szCs w:val="22"/>
          <w:lang w:val="hy-AM" w:eastAsia="en-US"/>
        </w:rPr>
        <w:softHyphen/>
        <w:t>պություններից և օտար</w:t>
      </w:r>
      <w:r w:rsidRPr="00710FCA">
        <w:rPr>
          <w:rFonts w:cs="Sylfaen"/>
          <w:b w:val="0"/>
          <w:szCs w:val="22"/>
          <w:lang w:val="hy-AM" w:eastAsia="en-US"/>
        </w:rPr>
        <w:softHyphen/>
        <w:t>եր</w:t>
      </w:r>
      <w:r w:rsidRPr="00710FCA">
        <w:rPr>
          <w:rFonts w:cs="Sylfaen"/>
          <w:b w:val="0"/>
          <w:szCs w:val="22"/>
          <w:lang w:val="hy-AM" w:eastAsia="en-US"/>
        </w:rPr>
        <w:softHyphen/>
        <w:t>կրյա պետություններից Հայաս</w:t>
      </w:r>
      <w:r w:rsidRPr="00710FCA">
        <w:rPr>
          <w:rFonts w:cs="Sylfaen"/>
          <w:b w:val="0"/>
          <w:szCs w:val="22"/>
          <w:lang w:val="hy-AM" w:eastAsia="en-US"/>
        </w:rPr>
        <w:softHyphen/>
        <w:t>տանի Հան</w:t>
      </w:r>
      <w:r w:rsidRPr="00710FCA">
        <w:rPr>
          <w:rFonts w:cs="Sylfaen"/>
          <w:b w:val="0"/>
          <w:szCs w:val="22"/>
          <w:lang w:val="hy-AM" w:eastAsia="en-US"/>
        </w:rPr>
        <w:softHyphen/>
        <w:t>րապե</w:t>
      </w:r>
      <w:r w:rsidRPr="00710FCA">
        <w:rPr>
          <w:rFonts w:cs="Sylfaen"/>
          <w:b w:val="0"/>
          <w:szCs w:val="22"/>
          <w:lang w:val="hy-AM" w:eastAsia="en-US"/>
        </w:rPr>
        <w:softHyphen/>
        <w:t xml:space="preserve">տությանը 2024 </w:t>
      </w:r>
      <w:r w:rsidRPr="00710FCA">
        <w:rPr>
          <w:rFonts w:cs="Sylfaen"/>
          <w:b w:val="0"/>
          <w:szCs w:val="22"/>
          <w:lang w:val="hy-AM" w:eastAsia="en-US"/>
        </w:rPr>
        <w:lastRenderedPageBreak/>
        <w:t>թվականին տրա</w:t>
      </w:r>
      <w:r w:rsidRPr="00710FCA">
        <w:rPr>
          <w:rFonts w:cs="Sylfaen"/>
          <w:b w:val="0"/>
          <w:szCs w:val="22"/>
          <w:lang w:val="hy-AM" w:eastAsia="en-US"/>
        </w:rPr>
        <w:softHyphen/>
        <w:t>մադր</w:t>
      </w:r>
      <w:r w:rsidRPr="00710FCA">
        <w:rPr>
          <w:rFonts w:cs="Sylfaen"/>
          <w:b w:val="0"/>
          <w:szCs w:val="22"/>
          <w:lang w:val="hy-AM" w:eastAsia="en-US"/>
        </w:rPr>
        <w:softHyphen/>
        <w:t>վե</w:t>
      </w:r>
      <w:r w:rsidRPr="00710FCA">
        <w:rPr>
          <w:rFonts w:cs="Sylfaen"/>
          <w:b w:val="0"/>
          <w:szCs w:val="22"/>
          <w:lang w:val="hy-AM" w:eastAsia="en-US"/>
        </w:rPr>
        <w:softHyphen/>
        <w:t>լիք վարկերի (որոնց մասն ունի հստակ ծրագրային ուղղվա</w:t>
      </w:r>
      <w:r w:rsidRPr="00710FCA">
        <w:rPr>
          <w:rFonts w:cs="Sylfaen"/>
          <w:b w:val="0"/>
          <w:szCs w:val="22"/>
          <w:lang w:val="hy-AM" w:eastAsia="en-US"/>
        </w:rPr>
        <w:softHyphen/>
        <w:t>ծություն), մինչ այդ արդեն ստաց</w:t>
      </w:r>
      <w:r w:rsidRPr="00710FCA">
        <w:rPr>
          <w:rFonts w:cs="Sylfaen"/>
          <w:b w:val="0"/>
          <w:szCs w:val="22"/>
          <w:lang w:val="hy-AM" w:eastAsia="en-US"/>
        </w:rPr>
        <w:softHyphen/>
      </w:r>
      <w:r w:rsidRPr="00710FCA">
        <w:rPr>
          <w:rFonts w:cs="Sylfaen"/>
          <w:b w:val="0"/>
          <w:szCs w:val="22"/>
          <w:lang w:val="hy-AM" w:eastAsia="en-US"/>
        </w:rPr>
        <w:softHyphen/>
        <w:t>ված վարկերի, ըստ վար</w:t>
      </w:r>
      <w:r w:rsidRPr="00710FCA">
        <w:rPr>
          <w:rFonts w:cs="Sylfaen"/>
          <w:b w:val="0"/>
          <w:szCs w:val="22"/>
          <w:lang w:val="hy-AM" w:eastAsia="en-US"/>
        </w:rPr>
        <w:softHyphen/>
      </w:r>
      <w:r w:rsidRPr="00710FCA">
        <w:rPr>
          <w:rFonts w:cs="Sylfaen"/>
          <w:b w:val="0"/>
          <w:szCs w:val="22"/>
          <w:lang w:val="hy-AM" w:eastAsia="en-US"/>
        </w:rPr>
        <w:softHyphen/>
        <w:t>կային պայ</w:t>
      </w:r>
      <w:r w:rsidRPr="00710FCA">
        <w:rPr>
          <w:rFonts w:cs="Sylfaen"/>
          <w:b w:val="0"/>
          <w:szCs w:val="22"/>
          <w:lang w:val="hy-AM" w:eastAsia="en-US"/>
        </w:rPr>
        <w:softHyphen/>
        <w:t>մանագրերով նախա</w:t>
      </w:r>
      <w:r w:rsidRPr="00710FCA">
        <w:rPr>
          <w:rFonts w:cs="Sylfaen"/>
          <w:b w:val="0"/>
          <w:szCs w:val="22"/>
          <w:lang w:val="hy-AM" w:eastAsia="en-US"/>
        </w:rPr>
        <w:softHyphen/>
        <w:t>տեսված ժամ</w:t>
      </w:r>
      <w:r w:rsidRPr="00710FCA">
        <w:rPr>
          <w:rFonts w:cs="Sylfaen"/>
          <w:b w:val="0"/>
          <w:szCs w:val="22"/>
          <w:lang w:val="hy-AM" w:eastAsia="en-US"/>
        </w:rPr>
        <w:softHyphen/>
        <w:t>կետ</w:t>
      </w:r>
      <w:r w:rsidRPr="00710FCA">
        <w:rPr>
          <w:rFonts w:cs="Sylfaen"/>
          <w:b w:val="0"/>
          <w:szCs w:val="22"/>
          <w:lang w:val="hy-AM" w:eastAsia="en-US"/>
        </w:rPr>
        <w:softHyphen/>
      </w:r>
      <w:r w:rsidRPr="00710FCA">
        <w:rPr>
          <w:rFonts w:cs="Sylfaen"/>
          <w:b w:val="0"/>
          <w:szCs w:val="22"/>
          <w:lang w:val="hy-AM" w:eastAsia="en-US"/>
        </w:rPr>
        <w:softHyphen/>
        <w:t>նե</w:t>
      </w:r>
      <w:r w:rsidRPr="00710FCA">
        <w:rPr>
          <w:rFonts w:cs="Sylfaen"/>
          <w:b w:val="0"/>
          <w:szCs w:val="22"/>
          <w:lang w:val="hy-AM" w:eastAsia="en-US"/>
        </w:rPr>
        <w:softHyphen/>
        <w:t>րի, մարման գու</w:t>
      </w:r>
      <w:r w:rsidRPr="00710FCA">
        <w:rPr>
          <w:rFonts w:cs="Sylfaen"/>
          <w:b w:val="0"/>
          <w:szCs w:val="22"/>
          <w:lang w:val="hy-AM" w:eastAsia="en-US"/>
        </w:rPr>
        <w:softHyphen/>
        <w:t>մար</w:t>
      </w:r>
      <w:r w:rsidRPr="00710FCA">
        <w:rPr>
          <w:rFonts w:cs="Sylfaen"/>
          <w:b w:val="0"/>
          <w:szCs w:val="22"/>
          <w:lang w:val="hy-AM" w:eastAsia="en-US"/>
        </w:rPr>
        <w:softHyphen/>
        <w:t>ների (նշված զուտ մուտքերի վերա</w:t>
      </w:r>
      <w:r w:rsidRPr="00710FCA">
        <w:rPr>
          <w:rFonts w:cs="Sylfaen"/>
          <w:b w:val="0"/>
          <w:szCs w:val="22"/>
          <w:lang w:val="hy-AM" w:eastAsia="en-US"/>
        </w:rPr>
        <w:softHyphen/>
        <w:t>բերյալ մանրա</w:t>
      </w:r>
      <w:r w:rsidRPr="00710FCA">
        <w:rPr>
          <w:rFonts w:cs="Sylfaen"/>
          <w:b w:val="0"/>
          <w:szCs w:val="22"/>
          <w:lang w:val="hy-AM" w:eastAsia="en-US"/>
        </w:rPr>
        <w:softHyphen/>
        <w:t>մասն հա</w:t>
      </w:r>
      <w:r w:rsidRPr="00710FCA">
        <w:rPr>
          <w:rFonts w:cs="Sylfaen"/>
          <w:b w:val="0"/>
          <w:szCs w:val="22"/>
          <w:lang w:val="hy-AM" w:eastAsia="en-US"/>
        </w:rPr>
        <w:softHyphen/>
        <w:t>մա</w:t>
      </w:r>
      <w:r w:rsidRPr="00710FCA">
        <w:rPr>
          <w:rFonts w:cs="Sylfaen"/>
          <w:b w:val="0"/>
          <w:szCs w:val="22"/>
          <w:lang w:val="hy-AM" w:eastAsia="en-US"/>
        </w:rPr>
        <w:softHyphen/>
        <w:t>պատասխան տեղե</w:t>
      </w:r>
      <w:r w:rsidRPr="00710FCA">
        <w:rPr>
          <w:rFonts w:cs="Sylfaen"/>
          <w:b w:val="0"/>
          <w:szCs w:val="22"/>
          <w:lang w:val="hy-AM" w:eastAsia="en-US"/>
        </w:rPr>
        <w:softHyphen/>
        <w:t>կատ</w:t>
      </w:r>
      <w:r w:rsidRPr="00710FCA">
        <w:rPr>
          <w:rFonts w:cs="Sylfaen"/>
          <w:b w:val="0"/>
          <w:szCs w:val="22"/>
          <w:lang w:val="hy-AM" w:eastAsia="en-US"/>
        </w:rPr>
        <w:softHyphen/>
      </w:r>
      <w:r w:rsidRPr="00710FCA">
        <w:rPr>
          <w:rFonts w:cs="Sylfaen"/>
          <w:b w:val="0"/>
          <w:szCs w:val="22"/>
          <w:lang w:val="hy-AM" w:eastAsia="en-US"/>
        </w:rPr>
        <w:softHyphen/>
        <w:t>վու</w:t>
      </w:r>
      <w:r w:rsidRPr="00710FCA">
        <w:rPr>
          <w:rFonts w:cs="Sylfaen"/>
          <w:b w:val="0"/>
          <w:szCs w:val="22"/>
          <w:lang w:val="hy-AM" w:eastAsia="en-US"/>
        </w:rPr>
        <w:softHyphen/>
        <w:t>թ</w:t>
      </w:r>
      <w:r w:rsidRPr="00710FCA">
        <w:rPr>
          <w:rFonts w:cs="Sylfaen"/>
          <w:b w:val="0"/>
          <w:szCs w:val="22"/>
          <w:lang w:val="hy-AM" w:eastAsia="en-US"/>
        </w:rPr>
        <w:softHyphen/>
        <w:t>յու</w:t>
      </w:r>
      <w:r w:rsidRPr="00710FCA">
        <w:rPr>
          <w:rFonts w:cs="Sylfaen"/>
          <w:b w:val="0"/>
          <w:szCs w:val="22"/>
          <w:lang w:val="hy-AM" w:eastAsia="en-US"/>
        </w:rPr>
        <w:softHyphen/>
        <w:t>նը բերված է սույն բացատրագրի N 4 հավելվածում, NN 17-20 աղ</w:t>
      </w:r>
      <w:r w:rsidRPr="00710FCA">
        <w:rPr>
          <w:rFonts w:cs="Sylfaen"/>
          <w:b w:val="0"/>
          <w:szCs w:val="22"/>
          <w:lang w:val="hy-AM" w:eastAsia="en-US"/>
        </w:rPr>
        <w:softHyphen/>
        <w:t>յուսակ</w:t>
      </w:r>
      <w:r w:rsidRPr="00710FCA">
        <w:rPr>
          <w:rFonts w:cs="Sylfaen"/>
          <w:b w:val="0"/>
          <w:szCs w:val="22"/>
          <w:lang w:val="hy-AM" w:eastAsia="en-US"/>
        </w:rPr>
        <w:softHyphen/>
        <w:t>ներում և «ՀՀ պետական պար</w:t>
      </w:r>
      <w:r w:rsidRPr="00710FCA">
        <w:rPr>
          <w:rFonts w:cs="Sylfaen"/>
          <w:b w:val="0"/>
          <w:szCs w:val="22"/>
          <w:lang w:val="hy-AM" w:eastAsia="en-US"/>
        </w:rPr>
        <w:softHyphen/>
        <w:t>տքը» բաժնում) և արտարժութային պետական պարտատոմսերի տեղաբաշխումից մուտքերի հանրագումար: Ֆի</w:t>
      </w:r>
      <w:r w:rsidRPr="00710FCA">
        <w:rPr>
          <w:rFonts w:cs="Sylfaen"/>
          <w:b w:val="0"/>
          <w:szCs w:val="22"/>
          <w:lang w:val="hy-AM" w:eastAsia="en-US"/>
        </w:rPr>
        <w:softHyphen/>
        <w:t>նան</w:t>
      </w:r>
      <w:r w:rsidRPr="00710FCA">
        <w:rPr>
          <w:rFonts w:cs="Sylfaen"/>
          <w:b w:val="0"/>
          <w:szCs w:val="22"/>
          <w:lang w:val="hy-AM" w:eastAsia="en-US"/>
        </w:rPr>
        <w:softHyphen/>
        <w:t>սա</w:t>
      </w:r>
      <w:r w:rsidRPr="00710FCA">
        <w:rPr>
          <w:rFonts w:cs="Sylfaen"/>
          <w:b w:val="0"/>
          <w:szCs w:val="22"/>
          <w:lang w:val="hy-AM" w:eastAsia="en-US"/>
        </w:rPr>
        <w:softHyphen/>
        <w:t xml:space="preserve">կան ակտիվներից 2024 թվականի զուտ մուտքերը ծրագրավորվում են շուրջ (8.2) մլրդ դրամ: </w:t>
      </w:r>
    </w:p>
    <w:p w14:paraId="685A168E" w14:textId="77777777" w:rsidR="00630125" w:rsidRPr="00710FCA" w:rsidRDefault="00630125" w:rsidP="00630125">
      <w:pPr>
        <w:rPr>
          <w:b w:val="0"/>
          <w:szCs w:val="22"/>
          <w:lang w:val="hy-AM" w:eastAsia="en-US"/>
        </w:rPr>
      </w:pPr>
      <w:r w:rsidRPr="00710FCA">
        <w:rPr>
          <w:rFonts w:cs="Sylfaen"/>
          <w:b w:val="0"/>
          <w:szCs w:val="22"/>
          <w:lang w:val="hy-AM" w:eastAsia="en-US"/>
        </w:rPr>
        <w:t>Ստորև</w:t>
      </w:r>
      <w:r w:rsidRPr="00710FCA">
        <w:rPr>
          <w:b w:val="0"/>
          <w:szCs w:val="22"/>
          <w:lang w:val="hy-AM" w:eastAsia="en-US"/>
        </w:rPr>
        <w:t xml:space="preserve"> </w:t>
      </w:r>
      <w:r w:rsidRPr="00710FCA">
        <w:rPr>
          <w:rFonts w:cs="Sylfaen"/>
          <w:b w:val="0"/>
          <w:szCs w:val="22"/>
          <w:lang w:val="hy-AM" w:eastAsia="en-US"/>
        </w:rPr>
        <w:t>ներկայացվում</w:t>
      </w:r>
      <w:r w:rsidRPr="00710FCA">
        <w:rPr>
          <w:b w:val="0"/>
          <w:szCs w:val="22"/>
          <w:lang w:val="hy-AM" w:eastAsia="en-US"/>
        </w:rPr>
        <w:t xml:space="preserve"> են </w:t>
      </w:r>
      <w:r w:rsidRPr="00710FCA">
        <w:rPr>
          <w:rFonts w:cs="Sylfaen"/>
          <w:b w:val="0"/>
          <w:szCs w:val="22"/>
          <w:lang w:val="hy-AM" w:eastAsia="en-US"/>
        </w:rPr>
        <w:t>ՀՀ</w:t>
      </w:r>
      <w:r w:rsidRPr="00710FCA">
        <w:rPr>
          <w:b w:val="0"/>
          <w:szCs w:val="22"/>
          <w:lang w:val="hy-AM" w:eastAsia="en-US"/>
        </w:rPr>
        <w:t xml:space="preserve"> 2020-2024 թվակա</w:t>
      </w:r>
      <w:r w:rsidRPr="00710FCA">
        <w:rPr>
          <w:rFonts w:cs="Sylfaen"/>
          <w:b w:val="0"/>
          <w:szCs w:val="22"/>
          <w:lang w:val="hy-AM" w:eastAsia="en-US"/>
        </w:rPr>
        <w:t>նների</w:t>
      </w:r>
      <w:r w:rsidRPr="00710FCA">
        <w:rPr>
          <w:b w:val="0"/>
          <w:szCs w:val="22"/>
          <w:lang w:val="hy-AM" w:eastAsia="en-US"/>
        </w:rPr>
        <w:t xml:space="preserve"> </w:t>
      </w:r>
      <w:r w:rsidRPr="00710FCA">
        <w:rPr>
          <w:rFonts w:cs="Sylfaen"/>
          <w:b w:val="0"/>
          <w:szCs w:val="22"/>
          <w:lang w:val="hy-AM" w:eastAsia="en-US"/>
        </w:rPr>
        <w:t>պետական</w:t>
      </w:r>
      <w:r w:rsidRPr="00710FCA">
        <w:rPr>
          <w:b w:val="0"/>
          <w:szCs w:val="22"/>
          <w:lang w:val="hy-AM" w:eastAsia="en-US"/>
        </w:rPr>
        <w:t xml:space="preserve"> </w:t>
      </w:r>
      <w:r w:rsidRPr="00710FCA">
        <w:rPr>
          <w:rFonts w:cs="Sylfaen"/>
          <w:b w:val="0"/>
          <w:szCs w:val="22"/>
          <w:lang w:val="hy-AM" w:eastAsia="en-US"/>
        </w:rPr>
        <w:t>բյուջեների</w:t>
      </w:r>
      <w:r w:rsidRPr="00710FCA">
        <w:rPr>
          <w:b w:val="0"/>
          <w:szCs w:val="22"/>
          <w:lang w:val="hy-AM" w:eastAsia="en-US"/>
        </w:rPr>
        <w:t xml:space="preserve"> </w:t>
      </w:r>
      <w:r w:rsidRPr="00710FCA">
        <w:rPr>
          <w:rFonts w:cs="Sylfaen"/>
          <w:b w:val="0"/>
          <w:szCs w:val="22"/>
          <w:lang w:val="hy-AM" w:eastAsia="en-US"/>
        </w:rPr>
        <w:t>դեֆիցիտի</w:t>
      </w:r>
      <w:r w:rsidRPr="00710FCA">
        <w:rPr>
          <w:b w:val="0"/>
          <w:szCs w:val="22"/>
          <w:lang w:val="hy-AM" w:eastAsia="en-US"/>
        </w:rPr>
        <w:t xml:space="preserve"> </w:t>
      </w:r>
      <w:r w:rsidRPr="00710FCA">
        <w:rPr>
          <w:rFonts w:cs="Sylfaen"/>
          <w:b w:val="0"/>
          <w:szCs w:val="22"/>
          <w:lang w:val="hy-AM" w:eastAsia="en-US"/>
        </w:rPr>
        <w:t>ֆինան</w:t>
      </w:r>
      <w:r w:rsidRPr="00710FCA">
        <w:rPr>
          <w:rFonts w:cs="Sylfaen"/>
          <w:b w:val="0"/>
          <w:szCs w:val="22"/>
          <w:lang w:val="hy-AM" w:eastAsia="en-US"/>
        </w:rPr>
        <w:softHyphen/>
        <w:t>սա</w:t>
      </w:r>
      <w:r w:rsidRPr="00710FCA">
        <w:rPr>
          <w:rFonts w:cs="Sylfaen"/>
          <w:b w:val="0"/>
          <w:szCs w:val="22"/>
          <w:lang w:val="hy-AM" w:eastAsia="en-US"/>
        </w:rPr>
        <w:softHyphen/>
      </w:r>
      <w:r w:rsidRPr="00710FCA">
        <w:rPr>
          <w:rFonts w:cs="Sylfaen"/>
          <w:b w:val="0"/>
          <w:szCs w:val="22"/>
          <w:lang w:val="hy-AM" w:eastAsia="en-US"/>
        </w:rPr>
        <w:softHyphen/>
        <w:t>վորման</w:t>
      </w:r>
      <w:r w:rsidRPr="00710FCA">
        <w:rPr>
          <w:b w:val="0"/>
          <w:szCs w:val="22"/>
          <w:lang w:val="hy-AM" w:eastAsia="en-US"/>
        </w:rPr>
        <w:t xml:space="preserve"> </w:t>
      </w:r>
      <w:r w:rsidRPr="00710FCA">
        <w:rPr>
          <w:rFonts w:cs="Sylfaen"/>
          <w:b w:val="0"/>
          <w:szCs w:val="22"/>
          <w:lang w:val="hy-AM" w:eastAsia="en-US"/>
        </w:rPr>
        <w:t>աղբյուրները</w:t>
      </w:r>
      <w:r w:rsidRPr="00710FCA">
        <w:rPr>
          <w:b w:val="0"/>
          <w:szCs w:val="22"/>
          <w:lang w:val="hy-AM" w:eastAsia="en-US"/>
        </w:rPr>
        <w:t xml:space="preserve"> (</w:t>
      </w:r>
      <w:r w:rsidRPr="00710FCA">
        <w:rPr>
          <w:rFonts w:cs="Sylfaen"/>
          <w:b w:val="0"/>
          <w:szCs w:val="22"/>
          <w:lang w:val="hy-AM" w:eastAsia="en-US"/>
        </w:rPr>
        <w:t>տես</w:t>
      </w:r>
      <w:r w:rsidRPr="00710FCA">
        <w:rPr>
          <w:b w:val="0"/>
          <w:szCs w:val="22"/>
          <w:lang w:val="hy-AM" w:eastAsia="en-US"/>
        </w:rPr>
        <w:t xml:space="preserve"> </w:t>
      </w:r>
      <w:r w:rsidRPr="00710FCA">
        <w:rPr>
          <w:rFonts w:cs="Sylfaen"/>
          <w:b w:val="0"/>
          <w:szCs w:val="22"/>
          <w:lang w:val="hy-AM" w:eastAsia="en-US"/>
        </w:rPr>
        <w:t>Աղյուսակ</w:t>
      </w:r>
      <w:r w:rsidRPr="00710FCA">
        <w:rPr>
          <w:b w:val="0"/>
          <w:szCs w:val="22"/>
          <w:lang w:val="hy-AM" w:eastAsia="en-US"/>
        </w:rPr>
        <w:t xml:space="preserve"> 4):</w:t>
      </w:r>
    </w:p>
    <w:p w14:paraId="63203574" w14:textId="77777777" w:rsidR="00630125" w:rsidRPr="00710FCA" w:rsidRDefault="00630125" w:rsidP="00630125">
      <w:pPr>
        <w:spacing w:before="0"/>
        <w:ind w:firstLine="630"/>
        <w:rPr>
          <w:b w:val="0"/>
          <w:szCs w:val="22"/>
          <w:lang w:val="hy-AM" w:eastAsia="en-US"/>
        </w:rPr>
      </w:pPr>
    </w:p>
    <w:p w14:paraId="65AF843F" w14:textId="757CC0E7" w:rsidR="00630125" w:rsidRPr="00DE50C8" w:rsidRDefault="00630125" w:rsidP="00630125">
      <w:pPr>
        <w:spacing w:after="200"/>
        <w:rPr>
          <w:bCs/>
          <w:szCs w:val="22"/>
          <w:lang w:val="hy-AM"/>
        </w:rPr>
      </w:pPr>
      <w:bookmarkStart w:id="206" w:name="_Toc115283829"/>
      <w:bookmarkStart w:id="207" w:name="_Toc152324765"/>
      <w:r w:rsidRPr="00DE50C8">
        <w:rPr>
          <w:bCs/>
          <w:szCs w:val="22"/>
          <w:lang w:val="hy-AM"/>
        </w:rPr>
        <w:t xml:space="preserve">Աղյուսակ </w:t>
      </w:r>
      <w:r w:rsidRPr="00DE50C8">
        <w:rPr>
          <w:bCs/>
          <w:szCs w:val="22"/>
          <w:lang w:val="hy-AM"/>
        </w:rPr>
        <w:fldChar w:fldCharType="begin"/>
      </w:r>
      <w:r w:rsidRPr="00DE50C8">
        <w:rPr>
          <w:bCs/>
          <w:szCs w:val="22"/>
          <w:lang w:val="hy-AM"/>
        </w:rPr>
        <w:instrText xml:space="preserve"> SEQ Աղյուսակ \* ARABIC </w:instrText>
      </w:r>
      <w:r w:rsidRPr="00DE50C8">
        <w:rPr>
          <w:bCs/>
          <w:szCs w:val="22"/>
          <w:lang w:val="hy-AM"/>
        </w:rPr>
        <w:fldChar w:fldCharType="separate"/>
      </w:r>
      <w:r w:rsidR="00DB4E68">
        <w:rPr>
          <w:bCs/>
          <w:noProof/>
          <w:szCs w:val="22"/>
          <w:lang w:val="hy-AM"/>
        </w:rPr>
        <w:t>3</w:t>
      </w:r>
      <w:r w:rsidRPr="00DE50C8">
        <w:rPr>
          <w:bCs/>
          <w:szCs w:val="22"/>
          <w:lang w:val="hy-AM"/>
        </w:rPr>
        <w:fldChar w:fldCharType="end"/>
      </w:r>
      <w:r w:rsidRPr="00DE50C8">
        <w:rPr>
          <w:rFonts w:ascii="Cambria Math" w:hAnsi="Cambria Math" w:cs="Cambria Math"/>
          <w:bCs/>
          <w:szCs w:val="22"/>
          <w:lang w:val="hy-AM"/>
        </w:rPr>
        <w:t>․</w:t>
      </w:r>
      <w:r w:rsidRPr="00DE50C8">
        <w:rPr>
          <w:bCs/>
          <w:szCs w:val="22"/>
          <w:lang w:val="hy-AM"/>
        </w:rPr>
        <w:t xml:space="preserve"> </w:t>
      </w:r>
      <w:r w:rsidRPr="00DE50C8">
        <w:rPr>
          <w:b w:val="0"/>
          <w:szCs w:val="22"/>
          <w:lang w:val="hy-AM"/>
        </w:rPr>
        <w:t>ՀՀ 2020-2024թթ. պետական բյուջեների դեֆիցիտի ֆինանսավորման աղբյուրները, մլրդ դրամ</w:t>
      </w:r>
      <w:bookmarkEnd w:id="204"/>
      <w:bookmarkEnd w:id="206"/>
      <w:bookmarkEnd w:id="207"/>
    </w:p>
    <w:tbl>
      <w:tblPr>
        <w:tblW w:w="9743" w:type="dxa"/>
        <w:tblLook w:val="04A0" w:firstRow="1" w:lastRow="0" w:firstColumn="1" w:lastColumn="0" w:noHBand="0" w:noVBand="1"/>
      </w:tblPr>
      <w:tblGrid>
        <w:gridCol w:w="3150"/>
        <w:gridCol w:w="1170"/>
        <w:gridCol w:w="1403"/>
        <w:gridCol w:w="1292"/>
        <w:gridCol w:w="1245"/>
        <w:gridCol w:w="1483"/>
      </w:tblGrid>
      <w:tr w:rsidR="00630125" w:rsidRPr="00710FCA" w14:paraId="7CF4574C" w14:textId="77777777" w:rsidTr="003F088D">
        <w:trPr>
          <w:trHeight w:val="315"/>
        </w:trPr>
        <w:tc>
          <w:tcPr>
            <w:tcW w:w="3150" w:type="dxa"/>
            <w:vMerge w:val="restart"/>
            <w:shd w:val="clear" w:color="auto" w:fill="auto"/>
            <w:vAlign w:val="center"/>
            <w:hideMark/>
          </w:tcPr>
          <w:p w14:paraId="19714E50"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Ցուցանիշներ</w:t>
            </w:r>
          </w:p>
        </w:tc>
        <w:tc>
          <w:tcPr>
            <w:tcW w:w="3865" w:type="dxa"/>
            <w:gridSpan w:val="3"/>
            <w:tcBorders>
              <w:bottom w:val="single" w:sz="4" w:space="0" w:color="auto"/>
            </w:tcBorders>
            <w:shd w:val="clear" w:color="auto" w:fill="auto"/>
            <w:noWrap/>
            <w:vAlign w:val="center"/>
            <w:hideMark/>
          </w:tcPr>
          <w:p w14:paraId="2AD61C58"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hy-AM" w:eastAsia="en-US"/>
              </w:rPr>
              <w:t>Փաստ</w:t>
            </w:r>
          </w:p>
        </w:tc>
        <w:tc>
          <w:tcPr>
            <w:tcW w:w="1245" w:type="dxa"/>
            <w:shd w:val="clear" w:color="auto" w:fill="auto"/>
            <w:noWrap/>
            <w:vAlign w:val="center"/>
            <w:hideMark/>
          </w:tcPr>
          <w:p w14:paraId="730A282B"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Բյուջե</w:t>
            </w:r>
          </w:p>
        </w:tc>
        <w:tc>
          <w:tcPr>
            <w:tcW w:w="1483" w:type="dxa"/>
            <w:tcBorders>
              <w:bottom w:val="single" w:sz="4" w:space="0" w:color="auto"/>
            </w:tcBorders>
            <w:vAlign w:val="center"/>
          </w:tcPr>
          <w:p w14:paraId="67B3EF68" w14:textId="4DFBB0C0" w:rsidR="00630125" w:rsidRPr="000E45A1" w:rsidRDefault="000E45A1" w:rsidP="003F088D">
            <w:pPr>
              <w:spacing w:before="0" w:line="240" w:lineRule="auto"/>
              <w:jc w:val="center"/>
              <w:rPr>
                <w:rFonts w:cs="Calibri"/>
                <w:b w:val="0"/>
                <w:color w:val="000000"/>
                <w:sz w:val="18"/>
                <w:szCs w:val="18"/>
                <w:lang w:val="hy-AM" w:eastAsia="en-US"/>
              </w:rPr>
            </w:pPr>
            <w:r>
              <w:rPr>
                <w:rFonts w:cs="Calibri"/>
                <w:b w:val="0"/>
                <w:color w:val="000000"/>
                <w:sz w:val="18"/>
                <w:szCs w:val="18"/>
                <w:lang w:val="hy-AM" w:eastAsia="en-US"/>
              </w:rPr>
              <w:t>ծրագիր</w:t>
            </w:r>
          </w:p>
        </w:tc>
      </w:tr>
      <w:tr w:rsidR="00630125" w:rsidRPr="00710FCA" w14:paraId="455A0A2F" w14:textId="77777777" w:rsidTr="003F088D">
        <w:trPr>
          <w:trHeight w:val="315"/>
        </w:trPr>
        <w:tc>
          <w:tcPr>
            <w:tcW w:w="3150" w:type="dxa"/>
            <w:vMerge/>
            <w:tcBorders>
              <w:bottom w:val="single" w:sz="4" w:space="0" w:color="auto"/>
            </w:tcBorders>
            <w:vAlign w:val="center"/>
            <w:hideMark/>
          </w:tcPr>
          <w:p w14:paraId="44C5FBBD" w14:textId="77777777" w:rsidR="00630125" w:rsidRPr="00710FCA" w:rsidRDefault="00630125" w:rsidP="003F088D">
            <w:pPr>
              <w:spacing w:before="0" w:line="240" w:lineRule="auto"/>
              <w:jc w:val="left"/>
              <w:rPr>
                <w:rFonts w:cs="Calibri"/>
                <w:b w:val="0"/>
                <w:color w:val="000000"/>
                <w:sz w:val="18"/>
                <w:szCs w:val="18"/>
                <w:lang w:val="en-US" w:eastAsia="en-US"/>
              </w:rPr>
            </w:pPr>
          </w:p>
        </w:tc>
        <w:tc>
          <w:tcPr>
            <w:tcW w:w="1170" w:type="dxa"/>
            <w:tcBorders>
              <w:top w:val="single" w:sz="4" w:space="0" w:color="auto"/>
              <w:bottom w:val="single" w:sz="4" w:space="0" w:color="auto"/>
            </w:tcBorders>
            <w:shd w:val="clear" w:color="auto" w:fill="auto"/>
            <w:noWrap/>
            <w:vAlign w:val="center"/>
            <w:hideMark/>
          </w:tcPr>
          <w:p w14:paraId="7A5768AF"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2020</w:t>
            </w:r>
          </w:p>
        </w:tc>
        <w:tc>
          <w:tcPr>
            <w:tcW w:w="1403" w:type="dxa"/>
            <w:tcBorders>
              <w:top w:val="single" w:sz="4" w:space="0" w:color="auto"/>
              <w:bottom w:val="single" w:sz="4" w:space="0" w:color="auto"/>
            </w:tcBorders>
            <w:shd w:val="clear" w:color="auto" w:fill="auto"/>
            <w:noWrap/>
            <w:vAlign w:val="center"/>
            <w:hideMark/>
          </w:tcPr>
          <w:p w14:paraId="0657F86A"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2021</w:t>
            </w:r>
          </w:p>
        </w:tc>
        <w:tc>
          <w:tcPr>
            <w:tcW w:w="1292" w:type="dxa"/>
            <w:tcBorders>
              <w:top w:val="single" w:sz="4" w:space="0" w:color="auto"/>
              <w:bottom w:val="single" w:sz="4" w:space="0" w:color="auto"/>
            </w:tcBorders>
            <w:shd w:val="clear" w:color="auto" w:fill="auto"/>
            <w:noWrap/>
            <w:vAlign w:val="center"/>
            <w:hideMark/>
          </w:tcPr>
          <w:p w14:paraId="77E1B147"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2022</w:t>
            </w:r>
          </w:p>
        </w:tc>
        <w:tc>
          <w:tcPr>
            <w:tcW w:w="1245" w:type="dxa"/>
            <w:shd w:val="clear" w:color="auto" w:fill="auto"/>
            <w:noWrap/>
            <w:vAlign w:val="center"/>
            <w:hideMark/>
          </w:tcPr>
          <w:p w14:paraId="285AE888"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2023</w:t>
            </w:r>
          </w:p>
        </w:tc>
        <w:tc>
          <w:tcPr>
            <w:tcW w:w="1483" w:type="dxa"/>
            <w:tcBorders>
              <w:top w:val="single" w:sz="2" w:space="0" w:color="auto"/>
              <w:bottom w:val="single" w:sz="2" w:space="0" w:color="auto"/>
            </w:tcBorders>
            <w:shd w:val="clear" w:color="auto" w:fill="auto"/>
            <w:vAlign w:val="center"/>
          </w:tcPr>
          <w:p w14:paraId="42976713" w14:textId="77777777" w:rsidR="00630125" w:rsidRPr="00710FCA" w:rsidRDefault="00630125" w:rsidP="003F088D">
            <w:pPr>
              <w:tabs>
                <w:tab w:val="left" w:pos="0"/>
              </w:tabs>
              <w:spacing w:line="240" w:lineRule="auto"/>
              <w:ind w:right="42"/>
              <w:jc w:val="center"/>
              <w:rPr>
                <w:b w:val="0"/>
                <w:sz w:val="18"/>
                <w:szCs w:val="18"/>
              </w:rPr>
            </w:pPr>
            <w:r w:rsidRPr="00710FCA">
              <w:rPr>
                <w:b w:val="0"/>
                <w:sz w:val="18"/>
                <w:szCs w:val="18"/>
              </w:rPr>
              <w:t xml:space="preserve">2024 </w:t>
            </w:r>
          </w:p>
        </w:tc>
      </w:tr>
      <w:tr w:rsidR="00630125" w:rsidRPr="00710FCA" w14:paraId="17277FB0" w14:textId="77777777" w:rsidTr="003F088D">
        <w:tblPrEx>
          <w:shd w:val="clear" w:color="auto" w:fill="FFFFFF" w:themeFill="background1"/>
        </w:tblPrEx>
        <w:trPr>
          <w:trHeight w:val="1826"/>
        </w:trPr>
        <w:tc>
          <w:tcPr>
            <w:tcW w:w="3150" w:type="dxa"/>
            <w:tcBorders>
              <w:top w:val="single" w:sz="4" w:space="0" w:color="auto"/>
              <w:bottom w:val="single" w:sz="4" w:space="0" w:color="auto"/>
            </w:tcBorders>
            <w:shd w:val="clear" w:color="auto" w:fill="FFFFFF" w:themeFill="background1"/>
            <w:vAlign w:val="center"/>
            <w:hideMark/>
          </w:tcPr>
          <w:p w14:paraId="2A459573" w14:textId="77777777" w:rsidR="00630125" w:rsidRPr="00710FCA" w:rsidRDefault="00630125" w:rsidP="003F088D">
            <w:pPr>
              <w:spacing w:before="0" w:line="240" w:lineRule="auto"/>
              <w:jc w:val="left"/>
              <w:rPr>
                <w:rFonts w:cs="Calibri"/>
                <w:b w:val="0"/>
                <w:sz w:val="18"/>
                <w:szCs w:val="18"/>
                <w:lang w:val="hy-AM" w:eastAsia="en-US"/>
              </w:rPr>
            </w:pPr>
          </w:p>
          <w:p w14:paraId="4A833797" w14:textId="77777777" w:rsidR="00630125" w:rsidRPr="00710FCA" w:rsidRDefault="00630125" w:rsidP="003F088D">
            <w:pPr>
              <w:spacing w:before="0" w:line="240" w:lineRule="auto"/>
              <w:jc w:val="left"/>
              <w:rPr>
                <w:rFonts w:cs="Calibri"/>
                <w:b w:val="0"/>
                <w:sz w:val="18"/>
                <w:szCs w:val="18"/>
                <w:lang w:val="hy-AM" w:eastAsia="en-US"/>
              </w:rPr>
            </w:pPr>
            <w:r w:rsidRPr="00710FCA">
              <w:rPr>
                <w:rFonts w:cs="Calibri"/>
                <w:b w:val="0"/>
                <w:sz w:val="18"/>
                <w:szCs w:val="18"/>
                <w:lang w:val="hy-AM" w:eastAsia="en-US"/>
              </w:rPr>
              <w:t>Պետական  բյուջեի  դեֆիցիտի ֆինանսավորման աղբյուրներն ու դրանց տարրերի անվանումները</w:t>
            </w:r>
          </w:p>
        </w:tc>
        <w:tc>
          <w:tcPr>
            <w:tcW w:w="1170" w:type="dxa"/>
            <w:tcBorders>
              <w:top w:val="single" w:sz="4" w:space="0" w:color="auto"/>
              <w:bottom w:val="single" w:sz="4" w:space="0" w:color="auto"/>
            </w:tcBorders>
            <w:shd w:val="clear" w:color="auto" w:fill="FFFFFF" w:themeFill="background1"/>
            <w:noWrap/>
            <w:vAlign w:val="center"/>
            <w:hideMark/>
          </w:tcPr>
          <w:p w14:paraId="26F87B64" w14:textId="77777777" w:rsidR="00630125" w:rsidRPr="00710FCA" w:rsidRDefault="00630125" w:rsidP="003F088D">
            <w:pPr>
              <w:spacing w:before="0" w:line="240" w:lineRule="auto"/>
              <w:jc w:val="center"/>
              <w:rPr>
                <w:rFonts w:cs="Calibri"/>
                <w:b w:val="0"/>
                <w:sz w:val="18"/>
                <w:szCs w:val="18"/>
                <w:lang w:val="en-US" w:eastAsia="en-US"/>
              </w:rPr>
            </w:pPr>
            <w:r w:rsidRPr="00710FCA">
              <w:rPr>
                <w:rFonts w:cs="Calibri"/>
                <w:b w:val="0"/>
                <w:sz w:val="18"/>
                <w:szCs w:val="18"/>
                <w:lang w:val="en-US" w:eastAsia="en-US"/>
              </w:rPr>
              <w:t>334.0</w:t>
            </w:r>
          </w:p>
        </w:tc>
        <w:tc>
          <w:tcPr>
            <w:tcW w:w="1403" w:type="dxa"/>
            <w:tcBorders>
              <w:bottom w:val="single" w:sz="4" w:space="0" w:color="auto"/>
            </w:tcBorders>
            <w:shd w:val="clear" w:color="auto" w:fill="FFFFFF" w:themeFill="background1"/>
            <w:noWrap/>
            <w:vAlign w:val="center"/>
            <w:hideMark/>
          </w:tcPr>
          <w:p w14:paraId="25A27582" w14:textId="77777777" w:rsidR="00630125" w:rsidRPr="00710FCA" w:rsidRDefault="00630125" w:rsidP="003F088D">
            <w:pPr>
              <w:spacing w:before="0" w:line="240" w:lineRule="auto"/>
              <w:jc w:val="center"/>
              <w:rPr>
                <w:rFonts w:cs="Calibri"/>
                <w:b w:val="0"/>
                <w:sz w:val="18"/>
                <w:szCs w:val="18"/>
                <w:lang w:val="en-US" w:eastAsia="en-US"/>
              </w:rPr>
            </w:pPr>
            <w:r w:rsidRPr="00710FCA">
              <w:rPr>
                <w:rFonts w:cs="Calibri"/>
                <w:b w:val="0"/>
                <w:sz w:val="18"/>
                <w:szCs w:val="18"/>
                <w:lang w:val="en-US" w:eastAsia="en-US"/>
              </w:rPr>
              <w:t>320.5</w:t>
            </w:r>
          </w:p>
        </w:tc>
        <w:tc>
          <w:tcPr>
            <w:tcW w:w="1292" w:type="dxa"/>
            <w:tcBorders>
              <w:bottom w:val="single" w:sz="4" w:space="0" w:color="auto"/>
            </w:tcBorders>
            <w:shd w:val="clear" w:color="auto" w:fill="FFFFFF" w:themeFill="background1"/>
            <w:noWrap/>
            <w:vAlign w:val="center"/>
          </w:tcPr>
          <w:p w14:paraId="6482CF52" w14:textId="77777777" w:rsidR="00630125" w:rsidRPr="00710FCA" w:rsidRDefault="00630125" w:rsidP="003F088D">
            <w:pPr>
              <w:spacing w:before="0" w:line="240" w:lineRule="auto"/>
              <w:jc w:val="center"/>
              <w:rPr>
                <w:rFonts w:cs="Calibri"/>
                <w:b w:val="0"/>
                <w:sz w:val="18"/>
                <w:szCs w:val="18"/>
                <w:lang w:val="en-US" w:eastAsia="en-US"/>
              </w:rPr>
            </w:pPr>
            <w:r w:rsidRPr="00710FCA">
              <w:rPr>
                <w:rFonts w:cs="Calibri"/>
                <w:b w:val="0"/>
                <w:sz w:val="18"/>
                <w:szCs w:val="18"/>
                <w:lang w:val="en-US" w:eastAsia="en-US"/>
              </w:rPr>
              <w:t>179.5</w:t>
            </w:r>
          </w:p>
        </w:tc>
        <w:tc>
          <w:tcPr>
            <w:tcW w:w="1245" w:type="dxa"/>
            <w:tcBorders>
              <w:bottom w:val="single" w:sz="4" w:space="0" w:color="auto"/>
            </w:tcBorders>
            <w:shd w:val="clear" w:color="auto" w:fill="FFFFFF" w:themeFill="background1"/>
            <w:vAlign w:val="center"/>
            <w:hideMark/>
          </w:tcPr>
          <w:p w14:paraId="0958677E" w14:textId="77777777" w:rsidR="00630125" w:rsidRPr="00710FCA" w:rsidRDefault="00630125" w:rsidP="003F088D">
            <w:pPr>
              <w:spacing w:before="0" w:line="240" w:lineRule="auto"/>
              <w:jc w:val="center"/>
              <w:rPr>
                <w:rFonts w:cs="Calibri"/>
                <w:b w:val="0"/>
                <w:sz w:val="18"/>
                <w:szCs w:val="18"/>
                <w:lang w:val="en-US" w:eastAsia="en-US"/>
              </w:rPr>
            </w:pPr>
            <w:r w:rsidRPr="00710FCA">
              <w:rPr>
                <w:rFonts w:cs="Calibri"/>
                <w:b w:val="0"/>
                <w:sz w:val="18"/>
                <w:szCs w:val="18"/>
                <w:lang w:val="en-US" w:eastAsia="en-US"/>
              </w:rPr>
              <w:t>288.9</w:t>
            </w:r>
          </w:p>
        </w:tc>
        <w:tc>
          <w:tcPr>
            <w:tcW w:w="1483" w:type="dxa"/>
            <w:tcBorders>
              <w:top w:val="single" w:sz="2" w:space="0" w:color="auto"/>
            </w:tcBorders>
            <w:shd w:val="clear" w:color="auto" w:fill="auto"/>
            <w:vAlign w:val="center"/>
          </w:tcPr>
          <w:p w14:paraId="1F86F310" w14:textId="77777777" w:rsidR="00630125" w:rsidRPr="00710FCA" w:rsidRDefault="00630125" w:rsidP="003F088D">
            <w:pPr>
              <w:tabs>
                <w:tab w:val="left" w:pos="0"/>
              </w:tabs>
              <w:spacing w:line="240" w:lineRule="auto"/>
              <w:ind w:right="42"/>
              <w:jc w:val="center"/>
              <w:rPr>
                <w:b w:val="0"/>
                <w:color w:val="000000"/>
                <w:sz w:val="18"/>
                <w:szCs w:val="18"/>
                <w:lang w:val="en-US"/>
              </w:rPr>
            </w:pPr>
            <w:r>
              <w:rPr>
                <w:b w:val="0"/>
                <w:color w:val="000000"/>
                <w:sz w:val="18"/>
                <w:szCs w:val="18"/>
                <w:lang w:val="en-US"/>
              </w:rPr>
              <w:t>482.9</w:t>
            </w:r>
          </w:p>
        </w:tc>
      </w:tr>
      <w:tr w:rsidR="00630125" w:rsidRPr="00710FCA" w14:paraId="62F1F401" w14:textId="77777777" w:rsidTr="003F088D">
        <w:tblPrEx>
          <w:shd w:val="clear" w:color="auto" w:fill="FFFFFF" w:themeFill="background1"/>
        </w:tblPrEx>
        <w:trPr>
          <w:trHeight w:val="620"/>
        </w:trPr>
        <w:tc>
          <w:tcPr>
            <w:tcW w:w="3150" w:type="dxa"/>
            <w:tcBorders>
              <w:top w:val="single" w:sz="4" w:space="0" w:color="auto"/>
            </w:tcBorders>
            <w:shd w:val="clear" w:color="auto" w:fill="FFFFFF" w:themeFill="background1"/>
            <w:vAlign w:val="center"/>
            <w:hideMark/>
          </w:tcPr>
          <w:p w14:paraId="615A325E" w14:textId="77777777" w:rsidR="00630125" w:rsidRPr="00710FCA" w:rsidRDefault="00630125" w:rsidP="003F088D">
            <w:pPr>
              <w:spacing w:before="0"/>
              <w:jc w:val="left"/>
              <w:rPr>
                <w:rFonts w:cs="Calibri"/>
                <w:b w:val="0"/>
                <w:sz w:val="18"/>
                <w:szCs w:val="18"/>
                <w:lang w:val="en-US" w:eastAsia="en-US"/>
              </w:rPr>
            </w:pPr>
            <w:r w:rsidRPr="00710FCA">
              <w:rPr>
                <w:rFonts w:cs="Calibri"/>
                <w:b w:val="0"/>
                <w:sz w:val="18"/>
                <w:szCs w:val="18"/>
                <w:lang w:val="en-US" w:eastAsia="en-US"/>
              </w:rPr>
              <w:t>Ա.Ներքին աղբյուրներ</w:t>
            </w:r>
          </w:p>
        </w:tc>
        <w:tc>
          <w:tcPr>
            <w:tcW w:w="1170" w:type="dxa"/>
            <w:tcBorders>
              <w:top w:val="single" w:sz="4" w:space="0" w:color="auto"/>
            </w:tcBorders>
            <w:shd w:val="clear" w:color="auto" w:fill="FFFFFF" w:themeFill="background1"/>
            <w:noWrap/>
            <w:vAlign w:val="center"/>
            <w:hideMark/>
          </w:tcPr>
          <w:p w14:paraId="5C4B1929" w14:textId="77777777" w:rsidR="00630125" w:rsidRPr="00710FCA" w:rsidRDefault="00630125" w:rsidP="003F088D">
            <w:pPr>
              <w:spacing w:before="0"/>
              <w:jc w:val="center"/>
              <w:rPr>
                <w:rFonts w:cs="Calibri"/>
                <w:b w:val="0"/>
                <w:sz w:val="18"/>
                <w:szCs w:val="18"/>
                <w:lang w:val="hy-AM" w:eastAsia="en-US"/>
              </w:rPr>
            </w:pPr>
            <w:r w:rsidRPr="00710FCA">
              <w:rPr>
                <w:rFonts w:cs="Calibri"/>
                <w:b w:val="0"/>
                <w:sz w:val="18"/>
                <w:szCs w:val="18"/>
                <w:lang w:val="hy-AM" w:eastAsia="en-US"/>
              </w:rPr>
              <w:t>359</w:t>
            </w:r>
            <w:r w:rsidRPr="00710FCA">
              <w:rPr>
                <w:rFonts w:cs="Calibri"/>
                <w:b w:val="0"/>
                <w:sz w:val="18"/>
                <w:szCs w:val="18"/>
                <w:lang w:val="en-US" w:eastAsia="en-US"/>
              </w:rPr>
              <w:t>.4</w:t>
            </w:r>
          </w:p>
        </w:tc>
        <w:tc>
          <w:tcPr>
            <w:tcW w:w="1403" w:type="dxa"/>
            <w:tcBorders>
              <w:top w:val="single" w:sz="4" w:space="0" w:color="auto"/>
            </w:tcBorders>
            <w:shd w:val="clear" w:color="auto" w:fill="FFFFFF" w:themeFill="background1"/>
            <w:noWrap/>
            <w:vAlign w:val="center"/>
            <w:hideMark/>
          </w:tcPr>
          <w:p w14:paraId="48113201" w14:textId="77777777" w:rsidR="00630125" w:rsidRPr="00710FCA" w:rsidRDefault="00630125" w:rsidP="003F088D">
            <w:pPr>
              <w:spacing w:before="0"/>
              <w:jc w:val="center"/>
              <w:rPr>
                <w:rFonts w:cs="Calibri"/>
                <w:b w:val="0"/>
                <w:sz w:val="18"/>
                <w:szCs w:val="18"/>
                <w:lang w:val="en-US" w:eastAsia="en-US"/>
              </w:rPr>
            </w:pPr>
            <w:r w:rsidRPr="00710FCA">
              <w:rPr>
                <w:rFonts w:cs="Calibri"/>
                <w:b w:val="0"/>
                <w:sz w:val="18"/>
                <w:szCs w:val="18"/>
                <w:lang w:val="en-US" w:eastAsia="en-US"/>
              </w:rPr>
              <w:t>101.2</w:t>
            </w:r>
          </w:p>
        </w:tc>
        <w:tc>
          <w:tcPr>
            <w:tcW w:w="1292" w:type="dxa"/>
            <w:tcBorders>
              <w:top w:val="single" w:sz="4" w:space="0" w:color="auto"/>
            </w:tcBorders>
            <w:shd w:val="clear" w:color="auto" w:fill="FFFFFF" w:themeFill="background1"/>
            <w:noWrap/>
            <w:vAlign w:val="center"/>
          </w:tcPr>
          <w:p w14:paraId="56B830B8" w14:textId="77777777" w:rsidR="00630125" w:rsidRPr="00710FCA" w:rsidRDefault="00630125" w:rsidP="003F088D">
            <w:pPr>
              <w:spacing w:before="0" w:line="240" w:lineRule="auto"/>
              <w:jc w:val="center"/>
              <w:rPr>
                <w:rFonts w:cs="Calibri"/>
                <w:b w:val="0"/>
                <w:sz w:val="18"/>
                <w:szCs w:val="18"/>
                <w:lang w:eastAsia="en-US"/>
              </w:rPr>
            </w:pPr>
            <w:r w:rsidRPr="00710FCA">
              <w:rPr>
                <w:rFonts w:cs="Calibri"/>
                <w:b w:val="0"/>
                <w:sz w:val="18"/>
                <w:szCs w:val="18"/>
                <w:lang w:val="en-US" w:eastAsia="en-US"/>
              </w:rPr>
              <w:t>288.1</w:t>
            </w:r>
          </w:p>
        </w:tc>
        <w:tc>
          <w:tcPr>
            <w:tcW w:w="1245" w:type="dxa"/>
            <w:tcBorders>
              <w:top w:val="single" w:sz="4" w:space="0" w:color="auto"/>
            </w:tcBorders>
            <w:shd w:val="clear" w:color="auto" w:fill="FFFFFF" w:themeFill="background1"/>
            <w:vAlign w:val="center"/>
          </w:tcPr>
          <w:p w14:paraId="7331F34F" w14:textId="77777777" w:rsidR="00630125" w:rsidRPr="00710FCA" w:rsidRDefault="00630125" w:rsidP="003F088D">
            <w:pPr>
              <w:spacing w:before="0" w:line="240" w:lineRule="auto"/>
              <w:jc w:val="center"/>
              <w:rPr>
                <w:rFonts w:cs="Calibri"/>
                <w:b w:val="0"/>
                <w:sz w:val="18"/>
                <w:szCs w:val="18"/>
                <w:lang w:val="hy-AM" w:eastAsia="en-US"/>
              </w:rPr>
            </w:pPr>
            <w:r w:rsidRPr="00710FCA">
              <w:rPr>
                <w:rFonts w:cs="Calibri"/>
                <w:b w:val="0"/>
                <w:sz w:val="18"/>
                <w:szCs w:val="18"/>
                <w:lang w:val="en-US" w:eastAsia="en-US"/>
              </w:rPr>
              <w:t>3</w:t>
            </w:r>
            <w:r w:rsidRPr="00710FCA">
              <w:rPr>
                <w:rFonts w:cs="Calibri"/>
                <w:b w:val="0"/>
                <w:sz w:val="18"/>
                <w:szCs w:val="18"/>
                <w:lang w:val="hy-AM" w:eastAsia="en-US"/>
              </w:rPr>
              <w:t>02</w:t>
            </w:r>
            <w:r w:rsidRPr="00710FCA">
              <w:rPr>
                <w:rFonts w:cs="Calibri"/>
                <w:b w:val="0"/>
                <w:sz w:val="18"/>
                <w:szCs w:val="18"/>
                <w:lang w:val="en-US" w:eastAsia="en-US"/>
              </w:rPr>
              <w:t>.8</w:t>
            </w:r>
          </w:p>
        </w:tc>
        <w:tc>
          <w:tcPr>
            <w:tcW w:w="1483" w:type="dxa"/>
            <w:tcBorders>
              <w:top w:val="single" w:sz="4" w:space="0" w:color="auto"/>
            </w:tcBorders>
            <w:shd w:val="clear" w:color="auto" w:fill="FFFFFF" w:themeFill="background1"/>
          </w:tcPr>
          <w:p w14:paraId="5E501030" w14:textId="77777777" w:rsidR="00630125" w:rsidRPr="00710FCA" w:rsidRDefault="00630125" w:rsidP="003F088D">
            <w:pPr>
              <w:spacing w:before="0" w:line="240" w:lineRule="auto"/>
              <w:jc w:val="center"/>
              <w:rPr>
                <w:rFonts w:cs="Calibri"/>
                <w:b w:val="0"/>
                <w:sz w:val="18"/>
                <w:szCs w:val="18"/>
                <w:lang w:val="en-US" w:eastAsia="en-US"/>
              </w:rPr>
            </w:pPr>
          </w:p>
          <w:p w14:paraId="4089F042" w14:textId="77777777" w:rsidR="00630125" w:rsidRPr="002D617F" w:rsidRDefault="00630125" w:rsidP="003F088D">
            <w:pPr>
              <w:spacing w:before="0" w:line="240" w:lineRule="auto"/>
              <w:jc w:val="center"/>
              <w:rPr>
                <w:rFonts w:cs="Calibri"/>
                <w:b w:val="0"/>
                <w:sz w:val="18"/>
                <w:szCs w:val="18"/>
                <w:lang w:val="hy-AM" w:eastAsia="en-US"/>
              </w:rPr>
            </w:pPr>
            <w:r>
              <w:rPr>
                <w:rFonts w:cs="Calibri"/>
                <w:b w:val="0"/>
                <w:sz w:val="18"/>
                <w:szCs w:val="18"/>
                <w:lang w:val="en-US" w:eastAsia="en-US"/>
              </w:rPr>
              <w:t>351.2</w:t>
            </w:r>
          </w:p>
          <w:p w14:paraId="06D2E042" w14:textId="77777777" w:rsidR="00630125" w:rsidRPr="00710FCA" w:rsidRDefault="00630125" w:rsidP="003F088D">
            <w:pPr>
              <w:spacing w:before="0" w:line="240" w:lineRule="auto"/>
              <w:jc w:val="center"/>
              <w:rPr>
                <w:rFonts w:cs="Calibri"/>
                <w:b w:val="0"/>
                <w:sz w:val="18"/>
                <w:szCs w:val="18"/>
                <w:lang w:val="en-US" w:eastAsia="en-US"/>
              </w:rPr>
            </w:pPr>
          </w:p>
        </w:tc>
      </w:tr>
      <w:tr w:rsidR="00630125" w:rsidRPr="00710FCA" w14:paraId="4C0A3C95" w14:textId="77777777" w:rsidTr="003F088D">
        <w:tblPrEx>
          <w:shd w:val="clear" w:color="auto" w:fill="FFFFFF" w:themeFill="background1"/>
        </w:tblPrEx>
        <w:trPr>
          <w:trHeight w:val="809"/>
        </w:trPr>
        <w:tc>
          <w:tcPr>
            <w:tcW w:w="3150" w:type="dxa"/>
            <w:tcBorders>
              <w:bottom w:val="single" w:sz="4" w:space="0" w:color="auto"/>
            </w:tcBorders>
            <w:shd w:val="clear" w:color="auto" w:fill="FFFFFF" w:themeFill="background1"/>
            <w:vAlign w:val="center"/>
            <w:hideMark/>
          </w:tcPr>
          <w:p w14:paraId="772AB4C2" w14:textId="77777777" w:rsidR="00630125" w:rsidRPr="00710FCA" w:rsidRDefault="00630125" w:rsidP="003F088D">
            <w:pPr>
              <w:spacing w:before="0"/>
              <w:jc w:val="left"/>
              <w:rPr>
                <w:rFonts w:cs="Calibri"/>
                <w:b w:val="0"/>
                <w:sz w:val="18"/>
                <w:szCs w:val="18"/>
                <w:lang w:val="en-US" w:eastAsia="en-US"/>
              </w:rPr>
            </w:pPr>
            <w:r w:rsidRPr="00710FCA">
              <w:rPr>
                <w:rFonts w:cs="Calibri"/>
                <w:b w:val="0"/>
                <w:sz w:val="18"/>
                <w:szCs w:val="18"/>
                <w:lang w:val="en-US" w:eastAsia="en-US"/>
              </w:rPr>
              <w:t xml:space="preserve">Բ. Արտաքին աղբյուրներ </w:t>
            </w:r>
          </w:p>
        </w:tc>
        <w:tc>
          <w:tcPr>
            <w:tcW w:w="1170" w:type="dxa"/>
            <w:tcBorders>
              <w:bottom w:val="single" w:sz="4" w:space="0" w:color="auto"/>
            </w:tcBorders>
            <w:shd w:val="clear" w:color="auto" w:fill="FFFFFF" w:themeFill="background1"/>
            <w:noWrap/>
            <w:vAlign w:val="center"/>
            <w:hideMark/>
          </w:tcPr>
          <w:p w14:paraId="3C6573FB" w14:textId="77777777" w:rsidR="00630125" w:rsidRPr="00710FCA" w:rsidRDefault="00630125" w:rsidP="003F088D">
            <w:pPr>
              <w:spacing w:before="0"/>
              <w:jc w:val="center"/>
              <w:rPr>
                <w:rFonts w:cs="Calibri"/>
                <w:b w:val="0"/>
                <w:sz w:val="18"/>
                <w:szCs w:val="18"/>
                <w:lang w:val="en-US" w:eastAsia="en-US"/>
              </w:rPr>
            </w:pPr>
            <w:r w:rsidRPr="00710FCA">
              <w:rPr>
                <w:rFonts w:cs="Calibri"/>
                <w:b w:val="0"/>
                <w:sz w:val="18"/>
                <w:szCs w:val="18"/>
                <w:lang w:val="en-US" w:eastAsia="en-US"/>
              </w:rPr>
              <w:t>(</w:t>
            </w:r>
            <w:r w:rsidRPr="00710FCA">
              <w:rPr>
                <w:rFonts w:cs="Calibri"/>
                <w:b w:val="0"/>
                <w:sz w:val="18"/>
                <w:szCs w:val="18"/>
                <w:lang w:val="hy-AM" w:eastAsia="en-US"/>
              </w:rPr>
              <w:t>25</w:t>
            </w:r>
            <w:r w:rsidRPr="00710FCA">
              <w:rPr>
                <w:rFonts w:cs="Calibri"/>
                <w:b w:val="0"/>
                <w:sz w:val="18"/>
                <w:szCs w:val="18"/>
                <w:lang w:val="en-US" w:eastAsia="en-US"/>
              </w:rPr>
              <w:t>.4)</w:t>
            </w:r>
          </w:p>
        </w:tc>
        <w:tc>
          <w:tcPr>
            <w:tcW w:w="1403" w:type="dxa"/>
            <w:tcBorders>
              <w:bottom w:val="single" w:sz="4" w:space="0" w:color="auto"/>
            </w:tcBorders>
            <w:shd w:val="clear" w:color="auto" w:fill="FFFFFF" w:themeFill="background1"/>
            <w:noWrap/>
            <w:vAlign w:val="center"/>
            <w:hideMark/>
          </w:tcPr>
          <w:p w14:paraId="1B1F479E" w14:textId="77777777" w:rsidR="00630125" w:rsidRPr="00710FCA" w:rsidRDefault="00630125" w:rsidP="003F088D">
            <w:pPr>
              <w:spacing w:before="0"/>
              <w:jc w:val="center"/>
              <w:rPr>
                <w:rFonts w:cs="Calibri"/>
                <w:b w:val="0"/>
                <w:sz w:val="18"/>
                <w:szCs w:val="18"/>
                <w:lang w:val="en-US" w:eastAsia="en-US"/>
              </w:rPr>
            </w:pPr>
            <w:r w:rsidRPr="00710FCA">
              <w:rPr>
                <w:rFonts w:cs="Calibri"/>
                <w:b w:val="0"/>
                <w:sz w:val="18"/>
                <w:szCs w:val="18"/>
                <w:lang w:val="en-US" w:eastAsia="en-US"/>
              </w:rPr>
              <w:t>219.3</w:t>
            </w:r>
          </w:p>
        </w:tc>
        <w:tc>
          <w:tcPr>
            <w:tcW w:w="1292" w:type="dxa"/>
            <w:tcBorders>
              <w:bottom w:val="single" w:sz="4" w:space="0" w:color="auto"/>
            </w:tcBorders>
            <w:shd w:val="clear" w:color="auto" w:fill="FFFFFF" w:themeFill="background1"/>
            <w:noWrap/>
            <w:vAlign w:val="center"/>
          </w:tcPr>
          <w:p w14:paraId="1A0B2D4D" w14:textId="77777777" w:rsidR="00630125" w:rsidRPr="00710FCA" w:rsidRDefault="00630125" w:rsidP="003F088D">
            <w:pPr>
              <w:spacing w:before="0" w:line="240" w:lineRule="auto"/>
              <w:jc w:val="center"/>
              <w:rPr>
                <w:rFonts w:cs="Calibri"/>
                <w:b w:val="0"/>
                <w:sz w:val="18"/>
                <w:szCs w:val="18"/>
                <w:lang w:val="en-US" w:eastAsia="en-US"/>
              </w:rPr>
            </w:pPr>
            <w:r w:rsidRPr="00710FCA">
              <w:rPr>
                <w:rFonts w:cs="Calibri"/>
                <w:b w:val="0"/>
                <w:sz w:val="18"/>
                <w:szCs w:val="18"/>
                <w:lang w:val="en-US" w:eastAsia="en-US"/>
              </w:rPr>
              <w:t>(108.6)</w:t>
            </w:r>
          </w:p>
        </w:tc>
        <w:tc>
          <w:tcPr>
            <w:tcW w:w="1245" w:type="dxa"/>
            <w:tcBorders>
              <w:bottom w:val="single" w:sz="4" w:space="0" w:color="auto"/>
            </w:tcBorders>
            <w:shd w:val="clear" w:color="auto" w:fill="FFFFFF" w:themeFill="background1"/>
            <w:vAlign w:val="center"/>
          </w:tcPr>
          <w:p w14:paraId="39D59F97" w14:textId="77777777" w:rsidR="00630125" w:rsidRPr="00710FCA" w:rsidRDefault="00630125" w:rsidP="003F088D">
            <w:pPr>
              <w:spacing w:before="0" w:line="240" w:lineRule="auto"/>
              <w:jc w:val="center"/>
              <w:rPr>
                <w:rFonts w:cs="Calibri"/>
                <w:b w:val="0"/>
                <w:sz w:val="18"/>
                <w:szCs w:val="18"/>
                <w:lang w:val="en-US" w:eastAsia="en-US"/>
              </w:rPr>
            </w:pPr>
            <w:r w:rsidRPr="00710FCA">
              <w:rPr>
                <w:rFonts w:cs="Calibri"/>
                <w:b w:val="0"/>
                <w:sz w:val="18"/>
                <w:szCs w:val="18"/>
                <w:lang w:val="en-US" w:eastAsia="en-US"/>
              </w:rPr>
              <w:t>(</w:t>
            </w:r>
            <w:r w:rsidRPr="00710FCA">
              <w:rPr>
                <w:rFonts w:cs="Calibri"/>
                <w:b w:val="0"/>
                <w:sz w:val="18"/>
                <w:szCs w:val="18"/>
                <w:lang w:val="hy-AM" w:eastAsia="en-US"/>
              </w:rPr>
              <w:t>13</w:t>
            </w:r>
            <w:r w:rsidRPr="00710FCA">
              <w:rPr>
                <w:rFonts w:cs="Calibri"/>
                <w:b w:val="0"/>
                <w:sz w:val="18"/>
                <w:szCs w:val="18"/>
                <w:lang w:val="en-US" w:eastAsia="en-US"/>
              </w:rPr>
              <w:t>.</w:t>
            </w:r>
            <w:r w:rsidRPr="00710FCA">
              <w:rPr>
                <w:rFonts w:cs="Calibri"/>
                <w:b w:val="0"/>
                <w:sz w:val="18"/>
                <w:szCs w:val="18"/>
                <w:lang w:val="hy-AM" w:eastAsia="en-US"/>
              </w:rPr>
              <w:t>9</w:t>
            </w:r>
            <w:r w:rsidRPr="00710FCA">
              <w:rPr>
                <w:rFonts w:cs="Calibri"/>
                <w:b w:val="0"/>
                <w:sz w:val="18"/>
                <w:szCs w:val="18"/>
                <w:lang w:val="en-US" w:eastAsia="en-US"/>
              </w:rPr>
              <w:t>)</w:t>
            </w:r>
          </w:p>
        </w:tc>
        <w:tc>
          <w:tcPr>
            <w:tcW w:w="1483" w:type="dxa"/>
            <w:tcBorders>
              <w:bottom w:val="single" w:sz="4" w:space="0" w:color="auto"/>
            </w:tcBorders>
            <w:shd w:val="clear" w:color="auto" w:fill="FFFFFF" w:themeFill="background1"/>
          </w:tcPr>
          <w:p w14:paraId="53583BAC" w14:textId="77777777" w:rsidR="00630125" w:rsidRPr="00710FCA" w:rsidRDefault="00630125" w:rsidP="003F088D">
            <w:pPr>
              <w:spacing w:before="0" w:line="240" w:lineRule="auto"/>
              <w:jc w:val="center"/>
              <w:rPr>
                <w:rFonts w:cs="Calibri"/>
                <w:b w:val="0"/>
                <w:sz w:val="18"/>
                <w:szCs w:val="18"/>
                <w:lang w:val="en-US" w:eastAsia="en-US"/>
              </w:rPr>
            </w:pPr>
          </w:p>
          <w:p w14:paraId="7AF60AD3" w14:textId="77777777" w:rsidR="00630125" w:rsidRPr="00710FCA" w:rsidRDefault="00630125" w:rsidP="003F088D">
            <w:pPr>
              <w:spacing w:before="0" w:line="240" w:lineRule="auto"/>
              <w:jc w:val="center"/>
              <w:rPr>
                <w:rFonts w:cs="Calibri"/>
                <w:b w:val="0"/>
                <w:sz w:val="18"/>
                <w:szCs w:val="18"/>
                <w:lang w:val="en-US" w:eastAsia="en-US"/>
              </w:rPr>
            </w:pPr>
            <w:r>
              <w:rPr>
                <w:rFonts w:cs="Calibri"/>
                <w:b w:val="0"/>
                <w:sz w:val="18"/>
                <w:szCs w:val="18"/>
                <w:lang w:val="en-US" w:eastAsia="en-US"/>
              </w:rPr>
              <w:t>131.7</w:t>
            </w:r>
          </w:p>
        </w:tc>
      </w:tr>
    </w:tbl>
    <w:p w14:paraId="3FC30AC1" w14:textId="77777777" w:rsidR="00630125" w:rsidRPr="00710FCA" w:rsidRDefault="00630125" w:rsidP="00630125">
      <w:pPr>
        <w:spacing w:before="0"/>
        <w:ind w:firstLine="360"/>
        <w:rPr>
          <w:rFonts w:cs="Sylfaen"/>
          <w:b w:val="0"/>
          <w:szCs w:val="22"/>
          <w:lang w:val="en-US" w:eastAsia="en-US"/>
        </w:rPr>
      </w:pPr>
    </w:p>
    <w:p w14:paraId="388053CC" w14:textId="77777777" w:rsidR="00630125" w:rsidRPr="00710FCA" w:rsidRDefault="00630125" w:rsidP="00630125">
      <w:pPr>
        <w:rPr>
          <w:b w:val="0"/>
          <w:szCs w:val="22"/>
          <w:lang w:val="hy-AM" w:eastAsia="en-US"/>
        </w:rPr>
      </w:pPr>
      <w:r w:rsidRPr="00710FCA">
        <w:rPr>
          <w:rFonts w:cs="Sylfaen"/>
          <w:b w:val="0"/>
          <w:szCs w:val="22"/>
          <w:lang w:val="en-US" w:eastAsia="en-US"/>
        </w:rPr>
        <w:t>Պետական</w:t>
      </w:r>
      <w:r w:rsidRPr="00710FCA">
        <w:rPr>
          <w:b w:val="0"/>
          <w:szCs w:val="22"/>
          <w:lang w:val="en-US" w:eastAsia="en-US"/>
        </w:rPr>
        <w:t xml:space="preserve"> </w:t>
      </w:r>
      <w:r w:rsidRPr="00710FCA">
        <w:rPr>
          <w:rFonts w:cs="Sylfaen"/>
          <w:b w:val="0"/>
          <w:szCs w:val="22"/>
          <w:lang w:val="en-US" w:eastAsia="en-US"/>
        </w:rPr>
        <w:t>բյուջեի</w:t>
      </w:r>
      <w:r w:rsidRPr="00710FCA">
        <w:rPr>
          <w:b w:val="0"/>
          <w:szCs w:val="22"/>
          <w:lang w:val="en-US" w:eastAsia="en-US"/>
        </w:rPr>
        <w:t xml:space="preserve"> </w:t>
      </w:r>
      <w:r w:rsidRPr="00710FCA">
        <w:rPr>
          <w:rFonts w:cs="Sylfaen"/>
          <w:b w:val="0"/>
          <w:szCs w:val="22"/>
          <w:lang w:val="en-US" w:eastAsia="en-US"/>
        </w:rPr>
        <w:t>դեֆիցիտի</w:t>
      </w:r>
      <w:r w:rsidRPr="00710FCA">
        <w:rPr>
          <w:b w:val="0"/>
          <w:szCs w:val="22"/>
          <w:lang w:val="en-US" w:eastAsia="en-US"/>
        </w:rPr>
        <w:t xml:space="preserve"> </w:t>
      </w:r>
      <w:r w:rsidRPr="00710FCA">
        <w:rPr>
          <w:rFonts w:cs="Sylfaen"/>
          <w:b w:val="0"/>
          <w:szCs w:val="22"/>
          <w:lang w:val="en-US" w:eastAsia="en-US"/>
        </w:rPr>
        <w:t>հարաբերակցությունը</w:t>
      </w:r>
      <w:r w:rsidRPr="00710FCA">
        <w:rPr>
          <w:b w:val="0"/>
          <w:szCs w:val="22"/>
          <w:lang w:val="en-US" w:eastAsia="en-US"/>
        </w:rPr>
        <w:t xml:space="preserve"> </w:t>
      </w:r>
      <w:r w:rsidRPr="00710FCA">
        <w:rPr>
          <w:rFonts w:cs="Sylfaen"/>
          <w:b w:val="0"/>
          <w:szCs w:val="22"/>
          <w:lang w:val="en-US" w:eastAsia="en-US"/>
        </w:rPr>
        <w:t>ՀՆԱ-ի</w:t>
      </w:r>
      <w:r w:rsidRPr="00710FCA">
        <w:rPr>
          <w:b w:val="0"/>
          <w:szCs w:val="22"/>
          <w:lang w:val="en-US" w:eastAsia="en-US"/>
        </w:rPr>
        <w:t xml:space="preserve"> </w:t>
      </w:r>
      <w:r w:rsidRPr="00710FCA">
        <w:rPr>
          <w:rFonts w:cs="Sylfaen"/>
          <w:b w:val="0"/>
          <w:szCs w:val="22"/>
          <w:lang w:val="en-US" w:eastAsia="en-US"/>
        </w:rPr>
        <w:t>նկատմամբ</w:t>
      </w:r>
      <w:r w:rsidRPr="00710FCA">
        <w:rPr>
          <w:b w:val="0"/>
          <w:szCs w:val="22"/>
          <w:lang w:val="en-US" w:eastAsia="en-US"/>
        </w:rPr>
        <w:t xml:space="preserve"> 2024 թվակա</w:t>
      </w:r>
      <w:r w:rsidRPr="00710FCA">
        <w:rPr>
          <w:rFonts w:cs="Sylfaen"/>
          <w:b w:val="0"/>
          <w:szCs w:val="22"/>
          <w:lang w:val="en-US" w:eastAsia="en-US"/>
        </w:rPr>
        <w:t>նին</w:t>
      </w:r>
      <w:r w:rsidRPr="00710FCA">
        <w:rPr>
          <w:b w:val="0"/>
          <w:szCs w:val="22"/>
          <w:lang w:val="en-US" w:eastAsia="en-US"/>
        </w:rPr>
        <w:t xml:space="preserve"> </w:t>
      </w:r>
      <w:r>
        <w:rPr>
          <w:rFonts w:cs="Sylfaen"/>
          <w:b w:val="0"/>
          <w:szCs w:val="22"/>
          <w:lang w:val="en-US" w:eastAsia="en-US"/>
        </w:rPr>
        <w:t xml:space="preserve">կկազմի 4.6 </w:t>
      </w:r>
      <w:r w:rsidRPr="00710FCA">
        <w:rPr>
          <w:b w:val="0"/>
          <w:szCs w:val="22"/>
          <w:lang w:val="en-US" w:eastAsia="en-US"/>
        </w:rPr>
        <w:t xml:space="preserve">%: </w:t>
      </w:r>
      <w:r w:rsidRPr="00710FCA">
        <w:rPr>
          <w:rFonts w:cs="Sylfaen"/>
          <w:b w:val="0"/>
          <w:szCs w:val="22"/>
          <w:lang w:val="en-US" w:eastAsia="en-US"/>
        </w:rPr>
        <w:t>Ինչպես 2024-2026թթ միջնաժամկետ ծախսային ծրագրում, ՀՀ 2024թ բյուջեում նույն</w:t>
      </w:r>
      <w:r w:rsidRPr="00710FCA">
        <w:rPr>
          <w:rFonts w:cs="Sylfaen"/>
          <w:b w:val="0"/>
          <w:szCs w:val="22"/>
          <w:lang w:val="en-US" w:eastAsia="en-US"/>
        </w:rPr>
        <w:softHyphen/>
      </w:r>
      <w:r w:rsidRPr="00710FCA">
        <w:rPr>
          <w:rFonts w:cs="Sylfaen"/>
          <w:b w:val="0"/>
          <w:szCs w:val="22"/>
          <w:lang w:val="en-US" w:eastAsia="en-US"/>
        </w:rPr>
        <w:softHyphen/>
        <w:t xml:space="preserve">պես պահպանվել է </w:t>
      </w:r>
      <w:r w:rsidRPr="00710FCA">
        <w:rPr>
          <w:rFonts w:cs="Sylfaen"/>
          <w:b w:val="0"/>
          <w:szCs w:val="22"/>
          <w:lang w:val="hy-AM" w:eastAsia="en-US"/>
        </w:rPr>
        <w:t>ՀՀ</w:t>
      </w:r>
      <w:r w:rsidRPr="00710FCA">
        <w:rPr>
          <w:b w:val="0"/>
          <w:szCs w:val="22"/>
          <w:lang w:val="hy-AM" w:eastAsia="en-US"/>
        </w:rPr>
        <w:t xml:space="preserve"> </w:t>
      </w:r>
      <w:r w:rsidRPr="00710FCA">
        <w:rPr>
          <w:rFonts w:cs="Sylfaen"/>
          <w:b w:val="0"/>
          <w:szCs w:val="22"/>
          <w:lang w:val="hy-AM" w:eastAsia="en-US"/>
        </w:rPr>
        <w:t>պետական</w:t>
      </w:r>
      <w:r w:rsidRPr="00710FCA">
        <w:rPr>
          <w:b w:val="0"/>
          <w:szCs w:val="22"/>
          <w:lang w:val="hy-AM" w:eastAsia="en-US"/>
        </w:rPr>
        <w:t xml:space="preserve"> </w:t>
      </w:r>
      <w:r w:rsidRPr="00710FCA">
        <w:rPr>
          <w:rFonts w:cs="Sylfaen"/>
          <w:b w:val="0"/>
          <w:szCs w:val="22"/>
          <w:lang w:val="hy-AM" w:eastAsia="en-US"/>
        </w:rPr>
        <w:t>բյուջեի</w:t>
      </w:r>
      <w:r w:rsidRPr="00710FCA">
        <w:rPr>
          <w:rFonts w:cs="Sylfaen"/>
          <w:b w:val="0"/>
          <w:szCs w:val="22"/>
          <w:lang w:val="en-US" w:eastAsia="en-US"/>
        </w:rPr>
        <w:t xml:space="preserve"> </w:t>
      </w:r>
      <w:r w:rsidRPr="00710FCA">
        <w:rPr>
          <w:rFonts w:cs="Sylfaen"/>
          <w:b w:val="0"/>
          <w:szCs w:val="22"/>
          <w:lang w:val="hy-AM" w:eastAsia="en-US"/>
        </w:rPr>
        <w:t>կախվա</w:t>
      </w:r>
      <w:r w:rsidRPr="00710FCA">
        <w:rPr>
          <w:rFonts w:cs="Sylfaen"/>
          <w:b w:val="0"/>
          <w:szCs w:val="22"/>
          <w:lang w:val="hy-AM" w:eastAsia="en-US"/>
        </w:rPr>
        <w:softHyphen/>
        <w:t>ծու</w:t>
      </w:r>
      <w:r w:rsidRPr="00710FCA">
        <w:rPr>
          <w:rFonts w:cs="Sylfaen"/>
          <w:b w:val="0"/>
          <w:szCs w:val="22"/>
          <w:lang w:val="hy-AM" w:eastAsia="en-US"/>
        </w:rPr>
        <w:softHyphen/>
        <w:t>թյունն</w:t>
      </w:r>
      <w:r w:rsidRPr="00710FCA">
        <w:rPr>
          <w:b w:val="0"/>
          <w:szCs w:val="22"/>
          <w:lang w:val="hy-AM" w:eastAsia="en-US"/>
        </w:rPr>
        <w:t xml:space="preserve"> </w:t>
      </w:r>
      <w:r w:rsidRPr="00710FCA">
        <w:rPr>
          <w:rFonts w:cs="Sylfaen"/>
          <w:b w:val="0"/>
          <w:szCs w:val="22"/>
          <w:lang w:val="hy-AM" w:eastAsia="en-US"/>
        </w:rPr>
        <w:t>արտաքին</w:t>
      </w:r>
      <w:r w:rsidRPr="00710FCA">
        <w:rPr>
          <w:b w:val="0"/>
          <w:szCs w:val="22"/>
          <w:lang w:val="hy-AM" w:eastAsia="en-US"/>
        </w:rPr>
        <w:t xml:space="preserve"> </w:t>
      </w:r>
      <w:r w:rsidRPr="00710FCA">
        <w:rPr>
          <w:rFonts w:cs="Sylfaen"/>
          <w:b w:val="0"/>
          <w:szCs w:val="22"/>
          <w:lang w:val="hy-AM" w:eastAsia="en-US"/>
        </w:rPr>
        <w:t>ֆինանսավորման</w:t>
      </w:r>
      <w:r w:rsidRPr="00710FCA">
        <w:rPr>
          <w:b w:val="0"/>
          <w:szCs w:val="22"/>
          <w:lang w:val="hy-AM" w:eastAsia="en-US"/>
        </w:rPr>
        <w:t xml:space="preserve"> </w:t>
      </w:r>
      <w:r w:rsidRPr="00710FCA">
        <w:rPr>
          <w:rFonts w:cs="Sylfaen"/>
          <w:b w:val="0"/>
          <w:szCs w:val="22"/>
          <w:lang w:val="hy-AM" w:eastAsia="en-US"/>
        </w:rPr>
        <w:t>աղբյուր</w:t>
      </w:r>
      <w:r w:rsidRPr="00710FCA">
        <w:rPr>
          <w:rFonts w:cs="Sylfaen"/>
          <w:b w:val="0"/>
          <w:szCs w:val="22"/>
          <w:lang w:val="en-US" w:eastAsia="en-US"/>
        </w:rPr>
        <w:softHyphen/>
      </w:r>
      <w:r w:rsidRPr="00710FCA">
        <w:rPr>
          <w:rFonts w:cs="Sylfaen"/>
          <w:b w:val="0"/>
          <w:szCs w:val="22"/>
          <w:lang w:val="en-US" w:eastAsia="en-US"/>
        </w:rPr>
        <w:softHyphen/>
      </w:r>
      <w:r w:rsidRPr="00710FCA">
        <w:rPr>
          <w:rFonts w:cs="Sylfaen"/>
          <w:b w:val="0"/>
          <w:szCs w:val="22"/>
          <w:lang w:val="hy-AM" w:eastAsia="en-US"/>
        </w:rPr>
        <w:t>ներից</w:t>
      </w:r>
      <w:r w:rsidRPr="00710FCA">
        <w:rPr>
          <w:b w:val="0"/>
          <w:szCs w:val="22"/>
          <w:lang w:val="hy-AM" w:eastAsia="en-US"/>
        </w:rPr>
        <w:t xml:space="preserve"> (</w:t>
      </w:r>
      <w:r w:rsidRPr="00710FCA">
        <w:rPr>
          <w:rFonts w:cs="Sylfaen"/>
          <w:b w:val="0"/>
          <w:szCs w:val="22"/>
          <w:lang w:val="hy-AM" w:eastAsia="en-US"/>
        </w:rPr>
        <w:t>արտասահմանյան</w:t>
      </w:r>
      <w:r w:rsidRPr="00710FCA">
        <w:rPr>
          <w:b w:val="0"/>
          <w:szCs w:val="22"/>
          <w:lang w:val="hy-AM" w:eastAsia="en-US"/>
        </w:rPr>
        <w:t xml:space="preserve"> </w:t>
      </w:r>
      <w:r w:rsidRPr="00710FCA">
        <w:rPr>
          <w:rFonts w:cs="Sylfaen"/>
          <w:b w:val="0"/>
          <w:szCs w:val="22"/>
          <w:lang w:val="hy-AM" w:eastAsia="en-US"/>
        </w:rPr>
        <w:t>վարկերից</w:t>
      </w:r>
      <w:r w:rsidRPr="00710FCA">
        <w:rPr>
          <w:b w:val="0"/>
          <w:szCs w:val="22"/>
          <w:lang w:val="hy-AM" w:eastAsia="en-US"/>
        </w:rPr>
        <w:t xml:space="preserve"> </w:t>
      </w:r>
      <w:r w:rsidRPr="00710FCA">
        <w:rPr>
          <w:rFonts w:cs="Sylfaen"/>
          <w:b w:val="0"/>
          <w:szCs w:val="22"/>
          <w:lang w:val="hy-AM" w:eastAsia="en-US"/>
        </w:rPr>
        <w:t>և</w:t>
      </w:r>
      <w:r w:rsidRPr="00710FCA">
        <w:rPr>
          <w:b w:val="0"/>
          <w:szCs w:val="22"/>
          <w:lang w:val="hy-AM" w:eastAsia="en-US"/>
        </w:rPr>
        <w:t xml:space="preserve"> </w:t>
      </w:r>
      <w:r w:rsidRPr="00710FCA">
        <w:rPr>
          <w:rFonts w:cs="Sylfaen"/>
          <w:b w:val="0"/>
          <w:szCs w:val="22"/>
          <w:lang w:val="hy-AM" w:eastAsia="en-US"/>
        </w:rPr>
        <w:t>պաշտո</w:t>
      </w:r>
      <w:r w:rsidRPr="00710FCA">
        <w:rPr>
          <w:rFonts w:cs="Sylfaen"/>
          <w:b w:val="0"/>
          <w:szCs w:val="22"/>
          <w:lang w:val="hy-AM" w:eastAsia="en-US"/>
        </w:rPr>
        <w:softHyphen/>
        <w:t>նական</w:t>
      </w:r>
      <w:r w:rsidRPr="00710FCA">
        <w:rPr>
          <w:b w:val="0"/>
          <w:szCs w:val="22"/>
          <w:lang w:val="hy-AM" w:eastAsia="en-US"/>
        </w:rPr>
        <w:t xml:space="preserve"> </w:t>
      </w:r>
      <w:r w:rsidRPr="00710FCA">
        <w:rPr>
          <w:rFonts w:cs="Sylfaen"/>
          <w:b w:val="0"/>
          <w:szCs w:val="22"/>
          <w:lang w:val="hy-AM" w:eastAsia="en-US"/>
        </w:rPr>
        <w:t>դրամաշնորհ</w:t>
      </w:r>
      <w:r w:rsidRPr="00710FCA">
        <w:rPr>
          <w:rFonts w:cs="Sylfaen"/>
          <w:b w:val="0"/>
          <w:szCs w:val="22"/>
          <w:lang w:val="hy-AM" w:eastAsia="en-US"/>
        </w:rPr>
        <w:softHyphen/>
        <w:t>ներից</w:t>
      </w:r>
      <w:r w:rsidRPr="00710FCA">
        <w:rPr>
          <w:b w:val="0"/>
          <w:szCs w:val="22"/>
          <w:lang w:val="hy-AM" w:eastAsia="en-US"/>
        </w:rPr>
        <w:t>):</w:t>
      </w:r>
    </w:p>
    <w:p w14:paraId="2E1B901A" w14:textId="77777777" w:rsidR="00630125" w:rsidRPr="00710FCA" w:rsidRDefault="00630125" w:rsidP="00630125">
      <w:pPr>
        <w:spacing w:before="0"/>
        <w:rPr>
          <w:b w:val="0"/>
          <w:bCs/>
          <w:sz w:val="18"/>
          <w:szCs w:val="18"/>
          <w:lang w:val="en-US"/>
        </w:rPr>
      </w:pPr>
    </w:p>
    <w:p w14:paraId="72740ADC" w14:textId="5544D169" w:rsidR="00630125" w:rsidRPr="00710FCA" w:rsidRDefault="00630125" w:rsidP="00630125">
      <w:pPr>
        <w:spacing w:after="200"/>
        <w:rPr>
          <w:b w:val="0"/>
          <w:bCs/>
          <w:szCs w:val="22"/>
          <w:lang w:val="hy-AM"/>
        </w:rPr>
      </w:pPr>
      <w:bookmarkStart w:id="208" w:name="_Toc152324766"/>
      <w:bookmarkStart w:id="209" w:name="_Toc83728698"/>
      <w:bookmarkStart w:id="210" w:name="_Toc115283830"/>
      <w:r w:rsidRPr="00710FCA">
        <w:rPr>
          <w:bCs/>
          <w:szCs w:val="22"/>
          <w:lang w:val="hy-AM"/>
        </w:rPr>
        <w:t xml:space="preserve">Աղյուսակ </w:t>
      </w:r>
      <w:r w:rsidRPr="00710FCA">
        <w:rPr>
          <w:bCs/>
          <w:szCs w:val="22"/>
          <w:lang w:val="hy-AM"/>
        </w:rPr>
        <w:fldChar w:fldCharType="begin"/>
      </w:r>
      <w:r w:rsidRPr="00710FCA">
        <w:rPr>
          <w:bCs/>
          <w:szCs w:val="22"/>
          <w:lang w:val="hy-AM"/>
        </w:rPr>
        <w:instrText xml:space="preserve"> SEQ Աղյուսակ \* ARABIC </w:instrText>
      </w:r>
      <w:r w:rsidRPr="00710FCA">
        <w:rPr>
          <w:bCs/>
          <w:szCs w:val="22"/>
          <w:lang w:val="hy-AM"/>
        </w:rPr>
        <w:fldChar w:fldCharType="separate"/>
      </w:r>
      <w:r w:rsidR="00DB4E68">
        <w:rPr>
          <w:bCs/>
          <w:noProof/>
          <w:szCs w:val="22"/>
          <w:lang w:val="hy-AM"/>
        </w:rPr>
        <w:t>4</w:t>
      </w:r>
      <w:r w:rsidRPr="00710FCA">
        <w:rPr>
          <w:bCs/>
          <w:szCs w:val="22"/>
          <w:lang w:val="hy-AM"/>
        </w:rPr>
        <w:fldChar w:fldCharType="end"/>
      </w:r>
      <w:r w:rsidRPr="00710FCA">
        <w:rPr>
          <w:rFonts w:ascii="Cambria Math" w:hAnsi="Cambria Math" w:cs="Cambria Math"/>
          <w:b w:val="0"/>
          <w:bCs/>
          <w:szCs w:val="22"/>
          <w:lang w:val="hy-AM"/>
        </w:rPr>
        <w:t>․</w:t>
      </w:r>
      <w:r w:rsidRPr="00710FCA">
        <w:rPr>
          <w:b w:val="0"/>
          <w:bCs/>
          <w:szCs w:val="22"/>
          <w:lang w:val="hy-AM"/>
        </w:rPr>
        <w:t xml:space="preserve"> Ընդհանուր և առաջնային դեֆիցիտները, %-ով ՀՆԱ-ի նկատմամբ</w:t>
      </w:r>
      <w:bookmarkEnd w:id="208"/>
      <w:r w:rsidRPr="00710FCA">
        <w:rPr>
          <w:b w:val="0"/>
          <w:bCs/>
          <w:szCs w:val="22"/>
          <w:lang w:val="hy-AM"/>
        </w:rPr>
        <w:t xml:space="preserve"> </w:t>
      </w:r>
      <w:bookmarkEnd w:id="209"/>
      <w:bookmarkEnd w:id="210"/>
    </w:p>
    <w:tbl>
      <w:tblPr>
        <w:tblW w:w="9095" w:type="dxa"/>
        <w:tblInd w:w="355" w:type="dxa"/>
        <w:shd w:val="clear" w:color="auto" w:fill="FFFFFF" w:themeFill="background1"/>
        <w:tblLayout w:type="fixed"/>
        <w:tblLook w:val="0000" w:firstRow="0" w:lastRow="0" w:firstColumn="0" w:lastColumn="0" w:noHBand="0" w:noVBand="0"/>
      </w:tblPr>
      <w:tblGrid>
        <w:gridCol w:w="7043"/>
        <w:gridCol w:w="2052"/>
      </w:tblGrid>
      <w:tr w:rsidR="00630125" w:rsidRPr="000836FC" w14:paraId="00F9F3F0" w14:textId="77777777" w:rsidTr="003F088D">
        <w:trPr>
          <w:trHeight w:val="681"/>
        </w:trPr>
        <w:tc>
          <w:tcPr>
            <w:tcW w:w="7043" w:type="dxa"/>
            <w:tcBorders>
              <w:bottom w:val="single" w:sz="4" w:space="0" w:color="auto"/>
            </w:tcBorders>
            <w:shd w:val="clear" w:color="auto" w:fill="FFFFFF" w:themeFill="background1"/>
            <w:vAlign w:val="center"/>
          </w:tcPr>
          <w:p w14:paraId="68D19CD2"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Ցուցանիշներ</w:t>
            </w:r>
          </w:p>
        </w:tc>
        <w:tc>
          <w:tcPr>
            <w:tcW w:w="2052" w:type="dxa"/>
            <w:tcBorders>
              <w:bottom w:val="single" w:sz="4" w:space="0" w:color="auto"/>
            </w:tcBorders>
            <w:shd w:val="clear" w:color="auto" w:fill="FFFFFF" w:themeFill="background1"/>
            <w:vAlign w:val="center"/>
          </w:tcPr>
          <w:p w14:paraId="4C7A0AB7" w14:textId="77777777" w:rsidR="00630125" w:rsidRPr="00710FCA" w:rsidRDefault="00630125" w:rsidP="003F088D">
            <w:pPr>
              <w:spacing w:before="0" w:line="240" w:lineRule="auto"/>
              <w:jc w:val="center"/>
              <w:rPr>
                <w:rFonts w:cs="Calibri"/>
                <w:b w:val="0"/>
                <w:color w:val="000000"/>
                <w:sz w:val="18"/>
                <w:szCs w:val="18"/>
                <w:lang w:val="en-US" w:eastAsia="en-US"/>
              </w:rPr>
            </w:pPr>
            <w:r w:rsidRPr="00710FCA">
              <w:rPr>
                <w:rFonts w:cs="Calibri"/>
                <w:b w:val="0"/>
                <w:color w:val="000000"/>
                <w:sz w:val="18"/>
                <w:szCs w:val="18"/>
                <w:lang w:val="en-US" w:eastAsia="en-US"/>
              </w:rPr>
              <w:t>2024</w:t>
            </w:r>
          </w:p>
        </w:tc>
      </w:tr>
      <w:tr w:rsidR="00630125" w:rsidRPr="00710FCA" w14:paraId="612F9A06" w14:textId="77777777" w:rsidTr="003F088D">
        <w:trPr>
          <w:trHeight w:val="782"/>
        </w:trPr>
        <w:tc>
          <w:tcPr>
            <w:tcW w:w="7043" w:type="dxa"/>
            <w:tcBorders>
              <w:top w:val="single" w:sz="4" w:space="0" w:color="auto"/>
            </w:tcBorders>
            <w:shd w:val="clear" w:color="auto" w:fill="FFFFFF" w:themeFill="background1"/>
          </w:tcPr>
          <w:p w14:paraId="100FEF6B" w14:textId="77777777" w:rsidR="00630125" w:rsidRPr="00710FCA" w:rsidRDefault="00630125" w:rsidP="003F088D">
            <w:pPr>
              <w:spacing w:before="0"/>
              <w:jc w:val="left"/>
              <w:rPr>
                <w:rFonts w:cs="Sylfaen"/>
                <w:b w:val="0"/>
                <w:sz w:val="18"/>
                <w:szCs w:val="18"/>
                <w:lang w:val="hy-AM" w:eastAsia="en-US"/>
              </w:rPr>
            </w:pPr>
            <w:r w:rsidRPr="00710FCA">
              <w:rPr>
                <w:rFonts w:cs="Sylfaen"/>
                <w:b w:val="0"/>
                <w:sz w:val="18"/>
                <w:szCs w:val="18"/>
                <w:lang w:val="hy-AM" w:eastAsia="en-US"/>
              </w:rPr>
              <w:t>Ընդհանուր դեֆիցիտ`</w:t>
            </w:r>
          </w:p>
          <w:p w14:paraId="4E609C4F" w14:textId="77777777" w:rsidR="00630125" w:rsidRPr="00710FCA" w:rsidRDefault="00630125" w:rsidP="003F088D">
            <w:pPr>
              <w:spacing w:before="0"/>
              <w:jc w:val="left"/>
              <w:rPr>
                <w:rFonts w:cs="Sylfaen"/>
                <w:b w:val="0"/>
                <w:sz w:val="18"/>
                <w:szCs w:val="18"/>
                <w:lang w:val="hy-AM" w:eastAsia="en-US"/>
              </w:rPr>
            </w:pPr>
            <w:r w:rsidRPr="00710FCA">
              <w:rPr>
                <w:rFonts w:cs="Sylfaen"/>
                <w:b w:val="0"/>
                <w:sz w:val="18"/>
                <w:szCs w:val="18"/>
                <w:lang w:val="hy-AM" w:eastAsia="en-US"/>
              </w:rPr>
              <w:t>Ընդհանուր եկամուտների և ծախսերի տարբերու</w:t>
            </w:r>
            <w:r w:rsidRPr="00710FCA">
              <w:rPr>
                <w:rFonts w:cs="Sylfaen"/>
                <w:b w:val="0"/>
                <w:sz w:val="18"/>
                <w:szCs w:val="18"/>
                <w:lang w:val="hy-AM" w:eastAsia="en-US"/>
              </w:rPr>
              <w:softHyphen/>
              <w:t>թյունը</w:t>
            </w:r>
          </w:p>
        </w:tc>
        <w:tc>
          <w:tcPr>
            <w:tcW w:w="2052" w:type="dxa"/>
            <w:tcBorders>
              <w:top w:val="single" w:sz="4" w:space="0" w:color="auto"/>
            </w:tcBorders>
            <w:shd w:val="clear" w:color="auto" w:fill="FFFFFF" w:themeFill="background1"/>
            <w:vAlign w:val="center"/>
          </w:tcPr>
          <w:p w14:paraId="6B597021" w14:textId="77777777" w:rsidR="00630125" w:rsidRPr="00710FCA" w:rsidRDefault="00630125" w:rsidP="003F088D">
            <w:pPr>
              <w:tabs>
                <w:tab w:val="left" w:pos="0"/>
              </w:tabs>
              <w:spacing w:line="240" w:lineRule="auto"/>
              <w:ind w:right="42"/>
              <w:jc w:val="center"/>
              <w:rPr>
                <w:b w:val="0"/>
                <w:sz w:val="18"/>
                <w:szCs w:val="18"/>
                <w:lang w:val="en-US"/>
              </w:rPr>
            </w:pPr>
            <w:r>
              <w:rPr>
                <w:b w:val="0"/>
                <w:sz w:val="18"/>
                <w:szCs w:val="18"/>
                <w:lang w:val="en-US"/>
              </w:rPr>
              <w:t>482.9</w:t>
            </w:r>
          </w:p>
        </w:tc>
      </w:tr>
      <w:tr w:rsidR="00630125" w:rsidRPr="00A9221C" w14:paraId="4D3C1CA1" w14:textId="77777777" w:rsidTr="003F088D">
        <w:trPr>
          <w:trHeight w:val="840"/>
        </w:trPr>
        <w:tc>
          <w:tcPr>
            <w:tcW w:w="7043" w:type="dxa"/>
            <w:tcBorders>
              <w:bottom w:val="single" w:sz="4" w:space="0" w:color="auto"/>
            </w:tcBorders>
            <w:shd w:val="clear" w:color="auto" w:fill="FFFFFF" w:themeFill="background1"/>
          </w:tcPr>
          <w:p w14:paraId="7A34B1B7" w14:textId="77777777" w:rsidR="00630125" w:rsidRPr="00710FCA" w:rsidRDefault="00630125" w:rsidP="003F088D">
            <w:pPr>
              <w:spacing w:before="0"/>
              <w:jc w:val="left"/>
              <w:rPr>
                <w:rFonts w:cs="Sylfaen"/>
                <w:b w:val="0"/>
                <w:sz w:val="18"/>
                <w:szCs w:val="18"/>
                <w:lang w:val="hy-AM" w:eastAsia="en-US"/>
              </w:rPr>
            </w:pPr>
            <w:r w:rsidRPr="00710FCA">
              <w:rPr>
                <w:rFonts w:cs="Sylfaen"/>
                <w:b w:val="0"/>
                <w:sz w:val="18"/>
                <w:szCs w:val="18"/>
                <w:lang w:val="hy-AM" w:eastAsia="en-US"/>
              </w:rPr>
              <w:lastRenderedPageBreak/>
              <w:t xml:space="preserve">Առաջնային դեֆիցիտ` </w:t>
            </w:r>
          </w:p>
          <w:p w14:paraId="5292BC01" w14:textId="77777777" w:rsidR="00630125" w:rsidRPr="00710FCA" w:rsidRDefault="00630125" w:rsidP="003F088D">
            <w:pPr>
              <w:spacing w:before="0"/>
              <w:jc w:val="left"/>
              <w:rPr>
                <w:rFonts w:cs="Sylfaen"/>
                <w:b w:val="0"/>
                <w:sz w:val="18"/>
                <w:szCs w:val="18"/>
                <w:lang w:val="hy-AM" w:eastAsia="en-US"/>
              </w:rPr>
            </w:pPr>
            <w:r w:rsidRPr="00710FCA">
              <w:rPr>
                <w:rFonts w:cs="Sylfaen"/>
                <w:b w:val="0"/>
                <w:sz w:val="18"/>
                <w:szCs w:val="18"/>
                <w:lang w:val="hy-AM" w:eastAsia="en-US"/>
              </w:rPr>
              <w:t>Ընդհանուր եկամուտների և ծախսերի (առանց տոկոսավճարների) տարբերությունը</w:t>
            </w:r>
          </w:p>
        </w:tc>
        <w:tc>
          <w:tcPr>
            <w:tcW w:w="2052" w:type="dxa"/>
            <w:tcBorders>
              <w:bottom w:val="single" w:sz="4" w:space="0" w:color="auto"/>
            </w:tcBorders>
            <w:shd w:val="clear" w:color="auto" w:fill="FFFFFF" w:themeFill="background1"/>
          </w:tcPr>
          <w:p w14:paraId="62435C63" w14:textId="77777777" w:rsidR="00630125" w:rsidRPr="00710FCA" w:rsidRDefault="00630125" w:rsidP="003F088D">
            <w:pPr>
              <w:spacing w:before="0"/>
              <w:jc w:val="center"/>
              <w:rPr>
                <w:b w:val="0"/>
                <w:bCs/>
                <w:iCs/>
                <w:sz w:val="18"/>
                <w:szCs w:val="18"/>
                <w:lang w:val="en-US" w:eastAsia="en-US"/>
              </w:rPr>
            </w:pPr>
            <w:r>
              <w:rPr>
                <w:b w:val="0"/>
                <w:bCs/>
                <w:iCs/>
                <w:sz w:val="18"/>
                <w:szCs w:val="18"/>
                <w:lang w:val="en-US" w:eastAsia="en-US"/>
              </w:rPr>
              <w:t>159.8</w:t>
            </w:r>
          </w:p>
        </w:tc>
      </w:tr>
    </w:tbl>
    <w:p w14:paraId="16231E17" w14:textId="77777777" w:rsidR="00630125" w:rsidRPr="00A9221C" w:rsidRDefault="00630125" w:rsidP="00630125"/>
    <w:p w14:paraId="04D5BE87" w14:textId="3F659915" w:rsidR="00C15EA0" w:rsidRPr="001F7A3C" w:rsidRDefault="00630125" w:rsidP="00630125">
      <w:pPr>
        <w:pStyle w:val="Heading1"/>
      </w:pPr>
      <w:r w:rsidRPr="00A9221C">
        <w:br w:type="page"/>
      </w:r>
      <w:bookmarkStart w:id="211" w:name="_Toc153184479"/>
      <w:r w:rsidR="00C15EA0" w:rsidRPr="001F7A3C">
        <w:lastRenderedPageBreak/>
        <w:t>ՄԱՍ III. «ՀԱՅԱՍՏԱՆԻ ՀԱՆՐԱՊԵՏՈՒԹՅԱՆ 202</w:t>
      </w:r>
      <w:r w:rsidR="00970721" w:rsidRPr="00970721">
        <w:t>4</w:t>
      </w:r>
      <w:r w:rsidR="00C15EA0" w:rsidRPr="001F7A3C">
        <w:t xml:space="preserve"> ԹՎԱԿԱՆԻ ՊԵՏԱԿԱՆ ԲՅՈՒՋԵԻ ՄԱՍԻՆ» ՀԱՅԱՍՏԱՆԻ ՀԱՆՐԱՊԵՏՈՒԹՅԱՆ ՕՐԵՆՔԻ ԲԱՑԱՏՐԱԳԻՐ</w:t>
      </w:r>
      <w:bookmarkEnd w:id="205"/>
      <w:bookmarkEnd w:id="211"/>
    </w:p>
    <w:p w14:paraId="16FAF366" w14:textId="77777777" w:rsidR="00AE2A75" w:rsidRPr="001F7A3C" w:rsidRDefault="00AE2A75" w:rsidP="0009272D">
      <w:pPr>
        <w:pStyle w:val="Heading1"/>
      </w:pPr>
    </w:p>
    <w:p w14:paraId="478BD0D1" w14:textId="4B7A38EA" w:rsidR="00630125" w:rsidRPr="00A9221C" w:rsidRDefault="00630125" w:rsidP="00630125">
      <w:pPr>
        <w:rPr>
          <w:rFonts w:eastAsia="Calibri"/>
          <w:b w:val="0"/>
          <w:szCs w:val="22"/>
          <w:lang w:val="hy-AM" w:eastAsia="en-US"/>
        </w:rPr>
      </w:pPr>
      <w:r w:rsidRPr="00A9221C">
        <w:rPr>
          <w:rFonts w:eastAsia="Calibri"/>
          <w:b w:val="0"/>
          <w:szCs w:val="22"/>
          <w:lang w:val="hy-AM" w:eastAsia="en-US"/>
        </w:rPr>
        <w:t>«Հայաստանի Հանրապետության 2024 թվականի պետական բյուջեի մասին» ՀՀ օրեն</w:t>
      </w:r>
      <w:r w:rsidRPr="00A9221C">
        <w:rPr>
          <w:rFonts w:eastAsia="Calibri"/>
          <w:b w:val="0"/>
          <w:szCs w:val="22"/>
          <w:lang w:val="hy-AM" w:eastAsia="en-US"/>
        </w:rPr>
        <w:softHyphen/>
        <w:t>քով առաջարկվում է ՀՀ 2024 թվականի պետական բյուջեն հաստատել՝ եկա</w:t>
      </w:r>
      <w:r w:rsidRPr="00A9221C">
        <w:rPr>
          <w:rFonts w:eastAsia="Calibri"/>
          <w:b w:val="0"/>
          <w:szCs w:val="22"/>
          <w:lang w:val="hy-AM" w:eastAsia="en-US"/>
        </w:rPr>
        <w:softHyphen/>
        <w:t>մուտ</w:t>
      </w:r>
      <w:r w:rsidRPr="00A9221C">
        <w:rPr>
          <w:rFonts w:eastAsia="Calibri"/>
          <w:b w:val="0"/>
          <w:szCs w:val="22"/>
          <w:lang w:val="hy-AM" w:eastAsia="en-US"/>
        </w:rPr>
        <w:softHyphen/>
        <w:t>ների գծով</w:t>
      </w:r>
      <w:r w:rsidRPr="00EA7F39">
        <w:rPr>
          <w:rFonts w:eastAsia="Calibri"/>
          <w:b w:val="0"/>
          <w:szCs w:val="22"/>
          <w:lang w:val="hy-AM" w:eastAsia="en-US"/>
        </w:rPr>
        <w:t>՝ 2,723.6 մլրդ</w:t>
      </w:r>
      <w:r w:rsidRPr="00A9221C">
        <w:rPr>
          <w:rFonts w:eastAsia="Calibri"/>
          <w:b w:val="0"/>
          <w:szCs w:val="22"/>
          <w:lang w:val="hy-AM" w:eastAsia="en-US"/>
        </w:rPr>
        <w:t xml:space="preserve"> դրամ, ծախսերի գծով</w:t>
      </w:r>
      <w:r w:rsidRPr="00710FCA">
        <w:rPr>
          <w:rFonts w:eastAsia="Calibri"/>
          <w:b w:val="0"/>
          <w:szCs w:val="22"/>
          <w:lang w:val="hy-AM" w:eastAsia="en-US"/>
        </w:rPr>
        <w:t xml:space="preserve">՝ </w:t>
      </w:r>
      <w:r w:rsidRPr="00970721">
        <w:rPr>
          <w:rFonts w:eastAsia="Calibri"/>
          <w:b w:val="0"/>
          <w:szCs w:val="22"/>
          <w:lang w:val="hy-AM" w:eastAsia="en-US"/>
        </w:rPr>
        <w:t>3,206.5</w:t>
      </w:r>
      <w:r w:rsidRPr="00A9221C">
        <w:rPr>
          <w:rFonts w:eastAsia="Calibri"/>
          <w:b w:val="0"/>
          <w:szCs w:val="22"/>
          <w:lang w:val="hy-AM" w:eastAsia="en-US"/>
        </w:rPr>
        <w:t xml:space="preserve"> մլրդ դրամ, իսկ </w:t>
      </w:r>
      <w:r w:rsidRPr="00EA7F39">
        <w:rPr>
          <w:rFonts w:eastAsia="Calibri"/>
          <w:b w:val="0"/>
          <w:szCs w:val="22"/>
          <w:lang w:val="hy-AM" w:eastAsia="en-US"/>
        </w:rPr>
        <w:t xml:space="preserve">դեֆիցիտը՝ 482.9 </w:t>
      </w:r>
      <w:r w:rsidRPr="00A9221C">
        <w:rPr>
          <w:rFonts w:eastAsia="Calibri"/>
          <w:b w:val="0"/>
          <w:szCs w:val="22"/>
          <w:lang w:val="hy-AM" w:eastAsia="en-US"/>
        </w:rPr>
        <w:t>մլրդ դրամ:</w:t>
      </w:r>
    </w:p>
    <w:p w14:paraId="59D6BFF6" w14:textId="3A2FD7DF" w:rsidR="00630125" w:rsidRPr="00A9221C" w:rsidRDefault="00630125" w:rsidP="00630125">
      <w:pPr>
        <w:rPr>
          <w:rFonts w:eastAsia="Calibri"/>
          <w:b w:val="0"/>
          <w:szCs w:val="22"/>
          <w:lang w:val="hy-AM" w:eastAsia="en-US"/>
        </w:rPr>
      </w:pPr>
      <w:r w:rsidRPr="00A9221C">
        <w:rPr>
          <w:rFonts w:eastAsia="Calibri"/>
          <w:b w:val="0"/>
          <w:szCs w:val="22"/>
          <w:lang w:val="hy-AM" w:eastAsia="en-US"/>
        </w:rPr>
        <w:t>ՀՀ 2024 թվա</w:t>
      </w:r>
      <w:r w:rsidRPr="00A9221C">
        <w:rPr>
          <w:rFonts w:eastAsia="Calibri"/>
          <w:b w:val="0"/>
          <w:szCs w:val="22"/>
          <w:lang w:val="hy-AM" w:eastAsia="en-US"/>
        </w:rPr>
        <w:softHyphen/>
      </w:r>
      <w:r w:rsidRPr="00A9221C">
        <w:rPr>
          <w:rFonts w:eastAsia="Calibri"/>
          <w:b w:val="0"/>
          <w:szCs w:val="22"/>
          <w:lang w:val="hy-AM" w:eastAsia="en-US"/>
        </w:rPr>
        <w:softHyphen/>
        <w:t>կանի պե</w:t>
      </w:r>
      <w:r w:rsidRPr="00A9221C">
        <w:rPr>
          <w:rFonts w:eastAsia="Calibri"/>
          <w:b w:val="0"/>
          <w:szCs w:val="22"/>
          <w:lang w:val="hy-AM" w:eastAsia="en-US"/>
        </w:rPr>
        <w:softHyphen/>
        <w:t>տական բյուջեով նախատեսվող դե</w:t>
      </w:r>
      <w:r w:rsidRPr="00A9221C">
        <w:rPr>
          <w:rFonts w:eastAsia="Calibri"/>
          <w:b w:val="0"/>
          <w:szCs w:val="22"/>
          <w:lang w:val="hy-AM" w:eastAsia="en-US"/>
        </w:rPr>
        <w:softHyphen/>
        <w:t>ֆի</w:t>
      </w:r>
      <w:r w:rsidRPr="00A9221C">
        <w:rPr>
          <w:rFonts w:eastAsia="Calibri"/>
          <w:b w:val="0"/>
          <w:szCs w:val="22"/>
          <w:lang w:val="hy-AM" w:eastAsia="en-US"/>
        </w:rPr>
        <w:softHyphen/>
        <w:t>ցիտի ֆի</w:t>
      </w:r>
      <w:r w:rsidRPr="00A9221C">
        <w:rPr>
          <w:rFonts w:eastAsia="Calibri"/>
          <w:b w:val="0"/>
          <w:szCs w:val="22"/>
          <w:lang w:val="hy-AM" w:eastAsia="en-US"/>
        </w:rPr>
        <w:softHyphen/>
        <w:t>նան</w:t>
      </w:r>
      <w:r w:rsidRPr="00A9221C">
        <w:rPr>
          <w:rFonts w:eastAsia="Calibri"/>
          <w:b w:val="0"/>
          <w:szCs w:val="22"/>
          <w:lang w:val="hy-AM" w:eastAsia="en-US"/>
        </w:rPr>
        <w:softHyphen/>
        <w:t>սա</w:t>
      </w:r>
      <w:r w:rsidRPr="00A9221C">
        <w:rPr>
          <w:rFonts w:eastAsia="Calibri"/>
          <w:b w:val="0"/>
          <w:szCs w:val="22"/>
          <w:lang w:val="hy-AM" w:eastAsia="en-US"/>
        </w:rPr>
        <w:softHyphen/>
        <w:t>վորման համար ծրագրա</w:t>
      </w:r>
      <w:r w:rsidRPr="00A9221C">
        <w:rPr>
          <w:rFonts w:eastAsia="Calibri"/>
          <w:b w:val="0"/>
          <w:szCs w:val="22"/>
          <w:lang w:val="hy-AM" w:eastAsia="en-US"/>
        </w:rPr>
        <w:softHyphen/>
        <w:t xml:space="preserve">վորված վարկերի զգալի մասը </w:t>
      </w:r>
      <w:r w:rsidRPr="00177D14">
        <w:rPr>
          <w:rFonts w:eastAsia="Calibri"/>
          <w:b w:val="0"/>
          <w:szCs w:val="22"/>
          <w:lang w:val="hy-AM" w:eastAsia="en-US"/>
        </w:rPr>
        <w:t>կտրա</w:t>
      </w:r>
      <w:r w:rsidRPr="00177D14">
        <w:rPr>
          <w:rFonts w:eastAsia="Calibri"/>
          <w:b w:val="0"/>
          <w:szCs w:val="22"/>
          <w:lang w:val="hy-AM" w:eastAsia="en-US"/>
        </w:rPr>
        <w:softHyphen/>
        <w:t>մադրվի Համաշ</w:t>
      </w:r>
      <w:r w:rsidRPr="00177D14">
        <w:rPr>
          <w:rFonts w:eastAsia="Calibri"/>
          <w:b w:val="0"/>
          <w:szCs w:val="22"/>
          <w:lang w:val="hy-AM" w:eastAsia="en-US"/>
        </w:rPr>
        <w:softHyphen/>
        <w:t>խար</w:t>
      </w:r>
      <w:r w:rsidRPr="00177D14">
        <w:rPr>
          <w:rFonts w:eastAsia="Calibri"/>
          <w:b w:val="0"/>
          <w:szCs w:val="22"/>
          <w:lang w:val="hy-AM" w:eastAsia="en-US"/>
        </w:rPr>
        <w:softHyphen/>
        <w:t>հա</w:t>
      </w:r>
      <w:r w:rsidRPr="00177D14">
        <w:rPr>
          <w:rFonts w:eastAsia="Calibri"/>
          <w:b w:val="0"/>
          <w:szCs w:val="22"/>
          <w:lang w:val="hy-AM" w:eastAsia="en-US"/>
        </w:rPr>
        <w:softHyphen/>
        <w:t>յին բան</w:t>
      </w:r>
      <w:r w:rsidRPr="00177D14">
        <w:rPr>
          <w:rFonts w:eastAsia="Calibri"/>
          <w:b w:val="0"/>
          <w:szCs w:val="22"/>
          <w:lang w:val="hy-AM" w:eastAsia="en-US"/>
        </w:rPr>
        <w:softHyphen/>
        <w:t>կի կողմից (ներգրավ</w:t>
      </w:r>
      <w:r w:rsidRPr="00177D14">
        <w:rPr>
          <w:rFonts w:eastAsia="Calibri"/>
          <w:b w:val="0"/>
          <w:szCs w:val="22"/>
          <w:lang w:val="hy-AM" w:eastAsia="en-US"/>
        </w:rPr>
        <w:softHyphen/>
      </w:r>
      <w:r w:rsidRPr="00177D14">
        <w:rPr>
          <w:rFonts w:eastAsia="Calibri"/>
          <w:b w:val="0"/>
          <w:szCs w:val="22"/>
          <w:lang w:val="hy-AM" w:eastAsia="en-US"/>
        </w:rPr>
        <w:softHyphen/>
        <w:t>վող վարկերի տրա</w:t>
      </w:r>
      <w:r w:rsidRPr="00177D14">
        <w:rPr>
          <w:rFonts w:eastAsia="Calibri"/>
          <w:b w:val="0"/>
          <w:szCs w:val="22"/>
          <w:lang w:val="hy-AM" w:eastAsia="en-US"/>
        </w:rPr>
        <w:softHyphen/>
        <w:t>մադրման ժամկետ</w:t>
      </w:r>
      <w:r w:rsidRPr="00177D14">
        <w:rPr>
          <w:rFonts w:eastAsia="Calibri"/>
          <w:b w:val="0"/>
          <w:szCs w:val="22"/>
          <w:lang w:val="hy-AM" w:eastAsia="en-US"/>
        </w:rPr>
        <w:softHyphen/>
        <w:t>ների և տո</w:t>
      </w:r>
      <w:r w:rsidRPr="00177D14">
        <w:rPr>
          <w:rFonts w:eastAsia="Calibri"/>
          <w:b w:val="0"/>
          <w:szCs w:val="22"/>
          <w:lang w:val="hy-AM" w:eastAsia="en-US"/>
        </w:rPr>
        <w:softHyphen/>
        <w:t>կոսադրույք</w:t>
      </w:r>
      <w:r w:rsidRPr="00177D14">
        <w:rPr>
          <w:rFonts w:eastAsia="Calibri"/>
          <w:b w:val="0"/>
          <w:szCs w:val="22"/>
          <w:lang w:val="hy-AM" w:eastAsia="en-US"/>
        </w:rPr>
        <w:softHyphen/>
        <w:t>ների մա</w:t>
      </w:r>
      <w:r w:rsidRPr="00177D14">
        <w:rPr>
          <w:rFonts w:eastAsia="Calibri"/>
          <w:b w:val="0"/>
          <w:szCs w:val="22"/>
          <w:lang w:val="hy-AM" w:eastAsia="en-US"/>
        </w:rPr>
        <w:softHyphen/>
      </w:r>
      <w:r w:rsidRPr="00177D14">
        <w:rPr>
          <w:rFonts w:eastAsia="Calibri"/>
          <w:b w:val="0"/>
          <w:szCs w:val="22"/>
          <w:lang w:val="hy-AM" w:eastAsia="en-US"/>
        </w:rPr>
        <w:softHyphen/>
        <w:t>սին տվյալ</w:t>
      </w:r>
      <w:r w:rsidRPr="00177D14">
        <w:rPr>
          <w:rFonts w:eastAsia="Calibri"/>
          <w:b w:val="0"/>
          <w:szCs w:val="22"/>
          <w:lang w:val="hy-AM" w:eastAsia="en-US"/>
        </w:rPr>
        <w:softHyphen/>
        <w:t>նե</w:t>
      </w:r>
      <w:r w:rsidRPr="00177D14">
        <w:rPr>
          <w:rFonts w:eastAsia="Calibri"/>
          <w:b w:val="0"/>
          <w:szCs w:val="22"/>
          <w:lang w:val="hy-AM" w:eastAsia="en-US"/>
        </w:rPr>
        <w:softHyphen/>
        <w:t>րը ներկայացված են սույն բա</w:t>
      </w:r>
      <w:r w:rsidRPr="00177D14">
        <w:rPr>
          <w:rFonts w:eastAsia="Calibri"/>
          <w:b w:val="0"/>
          <w:szCs w:val="22"/>
          <w:lang w:val="hy-AM" w:eastAsia="en-US"/>
        </w:rPr>
        <w:softHyphen/>
        <w:t>ցատրագրի N 4 հավելվածում):</w:t>
      </w:r>
    </w:p>
    <w:p w14:paraId="6C423727" w14:textId="77777777" w:rsidR="00082280" w:rsidRPr="00082280" w:rsidRDefault="00082280" w:rsidP="00082280">
      <w:pPr>
        <w:keepNext/>
        <w:tabs>
          <w:tab w:val="left" w:pos="709"/>
        </w:tabs>
        <w:spacing w:before="0"/>
        <w:jc w:val="center"/>
        <w:outlineLvl w:val="2"/>
        <w:rPr>
          <w:rFonts w:eastAsia="Calibri" w:cs="GHEA Grapalat"/>
          <w:bCs/>
          <w:sz w:val="24"/>
          <w:szCs w:val="26"/>
          <w:lang w:val="hy-AM" w:eastAsia="en-US"/>
        </w:rPr>
      </w:pPr>
    </w:p>
    <w:p w14:paraId="434AD3BF" w14:textId="77777777" w:rsidR="009E64AD" w:rsidRPr="001F7A3C" w:rsidRDefault="009E64AD" w:rsidP="0009272D">
      <w:pPr>
        <w:pStyle w:val="Heading1"/>
      </w:pPr>
      <w:bookmarkStart w:id="212" w:name="_Toc89254352"/>
      <w:bookmarkStart w:id="213" w:name="_Toc89428304"/>
      <w:bookmarkStart w:id="214" w:name="_Toc153184480"/>
      <w:r w:rsidRPr="001F7A3C">
        <w:t>ՄԱՍ III-Ա. ԵԿԱՄՈՒՏՆԵՐԻ ԿԱՆԽԱՏԵՍՈՒՄ</w:t>
      </w:r>
      <w:bookmarkEnd w:id="212"/>
      <w:bookmarkEnd w:id="213"/>
      <w:bookmarkEnd w:id="214"/>
    </w:p>
    <w:p w14:paraId="69E3A14C" w14:textId="42217C3D" w:rsidR="00630125" w:rsidRPr="00082280" w:rsidRDefault="00630125" w:rsidP="00630125">
      <w:pPr>
        <w:rPr>
          <w:rFonts w:cs="Sylfaen"/>
          <w:b w:val="0"/>
          <w:sz w:val="20"/>
          <w:szCs w:val="20"/>
          <w:lang w:val="hy-AM" w:eastAsia="en-US"/>
        </w:rPr>
      </w:pPr>
      <w:bookmarkStart w:id="215" w:name="_Toc530663263"/>
      <w:bookmarkStart w:id="216" w:name="_Toc26174934"/>
      <w:r w:rsidRPr="00082280">
        <w:rPr>
          <w:rFonts w:cs="Sylfaen"/>
          <w:b w:val="0"/>
          <w:iCs/>
          <w:szCs w:val="22"/>
          <w:lang w:val="af-ZA" w:eastAsia="en-GB"/>
        </w:rPr>
        <w:t>«Հայաստանի Հանրապետության 2024 թվականի պետական բյուջեի մասին» ՀՀ օրեն</w:t>
      </w:r>
      <w:r w:rsidRPr="00082280">
        <w:rPr>
          <w:rFonts w:cs="Sylfaen"/>
          <w:b w:val="0"/>
          <w:iCs/>
          <w:szCs w:val="22"/>
          <w:lang w:val="af-ZA" w:eastAsia="en-GB"/>
        </w:rPr>
        <w:softHyphen/>
        <w:t>քում (սույն մասում այսու</w:t>
      </w:r>
      <w:r w:rsidRPr="00082280">
        <w:rPr>
          <w:rFonts w:cs="Sylfaen"/>
          <w:b w:val="0"/>
          <w:iCs/>
          <w:szCs w:val="22"/>
          <w:lang w:val="af-ZA" w:eastAsia="en-GB"/>
        </w:rPr>
        <w:softHyphen/>
        <w:t xml:space="preserve">հետ՝ </w:t>
      </w:r>
      <w:r w:rsidR="00CE2344">
        <w:rPr>
          <w:rFonts w:cs="Sylfaen"/>
          <w:b w:val="0"/>
          <w:iCs/>
          <w:szCs w:val="22"/>
          <w:lang w:val="hy-AM" w:eastAsia="en-GB"/>
        </w:rPr>
        <w:t>Օրենք</w:t>
      </w:r>
      <w:r w:rsidRPr="00082280">
        <w:rPr>
          <w:rFonts w:cs="Sylfaen"/>
          <w:b w:val="0"/>
          <w:iCs/>
          <w:szCs w:val="22"/>
          <w:lang w:val="af-ZA" w:eastAsia="en-GB"/>
        </w:rPr>
        <w:t>) եկամուտների ընդհա</w:t>
      </w:r>
      <w:r>
        <w:rPr>
          <w:rFonts w:cs="Sylfaen"/>
          <w:b w:val="0"/>
          <w:iCs/>
          <w:szCs w:val="22"/>
          <w:lang w:val="af-ZA" w:eastAsia="en-GB"/>
        </w:rPr>
        <w:t>նուր գու</w:t>
      </w:r>
      <w:r>
        <w:rPr>
          <w:rFonts w:cs="Sylfaen"/>
          <w:b w:val="0"/>
          <w:iCs/>
          <w:szCs w:val="22"/>
          <w:lang w:val="af-ZA" w:eastAsia="en-GB"/>
        </w:rPr>
        <w:softHyphen/>
        <w:t xml:space="preserve">մարը ծրագրվել է </w:t>
      </w:r>
      <w:r w:rsidRPr="00EA7F39">
        <w:rPr>
          <w:rFonts w:cs="Sylfaen"/>
          <w:b w:val="0"/>
          <w:iCs/>
          <w:szCs w:val="22"/>
          <w:lang w:val="af-ZA" w:eastAsia="en-GB"/>
        </w:rPr>
        <w:t>2,723.6 մլրդ</w:t>
      </w:r>
      <w:r w:rsidRPr="00082280">
        <w:rPr>
          <w:rFonts w:cs="Sylfaen"/>
          <w:b w:val="0"/>
          <w:iCs/>
          <w:szCs w:val="22"/>
          <w:lang w:val="af-ZA" w:eastAsia="en-GB"/>
        </w:rPr>
        <w:t xml:space="preserve"> դրամի չա</w:t>
      </w:r>
      <w:r w:rsidRPr="00082280">
        <w:rPr>
          <w:rFonts w:cs="Sylfaen"/>
          <w:b w:val="0"/>
          <w:iCs/>
          <w:szCs w:val="22"/>
          <w:lang w:val="af-ZA" w:eastAsia="en-GB"/>
        </w:rPr>
        <w:softHyphen/>
        <w:t>փով, 20</w:t>
      </w:r>
      <w:r>
        <w:rPr>
          <w:rFonts w:cs="Sylfaen"/>
          <w:b w:val="0"/>
          <w:iCs/>
          <w:szCs w:val="22"/>
          <w:lang w:val="af-ZA" w:eastAsia="en-GB"/>
        </w:rPr>
        <w:t>23 թվականի համար սպասվող 2,</w:t>
      </w:r>
      <w:r w:rsidR="00F26BC7">
        <w:rPr>
          <w:rFonts w:cs="Sylfaen"/>
          <w:b w:val="0"/>
          <w:iCs/>
          <w:szCs w:val="22"/>
          <w:lang w:val="af-ZA" w:eastAsia="en-GB"/>
        </w:rPr>
        <w:t>408</w:t>
      </w:r>
      <w:r w:rsidRPr="00EA7F39">
        <w:rPr>
          <w:rFonts w:cs="Sylfaen"/>
          <w:b w:val="0"/>
          <w:iCs/>
          <w:szCs w:val="22"/>
          <w:lang w:val="af-ZA" w:eastAsia="en-GB"/>
        </w:rPr>
        <w:t>.1 մլրդ</w:t>
      </w:r>
      <w:r w:rsidRPr="00082280">
        <w:rPr>
          <w:rFonts w:cs="Sylfaen"/>
          <w:b w:val="0"/>
          <w:iCs/>
          <w:szCs w:val="22"/>
          <w:lang w:val="af-ZA" w:eastAsia="en-GB"/>
        </w:rPr>
        <w:t xml:space="preserve"> դրամի և 202</w:t>
      </w:r>
      <w:r w:rsidRPr="00082280">
        <w:rPr>
          <w:rFonts w:cs="Sylfaen"/>
          <w:b w:val="0"/>
          <w:iCs/>
          <w:szCs w:val="22"/>
          <w:lang w:val="hy-AM" w:eastAsia="en-GB"/>
        </w:rPr>
        <w:t>2</w:t>
      </w:r>
      <w:r w:rsidRPr="00082280">
        <w:rPr>
          <w:rFonts w:cs="Sylfaen"/>
          <w:b w:val="0"/>
          <w:iCs/>
          <w:szCs w:val="22"/>
          <w:lang w:val="af-ZA" w:eastAsia="en-GB"/>
        </w:rPr>
        <w:t xml:space="preserve"> թվականին փաստացի ստացված</w:t>
      </w:r>
      <w:r>
        <w:rPr>
          <w:rFonts w:cs="Sylfaen"/>
          <w:b w:val="0"/>
          <w:iCs/>
          <w:szCs w:val="22"/>
          <w:lang w:val="af-ZA" w:eastAsia="en-GB"/>
        </w:rPr>
        <w:t xml:space="preserve"> 2,099.6</w:t>
      </w:r>
      <w:r w:rsidRPr="00082280">
        <w:rPr>
          <w:rFonts w:cs="Sylfaen"/>
          <w:b w:val="0"/>
          <w:iCs/>
          <w:szCs w:val="22"/>
          <w:lang w:val="af-ZA" w:eastAsia="en-GB"/>
        </w:rPr>
        <w:t xml:space="preserve"> մլրդ դրամ գու</w:t>
      </w:r>
      <w:r w:rsidRPr="00082280">
        <w:rPr>
          <w:rFonts w:cs="Sylfaen"/>
          <w:b w:val="0"/>
          <w:iCs/>
          <w:szCs w:val="22"/>
          <w:lang w:val="af-ZA" w:eastAsia="en-GB"/>
        </w:rPr>
        <w:softHyphen/>
        <w:t>մար</w:t>
      </w:r>
      <w:r w:rsidRPr="00082280">
        <w:rPr>
          <w:rFonts w:cs="Sylfaen"/>
          <w:b w:val="0"/>
          <w:iCs/>
          <w:szCs w:val="22"/>
          <w:lang w:val="af-ZA" w:eastAsia="en-GB"/>
        </w:rPr>
        <w:softHyphen/>
        <w:t>ների դիմաց: Եկա</w:t>
      </w:r>
      <w:r w:rsidRPr="00082280">
        <w:rPr>
          <w:rFonts w:cs="Sylfaen"/>
          <w:b w:val="0"/>
          <w:iCs/>
          <w:szCs w:val="22"/>
          <w:lang w:val="af-ZA" w:eastAsia="en-GB"/>
        </w:rPr>
        <w:softHyphen/>
        <w:t>մուտ</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ների տա</w:t>
      </w:r>
      <w:r w:rsidRPr="00082280">
        <w:rPr>
          <w:rFonts w:cs="Sylfaen"/>
          <w:b w:val="0"/>
          <w:iCs/>
          <w:szCs w:val="22"/>
          <w:lang w:val="af-ZA" w:eastAsia="en-GB"/>
        </w:rPr>
        <w:softHyphen/>
      </w:r>
      <w:r w:rsidRPr="00082280">
        <w:rPr>
          <w:rFonts w:cs="Sylfaen"/>
          <w:b w:val="0"/>
          <w:iCs/>
          <w:szCs w:val="22"/>
          <w:lang w:val="af-ZA" w:eastAsia="en-GB"/>
        </w:rPr>
        <w:softHyphen/>
        <w:t>րեկան ծրա</w:t>
      </w:r>
      <w:r w:rsidRPr="00082280">
        <w:rPr>
          <w:rFonts w:cs="Sylfaen"/>
          <w:b w:val="0"/>
          <w:iCs/>
          <w:szCs w:val="22"/>
          <w:lang w:val="af-ZA" w:eastAsia="en-GB"/>
        </w:rPr>
        <w:softHyphen/>
        <w:t>գրա</w:t>
      </w:r>
      <w:r w:rsidRPr="00082280">
        <w:rPr>
          <w:rFonts w:cs="Sylfaen"/>
          <w:b w:val="0"/>
          <w:iCs/>
          <w:szCs w:val="22"/>
          <w:lang w:val="af-ZA" w:eastAsia="en-GB"/>
        </w:rPr>
        <w:softHyphen/>
        <w:t>յին ծավալները կապահովվեն հիմնականում ի հաշիվ հար</w:t>
      </w:r>
      <w:r w:rsidRPr="00082280">
        <w:rPr>
          <w:rFonts w:cs="Sylfaen"/>
          <w:b w:val="0"/>
          <w:iCs/>
          <w:szCs w:val="22"/>
          <w:lang w:val="af-ZA" w:eastAsia="en-GB"/>
        </w:rPr>
        <w:softHyphen/>
        <w:t>կային եկա</w:t>
      </w:r>
      <w:r w:rsidRPr="00082280">
        <w:rPr>
          <w:rFonts w:cs="Sylfaen"/>
          <w:b w:val="0"/>
          <w:iCs/>
          <w:szCs w:val="22"/>
          <w:lang w:val="af-ZA" w:eastAsia="en-GB"/>
        </w:rPr>
        <w:softHyphen/>
        <w:t>մուտ</w:t>
      </w:r>
      <w:r w:rsidRPr="00082280">
        <w:rPr>
          <w:rFonts w:cs="Sylfaen"/>
          <w:b w:val="0"/>
          <w:iCs/>
          <w:szCs w:val="22"/>
          <w:lang w:val="af-ZA" w:eastAsia="en-GB"/>
        </w:rPr>
        <w:softHyphen/>
        <w:t>ների:</w:t>
      </w:r>
      <w:r w:rsidRPr="00082280">
        <w:rPr>
          <w:rFonts w:cs="Sylfaen"/>
          <w:b w:val="0"/>
          <w:sz w:val="20"/>
          <w:szCs w:val="20"/>
          <w:lang w:val="hy-AM" w:eastAsia="en-US"/>
        </w:rPr>
        <w:t xml:space="preserve"> </w:t>
      </w:r>
    </w:p>
    <w:p w14:paraId="5CAFC490" w14:textId="77777777" w:rsidR="00630125" w:rsidRPr="00082280" w:rsidRDefault="00630125" w:rsidP="00630125">
      <w:pPr>
        <w:ind w:firstLine="562"/>
        <w:rPr>
          <w:rFonts w:cs="Sylfaen"/>
          <w:b w:val="0"/>
          <w:sz w:val="20"/>
          <w:szCs w:val="20"/>
          <w:lang w:val="hy-AM" w:eastAsia="en-US"/>
        </w:rPr>
      </w:pPr>
    </w:p>
    <w:p w14:paraId="5E14ADFD" w14:textId="4A96A4A8" w:rsidR="00630125" w:rsidRPr="00DE50C8" w:rsidRDefault="00630125" w:rsidP="00DE50C8">
      <w:pPr>
        <w:spacing w:after="200"/>
        <w:rPr>
          <w:b w:val="0"/>
          <w:bCs/>
          <w:szCs w:val="22"/>
          <w:lang w:val="hy-AM"/>
        </w:rPr>
      </w:pPr>
      <w:r w:rsidRPr="00DE50C8">
        <w:rPr>
          <w:b w:val="0"/>
          <w:bCs/>
          <w:szCs w:val="22"/>
          <w:lang w:val="hy-AM"/>
        </w:rPr>
        <w:t xml:space="preserve"> </w:t>
      </w:r>
      <w:bookmarkStart w:id="217" w:name="_Toc83928943"/>
      <w:bookmarkStart w:id="218" w:name="_Toc152324767"/>
      <w:r w:rsidR="00DE50C8" w:rsidRPr="00DE50C8">
        <w:rPr>
          <w:szCs w:val="22"/>
          <w:lang w:val="hy-AM"/>
        </w:rPr>
        <w:t xml:space="preserve">Աղյուսակ </w:t>
      </w:r>
      <w:r w:rsidR="00DE50C8" w:rsidRPr="00DE50C8">
        <w:rPr>
          <w:szCs w:val="22"/>
          <w:lang w:val="hy-AM"/>
        </w:rPr>
        <w:fldChar w:fldCharType="begin"/>
      </w:r>
      <w:r w:rsidR="00DE50C8" w:rsidRPr="00DE50C8">
        <w:rPr>
          <w:szCs w:val="22"/>
          <w:lang w:val="hy-AM"/>
        </w:rPr>
        <w:instrText xml:space="preserve"> SEQ Աղյուսակ \* ARABIC </w:instrText>
      </w:r>
      <w:r w:rsidR="00DE50C8" w:rsidRPr="00DE50C8">
        <w:rPr>
          <w:szCs w:val="22"/>
          <w:lang w:val="hy-AM"/>
        </w:rPr>
        <w:fldChar w:fldCharType="separate"/>
      </w:r>
      <w:r w:rsidR="00DB4E68">
        <w:rPr>
          <w:noProof/>
          <w:szCs w:val="22"/>
          <w:lang w:val="hy-AM"/>
        </w:rPr>
        <w:t>5</w:t>
      </w:r>
      <w:r w:rsidR="00DE50C8" w:rsidRPr="00DE50C8">
        <w:rPr>
          <w:szCs w:val="22"/>
          <w:lang w:val="hy-AM"/>
        </w:rPr>
        <w:fldChar w:fldCharType="end"/>
      </w:r>
      <w:r w:rsidRPr="00DE50C8">
        <w:rPr>
          <w:rFonts w:ascii="Cambria Math" w:hAnsi="Cambria Math" w:cs="Cambria Math"/>
          <w:szCs w:val="22"/>
          <w:lang w:val="hy-AM"/>
        </w:rPr>
        <w:t>․</w:t>
      </w:r>
      <w:r w:rsidRPr="00DE50C8">
        <w:rPr>
          <w:b w:val="0"/>
          <w:bCs/>
          <w:szCs w:val="22"/>
          <w:lang w:val="hy-AM"/>
        </w:rPr>
        <w:t xml:space="preserve"> 2020-2024թթ փաստացի/կանխատեսումային բյուջետային եկամուտները, մլրդ դրամ</w:t>
      </w:r>
      <w:bookmarkEnd w:id="217"/>
      <w:bookmarkEnd w:id="218"/>
    </w:p>
    <w:tbl>
      <w:tblPr>
        <w:tblW w:w="9943" w:type="dxa"/>
        <w:tblLook w:val="04A0" w:firstRow="1" w:lastRow="0" w:firstColumn="1" w:lastColumn="0" w:noHBand="0" w:noVBand="1"/>
      </w:tblPr>
      <w:tblGrid>
        <w:gridCol w:w="3060"/>
        <w:gridCol w:w="1620"/>
        <w:gridCol w:w="1170"/>
        <w:gridCol w:w="1260"/>
        <w:gridCol w:w="1350"/>
        <w:gridCol w:w="1483"/>
      </w:tblGrid>
      <w:tr w:rsidR="00630125" w:rsidRPr="00082280" w14:paraId="6A2A0253" w14:textId="77777777" w:rsidTr="003F088D">
        <w:trPr>
          <w:trHeight w:val="300"/>
        </w:trPr>
        <w:tc>
          <w:tcPr>
            <w:tcW w:w="3060" w:type="dxa"/>
            <w:vMerge w:val="restart"/>
            <w:tcBorders>
              <w:top w:val="nil"/>
              <w:left w:val="nil"/>
              <w:bottom w:val="nil"/>
              <w:right w:val="nil"/>
            </w:tcBorders>
            <w:shd w:val="clear" w:color="auto" w:fill="auto"/>
            <w:vAlign w:val="center"/>
            <w:hideMark/>
          </w:tcPr>
          <w:p w14:paraId="5A63AF68" w14:textId="77777777" w:rsidR="00630125" w:rsidRPr="00082280" w:rsidRDefault="00630125" w:rsidP="003F088D">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Ցուցանիշներ</w:t>
            </w:r>
          </w:p>
        </w:tc>
        <w:tc>
          <w:tcPr>
            <w:tcW w:w="4050" w:type="dxa"/>
            <w:gridSpan w:val="3"/>
            <w:tcBorders>
              <w:top w:val="nil"/>
              <w:left w:val="nil"/>
              <w:bottom w:val="single" w:sz="4" w:space="0" w:color="auto"/>
              <w:right w:val="nil"/>
            </w:tcBorders>
            <w:shd w:val="clear" w:color="auto" w:fill="auto"/>
            <w:noWrap/>
            <w:vAlign w:val="center"/>
            <w:hideMark/>
          </w:tcPr>
          <w:p w14:paraId="3D4D0338" w14:textId="77777777" w:rsidR="00630125" w:rsidRPr="00082280" w:rsidRDefault="00630125" w:rsidP="003F088D">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hy-AM" w:eastAsia="en-US"/>
              </w:rPr>
              <w:t>Փաստ</w:t>
            </w:r>
          </w:p>
        </w:tc>
        <w:tc>
          <w:tcPr>
            <w:tcW w:w="1350" w:type="dxa"/>
            <w:tcBorders>
              <w:top w:val="nil"/>
              <w:left w:val="nil"/>
              <w:right w:val="nil"/>
            </w:tcBorders>
            <w:shd w:val="clear" w:color="auto" w:fill="auto"/>
            <w:noWrap/>
            <w:vAlign w:val="center"/>
            <w:hideMark/>
          </w:tcPr>
          <w:p w14:paraId="4E815E66" w14:textId="77777777" w:rsidR="00630125" w:rsidRPr="00082280" w:rsidRDefault="00630125" w:rsidP="003F088D">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Սպասում</w:t>
            </w:r>
          </w:p>
        </w:tc>
        <w:tc>
          <w:tcPr>
            <w:tcW w:w="1483" w:type="dxa"/>
            <w:tcBorders>
              <w:top w:val="nil"/>
              <w:left w:val="nil"/>
              <w:bottom w:val="single" w:sz="4" w:space="0" w:color="auto"/>
              <w:right w:val="nil"/>
            </w:tcBorders>
            <w:shd w:val="clear" w:color="auto" w:fill="auto"/>
            <w:noWrap/>
            <w:vAlign w:val="center"/>
            <w:hideMark/>
          </w:tcPr>
          <w:p w14:paraId="540F4DD7" w14:textId="20E08561" w:rsidR="00630125" w:rsidRPr="009813D2" w:rsidRDefault="009813D2" w:rsidP="003F088D">
            <w:pPr>
              <w:spacing w:before="0" w:line="240" w:lineRule="auto"/>
              <w:jc w:val="center"/>
              <w:rPr>
                <w:rFonts w:cs="Calibri"/>
                <w:b w:val="0"/>
                <w:color w:val="000000"/>
                <w:sz w:val="18"/>
                <w:szCs w:val="18"/>
                <w:lang w:val="hy-AM" w:eastAsia="en-US"/>
              </w:rPr>
            </w:pPr>
            <w:r>
              <w:rPr>
                <w:rFonts w:cs="Calibri"/>
                <w:b w:val="0"/>
                <w:color w:val="000000"/>
                <w:sz w:val="18"/>
                <w:szCs w:val="18"/>
                <w:lang w:val="hy-AM" w:eastAsia="en-US"/>
              </w:rPr>
              <w:t>ծրագիր</w:t>
            </w:r>
          </w:p>
        </w:tc>
      </w:tr>
      <w:tr w:rsidR="00630125" w:rsidRPr="00082280" w14:paraId="0BB9131B" w14:textId="77777777" w:rsidTr="003F088D">
        <w:trPr>
          <w:trHeight w:val="300"/>
        </w:trPr>
        <w:tc>
          <w:tcPr>
            <w:tcW w:w="3060" w:type="dxa"/>
            <w:vMerge/>
            <w:tcBorders>
              <w:top w:val="nil"/>
              <w:left w:val="nil"/>
              <w:bottom w:val="nil"/>
              <w:right w:val="nil"/>
            </w:tcBorders>
            <w:vAlign w:val="center"/>
            <w:hideMark/>
          </w:tcPr>
          <w:p w14:paraId="68A82675" w14:textId="77777777" w:rsidR="00630125" w:rsidRPr="00082280" w:rsidRDefault="00630125" w:rsidP="003F088D">
            <w:pPr>
              <w:spacing w:before="0" w:line="240" w:lineRule="auto"/>
              <w:jc w:val="left"/>
              <w:rPr>
                <w:b w:val="0"/>
                <w:color w:val="000000"/>
                <w:sz w:val="18"/>
                <w:szCs w:val="18"/>
                <w:lang w:val="en-US" w:eastAsia="en-US"/>
              </w:rPr>
            </w:pPr>
          </w:p>
        </w:tc>
        <w:tc>
          <w:tcPr>
            <w:tcW w:w="1620" w:type="dxa"/>
            <w:tcBorders>
              <w:top w:val="single" w:sz="4" w:space="0" w:color="auto"/>
              <w:left w:val="nil"/>
              <w:right w:val="nil"/>
            </w:tcBorders>
            <w:shd w:val="clear" w:color="auto" w:fill="auto"/>
            <w:noWrap/>
            <w:vAlign w:val="center"/>
            <w:hideMark/>
          </w:tcPr>
          <w:p w14:paraId="15D83D75" w14:textId="77777777" w:rsidR="00630125" w:rsidRPr="00082280" w:rsidRDefault="00630125" w:rsidP="003F088D">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2020</w:t>
            </w:r>
          </w:p>
        </w:tc>
        <w:tc>
          <w:tcPr>
            <w:tcW w:w="1170" w:type="dxa"/>
            <w:tcBorders>
              <w:top w:val="single" w:sz="4" w:space="0" w:color="auto"/>
              <w:left w:val="nil"/>
              <w:right w:val="nil"/>
            </w:tcBorders>
            <w:shd w:val="clear" w:color="auto" w:fill="auto"/>
            <w:noWrap/>
            <w:vAlign w:val="center"/>
            <w:hideMark/>
          </w:tcPr>
          <w:p w14:paraId="23BA7B03" w14:textId="77777777" w:rsidR="00630125" w:rsidRPr="00082280" w:rsidRDefault="00630125" w:rsidP="003F088D">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2021</w:t>
            </w:r>
          </w:p>
        </w:tc>
        <w:tc>
          <w:tcPr>
            <w:tcW w:w="1260" w:type="dxa"/>
            <w:tcBorders>
              <w:top w:val="single" w:sz="4" w:space="0" w:color="auto"/>
              <w:left w:val="nil"/>
              <w:bottom w:val="single" w:sz="4" w:space="0" w:color="auto"/>
              <w:right w:val="nil"/>
            </w:tcBorders>
            <w:shd w:val="clear" w:color="auto" w:fill="auto"/>
            <w:noWrap/>
            <w:vAlign w:val="center"/>
            <w:hideMark/>
          </w:tcPr>
          <w:p w14:paraId="440DDCD5" w14:textId="77777777" w:rsidR="00630125" w:rsidRPr="00082280" w:rsidRDefault="00630125" w:rsidP="003F088D">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2022</w:t>
            </w:r>
          </w:p>
        </w:tc>
        <w:tc>
          <w:tcPr>
            <w:tcW w:w="1350" w:type="dxa"/>
            <w:tcBorders>
              <w:left w:val="nil"/>
              <w:right w:val="nil"/>
            </w:tcBorders>
            <w:shd w:val="clear" w:color="auto" w:fill="auto"/>
            <w:noWrap/>
            <w:vAlign w:val="center"/>
            <w:hideMark/>
          </w:tcPr>
          <w:p w14:paraId="62DDC0CD" w14:textId="77777777" w:rsidR="00630125" w:rsidRPr="00EA7F39" w:rsidRDefault="00630125" w:rsidP="003F088D">
            <w:pPr>
              <w:spacing w:before="0" w:line="240" w:lineRule="auto"/>
              <w:jc w:val="center"/>
              <w:rPr>
                <w:rFonts w:cs="Calibri"/>
                <w:b w:val="0"/>
                <w:color w:val="000000"/>
                <w:sz w:val="18"/>
                <w:szCs w:val="18"/>
                <w:lang w:val="en-US" w:eastAsia="en-US"/>
              </w:rPr>
            </w:pPr>
            <w:r w:rsidRPr="00EA7F39">
              <w:rPr>
                <w:rFonts w:cs="Calibri"/>
                <w:b w:val="0"/>
                <w:color w:val="000000"/>
                <w:sz w:val="18"/>
                <w:szCs w:val="18"/>
                <w:lang w:val="en-US" w:eastAsia="en-US"/>
              </w:rPr>
              <w:t>2023</w:t>
            </w:r>
          </w:p>
        </w:tc>
        <w:tc>
          <w:tcPr>
            <w:tcW w:w="1483" w:type="dxa"/>
            <w:tcBorders>
              <w:top w:val="single" w:sz="4" w:space="0" w:color="auto"/>
              <w:left w:val="nil"/>
              <w:bottom w:val="single" w:sz="4" w:space="0" w:color="auto"/>
              <w:right w:val="nil"/>
            </w:tcBorders>
            <w:shd w:val="clear" w:color="auto" w:fill="auto"/>
            <w:noWrap/>
            <w:vAlign w:val="center"/>
            <w:hideMark/>
          </w:tcPr>
          <w:p w14:paraId="703A681D" w14:textId="77777777" w:rsidR="00630125" w:rsidRPr="00EA7F39" w:rsidRDefault="00630125" w:rsidP="003F088D">
            <w:pPr>
              <w:spacing w:before="0" w:line="240" w:lineRule="auto"/>
              <w:jc w:val="center"/>
              <w:rPr>
                <w:rFonts w:cs="Calibri"/>
                <w:b w:val="0"/>
                <w:color w:val="000000"/>
                <w:sz w:val="18"/>
                <w:szCs w:val="18"/>
                <w:lang w:val="en-US" w:eastAsia="en-US"/>
              </w:rPr>
            </w:pPr>
            <w:r w:rsidRPr="00EA7F39">
              <w:rPr>
                <w:rFonts w:cs="Calibri"/>
                <w:b w:val="0"/>
                <w:color w:val="000000"/>
                <w:sz w:val="18"/>
                <w:szCs w:val="18"/>
                <w:lang w:val="en-US" w:eastAsia="en-US"/>
              </w:rPr>
              <w:t>2024</w:t>
            </w:r>
          </w:p>
        </w:tc>
      </w:tr>
      <w:tr w:rsidR="000D2FDF" w:rsidRPr="00082280" w14:paraId="35F65057" w14:textId="77777777" w:rsidTr="003F088D">
        <w:trPr>
          <w:trHeight w:val="540"/>
        </w:trPr>
        <w:tc>
          <w:tcPr>
            <w:tcW w:w="3060" w:type="dxa"/>
            <w:tcBorders>
              <w:top w:val="single" w:sz="4" w:space="0" w:color="auto"/>
              <w:left w:val="nil"/>
              <w:bottom w:val="nil"/>
              <w:right w:val="nil"/>
            </w:tcBorders>
            <w:shd w:val="clear" w:color="000000" w:fill="FFFFFF"/>
            <w:vAlign w:val="center"/>
            <w:hideMark/>
          </w:tcPr>
          <w:p w14:paraId="561E9BF1" w14:textId="77777777" w:rsidR="000D2FDF" w:rsidRPr="00082280" w:rsidRDefault="000D2FDF" w:rsidP="000D2FDF">
            <w:pPr>
              <w:spacing w:before="0" w:line="240" w:lineRule="auto"/>
              <w:jc w:val="left"/>
              <w:rPr>
                <w:b w:val="0"/>
                <w:sz w:val="18"/>
                <w:szCs w:val="18"/>
                <w:lang w:val="en-US" w:eastAsia="en-US"/>
              </w:rPr>
            </w:pPr>
            <w:r w:rsidRPr="00082280">
              <w:rPr>
                <w:b w:val="0"/>
                <w:sz w:val="18"/>
                <w:szCs w:val="18"/>
                <w:lang w:val="en-US" w:eastAsia="en-US"/>
              </w:rPr>
              <w:t xml:space="preserve"> Պետական բյուջեի եկամուտներ</w:t>
            </w:r>
          </w:p>
        </w:tc>
        <w:tc>
          <w:tcPr>
            <w:tcW w:w="1620" w:type="dxa"/>
            <w:tcBorders>
              <w:top w:val="single" w:sz="4" w:space="0" w:color="auto"/>
              <w:left w:val="nil"/>
              <w:bottom w:val="nil"/>
              <w:right w:val="nil"/>
            </w:tcBorders>
            <w:shd w:val="clear" w:color="000000" w:fill="FFFFFF"/>
            <w:noWrap/>
            <w:vAlign w:val="center"/>
            <w:hideMark/>
          </w:tcPr>
          <w:p w14:paraId="6F516209"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1,574.0</w:t>
            </w:r>
          </w:p>
        </w:tc>
        <w:tc>
          <w:tcPr>
            <w:tcW w:w="1170" w:type="dxa"/>
            <w:tcBorders>
              <w:top w:val="single" w:sz="4" w:space="0" w:color="auto"/>
              <w:left w:val="nil"/>
              <w:bottom w:val="nil"/>
              <w:right w:val="nil"/>
            </w:tcBorders>
            <w:shd w:val="clear" w:color="000000" w:fill="FFFFFF"/>
            <w:noWrap/>
            <w:vAlign w:val="center"/>
            <w:hideMark/>
          </w:tcPr>
          <w:p w14:paraId="202AEC48"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1,706.5</w:t>
            </w:r>
          </w:p>
        </w:tc>
        <w:tc>
          <w:tcPr>
            <w:tcW w:w="1260" w:type="dxa"/>
            <w:tcBorders>
              <w:top w:val="single" w:sz="4" w:space="0" w:color="auto"/>
              <w:left w:val="nil"/>
              <w:bottom w:val="nil"/>
              <w:right w:val="nil"/>
            </w:tcBorders>
            <w:shd w:val="clear" w:color="000000" w:fill="FFFFFF"/>
            <w:noWrap/>
            <w:vAlign w:val="center"/>
            <w:hideMark/>
          </w:tcPr>
          <w:p w14:paraId="29B7471F"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2,099.6</w:t>
            </w:r>
          </w:p>
        </w:tc>
        <w:tc>
          <w:tcPr>
            <w:tcW w:w="1350" w:type="dxa"/>
            <w:tcBorders>
              <w:top w:val="single" w:sz="4" w:space="0" w:color="auto"/>
              <w:left w:val="nil"/>
              <w:bottom w:val="nil"/>
              <w:right w:val="nil"/>
            </w:tcBorders>
            <w:shd w:val="clear" w:color="000000" w:fill="FFFFFF"/>
            <w:noWrap/>
            <w:vAlign w:val="center"/>
            <w:hideMark/>
          </w:tcPr>
          <w:p w14:paraId="7730363E" w14:textId="48DCB633"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2,408.1</w:t>
            </w:r>
          </w:p>
        </w:tc>
        <w:tc>
          <w:tcPr>
            <w:tcW w:w="1483" w:type="dxa"/>
            <w:tcBorders>
              <w:top w:val="single" w:sz="4" w:space="0" w:color="auto"/>
              <w:left w:val="nil"/>
              <w:bottom w:val="nil"/>
              <w:right w:val="nil"/>
            </w:tcBorders>
            <w:shd w:val="clear" w:color="000000" w:fill="FFFFFF"/>
            <w:noWrap/>
            <w:vAlign w:val="center"/>
            <w:hideMark/>
          </w:tcPr>
          <w:p w14:paraId="0F9DDB64"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2,723.6</w:t>
            </w:r>
          </w:p>
        </w:tc>
      </w:tr>
      <w:tr w:rsidR="000D2FDF" w:rsidRPr="00082280" w14:paraId="45D8F64F" w14:textId="77777777" w:rsidTr="003F088D">
        <w:trPr>
          <w:trHeight w:val="300"/>
        </w:trPr>
        <w:tc>
          <w:tcPr>
            <w:tcW w:w="3060" w:type="dxa"/>
            <w:tcBorders>
              <w:top w:val="nil"/>
              <w:left w:val="nil"/>
              <w:bottom w:val="single" w:sz="4" w:space="0" w:color="auto"/>
              <w:right w:val="nil"/>
            </w:tcBorders>
            <w:shd w:val="clear" w:color="000000" w:fill="FFFFFF"/>
            <w:vAlign w:val="center"/>
            <w:hideMark/>
          </w:tcPr>
          <w:p w14:paraId="4574D83F" w14:textId="77777777" w:rsidR="000D2FDF" w:rsidRPr="00082280" w:rsidRDefault="000D2FDF" w:rsidP="000D2FDF">
            <w:pPr>
              <w:spacing w:before="0" w:line="240" w:lineRule="auto"/>
              <w:jc w:val="left"/>
              <w:rPr>
                <w:b w:val="0"/>
                <w:sz w:val="18"/>
                <w:szCs w:val="18"/>
                <w:lang w:val="en-US" w:eastAsia="en-US"/>
              </w:rPr>
            </w:pPr>
            <w:r w:rsidRPr="00082280">
              <w:rPr>
                <w:b w:val="0"/>
                <w:sz w:val="18"/>
                <w:szCs w:val="18"/>
                <w:lang w:val="en-US" w:eastAsia="en-US"/>
              </w:rPr>
              <w:t xml:space="preserve">ՀՆԱ-ի նկատմամբ (%) </w:t>
            </w:r>
          </w:p>
        </w:tc>
        <w:tc>
          <w:tcPr>
            <w:tcW w:w="1620" w:type="dxa"/>
            <w:tcBorders>
              <w:top w:val="nil"/>
              <w:left w:val="nil"/>
              <w:bottom w:val="single" w:sz="4" w:space="0" w:color="auto"/>
              <w:right w:val="nil"/>
            </w:tcBorders>
            <w:shd w:val="clear" w:color="000000" w:fill="FFFFFF"/>
            <w:noWrap/>
            <w:vAlign w:val="center"/>
            <w:hideMark/>
          </w:tcPr>
          <w:p w14:paraId="2E98BD08"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25.5%</w:t>
            </w:r>
          </w:p>
        </w:tc>
        <w:tc>
          <w:tcPr>
            <w:tcW w:w="1170" w:type="dxa"/>
            <w:tcBorders>
              <w:top w:val="nil"/>
              <w:left w:val="nil"/>
              <w:bottom w:val="single" w:sz="4" w:space="0" w:color="auto"/>
              <w:right w:val="nil"/>
            </w:tcBorders>
            <w:shd w:val="clear" w:color="000000" w:fill="FFFFFF"/>
            <w:noWrap/>
            <w:vAlign w:val="center"/>
            <w:hideMark/>
          </w:tcPr>
          <w:p w14:paraId="3498B512"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24.4%</w:t>
            </w:r>
          </w:p>
        </w:tc>
        <w:tc>
          <w:tcPr>
            <w:tcW w:w="1260" w:type="dxa"/>
            <w:tcBorders>
              <w:top w:val="nil"/>
              <w:left w:val="nil"/>
              <w:bottom w:val="single" w:sz="4" w:space="0" w:color="auto"/>
              <w:right w:val="nil"/>
            </w:tcBorders>
            <w:shd w:val="clear" w:color="000000" w:fill="FFFFFF"/>
            <w:noWrap/>
            <w:vAlign w:val="center"/>
            <w:hideMark/>
          </w:tcPr>
          <w:p w14:paraId="61675339"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24.7%</w:t>
            </w:r>
          </w:p>
        </w:tc>
        <w:tc>
          <w:tcPr>
            <w:tcW w:w="1350" w:type="dxa"/>
            <w:tcBorders>
              <w:top w:val="nil"/>
              <w:left w:val="nil"/>
              <w:bottom w:val="single" w:sz="4" w:space="0" w:color="auto"/>
              <w:right w:val="nil"/>
            </w:tcBorders>
            <w:shd w:val="clear" w:color="000000" w:fill="FFFFFF"/>
            <w:noWrap/>
            <w:vAlign w:val="center"/>
            <w:hideMark/>
          </w:tcPr>
          <w:p w14:paraId="53F089D2" w14:textId="6F81C174"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25.5%</w:t>
            </w:r>
          </w:p>
        </w:tc>
        <w:tc>
          <w:tcPr>
            <w:tcW w:w="1483" w:type="dxa"/>
            <w:tcBorders>
              <w:top w:val="nil"/>
              <w:left w:val="nil"/>
              <w:bottom w:val="single" w:sz="4" w:space="0" w:color="auto"/>
              <w:right w:val="nil"/>
            </w:tcBorders>
            <w:shd w:val="clear" w:color="000000" w:fill="FFFFFF"/>
            <w:noWrap/>
            <w:vAlign w:val="center"/>
            <w:hideMark/>
          </w:tcPr>
          <w:p w14:paraId="4DE42E81"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25.9%</w:t>
            </w:r>
          </w:p>
        </w:tc>
      </w:tr>
      <w:tr w:rsidR="000D2FDF" w:rsidRPr="00082280" w14:paraId="18B2391A" w14:textId="77777777" w:rsidTr="003F088D">
        <w:trPr>
          <w:trHeight w:val="540"/>
        </w:trPr>
        <w:tc>
          <w:tcPr>
            <w:tcW w:w="3060" w:type="dxa"/>
            <w:tcBorders>
              <w:top w:val="single" w:sz="4" w:space="0" w:color="auto"/>
              <w:left w:val="nil"/>
              <w:bottom w:val="nil"/>
              <w:right w:val="nil"/>
            </w:tcBorders>
            <w:shd w:val="clear" w:color="000000" w:fill="FFFFFF"/>
            <w:vAlign w:val="center"/>
            <w:hideMark/>
          </w:tcPr>
          <w:p w14:paraId="2F6E20AC" w14:textId="77777777" w:rsidR="000D2FDF" w:rsidRPr="00082280" w:rsidRDefault="000D2FDF" w:rsidP="000D2FDF">
            <w:pPr>
              <w:spacing w:before="0" w:line="240" w:lineRule="auto"/>
              <w:jc w:val="left"/>
              <w:rPr>
                <w:b w:val="0"/>
                <w:sz w:val="18"/>
                <w:szCs w:val="18"/>
                <w:lang w:eastAsia="en-US"/>
              </w:rPr>
            </w:pPr>
            <w:r w:rsidRPr="00082280">
              <w:rPr>
                <w:b w:val="0"/>
                <w:sz w:val="18"/>
                <w:szCs w:val="18"/>
                <w:lang w:eastAsia="en-US"/>
              </w:rPr>
              <w:t xml:space="preserve"> 1. Հարկային եկամուտներ և պետական տուրքեր</w:t>
            </w:r>
          </w:p>
        </w:tc>
        <w:tc>
          <w:tcPr>
            <w:tcW w:w="1620" w:type="dxa"/>
            <w:tcBorders>
              <w:top w:val="single" w:sz="4" w:space="0" w:color="auto"/>
              <w:left w:val="nil"/>
              <w:bottom w:val="nil"/>
              <w:right w:val="nil"/>
            </w:tcBorders>
            <w:shd w:val="clear" w:color="000000" w:fill="FFFFFF"/>
            <w:noWrap/>
            <w:vAlign w:val="center"/>
            <w:hideMark/>
          </w:tcPr>
          <w:p w14:paraId="2EE83682"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1,398.5</w:t>
            </w:r>
          </w:p>
        </w:tc>
        <w:tc>
          <w:tcPr>
            <w:tcW w:w="1170" w:type="dxa"/>
            <w:tcBorders>
              <w:top w:val="single" w:sz="4" w:space="0" w:color="auto"/>
              <w:left w:val="nil"/>
              <w:bottom w:val="nil"/>
              <w:right w:val="nil"/>
            </w:tcBorders>
            <w:shd w:val="clear" w:color="000000" w:fill="FFFFFF"/>
            <w:noWrap/>
            <w:vAlign w:val="center"/>
            <w:hideMark/>
          </w:tcPr>
          <w:p w14:paraId="1D7FF2C5"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1,609.6</w:t>
            </w:r>
          </w:p>
        </w:tc>
        <w:tc>
          <w:tcPr>
            <w:tcW w:w="1260" w:type="dxa"/>
            <w:tcBorders>
              <w:top w:val="single" w:sz="4" w:space="0" w:color="auto"/>
              <w:left w:val="nil"/>
              <w:bottom w:val="nil"/>
              <w:right w:val="nil"/>
            </w:tcBorders>
            <w:shd w:val="clear" w:color="000000" w:fill="FFFFFF"/>
            <w:noWrap/>
            <w:vAlign w:val="center"/>
            <w:hideMark/>
          </w:tcPr>
          <w:p w14:paraId="5091255D"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1,962.5</w:t>
            </w:r>
          </w:p>
        </w:tc>
        <w:tc>
          <w:tcPr>
            <w:tcW w:w="1350" w:type="dxa"/>
            <w:tcBorders>
              <w:top w:val="single" w:sz="4" w:space="0" w:color="auto"/>
              <w:left w:val="nil"/>
              <w:bottom w:val="nil"/>
              <w:right w:val="nil"/>
            </w:tcBorders>
            <w:shd w:val="clear" w:color="000000" w:fill="FFFFFF"/>
            <w:noWrap/>
            <w:vAlign w:val="center"/>
            <w:hideMark/>
          </w:tcPr>
          <w:p w14:paraId="6B534AA8" w14:textId="4D86364E"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2,277.8</w:t>
            </w:r>
          </w:p>
        </w:tc>
        <w:tc>
          <w:tcPr>
            <w:tcW w:w="1483" w:type="dxa"/>
            <w:tcBorders>
              <w:top w:val="single" w:sz="4" w:space="0" w:color="auto"/>
              <w:left w:val="nil"/>
              <w:bottom w:val="nil"/>
              <w:right w:val="nil"/>
            </w:tcBorders>
            <w:shd w:val="clear" w:color="000000" w:fill="FFFFFF"/>
            <w:noWrap/>
            <w:vAlign w:val="center"/>
            <w:hideMark/>
          </w:tcPr>
          <w:p w14:paraId="7564021E"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2,613.6</w:t>
            </w:r>
          </w:p>
        </w:tc>
      </w:tr>
      <w:tr w:rsidR="000D2FDF" w:rsidRPr="00082280" w14:paraId="1242A2B2" w14:textId="77777777" w:rsidTr="003F088D">
        <w:trPr>
          <w:trHeight w:val="300"/>
        </w:trPr>
        <w:tc>
          <w:tcPr>
            <w:tcW w:w="3060" w:type="dxa"/>
            <w:tcBorders>
              <w:top w:val="nil"/>
              <w:left w:val="nil"/>
              <w:bottom w:val="nil"/>
              <w:right w:val="nil"/>
            </w:tcBorders>
            <w:shd w:val="clear" w:color="000000" w:fill="FFFFFF"/>
            <w:vAlign w:val="center"/>
            <w:hideMark/>
          </w:tcPr>
          <w:p w14:paraId="08456C32" w14:textId="77777777" w:rsidR="000D2FDF" w:rsidRPr="00082280" w:rsidRDefault="000D2FDF" w:rsidP="000D2FDF">
            <w:pPr>
              <w:spacing w:before="0" w:line="240" w:lineRule="auto"/>
              <w:jc w:val="left"/>
              <w:rPr>
                <w:b w:val="0"/>
                <w:sz w:val="18"/>
                <w:szCs w:val="18"/>
                <w:lang w:val="en-US" w:eastAsia="en-US"/>
              </w:rPr>
            </w:pPr>
            <w:r w:rsidRPr="00082280">
              <w:rPr>
                <w:b w:val="0"/>
                <w:sz w:val="18"/>
                <w:szCs w:val="18"/>
                <w:lang w:val="en-US" w:eastAsia="en-US"/>
              </w:rPr>
              <w:t xml:space="preserve">ՀՆԱ-ի նկատմամբ (%) </w:t>
            </w:r>
          </w:p>
        </w:tc>
        <w:tc>
          <w:tcPr>
            <w:tcW w:w="1620" w:type="dxa"/>
            <w:tcBorders>
              <w:top w:val="nil"/>
              <w:left w:val="nil"/>
              <w:bottom w:val="nil"/>
              <w:right w:val="nil"/>
            </w:tcBorders>
            <w:shd w:val="clear" w:color="000000" w:fill="FFFFFF"/>
            <w:noWrap/>
            <w:vAlign w:val="center"/>
            <w:hideMark/>
          </w:tcPr>
          <w:p w14:paraId="6A547428"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22.6%</w:t>
            </w:r>
          </w:p>
        </w:tc>
        <w:tc>
          <w:tcPr>
            <w:tcW w:w="1170" w:type="dxa"/>
            <w:tcBorders>
              <w:top w:val="nil"/>
              <w:left w:val="nil"/>
              <w:bottom w:val="nil"/>
              <w:right w:val="nil"/>
            </w:tcBorders>
            <w:shd w:val="clear" w:color="000000" w:fill="FFFFFF"/>
            <w:noWrap/>
            <w:vAlign w:val="center"/>
            <w:hideMark/>
          </w:tcPr>
          <w:p w14:paraId="44F91300"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23.0%</w:t>
            </w:r>
          </w:p>
        </w:tc>
        <w:tc>
          <w:tcPr>
            <w:tcW w:w="1260" w:type="dxa"/>
            <w:tcBorders>
              <w:top w:val="nil"/>
              <w:left w:val="nil"/>
              <w:bottom w:val="nil"/>
              <w:right w:val="nil"/>
            </w:tcBorders>
            <w:shd w:val="clear" w:color="000000" w:fill="FFFFFF"/>
            <w:noWrap/>
            <w:vAlign w:val="center"/>
            <w:hideMark/>
          </w:tcPr>
          <w:p w14:paraId="225AB321"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23.1%</w:t>
            </w:r>
          </w:p>
        </w:tc>
        <w:tc>
          <w:tcPr>
            <w:tcW w:w="1350" w:type="dxa"/>
            <w:tcBorders>
              <w:top w:val="nil"/>
              <w:left w:val="nil"/>
              <w:bottom w:val="nil"/>
              <w:right w:val="nil"/>
            </w:tcBorders>
            <w:shd w:val="clear" w:color="000000" w:fill="FFFFFF"/>
            <w:noWrap/>
            <w:vAlign w:val="center"/>
            <w:hideMark/>
          </w:tcPr>
          <w:p w14:paraId="0C96C173" w14:textId="547346A2"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24.1%</w:t>
            </w:r>
          </w:p>
        </w:tc>
        <w:tc>
          <w:tcPr>
            <w:tcW w:w="1483" w:type="dxa"/>
            <w:tcBorders>
              <w:top w:val="nil"/>
              <w:left w:val="nil"/>
              <w:bottom w:val="nil"/>
              <w:right w:val="nil"/>
            </w:tcBorders>
            <w:shd w:val="clear" w:color="000000" w:fill="FFFFFF"/>
            <w:noWrap/>
            <w:vAlign w:val="center"/>
            <w:hideMark/>
          </w:tcPr>
          <w:p w14:paraId="0E87FEB2"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24.9%</w:t>
            </w:r>
          </w:p>
        </w:tc>
      </w:tr>
      <w:tr w:rsidR="000D2FDF" w:rsidRPr="00082280" w14:paraId="43DBD7E5" w14:textId="77777777" w:rsidTr="003F088D">
        <w:trPr>
          <w:trHeight w:val="420"/>
        </w:trPr>
        <w:tc>
          <w:tcPr>
            <w:tcW w:w="3060" w:type="dxa"/>
            <w:tcBorders>
              <w:top w:val="nil"/>
              <w:left w:val="nil"/>
              <w:bottom w:val="single" w:sz="4" w:space="0" w:color="auto"/>
              <w:right w:val="nil"/>
            </w:tcBorders>
            <w:shd w:val="clear" w:color="000000" w:fill="FFFFFF"/>
            <w:vAlign w:val="center"/>
            <w:hideMark/>
          </w:tcPr>
          <w:p w14:paraId="21684AB3" w14:textId="77777777" w:rsidR="000D2FDF" w:rsidRPr="00082280" w:rsidRDefault="000D2FDF" w:rsidP="000D2FDF">
            <w:pPr>
              <w:spacing w:before="0" w:line="240" w:lineRule="auto"/>
              <w:jc w:val="left"/>
              <w:rPr>
                <w:b w:val="0"/>
                <w:sz w:val="18"/>
                <w:szCs w:val="18"/>
                <w:lang w:val="en-US" w:eastAsia="en-US"/>
              </w:rPr>
            </w:pPr>
            <w:r w:rsidRPr="00082280">
              <w:rPr>
                <w:b w:val="0"/>
                <w:sz w:val="18"/>
                <w:szCs w:val="18"/>
                <w:lang w:val="en-US" w:eastAsia="en-US"/>
              </w:rPr>
              <w:t>Ընդհանուրի նկատմամբ (%)</w:t>
            </w:r>
          </w:p>
        </w:tc>
        <w:tc>
          <w:tcPr>
            <w:tcW w:w="1620" w:type="dxa"/>
            <w:tcBorders>
              <w:top w:val="nil"/>
              <w:left w:val="nil"/>
              <w:bottom w:val="nil"/>
              <w:right w:val="nil"/>
            </w:tcBorders>
            <w:shd w:val="clear" w:color="000000" w:fill="FFFFFF"/>
            <w:noWrap/>
            <w:vAlign w:val="center"/>
            <w:hideMark/>
          </w:tcPr>
          <w:p w14:paraId="39068C2B"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88.9%</w:t>
            </w:r>
          </w:p>
        </w:tc>
        <w:tc>
          <w:tcPr>
            <w:tcW w:w="1170" w:type="dxa"/>
            <w:tcBorders>
              <w:top w:val="nil"/>
              <w:left w:val="nil"/>
              <w:bottom w:val="nil"/>
              <w:right w:val="nil"/>
            </w:tcBorders>
            <w:shd w:val="clear" w:color="000000" w:fill="FFFFFF"/>
            <w:noWrap/>
            <w:vAlign w:val="center"/>
            <w:hideMark/>
          </w:tcPr>
          <w:p w14:paraId="4B3C30FA"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94.3%</w:t>
            </w:r>
          </w:p>
        </w:tc>
        <w:tc>
          <w:tcPr>
            <w:tcW w:w="1260" w:type="dxa"/>
            <w:tcBorders>
              <w:top w:val="nil"/>
              <w:left w:val="nil"/>
              <w:bottom w:val="nil"/>
              <w:right w:val="nil"/>
            </w:tcBorders>
            <w:shd w:val="clear" w:color="000000" w:fill="FFFFFF"/>
            <w:noWrap/>
            <w:vAlign w:val="center"/>
            <w:hideMark/>
          </w:tcPr>
          <w:p w14:paraId="5F2FBB1D"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93.5%</w:t>
            </w:r>
          </w:p>
        </w:tc>
        <w:tc>
          <w:tcPr>
            <w:tcW w:w="1350" w:type="dxa"/>
            <w:tcBorders>
              <w:top w:val="nil"/>
              <w:left w:val="nil"/>
              <w:bottom w:val="nil"/>
              <w:right w:val="nil"/>
            </w:tcBorders>
            <w:shd w:val="clear" w:color="000000" w:fill="FFFFFF"/>
            <w:noWrap/>
            <w:vAlign w:val="center"/>
            <w:hideMark/>
          </w:tcPr>
          <w:p w14:paraId="452A2EA3" w14:textId="1E4EC592"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94.6%</w:t>
            </w:r>
          </w:p>
        </w:tc>
        <w:tc>
          <w:tcPr>
            <w:tcW w:w="1483" w:type="dxa"/>
            <w:tcBorders>
              <w:top w:val="nil"/>
              <w:left w:val="nil"/>
              <w:bottom w:val="nil"/>
              <w:right w:val="nil"/>
            </w:tcBorders>
            <w:shd w:val="clear" w:color="000000" w:fill="FFFFFF"/>
            <w:noWrap/>
            <w:vAlign w:val="center"/>
            <w:hideMark/>
          </w:tcPr>
          <w:p w14:paraId="7E4BFAA7"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96.0%</w:t>
            </w:r>
          </w:p>
        </w:tc>
      </w:tr>
      <w:tr w:rsidR="000D2FDF" w:rsidRPr="00082280" w14:paraId="130FD137" w14:textId="77777777" w:rsidTr="003F088D">
        <w:trPr>
          <w:trHeight w:val="300"/>
        </w:trPr>
        <w:tc>
          <w:tcPr>
            <w:tcW w:w="3060" w:type="dxa"/>
            <w:tcBorders>
              <w:top w:val="single" w:sz="4" w:space="0" w:color="auto"/>
              <w:left w:val="nil"/>
              <w:bottom w:val="nil"/>
              <w:right w:val="nil"/>
            </w:tcBorders>
            <w:shd w:val="clear" w:color="000000" w:fill="FFFFFF"/>
            <w:vAlign w:val="center"/>
            <w:hideMark/>
          </w:tcPr>
          <w:p w14:paraId="63F65683" w14:textId="77777777" w:rsidR="000D2FDF" w:rsidRPr="00082280" w:rsidRDefault="000D2FDF" w:rsidP="000D2FDF">
            <w:pPr>
              <w:spacing w:before="0" w:line="240" w:lineRule="auto"/>
              <w:jc w:val="left"/>
              <w:rPr>
                <w:b w:val="0"/>
                <w:sz w:val="18"/>
                <w:szCs w:val="18"/>
                <w:lang w:val="en-US" w:eastAsia="en-US"/>
              </w:rPr>
            </w:pPr>
            <w:r w:rsidRPr="00082280">
              <w:rPr>
                <w:b w:val="0"/>
                <w:sz w:val="18"/>
                <w:szCs w:val="18"/>
                <w:lang w:val="en-US" w:eastAsia="en-US"/>
              </w:rPr>
              <w:t xml:space="preserve"> 2. Այլ եկամուտներ </w:t>
            </w:r>
          </w:p>
        </w:tc>
        <w:tc>
          <w:tcPr>
            <w:tcW w:w="1620" w:type="dxa"/>
            <w:tcBorders>
              <w:top w:val="single" w:sz="4" w:space="0" w:color="auto"/>
              <w:left w:val="nil"/>
              <w:bottom w:val="nil"/>
              <w:right w:val="nil"/>
            </w:tcBorders>
            <w:shd w:val="clear" w:color="000000" w:fill="FFFFFF"/>
            <w:noWrap/>
            <w:vAlign w:val="center"/>
            <w:hideMark/>
          </w:tcPr>
          <w:p w14:paraId="7C61D61F"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122.2</w:t>
            </w:r>
          </w:p>
        </w:tc>
        <w:tc>
          <w:tcPr>
            <w:tcW w:w="1170" w:type="dxa"/>
            <w:tcBorders>
              <w:top w:val="single" w:sz="4" w:space="0" w:color="auto"/>
              <w:left w:val="nil"/>
              <w:bottom w:val="nil"/>
              <w:right w:val="nil"/>
            </w:tcBorders>
            <w:shd w:val="clear" w:color="000000" w:fill="FFFFFF"/>
            <w:noWrap/>
            <w:vAlign w:val="center"/>
            <w:hideMark/>
          </w:tcPr>
          <w:p w14:paraId="5060711A"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84.6</w:t>
            </w:r>
          </w:p>
        </w:tc>
        <w:tc>
          <w:tcPr>
            <w:tcW w:w="1260" w:type="dxa"/>
            <w:tcBorders>
              <w:top w:val="single" w:sz="4" w:space="0" w:color="auto"/>
              <w:left w:val="nil"/>
              <w:bottom w:val="nil"/>
              <w:right w:val="nil"/>
            </w:tcBorders>
            <w:shd w:val="clear" w:color="000000" w:fill="FFFFFF"/>
            <w:noWrap/>
            <w:vAlign w:val="center"/>
            <w:hideMark/>
          </w:tcPr>
          <w:p w14:paraId="1EDFC671"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122.1</w:t>
            </w:r>
          </w:p>
        </w:tc>
        <w:tc>
          <w:tcPr>
            <w:tcW w:w="1350" w:type="dxa"/>
            <w:tcBorders>
              <w:top w:val="single" w:sz="4" w:space="0" w:color="auto"/>
              <w:left w:val="nil"/>
              <w:bottom w:val="nil"/>
              <w:right w:val="nil"/>
            </w:tcBorders>
            <w:shd w:val="clear" w:color="000000" w:fill="FFFFFF"/>
            <w:noWrap/>
            <w:vAlign w:val="center"/>
            <w:hideMark/>
          </w:tcPr>
          <w:p w14:paraId="09CCA848" w14:textId="06FAAA3E"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113</w:t>
            </w:r>
          </w:p>
        </w:tc>
        <w:tc>
          <w:tcPr>
            <w:tcW w:w="1483" w:type="dxa"/>
            <w:tcBorders>
              <w:top w:val="single" w:sz="4" w:space="0" w:color="auto"/>
              <w:left w:val="nil"/>
              <w:bottom w:val="nil"/>
              <w:right w:val="nil"/>
            </w:tcBorders>
            <w:shd w:val="clear" w:color="000000" w:fill="FFFFFF"/>
            <w:noWrap/>
            <w:vAlign w:val="center"/>
            <w:hideMark/>
          </w:tcPr>
          <w:p w14:paraId="0B6093B9"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87.7</w:t>
            </w:r>
          </w:p>
        </w:tc>
      </w:tr>
      <w:tr w:rsidR="000D2FDF" w:rsidRPr="00082280" w14:paraId="7E0A414C" w14:textId="77777777" w:rsidTr="003F088D">
        <w:trPr>
          <w:trHeight w:val="300"/>
        </w:trPr>
        <w:tc>
          <w:tcPr>
            <w:tcW w:w="3060" w:type="dxa"/>
            <w:tcBorders>
              <w:top w:val="nil"/>
              <w:left w:val="nil"/>
              <w:bottom w:val="nil"/>
              <w:right w:val="nil"/>
            </w:tcBorders>
            <w:shd w:val="clear" w:color="000000" w:fill="FFFFFF"/>
            <w:vAlign w:val="center"/>
            <w:hideMark/>
          </w:tcPr>
          <w:p w14:paraId="60D9D683" w14:textId="77777777" w:rsidR="000D2FDF" w:rsidRPr="00082280" w:rsidRDefault="000D2FDF" w:rsidP="000D2FDF">
            <w:pPr>
              <w:spacing w:before="0" w:line="240" w:lineRule="auto"/>
              <w:jc w:val="left"/>
              <w:rPr>
                <w:b w:val="0"/>
                <w:i/>
                <w:iCs/>
                <w:sz w:val="18"/>
                <w:szCs w:val="18"/>
                <w:lang w:val="en-US" w:eastAsia="en-US"/>
              </w:rPr>
            </w:pPr>
            <w:r w:rsidRPr="00082280">
              <w:rPr>
                <w:b w:val="0"/>
                <w:i/>
                <w:iCs/>
                <w:sz w:val="18"/>
                <w:szCs w:val="18"/>
                <w:lang w:val="en-US" w:eastAsia="en-US"/>
              </w:rPr>
              <w:t xml:space="preserve">ՀՆԱ-ի նկատմամբ (%) </w:t>
            </w:r>
          </w:p>
        </w:tc>
        <w:tc>
          <w:tcPr>
            <w:tcW w:w="1620" w:type="dxa"/>
            <w:tcBorders>
              <w:top w:val="nil"/>
              <w:left w:val="nil"/>
              <w:bottom w:val="nil"/>
              <w:right w:val="nil"/>
            </w:tcBorders>
            <w:shd w:val="clear" w:color="000000" w:fill="FFFFFF"/>
            <w:noWrap/>
            <w:vAlign w:val="center"/>
            <w:hideMark/>
          </w:tcPr>
          <w:p w14:paraId="20074DE3"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2.0%</w:t>
            </w:r>
          </w:p>
        </w:tc>
        <w:tc>
          <w:tcPr>
            <w:tcW w:w="1170" w:type="dxa"/>
            <w:tcBorders>
              <w:top w:val="nil"/>
              <w:left w:val="nil"/>
              <w:bottom w:val="nil"/>
              <w:right w:val="nil"/>
            </w:tcBorders>
            <w:shd w:val="clear" w:color="000000" w:fill="FFFFFF"/>
            <w:noWrap/>
            <w:vAlign w:val="center"/>
            <w:hideMark/>
          </w:tcPr>
          <w:p w14:paraId="5343BF53"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1.2%</w:t>
            </w:r>
          </w:p>
        </w:tc>
        <w:tc>
          <w:tcPr>
            <w:tcW w:w="1260" w:type="dxa"/>
            <w:tcBorders>
              <w:top w:val="nil"/>
              <w:left w:val="nil"/>
              <w:bottom w:val="nil"/>
              <w:right w:val="nil"/>
            </w:tcBorders>
            <w:shd w:val="clear" w:color="000000" w:fill="FFFFFF"/>
            <w:noWrap/>
            <w:vAlign w:val="center"/>
            <w:hideMark/>
          </w:tcPr>
          <w:p w14:paraId="690FC664"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1.4%</w:t>
            </w:r>
          </w:p>
        </w:tc>
        <w:tc>
          <w:tcPr>
            <w:tcW w:w="1350" w:type="dxa"/>
            <w:tcBorders>
              <w:top w:val="nil"/>
              <w:left w:val="nil"/>
              <w:bottom w:val="nil"/>
              <w:right w:val="nil"/>
            </w:tcBorders>
            <w:shd w:val="clear" w:color="000000" w:fill="FFFFFF"/>
            <w:noWrap/>
            <w:vAlign w:val="center"/>
            <w:hideMark/>
          </w:tcPr>
          <w:p w14:paraId="1D3AD21B" w14:textId="142407CA"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1.2%</w:t>
            </w:r>
          </w:p>
        </w:tc>
        <w:tc>
          <w:tcPr>
            <w:tcW w:w="1483" w:type="dxa"/>
            <w:tcBorders>
              <w:top w:val="nil"/>
              <w:left w:val="nil"/>
              <w:bottom w:val="nil"/>
              <w:right w:val="nil"/>
            </w:tcBorders>
            <w:shd w:val="clear" w:color="000000" w:fill="FFFFFF"/>
            <w:noWrap/>
            <w:vAlign w:val="center"/>
            <w:hideMark/>
          </w:tcPr>
          <w:p w14:paraId="749B1F3C"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0.8%</w:t>
            </w:r>
          </w:p>
        </w:tc>
      </w:tr>
      <w:tr w:rsidR="000D2FDF" w:rsidRPr="00082280" w14:paraId="4A90393C" w14:textId="77777777" w:rsidTr="003F088D">
        <w:trPr>
          <w:trHeight w:val="300"/>
        </w:trPr>
        <w:tc>
          <w:tcPr>
            <w:tcW w:w="3060" w:type="dxa"/>
            <w:tcBorders>
              <w:top w:val="nil"/>
              <w:left w:val="nil"/>
              <w:bottom w:val="single" w:sz="4" w:space="0" w:color="auto"/>
              <w:right w:val="nil"/>
            </w:tcBorders>
            <w:shd w:val="clear" w:color="000000" w:fill="FFFFFF"/>
            <w:vAlign w:val="center"/>
            <w:hideMark/>
          </w:tcPr>
          <w:p w14:paraId="6A77EE3A" w14:textId="77777777" w:rsidR="000D2FDF" w:rsidRPr="00082280" w:rsidRDefault="000D2FDF" w:rsidP="000D2FDF">
            <w:pPr>
              <w:spacing w:before="0" w:line="240" w:lineRule="auto"/>
              <w:jc w:val="left"/>
              <w:rPr>
                <w:b w:val="0"/>
                <w:i/>
                <w:iCs/>
                <w:sz w:val="18"/>
                <w:szCs w:val="18"/>
                <w:lang w:val="en-US" w:eastAsia="en-US"/>
              </w:rPr>
            </w:pPr>
            <w:r w:rsidRPr="00082280">
              <w:rPr>
                <w:b w:val="0"/>
                <w:i/>
                <w:iCs/>
                <w:sz w:val="18"/>
                <w:szCs w:val="18"/>
                <w:lang w:val="en-US" w:eastAsia="en-US"/>
              </w:rPr>
              <w:t>Ընդհանուրի նկատմամբ (%)</w:t>
            </w:r>
          </w:p>
        </w:tc>
        <w:tc>
          <w:tcPr>
            <w:tcW w:w="1620" w:type="dxa"/>
            <w:tcBorders>
              <w:top w:val="nil"/>
              <w:left w:val="nil"/>
              <w:bottom w:val="nil"/>
              <w:right w:val="nil"/>
            </w:tcBorders>
            <w:shd w:val="clear" w:color="000000" w:fill="FFFFFF"/>
            <w:noWrap/>
            <w:vAlign w:val="center"/>
            <w:hideMark/>
          </w:tcPr>
          <w:p w14:paraId="15FB1D63"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7.8%</w:t>
            </w:r>
          </w:p>
        </w:tc>
        <w:tc>
          <w:tcPr>
            <w:tcW w:w="1170" w:type="dxa"/>
            <w:tcBorders>
              <w:top w:val="nil"/>
              <w:left w:val="nil"/>
              <w:bottom w:val="nil"/>
              <w:right w:val="nil"/>
            </w:tcBorders>
            <w:shd w:val="clear" w:color="000000" w:fill="FFFFFF"/>
            <w:noWrap/>
            <w:vAlign w:val="center"/>
            <w:hideMark/>
          </w:tcPr>
          <w:p w14:paraId="5DA30B2C"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5.0%</w:t>
            </w:r>
          </w:p>
        </w:tc>
        <w:tc>
          <w:tcPr>
            <w:tcW w:w="1260" w:type="dxa"/>
            <w:tcBorders>
              <w:top w:val="nil"/>
              <w:left w:val="nil"/>
              <w:bottom w:val="nil"/>
              <w:right w:val="nil"/>
            </w:tcBorders>
            <w:shd w:val="clear" w:color="000000" w:fill="FFFFFF"/>
            <w:noWrap/>
            <w:vAlign w:val="center"/>
            <w:hideMark/>
          </w:tcPr>
          <w:p w14:paraId="52F07744"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5.8%</w:t>
            </w:r>
          </w:p>
        </w:tc>
        <w:tc>
          <w:tcPr>
            <w:tcW w:w="1350" w:type="dxa"/>
            <w:tcBorders>
              <w:top w:val="nil"/>
              <w:left w:val="nil"/>
              <w:bottom w:val="nil"/>
              <w:right w:val="nil"/>
            </w:tcBorders>
            <w:shd w:val="clear" w:color="000000" w:fill="FFFFFF"/>
            <w:noWrap/>
            <w:vAlign w:val="center"/>
            <w:hideMark/>
          </w:tcPr>
          <w:p w14:paraId="6E1C5533" w14:textId="7F1C68EC"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4.7%</w:t>
            </w:r>
          </w:p>
        </w:tc>
        <w:tc>
          <w:tcPr>
            <w:tcW w:w="1483" w:type="dxa"/>
            <w:tcBorders>
              <w:top w:val="nil"/>
              <w:left w:val="nil"/>
              <w:bottom w:val="nil"/>
              <w:right w:val="nil"/>
            </w:tcBorders>
            <w:shd w:val="clear" w:color="000000" w:fill="FFFFFF"/>
            <w:noWrap/>
            <w:vAlign w:val="center"/>
            <w:hideMark/>
          </w:tcPr>
          <w:p w14:paraId="4FFD7C23"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3.2%</w:t>
            </w:r>
          </w:p>
        </w:tc>
      </w:tr>
      <w:tr w:rsidR="000D2FDF" w:rsidRPr="00082280" w14:paraId="64F16DD4" w14:textId="77777777" w:rsidTr="003F088D">
        <w:trPr>
          <w:trHeight w:val="300"/>
        </w:trPr>
        <w:tc>
          <w:tcPr>
            <w:tcW w:w="3060" w:type="dxa"/>
            <w:tcBorders>
              <w:top w:val="single" w:sz="4" w:space="0" w:color="auto"/>
              <w:left w:val="nil"/>
              <w:bottom w:val="nil"/>
              <w:right w:val="nil"/>
            </w:tcBorders>
            <w:shd w:val="clear" w:color="000000" w:fill="FFFFFF"/>
            <w:vAlign w:val="center"/>
            <w:hideMark/>
          </w:tcPr>
          <w:p w14:paraId="19F08991" w14:textId="77777777" w:rsidR="000D2FDF" w:rsidRPr="00082280" w:rsidRDefault="000D2FDF" w:rsidP="000D2FDF">
            <w:pPr>
              <w:spacing w:before="0" w:line="240" w:lineRule="auto"/>
              <w:jc w:val="left"/>
              <w:rPr>
                <w:b w:val="0"/>
                <w:sz w:val="18"/>
                <w:szCs w:val="18"/>
                <w:lang w:val="en-US" w:eastAsia="en-US"/>
              </w:rPr>
            </w:pPr>
            <w:r w:rsidRPr="00082280">
              <w:rPr>
                <w:b w:val="0"/>
                <w:sz w:val="18"/>
                <w:szCs w:val="18"/>
                <w:lang w:val="en-US" w:eastAsia="en-US"/>
              </w:rPr>
              <w:t xml:space="preserve"> 3. Պաշտոնական դրամաշնորհներ </w:t>
            </w:r>
          </w:p>
        </w:tc>
        <w:tc>
          <w:tcPr>
            <w:tcW w:w="1620" w:type="dxa"/>
            <w:tcBorders>
              <w:top w:val="single" w:sz="4" w:space="0" w:color="auto"/>
              <w:left w:val="nil"/>
              <w:bottom w:val="nil"/>
              <w:right w:val="nil"/>
            </w:tcBorders>
            <w:shd w:val="clear" w:color="000000" w:fill="FFFFFF"/>
            <w:noWrap/>
            <w:vAlign w:val="center"/>
            <w:hideMark/>
          </w:tcPr>
          <w:p w14:paraId="3BDA4031"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53.2</w:t>
            </w:r>
          </w:p>
        </w:tc>
        <w:tc>
          <w:tcPr>
            <w:tcW w:w="1170" w:type="dxa"/>
            <w:tcBorders>
              <w:top w:val="single" w:sz="4" w:space="0" w:color="auto"/>
              <w:left w:val="nil"/>
              <w:bottom w:val="nil"/>
              <w:right w:val="nil"/>
            </w:tcBorders>
            <w:shd w:val="clear" w:color="000000" w:fill="FFFFFF"/>
            <w:noWrap/>
            <w:vAlign w:val="center"/>
            <w:hideMark/>
          </w:tcPr>
          <w:p w14:paraId="3EDD5A56"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12.4</w:t>
            </w:r>
          </w:p>
        </w:tc>
        <w:tc>
          <w:tcPr>
            <w:tcW w:w="1260" w:type="dxa"/>
            <w:tcBorders>
              <w:top w:val="single" w:sz="4" w:space="0" w:color="auto"/>
              <w:left w:val="nil"/>
              <w:bottom w:val="nil"/>
              <w:right w:val="nil"/>
            </w:tcBorders>
            <w:shd w:val="clear" w:color="000000" w:fill="FFFFFF"/>
            <w:noWrap/>
            <w:vAlign w:val="center"/>
            <w:hideMark/>
          </w:tcPr>
          <w:p w14:paraId="4CDF7A78"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15.0</w:t>
            </w:r>
          </w:p>
        </w:tc>
        <w:tc>
          <w:tcPr>
            <w:tcW w:w="1350" w:type="dxa"/>
            <w:tcBorders>
              <w:top w:val="single" w:sz="4" w:space="0" w:color="auto"/>
              <w:left w:val="nil"/>
              <w:bottom w:val="nil"/>
              <w:right w:val="nil"/>
            </w:tcBorders>
            <w:shd w:val="clear" w:color="000000" w:fill="FFFFFF"/>
            <w:noWrap/>
            <w:vAlign w:val="center"/>
            <w:hideMark/>
          </w:tcPr>
          <w:p w14:paraId="346A36A5" w14:textId="098C0402"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17.2</w:t>
            </w:r>
          </w:p>
        </w:tc>
        <w:tc>
          <w:tcPr>
            <w:tcW w:w="1483" w:type="dxa"/>
            <w:tcBorders>
              <w:top w:val="single" w:sz="4" w:space="0" w:color="auto"/>
              <w:left w:val="nil"/>
              <w:bottom w:val="nil"/>
              <w:right w:val="nil"/>
            </w:tcBorders>
            <w:shd w:val="clear" w:color="000000" w:fill="FFFFFF"/>
            <w:noWrap/>
            <w:vAlign w:val="center"/>
            <w:hideMark/>
          </w:tcPr>
          <w:p w14:paraId="69BF24BE"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22.3</w:t>
            </w:r>
          </w:p>
        </w:tc>
      </w:tr>
      <w:tr w:rsidR="000D2FDF" w:rsidRPr="00082280" w14:paraId="3BF9F2A9" w14:textId="77777777" w:rsidTr="003F088D">
        <w:trPr>
          <w:trHeight w:val="300"/>
        </w:trPr>
        <w:tc>
          <w:tcPr>
            <w:tcW w:w="3060" w:type="dxa"/>
            <w:tcBorders>
              <w:top w:val="nil"/>
              <w:left w:val="nil"/>
              <w:bottom w:val="nil"/>
              <w:right w:val="nil"/>
            </w:tcBorders>
            <w:shd w:val="clear" w:color="000000" w:fill="FFFFFF"/>
            <w:vAlign w:val="center"/>
            <w:hideMark/>
          </w:tcPr>
          <w:p w14:paraId="1D0F51EF" w14:textId="77777777" w:rsidR="000D2FDF" w:rsidRPr="00082280" w:rsidRDefault="000D2FDF" w:rsidP="000D2FDF">
            <w:pPr>
              <w:spacing w:before="0" w:line="240" w:lineRule="auto"/>
              <w:jc w:val="left"/>
              <w:rPr>
                <w:b w:val="0"/>
                <w:i/>
                <w:iCs/>
                <w:sz w:val="18"/>
                <w:szCs w:val="18"/>
                <w:lang w:val="en-US" w:eastAsia="en-US"/>
              </w:rPr>
            </w:pPr>
            <w:r w:rsidRPr="00082280">
              <w:rPr>
                <w:b w:val="0"/>
                <w:i/>
                <w:iCs/>
                <w:sz w:val="18"/>
                <w:szCs w:val="18"/>
                <w:lang w:val="en-US" w:eastAsia="en-US"/>
              </w:rPr>
              <w:t xml:space="preserve">ՀՆԱ-ի նկատմամբ (%) </w:t>
            </w:r>
          </w:p>
        </w:tc>
        <w:tc>
          <w:tcPr>
            <w:tcW w:w="1620" w:type="dxa"/>
            <w:tcBorders>
              <w:top w:val="nil"/>
              <w:left w:val="nil"/>
              <w:bottom w:val="nil"/>
              <w:right w:val="nil"/>
            </w:tcBorders>
            <w:shd w:val="clear" w:color="000000" w:fill="FFFFFF"/>
            <w:noWrap/>
            <w:vAlign w:val="center"/>
            <w:hideMark/>
          </w:tcPr>
          <w:p w14:paraId="6FC6F139"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0.9%</w:t>
            </w:r>
          </w:p>
        </w:tc>
        <w:tc>
          <w:tcPr>
            <w:tcW w:w="1170" w:type="dxa"/>
            <w:tcBorders>
              <w:top w:val="nil"/>
              <w:left w:val="nil"/>
              <w:bottom w:val="nil"/>
              <w:right w:val="nil"/>
            </w:tcBorders>
            <w:shd w:val="clear" w:color="000000" w:fill="FFFFFF"/>
            <w:noWrap/>
            <w:vAlign w:val="center"/>
            <w:hideMark/>
          </w:tcPr>
          <w:p w14:paraId="3E2108C6"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0.2%</w:t>
            </w:r>
          </w:p>
        </w:tc>
        <w:tc>
          <w:tcPr>
            <w:tcW w:w="1260" w:type="dxa"/>
            <w:tcBorders>
              <w:top w:val="nil"/>
              <w:left w:val="nil"/>
              <w:bottom w:val="nil"/>
              <w:right w:val="nil"/>
            </w:tcBorders>
            <w:shd w:val="clear" w:color="000000" w:fill="FFFFFF"/>
            <w:noWrap/>
            <w:vAlign w:val="center"/>
            <w:hideMark/>
          </w:tcPr>
          <w:p w14:paraId="145A7185"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0.2%</w:t>
            </w:r>
          </w:p>
        </w:tc>
        <w:tc>
          <w:tcPr>
            <w:tcW w:w="1350" w:type="dxa"/>
            <w:tcBorders>
              <w:top w:val="nil"/>
              <w:left w:val="nil"/>
              <w:bottom w:val="nil"/>
              <w:right w:val="nil"/>
            </w:tcBorders>
            <w:shd w:val="clear" w:color="000000" w:fill="FFFFFF"/>
            <w:noWrap/>
            <w:vAlign w:val="center"/>
            <w:hideMark/>
          </w:tcPr>
          <w:p w14:paraId="6CC1A9C5" w14:textId="35BF4B6D"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0.2%</w:t>
            </w:r>
          </w:p>
        </w:tc>
        <w:tc>
          <w:tcPr>
            <w:tcW w:w="1483" w:type="dxa"/>
            <w:tcBorders>
              <w:top w:val="nil"/>
              <w:left w:val="nil"/>
              <w:bottom w:val="nil"/>
              <w:right w:val="nil"/>
            </w:tcBorders>
            <w:shd w:val="clear" w:color="000000" w:fill="FFFFFF"/>
            <w:noWrap/>
            <w:vAlign w:val="center"/>
            <w:hideMark/>
          </w:tcPr>
          <w:p w14:paraId="5C9ADC15"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0.2%</w:t>
            </w:r>
          </w:p>
        </w:tc>
      </w:tr>
      <w:tr w:rsidR="000D2FDF" w:rsidRPr="00082280" w14:paraId="059C363E" w14:textId="77777777" w:rsidTr="003F088D">
        <w:trPr>
          <w:trHeight w:val="300"/>
        </w:trPr>
        <w:tc>
          <w:tcPr>
            <w:tcW w:w="3060" w:type="dxa"/>
            <w:tcBorders>
              <w:top w:val="nil"/>
              <w:left w:val="nil"/>
              <w:bottom w:val="single" w:sz="4" w:space="0" w:color="auto"/>
              <w:right w:val="nil"/>
            </w:tcBorders>
            <w:shd w:val="clear" w:color="000000" w:fill="FFFFFF"/>
            <w:vAlign w:val="center"/>
            <w:hideMark/>
          </w:tcPr>
          <w:p w14:paraId="7EDF1FD9" w14:textId="77777777" w:rsidR="000D2FDF" w:rsidRPr="00082280" w:rsidRDefault="000D2FDF" w:rsidP="000D2FDF">
            <w:pPr>
              <w:spacing w:before="0" w:line="240" w:lineRule="auto"/>
              <w:jc w:val="left"/>
              <w:rPr>
                <w:b w:val="0"/>
                <w:i/>
                <w:iCs/>
                <w:sz w:val="18"/>
                <w:szCs w:val="18"/>
                <w:lang w:val="en-US" w:eastAsia="en-US"/>
              </w:rPr>
            </w:pPr>
            <w:r w:rsidRPr="00082280">
              <w:rPr>
                <w:b w:val="0"/>
                <w:i/>
                <w:iCs/>
                <w:sz w:val="18"/>
                <w:szCs w:val="18"/>
                <w:lang w:val="en-US" w:eastAsia="en-US"/>
              </w:rPr>
              <w:t>Ընդհանուրի նկատմամբ (%)</w:t>
            </w:r>
          </w:p>
        </w:tc>
        <w:tc>
          <w:tcPr>
            <w:tcW w:w="1620" w:type="dxa"/>
            <w:tcBorders>
              <w:top w:val="nil"/>
              <w:left w:val="nil"/>
              <w:bottom w:val="single" w:sz="4" w:space="0" w:color="auto"/>
              <w:right w:val="nil"/>
            </w:tcBorders>
            <w:shd w:val="clear" w:color="000000" w:fill="FFFFFF"/>
            <w:noWrap/>
            <w:vAlign w:val="center"/>
            <w:hideMark/>
          </w:tcPr>
          <w:p w14:paraId="50D5BB98"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3.4%</w:t>
            </w:r>
          </w:p>
        </w:tc>
        <w:tc>
          <w:tcPr>
            <w:tcW w:w="1170" w:type="dxa"/>
            <w:tcBorders>
              <w:top w:val="nil"/>
              <w:left w:val="nil"/>
              <w:bottom w:val="single" w:sz="4" w:space="0" w:color="auto"/>
              <w:right w:val="nil"/>
            </w:tcBorders>
            <w:shd w:val="clear" w:color="000000" w:fill="FFFFFF"/>
            <w:noWrap/>
            <w:vAlign w:val="center"/>
            <w:hideMark/>
          </w:tcPr>
          <w:p w14:paraId="328AA87C"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0.7%</w:t>
            </w:r>
          </w:p>
        </w:tc>
        <w:tc>
          <w:tcPr>
            <w:tcW w:w="1260" w:type="dxa"/>
            <w:tcBorders>
              <w:top w:val="nil"/>
              <w:left w:val="nil"/>
              <w:bottom w:val="single" w:sz="4" w:space="0" w:color="auto"/>
              <w:right w:val="nil"/>
            </w:tcBorders>
            <w:shd w:val="clear" w:color="000000" w:fill="FFFFFF"/>
            <w:noWrap/>
            <w:vAlign w:val="center"/>
            <w:hideMark/>
          </w:tcPr>
          <w:p w14:paraId="0C6E76F7"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0.7%</w:t>
            </w:r>
          </w:p>
        </w:tc>
        <w:tc>
          <w:tcPr>
            <w:tcW w:w="1350" w:type="dxa"/>
            <w:tcBorders>
              <w:top w:val="nil"/>
              <w:left w:val="nil"/>
              <w:bottom w:val="single" w:sz="4" w:space="0" w:color="auto"/>
              <w:right w:val="nil"/>
            </w:tcBorders>
            <w:shd w:val="clear" w:color="000000" w:fill="FFFFFF"/>
            <w:noWrap/>
            <w:vAlign w:val="center"/>
            <w:hideMark/>
          </w:tcPr>
          <w:p w14:paraId="04D69403" w14:textId="2C53CF96" w:rsidR="000D2FDF" w:rsidRPr="000D2FDF" w:rsidRDefault="000D2FDF" w:rsidP="000D2FDF">
            <w:pPr>
              <w:spacing w:before="0" w:line="240" w:lineRule="auto"/>
              <w:jc w:val="center"/>
              <w:rPr>
                <w:rFonts w:cs="Calibri"/>
                <w:b w:val="0"/>
                <w:sz w:val="18"/>
                <w:szCs w:val="18"/>
              </w:rPr>
            </w:pPr>
            <w:r w:rsidRPr="000D2FDF">
              <w:rPr>
                <w:rFonts w:cs="Calibri"/>
                <w:b w:val="0"/>
                <w:sz w:val="18"/>
                <w:szCs w:val="18"/>
              </w:rPr>
              <w:t>0.7%</w:t>
            </w:r>
          </w:p>
        </w:tc>
        <w:tc>
          <w:tcPr>
            <w:tcW w:w="1483" w:type="dxa"/>
            <w:tcBorders>
              <w:top w:val="nil"/>
              <w:left w:val="nil"/>
              <w:bottom w:val="single" w:sz="4" w:space="0" w:color="auto"/>
              <w:right w:val="nil"/>
            </w:tcBorders>
            <w:shd w:val="clear" w:color="000000" w:fill="FFFFFF"/>
            <w:noWrap/>
            <w:vAlign w:val="center"/>
            <w:hideMark/>
          </w:tcPr>
          <w:p w14:paraId="36F8E5FF" w14:textId="77777777" w:rsidR="000D2FDF" w:rsidRPr="009D40D3" w:rsidRDefault="000D2FDF" w:rsidP="000D2FDF">
            <w:pPr>
              <w:spacing w:before="0" w:line="240" w:lineRule="auto"/>
              <w:jc w:val="center"/>
              <w:rPr>
                <w:b w:val="0"/>
                <w:sz w:val="18"/>
                <w:szCs w:val="18"/>
                <w:lang w:val="en-US" w:eastAsia="en-US"/>
              </w:rPr>
            </w:pPr>
            <w:r w:rsidRPr="009D40D3">
              <w:rPr>
                <w:rFonts w:cs="Calibri"/>
                <w:b w:val="0"/>
                <w:sz w:val="18"/>
                <w:szCs w:val="18"/>
              </w:rPr>
              <w:t>0.8%</w:t>
            </w:r>
          </w:p>
        </w:tc>
      </w:tr>
    </w:tbl>
    <w:p w14:paraId="54D98A64" w14:textId="77777777" w:rsidR="00630125" w:rsidRPr="00082280" w:rsidRDefault="00630125" w:rsidP="00630125">
      <w:pPr>
        <w:spacing w:before="0"/>
        <w:ind w:firstLine="562"/>
        <w:rPr>
          <w:rFonts w:cs="Sylfaen"/>
          <w:b w:val="0"/>
          <w:iCs/>
          <w:szCs w:val="22"/>
          <w:lang w:val="fr-FR" w:eastAsia="en-GB"/>
        </w:rPr>
      </w:pPr>
    </w:p>
    <w:p w14:paraId="389EFC10" w14:textId="77777777" w:rsidR="00630125" w:rsidRPr="00082280" w:rsidRDefault="00630125" w:rsidP="00630125">
      <w:pPr>
        <w:rPr>
          <w:rFonts w:cs="Sylfaen"/>
          <w:b w:val="0"/>
          <w:iCs/>
          <w:szCs w:val="22"/>
          <w:lang w:val="af-ZA" w:eastAsia="en-GB"/>
        </w:rPr>
      </w:pPr>
      <w:r w:rsidRPr="00082280">
        <w:rPr>
          <w:rFonts w:cs="Sylfaen"/>
          <w:b w:val="0"/>
          <w:iCs/>
          <w:szCs w:val="22"/>
          <w:lang w:val="af-ZA" w:eastAsia="en-GB"/>
        </w:rPr>
        <w:lastRenderedPageBreak/>
        <w:t>ՀՀ 2024 թվականի պետական բյուջեի եկամուտները ծրագրելիս օգտագործվել են այն մակ</w:t>
      </w:r>
      <w:r w:rsidRPr="00082280">
        <w:rPr>
          <w:rFonts w:cs="Sylfaen"/>
          <w:b w:val="0"/>
          <w:iCs/>
          <w:szCs w:val="22"/>
          <w:lang w:val="af-ZA" w:eastAsia="en-GB"/>
        </w:rPr>
        <w:softHyphen/>
        <w:t>րո</w:t>
      </w:r>
      <w:r w:rsidRPr="00082280">
        <w:rPr>
          <w:rFonts w:cs="Sylfaen"/>
          <w:b w:val="0"/>
          <w:iCs/>
          <w:szCs w:val="22"/>
          <w:lang w:val="af-ZA" w:eastAsia="en-GB"/>
        </w:rPr>
        <w:softHyphen/>
      </w:r>
      <w:r w:rsidRPr="00082280">
        <w:rPr>
          <w:rFonts w:cs="Sylfaen"/>
          <w:b w:val="0"/>
          <w:iCs/>
          <w:szCs w:val="22"/>
          <w:lang w:val="af-ZA" w:eastAsia="en-GB"/>
        </w:rPr>
        <w:softHyphen/>
        <w:t>տնտեսական ցուցանիշների կանխատեսումները, որոնք էական ազդեցություն ունեն ա</w:t>
      </w:r>
      <w:r w:rsidRPr="00082280">
        <w:rPr>
          <w:rFonts w:cs="Sylfaen"/>
          <w:b w:val="0"/>
          <w:iCs/>
          <w:szCs w:val="22"/>
          <w:lang w:val="af-ZA" w:eastAsia="en-GB"/>
        </w:rPr>
        <w:softHyphen/>
        <w:t>ռան</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ձին եկամտա</w:t>
      </w:r>
      <w:r w:rsidRPr="00082280">
        <w:rPr>
          <w:rFonts w:cs="Sylfaen"/>
          <w:b w:val="0"/>
          <w:iCs/>
          <w:szCs w:val="22"/>
          <w:lang w:val="af-ZA" w:eastAsia="en-GB"/>
        </w:rPr>
        <w:softHyphen/>
        <w:t>տե</w:t>
      </w:r>
      <w:r w:rsidRPr="00082280">
        <w:rPr>
          <w:rFonts w:cs="Sylfaen"/>
          <w:b w:val="0"/>
          <w:iCs/>
          <w:szCs w:val="22"/>
          <w:lang w:val="af-ZA" w:eastAsia="en-GB"/>
        </w:rPr>
        <w:softHyphen/>
        <w:t>սակ</w:t>
      </w:r>
      <w:r w:rsidRPr="00082280">
        <w:rPr>
          <w:rFonts w:cs="Sylfaen"/>
          <w:b w:val="0"/>
          <w:iCs/>
          <w:szCs w:val="22"/>
          <w:lang w:val="af-ZA" w:eastAsia="en-GB"/>
        </w:rPr>
        <w:softHyphen/>
      </w:r>
      <w:r w:rsidRPr="00082280">
        <w:rPr>
          <w:rFonts w:cs="Sylfaen"/>
          <w:b w:val="0"/>
          <w:iCs/>
          <w:szCs w:val="22"/>
          <w:lang w:val="af-ZA" w:eastAsia="en-GB"/>
        </w:rPr>
        <w:softHyphen/>
        <w:t>ների բազայի ձևավորման կամ հաշվարկման վրա: Առանձին դեպքերում հաշ</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վի են առնվել նաև պայմանա</w:t>
      </w:r>
      <w:r w:rsidRPr="00082280">
        <w:rPr>
          <w:rFonts w:cs="Sylfaen"/>
          <w:b w:val="0"/>
          <w:iCs/>
          <w:szCs w:val="22"/>
          <w:lang w:val="af-ZA" w:eastAsia="en-GB"/>
        </w:rPr>
        <w:softHyphen/>
      </w:r>
      <w:r w:rsidRPr="00082280">
        <w:rPr>
          <w:rFonts w:cs="Sylfaen"/>
          <w:b w:val="0"/>
          <w:iCs/>
          <w:szCs w:val="22"/>
          <w:lang w:val="af-ZA" w:eastAsia="en-GB"/>
        </w:rPr>
        <w:softHyphen/>
        <w:t>գրային հարաբերություններով կարգավորվող ցու</w:t>
      </w:r>
      <w:r w:rsidRPr="00082280">
        <w:rPr>
          <w:rFonts w:cs="Sylfaen"/>
          <w:b w:val="0"/>
          <w:iCs/>
          <w:szCs w:val="22"/>
          <w:lang w:val="af-ZA" w:eastAsia="en-GB"/>
        </w:rPr>
        <w:softHyphen/>
        <w:t>ցանիշները:</w:t>
      </w:r>
    </w:p>
    <w:p w14:paraId="3C66DC80" w14:textId="77777777" w:rsidR="00AD6FC8" w:rsidRPr="00297743" w:rsidRDefault="00AD6FC8" w:rsidP="00710FCA">
      <w:pPr>
        <w:rPr>
          <w:rFonts w:ascii="Calibri" w:hAnsi="Calibri" w:cs="Sylfaen"/>
          <w:b w:val="0"/>
          <w:iCs/>
          <w:szCs w:val="22"/>
          <w:lang w:val="af-ZA" w:eastAsia="en-GB"/>
        </w:rPr>
      </w:pPr>
    </w:p>
    <w:p w14:paraId="5125EC19" w14:textId="77777777" w:rsidR="009A197C" w:rsidRPr="001F7A3C" w:rsidRDefault="009A197C" w:rsidP="0009272D">
      <w:pPr>
        <w:pStyle w:val="Heading1"/>
      </w:pPr>
      <w:bookmarkStart w:id="219" w:name="_Toc153184481"/>
      <w:r w:rsidRPr="001F7A3C">
        <w:t>Հարկային եկամուտներ և պետական տուրքեր</w:t>
      </w:r>
      <w:bookmarkEnd w:id="219"/>
    </w:p>
    <w:bookmarkEnd w:id="215"/>
    <w:bookmarkEnd w:id="216"/>
    <w:p w14:paraId="0DBB72D2" w14:textId="77777777" w:rsidR="00630125" w:rsidRDefault="00630125" w:rsidP="00630125">
      <w:pPr>
        <w:rPr>
          <w:rFonts w:cs="Sylfaen"/>
          <w:b w:val="0"/>
          <w:iCs/>
          <w:szCs w:val="22"/>
          <w:lang w:val="af-ZA" w:eastAsia="en-GB"/>
        </w:rPr>
      </w:pPr>
      <w:r w:rsidRPr="00082280">
        <w:rPr>
          <w:rFonts w:cs="Sylfaen"/>
          <w:b w:val="0"/>
          <w:iCs/>
          <w:szCs w:val="22"/>
          <w:lang w:val="af-ZA" w:eastAsia="en-GB"/>
        </w:rPr>
        <w:t>Հարկային եկամուտների և պետական տուրքերի գծով 2024 թվականի բյու</w:t>
      </w:r>
      <w:r w:rsidRPr="00082280">
        <w:rPr>
          <w:rFonts w:cs="Sylfaen"/>
          <w:b w:val="0"/>
          <w:iCs/>
          <w:szCs w:val="22"/>
          <w:lang w:val="af-ZA" w:eastAsia="en-GB"/>
        </w:rPr>
        <w:softHyphen/>
      </w:r>
      <w:r w:rsidRPr="00082280">
        <w:rPr>
          <w:rFonts w:cs="Sylfaen"/>
          <w:b w:val="0"/>
          <w:iCs/>
          <w:szCs w:val="22"/>
          <w:lang w:val="af-ZA" w:eastAsia="en-GB"/>
        </w:rPr>
        <w:softHyphen/>
        <w:t>ջետային մուտքերի հաշվարկներում ենթադրվել է, որ հարկերի գծով 2024 թվականի համար հարկային եկամուտներ և պետական տուրքեր /ՀՆԱ ցուցանիշի սպասողական մակարդակը ապա</w:t>
      </w:r>
      <w:r w:rsidRPr="00082280">
        <w:rPr>
          <w:rFonts w:cs="Sylfaen"/>
          <w:b w:val="0"/>
          <w:iCs/>
          <w:szCs w:val="22"/>
          <w:lang w:val="af-ZA" w:eastAsia="en-GB"/>
        </w:rPr>
        <w:softHyphen/>
        <w:t>հո</w:t>
      </w:r>
      <w:r w:rsidRPr="00082280">
        <w:rPr>
          <w:rFonts w:cs="Sylfaen"/>
          <w:b w:val="0"/>
          <w:iCs/>
          <w:szCs w:val="22"/>
          <w:lang w:val="af-ZA" w:eastAsia="en-GB"/>
        </w:rPr>
        <w:softHyphen/>
        <w:t>վե</w:t>
      </w:r>
      <w:r w:rsidRPr="00082280">
        <w:rPr>
          <w:rFonts w:cs="Sylfaen"/>
          <w:b w:val="0"/>
          <w:iCs/>
          <w:szCs w:val="22"/>
          <w:lang w:val="af-ZA" w:eastAsia="en-GB"/>
        </w:rPr>
        <w:softHyphen/>
        <w:t>լու համար բա</w:t>
      </w:r>
      <w:r w:rsidRPr="00082280">
        <w:rPr>
          <w:rFonts w:cs="Sylfaen"/>
          <w:b w:val="0"/>
          <w:iCs/>
          <w:szCs w:val="22"/>
          <w:lang w:val="af-ZA" w:eastAsia="en-GB"/>
        </w:rPr>
        <w:softHyphen/>
      </w:r>
      <w:r w:rsidRPr="00082280">
        <w:rPr>
          <w:rFonts w:cs="Sylfaen"/>
          <w:b w:val="0"/>
          <w:iCs/>
          <w:szCs w:val="22"/>
          <w:lang w:val="af-ZA" w:eastAsia="en-GB"/>
        </w:rPr>
        <w:softHyphen/>
        <w:t>վարար հիմքեր կստեղծեն առկա օրենս</w:t>
      </w:r>
      <w:r w:rsidRPr="00082280">
        <w:rPr>
          <w:rFonts w:cs="Sylfaen"/>
          <w:b w:val="0"/>
          <w:iCs/>
          <w:szCs w:val="22"/>
          <w:lang w:val="af-ZA" w:eastAsia="en-GB"/>
        </w:rPr>
        <w:softHyphen/>
        <w:t>դրա</w:t>
      </w:r>
      <w:r w:rsidRPr="00082280">
        <w:rPr>
          <w:rFonts w:cs="Sylfaen"/>
          <w:b w:val="0"/>
          <w:iCs/>
          <w:szCs w:val="22"/>
          <w:lang w:val="af-ZA" w:eastAsia="en-GB"/>
        </w:rPr>
        <w:softHyphen/>
      </w:r>
      <w:r w:rsidRPr="00082280">
        <w:rPr>
          <w:rFonts w:cs="Sylfaen"/>
          <w:b w:val="0"/>
          <w:iCs/>
          <w:szCs w:val="22"/>
          <w:lang w:val="af-ZA" w:eastAsia="en-GB"/>
        </w:rPr>
        <w:softHyphen/>
        <w:t>կան նա</w:t>
      </w:r>
      <w:r w:rsidRPr="00082280">
        <w:rPr>
          <w:rFonts w:cs="Sylfaen"/>
          <w:b w:val="0"/>
          <w:iCs/>
          <w:szCs w:val="22"/>
          <w:lang w:val="af-ZA" w:eastAsia="en-GB"/>
        </w:rPr>
        <w:softHyphen/>
        <w:t>խադրյալները, կի</w:t>
      </w:r>
      <w:r w:rsidRPr="00082280">
        <w:rPr>
          <w:rFonts w:cs="Sylfaen"/>
          <w:b w:val="0"/>
          <w:iCs/>
          <w:szCs w:val="22"/>
          <w:lang w:val="af-ZA" w:eastAsia="en-GB"/>
        </w:rPr>
        <w:softHyphen/>
        <w:t>րառ</w:t>
      </w:r>
      <w:r w:rsidRPr="00082280">
        <w:rPr>
          <w:rFonts w:cs="Sylfaen"/>
          <w:b w:val="0"/>
          <w:iCs/>
          <w:szCs w:val="22"/>
          <w:lang w:val="af-ZA" w:eastAsia="en-GB"/>
        </w:rPr>
        <w:softHyphen/>
      </w:r>
      <w:r w:rsidRPr="00082280">
        <w:rPr>
          <w:rFonts w:cs="Sylfaen"/>
          <w:b w:val="0"/>
          <w:iCs/>
          <w:szCs w:val="22"/>
          <w:lang w:val="af-ZA" w:eastAsia="en-GB"/>
        </w:rPr>
        <w:softHyphen/>
        <w:t>վելիք վարչարարական միջոցա</w:t>
      </w:r>
      <w:r w:rsidRPr="00082280">
        <w:rPr>
          <w:rFonts w:cs="Sylfaen"/>
          <w:b w:val="0"/>
          <w:iCs/>
          <w:szCs w:val="22"/>
          <w:lang w:val="af-ZA" w:eastAsia="en-GB"/>
        </w:rPr>
        <w:softHyphen/>
        <w:t>ռում</w:t>
      </w:r>
      <w:r w:rsidRPr="00082280">
        <w:rPr>
          <w:rFonts w:cs="Sylfaen"/>
          <w:b w:val="0"/>
          <w:iCs/>
          <w:szCs w:val="22"/>
          <w:lang w:val="af-ZA" w:eastAsia="en-GB"/>
        </w:rPr>
        <w:softHyphen/>
        <w:t>ները, ինչպես նաև մակ</w:t>
      </w:r>
      <w:r w:rsidRPr="00082280">
        <w:rPr>
          <w:rFonts w:cs="Sylfaen"/>
          <w:b w:val="0"/>
          <w:iCs/>
          <w:szCs w:val="22"/>
          <w:lang w:val="af-ZA" w:eastAsia="en-GB"/>
        </w:rPr>
        <w:softHyphen/>
        <w:t>րո</w:t>
      </w:r>
      <w:r w:rsidRPr="00082280">
        <w:rPr>
          <w:rFonts w:cs="Sylfaen"/>
          <w:b w:val="0"/>
          <w:iCs/>
          <w:szCs w:val="22"/>
          <w:lang w:val="af-ZA" w:eastAsia="en-GB"/>
        </w:rPr>
        <w:softHyphen/>
        <w:t>տնտե</w:t>
      </w:r>
      <w:r w:rsidRPr="00082280">
        <w:rPr>
          <w:rFonts w:cs="Sylfaen"/>
          <w:b w:val="0"/>
          <w:iCs/>
          <w:szCs w:val="22"/>
          <w:lang w:val="af-ZA" w:eastAsia="en-GB"/>
        </w:rPr>
        <w:softHyphen/>
        <w:t>սական զար</w:t>
      </w:r>
      <w:r w:rsidRPr="00082280">
        <w:rPr>
          <w:rFonts w:cs="Sylfaen"/>
          <w:b w:val="0"/>
          <w:iCs/>
          <w:szCs w:val="22"/>
          <w:lang w:val="af-ZA" w:eastAsia="en-GB"/>
        </w:rPr>
        <w:softHyphen/>
        <w:t>գա</w:t>
      </w:r>
      <w:r w:rsidRPr="00082280">
        <w:rPr>
          <w:rFonts w:cs="Sylfaen"/>
          <w:b w:val="0"/>
          <w:iCs/>
          <w:szCs w:val="22"/>
          <w:lang w:val="af-ZA" w:eastAsia="en-GB"/>
        </w:rPr>
        <w:softHyphen/>
        <w:t>ցում</w:t>
      </w:r>
      <w:r w:rsidRPr="00082280">
        <w:rPr>
          <w:rFonts w:cs="Sylfaen"/>
          <w:b w:val="0"/>
          <w:iCs/>
          <w:szCs w:val="22"/>
          <w:lang w:val="af-ZA" w:eastAsia="en-GB"/>
        </w:rPr>
        <w:softHyphen/>
        <w:t>նե</w:t>
      </w:r>
      <w:r w:rsidRPr="00082280">
        <w:rPr>
          <w:rFonts w:cs="Sylfaen"/>
          <w:b w:val="0"/>
          <w:iCs/>
          <w:szCs w:val="22"/>
          <w:lang w:val="af-ZA" w:eastAsia="en-GB"/>
        </w:rPr>
        <w:softHyphen/>
        <w:t xml:space="preserve">րը: </w:t>
      </w:r>
      <w:bookmarkStart w:id="220" w:name="_Toc52223576"/>
    </w:p>
    <w:p w14:paraId="6B309144" w14:textId="77777777" w:rsidR="00630125" w:rsidRPr="00082280" w:rsidRDefault="00630125" w:rsidP="00630125">
      <w:pPr>
        <w:rPr>
          <w:b w:val="0"/>
          <w:bCs/>
          <w:color w:val="4472C4"/>
          <w:sz w:val="18"/>
          <w:szCs w:val="18"/>
          <w:lang w:val="af-ZA"/>
        </w:rPr>
      </w:pPr>
    </w:p>
    <w:p w14:paraId="4141D9A3" w14:textId="6E2A1E7B" w:rsidR="00630125" w:rsidRPr="00DE50C8" w:rsidRDefault="00630125" w:rsidP="00630125">
      <w:pPr>
        <w:spacing w:after="200"/>
        <w:rPr>
          <w:b w:val="0"/>
          <w:bCs/>
          <w:szCs w:val="22"/>
          <w:lang w:val="hy-AM"/>
        </w:rPr>
      </w:pPr>
      <w:bookmarkStart w:id="221" w:name="_Toc152324822"/>
      <w:bookmarkEnd w:id="220"/>
      <w:r w:rsidRPr="00DE50C8">
        <w:rPr>
          <w:szCs w:val="22"/>
          <w:lang w:val="hy-AM"/>
        </w:rPr>
        <w:t xml:space="preserve">Գծապատկեր </w:t>
      </w:r>
      <w:r w:rsidRPr="00DE50C8">
        <w:rPr>
          <w:szCs w:val="22"/>
          <w:lang w:val="hy-AM"/>
        </w:rPr>
        <w:fldChar w:fldCharType="begin"/>
      </w:r>
      <w:r w:rsidRPr="00DE50C8">
        <w:rPr>
          <w:szCs w:val="22"/>
          <w:lang w:val="hy-AM"/>
        </w:rPr>
        <w:instrText xml:space="preserve"> SEQ Գծապատկեր \* ARABIC </w:instrText>
      </w:r>
      <w:r w:rsidRPr="00DE50C8">
        <w:rPr>
          <w:szCs w:val="22"/>
          <w:lang w:val="hy-AM"/>
        </w:rPr>
        <w:fldChar w:fldCharType="separate"/>
      </w:r>
      <w:r w:rsidR="00DB4E68">
        <w:rPr>
          <w:noProof/>
          <w:szCs w:val="22"/>
          <w:lang w:val="hy-AM"/>
        </w:rPr>
        <w:t>1</w:t>
      </w:r>
      <w:r w:rsidRPr="00DE50C8">
        <w:rPr>
          <w:szCs w:val="22"/>
          <w:lang w:val="hy-AM"/>
        </w:rPr>
        <w:fldChar w:fldCharType="end"/>
      </w:r>
      <w:r w:rsidRPr="00DE50C8">
        <w:rPr>
          <w:rFonts w:ascii="Cambria Math" w:hAnsi="Cambria Math" w:cs="Cambria Math"/>
          <w:szCs w:val="22"/>
          <w:lang w:val="hy-AM"/>
        </w:rPr>
        <w:t>․</w:t>
      </w:r>
      <w:r w:rsidRPr="00DE50C8">
        <w:rPr>
          <w:szCs w:val="22"/>
          <w:lang w:val="hy-AM"/>
        </w:rPr>
        <w:t xml:space="preserve"> </w:t>
      </w:r>
      <w:r w:rsidRPr="00DE50C8">
        <w:rPr>
          <w:b w:val="0"/>
          <w:bCs/>
          <w:szCs w:val="22"/>
          <w:lang w:val="hy-AM"/>
        </w:rPr>
        <w:t>ՀՀ 2020-2024թթ հարկային եկամուտները և պետական տուրքերը (մլրդ դրամով) և կշիռը ՀՆԱ-ի նկատմամբ</w:t>
      </w:r>
      <w:bookmarkEnd w:id="221"/>
    </w:p>
    <w:p w14:paraId="1647067A" w14:textId="77777777" w:rsidR="00630125" w:rsidRDefault="00630125" w:rsidP="00630125">
      <w:pPr>
        <w:spacing w:before="0"/>
        <w:rPr>
          <w:rFonts w:cs="Sylfaen"/>
          <w:iCs/>
          <w:szCs w:val="22"/>
          <w:lang w:val="af-ZA" w:eastAsia="en-GB"/>
        </w:rPr>
      </w:pPr>
      <w:r w:rsidRPr="00082280">
        <w:rPr>
          <w:b w:val="0"/>
          <w:noProof/>
          <w:szCs w:val="22"/>
          <w:lang w:val="en-US" w:eastAsia="en-US"/>
        </w:rPr>
        <w:drawing>
          <wp:inline distT="0" distB="0" distL="0" distR="0" wp14:anchorId="789AC95A" wp14:editId="1D468AA7">
            <wp:extent cx="5955030" cy="3200400"/>
            <wp:effectExtent l="0" t="0" r="7620" b="0"/>
            <wp:docPr id="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DD03C01" w14:textId="77777777" w:rsidR="00630125" w:rsidRPr="007955BB" w:rsidRDefault="00630125" w:rsidP="00630125">
      <w:pPr>
        <w:spacing w:before="0"/>
        <w:rPr>
          <w:rFonts w:cs="Sylfaen"/>
          <w:iCs/>
          <w:szCs w:val="22"/>
          <w:lang w:val="af-ZA" w:eastAsia="en-GB"/>
        </w:rPr>
      </w:pPr>
    </w:p>
    <w:p w14:paraId="515703C0" w14:textId="77777777" w:rsidR="009E64AD" w:rsidRPr="00290696" w:rsidRDefault="009E64AD" w:rsidP="0009272D">
      <w:pPr>
        <w:pStyle w:val="Heading1"/>
      </w:pPr>
      <w:bookmarkStart w:id="222" w:name="_Toc153184482"/>
      <w:r w:rsidRPr="00701F87">
        <w:t>202</w:t>
      </w:r>
      <w:r w:rsidR="00297743" w:rsidRPr="00701F87">
        <w:rPr>
          <w:lang w:val="af-ZA"/>
        </w:rPr>
        <w:t>4</w:t>
      </w:r>
      <w:r w:rsidRPr="00701F87">
        <w:t xml:space="preserve"> ԹՎԱԿԱՆԻ ՀԱՐԿԱՅԻՆ ԾԱԽՍԵՐԻ ՄԵԾՈՒԹՅԱՆ ԳՆԱՀԱՏՈՒՄ</w:t>
      </w:r>
      <w:bookmarkEnd w:id="222"/>
    </w:p>
    <w:p w14:paraId="321D0176" w14:textId="3FED1C5C" w:rsidR="009F36E3" w:rsidRPr="00CB032B" w:rsidRDefault="00630125" w:rsidP="00CB032B">
      <w:pPr>
        <w:rPr>
          <w:rFonts w:eastAsia="Calibri"/>
          <w:b w:val="0"/>
          <w:szCs w:val="22"/>
          <w:lang w:val="hy-AM" w:eastAsia="en-US"/>
        </w:rPr>
      </w:pPr>
      <w:r w:rsidRPr="00CB032B">
        <w:rPr>
          <w:rFonts w:eastAsia="Calibri"/>
          <w:b w:val="0"/>
          <w:szCs w:val="22"/>
          <w:lang w:val="hy-AM" w:eastAsia="en-US"/>
        </w:rPr>
        <w:t>Ի լրումն վերոշարադրյալին հարկ է նշել, որ ՀՀ 2024 թվականի հարկային եկա</w:t>
      </w:r>
      <w:r w:rsidRPr="00CB032B">
        <w:rPr>
          <w:rFonts w:eastAsia="Calibri"/>
          <w:b w:val="0"/>
          <w:szCs w:val="22"/>
          <w:lang w:val="hy-AM" w:eastAsia="en-US"/>
        </w:rPr>
        <w:softHyphen/>
        <w:t>մուտ</w:t>
      </w:r>
      <w:r w:rsidRPr="00CB032B">
        <w:rPr>
          <w:rFonts w:eastAsia="Calibri"/>
          <w:b w:val="0"/>
          <w:szCs w:val="22"/>
          <w:lang w:val="hy-AM" w:eastAsia="en-US"/>
        </w:rPr>
        <w:softHyphen/>
        <w:t>նե</w:t>
      </w:r>
      <w:r w:rsidRPr="00CB032B">
        <w:rPr>
          <w:rFonts w:eastAsia="Calibri"/>
          <w:b w:val="0"/>
          <w:szCs w:val="22"/>
          <w:lang w:val="hy-AM" w:eastAsia="en-US"/>
        </w:rPr>
        <w:softHyphen/>
        <w:t>րի մուտքերի կանխատեսմամբ հանդերձ միջազգային պրակ</w:t>
      </w:r>
      <w:r w:rsidRPr="00CB032B">
        <w:rPr>
          <w:rFonts w:eastAsia="Calibri"/>
          <w:b w:val="0"/>
          <w:szCs w:val="22"/>
          <w:lang w:val="hy-AM" w:eastAsia="en-US"/>
        </w:rPr>
        <w:softHyphen/>
        <w:t>տիկայում ընդունված մո</w:t>
      </w:r>
      <w:r w:rsidRPr="00CB032B">
        <w:rPr>
          <w:rFonts w:eastAsia="Calibri"/>
          <w:b w:val="0"/>
          <w:szCs w:val="22"/>
          <w:lang w:val="hy-AM" w:eastAsia="en-US"/>
        </w:rPr>
        <w:softHyphen/>
        <w:t>տե</w:t>
      </w:r>
      <w:r w:rsidRPr="00CB032B">
        <w:rPr>
          <w:rFonts w:eastAsia="Calibri"/>
          <w:b w:val="0"/>
          <w:szCs w:val="22"/>
          <w:lang w:val="hy-AM" w:eastAsia="en-US"/>
        </w:rPr>
        <w:softHyphen/>
        <w:t xml:space="preserve">ցումների հիման վրա կատարվել է ԱԱՀ-ի, շահութահարկի և եկամտային հարկի գծով 2024 </w:t>
      </w:r>
      <w:r w:rsidRPr="00CB032B">
        <w:rPr>
          <w:rFonts w:eastAsia="Calibri"/>
          <w:b w:val="0"/>
          <w:szCs w:val="22"/>
          <w:lang w:val="hy-AM" w:eastAsia="en-US"/>
        </w:rPr>
        <w:lastRenderedPageBreak/>
        <w:t>թվականի հար</w:t>
      </w:r>
      <w:r w:rsidRPr="00CB032B">
        <w:rPr>
          <w:rFonts w:eastAsia="Calibri"/>
          <w:b w:val="0"/>
          <w:szCs w:val="22"/>
          <w:lang w:val="hy-AM" w:eastAsia="en-US"/>
        </w:rPr>
        <w:softHyphen/>
        <w:t>կա</w:t>
      </w:r>
      <w:r w:rsidRPr="00CB032B">
        <w:rPr>
          <w:rFonts w:eastAsia="Calibri"/>
          <w:b w:val="0"/>
          <w:szCs w:val="22"/>
          <w:lang w:val="hy-AM" w:eastAsia="en-US"/>
        </w:rPr>
        <w:softHyphen/>
        <w:t>յին ծախսերի մեծության գնահատում, որի արդյունքները ներ</w:t>
      </w:r>
      <w:r w:rsidRPr="00CB032B">
        <w:rPr>
          <w:rFonts w:eastAsia="Calibri"/>
          <w:b w:val="0"/>
          <w:szCs w:val="22"/>
          <w:lang w:val="hy-AM" w:eastAsia="en-US"/>
        </w:rPr>
        <w:softHyphen/>
        <w:t xml:space="preserve">կայացված են  </w:t>
      </w:r>
      <w:bookmarkStart w:id="223" w:name="_Toc152316087"/>
      <w:r w:rsidR="009F36E3" w:rsidRPr="00CB032B">
        <w:rPr>
          <w:rFonts w:eastAsia="Calibri"/>
          <w:b w:val="0"/>
          <w:szCs w:val="22"/>
          <w:lang w:val="hy-AM" w:eastAsia="en-US"/>
        </w:rPr>
        <w:t xml:space="preserve">ՄԱՍ I-Գ. </w:t>
      </w:r>
      <w:bookmarkEnd w:id="223"/>
      <w:r w:rsidR="009F36E3" w:rsidRPr="00CB032B">
        <w:rPr>
          <w:rFonts w:eastAsia="Calibri"/>
          <w:b w:val="0"/>
          <w:szCs w:val="22"/>
          <w:lang w:val="hy-AM" w:eastAsia="en-US"/>
        </w:rPr>
        <w:t>բաժնի 2.2. ենթաբաժնում:</w:t>
      </w:r>
    </w:p>
    <w:p w14:paraId="3A88F499" w14:textId="77777777" w:rsidR="009F36E3" w:rsidRPr="00CB032B" w:rsidRDefault="009F36E3" w:rsidP="00701F87">
      <w:pPr>
        <w:rPr>
          <w:rFonts w:eastAsia="Calibri"/>
          <w:b w:val="0"/>
          <w:szCs w:val="22"/>
          <w:lang w:val="hy-AM" w:eastAsia="en-US"/>
        </w:rPr>
      </w:pPr>
    </w:p>
    <w:p w14:paraId="0069F941" w14:textId="3D7B340F" w:rsidR="00AE2A75" w:rsidRPr="00701F87" w:rsidRDefault="00D8071F" w:rsidP="00701F87">
      <w:pPr>
        <w:rPr>
          <w:rFonts w:eastAsiaTheme="majorEastAsia" w:cstheme="majorBidi"/>
          <w:bCs/>
          <w:color w:val="1F497D" w:themeColor="text2"/>
          <w:sz w:val="24"/>
          <w:lang w:val="hy-AM" w:eastAsia="en-US"/>
        </w:rPr>
      </w:pPr>
      <w:r w:rsidRPr="00701F87">
        <w:rPr>
          <w:rFonts w:eastAsiaTheme="majorEastAsia" w:cstheme="majorBidi"/>
          <w:bCs/>
          <w:color w:val="1F497D" w:themeColor="text2"/>
          <w:sz w:val="24"/>
          <w:lang w:val="hy-AM" w:eastAsia="en-US"/>
        </w:rPr>
        <w:t>Պետական տուրքեր</w:t>
      </w:r>
    </w:p>
    <w:p w14:paraId="7C8BD8C0" w14:textId="77777777" w:rsidR="003337B9" w:rsidRPr="003337B9" w:rsidRDefault="003337B9" w:rsidP="00701F87">
      <w:pPr>
        <w:rPr>
          <w:szCs w:val="22"/>
          <w:lang w:val="af-ZA"/>
        </w:rPr>
      </w:pPr>
      <w:r w:rsidRPr="003337B9">
        <w:rPr>
          <w:rFonts w:eastAsia="Calibri"/>
          <w:b w:val="0"/>
          <w:szCs w:val="22"/>
          <w:lang w:val="hy-AM" w:eastAsia="en-US"/>
        </w:rPr>
        <w:t>Պետական տուրքերի գծով 202</w:t>
      </w:r>
      <w:r w:rsidRPr="003337B9">
        <w:rPr>
          <w:rFonts w:eastAsia="Calibri"/>
          <w:b w:val="0"/>
          <w:szCs w:val="22"/>
          <w:lang w:val="af-ZA" w:eastAsia="en-US"/>
        </w:rPr>
        <w:t>4</w:t>
      </w:r>
      <w:r w:rsidRPr="003337B9">
        <w:rPr>
          <w:rFonts w:eastAsia="Calibri"/>
          <w:b w:val="0"/>
          <w:szCs w:val="22"/>
          <w:lang w:val="hy-AM" w:eastAsia="en-US"/>
        </w:rPr>
        <w:t xml:space="preserve"> թվականի բյուջետային մուտքերը ծրագրվել են </w:t>
      </w:r>
      <w:r w:rsidRPr="003337B9">
        <w:rPr>
          <w:rFonts w:eastAsia="Calibri"/>
          <w:b w:val="0"/>
          <w:szCs w:val="22"/>
          <w:lang w:val="af-ZA" w:eastAsia="en-US"/>
        </w:rPr>
        <w:t>62.6</w:t>
      </w:r>
      <w:r w:rsidRPr="003337B9">
        <w:rPr>
          <w:rFonts w:eastAsia="Calibri"/>
          <w:b w:val="0"/>
          <w:szCs w:val="22"/>
          <w:lang w:val="hy-AM" w:eastAsia="en-US"/>
        </w:rPr>
        <w:t xml:space="preserve"> մլրդ դրամի չափով` 20</w:t>
      </w:r>
      <w:r w:rsidRPr="003337B9">
        <w:rPr>
          <w:rFonts w:eastAsia="Calibri"/>
          <w:b w:val="0"/>
          <w:szCs w:val="22"/>
          <w:lang w:val="af-ZA" w:eastAsia="en-US"/>
        </w:rPr>
        <w:t>23</w:t>
      </w:r>
      <w:r w:rsidRPr="003337B9">
        <w:rPr>
          <w:rFonts w:eastAsia="Calibri"/>
          <w:b w:val="0"/>
          <w:szCs w:val="22"/>
          <w:lang w:val="hy-AM" w:eastAsia="en-US"/>
        </w:rPr>
        <w:t xml:space="preserve"> թվականի համար հաստատված</w:t>
      </w:r>
      <w:r w:rsidRPr="003337B9">
        <w:rPr>
          <w:rFonts w:eastAsia="Calibri"/>
          <w:b w:val="0"/>
          <w:szCs w:val="22"/>
          <w:vertAlign w:val="superscript"/>
          <w:lang w:val="hy-AM" w:eastAsia="en-US"/>
        </w:rPr>
        <w:footnoteReference w:id="27"/>
      </w:r>
      <w:r w:rsidRPr="003337B9">
        <w:rPr>
          <w:rFonts w:eastAsia="Calibri"/>
          <w:b w:val="0"/>
          <w:szCs w:val="22"/>
          <w:lang w:val="hy-AM" w:eastAsia="en-US"/>
        </w:rPr>
        <w:t xml:space="preserve"> </w:t>
      </w:r>
      <w:r w:rsidRPr="003337B9">
        <w:rPr>
          <w:rFonts w:eastAsia="Calibri"/>
          <w:b w:val="0"/>
          <w:szCs w:val="22"/>
          <w:lang w:val="af-ZA" w:eastAsia="en-US"/>
        </w:rPr>
        <w:t>52.2</w:t>
      </w:r>
      <w:r w:rsidRPr="003337B9">
        <w:rPr>
          <w:rFonts w:eastAsia="Calibri"/>
          <w:b w:val="0"/>
          <w:szCs w:val="22"/>
          <w:lang w:val="hy-AM" w:eastAsia="en-US"/>
        </w:rPr>
        <w:t xml:space="preserve"> մլրդ դրամի և 20</w:t>
      </w:r>
      <w:r w:rsidRPr="003337B9">
        <w:rPr>
          <w:rFonts w:eastAsia="Calibri"/>
          <w:b w:val="0"/>
          <w:szCs w:val="22"/>
          <w:lang w:val="af-ZA" w:eastAsia="en-US"/>
        </w:rPr>
        <w:t>22</w:t>
      </w:r>
      <w:r w:rsidRPr="003337B9">
        <w:rPr>
          <w:rFonts w:eastAsia="Calibri"/>
          <w:b w:val="0"/>
          <w:szCs w:val="22"/>
          <w:lang w:val="hy-AM" w:eastAsia="en-US"/>
        </w:rPr>
        <w:t xml:space="preserve"> թվականին փաստացի ստացված</w:t>
      </w:r>
      <w:r w:rsidRPr="003337B9">
        <w:rPr>
          <w:rFonts w:eastAsia="Calibri"/>
          <w:b w:val="0"/>
          <w:szCs w:val="22"/>
          <w:vertAlign w:val="superscript"/>
          <w:lang w:val="hy-AM" w:eastAsia="en-US"/>
        </w:rPr>
        <w:footnoteReference w:id="28"/>
      </w:r>
      <w:r w:rsidRPr="003337B9">
        <w:rPr>
          <w:rFonts w:eastAsia="Calibri"/>
          <w:b w:val="0"/>
          <w:szCs w:val="22"/>
          <w:lang w:val="hy-AM" w:eastAsia="en-US"/>
        </w:rPr>
        <w:t xml:space="preserve"> </w:t>
      </w:r>
      <w:r w:rsidRPr="003337B9">
        <w:rPr>
          <w:rFonts w:eastAsia="Calibri"/>
          <w:b w:val="0"/>
          <w:szCs w:val="22"/>
          <w:lang w:val="af-ZA" w:eastAsia="en-US"/>
        </w:rPr>
        <w:t>106.4</w:t>
      </w:r>
      <w:r w:rsidRPr="003337B9">
        <w:rPr>
          <w:rFonts w:eastAsia="Calibri"/>
          <w:b w:val="0"/>
          <w:szCs w:val="22"/>
          <w:lang w:val="hy-AM" w:eastAsia="en-US"/>
        </w:rPr>
        <w:t xml:space="preserve"> մլրդ դրամի դիմաց:</w:t>
      </w:r>
    </w:p>
    <w:p w14:paraId="1C07290D" w14:textId="77777777" w:rsidR="003337B9" w:rsidRPr="003337B9" w:rsidRDefault="003337B9" w:rsidP="00701F87">
      <w:pPr>
        <w:rPr>
          <w:rFonts w:eastAsia="Calibri"/>
          <w:b w:val="0"/>
          <w:szCs w:val="22"/>
          <w:lang w:val="hy-AM" w:eastAsia="en-US"/>
        </w:rPr>
      </w:pPr>
      <w:r w:rsidRPr="003337B9">
        <w:rPr>
          <w:rFonts w:eastAsia="Calibri"/>
          <w:b w:val="0"/>
          <w:szCs w:val="22"/>
          <w:lang w:val="hy-AM" w:eastAsia="en-US"/>
        </w:rPr>
        <w:t>Պետական տուրքերի գծով 202</w:t>
      </w:r>
      <w:r w:rsidRPr="003337B9">
        <w:rPr>
          <w:rFonts w:eastAsia="Calibri"/>
          <w:b w:val="0"/>
          <w:szCs w:val="22"/>
          <w:lang w:val="af-ZA" w:eastAsia="en-US"/>
        </w:rPr>
        <w:t>4</w:t>
      </w:r>
      <w:r w:rsidRPr="003337B9">
        <w:rPr>
          <w:rFonts w:eastAsia="Calibri"/>
          <w:b w:val="0"/>
          <w:szCs w:val="22"/>
          <w:lang w:val="hy-AM" w:eastAsia="en-US"/>
        </w:rPr>
        <w:t xml:space="preserve"> թվականի բյուջետային մուտքերի կանխատեսումները կատարվել են ըստ դրանց նախորդ տարիների փաստացի հավաքագրումների միտումների, hաշվի առնելով ՀՀ օրենսդրության մեջ կատարված առանձին փոփոխություններն ու լրացումները, ինչպես նաև պետական տուրքի յուրաքանչյուր տեսակի առանձնահատկությունները: </w:t>
      </w:r>
    </w:p>
    <w:p w14:paraId="59BE9DC8" w14:textId="77777777" w:rsidR="003337B9" w:rsidRPr="003337B9" w:rsidRDefault="003337B9" w:rsidP="00701F87">
      <w:pPr>
        <w:rPr>
          <w:rFonts w:eastAsia="Calibri" w:cs="GHEA Grapalat"/>
          <w:b w:val="0"/>
          <w:szCs w:val="22"/>
          <w:lang w:val="af-ZA" w:eastAsia="en-US"/>
        </w:rPr>
      </w:pPr>
      <w:r w:rsidRPr="003337B9">
        <w:rPr>
          <w:rFonts w:eastAsia="Calibri"/>
          <w:b w:val="0"/>
          <w:szCs w:val="22"/>
          <w:lang w:val="hy-AM" w:eastAsia="en-US"/>
        </w:rPr>
        <w:t>Մասնավորապես՝</w:t>
      </w:r>
      <w:r w:rsidRPr="003337B9">
        <w:rPr>
          <w:rFonts w:eastAsia="Calibri"/>
          <w:b w:val="0"/>
          <w:szCs w:val="22"/>
          <w:lang w:val="af-ZA" w:eastAsia="en-US"/>
        </w:rPr>
        <w:t xml:space="preserve"> 2023 թվականի հունվարի 1-ից ուժի մեջ է մտել </w:t>
      </w:r>
      <w:r w:rsidRPr="003337B9">
        <w:rPr>
          <w:rFonts w:eastAsia="Calibri" w:cs="GHEA Grapalat"/>
          <w:b w:val="0"/>
          <w:szCs w:val="22"/>
          <w:lang w:val="hy-AM" w:eastAsia="en-US"/>
        </w:rPr>
        <w:t>«Պետական տուրքի մասին» օրենքում լրացումներ</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 xml:space="preserve">կատարելու մասին» </w:t>
      </w:r>
      <w:r w:rsidRPr="003337B9">
        <w:rPr>
          <w:rFonts w:eastAsia="Calibri" w:cs="GHEA Grapalat"/>
          <w:b w:val="0"/>
          <w:szCs w:val="22"/>
          <w:lang w:val="af-ZA" w:eastAsia="en-US"/>
        </w:rPr>
        <w:t>23.12.2022</w:t>
      </w:r>
      <w:r w:rsidRPr="003337B9">
        <w:rPr>
          <w:rFonts w:eastAsia="Calibri" w:cs="GHEA Grapalat"/>
          <w:b w:val="0"/>
          <w:szCs w:val="22"/>
          <w:lang w:val="hy-AM" w:eastAsia="en-US"/>
        </w:rPr>
        <w:t>թ</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ՀՕ</w:t>
      </w:r>
      <w:r w:rsidRPr="003337B9">
        <w:rPr>
          <w:rFonts w:eastAsia="Calibri" w:cs="GHEA Grapalat"/>
          <w:b w:val="0"/>
          <w:szCs w:val="22"/>
          <w:lang w:val="af-ZA" w:eastAsia="en-US"/>
        </w:rPr>
        <w:t>-596-</w:t>
      </w:r>
      <w:r w:rsidRPr="003337B9">
        <w:rPr>
          <w:rFonts w:eastAsia="Calibri" w:cs="GHEA Grapalat"/>
          <w:b w:val="0"/>
          <w:szCs w:val="22"/>
          <w:lang w:val="hy-AM" w:eastAsia="en-US"/>
        </w:rPr>
        <w:t>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օրենքը</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որով</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սահմանվում</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է</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պետական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տուրք</w:t>
      </w:r>
      <w:r w:rsidRPr="003337B9">
        <w:rPr>
          <w:rFonts w:eastAsia="Calibri" w:cs="GHEA Grapalat"/>
          <w:b w:val="0"/>
          <w:szCs w:val="22"/>
          <w:lang w:val="af-ZA" w:eastAsia="en-US"/>
        </w:rPr>
        <w:t xml:space="preserve"> ֆիզիկական անձանց կողմից սեփականության իրավունքով իրենց պատկանող ավտոմեքենան օտարելու դեպքում տրանսպորտային միջոցի նկատմամբ սեփականության իրավունքի դադարման գրացման համար: </w:t>
      </w:r>
    </w:p>
    <w:p w14:paraId="00B7D521" w14:textId="77777777" w:rsidR="003337B9" w:rsidRPr="003337B9" w:rsidRDefault="003337B9" w:rsidP="00701F87">
      <w:pPr>
        <w:rPr>
          <w:rFonts w:eastAsia="Calibri" w:cs="GHEA Grapalat"/>
          <w:b w:val="0"/>
          <w:szCs w:val="22"/>
          <w:lang w:val="hy-AM" w:eastAsia="en-US"/>
        </w:rPr>
      </w:pPr>
      <w:r w:rsidRPr="003337B9">
        <w:rPr>
          <w:rFonts w:eastAsia="Calibri" w:cs="GHEA Grapalat"/>
          <w:b w:val="0"/>
          <w:szCs w:val="22"/>
          <w:lang w:val="hy-AM" w:eastAsia="en-US"/>
        </w:rPr>
        <w:t xml:space="preserve">«Պետական տուրքի մասին» օրենքում  փոփոխություններ և լրացումներ կատարելու մասին» </w:t>
      </w:r>
      <w:r w:rsidRPr="003337B9">
        <w:rPr>
          <w:rFonts w:eastAsia="Calibri" w:cs="GHEA Grapalat"/>
          <w:b w:val="0"/>
          <w:szCs w:val="22"/>
          <w:lang w:val="af-ZA" w:eastAsia="en-US"/>
        </w:rPr>
        <w:t xml:space="preserve">16.12.2022թ. </w:t>
      </w:r>
      <w:r w:rsidRPr="003337B9">
        <w:rPr>
          <w:rFonts w:eastAsia="Calibri" w:cs="GHEA Grapalat"/>
          <w:b w:val="0"/>
          <w:szCs w:val="22"/>
          <w:lang w:val="hy-AM" w:eastAsia="en-US"/>
        </w:rPr>
        <w:t>ՀՕ</w:t>
      </w:r>
      <w:r w:rsidRPr="003337B9">
        <w:rPr>
          <w:rFonts w:eastAsia="Calibri" w:cs="GHEA Grapalat"/>
          <w:b w:val="0"/>
          <w:szCs w:val="22"/>
          <w:lang w:val="af-ZA" w:eastAsia="en-US"/>
        </w:rPr>
        <w:t>-464-</w:t>
      </w:r>
      <w:r w:rsidRPr="003337B9">
        <w:rPr>
          <w:rFonts w:eastAsia="Calibri" w:cs="GHEA Grapalat"/>
          <w:b w:val="0"/>
          <w:szCs w:val="22"/>
          <w:lang w:val="hy-AM" w:eastAsia="en-US"/>
        </w:rPr>
        <w:t>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 xml:space="preserve">օրենքով սահմանվում են պետական տուրքեր տրանսպորտային միջոցի հաշվառման գործողության համար, տրանսպորտային միջոց վարելու իրավունքի վկայական ստանալու գործնական քննություն ընդունելու համար, տրանսպորտային միջոցների վերասարքավորման թույլտվության համար և նոր </w:t>
      </w:r>
      <w:r w:rsidRPr="003337B9">
        <w:rPr>
          <w:rFonts w:eastAsia="Calibri" w:cs="GHEA Grapalat"/>
          <w:b w:val="0"/>
          <w:szCs w:val="22"/>
          <w:lang w:val="af-ZA" w:eastAsia="en-US"/>
        </w:rPr>
        <w:t xml:space="preserve">թողարկված (տվյալ տարում արտադրված) </w:t>
      </w:r>
      <w:r w:rsidRPr="003337B9">
        <w:rPr>
          <w:rFonts w:eastAsia="Calibri" w:cs="GHEA Grapalat"/>
          <w:b w:val="0"/>
          <w:szCs w:val="22"/>
          <w:lang w:val="hy-AM" w:eastAsia="en-US"/>
        </w:rPr>
        <w:t>տրանսպորտային միջոցին հաշվառման կտրոն տալու համար:</w:t>
      </w:r>
    </w:p>
    <w:p w14:paraId="277813CE" w14:textId="77777777" w:rsidR="003337B9" w:rsidRPr="003337B9" w:rsidRDefault="003337B9" w:rsidP="00701F87">
      <w:pPr>
        <w:rPr>
          <w:rFonts w:cs="Sylfaen"/>
          <w:b w:val="0"/>
          <w:szCs w:val="22"/>
          <w:lang w:val="af-ZA"/>
        </w:rPr>
      </w:pPr>
      <w:r w:rsidRPr="003337B9">
        <w:rPr>
          <w:rFonts w:eastAsia="Calibri" w:cs="GHEA Grapalat"/>
          <w:b w:val="0"/>
          <w:szCs w:val="22"/>
          <w:lang w:val="af-ZA" w:eastAsia="en-US"/>
        </w:rPr>
        <w:t>2023 թվականի հունվարի 1-ից ուժի մեջ է մտ</w:t>
      </w:r>
      <w:r w:rsidR="00313D85">
        <w:rPr>
          <w:rFonts w:eastAsia="Calibri" w:cs="GHEA Grapalat"/>
          <w:b w:val="0"/>
          <w:szCs w:val="22"/>
          <w:lang w:val="af-ZA" w:eastAsia="en-US"/>
        </w:rPr>
        <w:t>ել</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 xml:space="preserve">«Պետական տուրքի մասին» Հայաստանի Հանրապետության օրենքում փոփոխություն կատարելու մասին» </w:t>
      </w:r>
      <w:r w:rsidRPr="003337B9">
        <w:rPr>
          <w:rFonts w:eastAsia="Calibri" w:cs="GHEA Grapalat"/>
          <w:b w:val="0"/>
          <w:szCs w:val="22"/>
          <w:lang w:val="af-ZA" w:eastAsia="en-US"/>
        </w:rPr>
        <w:t>15.06.2022</w:t>
      </w:r>
      <w:r w:rsidRPr="003337B9">
        <w:rPr>
          <w:rFonts w:eastAsia="Calibri" w:cs="GHEA Grapalat"/>
          <w:b w:val="0"/>
          <w:szCs w:val="22"/>
          <w:lang w:val="hy-AM" w:eastAsia="en-US"/>
        </w:rPr>
        <w:t>թ. ՀՕ-</w:t>
      </w:r>
      <w:r w:rsidRPr="003337B9">
        <w:rPr>
          <w:rFonts w:eastAsia="Calibri" w:cs="GHEA Grapalat"/>
          <w:b w:val="0"/>
          <w:szCs w:val="22"/>
          <w:lang w:val="af-ZA" w:eastAsia="en-US"/>
        </w:rPr>
        <w:t>150</w:t>
      </w:r>
      <w:r w:rsidRPr="003337B9">
        <w:rPr>
          <w:rFonts w:eastAsia="Calibri" w:cs="GHEA Grapalat"/>
          <w:b w:val="0"/>
          <w:szCs w:val="22"/>
          <w:lang w:val="hy-AM" w:eastAsia="en-US"/>
        </w:rPr>
        <w:t>-Ն օրենքը</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որով</w:t>
      </w:r>
      <w:r w:rsidRPr="003337B9">
        <w:rPr>
          <w:rFonts w:eastAsia="Calibri" w:cs="GHEA Grapalat"/>
          <w:b w:val="0"/>
          <w:szCs w:val="22"/>
          <w:lang w:val="af-ZA" w:eastAsia="en-US"/>
        </w:rPr>
        <w:t xml:space="preserve"> </w:t>
      </w:r>
      <w:r w:rsidRPr="003337B9">
        <w:rPr>
          <w:rFonts w:eastAsia="Calibri"/>
          <w:b w:val="0"/>
          <w:szCs w:val="22"/>
          <w:lang w:val="hy-AM" w:eastAsia="en-US"/>
        </w:rPr>
        <w:t>ՀՀ</w:t>
      </w:r>
      <w:r w:rsidR="00227775" w:rsidRPr="00D827F0">
        <w:rPr>
          <w:rFonts w:eastAsia="Calibri"/>
          <w:b w:val="0"/>
          <w:szCs w:val="22"/>
          <w:lang w:val="hy-AM" w:eastAsia="en-US"/>
        </w:rPr>
        <w:t>-ից</w:t>
      </w:r>
      <w:r w:rsidRPr="003337B9">
        <w:rPr>
          <w:rFonts w:eastAsia="Calibri"/>
          <w:b w:val="0"/>
          <w:szCs w:val="22"/>
          <w:lang w:val="af-ZA" w:eastAsia="en-US"/>
        </w:rPr>
        <w:t xml:space="preserve"> </w:t>
      </w:r>
      <w:r w:rsidRPr="003337B9">
        <w:rPr>
          <w:rFonts w:eastAsia="Calibri"/>
          <w:b w:val="0"/>
          <w:szCs w:val="22"/>
          <w:lang w:val="hy-AM" w:eastAsia="en-US"/>
        </w:rPr>
        <w:t>պղնձի</w:t>
      </w:r>
      <w:r w:rsidRPr="003337B9">
        <w:rPr>
          <w:rFonts w:eastAsia="Calibri"/>
          <w:b w:val="0"/>
          <w:szCs w:val="22"/>
          <w:lang w:val="af-ZA" w:eastAsia="en-US"/>
        </w:rPr>
        <w:t xml:space="preserve"> </w:t>
      </w:r>
      <w:r w:rsidRPr="003337B9">
        <w:rPr>
          <w:rFonts w:eastAsia="Calibri"/>
          <w:b w:val="0"/>
          <w:szCs w:val="22"/>
          <w:lang w:val="hy-AM" w:eastAsia="en-US"/>
        </w:rPr>
        <w:t>խտահանքի</w:t>
      </w:r>
      <w:r w:rsidRPr="003337B9">
        <w:rPr>
          <w:rFonts w:eastAsia="Calibri"/>
          <w:b w:val="0"/>
          <w:szCs w:val="22"/>
          <w:lang w:val="af-ZA" w:eastAsia="en-US"/>
        </w:rPr>
        <w:t xml:space="preserve">, </w:t>
      </w:r>
      <w:r w:rsidRPr="003337B9">
        <w:rPr>
          <w:rFonts w:eastAsia="Calibri"/>
          <w:b w:val="0"/>
          <w:szCs w:val="22"/>
          <w:lang w:val="hy-AM" w:eastAsia="en-US"/>
        </w:rPr>
        <w:t>մոլիբդենի</w:t>
      </w:r>
      <w:r w:rsidRPr="003337B9">
        <w:rPr>
          <w:rFonts w:cs="Sylfaen"/>
          <w:b w:val="0"/>
          <w:szCs w:val="22"/>
          <w:lang w:val="af-ZA"/>
        </w:rPr>
        <w:t xml:space="preserve"> </w:t>
      </w:r>
      <w:r w:rsidRPr="003337B9">
        <w:rPr>
          <w:rFonts w:cs="Sylfaen"/>
          <w:b w:val="0"/>
          <w:szCs w:val="22"/>
          <w:lang w:val="hy-AM"/>
        </w:rPr>
        <w:t>խտահանքի</w:t>
      </w:r>
      <w:r w:rsidRPr="003337B9">
        <w:rPr>
          <w:rFonts w:cs="Sylfaen"/>
          <w:b w:val="0"/>
          <w:szCs w:val="22"/>
          <w:lang w:val="af-ZA"/>
        </w:rPr>
        <w:t xml:space="preserve"> </w:t>
      </w:r>
      <w:r w:rsidRPr="003337B9">
        <w:rPr>
          <w:rFonts w:cs="Sylfaen"/>
          <w:b w:val="0"/>
          <w:szCs w:val="22"/>
          <w:lang w:val="hy-AM"/>
        </w:rPr>
        <w:t>և</w:t>
      </w:r>
      <w:r w:rsidRPr="003337B9">
        <w:rPr>
          <w:rFonts w:cs="Sylfaen"/>
          <w:b w:val="0"/>
          <w:szCs w:val="22"/>
          <w:lang w:val="af-ZA"/>
        </w:rPr>
        <w:t xml:space="preserve"> մոլիբդենի և դրանից պատրաստված արտադրատեսակների (բացառությամբ՝ թափոններ և ջարդոն)՝ դեպի երրորդ երկրներ </w:t>
      </w:r>
      <w:r w:rsidRPr="003337B9">
        <w:rPr>
          <w:rFonts w:cs="Sylfaen"/>
          <w:b w:val="0"/>
          <w:szCs w:val="22"/>
          <w:lang w:val="hy-AM"/>
        </w:rPr>
        <w:t>արտահանման</w:t>
      </w:r>
      <w:r w:rsidRPr="003337B9">
        <w:rPr>
          <w:rFonts w:cs="Sylfaen"/>
          <w:b w:val="0"/>
          <w:szCs w:val="22"/>
          <w:lang w:val="af-ZA"/>
        </w:rPr>
        <w:t xml:space="preserve"> ժամանակավոր սահմանափակում կիրառելու </w:t>
      </w:r>
      <w:r w:rsidRPr="003337B9">
        <w:rPr>
          <w:rFonts w:cs="Sylfaen"/>
          <w:b w:val="0"/>
          <w:szCs w:val="22"/>
          <w:lang w:val="hy-AM"/>
        </w:rPr>
        <w:t>լիցենզիաներ</w:t>
      </w:r>
      <w:r w:rsidRPr="003337B9">
        <w:rPr>
          <w:rFonts w:cs="Sylfaen"/>
          <w:b w:val="0"/>
          <w:szCs w:val="22"/>
          <w:lang w:val="af-ZA"/>
        </w:rPr>
        <w:t xml:space="preserve"> </w:t>
      </w:r>
      <w:r w:rsidRPr="003337B9">
        <w:rPr>
          <w:rFonts w:cs="Sylfaen"/>
          <w:b w:val="0"/>
          <w:szCs w:val="22"/>
          <w:lang w:val="hy-AM"/>
        </w:rPr>
        <w:t>տրամադրելու</w:t>
      </w:r>
      <w:r w:rsidRPr="003337B9">
        <w:rPr>
          <w:rFonts w:cs="Sylfaen"/>
          <w:b w:val="0"/>
          <w:szCs w:val="22"/>
          <w:lang w:val="af-ZA"/>
        </w:rPr>
        <w:t xml:space="preserve"> </w:t>
      </w:r>
      <w:r w:rsidRPr="003337B9">
        <w:rPr>
          <w:rFonts w:cs="Sylfaen"/>
          <w:b w:val="0"/>
          <w:szCs w:val="22"/>
          <w:lang w:val="hy-AM"/>
        </w:rPr>
        <w:t xml:space="preserve">համար պետական տուրքեր սահմանող </w:t>
      </w:r>
      <w:r w:rsidRPr="003337B9">
        <w:rPr>
          <w:rFonts w:eastAsia="Calibri"/>
          <w:b w:val="0"/>
          <w:szCs w:val="22"/>
          <w:lang w:val="af-ZA" w:eastAsia="en-US"/>
        </w:rPr>
        <w:t>15.07.2021</w:t>
      </w:r>
      <w:r w:rsidRPr="003337B9">
        <w:rPr>
          <w:rFonts w:eastAsia="Calibri"/>
          <w:b w:val="0"/>
          <w:szCs w:val="22"/>
          <w:lang w:val="hy-AM" w:eastAsia="en-US"/>
        </w:rPr>
        <w:t>թ</w:t>
      </w:r>
      <w:r w:rsidRPr="003337B9">
        <w:rPr>
          <w:rFonts w:eastAsia="Calibri"/>
          <w:b w:val="0"/>
          <w:szCs w:val="22"/>
          <w:lang w:val="af-ZA" w:eastAsia="en-US"/>
        </w:rPr>
        <w:t xml:space="preserve">. </w:t>
      </w:r>
      <w:r w:rsidRPr="003337B9">
        <w:rPr>
          <w:rFonts w:eastAsia="Calibri"/>
          <w:b w:val="0"/>
          <w:szCs w:val="22"/>
          <w:lang w:val="hy-AM" w:eastAsia="en-US"/>
        </w:rPr>
        <w:t>ՀՕ</w:t>
      </w:r>
      <w:r w:rsidRPr="003337B9">
        <w:rPr>
          <w:rFonts w:eastAsia="Calibri"/>
          <w:b w:val="0"/>
          <w:szCs w:val="22"/>
          <w:lang w:val="af-ZA" w:eastAsia="en-US"/>
        </w:rPr>
        <w:t>-310-</w:t>
      </w:r>
      <w:r w:rsidRPr="003337B9">
        <w:rPr>
          <w:rFonts w:eastAsia="Calibri"/>
          <w:b w:val="0"/>
          <w:szCs w:val="22"/>
          <w:lang w:val="hy-AM" w:eastAsia="en-US"/>
        </w:rPr>
        <w:t>Ն</w:t>
      </w:r>
      <w:r w:rsidRPr="003337B9">
        <w:rPr>
          <w:rFonts w:eastAsia="Calibri"/>
          <w:b w:val="0"/>
          <w:szCs w:val="22"/>
          <w:lang w:val="af-ZA" w:eastAsia="en-US"/>
        </w:rPr>
        <w:t xml:space="preserve"> օրենքն ուժը կորցրած է ճանաչվել: </w:t>
      </w:r>
      <w:r w:rsidRPr="003337B9">
        <w:rPr>
          <w:rFonts w:eastAsia="Calibri" w:cs="GHEA Grapalat"/>
          <w:b w:val="0"/>
          <w:szCs w:val="22"/>
          <w:lang w:val="hy-AM" w:eastAsia="en-US"/>
        </w:rPr>
        <w:t>Ընդ</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որում</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նշված</w:t>
      </w:r>
      <w:r w:rsidRPr="003337B9">
        <w:rPr>
          <w:rFonts w:eastAsia="Calibri" w:cs="GHEA Grapalat"/>
          <w:b w:val="0"/>
          <w:szCs w:val="22"/>
          <w:lang w:val="af-ZA" w:eastAsia="en-US"/>
        </w:rPr>
        <w:t xml:space="preserve"> տուրքերի </w:t>
      </w:r>
      <w:r w:rsidRPr="003337B9">
        <w:rPr>
          <w:rFonts w:eastAsia="Calibri" w:cs="GHEA Grapalat"/>
          <w:b w:val="0"/>
          <w:szCs w:val="22"/>
          <w:lang w:val="hy-AM" w:eastAsia="en-US"/>
        </w:rPr>
        <w:t>գծով</w:t>
      </w:r>
      <w:r w:rsidRPr="003337B9">
        <w:rPr>
          <w:rFonts w:eastAsia="Calibri" w:cs="GHEA Grapalat"/>
          <w:b w:val="0"/>
          <w:szCs w:val="22"/>
          <w:lang w:val="af-ZA" w:eastAsia="en-US"/>
        </w:rPr>
        <w:t xml:space="preserve"> 2022 </w:t>
      </w:r>
      <w:r w:rsidRPr="003337B9">
        <w:rPr>
          <w:rFonts w:eastAsia="Calibri" w:cs="GHEA Grapalat"/>
          <w:b w:val="0"/>
          <w:szCs w:val="22"/>
          <w:lang w:val="hy-AM" w:eastAsia="en-US"/>
        </w:rPr>
        <w:t>թվականի</w:t>
      </w:r>
      <w:r w:rsidRPr="003337B9">
        <w:rPr>
          <w:rFonts w:eastAsia="Calibri" w:cs="GHEA Grapalat"/>
          <w:b w:val="0"/>
          <w:szCs w:val="22"/>
          <w:lang w:val="af-ZA" w:eastAsia="en-US"/>
        </w:rPr>
        <w:t xml:space="preserve"> փաստացի </w:t>
      </w:r>
      <w:r w:rsidRPr="003337B9">
        <w:rPr>
          <w:rFonts w:eastAsia="Calibri" w:cs="GHEA Grapalat"/>
          <w:b w:val="0"/>
          <w:szCs w:val="22"/>
          <w:lang w:val="hy-AM" w:eastAsia="en-US"/>
        </w:rPr>
        <w:t>ցուցանիշը</w:t>
      </w:r>
      <w:r w:rsidRPr="003337B9">
        <w:rPr>
          <w:rFonts w:eastAsia="Calibri" w:cs="GHEA Grapalat"/>
          <w:b w:val="0"/>
          <w:szCs w:val="22"/>
          <w:lang w:val="af-ZA" w:eastAsia="en-US"/>
        </w:rPr>
        <w:t xml:space="preserve"> 52</w:t>
      </w:r>
      <w:r w:rsidR="00313D85">
        <w:rPr>
          <w:rFonts w:eastAsia="Calibri" w:cs="GHEA Grapalat"/>
          <w:b w:val="0"/>
          <w:szCs w:val="22"/>
          <w:lang w:val="af-ZA" w:eastAsia="en-US"/>
        </w:rPr>
        <w:t>.0</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մլրդ</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դրամ</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է</w:t>
      </w:r>
      <w:r w:rsidRPr="003337B9">
        <w:rPr>
          <w:rFonts w:eastAsia="Calibri" w:cs="GHEA Grapalat"/>
          <w:b w:val="0"/>
          <w:szCs w:val="22"/>
          <w:lang w:val="af-ZA" w:eastAsia="en-US"/>
        </w:rPr>
        <w:t xml:space="preserve">: </w:t>
      </w:r>
    </w:p>
    <w:p w14:paraId="449C7DE2" w14:textId="77777777" w:rsidR="003337B9" w:rsidRPr="003337B9" w:rsidRDefault="003337B9" w:rsidP="00701F87">
      <w:pPr>
        <w:rPr>
          <w:rFonts w:eastAsia="Calibri" w:cs="GHEA Grapalat"/>
          <w:b w:val="0"/>
          <w:szCs w:val="22"/>
          <w:lang w:val="af-ZA" w:eastAsia="en-US"/>
        </w:rPr>
      </w:pPr>
      <w:r w:rsidRPr="003337B9">
        <w:rPr>
          <w:rFonts w:eastAsia="Calibri" w:cs="GHEA Grapalat"/>
          <w:b w:val="0"/>
          <w:szCs w:val="22"/>
          <w:lang w:val="af-ZA" w:eastAsia="en-US"/>
        </w:rPr>
        <w:lastRenderedPageBreak/>
        <w:t xml:space="preserve">2023 թվականի փետրվարի 1-ից ուժի մեջ է մտել </w:t>
      </w:r>
      <w:r w:rsidRPr="003337B9">
        <w:rPr>
          <w:rFonts w:eastAsia="Calibri" w:cs="GHEA Grapalat"/>
          <w:b w:val="0"/>
          <w:szCs w:val="22"/>
          <w:lang w:val="hy-AM" w:eastAsia="en-US"/>
        </w:rPr>
        <w:t>«Պետական տուրքի մասին» Հայաստանի Հանրապետության օրենքում փոփոխություններ</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և</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լրացումներ</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 xml:space="preserve">կատարելու մասին» </w:t>
      </w:r>
      <w:r w:rsidRPr="003337B9">
        <w:rPr>
          <w:rFonts w:eastAsia="Calibri" w:cs="GHEA Grapalat"/>
          <w:b w:val="0"/>
          <w:szCs w:val="22"/>
          <w:lang w:val="af-ZA" w:eastAsia="en-US"/>
        </w:rPr>
        <w:t>07.07.2022</w:t>
      </w:r>
      <w:r w:rsidRPr="003337B9">
        <w:rPr>
          <w:rFonts w:eastAsia="Calibri" w:cs="GHEA Grapalat"/>
          <w:b w:val="0"/>
          <w:szCs w:val="22"/>
          <w:lang w:val="hy-AM" w:eastAsia="en-US"/>
        </w:rPr>
        <w:t>թ</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ՀՕ</w:t>
      </w:r>
      <w:r w:rsidRPr="003337B9">
        <w:rPr>
          <w:rFonts w:eastAsia="Calibri" w:cs="GHEA Grapalat"/>
          <w:b w:val="0"/>
          <w:szCs w:val="22"/>
          <w:lang w:val="af-ZA" w:eastAsia="en-US"/>
        </w:rPr>
        <w:t>-321-</w:t>
      </w:r>
      <w:r w:rsidRPr="003337B9">
        <w:rPr>
          <w:rFonts w:eastAsia="Calibri" w:cs="GHEA Grapalat"/>
          <w:b w:val="0"/>
          <w:szCs w:val="22"/>
          <w:lang w:val="hy-AM" w:eastAsia="en-US"/>
        </w:rPr>
        <w:t>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օրենքը</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որով</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սահմանվում</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են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պետական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տուրքեր</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ստորերկրյա</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քաղցրահամ</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ջրերի</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օգտագործման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թույլտվությունների</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տրամադրման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համար</w:t>
      </w:r>
      <w:r w:rsidRPr="003337B9">
        <w:rPr>
          <w:rFonts w:eastAsia="Calibri" w:cs="GHEA Grapalat"/>
          <w:b w:val="0"/>
          <w:szCs w:val="22"/>
          <w:lang w:val="af-ZA" w:eastAsia="en-US"/>
        </w:rPr>
        <w:t>:</w:t>
      </w:r>
    </w:p>
    <w:p w14:paraId="42962759" w14:textId="77777777" w:rsidR="003337B9" w:rsidRPr="003337B9" w:rsidRDefault="003337B9" w:rsidP="00701F87">
      <w:pPr>
        <w:rPr>
          <w:rFonts w:eastAsia="Calibri" w:cs="GHEA Grapalat"/>
          <w:b w:val="0"/>
          <w:szCs w:val="22"/>
          <w:lang w:val="af-ZA" w:eastAsia="en-US"/>
        </w:rPr>
      </w:pPr>
      <w:r w:rsidRPr="003337B9">
        <w:rPr>
          <w:rFonts w:eastAsia="Calibri" w:cs="GHEA Grapalat"/>
          <w:b w:val="0"/>
          <w:szCs w:val="22"/>
          <w:lang w:val="af-ZA" w:eastAsia="en-US"/>
        </w:rPr>
        <w:t xml:space="preserve">2023 թվականի հուլիսի 1-ից ուժի մեջ է մտել </w:t>
      </w:r>
      <w:r w:rsidRPr="003337B9">
        <w:rPr>
          <w:rFonts w:eastAsia="Calibri" w:cs="GHEA Grapalat"/>
          <w:b w:val="0"/>
          <w:szCs w:val="22"/>
          <w:lang w:val="hy-AM" w:eastAsia="en-US"/>
        </w:rPr>
        <w:t>«Պետական տուրքի մասին» օրենքում լրացում և փոփոխություն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 xml:space="preserve">կատարելու մասին» </w:t>
      </w:r>
      <w:r w:rsidRPr="003337B9">
        <w:rPr>
          <w:rFonts w:eastAsia="Calibri" w:cs="GHEA Grapalat"/>
          <w:b w:val="0"/>
          <w:szCs w:val="22"/>
          <w:lang w:val="af-ZA" w:eastAsia="en-US"/>
        </w:rPr>
        <w:t>26.12.2022</w:t>
      </w:r>
      <w:r w:rsidRPr="003337B9">
        <w:rPr>
          <w:rFonts w:eastAsia="Calibri" w:cs="GHEA Grapalat"/>
          <w:b w:val="0"/>
          <w:szCs w:val="22"/>
          <w:lang w:val="hy-AM" w:eastAsia="en-US"/>
        </w:rPr>
        <w:t>թ</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ՀՕ</w:t>
      </w:r>
      <w:r w:rsidRPr="003337B9">
        <w:rPr>
          <w:rFonts w:eastAsia="Calibri" w:cs="GHEA Grapalat"/>
          <w:b w:val="0"/>
          <w:szCs w:val="22"/>
          <w:lang w:val="af-ZA" w:eastAsia="en-US"/>
        </w:rPr>
        <w:t>-572-</w:t>
      </w:r>
      <w:r w:rsidRPr="003337B9">
        <w:rPr>
          <w:rFonts w:eastAsia="Calibri" w:cs="GHEA Grapalat"/>
          <w:b w:val="0"/>
          <w:szCs w:val="22"/>
          <w:lang w:val="hy-AM" w:eastAsia="en-US"/>
        </w:rPr>
        <w:t>Ն</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օրենքը</w:t>
      </w:r>
      <w:r w:rsidRPr="003337B9">
        <w:rPr>
          <w:rFonts w:eastAsia="Calibri" w:cs="GHEA Grapalat"/>
          <w:b w:val="0"/>
          <w:szCs w:val="22"/>
          <w:lang w:val="af-ZA" w:eastAsia="en-US"/>
        </w:rPr>
        <w:t xml:space="preserve">, </w:t>
      </w:r>
      <w:r w:rsidRPr="003337B9">
        <w:rPr>
          <w:rFonts w:eastAsia="Calibri" w:cs="GHEA Grapalat"/>
          <w:b w:val="0"/>
          <w:szCs w:val="22"/>
          <w:lang w:val="hy-AM" w:eastAsia="en-US"/>
        </w:rPr>
        <w:t>որ</w:t>
      </w:r>
      <w:r w:rsidRPr="003337B9">
        <w:rPr>
          <w:rFonts w:eastAsia="Calibri" w:cs="GHEA Grapalat"/>
          <w:b w:val="0"/>
          <w:szCs w:val="22"/>
          <w:lang w:val="en-US" w:eastAsia="en-US"/>
        </w:rPr>
        <w:t>ի</w:t>
      </w:r>
      <w:r w:rsidRPr="003337B9">
        <w:rPr>
          <w:rFonts w:eastAsia="Calibri" w:cs="GHEA Grapalat"/>
          <w:b w:val="0"/>
          <w:szCs w:val="22"/>
          <w:lang w:val="af-ZA" w:eastAsia="en-US"/>
        </w:rPr>
        <w:t xml:space="preserve"> </w:t>
      </w:r>
      <w:r w:rsidRPr="003337B9">
        <w:rPr>
          <w:rFonts w:eastAsia="Calibri" w:cs="GHEA Grapalat"/>
          <w:b w:val="0"/>
          <w:szCs w:val="22"/>
          <w:lang w:val="en-US" w:eastAsia="en-US"/>
        </w:rPr>
        <w:t>համաձայն</w:t>
      </w:r>
      <w:r w:rsidRPr="003337B9">
        <w:rPr>
          <w:rFonts w:eastAsia="Calibri" w:cs="GHEA Grapalat"/>
          <w:b w:val="0"/>
          <w:szCs w:val="22"/>
          <w:lang w:val="af-ZA" w:eastAsia="en-US"/>
        </w:rPr>
        <w:t xml:space="preserve"> ինտերնետ շահումով խաղերի կազմակերպչի կողմից յուրաքանչյուր 100</w:t>
      </w:r>
      <w:r w:rsidR="00313D85">
        <w:rPr>
          <w:rFonts w:eastAsia="Calibri" w:cs="GHEA Grapalat"/>
          <w:b w:val="0"/>
          <w:szCs w:val="22"/>
          <w:lang w:val="af-ZA" w:eastAsia="en-US"/>
        </w:rPr>
        <w:t>.0</w:t>
      </w:r>
      <w:r w:rsidRPr="003337B9">
        <w:rPr>
          <w:rFonts w:eastAsia="Calibri" w:cs="GHEA Grapalat"/>
          <w:b w:val="0"/>
          <w:szCs w:val="22"/>
          <w:lang w:val="af-ZA" w:eastAsia="en-US"/>
        </w:rPr>
        <w:t xml:space="preserve"> մլրդ. դրամի չափով խաղադրույք ընդունելու իրավունք ձեռք բերելու համար վճարվում է 175</w:t>
      </w:r>
      <w:r w:rsidR="00313D85">
        <w:rPr>
          <w:rFonts w:eastAsia="Calibri" w:cs="GHEA Grapalat"/>
          <w:b w:val="0"/>
          <w:szCs w:val="22"/>
          <w:lang w:val="af-ZA" w:eastAsia="en-US"/>
        </w:rPr>
        <w:t>,</w:t>
      </w:r>
      <w:r w:rsidRPr="003337B9">
        <w:rPr>
          <w:rFonts w:eastAsia="Calibri" w:cs="GHEA Grapalat"/>
          <w:b w:val="0"/>
          <w:szCs w:val="22"/>
          <w:lang w:val="af-ZA" w:eastAsia="en-US"/>
        </w:rPr>
        <w:t>000.0 հազար. դրամի չափով պետական տուրք և (կամ) տոտալիզատորի (ինտերնետ տոտալիզատորի) կազմակերպչի կողմից յուրաքանչյուր 50</w:t>
      </w:r>
      <w:r w:rsidR="00313D85">
        <w:rPr>
          <w:rFonts w:eastAsia="Calibri" w:cs="GHEA Grapalat"/>
          <w:b w:val="0"/>
          <w:szCs w:val="22"/>
          <w:lang w:val="af-ZA" w:eastAsia="en-US"/>
        </w:rPr>
        <w:t>.0</w:t>
      </w:r>
      <w:r w:rsidRPr="003337B9">
        <w:rPr>
          <w:rFonts w:eastAsia="Calibri" w:cs="GHEA Grapalat"/>
          <w:b w:val="0"/>
          <w:szCs w:val="22"/>
          <w:lang w:val="af-ZA" w:eastAsia="en-US"/>
        </w:rPr>
        <w:t xml:space="preserve"> մլրդ դրամի չափով խաղադրույք ընդունելու իրավունք ձեռք բերելու համար՝ 50</w:t>
      </w:r>
      <w:r w:rsidR="00313D85">
        <w:rPr>
          <w:rFonts w:eastAsia="Calibri" w:cs="GHEA Grapalat"/>
          <w:b w:val="0"/>
          <w:szCs w:val="22"/>
          <w:lang w:val="af-ZA" w:eastAsia="en-US"/>
        </w:rPr>
        <w:t>,</w:t>
      </w:r>
      <w:r w:rsidRPr="003337B9">
        <w:rPr>
          <w:rFonts w:eastAsia="Calibri" w:cs="GHEA Grapalat"/>
          <w:b w:val="0"/>
          <w:szCs w:val="22"/>
          <w:lang w:val="af-ZA" w:eastAsia="en-US"/>
        </w:rPr>
        <w:t xml:space="preserve">000.0 հազ. դրամի չափով պետական տուրք: </w:t>
      </w:r>
    </w:p>
    <w:p w14:paraId="15705435" w14:textId="77777777" w:rsidR="003337B9" w:rsidRPr="003337B9" w:rsidRDefault="003337B9" w:rsidP="00701F87">
      <w:pPr>
        <w:rPr>
          <w:rFonts w:cs="Sylfaen"/>
          <w:b w:val="0"/>
          <w:iCs/>
          <w:szCs w:val="22"/>
          <w:lang w:val="af-ZA" w:eastAsia="en-GB"/>
        </w:rPr>
      </w:pPr>
      <w:r w:rsidRPr="003337B9">
        <w:rPr>
          <w:rFonts w:eastAsia="Calibri"/>
          <w:b w:val="0"/>
          <w:szCs w:val="22"/>
          <w:lang w:val="hy-AM" w:eastAsia="en-US"/>
        </w:rPr>
        <w:t xml:space="preserve">Պետական տուրքի </w:t>
      </w:r>
      <w:r w:rsidRPr="003337B9">
        <w:rPr>
          <w:rFonts w:cs="Sylfaen"/>
          <w:b w:val="0"/>
          <w:iCs/>
          <w:szCs w:val="22"/>
          <w:lang w:val="af-ZA" w:eastAsia="en-GB"/>
        </w:rPr>
        <w:t>գծով փաստացի/կանխատեսումային ցուցանիշների ընդհանուր պատկերն ըստ եկամտի հիմնական աղբյուրների հետևյալն է.</w:t>
      </w:r>
    </w:p>
    <w:p w14:paraId="115B24B0" w14:textId="77777777" w:rsidR="003337B9" w:rsidRPr="003337B9" w:rsidRDefault="003337B9" w:rsidP="00701F87">
      <w:pPr>
        <w:spacing w:line="240" w:lineRule="auto"/>
        <w:rPr>
          <w:b w:val="0"/>
          <w:bCs/>
          <w:szCs w:val="22"/>
          <w:lang w:val="hy-AM"/>
        </w:rPr>
      </w:pPr>
    </w:p>
    <w:p w14:paraId="709B2696" w14:textId="280DC6A1" w:rsidR="003337B9" w:rsidRPr="00701F87" w:rsidRDefault="003337B9" w:rsidP="003337B9">
      <w:pPr>
        <w:spacing w:after="200"/>
        <w:rPr>
          <w:b w:val="0"/>
          <w:bCs/>
          <w:szCs w:val="22"/>
          <w:lang w:val="hy-AM"/>
        </w:rPr>
      </w:pPr>
      <w:bookmarkStart w:id="224" w:name="_Toc152324768"/>
      <w:r w:rsidRPr="00701F87">
        <w:rPr>
          <w:bCs/>
          <w:szCs w:val="22"/>
          <w:lang w:val="hy-AM"/>
        </w:rPr>
        <w:t xml:space="preserve">Աղյուսակ </w:t>
      </w:r>
      <w:r w:rsidRPr="00701F87">
        <w:rPr>
          <w:bCs/>
          <w:szCs w:val="22"/>
          <w:lang w:val="hy-AM"/>
        </w:rPr>
        <w:fldChar w:fldCharType="begin"/>
      </w:r>
      <w:r w:rsidRPr="00701F87">
        <w:rPr>
          <w:bCs/>
          <w:szCs w:val="22"/>
          <w:lang w:val="hy-AM"/>
        </w:rPr>
        <w:instrText xml:space="preserve"> SEQ Աղյուսակ \* ARABIC </w:instrText>
      </w:r>
      <w:r w:rsidRPr="00701F87">
        <w:rPr>
          <w:bCs/>
          <w:szCs w:val="22"/>
          <w:lang w:val="hy-AM"/>
        </w:rPr>
        <w:fldChar w:fldCharType="separate"/>
      </w:r>
      <w:r w:rsidR="00DB4E68">
        <w:rPr>
          <w:bCs/>
          <w:noProof/>
          <w:szCs w:val="22"/>
          <w:lang w:val="hy-AM"/>
        </w:rPr>
        <w:t>6</w:t>
      </w:r>
      <w:r w:rsidRPr="00701F87">
        <w:rPr>
          <w:bCs/>
          <w:szCs w:val="22"/>
          <w:lang w:val="hy-AM"/>
        </w:rPr>
        <w:fldChar w:fldCharType="end"/>
      </w:r>
      <w:r w:rsidRPr="00701F87">
        <w:rPr>
          <w:bCs/>
          <w:szCs w:val="22"/>
          <w:lang w:val="hy-AM"/>
        </w:rPr>
        <w:t>.</w:t>
      </w:r>
      <w:r w:rsidRPr="00701F87">
        <w:rPr>
          <w:b w:val="0"/>
          <w:bCs/>
          <w:szCs w:val="22"/>
          <w:lang w:val="hy-AM"/>
        </w:rPr>
        <w:t xml:space="preserve"> Պետական տուրքերի կազմում հաշվառվող եկամտատեսակների գծով ՀՀ 2020-2024թթ փաստացի/կանխատեսումային ցուցանիշները, մլրդ դրամ</w:t>
      </w:r>
      <w:bookmarkEnd w:id="224"/>
    </w:p>
    <w:p w14:paraId="0B24409B" w14:textId="77777777" w:rsidR="003337B9" w:rsidRPr="003337B9" w:rsidRDefault="003337B9" w:rsidP="003337B9">
      <w:pPr>
        <w:spacing w:after="200"/>
        <w:rPr>
          <w:b w:val="0"/>
          <w:bCs/>
          <w:sz w:val="20"/>
          <w:szCs w:val="20"/>
          <w:lang w:val="hy-AM"/>
        </w:rPr>
      </w:pPr>
    </w:p>
    <w:tbl>
      <w:tblPr>
        <w:tblW w:w="9720" w:type="dxa"/>
        <w:tblLayout w:type="fixed"/>
        <w:tblLook w:val="04A0" w:firstRow="1" w:lastRow="0" w:firstColumn="1" w:lastColumn="0" w:noHBand="0" w:noVBand="1"/>
      </w:tblPr>
      <w:tblGrid>
        <w:gridCol w:w="5489"/>
        <w:gridCol w:w="900"/>
        <w:gridCol w:w="720"/>
        <w:gridCol w:w="686"/>
        <w:gridCol w:w="755"/>
        <w:gridCol w:w="1170"/>
      </w:tblGrid>
      <w:tr w:rsidR="003337B9" w:rsidRPr="003337B9" w14:paraId="69CE9744" w14:textId="77777777" w:rsidTr="00970721">
        <w:trPr>
          <w:trHeight w:val="315"/>
        </w:trPr>
        <w:tc>
          <w:tcPr>
            <w:tcW w:w="5489" w:type="dxa"/>
            <w:vMerge w:val="restart"/>
            <w:tcBorders>
              <w:top w:val="nil"/>
              <w:left w:val="nil"/>
              <w:bottom w:val="nil"/>
              <w:right w:val="nil"/>
            </w:tcBorders>
            <w:shd w:val="clear" w:color="000000" w:fill="FFFFFF"/>
            <w:noWrap/>
            <w:vAlign w:val="center"/>
            <w:hideMark/>
          </w:tcPr>
          <w:p w14:paraId="08CF3462"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Պետական տուրքեր</w:t>
            </w:r>
          </w:p>
        </w:tc>
        <w:tc>
          <w:tcPr>
            <w:tcW w:w="2306" w:type="dxa"/>
            <w:gridSpan w:val="3"/>
            <w:tcBorders>
              <w:top w:val="nil"/>
              <w:left w:val="nil"/>
              <w:bottom w:val="single" w:sz="8" w:space="0" w:color="auto"/>
              <w:right w:val="nil"/>
            </w:tcBorders>
            <w:shd w:val="clear" w:color="auto" w:fill="auto"/>
            <w:noWrap/>
            <w:vAlign w:val="center"/>
            <w:hideMark/>
          </w:tcPr>
          <w:p w14:paraId="10193E50"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Փաստ</w:t>
            </w:r>
          </w:p>
        </w:tc>
        <w:tc>
          <w:tcPr>
            <w:tcW w:w="755" w:type="dxa"/>
            <w:tcBorders>
              <w:top w:val="nil"/>
              <w:left w:val="nil"/>
              <w:bottom w:val="nil"/>
              <w:right w:val="nil"/>
            </w:tcBorders>
            <w:shd w:val="clear" w:color="auto" w:fill="auto"/>
            <w:noWrap/>
            <w:vAlign w:val="center"/>
            <w:hideMark/>
          </w:tcPr>
          <w:p w14:paraId="33784B12"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Բյուջե</w:t>
            </w:r>
          </w:p>
        </w:tc>
        <w:tc>
          <w:tcPr>
            <w:tcW w:w="1170" w:type="dxa"/>
            <w:tcBorders>
              <w:top w:val="nil"/>
              <w:left w:val="nil"/>
              <w:bottom w:val="single" w:sz="8" w:space="0" w:color="auto"/>
              <w:right w:val="nil"/>
            </w:tcBorders>
            <w:shd w:val="clear" w:color="auto" w:fill="auto"/>
            <w:noWrap/>
            <w:vAlign w:val="center"/>
            <w:hideMark/>
          </w:tcPr>
          <w:p w14:paraId="28E4BA5F" w14:textId="000B45CC" w:rsidR="003337B9" w:rsidRPr="009813D2" w:rsidRDefault="009813D2" w:rsidP="003337B9">
            <w:pPr>
              <w:spacing w:before="0" w:line="240" w:lineRule="auto"/>
              <w:jc w:val="center"/>
              <w:rPr>
                <w:rFonts w:cs="Calibri"/>
                <w:b w:val="0"/>
                <w:color w:val="000000"/>
                <w:sz w:val="18"/>
                <w:szCs w:val="18"/>
                <w:lang w:val="hy-AM" w:eastAsia="en-US"/>
              </w:rPr>
            </w:pPr>
            <w:r>
              <w:rPr>
                <w:rFonts w:cs="Calibri"/>
                <w:b w:val="0"/>
                <w:color w:val="000000"/>
                <w:sz w:val="18"/>
                <w:szCs w:val="18"/>
                <w:lang w:val="hy-AM" w:eastAsia="en-US"/>
              </w:rPr>
              <w:t>ծրագիր</w:t>
            </w:r>
          </w:p>
        </w:tc>
      </w:tr>
      <w:tr w:rsidR="003337B9" w:rsidRPr="003337B9" w14:paraId="0AE1C053" w14:textId="77777777" w:rsidTr="00970721">
        <w:trPr>
          <w:trHeight w:val="300"/>
        </w:trPr>
        <w:tc>
          <w:tcPr>
            <w:tcW w:w="5489" w:type="dxa"/>
            <w:vMerge/>
            <w:tcBorders>
              <w:top w:val="nil"/>
              <w:left w:val="nil"/>
              <w:bottom w:val="single" w:sz="4" w:space="0" w:color="auto"/>
              <w:right w:val="nil"/>
            </w:tcBorders>
            <w:vAlign w:val="center"/>
            <w:hideMark/>
          </w:tcPr>
          <w:p w14:paraId="358DF3DB" w14:textId="77777777" w:rsidR="003337B9" w:rsidRPr="003337B9" w:rsidRDefault="003337B9" w:rsidP="003337B9">
            <w:pPr>
              <w:spacing w:before="0" w:line="240" w:lineRule="auto"/>
              <w:jc w:val="left"/>
              <w:rPr>
                <w:rFonts w:cs="Calibri"/>
                <w:b w:val="0"/>
                <w:color w:val="000000"/>
                <w:sz w:val="18"/>
                <w:szCs w:val="18"/>
                <w:lang w:val="en-US" w:eastAsia="en-US"/>
              </w:rPr>
            </w:pPr>
          </w:p>
        </w:tc>
        <w:tc>
          <w:tcPr>
            <w:tcW w:w="900" w:type="dxa"/>
            <w:tcBorders>
              <w:top w:val="nil"/>
              <w:left w:val="nil"/>
              <w:bottom w:val="single" w:sz="4" w:space="0" w:color="auto"/>
              <w:right w:val="nil"/>
            </w:tcBorders>
            <w:shd w:val="clear" w:color="auto" w:fill="auto"/>
            <w:noWrap/>
            <w:vAlign w:val="center"/>
            <w:hideMark/>
          </w:tcPr>
          <w:p w14:paraId="21D0DE78"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2020</w:t>
            </w:r>
          </w:p>
        </w:tc>
        <w:tc>
          <w:tcPr>
            <w:tcW w:w="720" w:type="dxa"/>
            <w:tcBorders>
              <w:top w:val="nil"/>
              <w:left w:val="nil"/>
              <w:bottom w:val="single" w:sz="4" w:space="0" w:color="auto"/>
              <w:right w:val="nil"/>
            </w:tcBorders>
            <w:shd w:val="clear" w:color="auto" w:fill="auto"/>
            <w:noWrap/>
            <w:vAlign w:val="center"/>
            <w:hideMark/>
          </w:tcPr>
          <w:p w14:paraId="64F36720"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2021</w:t>
            </w:r>
          </w:p>
        </w:tc>
        <w:tc>
          <w:tcPr>
            <w:tcW w:w="686" w:type="dxa"/>
            <w:tcBorders>
              <w:top w:val="nil"/>
              <w:left w:val="nil"/>
              <w:bottom w:val="single" w:sz="4" w:space="0" w:color="auto"/>
              <w:right w:val="nil"/>
            </w:tcBorders>
            <w:shd w:val="clear" w:color="auto" w:fill="auto"/>
            <w:noWrap/>
            <w:vAlign w:val="center"/>
            <w:hideMark/>
          </w:tcPr>
          <w:p w14:paraId="68C8260B"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2022</w:t>
            </w:r>
          </w:p>
        </w:tc>
        <w:tc>
          <w:tcPr>
            <w:tcW w:w="755" w:type="dxa"/>
            <w:tcBorders>
              <w:top w:val="nil"/>
              <w:left w:val="nil"/>
              <w:bottom w:val="single" w:sz="4" w:space="0" w:color="auto"/>
              <w:right w:val="nil"/>
            </w:tcBorders>
            <w:shd w:val="clear" w:color="auto" w:fill="auto"/>
            <w:noWrap/>
            <w:vAlign w:val="center"/>
            <w:hideMark/>
          </w:tcPr>
          <w:p w14:paraId="616851A8"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2023</w:t>
            </w:r>
          </w:p>
        </w:tc>
        <w:tc>
          <w:tcPr>
            <w:tcW w:w="1170" w:type="dxa"/>
            <w:tcBorders>
              <w:top w:val="nil"/>
              <w:left w:val="nil"/>
              <w:bottom w:val="single" w:sz="4" w:space="0" w:color="auto"/>
              <w:right w:val="nil"/>
            </w:tcBorders>
            <w:shd w:val="clear" w:color="auto" w:fill="auto"/>
            <w:noWrap/>
            <w:vAlign w:val="center"/>
            <w:hideMark/>
          </w:tcPr>
          <w:p w14:paraId="7A1175D1" w14:textId="77777777" w:rsidR="003337B9" w:rsidRPr="003337B9" w:rsidRDefault="003337B9" w:rsidP="003337B9">
            <w:pPr>
              <w:spacing w:before="0" w:line="240" w:lineRule="auto"/>
              <w:jc w:val="center"/>
              <w:rPr>
                <w:rFonts w:cs="Calibri"/>
                <w:b w:val="0"/>
                <w:color w:val="000000"/>
                <w:sz w:val="18"/>
                <w:szCs w:val="18"/>
                <w:lang w:val="en-US" w:eastAsia="en-US"/>
              </w:rPr>
            </w:pPr>
            <w:r w:rsidRPr="003337B9">
              <w:rPr>
                <w:rFonts w:cs="Calibri"/>
                <w:b w:val="0"/>
                <w:color w:val="000000"/>
                <w:sz w:val="18"/>
                <w:szCs w:val="18"/>
                <w:lang w:val="en-US" w:eastAsia="en-US"/>
              </w:rPr>
              <w:t>2024</w:t>
            </w:r>
          </w:p>
        </w:tc>
      </w:tr>
      <w:tr w:rsidR="003337B9" w:rsidRPr="003337B9" w14:paraId="2FC20249" w14:textId="77777777" w:rsidTr="00970721">
        <w:trPr>
          <w:trHeight w:val="1050"/>
        </w:trPr>
        <w:tc>
          <w:tcPr>
            <w:tcW w:w="5489" w:type="dxa"/>
            <w:tcBorders>
              <w:top w:val="single" w:sz="4" w:space="0" w:color="auto"/>
              <w:left w:val="nil"/>
              <w:bottom w:val="single" w:sz="4" w:space="0" w:color="auto"/>
              <w:right w:val="nil"/>
            </w:tcBorders>
            <w:shd w:val="clear" w:color="000000" w:fill="FFFFFF"/>
            <w:vAlign w:val="center"/>
            <w:hideMark/>
          </w:tcPr>
          <w:p w14:paraId="119BEB20" w14:textId="77777777" w:rsidR="003337B9" w:rsidRPr="003337B9" w:rsidRDefault="003337B9" w:rsidP="003337B9">
            <w:pPr>
              <w:spacing w:before="0" w:line="240" w:lineRule="auto"/>
              <w:jc w:val="left"/>
              <w:rPr>
                <w:rFonts w:cs="Calibri"/>
                <w:b w:val="0"/>
                <w:color w:val="000000"/>
                <w:sz w:val="18"/>
                <w:szCs w:val="18"/>
                <w:lang w:val="en-US" w:eastAsia="en-US"/>
              </w:rPr>
            </w:pPr>
            <w:r w:rsidRPr="003337B9">
              <w:rPr>
                <w:rFonts w:cs="Calibri"/>
                <w:b w:val="0"/>
                <w:bCs/>
                <w:color w:val="000000"/>
                <w:sz w:val="18"/>
                <w:szCs w:val="18"/>
                <w:lang w:val="en-US" w:eastAsia="en-US"/>
              </w:rPr>
              <w:t xml:space="preserve">Ընդամենը այդ թվում`    </w:t>
            </w:r>
          </w:p>
        </w:tc>
        <w:tc>
          <w:tcPr>
            <w:tcW w:w="900" w:type="dxa"/>
            <w:tcBorders>
              <w:top w:val="single" w:sz="4" w:space="0" w:color="auto"/>
              <w:left w:val="nil"/>
              <w:bottom w:val="single" w:sz="4" w:space="0" w:color="auto"/>
              <w:right w:val="nil"/>
            </w:tcBorders>
            <w:shd w:val="clear" w:color="000000" w:fill="FFFFFF"/>
            <w:noWrap/>
            <w:vAlign w:val="center"/>
            <w:hideMark/>
          </w:tcPr>
          <w:p w14:paraId="2597DC3B"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33.2</w:t>
            </w:r>
          </w:p>
        </w:tc>
        <w:tc>
          <w:tcPr>
            <w:tcW w:w="720" w:type="dxa"/>
            <w:tcBorders>
              <w:top w:val="single" w:sz="4" w:space="0" w:color="auto"/>
              <w:left w:val="nil"/>
              <w:bottom w:val="single" w:sz="4" w:space="0" w:color="auto"/>
              <w:right w:val="nil"/>
            </w:tcBorders>
            <w:shd w:val="clear" w:color="000000" w:fill="FFFFFF"/>
            <w:noWrap/>
            <w:vAlign w:val="center"/>
            <w:hideMark/>
          </w:tcPr>
          <w:p w14:paraId="4DE8805A"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66.7</w:t>
            </w:r>
          </w:p>
        </w:tc>
        <w:tc>
          <w:tcPr>
            <w:tcW w:w="686" w:type="dxa"/>
            <w:tcBorders>
              <w:top w:val="single" w:sz="4" w:space="0" w:color="auto"/>
              <w:left w:val="nil"/>
              <w:bottom w:val="single" w:sz="4" w:space="0" w:color="auto"/>
              <w:right w:val="nil"/>
            </w:tcBorders>
            <w:shd w:val="clear" w:color="000000" w:fill="FFFFFF"/>
            <w:noWrap/>
            <w:vAlign w:val="center"/>
            <w:hideMark/>
          </w:tcPr>
          <w:p w14:paraId="6B90CA05"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106.4</w:t>
            </w:r>
          </w:p>
        </w:tc>
        <w:tc>
          <w:tcPr>
            <w:tcW w:w="755" w:type="dxa"/>
            <w:tcBorders>
              <w:top w:val="single" w:sz="4" w:space="0" w:color="auto"/>
              <w:left w:val="nil"/>
              <w:bottom w:val="single" w:sz="4" w:space="0" w:color="auto"/>
              <w:right w:val="nil"/>
            </w:tcBorders>
            <w:shd w:val="clear" w:color="000000" w:fill="FFFFFF"/>
            <w:noWrap/>
            <w:vAlign w:val="center"/>
            <w:hideMark/>
          </w:tcPr>
          <w:p w14:paraId="2CA30D0A"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52.2</w:t>
            </w:r>
          </w:p>
        </w:tc>
        <w:tc>
          <w:tcPr>
            <w:tcW w:w="1170" w:type="dxa"/>
            <w:tcBorders>
              <w:top w:val="single" w:sz="4" w:space="0" w:color="auto"/>
              <w:left w:val="nil"/>
              <w:bottom w:val="single" w:sz="4" w:space="0" w:color="auto"/>
              <w:right w:val="nil"/>
            </w:tcBorders>
            <w:shd w:val="clear" w:color="000000" w:fill="FFFFFF"/>
            <w:noWrap/>
            <w:vAlign w:val="center"/>
            <w:hideMark/>
          </w:tcPr>
          <w:p w14:paraId="06380FC7"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62.6</w:t>
            </w:r>
          </w:p>
        </w:tc>
      </w:tr>
      <w:tr w:rsidR="003337B9" w:rsidRPr="003337B9" w14:paraId="4CE529CD" w14:textId="77777777" w:rsidTr="00970721">
        <w:trPr>
          <w:trHeight w:val="2205"/>
        </w:trPr>
        <w:tc>
          <w:tcPr>
            <w:tcW w:w="5489" w:type="dxa"/>
            <w:tcBorders>
              <w:top w:val="single" w:sz="4" w:space="0" w:color="auto"/>
              <w:left w:val="nil"/>
              <w:bottom w:val="nil"/>
              <w:right w:val="nil"/>
            </w:tcBorders>
            <w:shd w:val="clear" w:color="000000" w:fill="FFFFFF"/>
            <w:vAlign w:val="center"/>
            <w:hideMark/>
          </w:tcPr>
          <w:p w14:paraId="40DE7ED0" w14:textId="77777777" w:rsidR="003337B9" w:rsidRPr="00E960A7" w:rsidRDefault="003337B9" w:rsidP="003337B9">
            <w:pPr>
              <w:spacing w:before="0" w:line="240" w:lineRule="auto"/>
              <w:jc w:val="left"/>
              <w:rPr>
                <w:rFonts w:cs="Calibri"/>
                <w:b w:val="0"/>
                <w:color w:val="000000"/>
                <w:sz w:val="18"/>
                <w:szCs w:val="18"/>
                <w:lang w:eastAsia="en-US"/>
              </w:rPr>
            </w:pPr>
            <w:r w:rsidRPr="00E960A7">
              <w:rPr>
                <w:rFonts w:cs="Calibri"/>
                <w:b w:val="0"/>
                <w:bCs/>
                <w:color w:val="000000"/>
                <w:sz w:val="18"/>
                <w:szCs w:val="18"/>
                <w:lang w:eastAsia="en-US"/>
              </w:rPr>
              <w:t xml:space="preserve">1. </w:t>
            </w:r>
            <w:r w:rsidRPr="003337B9">
              <w:rPr>
                <w:rFonts w:cs="Calibri"/>
                <w:b w:val="0"/>
                <w:bCs/>
                <w:color w:val="000000"/>
                <w:sz w:val="18"/>
                <w:szCs w:val="18"/>
                <w:lang w:eastAsia="en-US"/>
              </w:rPr>
              <w:t>Դատարան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տրվող</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հայցադիմումների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դիմումների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դատարանի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դատական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ակտերի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դեմ</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վերաքննիչ</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և</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վճռաբեկ</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բողոքների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համար</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ինչպես</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նաև</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դատարանի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կողմից</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տրվող</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փաստաթղթերի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պատճեններ</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կրկնօրինակներ</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գործում</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առկա</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լուսանկարների</w:t>
            </w:r>
            <w:r w:rsidRPr="003337B9">
              <w:rPr>
                <w:rFonts w:ascii="Calibri" w:hAnsi="Calibri" w:cs="Calibri"/>
                <w:b w:val="0"/>
                <w:color w:val="000000"/>
                <w:sz w:val="18"/>
                <w:szCs w:val="18"/>
                <w:lang w:val="en-US" w:eastAsia="en-US"/>
              </w:rPr>
              <w:t> </w:t>
            </w:r>
            <w:r w:rsidRPr="00E960A7">
              <w:rPr>
                <w:rFonts w:cs="Calibri"/>
                <w:b w:val="0"/>
                <w:color w:val="000000"/>
                <w:sz w:val="18"/>
                <w:szCs w:val="18"/>
                <w:lang w:eastAsia="en-US"/>
              </w:rPr>
              <w:t>(</w:t>
            </w:r>
            <w:r w:rsidRPr="003337B9">
              <w:rPr>
                <w:rFonts w:cs="Calibri"/>
                <w:b w:val="0"/>
                <w:color w:val="000000"/>
                <w:sz w:val="18"/>
                <w:szCs w:val="18"/>
                <w:lang w:eastAsia="en-US"/>
              </w:rPr>
              <w:t>լուսաժապավենների</w:t>
            </w:r>
            <w:r w:rsidRPr="00E960A7">
              <w:rPr>
                <w:rFonts w:cs="Calibri"/>
                <w:b w:val="0"/>
                <w:color w:val="000000"/>
                <w:sz w:val="18"/>
                <w:szCs w:val="18"/>
                <w:lang w:eastAsia="en-US"/>
              </w:rPr>
              <w:t>,</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ձայնագրությունների</w:t>
            </w:r>
            <w:r w:rsidRPr="00E960A7">
              <w:rPr>
                <w:rFonts w:cs="Calibri"/>
                <w:b w:val="0"/>
                <w:color w:val="000000"/>
                <w:sz w:val="18"/>
                <w:szCs w:val="18"/>
                <w:lang w:eastAsia="en-US"/>
              </w:rPr>
              <w:t>,</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տեսագրությունների</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և</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դրանց</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էլեկտրոնային</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կրիչների</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բնօրինակից</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պատճենահանված</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կրիչ</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և</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դատական</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նիստի</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համակարգչային</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ձայնագրման</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կրկնօրինակ</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տալու</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համար</w:t>
            </w:r>
          </w:p>
        </w:tc>
        <w:tc>
          <w:tcPr>
            <w:tcW w:w="900" w:type="dxa"/>
            <w:tcBorders>
              <w:top w:val="single" w:sz="4" w:space="0" w:color="auto"/>
              <w:left w:val="nil"/>
              <w:bottom w:val="nil"/>
              <w:right w:val="nil"/>
            </w:tcBorders>
            <w:shd w:val="clear" w:color="000000" w:fill="FFFFFF"/>
            <w:noWrap/>
            <w:vAlign w:val="center"/>
            <w:hideMark/>
          </w:tcPr>
          <w:p w14:paraId="32B3D8AA"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1.1</w:t>
            </w:r>
          </w:p>
        </w:tc>
        <w:tc>
          <w:tcPr>
            <w:tcW w:w="720" w:type="dxa"/>
            <w:tcBorders>
              <w:top w:val="single" w:sz="4" w:space="0" w:color="auto"/>
              <w:left w:val="nil"/>
              <w:bottom w:val="nil"/>
              <w:right w:val="nil"/>
            </w:tcBorders>
            <w:shd w:val="clear" w:color="000000" w:fill="FFFFFF"/>
            <w:noWrap/>
            <w:vAlign w:val="center"/>
            <w:hideMark/>
          </w:tcPr>
          <w:p w14:paraId="388BC933"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2.2</w:t>
            </w:r>
          </w:p>
        </w:tc>
        <w:tc>
          <w:tcPr>
            <w:tcW w:w="686" w:type="dxa"/>
            <w:tcBorders>
              <w:top w:val="single" w:sz="4" w:space="0" w:color="auto"/>
              <w:left w:val="nil"/>
              <w:bottom w:val="nil"/>
              <w:right w:val="nil"/>
            </w:tcBorders>
            <w:shd w:val="clear" w:color="000000" w:fill="FFFFFF"/>
            <w:noWrap/>
            <w:vAlign w:val="center"/>
            <w:hideMark/>
          </w:tcPr>
          <w:p w14:paraId="65B28264"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2.7</w:t>
            </w:r>
          </w:p>
        </w:tc>
        <w:tc>
          <w:tcPr>
            <w:tcW w:w="755" w:type="dxa"/>
            <w:tcBorders>
              <w:top w:val="single" w:sz="4" w:space="0" w:color="auto"/>
              <w:left w:val="nil"/>
              <w:bottom w:val="nil"/>
              <w:right w:val="nil"/>
            </w:tcBorders>
            <w:shd w:val="clear" w:color="000000" w:fill="FFFFFF"/>
            <w:noWrap/>
            <w:vAlign w:val="center"/>
            <w:hideMark/>
          </w:tcPr>
          <w:p w14:paraId="0C412081"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2.4</w:t>
            </w:r>
          </w:p>
        </w:tc>
        <w:tc>
          <w:tcPr>
            <w:tcW w:w="1170" w:type="dxa"/>
            <w:tcBorders>
              <w:top w:val="single" w:sz="4" w:space="0" w:color="auto"/>
              <w:left w:val="nil"/>
              <w:bottom w:val="nil"/>
              <w:right w:val="nil"/>
            </w:tcBorders>
            <w:shd w:val="clear" w:color="000000" w:fill="FFFFFF"/>
            <w:noWrap/>
            <w:vAlign w:val="center"/>
            <w:hideMark/>
          </w:tcPr>
          <w:p w14:paraId="3988B71A" w14:textId="77777777" w:rsidR="003337B9" w:rsidRPr="003337B9" w:rsidRDefault="003337B9" w:rsidP="00313D85">
            <w:pPr>
              <w:spacing w:before="0" w:line="240" w:lineRule="auto"/>
              <w:jc w:val="center"/>
              <w:rPr>
                <w:rFonts w:cs="Calibri"/>
                <w:b w:val="0"/>
                <w:sz w:val="18"/>
                <w:szCs w:val="18"/>
                <w:lang w:val="en-US" w:eastAsia="en-US"/>
              </w:rPr>
            </w:pPr>
            <w:r w:rsidRPr="003337B9">
              <w:rPr>
                <w:rFonts w:cs="Calibri"/>
                <w:b w:val="0"/>
                <w:sz w:val="18"/>
                <w:szCs w:val="18"/>
                <w:lang w:val="en-US" w:eastAsia="en-US"/>
              </w:rPr>
              <w:t>2.</w:t>
            </w:r>
            <w:r w:rsidR="00313D85">
              <w:rPr>
                <w:rFonts w:cs="Calibri"/>
                <w:b w:val="0"/>
                <w:sz w:val="18"/>
                <w:szCs w:val="18"/>
                <w:lang w:val="en-US" w:eastAsia="en-US"/>
              </w:rPr>
              <w:t>4</w:t>
            </w:r>
          </w:p>
        </w:tc>
      </w:tr>
      <w:tr w:rsidR="003337B9" w:rsidRPr="003337B9" w14:paraId="39C1E150" w14:textId="77777777" w:rsidTr="00970721">
        <w:trPr>
          <w:trHeight w:val="765"/>
        </w:trPr>
        <w:tc>
          <w:tcPr>
            <w:tcW w:w="5489" w:type="dxa"/>
            <w:tcBorders>
              <w:top w:val="nil"/>
              <w:left w:val="nil"/>
              <w:bottom w:val="nil"/>
              <w:right w:val="nil"/>
            </w:tcBorders>
            <w:shd w:val="clear" w:color="000000" w:fill="FFFFFF"/>
            <w:vAlign w:val="center"/>
            <w:hideMark/>
          </w:tcPr>
          <w:p w14:paraId="0E8170A5" w14:textId="77777777" w:rsidR="003337B9" w:rsidRPr="00E960A7" w:rsidRDefault="003337B9" w:rsidP="003337B9">
            <w:pPr>
              <w:spacing w:before="0" w:line="240" w:lineRule="auto"/>
              <w:jc w:val="left"/>
              <w:rPr>
                <w:rFonts w:cs="Calibri"/>
                <w:b w:val="0"/>
                <w:color w:val="000000"/>
                <w:sz w:val="18"/>
                <w:szCs w:val="18"/>
                <w:lang w:eastAsia="en-US"/>
              </w:rPr>
            </w:pPr>
            <w:r w:rsidRPr="00E960A7">
              <w:rPr>
                <w:rFonts w:cs="Calibri"/>
                <w:b w:val="0"/>
                <w:bCs/>
                <w:color w:val="000000"/>
                <w:sz w:val="18"/>
                <w:szCs w:val="18"/>
                <w:lang w:eastAsia="en-US"/>
              </w:rPr>
              <w:t xml:space="preserve">2. </w:t>
            </w:r>
            <w:r w:rsidRPr="003337B9">
              <w:rPr>
                <w:rFonts w:cs="Calibri"/>
                <w:b w:val="0"/>
                <w:bCs/>
                <w:color w:val="000000"/>
                <w:sz w:val="18"/>
                <w:szCs w:val="18"/>
                <w:lang w:eastAsia="en-US"/>
              </w:rPr>
              <w:t>Հայաստանի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Հանրապետության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քաղաքացիություն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ստանալու</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և</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Հայաստանի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Հանրապետության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քաղաքացիությունը</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փոխելու</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համար</w:t>
            </w:r>
            <w:r w:rsidRPr="00E960A7">
              <w:rPr>
                <w:rFonts w:cs="Calibri"/>
                <w:b w:val="0"/>
                <w:bCs/>
                <w:color w:val="000000"/>
                <w:sz w:val="18"/>
                <w:szCs w:val="18"/>
                <w:lang w:eastAsia="en-US"/>
              </w:rPr>
              <w:t xml:space="preserve"> </w:t>
            </w:r>
          </w:p>
        </w:tc>
        <w:tc>
          <w:tcPr>
            <w:tcW w:w="900" w:type="dxa"/>
            <w:tcBorders>
              <w:top w:val="nil"/>
              <w:left w:val="nil"/>
              <w:bottom w:val="nil"/>
              <w:right w:val="nil"/>
            </w:tcBorders>
            <w:shd w:val="clear" w:color="000000" w:fill="FFFFFF"/>
            <w:noWrap/>
            <w:vAlign w:val="center"/>
            <w:hideMark/>
          </w:tcPr>
          <w:p w14:paraId="16CB353F"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0.1</w:t>
            </w:r>
          </w:p>
        </w:tc>
        <w:tc>
          <w:tcPr>
            <w:tcW w:w="720" w:type="dxa"/>
            <w:tcBorders>
              <w:top w:val="nil"/>
              <w:left w:val="nil"/>
              <w:bottom w:val="nil"/>
              <w:right w:val="nil"/>
            </w:tcBorders>
            <w:shd w:val="clear" w:color="000000" w:fill="FFFFFF"/>
            <w:noWrap/>
            <w:vAlign w:val="center"/>
            <w:hideMark/>
          </w:tcPr>
          <w:p w14:paraId="0CC67A6C"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0.1</w:t>
            </w:r>
          </w:p>
        </w:tc>
        <w:tc>
          <w:tcPr>
            <w:tcW w:w="686" w:type="dxa"/>
            <w:tcBorders>
              <w:top w:val="nil"/>
              <w:left w:val="nil"/>
              <w:bottom w:val="nil"/>
              <w:right w:val="nil"/>
            </w:tcBorders>
            <w:shd w:val="clear" w:color="000000" w:fill="FFFFFF"/>
            <w:noWrap/>
            <w:vAlign w:val="center"/>
            <w:hideMark/>
          </w:tcPr>
          <w:p w14:paraId="35532E1E"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0.1</w:t>
            </w:r>
          </w:p>
        </w:tc>
        <w:tc>
          <w:tcPr>
            <w:tcW w:w="755" w:type="dxa"/>
            <w:tcBorders>
              <w:top w:val="nil"/>
              <w:left w:val="nil"/>
              <w:bottom w:val="nil"/>
              <w:right w:val="nil"/>
            </w:tcBorders>
            <w:shd w:val="clear" w:color="000000" w:fill="FFFFFF"/>
            <w:noWrap/>
            <w:vAlign w:val="center"/>
            <w:hideMark/>
          </w:tcPr>
          <w:p w14:paraId="531D072B"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0.1</w:t>
            </w:r>
          </w:p>
        </w:tc>
        <w:tc>
          <w:tcPr>
            <w:tcW w:w="1170" w:type="dxa"/>
            <w:tcBorders>
              <w:top w:val="nil"/>
              <w:left w:val="nil"/>
              <w:bottom w:val="nil"/>
              <w:right w:val="nil"/>
            </w:tcBorders>
            <w:shd w:val="clear" w:color="000000" w:fill="FFFFFF"/>
            <w:noWrap/>
            <w:vAlign w:val="center"/>
            <w:hideMark/>
          </w:tcPr>
          <w:p w14:paraId="1BA8E765"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0.1</w:t>
            </w:r>
          </w:p>
        </w:tc>
      </w:tr>
      <w:tr w:rsidR="003337B9" w:rsidRPr="003337B9" w14:paraId="26826326" w14:textId="77777777" w:rsidTr="00970721">
        <w:trPr>
          <w:trHeight w:val="666"/>
        </w:trPr>
        <w:tc>
          <w:tcPr>
            <w:tcW w:w="5489" w:type="dxa"/>
            <w:tcBorders>
              <w:top w:val="nil"/>
              <w:left w:val="nil"/>
              <w:bottom w:val="nil"/>
              <w:right w:val="nil"/>
            </w:tcBorders>
            <w:shd w:val="clear" w:color="000000" w:fill="FFFFFF"/>
            <w:vAlign w:val="center"/>
            <w:hideMark/>
          </w:tcPr>
          <w:p w14:paraId="5DED88D0" w14:textId="77777777" w:rsidR="003337B9" w:rsidRPr="00E960A7" w:rsidRDefault="003337B9" w:rsidP="003337B9">
            <w:pPr>
              <w:spacing w:before="0" w:line="240" w:lineRule="auto"/>
              <w:jc w:val="left"/>
              <w:rPr>
                <w:rFonts w:cs="Calibri"/>
                <w:b w:val="0"/>
                <w:color w:val="000000"/>
                <w:sz w:val="18"/>
                <w:szCs w:val="18"/>
                <w:lang w:eastAsia="en-US"/>
              </w:rPr>
            </w:pPr>
            <w:r w:rsidRPr="00E960A7">
              <w:rPr>
                <w:rFonts w:cs="Calibri"/>
                <w:b w:val="0"/>
                <w:bCs/>
                <w:color w:val="000000"/>
                <w:sz w:val="18"/>
                <w:szCs w:val="18"/>
                <w:lang w:eastAsia="en-US"/>
              </w:rPr>
              <w:t xml:space="preserve">3. </w:t>
            </w:r>
            <w:r w:rsidRPr="003337B9">
              <w:rPr>
                <w:rFonts w:cs="Calibri"/>
                <w:b w:val="0"/>
                <w:bCs/>
                <w:color w:val="000000"/>
                <w:sz w:val="18"/>
                <w:szCs w:val="18"/>
                <w:lang w:eastAsia="en-US"/>
              </w:rPr>
              <w:t>Հյուպատոսական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ծառայությունների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կամ</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գործողությունների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համար</w:t>
            </w:r>
          </w:p>
        </w:tc>
        <w:tc>
          <w:tcPr>
            <w:tcW w:w="900" w:type="dxa"/>
            <w:tcBorders>
              <w:top w:val="nil"/>
              <w:left w:val="nil"/>
              <w:bottom w:val="nil"/>
              <w:right w:val="nil"/>
            </w:tcBorders>
            <w:shd w:val="clear" w:color="000000" w:fill="FFFFFF"/>
            <w:noWrap/>
            <w:vAlign w:val="center"/>
            <w:hideMark/>
          </w:tcPr>
          <w:p w14:paraId="7CA669BA"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2.1</w:t>
            </w:r>
          </w:p>
        </w:tc>
        <w:tc>
          <w:tcPr>
            <w:tcW w:w="720" w:type="dxa"/>
            <w:tcBorders>
              <w:top w:val="nil"/>
              <w:left w:val="nil"/>
              <w:bottom w:val="nil"/>
              <w:right w:val="nil"/>
            </w:tcBorders>
            <w:shd w:val="clear" w:color="000000" w:fill="FFFFFF"/>
            <w:noWrap/>
            <w:vAlign w:val="center"/>
            <w:hideMark/>
          </w:tcPr>
          <w:p w14:paraId="1733006E"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3.1</w:t>
            </w:r>
          </w:p>
        </w:tc>
        <w:tc>
          <w:tcPr>
            <w:tcW w:w="686" w:type="dxa"/>
            <w:tcBorders>
              <w:top w:val="nil"/>
              <w:left w:val="nil"/>
              <w:bottom w:val="nil"/>
              <w:right w:val="nil"/>
            </w:tcBorders>
            <w:shd w:val="clear" w:color="000000" w:fill="FFFFFF"/>
            <w:noWrap/>
            <w:vAlign w:val="center"/>
            <w:hideMark/>
          </w:tcPr>
          <w:p w14:paraId="1AA4392E"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2.6</w:t>
            </w:r>
          </w:p>
        </w:tc>
        <w:tc>
          <w:tcPr>
            <w:tcW w:w="755" w:type="dxa"/>
            <w:tcBorders>
              <w:top w:val="nil"/>
              <w:left w:val="nil"/>
              <w:bottom w:val="nil"/>
              <w:right w:val="nil"/>
            </w:tcBorders>
            <w:shd w:val="clear" w:color="000000" w:fill="FFFFFF"/>
            <w:noWrap/>
            <w:vAlign w:val="center"/>
            <w:hideMark/>
          </w:tcPr>
          <w:p w14:paraId="29325C8C"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2.5</w:t>
            </w:r>
          </w:p>
        </w:tc>
        <w:tc>
          <w:tcPr>
            <w:tcW w:w="1170" w:type="dxa"/>
            <w:tcBorders>
              <w:top w:val="nil"/>
              <w:left w:val="nil"/>
              <w:bottom w:val="nil"/>
              <w:right w:val="nil"/>
            </w:tcBorders>
            <w:shd w:val="clear" w:color="000000" w:fill="FFFFFF"/>
            <w:noWrap/>
            <w:vAlign w:val="center"/>
            <w:hideMark/>
          </w:tcPr>
          <w:p w14:paraId="0C15419A"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2.7</w:t>
            </w:r>
          </w:p>
        </w:tc>
      </w:tr>
      <w:tr w:rsidR="003337B9" w:rsidRPr="003337B9" w14:paraId="45982271" w14:textId="77777777" w:rsidTr="00970721">
        <w:trPr>
          <w:trHeight w:val="432"/>
        </w:trPr>
        <w:tc>
          <w:tcPr>
            <w:tcW w:w="5489" w:type="dxa"/>
            <w:tcBorders>
              <w:top w:val="nil"/>
              <w:left w:val="nil"/>
              <w:bottom w:val="nil"/>
              <w:right w:val="nil"/>
            </w:tcBorders>
            <w:shd w:val="clear" w:color="000000" w:fill="FFFFFF"/>
            <w:vAlign w:val="center"/>
            <w:hideMark/>
          </w:tcPr>
          <w:p w14:paraId="7322771A" w14:textId="77777777" w:rsidR="003337B9" w:rsidRPr="003337B9" w:rsidRDefault="003337B9" w:rsidP="003337B9">
            <w:pPr>
              <w:spacing w:before="0" w:line="240" w:lineRule="auto"/>
              <w:jc w:val="left"/>
              <w:rPr>
                <w:rFonts w:cs="Calibri"/>
                <w:b w:val="0"/>
                <w:color w:val="000000"/>
                <w:sz w:val="18"/>
                <w:szCs w:val="18"/>
                <w:lang w:val="en-US" w:eastAsia="en-US"/>
              </w:rPr>
            </w:pPr>
            <w:r w:rsidRPr="003337B9">
              <w:rPr>
                <w:rFonts w:cs="Calibri"/>
                <w:b w:val="0"/>
                <w:color w:val="000000"/>
                <w:sz w:val="18"/>
                <w:szCs w:val="18"/>
                <w:lang w:val="en-US" w:eastAsia="en-US"/>
              </w:rPr>
              <w:t>4. Պետական գրանցման համար</w:t>
            </w:r>
          </w:p>
        </w:tc>
        <w:tc>
          <w:tcPr>
            <w:tcW w:w="900" w:type="dxa"/>
            <w:tcBorders>
              <w:top w:val="nil"/>
              <w:left w:val="nil"/>
              <w:bottom w:val="nil"/>
              <w:right w:val="nil"/>
            </w:tcBorders>
            <w:shd w:val="clear" w:color="000000" w:fill="FFFFFF"/>
            <w:noWrap/>
            <w:vAlign w:val="center"/>
            <w:hideMark/>
          </w:tcPr>
          <w:p w14:paraId="0C401988"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4.6</w:t>
            </w:r>
          </w:p>
        </w:tc>
        <w:tc>
          <w:tcPr>
            <w:tcW w:w="720" w:type="dxa"/>
            <w:tcBorders>
              <w:top w:val="nil"/>
              <w:left w:val="nil"/>
              <w:bottom w:val="nil"/>
              <w:right w:val="nil"/>
            </w:tcBorders>
            <w:shd w:val="clear" w:color="000000" w:fill="FFFFFF"/>
            <w:noWrap/>
            <w:vAlign w:val="center"/>
            <w:hideMark/>
          </w:tcPr>
          <w:p w14:paraId="12203E44"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5.1</w:t>
            </w:r>
          </w:p>
        </w:tc>
        <w:tc>
          <w:tcPr>
            <w:tcW w:w="686" w:type="dxa"/>
            <w:tcBorders>
              <w:top w:val="nil"/>
              <w:left w:val="nil"/>
              <w:bottom w:val="nil"/>
              <w:right w:val="nil"/>
            </w:tcBorders>
            <w:shd w:val="clear" w:color="000000" w:fill="FFFFFF"/>
            <w:noWrap/>
            <w:vAlign w:val="center"/>
            <w:hideMark/>
          </w:tcPr>
          <w:p w14:paraId="7A017198"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4.9</w:t>
            </w:r>
          </w:p>
        </w:tc>
        <w:tc>
          <w:tcPr>
            <w:tcW w:w="755" w:type="dxa"/>
            <w:tcBorders>
              <w:top w:val="nil"/>
              <w:left w:val="nil"/>
              <w:bottom w:val="nil"/>
              <w:right w:val="nil"/>
            </w:tcBorders>
            <w:shd w:val="clear" w:color="000000" w:fill="FFFFFF"/>
            <w:noWrap/>
            <w:vAlign w:val="center"/>
            <w:hideMark/>
          </w:tcPr>
          <w:p w14:paraId="246FCB95"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5.3</w:t>
            </w:r>
          </w:p>
        </w:tc>
        <w:tc>
          <w:tcPr>
            <w:tcW w:w="1170" w:type="dxa"/>
            <w:tcBorders>
              <w:top w:val="nil"/>
              <w:left w:val="nil"/>
              <w:bottom w:val="nil"/>
              <w:right w:val="nil"/>
            </w:tcBorders>
            <w:shd w:val="clear" w:color="000000" w:fill="FFFFFF"/>
            <w:noWrap/>
            <w:vAlign w:val="center"/>
            <w:hideMark/>
          </w:tcPr>
          <w:p w14:paraId="6FE1D43D"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7.1</w:t>
            </w:r>
          </w:p>
        </w:tc>
      </w:tr>
      <w:tr w:rsidR="003337B9" w:rsidRPr="003337B9" w14:paraId="7ACB81D8" w14:textId="77777777" w:rsidTr="00970721">
        <w:trPr>
          <w:trHeight w:val="1710"/>
        </w:trPr>
        <w:tc>
          <w:tcPr>
            <w:tcW w:w="5489" w:type="dxa"/>
            <w:tcBorders>
              <w:top w:val="nil"/>
              <w:left w:val="nil"/>
              <w:bottom w:val="nil"/>
              <w:right w:val="nil"/>
            </w:tcBorders>
            <w:shd w:val="clear" w:color="000000" w:fill="FFFFFF"/>
            <w:vAlign w:val="center"/>
            <w:hideMark/>
          </w:tcPr>
          <w:p w14:paraId="786E33AC" w14:textId="77777777" w:rsidR="003337B9" w:rsidRPr="00E960A7" w:rsidRDefault="003337B9" w:rsidP="003337B9">
            <w:pPr>
              <w:spacing w:before="0" w:line="240" w:lineRule="auto"/>
              <w:jc w:val="left"/>
              <w:rPr>
                <w:rFonts w:cs="Calibri"/>
                <w:b w:val="0"/>
                <w:color w:val="000000"/>
                <w:sz w:val="18"/>
                <w:szCs w:val="18"/>
                <w:lang w:eastAsia="en-US"/>
              </w:rPr>
            </w:pPr>
            <w:r w:rsidRPr="00E960A7">
              <w:rPr>
                <w:rFonts w:cs="Calibri"/>
                <w:b w:val="0"/>
                <w:bCs/>
                <w:color w:val="000000"/>
                <w:sz w:val="18"/>
                <w:szCs w:val="18"/>
                <w:lang w:eastAsia="en-US"/>
              </w:rPr>
              <w:lastRenderedPageBreak/>
              <w:t xml:space="preserve">5. </w:t>
            </w:r>
            <w:r w:rsidRPr="003337B9">
              <w:rPr>
                <w:rFonts w:cs="Calibri"/>
                <w:b w:val="0"/>
                <w:bCs/>
                <w:color w:val="000000"/>
                <w:sz w:val="18"/>
                <w:szCs w:val="18"/>
                <w:lang w:eastAsia="en-US"/>
              </w:rPr>
              <w:t>Գյուտերի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արդյունաբերական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դիզայնների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բույսերի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սորտերի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ապրանքային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նշանների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աշխարհագրական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նշումների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ծագման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տեղանունների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երաշխավորված</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ավանդական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արտադրանքի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ֆիրմային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անվանումների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ինտեգրալ</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միկրոսխեմաների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տոպոլոգիաների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իրավական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պահպանության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հետ</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կապված</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իրավաբանական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նշանակություն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ունեցող</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գործողությունների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համար</w:t>
            </w:r>
          </w:p>
        </w:tc>
        <w:tc>
          <w:tcPr>
            <w:tcW w:w="900" w:type="dxa"/>
            <w:tcBorders>
              <w:top w:val="nil"/>
              <w:left w:val="nil"/>
              <w:bottom w:val="nil"/>
              <w:right w:val="nil"/>
            </w:tcBorders>
            <w:shd w:val="clear" w:color="000000" w:fill="FFFFFF"/>
            <w:noWrap/>
            <w:vAlign w:val="center"/>
            <w:hideMark/>
          </w:tcPr>
          <w:p w14:paraId="36C13988"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0.3</w:t>
            </w:r>
          </w:p>
        </w:tc>
        <w:tc>
          <w:tcPr>
            <w:tcW w:w="720" w:type="dxa"/>
            <w:tcBorders>
              <w:top w:val="nil"/>
              <w:left w:val="nil"/>
              <w:bottom w:val="nil"/>
              <w:right w:val="nil"/>
            </w:tcBorders>
            <w:shd w:val="clear" w:color="000000" w:fill="FFFFFF"/>
            <w:noWrap/>
            <w:vAlign w:val="center"/>
            <w:hideMark/>
          </w:tcPr>
          <w:p w14:paraId="2DC8ED8D"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0.3</w:t>
            </w:r>
          </w:p>
        </w:tc>
        <w:tc>
          <w:tcPr>
            <w:tcW w:w="686" w:type="dxa"/>
            <w:tcBorders>
              <w:top w:val="nil"/>
              <w:left w:val="nil"/>
              <w:bottom w:val="nil"/>
              <w:right w:val="nil"/>
            </w:tcBorders>
            <w:shd w:val="clear" w:color="000000" w:fill="FFFFFF"/>
            <w:noWrap/>
            <w:vAlign w:val="center"/>
            <w:hideMark/>
          </w:tcPr>
          <w:p w14:paraId="104DF738"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0.3</w:t>
            </w:r>
          </w:p>
        </w:tc>
        <w:tc>
          <w:tcPr>
            <w:tcW w:w="755" w:type="dxa"/>
            <w:tcBorders>
              <w:top w:val="nil"/>
              <w:left w:val="nil"/>
              <w:bottom w:val="nil"/>
              <w:right w:val="nil"/>
            </w:tcBorders>
            <w:shd w:val="clear" w:color="000000" w:fill="FFFFFF"/>
            <w:noWrap/>
            <w:vAlign w:val="center"/>
            <w:hideMark/>
          </w:tcPr>
          <w:p w14:paraId="1A11CD47"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0.3</w:t>
            </w:r>
          </w:p>
        </w:tc>
        <w:tc>
          <w:tcPr>
            <w:tcW w:w="1170" w:type="dxa"/>
            <w:tcBorders>
              <w:top w:val="nil"/>
              <w:left w:val="nil"/>
              <w:bottom w:val="nil"/>
              <w:right w:val="nil"/>
            </w:tcBorders>
            <w:shd w:val="clear" w:color="000000" w:fill="FFFFFF"/>
            <w:noWrap/>
            <w:vAlign w:val="center"/>
            <w:hideMark/>
          </w:tcPr>
          <w:p w14:paraId="37FCDD88"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0.4</w:t>
            </w:r>
          </w:p>
        </w:tc>
      </w:tr>
      <w:tr w:rsidR="003337B9" w:rsidRPr="003337B9" w14:paraId="26693738" w14:textId="77777777" w:rsidTr="00970721">
        <w:trPr>
          <w:trHeight w:val="1065"/>
        </w:trPr>
        <w:tc>
          <w:tcPr>
            <w:tcW w:w="5489" w:type="dxa"/>
            <w:tcBorders>
              <w:top w:val="nil"/>
              <w:left w:val="nil"/>
              <w:bottom w:val="nil"/>
              <w:right w:val="nil"/>
            </w:tcBorders>
            <w:shd w:val="clear" w:color="000000" w:fill="FFFFFF"/>
            <w:vAlign w:val="center"/>
            <w:hideMark/>
          </w:tcPr>
          <w:p w14:paraId="6C413AB2" w14:textId="77777777" w:rsidR="003337B9" w:rsidRPr="00E960A7" w:rsidRDefault="003337B9" w:rsidP="003337B9">
            <w:pPr>
              <w:spacing w:before="0" w:line="240" w:lineRule="auto"/>
              <w:jc w:val="left"/>
              <w:rPr>
                <w:rFonts w:cs="Calibri"/>
                <w:b w:val="0"/>
                <w:color w:val="000000"/>
                <w:sz w:val="18"/>
                <w:szCs w:val="18"/>
                <w:lang w:eastAsia="en-US"/>
              </w:rPr>
            </w:pPr>
            <w:r w:rsidRPr="00E960A7">
              <w:rPr>
                <w:rFonts w:cs="Calibri"/>
                <w:b w:val="0"/>
                <w:bCs/>
                <w:color w:val="000000"/>
                <w:sz w:val="18"/>
                <w:szCs w:val="18"/>
                <w:lang w:eastAsia="en-US"/>
              </w:rPr>
              <w:t xml:space="preserve">6. </w:t>
            </w:r>
            <w:r w:rsidRPr="003337B9">
              <w:rPr>
                <w:rFonts w:cs="Calibri"/>
                <w:b w:val="0"/>
                <w:bCs/>
                <w:color w:val="000000"/>
                <w:sz w:val="18"/>
                <w:szCs w:val="18"/>
                <w:lang w:eastAsia="en-US"/>
              </w:rPr>
              <w:t>Ֆիզիկական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անձանց</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տրվող</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իրավաբանական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նշանակություն</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ունեցող</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փաստաթղթերի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որոշակի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ծառայությունների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կամ</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գործողությունների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համար</w:t>
            </w:r>
            <w:r w:rsidRPr="00E960A7">
              <w:rPr>
                <w:rFonts w:cs="Calibri"/>
                <w:b w:val="0"/>
                <w:bCs/>
                <w:color w:val="000000"/>
                <w:sz w:val="18"/>
                <w:szCs w:val="18"/>
                <w:lang w:eastAsia="en-US"/>
              </w:rPr>
              <w:t xml:space="preserve"> </w:t>
            </w:r>
          </w:p>
        </w:tc>
        <w:tc>
          <w:tcPr>
            <w:tcW w:w="900" w:type="dxa"/>
            <w:tcBorders>
              <w:top w:val="nil"/>
              <w:left w:val="nil"/>
              <w:bottom w:val="nil"/>
              <w:right w:val="nil"/>
            </w:tcBorders>
            <w:shd w:val="clear" w:color="000000" w:fill="FFFFFF"/>
            <w:noWrap/>
            <w:vAlign w:val="center"/>
            <w:hideMark/>
          </w:tcPr>
          <w:p w14:paraId="1D75A8FD"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1.2</w:t>
            </w:r>
          </w:p>
        </w:tc>
        <w:tc>
          <w:tcPr>
            <w:tcW w:w="720" w:type="dxa"/>
            <w:tcBorders>
              <w:top w:val="nil"/>
              <w:left w:val="nil"/>
              <w:bottom w:val="nil"/>
              <w:right w:val="nil"/>
            </w:tcBorders>
            <w:shd w:val="clear" w:color="000000" w:fill="FFFFFF"/>
            <w:noWrap/>
            <w:vAlign w:val="center"/>
            <w:hideMark/>
          </w:tcPr>
          <w:p w14:paraId="45E0C229"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2.2</w:t>
            </w:r>
          </w:p>
        </w:tc>
        <w:tc>
          <w:tcPr>
            <w:tcW w:w="686" w:type="dxa"/>
            <w:tcBorders>
              <w:top w:val="nil"/>
              <w:left w:val="nil"/>
              <w:bottom w:val="nil"/>
              <w:right w:val="nil"/>
            </w:tcBorders>
            <w:shd w:val="clear" w:color="000000" w:fill="FFFFFF"/>
            <w:noWrap/>
            <w:vAlign w:val="center"/>
            <w:hideMark/>
          </w:tcPr>
          <w:p w14:paraId="5A8566F9"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3.2</w:t>
            </w:r>
          </w:p>
        </w:tc>
        <w:tc>
          <w:tcPr>
            <w:tcW w:w="755" w:type="dxa"/>
            <w:tcBorders>
              <w:top w:val="nil"/>
              <w:left w:val="nil"/>
              <w:bottom w:val="nil"/>
              <w:right w:val="nil"/>
            </w:tcBorders>
            <w:shd w:val="clear" w:color="000000" w:fill="FFFFFF"/>
            <w:noWrap/>
            <w:vAlign w:val="center"/>
            <w:hideMark/>
          </w:tcPr>
          <w:p w14:paraId="4ACC549E"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3.2</w:t>
            </w:r>
          </w:p>
        </w:tc>
        <w:tc>
          <w:tcPr>
            <w:tcW w:w="1170" w:type="dxa"/>
            <w:tcBorders>
              <w:top w:val="nil"/>
              <w:left w:val="nil"/>
              <w:bottom w:val="nil"/>
              <w:right w:val="nil"/>
            </w:tcBorders>
            <w:shd w:val="clear" w:color="000000" w:fill="FFFFFF"/>
            <w:noWrap/>
            <w:vAlign w:val="center"/>
            <w:hideMark/>
          </w:tcPr>
          <w:p w14:paraId="1BD71C66" w14:textId="77777777" w:rsidR="003337B9" w:rsidRPr="003337B9" w:rsidRDefault="00313D85" w:rsidP="00313D85">
            <w:pPr>
              <w:spacing w:before="0" w:line="240" w:lineRule="auto"/>
              <w:jc w:val="center"/>
              <w:rPr>
                <w:rFonts w:cs="Calibri"/>
                <w:b w:val="0"/>
                <w:sz w:val="18"/>
                <w:szCs w:val="18"/>
                <w:lang w:val="en-US" w:eastAsia="en-US"/>
              </w:rPr>
            </w:pPr>
            <w:r>
              <w:rPr>
                <w:rFonts w:cs="Calibri"/>
                <w:b w:val="0"/>
                <w:sz w:val="18"/>
                <w:szCs w:val="18"/>
                <w:lang w:val="en-US" w:eastAsia="en-US"/>
              </w:rPr>
              <w:t>2</w:t>
            </w:r>
            <w:r w:rsidR="003337B9" w:rsidRPr="003337B9">
              <w:rPr>
                <w:rFonts w:cs="Calibri"/>
                <w:b w:val="0"/>
                <w:sz w:val="18"/>
                <w:szCs w:val="18"/>
                <w:lang w:val="en-US" w:eastAsia="en-US"/>
              </w:rPr>
              <w:t>.</w:t>
            </w:r>
            <w:r>
              <w:rPr>
                <w:rFonts w:cs="Calibri"/>
                <w:b w:val="0"/>
                <w:sz w:val="18"/>
                <w:szCs w:val="18"/>
                <w:lang w:val="en-US" w:eastAsia="en-US"/>
              </w:rPr>
              <w:t>4</w:t>
            </w:r>
          </w:p>
        </w:tc>
      </w:tr>
      <w:tr w:rsidR="003337B9" w:rsidRPr="003337B9" w14:paraId="78189D3B" w14:textId="77777777" w:rsidTr="00970721">
        <w:trPr>
          <w:trHeight w:val="960"/>
        </w:trPr>
        <w:tc>
          <w:tcPr>
            <w:tcW w:w="5489" w:type="dxa"/>
            <w:tcBorders>
              <w:top w:val="nil"/>
              <w:left w:val="nil"/>
              <w:bottom w:val="nil"/>
              <w:right w:val="nil"/>
            </w:tcBorders>
            <w:shd w:val="clear" w:color="000000" w:fill="FFFFFF"/>
            <w:vAlign w:val="center"/>
            <w:hideMark/>
          </w:tcPr>
          <w:p w14:paraId="2D7821BB" w14:textId="77777777" w:rsidR="003337B9" w:rsidRPr="00E960A7" w:rsidRDefault="003337B9" w:rsidP="003337B9">
            <w:pPr>
              <w:spacing w:before="0" w:line="240" w:lineRule="auto"/>
              <w:jc w:val="left"/>
              <w:rPr>
                <w:rFonts w:cs="Calibri"/>
                <w:b w:val="0"/>
                <w:color w:val="000000"/>
                <w:sz w:val="18"/>
                <w:szCs w:val="18"/>
                <w:lang w:eastAsia="en-US"/>
              </w:rPr>
            </w:pPr>
            <w:r w:rsidRPr="00E960A7">
              <w:rPr>
                <w:rFonts w:cs="Calibri"/>
                <w:b w:val="0"/>
                <w:bCs/>
                <w:color w:val="000000"/>
                <w:sz w:val="18"/>
                <w:szCs w:val="18"/>
                <w:lang w:eastAsia="en-US"/>
              </w:rPr>
              <w:t>7.</w:t>
            </w:r>
            <w:r w:rsidRPr="003337B9">
              <w:rPr>
                <w:rFonts w:ascii="Calibri" w:hAnsi="Calibri" w:cs="Calibri"/>
                <w:b w:val="0"/>
                <w:color w:val="000000"/>
                <w:sz w:val="18"/>
                <w:szCs w:val="18"/>
                <w:lang w:val="en-US" w:eastAsia="en-US"/>
              </w:rPr>
              <w:t> </w:t>
            </w:r>
            <w:r w:rsidRPr="003337B9">
              <w:rPr>
                <w:rFonts w:cs="Calibri"/>
                <w:b w:val="0"/>
                <w:color w:val="000000"/>
                <w:sz w:val="18"/>
                <w:szCs w:val="18"/>
                <w:lang w:eastAsia="en-US"/>
              </w:rPr>
              <w:t>Լիցենզավորման</w:t>
            </w:r>
            <w:r w:rsidRPr="00E960A7">
              <w:rPr>
                <w:rFonts w:cs="Calibri"/>
                <w:b w:val="0"/>
                <w:color w:val="000000"/>
                <w:sz w:val="18"/>
                <w:szCs w:val="18"/>
                <w:lang w:eastAsia="en-US"/>
              </w:rPr>
              <w:t xml:space="preserve"> </w:t>
            </w:r>
            <w:r w:rsidRPr="003337B9">
              <w:rPr>
                <w:rFonts w:cs="Calibri"/>
                <w:b w:val="0"/>
                <w:color w:val="000000"/>
                <w:sz w:val="18"/>
                <w:szCs w:val="18"/>
                <w:lang w:eastAsia="en-US"/>
              </w:rPr>
              <w:t>ենթակա</w:t>
            </w:r>
            <w:r w:rsidRPr="00E960A7">
              <w:rPr>
                <w:rFonts w:cs="Calibri"/>
                <w:b w:val="0"/>
                <w:color w:val="000000"/>
                <w:sz w:val="18"/>
                <w:szCs w:val="18"/>
                <w:lang w:eastAsia="en-US"/>
              </w:rPr>
              <w:t xml:space="preserve">  </w:t>
            </w:r>
            <w:r w:rsidRPr="003337B9">
              <w:rPr>
                <w:rFonts w:cs="Calibri"/>
                <w:b w:val="0"/>
                <w:color w:val="000000"/>
                <w:sz w:val="18"/>
                <w:szCs w:val="18"/>
                <w:lang w:eastAsia="en-US"/>
              </w:rPr>
              <w:t>կամ</w:t>
            </w:r>
            <w:r w:rsidRPr="00E960A7">
              <w:rPr>
                <w:rFonts w:cs="Calibri"/>
                <w:b w:val="0"/>
                <w:color w:val="000000"/>
                <w:sz w:val="18"/>
                <w:szCs w:val="18"/>
                <w:lang w:eastAsia="en-US"/>
              </w:rPr>
              <w:t xml:space="preserve"> </w:t>
            </w:r>
            <w:r w:rsidRPr="003337B9">
              <w:rPr>
                <w:rFonts w:cs="Calibri"/>
                <w:b w:val="0"/>
                <w:color w:val="000000"/>
                <w:sz w:val="18"/>
                <w:szCs w:val="18"/>
                <w:lang w:eastAsia="en-US"/>
              </w:rPr>
              <w:t>թույլտվություններով</w:t>
            </w:r>
            <w:r w:rsidRPr="00E960A7">
              <w:rPr>
                <w:rFonts w:cs="Calibri"/>
                <w:b w:val="0"/>
                <w:color w:val="000000"/>
                <w:sz w:val="18"/>
                <w:szCs w:val="18"/>
                <w:lang w:eastAsia="en-US"/>
              </w:rPr>
              <w:t xml:space="preserve"> </w:t>
            </w:r>
            <w:r w:rsidRPr="003337B9">
              <w:rPr>
                <w:rFonts w:cs="Calibri"/>
                <w:b w:val="0"/>
                <w:color w:val="000000"/>
                <w:sz w:val="18"/>
                <w:szCs w:val="18"/>
                <w:lang w:eastAsia="en-US"/>
              </w:rPr>
              <w:t>գործունեություն</w:t>
            </w:r>
            <w:r w:rsidRPr="00E960A7">
              <w:rPr>
                <w:rFonts w:cs="Calibri"/>
                <w:b w:val="0"/>
                <w:color w:val="000000"/>
                <w:sz w:val="18"/>
                <w:szCs w:val="18"/>
                <w:lang w:eastAsia="en-US"/>
              </w:rPr>
              <w:t xml:space="preserve"> </w:t>
            </w:r>
            <w:r w:rsidRPr="003337B9">
              <w:rPr>
                <w:rFonts w:cs="Calibri"/>
                <w:b w:val="0"/>
                <w:color w:val="000000"/>
                <w:sz w:val="18"/>
                <w:szCs w:val="18"/>
                <w:lang w:eastAsia="en-US"/>
              </w:rPr>
              <w:t>իրականացնելու</w:t>
            </w:r>
            <w:r w:rsidRPr="00E960A7">
              <w:rPr>
                <w:rFonts w:cs="Calibri"/>
                <w:b w:val="0"/>
                <w:color w:val="000000"/>
                <w:sz w:val="18"/>
                <w:szCs w:val="18"/>
                <w:lang w:eastAsia="en-US"/>
              </w:rPr>
              <w:t xml:space="preserve"> </w:t>
            </w:r>
            <w:r w:rsidRPr="003337B9">
              <w:rPr>
                <w:rFonts w:cs="Calibri"/>
                <w:b w:val="0"/>
                <w:color w:val="000000"/>
                <w:sz w:val="18"/>
                <w:szCs w:val="18"/>
                <w:lang w:eastAsia="en-US"/>
              </w:rPr>
              <w:t>նպատակով</w:t>
            </w:r>
            <w:r w:rsidRPr="00E960A7">
              <w:rPr>
                <w:rFonts w:cs="Calibri"/>
                <w:b w:val="0"/>
                <w:color w:val="000000"/>
                <w:sz w:val="18"/>
                <w:szCs w:val="18"/>
                <w:lang w:eastAsia="en-US"/>
              </w:rPr>
              <w:t xml:space="preserve"> </w:t>
            </w:r>
            <w:r w:rsidRPr="003337B9">
              <w:rPr>
                <w:rFonts w:cs="Calibri"/>
                <w:b w:val="0"/>
                <w:color w:val="000000"/>
                <w:sz w:val="18"/>
                <w:szCs w:val="18"/>
                <w:lang w:eastAsia="en-US"/>
              </w:rPr>
              <w:t>լիցենզիաներ</w:t>
            </w:r>
            <w:r w:rsidRPr="00E960A7">
              <w:rPr>
                <w:rFonts w:cs="Calibri"/>
                <w:b w:val="0"/>
                <w:color w:val="000000"/>
                <w:sz w:val="18"/>
                <w:szCs w:val="18"/>
                <w:lang w:eastAsia="en-US"/>
              </w:rPr>
              <w:t xml:space="preserve">, </w:t>
            </w:r>
            <w:r w:rsidRPr="003337B9">
              <w:rPr>
                <w:rFonts w:cs="Calibri"/>
                <w:b w:val="0"/>
                <w:color w:val="000000"/>
                <w:sz w:val="18"/>
                <w:szCs w:val="18"/>
                <w:lang w:eastAsia="en-US"/>
              </w:rPr>
              <w:t>արտոնագրեր</w:t>
            </w:r>
            <w:r w:rsidRPr="00E960A7">
              <w:rPr>
                <w:rFonts w:cs="Calibri"/>
                <w:b w:val="0"/>
                <w:color w:val="000000"/>
                <w:sz w:val="18"/>
                <w:szCs w:val="18"/>
                <w:lang w:eastAsia="en-US"/>
              </w:rPr>
              <w:t xml:space="preserve"> (</w:t>
            </w:r>
            <w:r w:rsidRPr="003337B9">
              <w:rPr>
                <w:rFonts w:cs="Calibri"/>
                <w:b w:val="0"/>
                <w:color w:val="000000"/>
                <w:sz w:val="18"/>
                <w:szCs w:val="18"/>
                <w:lang w:eastAsia="en-US"/>
              </w:rPr>
              <w:t>թույլտվություններ</w:t>
            </w:r>
            <w:r w:rsidRPr="00E960A7">
              <w:rPr>
                <w:rFonts w:cs="Calibri"/>
                <w:b w:val="0"/>
                <w:color w:val="000000"/>
                <w:sz w:val="18"/>
                <w:szCs w:val="18"/>
                <w:lang w:eastAsia="en-US"/>
              </w:rPr>
              <w:t xml:space="preserve">) </w:t>
            </w:r>
            <w:r w:rsidRPr="003337B9">
              <w:rPr>
                <w:rFonts w:cs="Calibri"/>
                <w:b w:val="0"/>
                <w:color w:val="000000"/>
                <w:sz w:val="18"/>
                <w:szCs w:val="18"/>
                <w:lang w:eastAsia="en-US"/>
              </w:rPr>
              <w:t>տալու</w:t>
            </w:r>
            <w:r w:rsidRPr="00E960A7">
              <w:rPr>
                <w:rFonts w:cs="Calibri"/>
                <w:b w:val="0"/>
                <w:color w:val="000000"/>
                <w:sz w:val="18"/>
                <w:szCs w:val="18"/>
                <w:lang w:eastAsia="en-US"/>
              </w:rPr>
              <w:t xml:space="preserve"> </w:t>
            </w:r>
            <w:r w:rsidRPr="003337B9">
              <w:rPr>
                <w:rFonts w:cs="Calibri"/>
                <w:b w:val="0"/>
                <w:color w:val="000000"/>
                <w:sz w:val="18"/>
                <w:szCs w:val="18"/>
                <w:lang w:eastAsia="en-US"/>
              </w:rPr>
              <w:t>համար</w:t>
            </w:r>
            <w:r w:rsidRPr="00E960A7">
              <w:rPr>
                <w:rFonts w:cs="Calibri"/>
                <w:b w:val="0"/>
                <w:color w:val="000000"/>
                <w:sz w:val="18"/>
                <w:szCs w:val="18"/>
                <w:lang w:eastAsia="en-US"/>
              </w:rPr>
              <w:t xml:space="preserve"> </w:t>
            </w:r>
          </w:p>
        </w:tc>
        <w:tc>
          <w:tcPr>
            <w:tcW w:w="900" w:type="dxa"/>
            <w:tcBorders>
              <w:top w:val="nil"/>
              <w:left w:val="nil"/>
              <w:bottom w:val="nil"/>
              <w:right w:val="nil"/>
            </w:tcBorders>
            <w:shd w:val="clear" w:color="000000" w:fill="FFFFFF"/>
            <w:noWrap/>
            <w:vAlign w:val="center"/>
            <w:hideMark/>
          </w:tcPr>
          <w:p w14:paraId="74B2DA39"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13.7</w:t>
            </w:r>
          </w:p>
        </w:tc>
        <w:tc>
          <w:tcPr>
            <w:tcW w:w="720" w:type="dxa"/>
            <w:tcBorders>
              <w:top w:val="nil"/>
              <w:left w:val="nil"/>
              <w:bottom w:val="nil"/>
              <w:right w:val="nil"/>
            </w:tcBorders>
            <w:shd w:val="clear" w:color="000000" w:fill="FFFFFF"/>
            <w:noWrap/>
            <w:vAlign w:val="center"/>
            <w:hideMark/>
          </w:tcPr>
          <w:p w14:paraId="0C6AAE01"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38.3</w:t>
            </w:r>
          </w:p>
        </w:tc>
        <w:tc>
          <w:tcPr>
            <w:tcW w:w="686" w:type="dxa"/>
            <w:tcBorders>
              <w:top w:val="nil"/>
              <w:left w:val="nil"/>
              <w:bottom w:val="nil"/>
              <w:right w:val="nil"/>
            </w:tcBorders>
            <w:shd w:val="clear" w:color="000000" w:fill="FFFFFF"/>
            <w:noWrap/>
            <w:vAlign w:val="center"/>
            <w:hideMark/>
          </w:tcPr>
          <w:p w14:paraId="73A2020D"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74.1</w:t>
            </w:r>
          </w:p>
        </w:tc>
        <w:tc>
          <w:tcPr>
            <w:tcW w:w="755" w:type="dxa"/>
            <w:tcBorders>
              <w:top w:val="nil"/>
              <w:left w:val="nil"/>
              <w:bottom w:val="nil"/>
              <w:right w:val="nil"/>
            </w:tcBorders>
            <w:shd w:val="clear" w:color="000000" w:fill="FFFFFF"/>
            <w:noWrap/>
            <w:vAlign w:val="center"/>
            <w:hideMark/>
          </w:tcPr>
          <w:p w14:paraId="29359493"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20.5</w:t>
            </w:r>
          </w:p>
        </w:tc>
        <w:tc>
          <w:tcPr>
            <w:tcW w:w="1170" w:type="dxa"/>
            <w:tcBorders>
              <w:top w:val="nil"/>
              <w:left w:val="nil"/>
              <w:bottom w:val="nil"/>
              <w:right w:val="nil"/>
            </w:tcBorders>
            <w:shd w:val="clear" w:color="000000" w:fill="FFFFFF"/>
            <w:noWrap/>
            <w:vAlign w:val="center"/>
            <w:hideMark/>
          </w:tcPr>
          <w:p w14:paraId="07919BF4"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26.5</w:t>
            </w:r>
          </w:p>
        </w:tc>
      </w:tr>
      <w:tr w:rsidR="003337B9" w:rsidRPr="003337B9" w14:paraId="0404F465" w14:textId="77777777" w:rsidTr="00970721">
        <w:trPr>
          <w:trHeight w:val="480"/>
        </w:trPr>
        <w:tc>
          <w:tcPr>
            <w:tcW w:w="5489" w:type="dxa"/>
            <w:tcBorders>
              <w:top w:val="nil"/>
              <w:left w:val="nil"/>
              <w:bottom w:val="nil"/>
              <w:right w:val="nil"/>
            </w:tcBorders>
            <w:shd w:val="clear" w:color="000000" w:fill="FFFFFF"/>
            <w:vAlign w:val="center"/>
            <w:hideMark/>
          </w:tcPr>
          <w:p w14:paraId="6354C61C" w14:textId="77777777" w:rsidR="003337B9" w:rsidRPr="00E960A7" w:rsidRDefault="003337B9" w:rsidP="003337B9">
            <w:pPr>
              <w:spacing w:before="0" w:line="240" w:lineRule="auto"/>
              <w:jc w:val="left"/>
              <w:rPr>
                <w:rFonts w:cs="Calibri"/>
                <w:b w:val="0"/>
                <w:color w:val="000000"/>
                <w:sz w:val="18"/>
                <w:szCs w:val="18"/>
                <w:lang w:eastAsia="en-US"/>
              </w:rPr>
            </w:pPr>
            <w:r w:rsidRPr="00E960A7">
              <w:rPr>
                <w:rFonts w:cs="Calibri"/>
                <w:b w:val="0"/>
                <w:bCs/>
                <w:color w:val="000000"/>
                <w:sz w:val="18"/>
                <w:szCs w:val="18"/>
                <w:lang w:eastAsia="en-US"/>
              </w:rPr>
              <w:t xml:space="preserve">8. </w:t>
            </w:r>
            <w:r w:rsidRPr="003337B9">
              <w:rPr>
                <w:rFonts w:cs="Calibri"/>
                <w:b w:val="0"/>
                <w:bCs/>
                <w:color w:val="000000"/>
                <w:sz w:val="18"/>
                <w:szCs w:val="18"/>
                <w:lang w:eastAsia="en-US"/>
              </w:rPr>
              <w:t>Օրենքով</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սահմանված</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այլ</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ծառայությունների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և</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գործողությունների</w:t>
            </w:r>
            <w:r w:rsidRPr="00E960A7">
              <w:rPr>
                <w:rFonts w:cs="Calibri"/>
                <w:b w:val="0"/>
                <w:bCs/>
                <w:color w:val="000000"/>
                <w:sz w:val="18"/>
                <w:szCs w:val="18"/>
                <w:lang w:eastAsia="en-US"/>
              </w:rPr>
              <w:t xml:space="preserve"> </w:t>
            </w:r>
            <w:r w:rsidRPr="003337B9">
              <w:rPr>
                <w:rFonts w:cs="Calibri"/>
                <w:b w:val="0"/>
                <w:bCs/>
                <w:color w:val="000000"/>
                <w:sz w:val="18"/>
                <w:szCs w:val="18"/>
                <w:lang w:eastAsia="en-US"/>
              </w:rPr>
              <w:t>համար</w:t>
            </w:r>
          </w:p>
        </w:tc>
        <w:tc>
          <w:tcPr>
            <w:tcW w:w="900" w:type="dxa"/>
            <w:tcBorders>
              <w:top w:val="nil"/>
              <w:left w:val="nil"/>
              <w:bottom w:val="nil"/>
              <w:right w:val="nil"/>
            </w:tcBorders>
            <w:shd w:val="clear" w:color="000000" w:fill="FFFFFF"/>
            <w:noWrap/>
            <w:vAlign w:val="center"/>
            <w:hideMark/>
          </w:tcPr>
          <w:p w14:paraId="46410CBE"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10.2</w:t>
            </w:r>
          </w:p>
        </w:tc>
        <w:tc>
          <w:tcPr>
            <w:tcW w:w="720" w:type="dxa"/>
            <w:tcBorders>
              <w:top w:val="nil"/>
              <w:left w:val="nil"/>
              <w:bottom w:val="nil"/>
              <w:right w:val="nil"/>
            </w:tcBorders>
            <w:shd w:val="clear" w:color="000000" w:fill="FFFFFF"/>
            <w:noWrap/>
            <w:vAlign w:val="center"/>
            <w:hideMark/>
          </w:tcPr>
          <w:p w14:paraId="4892B66E"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15.4</w:t>
            </w:r>
          </w:p>
        </w:tc>
        <w:tc>
          <w:tcPr>
            <w:tcW w:w="686" w:type="dxa"/>
            <w:tcBorders>
              <w:top w:val="nil"/>
              <w:left w:val="nil"/>
              <w:bottom w:val="nil"/>
              <w:right w:val="nil"/>
            </w:tcBorders>
            <w:shd w:val="clear" w:color="000000" w:fill="FFFFFF"/>
            <w:noWrap/>
            <w:vAlign w:val="center"/>
            <w:hideMark/>
          </w:tcPr>
          <w:p w14:paraId="3F6D78E5"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18.6</w:t>
            </w:r>
          </w:p>
        </w:tc>
        <w:tc>
          <w:tcPr>
            <w:tcW w:w="755" w:type="dxa"/>
            <w:tcBorders>
              <w:top w:val="nil"/>
              <w:left w:val="nil"/>
              <w:bottom w:val="nil"/>
              <w:right w:val="nil"/>
            </w:tcBorders>
            <w:shd w:val="clear" w:color="000000" w:fill="FFFFFF"/>
            <w:noWrap/>
            <w:vAlign w:val="center"/>
            <w:hideMark/>
          </w:tcPr>
          <w:p w14:paraId="65C3C859" w14:textId="77777777" w:rsidR="003337B9" w:rsidRPr="003337B9" w:rsidRDefault="003337B9" w:rsidP="003337B9">
            <w:pPr>
              <w:spacing w:before="0" w:line="240" w:lineRule="auto"/>
              <w:jc w:val="center"/>
              <w:rPr>
                <w:rFonts w:cs="Calibri"/>
                <w:b w:val="0"/>
                <w:sz w:val="18"/>
                <w:szCs w:val="18"/>
                <w:lang w:val="en-US" w:eastAsia="en-US"/>
              </w:rPr>
            </w:pPr>
            <w:r w:rsidRPr="003337B9">
              <w:rPr>
                <w:rFonts w:cs="Calibri"/>
                <w:b w:val="0"/>
                <w:sz w:val="18"/>
                <w:szCs w:val="18"/>
                <w:lang w:val="en-US" w:eastAsia="en-US"/>
              </w:rPr>
              <w:t>17.8</w:t>
            </w:r>
          </w:p>
        </w:tc>
        <w:tc>
          <w:tcPr>
            <w:tcW w:w="1170" w:type="dxa"/>
            <w:tcBorders>
              <w:top w:val="nil"/>
              <w:left w:val="nil"/>
              <w:bottom w:val="nil"/>
              <w:right w:val="nil"/>
            </w:tcBorders>
            <w:shd w:val="clear" w:color="000000" w:fill="FFFFFF"/>
            <w:noWrap/>
            <w:vAlign w:val="center"/>
            <w:hideMark/>
          </w:tcPr>
          <w:p w14:paraId="22E9F266" w14:textId="77777777" w:rsidR="003337B9" w:rsidRPr="003337B9" w:rsidRDefault="00313D85" w:rsidP="00313D85">
            <w:pPr>
              <w:spacing w:before="0" w:line="240" w:lineRule="auto"/>
              <w:jc w:val="center"/>
              <w:rPr>
                <w:rFonts w:cs="Calibri"/>
                <w:b w:val="0"/>
                <w:sz w:val="18"/>
                <w:szCs w:val="18"/>
                <w:lang w:val="en-US" w:eastAsia="en-US"/>
              </w:rPr>
            </w:pPr>
            <w:r>
              <w:rPr>
                <w:rFonts w:cs="Calibri"/>
                <w:b w:val="0"/>
                <w:sz w:val="18"/>
                <w:szCs w:val="18"/>
                <w:lang w:val="en-US" w:eastAsia="en-US"/>
              </w:rPr>
              <w:t>20</w:t>
            </w:r>
            <w:r w:rsidR="003337B9" w:rsidRPr="003337B9">
              <w:rPr>
                <w:rFonts w:cs="Calibri"/>
                <w:b w:val="0"/>
                <w:sz w:val="18"/>
                <w:szCs w:val="18"/>
                <w:lang w:val="en-US" w:eastAsia="en-US"/>
              </w:rPr>
              <w:t>.</w:t>
            </w:r>
            <w:r>
              <w:rPr>
                <w:rFonts w:cs="Calibri"/>
                <w:b w:val="0"/>
                <w:sz w:val="18"/>
                <w:szCs w:val="18"/>
                <w:lang w:val="en-US" w:eastAsia="en-US"/>
              </w:rPr>
              <w:t>9</w:t>
            </w:r>
          </w:p>
        </w:tc>
      </w:tr>
    </w:tbl>
    <w:p w14:paraId="4D208927" w14:textId="77777777" w:rsidR="003337B9" w:rsidRPr="003337B9" w:rsidRDefault="003337B9" w:rsidP="003337B9">
      <w:pPr>
        <w:keepNext/>
        <w:spacing w:after="200"/>
        <w:rPr>
          <w:bCs/>
          <w:i/>
          <w:sz w:val="20"/>
          <w:szCs w:val="20"/>
          <w:lang w:val="hy-AM"/>
        </w:rPr>
      </w:pPr>
    </w:p>
    <w:p w14:paraId="743A7B6D" w14:textId="77777777" w:rsidR="003337B9" w:rsidRPr="003337B9" w:rsidRDefault="003337B9" w:rsidP="00701F87">
      <w:pPr>
        <w:rPr>
          <w:rFonts w:eastAsia="Calibri"/>
          <w:b w:val="0"/>
          <w:szCs w:val="22"/>
          <w:lang w:val="hy-AM" w:eastAsia="en-US"/>
        </w:rPr>
      </w:pPr>
      <w:r w:rsidRPr="003337B9">
        <w:rPr>
          <w:rFonts w:eastAsia="Calibri"/>
          <w:b w:val="0"/>
          <w:szCs w:val="22"/>
          <w:lang w:val="hy-AM" w:eastAsia="en-US"/>
        </w:rPr>
        <w:t>Պետական տուրքի առանձին տեսակների («Պետական տուրքի մասին» ՀՀ օրենքով սահման</w:t>
      </w:r>
      <w:r w:rsidRPr="003337B9">
        <w:rPr>
          <w:rFonts w:eastAsia="Calibri"/>
          <w:b w:val="0"/>
          <w:szCs w:val="22"/>
          <w:lang w:val="hy-AM" w:eastAsia="en-US"/>
        </w:rPr>
        <w:softHyphen/>
        <w:t>ված հիմնական խմբերի) գծով 2024 թվականի բյուջետային մուտ</w:t>
      </w:r>
      <w:r w:rsidRPr="003337B9">
        <w:rPr>
          <w:rFonts w:eastAsia="Calibri"/>
          <w:b w:val="0"/>
          <w:szCs w:val="22"/>
          <w:lang w:val="hy-AM" w:eastAsia="en-US"/>
        </w:rPr>
        <w:softHyphen/>
        <w:t>քե</w:t>
      </w:r>
      <w:r w:rsidRPr="003337B9">
        <w:rPr>
          <w:rFonts w:eastAsia="Calibri"/>
          <w:b w:val="0"/>
          <w:szCs w:val="22"/>
          <w:lang w:val="hy-AM" w:eastAsia="en-US"/>
        </w:rPr>
        <w:softHyphen/>
        <w:t>րի կանխատեսումները, հաշ</w:t>
      </w:r>
      <w:r w:rsidRPr="003337B9">
        <w:rPr>
          <w:rFonts w:eastAsia="Calibri"/>
          <w:b w:val="0"/>
          <w:szCs w:val="22"/>
          <w:lang w:val="hy-AM" w:eastAsia="en-US"/>
        </w:rPr>
        <w:softHyphen/>
        <w:t>վարկման մեթոդների համառոտ նկարագրու</w:t>
      </w:r>
      <w:r w:rsidRPr="003337B9">
        <w:rPr>
          <w:rFonts w:eastAsia="Calibri"/>
          <w:b w:val="0"/>
          <w:szCs w:val="22"/>
          <w:lang w:val="hy-AM" w:eastAsia="en-US"/>
        </w:rPr>
        <w:softHyphen/>
        <w:t>թյունը, ծրա</w:t>
      </w:r>
      <w:r w:rsidRPr="003337B9">
        <w:rPr>
          <w:rFonts w:eastAsia="Calibri"/>
          <w:b w:val="0"/>
          <w:szCs w:val="22"/>
          <w:lang w:val="hy-AM" w:eastAsia="en-US"/>
        </w:rPr>
        <w:softHyphen/>
        <w:t>գրա</w:t>
      </w:r>
      <w:r w:rsidRPr="003337B9">
        <w:rPr>
          <w:rFonts w:eastAsia="Calibri"/>
          <w:b w:val="0"/>
          <w:szCs w:val="22"/>
          <w:lang w:val="hy-AM" w:eastAsia="en-US"/>
        </w:rPr>
        <w:softHyphen/>
      </w:r>
      <w:r w:rsidRPr="003337B9">
        <w:rPr>
          <w:rFonts w:eastAsia="Calibri"/>
          <w:b w:val="0"/>
          <w:szCs w:val="22"/>
          <w:lang w:val="hy-AM" w:eastAsia="en-US"/>
        </w:rPr>
        <w:softHyphen/>
        <w:t>յին և փաստա</w:t>
      </w:r>
      <w:r w:rsidRPr="003337B9">
        <w:rPr>
          <w:rFonts w:eastAsia="Calibri"/>
          <w:b w:val="0"/>
          <w:szCs w:val="22"/>
          <w:lang w:val="hy-AM" w:eastAsia="en-US"/>
        </w:rPr>
        <w:softHyphen/>
        <w:t>ցի ցուցա</w:t>
      </w:r>
      <w:r w:rsidRPr="003337B9">
        <w:rPr>
          <w:rFonts w:eastAsia="Calibri"/>
          <w:b w:val="0"/>
          <w:szCs w:val="22"/>
          <w:lang w:val="hy-AM" w:eastAsia="en-US"/>
        </w:rPr>
        <w:softHyphen/>
        <w:t>նիշների համեմատականները ներկայացվում են ստորև:</w:t>
      </w:r>
    </w:p>
    <w:p w14:paraId="029DF1C6" w14:textId="77777777" w:rsidR="003337B9" w:rsidRPr="00E960A7" w:rsidRDefault="003337B9" w:rsidP="00701F87">
      <w:pPr>
        <w:rPr>
          <w:rFonts w:eastAsia="Calibri"/>
          <w:b w:val="0"/>
          <w:szCs w:val="22"/>
          <w:lang w:val="hy-AM" w:eastAsia="en-US"/>
        </w:rPr>
      </w:pPr>
      <w:r w:rsidRPr="003337B9">
        <w:rPr>
          <w:rFonts w:eastAsia="Calibri"/>
          <w:b w:val="0"/>
          <w:szCs w:val="22"/>
          <w:lang w:val="hy-AM" w:eastAsia="en-US"/>
        </w:rPr>
        <w:t>Դատարան տրվող հայցադիմումների, դիմումների, դատարանի դատական ակտերի դեմ վերաքննիչ և վճռաբեկ բողոքների համար, ինչպես նաև դատարանի կողմից տրվող փաստաթղթերի պատճեններ (կրկնօրինակներ)</w:t>
      </w:r>
      <w:r w:rsidRPr="00E960A7">
        <w:rPr>
          <w:rFonts w:eastAsia="Calibri"/>
          <w:b w:val="0"/>
          <w:szCs w:val="22"/>
          <w:lang w:val="hy-AM" w:eastAsia="en-US"/>
        </w:rPr>
        <w:t xml:space="preserve">, գործում առկա լուսանկարների (լուսաժապավենների), ձայնագրությունների, տեսագրությունների և դրանց էլեկտրոնային կրիչների բնօրինակից պատճենահանված կրիչ և դատական նիստի համակարգչային ձայնագրման կրկնօրինակ </w:t>
      </w:r>
      <w:r w:rsidRPr="003337B9">
        <w:rPr>
          <w:rFonts w:eastAsia="Calibri"/>
          <w:b w:val="0"/>
          <w:szCs w:val="22"/>
          <w:lang w:val="hy-AM" w:eastAsia="en-US"/>
        </w:rPr>
        <w:t>տալու համար</w:t>
      </w:r>
      <w:r w:rsidRPr="003337B9">
        <w:rPr>
          <w:rFonts w:eastAsia="Calibri"/>
          <w:b w:val="0"/>
          <w:bCs/>
          <w:szCs w:val="22"/>
          <w:lang w:val="hy-AM" w:eastAsia="en-US"/>
        </w:rPr>
        <w:t xml:space="preserve"> </w:t>
      </w:r>
      <w:r w:rsidRPr="003337B9">
        <w:rPr>
          <w:rFonts w:eastAsia="Calibri"/>
          <w:b w:val="0"/>
          <w:szCs w:val="22"/>
          <w:lang w:val="hy-AM" w:eastAsia="en-US"/>
        </w:rPr>
        <w:t>գանձվող պետական տուրքերի գծով 202</w:t>
      </w:r>
      <w:r w:rsidRPr="00E960A7">
        <w:rPr>
          <w:rFonts w:eastAsia="Calibri"/>
          <w:b w:val="0"/>
          <w:szCs w:val="22"/>
          <w:lang w:val="hy-AM" w:eastAsia="en-US"/>
        </w:rPr>
        <w:t>4</w:t>
      </w:r>
      <w:r w:rsidRPr="003337B9">
        <w:rPr>
          <w:rFonts w:eastAsia="Calibri"/>
          <w:b w:val="0"/>
          <w:szCs w:val="22"/>
          <w:lang w:val="hy-AM" w:eastAsia="en-US"/>
        </w:rPr>
        <w:t xml:space="preserve"> թվականի մուտքերը </w:t>
      </w:r>
      <w:r w:rsidRPr="00E960A7">
        <w:rPr>
          <w:rFonts w:eastAsia="Calibri"/>
          <w:b w:val="0"/>
          <w:szCs w:val="22"/>
          <w:lang w:val="hy-AM" w:eastAsia="en-US"/>
        </w:rPr>
        <w:t xml:space="preserve">կանխատեսվել են 2,447.3 մլն դրամի չափով (2021 և 2022 թվականների փաստացի տարեկան մուտքերի միջինացված ցուցանիշի հիման վրա)՝ 2023 թվականի համար հաստատված 2,439.9 մլն դրամի դիմաց: </w:t>
      </w:r>
    </w:p>
    <w:p w14:paraId="0050DF13" w14:textId="77777777" w:rsidR="003337B9" w:rsidRPr="00E960A7" w:rsidRDefault="003337B9" w:rsidP="00701F87">
      <w:pPr>
        <w:rPr>
          <w:rFonts w:eastAsia="Calibri"/>
          <w:b w:val="0"/>
          <w:szCs w:val="22"/>
          <w:lang w:val="hy-AM" w:eastAsia="en-US"/>
        </w:rPr>
      </w:pPr>
      <w:r w:rsidRPr="003337B9">
        <w:rPr>
          <w:rFonts w:eastAsia="Calibri"/>
          <w:b w:val="0"/>
          <w:szCs w:val="22"/>
          <w:lang w:val="hy-AM" w:eastAsia="en-US"/>
        </w:rPr>
        <w:t>Հայաստանի Հանրապետության քաղաքացիություն ստանալու և Հայաստանի Հանրապետու</w:t>
      </w:r>
      <w:r w:rsidRPr="003337B9">
        <w:rPr>
          <w:rFonts w:eastAsia="Calibri"/>
          <w:b w:val="0"/>
          <w:szCs w:val="22"/>
          <w:lang w:val="hy-AM" w:eastAsia="en-US"/>
        </w:rPr>
        <w:softHyphen/>
        <w:t>թյան քա</w:t>
      </w:r>
      <w:r w:rsidRPr="003337B9">
        <w:rPr>
          <w:rFonts w:eastAsia="Calibri"/>
          <w:b w:val="0"/>
          <w:szCs w:val="22"/>
          <w:lang w:val="hy-AM" w:eastAsia="en-US"/>
        </w:rPr>
        <w:softHyphen/>
        <w:t>ղաքացիությունը փոփոխելու համար գանձվող պետական տուրքի գծով 202</w:t>
      </w:r>
      <w:r w:rsidRPr="00E960A7">
        <w:rPr>
          <w:rFonts w:eastAsia="Calibri"/>
          <w:b w:val="0"/>
          <w:szCs w:val="22"/>
          <w:lang w:val="hy-AM" w:eastAsia="en-US"/>
        </w:rPr>
        <w:t>4</w:t>
      </w:r>
      <w:r w:rsidRPr="003337B9">
        <w:rPr>
          <w:rFonts w:eastAsia="Calibri"/>
          <w:b w:val="0"/>
          <w:szCs w:val="22"/>
          <w:lang w:val="hy-AM" w:eastAsia="en-US"/>
        </w:rPr>
        <w:t xml:space="preserve"> թվա</w:t>
      </w:r>
      <w:r w:rsidRPr="003337B9">
        <w:rPr>
          <w:rFonts w:eastAsia="Calibri"/>
          <w:b w:val="0"/>
          <w:szCs w:val="22"/>
          <w:lang w:val="hy-AM" w:eastAsia="en-US"/>
        </w:rPr>
        <w:softHyphen/>
        <w:t>կանի մուտ</w:t>
      </w:r>
      <w:r w:rsidRPr="003337B9">
        <w:rPr>
          <w:rFonts w:eastAsia="Calibri"/>
          <w:b w:val="0"/>
          <w:szCs w:val="22"/>
          <w:lang w:val="hy-AM" w:eastAsia="en-US"/>
        </w:rPr>
        <w:softHyphen/>
      </w:r>
      <w:r w:rsidRPr="003337B9">
        <w:rPr>
          <w:rFonts w:eastAsia="Calibri"/>
          <w:b w:val="0"/>
          <w:szCs w:val="22"/>
          <w:lang w:val="hy-AM" w:eastAsia="en-US"/>
        </w:rPr>
        <w:softHyphen/>
        <w:t>քերը կան</w:t>
      </w:r>
      <w:r w:rsidRPr="003337B9">
        <w:rPr>
          <w:rFonts w:eastAsia="Calibri"/>
          <w:b w:val="0"/>
          <w:szCs w:val="22"/>
          <w:lang w:val="hy-AM" w:eastAsia="en-US"/>
        </w:rPr>
        <w:softHyphen/>
        <w:t>խա</w:t>
      </w:r>
      <w:r w:rsidRPr="003337B9">
        <w:rPr>
          <w:rFonts w:eastAsia="Calibri"/>
          <w:b w:val="0"/>
          <w:szCs w:val="22"/>
          <w:lang w:val="hy-AM" w:eastAsia="en-US"/>
        </w:rPr>
        <w:softHyphen/>
        <w:t>տես</w:t>
      </w:r>
      <w:r w:rsidRPr="003337B9">
        <w:rPr>
          <w:rFonts w:eastAsia="Calibri"/>
          <w:b w:val="0"/>
          <w:szCs w:val="22"/>
          <w:lang w:val="hy-AM" w:eastAsia="en-US"/>
        </w:rPr>
        <w:softHyphen/>
        <w:t xml:space="preserve">վել են </w:t>
      </w:r>
      <w:r w:rsidRPr="003337B9">
        <w:rPr>
          <w:rFonts w:eastAsia="Calibri" w:cs="GHEA Grapalat"/>
          <w:b w:val="0"/>
          <w:szCs w:val="22"/>
          <w:lang w:val="hy-AM" w:eastAsia="en-US"/>
        </w:rPr>
        <w:t>փորձագիտական գնահատական</w:t>
      </w:r>
      <w:r w:rsidRPr="00E960A7">
        <w:rPr>
          <w:rFonts w:eastAsia="Calibri" w:cs="GHEA Grapalat"/>
          <w:b w:val="0"/>
          <w:szCs w:val="22"/>
          <w:lang w:val="hy-AM" w:eastAsia="en-US"/>
        </w:rPr>
        <w:t xml:space="preserve">ով ներկայացված 72.5 </w:t>
      </w:r>
      <w:r w:rsidRPr="003337B9">
        <w:rPr>
          <w:rFonts w:eastAsia="Calibri"/>
          <w:b w:val="0"/>
          <w:szCs w:val="22"/>
          <w:lang w:val="hy-AM" w:eastAsia="en-US"/>
        </w:rPr>
        <w:t>մլն դրամի չա</w:t>
      </w:r>
      <w:r w:rsidRPr="003337B9">
        <w:rPr>
          <w:rFonts w:eastAsia="Calibri"/>
          <w:b w:val="0"/>
          <w:szCs w:val="22"/>
          <w:lang w:val="hy-AM" w:eastAsia="en-US"/>
        </w:rPr>
        <w:softHyphen/>
        <w:t xml:space="preserve">փով` </w:t>
      </w:r>
      <w:r w:rsidRPr="00E960A7">
        <w:rPr>
          <w:rFonts w:eastAsia="Calibri"/>
          <w:b w:val="0"/>
          <w:szCs w:val="22"/>
          <w:lang w:val="hy-AM" w:eastAsia="en-US"/>
        </w:rPr>
        <w:t xml:space="preserve">2023 թվականի համար հաստատված 141.0 մլն դրամի և </w:t>
      </w:r>
      <w:r w:rsidRPr="003337B9">
        <w:rPr>
          <w:rFonts w:eastAsia="Calibri"/>
          <w:b w:val="0"/>
          <w:szCs w:val="22"/>
          <w:lang w:val="hy-AM" w:eastAsia="en-US"/>
        </w:rPr>
        <w:t>20</w:t>
      </w:r>
      <w:r w:rsidRPr="00E960A7">
        <w:rPr>
          <w:rFonts w:eastAsia="Calibri"/>
          <w:b w:val="0"/>
          <w:szCs w:val="22"/>
          <w:lang w:val="hy-AM" w:eastAsia="en-US"/>
        </w:rPr>
        <w:t>22</w:t>
      </w:r>
      <w:r w:rsidRPr="003337B9">
        <w:rPr>
          <w:rFonts w:eastAsia="Calibri"/>
          <w:b w:val="0"/>
          <w:szCs w:val="22"/>
          <w:lang w:val="hy-AM" w:eastAsia="en-US"/>
        </w:rPr>
        <w:t xml:space="preserve"> թվականին փաստացի ստացված </w:t>
      </w:r>
      <w:r w:rsidRPr="00E960A7">
        <w:rPr>
          <w:rFonts w:eastAsia="Calibri"/>
          <w:b w:val="0"/>
          <w:szCs w:val="22"/>
          <w:lang w:val="hy-AM" w:eastAsia="en-US"/>
        </w:rPr>
        <w:t>98.7</w:t>
      </w:r>
      <w:r w:rsidRPr="003337B9">
        <w:rPr>
          <w:rFonts w:eastAsia="Calibri"/>
          <w:b w:val="0"/>
          <w:szCs w:val="22"/>
          <w:lang w:val="hy-AM" w:eastAsia="en-US"/>
        </w:rPr>
        <w:t xml:space="preserve"> մլն դրամի դիմաց: </w:t>
      </w:r>
    </w:p>
    <w:p w14:paraId="398A7A7A" w14:textId="77777777" w:rsidR="003337B9" w:rsidRPr="003337B9" w:rsidRDefault="003337B9" w:rsidP="00701F87">
      <w:pPr>
        <w:rPr>
          <w:rFonts w:eastAsia="Calibri"/>
          <w:b w:val="0"/>
          <w:szCs w:val="22"/>
          <w:lang w:val="af-ZA" w:eastAsia="en-US"/>
        </w:rPr>
      </w:pPr>
      <w:r w:rsidRPr="003337B9">
        <w:rPr>
          <w:rFonts w:eastAsia="Calibri"/>
          <w:b w:val="0"/>
          <w:szCs w:val="22"/>
          <w:lang w:val="hy-AM" w:eastAsia="en-US"/>
        </w:rPr>
        <w:t>Հյուպատոսական ծառայությունների կամ գործողությունների համար գանձվող պետական տուր</w:t>
      </w:r>
      <w:r w:rsidRPr="003337B9">
        <w:rPr>
          <w:rFonts w:eastAsia="Calibri"/>
          <w:b w:val="0"/>
          <w:szCs w:val="22"/>
          <w:lang w:val="hy-AM" w:eastAsia="en-US"/>
        </w:rPr>
        <w:softHyphen/>
        <w:t>քե</w:t>
      </w:r>
      <w:r w:rsidRPr="003337B9">
        <w:rPr>
          <w:rFonts w:eastAsia="Calibri"/>
          <w:b w:val="0"/>
          <w:szCs w:val="22"/>
          <w:lang w:val="hy-AM" w:eastAsia="en-US"/>
        </w:rPr>
        <w:softHyphen/>
        <w:t>րի գծով 202</w:t>
      </w:r>
      <w:r w:rsidRPr="00E960A7">
        <w:rPr>
          <w:rFonts w:eastAsia="Calibri"/>
          <w:b w:val="0"/>
          <w:szCs w:val="22"/>
          <w:lang w:val="hy-AM" w:eastAsia="en-US"/>
        </w:rPr>
        <w:t>4</w:t>
      </w:r>
      <w:r w:rsidRPr="003337B9">
        <w:rPr>
          <w:rFonts w:eastAsia="Calibri"/>
          <w:b w:val="0"/>
          <w:szCs w:val="22"/>
          <w:lang w:val="hy-AM" w:eastAsia="en-US"/>
        </w:rPr>
        <w:t xml:space="preserve"> թվականի մուտքերը կ</w:t>
      </w:r>
      <w:r w:rsidRPr="00E960A7">
        <w:rPr>
          <w:rFonts w:eastAsia="Calibri"/>
          <w:b w:val="0"/>
          <w:szCs w:val="22"/>
          <w:lang w:val="hy-AM" w:eastAsia="en-US"/>
        </w:rPr>
        <w:t xml:space="preserve">անխատեսվել են 2,687.5 մլն դրամի </w:t>
      </w:r>
      <w:r w:rsidRPr="003337B9">
        <w:rPr>
          <w:rFonts w:eastAsia="Calibri"/>
          <w:b w:val="0"/>
          <w:szCs w:val="22"/>
          <w:lang w:val="hy-AM" w:eastAsia="en-US"/>
        </w:rPr>
        <w:t>չափով՝ 202</w:t>
      </w:r>
      <w:r w:rsidRPr="00E960A7">
        <w:rPr>
          <w:rFonts w:eastAsia="Calibri"/>
          <w:b w:val="0"/>
          <w:szCs w:val="22"/>
          <w:lang w:val="hy-AM" w:eastAsia="en-US"/>
        </w:rPr>
        <w:t>3</w:t>
      </w:r>
      <w:r w:rsidRPr="003337B9">
        <w:rPr>
          <w:rFonts w:eastAsia="Calibri"/>
          <w:b w:val="0"/>
          <w:szCs w:val="22"/>
          <w:lang w:val="hy-AM" w:eastAsia="en-US"/>
        </w:rPr>
        <w:t xml:space="preserve"> թվականի  համար հաստատված </w:t>
      </w:r>
      <w:r w:rsidRPr="00E960A7">
        <w:rPr>
          <w:rFonts w:eastAsia="Calibri"/>
          <w:b w:val="0"/>
          <w:szCs w:val="22"/>
          <w:lang w:val="hy-AM" w:eastAsia="en-US"/>
        </w:rPr>
        <w:t>2,455.0</w:t>
      </w:r>
      <w:r w:rsidRPr="003337B9">
        <w:rPr>
          <w:rFonts w:eastAsia="Calibri"/>
          <w:b w:val="0"/>
          <w:szCs w:val="22"/>
          <w:lang w:val="hy-AM" w:eastAsia="en-US"/>
        </w:rPr>
        <w:t xml:space="preserve"> մլն դրամի  և  202</w:t>
      </w:r>
      <w:r w:rsidRPr="00E960A7">
        <w:rPr>
          <w:rFonts w:eastAsia="Calibri"/>
          <w:b w:val="0"/>
          <w:szCs w:val="22"/>
          <w:lang w:val="hy-AM" w:eastAsia="en-US"/>
        </w:rPr>
        <w:t>2</w:t>
      </w:r>
      <w:r w:rsidRPr="003337B9">
        <w:rPr>
          <w:rFonts w:eastAsia="Calibri"/>
          <w:b w:val="0"/>
          <w:szCs w:val="22"/>
          <w:lang w:val="hy-AM" w:eastAsia="en-US"/>
        </w:rPr>
        <w:t xml:space="preserve"> թվականին փաստացի ստացված </w:t>
      </w:r>
      <w:r w:rsidRPr="00E960A7">
        <w:rPr>
          <w:rFonts w:eastAsia="Calibri"/>
          <w:b w:val="0"/>
          <w:szCs w:val="22"/>
          <w:lang w:val="hy-AM" w:eastAsia="en-US"/>
        </w:rPr>
        <w:t>2</w:t>
      </w:r>
      <w:r w:rsidRPr="003337B9">
        <w:rPr>
          <w:rFonts w:eastAsia="Calibri"/>
          <w:b w:val="0"/>
          <w:szCs w:val="22"/>
          <w:lang w:val="hy-AM" w:eastAsia="en-US"/>
        </w:rPr>
        <w:t>,</w:t>
      </w:r>
      <w:r w:rsidRPr="00E960A7">
        <w:rPr>
          <w:rFonts w:eastAsia="Calibri"/>
          <w:b w:val="0"/>
          <w:szCs w:val="22"/>
          <w:lang w:val="hy-AM" w:eastAsia="en-US"/>
        </w:rPr>
        <w:t>576.5</w:t>
      </w:r>
      <w:r w:rsidRPr="003337B9">
        <w:rPr>
          <w:rFonts w:eastAsia="Calibri"/>
          <w:b w:val="0"/>
          <w:szCs w:val="22"/>
          <w:lang w:val="hy-AM" w:eastAsia="en-US"/>
        </w:rPr>
        <w:t xml:space="preserve"> մլն դրամի դիմաց:  Պետական տուրքի այս տեսակի գծով 202</w:t>
      </w:r>
      <w:r w:rsidRPr="00E960A7">
        <w:rPr>
          <w:rFonts w:eastAsia="Calibri"/>
          <w:b w:val="0"/>
          <w:szCs w:val="22"/>
          <w:lang w:val="hy-AM" w:eastAsia="en-US"/>
        </w:rPr>
        <w:t>4</w:t>
      </w:r>
      <w:r w:rsidRPr="003337B9">
        <w:rPr>
          <w:rFonts w:eastAsia="Calibri"/>
          <w:b w:val="0"/>
          <w:szCs w:val="22"/>
          <w:lang w:val="hy-AM" w:eastAsia="en-US"/>
        </w:rPr>
        <w:t xml:space="preserve"> թվականի  ցուցանիշը ծրագրվել է 202</w:t>
      </w:r>
      <w:r w:rsidRPr="00E960A7">
        <w:rPr>
          <w:rFonts w:eastAsia="Calibri"/>
          <w:b w:val="0"/>
          <w:szCs w:val="22"/>
          <w:lang w:val="hy-AM" w:eastAsia="en-US"/>
        </w:rPr>
        <w:t>3</w:t>
      </w:r>
      <w:r w:rsidRPr="003337B9">
        <w:rPr>
          <w:rFonts w:eastAsia="Calibri"/>
          <w:b w:val="0"/>
          <w:szCs w:val="22"/>
          <w:lang w:val="hy-AM" w:eastAsia="en-US"/>
        </w:rPr>
        <w:t xml:space="preserve"> թվականի սպասողական մուտքերի  նկատմամբ կիրառելով փորձագիտական գնահատականով ներկայացված՝ 202</w:t>
      </w:r>
      <w:r w:rsidRPr="00E960A7">
        <w:rPr>
          <w:rFonts w:eastAsia="Calibri"/>
          <w:b w:val="0"/>
          <w:szCs w:val="22"/>
          <w:lang w:val="hy-AM" w:eastAsia="en-US"/>
        </w:rPr>
        <w:t>3</w:t>
      </w:r>
      <w:r w:rsidRPr="003337B9">
        <w:rPr>
          <w:rFonts w:eastAsia="Calibri"/>
          <w:b w:val="0"/>
          <w:szCs w:val="22"/>
          <w:lang w:val="hy-AM" w:eastAsia="en-US"/>
        </w:rPr>
        <w:t xml:space="preserve"> թվականի սպասողական ցուցանիշի նկատմամբ 202</w:t>
      </w:r>
      <w:r w:rsidRPr="00E960A7">
        <w:rPr>
          <w:rFonts w:eastAsia="Calibri"/>
          <w:b w:val="0"/>
          <w:szCs w:val="22"/>
          <w:lang w:val="hy-AM" w:eastAsia="en-US"/>
        </w:rPr>
        <w:t>4</w:t>
      </w:r>
      <w:r w:rsidRPr="003337B9">
        <w:rPr>
          <w:rFonts w:eastAsia="Calibri"/>
          <w:b w:val="0"/>
          <w:szCs w:val="22"/>
          <w:lang w:val="hy-AM" w:eastAsia="en-US"/>
        </w:rPr>
        <w:t xml:space="preserve"> թվականի նվազման միտումը</w:t>
      </w:r>
      <w:r w:rsidRPr="00E960A7">
        <w:rPr>
          <w:rFonts w:eastAsia="Calibri"/>
          <w:b w:val="0"/>
          <w:szCs w:val="22"/>
          <w:lang w:val="hy-AM" w:eastAsia="en-US"/>
        </w:rPr>
        <w:t xml:space="preserve">, իսկ 2023 </w:t>
      </w:r>
      <w:r w:rsidRPr="00E960A7">
        <w:rPr>
          <w:rFonts w:eastAsia="Calibri"/>
          <w:b w:val="0"/>
          <w:szCs w:val="22"/>
          <w:lang w:val="hy-AM" w:eastAsia="en-US"/>
        </w:rPr>
        <w:lastRenderedPageBreak/>
        <w:t xml:space="preserve">թվականի սպասողական մուտքերը կանխատեսվել են </w:t>
      </w:r>
      <w:r w:rsidRPr="003337B9">
        <w:rPr>
          <w:rFonts w:eastAsia="Calibri"/>
          <w:b w:val="0"/>
          <w:szCs w:val="22"/>
          <w:lang w:val="af-ZA" w:eastAsia="en-US"/>
        </w:rPr>
        <w:t xml:space="preserve">փաստացի ընթացիկ մուտքերի միջինացված ցուցանիշի հիման վրա: </w:t>
      </w:r>
    </w:p>
    <w:p w14:paraId="108968FE" w14:textId="77777777" w:rsidR="003337B9" w:rsidRPr="003337B9" w:rsidRDefault="003337B9" w:rsidP="00701F87">
      <w:pPr>
        <w:tabs>
          <w:tab w:val="left" w:pos="0"/>
        </w:tabs>
        <w:rPr>
          <w:rFonts w:eastAsia="Calibri" w:cs="GHEA Grapalat"/>
          <w:b w:val="0"/>
          <w:szCs w:val="22"/>
          <w:lang w:val="hy-AM" w:eastAsia="en-US"/>
        </w:rPr>
      </w:pPr>
      <w:r w:rsidRPr="003337B9">
        <w:rPr>
          <w:rFonts w:eastAsia="Calibri" w:cs="GHEA Grapalat"/>
          <w:b w:val="0"/>
          <w:szCs w:val="22"/>
          <w:lang w:val="hy-AM" w:eastAsia="en-US"/>
        </w:rPr>
        <w:t>Պետական գրանցման համար գանձվող պետական տուրքերի գծով 2024 թվա</w:t>
      </w:r>
      <w:r w:rsidRPr="003337B9">
        <w:rPr>
          <w:rFonts w:eastAsia="Calibri" w:cs="GHEA Grapalat"/>
          <w:b w:val="0"/>
          <w:szCs w:val="22"/>
          <w:lang w:val="hy-AM" w:eastAsia="en-US"/>
        </w:rPr>
        <w:softHyphen/>
        <w:t>կա</w:t>
      </w:r>
      <w:r w:rsidRPr="003337B9">
        <w:rPr>
          <w:rFonts w:eastAsia="Calibri" w:cs="GHEA Grapalat"/>
          <w:b w:val="0"/>
          <w:szCs w:val="22"/>
          <w:lang w:val="hy-AM" w:eastAsia="en-US"/>
        </w:rPr>
        <w:softHyphen/>
        <w:t xml:space="preserve">նի մուտքերը կանխատեսվել են </w:t>
      </w:r>
      <w:r w:rsidRPr="003337B9">
        <w:rPr>
          <w:rFonts w:eastAsia="Calibri" w:cs="GHEA Grapalat"/>
          <w:b w:val="0"/>
          <w:szCs w:val="22"/>
          <w:lang w:val="af-ZA" w:eastAsia="en-US"/>
        </w:rPr>
        <w:t>7</w:t>
      </w:r>
      <w:r w:rsidRPr="003337B9">
        <w:rPr>
          <w:rFonts w:eastAsia="Calibri" w:cs="GHEA Grapalat"/>
          <w:b w:val="0"/>
          <w:szCs w:val="22"/>
          <w:lang w:val="hy-AM" w:eastAsia="en-US"/>
        </w:rPr>
        <w:t>,120.</w:t>
      </w:r>
      <w:r w:rsidR="00313D85" w:rsidRPr="00313D85">
        <w:rPr>
          <w:rFonts w:eastAsia="Calibri" w:cs="GHEA Grapalat"/>
          <w:b w:val="0"/>
          <w:szCs w:val="22"/>
          <w:lang w:val="af-ZA" w:eastAsia="en-US"/>
        </w:rPr>
        <w:t>5</w:t>
      </w:r>
      <w:r w:rsidRPr="003337B9">
        <w:rPr>
          <w:rFonts w:eastAsia="Calibri" w:cs="GHEA Grapalat"/>
          <w:b w:val="0"/>
          <w:szCs w:val="22"/>
          <w:lang w:val="hy-AM" w:eastAsia="en-US"/>
        </w:rPr>
        <w:t xml:space="preserve"> մլն դրամի չափով` 2023 թվա</w:t>
      </w:r>
      <w:r w:rsidRPr="003337B9">
        <w:rPr>
          <w:rFonts w:eastAsia="Calibri" w:cs="GHEA Grapalat"/>
          <w:b w:val="0"/>
          <w:szCs w:val="22"/>
          <w:lang w:val="hy-AM" w:eastAsia="en-US"/>
        </w:rPr>
        <w:softHyphen/>
        <w:t>կանի համար հաստատված 5,321.</w:t>
      </w:r>
      <w:r w:rsidRPr="003337B9">
        <w:rPr>
          <w:rFonts w:eastAsia="Calibri" w:cs="GHEA Grapalat"/>
          <w:b w:val="0"/>
          <w:szCs w:val="22"/>
          <w:lang w:val="af-ZA" w:eastAsia="en-US"/>
        </w:rPr>
        <w:t>0</w:t>
      </w:r>
      <w:r w:rsidRPr="003337B9">
        <w:rPr>
          <w:rFonts w:eastAsia="Calibri" w:cs="GHEA Grapalat"/>
          <w:b w:val="0"/>
          <w:szCs w:val="22"/>
          <w:lang w:val="hy-AM" w:eastAsia="en-US"/>
        </w:rPr>
        <w:t xml:space="preserve"> մլն դրամի և 2022 թվականին փաս</w:t>
      </w:r>
      <w:r w:rsidRPr="003337B9">
        <w:rPr>
          <w:rFonts w:eastAsia="Calibri" w:cs="GHEA Grapalat"/>
          <w:b w:val="0"/>
          <w:szCs w:val="22"/>
          <w:lang w:val="hy-AM" w:eastAsia="en-US"/>
        </w:rPr>
        <w:softHyphen/>
        <w:t xml:space="preserve">տացի ստացված </w:t>
      </w:r>
      <w:r w:rsidRPr="003337B9">
        <w:rPr>
          <w:rFonts w:eastAsia="Calibri" w:cs="GHEA Grapalat"/>
          <w:b w:val="0"/>
          <w:szCs w:val="22"/>
          <w:lang w:val="af-ZA" w:eastAsia="en-US"/>
        </w:rPr>
        <w:t>4</w:t>
      </w:r>
      <w:r w:rsidRPr="003337B9">
        <w:rPr>
          <w:rFonts w:eastAsia="Calibri" w:cs="GHEA Grapalat"/>
          <w:b w:val="0"/>
          <w:szCs w:val="22"/>
          <w:lang w:val="hy-AM" w:eastAsia="en-US"/>
        </w:rPr>
        <w:t>,</w:t>
      </w:r>
      <w:r w:rsidRPr="003337B9">
        <w:rPr>
          <w:rFonts w:eastAsia="Calibri" w:cs="GHEA Grapalat"/>
          <w:b w:val="0"/>
          <w:szCs w:val="22"/>
          <w:lang w:val="af-ZA" w:eastAsia="en-US"/>
        </w:rPr>
        <w:t>863.3</w:t>
      </w:r>
      <w:r w:rsidRPr="003337B9">
        <w:rPr>
          <w:rFonts w:eastAsia="Calibri" w:cs="GHEA Grapalat"/>
          <w:b w:val="0"/>
          <w:szCs w:val="22"/>
          <w:lang w:val="hy-AM" w:eastAsia="en-US"/>
        </w:rPr>
        <w:t xml:space="preserve"> մլն դրամի դիմաց: </w:t>
      </w:r>
    </w:p>
    <w:p w14:paraId="028D9738" w14:textId="77777777" w:rsidR="003337B9" w:rsidRPr="003337B9" w:rsidRDefault="003337B9" w:rsidP="00701F87">
      <w:pPr>
        <w:tabs>
          <w:tab w:val="left" w:pos="0"/>
          <w:tab w:val="left" w:pos="1080"/>
        </w:tabs>
        <w:rPr>
          <w:rFonts w:eastAsia="Calibri" w:cs="GHEA Grapalat"/>
          <w:b w:val="0"/>
          <w:szCs w:val="22"/>
          <w:lang w:val="hy-AM" w:eastAsia="en-US"/>
        </w:rPr>
      </w:pPr>
      <w:r w:rsidRPr="003337B9">
        <w:rPr>
          <w:rFonts w:eastAsia="Calibri" w:cs="GHEA Grapalat"/>
          <w:b w:val="0"/>
          <w:szCs w:val="22"/>
          <w:lang w:val="hy-AM" w:eastAsia="en-US"/>
        </w:rPr>
        <w:t>Պետական գրանցման համար գանձվող պետական տուրքերի գերակշռող մասը՝ 68.8 %-ը կամ 4,900.0 մլն դրամը 2024 թվականին ապահովվելու է պետական տուրքի հետև</w:t>
      </w:r>
      <w:r w:rsidRPr="003337B9">
        <w:rPr>
          <w:rFonts w:eastAsia="Calibri" w:cs="GHEA Grapalat"/>
          <w:b w:val="0"/>
          <w:szCs w:val="22"/>
          <w:lang w:val="hy-AM" w:eastAsia="en-US"/>
        </w:rPr>
        <w:softHyphen/>
        <w:t xml:space="preserve">յալ 3 խմբերի հաշվին՝ </w:t>
      </w:r>
    </w:p>
    <w:p w14:paraId="0CEEE2A3" w14:textId="77777777" w:rsidR="003337B9" w:rsidRPr="00097368" w:rsidRDefault="003337B9" w:rsidP="00097368">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3337B9">
        <w:rPr>
          <w:rFonts w:eastAsia="Calibri" w:cs="Sylfaen"/>
          <w:b w:val="0"/>
          <w:szCs w:val="22"/>
          <w:lang w:val="af-ZA"/>
        </w:rPr>
        <w:t xml:space="preserve"> </w:t>
      </w:r>
      <w:r w:rsidRPr="00097368">
        <w:rPr>
          <w:rFonts w:eastAsia="Calibri" w:cs="Arial"/>
          <w:b w:val="0"/>
          <w:bCs/>
          <w:kern w:val="2"/>
          <w:szCs w:val="22"/>
          <w:lang w:val="hy-AM"/>
          <w14:ligatures w14:val="standardContextual"/>
        </w:rPr>
        <w:t>ավտոմեքենայի պետական համարանիշ տալու, գյու</w:t>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t>ղա</w:t>
      </w:r>
      <w:r w:rsidRPr="00097368">
        <w:rPr>
          <w:rFonts w:eastAsia="Calibri" w:cs="Arial"/>
          <w:b w:val="0"/>
          <w:bCs/>
          <w:kern w:val="2"/>
          <w:szCs w:val="22"/>
          <w:lang w:val="hy-AM"/>
          <w14:ligatures w14:val="standardContextual"/>
        </w:rPr>
        <w:softHyphen/>
        <w:t>տն</w:t>
      </w:r>
      <w:r w:rsidRPr="00097368">
        <w:rPr>
          <w:rFonts w:eastAsia="Calibri" w:cs="Arial"/>
          <w:b w:val="0"/>
          <w:bCs/>
          <w:kern w:val="2"/>
          <w:szCs w:val="22"/>
          <w:lang w:val="hy-AM"/>
          <w14:ligatures w14:val="standardContextual"/>
        </w:rPr>
        <w:softHyphen/>
        <w:t>տե</w:t>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t>սական ինքնագնաց մեքենաների գրանցման, ինչպես նաև պետական համարանիշ տալու և կորցրածը վերականգնելու համար գանձվող պետական տուրքեր, որոնց գծով 2024 թվա</w:t>
      </w:r>
      <w:r w:rsidRPr="00097368">
        <w:rPr>
          <w:rFonts w:eastAsia="Calibri" w:cs="Arial"/>
          <w:b w:val="0"/>
          <w:bCs/>
          <w:kern w:val="2"/>
          <w:szCs w:val="22"/>
          <w:lang w:val="hy-AM"/>
          <w14:ligatures w14:val="standardContextual"/>
        </w:rPr>
        <w:softHyphen/>
        <w:t>կա</w:t>
      </w:r>
      <w:r w:rsidRPr="00097368">
        <w:rPr>
          <w:rFonts w:eastAsia="Calibri" w:cs="Arial"/>
          <w:b w:val="0"/>
          <w:bCs/>
          <w:kern w:val="2"/>
          <w:szCs w:val="22"/>
          <w:lang w:val="hy-AM"/>
          <w14:ligatures w14:val="standardContextual"/>
        </w:rPr>
        <w:softHyphen/>
        <w:t>նի մուտքերը ծրա</w:t>
      </w:r>
      <w:r w:rsidRPr="00097368">
        <w:rPr>
          <w:rFonts w:eastAsia="Calibri" w:cs="Arial"/>
          <w:b w:val="0"/>
          <w:bCs/>
          <w:kern w:val="2"/>
          <w:szCs w:val="22"/>
          <w:lang w:val="hy-AM"/>
          <w14:ligatures w14:val="standardContextual"/>
        </w:rPr>
        <w:softHyphen/>
        <w:t>գր</w:t>
      </w:r>
      <w:r w:rsidRPr="00097368">
        <w:rPr>
          <w:rFonts w:eastAsia="Calibri" w:cs="Arial"/>
          <w:b w:val="0"/>
          <w:bCs/>
          <w:kern w:val="2"/>
          <w:szCs w:val="22"/>
          <w:lang w:val="hy-AM"/>
          <w14:ligatures w14:val="standardContextual"/>
        </w:rPr>
        <w:softHyphen/>
        <w:t>վել են 2,397.9 մլն դրամի չափով (պետական գրանցումից 2024 թվականի պետա</w:t>
      </w:r>
      <w:r w:rsidRPr="00097368">
        <w:rPr>
          <w:rFonts w:eastAsia="Calibri" w:cs="Arial"/>
          <w:b w:val="0"/>
          <w:bCs/>
          <w:kern w:val="2"/>
          <w:szCs w:val="22"/>
          <w:lang w:val="hy-AM"/>
          <w14:ligatures w14:val="standardContextual"/>
        </w:rPr>
        <w:softHyphen/>
        <w:t>կան տուրքերի կան</w:t>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t>խա</w:t>
      </w:r>
      <w:r w:rsidRPr="00097368">
        <w:rPr>
          <w:rFonts w:eastAsia="Calibri" w:cs="Arial"/>
          <w:b w:val="0"/>
          <w:bCs/>
          <w:kern w:val="2"/>
          <w:szCs w:val="22"/>
          <w:lang w:val="hy-AM"/>
          <w14:ligatures w14:val="standardContextual"/>
        </w:rPr>
        <w:softHyphen/>
        <w:t>տես</w:t>
      </w:r>
      <w:r w:rsidRPr="00097368">
        <w:rPr>
          <w:rFonts w:eastAsia="Calibri" w:cs="Arial"/>
          <w:b w:val="0"/>
          <w:bCs/>
          <w:kern w:val="2"/>
          <w:szCs w:val="22"/>
          <w:lang w:val="hy-AM"/>
          <w14:ligatures w14:val="standardContextual"/>
        </w:rPr>
        <w:softHyphen/>
        <w:t>վող մուտ</w:t>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t>քերի ամ</w:t>
      </w:r>
      <w:r w:rsidRPr="00097368">
        <w:rPr>
          <w:rFonts w:eastAsia="Calibri" w:cs="Arial"/>
          <w:b w:val="0"/>
          <w:bCs/>
          <w:kern w:val="2"/>
          <w:szCs w:val="22"/>
          <w:lang w:val="hy-AM"/>
          <w14:ligatures w14:val="standardContextual"/>
        </w:rPr>
        <w:softHyphen/>
        <w:t xml:space="preserve">բողջ ծավալի 33.7%-ը)՝ 2023 թվականի համար հաստատված 2,265.1 մլն դրամի և 2022 թվականին փաստացի ստացված 2,068.2 մլն դրամի դիմաց: Պետական տուրքի այս տեսակի գծով 2024 թվականի  ցուցանիշը ծրագրվել է 2023 սպասողական մուտքերի նկատմամբ կիրառելով փորձագիտական գնահատականով ներկայացված 2023 թվականի սպասողական ցուցանիշի նկատմամբ 2024 թվականի ցուցանիշի աճի միտումը, իսկ 2023 թվականի սպասողական մուտքերը կանխատեսվել են 2023 թվականի առաջին 7 ամիսների փաստացի մուտքերի նկատմամբ կիրառելով 2021-2022 թվականների տարեկան փաստացի մուտքերում առաջին 7 ամիսների տեսակարար կշիռների միջինացված ցուցանիշը:  </w:t>
      </w:r>
    </w:p>
    <w:p w14:paraId="43794FE6" w14:textId="77777777" w:rsidR="003337B9" w:rsidRPr="00097368" w:rsidRDefault="003337B9" w:rsidP="00097368">
      <w:pPr>
        <w:pStyle w:val="ListParagraph"/>
        <w:numPr>
          <w:ilvl w:val="0"/>
          <w:numId w:val="55"/>
        </w:numPr>
        <w:tabs>
          <w:tab w:val="left" w:pos="284"/>
        </w:tabs>
        <w:suppressAutoHyphens/>
        <w:spacing w:before="0" w:after="160"/>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 ավտոմեքենայի (մոտոցիկլետի) տեխնիկական անձնագիր (գրանցման վկա</w:t>
      </w:r>
      <w:r w:rsidRPr="00097368">
        <w:rPr>
          <w:rFonts w:eastAsia="Calibri" w:cs="Arial"/>
          <w:b w:val="0"/>
          <w:bCs/>
          <w:kern w:val="2"/>
          <w:szCs w:val="22"/>
          <w:lang w:val="hy-AM"/>
          <w14:ligatures w14:val="standardContextual"/>
        </w:rPr>
        <w:softHyphen/>
        <w:t>յա</w:t>
      </w:r>
      <w:r w:rsidRPr="00097368">
        <w:rPr>
          <w:rFonts w:eastAsia="Calibri" w:cs="Arial"/>
          <w:b w:val="0"/>
          <w:bCs/>
          <w:kern w:val="2"/>
          <w:szCs w:val="22"/>
          <w:lang w:val="hy-AM"/>
          <w14:ligatures w14:val="standardContextual"/>
        </w:rPr>
        <w:softHyphen/>
        <w:t>կան) տա</w:t>
      </w:r>
      <w:r w:rsidRPr="00097368">
        <w:rPr>
          <w:rFonts w:eastAsia="Calibri" w:cs="Arial"/>
          <w:b w:val="0"/>
          <w:bCs/>
          <w:kern w:val="2"/>
          <w:szCs w:val="22"/>
          <w:lang w:val="hy-AM"/>
          <w14:ligatures w14:val="standardContextual"/>
        </w:rPr>
        <w:softHyphen/>
        <w:t>լու համար գանձ</w:t>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t>վող պե</w:t>
      </w:r>
      <w:r w:rsidRPr="00097368">
        <w:rPr>
          <w:rFonts w:eastAsia="Calibri" w:cs="Arial"/>
          <w:b w:val="0"/>
          <w:bCs/>
          <w:kern w:val="2"/>
          <w:szCs w:val="22"/>
          <w:lang w:val="hy-AM"/>
          <w14:ligatures w14:val="standardContextual"/>
        </w:rPr>
        <w:softHyphen/>
        <w:t>տական տուրքեր, որոնց գծով 2024 թվականի մուտքերը  կանխատեսվել են փորձագիտական գնահատականով ներկայացված 1,152.0 մլն դրամի չափով (պետական գրանցումից 2024 թվականի պետա</w:t>
      </w:r>
      <w:r w:rsidRPr="00097368">
        <w:rPr>
          <w:rFonts w:eastAsia="Calibri" w:cs="Arial"/>
          <w:b w:val="0"/>
          <w:bCs/>
          <w:kern w:val="2"/>
          <w:szCs w:val="22"/>
          <w:lang w:val="hy-AM"/>
          <w14:ligatures w14:val="standardContextual"/>
        </w:rPr>
        <w:softHyphen/>
        <w:t>կան տուրքերի կան</w:t>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t>խա</w:t>
      </w:r>
      <w:r w:rsidRPr="00097368">
        <w:rPr>
          <w:rFonts w:eastAsia="Calibri" w:cs="Arial"/>
          <w:b w:val="0"/>
          <w:bCs/>
          <w:kern w:val="2"/>
          <w:szCs w:val="22"/>
          <w:lang w:val="hy-AM"/>
          <w14:ligatures w14:val="standardContextual"/>
        </w:rPr>
        <w:softHyphen/>
        <w:t>տես</w:t>
      </w:r>
      <w:r w:rsidRPr="00097368">
        <w:rPr>
          <w:rFonts w:eastAsia="Calibri" w:cs="Arial"/>
          <w:b w:val="0"/>
          <w:bCs/>
          <w:kern w:val="2"/>
          <w:szCs w:val="22"/>
          <w:lang w:val="hy-AM"/>
          <w14:ligatures w14:val="standardContextual"/>
        </w:rPr>
        <w:softHyphen/>
        <w:t>վող մուտքերի ամ</w:t>
      </w:r>
      <w:r w:rsidRPr="00097368">
        <w:rPr>
          <w:rFonts w:eastAsia="Calibri" w:cs="Arial"/>
          <w:b w:val="0"/>
          <w:bCs/>
          <w:kern w:val="2"/>
          <w:szCs w:val="22"/>
          <w:lang w:val="hy-AM"/>
          <w14:ligatures w14:val="standardContextual"/>
        </w:rPr>
        <w:softHyphen/>
        <w:t xml:space="preserve">բողջ ծավալի 16.2%-ը)՝ 2023 թվականի համար հաստատված 1,167.6մլն դրամի և 2022 թվականին փաստացի ստացված 1,073.2 մլն դրամի դիմաց: </w:t>
      </w:r>
    </w:p>
    <w:p w14:paraId="1FFAFC5F" w14:textId="77777777" w:rsidR="003337B9" w:rsidRPr="003337B9" w:rsidRDefault="003337B9" w:rsidP="00097368">
      <w:pPr>
        <w:pStyle w:val="ListParagraph"/>
        <w:numPr>
          <w:ilvl w:val="0"/>
          <w:numId w:val="55"/>
        </w:numPr>
        <w:tabs>
          <w:tab w:val="left" w:pos="284"/>
        </w:tabs>
        <w:suppressAutoHyphens/>
        <w:spacing w:before="0" w:after="160"/>
        <w:ind w:left="0" w:firstLine="0"/>
        <w:rPr>
          <w:rFonts w:eastAsia="Calibri" w:cs="Sylfaen"/>
          <w:b w:val="0"/>
          <w:szCs w:val="22"/>
          <w:lang w:val="af-ZA"/>
        </w:rPr>
      </w:pPr>
      <w:r w:rsidRPr="00097368">
        <w:rPr>
          <w:rFonts w:eastAsia="Calibri" w:cs="Arial"/>
          <w:b w:val="0"/>
          <w:bCs/>
          <w:kern w:val="2"/>
          <w:szCs w:val="22"/>
          <w:lang w:val="hy-AM"/>
          <w14:ligatures w14:val="standardContextual"/>
        </w:rPr>
        <w:t xml:space="preserve"> գույքի նկատմամբ իրավունքների պետական գրանցում կատարելու համար գանձվող պետական տուրքեր, որոնց գծով 2024 թվականի մուտքերը կադաստրի կոմիտեի մասով կանխատեսվել են փորձագիտական գնահատականով ներկայացված 1,350.0 մլն դրա</w:t>
      </w:r>
      <w:r w:rsidRPr="00097368">
        <w:rPr>
          <w:rFonts w:eastAsia="Calibri" w:cs="Arial"/>
          <w:b w:val="0"/>
          <w:bCs/>
          <w:kern w:val="2"/>
          <w:szCs w:val="22"/>
          <w:lang w:val="hy-AM"/>
          <w14:ligatures w14:val="standardContextual"/>
        </w:rPr>
        <w:softHyphen/>
      </w:r>
      <w:r w:rsidRPr="00097368">
        <w:rPr>
          <w:rFonts w:eastAsia="Calibri" w:cs="Arial"/>
          <w:b w:val="0"/>
          <w:bCs/>
          <w:kern w:val="2"/>
          <w:szCs w:val="22"/>
          <w:lang w:val="hy-AM"/>
          <w14:ligatures w14:val="standardContextual"/>
        </w:rPr>
        <w:softHyphen/>
        <w:t>մի չափով (</w:t>
      </w:r>
      <w:r w:rsidRPr="003337B9">
        <w:rPr>
          <w:rFonts w:eastAsia="Calibri" w:cs="Sylfaen"/>
          <w:b w:val="0"/>
          <w:szCs w:val="22"/>
          <w:lang w:val="af-ZA"/>
        </w:rPr>
        <w:t>պետական գրանցումից 2023 թվականի պետա</w:t>
      </w:r>
      <w:r w:rsidRPr="003337B9">
        <w:rPr>
          <w:rFonts w:eastAsia="Calibri" w:cs="Sylfaen"/>
          <w:b w:val="0"/>
          <w:szCs w:val="22"/>
          <w:lang w:val="af-ZA"/>
        </w:rPr>
        <w:softHyphen/>
        <w:t>կան տուրքերի կան</w:t>
      </w:r>
      <w:r w:rsidRPr="003337B9">
        <w:rPr>
          <w:rFonts w:eastAsia="Calibri" w:cs="Sylfaen"/>
          <w:b w:val="0"/>
          <w:szCs w:val="22"/>
          <w:lang w:val="af-ZA"/>
        </w:rPr>
        <w:softHyphen/>
      </w:r>
      <w:r w:rsidRPr="003337B9">
        <w:rPr>
          <w:rFonts w:eastAsia="Calibri" w:cs="Sylfaen"/>
          <w:b w:val="0"/>
          <w:szCs w:val="22"/>
          <w:lang w:val="af-ZA"/>
        </w:rPr>
        <w:softHyphen/>
      </w:r>
      <w:r w:rsidRPr="003337B9">
        <w:rPr>
          <w:rFonts w:eastAsia="Calibri" w:cs="Sylfaen"/>
          <w:b w:val="0"/>
          <w:szCs w:val="22"/>
          <w:lang w:val="af-ZA"/>
        </w:rPr>
        <w:softHyphen/>
        <w:t>խա</w:t>
      </w:r>
      <w:r w:rsidRPr="003337B9">
        <w:rPr>
          <w:rFonts w:eastAsia="Calibri" w:cs="Sylfaen"/>
          <w:b w:val="0"/>
          <w:szCs w:val="22"/>
          <w:lang w:val="af-ZA"/>
        </w:rPr>
        <w:softHyphen/>
        <w:t>տես</w:t>
      </w:r>
      <w:r w:rsidRPr="003337B9">
        <w:rPr>
          <w:rFonts w:eastAsia="Calibri" w:cs="Sylfaen"/>
          <w:b w:val="0"/>
          <w:szCs w:val="22"/>
          <w:lang w:val="af-ZA"/>
        </w:rPr>
        <w:softHyphen/>
        <w:t>վող մուտքերի ամ</w:t>
      </w:r>
      <w:r w:rsidRPr="003337B9">
        <w:rPr>
          <w:rFonts w:eastAsia="Calibri" w:cs="Sylfaen"/>
          <w:b w:val="0"/>
          <w:szCs w:val="22"/>
          <w:lang w:val="af-ZA"/>
        </w:rPr>
        <w:softHyphen/>
        <w:t>բողջ ծավալի 19.0%-ը), 2023 թվականի համար հաստատված 1,475.1 մլն դրամի և 2022 թվակա</w:t>
      </w:r>
      <w:r w:rsidRPr="003337B9">
        <w:rPr>
          <w:rFonts w:eastAsia="Calibri" w:cs="Sylfaen"/>
          <w:b w:val="0"/>
          <w:szCs w:val="22"/>
          <w:lang w:val="af-ZA"/>
        </w:rPr>
        <w:softHyphen/>
        <w:t>նին փաստացի ստացված 1,294.7 մլն դրամի դի</w:t>
      </w:r>
      <w:r w:rsidRPr="003337B9">
        <w:rPr>
          <w:rFonts w:eastAsia="Calibri" w:cs="Sylfaen"/>
          <w:b w:val="0"/>
          <w:szCs w:val="22"/>
          <w:lang w:val="af-ZA"/>
        </w:rPr>
        <w:softHyphen/>
        <w:t xml:space="preserve">մաց:  </w:t>
      </w:r>
    </w:p>
    <w:p w14:paraId="7AB07A30" w14:textId="77777777" w:rsidR="003337B9" w:rsidRPr="003337B9" w:rsidRDefault="003337B9" w:rsidP="00701F87">
      <w:pPr>
        <w:rPr>
          <w:rFonts w:eastAsia="Calibri"/>
          <w:b w:val="0"/>
          <w:szCs w:val="22"/>
          <w:lang w:val="af-ZA" w:eastAsia="en-US"/>
        </w:rPr>
      </w:pPr>
      <w:r w:rsidRPr="003337B9">
        <w:rPr>
          <w:rFonts w:eastAsia="Calibri" w:hint="eastAsia"/>
          <w:b w:val="0"/>
          <w:szCs w:val="22"/>
          <w:lang w:val="hy-AM" w:eastAsia="en-US"/>
        </w:rPr>
        <w:t xml:space="preserve">Գյուտերի, արդյունաբերական դիզայնների, բույսերի սորտերի, ապրանքային նշանների, աշխարհագրական նշումների, ծագման տեղանունների, երաշխավորված ավանդական արտադրանքի, ֆիրմային անվանումների, ինտեգրալ միկրոսխեմաների տոպոլոգիաների իրավական պահպանության հետ կապված իրավաբանական նշանակություն ունեցող </w:t>
      </w:r>
      <w:r w:rsidRPr="003337B9">
        <w:rPr>
          <w:rFonts w:eastAsia="Calibri" w:hint="eastAsia"/>
          <w:b w:val="0"/>
          <w:szCs w:val="22"/>
          <w:lang w:val="hy-AM" w:eastAsia="en-US"/>
        </w:rPr>
        <w:lastRenderedPageBreak/>
        <w:t>գործողությունների համար</w:t>
      </w:r>
      <w:r w:rsidRPr="003337B9">
        <w:rPr>
          <w:rFonts w:eastAsia="Calibri"/>
          <w:b w:val="0"/>
          <w:szCs w:val="22"/>
          <w:lang w:val="hy-AM" w:eastAsia="en-US"/>
        </w:rPr>
        <w:t xml:space="preserve"> գանձվող պե</w:t>
      </w:r>
      <w:r w:rsidRPr="003337B9">
        <w:rPr>
          <w:rFonts w:eastAsia="Calibri"/>
          <w:b w:val="0"/>
          <w:szCs w:val="22"/>
          <w:lang w:val="hy-AM" w:eastAsia="en-US"/>
        </w:rPr>
        <w:softHyphen/>
        <w:t>տա</w:t>
      </w:r>
      <w:r w:rsidRPr="003337B9">
        <w:rPr>
          <w:rFonts w:eastAsia="Calibri"/>
          <w:b w:val="0"/>
          <w:szCs w:val="22"/>
          <w:lang w:val="hy-AM" w:eastAsia="en-US"/>
        </w:rPr>
        <w:softHyphen/>
        <w:t>կան տուրքերի գծով 202</w:t>
      </w:r>
      <w:r w:rsidRPr="003337B9">
        <w:rPr>
          <w:rFonts w:eastAsia="Calibri"/>
          <w:b w:val="0"/>
          <w:szCs w:val="22"/>
          <w:lang w:val="af-ZA" w:eastAsia="en-US"/>
        </w:rPr>
        <w:t>4</w:t>
      </w:r>
      <w:r w:rsidRPr="003337B9">
        <w:rPr>
          <w:rFonts w:eastAsia="Calibri"/>
          <w:b w:val="0"/>
          <w:szCs w:val="22"/>
          <w:lang w:val="hy-AM" w:eastAsia="en-US"/>
        </w:rPr>
        <w:t xml:space="preserve"> թվականի մուտքե</w:t>
      </w:r>
      <w:r w:rsidRPr="003337B9">
        <w:rPr>
          <w:rFonts w:eastAsia="Calibri"/>
          <w:b w:val="0"/>
          <w:szCs w:val="22"/>
          <w:lang w:val="hy-AM" w:eastAsia="en-US"/>
        </w:rPr>
        <w:softHyphen/>
        <w:t xml:space="preserve">րը կանխատեսվել են </w:t>
      </w:r>
      <w:r w:rsidRPr="003337B9">
        <w:rPr>
          <w:rFonts w:eastAsia="Calibri"/>
          <w:b w:val="0"/>
          <w:szCs w:val="22"/>
          <w:lang w:val="af-ZA" w:eastAsia="en-US"/>
        </w:rPr>
        <w:t xml:space="preserve">2023 </w:t>
      </w:r>
      <w:r w:rsidRPr="003337B9">
        <w:rPr>
          <w:rFonts w:eastAsia="Calibri"/>
          <w:b w:val="0"/>
          <w:szCs w:val="22"/>
          <w:lang w:val="en-US" w:eastAsia="en-US"/>
        </w:rPr>
        <w:t>թվականի</w:t>
      </w:r>
      <w:r w:rsidRPr="003337B9">
        <w:rPr>
          <w:rFonts w:eastAsia="Calibri"/>
          <w:b w:val="0"/>
          <w:szCs w:val="22"/>
          <w:lang w:val="af-ZA" w:eastAsia="en-US"/>
        </w:rPr>
        <w:t xml:space="preserve"> </w:t>
      </w:r>
      <w:r w:rsidRPr="003337B9">
        <w:rPr>
          <w:rFonts w:eastAsia="Calibri"/>
          <w:b w:val="0"/>
          <w:szCs w:val="22"/>
          <w:lang w:val="en-US" w:eastAsia="en-US"/>
        </w:rPr>
        <w:t>սպասողական</w:t>
      </w:r>
      <w:r w:rsidRPr="003337B9">
        <w:rPr>
          <w:rFonts w:eastAsia="Calibri"/>
          <w:b w:val="0"/>
          <w:szCs w:val="22"/>
          <w:lang w:val="af-ZA" w:eastAsia="en-US"/>
        </w:rPr>
        <w:t xml:space="preserve"> </w:t>
      </w:r>
      <w:r w:rsidRPr="003337B9">
        <w:rPr>
          <w:rFonts w:eastAsia="Calibri"/>
          <w:b w:val="0"/>
          <w:szCs w:val="22"/>
          <w:lang w:val="en-US" w:eastAsia="en-US"/>
        </w:rPr>
        <w:t>մուտքերի</w:t>
      </w:r>
      <w:r w:rsidRPr="003337B9">
        <w:rPr>
          <w:rFonts w:eastAsia="Calibri"/>
          <w:b w:val="0"/>
          <w:szCs w:val="22"/>
          <w:lang w:val="af-ZA" w:eastAsia="en-US"/>
        </w:rPr>
        <w:t xml:space="preserve"> </w:t>
      </w:r>
      <w:r w:rsidRPr="003337B9">
        <w:rPr>
          <w:rFonts w:eastAsia="Calibri"/>
          <w:b w:val="0"/>
          <w:szCs w:val="22"/>
          <w:lang w:val="en-US" w:eastAsia="en-US"/>
        </w:rPr>
        <w:t>չափով՝</w:t>
      </w:r>
      <w:r w:rsidRPr="003337B9">
        <w:rPr>
          <w:rFonts w:eastAsia="Calibri"/>
          <w:b w:val="0"/>
          <w:szCs w:val="22"/>
          <w:lang w:val="af-ZA" w:eastAsia="en-US"/>
        </w:rPr>
        <w:t xml:space="preserve"> </w:t>
      </w:r>
      <w:r w:rsidRPr="003337B9">
        <w:rPr>
          <w:rFonts w:eastAsia="Calibri"/>
          <w:b w:val="0"/>
          <w:szCs w:val="22"/>
          <w:lang w:val="hy-AM" w:eastAsia="en-US"/>
        </w:rPr>
        <w:t>379.5 մլն դրամ</w:t>
      </w:r>
      <w:r w:rsidRPr="003337B9">
        <w:rPr>
          <w:rFonts w:eastAsia="Calibri"/>
          <w:b w:val="0"/>
          <w:szCs w:val="22"/>
          <w:lang w:val="af-ZA" w:eastAsia="en-US"/>
        </w:rPr>
        <w:t xml:space="preserve">: </w:t>
      </w:r>
      <w:r w:rsidRPr="003337B9">
        <w:rPr>
          <w:rFonts w:eastAsia="Calibri"/>
          <w:b w:val="0"/>
          <w:szCs w:val="22"/>
          <w:lang w:val="hy-AM" w:eastAsia="en-US"/>
        </w:rPr>
        <w:t>2023 թվականի սպասողական մուտքեր</w:t>
      </w:r>
      <w:r w:rsidRPr="003337B9">
        <w:rPr>
          <w:rFonts w:eastAsia="Calibri"/>
          <w:b w:val="0"/>
          <w:szCs w:val="22"/>
          <w:lang w:val="en-US" w:eastAsia="en-US"/>
        </w:rPr>
        <w:t>ը</w:t>
      </w:r>
      <w:r w:rsidRPr="003337B9">
        <w:rPr>
          <w:rFonts w:eastAsia="Calibri"/>
          <w:b w:val="0"/>
          <w:szCs w:val="22"/>
          <w:lang w:val="af-ZA" w:eastAsia="en-US"/>
        </w:rPr>
        <w:t xml:space="preserve"> </w:t>
      </w:r>
      <w:r w:rsidRPr="003337B9">
        <w:rPr>
          <w:rFonts w:eastAsia="Calibri"/>
          <w:b w:val="0"/>
          <w:szCs w:val="22"/>
          <w:lang w:val="hy-AM" w:eastAsia="en-US"/>
        </w:rPr>
        <w:t xml:space="preserve">գնահատվել են </w:t>
      </w:r>
      <w:r w:rsidRPr="003337B9">
        <w:rPr>
          <w:rFonts w:eastAsia="Calibri"/>
          <w:b w:val="0"/>
          <w:szCs w:val="22"/>
          <w:lang w:val="af-ZA" w:eastAsia="en-US"/>
        </w:rPr>
        <w:t xml:space="preserve">փաստացի ընթացիկ մուտքերի միջինացված ցուցանիշի հիման վրա: </w:t>
      </w:r>
    </w:p>
    <w:p w14:paraId="5F4C6DAF" w14:textId="77777777" w:rsidR="003337B9" w:rsidRPr="003337B9" w:rsidRDefault="003337B9" w:rsidP="00701F87">
      <w:pPr>
        <w:rPr>
          <w:rFonts w:eastAsia="Calibri"/>
          <w:b w:val="0"/>
          <w:szCs w:val="22"/>
          <w:lang w:val="af-ZA" w:eastAsia="en-US"/>
        </w:rPr>
      </w:pPr>
      <w:r w:rsidRPr="003337B9">
        <w:rPr>
          <w:rFonts w:eastAsia="Calibri"/>
          <w:b w:val="0"/>
          <w:szCs w:val="22"/>
          <w:lang w:val="hy-AM" w:eastAsia="en-US"/>
        </w:rPr>
        <w:t>Ֆիզիկական անձանց տրվող իրավաբանական նշանակություն ունեցող փաստաթղթերի, որոշակի ծառայությունների կամ գործողությունների համար ՀՀ ոստիկանության կողմից գանձ</w:t>
      </w:r>
      <w:r w:rsidRPr="003337B9">
        <w:rPr>
          <w:rFonts w:eastAsia="Calibri"/>
          <w:b w:val="0"/>
          <w:szCs w:val="22"/>
          <w:lang w:val="hy-AM" w:eastAsia="en-US"/>
        </w:rPr>
        <w:softHyphen/>
        <w:t xml:space="preserve">վող պետական տուրքերի գծով 2024 թվականի մուտքերը կանխատեսվել են </w:t>
      </w:r>
      <w:r w:rsidR="00313D85" w:rsidRPr="00313D85">
        <w:rPr>
          <w:rFonts w:eastAsia="Calibri"/>
          <w:b w:val="0"/>
          <w:szCs w:val="22"/>
          <w:lang w:val="af-ZA" w:eastAsia="en-US"/>
        </w:rPr>
        <w:t>1</w:t>
      </w:r>
      <w:r w:rsidRPr="003337B9">
        <w:rPr>
          <w:rFonts w:eastAsia="Calibri"/>
          <w:b w:val="0"/>
          <w:szCs w:val="22"/>
          <w:lang w:val="hy-AM" w:eastAsia="en-US"/>
        </w:rPr>
        <w:t>,</w:t>
      </w:r>
      <w:r w:rsidR="00313D85" w:rsidRPr="00313D85">
        <w:rPr>
          <w:rFonts w:eastAsia="Calibri"/>
          <w:b w:val="0"/>
          <w:szCs w:val="22"/>
          <w:lang w:val="af-ZA" w:eastAsia="en-US"/>
        </w:rPr>
        <w:t>788.3</w:t>
      </w:r>
      <w:r w:rsidRPr="003337B9">
        <w:rPr>
          <w:rFonts w:eastAsia="Calibri"/>
          <w:b w:val="0"/>
          <w:szCs w:val="22"/>
          <w:lang w:val="hy-AM" w:eastAsia="en-US"/>
        </w:rPr>
        <w:t xml:space="preserve"> մլն դրամի չափով, այդ թվում՝ </w:t>
      </w:r>
      <w:r w:rsidRPr="003337B9">
        <w:rPr>
          <w:rFonts w:eastAsia="Calibri"/>
          <w:b w:val="0"/>
          <w:szCs w:val="22"/>
          <w:lang w:val="af-ZA" w:eastAsia="en-US"/>
        </w:rPr>
        <w:t xml:space="preserve"> </w:t>
      </w:r>
      <w:r w:rsidRPr="003337B9">
        <w:rPr>
          <w:rFonts w:eastAsia="Calibri"/>
          <w:b w:val="0"/>
          <w:szCs w:val="22"/>
          <w:lang w:val="hy-AM" w:eastAsia="en-US"/>
        </w:rPr>
        <w:t>նույնականացման քարտերի մասով կանխատեսումը համապատասխանում է փորձագիտական գնահատականին (227.1 մլն դրամ), իսկ  ՀՀ</w:t>
      </w:r>
      <w:r w:rsidRPr="003337B9">
        <w:rPr>
          <w:rFonts w:eastAsia="Calibri"/>
          <w:b w:val="0"/>
          <w:szCs w:val="22"/>
          <w:lang w:val="af-ZA" w:eastAsia="en-US"/>
        </w:rPr>
        <w:t xml:space="preserve"> </w:t>
      </w:r>
      <w:r w:rsidRPr="003337B9">
        <w:rPr>
          <w:rFonts w:eastAsia="Calibri"/>
          <w:b w:val="0"/>
          <w:szCs w:val="22"/>
          <w:lang w:val="hy-AM" w:eastAsia="en-US"/>
        </w:rPr>
        <w:t>քաղաքացու</w:t>
      </w:r>
      <w:r w:rsidRPr="003337B9">
        <w:rPr>
          <w:rFonts w:eastAsia="Calibri"/>
          <w:b w:val="0"/>
          <w:szCs w:val="22"/>
          <w:lang w:val="af-ZA" w:eastAsia="en-US"/>
        </w:rPr>
        <w:t xml:space="preserve"> </w:t>
      </w:r>
      <w:r w:rsidRPr="003337B9">
        <w:rPr>
          <w:rFonts w:eastAsia="Calibri"/>
          <w:b w:val="0"/>
          <w:szCs w:val="22"/>
          <w:lang w:val="hy-AM" w:eastAsia="en-US"/>
        </w:rPr>
        <w:t xml:space="preserve">անձնագրի  և այլ փաստաթղթերի  համար գանձվող պետական տուրքերի մասով մուտքերը կանխատեսվել են </w:t>
      </w:r>
      <w:r w:rsidRPr="003337B9">
        <w:rPr>
          <w:rFonts w:eastAsia="Calibri"/>
          <w:b w:val="0"/>
          <w:szCs w:val="22"/>
          <w:lang w:val="af-ZA" w:eastAsia="en-US"/>
        </w:rPr>
        <w:t xml:space="preserve">2023 </w:t>
      </w:r>
      <w:r w:rsidRPr="003337B9">
        <w:rPr>
          <w:rFonts w:eastAsia="Calibri"/>
          <w:b w:val="0"/>
          <w:szCs w:val="22"/>
          <w:lang w:val="en-US" w:eastAsia="en-US"/>
        </w:rPr>
        <w:t>թվականի</w:t>
      </w:r>
      <w:r w:rsidRPr="003337B9">
        <w:rPr>
          <w:rFonts w:eastAsia="Calibri"/>
          <w:b w:val="0"/>
          <w:szCs w:val="22"/>
          <w:lang w:val="af-ZA" w:eastAsia="en-US"/>
        </w:rPr>
        <w:t xml:space="preserve"> </w:t>
      </w:r>
      <w:r w:rsidRPr="003337B9">
        <w:rPr>
          <w:rFonts w:eastAsia="Calibri"/>
          <w:b w:val="0"/>
          <w:szCs w:val="22"/>
          <w:lang w:val="en-US" w:eastAsia="en-US"/>
        </w:rPr>
        <w:t>առաջին</w:t>
      </w:r>
      <w:r w:rsidRPr="003337B9">
        <w:rPr>
          <w:rFonts w:eastAsia="Calibri"/>
          <w:b w:val="0"/>
          <w:szCs w:val="22"/>
          <w:lang w:val="af-ZA" w:eastAsia="en-US"/>
        </w:rPr>
        <w:t xml:space="preserve"> 7 </w:t>
      </w:r>
      <w:r w:rsidRPr="003337B9">
        <w:rPr>
          <w:rFonts w:eastAsia="Calibri"/>
          <w:b w:val="0"/>
          <w:szCs w:val="22"/>
          <w:lang w:val="en-US" w:eastAsia="en-US"/>
        </w:rPr>
        <w:t>ամիսների</w:t>
      </w:r>
      <w:r w:rsidRPr="003337B9">
        <w:rPr>
          <w:rFonts w:eastAsia="Calibri"/>
          <w:b w:val="0"/>
          <w:szCs w:val="22"/>
          <w:lang w:val="af-ZA" w:eastAsia="en-US"/>
        </w:rPr>
        <w:t xml:space="preserve"> </w:t>
      </w:r>
      <w:r w:rsidRPr="003337B9">
        <w:rPr>
          <w:rFonts w:eastAsia="Calibri"/>
          <w:b w:val="0"/>
          <w:szCs w:val="22"/>
          <w:lang w:val="en-US" w:eastAsia="en-US"/>
        </w:rPr>
        <w:t>փաստացի</w:t>
      </w:r>
      <w:r w:rsidRPr="003337B9">
        <w:rPr>
          <w:rFonts w:eastAsia="Calibri"/>
          <w:b w:val="0"/>
          <w:szCs w:val="22"/>
          <w:lang w:val="af-ZA" w:eastAsia="en-US"/>
        </w:rPr>
        <w:t xml:space="preserve"> </w:t>
      </w:r>
      <w:r w:rsidRPr="003337B9">
        <w:rPr>
          <w:rFonts w:eastAsia="Calibri"/>
          <w:b w:val="0"/>
          <w:szCs w:val="22"/>
          <w:lang w:val="en-US" w:eastAsia="en-US"/>
        </w:rPr>
        <w:t>մուտքերի</w:t>
      </w:r>
      <w:r w:rsidRPr="003337B9">
        <w:rPr>
          <w:rFonts w:eastAsia="Calibri"/>
          <w:b w:val="0"/>
          <w:szCs w:val="22"/>
          <w:lang w:val="af-ZA" w:eastAsia="en-US"/>
        </w:rPr>
        <w:t xml:space="preserve"> </w:t>
      </w:r>
      <w:r w:rsidRPr="003337B9">
        <w:rPr>
          <w:rFonts w:eastAsia="Calibri"/>
          <w:b w:val="0"/>
          <w:szCs w:val="22"/>
          <w:lang w:val="en-US" w:eastAsia="en-US"/>
        </w:rPr>
        <w:t>նկատմամբ</w:t>
      </w:r>
      <w:r w:rsidRPr="003337B9">
        <w:rPr>
          <w:rFonts w:eastAsia="Calibri"/>
          <w:b w:val="0"/>
          <w:szCs w:val="22"/>
          <w:lang w:val="af-ZA" w:eastAsia="en-US"/>
        </w:rPr>
        <w:t xml:space="preserve"> կիրառելով 2022 թվականի փաստացի տարեկան մուտքերում առաջին 7 ամիսների մուտքերի տեսակարար կշիռը: </w:t>
      </w:r>
    </w:p>
    <w:p w14:paraId="1218C24C" w14:textId="77777777" w:rsidR="003337B9" w:rsidRPr="003337B9" w:rsidRDefault="003337B9" w:rsidP="00701F87">
      <w:pPr>
        <w:rPr>
          <w:rFonts w:eastAsia="Calibri"/>
          <w:b w:val="0"/>
          <w:szCs w:val="22"/>
          <w:lang w:val="hy-AM" w:eastAsia="en-US"/>
        </w:rPr>
      </w:pPr>
      <w:r w:rsidRPr="003337B9">
        <w:rPr>
          <w:rFonts w:eastAsia="Calibri"/>
          <w:b w:val="0"/>
          <w:szCs w:val="22"/>
          <w:lang w:val="hy-AM" w:eastAsia="en-US"/>
        </w:rPr>
        <w:t>Լիցենզավորման ենթակա կամ թույլտվություններով գործունեություն իրականացնելու նպատակով լիցենզիաներ, արտոնագրեր (թույլտվություններ) տալու համար գանձ</w:t>
      </w:r>
      <w:r w:rsidRPr="003337B9">
        <w:rPr>
          <w:rFonts w:eastAsia="Calibri"/>
          <w:b w:val="0"/>
          <w:szCs w:val="22"/>
          <w:lang w:val="hy-AM" w:eastAsia="en-US"/>
        </w:rPr>
        <w:softHyphen/>
        <w:t>վող պետա</w:t>
      </w:r>
      <w:r w:rsidRPr="003337B9">
        <w:rPr>
          <w:rFonts w:eastAsia="Calibri"/>
          <w:b w:val="0"/>
          <w:szCs w:val="22"/>
          <w:lang w:val="hy-AM" w:eastAsia="en-US"/>
        </w:rPr>
        <w:softHyphen/>
      </w:r>
      <w:r w:rsidRPr="003337B9">
        <w:rPr>
          <w:rFonts w:eastAsia="Calibri"/>
          <w:b w:val="0"/>
          <w:szCs w:val="22"/>
          <w:lang w:val="hy-AM" w:eastAsia="en-US"/>
        </w:rPr>
        <w:softHyphen/>
        <w:t>կան տուրքերի գծով 202</w:t>
      </w:r>
      <w:r w:rsidRPr="003337B9">
        <w:rPr>
          <w:rFonts w:eastAsia="Calibri"/>
          <w:b w:val="0"/>
          <w:szCs w:val="22"/>
          <w:lang w:val="af-ZA" w:eastAsia="en-US"/>
        </w:rPr>
        <w:t>4</w:t>
      </w:r>
      <w:r w:rsidRPr="003337B9">
        <w:rPr>
          <w:rFonts w:eastAsia="Calibri"/>
          <w:b w:val="0"/>
          <w:szCs w:val="22"/>
          <w:lang w:val="hy-AM" w:eastAsia="en-US"/>
        </w:rPr>
        <w:t xml:space="preserve"> թվականի մուտքերը կանխատեսվել են </w:t>
      </w:r>
      <w:r w:rsidRPr="003337B9">
        <w:rPr>
          <w:rFonts w:eastAsia="Calibri"/>
          <w:b w:val="0"/>
          <w:szCs w:val="22"/>
          <w:lang w:val="af-ZA" w:eastAsia="en-US"/>
        </w:rPr>
        <w:t>26,5</w:t>
      </w:r>
      <w:r w:rsidR="00313D85">
        <w:rPr>
          <w:rFonts w:eastAsia="Calibri"/>
          <w:b w:val="0"/>
          <w:szCs w:val="22"/>
          <w:lang w:val="af-ZA" w:eastAsia="en-US"/>
        </w:rPr>
        <w:t xml:space="preserve">18.4 </w:t>
      </w:r>
      <w:r w:rsidRPr="003337B9">
        <w:rPr>
          <w:rFonts w:eastAsia="Calibri"/>
          <w:b w:val="0"/>
          <w:szCs w:val="22"/>
          <w:lang w:val="hy-AM" w:eastAsia="en-US"/>
        </w:rPr>
        <w:t>մլն դրամի չափով` 20</w:t>
      </w:r>
      <w:r w:rsidRPr="003337B9">
        <w:rPr>
          <w:rFonts w:eastAsia="Calibri"/>
          <w:b w:val="0"/>
          <w:szCs w:val="22"/>
          <w:lang w:val="af-ZA" w:eastAsia="en-US"/>
        </w:rPr>
        <w:t>23</w:t>
      </w:r>
      <w:r w:rsidRPr="003337B9">
        <w:rPr>
          <w:rFonts w:eastAsia="Calibri"/>
          <w:b w:val="0"/>
          <w:szCs w:val="22"/>
          <w:lang w:val="hy-AM" w:eastAsia="en-US"/>
        </w:rPr>
        <w:t xml:space="preserve"> թվականի համար հաստատված </w:t>
      </w:r>
      <w:r w:rsidRPr="003337B9">
        <w:rPr>
          <w:rFonts w:eastAsia="Calibri"/>
          <w:b w:val="0"/>
          <w:szCs w:val="22"/>
          <w:lang w:val="af-ZA" w:eastAsia="en-US"/>
        </w:rPr>
        <w:t xml:space="preserve">20,479.4 </w:t>
      </w:r>
      <w:r w:rsidRPr="003337B9">
        <w:rPr>
          <w:rFonts w:eastAsia="Calibri"/>
          <w:b w:val="0"/>
          <w:szCs w:val="22"/>
          <w:lang w:val="hy-AM" w:eastAsia="en-US"/>
        </w:rPr>
        <w:t>մլն և 20</w:t>
      </w:r>
      <w:r w:rsidRPr="003337B9">
        <w:rPr>
          <w:rFonts w:eastAsia="Calibri"/>
          <w:b w:val="0"/>
          <w:szCs w:val="22"/>
          <w:lang w:val="af-ZA" w:eastAsia="en-US"/>
        </w:rPr>
        <w:t>22</w:t>
      </w:r>
      <w:r w:rsidRPr="003337B9">
        <w:rPr>
          <w:rFonts w:eastAsia="Calibri"/>
          <w:b w:val="0"/>
          <w:szCs w:val="22"/>
          <w:lang w:val="hy-AM" w:eastAsia="en-US"/>
        </w:rPr>
        <w:t xml:space="preserve"> թվականին փաստա</w:t>
      </w:r>
      <w:r w:rsidRPr="003337B9">
        <w:rPr>
          <w:rFonts w:eastAsia="Calibri"/>
          <w:b w:val="0"/>
          <w:szCs w:val="22"/>
          <w:lang w:val="hy-AM" w:eastAsia="en-US"/>
        </w:rPr>
        <w:softHyphen/>
        <w:t xml:space="preserve">ցի ստացված </w:t>
      </w:r>
      <w:r w:rsidRPr="003337B9">
        <w:rPr>
          <w:rFonts w:eastAsia="Calibri"/>
          <w:b w:val="0"/>
          <w:szCs w:val="22"/>
          <w:lang w:val="af-ZA" w:eastAsia="en-US"/>
        </w:rPr>
        <w:t>74,051.1</w:t>
      </w:r>
      <w:r w:rsidRPr="003337B9">
        <w:rPr>
          <w:rFonts w:eastAsia="Calibri"/>
          <w:b w:val="0"/>
          <w:szCs w:val="22"/>
          <w:lang w:val="hy-AM" w:eastAsia="en-US"/>
        </w:rPr>
        <w:t xml:space="preserve"> մլն դրամի դիմաց:</w:t>
      </w:r>
      <w:r w:rsidRPr="003337B9">
        <w:rPr>
          <w:rFonts w:eastAsia="Calibri" w:cs="GHEA Grapalat"/>
          <w:b w:val="0"/>
          <w:szCs w:val="22"/>
          <w:lang w:val="hy-AM" w:eastAsia="en-US"/>
        </w:rPr>
        <w:t xml:space="preserve"> </w:t>
      </w:r>
      <w:r w:rsidRPr="003337B9">
        <w:rPr>
          <w:rFonts w:eastAsia="Calibri"/>
          <w:b w:val="0"/>
          <w:szCs w:val="22"/>
          <w:lang w:val="hy-AM" w:eastAsia="en-US"/>
        </w:rPr>
        <w:t>Այս խմբի պե</w:t>
      </w:r>
      <w:r w:rsidRPr="003337B9">
        <w:rPr>
          <w:rFonts w:eastAsia="Calibri"/>
          <w:b w:val="0"/>
          <w:szCs w:val="22"/>
          <w:lang w:val="hy-AM" w:eastAsia="en-US"/>
        </w:rPr>
        <w:softHyphen/>
        <w:t>տա</w:t>
      </w:r>
      <w:r w:rsidRPr="003337B9">
        <w:rPr>
          <w:rFonts w:eastAsia="Calibri"/>
          <w:b w:val="0"/>
          <w:szCs w:val="22"/>
          <w:lang w:val="hy-AM" w:eastAsia="en-US"/>
        </w:rPr>
        <w:softHyphen/>
        <w:t>կան տուրքերի 202</w:t>
      </w:r>
      <w:r w:rsidRPr="003337B9">
        <w:rPr>
          <w:rFonts w:eastAsia="Calibri"/>
          <w:b w:val="0"/>
          <w:szCs w:val="22"/>
          <w:lang w:val="af-ZA" w:eastAsia="en-US"/>
        </w:rPr>
        <w:t>4</w:t>
      </w:r>
      <w:r w:rsidRPr="003337B9">
        <w:rPr>
          <w:rFonts w:eastAsia="Calibri"/>
          <w:b w:val="0"/>
          <w:szCs w:val="22"/>
          <w:lang w:val="hy-AM" w:eastAsia="en-US"/>
        </w:rPr>
        <w:t xml:space="preserve"> թվականի մուտքերի գերակշիռ մասը` 25</w:t>
      </w:r>
      <w:r w:rsidRPr="003337B9">
        <w:rPr>
          <w:rFonts w:eastAsia="Calibri"/>
          <w:b w:val="0"/>
          <w:szCs w:val="22"/>
          <w:lang w:val="af-ZA" w:eastAsia="en-US"/>
        </w:rPr>
        <w:t xml:space="preserve">,193.5 </w:t>
      </w:r>
      <w:r w:rsidRPr="003337B9">
        <w:rPr>
          <w:rFonts w:eastAsia="Calibri"/>
          <w:b w:val="0"/>
          <w:szCs w:val="22"/>
          <w:lang w:val="hy-AM" w:eastAsia="en-US"/>
        </w:rPr>
        <w:t xml:space="preserve">մլն դրամը կամ </w:t>
      </w:r>
      <w:r w:rsidRPr="003337B9">
        <w:rPr>
          <w:rFonts w:eastAsia="Calibri"/>
          <w:b w:val="0"/>
          <w:szCs w:val="22"/>
          <w:lang w:val="af-ZA" w:eastAsia="en-US"/>
        </w:rPr>
        <w:t xml:space="preserve">95.0 </w:t>
      </w:r>
      <w:r w:rsidRPr="003337B9">
        <w:rPr>
          <w:rFonts w:eastAsia="Calibri"/>
          <w:b w:val="0"/>
          <w:szCs w:val="22"/>
          <w:lang w:val="hy-AM" w:eastAsia="en-US"/>
        </w:rPr>
        <w:t xml:space="preserve">%-ը նախատեսվում է գանձել </w:t>
      </w:r>
      <w:r w:rsidRPr="003337B9">
        <w:rPr>
          <w:rFonts w:eastAsia="Calibri" w:cs="GHEA Grapalat"/>
          <w:b w:val="0"/>
          <w:szCs w:val="22"/>
          <w:lang w:val="hy-AM" w:eastAsia="en-US"/>
        </w:rPr>
        <w:t xml:space="preserve">վիճակախաղերի, շահումներով խաղերի, բանկային և ֆինանսավարկային կազմակերպությունների, </w:t>
      </w:r>
      <w:r w:rsidRPr="003337B9">
        <w:rPr>
          <w:rFonts w:eastAsia="Calibri"/>
          <w:b w:val="0"/>
          <w:szCs w:val="22"/>
          <w:lang w:val="hy-AM" w:eastAsia="en-US"/>
        </w:rPr>
        <w:t>պետական սեփակա</w:t>
      </w:r>
      <w:r w:rsidRPr="003337B9">
        <w:rPr>
          <w:rFonts w:eastAsia="Calibri"/>
          <w:b w:val="0"/>
          <w:szCs w:val="22"/>
          <w:lang w:val="hy-AM" w:eastAsia="en-US"/>
        </w:rPr>
        <w:softHyphen/>
        <w:t>նություն հանդիսացող ընդերքի և բնական ռեսուրս</w:t>
      </w:r>
      <w:r w:rsidRPr="003337B9">
        <w:rPr>
          <w:rFonts w:eastAsia="Calibri"/>
          <w:b w:val="0"/>
          <w:szCs w:val="22"/>
          <w:lang w:val="hy-AM" w:eastAsia="en-US"/>
        </w:rPr>
        <w:softHyphen/>
      </w:r>
      <w:r w:rsidRPr="003337B9">
        <w:rPr>
          <w:rFonts w:eastAsia="Calibri"/>
          <w:b w:val="0"/>
          <w:szCs w:val="22"/>
          <w:lang w:val="hy-AM" w:eastAsia="en-US"/>
        </w:rPr>
        <w:softHyphen/>
        <w:t>նե</w:t>
      </w:r>
      <w:r w:rsidRPr="003337B9">
        <w:rPr>
          <w:rFonts w:eastAsia="Calibri"/>
          <w:b w:val="0"/>
          <w:szCs w:val="22"/>
          <w:lang w:val="hy-AM" w:eastAsia="en-US"/>
        </w:rPr>
        <w:softHyphen/>
        <w:t xml:space="preserve">րի, ինչպես նաև </w:t>
      </w:r>
      <w:r w:rsidRPr="003337B9">
        <w:rPr>
          <w:rFonts w:eastAsia="Calibri"/>
          <w:b w:val="0"/>
          <w:szCs w:val="22"/>
          <w:lang w:val="en-US" w:eastAsia="en-US"/>
        </w:rPr>
        <w:t>բանկային</w:t>
      </w:r>
      <w:r w:rsidRPr="003337B9">
        <w:rPr>
          <w:rFonts w:eastAsia="Calibri"/>
          <w:b w:val="0"/>
          <w:szCs w:val="22"/>
          <w:lang w:val="af-ZA" w:eastAsia="en-US"/>
        </w:rPr>
        <w:t xml:space="preserve">, </w:t>
      </w:r>
      <w:r w:rsidRPr="003337B9">
        <w:rPr>
          <w:rFonts w:eastAsia="Calibri"/>
          <w:b w:val="0"/>
          <w:szCs w:val="22"/>
          <w:lang w:val="en-US" w:eastAsia="en-US"/>
        </w:rPr>
        <w:t>մաքսային</w:t>
      </w:r>
      <w:r w:rsidRPr="003337B9">
        <w:rPr>
          <w:rFonts w:eastAsia="Calibri"/>
          <w:b w:val="0"/>
          <w:szCs w:val="22"/>
          <w:lang w:val="af-ZA" w:eastAsia="en-US"/>
        </w:rPr>
        <w:t xml:space="preserve">, </w:t>
      </w:r>
      <w:r w:rsidRPr="003337B9">
        <w:rPr>
          <w:rFonts w:eastAsia="Calibri"/>
          <w:b w:val="0"/>
          <w:szCs w:val="22"/>
          <w:lang w:val="en-US" w:eastAsia="en-US"/>
        </w:rPr>
        <w:t>տրանսպորտի</w:t>
      </w:r>
      <w:r w:rsidRPr="003337B9">
        <w:rPr>
          <w:rFonts w:eastAsia="Calibri"/>
          <w:b w:val="0"/>
          <w:szCs w:val="22"/>
          <w:lang w:val="af-ZA" w:eastAsia="en-US"/>
        </w:rPr>
        <w:t xml:space="preserve"> </w:t>
      </w:r>
      <w:r w:rsidRPr="003337B9">
        <w:rPr>
          <w:rFonts w:eastAsia="Calibri"/>
          <w:b w:val="0"/>
          <w:szCs w:val="22"/>
          <w:lang w:val="en-US" w:eastAsia="en-US"/>
        </w:rPr>
        <w:t>և</w:t>
      </w:r>
      <w:r w:rsidRPr="003337B9">
        <w:rPr>
          <w:rFonts w:eastAsia="Calibri"/>
          <w:b w:val="0"/>
          <w:szCs w:val="22"/>
          <w:lang w:val="af-ZA" w:eastAsia="en-US"/>
        </w:rPr>
        <w:t xml:space="preserve"> </w:t>
      </w:r>
      <w:r w:rsidRPr="003337B9">
        <w:rPr>
          <w:rFonts w:eastAsia="Calibri"/>
          <w:b w:val="0"/>
          <w:szCs w:val="22"/>
          <w:lang w:val="hy-AM" w:eastAsia="en-US"/>
        </w:rPr>
        <w:t>քաղա</w:t>
      </w:r>
      <w:r w:rsidRPr="003337B9">
        <w:rPr>
          <w:rFonts w:eastAsia="Calibri"/>
          <w:b w:val="0"/>
          <w:szCs w:val="22"/>
          <w:lang w:val="hy-AM" w:eastAsia="en-US"/>
        </w:rPr>
        <w:softHyphen/>
        <w:t>քա</w:t>
      </w:r>
      <w:r w:rsidRPr="003337B9">
        <w:rPr>
          <w:rFonts w:eastAsia="Calibri"/>
          <w:b w:val="0"/>
          <w:szCs w:val="22"/>
          <w:lang w:val="hy-AM" w:eastAsia="en-US"/>
        </w:rPr>
        <w:softHyphen/>
        <w:t>շինության բնագավառ</w:t>
      </w:r>
      <w:r w:rsidRPr="003337B9">
        <w:rPr>
          <w:rFonts w:eastAsia="Calibri"/>
          <w:b w:val="0"/>
          <w:szCs w:val="22"/>
          <w:lang w:val="hy-AM" w:eastAsia="en-US"/>
        </w:rPr>
        <w:softHyphen/>
        <w:t>ներում լիցեն</w:t>
      </w:r>
      <w:r w:rsidRPr="003337B9">
        <w:rPr>
          <w:rFonts w:eastAsia="Calibri"/>
          <w:b w:val="0"/>
          <w:szCs w:val="22"/>
          <w:lang w:val="hy-AM" w:eastAsia="en-US"/>
        </w:rPr>
        <w:softHyphen/>
        <w:t>զավոր</w:t>
      </w:r>
      <w:r w:rsidRPr="003337B9">
        <w:rPr>
          <w:rFonts w:eastAsia="Calibri"/>
          <w:b w:val="0"/>
          <w:szCs w:val="22"/>
          <w:lang w:val="hy-AM" w:eastAsia="en-US"/>
        </w:rPr>
        <w:softHyphen/>
        <w:t>ման ենթակա գործունեություն իրա</w:t>
      </w:r>
      <w:r w:rsidRPr="003337B9">
        <w:rPr>
          <w:rFonts w:eastAsia="Calibri"/>
          <w:b w:val="0"/>
          <w:szCs w:val="22"/>
          <w:lang w:val="hy-AM" w:eastAsia="en-US"/>
        </w:rPr>
        <w:softHyphen/>
        <w:t>կա</w:t>
      </w:r>
      <w:r w:rsidRPr="003337B9">
        <w:rPr>
          <w:rFonts w:eastAsia="Calibri"/>
          <w:b w:val="0"/>
          <w:szCs w:val="22"/>
          <w:lang w:val="hy-AM" w:eastAsia="en-US"/>
        </w:rPr>
        <w:softHyphen/>
        <w:t>նացնելու համար վճարվելիք պետական տուր</w:t>
      </w:r>
      <w:r w:rsidRPr="003337B9">
        <w:rPr>
          <w:rFonts w:eastAsia="Calibri"/>
          <w:b w:val="0"/>
          <w:szCs w:val="22"/>
          <w:lang w:val="hy-AM" w:eastAsia="en-US"/>
        </w:rPr>
        <w:softHyphen/>
        <w:t>քե</w:t>
      </w:r>
      <w:r w:rsidRPr="003337B9">
        <w:rPr>
          <w:rFonts w:eastAsia="Calibri"/>
          <w:b w:val="0"/>
          <w:szCs w:val="22"/>
          <w:lang w:val="hy-AM" w:eastAsia="en-US"/>
        </w:rPr>
        <w:softHyphen/>
        <w:t xml:space="preserve">րի հաշվին: </w:t>
      </w:r>
      <w:r w:rsidRPr="003337B9">
        <w:rPr>
          <w:rFonts w:eastAsia="Calibri" w:cs="GHEA Grapalat"/>
          <w:b w:val="0"/>
          <w:szCs w:val="22"/>
          <w:lang w:val="hy-AM" w:eastAsia="en-US"/>
        </w:rPr>
        <w:t>Լիցենզավորման ենթա</w:t>
      </w:r>
      <w:r w:rsidRPr="003337B9">
        <w:rPr>
          <w:rFonts w:eastAsia="Calibri" w:cs="GHEA Grapalat"/>
          <w:b w:val="0"/>
          <w:szCs w:val="22"/>
          <w:lang w:val="af-ZA" w:eastAsia="en-US"/>
        </w:rPr>
        <w:softHyphen/>
      </w:r>
      <w:r w:rsidRPr="003337B9">
        <w:rPr>
          <w:rFonts w:eastAsia="Calibri" w:cs="GHEA Grapalat"/>
          <w:b w:val="0"/>
          <w:szCs w:val="22"/>
          <w:lang w:val="hy-AM" w:eastAsia="en-US"/>
        </w:rPr>
        <w:t>կա գործունեություն իրականացնելու համար գանձվող պե</w:t>
      </w:r>
      <w:r w:rsidRPr="003337B9">
        <w:rPr>
          <w:rFonts w:eastAsia="Calibri" w:cs="GHEA Grapalat"/>
          <w:b w:val="0"/>
          <w:szCs w:val="22"/>
          <w:lang w:val="hy-AM" w:eastAsia="en-US"/>
        </w:rPr>
        <w:softHyphen/>
      </w:r>
      <w:r w:rsidRPr="003337B9">
        <w:rPr>
          <w:rFonts w:eastAsia="Calibri" w:cs="GHEA Grapalat"/>
          <w:b w:val="0"/>
          <w:szCs w:val="22"/>
          <w:lang w:val="hy-AM" w:eastAsia="en-US"/>
        </w:rPr>
        <w:softHyphen/>
        <w:t>տա</w:t>
      </w:r>
      <w:r w:rsidRPr="003337B9">
        <w:rPr>
          <w:rFonts w:eastAsia="Calibri" w:cs="GHEA Grapalat"/>
          <w:b w:val="0"/>
          <w:szCs w:val="22"/>
          <w:lang w:val="hy-AM" w:eastAsia="en-US"/>
        </w:rPr>
        <w:softHyphen/>
      </w:r>
      <w:r w:rsidRPr="003337B9">
        <w:rPr>
          <w:rFonts w:eastAsia="Calibri" w:cs="GHEA Grapalat"/>
          <w:b w:val="0"/>
          <w:szCs w:val="22"/>
          <w:lang w:val="hy-AM" w:eastAsia="en-US"/>
        </w:rPr>
        <w:softHyphen/>
        <w:t>կան տուրքերի գծով կանխատեսումներն իրականացվել են` ել</w:t>
      </w:r>
      <w:r w:rsidRPr="003337B9">
        <w:rPr>
          <w:rFonts w:eastAsia="Calibri" w:cs="GHEA Grapalat"/>
          <w:b w:val="0"/>
          <w:szCs w:val="22"/>
          <w:lang w:val="hy-AM" w:eastAsia="en-US"/>
        </w:rPr>
        <w:softHyphen/>
        <w:t>նե</w:t>
      </w:r>
      <w:r w:rsidRPr="003337B9">
        <w:rPr>
          <w:rFonts w:eastAsia="Calibri" w:cs="GHEA Grapalat"/>
          <w:b w:val="0"/>
          <w:szCs w:val="22"/>
          <w:lang w:val="hy-AM" w:eastAsia="en-US"/>
        </w:rPr>
        <w:softHyphen/>
        <w:t>լով օրենքով նա</w:t>
      </w:r>
      <w:r w:rsidRPr="003337B9">
        <w:rPr>
          <w:rFonts w:eastAsia="Calibri" w:cs="GHEA Grapalat"/>
          <w:b w:val="0"/>
          <w:szCs w:val="22"/>
          <w:lang w:val="hy-AM" w:eastAsia="en-US"/>
        </w:rPr>
        <w:softHyphen/>
        <w:t>խա</w:t>
      </w:r>
      <w:r w:rsidRPr="003337B9">
        <w:rPr>
          <w:rFonts w:eastAsia="Calibri" w:cs="GHEA Grapalat"/>
          <w:b w:val="0"/>
          <w:szCs w:val="22"/>
          <w:lang w:val="hy-AM" w:eastAsia="en-US"/>
        </w:rPr>
        <w:softHyphen/>
        <w:t>տես</w:t>
      </w:r>
      <w:r w:rsidRPr="003337B9">
        <w:rPr>
          <w:rFonts w:eastAsia="Calibri" w:cs="GHEA Grapalat"/>
          <w:b w:val="0"/>
          <w:szCs w:val="22"/>
          <w:lang w:val="hy-AM" w:eastAsia="en-US"/>
        </w:rPr>
        <w:softHyphen/>
        <w:t>ված լիցենզավոր</w:t>
      </w:r>
      <w:r w:rsidRPr="003337B9">
        <w:rPr>
          <w:rFonts w:eastAsia="Calibri" w:cs="GHEA Grapalat"/>
          <w:b w:val="0"/>
          <w:szCs w:val="22"/>
          <w:lang w:val="hy-AM" w:eastAsia="en-US"/>
        </w:rPr>
        <w:softHyphen/>
        <w:t>ման են</w:t>
      </w:r>
      <w:r w:rsidRPr="003337B9">
        <w:rPr>
          <w:rFonts w:eastAsia="Calibri" w:cs="GHEA Grapalat"/>
          <w:b w:val="0"/>
          <w:szCs w:val="22"/>
          <w:lang w:val="hy-AM" w:eastAsia="en-US"/>
        </w:rPr>
        <w:softHyphen/>
        <w:t>թա</w:t>
      </w:r>
      <w:r w:rsidRPr="003337B9">
        <w:rPr>
          <w:rFonts w:eastAsia="Calibri" w:cs="GHEA Grapalat"/>
          <w:b w:val="0"/>
          <w:szCs w:val="22"/>
          <w:lang w:val="hy-AM" w:eastAsia="en-US"/>
        </w:rPr>
        <w:softHyphen/>
        <w:t>կա գործունեության տեսակների վերա</w:t>
      </w:r>
      <w:r w:rsidRPr="003337B9">
        <w:rPr>
          <w:rFonts w:eastAsia="Calibri" w:cs="GHEA Grapalat"/>
          <w:b w:val="0"/>
          <w:szCs w:val="22"/>
          <w:lang w:val="hy-AM" w:eastAsia="en-US"/>
        </w:rPr>
        <w:softHyphen/>
        <w:t>բեր</w:t>
      </w:r>
      <w:r w:rsidRPr="003337B9">
        <w:rPr>
          <w:rFonts w:eastAsia="Calibri" w:cs="GHEA Grapalat"/>
          <w:b w:val="0"/>
          <w:szCs w:val="22"/>
          <w:lang w:val="hy-AM" w:eastAsia="en-US"/>
        </w:rPr>
        <w:softHyphen/>
        <w:t>յալ առկա քա</w:t>
      </w:r>
      <w:r w:rsidRPr="003337B9">
        <w:rPr>
          <w:rFonts w:eastAsia="Calibri" w:cs="GHEA Grapalat"/>
          <w:b w:val="0"/>
          <w:szCs w:val="22"/>
          <w:lang w:val="hy-AM" w:eastAsia="en-US"/>
        </w:rPr>
        <w:softHyphen/>
        <w:t>նա</w:t>
      </w:r>
      <w:r w:rsidRPr="003337B9">
        <w:rPr>
          <w:rFonts w:eastAsia="Calibri" w:cs="GHEA Grapalat"/>
          <w:b w:val="0"/>
          <w:szCs w:val="22"/>
          <w:lang w:val="hy-AM" w:eastAsia="en-US"/>
        </w:rPr>
        <w:softHyphen/>
      </w:r>
      <w:r w:rsidRPr="003337B9">
        <w:rPr>
          <w:rFonts w:eastAsia="Calibri" w:cs="GHEA Grapalat"/>
          <w:b w:val="0"/>
          <w:szCs w:val="22"/>
          <w:lang w:val="hy-AM" w:eastAsia="en-US"/>
        </w:rPr>
        <w:softHyphen/>
        <w:t>կական տվյալներից, 20</w:t>
      </w:r>
      <w:r w:rsidRPr="003337B9">
        <w:rPr>
          <w:rFonts w:eastAsia="Calibri" w:cs="GHEA Grapalat"/>
          <w:b w:val="0"/>
          <w:szCs w:val="22"/>
          <w:lang w:val="af-ZA" w:eastAsia="en-US"/>
        </w:rPr>
        <w:t>22</w:t>
      </w:r>
      <w:r w:rsidRPr="003337B9">
        <w:rPr>
          <w:rFonts w:eastAsia="Calibri" w:cs="GHEA Grapalat"/>
          <w:b w:val="0"/>
          <w:szCs w:val="22"/>
          <w:lang w:val="hy-AM" w:eastAsia="en-US"/>
        </w:rPr>
        <w:t xml:space="preserve"> թվականի փաստացի և 20</w:t>
      </w:r>
      <w:r w:rsidRPr="003337B9">
        <w:rPr>
          <w:rFonts w:eastAsia="Calibri" w:cs="GHEA Grapalat"/>
          <w:b w:val="0"/>
          <w:szCs w:val="22"/>
          <w:lang w:val="af-ZA" w:eastAsia="en-US"/>
        </w:rPr>
        <w:t>23</w:t>
      </w:r>
      <w:r w:rsidRPr="003337B9">
        <w:rPr>
          <w:rFonts w:eastAsia="Calibri" w:cs="GHEA Grapalat"/>
          <w:b w:val="0"/>
          <w:szCs w:val="22"/>
          <w:lang w:val="hy-AM" w:eastAsia="en-US"/>
        </w:rPr>
        <w:t xml:space="preserve"> թվականի սպասողական մուտ</w:t>
      </w:r>
      <w:r w:rsidRPr="003337B9">
        <w:rPr>
          <w:rFonts w:eastAsia="Calibri" w:cs="GHEA Grapalat"/>
          <w:b w:val="0"/>
          <w:szCs w:val="22"/>
          <w:lang w:val="hy-AM" w:eastAsia="en-US"/>
        </w:rPr>
        <w:softHyphen/>
        <w:t>քերից:</w:t>
      </w:r>
    </w:p>
    <w:p w14:paraId="5AE28A6A" w14:textId="77777777" w:rsidR="003337B9" w:rsidRPr="003337B9" w:rsidRDefault="003337B9" w:rsidP="00701F87">
      <w:pPr>
        <w:rPr>
          <w:rFonts w:eastAsia="Calibri"/>
          <w:b w:val="0"/>
          <w:szCs w:val="22"/>
          <w:lang w:val="hy-AM" w:eastAsia="en-US"/>
        </w:rPr>
      </w:pPr>
      <w:r w:rsidRPr="003337B9">
        <w:rPr>
          <w:rFonts w:eastAsia="Calibri"/>
          <w:b w:val="0"/>
          <w:szCs w:val="22"/>
          <w:lang w:val="hy-AM" w:eastAsia="en-US"/>
        </w:rPr>
        <w:t>Այլ ծառայությունների կամ գործողությունների համար գանձվող պետական տուրքերի գծով 2024 թվականի մուտքերը կանխատեսվել են</w:t>
      </w:r>
      <w:r w:rsidR="00313D85">
        <w:rPr>
          <w:rFonts w:eastAsia="Calibri"/>
          <w:b w:val="0"/>
          <w:szCs w:val="22"/>
          <w:lang w:val="hy-AM" w:eastAsia="en-US"/>
        </w:rPr>
        <w:t xml:space="preserve"> </w:t>
      </w:r>
      <w:r w:rsidR="00313D85" w:rsidRPr="00313D85">
        <w:rPr>
          <w:rFonts w:eastAsia="Calibri"/>
          <w:b w:val="0"/>
          <w:szCs w:val="22"/>
          <w:lang w:val="hy-AM" w:eastAsia="en-US"/>
        </w:rPr>
        <w:t>20</w:t>
      </w:r>
      <w:r w:rsidRPr="003337B9">
        <w:rPr>
          <w:rFonts w:eastAsia="Calibri"/>
          <w:b w:val="0"/>
          <w:szCs w:val="22"/>
          <w:lang w:val="hy-AM" w:eastAsia="en-US"/>
        </w:rPr>
        <w:t>,</w:t>
      </w:r>
      <w:r w:rsidR="00313D85" w:rsidRPr="00313D85">
        <w:rPr>
          <w:rFonts w:eastAsia="Calibri"/>
          <w:b w:val="0"/>
          <w:szCs w:val="22"/>
          <w:lang w:val="hy-AM" w:eastAsia="en-US"/>
        </w:rPr>
        <w:t>873.8</w:t>
      </w:r>
      <w:r w:rsidRPr="003337B9">
        <w:rPr>
          <w:rFonts w:eastAsia="Calibri"/>
          <w:b w:val="0"/>
          <w:szCs w:val="22"/>
          <w:lang w:val="hy-AM" w:eastAsia="en-US"/>
        </w:rPr>
        <w:t xml:space="preserve"> մլն դրամի չափով` 2023 թվականի հա</w:t>
      </w:r>
      <w:r w:rsidRPr="003337B9">
        <w:rPr>
          <w:rFonts w:eastAsia="Calibri"/>
          <w:b w:val="0"/>
          <w:szCs w:val="22"/>
          <w:lang w:val="hy-AM" w:eastAsia="en-US"/>
        </w:rPr>
        <w:softHyphen/>
        <w:t xml:space="preserve">մար հաստատված 17,813.3 մլն դրամի և 2022 թվականի փաստացի ստացված 18,598.1 մլն դրամի դիմաց: </w:t>
      </w:r>
      <w:r w:rsidRPr="003337B9">
        <w:rPr>
          <w:rFonts w:eastAsia="Calibri" w:cs="GHEA Grapalat"/>
          <w:b w:val="0"/>
          <w:szCs w:val="22"/>
          <w:lang w:val="hy-AM" w:eastAsia="en-US"/>
        </w:rPr>
        <w:t>Նշված պետական տուրքերից 2024 թվականի բյուջետային մուտքերի գերակշռող մա</w:t>
      </w:r>
      <w:r w:rsidRPr="003337B9">
        <w:rPr>
          <w:rFonts w:eastAsia="Calibri" w:cs="GHEA Grapalat"/>
          <w:b w:val="0"/>
          <w:szCs w:val="22"/>
          <w:lang w:val="hy-AM" w:eastAsia="en-US"/>
        </w:rPr>
        <w:softHyphen/>
      </w:r>
      <w:r w:rsidRPr="003337B9">
        <w:rPr>
          <w:rFonts w:eastAsia="Calibri" w:cs="GHEA Grapalat"/>
          <w:b w:val="0"/>
          <w:szCs w:val="22"/>
          <w:lang w:val="hy-AM" w:eastAsia="en-US"/>
        </w:rPr>
        <w:softHyphen/>
        <w:t xml:space="preserve">սը՝ </w:t>
      </w:r>
      <w:r w:rsidR="00313D85" w:rsidRPr="00313D85">
        <w:rPr>
          <w:rFonts w:eastAsia="Calibri" w:cs="GHEA Grapalat"/>
          <w:b w:val="0"/>
          <w:szCs w:val="22"/>
          <w:lang w:val="hy-AM" w:eastAsia="en-US"/>
        </w:rPr>
        <w:t>75.4</w:t>
      </w:r>
      <w:r w:rsidRPr="003337B9">
        <w:rPr>
          <w:rFonts w:eastAsia="Calibri" w:cs="GHEA Grapalat"/>
          <w:b w:val="0"/>
          <w:szCs w:val="22"/>
          <w:lang w:val="hy-AM" w:eastAsia="en-US"/>
        </w:rPr>
        <w:t>%-ը, ապահովվելու է ՀՀ-ից օդային տրանսպորտի միջոցներով ֆիզի</w:t>
      </w:r>
      <w:r w:rsidRPr="003337B9">
        <w:rPr>
          <w:rFonts w:eastAsia="Calibri" w:cs="GHEA Grapalat"/>
          <w:b w:val="0"/>
          <w:szCs w:val="22"/>
          <w:lang w:val="hy-AM" w:eastAsia="en-US"/>
        </w:rPr>
        <w:softHyphen/>
        <w:t>կա</w:t>
      </w:r>
      <w:r w:rsidRPr="003337B9">
        <w:rPr>
          <w:rFonts w:eastAsia="Calibri" w:cs="GHEA Grapalat"/>
          <w:b w:val="0"/>
          <w:szCs w:val="22"/>
          <w:lang w:val="hy-AM" w:eastAsia="en-US"/>
        </w:rPr>
        <w:softHyphen/>
        <w:t>կան անձանց (օդային ուղևոր</w:t>
      </w:r>
      <w:r w:rsidRPr="003337B9">
        <w:rPr>
          <w:rFonts w:eastAsia="Calibri" w:cs="GHEA Grapalat"/>
          <w:b w:val="0"/>
          <w:szCs w:val="22"/>
          <w:lang w:val="hy-AM" w:eastAsia="en-US"/>
        </w:rPr>
        <w:softHyphen/>
        <w:t>նե</w:t>
      </w:r>
      <w:r w:rsidRPr="003337B9">
        <w:rPr>
          <w:rFonts w:eastAsia="Calibri" w:cs="GHEA Grapalat"/>
          <w:b w:val="0"/>
          <w:szCs w:val="22"/>
          <w:lang w:val="hy-AM" w:eastAsia="en-US"/>
        </w:rPr>
        <w:softHyphen/>
        <w:t>րի) ելքի համար գանձվող պետական տուրքի հաշվին:</w:t>
      </w:r>
    </w:p>
    <w:p w14:paraId="3FE4F62D" w14:textId="77777777" w:rsidR="003337B9" w:rsidRPr="003337B9" w:rsidRDefault="003337B9" w:rsidP="00701F87">
      <w:pPr>
        <w:rPr>
          <w:rFonts w:eastAsia="Calibri"/>
          <w:b w:val="0"/>
          <w:szCs w:val="22"/>
          <w:lang w:val="af-ZA" w:eastAsia="en-US"/>
        </w:rPr>
      </w:pPr>
      <w:r w:rsidRPr="003337B9">
        <w:rPr>
          <w:rFonts w:eastAsia="Calibri"/>
          <w:b w:val="0"/>
          <w:szCs w:val="22"/>
          <w:lang w:val="hy-AM" w:eastAsia="en-US"/>
        </w:rPr>
        <w:t xml:space="preserve"> ՀՀ-ից օդային տրանսպորտի միջոցներով ֆիզիկական անձանց (օդային ուղևոր</w:t>
      </w:r>
      <w:r w:rsidRPr="003337B9">
        <w:rPr>
          <w:rFonts w:eastAsia="Calibri"/>
          <w:b w:val="0"/>
          <w:szCs w:val="22"/>
          <w:lang w:val="hy-AM" w:eastAsia="en-US"/>
        </w:rPr>
        <w:softHyphen/>
        <w:t>նե</w:t>
      </w:r>
      <w:r w:rsidRPr="003337B9">
        <w:rPr>
          <w:rFonts w:eastAsia="Calibri"/>
          <w:b w:val="0"/>
          <w:szCs w:val="22"/>
          <w:lang w:val="hy-AM" w:eastAsia="en-US"/>
        </w:rPr>
        <w:softHyphen/>
        <w:t>րի) ելքի համար գանձ</w:t>
      </w:r>
      <w:r w:rsidRPr="003337B9">
        <w:rPr>
          <w:rFonts w:eastAsia="Calibri"/>
          <w:b w:val="0"/>
          <w:szCs w:val="22"/>
          <w:lang w:val="hy-AM" w:eastAsia="en-US"/>
        </w:rPr>
        <w:softHyphen/>
        <w:t>վող պետական տուրքի գծով 2024 թվականի մուտքերը կան</w:t>
      </w:r>
      <w:r w:rsidRPr="003337B9">
        <w:rPr>
          <w:rFonts w:eastAsia="Calibri"/>
          <w:b w:val="0"/>
          <w:szCs w:val="22"/>
          <w:lang w:val="hy-AM" w:eastAsia="en-US"/>
        </w:rPr>
        <w:softHyphen/>
        <w:t xml:space="preserve">խատեսվել են 2023 թվականի սպասողական ցուցանիշի՝ 15,734.1 մլն դրամի չափով՝ </w:t>
      </w:r>
      <w:r w:rsidRPr="003337B9">
        <w:rPr>
          <w:rFonts w:eastAsia="Calibri"/>
          <w:b w:val="0"/>
          <w:szCs w:val="22"/>
          <w:lang w:val="af-ZA" w:eastAsia="en-US"/>
        </w:rPr>
        <w:t xml:space="preserve">փաստացի ընթացիկ մուտքերի միջինացված ցուցանիշի հիման վրա: </w:t>
      </w:r>
    </w:p>
    <w:p w14:paraId="4DC4E4E1" w14:textId="77777777" w:rsidR="00082280" w:rsidRPr="00701F87" w:rsidRDefault="00082280" w:rsidP="00701F87">
      <w:pPr>
        <w:keepNext/>
        <w:tabs>
          <w:tab w:val="left" w:pos="709"/>
        </w:tabs>
        <w:spacing w:before="0"/>
        <w:outlineLvl w:val="2"/>
        <w:rPr>
          <w:rFonts w:eastAsia="Calibri" w:cs="GHEA Grapalat"/>
          <w:bCs/>
          <w:szCs w:val="22"/>
          <w:lang w:val="hy-AM" w:eastAsia="en-US"/>
        </w:rPr>
      </w:pPr>
      <w:bookmarkStart w:id="225" w:name="_Toc153184483"/>
      <w:r w:rsidRPr="00701F87">
        <w:rPr>
          <w:rFonts w:eastAsiaTheme="majorEastAsia" w:cstheme="majorBidi"/>
          <w:bCs/>
          <w:color w:val="1F497D" w:themeColor="text2"/>
          <w:szCs w:val="22"/>
          <w:lang w:val="hy-AM" w:eastAsia="en-US"/>
        </w:rPr>
        <w:lastRenderedPageBreak/>
        <w:t>Պաշտոնական դրամաշնորհներ</w:t>
      </w:r>
      <w:bookmarkEnd w:id="225"/>
    </w:p>
    <w:p w14:paraId="158D5EFD"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ab/>
        <w:t>Պաշտոնական դրամաշնորհները 2024 թվականի համար ծրագրվել են` հաշվի առ</w:t>
      </w:r>
      <w:r w:rsidRPr="00082280">
        <w:rPr>
          <w:rFonts w:cs="Sylfaen"/>
          <w:b w:val="0"/>
          <w:iCs/>
          <w:szCs w:val="22"/>
          <w:lang w:val="af-ZA" w:eastAsia="en-GB"/>
        </w:rPr>
        <w:softHyphen/>
        <w:t>նե</w:t>
      </w:r>
      <w:r w:rsidRPr="00082280">
        <w:rPr>
          <w:rFonts w:cs="Sylfaen"/>
          <w:b w:val="0"/>
          <w:iCs/>
          <w:szCs w:val="22"/>
          <w:lang w:val="af-ZA" w:eastAsia="en-GB"/>
        </w:rPr>
        <w:softHyphen/>
      </w:r>
      <w:r w:rsidRPr="00082280">
        <w:rPr>
          <w:rFonts w:cs="Sylfaen"/>
          <w:b w:val="0"/>
          <w:iCs/>
          <w:szCs w:val="22"/>
          <w:lang w:val="af-ZA" w:eastAsia="en-GB"/>
        </w:rPr>
        <w:softHyphen/>
        <w:t>լով առկա պայմանագրերը, դո</w:t>
      </w:r>
      <w:r w:rsidRPr="00082280">
        <w:rPr>
          <w:rFonts w:cs="Sylfaen"/>
          <w:b w:val="0"/>
          <w:iCs/>
          <w:szCs w:val="22"/>
          <w:lang w:val="af-ZA" w:eastAsia="en-GB"/>
        </w:rPr>
        <w:softHyphen/>
        <w:t>նոր</w:t>
      </w:r>
      <w:r w:rsidRPr="00082280">
        <w:rPr>
          <w:rFonts w:cs="Sylfaen"/>
          <w:b w:val="0"/>
          <w:iCs/>
          <w:szCs w:val="22"/>
          <w:lang w:val="af-ZA" w:eastAsia="en-GB"/>
        </w:rPr>
        <w:softHyphen/>
        <w:t>նե</w:t>
      </w:r>
      <w:r w:rsidRPr="00082280">
        <w:rPr>
          <w:rFonts w:cs="Sylfaen"/>
          <w:b w:val="0"/>
          <w:iCs/>
          <w:szCs w:val="22"/>
          <w:lang w:val="af-ZA" w:eastAsia="en-GB"/>
        </w:rPr>
        <w:softHyphen/>
        <w:t>րի հետ ձեռքբերված նախնական համաձայնությունները և Եվրամիությունից ակնկալվող դրամաշնորհների դեպքում` սպա</w:t>
      </w:r>
      <w:r w:rsidRPr="00082280">
        <w:rPr>
          <w:rFonts w:cs="Sylfaen"/>
          <w:b w:val="0"/>
          <w:iCs/>
          <w:szCs w:val="22"/>
          <w:lang w:val="af-ZA" w:eastAsia="en-GB"/>
        </w:rPr>
        <w:softHyphen/>
        <w:t>սում</w:t>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րը:</w:t>
      </w:r>
    </w:p>
    <w:p w14:paraId="6B81BBD1" w14:textId="77777777" w:rsidR="00082280" w:rsidRPr="00082280" w:rsidRDefault="00082280" w:rsidP="00701F87">
      <w:pPr>
        <w:rPr>
          <w:lang w:val="af-ZA"/>
        </w:rPr>
      </w:pPr>
    </w:p>
    <w:p w14:paraId="6B0F2BB2" w14:textId="07CEDC5C" w:rsidR="00082280" w:rsidRPr="00701F87" w:rsidRDefault="00082280" w:rsidP="00082280">
      <w:pPr>
        <w:spacing w:after="200"/>
        <w:rPr>
          <w:b w:val="0"/>
          <w:bCs/>
          <w:szCs w:val="22"/>
          <w:lang w:val="hy-AM"/>
        </w:rPr>
      </w:pPr>
      <w:bookmarkStart w:id="226" w:name="_Toc152324769"/>
      <w:r w:rsidRPr="00701F87">
        <w:rPr>
          <w:bCs/>
          <w:szCs w:val="22"/>
          <w:lang w:val="hy-AM"/>
        </w:rPr>
        <w:t xml:space="preserve">Աղյուսակ </w:t>
      </w:r>
      <w:r w:rsidRPr="00701F87">
        <w:rPr>
          <w:bCs/>
          <w:szCs w:val="22"/>
          <w:lang w:val="hy-AM"/>
        </w:rPr>
        <w:fldChar w:fldCharType="begin"/>
      </w:r>
      <w:r w:rsidRPr="00701F87">
        <w:rPr>
          <w:bCs/>
          <w:szCs w:val="22"/>
          <w:lang w:val="hy-AM"/>
        </w:rPr>
        <w:instrText xml:space="preserve"> SEQ Աղյուսակ \* ARABIC </w:instrText>
      </w:r>
      <w:r w:rsidRPr="00701F87">
        <w:rPr>
          <w:bCs/>
          <w:szCs w:val="22"/>
          <w:lang w:val="hy-AM"/>
        </w:rPr>
        <w:fldChar w:fldCharType="separate"/>
      </w:r>
      <w:r w:rsidR="00DB4E68">
        <w:rPr>
          <w:bCs/>
          <w:noProof/>
          <w:szCs w:val="22"/>
          <w:lang w:val="hy-AM"/>
        </w:rPr>
        <w:t>7</w:t>
      </w:r>
      <w:r w:rsidRPr="00701F87">
        <w:rPr>
          <w:bCs/>
          <w:szCs w:val="22"/>
          <w:lang w:val="hy-AM"/>
        </w:rPr>
        <w:fldChar w:fldCharType="end"/>
      </w:r>
      <w:r w:rsidRPr="00701F87">
        <w:rPr>
          <w:bCs/>
          <w:szCs w:val="22"/>
          <w:lang w:val="hy-AM"/>
        </w:rPr>
        <w:t>.</w:t>
      </w:r>
      <w:r w:rsidRPr="00701F87">
        <w:rPr>
          <w:b w:val="0"/>
          <w:bCs/>
          <w:szCs w:val="22"/>
          <w:lang w:val="hy-AM"/>
        </w:rPr>
        <w:t xml:space="preserve"> 2020-2024թթ փաստացի/կանխատեսումային պաշտոնական դրամաշնորհները, մլրդ դրամ</w:t>
      </w:r>
      <w:r w:rsidRPr="00701F87">
        <w:rPr>
          <w:b w:val="0"/>
          <w:bCs/>
          <w:szCs w:val="22"/>
          <w:lang w:val="hy-AM"/>
        </w:rPr>
        <w:softHyphen/>
      </w:r>
      <w:bookmarkEnd w:id="226"/>
    </w:p>
    <w:tbl>
      <w:tblPr>
        <w:tblW w:w="9743" w:type="dxa"/>
        <w:tblInd w:w="108" w:type="dxa"/>
        <w:tblLook w:val="04A0" w:firstRow="1" w:lastRow="0" w:firstColumn="1" w:lastColumn="0" w:noHBand="0" w:noVBand="1"/>
      </w:tblPr>
      <w:tblGrid>
        <w:gridCol w:w="3150"/>
        <w:gridCol w:w="1170"/>
        <w:gridCol w:w="1403"/>
        <w:gridCol w:w="1292"/>
        <w:gridCol w:w="1245"/>
        <w:gridCol w:w="1483"/>
      </w:tblGrid>
      <w:tr w:rsidR="00082280" w:rsidRPr="00082280" w14:paraId="7B6BE4E2" w14:textId="77777777" w:rsidTr="00E8507D">
        <w:trPr>
          <w:trHeight w:val="315"/>
        </w:trPr>
        <w:tc>
          <w:tcPr>
            <w:tcW w:w="3150" w:type="dxa"/>
            <w:vMerge w:val="restart"/>
            <w:shd w:val="clear" w:color="auto" w:fill="auto"/>
            <w:vAlign w:val="center"/>
            <w:hideMark/>
          </w:tcPr>
          <w:p w14:paraId="400C45B9" w14:textId="77777777" w:rsidR="00082280" w:rsidRPr="00082280" w:rsidRDefault="00082280" w:rsidP="00082280">
            <w:pPr>
              <w:spacing w:before="0" w:line="240" w:lineRule="auto"/>
              <w:jc w:val="center"/>
              <w:rPr>
                <w:rFonts w:cs="Calibri"/>
                <w:b w:val="0"/>
                <w:color w:val="000000"/>
                <w:sz w:val="18"/>
                <w:szCs w:val="18"/>
                <w:lang w:val="en-US" w:eastAsia="en-US"/>
              </w:rPr>
            </w:pPr>
            <w:r w:rsidRPr="00082280">
              <w:rPr>
                <w:rFonts w:cs="Arial"/>
                <w:b w:val="0"/>
                <w:sz w:val="18"/>
                <w:szCs w:val="18"/>
                <w:lang w:val="en-US" w:eastAsia="en-US"/>
              </w:rPr>
              <w:t>Պաշտոնական դրամաշնորհներ</w:t>
            </w:r>
          </w:p>
        </w:tc>
        <w:tc>
          <w:tcPr>
            <w:tcW w:w="3865" w:type="dxa"/>
            <w:gridSpan w:val="3"/>
            <w:tcBorders>
              <w:bottom w:val="single" w:sz="4" w:space="0" w:color="auto"/>
            </w:tcBorders>
            <w:shd w:val="clear" w:color="auto" w:fill="auto"/>
            <w:noWrap/>
            <w:vAlign w:val="center"/>
            <w:hideMark/>
          </w:tcPr>
          <w:p w14:paraId="31DBA000" w14:textId="77777777" w:rsidR="00082280" w:rsidRPr="00082280" w:rsidRDefault="00082280" w:rsidP="00082280">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hy-AM" w:eastAsia="en-US"/>
              </w:rPr>
              <w:t>Փաստ</w:t>
            </w:r>
          </w:p>
        </w:tc>
        <w:tc>
          <w:tcPr>
            <w:tcW w:w="1245" w:type="dxa"/>
            <w:shd w:val="clear" w:color="auto" w:fill="auto"/>
            <w:noWrap/>
            <w:vAlign w:val="center"/>
            <w:hideMark/>
          </w:tcPr>
          <w:p w14:paraId="5195F904" w14:textId="77777777" w:rsidR="00082280" w:rsidRPr="00082280" w:rsidRDefault="00082280" w:rsidP="00082280">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Բյուջե</w:t>
            </w:r>
          </w:p>
        </w:tc>
        <w:tc>
          <w:tcPr>
            <w:tcW w:w="1483" w:type="dxa"/>
            <w:tcBorders>
              <w:bottom w:val="single" w:sz="4" w:space="0" w:color="auto"/>
            </w:tcBorders>
            <w:vAlign w:val="center"/>
          </w:tcPr>
          <w:p w14:paraId="017EE034" w14:textId="1CE3D83F" w:rsidR="00082280" w:rsidRPr="009813D2" w:rsidRDefault="009813D2" w:rsidP="00082280">
            <w:pPr>
              <w:spacing w:before="0" w:line="240" w:lineRule="auto"/>
              <w:jc w:val="center"/>
              <w:rPr>
                <w:rFonts w:cs="Calibri"/>
                <w:b w:val="0"/>
                <w:color w:val="000000"/>
                <w:sz w:val="18"/>
                <w:szCs w:val="18"/>
                <w:lang w:val="hy-AM" w:eastAsia="en-US"/>
              </w:rPr>
            </w:pPr>
            <w:r>
              <w:rPr>
                <w:rFonts w:cs="Calibri"/>
                <w:b w:val="0"/>
                <w:color w:val="000000"/>
                <w:sz w:val="18"/>
                <w:szCs w:val="18"/>
                <w:lang w:val="hy-AM" w:eastAsia="en-US"/>
              </w:rPr>
              <w:t>ծրագիր</w:t>
            </w:r>
          </w:p>
        </w:tc>
      </w:tr>
      <w:tr w:rsidR="00082280" w:rsidRPr="00082280" w14:paraId="5F478B4B" w14:textId="77777777" w:rsidTr="00E8507D">
        <w:trPr>
          <w:trHeight w:val="315"/>
        </w:trPr>
        <w:tc>
          <w:tcPr>
            <w:tcW w:w="3150" w:type="dxa"/>
            <w:vMerge/>
            <w:tcBorders>
              <w:bottom w:val="single" w:sz="4" w:space="0" w:color="auto"/>
            </w:tcBorders>
            <w:vAlign w:val="center"/>
            <w:hideMark/>
          </w:tcPr>
          <w:p w14:paraId="7538A291" w14:textId="77777777" w:rsidR="00082280" w:rsidRPr="00082280" w:rsidRDefault="00082280" w:rsidP="00082280">
            <w:pPr>
              <w:spacing w:before="0" w:line="240" w:lineRule="auto"/>
              <w:jc w:val="left"/>
              <w:rPr>
                <w:rFonts w:cs="Calibri"/>
                <w:b w:val="0"/>
                <w:color w:val="000000"/>
                <w:sz w:val="18"/>
                <w:szCs w:val="18"/>
                <w:lang w:val="en-US" w:eastAsia="en-US"/>
              </w:rPr>
            </w:pPr>
          </w:p>
        </w:tc>
        <w:tc>
          <w:tcPr>
            <w:tcW w:w="1170" w:type="dxa"/>
            <w:tcBorders>
              <w:top w:val="single" w:sz="4" w:space="0" w:color="auto"/>
              <w:bottom w:val="single" w:sz="4" w:space="0" w:color="auto"/>
            </w:tcBorders>
            <w:shd w:val="clear" w:color="auto" w:fill="auto"/>
            <w:noWrap/>
            <w:vAlign w:val="center"/>
            <w:hideMark/>
          </w:tcPr>
          <w:p w14:paraId="18C192C8" w14:textId="77777777" w:rsidR="00082280" w:rsidRPr="00082280" w:rsidRDefault="00082280" w:rsidP="00082280">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2020</w:t>
            </w:r>
          </w:p>
        </w:tc>
        <w:tc>
          <w:tcPr>
            <w:tcW w:w="1403" w:type="dxa"/>
            <w:tcBorders>
              <w:top w:val="single" w:sz="4" w:space="0" w:color="auto"/>
              <w:bottom w:val="single" w:sz="4" w:space="0" w:color="auto"/>
            </w:tcBorders>
            <w:shd w:val="clear" w:color="auto" w:fill="auto"/>
            <w:noWrap/>
            <w:vAlign w:val="center"/>
            <w:hideMark/>
          </w:tcPr>
          <w:p w14:paraId="5528D11B" w14:textId="77777777" w:rsidR="00082280" w:rsidRPr="00082280" w:rsidRDefault="00082280" w:rsidP="00082280">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2021</w:t>
            </w:r>
          </w:p>
        </w:tc>
        <w:tc>
          <w:tcPr>
            <w:tcW w:w="1292" w:type="dxa"/>
            <w:tcBorders>
              <w:top w:val="single" w:sz="4" w:space="0" w:color="auto"/>
              <w:bottom w:val="single" w:sz="4" w:space="0" w:color="auto"/>
            </w:tcBorders>
            <w:shd w:val="clear" w:color="auto" w:fill="auto"/>
            <w:noWrap/>
            <w:vAlign w:val="center"/>
            <w:hideMark/>
          </w:tcPr>
          <w:p w14:paraId="19EAD978" w14:textId="77777777" w:rsidR="00082280" w:rsidRPr="00082280" w:rsidRDefault="00082280" w:rsidP="00082280">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2022</w:t>
            </w:r>
          </w:p>
        </w:tc>
        <w:tc>
          <w:tcPr>
            <w:tcW w:w="1245" w:type="dxa"/>
            <w:tcBorders>
              <w:bottom w:val="single" w:sz="4" w:space="0" w:color="auto"/>
            </w:tcBorders>
            <w:shd w:val="clear" w:color="auto" w:fill="auto"/>
            <w:noWrap/>
            <w:vAlign w:val="center"/>
            <w:hideMark/>
          </w:tcPr>
          <w:p w14:paraId="61A59035" w14:textId="77777777" w:rsidR="00082280" w:rsidRPr="00082280" w:rsidRDefault="00082280" w:rsidP="00082280">
            <w:pPr>
              <w:spacing w:before="0" w:line="240" w:lineRule="auto"/>
              <w:jc w:val="center"/>
              <w:rPr>
                <w:rFonts w:cs="Calibri"/>
                <w:b w:val="0"/>
                <w:color w:val="000000"/>
                <w:sz w:val="18"/>
                <w:szCs w:val="18"/>
                <w:lang w:val="en-US" w:eastAsia="en-US"/>
              </w:rPr>
            </w:pPr>
            <w:r w:rsidRPr="00082280">
              <w:rPr>
                <w:rFonts w:cs="Calibri"/>
                <w:b w:val="0"/>
                <w:color w:val="000000"/>
                <w:sz w:val="18"/>
                <w:szCs w:val="18"/>
                <w:lang w:val="en-US" w:eastAsia="en-US"/>
              </w:rPr>
              <w:t>2023</w:t>
            </w:r>
          </w:p>
        </w:tc>
        <w:tc>
          <w:tcPr>
            <w:tcW w:w="1483" w:type="dxa"/>
            <w:tcBorders>
              <w:top w:val="single" w:sz="2" w:space="0" w:color="auto"/>
              <w:bottom w:val="single" w:sz="4" w:space="0" w:color="auto"/>
            </w:tcBorders>
            <w:shd w:val="clear" w:color="auto" w:fill="auto"/>
            <w:vAlign w:val="center"/>
          </w:tcPr>
          <w:p w14:paraId="279A2343" w14:textId="77777777" w:rsidR="00082280" w:rsidRPr="00082280" w:rsidRDefault="00082280" w:rsidP="00082280">
            <w:pPr>
              <w:tabs>
                <w:tab w:val="left" w:pos="0"/>
              </w:tabs>
              <w:spacing w:line="240" w:lineRule="auto"/>
              <w:ind w:right="42"/>
              <w:jc w:val="center"/>
              <w:rPr>
                <w:b w:val="0"/>
                <w:sz w:val="18"/>
                <w:szCs w:val="18"/>
              </w:rPr>
            </w:pPr>
            <w:r w:rsidRPr="00082280">
              <w:rPr>
                <w:b w:val="0"/>
                <w:sz w:val="18"/>
                <w:szCs w:val="18"/>
              </w:rPr>
              <w:t xml:space="preserve">2024 </w:t>
            </w:r>
          </w:p>
        </w:tc>
      </w:tr>
      <w:tr w:rsidR="00082280" w:rsidRPr="00082280" w14:paraId="7DFE505E" w14:textId="77777777" w:rsidTr="00082280">
        <w:tblPrEx>
          <w:shd w:val="clear" w:color="auto" w:fill="FFFFFF"/>
        </w:tblPrEx>
        <w:trPr>
          <w:trHeight w:val="513"/>
        </w:trPr>
        <w:tc>
          <w:tcPr>
            <w:tcW w:w="3150" w:type="dxa"/>
            <w:tcBorders>
              <w:top w:val="single" w:sz="4" w:space="0" w:color="auto"/>
              <w:bottom w:val="single" w:sz="4" w:space="0" w:color="auto"/>
            </w:tcBorders>
            <w:shd w:val="clear" w:color="auto" w:fill="FFFFFF"/>
            <w:vAlign w:val="center"/>
          </w:tcPr>
          <w:p w14:paraId="56B7A0CC" w14:textId="77777777" w:rsidR="00082280" w:rsidRPr="00082280" w:rsidRDefault="00082280" w:rsidP="00082280">
            <w:pPr>
              <w:spacing w:before="0" w:line="240" w:lineRule="auto"/>
              <w:rPr>
                <w:rFonts w:cs="Arial"/>
                <w:b w:val="0"/>
                <w:sz w:val="18"/>
                <w:szCs w:val="18"/>
                <w:lang w:val="en-US" w:eastAsia="en-US"/>
              </w:rPr>
            </w:pPr>
            <w:r w:rsidRPr="00082280">
              <w:rPr>
                <w:rFonts w:cs="Arial"/>
                <w:b w:val="0"/>
                <w:sz w:val="18"/>
                <w:szCs w:val="18"/>
                <w:lang w:val="en-US" w:eastAsia="en-US"/>
              </w:rPr>
              <w:t>Ընդամենը, այդ թվում՝</w:t>
            </w:r>
          </w:p>
        </w:tc>
        <w:tc>
          <w:tcPr>
            <w:tcW w:w="1170" w:type="dxa"/>
            <w:tcBorders>
              <w:top w:val="single" w:sz="4" w:space="0" w:color="auto"/>
              <w:bottom w:val="single" w:sz="4" w:space="0" w:color="auto"/>
            </w:tcBorders>
            <w:shd w:val="clear" w:color="auto" w:fill="FFFFFF"/>
            <w:noWrap/>
            <w:vAlign w:val="center"/>
          </w:tcPr>
          <w:p w14:paraId="5DA0A92B" w14:textId="77777777" w:rsidR="00082280" w:rsidRPr="00082280" w:rsidRDefault="00082280" w:rsidP="00082280">
            <w:pPr>
              <w:spacing w:before="0" w:line="240" w:lineRule="auto"/>
              <w:jc w:val="center"/>
              <w:rPr>
                <w:rFonts w:cs="Arial"/>
                <w:b w:val="0"/>
                <w:sz w:val="18"/>
                <w:szCs w:val="18"/>
                <w:lang w:val="en-US" w:eastAsia="en-US"/>
              </w:rPr>
            </w:pPr>
            <w:r w:rsidRPr="00082280">
              <w:rPr>
                <w:rFonts w:cs="Arial"/>
                <w:b w:val="0"/>
                <w:sz w:val="18"/>
                <w:szCs w:val="18"/>
                <w:lang w:val="en-US" w:eastAsia="en-US"/>
              </w:rPr>
              <w:t>53.2</w:t>
            </w:r>
          </w:p>
        </w:tc>
        <w:tc>
          <w:tcPr>
            <w:tcW w:w="1403" w:type="dxa"/>
            <w:tcBorders>
              <w:top w:val="single" w:sz="4" w:space="0" w:color="auto"/>
              <w:bottom w:val="single" w:sz="4" w:space="0" w:color="auto"/>
            </w:tcBorders>
            <w:shd w:val="clear" w:color="auto" w:fill="FFFFFF"/>
            <w:noWrap/>
            <w:vAlign w:val="center"/>
          </w:tcPr>
          <w:p w14:paraId="7786C882" w14:textId="77777777" w:rsidR="00082280" w:rsidRPr="00082280" w:rsidRDefault="00082280" w:rsidP="00082280">
            <w:pPr>
              <w:spacing w:before="0" w:line="240" w:lineRule="auto"/>
              <w:jc w:val="center"/>
              <w:rPr>
                <w:rFonts w:cs="Arial"/>
                <w:b w:val="0"/>
                <w:sz w:val="18"/>
                <w:szCs w:val="18"/>
                <w:lang w:val="en-US" w:eastAsia="en-US"/>
              </w:rPr>
            </w:pPr>
            <w:r w:rsidRPr="00082280">
              <w:rPr>
                <w:rFonts w:cs="Arial"/>
                <w:b w:val="0"/>
                <w:sz w:val="18"/>
                <w:szCs w:val="18"/>
                <w:lang w:val="en-US" w:eastAsia="en-US"/>
              </w:rPr>
              <w:t>12.4</w:t>
            </w:r>
          </w:p>
        </w:tc>
        <w:tc>
          <w:tcPr>
            <w:tcW w:w="1292" w:type="dxa"/>
            <w:tcBorders>
              <w:top w:val="single" w:sz="4" w:space="0" w:color="auto"/>
              <w:bottom w:val="single" w:sz="4" w:space="0" w:color="auto"/>
            </w:tcBorders>
            <w:shd w:val="clear" w:color="auto" w:fill="FFFFFF"/>
            <w:noWrap/>
            <w:vAlign w:val="center"/>
          </w:tcPr>
          <w:p w14:paraId="08C72707" w14:textId="77777777" w:rsidR="00082280" w:rsidRPr="00082280" w:rsidRDefault="00082280" w:rsidP="00082280">
            <w:pPr>
              <w:spacing w:before="0" w:line="240" w:lineRule="auto"/>
              <w:jc w:val="center"/>
              <w:rPr>
                <w:rFonts w:cs="Arial"/>
                <w:b w:val="0"/>
                <w:sz w:val="18"/>
                <w:szCs w:val="18"/>
                <w:lang w:val="en-US" w:eastAsia="en-US"/>
              </w:rPr>
            </w:pPr>
            <w:r w:rsidRPr="00082280">
              <w:rPr>
                <w:rFonts w:cs="Arial"/>
                <w:b w:val="0"/>
                <w:sz w:val="18"/>
                <w:szCs w:val="18"/>
                <w:lang w:val="en-US" w:eastAsia="en-US"/>
              </w:rPr>
              <w:t>15.0</w:t>
            </w:r>
          </w:p>
        </w:tc>
        <w:tc>
          <w:tcPr>
            <w:tcW w:w="1245" w:type="dxa"/>
            <w:tcBorders>
              <w:top w:val="single" w:sz="4" w:space="0" w:color="auto"/>
              <w:bottom w:val="single" w:sz="4" w:space="0" w:color="auto"/>
            </w:tcBorders>
            <w:shd w:val="clear" w:color="auto" w:fill="FFFFFF"/>
            <w:vAlign w:val="center"/>
          </w:tcPr>
          <w:p w14:paraId="5B30FE80" w14:textId="77777777" w:rsidR="00082280" w:rsidRPr="00082280" w:rsidRDefault="00082280" w:rsidP="00082280">
            <w:pPr>
              <w:spacing w:before="0" w:line="240" w:lineRule="auto"/>
              <w:jc w:val="center"/>
              <w:rPr>
                <w:rFonts w:cs="Arial"/>
                <w:b w:val="0"/>
                <w:sz w:val="18"/>
                <w:szCs w:val="18"/>
                <w:lang w:val="en-US" w:eastAsia="en-US"/>
              </w:rPr>
            </w:pPr>
            <w:r w:rsidRPr="00082280">
              <w:rPr>
                <w:rFonts w:cs="Arial"/>
                <w:b w:val="0"/>
                <w:sz w:val="18"/>
                <w:szCs w:val="18"/>
                <w:lang w:val="en-US" w:eastAsia="en-US"/>
              </w:rPr>
              <w:t>17.2</w:t>
            </w:r>
          </w:p>
        </w:tc>
        <w:tc>
          <w:tcPr>
            <w:tcW w:w="1483" w:type="dxa"/>
            <w:tcBorders>
              <w:top w:val="single" w:sz="4" w:space="0" w:color="auto"/>
              <w:bottom w:val="single" w:sz="4" w:space="0" w:color="auto"/>
            </w:tcBorders>
            <w:shd w:val="clear" w:color="auto" w:fill="auto"/>
            <w:vAlign w:val="center"/>
          </w:tcPr>
          <w:p w14:paraId="01A04EDE" w14:textId="77777777" w:rsidR="00082280" w:rsidRPr="00082280" w:rsidRDefault="008475C9" w:rsidP="00082280">
            <w:pPr>
              <w:spacing w:before="0" w:line="240" w:lineRule="auto"/>
              <w:jc w:val="center"/>
              <w:rPr>
                <w:rFonts w:cs="Arial"/>
                <w:b w:val="0"/>
                <w:sz w:val="18"/>
                <w:szCs w:val="18"/>
                <w:lang w:val="en-US" w:eastAsia="en-US"/>
              </w:rPr>
            </w:pPr>
            <w:r>
              <w:rPr>
                <w:rFonts w:cs="Arial"/>
                <w:b w:val="0"/>
                <w:sz w:val="18"/>
                <w:szCs w:val="18"/>
                <w:lang w:val="en-US" w:eastAsia="en-US"/>
              </w:rPr>
              <w:t>22.3</w:t>
            </w:r>
          </w:p>
        </w:tc>
      </w:tr>
      <w:tr w:rsidR="00082280" w:rsidRPr="00082280" w14:paraId="3342F964" w14:textId="77777777" w:rsidTr="00082280">
        <w:tblPrEx>
          <w:shd w:val="clear" w:color="auto" w:fill="FFFFFF"/>
        </w:tblPrEx>
        <w:trPr>
          <w:trHeight w:val="1826"/>
        </w:trPr>
        <w:tc>
          <w:tcPr>
            <w:tcW w:w="3150" w:type="dxa"/>
            <w:tcBorders>
              <w:top w:val="single" w:sz="4" w:space="0" w:color="auto"/>
            </w:tcBorders>
            <w:shd w:val="clear" w:color="auto" w:fill="FFFFFF"/>
            <w:vAlign w:val="center"/>
            <w:hideMark/>
          </w:tcPr>
          <w:p w14:paraId="205E2F6C" w14:textId="77777777" w:rsidR="00082280" w:rsidRPr="00082280" w:rsidRDefault="00082280" w:rsidP="00082280">
            <w:pPr>
              <w:spacing w:before="0" w:line="240" w:lineRule="auto"/>
              <w:rPr>
                <w:rFonts w:cs="Arial"/>
                <w:b w:val="0"/>
                <w:sz w:val="18"/>
                <w:szCs w:val="18"/>
                <w:lang w:eastAsia="en-US"/>
              </w:rPr>
            </w:pPr>
            <w:r w:rsidRPr="00082280">
              <w:rPr>
                <w:rFonts w:cs="Arial"/>
                <w:b w:val="0"/>
                <w:sz w:val="18"/>
                <w:szCs w:val="18"/>
                <w:lang w:val="en-US" w:eastAsia="en-US"/>
              </w:rPr>
              <w:t>ԵՄ</w:t>
            </w:r>
            <w:r w:rsidRPr="00082280">
              <w:rPr>
                <w:rFonts w:cs="Arial"/>
                <w:b w:val="0"/>
                <w:sz w:val="18"/>
                <w:szCs w:val="18"/>
                <w:lang w:eastAsia="en-US"/>
              </w:rPr>
              <w:t xml:space="preserve"> (</w:t>
            </w:r>
            <w:r w:rsidRPr="00082280">
              <w:rPr>
                <w:rFonts w:cs="Arial"/>
                <w:b w:val="0"/>
                <w:sz w:val="18"/>
                <w:szCs w:val="18"/>
                <w:lang w:val="en-US" w:eastAsia="en-US"/>
              </w:rPr>
              <w:t>Եվրոպական</w:t>
            </w:r>
            <w:r w:rsidRPr="00082280">
              <w:rPr>
                <w:rFonts w:cs="Arial"/>
                <w:b w:val="0"/>
                <w:sz w:val="18"/>
                <w:szCs w:val="18"/>
                <w:lang w:eastAsia="en-US"/>
              </w:rPr>
              <w:t xml:space="preserve"> </w:t>
            </w:r>
            <w:r w:rsidRPr="00082280">
              <w:rPr>
                <w:rFonts w:cs="Arial"/>
                <w:b w:val="0"/>
                <w:sz w:val="18"/>
                <w:szCs w:val="18"/>
                <w:lang w:val="en-US" w:eastAsia="en-US"/>
              </w:rPr>
              <w:t>հարևանության</w:t>
            </w:r>
            <w:r w:rsidRPr="00082280">
              <w:rPr>
                <w:rFonts w:cs="Arial"/>
                <w:b w:val="0"/>
                <w:sz w:val="18"/>
                <w:szCs w:val="18"/>
                <w:lang w:eastAsia="en-US"/>
              </w:rPr>
              <w:t xml:space="preserve"> </w:t>
            </w:r>
            <w:r w:rsidRPr="00082280">
              <w:rPr>
                <w:rFonts w:cs="Arial"/>
                <w:b w:val="0"/>
                <w:sz w:val="18"/>
                <w:szCs w:val="18"/>
                <w:lang w:val="en-US" w:eastAsia="en-US"/>
              </w:rPr>
              <w:t>շրջանակներում</w:t>
            </w:r>
            <w:r w:rsidRPr="00082280">
              <w:rPr>
                <w:rFonts w:cs="Arial"/>
                <w:b w:val="0"/>
                <w:sz w:val="18"/>
                <w:szCs w:val="18"/>
                <w:lang w:eastAsia="en-US"/>
              </w:rPr>
              <w:t xml:space="preserve"> </w:t>
            </w:r>
            <w:r w:rsidRPr="00082280">
              <w:rPr>
                <w:rFonts w:cs="Arial"/>
                <w:b w:val="0"/>
                <w:sz w:val="18"/>
                <w:szCs w:val="18"/>
                <w:lang w:val="en-US" w:eastAsia="en-US"/>
              </w:rPr>
              <w:t>ՀՀ</w:t>
            </w:r>
            <w:r w:rsidRPr="00082280">
              <w:rPr>
                <w:rFonts w:cs="Arial"/>
                <w:b w:val="0"/>
                <w:sz w:val="18"/>
                <w:szCs w:val="18"/>
                <w:lang w:eastAsia="en-US"/>
              </w:rPr>
              <w:t>-</w:t>
            </w:r>
            <w:r w:rsidRPr="00082280">
              <w:rPr>
                <w:rFonts w:cs="Arial"/>
                <w:b w:val="0"/>
                <w:sz w:val="18"/>
                <w:szCs w:val="18"/>
                <w:lang w:val="en-US" w:eastAsia="en-US"/>
              </w:rPr>
              <w:t>ԵՄ</w:t>
            </w:r>
            <w:r w:rsidRPr="00082280">
              <w:rPr>
                <w:rFonts w:cs="Arial"/>
                <w:b w:val="0"/>
                <w:sz w:val="18"/>
                <w:szCs w:val="18"/>
                <w:lang w:eastAsia="en-US"/>
              </w:rPr>
              <w:t xml:space="preserve"> </w:t>
            </w:r>
            <w:r w:rsidRPr="00082280">
              <w:rPr>
                <w:rFonts w:cs="Arial"/>
                <w:b w:val="0"/>
                <w:sz w:val="18"/>
                <w:szCs w:val="18"/>
                <w:lang w:val="en-US" w:eastAsia="en-US"/>
              </w:rPr>
              <w:t>գործողությունների</w:t>
            </w:r>
            <w:r w:rsidRPr="00082280">
              <w:rPr>
                <w:rFonts w:cs="Arial"/>
                <w:b w:val="0"/>
                <w:sz w:val="18"/>
                <w:szCs w:val="18"/>
                <w:lang w:eastAsia="en-US"/>
              </w:rPr>
              <w:t xml:space="preserve"> </w:t>
            </w:r>
            <w:r w:rsidRPr="00082280">
              <w:rPr>
                <w:rFonts w:cs="Arial"/>
                <w:b w:val="0"/>
                <w:sz w:val="18"/>
                <w:szCs w:val="18"/>
                <w:lang w:val="en-US" w:eastAsia="en-US"/>
              </w:rPr>
              <w:t>ծրագրով</w:t>
            </w:r>
            <w:r w:rsidRPr="00082280">
              <w:rPr>
                <w:rFonts w:cs="Arial"/>
                <w:b w:val="0"/>
                <w:sz w:val="18"/>
                <w:szCs w:val="18"/>
                <w:lang w:eastAsia="en-US"/>
              </w:rPr>
              <w:t xml:space="preserve"> </w:t>
            </w:r>
            <w:r w:rsidRPr="00082280">
              <w:rPr>
                <w:rFonts w:cs="Arial"/>
                <w:b w:val="0"/>
                <w:sz w:val="18"/>
                <w:szCs w:val="18"/>
                <w:lang w:val="en-US" w:eastAsia="en-US"/>
              </w:rPr>
              <w:t>նախատեսված</w:t>
            </w:r>
            <w:r w:rsidRPr="00082280">
              <w:rPr>
                <w:rFonts w:cs="Arial"/>
                <w:b w:val="0"/>
                <w:sz w:val="18"/>
                <w:szCs w:val="18"/>
                <w:lang w:eastAsia="en-US"/>
              </w:rPr>
              <w:t xml:space="preserve"> </w:t>
            </w:r>
            <w:r w:rsidRPr="00082280">
              <w:rPr>
                <w:rFonts w:cs="Arial"/>
                <w:b w:val="0"/>
                <w:sz w:val="18"/>
                <w:szCs w:val="18"/>
                <w:lang w:val="en-US" w:eastAsia="en-US"/>
              </w:rPr>
              <w:t>դրամաշնորհային</w:t>
            </w:r>
            <w:r w:rsidRPr="00082280">
              <w:rPr>
                <w:rFonts w:cs="Arial"/>
                <w:b w:val="0"/>
                <w:sz w:val="18"/>
                <w:szCs w:val="18"/>
                <w:lang w:eastAsia="en-US"/>
              </w:rPr>
              <w:t xml:space="preserve"> </w:t>
            </w:r>
            <w:r w:rsidRPr="00082280">
              <w:rPr>
                <w:rFonts w:cs="Arial"/>
                <w:b w:val="0"/>
                <w:sz w:val="18"/>
                <w:szCs w:val="18"/>
                <w:lang w:val="en-US" w:eastAsia="en-US"/>
              </w:rPr>
              <w:t>ծրագրեր</w:t>
            </w:r>
            <w:r w:rsidRPr="00082280">
              <w:rPr>
                <w:rFonts w:cs="Arial"/>
                <w:b w:val="0"/>
                <w:sz w:val="18"/>
                <w:szCs w:val="18"/>
                <w:lang w:eastAsia="en-US"/>
              </w:rPr>
              <w:t>)</w:t>
            </w:r>
          </w:p>
        </w:tc>
        <w:tc>
          <w:tcPr>
            <w:tcW w:w="1170" w:type="dxa"/>
            <w:tcBorders>
              <w:top w:val="single" w:sz="4" w:space="0" w:color="auto"/>
            </w:tcBorders>
            <w:shd w:val="clear" w:color="auto" w:fill="FFFFFF"/>
            <w:noWrap/>
            <w:vAlign w:val="center"/>
          </w:tcPr>
          <w:p w14:paraId="584DF842" w14:textId="77777777" w:rsidR="00082280" w:rsidRPr="00082280" w:rsidRDefault="00082280" w:rsidP="00082280">
            <w:pPr>
              <w:spacing w:before="0" w:line="240" w:lineRule="auto"/>
              <w:jc w:val="center"/>
              <w:rPr>
                <w:rFonts w:cs="Arial"/>
                <w:b w:val="0"/>
                <w:sz w:val="18"/>
                <w:szCs w:val="18"/>
                <w:lang w:val="en-US" w:eastAsia="en-US"/>
              </w:rPr>
            </w:pPr>
            <w:r w:rsidRPr="00082280">
              <w:rPr>
                <w:rFonts w:cs="Arial"/>
                <w:b w:val="0"/>
                <w:sz w:val="18"/>
                <w:szCs w:val="18"/>
                <w:lang w:eastAsia="en-US"/>
              </w:rPr>
              <w:t>47.3</w:t>
            </w:r>
          </w:p>
        </w:tc>
        <w:tc>
          <w:tcPr>
            <w:tcW w:w="1403" w:type="dxa"/>
            <w:tcBorders>
              <w:top w:val="single" w:sz="4" w:space="0" w:color="auto"/>
            </w:tcBorders>
            <w:shd w:val="clear" w:color="auto" w:fill="FFFFFF"/>
            <w:noWrap/>
            <w:vAlign w:val="center"/>
          </w:tcPr>
          <w:p w14:paraId="4239D464" w14:textId="77777777" w:rsidR="00082280" w:rsidRPr="00082280" w:rsidRDefault="00082280" w:rsidP="00082280">
            <w:pPr>
              <w:spacing w:before="0" w:line="240" w:lineRule="auto"/>
              <w:jc w:val="center"/>
              <w:rPr>
                <w:rFonts w:cs="Arial"/>
                <w:b w:val="0"/>
                <w:sz w:val="18"/>
                <w:szCs w:val="18"/>
                <w:lang w:eastAsia="en-US"/>
              </w:rPr>
            </w:pPr>
            <w:r w:rsidRPr="00082280">
              <w:rPr>
                <w:rFonts w:cs="Arial"/>
                <w:b w:val="0"/>
                <w:sz w:val="18"/>
                <w:szCs w:val="18"/>
                <w:lang w:eastAsia="en-US"/>
              </w:rPr>
              <w:t>2.8</w:t>
            </w:r>
          </w:p>
        </w:tc>
        <w:tc>
          <w:tcPr>
            <w:tcW w:w="1292" w:type="dxa"/>
            <w:tcBorders>
              <w:top w:val="single" w:sz="4" w:space="0" w:color="auto"/>
            </w:tcBorders>
            <w:shd w:val="clear" w:color="auto" w:fill="FFFFFF"/>
            <w:noWrap/>
            <w:vAlign w:val="center"/>
          </w:tcPr>
          <w:p w14:paraId="3F95E70E" w14:textId="77777777" w:rsidR="00082280" w:rsidRPr="00082280" w:rsidRDefault="00082280" w:rsidP="00082280">
            <w:pPr>
              <w:spacing w:before="0" w:line="240" w:lineRule="auto"/>
              <w:jc w:val="center"/>
              <w:rPr>
                <w:rFonts w:cs="Arial"/>
                <w:b w:val="0"/>
                <w:sz w:val="18"/>
                <w:szCs w:val="18"/>
                <w:lang w:val="en-US" w:eastAsia="en-US"/>
              </w:rPr>
            </w:pPr>
            <w:r w:rsidRPr="00082280">
              <w:rPr>
                <w:rFonts w:cs="Arial"/>
                <w:b w:val="0"/>
                <w:sz w:val="18"/>
                <w:szCs w:val="18"/>
                <w:lang w:val="en-US" w:eastAsia="en-US"/>
              </w:rPr>
              <w:t>6.2</w:t>
            </w:r>
          </w:p>
        </w:tc>
        <w:tc>
          <w:tcPr>
            <w:tcW w:w="1245" w:type="dxa"/>
            <w:tcBorders>
              <w:top w:val="single" w:sz="4" w:space="0" w:color="auto"/>
            </w:tcBorders>
            <w:shd w:val="clear" w:color="auto" w:fill="FFFFFF"/>
            <w:vAlign w:val="center"/>
          </w:tcPr>
          <w:p w14:paraId="74CDDF0C" w14:textId="77777777" w:rsidR="00082280" w:rsidRPr="00082280" w:rsidRDefault="00082280" w:rsidP="00082280">
            <w:pPr>
              <w:spacing w:before="0" w:line="240" w:lineRule="auto"/>
              <w:jc w:val="center"/>
              <w:rPr>
                <w:rFonts w:cs="Arial"/>
                <w:b w:val="0"/>
                <w:sz w:val="18"/>
                <w:szCs w:val="18"/>
                <w:lang w:eastAsia="en-US"/>
              </w:rPr>
            </w:pPr>
            <w:r w:rsidRPr="00082280">
              <w:rPr>
                <w:rFonts w:cs="Arial"/>
                <w:b w:val="0"/>
                <w:sz w:val="18"/>
                <w:szCs w:val="18"/>
                <w:lang w:eastAsia="en-US"/>
              </w:rPr>
              <w:t>1.1</w:t>
            </w:r>
          </w:p>
        </w:tc>
        <w:tc>
          <w:tcPr>
            <w:tcW w:w="1483" w:type="dxa"/>
            <w:tcBorders>
              <w:top w:val="single" w:sz="4" w:space="0" w:color="auto"/>
            </w:tcBorders>
            <w:shd w:val="clear" w:color="auto" w:fill="auto"/>
            <w:vAlign w:val="center"/>
          </w:tcPr>
          <w:p w14:paraId="18F2BCD5" w14:textId="77777777" w:rsidR="00082280" w:rsidRPr="008475C9" w:rsidRDefault="00082280" w:rsidP="008475C9">
            <w:pPr>
              <w:spacing w:before="0" w:line="240" w:lineRule="auto"/>
              <w:jc w:val="center"/>
              <w:rPr>
                <w:rFonts w:cs="Arial"/>
                <w:b w:val="0"/>
                <w:sz w:val="18"/>
                <w:szCs w:val="18"/>
                <w:lang w:val="en-US" w:eastAsia="en-US"/>
              </w:rPr>
            </w:pPr>
            <w:r w:rsidRPr="00082280">
              <w:rPr>
                <w:rFonts w:cs="Arial"/>
                <w:b w:val="0"/>
                <w:sz w:val="18"/>
                <w:szCs w:val="18"/>
                <w:lang w:eastAsia="en-US"/>
              </w:rPr>
              <w:t>7.</w:t>
            </w:r>
            <w:r w:rsidR="008475C9">
              <w:rPr>
                <w:rFonts w:cs="Arial"/>
                <w:b w:val="0"/>
                <w:sz w:val="18"/>
                <w:szCs w:val="18"/>
                <w:lang w:val="en-US" w:eastAsia="en-US"/>
              </w:rPr>
              <w:t>6</w:t>
            </w:r>
          </w:p>
        </w:tc>
      </w:tr>
      <w:tr w:rsidR="00082280" w:rsidRPr="00082280" w14:paraId="058E7B59" w14:textId="77777777" w:rsidTr="00082280">
        <w:tblPrEx>
          <w:shd w:val="clear" w:color="auto" w:fill="FFFFFF"/>
        </w:tblPrEx>
        <w:trPr>
          <w:trHeight w:val="620"/>
        </w:trPr>
        <w:tc>
          <w:tcPr>
            <w:tcW w:w="3150" w:type="dxa"/>
            <w:shd w:val="clear" w:color="auto" w:fill="FFFFFF"/>
            <w:vAlign w:val="center"/>
            <w:hideMark/>
          </w:tcPr>
          <w:p w14:paraId="2B664C25" w14:textId="77777777" w:rsidR="00082280" w:rsidRPr="00082280" w:rsidRDefault="00082280" w:rsidP="00082280">
            <w:pPr>
              <w:spacing w:before="0" w:line="240" w:lineRule="auto"/>
              <w:rPr>
                <w:rFonts w:cs="Calibri"/>
                <w:b w:val="0"/>
                <w:sz w:val="18"/>
                <w:szCs w:val="18"/>
                <w:lang w:val="en-US" w:eastAsia="en-US"/>
              </w:rPr>
            </w:pPr>
            <w:r w:rsidRPr="00082280">
              <w:rPr>
                <w:rFonts w:cs="Arial"/>
                <w:b w:val="0"/>
                <w:sz w:val="18"/>
                <w:szCs w:val="18"/>
                <w:lang w:val="en-US" w:eastAsia="en-US"/>
              </w:rPr>
              <w:t>Այլ նպատակային դրամաշնորհներ</w:t>
            </w:r>
          </w:p>
        </w:tc>
        <w:tc>
          <w:tcPr>
            <w:tcW w:w="1170" w:type="dxa"/>
            <w:shd w:val="clear" w:color="auto" w:fill="FFFFFF"/>
            <w:noWrap/>
            <w:vAlign w:val="center"/>
          </w:tcPr>
          <w:p w14:paraId="0E83E09D" w14:textId="77777777" w:rsidR="00082280" w:rsidRPr="00082280" w:rsidRDefault="00082280" w:rsidP="00082280">
            <w:pPr>
              <w:spacing w:before="0" w:line="240" w:lineRule="auto"/>
              <w:jc w:val="center"/>
              <w:rPr>
                <w:rFonts w:cs="Arial"/>
                <w:b w:val="0"/>
                <w:szCs w:val="22"/>
                <w:lang w:val="en-US" w:eastAsia="en-US"/>
              </w:rPr>
            </w:pPr>
            <w:r w:rsidRPr="00082280">
              <w:rPr>
                <w:rFonts w:cs="Arial"/>
                <w:b w:val="0"/>
                <w:sz w:val="18"/>
                <w:szCs w:val="18"/>
                <w:lang w:eastAsia="en-US"/>
              </w:rPr>
              <w:t>5.9</w:t>
            </w:r>
          </w:p>
        </w:tc>
        <w:tc>
          <w:tcPr>
            <w:tcW w:w="1403" w:type="dxa"/>
            <w:shd w:val="clear" w:color="auto" w:fill="FFFFFF"/>
            <w:noWrap/>
            <w:vAlign w:val="center"/>
          </w:tcPr>
          <w:p w14:paraId="744CB136" w14:textId="77777777" w:rsidR="00082280" w:rsidRPr="00082280" w:rsidRDefault="00082280" w:rsidP="00082280">
            <w:pPr>
              <w:spacing w:before="0" w:line="240" w:lineRule="auto"/>
              <w:jc w:val="center"/>
              <w:rPr>
                <w:rFonts w:cs="Arial"/>
                <w:b w:val="0"/>
                <w:sz w:val="18"/>
                <w:szCs w:val="18"/>
                <w:lang w:eastAsia="en-US"/>
              </w:rPr>
            </w:pPr>
            <w:r w:rsidRPr="00082280">
              <w:rPr>
                <w:rFonts w:cs="Arial"/>
                <w:b w:val="0"/>
                <w:sz w:val="18"/>
                <w:szCs w:val="18"/>
                <w:lang w:eastAsia="en-US"/>
              </w:rPr>
              <w:t>9.6</w:t>
            </w:r>
          </w:p>
        </w:tc>
        <w:tc>
          <w:tcPr>
            <w:tcW w:w="1292" w:type="dxa"/>
            <w:shd w:val="clear" w:color="auto" w:fill="FFFFFF"/>
            <w:noWrap/>
            <w:vAlign w:val="center"/>
          </w:tcPr>
          <w:p w14:paraId="3D375E14" w14:textId="77777777" w:rsidR="00082280" w:rsidRPr="00082280" w:rsidRDefault="00082280" w:rsidP="00082280">
            <w:pPr>
              <w:spacing w:before="0" w:line="240" w:lineRule="auto"/>
              <w:jc w:val="center"/>
              <w:rPr>
                <w:rFonts w:cs="Arial"/>
                <w:b w:val="0"/>
                <w:sz w:val="18"/>
                <w:szCs w:val="18"/>
                <w:lang w:eastAsia="en-US"/>
              </w:rPr>
            </w:pPr>
            <w:r w:rsidRPr="00082280">
              <w:rPr>
                <w:rFonts w:cs="Arial"/>
                <w:b w:val="0"/>
                <w:sz w:val="18"/>
                <w:szCs w:val="18"/>
                <w:lang w:eastAsia="en-US"/>
              </w:rPr>
              <w:t>8.8</w:t>
            </w:r>
          </w:p>
        </w:tc>
        <w:tc>
          <w:tcPr>
            <w:tcW w:w="1245" w:type="dxa"/>
            <w:shd w:val="clear" w:color="auto" w:fill="FFFFFF"/>
            <w:vAlign w:val="center"/>
          </w:tcPr>
          <w:p w14:paraId="1020E9AE" w14:textId="77777777" w:rsidR="00082280" w:rsidRPr="00082280" w:rsidRDefault="00082280" w:rsidP="00082280">
            <w:pPr>
              <w:spacing w:before="0" w:line="240" w:lineRule="auto"/>
              <w:jc w:val="center"/>
              <w:rPr>
                <w:rFonts w:cs="Arial"/>
                <w:b w:val="0"/>
                <w:sz w:val="18"/>
                <w:szCs w:val="18"/>
                <w:lang w:eastAsia="en-US"/>
              </w:rPr>
            </w:pPr>
            <w:r w:rsidRPr="00082280">
              <w:rPr>
                <w:rFonts w:cs="Arial"/>
                <w:b w:val="0"/>
                <w:sz w:val="18"/>
                <w:szCs w:val="18"/>
                <w:lang w:eastAsia="en-US"/>
              </w:rPr>
              <w:t>16.1</w:t>
            </w:r>
          </w:p>
        </w:tc>
        <w:tc>
          <w:tcPr>
            <w:tcW w:w="1483" w:type="dxa"/>
            <w:shd w:val="clear" w:color="auto" w:fill="FFFFFF"/>
            <w:vAlign w:val="center"/>
          </w:tcPr>
          <w:p w14:paraId="59B16577" w14:textId="77777777" w:rsidR="00082280" w:rsidRPr="00082280" w:rsidRDefault="008475C9" w:rsidP="00082280">
            <w:pPr>
              <w:spacing w:before="0" w:line="240" w:lineRule="auto"/>
              <w:jc w:val="center"/>
              <w:rPr>
                <w:rFonts w:cs="Arial"/>
                <w:b w:val="0"/>
                <w:sz w:val="18"/>
                <w:szCs w:val="18"/>
                <w:lang w:eastAsia="en-US"/>
              </w:rPr>
            </w:pPr>
            <w:r>
              <w:rPr>
                <w:rFonts w:cs="Arial"/>
                <w:b w:val="0"/>
                <w:sz w:val="18"/>
                <w:szCs w:val="18"/>
                <w:lang w:eastAsia="en-US"/>
              </w:rPr>
              <w:t>14.7</w:t>
            </w:r>
          </w:p>
        </w:tc>
      </w:tr>
    </w:tbl>
    <w:p w14:paraId="461EB523" w14:textId="77777777" w:rsidR="00082280" w:rsidRPr="00082280" w:rsidRDefault="00082280" w:rsidP="00082280">
      <w:pPr>
        <w:spacing w:after="200"/>
        <w:rPr>
          <w:b w:val="0"/>
          <w:bCs/>
          <w:sz w:val="20"/>
          <w:szCs w:val="20"/>
          <w:lang w:val="hy-AM"/>
        </w:rPr>
      </w:pPr>
    </w:p>
    <w:p w14:paraId="2317D536"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Եվրոպական հարևանության ՀՀ-ԵՄ գործո</w:t>
      </w:r>
      <w:r w:rsidRPr="00082280">
        <w:rPr>
          <w:rFonts w:cs="Sylfaen"/>
          <w:b w:val="0"/>
          <w:iCs/>
          <w:szCs w:val="22"/>
          <w:lang w:val="af-ZA" w:eastAsia="en-GB"/>
        </w:rPr>
        <w:softHyphen/>
        <w:t>ղություն</w:t>
      </w:r>
      <w:r w:rsidRPr="00082280">
        <w:rPr>
          <w:rFonts w:cs="Sylfaen"/>
          <w:b w:val="0"/>
          <w:iCs/>
          <w:szCs w:val="22"/>
          <w:lang w:val="af-ZA" w:eastAsia="en-GB"/>
        </w:rPr>
        <w:softHyphen/>
        <w:t>ների ծրագրի շրջանակներում նախատեսվում է դրամաշնորհների ստացում հետևյալ ծրագրերով.</w:t>
      </w:r>
    </w:p>
    <w:p w14:paraId="645B35C2" w14:textId="77777777" w:rsidR="00082280" w:rsidRPr="00082280" w:rsidRDefault="00082280" w:rsidP="00C95115">
      <w:pPr>
        <w:numPr>
          <w:ilvl w:val="0"/>
          <w:numId w:val="53"/>
        </w:numPr>
        <w:tabs>
          <w:tab w:val="left" w:pos="284"/>
        </w:tabs>
        <w:ind w:left="0" w:firstLine="0"/>
        <w:rPr>
          <w:rFonts w:cs="Sylfaen"/>
          <w:b w:val="0"/>
          <w:iCs/>
          <w:szCs w:val="22"/>
          <w:lang w:val="af-ZA" w:eastAsia="en-GB"/>
        </w:rPr>
      </w:pPr>
      <w:r w:rsidRPr="00082280">
        <w:rPr>
          <w:rFonts w:cs="Sylfaen"/>
          <w:b w:val="0"/>
          <w:iCs/>
          <w:szCs w:val="22"/>
          <w:lang w:val="af-ZA" w:eastAsia="en-GB"/>
        </w:rPr>
        <w:t>«Աջակցություն Հայաստանում արդարադատության ոլորտի բարեփոխումների իրականացմանը. Փուլ I»՝ 5.4 մլն եվրո կամ 2.3 մլրդ դրամ,</w:t>
      </w:r>
    </w:p>
    <w:p w14:paraId="1A2A35B6" w14:textId="77777777" w:rsidR="00082280" w:rsidRPr="00082280" w:rsidRDefault="00082280" w:rsidP="00C95115">
      <w:pPr>
        <w:numPr>
          <w:ilvl w:val="0"/>
          <w:numId w:val="53"/>
        </w:numPr>
        <w:tabs>
          <w:tab w:val="left" w:pos="284"/>
        </w:tabs>
        <w:ind w:left="0" w:firstLine="0"/>
        <w:rPr>
          <w:rFonts w:cs="Sylfaen"/>
          <w:b w:val="0"/>
          <w:iCs/>
          <w:szCs w:val="22"/>
          <w:lang w:val="af-ZA" w:eastAsia="en-GB"/>
        </w:rPr>
      </w:pPr>
      <w:r w:rsidRPr="00082280">
        <w:rPr>
          <w:rFonts w:cs="Sylfaen"/>
          <w:b w:val="0"/>
          <w:iCs/>
          <w:szCs w:val="22"/>
          <w:lang w:val="af-ZA" w:eastAsia="en-GB"/>
        </w:rPr>
        <w:t>«Աջակցություն Հայաստանում դատական ոլորտի բարեփոխումների իրականացմանը</w:t>
      </w:r>
      <w:r w:rsidR="00293790">
        <w:rPr>
          <w:rFonts w:cs="Sylfaen"/>
          <w:b w:val="0"/>
          <w:iCs/>
          <w:szCs w:val="22"/>
          <w:lang w:val="af-ZA" w:eastAsia="en-GB"/>
        </w:rPr>
        <w:t>. Փուլ II»՝ 2.5 մլն եվրո կամ 1.1</w:t>
      </w:r>
      <w:r w:rsidRPr="00082280">
        <w:rPr>
          <w:rFonts w:cs="Sylfaen"/>
          <w:b w:val="0"/>
          <w:iCs/>
          <w:szCs w:val="22"/>
          <w:lang w:val="af-ZA" w:eastAsia="en-GB"/>
        </w:rPr>
        <w:t xml:space="preserve"> մլրդ դրամ,</w:t>
      </w:r>
    </w:p>
    <w:p w14:paraId="605B3F9D" w14:textId="77777777" w:rsidR="00082280" w:rsidRPr="00082280" w:rsidRDefault="00082280" w:rsidP="00C95115">
      <w:pPr>
        <w:numPr>
          <w:ilvl w:val="0"/>
          <w:numId w:val="53"/>
        </w:numPr>
        <w:tabs>
          <w:tab w:val="left" w:pos="284"/>
        </w:tabs>
        <w:ind w:left="0" w:firstLine="0"/>
        <w:rPr>
          <w:rFonts w:cs="Sylfaen"/>
          <w:b w:val="0"/>
          <w:iCs/>
          <w:szCs w:val="22"/>
          <w:lang w:val="af-ZA" w:eastAsia="en-GB"/>
        </w:rPr>
      </w:pPr>
      <w:r w:rsidRPr="00082280">
        <w:rPr>
          <w:rFonts w:cs="Sylfaen"/>
          <w:b w:val="0"/>
          <w:iCs/>
          <w:szCs w:val="22"/>
          <w:lang w:val="af-ZA" w:eastAsia="en-GB"/>
        </w:rPr>
        <w:t>«Հայաստանում ԵՄ աջակցություն կրթությանը»՝ 10 մլն եվրո կամ 4.2 մլրդ դրամ:</w:t>
      </w:r>
    </w:p>
    <w:p w14:paraId="27A4423A" w14:textId="6089E607" w:rsidR="00082280" w:rsidRPr="00082280" w:rsidRDefault="00082280" w:rsidP="00701F87">
      <w:pPr>
        <w:rPr>
          <w:rFonts w:cs="Sylfaen"/>
          <w:b w:val="0"/>
          <w:iCs/>
          <w:szCs w:val="22"/>
          <w:lang w:val="af-ZA" w:eastAsia="en-GB"/>
        </w:rPr>
      </w:pPr>
      <w:r w:rsidRPr="00082280">
        <w:rPr>
          <w:rFonts w:cs="Sylfaen"/>
          <w:b w:val="0"/>
          <w:iCs/>
          <w:szCs w:val="22"/>
          <w:lang w:val="af-ZA" w:eastAsia="en-GB"/>
        </w:rPr>
        <w:t xml:space="preserve">Նպատակային օժանդակություն պաշտոնական դրամաշնորհային (կապակցված դրամաշնորհներ) ծրագրերից նախատեսվում է </w:t>
      </w:r>
      <w:r w:rsidRPr="00710FCA">
        <w:rPr>
          <w:rFonts w:cs="Sylfaen"/>
          <w:b w:val="0"/>
          <w:iCs/>
          <w:szCs w:val="22"/>
          <w:lang w:val="af-ZA" w:eastAsia="en-GB"/>
        </w:rPr>
        <w:t>38.</w:t>
      </w:r>
      <w:r w:rsidRPr="00082280">
        <w:rPr>
          <w:rFonts w:cs="Sylfaen"/>
          <w:b w:val="0"/>
          <w:iCs/>
          <w:szCs w:val="22"/>
          <w:lang w:val="af-ZA" w:eastAsia="en-GB"/>
        </w:rPr>
        <w:t>9 մլն ԱՄՆ դոլարի կամ 15.0 մլրդ դրամի ստացում: Նպատակային պաշտոնական դրամաշնորհային ծրագրերի գծով ՀՀ 2024 թվականի պետա</w:t>
      </w:r>
      <w:r w:rsidRPr="00082280">
        <w:rPr>
          <w:rFonts w:cs="Sylfaen"/>
          <w:b w:val="0"/>
          <w:iCs/>
          <w:szCs w:val="22"/>
          <w:lang w:val="af-ZA" w:eastAsia="en-GB"/>
        </w:rPr>
        <w:softHyphen/>
        <w:t xml:space="preserve">կան բյուջեի ցուցանիշների մանրամասները ներկայացված են </w:t>
      </w:r>
      <w:r w:rsidR="00CE2344">
        <w:rPr>
          <w:rFonts w:cs="Sylfaen"/>
          <w:b w:val="0"/>
          <w:iCs/>
          <w:szCs w:val="22"/>
          <w:lang w:val="hy-AM" w:eastAsia="en-GB"/>
        </w:rPr>
        <w:t>Օրենքի</w:t>
      </w:r>
      <w:r w:rsidRPr="00082280">
        <w:rPr>
          <w:rFonts w:cs="Sylfaen"/>
          <w:b w:val="0"/>
          <w:iCs/>
          <w:szCs w:val="22"/>
          <w:lang w:val="af-ZA" w:eastAsia="en-GB"/>
        </w:rPr>
        <w:t xml:space="preserve"> N 1 հավելվածի N 5 աղյու</w:t>
      </w:r>
      <w:r w:rsidRPr="00082280">
        <w:rPr>
          <w:rFonts w:cs="Sylfaen"/>
          <w:b w:val="0"/>
          <w:iCs/>
          <w:szCs w:val="22"/>
          <w:lang w:val="af-ZA" w:eastAsia="en-GB"/>
        </w:rPr>
        <w:softHyphen/>
      </w:r>
      <w:r w:rsidRPr="00082280">
        <w:rPr>
          <w:rFonts w:cs="Sylfaen"/>
          <w:b w:val="0"/>
          <w:iCs/>
          <w:szCs w:val="22"/>
          <w:lang w:val="af-ZA" w:eastAsia="en-GB"/>
        </w:rPr>
        <w:softHyphen/>
        <w:t>սակում:</w:t>
      </w:r>
    </w:p>
    <w:p w14:paraId="638D7CE4" w14:textId="77777777" w:rsidR="002D578A" w:rsidRPr="007955BB" w:rsidRDefault="002D578A" w:rsidP="0009272D">
      <w:pPr>
        <w:pStyle w:val="Heading1"/>
        <w:rPr>
          <w:rFonts w:eastAsia="Calibri" w:cs="GHEA Grapalat"/>
          <w:lang w:val="af-ZA"/>
        </w:rPr>
      </w:pPr>
      <w:bookmarkStart w:id="227" w:name="_Toc500177730"/>
      <w:bookmarkStart w:id="228" w:name="_Toc530663265"/>
      <w:bookmarkStart w:id="229" w:name="_Toc57655467"/>
      <w:bookmarkStart w:id="230" w:name="_Toc89428306"/>
      <w:bookmarkStart w:id="231" w:name="_Toc153184484"/>
      <w:r w:rsidRPr="001F7A3C">
        <w:rPr>
          <w:rFonts w:eastAsia="Calibri" w:cs="GHEA Grapalat"/>
        </w:rPr>
        <w:t xml:space="preserve">Այլ </w:t>
      </w:r>
      <w:r w:rsidRPr="001F7A3C">
        <w:t>եկամուտներ</w:t>
      </w:r>
      <w:bookmarkEnd w:id="227"/>
      <w:bookmarkEnd w:id="228"/>
      <w:bookmarkEnd w:id="229"/>
      <w:bookmarkEnd w:id="230"/>
      <w:bookmarkEnd w:id="231"/>
    </w:p>
    <w:p w14:paraId="45FD1E27"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Այլ եկամուտները ներառում են բանկերում և ֆինանսավարկային հաս</w:t>
      </w:r>
      <w:r w:rsidRPr="00082280">
        <w:rPr>
          <w:rFonts w:cs="Sylfaen"/>
          <w:b w:val="0"/>
          <w:iCs/>
          <w:szCs w:val="22"/>
          <w:lang w:val="af-ZA" w:eastAsia="en-GB"/>
        </w:rPr>
        <w:softHyphen/>
        <w:t>տա</w:t>
      </w:r>
      <w:r w:rsidRPr="00082280">
        <w:rPr>
          <w:rFonts w:cs="Sylfaen"/>
          <w:b w:val="0"/>
          <w:iCs/>
          <w:szCs w:val="22"/>
          <w:lang w:val="af-ZA" w:eastAsia="en-GB"/>
        </w:rPr>
        <w:softHyphen/>
        <w:t>տու</w:t>
      </w:r>
      <w:r w:rsidRPr="00082280">
        <w:rPr>
          <w:rFonts w:cs="Sylfaen"/>
          <w:b w:val="0"/>
          <w:iCs/>
          <w:szCs w:val="22"/>
          <w:lang w:val="af-ZA" w:eastAsia="en-GB"/>
        </w:rPr>
        <w:softHyphen/>
        <w:t>թյուն</w:t>
      </w:r>
      <w:r w:rsidRPr="00082280">
        <w:rPr>
          <w:rFonts w:cs="Sylfaen"/>
          <w:b w:val="0"/>
          <w:iCs/>
          <w:szCs w:val="22"/>
          <w:lang w:val="af-ZA" w:eastAsia="en-GB"/>
        </w:rPr>
        <w:softHyphen/>
        <w:t>նե</w:t>
      </w:r>
      <w:r w:rsidRPr="00082280">
        <w:rPr>
          <w:rFonts w:cs="Sylfaen"/>
          <w:b w:val="0"/>
          <w:iCs/>
          <w:szCs w:val="22"/>
          <w:lang w:val="af-ZA" w:eastAsia="en-GB"/>
        </w:rPr>
        <w:softHyphen/>
        <w:t>րում պե</w:t>
      </w:r>
      <w:r w:rsidRPr="00082280">
        <w:rPr>
          <w:rFonts w:cs="Sylfaen"/>
          <w:b w:val="0"/>
          <w:iCs/>
          <w:szCs w:val="22"/>
          <w:lang w:val="af-ZA" w:eastAsia="en-GB"/>
        </w:rPr>
        <w:softHyphen/>
        <w:t>տա</w:t>
      </w:r>
      <w:r w:rsidRPr="00082280">
        <w:rPr>
          <w:rFonts w:cs="Sylfaen"/>
          <w:b w:val="0"/>
          <w:iCs/>
          <w:szCs w:val="22"/>
          <w:lang w:val="af-ZA" w:eastAsia="en-GB"/>
        </w:rPr>
        <w:softHyphen/>
        <w:t>կան բյուջեի ժամանակավոր ազատ միջոցների տեղաբաշխումից և դեպոզիտներից ստաց</w:t>
      </w:r>
      <w:r w:rsidRPr="00082280">
        <w:rPr>
          <w:rFonts w:cs="Sylfaen"/>
          <w:b w:val="0"/>
          <w:iCs/>
          <w:szCs w:val="22"/>
          <w:lang w:val="af-ZA" w:eastAsia="en-GB"/>
        </w:rPr>
        <w:softHyphen/>
      </w:r>
      <w:r w:rsidRPr="00082280">
        <w:rPr>
          <w:rFonts w:cs="Sylfaen"/>
          <w:b w:val="0"/>
          <w:iCs/>
          <w:szCs w:val="22"/>
          <w:lang w:val="af-ZA" w:eastAsia="en-GB"/>
        </w:rPr>
        <w:softHyphen/>
        <w:t>վող տո</w:t>
      </w:r>
      <w:r w:rsidRPr="00082280">
        <w:rPr>
          <w:rFonts w:cs="Sylfaen"/>
          <w:b w:val="0"/>
          <w:iCs/>
          <w:szCs w:val="22"/>
          <w:lang w:val="af-ZA" w:eastAsia="en-GB"/>
        </w:rPr>
        <w:softHyphen/>
        <w:t>կո</w:t>
      </w:r>
      <w:r w:rsidRPr="00082280">
        <w:rPr>
          <w:rFonts w:cs="Sylfaen"/>
          <w:b w:val="0"/>
          <w:iCs/>
          <w:szCs w:val="22"/>
          <w:lang w:val="af-ZA" w:eastAsia="en-GB"/>
        </w:rPr>
        <w:softHyphen/>
        <w:t>սա</w:t>
      </w:r>
      <w:r w:rsidRPr="00082280">
        <w:rPr>
          <w:rFonts w:cs="Sylfaen"/>
          <w:b w:val="0"/>
          <w:iCs/>
          <w:szCs w:val="22"/>
          <w:lang w:val="af-ZA" w:eastAsia="en-GB"/>
        </w:rPr>
        <w:softHyphen/>
        <w:t>վճար</w:t>
      </w:r>
      <w:r w:rsidRPr="00082280">
        <w:rPr>
          <w:rFonts w:cs="Sylfaen"/>
          <w:b w:val="0"/>
          <w:iCs/>
          <w:szCs w:val="22"/>
          <w:lang w:val="af-ZA" w:eastAsia="en-GB"/>
        </w:rPr>
        <w:softHyphen/>
        <w:t>ները, իրավաբանական անձանց կապիտալում կատարված ներդրում</w:t>
      </w:r>
      <w:r w:rsidRPr="00082280">
        <w:rPr>
          <w:rFonts w:cs="Sylfaen"/>
          <w:b w:val="0"/>
          <w:iCs/>
          <w:szCs w:val="22"/>
          <w:lang w:val="af-ZA" w:eastAsia="en-GB"/>
        </w:rPr>
        <w:softHyphen/>
        <w:t>ներից ստաց</w:t>
      </w:r>
      <w:r w:rsidRPr="00082280">
        <w:rPr>
          <w:rFonts w:cs="Sylfaen"/>
          <w:b w:val="0"/>
          <w:iCs/>
          <w:szCs w:val="22"/>
          <w:lang w:val="af-ZA" w:eastAsia="en-GB"/>
        </w:rPr>
        <w:softHyphen/>
      </w:r>
      <w:r w:rsidRPr="00082280">
        <w:rPr>
          <w:rFonts w:cs="Sylfaen"/>
          <w:b w:val="0"/>
          <w:iCs/>
          <w:szCs w:val="22"/>
          <w:lang w:val="af-ZA" w:eastAsia="en-GB"/>
        </w:rPr>
        <w:softHyphen/>
        <w:t>վող շահաբաժինները, պե</w:t>
      </w:r>
      <w:r w:rsidRPr="00082280">
        <w:rPr>
          <w:rFonts w:cs="Sylfaen"/>
          <w:b w:val="0"/>
          <w:iCs/>
          <w:szCs w:val="22"/>
          <w:lang w:val="af-ZA" w:eastAsia="en-GB"/>
        </w:rPr>
        <w:softHyphen/>
        <w:t>տա</w:t>
      </w:r>
      <w:r w:rsidRPr="00082280">
        <w:rPr>
          <w:rFonts w:cs="Sylfaen"/>
          <w:b w:val="0"/>
          <w:iCs/>
          <w:szCs w:val="22"/>
          <w:lang w:val="af-ZA" w:eastAsia="en-GB"/>
        </w:rPr>
        <w:softHyphen/>
        <w:t xml:space="preserve">կան ձեռնարկությունների գույքի </w:t>
      </w:r>
      <w:r w:rsidRPr="00082280">
        <w:rPr>
          <w:rFonts w:cs="Sylfaen"/>
          <w:b w:val="0"/>
          <w:iCs/>
          <w:szCs w:val="22"/>
          <w:lang w:val="af-ZA" w:eastAsia="en-GB"/>
        </w:rPr>
        <w:lastRenderedPageBreak/>
        <w:t>օգտագործման վճար</w:t>
      </w:r>
      <w:r w:rsidRPr="00082280">
        <w:rPr>
          <w:rFonts w:cs="Sylfaen"/>
          <w:b w:val="0"/>
          <w:iCs/>
          <w:szCs w:val="22"/>
          <w:lang w:val="af-ZA" w:eastAsia="en-GB"/>
        </w:rPr>
        <w:softHyphen/>
        <w:t>ները, պետության կողմից տրված վարկերի օգտագործ</w:t>
      </w:r>
      <w:r w:rsidRPr="00082280">
        <w:rPr>
          <w:rFonts w:cs="Sylfaen"/>
          <w:b w:val="0"/>
          <w:iCs/>
          <w:szCs w:val="22"/>
          <w:lang w:val="af-ZA" w:eastAsia="en-GB"/>
        </w:rPr>
        <w:softHyphen/>
        <w:t>ման դի</w:t>
      </w:r>
      <w:r w:rsidRPr="00082280">
        <w:rPr>
          <w:rFonts w:cs="Sylfaen"/>
          <w:b w:val="0"/>
          <w:iCs/>
          <w:szCs w:val="22"/>
          <w:lang w:val="af-ZA" w:eastAsia="en-GB"/>
        </w:rPr>
        <w:softHyphen/>
        <w:t>մաց վճարները (տոկոսավճար</w:t>
      </w:r>
      <w:r w:rsidRPr="00082280">
        <w:rPr>
          <w:rFonts w:cs="Sylfaen"/>
          <w:b w:val="0"/>
          <w:iCs/>
          <w:szCs w:val="22"/>
          <w:lang w:val="af-ZA" w:eastAsia="en-GB"/>
        </w:rPr>
        <w:softHyphen/>
        <w:t>ները), իրա</w:t>
      </w:r>
      <w:r w:rsidRPr="00082280">
        <w:rPr>
          <w:rFonts w:cs="Sylfaen"/>
          <w:b w:val="0"/>
          <w:iCs/>
          <w:szCs w:val="22"/>
          <w:lang w:val="af-ZA" w:eastAsia="en-GB"/>
        </w:rPr>
        <w:softHyphen/>
        <w:t>վա</w:t>
      </w:r>
      <w:r w:rsidRPr="00082280">
        <w:rPr>
          <w:rFonts w:cs="Sylfaen"/>
          <w:b w:val="0"/>
          <w:iCs/>
          <w:szCs w:val="22"/>
          <w:lang w:val="af-ZA" w:eastAsia="en-GB"/>
        </w:rPr>
        <w:softHyphen/>
        <w:t>խախտումների համար գոր</w:t>
      </w:r>
      <w:r w:rsidRPr="00082280">
        <w:rPr>
          <w:rFonts w:cs="Sylfaen"/>
          <w:b w:val="0"/>
          <w:iCs/>
          <w:szCs w:val="22"/>
          <w:lang w:val="af-ZA" w:eastAsia="en-GB"/>
        </w:rPr>
        <w:softHyphen/>
        <w:t>ծա</w:t>
      </w:r>
      <w:r w:rsidRPr="00082280">
        <w:rPr>
          <w:rFonts w:cs="Sylfaen"/>
          <w:b w:val="0"/>
          <w:iCs/>
          <w:szCs w:val="22"/>
          <w:lang w:val="af-ZA" w:eastAsia="en-GB"/>
        </w:rPr>
        <w:softHyphen/>
        <w:t>դիր և դատական մար</w:t>
      </w:r>
      <w:r w:rsidRPr="00082280">
        <w:rPr>
          <w:rFonts w:cs="Sylfaen"/>
          <w:b w:val="0"/>
          <w:iCs/>
          <w:szCs w:val="22"/>
          <w:lang w:val="af-ZA" w:eastAsia="en-GB"/>
        </w:rPr>
        <w:softHyphen/>
      </w:r>
      <w:r w:rsidRPr="00082280">
        <w:rPr>
          <w:rFonts w:cs="Sylfaen"/>
          <w:b w:val="0"/>
          <w:iCs/>
          <w:szCs w:val="22"/>
          <w:lang w:val="af-ZA" w:eastAsia="en-GB"/>
        </w:rPr>
        <w:softHyphen/>
        <w:t>մին</w:t>
      </w:r>
      <w:r w:rsidRPr="00082280">
        <w:rPr>
          <w:rFonts w:cs="Sylfaen"/>
          <w:b w:val="0"/>
          <w:iCs/>
          <w:szCs w:val="22"/>
          <w:lang w:val="af-ZA" w:eastAsia="en-GB"/>
        </w:rPr>
        <w:softHyphen/>
        <w:t>նե</w:t>
      </w:r>
      <w:r w:rsidRPr="00082280">
        <w:rPr>
          <w:rFonts w:cs="Sylfaen"/>
          <w:b w:val="0"/>
          <w:iCs/>
          <w:szCs w:val="22"/>
          <w:lang w:val="af-ZA" w:eastAsia="en-GB"/>
        </w:rPr>
        <w:softHyphen/>
        <w:t>րի կողմից կիրառվող պատժամի</w:t>
      </w:r>
      <w:r w:rsidRPr="00082280">
        <w:rPr>
          <w:rFonts w:cs="Sylfaen"/>
          <w:b w:val="0"/>
          <w:iCs/>
          <w:szCs w:val="22"/>
          <w:lang w:val="af-ZA" w:eastAsia="en-GB"/>
        </w:rPr>
        <w:softHyphen/>
        <w:t>ջոցներից ստացվող մուտքերը, պետական մարմինների կողմից ապրանքների մա</w:t>
      </w:r>
      <w:r w:rsidRPr="00082280">
        <w:rPr>
          <w:rFonts w:cs="Sylfaen"/>
          <w:b w:val="0"/>
          <w:iCs/>
          <w:szCs w:val="22"/>
          <w:lang w:val="af-ZA" w:eastAsia="en-GB"/>
        </w:rPr>
        <w:softHyphen/>
        <w:t>տա</w:t>
      </w:r>
      <w:r w:rsidRPr="00082280">
        <w:rPr>
          <w:rFonts w:cs="Sylfaen"/>
          <w:b w:val="0"/>
          <w:iCs/>
          <w:szCs w:val="22"/>
          <w:lang w:val="af-ZA" w:eastAsia="en-GB"/>
        </w:rPr>
        <w:softHyphen/>
        <w:t>կա</w:t>
      </w:r>
      <w:r w:rsidRPr="00082280">
        <w:rPr>
          <w:rFonts w:cs="Sylfaen"/>
          <w:b w:val="0"/>
          <w:iCs/>
          <w:szCs w:val="22"/>
          <w:lang w:val="af-ZA" w:eastAsia="en-GB"/>
        </w:rPr>
        <w:softHyphen/>
        <w:t>րա</w:t>
      </w:r>
      <w:r w:rsidRPr="00082280">
        <w:rPr>
          <w:rFonts w:cs="Sylfaen"/>
          <w:b w:val="0"/>
          <w:iCs/>
          <w:szCs w:val="22"/>
          <w:lang w:val="af-ZA" w:eastAsia="en-GB"/>
        </w:rPr>
        <w:softHyphen/>
        <w:t>րումից և ծառայությունների մատուցումից մուտքերը և այլ եկա</w:t>
      </w:r>
      <w:r w:rsidRPr="00082280">
        <w:rPr>
          <w:rFonts w:cs="Sylfaen"/>
          <w:b w:val="0"/>
          <w:iCs/>
          <w:szCs w:val="22"/>
          <w:lang w:val="af-ZA" w:eastAsia="en-GB"/>
        </w:rPr>
        <w:softHyphen/>
        <w:t>մուտ</w:t>
      </w:r>
      <w:r w:rsidRPr="00082280">
        <w:rPr>
          <w:rFonts w:cs="Sylfaen"/>
          <w:b w:val="0"/>
          <w:iCs/>
          <w:szCs w:val="22"/>
          <w:lang w:val="af-ZA" w:eastAsia="en-GB"/>
        </w:rPr>
        <w:softHyphen/>
        <w:t>ները:</w:t>
      </w:r>
    </w:p>
    <w:p w14:paraId="1A7AAA84"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Այլ եկամուտների գծով մուտքերը 2024 թվականի համար համար ծրագրվել են 87.</w:t>
      </w:r>
      <w:r w:rsidR="00DE5E4B">
        <w:rPr>
          <w:rFonts w:cs="Sylfaen"/>
          <w:b w:val="0"/>
          <w:iCs/>
          <w:szCs w:val="22"/>
          <w:lang w:val="af-ZA" w:eastAsia="en-GB"/>
        </w:rPr>
        <w:t>7</w:t>
      </w:r>
      <w:r w:rsidRPr="00082280">
        <w:rPr>
          <w:rFonts w:cs="Sylfaen"/>
          <w:b w:val="0"/>
          <w:iCs/>
          <w:szCs w:val="22"/>
          <w:lang w:val="af-ZA" w:eastAsia="en-GB"/>
        </w:rPr>
        <w:t xml:space="preserve"> մլրդ դրամի չափով, հաշվի առնելով գանձման համար պատաս</w:t>
      </w:r>
      <w:r w:rsidRPr="00082280">
        <w:rPr>
          <w:rFonts w:cs="Sylfaen"/>
          <w:b w:val="0"/>
          <w:iCs/>
          <w:szCs w:val="22"/>
          <w:lang w:val="af-ZA" w:eastAsia="en-GB"/>
        </w:rPr>
        <w:softHyphen/>
        <w:t>խա</w:t>
      </w:r>
      <w:r w:rsidRPr="00082280">
        <w:rPr>
          <w:rFonts w:cs="Sylfaen"/>
          <w:b w:val="0"/>
          <w:iCs/>
          <w:szCs w:val="22"/>
          <w:lang w:val="af-ZA" w:eastAsia="en-GB"/>
        </w:rPr>
        <w:softHyphen/>
        <w:t>նա</w:t>
      </w:r>
      <w:r w:rsidRPr="00082280">
        <w:rPr>
          <w:rFonts w:cs="Sylfaen"/>
          <w:b w:val="0"/>
          <w:iCs/>
          <w:szCs w:val="22"/>
          <w:lang w:val="af-ZA" w:eastAsia="en-GB"/>
        </w:rPr>
        <w:softHyphen/>
        <w:t>տու պետական կա</w:t>
      </w:r>
      <w:r w:rsidRPr="00082280">
        <w:rPr>
          <w:rFonts w:cs="Sylfaen"/>
          <w:b w:val="0"/>
          <w:iCs/>
          <w:szCs w:val="22"/>
          <w:lang w:val="af-ZA" w:eastAsia="en-GB"/>
        </w:rPr>
        <w:softHyphen/>
        <w:t>ռավարման մարմինների կողմից ՀՀ 2024 թվականի բյուջետային գործ</w:t>
      </w:r>
      <w:r w:rsidRPr="00082280">
        <w:rPr>
          <w:rFonts w:cs="Sylfaen"/>
          <w:b w:val="0"/>
          <w:iCs/>
          <w:szCs w:val="22"/>
          <w:lang w:val="af-ZA" w:eastAsia="en-GB"/>
        </w:rPr>
        <w:softHyphen/>
        <w:t>ըն</w:t>
      </w:r>
      <w:r w:rsidRPr="00082280">
        <w:rPr>
          <w:rFonts w:cs="Sylfaen"/>
          <w:b w:val="0"/>
          <w:iCs/>
          <w:szCs w:val="22"/>
          <w:lang w:val="af-ZA" w:eastAsia="en-GB"/>
        </w:rPr>
        <w:softHyphen/>
      </w:r>
      <w:r w:rsidRPr="00082280">
        <w:rPr>
          <w:rFonts w:cs="Sylfaen"/>
          <w:b w:val="0"/>
          <w:iCs/>
          <w:szCs w:val="22"/>
          <w:lang w:val="af-ZA" w:eastAsia="en-GB"/>
        </w:rPr>
        <w:softHyphen/>
        <w:t>թացի շրջա</w:t>
      </w:r>
      <w:r w:rsidRPr="00082280">
        <w:rPr>
          <w:rFonts w:cs="Sylfaen"/>
          <w:b w:val="0"/>
          <w:iCs/>
          <w:szCs w:val="22"/>
          <w:lang w:val="af-ZA" w:eastAsia="en-GB"/>
        </w:rPr>
        <w:softHyphen/>
      </w:r>
      <w:r w:rsidRPr="00082280">
        <w:rPr>
          <w:rFonts w:cs="Sylfaen"/>
          <w:b w:val="0"/>
          <w:iCs/>
          <w:szCs w:val="22"/>
          <w:lang w:val="af-ZA" w:eastAsia="en-GB"/>
        </w:rPr>
        <w:softHyphen/>
        <w:t>նակում հա</w:t>
      </w:r>
      <w:r w:rsidRPr="00082280">
        <w:rPr>
          <w:rFonts w:cs="Sylfaen"/>
          <w:b w:val="0"/>
          <w:iCs/>
          <w:szCs w:val="22"/>
          <w:lang w:val="af-ZA" w:eastAsia="en-GB"/>
        </w:rPr>
        <w:softHyphen/>
        <w:t>մա</w:t>
      </w:r>
      <w:r w:rsidRPr="00082280">
        <w:rPr>
          <w:rFonts w:cs="Sylfaen"/>
          <w:b w:val="0"/>
          <w:iCs/>
          <w:szCs w:val="22"/>
          <w:lang w:val="af-ZA" w:eastAsia="en-GB"/>
        </w:rPr>
        <w:softHyphen/>
        <w:t>պա</w:t>
      </w:r>
      <w:r w:rsidRPr="00082280">
        <w:rPr>
          <w:rFonts w:cs="Sylfaen"/>
          <w:b w:val="0"/>
          <w:iCs/>
          <w:szCs w:val="22"/>
          <w:lang w:val="af-ZA" w:eastAsia="en-GB"/>
        </w:rPr>
        <w:softHyphen/>
        <w:t>տաս</w:t>
      </w:r>
      <w:r w:rsidRPr="00082280">
        <w:rPr>
          <w:rFonts w:cs="Sylfaen"/>
          <w:b w:val="0"/>
          <w:iCs/>
          <w:szCs w:val="22"/>
          <w:lang w:val="af-ZA" w:eastAsia="en-GB"/>
        </w:rPr>
        <w:softHyphen/>
        <w:t>խան հայտերով ներկայացված կանխատեսումները, կատար</w:t>
      </w:r>
      <w:r w:rsidRPr="00082280">
        <w:rPr>
          <w:rFonts w:cs="Sylfaen"/>
          <w:b w:val="0"/>
          <w:iCs/>
          <w:szCs w:val="22"/>
          <w:lang w:val="af-ZA" w:eastAsia="en-GB"/>
        </w:rPr>
        <w:softHyphen/>
        <w:t>ված օրենս</w:t>
      </w:r>
      <w:r w:rsidRPr="00082280">
        <w:rPr>
          <w:rFonts w:cs="Sylfaen"/>
          <w:b w:val="0"/>
          <w:iCs/>
          <w:szCs w:val="22"/>
          <w:lang w:val="af-ZA" w:eastAsia="en-GB"/>
        </w:rPr>
        <w:softHyphen/>
        <w:t>դրա</w:t>
      </w:r>
      <w:r w:rsidRPr="00082280">
        <w:rPr>
          <w:rFonts w:cs="Sylfaen"/>
          <w:b w:val="0"/>
          <w:iCs/>
          <w:szCs w:val="22"/>
          <w:lang w:val="af-ZA" w:eastAsia="en-GB"/>
        </w:rPr>
        <w:softHyphen/>
        <w:t>կան փոփոխությունները, ինչ</w:t>
      </w:r>
      <w:r w:rsidRPr="00082280">
        <w:rPr>
          <w:rFonts w:cs="Sylfaen"/>
          <w:b w:val="0"/>
          <w:iCs/>
          <w:szCs w:val="22"/>
          <w:lang w:val="af-ZA" w:eastAsia="en-GB"/>
        </w:rPr>
        <w:softHyphen/>
        <w:t>պես նաև առանձին եկամտատեսակների գծով նա</w:t>
      </w:r>
      <w:r w:rsidRPr="00082280">
        <w:rPr>
          <w:rFonts w:cs="Sylfaen"/>
          <w:b w:val="0"/>
          <w:iCs/>
          <w:szCs w:val="22"/>
          <w:lang w:val="af-ZA" w:eastAsia="en-GB"/>
        </w:rPr>
        <w:softHyphen/>
        <w:t>խորդ տա</w:t>
      </w:r>
      <w:r w:rsidRPr="00082280">
        <w:rPr>
          <w:rFonts w:cs="Sylfaen"/>
          <w:b w:val="0"/>
          <w:iCs/>
          <w:szCs w:val="22"/>
          <w:lang w:val="af-ZA" w:eastAsia="en-GB"/>
        </w:rPr>
        <w:softHyphen/>
        <w:t>րի</w:t>
      </w:r>
      <w:r w:rsidRPr="00082280">
        <w:rPr>
          <w:rFonts w:cs="Sylfaen"/>
          <w:b w:val="0"/>
          <w:iCs/>
          <w:szCs w:val="22"/>
          <w:lang w:val="af-ZA" w:eastAsia="en-GB"/>
        </w:rPr>
        <w:softHyphen/>
        <w:t>նե</w:t>
      </w:r>
      <w:r w:rsidRPr="00082280">
        <w:rPr>
          <w:rFonts w:cs="Sylfaen"/>
          <w:b w:val="0"/>
          <w:iCs/>
          <w:szCs w:val="22"/>
          <w:lang w:val="af-ZA" w:eastAsia="en-GB"/>
        </w:rPr>
        <w:softHyphen/>
        <w:t>րին արձանագրված միտումները:</w:t>
      </w:r>
    </w:p>
    <w:p w14:paraId="6EEC5674"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Այլ եկամուտների գծով կանխատեսումային ցուցանիշների ընդհանուր պատկերն ըստ եկամտի հիմնական աղբյուրների հետևյալն է.</w:t>
      </w:r>
    </w:p>
    <w:p w14:paraId="7BBD8B6F" w14:textId="77777777" w:rsidR="00082280" w:rsidRPr="00082280" w:rsidRDefault="00082280" w:rsidP="00082280">
      <w:pPr>
        <w:spacing w:before="0"/>
        <w:ind w:firstLine="562"/>
        <w:rPr>
          <w:rFonts w:cs="Sylfaen"/>
          <w:b w:val="0"/>
          <w:iCs/>
          <w:szCs w:val="22"/>
          <w:lang w:val="af-ZA" w:eastAsia="en-GB"/>
        </w:rPr>
      </w:pPr>
    </w:p>
    <w:p w14:paraId="319B25B9" w14:textId="6B9F443C" w:rsidR="00082280" w:rsidRPr="00D24128" w:rsidRDefault="00DE50C8" w:rsidP="00DE50C8">
      <w:pPr>
        <w:spacing w:after="200"/>
        <w:rPr>
          <w:b w:val="0"/>
          <w:bCs/>
          <w:szCs w:val="22"/>
          <w:lang w:val="hy-AM"/>
        </w:rPr>
      </w:pPr>
      <w:bookmarkStart w:id="232" w:name="_Toc152324770"/>
      <w:r w:rsidRPr="00DE50C8">
        <w:rPr>
          <w:szCs w:val="22"/>
          <w:lang w:val="hy-AM"/>
        </w:rPr>
        <w:t xml:space="preserve">Աղյուսակ </w:t>
      </w:r>
      <w:r w:rsidRPr="00DE50C8">
        <w:rPr>
          <w:szCs w:val="22"/>
          <w:lang w:val="hy-AM"/>
        </w:rPr>
        <w:fldChar w:fldCharType="begin"/>
      </w:r>
      <w:r w:rsidRPr="00DE50C8">
        <w:rPr>
          <w:szCs w:val="22"/>
          <w:lang w:val="hy-AM"/>
        </w:rPr>
        <w:instrText xml:space="preserve"> SEQ Աղյուսակ \* ARABIC </w:instrText>
      </w:r>
      <w:r w:rsidRPr="00DE50C8">
        <w:rPr>
          <w:szCs w:val="22"/>
          <w:lang w:val="hy-AM"/>
        </w:rPr>
        <w:fldChar w:fldCharType="separate"/>
      </w:r>
      <w:r w:rsidR="00DB4E68">
        <w:rPr>
          <w:noProof/>
          <w:szCs w:val="22"/>
          <w:lang w:val="hy-AM"/>
        </w:rPr>
        <w:t>8</w:t>
      </w:r>
      <w:r w:rsidRPr="00DE50C8">
        <w:rPr>
          <w:szCs w:val="22"/>
          <w:lang w:val="hy-AM"/>
        </w:rPr>
        <w:fldChar w:fldCharType="end"/>
      </w:r>
      <w:r w:rsidR="00082280" w:rsidRPr="00DE50C8">
        <w:rPr>
          <w:szCs w:val="22"/>
          <w:lang w:val="hy-AM"/>
        </w:rPr>
        <w:t>.</w:t>
      </w:r>
      <w:r w:rsidR="00082280" w:rsidRPr="00D24128">
        <w:rPr>
          <w:b w:val="0"/>
          <w:bCs/>
          <w:szCs w:val="22"/>
          <w:lang w:val="hy-AM"/>
        </w:rPr>
        <w:t xml:space="preserve"> Այլ եկամուտների կազմում հաշվառվող եկամտատեսակների գծով ՀՀ 20</w:t>
      </w:r>
      <w:r w:rsidR="00082280" w:rsidRPr="00DE50C8">
        <w:rPr>
          <w:b w:val="0"/>
          <w:bCs/>
          <w:szCs w:val="22"/>
          <w:lang w:val="hy-AM"/>
        </w:rPr>
        <w:t>20</w:t>
      </w:r>
      <w:r w:rsidR="00082280" w:rsidRPr="00D24128">
        <w:rPr>
          <w:b w:val="0"/>
          <w:bCs/>
          <w:szCs w:val="22"/>
          <w:lang w:val="hy-AM"/>
        </w:rPr>
        <w:t>-2024թթ փաստացի/կանխատեսումային ցուցանիշները, մլրդ դրամ</w:t>
      </w:r>
      <w:bookmarkEnd w:id="232"/>
    </w:p>
    <w:p w14:paraId="2803028D" w14:textId="77777777" w:rsidR="00082280" w:rsidRPr="00D24128" w:rsidRDefault="00082280" w:rsidP="00D24128">
      <w:pPr>
        <w:keepNext/>
        <w:spacing w:after="200"/>
        <w:rPr>
          <w:bCs/>
          <w:i/>
          <w:color w:val="4472C4"/>
          <w:szCs w:val="22"/>
          <w:lang w:val="hy-AM"/>
        </w:rPr>
      </w:pPr>
    </w:p>
    <w:tbl>
      <w:tblPr>
        <w:tblW w:w="9090" w:type="dxa"/>
        <w:tblLook w:val="04A0" w:firstRow="1" w:lastRow="0" w:firstColumn="1" w:lastColumn="0" w:noHBand="0" w:noVBand="1"/>
      </w:tblPr>
      <w:tblGrid>
        <w:gridCol w:w="3559"/>
        <w:gridCol w:w="1575"/>
        <w:gridCol w:w="855"/>
        <w:gridCol w:w="995"/>
        <w:gridCol w:w="1240"/>
        <w:gridCol w:w="866"/>
      </w:tblGrid>
      <w:tr w:rsidR="00082280" w:rsidRPr="00082280" w14:paraId="434A49FC" w14:textId="77777777" w:rsidTr="00177506">
        <w:trPr>
          <w:trHeight w:val="300"/>
        </w:trPr>
        <w:tc>
          <w:tcPr>
            <w:tcW w:w="3960" w:type="dxa"/>
            <w:vMerge w:val="restart"/>
            <w:tcBorders>
              <w:top w:val="nil"/>
              <w:left w:val="nil"/>
              <w:bottom w:val="nil"/>
              <w:right w:val="nil"/>
            </w:tcBorders>
            <w:shd w:val="clear" w:color="auto" w:fill="auto"/>
            <w:vAlign w:val="center"/>
            <w:hideMark/>
          </w:tcPr>
          <w:p w14:paraId="1685949F"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en-US" w:eastAsia="en-US"/>
              </w:rPr>
              <w:t>Այլ եկամուտներ</w:t>
            </w:r>
          </w:p>
        </w:tc>
        <w:tc>
          <w:tcPr>
            <w:tcW w:w="3425" w:type="dxa"/>
            <w:gridSpan w:val="3"/>
            <w:tcBorders>
              <w:top w:val="nil"/>
              <w:left w:val="nil"/>
              <w:bottom w:val="single" w:sz="4" w:space="0" w:color="auto"/>
              <w:right w:val="nil"/>
            </w:tcBorders>
            <w:shd w:val="clear" w:color="auto" w:fill="auto"/>
            <w:noWrap/>
            <w:vAlign w:val="center"/>
            <w:hideMark/>
          </w:tcPr>
          <w:p w14:paraId="1DA3507C"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hy-AM" w:eastAsia="en-US"/>
              </w:rPr>
              <w:t>Փաստ</w:t>
            </w:r>
          </w:p>
        </w:tc>
        <w:tc>
          <w:tcPr>
            <w:tcW w:w="1240" w:type="dxa"/>
            <w:tcBorders>
              <w:top w:val="nil"/>
              <w:left w:val="nil"/>
              <w:bottom w:val="nil"/>
              <w:right w:val="nil"/>
            </w:tcBorders>
            <w:shd w:val="clear" w:color="auto" w:fill="auto"/>
            <w:noWrap/>
            <w:vAlign w:val="center"/>
            <w:hideMark/>
          </w:tcPr>
          <w:p w14:paraId="1D536BC8"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en-US" w:eastAsia="en-US"/>
              </w:rPr>
              <w:t>Բյուջե</w:t>
            </w:r>
          </w:p>
        </w:tc>
        <w:tc>
          <w:tcPr>
            <w:tcW w:w="465" w:type="dxa"/>
            <w:tcBorders>
              <w:top w:val="nil"/>
              <w:left w:val="nil"/>
              <w:bottom w:val="single" w:sz="4" w:space="0" w:color="auto"/>
              <w:right w:val="nil"/>
            </w:tcBorders>
            <w:shd w:val="clear" w:color="auto" w:fill="auto"/>
            <w:noWrap/>
            <w:vAlign w:val="center"/>
            <w:hideMark/>
          </w:tcPr>
          <w:p w14:paraId="245A9D1E" w14:textId="458012D0" w:rsidR="00082280" w:rsidRPr="009813D2" w:rsidRDefault="009813D2" w:rsidP="00082280">
            <w:pPr>
              <w:spacing w:before="0" w:line="240" w:lineRule="auto"/>
              <w:jc w:val="center"/>
              <w:rPr>
                <w:b w:val="0"/>
                <w:color w:val="000000"/>
                <w:sz w:val="18"/>
                <w:szCs w:val="18"/>
                <w:lang w:val="hy-AM" w:eastAsia="en-US"/>
              </w:rPr>
            </w:pPr>
            <w:r>
              <w:rPr>
                <w:b w:val="0"/>
                <w:color w:val="000000"/>
                <w:sz w:val="18"/>
                <w:szCs w:val="18"/>
                <w:lang w:val="hy-AM" w:eastAsia="en-US"/>
              </w:rPr>
              <w:t>ծրագիր</w:t>
            </w:r>
          </w:p>
        </w:tc>
      </w:tr>
      <w:tr w:rsidR="00082280" w:rsidRPr="00082280" w14:paraId="044A644A" w14:textId="77777777" w:rsidTr="00177506">
        <w:trPr>
          <w:trHeight w:val="300"/>
        </w:trPr>
        <w:tc>
          <w:tcPr>
            <w:tcW w:w="3960" w:type="dxa"/>
            <w:vMerge/>
            <w:tcBorders>
              <w:top w:val="nil"/>
              <w:left w:val="nil"/>
              <w:bottom w:val="nil"/>
              <w:right w:val="nil"/>
            </w:tcBorders>
            <w:vAlign w:val="center"/>
            <w:hideMark/>
          </w:tcPr>
          <w:p w14:paraId="14052A55" w14:textId="77777777" w:rsidR="00082280" w:rsidRPr="00082280" w:rsidRDefault="00082280" w:rsidP="00082280">
            <w:pPr>
              <w:spacing w:before="0" w:line="240" w:lineRule="auto"/>
              <w:jc w:val="left"/>
              <w:rPr>
                <w:b w:val="0"/>
                <w:color w:val="000000"/>
                <w:sz w:val="18"/>
                <w:szCs w:val="18"/>
                <w:lang w:val="en-US" w:eastAsia="en-US"/>
              </w:rPr>
            </w:pPr>
          </w:p>
        </w:tc>
        <w:tc>
          <w:tcPr>
            <w:tcW w:w="1575" w:type="dxa"/>
            <w:tcBorders>
              <w:top w:val="nil"/>
              <w:left w:val="nil"/>
              <w:bottom w:val="nil"/>
              <w:right w:val="nil"/>
            </w:tcBorders>
            <w:shd w:val="clear" w:color="auto" w:fill="auto"/>
            <w:noWrap/>
            <w:vAlign w:val="center"/>
            <w:hideMark/>
          </w:tcPr>
          <w:p w14:paraId="2535B3EE"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en-US" w:eastAsia="en-US"/>
              </w:rPr>
              <w:t>2020</w:t>
            </w:r>
          </w:p>
        </w:tc>
        <w:tc>
          <w:tcPr>
            <w:tcW w:w="855" w:type="dxa"/>
            <w:tcBorders>
              <w:top w:val="nil"/>
              <w:left w:val="nil"/>
              <w:bottom w:val="nil"/>
              <w:right w:val="nil"/>
            </w:tcBorders>
            <w:shd w:val="clear" w:color="auto" w:fill="auto"/>
            <w:noWrap/>
            <w:vAlign w:val="center"/>
            <w:hideMark/>
          </w:tcPr>
          <w:p w14:paraId="18447C04"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en-US" w:eastAsia="en-US"/>
              </w:rPr>
              <w:t>2021</w:t>
            </w:r>
          </w:p>
        </w:tc>
        <w:tc>
          <w:tcPr>
            <w:tcW w:w="995" w:type="dxa"/>
            <w:tcBorders>
              <w:top w:val="nil"/>
              <w:left w:val="nil"/>
              <w:bottom w:val="nil"/>
              <w:right w:val="nil"/>
            </w:tcBorders>
            <w:shd w:val="clear" w:color="auto" w:fill="auto"/>
            <w:noWrap/>
            <w:vAlign w:val="center"/>
            <w:hideMark/>
          </w:tcPr>
          <w:p w14:paraId="16567508"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en-US" w:eastAsia="en-US"/>
              </w:rPr>
              <w:t>2022</w:t>
            </w:r>
          </w:p>
        </w:tc>
        <w:tc>
          <w:tcPr>
            <w:tcW w:w="1240" w:type="dxa"/>
            <w:tcBorders>
              <w:top w:val="nil"/>
              <w:left w:val="nil"/>
              <w:bottom w:val="nil"/>
              <w:right w:val="nil"/>
            </w:tcBorders>
            <w:shd w:val="clear" w:color="auto" w:fill="auto"/>
            <w:noWrap/>
            <w:vAlign w:val="center"/>
            <w:hideMark/>
          </w:tcPr>
          <w:p w14:paraId="0DD463A4"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en-US" w:eastAsia="en-US"/>
              </w:rPr>
              <w:t>2023</w:t>
            </w:r>
          </w:p>
        </w:tc>
        <w:tc>
          <w:tcPr>
            <w:tcW w:w="465" w:type="dxa"/>
            <w:tcBorders>
              <w:top w:val="nil"/>
              <w:left w:val="nil"/>
              <w:bottom w:val="nil"/>
              <w:right w:val="nil"/>
            </w:tcBorders>
            <w:shd w:val="clear" w:color="auto" w:fill="auto"/>
            <w:noWrap/>
            <w:vAlign w:val="center"/>
            <w:hideMark/>
          </w:tcPr>
          <w:p w14:paraId="27FF32BE" w14:textId="77777777" w:rsidR="00082280" w:rsidRPr="00082280" w:rsidRDefault="00082280" w:rsidP="00082280">
            <w:pPr>
              <w:spacing w:before="0" w:line="240" w:lineRule="auto"/>
              <w:jc w:val="center"/>
              <w:rPr>
                <w:b w:val="0"/>
                <w:color w:val="000000"/>
                <w:sz w:val="18"/>
                <w:szCs w:val="18"/>
                <w:lang w:val="en-US" w:eastAsia="en-US"/>
              </w:rPr>
            </w:pPr>
            <w:r w:rsidRPr="00082280">
              <w:rPr>
                <w:b w:val="0"/>
                <w:color w:val="000000"/>
                <w:sz w:val="18"/>
                <w:szCs w:val="18"/>
                <w:lang w:val="en-US" w:eastAsia="en-US"/>
              </w:rPr>
              <w:t>2024</w:t>
            </w:r>
          </w:p>
        </w:tc>
      </w:tr>
      <w:tr w:rsidR="00082280" w:rsidRPr="00082280" w14:paraId="57FF0FC1" w14:textId="77777777" w:rsidTr="00177506">
        <w:trPr>
          <w:trHeight w:val="300"/>
        </w:trPr>
        <w:tc>
          <w:tcPr>
            <w:tcW w:w="3960" w:type="dxa"/>
            <w:tcBorders>
              <w:top w:val="single" w:sz="4" w:space="0" w:color="auto"/>
              <w:left w:val="nil"/>
              <w:bottom w:val="single" w:sz="4" w:space="0" w:color="auto"/>
              <w:right w:val="nil"/>
            </w:tcBorders>
            <w:shd w:val="clear" w:color="000000" w:fill="FFFFFF"/>
            <w:vAlign w:val="center"/>
            <w:hideMark/>
          </w:tcPr>
          <w:p w14:paraId="34F62660" w14:textId="77777777" w:rsidR="00082280" w:rsidRPr="00082280" w:rsidRDefault="00082280" w:rsidP="00082280">
            <w:pPr>
              <w:spacing w:before="0" w:line="240" w:lineRule="auto"/>
              <w:jc w:val="left"/>
              <w:rPr>
                <w:b w:val="0"/>
                <w:sz w:val="18"/>
                <w:szCs w:val="18"/>
                <w:lang w:val="en-US" w:eastAsia="en-US"/>
              </w:rPr>
            </w:pPr>
            <w:r w:rsidRPr="00082280">
              <w:rPr>
                <w:b w:val="0"/>
                <w:sz w:val="18"/>
                <w:szCs w:val="18"/>
                <w:lang w:val="en-US" w:eastAsia="en-US"/>
              </w:rPr>
              <w:t>Ընդամենը</w:t>
            </w:r>
          </w:p>
        </w:tc>
        <w:tc>
          <w:tcPr>
            <w:tcW w:w="1575" w:type="dxa"/>
            <w:tcBorders>
              <w:top w:val="single" w:sz="4" w:space="0" w:color="auto"/>
              <w:left w:val="nil"/>
              <w:bottom w:val="single" w:sz="4" w:space="0" w:color="auto"/>
              <w:right w:val="nil"/>
            </w:tcBorders>
            <w:shd w:val="clear" w:color="000000" w:fill="FFFFFF"/>
            <w:noWrap/>
            <w:vAlign w:val="center"/>
            <w:hideMark/>
          </w:tcPr>
          <w:p w14:paraId="622B1341"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122.2</w:t>
            </w:r>
          </w:p>
        </w:tc>
        <w:tc>
          <w:tcPr>
            <w:tcW w:w="855" w:type="dxa"/>
            <w:tcBorders>
              <w:top w:val="single" w:sz="4" w:space="0" w:color="auto"/>
              <w:left w:val="nil"/>
              <w:bottom w:val="single" w:sz="4" w:space="0" w:color="auto"/>
              <w:right w:val="nil"/>
            </w:tcBorders>
            <w:shd w:val="clear" w:color="000000" w:fill="FFFFFF"/>
            <w:noWrap/>
            <w:vAlign w:val="center"/>
            <w:hideMark/>
          </w:tcPr>
          <w:p w14:paraId="298E9169"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84.6</w:t>
            </w:r>
          </w:p>
        </w:tc>
        <w:tc>
          <w:tcPr>
            <w:tcW w:w="995" w:type="dxa"/>
            <w:tcBorders>
              <w:top w:val="single" w:sz="4" w:space="0" w:color="auto"/>
              <w:left w:val="nil"/>
              <w:bottom w:val="single" w:sz="4" w:space="0" w:color="auto"/>
              <w:right w:val="nil"/>
            </w:tcBorders>
            <w:shd w:val="clear" w:color="000000" w:fill="FFFFFF"/>
            <w:noWrap/>
            <w:vAlign w:val="center"/>
            <w:hideMark/>
          </w:tcPr>
          <w:p w14:paraId="5D6D3917"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122.1</w:t>
            </w:r>
          </w:p>
        </w:tc>
        <w:tc>
          <w:tcPr>
            <w:tcW w:w="1240" w:type="dxa"/>
            <w:tcBorders>
              <w:top w:val="single" w:sz="4" w:space="0" w:color="auto"/>
              <w:left w:val="nil"/>
              <w:bottom w:val="single" w:sz="4" w:space="0" w:color="auto"/>
              <w:right w:val="nil"/>
            </w:tcBorders>
            <w:shd w:val="clear" w:color="000000" w:fill="FFFFFF"/>
            <w:noWrap/>
            <w:vAlign w:val="center"/>
            <w:hideMark/>
          </w:tcPr>
          <w:p w14:paraId="4234204A"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81.1</w:t>
            </w:r>
          </w:p>
        </w:tc>
        <w:tc>
          <w:tcPr>
            <w:tcW w:w="465" w:type="dxa"/>
            <w:tcBorders>
              <w:top w:val="single" w:sz="4" w:space="0" w:color="auto"/>
              <w:left w:val="nil"/>
              <w:bottom w:val="single" w:sz="4" w:space="0" w:color="auto"/>
              <w:right w:val="nil"/>
            </w:tcBorders>
            <w:shd w:val="clear" w:color="000000" w:fill="FFFFFF"/>
            <w:noWrap/>
            <w:vAlign w:val="center"/>
            <w:hideMark/>
          </w:tcPr>
          <w:p w14:paraId="64C7972A" w14:textId="77777777" w:rsidR="00082280" w:rsidRPr="00082280" w:rsidRDefault="004361A1" w:rsidP="00082280">
            <w:pPr>
              <w:spacing w:before="0" w:line="240" w:lineRule="auto"/>
              <w:jc w:val="center"/>
              <w:rPr>
                <w:b w:val="0"/>
                <w:sz w:val="18"/>
                <w:szCs w:val="18"/>
                <w:lang w:val="en-US" w:eastAsia="en-US"/>
              </w:rPr>
            </w:pPr>
            <w:r>
              <w:rPr>
                <w:b w:val="0"/>
                <w:sz w:val="18"/>
                <w:szCs w:val="18"/>
                <w:lang w:val="en-US" w:eastAsia="en-US"/>
              </w:rPr>
              <w:t>87.7</w:t>
            </w:r>
          </w:p>
        </w:tc>
      </w:tr>
      <w:tr w:rsidR="00082280" w:rsidRPr="00082280" w14:paraId="2570C220" w14:textId="77777777" w:rsidTr="00177506">
        <w:trPr>
          <w:trHeight w:val="810"/>
        </w:trPr>
        <w:tc>
          <w:tcPr>
            <w:tcW w:w="3960" w:type="dxa"/>
            <w:tcBorders>
              <w:top w:val="nil"/>
              <w:left w:val="nil"/>
              <w:bottom w:val="nil"/>
              <w:right w:val="nil"/>
            </w:tcBorders>
            <w:shd w:val="clear" w:color="000000" w:fill="FFFFFF"/>
            <w:vAlign w:val="center"/>
            <w:hideMark/>
          </w:tcPr>
          <w:p w14:paraId="6F0C55B9" w14:textId="77777777" w:rsidR="00082280" w:rsidRPr="00082280" w:rsidRDefault="00082280" w:rsidP="00082280">
            <w:pPr>
              <w:spacing w:before="0" w:line="240" w:lineRule="auto"/>
              <w:jc w:val="left"/>
              <w:rPr>
                <w:b w:val="0"/>
                <w:sz w:val="18"/>
                <w:szCs w:val="18"/>
                <w:lang w:eastAsia="en-US"/>
              </w:rPr>
            </w:pPr>
            <w:r w:rsidRPr="00082280">
              <w:rPr>
                <w:b w:val="0"/>
                <w:sz w:val="18"/>
                <w:szCs w:val="18"/>
                <w:lang w:eastAsia="en-US"/>
              </w:rPr>
              <w:t xml:space="preserve">1. </w:t>
            </w:r>
            <w:r w:rsidRPr="00082280">
              <w:rPr>
                <w:b w:val="0"/>
                <w:sz w:val="18"/>
                <w:szCs w:val="18"/>
                <w:lang w:val="en-US" w:eastAsia="en-US"/>
              </w:rPr>
              <w:t>Պետական</w:t>
            </w:r>
            <w:r w:rsidRPr="00082280">
              <w:rPr>
                <w:b w:val="0"/>
                <w:sz w:val="18"/>
                <w:szCs w:val="18"/>
                <w:lang w:eastAsia="en-US"/>
              </w:rPr>
              <w:t xml:space="preserve"> </w:t>
            </w:r>
            <w:r w:rsidRPr="00082280">
              <w:rPr>
                <w:b w:val="0"/>
                <w:sz w:val="18"/>
                <w:szCs w:val="18"/>
                <w:lang w:val="en-US" w:eastAsia="en-US"/>
              </w:rPr>
              <w:t>սեփականություն</w:t>
            </w:r>
            <w:r w:rsidRPr="00082280">
              <w:rPr>
                <w:b w:val="0"/>
                <w:sz w:val="18"/>
                <w:szCs w:val="18"/>
                <w:lang w:eastAsia="en-US"/>
              </w:rPr>
              <w:t xml:space="preserve"> </w:t>
            </w:r>
            <w:r w:rsidRPr="00082280">
              <w:rPr>
                <w:b w:val="0"/>
                <w:sz w:val="18"/>
                <w:szCs w:val="18"/>
                <w:lang w:val="en-US" w:eastAsia="en-US"/>
              </w:rPr>
              <w:t>հանդիսացող</w:t>
            </w:r>
            <w:r w:rsidRPr="00082280">
              <w:rPr>
                <w:b w:val="0"/>
                <w:sz w:val="18"/>
                <w:szCs w:val="18"/>
                <w:lang w:eastAsia="en-US"/>
              </w:rPr>
              <w:t xml:space="preserve"> </w:t>
            </w:r>
            <w:r w:rsidRPr="00082280">
              <w:rPr>
                <w:b w:val="0"/>
                <w:sz w:val="18"/>
                <w:szCs w:val="18"/>
                <w:lang w:val="en-US" w:eastAsia="en-US"/>
              </w:rPr>
              <w:t>գույքի</w:t>
            </w:r>
            <w:r w:rsidRPr="00082280">
              <w:rPr>
                <w:b w:val="0"/>
                <w:sz w:val="18"/>
                <w:szCs w:val="18"/>
                <w:lang w:eastAsia="en-US"/>
              </w:rPr>
              <w:t xml:space="preserve"> </w:t>
            </w:r>
            <w:r w:rsidRPr="00082280">
              <w:rPr>
                <w:b w:val="0"/>
                <w:sz w:val="18"/>
                <w:szCs w:val="18"/>
                <w:lang w:val="en-US" w:eastAsia="en-US"/>
              </w:rPr>
              <w:t>վարձակալությունից</w:t>
            </w:r>
            <w:r w:rsidRPr="00082280">
              <w:rPr>
                <w:b w:val="0"/>
                <w:sz w:val="18"/>
                <w:szCs w:val="18"/>
                <w:lang w:eastAsia="en-US"/>
              </w:rPr>
              <w:t xml:space="preserve"> </w:t>
            </w:r>
            <w:r w:rsidRPr="00082280">
              <w:rPr>
                <w:b w:val="0"/>
                <w:sz w:val="18"/>
                <w:szCs w:val="18"/>
                <w:lang w:val="en-US" w:eastAsia="en-US"/>
              </w:rPr>
              <w:t>եկամուտներ</w:t>
            </w:r>
          </w:p>
        </w:tc>
        <w:tc>
          <w:tcPr>
            <w:tcW w:w="1575" w:type="dxa"/>
            <w:tcBorders>
              <w:top w:val="nil"/>
              <w:left w:val="nil"/>
              <w:bottom w:val="nil"/>
              <w:right w:val="nil"/>
            </w:tcBorders>
            <w:shd w:val="clear" w:color="000000" w:fill="FFFFFF"/>
            <w:noWrap/>
            <w:vAlign w:val="center"/>
            <w:hideMark/>
          </w:tcPr>
          <w:p w14:paraId="474188A7"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0.4</w:t>
            </w:r>
          </w:p>
        </w:tc>
        <w:tc>
          <w:tcPr>
            <w:tcW w:w="855" w:type="dxa"/>
            <w:tcBorders>
              <w:top w:val="nil"/>
              <w:left w:val="nil"/>
              <w:bottom w:val="nil"/>
              <w:right w:val="nil"/>
            </w:tcBorders>
            <w:shd w:val="clear" w:color="000000" w:fill="FFFFFF"/>
            <w:noWrap/>
            <w:vAlign w:val="center"/>
            <w:hideMark/>
          </w:tcPr>
          <w:p w14:paraId="38243E9E"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1.2</w:t>
            </w:r>
          </w:p>
        </w:tc>
        <w:tc>
          <w:tcPr>
            <w:tcW w:w="995" w:type="dxa"/>
            <w:tcBorders>
              <w:top w:val="nil"/>
              <w:left w:val="nil"/>
              <w:bottom w:val="nil"/>
              <w:right w:val="nil"/>
            </w:tcBorders>
            <w:shd w:val="clear" w:color="000000" w:fill="FFFFFF"/>
            <w:noWrap/>
            <w:vAlign w:val="center"/>
            <w:hideMark/>
          </w:tcPr>
          <w:p w14:paraId="618305F8"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3.8</w:t>
            </w:r>
          </w:p>
        </w:tc>
        <w:tc>
          <w:tcPr>
            <w:tcW w:w="1240" w:type="dxa"/>
            <w:tcBorders>
              <w:top w:val="nil"/>
              <w:left w:val="nil"/>
              <w:bottom w:val="nil"/>
              <w:right w:val="nil"/>
            </w:tcBorders>
            <w:shd w:val="clear" w:color="000000" w:fill="FFFFFF"/>
            <w:noWrap/>
            <w:vAlign w:val="center"/>
            <w:hideMark/>
          </w:tcPr>
          <w:p w14:paraId="7A88DB60"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4.5</w:t>
            </w:r>
          </w:p>
        </w:tc>
        <w:tc>
          <w:tcPr>
            <w:tcW w:w="465" w:type="dxa"/>
            <w:tcBorders>
              <w:top w:val="nil"/>
              <w:left w:val="nil"/>
              <w:bottom w:val="nil"/>
              <w:right w:val="nil"/>
            </w:tcBorders>
            <w:shd w:val="clear" w:color="000000" w:fill="FFFFFF"/>
            <w:noWrap/>
            <w:vAlign w:val="center"/>
            <w:hideMark/>
          </w:tcPr>
          <w:p w14:paraId="6F54DB5F" w14:textId="77777777" w:rsidR="00082280" w:rsidRPr="00082280" w:rsidRDefault="00082280" w:rsidP="007075D9">
            <w:pPr>
              <w:spacing w:before="0" w:line="240" w:lineRule="auto"/>
              <w:jc w:val="center"/>
              <w:rPr>
                <w:b w:val="0"/>
                <w:sz w:val="18"/>
                <w:szCs w:val="18"/>
                <w:lang w:val="en-US" w:eastAsia="en-US"/>
              </w:rPr>
            </w:pPr>
            <w:r w:rsidRPr="00082280">
              <w:rPr>
                <w:b w:val="0"/>
                <w:sz w:val="18"/>
                <w:szCs w:val="18"/>
                <w:lang w:val="en-US" w:eastAsia="en-US"/>
              </w:rPr>
              <w:t>5.</w:t>
            </w:r>
            <w:r w:rsidR="007075D9">
              <w:rPr>
                <w:b w:val="0"/>
                <w:sz w:val="18"/>
                <w:szCs w:val="18"/>
                <w:lang w:val="en-US" w:eastAsia="en-US"/>
              </w:rPr>
              <w:t>2</w:t>
            </w:r>
          </w:p>
        </w:tc>
      </w:tr>
      <w:tr w:rsidR="00082280" w:rsidRPr="00082280" w14:paraId="57A10F65" w14:textId="77777777" w:rsidTr="00177506">
        <w:trPr>
          <w:trHeight w:val="540"/>
        </w:trPr>
        <w:tc>
          <w:tcPr>
            <w:tcW w:w="3960" w:type="dxa"/>
            <w:tcBorders>
              <w:top w:val="nil"/>
              <w:left w:val="nil"/>
              <w:bottom w:val="nil"/>
              <w:right w:val="nil"/>
            </w:tcBorders>
            <w:shd w:val="clear" w:color="000000" w:fill="FFFFFF"/>
            <w:vAlign w:val="center"/>
            <w:hideMark/>
          </w:tcPr>
          <w:p w14:paraId="71D40DC7" w14:textId="77777777" w:rsidR="00082280" w:rsidRPr="00082280" w:rsidRDefault="00082280" w:rsidP="00082280">
            <w:pPr>
              <w:spacing w:before="0" w:line="240" w:lineRule="auto"/>
              <w:jc w:val="left"/>
              <w:rPr>
                <w:b w:val="0"/>
                <w:sz w:val="18"/>
                <w:szCs w:val="18"/>
                <w:lang w:eastAsia="en-US"/>
              </w:rPr>
            </w:pPr>
            <w:r w:rsidRPr="00082280">
              <w:rPr>
                <w:b w:val="0"/>
                <w:sz w:val="18"/>
                <w:szCs w:val="18"/>
                <w:lang w:eastAsia="en-US"/>
              </w:rPr>
              <w:t xml:space="preserve">2. </w:t>
            </w:r>
            <w:r w:rsidRPr="00082280">
              <w:rPr>
                <w:b w:val="0"/>
                <w:sz w:val="18"/>
                <w:szCs w:val="18"/>
                <w:lang w:val="en-US" w:eastAsia="en-US"/>
              </w:rPr>
              <w:t>Տոկոսավճարների</w:t>
            </w:r>
            <w:r w:rsidRPr="00082280">
              <w:rPr>
                <w:b w:val="0"/>
                <w:sz w:val="18"/>
                <w:szCs w:val="18"/>
                <w:lang w:eastAsia="en-US"/>
              </w:rPr>
              <w:t xml:space="preserve"> </w:t>
            </w:r>
            <w:r w:rsidRPr="00082280">
              <w:rPr>
                <w:b w:val="0"/>
                <w:sz w:val="18"/>
                <w:szCs w:val="18"/>
                <w:lang w:val="en-US" w:eastAsia="en-US"/>
              </w:rPr>
              <w:t>և</w:t>
            </w:r>
            <w:r w:rsidRPr="00082280">
              <w:rPr>
                <w:b w:val="0"/>
                <w:sz w:val="18"/>
                <w:szCs w:val="18"/>
                <w:lang w:eastAsia="en-US"/>
              </w:rPr>
              <w:t xml:space="preserve"> </w:t>
            </w:r>
            <w:r w:rsidRPr="00082280">
              <w:rPr>
                <w:b w:val="0"/>
                <w:sz w:val="18"/>
                <w:szCs w:val="18"/>
                <w:lang w:val="en-US" w:eastAsia="en-US"/>
              </w:rPr>
              <w:t>շահաբաժինների</w:t>
            </w:r>
            <w:r w:rsidRPr="00082280">
              <w:rPr>
                <w:b w:val="0"/>
                <w:sz w:val="18"/>
                <w:szCs w:val="18"/>
                <w:lang w:eastAsia="en-US"/>
              </w:rPr>
              <w:t xml:space="preserve"> </w:t>
            </w:r>
            <w:r w:rsidRPr="00082280">
              <w:rPr>
                <w:b w:val="0"/>
                <w:sz w:val="18"/>
                <w:szCs w:val="18"/>
                <w:lang w:val="en-US" w:eastAsia="en-US"/>
              </w:rPr>
              <w:t>տեսքով</w:t>
            </w:r>
            <w:r w:rsidRPr="00082280">
              <w:rPr>
                <w:b w:val="0"/>
                <w:sz w:val="18"/>
                <w:szCs w:val="18"/>
                <w:lang w:eastAsia="en-US"/>
              </w:rPr>
              <w:t xml:space="preserve"> </w:t>
            </w:r>
            <w:r w:rsidRPr="00082280">
              <w:rPr>
                <w:b w:val="0"/>
                <w:sz w:val="18"/>
                <w:szCs w:val="18"/>
                <w:lang w:val="en-US" w:eastAsia="en-US"/>
              </w:rPr>
              <w:t>ստացվող</w:t>
            </w:r>
            <w:r w:rsidRPr="00082280">
              <w:rPr>
                <w:b w:val="0"/>
                <w:sz w:val="18"/>
                <w:szCs w:val="18"/>
                <w:lang w:eastAsia="en-US"/>
              </w:rPr>
              <w:t xml:space="preserve"> </w:t>
            </w:r>
            <w:r w:rsidRPr="00082280">
              <w:rPr>
                <w:b w:val="0"/>
                <w:sz w:val="18"/>
                <w:szCs w:val="18"/>
                <w:lang w:val="en-US" w:eastAsia="en-US"/>
              </w:rPr>
              <w:t>եկամուտներ</w:t>
            </w:r>
          </w:p>
        </w:tc>
        <w:tc>
          <w:tcPr>
            <w:tcW w:w="1575" w:type="dxa"/>
            <w:tcBorders>
              <w:top w:val="nil"/>
              <w:left w:val="nil"/>
              <w:bottom w:val="nil"/>
              <w:right w:val="nil"/>
            </w:tcBorders>
            <w:shd w:val="clear" w:color="000000" w:fill="FFFFFF"/>
            <w:noWrap/>
            <w:vAlign w:val="center"/>
            <w:hideMark/>
          </w:tcPr>
          <w:p w14:paraId="6F21886C"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35.2</w:t>
            </w:r>
          </w:p>
        </w:tc>
        <w:tc>
          <w:tcPr>
            <w:tcW w:w="855" w:type="dxa"/>
            <w:tcBorders>
              <w:top w:val="nil"/>
              <w:left w:val="nil"/>
              <w:bottom w:val="nil"/>
              <w:right w:val="nil"/>
            </w:tcBorders>
            <w:shd w:val="clear" w:color="000000" w:fill="FFFFFF"/>
            <w:noWrap/>
            <w:vAlign w:val="center"/>
            <w:hideMark/>
          </w:tcPr>
          <w:p w14:paraId="747B7E42"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41.9</w:t>
            </w:r>
          </w:p>
        </w:tc>
        <w:tc>
          <w:tcPr>
            <w:tcW w:w="995" w:type="dxa"/>
            <w:tcBorders>
              <w:top w:val="nil"/>
              <w:left w:val="nil"/>
              <w:bottom w:val="nil"/>
              <w:right w:val="nil"/>
            </w:tcBorders>
            <w:shd w:val="clear" w:color="000000" w:fill="FFFFFF"/>
            <w:noWrap/>
            <w:vAlign w:val="center"/>
            <w:hideMark/>
          </w:tcPr>
          <w:p w14:paraId="40A7A0E3"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51.3</w:t>
            </w:r>
          </w:p>
        </w:tc>
        <w:tc>
          <w:tcPr>
            <w:tcW w:w="1240" w:type="dxa"/>
            <w:tcBorders>
              <w:top w:val="nil"/>
              <w:left w:val="nil"/>
              <w:bottom w:val="nil"/>
              <w:right w:val="nil"/>
            </w:tcBorders>
            <w:shd w:val="clear" w:color="000000" w:fill="FFFFFF"/>
            <w:noWrap/>
            <w:vAlign w:val="center"/>
            <w:hideMark/>
          </w:tcPr>
          <w:p w14:paraId="79D4087E"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40.6</w:t>
            </w:r>
          </w:p>
        </w:tc>
        <w:tc>
          <w:tcPr>
            <w:tcW w:w="465" w:type="dxa"/>
            <w:tcBorders>
              <w:top w:val="nil"/>
              <w:left w:val="nil"/>
              <w:bottom w:val="nil"/>
              <w:right w:val="nil"/>
            </w:tcBorders>
            <w:shd w:val="clear" w:color="000000" w:fill="FFFFFF"/>
            <w:noWrap/>
            <w:vAlign w:val="center"/>
            <w:hideMark/>
          </w:tcPr>
          <w:p w14:paraId="5656B66B" w14:textId="77777777" w:rsidR="00082280" w:rsidRPr="00082280" w:rsidRDefault="00082280" w:rsidP="007075D9">
            <w:pPr>
              <w:spacing w:before="0" w:line="240" w:lineRule="auto"/>
              <w:jc w:val="center"/>
              <w:rPr>
                <w:b w:val="0"/>
                <w:sz w:val="18"/>
                <w:szCs w:val="18"/>
                <w:lang w:val="en-US" w:eastAsia="en-US"/>
              </w:rPr>
            </w:pPr>
            <w:r w:rsidRPr="00082280">
              <w:rPr>
                <w:b w:val="0"/>
                <w:sz w:val="18"/>
                <w:szCs w:val="18"/>
                <w:lang w:val="en-US" w:eastAsia="en-US"/>
              </w:rPr>
              <w:t>35.</w:t>
            </w:r>
            <w:r w:rsidR="007075D9">
              <w:rPr>
                <w:b w:val="0"/>
                <w:sz w:val="18"/>
                <w:szCs w:val="18"/>
                <w:lang w:val="en-US" w:eastAsia="en-US"/>
              </w:rPr>
              <w:t>3</w:t>
            </w:r>
          </w:p>
        </w:tc>
      </w:tr>
      <w:tr w:rsidR="00082280" w:rsidRPr="00082280" w14:paraId="20A43528" w14:textId="77777777" w:rsidTr="00177506">
        <w:trPr>
          <w:trHeight w:val="1080"/>
        </w:trPr>
        <w:tc>
          <w:tcPr>
            <w:tcW w:w="3960" w:type="dxa"/>
            <w:tcBorders>
              <w:top w:val="nil"/>
              <w:left w:val="nil"/>
              <w:bottom w:val="nil"/>
              <w:right w:val="nil"/>
            </w:tcBorders>
            <w:shd w:val="clear" w:color="000000" w:fill="FFFFFF"/>
            <w:vAlign w:val="center"/>
            <w:hideMark/>
          </w:tcPr>
          <w:p w14:paraId="58D87E71" w14:textId="77777777" w:rsidR="00082280" w:rsidRPr="00082280" w:rsidRDefault="00082280" w:rsidP="00082280">
            <w:pPr>
              <w:spacing w:before="0" w:line="240" w:lineRule="auto"/>
              <w:jc w:val="left"/>
              <w:rPr>
                <w:b w:val="0"/>
                <w:sz w:val="18"/>
                <w:szCs w:val="18"/>
                <w:lang w:eastAsia="en-US"/>
              </w:rPr>
            </w:pPr>
            <w:r w:rsidRPr="00082280">
              <w:rPr>
                <w:b w:val="0"/>
                <w:sz w:val="18"/>
                <w:szCs w:val="18"/>
                <w:lang w:eastAsia="en-US"/>
              </w:rPr>
              <w:t xml:space="preserve">3. </w:t>
            </w:r>
            <w:r w:rsidRPr="00082280">
              <w:rPr>
                <w:b w:val="0"/>
                <w:sz w:val="18"/>
                <w:szCs w:val="18"/>
                <w:lang w:val="en-US" w:eastAsia="en-US"/>
              </w:rPr>
              <w:t>Իրավախախտումների</w:t>
            </w:r>
            <w:r w:rsidRPr="00082280">
              <w:rPr>
                <w:b w:val="0"/>
                <w:sz w:val="18"/>
                <w:szCs w:val="18"/>
                <w:lang w:eastAsia="en-US"/>
              </w:rPr>
              <w:t xml:space="preserve"> </w:t>
            </w:r>
            <w:r w:rsidRPr="00082280">
              <w:rPr>
                <w:b w:val="0"/>
                <w:sz w:val="18"/>
                <w:szCs w:val="18"/>
                <w:lang w:val="en-US" w:eastAsia="en-US"/>
              </w:rPr>
              <w:t>համար</w:t>
            </w:r>
            <w:r w:rsidRPr="00082280">
              <w:rPr>
                <w:b w:val="0"/>
                <w:sz w:val="18"/>
                <w:szCs w:val="18"/>
                <w:lang w:eastAsia="en-US"/>
              </w:rPr>
              <w:t xml:space="preserve"> </w:t>
            </w:r>
            <w:r w:rsidRPr="00082280">
              <w:rPr>
                <w:b w:val="0"/>
                <w:sz w:val="18"/>
                <w:szCs w:val="18"/>
                <w:lang w:val="en-US" w:eastAsia="en-US"/>
              </w:rPr>
              <w:t>գործադիր</w:t>
            </w:r>
            <w:r w:rsidRPr="00082280">
              <w:rPr>
                <w:b w:val="0"/>
                <w:sz w:val="18"/>
                <w:szCs w:val="18"/>
                <w:lang w:eastAsia="en-US"/>
              </w:rPr>
              <w:t xml:space="preserve">, </w:t>
            </w:r>
            <w:r w:rsidRPr="00082280">
              <w:rPr>
                <w:b w:val="0"/>
                <w:sz w:val="18"/>
                <w:szCs w:val="18"/>
                <w:lang w:val="en-US" w:eastAsia="en-US"/>
              </w:rPr>
              <w:t>դատական</w:t>
            </w:r>
            <w:r w:rsidRPr="00082280">
              <w:rPr>
                <w:b w:val="0"/>
                <w:sz w:val="18"/>
                <w:szCs w:val="18"/>
                <w:lang w:eastAsia="en-US"/>
              </w:rPr>
              <w:t xml:space="preserve"> </w:t>
            </w:r>
            <w:r w:rsidRPr="00082280">
              <w:rPr>
                <w:b w:val="0"/>
                <w:sz w:val="18"/>
                <w:szCs w:val="18"/>
                <w:lang w:val="en-US" w:eastAsia="en-US"/>
              </w:rPr>
              <w:t>մարմինների</w:t>
            </w:r>
            <w:r w:rsidRPr="00082280">
              <w:rPr>
                <w:b w:val="0"/>
                <w:sz w:val="18"/>
                <w:szCs w:val="18"/>
                <w:lang w:eastAsia="en-US"/>
              </w:rPr>
              <w:t xml:space="preserve"> </w:t>
            </w:r>
            <w:r w:rsidRPr="00082280">
              <w:rPr>
                <w:b w:val="0"/>
                <w:sz w:val="18"/>
                <w:szCs w:val="18"/>
                <w:lang w:val="en-US" w:eastAsia="en-US"/>
              </w:rPr>
              <w:t>կողմից</w:t>
            </w:r>
            <w:r w:rsidRPr="00082280">
              <w:rPr>
                <w:b w:val="0"/>
                <w:sz w:val="18"/>
                <w:szCs w:val="18"/>
                <w:lang w:eastAsia="en-US"/>
              </w:rPr>
              <w:t xml:space="preserve"> </w:t>
            </w:r>
            <w:r w:rsidRPr="00082280">
              <w:rPr>
                <w:b w:val="0"/>
                <w:sz w:val="18"/>
                <w:szCs w:val="18"/>
                <w:lang w:val="en-US" w:eastAsia="en-US"/>
              </w:rPr>
              <w:t>կիրառվող</w:t>
            </w:r>
            <w:r w:rsidRPr="00082280">
              <w:rPr>
                <w:b w:val="0"/>
                <w:sz w:val="18"/>
                <w:szCs w:val="18"/>
                <w:lang w:eastAsia="en-US"/>
              </w:rPr>
              <w:t xml:space="preserve"> </w:t>
            </w:r>
            <w:r w:rsidRPr="00082280">
              <w:rPr>
                <w:b w:val="0"/>
                <w:sz w:val="18"/>
                <w:szCs w:val="18"/>
                <w:lang w:val="en-US" w:eastAsia="en-US"/>
              </w:rPr>
              <w:t>պատժամիջոցներից</w:t>
            </w:r>
            <w:r w:rsidRPr="00082280">
              <w:rPr>
                <w:b w:val="0"/>
                <w:sz w:val="18"/>
                <w:szCs w:val="18"/>
                <w:lang w:eastAsia="en-US"/>
              </w:rPr>
              <w:t xml:space="preserve"> </w:t>
            </w:r>
            <w:r w:rsidRPr="00082280">
              <w:rPr>
                <w:b w:val="0"/>
                <w:sz w:val="18"/>
                <w:szCs w:val="18"/>
                <w:lang w:val="en-US" w:eastAsia="en-US"/>
              </w:rPr>
              <w:t>մուտքեր</w:t>
            </w:r>
          </w:p>
        </w:tc>
        <w:tc>
          <w:tcPr>
            <w:tcW w:w="1575" w:type="dxa"/>
            <w:tcBorders>
              <w:top w:val="nil"/>
              <w:left w:val="nil"/>
              <w:bottom w:val="nil"/>
              <w:right w:val="nil"/>
            </w:tcBorders>
            <w:shd w:val="clear" w:color="000000" w:fill="FFFFFF"/>
            <w:noWrap/>
            <w:vAlign w:val="center"/>
            <w:hideMark/>
          </w:tcPr>
          <w:p w14:paraId="04778C59"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11.5</w:t>
            </w:r>
          </w:p>
        </w:tc>
        <w:tc>
          <w:tcPr>
            <w:tcW w:w="855" w:type="dxa"/>
            <w:tcBorders>
              <w:top w:val="nil"/>
              <w:left w:val="nil"/>
              <w:bottom w:val="nil"/>
              <w:right w:val="nil"/>
            </w:tcBorders>
            <w:shd w:val="clear" w:color="000000" w:fill="FFFFFF"/>
            <w:noWrap/>
            <w:vAlign w:val="center"/>
            <w:hideMark/>
          </w:tcPr>
          <w:p w14:paraId="794FD6E5"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16.4</w:t>
            </w:r>
          </w:p>
        </w:tc>
        <w:tc>
          <w:tcPr>
            <w:tcW w:w="995" w:type="dxa"/>
            <w:tcBorders>
              <w:top w:val="nil"/>
              <w:left w:val="nil"/>
              <w:bottom w:val="nil"/>
              <w:right w:val="nil"/>
            </w:tcBorders>
            <w:shd w:val="clear" w:color="000000" w:fill="FFFFFF"/>
            <w:noWrap/>
            <w:vAlign w:val="center"/>
            <w:hideMark/>
          </w:tcPr>
          <w:p w14:paraId="06F4019C"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19.5</w:t>
            </w:r>
          </w:p>
        </w:tc>
        <w:tc>
          <w:tcPr>
            <w:tcW w:w="1240" w:type="dxa"/>
            <w:tcBorders>
              <w:top w:val="nil"/>
              <w:left w:val="nil"/>
              <w:bottom w:val="nil"/>
              <w:right w:val="nil"/>
            </w:tcBorders>
            <w:shd w:val="clear" w:color="000000" w:fill="FFFFFF"/>
            <w:noWrap/>
            <w:vAlign w:val="center"/>
            <w:hideMark/>
          </w:tcPr>
          <w:p w14:paraId="59EE7F3C"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14.2</w:t>
            </w:r>
          </w:p>
        </w:tc>
        <w:tc>
          <w:tcPr>
            <w:tcW w:w="465" w:type="dxa"/>
            <w:tcBorders>
              <w:top w:val="nil"/>
              <w:left w:val="nil"/>
              <w:bottom w:val="nil"/>
              <w:right w:val="nil"/>
            </w:tcBorders>
            <w:shd w:val="clear" w:color="000000" w:fill="FFFFFF"/>
            <w:noWrap/>
            <w:vAlign w:val="center"/>
            <w:hideMark/>
          </w:tcPr>
          <w:p w14:paraId="2D93F82A" w14:textId="77777777" w:rsidR="00082280" w:rsidRPr="00082280" w:rsidRDefault="007075D9" w:rsidP="00082280">
            <w:pPr>
              <w:spacing w:before="0" w:line="240" w:lineRule="auto"/>
              <w:jc w:val="center"/>
              <w:rPr>
                <w:b w:val="0"/>
                <w:sz w:val="18"/>
                <w:szCs w:val="18"/>
                <w:lang w:val="en-US" w:eastAsia="en-US"/>
              </w:rPr>
            </w:pPr>
            <w:r>
              <w:rPr>
                <w:b w:val="0"/>
                <w:sz w:val="18"/>
                <w:szCs w:val="18"/>
                <w:lang w:val="en-US" w:eastAsia="en-US"/>
              </w:rPr>
              <w:t>21.4</w:t>
            </w:r>
          </w:p>
        </w:tc>
      </w:tr>
      <w:tr w:rsidR="00082280" w:rsidRPr="00082280" w14:paraId="1D8CB780" w14:textId="77777777" w:rsidTr="00177506">
        <w:trPr>
          <w:trHeight w:val="810"/>
        </w:trPr>
        <w:tc>
          <w:tcPr>
            <w:tcW w:w="3960" w:type="dxa"/>
            <w:tcBorders>
              <w:top w:val="nil"/>
              <w:left w:val="nil"/>
              <w:bottom w:val="nil"/>
              <w:right w:val="nil"/>
            </w:tcBorders>
            <w:shd w:val="clear" w:color="000000" w:fill="FFFFFF"/>
            <w:vAlign w:val="center"/>
            <w:hideMark/>
          </w:tcPr>
          <w:p w14:paraId="56980776" w14:textId="77777777" w:rsidR="00082280" w:rsidRPr="00082280" w:rsidRDefault="00082280" w:rsidP="00082280">
            <w:pPr>
              <w:spacing w:before="0" w:line="240" w:lineRule="auto"/>
              <w:jc w:val="left"/>
              <w:rPr>
                <w:b w:val="0"/>
                <w:sz w:val="18"/>
                <w:szCs w:val="18"/>
                <w:lang w:eastAsia="en-US"/>
              </w:rPr>
            </w:pPr>
            <w:r w:rsidRPr="00082280">
              <w:rPr>
                <w:b w:val="0"/>
                <w:sz w:val="18"/>
                <w:szCs w:val="18"/>
                <w:lang w:eastAsia="en-US"/>
              </w:rPr>
              <w:t xml:space="preserve">4. </w:t>
            </w:r>
            <w:r w:rsidRPr="00082280">
              <w:rPr>
                <w:b w:val="0"/>
                <w:sz w:val="18"/>
                <w:szCs w:val="18"/>
                <w:lang w:val="en-US" w:eastAsia="en-US"/>
              </w:rPr>
              <w:t>Ապրանքների</w:t>
            </w:r>
            <w:r w:rsidRPr="00082280">
              <w:rPr>
                <w:b w:val="0"/>
                <w:sz w:val="18"/>
                <w:szCs w:val="18"/>
                <w:lang w:eastAsia="en-US"/>
              </w:rPr>
              <w:t xml:space="preserve"> </w:t>
            </w:r>
            <w:r w:rsidRPr="00082280">
              <w:rPr>
                <w:b w:val="0"/>
                <w:sz w:val="18"/>
                <w:szCs w:val="18"/>
                <w:lang w:val="en-US" w:eastAsia="en-US"/>
              </w:rPr>
              <w:t>մատակարարումից</w:t>
            </w:r>
            <w:r w:rsidRPr="00082280">
              <w:rPr>
                <w:b w:val="0"/>
                <w:sz w:val="18"/>
                <w:szCs w:val="18"/>
                <w:lang w:eastAsia="en-US"/>
              </w:rPr>
              <w:t xml:space="preserve"> </w:t>
            </w:r>
            <w:r w:rsidRPr="00082280">
              <w:rPr>
                <w:b w:val="0"/>
                <w:sz w:val="18"/>
                <w:szCs w:val="18"/>
                <w:lang w:val="en-US" w:eastAsia="en-US"/>
              </w:rPr>
              <w:t>և</w:t>
            </w:r>
            <w:r w:rsidRPr="00082280">
              <w:rPr>
                <w:b w:val="0"/>
                <w:sz w:val="18"/>
                <w:szCs w:val="18"/>
                <w:lang w:eastAsia="en-US"/>
              </w:rPr>
              <w:t xml:space="preserve"> </w:t>
            </w:r>
            <w:r w:rsidRPr="00082280">
              <w:rPr>
                <w:b w:val="0"/>
                <w:sz w:val="18"/>
                <w:szCs w:val="18"/>
                <w:lang w:val="en-US" w:eastAsia="en-US"/>
              </w:rPr>
              <w:t>ծառայությունների</w:t>
            </w:r>
            <w:r w:rsidRPr="00082280">
              <w:rPr>
                <w:b w:val="0"/>
                <w:sz w:val="18"/>
                <w:szCs w:val="18"/>
                <w:lang w:eastAsia="en-US"/>
              </w:rPr>
              <w:t xml:space="preserve"> </w:t>
            </w:r>
            <w:r w:rsidRPr="00082280">
              <w:rPr>
                <w:b w:val="0"/>
                <w:sz w:val="18"/>
                <w:szCs w:val="18"/>
                <w:lang w:val="en-US" w:eastAsia="en-US"/>
              </w:rPr>
              <w:t>մատուցումից</w:t>
            </w:r>
            <w:r w:rsidRPr="00082280">
              <w:rPr>
                <w:b w:val="0"/>
                <w:sz w:val="18"/>
                <w:szCs w:val="18"/>
                <w:lang w:eastAsia="en-US"/>
              </w:rPr>
              <w:t xml:space="preserve"> </w:t>
            </w:r>
            <w:r w:rsidRPr="00082280">
              <w:rPr>
                <w:b w:val="0"/>
                <w:sz w:val="18"/>
                <w:szCs w:val="18"/>
                <w:lang w:val="en-US" w:eastAsia="en-US"/>
              </w:rPr>
              <w:t>եկամուտներ</w:t>
            </w:r>
            <w:r w:rsidRPr="00082280">
              <w:rPr>
                <w:b w:val="0"/>
                <w:sz w:val="18"/>
                <w:szCs w:val="18"/>
                <w:lang w:eastAsia="en-US"/>
              </w:rPr>
              <w:t xml:space="preserve">, </w:t>
            </w:r>
            <w:r w:rsidRPr="00082280">
              <w:rPr>
                <w:b w:val="0"/>
                <w:sz w:val="18"/>
                <w:szCs w:val="18"/>
                <w:lang w:val="en-US" w:eastAsia="en-US"/>
              </w:rPr>
              <w:t>որից</w:t>
            </w:r>
            <w:r w:rsidRPr="00082280">
              <w:rPr>
                <w:b w:val="0"/>
                <w:sz w:val="18"/>
                <w:szCs w:val="18"/>
                <w:lang w:eastAsia="en-US"/>
              </w:rPr>
              <w:t>`</w:t>
            </w:r>
          </w:p>
        </w:tc>
        <w:tc>
          <w:tcPr>
            <w:tcW w:w="1575" w:type="dxa"/>
            <w:tcBorders>
              <w:top w:val="nil"/>
              <w:left w:val="nil"/>
              <w:bottom w:val="nil"/>
              <w:right w:val="nil"/>
            </w:tcBorders>
            <w:shd w:val="clear" w:color="000000" w:fill="FFFFFF"/>
            <w:noWrap/>
            <w:vAlign w:val="center"/>
            <w:hideMark/>
          </w:tcPr>
          <w:p w14:paraId="21632218"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16.4</w:t>
            </w:r>
          </w:p>
        </w:tc>
        <w:tc>
          <w:tcPr>
            <w:tcW w:w="855" w:type="dxa"/>
            <w:tcBorders>
              <w:top w:val="nil"/>
              <w:left w:val="nil"/>
              <w:bottom w:val="nil"/>
              <w:right w:val="nil"/>
            </w:tcBorders>
            <w:shd w:val="clear" w:color="000000" w:fill="FFFFFF"/>
            <w:noWrap/>
            <w:vAlign w:val="center"/>
            <w:hideMark/>
          </w:tcPr>
          <w:p w14:paraId="731FBF98"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21.3</w:t>
            </w:r>
          </w:p>
        </w:tc>
        <w:tc>
          <w:tcPr>
            <w:tcW w:w="995" w:type="dxa"/>
            <w:tcBorders>
              <w:top w:val="nil"/>
              <w:left w:val="nil"/>
              <w:bottom w:val="nil"/>
              <w:right w:val="nil"/>
            </w:tcBorders>
            <w:shd w:val="clear" w:color="000000" w:fill="FFFFFF"/>
            <w:noWrap/>
            <w:vAlign w:val="center"/>
            <w:hideMark/>
          </w:tcPr>
          <w:p w14:paraId="240611FF"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24.1</w:t>
            </w:r>
          </w:p>
        </w:tc>
        <w:tc>
          <w:tcPr>
            <w:tcW w:w="1240" w:type="dxa"/>
            <w:tcBorders>
              <w:top w:val="nil"/>
              <w:left w:val="nil"/>
              <w:bottom w:val="nil"/>
              <w:right w:val="nil"/>
            </w:tcBorders>
            <w:shd w:val="clear" w:color="000000" w:fill="FFFFFF"/>
            <w:noWrap/>
            <w:vAlign w:val="center"/>
            <w:hideMark/>
          </w:tcPr>
          <w:p w14:paraId="17ED2D25"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19.7</w:t>
            </w:r>
          </w:p>
        </w:tc>
        <w:tc>
          <w:tcPr>
            <w:tcW w:w="465" w:type="dxa"/>
            <w:tcBorders>
              <w:top w:val="nil"/>
              <w:left w:val="nil"/>
              <w:bottom w:val="nil"/>
              <w:right w:val="nil"/>
            </w:tcBorders>
            <w:shd w:val="clear" w:color="000000" w:fill="FFFFFF"/>
            <w:noWrap/>
            <w:vAlign w:val="center"/>
            <w:hideMark/>
          </w:tcPr>
          <w:p w14:paraId="00E99F30"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21.1</w:t>
            </w:r>
          </w:p>
        </w:tc>
      </w:tr>
      <w:tr w:rsidR="00082280" w:rsidRPr="00082280" w14:paraId="06A9336F" w14:textId="77777777" w:rsidTr="00177506">
        <w:trPr>
          <w:trHeight w:val="810"/>
        </w:trPr>
        <w:tc>
          <w:tcPr>
            <w:tcW w:w="3960" w:type="dxa"/>
            <w:tcBorders>
              <w:top w:val="nil"/>
              <w:left w:val="nil"/>
              <w:bottom w:val="nil"/>
              <w:right w:val="nil"/>
            </w:tcBorders>
            <w:shd w:val="clear" w:color="000000" w:fill="FFFFFF"/>
            <w:vAlign w:val="center"/>
            <w:hideMark/>
          </w:tcPr>
          <w:p w14:paraId="3A6872C8" w14:textId="77777777" w:rsidR="00082280" w:rsidRPr="00082280" w:rsidRDefault="00082280" w:rsidP="00082280">
            <w:pPr>
              <w:spacing w:before="0" w:line="240" w:lineRule="auto"/>
              <w:jc w:val="left"/>
              <w:rPr>
                <w:b w:val="0"/>
                <w:sz w:val="18"/>
                <w:szCs w:val="18"/>
                <w:lang w:eastAsia="en-US"/>
              </w:rPr>
            </w:pPr>
            <w:r w:rsidRPr="00082280">
              <w:rPr>
                <w:b w:val="0"/>
                <w:sz w:val="18"/>
                <w:szCs w:val="18"/>
                <w:lang w:eastAsia="en-US"/>
              </w:rPr>
              <w:t xml:space="preserve">5. </w:t>
            </w:r>
            <w:r w:rsidRPr="00082280">
              <w:rPr>
                <w:b w:val="0"/>
                <w:sz w:val="18"/>
                <w:szCs w:val="18"/>
                <w:lang w:val="en-US" w:eastAsia="en-US"/>
              </w:rPr>
              <w:t>Օրենքով</w:t>
            </w:r>
            <w:r w:rsidRPr="00082280">
              <w:rPr>
                <w:b w:val="0"/>
                <w:sz w:val="18"/>
                <w:szCs w:val="18"/>
                <w:lang w:eastAsia="en-US"/>
              </w:rPr>
              <w:t xml:space="preserve"> </w:t>
            </w:r>
            <w:r w:rsidRPr="00082280">
              <w:rPr>
                <w:b w:val="0"/>
                <w:sz w:val="18"/>
                <w:szCs w:val="18"/>
                <w:lang w:val="en-US" w:eastAsia="en-US"/>
              </w:rPr>
              <w:t>և</w:t>
            </w:r>
            <w:r w:rsidRPr="00082280">
              <w:rPr>
                <w:b w:val="0"/>
                <w:sz w:val="18"/>
                <w:szCs w:val="18"/>
                <w:lang w:eastAsia="en-US"/>
              </w:rPr>
              <w:t xml:space="preserve"> </w:t>
            </w:r>
            <w:r w:rsidRPr="00082280">
              <w:rPr>
                <w:b w:val="0"/>
                <w:sz w:val="18"/>
                <w:szCs w:val="18"/>
                <w:lang w:val="en-US" w:eastAsia="en-US"/>
              </w:rPr>
              <w:t>այլ</w:t>
            </w:r>
            <w:r w:rsidRPr="00082280">
              <w:rPr>
                <w:b w:val="0"/>
                <w:sz w:val="18"/>
                <w:szCs w:val="18"/>
                <w:lang w:eastAsia="en-US"/>
              </w:rPr>
              <w:t xml:space="preserve"> </w:t>
            </w:r>
            <w:r w:rsidRPr="00082280">
              <w:rPr>
                <w:b w:val="0"/>
                <w:sz w:val="18"/>
                <w:szCs w:val="18"/>
                <w:lang w:val="en-US" w:eastAsia="en-US"/>
              </w:rPr>
              <w:t>իրավական</w:t>
            </w:r>
            <w:r w:rsidRPr="00082280">
              <w:rPr>
                <w:b w:val="0"/>
                <w:sz w:val="18"/>
                <w:szCs w:val="18"/>
                <w:lang w:eastAsia="en-US"/>
              </w:rPr>
              <w:t xml:space="preserve"> </w:t>
            </w:r>
            <w:r w:rsidRPr="00082280">
              <w:rPr>
                <w:b w:val="0"/>
                <w:sz w:val="18"/>
                <w:szCs w:val="18"/>
                <w:lang w:val="en-US" w:eastAsia="en-US"/>
              </w:rPr>
              <w:t>ակտերով</w:t>
            </w:r>
            <w:r w:rsidRPr="00082280">
              <w:rPr>
                <w:b w:val="0"/>
                <w:sz w:val="18"/>
                <w:szCs w:val="18"/>
                <w:lang w:eastAsia="en-US"/>
              </w:rPr>
              <w:t xml:space="preserve"> </w:t>
            </w:r>
            <w:r w:rsidRPr="00082280">
              <w:rPr>
                <w:b w:val="0"/>
                <w:sz w:val="18"/>
                <w:szCs w:val="18"/>
                <w:lang w:val="en-US" w:eastAsia="en-US"/>
              </w:rPr>
              <w:t>սահմանված</w:t>
            </w:r>
            <w:r w:rsidRPr="00082280">
              <w:rPr>
                <w:b w:val="0"/>
                <w:sz w:val="18"/>
                <w:szCs w:val="18"/>
                <w:lang w:eastAsia="en-US"/>
              </w:rPr>
              <w:t xml:space="preserve">` </w:t>
            </w:r>
            <w:r w:rsidRPr="00082280">
              <w:rPr>
                <w:b w:val="0"/>
                <w:sz w:val="18"/>
                <w:szCs w:val="18"/>
                <w:lang w:val="en-US" w:eastAsia="en-US"/>
              </w:rPr>
              <w:t>պետական</w:t>
            </w:r>
            <w:r w:rsidRPr="00082280">
              <w:rPr>
                <w:b w:val="0"/>
                <w:sz w:val="18"/>
                <w:szCs w:val="18"/>
                <w:lang w:eastAsia="en-US"/>
              </w:rPr>
              <w:t xml:space="preserve"> </w:t>
            </w:r>
            <w:r w:rsidRPr="00082280">
              <w:rPr>
                <w:b w:val="0"/>
                <w:sz w:val="18"/>
                <w:szCs w:val="18"/>
                <w:lang w:val="en-US" w:eastAsia="en-US"/>
              </w:rPr>
              <w:t>բյուջե</w:t>
            </w:r>
            <w:r w:rsidRPr="00082280">
              <w:rPr>
                <w:b w:val="0"/>
                <w:sz w:val="18"/>
                <w:szCs w:val="18"/>
                <w:lang w:eastAsia="en-US"/>
              </w:rPr>
              <w:t xml:space="preserve"> </w:t>
            </w:r>
            <w:r w:rsidRPr="00082280">
              <w:rPr>
                <w:b w:val="0"/>
                <w:sz w:val="18"/>
                <w:szCs w:val="18"/>
                <w:lang w:val="en-US" w:eastAsia="en-US"/>
              </w:rPr>
              <w:t>մուտքագրվող</w:t>
            </w:r>
            <w:r w:rsidRPr="00082280">
              <w:rPr>
                <w:b w:val="0"/>
                <w:sz w:val="18"/>
                <w:szCs w:val="18"/>
                <w:lang w:eastAsia="en-US"/>
              </w:rPr>
              <w:t xml:space="preserve"> </w:t>
            </w:r>
            <w:r w:rsidRPr="00082280">
              <w:rPr>
                <w:b w:val="0"/>
                <w:sz w:val="18"/>
                <w:szCs w:val="18"/>
                <w:lang w:val="en-US" w:eastAsia="en-US"/>
              </w:rPr>
              <w:t>այլ</w:t>
            </w:r>
            <w:r w:rsidRPr="00082280">
              <w:rPr>
                <w:b w:val="0"/>
                <w:sz w:val="18"/>
                <w:szCs w:val="18"/>
                <w:lang w:eastAsia="en-US"/>
              </w:rPr>
              <w:t xml:space="preserve"> </w:t>
            </w:r>
            <w:r w:rsidRPr="00082280">
              <w:rPr>
                <w:b w:val="0"/>
                <w:sz w:val="18"/>
                <w:szCs w:val="18"/>
                <w:lang w:val="en-US" w:eastAsia="en-US"/>
              </w:rPr>
              <w:t>եկամուտներ</w:t>
            </w:r>
          </w:p>
        </w:tc>
        <w:tc>
          <w:tcPr>
            <w:tcW w:w="1575" w:type="dxa"/>
            <w:tcBorders>
              <w:top w:val="nil"/>
              <w:left w:val="nil"/>
              <w:bottom w:val="nil"/>
              <w:right w:val="nil"/>
            </w:tcBorders>
            <w:shd w:val="clear" w:color="000000" w:fill="FFFFFF"/>
            <w:noWrap/>
            <w:vAlign w:val="center"/>
            <w:hideMark/>
          </w:tcPr>
          <w:p w14:paraId="54083A5C"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58.7</w:t>
            </w:r>
          </w:p>
        </w:tc>
        <w:tc>
          <w:tcPr>
            <w:tcW w:w="855" w:type="dxa"/>
            <w:tcBorders>
              <w:top w:val="nil"/>
              <w:left w:val="nil"/>
              <w:bottom w:val="nil"/>
              <w:right w:val="nil"/>
            </w:tcBorders>
            <w:shd w:val="clear" w:color="000000" w:fill="FFFFFF"/>
            <w:noWrap/>
            <w:vAlign w:val="center"/>
            <w:hideMark/>
          </w:tcPr>
          <w:p w14:paraId="5AB3B988"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3.8</w:t>
            </w:r>
          </w:p>
        </w:tc>
        <w:tc>
          <w:tcPr>
            <w:tcW w:w="995" w:type="dxa"/>
            <w:tcBorders>
              <w:top w:val="nil"/>
              <w:left w:val="nil"/>
              <w:bottom w:val="nil"/>
              <w:right w:val="nil"/>
            </w:tcBorders>
            <w:shd w:val="clear" w:color="000000" w:fill="FFFFFF"/>
            <w:noWrap/>
            <w:vAlign w:val="center"/>
            <w:hideMark/>
          </w:tcPr>
          <w:p w14:paraId="3BE175A4"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23.4</w:t>
            </w:r>
          </w:p>
        </w:tc>
        <w:tc>
          <w:tcPr>
            <w:tcW w:w="1240" w:type="dxa"/>
            <w:tcBorders>
              <w:top w:val="nil"/>
              <w:left w:val="nil"/>
              <w:bottom w:val="nil"/>
              <w:right w:val="nil"/>
            </w:tcBorders>
            <w:shd w:val="clear" w:color="000000" w:fill="FFFFFF"/>
            <w:noWrap/>
            <w:vAlign w:val="center"/>
            <w:hideMark/>
          </w:tcPr>
          <w:p w14:paraId="536AE93F"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2.1</w:t>
            </w:r>
          </w:p>
        </w:tc>
        <w:tc>
          <w:tcPr>
            <w:tcW w:w="465" w:type="dxa"/>
            <w:tcBorders>
              <w:top w:val="nil"/>
              <w:left w:val="nil"/>
              <w:bottom w:val="nil"/>
              <w:right w:val="nil"/>
            </w:tcBorders>
            <w:shd w:val="clear" w:color="000000" w:fill="FFFFFF"/>
            <w:noWrap/>
            <w:vAlign w:val="center"/>
            <w:hideMark/>
          </w:tcPr>
          <w:p w14:paraId="4782F977" w14:textId="77777777" w:rsidR="00082280" w:rsidRPr="00082280" w:rsidRDefault="00082280" w:rsidP="00082280">
            <w:pPr>
              <w:spacing w:before="0" w:line="240" w:lineRule="auto"/>
              <w:jc w:val="center"/>
              <w:rPr>
                <w:b w:val="0"/>
                <w:sz w:val="18"/>
                <w:szCs w:val="18"/>
                <w:lang w:val="en-US" w:eastAsia="en-US"/>
              </w:rPr>
            </w:pPr>
            <w:r w:rsidRPr="00082280">
              <w:rPr>
                <w:b w:val="0"/>
                <w:sz w:val="18"/>
                <w:szCs w:val="18"/>
                <w:lang w:val="en-US" w:eastAsia="en-US"/>
              </w:rPr>
              <w:t>4.7</w:t>
            </w:r>
          </w:p>
        </w:tc>
      </w:tr>
    </w:tbl>
    <w:p w14:paraId="2426DDB3"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Ստորև ներկայացվում են 2024 թվա</w:t>
      </w:r>
      <w:r w:rsidRPr="00082280">
        <w:rPr>
          <w:rFonts w:cs="Sylfaen"/>
          <w:b w:val="0"/>
          <w:iCs/>
          <w:szCs w:val="22"/>
          <w:lang w:val="af-ZA" w:eastAsia="en-GB"/>
        </w:rPr>
        <w:softHyphen/>
        <w:t>կա</w:t>
      </w:r>
      <w:r w:rsidRPr="00082280">
        <w:rPr>
          <w:rFonts w:cs="Sylfaen"/>
          <w:b w:val="0"/>
          <w:iCs/>
          <w:szCs w:val="22"/>
          <w:lang w:val="af-ZA" w:eastAsia="en-GB"/>
        </w:rPr>
        <w:softHyphen/>
        <w:t>նի այլ եկամուտների գծով կան</w:t>
      </w:r>
      <w:r w:rsidRPr="00082280">
        <w:rPr>
          <w:rFonts w:cs="Sylfaen"/>
          <w:b w:val="0"/>
          <w:iCs/>
          <w:szCs w:val="22"/>
          <w:lang w:val="af-ZA" w:eastAsia="en-GB"/>
        </w:rPr>
        <w:softHyphen/>
        <w:t>խատես</w:t>
      </w:r>
      <w:r w:rsidRPr="00082280">
        <w:rPr>
          <w:rFonts w:cs="Sylfaen"/>
          <w:b w:val="0"/>
          <w:iCs/>
          <w:szCs w:val="22"/>
          <w:lang w:val="af-ZA" w:eastAsia="en-GB"/>
        </w:rPr>
        <w:softHyphen/>
        <w:t>վող մուտ</w:t>
      </w:r>
      <w:r w:rsidRPr="00082280">
        <w:rPr>
          <w:rFonts w:cs="Sylfaen"/>
          <w:b w:val="0"/>
          <w:iCs/>
          <w:szCs w:val="22"/>
          <w:lang w:val="af-ZA" w:eastAsia="en-GB"/>
        </w:rPr>
        <w:softHyphen/>
        <w:t>քե</w:t>
      </w:r>
      <w:r w:rsidRPr="00082280">
        <w:rPr>
          <w:rFonts w:cs="Sylfaen"/>
          <w:b w:val="0"/>
          <w:iCs/>
          <w:szCs w:val="22"/>
          <w:lang w:val="af-ZA" w:eastAsia="en-GB"/>
        </w:rPr>
        <w:softHyphen/>
        <w:t>րի հաշ</w:t>
      </w:r>
      <w:r w:rsidRPr="00082280">
        <w:rPr>
          <w:rFonts w:cs="Sylfaen"/>
          <w:b w:val="0"/>
          <w:iCs/>
          <w:szCs w:val="22"/>
          <w:lang w:val="af-ZA" w:eastAsia="en-GB"/>
        </w:rPr>
        <w:softHyphen/>
        <w:t>վարկ</w:t>
      </w:r>
      <w:r w:rsidRPr="00082280">
        <w:rPr>
          <w:rFonts w:cs="Sylfaen"/>
          <w:b w:val="0"/>
          <w:iCs/>
          <w:szCs w:val="22"/>
          <w:lang w:val="af-ZA" w:eastAsia="en-GB"/>
        </w:rPr>
        <w:softHyphen/>
        <w:t>նե</w:t>
      </w:r>
      <w:r w:rsidRPr="00082280">
        <w:rPr>
          <w:rFonts w:cs="Sylfaen"/>
          <w:b w:val="0"/>
          <w:iCs/>
          <w:szCs w:val="22"/>
          <w:lang w:val="af-ZA" w:eastAsia="en-GB"/>
        </w:rPr>
        <w:softHyphen/>
        <w:t>րում կի</w:t>
      </w:r>
      <w:r w:rsidRPr="00082280">
        <w:rPr>
          <w:rFonts w:cs="Sylfaen"/>
          <w:b w:val="0"/>
          <w:iCs/>
          <w:szCs w:val="22"/>
          <w:lang w:val="af-ZA" w:eastAsia="en-GB"/>
        </w:rPr>
        <w:softHyphen/>
        <w:t>րառ</w:t>
      </w:r>
      <w:r w:rsidRPr="00082280">
        <w:rPr>
          <w:rFonts w:cs="Sylfaen"/>
          <w:b w:val="0"/>
          <w:iCs/>
          <w:szCs w:val="22"/>
          <w:lang w:val="af-ZA" w:eastAsia="en-GB"/>
        </w:rPr>
        <w:softHyphen/>
        <w:t>ված մեթոդաբանության համա</w:t>
      </w:r>
      <w:r w:rsidRPr="00082280">
        <w:rPr>
          <w:rFonts w:cs="Sylfaen"/>
          <w:b w:val="0"/>
          <w:iCs/>
          <w:szCs w:val="22"/>
          <w:lang w:val="af-ZA" w:eastAsia="en-GB"/>
        </w:rPr>
        <w:softHyphen/>
        <w:t>ռոտ նկարա</w:t>
      </w:r>
      <w:r w:rsidRPr="00082280">
        <w:rPr>
          <w:rFonts w:cs="Sylfaen"/>
          <w:b w:val="0"/>
          <w:iCs/>
          <w:szCs w:val="22"/>
          <w:lang w:val="af-ZA" w:eastAsia="en-GB"/>
        </w:rPr>
        <w:softHyphen/>
        <w:t>գրու</w:t>
      </w:r>
      <w:r w:rsidRPr="00082280">
        <w:rPr>
          <w:rFonts w:cs="Sylfaen"/>
          <w:b w:val="0"/>
          <w:iCs/>
          <w:szCs w:val="22"/>
          <w:lang w:val="af-ZA" w:eastAsia="en-GB"/>
        </w:rPr>
        <w:softHyphen/>
        <w:t>թյունը:</w:t>
      </w:r>
    </w:p>
    <w:p w14:paraId="0213F499"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Պետական հիմնարկների հաշվեկշիռներում հաշվառվող գույքի (բացառությամբ հողի) վար</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ձակալության և օգ</w:t>
      </w:r>
      <w:r w:rsidRPr="00082280">
        <w:rPr>
          <w:rFonts w:cs="Sylfaen"/>
          <w:b w:val="0"/>
          <w:iCs/>
          <w:szCs w:val="22"/>
          <w:lang w:val="af-ZA" w:eastAsia="en-GB"/>
        </w:rPr>
        <w:softHyphen/>
      </w:r>
      <w:r w:rsidRPr="00082280">
        <w:rPr>
          <w:rFonts w:cs="Sylfaen"/>
          <w:b w:val="0"/>
          <w:iCs/>
          <w:szCs w:val="22"/>
          <w:lang w:val="af-ZA" w:eastAsia="en-GB"/>
        </w:rPr>
        <w:softHyphen/>
        <w:t>տա</w:t>
      </w:r>
      <w:r w:rsidRPr="00082280">
        <w:rPr>
          <w:rFonts w:cs="Sylfaen"/>
          <w:b w:val="0"/>
          <w:iCs/>
          <w:szCs w:val="22"/>
          <w:lang w:val="af-ZA" w:eastAsia="en-GB"/>
        </w:rPr>
        <w:softHyphen/>
        <w:t>գործ</w:t>
      </w:r>
      <w:r w:rsidRPr="00082280">
        <w:rPr>
          <w:rFonts w:cs="Sylfaen"/>
          <w:b w:val="0"/>
          <w:iCs/>
          <w:szCs w:val="22"/>
          <w:lang w:val="af-ZA" w:eastAsia="en-GB"/>
        </w:rPr>
        <w:softHyphen/>
        <w:t>ման դիմաց գանձվող վարձավճարները 2024 թվա</w:t>
      </w:r>
      <w:r w:rsidRPr="00082280">
        <w:rPr>
          <w:rFonts w:cs="Sylfaen"/>
          <w:b w:val="0"/>
          <w:iCs/>
          <w:szCs w:val="22"/>
          <w:lang w:val="af-ZA" w:eastAsia="en-GB"/>
        </w:rPr>
        <w:softHyphen/>
        <w:t>կա</w:t>
      </w:r>
      <w:r w:rsidRPr="00082280">
        <w:rPr>
          <w:rFonts w:cs="Sylfaen"/>
          <w:b w:val="0"/>
          <w:iCs/>
          <w:szCs w:val="22"/>
          <w:lang w:val="af-ZA" w:eastAsia="en-GB"/>
        </w:rPr>
        <w:softHyphen/>
        <w:t>նի հա</w:t>
      </w:r>
      <w:r w:rsidRPr="00082280">
        <w:rPr>
          <w:rFonts w:cs="Sylfaen"/>
          <w:b w:val="0"/>
          <w:iCs/>
          <w:szCs w:val="22"/>
          <w:lang w:val="af-ZA" w:eastAsia="en-GB"/>
        </w:rPr>
        <w:softHyphen/>
        <w:t>մար կան</w:t>
      </w:r>
      <w:r w:rsidRPr="00082280">
        <w:rPr>
          <w:rFonts w:cs="Sylfaen"/>
          <w:b w:val="0"/>
          <w:iCs/>
          <w:szCs w:val="22"/>
          <w:lang w:val="af-ZA" w:eastAsia="en-GB"/>
        </w:rPr>
        <w:softHyphen/>
      </w:r>
      <w:r w:rsidRPr="00082280">
        <w:rPr>
          <w:rFonts w:cs="Sylfaen"/>
          <w:b w:val="0"/>
          <w:iCs/>
          <w:szCs w:val="22"/>
          <w:lang w:val="af-ZA" w:eastAsia="en-GB"/>
        </w:rPr>
        <w:softHyphen/>
        <w:t xml:space="preserve">խատեսվում են շուրջ 5.136.3 մլն դրամ, 2023 թվականի համար ծրագրված </w:t>
      </w:r>
      <w:r w:rsidRPr="00082280">
        <w:rPr>
          <w:rFonts w:cs="Sylfaen"/>
          <w:b w:val="0"/>
          <w:iCs/>
          <w:szCs w:val="22"/>
          <w:lang w:val="af-ZA" w:eastAsia="en-GB"/>
        </w:rPr>
        <w:lastRenderedPageBreak/>
        <w:t>4,456.8 մլն դրամի և 2022 թվականին փաստացի ստացված 3,780.6 մլն դրամի դի</w:t>
      </w:r>
      <w:r w:rsidRPr="00082280">
        <w:rPr>
          <w:rFonts w:cs="Sylfaen"/>
          <w:b w:val="0"/>
          <w:iCs/>
          <w:szCs w:val="22"/>
          <w:lang w:val="af-ZA" w:eastAsia="en-GB"/>
        </w:rPr>
        <w:softHyphen/>
      </w:r>
      <w:r w:rsidRPr="00082280">
        <w:rPr>
          <w:rFonts w:cs="Sylfaen"/>
          <w:b w:val="0"/>
          <w:iCs/>
          <w:szCs w:val="22"/>
          <w:lang w:val="af-ZA" w:eastAsia="en-GB"/>
        </w:rPr>
        <w:softHyphen/>
        <w:t>մաց: Կան</w:t>
      </w:r>
      <w:r w:rsidRPr="00082280">
        <w:rPr>
          <w:rFonts w:cs="Sylfaen"/>
          <w:b w:val="0"/>
          <w:iCs/>
          <w:szCs w:val="22"/>
          <w:lang w:val="af-ZA" w:eastAsia="en-GB"/>
        </w:rPr>
        <w:softHyphen/>
      </w:r>
      <w:r w:rsidRPr="00082280">
        <w:rPr>
          <w:rFonts w:cs="Sylfaen"/>
          <w:b w:val="0"/>
          <w:iCs/>
          <w:szCs w:val="22"/>
          <w:lang w:val="af-ZA" w:eastAsia="en-GB"/>
        </w:rPr>
        <w:softHyphen/>
        <w:t>խա</w:t>
      </w:r>
      <w:r w:rsidRPr="00082280">
        <w:rPr>
          <w:rFonts w:cs="Sylfaen"/>
          <w:b w:val="0"/>
          <w:iCs/>
          <w:szCs w:val="22"/>
          <w:lang w:val="af-ZA" w:eastAsia="en-GB"/>
        </w:rPr>
        <w:softHyphen/>
        <w:t>տե</w:t>
      </w:r>
      <w:r w:rsidRPr="00082280">
        <w:rPr>
          <w:rFonts w:cs="Sylfaen"/>
          <w:b w:val="0"/>
          <w:iCs/>
          <w:szCs w:val="22"/>
          <w:lang w:val="af-ZA" w:eastAsia="en-GB"/>
        </w:rPr>
        <w:softHyphen/>
      </w:r>
      <w:r w:rsidRPr="00082280">
        <w:rPr>
          <w:rFonts w:cs="Sylfaen"/>
          <w:b w:val="0"/>
          <w:iCs/>
          <w:szCs w:val="22"/>
          <w:lang w:val="af-ZA" w:eastAsia="en-GB"/>
        </w:rPr>
        <w:softHyphen/>
        <w:t>սում</w:t>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րում հիմք են ընդունվել պետական կա</w:t>
      </w:r>
      <w:r w:rsidRPr="00082280">
        <w:rPr>
          <w:rFonts w:cs="Sylfaen"/>
          <w:b w:val="0"/>
          <w:iCs/>
          <w:szCs w:val="22"/>
          <w:lang w:val="af-ZA" w:eastAsia="en-GB"/>
        </w:rPr>
        <w:softHyphen/>
        <w:t>ռա</w:t>
      </w:r>
      <w:r w:rsidRPr="00082280">
        <w:rPr>
          <w:rFonts w:cs="Sylfaen"/>
          <w:b w:val="0"/>
          <w:iCs/>
          <w:szCs w:val="22"/>
          <w:lang w:val="af-ZA" w:eastAsia="en-GB"/>
        </w:rPr>
        <w:softHyphen/>
        <w:t>վար</w:t>
      </w:r>
      <w:r w:rsidRPr="00082280">
        <w:rPr>
          <w:rFonts w:cs="Sylfaen"/>
          <w:b w:val="0"/>
          <w:iCs/>
          <w:szCs w:val="22"/>
          <w:lang w:val="af-ZA" w:eastAsia="en-GB"/>
        </w:rPr>
        <w:softHyphen/>
        <w:t>ման մար</w:t>
      </w:r>
      <w:r w:rsidRPr="00082280">
        <w:rPr>
          <w:rFonts w:cs="Sylfaen"/>
          <w:b w:val="0"/>
          <w:iCs/>
          <w:szCs w:val="22"/>
          <w:lang w:val="af-ZA" w:eastAsia="en-GB"/>
        </w:rPr>
        <w:softHyphen/>
        <w:t>մին</w:t>
      </w:r>
      <w:r w:rsidRPr="00082280">
        <w:rPr>
          <w:rFonts w:cs="Sylfaen"/>
          <w:b w:val="0"/>
          <w:iCs/>
          <w:szCs w:val="22"/>
          <w:lang w:val="af-ZA" w:eastAsia="en-GB"/>
        </w:rPr>
        <w:softHyphen/>
        <w:t>ների կող</w:t>
      </w:r>
      <w:r w:rsidRPr="00082280">
        <w:rPr>
          <w:rFonts w:cs="Sylfaen"/>
          <w:b w:val="0"/>
          <w:iCs/>
          <w:szCs w:val="22"/>
          <w:lang w:val="af-ZA" w:eastAsia="en-GB"/>
        </w:rPr>
        <w:softHyphen/>
      </w:r>
      <w:r w:rsidRPr="00082280">
        <w:rPr>
          <w:rFonts w:cs="Sylfaen"/>
          <w:b w:val="0"/>
          <w:iCs/>
          <w:szCs w:val="22"/>
          <w:lang w:val="af-ZA" w:eastAsia="en-GB"/>
        </w:rPr>
        <w:softHyphen/>
        <w:t>մից ներ</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w:t>
      </w:r>
      <w:r w:rsidRPr="00082280">
        <w:rPr>
          <w:rFonts w:cs="Sylfaen"/>
          <w:b w:val="0"/>
          <w:iCs/>
          <w:szCs w:val="22"/>
          <w:lang w:val="af-ZA" w:eastAsia="en-GB"/>
        </w:rPr>
        <w:softHyphen/>
        <w:t>յաց</w:t>
      </w:r>
      <w:r w:rsidRPr="00082280">
        <w:rPr>
          <w:rFonts w:cs="Sylfaen"/>
          <w:b w:val="0"/>
          <w:iCs/>
          <w:szCs w:val="22"/>
          <w:lang w:val="af-ZA" w:eastAsia="en-GB"/>
        </w:rPr>
        <w:softHyphen/>
      </w:r>
      <w:r w:rsidRPr="00082280">
        <w:rPr>
          <w:rFonts w:cs="Sylfaen"/>
          <w:b w:val="0"/>
          <w:iCs/>
          <w:szCs w:val="22"/>
          <w:lang w:val="af-ZA" w:eastAsia="en-GB"/>
        </w:rPr>
        <w:softHyphen/>
        <w:t>ված տե</w:t>
      </w:r>
      <w:r w:rsidRPr="00082280">
        <w:rPr>
          <w:rFonts w:cs="Sylfaen"/>
          <w:b w:val="0"/>
          <w:iCs/>
          <w:szCs w:val="22"/>
          <w:lang w:val="af-ZA" w:eastAsia="en-GB"/>
        </w:rPr>
        <w:softHyphen/>
        <w:t>ղե</w:t>
      </w:r>
      <w:r w:rsidRPr="00082280">
        <w:rPr>
          <w:rFonts w:cs="Sylfaen"/>
          <w:b w:val="0"/>
          <w:iCs/>
          <w:szCs w:val="22"/>
          <w:lang w:val="af-ZA" w:eastAsia="en-GB"/>
        </w:rPr>
        <w:softHyphen/>
        <w:t>կու</w:t>
      </w:r>
      <w:r w:rsidRPr="00082280">
        <w:rPr>
          <w:rFonts w:cs="Sylfaen"/>
          <w:b w:val="0"/>
          <w:iCs/>
          <w:szCs w:val="22"/>
          <w:lang w:val="af-ZA" w:eastAsia="en-GB"/>
        </w:rPr>
        <w:softHyphen/>
        <w:t>թյուն</w:t>
      </w:r>
      <w:r w:rsidRPr="00082280">
        <w:rPr>
          <w:rFonts w:cs="Sylfaen"/>
          <w:b w:val="0"/>
          <w:iCs/>
          <w:szCs w:val="22"/>
          <w:lang w:val="af-ZA" w:eastAsia="en-GB"/>
        </w:rPr>
        <w:softHyphen/>
        <w:t>նե</w:t>
      </w:r>
      <w:r w:rsidRPr="00082280">
        <w:rPr>
          <w:rFonts w:cs="Sylfaen"/>
          <w:b w:val="0"/>
          <w:iCs/>
          <w:szCs w:val="22"/>
          <w:lang w:val="af-ZA" w:eastAsia="en-GB"/>
        </w:rPr>
        <w:softHyphen/>
        <w:t>րը վարձակալական պայ</w:t>
      </w:r>
      <w:r w:rsidRPr="00082280">
        <w:rPr>
          <w:rFonts w:cs="Sylfaen"/>
          <w:b w:val="0"/>
          <w:iCs/>
          <w:szCs w:val="22"/>
          <w:lang w:val="af-ZA" w:eastAsia="en-GB"/>
        </w:rPr>
        <w:softHyphen/>
        <w:t>մա</w:t>
      </w:r>
      <w:r w:rsidRPr="00082280">
        <w:rPr>
          <w:rFonts w:cs="Sylfaen"/>
          <w:b w:val="0"/>
          <w:iCs/>
          <w:szCs w:val="22"/>
          <w:lang w:val="af-ZA" w:eastAsia="en-GB"/>
        </w:rPr>
        <w:softHyphen/>
        <w:t>նա</w:t>
      </w:r>
      <w:r w:rsidRPr="00082280">
        <w:rPr>
          <w:rFonts w:cs="Sylfaen"/>
          <w:b w:val="0"/>
          <w:iCs/>
          <w:szCs w:val="22"/>
          <w:lang w:val="af-ZA" w:eastAsia="en-GB"/>
        </w:rPr>
        <w:softHyphen/>
        <w:t>գրերի հա</w:t>
      </w:r>
      <w:r w:rsidRPr="00082280">
        <w:rPr>
          <w:rFonts w:cs="Sylfaen"/>
          <w:b w:val="0"/>
          <w:iCs/>
          <w:szCs w:val="22"/>
          <w:lang w:val="af-ZA" w:eastAsia="en-GB"/>
        </w:rPr>
        <w:softHyphen/>
      </w:r>
      <w:r w:rsidRPr="00082280">
        <w:rPr>
          <w:rFonts w:cs="Sylfaen"/>
          <w:b w:val="0"/>
          <w:iCs/>
          <w:szCs w:val="22"/>
          <w:lang w:val="af-ZA" w:eastAsia="en-GB"/>
        </w:rPr>
        <w:softHyphen/>
        <w:t>մա</w:t>
      </w:r>
      <w:r w:rsidRPr="00082280">
        <w:rPr>
          <w:rFonts w:cs="Sylfaen"/>
          <w:b w:val="0"/>
          <w:iCs/>
          <w:szCs w:val="22"/>
          <w:lang w:val="af-ZA" w:eastAsia="en-GB"/>
        </w:rPr>
        <w:softHyphen/>
        <w:t>ձայն 2024 թվա</w:t>
      </w:r>
      <w:r w:rsidRPr="00082280">
        <w:rPr>
          <w:rFonts w:cs="Sylfaen"/>
          <w:b w:val="0"/>
          <w:iCs/>
          <w:szCs w:val="22"/>
          <w:lang w:val="af-ZA" w:eastAsia="en-GB"/>
        </w:rPr>
        <w:softHyphen/>
        <w:t>կան</w:t>
      </w:r>
      <w:r w:rsidRPr="00082280">
        <w:rPr>
          <w:rFonts w:cs="Sylfaen"/>
          <w:b w:val="0"/>
          <w:iCs/>
          <w:szCs w:val="22"/>
          <w:lang w:val="af-ZA" w:eastAsia="en-GB"/>
        </w:rPr>
        <w:softHyphen/>
        <w:t>ներին վճար</w:t>
      </w:r>
      <w:r w:rsidRPr="00082280">
        <w:rPr>
          <w:rFonts w:cs="Sylfaen"/>
          <w:b w:val="0"/>
          <w:iCs/>
          <w:szCs w:val="22"/>
          <w:lang w:val="af-ZA" w:eastAsia="en-GB"/>
        </w:rPr>
        <w:softHyphen/>
        <w:t>վե</w:t>
      </w:r>
      <w:r w:rsidRPr="00082280">
        <w:rPr>
          <w:rFonts w:cs="Sylfaen"/>
          <w:b w:val="0"/>
          <w:iCs/>
          <w:szCs w:val="22"/>
          <w:lang w:val="af-ZA" w:eastAsia="en-GB"/>
        </w:rPr>
        <w:softHyphen/>
      </w:r>
      <w:r w:rsidRPr="00082280">
        <w:rPr>
          <w:rFonts w:cs="Sylfaen"/>
          <w:b w:val="0"/>
          <w:iCs/>
          <w:szCs w:val="22"/>
          <w:lang w:val="af-ZA" w:eastAsia="en-GB"/>
        </w:rPr>
        <w:softHyphen/>
        <w:t>լիք վար</w:t>
      </w:r>
      <w:r w:rsidRPr="00082280">
        <w:rPr>
          <w:rFonts w:cs="Sylfaen"/>
          <w:b w:val="0"/>
          <w:iCs/>
          <w:szCs w:val="22"/>
          <w:lang w:val="af-ZA" w:eastAsia="en-GB"/>
        </w:rPr>
        <w:softHyphen/>
        <w:t>ձա</w:t>
      </w:r>
      <w:r w:rsidRPr="00082280">
        <w:rPr>
          <w:rFonts w:cs="Sylfaen"/>
          <w:b w:val="0"/>
          <w:iCs/>
          <w:szCs w:val="22"/>
          <w:lang w:val="af-ZA" w:eastAsia="en-GB"/>
        </w:rPr>
        <w:softHyphen/>
        <w:t>վճար</w:t>
      </w:r>
      <w:r w:rsidRPr="00082280">
        <w:rPr>
          <w:rFonts w:cs="Sylfaen"/>
          <w:b w:val="0"/>
          <w:iCs/>
          <w:szCs w:val="22"/>
          <w:lang w:val="af-ZA" w:eastAsia="en-GB"/>
        </w:rPr>
        <w:softHyphen/>
        <w:t>ների վե</w:t>
      </w:r>
      <w:r w:rsidRPr="00082280">
        <w:rPr>
          <w:rFonts w:cs="Sylfaen"/>
          <w:b w:val="0"/>
          <w:iCs/>
          <w:szCs w:val="22"/>
          <w:lang w:val="af-ZA" w:eastAsia="en-GB"/>
        </w:rPr>
        <w:softHyphen/>
        <w:t>րա</w:t>
      </w:r>
      <w:r w:rsidRPr="00082280">
        <w:rPr>
          <w:rFonts w:cs="Sylfaen"/>
          <w:b w:val="0"/>
          <w:iCs/>
          <w:szCs w:val="22"/>
          <w:lang w:val="af-ZA" w:eastAsia="en-GB"/>
        </w:rPr>
        <w:softHyphen/>
        <w:t>բեր</w:t>
      </w:r>
      <w:r w:rsidRPr="00082280">
        <w:rPr>
          <w:rFonts w:cs="Sylfaen"/>
          <w:b w:val="0"/>
          <w:iCs/>
          <w:szCs w:val="22"/>
          <w:lang w:val="af-ZA" w:eastAsia="en-GB"/>
        </w:rPr>
        <w:softHyphen/>
      </w:r>
      <w:r w:rsidRPr="00082280">
        <w:rPr>
          <w:rFonts w:cs="Sylfaen"/>
          <w:b w:val="0"/>
          <w:iCs/>
          <w:szCs w:val="22"/>
          <w:lang w:val="af-ZA" w:eastAsia="en-GB"/>
        </w:rPr>
        <w:softHyphen/>
        <w:t>յալ, ինչ</w:t>
      </w:r>
      <w:r w:rsidRPr="00082280">
        <w:rPr>
          <w:rFonts w:cs="Sylfaen"/>
          <w:b w:val="0"/>
          <w:iCs/>
          <w:szCs w:val="22"/>
          <w:lang w:val="af-ZA" w:eastAsia="en-GB"/>
        </w:rPr>
        <w:softHyphen/>
        <w:t>պես նաև հա</w:t>
      </w:r>
      <w:r w:rsidRPr="00082280">
        <w:rPr>
          <w:rFonts w:cs="Sylfaen"/>
          <w:b w:val="0"/>
          <w:iCs/>
          <w:szCs w:val="22"/>
          <w:lang w:val="af-ZA" w:eastAsia="en-GB"/>
        </w:rPr>
        <w:softHyphen/>
        <w:t>մա</w:t>
      </w:r>
      <w:r w:rsidRPr="00082280">
        <w:rPr>
          <w:rFonts w:cs="Sylfaen"/>
          <w:b w:val="0"/>
          <w:iCs/>
          <w:szCs w:val="22"/>
          <w:lang w:val="af-ZA" w:eastAsia="en-GB"/>
        </w:rPr>
        <w:softHyphen/>
        <w:t>պա</w:t>
      </w:r>
      <w:r w:rsidRPr="00082280">
        <w:rPr>
          <w:rFonts w:cs="Sylfaen"/>
          <w:b w:val="0"/>
          <w:iCs/>
          <w:szCs w:val="22"/>
          <w:lang w:val="af-ZA" w:eastAsia="en-GB"/>
        </w:rPr>
        <w:softHyphen/>
        <w:t>տաս</w:t>
      </w:r>
      <w:r w:rsidRPr="00082280">
        <w:rPr>
          <w:rFonts w:cs="Sylfaen"/>
          <w:b w:val="0"/>
          <w:iCs/>
          <w:szCs w:val="22"/>
          <w:lang w:val="af-ZA" w:eastAsia="en-GB"/>
        </w:rPr>
        <w:softHyphen/>
        <w:t xml:space="preserve">խան </w:t>
      </w:r>
      <w:r w:rsidRPr="00082280">
        <w:rPr>
          <w:rFonts w:cs="Sylfaen"/>
          <w:b w:val="0"/>
          <w:iCs/>
          <w:szCs w:val="22"/>
          <w:lang w:val="af-ZA" w:eastAsia="en-GB"/>
        </w:rPr>
        <w:softHyphen/>
        <w:t>բյու</w:t>
      </w:r>
      <w:r w:rsidRPr="00082280">
        <w:rPr>
          <w:rFonts w:cs="Sylfaen"/>
          <w:b w:val="0"/>
          <w:iCs/>
          <w:szCs w:val="22"/>
          <w:lang w:val="af-ZA" w:eastAsia="en-GB"/>
        </w:rPr>
        <w:softHyphen/>
        <w:t>ջե</w:t>
      </w:r>
      <w:r w:rsidRPr="00082280">
        <w:rPr>
          <w:rFonts w:cs="Sylfaen"/>
          <w:b w:val="0"/>
          <w:iCs/>
          <w:szCs w:val="22"/>
          <w:lang w:val="af-ZA" w:eastAsia="en-GB"/>
        </w:rPr>
        <w:softHyphen/>
      </w:r>
      <w:r w:rsidRPr="00082280">
        <w:rPr>
          <w:rFonts w:cs="Sylfaen"/>
          <w:b w:val="0"/>
          <w:iCs/>
          <w:szCs w:val="22"/>
          <w:lang w:val="af-ZA" w:eastAsia="en-GB"/>
        </w:rPr>
        <w:softHyphen/>
        <w:t>տա</w:t>
      </w:r>
      <w:r w:rsidRPr="00082280">
        <w:rPr>
          <w:rFonts w:cs="Sylfaen"/>
          <w:b w:val="0"/>
          <w:iCs/>
          <w:szCs w:val="22"/>
          <w:lang w:val="af-ZA" w:eastAsia="en-GB"/>
        </w:rPr>
        <w:softHyphen/>
        <w:t>յին փաստացի մուտ</w:t>
      </w:r>
      <w:r w:rsidRPr="00082280">
        <w:rPr>
          <w:rFonts w:cs="Sylfaen"/>
          <w:b w:val="0"/>
          <w:iCs/>
          <w:szCs w:val="22"/>
          <w:lang w:val="af-ZA" w:eastAsia="en-GB"/>
        </w:rPr>
        <w:softHyphen/>
        <w:t>քերի գծով գան</w:t>
      </w:r>
      <w:r w:rsidRPr="00082280">
        <w:rPr>
          <w:rFonts w:cs="Sylfaen"/>
          <w:b w:val="0"/>
          <w:iCs/>
          <w:szCs w:val="22"/>
          <w:lang w:val="af-ZA" w:eastAsia="en-GB"/>
        </w:rPr>
        <w:softHyphen/>
      </w:r>
      <w:r w:rsidRPr="00082280">
        <w:rPr>
          <w:rFonts w:cs="Sylfaen"/>
          <w:b w:val="0"/>
          <w:iCs/>
          <w:szCs w:val="22"/>
          <w:lang w:val="af-ZA" w:eastAsia="en-GB"/>
        </w:rPr>
        <w:softHyphen/>
        <w:t>ձա</w:t>
      </w:r>
      <w:r w:rsidRPr="00082280">
        <w:rPr>
          <w:rFonts w:cs="Sylfaen"/>
          <w:b w:val="0"/>
          <w:iCs/>
          <w:szCs w:val="22"/>
          <w:lang w:val="af-ZA" w:eastAsia="en-GB"/>
        </w:rPr>
        <w:softHyphen/>
        <w:t>պե</w:t>
      </w:r>
      <w:r w:rsidRPr="00082280">
        <w:rPr>
          <w:rFonts w:cs="Sylfaen"/>
          <w:b w:val="0"/>
          <w:iCs/>
          <w:szCs w:val="22"/>
          <w:lang w:val="af-ZA" w:eastAsia="en-GB"/>
        </w:rPr>
        <w:softHyphen/>
        <w:t>տա</w:t>
      </w:r>
      <w:r w:rsidRPr="00082280">
        <w:rPr>
          <w:rFonts w:cs="Sylfaen"/>
          <w:b w:val="0"/>
          <w:iCs/>
          <w:szCs w:val="22"/>
          <w:lang w:val="af-ZA" w:eastAsia="en-GB"/>
        </w:rPr>
        <w:softHyphen/>
        <w:t>կան տվյալները:</w:t>
      </w:r>
    </w:p>
    <w:p w14:paraId="529B3985"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Բանկերում և ֆինանսավարկային հաստատություններում գանձապետական միաս</w:t>
      </w:r>
      <w:r w:rsidRPr="00082280">
        <w:rPr>
          <w:rFonts w:cs="Sylfaen"/>
          <w:b w:val="0"/>
          <w:iCs/>
          <w:szCs w:val="22"/>
          <w:lang w:val="af-ZA" w:eastAsia="en-GB"/>
        </w:rPr>
        <w:softHyphen/>
        <w:t>նա</w:t>
      </w:r>
      <w:r w:rsidRPr="00082280">
        <w:rPr>
          <w:rFonts w:cs="Sylfaen"/>
          <w:b w:val="0"/>
          <w:iCs/>
          <w:szCs w:val="22"/>
          <w:lang w:val="af-ZA" w:eastAsia="en-GB"/>
        </w:rPr>
        <w:softHyphen/>
      </w:r>
      <w:r w:rsidRPr="00082280">
        <w:rPr>
          <w:rFonts w:cs="Sylfaen"/>
          <w:b w:val="0"/>
          <w:iCs/>
          <w:szCs w:val="22"/>
          <w:lang w:val="af-ZA" w:eastAsia="en-GB"/>
        </w:rPr>
        <w:softHyphen/>
        <w:t>կան հաշ</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վի ժա</w:t>
      </w:r>
      <w:r w:rsidRPr="00082280">
        <w:rPr>
          <w:rFonts w:cs="Sylfaen"/>
          <w:b w:val="0"/>
          <w:iCs/>
          <w:szCs w:val="22"/>
          <w:lang w:val="af-ZA" w:eastAsia="en-GB"/>
        </w:rPr>
        <w:softHyphen/>
        <w:t>մա</w:t>
      </w:r>
      <w:r w:rsidRPr="00082280">
        <w:rPr>
          <w:rFonts w:cs="Sylfaen"/>
          <w:b w:val="0"/>
          <w:iCs/>
          <w:szCs w:val="22"/>
          <w:lang w:val="af-ZA" w:eastAsia="en-GB"/>
        </w:rPr>
        <w:softHyphen/>
        <w:t>նա</w:t>
      </w:r>
      <w:r w:rsidRPr="00082280">
        <w:rPr>
          <w:rFonts w:cs="Sylfaen"/>
          <w:b w:val="0"/>
          <w:iCs/>
          <w:szCs w:val="22"/>
          <w:lang w:val="af-ZA" w:eastAsia="en-GB"/>
        </w:rPr>
        <w:softHyphen/>
      </w:r>
      <w:r w:rsidRPr="00082280">
        <w:rPr>
          <w:rFonts w:cs="Sylfaen"/>
          <w:b w:val="0"/>
          <w:iCs/>
          <w:szCs w:val="22"/>
          <w:lang w:val="af-ZA" w:eastAsia="en-GB"/>
        </w:rPr>
        <w:softHyphen/>
        <w:t>կավոր ազատ միջոցների տեղաբաշխումից և դեպոզիտներից ստաց</w:t>
      </w:r>
      <w:r w:rsidRPr="00082280">
        <w:rPr>
          <w:rFonts w:cs="Sylfaen"/>
          <w:b w:val="0"/>
          <w:iCs/>
          <w:szCs w:val="22"/>
          <w:lang w:val="af-ZA" w:eastAsia="en-GB"/>
        </w:rPr>
        <w:softHyphen/>
        <w:t>վող տո</w:t>
      </w:r>
      <w:r w:rsidRPr="00082280">
        <w:rPr>
          <w:rFonts w:cs="Sylfaen"/>
          <w:b w:val="0"/>
          <w:iCs/>
          <w:szCs w:val="22"/>
          <w:lang w:val="af-ZA" w:eastAsia="en-GB"/>
        </w:rPr>
        <w:softHyphen/>
        <w:t>կո</w:t>
      </w:r>
      <w:r w:rsidRPr="00082280">
        <w:rPr>
          <w:rFonts w:cs="Sylfaen"/>
          <w:b w:val="0"/>
          <w:iCs/>
          <w:szCs w:val="22"/>
          <w:lang w:val="af-ZA" w:eastAsia="en-GB"/>
        </w:rPr>
        <w:softHyphen/>
        <w:t>սա</w:t>
      </w:r>
      <w:r w:rsidRPr="00082280">
        <w:rPr>
          <w:rFonts w:cs="Sylfaen"/>
          <w:b w:val="0"/>
          <w:iCs/>
          <w:szCs w:val="22"/>
          <w:lang w:val="af-ZA" w:eastAsia="en-GB"/>
        </w:rPr>
        <w:softHyphen/>
        <w:t>վճար</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րից, իրավաբանական անձանց կապիտալում կատարված ներ</w:t>
      </w:r>
      <w:r w:rsidRPr="00082280">
        <w:rPr>
          <w:rFonts w:cs="Sylfaen"/>
          <w:b w:val="0"/>
          <w:iCs/>
          <w:szCs w:val="22"/>
          <w:lang w:val="af-ZA" w:eastAsia="en-GB"/>
        </w:rPr>
        <w:softHyphen/>
        <w:t>դրում</w:t>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րից ստաց</w:t>
      </w:r>
      <w:r w:rsidRPr="00082280">
        <w:rPr>
          <w:rFonts w:cs="Sylfaen"/>
          <w:b w:val="0"/>
          <w:iCs/>
          <w:szCs w:val="22"/>
          <w:lang w:val="af-ZA" w:eastAsia="en-GB"/>
        </w:rPr>
        <w:softHyphen/>
        <w:t>վող շա</w:t>
      </w:r>
      <w:r w:rsidRPr="00082280">
        <w:rPr>
          <w:rFonts w:cs="Sylfaen"/>
          <w:b w:val="0"/>
          <w:iCs/>
          <w:szCs w:val="22"/>
          <w:lang w:val="af-ZA" w:eastAsia="en-GB"/>
        </w:rPr>
        <w:softHyphen/>
        <w:t>հա</w:t>
      </w:r>
      <w:r w:rsidRPr="00082280">
        <w:rPr>
          <w:rFonts w:cs="Sylfaen"/>
          <w:b w:val="0"/>
          <w:iCs/>
          <w:szCs w:val="22"/>
          <w:lang w:val="af-ZA" w:eastAsia="en-GB"/>
        </w:rPr>
        <w:softHyphen/>
      </w:r>
      <w:r w:rsidRPr="00082280">
        <w:rPr>
          <w:rFonts w:cs="Sylfaen"/>
          <w:b w:val="0"/>
          <w:iCs/>
          <w:szCs w:val="22"/>
          <w:lang w:val="af-ZA" w:eastAsia="en-GB"/>
        </w:rPr>
        <w:softHyphen/>
        <w:t>բա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ժիններից 2024 թվականին ակնկալվում են 22,327.2 մլն դրամի չափով մուտ</w:t>
      </w:r>
      <w:r w:rsidRPr="00082280">
        <w:rPr>
          <w:rFonts w:cs="Sylfaen"/>
          <w:b w:val="0"/>
          <w:iCs/>
          <w:szCs w:val="22"/>
          <w:lang w:val="af-ZA" w:eastAsia="en-GB"/>
        </w:rPr>
        <w:softHyphen/>
        <w:t>քեր: Մաս</w:t>
      </w:r>
      <w:r w:rsidRPr="00082280">
        <w:rPr>
          <w:rFonts w:cs="Sylfaen"/>
          <w:b w:val="0"/>
          <w:iCs/>
          <w:szCs w:val="22"/>
          <w:lang w:val="af-ZA" w:eastAsia="en-GB"/>
        </w:rPr>
        <w:softHyphen/>
        <w:t>նա</w:t>
      </w:r>
      <w:r w:rsidRPr="00082280">
        <w:rPr>
          <w:rFonts w:cs="Sylfaen"/>
          <w:b w:val="0"/>
          <w:iCs/>
          <w:szCs w:val="22"/>
          <w:lang w:val="af-ZA" w:eastAsia="en-GB"/>
        </w:rPr>
        <w:softHyphen/>
        <w:t>վո</w:t>
      </w:r>
      <w:r w:rsidRPr="00082280">
        <w:rPr>
          <w:rFonts w:cs="Sylfaen"/>
          <w:b w:val="0"/>
          <w:iCs/>
          <w:szCs w:val="22"/>
          <w:lang w:val="af-ZA" w:eastAsia="en-GB"/>
        </w:rPr>
        <w:softHyphen/>
        <w:t>րա</w:t>
      </w:r>
      <w:r w:rsidRPr="00082280">
        <w:rPr>
          <w:rFonts w:cs="Sylfaen"/>
          <w:b w:val="0"/>
          <w:iCs/>
          <w:szCs w:val="22"/>
          <w:lang w:val="af-ZA" w:eastAsia="en-GB"/>
        </w:rPr>
        <w:softHyphen/>
        <w:t>պես.</w:t>
      </w:r>
    </w:p>
    <w:p w14:paraId="27FA760B"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Բանկերում և ֆինանսավարկային հաստատություններում պետական բյուջեի ժա</w:t>
      </w:r>
      <w:r w:rsidRPr="00082280">
        <w:rPr>
          <w:rFonts w:cs="Sylfaen"/>
          <w:b w:val="0"/>
          <w:iCs/>
          <w:szCs w:val="22"/>
          <w:lang w:val="af-ZA" w:eastAsia="en-GB"/>
        </w:rPr>
        <w:softHyphen/>
        <w:t>մա</w:t>
      </w:r>
      <w:r w:rsidRPr="00082280">
        <w:rPr>
          <w:rFonts w:cs="Sylfaen"/>
          <w:b w:val="0"/>
          <w:iCs/>
          <w:szCs w:val="22"/>
          <w:lang w:val="af-ZA" w:eastAsia="en-GB"/>
        </w:rPr>
        <w:softHyphen/>
        <w:t>նա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w:t>
      </w:r>
      <w:r w:rsidRPr="00082280">
        <w:rPr>
          <w:rFonts w:cs="Sylfaen"/>
          <w:b w:val="0"/>
          <w:iCs/>
          <w:szCs w:val="22"/>
          <w:lang w:val="af-ZA" w:eastAsia="en-GB"/>
        </w:rPr>
        <w:softHyphen/>
        <w:t>վոր ազատ միջոցների տեղաբաշխումից և դեպոզիտներից ստաց</w:t>
      </w:r>
      <w:r w:rsidRPr="00082280">
        <w:rPr>
          <w:rFonts w:cs="Sylfaen"/>
          <w:b w:val="0"/>
          <w:iCs/>
          <w:szCs w:val="22"/>
          <w:lang w:val="af-ZA" w:eastAsia="en-GB"/>
        </w:rPr>
        <w:softHyphen/>
        <w:t>վող տո</w:t>
      </w:r>
      <w:r w:rsidRPr="00082280">
        <w:rPr>
          <w:rFonts w:cs="Sylfaen"/>
          <w:b w:val="0"/>
          <w:iCs/>
          <w:szCs w:val="22"/>
          <w:lang w:val="af-ZA" w:eastAsia="en-GB"/>
        </w:rPr>
        <w:softHyphen/>
        <w:t>կո</w:t>
      </w:r>
      <w:r w:rsidRPr="00082280">
        <w:rPr>
          <w:rFonts w:cs="Sylfaen"/>
          <w:b w:val="0"/>
          <w:iCs/>
          <w:szCs w:val="22"/>
          <w:lang w:val="af-ZA" w:eastAsia="en-GB"/>
        </w:rPr>
        <w:softHyphen/>
        <w:t>սա</w:t>
      </w:r>
      <w:r w:rsidRPr="00082280">
        <w:rPr>
          <w:rFonts w:cs="Sylfaen"/>
          <w:b w:val="0"/>
          <w:iCs/>
          <w:szCs w:val="22"/>
          <w:lang w:val="af-ZA" w:eastAsia="en-GB"/>
        </w:rPr>
        <w:softHyphen/>
        <w:t>վճար</w:t>
      </w:r>
      <w:r w:rsidRPr="00082280">
        <w:rPr>
          <w:rFonts w:cs="Sylfaen"/>
          <w:b w:val="0"/>
          <w:iCs/>
          <w:szCs w:val="22"/>
          <w:lang w:val="af-ZA" w:eastAsia="en-GB"/>
        </w:rPr>
        <w:softHyphen/>
        <w:t>նե</w:t>
      </w:r>
      <w:r w:rsidRPr="00082280">
        <w:rPr>
          <w:rFonts w:cs="Sylfaen"/>
          <w:b w:val="0"/>
          <w:iCs/>
          <w:szCs w:val="22"/>
          <w:lang w:val="af-ZA" w:eastAsia="en-GB"/>
        </w:rPr>
        <w:softHyphen/>
      </w:r>
      <w:r w:rsidRPr="00082280">
        <w:rPr>
          <w:rFonts w:cs="Sylfaen"/>
          <w:b w:val="0"/>
          <w:iCs/>
          <w:szCs w:val="22"/>
          <w:lang w:val="af-ZA" w:eastAsia="en-GB"/>
        </w:rPr>
        <w:softHyphen/>
        <w:t>րի գծով մուտ</w:t>
      </w:r>
      <w:r w:rsidRPr="00082280">
        <w:rPr>
          <w:rFonts w:cs="Sylfaen"/>
          <w:b w:val="0"/>
          <w:iCs/>
          <w:szCs w:val="22"/>
          <w:lang w:val="af-ZA" w:eastAsia="en-GB"/>
        </w:rPr>
        <w:softHyphen/>
      </w:r>
      <w:r w:rsidRPr="00082280">
        <w:rPr>
          <w:rFonts w:cs="Sylfaen"/>
          <w:b w:val="0"/>
          <w:iCs/>
          <w:szCs w:val="22"/>
          <w:lang w:val="af-ZA" w:eastAsia="en-GB"/>
        </w:rPr>
        <w:softHyphen/>
        <w:t>քերը ծրագրվել են 19,900.0 մլն դրամ` 2023 թվա</w:t>
      </w:r>
      <w:r w:rsidRPr="00082280">
        <w:rPr>
          <w:rFonts w:cs="Sylfaen"/>
          <w:b w:val="0"/>
          <w:iCs/>
          <w:szCs w:val="22"/>
          <w:lang w:val="af-ZA" w:eastAsia="en-GB"/>
        </w:rPr>
        <w:softHyphen/>
        <w:t>կանի համար ծրագրված 18,300.0 մլն դրա</w:t>
      </w:r>
      <w:r w:rsidRPr="00082280">
        <w:rPr>
          <w:rFonts w:cs="Sylfaen"/>
          <w:b w:val="0"/>
          <w:iCs/>
          <w:szCs w:val="22"/>
          <w:lang w:val="af-ZA" w:eastAsia="en-GB"/>
        </w:rPr>
        <w:softHyphen/>
        <w:t>մի և 2022 թվականի փաս</w:t>
      </w:r>
      <w:r w:rsidRPr="00082280">
        <w:rPr>
          <w:rFonts w:cs="Sylfaen"/>
          <w:b w:val="0"/>
          <w:iCs/>
          <w:szCs w:val="22"/>
          <w:lang w:val="af-ZA" w:eastAsia="en-GB"/>
        </w:rPr>
        <w:softHyphen/>
        <w:t>տացի ստաց</w:t>
      </w:r>
      <w:r w:rsidRPr="00082280">
        <w:rPr>
          <w:rFonts w:cs="Sylfaen"/>
          <w:b w:val="0"/>
          <w:iCs/>
          <w:szCs w:val="22"/>
          <w:lang w:val="af-ZA" w:eastAsia="en-GB"/>
        </w:rPr>
        <w:softHyphen/>
        <w:t>ված 38,257.8 մլն դրա</w:t>
      </w:r>
      <w:r w:rsidRPr="00082280">
        <w:rPr>
          <w:rFonts w:cs="Sylfaen"/>
          <w:b w:val="0"/>
          <w:iCs/>
          <w:szCs w:val="22"/>
          <w:lang w:val="af-ZA" w:eastAsia="en-GB"/>
        </w:rPr>
        <w:softHyphen/>
      </w:r>
      <w:r w:rsidRPr="00082280">
        <w:rPr>
          <w:rFonts w:cs="Sylfaen"/>
          <w:b w:val="0"/>
          <w:iCs/>
          <w:szCs w:val="22"/>
          <w:lang w:val="af-ZA" w:eastAsia="en-GB"/>
        </w:rPr>
        <w:softHyphen/>
        <w:t>մի դի</w:t>
      </w:r>
      <w:r w:rsidRPr="00082280">
        <w:rPr>
          <w:rFonts w:cs="Sylfaen"/>
          <w:b w:val="0"/>
          <w:iCs/>
          <w:szCs w:val="22"/>
          <w:lang w:val="af-ZA" w:eastAsia="en-GB"/>
        </w:rPr>
        <w:softHyphen/>
        <w:t>մաց: 2024 թվա</w:t>
      </w:r>
      <w:r w:rsidRPr="00082280">
        <w:rPr>
          <w:rFonts w:cs="Sylfaen"/>
          <w:b w:val="0"/>
          <w:iCs/>
          <w:szCs w:val="22"/>
          <w:lang w:val="af-ZA" w:eastAsia="en-GB"/>
        </w:rPr>
        <w:softHyphen/>
        <w:t>կանի մուտքերն ա</w:t>
      </w:r>
      <w:r w:rsidRPr="00082280">
        <w:rPr>
          <w:rFonts w:cs="Sylfaen"/>
          <w:b w:val="0"/>
          <w:iCs/>
          <w:szCs w:val="22"/>
          <w:lang w:val="af-ZA" w:eastAsia="en-GB"/>
        </w:rPr>
        <w:softHyphen/>
        <w:t>պա</w:t>
      </w:r>
      <w:r w:rsidRPr="00082280">
        <w:rPr>
          <w:rFonts w:cs="Sylfaen"/>
          <w:b w:val="0"/>
          <w:iCs/>
          <w:szCs w:val="22"/>
          <w:lang w:val="af-ZA" w:eastAsia="en-GB"/>
        </w:rPr>
        <w:softHyphen/>
        <w:t>հովվելու են հիմնականում ի հա</w:t>
      </w:r>
      <w:r w:rsidRPr="00082280">
        <w:rPr>
          <w:rFonts w:cs="Sylfaen"/>
          <w:b w:val="0"/>
          <w:iCs/>
          <w:szCs w:val="22"/>
          <w:lang w:val="af-ZA" w:eastAsia="en-GB"/>
        </w:rPr>
        <w:softHyphen/>
      </w:r>
      <w:r w:rsidRPr="00082280">
        <w:rPr>
          <w:rFonts w:cs="Sylfaen"/>
          <w:b w:val="0"/>
          <w:iCs/>
          <w:szCs w:val="22"/>
          <w:lang w:val="af-ZA" w:eastAsia="en-GB"/>
        </w:rPr>
        <w:softHyphen/>
        <w:t>շիվ ժա</w:t>
      </w:r>
      <w:r w:rsidRPr="00082280">
        <w:rPr>
          <w:rFonts w:cs="Sylfaen"/>
          <w:b w:val="0"/>
          <w:iCs/>
          <w:szCs w:val="22"/>
          <w:lang w:val="af-ZA" w:eastAsia="en-GB"/>
        </w:rPr>
        <w:softHyphen/>
        <w:t>մա</w:t>
      </w:r>
      <w:r w:rsidRPr="00082280">
        <w:rPr>
          <w:rFonts w:cs="Sylfaen"/>
          <w:b w:val="0"/>
          <w:iCs/>
          <w:szCs w:val="22"/>
          <w:lang w:val="af-ZA" w:eastAsia="en-GB"/>
        </w:rPr>
        <w:softHyphen/>
        <w:t>նա</w:t>
      </w:r>
      <w:r w:rsidRPr="00082280">
        <w:rPr>
          <w:rFonts w:cs="Sylfaen"/>
          <w:b w:val="0"/>
          <w:iCs/>
          <w:szCs w:val="22"/>
          <w:lang w:val="af-ZA" w:eastAsia="en-GB"/>
        </w:rPr>
        <w:softHyphen/>
        <w:t>կա</w:t>
      </w:r>
      <w:r w:rsidRPr="00082280">
        <w:rPr>
          <w:rFonts w:cs="Sylfaen"/>
          <w:b w:val="0"/>
          <w:iCs/>
          <w:szCs w:val="22"/>
          <w:lang w:val="af-ZA" w:eastAsia="en-GB"/>
        </w:rPr>
        <w:softHyphen/>
        <w:t>վորապես ազատ բյուջետային մի</w:t>
      </w:r>
      <w:r w:rsidRPr="00082280">
        <w:rPr>
          <w:rFonts w:cs="Sylfaen"/>
          <w:b w:val="0"/>
          <w:iCs/>
          <w:szCs w:val="22"/>
          <w:lang w:val="af-ZA" w:eastAsia="en-GB"/>
        </w:rPr>
        <w:softHyphen/>
        <w:t xml:space="preserve">ջոցները ՀՀ </w:t>
      </w:r>
      <w:r w:rsidRPr="00082280">
        <w:rPr>
          <w:rFonts w:cs="Sylfaen"/>
          <w:b w:val="0"/>
          <w:iCs/>
          <w:szCs w:val="22"/>
          <w:lang w:val="hy-AM" w:eastAsia="en-GB"/>
        </w:rPr>
        <w:t>ԿԲ-</w:t>
      </w:r>
      <w:r w:rsidRPr="00082280">
        <w:rPr>
          <w:rFonts w:cs="Sylfaen"/>
          <w:b w:val="0"/>
          <w:iCs/>
          <w:szCs w:val="22"/>
          <w:lang w:val="af-ZA" w:eastAsia="en-GB"/>
        </w:rPr>
        <w:t>ում ավան</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դա</w:t>
      </w:r>
      <w:r w:rsidRPr="00082280">
        <w:rPr>
          <w:rFonts w:cs="Sylfaen"/>
          <w:b w:val="0"/>
          <w:iCs/>
          <w:szCs w:val="22"/>
          <w:lang w:val="af-ZA" w:eastAsia="en-GB"/>
        </w:rPr>
        <w:softHyphen/>
        <w:t>դնե</w:t>
      </w:r>
      <w:r w:rsidRPr="00082280">
        <w:rPr>
          <w:rFonts w:cs="Sylfaen"/>
          <w:b w:val="0"/>
          <w:iCs/>
          <w:szCs w:val="22"/>
          <w:lang w:val="af-ZA" w:eastAsia="en-GB"/>
        </w:rPr>
        <w:softHyphen/>
        <w:t xml:space="preserve">լու դիմաց ՀՀ </w:t>
      </w:r>
      <w:r w:rsidRPr="00082280">
        <w:rPr>
          <w:rFonts w:cs="Sylfaen"/>
          <w:b w:val="0"/>
          <w:iCs/>
          <w:szCs w:val="22"/>
          <w:lang w:val="hy-AM" w:eastAsia="en-GB"/>
        </w:rPr>
        <w:t>ԿԲ-</w:t>
      </w:r>
      <w:r w:rsidRPr="00082280">
        <w:rPr>
          <w:rFonts w:cs="Sylfaen"/>
          <w:b w:val="0"/>
          <w:iCs/>
          <w:szCs w:val="22"/>
          <w:lang w:val="af-ZA" w:eastAsia="en-GB"/>
        </w:rPr>
        <w:t xml:space="preserve">ի և ՀՀ </w:t>
      </w:r>
      <w:r w:rsidRPr="00082280">
        <w:rPr>
          <w:rFonts w:cs="Sylfaen"/>
          <w:b w:val="0"/>
          <w:iCs/>
          <w:szCs w:val="22"/>
          <w:lang w:val="hy-AM" w:eastAsia="en-GB"/>
        </w:rPr>
        <w:t>ՖՆ</w:t>
      </w:r>
      <w:r w:rsidRPr="00082280">
        <w:rPr>
          <w:rFonts w:cs="Sylfaen"/>
          <w:b w:val="0"/>
          <w:iCs/>
          <w:szCs w:val="22"/>
          <w:lang w:val="af-ZA" w:eastAsia="en-GB"/>
        </w:rPr>
        <w:t xml:space="preserve"> միջև կնք</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ված «Հաշվի սպա</w:t>
      </w:r>
      <w:r w:rsidRPr="00082280">
        <w:rPr>
          <w:rFonts w:cs="Sylfaen"/>
          <w:b w:val="0"/>
          <w:iCs/>
          <w:szCs w:val="22"/>
          <w:lang w:val="af-ZA" w:eastAsia="en-GB"/>
        </w:rPr>
        <w:softHyphen/>
        <w:t>սարկման մա</w:t>
      </w:r>
      <w:r w:rsidRPr="00082280">
        <w:rPr>
          <w:rFonts w:cs="Sylfaen"/>
          <w:b w:val="0"/>
          <w:iCs/>
          <w:szCs w:val="22"/>
          <w:lang w:val="af-ZA" w:eastAsia="en-GB"/>
        </w:rPr>
        <w:softHyphen/>
      </w:r>
      <w:r w:rsidRPr="00082280">
        <w:rPr>
          <w:rFonts w:cs="Sylfaen"/>
          <w:b w:val="0"/>
          <w:iCs/>
          <w:szCs w:val="22"/>
          <w:lang w:val="af-ZA" w:eastAsia="en-GB"/>
        </w:rPr>
        <w:softHyphen/>
        <w:t>սին» պայ</w:t>
      </w:r>
      <w:r w:rsidRPr="00082280">
        <w:rPr>
          <w:rFonts w:cs="Sylfaen"/>
          <w:b w:val="0"/>
          <w:iCs/>
          <w:szCs w:val="22"/>
          <w:lang w:val="af-ZA" w:eastAsia="en-GB"/>
        </w:rPr>
        <w:softHyphen/>
        <w:t>մանագրի հիման վրա վճար</w:t>
      </w:r>
      <w:r w:rsidRPr="00082280">
        <w:rPr>
          <w:rFonts w:cs="Sylfaen"/>
          <w:b w:val="0"/>
          <w:iCs/>
          <w:szCs w:val="22"/>
          <w:lang w:val="af-ZA" w:eastAsia="en-GB"/>
        </w:rPr>
        <w:softHyphen/>
        <w:t>վե</w:t>
      </w:r>
      <w:r w:rsidRPr="00082280">
        <w:rPr>
          <w:rFonts w:cs="Sylfaen"/>
          <w:b w:val="0"/>
          <w:iCs/>
          <w:szCs w:val="22"/>
          <w:lang w:val="af-ZA" w:eastAsia="en-GB"/>
        </w:rPr>
        <w:softHyphen/>
        <w:t>լիք տո</w:t>
      </w:r>
      <w:r w:rsidRPr="00082280">
        <w:rPr>
          <w:rFonts w:cs="Sylfaen"/>
          <w:b w:val="0"/>
          <w:iCs/>
          <w:szCs w:val="22"/>
          <w:lang w:val="af-ZA" w:eastAsia="en-GB"/>
        </w:rPr>
        <w:softHyphen/>
        <w:t>կո</w:t>
      </w:r>
      <w:r w:rsidRPr="00082280">
        <w:rPr>
          <w:rFonts w:cs="Sylfaen"/>
          <w:b w:val="0"/>
          <w:iCs/>
          <w:szCs w:val="22"/>
          <w:lang w:val="af-ZA" w:eastAsia="en-GB"/>
        </w:rPr>
        <w:softHyphen/>
        <w:t>սա</w:t>
      </w:r>
      <w:r w:rsidRPr="00082280">
        <w:rPr>
          <w:rFonts w:cs="Sylfaen"/>
          <w:b w:val="0"/>
          <w:iCs/>
          <w:szCs w:val="22"/>
          <w:lang w:val="af-ZA" w:eastAsia="en-GB"/>
        </w:rPr>
        <w:softHyphen/>
        <w:t>վճար</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ների:</w:t>
      </w:r>
    </w:p>
    <w:p w14:paraId="4E8F3C7E"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Իրավաբանական անձանց կապիտալում կատարված ներդրումներից ստացվող շա</w:t>
      </w:r>
      <w:r w:rsidRPr="00082280">
        <w:rPr>
          <w:rFonts w:cs="Sylfaen"/>
          <w:b w:val="0"/>
          <w:iCs/>
          <w:szCs w:val="22"/>
          <w:lang w:val="af-ZA" w:eastAsia="en-GB"/>
        </w:rPr>
        <w:softHyphen/>
        <w:t>հա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բա</w:t>
      </w:r>
      <w:r w:rsidRPr="00082280">
        <w:rPr>
          <w:rFonts w:cs="Sylfaen"/>
          <w:b w:val="0"/>
          <w:iCs/>
          <w:szCs w:val="22"/>
          <w:lang w:val="af-ZA" w:eastAsia="en-GB"/>
        </w:rPr>
        <w:softHyphen/>
        <w:t>ժին</w:t>
      </w:r>
      <w:r w:rsidRPr="00082280">
        <w:rPr>
          <w:rFonts w:cs="Sylfaen"/>
          <w:b w:val="0"/>
          <w:iCs/>
          <w:szCs w:val="22"/>
          <w:lang w:val="af-ZA" w:eastAsia="en-GB"/>
        </w:rPr>
        <w:softHyphen/>
      </w:r>
      <w:r w:rsidRPr="00082280">
        <w:rPr>
          <w:rFonts w:cs="Sylfaen"/>
          <w:b w:val="0"/>
          <w:iCs/>
          <w:szCs w:val="22"/>
          <w:lang w:val="af-ZA" w:eastAsia="en-GB"/>
        </w:rPr>
        <w:softHyphen/>
        <w:t>ներից 2024 թվականին ակնկալվում են 2,427.2 մլն դրամի չափով մուտքեր` 2023 թվա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w:t>
      </w:r>
      <w:r w:rsidRPr="00082280">
        <w:rPr>
          <w:rFonts w:cs="Sylfaen"/>
          <w:b w:val="0"/>
          <w:iCs/>
          <w:szCs w:val="22"/>
          <w:lang w:val="af-ZA" w:eastAsia="en-GB"/>
        </w:rPr>
        <w:softHyphen/>
      </w:r>
      <w:r w:rsidRPr="00082280">
        <w:rPr>
          <w:rFonts w:cs="Sylfaen"/>
          <w:b w:val="0"/>
          <w:iCs/>
          <w:szCs w:val="22"/>
          <w:lang w:val="af-ZA" w:eastAsia="en-GB"/>
        </w:rPr>
        <w:softHyphen/>
        <w:t>նի համար ծրագրված 9,041.3 մլն դրամի և 2022 թվա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կանին փաս</w:t>
      </w:r>
      <w:r w:rsidRPr="00082280">
        <w:rPr>
          <w:rFonts w:cs="Sylfaen"/>
          <w:b w:val="0"/>
          <w:iCs/>
          <w:szCs w:val="22"/>
          <w:lang w:val="af-ZA" w:eastAsia="en-GB"/>
        </w:rPr>
        <w:softHyphen/>
      </w:r>
      <w:r w:rsidRPr="00082280">
        <w:rPr>
          <w:rFonts w:cs="Sylfaen"/>
          <w:b w:val="0"/>
          <w:iCs/>
          <w:szCs w:val="22"/>
          <w:lang w:val="af-ZA" w:eastAsia="en-GB"/>
        </w:rPr>
        <w:softHyphen/>
        <w:t>տացի ստացված 1,303.9 մլն դրամի դի</w:t>
      </w:r>
      <w:r w:rsidRPr="00082280">
        <w:rPr>
          <w:rFonts w:cs="Sylfaen"/>
          <w:b w:val="0"/>
          <w:iCs/>
          <w:szCs w:val="22"/>
          <w:lang w:val="af-ZA" w:eastAsia="en-GB"/>
        </w:rPr>
        <w:softHyphen/>
        <w:t>մաց: Շահաբաժինների գծով 2024 թվա</w:t>
      </w:r>
      <w:r w:rsidRPr="00082280">
        <w:rPr>
          <w:rFonts w:cs="Sylfaen"/>
          <w:b w:val="0"/>
          <w:iCs/>
          <w:szCs w:val="22"/>
          <w:lang w:val="af-ZA" w:eastAsia="en-GB"/>
        </w:rPr>
        <w:softHyphen/>
        <w:t>կանի կանխատեսվող մուտքերը ծրագ</w:t>
      </w:r>
      <w:r w:rsidRPr="00082280">
        <w:rPr>
          <w:rFonts w:cs="Sylfaen"/>
          <w:b w:val="0"/>
          <w:iCs/>
          <w:szCs w:val="22"/>
          <w:lang w:val="af-ZA" w:eastAsia="en-GB"/>
        </w:rPr>
        <w:softHyphen/>
        <w:t>րե</w:t>
      </w:r>
      <w:r w:rsidRPr="00082280">
        <w:rPr>
          <w:rFonts w:cs="Sylfaen"/>
          <w:b w:val="0"/>
          <w:iCs/>
          <w:szCs w:val="22"/>
          <w:lang w:val="af-ZA" w:eastAsia="en-GB"/>
        </w:rPr>
        <w:softHyphen/>
        <w:t>լիս հաշվի է առնվել ՀՀ կառավարության 2011 թվա</w:t>
      </w:r>
      <w:r w:rsidRPr="00082280">
        <w:rPr>
          <w:rFonts w:cs="Sylfaen"/>
          <w:b w:val="0"/>
          <w:iCs/>
          <w:szCs w:val="22"/>
          <w:lang w:val="af-ZA" w:eastAsia="en-GB"/>
        </w:rPr>
        <w:softHyphen/>
        <w:t>կանի մարտի 3-ի «Պետության սե</w:t>
      </w:r>
      <w:r w:rsidRPr="00082280">
        <w:rPr>
          <w:rFonts w:cs="Sylfaen"/>
          <w:b w:val="0"/>
          <w:iCs/>
          <w:szCs w:val="22"/>
          <w:lang w:val="af-ZA" w:eastAsia="en-GB"/>
        </w:rPr>
        <w:softHyphen/>
        <w:t>փա</w:t>
      </w:r>
      <w:r w:rsidRPr="00082280">
        <w:rPr>
          <w:rFonts w:cs="Sylfaen"/>
          <w:b w:val="0"/>
          <w:iCs/>
          <w:szCs w:val="22"/>
          <w:lang w:val="af-ZA" w:eastAsia="en-GB"/>
        </w:rPr>
        <w:softHyphen/>
        <w:t>կա</w:t>
      </w:r>
      <w:r w:rsidRPr="00082280">
        <w:rPr>
          <w:rFonts w:cs="Sylfaen"/>
          <w:b w:val="0"/>
          <w:iCs/>
          <w:szCs w:val="22"/>
          <w:lang w:val="af-ZA" w:eastAsia="en-GB"/>
        </w:rPr>
        <w:softHyphen/>
        <w:t>նու</w:t>
      </w:r>
      <w:r w:rsidRPr="00082280">
        <w:rPr>
          <w:rFonts w:cs="Sylfaen"/>
          <w:b w:val="0"/>
          <w:iCs/>
          <w:szCs w:val="22"/>
          <w:lang w:val="af-ZA" w:eastAsia="en-GB"/>
        </w:rPr>
        <w:softHyphen/>
        <w:t>թյուն հան</w:t>
      </w:r>
      <w:r w:rsidRPr="00082280">
        <w:rPr>
          <w:rFonts w:cs="Sylfaen"/>
          <w:b w:val="0"/>
          <w:iCs/>
          <w:szCs w:val="22"/>
          <w:lang w:val="af-ZA" w:eastAsia="en-GB"/>
        </w:rPr>
        <w:softHyphen/>
      </w:r>
      <w:r w:rsidRPr="00082280">
        <w:rPr>
          <w:rFonts w:cs="Sylfaen"/>
          <w:b w:val="0"/>
          <w:iCs/>
          <w:szCs w:val="22"/>
          <w:lang w:val="af-ZA" w:eastAsia="en-GB"/>
        </w:rPr>
        <w:softHyphen/>
        <w:t>դի</w:t>
      </w:r>
      <w:r w:rsidRPr="00082280">
        <w:rPr>
          <w:rFonts w:cs="Sylfaen"/>
          <w:b w:val="0"/>
          <w:iCs/>
          <w:szCs w:val="22"/>
          <w:lang w:val="af-ZA" w:eastAsia="en-GB"/>
        </w:rPr>
        <w:softHyphen/>
        <w:t>սա</w:t>
      </w:r>
      <w:r w:rsidRPr="00082280">
        <w:rPr>
          <w:rFonts w:cs="Sylfaen"/>
          <w:b w:val="0"/>
          <w:iCs/>
          <w:szCs w:val="22"/>
          <w:lang w:val="af-ZA" w:eastAsia="en-GB"/>
        </w:rPr>
        <w:softHyphen/>
        <w:t>ցող բաժնեմաս ունեցող առևտրային կազմակերպությունների շահույթի բաշխման, շա</w:t>
      </w:r>
      <w:r w:rsidRPr="00082280">
        <w:rPr>
          <w:rFonts w:cs="Sylfaen"/>
          <w:b w:val="0"/>
          <w:iCs/>
          <w:szCs w:val="22"/>
          <w:lang w:val="af-ZA" w:eastAsia="en-GB"/>
        </w:rPr>
        <w:softHyphen/>
      </w:r>
      <w:r w:rsidRPr="00082280">
        <w:rPr>
          <w:rFonts w:cs="Sylfaen"/>
          <w:b w:val="0"/>
          <w:iCs/>
          <w:szCs w:val="22"/>
          <w:lang w:val="af-ZA" w:eastAsia="en-GB"/>
        </w:rPr>
        <w:softHyphen/>
        <w:t>հու</w:t>
      </w:r>
      <w:r w:rsidRPr="00082280">
        <w:rPr>
          <w:rFonts w:cs="Sylfaen"/>
          <w:b w:val="0"/>
          <w:iCs/>
          <w:szCs w:val="22"/>
          <w:lang w:val="af-ZA" w:eastAsia="en-GB"/>
        </w:rPr>
        <w:softHyphen/>
        <w:t>թա</w:t>
      </w:r>
      <w:r w:rsidRPr="00082280">
        <w:rPr>
          <w:rFonts w:cs="Sylfaen"/>
          <w:b w:val="0"/>
          <w:iCs/>
          <w:szCs w:val="22"/>
          <w:lang w:val="af-ZA" w:eastAsia="en-GB"/>
        </w:rPr>
        <w:softHyphen/>
        <w:t>բա</w:t>
      </w:r>
      <w:r w:rsidRPr="00082280">
        <w:rPr>
          <w:rFonts w:cs="Sylfaen"/>
          <w:b w:val="0"/>
          <w:iCs/>
          <w:szCs w:val="22"/>
          <w:lang w:val="af-ZA" w:eastAsia="en-GB"/>
        </w:rPr>
        <w:softHyphen/>
        <w:t>ժին</w:t>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րի հաշ</w:t>
      </w:r>
      <w:r w:rsidRPr="00082280">
        <w:rPr>
          <w:rFonts w:cs="Sylfaen"/>
          <w:b w:val="0"/>
          <w:iCs/>
          <w:szCs w:val="22"/>
          <w:lang w:val="af-ZA" w:eastAsia="en-GB"/>
        </w:rPr>
        <w:softHyphen/>
        <w:t>վարկ</w:t>
      </w:r>
      <w:r w:rsidRPr="00082280">
        <w:rPr>
          <w:rFonts w:cs="Sylfaen"/>
          <w:b w:val="0"/>
          <w:iCs/>
          <w:szCs w:val="22"/>
          <w:lang w:val="af-ZA" w:eastAsia="en-GB"/>
        </w:rPr>
        <w:softHyphen/>
        <w:t>ման և Հայաստանի Հան</w:t>
      </w:r>
      <w:r w:rsidRPr="00082280">
        <w:rPr>
          <w:rFonts w:cs="Sylfaen"/>
          <w:b w:val="0"/>
          <w:iCs/>
          <w:szCs w:val="22"/>
          <w:lang w:val="af-ZA" w:eastAsia="en-GB"/>
        </w:rPr>
        <w:softHyphen/>
      </w:r>
      <w:r w:rsidRPr="00082280">
        <w:rPr>
          <w:rFonts w:cs="Sylfaen"/>
          <w:b w:val="0"/>
          <w:iCs/>
          <w:szCs w:val="22"/>
          <w:lang w:val="af-ZA" w:eastAsia="en-GB"/>
        </w:rPr>
        <w:softHyphen/>
        <w:t>րա</w:t>
      </w:r>
      <w:r w:rsidRPr="00082280">
        <w:rPr>
          <w:rFonts w:cs="Sylfaen"/>
          <w:b w:val="0"/>
          <w:iCs/>
          <w:szCs w:val="22"/>
          <w:lang w:val="af-ZA" w:eastAsia="en-GB"/>
        </w:rPr>
        <w:softHyphen/>
      </w:r>
      <w:r w:rsidRPr="00082280">
        <w:rPr>
          <w:rFonts w:cs="Sylfaen"/>
          <w:b w:val="0"/>
          <w:iCs/>
          <w:szCs w:val="22"/>
          <w:lang w:val="af-ZA" w:eastAsia="en-GB"/>
        </w:rPr>
        <w:softHyphen/>
        <w:t>պե</w:t>
      </w:r>
      <w:r w:rsidRPr="00082280">
        <w:rPr>
          <w:rFonts w:cs="Sylfaen"/>
          <w:b w:val="0"/>
          <w:iCs/>
          <w:szCs w:val="22"/>
          <w:lang w:val="af-ZA" w:eastAsia="en-GB"/>
        </w:rPr>
        <w:softHyphen/>
        <w:t>տու</w:t>
      </w:r>
      <w:r w:rsidRPr="00082280">
        <w:rPr>
          <w:rFonts w:cs="Sylfaen"/>
          <w:b w:val="0"/>
          <w:iCs/>
          <w:szCs w:val="22"/>
          <w:lang w:val="af-ZA" w:eastAsia="en-GB"/>
        </w:rPr>
        <w:softHyphen/>
        <w:t>թյան պետական բյուջե վճար</w:t>
      </w:r>
      <w:r w:rsidRPr="00082280">
        <w:rPr>
          <w:rFonts w:cs="Sylfaen"/>
          <w:b w:val="0"/>
          <w:iCs/>
          <w:szCs w:val="22"/>
          <w:lang w:val="af-ZA" w:eastAsia="en-GB"/>
        </w:rPr>
        <w:softHyphen/>
        <w:t>ման կար</w:t>
      </w:r>
      <w:r w:rsidRPr="00082280">
        <w:rPr>
          <w:rFonts w:cs="Sylfaen"/>
          <w:b w:val="0"/>
          <w:iCs/>
          <w:szCs w:val="22"/>
          <w:lang w:val="af-ZA" w:eastAsia="en-GB"/>
        </w:rPr>
        <w:softHyphen/>
        <w:t>գը հաս</w:t>
      </w:r>
      <w:r w:rsidRPr="00082280">
        <w:rPr>
          <w:rFonts w:cs="Sylfaen"/>
          <w:b w:val="0"/>
          <w:iCs/>
          <w:szCs w:val="22"/>
          <w:lang w:val="af-ZA" w:eastAsia="en-GB"/>
        </w:rPr>
        <w:softHyphen/>
      </w:r>
      <w:r w:rsidRPr="00082280">
        <w:rPr>
          <w:rFonts w:cs="Sylfaen"/>
          <w:b w:val="0"/>
          <w:iCs/>
          <w:szCs w:val="22"/>
          <w:lang w:val="af-ZA" w:eastAsia="en-GB"/>
        </w:rPr>
        <w:softHyphen/>
        <w:t>տա</w:t>
      </w:r>
      <w:r w:rsidRPr="00082280">
        <w:rPr>
          <w:rFonts w:cs="Sylfaen"/>
          <w:b w:val="0"/>
          <w:iCs/>
          <w:szCs w:val="22"/>
          <w:lang w:val="af-ZA" w:eastAsia="en-GB"/>
        </w:rPr>
        <w:softHyphen/>
        <w:t>տելու և Հա</w:t>
      </w:r>
      <w:r w:rsidRPr="00082280">
        <w:rPr>
          <w:rFonts w:cs="Sylfaen"/>
          <w:b w:val="0"/>
          <w:iCs/>
          <w:szCs w:val="22"/>
          <w:lang w:val="af-ZA" w:eastAsia="en-GB"/>
        </w:rPr>
        <w:softHyphen/>
        <w:t>յաստանի Հան</w:t>
      </w:r>
      <w:r w:rsidRPr="00082280">
        <w:rPr>
          <w:rFonts w:cs="Sylfaen"/>
          <w:b w:val="0"/>
          <w:iCs/>
          <w:szCs w:val="22"/>
          <w:lang w:val="af-ZA" w:eastAsia="en-GB"/>
        </w:rPr>
        <w:softHyphen/>
      </w:r>
      <w:r w:rsidRPr="00082280">
        <w:rPr>
          <w:rFonts w:cs="Sylfaen"/>
          <w:b w:val="0"/>
          <w:iCs/>
          <w:szCs w:val="22"/>
          <w:lang w:val="af-ZA" w:eastAsia="en-GB"/>
        </w:rPr>
        <w:softHyphen/>
        <w:t>րա</w:t>
      </w:r>
      <w:r w:rsidRPr="00082280">
        <w:rPr>
          <w:rFonts w:cs="Sylfaen"/>
          <w:b w:val="0"/>
          <w:iCs/>
          <w:szCs w:val="22"/>
          <w:lang w:val="af-ZA" w:eastAsia="en-GB"/>
        </w:rPr>
        <w:softHyphen/>
      </w:r>
      <w:r w:rsidRPr="00082280">
        <w:rPr>
          <w:rFonts w:cs="Sylfaen"/>
          <w:b w:val="0"/>
          <w:iCs/>
          <w:szCs w:val="22"/>
          <w:lang w:val="af-ZA" w:eastAsia="en-GB"/>
        </w:rPr>
        <w:softHyphen/>
        <w:t>պե</w:t>
      </w:r>
      <w:r w:rsidRPr="00082280">
        <w:rPr>
          <w:rFonts w:cs="Sylfaen"/>
          <w:b w:val="0"/>
          <w:iCs/>
          <w:szCs w:val="22"/>
          <w:lang w:val="af-ZA" w:eastAsia="en-GB"/>
        </w:rPr>
        <w:softHyphen/>
        <w:t>տու</w:t>
      </w:r>
      <w:r w:rsidRPr="00082280">
        <w:rPr>
          <w:rFonts w:cs="Sylfaen"/>
          <w:b w:val="0"/>
          <w:iCs/>
          <w:szCs w:val="22"/>
          <w:lang w:val="af-ZA" w:eastAsia="en-GB"/>
        </w:rPr>
        <w:softHyphen/>
        <w:t>թյան կառավարության 2001 թվա</w:t>
      </w:r>
      <w:r w:rsidRPr="00082280">
        <w:rPr>
          <w:rFonts w:cs="Sylfaen"/>
          <w:b w:val="0"/>
          <w:iCs/>
          <w:szCs w:val="22"/>
          <w:lang w:val="af-ZA" w:eastAsia="en-GB"/>
        </w:rPr>
        <w:softHyphen/>
        <w:t>կա</w:t>
      </w:r>
      <w:r w:rsidRPr="00082280">
        <w:rPr>
          <w:rFonts w:cs="Sylfaen"/>
          <w:b w:val="0"/>
          <w:iCs/>
          <w:szCs w:val="22"/>
          <w:lang w:val="af-ZA" w:eastAsia="en-GB"/>
        </w:rPr>
        <w:softHyphen/>
        <w:t>նի դեկ</w:t>
      </w:r>
      <w:r w:rsidRPr="00082280">
        <w:rPr>
          <w:rFonts w:cs="Sylfaen"/>
          <w:b w:val="0"/>
          <w:iCs/>
          <w:szCs w:val="22"/>
          <w:lang w:val="af-ZA" w:eastAsia="en-GB"/>
        </w:rPr>
        <w:softHyphen/>
        <w:t>տեմ</w:t>
      </w:r>
      <w:r w:rsidRPr="00082280">
        <w:rPr>
          <w:rFonts w:cs="Sylfaen"/>
          <w:b w:val="0"/>
          <w:iCs/>
          <w:szCs w:val="22"/>
          <w:lang w:val="af-ZA" w:eastAsia="en-GB"/>
        </w:rPr>
        <w:softHyphen/>
        <w:t>բերի 5-ի N 1194 որոշ</w:t>
      </w:r>
      <w:r w:rsidRPr="00082280">
        <w:rPr>
          <w:rFonts w:cs="Sylfaen"/>
          <w:b w:val="0"/>
          <w:iCs/>
          <w:szCs w:val="22"/>
          <w:lang w:val="af-ZA" w:eastAsia="en-GB"/>
        </w:rPr>
        <w:softHyphen/>
        <w:t>ման մեջ փոփոխություն կատարելու մասին» N 202-Ն որոշ</w:t>
      </w:r>
      <w:r w:rsidRPr="00082280">
        <w:rPr>
          <w:rFonts w:cs="Sylfaen"/>
          <w:b w:val="0"/>
          <w:iCs/>
          <w:szCs w:val="22"/>
          <w:lang w:val="af-ZA" w:eastAsia="en-GB"/>
        </w:rPr>
        <w:softHyphen/>
        <w:t>մամբ հաս</w:t>
      </w:r>
      <w:r w:rsidRPr="00082280">
        <w:rPr>
          <w:rFonts w:cs="Sylfaen"/>
          <w:b w:val="0"/>
          <w:iCs/>
          <w:szCs w:val="22"/>
          <w:lang w:val="af-ZA" w:eastAsia="en-GB"/>
        </w:rPr>
        <w:softHyphen/>
        <w:t>տատ</w:t>
      </w:r>
      <w:r w:rsidRPr="00082280">
        <w:rPr>
          <w:rFonts w:cs="Sylfaen"/>
          <w:b w:val="0"/>
          <w:iCs/>
          <w:szCs w:val="22"/>
          <w:lang w:val="af-ZA" w:eastAsia="en-GB"/>
        </w:rPr>
        <w:softHyphen/>
        <w:t>ված կար</w:t>
      </w:r>
      <w:r w:rsidRPr="00082280">
        <w:rPr>
          <w:rFonts w:cs="Sylfaen"/>
          <w:b w:val="0"/>
          <w:iCs/>
          <w:szCs w:val="22"/>
          <w:lang w:val="af-ZA" w:eastAsia="en-GB"/>
        </w:rPr>
        <w:softHyphen/>
        <w:t>գի համաձայն պե</w:t>
      </w:r>
      <w:r w:rsidRPr="00082280">
        <w:rPr>
          <w:rFonts w:cs="Sylfaen"/>
          <w:b w:val="0"/>
          <w:iCs/>
          <w:szCs w:val="22"/>
          <w:lang w:val="af-ZA" w:eastAsia="en-GB"/>
        </w:rPr>
        <w:softHyphen/>
        <w:t>տա</w:t>
      </w:r>
      <w:r w:rsidRPr="00082280">
        <w:rPr>
          <w:rFonts w:cs="Sylfaen"/>
          <w:b w:val="0"/>
          <w:iCs/>
          <w:szCs w:val="22"/>
          <w:lang w:val="af-ZA" w:eastAsia="en-GB"/>
        </w:rPr>
        <w:softHyphen/>
        <w:t>կան մաս</w:t>
      </w:r>
      <w:r w:rsidRPr="00082280">
        <w:rPr>
          <w:rFonts w:cs="Sylfaen"/>
          <w:b w:val="0"/>
          <w:iCs/>
          <w:szCs w:val="22"/>
          <w:lang w:val="af-ZA" w:eastAsia="en-GB"/>
        </w:rPr>
        <w:softHyphen/>
      </w:r>
      <w:r w:rsidRPr="00082280">
        <w:rPr>
          <w:rFonts w:cs="Sylfaen"/>
          <w:b w:val="0"/>
          <w:iCs/>
          <w:szCs w:val="22"/>
          <w:lang w:val="af-ZA" w:eastAsia="en-GB"/>
        </w:rPr>
        <w:softHyphen/>
        <w:t>նակ</w:t>
      </w:r>
      <w:r w:rsidRPr="00082280">
        <w:rPr>
          <w:rFonts w:cs="Sylfaen"/>
          <w:b w:val="0"/>
          <w:iCs/>
          <w:szCs w:val="22"/>
          <w:lang w:val="af-ZA" w:eastAsia="en-GB"/>
        </w:rPr>
        <w:softHyphen/>
        <w:t>ցու</w:t>
      </w:r>
      <w:r w:rsidRPr="00082280">
        <w:rPr>
          <w:rFonts w:cs="Sylfaen"/>
          <w:b w:val="0"/>
          <w:iCs/>
          <w:szCs w:val="22"/>
          <w:lang w:val="af-ZA" w:eastAsia="en-GB"/>
        </w:rPr>
        <w:softHyphen/>
        <w:t>թյան դիմաց պե</w:t>
      </w:r>
      <w:r w:rsidRPr="00082280">
        <w:rPr>
          <w:rFonts w:cs="Sylfaen"/>
          <w:b w:val="0"/>
          <w:iCs/>
          <w:szCs w:val="22"/>
          <w:lang w:val="af-ZA" w:eastAsia="en-GB"/>
        </w:rPr>
        <w:softHyphen/>
        <w:t>տա</w:t>
      </w:r>
      <w:r w:rsidRPr="00082280">
        <w:rPr>
          <w:rFonts w:cs="Sylfaen"/>
          <w:b w:val="0"/>
          <w:iCs/>
          <w:szCs w:val="22"/>
          <w:lang w:val="af-ZA" w:eastAsia="en-GB"/>
        </w:rPr>
        <w:softHyphen/>
        <w:t>կան բյու</w:t>
      </w:r>
      <w:r w:rsidRPr="00082280">
        <w:rPr>
          <w:rFonts w:cs="Sylfaen"/>
          <w:b w:val="0"/>
          <w:iCs/>
          <w:szCs w:val="22"/>
          <w:lang w:val="af-ZA" w:eastAsia="en-GB"/>
        </w:rPr>
        <w:softHyphen/>
        <w:t>ջե վճարման են</w:t>
      </w:r>
      <w:r w:rsidRPr="00082280">
        <w:rPr>
          <w:rFonts w:cs="Sylfaen"/>
          <w:b w:val="0"/>
          <w:iCs/>
          <w:szCs w:val="22"/>
          <w:lang w:val="af-ZA" w:eastAsia="en-GB"/>
        </w:rPr>
        <w:softHyphen/>
        <w:t>թա</w:t>
      </w:r>
      <w:r w:rsidRPr="00082280">
        <w:rPr>
          <w:rFonts w:cs="Sylfaen"/>
          <w:b w:val="0"/>
          <w:iCs/>
          <w:szCs w:val="22"/>
          <w:lang w:val="af-ZA" w:eastAsia="en-GB"/>
        </w:rPr>
        <w:softHyphen/>
        <w:t>կա տա</w:t>
      </w:r>
      <w:r w:rsidRPr="00082280">
        <w:rPr>
          <w:rFonts w:cs="Sylfaen"/>
          <w:b w:val="0"/>
          <w:iCs/>
          <w:szCs w:val="22"/>
          <w:lang w:val="af-ZA" w:eastAsia="en-GB"/>
        </w:rPr>
        <w:softHyphen/>
        <w:t>րե</w:t>
      </w:r>
      <w:r w:rsidRPr="00082280">
        <w:rPr>
          <w:rFonts w:cs="Sylfaen"/>
          <w:b w:val="0"/>
          <w:iCs/>
          <w:szCs w:val="22"/>
          <w:lang w:val="af-ZA" w:eastAsia="en-GB"/>
        </w:rPr>
        <w:softHyphen/>
        <w:t>կան շահութաբաժինների հաշվարկման բազայի 50%</w:t>
      </w:r>
      <w:r w:rsidRPr="00082280">
        <w:rPr>
          <w:rFonts w:cs="Sylfaen"/>
          <w:b w:val="0"/>
          <w:iCs/>
          <w:szCs w:val="22"/>
          <w:lang w:val="af-ZA" w:eastAsia="en-GB"/>
        </w:rPr>
        <w:noBreakHyphen/>
        <w:t>ի չա</w:t>
      </w:r>
      <w:r w:rsidRPr="00082280">
        <w:rPr>
          <w:rFonts w:cs="Sylfaen"/>
          <w:b w:val="0"/>
          <w:iCs/>
          <w:szCs w:val="22"/>
          <w:lang w:val="af-ZA" w:eastAsia="en-GB"/>
        </w:rPr>
        <w:softHyphen/>
        <w:t>փով պետական բյուջե կա</w:t>
      </w:r>
      <w:r w:rsidRPr="00082280">
        <w:rPr>
          <w:rFonts w:cs="Sylfaen"/>
          <w:b w:val="0"/>
          <w:iCs/>
          <w:szCs w:val="22"/>
          <w:lang w:val="af-ZA" w:eastAsia="en-GB"/>
        </w:rPr>
        <w:softHyphen/>
        <w:t>տար</w:t>
      </w:r>
      <w:r w:rsidRPr="00082280">
        <w:rPr>
          <w:rFonts w:cs="Sylfaen"/>
          <w:b w:val="0"/>
          <w:iCs/>
          <w:szCs w:val="22"/>
          <w:lang w:val="af-ZA" w:eastAsia="en-GB"/>
        </w:rPr>
        <w:softHyphen/>
      </w:r>
      <w:r w:rsidRPr="00082280">
        <w:rPr>
          <w:rFonts w:cs="Sylfaen"/>
          <w:b w:val="0"/>
          <w:iCs/>
          <w:szCs w:val="22"/>
          <w:lang w:val="af-ZA" w:eastAsia="en-GB"/>
        </w:rPr>
        <w:softHyphen/>
        <w:t>վե</w:t>
      </w:r>
      <w:r w:rsidRPr="00082280">
        <w:rPr>
          <w:rFonts w:cs="Sylfaen"/>
          <w:b w:val="0"/>
          <w:iCs/>
          <w:szCs w:val="22"/>
          <w:lang w:val="af-ZA" w:eastAsia="en-GB"/>
        </w:rPr>
        <w:softHyphen/>
        <w:t>լիք մաս</w:t>
      </w:r>
      <w:r w:rsidRPr="00082280">
        <w:rPr>
          <w:rFonts w:cs="Sylfaen"/>
          <w:b w:val="0"/>
          <w:iCs/>
          <w:szCs w:val="22"/>
          <w:lang w:val="af-ZA" w:eastAsia="en-GB"/>
        </w:rPr>
        <w:softHyphen/>
        <w:t>հանումների սահմանումը:</w:t>
      </w:r>
    </w:p>
    <w:p w14:paraId="681085F6"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Պետության կողմից տրված վարկերի օգտագործման դիմաց տոկոսավճարները 2024 թվա</w:t>
      </w:r>
      <w:r w:rsidR="00094711">
        <w:rPr>
          <w:rFonts w:cs="Sylfaen"/>
          <w:b w:val="0"/>
          <w:iCs/>
          <w:szCs w:val="22"/>
          <w:lang w:val="af-ZA" w:eastAsia="en-GB"/>
        </w:rPr>
        <w:softHyphen/>
      </w:r>
      <w:r w:rsidR="00094711">
        <w:rPr>
          <w:rFonts w:cs="Sylfaen"/>
          <w:b w:val="0"/>
          <w:iCs/>
          <w:szCs w:val="22"/>
          <w:lang w:val="af-ZA" w:eastAsia="en-GB"/>
        </w:rPr>
        <w:softHyphen/>
      </w:r>
      <w:r w:rsidR="00094711">
        <w:rPr>
          <w:rFonts w:cs="Sylfaen"/>
          <w:b w:val="0"/>
          <w:iCs/>
          <w:szCs w:val="22"/>
          <w:lang w:val="af-ZA" w:eastAsia="en-GB"/>
        </w:rPr>
        <w:softHyphen/>
        <w:t>կանին կանխատեսվում են 12,972.8</w:t>
      </w:r>
      <w:r w:rsidRPr="00082280">
        <w:rPr>
          <w:rFonts w:cs="Sylfaen"/>
          <w:b w:val="0"/>
          <w:iCs/>
          <w:szCs w:val="22"/>
          <w:lang w:val="af-ZA" w:eastAsia="en-GB"/>
        </w:rPr>
        <w:t xml:space="preserve"> մլն դրամի չափով: Մասնավորապես.</w:t>
      </w:r>
    </w:p>
    <w:p w14:paraId="5CF0268D"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ՀՀ ռեզիդենտներին տրամադրված վարկերի օգտագործումից 2024 թվականին ակն</w:t>
      </w:r>
      <w:r w:rsidRPr="00082280">
        <w:rPr>
          <w:rFonts w:cs="Sylfaen"/>
          <w:b w:val="0"/>
          <w:iCs/>
          <w:szCs w:val="22"/>
          <w:lang w:val="af-ZA" w:eastAsia="en-GB"/>
        </w:rPr>
        <w:softHyphen/>
        <w:t>կալ</w:t>
      </w:r>
      <w:r w:rsidRPr="00082280">
        <w:rPr>
          <w:rFonts w:cs="Sylfaen"/>
          <w:b w:val="0"/>
          <w:iCs/>
          <w:szCs w:val="22"/>
          <w:lang w:val="af-ZA" w:eastAsia="en-GB"/>
        </w:rPr>
        <w:softHyphen/>
        <w:t>վում է ստանալ</w:t>
      </w:r>
      <w:r w:rsidR="00094711">
        <w:rPr>
          <w:rFonts w:cs="Sylfaen"/>
          <w:b w:val="0"/>
          <w:iCs/>
          <w:szCs w:val="22"/>
          <w:lang w:val="af-ZA" w:eastAsia="en-GB"/>
        </w:rPr>
        <w:t xml:space="preserve"> 12,951</w:t>
      </w:r>
      <w:r w:rsidR="00607D7F">
        <w:rPr>
          <w:rFonts w:cs="Sylfaen"/>
          <w:b w:val="0"/>
          <w:iCs/>
          <w:szCs w:val="22"/>
          <w:lang w:val="af-ZA" w:eastAsia="en-GB"/>
        </w:rPr>
        <w:t>.</w:t>
      </w:r>
      <w:r w:rsidR="00094711">
        <w:rPr>
          <w:rFonts w:cs="Sylfaen"/>
          <w:b w:val="0"/>
          <w:iCs/>
          <w:szCs w:val="22"/>
          <w:lang w:val="af-ZA" w:eastAsia="en-GB"/>
        </w:rPr>
        <w:t>6</w:t>
      </w:r>
      <w:r w:rsidRPr="00082280">
        <w:rPr>
          <w:rFonts w:cs="Sylfaen"/>
          <w:b w:val="0"/>
          <w:iCs/>
          <w:szCs w:val="22"/>
          <w:lang w:val="af-ZA" w:eastAsia="en-GB"/>
        </w:rPr>
        <w:t xml:space="preserve"> մլն դրամ՝ 2023 թվա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w:t>
      </w:r>
      <w:r w:rsidRPr="00082280">
        <w:rPr>
          <w:rFonts w:cs="Sylfaen"/>
          <w:b w:val="0"/>
          <w:iCs/>
          <w:szCs w:val="22"/>
          <w:lang w:val="af-ZA" w:eastAsia="en-GB"/>
        </w:rPr>
        <w:softHyphen/>
      </w:r>
      <w:r w:rsidRPr="00082280">
        <w:rPr>
          <w:rFonts w:cs="Sylfaen"/>
          <w:b w:val="0"/>
          <w:iCs/>
          <w:szCs w:val="22"/>
          <w:lang w:val="af-ZA" w:eastAsia="en-GB"/>
        </w:rPr>
        <w:softHyphen/>
        <w:t>նի համար ծրագրված 13,281.0 մլն դրամի և 2022 թվա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կանին փաս</w:t>
      </w:r>
      <w:r w:rsidRPr="00082280">
        <w:rPr>
          <w:rFonts w:cs="Sylfaen"/>
          <w:b w:val="0"/>
          <w:iCs/>
          <w:szCs w:val="22"/>
          <w:lang w:val="af-ZA" w:eastAsia="en-GB"/>
        </w:rPr>
        <w:softHyphen/>
      </w:r>
      <w:r w:rsidRPr="00082280">
        <w:rPr>
          <w:rFonts w:cs="Sylfaen"/>
          <w:b w:val="0"/>
          <w:iCs/>
          <w:szCs w:val="22"/>
          <w:lang w:val="af-ZA" w:eastAsia="en-GB"/>
        </w:rPr>
        <w:softHyphen/>
        <w:t>տացի ստացված 11,753.9 մլն դրամի դի</w:t>
      </w:r>
      <w:r w:rsidRPr="00082280">
        <w:rPr>
          <w:rFonts w:cs="Sylfaen"/>
          <w:b w:val="0"/>
          <w:iCs/>
          <w:szCs w:val="22"/>
          <w:lang w:val="af-ZA" w:eastAsia="en-GB"/>
        </w:rPr>
        <w:softHyphen/>
        <w:t>մաց: Այն ծրագրվել է` հաշվի առնելով հա</w:t>
      </w:r>
      <w:r w:rsidRPr="00082280">
        <w:rPr>
          <w:rFonts w:cs="Sylfaen"/>
          <w:b w:val="0"/>
          <w:iCs/>
          <w:szCs w:val="22"/>
          <w:lang w:val="af-ZA" w:eastAsia="en-GB"/>
        </w:rPr>
        <w:softHyphen/>
        <w:t>մա</w:t>
      </w:r>
      <w:r w:rsidRPr="00082280">
        <w:rPr>
          <w:rFonts w:cs="Sylfaen"/>
          <w:b w:val="0"/>
          <w:iCs/>
          <w:szCs w:val="22"/>
          <w:lang w:val="af-ZA" w:eastAsia="en-GB"/>
        </w:rPr>
        <w:softHyphen/>
      </w:r>
      <w:r w:rsidRPr="00082280">
        <w:rPr>
          <w:rFonts w:cs="Sylfaen"/>
          <w:b w:val="0"/>
          <w:iCs/>
          <w:szCs w:val="22"/>
          <w:lang w:val="af-ZA" w:eastAsia="en-GB"/>
        </w:rPr>
        <w:softHyphen/>
        <w:t>պա</w:t>
      </w:r>
      <w:r w:rsidRPr="00082280">
        <w:rPr>
          <w:rFonts w:cs="Sylfaen"/>
          <w:b w:val="0"/>
          <w:iCs/>
          <w:szCs w:val="22"/>
          <w:lang w:val="af-ZA" w:eastAsia="en-GB"/>
        </w:rPr>
        <w:softHyphen/>
        <w:t>տաս</w:t>
      </w:r>
      <w:r w:rsidRPr="00082280">
        <w:rPr>
          <w:rFonts w:cs="Sylfaen"/>
          <w:b w:val="0"/>
          <w:iCs/>
          <w:szCs w:val="22"/>
          <w:lang w:val="af-ZA" w:eastAsia="en-GB"/>
        </w:rPr>
        <w:softHyphen/>
        <w:t>խան պայ</w:t>
      </w:r>
      <w:r w:rsidRPr="00082280">
        <w:rPr>
          <w:rFonts w:cs="Sylfaen"/>
          <w:b w:val="0"/>
          <w:iCs/>
          <w:szCs w:val="22"/>
          <w:lang w:val="af-ZA" w:eastAsia="en-GB"/>
        </w:rPr>
        <w:softHyphen/>
      </w:r>
      <w:r w:rsidRPr="00082280">
        <w:rPr>
          <w:rFonts w:cs="Sylfaen"/>
          <w:b w:val="0"/>
          <w:iCs/>
          <w:szCs w:val="22"/>
          <w:lang w:val="af-ZA" w:eastAsia="en-GB"/>
        </w:rPr>
        <w:softHyphen/>
        <w:t>մա</w:t>
      </w:r>
      <w:r w:rsidRPr="00082280">
        <w:rPr>
          <w:rFonts w:cs="Sylfaen"/>
          <w:b w:val="0"/>
          <w:iCs/>
          <w:szCs w:val="22"/>
          <w:lang w:val="af-ZA" w:eastAsia="en-GB"/>
        </w:rPr>
        <w:softHyphen/>
        <w:t>նա</w:t>
      </w:r>
      <w:r w:rsidRPr="00082280">
        <w:rPr>
          <w:rFonts w:cs="Sylfaen"/>
          <w:b w:val="0"/>
          <w:iCs/>
          <w:szCs w:val="22"/>
          <w:lang w:val="af-ZA" w:eastAsia="en-GB"/>
        </w:rPr>
        <w:softHyphen/>
        <w:t>գրերով նախատեսված դրույթները: Մաս</w:t>
      </w:r>
      <w:r w:rsidRPr="00082280">
        <w:rPr>
          <w:rFonts w:cs="Sylfaen"/>
          <w:b w:val="0"/>
          <w:iCs/>
          <w:szCs w:val="22"/>
          <w:lang w:val="af-ZA" w:eastAsia="en-GB"/>
        </w:rPr>
        <w:softHyphen/>
        <w:t>նա</w:t>
      </w:r>
      <w:r w:rsidRPr="00082280">
        <w:rPr>
          <w:rFonts w:cs="Sylfaen"/>
          <w:b w:val="0"/>
          <w:iCs/>
          <w:szCs w:val="22"/>
          <w:lang w:val="af-ZA" w:eastAsia="en-GB"/>
        </w:rPr>
        <w:softHyphen/>
        <w:t>վո</w:t>
      </w:r>
      <w:r w:rsidRPr="00082280">
        <w:rPr>
          <w:rFonts w:cs="Sylfaen"/>
          <w:b w:val="0"/>
          <w:iCs/>
          <w:szCs w:val="22"/>
          <w:lang w:val="af-ZA" w:eastAsia="en-GB"/>
        </w:rPr>
        <w:softHyphen/>
        <w:t>րա</w:t>
      </w:r>
      <w:r w:rsidRPr="00082280">
        <w:rPr>
          <w:rFonts w:cs="Sylfaen"/>
          <w:b w:val="0"/>
          <w:iCs/>
          <w:szCs w:val="22"/>
          <w:lang w:val="af-ZA" w:eastAsia="en-GB"/>
        </w:rPr>
        <w:softHyphen/>
        <w:t>պես, 2024 թվականին տոկոսավճարների գծով մուտ</w:t>
      </w:r>
      <w:r w:rsidRPr="00082280">
        <w:rPr>
          <w:rFonts w:cs="Sylfaen"/>
          <w:b w:val="0"/>
          <w:iCs/>
          <w:szCs w:val="22"/>
          <w:lang w:val="af-ZA" w:eastAsia="en-GB"/>
        </w:rPr>
        <w:softHyphen/>
      </w:r>
      <w:r w:rsidRPr="00082280">
        <w:rPr>
          <w:rFonts w:cs="Sylfaen"/>
          <w:b w:val="0"/>
          <w:iCs/>
          <w:szCs w:val="22"/>
          <w:lang w:val="af-ZA" w:eastAsia="en-GB"/>
        </w:rPr>
        <w:softHyphen/>
        <w:t>քերն ապահովվելու են ի հա</w:t>
      </w:r>
      <w:r w:rsidRPr="00082280">
        <w:rPr>
          <w:rFonts w:cs="Sylfaen"/>
          <w:b w:val="0"/>
          <w:iCs/>
          <w:szCs w:val="22"/>
          <w:lang w:val="af-ZA" w:eastAsia="en-GB"/>
        </w:rPr>
        <w:softHyphen/>
        <w:t xml:space="preserve">շիվ </w:t>
      </w:r>
      <w:r w:rsidRPr="00082280">
        <w:rPr>
          <w:rFonts w:cs="Sylfaen"/>
          <w:b w:val="0"/>
          <w:iCs/>
          <w:szCs w:val="22"/>
          <w:lang w:val="af-ZA" w:eastAsia="en-GB"/>
        </w:rPr>
        <w:lastRenderedPageBreak/>
        <w:t>«Բարձրավոլտ էլեկ</w:t>
      </w:r>
      <w:r w:rsidRPr="00082280">
        <w:rPr>
          <w:rFonts w:cs="Sylfaen"/>
          <w:b w:val="0"/>
          <w:iCs/>
          <w:szCs w:val="22"/>
          <w:lang w:val="af-ZA" w:eastAsia="en-GB"/>
        </w:rPr>
        <w:softHyphen/>
        <w:t>տրա</w:t>
      </w:r>
      <w:r w:rsidRPr="00082280">
        <w:rPr>
          <w:rFonts w:cs="Sylfaen"/>
          <w:b w:val="0"/>
          <w:iCs/>
          <w:szCs w:val="22"/>
          <w:lang w:val="af-ZA" w:eastAsia="en-GB"/>
        </w:rPr>
        <w:softHyphen/>
        <w:t>կան ցան</w:t>
      </w:r>
      <w:r w:rsidRPr="00082280">
        <w:rPr>
          <w:rFonts w:cs="Sylfaen"/>
          <w:b w:val="0"/>
          <w:iCs/>
          <w:szCs w:val="22"/>
          <w:lang w:val="af-ZA" w:eastAsia="en-GB"/>
        </w:rPr>
        <w:softHyphen/>
      </w:r>
      <w:r w:rsidRPr="00082280">
        <w:rPr>
          <w:rFonts w:cs="Sylfaen"/>
          <w:b w:val="0"/>
          <w:iCs/>
          <w:szCs w:val="22"/>
          <w:lang w:val="af-ZA" w:eastAsia="en-GB"/>
        </w:rPr>
        <w:softHyphen/>
        <w:t>ցեր», «Էլեկ</w:t>
      </w:r>
      <w:r w:rsidRPr="00082280">
        <w:rPr>
          <w:rFonts w:cs="Sylfaen"/>
          <w:b w:val="0"/>
          <w:iCs/>
          <w:szCs w:val="22"/>
          <w:lang w:val="af-ZA" w:eastAsia="en-GB"/>
        </w:rPr>
        <w:softHyphen/>
        <w:t>տրա</w:t>
      </w:r>
      <w:r w:rsidRPr="00082280">
        <w:rPr>
          <w:rFonts w:cs="Sylfaen"/>
          <w:b w:val="0"/>
          <w:iCs/>
          <w:szCs w:val="22"/>
          <w:lang w:val="af-ZA" w:eastAsia="en-GB"/>
        </w:rPr>
        <w:softHyphen/>
        <w:t>էներ</w:t>
      </w:r>
      <w:r w:rsidRPr="00082280">
        <w:rPr>
          <w:rFonts w:cs="Sylfaen"/>
          <w:b w:val="0"/>
          <w:iCs/>
          <w:szCs w:val="22"/>
          <w:lang w:val="af-ZA" w:eastAsia="en-GB"/>
        </w:rPr>
        <w:softHyphen/>
        <w:t>գե</w:t>
      </w:r>
      <w:r w:rsidRPr="00082280">
        <w:rPr>
          <w:rFonts w:cs="Sylfaen"/>
          <w:b w:val="0"/>
          <w:iCs/>
          <w:szCs w:val="22"/>
          <w:lang w:val="af-ZA" w:eastAsia="en-GB"/>
        </w:rPr>
        <w:softHyphen/>
        <w:t>տի</w:t>
      </w:r>
      <w:r w:rsidRPr="00082280">
        <w:rPr>
          <w:rFonts w:cs="Sylfaen"/>
          <w:b w:val="0"/>
          <w:iCs/>
          <w:szCs w:val="22"/>
          <w:lang w:val="af-ZA" w:eastAsia="en-GB"/>
        </w:rPr>
        <w:softHyphen/>
        <w:t>կա</w:t>
      </w:r>
      <w:r w:rsidRPr="00082280">
        <w:rPr>
          <w:rFonts w:cs="Sylfaen"/>
          <w:b w:val="0"/>
          <w:iCs/>
          <w:szCs w:val="22"/>
          <w:lang w:val="af-ZA" w:eastAsia="en-GB"/>
        </w:rPr>
        <w:softHyphen/>
        <w:t>կան հա</w:t>
      </w:r>
      <w:r w:rsidRPr="00082280">
        <w:rPr>
          <w:rFonts w:cs="Sylfaen"/>
          <w:b w:val="0"/>
          <w:iCs/>
          <w:szCs w:val="22"/>
          <w:lang w:val="af-ZA" w:eastAsia="en-GB"/>
        </w:rPr>
        <w:softHyphen/>
        <w:t>մա</w:t>
      </w:r>
      <w:r w:rsidRPr="00082280">
        <w:rPr>
          <w:rFonts w:cs="Sylfaen"/>
          <w:b w:val="0"/>
          <w:iCs/>
          <w:szCs w:val="22"/>
          <w:lang w:val="af-ZA" w:eastAsia="en-GB"/>
        </w:rPr>
        <w:softHyphen/>
      </w:r>
      <w:r w:rsidRPr="00082280">
        <w:rPr>
          <w:rFonts w:cs="Sylfaen"/>
          <w:b w:val="0"/>
          <w:iCs/>
          <w:szCs w:val="22"/>
          <w:lang w:val="af-ZA" w:eastAsia="en-GB"/>
        </w:rPr>
        <w:softHyphen/>
        <w:t>կար</w:t>
      </w:r>
      <w:r w:rsidRPr="00082280">
        <w:rPr>
          <w:rFonts w:cs="Sylfaen"/>
          <w:b w:val="0"/>
          <w:iCs/>
          <w:szCs w:val="22"/>
          <w:lang w:val="af-ZA" w:eastAsia="en-GB"/>
        </w:rPr>
        <w:softHyphen/>
        <w:t>գի օպերատոր», «Հայաստանի էլեկ</w:t>
      </w:r>
      <w:r w:rsidRPr="00082280">
        <w:rPr>
          <w:rFonts w:cs="Sylfaen"/>
          <w:b w:val="0"/>
          <w:iCs/>
          <w:szCs w:val="22"/>
          <w:lang w:val="af-ZA" w:eastAsia="en-GB"/>
        </w:rPr>
        <w:softHyphen/>
        <w:t>տրա</w:t>
      </w:r>
      <w:r w:rsidRPr="00082280">
        <w:rPr>
          <w:rFonts w:cs="Sylfaen"/>
          <w:b w:val="0"/>
          <w:iCs/>
          <w:szCs w:val="22"/>
          <w:lang w:val="af-ZA" w:eastAsia="en-GB"/>
        </w:rPr>
        <w:softHyphen/>
        <w:t>կան ցանցեր» ՓԲԸ-ներին, «Երևանի Ջերմաէլեկտրակենտրոն» ՓԲԸ-ին և այլ կազ</w:t>
      </w:r>
      <w:r w:rsidRPr="00082280">
        <w:rPr>
          <w:rFonts w:cs="Sylfaen"/>
          <w:b w:val="0"/>
          <w:iCs/>
          <w:szCs w:val="22"/>
          <w:lang w:val="af-ZA" w:eastAsia="en-GB"/>
        </w:rPr>
        <w:softHyphen/>
        <w:t>մա</w:t>
      </w:r>
      <w:r w:rsidRPr="00082280">
        <w:rPr>
          <w:rFonts w:cs="Sylfaen"/>
          <w:b w:val="0"/>
          <w:iCs/>
          <w:szCs w:val="22"/>
          <w:lang w:val="af-ZA" w:eastAsia="en-GB"/>
        </w:rPr>
        <w:softHyphen/>
        <w:t>կեր</w:t>
      </w:r>
      <w:r w:rsidRPr="00082280">
        <w:rPr>
          <w:rFonts w:cs="Sylfaen"/>
          <w:b w:val="0"/>
          <w:iCs/>
          <w:szCs w:val="22"/>
          <w:lang w:val="af-ZA" w:eastAsia="en-GB"/>
        </w:rPr>
        <w:softHyphen/>
        <w:t>պու</w:t>
      </w:r>
      <w:r w:rsidRPr="00082280">
        <w:rPr>
          <w:rFonts w:cs="Sylfaen"/>
          <w:b w:val="0"/>
          <w:iCs/>
          <w:szCs w:val="22"/>
          <w:lang w:val="af-ZA" w:eastAsia="en-GB"/>
        </w:rPr>
        <w:softHyphen/>
        <w:t>թյուններին տրա</w:t>
      </w:r>
      <w:r w:rsidRPr="00082280">
        <w:rPr>
          <w:rFonts w:cs="Sylfaen"/>
          <w:b w:val="0"/>
          <w:iCs/>
          <w:szCs w:val="22"/>
          <w:lang w:val="af-ZA" w:eastAsia="en-GB"/>
        </w:rPr>
        <w:softHyphen/>
      </w:r>
      <w:r w:rsidRPr="00082280">
        <w:rPr>
          <w:rFonts w:cs="Sylfaen"/>
          <w:b w:val="0"/>
          <w:iCs/>
          <w:szCs w:val="22"/>
          <w:lang w:val="af-ZA" w:eastAsia="en-GB"/>
        </w:rPr>
        <w:softHyphen/>
        <w:t>մադրված վարկերի դիմաց հաշ</w:t>
      </w:r>
      <w:r w:rsidRPr="00082280">
        <w:rPr>
          <w:rFonts w:cs="Sylfaen"/>
          <w:b w:val="0"/>
          <w:iCs/>
          <w:szCs w:val="22"/>
          <w:lang w:val="af-ZA" w:eastAsia="en-GB"/>
        </w:rPr>
        <w:softHyphen/>
        <w:t>վարկված տո</w:t>
      </w:r>
      <w:r w:rsidRPr="00082280">
        <w:rPr>
          <w:rFonts w:cs="Sylfaen"/>
          <w:b w:val="0"/>
          <w:iCs/>
          <w:szCs w:val="22"/>
          <w:lang w:val="af-ZA" w:eastAsia="en-GB"/>
        </w:rPr>
        <w:softHyphen/>
        <w:t>կո</w:t>
      </w:r>
      <w:r w:rsidRPr="00082280">
        <w:rPr>
          <w:rFonts w:cs="Sylfaen"/>
          <w:b w:val="0"/>
          <w:iCs/>
          <w:szCs w:val="22"/>
          <w:lang w:val="af-ZA" w:eastAsia="en-GB"/>
        </w:rPr>
        <w:softHyphen/>
        <w:t>սա</w:t>
      </w:r>
      <w:r w:rsidRPr="00082280">
        <w:rPr>
          <w:rFonts w:cs="Sylfaen"/>
          <w:b w:val="0"/>
          <w:iCs/>
          <w:szCs w:val="22"/>
          <w:lang w:val="af-ZA" w:eastAsia="en-GB"/>
        </w:rPr>
        <w:softHyphen/>
        <w:t>վճարների:</w:t>
      </w:r>
    </w:p>
    <w:p w14:paraId="0403D68E"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Հա</w:t>
      </w:r>
      <w:r w:rsidRPr="00082280">
        <w:rPr>
          <w:rFonts w:cs="Sylfaen"/>
          <w:b w:val="0"/>
          <w:iCs/>
          <w:szCs w:val="22"/>
          <w:lang w:val="af-ZA" w:eastAsia="en-GB"/>
        </w:rPr>
        <w:softHyphen/>
        <w:t>յաստանի Հանրապետության ոչ ռեզիդենտին տրամադրված վարկերի գծով 2024 թվա</w:t>
      </w:r>
      <w:r w:rsidRPr="00082280">
        <w:rPr>
          <w:rFonts w:cs="Sylfaen"/>
          <w:b w:val="0"/>
          <w:iCs/>
          <w:szCs w:val="22"/>
          <w:lang w:val="af-ZA" w:eastAsia="en-GB"/>
        </w:rPr>
        <w:softHyphen/>
      </w:r>
      <w:r w:rsidRPr="00082280">
        <w:rPr>
          <w:rFonts w:cs="Sylfaen"/>
          <w:b w:val="0"/>
          <w:iCs/>
          <w:szCs w:val="22"/>
          <w:lang w:val="af-ZA" w:eastAsia="en-GB"/>
        </w:rPr>
        <w:softHyphen/>
        <w:t>կա</w:t>
      </w:r>
      <w:r w:rsidRPr="00082280">
        <w:rPr>
          <w:rFonts w:cs="Sylfaen"/>
          <w:b w:val="0"/>
          <w:iCs/>
          <w:szCs w:val="22"/>
          <w:lang w:val="af-ZA" w:eastAsia="en-GB"/>
        </w:rPr>
        <w:softHyphen/>
        <w:t>նի բյուջետային մուտ</w:t>
      </w:r>
      <w:r w:rsidRPr="00082280">
        <w:rPr>
          <w:rFonts w:cs="Sylfaen"/>
          <w:b w:val="0"/>
          <w:iCs/>
          <w:szCs w:val="22"/>
          <w:lang w:val="af-ZA" w:eastAsia="en-GB"/>
        </w:rPr>
        <w:softHyphen/>
        <w:t>քե</w:t>
      </w:r>
      <w:r w:rsidRPr="00082280">
        <w:rPr>
          <w:rFonts w:cs="Sylfaen"/>
          <w:b w:val="0"/>
          <w:iCs/>
          <w:szCs w:val="22"/>
          <w:lang w:val="af-ZA" w:eastAsia="en-GB"/>
        </w:rPr>
        <w:softHyphen/>
        <w:t>րը կգո</w:t>
      </w:r>
      <w:r w:rsidRPr="00082280">
        <w:rPr>
          <w:rFonts w:cs="Sylfaen"/>
          <w:b w:val="0"/>
          <w:iCs/>
          <w:szCs w:val="22"/>
          <w:lang w:val="af-ZA" w:eastAsia="en-GB"/>
        </w:rPr>
        <w:softHyphen/>
      </w:r>
      <w:r w:rsidRPr="00082280">
        <w:rPr>
          <w:rFonts w:cs="Sylfaen"/>
          <w:b w:val="0"/>
          <w:iCs/>
          <w:szCs w:val="22"/>
          <w:lang w:val="af-ZA" w:eastAsia="en-GB"/>
        </w:rPr>
        <w:softHyphen/>
        <w:t>յա</w:t>
      </w:r>
      <w:r w:rsidRPr="00082280">
        <w:rPr>
          <w:rFonts w:cs="Sylfaen"/>
          <w:b w:val="0"/>
          <w:iCs/>
          <w:szCs w:val="22"/>
          <w:lang w:val="af-ZA" w:eastAsia="en-GB"/>
        </w:rPr>
        <w:softHyphen/>
        <w:t>նան Վրաստանի Հան</w:t>
      </w:r>
      <w:r w:rsidRPr="00082280">
        <w:rPr>
          <w:rFonts w:cs="Sylfaen"/>
          <w:b w:val="0"/>
          <w:iCs/>
          <w:szCs w:val="22"/>
          <w:lang w:val="af-ZA" w:eastAsia="en-GB"/>
        </w:rPr>
        <w:softHyphen/>
        <w:t>րա</w:t>
      </w:r>
      <w:r w:rsidRPr="00082280">
        <w:rPr>
          <w:rFonts w:cs="Sylfaen"/>
          <w:b w:val="0"/>
          <w:iCs/>
          <w:szCs w:val="22"/>
          <w:lang w:val="af-ZA" w:eastAsia="en-GB"/>
        </w:rPr>
        <w:softHyphen/>
        <w:t>պե</w:t>
      </w:r>
      <w:r w:rsidRPr="00082280">
        <w:rPr>
          <w:rFonts w:cs="Sylfaen"/>
          <w:b w:val="0"/>
          <w:iCs/>
          <w:szCs w:val="22"/>
          <w:lang w:val="af-ZA" w:eastAsia="en-GB"/>
        </w:rPr>
        <w:softHyphen/>
        <w:t>տու</w:t>
      </w:r>
      <w:r w:rsidRPr="00082280">
        <w:rPr>
          <w:rFonts w:cs="Sylfaen"/>
          <w:b w:val="0"/>
          <w:iCs/>
          <w:szCs w:val="22"/>
          <w:lang w:val="af-ZA" w:eastAsia="en-GB"/>
        </w:rPr>
        <w:softHyphen/>
        <w:t>թյանը տրա</w:t>
      </w:r>
      <w:r w:rsidRPr="00082280">
        <w:rPr>
          <w:rFonts w:cs="Sylfaen"/>
          <w:b w:val="0"/>
          <w:iCs/>
          <w:szCs w:val="22"/>
          <w:lang w:val="af-ZA" w:eastAsia="en-GB"/>
        </w:rPr>
        <w:softHyphen/>
        <w:t>մա</w:t>
      </w:r>
      <w:r w:rsidRPr="00082280">
        <w:rPr>
          <w:rFonts w:cs="Sylfaen"/>
          <w:b w:val="0"/>
          <w:iCs/>
          <w:szCs w:val="22"/>
          <w:lang w:val="af-ZA" w:eastAsia="en-GB"/>
        </w:rPr>
        <w:softHyphen/>
        <w:t>դր</w:t>
      </w:r>
      <w:r w:rsidRPr="00082280">
        <w:rPr>
          <w:rFonts w:cs="Sylfaen"/>
          <w:b w:val="0"/>
          <w:iCs/>
          <w:szCs w:val="22"/>
          <w:lang w:val="af-ZA" w:eastAsia="en-GB"/>
        </w:rPr>
        <w:softHyphen/>
        <w:t>ված վարկի սպա</w:t>
      </w:r>
      <w:r w:rsidRPr="00082280">
        <w:rPr>
          <w:rFonts w:cs="Sylfaen"/>
          <w:b w:val="0"/>
          <w:iCs/>
          <w:szCs w:val="22"/>
          <w:lang w:val="af-ZA" w:eastAsia="en-GB"/>
        </w:rPr>
        <w:softHyphen/>
      </w:r>
      <w:r w:rsidRPr="00082280">
        <w:rPr>
          <w:rFonts w:cs="Sylfaen"/>
          <w:b w:val="0"/>
          <w:iCs/>
          <w:szCs w:val="22"/>
          <w:lang w:val="af-ZA" w:eastAsia="en-GB"/>
        </w:rPr>
        <w:softHyphen/>
        <w:t>սարկման տո</w:t>
      </w:r>
      <w:r w:rsidRPr="00082280">
        <w:rPr>
          <w:rFonts w:cs="Sylfaen"/>
          <w:b w:val="0"/>
          <w:iCs/>
          <w:szCs w:val="22"/>
          <w:lang w:val="af-ZA" w:eastAsia="en-GB"/>
        </w:rPr>
        <w:softHyphen/>
        <w:t>կո</w:t>
      </w:r>
      <w:r w:rsidRPr="00082280">
        <w:rPr>
          <w:rFonts w:cs="Sylfaen"/>
          <w:b w:val="0"/>
          <w:iCs/>
          <w:szCs w:val="22"/>
          <w:lang w:val="af-ZA" w:eastAsia="en-GB"/>
        </w:rPr>
        <w:softHyphen/>
        <w:t>սա</w:t>
      </w:r>
      <w:r w:rsidRPr="00082280">
        <w:rPr>
          <w:rFonts w:cs="Sylfaen"/>
          <w:b w:val="0"/>
          <w:iCs/>
          <w:szCs w:val="22"/>
          <w:lang w:val="af-ZA" w:eastAsia="en-GB"/>
        </w:rPr>
        <w:softHyphen/>
        <w:t>վճար</w:t>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րից, որոնք կկազ</w:t>
      </w:r>
      <w:r w:rsidRPr="00082280">
        <w:rPr>
          <w:rFonts w:cs="Sylfaen"/>
          <w:b w:val="0"/>
          <w:iCs/>
          <w:szCs w:val="22"/>
          <w:lang w:val="af-ZA" w:eastAsia="en-GB"/>
        </w:rPr>
        <w:softHyphen/>
        <w:t xml:space="preserve">մեն 52.8 հազ. ԱՄՆ դոլար կամ </w:t>
      </w:r>
      <w:r w:rsidR="00607D7F">
        <w:rPr>
          <w:rFonts w:cs="Sylfaen"/>
          <w:b w:val="0"/>
          <w:iCs/>
          <w:szCs w:val="22"/>
          <w:lang w:val="af-ZA" w:eastAsia="en-GB"/>
        </w:rPr>
        <w:t>շուրջ 21.3</w:t>
      </w:r>
      <w:r w:rsidRPr="00082280">
        <w:rPr>
          <w:rFonts w:cs="Sylfaen"/>
          <w:b w:val="0"/>
          <w:iCs/>
          <w:szCs w:val="22"/>
          <w:lang w:val="af-ZA" w:eastAsia="en-GB"/>
        </w:rPr>
        <w:t xml:space="preserve"> մլն դրամ՝ 2023 թվա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w:t>
      </w:r>
      <w:r w:rsidRPr="00082280">
        <w:rPr>
          <w:rFonts w:cs="Sylfaen"/>
          <w:b w:val="0"/>
          <w:iCs/>
          <w:szCs w:val="22"/>
          <w:lang w:val="af-ZA" w:eastAsia="en-GB"/>
        </w:rPr>
        <w:softHyphen/>
      </w:r>
      <w:r w:rsidRPr="00082280">
        <w:rPr>
          <w:rFonts w:cs="Sylfaen"/>
          <w:b w:val="0"/>
          <w:iCs/>
          <w:szCs w:val="22"/>
          <w:lang w:val="af-ZA" w:eastAsia="en-GB"/>
        </w:rPr>
        <w:softHyphen/>
        <w:t>նի համար ծրագրված 31.7 մլն դրամի և 2022 թվա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կանին փաս</w:t>
      </w:r>
      <w:r w:rsidRPr="00082280">
        <w:rPr>
          <w:rFonts w:cs="Sylfaen"/>
          <w:b w:val="0"/>
          <w:iCs/>
          <w:szCs w:val="22"/>
          <w:lang w:val="af-ZA" w:eastAsia="en-GB"/>
        </w:rPr>
        <w:softHyphen/>
      </w:r>
      <w:r w:rsidRPr="00082280">
        <w:rPr>
          <w:rFonts w:cs="Sylfaen"/>
          <w:b w:val="0"/>
          <w:iCs/>
          <w:szCs w:val="22"/>
          <w:lang w:val="af-ZA" w:eastAsia="en-GB"/>
        </w:rPr>
        <w:softHyphen/>
        <w:t>տացի ստացված 47.0 մլն դրամի դի</w:t>
      </w:r>
      <w:r w:rsidRPr="00082280">
        <w:rPr>
          <w:rFonts w:cs="Sylfaen"/>
          <w:b w:val="0"/>
          <w:iCs/>
          <w:szCs w:val="22"/>
          <w:lang w:val="af-ZA" w:eastAsia="en-GB"/>
        </w:rPr>
        <w:softHyphen/>
        <w:t>մաց:</w:t>
      </w:r>
    </w:p>
    <w:p w14:paraId="224AA535"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Իրավախախտումների համար գործադիր, դատական մարմինների կողմից կի</w:t>
      </w:r>
      <w:r w:rsidRPr="00082280">
        <w:rPr>
          <w:rFonts w:cs="Sylfaen"/>
          <w:b w:val="0"/>
          <w:iCs/>
          <w:szCs w:val="22"/>
          <w:lang w:val="af-ZA" w:eastAsia="en-GB"/>
        </w:rPr>
        <w:softHyphen/>
        <w:t>րառ</w:t>
      </w:r>
      <w:r w:rsidRPr="00082280">
        <w:rPr>
          <w:rFonts w:cs="Sylfaen"/>
          <w:b w:val="0"/>
          <w:iCs/>
          <w:szCs w:val="22"/>
          <w:lang w:val="af-ZA" w:eastAsia="en-GB"/>
        </w:rPr>
        <w:softHyphen/>
        <w:t>վող պատ</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ժա</w:t>
      </w:r>
      <w:r w:rsidRPr="00082280">
        <w:rPr>
          <w:rFonts w:cs="Sylfaen"/>
          <w:b w:val="0"/>
          <w:iCs/>
          <w:szCs w:val="22"/>
          <w:lang w:val="af-ZA" w:eastAsia="en-GB"/>
        </w:rPr>
        <w:softHyphen/>
      </w:r>
      <w:r w:rsidRPr="00082280">
        <w:rPr>
          <w:rFonts w:cs="Sylfaen"/>
          <w:b w:val="0"/>
          <w:iCs/>
          <w:szCs w:val="22"/>
          <w:lang w:val="af-ZA" w:eastAsia="en-GB"/>
        </w:rPr>
        <w:softHyphen/>
        <w:t>մի</w:t>
      </w:r>
      <w:r w:rsidRPr="00082280">
        <w:rPr>
          <w:rFonts w:cs="Sylfaen"/>
          <w:b w:val="0"/>
          <w:iCs/>
          <w:szCs w:val="22"/>
          <w:lang w:val="af-ZA" w:eastAsia="en-GB"/>
        </w:rPr>
        <w:softHyphen/>
        <w:t>ջոցներից 2024 թվակ</w:t>
      </w:r>
      <w:r w:rsidR="00607D7F">
        <w:rPr>
          <w:rFonts w:cs="Sylfaen"/>
          <w:b w:val="0"/>
          <w:iCs/>
          <w:szCs w:val="22"/>
          <w:lang w:val="af-ZA" w:eastAsia="en-GB"/>
        </w:rPr>
        <w:t>անի մուտքերը գնահատվել են 21,411</w:t>
      </w:r>
      <w:r w:rsidRPr="00082280">
        <w:rPr>
          <w:rFonts w:cs="Sylfaen"/>
          <w:b w:val="0"/>
          <w:iCs/>
          <w:szCs w:val="22"/>
          <w:lang w:val="af-ZA" w:eastAsia="en-GB"/>
        </w:rPr>
        <w:t>.7 մլն դրամի չափով` 2023 թվա</w:t>
      </w:r>
      <w:r w:rsidRPr="00082280">
        <w:rPr>
          <w:rFonts w:cs="Sylfaen"/>
          <w:b w:val="0"/>
          <w:iCs/>
          <w:szCs w:val="22"/>
          <w:lang w:val="af-ZA" w:eastAsia="en-GB"/>
        </w:rPr>
        <w:softHyphen/>
        <w:t>կա</w:t>
      </w:r>
      <w:r w:rsidRPr="00082280">
        <w:rPr>
          <w:rFonts w:cs="Sylfaen"/>
          <w:b w:val="0"/>
          <w:iCs/>
          <w:szCs w:val="22"/>
          <w:lang w:val="af-ZA" w:eastAsia="en-GB"/>
        </w:rPr>
        <w:softHyphen/>
        <w:t>նի հա</w:t>
      </w:r>
      <w:r w:rsidRPr="00082280">
        <w:rPr>
          <w:rFonts w:cs="Sylfaen"/>
          <w:b w:val="0"/>
          <w:iCs/>
          <w:szCs w:val="22"/>
          <w:lang w:val="af-ZA" w:eastAsia="en-GB"/>
        </w:rPr>
        <w:softHyphen/>
        <w:t>մար ծրա</w:t>
      </w:r>
      <w:r w:rsidRPr="00082280">
        <w:rPr>
          <w:rFonts w:cs="Sylfaen"/>
          <w:b w:val="0"/>
          <w:iCs/>
          <w:szCs w:val="22"/>
          <w:lang w:val="af-ZA" w:eastAsia="en-GB"/>
        </w:rPr>
        <w:softHyphen/>
        <w:t>գրված 14,198.0 մլն դրամի և 2022 թվա</w:t>
      </w:r>
      <w:r w:rsidRPr="00082280">
        <w:rPr>
          <w:rFonts w:cs="Sylfaen"/>
          <w:b w:val="0"/>
          <w:iCs/>
          <w:szCs w:val="22"/>
          <w:lang w:val="af-ZA" w:eastAsia="en-GB"/>
        </w:rPr>
        <w:softHyphen/>
      </w:r>
      <w:r w:rsidRPr="00082280">
        <w:rPr>
          <w:rFonts w:cs="Sylfaen"/>
          <w:b w:val="0"/>
          <w:iCs/>
          <w:szCs w:val="22"/>
          <w:lang w:val="af-ZA" w:eastAsia="en-GB"/>
        </w:rPr>
        <w:softHyphen/>
        <w:t>կանին փաս</w:t>
      </w:r>
      <w:r w:rsidRPr="00082280">
        <w:rPr>
          <w:rFonts w:cs="Sylfaen"/>
          <w:b w:val="0"/>
          <w:iCs/>
          <w:szCs w:val="22"/>
          <w:lang w:val="af-ZA" w:eastAsia="en-GB"/>
        </w:rPr>
        <w:softHyphen/>
      </w:r>
      <w:r w:rsidRPr="00082280">
        <w:rPr>
          <w:rFonts w:cs="Sylfaen"/>
          <w:b w:val="0"/>
          <w:iCs/>
          <w:szCs w:val="22"/>
          <w:lang w:val="af-ZA" w:eastAsia="en-GB"/>
        </w:rPr>
        <w:softHyphen/>
        <w:t>տացի ստաց</w:t>
      </w:r>
      <w:r w:rsidRPr="00082280">
        <w:rPr>
          <w:rFonts w:cs="Sylfaen"/>
          <w:b w:val="0"/>
          <w:iCs/>
          <w:szCs w:val="22"/>
          <w:lang w:val="af-ZA" w:eastAsia="en-GB"/>
        </w:rPr>
        <w:softHyphen/>
        <w:t>ված 19,537.4 մլն դրամի դիմաց: Կանխատեսումները կա</w:t>
      </w:r>
      <w:r w:rsidRPr="00082280">
        <w:rPr>
          <w:rFonts w:cs="Sylfaen"/>
          <w:b w:val="0"/>
          <w:iCs/>
          <w:szCs w:val="22"/>
          <w:lang w:val="af-ZA" w:eastAsia="en-GB"/>
        </w:rPr>
        <w:softHyphen/>
        <w:t>տար</w:t>
      </w:r>
      <w:r w:rsidRPr="00082280">
        <w:rPr>
          <w:rFonts w:cs="Sylfaen"/>
          <w:b w:val="0"/>
          <w:iCs/>
          <w:szCs w:val="22"/>
          <w:lang w:val="af-ZA" w:eastAsia="en-GB"/>
        </w:rPr>
        <w:softHyphen/>
      </w:r>
      <w:r w:rsidRPr="00082280">
        <w:rPr>
          <w:rFonts w:cs="Sylfaen"/>
          <w:b w:val="0"/>
          <w:iCs/>
          <w:szCs w:val="22"/>
          <w:lang w:val="af-ZA" w:eastAsia="en-GB"/>
        </w:rPr>
        <w:softHyphen/>
        <w:t>ված են ըստ հա</w:t>
      </w:r>
      <w:r w:rsidRPr="00082280">
        <w:rPr>
          <w:rFonts w:cs="Sylfaen"/>
          <w:b w:val="0"/>
          <w:iCs/>
          <w:szCs w:val="22"/>
          <w:lang w:val="af-ZA" w:eastAsia="en-GB"/>
        </w:rPr>
        <w:softHyphen/>
      </w:r>
      <w:r w:rsidRPr="00082280">
        <w:rPr>
          <w:rFonts w:cs="Sylfaen"/>
          <w:b w:val="0"/>
          <w:iCs/>
          <w:szCs w:val="22"/>
          <w:lang w:val="af-ZA" w:eastAsia="en-GB"/>
        </w:rPr>
        <w:softHyphen/>
        <w:t>մա</w:t>
      </w:r>
      <w:r w:rsidRPr="00082280">
        <w:rPr>
          <w:rFonts w:cs="Sylfaen"/>
          <w:b w:val="0"/>
          <w:iCs/>
          <w:szCs w:val="22"/>
          <w:lang w:val="af-ZA" w:eastAsia="en-GB"/>
        </w:rPr>
        <w:softHyphen/>
        <w:t>պա</w:t>
      </w:r>
      <w:r w:rsidRPr="00082280">
        <w:rPr>
          <w:rFonts w:cs="Sylfaen"/>
          <w:b w:val="0"/>
          <w:iCs/>
          <w:szCs w:val="22"/>
          <w:lang w:val="af-ZA" w:eastAsia="en-GB"/>
        </w:rPr>
        <w:softHyphen/>
      </w:r>
      <w:r w:rsidRPr="00082280">
        <w:rPr>
          <w:rFonts w:cs="Sylfaen"/>
          <w:b w:val="0"/>
          <w:iCs/>
          <w:szCs w:val="22"/>
          <w:lang w:val="af-ZA" w:eastAsia="en-GB"/>
        </w:rPr>
        <w:softHyphen/>
        <w:t>տաս</w:t>
      </w:r>
      <w:r w:rsidRPr="00082280">
        <w:rPr>
          <w:rFonts w:cs="Sylfaen"/>
          <w:b w:val="0"/>
          <w:iCs/>
          <w:szCs w:val="22"/>
          <w:lang w:val="af-ZA" w:eastAsia="en-GB"/>
        </w:rPr>
        <w:softHyphen/>
        <w:t>խան իրա</w:t>
      </w:r>
      <w:r w:rsidRPr="00082280">
        <w:rPr>
          <w:rFonts w:cs="Sylfaen"/>
          <w:b w:val="0"/>
          <w:iCs/>
          <w:szCs w:val="22"/>
          <w:lang w:val="af-ZA" w:eastAsia="en-GB"/>
        </w:rPr>
        <w:softHyphen/>
        <w:t>վա</w:t>
      </w:r>
      <w:r w:rsidRPr="00082280">
        <w:rPr>
          <w:rFonts w:cs="Sylfaen"/>
          <w:b w:val="0"/>
          <w:iCs/>
          <w:szCs w:val="22"/>
          <w:lang w:val="af-ZA" w:eastAsia="en-GB"/>
        </w:rPr>
        <w:softHyphen/>
        <w:t>կան հիմքով վարչական պատժամիջոց կի</w:t>
      </w:r>
      <w:r w:rsidRPr="00082280">
        <w:rPr>
          <w:rFonts w:cs="Sylfaen"/>
          <w:b w:val="0"/>
          <w:iCs/>
          <w:szCs w:val="22"/>
          <w:lang w:val="af-ZA" w:eastAsia="en-GB"/>
        </w:rPr>
        <w:softHyphen/>
        <w:t>րա</w:t>
      </w:r>
      <w:r w:rsidRPr="00082280">
        <w:rPr>
          <w:rFonts w:cs="Sylfaen"/>
          <w:b w:val="0"/>
          <w:iCs/>
          <w:szCs w:val="22"/>
          <w:lang w:val="af-ZA" w:eastAsia="en-GB"/>
        </w:rPr>
        <w:softHyphen/>
        <w:t>ռող պե</w:t>
      </w:r>
      <w:r w:rsidRPr="00082280">
        <w:rPr>
          <w:rFonts w:cs="Sylfaen"/>
          <w:b w:val="0"/>
          <w:iCs/>
          <w:szCs w:val="22"/>
          <w:lang w:val="af-ZA" w:eastAsia="en-GB"/>
        </w:rPr>
        <w:softHyphen/>
      </w:r>
      <w:r w:rsidRPr="00082280">
        <w:rPr>
          <w:rFonts w:cs="Sylfaen"/>
          <w:b w:val="0"/>
          <w:iCs/>
          <w:szCs w:val="22"/>
          <w:lang w:val="af-ZA" w:eastAsia="en-GB"/>
        </w:rPr>
        <w:softHyphen/>
        <w:t>տա</w:t>
      </w:r>
      <w:r w:rsidRPr="00082280">
        <w:rPr>
          <w:rFonts w:cs="Sylfaen"/>
          <w:b w:val="0"/>
          <w:iCs/>
          <w:szCs w:val="22"/>
          <w:lang w:val="af-ZA" w:eastAsia="en-GB"/>
        </w:rPr>
        <w:softHyphen/>
        <w:t>կան կա</w:t>
      </w:r>
      <w:r w:rsidRPr="00082280">
        <w:rPr>
          <w:rFonts w:cs="Sylfaen"/>
          <w:b w:val="0"/>
          <w:iCs/>
          <w:szCs w:val="22"/>
          <w:lang w:val="af-ZA" w:eastAsia="en-GB"/>
        </w:rPr>
        <w:softHyphen/>
        <w:t>ռա</w:t>
      </w:r>
      <w:r w:rsidRPr="00082280">
        <w:rPr>
          <w:rFonts w:cs="Sylfaen"/>
          <w:b w:val="0"/>
          <w:iCs/>
          <w:szCs w:val="22"/>
          <w:lang w:val="af-ZA" w:eastAsia="en-GB"/>
        </w:rPr>
        <w:softHyphen/>
        <w:t>վար</w:t>
      </w:r>
      <w:r w:rsidRPr="00082280">
        <w:rPr>
          <w:rFonts w:cs="Sylfaen"/>
          <w:b w:val="0"/>
          <w:iCs/>
          <w:szCs w:val="22"/>
          <w:lang w:val="af-ZA" w:eastAsia="en-GB"/>
        </w:rPr>
        <w:softHyphen/>
        <w:t>ման մար</w:t>
      </w:r>
      <w:r w:rsidRPr="00082280">
        <w:rPr>
          <w:rFonts w:cs="Sylfaen"/>
          <w:b w:val="0"/>
          <w:iCs/>
          <w:szCs w:val="22"/>
          <w:lang w:val="af-ZA" w:eastAsia="en-GB"/>
        </w:rPr>
        <w:softHyphen/>
      </w:r>
      <w:r w:rsidRPr="00082280">
        <w:rPr>
          <w:rFonts w:cs="Sylfaen"/>
          <w:b w:val="0"/>
          <w:iCs/>
          <w:szCs w:val="22"/>
          <w:lang w:val="af-ZA" w:eastAsia="en-GB"/>
        </w:rPr>
        <w:softHyphen/>
        <w:t>մին</w:t>
      </w:r>
      <w:r w:rsidRPr="00082280">
        <w:rPr>
          <w:rFonts w:cs="Sylfaen"/>
          <w:b w:val="0"/>
          <w:iCs/>
          <w:szCs w:val="22"/>
          <w:lang w:val="af-ZA" w:eastAsia="en-GB"/>
        </w:rPr>
        <w:softHyphen/>
        <w:t>ների` հաշ</w:t>
      </w:r>
      <w:r w:rsidRPr="00082280">
        <w:rPr>
          <w:rFonts w:cs="Sylfaen"/>
          <w:b w:val="0"/>
          <w:iCs/>
          <w:szCs w:val="22"/>
          <w:lang w:val="af-ZA" w:eastAsia="en-GB"/>
        </w:rPr>
        <w:softHyphen/>
        <w:t>վի առ</w:t>
      </w:r>
      <w:r w:rsidRPr="00082280">
        <w:rPr>
          <w:rFonts w:cs="Sylfaen"/>
          <w:b w:val="0"/>
          <w:iCs/>
          <w:szCs w:val="22"/>
          <w:lang w:val="af-ZA" w:eastAsia="en-GB"/>
        </w:rPr>
        <w:softHyphen/>
        <w:t>նե</w:t>
      </w:r>
      <w:r w:rsidRPr="00082280">
        <w:rPr>
          <w:rFonts w:cs="Sylfaen"/>
          <w:b w:val="0"/>
          <w:iCs/>
          <w:szCs w:val="22"/>
          <w:lang w:val="af-ZA" w:eastAsia="en-GB"/>
        </w:rPr>
        <w:softHyphen/>
        <w:t>լով պատ</w:t>
      </w:r>
      <w:r w:rsidRPr="00082280">
        <w:rPr>
          <w:rFonts w:cs="Sylfaen"/>
          <w:b w:val="0"/>
          <w:iCs/>
          <w:szCs w:val="22"/>
          <w:lang w:val="af-ZA" w:eastAsia="en-GB"/>
        </w:rPr>
        <w:softHyphen/>
      </w:r>
      <w:r w:rsidRPr="00082280">
        <w:rPr>
          <w:rFonts w:cs="Sylfaen"/>
          <w:b w:val="0"/>
          <w:iCs/>
          <w:szCs w:val="22"/>
          <w:lang w:val="af-ZA" w:eastAsia="en-GB"/>
        </w:rPr>
        <w:softHyphen/>
        <w:t>ժա</w:t>
      </w:r>
      <w:r w:rsidRPr="00082280">
        <w:rPr>
          <w:rFonts w:cs="Sylfaen"/>
          <w:b w:val="0"/>
          <w:iCs/>
          <w:szCs w:val="22"/>
          <w:lang w:val="af-ZA" w:eastAsia="en-GB"/>
        </w:rPr>
        <w:softHyphen/>
        <w:t>մի</w:t>
      </w:r>
      <w:r w:rsidRPr="00082280">
        <w:rPr>
          <w:rFonts w:cs="Sylfaen"/>
          <w:b w:val="0"/>
          <w:iCs/>
          <w:szCs w:val="22"/>
          <w:lang w:val="af-ZA" w:eastAsia="en-GB"/>
        </w:rPr>
        <w:softHyphen/>
        <w:t>ջոց</w:t>
      </w:r>
      <w:r w:rsidRPr="00082280">
        <w:rPr>
          <w:rFonts w:cs="Sylfaen"/>
          <w:b w:val="0"/>
          <w:iCs/>
          <w:szCs w:val="22"/>
          <w:lang w:val="af-ZA" w:eastAsia="en-GB"/>
        </w:rPr>
        <w:softHyphen/>
      </w:r>
      <w:r w:rsidRPr="00082280">
        <w:rPr>
          <w:rFonts w:cs="Sylfaen"/>
          <w:b w:val="0"/>
          <w:iCs/>
          <w:szCs w:val="22"/>
          <w:lang w:val="af-ZA" w:eastAsia="en-GB"/>
        </w:rPr>
        <w:softHyphen/>
        <w:t>ների գծով 2021-2023 թվա</w:t>
      </w:r>
      <w:r w:rsidRPr="00082280">
        <w:rPr>
          <w:rFonts w:cs="Sylfaen"/>
          <w:b w:val="0"/>
          <w:iCs/>
          <w:szCs w:val="22"/>
          <w:lang w:val="af-ZA" w:eastAsia="en-GB"/>
        </w:rPr>
        <w:softHyphen/>
      </w:r>
      <w:r w:rsidRPr="00082280">
        <w:rPr>
          <w:rFonts w:cs="Sylfaen"/>
          <w:b w:val="0"/>
          <w:iCs/>
          <w:szCs w:val="22"/>
          <w:lang w:val="af-ZA" w:eastAsia="en-GB"/>
        </w:rPr>
        <w:softHyphen/>
        <w:t>կան</w:t>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րի մուտ</w:t>
      </w:r>
      <w:r w:rsidRPr="00082280">
        <w:rPr>
          <w:rFonts w:cs="Sylfaen"/>
          <w:b w:val="0"/>
          <w:iCs/>
          <w:szCs w:val="22"/>
          <w:lang w:val="af-ZA" w:eastAsia="en-GB"/>
        </w:rPr>
        <w:softHyphen/>
        <w:t>քերի հա</w:t>
      </w:r>
      <w:r w:rsidRPr="00082280">
        <w:rPr>
          <w:rFonts w:cs="Sylfaen"/>
          <w:b w:val="0"/>
          <w:iCs/>
          <w:szCs w:val="22"/>
          <w:lang w:val="af-ZA" w:eastAsia="en-GB"/>
        </w:rPr>
        <w:softHyphen/>
        <w:t>վաքագրման միտումները, ինչպես նաև այս բնա</w:t>
      </w:r>
      <w:r w:rsidRPr="00082280">
        <w:rPr>
          <w:rFonts w:cs="Sylfaen"/>
          <w:b w:val="0"/>
          <w:iCs/>
          <w:szCs w:val="22"/>
          <w:lang w:val="af-ZA" w:eastAsia="en-GB"/>
        </w:rPr>
        <w:softHyphen/>
        <w:t>գա</w:t>
      </w:r>
      <w:r w:rsidRPr="00082280">
        <w:rPr>
          <w:rFonts w:cs="Sylfaen"/>
          <w:b w:val="0"/>
          <w:iCs/>
          <w:szCs w:val="22"/>
          <w:lang w:val="af-ZA" w:eastAsia="en-GB"/>
        </w:rPr>
        <w:softHyphen/>
        <w:t>վա</w:t>
      </w:r>
      <w:r w:rsidRPr="00082280">
        <w:rPr>
          <w:rFonts w:cs="Sylfaen"/>
          <w:b w:val="0"/>
          <w:iCs/>
          <w:szCs w:val="22"/>
          <w:lang w:val="af-ZA" w:eastAsia="en-GB"/>
        </w:rPr>
        <w:softHyphen/>
      </w:r>
      <w:r w:rsidRPr="00082280">
        <w:rPr>
          <w:rFonts w:cs="Sylfaen"/>
          <w:b w:val="0"/>
          <w:iCs/>
          <w:szCs w:val="22"/>
          <w:lang w:val="af-ZA" w:eastAsia="en-GB"/>
        </w:rPr>
        <w:softHyphen/>
        <w:t>ռում իրա</w:t>
      </w:r>
      <w:r w:rsidRPr="00082280">
        <w:rPr>
          <w:rFonts w:cs="Sylfaen"/>
          <w:b w:val="0"/>
          <w:iCs/>
          <w:szCs w:val="22"/>
          <w:lang w:val="af-ZA" w:eastAsia="en-GB"/>
        </w:rPr>
        <w:softHyphen/>
        <w:t>կա</w:t>
      </w:r>
      <w:r w:rsidRPr="00082280">
        <w:rPr>
          <w:rFonts w:cs="Sylfaen"/>
          <w:b w:val="0"/>
          <w:iCs/>
          <w:szCs w:val="22"/>
          <w:lang w:val="af-ZA" w:eastAsia="en-GB"/>
        </w:rPr>
        <w:softHyphen/>
        <w:t>նաց</w:t>
      </w:r>
      <w:r w:rsidRPr="00082280">
        <w:rPr>
          <w:rFonts w:cs="Sylfaen"/>
          <w:b w:val="0"/>
          <w:iCs/>
          <w:szCs w:val="22"/>
          <w:lang w:val="af-ZA" w:eastAsia="en-GB"/>
        </w:rPr>
        <w:softHyphen/>
        <w:t>ված օրենս</w:t>
      </w:r>
      <w:r w:rsidRPr="00082280">
        <w:rPr>
          <w:rFonts w:cs="Sylfaen"/>
          <w:b w:val="0"/>
          <w:iCs/>
          <w:szCs w:val="22"/>
          <w:lang w:val="af-ZA" w:eastAsia="en-GB"/>
        </w:rPr>
        <w:softHyphen/>
      </w:r>
      <w:r w:rsidRPr="00082280">
        <w:rPr>
          <w:rFonts w:cs="Sylfaen"/>
          <w:b w:val="0"/>
          <w:iCs/>
          <w:szCs w:val="22"/>
          <w:lang w:val="af-ZA" w:eastAsia="en-GB"/>
        </w:rPr>
        <w:softHyphen/>
        <w:t>դրա</w:t>
      </w:r>
      <w:r w:rsidRPr="00082280">
        <w:rPr>
          <w:rFonts w:cs="Sylfaen"/>
          <w:b w:val="0"/>
          <w:iCs/>
          <w:szCs w:val="22"/>
          <w:lang w:val="af-ZA" w:eastAsia="en-GB"/>
        </w:rPr>
        <w:softHyphen/>
        <w:t>կան փո</w:t>
      </w:r>
      <w:r w:rsidRPr="00082280">
        <w:rPr>
          <w:rFonts w:cs="Sylfaen"/>
          <w:b w:val="0"/>
          <w:iCs/>
          <w:szCs w:val="22"/>
          <w:lang w:val="af-ZA" w:eastAsia="en-GB"/>
        </w:rPr>
        <w:softHyphen/>
        <w:t>փո</w:t>
      </w:r>
      <w:r w:rsidRPr="00082280">
        <w:rPr>
          <w:rFonts w:cs="Sylfaen"/>
          <w:b w:val="0"/>
          <w:iCs/>
          <w:szCs w:val="22"/>
          <w:lang w:val="af-ZA" w:eastAsia="en-GB"/>
        </w:rPr>
        <w:softHyphen/>
        <w:t>խու</w:t>
      </w:r>
      <w:r w:rsidRPr="00082280">
        <w:rPr>
          <w:rFonts w:cs="Sylfaen"/>
          <w:b w:val="0"/>
          <w:iCs/>
          <w:szCs w:val="22"/>
          <w:lang w:val="af-ZA" w:eastAsia="en-GB"/>
        </w:rPr>
        <w:softHyphen/>
        <w:t>թյունները:</w:t>
      </w:r>
    </w:p>
    <w:p w14:paraId="24B0AEC2"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Ապրանքների մատակարարումից և ծառայությունների մատուցումից եկամուտների գծով 2024 թվականի պետական բյու</w:t>
      </w:r>
      <w:r w:rsidR="00607D7F">
        <w:rPr>
          <w:rFonts w:cs="Sylfaen"/>
          <w:b w:val="0"/>
          <w:iCs/>
          <w:szCs w:val="22"/>
          <w:lang w:val="af-ZA" w:eastAsia="en-GB"/>
        </w:rPr>
        <w:t>ջեի մուտքերը գնահատվել են 21,097</w:t>
      </w:r>
      <w:r w:rsidRPr="00082280">
        <w:rPr>
          <w:rFonts w:cs="Sylfaen"/>
          <w:b w:val="0"/>
          <w:iCs/>
          <w:szCs w:val="22"/>
          <w:lang w:val="af-ZA" w:eastAsia="en-GB"/>
        </w:rPr>
        <w:t>.3 մլն դրամի չափով` 2023 թվա</w:t>
      </w:r>
      <w:r w:rsidRPr="00082280">
        <w:rPr>
          <w:rFonts w:cs="Sylfaen"/>
          <w:b w:val="0"/>
          <w:iCs/>
          <w:szCs w:val="22"/>
          <w:lang w:val="af-ZA" w:eastAsia="en-GB"/>
        </w:rPr>
        <w:softHyphen/>
        <w:t>կա</w:t>
      </w:r>
      <w:r w:rsidRPr="00082280">
        <w:rPr>
          <w:rFonts w:cs="Sylfaen"/>
          <w:b w:val="0"/>
          <w:iCs/>
          <w:szCs w:val="22"/>
          <w:lang w:val="af-ZA" w:eastAsia="en-GB"/>
        </w:rPr>
        <w:softHyphen/>
        <w:t>նի հա</w:t>
      </w:r>
      <w:r w:rsidRPr="00082280">
        <w:rPr>
          <w:rFonts w:cs="Sylfaen"/>
          <w:b w:val="0"/>
          <w:iCs/>
          <w:szCs w:val="22"/>
          <w:lang w:val="af-ZA" w:eastAsia="en-GB"/>
        </w:rPr>
        <w:softHyphen/>
        <w:t>մար ծրա</w:t>
      </w:r>
      <w:r w:rsidRPr="00082280">
        <w:rPr>
          <w:rFonts w:cs="Sylfaen"/>
          <w:b w:val="0"/>
          <w:iCs/>
          <w:szCs w:val="22"/>
          <w:lang w:val="af-ZA" w:eastAsia="en-GB"/>
        </w:rPr>
        <w:softHyphen/>
        <w:t>գրված 19,683.4 մլն դրամի և 2022 թվա</w:t>
      </w:r>
      <w:r w:rsidRPr="00082280">
        <w:rPr>
          <w:rFonts w:cs="Sylfaen"/>
          <w:b w:val="0"/>
          <w:iCs/>
          <w:szCs w:val="22"/>
          <w:lang w:val="af-ZA" w:eastAsia="en-GB"/>
        </w:rPr>
        <w:softHyphen/>
      </w:r>
      <w:r w:rsidRPr="00082280">
        <w:rPr>
          <w:rFonts w:cs="Sylfaen"/>
          <w:b w:val="0"/>
          <w:iCs/>
          <w:szCs w:val="22"/>
          <w:lang w:val="af-ZA" w:eastAsia="en-GB"/>
        </w:rPr>
        <w:softHyphen/>
        <w:t>կանին փաս</w:t>
      </w:r>
      <w:r w:rsidRPr="00082280">
        <w:rPr>
          <w:rFonts w:cs="Sylfaen"/>
          <w:b w:val="0"/>
          <w:iCs/>
          <w:szCs w:val="22"/>
          <w:lang w:val="af-ZA" w:eastAsia="en-GB"/>
        </w:rPr>
        <w:softHyphen/>
      </w:r>
      <w:r w:rsidRPr="00082280">
        <w:rPr>
          <w:rFonts w:cs="Sylfaen"/>
          <w:b w:val="0"/>
          <w:iCs/>
          <w:szCs w:val="22"/>
          <w:lang w:val="af-ZA" w:eastAsia="en-GB"/>
        </w:rPr>
        <w:softHyphen/>
        <w:t>տացի ստաց</w:t>
      </w:r>
      <w:r w:rsidRPr="00082280">
        <w:rPr>
          <w:rFonts w:cs="Sylfaen"/>
          <w:b w:val="0"/>
          <w:iCs/>
          <w:szCs w:val="22"/>
          <w:lang w:val="af-ZA" w:eastAsia="en-GB"/>
        </w:rPr>
        <w:softHyphen/>
        <w:t>ված 22,664.8 մլն դրամի դիմաց: Կանխատեսումները կատարվել են պետական կառավարման մարմիններից ստացված հայտերի և 2021-2023 թվա</w:t>
      </w:r>
      <w:r w:rsidRPr="00082280">
        <w:rPr>
          <w:rFonts w:cs="Sylfaen"/>
          <w:b w:val="0"/>
          <w:iCs/>
          <w:szCs w:val="22"/>
          <w:lang w:val="af-ZA" w:eastAsia="en-GB"/>
        </w:rPr>
        <w:softHyphen/>
      </w:r>
      <w:r w:rsidRPr="00082280">
        <w:rPr>
          <w:rFonts w:cs="Sylfaen"/>
          <w:b w:val="0"/>
          <w:iCs/>
          <w:szCs w:val="22"/>
          <w:lang w:val="af-ZA" w:eastAsia="en-GB"/>
        </w:rPr>
        <w:softHyphen/>
        <w:t>կան</w:t>
      </w:r>
      <w:r w:rsidRPr="00082280">
        <w:rPr>
          <w:rFonts w:cs="Sylfaen"/>
          <w:b w:val="0"/>
          <w:iCs/>
          <w:szCs w:val="22"/>
          <w:lang w:val="af-ZA" w:eastAsia="en-GB"/>
        </w:rPr>
        <w:softHyphen/>
      </w:r>
      <w:r w:rsidRPr="00082280">
        <w:rPr>
          <w:rFonts w:cs="Sylfaen"/>
          <w:b w:val="0"/>
          <w:iCs/>
          <w:szCs w:val="22"/>
          <w:lang w:val="af-ZA" w:eastAsia="en-GB"/>
        </w:rPr>
        <w:softHyphen/>
        <w:t>նե</w:t>
      </w:r>
      <w:r w:rsidRPr="00082280">
        <w:rPr>
          <w:rFonts w:cs="Sylfaen"/>
          <w:b w:val="0"/>
          <w:iCs/>
          <w:szCs w:val="22"/>
          <w:lang w:val="af-ZA" w:eastAsia="en-GB"/>
        </w:rPr>
        <w:softHyphen/>
        <w:t>րի մուտ</w:t>
      </w:r>
      <w:r w:rsidRPr="00082280">
        <w:rPr>
          <w:rFonts w:cs="Sylfaen"/>
          <w:b w:val="0"/>
          <w:iCs/>
          <w:szCs w:val="22"/>
          <w:lang w:val="af-ZA" w:eastAsia="en-GB"/>
        </w:rPr>
        <w:softHyphen/>
        <w:t>քերի հա</w:t>
      </w:r>
      <w:r w:rsidRPr="00082280">
        <w:rPr>
          <w:rFonts w:cs="Sylfaen"/>
          <w:b w:val="0"/>
          <w:iCs/>
          <w:szCs w:val="22"/>
          <w:lang w:val="af-ZA" w:eastAsia="en-GB"/>
        </w:rPr>
        <w:softHyphen/>
        <w:t>վաքագրման միտումների հիման վրա:</w:t>
      </w:r>
    </w:p>
    <w:p w14:paraId="292D0D6A" w14:textId="77777777" w:rsidR="00082280" w:rsidRPr="00082280" w:rsidRDefault="00082280" w:rsidP="00701F87">
      <w:pPr>
        <w:rPr>
          <w:rFonts w:cs="Sylfaen"/>
          <w:b w:val="0"/>
          <w:iCs/>
          <w:szCs w:val="22"/>
          <w:lang w:val="af-ZA" w:eastAsia="en-GB"/>
        </w:rPr>
      </w:pPr>
      <w:r w:rsidRPr="00082280">
        <w:rPr>
          <w:rFonts w:cs="Sylfaen"/>
          <w:b w:val="0"/>
          <w:iCs/>
          <w:szCs w:val="22"/>
          <w:lang w:val="af-ZA" w:eastAsia="en-GB"/>
        </w:rPr>
        <w:t>Օրենքով և իրավական այլ ակտերով սահմանված՝ պետական բյուջե մուտքագրվող այլ եկա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մուտ</w:t>
      </w:r>
      <w:r w:rsidRPr="00082280">
        <w:rPr>
          <w:rFonts w:cs="Sylfaen"/>
          <w:b w:val="0"/>
          <w:iCs/>
          <w:szCs w:val="22"/>
          <w:lang w:val="af-ZA" w:eastAsia="en-GB"/>
        </w:rPr>
        <w:softHyphen/>
        <w:t>ների գծով 2024 թվականի պետական բյո</w:t>
      </w:r>
      <w:r w:rsidR="00607D7F">
        <w:rPr>
          <w:rFonts w:cs="Sylfaen"/>
          <w:b w:val="0"/>
          <w:iCs/>
          <w:szCs w:val="22"/>
          <w:lang w:val="af-ZA" w:eastAsia="en-GB"/>
        </w:rPr>
        <w:t>ւջեի մուտքերը գնահատվել են 4,730</w:t>
      </w:r>
      <w:r w:rsidRPr="00082280">
        <w:rPr>
          <w:rFonts w:cs="Sylfaen"/>
          <w:b w:val="0"/>
          <w:iCs/>
          <w:szCs w:val="22"/>
          <w:lang w:val="af-ZA" w:eastAsia="en-GB"/>
        </w:rPr>
        <w:t>.6 մլն դրա</w:t>
      </w:r>
      <w:r w:rsidRPr="00082280">
        <w:rPr>
          <w:rFonts w:cs="Sylfaen"/>
          <w:b w:val="0"/>
          <w:iCs/>
          <w:szCs w:val="22"/>
          <w:lang w:val="af-ZA" w:eastAsia="en-GB"/>
        </w:rPr>
        <w:softHyphen/>
      </w:r>
      <w:r w:rsidRPr="00082280">
        <w:rPr>
          <w:rFonts w:cs="Sylfaen"/>
          <w:b w:val="0"/>
          <w:iCs/>
          <w:szCs w:val="22"/>
          <w:lang w:val="af-ZA" w:eastAsia="en-GB"/>
        </w:rPr>
        <w:softHyphen/>
      </w:r>
      <w:r w:rsidRPr="00082280">
        <w:rPr>
          <w:rFonts w:cs="Sylfaen"/>
          <w:b w:val="0"/>
          <w:iCs/>
          <w:szCs w:val="22"/>
          <w:lang w:val="af-ZA" w:eastAsia="en-GB"/>
        </w:rPr>
        <w:softHyphen/>
        <w:t>մի չա</w:t>
      </w:r>
      <w:r w:rsidRPr="00082280">
        <w:rPr>
          <w:rFonts w:cs="Sylfaen"/>
          <w:b w:val="0"/>
          <w:iCs/>
          <w:szCs w:val="22"/>
          <w:lang w:val="af-ZA" w:eastAsia="en-GB"/>
        </w:rPr>
        <w:softHyphen/>
        <w:t>փով` 2023 թվականի համար ծրագրված 2,088.0 մլ</w:t>
      </w:r>
      <w:r w:rsidRPr="00082280">
        <w:rPr>
          <w:rFonts w:cs="Sylfaen"/>
          <w:b w:val="0"/>
          <w:iCs/>
          <w:szCs w:val="22"/>
          <w:lang w:val="hy-AM" w:eastAsia="en-GB"/>
        </w:rPr>
        <w:t>ն</w:t>
      </w:r>
      <w:r w:rsidRPr="00082280">
        <w:rPr>
          <w:rFonts w:cs="Sylfaen"/>
          <w:b w:val="0"/>
          <w:iCs/>
          <w:szCs w:val="22"/>
          <w:lang w:val="af-ZA" w:eastAsia="en-GB"/>
        </w:rPr>
        <w:t xml:space="preserve"> դրամի և 2022 թվա</w:t>
      </w:r>
      <w:r w:rsidRPr="00082280">
        <w:rPr>
          <w:rFonts w:cs="Sylfaen"/>
          <w:b w:val="0"/>
          <w:iCs/>
          <w:szCs w:val="22"/>
          <w:lang w:val="af-ZA" w:eastAsia="en-GB"/>
        </w:rPr>
        <w:softHyphen/>
      </w:r>
      <w:r w:rsidRPr="00082280">
        <w:rPr>
          <w:rFonts w:cs="Sylfaen"/>
          <w:b w:val="0"/>
          <w:iCs/>
          <w:szCs w:val="22"/>
          <w:lang w:val="af-ZA" w:eastAsia="en-GB"/>
        </w:rPr>
        <w:softHyphen/>
        <w:t>կանին փաս</w:t>
      </w:r>
      <w:r w:rsidRPr="00082280">
        <w:rPr>
          <w:rFonts w:cs="Sylfaen"/>
          <w:b w:val="0"/>
          <w:iCs/>
          <w:szCs w:val="22"/>
          <w:lang w:val="af-ZA" w:eastAsia="en-GB"/>
        </w:rPr>
        <w:softHyphen/>
      </w:r>
      <w:r w:rsidRPr="00082280">
        <w:rPr>
          <w:rFonts w:cs="Sylfaen"/>
          <w:b w:val="0"/>
          <w:iCs/>
          <w:szCs w:val="22"/>
          <w:lang w:val="af-ZA" w:eastAsia="en-GB"/>
        </w:rPr>
        <w:softHyphen/>
        <w:t>տացի ստաց</w:t>
      </w:r>
      <w:r w:rsidRPr="00082280">
        <w:rPr>
          <w:rFonts w:cs="Sylfaen"/>
          <w:b w:val="0"/>
          <w:iCs/>
          <w:szCs w:val="22"/>
          <w:lang w:val="af-ZA" w:eastAsia="en-GB"/>
        </w:rPr>
        <w:softHyphen/>
        <w:t>ված 23,396.3 մլն դրամի դիմաց: Այն կանխատեսվել է՝  ելնելով նախորդ տարիների փաստացի մուտքերի միտումներից:</w:t>
      </w:r>
    </w:p>
    <w:p w14:paraId="4068532E" w14:textId="77777777" w:rsidR="00082280" w:rsidRPr="00082280" w:rsidRDefault="00082280" w:rsidP="00701F87">
      <w:pPr>
        <w:rPr>
          <w:lang w:val="af-ZA"/>
        </w:rPr>
      </w:pPr>
    </w:p>
    <w:p w14:paraId="7D4BE3F9" w14:textId="77777777" w:rsidR="0081332F" w:rsidRPr="002D578A" w:rsidRDefault="0081332F" w:rsidP="002E02D6">
      <w:pPr>
        <w:rPr>
          <w:rFonts w:cs="Sylfaen"/>
          <w:b w:val="0"/>
          <w:iCs/>
          <w:szCs w:val="22"/>
          <w:lang w:val="af-ZA" w:eastAsia="en-GB"/>
        </w:rPr>
      </w:pPr>
    </w:p>
    <w:p w14:paraId="6375C69C" w14:textId="77777777" w:rsidR="0081332F" w:rsidRPr="007955BB" w:rsidRDefault="0081332F" w:rsidP="002E02D6">
      <w:pPr>
        <w:rPr>
          <w:sz w:val="28"/>
          <w:szCs w:val="20"/>
          <w:lang w:val="af-ZA"/>
        </w:rPr>
      </w:pPr>
      <w:r w:rsidRPr="007955BB">
        <w:rPr>
          <w:lang w:val="af-ZA"/>
        </w:rPr>
        <w:br w:type="page"/>
      </w:r>
    </w:p>
    <w:p w14:paraId="385131F4" w14:textId="77777777" w:rsidR="00060470" w:rsidRPr="009C0E1E" w:rsidRDefault="00060470" w:rsidP="0009272D">
      <w:pPr>
        <w:pStyle w:val="Heading1"/>
      </w:pPr>
      <w:bookmarkStart w:id="233" w:name="_Toc153184485"/>
      <w:r w:rsidRPr="009C0E1E">
        <w:lastRenderedPageBreak/>
        <w:t>Մ Ա Ս</w:t>
      </w:r>
      <w:r w:rsidR="001E6978" w:rsidRPr="009C0E1E">
        <w:t xml:space="preserve"> </w:t>
      </w:r>
      <w:r w:rsidRPr="009C0E1E">
        <w:t>III – Բ. Ծ Ա Խ Ս Ե Ր Ի</w:t>
      </w:r>
      <w:r w:rsidR="001E6978" w:rsidRPr="009C0E1E">
        <w:t xml:space="preserve"> </w:t>
      </w:r>
      <w:r w:rsidR="00C53FEE" w:rsidRPr="009C0E1E">
        <w:t xml:space="preserve"> </w:t>
      </w:r>
      <w:r w:rsidRPr="009C0E1E">
        <w:t>Կ Ա Ն Խ Ա Տ Ե Ս Ո Ւ Մ</w:t>
      </w:r>
      <w:bookmarkEnd w:id="233"/>
    </w:p>
    <w:p w14:paraId="1DF62AF8" w14:textId="54F0DF98" w:rsidR="0075265B" w:rsidRPr="007955BB" w:rsidRDefault="0075265B" w:rsidP="002E02D6">
      <w:pPr>
        <w:rPr>
          <w:rFonts w:cs="Sylfaen"/>
          <w:b w:val="0"/>
          <w:szCs w:val="22"/>
          <w:lang w:val="hy-AM" w:eastAsia="en-US"/>
        </w:rPr>
      </w:pPr>
      <w:r w:rsidRPr="008F33F3">
        <w:rPr>
          <w:rFonts w:cs="Sylfaen"/>
          <w:b w:val="0"/>
          <w:szCs w:val="22"/>
          <w:lang w:val="hy-AM" w:eastAsia="en-US"/>
        </w:rPr>
        <w:t>ՀՀ 20</w:t>
      </w:r>
      <w:r w:rsidR="00D907FB" w:rsidRPr="008F33F3">
        <w:rPr>
          <w:rFonts w:cs="Sylfaen"/>
          <w:b w:val="0"/>
          <w:szCs w:val="22"/>
          <w:lang w:val="hy-AM" w:eastAsia="en-US"/>
        </w:rPr>
        <w:t>2</w:t>
      </w:r>
      <w:r w:rsidR="006619FC" w:rsidRPr="008F33F3">
        <w:rPr>
          <w:rFonts w:cs="Sylfaen"/>
          <w:b w:val="0"/>
          <w:szCs w:val="22"/>
          <w:lang w:val="hy-AM" w:eastAsia="en-US"/>
        </w:rPr>
        <w:t>4</w:t>
      </w:r>
      <w:r w:rsidRPr="008F33F3">
        <w:rPr>
          <w:rFonts w:cs="Sylfaen"/>
          <w:b w:val="0"/>
          <w:szCs w:val="22"/>
          <w:lang w:val="hy-AM" w:eastAsia="en-US"/>
        </w:rPr>
        <w:t xml:space="preserve"> թվականի պետական բյուջեով ծախսերի ծավալը ծրագրա</w:t>
      </w:r>
      <w:r w:rsidRPr="008F33F3">
        <w:rPr>
          <w:rFonts w:cs="Sylfaen"/>
          <w:b w:val="0"/>
          <w:szCs w:val="22"/>
          <w:lang w:val="hy-AM" w:eastAsia="en-US"/>
        </w:rPr>
        <w:softHyphen/>
        <w:t xml:space="preserve">վորվել է </w:t>
      </w:r>
      <w:r w:rsidR="00132299" w:rsidRPr="008F33F3">
        <w:rPr>
          <w:rFonts w:cs="Sylfaen"/>
          <w:b w:val="0"/>
          <w:szCs w:val="22"/>
          <w:lang w:val="hy-AM" w:eastAsia="en-US"/>
        </w:rPr>
        <w:t>շ</w:t>
      </w:r>
      <w:r w:rsidRPr="008F33F3">
        <w:rPr>
          <w:rFonts w:cs="Sylfaen"/>
          <w:b w:val="0"/>
          <w:szCs w:val="22"/>
          <w:lang w:val="hy-AM" w:eastAsia="en-US"/>
        </w:rPr>
        <w:t xml:space="preserve">ուրջ </w:t>
      </w:r>
      <w:r w:rsidR="00132299" w:rsidRPr="008F33F3">
        <w:rPr>
          <w:rFonts w:cs="Sylfaen"/>
          <w:b w:val="0"/>
          <w:szCs w:val="22"/>
          <w:lang w:val="hy-AM" w:eastAsia="en-US"/>
        </w:rPr>
        <w:t>3,</w:t>
      </w:r>
      <w:r w:rsidR="006A19E6" w:rsidRPr="006A19E6">
        <w:rPr>
          <w:rFonts w:cs="Sylfaen"/>
          <w:b w:val="0"/>
          <w:szCs w:val="22"/>
          <w:lang w:val="hy-AM" w:eastAsia="en-US"/>
        </w:rPr>
        <w:t>206</w:t>
      </w:r>
      <w:r w:rsidR="00132299" w:rsidRPr="008F33F3">
        <w:rPr>
          <w:rFonts w:cs="Sylfaen"/>
          <w:b w:val="0"/>
          <w:szCs w:val="22"/>
          <w:lang w:val="hy-AM" w:eastAsia="en-US"/>
        </w:rPr>
        <w:t>.</w:t>
      </w:r>
      <w:r w:rsidR="006A19E6" w:rsidRPr="006A19E6">
        <w:rPr>
          <w:rFonts w:cs="Sylfaen"/>
          <w:b w:val="0"/>
          <w:szCs w:val="22"/>
          <w:lang w:val="hy-AM" w:eastAsia="en-US"/>
        </w:rPr>
        <w:t>5</w:t>
      </w:r>
      <w:r w:rsidR="00D907FB" w:rsidRPr="008F33F3">
        <w:rPr>
          <w:rFonts w:cs="Sylfaen"/>
          <w:b w:val="0"/>
          <w:szCs w:val="22"/>
          <w:lang w:val="hy-AM" w:eastAsia="en-US"/>
        </w:rPr>
        <w:t xml:space="preserve"> </w:t>
      </w:r>
      <w:r w:rsidRPr="008F33F3">
        <w:rPr>
          <w:rFonts w:cs="Sylfaen"/>
          <w:b w:val="0"/>
          <w:szCs w:val="22"/>
          <w:lang w:val="hy-AM" w:eastAsia="en-US"/>
        </w:rPr>
        <w:t>մլրդ դրամի չափով</w:t>
      </w:r>
      <w:r w:rsidR="00BE45D6" w:rsidRPr="008F33F3">
        <w:rPr>
          <w:rFonts w:cs="Sylfaen"/>
          <w:b w:val="0"/>
          <w:szCs w:val="22"/>
          <w:lang w:val="hy-AM" w:eastAsia="en-US"/>
        </w:rPr>
        <w:t>:</w:t>
      </w:r>
      <w:r w:rsidRPr="008F33F3">
        <w:rPr>
          <w:rFonts w:cs="Sylfaen"/>
          <w:b w:val="0"/>
          <w:szCs w:val="22"/>
          <w:lang w:val="hy-AM" w:eastAsia="en-US"/>
        </w:rPr>
        <w:t xml:space="preserve"> Ծախսերի ամբողջ ծավալի </w:t>
      </w:r>
      <w:r w:rsidR="00DE116E" w:rsidRPr="008F33F3">
        <w:rPr>
          <w:rFonts w:cs="Sylfaen"/>
          <w:b w:val="0"/>
          <w:szCs w:val="22"/>
          <w:lang w:val="hy-AM" w:eastAsia="en-US"/>
        </w:rPr>
        <w:t>7</w:t>
      </w:r>
      <w:r w:rsidR="006A19E6" w:rsidRPr="006A19E6">
        <w:rPr>
          <w:rFonts w:cs="Sylfaen"/>
          <w:b w:val="0"/>
          <w:szCs w:val="22"/>
          <w:lang w:val="hy-AM" w:eastAsia="en-US"/>
        </w:rPr>
        <w:t>8.3</w:t>
      </w:r>
      <w:r w:rsidR="00CE3D09" w:rsidRPr="008F33F3">
        <w:rPr>
          <w:rFonts w:cs="Sylfaen"/>
          <w:b w:val="0"/>
          <w:szCs w:val="22"/>
          <w:lang w:val="hy-AM" w:eastAsia="en-US"/>
        </w:rPr>
        <w:t>%</w:t>
      </w:r>
      <w:r w:rsidRPr="008F33F3">
        <w:rPr>
          <w:rFonts w:cs="Sylfaen"/>
          <w:b w:val="0"/>
          <w:szCs w:val="22"/>
          <w:lang w:val="hy-AM" w:eastAsia="en-US"/>
        </w:rPr>
        <w:t xml:space="preserve">-ը կամ </w:t>
      </w:r>
      <w:r w:rsidR="00132299" w:rsidRPr="008F33F3">
        <w:rPr>
          <w:rFonts w:cs="Sylfaen"/>
          <w:b w:val="0"/>
          <w:szCs w:val="22"/>
          <w:lang w:val="hy-AM" w:eastAsia="en-US"/>
        </w:rPr>
        <w:t>2.</w:t>
      </w:r>
      <w:r w:rsidR="006A19E6" w:rsidRPr="006A19E6">
        <w:rPr>
          <w:rFonts w:cs="Sylfaen"/>
          <w:b w:val="0"/>
          <w:szCs w:val="22"/>
          <w:lang w:val="hy-AM" w:eastAsia="en-US"/>
        </w:rPr>
        <w:t>511</w:t>
      </w:r>
      <w:r w:rsidR="00132299" w:rsidRPr="008F33F3">
        <w:rPr>
          <w:rFonts w:cs="Sylfaen"/>
          <w:b w:val="0"/>
          <w:szCs w:val="22"/>
          <w:lang w:val="hy-AM" w:eastAsia="en-US"/>
        </w:rPr>
        <w:t>.</w:t>
      </w:r>
      <w:r w:rsidR="006A19E6" w:rsidRPr="006A19E6">
        <w:rPr>
          <w:rFonts w:cs="Sylfaen"/>
          <w:b w:val="0"/>
          <w:szCs w:val="22"/>
          <w:lang w:val="hy-AM" w:eastAsia="en-US"/>
        </w:rPr>
        <w:t>2</w:t>
      </w:r>
      <w:r w:rsidR="00CE3D09" w:rsidRPr="008F33F3">
        <w:rPr>
          <w:rFonts w:cs="Sylfaen"/>
          <w:b w:val="0"/>
          <w:szCs w:val="22"/>
          <w:lang w:val="hy-AM" w:eastAsia="en-US"/>
        </w:rPr>
        <w:t xml:space="preserve"> </w:t>
      </w:r>
      <w:r w:rsidRPr="008F33F3">
        <w:rPr>
          <w:rFonts w:cs="Sylfaen"/>
          <w:b w:val="0"/>
          <w:szCs w:val="22"/>
          <w:lang w:val="hy-AM" w:eastAsia="en-US"/>
        </w:rPr>
        <w:t>մլրդ դրամը բա</w:t>
      </w:r>
      <w:r w:rsidRPr="008F33F3">
        <w:rPr>
          <w:rFonts w:cs="Sylfaen"/>
          <w:b w:val="0"/>
          <w:szCs w:val="22"/>
          <w:lang w:val="hy-AM" w:eastAsia="en-US"/>
        </w:rPr>
        <w:softHyphen/>
        <w:t xml:space="preserve">ժին </w:t>
      </w:r>
      <w:r w:rsidR="007F5120" w:rsidRPr="008F33F3">
        <w:rPr>
          <w:rFonts w:cs="Sylfaen"/>
          <w:b w:val="0"/>
          <w:szCs w:val="22"/>
          <w:lang w:val="hy-AM" w:eastAsia="en-US"/>
        </w:rPr>
        <w:t>է ընկ</w:t>
      </w:r>
      <w:r w:rsidR="007F5120" w:rsidRPr="008F33F3">
        <w:rPr>
          <w:rFonts w:cs="Sylfaen"/>
          <w:b w:val="0"/>
          <w:szCs w:val="22"/>
          <w:lang w:val="hy-AM" w:eastAsia="en-US"/>
        </w:rPr>
        <w:softHyphen/>
        <w:t>նում ըն</w:t>
      </w:r>
      <w:r w:rsidR="007F5120" w:rsidRPr="008F33F3">
        <w:rPr>
          <w:rFonts w:cs="Sylfaen"/>
          <w:b w:val="0"/>
          <w:szCs w:val="22"/>
          <w:lang w:val="hy-AM" w:eastAsia="en-US"/>
        </w:rPr>
        <w:softHyphen/>
        <w:t xml:space="preserve">թացիկ ծախսերին, </w:t>
      </w:r>
      <w:r w:rsidR="006254D8" w:rsidRPr="008F33F3">
        <w:rPr>
          <w:rFonts w:cs="Sylfaen"/>
          <w:b w:val="0"/>
          <w:szCs w:val="22"/>
          <w:lang w:val="hy-AM" w:eastAsia="en-US"/>
        </w:rPr>
        <w:t>2</w:t>
      </w:r>
      <w:r w:rsidR="006A19E6" w:rsidRPr="006A19E6">
        <w:rPr>
          <w:rFonts w:cs="Sylfaen"/>
          <w:b w:val="0"/>
          <w:szCs w:val="22"/>
          <w:lang w:val="hy-AM" w:eastAsia="en-US"/>
        </w:rPr>
        <w:t>1.7</w:t>
      </w:r>
      <w:r w:rsidRPr="008F33F3">
        <w:rPr>
          <w:rFonts w:cs="Sylfaen"/>
          <w:b w:val="0"/>
          <w:szCs w:val="22"/>
          <w:lang w:val="hy-AM" w:eastAsia="en-US"/>
        </w:rPr>
        <w:t xml:space="preserve">%-ը կամ </w:t>
      </w:r>
      <w:r w:rsidR="00132299" w:rsidRPr="008F33F3">
        <w:rPr>
          <w:rFonts w:cs="Sylfaen"/>
          <w:b w:val="0"/>
          <w:szCs w:val="22"/>
          <w:lang w:val="hy-AM" w:eastAsia="en-US"/>
        </w:rPr>
        <w:t>695.3</w:t>
      </w:r>
      <w:r w:rsidRPr="008F33F3">
        <w:rPr>
          <w:rFonts w:cs="Sylfaen"/>
          <w:b w:val="0"/>
          <w:szCs w:val="22"/>
          <w:lang w:val="hy-AM" w:eastAsia="en-US"/>
        </w:rPr>
        <w:t xml:space="preserve"> մլրդ դրամը՝ ոչ ֆինանսական ակ</w:t>
      </w:r>
      <w:r w:rsidR="00BE45D6" w:rsidRPr="008F33F3">
        <w:rPr>
          <w:rFonts w:cs="Sylfaen"/>
          <w:b w:val="0"/>
          <w:szCs w:val="22"/>
          <w:lang w:val="hy-AM" w:eastAsia="en-US"/>
        </w:rPr>
        <w:softHyphen/>
      </w:r>
      <w:r w:rsidRPr="008F33F3">
        <w:rPr>
          <w:rFonts w:cs="Sylfaen"/>
          <w:b w:val="0"/>
          <w:szCs w:val="22"/>
          <w:lang w:val="hy-AM" w:eastAsia="en-US"/>
        </w:rPr>
        <w:t>տիվ</w:t>
      </w:r>
      <w:r w:rsidR="00BE45D6" w:rsidRPr="008F33F3">
        <w:rPr>
          <w:rFonts w:cs="Sylfaen"/>
          <w:b w:val="0"/>
          <w:szCs w:val="22"/>
          <w:lang w:val="hy-AM" w:eastAsia="en-US"/>
        </w:rPr>
        <w:softHyphen/>
      </w:r>
      <w:r w:rsidRPr="008F33F3">
        <w:rPr>
          <w:rFonts w:cs="Sylfaen"/>
          <w:b w:val="0"/>
          <w:szCs w:val="22"/>
          <w:lang w:val="hy-AM" w:eastAsia="en-US"/>
        </w:rPr>
        <w:softHyphen/>
      </w:r>
      <w:r w:rsidR="00BE45D6" w:rsidRPr="008F33F3">
        <w:rPr>
          <w:rFonts w:cs="Sylfaen"/>
          <w:b w:val="0"/>
          <w:szCs w:val="22"/>
          <w:lang w:val="hy-AM" w:eastAsia="en-US"/>
        </w:rPr>
        <w:softHyphen/>
      </w:r>
      <w:r w:rsidRPr="008F33F3">
        <w:rPr>
          <w:rFonts w:cs="Sylfaen"/>
          <w:b w:val="0"/>
          <w:szCs w:val="22"/>
          <w:lang w:val="hy-AM" w:eastAsia="en-US"/>
        </w:rPr>
        <w:t>ների գծով զուտ ծախ</w:t>
      </w:r>
      <w:r w:rsidRPr="008F33F3">
        <w:rPr>
          <w:rFonts w:cs="Sylfaen"/>
          <w:b w:val="0"/>
          <w:szCs w:val="22"/>
          <w:lang w:val="hy-AM" w:eastAsia="en-US"/>
        </w:rPr>
        <w:softHyphen/>
        <w:t>սերին: ՀՀ 20</w:t>
      </w:r>
      <w:r w:rsidR="00D907FB" w:rsidRPr="008F33F3">
        <w:rPr>
          <w:rFonts w:cs="Sylfaen"/>
          <w:b w:val="0"/>
          <w:szCs w:val="22"/>
          <w:lang w:val="hy-AM" w:eastAsia="en-US"/>
        </w:rPr>
        <w:t>2</w:t>
      </w:r>
      <w:r w:rsidR="006619FC" w:rsidRPr="008F33F3">
        <w:rPr>
          <w:rFonts w:cs="Sylfaen"/>
          <w:b w:val="0"/>
          <w:szCs w:val="22"/>
          <w:lang w:val="hy-AM" w:eastAsia="en-US"/>
        </w:rPr>
        <w:t>4</w:t>
      </w:r>
      <w:r w:rsidRPr="008F33F3">
        <w:rPr>
          <w:rFonts w:cs="Sylfaen"/>
          <w:b w:val="0"/>
          <w:szCs w:val="22"/>
          <w:lang w:val="hy-AM" w:eastAsia="en-US"/>
        </w:rPr>
        <w:t xml:space="preserve"> թվականի պետական բյուջեի ծախ</w:t>
      </w:r>
      <w:r w:rsidR="00BE45D6" w:rsidRPr="008F33F3">
        <w:rPr>
          <w:rFonts w:cs="Sylfaen"/>
          <w:b w:val="0"/>
          <w:szCs w:val="22"/>
          <w:lang w:val="hy-AM" w:eastAsia="en-US"/>
        </w:rPr>
        <w:softHyphen/>
      </w:r>
      <w:r w:rsidRPr="008F33F3">
        <w:rPr>
          <w:rFonts w:cs="Sylfaen"/>
          <w:b w:val="0"/>
          <w:szCs w:val="22"/>
          <w:lang w:val="hy-AM" w:eastAsia="en-US"/>
        </w:rPr>
        <w:t>սա</w:t>
      </w:r>
      <w:r w:rsidR="00BE45D6" w:rsidRPr="008F33F3">
        <w:rPr>
          <w:rFonts w:cs="Sylfaen"/>
          <w:b w:val="0"/>
          <w:szCs w:val="22"/>
          <w:lang w:val="hy-AM" w:eastAsia="en-US"/>
        </w:rPr>
        <w:softHyphen/>
      </w:r>
      <w:r w:rsidRPr="008F33F3">
        <w:rPr>
          <w:rFonts w:cs="Sylfaen"/>
          <w:b w:val="0"/>
          <w:szCs w:val="22"/>
          <w:lang w:val="hy-AM" w:eastAsia="en-US"/>
        </w:rPr>
        <w:t>յին մասը ՀՀ 20</w:t>
      </w:r>
      <w:r w:rsidR="00CE3D09" w:rsidRPr="008F33F3">
        <w:rPr>
          <w:rFonts w:cs="Sylfaen"/>
          <w:b w:val="0"/>
          <w:szCs w:val="22"/>
          <w:lang w:val="hy-AM" w:eastAsia="en-US"/>
        </w:rPr>
        <w:t>2</w:t>
      </w:r>
      <w:r w:rsidR="00132299" w:rsidRPr="008F33F3">
        <w:rPr>
          <w:rFonts w:cs="Sylfaen"/>
          <w:b w:val="0"/>
          <w:szCs w:val="22"/>
          <w:lang w:val="hy-AM" w:eastAsia="en-US"/>
        </w:rPr>
        <w:t>3</w:t>
      </w:r>
      <w:r w:rsidRPr="008F33F3">
        <w:rPr>
          <w:rFonts w:cs="Sylfaen"/>
          <w:b w:val="0"/>
          <w:szCs w:val="22"/>
          <w:lang w:val="hy-AM" w:eastAsia="en-US"/>
        </w:rPr>
        <w:t xml:space="preserve"> թվականի պե</w:t>
      </w:r>
      <w:r w:rsidRPr="008F33F3">
        <w:rPr>
          <w:rFonts w:cs="Sylfaen"/>
          <w:b w:val="0"/>
          <w:szCs w:val="22"/>
          <w:lang w:val="hy-AM" w:eastAsia="en-US"/>
        </w:rPr>
        <w:softHyphen/>
        <w:t>տա</w:t>
      </w:r>
      <w:r w:rsidRPr="008F33F3">
        <w:rPr>
          <w:rFonts w:cs="Sylfaen"/>
          <w:b w:val="0"/>
          <w:szCs w:val="22"/>
          <w:lang w:val="hy-AM" w:eastAsia="en-US"/>
        </w:rPr>
        <w:softHyphen/>
        <w:t xml:space="preserve">կան բյուջեի </w:t>
      </w:r>
      <w:r w:rsidR="00CE3D09" w:rsidRPr="008F33F3">
        <w:rPr>
          <w:rFonts w:cs="Sylfaen"/>
          <w:b w:val="0"/>
          <w:szCs w:val="22"/>
          <w:lang w:val="hy-AM" w:eastAsia="en-US"/>
        </w:rPr>
        <w:t>հաստատված</w:t>
      </w:r>
      <w:r w:rsidRPr="008F33F3">
        <w:rPr>
          <w:rFonts w:cs="Sylfaen"/>
          <w:b w:val="0"/>
          <w:szCs w:val="22"/>
          <w:lang w:val="hy-AM" w:eastAsia="en-US"/>
        </w:rPr>
        <w:t xml:space="preserve"> մակարդակի համեմատ </w:t>
      </w:r>
      <w:r w:rsidR="005A319E" w:rsidRPr="008F33F3">
        <w:rPr>
          <w:rFonts w:cs="Sylfaen"/>
          <w:b w:val="0"/>
          <w:szCs w:val="22"/>
          <w:lang w:val="hy-AM" w:eastAsia="en-US"/>
        </w:rPr>
        <w:t>ավելացել</w:t>
      </w:r>
      <w:r w:rsidRPr="008F33F3">
        <w:rPr>
          <w:rFonts w:cs="Sylfaen"/>
          <w:b w:val="0"/>
          <w:szCs w:val="22"/>
          <w:lang w:val="hy-AM" w:eastAsia="en-US"/>
        </w:rPr>
        <w:t xml:space="preserve"> է շուրջ </w:t>
      </w:r>
      <w:r w:rsidR="00DF2873">
        <w:rPr>
          <w:rFonts w:cs="Sylfaen"/>
          <w:b w:val="0"/>
          <w:szCs w:val="22"/>
          <w:lang w:val="hy-AM" w:eastAsia="en-US"/>
        </w:rPr>
        <w:t>562.5</w:t>
      </w:r>
      <w:r w:rsidR="00413FFC" w:rsidRPr="008F33F3">
        <w:rPr>
          <w:rFonts w:cs="Sylfaen"/>
          <w:b w:val="0"/>
          <w:szCs w:val="22"/>
          <w:lang w:val="hy-AM" w:eastAsia="en-US"/>
        </w:rPr>
        <w:t xml:space="preserve"> </w:t>
      </w:r>
      <w:r w:rsidRPr="008F33F3">
        <w:rPr>
          <w:rFonts w:cs="Sylfaen"/>
          <w:b w:val="0"/>
          <w:szCs w:val="22"/>
          <w:lang w:val="hy-AM" w:eastAsia="en-US"/>
        </w:rPr>
        <w:t>մլրդ դրամով:</w:t>
      </w:r>
      <w:r w:rsidRPr="007955BB">
        <w:rPr>
          <w:rFonts w:cs="Sylfaen"/>
          <w:b w:val="0"/>
          <w:szCs w:val="22"/>
          <w:lang w:val="hy-AM" w:eastAsia="en-US"/>
        </w:rPr>
        <w:t xml:space="preserve"> </w:t>
      </w:r>
    </w:p>
    <w:p w14:paraId="07DB30F5" w14:textId="2BA51736" w:rsidR="0075265B" w:rsidRPr="007955BB" w:rsidRDefault="00CE2344" w:rsidP="002E02D6">
      <w:pPr>
        <w:rPr>
          <w:rFonts w:cs="Sylfaen"/>
          <w:b w:val="0"/>
          <w:szCs w:val="22"/>
          <w:lang w:val="hy-AM" w:eastAsia="en-US"/>
        </w:rPr>
      </w:pPr>
      <w:r>
        <w:rPr>
          <w:rFonts w:cs="Sylfaen"/>
          <w:b w:val="0"/>
          <w:szCs w:val="22"/>
          <w:lang w:val="hy-AM" w:eastAsia="en-US"/>
        </w:rPr>
        <w:t>Ա</w:t>
      </w:r>
      <w:r w:rsidR="0075265B" w:rsidRPr="007955BB">
        <w:rPr>
          <w:rFonts w:cs="Sylfaen"/>
          <w:b w:val="0"/>
          <w:szCs w:val="22"/>
          <w:lang w:val="hy-AM" w:eastAsia="en-US"/>
        </w:rPr>
        <w:t>ռաջարկվող բյուջետային ծախսերի ծավալները, կազմն ու կառուցվա</w:t>
      </w:r>
      <w:r w:rsidR="00D907FB" w:rsidRPr="007955BB">
        <w:rPr>
          <w:rFonts w:cs="Sylfaen"/>
          <w:b w:val="0"/>
          <w:szCs w:val="22"/>
          <w:lang w:val="hy-AM" w:eastAsia="en-US"/>
        </w:rPr>
        <w:t>ծքը ձևա</w:t>
      </w:r>
      <w:r w:rsidR="00D907FB" w:rsidRPr="007955BB">
        <w:rPr>
          <w:rFonts w:cs="Sylfaen"/>
          <w:b w:val="0"/>
          <w:szCs w:val="22"/>
          <w:lang w:val="hy-AM" w:eastAsia="en-US"/>
        </w:rPr>
        <w:softHyphen/>
      </w:r>
      <w:r w:rsidR="00D907FB" w:rsidRPr="007955BB">
        <w:rPr>
          <w:rFonts w:cs="Sylfaen"/>
          <w:b w:val="0"/>
          <w:szCs w:val="22"/>
          <w:lang w:val="hy-AM" w:eastAsia="en-US"/>
        </w:rPr>
        <w:softHyphen/>
      </w:r>
      <w:r w:rsidR="00D907FB" w:rsidRPr="007955BB">
        <w:rPr>
          <w:rFonts w:cs="Sylfaen"/>
          <w:b w:val="0"/>
          <w:szCs w:val="22"/>
          <w:lang w:val="hy-AM" w:eastAsia="en-US"/>
        </w:rPr>
        <w:softHyphen/>
        <w:t>վոր</w:t>
      </w:r>
      <w:r w:rsidR="00D907FB" w:rsidRPr="007955BB">
        <w:rPr>
          <w:rFonts w:cs="Sylfaen"/>
          <w:b w:val="0"/>
          <w:szCs w:val="22"/>
          <w:lang w:val="hy-AM" w:eastAsia="en-US"/>
        </w:rPr>
        <w:softHyphen/>
        <w:t>վել են ելնելով 202</w:t>
      </w:r>
      <w:r w:rsidR="006619FC" w:rsidRPr="006619FC">
        <w:rPr>
          <w:rFonts w:cs="Sylfaen"/>
          <w:b w:val="0"/>
          <w:szCs w:val="22"/>
          <w:lang w:val="hy-AM" w:eastAsia="en-US"/>
        </w:rPr>
        <w:t>4</w:t>
      </w:r>
      <w:r w:rsidR="0075265B" w:rsidRPr="007955BB">
        <w:rPr>
          <w:rFonts w:cs="Sylfaen"/>
          <w:b w:val="0"/>
          <w:szCs w:val="22"/>
          <w:lang w:val="hy-AM" w:eastAsia="en-US"/>
        </w:rPr>
        <w:t xml:space="preserve"> թվականի մակրոտնտեսական կանխա</w:t>
      </w:r>
      <w:r w:rsidR="0075265B" w:rsidRPr="007955BB">
        <w:rPr>
          <w:rFonts w:cs="Sylfaen"/>
          <w:b w:val="0"/>
          <w:szCs w:val="22"/>
          <w:lang w:val="hy-AM" w:eastAsia="en-US"/>
        </w:rPr>
        <w:softHyphen/>
        <w:t>տեսումներից, գների և սա</w:t>
      </w:r>
      <w:r w:rsidR="0075265B" w:rsidRPr="007955BB">
        <w:rPr>
          <w:rFonts w:cs="Sylfaen"/>
          <w:b w:val="0"/>
          <w:szCs w:val="22"/>
          <w:lang w:val="hy-AM" w:eastAsia="en-US"/>
        </w:rPr>
        <w:softHyphen/>
        <w:t>կագների կանխատեսվող ցուցանիշներից, հանրապետու</w:t>
      </w:r>
      <w:r w:rsidR="0075265B" w:rsidRPr="007955BB">
        <w:rPr>
          <w:rFonts w:cs="Sylfaen"/>
          <w:b w:val="0"/>
          <w:szCs w:val="22"/>
          <w:lang w:val="hy-AM" w:eastAsia="en-US"/>
        </w:rPr>
        <w:softHyphen/>
        <w:t>թյունում տնտեսական հարա</w:t>
      </w:r>
      <w:r w:rsidR="0075265B" w:rsidRPr="007955BB">
        <w:rPr>
          <w:rFonts w:cs="Sylfaen"/>
          <w:b w:val="0"/>
          <w:szCs w:val="22"/>
          <w:lang w:val="hy-AM" w:eastAsia="en-US"/>
        </w:rPr>
        <w:softHyphen/>
        <w:t>բե</w:t>
      </w:r>
      <w:r w:rsidR="0075265B" w:rsidRPr="007955BB">
        <w:rPr>
          <w:rFonts w:cs="Sylfaen"/>
          <w:b w:val="0"/>
          <w:szCs w:val="22"/>
          <w:lang w:val="hy-AM" w:eastAsia="en-US"/>
        </w:rPr>
        <w:softHyphen/>
        <w:t>րու</w:t>
      </w:r>
      <w:r w:rsidR="0075265B" w:rsidRPr="007955BB">
        <w:rPr>
          <w:rFonts w:cs="Sylfaen"/>
          <w:b w:val="0"/>
          <w:szCs w:val="22"/>
          <w:lang w:val="hy-AM" w:eastAsia="en-US"/>
        </w:rPr>
        <w:softHyphen/>
      </w:r>
      <w:r w:rsidR="0075265B" w:rsidRPr="007955BB">
        <w:rPr>
          <w:rFonts w:cs="Sylfaen"/>
          <w:b w:val="0"/>
          <w:szCs w:val="22"/>
          <w:lang w:val="hy-AM" w:eastAsia="en-US"/>
        </w:rPr>
        <w:softHyphen/>
        <w:t>թյուն</w:t>
      </w:r>
      <w:r w:rsidR="0075265B" w:rsidRPr="007955BB">
        <w:rPr>
          <w:rFonts w:cs="Sylfaen"/>
          <w:b w:val="0"/>
          <w:szCs w:val="22"/>
          <w:lang w:val="hy-AM" w:eastAsia="en-US"/>
        </w:rPr>
        <w:softHyphen/>
      </w:r>
      <w:r w:rsidR="0075265B" w:rsidRPr="007955BB">
        <w:rPr>
          <w:rFonts w:cs="Sylfaen"/>
          <w:b w:val="0"/>
          <w:szCs w:val="22"/>
          <w:lang w:val="hy-AM" w:eastAsia="en-US"/>
        </w:rPr>
        <w:softHyphen/>
        <w:t>ների բնա</w:t>
      </w:r>
      <w:r w:rsidR="0075265B" w:rsidRPr="007955BB">
        <w:rPr>
          <w:rFonts w:cs="Sylfaen"/>
          <w:b w:val="0"/>
          <w:szCs w:val="22"/>
          <w:lang w:val="hy-AM" w:eastAsia="en-US"/>
        </w:rPr>
        <w:softHyphen/>
        <w:t>կա</w:t>
      </w:r>
      <w:r w:rsidR="0075265B" w:rsidRPr="007955BB">
        <w:rPr>
          <w:rFonts w:cs="Sylfaen"/>
          <w:b w:val="0"/>
          <w:szCs w:val="22"/>
          <w:lang w:val="hy-AM" w:eastAsia="en-US"/>
        </w:rPr>
        <w:softHyphen/>
        <w:t>նոն ընթացքը խաթարող նոր բյուջետային պարտքերի չառաջացման ան</w:t>
      </w:r>
      <w:r w:rsidR="0075265B" w:rsidRPr="007955BB">
        <w:rPr>
          <w:rFonts w:cs="Sylfaen"/>
          <w:b w:val="0"/>
          <w:szCs w:val="22"/>
          <w:lang w:val="hy-AM" w:eastAsia="en-US"/>
        </w:rPr>
        <w:softHyphen/>
        <w:t>հրա</w:t>
      </w:r>
      <w:r w:rsidR="0075265B" w:rsidRPr="007955BB">
        <w:rPr>
          <w:rFonts w:cs="Sylfaen"/>
          <w:b w:val="0"/>
          <w:szCs w:val="22"/>
          <w:lang w:val="hy-AM" w:eastAsia="en-US"/>
        </w:rPr>
        <w:softHyphen/>
      </w:r>
      <w:r w:rsidR="0075265B" w:rsidRPr="007955BB">
        <w:rPr>
          <w:rFonts w:cs="Sylfaen"/>
          <w:b w:val="0"/>
          <w:szCs w:val="22"/>
          <w:lang w:val="hy-AM" w:eastAsia="en-US"/>
        </w:rPr>
        <w:softHyphen/>
        <w:t>ժեշտությունից ու առանձին ծախսա</w:t>
      </w:r>
      <w:r w:rsidR="0075265B" w:rsidRPr="007955BB">
        <w:rPr>
          <w:rFonts w:cs="Sylfaen"/>
          <w:b w:val="0"/>
          <w:szCs w:val="22"/>
          <w:lang w:val="hy-AM" w:eastAsia="en-US"/>
        </w:rPr>
        <w:softHyphen/>
        <w:t>տե</w:t>
      </w:r>
      <w:r w:rsidR="0075265B" w:rsidRPr="007955BB">
        <w:rPr>
          <w:rFonts w:cs="Sylfaen"/>
          <w:b w:val="0"/>
          <w:szCs w:val="22"/>
          <w:lang w:val="hy-AM" w:eastAsia="en-US"/>
        </w:rPr>
        <w:softHyphen/>
        <w:t>սակների գծով մշակված բյուջետային նոր</w:t>
      </w:r>
      <w:r w:rsidR="0075265B" w:rsidRPr="007955BB">
        <w:rPr>
          <w:rFonts w:cs="Sylfaen"/>
          <w:b w:val="0"/>
          <w:szCs w:val="22"/>
          <w:lang w:val="hy-AM" w:eastAsia="en-US"/>
        </w:rPr>
        <w:softHyphen/>
        <w:t>մատի</w:t>
      </w:r>
      <w:r w:rsidR="0075265B" w:rsidRPr="007955BB">
        <w:rPr>
          <w:rFonts w:cs="Sylfaen"/>
          <w:b w:val="0"/>
          <w:szCs w:val="22"/>
          <w:lang w:val="hy-AM" w:eastAsia="en-US"/>
        </w:rPr>
        <w:softHyphen/>
        <w:t>վ</w:t>
      </w:r>
      <w:r w:rsidR="0075265B" w:rsidRPr="007955BB">
        <w:rPr>
          <w:rFonts w:cs="Sylfaen"/>
          <w:b w:val="0"/>
          <w:szCs w:val="22"/>
          <w:lang w:val="hy-AM" w:eastAsia="en-US"/>
        </w:rPr>
        <w:softHyphen/>
        <w:t>նե</w:t>
      </w:r>
      <w:r w:rsidR="0075265B" w:rsidRPr="007955BB">
        <w:rPr>
          <w:rFonts w:cs="Sylfaen"/>
          <w:b w:val="0"/>
          <w:szCs w:val="22"/>
          <w:lang w:val="hy-AM" w:eastAsia="en-US"/>
        </w:rPr>
        <w:softHyphen/>
        <w:t>րից:</w:t>
      </w:r>
    </w:p>
    <w:p w14:paraId="7EF1D7B4" w14:textId="797F6CE2" w:rsidR="00FC44D9" w:rsidRPr="007955BB" w:rsidRDefault="0075265B" w:rsidP="00E960A7">
      <w:pPr>
        <w:pStyle w:val="BodyText2"/>
      </w:pPr>
      <w:r w:rsidRPr="007955BB">
        <w:t>«Հայաստանի Հանրապետության 20</w:t>
      </w:r>
      <w:r w:rsidR="00D907FB" w:rsidRPr="007955BB">
        <w:t>2</w:t>
      </w:r>
      <w:r w:rsidR="006619FC" w:rsidRPr="006619FC">
        <w:t>4</w:t>
      </w:r>
      <w:r w:rsidRPr="007955BB">
        <w:t xml:space="preserve"> թվականի պետական բյուջեի մասին» ՀՀ օրեն</w:t>
      </w:r>
      <w:r w:rsidRPr="007955BB">
        <w:softHyphen/>
        <w:t>քը</w:t>
      </w:r>
      <w:r w:rsidR="001E6978" w:rsidRPr="007955BB">
        <w:t xml:space="preserve"> </w:t>
      </w:r>
      <w:r w:rsidRPr="007955BB">
        <w:t>կազմվել է Ծրագրային բյուջետավորման</w:t>
      </w:r>
      <w:r w:rsidR="001E6978" w:rsidRPr="007955BB">
        <w:t xml:space="preserve"> </w:t>
      </w:r>
      <w:r w:rsidRPr="007955BB">
        <w:t>ձևաչափով՝</w:t>
      </w:r>
      <w:r w:rsidR="001E6978" w:rsidRPr="007955BB">
        <w:t xml:space="preserve"> </w:t>
      </w:r>
      <w:r w:rsidRPr="007955BB">
        <w:t>«Հայաստանի Հանրապետու</w:t>
      </w:r>
      <w:r w:rsidR="00B330BE" w:rsidRPr="007955BB">
        <w:softHyphen/>
      </w:r>
      <w:r w:rsidRPr="007955BB">
        <w:t>թյան բյուջետային</w:t>
      </w:r>
      <w:r w:rsidR="001E6978" w:rsidRPr="007955BB">
        <w:t xml:space="preserve"> </w:t>
      </w:r>
      <w:r w:rsidRPr="007955BB">
        <w:t>համակարգի</w:t>
      </w:r>
      <w:r w:rsidR="001E6978" w:rsidRPr="007955BB">
        <w:t xml:space="preserve"> </w:t>
      </w:r>
      <w:r w:rsidRPr="007955BB">
        <w:t>մաս</w:t>
      </w:r>
      <w:r w:rsidR="00C9600C" w:rsidRPr="007955BB">
        <w:t>ին» ՀՀ</w:t>
      </w:r>
      <w:r w:rsidR="004630AC" w:rsidRPr="007955BB">
        <w:t xml:space="preserve"> </w:t>
      </w:r>
      <w:r w:rsidR="00C9600C" w:rsidRPr="007955BB">
        <w:t xml:space="preserve"> օրենքի </w:t>
      </w:r>
      <w:r w:rsidRPr="007955BB">
        <w:t>պահանջ</w:t>
      </w:r>
      <w:r w:rsidR="004630AC" w:rsidRPr="007955BB">
        <w:softHyphen/>
      </w:r>
      <w:r w:rsidRPr="007955BB">
        <w:t>ներին</w:t>
      </w:r>
      <w:r w:rsidR="001E6978" w:rsidRPr="007955BB">
        <w:t xml:space="preserve"> </w:t>
      </w:r>
      <w:r w:rsidRPr="007955BB">
        <w:t>համահունչ,</w:t>
      </w:r>
      <w:r w:rsidR="001E6978" w:rsidRPr="007955BB">
        <w:t xml:space="preserve"> </w:t>
      </w:r>
      <w:r w:rsidRPr="007955BB">
        <w:t>ապահովելով ծրագրայ</w:t>
      </w:r>
      <w:r w:rsidR="00C9600C" w:rsidRPr="007955BB">
        <w:t xml:space="preserve">ին բյուջետավորման սկզբունքների </w:t>
      </w:r>
      <w:r w:rsidRPr="007955BB">
        <w:t>ամբողջական ներդրումը: Ծրագրային բյուջետա</w:t>
      </w:r>
      <w:r w:rsidR="004630AC" w:rsidRPr="007955BB">
        <w:softHyphen/>
      </w:r>
      <w:r w:rsidRPr="007955BB">
        <w:t>վոր</w:t>
      </w:r>
      <w:r w:rsidR="004630AC" w:rsidRPr="007955BB">
        <w:softHyphen/>
      </w:r>
      <w:r w:rsidRPr="007955BB">
        <w:t>ման համակարգի ներդրման հիմնական նպատակն է բարելավել հանրային ծախսերի առաջնահերթությունների սահմանումը և բարձրացնել հանրային ֆինանսների կառավարման թափանցիկությունը, հաշվետվողա</w:t>
      </w:r>
      <w:r w:rsidR="00465ED9" w:rsidRPr="007955BB">
        <w:softHyphen/>
      </w:r>
      <w:r w:rsidRPr="007955BB">
        <w:t>կանությունը, արդյունավետությունը և արդյունքայնությունը, ինչպես նաև բյուջետային տեղեկատվությունը ներկայացնել այնպիսի ձևաչափով, որը</w:t>
      </w:r>
      <w:r w:rsidR="001E6978" w:rsidRPr="007955BB">
        <w:t xml:space="preserve"> </w:t>
      </w:r>
      <w:r w:rsidRPr="007955BB">
        <w:t>հնարավոր կդարձնի վերահսկել, թե ինչպես է բյուջեն օգտագործվում ընդունված քաղաքա</w:t>
      </w:r>
      <w:r w:rsidR="004630AC" w:rsidRPr="007955BB">
        <w:softHyphen/>
      </w:r>
      <w:r w:rsidRPr="007955BB">
        <w:t>կանություններն իրականաց</w:t>
      </w:r>
      <w:r w:rsidRPr="007955BB">
        <w:softHyphen/>
        <w:t>նելու համար: Փոփոխությունները</w:t>
      </w:r>
      <w:r w:rsidR="001E6978" w:rsidRPr="007955BB">
        <w:t xml:space="preserve"> </w:t>
      </w:r>
      <w:r w:rsidRPr="007955BB">
        <w:t>ֆորմալ առումով ուղղված են ծրագրային դասակարգումը՝ որպես բյուջետային հատկացումների հիմնական դասակարգում սահմանելուն, բյուջետային գործընթացի բոլոր փուլերում (բյուջեի պլանավորում, կատարում, հաշվետվողականություն):</w:t>
      </w:r>
    </w:p>
    <w:p w14:paraId="1EED1725" w14:textId="78BDD88B" w:rsidR="004630AC" w:rsidRPr="007955BB" w:rsidRDefault="004630AC" w:rsidP="00E960A7">
      <w:pPr>
        <w:pStyle w:val="BodyText2"/>
        <w:rPr>
          <w:rFonts w:cs="Times Armenian"/>
          <w:color w:val="000000"/>
        </w:rPr>
      </w:pPr>
      <w:r w:rsidRPr="007955BB">
        <w:t>ՀՀ 20</w:t>
      </w:r>
      <w:r w:rsidR="005B556E" w:rsidRPr="007955BB">
        <w:t>2</w:t>
      </w:r>
      <w:r w:rsidR="006619FC" w:rsidRPr="006619FC">
        <w:t>4</w:t>
      </w:r>
      <w:r w:rsidRPr="007955BB">
        <w:t xml:space="preserve"> թվականի պետական բյուջեով </w:t>
      </w:r>
      <w:r w:rsidR="005D70C0" w:rsidRPr="007955BB">
        <w:t>ելքային</w:t>
      </w:r>
      <w:r w:rsidRPr="007955BB">
        <w:t xml:space="preserve"> ծրագրերի </w:t>
      </w:r>
      <w:r w:rsidR="005D70C0" w:rsidRPr="007955BB">
        <w:t xml:space="preserve">և միջոցառումների գծով արդյունքային (կատարողական) ցուցանիշներն ու ծախսային </w:t>
      </w:r>
      <w:r w:rsidRPr="007955BB">
        <w:t>ծրագր</w:t>
      </w:r>
      <w:r w:rsidR="005D70C0" w:rsidRPr="007955BB">
        <w:t>երի գծով վերջնական արդյունքային ցուցանիշները</w:t>
      </w:r>
      <w:r w:rsidRPr="007955BB">
        <w:t xml:space="preserve"> ներկայացված են համապատասխանաբար սույն բա</w:t>
      </w:r>
      <w:r w:rsidRPr="007955BB">
        <w:softHyphen/>
        <w:t xml:space="preserve">ցատրագրի NN </w:t>
      </w:r>
      <w:r w:rsidR="007D2ACE" w:rsidRPr="007955BB">
        <w:t>3</w:t>
      </w:r>
      <w:r w:rsidRPr="007955BB">
        <w:t xml:space="preserve"> և 1</w:t>
      </w:r>
      <w:r w:rsidR="005641FB" w:rsidRPr="007955BB">
        <w:t>3</w:t>
      </w:r>
      <w:r w:rsidRPr="007955BB">
        <w:t xml:space="preserve"> հավելվածներում:</w:t>
      </w:r>
      <w:r w:rsidRPr="007955BB">
        <w:rPr>
          <w:rFonts w:cs="Times Armenian"/>
        </w:rPr>
        <w:t xml:space="preserve"> </w:t>
      </w:r>
    </w:p>
    <w:p w14:paraId="089D9892" w14:textId="77777777" w:rsidR="00E85612" w:rsidRPr="007955BB" w:rsidRDefault="00E85612" w:rsidP="00E960A7">
      <w:pPr>
        <w:pStyle w:val="BodyText2"/>
      </w:pPr>
    </w:p>
    <w:p w14:paraId="20F2E05F" w14:textId="77777777" w:rsidR="00C87101" w:rsidRPr="007955BB" w:rsidRDefault="00C87101" w:rsidP="00E960A7">
      <w:pPr>
        <w:pStyle w:val="BodyText2"/>
      </w:pPr>
    </w:p>
    <w:p w14:paraId="2096735B" w14:textId="77777777" w:rsidR="00C87101" w:rsidRPr="007955BB" w:rsidRDefault="00C87101" w:rsidP="00E960A7">
      <w:pPr>
        <w:pStyle w:val="BodyText2"/>
      </w:pPr>
    </w:p>
    <w:p w14:paraId="46D4318A" w14:textId="77777777" w:rsidR="00C87101" w:rsidRPr="007955BB" w:rsidRDefault="00C87101" w:rsidP="00E960A7">
      <w:pPr>
        <w:pStyle w:val="BodyText2"/>
      </w:pPr>
    </w:p>
    <w:p w14:paraId="557D5FE9" w14:textId="77777777" w:rsidR="00C87101" w:rsidRPr="007955BB" w:rsidRDefault="00C87101" w:rsidP="00E960A7">
      <w:pPr>
        <w:pStyle w:val="BodyText2"/>
      </w:pPr>
    </w:p>
    <w:p w14:paraId="45D5533F" w14:textId="77777777" w:rsidR="00C87101" w:rsidRPr="007955BB" w:rsidRDefault="00C87101" w:rsidP="00E960A7">
      <w:pPr>
        <w:pStyle w:val="BodyText2"/>
      </w:pPr>
    </w:p>
    <w:p w14:paraId="515AA3DE" w14:textId="77777777" w:rsidR="00D471FC" w:rsidRPr="009C0E1E" w:rsidRDefault="00D471FC" w:rsidP="009C0E1E">
      <w:pPr>
        <w:keepNext/>
        <w:keepLines/>
        <w:spacing w:before="0"/>
        <w:ind w:firstLine="284"/>
        <w:outlineLvl w:val="2"/>
        <w:rPr>
          <w:rFonts w:eastAsiaTheme="majorEastAsia" w:cstheme="majorBidi"/>
          <w:bCs/>
          <w:color w:val="1F497D" w:themeColor="text2"/>
          <w:sz w:val="24"/>
          <w:lang w:val="hy-AM" w:eastAsia="en-US"/>
        </w:rPr>
      </w:pPr>
      <w:bookmarkStart w:id="234" w:name="_Toc57655469"/>
      <w:bookmarkStart w:id="235" w:name="_Toc83631020"/>
      <w:bookmarkStart w:id="236" w:name="_Toc153184486"/>
      <w:r w:rsidRPr="009C0E1E">
        <w:rPr>
          <w:rFonts w:eastAsiaTheme="majorEastAsia" w:cstheme="majorBidi"/>
          <w:bCs/>
          <w:color w:val="1F497D" w:themeColor="text2"/>
          <w:sz w:val="24"/>
          <w:lang w:val="hy-AM" w:eastAsia="en-US"/>
        </w:rPr>
        <w:lastRenderedPageBreak/>
        <w:t>ԾԱԽՍԵՐՆ ԸՍՏ ՏՆՏԵՍԱԳԻՏԱԿԱՆ ԴԱՍԱԿԱՐԳՄԱՆ</w:t>
      </w:r>
      <w:bookmarkEnd w:id="234"/>
      <w:bookmarkEnd w:id="236"/>
    </w:p>
    <w:p w14:paraId="1D4D521E" w14:textId="77777777" w:rsidR="00D471FC" w:rsidRPr="007955BB" w:rsidRDefault="00D471FC" w:rsidP="00D471FC">
      <w:pPr>
        <w:spacing w:before="0"/>
        <w:ind w:firstLine="720"/>
        <w:rPr>
          <w:b w:val="0"/>
          <w:szCs w:val="22"/>
          <w:lang w:val="af-ZA" w:eastAsia="en-US"/>
        </w:rPr>
      </w:pPr>
    </w:p>
    <w:p w14:paraId="3A5413E7" w14:textId="79D653CB" w:rsidR="001466DC" w:rsidRPr="008E51A2" w:rsidRDefault="001466DC" w:rsidP="001466DC">
      <w:pPr>
        <w:rPr>
          <w:b w:val="0"/>
          <w:szCs w:val="22"/>
          <w:lang w:val="hy-AM" w:eastAsia="en-US"/>
        </w:rPr>
      </w:pPr>
      <w:bookmarkStart w:id="237" w:name="_Toc77356423"/>
      <w:bookmarkStart w:id="238" w:name="_Toc77837866"/>
      <w:bookmarkEnd w:id="235"/>
      <w:r w:rsidRPr="001466DC">
        <w:rPr>
          <w:b w:val="0"/>
          <w:szCs w:val="22"/>
          <w:lang w:val="af-ZA" w:eastAsia="en-US"/>
        </w:rPr>
        <w:t>2024</w:t>
      </w:r>
      <w:r w:rsidRPr="001466DC">
        <w:rPr>
          <w:b w:val="0"/>
          <w:szCs w:val="22"/>
          <w:lang w:val="hy-AM" w:eastAsia="en-US"/>
        </w:rPr>
        <w:t xml:space="preserve"> թվակա</w:t>
      </w:r>
      <w:r w:rsidRPr="001466DC">
        <w:rPr>
          <w:rFonts w:cs="Sylfaen"/>
          <w:b w:val="0"/>
          <w:szCs w:val="22"/>
          <w:lang w:val="hy-AM" w:eastAsia="en-US"/>
        </w:rPr>
        <w:t>նի</w:t>
      </w:r>
      <w:r w:rsidRPr="001466DC">
        <w:rPr>
          <w:b w:val="0"/>
          <w:szCs w:val="22"/>
          <w:lang w:val="af-ZA" w:eastAsia="en-US"/>
        </w:rPr>
        <w:t xml:space="preserve"> </w:t>
      </w:r>
      <w:r w:rsidRPr="001466DC">
        <w:rPr>
          <w:rFonts w:cs="Sylfaen"/>
          <w:b w:val="0"/>
          <w:szCs w:val="22"/>
          <w:lang w:val="hy-AM" w:eastAsia="en-US"/>
        </w:rPr>
        <w:t>պետական</w:t>
      </w:r>
      <w:r w:rsidRPr="001466DC">
        <w:rPr>
          <w:b w:val="0"/>
          <w:szCs w:val="22"/>
          <w:lang w:val="af-ZA" w:eastAsia="en-US"/>
        </w:rPr>
        <w:t xml:space="preserve"> </w:t>
      </w:r>
      <w:r w:rsidRPr="001466DC">
        <w:rPr>
          <w:rFonts w:cs="Sylfaen"/>
          <w:b w:val="0"/>
          <w:szCs w:val="22"/>
          <w:lang w:val="hy-AM" w:eastAsia="en-US"/>
        </w:rPr>
        <w:t>բյուջեի</w:t>
      </w:r>
      <w:r w:rsidRPr="001466DC">
        <w:rPr>
          <w:b w:val="0"/>
          <w:szCs w:val="22"/>
          <w:lang w:val="af-ZA" w:eastAsia="en-US"/>
        </w:rPr>
        <w:t xml:space="preserve"> </w:t>
      </w:r>
      <w:r w:rsidRPr="001466DC">
        <w:rPr>
          <w:b w:val="0"/>
          <w:szCs w:val="22"/>
          <w:lang w:val="it-IT" w:eastAsia="en-US"/>
        </w:rPr>
        <w:t>ընթա</w:t>
      </w:r>
      <w:r w:rsidRPr="001466DC">
        <w:rPr>
          <w:b w:val="0"/>
          <w:szCs w:val="22"/>
          <w:lang w:val="it-IT" w:eastAsia="en-US"/>
        </w:rPr>
        <w:softHyphen/>
        <w:t>ցիկ</w:t>
      </w:r>
      <w:r w:rsidRPr="001466DC">
        <w:rPr>
          <w:b w:val="0"/>
          <w:szCs w:val="22"/>
          <w:lang w:val="af-ZA" w:eastAsia="en-US"/>
        </w:rPr>
        <w:t xml:space="preserve"> </w:t>
      </w:r>
      <w:r w:rsidRPr="001466DC">
        <w:rPr>
          <w:rFonts w:cs="Sylfaen"/>
          <w:b w:val="0"/>
          <w:szCs w:val="22"/>
          <w:lang w:val="hy-AM" w:eastAsia="en-US"/>
        </w:rPr>
        <w:t>ծախ</w:t>
      </w:r>
      <w:r w:rsidRPr="001466DC">
        <w:rPr>
          <w:rFonts w:cs="Sylfaen"/>
          <w:b w:val="0"/>
          <w:szCs w:val="22"/>
          <w:lang w:val="af-ZA" w:eastAsia="en-US"/>
        </w:rPr>
        <w:softHyphen/>
      </w:r>
      <w:r w:rsidRPr="001466DC">
        <w:rPr>
          <w:rFonts w:cs="Sylfaen"/>
          <w:b w:val="0"/>
          <w:szCs w:val="22"/>
          <w:lang w:val="hy-AM" w:eastAsia="en-US"/>
        </w:rPr>
        <w:t>սերի</w:t>
      </w:r>
      <w:r w:rsidRPr="001466DC">
        <w:rPr>
          <w:b w:val="0"/>
          <w:szCs w:val="22"/>
          <w:lang w:val="af-ZA" w:eastAsia="en-US"/>
        </w:rPr>
        <w:t xml:space="preserve"> </w:t>
      </w:r>
      <w:r w:rsidRPr="001466DC">
        <w:rPr>
          <w:rFonts w:cs="Sylfaen"/>
          <w:b w:val="0"/>
          <w:szCs w:val="22"/>
          <w:lang w:val="hy-AM" w:eastAsia="en-US"/>
        </w:rPr>
        <w:t>հարա</w:t>
      </w:r>
      <w:r w:rsidRPr="001466DC">
        <w:rPr>
          <w:rFonts w:cs="Sylfaen"/>
          <w:b w:val="0"/>
          <w:szCs w:val="22"/>
          <w:lang w:val="af-ZA" w:eastAsia="en-US"/>
        </w:rPr>
        <w:softHyphen/>
      </w:r>
      <w:r w:rsidRPr="001466DC">
        <w:rPr>
          <w:rFonts w:cs="Sylfaen"/>
          <w:b w:val="0"/>
          <w:szCs w:val="22"/>
          <w:lang w:val="hy-AM" w:eastAsia="en-US"/>
        </w:rPr>
        <w:t>բերակցությունը</w:t>
      </w:r>
      <w:r w:rsidRPr="001466DC">
        <w:rPr>
          <w:b w:val="0"/>
          <w:szCs w:val="22"/>
          <w:lang w:val="af-ZA" w:eastAsia="en-US"/>
        </w:rPr>
        <w:t xml:space="preserve"> </w:t>
      </w:r>
      <w:r w:rsidRPr="001466DC">
        <w:rPr>
          <w:rFonts w:cs="Sylfaen"/>
          <w:b w:val="0"/>
          <w:szCs w:val="22"/>
          <w:lang w:val="hy-AM" w:eastAsia="en-US"/>
        </w:rPr>
        <w:t>ՀՆԱ</w:t>
      </w:r>
      <w:r w:rsidRPr="001466DC">
        <w:rPr>
          <w:b w:val="0"/>
          <w:szCs w:val="22"/>
          <w:lang w:val="af-ZA" w:eastAsia="en-US"/>
        </w:rPr>
        <w:t>-</w:t>
      </w:r>
      <w:r w:rsidRPr="001466DC">
        <w:rPr>
          <w:rFonts w:cs="Sylfaen"/>
          <w:b w:val="0"/>
          <w:szCs w:val="22"/>
          <w:lang w:val="hy-AM" w:eastAsia="en-US"/>
        </w:rPr>
        <w:t>ի</w:t>
      </w:r>
      <w:r w:rsidRPr="001466DC">
        <w:rPr>
          <w:b w:val="0"/>
          <w:szCs w:val="22"/>
          <w:lang w:val="af-ZA" w:eastAsia="en-US"/>
        </w:rPr>
        <w:t xml:space="preserve"> </w:t>
      </w:r>
      <w:r w:rsidRPr="001466DC">
        <w:rPr>
          <w:rFonts w:cs="Sylfaen"/>
          <w:b w:val="0"/>
          <w:szCs w:val="22"/>
          <w:lang w:val="hy-AM" w:eastAsia="en-US"/>
        </w:rPr>
        <w:t xml:space="preserve">նկատմամբ կազմում է </w:t>
      </w:r>
      <w:r w:rsidR="008E51A2" w:rsidRPr="008E51A2">
        <w:rPr>
          <w:b w:val="0"/>
          <w:szCs w:val="22"/>
          <w:lang w:val="hy-AM" w:eastAsia="en-US"/>
        </w:rPr>
        <w:t>2</w:t>
      </w:r>
      <w:r w:rsidR="00047E4C">
        <w:rPr>
          <w:b w:val="0"/>
          <w:szCs w:val="22"/>
          <w:lang w:val="hy-AM" w:eastAsia="en-US"/>
        </w:rPr>
        <w:t>3</w:t>
      </w:r>
      <w:r w:rsidR="008E51A2" w:rsidRPr="008E51A2">
        <w:rPr>
          <w:b w:val="0"/>
          <w:szCs w:val="22"/>
          <w:lang w:val="hy-AM" w:eastAsia="en-US"/>
        </w:rPr>
        <w:t>.</w:t>
      </w:r>
      <w:r w:rsidR="00047E4C">
        <w:rPr>
          <w:b w:val="0"/>
          <w:szCs w:val="22"/>
          <w:lang w:val="hy-AM" w:eastAsia="en-US"/>
        </w:rPr>
        <w:t>9</w:t>
      </w:r>
      <w:r w:rsidRPr="008E51A2">
        <w:rPr>
          <w:b w:val="0"/>
          <w:szCs w:val="22"/>
          <w:lang w:val="hy-AM" w:eastAsia="en-US"/>
        </w:rPr>
        <w:t>%: Նույն ժա</w:t>
      </w:r>
      <w:r w:rsidRPr="008E51A2">
        <w:rPr>
          <w:b w:val="0"/>
          <w:szCs w:val="22"/>
          <w:lang w:val="hy-AM" w:eastAsia="en-US"/>
        </w:rPr>
        <w:softHyphen/>
        <w:t>մա</w:t>
      </w:r>
      <w:r w:rsidRPr="008E51A2">
        <w:rPr>
          <w:b w:val="0"/>
          <w:szCs w:val="22"/>
          <w:lang w:val="hy-AM" w:eastAsia="en-US"/>
        </w:rPr>
        <w:softHyphen/>
        <w:t>նա</w:t>
      </w:r>
      <w:r w:rsidRPr="008E51A2">
        <w:rPr>
          <w:b w:val="0"/>
          <w:szCs w:val="22"/>
          <w:lang w:val="hy-AM" w:eastAsia="en-US"/>
        </w:rPr>
        <w:softHyphen/>
        <w:t>կա</w:t>
      </w:r>
      <w:r w:rsidRPr="008E51A2">
        <w:rPr>
          <w:b w:val="0"/>
          <w:szCs w:val="22"/>
          <w:lang w:val="hy-AM" w:eastAsia="en-US"/>
        </w:rPr>
        <w:softHyphen/>
        <w:t>հատ</w:t>
      </w:r>
      <w:r w:rsidRPr="008E51A2">
        <w:rPr>
          <w:b w:val="0"/>
          <w:szCs w:val="22"/>
          <w:lang w:val="hy-AM" w:eastAsia="en-US"/>
        </w:rPr>
        <w:softHyphen/>
        <w:t>վա</w:t>
      </w:r>
      <w:r w:rsidRPr="008E51A2">
        <w:rPr>
          <w:b w:val="0"/>
          <w:szCs w:val="22"/>
          <w:lang w:val="hy-AM" w:eastAsia="en-US"/>
        </w:rPr>
        <w:softHyphen/>
        <w:t>ծում ոչ ֆինանսական ակտիվների գծով զուտ ծախ</w:t>
      </w:r>
      <w:r w:rsidRPr="008E51A2">
        <w:rPr>
          <w:b w:val="0"/>
          <w:szCs w:val="22"/>
          <w:lang w:val="hy-AM" w:eastAsia="en-US"/>
        </w:rPr>
        <w:softHyphen/>
        <w:t>սերի հարա</w:t>
      </w:r>
      <w:r w:rsidRPr="008E51A2">
        <w:rPr>
          <w:b w:val="0"/>
          <w:szCs w:val="22"/>
          <w:lang w:val="hy-AM" w:eastAsia="en-US"/>
        </w:rPr>
        <w:softHyphen/>
        <w:t>բե</w:t>
      </w:r>
      <w:r w:rsidRPr="008E51A2">
        <w:rPr>
          <w:b w:val="0"/>
          <w:szCs w:val="22"/>
          <w:lang w:val="hy-AM" w:eastAsia="en-US"/>
        </w:rPr>
        <w:softHyphen/>
        <w:t>րակ</w:t>
      </w:r>
      <w:r w:rsidRPr="008E51A2">
        <w:rPr>
          <w:b w:val="0"/>
          <w:szCs w:val="22"/>
          <w:lang w:val="hy-AM" w:eastAsia="en-US"/>
        </w:rPr>
        <w:softHyphen/>
        <w:t>ցությունները ՀՆԱ-ի նկատ</w:t>
      </w:r>
      <w:r w:rsidRPr="008E51A2">
        <w:rPr>
          <w:b w:val="0"/>
          <w:szCs w:val="22"/>
          <w:lang w:val="hy-AM" w:eastAsia="en-US"/>
        </w:rPr>
        <w:softHyphen/>
        <w:t xml:space="preserve">մամբ կազմում է </w:t>
      </w:r>
      <w:r w:rsidR="008E51A2" w:rsidRPr="008E51A2">
        <w:rPr>
          <w:b w:val="0"/>
          <w:szCs w:val="22"/>
          <w:lang w:val="hy-AM" w:eastAsia="en-US"/>
        </w:rPr>
        <w:t>6.6</w:t>
      </w:r>
      <w:r w:rsidRPr="008E51A2">
        <w:rPr>
          <w:b w:val="0"/>
          <w:szCs w:val="22"/>
          <w:lang w:val="hy-AM" w:eastAsia="en-US"/>
        </w:rPr>
        <w:t xml:space="preserve">%: </w:t>
      </w:r>
    </w:p>
    <w:p w14:paraId="468C57F0" w14:textId="6A930A3D" w:rsidR="001466DC" w:rsidRPr="001466DC" w:rsidRDefault="001466DC" w:rsidP="001466DC">
      <w:pPr>
        <w:rPr>
          <w:bCs/>
          <w:i/>
          <w:szCs w:val="22"/>
          <w:lang w:val="hy-AM"/>
        </w:rPr>
      </w:pPr>
      <w:bookmarkStart w:id="239" w:name="_Toc57631761"/>
      <w:bookmarkStart w:id="240" w:name="_Toc83752674"/>
      <w:bookmarkStart w:id="241" w:name="_Toc83928946"/>
      <w:bookmarkStart w:id="242" w:name="_Toc115255380"/>
      <w:bookmarkStart w:id="243" w:name="_Toc152324771"/>
      <w:r w:rsidRPr="001466DC">
        <w:rPr>
          <w:bCs/>
          <w:szCs w:val="22"/>
          <w:lang w:val="hy-AM"/>
        </w:rPr>
        <w:t xml:space="preserve">Աղյուսակ </w:t>
      </w:r>
      <w:r w:rsidRPr="001466DC">
        <w:rPr>
          <w:bCs/>
          <w:szCs w:val="22"/>
        </w:rPr>
        <w:fldChar w:fldCharType="begin"/>
      </w:r>
      <w:r w:rsidRPr="001466DC">
        <w:rPr>
          <w:bCs/>
          <w:szCs w:val="22"/>
          <w:lang w:val="hy-AM"/>
        </w:rPr>
        <w:instrText xml:space="preserve"> SEQ Աղյուսակ \* ARABIC </w:instrText>
      </w:r>
      <w:r w:rsidRPr="001466DC">
        <w:rPr>
          <w:bCs/>
          <w:szCs w:val="22"/>
        </w:rPr>
        <w:fldChar w:fldCharType="separate"/>
      </w:r>
      <w:r w:rsidR="00DB4E68">
        <w:rPr>
          <w:bCs/>
          <w:noProof/>
          <w:szCs w:val="22"/>
          <w:lang w:val="hy-AM"/>
        </w:rPr>
        <w:t>9</w:t>
      </w:r>
      <w:r w:rsidRPr="001466DC">
        <w:rPr>
          <w:bCs/>
          <w:szCs w:val="22"/>
        </w:rPr>
        <w:fldChar w:fldCharType="end"/>
      </w:r>
      <w:r w:rsidRPr="001466DC">
        <w:rPr>
          <w:rFonts w:ascii="Cambria Math" w:hAnsi="Cambria Math" w:cs="Cambria Math"/>
          <w:bCs/>
          <w:szCs w:val="22"/>
          <w:lang w:val="hy-AM"/>
        </w:rPr>
        <w:t>․</w:t>
      </w:r>
      <w:r w:rsidRPr="001466DC">
        <w:rPr>
          <w:bCs/>
          <w:szCs w:val="22"/>
          <w:lang w:val="af-ZA"/>
        </w:rPr>
        <w:t xml:space="preserve"> </w:t>
      </w:r>
      <w:r w:rsidRPr="001466DC">
        <w:rPr>
          <w:b w:val="0"/>
          <w:bCs/>
          <w:szCs w:val="22"/>
          <w:lang w:val="af-ZA"/>
        </w:rPr>
        <w:t>2020-2024</w:t>
      </w:r>
      <w:r w:rsidRPr="001466DC">
        <w:rPr>
          <w:b w:val="0"/>
          <w:bCs/>
          <w:szCs w:val="22"/>
          <w:lang w:val="hy-AM"/>
        </w:rPr>
        <w:t>թթ</w:t>
      </w:r>
      <w:r w:rsidRPr="001466DC">
        <w:rPr>
          <w:b w:val="0"/>
          <w:bCs/>
          <w:szCs w:val="22"/>
          <w:lang w:val="af-ZA"/>
        </w:rPr>
        <w:t xml:space="preserve"> </w:t>
      </w:r>
      <w:r w:rsidRPr="001466DC">
        <w:rPr>
          <w:b w:val="0"/>
          <w:bCs/>
          <w:szCs w:val="22"/>
          <w:lang w:val="hy-AM"/>
        </w:rPr>
        <w:t>ընթացիկ</w:t>
      </w:r>
      <w:r w:rsidRPr="001466DC">
        <w:rPr>
          <w:b w:val="0"/>
          <w:bCs/>
          <w:szCs w:val="22"/>
          <w:lang w:val="af-ZA"/>
        </w:rPr>
        <w:t xml:space="preserve"> </w:t>
      </w:r>
      <w:r w:rsidRPr="001466DC">
        <w:rPr>
          <w:b w:val="0"/>
          <w:bCs/>
          <w:szCs w:val="22"/>
          <w:lang w:val="hy-AM"/>
        </w:rPr>
        <w:t>և</w:t>
      </w:r>
      <w:r w:rsidRPr="001466DC">
        <w:rPr>
          <w:b w:val="0"/>
          <w:bCs/>
          <w:szCs w:val="22"/>
          <w:lang w:val="af-ZA"/>
        </w:rPr>
        <w:t xml:space="preserve"> </w:t>
      </w:r>
      <w:r w:rsidRPr="001466DC">
        <w:rPr>
          <w:b w:val="0"/>
          <w:bCs/>
          <w:szCs w:val="22"/>
          <w:lang w:val="hy-AM"/>
        </w:rPr>
        <w:t>ոչ</w:t>
      </w:r>
      <w:r w:rsidRPr="001466DC">
        <w:rPr>
          <w:b w:val="0"/>
          <w:bCs/>
          <w:szCs w:val="22"/>
          <w:lang w:val="af-ZA"/>
        </w:rPr>
        <w:t xml:space="preserve"> </w:t>
      </w:r>
      <w:r w:rsidRPr="001466DC">
        <w:rPr>
          <w:b w:val="0"/>
          <w:bCs/>
          <w:szCs w:val="22"/>
          <w:lang w:val="hy-AM"/>
        </w:rPr>
        <w:t>ֆինանսական</w:t>
      </w:r>
      <w:r w:rsidRPr="001466DC">
        <w:rPr>
          <w:b w:val="0"/>
          <w:bCs/>
          <w:szCs w:val="22"/>
          <w:lang w:val="af-ZA"/>
        </w:rPr>
        <w:t xml:space="preserve"> </w:t>
      </w:r>
      <w:r w:rsidRPr="001466DC">
        <w:rPr>
          <w:b w:val="0"/>
          <w:bCs/>
          <w:szCs w:val="22"/>
          <w:lang w:val="hy-AM"/>
        </w:rPr>
        <w:t>ակտիվների</w:t>
      </w:r>
      <w:r w:rsidRPr="001466DC">
        <w:rPr>
          <w:b w:val="0"/>
          <w:bCs/>
          <w:szCs w:val="22"/>
          <w:lang w:val="af-ZA"/>
        </w:rPr>
        <w:t xml:space="preserve"> </w:t>
      </w:r>
      <w:r w:rsidRPr="001466DC">
        <w:rPr>
          <w:b w:val="0"/>
          <w:bCs/>
          <w:szCs w:val="22"/>
          <w:lang w:val="hy-AM"/>
        </w:rPr>
        <w:t>գծով</w:t>
      </w:r>
      <w:r w:rsidRPr="001466DC">
        <w:rPr>
          <w:b w:val="0"/>
          <w:bCs/>
          <w:szCs w:val="22"/>
          <w:lang w:val="af-ZA"/>
        </w:rPr>
        <w:t xml:space="preserve"> </w:t>
      </w:r>
      <w:r w:rsidRPr="001466DC">
        <w:rPr>
          <w:b w:val="0"/>
          <w:bCs/>
          <w:szCs w:val="22"/>
          <w:lang w:val="hy-AM"/>
        </w:rPr>
        <w:t>ծախսերի</w:t>
      </w:r>
      <w:r w:rsidRPr="001466DC">
        <w:rPr>
          <w:b w:val="0"/>
          <w:bCs/>
          <w:szCs w:val="22"/>
          <w:lang w:val="af-ZA"/>
        </w:rPr>
        <w:t xml:space="preserve"> </w:t>
      </w:r>
      <w:r w:rsidRPr="001466DC">
        <w:rPr>
          <w:b w:val="0"/>
          <w:bCs/>
          <w:szCs w:val="22"/>
          <w:lang w:val="hy-AM"/>
        </w:rPr>
        <w:t>փոփոխության</w:t>
      </w:r>
      <w:r w:rsidRPr="001466DC">
        <w:rPr>
          <w:b w:val="0"/>
          <w:bCs/>
          <w:szCs w:val="22"/>
          <w:lang w:val="af-ZA"/>
        </w:rPr>
        <w:t xml:space="preserve"> </w:t>
      </w:r>
      <w:r w:rsidRPr="001466DC">
        <w:rPr>
          <w:b w:val="0"/>
          <w:bCs/>
          <w:szCs w:val="22"/>
          <w:lang w:val="hy-AM"/>
        </w:rPr>
        <w:t>և</w:t>
      </w:r>
      <w:r w:rsidRPr="001466DC">
        <w:rPr>
          <w:b w:val="0"/>
          <w:bCs/>
          <w:szCs w:val="22"/>
          <w:lang w:val="af-ZA"/>
        </w:rPr>
        <w:t xml:space="preserve"> </w:t>
      </w:r>
      <w:r w:rsidRPr="001466DC">
        <w:rPr>
          <w:b w:val="0"/>
          <w:bCs/>
          <w:szCs w:val="22"/>
          <w:lang w:val="hy-AM"/>
        </w:rPr>
        <w:t>հարաբերակցության</w:t>
      </w:r>
      <w:r w:rsidRPr="001466DC">
        <w:rPr>
          <w:b w:val="0"/>
          <w:bCs/>
          <w:szCs w:val="22"/>
          <w:lang w:val="af-ZA"/>
        </w:rPr>
        <w:t xml:space="preserve"> </w:t>
      </w:r>
      <w:r w:rsidRPr="001466DC">
        <w:rPr>
          <w:b w:val="0"/>
          <w:bCs/>
          <w:szCs w:val="22"/>
          <w:lang w:val="hy-AM"/>
        </w:rPr>
        <w:t>միտումները</w:t>
      </w:r>
      <w:bookmarkEnd w:id="239"/>
      <w:bookmarkEnd w:id="240"/>
      <w:bookmarkEnd w:id="241"/>
      <w:bookmarkEnd w:id="242"/>
      <w:r w:rsidRPr="001466DC">
        <w:rPr>
          <w:b w:val="0"/>
          <w:bCs/>
          <w:szCs w:val="22"/>
          <w:lang w:val="hy-AM"/>
        </w:rPr>
        <w:t>, մլրդ դրամ</w:t>
      </w:r>
      <w:bookmarkEnd w:id="243"/>
      <w:r w:rsidRPr="001466DC">
        <w:rPr>
          <w:b w:val="0"/>
          <w:bCs/>
          <w:szCs w:val="22"/>
          <w:lang w:val="hy-AM"/>
        </w:rPr>
        <w:t xml:space="preserve">   </w:t>
      </w:r>
    </w:p>
    <w:p w14:paraId="111675EC" w14:textId="77777777" w:rsidR="001466DC" w:rsidRPr="001466DC" w:rsidRDefault="001466DC" w:rsidP="001466DC">
      <w:pPr>
        <w:rPr>
          <w:bCs/>
          <w:i/>
          <w:color w:val="5B9BD5"/>
          <w:sz w:val="20"/>
          <w:szCs w:val="20"/>
          <w:lang w:val="hy-AM"/>
        </w:rPr>
      </w:pP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1138"/>
        <w:gridCol w:w="1240"/>
        <w:gridCol w:w="1089"/>
        <w:gridCol w:w="1141"/>
        <w:gridCol w:w="1122"/>
      </w:tblGrid>
      <w:tr w:rsidR="001466DC" w:rsidRPr="001466DC" w14:paraId="2EEF9B23" w14:textId="77777777" w:rsidTr="006A19E6">
        <w:trPr>
          <w:trHeight w:val="310"/>
        </w:trPr>
        <w:tc>
          <w:tcPr>
            <w:tcW w:w="3330" w:type="dxa"/>
            <w:vMerge w:val="restart"/>
            <w:tcBorders>
              <w:top w:val="nil"/>
              <w:left w:val="nil"/>
              <w:right w:val="nil"/>
            </w:tcBorders>
            <w:shd w:val="clear" w:color="auto" w:fill="auto"/>
            <w:vAlign w:val="center"/>
          </w:tcPr>
          <w:p w14:paraId="25B68925" w14:textId="77777777" w:rsidR="001466DC" w:rsidRPr="001466DC" w:rsidRDefault="001466DC" w:rsidP="001466DC">
            <w:pPr>
              <w:tabs>
                <w:tab w:val="left" w:pos="0"/>
              </w:tabs>
              <w:spacing w:line="240" w:lineRule="auto"/>
              <w:rPr>
                <w:b w:val="0"/>
                <w:color w:val="000000"/>
                <w:sz w:val="18"/>
                <w:szCs w:val="18"/>
              </w:rPr>
            </w:pPr>
            <w:r w:rsidRPr="001466DC">
              <w:rPr>
                <w:b w:val="0"/>
                <w:color w:val="000000"/>
                <w:sz w:val="18"/>
                <w:szCs w:val="18"/>
              </w:rPr>
              <w:t>Ցուցանիշներ</w:t>
            </w:r>
          </w:p>
        </w:tc>
        <w:tc>
          <w:tcPr>
            <w:tcW w:w="3467" w:type="dxa"/>
            <w:gridSpan w:val="3"/>
            <w:tcBorders>
              <w:top w:val="nil"/>
              <w:left w:val="nil"/>
              <w:bottom w:val="single" w:sz="4" w:space="0" w:color="auto"/>
              <w:right w:val="nil"/>
            </w:tcBorders>
            <w:shd w:val="clear" w:color="auto" w:fill="auto"/>
            <w:vAlign w:val="center"/>
          </w:tcPr>
          <w:p w14:paraId="66B822EF" w14:textId="77777777" w:rsidR="001466DC" w:rsidRPr="001466DC" w:rsidRDefault="001466DC" w:rsidP="001466DC">
            <w:pPr>
              <w:tabs>
                <w:tab w:val="left" w:pos="0"/>
              </w:tabs>
              <w:spacing w:line="240" w:lineRule="auto"/>
              <w:jc w:val="center"/>
              <w:rPr>
                <w:b w:val="0"/>
                <w:color w:val="000000"/>
                <w:sz w:val="18"/>
                <w:szCs w:val="18"/>
                <w:lang w:val="hy-AM"/>
              </w:rPr>
            </w:pPr>
            <w:r w:rsidRPr="001466DC">
              <w:rPr>
                <w:b w:val="0"/>
                <w:color w:val="000000"/>
                <w:sz w:val="18"/>
                <w:szCs w:val="18"/>
                <w:lang w:val="hy-AM"/>
              </w:rPr>
              <w:t>Փաստ</w:t>
            </w:r>
          </w:p>
        </w:tc>
        <w:tc>
          <w:tcPr>
            <w:tcW w:w="1141" w:type="dxa"/>
            <w:tcBorders>
              <w:top w:val="nil"/>
              <w:left w:val="nil"/>
              <w:bottom w:val="nil"/>
              <w:right w:val="nil"/>
            </w:tcBorders>
            <w:shd w:val="clear" w:color="auto" w:fill="auto"/>
            <w:vAlign w:val="center"/>
          </w:tcPr>
          <w:p w14:paraId="41212A81" w14:textId="77777777" w:rsidR="001466DC" w:rsidRPr="001466DC" w:rsidRDefault="001466DC" w:rsidP="001466DC">
            <w:pPr>
              <w:tabs>
                <w:tab w:val="left" w:pos="0"/>
              </w:tabs>
              <w:spacing w:line="240" w:lineRule="auto"/>
              <w:jc w:val="center"/>
              <w:rPr>
                <w:b w:val="0"/>
                <w:color w:val="000000"/>
                <w:sz w:val="18"/>
                <w:szCs w:val="18"/>
                <w:lang w:val="hy-AM"/>
              </w:rPr>
            </w:pPr>
            <w:r w:rsidRPr="001466DC">
              <w:rPr>
                <w:b w:val="0"/>
                <w:color w:val="000000"/>
                <w:sz w:val="18"/>
                <w:szCs w:val="18"/>
                <w:lang w:val="hy-AM"/>
              </w:rPr>
              <w:t>Բյուջե</w:t>
            </w:r>
          </w:p>
        </w:tc>
        <w:tc>
          <w:tcPr>
            <w:tcW w:w="1122" w:type="dxa"/>
            <w:tcBorders>
              <w:top w:val="nil"/>
              <w:left w:val="nil"/>
              <w:bottom w:val="nil"/>
              <w:right w:val="nil"/>
            </w:tcBorders>
          </w:tcPr>
          <w:p w14:paraId="30685E1F" w14:textId="38480871" w:rsidR="001466DC" w:rsidRPr="001466DC" w:rsidRDefault="009813D2" w:rsidP="001466DC">
            <w:pPr>
              <w:tabs>
                <w:tab w:val="left" w:pos="0"/>
              </w:tabs>
              <w:spacing w:line="240" w:lineRule="auto"/>
              <w:jc w:val="center"/>
              <w:rPr>
                <w:b w:val="0"/>
                <w:color w:val="000000"/>
                <w:sz w:val="18"/>
                <w:szCs w:val="18"/>
                <w:lang w:val="hy-AM"/>
              </w:rPr>
            </w:pPr>
            <w:r>
              <w:rPr>
                <w:b w:val="0"/>
                <w:color w:val="000000"/>
                <w:sz w:val="18"/>
                <w:szCs w:val="18"/>
                <w:lang w:val="hy-AM"/>
              </w:rPr>
              <w:t>ծրագիր</w:t>
            </w:r>
          </w:p>
        </w:tc>
      </w:tr>
      <w:tr w:rsidR="001466DC" w:rsidRPr="001466DC" w14:paraId="1DD7E434" w14:textId="77777777" w:rsidTr="006A19E6">
        <w:trPr>
          <w:trHeight w:val="190"/>
        </w:trPr>
        <w:tc>
          <w:tcPr>
            <w:tcW w:w="3330" w:type="dxa"/>
            <w:vMerge/>
            <w:tcBorders>
              <w:left w:val="nil"/>
              <w:bottom w:val="single" w:sz="4" w:space="0" w:color="auto"/>
              <w:right w:val="nil"/>
            </w:tcBorders>
            <w:shd w:val="clear" w:color="auto" w:fill="auto"/>
            <w:vAlign w:val="center"/>
            <w:hideMark/>
          </w:tcPr>
          <w:p w14:paraId="391F5951" w14:textId="77777777" w:rsidR="001466DC" w:rsidRPr="001466DC" w:rsidRDefault="001466DC" w:rsidP="001466DC">
            <w:pPr>
              <w:tabs>
                <w:tab w:val="left" w:pos="0"/>
              </w:tabs>
              <w:spacing w:line="240" w:lineRule="auto"/>
              <w:jc w:val="center"/>
              <w:rPr>
                <w:b w:val="0"/>
                <w:color w:val="000000"/>
                <w:sz w:val="18"/>
                <w:szCs w:val="18"/>
              </w:rPr>
            </w:pPr>
          </w:p>
        </w:tc>
        <w:tc>
          <w:tcPr>
            <w:tcW w:w="1138" w:type="dxa"/>
            <w:tcBorders>
              <w:top w:val="single" w:sz="4" w:space="0" w:color="auto"/>
              <w:left w:val="nil"/>
              <w:bottom w:val="single" w:sz="4" w:space="0" w:color="auto"/>
              <w:right w:val="nil"/>
            </w:tcBorders>
            <w:shd w:val="clear" w:color="auto" w:fill="auto"/>
            <w:vAlign w:val="center"/>
          </w:tcPr>
          <w:p w14:paraId="02B25CD5" w14:textId="77777777" w:rsidR="001466DC" w:rsidRPr="001466DC" w:rsidRDefault="001466DC" w:rsidP="001466DC">
            <w:pPr>
              <w:tabs>
                <w:tab w:val="left" w:pos="0"/>
              </w:tabs>
              <w:spacing w:line="240" w:lineRule="auto"/>
              <w:jc w:val="center"/>
              <w:rPr>
                <w:b w:val="0"/>
                <w:color w:val="000000"/>
                <w:sz w:val="18"/>
                <w:szCs w:val="18"/>
                <w:lang w:val="hy-AM"/>
              </w:rPr>
            </w:pPr>
            <w:r w:rsidRPr="001466DC">
              <w:rPr>
                <w:b w:val="0"/>
                <w:color w:val="000000"/>
                <w:sz w:val="18"/>
                <w:szCs w:val="18"/>
                <w:lang w:val="hy-AM"/>
              </w:rPr>
              <w:t xml:space="preserve">2020 </w:t>
            </w:r>
          </w:p>
        </w:tc>
        <w:tc>
          <w:tcPr>
            <w:tcW w:w="1240" w:type="dxa"/>
            <w:tcBorders>
              <w:top w:val="single" w:sz="4" w:space="0" w:color="auto"/>
              <w:left w:val="nil"/>
              <w:bottom w:val="single" w:sz="4" w:space="0" w:color="auto"/>
              <w:right w:val="nil"/>
            </w:tcBorders>
            <w:shd w:val="clear" w:color="auto" w:fill="auto"/>
            <w:vAlign w:val="center"/>
          </w:tcPr>
          <w:p w14:paraId="0FA01A25" w14:textId="77777777" w:rsidR="001466DC" w:rsidRPr="001466DC" w:rsidRDefault="001466DC" w:rsidP="001466DC">
            <w:pPr>
              <w:tabs>
                <w:tab w:val="left" w:pos="0"/>
              </w:tabs>
              <w:spacing w:line="240" w:lineRule="auto"/>
              <w:jc w:val="center"/>
              <w:rPr>
                <w:b w:val="0"/>
                <w:color w:val="000000"/>
                <w:sz w:val="18"/>
                <w:szCs w:val="18"/>
                <w:lang w:val="hy-AM"/>
              </w:rPr>
            </w:pPr>
            <w:r w:rsidRPr="001466DC">
              <w:rPr>
                <w:b w:val="0"/>
                <w:color w:val="000000"/>
                <w:sz w:val="18"/>
                <w:szCs w:val="18"/>
                <w:lang w:val="hy-AM"/>
              </w:rPr>
              <w:t xml:space="preserve">2021 </w:t>
            </w:r>
          </w:p>
        </w:tc>
        <w:tc>
          <w:tcPr>
            <w:tcW w:w="1089" w:type="dxa"/>
            <w:tcBorders>
              <w:top w:val="single" w:sz="4" w:space="0" w:color="auto"/>
              <w:left w:val="nil"/>
              <w:bottom w:val="single" w:sz="4" w:space="0" w:color="auto"/>
              <w:right w:val="nil"/>
            </w:tcBorders>
            <w:shd w:val="clear" w:color="auto" w:fill="auto"/>
            <w:vAlign w:val="center"/>
          </w:tcPr>
          <w:p w14:paraId="0C17AADB" w14:textId="77777777" w:rsidR="001466DC" w:rsidRPr="001466DC" w:rsidRDefault="001466DC" w:rsidP="001466DC">
            <w:pPr>
              <w:tabs>
                <w:tab w:val="left" w:pos="0"/>
              </w:tabs>
              <w:spacing w:line="240" w:lineRule="auto"/>
              <w:jc w:val="center"/>
              <w:rPr>
                <w:b w:val="0"/>
                <w:color w:val="000000"/>
                <w:sz w:val="18"/>
                <w:szCs w:val="18"/>
                <w:lang w:val="hy-AM"/>
              </w:rPr>
            </w:pPr>
            <w:r w:rsidRPr="001466DC">
              <w:rPr>
                <w:b w:val="0"/>
                <w:color w:val="000000"/>
                <w:sz w:val="18"/>
                <w:szCs w:val="18"/>
                <w:lang w:val="hy-AM"/>
              </w:rPr>
              <w:t xml:space="preserve">2022 </w:t>
            </w:r>
          </w:p>
        </w:tc>
        <w:tc>
          <w:tcPr>
            <w:tcW w:w="1141" w:type="dxa"/>
            <w:tcBorders>
              <w:top w:val="nil"/>
              <w:left w:val="nil"/>
              <w:bottom w:val="single" w:sz="4" w:space="0" w:color="auto"/>
              <w:right w:val="nil"/>
            </w:tcBorders>
            <w:shd w:val="clear" w:color="auto" w:fill="auto"/>
            <w:vAlign w:val="center"/>
          </w:tcPr>
          <w:p w14:paraId="03023A86" w14:textId="77777777" w:rsidR="001466DC" w:rsidRPr="001466DC" w:rsidRDefault="001466DC" w:rsidP="001466DC">
            <w:pPr>
              <w:tabs>
                <w:tab w:val="left" w:pos="0"/>
              </w:tabs>
              <w:spacing w:line="240" w:lineRule="auto"/>
              <w:jc w:val="center"/>
              <w:rPr>
                <w:b w:val="0"/>
                <w:color w:val="000000"/>
                <w:sz w:val="18"/>
                <w:szCs w:val="18"/>
                <w:lang w:val="hy-AM"/>
              </w:rPr>
            </w:pPr>
            <w:r w:rsidRPr="001466DC">
              <w:rPr>
                <w:b w:val="0"/>
                <w:color w:val="000000"/>
                <w:sz w:val="18"/>
                <w:szCs w:val="18"/>
                <w:lang w:val="hy-AM"/>
              </w:rPr>
              <w:t>2023</w:t>
            </w:r>
          </w:p>
        </w:tc>
        <w:tc>
          <w:tcPr>
            <w:tcW w:w="1122" w:type="dxa"/>
            <w:tcBorders>
              <w:top w:val="single" w:sz="4" w:space="0" w:color="auto"/>
              <w:left w:val="nil"/>
              <w:bottom w:val="single" w:sz="4" w:space="0" w:color="auto"/>
              <w:right w:val="nil"/>
            </w:tcBorders>
            <w:vAlign w:val="center"/>
          </w:tcPr>
          <w:p w14:paraId="078BEB8B" w14:textId="77777777" w:rsidR="001466DC" w:rsidRPr="001466DC" w:rsidRDefault="001466DC" w:rsidP="001466DC">
            <w:pPr>
              <w:tabs>
                <w:tab w:val="left" w:pos="0"/>
              </w:tabs>
              <w:spacing w:line="240" w:lineRule="auto"/>
              <w:jc w:val="center"/>
              <w:rPr>
                <w:b w:val="0"/>
                <w:color w:val="000000"/>
                <w:sz w:val="18"/>
                <w:szCs w:val="18"/>
              </w:rPr>
            </w:pPr>
            <w:r w:rsidRPr="001466DC">
              <w:rPr>
                <w:b w:val="0"/>
                <w:color w:val="000000"/>
                <w:sz w:val="18"/>
                <w:szCs w:val="18"/>
              </w:rPr>
              <w:t>2024</w:t>
            </w:r>
          </w:p>
        </w:tc>
      </w:tr>
      <w:tr w:rsidR="00520651" w:rsidRPr="001466DC" w14:paraId="6B525453" w14:textId="77777777" w:rsidTr="006A19E6">
        <w:trPr>
          <w:trHeight w:val="488"/>
        </w:trPr>
        <w:tc>
          <w:tcPr>
            <w:tcW w:w="3330" w:type="dxa"/>
            <w:tcBorders>
              <w:top w:val="single" w:sz="4" w:space="0" w:color="auto"/>
              <w:left w:val="nil"/>
              <w:bottom w:val="nil"/>
              <w:right w:val="nil"/>
            </w:tcBorders>
            <w:shd w:val="clear" w:color="auto" w:fill="auto"/>
            <w:vAlign w:val="center"/>
            <w:hideMark/>
          </w:tcPr>
          <w:p w14:paraId="7E5A6BE7" w14:textId="77777777" w:rsidR="00520651" w:rsidRPr="001466DC" w:rsidRDefault="00520651" w:rsidP="00520651">
            <w:pPr>
              <w:spacing w:before="0" w:line="240" w:lineRule="auto"/>
              <w:jc w:val="left"/>
              <w:rPr>
                <w:b w:val="0"/>
                <w:bCs/>
                <w:sz w:val="18"/>
                <w:szCs w:val="18"/>
              </w:rPr>
            </w:pPr>
            <w:r w:rsidRPr="001466DC">
              <w:rPr>
                <w:b w:val="0"/>
                <w:bCs/>
                <w:sz w:val="18"/>
                <w:szCs w:val="18"/>
              </w:rPr>
              <w:t>Ընդամենը ծախսեր</w:t>
            </w:r>
          </w:p>
        </w:tc>
        <w:tc>
          <w:tcPr>
            <w:tcW w:w="1138" w:type="dxa"/>
            <w:tcBorders>
              <w:top w:val="single" w:sz="4" w:space="0" w:color="auto"/>
              <w:left w:val="nil"/>
              <w:bottom w:val="nil"/>
              <w:right w:val="nil"/>
            </w:tcBorders>
            <w:vAlign w:val="center"/>
          </w:tcPr>
          <w:p w14:paraId="6DEA89BE" w14:textId="0ACA4405" w:rsidR="00520651" w:rsidRPr="00520651" w:rsidRDefault="00520651" w:rsidP="00520651">
            <w:pPr>
              <w:spacing w:before="0" w:line="240" w:lineRule="auto"/>
              <w:jc w:val="center"/>
              <w:rPr>
                <w:b w:val="0"/>
                <w:bCs/>
                <w:sz w:val="18"/>
                <w:szCs w:val="18"/>
              </w:rPr>
            </w:pPr>
            <w:r w:rsidRPr="00520651">
              <w:rPr>
                <w:b w:val="0"/>
                <w:bCs/>
                <w:sz w:val="18"/>
                <w:szCs w:val="18"/>
              </w:rPr>
              <w:t>1,908.0</w:t>
            </w:r>
          </w:p>
        </w:tc>
        <w:tc>
          <w:tcPr>
            <w:tcW w:w="1240" w:type="dxa"/>
            <w:tcBorders>
              <w:top w:val="single" w:sz="4" w:space="0" w:color="auto"/>
              <w:left w:val="nil"/>
              <w:bottom w:val="nil"/>
              <w:right w:val="nil"/>
            </w:tcBorders>
            <w:vAlign w:val="center"/>
          </w:tcPr>
          <w:p w14:paraId="59B33A2E" w14:textId="78550B4D" w:rsidR="00520651" w:rsidRPr="001466DC" w:rsidRDefault="00520651" w:rsidP="00520651">
            <w:pPr>
              <w:spacing w:before="0"/>
              <w:jc w:val="center"/>
              <w:rPr>
                <w:b w:val="0"/>
                <w:bCs/>
                <w:sz w:val="18"/>
                <w:szCs w:val="18"/>
              </w:rPr>
            </w:pPr>
            <w:r w:rsidRPr="00520651">
              <w:rPr>
                <w:b w:val="0"/>
                <w:bCs/>
                <w:sz w:val="18"/>
                <w:szCs w:val="18"/>
              </w:rPr>
              <w:t>2,027.0</w:t>
            </w:r>
          </w:p>
        </w:tc>
        <w:tc>
          <w:tcPr>
            <w:tcW w:w="1089" w:type="dxa"/>
            <w:tcBorders>
              <w:top w:val="single" w:sz="4" w:space="0" w:color="auto"/>
              <w:left w:val="nil"/>
              <w:bottom w:val="nil"/>
              <w:right w:val="nil"/>
            </w:tcBorders>
            <w:vAlign w:val="center"/>
          </w:tcPr>
          <w:p w14:paraId="4BCBCFCD" w14:textId="0F80FF21" w:rsidR="00520651" w:rsidRPr="001466DC" w:rsidRDefault="00520651" w:rsidP="00520651">
            <w:pPr>
              <w:spacing w:before="0"/>
              <w:jc w:val="center"/>
              <w:rPr>
                <w:b w:val="0"/>
                <w:bCs/>
                <w:sz w:val="18"/>
                <w:szCs w:val="18"/>
              </w:rPr>
            </w:pPr>
            <w:r w:rsidRPr="00520651">
              <w:rPr>
                <w:b w:val="0"/>
                <w:bCs/>
                <w:sz w:val="18"/>
                <w:szCs w:val="18"/>
              </w:rPr>
              <w:t>2,279.1</w:t>
            </w:r>
          </w:p>
        </w:tc>
        <w:tc>
          <w:tcPr>
            <w:tcW w:w="1141" w:type="dxa"/>
            <w:tcBorders>
              <w:top w:val="single" w:sz="4" w:space="0" w:color="auto"/>
              <w:left w:val="nil"/>
              <w:bottom w:val="nil"/>
              <w:right w:val="nil"/>
            </w:tcBorders>
            <w:vAlign w:val="center"/>
          </w:tcPr>
          <w:p w14:paraId="64EFC430" w14:textId="3C28A585" w:rsidR="00520651" w:rsidRPr="001466DC" w:rsidRDefault="00520651" w:rsidP="00520651">
            <w:pPr>
              <w:spacing w:before="0"/>
              <w:jc w:val="center"/>
              <w:rPr>
                <w:b w:val="0"/>
                <w:bCs/>
                <w:sz w:val="18"/>
                <w:szCs w:val="18"/>
              </w:rPr>
            </w:pPr>
            <w:r w:rsidRPr="00520651">
              <w:rPr>
                <w:b w:val="0"/>
                <w:bCs/>
                <w:sz w:val="18"/>
                <w:szCs w:val="18"/>
              </w:rPr>
              <w:t>2,644.0</w:t>
            </w:r>
          </w:p>
        </w:tc>
        <w:tc>
          <w:tcPr>
            <w:tcW w:w="1122" w:type="dxa"/>
            <w:tcBorders>
              <w:top w:val="single" w:sz="4" w:space="0" w:color="auto"/>
              <w:left w:val="nil"/>
              <w:bottom w:val="nil"/>
              <w:right w:val="nil"/>
            </w:tcBorders>
            <w:vAlign w:val="center"/>
          </w:tcPr>
          <w:p w14:paraId="5D4641AC" w14:textId="2A2CDED0" w:rsidR="00520651" w:rsidRPr="008E51A2" w:rsidRDefault="00520651" w:rsidP="00520651">
            <w:pPr>
              <w:spacing w:before="0"/>
              <w:jc w:val="center"/>
              <w:rPr>
                <w:b w:val="0"/>
                <w:bCs/>
                <w:sz w:val="18"/>
                <w:szCs w:val="18"/>
              </w:rPr>
            </w:pPr>
            <w:r w:rsidRPr="00520651">
              <w:rPr>
                <w:b w:val="0"/>
                <w:bCs/>
                <w:sz w:val="18"/>
                <w:szCs w:val="18"/>
              </w:rPr>
              <w:t>3,206.5</w:t>
            </w:r>
          </w:p>
        </w:tc>
      </w:tr>
      <w:tr w:rsidR="00DF2873" w:rsidRPr="001466DC" w14:paraId="494E7483" w14:textId="77777777" w:rsidTr="006A19E6">
        <w:trPr>
          <w:trHeight w:val="219"/>
        </w:trPr>
        <w:tc>
          <w:tcPr>
            <w:tcW w:w="3330" w:type="dxa"/>
            <w:tcBorders>
              <w:top w:val="single" w:sz="4" w:space="0" w:color="auto"/>
              <w:left w:val="nil"/>
              <w:bottom w:val="nil"/>
              <w:right w:val="nil"/>
            </w:tcBorders>
            <w:shd w:val="clear" w:color="000000" w:fill="FFFFFF"/>
            <w:vAlign w:val="center"/>
            <w:hideMark/>
          </w:tcPr>
          <w:p w14:paraId="5079E31F" w14:textId="77777777" w:rsidR="00DF2873" w:rsidRPr="001466DC" w:rsidRDefault="00DF2873" w:rsidP="00C95115">
            <w:pPr>
              <w:numPr>
                <w:ilvl w:val="0"/>
                <w:numId w:val="32"/>
              </w:numPr>
              <w:tabs>
                <w:tab w:val="left" w:pos="165"/>
              </w:tabs>
              <w:spacing w:line="240" w:lineRule="auto"/>
              <w:ind w:left="0" w:firstLine="0"/>
              <w:jc w:val="left"/>
              <w:rPr>
                <w:b w:val="0"/>
                <w:sz w:val="18"/>
                <w:szCs w:val="18"/>
              </w:rPr>
            </w:pPr>
            <w:r w:rsidRPr="001466DC">
              <w:rPr>
                <w:b w:val="0"/>
                <w:sz w:val="18"/>
                <w:szCs w:val="18"/>
              </w:rPr>
              <w:t>Ընթացիկ ծախսեր</w:t>
            </w:r>
          </w:p>
        </w:tc>
        <w:tc>
          <w:tcPr>
            <w:tcW w:w="1138" w:type="dxa"/>
            <w:tcBorders>
              <w:top w:val="single" w:sz="4" w:space="0" w:color="auto"/>
              <w:left w:val="nil"/>
              <w:bottom w:val="nil"/>
              <w:right w:val="nil"/>
            </w:tcBorders>
            <w:shd w:val="clear" w:color="000000" w:fill="FFFFFF"/>
            <w:vAlign w:val="center"/>
          </w:tcPr>
          <w:p w14:paraId="6F0AF68C" w14:textId="67F952D9" w:rsidR="00DF2873" w:rsidRPr="00DF2873" w:rsidRDefault="00DF2873" w:rsidP="00520651">
            <w:pPr>
              <w:spacing w:before="0" w:line="240" w:lineRule="auto"/>
              <w:jc w:val="center"/>
              <w:rPr>
                <w:b w:val="0"/>
                <w:bCs/>
                <w:sz w:val="18"/>
                <w:szCs w:val="18"/>
              </w:rPr>
            </w:pPr>
            <w:r w:rsidRPr="00DF2873">
              <w:rPr>
                <w:b w:val="0"/>
                <w:bCs/>
                <w:sz w:val="18"/>
                <w:szCs w:val="18"/>
              </w:rPr>
              <w:t>1,681.8</w:t>
            </w:r>
          </w:p>
        </w:tc>
        <w:tc>
          <w:tcPr>
            <w:tcW w:w="1240" w:type="dxa"/>
            <w:tcBorders>
              <w:top w:val="single" w:sz="4" w:space="0" w:color="auto"/>
              <w:left w:val="nil"/>
              <w:bottom w:val="nil"/>
              <w:right w:val="nil"/>
            </w:tcBorders>
            <w:shd w:val="clear" w:color="000000" w:fill="FFFFFF"/>
            <w:vAlign w:val="center"/>
          </w:tcPr>
          <w:p w14:paraId="12A15458" w14:textId="1C847642" w:rsidR="00DF2873" w:rsidRPr="00DF2873" w:rsidRDefault="00DF2873" w:rsidP="00520651">
            <w:pPr>
              <w:spacing w:before="0" w:line="240" w:lineRule="auto"/>
              <w:jc w:val="center"/>
              <w:rPr>
                <w:b w:val="0"/>
                <w:bCs/>
                <w:sz w:val="18"/>
                <w:szCs w:val="18"/>
              </w:rPr>
            </w:pPr>
            <w:r w:rsidRPr="00DF2873">
              <w:rPr>
                <w:b w:val="0"/>
                <w:bCs/>
                <w:sz w:val="18"/>
                <w:szCs w:val="18"/>
              </w:rPr>
              <w:t>1,810.7</w:t>
            </w:r>
          </w:p>
        </w:tc>
        <w:tc>
          <w:tcPr>
            <w:tcW w:w="1089" w:type="dxa"/>
            <w:tcBorders>
              <w:top w:val="single" w:sz="4" w:space="0" w:color="auto"/>
              <w:left w:val="nil"/>
              <w:bottom w:val="nil"/>
              <w:right w:val="nil"/>
            </w:tcBorders>
            <w:shd w:val="clear" w:color="000000" w:fill="FFFFFF"/>
            <w:vAlign w:val="center"/>
          </w:tcPr>
          <w:p w14:paraId="522D74A2" w14:textId="06E9E8A9" w:rsidR="00DF2873" w:rsidRPr="00DF2873" w:rsidRDefault="00DF2873" w:rsidP="00520651">
            <w:pPr>
              <w:spacing w:before="0" w:line="240" w:lineRule="auto"/>
              <w:jc w:val="center"/>
              <w:rPr>
                <w:b w:val="0"/>
                <w:bCs/>
                <w:sz w:val="18"/>
                <w:szCs w:val="18"/>
              </w:rPr>
            </w:pPr>
            <w:r w:rsidRPr="00DF2873">
              <w:rPr>
                <w:b w:val="0"/>
                <w:bCs/>
                <w:sz w:val="18"/>
                <w:szCs w:val="18"/>
              </w:rPr>
              <w:t>1,898.7</w:t>
            </w:r>
          </w:p>
        </w:tc>
        <w:tc>
          <w:tcPr>
            <w:tcW w:w="1141" w:type="dxa"/>
            <w:tcBorders>
              <w:top w:val="single" w:sz="4" w:space="0" w:color="auto"/>
              <w:left w:val="nil"/>
              <w:bottom w:val="nil"/>
              <w:right w:val="nil"/>
            </w:tcBorders>
            <w:shd w:val="clear" w:color="000000" w:fill="FFFFFF"/>
            <w:vAlign w:val="center"/>
          </w:tcPr>
          <w:p w14:paraId="34E03B53" w14:textId="523099ED" w:rsidR="00DF2873" w:rsidRPr="00DF2873" w:rsidRDefault="00DF2873" w:rsidP="00520651">
            <w:pPr>
              <w:spacing w:before="0" w:line="240" w:lineRule="auto"/>
              <w:jc w:val="center"/>
              <w:rPr>
                <w:b w:val="0"/>
                <w:bCs/>
                <w:sz w:val="18"/>
                <w:szCs w:val="18"/>
              </w:rPr>
            </w:pPr>
            <w:r w:rsidRPr="00DF2873">
              <w:rPr>
                <w:b w:val="0"/>
                <w:bCs/>
                <w:sz w:val="18"/>
                <w:szCs w:val="18"/>
              </w:rPr>
              <w:t>2,096.3</w:t>
            </w:r>
          </w:p>
        </w:tc>
        <w:tc>
          <w:tcPr>
            <w:tcW w:w="1122" w:type="dxa"/>
            <w:tcBorders>
              <w:top w:val="single" w:sz="4" w:space="0" w:color="auto"/>
              <w:left w:val="nil"/>
              <w:bottom w:val="nil"/>
              <w:right w:val="nil"/>
            </w:tcBorders>
            <w:shd w:val="clear" w:color="000000" w:fill="FFFFFF"/>
            <w:vAlign w:val="center"/>
          </w:tcPr>
          <w:p w14:paraId="1950BC24" w14:textId="39B3729A" w:rsidR="00DF2873" w:rsidRPr="008E51A2" w:rsidRDefault="00DF2873" w:rsidP="00520651">
            <w:pPr>
              <w:spacing w:before="0" w:line="240" w:lineRule="auto"/>
              <w:jc w:val="center"/>
              <w:rPr>
                <w:b w:val="0"/>
                <w:bCs/>
                <w:sz w:val="18"/>
                <w:szCs w:val="18"/>
              </w:rPr>
            </w:pPr>
            <w:r w:rsidRPr="00DF2873">
              <w:rPr>
                <w:b w:val="0"/>
                <w:bCs/>
                <w:sz w:val="18"/>
                <w:szCs w:val="18"/>
              </w:rPr>
              <w:t>2,511.2</w:t>
            </w:r>
          </w:p>
        </w:tc>
      </w:tr>
      <w:tr w:rsidR="00DF2873" w:rsidRPr="001466DC" w14:paraId="07711FD4" w14:textId="77777777" w:rsidTr="006A19E6">
        <w:trPr>
          <w:trHeight w:val="219"/>
        </w:trPr>
        <w:tc>
          <w:tcPr>
            <w:tcW w:w="3330" w:type="dxa"/>
            <w:tcBorders>
              <w:top w:val="nil"/>
              <w:left w:val="nil"/>
              <w:bottom w:val="nil"/>
              <w:right w:val="nil"/>
            </w:tcBorders>
            <w:shd w:val="clear" w:color="000000" w:fill="FFFFFF"/>
            <w:vAlign w:val="center"/>
            <w:hideMark/>
          </w:tcPr>
          <w:p w14:paraId="61D8B1B6" w14:textId="77777777" w:rsidR="00DF2873" w:rsidRPr="001466DC" w:rsidRDefault="00DF2873" w:rsidP="00DF2873">
            <w:pPr>
              <w:tabs>
                <w:tab w:val="left" w:pos="0"/>
              </w:tabs>
              <w:spacing w:line="240" w:lineRule="auto"/>
              <w:rPr>
                <w:b w:val="0"/>
                <w:sz w:val="18"/>
                <w:szCs w:val="18"/>
              </w:rPr>
            </w:pPr>
            <w:r w:rsidRPr="001466DC">
              <w:rPr>
                <w:rFonts w:cs="Calibri"/>
                <w:b w:val="0"/>
                <w:color w:val="000000"/>
                <w:sz w:val="18"/>
                <w:szCs w:val="18"/>
              </w:rPr>
              <w:t>ՀՆԱ-ի նկատմամբ (%)</w:t>
            </w:r>
          </w:p>
        </w:tc>
        <w:tc>
          <w:tcPr>
            <w:tcW w:w="1138" w:type="dxa"/>
            <w:tcBorders>
              <w:top w:val="nil"/>
              <w:left w:val="nil"/>
              <w:bottom w:val="nil"/>
              <w:right w:val="nil"/>
            </w:tcBorders>
            <w:shd w:val="clear" w:color="000000" w:fill="FFFFFF"/>
            <w:vAlign w:val="center"/>
          </w:tcPr>
          <w:p w14:paraId="51267114" w14:textId="671BE6CF" w:rsidR="00DF2873" w:rsidRPr="00DF2873" w:rsidRDefault="00DF2873" w:rsidP="00520651">
            <w:pPr>
              <w:spacing w:before="0" w:line="240" w:lineRule="auto"/>
              <w:jc w:val="center"/>
              <w:rPr>
                <w:b w:val="0"/>
                <w:bCs/>
                <w:sz w:val="18"/>
                <w:szCs w:val="18"/>
              </w:rPr>
            </w:pPr>
            <w:r w:rsidRPr="00DF2873">
              <w:rPr>
                <w:b w:val="0"/>
                <w:bCs/>
                <w:sz w:val="18"/>
                <w:szCs w:val="18"/>
              </w:rPr>
              <w:t>27.2</w:t>
            </w:r>
          </w:p>
        </w:tc>
        <w:tc>
          <w:tcPr>
            <w:tcW w:w="1240" w:type="dxa"/>
            <w:tcBorders>
              <w:top w:val="nil"/>
              <w:left w:val="nil"/>
              <w:bottom w:val="nil"/>
              <w:right w:val="nil"/>
            </w:tcBorders>
            <w:shd w:val="clear" w:color="000000" w:fill="FFFFFF"/>
            <w:vAlign w:val="center"/>
          </w:tcPr>
          <w:p w14:paraId="4ACCDD90" w14:textId="34727B47" w:rsidR="00DF2873" w:rsidRPr="00DF2873" w:rsidRDefault="00DF2873" w:rsidP="00520651">
            <w:pPr>
              <w:spacing w:before="0" w:line="240" w:lineRule="auto"/>
              <w:jc w:val="center"/>
              <w:rPr>
                <w:b w:val="0"/>
                <w:bCs/>
                <w:sz w:val="18"/>
                <w:szCs w:val="18"/>
              </w:rPr>
            </w:pPr>
            <w:r w:rsidRPr="00DF2873">
              <w:rPr>
                <w:b w:val="0"/>
                <w:bCs/>
                <w:sz w:val="18"/>
                <w:szCs w:val="18"/>
              </w:rPr>
              <w:t>25.9</w:t>
            </w:r>
          </w:p>
        </w:tc>
        <w:tc>
          <w:tcPr>
            <w:tcW w:w="1089" w:type="dxa"/>
            <w:tcBorders>
              <w:top w:val="nil"/>
              <w:left w:val="nil"/>
              <w:bottom w:val="nil"/>
              <w:right w:val="nil"/>
            </w:tcBorders>
            <w:shd w:val="clear" w:color="000000" w:fill="FFFFFF"/>
            <w:vAlign w:val="center"/>
          </w:tcPr>
          <w:p w14:paraId="305CBA3A" w14:textId="26F011BC" w:rsidR="00DF2873" w:rsidRPr="00DF2873" w:rsidRDefault="00DF2873" w:rsidP="00520651">
            <w:pPr>
              <w:spacing w:before="0" w:line="240" w:lineRule="auto"/>
              <w:jc w:val="center"/>
              <w:rPr>
                <w:b w:val="0"/>
                <w:bCs/>
                <w:sz w:val="18"/>
                <w:szCs w:val="18"/>
              </w:rPr>
            </w:pPr>
            <w:r w:rsidRPr="00DF2873">
              <w:rPr>
                <w:b w:val="0"/>
                <w:bCs/>
                <w:sz w:val="18"/>
                <w:szCs w:val="18"/>
              </w:rPr>
              <w:t>22.3</w:t>
            </w:r>
          </w:p>
        </w:tc>
        <w:tc>
          <w:tcPr>
            <w:tcW w:w="1141" w:type="dxa"/>
            <w:tcBorders>
              <w:top w:val="nil"/>
              <w:left w:val="nil"/>
              <w:bottom w:val="nil"/>
              <w:right w:val="nil"/>
            </w:tcBorders>
            <w:shd w:val="clear" w:color="000000" w:fill="FFFFFF"/>
            <w:vAlign w:val="center"/>
          </w:tcPr>
          <w:p w14:paraId="7060FF89" w14:textId="62E522F3" w:rsidR="00DF2873" w:rsidRPr="00DF2873" w:rsidRDefault="00DF2873" w:rsidP="00520651">
            <w:pPr>
              <w:spacing w:before="0" w:line="240" w:lineRule="auto"/>
              <w:jc w:val="center"/>
              <w:rPr>
                <w:b w:val="0"/>
                <w:bCs/>
                <w:sz w:val="18"/>
                <w:szCs w:val="18"/>
              </w:rPr>
            </w:pPr>
            <w:r w:rsidRPr="00DF2873">
              <w:rPr>
                <w:b w:val="0"/>
                <w:bCs/>
                <w:sz w:val="18"/>
                <w:szCs w:val="18"/>
              </w:rPr>
              <w:t>22.5</w:t>
            </w:r>
          </w:p>
        </w:tc>
        <w:tc>
          <w:tcPr>
            <w:tcW w:w="1122" w:type="dxa"/>
            <w:tcBorders>
              <w:top w:val="nil"/>
              <w:left w:val="nil"/>
              <w:bottom w:val="nil"/>
              <w:right w:val="nil"/>
            </w:tcBorders>
            <w:shd w:val="clear" w:color="000000" w:fill="FFFFFF"/>
            <w:vAlign w:val="center"/>
          </w:tcPr>
          <w:p w14:paraId="54381B03" w14:textId="0B7AB353" w:rsidR="00DF2873" w:rsidRPr="008E51A2" w:rsidRDefault="00DF2873" w:rsidP="00520651">
            <w:pPr>
              <w:spacing w:before="0" w:line="240" w:lineRule="auto"/>
              <w:jc w:val="center"/>
              <w:rPr>
                <w:b w:val="0"/>
                <w:bCs/>
                <w:sz w:val="18"/>
                <w:szCs w:val="18"/>
              </w:rPr>
            </w:pPr>
            <w:r w:rsidRPr="00DF2873">
              <w:rPr>
                <w:b w:val="0"/>
                <w:bCs/>
                <w:sz w:val="18"/>
                <w:szCs w:val="18"/>
              </w:rPr>
              <w:t>23.9</w:t>
            </w:r>
          </w:p>
        </w:tc>
      </w:tr>
      <w:tr w:rsidR="00DF2873" w:rsidRPr="001466DC" w14:paraId="32050A02" w14:textId="77777777" w:rsidTr="006A19E6">
        <w:trPr>
          <w:trHeight w:val="428"/>
        </w:trPr>
        <w:tc>
          <w:tcPr>
            <w:tcW w:w="3330" w:type="dxa"/>
            <w:tcBorders>
              <w:top w:val="single" w:sz="4" w:space="0" w:color="auto"/>
              <w:left w:val="nil"/>
              <w:bottom w:val="nil"/>
              <w:right w:val="nil"/>
            </w:tcBorders>
            <w:shd w:val="clear" w:color="000000" w:fill="FFFFFF"/>
            <w:vAlign w:val="center"/>
            <w:hideMark/>
          </w:tcPr>
          <w:p w14:paraId="19DEC469" w14:textId="77777777" w:rsidR="00DF2873" w:rsidRPr="001466DC" w:rsidRDefault="00DF2873" w:rsidP="00DF2873">
            <w:pPr>
              <w:tabs>
                <w:tab w:val="left" w:pos="0"/>
              </w:tabs>
              <w:spacing w:line="240" w:lineRule="auto"/>
              <w:rPr>
                <w:b w:val="0"/>
                <w:sz w:val="18"/>
                <w:szCs w:val="18"/>
              </w:rPr>
            </w:pPr>
            <w:r w:rsidRPr="001466DC">
              <w:rPr>
                <w:b w:val="0"/>
                <w:sz w:val="18"/>
                <w:szCs w:val="18"/>
              </w:rPr>
              <w:t>2.Ոչ ֆինանսական ակտիվների գծով  ծախսեր</w:t>
            </w:r>
            <w:r w:rsidRPr="001466DC">
              <w:rPr>
                <w:rFonts w:ascii="Arial Armenian" w:hAnsi="Arial Armenian"/>
                <w:b w:val="0"/>
                <w:sz w:val="18"/>
                <w:szCs w:val="18"/>
                <w:vertAlign w:val="superscript"/>
              </w:rPr>
              <w:footnoteReference w:id="29"/>
            </w:r>
          </w:p>
        </w:tc>
        <w:tc>
          <w:tcPr>
            <w:tcW w:w="1138" w:type="dxa"/>
            <w:tcBorders>
              <w:top w:val="single" w:sz="4" w:space="0" w:color="auto"/>
              <w:left w:val="nil"/>
              <w:bottom w:val="nil"/>
              <w:right w:val="nil"/>
            </w:tcBorders>
            <w:shd w:val="clear" w:color="000000" w:fill="FFFFFF"/>
            <w:vAlign w:val="center"/>
          </w:tcPr>
          <w:p w14:paraId="1221B30F" w14:textId="592B0599" w:rsidR="00DF2873" w:rsidRPr="00DF2873" w:rsidRDefault="00DF2873" w:rsidP="00520651">
            <w:pPr>
              <w:spacing w:before="0" w:line="240" w:lineRule="auto"/>
              <w:jc w:val="center"/>
              <w:rPr>
                <w:b w:val="0"/>
                <w:bCs/>
                <w:sz w:val="18"/>
                <w:szCs w:val="18"/>
              </w:rPr>
            </w:pPr>
            <w:r w:rsidRPr="00DF2873">
              <w:rPr>
                <w:b w:val="0"/>
                <w:bCs/>
                <w:sz w:val="18"/>
                <w:szCs w:val="18"/>
              </w:rPr>
              <w:t>226.2</w:t>
            </w:r>
          </w:p>
        </w:tc>
        <w:tc>
          <w:tcPr>
            <w:tcW w:w="1240" w:type="dxa"/>
            <w:tcBorders>
              <w:top w:val="single" w:sz="4" w:space="0" w:color="auto"/>
              <w:left w:val="nil"/>
              <w:bottom w:val="nil"/>
              <w:right w:val="nil"/>
            </w:tcBorders>
            <w:shd w:val="clear" w:color="000000" w:fill="FFFFFF"/>
            <w:vAlign w:val="center"/>
          </w:tcPr>
          <w:p w14:paraId="31DF01CB" w14:textId="481B2D86" w:rsidR="00DF2873" w:rsidRPr="00DF2873" w:rsidRDefault="00DF2873" w:rsidP="00520651">
            <w:pPr>
              <w:spacing w:before="0" w:line="240" w:lineRule="auto"/>
              <w:jc w:val="center"/>
              <w:rPr>
                <w:b w:val="0"/>
                <w:bCs/>
                <w:sz w:val="18"/>
                <w:szCs w:val="18"/>
              </w:rPr>
            </w:pPr>
            <w:r w:rsidRPr="00DF2873">
              <w:rPr>
                <w:b w:val="0"/>
                <w:bCs/>
                <w:sz w:val="18"/>
                <w:szCs w:val="18"/>
              </w:rPr>
              <w:t>216.3</w:t>
            </w:r>
          </w:p>
        </w:tc>
        <w:tc>
          <w:tcPr>
            <w:tcW w:w="1089" w:type="dxa"/>
            <w:tcBorders>
              <w:top w:val="single" w:sz="4" w:space="0" w:color="auto"/>
              <w:left w:val="nil"/>
              <w:bottom w:val="nil"/>
              <w:right w:val="nil"/>
            </w:tcBorders>
            <w:shd w:val="clear" w:color="000000" w:fill="FFFFFF"/>
            <w:vAlign w:val="center"/>
          </w:tcPr>
          <w:p w14:paraId="53549D30" w14:textId="1D0E278E" w:rsidR="00DF2873" w:rsidRPr="00DF2873" w:rsidRDefault="00DF2873" w:rsidP="00520651">
            <w:pPr>
              <w:spacing w:before="0" w:line="240" w:lineRule="auto"/>
              <w:jc w:val="center"/>
              <w:rPr>
                <w:b w:val="0"/>
                <w:bCs/>
                <w:sz w:val="18"/>
                <w:szCs w:val="18"/>
              </w:rPr>
            </w:pPr>
            <w:r w:rsidRPr="00DF2873">
              <w:rPr>
                <w:b w:val="0"/>
                <w:bCs/>
                <w:sz w:val="18"/>
                <w:szCs w:val="18"/>
              </w:rPr>
              <w:t>380.4</w:t>
            </w:r>
          </w:p>
        </w:tc>
        <w:tc>
          <w:tcPr>
            <w:tcW w:w="1141" w:type="dxa"/>
            <w:tcBorders>
              <w:top w:val="single" w:sz="4" w:space="0" w:color="auto"/>
              <w:left w:val="nil"/>
              <w:bottom w:val="nil"/>
              <w:right w:val="nil"/>
            </w:tcBorders>
            <w:shd w:val="clear" w:color="000000" w:fill="FFFFFF"/>
            <w:vAlign w:val="center"/>
          </w:tcPr>
          <w:p w14:paraId="701F2F79" w14:textId="60C160C1" w:rsidR="00DF2873" w:rsidRPr="00DF2873" w:rsidRDefault="00DF2873" w:rsidP="00520651">
            <w:pPr>
              <w:spacing w:before="0" w:line="240" w:lineRule="auto"/>
              <w:jc w:val="center"/>
              <w:rPr>
                <w:b w:val="0"/>
                <w:bCs/>
                <w:sz w:val="18"/>
                <w:szCs w:val="18"/>
              </w:rPr>
            </w:pPr>
            <w:r w:rsidRPr="00DF2873">
              <w:rPr>
                <w:b w:val="0"/>
                <w:bCs/>
                <w:sz w:val="18"/>
                <w:szCs w:val="18"/>
              </w:rPr>
              <w:t>547.7</w:t>
            </w:r>
          </w:p>
        </w:tc>
        <w:tc>
          <w:tcPr>
            <w:tcW w:w="1122" w:type="dxa"/>
            <w:tcBorders>
              <w:top w:val="single" w:sz="4" w:space="0" w:color="auto"/>
              <w:left w:val="nil"/>
              <w:bottom w:val="nil"/>
              <w:right w:val="nil"/>
            </w:tcBorders>
            <w:shd w:val="clear" w:color="000000" w:fill="FFFFFF"/>
            <w:vAlign w:val="center"/>
          </w:tcPr>
          <w:p w14:paraId="776D2A84" w14:textId="0B137380" w:rsidR="00DF2873" w:rsidRPr="008E51A2" w:rsidRDefault="00DF2873" w:rsidP="00520651">
            <w:pPr>
              <w:spacing w:before="0" w:line="240" w:lineRule="auto"/>
              <w:jc w:val="center"/>
              <w:rPr>
                <w:b w:val="0"/>
                <w:bCs/>
                <w:sz w:val="18"/>
                <w:szCs w:val="18"/>
              </w:rPr>
            </w:pPr>
            <w:r w:rsidRPr="00DF2873">
              <w:rPr>
                <w:b w:val="0"/>
                <w:bCs/>
                <w:sz w:val="18"/>
                <w:szCs w:val="18"/>
              </w:rPr>
              <w:t>695.3</w:t>
            </w:r>
          </w:p>
        </w:tc>
      </w:tr>
      <w:tr w:rsidR="00DF2873" w:rsidRPr="001466DC" w14:paraId="6371C0FE" w14:textId="77777777" w:rsidTr="006A19E6">
        <w:trPr>
          <w:trHeight w:val="219"/>
        </w:trPr>
        <w:tc>
          <w:tcPr>
            <w:tcW w:w="3330" w:type="dxa"/>
            <w:tcBorders>
              <w:top w:val="nil"/>
              <w:left w:val="nil"/>
              <w:bottom w:val="single" w:sz="4" w:space="0" w:color="auto"/>
              <w:right w:val="nil"/>
            </w:tcBorders>
            <w:shd w:val="clear" w:color="000000" w:fill="FFFFFF"/>
            <w:vAlign w:val="center"/>
            <w:hideMark/>
          </w:tcPr>
          <w:p w14:paraId="065DB28A" w14:textId="77777777" w:rsidR="00DF2873" w:rsidRPr="001466DC" w:rsidRDefault="00DF2873" w:rsidP="00DF2873">
            <w:pPr>
              <w:tabs>
                <w:tab w:val="left" w:pos="0"/>
              </w:tabs>
              <w:spacing w:line="240" w:lineRule="auto"/>
              <w:rPr>
                <w:b w:val="0"/>
                <w:sz w:val="18"/>
                <w:szCs w:val="18"/>
              </w:rPr>
            </w:pPr>
            <w:r w:rsidRPr="001466DC">
              <w:rPr>
                <w:rFonts w:cs="Calibri"/>
                <w:b w:val="0"/>
                <w:color w:val="000000"/>
                <w:sz w:val="18"/>
                <w:szCs w:val="18"/>
              </w:rPr>
              <w:t>ՀՆԱ-ի նկատմամբ (%)</w:t>
            </w:r>
          </w:p>
        </w:tc>
        <w:tc>
          <w:tcPr>
            <w:tcW w:w="1138" w:type="dxa"/>
            <w:tcBorders>
              <w:top w:val="nil"/>
              <w:left w:val="nil"/>
              <w:bottom w:val="single" w:sz="4" w:space="0" w:color="auto"/>
              <w:right w:val="nil"/>
            </w:tcBorders>
            <w:shd w:val="clear" w:color="000000" w:fill="FFFFFF"/>
            <w:vAlign w:val="center"/>
          </w:tcPr>
          <w:p w14:paraId="53971A5E" w14:textId="296E554D" w:rsidR="00DF2873" w:rsidRPr="00DF2873" w:rsidRDefault="00DF2873" w:rsidP="00520651">
            <w:pPr>
              <w:spacing w:before="0" w:line="240" w:lineRule="auto"/>
              <w:jc w:val="center"/>
              <w:rPr>
                <w:b w:val="0"/>
                <w:bCs/>
                <w:sz w:val="18"/>
                <w:szCs w:val="18"/>
              </w:rPr>
            </w:pPr>
            <w:r w:rsidRPr="00DF2873">
              <w:rPr>
                <w:b w:val="0"/>
                <w:bCs/>
                <w:sz w:val="18"/>
                <w:szCs w:val="18"/>
              </w:rPr>
              <w:t>3.7</w:t>
            </w:r>
          </w:p>
        </w:tc>
        <w:tc>
          <w:tcPr>
            <w:tcW w:w="1240" w:type="dxa"/>
            <w:tcBorders>
              <w:top w:val="nil"/>
              <w:left w:val="nil"/>
              <w:bottom w:val="single" w:sz="4" w:space="0" w:color="auto"/>
              <w:right w:val="nil"/>
            </w:tcBorders>
            <w:shd w:val="clear" w:color="000000" w:fill="FFFFFF"/>
            <w:vAlign w:val="center"/>
          </w:tcPr>
          <w:p w14:paraId="66DB77DD" w14:textId="4B9B8C9E" w:rsidR="00DF2873" w:rsidRPr="00DF2873" w:rsidRDefault="00DF2873" w:rsidP="00520651">
            <w:pPr>
              <w:spacing w:before="0" w:line="240" w:lineRule="auto"/>
              <w:jc w:val="center"/>
              <w:rPr>
                <w:b w:val="0"/>
                <w:bCs/>
                <w:sz w:val="18"/>
                <w:szCs w:val="18"/>
              </w:rPr>
            </w:pPr>
            <w:r w:rsidRPr="00DF2873">
              <w:rPr>
                <w:b w:val="0"/>
                <w:bCs/>
                <w:sz w:val="18"/>
                <w:szCs w:val="18"/>
              </w:rPr>
              <w:t>3.1</w:t>
            </w:r>
          </w:p>
        </w:tc>
        <w:tc>
          <w:tcPr>
            <w:tcW w:w="1089" w:type="dxa"/>
            <w:tcBorders>
              <w:top w:val="nil"/>
              <w:left w:val="nil"/>
              <w:bottom w:val="single" w:sz="4" w:space="0" w:color="auto"/>
              <w:right w:val="nil"/>
            </w:tcBorders>
            <w:shd w:val="clear" w:color="000000" w:fill="FFFFFF"/>
            <w:vAlign w:val="center"/>
          </w:tcPr>
          <w:p w14:paraId="0C9252D3" w14:textId="3B306B92" w:rsidR="00DF2873" w:rsidRPr="00DF2873" w:rsidRDefault="00DF2873" w:rsidP="00520651">
            <w:pPr>
              <w:spacing w:before="0" w:line="240" w:lineRule="auto"/>
              <w:jc w:val="center"/>
              <w:rPr>
                <w:b w:val="0"/>
                <w:bCs/>
                <w:sz w:val="18"/>
                <w:szCs w:val="18"/>
              </w:rPr>
            </w:pPr>
            <w:r w:rsidRPr="00DF2873">
              <w:rPr>
                <w:b w:val="0"/>
                <w:bCs/>
                <w:sz w:val="18"/>
                <w:szCs w:val="18"/>
              </w:rPr>
              <w:t>4.5</w:t>
            </w:r>
          </w:p>
        </w:tc>
        <w:tc>
          <w:tcPr>
            <w:tcW w:w="1141" w:type="dxa"/>
            <w:tcBorders>
              <w:top w:val="nil"/>
              <w:left w:val="nil"/>
              <w:bottom w:val="single" w:sz="4" w:space="0" w:color="auto"/>
              <w:right w:val="nil"/>
            </w:tcBorders>
            <w:shd w:val="clear" w:color="000000" w:fill="FFFFFF"/>
            <w:vAlign w:val="center"/>
          </w:tcPr>
          <w:p w14:paraId="64800D97" w14:textId="560FE77C" w:rsidR="00DF2873" w:rsidRPr="00DF2873" w:rsidRDefault="00DF2873" w:rsidP="00520651">
            <w:pPr>
              <w:spacing w:before="0" w:line="240" w:lineRule="auto"/>
              <w:jc w:val="center"/>
              <w:rPr>
                <w:b w:val="0"/>
                <w:bCs/>
                <w:sz w:val="18"/>
                <w:szCs w:val="18"/>
              </w:rPr>
            </w:pPr>
            <w:r w:rsidRPr="00DF2873">
              <w:rPr>
                <w:b w:val="0"/>
                <w:bCs/>
                <w:sz w:val="18"/>
                <w:szCs w:val="18"/>
              </w:rPr>
              <w:t>5.9</w:t>
            </w:r>
          </w:p>
        </w:tc>
        <w:tc>
          <w:tcPr>
            <w:tcW w:w="1122" w:type="dxa"/>
            <w:tcBorders>
              <w:top w:val="nil"/>
              <w:left w:val="nil"/>
              <w:bottom w:val="single" w:sz="4" w:space="0" w:color="auto"/>
              <w:right w:val="nil"/>
            </w:tcBorders>
            <w:shd w:val="clear" w:color="000000" w:fill="FFFFFF"/>
            <w:vAlign w:val="center"/>
          </w:tcPr>
          <w:p w14:paraId="1F9648C0" w14:textId="7D3E31F8" w:rsidR="00DF2873" w:rsidRPr="008E51A2" w:rsidRDefault="00DF2873" w:rsidP="00520651">
            <w:pPr>
              <w:spacing w:before="0" w:line="240" w:lineRule="auto"/>
              <w:jc w:val="center"/>
              <w:rPr>
                <w:b w:val="0"/>
                <w:bCs/>
                <w:sz w:val="18"/>
                <w:szCs w:val="18"/>
              </w:rPr>
            </w:pPr>
            <w:r w:rsidRPr="00DF2873">
              <w:rPr>
                <w:b w:val="0"/>
                <w:bCs/>
                <w:sz w:val="18"/>
                <w:szCs w:val="18"/>
              </w:rPr>
              <w:t>6.6</w:t>
            </w:r>
          </w:p>
        </w:tc>
      </w:tr>
    </w:tbl>
    <w:p w14:paraId="1E05C8E9" w14:textId="77777777" w:rsidR="001466DC" w:rsidRPr="001466DC" w:rsidRDefault="001466DC" w:rsidP="001466DC">
      <w:pPr>
        <w:rPr>
          <w:b w:val="0"/>
          <w:bCs/>
          <w:color w:val="5B9BD5"/>
          <w:sz w:val="18"/>
          <w:szCs w:val="18"/>
          <w:lang w:val="hy-AM"/>
        </w:rPr>
      </w:pPr>
      <w:bookmarkStart w:id="244" w:name="_Toc57631788"/>
      <w:bookmarkStart w:id="245" w:name="_Toc83752683"/>
      <w:bookmarkStart w:id="246" w:name="_Toc52223577"/>
    </w:p>
    <w:p w14:paraId="5EF9570D" w14:textId="523192C0" w:rsidR="001466DC" w:rsidRPr="001466DC" w:rsidRDefault="001466DC" w:rsidP="001466DC">
      <w:pPr>
        <w:rPr>
          <w:b w:val="0"/>
          <w:bCs/>
          <w:szCs w:val="22"/>
          <w:lang w:val="hy-AM"/>
        </w:rPr>
      </w:pPr>
      <w:bookmarkStart w:id="247" w:name="_Toc115255403"/>
      <w:bookmarkStart w:id="248" w:name="_Toc152324823"/>
      <w:r w:rsidRPr="001466DC">
        <w:rPr>
          <w:bCs/>
          <w:szCs w:val="22"/>
          <w:lang w:val="hy-AM"/>
        </w:rPr>
        <w:t xml:space="preserve">Գծապատկեր </w:t>
      </w:r>
      <w:r w:rsidRPr="001466DC">
        <w:rPr>
          <w:bCs/>
          <w:szCs w:val="22"/>
          <w:lang w:val="hy-AM"/>
        </w:rPr>
        <w:fldChar w:fldCharType="begin"/>
      </w:r>
      <w:r w:rsidRPr="001466DC">
        <w:rPr>
          <w:bCs/>
          <w:szCs w:val="22"/>
          <w:lang w:val="hy-AM"/>
        </w:rPr>
        <w:instrText xml:space="preserve"> SEQ Գծապատկեր \* ARABIC </w:instrText>
      </w:r>
      <w:r w:rsidRPr="001466DC">
        <w:rPr>
          <w:bCs/>
          <w:szCs w:val="22"/>
          <w:lang w:val="hy-AM"/>
        </w:rPr>
        <w:fldChar w:fldCharType="separate"/>
      </w:r>
      <w:r w:rsidR="00DB4E68">
        <w:rPr>
          <w:bCs/>
          <w:noProof/>
          <w:szCs w:val="22"/>
          <w:lang w:val="hy-AM"/>
        </w:rPr>
        <w:t>2</w:t>
      </w:r>
      <w:r w:rsidRPr="001466DC">
        <w:rPr>
          <w:bCs/>
          <w:szCs w:val="22"/>
          <w:lang w:val="hy-AM"/>
        </w:rPr>
        <w:fldChar w:fldCharType="end"/>
      </w:r>
      <w:r w:rsidRPr="001466DC">
        <w:rPr>
          <w:rFonts w:ascii="Cambria Math" w:hAnsi="Cambria Math" w:cs="Cambria Math"/>
          <w:bCs/>
          <w:szCs w:val="22"/>
          <w:lang w:val="hy-AM"/>
        </w:rPr>
        <w:t>․</w:t>
      </w:r>
      <w:r w:rsidRPr="001466DC">
        <w:rPr>
          <w:b w:val="0"/>
          <w:bCs/>
          <w:szCs w:val="22"/>
          <w:lang w:val="hy-AM"/>
        </w:rPr>
        <w:t xml:space="preserve"> 2020-2024թթ</w:t>
      </w:r>
      <w:r w:rsidRPr="001466DC">
        <w:rPr>
          <w:rFonts w:ascii="Cambria Math" w:hAnsi="Cambria Math" w:cs="Cambria Math"/>
          <w:b w:val="0"/>
          <w:bCs/>
          <w:szCs w:val="22"/>
          <w:lang w:val="hy-AM"/>
        </w:rPr>
        <w:t>․</w:t>
      </w:r>
      <w:r w:rsidRPr="001466DC">
        <w:rPr>
          <w:b w:val="0"/>
          <w:bCs/>
          <w:szCs w:val="22"/>
          <w:lang w:val="hy-AM"/>
        </w:rPr>
        <w:t xml:space="preserve"> ընթացիկ և ոչ ֆինանսական ակտիվների գծով գործառնությունների փոփոխության և հարաբերակցության միտումները</w:t>
      </w:r>
      <w:bookmarkEnd w:id="244"/>
      <w:bookmarkEnd w:id="245"/>
      <w:bookmarkEnd w:id="247"/>
      <w:r w:rsidRPr="001466DC">
        <w:rPr>
          <w:b w:val="0"/>
          <w:bCs/>
          <w:szCs w:val="22"/>
          <w:lang w:val="hy-AM"/>
        </w:rPr>
        <w:t>, մլրդ դրամ</w:t>
      </w:r>
      <w:bookmarkEnd w:id="248"/>
    </w:p>
    <w:p w14:paraId="1E8D87B5" w14:textId="77777777" w:rsidR="001466DC" w:rsidRPr="001466DC" w:rsidRDefault="001466DC" w:rsidP="001466DC">
      <w:pPr>
        <w:rPr>
          <w:b w:val="0"/>
          <w:bCs/>
          <w:szCs w:val="22"/>
          <w:lang w:val="hy-AM"/>
        </w:rPr>
      </w:pPr>
      <w:r w:rsidRPr="001466DC">
        <w:rPr>
          <w:noProof/>
          <w:lang w:val="en-US" w:eastAsia="en-US"/>
        </w:rPr>
        <w:drawing>
          <wp:inline distT="0" distB="0" distL="0" distR="0" wp14:anchorId="2E0C010B" wp14:editId="13F0FBD1">
            <wp:extent cx="6033770" cy="3091815"/>
            <wp:effectExtent l="0" t="0" r="5080" b="1333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69BF981" w14:textId="77777777" w:rsidR="001466DC" w:rsidRPr="001466DC" w:rsidRDefault="001466DC" w:rsidP="001466DC">
      <w:pPr>
        <w:rPr>
          <w:bCs/>
          <w:color w:val="5B9BD5"/>
          <w:sz w:val="18"/>
          <w:szCs w:val="22"/>
          <w:lang w:val="hy-AM" w:eastAsia="en-US"/>
        </w:rPr>
      </w:pPr>
      <w:r w:rsidRPr="001466DC">
        <w:rPr>
          <w:bCs/>
          <w:noProof/>
          <w:color w:val="5B9BD5"/>
          <w:sz w:val="18"/>
          <w:szCs w:val="22"/>
          <w:lang w:val="hy-AM" w:eastAsia="en-US"/>
        </w:rPr>
        <w:lastRenderedPageBreak/>
        <w:t xml:space="preserve"> </w:t>
      </w:r>
      <w:bookmarkEnd w:id="246"/>
    </w:p>
    <w:p w14:paraId="18BFA009" w14:textId="77777777" w:rsidR="001466DC" w:rsidRPr="001466DC" w:rsidRDefault="001466DC" w:rsidP="001466DC">
      <w:pPr>
        <w:rPr>
          <w:rFonts w:cs="Sylfaen"/>
          <w:b w:val="0"/>
          <w:szCs w:val="22"/>
          <w:lang w:val="hy-AM" w:eastAsia="en-US"/>
        </w:rPr>
      </w:pPr>
    </w:p>
    <w:p w14:paraId="0A6B2867" w14:textId="6ED9FE95" w:rsidR="001466DC" w:rsidRPr="001466DC" w:rsidRDefault="001466DC" w:rsidP="0009272D">
      <w:pPr>
        <w:rPr>
          <w:rFonts w:cs="Sylfaen"/>
          <w:b w:val="0"/>
          <w:szCs w:val="22"/>
          <w:lang w:val="hy-AM" w:eastAsia="en-US"/>
        </w:rPr>
      </w:pPr>
      <w:r w:rsidRPr="001466DC">
        <w:rPr>
          <w:rFonts w:cs="Sylfaen"/>
          <w:b w:val="0"/>
          <w:szCs w:val="22"/>
          <w:lang w:val="hy-AM" w:eastAsia="en-US"/>
        </w:rPr>
        <w:t xml:space="preserve">2024 թվականի ծախսերի ընդհանուր ծավալի միջին տարեկանի շուրջ </w:t>
      </w:r>
      <w:r w:rsidRPr="008E51A2">
        <w:rPr>
          <w:rFonts w:cs="Sylfaen"/>
          <w:b w:val="0"/>
          <w:szCs w:val="22"/>
          <w:lang w:val="hy-AM" w:eastAsia="en-US"/>
        </w:rPr>
        <w:t>7</w:t>
      </w:r>
      <w:r w:rsidR="00E9369A">
        <w:rPr>
          <w:rFonts w:cs="Sylfaen"/>
          <w:b w:val="0"/>
          <w:szCs w:val="22"/>
          <w:lang w:val="hy-AM" w:eastAsia="en-US"/>
        </w:rPr>
        <w:t>8</w:t>
      </w:r>
      <w:r w:rsidR="008E51A2">
        <w:rPr>
          <w:rFonts w:cs="Sylfaen"/>
          <w:b w:val="0"/>
          <w:szCs w:val="22"/>
          <w:lang w:val="hy-AM" w:eastAsia="en-US"/>
        </w:rPr>
        <w:t>.</w:t>
      </w:r>
      <w:r w:rsidR="00E9369A">
        <w:rPr>
          <w:rFonts w:cs="Sylfaen"/>
          <w:b w:val="0"/>
          <w:szCs w:val="22"/>
          <w:lang w:val="hy-AM" w:eastAsia="en-US"/>
        </w:rPr>
        <w:t>3</w:t>
      </w:r>
      <w:r w:rsidRPr="001466DC">
        <w:rPr>
          <w:rFonts w:cs="Sylfaen"/>
          <w:b w:val="0"/>
          <w:szCs w:val="22"/>
          <w:lang w:val="hy-AM" w:eastAsia="en-US"/>
        </w:rPr>
        <w:t xml:space="preserve">%-ը կկազմեն </w:t>
      </w:r>
      <w:r w:rsidRPr="001466DC">
        <w:rPr>
          <w:rFonts w:cs="Sylfaen"/>
          <w:szCs w:val="22"/>
          <w:lang w:val="hy-AM" w:eastAsia="en-US"/>
        </w:rPr>
        <w:t>ընթացիկ ծախսերը</w:t>
      </w:r>
      <w:r w:rsidRPr="001466DC">
        <w:rPr>
          <w:rFonts w:cs="Sylfaen"/>
          <w:b w:val="0"/>
          <w:szCs w:val="22"/>
          <w:lang w:val="hy-AM" w:eastAsia="en-US"/>
        </w:rPr>
        <w:t xml:space="preserve">,  (2023 թվականին այդ ցուցանիշը ծրագրվել է </w:t>
      </w:r>
      <w:r w:rsidR="008E51A2">
        <w:rPr>
          <w:rFonts w:cs="Sylfaen"/>
          <w:b w:val="0"/>
          <w:szCs w:val="22"/>
          <w:lang w:val="hy-AM" w:eastAsia="en-US"/>
        </w:rPr>
        <w:t>7</w:t>
      </w:r>
      <w:r w:rsidR="00C15E32">
        <w:rPr>
          <w:rFonts w:cs="Sylfaen"/>
          <w:b w:val="0"/>
          <w:szCs w:val="22"/>
          <w:lang w:val="hy-AM" w:eastAsia="en-US"/>
        </w:rPr>
        <w:t>9</w:t>
      </w:r>
      <w:r w:rsidR="008E51A2">
        <w:rPr>
          <w:rFonts w:cs="Sylfaen"/>
          <w:b w:val="0"/>
          <w:szCs w:val="22"/>
          <w:lang w:val="hy-AM" w:eastAsia="en-US"/>
        </w:rPr>
        <w:t>.</w:t>
      </w:r>
      <w:r w:rsidR="00C15E32">
        <w:rPr>
          <w:rFonts w:cs="Sylfaen"/>
          <w:b w:val="0"/>
          <w:szCs w:val="22"/>
          <w:lang w:val="hy-AM" w:eastAsia="en-US"/>
        </w:rPr>
        <w:t>3</w:t>
      </w:r>
      <w:r w:rsidRPr="001466DC">
        <w:rPr>
          <w:rFonts w:cs="Sylfaen"/>
          <w:b w:val="0"/>
          <w:szCs w:val="22"/>
          <w:lang w:val="hy-AM" w:eastAsia="en-US"/>
        </w:rPr>
        <w:t xml:space="preserve">): </w:t>
      </w:r>
    </w:p>
    <w:p w14:paraId="4BF9B48F" w14:textId="77777777" w:rsidR="001466DC" w:rsidRPr="001466DC" w:rsidRDefault="001466DC" w:rsidP="0009272D">
      <w:pPr>
        <w:rPr>
          <w:rFonts w:cs="Sylfaen"/>
          <w:b w:val="0"/>
          <w:szCs w:val="22"/>
          <w:lang w:val="hy-AM" w:eastAsia="en-US"/>
        </w:rPr>
      </w:pPr>
      <w:r w:rsidRPr="001466DC">
        <w:rPr>
          <w:rFonts w:cs="Sylfaen"/>
          <w:b w:val="0"/>
          <w:szCs w:val="22"/>
          <w:lang w:val="hy-AM" w:eastAsia="en-US"/>
        </w:rPr>
        <w:t>Դիտարկվող ժամանակահատվածում ընթացիկ ծախսերն ուղղված կլի</w:t>
      </w:r>
      <w:r w:rsidRPr="001466DC">
        <w:rPr>
          <w:rFonts w:cs="Sylfaen"/>
          <w:b w:val="0"/>
          <w:szCs w:val="22"/>
          <w:lang w:val="hy-AM" w:eastAsia="en-US"/>
        </w:rPr>
        <w:softHyphen/>
        <w:t xml:space="preserve">նի ծառայությունների մատուցման, տրանսֆերտների տրամադրման, ֆինանսավորման ծախսերի իրականացման և հանրության կողմից անմիջականորեն օգտագործվող ակտիվների հետ կապված միջոցառումներին: </w:t>
      </w:r>
    </w:p>
    <w:p w14:paraId="4590B42E" w14:textId="77777777" w:rsidR="001466DC" w:rsidRPr="001466DC" w:rsidRDefault="001466DC" w:rsidP="0009272D">
      <w:pPr>
        <w:rPr>
          <w:rFonts w:cs="Sylfaen"/>
          <w:b w:val="0"/>
          <w:szCs w:val="22"/>
          <w:lang w:val="hy-AM" w:eastAsia="en-US"/>
        </w:rPr>
      </w:pPr>
      <w:r w:rsidRPr="001466DC">
        <w:rPr>
          <w:rFonts w:cs="Sylfaen"/>
          <w:b w:val="0"/>
          <w:szCs w:val="22"/>
          <w:lang w:val="hy-AM" w:eastAsia="en-US"/>
        </w:rPr>
        <w:t>2024թ. ընթացիկ ծախսերի ֆինանսավորման ըստ տնտեսագիտական դասակարգման կառուցվածքի ծախ</w:t>
      </w:r>
      <w:r w:rsidRPr="001466DC">
        <w:rPr>
          <w:rFonts w:cs="Sylfaen"/>
          <w:b w:val="0"/>
          <w:szCs w:val="22"/>
          <w:lang w:val="hy-AM" w:eastAsia="en-US"/>
        </w:rPr>
        <w:softHyphen/>
        <w:t>սերի հարա</w:t>
      </w:r>
      <w:r w:rsidRPr="001466DC">
        <w:rPr>
          <w:rFonts w:cs="Sylfaen"/>
          <w:b w:val="0"/>
          <w:szCs w:val="22"/>
          <w:lang w:val="hy-AM" w:eastAsia="en-US"/>
        </w:rPr>
        <w:softHyphen/>
        <w:t>բերակցությունը ՀՆԱ-ի նկատմամբ ներկայացված է ստորև:</w:t>
      </w:r>
    </w:p>
    <w:p w14:paraId="5B5D2792" w14:textId="77777777" w:rsidR="001466DC" w:rsidRPr="001466DC" w:rsidRDefault="001466DC" w:rsidP="001466DC">
      <w:pPr>
        <w:rPr>
          <w:b w:val="0"/>
          <w:bCs/>
          <w:color w:val="5B9BD5"/>
          <w:sz w:val="18"/>
          <w:szCs w:val="18"/>
          <w:lang w:val="hy-AM"/>
        </w:rPr>
      </w:pPr>
      <w:bookmarkStart w:id="249" w:name="_Toc52223578"/>
      <w:bookmarkStart w:id="250" w:name="_Toc57631789"/>
    </w:p>
    <w:p w14:paraId="1FC3E43B" w14:textId="2DB1087E" w:rsidR="001466DC" w:rsidRPr="001466DC" w:rsidRDefault="001466DC" w:rsidP="001466DC">
      <w:pPr>
        <w:rPr>
          <w:b w:val="0"/>
          <w:bCs/>
          <w:szCs w:val="22"/>
          <w:lang w:val="hy-AM"/>
        </w:rPr>
      </w:pPr>
      <w:bookmarkStart w:id="251" w:name="_Toc83752684"/>
      <w:bookmarkStart w:id="252" w:name="_Toc115255404"/>
      <w:bookmarkStart w:id="253" w:name="_Toc152324824"/>
      <w:r w:rsidRPr="001466DC">
        <w:rPr>
          <w:bCs/>
          <w:szCs w:val="22"/>
          <w:lang w:val="hy-AM"/>
        </w:rPr>
        <w:t xml:space="preserve">Գծապատկեր </w:t>
      </w:r>
      <w:r w:rsidRPr="001466DC">
        <w:rPr>
          <w:bCs/>
          <w:szCs w:val="22"/>
          <w:lang w:val="hy-AM"/>
        </w:rPr>
        <w:fldChar w:fldCharType="begin"/>
      </w:r>
      <w:r w:rsidRPr="001466DC">
        <w:rPr>
          <w:bCs/>
          <w:szCs w:val="22"/>
          <w:lang w:val="hy-AM"/>
        </w:rPr>
        <w:instrText xml:space="preserve"> SEQ Գծապատկեր \* ARABIC </w:instrText>
      </w:r>
      <w:r w:rsidRPr="001466DC">
        <w:rPr>
          <w:bCs/>
          <w:szCs w:val="22"/>
          <w:lang w:val="hy-AM"/>
        </w:rPr>
        <w:fldChar w:fldCharType="separate"/>
      </w:r>
      <w:r w:rsidR="00DB4E68">
        <w:rPr>
          <w:bCs/>
          <w:noProof/>
          <w:szCs w:val="22"/>
          <w:lang w:val="hy-AM"/>
        </w:rPr>
        <w:t>3</w:t>
      </w:r>
      <w:r w:rsidRPr="001466DC">
        <w:rPr>
          <w:bCs/>
          <w:szCs w:val="22"/>
          <w:lang w:val="hy-AM"/>
        </w:rPr>
        <w:fldChar w:fldCharType="end"/>
      </w:r>
      <w:r w:rsidRPr="001466DC">
        <w:rPr>
          <w:rFonts w:ascii="Cambria Math" w:hAnsi="Cambria Math" w:cs="Cambria Math"/>
          <w:bCs/>
          <w:szCs w:val="22"/>
          <w:lang w:val="hy-AM"/>
        </w:rPr>
        <w:t>․</w:t>
      </w:r>
      <w:r w:rsidRPr="001466DC">
        <w:rPr>
          <w:b w:val="0"/>
          <w:bCs/>
          <w:szCs w:val="22"/>
          <w:lang w:val="hy-AM"/>
        </w:rPr>
        <w:t xml:space="preserve"> 2020-2024թթ</w:t>
      </w:r>
      <w:r w:rsidRPr="001466DC">
        <w:rPr>
          <w:rFonts w:ascii="Cambria Math" w:hAnsi="Cambria Math" w:cs="Cambria Math"/>
          <w:b w:val="0"/>
          <w:bCs/>
          <w:szCs w:val="22"/>
          <w:lang w:val="hy-AM"/>
        </w:rPr>
        <w:t>․</w:t>
      </w:r>
      <w:r w:rsidRPr="001466DC">
        <w:rPr>
          <w:b w:val="0"/>
          <w:bCs/>
          <w:szCs w:val="22"/>
          <w:lang w:val="hy-AM"/>
        </w:rPr>
        <w:t xml:space="preserve"> ընթացիկ ծախսերի ֆինանսավորման ըստ տնտեսագիտական դասակարգման կառուցվածքի ծախ</w:t>
      </w:r>
      <w:r w:rsidRPr="001466DC">
        <w:rPr>
          <w:b w:val="0"/>
          <w:bCs/>
          <w:szCs w:val="22"/>
          <w:lang w:val="hy-AM"/>
        </w:rPr>
        <w:softHyphen/>
        <w:t>սերի հարա</w:t>
      </w:r>
      <w:r w:rsidRPr="001466DC">
        <w:rPr>
          <w:b w:val="0"/>
          <w:bCs/>
          <w:szCs w:val="22"/>
          <w:lang w:val="hy-AM"/>
        </w:rPr>
        <w:softHyphen/>
        <w:t>բերակցությունը ՀՆԱ-ի նկատմամբ</w:t>
      </w:r>
      <w:bookmarkEnd w:id="249"/>
      <w:bookmarkEnd w:id="250"/>
      <w:bookmarkEnd w:id="251"/>
      <w:bookmarkEnd w:id="252"/>
      <w:r w:rsidRPr="001466DC">
        <w:rPr>
          <w:b w:val="0"/>
          <w:bCs/>
          <w:szCs w:val="22"/>
          <w:lang w:val="hy-AM"/>
        </w:rPr>
        <w:t xml:space="preserve">, </w:t>
      </w:r>
      <w:r w:rsidRPr="001466DC">
        <w:rPr>
          <w:rFonts w:cs="Sylfaen"/>
          <w:lang w:val="hy-AM"/>
        </w:rPr>
        <w:t>%</w:t>
      </w:r>
      <w:bookmarkEnd w:id="253"/>
    </w:p>
    <w:p w14:paraId="39177D42" w14:textId="77777777" w:rsidR="001466DC" w:rsidRPr="001466DC" w:rsidRDefault="001466DC" w:rsidP="001466DC">
      <w:pPr>
        <w:rPr>
          <w:b w:val="0"/>
          <w:bCs/>
          <w:szCs w:val="22"/>
          <w:lang w:val="hy-AM"/>
        </w:rPr>
      </w:pPr>
    </w:p>
    <w:p w14:paraId="552D0DF0" w14:textId="77777777" w:rsidR="001466DC" w:rsidRPr="001466DC" w:rsidRDefault="001466DC" w:rsidP="001466DC">
      <w:pPr>
        <w:rPr>
          <w:rFonts w:cs="Sylfaen"/>
          <w:bCs/>
          <w:i/>
          <w:color w:val="5B9BD5"/>
          <w:sz w:val="20"/>
          <w:szCs w:val="20"/>
          <w:lang w:val="hy-AM" w:eastAsia="en-US"/>
        </w:rPr>
      </w:pPr>
    </w:p>
    <w:p w14:paraId="3C7C9C89" w14:textId="77777777" w:rsidR="001466DC" w:rsidRPr="001466DC" w:rsidRDefault="001466DC" w:rsidP="001466DC">
      <w:pPr>
        <w:rPr>
          <w:rFonts w:cs="Sylfaen"/>
          <w:bCs/>
          <w:color w:val="5B9BD5"/>
          <w:sz w:val="18"/>
          <w:szCs w:val="22"/>
          <w:lang w:val="hy-AM" w:eastAsia="en-US"/>
        </w:rPr>
      </w:pPr>
      <w:r w:rsidRPr="001466DC">
        <w:rPr>
          <w:noProof/>
          <w:lang w:val="en-US" w:eastAsia="en-US"/>
        </w:rPr>
        <w:drawing>
          <wp:inline distT="0" distB="0" distL="0" distR="0" wp14:anchorId="574FD680" wp14:editId="4E7D1778">
            <wp:extent cx="6195695" cy="4067403"/>
            <wp:effectExtent l="0" t="0" r="14605"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38E0046" w14:textId="77777777" w:rsidR="001466DC" w:rsidRPr="001466DC" w:rsidRDefault="001466DC" w:rsidP="001466DC">
      <w:pPr>
        <w:rPr>
          <w:b w:val="0"/>
          <w:szCs w:val="22"/>
          <w:lang w:val="hy-AM" w:eastAsia="en-US"/>
        </w:rPr>
      </w:pPr>
    </w:p>
    <w:p w14:paraId="49AD425D" w14:textId="77777777" w:rsidR="001466DC" w:rsidRPr="001466DC" w:rsidRDefault="001466DC" w:rsidP="001466DC">
      <w:pPr>
        <w:rPr>
          <w:b w:val="0"/>
          <w:szCs w:val="22"/>
          <w:lang w:val="af-ZA" w:eastAsia="en-US"/>
        </w:rPr>
      </w:pPr>
    </w:p>
    <w:p w14:paraId="16D7C7D3" w14:textId="77777777" w:rsidR="001466DC" w:rsidRPr="001466DC" w:rsidRDefault="001466DC" w:rsidP="001466DC">
      <w:pPr>
        <w:rPr>
          <w:rFonts w:cs="Sylfaen"/>
          <w:b w:val="0"/>
          <w:sz w:val="20"/>
          <w:szCs w:val="20"/>
          <w:lang w:val="hy-AM" w:eastAsia="en-US"/>
        </w:rPr>
      </w:pPr>
    </w:p>
    <w:p w14:paraId="6F199B8D" w14:textId="5C2673E2" w:rsidR="001466DC" w:rsidRPr="001466DC" w:rsidRDefault="001466DC" w:rsidP="0009272D">
      <w:pPr>
        <w:rPr>
          <w:b w:val="0"/>
          <w:szCs w:val="22"/>
          <w:lang w:val="hy-AM" w:eastAsia="en-US"/>
        </w:rPr>
      </w:pPr>
      <w:r w:rsidRPr="001466DC">
        <w:rPr>
          <w:b w:val="0"/>
          <w:szCs w:val="22"/>
          <w:lang w:val="hy-AM" w:eastAsia="en-US"/>
        </w:rPr>
        <w:t xml:space="preserve">2024թ. պետական բյուջեից աշխատավարձերին ուղղվող ծախսերը կկազի ավելի քան </w:t>
      </w:r>
      <w:r w:rsidR="0030140D">
        <w:rPr>
          <w:b w:val="0"/>
          <w:szCs w:val="22"/>
          <w:lang w:val="hy-AM" w:eastAsia="en-US"/>
        </w:rPr>
        <w:t>240.2</w:t>
      </w:r>
      <w:r w:rsidRPr="001466DC">
        <w:rPr>
          <w:b w:val="0"/>
          <w:szCs w:val="22"/>
          <w:lang w:val="hy-AM" w:eastAsia="en-US"/>
        </w:rPr>
        <w:t xml:space="preserve"> մլրդ դրամ կամ 2023թ. հաստատված բյուջեից ավել </w:t>
      </w:r>
      <w:r w:rsidRPr="00B56284">
        <w:rPr>
          <w:b w:val="0"/>
          <w:szCs w:val="22"/>
          <w:lang w:val="hy-AM" w:eastAsia="en-US"/>
        </w:rPr>
        <w:t>1</w:t>
      </w:r>
      <w:r w:rsidR="00C8217B">
        <w:rPr>
          <w:b w:val="0"/>
          <w:szCs w:val="22"/>
          <w:lang w:val="hy-AM" w:eastAsia="en-US"/>
        </w:rPr>
        <w:t>3</w:t>
      </w:r>
      <w:r w:rsidRPr="00B56284">
        <w:rPr>
          <w:b w:val="0"/>
          <w:szCs w:val="22"/>
          <w:lang w:val="hy-AM" w:eastAsia="en-US"/>
        </w:rPr>
        <w:t>.</w:t>
      </w:r>
      <w:r w:rsidR="00C8217B">
        <w:rPr>
          <w:b w:val="0"/>
          <w:szCs w:val="22"/>
          <w:lang w:val="hy-AM" w:eastAsia="en-US"/>
        </w:rPr>
        <w:t>6</w:t>
      </w:r>
      <w:r w:rsidRPr="001466DC">
        <w:rPr>
          <w:b w:val="0"/>
          <w:szCs w:val="22"/>
          <w:lang w:val="hy-AM" w:eastAsia="en-US"/>
        </w:rPr>
        <w:t xml:space="preserve"> տոկոսով կամ </w:t>
      </w:r>
      <w:r w:rsidR="006D2856">
        <w:rPr>
          <w:b w:val="0"/>
          <w:szCs w:val="22"/>
          <w:lang w:val="hy-AM" w:eastAsia="en-US"/>
        </w:rPr>
        <w:t>2</w:t>
      </w:r>
      <w:r w:rsidR="00C8217B">
        <w:rPr>
          <w:b w:val="0"/>
          <w:szCs w:val="22"/>
          <w:lang w:val="hy-AM" w:eastAsia="en-US"/>
        </w:rPr>
        <w:t>8</w:t>
      </w:r>
      <w:r w:rsidR="006D2856">
        <w:rPr>
          <w:b w:val="0"/>
          <w:szCs w:val="22"/>
          <w:lang w:val="hy-AM" w:eastAsia="en-US"/>
        </w:rPr>
        <w:t>.8</w:t>
      </w:r>
      <w:r w:rsidRPr="001466DC">
        <w:rPr>
          <w:b w:val="0"/>
          <w:szCs w:val="22"/>
          <w:lang w:val="hy-AM" w:eastAsia="en-US"/>
        </w:rPr>
        <w:t xml:space="preserve"> մլրդ դրամով: 2024թ. տոկոսավճարների գծով ծախսը կազմում է </w:t>
      </w:r>
      <w:r w:rsidR="006D2856">
        <w:rPr>
          <w:b w:val="0"/>
          <w:szCs w:val="22"/>
          <w:lang w:val="hy-AM" w:eastAsia="en-US"/>
        </w:rPr>
        <w:t>32</w:t>
      </w:r>
      <w:r w:rsidR="0030140D">
        <w:rPr>
          <w:b w:val="0"/>
          <w:szCs w:val="22"/>
          <w:lang w:val="hy-AM" w:eastAsia="en-US"/>
        </w:rPr>
        <w:t>3</w:t>
      </w:r>
      <w:r w:rsidR="00B56284">
        <w:rPr>
          <w:b w:val="0"/>
          <w:szCs w:val="22"/>
          <w:lang w:val="hy-AM" w:eastAsia="en-US"/>
        </w:rPr>
        <w:t>.</w:t>
      </w:r>
      <w:r w:rsidR="0030140D">
        <w:rPr>
          <w:b w:val="0"/>
          <w:szCs w:val="22"/>
          <w:lang w:val="hy-AM" w:eastAsia="en-US"/>
        </w:rPr>
        <w:t>1</w:t>
      </w:r>
      <w:r w:rsidRPr="001466DC">
        <w:rPr>
          <w:b w:val="0"/>
          <w:szCs w:val="22"/>
          <w:lang w:val="hy-AM" w:eastAsia="en-US"/>
        </w:rPr>
        <w:t xml:space="preserve"> մլրդ դրամ: 2024թ. պետական բյուջեից կազմակերպություններին նախատեսվում է տրամադրել </w:t>
      </w:r>
      <w:r w:rsidR="0030140D">
        <w:rPr>
          <w:b w:val="0"/>
          <w:szCs w:val="22"/>
          <w:lang w:val="hy-AM" w:eastAsia="en-US"/>
        </w:rPr>
        <w:t>185.0</w:t>
      </w:r>
      <w:r w:rsidRPr="001466DC">
        <w:rPr>
          <w:b w:val="0"/>
          <w:szCs w:val="22"/>
          <w:lang w:val="hy-AM" w:eastAsia="en-US"/>
        </w:rPr>
        <w:t xml:space="preserve"> մլրդ դրամի սուբսիդիաներ, որը 2023 թվականի հաստատված բյուջեի համեմատ սուբսիդիաների գծով ծախսն ավել է կանխատեսվել </w:t>
      </w:r>
      <w:r w:rsidR="00B56284" w:rsidRPr="00B56284">
        <w:rPr>
          <w:b w:val="0"/>
          <w:szCs w:val="22"/>
          <w:lang w:val="hy-AM" w:eastAsia="en-US"/>
        </w:rPr>
        <w:t>2</w:t>
      </w:r>
      <w:r w:rsidR="0030140D">
        <w:rPr>
          <w:b w:val="0"/>
          <w:szCs w:val="22"/>
          <w:lang w:val="hy-AM" w:eastAsia="en-US"/>
        </w:rPr>
        <w:t>2</w:t>
      </w:r>
      <w:r w:rsidR="00B56284" w:rsidRPr="00B56284">
        <w:rPr>
          <w:b w:val="0"/>
          <w:szCs w:val="22"/>
          <w:lang w:val="hy-AM" w:eastAsia="en-US"/>
        </w:rPr>
        <w:t>.</w:t>
      </w:r>
      <w:r w:rsidR="0030140D">
        <w:rPr>
          <w:b w:val="0"/>
          <w:szCs w:val="22"/>
          <w:lang w:val="hy-AM" w:eastAsia="en-US"/>
        </w:rPr>
        <w:t>1</w:t>
      </w:r>
      <w:r w:rsidRPr="00B56284">
        <w:rPr>
          <w:b w:val="0"/>
          <w:szCs w:val="22"/>
          <w:lang w:val="hy-AM" w:eastAsia="en-US"/>
        </w:rPr>
        <w:t xml:space="preserve"> տոկոսով կամ </w:t>
      </w:r>
      <w:r w:rsidR="00B56284">
        <w:rPr>
          <w:b w:val="0"/>
          <w:szCs w:val="22"/>
          <w:lang w:val="hy-AM" w:eastAsia="en-US"/>
        </w:rPr>
        <w:t>3</w:t>
      </w:r>
      <w:r w:rsidR="0030140D">
        <w:rPr>
          <w:b w:val="0"/>
          <w:szCs w:val="22"/>
          <w:lang w:val="hy-AM" w:eastAsia="en-US"/>
        </w:rPr>
        <w:t>3</w:t>
      </w:r>
      <w:r w:rsidR="00B56284">
        <w:rPr>
          <w:b w:val="0"/>
          <w:szCs w:val="22"/>
          <w:lang w:val="hy-AM" w:eastAsia="en-US"/>
        </w:rPr>
        <w:t>.</w:t>
      </w:r>
      <w:r w:rsidR="0030140D">
        <w:rPr>
          <w:b w:val="0"/>
          <w:szCs w:val="22"/>
          <w:lang w:val="hy-AM" w:eastAsia="en-US"/>
        </w:rPr>
        <w:t>5</w:t>
      </w:r>
      <w:r w:rsidRPr="001466DC">
        <w:rPr>
          <w:b w:val="0"/>
          <w:szCs w:val="22"/>
          <w:lang w:val="hy-AM" w:eastAsia="en-US"/>
        </w:rPr>
        <w:t xml:space="preserve"> մլրդ դրամով:</w:t>
      </w:r>
    </w:p>
    <w:p w14:paraId="44716F60" w14:textId="7E647AF4" w:rsidR="001466DC" w:rsidRPr="001466DC" w:rsidRDefault="001466DC" w:rsidP="0009272D">
      <w:pPr>
        <w:rPr>
          <w:b w:val="0"/>
          <w:szCs w:val="22"/>
          <w:lang w:val="hy-AM" w:eastAsia="en-US"/>
        </w:rPr>
      </w:pPr>
      <w:r w:rsidRPr="001466DC">
        <w:rPr>
          <w:b w:val="0"/>
          <w:szCs w:val="22"/>
          <w:lang w:val="hy-AM" w:eastAsia="en-US"/>
        </w:rPr>
        <w:t>2024թ. ընթացիկ ծախսերի աճը մեծապես ապահովվելու է սոցիալական նպաստների և կենսաթոշակների վճարների գծով պետական բյուջեի ծախսերի (</w:t>
      </w:r>
      <w:r w:rsidR="0030140D">
        <w:rPr>
          <w:b w:val="0"/>
          <w:szCs w:val="22"/>
          <w:lang w:val="hy-AM" w:eastAsia="en-US"/>
        </w:rPr>
        <w:t>8</w:t>
      </w:r>
      <w:r w:rsidR="00ED6072" w:rsidRPr="00ED6072">
        <w:rPr>
          <w:b w:val="0"/>
          <w:szCs w:val="22"/>
          <w:lang w:val="hy-AM" w:eastAsia="en-US"/>
        </w:rPr>
        <w:t>78</w:t>
      </w:r>
      <w:r w:rsidR="0030140D">
        <w:rPr>
          <w:b w:val="0"/>
          <w:szCs w:val="22"/>
          <w:lang w:val="hy-AM" w:eastAsia="en-US"/>
        </w:rPr>
        <w:t>.2</w:t>
      </w:r>
      <w:r w:rsidRPr="001466DC">
        <w:rPr>
          <w:b w:val="0"/>
          <w:szCs w:val="22"/>
          <w:lang w:val="hy-AM" w:eastAsia="en-US"/>
        </w:rPr>
        <w:t xml:space="preserve"> մլրդ դրամ) ավելացման հաշվին, որոնք 202</w:t>
      </w:r>
      <w:r w:rsidR="00B56284">
        <w:rPr>
          <w:b w:val="0"/>
          <w:szCs w:val="22"/>
          <w:lang w:val="hy-AM" w:eastAsia="en-US"/>
        </w:rPr>
        <w:t>3</w:t>
      </w:r>
      <w:r w:rsidRPr="001466DC">
        <w:rPr>
          <w:b w:val="0"/>
          <w:szCs w:val="22"/>
          <w:lang w:val="hy-AM" w:eastAsia="en-US"/>
        </w:rPr>
        <w:t xml:space="preserve"> թվականի հաստատված բյուջեի նկատմամբ ավելացել է </w:t>
      </w:r>
      <w:r w:rsidR="00520651">
        <w:rPr>
          <w:b w:val="0"/>
          <w:szCs w:val="22"/>
          <w:lang w:val="hy-AM" w:eastAsia="en-US"/>
        </w:rPr>
        <w:t>23.2</w:t>
      </w:r>
      <w:r w:rsidRPr="001466DC">
        <w:rPr>
          <w:b w:val="0"/>
          <w:szCs w:val="22"/>
          <w:lang w:val="hy-AM" w:eastAsia="en-US"/>
        </w:rPr>
        <w:t xml:space="preserve"> տոկոսով կամ </w:t>
      </w:r>
      <w:r w:rsidR="00520651">
        <w:rPr>
          <w:b w:val="0"/>
          <w:szCs w:val="22"/>
          <w:lang w:val="hy-AM" w:eastAsia="en-US"/>
        </w:rPr>
        <w:t>165.4</w:t>
      </w:r>
      <w:r w:rsidRPr="00B56284">
        <w:rPr>
          <w:b w:val="0"/>
          <w:szCs w:val="22"/>
          <w:lang w:val="hy-AM" w:eastAsia="en-US"/>
        </w:rPr>
        <w:t xml:space="preserve"> մլրդ</w:t>
      </w:r>
      <w:r w:rsidRPr="001466DC">
        <w:rPr>
          <w:b w:val="0"/>
          <w:szCs w:val="22"/>
          <w:lang w:val="hy-AM" w:eastAsia="en-US"/>
        </w:rPr>
        <w:t xml:space="preserve"> դրամով: </w:t>
      </w:r>
    </w:p>
    <w:p w14:paraId="4ECA9928" w14:textId="4A1C4BA3" w:rsidR="001466DC" w:rsidRPr="001466DC" w:rsidRDefault="001466DC" w:rsidP="0009272D">
      <w:pPr>
        <w:rPr>
          <w:b w:val="0"/>
          <w:szCs w:val="22"/>
          <w:lang w:val="hy-AM" w:eastAsia="en-US"/>
        </w:rPr>
      </w:pPr>
      <w:r w:rsidRPr="001466DC">
        <w:rPr>
          <w:b w:val="0"/>
          <w:szCs w:val="22"/>
          <w:lang w:val="hy-AM" w:eastAsia="en-US"/>
        </w:rPr>
        <w:t>2024թ պետական բյուջեից նախատեսվում է տրամադրել դրամաշնորհներ</w:t>
      </w:r>
      <w:r w:rsidRPr="00A023EA">
        <w:rPr>
          <w:b w:val="0"/>
          <w:szCs w:val="22"/>
          <w:lang w:val="hy-AM" w:eastAsia="en-US"/>
        </w:rPr>
        <w:t xml:space="preserve">՝ </w:t>
      </w:r>
      <w:r w:rsidR="00BE6CCB">
        <w:rPr>
          <w:b w:val="0"/>
          <w:szCs w:val="22"/>
          <w:lang w:val="hy-AM" w:eastAsia="en-US"/>
        </w:rPr>
        <w:t>294.0</w:t>
      </w:r>
      <w:r w:rsidRPr="00A023EA">
        <w:rPr>
          <w:b w:val="0"/>
          <w:szCs w:val="22"/>
          <w:lang w:val="hy-AM" w:eastAsia="en-US"/>
        </w:rPr>
        <w:t xml:space="preserve"> մլրդ</w:t>
      </w:r>
      <w:r w:rsidRPr="001466DC">
        <w:rPr>
          <w:b w:val="0"/>
          <w:szCs w:val="22"/>
          <w:lang w:val="hy-AM" w:eastAsia="en-US"/>
        </w:rPr>
        <w:t xml:space="preserve"> դրամ 2023 թվականի հաստատված բյուջեի նկատմամբ համապատասխանաբար </w:t>
      </w:r>
      <w:r w:rsidR="00BE6CCB">
        <w:rPr>
          <w:b w:val="0"/>
          <w:szCs w:val="22"/>
          <w:lang w:val="hy-AM" w:eastAsia="en-US"/>
        </w:rPr>
        <w:t>9.6</w:t>
      </w:r>
      <w:r w:rsidRPr="001466DC">
        <w:rPr>
          <w:b w:val="0"/>
          <w:szCs w:val="22"/>
          <w:lang w:val="hy-AM" w:eastAsia="en-US"/>
        </w:rPr>
        <w:t xml:space="preserve"> տոկոսով կամ </w:t>
      </w:r>
      <w:r w:rsidR="00BE6CCB">
        <w:rPr>
          <w:b w:val="0"/>
          <w:szCs w:val="22"/>
          <w:lang w:val="hy-AM" w:eastAsia="en-US"/>
        </w:rPr>
        <w:t>25.7</w:t>
      </w:r>
      <w:r w:rsidRPr="001466DC">
        <w:rPr>
          <w:b w:val="0"/>
          <w:szCs w:val="22"/>
          <w:lang w:val="hy-AM" w:eastAsia="en-US"/>
        </w:rPr>
        <w:t xml:space="preserve"> մլրդ դրամով ավել: </w:t>
      </w:r>
    </w:p>
    <w:p w14:paraId="4D6260DB" w14:textId="00D2767B" w:rsidR="001466DC" w:rsidRPr="001466DC" w:rsidRDefault="001466DC" w:rsidP="0009272D">
      <w:pPr>
        <w:rPr>
          <w:b w:val="0"/>
          <w:szCs w:val="22"/>
          <w:lang w:val="hy-AM" w:eastAsia="en-US"/>
        </w:rPr>
      </w:pPr>
      <w:r w:rsidRPr="001466DC">
        <w:rPr>
          <w:b w:val="0"/>
          <w:szCs w:val="22"/>
          <w:lang w:val="hy-AM" w:eastAsia="en-US"/>
        </w:rPr>
        <w:t xml:space="preserve">2024թ պետական բյուջեից նախատեսվում է տրամադրել ծառայությունների, ապրանքների ձեռքբերման և այլ ծախսերի գծով </w:t>
      </w:r>
      <w:r w:rsidR="00D94C1E" w:rsidRPr="00A023EA">
        <w:rPr>
          <w:b w:val="0"/>
          <w:szCs w:val="22"/>
          <w:lang w:val="hy-AM" w:eastAsia="en-US"/>
        </w:rPr>
        <w:t>5</w:t>
      </w:r>
      <w:r w:rsidR="00204FE0" w:rsidRPr="00204FE0">
        <w:rPr>
          <w:b w:val="0"/>
          <w:szCs w:val="22"/>
          <w:lang w:val="hy-AM" w:eastAsia="en-US"/>
        </w:rPr>
        <w:t>90</w:t>
      </w:r>
      <w:r w:rsidR="00BE6CCB">
        <w:rPr>
          <w:b w:val="0"/>
          <w:szCs w:val="22"/>
          <w:lang w:val="hy-AM" w:eastAsia="en-US"/>
        </w:rPr>
        <w:t>.</w:t>
      </w:r>
      <w:r w:rsidR="00204FE0" w:rsidRPr="00204FE0">
        <w:rPr>
          <w:b w:val="0"/>
          <w:szCs w:val="22"/>
          <w:lang w:val="hy-AM" w:eastAsia="en-US"/>
        </w:rPr>
        <w:t>7</w:t>
      </w:r>
      <w:r w:rsidRPr="00A023EA">
        <w:rPr>
          <w:b w:val="0"/>
          <w:szCs w:val="22"/>
          <w:lang w:val="hy-AM" w:eastAsia="en-US"/>
        </w:rPr>
        <w:t xml:space="preserve"> մ</w:t>
      </w:r>
      <w:r w:rsidRPr="001466DC">
        <w:rPr>
          <w:b w:val="0"/>
          <w:szCs w:val="22"/>
          <w:lang w:val="hy-AM" w:eastAsia="en-US"/>
        </w:rPr>
        <w:t xml:space="preserve">լրդ դրամ, որը 2023 թվականի հաստատված բյուջեի նկատմամբ համապատասխանաբար </w:t>
      </w:r>
      <w:r w:rsidR="00BE6CCB">
        <w:rPr>
          <w:b w:val="0"/>
          <w:szCs w:val="22"/>
          <w:lang w:val="hy-AM" w:eastAsia="en-US"/>
        </w:rPr>
        <w:t>2</w:t>
      </w:r>
      <w:r w:rsidR="00204FE0" w:rsidRPr="00204FE0">
        <w:rPr>
          <w:b w:val="0"/>
          <w:szCs w:val="22"/>
          <w:lang w:val="hy-AM" w:eastAsia="en-US"/>
        </w:rPr>
        <w:t>3.2</w:t>
      </w:r>
      <w:r w:rsidRPr="00A023EA">
        <w:rPr>
          <w:b w:val="0"/>
          <w:szCs w:val="22"/>
          <w:lang w:val="hy-AM" w:eastAsia="en-US"/>
        </w:rPr>
        <w:t xml:space="preserve"> տոկոսով կամ </w:t>
      </w:r>
      <w:r w:rsidR="00BE6CCB">
        <w:rPr>
          <w:b w:val="0"/>
          <w:szCs w:val="22"/>
          <w:lang w:val="hy-AM" w:eastAsia="en-US"/>
        </w:rPr>
        <w:t>1</w:t>
      </w:r>
      <w:r w:rsidR="00204FE0" w:rsidRPr="00204FE0">
        <w:rPr>
          <w:b w:val="0"/>
          <w:szCs w:val="22"/>
          <w:lang w:val="hy-AM" w:eastAsia="en-US"/>
        </w:rPr>
        <w:t>11</w:t>
      </w:r>
      <w:r w:rsidR="00BE6CCB">
        <w:rPr>
          <w:b w:val="0"/>
          <w:szCs w:val="22"/>
          <w:lang w:val="hy-AM" w:eastAsia="en-US"/>
        </w:rPr>
        <w:t>.4</w:t>
      </w:r>
      <w:r w:rsidRPr="00A023EA">
        <w:rPr>
          <w:b w:val="0"/>
          <w:szCs w:val="22"/>
          <w:lang w:val="hy-AM" w:eastAsia="en-US"/>
        </w:rPr>
        <w:t xml:space="preserve"> մլրդ</w:t>
      </w:r>
      <w:r w:rsidRPr="001466DC">
        <w:rPr>
          <w:b w:val="0"/>
          <w:szCs w:val="22"/>
          <w:lang w:val="hy-AM" w:eastAsia="en-US"/>
        </w:rPr>
        <w:t xml:space="preserve"> դրամով պակաս:</w:t>
      </w:r>
    </w:p>
    <w:p w14:paraId="522A9CC8" w14:textId="77777777" w:rsidR="001466DC" w:rsidRPr="001466DC" w:rsidRDefault="001466DC" w:rsidP="001466DC">
      <w:pPr>
        <w:rPr>
          <w:b w:val="0"/>
          <w:szCs w:val="22"/>
          <w:lang w:val="hy-AM" w:eastAsia="en-US"/>
        </w:rPr>
      </w:pPr>
    </w:p>
    <w:p w14:paraId="47CD7BB9" w14:textId="5E4E1963" w:rsidR="001466DC" w:rsidRPr="001466DC" w:rsidRDefault="001466DC" w:rsidP="001466DC">
      <w:pPr>
        <w:rPr>
          <w:b w:val="0"/>
          <w:bCs/>
          <w:szCs w:val="22"/>
          <w:lang w:val="hy-AM"/>
        </w:rPr>
      </w:pPr>
      <w:bookmarkStart w:id="254" w:name="_Toc57631762"/>
      <w:bookmarkStart w:id="255" w:name="_Toc83752675"/>
      <w:bookmarkStart w:id="256" w:name="_Toc83928947"/>
      <w:bookmarkStart w:id="257" w:name="_Toc115255381"/>
      <w:bookmarkStart w:id="258" w:name="_Toc152324772"/>
      <w:r w:rsidRPr="001466DC">
        <w:rPr>
          <w:bCs/>
          <w:szCs w:val="22"/>
          <w:lang w:val="hy-AM"/>
        </w:rPr>
        <w:t xml:space="preserve">Աղյուսակ </w:t>
      </w:r>
      <w:r w:rsidRPr="001466DC">
        <w:rPr>
          <w:bCs/>
          <w:szCs w:val="22"/>
          <w:lang w:val="hy-AM"/>
        </w:rPr>
        <w:fldChar w:fldCharType="begin"/>
      </w:r>
      <w:r w:rsidRPr="001466DC">
        <w:rPr>
          <w:bCs/>
          <w:szCs w:val="22"/>
          <w:lang w:val="hy-AM"/>
        </w:rPr>
        <w:instrText xml:space="preserve"> SEQ Աղյուսակ \* ARABIC </w:instrText>
      </w:r>
      <w:r w:rsidRPr="001466DC">
        <w:rPr>
          <w:bCs/>
          <w:szCs w:val="22"/>
          <w:lang w:val="hy-AM"/>
        </w:rPr>
        <w:fldChar w:fldCharType="separate"/>
      </w:r>
      <w:r w:rsidR="00DB4E68">
        <w:rPr>
          <w:bCs/>
          <w:noProof/>
          <w:szCs w:val="22"/>
          <w:lang w:val="hy-AM"/>
        </w:rPr>
        <w:t>10</w:t>
      </w:r>
      <w:r w:rsidRPr="001466DC">
        <w:rPr>
          <w:bCs/>
          <w:szCs w:val="22"/>
          <w:lang w:val="hy-AM"/>
        </w:rPr>
        <w:fldChar w:fldCharType="end"/>
      </w:r>
      <w:r w:rsidRPr="001466DC">
        <w:rPr>
          <w:rFonts w:ascii="Cambria Math" w:hAnsi="Cambria Math" w:cs="Cambria Math"/>
          <w:bCs/>
          <w:szCs w:val="22"/>
          <w:lang w:val="hy-AM"/>
        </w:rPr>
        <w:t>․</w:t>
      </w:r>
      <w:r w:rsidRPr="001466DC">
        <w:rPr>
          <w:b w:val="0"/>
          <w:bCs/>
          <w:szCs w:val="22"/>
          <w:lang w:val="hy-AM"/>
        </w:rPr>
        <w:t xml:space="preserve"> 2019-2023թթ ընթացիկ ծախսերի ֆինանսավորման կառուցվածը ըստ տնտեսագիտական դասակարգման</w:t>
      </w:r>
      <w:bookmarkEnd w:id="254"/>
      <w:bookmarkEnd w:id="255"/>
      <w:bookmarkEnd w:id="256"/>
      <w:bookmarkEnd w:id="257"/>
      <w:r w:rsidRPr="001466DC">
        <w:rPr>
          <w:b w:val="0"/>
          <w:bCs/>
          <w:szCs w:val="22"/>
          <w:lang w:val="hy-AM"/>
        </w:rPr>
        <w:t>, մլրդ դրամ</w:t>
      </w:r>
      <w:bookmarkEnd w:id="258"/>
    </w:p>
    <w:p w14:paraId="31104498" w14:textId="77777777" w:rsidR="001466DC" w:rsidRPr="001466DC" w:rsidRDefault="001466DC" w:rsidP="001466DC">
      <w:pPr>
        <w:rPr>
          <w:b w:val="0"/>
          <w:bCs/>
          <w:szCs w:val="22"/>
          <w:lang w:val="hy-AM"/>
        </w:rPr>
      </w:pPr>
    </w:p>
    <w:tbl>
      <w:tblPr>
        <w:tblW w:w="9028" w:type="dxa"/>
        <w:tblLook w:val="04A0" w:firstRow="1" w:lastRow="0" w:firstColumn="1" w:lastColumn="0" w:noHBand="0" w:noVBand="1"/>
      </w:tblPr>
      <w:tblGrid>
        <w:gridCol w:w="3150"/>
        <w:gridCol w:w="1242"/>
        <w:gridCol w:w="1331"/>
        <w:gridCol w:w="751"/>
        <w:gridCol w:w="564"/>
        <w:gridCol w:w="594"/>
        <w:gridCol w:w="533"/>
        <w:gridCol w:w="764"/>
        <w:gridCol w:w="99"/>
      </w:tblGrid>
      <w:tr w:rsidR="001466DC" w:rsidRPr="001466DC" w14:paraId="47A6CD02" w14:textId="77777777" w:rsidTr="00DE50C8">
        <w:trPr>
          <w:trHeight w:val="285"/>
        </w:trPr>
        <w:tc>
          <w:tcPr>
            <w:tcW w:w="3161" w:type="dxa"/>
            <w:vMerge w:val="restart"/>
            <w:tcBorders>
              <w:top w:val="nil"/>
              <w:left w:val="nil"/>
              <w:bottom w:val="single" w:sz="8" w:space="0" w:color="000000"/>
              <w:right w:val="nil"/>
            </w:tcBorders>
            <w:shd w:val="clear" w:color="auto" w:fill="auto"/>
            <w:vAlign w:val="center"/>
            <w:hideMark/>
          </w:tcPr>
          <w:p w14:paraId="582453A2" w14:textId="77777777" w:rsidR="001466DC" w:rsidRPr="001466DC" w:rsidRDefault="001466DC" w:rsidP="001466DC">
            <w:pPr>
              <w:spacing w:before="0" w:line="240" w:lineRule="auto"/>
              <w:jc w:val="center"/>
              <w:rPr>
                <w:b w:val="0"/>
                <w:color w:val="000000"/>
                <w:sz w:val="18"/>
                <w:szCs w:val="18"/>
                <w:lang w:val="en-US" w:eastAsia="en-US"/>
              </w:rPr>
            </w:pPr>
            <w:r w:rsidRPr="001466DC">
              <w:rPr>
                <w:b w:val="0"/>
                <w:color w:val="000000"/>
                <w:sz w:val="18"/>
                <w:szCs w:val="18"/>
                <w:lang w:eastAsia="en-US"/>
              </w:rPr>
              <w:t>Ցուցանիշներ</w:t>
            </w:r>
          </w:p>
        </w:tc>
        <w:tc>
          <w:tcPr>
            <w:tcW w:w="3336" w:type="dxa"/>
            <w:gridSpan w:val="3"/>
            <w:tcBorders>
              <w:top w:val="nil"/>
              <w:left w:val="nil"/>
              <w:bottom w:val="single" w:sz="8" w:space="0" w:color="auto"/>
              <w:right w:val="nil"/>
            </w:tcBorders>
            <w:shd w:val="clear" w:color="auto" w:fill="auto"/>
            <w:vAlign w:val="center"/>
            <w:hideMark/>
          </w:tcPr>
          <w:p w14:paraId="04A95495" w14:textId="77777777" w:rsidR="001466DC" w:rsidRPr="001466DC" w:rsidRDefault="001466DC" w:rsidP="001466DC">
            <w:pPr>
              <w:spacing w:before="0" w:line="240" w:lineRule="auto"/>
              <w:jc w:val="center"/>
              <w:rPr>
                <w:b w:val="0"/>
                <w:color w:val="000000"/>
                <w:sz w:val="18"/>
                <w:szCs w:val="18"/>
                <w:lang w:val="en-US" w:eastAsia="en-US"/>
              </w:rPr>
            </w:pPr>
            <w:r w:rsidRPr="001466DC">
              <w:rPr>
                <w:b w:val="0"/>
                <w:color w:val="000000"/>
                <w:sz w:val="18"/>
                <w:szCs w:val="18"/>
                <w:lang w:val="hy-AM" w:eastAsia="en-US"/>
              </w:rPr>
              <w:t>Փաստ</w:t>
            </w:r>
          </w:p>
        </w:tc>
        <w:tc>
          <w:tcPr>
            <w:tcW w:w="1158" w:type="dxa"/>
            <w:gridSpan w:val="2"/>
            <w:tcBorders>
              <w:top w:val="nil"/>
              <w:left w:val="nil"/>
              <w:bottom w:val="nil"/>
              <w:right w:val="nil"/>
            </w:tcBorders>
            <w:shd w:val="clear" w:color="auto" w:fill="auto"/>
            <w:vAlign w:val="center"/>
            <w:hideMark/>
          </w:tcPr>
          <w:p w14:paraId="6F1E8CBA" w14:textId="77777777" w:rsidR="001466DC" w:rsidRPr="001466DC" w:rsidRDefault="001466DC" w:rsidP="00410AF5">
            <w:pPr>
              <w:spacing w:before="0" w:line="240" w:lineRule="auto"/>
              <w:jc w:val="right"/>
              <w:rPr>
                <w:b w:val="0"/>
                <w:color w:val="000000"/>
                <w:sz w:val="18"/>
                <w:szCs w:val="18"/>
                <w:lang w:val="en-US" w:eastAsia="en-US"/>
              </w:rPr>
            </w:pPr>
            <w:r w:rsidRPr="001466DC">
              <w:rPr>
                <w:b w:val="0"/>
                <w:color w:val="000000"/>
                <w:sz w:val="18"/>
                <w:szCs w:val="18"/>
                <w:lang w:val="hy-AM" w:eastAsia="en-US"/>
              </w:rPr>
              <w:t>Բյուջե</w:t>
            </w:r>
          </w:p>
        </w:tc>
        <w:tc>
          <w:tcPr>
            <w:tcW w:w="1373" w:type="dxa"/>
            <w:gridSpan w:val="3"/>
            <w:tcBorders>
              <w:top w:val="nil"/>
              <w:left w:val="nil"/>
              <w:bottom w:val="single" w:sz="4" w:space="0" w:color="auto"/>
              <w:right w:val="nil"/>
            </w:tcBorders>
            <w:shd w:val="clear" w:color="auto" w:fill="auto"/>
            <w:vAlign w:val="center"/>
            <w:hideMark/>
          </w:tcPr>
          <w:p w14:paraId="0209A90B" w14:textId="64F9F22A" w:rsidR="001466DC" w:rsidRPr="009813D2" w:rsidRDefault="009813D2" w:rsidP="009813D2">
            <w:pPr>
              <w:spacing w:before="0" w:line="240" w:lineRule="auto"/>
              <w:jc w:val="right"/>
              <w:rPr>
                <w:b w:val="0"/>
                <w:color w:val="000000"/>
                <w:sz w:val="18"/>
                <w:szCs w:val="18"/>
                <w:lang w:val="hy-AM" w:eastAsia="en-US"/>
              </w:rPr>
            </w:pPr>
            <w:r>
              <w:rPr>
                <w:b w:val="0"/>
                <w:color w:val="000000"/>
                <w:sz w:val="18"/>
                <w:szCs w:val="18"/>
                <w:lang w:val="hy-AM" w:eastAsia="en-US"/>
              </w:rPr>
              <w:t>ծրագիր</w:t>
            </w:r>
          </w:p>
        </w:tc>
      </w:tr>
      <w:tr w:rsidR="001466DC" w:rsidRPr="001466DC" w14:paraId="01686BB2" w14:textId="77777777" w:rsidTr="00DE50C8">
        <w:trPr>
          <w:gridAfter w:val="1"/>
          <w:wAfter w:w="100" w:type="dxa"/>
          <w:trHeight w:val="285"/>
        </w:trPr>
        <w:tc>
          <w:tcPr>
            <w:tcW w:w="3161" w:type="dxa"/>
            <w:vMerge/>
            <w:tcBorders>
              <w:top w:val="nil"/>
              <w:left w:val="nil"/>
              <w:bottom w:val="single" w:sz="8" w:space="0" w:color="000000"/>
              <w:right w:val="nil"/>
            </w:tcBorders>
            <w:vAlign w:val="center"/>
            <w:hideMark/>
          </w:tcPr>
          <w:p w14:paraId="6513A08A" w14:textId="77777777" w:rsidR="001466DC" w:rsidRPr="001466DC" w:rsidRDefault="001466DC" w:rsidP="001466DC">
            <w:pPr>
              <w:spacing w:before="0" w:line="240" w:lineRule="auto"/>
              <w:jc w:val="center"/>
              <w:rPr>
                <w:b w:val="0"/>
                <w:color w:val="000000"/>
                <w:sz w:val="18"/>
                <w:szCs w:val="18"/>
                <w:lang w:val="en-US" w:eastAsia="en-US"/>
              </w:rPr>
            </w:pPr>
          </w:p>
        </w:tc>
        <w:tc>
          <w:tcPr>
            <w:tcW w:w="1246" w:type="dxa"/>
            <w:tcBorders>
              <w:top w:val="nil"/>
              <w:left w:val="nil"/>
              <w:bottom w:val="single" w:sz="8" w:space="0" w:color="auto"/>
              <w:right w:val="nil"/>
            </w:tcBorders>
            <w:shd w:val="clear" w:color="auto" w:fill="auto"/>
            <w:vAlign w:val="center"/>
            <w:hideMark/>
          </w:tcPr>
          <w:p w14:paraId="3D02C4AB" w14:textId="77777777" w:rsidR="001466DC" w:rsidRPr="001466DC" w:rsidRDefault="001466DC" w:rsidP="001466DC">
            <w:pPr>
              <w:spacing w:before="0" w:line="240" w:lineRule="auto"/>
              <w:jc w:val="center"/>
              <w:rPr>
                <w:b w:val="0"/>
                <w:color w:val="000000"/>
                <w:sz w:val="18"/>
                <w:szCs w:val="18"/>
                <w:lang w:val="en-US" w:eastAsia="en-US"/>
              </w:rPr>
            </w:pPr>
            <w:r w:rsidRPr="001466DC">
              <w:rPr>
                <w:b w:val="0"/>
                <w:color w:val="000000"/>
                <w:sz w:val="18"/>
                <w:szCs w:val="18"/>
                <w:lang w:val="hy-AM" w:eastAsia="en-US"/>
              </w:rPr>
              <w:t>2020թ</w:t>
            </w:r>
          </w:p>
        </w:tc>
        <w:tc>
          <w:tcPr>
            <w:tcW w:w="1335" w:type="dxa"/>
            <w:tcBorders>
              <w:top w:val="nil"/>
              <w:left w:val="nil"/>
              <w:bottom w:val="single" w:sz="8" w:space="0" w:color="auto"/>
              <w:right w:val="nil"/>
            </w:tcBorders>
            <w:shd w:val="clear" w:color="auto" w:fill="auto"/>
            <w:vAlign w:val="center"/>
            <w:hideMark/>
          </w:tcPr>
          <w:p w14:paraId="2E3FBB99" w14:textId="77777777" w:rsidR="001466DC" w:rsidRPr="001466DC" w:rsidRDefault="001466DC" w:rsidP="001466DC">
            <w:pPr>
              <w:spacing w:before="0" w:line="240" w:lineRule="auto"/>
              <w:jc w:val="center"/>
              <w:rPr>
                <w:b w:val="0"/>
                <w:color w:val="000000"/>
                <w:sz w:val="18"/>
                <w:szCs w:val="18"/>
                <w:lang w:val="en-US" w:eastAsia="en-US"/>
              </w:rPr>
            </w:pPr>
            <w:r w:rsidRPr="001466DC">
              <w:rPr>
                <w:b w:val="0"/>
                <w:color w:val="000000"/>
                <w:sz w:val="18"/>
                <w:szCs w:val="18"/>
                <w:lang w:val="hy-AM" w:eastAsia="en-US"/>
              </w:rPr>
              <w:t>2021թ</w:t>
            </w:r>
          </w:p>
        </w:tc>
        <w:tc>
          <w:tcPr>
            <w:tcW w:w="1319" w:type="dxa"/>
            <w:gridSpan w:val="2"/>
            <w:tcBorders>
              <w:top w:val="nil"/>
              <w:left w:val="nil"/>
              <w:bottom w:val="single" w:sz="8" w:space="0" w:color="auto"/>
              <w:right w:val="nil"/>
            </w:tcBorders>
            <w:shd w:val="clear" w:color="auto" w:fill="auto"/>
            <w:vAlign w:val="center"/>
            <w:hideMark/>
          </w:tcPr>
          <w:p w14:paraId="5E0CB080" w14:textId="77777777" w:rsidR="001466DC" w:rsidRPr="001466DC" w:rsidRDefault="001466DC" w:rsidP="001466DC">
            <w:pPr>
              <w:spacing w:before="0" w:line="240" w:lineRule="auto"/>
              <w:jc w:val="center"/>
              <w:rPr>
                <w:b w:val="0"/>
                <w:color w:val="000000"/>
                <w:sz w:val="18"/>
                <w:szCs w:val="18"/>
                <w:lang w:val="en-US" w:eastAsia="en-US"/>
              </w:rPr>
            </w:pPr>
            <w:r w:rsidRPr="001466DC">
              <w:rPr>
                <w:b w:val="0"/>
                <w:color w:val="000000"/>
                <w:sz w:val="18"/>
                <w:szCs w:val="18"/>
                <w:lang w:val="hy-AM" w:eastAsia="en-US"/>
              </w:rPr>
              <w:t>2022թ</w:t>
            </w:r>
          </w:p>
        </w:tc>
        <w:tc>
          <w:tcPr>
            <w:tcW w:w="1127" w:type="dxa"/>
            <w:gridSpan w:val="2"/>
            <w:tcBorders>
              <w:top w:val="nil"/>
              <w:left w:val="nil"/>
              <w:bottom w:val="single" w:sz="8" w:space="0" w:color="auto"/>
              <w:right w:val="nil"/>
            </w:tcBorders>
            <w:shd w:val="clear" w:color="auto" w:fill="auto"/>
            <w:vAlign w:val="center"/>
            <w:hideMark/>
          </w:tcPr>
          <w:p w14:paraId="27DC0920" w14:textId="77777777" w:rsidR="001466DC" w:rsidRPr="001466DC" w:rsidRDefault="001466DC" w:rsidP="00410AF5">
            <w:pPr>
              <w:spacing w:before="0" w:line="240" w:lineRule="auto"/>
              <w:rPr>
                <w:b w:val="0"/>
                <w:color w:val="000000"/>
                <w:sz w:val="18"/>
                <w:szCs w:val="18"/>
                <w:lang w:val="en-US" w:eastAsia="en-US"/>
              </w:rPr>
            </w:pPr>
            <w:r w:rsidRPr="001466DC">
              <w:rPr>
                <w:b w:val="0"/>
                <w:color w:val="000000"/>
                <w:sz w:val="18"/>
                <w:szCs w:val="18"/>
                <w:lang w:eastAsia="en-US"/>
              </w:rPr>
              <w:t>2023թ</w:t>
            </w:r>
          </w:p>
        </w:tc>
        <w:tc>
          <w:tcPr>
            <w:tcW w:w="740" w:type="dxa"/>
            <w:tcBorders>
              <w:top w:val="nil"/>
              <w:left w:val="nil"/>
              <w:bottom w:val="single" w:sz="8" w:space="0" w:color="auto"/>
              <w:right w:val="nil"/>
            </w:tcBorders>
            <w:shd w:val="clear" w:color="auto" w:fill="auto"/>
            <w:vAlign w:val="center"/>
            <w:hideMark/>
          </w:tcPr>
          <w:p w14:paraId="3F56D64F" w14:textId="77777777" w:rsidR="001466DC" w:rsidRPr="001466DC" w:rsidRDefault="001466DC" w:rsidP="009813D2">
            <w:pPr>
              <w:spacing w:before="0" w:line="240" w:lineRule="auto"/>
              <w:jc w:val="center"/>
              <w:rPr>
                <w:b w:val="0"/>
                <w:color w:val="000000"/>
                <w:sz w:val="18"/>
                <w:szCs w:val="18"/>
                <w:lang w:val="en-US" w:eastAsia="en-US"/>
              </w:rPr>
            </w:pPr>
            <w:r w:rsidRPr="001466DC">
              <w:rPr>
                <w:b w:val="0"/>
                <w:color w:val="000000"/>
                <w:sz w:val="18"/>
                <w:szCs w:val="18"/>
                <w:lang w:eastAsia="en-US"/>
              </w:rPr>
              <w:t>2024թ</w:t>
            </w:r>
          </w:p>
        </w:tc>
      </w:tr>
      <w:tr w:rsidR="00520651" w:rsidRPr="001466DC" w14:paraId="241524B1"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1DF83AB9" w14:textId="77777777" w:rsidR="00520651" w:rsidRPr="001466DC" w:rsidRDefault="00520651" w:rsidP="00520651">
            <w:pPr>
              <w:spacing w:before="0" w:line="240" w:lineRule="auto"/>
              <w:jc w:val="left"/>
              <w:rPr>
                <w:b w:val="0"/>
                <w:sz w:val="18"/>
                <w:szCs w:val="18"/>
                <w:lang w:val="en-US" w:eastAsia="en-US"/>
              </w:rPr>
            </w:pPr>
            <w:r w:rsidRPr="001466DC">
              <w:rPr>
                <w:b w:val="0"/>
                <w:bCs/>
                <w:sz w:val="18"/>
                <w:szCs w:val="18"/>
                <w:lang w:eastAsia="en-US"/>
              </w:rPr>
              <w:t>Ընթացիկ ծախսեր</w:t>
            </w:r>
          </w:p>
        </w:tc>
        <w:tc>
          <w:tcPr>
            <w:tcW w:w="1246" w:type="dxa"/>
            <w:tcBorders>
              <w:top w:val="nil"/>
              <w:left w:val="nil"/>
              <w:bottom w:val="single" w:sz="8" w:space="0" w:color="auto"/>
              <w:right w:val="nil"/>
            </w:tcBorders>
            <w:shd w:val="clear" w:color="000000" w:fill="FFFFFF"/>
            <w:vAlign w:val="center"/>
            <w:hideMark/>
          </w:tcPr>
          <w:p w14:paraId="56F18161" w14:textId="74A01967" w:rsidR="00520651" w:rsidRPr="00520651" w:rsidRDefault="00520651" w:rsidP="00520651">
            <w:pPr>
              <w:jc w:val="center"/>
              <w:rPr>
                <w:b w:val="0"/>
                <w:sz w:val="18"/>
                <w:szCs w:val="18"/>
              </w:rPr>
            </w:pPr>
            <w:r w:rsidRPr="00520651">
              <w:rPr>
                <w:b w:val="0"/>
                <w:sz w:val="18"/>
                <w:szCs w:val="18"/>
              </w:rPr>
              <w:t>1,681.8</w:t>
            </w:r>
          </w:p>
        </w:tc>
        <w:tc>
          <w:tcPr>
            <w:tcW w:w="1335" w:type="dxa"/>
            <w:tcBorders>
              <w:top w:val="nil"/>
              <w:left w:val="nil"/>
              <w:bottom w:val="single" w:sz="8" w:space="0" w:color="auto"/>
              <w:right w:val="nil"/>
            </w:tcBorders>
            <w:shd w:val="clear" w:color="000000" w:fill="FFFFFF"/>
            <w:vAlign w:val="center"/>
            <w:hideMark/>
          </w:tcPr>
          <w:p w14:paraId="09FD5818" w14:textId="1483C2E5" w:rsidR="00520651" w:rsidRPr="001466DC" w:rsidRDefault="00520651" w:rsidP="00520651">
            <w:pPr>
              <w:jc w:val="center"/>
              <w:rPr>
                <w:b w:val="0"/>
                <w:sz w:val="18"/>
                <w:szCs w:val="18"/>
              </w:rPr>
            </w:pPr>
            <w:r w:rsidRPr="00520651">
              <w:rPr>
                <w:b w:val="0"/>
                <w:sz w:val="18"/>
                <w:szCs w:val="18"/>
              </w:rPr>
              <w:t>1,810.7</w:t>
            </w:r>
          </w:p>
        </w:tc>
        <w:tc>
          <w:tcPr>
            <w:tcW w:w="1319" w:type="dxa"/>
            <w:gridSpan w:val="2"/>
            <w:tcBorders>
              <w:top w:val="nil"/>
              <w:left w:val="nil"/>
              <w:bottom w:val="single" w:sz="8" w:space="0" w:color="auto"/>
              <w:right w:val="nil"/>
            </w:tcBorders>
            <w:shd w:val="clear" w:color="000000" w:fill="FFFFFF"/>
            <w:vAlign w:val="center"/>
            <w:hideMark/>
          </w:tcPr>
          <w:p w14:paraId="57295773" w14:textId="18A233B7" w:rsidR="00520651" w:rsidRPr="001466DC" w:rsidRDefault="00520651" w:rsidP="00520651">
            <w:pPr>
              <w:jc w:val="center"/>
              <w:rPr>
                <w:b w:val="0"/>
                <w:sz w:val="18"/>
                <w:szCs w:val="18"/>
              </w:rPr>
            </w:pPr>
            <w:r w:rsidRPr="00520651">
              <w:rPr>
                <w:b w:val="0"/>
                <w:sz w:val="18"/>
                <w:szCs w:val="18"/>
              </w:rPr>
              <w:t>1,898.7</w:t>
            </w:r>
          </w:p>
        </w:tc>
        <w:tc>
          <w:tcPr>
            <w:tcW w:w="1127" w:type="dxa"/>
            <w:gridSpan w:val="2"/>
            <w:tcBorders>
              <w:top w:val="nil"/>
              <w:left w:val="nil"/>
              <w:bottom w:val="single" w:sz="8" w:space="0" w:color="auto"/>
              <w:right w:val="nil"/>
            </w:tcBorders>
            <w:shd w:val="clear" w:color="000000" w:fill="FFFFFF"/>
            <w:noWrap/>
            <w:vAlign w:val="center"/>
            <w:hideMark/>
          </w:tcPr>
          <w:p w14:paraId="680CC299" w14:textId="1179B584" w:rsidR="00520651" w:rsidRPr="001466DC" w:rsidRDefault="00520651" w:rsidP="00520651">
            <w:pPr>
              <w:rPr>
                <w:b w:val="0"/>
                <w:sz w:val="18"/>
                <w:szCs w:val="18"/>
              </w:rPr>
            </w:pPr>
            <w:r w:rsidRPr="00520651">
              <w:rPr>
                <w:b w:val="0"/>
                <w:sz w:val="18"/>
                <w:szCs w:val="18"/>
              </w:rPr>
              <w:t>2,096.3</w:t>
            </w:r>
          </w:p>
        </w:tc>
        <w:tc>
          <w:tcPr>
            <w:tcW w:w="740" w:type="dxa"/>
            <w:tcBorders>
              <w:top w:val="nil"/>
              <w:left w:val="nil"/>
              <w:bottom w:val="single" w:sz="8" w:space="0" w:color="auto"/>
              <w:right w:val="nil"/>
            </w:tcBorders>
            <w:shd w:val="clear" w:color="000000" w:fill="FFFFFF"/>
            <w:noWrap/>
            <w:vAlign w:val="center"/>
            <w:hideMark/>
          </w:tcPr>
          <w:p w14:paraId="4C925008" w14:textId="667BB835" w:rsidR="00520651" w:rsidRPr="00A023EA" w:rsidRDefault="00520651" w:rsidP="00520651">
            <w:pPr>
              <w:jc w:val="center"/>
              <w:rPr>
                <w:b w:val="0"/>
                <w:sz w:val="18"/>
                <w:szCs w:val="18"/>
              </w:rPr>
            </w:pPr>
            <w:r w:rsidRPr="00520651">
              <w:rPr>
                <w:b w:val="0"/>
                <w:sz w:val="18"/>
                <w:szCs w:val="18"/>
              </w:rPr>
              <w:t>2,511.2</w:t>
            </w:r>
          </w:p>
        </w:tc>
      </w:tr>
      <w:tr w:rsidR="00520651" w:rsidRPr="001466DC" w14:paraId="5E8813EC"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5A2D4F59" w14:textId="77777777" w:rsidR="00520651" w:rsidRPr="001466DC" w:rsidRDefault="00520651" w:rsidP="00520651">
            <w:pPr>
              <w:spacing w:before="0" w:line="240" w:lineRule="auto"/>
              <w:jc w:val="left"/>
              <w:rPr>
                <w:b w:val="0"/>
                <w:sz w:val="18"/>
                <w:szCs w:val="18"/>
                <w:lang w:val="en-US" w:eastAsia="en-US"/>
              </w:rPr>
            </w:pPr>
            <w:r w:rsidRPr="001466DC">
              <w:rPr>
                <w:b w:val="0"/>
                <w:sz w:val="18"/>
                <w:szCs w:val="18"/>
                <w:lang w:eastAsia="en-US"/>
              </w:rPr>
              <w:t>1. Աշխատանքի վարձատրություն</w:t>
            </w:r>
          </w:p>
        </w:tc>
        <w:tc>
          <w:tcPr>
            <w:tcW w:w="1246" w:type="dxa"/>
            <w:tcBorders>
              <w:top w:val="nil"/>
              <w:left w:val="nil"/>
              <w:bottom w:val="single" w:sz="8" w:space="0" w:color="auto"/>
              <w:right w:val="nil"/>
            </w:tcBorders>
            <w:shd w:val="clear" w:color="000000" w:fill="FFFFFF"/>
            <w:vAlign w:val="center"/>
            <w:hideMark/>
          </w:tcPr>
          <w:p w14:paraId="1749FA40" w14:textId="2D4B8887" w:rsidR="00520651" w:rsidRPr="001466DC" w:rsidRDefault="00520651" w:rsidP="00520651">
            <w:pPr>
              <w:jc w:val="center"/>
              <w:rPr>
                <w:b w:val="0"/>
                <w:sz w:val="18"/>
                <w:szCs w:val="18"/>
              </w:rPr>
            </w:pPr>
            <w:r w:rsidRPr="00520651">
              <w:rPr>
                <w:b w:val="0"/>
                <w:sz w:val="18"/>
                <w:szCs w:val="18"/>
              </w:rPr>
              <w:t>176.1</w:t>
            </w:r>
          </w:p>
        </w:tc>
        <w:tc>
          <w:tcPr>
            <w:tcW w:w="1335" w:type="dxa"/>
            <w:tcBorders>
              <w:top w:val="nil"/>
              <w:left w:val="nil"/>
              <w:bottom w:val="single" w:sz="8" w:space="0" w:color="auto"/>
              <w:right w:val="nil"/>
            </w:tcBorders>
            <w:shd w:val="clear" w:color="000000" w:fill="FFFFFF"/>
            <w:vAlign w:val="center"/>
            <w:hideMark/>
          </w:tcPr>
          <w:p w14:paraId="0C1238D4" w14:textId="25F8944A" w:rsidR="00520651" w:rsidRPr="001466DC" w:rsidRDefault="00520651" w:rsidP="00520651">
            <w:pPr>
              <w:jc w:val="center"/>
              <w:rPr>
                <w:b w:val="0"/>
                <w:sz w:val="18"/>
                <w:szCs w:val="18"/>
              </w:rPr>
            </w:pPr>
            <w:r w:rsidRPr="00520651">
              <w:rPr>
                <w:b w:val="0"/>
                <w:sz w:val="18"/>
                <w:szCs w:val="18"/>
              </w:rPr>
              <w:t>181.4</w:t>
            </w:r>
          </w:p>
        </w:tc>
        <w:tc>
          <w:tcPr>
            <w:tcW w:w="1319" w:type="dxa"/>
            <w:gridSpan w:val="2"/>
            <w:tcBorders>
              <w:top w:val="nil"/>
              <w:left w:val="nil"/>
              <w:bottom w:val="single" w:sz="8" w:space="0" w:color="auto"/>
              <w:right w:val="nil"/>
            </w:tcBorders>
            <w:shd w:val="clear" w:color="000000" w:fill="FFFFFF"/>
            <w:vAlign w:val="center"/>
            <w:hideMark/>
          </w:tcPr>
          <w:p w14:paraId="321ACCBF" w14:textId="41865368" w:rsidR="00520651" w:rsidRPr="001466DC" w:rsidRDefault="00520651" w:rsidP="00520651">
            <w:pPr>
              <w:jc w:val="center"/>
              <w:rPr>
                <w:b w:val="0"/>
                <w:sz w:val="18"/>
                <w:szCs w:val="18"/>
              </w:rPr>
            </w:pPr>
            <w:r w:rsidRPr="00520651">
              <w:rPr>
                <w:b w:val="0"/>
                <w:sz w:val="18"/>
                <w:szCs w:val="18"/>
              </w:rPr>
              <w:t>194.1</w:t>
            </w:r>
          </w:p>
        </w:tc>
        <w:tc>
          <w:tcPr>
            <w:tcW w:w="1127" w:type="dxa"/>
            <w:gridSpan w:val="2"/>
            <w:tcBorders>
              <w:top w:val="nil"/>
              <w:left w:val="nil"/>
              <w:bottom w:val="single" w:sz="8" w:space="0" w:color="auto"/>
              <w:right w:val="nil"/>
            </w:tcBorders>
            <w:shd w:val="clear" w:color="000000" w:fill="FFFFFF"/>
            <w:noWrap/>
            <w:vAlign w:val="center"/>
            <w:hideMark/>
          </w:tcPr>
          <w:p w14:paraId="492D89E9" w14:textId="363E541E" w:rsidR="00520651" w:rsidRPr="001466DC" w:rsidRDefault="00520651" w:rsidP="00520651">
            <w:pPr>
              <w:rPr>
                <w:b w:val="0"/>
                <w:sz w:val="18"/>
                <w:szCs w:val="18"/>
              </w:rPr>
            </w:pPr>
            <w:r w:rsidRPr="00520651">
              <w:rPr>
                <w:b w:val="0"/>
                <w:sz w:val="18"/>
                <w:szCs w:val="18"/>
              </w:rPr>
              <w:t>211.4</w:t>
            </w:r>
          </w:p>
        </w:tc>
        <w:tc>
          <w:tcPr>
            <w:tcW w:w="740" w:type="dxa"/>
            <w:tcBorders>
              <w:top w:val="nil"/>
              <w:left w:val="nil"/>
              <w:bottom w:val="single" w:sz="8" w:space="0" w:color="auto"/>
              <w:right w:val="nil"/>
            </w:tcBorders>
            <w:shd w:val="clear" w:color="000000" w:fill="FFFFFF"/>
            <w:noWrap/>
            <w:vAlign w:val="center"/>
            <w:hideMark/>
          </w:tcPr>
          <w:p w14:paraId="73109744" w14:textId="4996FA8C" w:rsidR="00520651" w:rsidRPr="00A023EA" w:rsidRDefault="00520651" w:rsidP="00520651">
            <w:pPr>
              <w:jc w:val="center"/>
              <w:rPr>
                <w:b w:val="0"/>
                <w:sz w:val="18"/>
                <w:szCs w:val="18"/>
              </w:rPr>
            </w:pPr>
            <w:r w:rsidRPr="00520651">
              <w:rPr>
                <w:b w:val="0"/>
                <w:sz w:val="18"/>
                <w:szCs w:val="18"/>
              </w:rPr>
              <w:t>240.2</w:t>
            </w:r>
          </w:p>
        </w:tc>
      </w:tr>
      <w:tr w:rsidR="00520651" w:rsidRPr="001466DC" w14:paraId="7091CFC9"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25712744" w14:textId="77777777" w:rsidR="00520651" w:rsidRPr="001466DC" w:rsidRDefault="00520651" w:rsidP="00520651">
            <w:pPr>
              <w:spacing w:before="0" w:line="240" w:lineRule="auto"/>
              <w:jc w:val="left"/>
              <w:rPr>
                <w:b w:val="0"/>
                <w:sz w:val="18"/>
                <w:szCs w:val="18"/>
                <w:lang w:val="en-US" w:eastAsia="en-US"/>
              </w:rPr>
            </w:pPr>
            <w:r w:rsidRPr="001466DC">
              <w:rPr>
                <w:b w:val="0"/>
                <w:sz w:val="18"/>
                <w:szCs w:val="18"/>
                <w:lang w:eastAsia="en-US"/>
              </w:rPr>
              <w:t>2. Ծառայությունների և ապրանքների ձեռքբերում</w:t>
            </w:r>
          </w:p>
        </w:tc>
        <w:tc>
          <w:tcPr>
            <w:tcW w:w="1246" w:type="dxa"/>
            <w:tcBorders>
              <w:top w:val="nil"/>
              <w:left w:val="nil"/>
              <w:bottom w:val="single" w:sz="8" w:space="0" w:color="auto"/>
              <w:right w:val="nil"/>
            </w:tcBorders>
            <w:shd w:val="clear" w:color="000000" w:fill="FFFFFF"/>
            <w:vAlign w:val="center"/>
            <w:hideMark/>
          </w:tcPr>
          <w:p w14:paraId="00FC3014" w14:textId="42C07346" w:rsidR="00520651" w:rsidRPr="001466DC" w:rsidRDefault="00520651" w:rsidP="00520651">
            <w:pPr>
              <w:jc w:val="center"/>
              <w:rPr>
                <w:b w:val="0"/>
                <w:sz w:val="18"/>
                <w:szCs w:val="18"/>
              </w:rPr>
            </w:pPr>
            <w:r w:rsidRPr="00520651">
              <w:rPr>
                <w:b w:val="0"/>
                <w:sz w:val="18"/>
                <w:szCs w:val="18"/>
              </w:rPr>
              <w:t>179.2</w:t>
            </w:r>
          </w:p>
        </w:tc>
        <w:tc>
          <w:tcPr>
            <w:tcW w:w="1335" w:type="dxa"/>
            <w:tcBorders>
              <w:top w:val="nil"/>
              <w:left w:val="nil"/>
              <w:bottom w:val="single" w:sz="8" w:space="0" w:color="auto"/>
              <w:right w:val="nil"/>
            </w:tcBorders>
            <w:shd w:val="clear" w:color="000000" w:fill="FFFFFF"/>
            <w:vAlign w:val="center"/>
            <w:hideMark/>
          </w:tcPr>
          <w:p w14:paraId="65CD109B" w14:textId="33D3765F" w:rsidR="00520651" w:rsidRPr="001466DC" w:rsidRDefault="00520651" w:rsidP="00520651">
            <w:pPr>
              <w:jc w:val="center"/>
              <w:rPr>
                <w:b w:val="0"/>
                <w:sz w:val="18"/>
                <w:szCs w:val="18"/>
              </w:rPr>
            </w:pPr>
            <w:r w:rsidRPr="00520651">
              <w:rPr>
                <w:b w:val="0"/>
                <w:sz w:val="18"/>
                <w:szCs w:val="18"/>
              </w:rPr>
              <w:t>198.5</w:t>
            </w:r>
          </w:p>
        </w:tc>
        <w:tc>
          <w:tcPr>
            <w:tcW w:w="1319" w:type="dxa"/>
            <w:gridSpan w:val="2"/>
            <w:tcBorders>
              <w:top w:val="nil"/>
              <w:left w:val="nil"/>
              <w:bottom w:val="single" w:sz="8" w:space="0" w:color="auto"/>
              <w:right w:val="nil"/>
            </w:tcBorders>
            <w:shd w:val="clear" w:color="000000" w:fill="FFFFFF"/>
            <w:vAlign w:val="center"/>
            <w:hideMark/>
          </w:tcPr>
          <w:p w14:paraId="070303FF" w14:textId="4E7E1EDB" w:rsidR="00520651" w:rsidRPr="001466DC" w:rsidRDefault="00520651" w:rsidP="00520651">
            <w:pPr>
              <w:jc w:val="center"/>
              <w:rPr>
                <w:b w:val="0"/>
                <w:sz w:val="18"/>
                <w:szCs w:val="18"/>
              </w:rPr>
            </w:pPr>
            <w:r w:rsidRPr="00520651">
              <w:rPr>
                <w:b w:val="0"/>
                <w:sz w:val="18"/>
                <w:szCs w:val="18"/>
              </w:rPr>
              <w:t>205.3</w:t>
            </w:r>
          </w:p>
        </w:tc>
        <w:tc>
          <w:tcPr>
            <w:tcW w:w="1127" w:type="dxa"/>
            <w:gridSpan w:val="2"/>
            <w:tcBorders>
              <w:top w:val="nil"/>
              <w:left w:val="nil"/>
              <w:bottom w:val="single" w:sz="8" w:space="0" w:color="auto"/>
              <w:right w:val="nil"/>
            </w:tcBorders>
            <w:shd w:val="clear" w:color="000000" w:fill="FFFFFF"/>
            <w:noWrap/>
            <w:vAlign w:val="center"/>
            <w:hideMark/>
          </w:tcPr>
          <w:p w14:paraId="19BD0BFB" w14:textId="60EA8B9B" w:rsidR="00520651" w:rsidRPr="001466DC" w:rsidRDefault="00520651" w:rsidP="00520651">
            <w:pPr>
              <w:rPr>
                <w:b w:val="0"/>
                <w:sz w:val="18"/>
                <w:szCs w:val="18"/>
              </w:rPr>
            </w:pPr>
            <w:r w:rsidRPr="00520651">
              <w:rPr>
                <w:b w:val="0"/>
                <w:sz w:val="18"/>
                <w:szCs w:val="18"/>
              </w:rPr>
              <w:t>187.5</w:t>
            </w:r>
          </w:p>
        </w:tc>
        <w:tc>
          <w:tcPr>
            <w:tcW w:w="740" w:type="dxa"/>
            <w:tcBorders>
              <w:top w:val="nil"/>
              <w:left w:val="nil"/>
              <w:bottom w:val="single" w:sz="8" w:space="0" w:color="auto"/>
              <w:right w:val="nil"/>
            </w:tcBorders>
            <w:shd w:val="clear" w:color="000000" w:fill="FFFFFF"/>
            <w:noWrap/>
            <w:vAlign w:val="center"/>
            <w:hideMark/>
          </w:tcPr>
          <w:p w14:paraId="04815475" w14:textId="49225C82" w:rsidR="00520651" w:rsidRPr="00A023EA" w:rsidRDefault="00520651" w:rsidP="00520651">
            <w:pPr>
              <w:jc w:val="center"/>
              <w:rPr>
                <w:b w:val="0"/>
                <w:sz w:val="18"/>
                <w:szCs w:val="18"/>
              </w:rPr>
            </w:pPr>
            <w:r w:rsidRPr="00520651">
              <w:rPr>
                <w:b w:val="0"/>
                <w:sz w:val="18"/>
                <w:szCs w:val="18"/>
              </w:rPr>
              <w:t>191.7</w:t>
            </w:r>
          </w:p>
        </w:tc>
      </w:tr>
      <w:tr w:rsidR="00520651" w:rsidRPr="001466DC" w14:paraId="66F52BAD"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24DD5692" w14:textId="77777777" w:rsidR="00520651" w:rsidRPr="001466DC" w:rsidRDefault="00520651" w:rsidP="00520651">
            <w:pPr>
              <w:spacing w:before="0" w:line="240" w:lineRule="auto"/>
              <w:jc w:val="left"/>
              <w:rPr>
                <w:b w:val="0"/>
                <w:sz w:val="18"/>
                <w:szCs w:val="18"/>
                <w:lang w:val="en-US" w:eastAsia="en-US"/>
              </w:rPr>
            </w:pPr>
            <w:r w:rsidRPr="001466DC">
              <w:rPr>
                <w:b w:val="0"/>
                <w:sz w:val="18"/>
                <w:szCs w:val="18"/>
                <w:lang w:eastAsia="en-US"/>
              </w:rPr>
              <w:t>3. Տոկոսավճարներ</w:t>
            </w:r>
          </w:p>
        </w:tc>
        <w:tc>
          <w:tcPr>
            <w:tcW w:w="1246" w:type="dxa"/>
            <w:tcBorders>
              <w:top w:val="nil"/>
              <w:left w:val="nil"/>
              <w:bottom w:val="single" w:sz="8" w:space="0" w:color="auto"/>
              <w:right w:val="nil"/>
            </w:tcBorders>
            <w:shd w:val="clear" w:color="000000" w:fill="FFFFFF"/>
            <w:vAlign w:val="center"/>
            <w:hideMark/>
          </w:tcPr>
          <w:p w14:paraId="5A4EDEF4" w14:textId="328BA13E" w:rsidR="00520651" w:rsidRPr="001466DC" w:rsidRDefault="00520651" w:rsidP="00520651">
            <w:pPr>
              <w:jc w:val="center"/>
              <w:rPr>
                <w:b w:val="0"/>
                <w:sz w:val="18"/>
                <w:szCs w:val="18"/>
              </w:rPr>
            </w:pPr>
            <w:r w:rsidRPr="00520651">
              <w:rPr>
                <w:b w:val="0"/>
                <w:sz w:val="18"/>
                <w:szCs w:val="18"/>
              </w:rPr>
              <w:t>164.8</w:t>
            </w:r>
          </w:p>
        </w:tc>
        <w:tc>
          <w:tcPr>
            <w:tcW w:w="1335" w:type="dxa"/>
            <w:tcBorders>
              <w:top w:val="nil"/>
              <w:left w:val="nil"/>
              <w:bottom w:val="single" w:sz="8" w:space="0" w:color="auto"/>
              <w:right w:val="nil"/>
            </w:tcBorders>
            <w:shd w:val="clear" w:color="000000" w:fill="FFFFFF"/>
            <w:vAlign w:val="center"/>
            <w:hideMark/>
          </w:tcPr>
          <w:p w14:paraId="1ECC0E29" w14:textId="1E5E5115" w:rsidR="00520651" w:rsidRPr="001466DC" w:rsidRDefault="00520651" w:rsidP="00520651">
            <w:pPr>
              <w:jc w:val="center"/>
              <w:rPr>
                <w:b w:val="0"/>
                <w:sz w:val="18"/>
                <w:szCs w:val="18"/>
              </w:rPr>
            </w:pPr>
            <w:r w:rsidRPr="00520651">
              <w:rPr>
                <w:b w:val="0"/>
                <w:sz w:val="18"/>
                <w:szCs w:val="18"/>
              </w:rPr>
              <w:t>180.8</w:t>
            </w:r>
          </w:p>
        </w:tc>
        <w:tc>
          <w:tcPr>
            <w:tcW w:w="1319" w:type="dxa"/>
            <w:gridSpan w:val="2"/>
            <w:tcBorders>
              <w:top w:val="nil"/>
              <w:left w:val="nil"/>
              <w:bottom w:val="single" w:sz="8" w:space="0" w:color="auto"/>
              <w:right w:val="nil"/>
            </w:tcBorders>
            <w:shd w:val="clear" w:color="000000" w:fill="FFFFFF"/>
            <w:vAlign w:val="center"/>
            <w:hideMark/>
          </w:tcPr>
          <w:p w14:paraId="1547F45E" w14:textId="3583ED38" w:rsidR="00520651" w:rsidRPr="001466DC" w:rsidRDefault="00520651" w:rsidP="00520651">
            <w:pPr>
              <w:jc w:val="center"/>
              <w:rPr>
                <w:b w:val="0"/>
                <w:sz w:val="18"/>
                <w:szCs w:val="18"/>
              </w:rPr>
            </w:pPr>
            <w:r w:rsidRPr="00520651">
              <w:rPr>
                <w:b w:val="0"/>
                <w:sz w:val="18"/>
                <w:szCs w:val="18"/>
              </w:rPr>
              <w:t>198.3</w:t>
            </w:r>
          </w:p>
        </w:tc>
        <w:tc>
          <w:tcPr>
            <w:tcW w:w="1127" w:type="dxa"/>
            <w:gridSpan w:val="2"/>
            <w:tcBorders>
              <w:top w:val="nil"/>
              <w:left w:val="nil"/>
              <w:bottom w:val="single" w:sz="8" w:space="0" w:color="auto"/>
              <w:right w:val="nil"/>
            </w:tcBorders>
            <w:shd w:val="clear" w:color="000000" w:fill="FFFFFF"/>
            <w:noWrap/>
            <w:vAlign w:val="center"/>
            <w:hideMark/>
          </w:tcPr>
          <w:p w14:paraId="047679D7" w14:textId="55B30193" w:rsidR="00520651" w:rsidRPr="001466DC" w:rsidRDefault="00520651" w:rsidP="00520651">
            <w:pPr>
              <w:rPr>
                <w:b w:val="0"/>
                <w:sz w:val="18"/>
                <w:szCs w:val="18"/>
              </w:rPr>
            </w:pPr>
            <w:r w:rsidRPr="00520651">
              <w:rPr>
                <w:b w:val="0"/>
                <w:sz w:val="18"/>
                <w:szCs w:val="18"/>
              </w:rPr>
              <w:t>272.9</w:t>
            </w:r>
          </w:p>
        </w:tc>
        <w:tc>
          <w:tcPr>
            <w:tcW w:w="740" w:type="dxa"/>
            <w:tcBorders>
              <w:top w:val="nil"/>
              <w:left w:val="nil"/>
              <w:bottom w:val="single" w:sz="8" w:space="0" w:color="auto"/>
              <w:right w:val="nil"/>
            </w:tcBorders>
            <w:shd w:val="clear" w:color="000000" w:fill="FFFFFF"/>
            <w:noWrap/>
            <w:vAlign w:val="center"/>
            <w:hideMark/>
          </w:tcPr>
          <w:p w14:paraId="502CEFB7" w14:textId="5550D81B" w:rsidR="00520651" w:rsidRPr="00A023EA" w:rsidRDefault="00520651" w:rsidP="00520651">
            <w:pPr>
              <w:jc w:val="center"/>
              <w:rPr>
                <w:b w:val="0"/>
                <w:sz w:val="18"/>
                <w:szCs w:val="18"/>
              </w:rPr>
            </w:pPr>
            <w:r w:rsidRPr="00520651">
              <w:rPr>
                <w:b w:val="0"/>
                <w:sz w:val="18"/>
                <w:szCs w:val="18"/>
              </w:rPr>
              <w:t>323.1</w:t>
            </w:r>
          </w:p>
        </w:tc>
      </w:tr>
      <w:tr w:rsidR="00520651" w:rsidRPr="001466DC" w14:paraId="0FDC0D72"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669970C6" w14:textId="77777777" w:rsidR="00520651" w:rsidRPr="001466DC" w:rsidRDefault="00520651" w:rsidP="00520651">
            <w:pPr>
              <w:spacing w:before="0" w:line="240" w:lineRule="auto"/>
              <w:jc w:val="left"/>
              <w:rPr>
                <w:b w:val="0"/>
                <w:sz w:val="18"/>
                <w:szCs w:val="18"/>
                <w:lang w:val="en-US" w:eastAsia="en-US"/>
              </w:rPr>
            </w:pPr>
            <w:r w:rsidRPr="001466DC">
              <w:rPr>
                <w:b w:val="0"/>
                <w:sz w:val="18"/>
                <w:szCs w:val="18"/>
                <w:lang w:eastAsia="en-US"/>
              </w:rPr>
              <w:t>4. Սուբսիդիաներ</w:t>
            </w:r>
          </w:p>
        </w:tc>
        <w:tc>
          <w:tcPr>
            <w:tcW w:w="1246" w:type="dxa"/>
            <w:tcBorders>
              <w:top w:val="nil"/>
              <w:left w:val="nil"/>
              <w:bottom w:val="single" w:sz="8" w:space="0" w:color="auto"/>
              <w:right w:val="nil"/>
            </w:tcBorders>
            <w:shd w:val="clear" w:color="000000" w:fill="FFFFFF"/>
            <w:vAlign w:val="center"/>
            <w:hideMark/>
          </w:tcPr>
          <w:p w14:paraId="27884F79" w14:textId="49B952A0" w:rsidR="00520651" w:rsidRPr="001466DC" w:rsidRDefault="00520651" w:rsidP="00520651">
            <w:pPr>
              <w:jc w:val="center"/>
              <w:rPr>
                <w:b w:val="0"/>
                <w:sz w:val="18"/>
                <w:szCs w:val="18"/>
              </w:rPr>
            </w:pPr>
            <w:r w:rsidRPr="00520651">
              <w:rPr>
                <w:b w:val="0"/>
                <w:sz w:val="18"/>
                <w:szCs w:val="18"/>
              </w:rPr>
              <w:t>119.1</w:t>
            </w:r>
          </w:p>
        </w:tc>
        <w:tc>
          <w:tcPr>
            <w:tcW w:w="1335" w:type="dxa"/>
            <w:tcBorders>
              <w:top w:val="nil"/>
              <w:left w:val="nil"/>
              <w:bottom w:val="single" w:sz="8" w:space="0" w:color="auto"/>
              <w:right w:val="nil"/>
            </w:tcBorders>
            <w:shd w:val="clear" w:color="000000" w:fill="FFFFFF"/>
            <w:vAlign w:val="center"/>
            <w:hideMark/>
          </w:tcPr>
          <w:p w14:paraId="335D8BE1" w14:textId="53A77F1B" w:rsidR="00520651" w:rsidRPr="001466DC" w:rsidRDefault="00520651" w:rsidP="00520651">
            <w:pPr>
              <w:jc w:val="center"/>
              <w:rPr>
                <w:b w:val="0"/>
                <w:sz w:val="18"/>
                <w:szCs w:val="18"/>
              </w:rPr>
            </w:pPr>
            <w:r w:rsidRPr="00520651">
              <w:rPr>
                <w:b w:val="0"/>
                <w:sz w:val="18"/>
                <w:szCs w:val="18"/>
              </w:rPr>
              <w:t>136.8</w:t>
            </w:r>
          </w:p>
        </w:tc>
        <w:tc>
          <w:tcPr>
            <w:tcW w:w="1319" w:type="dxa"/>
            <w:gridSpan w:val="2"/>
            <w:tcBorders>
              <w:top w:val="nil"/>
              <w:left w:val="nil"/>
              <w:bottom w:val="single" w:sz="8" w:space="0" w:color="auto"/>
              <w:right w:val="nil"/>
            </w:tcBorders>
            <w:shd w:val="clear" w:color="000000" w:fill="FFFFFF"/>
            <w:vAlign w:val="center"/>
            <w:hideMark/>
          </w:tcPr>
          <w:p w14:paraId="26CC160D" w14:textId="0A811A7F" w:rsidR="00520651" w:rsidRPr="001466DC" w:rsidRDefault="00520651" w:rsidP="00520651">
            <w:pPr>
              <w:jc w:val="center"/>
              <w:rPr>
                <w:b w:val="0"/>
                <w:sz w:val="18"/>
                <w:szCs w:val="18"/>
              </w:rPr>
            </w:pPr>
            <w:r w:rsidRPr="00520651">
              <w:rPr>
                <w:b w:val="0"/>
                <w:sz w:val="18"/>
                <w:szCs w:val="18"/>
              </w:rPr>
              <w:t>150.5</w:t>
            </w:r>
          </w:p>
        </w:tc>
        <w:tc>
          <w:tcPr>
            <w:tcW w:w="1127" w:type="dxa"/>
            <w:gridSpan w:val="2"/>
            <w:tcBorders>
              <w:top w:val="nil"/>
              <w:left w:val="nil"/>
              <w:bottom w:val="single" w:sz="8" w:space="0" w:color="auto"/>
              <w:right w:val="nil"/>
            </w:tcBorders>
            <w:shd w:val="clear" w:color="000000" w:fill="FFFFFF"/>
            <w:noWrap/>
            <w:vAlign w:val="center"/>
            <w:hideMark/>
          </w:tcPr>
          <w:p w14:paraId="7E76A5FE" w14:textId="2363D609" w:rsidR="00520651" w:rsidRPr="001466DC" w:rsidRDefault="00520651" w:rsidP="00520651">
            <w:pPr>
              <w:rPr>
                <w:b w:val="0"/>
                <w:sz w:val="18"/>
                <w:szCs w:val="18"/>
              </w:rPr>
            </w:pPr>
            <w:r w:rsidRPr="00520651">
              <w:rPr>
                <w:b w:val="0"/>
                <w:sz w:val="18"/>
                <w:szCs w:val="18"/>
              </w:rPr>
              <w:t>151.5</w:t>
            </w:r>
          </w:p>
        </w:tc>
        <w:tc>
          <w:tcPr>
            <w:tcW w:w="740" w:type="dxa"/>
            <w:tcBorders>
              <w:top w:val="nil"/>
              <w:left w:val="nil"/>
              <w:bottom w:val="single" w:sz="8" w:space="0" w:color="auto"/>
              <w:right w:val="nil"/>
            </w:tcBorders>
            <w:shd w:val="clear" w:color="000000" w:fill="FFFFFF"/>
            <w:noWrap/>
            <w:vAlign w:val="center"/>
            <w:hideMark/>
          </w:tcPr>
          <w:p w14:paraId="28CB0719" w14:textId="2D6CD30F" w:rsidR="00520651" w:rsidRPr="00A023EA" w:rsidRDefault="00520651" w:rsidP="00520651">
            <w:pPr>
              <w:jc w:val="center"/>
              <w:rPr>
                <w:b w:val="0"/>
                <w:sz w:val="18"/>
                <w:szCs w:val="18"/>
              </w:rPr>
            </w:pPr>
            <w:r w:rsidRPr="00520651">
              <w:rPr>
                <w:b w:val="0"/>
                <w:sz w:val="18"/>
                <w:szCs w:val="18"/>
              </w:rPr>
              <w:t>185.0</w:t>
            </w:r>
          </w:p>
        </w:tc>
      </w:tr>
      <w:tr w:rsidR="00520651" w:rsidRPr="001466DC" w14:paraId="4FFF9898"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07FC8D35" w14:textId="77777777" w:rsidR="00520651" w:rsidRPr="001466DC" w:rsidRDefault="00520651" w:rsidP="00520651">
            <w:pPr>
              <w:spacing w:before="0" w:line="240" w:lineRule="auto"/>
              <w:jc w:val="left"/>
              <w:rPr>
                <w:b w:val="0"/>
                <w:sz w:val="18"/>
                <w:szCs w:val="18"/>
                <w:lang w:val="en-US" w:eastAsia="en-US"/>
              </w:rPr>
            </w:pPr>
            <w:r w:rsidRPr="001466DC">
              <w:rPr>
                <w:b w:val="0"/>
                <w:sz w:val="18"/>
                <w:szCs w:val="18"/>
                <w:lang w:eastAsia="en-US"/>
              </w:rPr>
              <w:t>5. Դրամաշնորհներ</w:t>
            </w:r>
          </w:p>
        </w:tc>
        <w:tc>
          <w:tcPr>
            <w:tcW w:w="1246" w:type="dxa"/>
            <w:tcBorders>
              <w:top w:val="nil"/>
              <w:left w:val="nil"/>
              <w:bottom w:val="single" w:sz="8" w:space="0" w:color="auto"/>
              <w:right w:val="nil"/>
            </w:tcBorders>
            <w:shd w:val="clear" w:color="000000" w:fill="FFFFFF"/>
            <w:vAlign w:val="center"/>
            <w:hideMark/>
          </w:tcPr>
          <w:p w14:paraId="7EC1E5F8" w14:textId="1C716955" w:rsidR="00520651" w:rsidRPr="001466DC" w:rsidRDefault="00520651" w:rsidP="00520651">
            <w:pPr>
              <w:jc w:val="center"/>
              <w:rPr>
                <w:b w:val="0"/>
                <w:sz w:val="18"/>
                <w:szCs w:val="18"/>
              </w:rPr>
            </w:pPr>
            <w:r w:rsidRPr="00520651">
              <w:rPr>
                <w:b w:val="0"/>
                <w:sz w:val="18"/>
                <w:szCs w:val="18"/>
              </w:rPr>
              <w:t>186.9</w:t>
            </w:r>
          </w:p>
        </w:tc>
        <w:tc>
          <w:tcPr>
            <w:tcW w:w="1335" w:type="dxa"/>
            <w:tcBorders>
              <w:top w:val="nil"/>
              <w:left w:val="nil"/>
              <w:bottom w:val="single" w:sz="8" w:space="0" w:color="auto"/>
              <w:right w:val="nil"/>
            </w:tcBorders>
            <w:shd w:val="clear" w:color="000000" w:fill="FFFFFF"/>
            <w:vAlign w:val="center"/>
            <w:hideMark/>
          </w:tcPr>
          <w:p w14:paraId="6FA05261" w14:textId="242BEBD5" w:rsidR="00520651" w:rsidRPr="001466DC" w:rsidRDefault="00520651" w:rsidP="00520651">
            <w:pPr>
              <w:jc w:val="center"/>
              <w:rPr>
                <w:b w:val="0"/>
                <w:sz w:val="18"/>
                <w:szCs w:val="18"/>
              </w:rPr>
            </w:pPr>
            <w:r w:rsidRPr="00520651">
              <w:rPr>
                <w:b w:val="0"/>
                <w:sz w:val="18"/>
                <w:szCs w:val="18"/>
              </w:rPr>
              <w:t>204.7</w:t>
            </w:r>
          </w:p>
        </w:tc>
        <w:tc>
          <w:tcPr>
            <w:tcW w:w="1319" w:type="dxa"/>
            <w:gridSpan w:val="2"/>
            <w:tcBorders>
              <w:top w:val="nil"/>
              <w:left w:val="nil"/>
              <w:bottom w:val="single" w:sz="8" w:space="0" w:color="auto"/>
              <w:right w:val="nil"/>
            </w:tcBorders>
            <w:shd w:val="clear" w:color="000000" w:fill="FFFFFF"/>
            <w:vAlign w:val="center"/>
            <w:hideMark/>
          </w:tcPr>
          <w:p w14:paraId="748533AB" w14:textId="42DFC013" w:rsidR="00520651" w:rsidRPr="001466DC" w:rsidRDefault="00520651" w:rsidP="00520651">
            <w:pPr>
              <w:jc w:val="center"/>
              <w:rPr>
                <w:b w:val="0"/>
                <w:sz w:val="18"/>
                <w:szCs w:val="18"/>
              </w:rPr>
            </w:pPr>
            <w:r w:rsidRPr="00520651">
              <w:rPr>
                <w:b w:val="0"/>
                <w:sz w:val="18"/>
                <w:szCs w:val="18"/>
              </w:rPr>
              <w:t>238.6</w:t>
            </w:r>
          </w:p>
        </w:tc>
        <w:tc>
          <w:tcPr>
            <w:tcW w:w="1127" w:type="dxa"/>
            <w:gridSpan w:val="2"/>
            <w:tcBorders>
              <w:top w:val="nil"/>
              <w:left w:val="nil"/>
              <w:bottom w:val="single" w:sz="8" w:space="0" w:color="auto"/>
              <w:right w:val="nil"/>
            </w:tcBorders>
            <w:shd w:val="clear" w:color="000000" w:fill="FFFFFF"/>
            <w:noWrap/>
            <w:vAlign w:val="center"/>
            <w:hideMark/>
          </w:tcPr>
          <w:p w14:paraId="351C1EA2" w14:textId="3615BBF0" w:rsidR="00520651" w:rsidRPr="001466DC" w:rsidRDefault="00520651" w:rsidP="00520651">
            <w:pPr>
              <w:rPr>
                <w:b w:val="0"/>
                <w:sz w:val="18"/>
                <w:szCs w:val="18"/>
              </w:rPr>
            </w:pPr>
            <w:r w:rsidRPr="00520651">
              <w:rPr>
                <w:b w:val="0"/>
                <w:sz w:val="18"/>
                <w:szCs w:val="18"/>
              </w:rPr>
              <w:t>268.3</w:t>
            </w:r>
          </w:p>
        </w:tc>
        <w:tc>
          <w:tcPr>
            <w:tcW w:w="740" w:type="dxa"/>
            <w:tcBorders>
              <w:top w:val="nil"/>
              <w:left w:val="nil"/>
              <w:bottom w:val="single" w:sz="8" w:space="0" w:color="auto"/>
              <w:right w:val="nil"/>
            </w:tcBorders>
            <w:shd w:val="clear" w:color="000000" w:fill="FFFFFF"/>
            <w:noWrap/>
            <w:vAlign w:val="center"/>
            <w:hideMark/>
          </w:tcPr>
          <w:p w14:paraId="12CFFBE7" w14:textId="41F45DF5" w:rsidR="00520651" w:rsidRPr="00A023EA" w:rsidRDefault="00520651" w:rsidP="00520651">
            <w:pPr>
              <w:jc w:val="center"/>
              <w:rPr>
                <w:b w:val="0"/>
                <w:sz w:val="18"/>
                <w:szCs w:val="18"/>
              </w:rPr>
            </w:pPr>
            <w:r w:rsidRPr="00520651">
              <w:rPr>
                <w:b w:val="0"/>
                <w:sz w:val="18"/>
                <w:szCs w:val="18"/>
              </w:rPr>
              <w:t>294.0</w:t>
            </w:r>
          </w:p>
        </w:tc>
      </w:tr>
      <w:tr w:rsidR="00520651" w:rsidRPr="001466DC" w14:paraId="56CC0EDA"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1B8DEA98" w14:textId="77777777" w:rsidR="00520651" w:rsidRPr="001466DC" w:rsidRDefault="00520651" w:rsidP="00520651">
            <w:pPr>
              <w:spacing w:before="0" w:line="240" w:lineRule="auto"/>
              <w:jc w:val="left"/>
              <w:rPr>
                <w:b w:val="0"/>
                <w:sz w:val="18"/>
                <w:szCs w:val="18"/>
                <w:lang w:val="en-US" w:eastAsia="en-US"/>
              </w:rPr>
            </w:pPr>
            <w:r w:rsidRPr="001466DC">
              <w:rPr>
                <w:b w:val="0"/>
                <w:sz w:val="18"/>
                <w:szCs w:val="18"/>
                <w:lang w:eastAsia="en-US"/>
              </w:rPr>
              <w:t>6. Սոցիալական նպաստներ և կենսաթոշակներ</w:t>
            </w:r>
          </w:p>
        </w:tc>
        <w:tc>
          <w:tcPr>
            <w:tcW w:w="1246" w:type="dxa"/>
            <w:tcBorders>
              <w:top w:val="nil"/>
              <w:left w:val="nil"/>
              <w:bottom w:val="single" w:sz="8" w:space="0" w:color="auto"/>
              <w:right w:val="nil"/>
            </w:tcBorders>
            <w:shd w:val="clear" w:color="000000" w:fill="FFFFFF"/>
            <w:vAlign w:val="center"/>
            <w:hideMark/>
          </w:tcPr>
          <w:p w14:paraId="2E6D87DC" w14:textId="6AC71424" w:rsidR="00520651" w:rsidRPr="001466DC" w:rsidRDefault="00520651" w:rsidP="00520651">
            <w:pPr>
              <w:jc w:val="center"/>
              <w:rPr>
                <w:b w:val="0"/>
                <w:sz w:val="18"/>
                <w:szCs w:val="18"/>
              </w:rPr>
            </w:pPr>
            <w:r w:rsidRPr="00520651">
              <w:rPr>
                <w:b w:val="0"/>
                <w:sz w:val="18"/>
                <w:szCs w:val="18"/>
              </w:rPr>
              <w:t>572.4</w:t>
            </w:r>
          </w:p>
        </w:tc>
        <w:tc>
          <w:tcPr>
            <w:tcW w:w="1335" w:type="dxa"/>
            <w:tcBorders>
              <w:top w:val="nil"/>
              <w:left w:val="nil"/>
              <w:bottom w:val="single" w:sz="8" w:space="0" w:color="auto"/>
              <w:right w:val="nil"/>
            </w:tcBorders>
            <w:shd w:val="clear" w:color="000000" w:fill="FFFFFF"/>
            <w:vAlign w:val="center"/>
            <w:hideMark/>
          </w:tcPr>
          <w:p w14:paraId="3B01D711" w14:textId="64AC655F" w:rsidR="00520651" w:rsidRPr="001466DC" w:rsidRDefault="00520651" w:rsidP="00520651">
            <w:pPr>
              <w:jc w:val="center"/>
              <w:rPr>
                <w:b w:val="0"/>
                <w:sz w:val="18"/>
                <w:szCs w:val="18"/>
              </w:rPr>
            </w:pPr>
            <w:r w:rsidRPr="00520651">
              <w:rPr>
                <w:b w:val="0"/>
                <w:sz w:val="18"/>
                <w:szCs w:val="18"/>
              </w:rPr>
              <w:t>643.8</w:t>
            </w:r>
          </w:p>
        </w:tc>
        <w:tc>
          <w:tcPr>
            <w:tcW w:w="1319" w:type="dxa"/>
            <w:gridSpan w:val="2"/>
            <w:tcBorders>
              <w:top w:val="nil"/>
              <w:left w:val="nil"/>
              <w:bottom w:val="single" w:sz="8" w:space="0" w:color="auto"/>
              <w:right w:val="nil"/>
            </w:tcBorders>
            <w:shd w:val="clear" w:color="000000" w:fill="FFFFFF"/>
            <w:vAlign w:val="center"/>
            <w:hideMark/>
          </w:tcPr>
          <w:p w14:paraId="50A48057" w14:textId="28CDBA97" w:rsidR="00520651" w:rsidRPr="001466DC" w:rsidRDefault="00520651" w:rsidP="00520651">
            <w:pPr>
              <w:jc w:val="center"/>
              <w:rPr>
                <w:b w:val="0"/>
                <w:sz w:val="18"/>
                <w:szCs w:val="18"/>
              </w:rPr>
            </w:pPr>
            <w:r w:rsidRPr="00520651">
              <w:rPr>
                <w:b w:val="0"/>
                <w:sz w:val="18"/>
                <w:szCs w:val="18"/>
              </w:rPr>
              <w:t>649.6</w:t>
            </w:r>
          </w:p>
        </w:tc>
        <w:tc>
          <w:tcPr>
            <w:tcW w:w="1127" w:type="dxa"/>
            <w:gridSpan w:val="2"/>
            <w:tcBorders>
              <w:top w:val="nil"/>
              <w:left w:val="nil"/>
              <w:bottom w:val="single" w:sz="8" w:space="0" w:color="auto"/>
              <w:right w:val="nil"/>
            </w:tcBorders>
            <w:shd w:val="clear" w:color="000000" w:fill="FFFFFF"/>
            <w:noWrap/>
            <w:vAlign w:val="center"/>
            <w:hideMark/>
          </w:tcPr>
          <w:p w14:paraId="51DC694A" w14:textId="69AD009D" w:rsidR="00520651" w:rsidRPr="001466DC" w:rsidRDefault="00520651" w:rsidP="00520651">
            <w:pPr>
              <w:rPr>
                <w:b w:val="0"/>
                <w:sz w:val="18"/>
                <w:szCs w:val="18"/>
              </w:rPr>
            </w:pPr>
            <w:r w:rsidRPr="00520651">
              <w:rPr>
                <w:b w:val="0"/>
                <w:sz w:val="18"/>
                <w:szCs w:val="18"/>
              </w:rPr>
              <w:t>712.8</w:t>
            </w:r>
          </w:p>
        </w:tc>
        <w:tc>
          <w:tcPr>
            <w:tcW w:w="740" w:type="dxa"/>
            <w:tcBorders>
              <w:top w:val="nil"/>
              <w:left w:val="nil"/>
              <w:bottom w:val="single" w:sz="8" w:space="0" w:color="auto"/>
              <w:right w:val="nil"/>
            </w:tcBorders>
            <w:shd w:val="clear" w:color="000000" w:fill="FFFFFF"/>
            <w:noWrap/>
            <w:vAlign w:val="center"/>
            <w:hideMark/>
          </w:tcPr>
          <w:p w14:paraId="0FC01400" w14:textId="14038ECD" w:rsidR="00520651" w:rsidRPr="00A023EA" w:rsidRDefault="00520651" w:rsidP="00520651">
            <w:pPr>
              <w:jc w:val="center"/>
              <w:rPr>
                <w:b w:val="0"/>
                <w:sz w:val="18"/>
                <w:szCs w:val="18"/>
              </w:rPr>
            </w:pPr>
            <w:r w:rsidRPr="00520651">
              <w:rPr>
                <w:b w:val="0"/>
                <w:sz w:val="18"/>
                <w:szCs w:val="18"/>
              </w:rPr>
              <w:t>878.2</w:t>
            </w:r>
          </w:p>
        </w:tc>
      </w:tr>
      <w:tr w:rsidR="00520651" w:rsidRPr="001466DC" w14:paraId="361207FF" w14:textId="77777777" w:rsidTr="00DE50C8">
        <w:trPr>
          <w:gridAfter w:val="1"/>
          <w:wAfter w:w="100" w:type="dxa"/>
          <w:trHeight w:val="285"/>
        </w:trPr>
        <w:tc>
          <w:tcPr>
            <w:tcW w:w="3161" w:type="dxa"/>
            <w:tcBorders>
              <w:top w:val="nil"/>
              <w:left w:val="nil"/>
              <w:bottom w:val="single" w:sz="8" w:space="0" w:color="auto"/>
              <w:right w:val="nil"/>
            </w:tcBorders>
            <w:shd w:val="clear" w:color="000000" w:fill="FFFFFF"/>
            <w:vAlign w:val="center"/>
            <w:hideMark/>
          </w:tcPr>
          <w:p w14:paraId="6D62ACA4" w14:textId="77777777" w:rsidR="00520651" w:rsidRPr="001466DC" w:rsidRDefault="00520651" w:rsidP="00520651">
            <w:pPr>
              <w:spacing w:before="0" w:line="240" w:lineRule="auto"/>
              <w:jc w:val="left"/>
              <w:rPr>
                <w:b w:val="0"/>
                <w:sz w:val="18"/>
                <w:szCs w:val="18"/>
                <w:lang w:val="en-US" w:eastAsia="en-US"/>
              </w:rPr>
            </w:pPr>
            <w:r w:rsidRPr="001466DC">
              <w:rPr>
                <w:b w:val="0"/>
                <w:sz w:val="18"/>
                <w:szCs w:val="18"/>
                <w:lang w:eastAsia="en-US"/>
              </w:rPr>
              <w:t>7. Այլ ծախսեր</w:t>
            </w:r>
          </w:p>
        </w:tc>
        <w:tc>
          <w:tcPr>
            <w:tcW w:w="1246" w:type="dxa"/>
            <w:tcBorders>
              <w:top w:val="nil"/>
              <w:left w:val="nil"/>
              <w:bottom w:val="single" w:sz="8" w:space="0" w:color="auto"/>
              <w:right w:val="nil"/>
            </w:tcBorders>
            <w:shd w:val="clear" w:color="000000" w:fill="FFFFFF"/>
            <w:vAlign w:val="center"/>
            <w:hideMark/>
          </w:tcPr>
          <w:p w14:paraId="7D85FB8C" w14:textId="37DDB1E5" w:rsidR="00520651" w:rsidRPr="001466DC" w:rsidRDefault="00520651" w:rsidP="00520651">
            <w:pPr>
              <w:jc w:val="center"/>
              <w:rPr>
                <w:b w:val="0"/>
                <w:sz w:val="18"/>
                <w:szCs w:val="18"/>
              </w:rPr>
            </w:pPr>
            <w:r w:rsidRPr="00520651">
              <w:rPr>
                <w:b w:val="0"/>
                <w:sz w:val="18"/>
                <w:szCs w:val="18"/>
              </w:rPr>
              <w:t>283.4</w:t>
            </w:r>
          </w:p>
        </w:tc>
        <w:tc>
          <w:tcPr>
            <w:tcW w:w="1335" w:type="dxa"/>
            <w:tcBorders>
              <w:top w:val="nil"/>
              <w:left w:val="nil"/>
              <w:bottom w:val="single" w:sz="8" w:space="0" w:color="auto"/>
              <w:right w:val="nil"/>
            </w:tcBorders>
            <w:shd w:val="clear" w:color="000000" w:fill="FFFFFF"/>
            <w:vAlign w:val="center"/>
            <w:hideMark/>
          </w:tcPr>
          <w:p w14:paraId="18102053" w14:textId="10B4BA96" w:rsidR="00520651" w:rsidRPr="001466DC" w:rsidRDefault="00520651" w:rsidP="00520651">
            <w:pPr>
              <w:jc w:val="center"/>
              <w:rPr>
                <w:b w:val="0"/>
                <w:sz w:val="18"/>
                <w:szCs w:val="18"/>
              </w:rPr>
            </w:pPr>
            <w:r w:rsidRPr="00520651">
              <w:rPr>
                <w:b w:val="0"/>
                <w:sz w:val="18"/>
                <w:szCs w:val="18"/>
              </w:rPr>
              <w:t>264.6</w:t>
            </w:r>
          </w:p>
        </w:tc>
        <w:tc>
          <w:tcPr>
            <w:tcW w:w="1319" w:type="dxa"/>
            <w:gridSpan w:val="2"/>
            <w:tcBorders>
              <w:top w:val="nil"/>
              <w:left w:val="nil"/>
              <w:bottom w:val="single" w:sz="8" w:space="0" w:color="auto"/>
              <w:right w:val="nil"/>
            </w:tcBorders>
            <w:shd w:val="clear" w:color="000000" w:fill="FFFFFF"/>
            <w:vAlign w:val="center"/>
            <w:hideMark/>
          </w:tcPr>
          <w:p w14:paraId="3DB4CA5F" w14:textId="005B24B8" w:rsidR="00520651" w:rsidRPr="001466DC" w:rsidRDefault="00520651" w:rsidP="00520651">
            <w:pPr>
              <w:jc w:val="center"/>
              <w:rPr>
                <w:b w:val="0"/>
                <w:sz w:val="18"/>
                <w:szCs w:val="18"/>
              </w:rPr>
            </w:pPr>
            <w:r w:rsidRPr="00520651">
              <w:rPr>
                <w:b w:val="0"/>
                <w:sz w:val="18"/>
                <w:szCs w:val="18"/>
              </w:rPr>
              <w:t>262.4</w:t>
            </w:r>
          </w:p>
        </w:tc>
        <w:tc>
          <w:tcPr>
            <w:tcW w:w="1127" w:type="dxa"/>
            <w:gridSpan w:val="2"/>
            <w:tcBorders>
              <w:top w:val="nil"/>
              <w:left w:val="nil"/>
              <w:bottom w:val="single" w:sz="8" w:space="0" w:color="auto"/>
              <w:right w:val="nil"/>
            </w:tcBorders>
            <w:shd w:val="clear" w:color="000000" w:fill="FFFFFF"/>
            <w:noWrap/>
            <w:vAlign w:val="center"/>
            <w:hideMark/>
          </w:tcPr>
          <w:p w14:paraId="5BC47D85" w14:textId="5FDA607D" w:rsidR="00520651" w:rsidRPr="001466DC" w:rsidRDefault="00520651" w:rsidP="00520651">
            <w:pPr>
              <w:rPr>
                <w:b w:val="0"/>
                <w:sz w:val="18"/>
                <w:szCs w:val="18"/>
              </w:rPr>
            </w:pPr>
            <w:r w:rsidRPr="00520651">
              <w:rPr>
                <w:b w:val="0"/>
                <w:sz w:val="18"/>
                <w:szCs w:val="18"/>
              </w:rPr>
              <w:t>291.8</w:t>
            </w:r>
          </w:p>
        </w:tc>
        <w:tc>
          <w:tcPr>
            <w:tcW w:w="740" w:type="dxa"/>
            <w:tcBorders>
              <w:top w:val="nil"/>
              <w:left w:val="nil"/>
              <w:bottom w:val="single" w:sz="8" w:space="0" w:color="auto"/>
              <w:right w:val="nil"/>
            </w:tcBorders>
            <w:shd w:val="clear" w:color="000000" w:fill="FFFFFF"/>
            <w:noWrap/>
            <w:vAlign w:val="center"/>
            <w:hideMark/>
          </w:tcPr>
          <w:p w14:paraId="1C103D72" w14:textId="445E6341" w:rsidR="00520651" w:rsidRPr="00A023EA" w:rsidRDefault="00520651" w:rsidP="00520651">
            <w:pPr>
              <w:jc w:val="center"/>
              <w:rPr>
                <w:b w:val="0"/>
                <w:sz w:val="18"/>
                <w:szCs w:val="18"/>
              </w:rPr>
            </w:pPr>
            <w:r w:rsidRPr="00520651">
              <w:rPr>
                <w:b w:val="0"/>
                <w:sz w:val="18"/>
                <w:szCs w:val="18"/>
              </w:rPr>
              <w:t>399.0</w:t>
            </w:r>
          </w:p>
        </w:tc>
      </w:tr>
    </w:tbl>
    <w:p w14:paraId="6CC98359" w14:textId="77777777" w:rsidR="001466DC" w:rsidRDefault="001466DC" w:rsidP="00E253F6">
      <w:pPr>
        <w:spacing w:before="0"/>
        <w:ind w:firstLine="475"/>
        <w:rPr>
          <w:rFonts w:cs="Sylfaen"/>
          <w:b w:val="0"/>
          <w:szCs w:val="22"/>
          <w:lang w:val="af-ZA" w:eastAsia="en-US"/>
        </w:rPr>
      </w:pPr>
    </w:p>
    <w:p w14:paraId="09C0D2A4" w14:textId="13DFE27C" w:rsidR="001466DC" w:rsidRPr="001466DC" w:rsidRDefault="001466DC" w:rsidP="0009272D">
      <w:pPr>
        <w:rPr>
          <w:b w:val="0"/>
          <w:szCs w:val="22"/>
          <w:lang w:val="af-ZA" w:eastAsia="en-US"/>
        </w:rPr>
      </w:pPr>
      <w:bookmarkStart w:id="259" w:name="_Toc83728879"/>
      <w:bookmarkStart w:id="260" w:name="_Toc114153061"/>
      <w:r w:rsidRPr="001466DC">
        <w:rPr>
          <w:b w:val="0"/>
          <w:szCs w:val="22"/>
          <w:lang w:val="af-ZA" w:eastAsia="en-US"/>
        </w:rPr>
        <w:t xml:space="preserve">2024 </w:t>
      </w:r>
      <w:r w:rsidRPr="007306F5">
        <w:rPr>
          <w:b w:val="0"/>
          <w:szCs w:val="22"/>
          <w:lang w:val="af-ZA" w:eastAsia="en-US"/>
        </w:rPr>
        <w:t>թվականի</w:t>
      </w:r>
      <w:r w:rsidRPr="001466DC">
        <w:rPr>
          <w:b w:val="0"/>
          <w:szCs w:val="22"/>
          <w:lang w:val="af-ZA" w:eastAsia="en-US"/>
        </w:rPr>
        <w:t xml:space="preserve"> </w:t>
      </w:r>
      <w:r w:rsidRPr="007306F5">
        <w:rPr>
          <w:b w:val="0"/>
          <w:szCs w:val="22"/>
          <w:lang w:val="af-ZA" w:eastAsia="en-US"/>
        </w:rPr>
        <w:t>ծախսերի</w:t>
      </w:r>
      <w:r w:rsidRPr="001466DC">
        <w:rPr>
          <w:b w:val="0"/>
          <w:szCs w:val="22"/>
          <w:lang w:val="af-ZA" w:eastAsia="en-US"/>
        </w:rPr>
        <w:t xml:space="preserve"> </w:t>
      </w:r>
      <w:r w:rsidRPr="007306F5">
        <w:rPr>
          <w:b w:val="0"/>
          <w:szCs w:val="22"/>
          <w:lang w:val="af-ZA" w:eastAsia="en-US"/>
        </w:rPr>
        <w:t>ընդհանուր</w:t>
      </w:r>
      <w:r w:rsidRPr="001466DC">
        <w:rPr>
          <w:b w:val="0"/>
          <w:szCs w:val="22"/>
          <w:lang w:val="af-ZA" w:eastAsia="en-US"/>
        </w:rPr>
        <w:t xml:space="preserve"> </w:t>
      </w:r>
      <w:r w:rsidRPr="007306F5">
        <w:rPr>
          <w:b w:val="0"/>
          <w:szCs w:val="22"/>
          <w:lang w:val="af-ZA" w:eastAsia="en-US"/>
        </w:rPr>
        <w:t>ծավալի</w:t>
      </w:r>
      <w:r w:rsidRPr="001466DC">
        <w:rPr>
          <w:b w:val="0"/>
          <w:szCs w:val="22"/>
          <w:lang w:val="af-ZA" w:eastAsia="en-US"/>
        </w:rPr>
        <w:t xml:space="preserve"> </w:t>
      </w:r>
      <w:r w:rsidR="007306F5" w:rsidRPr="007306F5">
        <w:rPr>
          <w:b w:val="0"/>
          <w:szCs w:val="22"/>
          <w:lang w:val="af-ZA" w:eastAsia="en-US"/>
        </w:rPr>
        <w:t>2</w:t>
      </w:r>
      <w:r w:rsidR="00BE6CCB">
        <w:rPr>
          <w:b w:val="0"/>
          <w:szCs w:val="22"/>
          <w:lang w:val="hy-AM" w:eastAsia="en-US"/>
        </w:rPr>
        <w:t>1</w:t>
      </w:r>
      <w:r w:rsidR="007306F5" w:rsidRPr="007306F5">
        <w:rPr>
          <w:b w:val="0"/>
          <w:szCs w:val="22"/>
          <w:lang w:val="af-ZA" w:eastAsia="en-US"/>
        </w:rPr>
        <w:t>.</w:t>
      </w:r>
      <w:r w:rsidR="00BE6CCB">
        <w:rPr>
          <w:b w:val="0"/>
          <w:szCs w:val="22"/>
          <w:lang w:val="hy-AM" w:eastAsia="en-US"/>
        </w:rPr>
        <w:t>7</w:t>
      </w:r>
      <w:r w:rsidRPr="007306F5">
        <w:rPr>
          <w:b w:val="0"/>
          <w:szCs w:val="22"/>
          <w:lang w:val="af-ZA" w:eastAsia="en-US"/>
        </w:rPr>
        <w:t xml:space="preserve"> %-ը</w:t>
      </w:r>
      <w:r w:rsidRPr="001466DC">
        <w:rPr>
          <w:b w:val="0"/>
          <w:szCs w:val="22"/>
          <w:lang w:val="af-ZA" w:eastAsia="en-US"/>
        </w:rPr>
        <w:t xml:space="preserve"> </w:t>
      </w:r>
      <w:r w:rsidRPr="007306F5">
        <w:rPr>
          <w:b w:val="0"/>
          <w:szCs w:val="22"/>
          <w:lang w:val="af-ZA" w:eastAsia="en-US"/>
        </w:rPr>
        <w:t>կկազմեն ոչ ֆինանսական ակտիվ</w:t>
      </w:r>
      <w:r w:rsidRPr="007306F5">
        <w:rPr>
          <w:b w:val="0"/>
          <w:szCs w:val="22"/>
          <w:lang w:val="af-ZA" w:eastAsia="en-US"/>
        </w:rPr>
        <w:softHyphen/>
        <w:t>ների գծով</w:t>
      </w:r>
      <w:r w:rsidRPr="001466DC">
        <w:rPr>
          <w:b w:val="0"/>
          <w:szCs w:val="22"/>
          <w:lang w:val="af-ZA" w:eastAsia="en-US"/>
        </w:rPr>
        <w:t xml:space="preserve"> </w:t>
      </w:r>
      <w:r w:rsidRPr="007306F5">
        <w:rPr>
          <w:b w:val="0"/>
          <w:szCs w:val="22"/>
          <w:lang w:val="af-ZA" w:eastAsia="en-US"/>
        </w:rPr>
        <w:t>ծախսերը, (202</w:t>
      </w:r>
      <w:r w:rsidR="00D154DF" w:rsidRPr="007306F5">
        <w:rPr>
          <w:b w:val="0"/>
          <w:szCs w:val="22"/>
          <w:lang w:val="af-ZA" w:eastAsia="en-US"/>
        </w:rPr>
        <w:t>3</w:t>
      </w:r>
      <w:r w:rsidRPr="007306F5">
        <w:rPr>
          <w:b w:val="0"/>
          <w:szCs w:val="22"/>
          <w:lang w:val="af-ZA" w:eastAsia="en-US"/>
        </w:rPr>
        <w:t xml:space="preserve"> թվականին այդ ցուցանիշը ծրագրվել է </w:t>
      </w:r>
      <w:r w:rsidR="00BD48A9">
        <w:rPr>
          <w:b w:val="0"/>
          <w:szCs w:val="22"/>
          <w:lang w:val="hy-AM" w:eastAsia="en-US"/>
        </w:rPr>
        <w:t>20.7</w:t>
      </w:r>
      <w:r w:rsidRPr="007306F5">
        <w:rPr>
          <w:b w:val="0"/>
          <w:szCs w:val="22"/>
          <w:lang w:val="af-ZA" w:eastAsia="en-US"/>
        </w:rPr>
        <w:t>%):</w:t>
      </w:r>
      <w:r w:rsidRPr="001466DC">
        <w:rPr>
          <w:b w:val="0"/>
          <w:szCs w:val="22"/>
          <w:lang w:val="af-ZA" w:eastAsia="en-US"/>
        </w:rPr>
        <w:t xml:space="preserve"> </w:t>
      </w:r>
    </w:p>
    <w:p w14:paraId="455D80DF" w14:textId="77777777" w:rsidR="001466DC" w:rsidRPr="001466DC" w:rsidRDefault="001466DC" w:rsidP="0009272D">
      <w:pPr>
        <w:rPr>
          <w:b w:val="0"/>
          <w:lang w:val="af-ZA"/>
        </w:rPr>
      </w:pPr>
      <w:r w:rsidRPr="001466DC">
        <w:rPr>
          <w:b w:val="0"/>
          <w:lang w:val="af-ZA"/>
        </w:rPr>
        <w:lastRenderedPageBreak/>
        <w:t>20</w:t>
      </w:r>
      <w:r w:rsidRPr="001466DC">
        <w:rPr>
          <w:b w:val="0"/>
          <w:lang w:val="hy-AM"/>
        </w:rPr>
        <w:t>2</w:t>
      </w:r>
      <w:r w:rsidRPr="001466DC">
        <w:rPr>
          <w:b w:val="0"/>
          <w:lang w:val="af-ZA"/>
        </w:rPr>
        <w:t xml:space="preserve">4 </w:t>
      </w:r>
      <w:r w:rsidRPr="001466DC">
        <w:rPr>
          <w:b w:val="0"/>
          <w:lang w:val="hy-AM"/>
        </w:rPr>
        <w:t>թվակա</w:t>
      </w:r>
      <w:r w:rsidRPr="001466DC">
        <w:rPr>
          <w:rFonts w:cs="Sylfaen"/>
          <w:b w:val="0"/>
          <w:lang w:val="hy-AM"/>
        </w:rPr>
        <w:t>նի</w:t>
      </w:r>
      <w:r w:rsidRPr="001466DC">
        <w:rPr>
          <w:b w:val="0"/>
          <w:lang w:val="af-ZA"/>
        </w:rPr>
        <w:t xml:space="preserve"> </w:t>
      </w:r>
      <w:r w:rsidRPr="001466DC">
        <w:rPr>
          <w:rFonts w:cs="Sylfaen"/>
          <w:b w:val="0"/>
          <w:lang w:val="hy-AM"/>
        </w:rPr>
        <w:t>ընթացքում</w:t>
      </w:r>
      <w:r w:rsidRPr="001466DC">
        <w:rPr>
          <w:rFonts w:cs="Sylfaen"/>
          <w:b w:val="0"/>
          <w:lang w:val="af-ZA"/>
        </w:rPr>
        <w:t xml:space="preserve"> </w:t>
      </w:r>
      <w:r w:rsidRPr="001466DC">
        <w:rPr>
          <w:rFonts w:cs="Sylfaen"/>
          <w:b w:val="0"/>
          <w:lang w:val="hy-AM"/>
        </w:rPr>
        <w:t>ոչ</w:t>
      </w:r>
      <w:r w:rsidRPr="001466DC">
        <w:rPr>
          <w:rFonts w:cs="Sylfaen"/>
          <w:b w:val="0"/>
          <w:lang w:val="af-ZA"/>
        </w:rPr>
        <w:t xml:space="preserve"> </w:t>
      </w:r>
      <w:r w:rsidRPr="001466DC">
        <w:rPr>
          <w:rFonts w:cs="Sylfaen"/>
          <w:b w:val="0"/>
          <w:lang w:val="hy-AM"/>
        </w:rPr>
        <w:t>ֆինանսական</w:t>
      </w:r>
      <w:r w:rsidRPr="001466DC">
        <w:rPr>
          <w:rFonts w:cs="Sylfaen"/>
          <w:b w:val="0"/>
          <w:lang w:val="af-ZA"/>
        </w:rPr>
        <w:t xml:space="preserve"> </w:t>
      </w:r>
      <w:r w:rsidRPr="001466DC">
        <w:rPr>
          <w:rFonts w:cs="Sylfaen"/>
          <w:b w:val="0"/>
          <w:lang w:val="hy-AM"/>
        </w:rPr>
        <w:t>ակտիվ</w:t>
      </w:r>
      <w:r w:rsidRPr="001466DC">
        <w:rPr>
          <w:rFonts w:cs="Sylfaen"/>
          <w:b w:val="0"/>
          <w:lang w:val="af-ZA"/>
        </w:rPr>
        <w:softHyphen/>
      </w:r>
      <w:r w:rsidRPr="001466DC">
        <w:rPr>
          <w:rFonts w:cs="Sylfaen"/>
          <w:b w:val="0"/>
          <w:lang w:val="hy-AM"/>
        </w:rPr>
        <w:t>ների</w:t>
      </w:r>
      <w:r w:rsidRPr="001466DC">
        <w:rPr>
          <w:rFonts w:cs="Sylfaen"/>
          <w:b w:val="0"/>
          <w:lang w:val="af-ZA"/>
        </w:rPr>
        <w:t xml:space="preserve"> </w:t>
      </w:r>
      <w:r w:rsidRPr="001466DC">
        <w:rPr>
          <w:rFonts w:cs="Sylfaen"/>
          <w:b w:val="0"/>
          <w:lang w:val="hy-AM"/>
        </w:rPr>
        <w:t>գծով</w:t>
      </w:r>
      <w:r w:rsidRPr="001466DC">
        <w:rPr>
          <w:rFonts w:cs="Sylfaen"/>
          <w:b w:val="0"/>
          <w:lang w:val="af-ZA"/>
        </w:rPr>
        <w:t xml:space="preserve"> </w:t>
      </w:r>
      <w:r w:rsidRPr="001466DC">
        <w:rPr>
          <w:rFonts w:cs="Sylfaen"/>
          <w:b w:val="0"/>
          <w:lang w:val="hy-AM"/>
        </w:rPr>
        <w:t>ծախսերի</w:t>
      </w:r>
      <w:r w:rsidRPr="001466DC">
        <w:rPr>
          <w:b w:val="0"/>
          <w:lang w:val="af-ZA"/>
        </w:rPr>
        <w:t xml:space="preserve"> </w:t>
      </w:r>
      <w:r w:rsidRPr="001466DC">
        <w:rPr>
          <w:b w:val="0"/>
          <w:lang w:val="hy-AM"/>
        </w:rPr>
        <w:t xml:space="preserve">ֆինանսավորման կառուցվածքում արձանագրվում է ներքին աղբյուրների ծավալի </w:t>
      </w:r>
      <w:r w:rsidRPr="001466DC">
        <w:rPr>
          <w:b w:val="0"/>
        </w:rPr>
        <w:t>ավելացում</w:t>
      </w:r>
      <w:r w:rsidRPr="001466DC">
        <w:rPr>
          <w:b w:val="0"/>
          <w:lang w:val="af-ZA"/>
        </w:rPr>
        <w:t xml:space="preserve">, </w:t>
      </w:r>
      <w:r w:rsidRPr="001466DC">
        <w:rPr>
          <w:b w:val="0"/>
          <w:lang w:val="en-US"/>
        </w:rPr>
        <w:t>իսկ</w:t>
      </w:r>
      <w:r w:rsidRPr="001466DC">
        <w:rPr>
          <w:b w:val="0"/>
          <w:lang w:val="af-ZA"/>
        </w:rPr>
        <w:t xml:space="preserve"> </w:t>
      </w:r>
      <w:r w:rsidRPr="001466DC">
        <w:rPr>
          <w:b w:val="0"/>
          <w:lang w:val="hy-AM"/>
        </w:rPr>
        <w:t>արտաքին աղբյուրների ծավալները նվազում:</w:t>
      </w:r>
      <w:r w:rsidRPr="001466DC">
        <w:rPr>
          <w:b w:val="0"/>
          <w:lang w:val="af-ZA"/>
        </w:rPr>
        <w:t xml:space="preserve"> </w:t>
      </w:r>
    </w:p>
    <w:p w14:paraId="2F25B3B2" w14:textId="77777777" w:rsidR="001466DC" w:rsidRPr="001466DC" w:rsidRDefault="001466DC" w:rsidP="001466DC">
      <w:pPr>
        <w:jc w:val="center"/>
        <w:rPr>
          <w:rFonts w:eastAsia="Calibri"/>
          <w:b w:val="0"/>
          <w:i/>
          <w:iCs/>
          <w:color w:val="000000"/>
          <w:lang w:val="hy-AM"/>
        </w:rPr>
      </w:pPr>
    </w:p>
    <w:p w14:paraId="546B6E7B" w14:textId="7BB2A0EE" w:rsidR="001466DC" w:rsidRDefault="001466DC" w:rsidP="001466DC">
      <w:pPr>
        <w:rPr>
          <w:b w:val="0"/>
          <w:bCs/>
          <w:szCs w:val="22"/>
          <w:lang w:val="hy-AM"/>
        </w:rPr>
      </w:pPr>
      <w:bookmarkStart w:id="261" w:name="_Toc115255405"/>
      <w:bookmarkStart w:id="262" w:name="_Toc152324825"/>
      <w:r w:rsidRPr="001466DC">
        <w:rPr>
          <w:bCs/>
          <w:szCs w:val="22"/>
          <w:lang w:val="hy-AM"/>
        </w:rPr>
        <w:t xml:space="preserve">Գծապատկեր </w:t>
      </w:r>
      <w:r w:rsidRPr="001466DC">
        <w:rPr>
          <w:bCs/>
          <w:szCs w:val="22"/>
          <w:lang w:val="hy-AM"/>
        </w:rPr>
        <w:fldChar w:fldCharType="begin"/>
      </w:r>
      <w:r w:rsidRPr="001466DC">
        <w:rPr>
          <w:bCs/>
          <w:szCs w:val="22"/>
          <w:lang w:val="hy-AM"/>
        </w:rPr>
        <w:instrText xml:space="preserve"> SEQ Գծապատկեր \* ARABIC </w:instrText>
      </w:r>
      <w:r w:rsidRPr="001466DC">
        <w:rPr>
          <w:bCs/>
          <w:szCs w:val="22"/>
          <w:lang w:val="hy-AM"/>
        </w:rPr>
        <w:fldChar w:fldCharType="separate"/>
      </w:r>
      <w:r w:rsidR="00DB4E68">
        <w:rPr>
          <w:bCs/>
          <w:noProof/>
          <w:szCs w:val="22"/>
          <w:lang w:val="hy-AM"/>
        </w:rPr>
        <w:t>4</w:t>
      </w:r>
      <w:r w:rsidRPr="001466DC">
        <w:rPr>
          <w:bCs/>
          <w:szCs w:val="22"/>
          <w:lang w:val="hy-AM"/>
        </w:rPr>
        <w:fldChar w:fldCharType="end"/>
      </w:r>
      <w:r w:rsidRPr="001466DC">
        <w:rPr>
          <w:bCs/>
          <w:szCs w:val="22"/>
          <w:lang w:val="hy-AM"/>
        </w:rPr>
        <w:t>.</w:t>
      </w:r>
      <w:r w:rsidRPr="001466DC">
        <w:rPr>
          <w:b w:val="0"/>
          <w:bCs/>
          <w:szCs w:val="22"/>
          <w:lang w:val="hy-AM"/>
        </w:rPr>
        <w:t xml:space="preserve"> 2020-2024թթ</w:t>
      </w:r>
      <w:r w:rsidRPr="001466DC">
        <w:rPr>
          <w:rFonts w:ascii="Cambria Math" w:hAnsi="Cambria Math" w:cs="Cambria Math"/>
          <w:b w:val="0"/>
          <w:bCs/>
          <w:szCs w:val="22"/>
          <w:lang w:val="hy-AM"/>
        </w:rPr>
        <w:t>․</w:t>
      </w:r>
      <w:r w:rsidRPr="001466DC">
        <w:rPr>
          <w:b w:val="0"/>
          <w:bCs/>
          <w:szCs w:val="22"/>
          <w:lang w:val="hy-AM"/>
        </w:rPr>
        <w:t>ոչ ֆինանսական ակտիվ</w:t>
      </w:r>
      <w:r w:rsidRPr="001466DC">
        <w:rPr>
          <w:b w:val="0"/>
          <w:bCs/>
          <w:szCs w:val="22"/>
          <w:lang w:val="hy-AM"/>
        </w:rPr>
        <w:softHyphen/>
        <w:t>ների գծով ծախսերի ֆինանսավորման կառուցվածքը</w:t>
      </w:r>
      <w:bookmarkEnd w:id="261"/>
      <w:bookmarkEnd w:id="262"/>
    </w:p>
    <w:p w14:paraId="387A5514" w14:textId="77777777" w:rsidR="007306F5" w:rsidRDefault="007306F5" w:rsidP="001466DC">
      <w:pPr>
        <w:rPr>
          <w:b w:val="0"/>
          <w:bCs/>
          <w:szCs w:val="22"/>
          <w:lang w:val="hy-AM"/>
        </w:rPr>
      </w:pPr>
    </w:p>
    <w:p w14:paraId="481EA56D" w14:textId="77777777" w:rsidR="007306F5" w:rsidRDefault="007306F5" w:rsidP="001466DC">
      <w:pPr>
        <w:rPr>
          <w:b w:val="0"/>
          <w:bCs/>
          <w:szCs w:val="22"/>
          <w:lang w:val="hy-AM"/>
        </w:rPr>
      </w:pPr>
      <w:r w:rsidRPr="00933A29">
        <w:rPr>
          <w:noProof/>
          <w:lang w:val="en-US" w:eastAsia="en-US"/>
        </w:rPr>
        <w:drawing>
          <wp:inline distT="0" distB="0" distL="0" distR="0" wp14:anchorId="61CA500F" wp14:editId="41E2CAA3">
            <wp:extent cx="6195695" cy="4252500"/>
            <wp:effectExtent l="0" t="0" r="14605" b="1524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ABD132C" w14:textId="77777777" w:rsidR="007306F5" w:rsidRPr="001466DC" w:rsidRDefault="007306F5" w:rsidP="001466DC">
      <w:pPr>
        <w:rPr>
          <w:b w:val="0"/>
          <w:bCs/>
          <w:szCs w:val="22"/>
          <w:lang w:val="hy-AM"/>
        </w:rPr>
      </w:pPr>
    </w:p>
    <w:p w14:paraId="22957141" w14:textId="77777777" w:rsidR="001466DC" w:rsidRPr="001466DC" w:rsidRDefault="001466DC" w:rsidP="001466DC">
      <w:pPr>
        <w:rPr>
          <w:b w:val="0"/>
          <w:bCs/>
          <w:szCs w:val="22"/>
          <w:lang w:val="hy-AM"/>
        </w:rPr>
      </w:pPr>
    </w:p>
    <w:p w14:paraId="5A267E2A" w14:textId="77777777" w:rsidR="001466DC" w:rsidRPr="001466DC" w:rsidRDefault="001466DC" w:rsidP="001466DC">
      <w:pPr>
        <w:rPr>
          <w:rFonts w:cs="Sylfaen"/>
          <w:b w:val="0"/>
          <w:lang w:val="hy-AM"/>
        </w:rPr>
      </w:pPr>
      <w:r w:rsidRPr="001466DC">
        <w:rPr>
          <w:lang w:val="hy-AM"/>
        </w:rPr>
        <w:t xml:space="preserve"> </w:t>
      </w:r>
      <w:r w:rsidRPr="001466DC">
        <w:rPr>
          <w:rFonts w:cs="Sylfaen"/>
          <w:b w:val="0"/>
          <w:lang w:val="hy-AM"/>
        </w:rPr>
        <w:t>Ոչ</w:t>
      </w:r>
      <w:r w:rsidRPr="001466DC">
        <w:rPr>
          <w:b w:val="0"/>
          <w:lang w:val="hy-AM"/>
        </w:rPr>
        <w:t xml:space="preserve"> </w:t>
      </w:r>
      <w:r w:rsidRPr="001466DC">
        <w:rPr>
          <w:rFonts w:cs="Sylfaen"/>
          <w:b w:val="0"/>
          <w:lang w:val="hy-AM"/>
        </w:rPr>
        <w:t>ֆինանսական</w:t>
      </w:r>
      <w:r w:rsidRPr="001466DC">
        <w:rPr>
          <w:b w:val="0"/>
          <w:lang w:val="hy-AM"/>
        </w:rPr>
        <w:t xml:space="preserve"> </w:t>
      </w:r>
      <w:r w:rsidRPr="001466DC">
        <w:rPr>
          <w:rFonts w:cs="Sylfaen"/>
          <w:b w:val="0"/>
          <w:lang w:val="hy-AM"/>
        </w:rPr>
        <w:t>ակտիվների</w:t>
      </w:r>
      <w:r w:rsidRPr="001466DC">
        <w:rPr>
          <w:b w:val="0"/>
          <w:lang w:val="hy-AM"/>
        </w:rPr>
        <w:t xml:space="preserve"> </w:t>
      </w:r>
      <w:r w:rsidRPr="001466DC">
        <w:rPr>
          <w:rFonts w:cs="Sylfaen"/>
          <w:b w:val="0"/>
          <w:lang w:val="hy-AM"/>
        </w:rPr>
        <w:t>գծով</w:t>
      </w:r>
      <w:r w:rsidRPr="001466DC">
        <w:rPr>
          <w:b w:val="0"/>
          <w:lang w:val="hy-AM"/>
        </w:rPr>
        <w:t xml:space="preserve"> </w:t>
      </w:r>
      <w:r w:rsidRPr="001466DC">
        <w:rPr>
          <w:rFonts w:cs="Sylfaen"/>
          <w:b w:val="0"/>
          <w:lang w:val="hy-AM"/>
        </w:rPr>
        <w:t>ծախսերի</w:t>
      </w:r>
      <w:r w:rsidRPr="001466DC">
        <w:rPr>
          <w:b w:val="0"/>
          <w:lang w:val="hy-AM"/>
        </w:rPr>
        <w:t xml:space="preserve"> </w:t>
      </w:r>
      <w:r w:rsidRPr="001466DC">
        <w:rPr>
          <w:rFonts w:cs="Sylfaen"/>
          <w:b w:val="0"/>
          <w:lang w:val="hy-AM"/>
        </w:rPr>
        <w:t>իրակա</w:t>
      </w:r>
      <w:r w:rsidRPr="001466DC">
        <w:rPr>
          <w:rFonts w:cs="Sylfaen"/>
          <w:b w:val="0"/>
          <w:lang w:val="hy-AM"/>
        </w:rPr>
        <w:softHyphen/>
        <w:t>նացման</w:t>
      </w:r>
      <w:r w:rsidRPr="001466DC">
        <w:rPr>
          <w:b w:val="0"/>
          <w:lang w:val="hy-AM"/>
        </w:rPr>
        <w:t xml:space="preserve"> </w:t>
      </w:r>
      <w:r w:rsidRPr="001466DC">
        <w:rPr>
          <w:rFonts w:cs="Sylfaen"/>
          <w:b w:val="0"/>
          <w:lang w:val="hy-AM"/>
        </w:rPr>
        <w:t>գե</w:t>
      </w:r>
      <w:r w:rsidRPr="001466DC">
        <w:rPr>
          <w:rFonts w:cs="Sylfaen"/>
          <w:b w:val="0"/>
          <w:lang w:val="hy-AM"/>
        </w:rPr>
        <w:softHyphen/>
        <w:t>րա</w:t>
      </w:r>
      <w:r w:rsidRPr="001466DC">
        <w:rPr>
          <w:rFonts w:cs="Sylfaen"/>
          <w:b w:val="0"/>
          <w:lang w:val="hy-AM"/>
        </w:rPr>
        <w:softHyphen/>
      </w:r>
      <w:r w:rsidRPr="001466DC">
        <w:rPr>
          <w:rFonts w:cs="Sylfaen"/>
          <w:b w:val="0"/>
          <w:lang w:val="hy-AM"/>
        </w:rPr>
        <w:softHyphen/>
        <w:t>կայու</w:t>
      </w:r>
      <w:r w:rsidRPr="001466DC">
        <w:rPr>
          <w:rFonts w:cs="Sylfaen"/>
          <w:b w:val="0"/>
          <w:lang w:val="hy-AM"/>
        </w:rPr>
        <w:softHyphen/>
        <w:t>թյունները</w:t>
      </w:r>
      <w:r w:rsidRPr="001466DC">
        <w:rPr>
          <w:b w:val="0"/>
          <w:lang w:val="hy-AM"/>
        </w:rPr>
        <w:t xml:space="preserve"> հանդիսանալու են ինչպես ենթակառուցվածքային, այնպես էլ սոցիալական ոլորտներում ներդրումները</w:t>
      </w:r>
      <w:r w:rsidRPr="001466DC">
        <w:rPr>
          <w:rFonts w:cs="Sylfaen"/>
          <w:b w:val="0"/>
          <w:lang w:val="hy-AM"/>
        </w:rPr>
        <w:t>:</w:t>
      </w:r>
    </w:p>
    <w:p w14:paraId="11C2E9E7" w14:textId="3315AE2B" w:rsidR="001466DC" w:rsidRDefault="001466DC" w:rsidP="001466DC">
      <w:pPr>
        <w:rPr>
          <w:rFonts w:cs="Sylfaen"/>
          <w:b w:val="0"/>
          <w:lang w:val="hy-AM"/>
        </w:rPr>
      </w:pPr>
    </w:p>
    <w:p w14:paraId="61C77C83" w14:textId="3D00A613" w:rsidR="00DE50C8" w:rsidRDefault="00DE50C8" w:rsidP="001466DC">
      <w:pPr>
        <w:rPr>
          <w:rFonts w:cs="Sylfaen"/>
          <w:b w:val="0"/>
          <w:lang w:val="hy-AM"/>
        </w:rPr>
      </w:pPr>
    </w:p>
    <w:p w14:paraId="5CF003BD" w14:textId="77777777" w:rsidR="00DE50C8" w:rsidRPr="001466DC" w:rsidRDefault="00DE50C8" w:rsidP="001466DC">
      <w:pPr>
        <w:rPr>
          <w:rFonts w:cs="Sylfaen"/>
          <w:b w:val="0"/>
          <w:lang w:val="hy-AM"/>
        </w:rPr>
      </w:pPr>
    </w:p>
    <w:p w14:paraId="7D93F1D2" w14:textId="58578E3B" w:rsidR="001466DC" w:rsidRPr="00AA7CE6" w:rsidRDefault="00AA7CE6" w:rsidP="00AA7CE6">
      <w:pPr>
        <w:rPr>
          <w:b w:val="0"/>
          <w:bCs/>
          <w:szCs w:val="22"/>
          <w:lang w:val="hy-AM"/>
        </w:rPr>
      </w:pPr>
      <w:bookmarkStart w:id="263" w:name="_Toc83928949"/>
      <w:bookmarkStart w:id="264" w:name="_Toc115255383"/>
      <w:bookmarkStart w:id="265" w:name="_Toc152324773"/>
      <w:r w:rsidRPr="00AA7CE6">
        <w:rPr>
          <w:szCs w:val="22"/>
          <w:lang w:val="hy-AM"/>
        </w:rPr>
        <w:lastRenderedPageBreak/>
        <w:t xml:space="preserve">Աղյուսակ </w:t>
      </w:r>
      <w:r w:rsidRPr="00AA7CE6">
        <w:rPr>
          <w:szCs w:val="22"/>
          <w:lang w:val="hy-AM"/>
        </w:rPr>
        <w:fldChar w:fldCharType="begin"/>
      </w:r>
      <w:r w:rsidRPr="00AA7CE6">
        <w:rPr>
          <w:szCs w:val="22"/>
          <w:lang w:val="hy-AM"/>
        </w:rPr>
        <w:instrText xml:space="preserve"> SEQ Աղյուսակ \* ARABIC </w:instrText>
      </w:r>
      <w:r w:rsidRPr="00AA7CE6">
        <w:rPr>
          <w:szCs w:val="22"/>
          <w:lang w:val="hy-AM"/>
        </w:rPr>
        <w:fldChar w:fldCharType="separate"/>
      </w:r>
      <w:r w:rsidR="00DB4E68">
        <w:rPr>
          <w:noProof/>
          <w:szCs w:val="22"/>
          <w:lang w:val="hy-AM"/>
        </w:rPr>
        <w:t>11</w:t>
      </w:r>
      <w:r w:rsidRPr="00AA7CE6">
        <w:rPr>
          <w:szCs w:val="22"/>
          <w:lang w:val="hy-AM"/>
        </w:rPr>
        <w:fldChar w:fldCharType="end"/>
      </w:r>
      <w:r w:rsidRPr="00AA7CE6">
        <w:rPr>
          <w:szCs w:val="22"/>
          <w:lang w:val="hy-AM"/>
        </w:rPr>
        <w:t xml:space="preserve">. </w:t>
      </w:r>
      <w:r w:rsidR="001466DC" w:rsidRPr="00AA7CE6">
        <w:rPr>
          <w:b w:val="0"/>
          <w:bCs/>
          <w:szCs w:val="22"/>
          <w:lang w:val="hy-AM"/>
        </w:rPr>
        <w:t xml:space="preserve">Աղյուսակ </w:t>
      </w:r>
      <w:r w:rsidR="008345CF" w:rsidRPr="00AA7CE6">
        <w:rPr>
          <w:b w:val="0"/>
          <w:bCs/>
          <w:szCs w:val="22"/>
          <w:lang w:val="hy-AM"/>
        </w:rPr>
        <w:t>1</w:t>
      </w:r>
      <w:r w:rsidR="00A31F90" w:rsidRPr="00AA7CE6">
        <w:rPr>
          <w:b w:val="0"/>
          <w:bCs/>
          <w:szCs w:val="22"/>
          <w:lang w:val="hy-AM"/>
        </w:rPr>
        <w:t>0</w:t>
      </w:r>
      <w:r w:rsidR="008345CF" w:rsidRPr="00AA7CE6">
        <w:rPr>
          <w:b w:val="0"/>
          <w:bCs/>
          <w:szCs w:val="22"/>
          <w:lang w:val="hy-AM"/>
        </w:rPr>
        <w:t>. 2020-2024</w:t>
      </w:r>
      <w:r w:rsidR="001466DC" w:rsidRPr="00AA7CE6">
        <w:rPr>
          <w:b w:val="0"/>
          <w:bCs/>
          <w:szCs w:val="22"/>
          <w:lang w:val="hy-AM"/>
        </w:rPr>
        <w:t>թթ. ոչ ֆինանսական ակտիվ</w:t>
      </w:r>
      <w:r w:rsidR="001466DC" w:rsidRPr="00AA7CE6">
        <w:rPr>
          <w:b w:val="0"/>
          <w:bCs/>
          <w:szCs w:val="22"/>
          <w:lang w:val="hy-AM"/>
        </w:rPr>
        <w:softHyphen/>
        <w:t>ների գծով ծախսերի ֆինանսավորման կառուցվածը ըստ արտաքին և ներքին աղբյուրների</w:t>
      </w:r>
      <w:bookmarkEnd w:id="263"/>
      <w:bookmarkEnd w:id="264"/>
      <w:r w:rsidR="001466DC" w:rsidRPr="00AA7CE6">
        <w:rPr>
          <w:b w:val="0"/>
          <w:bCs/>
          <w:szCs w:val="22"/>
          <w:lang w:val="hy-AM"/>
        </w:rPr>
        <w:t>, մլրդ դրամ</w:t>
      </w:r>
      <w:bookmarkEnd w:id="265"/>
    </w:p>
    <w:p w14:paraId="2FB0FA41" w14:textId="77777777" w:rsidR="008345CF" w:rsidRPr="00E960A7" w:rsidRDefault="008345CF" w:rsidP="001466DC">
      <w:pPr>
        <w:rPr>
          <w:b w:val="0"/>
          <w:bCs/>
          <w:szCs w:val="22"/>
          <w:lang w:val="hy-AM"/>
        </w:rPr>
      </w:pPr>
    </w:p>
    <w:tbl>
      <w:tblPr>
        <w:tblW w:w="8972" w:type="dxa"/>
        <w:tblInd w:w="-10" w:type="dxa"/>
        <w:tblBorders>
          <w:top w:val="single" w:sz="4" w:space="0" w:color="auto"/>
          <w:bottom w:val="single" w:sz="4" w:space="0" w:color="auto"/>
          <w:insideH w:val="single" w:sz="4" w:space="0" w:color="auto"/>
        </w:tblBorders>
        <w:tblLook w:val="04A0" w:firstRow="1" w:lastRow="0" w:firstColumn="1" w:lastColumn="0" w:noHBand="0" w:noVBand="1"/>
      </w:tblPr>
      <w:tblGrid>
        <w:gridCol w:w="3218"/>
        <w:gridCol w:w="1177"/>
        <w:gridCol w:w="992"/>
        <w:gridCol w:w="992"/>
        <w:gridCol w:w="1276"/>
        <w:gridCol w:w="1317"/>
      </w:tblGrid>
      <w:tr w:rsidR="008345CF" w:rsidRPr="001466DC" w14:paraId="2D99C437" w14:textId="77777777" w:rsidTr="004B410F">
        <w:trPr>
          <w:trHeight w:val="304"/>
        </w:trPr>
        <w:tc>
          <w:tcPr>
            <w:tcW w:w="3218" w:type="dxa"/>
            <w:shd w:val="clear" w:color="auto" w:fill="auto"/>
            <w:vAlign w:val="center"/>
            <w:hideMark/>
          </w:tcPr>
          <w:p w14:paraId="337D57EC" w14:textId="77777777" w:rsidR="008345CF" w:rsidRPr="0002700E" w:rsidRDefault="008345CF" w:rsidP="001466DC">
            <w:pPr>
              <w:spacing w:before="0" w:line="240" w:lineRule="auto"/>
              <w:jc w:val="right"/>
              <w:rPr>
                <w:b w:val="0"/>
                <w:bCs/>
                <w:color w:val="000000"/>
                <w:sz w:val="20"/>
                <w:szCs w:val="20"/>
                <w:lang w:val="en-US" w:eastAsia="en-US"/>
              </w:rPr>
            </w:pPr>
            <w:r w:rsidRPr="0002700E">
              <w:rPr>
                <w:b w:val="0"/>
                <w:bCs/>
                <w:i/>
                <w:color w:val="5B9BD5"/>
                <w:szCs w:val="22"/>
                <w:lang w:val="hy-AM"/>
              </w:rPr>
              <w:br w:type="page"/>
            </w:r>
            <w:r w:rsidRPr="0002700E">
              <w:rPr>
                <w:b w:val="0"/>
                <w:bCs/>
                <w:color w:val="000000"/>
                <w:sz w:val="20"/>
                <w:szCs w:val="20"/>
                <w:lang w:val="en-US" w:eastAsia="en-US"/>
              </w:rPr>
              <w:t>Ցուցանիշներ</w:t>
            </w:r>
          </w:p>
        </w:tc>
        <w:tc>
          <w:tcPr>
            <w:tcW w:w="1177" w:type="dxa"/>
            <w:shd w:val="clear" w:color="auto" w:fill="auto"/>
            <w:vAlign w:val="center"/>
            <w:hideMark/>
          </w:tcPr>
          <w:p w14:paraId="6AA2B713" w14:textId="77777777" w:rsidR="008345CF" w:rsidRPr="0002700E" w:rsidRDefault="008345CF" w:rsidP="001466DC">
            <w:pPr>
              <w:spacing w:before="0" w:line="240" w:lineRule="auto"/>
              <w:jc w:val="center"/>
              <w:rPr>
                <w:b w:val="0"/>
                <w:bCs/>
                <w:color w:val="000000"/>
                <w:sz w:val="20"/>
                <w:szCs w:val="20"/>
                <w:lang w:val="en-US" w:eastAsia="en-US"/>
              </w:rPr>
            </w:pPr>
            <w:r w:rsidRPr="0002700E">
              <w:rPr>
                <w:b w:val="0"/>
                <w:bCs/>
                <w:color w:val="000000"/>
                <w:sz w:val="20"/>
                <w:szCs w:val="20"/>
                <w:lang w:val="en-US" w:eastAsia="en-US"/>
              </w:rPr>
              <w:t>2020թ.</w:t>
            </w:r>
          </w:p>
        </w:tc>
        <w:tc>
          <w:tcPr>
            <w:tcW w:w="992" w:type="dxa"/>
            <w:shd w:val="clear" w:color="auto" w:fill="auto"/>
            <w:vAlign w:val="center"/>
            <w:hideMark/>
          </w:tcPr>
          <w:p w14:paraId="7F563289" w14:textId="77777777" w:rsidR="008345CF" w:rsidRPr="0002700E" w:rsidRDefault="008345CF" w:rsidP="001466DC">
            <w:pPr>
              <w:spacing w:before="0" w:line="240" w:lineRule="auto"/>
              <w:jc w:val="center"/>
              <w:rPr>
                <w:b w:val="0"/>
                <w:bCs/>
                <w:color w:val="000000"/>
                <w:sz w:val="20"/>
                <w:szCs w:val="20"/>
                <w:lang w:val="en-US" w:eastAsia="en-US"/>
              </w:rPr>
            </w:pPr>
            <w:r w:rsidRPr="0002700E">
              <w:rPr>
                <w:b w:val="0"/>
                <w:bCs/>
                <w:color w:val="000000"/>
                <w:sz w:val="20"/>
                <w:szCs w:val="20"/>
                <w:lang w:val="en-US" w:eastAsia="en-US"/>
              </w:rPr>
              <w:t>2021թ.</w:t>
            </w:r>
          </w:p>
        </w:tc>
        <w:tc>
          <w:tcPr>
            <w:tcW w:w="992" w:type="dxa"/>
            <w:shd w:val="clear" w:color="auto" w:fill="auto"/>
            <w:vAlign w:val="center"/>
            <w:hideMark/>
          </w:tcPr>
          <w:p w14:paraId="28DD9B6C" w14:textId="77777777" w:rsidR="008345CF" w:rsidRPr="0002700E" w:rsidRDefault="008345CF" w:rsidP="001466DC">
            <w:pPr>
              <w:spacing w:before="0" w:line="240" w:lineRule="auto"/>
              <w:jc w:val="center"/>
              <w:rPr>
                <w:b w:val="0"/>
                <w:bCs/>
                <w:color w:val="000000"/>
                <w:sz w:val="20"/>
                <w:szCs w:val="20"/>
                <w:lang w:val="en-US" w:eastAsia="en-US"/>
              </w:rPr>
            </w:pPr>
            <w:r w:rsidRPr="0002700E">
              <w:rPr>
                <w:b w:val="0"/>
                <w:bCs/>
                <w:color w:val="000000"/>
                <w:sz w:val="20"/>
                <w:szCs w:val="20"/>
                <w:lang w:val="en-US" w:eastAsia="en-US"/>
              </w:rPr>
              <w:t>2022թ.</w:t>
            </w:r>
          </w:p>
        </w:tc>
        <w:tc>
          <w:tcPr>
            <w:tcW w:w="1276" w:type="dxa"/>
            <w:shd w:val="clear" w:color="auto" w:fill="auto"/>
            <w:vAlign w:val="center"/>
            <w:hideMark/>
          </w:tcPr>
          <w:p w14:paraId="58A03634" w14:textId="77777777" w:rsidR="008345CF" w:rsidRPr="0002700E" w:rsidRDefault="008345CF" w:rsidP="001466DC">
            <w:pPr>
              <w:spacing w:before="0" w:line="240" w:lineRule="auto"/>
              <w:jc w:val="center"/>
              <w:rPr>
                <w:b w:val="0"/>
                <w:bCs/>
                <w:color w:val="000000"/>
                <w:sz w:val="20"/>
                <w:szCs w:val="20"/>
                <w:lang w:val="en-US" w:eastAsia="en-US"/>
              </w:rPr>
            </w:pPr>
            <w:r w:rsidRPr="0002700E">
              <w:rPr>
                <w:b w:val="0"/>
                <w:bCs/>
                <w:color w:val="000000"/>
                <w:sz w:val="20"/>
                <w:szCs w:val="20"/>
                <w:lang w:val="en-US" w:eastAsia="en-US"/>
              </w:rPr>
              <w:t>2023թ.</w:t>
            </w:r>
          </w:p>
        </w:tc>
        <w:tc>
          <w:tcPr>
            <w:tcW w:w="1317" w:type="dxa"/>
            <w:shd w:val="clear" w:color="auto" w:fill="auto"/>
            <w:vAlign w:val="center"/>
            <w:hideMark/>
          </w:tcPr>
          <w:p w14:paraId="154C5D08" w14:textId="77777777" w:rsidR="008345CF" w:rsidRPr="0002700E" w:rsidRDefault="008345CF" w:rsidP="001466DC">
            <w:pPr>
              <w:spacing w:before="0" w:line="240" w:lineRule="auto"/>
              <w:jc w:val="center"/>
              <w:rPr>
                <w:b w:val="0"/>
                <w:bCs/>
                <w:color w:val="000000"/>
                <w:sz w:val="20"/>
                <w:szCs w:val="20"/>
                <w:lang w:val="en-US" w:eastAsia="en-US"/>
              </w:rPr>
            </w:pPr>
            <w:r w:rsidRPr="0002700E">
              <w:rPr>
                <w:b w:val="0"/>
                <w:bCs/>
                <w:color w:val="000000"/>
                <w:sz w:val="20"/>
                <w:szCs w:val="20"/>
                <w:lang w:val="en-US" w:eastAsia="en-US"/>
              </w:rPr>
              <w:t>2024թ.</w:t>
            </w:r>
          </w:p>
        </w:tc>
      </w:tr>
      <w:tr w:rsidR="00204FE0" w:rsidRPr="001466DC" w14:paraId="71516E6F" w14:textId="77777777" w:rsidTr="004B410F">
        <w:trPr>
          <w:trHeight w:val="289"/>
        </w:trPr>
        <w:tc>
          <w:tcPr>
            <w:tcW w:w="3218" w:type="dxa"/>
            <w:shd w:val="clear" w:color="auto" w:fill="auto"/>
            <w:vAlign w:val="center"/>
            <w:hideMark/>
          </w:tcPr>
          <w:p w14:paraId="7F093051"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Ընդամենը </w:t>
            </w:r>
          </w:p>
        </w:tc>
        <w:tc>
          <w:tcPr>
            <w:tcW w:w="1177" w:type="dxa"/>
            <w:shd w:val="clear" w:color="auto" w:fill="auto"/>
            <w:vAlign w:val="center"/>
            <w:hideMark/>
          </w:tcPr>
          <w:p w14:paraId="1E8F986D"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227.7</w:t>
            </w:r>
          </w:p>
        </w:tc>
        <w:tc>
          <w:tcPr>
            <w:tcW w:w="992" w:type="dxa"/>
            <w:shd w:val="clear" w:color="auto" w:fill="auto"/>
            <w:vAlign w:val="center"/>
            <w:hideMark/>
          </w:tcPr>
          <w:p w14:paraId="05D750F6"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215.9</w:t>
            </w:r>
          </w:p>
        </w:tc>
        <w:tc>
          <w:tcPr>
            <w:tcW w:w="992" w:type="dxa"/>
            <w:shd w:val="clear" w:color="auto" w:fill="auto"/>
            <w:vAlign w:val="center"/>
            <w:hideMark/>
          </w:tcPr>
          <w:p w14:paraId="3049AC29"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351.9</w:t>
            </w:r>
          </w:p>
        </w:tc>
        <w:tc>
          <w:tcPr>
            <w:tcW w:w="1276" w:type="dxa"/>
            <w:shd w:val="clear" w:color="auto" w:fill="auto"/>
            <w:vAlign w:val="center"/>
            <w:hideMark/>
          </w:tcPr>
          <w:p w14:paraId="155E5C9E"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557.7</w:t>
            </w:r>
          </w:p>
        </w:tc>
        <w:tc>
          <w:tcPr>
            <w:tcW w:w="1317" w:type="dxa"/>
            <w:shd w:val="clear" w:color="auto" w:fill="auto"/>
            <w:vAlign w:val="center"/>
            <w:hideMark/>
          </w:tcPr>
          <w:p w14:paraId="6013C3F5" w14:textId="2A24210C"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695.3</w:t>
            </w:r>
          </w:p>
        </w:tc>
      </w:tr>
      <w:tr w:rsidR="00204FE0" w:rsidRPr="001466DC" w14:paraId="654A4D9A" w14:textId="77777777" w:rsidTr="004B410F">
        <w:trPr>
          <w:trHeight w:val="289"/>
        </w:trPr>
        <w:tc>
          <w:tcPr>
            <w:tcW w:w="3218" w:type="dxa"/>
            <w:shd w:val="clear" w:color="auto" w:fill="auto"/>
            <w:vAlign w:val="center"/>
            <w:hideMark/>
          </w:tcPr>
          <w:p w14:paraId="5C068FC2"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02C5F400"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44.3</w:t>
            </w:r>
          </w:p>
        </w:tc>
        <w:tc>
          <w:tcPr>
            <w:tcW w:w="992" w:type="dxa"/>
            <w:shd w:val="clear" w:color="auto" w:fill="auto"/>
            <w:vAlign w:val="center"/>
            <w:hideMark/>
          </w:tcPr>
          <w:p w14:paraId="7F2E5466"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82.9</w:t>
            </w:r>
          </w:p>
        </w:tc>
        <w:tc>
          <w:tcPr>
            <w:tcW w:w="992" w:type="dxa"/>
            <w:shd w:val="clear" w:color="auto" w:fill="auto"/>
            <w:vAlign w:val="center"/>
            <w:hideMark/>
          </w:tcPr>
          <w:p w14:paraId="2F68DA4C"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130.4</w:t>
            </w:r>
          </w:p>
        </w:tc>
        <w:tc>
          <w:tcPr>
            <w:tcW w:w="1276" w:type="dxa"/>
            <w:shd w:val="clear" w:color="auto" w:fill="auto"/>
            <w:vAlign w:val="center"/>
            <w:hideMark/>
          </w:tcPr>
          <w:p w14:paraId="648B6F26" w14:textId="77777777" w:rsidR="00204FE0" w:rsidRPr="001466DC" w:rsidRDefault="00204FE0" w:rsidP="00DE50C8">
            <w:pPr>
              <w:spacing w:before="0" w:line="240" w:lineRule="auto"/>
              <w:jc w:val="center"/>
              <w:rPr>
                <w:b w:val="0"/>
                <w:i/>
                <w:iCs/>
                <w:color w:val="000000"/>
                <w:sz w:val="20"/>
                <w:szCs w:val="20"/>
                <w:lang w:val="en-US" w:eastAsia="en-US"/>
              </w:rPr>
            </w:pPr>
            <w:r w:rsidRPr="001466DC">
              <w:rPr>
                <w:b w:val="0"/>
                <w:i/>
                <w:iCs/>
                <w:color w:val="000000"/>
                <w:sz w:val="20"/>
                <w:szCs w:val="20"/>
                <w:lang w:val="en-US" w:eastAsia="en-US"/>
              </w:rPr>
              <w:t>121.9</w:t>
            </w:r>
          </w:p>
        </w:tc>
        <w:tc>
          <w:tcPr>
            <w:tcW w:w="1317" w:type="dxa"/>
            <w:shd w:val="clear" w:color="auto" w:fill="auto"/>
            <w:vAlign w:val="center"/>
            <w:hideMark/>
          </w:tcPr>
          <w:p w14:paraId="5433E0F7" w14:textId="79605B54"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122.2</w:t>
            </w:r>
          </w:p>
        </w:tc>
      </w:tr>
      <w:tr w:rsidR="00204FE0" w:rsidRPr="001466DC" w14:paraId="02C2AD4D" w14:textId="77777777" w:rsidTr="004B410F">
        <w:trPr>
          <w:trHeight w:val="289"/>
        </w:trPr>
        <w:tc>
          <w:tcPr>
            <w:tcW w:w="3218" w:type="dxa"/>
            <w:shd w:val="clear" w:color="auto" w:fill="auto"/>
            <w:vAlign w:val="center"/>
            <w:hideMark/>
          </w:tcPr>
          <w:p w14:paraId="6E900008"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255E331C"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183.4</w:t>
            </w:r>
          </w:p>
        </w:tc>
        <w:tc>
          <w:tcPr>
            <w:tcW w:w="992" w:type="dxa"/>
            <w:shd w:val="clear" w:color="auto" w:fill="auto"/>
            <w:vAlign w:val="center"/>
            <w:hideMark/>
          </w:tcPr>
          <w:p w14:paraId="29DB8AEC"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133.0</w:t>
            </w:r>
          </w:p>
        </w:tc>
        <w:tc>
          <w:tcPr>
            <w:tcW w:w="992" w:type="dxa"/>
            <w:shd w:val="clear" w:color="auto" w:fill="auto"/>
            <w:vAlign w:val="center"/>
            <w:hideMark/>
          </w:tcPr>
          <w:p w14:paraId="666D39BA"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221.6</w:t>
            </w:r>
          </w:p>
        </w:tc>
        <w:tc>
          <w:tcPr>
            <w:tcW w:w="1276" w:type="dxa"/>
            <w:shd w:val="clear" w:color="auto" w:fill="auto"/>
            <w:vAlign w:val="center"/>
            <w:hideMark/>
          </w:tcPr>
          <w:p w14:paraId="074C850B"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435.8</w:t>
            </w:r>
          </w:p>
        </w:tc>
        <w:tc>
          <w:tcPr>
            <w:tcW w:w="1317" w:type="dxa"/>
            <w:shd w:val="clear" w:color="auto" w:fill="auto"/>
            <w:vAlign w:val="center"/>
            <w:hideMark/>
          </w:tcPr>
          <w:p w14:paraId="1D989CC3" w14:textId="14211A82"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573.1</w:t>
            </w:r>
          </w:p>
        </w:tc>
      </w:tr>
      <w:tr w:rsidR="00204FE0" w:rsidRPr="001466DC" w14:paraId="67894EB3" w14:textId="77777777" w:rsidTr="004B410F">
        <w:trPr>
          <w:trHeight w:val="289"/>
        </w:trPr>
        <w:tc>
          <w:tcPr>
            <w:tcW w:w="3218" w:type="dxa"/>
            <w:shd w:val="clear" w:color="auto" w:fill="auto"/>
            <w:vAlign w:val="center"/>
            <w:hideMark/>
          </w:tcPr>
          <w:p w14:paraId="017F08E4"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Տրանսպորտ, այդ թվում </w:t>
            </w:r>
          </w:p>
        </w:tc>
        <w:tc>
          <w:tcPr>
            <w:tcW w:w="1177" w:type="dxa"/>
            <w:shd w:val="clear" w:color="auto" w:fill="auto"/>
            <w:vAlign w:val="center"/>
            <w:hideMark/>
          </w:tcPr>
          <w:p w14:paraId="0184C2D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42.2</w:t>
            </w:r>
          </w:p>
        </w:tc>
        <w:tc>
          <w:tcPr>
            <w:tcW w:w="992" w:type="dxa"/>
            <w:shd w:val="clear" w:color="auto" w:fill="auto"/>
            <w:vAlign w:val="center"/>
            <w:hideMark/>
          </w:tcPr>
          <w:p w14:paraId="5D344CF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58.8</w:t>
            </w:r>
          </w:p>
        </w:tc>
        <w:tc>
          <w:tcPr>
            <w:tcW w:w="992" w:type="dxa"/>
            <w:shd w:val="clear" w:color="auto" w:fill="auto"/>
            <w:vAlign w:val="center"/>
            <w:hideMark/>
          </w:tcPr>
          <w:p w14:paraId="3A790DF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99.5</w:t>
            </w:r>
          </w:p>
        </w:tc>
        <w:tc>
          <w:tcPr>
            <w:tcW w:w="1276" w:type="dxa"/>
            <w:shd w:val="clear" w:color="auto" w:fill="auto"/>
            <w:vAlign w:val="center"/>
            <w:hideMark/>
          </w:tcPr>
          <w:p w14:paraId="51192979"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105.9</w:t>
            </w:r>
          </w:p>
        </w:tc>
        <w:tc>
          <w:tcPr>
            <w:tcW w:w="1317" w:type="dxa"/>
            <w:shd w:val="clear" w:color="auto" w:fill="auto"/>
            <w:vAlign w:val="center"/>
            <w:hideMark/>
          </w:tcPr>
          <w:p w14:paraId="4D58ED02" w14:textId="624EC5E1"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127.7</w:t>
            </w:r>
          </w:p>
        </w:tc>
      </w:tr>
      <w:tr w:rsidR="00204FE0" w:rsidRPr="001466DC" w14:paraId="6EAE95C4" w14:textId="77777777" w:rsidTr="004B410F">
        <w:trPr>
          <w:trHeight w:val="289"/>
        </w:trPr>
        <w:tc>
          <w:tcPr>
            <w:tcW w:w="3218" w:type="dxa"/>
            <w:shd w:val="clear" w:color="auto" w:fill="auto"/>
            <w:vAlign w:val="center"/>
            <w:hideMark/>
          </w:tcPr>
          <w:p w14:paraId="199D153A"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3A4410A3"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14.3</w:t>
            </w:r>
          </w:p>
        </w:tc>
        <w:tc>
          <w:tcPr>
            <w:tcW w:w="992" w:type="dxa"/>
            <w:shd w:val="clear" w:color="auto" w:fill="auto"/>
            <w:vAlign w:val="center"/>
            <w:hideMark/>
          </w:tcPr>
          <w:p w14:paraId="603F0A6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24.7</w:t>
            </w:r>
          </w:p>
        </w:tc>
        <w:tc>
          <w:tcPr>
            <w:tcW w:w="992" w:type="dxa"/>
            <w:shd w:val="clear" w:color="auto" w:fill="auto"/>
            <w:vAlign w:val="center"/>
            <w:hideMark/>
          </w:tcPr>
          <w:p w14:paraId="6D7E7B9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52.4</w:t>
            </w:r>
          </w:p>
        </w:tc>
        <w:tc>
          <w:tcPr>
            <w:tcW w:w="1276" w:type="dxa"/>
            <w:shd w:val="clear" w:color="auto" w:fill="auto"/>
            <w:vAlign w:val="center"/>
            <w:hideMark/>
          </w:tcPr>
          <w:p w14:paraId="28591559"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50.5</w:t>
            </w:r>
          </w:p>
        </w:tc>
        <w:tc>
          <w:tcPr>
            <w:tcW w:w="1317" w:type="dxa"/>
            <w:shd w:val="clear" w:color="auto" w:fill="auto"/>
            <w:vAlign w:val="center"/>
            <w:hideMark/>
          </w:tcPr>
          <w:p w14:paraId="7C94AC9A" w14:textId="39D1576D"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43.4</w:t>
            </w:r>
          </w:p>
        </w:tc>
      </w:tr>
      <w:tr w:rsidR="00204FE0" w:rsidRPr="001466DC" w14:paraId="31E5270C" w14:textId="77777777" w:rsidTr="004B410F">
        <w:trPr>
          <w:trHeight w:val="289"/>
        </w:trPr>
        <w:tc>
          <w:tcPr>
            <w:tcW w:w="3218" w:type="dxa"/>
            <w:shd w:val="clear" w:color="auto" w:fill="auto"/>
            <w:vAlign w:val="center"/>
            <w:hideMark/>
          </w:tcPr>
          <w:p w14:paraId="3AB469ED"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36508E5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27.9</w:t>
            </w:r>
          </w:p>
        </w:tc>
        <w:tc>
          <w:tcPr>
            <w:tcW w:w="992" w:type="dxa"/>
            <w:shd w:val="clear" w:color="auto" w:fill="auto"/>
            <w:vAlign w:val="center"/>
            <w:hideMark/>
          </w:tcPr>
          <w:p w14:paraId="4B70EF3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34.1</w:t>
            </w:r>
          </w:p>
        </w:tc>
        <w:tc>
          <w:tcPr>
            <w:tcW w:w="992" w:type="dxa"/>
            <w:shd w:val="clear" w:color="auto" w:fill="auto"/>
            <w:vAlign w:val="center"/>
            <w:hideMark/>
          </w:tcPr>
          <w:p w14:paraId="46956AB1"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47.1</w:t>
            </w:r>
          </w:p>
        </w:tc>
        <w:tc>
          <w:tcPr>
            <w:tcW w:w="1276" w:type="dxa"/>
            <w:shd w:val="clear" w:color="auto" w:fill="auto"/>
            <w:vAlign w:val="center"/>
            <w:hideMark/>
          </w:tcPr>
          <w:p w14:paraId="6D2AE91B"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55.4</w:t>
            </w:r>
          </w:p>
        </w:tc>
        <w:tc>
          <w:tcPr>
            <w:tcW w:w="1317" w:type="dxa"/>
            <w:shd w:val="clear" w:color="auto" w:fill="auto"/>
            <w:vAlign w:val="center"/>
            <w:hideMark/>
          </w:tcPr>
          <w:p w14:paraId="223DA4BA" w14:textId="23C604D3"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84.3</w:t>
            </w:r>
          </w:p>
        </w:tc>
      </w:tr>
      <w:tr w:rsidR="00204FE0" w:rsidRPr="001466DC" w14:paraId="1AC91578" w14:textId="77777777" w:rsidTr="004B410F">
        <w:trPr>
          <w:trHeight w:val="289"/>
        </w:trPr>
        <w:tc>
          <w:tcPr>
            <w:tcW w:w="3218" w:type="dxa"/>
            <w:shd w:val="clear" w:color="auto" w:fill="auto"/>
            <w:vAlign w:val="center"/>
            <w:hideMark/>
          </w:tcPr>
          <w:p w14:paraId="3F17C908"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Էներգետիկա, այդ թվում </w:t>
            </w:r>
          </w:p>
        </w:tc>
        <w:tc>
          <w:tcPr>
            <w:tcW w:w="1177" w:type="dxa"/>
            <w:shd w:val="clear" w:color="auto" w:fill="auto"/>
            <w:vAlign w:val="center"/>
            <w:hideMark/>
          </w:tcPr>
          <w:p w14:paraId="0E88114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0.2</w:t>
            </w:r>
          </w:p>
        </w:tc>
        <w:tc>
          <w:tcPr>
            <w:tcW w:w="992" w:type="dxa"/>
            <w:shd w:val="clear" w:color="auto" w:fill="auto"/>
            <w:vAlign w:val="center"/>
            <w:hideMark/>
          </w:tcPr>
          <w:p w14:paraId="150C5ED6"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1.2</w:t>
            </w:r>
          </w:p>
        </w:tc>
        <w:tc>
          <w:tcPr>
            <w:tcW w:w="992" w:type="dxa"/>
            <w:shd w:val="clear" w:color="auto" w:fill="auto"/>
            <w:vAlign w:val="center"/>
            <w:hideMark/>
          </w:tcPr>
          <w:p w14:paraId="169F037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1.1</w:t>
            </w:r>
          </w:p>
        </w:tc>
        <w:tc>
          <w:tcPr>
            <w:tcW w:w="1276" w:type="dxa"/>
            <w:shd w:val="clear" w:color="auto" w:fill="auto"/>
            <w:vAlign w:val="center"/>
            <w:hideMark/>
          </w:tcPr>
          <w:p w14:paraId="6D55EB1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2.0</w:t>
            </w:r>
          </w:p>
        </w:tc>
        <w:tc>
          <w:tcPr>
            <w:tcW w:w="1317" w:type="dxa"/>
            <w:shd w:val="clear" w:color="auto" w:fill="auto"/>
            <w:vAlign w:val="center"/>
            <w:hideMark/>
          </w:tcPr>
          <w:p w14:paraId="1429986C" w14:textId="533A60D9"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6.2</w:t>
            </w:r>
          </w:p>
        </w:tc>
      </w:tr>
      <w:tr w:rsidR="00204FE0" w:rsidRPr="001466DC" w14:paraId="16643FCC" w14:textId="77777777" w:rsidTr="004B410F">
        <w:trPr>
          <w:trHeight w:val="289"/>
        </w:trPr>
        <w:tc>
          <w:tcPr>
            <w:tcW w:w="3218" w:type="dxa"/>
            <w:shd w:val="clear" w:color="auto" w:fill="auto"/>
            <w:vAlign w:val="center"/>
            <w:hideMark/>
          </w:tcPr>
          <w:p w14:paraId="2F4952D8"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2AFBEF6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0.2</w:t>
            </w:r>
          </w:p>
        </w:tc>
        <w:tc>
          <w:tcPr>
            <w:tcW w:w="992" w:type="dxa"/>
            <w:shd w:val="clear" w:color="auto" w:fill="auto"/>
            <w:vAlign w:val="center"/>
            <w:hideMark/>
          </w:tcPr>
          <w:p w14:paraId="1E1D02F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1.2</w:t>
            </w:r>
          </w:p>
        </w:tc>
        <w:tc>
          <w:tcPr>
            <w:tcW w:w="992" w:type="dxa"/>
            <w:shd w:val="clear" w:color="auto" w:fill="auto"/>
            <w:vAlign w:val="center"/>
            <w:hideMark/>
          </w:tcPr>
          <w:p w14:paraId="5A07737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1.1</w:t>
            </w:r>
          </w:p>
        </w:tc>
        <w:tc>
          <w:tcPr>
            <w:tcW w:w="1276" w:type="dxa"/>
            <w:shd w:val="clear" w:color="auto" w:fill="auto"/>
            <w:vAlign w:val="center"/>
            <w:hideMark/>
          </w:tcPr>
          <w:p w14:paraId="6AE50C0B"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2.0</w:t>
            </w:r>
          </w:p>
        </w:tc>
        <w:tc>
          <w:tcPr>
            <w:tcW w:w="1317" w:type="dxa"/>
            <w:shd w:val="clear" w:color="auto" w:fill="auto"/>
            <w:vAlign w:val="center"/>
            <w:hideMark/>
          </w:tcPr>
          <w:p w14:paraId="700BF934" w14:textId="486D9C9B"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6.2</w:t>
            </w:r>
          </w:p>
        </w:tc>
      </w:tr>
      <w:tr w:rsidR="00204FE0" w:rsidRPr="001466DC" w14:paraId="445C7DCD" w14:textId="77777777" w:rsidTr="004B410F">
        <w:trPr>
          <w:trHeight w:val="289"/>
        </w:trPr>
        <w:tc>
          <w:tcPr>
            <w:tcW w:w="3218" w:type="dxa"/>
            <w:shd w:val="clear" w:color="auto" w:fill="auto"/>
            <w:vAlign w:val="center"/>
            <w:hideMark/>
          </w:tcPr>
          <w:p w14:paraId="1EF02AFC"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7EADD006"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992" w:type="dxa"/>
            <w:shd w:val="clear" w:color="auto" w:fill="auto"/>
            <w:vAlign w:val="center"/>
            <w:hideMark/>
          </w:tcPr>
          <w:p w14:paraId="6D12652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992" w:type="dxa"/>
            <w:shd w:val="clear" w:color="auto" w:fill="auto"/>
            <w:vAlign w:val="center"/>
            <w:hideMark/>
          </w:tcPr>
          <w:p w14:paraId="75BF3D1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1276" w:type="dxa"/>
            <w:shd w:val="clear" w:color="auto" w:fill="auto"/>
            <w:vAlign w:val="center"/>
            <w:hideMark/>
          </w:tcPr>
          <w:p w14:paraId="449796EA"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1317" w:type="dxa"/>
            <w:shd w:val="clear" w:color="auto" w:fill="auto"/>
            <w:vAlign w:val="center"/>
            <w:hideMark/>
          </w:tcPr>
          <w:p w14:paraId="068556B8" w14:textId="7EA6A2DA"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0.0</w:t>
            </w:r>
          </w:p>
        </w:tc>
      </w:tr>
      <w:tr w:rsidR="00204FE0" w:rsidRPr="001466DC" w14:paraId="4B0891D2" w14:textId="77777777" w:rsidTr="004B410F">
        <w:trPr>
          <w:trHeight w:val="563"/>
        </w:trPr>
        <w:tc>
          <w:tcPr>
            <w:tcW w:w="3218" w:type="dxa"/>
            <w:shd w:val="clear" w:color="auto" w:fill="auto"/>
            <w:vAlign w:val="center"/>
            <w:hideMark/>
          </w:tcPr>
          <w:p w14:paraId="2B52FAB7"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Շրջակա միջավայր և գյուղատնտեսություն </w:t>
            </w:r>
          </w:p>
        </w:tc>
        <w:tc>
          <w:tcPr>
            <w:tcW w:w="1177" w:type="dxa"/>
            <w:shd w:val="clear" w:color="auto" w:fill="auto"/>
            <w:vAlign w:val="center"/>
            <w:hideMark/>
          </w:tcPr>
          <w:p w14:paraId="2968FEC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1.5</w:t>
            </w:r>
          </w:p>
        </w:tc>
        <w:tc>
          <w:tcPr>
            <w:tcW w:w="992" w:type="dxa"/>
            <w:shd w:val="clear" w:color="auto" w:fill="auto"/>
            <w:vAlign w:val="center"/>
            <w:hideMark/>
          </w:tcPr>
          <w:p w14:paraId="3C029F90"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7.3</w:t>
            </w:r>
          </w:p>
        </w:tc>
        <w:tc>
          <w:tcPr>
            <w:tcW w:w="992" w:type="dxa"/>
            <w:shd w:val="clear" w:color="auto" w:fill="auto"/>
            <w:vAlign w:val="center"/>
            <w:hideMark/>
          </w:tcPr>
          <w:p w14:paraId="4BB0228A"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5.8</w:t>
            </w:r>
          </w:p>
        </w:tc>
        <w:tc>
          <w:tcPr>
            <w:tcW w:w="1276" w:type="dxa"/>
            <w:shd w:val="clear" w:color="auto" w:fill="auto"/>
            <w:vAlign w:val="center"/>
            <w:hideMark/>
          </w:tcPr>
          <w:p w14:paraId="3F29F00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3.8</w:t>
            </w:r>
          </w:p>
        </w:tc>
        <w:tc>
          <w:tcPr>
            <w:tcW w:w="1317" w:type="dxa"/>
            <w:shd w:val="clear" w:color="auto" w:fill="auto"/>
            <w:vAlign w:val="center"/>
            <w:hideMark/>
          </w:tcPr>
          <w:p w14:paraId="46EB46D1" w14:textId="185EB664"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3.8</w:t>
            </w:r>
          </w:p>
        </w:tc>
      </w:tr>
      <w:tr w:rsidR="00204FE0" w:rsidRPr="001466DC" w14:paraId="61334D1D" w14:textId="77777777" w:rsidTr="004B410F">
        <w:trPr>
          <w:trHeight w:val="289"/>
        </w:trPr>
        <w:tc>
          <w:tcPr>
            <w:tcW w:w="3218" w:type="dxa"/>
            <w:shd w:val="clear" w:color="auto" w:fill="auto"/>
            <w:vAlign w:val="center"/>
            <w:hideMark/>
          </w:tcPr>
          <w:p w14:paraId="22CF1396"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7D2F235A"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1.2</w:t>
            </w:r>
          </w:p>
        </w:tc>
        <w:tc>
          <w:tcPr>
            <w:tcW w:w="992" w:type="dxa"/>
            <w:shd w:val="clear" w:color="auto" w:fill="auto"/>
            <w:vAlign w:val="center"/>
            <w:hideMark/>
          </w:tcPr>
          <w:p w14:paraId="146C26F0"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6.8</w:t>
            </w:r>
          </w:p>
        </w:tc>
        <w:tc>
          <w:tcPr>
            <w:tcW w:w="992" w:type="dxa"/>
            <w:shd w:val="clear" w:color="auto" w:fill="auto"/>
            <w:vAlign w:val="center"/>
            <w:hideMark/>
          </w:tcPr>
          <w:p w14:paraId="141E86C1"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5.2</w:t>
            </w:r>
          </w:p>
        </w:tc>
        <w:tc>
          <w:tcPr>
            <w:tcW w:w="1276" w:type="dxa"/>
            <w:shd w:val="clear" w:color="auto" w:fill="auto"/>
            <w:vAlign w:val="center"/>
            <w:hideMark/>
          </w:tcPr>
          <w:p w14:paraId="72244B1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2.7</w:t>
            </w:r>
          </w:p>
        </w:tc>
        <w:tc>
          <w:tcPr>
            <w:tcW w:w="1317" w:type="dxa"/>
            <w:shd w:val="clear" w:color="auto" w:fill="auto"/>
            <w:vAlign w:val="center"/>
            <w:hideMark/>
          </w:tcPr>
          <w:p w14:paraId="75628FCB" w14:textId="6A73380C"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2.3</w:t>
            </w:r>
          </w:p>
        </w:tc>
      </w:tr>
      <w:tr w:rsidR="00204FE0" w:rsidRPr="001466DC" w14:paraId="4475F0CC" w14:textId="77777777" w:rsidTr="004B410F">
        <w:trPr>
          <w:trHeight w:val="289"/>
        </w:trPr>
        <w:tc>
          <w:tcPr>
            <w:tcW w:w="3218" w:type="dxa"/>
            <w:shd w:val="clear" w:color="auto" w:fill="auto"/>
            <w:vAlign w:val="center"/>
            <w:hideMark/>
          </w:tcPr>
          <w:p w14:paraId="082240CF"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251CEE90"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0.4</w:t>
            </w:r>
          </w:p>
        </w:tc>
        <w:tc>
          <w:tcPr>
            <w:tcW w:w="992" w:type="dxa"/>
            <w:shd w:val="clear" w:color="auto" w:fill="auto"/>
            <w:vAlign w:val="center"/>
            <w:hideMark/>
          </w:tcPr>
          <w:p w14:paraId="61F8C7FA"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0.5</w:t>
            </w:r>
          </w:p>
        </w:tc>
        <w:tc>
          <w:tcPr>
            <w:tcW w:w="992" w:type="dxa"/>
            <w:shd w:val="clear" w:color="auto" w:fill="auto"/>
            <w:vAlign w:val="center"/>
            <w:hideMark/>
          </w:tcPr>
          <w:p w14:paraId="201CAE78"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0.6</w:t>
            </w:r>
          </w:p>
        </w:tc>
        <w:tc>
          <w:tcPr>
            <w:tcW w:w="1276" w:type="dxa"/>
            <w:shd w:val="clear" w:color="auto" w:fill="auto"/>
            <w:vAlign w:val="center"/>
            <w:hideMark/>
          </w:tcPr>
          <w:p w14:paraId="075DF39C"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1.1</w:t>
            </w:r>
          </w:p>
        </w:tc>
        <w:tc>
          <w:tcPr>
            <w:tcW w:w="1317" w:type="dxa"/>
            <w:shd w:val="clear" w:color="auto" w:fill="auto"/>
            <w:vAlign w:val="center"/>
            <w:hideMark/>
          </w:tcPr>
          <w:p w14:paraId="3A575C1F" w14:textId="0BA57C00"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1.5</w:t>
            </w:r>
          </w:p>
        </w:tc>
      </w:tr>
      <w:tr w:rsidR="00204FE0" w:rsidRPr="001466DC" w14:paraId="6171AA10" w14:textId="77777777" w:rsidTr="004B410F">
        <w:trPr>
          <w:trHeight w:val="289"/>
        </w:trPr>
        <w:tc>
          <w:tcPr>
            <w:tcW w:w="3218" w:type="dxa"/>
            <w:shd w:val="clear" w:color="auto" w:fill="auto"/>
            <w:vAlign w:val="center"/>
            <w:hideMark/>
          </w:tcPr>
          <w:p w14:paraId="7BA38C49"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Ջրային տնտեսություն </w:t>
            </w:r>
          </w:p>
        </w:tc>
        <w:tc>
          <w:tcPr>
            <w:tcW w:w="1177" w:type="dxa"/>
            <w:shd w:val="clear" w:color="auto" w:fill="auto"/>
            <w:vAlign w:val="center"/>
            <w:hideMark/>
          </w:tcPr>
          <w:p w14:paraId="4C49C5FA"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11.5</w:t>
            </w:r>
          </w:p>
        </w:tc>
        <w:tc>
          <w:tcPr>
            <w:tcW w:w="992" w:type="dxa"/>
            <w:shd w:val="clear" w:color="auto" w:fill="auto"/>
            <w:vAlign w:val="center"/>
            <w:hideMark/>
          </w:tcPr>
          <w:p w14:paraId="453CF298"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20.2</w:t>
            </w:r>
          </w:p>
        </w:tc>
        <w:tc>
          <w:tcPr>
            <w:tcW w:w="992" w:type="dxa"/>
            <w:shd w:val="clear" w:color="auto" w:fill="auto"/>
            <w:vAlign w:val="center"/>
            <w:hideMark/>
          </w:tcPr>
          <w:p w14:paraId="4E3384D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34.7</w:t>
            </w:r>
          </w:p>
        </w:tc>
        <w:tc>
          <w:tcPr>
            <w:tcW w:w="1276" w:type="dxa"/>
            <w:shd w:val="clear" w:color="auto" w:fill="auto"/>
            <w:vAlign w:val="center"/>
            <w:hideMark/>
          </w:tcPr>
          <w:p w14:paraId="297BFADB"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38.4</w:t>
            </w:r>
          </w:p>
        </w:tc>
        <w:tc>
          <w:tcPr>
            <w:tcW w:w="1317" w:type="dxa"/>
            <w:shd w:val="clear" w:color="auto" w:fill="auto"/>
            <w:vAlign w:val="center"/>
            <w:hideMark/>
          </w:tcPr>
          <w:p w14:paraId="145379BB" w14:textId="282A0D16"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34.3</w:t>
            </w:r>
          </w:p>
        </w:tc>
      </w:tr>
      <w:tr w:rsidR="00204FE0" w:rsidRPr="001466DC" w14:paraId="65E7BFC6" w14:textId="77777777" w:rsidTr="004B410F">
        <w:trPr>
          <w:trHeight w:val="289"/>
        </w:trPr>
        <w:tc>
          <w:tcPr>
            <w:tcW w:w="3218" w:type="dxa"/>
            <w:shd w:val="clear" w:color="auto" w:fill="auto"/>
            <w:vAlign w:val="center"/>
            <w:hideMark/>
          </w:tcPr>
          <w:p w14:paraId="60960B51"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773D04A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9.5</w:t>
            </w:r>
          </w:p>
        </w:tc>
        <w:tc>
          <w:tcPr>
            <w:tcW w:w="992" w:type="dxa"/>
            <w:shd w:val="clear" w:color="auto" w:fill="auto"/>
            <w:vAlign w:val="center"/>
            <w:hideMark/>
          </w:tcPr>
          <w:p w14:paraId="7AE87FE3"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18.5</w:t>
            </w:r>
          </w:p>
        </w:tc>
        <w:tc>
          <w:tcPr>
            <w:tcW w:w="992" w:type="dxa"/>
            <w:shd w:val="clear" w:color="auto" w:fill="auto"/>
            <w:vAlign w:val="center"/>
            <w:hideMark/>
          </w:tcPr>
          <w:p w14:paraId="447F262B"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25.5</w:t>
            </w:r>
          </w:p>
        </w:tc>
        <w:tc>
          <w:tcPr>
            <w:tcW w:w="1276" w:type="dxa"/>
            <w:shd w:val="clear" w:color="auto" w:fill="auto"/>
            <w:vAlign w:val="center"/>
            <w:hideMark/>
          </w:tcPr>
          <w:p w14:paraId="5CE81F7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29.3</w:t>
            </w:r>
          </w:p>
        </w:tc>
        <w:tc>
          <w:tcPr>
            <w:tcW w:w="1317" w:type="dxa"/>
            <w:shd w:val="clear" w:color="auto" w:fill="auto"/>
            <w:vAlign w:val="center"/>
            <w:hideMark/>
          </w:tcPr>
          <w:p w14:paraId="500B8B31" w14:textId="1BDAD1ED"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25.3</w:t>
            </w:r>
          </w:p>
        </w:tc>
      </w:tr>
      <w:tr w:rsidR="00204FE0" w:rsidRPr="001466DC" w14:paraId="05D2B954" w14:textId="77777777" w:rsidTr="004B410F">
        <w:trPr>
          <w:trHeight w:val="289"/>
        </w:trPr>
        <w:tc>
          <w:tcPr>
            <w:tcW w:w="3218" w:type="dxa"/>
            <w:shd w:val="clear" w:color="auto" w:fill="auto"/>
            <w:vAlign w:val="center"/>
            <w:hideMark/>
          </w:tcPr>
          <w:p w14:paraId="06B4FB21"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6812DF8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2.0</w:t>
            </w:r>
          </w:p>
        </w:tc>
        <w:tc>
          <w:tcPr>
            <w:tcW w:w="992" w:type="dxa"/>
            <w:shd w:val="clear" w:color="auto" w:fill="auto"/>
            <w:vAlign w:val="center"/>
            <w:hideMark/>
          </w:tcPr>
          <w:p w14:paraId="371717C3"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1.7</w:t>
            </w:r>
          </w:p>
        </w:tc>
        <w:tc>
          <w:tcPr>
            <w:tcW w:w="992" w:type="dxa"/>
            <w:shd w:val="clear" w:color="auto" w:fill="auto"/>
            <w:vAlign w:val="center"/>
            <w:hideMark/>
          </w:tcPr>
          <w:p w14:paraId="0BF77121"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9.2</w:t>
            </w:r>
          </w:p>
        </w:tc>
        <w:tc>
          <w:tcPr>
            <w:tcW w:w="1276" w:type="dxa"/>
            <w:shd w:val="clear" w:color="auto" w:fill="auto"/>
            <w:vAlign w:val="center"/>
            <w:hideMark/>
          </w:tcPr>
          <w:p w14:paraId="2EBBB7E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9.0</w:t>
            </w:r>
          </w:p>
        </w:tc>
        <w:tc>
          <w:tcPr>
            <w:tcW w:w="1317" w:type="dxa"/>
            <w:shd w:val="clear" w:color="auto" w:fill="auto"/>
            <w:vAlign w:val="center"/>
            <w:hideMark/>
          </w:tcPr>
          <w:p w14:paraId="728C2775" w14:textId="7FE5D64F"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9.0</w:t>
            </w:r>
          </w:p>
        </w:tc>
      </w:tr>
      <w:tr w:rsidR="00204FE0" w:rsidRPr="001466DC" w14:paraId="1E2B16BB" w14:textId="77777777" w:rsidTr="004B410F">
        <w:trPr>
          <w:trHeight w:val="289"/>
        </w:trPr>
        <w:tc>
          <w:tcPr>
            <w:tcW w:w="3218" w:type="dxa"/>
            <w:shd w:val="clear" w:color="auto" w:fill="auto"/>
            <w:vAlign w:val="center"/>
            <w:hideMark/>
          </w:tcPr>
          <w:p w14:paraId="001C8EE1"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Առողջապահություն </w:t>
            </w:r>
          </w:p>
        </w:tc>
        <w:tc>
          <w:tcPr>
            <w:tcW w:w="1177" w:type="dxa"/>
            <w:shd w:val="clear" w:color="auto" w:fill="auto"/>
            <w:vAlign w:val="center"/>
            <w:hideMark/>
          </w:tcPr>
          <w:p w14:paraId="62A20C8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4.6</w:t>
            </w:r>
          </w:p>
        </w:tc>
        <w:tc>
          <w:tcPr>
            <w:tcW w:w="992" w:type="dxa"/>
            <w:shd w:val="clear" w:color="auto" w:fill="auto"/>
            <w:vAlign w:val="center"/>
            <w:hideMark/>
          </w:tcPr>
          <w:p w14:paraId="7DC7791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1.0</w:t>
            </w:r>
          </w:p>
        </w:tc>
        <w:tc>
          <w:tcPr>
            <w:tcW w:w="992" w:type="dxa"/>
            <w:shd w:val="clear" w:color="auto" w:fill="auto"/>
            <w:vAlign w:val="center"/>
            <w:hideMark/>
          </w:tcPr>
          <w:p w14:paraId="687E9FE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7.2</w:t>
            </w:r>
          </w:p>
        </w:tc>
        <w:tc>
          <w:tcPr>
            <w:tcW w:w="1276" w:type="dxa"/>
            <w:shd w:val="clear" w:color="auto" w:fill="auto"/>
            <w:vAlign w:val="center"/>
            <w:hideMark/>
          </w:tcPr>
          <w:p w14:paraId="5CCA6F76"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11.6</w:t>
            </w:r>
          </w:p>
        </w:tc>
        <w:tc>
          <w:tcPr>
            <w:tcW w:w="1317" w:type="dxa"/>
            <w:shd w:val="clear" w:color="auto" w:fill="auto"/>
            <w:vAlign w:val="center"/>
            <w:hideMark/>
          </w:tcPr>
          <w:p w14:paraId="5D22E153" w14:textId="67E4EE3B"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11.0</w:t>
            </w:r>
          </w:p>
        </w:tc>
      </w:tr>
      <w:tr w:rsidR="00204FE0" w:rsidRPr="001466DC" w14:paraId="646923BD" w14:textId="77777777" w:rsidTr="004B410F">
        <w:trPr>
          <w:trHeight w:val="289"/>
        </w:trPr>
        <w:tc>
          <w:tcPr>
            <w:tcW w:w="3218" w:type="dxa"/>
            <w:shd w:val="clear" w:color="auto" w:fill="auto"/>
            <w:vAlign w:val="center"/>
            <w:hideMark/>
          </w:tcPr>
          <w:p w14:paraId="7613B4C9"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6D0B6D5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2.6</w:t>
            </w:r>
          </w:p>
        </w:tc>
        <w:tc>
          <w:tcPr>
            <w:tcW w:w="992" w:type="dxa"/>
            <w:shd w:val="clear" w:color="auto" w:fill="auto"/>
            <w:vAlign w:val="center"/>
            <w:hideMark/>
          </w:tcPr>
          <w:p w14:paraId="6A6E993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1.0</w:t>
            </w:r>
          </w:p>
        </w:tc>
        <w:tc>
          <w:tcPr>
            <w:tcW w:w="992" w:type="dxa"/>
            <w:shd w:val="clear" w:color="auto" w:fill="auto"/>
            <w:vAlign w:val="center"/>
            <w:hideMark/>
          </w:tcPr>
          <w:p w14:paraId="2FF8C180"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7.2</w:t>
            </w:r>
          </w:p>
        </w:tc>
        <w:tc>
          <w:tcPr>
            <w:tcW w:w="1276" w:type="dxa"/>
            <w:shd w:val="clear" w:color="auto" w:fill="auto"/>
            <w:vAlign w:val="center"/>
            <w:hideMark/>
          </w:tcPr>
          <w:p w14:paraId="7524224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2.8</w:t>
            </w:r>
          </w:p>
        </w:tc>
        <w:tc>
          <w:tcPr>
            <w:tcW w:w="1317" w:type="dxa"/>
            <w:shd w:val="clear" w:color="auto" w:fill="auto"/>
            <w:vAlign w:val="center"/>
            <w:hideMark/>
          </w:tcPr>
          <w:p w14:paraId="06437195" w14:textId="2D42BC53" w:rsidR="00204FE0" w:rsidRPr="00204FE0" w:rsidRDefault="00204FE0" w:rsidP="00DE50C8">
            <w:pPr>
              <w:spacing w:before="0" w:line="240" w:lineRule="auto"/>
              <w:jc w:val="center"/>
              <w:rPr>
                <w:b w:val="0"/>
                <w:color w:val="000000"/>
                <w:sz w:val="20"/>
                <w:szCs w:val="20"/>
                <w:lang w:val="en-US" w:eastAsia="en-US"/>
              </w:rPr>
            </w:pPr>
          </w:p>
        </w:tc>
      </w:tr>
      <w:tr w:rsidR="00204FE0" w:rsidRPr="001466DC" w14:paraId="5EC925A9" w14:textId="77777777" w:rsidTr="004B410F">
        <w:trPr>
          <w:trHeight w:val="289"/>
        </w:trPr>
        <w:tc>
          <w:tcPr>
            <w:tcW w:w="3218" w:type="dxa"/>
            <w:shd w:val="clear" w:color="auto" w:fill="auto"/>
            <w:vAlign w:val="center"/>
            <w:hideMark/>
          </w:tcPr>
          <w:p w14:paraId="308CF5DC"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2AC0B77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2.1</w:t>
            </w:r>
          </w:p>
        </w:tc>
        <w:tc>
          <w:tcPr>
            <w:tcW w:w="992" w:type="dxa"/>
            <w:shd w:val="clear" w:color="auto" w:fill="auto"/>
            <w:vAlign w:val="center"/>
            <w:hideMark/>
          </w:tcPr>
          <w:p w14:paraId="3E4C0396"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992" w:type="dxa"/>
            <w:shd w:val="clear" w:color="auto" w:fill="auto"/>
            <w:vAlign w:val="center"/>
            <w:hideMark/>
          </w:tcPr>
          <w:p w14:paraId="05326EC8"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1276" w:type="dxa"/>
            <w:shd w:val="clear" w:color="auto" w:fill="auto"/>
            <w:vAlign w:val="center"/>
            <w:hideMark/>
          </w:tcPr>
          <w:p w14:paraId="7AD0A799"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8.8</w:t>
            </w:r>
          </w:p>
        </w:tc>
        <w:tc>
          <w:tcPr>
            <w:tcW w:w="1317" w:type="dxa"/>
            <w:shd w:val="clear" w:color="auto" w:fill="auto"/>
            <w:vAlign w:val="center"/>
            <w:hideMark/>
          </w:tcPr>
          <w:p w14:paraId="31BA9A95" w14:textId="39E8444D"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11.0</w:t>
            </w:r>
          </w:p>
        </w:tc>
      </w:tr>
      <w:tr w:rsidR="00204FE0" w:rsidRPr="001466DC" w14:paraId="2DF4AAE9" w14:textId="77777777" w:rsidTr="004B410F">
        <w:trPr>
          <w:trHeight w:val="563"/>
        </w:trPr>
        <w:tc>
          <w:tcPr>
            <w:tcW w:w="3218" w:type="dxa"/>
            <w:shd w:val="clear" w:color="auto" w:fill="auto"/>
            <w:vAlign w:val="center"/>
            <w:hideMark/>
          </w:tcPr>
          <w:p w14:paraId="65B6B4EF" w14:textId="77777777" w:rsidR="00204FE0" w:rsidRPr="00E960A7" w:rsidRDefault="00204FE0" w:rsidP="00204FE0">
            <w:pPr>
              <w:spacing w:before="0" w:line="240" w:lineRule="auto"/>
              <w:jc w:val="left"/>
              <w:rPr>
                <w:b w:val="0"/>
                <w:i/>
                <w:iCs/>
                <w:color w:val="000000"/>
                <w:sz w:val="20"/>
                <w:szCs w:val="20"/>
                <w:lang w:eastAsia="en-US"/>
              </w:rPr>
            </w:pPr>
            <w:r w:rsidRPr="001466DC">
              <w:rPr>
                <w:b w:val="0"/>
                <w:i/>
                <w:iCs/>
                <w:color w:val="000000"/>
                <w:sz w:val="20"/>
                <w:szCs w:val="20"/>
                <w:lang w:val="en-US" w:eastAsia="en-US"/>
              </w:rPr>
              <w:t>Կրթություն</w:t>
            </w:r>
            <w:r w:rsidRPr="001466DC">
              <w:rPr>
                <w:rFonts w:ascii="Microsoft JhengHei" w:eastAsia="Microsoft JhengHei" w:hAnsi="Microsoft JhengHei" w:hint="eastAsia"/>
                <w:b w:val="0"/>
                <w:color w:val="000000"/>
                <w:sz w:val="20"/>
                <w:szCs w:val="20"/>
                <w:lang w:val="en-US" w:eastAsia="en-US"/>
              </w:rPr>
              <w:t>﹐</w:t>
            </w:r>
            <w:r w:rsidRPr="001466DC">
              <w:rPr>
                <w:b w:val="0"/>
                <w:color w:val="000000"/>
                <w:sz w:val="20"/>
                <w:szCs w:val="20"/>
                <w:lang w:val="en-US" w:eastAsia="en-US"/>
              </w:rPr>
              <w:t>գիտություն</w:t>
            </w:r>
            <w:r w:rsidRPr="00E960A7">
              <w:rPr>
                <w:b w:val="0"/>
                <w:color w:val="000000"/>
                <w:sz w:val="20"/>
                <w:szCs w:val="20"/>
                <w:lang w:eastAsia="en-US"/>
              </w:rPr>
              <w:t xml:space="preserve"> </w:t>
            </w:r>
            <w:r w:rsidRPr="001466DC">
              <w:rPr>
                <w:b w:val="0"/>
                <w:color w:val="000000"/>
                <w:sz w:val="20"/>
                <w:szCs w:val="20"/>
                <w:lang w:val="en-US" w:eastAsia="en-US"/>
              </w:rPr>
              <w:t>մշակույթ</w:t>
            </w:r>
            <w:r w:rsidRPr="00E960A7">
              <w:rPr>
                <w:b w:val="0"/>
                <w:color w:val="000000"/>
                <w:sz w:val="20"/>
                <w:szCs w:val="20"/>
                <w:lang w:eastAsia="en-US"/>
              </w:rPr>
              <w:t xml:space="preserve"> </w:t>
            </w:r>
            <w:r w:rsidRPr="001466DC">
              <w:rPr>
                <w:b w:val="0"/>
                <w:color w:val="000000"/>
                <w:sz w:val="20"/>
                <w:szCs w:val="20"/>
                <w:lang w:val="en-US" w:eastAsia="en-US"/>
              </w:rPr>
              <w:t>և</w:t>
            </w:r>
            <w:r w:rsidRPr="00E960A7">
              <w:rPr>
                <w:b w:val="0"/>
                <w:color w:val="000000"/>
                <w:sz w:val="20"/>
                <w:szCs w:val="20"/>
                <w:lang w:eastAsia="en-US"/>
              </w:rPr>
              <w:t xml:space="preserve"> </w:t>
            </w:r>
            <w:r w:rsidRPr="001466DC">
              <w:rPr>
                <w:b w:val="0"/>
                <w:color w:val="000000"/>
                <w:sz w:val="20"/>
                <w:szCs w:val="20"/>
                <w:lang w:val="en-US" w:eastAsia="en-US"/>
              </w:rPr>
              <w:t>սպորտ</w:t>
            </w:r>
            <w:r w:rsidRPr="00E960A7">
              <w:rPr>
                <w:b w:val="0"/>
                <w:color w:val="000000"/>
                <w:sz w:val="20"/>
                <w:szCs w:val="20"/>
                <w:lang w:eastAsia="en-US"/>
              </w:rPr>
              <w:t xml:space="preserve"> </w:t>
            </w:r>
          </w:p>
        </w:tc>
        <w:tc>
          <w:tcPr>
            <w:tcW w:w="1177" w:type="dxa"/>
            <w:shd w:val="clear" w:color="auto" w:fill="auto"/>
            <w:vAlign w:val="center"/>
            <w:hideMark/>
          </w:tcPr>
          <w:p w14:paraId="2D482E49"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12.3</w:t>
            </w:r>
          </w:p>
        </w:tc>
        <w:tc>
          <w:tcPr>
            <w:tcW w:w="992" w:type="dxa"/>
            <w:shd w:val="clear" w:color="auto" w:fill="auto"/>
            <w:vAlign w:val="center"/>
            <w:hideMark/>
          </w:tcPr>
          <w:p w14:paraId="45246ADB"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10.0</w:t>
            </w:r>
          </w:p>
        </w:tc>
        <w:tc>
          <w:tcPr>
            <w:tcW w:w="992" w:type="dxa"/>
            <w:shd w:val="clear" w:color="auto" w:fill="auto"/>
            <w:vAlign w:val="center"/>
            <w:hideMark/>
          </w:tcPr>
          <w:p w14:paraId="21242036"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33.3</w:t>
            </w:r>
          </w:p>
        </w:tc>
        <w:tc>
          <w:tcPr>
            <w:tcW w:w="1276" w:type="dxa"/>
            <w:shd w:val="clear" w:color="auto" w:fill="auto"/>
            <w:vAlign w:val="center"/>
            <w:hideMark/>
          </w:tcPr>
          <w:p w14:paraId="01F48A7E"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52.3</w:t>
            </w:r>
          </w:p>
        </w:tc>
        <w:tc>
          <w:tcPr>
            <w:tcW w:w="1317" w:type="dxa"/>
            <w:shd w:val="clear" w:color="auto" w:fill="auto"/>
            <w:vAlign w:val="center"/>
            <w:hideMark/>
          </w:tcPr>
          <w:p w14:paraId="1D71B335" w14:textId="3D90AC27"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129.1</w:t>
            </w:r>
          </w:p>
        </w:tc>
      </w:tr>
      <w:tr w:rsidR="00204FE0" w:rsidRPr="001466DC" w14:paraId="50B6FA02" w14:textId="77777777" w:rsidTr="004B410F">
        <w:trPr>
          <w:trHeight w:val="289"/>
        </w:trPr>
        <w:tc>
          <w:tcPr>
            <w:tcW w:w="3218" w:type="dxa"/>
            <w:shd w:val="clear" w:color="auto" w:fill="auto"/>
            <w:vAlign w:val="center"/>
            <w:hideMark/>
          </w:tcPr>
          <w:p w14:paraId="1E4D6F09"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1BA95D33"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8.8</w:t>
            </w:r>
          </w:p>
        </w:tc>
        <w:tc>
          <w:tcPr>
            <w:tcW w:w="992" w:type="dxa"/>
            <w:shd w:val="clear" w:color="auto" w:fill="auto"/>
            <w:vAlign w:val="center"/>
            <w:hideMark/>
          </w:tcPr>
          <w:p w14:paraId="4B69387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8.5</w:t>
            </w:r>
          </w:p>
        </w:tc>
        <w:tc>
          <w:tcPr>
            <w:tcW w:w="992" w:type="dxa"/>
            <w:shd w:val="clear" w:color="auto" w:fill="auto"/>
            <w:vAlign w:val="center"/>
            <w:hideMark/>
          </w:tcPr>
          <w:p w14:paraId="1EA7AC8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9.0</w:t>
            </w:r>
          </w:p>
        </w:tc>
        <w:tc>
          <w:tcPr>
            <w:tcW w:w="1276" w:type="dxa"/>
            <w:shd w:val="clear" w:color="auto" w:fill="auto"/>
            <w:vAlign w:val="center"/>
            <w:hideMark/>
          </w:tcPr>
          <w:p w14:paraId="2193AB70"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13.6</w:t>
            </w:r>
          </w:p>
        </w:tc>
        <w:tc>
          <w:tcPr>
            <w:tcW w:w="1317" w:type="dxa"/>
            <w:shd w:val="clear" w:color="auto" w:fill="auto"/>
            <w:vAlign w:val="center"/>
            <w:hideMark/>
          </w:tcPr>
          <w:p w14:paraId="3924B816" w14:textId="2E24F370"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14.2</w:t>
            </w:r>
          </w:p>
        </w:tc>
      </w:tr>
      <w:tr w:rsidR="00204FE0" w:rsidRPr="001466DC" w14:paraId="04AB27AD" w14:textId="77777777" w:rsidTr="004B410F">
        <w:trPr>
          <w:trHeight w:val="289"/>
        </w:trPr>
        <w:tc>
          <w:tcPr>
            <w:tcW w:w="3218" w:type="dxa"/>
            <w:shd w:val="clear" w:color="auto" w:fill="auto"/>
            <w:vAlign w:val="center"/>
            <w:hideMark/>
          </w:tcPr>
          <w:p w14:paraId="16A20CA6"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61CC01B0"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3.5</w:t>
            </w:r>
          </w:p>
        </w:tc>
        <w:tc>
          <w:tcPr>
            <w:tcW w:w="992" w:type="dxa"/>
            <w:shd w:val="clear" w:color="auto" w:fill="auto"/>
            <w:vAlign w:val="center"/>
            <w:hideMark/>
          </w:tcPr>
          <w:p w14:paraId="6A699E6B"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1.4</w:t>
            </w:r>
          </w:p>
        </w:tc>
        <w:tc>
          <w:tcPr>
            <w:tcW w:w="992" w:type="dxa"/>
            <w:shd w:val="clear" w:color="auto" w:fill="auto"/>
            <w:vAlign w:val="center"/>
            <w:hideMark/>
          </w:tcPr>
          <w:p w14:paraId="70EF54C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24.4</w:t>
            </w:r>
          </w:p>
        </w:tc>
        <w:tc>
          <w:tcPr>
            <w:tcW w:w="1276" w:type="dxa"/>
            <w:shd w:val="clear" w:color="auto" w:fill="auto"/>
            <w:vAlign w:val="center"/>
            <w:hideMark/>
          </w:tcPr>
          <w:p w14:paraId="28940AF8"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38.7</w:t>
            </w:r>
          </w:p>
        </w:tc>
        <w:tc>
          <w:tcPr>
            <w:tcW w:w="1317" w:type="dxa"/>
            <w:shd w:val="clear" w:color="auto" w:fill="auto"/>
            <w:vAlign w:val="center"/>
            <w:hideMark/>
          </w:tcPr>
          <w:p w14:paraId="52759A3E" w14:textId="290D40B8"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114.9</w:t>
            </w:r>
          </w:p>
        </w:tc>
      </w:tr>
      <w:tr w:rsidR="00204FE0" w:rsidRPr="001466DC" w14:paraId="56879F37" w14:textId="77777777" w:rsidTr="004B410F">
        <w:trPr>
          <w:trHeight w:val="289"/>
        </w:trPr>
        <w:tc>
          <w:tcPr>
            <w:tcW w:w="3218" w:type="dxa"/>
            <w:shd w:val="clear" w:color="auto" w:fill="auto"/>
            <w:vAlign w:val="center"/>
            <w:hideMark/>
          </w:tcPr>
          <w:p w14:paraId="351DC195"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Սոցիալական </w:t>
            </w:r>
          </w:p>
        </w:tc>
        <w:tc>
          <w:tcPr>
            <w:tcW w:w="1177" w:type="dxa"/>
            <w:shd w:val="clear" w:color="auto" w:fill="auto"/>
            <w:vAlign w:val="center"/>
            <w:hideMark/>
          </w:tcPr>
          <w:p w14:paraId="519851A3"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1.5</w:t>
            </w:r>
          </w:p>
        </w:tc>
        <w:tc>
          <w:tcPr>
            <w:tcW w:w="992" w:type="dxa"/>
            <w:shd w:val="clear" w:color="auto" w:fill="auto"/>
            <w:vAlign w:val="center"/>
            <w:hideMark/>
          </w:tcPr>
          <w:p w14:paraId="5B80B241"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2.5</w:t>
            </w:r>
          </w:p>
        </w:tc>
        <w:tc>
          <w:tcPr>
            <w:tcW w:w="992" w:type="dxa"/>
            <w:shd w:val="clear" w:color="auto" w:fill="auto"/>
            <w:vAlign w:val="center"/>
            <w:hideMark/>
          </w:tcPr>
          <w:p w14:paraId="734351DC"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2.9</w:t>
            </w:r>
          </w:p>
        </w:tc>
        <w:tc>
          <w:tcPr>
            <w:tcW w:w="1276" w:type="dxa"/>
            <w:shd w:val="clear" w:color="auto" w:fill="auto"/>
            <w:vAlign w:val="center"/>
            <w:hideMark/>
          </w:tcPr>
          <w:p w14:paraId="78A8547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7.8</w:t>
            </w:r>
          </w:p>
        </w:tc>
        <w:tc>
          <w:tcPr>
            <w:tcW w:w="1317" w:type="dxa"/>
            <w:shd w:val="clear" w:color="auto" w:fill="auto"/>
            <w:vAlign w:val="center"/>
            <w:hideMark/>
          </w:tcPr>
          <w:p w14:paraId="6CBE2B14" w14:textId="395AEBB7"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5.6</w:t>
            </w:r>
          </w:p>
        </w:tc>
      </w:tr>
      <w:tr w:rsidR="00204FE0" w:rsidRPr="001466DC" w14:paraId="2AA8B6A3" w14:textId="77777777" w:rsidTr="004B410F">
        <w:trPr>
          <w:trHeight w:val="289"/>
        </w:trPr>
        <w:tc>
          <w:tcPr>
            <w:tcW w:w="3218" w:type="dxa"/>
            <w:shd w:val="clear" w:color="auto" w:fill="auto"/>
            <w:vAlign w:val="center"/>
            <w:hideMark/>
          </w:tcPr>
          <w:p w14:paraId="2BF3F20C"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489993D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1.2</w:t>
            </w:r>
          </w:p>
        </w:tc>
        <w:tc>
          <w:tcPr>
            <w:tcW w:w="992" w:type="dxa"/>
            <w:shd w:val="clear" w:color="auto" w:fill="auto"/>
            <w:vAlign w:val="center"/>
            <w:hideMark/>
          </w:tcPr>
          <w:p w14:paraId="46CA9FD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1.2</w:t>
            </w:r>
          </w:p>
        </w:tc>
        <w:tc>
          <w:tcPr>
            <w:tcW w:w="992" w:type="dxa"/>
            <w:shd w:val="clear" w:color="auto" w:fill="auto"/>
            <w:vAlign w:val="center"/>
            <w:hideMark/>
          </w:tcPr>
          <w:p w14:paraId="6663B08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2.6</w:t>
            </w:r>
          </w:p>
        </w:tc>
        <w:tc>
          <w:tcPr>
            <w:tcW w:w="1276" w:type="dxa"/>
            <w:shd w:val="clear" w:color="auto" w:fill="auto"/>
            <w:vAlign w:val="center"/>
            <w:hideMark/>
          </w:tcPr>
          <w:p w14:paraId="19793E89"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7.4</w:t>
            </w:r>
          </w:p>
        </w:tc>
        <w:tc>
          <w:tcPr>
            <w:tcW w:w="1317" w:type="dxa"/>
            <w:shd w:val="clear" w:color="auto" w:fill="auto"/>
            <w:vAlign w:val="center"/>
            <w:hideMark/>
          </w:tcPr>
          <w:p w14:paraId="5B60C66A" w14:textId="719DF9D6"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4.5</w:t>
            </w:r>
          </w:p>
        </w:tc>
      </w:tr>
      <w:tr w:rsidR="00204FE0" w:rsidRPr="001466DC" w14:paraId="69E2652B" w14:textId="77777777" w:rsidTr="004B410F">
        <w:trPr>
          <w:trHeight w:val="289"/>
        </w:trPr>
        <w:tc>
          <w:tcPr>
            <w:tcW w:w="3218" w:type="dxa"/>
            <w:shd w:val="clear" w:color="auto" w:fill="auto"/>
            <w:vAlign w:val="center"/>
            <w:hideMark/>
          </w:tcPr>
          <w:p w14:paraId="257354CC"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5488D7D2"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0.3</w:t>
            </w:r>
          </w:p>
        </w:tc>
        <w:tc>
          <w:tcPr>
            <w:tcW w:w="992" w:type="dxa"/>
            <w:shd w:val="clear" w:color="auto" w:fill="auto"/>
            <w:vAlign w:val="center"/>
            <w:hideMark/>
          </w:tcPr>
          <w:p w14:paraId="20CC7898"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1.3</w:t>
            </w:r>
          </w:p>
        </w:tc>
        <w:tc>
          <w:tcPr>
            <w:tcW w:w="992" w:type="dxa"/>
            <w:shd w:val="clear" w:color="auto" w:fill="auto"/>
            <w:vAlign w:val="center"/>
            <w:hideMark/>
          </w:tcPr>
          <w:p w14:paraId="5F3B28D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0.3</w:t>
            </w:r>
          </w:p>
        </w:tc>
        <w:tc>
          <w:tcPr>
            <w:tcW w:w="1276" w:type="dxa"/>
            <w:shd w:val="clear" w:color="auto" w:fill="auto"/>
            <w:vAlign w:val="center"/>
            <w:hideMark/>
          </w:tcPr>
          <w:p w14:paraId="7B9BE20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0.4</w:t>
            </w:r>
          </w:p>
        </w:tc>
        <w:tc>
          <w:tcPr>
            <w:tcW w:w="1317" w:type="dxa"/>
            <w:shd w:val="clear" w:color="auto" w:fill="auto"/>
            <w:vAlign w:val="center"/>
            <w:hideMark/>
          </w:tcPr>
          <w:p w14:paraId="263C1445" w14:textId="45366337"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1.1</w:t>
            </w:r>
          </w:p>
        </w:tc>
      </w:tr>
      <w:tr w:rsidR="00204FE0" w:rsidRPr="001466DC" w14:paraId="7B5422FD" w14:textId="77777777" w:rsidTr="004B410F">
        <w:trPr>
          <w:trHeight w:val="289"/>
        </w:trPr>
        <w:tc>
          <w:tcPr>
            <w:tcW w:w="3218" w:type="dxa"/>
            <w:shd w:val="clear" w:color="auto" w:fill="auto"/>
            <w:vAlign w:val="center"/>
            <w:hideMark/>
          </w:tcPr>
          <w:p w14:paraId="2D50151D"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Ուժային </w:t>
            </w:r>
          </w:p>
        </w:tc>
        <w:tc>
          <w:tcPr>
            <w:tcW w:w="1177" w:type="dxa"/>
            <w:shd w:val="clear" w:color="auto" w:fill="auto"/>
            <w:vAlign w:val="center"/>
            <w:hideMark/>
          </w:tcPr>
          <w:p w14:paraId="7446C1F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140.4</w:t>
            </w:r>
          </w:p>
        </w:tc>
        <w:tc>
          <w:tcPr>
            <w:tcW w:w="992" w:type="dxa"/>
            <w:shd w:val="clear" w:color="auto" w:fill="auto"/>
            <w:vAlign w:val="center"/>
            <w:hideMark/>
          </w:tcPr>
          <w:p w14:paraId="598CF98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88.7</w:t>
            </w:r>
          </w:p>
        </w:tc>
        <w:tc>
          <w:tcPr>
            <w:tcW w:w="992" w:type="dxa"/>
            <w:shd w:val="clear" w:color="auto" w:fill="auto"/>
            <w:vAlign w:val="center"/>
            <w:hideMark/>
          </w:tcPr>
          <w:p w14:paraId="104E6CC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131.3</w:t>
            </w:r>
          </w:p>
        </w:tc>
        <w:tc>
          <w:tcPr>
            <w:tcW w:w="1276" w:type="dxa"/>
            <w:shd w:val="clear" w:color="auto" w:fill="auto"/>
            <w:vAlign w:val="center"/>
            <w:hideMark/>
          </w:tcPr>
          <w:p w14:paraId="2BAF6D2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291.2</w:t>
            </w:r>
          </w:p>
        </w:tc>
        <w:tc>
          <w:tcPr>
            <w:tcW w:w="1317" w:type="dxa"/>
            <w:shd w:val="clear" w:color="auto" w:fill="auto"/>
            <w:vAlign w:val="center"/>
            <w:hideMark/>
          </w:tcPr>
          <w:p w14:paraId="03FC2640" w14:textId="713AE6BD"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294.1</w:t>
            </w:r>
          </w:p>
        </w:tc>
      </w:tr>
      <w:tr w:rsidR="00204FE0" w:rsidRPr="001466DC" w14:paraId="0641680A" w14:textId="77777777" w:rsidTr="004B410F">
        <w:trPr>
          <w:trHeight w:val="289"/>
        </w:trPr>
        <w:tc>
          <w:tcPr>
            <w:tcW w:w="3218" w:type="dxa"/>
            <w:shd w:val="clear" w:color="auto" w:fill="auto"/>
            <w:vAlign w:val="center"/>
            <w:hideMark/>
          </w:tcPr>
          <w:p w14:paraId="65CF3786"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5991F402"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992" w:type="dxa"/>
            <w:shd w:val="clear" w:color="auto" w:fill="auto"/>
            <w:vAlign w:val="center"/>
            <w:hideMark/>
          </w:tcPr>
          <w:p w14:paraId="4F4AD2E2"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992" w:type="dxa"/>
            <w:shd w:val="clear" w:color="auto" w:fill="auto"/>
            <w:vAlign w:val="center"/>
            <w:hideMark/>
          </w:tcPr>
          <w:p w14:paraId="0488FFF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1276" w:type="dxa"/>
            <w:shd w:val="clear" w:color="auto" w:fill="auto"/>
            <w:vAlign w:val="center"/>
            <w:hideMark/>
          </w:tcPr>
          <w:p w14:paraId="16D18F97"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0.0</w:t>
            </w:r>
          </w:p>
        </w:tc>
        <w:tc>
          <w:tcPr>
            <w:tcW w:w="1317" w:type="dxa"/>
            <w:shd w:val="clear" w:color="auto" w:fill="auto"/>
            <w:vAlign w:val="center"/>
            <w:hideMark/>
          </w:tcPr>
          <w:p w14:paraId="007E3EF2" w14:textId="18A5AD3E"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0.0</w:t>
            </w:r>
          </w:p>
        </w:tc>
      </w:tr>
      <w:tr w:rsidR="00204FE0" w:rsidRPr="001466DC" w14:paraId="0CDC14E3" w14:textId="77777777" w:rsidTr="004B410F">
        <w:trPr>
          <w:trHeight w:val="289"/>
        </w:trPr>
        <w:tc>
          <w:tcPr>
            <w:tcW w:w="3218" w:type="dxa"/>
            <w:shd w:val="clear" w:color="auto" w:fill="auto"/>
            <w:vAlign w:val="center"/>
            <w:hideMark/>
          </w:tcPr>
          <w:p w14:paraId="1640FBDD"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560AFD0C"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140.4</w:t>
            </w:r>
          </w:p>
        </w:tc>
        <w:tc>
          <w:tcPr>
            <w:tcW w:w="992" w:type="dxa"/>
            <w:shd w:val="clear" w:color="auto" w:fill="auto"/>
            <w:vAlign w:val="center"/>
            <w:hideMark/>
          </w:tcPr>
          <w:p w14:paraId="7E9A92EC"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88.7</w:t>
            </w:r>
          </w:p>
        </w:tc>
        <w:tc>
          <w:tcPr>
            <w:tcW w:w="992" w:type="dxa"/>
            <w:shd w:val="clear" w:color="auto" w:fill="auto"/>
            <w:vAlign w:val="center"/>
            <w:hideMark/>
          </w:tcPr>
          <w:p w14:paraId="0B036ACA"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131.3</w:t>
            </w:r>
          </w:p>
        </w:tc>
        <w:tc>
          <w:tcPr>
            <w:tcW w:w="1276" w:type="dxa"/>
            <w:shd w:val="clear" w:color="auto" w:fill="auto"/>
            <w:vAlign w:val="center"/>
            <w:hideMark/>
          </w:tcPr>
          <w:p w14:paraId="1D246F06"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291.2</w:t>
            </w:r>
          </w:p>
        </w:tc>
        <w:tc>
          <w:tcPr>
            <w:tcW w:w="1317" w:type="dxa"/>
            <w:shd w:val="clear" w:color="auto" w:fill="auto"/>
            <w:vAlign w:val="center"/>
            <w:hideMark/>
          </w:tcPr>
          <w:p w14:paraId="19C3F008" w14:textId="77C4BC0B"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294.1</w:t>
            </w:r>
          </w:p>
        </w:tc>
      </w:tr>
      <w:tr w:rsidR="00204FE0" w:rsidRPr="001466DC" w14:paraId="6299E68E" w14:textId="77777777" w:rsidTr="004B410F">
        <w:trPr>
          <w:trHeight w:val="289"/>
        </w:trPr>
        <w:tc>
          <w:tcPr>
            <w:tcW w:w="3218" w:type="dxa"/>
            <w:shd w:val="clear" w:color="auto" w:fill="auto"/>
            <w:vAlign w:val="center"/>
            <w:hideMark/>
          </w:tcPr>
          <w:p w14:paraId="721A01DB"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Այլ </w:t>
            </w:r>
          </w:p>
        </w:tc>
        <w:tc>
          <w:tcPr>
            <w:tcW w:w="1177" w:type="dxa"/>
            <w:shd w:val="clear" w:color="auto" w:fill="auto"/>
            <w:vAlign w:val="center"/>
            <w:hideMark/>
          </w:tcPr>
          <w:p w14:paraId="6AC63401"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13.4</w:t>
            </w:r>
          </w:p>
        </w:tc>
        <w:tc>
          <w:tcPr>
            <w:tcW w:w="992" w:type="dxa"/>
            <w:shd w:val="clear" w:color="auto" w:fill="auto"/>
            <w:vAlign w:val="center"/>
            <w:hideMark/>
          </w:tcPr>
          <w:p w14:paraId="50C5F788"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26.3</w:t>
            </w:r>
          </w:p>
        </w:tc>
        <w:tc>
          <w:tcPr>
            <w:tcW w:w="992" w:type="dxa"/>
            <w:shd w:val="clear" w:color="auto" w:fill="auto"/>
            <w:vAlign w:val="center"/>
            <w:hideMark/>
          </w:tcPr>
          <w:p w14:paraId="55B60F4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36.1</w:t>
            </w:r>
          </w:p>
        </w:tc>
        <w:tc>
          <w:tcPr>
            <w:tcW w:w="1276" w:type="dxa"/>
            <w:shd w:val="clear" w:color="auto" w:fill="auto"/>
            <w:vAlign w:val="center"/>
            <w:hideMark/>
          </w:tcPr>
          <w:p w14:paraId="4474B55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44.7</w:t>
            </w:r>
          </w:p>
        </w:tc>
        <w:tc>
          <w:tcPr>
            <w:tcW w:w="1317" w:type="dxa"/>
            <w:shd w:val="clear" w:color="auto" w:fill="auto"/>
            <w:vAlign w:val="center"/>
            <w:hideMark/>
          </w:tcPr>
          <w:p w14:paraId="4C5E8ED2" w14:textId="25FE3AEB"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83.5</w:t>
            </w:r>
          </w:p>
        </w:tc>
      </w:tr>
      <w:tr w:rsidR="00204FE0" w:rsidRPr="001466DC" w14:paraId="206937BB" w14:textId="77777777" w:rsidTr="004B410F">
        <w:trPr>
          <w:trHeight w:val="289"/>
        </w:trPr>
        <w:tc>
          <w:tcPr>
            <w:tcW w:w="3218" w:type="dxa"/>
            <w:shd w:val="clear" w:color="auto" w:fill="auto"/>
            <w:vAlign w:val="center"/>
            <w:hideMark/>
          </w:tcPr>
          <w:p w14:paraId="452EAE60" w14:textId="77777777" w:rsidR="00204FE0" w:rsidRPr="001466DC" w:rsidRDefault="00204FE0" w:rsidP="00204FE0">
            <w:pPr>
              <w:spacing w:before="0" w:line="240" w:lineRule="auto"/>
              <w:jc w:val="left"/>
              <w:rPr>
                <w:b w:val="0"/>
                <w:i/>
                <w:iCs/>
                <w:color w:val="000000"/>
                <w:sz w:val="20"/>
                <w:szCs w:val="20"/>
                <w:lang w:val="en-US" w:eastAsia="en-US"/>
              </w:rPr>
            </w:pPr>
            <w:r w:rsidRPr="001466DC">
              <w:rPr>
                <w:b w:val="0"/>
                <w:i/>
                <w:iCs/>
                <w:color w:val="000000"/>
                <w:sz w:val="20"/>
                <w:szCs w:val="20"/>
                <w:lang w:val="en-US" w:eastAsia="en-US"/>
              </w:rPr>
              <w:t xml:space="preserve"> -  արտաքին աղբյուրներ </w:t>
            </w:r>
          </w:p>
        </w:tc>
        <w:tc>
          <w:tcPr>
            <w:tcW w:w="1177" w:type="dxa"/>
            <w:shd w:val="clear" w:color="auto" w:fill="auto"/>
            <w:vAlign w:val="center"/>
            <w:hideMark/>
          </w:tcPr>
          <w:p w14:paraId="2AE47C1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6.6</w:t>
            </w:r>
          </w:p>
        </w:tc>
        <w:tc>
          <w:tcPr>
            <w:tcW w:w="992" w:type="dxa"/>
            <w:shd w:val="clear" w:color="auto" w:fill="auto"/>
            <w:vAlign w:val="center"/>
            <w:hideMark/>
          </w:tcPr>
          <w:p w14:paraId="1A78F7FD"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21.1</w:t>
            </w:r>
          </w:p>
        </w:tc>
        <w:tc>
          <w:tcPr>
            <w:tcW w:w="992" w:type="dxa"/>
            <w:shd w:val="clear" w:color="auto" w:fill="auto"/>
            <w:vAlign w:val="center"/>
            <w:hideMark/>
          </w:tcPr>
          <w:p w14:paraId="2DCE6DE4"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27.4</w:t>
            </w:r>
          </w:p>
        </w:tc>
        <w:tc>
          <w:tcPr>
            <w:tcW w:w="1276" w:type="dxa"/>
            <w:shd w:val="clear" w:color="auto" w:fill="auto"/>
            <w:vAlign w:val="center"/>
            <w:hideMark/>
          </w:tcPr>
          <w:p w14:paraId="635A9A85"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13.6</w:t>
            </w:r>
          </w:p>
        </w:tc>
        <w:tc>
          <w:tcPr>
            <w:tcW w:w="1317" w:type="dxa"/>
            <w:shd w:val="clear" w:color="auto" w:fill="auto"/>
            <w:vAlign w:val="center"/>
            <w:hideMark/>
          </w:tcPr>
          <w:p w14:paraId="25E6C03A" w14:textId="6576AEB7"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26.3</w:t>
            </w:r>
          </w:p>
        </w:tc>
      </w:tr>
      <w:tr w:rsidR="00204FE0" w:rsidRPr="001466DC" w14:paraId="3D280472" w14:textId="77777777" w:rsidTr="004B410F">
        <w:trPr>
          <w:trHeight w:val="289"/>
        </w:trPr>
        <w:tc>
          <w:tcPr>
            <w:tcW w:w="3218" w:type="dxa"/>
            <w:shd w:val="clear" w:color="auto" w:fill="auto"/>
            <w:vAlign w:val="center"/>
            <w:hideMark/>
          </w:tcPr>
          <w:p w14:paraId="7F8BBF6C" w14:textId="77777777" w:rsidR="00204FE0" w:rsidRPr="001466DC" w:rsidRDefault="00204FE0" w:rsidP="00204FE0">
            <w:pPr>
              <w:spacing w:before="0" w:line="240" w:lineRule="auto"/>
              <w:jc w:val="left"/>
              <w:rPr>
                <w:b w:val="0"/>
                <w:color w:val="000000"/>
                <w:sz w:val="20"/>
                <w:szCs w:val="20"/>
                <w:lang w:val="en-US" w:eastAsia="en-US"/>
              </w:rPr>
            </w:pPr>
            <w:r w:rsidRPr="001466DC">
              <w:rPr>
                <w:b w:val="0"/>
                <w:color w:val="000000"/>
                <w:sz w:val="20"/>
                <w:szCs w:val="20"/>
                <w:lang w:val="en-US" w:eastAsia="en-US"/>
              </w:rPr>
              <w:t xml:space="preserve"> -  ներքին աղբյուրներ </w:t>
            </w:r>
          </w:p>
        </w:tc>
        <w:tc>
          <w:tcPr>
            <w:tcW w:w="1177" w:type="dxa"/>
            <w:shd w:val="clear" w:color="auto" w:fill="auto"/>
            <w:vAlign w:val="center"/>
            <w:hideMark/>
          </w:tcPr>
          <w:p w14:paraId="2F3B7ECF"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6.9</w:t>
            </w:r>
          </w:p>
        </w:tc>
        <w:tc>
          <w:tcPr>
            <w:tcW w:w="992" w:type="dxa"/>
            <w:shd w:val="clear" w:color="auto" w:fill="auto"/>
            <w:vAlign w:val="center"/>
            <w:hideMark/>
          </w:tcPr>
          <w:p w14:paraId="187C8652"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5.2</w:t>
            </w:r>
          </w:p>
        </w:tc>
        <w:tc>
          <w:tcPr>
            <w:tcW w:w="992" w:type="dxa"/>
            <w:shd w:val="clear" w:color="auto" w:fill="auto"/>
            <w:vAlign w:val="center"/>
            <w:hideMark/>
          </w:tcPr>
          <w:p w14:paraId="7C39B753"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8.7</w:t>
            </w:r>
          </w:p>
        </w:tc>
        <w:tc>
          <w:tcPr>
            <w:tcW w:w="1276" w:type="dxa"/>
            <w:shd w:val="clear" w:color="auto" w:fill="auto"/>
            <w:vAlign w:val="center"/>
            <w:hideMark/>
          </w:tcPr>
          <w:p w14:paraId="4D3AEC8E" w14:textId="77777777" w:rsidR="00204FE0" w:rsidRPr="001466DC" w:rsidRDefault="00204FE0" w:rsidP="00DE50C8">
            <w:pPr>
              <w:spacing w:before="0" w:line="240" w:lineRule="auto"/>
              <w:jc w:val="center"/>
              <w:rPr>
                <w:b w:val="0"/>
                <w:color w:val="000000"/>
                <w:sz w:val="20"/>
                <w:szCs w:val="20"/>
                <w:lang w:val="en-US" w:eastAsia="en-US"/>
              </w:rPr>
            </w:pPr>
            <w:r w:rsidRPr="001466DC">
              <w:rPr>
                <w:b w:val="0"/>
                <w:color w:val="000000"/>
                <w:sz w:val="20"/>
                <w:szCs w:val="20"/>
                <w:lang w:val="en-US" w:eastAsia="en-US"/>
              </w:rPr>
              <w:t>31.0</w:t>
            </w:r>
          </w:p>
        </w:tc>
        <w:tc>
          <w:tcPr>
            <w:tcW w:w="1317" w:type="dxa"/>
            <w:shd w:val="clear" w:color="auto" w:fill="auto"/>
            <w:vAlign w:val="center"/>
            <w:hideMark/>
          </w:tcPr>
          <w:p w14:paraId="6891D1BC" w14:textId="10F0A2DD" w:rsidR="00204FE0" w:rsidRPr="00204FE0" w:rsidRDefault="00204FE0" w:rsidP="00DE50C8">
            <w:pPr>
              <w:spacing w:before="0" w:line="240" w:lineRule="auto"/>
              <w:jc w:val="center"/>
              <w:rPr>
                <w:b w:val="0"/>
                <w:color w:val="000000"/>
                <w:sz w:val="20"/>
                <w:szCs w:val="20"/>
                <w:lang w:val="en-US" w:eastAsia="en-US"/>
              </w:rPr>
            </w:pPr>
            <w:r w:rsidRPr="00204FE0">
              <w:rPr>
                <w:b w:val="0"/>
                <w:color w:val="000000"/>
                <w:sz w:val="20"/>
                <w:szCs w:val="20"/>
                <w:lang w:val="en-US" w:eastAsia="en-US"/>
              </w:rPr>
              <w:t>57.2</w:t>
            </w:r>
          </w:p>
        </w:tc>
      </w:tr>
    </w:tbl>
    <w:p w14:paraId="433F5983" w14:textId="77777777" w:rsidR="001466DC" w:rsidRPr="001466DC" w:rsidRDefault="001466DC" w:rsidP="001466DC">
      <w:pPr>
        <w:rPr>
          <w:b w:val="0"/>
          <w:bCs/>
          <w:i/>
          <w:color w:val="5B9BD5"/>
          <w:sz w:val="20"/>
          <w:szCs w:val="20"/>
          <w:lang w:val="hy-AM"/>
        </w:rPr>
      </w:pPr>
    </w:p>
    <w:p w14:paraId="7059D718" w14:textId="77777777" w:rsidR="001466DC" w:rsidRPr="001466DC" w:rsidRDefault="001466DC" w:rsidP="001466DC"/>
    <w:p w14:paraId="419DB21F" w14:textId="77777777" w:rsidR="00C74BDD" w:rsidRPr="009C0E1E" w:rsidRDefault="00C74BDD" w:rsidP="0009272D">
      <w:pPr>
        <w:keepNext/>
        <w:keepLines/>
        <w:spacing w:before="0"/>
        <w:outlineLvl w:val="2"/>
        <w:rPr>
          <w:rFonts w:eastAsiaTheme="majorEastAsia" w:cstheme="majorBidi"/>
          <w:bCs/>
          <w:color w:val="1F497D" w:themeColor="text2"/>
          <w:sz w:val="24"/>
          <w:lang w:val="hy-AM" w:eastAsia="en-US"/>
        </w:rPr>
      </w:pPr>
      <w:bookmarkStart w:id="266" w:name="_Toc153184487"/>
      <w:r w:rsidRPr="009C0E1E">
        <w:rPr>
          <w:rFonts w:eastAsiaTheme="majorEastAsia" w:cstheme="majorBidi"/>
          <w:bCs/>
          <w:color w:val="1F497D" w:themeColor="text2"/>
          <w:sz w:val="24"/>
          <w:lang w:val="hy-AM" w:eastAsia="en-US"/>
        </w:rPr>
        <w:t>ԾԱԽՍԵՐՆ ԸՍՏ ԳՈՐԾԱՌԱԿԱՆ ԴԱՍԱԿԱՐԳՄԱՆ</w:t>
      </w:r>
      <w:bookmarkEnd w:id="259"/>
      <w:bookmarkEnd w:id="260"/>
      <w:bookmarkEnd w:id="266"/>
    </w:p>
    <w:p w14:paraId="59C73995" w14:textId="77777777" w:rsidR="00C74BDD" w:rsidRPr="00C74BDD" w:rsidRDefault="00C74BDD" w:rsidP="002E02D6">
      <w:pPr>
        <w:keepNext/>
        <w:tabs>
          <w:tab w:val="left" w:pos="709"/>
        </w:tabs>
        <w:jc w:val="left"/>
        <w:outlineLvl w:val="2"/>
        <w:rPr>
          <w:rFonts w:eastAsia="Calibri" w:cs="GHEA Grapalat"/>
          <w:bCs/>
          <w:sz w:val="24"/>
          <w:szCs w:val="26"/>
          <w:lang w:val="af-ZA" w:eastAsia="en-US"/>
        </w:rPr>
      </w:pPr>
    </w:p>
    <w:p w14:paraId="50F596B1" w14:textId="77777777" w:rsidR="004B410F" w:rsidRPr="00C74BDD" w:rsidRDefault="004B410F" w:rsidP="004B410F">
      <w:pPr>
        <w:rPr>
          <w:rFonts w:eastAsiaTheme="minorHAnsi" w:cs="Cambria Math"/>
          <w:b w:val="0"/>
          <w:szCs w:val="22"/>
          <w:lang w:val="hy-AM" w:eastAsia="en-US"/>
        </w:rPr>
      </w:pPr>
      <w:r w:rsidRPr="00C74BDD">
        <w:rPr>
          <w:rFonts w:eastAsiaTheme="minorHAnsi" w:cs="Cambria Math"/>
          <w:b w:val="0"/>
          <w:szCs w:val="22"/>
          <w:lang w:val="af-ZA" w:eastAsia="en-US"/>
        </w:rPr>
        <w:t>20</w:t>
      </w:r>
      <w:r>
        <w:rPr>
          <w:rFonts w:eastAsiaTheme="minorHAnsi" w:cs="Cambria Math"/>
          <w:b w:val="0"/>
          <w:szCs w:val="22"/>
          <w:lang w:val="hy-AM" w:eastAsia="en-US"/>
        </w:rPr>
        <w:t>20</w:t>
      </w:r>
      <w:r w:rsidRPr="00C74BDD">
        <w:rPr>
          <w:rFonts w:eastAsiaTheme="minorHAnsi" w:cs="Cambria Math"/>
          <w:b w:val="0"/>
          <w:szCs w:val="22"/>
          <w:lang w:val="af-ZA" w:eastAsia="en-US"/>
        </w:rPr>
        <w:t>-202</w:t>
      </w:r>
      <w:r>
        <w:rPr>
          <w:rFonts w:eastAsiaTheme="minorHAnsi" w:cs="Cambria Math"/>
          <w:b w:val="0"/>
          <w:szCs w:val="22"/>
          <w:lang w:val="hy-AM" w:eastAsia="en-US"/>
        </w:rPr>
        <w:t>4</w:t>
      </w:r>
      <w:r w:rsidRPr="002F6A62">
        <w:rPr>
          <w:rFonts w:eastAsiaTheme="minorHAnsi" w:cs="Cambria Math"/>
          <w:b w:val="0"/>
          <w:szCs w:val="22"/>
          <w:lang w:val="hy-AM" w:eastAsia="en-US"/>
        </w:rPr>
        <w:t>թթ</w:t>
      </w:r>
      <w:r w:rsidRPr="00C74BDD">
        <w:rPr>
          <w:rFonts w:eastAsiaTheme="minorHAnsi" w:cs="Cambria Math" w:hint="eastAsia"/>
          <w:b w:val="0"/>
          <w:szCs w:val="22"/>
          <w:lang w:val="af-ZA" w:eastAsia="en-US"/>
        </w:rPr>
        <w:t>․</w:t>
      </w:r>
      <w:r w:rsidRPr="002F6A62">
        <w:rPr>
          <w:rFonts w:eastAsiaTheme="minorHAnsi" w:cs="Cambria Math"/>
          <w:b w:val="0"/>
          <w:szCs w:val="22"/>
          <w:lang w:val="hy-AM" w:eastAsia="en-US"/>
        </w:rPr>
        <w:t>ժամանակահատվածում</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նկատելի</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է</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նախորդ</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տարվա</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համեմատությամբ</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պետական</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բյուջեի</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ընդամենը</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ծախսերի</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աճը՝</w:t>
      </w:r>
      <w:r w:rsidRPr="00C74BDD">
        <w:rPr>
          <w:rFonts w:eastAsiaTheme="minorHAnsi" w:cs="Cambria Math"/>
          <w:b w:val="0"/>
          <w:szCs w:val="22"/>
          <w:lang w:val="af-ZA" w:eastAsia="en-US"/>
        </w:rPr>
        <w:t xml:space="preserve"> 202</w:t>
      </w:r>
      <w:r>
        <w:rPr>
          <w:rFonts w:eastAsiaTheme="minorHAnsi" w:cs="Cambria Math"/>
          <w:b w:val="0"/>
          <w:szCs w:val="22"/>
          <w:lang w:val="hy-AM" w:eastAsia="en-US"/>
        </w:rPr>
        <w:t>1</w:t>
      </w:r>
      <w:r w:rsidRPr="002F6A62">
        <w:rPr>
          <w:rFonts w:eastAsiaTheme="minorHAnsi" w:cs="Cambria Math"/>
          <w:b w:val="0"/>
          <w:szCs w:val="22"/>
          <w:lang w:val="hy-AM" w:eastAsia="en-US"/>
        </w:rPr>
        <w:t>թ</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թվականին՝</w:t>
      </w:r>
      <w:r w:rsidRPr="00C74BDD">
        <w:rPr>
          <w:rFonts w:eastAsiaTheme="minorHAnsi" w:cs="Cambria Math"/>
          <w:b w:val="0"/>
          <w:szCs w:val="22"/>
          <w:lang w:val="af-ZA" w:eastAsia="en-US"/>
        </w:rPr>
        <w:t xml:space="preserve"> 20</w:t>
      </w:r>
      <w:r>
        <w:rPr>
          <w:rFonts w:eastAsiaTheme="minorHAnsi" w:cs="Cambria Math"/>
          <w:b w:val="0"/>
          <w:szCs w:val="22"/>
          <w:lang w:val="hy-AM" w:eastAsia="en-US"/>
        </w:rPr>
        <w:t>20</w:t>
      </w:r>
      <w:r>
        <w:rPr>
          <w:rFonts w:eastAsiaTheme="minorHAnsi" w:cs="Cambria Math"/>
          <w:b w:val="0"/>
          <w:szCs w:val="22"/>
          <w:lang w:val="af-ZA" w:eastAsia="en-US"/>
        </w:rPr>
        <w:t xml:space="preserve"> </w:t>
      </w:r>
      <w:r w:rsidRPr="002F6A62">
        <w:rPr>
          <w:rFonts w:eastAsiaTheme="minorHAnsi" w:cs="Cambria Math"/>
          <w:b w:val="0"/>
          <w:szCs w:val="22"/>
          <w:lang w:val="hy-AM" w:eastAsia="en-US"/>
        </w:rPr>
        <w:t>թ</w:t>
      </w:r>
      <w:r w:rsidRPr="00C74BDD">
        <w:rPr>
          <w:rFonts w:eastAsiaTheme="minorHAnsi" w:cs="Cambria Math"/>
          <w:b w:val="0"/>
          <w:szCs w:val="22"/>
          <w:lang w:val="hy-AM" w:eastAsia="en-US"/>
        </w:rPr>
        <w:t>վականի</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համեմատ</w:t>
      </w:r>
      <w:r w:rsidRPr="00C74BDD">
        <w:rPr>
          <w:rFonts w:eastAsiaTheme="minorHAnsi" w:cs="Cambria Math"/>
          <w:b w:val="0"/>
          <w:szCs w:val="22"/>
          <w:lang w:val="af-ZA" w:eastAsia="en-US"/>
        </w:rPr>
        <w:t xml:space="preserve"> </w:t>
      </w:r>
      <w:r>
        <w:rPr>
          <w:rFonts w:eastAsiaTheme="minorHAnsi" w:cs="Cambria Math"/>
          <w:b w:val="0"/>
          <w:szCs w:val="22"/>
          <w:lang w:val="hy-AM" w:eastAsia="en-US"/>
        </w:rPr>
        <w:lastRenderedPageBreak/>
        <w:t>1</w:t>
      </w:r>
      <w:r w:rsidRPr="008D24F0">
        <w:rPr>
          <w:rFonts w:eastAsiaTheme="minorHAnsi" w:cs="Cambria Math"/>
          <w:b w:val="0"/>
          <w:szCs w:val="22"/>
          <w:lang w:val="af-ZA" w:eastAsia="en-US"/>
        </w:rPr>
        <w:t>1</w:t>
      </w:r>
      <w:r>
        <w:rPr>
          <w:rFonts w:eastAsiaTheme="minorHAnsi" w:cs="Cambria Math"/>
          <w:b w:val="0"/>
          <w:szCs w:val="22"/>
          <w:lang w:val="af-ZA" w:eastAsia="en-US"/>
        </w:rPr>
        <w:t>9</w:t>
      </w:r>
      <w:r w:rsidRPr="00666D42">
        <w:rPr>
          <w:rFonts w:eastAsiaTheme="minorHAnsi" w:cs="Cambria Math"/>
          <w:b w:val="0"/>
          <w:szCs w:val="22"/>
          <w:lang w:val="af-ZA" w:eastAsia="en-US"/>
        </w:rPr>
        <w:t>.</w:t>
      </w:r>
      <w:r>
        <w:rPr>
          <w:rFonts w:eastAsiaTheme="minorHAnsi" w:cs="Cambria Math"/>
          <w:b w:val="0"/>
          <w:szCs w:val="22"/>
          <w:lang w:val="af-ZA" w:eastAsia="en-US"/>
        </w:rPr>
        <w:t>1</w:t>
      </w:r>
      <w:r w:rsidRPr="00C74BDD">
        <w:rPr>
          <w:rFonts w:eastAsiaTheme="minorHAnsi" w:cs="Cambria Math"/>
          <w:b w:val="0"/>
          <w:szCs w:val="22"/>
          <w:lang w:val="af-ZA" w:eastAsia="en-US"/>
        </w:rPr>
        <w:t xml:space="preserve"> </w:t>
      </w:r>
      <w:r w:rsidRPr="002F6A62">
        <w:rPr>
          <w:rFonts w:eastAsiaTheme="minorHAnsi" w:cs="Cambria Math"/>
          <w:b w:val="0"/>
          <w:szCs w:val="22"/>
          <w:lang w:val="hy-AM" w:eastAsia="en-US"/>
        </w:rPr>
        <w:t>մլրդ</w:t>
      </w:r>
      <w:r w:rsidRPr="00C74BDD">
        <w:rPr>
          <w:rFonts w:eastAsiaTheme="minorHAnsi" w:cs="Cambria Math"/>
          <w:b w:val="0"/>
          <w:szCs w:val="22"/>
          <w:lang w:val="af-ZA" w:eastAsia="en-US"/>
        </w:rPr>
        <w:t xml:space="preserve">. </w:t>
      </w:r>
      <w:r w:rsidRPr="00C74BDD">
        <w:rPr>
          <w:rFonts w:eastAsiaTheme="minorHAnsi" w:cs="Cambria Math"/>
          <w:b w:val="0"/>
          <w:szCs w:val="22"/>
          <w:lang w:val="en-US" w:eastAsia="en-US"/>
        </w:rPr>
        <w:t>ՀՀ</w:t>
      </w:r>
      <w:r w:rsidRPr="00C74BDD">
        <w:rPr>
          <w:rFonts w:eastAsiaTheme="minorHAnsi" w:cs="Cambria Math"/>
          <w:b w:val="0"/>
          <w:szCs w:val="22"/>
          <w:lang w:val="af-ZA" w:eastAsia="en-US"/>
        </w:rPr>
        <w:t xml:space="preserve"> </w:t>
      </w:r>
      <w:r w:rsidRPr="00C74BDD">
        <w:rPr>
          <w:rFonts w:eastAsiaTheme="minorHAnsi" w:cs="Cambria Math"/>
          <w:b w:val="0"/>
          <w:szCs w:val="22"/>
          <w:lang w:val="en-US" w:eastAsia="en-US"/>
        </w:rPr>
        <w:t>դրամի</w:t>
      </w:r>
      <w:r w:rsidRPr="00C74BDD">
        <w:rPr>
          <w:rFonts w:eastAsiaTheme="minorHAnsi" w:cs="Cambria Math"/>
          <w:b w:val="0"/>
          <w:szCs w:val="22"/>
          <w:lang w:val="af-ZA" w:eastAsia="en-US"/>
        </w:rPr>
        <w:t>, 202</w:t>
      </w:r>
      <w:r>
        <w:rPr>
          <w:rFonts w:eastAsiaTheme="minorHAnsi" w:cs="Cambria Math"/>
          <w:b w:val="0"/>
          <w:szCs w:val="22"/>
          <w:lang w:val="hy-AM" w:eastAsia="en-US"/>
        </w:rPr>
        <w:t>2</w:t>
      </w:r>
      <w:r w:rsidRPr="00C74BDD">
        <w:rPr>
          <w:rFonts w:eastAsiaTheme="minorHAnsi" w:cs="Cambria Math"/>
          <w:b w:val="0"/>
          <w:szCs w:val="22"/>
          <w:lang w:val="hy-AM" w:eastAsia="en-US"/>
        </w:rPr>
        <w:t xml:space="preserve"> թվականին՝ 202</w:t>
      </w:r>
      <w:r>
        <w:rPr>
          <w:rFonts w:eastAsiaTheme="minorHAnsi" w:cs="Cambria Math"/>
          <w:b w:val="0"/>
          <w:szCs w:val="22"/>
          <w:lang w:val="hy-AM" w:eastAsia="en-US"/>
        </w:rPr>
        <w:t>1</w:t>
      </w:r>
      <w:r w:rsidRPr="00C74BDD">
        <w:rPr>
          <w:rFonts w:eastAsiaTheme="minorHAnsi" w:cs="Cambria Math"/>
          <w:b w:val="0"/>
          <w:szCs w:val="22"/>
          <w:lang w:val="hy-AM" w:eastAsia="en-US"/>
        </w:rPr>
        <w:t xml:space="preserve">-ի համեմատ՝ </w:t>
      </w:r>
      <w:r w:rsidRPr="00666D42">
        <w:rPr>
          <w:rFonts w:eastAsiaTheme="minorHAnsi" w:cs="Cambria Math"/>
          <w:b w:val="0"/>
          <w:szCs w:val="22"/>
          <w:lang w:val="af-ZA" w:eastAsia="en-US"/>
        </w:rPr>
        <w:t>2</w:t>
      </w:r>
      <w:r w:rsidRPr="008D24F0">
        <w:rPr>
          <w:rFonts w:eastAsiaTheme="minorHAnsi" w:cs="Cambria Math"/>
          <w:b w:val="0"/>
          <w:szCs w:val="22"/>
          <w:lang w:val="af-ZA" w:eastAsia="en-US"/>
        </w:rPr>
        <w:t>52</w:t>
      </w:r>
      <w:r w:rsidRPr="00C74BDD">
        <w:rPr>
          <w:rFonts w:eastAsiaTheme="minorHAnsi" w:cs="Cambria Math"/>
          <w:b w:val="0"/>
          <w:szCs w:val="22"/>
          <w:lang w:val="hy-AM" w:eastAsia="en-US"/>
        </w:rPr>
        <w:t>.</w:t>
      </w:r>
      <w:r w:rsidRPr="00666D42">
        <w:rPr>
          <w:rFonts w:eastAsiaTheme="minorHAnsi" w:cs="Cambria Math"/>
          <w:b w:val="0"/>
          <w:szCs w:val="22"/>
          <w:lang w:val="af-ZA" w:eastAsia="en-US"/>
        </w:rPr>
        <w:t>3</w:t>
      </w:r>
      <w:r w:rsidRPr="00C74BDD">
        <w:rPr>
          <w:rFonts w:eastAsiaTheme="minorHAnsi" w:cs="Cambria Math"/>
          <w:b w:val="0"/>
          <w:szCs w:val="22"/>
          <w:lang w:val="hy-AM" w:eastAsia="en-US"/>
        </w:rPr>
        <w:t xml:space="preserve"> մլրդ. ՀՀ դրամի չափով։ Բացառություն չէ նաև 202</w:t>
      </w:r>
      <w:r>
        <w:rPr>
          <w:rFonts w:eastAsiaTheme="minorHAnsi" w:cs="Cambria Math"/>
          <w:b w:val="0"/>
          <w:szCs w:val="22"/>
          <w:lang w:val="hy-AM" w:eastAsia="en-US"/>
        </w:rPr>
        <w:t>3</w:t>
      </w:r>
      <w:r w:rsidRPr="00C74BDD">
        <w:rPr>
          <w:rFonts w:eastAsiaTheme="minorHAnsi" w:cs="Cambria Math"/>
          <w:b w:val="0"/>
          <w:szCs w:val="22"/>
          <w:lang w:val="hy-AM" w:eastAsia="en-US"/>
        </w:rPr>
        <w:t>թ</w:t>
      </w:r>
      <w:r w:rsidRPr="00C74BDD">
        <w:rPr>
          <w:rFonts w:ascii="Cambria Math" w:eastAsiaTheme="minorHAnsi" w:hAnsi="Cambria Math" w:cs="Cambria Math"/>
          <w:b w:val="0"/>
          <w:szCs w:val="22"/>
          <w:lang w:val="hy-AM" w:eastAsia="en-US"/>
        </w:rPr>
        <w:t>․</w:t>
      </w:r>
      <w:r w:rsidRPr="00C74BDD">
        <w:rPr>
          <w:rFonts w:eastAsiaTheme="minorHAnsi" w:cs="Cambria Math"/>
          <w:b w:val="0"/>
          <w:szCs w:val="22"/>
          <w:lang w:val="hy-AM" w:eastAsia="en-US"/>
        </w:rPr>
        <w:t xml:space="preserve"> պետական բյուջեն, որը նախորդ՝ 202</w:t>
      </w:r>
      <w:r>
        <w:rPr>
          <w:rFonts w:eastAsiaTheme="minorHAnsi" w:cs="Cambria Math"/>
          <w:b w:val="0"/>
          <w:szCs w:val="22"/>
          <w:lang w:val="hy-AM" w:eastAsia="en-US"/>
        </w:rPr>
        <w:t>2</w:t>
      </w:r>
      <w:r w:rsidRPr="00C74BDD">
        <w:rPr>
          <w:rFonts w:eastAsiaTheme="minorHAnsi" w:cs="Cambria Math"/>
          <w:b w:val="0"/>
          <w:szCs w:val="22"/>
          <w:lang w:val="hy-AM" w:eastAsia="en-US"/>
        </w:rPr>
        <w:t xml:space="preserve"> թվականի համեմատ հաստատվել է ծախսերի </w:t>
      </w:r>
      <w:r w:rsidRPr="00666D42">
        <w:rPr>
          <w:rFonts w:eastAsiaTheme="minorHAnsi" w:cs="Cambria Math"/>
          <w:b w:val="0"/>
          <w:szCs w:val="22"/>
          <w:lang w:val="hy-AM" w:eastAsia="en-US"/>
        </w:rPr>
        <w:t>3</w:t>
      </w:r>
      <w:r w:rsidRPr="008D24F0">
        <w:rPr>
          <w:rFonts w:eastAsiaTheme="minorHAnsi" w:cs="Cambria Math"/>
          <w:b w:val="0"/>
          <w:szCs w:val="22"/>
          <w:lang w:val="af-ZA" w:eastAsia="en-US"/>
        </w:rPr>
        <w:t>64</w:t>
      </w:r>
      <w:r w:rsidRPr="00666D42">
        <w:rPr>
          <w:rFonts w:eastAsiaTheme="minorHAnsi" w:cs="Cambria Math"/>
          <w:b w:val="0"/>
          <w:szCs w:val="22"/>
          <w:lang w:val="hy-AM" w:eastAsia="en-US"/>
        </w:rPr>
        <w:t>.</w:t>
      </w:r>
      <w:r w:rsidRPr="008D24F0">
        <w:rPr>
          <w:rFonts w:eastAsiaTheme="minorHAnsi" w:cs="Cambria Math"/>
          <w:b w:val="0"/>
          <w:szCs w:val="22"/>
          <w:lang w:val="hy-AM" w:eastAsia="en-US"/>
        </w:rPr>
        <w:t>8</w:t>
      </w:r>
      <w:r w:rsidRPr="00C74BDD">
        <w:rPr>
          <w:rFonts w:eastAsiaTheme="minorHAnsi" w:cs="Cambria Math"/>
          <w:b w:val="0"/>
          <w:szCs w:val="22"/>
          <w:lang w:val="hy-AM" w:eastAsia="en-US"/>
        </w:rPr>
        <w:t xml:space="preserve"> մլրդ</w:t>
      </w:r>
      <w:r w:rsidRPr="00C74BDD">
        <w:rPr>
          <w:rFonts w:ascii="Cambria Math" w:eastAsiaTheme="minorHAnsi" w:hAnsi="Cambria Math" w:cs="Cambria Math"/>
          <w:b w:val="0"/>
          <w:szCs w:val="22"/>
          <w:lang w:val="hy-AM" w:eastAsia="en-US"/>
        </w:rPr>
        <w:t>․</w:t>
      </w:r>
      <w:r w:rsidRPr="00C74BDD">
        <w:rPr>
          <w:rFonts w:eastAsiaTheme="minorHAnsi" w:cs="Cambria Math"/>
          <w:b w:val="0"/>
          <w:szCs w:val="22"/>
          <w:lang w:val="hy-AM" w:eastAsia="en-US"/>
        </w:rPr>
        <w:t xml:space="preserve"> ՀՀ դրամ ավել չափով։  Ծախսերի աճման միտումը պահպանվելու է 202</w:t>
      </w:r>
      <w:r>
        <w:rPr>
          <w:rFonts w:eastAsiaTheme="minorHAnsi" w:cs="Cambria Math"/>
          <w:b w:val="0"/>
          <w:szCs w:val="22"/>
          <w:lang w:val="hy-AM" w:eastAsia="en-US"/>
        </w:rPr>
        <w:t>4</w:t>
      </w:r>
      <w:r w:rsidRPr="00C74BDD">
        <w:rPr>
          <w:rFonts w:eastAsiaTheme="minorHAnsi" w:cs="Cambria Math"/>
          <w:b w:val="0"/>
          <w:szCs w:val="22"/>
          <w:lang w:val="hy-AM" w:eastAsia="en-US"/>
        </w:rPr>
        <w:t xml:space="preserve"> թվականին</w:t>
      </w:r>
      <w:r w:rsidRPr="00C74BDD">
        <w:rPr>
          <w:rFonts w:ascii="Cambria Math" w:eastAsiaTheme="minorHAnsi" w:hAnsi="Cambria Math" w:cs="Cambria Math"/>
          <w:b w:val="0"/>
          <w:szCs w:val="22"/>
          <w:lang w:val="hy-AM" w:eastAsia="en-US"/>
        </w:rPr>
        <w:t>․</w:t>
      </w:r>
      <w:r w:rsidRPr="00C74BDD">
        <w:rPr>
          <w:rFonts w:eastAsiaTheme="minorHAnsi" w:cs="Cambria Math"/>
          <w:b w:val="0"/>
          <w:szCs w:val="22"/>
          <w:lang w:val="hy-AM" w:eastAsia="en-US"/>
        </w:rPr>
        <w:t xml:space="preserve"> ծախսային չափաքանակների հնարավորությունները սահմանվում են ավելի բարձր, քան նախորդ հաստատված՝ 202</w:t>
      </w:r>
      <w:r>
        <w:rPr>
          <w:rFonts w:eastAsiaTheme="minorHAnsi" w:cs="Cambria Math"/>
          <w:b w:val="0"/>
          <w:szCs w:val="22"/>
          <w:lang w:val="hy-AM" w:eastAsia="en-US"/>
        </w:rPr>
        <w:t>3</w:t>
      </w:r>
      <w:r w:rsidRPr="00C74BDD">
        <w:rPr>
          <w:rFonts w:eastAsiaTheme="minorHAnsi" w:cs="Cambria Math"/>
          <w:b w:val="0"/>
          <w:szCs w:val="22"/>
          <w:lang w:val="hy-AM" w:eastAsia="en-US"/>
        </w:rPr>
        <w:t xml:space="preserve"> թվականի բյուջետային ծախսերի չափաքանակներն են՝ շուրջ </w:t>
      </w:r>
      <w:r w:rsidRPr="008D24F0">
        <w:rPr>
          <w:rFonts w:eastAsiaTheme="minorHAnsi" w:cs="Cambria Math"/>
          <w:b w:val="0"/>
          <w:szCs w:val="22"/>
          <w:lang w:val="hy-AM" w:eastAsia="en-US"/>
        </w:rPr>
        <w:t>562</w:t>
      </w:r>
      <w:r w:rsidRPr="00ED08FB">
        <w:rPr>
          <w:rFonts w:eastAsiaTheme="minorHAnsi" w:cs="Cambria Math"/>
          <w:b w:val="0"/>
          <w:szCs w:val="22"/>
          <w:lang w:val="hy-AM" w:eastAsia="en-US"/>
        </w:rPr>
        <w:t>.</w:t>
      </w:r>
      <w:r w:rsidRPr="008D24F0">
        <w:rPr>
          <w:rFonts w:eastAsiaTheme="minorHAnsi" w:cs="Cambria Math"/>
          <w:b w:val="0"/>
          <w:szCs w:val="22"/>
          <w:lang w:val="hy-AM" w:eastAsia="en-US"/>
        </w:rPr>
        <w:t>4</w:t>
      </w:r>
      <w:r w:rsidRPr="00C74BDD">
        <w:rPr>
          <w:rFonts w:eastAsiaTheme="minorHAnsi" w:cs="Cambria Math"/>
          <w:b w:val="0"/>
          <w:szCs w:val="22"/>
          <w:lang w:val="hy-AM" w:eastAsia="en-US"/>
        </w:rPr>
        <w:t xml:space="preserve"> մլրդ ՀՀ դրամի չափով:</w:t>
      </w:r>
    </w:p>
    <w:p w14:paraId="78A2E781" w14:textId="77777777" w:rsidR="004B410F" w:rsidRPr="00C74BDD" w:rsidRDefault="004B410F" w:rsidP="004B410F">
      <w:pPr>
        <w:jc w:val="left"/>
        <w:rPr>
          <w:rFonts w:eastAsiaTheme="minorHAnsi" w:cs="Cambria Math"/>
          <w:b w:val="0"/>
          <w:sz w:val="24"/>
          <w:lang w:val="hy-AM" w:eastAsia="en-US"/>
        </w:rPr>
      </w:pPr>
    </w:p>
    <w:p w14:paraId="1C982C96" w14:textId="08F9830D" w:rsidR="004B410F" w:rsidRPr="00B16CAB" w:rsidRDefault="004B410F" w:rsidP="00B16CAB">
      <w:pPr>
        <w:rPr>
          <w:b w:val="0"/>
          <w:bCs/>
          <w:szCs w:val="22"/>
          <w:lang w:val="hy-AM"/>
        </w:rPr>
      </w:pPr>
      <w:bookmarkStart w:id="267" w:name="_Toc83718602"/>
      <w:bookmarkStart w:id="268" w:name="_Toc89428820"/>
      <w:bookmarkStart w:id="269" w:name="_Toc120805291"/>
      <w:bookmarkStart w:id="270" w:name="_Toc152324826"/>
      <w:r w:rsidRPr="00B16CAB">
        <w:rPr>
          <w:szCs w:val="22"/>
          <w:lang w:val="hy-AM"/>
        </w:rPr>
        <w:t xml:space="preserve">Գծապատկեր </w:t>
      </w:r>
      <w:r w:rsidRPr="00B16CAB">
        <w:rPr>
          <w:szCs w:val="22"/>
          <w:lang w:val="hy-AM"/>
        </w:rPr>
        <w:fldChar w:fldCharType="begin"/>
      </w:r>
      <w:r w:rsidRPr="00B16CAB">
        <w:rPr>
          <w:szCs w:val="22"/>
          <w:lang w:val="hy-AM"/>
        </w:rPr>
        <w:instrText xml:space="preserve"> SEQ Գծապատկեր \* ARABIC </w:instrText>
      </w:r>
      <w:r w:rsidRPr="00B16CAB">
        <w:rPr>
          <w:szCs w:val="22"/>
          <w:lang w:val="hy-AM"/>
        </w:rPr>
        <w:fldChar w:fldCharType="separate"/>
      </w:r>
      <w:r w:rsidR="00DB4E68">
        <w:rPr>
          <w:noProof/>
          <w:szCs w:val="22"/>
          <w:lang w:val="hy-AM"/>
        </w:rPr>
        <w:t>5</w:t>
      </w:r>
      <w:r w:rsidRPr="00B16CAB">
        <w:rPr>
          <w:szCs w:val="22"/>
          <w:lang w:val="hy-AM"/>
        </w:rPr>
        <w:fldChar w:fldCharType="end"/>
      </w:r>
      <w:r w:rsidRPr="00B16CAB">
        <w:rPr>
          <w:szCs w:val="22"/>
          <w:lang w:val="hy-AM"/>
        </w:rPr>
        <w:t>.</w:t>
      </w:r>
      <w:r w:rsidRPr="00B16CAB">
        <w:rPr>
          <w:b w:val="0"/>
          <w:bCs/>
          <w:szCs w:val="22"/>
          <w:lang w:val="hy-AM"/>
        </w:rPr>
        <w:t xml:space="preserve"> 2021-2024թթ</w:t>
      </w:r>
      <w:r w:rsidRPr="00B16CAB">
        <w:rPr>
          <w:rFonts w:ascii="Cambria Math" w:hAnsi="Cambria Math" w:cs="Cambria Math"/>
          <w:b w:val="0"/>
          <w:bCs/>
          <w:szCs w:val="22"/>
          <w:lang w:val="hy-AM"/>
        </w:rPr>
        <w:t>․</w:t>
      </w:r>
      <w:r w:rsidRPr="00B16CAB">
        <w:rPr>
          <w:b w:val="0"/>
          <w:bCs/>
          <w:szCs w:val="22"/>
          <w:lang w:val="hy-AM"/>
        </w:rPr>
        <w:t xml:space="preserve"> ծախսերի համեմատականը</w:t>
      </w:r>
      <w:bookmarkEnd w:id="267"/>
      <w:bookmarkEnd w:id="268"/>
      <w:bookmarkEnd w:id="269"/>
      <w:bookmarkEnd w:id="270"/>
      <w:r w:rsidRPr="00B16CAB">
        <w:rPr>
          <w:b w:val="0"/>
          <w:bCs/>
          <w:szCs w:val="22"/>
          <w:lang w:val="hy-AM"/>
        </w:rPr>
        <w:t xml:space="preserve"> </w:t>
      </w:r>
    </w:p>
    <w:p w14:paraId="14F33F8D" w14:textId="77777777" w:rsidR="004B410F" w:rsidRPr="00C74BDD" w:rsidRDefault="004B410F" w:rsidP="004B410F">
      <w:pPr>
        <w:jc w:val="left"/>
        <w:rPr>
          <w:rFonts w:eastAsiaTheme="minorHAnsi" w:cs="Cambria Math"/>
          <w:b w:val="0"/>
          <w:sz w:val="24"/>
          <w:lang w:val="en-US" w:eastAsia="en-US"/>
        </w:rPr>
      </w:pPr>
      <w:r w:rsidRPr="00C74BDD">
        <w:rPr>
          <w:rFonts w:eastAsiaTheme="minorHAnsi" w:cs="Cambria Math"/>
          <w:b w:val="0"/>
          <w:noProof/>
          <w:sz w:val="24"/>
          <w:lang w:val="en-US" w:eastAsia="en-US"/>
        </w:rPr>
        <w:drawing>
          <wp:inline distT="0" distB="0" distL="0" distR="0" wp14:anchorId="46B78CAB" wp14:editId="0A9C50B8">
            <wp:extent cx="5943600" cy="2974975"/>
            <wp:effectExtent l="0" t="0" r="19050" b="15875"/>
            <wp:docPr id="11"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2D9BB85" w14:textId="77777777" w:rsidR="004B410F" w:rsidRPr="00C74BDD" w:rsidRDefault="004B410F" w:rsidP="004B410F">
      <w:pPr>
        <w:rPr>
          <w:rFonts w:eastAsiaTheme="minorHAnsi" w:cs="Cambria Math"/>
          <w:b w:val="0"/>
          <w:szCs w:val="22"/>
          <w:lang w:val="en-US" w:eastAsia="en-US"/>
        </w:rPr>
      </w:pPr>
      <w:r w:rsidRPr="00C74BDD">
        <w:rPr>
          <w:rFonts w:eastAsiaTheme="minorHAnsi" w:cs="Cambria Math"/>
          <w:b w:val="0"/>
          <w:szCs w:val="22"/>
          <w:lang w:val="en-US" w:eastAsia="en-US"/>
        </w:rPr>
        <w:t>ՀՀ 20</w:t>
      </w:r>
      <w:r>
        <w:rPr>
          <w:rFonts w:eastAsiaTheme="minorHAnsi" w:cs="Cambria Math"/>
          <w:b w:val="0"/>
          <w:szCs w:val="22"/>
          <w:lang w:val="hy-AM" w:eastAsia="en-US"/>
        </w:rPr>
        <w:t>20</w:t>
      </w:r>
      <w:r w:rsidRPr="00C74BDD">
        <w:rPr>
          <w:rFonts w:eastAsiaTheme="minorHAnsi" w:cs="Cambria Math"/>
          <w:b w:val="0"/>
          <w:szCs w:val="22"/>
          <w:lang w:val="en-US" w:eastAsia="en-US"/>
        </w:rPr>
        <w:t>-202</w:t>
      </w:r>
      <w:r>
        <w:rPr>
          <w:rFonts w:eastAsiaTheme="minorHAnsi" w:cs="Cambria Math"/>
          <w:b w:val="0"/>
          <w:szCs w:val="22"/>
          <w:lang w:val="hy-AM" w:eastAsia="en-US"/>
        </w:rPr>
        <w:t>4</w:t>
      </w:r>
      <w:r w:rsidRPr="00C74BDD">
        <w:rPr>
          <w:rFonts w:eastAsiaTheme="minorHAnsi" w:cs="Cambria Math"/>
          <w:b w:val="0"/>
          <w:szCs w:val="22"/>
          <w:lang w:val="hy-AM" w:eastAsia="en-US"/>
        </w:rPr>
        <w:t xml:space="preserve"> </w:t>
      </w:r>
      <w:r w:rsidRPr="00C74BDD">
        <w:rPr>
          <w:rFonts w:eastAsiaTheme="minorHAnsi" w:cs="Cambria Math"/>
          <w:b w:val="0"/>
          <w:szCs w:val="22"/>
          <w:lang w:val="en-US" w:eastAsia="en-US"/>
        </w:rPr>
        <w:t>թվականների պետական բյուջեների ծախսեր՝ ըստ ոլորտ</w:t>
      </w:r>
      <w:r w:rsidRPr="00C74BDD">
        <w:rPr>
          <w:rFonts w:eastAsiaTheme="minorHAnsi" w:cs="Cambria Math"/>
          <w:b w:val="0"/>
          <w:szCs w:val="22"/>
          <w:lang w:val="en-US" w:eastAsia="en-US"/>
        </w:rPr>
        <w:softHyphen/>
        <w:t>ների բնութագրվում են ստորև ներկայացված աղյուսակի ցուցանիշներով:</w:t>
      </w:r>
    </w:p>
    <w:p w14:paraId="05FBB91C" w14:textId="77777777" w:rsidR="004B410F" w:rsidRPr="002452FC" w:rsidRDefault="004B410F" w:rsidP="004B410F">
      <w:pPr>
        <w:rPr>
          <w:bCs/>
          <w:i/>
          <w:color w:val="4F81BD" w:themeColor="accent1"/>
          <w:szCs w:val="22"/>
          <w:lang w:val="en-US"/>
        </w:rPr>
      </w:pPr>
    </w:p>
    <w:p w14:paraId="24F907D8" w14:textId="2730CC0D" w:rsidR="004B410F" w:rsidRPr="004B410F" w:rsidRDefault="004B410F" w:rsidP="004B410F">
      <w:pPr>
        <w:rPr>
          <w:b w:val="0"/>
          <w:szCs w:val="22"/>
          <w:lang w:val="hy-AM"/>
        </w:rPr>
      </w:pPr>
      <w:bookmarkStart w:id="271" w:name="_Toc83728702"/>
      <w:bookmarkStart w:id="272" w:name="_Toc89428774"/>
      <w:bookmarkStart w:id="273" w:name="_Toc120805271"/>
      <w:bookmarkStart w:id="274" w:name="_Toc152324774"/>
      <w:r w:rsidRPr="004B410F">
        <w:rPr>
          <w:bCs/>
          <w:szCs w:val="22"/>
          <w:lang w:val="hy-AM"/>
        </w:rPr>
        <w:t xml:space="preserve">Աղյուսակ </w:t>
      </w:r>
      <w:r w:rsidRPr="004B410F">
        <w:rPr>
          <w:bCs/>
          <w:szCs w:val="22"/>
          <w:lang w:val="hy-AM"/>
        </w:rPr>
        <w:fldChar w:fldCharType="begin"/>
      </w:r>
      <w:r w:rsidRPr="004B410F">
        <w:rPr>
          <w:bCs/>
          <w:szCs w:val="22"/>
          <w:lang w:val="hy-AM"/>
        </w:rPr>
        <w:instrText xml:space="preserve"> SEQ Աղյուսակ \* ARABIC </w:instrText>
      </w:r>
      <w:r w:rsidRPr="004B410F">
        <w:rPr>
          <w:bCs/>
          <w:szCs w:val="22"/>
          <w:lang w:val="hy-AM"/>
        </w:rPr>
        <w:fldChar w:fldCharType="separate"/>
      </w:r>
      <w:r w:rsidR="00DB4E68">
        <w:rPr>
          <w:bCs/>
          <w:noProof/>
          <w:szCs w:val="22"/>
          <w:lang w:val="hy-AM"/>
        </w:rPr>
        <w:t>12</w:t>
      </w:r>
      <w:r w:rsidRPr="004B410F">
        <w:rPr>
          <w:bCs/>
          <w:szCs w:val="22"/>
          <w:lang w:val="hy-AM"/>
        </w:rPr>
        <w:fldChar w:fldCharType="end"/>
      </w:r>
      <w:r w:rsidRPr="004B410F">
        <w:rPr>
          <w:rFonts w:ascii="Cambria Math" w:hAnsi="Cambria Math" w:cs="Cambria Math"/>
          <w:bCs/>
          <w:szCs w:val="22"/>
          <w:lang w:val="hy-AM"/>
        </w:rPr>
        <w:t>․</w:t>
      </w:r>
      <w:r w:rsidRPr="004B410F">
        <w:rPr>
          <w:bCs/>
          <w:szCs w:val="22"/>
          <w:lang w:val="hy-AM"/>
        </w:rPr>
        <w:t xml:space="preserve"> </w:t>
      </w:r>
      <w:r w:rsidRPr="004B410F">
        <w:rPr>
          <w:b w:val="0"/>
          <w:szCs w:val="22"/>
          <w:lang w:val="hy-AM"/>
        </w:rPr>
        <w:t>ՀՀ 2020-2024թթ. պետական բյուջեների ծախսերը՝ ըստ ոլորտների (մ</w:t>
      </w:r>
      <w:r w:rsidR="00D2254F">
        <w:rPr>
          <w:b w:val="0"/>
          <w:szCs w:val="22"/>
          <w:lang w:val="hy-AM"/>
        </w:rPr>
        <w:t>րդ</w:t>
      </w:r>
      <w:r w:rsidRPr="004B410F">
        <w:rPr>
          <w:b w:val="0"/>
          <w:szCs w:val="22"/>
          <w:lang w:val="hy-AM"/>
        </w:rPr>
        <w:t xml:space="preserve"> դրամ)</w:t>
      </w:r>
      <w:bookmarkEnd w:id="271"/>
      <w:bookmarkEnd w:id="272"/>
      <w:bookmarkEnd w:id="273"/>
      <w:bookmarkEnd w:id="274"/>
    </w:p>
    <w:p w14:paraId="00AEA471" w14:textId="77777777" w:rsidR="004B410F" w:rsidRPr="00C74BDD" w:rsidRDefault="004B410F" w:rsidP="004B410F">
      <w:pPr>
        <w:rPr>
          <w:bCs/>
          <w:i/>
          <w:color w:val="4F81BD" w:themeColor="accent1"/>
          <w:sz w:val="20"/>
          <w:szCs w:val="20"/>
          <w:lang w:val="hy-AM"/>
        </w:rPr>
      </w:pPr>
    </w:p>
    <w:tbl>
      <w:tblPr>
        <w:tblW w:w="8820" w:type="dxa"/>
        <w:tblInd w:w="93" w:type="dxa"/>
        <w:tblLook w:val="04A0" w:firstRow="1" w:lastRow="0" w:firstColumn="1" w:lastColumn="0" w:noHBand="0" w:noVBand="1"/>
      </w:tblPr>
      <w:tblGrid>
        <w:gridCol w:w="2640"/>
        <w:gridCol w:w="1240"/>
        <w:gridCol w:w="1340"/>
        <w:gridCol w:w="1100"/>
        <w:gridCol w:w="1160"/>
        <w:gridCol w:w="1340"/>
      </w:tblGrid>
      <w:tr w:rsidR="004B410F" w:rsidRPr="008D24F0" w14:paraId="08C864F7" w14:textId="77777777" w:rsidTr="003F088D">
        <w:trPr>
          <w:trHeight w:val="315"/>
        </w:trPr>
        <w:tc>
          <w:tcPr>
            <w:tcW w:w="2640" w:type="dxa"/>
            <w:vMerge w:val="restart"/>
            <w:tcBorders>
              <w:top w:val="nil"/>
              <w:left w:val="nil"/>
              <w:bottom w:val="single" w:sz="8" w:space="0" w:color="000000"/>
              <w:right w:val="nil"/>
            </w:tcBorders>
            <w:shd w:val="clear" w:color="auto" w:fill="auto"/>
            <w:vAlign w:val="center"/>
            <w:hideMark/>
          </w:tcPr>
          <w:p w14:paraId="46E734A7"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Ցուցանիշ</w:t>
            </w:r>
          </w:p>
        </w:tc>
        <w:tc>
          <w:tcPr>
            <w:tcW w:w="3680" w:type="dxa"/>
            <w:gridSpan w:val="3"/>
            <w:tcBorders>
              <w:top w:val="nil"/>
              <w:left w:val="nil"/>
              <w:bottom w:val="single" w:sz="4" w:space="0" w:color="auto"/>
              <w:right w:val="nil"/>
            </w:tcBorders>
            <w:shd w:val="clear" w:color="auto" w:fill="auto"/>
            <w:vAlign w:val="center"/>
            <w:hideMark/>
          </w:tcPr>
          <w:p w14:paraId="2EDBCDF3"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Փաստ</w:t>
            </w:r>
          </w:p>
        </w:tc>
        <w:tc>
          <w:tcPr>
            <w:tcW w:w="1160" w:type="dxa"/>
            <w:tcBorders>
              <w:top w:val="nil"/>
              <w:left w:val="nil"/>
              <w:right w:val="nil"/>
            </w:tcBorders>
            <w:shd w:val="clear" w:color="auto" w:fill="auto"/>
            <w:vAlign w:val="center"/>
            <w:hideMark/>
          </w:tcPr>
          <w:p w14:paraId="4178BC11"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Բյուջե</w:t>
            </w:r>
          </w:p>
        </w:tc>
        <w:tc>
          <w:tcPr>
            <w:tcW w:w="1340" w:type="dxa"/>
            <w:tcBorders>
              <w:top w:val="nil"/>
              <w:left w:val="nil"/>
              <w:bottom w:val="single" w:sz="4" w:space="0" w:color="auto"/>
              <w:right w:val="nil"/>
            </w:tcBorders>
            <w:shd w:val="clear" w:color="auto" w:fill="auto"/>
            <w:vAlign w:val="center"/>
            <w:hideMark/>
          </w:tcPr>
          <w:p w14:paraId="4FD3BB61" w14:textId="596269E3" w:rsidR="004B410F" w:rsidRPr="009813D2" w:rsidRDefault="009813D2" w:rsidP="003F088D">
            <w:pPr>
              <w:spacing w:before="0" w:line="240" w:lineRule="auto"/>
              <w:jc w:val="left"/>
              <w:rPr>
                <w:rFonts w:cs="Calibri"/>
                <w:b w:val="0"/>
                <w:color w:val="000000"/>
                <w:sz w:val="18"/>
                <w:szCs w:val="18"/>
                <w:lang w:val="hy-AM" w:eastAsia="en-US"/>
              </w:rPr>
            </w:pPr>
            <w:r>
              <w:rPr>
                <w:rFonts w:cs="Calibri"/>
                <w:b w:val="0"/>
                <w:color w:val="000000"/>
                <w:sz w:val="18"/>
                <w:szCs w:val="18"/>
                <w:lang w:val="hy-AM" w:eastAsia="en-US"/>
              </w:rPr>
              <w:t>ծրագիր</w:t>
            </w:r>
          </w:p>
        </w:tc>
      </w:tr>
      <w:tr w:rsidR="004B410F" w:rsidRPr="008D24F0" w14:paraId="05214DAC" w14:textId="77777777" w:rsidTr="003F088D">
        <w:trPr>
          <w:trHeight w:val="315"/>
        </w:trPr>
        <w:tc>
          <w:tcPr>
            <w:tcW w:w="2640" w:type="dxa"/>
            <w:vMerge/>
            <w:tcBorders>
              <w:top w:val="nil"/>
              <w:left w:val="nil"/>
              <w:bottom w:val="single" w:sz="8" w:space="0" w:color="000000"/>
            </w:tcBorders>
            <w:vAlign w:val="center"/>
            <w:hideMark/>
          </w:tcPr>
          <w:p w14:paraId="0AD5FA5A" w14:textId="77777777" w:rsidR="004B410F" w:rsidRPr="008D24F0" w:rsidRDefault="004B410F" w:rsidP="003F088D">
            <w:pPr>
              <w:spacing w:before="0" w:line="240" w:lineRule="auto"/>
              <w:jc w:val="left"/>
              <w:rPr>
                <w:rFonts w:cs="Calibri"/>
                <w:b w:val="0"/>
                <w:color w:val="000000"/>
                <w:sz w:val="18"/>
                <w:szCs w:val="18"/>
                <w:lang w:val="en-US" w:eastAsia="en-US"/>
              </w:rPr>
            </w:pPr>
          </w:p>
        </w:tc>
        <w:tc>
          <w:tcPr>
            <w:tcW w:w="1240" w:type="dxa"/>
            <w:tcBorders>
              <w:top w:val="single" w:sz="4" w:space="0" w:color="auto"/>
              <w:bottom w:val="single" w:sz="4" w:space="0" w:color="auto"/>
            </w:tcBorders>
            <w:shd w:val="clear" w:color="auto" w:fill="auto"/>
            <w:vAlign w:val="center"/>
            <w:hideMark/>
          </w:tcPr>
          <w:p w14:paraId="4DF1FF06"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2020</w:t>
            </w:r>
          </w:p>
        </w:tc>
        <w:tc>
          <w:tcPr>
            <w:tcW w:w="1340" w:type="dxa"/>
            <w:tcBorders>
              <w:top w:val="single" w:sz="4" w:space="0" w:color="auto"/>
              <w:bottom w:val="single" w:sz="4" w:space="0" w:color="auto"/>
            </w:tcBorders>
            <w:shd w:val="clear" w:color="auto" w:fill="auto"/>
            <w:vAlign w:val="center"/>
            <w:hideMark/>
          </w:tcPr>
          <w:p w14:paraId="57D16916"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2021</w:t>
            </w:r>
          </w:p>
        </w:tc>
        <w:tc>
          <w:tcPr>
            <w:tcW w:w="1100" w:type="dxa"/>
            <w:tcBorders>
              <w:top w:val="single" w:sz="4" w:space="0" w:color="auto"/>
              <w:bottom w:val="single" w:sz="4" w:space="0" w:color="auto"/>
            </w:tcBorders>
            <w:shd w:val="clear" w:color="auto" w:fill="auto"/>
            <w:vAlign w:val="center"/>
            <w:hideMark/>
          </w:tcPr>
          <w:p w14:paraId="17B95E04"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2022</w:t>
            </w:r>
          </w:p>
        </w:tc>
        <w:tc>
          <w:tcPr>
            <w:tcW w:w="1160" w:type="dxa"/>
            <w:tcBorders>
              <w:bottom w:val="single" w:sz="4" w:space="0" w:color="auto"/>
            </w:tcBorders>
            <w:shd w:val="clear" w:color="auto" w:fill="auto"/>
            <w:vAlign w:val="center"/>
            <w:hideMark/>
          </w:tcPr>
          <w:p w14:paraId="3D587DF2"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2023</w:t>
            </w:r>
          </w:p>
        </w:tc>
        <w:tc>
          <w:tcPr>
            <w:tcW w:w="1340" w:type="dxa"/>
            <w:tcBorders>
              <w:top w:val="single" w:sz="4" w:space="0" w:color="auto"/>
              <w:bottom w:val="single" w:sz="4" w:space="0" w:color="auto"/>
            </w:tcBorders>
            <w:shd w:val="clear" w:color="auto" w:fill="auto"/>
            <w:vAlign w:val="center"/>
            <w:hideMark/>
          </w:tcPr>
          <w:p w14:paraId="06E47320"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2024</w:t>
            </w:r>
          </w:p>
        </w:tc>
      </w:tr>
      <w:tr w:rsidR="004B410F" w:rsidRPr="008D24F0" w14:paraId="5E7C2CC5" w14:textId="77777777" w:rsidTr="003F088D">
        <w:trPr>
          <w:trHeight w:val="315"/>
        </w:trPr>
        <w:tc>
          <w:tcPr>
            <w:tcW w:w="2640" w:type="dxa"/>
            <w:tcBorders>
              <w:top w:val="nil"/>
              <w:left w:val="nil"/>
              <w:bottom w:val="nil"/>
            </w:tcBorders>
            <w:shd w:val="clear" w:color="auto" w:fill="auto"/>
            <w:vAlign w:val="center"/>
            <w:hideMark/>
          </w:tcPr>
          <w:p w14:paraId="69AD780E"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Ընդամենը</w:t>
            </w:r>
          </w:p>
        </w:tc>
        <w:tc>
          <w:tcPr>
            <w:tcW w:w="1240" w:type="dxa"/>
            <w:tcBorders>
              <w:top w:val="single" w:sz="4" w:space="0" w:color="auto"/>
            </w:tcBorders>
            <w:shd w:val="clear" w:color="auto" w:fill="auto"/>
            <w:vAlign w:val="center"/>
            <w:hideMark/>
          </w:tcPr>
          <w:p w14:paraId="3EE3903F"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1,907.9</w:t>
            </w:r>
          </w:p>
        </w:tc>
        <w:tc>
          <w:tcPr>
            <w:tcW w:w="1340" w:type="dxa"/>
            <w:tcBorders>
              <w:top w:val="single" w:sz="4" w:space="0" w:color="auto"/>
            </w:tcBorders>
            <w:shd w:val="clear" w:color="auto" w:fill="auto"/>
            <w:vAlign w:val="center"/>
            <w:hideMark/>
          </w:tcPr>
          <w:p w14:paraId="3B218E97"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2,027.0</w:t>
            </w:r>
          </w:p>
        </w:tc>
        <w:tc>
          <w:tcPr>
            <w:tcW w:w="1100" w:type="dxa"/>
            <w:tcBorders>
              <w:top w:val="single" w:sz="4" w:space="0" w:color="auto"/>
            </w:tcBorders>
            <w:shd w:val="clear" w:color="auto" w:fill="auto"/>
            <w:vAlign w:val="center"/>
            <w:hideMark/>
          </w:tcPr>
          <w:p w14:paraId="1167F832"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2,279.3</w:t>
            </w:r>
          </w:p>
        </w:tc>
        <w:tc>
          <w:tcPr>
            <w:tcW w:w="1160" w:type="dxa"/>
            <w:tcBorders>
              <w:top w:val="single" w:sz="4" w:space="0" w:color="auto"/>
            </w:tcBorders>
            <w:shd w:val="clear" w:color="auto" w:fill="auto"/>
            <w:vAlign w:val="center"/>
            <w:hideMark/>
          </w:tcPr>
          <w:p w14:paraId="5CA958A0"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2,644.1</w:t>
            </w:r>
          </w:p>
        </w:tc>
        <w:tc>
          <w:tcPr>
            <w:tcW w:w="1340" w:type="dxa"/>
            <w:tcBorders>
              <w:top w:val="single" w:sz="4" w:space="0" w:color="auto"/>
            </w:tcBorders>
            <w:shd w:val="clear" w:color="auto" w:fill="auto"/>
            <w:vAlign w:val="center"/>
            <w:hideMark/>
          </w:tcPr>
          <w:p w14:paraId="67B9D062"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3,206.5</w:t>
            </w:r>
          </w:p>
        </w:tc>
      </w:tr>
      <w:tr w:rsidR="004B410F" w:rsidRPr="008D24F0" w14:paraId="63DD0951" w14:textId="77777777" w:rsidTr="003F088D">
        <w:trPr>
          <w:trHeight w:val="345"/>
        </w:trPr>
        <w:tc>
          <w:tcPr>
            <w:tcW w:w="2640" w:type="dxa"/>
            <w:tcBorders>
              <w:top w:val="nil"/>
              <w:left w:val="nil"/>
              <w:bottom w:val="single" w:sz="8" w:space="0" w:color="auto"/>
            </w:tcBorders>
            <w:shd w:val="clear" w:color="auto" w:fill="auto"/>
            <w:vAlign w:val="center"/>
            <w:hideMark/>
          </w:tcPr>
          <w:p w14:paraId="5CCE745B"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ՀՆԱ-ի նկատմամբ (%)</w:t>
            </w:r>
          </w:p>
        </w:tc>
        <w:tc>
          <w:tcPr>
            <w:tcW w:w="1240" w:type="dxa"/>
            <w:tcBorders>
              <w:bottom w:val="single" w:sz="4" w:space="0" w:color="auto"/>
            </w:tcBorders>
            <w:shd w:val="clear" w:color="auto" w:fill="auto"/>
            <w:vAlign w:val="center"/>
            <w:hideMark/>
          </w:tcPr>
          <w:p w14:paraId="7752AB62"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30.</w:t>
            </w:r>
            <w:r>
              <w:rPr>
                <w:rFonts w:cs="Calibri"/>
                <w:b w:val="0"/>
                <w:color w:val="000000"/>
                <w:sz w:val="18"/>
                <w:szCs w:val="18"/>
                <w:lang w:val="en-US" w:eastAsia="en-US"/>
              </w:rPr>
              <w:t>9</w:t>
            </w:r>
          </w:p>
        </w:tc>
        <w:tc>
          <w:tcPr>
            <w:tcW w:w="1340" w:type="dxa"/>
            <w:tcBorders>
              <w:bottom w:val="single" w:sz="4" w:space="0" w:color="auto"/>
            </w:tcBorders>
            <w:shd w:val="clear" w:color="auto" w:fill="auto"/>
            <w:vAlign w:val="center"/>
            <w:hideMark/>
          </w:tcPr>
          <w:p w14:paraId="3985D71F"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29.0</w:t>
            </w:r>
          </w:p>
        </w:tc>
        <w:tc>
          <w:tcPr>
            <w:tcW w:w="1100" w:type="dxa"/>
            <w:tcBorders>
              <w:bottom w:val="single" w:sz="4" w:space="0" w:color="auto"/>
            </w:tcBorders>
            <w:shd w:val="clear" w:color="auto" w:fill="auto"/>
            <w:vAlign w:val="center"/>
            <w:hideMark/>
          </w:tcPr>
          <w:p w14:paraId="5E9A984D"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26.8</w:t>
            </w:r>
          </w:p>
        </w:tc>
        <w:tc>
          <w:tcPr>
            <w:tcW w:w="1160" w:type="dxa"/>
            <w:tcBorders>
              <w:bottom w:val="single" w:sz="4" w:space="0" w:color="auto"/>
            </w:tcBorders>
            <w:shd w:val="clear" w:color="auto" w:fill="auto"/>
            <w:vAlign w:val="center"/>
            <w:hideMark/>
          </w:tcPr>
          <w:p w14:paraId="6BD1AC38"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28.0</w:t>
            </w:r>
          </w:p>
        </w:tc>
        <w:tc>
          <w:tcPr>
            <w:tcW w:w="1340" w:type="dxa"/>
            <w:tcBorders>
              <w:bottom w:val="single" w:sz="4" w:space="0" w:color="auto"/>
            </w:tcBorders>
            <w:shd w:val="clear" w:color="auto" w:fill="auto"/>
            <w:vAlign w:val="center"/>
            <w:hideMark/>
          </w:tcPr>
          <w:p w14:paraId="65C8CFE9"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30.5</w:t>
            </w:r>
          </w:p>
        </w:tc>
      </w:tr>
      <w:tr w:rsidR="004B410F" w:rsidRPr="008D24F0" w14:paraId="249B22AF" w14:textId="77777777" w:rsidTr="003F088D">
        <w:trPr>
          <w:trHeight w:val="540"/>
        </w:trPr>
        <w:tc>
          <w:tcPr>
            <w:tcW w:w="2640" w:type="dxa"/>
            <w:tcBorders>
              <w:top w:val="nil"/>
              <w:left w:val="nil"/>
              <w:bottom w:val="nil"/>
            </w:tcBorders>
            <w:shd w:val="clear" w:color="auto" w:fill="auto"/>
            <w:vAlign w:val="center"/>
            <w:hideMark/>
          </w:tcPr>
          <w:p w14:paraId="31BB42F1" w14:textId="77777777" w:rsidR="004B410F" w:rsidRPr="009857CD" w:rsidRDefault="004B410F" w:rsidP="003F088D">
            <w:pPr>
              <w:spacing w:before="0" w:line="240" w:lineRule="auto"/>
              <w:jc w:val="left"/>
              <w:rPr>
                <w:rFonts w:cs="Calibri"/>
                <w:b w:val="0"/>
                <w:color w:val="000000"/>
                <w:sz w:val="18"/>
                <w:szCs w:val="18"/>
                <w:lang w:eastAsia="en-US"/>
              </w:rPr>
            </w:pPr>
            <w:r w:rsidRPr="009857CD">
              <w:rPr>
                <w:rFonts w:cs="Calibri"/>
                <w:b w:val="0"/>
                <w:color w:val="000000"/>
                <w:sz w:val="18"/>
                <w:szCs w:val="18"/>
                <w:lang w:eastAsia="en-US"/>
              </w:rPr>
              <w:t xml:space="preserve">1. </w:t>
            </w:r>
            <w:r w:rsidRPr="008D24F0">
              <w:rPr>
                <w:rFonts w:cs="Calibri"/>
                <w:b w:val="0"/>
                <w:color w:val="000000"/>
                <w:sz w:val="18"/>
                <w:szCs w:val="18"/>
                <w:lang w:val="en-US" w:eastAsia="en-US"/>
              </w:rPr>
              <w:t>Ընդհանուր</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բնույթի</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հանրային</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ծառայություններ</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և</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պահուստային</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ֆոնդեր</w:t>
            </w:r>
          </w:p>
        </w:tc>
        <w:tc>
          <w:tcPr>
            <w:tcW w:w="1240" w:type="dxa"/>
            <w:tcBorders>
              <w:top w:val="single" w:sz="4" w:space="0" w:color="auto"/>
            </w:tcBorders>
            <w:shd w:val="clear" w:color="auto" w:fill="auto"/>
            <w:vAlign w:val="center"/>
            <w:hideMark/>
          </w:tcPr>
          <w:p w14:paraId="7803DB35"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344.3</w:t>
            </w:r>
          </w:p>
        </w:tc>
        <w:tc>
          <w:tcPr>
            <w:tcW w:w="1340" w:type="dxa"/>
            <w:tcBorders>
              <w:top w:val="single" w:sz="4" w:space="0" w:color="auto"/>
            </w:tcBorders>
            <w:shd w:val="clear" w:color="auto" w:fill="auto"/>
            <w:vAlign w:val="center"/>
            <w:hideMark/>
          </w:tcPr>
          <w:p w14:paraId="46FD8148"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381</w:t>
            </w:r>
          </w:p>
        </w:tc>
        <w:tc>
          <w:tcPr>
            <w:tcW w:w="1100" w:type="dxa"/>
            <w:tcBorders>
              <w:top w:val="single" w:sz="4" w:space="0" w:color="auto"/>
            </w:tcBorders>
            <w:shd w:val="clear" w:color="auto" w:fill="auto"/>
            <w:vAlign w:val="center"/>
            <w:hideMark/>
          </w:tcPr>
          <w:p w14:paraId="065578E8"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407.4</w:t>
            </w:r>
          </w:p>
        </w:tc>
        <w:tc>
          <w:tcPr>
            <w:tcW w:w="1160" w:type="dxa"/>
            <w:tcBorders>
              <w:top w:val="single" w:sz="4" w:space="0" w:color="auto"/>
            </w:tcBorders>
            <w:shd w:val="clear" w:color="auto" w:fill="auto"/>
            <w:vAlign w:val="center"/>
            <w:hideMark/>
          </w:tcPr>
          <w:p w14:paraId="180C1647"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549.4</w:t>
            </w:r>
          </w:p>
        </w:tc>
        <w:tc>
          <w:tcPr>
            <w:tcW w:w="1340" w:type="dxa"/>
            <w:tcBorders>
              <w:top w:val="single" w:sz="4" w:space="0" w:color="auto"/>
            </w:tcBorders>
            <w:shd w:val="clear" w:color="auto" w:fill="auto"/>
            <w:vAlign w:val="center"/>
            <w:hideMark/>
          </w:tcPr>
          <w:p w14:paraId="22BF6BE6"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834.7</w:t>
            </w:r>
          </w:p>
        </w:tc>
      </w:tr>
      <w:tr w:rsidR="004B410F" w:rsidRPr="008D24F0" w14:paraId="032A4260" w14:textId="77777777" w:rsidTr="003F088D">
        <w:trPr>
          <w:trHeight w:val="300"/>
        </w:trPr>
        <w:tc>
          <w:tcPr>
            <w:tcW w:w="2640" w:type="dxa"/>
            <w:tcBorders>
              <w:top w:val="nil"/>
              <w:left w:val="nil"/>
              <w:bottom w:val="nil"/>
            </w:tcBorders>
            <w:shd w:val="clear" w:color="auto" w:fill="auto"/>
            <w:vAlign w:val="center"/>
            <w:hideMark/>
          </w:tcPr>
          <w:p w14:paraId="6E8E5C07"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ՀՆԱ-ի նկատմամբ (%)</w:t>
            </w:r>
          </w:p>
        </w:tc>
        <w:tc>
          <w:tcPr>
            <w:tcW w:w="1240" w:type="dxa"/>
            <w:shd w:val="clear" w:color="auto" w:fill="auto"/>
            <w:vAlign w:val="center"/>
            <w:hideMark/>
          </w:tcPr>
          <w:p w14:paraId="666D6B2E"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5.5</w:t>
            </w:r>
          </w:p>
        </w:tc>
        <w:tc>
          <w:tcPr>
            <w:tcW w:w="1340" w:type="dxa"/>
            <w:shd w:val="clear" w:color="auto" w:fill="auto"/>
            <w:vAlign w:val="center"/>
            <w:hideMark/>
          </w:tcPr>
          <w:p w14:paraId="0EB5C09F"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5.5</w:t>
            </w:r>
          </w:p>
        </w:tc>
        <w:tc>
          <w:tcPr>
            <w:tcW w:w="1100" w:type="dxa"/>
            <w:shd w:val="clear" w:color="auto" w:fill="auto"/>
            <w:vAlign w:val="center"/>
            <w:hideMark/>
          </w:tcPr>
          <w:p w14:paraId="6DAB3F5E"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4.8</w:t>
            </w:r>
          </w:p>
        </w:tc>
        <w:tc>
          <w:tcPr>
            <w:tcW w:w="1160" w:type="dxa"/>
            <w:shd w:val="clear" w:color="auto" w:fill="auto"/>
            <w:vAlign w:val="center"/>
            <w:hideMark/>
          </w:tcPr>
          <w:p w14:paraId="5DAAEE69"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5.9</w:t>
            </w:r>
          </w:p>
        </w:tc>
        <w:tc>
          <w:tcPr>
            <w:tcW w:w="1340" w:type="dxa"/>
            <w:shd w:val="clear" w:color="auto" w:fill="auto"/>
            <w:vAlign w:val="center"/>
            <w:hideMark/>
          </w:tcPr>
          <w:p w14:paraId="01891654"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7.9</w:t>
            </w:r>
          </w:p>
        </w:tc>
      </w:tr>
      <w:tr w:rsidR="004B410F" w:rsidRPr="008D24F0" w14:paraId="5EE136C3" w14:textId="77777777" w:rsidTr="003F088D">
        <w:trPr>
          <w:trHeight w:val="315"/>
        </w:trPr>
        <w:tc>
          <w:tcPr>
            <w:tcW w:w="2640" w:type="dxa"/>
            <w:tcBorders>
              <w:top w:val="nil"/>
              <w:left w:val="nil"/>
              <w:bottom w:val="single" w:sz="8" w:space="0" w:color="auto"/>
            </w:tcBorders>
            <w:shd w:val="clear" w:color="auto" w:fill="auto"/>
            <w:vAlign w:val="center"/>
            <w:hideMark/>
          </w:tcPr>
          <w:p w14:paraId="074116A6"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Ընդհանուր ծախսերում (%)</w:t>
            </w:r>
          </w:p>
        </w:tc>
        <w:tc>
          <w:tcPr>
            <w:tcW w:w="1240" w:type="dxa"/>
            <w:tcBorders>
              <w:bottom w:val="single" w:sz="4" w:space="0" w:color="auto"/>
            </w:tcBorders>
            <w:shd w:val="clear" w:color="auto" w:fill="auto"/>
            <w:vAlign w:val="center"/>
            <w:hideMark/>
          </w:tcPr>
          <w:p w14:paraId="670E9F00"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18.0</w:t>
            </w:r>
          </w:p>
        </w:tc>
        <w:tc>
          <w:tcPr>
            <w:tcW w:w="1340" w:type="dxa"/>
            <w:tcBorders>
              <w:bottom w:val="single" w:sz="4" w:space="0" w:color="auto"/>
            </w:tcBorders>
            <w:shd w:val="clear" w:color="auto" w:fill="auto"/>
            <w:vAlign w:val="center"/>
            <w:hideMark/>
          </w:tcPr>
          <w:p w14:paraId="36F6B982"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18.8</w:t>
            </w:r>
          </w:p>
        </w:tc>
        <w:tc>
          <w:tcPr>
            <w:tcW w:w="1100" w:type="dxa"/>
            <w:tcBorders>
              <w:bottom w:val="single" w:sz="4" w:space="0" w:color="auto"/>
            </w:tcBorders>
            <w:shd w:val="clear" w:color="auto" w:fill="auto"/>
            <w:vAlign w:val="center"/>
            <w:hideMark/>
          </w:tcPr>
          <w:p w14:paraId="32379049"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17.9</w:t>
            </w:r>
          </w:p>
        </w:tc>
        <w:tc>
          <w:tcPr>
            <w:tcW w:w="1160" w:type="dxa"/>
            <w:tcBorders>
              <w:bottom w:val="single" w:sz="4" w:space="0" w:color="auto"/>
            </w:tcBorders>
            <w:shd w:val="clear" w:color="auto" w:fill="auto"/>
            <w:vAlign w:val="center"/>
            <w:hideMark/>
          </w:tcPr>
          <w:p w14:paraId="18A7151E"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20.8</w:t>
            </w:r>
          </w:p>
        </w:tc>
        <w:tc>
          <w:tcPr>
            <w:tcW w:w="1340" w:type="dxa"/>
            <w:tcBorders>
              <w:bottom w:val="single" w:sz="4" w:space="0" w:color="auto"/>
            </w:tcBorders>
            <w:shd w:val="clear" w:color="auto" w:fill="auto"/>
            <w:vAlign w:val="center"/>
            <w:hideMark/>
          </w:tcPr>
          <w:p w14:paraId="5CE1D625"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26.0</w:t>
            </w:r>
          </w:p>
        </w:tc>
      </w:tr>
      <w:tr w:rsidR="004B410F" w:rsidRPr="008D24F0" w14:paraId="7CD2D957" w14:textId="77777777" w:rsidTr="003F088D">
        <w:trPr>
          <w:trHeight w:val="540"/>
        </w:trPr>
        <w:tc>
          <w:tcPr>
            <w:tcW w:w="2640" w:type="dxa"/>
            <w:tcBorders>
              <w:top w:val="nil"/>
              <w:left w:val="nil"/>
              <w:bottom w:val="nil"/>
            </w:tcBorders>
            <w:shd w:val="clear" w:color="auto" w:fill="auto"/>
            <w:vAlign w:val="center"/>
            <w:hideMark/>
          </w:tcPr>
          <w:p w14:paraId="00FEB135" w14:textId="77777777" w:rsidR="004B410F" w:rsidRPr="009857CD" w:rsidRDefault="004B410F" w:rsidP="003F088D">
            <w:pPr>
              <w:spacing w:before="0" w:line="240" w:lineRule="auto"/>
              <w:jc w:val="left"/>
              <w:rPr>
                <w:rFonts w:cs="Calibri"/>
                <w:b w:val="0"/>
                <w:color w:val="000000"/>
                <w:sz w:val="18"/>
                <w:szCs w:val="18"/>
                <w:lang w:eastAsia="en-US"/>
              </w:rPr>
            </w:pPr>
            <w:r w:rsidRPr="009857CD">
              <w:rPr>
                <w:rFonts w:cs="Calibri"/>
                <w:b w:val="0"/>
                <w:color w:val="000000"/>
                <w:sz w:val="18"/>
                <w:szCs w:val="18"/>
                <w:lang w:eastAsia="en-US"/>
              </w:rPr>
              <w:t xml:space="preserve">2. </w:t>
            </w:r>
            <w:r w:rsidRPr="008D24F0">
              <w:rPr>
                <w:rFonts w:cs="Calibri"/>
                <w:b w:val="0"/>
                <w:color w:val="000000"/>
                <w:sz w:val="18"/>
                <w:szCs w:val="18"/>
                <w:lang w:val="en-US" w:eastAsia="en-US"/>
              </w:rPr>
              <w:t>Պաշտպանություն</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հասարակական</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կարգ</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lastRenderedPageBreak/>
              <w:t>անվտանգություն</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և</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դատական</w:t>
            </w:r>
            <w:r w:rsidRPr="009857CD">
              <w:rPr>
                <w:rFonts w:cs="Calibri"/>
                <w:b w:val="0"/>
                <w:color w:val="000000"/>
                <w:sz w:val="18"/>
                <w:szCs w:val="18"/>
                <w:lang w:eastAsia="en-US"/>
              </w:rPr>
              <w:t xml:space="preserve"> </w:t>
            </w:r>
            <w:r w:rsidRPr="008D24F0">
              <w:rPr>
                <w:rFonts w:cs="Calibri"/>
                <w:b w:val="0"/>
                <w:color w:val="000000"/>
                <w:sz w:val="18"/>
                <w:szCs w:val="18"/>
                <w:lang w:val="en-US" w:eastAsia="en-US"/>
              </w:rPr>
              <w:t>գործունեություն</w:t>
            </w:r>
          </w:p>
        </w:tc>
        <w:tc>
          <w:tcPr>
            <w:tcW w:w="1240" w:type="dxa"/>
            <w:tcBorders>
              <w:top w:val="single" w:sz="4" w:space="0" w:color="auto"/>
            </w:tcBorders>
            <w:shd w:val="clear" w:color="auto" w:fill="auto"/>
            <w:vAlign w:val="center"/>
            <w:hideMark/>
          </w:tcPr>
          <w:p w14:paraId="45E0F3FA"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lastRenderedPageBreak/>
              <w:t>539.2</w:t>
            </w:r>
          </w:p>
        </w:tc>
        <w:tc>
          <w:tcPr>
            <w:tcW w:w="1340" w:type="dxa"/>
            <w:tcBorders>
              <w:top w:val="single" w:sz="4" w:space="0" w:color="auto"/>
            </w:tcBorders>
            <w:shd w:val="clear" w:color="auto" w:fill="auto"/>
            <w:vAlign w:val="center"/>
            <w:hideMark/>
          </w:tcPr>
          <w:p w14:paraId="61FCA0BA"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496</w:t>
            </w:r>
          </w:p>
        </w:tc>
        <w:tc>
          <w:tcPr>
            <w:tcW w:w="1100" w:type="dxa"/>
            <w:tcBorders>
              <w:top w:val="single" w:sz="4" w:space="0" w:color="auto"/>
            </w:tcBorders>
            <w:shd w:val="clear" w:color="auto" w:fill="auto"/>
            <w:vAlign w:val="center"/>
            <w:hideMark/>
          </w:tcPr>
          <w:p w14:paraId="33AEDBE2"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677.3</w:t>
            </w:r>
          </w:p>
        </w:tc>
        <w:tc>
          <w:tcPr>
            <w:tcW w:w="1160" w:type="dxa"/>
            <w:tcBorders>
              <w:top w:val="single" w:sz="4" w:space="0" w:color="auto"/>
            </w:tcBorders>
            <w:shd w:val="clear" w:color="auto" w:fill="auto"/>
            <w:vAlign w:val="center"/>
            <w:hideMark/>
          </w:tcPr>
          <w:p w14:paraId="56363E8C"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723.2</w:t>
            </w:r>
          </w:p>
        </w:tc>
        <w:tc>
          <w:tcPr>
            <w:tcW w:w="1340" w:type="dxa"/>
            <w:tcBorders>
              <w:top w:val="single" w:sz="4" w:space="0" w:color="auto"/>
            </w:tcBorders>
            <w:shd w:val="clear" w:color="auto" w:fill="auto"/>
            <w:vAlign w:val="center"/>
            <w:hideMark/>
          </w:tcPr>
          <w:p w14:paraId="7A0A6BB4"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780.5</w:t>
            </w:r>
          </w:p>
        </w:tc>
      </w:tr>
      <w:tr w:rsidR="004B410F" w:rsidRPr="008D24F0" w14:paraId="7E2A9E3D" w14:textId="77777777" w:rsidTr="003F088D">
        <w:trPr>
          <w:trHeight w:val="300"/>
        </w:trPr>
        <w:tc>
          <w:tcPr>
            <w:tcW w:w="2640" w:type="dxa"/>
            <w:tcBorders>
              <w:top w:val="nil"/>
              <w:left w:val="nil"/>
              <w:bottom w:val="nil"/>
            </w:tcBorders>
            <w:shd w:val="clear" w:color="auto" w:fill="auto"/>
            <w:vAlign w:val="center"/>
            <w:hideMark/>
          </w:tcPr>
          <w:p w14:paraId="3FE8CFAC"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ՀՆԱ-ի նկատմամբ (%)</w:t>
            </w:r>
          </w:p>
        </w:tc>
        <w:tc>
          <w:tcPr>
            <w:tcW w:w="1240" w:type="dxa"/>
            <w:shd w:val="clear" w:color="auto" w:fill="auto"/>
            <w:vAlign w:val="center"/>
            <w:hideMark/>
          </w:tcPr>
          <w:p w14:paraId="6173D711"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8.7</w:t>
            </w:r>
          </w:p>
        </w:tc>
        <w:tc>
          <w:tcPr>
            <w:tcW w:w="1340" w:type="dxa"/>
            <w:shd w:val="clear" w:color="auto" w:fill="auto"/>
            <w:vAlign w:val="center"/>
            <w:hideMark/>
          </w:tcPr>
          <w:p w14:paraId="340EA25C"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7.1</w:t>
            </w:r>
          </w:p>
        </w:tc>
        <w:tc>
          <w:tcPr>
            <w:tcW w:w="1100" w:type="dxa"/>
            <w:shd w:val="clear" w:color="auto" w:fill="auto"/>
            <w:vAlign w:val="center"/>
            <w:hideMark/>
          </w:tcPr>
          <w:p w14:paraId="30776E94"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8</w:t>
            </w:r>
          </w:p>
        </w:tc>
        <w:tc>
          <w:tcPr>
            <w:tcW w:w="1160" w:type="dxa"/>
            <w:shd w:val="clear" w:color="auto" w:fill="auto"/>
            <w:vAlign w:val="center"/>
            <w:hideMark/>
          </w:tcPr>
          <w:p w14:paraId="70D9DE5B"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7.8</w:t>
            </w:r>
          </w:p>
        </w:tc>
        <w:tc>
          <w:tcPr>
            <w:tcW w:w="1340" w:type="dxa"/>
            <w:shd w:val="clear" w:color="auto" w:fill="auto"/>
            <w:vAlign w:val="center"/>
            <w:hideMark/>
          </w:tcPr>
          <w:p w14:paraId="71344AE8"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7.4</w:t>
            </w:r>
          </w:p>
        </w:tc>
      </w:tr>
      <w:tr w:rsidR="004B410F" w:rsidRPr="008D24F0" w14:paraId="798ECF18" w14:textId="77777777" w:rsidTr="003F088D">
        <w:trPr>
          <w:trHeight w:val="315"/>
        </w:trPr>
        <w:tc>
          <w:tcPr>
            <w:tcW w:w="2640" w:type="dxa"/>
            <w:tcBorders>
              <w:top w:val="nil"/>
              <w:left w:val="nil"/>
              <w:bottom w:val="single" w:sz="8" w:space="0" w:color="auto"/>
            </w:tcBorders>
            <w:shd w:val="clear" w:color="auto" w:fill="auto"/>
            <w:vAlign w:val="center"/>
            <w:hideMark/>
          </w:tcPr>
          <w:p w14:paraId="44058305"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Ընդհանուր ծախսերում (%)</w:t>
            </w:r>
          </w:p>
        </w:tc>
        <w:tc>
          <w:tcPr>
            <w:tcW w:w="1240" w:type="dxa"/>
            <w:tcBorders>
              <w:bottom w:val="single" w:sz="4" w:space="0" w:color="auto"/>
            </w:tcBorders>
            <w:shd w:val="clear" w:color="auto" w:fill="auto"/>
            <w:vAlign w:val="center"/>
            <w:hideMark/>
          </w:tcPr>
          <w:p w14:paraId="22803035"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28.3</w:t>
            </w:r>
          </w:p>
        </w:tc>
        <w:tc>
          <w:tcPr>
            <w:tcW w:w="1340" w:type="dxa"/>
            <w:tcBorders>
              <w:bottom w:val="single" w:sz="4" w:space="0" w:color="auto"/>
            </w:tcBorders>
            <w:shd w:val="clear" w:color="auto" w:fill="auto"/>
            <w:vAlign w:val="center"/>
            <w:hideMark/>
          </w:tcPr>
          <w:p w14:paraId="2AC62F7B"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24.5</w:t>
            </w:r>
          </w:p>
        </w:tc>
        <w:tc>
          <w:tcPr>
            <w:tcW w:w="1100" w:type="dxa"/>
            <w:tcBorders>
              <w:bottom w:val="single" w:sz="4" w:space="0" w:color="auto"/>
            </w:tcBorders>
            <w:shd w:val="clear" w:color="auto" w:fill="auto"/>
            <w:vAlign w:val="center"/>
            <w:hideMark/>
          </w:tcPr>
          <w:p w14:paraId="10184D70"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29.7</w:t>
            </w:r>
          </w:p>
        </w:tc>
        <w:tc>
          <w:tcPr>
            <w:tcW w:w="1160" w:type="dxa"/>
            <w:tcBorders>
              <w:bottom w:val="single" w:sz="4" w:space="0" w:color="auto"/>
            </w:tcBorders>
            <w:shd w:val="clear" w:color="auto" w:fill="auto"/>
            <w:vAlign w:val="center"/>
            <w:hideMark/>
          </w:tcPr>
          <w:p w14:paraId="0F5F8DAB"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27.4</w:t>
            </w:r>
          </w:p>
        </w:tc>
        <w:tc>
          <w:tcPr>
            <w:tcW w:w="1340" w:type="dxa"/>
            <w:tcBorders>
              <w:bottom w:val="single" w:sz="4" w:space="0" w:color="auto"/>
            </w:tcBorders>
            <w:shd w:val="clear" w:color="auto" w:fill="auto"/>
            <w:vAlign w:val="center"/>
            <w:hideMark/>
          </w:tcPr>
          <w:p w14:paraId="5FCA93A3"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24.3</w:t>
            </w:r>
          </w:p>
        </w:tc>
      </w:tr>
      <w:tr w:rsidR="004B410F" w:rsidRPr="008D24F0" w14:paraId="18EF97B4" w14:textId="77777777" w:rsidTr="003F088D">
        <w:trPr>
          <w:trHeight w:val="300"/>
        </w:trPr>
        <w:tc>
          <w:tcPr>
            <w:tcW w:w="2640" w:type="dxa"/>
            <w:tcBorders>
              <w:top w:val="nil"/>
              <w:left w:val="nil"/>
              <w:bottom w:val="nil"/>
            </w:tcBorders>
            <w:shd w:val="clear" w:color="auto" w:fill="auto"/>
            <w:vAlign w:val="center"/>
            <w:hideMark/>
          </w:tcPr>
          <w:p w14:paraId="76ABC7B9"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3. Տնտեսական ոլորտ</w:t>
            </w:r>
          </w:p>
        </w:tc>
        <w:tc>
          <w:tcPr>
            <w:tcW w:w="1240" w:type="dxa"/>
            <w:tcBorders>
              <w:top w:val="single" w:sz="4" w:space="0" w:color="auto"/>
            </w:tcBorders>
            <w:shd w:val="clear" w:color="auto" w:fill="auto"/>
            <w:vAlign w:val="center"/>
            <w:hideMark/>
          </w:tcPr>
          <w:p w14:paraId="3719F5B9"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138.9</w:t>
            </w:r>
          </w:p>
        </w:tc>
        <w:tc>
          <w:tcPr>
            <w:tcW w:w="1340" w:type="dxa"/>
            <w:tcBorders>
              <w:top w:val="single" w:sz="4" w:space="0" w:color="auto"/>
            </w:tcBorders>
            <w:shd w:val="clear" w:color="auto" w:fill="auto"/>
            <w:vAlign w:val="center"/>
            <w:hideMark/>
          </w:tcPr>
          <w:p w14:paraId="79F49B3C"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167.3</w:t>
            </w:r>
          </w:p>
        </w:tc>
        <w:tc>
          <w:tcPr>
            <w:tcW w:w="1100" w:type="dxa"/>
            <w:tcBorders>
              <w:top w:val="single" w:sz="4" w:space="0" w:color="auto"/>
            </w:tcBorders>
            <w:shd w:val="clear" w:color="auto" w:fill="auto"/>
            <w:vAlign w:val="center"/>
            <w:hideMark/>
          </w:tcPr>
          <w:p w14:paraId="37F4559E"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192.1</w:t>
            </w:r>
          </w:p>
        </w:tc>
        <w:tc>
          <w:tcPr>
            <w:tcW w:w="1160" w:type="dxa"/>
            <w:tcBorders>
              <w:top w:val="single" w:sz="4" w:space="0" w:color="auto"/>
            </w:tcBorders>
            <w:shd w:val="clear" w:color="auto" w:fill="auto"/>
            <w:vAlign w:val="center"/>
            <w:hideMark/>
          </w:tcPr>
          <w:p w14:paraId="33855BF3"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267.7</w:t>
            </w:r>
          </w:p>
        </w:tc>
        <w:tc>
          <w:tcPr>
            <w:tcW w:w="1340" w:type="dxa"/>
            <w:tcBorders>
              <w:top w:val="single" w:sz="4" w:space="0" w:color="auto"/>
            </w:tcBorders>
            <w:shd w:val="clear" w:color="auto" w:fill="auto"/>
            <w:vAlign w:val="center"/>
            <w:hideMark/>
          </w:tcPr>
          <w:p w14:paraId="1E25530B"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296.0</w:t>
            </w:r>
          </w:p>
        </w:tc>
      </w:tr>
      <w:tr w:rsidR="004B410F" w:rsidRPr="008D24F0" w14:paraId="459595C9" w14:textId="77777777" w:rsidTr="003F088D">
        <w:trPr>
          <w:trHeight w:val="300"/>
        </w:trPr>
        <w:tc>
          <w:tcPr>
            <w:tcW w:w="2640" w:type="dxa"/>
            <w:tcBorders>
              <w:top w:val="nil"/>
              <w:left w:val="nil"/>
              <w:bottom w:val="nil"/>
            </w:tcBorders>
            <w:shd w:val="clear" w:color="auto" w:fill="auto"/>
            <w:vAlign w:val="center"/>
            <w:hideMark/>
          </w:tcPr>
          <w:p w14:paraId="3A9B8B8A"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ՀՆԱ-ի նկատմամբ (%)</w:t>
            </w:r>
          </w:p>
        </w:tc>
        <w:tc>
          <w:tcPr>
            <w:tcW w:w="1240" w:type="dxa"/>
            <w:shd w:val="clear" w:color="auto" w:fill="auto"/>
            <w:vAlign w:val="center"/>
            <w:hideMark/>
          </w:tcPr>
          <w:p w14:paraId="7C44FAFB"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2.4</w:t>
            </w:r>
          </w:p>
        </w:tc>
        <w:tc>
          <w:tcPr>
            <w:tcW w:w="1340" w:type="dxa"/>
            <w:shd w:val="clear" w:color="auto" w:fill="auto"/>
            <w:vAlign w:val="center"/>
            <w:hideMark/>
          </w:tcPr>
          <w:p w14:paraId="7D5D64D1"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2.4</w:t>
            </w:r>
          </w:p>
        </w:tc>
        <w:tc>
          <w:tcPr>
            <w:tcW w:w="1100" w:type="dxa"/>
            <w:shd w:val="clear" w:color="auto" w:fill="auto"/>
            <w:vAlign w:val="center"/>
            <w:hideMark/>
          </w:tcPr>
          <w:p w14:paraId="02F1AD07"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2.3</w:t>
            </w:r>
          </w:p>
        </w:tc>
        <w:tc>
          <w:tcPr>
            <w:tcW w:w="1160" w:type="dxa"/>
            <w:shd w:val="clear" w:color="auto" w:fill="auto"/>
            <w:vAlign w:val="center"/>
            <w:hideMark/>
          </w:tcPr>
          <w:p w14:paraId="0C8785D7"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2.9</w:t>
            </w:r>
          </w:p>
        </w:tc>
        <w:tc>
          <w:tcPr>
            <w:tcW w:w="1340" w:type="dxa"/>
            <w:shd w:val="clear" w:color="auto" w:fill="auto"/>
            <w:vAlign w:val="center"/>
            <w:hideMark/>
          </w:tcPr>
          <w:p w14:paraId="46264799"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2.8</w:t>
            </w:r>
          </w:p>
        </w:tc>
      </w:tr>
      <w:tr w:rsidR="004B410F" w:rsidRPr="008D24F0" w14:paraId="039C2C23" w14:textId="77777777" w:rsidTr="003F088D">
        <w:trPr>
          <w:trHeight w:val="315"/>
        </w:trPr>
        <w:tc>
          <w:tcPr>
            <w:tcW w:w="2640" w:type="dxa"/>
            <w:tcBorders>
              <w:top w:val="nil"/>
              <w:left w:val="nil"/>
              <w:bottom w:val="single" w:sz="8" w:space="0" w:color="auto"/>
            </w:tcBorders>
            <w:shd w:val="clear" w:color="auto" w:fill="auto"/>
            <w:vAlign w:val="center"/>
            <w:hideMark/>
          </w:tcPr>
          <w:p w14:paraId="16A00914"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Ընդհանուր ծախսերում (%)</w:t>
            </w:r>
          </w:p>
        </w:tc>
        <w:tc>
          <w:tcPr>
            <w:tcW w:w="1240" w:type="dxa"/>
            <w:tcBorders>
              <w:bottom w:val="single" w:sz="4" w:space="0" w:color="auto"/>
            </w:tcBorders>
            <w:shd w:val="clear" w:color="auto" w:fill="auto"/>
            <w:vAlign w:val="center"/>
            <w:hideMark/>
          </w:tcPr>
          <w:p w14:paraId="1488FB91"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7.3</w:t>
            </w:r>
          </w:p>
        </w:tc>
        <w:tc>
          <w:tcPr>
            <w:tcW w:w="1340" w:type="dxa"/>
            <w:tcBorders>
              <w:bottom w:val="single" w:sz="4" w:space="0" w:color="auto"/>
            </w:tcBorders>
            <w:shd w:val="clear" w:color="auto" w:fill="auto"/>
            <w:vAlign w:val="center"/>
            <w:hideMark/>
          </w:tcPr>
          <w:p w14:paraId="66279F19"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8.3</w:t>
            </w:r>
          </w:p>
        </w:tc>
        <w:tc>
          <w:tcPr>
            <w:tcW w:w="1100" w:type="dxa"/>
            <w:tcBorders>
              <w:bottom w:val="single" w:sz="4" w:space="0" w:color="auto"/>
            </w:tcBorders>
            <w:shd w:val="clear" w:color="auto" w:fill="auto"/>
            <w:vAlign w:val="center"/>
            <w:hideMark/>
          </w:tcPr>
          <w:p w14:paraId="190F6F7B"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8.4</w:t>
            </w:r>
          </w:p>
        </w:tc>
        <w:tc>
          <w:tcPr>
            <w:tcW w:w="1160" w:type="dxa"/>
            <w:tcBorders>
              <w:bottom w:val="single" w:sz="4" w:space="0" w:color="auto"/>
            </w:tcBorders>
            <w:shd w:val="clear" w:color="auto" w:fill="auto"/>
            <w:vAlign w:val="center"/>
            <w:hideMark/>
          </w:tcPr>
          <w:p w14:paraId="00347CA8"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10.1</w:t>
            </w:r>
          </w:p>
        </w:tc>
        <w:tc>
          <w:tcPr>
            <w:tcW w:w="1340" w:type="dxa"/>
            <w:tcBorders>
              <w:bottom w:val="single" w:sz="4" w:space="0" w:color="auto"/>
            </w:tcBorders>
            <w:shd w:val="clear" w:color="auto" w:fill="auto"/>
            <w:vAlign w:val="center"/>
            <w:hideMark/>
          </w:tcPr>
          <w:p w14:paraId="789EEAA1"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9.2</w:t>
            </w:r>
          </w:p>
        </w:tc>
      </w:tr>
      <w:tr w:rsidR="004B410F" w:rsidRPr="008D24F0" w14:paraId="42527EEB" w14:textId="77777777" w:rsidTr="003F088D">
        <w:trPr>
          <w:trHeight w:val="300"/>
        </w:trPr>
        <w:tc>
          <w:tcPr>
            <w:tcW w:w="2640" w:type="dxa"/>
            <w:tcBorders>
              <w:top w:val="nil"/>
              <w:left w:val="nil"/>
              <w:bottom w:val="nil"/>
            </w:tcBorders>
            <w:shd w:val="clear" w:color="auto" w:fill="auto"/>
            <w:vAlign w:val="center"/>
            <w:hideMark/>
          </w:tcPr>
          <w:p w14:paraId="1955F024"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4. Սոցիալական ոլորտ</w:t>
            </w:r>
          </w:p>
        </w:tc>
        <w:tc>
          <w:tcPr>
            <w:tcW w:w="1240" w:type="dxa"/>
            <w:tcBorders>
              <w:top w:val="single" w:sz="4" w:space="0" w:color="auto"/>
            </w:tcBorders>
            <w:shd w:val="clear" w:color="auto" w:fill="auto"/>
            <w:vAlign w:val="center"/>
            <w:hideMark/>
          </w:tcPr>
          <w:p w14:paraId="10EA5C1D"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885.5</w:t>
            </w:r>
          </w:p>
        </w:tc>
        <w:tc>
          <w:tcPr>
            <w:tcW w:w="1340" w:type="dxa"/>
            <w:tcBorders>
              <w:top w:val="single" w:sz="4" w:space="0" w:color="auto"/>
            </w:tcBorders>
            <w:shd w:val="clear" w:color="auto" w:fill="auto"/>
            <w:vAlign w:val="center"/>
            <w:hideMark/>
          </w:tcPr>
          <w:p w14:paraId="09DC7F82"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982.7</w:t>
            </w:r>
          </w:p>
        </w:tc>
        <w:tc>
          <w:tcPr>
            <w:tcW w:w="1100" w:type="dxa"/>
            <w:tcBorders>
              <w:top w:val="single" w:sz="4" w:space="0" w:color="auto"/>
            </w:tcBorders>
            <w:shd w:val="clear" w:color="auto" w:fill="auto"/>
            <w:vAlign w:val="center"/>
            <w:hideMark/>
          </w:tcPr>
          <w:p w14:paraId="6B144FD4"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1,002.5</w:t>
            </w:r>
          </w:p>
        </w:tc>
        <w:tc>
          <w:tcPr>
            <w:tcW w:w="1160" w:type="dxa"/>
            <w:tcBorders>
              <w:top w:val="single" w:sz="4" w:space="0" w:color="auto"/>
            </w:tcBorders>
            <w:shd w:val="clear" w:color="auto" w:fill="auto"/>
            <w:vAlign w:val="center"/>
            <w:hideMark/>
          </w:tcPr>
          <w:p w14:paraId="05475B4D"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1,103.8</w:t>
            </w:r>
          </w:p>
        </w:tc>
        <w:tc>
          <w:tcPr>
            <w:tcW w:w="1340" w:type="dxa"/>
            <w:tcBorders>
              <w:top w:val="single" w:sz="4" w:space="0" w:color="auto"/>
            </w:tcBorders>
            <w:shd w:val="clear" w:color="auto" w:fill="auto"/>
            <w:vAlign w:val="center"/>
            <w:hideMark/>
          </w:tcPr>
          <w:p w14:paraId="1D864003"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1,295.3</w:t>
            </w:r>
          </w:p>
        </w:tc>
      </w:tr>
      <w:tr w:rsidR="004B410F" w:rsidRPr="008D24F0" w14:paraId="12018D0D" w14:textId="77777777" w:rsidTr="003F088D">
        <w:trPr>
          <w:trHeight w:val="300"/>
        </w:trPr>
        <w:tc>
          <w:tcPr>
            <w:tcW w:w="2640" w:type="dxa"/>
            <w:tcBorders>
              <w:top w:val="nil"/>
              <w:left w:val="nil"/>
              <w:bottom w:val="nil"/>
            </w:tcBorders>
            <w:shd w:val="clear" w:color="auto" w:fill="auto"/>
            <w:vAlign w:val="center"/>
            <w:hideMark/>
          </w:tcPr>
          <w:p w14:paraId="71DBD050"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ՀՆԱ-ի նկատմամբ (%)</w:t>
            </w:r>
          </w:p>
        </w:tc>
        <w:tc>
          <w:tcPr>
            <w:tcW w:w="1240" w:type="dxa"/>
            <w:shd w:val="clear" w:color="auto" w:fill="auto"/>
            <w:vAlign w:val="center"/>
            <w:hideMark/>
          </w:tcPr>
          <w:p w14:paraId="18D39031"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14.3</w:t>
            </w:r>
          </w:p>
        </w:tc>
        <w:tc>
          <w:tcPr>
            <w:tcW w:w="1340" w:type="dxa"/>
            <w:shd w:val="clear" w:color="auto" w:fill="auto"/>
            <w:vAlign w:val="center"/>
            <w:hideMark/>
          </w:tcPr>
          <w:p w14:paraId="074F567C"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14.1</w:t>
            </w:r>
          </w:p>
        </w:tc>
        <w:tc>
          <w:tcPr>
            <w:tcW w:w="1100" w:type="dxa"/>
            <w:shd w:val="clear" w:color="auto" w:fill="auto"/>
            <w:vAlign w:val="center"/>
            <w:hideMark/>
          </w:tcPr>
          <w:p w14:paraId="09B58CBF"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11.8</w:t>
            </w:r>
          </w:p>
        </w:tc>
        <w:tc>
          <w:tcPr>
            <w:tcW w:w="1160" w:type="dxa"/>
            <w:shd w:val="clear" w:color="auto" w:fill="auto"/>
            <w:vAlign w:val="center"/>
            <w:hideMark/>
          </w:tcPr>
          <w:p w14:paraId="14E5299F"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11.7</w:t>
            </w:r>
          </w:p>
        </w:tc>
        <w:tc>
          <w:tcPr>
            <w:tcW w:w="1340" w:type="dxa"/>
            <w:shd w:val="clear" w:color="auto" w:fill="auto"/>
            <w:vAlign w:val="center"/>
            <w:hideMark/>
          </w:tcPr>
          <w:p w14:paraId="367A6F03"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12.4</w:t>
            </w:r>
          </w:p>
        </w:tc>
      </w:tr>
      <w:tr w:rsidR="004B410F" w:rsidRPr="008D24F0" w14:paraId="05FE8550" w14:textId="77777777" w:rsidTr="003F088D">
        <w:trPr>
          <w:trHeight w:val="315"/>
        </w:trPr>
        <w:tc>
          <w:tcPr>
            <w:tcW w:w="2640" w:type="dxa"/>
            <w:tcBorders>
              <w:top w:val="nil"/>
              <w:left w:val="nil"/>
              <w:bottom w:val="single" w:sz="8" w:space="0" w:color="auto"/>
            </w:tcBorders>
            <w:shd w:val="clear" w:color="auto" w:fill="auto"/>
            <w:vAlign w:val="center"/>
            <w:hideMark/>
          </w:tcPr>
          <w:p w14:paraId="608CDFB9" w14:textId="77777777" w:rsidR="004B410F" w:rsidRPr="008D24F0" w:rsidRDefault="004B410F" w:rsidP="003F088D">
            <w:pPr>
              <w:spacing w:before="0" w:line="240" w:lineRule="auto"/>
              <w:rPr>
                <w:rFonts w:cs="Calibri"/>
                <w:b w:val="0"/>
                <w:color w:val="000000"/>
                <w:sz w:val="18"/>
                <w:szCs w:val="18"/>
                <w:lang w:val="en-US" w:eastAsia="en-US"/>
              </w:rPr>
            </w:pPr>
            <w:r w:rsidRPr="008D24F0">
              <w:rPr>
                <w:rFonts w:cs="Calibri"/>
                <w:b w:val="0"/>
                <w:color w:val="000000"/>
                <w:sz w:val="18"/>
                <w:szCs w:val="18"/>
                <w:lang w:val="en-US" w:eastAsia="en-US"/>
              </w:rPr>
              <w:t>Ընդհանուր ծախսերում (%)</w:t>
            </w:r>
          </w:p>
        </w:tc>
        <w:tc>
          <w:tcPr>
            <w:tcW w:w="1240" w:type="dxa"/>
            <w:tcBorders>
              <w:bottom w:val="single" w:sz="4" w:space="0" w:color="auto"/>
            </w:tcBorders>
            <w:shd w:val="clear" w:color="auto" w:fill="auto"/>
            <w:vAlign w:val="center"/>
            <w:hideMark/>
          </w:tcPr>
          <w:p w14:paraId="176F984C"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46.4</w:t>
            </w:r>
          </w:p>
        </w:tc>
        <w:tc>
          <w:tcPr>
            <w:tcW w:w="1340" w:type="dxa"/>
            <w:tcBorders>
              <w:bottom w:val="single" w:sz="4" w:space="0" w:color="auto"/>
            </w:tcBorders>
            <w:shd w:val="clear" w:color="auto" w:fill="auto"/>
            <w:vAlign w:val="center"/>
            <w:hideMark/>
          </w:tcPr>
          <w:p w14:paraId="2F325827"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48.5</w:t>
            </w:r>
          </w:p>
        </w:tc>
        <w:tc>
          <w:tcPr>
            <w:tcW w:w="1100" w:type="dxa"/>
            <w:tcBorders>
              <w:bottom w:val="single" w:sz="4" w:space="0" w:color="auto"/>
            </w:tcBorders>
            <w:shd w:val="clear" w:color="auto" w:fill="auto"/>
            <w:vAlign w:val="center"/>
            <w:hideMark/>
          </w:tcPr>
          <w:p w14:paraId="396CA104"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44.0</w:t>
            </w:r>
          </w:p>
        </w:tc>
        <w:tc>
          <w:tcPr>
            <w:tcW w:w="1160" w:type="dxa"/>
            <w:tcBorders>
              <w:bottom w:val="single" w:sz="4" w:space="0" w:color="auto"/>
            </w:tcBorders>
            <w:shd w:val="clear" w:color="auto" w:fill="auto"/>
            <w:vAlign w:val="center"/>
            <w:hideMark/>
          </w:tcPr>
          <w:p w14:paraId="1769EFEC"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41.7</w:t>
            </w:r>
          </w:p>
        </w:tc>
        <w:tc>
          <w:tcPr>
            <w:tcW w:w="1340" w:type="dxa"/>
            <w:tcBorders>
              <w:bottom w:val="single" w:sz="4" w:space="0" w:color="auto"/>
            </w:tcBorders>
            <w:shd w:val="clear" w:color="auto" w:fill="auto"/>
            <w:vAlign w:val="center"/>
            <w:hideMark/>
          </w:tcPr>
          <w:p w14:paraId="5625DF90" w14:textId="77777777" w:rsidR="004B410F" w:rsidRPr="008D24F0" w:rsidRDefault="004B410F" w:rsidP="003F088D">
            <w:pPr>
              <w:spacing w:before="0" w:line="240" w:lineRule="auto"/>
              <w:jc w:val="center"/>
              <w:rPr>
                <w:rFonts w:cs="Calibri"/>
                <w:b w:val="0"/>
                <w:color w:val="000000"/>
                <w:sz w:val="18"/>
                <w:szCs w:val="18"/>
                <w:lang w:val="en-US" w:eastAsia="en-US"/>
              </w:rPr>
            </w:pPr>
            <w:r w:rsidRPr="008D24F0">
              <w:rPr>
                <w:rFonts w:cs="Calibri"/>
                <w:b w:val="0"/>
                <w:color w:val="000000"/>
                <w:sz w:val="18"/>
                <w:szCs w:val="18"/>
                <w:lang w:val="en-US" w:eastAsia="en-US"/>
              </w:rPr>
              <w:t>40.5</w:t>
            </w:r>
          </w:p>
        </w:tc>
      </w:tr>
    </w:tbl>
    <w:p w14:paraId="104CF40E" w14:textId="77777777" w:rsidR="004B410F" w:rsidRDefault="004B410F" w:rsidP="004B410F">
      <w:pPr>
        <w:jc w:val="left"/>
        <w:rPr>
          <w:rFonts w:eastAsiaTheme="minorHAnsi" w:cs="Cambria Math"/>
          <w:b w:val="0"/>
          <w:sz w:val="24"/>
          <w:lang w:val="hy-AM" w:eastAsia="en-US"/>
        </w:rPr>
      </w:pPr>
    </w:p>
    <w:p w14:paraId="733B7415" w14:textId="77777777" w:rsidR="004B410F" w:rsidRDefault="004B410F" w:rsidP="004B410F">
      <w:pPr>
        <w:jc w:val="left"/>
        <w:rPr>
          <w:rFonts w:eastAsiaTheme="minorHAnsi" w:cs="Cambria Math"/>
          <w:b w:val="0"/>
          <w:sz w:val="24"/>
          <w:lang w:val="hy-AM" w:eastAsia="en-US"/>
        </w:rPr>
      </w:pPr>
    </w:p>
    <w:p w14:paraId="4AE12FE8" w14:textId="77777777" w:rsidR="004B410F" w:rsidRDefault="004B410F" w:rsidP="004B410F">
      <w:pPr>
        <w:rPr>
          <w:rFonts w:eastAsiaTheme="minorHAnsi" w:cs="Cambria Math"/>
          <w:b w:val="0"/>
          <w:szCs w:val="22"/>
          <w:lang w:val="hy-AM" w:eastAsia="en-US"/>
        </w:rPr>
      </w:pPr>
      <w:r w:rsidRPr="002452FC">
        <w:rPr>
          <w:rFonts w:eastAsiaTheme="minorHAnsi" w:cs="Cambria Math"/>
          <w:b w:val="0"/>
          <w:szCs w:val="22"/>
          <w:lang w:val="hy-AM" w:eastAsia="en-US"/>
        </w:rPr>
        <w:t>ՀՀ 20</w:t>
      </w:r>
      <w:r>
        <w:rPr>
          <w:rFonts w:eastAsiaTheme="minorHAnsi" w:cs="Cambria Math"/>
          <w:b w:val="0"/>
          <w:szCs w:val="22"/>
          <w:lang w:val="hy-AM" w:eastAsia="en-US"/>
        </w:rPr>
        <w:t>20</w:t>
      </w:r>
      <w:r w:rsidRPr="002452FC">
        <w:rPr>
          <w:rFonts w:eastAsiaTheme="minorHAnsi" w:cs="Cambria Math"/>
          <w:b w:val="0"/>
          <w:szCs w:val="22"/>
          <w:lang w:val="hy-AM" w:eastAsia="en-US"/>
        </w:rPr>
        <w:t>-20</w:t>
      </w:r>
      <w:r w:rsidRPr="00C74BDD">
        <w:rPr>
          <w:rFonts w:eastAsiaTheme="minorHAnsi" w:cs="Cambria Math"/>
          <w:b w:val="0"/>
          <w:szCs w:val="22"/>
          <w:lang w:val="hy-AM" w:eastAsia="en-US"/>
        </w:rPr>
        <w:t>2</w:t>
      </w:r>
      <w:r>
        <w:rPr>
          <w:rFonts w:eastAsiaTheme="minorHAnsi" w:cs="Cambria Math"/>
          <w:b w:val="0"/>
          <w:szCs w:val="22"/>
          <w:lang w:val="hy-AM" w:eastAsia="en-US"/>
        </w:rPr>
        <w:t>4</w:t>
      </w:r>
      <w:r w:rsidRPr="00C74BDD">
        <w:rPr>
          <w:rFonts w:eastAsiaTheme="minorHAnsi" w:cs="Cambria Math"/>
          <w:b w:val="0"/>
          <w:szCs w:val="22"/>
          <w:lang w:val="hy-AM" w:eastAsia="en-US"/>
        </w:rPr>
        <w:t xml:space="preserve"> թվականների պետական բյուջեի ծախսերն ըստ ոլորտների ունեն հետևյալ գրաֆիկական տեսքը.</w:t>
      </w:r>
    </w:p>
    <w:p w14:paraId="3BF7AEDF" w14:textId="77777777" w:rsidR="004B410F" w:rsidRDefault="004B410F" w:rsidP="004B410F">
      <w:pPr>
        <w:rPr>
          <w:rFonts w:eastAsiaTheme="minorHAnsi" w:cs="Cambria Math"/>
          <w:b w:val="0"/>
          <w:szCs w:val="22"/>
          <w:lang w:val="hy-AM" w:eastAsia="en-US"/>
        </w:rPr>
      </w:pPr>
    </w:p>
    <w:p w14:paraId="27FC87D1" w14:textId="77777777" w:rsidR="004B410F" w:rsidRDefault="004B410F" w:rsidP="004B410F">
      <w:pPr>
        <w:rPr>
          <w:rFonts w:eastAsiaTheme="minorHAnsi" w:cs="Cambria Math"/>
          <w:b w:val="0"/>
          <w:szCs w:val="22"/>
          <w:lang w:val="hy-AM" w:eastAsia="en-US"/>
        </w:rPr>
      </w:pPr>
      <w:r w:rsidRPr="00C74BDD">
        <w:rPr>
          <w:rFonts w:eastAsiaTheme="minorHAnsi" w:cs="Cambria Math"/>
          <w:b w:val="0"/>
          <w:noProof/>
          <w:sz w:val="24"/>
          <w:lang w:val="en-US" w:eastAsia="en-US"/>
        </w:rPr>
        <w:drawing>
          <wp:anchor distT="0" distB="0" distL="114300" distR="114300" simplePos="0" relativeHeight="251758592" behindDoc="0" locked="0" layoutInCell="1" allowOverlap="1" wp14:anchorId="29D15918" wp14:editId="5F53B4AD">
            <wp:simplePos x="0" y="0"/>
            <wp:positionH relativeFrom="column">
              <wp:posOffset>0</wp:posOffset>
            </wp:positionH>
            <wp:positionV relativeFrom="paragraph">
              <wp:posOffset>60325</wp:posOffset>
            </wp:positionV>
            <wp:extent cx="6082665" cy="3190875"/>
            <wp:effectExtent l="0" t="0" r="13335" b="9525"/>
            <wp:wrapNone/>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1DF3187F" w14:textId="77777777" w:rsidR="004B410F" w:rsidRDefault="004B410F" w:rsidP="004B410F">
      <w:pPr>
        <w:rPr>
          <w:rFonts w:eastAsiaTheme="minorHAnsi" w:cs="Cambria Math"/>
          <w:b w:val="0"/>
          <w:szCs w:val="22"/>
          <w:lang w:val="hy-AM" w:eastAsia="en-US"/>
        </w:rPr>
      </w:pPr>
    </w:p>
    <w:p w14:paraId="11FF8320" w14:textId="77777777" w:rsidR="004B410F" w:rsidRDefault="004B410F" w:rsidP="004B410F">
      <w:pPr>
        <w:rPr>
          <w:rFonts w:eastAsiaTheme="minorHAnsi" w:cs="Cambria Math"/>
          <w:b w:val="0"/>
          <w:szCs w:val="22"/>
          <w:lang w:val="hy-AM" w:eastAsia="en-US"/>
        </w:rPr>
      </w:pPr>
    </w:p>
    <w:p w14:paraId="125624F1" w14:textId="77777777" w:rsidR="004B410F" w:rsidRDefault="004B410F" w:rsidP="004B410F">
      <w:pPr>
        <w:rPr>
          <w:rFonts w:eastAsiaTheme="minorHAnsi" w:cs="Cambria Math"/>
          <w:b w:val="0"/>
          <w:szCs w:val="22"/>
          <w:lang w:val="hy-AM" w:eastAsia="en-US"/>
        </w:rPr>
      </w:pPr>
    </w:p>
    <w:p w14:paraId="0DD3DB84" w14:textId="77777777" w:rsidR="004B410F" w:rsidRDefault="004B410F" w:rsidP="004B410F">
      <w:pPr>
        <w:rPr>
          <w:rFonts w:eastAsiaTheme="minorHAnsi" w:cs="Cambria Math"/>
          <w:b w:val="0"/>
          <w:szCs w:val="22"/>
          <w:lang w:val="hy-AM" w:eastAsia="en-US"/>
        </w:rPr>
      </w:pPr>
    </w:p>
    <w:p w14:paraId="1398FFA4" w14:textId="77777777" w:rsidR="004B410F" w:rsidRDefault="004B410F" w:rsidP="004B410F">
      <w:pPr>
        <w:rPr>
          <w:rFonts w:eastAsiaTheme="minorHAnsi" w:cs="Cambria Math"/>
          <w:b w:val="0"/>
          <w:szCs w:val="22"/>
          <w:lang w:val="hy-AM" w:eastAsia="en-US"/>
        </w:rPr>
      </w:pPr>
    </w:p>
    <w:p w14:paraId="6F940241" w14:textId="77777777" w:rsidR="004B410F" w:rsidRDefault="004B410F" w:rsidP="004B410F">
      <w:pPr>
        <w:rPr>
          <w:rFonts w:eastAsiaTheme="minorHAnsi" w:cs="Cambria Math"/>
          <w:b w:val="0"/>
          <w:szCs w:val="22"/>
          <w:lang w:val="hy-AM" w:eastAsia="en-US"/>
        </w:rPr>
      </w:pPr>
    </w:p>
    <w:p w14:paraId="1C2762FD" w14:textId="77777777" w:rsidR="004B410F" w:rsidRDefault="004B410F" w:rsidP="004B410F">
      <w:pPr>
        <w:rPr>
          <w:rFonts w:eastAsiaTheme="minorHAnsi" w:cs="Cambria Math"/>
          <w:b w:val="0"/>
          <w:szCs w:val="22"/>
          <w:lang w:val="hy-AM" w:eastAsia="en-US"/>
        </w:rPr>
      </w:pPr>
    </w:p>
    <w:p w14:paraId="2E0D42A0" w14:textId="77777777" w:rsidR="004B410F" w:rsidRDefault="004B410F" w:rsidP="004B410F">
      <w:pPr>
        <w:rPr>
          <w:rFonts w:eastAsiaTheme="minorHAnsi" w:cs="Cambria Math"/>
          <w:b w:val="0"/>
          <w:szCs w:val="22"/>
          <w:lang w:val="hy-AM" w:eastAsia="en-US"/>
        </w:rPr>
      </w:pPr>
    </w:p>
    <w:p w14:paraId="4DC1CF3D" w14:textId="77777777" w:rsidR="004B410F" w:rsidRDefault="004B410F" w:rsidP="004B410F">
      <w:pPr>
        <w:rPr>
          <w:rFonts w:eastAsiaTheme="minorHAnsi" w:cs="Cambria Math"/>
          <w:b w:val="0"/>
          <w:szCs w:val="22"/>
          <w:lang w:val="hy-AM" w:eastAsia="en-US"/>
        </w:rPr>
      </w:pPr>
    </w:p>
    <w:p w14:paraId="1F382C35" w14:textId="77777777" w:rsidR="004B410F" w:rsidRDefault="004B410F" w:rsidP="004B410F">
      <w:pPr>
        <w:rPr>
          <w:rFonts w:eastAsiaTheme="minorHAnsi" w:cs="Cambria Math"/>
          <w:b w:val="0"/>
          <w:szCs w:val="22"/>
          <w:lang w:val="hy-AM" w:eastAsia="en-US"/>
        </w:rPr>
      </w:pPr>
    </w:p>
    <w:p w14:paraId="4904A6F3" w14:textId="77777777" w:rsidR="004B410F" w:rsidRDefault="004B410F" w:rsidP="004B410F">
      <w:pPr>
        <w:rPr>
          <w:rFonts w:eastAsiaTheme="minorHAnsi" w:cs="Cambria Math"/>
          <w:b w:val="0"/>
          <w:szCs w:val="22"/>
          <w:lang w:val="hy-AM" w:eastAsia="en-US"/>
        </w:rPr>
      </w:pPr>
    </w:p>
    <w:p w14:paraId="52858CDF" w14:textId="77777777" w:rsidR="004B410F" w:rsidRPr="00C74BDD" w:rsidRDefault="004B410F" w:rsidP="004B410F">
      <w:pPr>
        <w:rPr>
          <w:rFonts w:eastAsiaTheme="minorHAnsi" w:cs="Cambria Math"/>
          <w:b w:val="0"/>
          <w:szCs w:val="22"/>
          <w:lang w:val="hy-AM" w:eastAsia="en-US"/>
        </w:rPr>
      </w:pPr>
      <w:r w:rsidRPr="00C74BDD">
        <w:rPr>
          <w:rFonts w:eastAsiaTheme="minorHAnsi" w:cs="Cambria Math"/>
          <w:b w:val="0"/>
          <w:szCs w:val="22"/>
          <w:lang w:val="hy-AM" w:eastAsia="en-US"/>
        </w:rPr>
        <w:t>20</w:t>
      </w:r>
      <w:r>
        <w:rPr>
          <w:rFonts w:eastAsiaTheme="minorHAnsi" w:cs="Cambria Math"/>
          <w:b w:val="0"/>
          <w:szCs w:val="22"/>
          <w:lang w:val="hy-AM" w:eastAsia="en-US"/>
        </w:rPr>
        <w:t>20</w:t>
      </w:r>
      <w:r w:rsidRPr="00C74BDD">
        <w:rPr>
          <w:rFonts w:eastAsiaTheme="minorHAnsi" w:cs="Cambria Math"/>
          <w:b w:val="0"/>
          <w:szCs w:val="22"/>
          <w:lang w:val="hy-AM" w:eastAsia="en-US"/>
        </w:rPr>
        <w:t>-202</w:t>
      </w:r>
      <w:r w:rsidRPr="00600035">
        <w:rPr>
          <w:rFonts w:eastAsiaTheme="minorHAnsi" w:cs="Cambria Math"/>
          <w:b w:val="0"/>
          <w:szCs w:val="22"/>
          <w:lang w:val="hy-AM" w:eastAsia="en-US"/>
        </w:rPr>
        <w:t>3</w:t>
      </w:r>
      <w:r w:rsidRPr="00C74BDD">
        <w:rPr>
          <w:rFonts w:eastAsiaTheme="minorHAnsi" w:cs="Cambria Math"/>
          <w:b w:val="0"/>
          <w:szCs w:val="22"/>
          <w:lang w:val="hy-AM" w:eastAsia="en-US"/>
        </w:rPr>
        <w:t>թթ</w:t>
      </w:r>
      <w:r w:rsidRPr="00C74BDD">
        <w:rPr>
          <w:rFonts w:eastAsiaTheme="minorHAnsi" w:cs="Cambria Math" w:hint="eastAsia"/>
          <w:b w:val="0"/>
          <w:szCs w:val="22"/>
          <w:lang w:val="hy-AM" w:eastAsia="en-US"/>
        </w:rPr>
        <w:t>․</w:t>
      </w:r>
      <w:r w:rsidRPr="00C74BDD">
        <w:rPr>
          <w:rFonts w:eastAsiaTheme="minorHAnsi" w:cs="Cambria Math"/>
          <w:b w:val="0"/>
          <w:szCs w:val="22"/>
          <w:lang w:val="hy-AM" w:eastAsia="en-US"/>
        </w:rPr>
        <w:t xml:space="preserve"> պետական բյուջեի ընդամենը ծախսերում գերակայել են սոցիալական բնույթի ծախսերը (կրթություն, սոցիալական պաշտպանություն, առողջապահություն և այլն) միջինում 4</w:t>
      </w:r>
      <w:r w:rsidRPr="008D24F0">
        <w:rPr>
          <w:rFonts w:eastAsiaTheme="minorHAnsi" w:cs="Cambria Math"/>
          <w:b w:val="0"/>
          <w:szCs w:val="22"/>
          <w:lang w:val="hy-AM" w:eastAsia="en-US"/>
        </w:rPr>
        <w:t>0</w:t>
      </w:r>
      <w:r w:rsidRPr="00600035">
        <w:rPr>
          <w:rFonts w:eastAsiaTheme="minorHAnsi" w:cs="Cambria Math"/>
          <w:b w:val="0"/>
          <w:szCs w:val="22"/>
          <w:lang w:val="hy-AM" w:eastAsia="en-US"/>
        </w:rPr>
        <w:t>.</w:t>
      </w:r>
      <w:r w:rsidRPr="008D24F0">
        <w:rPr>
          <w:rFonts w:eastAsiaTheme="minorHAnsi" w:cs="Cambria Math"/>
          <w:b w:val="0"/>
          <w:szCs w:val="22"/>
          <w:lang w:val="hy-AM" w:eastAsia="en-US"/>
        </w:rPr>
        <w:t>5</w:t>
      </w:r>
      <w:r w:rsidRPr="00C74BDD">
        <w:rPr>
          <w:rFonts w:eastAsiaTheme="minorHAnsi" w:cs="Cambria Math"/>
          <w:b w:val="0"/>
          <w:szCs w:val="22"/>
          <w:lang w:val="hy-AM" w:eastAsia="en-US"/>
        </w:rPr>
        <w:t>%, պաշտպանության, հասարակական կարգի, անվտանգության և դատական գործունեությանն՝ միջինում 2</w:t>
      </w:r>
      <w:r w:rsidRPr="001D6FDE">
        <w:rPr>
          <w:rFonts w:eastAsiaTheme="minorHAnsi" w:cs="Cambria Math"/>
          <w:b w:val="0"/>
          <w:szCs w:val="22"/>
          <w:lang w:val="hy-AM" w:eastAsia="en-US"/>
        </w:rPr>
        <w:t>4</w:t>
      </w:r>
      <w:r w:rsidRPr="00600035">
        <w:rPr>
          <w:rFonts w:eastAsiaTheme="minorHAnsi" w:cs="Cambria Math"/>
          <w:b w:val="0"/>
          <w:szCs w:val="22"/>
          <w:lang w:val="hy-AM" w:eastAsia="en-US"/>
        </w:rPr>
        <w:t>.</w:t>
      </w:r>
      <w:r w:rsidRPr="001D6FDE">
        <w:rPr>
          <w:rFonts w:eastAsiaTheme="minorHAnsi" w:cs="Cambria Math"/>
          <w:b w:val="0"/>
          <w:szCs w:val="22"/>
          <w:lang w:val="hy-AM" w:eastAsia="en-US"/>
        </w:rPr>
        <w:t>3</w:t>
      </w:r>
      <w:r w:rsidRPr="00C74BDD">
        <w:rPr>
          <w:rFonts w:eastAsiaTheme="minorHAnsi" w:cs="Cambria Math"/>
          <w:b w:val="0"/>
          <w:szCs w:val="22"/>
          <w:lang w:val="hy-AM" w:eastAsia="en-US"/>
        </w:rPr>
        <w:t xml:space="preserve">%, ընդհանուր բնույթի հանրային ծառայությունների,այդ թվում հիմնական բաժիններին չդասվող պահուստային ֆոնդերի՝ միջինում </w:t>
      </w:r>
      <w:r w:rsidRPr="001D6FDE">
        <w:rPr>
          <w:rFonts w:eastAsiaTheme="minorHAnsi" w:cs="Cambria Math"/>
          <w:b w:val="0"/>
          <w:szCs w:val="22"/>
          <w:lang w:val="hy-AM" w:eastAsia="en-US"/>
        </w:rPr>
        <w:t>26</w:t>
      </w:r>
      <w:r w:rsidRPr="00C74BDD">
        <w:rPr>
          <w:rFonts w:eastAsiaTheme="minorHAnsi" w:cs="Cambria Math"/>
          <w:b w:val="0"/>
          <w:szCs w:val="22"/>
          <w:lang w:val="hy-AM" w:eastAsia="en-US"/>
        </w:rPr>
        <w:t>%, տնտեսական ոլորտի՝ միջինում 9</w:t>
      </w:r>
      <w:r w:rsidRPr="001D6FDE">
        <w:rPr>
          <w:rFonts w:eastAsiaTheme="minorHAnsi" w:cs="Cambria Math"/>
          <w:b w:val="0"/>
          <w:szCs w:val="22"/>
          <w:lang w:val="hy-AM" w:eastAsia="en-US"/>
        </w:rPr>
        <w:t>.2</w:t>
      </w:r>
      <w:r w:rsidRPr="00C74BDD">
        <w:rPr>
          <w:rFonts w:eastAsiaTheme="minorHAnsi" w:cs="Cambria Math"/>
          <w:b w:val="0"/>
          <w:szCs w:val="22"/>
          <w:lang w:val="hy-AM" w:eastAsia="en-US"/>
        </w:rPr>
        <w:t>% ֆինանսավորումը։ Այս միտումը կշանունակվի նաև 202</w:t>
      </w:r>
      <w:r w:rsidRPr="00264575">
        <w:rPr>
          <w:rFonts w:eastAsiaTheme="minorHAnsi" w:cs="Cambria Math"/>
          <w:b w:val="0"/>
          <w:szCs w:val="22"/>
          <w:lang w:val="hy-AM" w:eastAsia="en-US"/>
        </w:rPr>
        <w:t>4</w:t>
      </w:r>
      <w:r w:rsidRPr="00C74BDD">
        <w:rPr>
          <w:rFonts w:eastAsiaTheme="minorHAnsi" w:cs="Cambria Math"/>
          <w:b w:val="0"/>
          <w:szCs w:val="22"/>
          <w:lang w:val="hy-AM" w:eastAsia="en-US"/>
        </w:rPr>
        <w:t xml:space="preserve"> թվականին։ </w:t>
      </w:r>
    </w:p>
    <w:p w14:paraId="687A239F" w14:textId="77777777" w:rsidR="004B410F" w:rsidRPr="00A676E0" w:rsidRDefault="004B410F" w:rsidP="004B410F">
      <w:pPr>
        <w:rPr>
          <w:rFonts w:eastAsiaTheme="minorHAnsi" w:cs="Cambria Math"/>
          <w:b w:val="0"/>
          <w:szCs w:val="22"/>
          <w:lang w:val="hy-AM" w:eastAsia="en-US"/>
        </w:rPr>
      </w:pPr>
      <w:r w:rsidRPr="00C74BDD">
        <w:rPr>
          <w:rFonts w:eastAsiaTheme="minorHAnsi" w:cs="Cambria Math"/>
          <w:b w:val="0"/>
          <w:szCs w:val="22"/>
          <w:lang w:val="hy-AM" w:eastAsia="en-US"/>
        </w:rPr>
        <w:lastRenderedPageBreak/>
        <w:t>202</w:t>
      </w:r>
      <w:r>
        <w:rPr>
          <w:rFonts w:eastAsiaTheme="minorHAnsi" w:cs="Cambria Math"/>
          <w:b w:val="0"/>
          <w:szCs w:val="22"/>
          <w:lang w:val="hy-AM" w:eastAsia="en-US"/>
        </w:rPr>
        <w:t>4</w:t>
      </w:r>
      <w:r w:rsidRPr="00C74BDD">
        <w:rPr>
          <w:rFonts w:eastAsiaTheme="minorHAnsi" w:cs="Cambria Math"/>
          <w:b w:val="0"/>
          <w:szCs w:val="22"/>
          <w:lang w:val="hy-AM" w:eastAsia="en-US"/>
        </w:rPr>
        <w:t xml:space="preserve">թ. ընդհանուր բնույթի  հանրային ծառայությունների և պահուստային ֆոնդերի ոլորտին ուղղվելիք միջոցները նախատեսվել են շուրջ </w:t>
      </w:r>
      <w:r w:rsidRPr="00A676E0">
        <w:rPr>
          <w:rFonts w:eastAsiaTheme="minorHAnsi" w:cs="Cambria Math"/>
          <w:b w:val="0"/>
          <w:szCs w:val="22"/>
          <w:lang w:val="hy-AM" w:eastAsia="en-US"/>
        </w:rPr>
        <w:t>285.3</w:t>
      </w:r>
      <w:r w:rsidRPr="00C74BDD">
        <w:rPr>
          <w:b w:val="0"/>
          <w:sz w:val="20"/>
          <w:szCs w:val="20"/>
          <w:lang w:val="hy-AM" w:eastAsia="en-US"/>
        </w:rPr>
        <w:t xml:space="preserve"> </w:t>
      </w:r>
      <w:r w:rsidRPr="00C74BDD">
        <w:rPr>
          <w:rFonts w:eastAsiaTheme="minorHAnsi" w:cs="Cambria Math"/>
          <w:b w:val="0"/>
          <w:szCs w:val="22"/>
          <w:lang w:val="hy-AM" w:eastAsia="en-US"/>
        </w:rPr>
        <w:t>մ</w:t>
      </w:r>
      <w:r>
        <w:rPr>
          <w:rFonts w:eastAsiaTheme="minorHAnsi" w:cs="Cambria Math"/>
          <w:b w:val="0"/>
          <w:szCs w:val="22"/>
          <w:lang w:val="hy-AM" w:eastAsia="en-US"/>
        </w:rPr>
        <w:t>լրդ</w:t>
      </w:r>
      <w:r w:rsidRPr="00C74BDD">
        <w:rPr>
          <w:rFonts w:eastAsiaTheme="minorHAnsi" w:cs="Cambria Math"/>
          <w:b w:val="0"/>
          <w:szCs w:val="22"/>
          <w:lang w:val="hy-AM" w:eastAsia="en-US"/>
        </w:rPr>
        <w:t>. դրամով ավել՝ համեմատած 202</w:t>
      </w:r>
      <w:r>
        <w:rPr>
          <w:rFonts w:eastAsiaTheme="minorHAnsi" w:cs="Cambria Math"/>
          <w:b w:val="0"/>
          <w:szCs w:val="22"/>
          <w:lang w:val="hy-AM" w:eastAsia="en-US"/>
        </w:rPr>
        <w:t>3</w:t>
      </w:r>
      <w:r w:rsidRPr="00C74BDD">
        <w:rPr>
          <w:rFonts w:eastAsiaTheme="minorHAnsi" w:cs="Cambria Math"/>
          <w:b w:val="0"/>
          <w:szCs w:val="22"/>
          <w:lang w:val="hy-AM" w:eastAsia="en-US"/>
        </w:rPr>
        <w:t xml:space="preserve"> թվականի հետ: </w:t>
      </w:r>
    </w:p>
    <w:p w14:paraId="30B57815" w14:textId="5B276442" w:rsidR="004B410F" w:rsidRPr="00C74BDD" w:rsidRDefault="004B410F" w:rsidP="004B410F">
      <w:pPr>
        <w:rPr>
          <w:rFonts w:eastAsiaTheme="minorHAnsi" w:cs="Cambria Math"/>
          <w:b w:val="0"/>
          <w:szCs w:val="22"/>
          <w:lang w:val="hy-AM" w:eastAsia="en-US"/>
        </w:rPr>
      </w:pPr>
      <w:r w:rsidRPr="00C74BDD">
        <w:rPr>
          <w:rFonts w:eastAsiaTheme="minorHAnsi" w:cs="Cambria Math"/>
          <w:b w:val="0"/>
          <w:szCs w:val="22"/>
          <w:lang w:val="hy-AM" w:eastAsia="en-US"/>
        </w:rPr>
        <w:t>202</w:t>
      </w:r>
      <w:r>
        <w:rPr>
          <w:rFonts w:eastAsiaTheme="minorHAnsi" w:cs="Cambria Math"/>
          <w:b w:val="0"/>
          <w:szCs w:val="22"/>
          <w:lang w:val="hy-AM" w:eastAsia="en-US"/>
        </w:rPr>
        <w:t>4</w:t>
      </w:r>
      <w:r w:rsidRPr="00C74BDD">
        <w:rPr>
          <w:rFonts w:eastAsiaTheme="minorHAnsi" w:cs="Cambria Math"/>
          <w:b w:val="0"/>
          <w:szCs w:val="22"/>
          <w:lang w:val="hy-AM" w:eastAsia="en-US"/>
        </w:rPr>
        <w:t>թ. պետական բյուջեով նախատեսվում է նաև պաշտպանության, հասարակական կարգի, անվտանգության և դատական գործունեության ոլորտին հատկացվելիք միջոցների աճ՝ 202</w:t>
      </w:r>
      <w:r>
        <w:rPr>
          <w:rFonts w:eastAsiaTheme="minorHAnsi" w:cs="Cambria Math"/>
          <w:b w:val="0"/>
          <w:szCs w:val="22"/>
          <w:lang w:val="hy-AM" w:eastAsia="en-US"/>
        </w:rPr>
        <w:t>3</w:t>
      </w:r>
      <w:r w:rsidRPr="00C74BDD">
        <w:rPr>
          <w:rFonts w:eastAsiaTheme="minorHAnsi" w:cs="Cambria Math"/>
          <w:b w:val="0"/>
          <w:szCs w:val="22"/>
          <w:lang w:val="hy-AM" w:eastAsia="en-US"/>
        </w:rPr>
        <w:t xml:space="preserve"> թվականի համեմատ շուրջ </w:t>
      </w:r>
      <w:r w:rsidRPr="00A676E0">
        <w:rPr>
          <w:rFonts w:eastAsiaTheme="minorHAnsi" w:cs="Cambria Math"/>
          <w:b w:val="0"/>
          <w:szCs w:val="22"/>
          <w:lang w:val="hy-AM" w:eastAsia="en-US"/>
        </w:rPr>
        <w:t>57.3</w:t>
      </w:r>
      <w:r w:rsidRPr="00C74BDD">
        <w:rPr>
          <w:rFonts w:eastAsiaTheme="minorHAnsi" w:cs="Cambria Math"/>
          <w:b w:val="0"/>
          <w:szCs w:val="22"/>
          <w:lang w:val="hy-AM" w:eastAsia="en-US"/>
        </w:rPr>
        <w:t xml:space="preserve"> մլ</w:t>
      </w:r>
      <w:r>
        <w:rPr>
          <w:rFonts w:eastAsiaTheme="minorHAnsi" w:cs="Cambria Math"/>
          <w:b w:val="0"/>
          <w:szCs w:val="22"/>
          <w:lang w:val="hy-AM" w:eastAsia="en-US"/>
        </w:rPr>
        <w:t>րդ</w:t>
      </w:r>
      <w:r>
        <w:rPr>
          <w:rFonts w:ascii="Cambria Math" w:eastAsiaTheme="minorHAnsi" w:hAnsi="Cambria Math" w:cs="Cambria Math"/>
          <w:b w:val="0"/>
          <w:szCs w:val="22"/>
          <w:lang w:val="hy-AM" w:eastAsia="en-US"/>
        </w:rPr>
        <w:t>․</w:t>
      </w:r>
      <w:r w:rsidRPr="00C74BDD">
        <w:rPr>
          <w:rFonts w:eastAsiaTheme="minorHAnsi" w:cs="Cambria Math"/>
          <w:b w:val="0"/>
          <w:szCs w:val="22"/>
          <w:lang w:val="hy-AM" w:eastAsia="en-US"/>
        </w:rPr>
        <w:t xml:space="preserve"> դրամի չափով, որը հիմնականում ուղղվելու է ռազմական պաշտպանության, հասարակական կարգի և անվտանգության, ազգային անվտանգության, դատական գործունեություն և իրավական պաշտպանության ապահովմանը:</w:t>
      </w:r>
    </w:p>
    <w:p w14:paraId="3CCC97FE" w14:textId="77777777" w:rsidR="004B410F" w:rsidRPr="00C74BDD" w:rsidRDefault="004B410F" w:rsidP="004B410F">
      <w:pPr>
        <w:rPr>
          <w:rFonts w:eastAsiaTheme="minorHAnsi" w:cs="Cambria Math"/>
          <w:b w:val="0"/>
          <w:szCs w:val="22"/>
          <w:lang w:val="hy-AM" w:eastAsia="en-US"/>
        </w:rPr>
      </w:pPr>
      <w:r w:rsidRPr="00C74BDD">
        <w:rPr>
          <w:rFonts w:eastAsiaTheme="minorHAnsi" w:cs="Cambria Math"/>
          <w:b w:val="0"/>
          <w:szCs w:val="22"/>
          <w:lang w:val="hy-AM" w:eastAsia="en-US"/>
        </w:rPr>
        <w:t>202</w:t>
      </w:r>
      <w:r>
        <w:rPr>
          <w:rFonts w:eastAsiaTheme="minorHAnsi" w:cs="Cambria Math"/>
          <w:b w:val="0"/>
          <w:szCs w:val="22"/>
          <w:lang w:val="hy-AM" w:eastAsia="en-US"/>
        </w:rPr>
        <w:t>4</w:t>
      </w:r>
      <w:r w:rsidRPr="00C74BDD">
        <w:rPr>
          <w:rFonts w:eastAsiaTheme="minorHAnsi" w:cs="Cambria Math"/>
          <w:b w:val="0"/>
          <w:szCs w:val="22"/>
          <w:lang w:val="hy-AM" w:eastAsia="en-US"/>
        </w:rPr>
        <w:t xml:space="preserve"> թվականին, ինչպես և 202</w:t>
      </w:r>
      <w:r>
        <w:rPr>
          <w:rFonts w:eastAsiaTheme="minorHAnsi" w:cs="Cambria Math"/>
          <w:b w:val="0"/>
          <w:szCs w:val="22"/>
          <w:lang w:val="hy-AM" w:eastAsia="en-US"/>
        </w:rPr>
        <w:t>3</w:t>
      </w:r>
      <w:r w:rsidRPr="00C74BDD">
        <w:rPr>
          <w:rFonts w:eastAsiaTheme="minorHAnsi" w:cs="Cambria Math"/>
          <w:b w:val="0"/>
          <w:szCs w:val="22"/>
          <w:lang w:val="hy-AM" w:eastAsia="en-US"/>
        </w:rPr>
        <w:t xml:space="preserve"> թվականին, տնտեսության ճյուղերի պետական ֆինանսավորումը նպատակաուղղված է լինելու ենթակառուցվածքների, տնտեսության իրական հատվածի, բարձր տեխնոլոգիական արդյունաբերական, ինչպես նաև բնապահպանական բարձր չափանիշներին համապատասխանող՝ արտահանմանը միտված մրցունակ և ներառական տնտեսության կառուցմանն ուղղված ծրագրերի իրականացմանը։ 202</w:t>
      </w:r>
      <w:r>
        <w:rPr>
          <w:rFonts w:eastAsiaTheme="minorHAnsi" w:cs="Cambria Math"/>
          <w:b w:val="0"/>
          <w:szCs w:val="22"/>
          <w:lang w:val="hy-AM" w:eastAsia="en-US"/>
        </w:rPr>
        <w:t>4</w:t>
      </w:r>
      <w:r w:rsidRPr="00C74BDD">
        <w:rPr>
          <w:rFonts w:eastAsiaTheme="minorHAnsi" w:cs="Cambria Math"/>
          <w:b w:val="0"/>
          <w:szCs w:val="22"/>
          <w:lang w:val="hy-AM" w:eastAsia="en-US"/>
        </w:rPr>
        <w:t xml:space="preserve"> թվականին տնտեսության ոլորտի հատկացումներն ուղղվելու են ՀՀ կառավարության 2021-2026թթ. ծրագրով սահմանված տնտեսության մրցունակության և արտադրողականության աճի, տնտեսական հնարավորությունների ընդլայնման և դրանց հավասար հասանելիության ապահովմանը:</w:t>
      </w:r>
    </w:p>
    <w:p w14:paraId="0FEFC75D" w14:textId="77777777" w:rsidR="004B410F" w:rsidRPr="00C74BDD" w:rsidRDefault="004B410F" w:rsidP="004B410F">
      <w:pPr>
        <w:rPr>
          <w:rFonts w:eastAsiaTheme="minorHAnsi" w:cs="Cambria Math"/>
          <w:b w:val="0"/>
          <w:szCs w:val="22"/>
          <w:lang w:val="hy-AM" w:eastAsia="en-US"/>
        </w:rPr>
      </w:pPr>
    </w:p>
    <w:p w14:paraId="7CBFF753" w14:textId="20A9D348" w:rsidR="004B410F" w:rsidRPr="00B16CAB" w:rsidRDefault="00B16CAB" w:rsidP="00B16CAB">
      <w:pPr>
        <w:rPr>
          <w:b w:val="0"/>
          <w:szCs w:val="22"/>
          <w:lang w:val="hy-AM"/>
        </w:rPr>
      </w:pPr>
      <w:bookmarkStart w:id="275" w:name="_Toc83728703"/>
      <w:bookmarkStart w:id="276" w:name="_Toc89428775"/>
      <w:bookmarkStart w:id="277" w:name="_Toc120805272"/>
      <w:bookmarkStart w:id="278" w:name="_Toc152324775"/>
      <w:r w:rsidRPr="00B16CAB">
        <w:rPr>
          <w:bCs/>
          <w:szCs w:val="22"/>
          <w:lang w:val="hy-AM"/>
        </w:rPr>
        <w:t xml:space="preserve">Աղյուսակ </w:t>
      </w:r>
      <w:r w:rsidRPr="00B16CAB">
        <w:rPr>
          <w:bCs/>
          <w:szCs w:val="22"/>
          <w:lang w:val="hy-AM"/>
        </w:rPr>
        <w:fldChar w:fldCharType="begin"/>
      </w:r>
      <w:r w:rsidRPr="00B16CAB">
        <w:rPr>
          <w:bCs/>
          <w:szCs w:val="22"/>
          <w:lang w:val="hy-AM"/>
        </w:rPr>
        <w:instrText xml:space="preserve"> SEQ Աղյուսակ \* ARABIC </w:instrText>
      </w:r>
      <w:r w:rsidRPr="00B16CAB">
        <w:rPr>
          <w:bCs/>
          <w:szCs w:val="22"/>
          <w:lang w:val="hy-AM"/>
        </w:rPr>
        <w:fldChar w:fldCharType="separate"/>
      </w:r>
      <w:r w:rsidR="00DB4E68">
        <w:rPr>
          <w:bCs/>
          <w:noProof/>
          <w:szCs w:val="22"/>
          <w:lang w:val="hy-AM"/>
        </w:rPr>
        <w:t>13</w:t>
      </w:r>
      <w:r w:rsidRPr="00B16CAB">
        <w:rPr>
          <w:bCs/>
          <w:szCs w:val="22"/>
          <w:lang w:val="hy-AM"/>
        </w:rPr>
        <w:fldChar w:fldCharType="end"/>
      </w:r>
      <w:r w:rsidR="004B410F" w:rsidRPr="00B16CAB">
        <w:rPr>
          <w:rFonts w:ascii="Cambria Math" w:hAnsi="Cambria Math" w:cs="Cambria Math"/>
          <w:bCs/>
          <w:szCs w:val="22"/>
          <w:lang w:val="hy-AM"/>
        </w:rPr>
        <w:t>․</w:t>
      </w:r>
      <w:r w:rsidR="004B410F" w:rsidRPr="00B16CAB">
        <w:rPr>
          <w:bCs/>
          <w:szCs w:val="22"/>
          <w:lang w:val="hy-AM"/>
        </w:rPr>
        <w:t xml:space="preserve"> </w:t>
      </w:r>
      <w:r w:rsidR="004B410F" w:rsidRPr="00B16CAB">
        <w:rPr>
          <w:b w:val="0"/>
          <w:szCs w:val="22"/>
          <w:lang w:val="hy-AM"/>
        </w:rPr>
        <w:t>Տնտեսական ոլորտի 2020-2024թթ</w:t>
      </w:r>
      <w:r w:rsidR="004B410F" w:rsidRPr="00B16CAB">
        <w:rPr>
          <w:rFonts w:ascii="Cambria Math" w:hAnsi="Cambria Math" w:cs="Cambria Math"/>
          <w:b w:val="0"/>
          <w:szCs w:val="22"/>
          <w:lang w:val="hy-AM"/>
        </w:rPr>
        <w:t>․</w:t>
      </w:r>
      <w:r w:rsidR="004B410F" w:rsidRPr="00B16CAB">
        <w:rPr>
          <w:b w:val="0"/>
          <w:szCs w:val="22"/>
          <w:lang w:val="hy-AM"/>
        </w:rPr>
        <w:t xml:space="preserve"> բյուջետային ծախսերը (մլրդ. դրամ)</w:t>
      </w:r>
      <w:bookmarkEnd w:id="275"/>
      <w:bookmarkEnd w:id="276"/>
      <w:bookmarkEnd w:id="277"/>
      <w:bookmarkEnd w:id="278"/>
    </w:p>
    <w:tbl>
      <w:tblPr>
        <w:tblW w:w="9697" w:type="dxa"/>
        <w:tblInd w:w="50" w:type="dxa"/>
        <w:tblLayout w:type="fixed"/>
        <w:tblLook w:val="04A0" w:firstRow="1" w:lastRow="0" w:firstColumn="1" w:lastColumn="0" w:noHBand="0" w:noVBand="1"/>
      </w:tblPr>
      <w:tblGrid>
        <w:gridCol w:w="3778"/>
        <w:gridCol w:w="1134"/>
        <w:gridCol w:w="711"/>
        <w:gridCol w:w="850"/>
        <w:gridCol w:w="1382"/>
        <w:gridCol w:w="1842"/>
      </w:tblGrid>
      <w:tr w:rsidR="004B410F" w:rsidRPr="003D6F2C" w14:paraId="6C7716CD" w14:textId="77777777" w:rsidTr="003F088D">
        <w:trPr>
          <w:trHeight w:val="315"/>
        </w:trPr>
        <w:tc>
          <w:tcPr>
            <w:tcW w:w="3778" w:type="dxa"/>
            <w:vMerge w:val="restart"/>
            <w:shd w:val="clear" w:color="auto" w:fill="auto"/>
            <w:vAlign w:val="center"/>
          </w:tcPr>
          <w:p w14:paraId="6B80225C" w14:textId="77777777" w:rsidR="004B410F" w:rsidRPr="008539EE" w:rsidRDefault="004B410F" w:rsidP="003F088D">
            <w:pPr>
              <w:tabs>
                <w:tab w:val="left" w:pos="0"/>
              </w:tabs>
              <w:spacing w:line="240" w:lineRule="auto"/>
              <w:rPr>
                <w:rFonts w:cs="Calibri"/>
                <w:b w:val="0"/>
                <w:bCs/>
                <w:color w:val="000000"/>
                <w:sz w:val="18"/>
                <w:szCs w:val="18"/>
              </w:rPr>
            </w:pPr>
            <w:r w:rsidRPr="008539EE">
              <w:rPr>
                <w:rFonts w:cs="Sylfaen"/>
                <w:b w:val="0"/>
                <w:color w:val="000000"/>
                <w:sz w:val="18"/>
                <w:szCs w:val="18"/>
              </w:rPr>
              <w:t>Ցուցանիշներ</w:t>
            </w:r>
          </w:p>
        </w:tc>
        <w:tc>
          <w:tcPr>
            <w:tcW w:w="2695" w:type="dxa"/>
            <w:gridSpan w:val="3"/>
            <w:tcBorders>
              <w:bottom w:val="single" w:sz="4" w:space="0" w:color="auto"/>
            </w:tcBorders>
            <w:shd w:val="clear" w:color="auto" w:fill="auto"/>
            <w:vAlign w:val="center"/>
          </w:tcPr>
          <w:p w14:paraId="2DB32353"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lang w:val="hy-AM"/>
              </w:rPr>
              <w:t>Փաստ</w:t>
            </w:r>
          </w:p>
        </w:tc>
        <w:tc>
          <w:tcPr>
            <w:tcW w:w="1382" w:type="dxa"/>
            <w:shd w:val="clear" w:color="auto" w:fill="auto"/>
            <w:vAlign w:val="center"/>
          </w:tcPr>
          <w:p w14:paraId="4C5F0363" w14:textId="77777777" w:rsidR="004B410F" w:rsidRPr="008539EE" w:rsidRDefault="004B410F" w:rsidP="003F088D">
            <w:pPr>
              <w:tabs>
                <w:tab w:val="left" w:pos="0"/>
              </w:tabs>
              <w:spacing w:line="240" w:lineRule="auto"/>
              <w:jc w:val="center"/>
              <w:rPr>
                <w:rFonts w:cs="Calibri"/>
                <w:b w:val="0"/>
                <w:bCs/>
                <w:color w:val="000000"/>
                <w:sz w:val="18"/>
                <w:szCs w:val="18"/>
                <w:lang w:val="hy-AM"/>
              </w:rPr>
            </w:pPr>
            <w:r w:rsidRPr="008539EE">
              <w:rPr>
                <w:rFonts w:cs="Calibri"/>
                <w:b w:val="0"/>
                <w:color w:val="000000"/>
                <w:sz w:val="18"/>
                <w:szCs w:val="18"/>
                <w:lang w:val="hy-AM"/>
              </w:rPr>
              <w:t>Բյուջե</w:t>
            </w:r>
          </w:p>
        </w:tc>
        <w:tc>
          <w:tcPr>
            <w:tcW w:w="1842" w:type="dxa"/>
            <w:tcBorders>
              <w:bottom w:val="single" w:sz="4" w:space="0" w:color="auto"/>
            </w:tcBorders>
            <w:shd w:val="clear" w:color="auto" w:fill="auto"/>
            <w:vAlign w:val="center"/>
          </w:tcPr>
          <w:p w14:paraId="7411DDCE" w14:textId="25BE6F0E" w:rsidR="004B410F" w:rsidRPr="008539EE" w:rsidRDefault="009813D2" w:rsidP="003F088D">
            <w:pPr>
              <w:tabs>
                <w:tab w:val="left" w:pos="0"/>
              </w:tabs>
              <w:spacing w:line="240" w:lineRule="auto"/>
              <w:jc w:val="center"/>
              <w:rPr>
                <w:rFonts w:cs="Calibri"/>
                <w:b w:val="0"/>
                <w:bCs/>
                <w:color w:val="000000"/>
                <w:sz w:val="18"/>
                <w:szCs w:val="18"/>
                <w:lang w:val="hy-AM"/>
              </w:rPr>
            </w:pPr>
            <w:r>
              <w:rPr>
                <w:rFonts w:cs="Calibri"/>
                <w:b w:val="0"/>
                <w:color w:val="000000"/>
                <w:sz w:val="18"/>
                <w:szCs w:val="18"/>
                <w:lang w:val="hy-AM"/>
              </w:rPr>
              <w:t>ծրագիր</w:t>
            </w:r>
          </w:p>
        </w:tc>
      </w:tr>
      <w:tr w:rsidR="004B410F" w:rsidRPr="003D6F2C" w14:paraId="65BD9CDD" w14:textId="77777777" w:rsidTr="003F088D">
        <w:trPr>
          <w:trHeight w:val="366"/>
        </w:trPr>
        <w:tc>
          <w:tcPr>
            <w:tcW w:w="3778" w:type="dxa"/>
            <w:vMerge/>
            <w:tcBorders>
              <w:bottom w:val="single" w:sz="4" w:space="0" w:color="auto"/>
            </w:tcBorders>
            <w:shd w:val="clear" w:color="auto" w:fill="auto"/>
            <w:vAlign w:val="center"/>
          </w:tcPr>
          <w:p w14:paraId="2FB2B720" w14:textId="77777777" w:rsidR="004B410F" w:rsidRPr="008539EE" w:rsidRDefault="004B410F" w:rsidP="003F088D">
            <w:pPr>
              <w:tabs>
                <w:tab w:val="left" w:pos="0"/>
              </w:tabs>
              <w:spacing w:line="240" w:lineRule="auto"/>
              <w:rPr>
                <w:rFonts w:cs="Calibri"/>
                <w:b w:val="0"/>
                <w:bCs/>
                <w:color w:val="000000"/>
                <w:sz w:val="18"/>
                <w:szCs w:val="18"/>
              </w:rPr>
            </w:pPr>
          </w:p>
        </w:tc>
        <w:tc>
          <w:tcPr>
            <w:tcW w:w="1134" w:type="dxa"/>
            <w:tcBorders>
              <w:top w:val="single" w:sz="4" w:space="0" w:color="auto"/>
              <w:bottom w:val="single" w:sz="4" w:space="0" w:color="auto"/>
            </w:tcBorders>
            <w:shd w:val="clear" w:color="auto" w:fill="auto"/>
            <w:vAlign w:val="center"/>
          </w:tcPr>
          <w:p w14:paraId="76281BD1"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2020</w:t>
            </w:r>
          </w:p>
        </w:tc>
        <w:tc>
          <w:tcPr>
            <w:tcW w:w="711" w:type="dxa"/>
            <w:tcBorders>
              <w:top w:val="single" w:sz="4" w:space="0" w:color="auto"/>
              <w:bottom w:val="single" w:sz="4" w:space="0" w:color="auto"/>
            </w:tcBorders>
            <w:shd w:val="clear" w:color="auto" w:fill="auto"/>
            <w:vAlign w:val="center"/>
          </w:tcPr>
          <w:p w14:paraId="7BC00EEB"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2021</w:t>
            </w:r>
          </w:p>
        </w:tc>
        <w:tc>
          <w:tcPr>
            <w:tcW w:w="850" w:type="dxa"/>
            <w:tcBorders>
              <w:top w:val="single" w:sz="4" w:space="0" w:color="auto"/>
              <w:bottom w:val="single" w:sz="4" w:space="0" w:color="auto"/>
            </w:tcBorders>
            <w:shd w:val="clear" w:color="auto" w:fill="auto"/>
            <w:vAlign w:val="center"/>
          </w:tcPr>
          <w:p w14:paraId="12094017"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2022</w:t>
            </w:r>
          </w:p>
        </w:tc>
        <w:tc>
          <w:tcPr>
            <w:tcW w:w="1382" w:type="dxa"/>
            <w:tcBorders>
              <w:bottom w:val="single" w:sz="4" w:space="0" w:color="auto"/>
            </w:tcBorders>
            <w:shd w:val="clear" w:color="auto" w:fill="auto"/>
            <w:vAlign w:val="center"/>
          </w:tcPr>
          <w:p w14:paraId="07EC696E"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2023</w:t>
            </w:r>
          </w:p>
        </w:tc>
        <w:tc>
          <w:tcPr>
            <w:tcW w:w="1842" w:type="dxa"/>
            <w:tcBorders>
              <w:top w:val="single" w:sz="4" w:space="0" w:color="auto"/>
              <w:bottom w:val="single" w:sz="4" w:space="0" w:color="auto"/>
            </w:tcBorders>
            <w:shd w:val="clear" w:color="auto" w:fill="auto"/>
            <w:vAlign w:val="center"/>
          </w:tcPr>
          <w:p w14:paraId="139567D9"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2024</w:t>
            </w:r>
          </w:p>
        </w:tc>
      </w:tr>
      <w:tr w:rsidR="004B410F" w:rsidRPr="003D6F2C" w14:paraId="4F1FDC80" w14:textId="77777777" w:rsidTr="003F088D">
        <w:trPr>
          <w:trHeight w:val="315"/>
        </w:trPr>
        <w:tc>
          <w:tcPr>
            <w:tcW w:w="3778" w:type="dxa"/>
            <w:tcBorders>
              <w:top w:val="single" w:sz="4" w:space="0" w:color="auto"/>
            </w:tcBorders>
            <w:shd w:val="clear" w:color="auto" w:fill="FFFFFF"/>
            <w:vAlign w:val="center"/>
            <w:hideMark/>
          </w:tcPr>
          <w:p w14:paraId="3637AA7E"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Տնտեսական ոլորտ ընդամենը</w:t>
            </w:r>
          </w:p>
        </w:tc>
        <w:tc>
          <w:tcPr>
            <w:tcW w:w="1134" w:type="dxa"/>
            <w:tcBorders>
              <w:top w:val="single" w:sz="4" w:space="0" w:color="auto"/>
            </w:tcBorders>
            <w:shd w:val="clear" w:color="auto" w:fill="FFFFFF"/>
            <w:vAlign w:val="center"/>
            <w:hideMark/>
          </w:tcPr>
          <w:p w14:paraId="1094864F"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138.9</w:t>
            </w:r>
          </w:p>
        </w:tc>
        <w:tc>
          <w:tcPr>
            <w:tcW w:w="711" w:type="dxa"/>
            <w:tcBorders>
              <w:top w:val="single" w:sz="4" w:space="0" w:color="auto"/>
            </w:tcBorders>
            <w:shd w:val="clear" w:color="auto" w:fill="FFFFFF"/>
            <w:vAlign w:val="center"/>
            <w:hideMark/>
          </w:tcPr>
          <w:p w14:paraId="2CF132B5"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167.3</w:t>
            </w:r>
          </w:p>
        </w:tc>
        <w:tc>
          <w:tcPr>
            <w:tcW w:w="850" w:type="dxa"/>
            <w:tcBorders>
              <w:top w:val="single" w:sz="4" w:space="0" w:color="auto"/>
            </w:tcBorders>
            <w:shd w:val="clear" w:color="auto" w:fill="FFFFFF"/>
            <w:vAlign w:val="center"/>
            <w:hideMark/>
          </w:tcPr>
          <w:p w14:paraId="3C331176"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192.1</w:t>
            </w:r>
          </w:p>
        </w:tc>
        <w:tc>
          <w:tcPr>
            <w:tcW w:w="1382" w:type="dxa"/>
            <w:tcBorders>
              <w:top w:val="single" w:sz="4" w:space="0" w:color="auto"/>
            </w:tcBorders>
            <w:shd w:val="clear" w:color="auto" w:fill="FFFFFF"/>
            <w:vAlign w:val="center"/>
            <w:hideMark/>
          </w:tcPr>
          <w:p w14:paraId="0E31AF31"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267.</w:t>
            </w:r>
            <w:r>
              <w:rPr>
                <w:rFonts w:cs="Calibri"/>
                <w:b w:val="0"/>
                <w:color w:val="000000"/>
                <w:sz w:val="18"/>
                <w:szCs w:val="18"/>
              </w:rPr>
              <w:t>7</w:t>
            </w:r>
          </w:p>
        </w:tc>
        <w:tc>
          <w:tcPr>
            <w:tcW w:w="1842" w:type="dxa"/>
            <w:tcBorders>
              <w:top w:val="single" w:sz="4" w:space="0" w:color="auto"/>
            </w:tcBorders>
            <w:shd w:val="clear" w:color="auto" w:fill="FFFFFF"/>
            <w:vAlign w:val="center"/>
          </w:tcPr>
          <w:p w14:paraId="231A9DAE"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296.0</w:t>
            </w:r>
          </w:p>
        </w:tc>
      </w:tr>
      <w:tr w:rsidR="004B410F" w:rsidRPr="003D6F2C" w14:paraId="576858E5" w14:textId="77777777" w:rsidTr="003F088D">
        <w:trPr>
          <w:trHeight w:val="315"/>
        </w:trPr>
        <w:tc>
          <w:tcPr>
            <w:tcW w:w="3778" w:type="dxa"/>
            <w:shd w:val="clear" w:color="auto" w:fill="FFFFFF"/>
            <w:vAlign w:val="center"/>
            <w:hideMark/>
          </w:tcPr>
          <w:p w14:paraId="145AEE7F"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ՀՆԱ-ի նկատմամբ (%)</w:t>
            </w:r>
          </w:p>
        </w:tc>
        <w:tc>
          <w:tcPr>
            <w:tcW w:w="1134" w:type="dxa"/>
            <w:shd w:val="clear" w:color="auto" w:fill="FFFFFF"/>
            <w:vAlign w:val="center"/>
            <w:hideMark/>
          </w:tcPr>
          <w:p w14:paraId="7F7C495C" w14:textId="77777777" w:rsidR="004B410F" w:rsidRPr="00652E90" w:rsidRDefault="004B410F" w:rsidP="003F088D">
            <w:pPr>
              <w:tabs>
                <w:tab w:val="left" w:pos="0"/>
              </w:tabs>
              <w:spacing w:line="240" w:lineRule="auto"/>
              <w:jc w:val="center"/>
              <w:rPr>
                <w:rFonts w:cs="Calibri"/>
                <w:b w:val="0"/>
                <w:color w:val="000000"/>
                <w:sz w:val="18"/>
                <w:szCs w:val="18"/>
                <w:lang w:val="en-US"/>
              </w:rPr>
            </w:pPr>
            <w:r w:rsidRPr="008539EE">
              <w:rPr>
                <w:rFonts w:cs="Calibri"/>
                <w:b w:val="0"/>
                <w:color w:val="000000"/>
                <w:sz w:val="18"/>
                <w:szCs w:val="18"/>
              </w:rPr>
              <w:t>2.</w:t>
            </w:r>
            <w:r>
              <w:rPr>
                <w:rFonts w:cs="Calibri"/>
                <w:b w:val="0"/>
                <w:color w:val="000000"/>
                <w:sz w:val="18"/>
                <w:szCs w:val="18"/>
                <w:lang w:val="en-US"/>
              </w:rPr>
              <w:t>3</w:t>
            </w:r>
          </w:p>
        </w:tc>
        <w:tc>
          <w:tcPr>
            <w:tcW w:w="711" w:type="dxa"/>
            <w:shd w:val="clear" w:color="auto" w:fill="FFFFFF"/>
            <w:vAlign w:val="center"/>
            <w:hideMark/>
          </w:tcPr>
          <w:p w14:paraId="5E175CB6"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2.4</w:t>
            </w:r>
          </w:p>
        </w:tc>
        <w:tc>
          <w:tcPr>
            <w:tcW w:w="850" w:type="dxa"/>
            <w:shd w:val="clear" w:color="auto" w:fill="FFFFFF"/>
            <w:vAlign w:val="center"/>
            <w:hideMark/>
          </w:tcPr>
          <w:p w14:paraId="414C898F" w14:textId="77777777" w:rsidR="004B410F" w:rsidRPr="00652E90" w:rsidRDefault="004B410F" w:rsidP="003F088D">
            <w:pPr>
              <w:tabs>
                <w:tab w:val="left" w:pos="0"/>
              </w:tabs>
              <w:spacing w:line="240" w:lineRule="auto"/>
              <w:jc w:val="center"/>
              <w:rPr>
                <w:rFonts w:cs="Calibri"/>
                <w:b w:val="0"/>
                <w:color w:val="000000"/>
                <w:sz w:val="18"/>
                <w:szCs w:val="18"/>
                <w:lang w:val="en-US"/>
              </w:rPr>
            </w:pPr>
            <w:r>
              <w:rPr>
                <w:rFonts w:cs="Calibri"/>
                <w:b w:val="0"/>
                <w:color w:val="000000"/>
                <w:sz w:val="18"/>
                <w:szCs w:val="18"/>
                <w:lang w:val="en-US"/>
              </w:rPr>
              <w:t>2.3</w:t>
            </w:r>
          </w:p>
        </w:tc>
        <w:tc>
          <w:tcPr>
            <w:tcW w:w="1382" w:type="dxa"/>
            <w:shd w:val="clear" w:color="auto" w:fill="FFFFFF"/>
            <w:vAlign w:val="center"/>
            <w:hideMark/>
          </w:tcPr>
          <w:p w14:paraId="30460BD1" w14:textId="77777777" w:rsidR="004B410F" w:rsidRPr="008539EE" w:rsidRDefault="004B410F" w:rsidP="003F088D">
            <w:pPr>
              <w:tabs>
                <w:tab w:val="left" w:pos="0"/>
              </w:tabs>
              <w:spacing w:line="240" w:lineRule="auto"/>
              <w:jc w:val="center"/>
              <w:rPr>
                <w:rFonts w:cs="Calibri"/>
                <w:b w:val="0"/>
                <w:color w:val="000000"/>
                <w:sz w:val="18"/>
                <w:szCs w:val="18"/>
              </w:rPr>
            </w:pPr>
            <w:r>
              <w:rPr>
                <w:rFonts w:cs="Calibri"/>
                <w:b w:val="0"/>
                <w:color w:val="000000"/>
                <w:sz w:val="18"/>
                <w:szCs w:val="18"/>
              </w:rPr>
              <w:t>2.9</w:t>
            </w:r>
          </w:p>
        </w:tc>
        <w:tc>
          <w:tcPr>
            <w:tcW w:w="1842" w:type="dxa"/>
            <w:shd w:val="clear" w:color="auto" w:fill="FFFFFF"/>
            <w:vAlign w:val="center"/>
          </w:tcPr>
          <w:p w14:paraId="0A4014BD"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2.8</w:t>
            </w:r>
          </w:p>
        </w:tc>
      </w:tr>
      <w:tr w:rsidR="004B410F" w:rsidRPr="003D6F2C" w14:paraId="23EF2121" w14:textId="77777777" w:rsidTr="003F088D">
        <w:trPr>
          <w:trHeight w:val="315"/>
        </w:trPr>
        <w:tc>
          <w:tcPr>
            <w:tcW w:w="3778" w:type="dxa"/>
            <w:tcBorders>
              <w:bottom w:val="single" w:sz="4" w:space="0" w:color="auto"/>
            </w:tcBorders>
            <w:shd w:val="clear" w:color="auto" w:fill="FFFFFF"/>
            <w:vAlign w:val="center"/>
            <w:hideMark/>
          </w:tcPr>
          <w:p w14:paraId="592738E9"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Ընդհանուր ծախսերում (%)</w:t>
            </w:r>
          </w:p>
        </w:tc>
        <w:tc>
          <w:tcPr>
            <w:tcW w:w="1134" w:type="dxa"/>
            <w:tcBorders>
              <w:bottom w:val="single" w:sz="4" w:space="0" w:color="auto"/>
            </w:tcBorders>
            <w:shd w:val="clear" w:color="auto" w:fill="FFFFFF"/>
            <w:vAlign w:val="center"/>
            <w:hideMark/>
          </w:tcPr>
          <w:p w14:paraId="50BF15D0"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7.3</w:t>
            </w:r>
          </w:p>
        </w:tc>
        <w:tc>
          <w:tcPr>
            <w:tcW w:w="711" w:type="dxa"/>
            <w:tcBorders>
              <w:bottom w:val="single" w:sz="4" w:space="0" w:color="auto"/>
            </w:tcBorders>
            <w:shd w:val="clear" w:color="auto" w:fill="FFFFFF"/>
            <w:vAlign w:val="center"/>
            <w:hideMark/>
          </w:tcPr>
          <w:p w14:paraId="4DB4BE3A"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8.</w:t>
            </w:r>
            <w:r>
              <w:rPr>
                <w:rFonts w:cs="Calibri"/>
                <w:b w:val="0"/>
                <w:color w:val="000000"/>
                <w:sz w:val="18"/>
                <w:szCs w:val="18"/>
              </w:rPr>
              <w:t>3</w:t>
            </w:r>
          </w:p>
        </w:tc>
        <w:tc>
          <w:tcPr>
            <w:tcW w:w="850" w:type="dxa"/>
            <w:tcBorders>
              <w:bottom w:val="single" w:sz="4" w:space="0" w:color="auto"/>
            </w:tcBorders>
            <w:shd w:val="clear" w:color="auto" w:fill="FFFFFF"/>
            <w:vAlign w:val="center"/>
            <w:hideMark/>
          </w:tcPr>
          <w:p w14:paraId="29F2A5F7"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8.</w:t>
            </w:r>
            <w:r>
              <w:rPr>
                <w:rFonts w:cs="Calibri"/>
                <w:b w:val="0"/>
                <w:color w:val="000000"/>
                <w:sz w:val="18"/>
                <w:szCs w:val="18"/>
              </w:rPr>
              <w:t>4</w:t>
            </w:r>
          </w:p>
        </w:tc>
        <w:tc>
          <w:tcPr>
            <w:tcW w:w="1382" w:type="dxa"/>
            <w:tcBorders>
              <w:bottom w:val="single" w:sz="4" w:space="0" w:color="auto"/>
            </w:tcBorders>
            <w:shd w:val="clear" w:color="auto" w:fill="FFFFFF"/>
            <w:vAlign w:val="center"/>
            <w:hideMark/>
          </w:tcPr>
          <w:p w14:paraId="5CD5C7F9" w14:textId="77777777" w:rsidR="004B410F" w:rsidRPr="00652E90" w:rsidRDefault="004B410F" w:rsidP="003F088D">
            <w:pPr>
              <w:tabs>
                <w:tab w:val="left" w:pos="0"/>
              </w:tabs>
              <w:spacing w:line="240" w:lineRule="auto"/>
              <w:jc w:val="center"/>
              <w:rPr>
                <w:rFonts w:cs="Calibri"/>
                <w:b w:val="0"/>
                <w:color w:val="000000"/>
                <w:sz w:val="18"/>
                <w:szCs w:val="18"/>
                <w:lang w:val="en-US"/>
              </w:rPr>
            </w:pPr>
            <w:r>
              <w:rPr>
                <w:rFonts w:cs="Calibri"/>
                <w:b w:val="0"/>
                <w:color w:val="000000"/>
                <w:sz w:val="18"/>
                <w:szCs w:val="18"/>
              </w:rPr>
              <w:t>10.</w:t>
            </w:r>
            <w:r>
              <w:rPr>
                <w:rFonts w:cs="Calibri"/>
                <w:b w:val="0"/>
                <w:color w:val="000000"/>
                <w:sz w:val="18"/>
                <w:szCs w:val="18"/>
                <w:lang w:val="en-US"/>
              </w:rPr>
              <w:t>1</w:t>
            </w:r>
          </w:p>
        </w:tc>
        <w:tc>
          <w:tcPr>
            <w:tcW w:w="1842" w:type="dxa"/>
            <w:tcBorders>
              <w:bottom w:val="single" w:sz="4" w:space="0" w:color="auto"/>
            </w:tcBorders>
            <w:shd w:val="clear" w:color="auto" w:fill="FFFFFF"/>
            <w:vAlign w:val="center"/>
          </w:tcPr>
          <w:p w14:paraId="10659418"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9.2</w:t>
            </w:r>
          </w:p>
        </w:tc>
      </w:tr>
      <w:tr w:rsidR="004B410F" w:rsidRPr="003D6F2C" w14:paraId="77FB3888" w14:textId="77777777" w:rsidTr="003F088D">
        <w:trPr>
          <w:trHeight w:val="315"/>
        </w:trPr>
        <w:tc>
          <w:tcPr>
            <w:tcW w:w="3778" w:type="dxa"/>
            <w:tcBorders>
              <w:top w:val="single" w:sz="4" w:space="0" w:color="auto"/>
            </w:tcBorders>
            <w:shd w:val="clear" w:color="auto" w:fill="FFFFFF"/>
            <w:vAlign w:val="center"/>
            <w:hideMark/>
          </w:tcPr>
          <w:p w14:paraId="27D6C29C" w14:textId="77777777" w:rsidR="004B410F" w:rsidRPr="008539EE" w:rsidRDefault="004B410F" w:rsidP="003F088D">
            <w:pPr>
              <w:tabs>
                <w:tab w:val="left" w:pos="0"/>
              </w:tabs>
              <w:spacing w:line="240" w:lineRule="auto"/>
              <w:jc w:val="left"/>
              <w:rPr>
                <w:rFonts w:cs="Calibri"/>
                <w:b w:val="0"/>
                <w:bCs/>
                <w:color w:val="000000"/>
                <w:sz w:val="18"/>
                <w:szCs w:val="18"/>
              </w:rPr>
            </w:pPr>
            <w:r w:rsidRPr="008539EE">
              <w:rPr>
                <w:rFonts w:cs="Calibri"/>
                <w:b w:val="0"/>
                <w:bCs/>
                <w:color w:val="000000"/>
                <w:sz w:val="18"/>
                <w:szCs w:val="18"/>
              </w:rPr>
              <w:t>1. Տնտեսական հարաբերություններ</w:t>
            </w:r>
          </w:p>
        </w:tc>
        <w:tc>
          <w:tcPr>
            <w:tcW w:w="1134" w:type="dxa"/>
            <w:tcBorders>
              <w:top w:val="single" w:sz="4" w:space="0" w:color="auto"/>
            </w:tcBorders>
            <w:shd w:val="clear" w:color="auto" w:fill="FFFFFF"/>
            <w:vAlign w:val="center"/>
            <w:hideMark/>
          </w:tcPr>
          <w:p w14:paraId="74F4A96B"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125.6</w:t>
            </w:r>
          </w:p>
        </w:tc>
        <w:tc>
          <w:tcPr>
            <w:tcW w:w="711" w:type="dxa"/>
            <w:tcBorders>
              <w:top w:val="single" w:sz="4" w:space="0" w:color="auto"/>
            </w:tcBorders>
            <w:shd w:val="clear" w:color="auto" w:fill="FFFFFF"/>
            <w:vAlign w:val="center"/>
            <w:hideMark/>
          </w:tcPr>
          <w:p w14:paraId="69146A66"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151.8</w:t>
            </w:r>
          </w:p>
        </w:tc>
        <w:tc>
          <w:tcPr>
            <w:tcW w:w="850" w:type="dxa"/>
            <w:tcBorders>
              <w:top w:val="single" w:sz="4" w:space="0" w:color="auto"/>
            </w:tcBorders>
            <w:shd w:val="clear" w:color="auto" w:fill="FFFFFF"/>
            <w:vAlign w:val="center"/>
            <w:hideMark/>
          </w:tcPr>
          <w:p w14:paraId="4F42C70F"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175.8</w:t>
            </w:r>
          </w:p>
        </w:tc>
        <w:tc>
          <w:tcPr>
            <w:tcW w:w="1382" w:type="dxa"/>
            <w:tcBorders>
              <w:top w:val="single" w:sz="4" w:space="0" w:color="auto"/>
            </w:tcBorders>
            <w:shd w:val="clear" w:color="auto" w:fill="FFFFFF"/>
            <w:vAlign w:val="center"/>
            <w:hideMark/>
          </w:tcPr>
          <w:p w14:paraId="4FDB7BE4"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239.3</w:t>
            </w:r>
          </w:p>
        </w:tc>
        <w:tc>
          <w:tcPr>
            <w:tcW w:w="1842" w:type="dxa"/>
            <w:tcBorders>
              <w:top w:val="single" w:sz="4" w:space="0" w:color="auto"/>
            </w:tcBorders>
            <w:shd w:val="clear" w:color="auto" w:fill="FFFFFF"/>
            <w:vAlign w:val="center"/>
          </w:tcPr>
          <w:p w14:paraId="322CB3D1"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266.0</w:t>
            </w:r>
          </w:p>
        </w:tc>
      </w:tr>
      <w:tr w:rsidR="004B410F" w:rsidRPr="003D6F2C" w14:paraId="3B80C49F" w14:textId="77777777" w:rsidTr="003F088D">
        <w:trPr>
          <w:trHeight w:val="315"/>
        </w:trPr>
        <w:tc>
          <w:tcPr>
            <w:tcW w:w="3778" w:type="dxa"/>
            <w:shd w:val="clear" w:color="auto" w:fill="FFFFFF"/>
            <w:vAlign w:val="center"/>
            <w:hideMark/>
          </w:tcPr>
          <w:p w14:paraId="7BB4B0EA"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ՀՆԱ-ի նկատմամբ (%)</w:t>
            </w:r>
          </w:p>
        </w:tc>
        <w:tc>
          <w:tcPr>
            <w:tcW w:w="1134" w:type="dxa"/>
            <w:shd w:val="clear" w:color="auto" w:fill="FFFFFF"/>
            <w:vAlign w:val="center"/>
            <w:hideMark/>
          </w:tcPr>
          <w:p w14:paraId="5DF3F66B"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2,0</w:t>
            </w:r>
          </w:p>
        </w:tc>
        <w:tc>
          <w:tcPr>
            <w:tcW w:w="711" w:type="dxa"/>
            <w:shd w:val="clear" w:color="auto" w:fill="FFFFFF"/>
            <w:vAlign w:val="center"/>
            <w:hideMark/>
          </w:tcPr>
          <w:p w14:paraId="734158FC"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2.2</w:t>
            </w:r>
          </w:p>
        </w:tc>
        <w:tc>
          <w:tcPr>
            <w:tcW w:w="850" w:type="dxa"/>
            <w:shd w:val="clear" w:color="auto" w:fill="FFFFFF"/>
            <w:vAlign w:val="center"/>
            <w:hideMark/>
          </w:tcPr>
          <w:p w14:paraId="2CFFADE4"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2.1</w:t>
            </w:r>
          </w:p>
        </w:tc>
        <w:tc>
          <w:tcPr>
            <w:tcW w:w="1382" w:type="dxa"/>
            <w:shd w:val="clear" w:color="auto" w:fill="FFFFFF"/>
            <w:vAlign w:val="center"/>
            <w:hideMark/>
          </w:tcPr>
          <w:p w14:paraId="67BEBE7F" w14:textId="77777777" w:rsidR="004B410F" w:rsidRPr="008539EE" w:rsidRDefault="004B410F" w:rsidP="003F088D">
            <w:pPr>
              <w:tabs>
                <w:tab w:val="left" w:pos="0"/>
              </w:tabs>
              <w:spacing w:line="240" w:lineRule="auto"/>
              <w:jc w:val="center"/>
              <w:rPr>
                <w:rFonts w:cs="Calibri"/>
                <w:b w:val="0"/>
                <w:color w:val="000000"/>
                <w:sz w:val="18"/>
                <w:szCs w:val="18"/>
              </w:rPr>
            </w:pPr>
            <w:r>
              <w:rPr>
                <w:rFonts w:cs="Calibri"/>
                <w:b w:val="0"/>
                <w:color w:val="000000"/>
                <w:sz w:val="18"/>
                <w:szCs w:val="18"/>
              </w:rPr>
              <w:t>2.5</w:t>
            </w:r>
          </w:p>
        </w:tc>
        <w:tc>
          <w:tcPr>
            <w:tcW w:w="1842" w:type="dxa"/>
            <w:shd w:val="clear" w:color="auto" w:fill="FFFFFF"/>
            <w:vAlign w:val="center"/>
          </w:tcPr>
          <w:p w14:paraId="1B9EF098"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2.5</w:t>
            </w:r>
          </w:p>
        </w:tc>
      </w:tr>
      <w:tr w:rsidR="004B410F" w:rsidRPr="003D6F2C" w14:paraId="4865EC1B" w14:textId="77777777" w:rsidTr="003F088D">
        <w:trPr>
          <w:trHeight w:val="315"/>
        </w:trPr>
        <w:tc>
          <w:tcPr>
            <w:tcW w:w="3778" w:type="dxa"/>
            <w:tcBorders>
              <w:bottom w:val="single" w:sz="4" w:space="0" w:color="auto"/>
            </w:tcBorders>
            <w:shd w:val="clear" w:color="auto" w:fill="FFFFFF"/>
            <w:vAlign w:val="center"/>
            <w:hideMark/>
          </w:tcPr>
          <w:p w14:paraId="5603D397"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Ընդհանուր ծախսերում (%)</w:t>
            </w:r>
          </w:p>
        </w:tc>
        <w:tc>
          <w:tcPr>
            <w:tcW w:w="1134" w:type="dxa"/>
            <w:tcBorders>
              <w:bottom w:val="single" w:sz="4" w:space="0" w:color="auto"/>
            </w:tcBorders>
            <w:shd w:val="clear" w:color="auto" w:fill="FFFFFF"/>
            <w:vAlign w:val="center"/>
            <w:hideMark/>
          </w:tcPr>
          <w:p w14:paraId="6BD91ACC"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6.6</w:t>
            </w:r>
          </w:p>
        </w:tc>
        <w:tc>
          <w:tcPr>
            <w:tcW w:w="711" w:type="dxa"/>
            <w:tcBorders>
              <w:bottom w:val="single" w:sz="4" w:space="0" w:color="auto"/>
            </w:tcBorders>
            <w:shd w:val="clear" w:color="auto" w:fill="FFFFFF"/>
            <w:vAlign w:val="center"/>
            <w:hideMark/>
          </w:tcPr>
          <w:p w14:paraId="02E6073D"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7.</w:t>
            </w:r>
            <w:r>
              <w:rPr>
                <w:rFonts w:cs="Calibri"/>
                <w:b w:val="0"/>
                <w:color w:val="000000"/>
                <w:sz w:val="18"/>
                <w:szCs w:val="18"/>
              </w:rPr>
              <w:t>5</w:t>
            </w:r>
          </w:p>
        </w:tc>
        <w:tc>
          <w:tcPr>
            <w:tcW w:w="850" w:type="dxa"/>
            <w:tcBorders>
              <w:bottom w:val="single" w:sz="4" w:space="0" w:color="auto"/>
            </w:tcBorders>
            <w:shd w:val="clear" w:color="auto" w:fill="FFFFFF"/>
            <w:vAlign w:val="center"/>
            <w:hideMark/>
          </w:tcPr>
          <w:p w14:paraId="4DB05DD7"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7.</w:t>
            </w:r>
            <w:r>
              <w:rPr>
                <w:rFonts w:cs="Calibri"/>
                <w:b w:val="0"/>
                <w:color w:val="000000"/>
                <w:sz w:val="18"/>
                <w:szCs w:val="18"/>
              </w:rPr>
              <w:t>7</w:t>
            </w:r>
          </w:p>
        </w:tc>
        <w:tc>
          <w:tcPr>
            <w:tcW w:w="1382" w:type="dxa"/>
            <w:tcBorders>
              <w:bottom w:val="single" w:sz="4" w:space="0" w:color="auto"/>
            </w:tcBorders>
            <w:shd w:val="clear" w:color="auto" w:fill="FFFFFF"/>
            <w:vAlign w:val="center"/>
            <w:hideMark/>
          </w:tcPr>
          <w:p w14:paraId="020CE12C" w14:textId="77777777" w:rsidR="004B410F" w:rsidRPr="008539EE" w:rsidRDefault="004B410F" w:rsidP="003F088D">
            <w:pPr>
              <w:tabs>
                <w:tab w:val="left" w:pos="0"/>
              </w:tabs>
              <w:spacing w:line="240" w:lineRule="auto"/>
              <w:jc w:val="center"/>
              <w:rPr>
                <w:rFonts w:cs="Calibri"/>
                <w:b w:val="0"/>
                <w:color w:val="000000"/>
                <w:sz w:val="18"/>
                <w:szCs w:val="18"/>
              </w:rPr>
            </w:pPr>
            <w:r>
              <w:rPr>
                <w:rFonts w:cs="Calibri"/>
                <w:b w:val="0"/>
                <w:color w:val="000000"/>
                <w:sz w:val="18"/>
                <w:szCs w:val="18"/>
              </w:rPr>
              <w:t>9</w:t>
            </w:r>
            <w:r w:rsidRPr="008539EE">
              <w:rPr>
                <w:rFonts w:cs="Calibri"/>
                <w:b w:val="0"/>
                <w:color w:val="000000"/>
                <w:sz w:val="18"/>
                <w:szCs w:val="18"/>
              </w:rPr>
              <w:t>.1</w:t>
            </w:r>
          </w:p>
        </w:tc>
        <w:tc>
          <w:tcPr>
            <w:tcW w:w="1842" w:type="dxa"/>
            <w:tcBorders>
              <w:bottom w:val="single" w:sz="4" w:space="0" w:color="auto"/>
            </w:tcBorders>
            <w:shd w:val="clear" w:color="auto" w:fill="FFFFFF"/>
            <w:vAlign w:val="center"/>
          </w:tcPr>
          <w:p w14:paraId="4326F3DB"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8.3</w:t>
            </w:r>
          </w:p>
        </w:tc>
      </w:tr>
      <w:tr w:rsidR="004B410F" w:rsidRPr="003D6F2C" w14:paraId="41D83BA7" w14:textId="77777777" w:rsidTr="003F088D">
        <w:trPr>
          <w:trHeight w:val="315"/>
        </w:trPr>
        <w:tc>
          <w:tcPr>
            <w:tcW w:w="3778" w:type="dxa"/>
            <w:tcBorders>
              <w:top w:val="single" w:sz="4" w:space="0" w:color="auto"/>
            </w:tcBorders>
            <w:shd w:val="clear" w:color="auto" w:fill="FFFFFF"/>
            <w:vAlign w:val="center"/>
            <w:hideMark/>
          </w:tcPr>
          <w:p w14:paraId="091FA699" w14:textId="77777777" w:rsidR="004B410F" w:rsidRPr="008539EE" w:rsidRDefault="004B410F" w:rsidP="003F088D">
            <w:pPr>
              <w:tabs>
                <w:tab w:val="left" w:pos="0"/>
              </w:tabs>
              <w:spacing w:line="240" w:lineRule="auto"/>
              <w:jc w:val="left"/>
              <w:rPr>
                <w:rFonts w:cs="Calibri"/>
                <w:b w:val="0"/>
                <w:bCs/>
                <w:color w:val="000000"/>
                <w:sz w:val="18"/>
                <w:szCs w:val="18"/>
              </w:rPr>
            </w:pPr>
            <w:r w:rsidRPr="008539EE">
              <w:rPr>
                <w:rFonts w:cs="Calibri"/>
                <w:b w:val="0"/>
                <w:bCs/>
                <w:color w:val="000000"/>
                <w:sz w:val="18"/>
                <w:szCs w:val="18"/>
              </w:rPr>
              <w:t>2. Շրջակա  միջավայրի պաշտպանություն</w:t>
            </w:r>
          </w:p>
        </w:tc>
        <w:tc>
          <w:tcPr>
            <w:tcW w:w="1134" w:type="dxa"/>
            <w:tcBorders>
              <w:top w:val="single" w:sz="4" w:space="0" w:color="auto"/>
            </w:tcBorders>
            <w:shd w:val="clear" w:color="auto" w:fill="FFFFFF"/>
            <w:vAlign w:val="center"/>
            <w:hideMark/>
          </w:tcPr>
          <w:p w14:paraId="1E46E672"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4.4</w:t>
            </w:r>
          </w:p>
        </w:tc>
        <w:tc>
          <w:tcPr>
            <w:tcW w:w="711" w:type="dxa"/>
            <w:tcBorders>
              <w:top w:val="single" w:sz="4" w:space="0" w:color="auto"/>
            </w:tcBorders>
            <w:shd w:val="clear" w:color="auto" w:fill="FFFFFF"/>
            <w:vAlign w:val="center"/>
            <w:hideMark/>
          </w:tcPr>
          <w:p w14:paraId="210352FF"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6.0</w:t>
            </w:r>
          </w:p>
        </w:tc>
        <w:tc>
          <w:tcPr>
            <w:tcW w:w="850" w:type="dxa"/>
            <w:tcBorders>
              <w:top w:val="single" w:sz="4" w:space="0" w:color="auto"/>
            </w:tcBorders>
            <w:shd w:val="clear" w:color="auto" w:fill="FFFFFF"/>
            <w:vAlign w:val="center"/>
            <w:hideMark/>
          </w:tcPr>
          <w:p w14:paraId="1793C13A"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6.8</w:t>
            </w:r>
          </w:p>
        </w:tc>
        <w:tc>
          <w:tcPr>
            <w:tcW w:w="1382" w:type="dxa"/>
            <w:tcBorders>
              <w:top w:val="single" w:sz="4" w:space="0" w:color="auto"/>
            </w:tcBorders>
            <w:shd w:val="clear" w:color="auto" w:fill="FFFFFF"/>
            <w:vAlign w:val="center"/>
            <w:hideMark/>
          </w:tcPr>
          <w:p w14:paraId="1A689794"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9.4</w:t>
            </w:r>
          </w:p>
        </w:tc>
        <w:tc>
          <w:tcPr>
            <w:tcW w:w="1842" w:type="dxa"/>
            <w:tcBorders>
              <w:top w:val="single" w:sz="4" w:space="0" w:color="auto"/>
            </w:tcBorders>
            <w:shd w:val="clear" w:color="auto" w:fill="FFFFFF"/>
            <w:vAlign w:val="center"/>
          </w:tcPr>
          <w:p w14:paraId="398BC383"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11.0</w:t>
            </w:r>
          </w:p>
        </w:tc>
      </w:tr>
      <w:tr w:rsidR="004B410F" w:rsidRPr="003D6F2C" w14:paraId="348189CF" w14:textId="77777777" w:rsidTr="003F088D">
        <w:trPr>
          <w:trHeight w:val="315"/>
        </w:trPr>
        <w:tc>
          <w:tcPr>
            <w:tcW w:w="3778" w:type="dxa"/>
            <w:shd w:val="clear" w:color="auto" w:fill="FFFFFF"/>
            <w:vAlign w:val="center"/>
            <w:hideMark/>
          </w:tcPr>
          <w:p w14:paraId="1F753EF3"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ՀՆԱ-ի նկատմամբ (%)</w:t>
            </w:r>
          </w:p>
        </w:tc>
        <w:tc>
          <w:tcPr>
            <w:tcW w:w="1134" w:type="dxa"/>
            <w:shd w:val="clear" w:color="auto" w:fill="FFFFFF"/>
            <w:vAlign w:val="center"/>
            <w:hideMark/>
          </w:tcPr>
          <w:p w14:paraId="6FFCBC7A"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0.1</w:t>
            </w:r>
          </w:p>
        </w:tc>
        <w:tc>
          <w:tcPr>
            <w:tcW w:w="711" w:type="dxa"/>
            <w:shd w:val="clear" w:color="auto" w:fill="FFFFFF"/>
            <w:vAlign w:val="center"/>
            <w:hideMark/>
          </w:tcPr>
          <w:p w14:paraId="4DD78A1B"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0.1</w:t>
            </w:r>
          </w:p>
        </w:tc>
        <w:tc>
          <w:tcPr>
            <w:tcW w:w="850" w:type="dxa"/>
            <w:shd w:val="clear" w:color="auto" w:fill="FFFFFF"/>
            <w:vAlign w:val="center"/>
            <w:hideMark/>
          </w:tcPr>
          <w:p w14:paraId="60DA1C53" w14:textId="77777777" w:rsidR="004B410F" w:rsidRPr="00E6483F" w:rsidRDefault="004B410F" w:rsidP="003F088D">
            <w:pPr>
              <w:tabs>
                <w:tab w:val="left" w:pos="0"/>
              </w:tabs>
              <w:spacing w:line="240" w:lineRule="auto"/>
              <w:jc w:val="center"/>
              <w:rPr>
                <w:rFonts w:cs="Calibri"/>
                <w:b w:val="0"/>
                <w:color w:val="000000"/>
                <w:sz w:val="18"/>
                <w:szCs w:val="18"/>
                <w:lang w:val="en-US"/>
              </w:rPr>
            </w:pPr>
            <w:r>
              <w:rPr>
                <w:rFonts w:cs="Calibri"/>
                <w:b w:val="0"/>
                <w:color w:val="000000"/>
                <w:sz w:val="18"/>
                <w:szCs w:val="18"/>
                <w:lang w:val="en-US"/>
              </w:rPr>
              <w:t>0.1</w:t>
            </w:r>
          </w:p>
        </w:tc>
        <w:tc>
          <w:tcPr>
            <w:tcW w:w="1382" w:type="dxa"/>
            <w:shd w:val="clear" w:color="auto" w:fill="FFFFFF"/>
            <w:vAlign w:val="center"/>
            <w:hideMark/>
          </w:tcPr>
          <w:p w14:paraId="2A7D9949"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w:t>
            </w:r>
            <w:r>
              <w:rPr>
                <w:rFonts w:cs="Calibri"/>
                <w:b w:val="0"/>
                <w:color w:val="000000"/>
                <w:sz w:val="18"/>
                <w:szCs w:val="18"/>
              </w:rPr>
              <w:t>.1</w:t>
            </w:r>
          </w:p>
        </w:tc>
        <w:tc>
          <w:tcPr>
            <w:tcW w:w="1842" w:type="dxa"/>
            <w:shd w:val="clear" w:color="auto" w:fill="FFFFFF"/>
            <w:vAlign w:val="center"/>
          </w:tcPr>
          <w:p w14:paraId="2F6E4609" w14:textId="77777777" w:rsidR="004B410F" w:rsidRPr="00726BA3" w:rsidRDefault="004B410F" w:rsidP="003F088D">
            <w:pPr>
              <w:rPr>
                <w:rFonts w:cs="Calibri"/>
                <w:b w:val="0"/>
                <w:color w:val="000000"/>
                <w:sz w:val="18"/>
                <w:szCs w:val="18"/>
              </w:rPr>
            </w:pPr>
            <w:r w:rsidRPr="00726BA3">
              <w:rPr>
                <w:rFonts w:cs="Calibri"/>
                <w:b w:val="0"/>
                <w:color w:val="000000"/>
                <w:sz w:val="18"/>
                <w:szCs w:val="18"/>
              </w:rPr>
              <w:t>0.1</w:t>
            </w:r>
          </w:p>
        </w:tc>
      </w:tr>
      <w:tr w:rsidR="004B410F" w:rsidRPr="003D6F2C" w14:paraId="033EF59F" w14:textId="77777777" w:rsidTr="003F088D">
        <w:trPr>
          <w:trHeight w:val="315"/>
        </w:trPr>
        <w:tc>
          <w:tcPr>
            <w:tcW w:w="3778" w:type="dxa"/>
            <w:tcBorders>
              <w:bottom w:val="single" w:sz="4" w:space="0" w:color="auto"/>
            </w:tcBorders>
            <w:shd w:val="clear" w:color="auto" w:fill="FFFFFF"/>
            <w:vAlign w:val="center"/>
            <w:hideMark/>
          </w:tcPr>
          <w:p w14:paraId="68908910"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Ընդհանուր ծախսերում (%)</w:t>
            </w:r>
          </w:p>
        </w:tc>
        <w:tc>
          <w:tcPr>
            <w:tcW w:w="1134" w:type="dxa"/>
            <w:tcBorders>
              <w:bottom w:val="single" w:sz="4" w:space="0" w:color="auto"/>
            </w:tcBorders>
            <w:shd w:val="clear" w:color="auto" w:fill="FFFFFF"/>
            <w:vAlign w:val="center"/>
            <w:hideMark/>
          </w:tcPr>
          <w:p w14:paraId="0BE713DE"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0.2</w:t>
            </w:r>
          </w:p>
        </w:tc>
        <w:tc>
          <w:tcPr>
            <w:tcW w:w="711" w:type="dxa"/>
            <w:tcBorders>
              <w:bottom w:val="single" w:sz="4" w:space="0" w:color="auto"/>
            </w:tcBorders>
            <w:shd w:val="clear" w:color="auto" w:fill="FFFFFF"/>
            <w:vAlign w:val="center"/>
            <w:hideMark/>
          </w:tcPr>
          <w:p w14:paraId="3AF1D216"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0.3</w:t>
            </w:r>
          </w:p>
        </w:tc>
        <w:tc>
          <w:tcPr>
            <w:tcW w:w="850" w:type="dxa"/>
            <w:tcBorders>
              <w:bottom w:val="single" w:sz="4" w:space="0" w:color="auto"/>
            </w:tcBorders>
            <w:shd w:val="clear" w:color="auto" w:fill="FFFFFF"/>
            <w:vAlign w:val="center"/>
            <w:hideMark/>
          </w:tcPr>
          <w:p w14:paraId="6A1576CC"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0.3</w:t>
            </w:r>
          </w:p>
        </w:tc>
        <w:tc>
          <w:tcPr>
            <w:tcW w:w="1382" w:type="dxa"/>
            <w:tcBorders>
              <w:bottom w:val="single" w:sz="4" w:space="0" w:color="auto"/>
            </w:tcBorders>
            <w:shd w:val="clear" w:color="auto" w:fill="FFFFFF"/>
            <w:vAlign w:val="center"/>
            <w:hideMark/>
          </w:tcPr>
          <w:p w14:paraId="547B6406"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w:t>
            </w:r>
            <w:r>
              <w:rPr>
                <w:rFonts w:cs="Calibri"/>
                <w:b w:val="0"/>
                <w:color w:val="000000"/>
                <w:sz w:val="18"/>
                <w:szCs w:val="18"/>
              </w:rPr>
              <w:t>.4</w:t>
            </w:r>
          </w:p>
        </w:tc>
        <w:tc>
          <w:tcPr>
            <w:tcW w:w="1842" w:type="dxa"/>
            <w:tcBorders>
              <w:bottom w:val="single" w:sz="4" w:space="0" w:color="auto"/>
            </w:tcBorders>
            <w:shd w:val="clear" w:color="auto" w:fill="FFFFFF"/>
            <w:vAlign w:val="center"/>
          </w:tcPr>
          <w:p w14:paraId="1CB913F2" w14:textId="77777777" w:rsidR="004B410F" w:rsidRPr="00726BA3" w:rsidRDefault="004B410F" w:rsidP="003F088D">
            <w:pPr>
              <w:rPr>
                <w:rFonts w:cs="Calibri"/>
                <w:b w:val="0"/>
                <w:color w:val="000000"/>
                <w:sz w:val="18"/>
                <w:szCs w:val="18"/>
              </w:rPr>
            </w:pPr>
            <w:r w:rsidRPr="00726BA3">
              <w:rPr>
                <w:rFonts w:cs="Calibri"/>
                <w:b w:val="0"/>
                <w:color w:val="000000"/>
                <w:sz w:val="18"/>
                <w:szCs w:val="18"/>
              </w:rPr>
              <w:t>0.3</w:t>
            </w:r>
          </w:p>
        </w:tc>
      </w:tr>
      <w:tr w:rsidR="004B410F" w:rsidRPr="003D6F2C" w14:paraId="1299D3EE" w14:textId="77777777" w:rsidTr="003F088D">
        <w:trPr>
          <w:trHeight w:val="525"/>
        </w:trPr>
        <w:tc>
          <w:tcPr>
            <w:tcW w:w="3778" w:type="dxa"/>
            <w:tcBorders>
              <w:top w:val="single" w:sz="4" w:space="0" w:color="auto"/>
            </w:tcBorders>
            <w:shd w:val="clear" w:color="auto" w:fill="FFFFFF"/>
            <w:vAlign w:val="center"/>
            <w:hideMark/>
          </w:tcPr>
          <w:p w14:paraId="21618BE9" w14:textId="77777777" w:rsidR="004B410F" w:rsidRPr="008539EE" w:rsidRDefault="004B410F" w:rsidP="003F088D">
            <w:pPr>
              <w:tabs>
                <w:tab w:val="left" w:pos="0"/>
              </w:tabs>
              <w:spacing w:line="240" w:lineRule="auto"/>
              <w:jc w:val="left"/>
              <w:rPr>
                <w:rFonts w:cs="Calibri"/>
                <w:b w:val="0"/>
                <w:bCs/>
                <w:color w:val="000000"/>
                <w:sz w:val="18"/>
                <w:szCs w:val="18"/>
              </w:rPr>
            </w:pPr>
            <w:r w:rsidRPr="008539EE">
              <w:rPr>
                <w:rFonts w:cs="Calibri"/>
                <w:b w:val="0"/>
                <w:bCs/>
                <w:color w:val="000000"/>
                <w:sz w:val="18"/>
                <w:szCs w:val="18"/>
              </w:rPr>
              <w:t>3. Բնակարանային շինարարություն և կոմունալ ծառայություններ</w:t>
            </w:r>
          </w:p>
        </w:tc>
        <w:tc>
          <w:tcPr>
            <w:tcW w:w="1134" w:type="dxa"/>
            <w:tcBorders>
              <w:top w:val="single" w:sz="4" w:space="0" w:color="auto"/>
            </w:tcBorders>
            <w:shd w:val="clear" w:color="auto" w:fill="FFFFFF"/>
            <w:vAlign w:val="center"/>
            <w:hideMark/>
          </w:tcPr>
          <w:p w14:paraId="36413780"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8.9</w:t>
            </w:r>
          </w:p>
        </w:tc>
        <w:tc>
          <w:tcPr>
            <w:tcW w:w="711" w:type="dxa"/>
            <w:tcBorders>
              <w:top w:val="single" w:sz="4" w:space="0" w:color="auto"/>
            </w:tcBorders>
            <w:shd w:val="clear" w:color="auto" w:fill="FFFFFF"/>
            <w:vAlign w:val="center"/>
            <w:hideMark/>
          </w:tcPr>
          <w:p w14:paraId="7EFAE969"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9.5</w:t>
            </w:r>
          </w:p>
        </w:tc>
        <w:tc>
          <w:tcPr>
            <w:tcW w:w="850" w:type="dxa"/>
            <w:tcBorders>
              <w:top w:val="single" w:sz="4" w:space="0" w:color="auto"/>
            </w:tcBorders>
            <w:shd w:val="clear" w:color="auto" w:fill="FFFFFF"/>
            <w:vAlign w:val="center"/>
            <w:hideMark/>
          </w:tcPr>
          <w:p w14:paraId="7AD95F05"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9.5</w:t>
            </w:r>
          </w:p>
        </w:tc>
        <w:tc>
          <w:tcPr>
            <w:tcW w:w="1382" w:type="dxa"/>
            <w:tcBorders>
              <w:top w:val="single" w:sz="4" w:space="0" w:color="auto"/>
            </w:tcBorders>
            <w:shd w:val="clear" w:color="auto" w:fill="FFFFFF"/>
            <w:vAlign w:val="center"/>
            <w:hideMark/>
          </w:tcPr>
          <w:p w14:paraId="001F4904"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19</w:t>
            </w:r>
          </w:p>
        </w:tc>
        <w:tc>
          <w:tcPr>
            <w:tcW w:w="1842" w:type="dxa"/>
            <w:tcBorders>
              <w:top w:val="single" w:sz="4" w:space="0" w:color="auto"/>
            </w:tcBorders>
            <w:shd w:val="clear" w:color="auto" w:fill="FFFFFF"/>
            <w:vAlign w:val="center"/>
          </w:tcPr>
          <w:p w14:paraId="4B40DE37" w14:textId="77777777" w:rsidR="004B410F" w:rsidRPr="00726BA3" w:rsidRDefault="004B410F" w:rsidP="003F088D">
            <w:pPr>
              <w:rPr>
                <w:rFonts w:cs="Calibri"/>
                <w:b w:val="0"/>
                <w:color w:val="000000"/>
                <w:sz w:val="18"/>
                <w:szCs w:val="18"/>
              </w:rPr>
            </w:pPr>
            <w:r w:rsidRPr="00726BA3">
              <w:rPr>
                <w:rFonts w:cs="Calibri"/>
                <w:b w:val="0"/>
                <w:color w:val="000000"/>
                <w:sz w:val="18"/>
                <w:szCs w:val="18"/>
              </w:rPr>
              <w:t>19.0</w:t>
            </w:r>
          </w:p>
        </w:tc>
      </w:tr>
      <w:tr w:rsidR="004B410F" w:rsidRPr="008539EE" w14:paraId="2BC0EF9B" w14:textId="77777777" w:rsidTr="003F088D">
        <w:trPr>
          <w:trHeight w:val="315"/>
        </w:trPr>
        <w:tc>
          <w:tcPr>
            <w:tcW w:w="3778" w:type="dxa"/>
            <w:shd w:val="clear" w:color="auto" w:fill="FFFFFF"/>
            <w:vAlign w:val="center"/>
            <w:hideMark/>
          </w:tcPr>
          <w:p w14:paraId="3263FB32"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ՀՆԱ-ի նկատմամբ (%)</w:t>
            </w:r>
          </w:p>
        </w:tc>
        <w:tc>
          <w:tcPr>
            <w:tcW w:w="1134" w:type="dxa"/>
            <w:shd w:val="clear" w:color="auto" w:fill="FFFFFF"/>
            <w:vAlign w:val="center"/>
            <w:hideMark/>
          </w:tcPr>
          <w:p w14:paraId="40A88DAC" w14:textId="77777777" w:rsidR="004B410F" w:rsidRPr="00E6483F" w:rsidRDefault="004B410F" w:rsidP="003F088D">
            <w:pPr>
              <w:tabs>
                <w:tab w:val="left" w:pos="0"/>
              </w:tabs>
              <w:spacing w:line="240" w:lineRule="auto"/>
              <w:jc w:val="center"/>
              <w:rPr>
                <w:rFonts w:cs="Calibri"/>
                <w:b w:val="0"/>
                <w:color w:val="000000"/>
                <w:sz w:val="18"/>
                <w:szCs w:val="18"/>
                <w:lang w:val="en-US"/>
              </w:rPr>
            </w:pPr>
            <w:r w:rsidRPr="008539EE">
              <w:rPr>
                <w:rFonts w:cs="Calibri"/>
                <w:b w:val="0"/>
                <w:color w:val="000000"/>
                <w:sz w:val="18"/>
                <w:szCs w:val="18"/>
              </w:rPr>
              <w:t>0.</w:t>
            </w:r>
            <w:r>
              <w:rPr>
                <w:rFonts w:cs="Calibri"/>
                <w:b w:val="0"/>
                <w:color w:val="000000"/>
                <w:sz w:val="18"/>
                <w:szCs w:val="18"/>
                <w:lang w:val="en-US"/>
              </w:rPr>
              <w:t>2</w:t>
            </w:r>
          </w:p>
        </w:tc>
        <w:tc>
          <w:tcPr>
            <w:tcW w:w="711" w:type="dxa"/>
            <w:shd w:val="clear" w:color="auto" w:fill="FFFFFF"/>
            <w:vAlign w:val="center"/>
            <w:hideMark/>
          </w:tcPr>
          <w:p w14:paraId="1D4FD787"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0.1</w:t>
            </w:r>
          </w:p>
        </w:tc>
        <w:tc>
          <w:tcPr>
            <w:tcW w:w="850" w:type="dxa"/>
            <w:shd w:val="clear" w:color="auto" w:fill="FFFFFF"/>
            <w:vAlign w:val="center"/>
            <w:hideMark/>
          </w:tcPr>
          <w:p w14:paraId="1B0C19EE"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0.1</w:t>
            </w:r>
          </w:p>
        </w:tc>
        <w:tc>
          <w:tcPr>
            <w:tcW w:w="1382" w:type="dxa"/>
            <w:shd w:val="clear" w:color="auto" w:fill="FFFFFF"/>
            <w:vAlign w:val="center"/>
            <w:hideMark/>
          </w:tcPr>
          <w:p w14:paraId="3A4B88AB"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w:t>
            </w:r>
            <w:r>
              <w:rPr>
                <w:rFonts w:cs="Calibri"/>
                <w:b w:val="0"/>
                <w:color w:val="000000"/>
                <w:sz w:val="18"/>
                <w:szCs w:val="18"/>
              </w:rPr>
              <w:t>.2</w:t>
            </w:r>
          </w:p>
        </w:tc>
        <w:tc>
          <w:tcPr>
            <w:tcW w:w="1842" w:type="dxa"/>
            <w:shd w:val="clear" w:color="auto" w:fill="FFFFFF"/>
            <w:vAlign w:val="center"/>
          </w:tcPr>
          <w:p w14:paraId="7EC6CD5A" w14:textId="77777777" w:rsidR="004B410F" w:rsidRPr="00726BA3" w:rsidRDefault="004B410F" w:rsidP="003F088D">
            <w:pPr>
              <w:rPr>
                <w:rFonts w:cs="Calibri"/>
                <w:b w:val="0"/>
                <w:color w:val="000000"/>
                <w:sz w:val="18"/>
                <w:szCs w:val="18"/>
              </w:rPr>
            </w:pPr>
            <w:r w:rsidRPr="00726BA3">
              <w:rPr>
                <w:rFonts w:cs="Calibri"/>
                <w:b w:val="0"/>
                <w:color w:val="000000"/>
                <w:sz w:val="18"/>
                <w:szCs w:val="18"/>
              </w:rPr>
              <w:t>0.2</w:t>
            </w:r>
          </w:p>
        </w:tc>
      </w:tr>
      <w:tr w:rsidR="004B410F" w:rsidRPr="008539EE" w14:paraId="22E2A617" w14:textId="77777777" w:rsidTr="003F088D">
        <w:trPr>
          <w:trHeight w:val="315"/>
        </w:trPr>
        <w:tc>
          <w:tcPr>
            <w:tcW w:w="3778" w:type="dxa"/>
            <w:tcBorders>
              <w:bottom w:val="single" w:sz="4" w:space="0" w:color="auto"/>
            </w:tcBorders>
            <w:shd w:val="clear" w:color="auto" w:fill="FFFFFF"/>
            <w:vAlign w:val="center"/>
            <w:hideMark/>
          </w:tcPr>
          <w:p w14:paraId="23B4D52B"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Ընդհանուր ծախսերում (%)</w:t>
            </w:r>
          </w:p>
        </w:tc>
        <w:tc>
          <w:tcPr>
            <w:tcW w:w="1134" w:type="dxa"/>
            <w:tcBorders>
              <w:bottom w:val="single" w:sz="4" w:space="0" w:color="auto"/>
            </w:tcBorders>
            <w:shd w:val="clear" w:color="auto" w:fill="FFFFFF"/>
            <w:vAlign w:val="center"/>
            <w:hideMark/>
          </w:tcPr>
          <w:p w14:paraId="6B628D83"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0.5</w:t>
            </w:r>
          </w:p>
        </w:tc>
        <w:tc>
          <w:tcPr>
            <w:tcW w:w="711" w:type="dxa"/>
            <w:tcBorders>
              <w:bottom w:val="single" w:sz="4" w:space="0" w:color="auto"/>
            </w:tcBorders>
            <w:shd w:val="clear" w:color="auto" w:fill="FFFFFF"/>
            <w:vAlign w:val="center"/>
            <w:hideMark/>
          </w:tcPr>
          <w:p w14:paraId="3EDBD1F3"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0.5</w:t>
            </w:r>
          </w:p>
        </w:tc>
        <w:tc>
          <w:tcPr>
            <w:tcW w:w="850" w:type="dxa"/>
            <w:tcBorders>
              <w:bottom w:val="single" w:sz="4" w:space="0" w:color="auto"/>
            </w:tcBorders>
            <w:shd w:val="clear" w:color="auto" w:fill="FFFFFF"/>
            <w:vAlign w:val="center"/>
            <w:hideMark/>
          </w:tcPr>
          <w:p w14:paraId="12123EC2"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0.4</w:t>
            </w:r>
          </w:p>
        </w:tc>
        <w:tc>
          <w:tcPr>
            <w:tcW w:w="1382" w:type="dxa"/>
            <w:tcBorders>
              <w:bottom w:val="single" w:sz="4" w:space="0" w:color="auto"/>
            </w:tcBorders>
            <w:shd w:val="clear" w:color="auto" w:fill="FFFFFF"/>
            <w:vAlign w:val="center"/>
            <w:hideMark/>
          </w:tcPr>
          <w:p w14:paraId="60FE4608"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w:t>
            </w:r>
            <w:r>
              <w:rPr>
                <w:rFonts w:cs="Calibri"/>
                <w:b w:val="0"/>
                <w:color w:val="000000"/>
                <w:sz w:val="18"/>
                <w:szCs w:val="18"/>
              </w:rPr>
              <w:t>.7</w:t>
            </w:r>
          </w:p>
        </w:tc>
        <w:tc>
          <w:tcPr>
            <w:tcW w:w="1842" w:type="dxa"/>
            <w:tcBorders>
              <w:bottom w:val="single" w:sz="4" w:space="0" w:color="auto"/>
            </w:tcBorders>
            <w:shd w:val="clear" w:color="auto" w:fill="FFFFFF"/>
            <w:vAlign w:val="center"/>
          </w:tcPr>
          <w:p w14:paraId="15D18B88" w14:textId="77777777" w:rsidR="004B410F" w:rsidRPr="00726BA3" w:rsidRDefault="004B410F" w:rsidP="003F088D">
            <w:pPr>
              <w:rPr>
                <w:rFonts w:cs="Calibri"/>
                <w:b w:val="0"/>
                <w:color w:val="000000"/>
                <w:sz w:val="18"/>
                <w:szCs w:val="18"/>
              </w:rPr>
            </w:pPr>
            <w:r w:rsidRPr="00726BA3">
              <w:rPr>
                <w:rFonts w:cs="Calibri"/>
                <w:b w:val="0"/>
                <w:color w:val="000000"/>
                <w:sz w:val="18"/>
                <w:szCs w:val="18"/>
              </w:rPr>
              <w:t>0.6</w:t>
            </w:r>
          </w:p>
        </w:tc>
      </w:tr>
    </w:tbl>
    <w:p w14:paraId="6C0A9758" w14:textId="77777777" w:rsidR="004B410F" w:rsidRPr="008539EE" w:rsidRDefault="004B410F" w:rsidP="004B410F">
      <w:pPr>
        <w:rPr>
          <w:rFonts w:eastAsiaTheme="minorHAnsi" w:cs="Cambria Math"/>
          <w:b w:val="0"/>
          <w:szCs w:val="22"/>
          <w:lang w:val="en-US" w:eastAsia="en-US"/>
        </w:rPr>
      </w:pPr>
    </w:p>
    <w:p w14:paraId="6D5D06BF" w14:textId="77777777" w:rsidR="004B410F" w:rsidRPr="009857CD" w:rsidRDefault="004B410F" w:rsidP="004B410F">
      <w:pPr>
        <w:rPr>
          <w:rFonts w:eastAsiaTheme="minorHAnsi" w:cs="Cambria Math"/>
          <w:b w:val="0"/>
          <w:szCs w:val="22"/>
          <w:lang w:val="en-US" w:eastAsia="en-US"/>
        </w:rPr>
      </w:pPr>
      <w:r w:rsidRPr="00C74BDD">
        <w:rPr>
          <w:rFonts w:eastAsiaTheme="minorHAnsi" w:cs="Cambria Math"/>
          <w:b w:val="0"/>
          <w:szCs w:val="22"/>
          <w:lang w:val="en-US" w:eastAsia="en-US"/>
        </w:rPr>
        <w:lastRenderedPageBreak/>
        <w:t>Սոցիալական ոլորտի խմբում 20</w:t>
      </w:r>
      <w:r>
        <w:rPr>
          <w:rFonts w:eastAsiaTheme="minorHAnsi" w:cs="Cambria Math"/>
          <w:b w:val="0"/>
          <w:szCs w:val="22"/>
          <w:lang w:val="hy-AM" w:eastAsia="en-US"/>
        </w:rPr>
        <w:t>20</w:t>
      </w:r>
      <w:r w:rsidRPr="00C74BDD">
        <w:rPr>
          <w:rFonts w:eastAsiaTheme="minorHAnsi" w:cs="Cambria Math"/>
          <w:b w:val="0"/>
          <w:szCs w:val="22"/>
          <w:lang w:val="en-US" w:eastAsia="en-US"/>
        </w:rPr>
        <w:t>-202</w:t>
      </w:r>
      <w:r>
        <w:rPr>
          <w:rFonts w:eastAsiaTheme="minorHAnsi" w:cs="Cambria Math"/>
          <w:b w:val="0"/>
          <w:szCs w:val="22"/>
          <w:lang w:val="hy-AM" w:eastAsia="en-US"/>
        </w:rPr>
        <w:t>3</w:t>
      </w:r>
      <w:r w:rsidRPr="00C74BDD">
        <w:rPr>
          <w:rFonts w:eastAsiaTheme="minorHAnsi" w:cs="Cambria Math"/>
          <w:b w:val="0"/>
          <w:szCs w:val="22"/>
          <w:lang w:val="en-US" w:eastAsia="en-US"/>
        </w:rPr>
        <w:t xml:space="preserve"> թվականներին առանցքային են եղել և 20</w:t>
      </w:r>
      <w:r w:rsidRPr="00C74BDD">
        <w:rPr>
          <w:rFonts w:eastAsiaTheme="minorHAnsi" w:cs="Cambria Math"/>
          <w:b w:val="0"/>
          <w:szCs w:val="22"/>
          <w:lang w:val="hy-AM" w:eastAsia="en-US"/>
        </w:rPr>
        <w:t>2</w:t>
      </w:r>
      <w:r>
        <w:rPr>
          <w:rFonts w:eastAsiaTheme="minorHAnsi" w:cs="Cambria Math"/>
          <w:b w:val="0"/>
          <w:szCs w:val="22"/>
          <w:lang w:val="hy-AM" w:eastAsia="en-US"/>
        </w:rPr>
        <w:t>4</w:t>
      </w:r>
      <w:r w:rsidRPr="00C74BDD">
        <w:rPr>
          <w:rFonts w:eastAsiaTheme="minorHAnsi" w:cs="Cambria Math"/>
          <w:b w:val="0"/>
          <w:szCs w:val="22"/>
          <w:lang w:val="en-US" w:eastAsia="en-US"/>
        </w:rPr>
        <w:t xml:space="preserve"> շարունակվել</w:t>
      </w:r>
      <w:r>
        <w:rPr>
          <w:rFonts w:eastAsiaTheme="minorHAnsi" w:cs="Cambria Math"/>
          <w:b w:val="0"/>
          <w:szCs w:val="22"/>
          <w:lang w:val="hy-AM" w:eastAsia="en-US"/>
        </w:rPr>
        <w:t>ու</w:t>
      </w:r>
      <w:r w:rsidRPr="00C74BDD">
        <w:rPr>
          <w:rFonts w:eastAsiaTheme="minorHAnsi" w:cs="Cambria Math"/>
          <w:b w:val="0"/>
          <w:szCs w:val="22"/>
          <w:lang w:val="en-US" w:eastAsia="en-US"/>
        </w:rPr>
        <w:t xml:space="preserve"> են կարևորվել հատկապես սոցիալական ապահովության, կրթության և առողջապահության բնա</w:t>
      </w:r>
      <w:r w:rsidRPr="00C74BDD">
        <w:rPr>
          <w:rFonts w:eastAsiaTheme="minorHAnsi" w:cs="Cambria Math"/>
          <w:b w:val="0"/>
          <w:szCs w:val="22"/>
          <w:lang w:val="en-US" w:eastAsia="en-US"/>
        </w:rPr>
        <w:softHyphen/>
        <w:t>գա</w:t>
      </w:r>
      <w:r w:rsidRPr="00C74BDD">
        <w:rPr>
          <w:rFonts w:eastAsiaTheme="minorHAnsi" w:cs="Cambria Math"/>
          <w:b w:val="0"/>
          <w:szCs w:val="22"/>
          <w:lang w:val="en-US" w:eastAsia="en-US"/>
        </w:rPr>
        <w:softHyphen/>
        <w:t>վառ</w:t>
      </w:r>
      <w:r w:rsidRPr="00C74BDD">
        <w:rPr>
          <w:rFonts w:eastAsiaTheme="minorHAnsi" w:cs="Cambria Math"/>
          <w:b w:val="0"/>
          <w:szCs w:val="22"/>
          <w:lang w:val="en-US" w:eastAsia="en-US"/>
        </w:rPr>
        <w:softHyphen/>
        <w:t>նե</w:t>
      </w:r>
      <w:r w:rsidRPr="00C74BDD">
        <w:rPr>
          <w:rFonts w:eastAsiaTheme="minorHAnsi" w:cs="Cambria Math"/>
          <w:b w:val="0"/>
          <w:szCs w:val="22"/>
          <w:lang w:val="en-US" w:eastAsia="en-US"/>
        </w:rPr>
        <w:softHyphen/>
        <w:t>րի զարգաց</w:t>
      </w:r>
      <w:r w:rsidRPr="00C74BDD">
        <w:rPr>
          <w:rFonts w:eastAsiaTheme="minorHAnsi" w:cs="Cambria Math"/>
          <w:b w:val="0"/>
          <w:szCs w:val="22"/>
          <w:lang w:val="en-US" w:eastAsia="en-US"/>
        </w:rPr>
        <w:softHyphen/>
        <w:t xml:space="preserve">ման ռազմավարական ծրագրերի իրականացումը: </w:t>
      </w:r>
    </w:p>
    <w:p w14:paraId="24D8D04A" w14:textId="77777777" w:rsidR="004B410F" w:rsidRPr="009857CD" w:rsidRDefault="004B410F" w:rsidP="004B410F">
      <w:pPr>
        <w:rPr>
          <w:rFonts w:eastAsiaTheme="minorHAnsi" w:cs="Cambria Math"/>
          <w:b w:val="0"/>
          <w:szCs w:val="22"/>
          <w:lang w:val="en-US" w:eastAsia="en-US"/>
        </w:rPr>
      </w:pPr>
    </w:p>
    <w:p w14:paraId="2CBB66F3" w14:textId="01FCBEC0" w:rsidR="004B410F" w:rsidRPr="00B16CAB" w:rsidRDefault="00B16CAB" w:rsidP="00B16CAB">
      <w:pPr>
        <w:rPr>
          <w:b w:val="0"/>
          <w:szCs w:val="22"/>
          <w:lang w:val="hy-AM"/>
        </w:rPr>
      </w:pPr>
      <w:bookmarkStart w:id="279" w:name="_Toc89428776"/>
      <w:bookmarkStart w:id="280" w:name="_Toc120805273"/>
      <w:bookmarkStart w:id="281" w:name="_Toc152324776"/>
      <w:r w:rsidRPr="00B16CAB">
        <w:rPr>
          <w:bCs/>
          <w:szCs w:val="22"/>
          <w:lang w:val="hy-AM"/>
        </w:rPr>
        <w:t xml:space="preserve">Աղյուսակ </w:t>
      </w:r>
      <w:r w:rsidRPr="00B16CAB">
        <w:rPr>
          <w:bCs/>
          <w:szCs w:val="22"/>
          <w:lang w:val="hy-AM"/>
        </w:rPr>
        <w:fldChar w:fldCharType="begin"/>
      </w:r>
      <w:r w:rsidRPr="00B16CAB">
        <w:rPr>
          <w:bCs/>
          <w:szCs w:val="22"/>
          <w:lang w:val="hy-AM"/>
        </w:rPr>
        <w:instrText xml:space="preserve"> SEQ Աղյուսակ \* ARABIC </w:instrText>
      </w:r>
      <w:r w:rsidRPr="00B16CAB">
        <w:rPr>
          <w:bCs/>
          <w:szCs w:val="22"/>
          <w:lang w:val="hy-AM"/>
        </w:rPr>
        <w:fldChar w:fldCharType="separate"/>
      </w:r>
      <w:r w:rsidR="00DB4E68">
        <w:rPr>
          <w:bCs/>
          <w:noProof/>
          <w:szCs w:val="22"/>
          <w:lang w:val="hy-AM"/>
        </w:rPr>
        <w:t>14</w:t>
      </w:r>
      <w:r w:rsidRPr="00B16CAB">
        <w:rPr>
          <w:bCs/>
          <w:szCs w:val="22"/>
          <w:lang w:val="hy-AM"/>
        </w:rPr>
        <w:fldChar w:fldCharType="end"/>
      </w:r>
      <w:r w:rsidR="004B410F" w:rsidRPr="00B16CAB">
        <w:rPr>
          <w:rFonts w:ascii="Cambria Math" w:hAnsi="Cambria Math" w:cs="Cambria Math"/>
          <w:bCs/>
          <w:szCs w:val="22"/>
          <w:lang w:val="hy-AM"/>
        </w:rPr>
        <w:t>․</w:t>
      </w:r>
      <w:r w:rsidR="004B410F" w:rsidRPr="00B16CAB">
        <w:rPr>
          <w:b w:val="0"/>
          <w:szCs w:val="22"/>
          <w:lang w:val="hy-AM"/>
        </w:rPr>
        <w:t xml:space="preserve"> Սոցիալական ոլորտի 2020-2024թթ</w:t>
      </w:r>
      <w:r w:rsidR="004B410F" w:rsidRPr="00B16CAB">
        <w:rPr>
          <w:rFonts w:ascii="Cambria Math" w:hAnsi="Cambria Math" w:cs="Cambria Math"/>
          <w:b w:val="0"/>
          <w:szCs w:val="22"/>
          <w:lang w:val="hy-AM"/>
        </w:rPr>
        <w:t>․</w:t>
      </w:r>
      <w:r w:rsidR="004B410F" w:rsidRPr="00B16CAB">
        <w:rPr>
          <w:b w:val="0"/>
          <w:szCs w:val="22"/>
          <w:lang w:val="hy-AM"/>
        </w:rPr>
        <w:t xml:space="preserve"> բյուջետային ծախսերը (մլրդ դրամ)</w:t>
      </w:r>
      <w:bookmarkEnd w:id="279"/>
      <w:bookmarkEnd w:id="280"/>
      <w:bookmarkEnd w:id="281"/>
    </w:p>
    <w:tbl>
      <w:tblPr>
        <w:tblW w:w="9180" w:type="dxa"/>
        <w:tblLayout w:type="fixed"/>
        <w:tblLook w:val="04A0" w:firstRow="1" w:lastRow="0" w:firstColumn="1" w:lastColumn="0" w:noHBand="0" w:noVBand="1"/>
      </w:tblPr>
      <w:tblGrid>
        <w:gridCol w:w="3969"/>
        <w:gridCol w:w="992"/>
        <w:gridCol w:w="772"/>
        <w:gridCol w:w="896"/>
        <w:gridCol w:w="992"/>
        <w:gridCol w:w="425"/>
        <w:gridCol w:w="1134"/>
      </w:tblGrid>
      <w:tr w:rsidR="004B410F" w:rsidRPr="008539EE" w14:paraId="4AF3B554" w14:textId="77777777" w:rsidTr="003F088D">
        <w:trPr>
          <w:trHeight w:val="315"/>
        </w:trPr>
        <w:tc>
          <w:tcPr>
            <w:tcW w:w="3969" w:type="dxa"/>
            <w:vMerge w:val="restart"/>
            <w:tcBorders>
              <w:top w:val="nil"/>
            </w:tcBorders>
            <w:shd w:val="clear" w:color="auto" w:fill="FFFFFF"/>
            <w:vAlign w:val="center"/>
          </w:tcPr>
          <w:p w14:paraId="2C69375E" w14:textId="77777777" w:rsidR="004B410F" w:rsidRPr="008539EE" w:rsidRDefault="004B410F" w:rsidP="003F088D">
            <w:pPr>
              <w:tabs>
                <w:tab w:val="left" w:pos="0"/>
              </w:tabs>
              <w:spacing w:line="240" w:lineRule="auto"/>
              <w:rPr>
                <w:rFonts w:cs="Calibri"/>
                <w:b w:val="0"/>
                <w:bCs/>
                <w:color w:val="000000"/>
                <w:sz w:val="18"/>
                <w:szCs w:val="18"/>
              </w:rPr>
            </w:pPr>
            <w:r w:rsidRPr="008539EE">
              <w:rPr>
                <w:rFonts w:cs="Sylfaen"/>
                <w:b w:val="0"/>
                <w:color w:val="000000"/>
                <w:sz w:val="18"/>
                <w:szCs w:val="18"/>
              </w:rPr>
              <w:t>Ցուցանիշ</w:t>
            </w:r>
          </w:p>
        </w:tc>
        <w:tc>
          <w:tcPr>
            <w:tcW w:w="2660" w:type="dxa"/>
            <w:gridSpan w:val="3"/>
            <w:tcBorders>
              <w:bottom w:val="single" w:sz="4" w:space="0" w:color="auto"/>
            </w:tcBorders>
            <w:shd w:val="clear" w:color="auto" w:fill="FFFFFF"/>
            <w:vAlign w:val="center"/>
          </w:tcPr>
          <w:p w14:paraId="5B7DE8BD"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lang w:val="hy-AM"/>
              </w:rPr>
              <w:t>Փաստ</w:t>
            </w:r>
          </w:p>
        </w:tc>
        <w:tc>
          <w:tcPr>
            <w:tcW w:w="992" w:type="dxa"/>
            <w:shd w:val="clear" w:color="auto" w:fill="FFFFFF"/>
            <w:vAlign w:val="center"/>
          </w:tcPr>
          <w:p w14:paraId="08568177"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lang w:val="hy-AM"/>
              </w:rPr>
              <w:t>Բյուջե</w:t>
            </w:r>
          </w:p>
        </w:tc>
        <w:tc>
          <w:tcPr>
            <w:tcW w:w="425" w:type="dxa"/>
            <w:shd w:val="clear" w:color="auto" w:fill="FFFFFF"/>
            <w:vAlign w:val="center"/>
          </w:tcPr>
          <w:p w14:paraId="79B16DCC" w14:textId="77777777" w:rsidR="004B410F" w:rsidRPr="008539EE" w:rsidRDefault="004B410F" w:rsidP="003F088D">
            <w:pPr>
              <w:tabs>
                <w:tab w:val="left" w:pos="0"/>
              </w:tabs>
              <w:spacing w:line="240" w:lineRule="auto"/>
              <w:jc w:val="center"/>
              <w:rPr>
                <w:rFonts w:cs="Calibri"/>
                <w:b w:val="0"/>
                <w:bCs/>
                <w:color w:val="000000"/>
                <w:sz w:val="18"/>
                <w:szCs w:val="18"/>
                <w:lang w:val="hy-AM"/>
              </w:rPr>
            </w:pPr>
          </w:p>
        </w:tc>
        <w:tc>
          <w:tcPr>
            <w:tcW w:w="1134" w:type="dxa"/>
            <w:tcBorders>
              <w:bottom w:val="single" w:sz="4" w:space="0" w:color="auto"/>
            </w:tcBorders>
            <w:shd w:val="clear" w:color="auto" w:fill="FFFFFF"/>
            <w:vAlign w:val="center"/>
          </w:tcPr>
          <w:p w14:paraId="26CE1476" w14:textId="1681185E" w:rsidR="004B410F" w:rsidRPr="008539EE" w:rsidRDefault="009813D2" w:rsidP="003F088D">
            <w:pPr>
              <w:tabs>
                <w:tab w:val="left" w:pos="0"/>
              </w:tabs>
              <w:spacing w:line="240" w:lineRule="auto"/>
              <w:jc w:val="center"/>
              <w:rPr>
                <w:rFonts w:cs="Calibri"/>
                <w:b w:val="0"/>
                <w:bCs/>
                <w:color w:val="000000"/>
                <w:sz w:val="18"/>
                <w:szCs w:val="18"/>
                <w:lang w:val="hy-AM"/>
              </w:rPr>
            </w:pPr>
            <w:r>
              <w:rPr>
                <w:rFonts w:cs="Calibri"/>
                <w:b w:val="0"/>
                <w:color w:val="000000"/>
                <w:sz w:val="18"/>
                <w:szCs w:val="18"/>
                <w:lang w:val="hy-AM"/>
              </w:rPr>
              <w:t>ծրագիր</w:t>
            </w:r>
          </w:p>
        </w:tc>
      </w:tr>
      <w:tr w:rsidR="004B410F" w:rsidRPr="008539EE" w14:paraId="52365706" w14:textId="77777777" w:rsidTr="003F088D">
        <w:trPr>
          <w:trHeight w:val="315"/>
        </w:trPr>
        <w:tc>
          <w:tcPr>
            <w:tcW w:w="3969" w:type="dxa"/>
            <w:vMerge/>
            <w:tcBorders>
              <w:bottom w:val="single" w:sz="4" w:space="0" w:color="auto"/>
            </w:tcBorders>
            <w:shd w:val="clear" w:color="auto" w:fill="FFFFFF"/>
            <w:vAlign w:val="center"/>
          </w:tcPr>
          <w:p w14:paraId="028035C8" w14:textId="77777777" w:rsidR="004B410F" w:rsidRPr="008539EE" w:rsidRDefault="004B410F" w:rsidP="003F088D">
            <w:pPr>
              <w:tabs>
                <w:tab w:val="left" w:pos="0"/>
              </w:tabs>
              <w:spacing w:line="240" w:lineRule="auto"/>
              <w:rPr>
                <w:rFonts w:cs="Calibri"/>
                <w:b w:val="0"/>
                <w:bCs/>
                <w:color w:val="000000"/>
                <w:sz w:val="18"/>
                <w:szCs w:val="18"/>
              </w:rPr>
            </w:pPr>
          </w:p>
        </w:tc>
        <w:tc>
          <w:tcPr>
            <w:tcW w:w="992" w:type="dxa"/>
            <w:tcBorders>
              <w:top w:val="single" w:sz="4" w:space="0" w:color="auto"/>
              <w:bottom w:val="single" w:sz="4" w:space="0" w:color="auto"/>
            </w:tcBorders>
            <w:shd w:val="clear" w:color="auto" w:fill="FFFFFF"/>
            <w:vAlign w:val="center"/>
          </w:tcPr>
          <w:p w14:paraId="0B9BDA1B" w14:textId="77777777" w:rsidR="004B410F" w:rsidRPr="008539EE" w:rsidRDefault="004B410F" w:rsidP="003F088D">
            <w:pPr>
              <w:tabs>
                <w:tab w:val="left" w:pos="0"/>
                <w:tab w:val="left" w:pos="550"/>
              </w:tabs>
              <w:spacing w:line="240" w:lineRule="auto"/>
              <w:jc w:val="center"/>
              <w:rPr>
                <w:rFonts w:cs="Calibri"/>
                <w:b w:val="0"/>
                <w:bCs/>
                <w:color w:val="000000"/>
                <w:sz w:val="18"/>
                <w:szCs w:val="18"/>
              </w:rPr>
            </w:pPr>
            <w:r w:rsidRPr="008539EE">
              <w:rPr>
                <w:rFonts w:cs="Calibri"/>
                <w:b w:val="0"/>
                <w:color w:val="000000"/>
                <w:sz w:val="18"/>
                <w:szCs w:val="18"/>
              </w:rPr>
              <w:t>2020</w:t>
            </w:r>
          </w:p>
        </w:tc>
        <w:tc>
          <w:tcPr>
            <w:tcW w:w="772" w:type="dxa"/>
            <w:tcBorders>
              <w:top w:val="single" w:sz="4" w:space="0" w:color="auto"/>
              <w:bottom w:val="single" w:sz="4" w:space="0" w:color="auto"/>
            </w:tcBorders>
            <w:shd w:val="clear" w:color="auto" w:fill="FFFFFF"/>
            <w:vAlign w:val="center"/>
          </w:tcPr>
          <w:p w14:paraId="750AE3DF"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2021</w:t>
            </w:r>
          </w:p>
        </w:tc>
        <w:tc>
          <w:tcPr>
            <w:tcW w:w="896" w:type="dxa"/>
            <w:tcBorders>
              <w:top w:val="single" w:sz="4" w:space="0" w:color="auto"/>
              <w:bottom w:val="single" w:sz="4" w:space="0" w:color="auto"/>
            </w:tcBorders>
            <w:shd w:val="clear" w:color="auto" w:fill="FFFFFF"/>
            <w:vAlign w:val="center"/>
          </w:tcPr>
          <w:p w14:paraId="3DD4DD56"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2022</w:t>
            </w:r>
          </w:p>
        </w:tc>
        <w:tc>
          <w:tcPr>
            <w:tcW w:w="992" w:type="dxa"/>
            <w:tcBorders>
              <w:bottom w:val="single" w:sz="4" w:space="0" w:color="auto"/>
            </w:tcBorders>
            <w:shd w:val="clear" w:color="auto" w:fill="FFFFFF"/>
            <w:vAlign w:val="center"/>
          </w:tcPr>
          <w:p w14:paraId="2A3BF633"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lang w:val="hy-AM"/>
              </w:rPr>
              <w:t>2023</w:t>
            </w:r>
          </w:p>
        </w:tc>
        <w:tc>
          <w:tcPr>
            <w:tcW w:w="425" w:type="dxa"/>
            <w:tcBorders>
              <w:bottom w:val="single" w:sz="4" w:space="0" w:color="auto"/>
            </w:tcBorders>
            <w:shd w:val="clear" w:color="auto" w:fill="FFFFFF"/>
            <w:vAlign w:val="center"/>
          </w:tcPr>
          <w:p w14:paraId="5960C0B7" w14:textId="77777777" w:rsidR="004B410F" w:rsidRPr="008539EE" w:rsidRDefault="004B410F" w:rsidP="003F088D">
            <w:pPr>
              <w:tabs>
                <w:tab w:val="left" w:pos="0"/>
              </w:tabs>
              <w:spacing w:line="240" w:lineRule="auto"/>
              <w:jc w:val="center"/>
              <w:rPr>
                <w:rFonts w:cs="Calibri"/>
                <w:b w:val="0"/>
                <w:bCs/>
                <w:color w:val="000000"/>
                <w:sz w:val="18"/>
                <w:szCs w:val="18"/>
              </w:rPr>
            </w:pPr>
          </w:p>
        </w:tc>
        <w:tc>
          <w:tcPr>
            <w:tcW w:w="1134" w:type="dxa"/>
            <w:tcBorders>
              <w:top w:val="single" w:sz="4" w:space="0" w:color="auto"/>
              <w:bottom w:val="single" w:sz="4" w:space="0" w:color="auto"/>
            </w:tcBorders>
            <w:shd w:val="clear" w:color="auto" w:fill="FFFFFF"/>
            <w:vAlign w:val="center"/>
          </w:tcPr>
          <w:p w14:paraId="6FCE238A"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color w:val="000000"/>
                <w:sz w:val="18"/>
                <w:szCs w:val="18"/>
              </w:rPr>
              <w:t>2024</w:t>
            </w:r>
          </w:p>
        </w:tc>
      </w:tr>
      <w:tr w:rsidR="004B410F" w:rsidRPr="008539EE" w14:paraId="7F579C1F" w14:textId="77777777" w:rsidTr="003F088D">
        <w:trPr>
          <w:trHeight w:val="315"/>
        </w:trPr>
        <w:tc>
          <w:tcPr>
            <w:tcW w:w="3969" w:type="dxa"/>
            <w:tcBorders>
              <w:top w:val="single" w:sz="4" w:space="0" w:color="auto"/>
            </w:tcBorders>
            <w:shd w:val="clear" w:color="auto" w:fill="FFFFFF"/>
            <w:vAlign w:val="center"/>
            <w:hideMark/>
          </w:tcPr>
          <w:p w14:paraId="09B55E9E" w14:textId="77777777" w:rsidR="004B410F" w:rsidRPr="008539EE" w:rsidRDefault="004B410F" w:rsidP="003F088D">
            <w:pPr>
              <w:tabs>
                <w:tab w:val="left" w:pos="0"/>
              </w:tabs>
              <w:spacing w:line="240" w:lineRule="auto"/>
              <w:jc w:val="left"/>
              <w:rPr>
                <w:rFonts w:cs="Calibri"/>
                <w:b w:val="0"/>
                <w:bCs/>
                <w:color w:val="000000"/>
                <w:sz w:val="18"/>
                <w:szCs w:val="18"/>
              </w:rPr>
            </w:pPr>
            <w:r w:rsidRPr="008539EE">
              <w:rPr>
                <w:rFonts w:cs="Calibri"/>
                <w:b w:val="0"/>
                <w:bCs/>
                <w:color w:val="000000"/>
                <w:sz w:val="18"/>
                <w:szCs w:val="18"/>
              </w:rPr>
              <w:t>Սոցիալական ոլորտ ընդամենը</w:t>
            </w:r>
          </w:p>
        </w:tc>
        <w:tc>
          <w:tcPr>
            <w:tcW w:w="992" w:type="dxa"/>
            <w:tcBorders>
              <w:top w:val="single" w:sz="4" w:space="0" w:color="auto"/>
            </w:tcBorders>
            <w:shd w:val="clear" w:color="auto" w:fill="auto"/>
            <w:vAlign w:val="center"/>
            <w:hideMark/>
          </w:tcPr>
          <w:p w14:paraId="0DFB9A49" w14:textId="77777777" w:rsidR="004B410F" w:rsidRPr="008539EE" w:rsidRDefault="004B410F" w:rsidP="003F088D">
            <w:pPr>
              <w:tabs>
                <w:tab w:val="left" w:pos="0"/>
                <w:tab w:val="left" w:pos="550"/>
              </w:tabs>
              <w:spacing w:line="240" w:lineRule="auto"/>
              <w:jc w:val="center"/>
              <w:rPr>
                <w:rFonts w:cs="Calibri"/>
                <w:b w:val="0"/>
                <w:bCs/>
                <w:color w:val="000000"/>
                <w:sz w:val="18"/>
                <w:szCs w:val="18"/>
              </w:rPr>
            </w:pPr>
            <w:r w:rsidRPr="008539EE">
              <w:rPr>
                <w:rFonts w:cs="Calibri"/>
                <w:b w:val="0"/>
                <w:bCs/>
                <w:color w:val="000000"/>
                <w:sz w:val="18"/>
                <w:szCs w:val="18"/>
              </w:rPr>
              <w:t>8</w:t>
            </w:r>
            <w:r>
              <w:rPr>
                <w:rFonts w:cs="Calibri"/>
                <w:b w:val="0"/>
                <w:bCs/>
                <w:color w:val="000000"/>
                <w:sz w:val="18"/>
                <w:szCs w:val="18"/>
              </w:rPr>
              <w:t>85</w:t>
            </w:r>
            <w:r w:rsidRPr="008539EE">
              <w:rPr>
                <w:rFonts w:cs="Calibri"/>
                <w:b w:val="0"/>
                <w:bCs/>
                <w:color w:val="000000"/>
                <w:sz w:val="18"/>
                <w:szCs w:val="18"/>
              </w:rPr>
              <w:t>.</w:t>
            </w:r>
            <w:r>
              <w:rPr>
                <w:rFonts w:cs="Calibri"/>
                <w:b w:val="0"/>
                <w:bCs/>
                <w:color w:val="000000"/>
                <w:sz w:val="18"/>
                <w:szCs w:val="18"/>
              </w:rPr>
              <w:t>5</w:t>
            </w:r>
          </w:p>
        </w:tc>
        <w:tc>
          <w:tcPr>
            <w:tcW w:w="772" w:type="dxa"/>
            <w:tcBorders>
              <w:top w:val="single" w:sz="4" w:space="0" w:color="auto"/>
            </w:tcBorders>
            <w:shd w:val="clear" w:color="auto" w:fill="auto"/>
            <w:vAlign w:val="center"/>
            <w:hideMark/>
          </w:tcPr>
          <w:p w14:paraId="085A8F8E"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9</w:t>
            </w:r>
            <w:r>
              <w:rPr>
                <w:rFonts w:cs="Calibri"/>
                <w:b w:val="0"/>
                <w:bCs/>
                <w:color w:val="000000"/>
                <w:sz w:val="18"/>
                <w:szCs w:val="18"/>
              </w:rPr>
              <w:t>82.7</w:t>
            </w:r>
          </w:p>
        </w:tc>
        <w:tc>
          <w:tcPr>
            <w:tcW w:w="896" w:type="dxa"/>
            <w:tcBorders>
              <w:top w:val="single" w:sz="4" w:space="0" w:color="auto"/>
            </w:tcBorders>
            <w:shd w:val="clear" w:color="auto" w:fill="auto"/>
            <w:vAlign w:val="center"/>
            <w:hideMark/>
          </w:tcPr>
          <w:p w14:paraId="1541F46F" w14:textId="77777777" w:rsidR="004B410F" w:rsidRPr="008539EE" w:rsidRDefault="004B410F" w:rsidP="003F088D">
            <w:pPr>
              <w:tabs>
                <w:tab w:val="left" w:pos="0"/>
              </w:tabs>
              <w:spacing w:line="240" w:lineRule="auto"/>
              <w:jc w:val="center"/>
              <w:rPr>
                <w:rFonts w:cs="Calibri"/>
                <w:b w:val="0"/>
                <w:bCs/>
                <w:color w:val="000000"/>
                <w:sz w:val="18"/>
                <w:szCs w:val="18"/>
              </w:rPr>
            </w:pPr>
            <w:r>
              <w:rPr>
                <w:rFonts w:cs="Calibri"/>
                <w:b w:val="0"/>
                <w:bCs/>
                <w:color w:val="000000"/>
                <w:sz w:val="18"/>
                <w:szCs w:val="18"/>
              </w:rPr>
              <w:t>1,002.5</w:t>
            </w:r>
          </w:p>
        </w:tc>
        <w:tc>
          <w:tcPr>
            <w:tcW w:w="992" w:type="dxa"/>
            <w:tcBorders>
              <w:top w:val="single" w:sz="4" w:space="0" w:color="auto"/>
            </w:tcBorders>
            <w:shd w:val="clear" w:color="auto" w:fill="auto"/>
            <w:vAlign w:val="center"/>
            <w:hideMark/>
          </w:tcPr>
          <w:p w14:paraId="1E4B027E"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1</w:t>
            </w:r>
            <w:r>
              <w:rPr>
                <w:rFonts w:cs="Calibri"/>
                <w:b w:val="0"/>
                <w:bCs/>
                <w:color w:val="000000"/>
                <w:sz w:val="18"/>
                <w:szCs w:val="18"/>
              </w:rPr>
              <w:t>,103</w:t>
            </w:r>
            <w:r w:rsidRPr="008539EE">
              <w:rPr>
                <w:rFonts w:cs="Calibri"/>
                <w:b w:val="0"/>
                <w:bCs/>
                <w:color w:val="000000"/>
                <w:sz w:val="18"/>
                <w:szCs w:val="18"/>
              </w:rPr>
              <w:t>.</w:t>
            </w:r>
            <w:r>
              <w:rPr>
                <w:rFonts w:cs="Calibri"/>
                <w:b w:val="0"/>
                <w:bCs/>
                <w:color w:val="000000"/>
                <w:sz w:val="18"/>
                <w:szCs w:val="18"/>
              </w:rPr>
              <w:t>8</w:t>
            </w:r>
          </w:p>
        </w:tc>
        <w:tc>
          <w:tcPr>
            <w:tcW w:w="425" w:type="dxa"/>
            <w:tcBorders>
              <w:top w:val="single" w:sz="4" w:space="0" w:color="auto"/>
            </w:tcBorders>
            <w:shd w:val="clear" w:color="auto" w:fill="auto"/>
            <w:vAlign w:val="center"/>
          </w:tcPr>
          <w:p w14:paraId="3EAB7025" w14:textId="77777777" w:rsidR="004B410F" w:rsidRPr="008539EE" w:rsidRDefault="004B410F" w:rsidP="003F088D">
            <w:pPr>
              <w:tabs>
                <w:tab w:val="left" w:pos="0"/>
              </w:tabs>
              <w:spacing w:line="240" w:lineRule="auto"/>
              <w:jc w:val="center"/>
              <w:rPr>
                <w:rFonts w:cs="Calibri"/>
                <w:b w:val="0"/>
                <w:bCs/>
                <w:color w:val="000000"/>
                <w:sz w:val="18"/>
                <w:szCs w:val="18"/>
              </w:rPr>
            </w:pPr>
          </w:p>
        </w:tc>
        <w:tc>
          <w:tcPr>
            <w:tcW w:w="1134" w:type="dxa"/>
            <w:tcBorders>
              <w:top w:val="single" w:sz="4" w:space="0" w:color="auto"/>
            </w:tcBorders>
            <w:shd w:val="clear" w:color="auto" w:fill="auto"/>
            <w:vAlign w:val="center"/>
            <w:hideMark/>
          </w:tcPr>
          <w:p w14:paraId="51FA0326"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1,295.</w:t>
            </w:r>
            <w:r>
              <w:rPr>
                <w:rFonts w:cs="Calibri"/>
                <w:b w:val="0"/>
                <w:color w:val="000000"/>
                <w:sz w:val="18"/>
                <w:szCs w:val="18"/>
              </w:rPr>
              <w:t>3</w:t>
            </w:r>
          </w:p>
        </w:tc>
      </w:tr>
      <w:tr w:rsidR="004B410F" w:rsidRPr="008539EE" w14:paraId="328F3E37" w14:textId="77777777" w:rsidTr="003F088D">
        <w:trPr>
          <w:trHeight w:val="315"/>
        </w:trPr>
        <w:tc>
          <w:tcPr>
            <w:tcW w:w="3969" w:type="dxa"/>
            <w:shd w:val="clear" w:color="auto" w:fill="FFFFFF"/>
            <w:vAlign w:val="center"/>
            <w:hideMark/>
          </w:tcPr>
          <w:p w14:paraId="5F0D50DD"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ՀՆԱ-ի նկատմամբ (%)</w:t>
            </w:r>
          </w:p>
        </w:tc>
        <w:tc>
          <w:tcPr>
            <w:tcW w:w="992" w:type="dxa"/>
            <w:shd w:val="clear" w:color="auto" w:fill="auto"/>
            <w:vAlign w:val="center"/>
            <w:hideMark/>
          </w:tcPr>
          <w:p w14:paraId="1CE41504" w14:textId="77777777" w:rsidR="004B410F" w:rsidRPr="007E49AB" w:rsidRDefault="004B410F" w:rsidP="003F088D">
            <w:pPr>
              <w:rPr>
                <w:rFonts w:cs="Calibri"/>
                <w:b w:val="0"/>
                <w:color w:val="000000"/>
                <w:sz w:val="18"/>
                <w:szCs w:val="18"/>
              </w:rPr>
            </w:pPr>
            <w:r>
              <w:rPr>
                <w:rFonts w:cs="Calibri"/>
                <w:b w:val="0"/>
                <w:color w:val="000000"/>
                <w:sz w:val="18"/>
                <w:szCs w:val="18"/>
                <w:lang w:val="en-US"/>
              </w:rPr>
              <w:t xml:space="preserve">   </w:t>
            </w:r>
            <w:r w:rsidRPr="007E49AB">
              <w:rPr>
                <w:rFonts w:cs="Calibri"/>
                <w:b w:val="0"/>
                <w:color w:val="000000"/>
                <w:sz w:val="18"/>
                <w:szCs w:val="18"/>
              </w:rPr>
              <w:t xml:space="preserve">14.3 </w:t>
            </w:r>
          </w:p>
        </w:tc>
        <w:tc>
          <w:tcPr>
            <w:tcW w:w="772" w:type="dxa"/>
            <w:shd w:val="clear" w:color="auto" w:fill="auto"/>
            <w:vAlign w:val="center"/>
            <w:hideMark/>
          </w:tcPr>
          <w:p w14:paraId="7506EF0D" w14:textId="77777777" w:rsidR="004B410F" w:rsidRPr="007E49AB" w:rsidRDefault="004B410F" w:rsidP="003F088D">
            <w:pPr>
              <w:rPr>
                <w:rFonts w:cs="Calibri"/>
                <w:b w:val="0"/>
                <w:color w:val="000000"/>
                <w:sz w:val="18"/>
                <w:szCs w:val="18"/>
              </w:rPr>
            </w:pPr>
            <w:r>
              <w:rPr>
                <w:rFonts w:cs="Calibri"/>
                <w:b w:val="0"/>
                <w:color w:val="000000"/>
                <w:sz w:val="18"/>
                <w:szCs w:val="18"/>
                <w:lang w:val="en-US"/>
              </w:rPr>
              <w:t xml:space="preserve">  </w:t>
            </w:r>
            <w:r w:rsidRPr="007E49AB">
              <w:rPr>
                <w:rFonts w:cs="Calibri"/>
                <w:b w:val="0"/>
                <w:color w:val="000000"/>
                <w:sz w:val="18"/>
                <w:szCs w:val="18"/>
              </w:rPr>
              <w:t xml:space="preserve">14.1 </w:t>
            </w:r>
          </w:p>
        </w:tc>
        <w:tc>
          <w:tcPr>
            <w:tcW w:w="896" w:type="dxa"/>
            <w:shd w:val="clear" w:color="auto" w:fill="auto"/>
            <w:vAlign w:val="center"/>
            <w:hideMark/>
          </w:tcPr>
          <w:p w14:paraId="260DB332" w14:textId="77777777" w:rsidR="004B410F" w:rsidRPr="007E49AB" w:rsidRDefault="004B410F" w:rsidP="003F088D">
            <w:pPr>
              <w:rPr>
                <w:rFonts w:cs="Calibri"/>
                <w:b w:val="0"/>
                <w:color w:val="000000"/>
                <w:sz w:val="18"/>
                <w:szCs w:val="18"/>
              </w:rPr>
            </w:pPr>
            <w:r>
              <w:rPr>
                <w:rFonts w:cs="Calibri"/>
                <w:b w:val="0"/>
                <w:color w:val="000000"/>
                <w:sz w:val="18"/>
                <w:szCs w:val="18"/>
                <w:lang w:val="en-US"/>
              </w:rPr>
              <w:t xml:space="preserve"> </w:t>
            </w:r>
            <w:r w:rsidRPr="007E49AB">
              <w:rPr>
                <w:rFonts w:cs="Calibri"/>
                <w:b w:val="0"/>
                <w:color w:val="000000"/>
                <w:sz w:val="18"/>
                <w:szCs w:val="18"/>
              </w:rPr>
              <w:t xml:space="preserve">11.8 </w:t>
            </w:r>
          </w:p>
        </w:tc>
        <w:tc>
          <w:tcPr>
            <w:tcW w:w="992" w:type="dxa"/>
            <w:shd w:val="clear" w:color="auto" w:fill="auto"/>
            <w:vAlign w:val="center"/>
            <w:hideMark/>
          </w:tcPr>
          <w:p w14:paraId="76A0472C" w14:textId="77777777" w:rsidR="004B410F" w:rsidRPr="007E49AB" w:rsidRDefault="004B410F" w:rsidP="003F088D">
            <w:pPr>
              <w:rPr>
                <w:rFonts w:cs="Calibri"/>
                <w:b w:val="0"/>
                <w:color w:val="000000"/>
                <w:sz w:val="18"/>
                <w:szCs w:val="18"/>
              </w:rPr>
            </w:pPr>
            <w:r>
              <w:rPr>
                <w:rFonts w:cs="Calibri"/>
                <w:b w:val="0"/>
                <w:color w:val="000000"/>
                <w:sz w:val="18"/>
                <w:szCs w:val="18"/>
                <w:lang w:val="en-US"/>
              </w:rPr>
              <w:t xml:space="preserve">   </w:t>
            </w:r>
            <w:r w:rsidRPr="007E49AB">
              <w:rPr>
                <w:rFonts w:cs="Calibri"/>
                <w:b w:val="0"/>
                <w:color w:val="000000"/>
                <w:sz w:val="18"/>
                <w:szCs w:val="18"/>
              </w:rPr>
              <w:t xml:space="preserve">11.7 </w:t>
            </w:r>
          </w:p>
        </w:tc>
        <w:tc>
          <w:tcPr>
            <w:tcW w:w="425" w:type="dxa"/>
            <w:shd w:val="clear" w:color="auto" w:fill="auto"/>
            <w:vAlign w:val="center"/>
          </w:tcPr>
          <w:p w14:paraId="7DD76428"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shd w:val="clear" w:color="auto" w:fill="auto"/>
            <w:vAlign w:val="center"/>
            <w:hideMark/>
          </w:tcPr>
          <w:p w14:paraId="4B2A586E"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12.</w:t>
            </w:r>
            <w:r>
              <w:rPr>
                <w:rFonts w:cs="Calibri"/>
                <w:b w:val="0"/>
                <w:color w:val="000000"/>
                <w:sz w:val="18"/>
                <w:szCs w:val="18"/>
              </w:rPr>
              <w:t>4</w:t>
            </w:r>
          </w:p>
        </w:tc>
      </w:tr>
      <w:tr w:rsidR="004B410F" w:rsidRPr="008539EE" w14:paraId="3799F467" w14:textId="77777777" w:rsidTr="003F088D">
        <w:trPr>
          <w:trHeight w:val="315"/>
        </w:trPr>
        <w:tc>
          <w:tcPr>
            <w:tcW w:w="3969" w:type="dxa"/>
            <w:tcBorders>
              <w:bottom w:val="single" w:sz="4" w:space="0" w:color="auto"/>
            </w:tcBorders>
            <w:shd w:val="clear" w:color="auto" w:fill="FFFFFF"/>
            <w:vAlign w:val="center"/>
            <w:hideMark/>
          </w:tcPr>
          <w:p w14:paraId="3C529E0B" w14:textId="77777777" w:rsidR="004B410F" w:rsidRPr="008539EE" w:rsidRDefault="004B410F" w:rsidP="003F088D">
            <w:pPr>
              <w:tabs>
                <w:tab w:val="left" w:pos="0"/>
              </w:tabs>
              <w:spacing w:line="240" w:lineRule="auto"/>
              <w:rPr>
                <w:rFonts w:cs="Calibri"/>
                <w:b w:val="0"/>
                <w:color w:val="000000"/>
                <w:sz w:val="18"/>
                <w:szCs w:val="18"/>
              </w:rPr>
            </w:pPr>
            <w:r w:rsidRPr="008539EE">
              <w:rPr>
                <w:rFonts w:cs="Calibri"/>
                <w:b w:val="0"/>
                <w:color w:val="000000"/>
                <w:sz w:val="18"/>
                <w:szCs w:val="18"/>
              </w:rPr>
              <w:t>Ընդհանուր ծախսերում (%)</w:t>
            </w:r>
          </w:p>
        </w:tc>
        <w:tc>
          <w:tcPr>
            <w:tcW w:w="992" w:type="dxa"/>
            <w:tcBorders>
              <w:bottom w:val="single" w:sz="4" w:space="0" w:color="auto"/>
            </w:tcBorders>
            <w:shd w:val="clear" w:color="auto" w:fill="auto"/>
            <w:vAlign w:val="center"/>
            <w:hideMark/>
          </w:tcPr>
          <w:p w14:paraId="4885F293" w14:textId="77777777" w:rsidR="004B410F" w:rsidRPr="008539EE" w:rsidRDefault="004B410F" w:rsidP="003F088D">
            <w:pPr>
              <w:tabs>
                <w:tab w:val="left" w:pos="0"/>
                <w:tab w:val="left" w:pos="550"/>
              </w:tabs>
              <w:spacing w:line="240" w:lineRule="auto"/>
              <w:jc w:val="center"/>
              <w:rPr>
                <w:rFonts w:cs="Calibri"/>
                <w:b w:val="0"/>
                <w:color w:val="000000"/>
                <w:sz w:val="18"/>
                <w:szCs w:val="18"/>
              </w:rPr>
            </w:pPr>
            <w:r w:rsidRPr="008539EE">
              <w:rPr>
                <w:rFonts w:cs="Calibri"/>
                <w:b w:val="0"/>
                <w:color w:val="000000"/>
                <w:sz w:val="18"/>
                <w:szCs w:val="18"/>
              </w:rPr>
              <w:t>46</w:t>
            </w:r>
            <w:r>
              <w:rPr>
                <w:rFonts w:cs="Calibri"/>
                <w:b w:val="0"/>
                <w:color w:val="000000"/>
                <w:sz w:val="18"/>
                <w:szCs w:val="18"/>
              </w:rPr>
              <w:t>.4</w:t>
            </w:r>
          </w:p>
        </w:tc>
        <w:tc>
          <w:tcPr>
            <w:tcW w:w="772" w:type="dxa"/>
            <w:tcBorders>
              <w:bottom w:val="single" w:sz="4" w:space="0" w:color="auto"/>
            </w:tcBorders>
            <w:shd w:val="clear" w:color="auto" w:fill="auto"/>
            <w:vAlign w:val="center"/>
            <w:hideMark/>
          </w:tcPr>
          <w:p w14:paraId="55B7BE6D"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4</w:t>
            </w:r>
            <w:r>
              <w:rPr>
                <w:rFonts w:cs="Calibri"/>
                <w:b w:val="0"/>
                <w:color w:val="000000"/>
                <w:sz w:val="18"/>
                <w:szCs w:val="18"/>
              </w:rPr>
              <w:t>8</w:t>
            </w:r>
            <w:r w:rsidRPr="008539EE">
              <w:rPr>
                <w:rFonts w:cs="Calibri"/>
                <w:b w:val="0"/>
                <w:color w:val="000000"/>
                <w:sz w:val="18"/>
                <w:szCs w:val="18"/>
              </w:rPr>
              <w:t>.</w:t>
            </w:r>
            <w:r>
              <w:rPr>
                <w:rFonts w:cs="Calibri"/>
                <w:b w:val="0"/>
                <w:color w:val="000000"/>
                <w:sz w:val="18"/>
                <w:szCs w:val="18"/>
              </w:rPr>
              <w:t>5</w:t>
            </w:r>
          </w:p>
        </w:tc>
        <w:tc>
          <w:tcPr>
            <w:tcW w:w="896" w:type="dxa"/>
            <w:tcBorders>
              <w:bottom w:val="single" w:sz="4" w:space="0" w:color="auto"/>
            </w:tcBorders>
            <w:shd w:val="clear" w:color="auto" w:fill="auto"/>
            <w:vAlign w:val="center"/>
            <w:hideMark/>
          </w:tcPr>
          <w:p w14:paraId="05115150"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4</w:t>
            </w:r>
            <w:r>
              <w:rPr>
                <w:rFonts w:cs="Calibri"/>
                <w:b w:val="0"/>
                <w:color w:val="000000"/>
                <w:sz w:val="18"/>
                <w:szCs w:val="18"/>
              </w:rPr>
              <w:t>4</w:t>
            </w:r>
            <w:r w:rsidRPr="008539EE">
              <w:rPr>
                <w:rFonts w:cs="Calibri"/>
                <w:b w:val="0"/>
                <w:color w:val="000000"/>
                <w:sz w:val="18"/>
                <w:szCs w:val="18"/>
              </w:rPr>
              <w:t>.</w:t>
            </w:r>
            <w:r>
              <w:rPr>
                <w:rFonts w:cs="Calibri"/>
                <w:b w:val="0"/>
                <w:color w:val="000000"/>
                <w:sz w:val="18"/>
                <w:szCs w:val="18"/>
              </w:rPr>
              <w:t>0</w:t>
            </w:r>
          </w:p>
        </w:tc>
        <w:tc>
          <w:tcPr>
            <w:tcW w:w="992" w:type="dxa"/>
            <w:tcBorders>
              <w:bottom w:val="single" w:sz="4" w:space="0" w:color="auto"/>
            </w:tcBorders>
            <w:shd w:val="clear" w:color="auto" w:fill="auto"/>
            <w:vAlign w:val="center"/>
            <w:hideMark/>
          </w:tcPr>
          <w:p w14:paraId="04692B41" w14:textId="77777777" w:rsidR="004B410F" w:rsidRPr="008539EE" w:rsidRDefault="004B410F" w:rsidP="003F088D">
            <w:pPr>
              <w:tabs>
                <w:tab w:val="left" w:pos="0"/>
              </w:tabs>
              <w:spacing w:line="240" w:lineRule="auto"/>
              <w:jc w:val="center"/>
              <w:rPr>
                <w:rFonts w:cs="Calibri"/>
                <w:b w:val="0"/>
                <w:color w:val="000000"/>
                <w:sz w:val="18"/>
                <w:szCs w:val="18"/>
                <w:highlight w:val="yellow"/>
              </w:rPr>
            </w:pPr>
            <w:r w:rsidRPr="008539EE">
              <w:rPr>
                <w:rFonts w:cs="Calibri"/>
                <w:b w:val="0"/>
                <w:color w:val="000000"/>
                <w:sz w:val="18"/>
                <w:szCs w:val="18"/>
              </w:rPr>
              <w:t>4</w:t>
            </w:r>
            <w:r>
              <w:rPr>
                <w:rFonts w:cs="Calibri"/>
                <w:b w:val="0"/>
                <w:color w:val="000000"/>
                <w:sz w:val="18"/>
                <w:szCs w:val="18"/>
              </w:rPr>
              <w:t>1</w:t>
            </w:r>
            <w:r w:rsidRPr="008539EE">
              <w:rPr>
                <w:rFonts w:cs="Calibri"/>
                <w:b w:val="0"/>
                <w:color w:val="000000"/>
                <w:sz w:val="18"/>
                <w:szCs w:val="18"/>
              </w:rPr>
              <w:t>.</w:t>
            </w:r>
            <w:r>
              <w:rPr>
                <w:rFonts w:cs="Calibri"/>
                <w:b w:val="0"/>
                <w:color w:val="000000"/>
                <w:sz w:val="18"/>
                <w:szCs w:val="18"/>
              </w:rPr>
              <w:t>7</w:t>
            </w:r>
          </w:p>
        </w:tc>
        <w:tc>
          <w:tcPr>
            <w:tcW w:w="425" w:type="dxa"/>
            <w:tcBorders>
              <w:bottom w:val="single" w:sz="4" w:space="0" w:color="auto"/>
            </w:tcBorders>
            <w:shd w:val="clear" w:color="auto" w:fill="auto"/>
            <w:vAlign w:val="center"/>
          </w:tcPr>
          <w:p w14:paraId="51AD1123"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tcBorders>
              <w:bottom w:val="single" w:sz="4" w:space="0" w:color="auto"/>
            </w:tcBorders>
            <w:shd w:val="clear" w:color="auto" w:fill="auto"/>
            <w:vAlign w:val="center"/>
            <w:hideMark/>
          </w:tcPr>
          <w:p w14:paraId="77775237"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40.</w:t>
            </w:r>
            <w:r>
              <w:rPr>
                <w:rFonts w:cs="Calibri"/>
                <w:b w:val="0"/>
                <w:color w:val="000000"/>
                <w:sz w:val="18"/>
                <w:szCs w:val="18"/>
              </w:rPr>
              <w:t>5</w:t>
            </w:r>
          </w:p>
        </w:tc>
      </w:tr>
      <w:tr w:rsidR="004B410F" w:rsidRPr="008539EE" w14:paraId="05EF7288" w14:textId="77777777" w:rsidTr="003F088D">
        <w:trPr>
          <w:trHeight w:val="315"/>
        </w:trPr>
        <w:tc>
          <w:tcPr>
            <w:tcW w:w="3969" w:type="dxa"/>
            <w:tcBorders>
              <w:top w:val="single" w:sz="4" w:space="0" w:color="auto"/>
            </w:tcBorders>
            <w:shd w:val="clear" w:color="auto" w:fill="FFFFFF"/>
            <w:vAlign w:val="center"/>
            <w:hideMark/>
          </w:tcPr>
          <w:p w14:paraId="2841E6F7" w14:textId="77777777" w:rsidR="004B410F" w:rsidRPr="008539EE" w:rsidRDefault="004B410F" w:rsidP="003F088D">
            <w:pPr>
              <w:tabs>
                <w:tab w:val="left" w:pos="0"/>
              </w:tabs>
              <w:spacing w:line="240" w:lineRule="auto"/>
              <w:rPr>
                <w:rFonts w:cs="Calibri"/>
                <w:b w:val="0"/>
                <w:bCs/>
                <w:color w:val="000000"/>
                <w:sz w:val="18"/>
                <w:szCs w:val="18"/>
              </w:rPr>
            </w:pPr>
            <w:r w:rsidRPr="008539EE">
              <w:rPr>
                <w:rFonts w:cs="Calibri"/>
                <w:b w:val="0"/>
                <w:bCs/>
                <w:color w:val="000000"/>
                <w:sz w:val="18"/>
                <w:szCs w:val="18"/>
              </w:rPr>
              <w:t>1. Կրթություն</w:t>
            </w:r>
          </w:p>
        </w:tc>
        <w:tc>
          <w:tcPr>
            <w:tcW w:w="992" w:type="dxa"/>
            <w:tcBorders>
              <w:top w:val="single" w:sz="4" w:space="0" w:color="auto"/>
            </w:tcBorders>
            <w:shd w:val="clear" w:color="auto" w:fill="auto"/>
            <w:vAlign w:val="center"/>
            <w:hideMark/>
          </w:tcPr>
          <w:p w14:paraId="03465984" w14:textId="77777777" w:rsidR="004B410F" w:rsidRPr="008539EE" w:rsidRDefault="004B410F" w:rsidP="003F088D">
            <w:pPr>
              <w:tabs>
                <w:tab w:val="left" w:pos="0"/>
                <w:tab w:val="left" w:pos="550"/>
              </w:tabs>
              <w:spacing w:line="240" w:lineRule="auto"/>
              <w:jc w:val="center"/>
              <w:rPr>
                <w:rFonts w:cs="Calibri"/>
                <w:b w:val="0"/>
                <w:bCs/>
                <w:color w:val="000000"/>
                <w:sz w:val="18"/>
                <w:szCs w:val="18"/>
              </w:rPr>
            </w:pPr>
            <w:r w:rsidRPr="008539EE">
              <w:rPr>
                <w:rFonts w:cs="Calibri"/>
                <w:b w:val="0"/>
                <w:bCs/>
                <w:color w:val="000000"/>
                <w:sz w:val="18"/>
                <w:szCs w:val="18"/>
              </w:rPr>
              <w:t>143.8</w:t>
            </w:r>
          </w:p>
        </w:tc>
        <w:tc>
          <w:tcPr>
            <w:tcW w:w="772" w:type="dxa"/>
            <w:tcBorders>
              <w:top w:val="single" w:sz="4" w:space="0" w:color="auto"/>
            </w:tcBorders>
            <w:shd w:val="clear" w:color="auto" w:fill="auto"/>
            <w:vAlign w:val="center"/>
            <w:hideMark/>
          </w:tcPr>
          <w:p w14:paraId="3CE4D0E1"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149.1</w:t>
            </w:r>
          </w:p>
        </w:tc>
        <w:tc>
          <w:tcPr>
            <w:tcW w:w="896" w:type="dxa"/>
            <w:tcBorders>
              <w:top w:val="single" w:sz="4" w:space="0" w:color="auto"/>
            </w:tcBorders>
            <w:shd w:val="clear" w:color="auto" w:fill="auto"/>
            <w:vAlign w:val="center"/>
            <w:hideMark/>
          </w:tcPr>
          <w:p w14:paraId="312E1CDC"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165.4</w:t>
            </w:r>
          </w:p>
        </w:tc>
        <w:tc>
          <w:tcPr>
            <w:tcW w:w="992" w:type="dxa"/>
            <w:tcBorders>
              <w:top w:val="single" w:sz="4" w:space="0" w:color="auto"/>
            </w:tcBorders>
            <w:shd w:val="clear" w:color="auto" w:fill="auto"/>
            <w:vAlign w:val="center"/>
            <w:hideMark/>
          </w:tcPr>
          <w:p w14:paraId="5115FB96"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211.9</w:t>
            </w:r>
          </w:p>
        </w:tc>
        <w:tc>
          <w:tcPr>
            <w:tcW w:w="425" w:type="dxa"/>
            <w:tcBorders>
              <w:top w:val="single" w:sz="4" w:space="0" w:color="auto"/>
            </w:tcBorders>
            <w:shd w:val="clear" w:color="auto" w:fill="auto"/>
            <w:vAlign w:val="center"/>
          </w:tcPr>
          <w:p w14:paraId="53619743" w14:textId="77777777" w:rsidR="004B410F" w:rsidRPr="008539EE" w:rsidRDefault="004B410F" w:rsidP="003F088D">
            <w:pPr>
              <w:tabs>
                <w:tab w:val="left" w:pos="0"/>
              </w:tabs>
              <w:spacing w:line="240" w:lineRule="auto"/>
              <w:jc w:val="center"/>
              <w:rPr>
                <w:rFonts w:cs="Calibri"/>
                <w:b w:val="0"/>
                <w:bCs/>
                <w:color w:val="000000"/>
                <w:sz w:val="18"/>
                <w:szCs w:val="18"/>
              </w:rPr>
            </w:pPr>
          </w:p>
        </w:tc>
        <w:tc>
          <w:tcPr>
            <w:tcW w:w="1134" w:type="dxa"/>
            <w:tcBorders>
              <w:top w:val="single" w:sz="4" w:space="0" w:color="auto"/>
            </w:tcBorders>
            <w:shd w:val="clear" w:color="auto" w:fill="auto"/>
            <w:vAlign w:val="center"/>
            <w:hideMark/>
          </w:tcPr>
          <w:p w14:paraId="61F4C326"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290.7</w:t>
            </w:r>
          </w:p>
        </w:tc>
      </w:tr>
      <w:tr w:rsidR="004B410F" w:rsidRPr="008539EE" w14:paraId="181E5356" w14:textId="77777777" w:rsidTr="003F088D">
        <w:trPr>
          <w:trHeight w:val="315"/>
        </w:trPr>
        <w:tc>
          <w:tcPr>
            <w:tcW w:w="3969" w:type="dxa"/>
            <w:shd w:val="clear" w:color="auto" w:fill="FFFFFF"/>
            <w:vAlign w:val="center"/>
          </w:tcPr>
          <w:p w14:paraId="4E098A32" w14:textId="77777777" w:rsidR="004B410F" w:rsidRPr="008539EE" w:rsidRDefault="004B410F" w:rsidP="003F088D">
            <w:pPr>
              <w:tabs>
                <w:tab w:val="left" w:pos="0"/>
              </w:tabs>
              <w:spacing w:line="240" w:lineRule="auto"/>
              <w:ind w:left="227"/>
              <w:rPr>
                <w:rFonts w:cs="Calibri"/>
                <w:b w:val="0"/>
                <w:color w:val="000000"/>
                <w:sz w:val="18"/>
                <w:szCs w:val="18"/>
              </w:rPr>
            </w:pPr>
            <w:r w:rsidRPr="008539EE">
              <w:rPr>
                <w:rFonts w:cs="Calibri"/>
                <w:b w:val="0"/>
                <w:color w:val="000000"/>
                <w:sz w:val="18"/>
                <w:szCs w:val="18"/>
              </w:rPr>
              <w:t>ՀՆԱ-ի նկատմամբ (%)</w:t>
            </w:r>
          </w:p>
        </w:tc>
        <w:tc>
          <w:tcPr>
            <w:tcW w:w="992" w:type="dxa"/>
            <w:shd w:val="clear" w:color="auto" w:fill="auto"/>
            <w:vAlign w:val="center"/>
            <w:hideMark/>
          </w:tcPr>
          <w:p w14:paraId="5F07823E" w14:textId="77777777" w:rsidR="004B410F" w:rsidRPr="008539EE" w:rsidRDefault="004B410F" w:rsidP="003F088D">
            <w:pPr>
              <w:tabs>
                <w:tab w:val="left" w:pos="0"/>
                <w:tab w:val="left" w:pos="550"/>
              </w:tabs>
              <w:spacing w:line="240" w:lineRule="auto"/>
              <w:jc w:val="center"/>
              <w:rPr>
                <w:rFonts w:cs="Calibri"/>
                <w:b w:val="0"/>
                <w:color w:val="000000"/>
                <w:sz w:val="18"/>
                <w:szCs w:val="18"/>
              </w:rPr>
            </w:pPr>
            <w:r w:rsidRPr="008539EE">
              <w:rPr>
                <w:rFonts w:cs="Calibri"/>
                <w:b w:val="0"/>
                <w:color w:val="000000"/>
                <w:sz w:val="18"/>
                <w:szCs w:val="18"/>
              </w:rPr>
              <w:t>2.3</w:t>
            </w:r>
          </w:p>
        </w:tc>
        <w:tc>
          <w:tcPr>
            <w:tcW w:w="772" w:type="dxa"/>
            <w:shd w:val="clear" w:color="auto" w:fill="auto"/>
            <w:vAlign w:val="center"/>
            <w:hideMark/>
          </w:tcPr>
          <w:p w14:paraId="3E1C7BCF"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2.3</w:t>
            </w:r>
          </w:p>
        </w:tc>
        <w:tc>
          <w:tcPr>
            <w:tcW w:w="896" w:type="dxa"/>
            <w:shd w:val="clear" w:color="auto" w:fill="auto"/>
            <w:vAlign w:val="center"/>
            <w:hideMark/>
          </w:tcPr>
          <w:p w14:paraId="65C694A1"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1,9</w:t>
            </w:r>
          </w:p>
        </w:tc>
        <w:tc>
          <w:tcPr>
            <w:tcW w:w="992" w:type="dxa"/>
            <w:shd w:val="clear" w:color="auto" w:fill="auto"/>
            <w:vAlign w:val="center"/>
            <w:hideMark/>
          </w:tcPr>
          <w:p w14:paraId="0E40DBED" w14:textId="77777777" w:rsidR="004B410F" w:rsidRPr="008539EE" w:rsidRDefault="004B410F" w:rsidP="003F088D">
            <w:pPr>
              <w:tabs>
                <w:tab w:val="left" w:pos="0"/>
              </w:tabs>
              <w:spacing w:line="240" w:lineRule="auto"/>
              <w:jc w:val="center"/>
              <w:rPr>
                <w:rFonts w:cs="Calibri"/>
                <w:b w:val="0"/>
                <w:color w:val="000000"/>
                <w:sz w:val="18"/>
                <w:szCs w:val="18"/>
                <w:highlight w:val="yellow"/>
              </w:rPr>
            </w:pPr>
            <w:r w:rsidRPr="008539EE">
              <w:rPr>
                <w:rFonts w:cs="Calibri"/>
                <w:b w:val="0"/>
                <w:color w:val="000000"/>
                <w:sz w:val="18"/>
                <w:szCs w:val="18"/>
              </w:rPr>
              <w:t>2.3</w:t>
            </w:r>
          </w:p>
        </w:tc>
        <w:tc>
          <w:tcPr>
            <w:tcW w:w="425" w:type="dxa"/>
            <w:shd w:val="clear" w:color="auto" w:fill="auto"/>
            <w:vAlign w:val="center"/>
          </w:tcPr>
          <w:p w14:paraId="6941DB1A"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shd w:val="clear" w:color="auto" w:fill="auto"/>
            <w:vAlign w:val="center"/>
            <w:hideMark/>
          </w:tcPr>
          <w:p w14:paraId="1E7F63A4"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2.8</w:t>
            </w:r>
          </w:p>
        </w:tc>
      </w:tr>
      <w:tr w:rsidR="004B410F" w:rsidRPr="008539EE" w14:paraId="4C2601D3" w14:textId="77777777" w:rsidTr="003F088D">
        <w:trPr>
          <w:trHeight w:val="315"/>
        </w:trPr>
        <w:tc>
          <w:tcPr>
            <w:tcW w:w="3969" w:type="dxa"/>
            <w:tcBorders>
              <w:bottom w:val="single" w:sz="4" w:space="0" w:color="auto"/>
            </w:tcBorders>
            <w:shd w:val="clear" w:color="auto" w:fill="FFFFFF"/>
            <w:vAlign w:val="center"/>
          </w:tcPr>
          <w:p w14:paraId="5E6FCC07" w14:textId="77777777" w:rsidR="004B410F" w:rsidRPr="008539EE" w:rsidRDefault="004B410F" w:rsidP="003F088D">
            <w:pPr>
              <w:tabs>
                <w:tab w:val="left" w:pos="0"/>
              </w:tabs>
              <w:spacing w:line="240" w:lineRule="auto"/>
              <w:ind w:left="227"/>
              <w:rPr>
                <w:rFonts w:cs="Calibri"/>
                <w:b w:val="0"/>
                <w:color w:val="000000"/>
                <w:sz w:val="18"/>
                <w:szCs w:val="18"/>
              </w:rPr>
            </w:pPr>
            <w:r w:rsidRPr="008539EE">
              <w:rPr>
                <w:rFonts w:cs="Calibri"/>
                <w:b w:val="0"/>
                <w:color w:val="000000"/>
                <w:sz w:val="18"/>
                <w:szCs w:val="18"/>
              </w:rPr>
              <w:t>Ընդհանուր ծախսերում (%)</w:t>
            </w:r>
          </w:p>
        </w:tc>
        <w:tc>
          <w:tcPr>
            <w:tcW w:w="992" w:type="dxa"/>
            <w:tcBorders>
              <w:bottom w:val="single" w:sz="4" w:space="0" w:color="auto"/>
            </w:tcBorders>
            <w:shd w:val="clear" w:color="auto" w:fill="auto"/>
            <w:vAlign w:val="center"/>
            <w:hideMark/>
          </w:tcPr>
          <w:p w14:paraId="01F314D2" w14:textId="77777777" w:rsidR="004B410F" w:rsidRPr="008539EE" w:rsidRDefault="004B410F" w:rsidP="003F088D">
            <w:pPr>
              <w:tabs>
                <w:tab w:val="left" w:pos="0"/>
                <w:tab w:val="left" w:pos="550"/>
              </w:tabs>
              <w:spacing w:line="240" w:lineRule="auto"/>
              <w:jc w:val="center"/>
              <w:rPr>
                <w:rFonts w:cs="Calibri"/>
                <w:b w:val="0"/>
                <w:color w:val="000000"/>
                <w:sz w:val="18"/>
                <w:szCs w:val="18"/>
              </w:rPr>
            </w:pPr>
            <w:r w:rsidRPr="008539EE">
              <w:rPr>
                <w:rFonts w:cs="Calibri"/>
                <w:b w:val="0"/>
                <w:color w:val="000000"/>
                <w:sz w:val="18"/>
                <w:szCs w:val="18"/>
              </w:rPr>
              <w:t>7.</w:t>
            </w:r>
            <w:r>
              <w:rPr>
                <w:rFonts w:cs="Calibri"/>
                <w:b w:val="0"/>
                <w:color w:val="000000"/>
                <w:sz w:val="18"/>
                <w:szCs w:val="18"/>
              </w:rPr>
              <w:t>5</w:t>
            </w:r>
          </w:p>
        </w:tc>
        <w:tc>
          <w:tcPr>
            <w:tcW w:w="772" w:type="dxa"/>
            <w:tcBorders>
              <w:bottom w:val="single" w:sz="4" w:space="0" w:color="auto"/>
            </w:tcBorders>
            <w:shd w:val="clear" w:color="auto" w:fill="auto"/>
            <w:vAlign w:val="center"/>
            <w:hideMark/>
          </w:tcPr>
          <w:p w14:paraId="65725B75"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7.4</w:t>
            </w:r>
          </w:p>
        </w:tc>
        <w:tc>
          <w:tcPr>
            <w:tcW w:w="896" w:type="dxa"/>
            <w:tcBorders>
              <w:bottom w:val="single" w:sz="4" w:space="0" w:color="auto"/>
            </w:tcBorders>
            <w:shd w:val="clear" w:color="auto" w:fill="auto"/>
            <w:vAlign w:val="center"/>
            <w:hideMark/>
          </w:tcPr>
          <w:p w14:paraId="6F2B86EC"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7.</w:t>
            </w:r>
            <w:r>
              <w:rPr>
                <w:rFonts w:cs="Calibri"/>
                <w:b w:val="0"/>
                <w:color w:val="000000"/>
                <w:sz w:val="18"/>
                <w:szCs w:val="18"/>
              </w:rPr>
              <w:t>3</w:t>
            </w:r>
          </w:p>
        </w:tc>
        <w:tc>
          <w:tcPr>
            <w:tcW w:w="992" w:type="dxa"/>
            <w:tcBorders>
              <w:bottom w:val="single" w:sz="4" w:space="0" w:color="auto"/>
            </w:tcBorders>
            <w:shd w:val="clear" w:color="auto" w:fill="auto"/>
            <w:vAlign w:val="center"/>
            <w:hideMark/>
          </w:tcPr>
          <w:p w14:paraId="73E40065" w14:textId="77777777" w:rsidR="004B410F" w:rsidRPr="008539EE" w:rsidRDefault="004B410F" w:rsidP="003F088D">
            <w:pPr>
              <w:tabs>
                <w:tab w:val="left" w:pos="0"/>
              </w:tabs>
              <w:spacing w:line="240" w:lineRule="auto"/>
              <w:jc w:val="center"/>
              <w:rPr>
                <w:rFonts w:cs="Calibri"/>
                <w:b w:val="0"/>
                <w:color w:val="000000"/>
                <w:sz w:val="18"/>
                <w:szCs w:val="18"/>
                <w:highlight w:val="yellow"/>
              </w:rPr>
            </w:pPr>
            <w:r w:rsidRPr="008539EE">
              <w:rPr>
                <w:rFonts w:cs="Calibri"/>
                <w:b w:val="0"/>
                <w:color w:val="000000"/>
                <w:sz w:val="18"/>
                <w:szCs w:val="18"/>
              </w:rPr>
              <w:t>8.</w:t>
            </w:r>
            <w:r>
              <w:rPr>
                <w:rFonts w:cs="Calibri"/>
                <w:b w:val="0"/>
                <w:color w:val="000000"/>
                <w:sz w:val="18"/>
                <w:szCs w:val="18"/>
              </w:rPr>
              <w:t>0</w:t>
            </w:r>
          </w:p>
        </w:tc>
        <w:tc>
          <w:tcPr>
            <w:tcW w:w="425" w:type="dxa"/>
            <w:tcBorders>
              <w:bottom w:val="single" w:sz="4" w:space="0" w:color="auto"/>
            </w:tcBorders>
            <w:shd w:val="clear" w:color="auto" w:fill="auto"/>
            <w:vAlign w:val="center"/>
          </w:tcPr>
          <w:p w14:paraId="0CF01BDB"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tcBorders>
              <w:bottom w:val="single" w:sz="4" w:space="0" w:color="auto"/>
            </w:tcBorders>
            <w:shd w:val="clear" w:color="auto" w:fill="auto"/>
            <w:vAlign w:val="center"/>
            <w:hideMark/>
          </w:tcPr>
          <w:p w14:paraId="72694918"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9.1</w:t>
            </w:r>
          </w:p>
        </w:tc>
      </w:tr>
      <w:tr w:rsidR="004B410F" w:rsidRPr="003C7181" w14:paraId="463A17A9" w14:textId="77777777" w:rsidTr="003F088D">
        <w:trPr>
          <w:trHeight w:val="315"/>
        </w:trPr>
        <w:tc>
          <w:tcPr>
            <w:tcW w:w="3969" w:type="dxa"/>
            <w:tcBorders>
              <w:top w:val="single" w:sz="4" w:space="0" w:color="auto"/>
            </w:tcBorders>
            <w:shd w:val="clear" w:color="auto" w:fill="FFFFFF"/>
            <w:vAlign w:val="center"/>
            <w:hideMark/>
          </w:tcPr>
          <w:p w14:paraId="6920C8E7" w14:textId="77777777" w:rsidR="004B410F" w:rsidRPr="008539EE" w:rsidRDefault="004B410F" w:rsidP="003F088D">
            <w:pPr>
              <w:tabs>
                <w:tab w:val="left" w:pos="0"/>
              </w:tabs>
              <w:spacing w:line="240" w:lineRule="auto"/>
              <w:jc w:val="left"/>
              <w:rPr>
                <w:rFonts w:cs="Calibri"/>
                <w:b w:val="0"/>
                <w:bCs/>
                <w:color w:val="000000"/>
                <w:sz w:val="18"/>
                <w:szCs w:val="18"/>
              </w:rPr>
            </w:pPr>
            <w:r w:rsidRPr="008539EE">
              <w:rPr>
                <w:rFonts w:cs="Calibri"/>
                <w:b w:val="0"/>
                <w:bCs/>
                <w:color w:val="000000"/>
                <w:sz w:val="18"/>
                <w:szCs w:val="18"/>
              </w:rPr>
              <w:t>2. Սոցիալական պաշտպանություն</w:t>
            </w:r>
          </w:p>
        </w:tc>
        <w:tc>
          <w:tcPr>
            <w:tcW w:w="992" w:type="dxa"/>
            <w:tcBorders>
              <w:top w:val="single" w:sz="4" w:space="0" w:color="auto"/>
            </w:tcBorders>
            <w:shd w:val="clear" w:color="auto" w:fill="auto"/>
            <w:vAlign w:val="center"/>
            <w:hideMark/>
          </w:tcPr>
          <w:p w14:paraId="29C82A2C" w14:textId="77777777" w:rsidR="004B410F" w:rsidRPr="003C7181" w:rsidRDefault="004B410F" w:rsidP="003F088D">
            <w:pPr>
              <w:tabs>
                <w:tab w:val="left" w:pos="0"/>
                <w:tab w:val="left" w:pos="550"/>
              </w:tabs>
              <w:spacing w:line="240" w:lineRule="auto"/>
              <w:jc w:val="center"/>
              <w:rPr>
                <w:rFonts w:cs="Calibri"/>
                <w:b w:val="0"/>
                <w:bCs/>
                <w:color w:val="000000"/>
                <w:sz w:val="18"/>
                <w:szCs w:val="18"/>
                <w:lang w:val="en-US"/>
              </w:rPr>
            </w:pPr>
            <w:r w:rsidRPr="008539EE">
              <w:rPr>
                <w:rFonts w:cs="Calibri"/>
                <w:b w:val="0"/>
                <w:bCs/>
                <w:color w:val="000000"/>
                <w:sz w:val="18"/>
                <w:szCs w:val="18"/>
              </w:rPr>
              <w:t>5</w:t>
            </w:r>
            <w:r>
              <w:rPr>
                <w:rFonts w:cs="Calibri"/>
                <w:b w:val="0"/>
                <w:bCs/>
                <w:color w:val="000000"/>
                <w:sz w:val="18"/>
                <w:szCs w:val="18"/>
                <w:lang w:val="en-US"/>
              </w:rPr>
              <w:t>59</w:t>
            </w:r>
            <w:r w:rsidRPr="008539EE">
              <w:rPr>
                <w:rFonts w:cs="Calibri"/>
                <w:b w:val="0"/>
                <w:bCs/>
                <w:color w:val="000000"/>
                <w:sz w:val="18"/>
                <w:szCs w:val="18"/>
              </w:rPr>
              <w:t>.</w:t>
            </w:r>
            <w:r>
              <w:rPr>
                <w:rFonts w:cs="Calibri"/>
                <w:b w:val="0"/>
                <w:bCs/>
                <w:color w:val="000000"/>
                <w:sz w:val="18"/>
                <w:szCs w:val="18"/>
                <w:lang w:val="en-US"/>
              </w:rPr>
              <w:t>9</w:t>
            </w:r>
          </w:p>
        </w:tc>
        <w:tc>
          <w:tcPr>
            <w:tcW w:w="772" w:type="dxa"/>
            <w:tcBorders>
              <w:top w:val="single" w:sz="4" w:space="0" w:color="auto"/>
            </w:tcBorders>
            <w:shd w:val="clear" w:color="auto" w:fill="auto"/>
            <w:vAlign w:val="center"/>
            <w:hideMark/>
          </w:tcPr>
          <w:p w14:paraId="7F06B52B" w14:textId="77777777" w:rsidR="004B410F" w:rsidRPr="003C7181" w:rsidRDefault="004B410F" w:rsidP="003F088D">
            <w:pPr>
              <w:tabs>
                <w:tab w:val="left" w:pos="0"/>
              </w:tabs>
              <w:spacing w:line="240" w:lineRule="auto"/>
              <w:jc w:val="center"/>
              <w:rPr>
                <w:rFonts w:cs="Calibri"/>
                <w:b w:val="0"/>
                <w:bCs/>
                <w:color w:val="000000"/>
                <w:sz w:val="18"/>
                <w:szCs w:val="18"/>
                <w:lang w:val="en-US"/>
              </w:rPr>
            </w:pPr>
            <w:r w:rsidRPr="008539EE">
              <w:rPr>
                <w:rFonts w:cs="Calibri"/>
                <w:b w:val="0"/>
                <w:bCs/>
                <w:color w:val="000000"/>
                <w:sz w:val="18"/>
                <w:szCs w:val="18"/>
              </w:rPr>
              <w:t>6</w:t>
            </w:r>
            <w:r>
              <w:rPr>
                <w:rFonts w:cs="Calibri"/>
                <w:b w:val="0"/>
                <w:bCs/>
                <w:color w:val="000000"/>
                <w:sz w:val="18"/>
                <w:szCs w:val="18"/>
                <w:lang w:val="en-US"/>
              </w:rPr>
              <w:t>42.7</w:t>
            </w:r>
          </w:p>
        </w:tc>
        <w:tc>
          <w:tcPr>
            <w:tcW w:w="896" w:type="dxa"/>
            <w:tcBorders>
              <w:top w:val="single" w:sz="4" w:space="0" w:color="auto"/>
            </w:tcBorders>
            <w:shd w:val="clear" w:color="auto" w:fill="auto"/>
            <w:vAlign w:val="center"/>
            <w:hideMark/>
          </w:tcPr>
          <w:p w14:paraId="3F6134FF" w14:textId="77777777" w:rsidR="004B410F" w:rsidRPr="003C7181" w:rsidRDefault="004B410F" w:rsidP="003F088D">
            <w:pPr>
              <w:tabs>
                <w:tab w:val="left" w:pos="0"/>
              </w:tabs>
              <w:spacing w:line="240" w:lineRule="auto"/>
              <w:jc w:val="center"/>
              <w:rPr>
                <w:rFonts w:cs="Calibri"/>
                <w:b w:val="0"/>
                <w:bCs/>
                <w:color w:val="000000"/>
                <w:sz w:val="18"/>
                <w:szCs w:val="18"/>
                <w:lang w:val="en-US"/>
              </w:rPr>
            </w:pPr>
            <w:r w:rsidRPr="003C7181">
              <w:rPr>
                <w:rFonts w:cs="Calibri"/>
                <w:b w:val="0"/>
                <w:bCs/>
                <w:color w:val="000000"/>
                <w:sz w:val="18"/>
                <w:szCs w:val="18"/>
                <w:lang w:val="en-US"/>
              </w:rPr>
              <w:t>6</w:t>
            </w:r>
            <w:r>
              <w:rPr>
                <w:rFonts w:cs="Calibri"/>
                <w:b w:val="0"/>
                <w:bCs/>
                <w:color w:val="000000"/>
                <w:sz w:val="18"/>
                <w:szCs w:val="18"/>
                <w:lang w:val="en-US"/>
              </w:rPr>
              <w:t>51.0</w:t>
            </w:r>
          </w:p>
        </w:tc>
        <w:tc>
          <w:tcPr>
            <w:tcW w:w="992" w:type="dxa"/>
            <w:tcBorders>
              <w:top w:val="single" w:sz="4" w:space="0" w:color="auto"/>
            </w:tcBorders>
            <w:shd w:val="clear" w:color="auto" w:fill="auto"/>
            <w:vAlign w:val="center"/>
            <w:hideMark/>
          </w:tcPr>
          <w:p w14:paraId="0F3AF694" w14:textId="77777777" w:rsidR="004B410F" w:rsidRPr="003C7181" w:rsidRDefault="004B410F" w:rsidP="003F088D">
            <w:pPr>
              <w:tabs>
                <w:tab w:val="left" w:pos="0"/>
              </w:tabs>
              <w:spacing w:line="240" w:lineRule="auto"/>
              <w:jc w:val="center"/>
              <w:rPr>
                <w:rFonts w:cs="Calibri"/>
                <w:b w:val="0"/>
                <w:bCs/>
                <w:color w:val="000000"/>
                <w:sz w:val="18"/>
                <w:szCs w:val="18"/>
                <w:lang w:val="en-US"/>
              </w:rPr>
            </w:pPr>
            <w:r>
              <w:rPr>
                <w:rFonts w:cs="Calibri"/>
                <w:b w:val="0"/>
                <w:bCs/>
                <w:color w:val="000000"/>
                <w:sz w:val="18"/>
                <w:szCs w:val="18"/>
                <w:lang w:val="en-US"/>
              </w:rPr>
              <w:t>706</w:t>
            </w:r>
            <w:r w:rsidRPr="003C7181">
              <w:rPr>
                <w:rFonts w:cs="Calibri"/>
                <w:b w:val="0"/>
                <w:bCs/>
                <w:color w:val="000000"/>
                <w:sz w:val="18"/>
                <w:szCs w:val="18"/>
                <w:lang w:val="en-US"/>
              </w:rPr>
              <w:t>.5</w:t>
            </w:r>
          </w:p>
        </w:tc>
        <w:tc>
          <w:tcPr>
            <w:tcW w:w="425" w:type="dxa"/>
            <w:tcBorders>
              <w:top w:val="single" w:sz="4" w:space="0" w:color="auto"/>
            </w:tcBorders>
            <w:shd w:val="clear" w:color="auto" w:fill="auto"/>
            <w:vAlign w:val="center"/>
          </w:tcPr>
          <w:p w14:paraId="64123A5F" w14:textId="77777777" w:rsidR="004B410F" w:rsidRPr="003C7181" w:rsidRDefault="004B410F" w:rsidP="003F088D">
            <w:pPr>
              <w:tabs>
                <w:tab w:val="left" w:pos="0"/>
              </w:tabs>
              <w:spacing w:line="240" w:lineRule="auto"/>
              <w:jc w:val="center"/>
              <w:rPr>
                <w:rFonts w:cs="Calibri"/>
                <w:b w:val="0"/>
                <w:bCs/>
                <w:color w:val="000000"/>
                <w:sz w:val="18"/>
                <w:szCs w:val="18"/>
                <w:lang w:val="en-US"/>
              </w:rPr>
            </w:pPr>
          </w:p>
        </w:tc>
        <w:tc>
          <w:tcPr>
            <w:tcW w:w="1134" w:type="dxa"/>
            <w:tcBorders>
              <w:top w:val="single" w:sz="4" w:space="0" w:color="auto"/>
            </w:tcBorders>
            <w:shd w:val="clear" w:color="auto" w:fill="auto"/>
            <w:vAlign w:val="center"/>
            <w:hideMark/>
          </w:tcPr>
          <w:p w14:paraId="2A56279A" w14:textId="77777777" w:rsidR="004B410F" w:rsidRPr="003C7181" w:rsidRDefault="004B410F" w:rsidP="003F088D">
            <w:pPr>
              <w:jc w:val="center"/>
              <w:rPr>
                <w:rFonts w:cs="Calibri"/>
                <w:b w:val="0"/>
                <w:color w:val="000000"/>
                <w:sz w:val="18"/>
                <w:szCs w:val="18"/>
                <w:lang w:val="en-US"/>
              </w:rPr>
            </w:pPr>
            <w:r w:rsidRPr="003C7181">
              <w:rPr>
                <w:rFonts w:cs="Calibri"/>
                <w:b w:val="0"/>
                <w:color w:val="000000"/>
                <w:sz w:val="18"/>
                <w:szCs w:val="18"/>
                <w:lang w:val="en-US"/>
              </w:rPr>
              <w:t>794.5</w:t>
            </w:r>
          </w:p>
        </w:tc>
      </w:tr>
      <w:tr w:rsidR="004B410F" w:rsidRPr="003C7181" w14:paraId="24ED7BDE" w14:textId="77777777" w:rsidTr="003F088D">
        <w:trPr>
          <w:trHeight w:val="315"/>
        </w:trPr>
        <w:tc>
          <w:tcPr>
            <w:tcW w:w="3969" w:type="dxa"/>
            <w:shd w:val="clear" w:color="auto" w:fill="FFFFFF"/>
            <w:vAlign w:val="center"/>
            <w:hideMark/>
          </w:tcPr>
          <w:p w14:paraId="3DAA8AA2" w14:textId="77777777" w:rsidR="004B410F" w:rsidRPr="003C7181" w:rsidRDefault="004B410F" w:rsidP="003F088D">
            <w:pPr>
              <w:tabs>
                <w:tab w:val="left" w:pos="0"/>
              </w:tabs>
              <w:spacing w:line="240" w:lineRule="auto"/>
              <w:ind w:left="227"/>
              <w:rPr>
                <w:rFonts w:cs="Calibri"/>
                <w:b w:val="0"/>
                <w:bCs/>
                <w:color w:val="000000"/>
                <w:sz w:val="18"/>
                <w:szCs w:val="18"/>
                <w:lang w:val="en-US"/>
              </w:rPr>
            </w:pPr>
            <w:r w:rsidRPr="008539EE">
              <w:rPr>
                <w:rFonts w:cs="Calibri"/>
                <w:b w:val="0"/>
                <w:color w:val="000000"/>
                <w:sz w:val="18"/>
                <w:szCs w:val="18"/>
              </w:rPr>
              <w:t>ՀՆԱ</w:t>
            </w:r>
            <w:r w:rsidRPr="003C7181">
              <w:rPr>
                <w:rFonts w:cs="Calibri"/>
                <w:b w:val="0"/>
                <w:color w:val="000000"/>
                <w:sz w:val="18"/>
                <w:szCs w:val="18"/>
                <w:lang w:val="en-US"/>
              </w:rPr>
              <w:t>-</w:t>
            </w:r>
            <w:r w:rsidRPr="008539EE">
              <w:rPr>
                <w:rFonts w:cs="Calibri"/>
                <w:b w:val="0"/>
                <w:color w:val="000000"/>
                <w:sz w:val="18"/>
                <w:szCs w:val="18"/>
              </w:rPr>
              <w:t>ի</w:t>
            </w:r>
            <w:r w:rsidRPr="003C7181">
              <w:rPr>
                <w:rFonts w:cs="Calibri"/>
                <w:b w:val="0"/>
                <w:color w:val="000000"/>
                <w:sz w:val="18"/>
                <w:szCs w:val="18"/>
                <w:lang w:val="en-US"/>
              </w:rPr>
              <w:t xml:space="preserve"> </w:t>
            </w:r>
            <w:r w:rsidRPr="008539EE">
              <w:rPr>
                <w:rFonts w:cs="Calibri"/>
                <w:b w:val="0"/>
                <w:color w:val="000000"/>
                <w:sz w:val="18"/>
                <w:szCs w:val="18"/>
              </w:rPr>
              <w:t>նկատմամբ</w:t>
            </w:r>
            <w:r w:rsidRPr="003C7181">
              <w:rPr>
                <w:rFonts w:cs="Calibri"/>
                <w:b w:val="0"/>
                <w:color w:val="000000"/>
                <w:sz w:val="18"/>
                <w:szCs w:val="18"/>
                <w:lang w:val="en-US"/>
              </w:rPr>
              <w:t xml:space="preserve"> (%)</w:t>
            </w:r>
          </w:p>
        </w:tc>
        <w:tc>
          <w:tcPr>
            <w:tcW w:w="992" w:type="dxa"/>
            <w:shd w:val="clear" w:color="auto" w:fill="auto"/>
            <w:vAlign w:val="center"/>
            <w:hideMark/>
          </w:tcPr>
          <w:p w14:paraId="52953354" w14:textId="77777777" w:rsidR="004B410F" w:rsidRPr="003C7181" w:rsidRDefault="004B410F" w:rsidP="003F088D">
            <w:pPr>
              <w:tabs>
                <w:tab w:val="left" w:pos="0"/>
                <w:tab w:val="left" w:pos="550"/>
              </w:tabs>
              <w:spacing w:line="240" w:lineRule="auto"/>
              <w:jc w:val="center"/>
              <w:rPr>
                <w:rFonts w:cs="Calibri"/>
                <w:b w:val="0"/>
                <w:color w:val="000000"/>
                <w:sz w:val="18"/>
                <w:szCs w:val="18"/>
                <w:lang w:val="en-US"/>
              </w:rPr>
            </w:pPr>
            <w:r>
              <w:rPr>
                <w:rFonts w:cs="Calibri"/>
                <w:b w:val="0"/>
                <w:bCs/>
                <w:color w:val="000000"/>
                <w:sz w:val="18"/>
                <w:szCs w:val="18"/>
                <w:lang w:val="en-US"/>
              </w:rPr>
              <w:t>9.1</w:t>
            </w:r>
          </w:p>
        </w:tc>
        <w:tc>
          <w:tcPr>
            <w:tcW w:w="772" w:type="dxa"/>
            <w:shd w:val="clear" w:color="auto" w:fill="auto"/>
            <w:vAlign w:val="center"/>
            <w:hideMark/>
          </w:tcPr>
          <w:p w14:paraId="40DF0C7C" w14:textId="77777777" w:rsidR="004B410F" w:rsidRPr="003C7181" w:rsidRDefault="004B410F" w:rsidP="003F088D">
            <w:pPr>
              <w:tabs>
                <w:tab w:val="left" w:pos="0"/>
              </w:tabs>
              <w:spacing w:line="240" w:lineRule="auto"/>
              <w:jc w:val="center"/>
              <w:rPr>
                <w:rFonts w:cs="Calibri"/>
                <w:b w:val="0"/>
                <w:color w:val="000000"/>
                <w:sz w:val="18"/>
                <w:szCs w:val="18"/>
                <w:lang w:val="en-US"/>
              </w:rPr>
            </w:pPr>
            <w:r>
              <w:rPr>
                <w:rFonts w:cs="Calibri"/>
                <w:b w:val="0"/>
                <w:bCs/>
                <w:color w:val="000000"/>
                <w:sz w:val="18"/>
                <w:szCs w:val="18"/>
                <w:lang w:val="en-US"/>
              </w:rPr>
              <w:t>9.1</w:t>
            </w:r>
          </w:p>
        </w:tc>
        <w:tc>
          <w:tcPr>
            <w:tcW w:w="896" w:type="dxa"/>
            <w:shd w:val="clear" w:color="auto" w:fill="auto"/>
            <w:vAlign w:val="center"/>
            <w:hideMark/>
          </w:tcPr>
          <w:p w14:paraId="47EECB43" w14:textId="77777777" w:rsidR="004B410F" w:rsidRPr="003C7181" w:rsidRDefault="004B410F" w:rsidP="003F088D">
            <w:pPr>
              <w:tabs>
                <w:tab w:val="left" w:pos="0"/>
              </w:tabs>
              <w:spacing w:line="240" w:lineRule="auto"/>
              <w:jc w:val="center"/>
              <w:rPr>
                <w:rFonts w:cs="Calibri"/>
                <w:b w:val="0"/>
                <w:color w:val="000000"/>
                <w:sz w:val="18"/>
                <w:szCs w:val="18"/>
                <w:lang w:val="en-US"/>
              </w:rPr>
            </w:pPr>
            <w:r w:rsidRPr="003C7181">
              <w:rPr>
                <w:rFonts w:cs="Calibri"/>
                <w:b w:val="0"/>
                <w:bCs/>
                <w:color w:val="000000"/>
                <w:sz w:val="18"/>
                <w:szCs w:val="18"/>
                <w:lang w:val="en-US"/>
              </w:rPr>
              <w:t>7.</w:t>
            </w:r>
            <w:r>
              <w:rPr>
                <w:rFonts w:cs="Calibri"/>
                <w:b w:val="0"/>
                <w:bCs/>
                <w:color w:val="000000"/>
                <w:sz w:val="18"/>
                <w:szCs w:val="18"/>
                <w:lang w:val="en-US"/>
              </w:rPr>
              <w:t>7</w:t>
            </w:r>
          </w:p>
        </w:tc>
        <w:tc>
          <w:tcPr>
            <w:tcW w:w="992" w:type="dxa"/>
            <w:shd w:val="clear" w:color="auto" w:fill="auto"/>
            <w:vAlign w:val="center"/>
            <w:hideMark/>
          </w:tcPr>
          <w:p w14:paraId="2EF8977E" w14:textId="77777777" w:rsidR="004B410F" w:rsidRPr="003C7181" w:rsidRDefault="004B410F" w:rsidP="003F088D">
            <w:pPr>
              <w:tabs>
                <w:tab w:val="left" w:pos="0"/>
              </w:tabs>
              <w:spacing w:line="240" w:lineRule="auto"/>
              <w:jc w:val="center"/>
              <w:rPr>
                <w:rFonts w:cs="Calibri"/>
                <w:b w:val="0"/>
                <w:color w:val="000000"/>
                <w:sz w:val="18"/>
                <w:szCs w:val="18"/>
                <w:highlight w:val="yellow"/>
                <w:lang w:val="en-US"/>
              </w:rPr>
            </w:pPr>
            <w:r w:rsidRPr="003C7181">
              <w:rPr>
                <w:rFonts w:cs="Calibri"/>
                <w:b w:val="0"/>
                <w:color w:val="000000"/>
                <w:sz w:val="18"/>
                <w:szCs w:val="18"/>
                <w:lang w:val="en-US"/>
              </w:rPr>
              <w:t>7.</w:t>
            </w:r>
            <w:r>
              <w:rPr>
                <w:rFonts w:cs="Calibri"/>
                <w:b w:val="0"/>
                <w:color w:val="000000"/>
                <w:sz w:val="18"/>
                <w:szCs w:val="18"/>
                <w:lang w:val="en-US"/>
              </w:rPr>
              <w:t>5</w:t>
            </w:r>
          </w:p>
        </w:tc>
        <w:tc>
          <w:tcPr>
            <w:tcW w:w="425" w:type="dxa"/>
            <w:shd w:val="clear" w:color="auto" w:fill="auto"/>
            <w:vAlign w:val="center"/>
          </w:tcPr>
          <w:p w14:paraId="11D88190" w14:textId="77777777" w:rsidR="004B410F" w:rsidRPr="003C7181" w:rsidRDefault="004B410F" w:rsidP="003F088D">
            <w:pPr>
              <w:tabs>
                <w:tab w:val="left" w:pos="0"/>
              </w:tabs>
              <w:spacing w:line="240" w:lineRule="auto"/>
              <w:jc w:val="center"/>
              <w:rPr>
                <w:rFonts w:cs="Calibri"/>
                <w:b w:val="0"/>
                <w:color w:val="000000"/>
                <w:sz w:val="18"/>
                <w:szCs w:val="18"/>
                <w:lang w:val="en-US"/>
              </w:rPr>
            </w:pPr>
          </w:p>
        </w:tc>
        <w:tc>
          <w:tcPr>
            <w:tcW w:w="1134" w:type="dxa"/>
            <w:shd w:val="clear" w:color="auto" w:fill="auto"/>
            <w:vAlign w:val="center"/>
            <w:hideMark/>
          </w:tcPr>
          <w:p w14:paraId="39EF1B0C" w14:textId="77777777" w:rsidR="004B410F" w:rsidRPr="003C7181" w:rsidRDefault="004B410F" w:rsidP="003F088D">
            <w:pPr>
              <w:jc w:val="center"/>
              <w:rPr>
                <w:rFonts w:cs="Calibri"/>
                <w:b w:val="0"/>
                <w:color w:val="000000"/>
                <w:sz w:val="18"/>
                <w:szCs w:val="18"/>
                <w:lang w:val="en-US"/>
              </w:rPr>
            </w:pPr>
            <w:r w:rsidRPr="003C7181">
              <w:rPr>
                <w:rFonts w:cs="Calibri"/>
                <w:b w:val="0"/>
                <w:color w:val="000000"/>
                <w:sz w:val="18"/>
                <w:szCs w:val="18"/>
                <w:lang w:val="en-US"/>
              </w:rPr>
              <w:t>7.6</w:t>
            </w:r>
          </w:p>
        </w:tc>
      </w:tr>
      <w:tr w:rsidR="004B410F" w:rsidRPr="003C7181" w14:paraId="664B6581" w14:textId="77777777" w:rsidTr="003F088D">
        <w:trPr>
          <w:trHeight w:val="315"/>
        </w:trPr>
        <w:tc>
          <w:tcPr>
            <w:tcW w:w="3969" w:type="dxa"/>
            <w:tcBorders>
              <w:bottom w:val="single" w:sz="4" w:space="0" w:color="auto"/>
            </w:tcBorders>
            <w:shd w:val="clear" w:color="auto" w:fill="FFFFFF"/>
            <w:vAlign w:val="center"/>
            <w:hideMark/>
          </w:tcPr>
          <w:p w14:paraId="45B5CBB0" w14:textId="77777777" w:rsidR="004B410F" w:rsidRPr="003C7181" w:rsidRDefault="004B410F" w:rsidP="003F088D">
            <w:pPr>
              <w:tabs>
                <w:tab w:val="left" w:pos="0"/>
              </w:tabs>
              <w:spacing w:line="240" w:lineRule="auto"/>
              <w:ind w:left="227"/>
              <w:rPr>
                <w:rFonts w:cs="Calibri"/>
                <w:b w:val="0"/>
                <w:bCs/>
                <w:color w:val="000000"/>
                <w:sz w:val="18"/>
                <w:szCs w:val="18"/>
                <w:lang w:val="en-US"/>
              </w:rPr>
            </w:pPr>
            <w:r w:rsidRPr="008539EE">
              <w:rPr>
                <w:rFonts w:cs="Calibri"/>
                <w:b w:val="0"/>
                <w:color w:val="000000"/>
                <w:sz w:val="18"/>
                <w:szCs w:val="18"/>
              </w:rPr>
              <w:t>Ընդհանուր</w:t>
            </w:r>
            <w:r w:rsidRPr="003C7181">
              <w:rPr>
                <w:rFonts w:cs="Calibri"/>
                <w:b w:val="0"/>
                <w:color w:val="000000"/>
                <w:sz w:val="18"/>
                <w:szCs w:val="18"/>
                <w:lang w:val="en-US"/>
              </w:rPr>
              <w:t xml:space="preserve"> </w:t>
            </w:r>
            <w:r w:rsidRPr="008539EE">
              <w:rPr>
                <w:rFonts w:cs="Calibri"/>
                <w:b w:val="0"/>
                <w:color w:val="000000"/>
                <w:sz w:val="18"/>
                <w:szCs w:val="18"/>
              </w:rPr>
              <w:t>ծախսերում</w:t>
            </w:r>
            <w:r w:rsidRPr="003C7181">
              <w:rPr>
                <w:rFonts w:cs="Calibri"/>
                <w:b w:val="0"/>
                <w:color w:val="000000"/>
                <w:sz w:val="18"/>
                <w:szCs w:val="18"/>
                <w:lang w:val="en-US"/>
              </w:rPr>
              <w:t xml:space="preserve"> (%)</w:t>
            </w:r>
          </w:p>
        </w:tc>
        <w:tc>
          <w:tcPr>
            <w:tcW w:w="992" w:type="dxa"/>
            <w:tcBorders>
              <w:bottom w:val="single" w:sz="4" w:space="0" w:color="auto"/>
            </w:tcBorders>
            <w:shd w:val="clear" w:color="auto" w:fill="auto"/>
            <w:vAlign w:val="center"/>
            <w:hideMark/>
          </w:tcPr>
          <w:p w14:paraId="6A54092F" w14:textId="77777777" w:rsidR="004B410F" w:rsidRPr="003C7181" w:rsidRDefault="004B410F" w:rsidP="003F088D">
            <w:pPr>
              <w:tabs>
                <w:tab w:val="left" w:pos="0"/>
                <w:tab w:val="left" w:pos="550"/>
              </w:tabs>
              <w:spacing w:line="240" w:lineRule="auto"/>
              <w:jc w:val="center"/>
              <w:rPr>
                <w:rFonts w:cs="Calibri"/>
                <w:b w:val="0"/>
                <w:color w:val="000000"/>
                <w:sz w:val="18"/>
                <w:szCs w:val="18"/>
                <w:lang w:val="en-US"/>
              </w:rPr>
            </w:pPr>
            <w:r w:rsidRPr="003C7181">
              <w:rPr>
                <w:rFonts w:cs="Calibri"/>
                <w:b w:val="0"/>
                <w:color w:val="000000"/>
                <w:sz w:val="18"/>
                <w:szCs w:val="18"/>
                <w:lang w:val="en-US"/>
              </w:rPr>
              <w:t>2</w:t>
            </w:r>
            <w:r>
              <w:rPr>
                <w:rFonts w:cs="Calibri"/>
                <w:b w:val="0"/>
                <w:color w:val="000000"/>
                <w:sz w:val="18"/>
                <w:szCs w:val="18"/>
                <w:lang w:val="en-US"/>
              </w:rPr>
              <w:t>9.3</w:t>
            </w:r>
          </w:p>
        </w:tc>
        <w:tc>
          <w:tcPr>
            <w:tcW w:w="772" w:type="dxa"/>
            <w:tcBorders>
              <w:bottom w:val="single" w:sz="4" w:space="0" w:color="auto"/>
            </w:tcBorders>
            <w:shd w:val="clear" w:color="auto" w:fill="auto"/>
            <w:vAlign w:val="center"/>
            <w:hideMark/>
          </w:tcPr>
          <w:p w14:paraId="34F13FA5" w14:textId="77777777" w:rsidR="004B410F" w:rsidRPr="003C7181" w:rsidRDefault="004B410F" w:rsidP="003F088D">
            <w:pPr>
              <w:tabs>
                <w:tab w:val="left" w:pos="0"/>
              </w:tabs>
              <w:spacing w:line="240" w:lineRule="auto"/>
              <w:jc w:val="center"/>
              <w:rPr>
                <w:rFonts w:cs="Calibri"/>
                <w:b w:val="0"/>
                <w:color w:val="000000"/>
                <w:sz w:val="18"/>
                <w:szCs w:val="18"/>
                <w:lang w:val="en-US"/>
              </w:rPr>
            </w:pPr>
            <w:r w:rsidRPr="003C7181">
              <w:rPr>
                <w:rFonts w:cs="Calibri"/>
                <w:b w:val="0"/>
                <w:color w:val="000000"/>
                <w:sz w:val="18"/>
                <w:szCs w:val="18"/>
                <w:lang w:val="en-US"/>
              </w:rPr>
              <w:t>3</w:t>
            </w:r>
            <w:r>
              <w:rPr>
                <w:rFonts w:cs="Calibri"/>
                <w:b w:val="0"/>
                <w:color w:val="000000"/>
                <w:sz w:val="18"/>
                <w:szCs w:val="18"/>
                <w:lang w:val="en-US"/>
              </w:rPr>
              <w:t>1</w:t>
            </w:r>
            <w:r w:rsidRPr="003C7181">
              <w:rPr>
                <w:rFonts w:cs="Calibri"/>
                <w:b w:val="0"/>
                <w:color w:val="000000"/>
                <w:sz w:val="18"/>
                <w:szCs w:val="18"/>
                <w:lang w:val="en-US"/>
              </w:rPr>
              <w:t>.</w:t>
            </w:r>
            <w:r>
              <w:rPr>
                <w:rFonts w:cs="Calibri"/>
                <w:b w:val="0"/>
                <w:color w:val="000000"/>
                <w:sz w:val="18"/>
                <w:szCs w:val="18"/>
                <w:lang w:val="en-US"/>
              </w:rPr>
              <w:t>7</w:t>
            </w:r>
          </w:p>
        </w:tc>
        <w:tc>
          <w:tcPr>
            <w:tcW w:w="896" w:type="dxa"/>
            <w:tcBorders>
              <w:bottom w:val="single" w:sz="4" w:space="0" w:color="auto"/>
            </w:tcBorders>
            <w:shd w:val="clear" w:color="auto" w:fill="auto"/>
            <w:vAlign w:val="center"/>
            <w:hideMark/>
          </w:tcPr>
          <w:p w14:paraId="2623622D" w14:textId="77777777" w:rsidR="004B410F" w:rsidRPr="003C7181" w:rsidRDefault="004B410F" w:rsidP="003F088D">
            <w:pPr>
              <w:tabs>
                <w:tab w:val="left" w:pos="0"/>
              </w:tabs>
              <w:spacing w:line="240" w:lineRule="auto"/>
              <w:jc w:val="center"/>
              <w:rPr>
                <w:rFonts w:cs="Calibri"/>
                <w:b w:val="0"/>
                <w:color w:val="000000"/>
                <w:sz w:val="18"/>
                <w:szCs w:val="18"/>
                <w:lang w:val="en-US"/>
              </w:rPr>
            </w:pPr>
            <w:r w:rsidRPr="003C7181">
              <w:rPr>
                <w:rFonts w:cs="Calibri"/>
                <w:b w:val="0"/>
                <w:color w:val="000000"/>
                <w:sz w:val="18"/>
                <w:szCs w:val="18"/>
                <w:lang w:val="en-US"/>
              </w:rPr>
              <w:t>2</w:t>
            </w:r>
            <w:r>
              <w:rPr>
                <w:rFonts w:cs="Calibri"/>
                <w:b w:val="0"/>
                <w:color w:val="000000"/>
                <w:sz w:val="18"/>
                <w:szCs w:val="18"/>
                <w:lang w:val="en-US"/>
              </w:rPr>
              <w:t>8</w:t>
            </w:r>
            <w:r w:rsidRPr="003C7181">
              <w:rPr>
                <w:rFonts w:cs="Calibri"/>
                <w:b w:val="0"/>
                <w:color w:val="000000"/>
                <w:sz w:val="18"/>
                <w:szCs w:val="18"/>
                <w:lang w:val="en-US"/>
              </w:rPr>
              <w:t>.</w:t>
            </w:r>
            <w:r>
              <w:rPr>
                <w:rFonts w:cs="Calibri"/>
                <w:b w:val="0"/>
                <w:color w:val="000000"/>
                <w:sz w:val="18"/>
                <w:szCs w:val="18"/>
                <w:lang w:val="en-US"/>
              </w:rPr>
              <w:t>6</w:t>
            </w:r>
          </w:p>
        </w:tc>
        <w:tc>
          <w:tcPr>
            <w:tcW w:w="992" w:type="dxa"/>
            <w:tcBorders>
              <w:bottom w:val="single" w:sz="4" w:space="0" w:color="auto"/>
            </w:tcBorders>
            <w:shd w:val="clear" w:color="auto" w:fill="auto"/>
            <w:vAlign w:val="center"/>
            <w:hideMark/>
          </w:tcPr>
          <w:p w14:paraId="367A2BE5" w14:textId="77777777" w:rsidR="004B410F" w:rsidRPr="003C7181" w:rsidRDefault="004B410F" w:rsidP="003F088D">
            <w:pPr>
              <w:tabs>
                <w:tab w:val="left" w:pos="0"/>
              </w:tabs>
              <w:spacing w:line="240" w:lineRule="auto"/>
              <w:jc w:val="center"/>
              <w:rPr>
                <w:rFonts w:cs="Calibri"/>
                <w:b w:val="0"/>
                <w:color w:val="000000"/>
                <w:sz w:val="18"/>
                <w:szCs w:val="18"/>
                <w:highlight w:val="yellow"/>
                <w:lang w:val="en-US"/>
              </w:rPr>
            </w:pPr>
            <w:r w:rsidRPr="003C7181">
              <w:rPr>
                <w:rFonts w:cs="Calibri"/>
                <w:b w:val="0"/>
                <w:color w:val="000000"/>
                <w:sz w:val="18"/>
                <w:szCs w:val="18"/>
                <w:lang w:val="en-US"/>
              </w:rPr>
              <w:t>2</w:t>
            </w:r>
            <w:r>
              <w:rPr>
                <w:rFonts w:cs="Calibri"/>
                <w:b w:val="0"/>
                <w:color w:val="000000"/>
                <w:sz w:val="18"/>
                <w:szCs w:val="18"/>
                <w:lang w:val="en-US"/>
              </w:rPr>
              <w:t>6</w:t>
            </w:r>
            <w:r w:rsidRPr="003C7181">
              <w:rPr>
                <w:rFonts w:cs="Calibri"/>
                <w:b w:val="0"/>
                <w:color w:val="000000"/>
                <w:sz w:val="18"/>
                <w:szCs w:val="18"/>
                <w:lang w:val="en-US"/>
              </w:rPr>
              <w:t>.7</w:t>
            </w:r>
          </w:p>
        </w:tc>
        <w:tc>
          <w:tcPr>
            <w:tcW w:w="425" w:type="dxa"/>
            <w:tcBorders>
              <w:bottom w:val="single" w:sz="4" w:space="0" w:color="auto"/>
            </w:tcBorders>
            <w:shd w:val="clear" w:color="auto" w:fill="auto"/>
            <w:vAlign w:val="center"/>
          </w:tcPr>
          <w:p w14:paraId="07F2B7FA" w14:textId="77777777" w:rsidR="004B410F" w:rsidRPr="003C7181" w:rsidRDefault="004B410F" w:rsidP="003F088D">
            <w:pPr>
              <w:tabs>
                <w:tab w:val="left" w:pos="0"/>
              </w:tabs>
              <w:spacing w:line="240" w:lineRule="auto"/>
              <w:jc w:val="center"/>
              <w:rPr>
                <w:rFonts w:cs="Calibri"/>
                <w:b w:val="0"/>
                <w:color w:val="000000"/>
                <w:sz w:val="18"/>
                <w:szCs w:val="18"/>
                <w:lang w:val="en-US"/>
              </w:rPr>
            </w:pPr>
          </w:p>
        </w:tc>
        <w:tc>
          <w:tcPr>
            <w:tcW w:w="1134" w:type="dxa"/>
            <w:tcBorders>
              <w:bottom w:val="single" w:sz="4" w:space="0" w:color="auto"/>
            </w:tcBorders>
            <w:shd w:val="clear" w:color="auto" w:fill="auto"/>
            <w:vAlign w:val="center"/>
            <w:hideMark/>
          </w:tcPr>
          <w:p w14:paraId="0588A5C0" w14:textId="77777777" w:rsidR="004B410F" w:rsidRPr="003C7181" w:rsidRDefault="004B410F" w:rsidP="003F088D">
            <w:pPr>
              <w:jc w:val="center"/>
              <w:rPr>
                <w:rFonts w:cs="Calibri"/>
                <w:b w:val="0"/>
                <w:color w:val="000000"/>
                <w:sz w:val="18"/>
                <w:szCs w:val="18"/>
                <w:lang w:val="en-US"/>
              </w:rPr>
            </w:pPr>
            <w:r w:rsidRPr="003C7181">
              <w:rPr>
                <w:rFonts w:cs="Calibri"/>
                <w:b w:val="0"/>
                <w:color w:val="000000"/>
                <w:sz w:val="18"/>
                <w:szCs w:val="18"/>
                <w:lang w:val="en-US"/>
              </w:rPr>
              <w:t>24.8</w:t>
            </w:r>
          </w:p>
        </w:tc>
      </w:tr>
      <w:tr w:rsidR="004B410F" w:rsidRPr="008539EE" w14:paraId="6B337B73" w14:textId="77777777" w:rsidTr="003F088D">
        <w:trPr>
          <w:trHeight w:val="315"/>
        </w:trPr>
        <w:tc>
          <w:tcPr>
            <w:tcW w:w="3969" w:type="dxa"/>
            <w:tcBorders>
              <w:top w:val="single" w:sz="4" w:space="0" w:color="auto"/>
            </w:tcBorders>
            <w:shd w:val="clear" w:color="auto" w:fill="FFFFFF"/>
            <w:vAlign w:val="center"/>
            <w:hideMark/>
          </w:tcPr>
          <w:p w14:paraId="7581ECE3" w14:textId="77777777" w:rsidR="004B410F" w:rsidRPr="003C7181" w:rsidRDefault="004B410F" w:rsidP="003F088D">
            <w:pPr>
              <w:tabs>
                <w:tab w:val="left" w:pos="0"/>
              </w:tabs>
              <w:spacing w:line="240" w:lineRule="auto"/>
              <w:rPr>
                <w:rFonts w:cs="Calibri"/>
                <w:b w:val="0"/>
                <w:bCs/>
                <w:color w:val="000000"/>
                <w:sz w:val="18"/>
                <w:szCs w:val="18"/>
                <w:lang w:val="en-US"/>
              </w:rPr>
            </w:pPr>
            <w:r w:rsidRPr="003C7181">
              <w:rPr>
                <w:rFonts w:cs="Calibri"/>
                <w:b w:val="0"/>
                <w:bCs/>
                <w:color w:val="000000"/>
                <w:sz w:val="18"/>
                <w:szCs w:val="18"/>
                <w:lang w:val="en-US"/>
              </w:rPr>
              <w:t xml:space="preserve">3. </w:t>
            </w:r>
            <w:r w:rsidRPr="008539EE">
              <w:rPr>
                <w:rFonts w:cs="Calibri"/>
                <w:b w:val="0"/>
                <w:bCs/>
                <w:color w:val="000000"/>
                <w:sz w:val="18"/>
                <w:szCs w:val="18"/>
              </w:rPr>
              <w:t>Առողջապահություն</w:t>
            </w:r>
          </w:p>
        </w:tc>
        <w:tc>
          <w:tcPr>
            <w:tcW w:w="992" w:type="dxa"/>
            <w:tcBorders>
              <w:top w:val="single" w:sz="4" w:space="0" w:color="auto"/>
            </w:tcBorders>
            <w:shd w:val="clear" w:color="auto" w:fill="auto"/>
            <w:vAlign w:val="center"/>
            <w:hideMark/>
          </w:tcPr>
          <w:p w14:paraId="1469B74E" w14:textId="77777777" w:rsidR="004B410F" w:rsidRPr="008539EE" w:rsidRDefault="004B410F" w:rsidP="003F088D">
            <w:pPr>
              <w:tabs>
                <w:tab w:val="left" w:pos="0"/>
                <w:tab w:val="left" w:pos="550"/>
              </w:tabs>
              <w:spacing w:line="240" w:lineRule="auto"/>
              <w:jc w:val="center"/>
              <w:rPr>
                <w:rFonts w:cs="Calibri"/>
                <w:b w:val="0"/>
                <w:bCs/>
                <w:color w:val="000000"/>
                <w:sz w:val="18"/>
                <w:szCs w:val="18"/>
              </w:rPr>
            </w:pPr>
            <w:r w:rsidRPr="008539EE">
              <w:rPr>
                <w:rFonts w:cs="Calibri"/>
                <w:b w:val="0"/>
                <w:bCs/>
                <w:color w:val="000000"/>
                <w:sz w:val="18"/>
                <w:szCs w:val="18"/>
              </w:rPr>
              <w:t>148.2</w:t>
            </w:r>
          </w:p>
        </w:tc>
        <w:tc>
          <w:tcPr>
            <w:tcW w:w="772" w:type="dxa"/>
            <w:tcBorders>
              <w:top w:val="single" w:sz="4" w:space="0" w:color="auto"/>
            </w:tcBorders>
            <w:shd w:val="clear" w:color="auto" w:fill="auto"/>
            <w:vAlign w:val="center"/>
            <w:hideMark/>
          </w:tcPr>
          <w:p w14:paraId="36A9E21C"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160.5</w:t>
            </w:r>
          </w:p>
        </w:tc>
        <w:tc>
          <w:tcPr>
            <w:tcW w:w="896" w:type="dxa"/>
            <w:tcBorders>
              <w:top w:val="single" w:sz="4" w:space="0" w:color="auto"/>
            </w:tcBorders>
            <w:shd w:val="clear" w:color="auto" w:fill="auto"/>
            <w:vAlign w:val="center"/>
            <w:hideMark/>
          </w:tcPr>
          <w:p w14:paraId="2E541D8C"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142.2</w:t>
            </w:r>
          </w:p>
        </w:tc>
        <w:tc>
          <w:tcPr>
            <w:tcW w:w="992" w:type="dxa"/>
            <w:tcBorders>
              <w:top w:val="single" w:sz="4" w:space="0" w:color="auto"/>
            </w:tcBorders>
            <w:shd w:val="clear" w:color="auto" w:fill="auto"/>
            <w:vAlign w:val="center"/>
            <w:hideMark/>
          </w:tcPr>
          <w:p w14:paraId="6BFE4160"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rPr>
              <w:t>149.0</w:t>
            </w:r>
          </w:p>
        </w:tc>
        <w:tc>
          <w:tcPr>
            <w:tcW w:w="425" w:type="dxa"/>
            <w:tcBorders>
              <w:top w:val="single" w:sz="4" w:space="0" w:color="auto"/>
            </w:tcBorders>
            <w:shd w:val="clear" w:color="auto" w:fill="auto"/>
            <w:vAlign w:val="center"/>
          </w:tcPr>
          <w:p w14:paraId="141EDE96" w14:textId="77777777" w:rsidR="004B410F" w:rsidRPr="008539EE" w:rsidRDefault="004B410F" w:rsidP="003F088D">
            <w:pPr>
              <w:tabs>
                <w:tab w:val="left" w:pos="0"/>
              </w:tabs>
              <w:spacing w:line="240" w:lineRule="auto"/>
              <w:jc w:val="center"/>
              <w:rPr>
                <w:rFonts w:cs="Calibri"/>
                <w:b w:val="0"/>
                <w:bCs/>
                <w:color w:val="000000"/>
                <w:sz w:val="18"/>
                <w:szCs w:val="18"/>
              </w:rPr>
            </w:pPr>
          </w:p>
        </w:tc>
        <w:tc>
          <w:tcPr>
            <w:tcW w:w="1134" w:type="dxa"/>
            <w:tcBorders>
              <w:top w:val="single" w:sz="4" w:space="0" w:color="auto"/>
            </w:tcBorders>
            <w:shd w:val="clear" w:color="auto" w:fill="auto"/>
            <w:vAlign w:val="center"/>
            <w:hideMark/>
          </w:tcPr>
          <w:p w14:paraId="7F4DEABE"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169.9</w:t>
            </w:r>
          </w:p>
        </w:tc>
      </w:tr>
      <w:tr w:rsidR="004B410F" w:rsidRPr="008539EE" w14:paraId="00D8FF4D" w14:textId="77777777" w:rsidTr="003F088D">
        <w:trPr>
          <w:trHeight w:val="315"/>
        </w:trPr>
        <w:tc>
          <w:tcPr>
            <w:tcW w:w="3969" w:type="dxa"/>
            <w:shd w:val="clear" w:color="auto" w:fill="FFFFFF"/>
            <w:vAlign w:val="center"/>
            <w:hideMark/>
          </w:tcPr>
          <w:p w14:paraId="3113D181" w14:textId="77777777" w:rsidR="004B410F" w:rsidRPr="008539EE" w:rsidRDefault="004B410F" w:rsidP="003F088D">
            <w:pPr>
              <w:tabs>
                <w:tab w:val="left" w:pos="0"/>
              </w:tabs>
              <w:spacing w:line="240" w:lineRule="auto"/>
              <w:ind w:left="227"/>
              <w:rPr>
                <w:rFonts w:cs="Calibri"/>
                <w:b w:val="0"/>
                <w:bCs/>
                <w:color w:val="000000"/>
                <w:sz w:val="18"/>
                <w:szCs w:val="18"/>
              </w:rPr>
            </w:pPr>
            <w:r w:rsidRPr="008539EE">
              <w:rPr>
                <w:rFonts w:cs="Calibri"/>
                <w:b w:val="0"/>
                <w:color w:val="000000"/>
                <w:sz w:val="18"/>
                <w:szCs w:val="18"/>
              </w:rPr>
              <w:t>ՀՆԱ-ի նկատմամբ (%)</w:t>
            </w:r>
          </w:p>
        </w:tc>
        <w:tc>
          <w:tcPr>
            <w:tcW w:w="992" w:type="dxa"/>
            <w:shd w:val="clear" w:color="auto" w:fill="auto"/>
            <w:vAlign w:val="center"/>
            <w:hideMark/>
          </w:tcPr>
          <w:p w14:paraId="60591CE6" w14:textId="77777777" w:rsidR="004B410F" w:rsidRPr="003C7181" w:rsidRDefault="004B410F" w:rsidP="003F088D">
            <w:pPr>
              <w:tabs>
                <w:tab w:val="left" w:pos="0"/>
                <w:tab w:val="left" w:pos="550"/>
              </w:tabs>
              <w:spacing w:line="240" w:lineRule="auto"/>
              <w:jc w:val="center"/>
              <w:rPr>
                <w:rFonts w:cs="Calibri"/>
                <w:b w:val="0"/>
                <w:color w:val="000000"/>
                <w:sz w:val="18"/>
                <w:szCs w:val="18"/>
                <w:lang w:val="en-US"/>
              </w:rPr>
            </w:pPr>
            <w:r w:rsidRPr="008539EE">
              <w:rPr>
                <w:rFonts w:cs="Calibri"/>
                <w:b w:val="0"/>
                <w:color w:val="000000"/>
                <w:sz w:val="18"/>
                <w:szCs w:val="18"/>
              </w:rPr>
              <w:t>2.</w:t>
            </w:r>
            <w:r>
              <w:rPr>
                <w:rFonts w:cs="Calibri"/>
                <w:b w:val="0"/>
                <w:color w:val="000000"/>
                <w:sz w:val="18"/>
                <w:szCs w:val="18"/>
                <w:lang w:val="en-US"/>
              </w:rPr>
              <w:t>4</w:t>
            </w:r>
          </w:p>
        </w:tc>
        <w:tc>
          <w:tcPr>
            <w:tcW w:w="772" w:type="dxa"/>
            <w:shd w:val="clear" w:color="auto" w:fill="auto"/>
            <w:vAlign w:val="center"/>
            <w:hideMark/>
          </w:tcPr>
          <w:p w14:paraId="55B697FE"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2.3</w:t>
            </w:r>
          </w:p>
        </w:tc>
        <w:tc>
          <w:tcPr>
            <w:tcW w:w="896" w:type="dxa"/>
            <w:shd w:val="clear" w:color="auto" w:fill="auto"/>
            <w:vAlign w:val="center"/>
            <w:hideMark/>
          </w:tcPr>
          <w:p w14:paraId="58F1CF74" w14:textId="77777777" w:rsidR="004B410F" w:rsidRPr="003C7181" w:rsidRDefault="004B410F" w:rsidP="003F088D">
            <w:pPr>
              <w:tabs>
                <w:tab w:val="left" w:pos="0"/>
              </w:tabs>
              <w:spacing w:line="240" w:lineRule="auto"/>
              <w:jc w:val="center"/>
              <w:rPr>
                <w:rFonts w:cs="Calibri"/>
                <w:b w:val="0"/>
                <w:color w:val="000000"/>
                <w:sz w:val="18"/>
                <w:szCs w:val="18"/>
                <w:lang w:val="en-US"/>
              </w:rPr>
            </w:pPr>
            <w:r w:rsidRPr="008539EE">
              <w:rPr>
                <w:rFonts w:cs="Calibri"/>
                <w:b w:val="0"/>
                <w:color w:val="000000"/>
                <w:sz w:val="18"/>
                <w:szCs w:val="18"/>
              </w:rPr>
              <w:t>1.</w:t>
            </w:r>
            <w:r>
              <w:rPr>
                <w:rFonts w:cs="Calibri"/>
                <w:b w:val="0"/>
                <w:color w:val="000000"/>
                <w:sz w:val="18"/>
                <w:szCs w:val="18"/>
                <w:lang w:val="en-US"/>
              </w:rPr>
              <w:t>7</w:t>
            </w:r>
          </w:p>
        </w:tc>
        <w:tc>
          <w:tcPr>
            <w:tcW w:w="992" w:type="dxa"/>
            <w:shd w:val="clear" w:color="auto" w:fill="auto"/>
            <w:vAlign w:val="center"/>
            <w:hideMark/>
          </w:tcPr>
          <w:p w14:paraId="4FB0695C" w14:textId="77777777" w:rsidR="004B410F" w:rsidRPr="008539EE" w:rsidRDefault="004B410F" w:rsidP="003F088D">
            <w:pPr>
              <w:tabs>
                <w:tab w:val="left" w:pos="0"/>
              </w:tabs>
              <w:spacing w:line="240" w:lineRule="auto"/>
              <w:jc w:val="center"/>
              <w:rPr>
                <w:rFonts w:cs="Calibri"/>
                <w:b w:val="0"/>
                <w:color w:val="000000"/>
                <w:sz w:val="18"/>
                <w:szCs w:val="18"/>
                <w:highlight w:val="yellow"/>
              </w:rPr>
            </w:pPr>
            <w:r w:rsidRPr="008539EE">
              <w:rPr>
                <w:rFonts w:cs="Calibri"/>
                <w:b w:val="0"/>
                <w:color w:val="000000"/>
                <w:sz w:val="18"/>
                <w:szCs w:val="18"/>
              </w:rPr>
              <w:t>1.6</w:t>
            </w:r>
          </w:p>
        </w:tc>
        <w:tc>
          <w:tcPr>
            <w:tcW w:w="425" w:type="dxa"/>
            <w:shd w:val="clear" w:color="auto" w:fill="auto"/>
            <w:vAlign w:val="center"/>
          </w:tcPr>
          <w:p w14:paraId="3DC6CE8E"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shd w:val="clear" w:color="auto" w:fill="auto"/>
            <w:vAlign w:val="center"/>
            <w:hideMark/>
          </w:tcPr>
          <w:p w14:paraId="0EEEF927"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1.6</w:t>
            </w:r>
          </w:p>
        </w:tc>
      </w:tr>
      <w:tr w:rsidR="004B410F" w:rsidRPr="008539EE" w14:paraId="3B27D25A" w14:textId="77777777" w:rsidTr="003F088D">
        <w:trPr>
          <w:trHeight w:val="315"/>
        </w:trPr>
        <w:tc>
          <w:tcPr>
            <w:tcW w:w="3969" w:type="dxa"/>
            <w:tcBorders>
              <w:bottom w:val="single" w:sz="4" w:space="0" w:color="auto"/>
            </w:tcBorders>
            <w:shd w:val="clear" w:color="auto" w:fill="FFFFFF"/>
            <w:vAlign w:val="center"/>
            <w:hideMark/>
          </w:tcPr>
          <w:p w14:paraId="1FC6CDF2" w14:textId="77777777" w:rsidR="004B410F" w:rsidRPr="008539EE" w:rsidRDefault="004B410F" w:rsidP="003F088D">
            <w:pPr>
              <w:tabs>
                <w:tab w:val="left" w:pos="0"/>
              </w:tabs>
              <w:spacing w:line="240" w:lineRule="auto"/>
              <w:ind w:left="227"/>
              <w:rPr>
                <w:rFonts w:cs="Calibri"/>
                <w:b w:val="0"/>
                <w:bCs/>
                <w:color w:val="000000"/>
                <w:sz w:val="18"/>
                <w:szCs w:val="18"/>
              </w:rPr>
            </w:pPr>
            <w:r w:rsidRPr="008539EE">
              <w:rPr>
                <w:rFonts w:cs="Calibri"/>
                <w:b w:val="0"/>
                <w:color w:val="000000"/>
                <w:sz w:val="18"/>
                <w:szCs w:val="18"/>
              </w:rPr>
              <w:t>Ընդհանուր ծախսերում (%)</w:t>
            </w:r>
          </w:p>
        </w:tc>
        <w:tc>
          <w:tcPr>
            <w:tcW w:w="992" w:type="dxa"/>
            <w:tcBorders>
              <w:bottom w:val="single" w:sz="4" w:space="0" w:color="auto"/>
            </w:tcBorders>
            <w:shd w:val="clear" w:color="auto" w:fill="auto"/>
            <w:vAlign w:val="center"/>
            <w:hideMark/>
          </w:tcPr>
          <w:p w14:paraId="28D76D65"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7.8</w:t>
            </w:r>
          </w:p>
        </w:tc>
        <w:tc>
          <w:tcPr>
            <w:tcW w:w="772" w:type="dxa"/>
            <w:tcBorders>
              <w:bottom w:val="single" w:sz="4" w:space="0" w:color="auto"/>
            </w:tcBorders>
            <w:shd w:val="clear" w:color="auto" w:fill="auto"/>
            <w:vAlign w:val="center"/>
            <w:hideMark/>
          </w:tcPr>
          <w:p w14:paraId="6B8C8EAC" w14:textId="77777777" w:rsidR="004B410F" w:rsidRPr="008539EE" w:rsidRDefault="004B410F" w:rsidP="003F088D">
            <w:pPr>
              <w:tabs>
                <w:tab w:val="left" w:pos="0"/>
              </w:tabs>
              <w:spacing w:line="240" w:lineRule="auto"/>
              <w:jc w:val="center"/>
              <w:rPr>
                <w:rFonts w:cs="Calibri"/>
                <w:b w:val="0"/>
                <w:color w:val="000000"/>
                <w:sz w:val="18"/>
                <w:szCs w:val="18"/>
              </w:rPr>
            </w:pPr>
            <w:r>
              <w:rPr>
                <w:rFonts w:cs="Calibri"/>
                <w:b w:val="0"/>
                <w:color w:val="000000"/>
                <w:sz w:val="18"/>
                <w:szCs w:val="18"/>
              </w:rPr>
              <w:t>7.9</w:t>
            </w:r>
          </w:p>
        </w:tc>
        <w:tc>
          <w:tcPr>
            <w:tcW w:w="896" w:type="dxa"/>
            <w:tcBorders>
              <w:bottom w:val="single" w:sz="4" w:space="0" w:color="auto"/>
            </w:tcBorders>
            <w:shd w:val="clear" w:color="auto" w:fill="auto"/>
            <w:vAlign w:val="center"/>
            <w:hideMark/>
          </w:tcPr>
          <w:p w14:paraId="0A4A4FEA" w14:textId="77777777" w:rsidR="004B410F" w:rsidRPr="008539EE" w:rsidRDefault="004B410F" w:rsidP="003F088D">
            <w:pPr>
              <w:tabs>
                <w:tab w:val="left" w:pos="0"/>
              </w:tabs>
              <w:spacing w:line="240" w:lineRule="auto"/>
              <w:jc w:val="center"/>
              <w:rPr>
                <w:rFonts w:cs="Calibri"/>
                <w:b w:val="0"/>
                <w:color w:val="000000"/>
                <w:sz w:val="18"/>
                <w:szCs w:val="18"/>
              </w:rPr>
            </w:pPr>
            <w:r>
              <w:rPr>
                <w:rFonts w:cs="Calibri"/>
                <w:b w:val="0"/>
                <w:color w:val="000000"/>
                <w:sz w:val="18"/>
                <w:szCs w:val="18"/>
              </w:rPr>
              <w:t>6</w:t>
            </w:r>
            <w:r w:rsidRPr="008539EE">
              <w:rPr>
                <w:rFonts w:cs="Calibri"/>
                <w:b w:val="0"/>
                <w:color w:val="000000"/>
                <w:sz w:val="18"/>
                <w:szCs w:val="18"/>
              </w:rPr>
              <w:t>.</w:t>
            </w:r>
            <w:r>
              <w:rPr>
                <w:rFonts w:cs="Calibri"/>
                <w:b w:val="0"/>
                <w:color w:val="000000"/>
                <w:sz w:val="18"/>
                <w:szCs w:val="18"/>
              </w:rPr>
              <w:t>2</w:t>
            </w:r>
          </w:p>
        </w:tc>
        <w:tc>
          <w:tcPr>
            <w:tcW w:w="992" w:type="dxa"/>
            <w:tcBorders>
              <w:bottom w:val="single" w:sz="4" w:space="0" w:color="auto"/>
            </w:tcBorders>
            <w:shd w:val="clear" w:color="auto" w:fill="auto"/>
            <w:vAlign w:val="center"/>
            <w:hideMark/>
          </w:tcPr>
          <w:p w14:paraId="5FE883C5" w14:textId="77777777" w:rsidR="004B410F" w:rsidRPr="008539EE" w:rsidRDefault="004B410F" w:rsidP="003F088D">
            <w:pPr>
              <w:tabs>
                <w:tab w:val="left" w:pos="0"/>
              </w:tabs>
              <w:spacing w:line="240" w:lineRule="auto"/>
              <w:jc w:val="center"/>
              <w:rPr>
                <w:rFonts w:cs="Calibri"/>
                <w:b w:val="0"/>
                <w:color w:val="000000"/>
                <w:sz w:val="18"/>
                <w:szCs w:val="18"/>
                <w:highlight w:val="yellow"/>
              </w:rPr>
            </w:pPr>
            <w:r w:rsidRPr="008539EE">
              <w:rPr>
                <w:rFonts w:cs="Calibri"/>
                <w:b w:val="0"/>
                <w:color w:val="000000"/>
                <w:sz w:val="18"/>
                <w:szCs w:val="18"/>
              </w:rPr>
              <w:t>5.</w:t>
            </w:r>
            <w:r>
              <w:rPr>
                <w:rFonts w:cs="Calibri"/>
                <w:b w:val="0"/>
                <w:color w:val="000000"/>
                <w:sz w:val="18"/>
                <w:szCs w:val="18"/>
              </w:rPr>
              <w:t>6</w:t>
            </w:r>
          </w:p>
        </w:tc>
        <w:tc>
          <w:tcPr>
            <w:tcW w:w="425" w:type="dxa"/>
            <w:tcBorders>
              <w:bottom w:val="single" w:sz="4" w:space="0" w:color="auto"/>
            </w:tcBorders>
            <w:shd w:val="clear" w:color="auto" w:fill="auto"/>
            <w:vAlign w:val="center"/>
          </w:tcPr>
          <w:p w14:paraId="76140C82"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tcBorders>
              <w:bottom w:val="single" w:sz="4" w:space="0" w:color="auto"/>
            </w:tcBorders>
            <w:shd w:val="clear" w:color="auto" w:fill="auto"/>
            <w:vAlign w:val="center"/>
            <w:hideMark/>
          </w:tcPr>
          <w:p w14:paraId="7A30BF4C"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5.3</w:t>
            </w:r>
          </w:p>
        </w:tc>
      </w:tr>
      <w:tr w:rsidR="004B410F" w:rsidRPr="008539EE" w14:paraId="65F27D4E" w14:textId="77777777" w:rsidTr="003F088D">
        <w:trPr>
          <w:trHeight w:val="315"/>
        </w:trPr>
        <w:tc>
          <w:tcPr>
            <w:tcW w:w="3969" w:type="dxa"/>
            <w:tcBorders>
              <w:top w:val="single" w:sz="4" w:space="0" w:color="auto"/>
            </w:tcBorders>
            <w:shd w:val="clear" w:color="auto" w:fill="FFFFFF"/>
            <w:vAlign w:val="center"/>
            <w:hideMark/>
          </w:tcPr>
          <w:p w14:paraId="01BD9766" w14:textId="77777777" w:rsidR="004B410F" w:rsidRPr="008539EE" w:rsidRDefault="004B410F" w:rsidP="003F088D">
            <w:pPr>
              <w:tabs>
                <w:tab w:val="left" w:pos="0"/>
              </w:tabs>
              <w:spacing w:line="240" w:lineRule="auto"/>
              <w:rPr>
                <w:rFonts w:cs="Calibri"/>
                <w:b w:val="0"/>
                <w:bCs/>
                <w:color w:val="000000"/>
                <w:sz w:val="18"/>
                <w:szCs w:val="18"/>
              </w:rPr>
            </w:pPr>
            <w:r w:rsidRPr="008539EE">
              <w:rPr>
                <w:rFonts w:cs="Calibri"/>
                <w:b w:val="0"/>
                <w:bCs/>
                <w:color w:val="000000"/>
                <w:sz w:val="18"/>
                <w:szCs w:val="18"/>
              </w:rPr>
              <w:t>4. Հանգիստ, մշակույթ և կրոն</w:t>
            </w:r>
          </w:p>
        </w:tc>
        <w:tc>
          <w:tcPr>
            <w:tcW w:w="992" w:type="dxa"/>
            <w:tcBorders>
              <w:top w:val="single" w:sz="4" w:space="0" w:color="auto"/>
            </w:tcBorders>
            <w:shd w:val="clear" w:color="auto" w:fill="auto"/>
            <w:vAlign w:val="center"/>
            <w:hideMark/>
          </w:tcPr>
          <w:p w14:paraId="6165C938"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lang w:val="hy-AM"/>
              </w:rPr>
              <w:t>33.6</w:t>
            </w:r>
          </w:p>
        </w:tc>
        <w:tc>
          <w:tcPr>
            <w:tcW w:w="772" w:type="dxa"/>
            <w:tcBorders>
              <w:top w:val="single" w:sz="4" w:space="0" w:color="auto"/>
            </w:tcBorders>
            <w:shd w:val="clear" w:color="auto" w:fill="auto"/>
            <w:vAlign w:val="center"/>
            <w:hideMark/>
          </w:tcPr>
          <w:p w14:paraId="18E546C9"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lang w:val="hy-AM"/>
              </w:rPr>
              <w:t>30.4</w:t>
            </w:r>
          </w:p>
        </w:tc>
        <w:tc>
          <w:tcPr>
            <w:tcW w:w="896" w:type="dxa"/>
            <w:tcBorders>
              <w:top w:val="single" w:sz="4" w:space="0" w:color="auto"/>
            </w:tcBorders>
            <w:shd w:val="clear" w:color="auto" w:fill="auto"/>
            <w:vAlign w:val="center"/>
            <w:hideMark/>
          </w:tcPr>
          <w:p w14:paraId="2ED9448B" w14:textId="77777777" w:rsidR="004B410F" w:rsidRPr="008539EE" w:rsidRDefault="004B410F" w:rsidP="003F088D">
            <w:pPr>
              <w:tabs>
                <w:tab w:val="left" w:pos="0"/>
              </w:tabs>
              <w:spacing w:line="240" w:lineRule="auto"/>
              <w:jc w:val="center"/>
              <w:rPr>
                <w:rFonts w:cs="Calibri"/>
                <w:b w:val="0"/>
                <w:bCs/>
                <w:color w:val="000000"/>
                <w:sz w:val="18"/>
                <w:szCs w:val="18"/>
              </w:rPr>
            </w:pPr>
            <w:r w:rsidRPr="008539EE">
              <w:rPr>
                <w:rFonts w:cs="Calibri"/>
                <w:b w:val="0"/>
                <w:bCs/>
                <w:color w:val="000000"/>
                <w:sz w:val="18"/>
                <w:szCs w:val="18"/>
                <w:lang w:val="hy-AM"/>
              </w:rPr>
              <w:t>43.9</w:t>
            </w:r>
          </w:p>
        </w:tc>
        <w:tc>
          <w:tcPr>
            <w:tcW w:w="992" w:type="dxa"/>
            <w:tcBorders>
              <w:top w:val="single" w:sz="4" w:space="0" w:color="auto"/>
            </w:tcBorders>
            <w:shd w:val="clear" w:color="auto" w:fill="auto"/>
            <w:vAlign w:val="center"/>
            <w:hideMark/>
          </w:tcPr>
          <w:p w14:paraId="602752D3" w14:textId="77777777" w:rsidR="004B410F" w:rsidRPr="008539EE" w:rsidRDefault="004B410F" w:rsidP="003F088D">
            <w:pPr>
              <w:tabs>
                <w:tab w:val="left" w:pos="0"/>
              </w:tabs>
              <w:spacing w:line="240" w:lineRule="auto"/>
              <w:jc w:val="center"/>
              <w:rPr>
                <w:rFonts w:cs="Calibri"/>
                <w:b w:val="0"/>
                <w:bCs/>
                <w:color w:val="000000"/>
                <w:sz w:val="18"/>
                <w:szCs w:val="18"/>
                <w:highlight w:val="yellow"/>
              </w:rPr>
            </w:pPr>
            <w:r w:rsidRPr="008539EE">
              <w:rPr>
                <w:rFonts w:cs="Calibri"/>
                <w:b w:val="0"/>
                <w:bCs/>
                <w:color w:val="000000"/>
                <w:sz w:val="18"/>
                <w:szCs w:val="18"/>
                <w:lang w:val="hy-AM"/>
              </w:rPr>
              <w:t>36.4</w:t>
            </w:r>
          </w:p>
        </w:tc>
        <w:tc>
          <w:tcPr>
            <w:tcW w:w="425" w:type="dxa"/>
            <w:tcBorders>
              <w:top w:val="single" w:sz="4" w:space="0" w:color="auto"/>
            </w:tcBorders>
            <w:shd w:val="clear" w:color="auto" w:fill="auto"/>
            <w:vAlign w:val="center"/>
          </w:tcPr>
          <w:p w14:paraId="5FA149AF" w14:textId="77777777" w:rsidR="004B410F" w:rsidRPr="008539EE" w:rsidRDefault="004B410F" w:rsidP="003F088D">
            <w:pPr>
              <w:tabs>
                <w:tab w:val="left" w:pos="0"/>
              </w:tabs>
              <w:spacing w:line="240" w:lineRule="auto"/>
              <w:jc w:val="center"/>
              <w:rPr>
                <w:rFonts w:cs="Calibri"/>
                <w:b w:val="0"/>
                <w:bCs/>
                <w:color w:val="000000"/>
                <w:sz w:val="18"/>
                <w:szCs w:val="18"/>
              </w:rPr>
            </w:pPr>
          </w:p>
        </w:tc>
        <w:tc>
          <w:tcPr>
            <w:tcW w:w="1134" w:type="dxa"/>
            <w:tcBorders>
              <w:top w:val="single" w:sz="4" w:space="0" w:color="auto"/>
            </w:tcBorders>
            <w:shd w:val="clear" w:color="auto" w:fill="auto"/>
            <w:vAlign w:val="center"/>
            <w:hideMark/>
          </w:tcPr>
          <w:p w14:paraId="4994A108"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40.2</w:t>
            </w:r>
          </w:p>
        </w:tc>
      </w:tr>
      <w:tr w:rsidR="004B410F" w:rsidRPr="008539EE" w14:paraId="753839D8" w14:textId="77777777" w:rsidTr="003F088D">
        <w:trPr>
          <w:trHeight w:val="315"/>
        </w:trPr>
        <w:tc>
          <w:tcPr>
            <w:tcW w:w="3969" w:type="dxa"/>
            <w:shd w:val="clear" w:color="auto" w:fill="FFFFFF"/>
            <w:vAlign w:val="center"/>
            <w:hideMark/>
          </w:tcPr>
          <w:p w14:paraId="22BE0B87" w14:textId="77777777" w:rsidR="004B410F" w:rsidRPr="008539EE" w:rsidRDefault="004B410F" w:rsidP="003F088D">
            <w:pPr>
              <w:tabs>
                <w:tab w:val="left" w:pos="0"/>
              </w:tabs>
              <w:spacing w:line="240" w:lineRule="auto"/>
              <w:ind w:left="227"/>
              <w:rPr>
                <w:rFonts w:cs="Calibri"/>
                <w:b w:val="0"/>
                <w:bCs/>
                <w:color w:val="000000"/>
                <w:sz w:val="18"/>
                <w:szCs w:val="18"/>
              </w:rPr>
            </w:pPr>
            <w:r w:rsidRPr="008539EE">
              <w:rPr>
                <w:rFonts w:cs="Calibri"/>
                <w:b w:val="0"/>
                <w:color w:val="000000"/>
                <w:sz w:val="18"/>
                <w:szCs w:val="18"/>
              </w:rPr>
              <w:t>ՀՆԱ-ի նկատմամբ (%)</w:t>
            </w:r>
          </w:p>
        </w:tc>
        <w:tc>
          <w:tcPr>
            <w:tcW w:w="992" w:type="dxa"/>
            <w:shd w:val="clear" w:color="auto" w:fill="auto"/>
            <w:vAlign w:val="center"/>
            <w:hideMark/>
          </w:tcPr>
          <w:p w14:paraId="6FCD0CFC" w14:textId="77777777" w:rsidR="004B410F" w:rsidRPr="003C7181" w:rsidRDefault="004B410F" w:rsidP="003F088D">
            <w:pPr>
              <w:tabs>
                <w:tab w:val="left" w:pos="0"/>
              </w:tabs>
              <w:spacing w:line="240" w:lineRule="auto"/>
              <w:jc w:val="center"/>
              <w:rPr>
                <w:rFonts w:cs="Calibri"/>
                <w:b w:val="0"/>
                <w:color w:val="000000"/>
                <w:sz w:val="18"/>
                <w:szCs w:val="18"/>
                <w:lang w:val="en-US"/>
              </w:rPr>
            </w:pPr>
            <w:r w:rsidRPr="008539EE">
              <w:rPr>
                <w:rFonts w:cs="Calibri"/>
                <w:b w:val="0"/>
                <w:color w:val="000000"/>
                <w:sz w:val="18"/>
                <w:szCs w:val="18"/>
              </w:rPr>
              <w:t>0.</w:t>
            </w:r>
            <w:r>
              <w:rPr>
                <w:rFonts w:cs="Calibri"/>
                <w:b w:val="0"/>
                <w:color w:val="000000"/>
                <w:sz w:val="18"/>
                <w:szCs w:val="18"/>
                <w:lang w:val="en-US"/>
              </w:rPr>
              <w:t>5</w:t>
            </w:r>
          </w:p>
        </w:tc>
        <w:tc>
          <w:tcPr>
            <w:tcW w:w="772" w:type="dxa"/>
            <w:shd w:val="clear" w:color="auto" w:fill="auto"/>
            <w:vAlign w:val="center"/>
            <w:hideMark/>
          </w:tcPr>
          <w:p w14:paraId="287822AC"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0.4</w:t>
            </w:r>
          </w:p>
        </w:tc>
        <w:tc>
          <w:tcPr>
            <w:tcW w:w="896" w:type="dxa"/>
            <w:shd w:val="clear" w:color="auto" w:fill="auto"/>
            <w:vAlign w:val="center"/>
            <w:hideMark/>
          </w:tcPr>
          <w:p w14:paraId="23D6F588"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0.5</w:t>
            </w:r>
          </w:p>
        </w:tc>
        <w:tc>
          <w:tcPr>
            <w:tcW w:w="992" w:type="dxa"/>
            <w:shd w:val="clear" w:color="auto" w:fill="auto"/>
            <w:vAlign w:val="center"/>
            <w:hideMark/>
          </w:tcPr>
          <w:p w14:paraId="08961C1B" w14:textId="77777777" w:rsidR="004B410F" w:rsidRPr="008539EE" w:rsidRDefault="004B410F" w:rsidP="003F088D">
            <w:pPr>
              <w:tabs>
                <w:tab w:val="left" w:pos="0"/>
              </w:tabs>
              <w:spacing w:line="240" w:lineRule="auto"/>
              <w:jc w:val="center"/>
              <w:rPr>
                <w:rFonts w:cs="Calibri"/>
                <w:b w:val="0"/>
                <w:color w:val="000000"/>
                <w:sz w:val="18"/>
                <w:szCs w:val="18"/>
                <w:highlight w:val="yellow"/>
              </w:rPr>
            </w:pPr>
            <w:r w:rsidRPr="008539EE">
              <w:rPr>
                <w:rFonts w:cs="Calibri"/>
                <w:b w:val="0"/>
                <w:color w:val="000000"/>
                <w:sz w:val="18"/>
                <w:szCs w:val="18"/>
              </w:rPr>
              <w:t>0.4</w:t>
            </w:r>
          </w:p>
        </w:tc>
        <w:tc>
          <w:tcPr>
            <w:tcW w:w="425" w:type="dxa"/>
            <w:shd w:val="clear" w:color="auto" w:fill="auto"/>
            <w:vAlign w:val="center"/>
          </w:tcPr>
          <w:p w14:paraId="01C0E60B"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shd w:val="clear" w:color="auto" w:fill="auto"/>
            <w:vAlign w:val="center"/>
            <w:hideMark/>
          </w:tcPr>
          <w:p w14:paraId="6045EA3E"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0.4</w:t>
            </w:r>
          </w:p>
        </w:tc>
      </w:tr>
      <w:tr w:rsidR="004B410F" w:rsidRPr="008539EE" w14:paraId="5D48DFE5" w14:textId="77777777" w:rsidTr="003F088D">
        <w:trPr>
          <w:trHeight w:val="315"/>
        </w:trPr>
        <w:tc>
          <w:tcPr>
            <w:tcW w:w="3969" w:type="dxa"/>
            <w:tcBorders>
              <w:bottom w:val="single" w:sz="4" w:space="0" w:color="auto"/>
            </w:tcBorders>
            <w:shd w:val="clear" w:color="auto" w:fill="FFFFFF"/>
            <w:vAlign w:val="center"/>
            <w:hideMark/>
          </w:tcPr>
          <w:p w14:paraId="091004D7" w14:textId="77777777" w:rsidR="004B410F" w:rsidRPr="008539EE" w:rsidRDefault="004B410F" w:rsidP="003F088D">
            <w:pPr>
              <w:tabs>
                <w:tab w:val="left" w:pos="0"/>
              </w:tabs>
              <w:spacing w:line="240" w:lineRule="auto"/>
              <w:ind w:left="227"/>
              <w:rPr>
                <w:rFonts w:cs="Calibri"/>
                <w:b w:val="0"/>
                <w:bCs/>
                <w:color w:val="000000"/>
                <w:sz w:val="18"/>
                <w:szCs w:val="18"/>
              </w:rPr>
            </w:pPr>
            <w:r w:rsidRPr="008539EE">
              <w:rPr>
                <w:rFonts w:cs="Calibri"/>
                <w:b w:val="0"/>
                <w:color w:val="000000"/>
                <w:sz w:val="18"/>
                <w:szCs w:val="18"/>
              </w:rPr>
              <w:t>Ընդհանուր ծախսերում (%)</w:t>
            </w:r>
          </w:p>
        </w:tc>
        <w:tc>
          <w:tcPr>
            <w:tcW w:w="992" w:type="dxa"/>
            <w:tcBorders>
              <w:bottom w:val="single" w:sz="4" w:space="0" w:color="auto"/>
            </w:tcBorders>
            <w:shd w:val="clear" w:color="auto" w:fill="auto"/>
            <w:vAlign w:val="center"/>
            <w:hideMark/>
          </w:tcPr>
          <w:p w14:paraId="469658D6"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1.8</w:t>
            </w:r>
          </w:p>
        </w:tc>
        <w:tc>
          <w:tcPr>
            <w:tcW w:w="772" w:type="dxa"/>
            <w:tcBorders>
              <w:bottom w:val="single" w:sz="4" w:space="0" w:color="auto"/>
            </w:tcBorders>
            <w:shd w:val="clear" w:color="auto" w:fill="auto"/>
            <w:vAlign w:val="center"/>
            <w:hideMark/>
          </w:tcPr>
          <w:p w14:paraId="10DAF471"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1.5</w:t>
            </w:r>
          </w:p>
        </w:tc>
        <w:tc>
          <w:tcPr>
            <w:tcW w:w="896" w:type="dxa"/>
            <w:tcBorders>
              <w:bottom w:val="single" w:sz="4" w:space="0" w:color="auto"/>
            </w:tcBorders>
            <w:shd w:val="clear" w:color="auto" w:fill="auto"/>
            <w:vAlign w:val="center"/>
            <w:hideMark/>
          </w:tcPr>
          <w:p w14:paraId="3AE05FB4" w14:textId="77777777" w:rsidR="004B410F" w:rsidRPr="008539EE" w:rsidRDefault="004B410F" w:rsidP="003F088D">
            <w:pPr>
              <w:tabs>
                <w:tab w:val="left" w:pos="0"/>
              </w:tabs>
              <w:spacing w:line="240" w:lineRule="auto"/>
              <w:jc w:val="center"/>
              <w:rPr>
                <w:rFonts w:cs="Calibri"/>
                <w:b w:val="0"/>
                <w:color w:val="000000"/>
                <w:sz w:val="18"/>
                <w:szCs w:val="18"/>
              </w:rPr>
            </w:pPr>
            <w:r w:rsidRPr="008539EE">
              <w:rPr>
                <w:rFonts w:cs="Calibri"/>
                <w:b w:val="0"/>
                <w:color w:val="000000"/>
                <w:sz w:val="18"/>
                <w:szCs w:val="18"/>
              </w:rPr>
              <w:t>1.9</w:t>
            </w:r>
          </w:p>
        </w:tc>
        <w:tc>
          <w:tcPr>
            <w:tcW w:w="992" w:type="dxa"/>
            <w:tcBorders>
              <w:bottom w:val="single" w:sz="4" w:space="0" w:color="auto"/>
            </w:tcBorders>
            <w:shd w:val="clear" w:color="auto" w:fill="auto"/>
            <w:vAlign w:val="center"/>
            <w:hideMark/>
          </w:tcPr>
          <w:p w14:paraId="4CC44F43" w14:textId="77777777" w:rsidR="004B410F" w:rsidRPr="008539EE" w:rsidRDefault="004B410F" w:rsidP="003F088D">
            <w:pPr>
              <w:tabs>
                <w:tab w:val="left" w:pos="0"/>
              </w:tabs>
              <w:spacing w:line="240" w:lineRule="auto"/>
              <w:jc w:val="center"/>
              <w:rPr>
                <w:rFonts w:cs="Calibri"/>
                <w:b w:val="0"/>
                <w:color w:val="000000"/>
                <w:sz w:val="18"/>
                <w:szCs w:val="18"/>
                <w:highlight w:val="yellow"/>
              </w:rPr>
            </w:pPr>
            <w:r w:rsidRPr="008539EE">
              <w:rPr>
                <w:rFonts w:cs="Calibri"/>
                <w:b w:val="0"/>
                <w:color w:val="000000"/>
                <w:sz w:val="18"/>
                <w:szCs w:val="18"/>
              </w:rPr>
              <w:t>1.4</w:t>
            </w:r>
          </w:p>
        </w:tc>
        <w:tc>
          <w:tcPr>
            <w:tcW w:w="425" w:type="dxa"/>
            <w:tcBorders>
              <w:bottom w:val="single" w:sz="4" w:space="0" w:color="auto"/>
            </w:tcBorders>
            <w:shd w:val="clear" w:color="auto" w:fill="auto"/>
            <w:vAlign w:val="center"/>
          </w:tcPr>
          <w:p w14:paraId="22219323" w14:textId="77777777" w:rsidR="004B410F" w:rsidRPr="008539EE" w:rsidRDefault="004B410F" w:rsidP="003F088D">
            <w:pPr>
              <w:tabs>
                <w:tab w:val="left" w:pos="0"/>
              </w:tabs>
              <w:spacing w:line="240" w:lineRule="auto"/>
              <w:jc w:val="center"/>
              <w:rPr>
                <w:rFonts w:cs="Calibri"/>
                <w:b w:val="0"/>
                <w:color w:val="000000"/>
                <w:sz w:val="18"/>
                <w:szCs w:val="18"/>
              </w:rPr>
            </w:pPr>
          </w:p>
        </w:tc>
        <w:tc>
          <w:tcPr>
            <w:tcW w:w="1134" w:type="dxa"/>
            <w:tcBorders>
              <w:bottom w:val="single" w:sz="4" w:space="0" w:color="auto"/>
            </w:tcBorders>
            <w:shd w:val="clear" w:color="auto" w:fill="auto"/>
            <w:vAlign w:val="center"/>
            <w:hideMark/>
          </w:tcPr>
          <w:p w14:paraId="7D16585D" w14:textId="77777777" w:rsidR="004B410F" w:rsidRPr="00726BA3" w:rsidRDefault="004B410F" w:rsidP="003F088D">
            <w:pPr>
              <w:jc w:val="center"/>
              <w:rPr>
                <w:rFonts w:cs="Calibri"/>
                <w:b w:val="0"/>
                <w:color w:val="000000"/>
                <w:sz w:val="18"/>
                <w:szCs w:val="18"/>
              </w:rPr>
            </w:pPr>
            <w:r w:rsidRPr="00726BA3">
              <w:rPr>
                <w:rFonts w:cs="Calibri"/>
                <w:b w:val="0"/>
                <w:color w:val="000000"/>
                <w:sz w:val="18"/>
                <w:szCs w:val="18"/>
              </w:rPr>
              <w:t>1.3</w:t>
            </w:r>
          </w:p>
        </w:tc>
      </w:tr>
    </w:tbl>
    <w:p w14:paraId="4FC234A0" w14:textId="77777777" w:rsidR="004B410F" w:rsidRPr="008539EE" w:rsidRDefault="004B410F" w:rsidP="004B410F">
      <w:pPr>
        <w:rPr>
          <w:rFonts w:eastAsiaTheme="minorHAnsi" w:cs="Cambria Math"/>
          <w:b w:val="0"/>
          <w:szCs w:val="22"/>
          <w:lang w:val="en-US" w:eastAsia="en-US"/>
        </w:rPr>
      </w:pPr>
    </w:p>
    <w:p w14:paraId="6869AF32" w14:textId="77777777" w:rsidR="004B410F" w:rsidRPr="00C74BDD" w:rsidRDefault="004B410F" w:rsidP="00AC1E1E">
      <w:pPr>
        <w:rPr>
          <w:rFonts w:eastAsiaTheme="minorHAnsi" w:cs="Cambria Math"/>
          <w:b w:val="0"/>
          <w:szCs w:val="22"/>
          <w:lang w:val="en-US" w:eastAsia="en-US"/>
        </w:rPr>
      </w:pPr>
      <w:r w:rsidRPr="00C74BDD">
        <w:rPr>
          <w:rFonts w:eastAsiaTheme="minorHAnsi" w:cs="Cambria Math"/>
          <w:b w:val="0"/>
          <w:szCs w:val="22"/>
          <w:lang w:val="en-US" w:eastAsia="en-US"/>
        </w:rPr>
        <w:t>20</w:t>
      </w:r>
      <w:r>
        <w:rPr>
          <w:rFonts w:eastAsiaTheme="minorHAnsi" w:cs="Cambria Math"/>
          <w:b w:val="0"/>
          <w:szCs w:val="22"/>
          <w:lang w:val="hy-AM" w:eastAsia="en-US"/>
        </w:rPr>
        <w:t>20</w:t>
      </w:r>
      <w:r w:rsidRPr="00C74BDD">
        <w:rPr>
          <w:rFonts w:eastAsiaTheme="minorHAnsi" w:cs="Cambria Math"/>
          <w:b w:val="0"/>
          <w:szCs w:val="22"/>
          <w:lang w:val="en-US" w:eastAsia="en-US"/>
        </w:rPr>
        <w:t>-202</w:t>
      </w:r>
      <w:r>
        <w:rPr>
          <w:rFonts w:eastAsiaTheme="minorHAnsi" w:cs="Cambria Math"/>
          <w:b w:val="0"/>
          <w:szCs w:val="22"/>
          <w:lang w:val="hy-AM" w:eastAsia="en-US"/>
        </w:rPr>
        <w:t>4</w:t>
      </w:r>
      <w:r w:rsidRPr="00C74BDD">
        <w:rPr>
          <w:rFonts w:eastAsiaTheme="minorHAnsi" w:cs="Cambria Math"/>
          <w:b w:val="0"/>
          <w:szCs w:val="22"/>
          <w:lang w:val="en-US" w:eastAsia="en-US"/>
        </w:rPr>
        <w:t>թթ</w:t>
      </w:r>
      <w:r w:rsidRPr="00C74BDD">
        <w:rPr>
          <w:rFonts w:eastAsiaTheme="minorHAnsi" w:cs="Cambria Math" w:hint="eastAsia"/>
          <w:b w:val="0"/>
          <w:szCs w:val="22"/>
          <w:lang w:val="en-US" w:eastAsia="en-US"/>
        </w:rPr>
        <w:t>․</w:t>
      </w:r>
      <w:r w:rsidRPr="00C74BDD">
        <w:rPr>
          <w:rFonts w:eastAsiaTheme="minorHAnsi" w:cs="Cambria Math"/>
          <w:b w:val="0"/>
          <w:szCs w:val="22"/>
          <w:lang w:val="en-US" w:eastAsia="en-US"/>
        </w:rPr>
        <w:t>ժամանակահատվածում կրթության և առողջապահության ոլորտների ֆինանսավորումը ՀՆԱ նկատմամբ փոփոխական բնույթ է կրել։</w:t>
      </w:r>
      <w:r w:rsidRPr="00C74BDD">
        <w:rPr>
          <w:rFonts w:eastAsiaTheme="minorHAnsi" w:cs="Cambria Math"/>
          <w:b w:val="0"/>
          <w:szCs w:val="22"/>
          <w:lang w:val="en-US" w:eastAsia="en-US"/>
        </w:rPr>
        <w:tab/>
      </w:r>
    </w:p>
    <w:p w14:paraId="3972FF89" w14:textId="77777777" w:rsidR="004B410F" w:rsidRPr="00C74BDD" w:rsidRDefault="004B410F" w:rsidP="00AC1E1E">
      <w:pPr>
        <w:rPr>
          <w:rFonts w:eastAsiaTheme="minorHAnsi" w:cs="Cambria Math"/>
          <w:b w:val="0"/>
          <w:szCs w:val="22"/>
          <w:lang w:val="en-US" w:eastAsia="en-US"/>
        </w:rPr>
      </w:pPr>
      <w:r w:rsidRPr="00C74BDD">
        <w:rPr>
          <w:rFonts w:eastAsiaTheme="minorHAnsi" w:cs="Cambria Math"/>
          <w:b w:val="0"/>
          <w:szCs w:val="22"/>
          <w:lang w:val="en-US" w:eastAsia="en-US"/>
        </w:rPr>
        <w:t>202</w:t>
      </w:r>
      <w:r>
        <w:rPr>
          <w:rFonts w:eastAsiaTheme="minorHAnsi" w:cs="Cambria Math"/>
          <w:b w:val="0"/>
          <w:szCs w:val="22"/>
          <w:lang w:val="hy-AM" w:eastAsia="en-US"/>
        </w:rPr>
        <w:t>4</w:t>
      </w:r>
      <w:r w:rsidRPr="00C74BDD">
        <w:rPr>
          <w:rFonts w:eastAsiaTheme="minorHAnsi" w:cs="Cambria Math"/>
          <w:b w:val="0"/>
          <w:szCs w:val="22"/>
          <w:lang w:val="en-US" w:eastAsia="en-US"/>
        </w:rPr>
        <w:t>թ</w:t>
      </w:r>
      <w:r w:rsidRPr="00C74BDD">
        <w:rPr>
          <w:rFonts w:eastAsiaTheme="minorHAnsi" w:cs="Cambria Math" w:hint="eastAsia"/>
          <w:b w:val="0"/>
          <w:szCs w:val="22"/>
          <w:lang w:val="en-US" w:eastAsia="en-US"/>
        </w:rPr>
        <w:t>․</w:t>
      </w:r>
      <w:r w:rsidRPr="00C74BDD">
        <w:rPr>
          <w:rFonts w:eastAsiaTheme="minorHAnsi" w:cs="Cambria Math"/>
          <w:b w:val="0"/>
          <w:szCs w:val="22"/>
          <w:lang w:val="en-US" w:eastAsia="en-US"/>
        </w:rPr>
        <w:t xml:space="preserve">համար այս ոլորտների բյուջետային ծախսերի չափաքանակները սահմանելիս առաջնային է դիտարկվել նշված ոլորտների համար ծախսեր/ՀՆԱ ցուցանիշի առաջանցիկ մակարդակի ապահովումը։ </w:t>
      </w:r>
    </w:p>
    <w:p w14:paraId="0BC1F39A" w14:textId="77777777" w:rsidR="004B410F" w:rsidRPr="00C74BDD" w:rsidRDefault="004B410F" w:rsidP="00AC1E1E">
      <w:pPr>
        <w:rPr>
          <w:rFonts w:eastAsiaTheme="minorHAnsi" w:cs="Cambria Math"/>
          <w:b w:val="0"/>
          <w:szCs w:val="22"/>
          <w:lang w:val="hy-AM" w:eastAsia="en-US"/>
        </w:rPr>
      </w:pPr>
      <w:r w:rsidRPr="00C74BDD">
        <w:rPr>
          <w:rFonts w:eastAsiaTheme="minorHAnsi" w:cs="Cambria Math"/>
          <w:b w:val="0"/>
          <w:szCs w:val="22"/>
          <w:lang w:val="en-US" w:eastAsia="en-US"/>
        </w:rPr>
        <w:t>20</w:t>
      </w:r>
      <w:r>
        <w:rPr>
          <w:rFonts w:eastAsiaTheme="minorHAnsi" w:cs="Cambria Math"/>
          <w:b w:val="0"/>
          <w:szCs w:val="22"/>
          <w:lang w:val="hy-AM" w:eastAsia="en-US"/>
        </w:rPr>
        <w:t>20</w:t>
      </w:r>
      <w:r w:rsidRPr="00C74BDD">
        <w:rPr>
          <w:rFonts w:eastAsiaTheme="minorHAnsi" w:cs="Cambria Math"/>
          <w:b w:val="0"/>
          <w:szCs w:val="22"/>
          <w:lang w:val="en-US" w:eastAsia="en-US"/>
        </w:rPr>
        <w:t>-202</w:t>
      </w:r>
      <w:r w:rsidRPr="00264575">
        <w:rPr>
          <w:rFonts w:eastAsiaTheme="minorHAnsi" w:cs="Cambria Math"/>
          <w:b w:val="0"/>
          <w:szCs w:val="22"/>
          <w:lang w:val="en-US" w:eastAsia="en-US"/>
        </w:rPr>
        <w:t>3</w:t>
      </w:r>
      <w:r w:rsidRPr="00C74BDD">
        <w:rPr>
          <w:rFonts w:eastAsiaTheme="minorHAnsi" w:cs="Cambria Math"/>
          <w:b w:val="0"/>
          <w:szCs w:val="22"/>
          <w:lang w:val="en-US" w:eastAsia="en-US"/>
        </w:rPr>
        <w:t>թթ</w:t>
      </w:r>
      <w:r w:rsidRPr="00C74BDD">
        <w:rPr>
          <w:rFonts w:eastAsiaTheme="minorHAnsi" w:cs="Cambria Math" w:hint="eastAsia"/>
          <w:b w:val="0"/>
          <w:szCs w:val="22"/>
          <w:lang w:val="en-US" w:eastAsia="en-US"/>
        </w:rPr>
        <w:t>․</w:t>
      </w:r>
      <w:r w:rsidRPr="00C74BDD">
        <w:rPr>
          <w:rFonts w:eastAsiaTheme="minorHAnsi" w:cs="Cambria Math"/>
          <w:b w:val="0"/>
          <w:szCs w:val="22"/>
          <w:lang w:val="en-US" w:eastAsia="en-US"/>
        </w:rPr>
        <w:t xml:space="preserve"> ընթացքում կրթության ոլորտին ուղղված պետական միջոցները կազմել են համապատասխանաբար </w:t>
      </w:r>
      <w:r w:rsidRPr="00264575">
        <w:rPr>
          <w:rFonts w:eastAsiaTheme="minorHAnsi" w:cs="Cambria Math"/>
          <w:b w:val="0"/>
          <w:szCs w:val="22"/>
          <w:lang w:val="en-US" w:eastAsia="en-US"/>
        </w:rPr>
        <w:t xml:space="preserve">143.8, 149.1, 165.4 </w:t>
      </w:r>
      <w:r w:rsidRPr="00264575">
        <w:rPr>
          <w:rFonts w:eastAsiaTheme="minorHAnsi" w:cs="Cambria Math"/>
          <w:b w:val="0"/>
          <w:szCs w:val="22"/>
          <w:lang w:val="hy-AM" w:eastAsia="en-US"/>
        </w:rPr>
        <w:t>և</w:t>
      </w:r>
      <w:r w:rsidRPr="00264575">
        <w:rPr>
          <w:rFonts w:eastAsiaTheme="minorHAnsi" w:cs="Cambria Math"/>
          <w:b w:val="0"/>
          <w:szCs w:val="22"/>
          <w:lang w:val="en-US" w:eastAsia="en-US"/>
        </w:rPr>
        <w:t xml:space="preserve"> 211.9</w:t>
      </w:r>
      <w:r w:rsidRPr="00264575">
        <w:rPr>
          <w:rFonts w:eastAsiaTheme="minorHAnsi" w:cs="Cambria Math"/>
          <w:b w:val="0"/>
          <w:szCs w:val="22"/>
          <w:lang w:val="hy-AM" w:eastAsia="en-US"/>
        </w:rPr>
        <w:t xml:space="preserve"> </w:t>
      </w:r>
      <w:r w:rsidRPr="00264575">
        <w:rPr>
          <w:rFonts w:eastAsiaTheme="minorHAnsi" w:cs="Cambria Math"/>
          <w:b w:val="0"/>
          <w:szCs w:val="22"/>
          <w:lang w:val="en-US" w:eastAsia="en-US"/>
        </w:rPr>
        <w:t>մլ</w:t>
      </w:r>
      <w:r w:rsidRPr="00264575">
        <w:rPr>
          <w:rFonts w:eastAsiaTheme="minorHAnsi" w:cs="Cambria Math"/>
          <w:b w:val="0"/>
          <w:szCs w:val="22"/>
          <w:lang w:val="hy-AM" w:eastAsia="en-US"/>
        </w:rPr>
        <w:t>րդ</w:t>
      </w:r>
      <w:r w:rsidRPr="00264575">
        <w:rPr>
          <w:rFonts w:eastAsiaTheme="minorHAnsi" w:cs="Cambria Math"/>
          <w:b w:val="0"/>
          <w:szCs w:val="22"/>
          <w:lang w:val="en-US" w:eastAsia="en-US"/>
        </w:rPr>
        <w:t>.</w:t>
      </w:r>
      <w:r w:rsidRPr="00C74BDD">
        <w:rPr>
          <w:rFonts w:eastAsiaTheme="minorHAnsi" w:cs="Cambria Math"/>
          <w:b w:val="0"/>
          <w:szCs w:val="22"/>
          <w:lang w:val="en-US" w:eastAsia="en-US"/>
        </w:rPr>
        <w:t xml:space="preserve"> ՀՀ դրամ: 202</w:t>
      </w:r>
      <w:r>
        <w:rPr>
          <w:rFonts w:eastAsiaTheme="minorHAnsi" w:cs="Cambria Math"/>
          <w:b w:val="0"/>
          <w:szCs w:val="22"/>
          <w:lang w:val="hy-AM" w:eastAsia="en-US"/>
        </w:rPr>
        <w:t>4</w:t>
      </w:r>
      <w:r w:rsidRPr="00C74BDD">
        <w:rPr>
          <w:rFonts w:eastAsiaTheme="minorHAnsi" w:cs="Cambria Math"/>
          <w:b w:val="0"/>
          <w:szCs w:val="22"/>
          <w:lang w:val="en-US" w:eastAsia="en-US"/>
        </w:rPr>
        <w:t>թ</w:t>
      </w:r>
      <w:r w:rsidRPr="00C74BDD">
        <w:rPr>
          <w:rFonts w:ascii="Cambria Math" w:eastAsiaTheme="minorHAnsi" w:hAnsi="Cambria Math" w:cs="Cambria Math"/>
          <w:b w:val="0"/>
          <w:szCs w:val="22"/>
          <w:lang w:val="en-US" w:eastAsia="en-US"/>
        </w:rPr>
        <w:t>․</w:t>
      </w:r>
      <w:r w:rsidRPr="00C74BDD">
        <w:rPr>
          <w:rFonts w:eastAsiaTheme="minorHAnsi" w:cs="Cambria Math"/>
          <w:b w:val="0"/>
          <w:szCs w:val="22"/>
          <w:lang w:val="en-US" w:eastAsia="en-US"/>
        </w:rPr>
        <w:t xml:space="preserve"> ոլորտի ֆինանսավորման համար հատկացվելիք </w:t>
      </w:r>
      <w:r>
        <w:rPr>
          <w:rFonts w:eastAsiaTheme="minorHAnsi" w:cs="Cambria Math"/>
          <w:b w:val="0"/>
          <w:szCs w:val="22"/>
          <w:lang w:val="hy-AM" w:eastAsia="en-US"/>
        </w:rPr>
        <w:t>290</w:t>
      </w:r>
      <w:r>
        <w:rPr>
          <w:rFonts w:ascii="Cambria Math" w:eastAsiaTheme="minorHAnsi" w:hAnsi="Cambria Math" w:cs="Cambria Math"/>
          <w:b w:val="0"/>
          <w:szCs w:val="22"/>
          <w:lang w:val="hy-AM" w:eastAsia="en-US"/>
        </w:rPr>
        <w:t>․7</w:t>
      </w:r>
      <w:r w:rsidRPr="00C74BDD">
        <w:rPr>
          <w:rFonts w:eastAsiaTheme="minorHAnsi" w:cs="Cambria Math"/>
          <w:b w:val="0"/>
          <w:szCs w:val="22"/>
          <w:lang w:val="hy-AM" w:eastAsia="en-US"/>
        </w:rPr>
        <w:t xml:space="preserve"> մլ</w:t>
      </w:r>
      <w:r>
        <w:rPr>
          <w:rFonts w:eastAsiaTheme="minorHAnsi" w:cs="Cambria Math"/>
          <w:b w:val="0"/>
          <w:szCs w:val="22"/>
          <w:lang w:val="hy-AM" w:eastAsia="en-US"/>
        </w:rPr>
        <w:t>րդ</w:t>
      </w:r>
      <w:r w:rsidRPr="00C74BDD">
        <w:rPr>
          <w:rFonts w:eastAsiaTheme="minorHAnsi" w:cs="Cambria Math"/>
          <w:b w:val="0"/>
          <w:szCs w:val="22"/>
          <w:lang w:val="hy-AM" w:eastAsia="en-US"/>
        </w:rPr>
        <w:t xml:space="preserve"> դրամը նախատեսվում է համամասնորեն ուղղել կրթության առանձին տեսակների՝ նախադպրոցական, տարրական, միջնակարգ, մասնագիտական, բարձրագույն, հետբուհական, ինչպես նաև կրթությանը տրամադրվող օժանդակ ծառայությունների ֆինանսավորմանը։ </w:t>
      </w:r>
    </w:p>
    <w:p w14:paraId="2AAB23B4" w14:textId="77777777" w:rsidR="004B410F" w:rsidRPr="00B70F5E" w:rsidRDefault="004B410F" w:rsidP="00AC1E1E">
      <w:pPr>
        <w:tabs>
          <w:tab w:val="left" w:pos="0"/>
        </w:tabs>
        <w:rPr>
          <w:lang w:val="hy-AM"/>
        </w:rPr>
      </w:pPr>
      <w:r w:rsidRPr="00264575">
        <w:rPr>
          <w:rFonts w:eastAsiaTheme="minorHAnsi" w:cs="Cambria Math"/>
          <w:b w:val="0"/>
          <w:szCs w:val="22"/>
          <w:lang w:val="hy-AM" w:eastAsia="en-US"/>
        </w:rPr>
        <w:lastRenderedPageBreak/>
        <w:t>Առողջապահության ոլորտի ֆինանսավորումը 2020-2023թթ համապատասխանաբար կազմել է 148.2, 160.5, 122.2 և 149.0  մլրդ</w:t>
      </w:r>
      <w:r w:rsidRPr="00264575">
        <w:rPr>
          <w:rFonts w:eastAsiaTheme="minorHAnsi" w:cs="Cambria Math" w:hint="eastAsia"/>
          <w:b w:val="0"/>
          <w:szCs w:val="22"/>
          <w:lang w:val="hy-AM" w:eastAsia="en-US"/>
        </w:rPr>
        <w:t xml:space="preserve"> </w:t>
      </w:r>
      <w:r w:rsidRPr="00264575">
        <w:rPr>
          <w:rFonts w:eastAsiaTheme="minorHAnsi" w:cs="Cambria Math"/>
          <w:b w:val="0"/>
          <w:szCs w:val="22"/>
          <w:lang w:val="hy-AM" w:eastAsia="en-US"/>
        </w:rPr>
        <w:t>դրամ։ 2024թ</w:t>
      </w:r>
      <w:r w:rsidRPr="00264575">
        <w:rPr>
          <w:rFonts w:eastAsiaTheme="minorHAnsi" w:cs="Cambria Math" w:hint="eastAsia"/>
          <w:b w:val="0"/>
          <w:szCs w:val="22"/>
          <w:lang w:val="hy-AM" w:eastAsia="en-US"/>
        </w:rPr>
        <w:t>․</w:t>
      </w:r>
      <w:r w:rsidRPr="00264575">
        <w:rPr>
          <w:rFonts w:eastAsiaTheme="minorHAnsi" w:cs="Cambria Math"/>
          <w:b w:val="0"/>
          <w:szCs w:val="22"/>
          <w:lang w:val="hy-AM" w:eastAsia="en-US"/>
        </w:rPr>
        <w:t xml:space="preserve">ոլորտին ուղղվող ծախսերը նախորդ տարվա համեմատ ավելացել են </w:t>
      </w:r>
      <w:r w:rsidRPr="00EE4F3C">
        <w:rPr>
          <w:rFonts w:eastAsiaTheme="minorHAnsi" w:cs="Cambria Math"/>
          <w:b w:val="0"/>
          <w:szCs w:val="22"/>
          <w:lang w:val="hy-AM" w:eastAsia="en-US"/>
        </w:rPr>
        <w:t>20.9</w:t>
      </w:r>
      <w:r w:rsidRPr="00264575">
        <w:rPr>
          <w:rFonts w:eastAsiaTheme="minorHAnsi" w:cs="Cambria Math"/>
          <w:b w:val="0"/>
          <w:szCs w:val="22"/>
          <w:lang w:val="hy-AM" w:eastAsia="en-US"/>
        </w:rPr>
        <w:t xml:space="preserve"> մլ</w:t>
      </w:r>
      <w:r>
        <w:rPr>
          <w:rFonts w:eastAsiaTheme="minorHAnsi" w:cs="Cambria Math"/>
          <w:b w:val="0"/>
          <w:szCs w:val="22"/>
          <w:lang w:val="hy-AM" w:eastAsia="en-US"/>
        </w:rPr>
        <w:t>րդ</w:t>
      </w:r>
      <w:r w:rsidRPr="00264575">
        <w:rPr>
          <w:rFonts w:eastAsiaTheme="minorHAnsi" w:cs="Cambria Math"/>
          <w:b w:val="0"/>
          <w:szCs w:val="22"/>
          <w:lang w:val="hy-AM" w:eastAsia="en-US"/>
        </w:rPr>
        <w:t xml:space="preserve">. դրամով և պլանավորվում են </w:t>
      </w:r>
      <w:r>
        <w:rPr>
          <w:rFonts w:eastAsiaTheme="minorHAnsi" w:cs="Cambria Math"/>
          <w:b w:val="0"/>
          <w:szCs w:val="22"/>
          <w:lang w:val="hy-AM" w:eastAsia="en-US"/>
        </w:rPr>
        <w:t>169</w:t>
      </w:r>
      <w:r>
        <w:rPr>
          <w:rFonts w:ascii="Cambria Math" w:eastAsiaTheme="minorHAnsi" w:hAnsi="Cambria Math" w:cs="Cambria Math"/>
          <w:b w:val="0"/>
          <w:szCs w:val="22"/>
          <w:lang w:val="hy-AM" w:eastAsia="en-US"/>
        </w:rPr>
        <w:t>․</w:t>
      </w:r>
      <w:r w:rsidRPr="00EE4F3C">
        <w:rPr>
          <w:rFonts w:eastAsiaTheme="minorHAnsi" w:cs="Cambria Math"/>
          <w:b w:val="0"/>
          <w:szCs w:val="22"/>
          <w:lang w:val="hy-AM" w:eastAsia="en-US"/>
        </w:rPr>
        <w:t>9</w:t>
      </w:r>
      <w:r w:rsidRPr="00264575">
        <w:rPr>
          <w:rFonts w:eastAsiaTheme="minorHAnsi" w:cs="Cambria Math"/>
          <w:b w:val="0"/>
          <w:szCs w:val="22"/>
          <w:lang w:val="hy-AM" w:eastAsia="en-US"/>
        </w:rPr>
        <w:t xml:space="preserve">  մլ</w:t>
      </w:r>
      <w:r>
        <w:rPr>
          <w:rFonts w:eastAsiaTheme="minorHAnsi" w:cs="Cambria Math"/>
          <w:b w:val="0"/>
          <w:szCs w:val="22"/>
          <w:lang w:val="hy-AM" w:eastAsia="en-US"/>
        </w:rPr>
        <w:t>րդ</w:t>
      </w:r>
      <w:r>
        <w:rPr>
          <w:rFonts w:ascii="Cambria Math" w:eastAsiaTheme="minorHAnsi" w:hAnsi="Cambria Math" w:cs="Cambria Math"/>
          <w:b w:val="0"/>
          <w:szCs w:val="22"/>
          <w:lang w:val="hy-AM" w:eastAsia="en-US"/>
        </w:rPr>
        <w:t>․</w:t>
      </w:r>
      <w:r w:rsidRPr="00264575">
        <w:rPr>
          <w:rFonts w:eastAsiaTheme="minorHAnsi" w:cs="Cambria Math"/>
          <w:b w:val="0"/>
          <w:szCs w:val="22"/>
          <w:lang w:val="hy-AM" w:eastAsia="en-US"/>
        </w:rPr>
        <w:t xml:space="preserve"> դրամի չափով, որոնք, </w:t>
      </w:r>
      <w:r>
        <w:rPr>
          <w:rFonts w:eastAsiaTheme="minorHAnsi" w:cs="Cambria Math"/>
          <w:b w:val="0"/>
          <w:szCs w:val="22"/>
          <w:lang w:val="hy-AM" w:eastAsia="en-US"/>
        </w:rPr>
        <w:t>հ</w:t>
      </w:r>
      <w:r w:rsidRPr="00055B78">
        <w:rPr>
          <w:rFonts w:eastAsiaTheme="minorHAnsi" w:cs="Cambria Math"/>
          <w:b w:val="0"/>
          <w:szCs w:val="22"/>
          <w:lang w:val="hy-AM" w:eastAsia="en-US"/>
        </w:rPr>
        <w:t>աշվի առնելով առողջապահության համակարգի համաշխարհային արդի մարտահրավերները՝ ուղղվելու են հիմնականում առողջության համապարփակ ապահովագրության համակարգի ներդրմանը:</w:t>
      </w:r>
      <w:r>
        <w:rPr>
          <w:lang w:val="hy-AM"/>
        </w:rPr>
        <w:t xml:space="preserve"> </w:t>
      </w:r>
    </w:p>
    <w:p w14:paraId="0285722F" w14:textId="77777777" w:rsidR="004B410F" w:rsidRPr="00C74BDD" w:rsidRDefault="004B410F" w:rsidP="00AC1E1E">
      <w:pPr>
        <w:rPr>
          <w:rFonts w:eastAsiaTheme="minorHAnsi" w:cs="Cambria Math"/>
          <w:b w:val="0"/>
          <w:szCs w:val="22"/>
          <w:lang w:val="hy-AM" w:eastAsia="en-US"/>
        </w:rPr>
      </w:pPr>
      <w:r w:rsidRPr="00264575">
        <w:rPr>
          <w:rFonts w:eastAsiaTheme="minorHAnsi" w:cs="Cambria Math"/>
          <w:b w:val="0"/>
          <w:szCs w:val="22"/>
          <w:lang w:val="hy-AM" w:eastAsia="en-US"/>
        </w:rPr>
        <w:t xml:space="preserve">Միաժամանակ, համաձայն ՀՀ կառավարության </w:t>
      </w:r>
      <w:r w:rsidRPr="00EE4F3C">
        <w:rPr>
          <w:rFonts w:eastAsiaTheme="minorHAnsi" w:cs="Cambria Math"/>
          <w:b w:val="0"/>
          <w:szCs w:val="22"/>
          <w:lang w:val="hy-AM" w:eastAsia="en-US"/>
        </w:rPr>
        <w:t>2021-2026թթ.</w:t>
      </w:r>
      <w:r w:rsidRPr="00264575">
        <w:rPr>
          <w:rFonts w:eastAsiaTheme="minorHAnsi" w:cs="Cambria Math"/>
          <w:b w:val="0"/>
          <w:szCs w:val="22"/>
          <w:lang w:val="hy-AM" w:eastAsia="en-US"/>
        </w:rPr>
        <w:t xml:space="preserve"> ծրագրի առաջնահերթությունների, առողջապահության ոլորտի ֆինանսավորումը 202</w:t>
      </w:r>
      <w:r>
        <w:rPr>
          <w:rFonts w:eastAsiaTheme="minorHAnsi" w:cs="Cambria Math"/>
          <w:b w:val="0"/>
          <w:szCs w:val="22"/>
          <w:lang w:val="hy-AM" w:eastAsia="en-US"/>
        </w:rPr>
        <w:t>4</w:t>
      </w:r>
      <w:r w:rsidRPr="00264575">
        <w:rPr>
          <w:rFonts w:eastAsiaTheme="minorHAnsi" w:cs="Cambria Math"/>
          <w:b w:val="0"/>
          <w:szCs w:val="22"/>
          <w:lang w:val="hy-AM" w:eastAsia="en-US"/>
        </w:rPr>
        <w:t xml:space="preserve"> թվականին ուղղվելու է նաև մարզային առողջապահական կազմակերպությունների շենքային և նյութատեխնիկական պայմանների բարելավման աշխատանքների իրականացմանը:</w:t>
      </w:r>
      <w:r w:rsidRPr="00C74BDD">
        <w:rPr>
          <w:rFonts w:eastAsiaTheme="minorHAnsi" w:cs="Cambria Math"/>
          <w:b w:val="0"/>
          <w:szCs w:val="22"/>
          <w:lang w:val="hy-AM" w:eastAsia="en-US"/>
        </w:rPr>
        <w:t xml:space="preserve">  </w:t>
      </w:r>
    </w:p>
    <w:p w14:paraId="547A149E" w14:textId="77777777" w:rsidR="004B410F" w:rsidRPr="00C74BDD" w:rsidRDefault="004B410F" w:rsidP="00AC1E1E">
      <w:pPr>
        <w:rPr>
          <w:rFonts w:eastAsiaTheme="minorHAnsi" w:cs="Cambria Math"/>
          <w:b w:val="0"/>
          <w:szCs w:val="22"/>
          <w:lang w:val="hy-AM" w:eastAsia="en-US"/>
        </w:rPr>
      </w:pPr>
      <w:r w:rsidRPr="00C74BDD">
        <w:rPr>
          <w:rFonts w:eastAsiaTheme="minorHAnsi" w:cs="Cambria Math"/>
          <w:b w:val="0"/>
          <w:szCs w:val="22"/>
          <w:lang w:val="hy-AM" w:eastAsia="en-US"/>
        </w:rPr>
        <w:t>20</w:t>
      </w:r>
      <w:r>
        <w:rPr>
          <w:rFonts w:eastAsiaTheme="minorHAnsi" w:cs="Cambria Math"/>
          <w:b w:val="0"/>
          <w:szCs w:val="22"/>
          <w:lang w:val="hy-AM" w:eastAsia="en-US"/>
        </w:rPr>
        <w:t>20</w:t>
      </w:r>
      <w:r w:rsidRPr="00C74BDD">
        <w:rPr>
          <w:rFonts w:eastAsiaTheme="minorHAnsi" w:cs="Cambria Math"/>
          <w:b w:val="0"/>
          <w:szCs w:val="22"/>
          <w:lang w:val="hy-AM" w:eastAsia="en-US"/>
        </w:rPr>
        <w:t>-202</w:t>
      </w:r>
      <w:r>
        <w:rPr>
          <w:rFonts w:eastAsiaTheme="minorHAnsi" w:cs="Cambria Math"/>
          <w:b w:val="0"/>
          <w:szCs w:val="22"/>
          <w:lang w:val="hy-AM" w:eastAsia="en-US"/>
        </w:rPr>
        <w:t>2</w:t>
      </w:r>
      <w:r w:rsidRPr="00C74BDD">
        <w:rPr>
          <w:rFonts w:eastAsiaTheme="minorHAnsi" w:cs="Cambria Math"/>
          <w:b w:val="0"/>
          <w:szCs w:val="22"/>
          <w:lang w:val="hy-AM" w:eastAsia="en-US"/>
        </w:rPr>
        <w:t>թթ</w:t>
      </w:r>
      <w:r w:rsidRPr="00C74BDD">
        <w:rPr>
          <w:rFonts w:eastAsiaTheme="minorHAnsi" w:cs="Cambria Math" w:hint="eastAsia"/>
          <w:b w:val="0"/>
          <w:szCs w:val="22"/>
          <w:lang w:val="hy-AM" w:eastAsia="en-US"/>
        </w:rPr>
        <w:t>․</w:t>
      </w:r>
      <w:r w:rsidRPr="00C74BDD">
        <w:rPr>
          <w:rFonts w:eastAsiaTheme="minorHAnsi" w:cs="Cambria Math"/>
          <w:b w:val="0"/>
          <w:szCs w:val="22"/>
          <w:lang w:val="hy-AM" w:eastAsia="en-US"/>
        </w:rPr>
        <w:t xml:space="preserve"> սոցիալական պաշտպանության ոլորտի ֆինանսավորումն աճողական բնույթ է կրել՝ համապատասխանաբար կազմելով </w:t>
      </w:r>
      <w:r w:rsidRPr="00EE4F3C">
        <w:rPr>
          <w:rFonts w:eastAsiaTheme="minorHAnsi" w:cs="Cambria Math"/>
          <w:b w:val="0"/>
          <w:szCs w:val="22"/>
          <w:lang w:val="hy-AM" w:eastAsia="en-US"/>
        </w:rPr>
        <w:t>5</w:t>
      </w:r>
      <w:r w:rsidRPr="00D85305">
        <w:rPr>
          <w:rFonts w:eastAsiaTheme="minorHAnsi" w:cs="Cambria Math"/>
          <w:b w:val="0"/>
          <w:szCs w:val="22"/>
          <w:lang w:val="hy-AM" w:eastAsia="en-US"/>
        </w:rPr>
        <w:t>59</w:t>
      </w:r>
      <w:r w:rsidRPr="00034C18">
        <w:rPr>
          <w:rFonts w:eastAsiaTheme="minorHAnsi" w:cs="Cambria Math"/>
          <w:b w:val="0"/>
          <w:szCs w:val="22"/>
          <w:lang w:val="hy-AM" w:eastAsia="en-US"/>
        </w:rPr>
        <w:t>.</w:t>
      </w:r>
      <w:r w:rsidRPr="00D85305">
        <w:rPr>
          <w:rFonts w:eastAsiaTheme="minorHAnsi" w:cs="Cambria Math"/>
          <w:b w:val="0"/>
          <w:szCs w:val="22"/>
          <w:lang w:val="hy-AM" w:eastAsia="en-US"/>
        </w:rPr>
        <w:t>9</w:t>
      </w:r>
      <w:r w:rsidRPr="00EE4F3C">
        <w:rPr>
          <w:rFonts w:eastAsiaTheme="minorHAnsi" w:cs="Cambria Math"/>
          <w:b w:val="0"/>
          <w:szCs w:val="22"/>
          <w:lang w:val="hy-AM" w:eastAsia="en-US"/>
        </w:rPr>
        <w:t>, 6</w:t>
      </w:r>
      <w:r w:rsidRPr="00D85305">
        <w:rPr>
          <w:rFonts w:eastAsiaTheme="minorHAnsi" w:cs="Cambria Math"/>
          <w:b w:val="0"/>
          <w:szCs w:val="22"/>
          <w:lang w:val="hy-AM" w:eastAsia="en-US"/>
        </w:rPr>
        <w:t>4</w:t>
      </w:r>
      <w:r w:rsidRPr="00EE4F3C">
        <w:rPr>
          <w:rFonts w:eastAsiaTheme="minorHAnsi" w:cs="Cambria Math"/>
          <w:b w:val="0"/>
          <w:szCs w:val="22"/>
          <w:lang w:val="hy-AM" w:eastAsia="en-US"/>
        </w:rPr>
        <w:t>2</w:t>
      </w:r>
      <w:r w:rsidRPr="00D85305">
        <w:rPr>
          <w:rFonts w:eastAsiaTheme="minorHAnsi" w:cs="Cambria Math"/>
          <w:b w:val="0"/>
          <w:szCs w:val="22"/>
          <w:lang w:val="hy-AM" w:eastAsia="en-US"/>
        </w:rPr>
        <w:t>.7</w:t>
      </w:r>
      <w:r w:rsidRPr="00ED5344">
        <w:rPr>
          <w:rFonts w:eastAsiaTheme="minorHAnsi" w:cs="Cambria Math"/>
          <w:b w:val="0"/>
          <w:szCs w:val="22"/>
          <w:lang w:val="hy-AM" w:eastAsia="en-US"/>
        </w:rPr>
        <w:t xml:space="preserve"> </w:t>
      </w:r>
      <w:r>
        <w:rPr>
          <w:rFonts w:eastAsiaTheme="minorHAnsi" w:cs="Cambria Math"/>
          <w:b w:val="0"/>
          <w:szCs w:val="22"/>
          <w:lang w:val="hy-AM" w:eastAsia="en-US"/>
        </w:rPr>
        <w:t>և 6</w:t>
      </w:r>
      <w:r w:rsidRPr="00D85305">
        <w:rPr>
          <w:rFonts w:eastAsiaTheme="minorHAnsi" w:cs="Cambria Math"/>
          <w:b w:val="0"/>
          <w:szCs w:val="22"/>
          <w:lang w:val="hy-AM" w:eastAsia="en-US"/>
        </w:rPr>
        <w:t>51</w:t>
      </w:r>
      <w:r w:rsidRPr="00C74BDD">
        <w:rPr>
          <w:rFonts w:eastAsiaTheme="minorHAnsi" w:cs="Cambria Math"/>
          <w:b w:val="0"/>
          <w:szCs w:val="22"/>
          <w:lang w:val="hy-AM" w:eastAsia="en-US"/>
        </w:rPr>
        <w:t xml:space="preserve"> մլ</w:t>
      </w:r>
      <w:r>
        <w:rPr>
          <w:rFonts w:eastAsiaTheme="minorHAnsi" w:cs="Cambria Math"/>
          <w:b w:val="0"/>
          <w:szCs w:val="22"/>
          <w:lang w:val="hy-AM" w:eastAsia="en-US"/>
        </w:rPr>
        <w:t>րդ</w:t>
      </w:r>
      <w:r w:rsidRPr="00C74BDD">
        <w:rPr>
          <w:rFonts w:eastAsiaTheme="minorHAnsi" w:cs="Cambria Math"/>
          <w:b w:val="0"/>
          <w:szCs w:val="22"/>
          <w:lang w:val="hy-AM" w:eastAsia="en-US"/>
        </w:rPr>
        <w:t xml:space="preserve"> դրամ։ </w:t>
      </w:r>
      <w:r w:rsidRPr="00EE4F3C">
        <w:rPr>
          <w:rFonts w:eastAsiaTheme="minorHAnsi" w:cs="Cambria Math"/>
          <w:b w:val="0"/>
          <w:szCs w:val="22"/>
          <w:lang w:val="hy-AM" w:eastAsia="en-US"/>
        </w:rPr>
        <w:t>2023 թվականին</w:t>
      </w:r>
      <w:r>
        <w:rPr>
          <w:rFonts w:eastAsiaTheme="minorHAnsi" w:cs="Cambria Math"/>
          <w:b w:val="0"/>
          <w:szCs w:val="22"/>
          <w:lang w:val="hy-AM" w:eastAsia="en-US"/>
        </w:rPr>
        <w:t xml:space="preserve"> </w:t>
      </w:r>
      <w:r w:rsidRPr="00C74BDD">
        <w:rPr>
          <w:rFonts w:eastAsiaTheme="minorHAnsi" w:cs="Cambria Math"/>
          <w:b w:val="0"/>
          <w:szCs w:val="22"/>
          <w:lang w:val="hy-AM" w:eastAsia="en-US"/>
        </w:rPr>
        <w:t>ոլո</w:t>
      </w:r>
      <w:r>
        <w:rPr>
          <w:rFonts w:eastAsiaTheme="minorHAnsi" w:cs="Cambria Math"/>
          <w:b w:val="0"/>
          <w:szCs w:val="22"/>
          <w:lang w:val="hy-AM" w:eastAsia="en-US"/>
        </w:rPr>
        <w:t>ր</w:t>
      </w:r>
      <w:r w:rsidRPr="00C74BDD">
        <w:rPr>
          <w:rFonts w:eastAsiaTheme="minorHAnsi" w:cs="Cambria Math"/>
          <w:b w:val="0"/>
          <w:szCs w:val="22"/>
          <w:lang w:val="hy-AM" w:eastAsia="en-US"/>
        </w:rPr>
        <w:t xml:space="preserve">տին ուղղվող ծախսերը նախորդ տարվա համեմատ </w:t>
      </w:r>
      <w:r>
        <w:rPr>
          <w:rFonts w:eastAsiaTheme="minorHAnsi" w:cs="Cambria Math"/>
          <w:b w:val="0"/>
          <w:szCs w:val="22"/>
          <w:lang w:val="hy-AM" w:eastAsia="en-US"/>
        </w:rPr>
        <w:t xml:space="preserve">աճել են </w:t>
      </w:r>
      <w:r w:rsidRPr="00D85305">
        <w:rPr>
          <w:rFonts w:eastAsiaTheme="minorHAnsi" w:cs="Cambria Math"/>
          <w:b w:val="0"/>
          <w:szCs w:val="22"/>
          <w:lang w:val="hy-AM" w:eastAsia="en-US"/>
        </w:rPr>
        <w:t>55.5</w:t>
      </w:r>
      <w:r>
        <w:rPr>
          <w:rFonts w:eastAsiaTheme="minorHAnsi" w:cs="Cambria Math"/>
          <w:b w:val="0"/>
          <w:szCs w:val="22"/>
          <w:lang w:val="hy-AM" w:eastAsia="en-US"/>
        </w:rPr>
        <w:t xml:space="preserve"> մլրդ դրամով</w:t>
      </w:r>
      <w:r w:rsidRPr="00C74BDD">
        <w:rPr>
          <w:rFonts w:eastAsiaTheme="minorHAnsi" w:cs="Cambria Math"/>
          <w:b w:val="0"/>
          <w:szCs w:val="22"/>
          <w:lang w:val="hy-AM" w:eastAsia="en-US"/>
        </w:rPr>
        <w:t>: 202</w:t>
      </w:r>
      <w:r>
        <w:rPr>
          <w:rFonts w:eastAsiaTheme="minorHAnsi" w:cs="Cambria Math"/>
          <w:b w:val="0"/>
          <w:szCs w:val="22"/>
          <w:lang w:val="hy-AM" w:eastAsia="en-US"/>
        </w:rPr>
        <w:t>4</w:t>
      </w:r>
      <w:r w:rsidRPr="00C74BDD">
        <w:rPr>
          <w:rFonts w:eastAsiaTheme="minorHAnsi" w:cs="Cambria Math"/>
          <w:b w:val="0"/>
          <w:szCs w:val="22"/>
          <w:lang w:val="hy-AM" w:eastAsia="en-US"/>
        </w:rPr>
        <w:t xml:space="preserve">թ. ոլորտի ֆինանսավորման աճի միտումը վերստին է դրսևորվում՝ կազմելով </w:t>
      </w:r>
      <w:r w:rsidRPr="00D85305">
        <w:rPr>
          <w:rFonts w:eastAsiaTheme="minorHAnsi" w:cs="Cambria Math"/>
          <w:b w:val="0"/>
          <w:szCs w:val="22"/>
          <w:lang w:val="hy-AM" w:eastAsia="en-US"/>
        </w:rPr>
        <w:t>88</w:t>
      </w:r>
      <w:r w:rsidRPr="00AD648D">
        <w:rPr>
          <w:rFonts w:eastAsiaTheme="minorHAnsi" w:cs="Cambria Math"/>
          <w:b w:val="0"/>
          <w:szCs w:val="22"/>
          <w:lang w:val="hy-AM" w:eastAsia="en-US"/>
        </w:rPr>
        <w:t xml:space="preserve"> մլ</w:t>
      </w:r>
      <w:r>
        <w:rPr>
          <w:rFonts w:eastAsiaTheme="minorHAnsi" w:cs="Cambria Math"/>
          <w:b w:val="0"/>
          <w:szCs w:val="22"/>
          <w:lang w:val="hy-AM" w:eastAsia="en-US"/>
        </w:rPr>
        <w:t>րդ</w:t>
      </w:r>
      <w:r w:rsidRPr="00C74BDD">
        <w:rPr>
          <w:rFonts w:eastAsiaTheme="minorHAnsi" w:cs="Cambria Math" w:hint="eastAsia"/>
          <w:b w:val="0"/>
          <w:szCs w:val="22"/>
          <w:lang w:val="hy-AM" w:eastAsia="en-US"/>
        </w:rPr>
        <w:t>․</w:t>
      </w:r>
      <w:r w:rsidRPr="00C74BDD">
        <w:rPr>
          <w:rFonts w:eastAsiaTheme="minorHAnsi" w:cs="Cambria Math"/>
          <w:b w:val="0"/>
          <w:szCs w:val="22"/>
          <w:lang w:val="hy-AM" w:eastAsia="en-US"/>
        </w:rPr>
        <w:t>դրամ, որը, ինչպես և դիտարկվող տարիների ընթացքում, առաջնահերթ ուղղվելու է տարեցներին և հաշմանդամներին աջակցության տրամադրմանը, ինչպես նաև գործազրկության, սոցիալական հատուկ արտոնությունների, բնակարային ապահովման, ընտանեկան նպաստների տրամադրման և այլ սոցիալական ծառայությունների ապահովմանը։ Բացի այդ, ՀՀ կառավարության 2021-2026թթ. ծրագրով սահմանված առաջնահերթություններից ելնելով, ոլորտի հատկացումները ուղղվելու են ծնելիության խթանմանը և բազմազավակ ընտանիքներին պետական աջակցության ցուցաբերմանը:</w:t>
      </w:r>
    </w:p>
    <w:p w14:paraId="6A75DD4C" w14:textId="77777777" w:rsidR="004B410F" w:rsidRPr="00C74BDD" w:rsidRDefault="004B410F" w:rsidP="00AC1E1E">
      <w:pPr>
        <w:rPr>
          <w:rFonts w:eastAsiaTheme="minorHAnsi" w:cs="Cambria Math"/>
          <w:b w:val="0"/>
          <w:szCs w:val="22"/>
          <w:lang w:val="hy-AM" w:eastAsia="en-US"/>
        </w:rPr>
      </w:pPr>
      <w:r w:rsidRPr="00C74BDD">
        <w:rPr>
          <w:rFonts w:eastAsiaTheme="minorHAnsi" w:cs="Cambria Math"/>
          <w:b w:val="0"/>
          <w:szCs w:val="22"/>
          <w:lang w:val="hy-AM" w:eastAsia="en-US"/>
        </w:rPr>
        <w:t>202</w:t>
      </w:r>
      <w:r>
        <w:rPr>
          <w:rFonts w:eastAsiaTheme="minorHAnsi" w:cs="Cambria Math"/>
          <w:b w:val="0"/>
          <w:szCs w:val="22"/>
          <w:lang w:val="hy-AM" w:eastAsia="en-US"/>
        </w:rPr>
        <w:t>4</w:t>
      </w:r>
      <w:r w:rsidRPr="00C74BDD">
        <w:rPr>
          <w:rFonts w:eastAsiaTheme="minorHAnsi" w:cs="Cambria Math"/>
          <w:b w:val="0"/>
          <w:szCs w:val="22"/>
          <w:lang w:val="hy-AM" w:eastAsia="en-US"/>
        </w:rPr>
        <w:t xml:space="preserve"> թվականի ընթացքում պետական բյուջեների ծախ</w:t>
      </w:r>
      <w:r w:rsidRPr="00C74BDD">
        <w:rPr>
          <w:rFonts w:eastAsiaTheme="minorHAnsi" w:cs="Cambria Math"/>
          <w:b w:val="0"/>
          <w:szCs w:val="22"/>
          <w:lang w:val="hy-AM" w:eastAsia="en-US"/>
        </w:rPr>
        <w:softHyphen/>
        <w:t>սերի ընդհանուր ծավալը որոշ կախ</w:t>
      </w:r>
      <w:r w:rsidRPr="00C74BDD">
        <w:rPr>
          <w:rFonts w:eastAsiaTheme="minorHAnsi" w:cs="Cambria Math"/>
          <w:b w:val="0"/>
          <w:szCs w:val="22"/>
          <w:lang w:val="hy-AM" w:eastAsia="en-US"/>
        </w:rPr>
        <w:softHyphen/>
        <w:t>վածության մեջ կլինի նաև արտաքին հոսքերից:</w:t>
      </w:r>
    </w:p>
    <w:p w14:paraId="2A340EC3" w14:textId="77777777" w:rsidR="006E6471" w:rsidRPr="00C74BDD" w:rsidRDefault="006E6471" w:rsidP="006E6471">
      <w:pPr>
        <w:jc w:val="left"/>
        <w:rPr>
          <w:rFonts w:eastAsiaTheme="minorHAnsi" w:cs="Cambria Math"/>
          <w:b w:val="0"/>
          <w:sz w:val="24"/>
          <w:lang w:val="hy-AM" w:eastAsia="en-US"/>
        </w:rPr>
      </w:pPr>
    </w:p>
    <w:p w14:paraId="2A2713A0" w14:textId="3F5DDC61" w:rsidR="006E6471" w:rsidRPr="00AA7CE6" w:rsidRDefault="00B16CAB" w:rsidP="00B16CAB">
      <w:pPr>
        <w:pStyle w:val="Caption"/>
        <w:rPr>
          <w:b/>
          <w:bCs w:val="0"/>
          <w:color w:val="auto"/>
          <w:sz w:val="22"/>
          <w:szCs w:val="22"/>
          <w:lang w:val="hy-AM"/>
        </w:rPr>
      </w:pPr>
      <w:bookmarkStart w:id="282" w:name="_Toc83728704"/>
      <w:bookmarkStart w:id="283" w:name="_Toc89428777"/>
      <w:bookmarkStart w:id="284" w:name="_Toc120805274"/>
      <w:bookmarkStart w:id="285" w:name="_Toc152324777"/>
      <w:r w:rsidRPr="00B16CAB">
        <w:rPr>
          <w:b/>
          <w:bCs w:val="0"/>
          <w:color w:val="auto"/>
          <w:sz w:val="22"/>
          <w:szCs w:val="22"/>
          <w:lang w:val="hy-AM"/>
        </w:rPr>
        <w:t xml:space="preserve">Աղյուսակ </w:t>
      </w:r>
      <w:r w:rsidRPr="00B16CAB">
        <w:rPr>
          <w:b/>
          <w:bCs w:val="0"/>
          <w:color w:val="auto"/>
          <w:sz w:val="22"/>
          <w:szCs w:val="22"/>
          <w:lang w:val="hy-AM"/>
        </w:rPr>
        <w:fldChar w:fldCharType="begin"/>
      </w:r>
      <w:r w:rsidRPr="00B16CAB">
        <w:rPr>
          <w:b/>
          <w:bCs w:val="0"/>
          <w:color w:val="auto"/>
          <w:sz w:val="22"/>
          <w:szCs w:val="22"/>
          <w:lang w:val="hy-AM"/>
        </w:rPr>
        <w:instrText xml:space="preserve"> SEQ Աղյուսակ \* ARABIC </w:instrText>
      </w:r>
      <w:r w:rsidRPr="00B16CAB">
        <w:rPr>
          <w:b/>
          <w:bCs w:val="0"/>
          <w:color w:val="auto"/>
          <w:sz w:val="22"/>
          <w:szCs w:val="22"/>
          <w:lang w:val="hy-AM"/>
        </w:rPr>
        <w:fldChar w:fldCharType="separate"/>
      </w:r>
      <w:r w:rsidR="00DB4E68">
        <w:rPr>
          <w:b/>
          <w:bCs w:val="0"/>
          <w:noProof/>
          <w:color w:val="auto"/>
          <w:sz w:val="22"/>
          <w:szCs w:val="22"/>
          <w:lang w:val="hy-AM"/>
        </w:rPr>
        <w:t>15</w:t>
      </w:r>
      <w:r w:rsidRPr="00B16CAB">
        <w:rPr>
          <w:b/>
          <w:bCs w:val="0"/>
          <w:color w:val="auto"/>
          <w:sz w:val="22"/>
          <w:szCs w:val="22"/>
          <w:lang w:val="hy-AM"/>
        </w:rPr>
        <w:fldChar w:fldCharType="end"/>
      </w:r>
      <w:r w:rsidR="006E6471" w:rsidRPr="00B16CAB">
        <w:rPr>
          <w:b/>
          <w:bCs w:val="0"/>
          <w:color w:val="auto"/>
          <w:sz w:val="22"/>
          <w:szCs w:val="22"/>
          <w:lang w:val="hy-AM"/>
        </w:rPr>
        <w:t>.</w:t>
      </w:r>
      <w:r w:rsidR="006E6471" w:rsidRPr="00AA7CE6">
        <w:rPr>
          <w:color w:val="auto"/>
          <w:sz w:val="22"/>
          <w:szCs w:val="22"/>
          <w:lang w:val="hy-AM"/>
        </w:rPr>
        <w:t xml:space="preserve"> Արտաքին աղբյուրներից 2024թ. ստացվելիք միջոցների (վարկերի և պաշտո</w:t>
      </w:r>
      <w:r w:rsidR="006E6471" w:rsidRPr="00AA7CE6">
        <w:rPr>
          <w:color w:val="auto"/>
          <w:sz w:val="22"/>
          <w:szCs w:val="22"/>
          <w:lang w:val="hy-AM"/>
        </w:rPr>
        <w:softHyphen/>
        <w:t>նական դրամաշնորհներ) հաշվին ֆինանսավորվող ծախսերը</w:t>
      </w:r>
      <w:bookmarkEnd w:id="282"/>
      <w:bookmarkEnd w:id="283"/>
      <w:bookmarkEnd w:id="284"/>
      <w:bookmarkEnd w:id="285"/>
    </w:p>
    <w:p w14:paraId="3828B139" w14:textId="77777777" w:rsidR="006E6471" w:rsidRPr="00C56AE5" w:rsidRDefault="006E6471" w:rsidP="006E6471">
      <w:pPr>
        <w:rPr>
          <w:b w:val="0"/>
          <w:bCs/>
          <w:color w:val="4F81BD" w:themeColor="accent1"/>
          <w:sz w:val="18"/>
          <w:szCs w:val="18"/>
          <w:lang w:val="hy-AM"/>
        </w:rPr>
      </w:pPr>
    </w:p>
    <w:tbl>
      <w:tblPr>
        <w:tblW w:w="9654" w:type="dxa"/>
        <w:tblInd w:w="93" w:type="dxa"/>
        <w:tblLayout w:type="fixed"/>
        <w:tblLook w:val="04A0" w:firstRow="1" w:lastRow="0" w:firstColumn="1" w:lastColumn="0" w:noHBand="0" w:noVBand="1"/>
      </w:tblPr>
      <w:tblGrid>
        <w:gridCol w:w="22"/>
        <w:gridCol w:w="3991"/>
        <w:gridCol w:w="850"/>
        <w:gridCol w:w="822"/>
        <w:gridCol w:w="709"/>
        <w:gridCol w:w="1133"/>
        <w:gridCol w:w="2127"/>
      </w:tblGrid>
      <w:tr w:rsidR="006E6471" w:rsidRPr="00055B78" w14:paraId="4B5275D6" w14:textId="77777777" w:rsidTr="000F4905">
        <w:trPr>
          <w:trHeight w:val="123"/>
        </w:trPr>
        <w:tc>
          <w:tcPr>
            <w:tcW w:w="4013" w:type="dxa"/>
            <w:gridSpan w:val="2"/>
            <w:vMerge w:val="restart"/>
            <w:tcBorders>
              <w:bottom w:val="single" w:sz="4" w:space="0" w:color="auto"/>
            </w:tcBorders>
            <w:shd w:val="clear" w:color="auto" w:fill="auto"/>
            <w:vAlign w:val="center"/>
          </w:tcPr>
          <w:p w14:paraId="0C23B838" w14:textId="77777777" w:rsidR="006E6471" w:rsidRPr="00055B78" w:rsidRDefault="006E6471" w:rsidP="000F4905">
            <w:pPr>
              <w:tabs>
                <w:tab w:val="left" w:pos="0"/>
              </w:tabs>
              <w:spacing w:line="240" w:lineRule="auto"/>
              <w:rPr>
                <w:rFonts w:cs="Calibri"/>
                <w:b w:val="0"/>
                <w:bCs/>
                <w:color w:val="000000"/>
                <w:sz w:val="18"/>
                <w:szCs w:val="18"/>
              </w:rPr>
            </w:pPr>
            <w:r w:rsidRPr="00055B78">
              <w:rPr>
                <w:rFonts w:cs="Arial"/>
                <w:b w:val="0"/>
                <w:bCs/>
                <w:color w:val="000000"/>
                <w:sz w:val="18"/>
                <w:szCs w:val="18"/>
              </w:rPr>
              <w:t>Ցուցանիշներ</w:t>
            </w:r>
          </w:p>
        </w:tc>
        <w:tc>
          <w:tcPr>
            <w:tcW w:w="2381" w:type="dxa"/>
            <w:gridSpan w:val="3"/>
            <w:tcBorders>
              <w:bottom w:val="single" w:sz="4" w:space="0" w:color="auto"/>
            </w:tcBorders>
            <w:shd w:val="clear" w:color="auto" w:fill="auto"/>
            <w:vAlign w:val="center"/>
          </w:tcPr>
          <w:p w14:paraId="515EEE05" w14:textId="77777777" w:rsidR="006E6471" w:rsidRPr="00055B78" w:rsidRDefault="006E6471" w:rsidP="000F4905">
            <w:pPr>
              <w:tabs>
                <w:tab w:val="left" w:pos="0"/>
              </w:tabs>
              <w:spacing w:line="240" w:lineRule="auto"/>
              <w:jc w:val="center"/>
              <w:rPr>
                <w:rFonts w:cs="Calibri"/>
                <w:b w:val="0"/>
                <w:color w:val="000000"/>
                <w:sz w:val="18"/>
                <w:szCs w:val="18"/>
                <w:lang w:val="hy-AM"/>
              </w:rPr>
            </w:pPr>
            <w:r w:rsidRPr="00055B78">
              <w:rPr>
                <w:rFonts w:cs="Arial"/>
                <w:b w:val="0"/>
                <w:color w:val="000000"/>
                <w:sz w:val="18"/>
                <w:szCs w:val="18"/>
                <w:lang w:val="hy-AM"/>
              </w:rPr>
              <w:t>Փաստ</w:t>
            </w:r>
          </w:p>
        </w:tc>
        <w:tc>
          <w:tcPr>
            <w:tcW w:w="1133" w:type="dxa"/>
            <w:shd w:val="clear" w:color="auto" w:fill="auto"/>
            <w:vAlign w:val="center"/>
          </w:tcPr>
          <w:p w14:paraId="41DE2011" w14:textId="77777777" w:rsidR="006E6471" w:rsidRPr="00055B78" w:rsidRDefault="006E6471" w:rsidP="000F4905">
            <w:pPr>
              <w:tabs>
                <w:tab w:val="left" w:pos="0"/>
              </w:tabs>
              <w:spacing w:line="240" w:lineRule="auto"/>
              <w:jc w:val="center"/>
              <w:rPr>
                <w:rFonts w:cs="Calibri"/>
                <w:b w:val="0"/>
                <w:color w:val="000000"/>
                <w:sz w:val="18"/>
                <w:szCs w:val="18"/>
                <w:lang w:val="hy-AM"/>
              </w:rPr>
            </w:pPr>
            <w:r w:rsidRPr="00055B78">
              <w:rPr>
                <w:rFonts w:cs="Arial"/>
                <w:b w:val="0"/>
                <w:color w:val="000000"/>
                <w:sz w:val="18"/>
                <w:szCs w:val="18"/>
                <w:lang w:val="hy-AM"/>
              </w:rPr>
              <w:t>Բյուջե</w:t>
            </w:r>
          </w:p>
        </w:tc>
        <w:tc>
          <w:tcPr>
            <w:tcW w:w="2127" w:type="dxa"/>
            <w:tcBorders>
              <w:bottom w:val="single" w:sz="4" w:space="0" w:color="auto"/>
            </w:tcBorders>
            <w:shd w:val="clear" w:color="auto" w:fill="auto"/>
            <w:vAlign w:val="center"/>
          </w:tcPr>
          <w:p w14:paraId="0180F563" w14:textId="6A54ED58" w:rsidR="006E6471" w:rsidRPr="00055B78" w:rsidRDefault="009813D2" w:rsidP="000F4905">
            <w:pPr>
              <w:tabs>
                <w:tab w:val="left" w:pos="0"/>
              </w:tabs>
              <w:spacing w:line="240" w:lineRule="auto"/>
              <w:jc w:val="center"/>
              <w:rPr>
                <w:rFonts w:cs="Calibri"/>
                <w:b w:val="0"/>
                <w:color w:val="000000"/>
                <w:sz w:val="18"/>
                <w:szCs w:val="18"/>
                <w:lang w:val="hy-AM"/>
              </w:rPr>
            </w:pPr>
            <w:r>
              <w:rPr>
                <w:rFonts w:cs="Arial"/>
                <w:b w:val="0"/>
                <w:color w:val="000000"/>
                <w:sz w:val="18"/>
                <w:szCs w:val="18"/>
                <w:lang w:val="hy-AM"/>
              </w:rPr>
              <w:t>ծրագիր</w:t>
            </w:r>
          </w:p>
        </w:tc>
      </w:tr>
      <w:tr w:rsidR="006E6471" w:rsidRPr="00055B78" w14:paraId="7BCE42E9" w14:textId="77777777" w:rsidTr="000F4905">
        <w:trPr>
          <w:trHeight w:val="111"/>
        </w:trPr>
        <w:tc>
          <w:tcPr>
            <w:tcW w:w="4013" w:type="dxa"/>
            <w:gridSpan w:val="2"/>
            <w:vMerge/>
            <w:tcBorders>
              <w:bottom w:val="single" w:sz="4" w:space="0" w:color="auto"/>
            </w:tcBorders>
            <w:shd w:val="clear" w:color="auto" w:fill="auto"/>
            <w:vAlign w:val="center"/>
          </w:tcPr>
          <w:p w14:paraId="357F664A" w14:textId="77777777" w:rsidR="006E6471" w:rsidRPr="00055B78" w:rsidRDefault="006E6471" w:rsidP="000F4905">
            <w:pPr>
              <w:tabs>
                <w:tab w:val="left" w:pos="0"/>
              </w:tabs>
              <w:spacing w:line="240" w:lineRule="auto"/>
              <w:jc w:val="center"/>
              <w:rPr>
                <w:rFonts w:cs="Calibri"/>
                <w:b w:val="0"/>
                <w:bCs/>
                <w:color w:val="000000"/>
                <w:sz w:val="18"/>
                <w:szCs w:val="18"/>
              </w:rPr>
            </w:pPr>
          </w:p>
        </w:tc>
        <w:tc>
          <w:tcPr>
            <w:tcW w:w="850" w:type="dxa"/>
            <w:tcBorders>
              <w:top w:val="single" w:sz="4" w:space="0" w:color="auto"/>
              <w:bottom w:val="single" w:sz="4" w:space="0" w:color="auto"/>
            </w:tcBorders>
            <w:shd w:val="clear" w:color="auto" w:fill="auto"/>
            <w:vAlign w:val="center"/>
          </w:tcPr>
          <w:p w14:paraId="7383F820" w14:textId="77777777" w:rsidR="006E6471" w:rsidRPr="00055B78" w:rsidRDefault="006E6471" w:rsidP="000F4905">
            <w:pPr>
              <w:tabs>
                <w:tab w:val="left" w:pos="0"/>
              </w:tabs>
              <w:spacing w:line="240" w:lineRule="auto"/>
              <w:jc w:val="center"/>
              <w:rPr>
                <w:rFonts w:cs="Calibri"/>
                <w:b w:val="0"/>
                <w:color w:val="000000"/>
                <w:sz w:val="18"/>
                <w:szCs w:val="18"/>
                <w:lang w:val="hy-AM"/>
              </w:rPr>
            </w:pPr>
            <w:r w:rsidRPr="00055B78">
              <w:rPr>
                <w:rFonts w:cs="Calibri"/>
                <w:b w:val="0"/>
                <w:color w:val="000000"/>
                <w:sz w:val="18"/>
                <w:szCs w:val="18"/>
                <w:lang w:val="hy-AM"/>
              </w:rPr>
              <w:t xml:space="preserve">2020 </w:t>
            </w:r>
          </w:p>
        </w:tc>
        <w:tc>
          <w:tcPr>
            <w:tcW w:w="822" w:type="dxa"/>
            <w:tcBorders>
              <w:top w:val="single" w:sz="4" w:space="0" w:color="auto"/>
              <w:bottom w:val="single" w:sz="4" w:space="0" w:color="auto"/>
            </w:tcBorders>
            <w:shd w:val="clear" w:color="auto" w:fill="auto"/>
            <w:vAlign w:val="center"/>
          </w:tcPr>
          <w:p w14:paraId="28D2DC43" w14:textId="77777777" w:rsidR="006E6471" w:rsidRPr="00055B78" w:rsidRDefault="006E6471" w:rsidP="000F4905">
            <w:pPr>
              <w:tabs>
                <w:tab w:val="left" w:pos="0"/>
              </w:tabs>
              <w:spacing w:line="240" w:lineRule="auto"/>
              <w:jc w:val="center"/>
              <w:rPr>
                <w:rFonts w:cs="Calibri"/>
                <w:b w:val="0"/>
                <w:color w:val="000000"/>
                <w:sz w:val="18"/>
                <w:szCs w:val="18"/>
                <w:lang w:val="hy-AM"/>
              </w:rPr>
            </w:pPr>
            <w:r w:rsidRPr="00055B78">
              <w:rPr>
                <w:rFonts w:cs="Calibri"/>
                <w:b w:val="0"/>
                <w:color w:val="000000"/>
                <w:sz w:val="18"/>
                <w:szCs w:val="18"/>
                <w:lang w:val="hy-AM"/>
              </w:rPr>
              <w:t>2023</w:t>
            </w:r>
          </w:p>
        </w:tc>
        <w:tc>
          <w:tcPr>
            <w:tcW w:w="709" w:type="dxa"/>
            <w:tcBorders>
              <w:top w:val="single" w:sz="4" w:space="0" w:color="auto"/>
              <w:bottom w:val="single" w:sz="4" w:space="0" w:color="auto"/>
            </w:tcBorders>
            <w:shd w:val="clear" w:color="auto" w:fill="auto"/>
            <w:vAlign w:val="center"/>
          </w:tcPr>
          <w:p w14:paraId="3C58BAE6" w14:textId="77777777" w:rsidR="006E6471" w:rsidRPr="00055B78" w:rsidRDefault="006E6471" w:rsidP="000F4905">
            <w:pPr>
              <w:tabs>
                <w:tab w:val="left" w:pos="0"/>
              </w:tabs>
              <w:spacing w:line="240" w:lineRule="auto"/>
              <w:jc w:val="center"/>
              <w:rPr>
                <w:rFonts w:cs="Calibri"/>
                <w:b w:val="0"/>
                <w:color w:val="000000"/>
                <w:sz w:val="18"/>
                <w:szCs w:val="18"/>
                <w:lang w:val="hy-AM"/>
              </w:rPr>
            </w:pPr>
            <w:r w:rsidRPr="00055B78">
              <w:rPr>
                <w:rFonts w:cs="Calibri"/>
                <w:b w:val="0"/>
                <w:color w:val="000000"/>
                <w:sz w:val="18"/>
                <w:szCs w:val="18"/>
                <w:lang w:val="hy-AM"/>
              </w:rPr>
              <w:t xml:space="preserve">2022 </w:t>
            </w:r>
          </w:p>
        </w:tc>
        <w:tc>
          <w:tcPr>
            <w:tcW w:w="1133" w:type="dxa"/>
            <w:tcBorders>
              <w:bottom w:val="single" w:sz="4" w:space="0" w:color="auto"/>
            </w:tcBorders>
            <w:shd w:val="clear" w:color="auto" w:fill="auto"/>
            <w:vAlign w:val="center"/>
          </w:tcPr>
          <w:p w14:paraId="3306EB1D" w14:textId="77777777" w:rsidR="006E6471" w:rsidRPr="00055B78" w:rsidRDefault="006E6471" w:rsidP="000F4905">
            <w:pPr>
              <w:tabs>
                <w:tab w:val="left" w:pos="0"/>
              </w:tabs>
              <w:spacing w:line="240" w:lineRule="auto"/>
              <w:jc w:val="center"/>
              <w:rPr>
                <w:rFonts w:cs="Calibri"/>
                <w:b w:val="0"/>
                <w:color w:val="000000"/>
                <w:sz w:val="18"/>
                <w:szCs w:val="18"/>
                <w:lang w:val="hy-AM"/>
              </w:rPr>
            </w:pPr>
            <w:r w:rsidRPr="00055B78">
              <w:rPr>
                <w:rFonts w:cs="Calibri"/>
                <w:b w:val="0"/>
                <w:color w:val="000000"/>
                <w:sz w:val="18"/>
                <w:szCs w:val="18"/>
                <w:lang w:val="hy-AM"/>
              </w:rPr>
              <w:t>2023</w:t>
            </w:r>
          </w:p>
        </w:tc>
        <w:tc>
          <w:tcPr>
            <w:tcW w:w="2127" w:type="dxa"/>
            <w:tcBorders>
              <w:top w:val="single" w:sz="4" w:space="0" w:color="auto"/>
              <w:bottom w:val="single" w:sz="4" w:space="0" w:color="auto"/>
            </w:tcBorders>
            <w:shd w:val="clear" w:color="auto" w:fill="auto"/>
            <w:vAlign w:val="center"/>
          </w:tcPr>
          <w:p w14:paraId="2B767E0B" w14:textId="77777777" w:rsidR="006E6471" w:rsidRPr="00055B78" w:rsidRDefault="006E6471" w:rsidP="000F4905">
            <w:pPr>
              <w:tabs>
                <w:tab w:val="left" w:pos="0"/>
              </w:tabs>
              <w:spacing w:line="240" w:lineRule="auto"/>
              <w:jc w:val="center"/>
              <w:rPr>
                <w:rFonts w:cs="Calibri"/>
                <w:b w:val="0"/>
                <w:bCs/>
                <w:color w:val="000000"/>
                <w:sz w:val="18"/>
                <w:szCs w:val="18"/>
              </w:rPr>
            </w:pPr>
            <w:r w:rsidRPr="00055B78">
              <w:rPr>
                <w:rFonts w:cs="Calibri"/>
                <w:b w:val="0"/>
                <w:color w:val="000000"/>
                <w:sz w:val="18"/>
                <w:szCs w:val="18"/>
                <w:lang w:val="hy-AM"/>
              </w:rPr>
              <w:t xml:space="preserve">2024 </w:t>
            </w:r>
          </w:p>
        </w:tc>
      </w:tr>
      <w:tr w:rsidR="007C7D1E" w:rsidRPr="00055B78" w14:paraId="21B246C2" w14:textId="77777777" w:rsidTr="000F4905">
        <w:trPr>
          <w:trHeight w:val="221"/>
        </w:trPr>
        <w:tc>
          <w:tcPr>
            <w:tcW w:w="4013" w:type="dxa"/>
            <w:gridSpan w:val="2"/>
            <w:tcBorders>
              <w:top w:val="single" w:sz="4" w:space="0" w:color="auto"/>
            </w:tcBorders>
            <w:shd w:val="clear" w:color="auto" w:fill="FFFFFF"/>
            <w:vAlign w:val="center"/>
            <w:hideMark/>
          </w:tcPr>
          <w:p w14:paraId="32E9D975" w14:textId="77777777" w:rsidR="007C7D1E" w:rsidRPr="00055B78" w:rsidRDefault="007C7D1E" w:rsidP="007C7D1E">
            <w:pPr>
              <w:tabs>
                <w:tab w:val="left" w:pos="0"/>
              </w:tabs>
              <w:spacing w:line="240" w:lineRule="auto"/>
              <w:jc w:val="left"/>
              <w:rPr>
                <w:rFonts w:cs="Calibri"/>
                <w:b w:val="0"/>
                <w:bCs/>
                <w:color w:val="000000"/>
                <w:sz w:val="18"/>
                <w:szCs w:val="18"/>
              </w:rPr>
            </w:pPr>
            <w:r w:rsidRPr="00055B78">
              <w:rPr>
                <w:rFonts w:cs="Arial"/>
                <w:b w:val="0"/>
                <w:bCs/>
                <w:color w:val="000000"/>
                <w:sz w:val="18"/>
                <w:szCs w:val="18"/>
              </w:rPr>
              <w:t>Արտաքին</w:t>
            </w:r>
            <w:r w:rsidRPr="00055B78">
              <w:rPr>
                <w:rFonts w:cs="Calibri"/>
                <w:b w:val="0"/>
                <w:bCs/>
                <w:color w:val="000000"/>
                <w:sz w:val="18"/>
                <w:szCs w:val="18"/>
              </w:rPr>
              <w:t xml:space="preserve"> </w:t>
            </w:r>
            <w:r w:rsidRPr="00055B78">
              <w:rPr>
                <w:rFonts w:cs="Arial"/>
                <w:b w:val="0"/>
                <w:bCs/>
                <w:color w:val="000000"/>
                <w:sz w:val="18"/>
                <w:szCs w:val="18"/>
              </w:rPr>
              <w:t>աղբյուրների</w:t>
            </w:r>
            <w:r w:rsidRPr="00055B78">
              <w:rPr>
                <w:rFonts w:cs="Calibri"/>
                <w:b w:val="0"/>
                <w:bCs/>
                <w:color w:val="000000"/>
                <w:sz w:val="18"/>
                <w:szCs w:val="18"/>
              </w:rPr>
              <w:t xml:space="preserve"> </w:t>
            </w:r>
            <w:r w:rsidRPr="00055B78">
              <w:rPr>
                <w:rFonts w:cs="Arial"/>
                <w:b w:val="0"/>
                <w:bCs/>
                <w:color w:val="000000"/>
                <w:sz w:val="18"/>
                <w:szCs w:val="18"/>
              </w:rPr>
              <w:t>հաշվին</w:t>
            </w:r>
            <w:r w:rsidRPr="00055B78">
              <w:rPr>
                <w:rFonts w:cs="Calibri"/>
                <w:b w:val="0"/>
                <w:bCs/>
                <w:color w:val="000000"/>
                <w:sz w:val="18"/>
                <w:szCs w:val="18"/>
              </w:rPr>
              <w:t xml:space="preserve"> </w:t>
            </w:r>
            <w:r w:rsidRPr="00055B78">
              <w:rPr>
                <w:rFonts w:cs="Arial"/>
                <w:b w:val="0"/>
                <w:bCs/>
                <w:color w:val="000000"/>
                <w:sz w:val="18"/>
                <w:szCs w:val="18"/>
              </w:rPr>
              <w:t>ֆինանսավորվող</w:t>
            </w:r>
            <w:r w:rsidRPr="00055B78">
              <w:rPr>
                <w:rFonts w:cs="Calibri"/>
                <w:b w:val="0"/>
                <w:bCs/>
                <w:color w:val="000000"/>
                <w:sz w:val="18"/>
                <w:szCs w:val="18"/>
              </w:rPr>
              <w:t xml:space="preserve"> </w:t>
            </w:r>
            <w:r w:rsidRPr="00055B78">
              <w:rPr>
                <w:rFonts w:cs="Arial"/>
                <w:b w:val="0"/>
                <w:bCs/>
                <w:color w:val="000000"/>
                <w:sz w:val="18"/>
                <w:szCs w:val="18"/>
              </w:rPr>
              <w:t>ծախսերի</w:t>
            </w:r>
            <w:r w:rsidRPr="00055B78">
              <w:rPr>
                <w:rFonts w:cs="Calibri"/>
                <w:b w:val="0"/>
                <w:bCs/>
                <w:color w:val="000000"/>
                <w:sz w:val="18"/>
                <w:szCs w:val="18"/>
              </w:rPr>
              <w:t xml:space="preserve"> </w:t>
            </w:r>
            <w:r w:rsidRPr="00055B78">
              <w:rPr>
                <w:rFonts w:cs="Arial"/>
                <w:b w:val="0"/>
                <w:bCs/>
                <w:color w:val="000000"/>
                <w:sz w:val="18"/>
                <w:szCs w:val="18"/>
              </w:rPr>
              <w:t>ծավալը</w:t>
            </w:r>
            <w:r w:rsidRPr="00055B78">
              <w:rPr>
                <w:rFonts w:cs="Calibri"/>
                <w:b w:val="0"/>
                <w:bCs/>
                <w:color w:val="000000"/>
                <w:sz w:val="18"/>
                <w:szCs w:val="18"/>
              </w:rPr>
              <w:t xml:space="preserve"> (</w:t>
            </w:r>
            <w:r w:rsidRPr="00055B78">
              <w:rPr>
                <w:rFonts w:cs="Arial"/>
                <w:b w:val="0"/>
                <w:bCs/>
                <w:color w:val="000000"/>
                <w:sz w:val="18"/>
                <w:szCs w:val="18"/>
              </w:rPr>
              <w:t>մլն</w:t>
            </w:r>
            <w:r w:rsidRPr="00055B78">
              <w:rPr>
                <w:rFonts w:cs="Calibri"/>
                <w:b w:val="0"/>
                <w:bCs/>
                <w:color w:val="000000"/>
                <w:sz w:val="18"/>
                <w:szCs w:val="18"/>
              </w:rPr>
              <w:t xml:space="preserve"> </w:t>
            </w:r>
            <w:r w:rsidRPr="00055B78">
              <w:rPr>
                <w:rFonts w:cs="Arial"/>
                <w:b w:val="0"/>
                <w:bCs/>
                <w:color w:val="000000"/>
                <w:sz w:val="18"/>
                <w:szCs w:val="18"/>
              </w:rPr>
              <w:t>դրամ</w:t>
            </w:r>
            <w:r w:rsidRPr="00055B78">
              <w:rPr>
                <w:rFonts w:cs="Calibri"/>
                <w:b w:val="0"/>
                <w:bCs/>
                <w:color w:val="000000"/>
                <w:sz w:val="18"/>
                <w:szCs w:val="18"/>
              </w:rPr>
              <w:t>)</w:t>
            </w:r>
          </w:p>
        </w:tc>
        <w:tc>
          <w:tcPr>
            <w:tcW w:w="850" w:type="dxa"/>
            <w:tcBorders>
              <w:top w:val="single" w:sz="4" w:space="0" w:color="auto"/>
            </w:tcBorders>
            <w:shd w:val="clear" w:color="auto" w:fill="FFFFFF"/>
            <w:vAlign w:val="center"/>
            <w:hideMark/>
          </w:tcPr>
          <w:p w14:paraId="50483E3C" w14:textId="77777777" w:rsidR="007C7D1E" w:rsidRPr="00055B78" w:rsidRDefault="007C7D1E" w:rsidP="007C7D1E">
            <w:pPr>
              <w:tabs>
                <w:tab w:val="left" w:pos="0"/>
              </w:tabs>
              <w:spacing w:line="240" w:lineRule="auto"/>
              <w:jc w:val="center"/>
              <w:rPr>
                <w:rFonts w:cs="Calibri"/>
                <w:b w:val="0"/>
                <w:bCs/>
                <w:color w:val="000000"/>
                <w:sz w:val="18"/>
                <w:szCs w:val="18"/>
              </w:rPr>
            </w:pPr>
            <w:r w:rsidRPr="00055B78">
              <w:rPr>
                <w:b w:val="0"/>
                <w:bCs/>
                <w:color w:val="000000"/>
                <w:sz w:val="18"/>
                <w:szCs w:val="18"/>
              </w:rPr>
              <w:t>47.0</w:t>
            </w:r>
          </w:p>
        </w:tc>
        <w:tc>
          <w:tcPr>
            <w:tcW w:w="822" w:type="dxa"/>
            <w:tcBorders>
              <w:top w:val="single" w:sz="4" w:space="0" w:color="auto"/>
            </w:tcBorders>
            <w:shd w:val="clear" w:color="auto" w:fill="FFFFFF"/>
            <w:vAlign w:val="center"/>
            <w:hideMark/>
          </w:tcPr>
          <w:p w14:paraId="7E8870BD" w14:textId="77777777" w:rsidR="007C7D1E" w:rsidRPr="00055B78" w:rsidRDefault="007C7D1E" w:rsidP="007C7D1E">
            <w:pPr>
              <w:tabs>
                <w:tab w:val="left" w:pos="0"/>
              </w:tabs>
              <w:spacing w:line="240" w:lineRule="auto"/>
              <w:jc w:val="center"/>
              <w:rPr>
                <w:rFonts w:cs="Calibri"/>
                <w:b w:val="0"/>
                <w:bCs/>
                <w:color w:val="000000"/>
                <w:sz w:val="18"/>
                <w:szCs w:val="18"/>
              </w:rPr>
            </w:pPr>
            <w:r w:rsidRPr="00055B78">
              <w:rPr>
                <w:b w:val="0"/>
                <w:bCs/>
                <w:color w:val="000000"/>
                <w:sz w:val="18"/>
                <w:szCs w:val="18"/>
              </w:rPr>
              <w:t>81.1</w:t>
            </w:r>
          </w:p>
        </w:tc>
        <w:tc>
          <w:tcPr>
            <w:tcW w:w="709" w:type="dxa"/>
            <w:tcBorders>
              <w:top w:val="single" w:sz="4" w:space="0" w:color="auto"/>
            </w:tcBorders>
            <w:shd w:val="clear" w:color="auto" w:fill="FFFFFF"/>
            <w:vAlign w:val="center"/>
            <w:hideMark/>
          </w:tcPr>
          <w:p w14:paraId="535A06E8" w14:textId="77777777" w:rsidR="007C7D1E" w:rsidRPr="00055B78" w:rsidRDefault="007C7D1E" w:rsidP="007C7D1E">
            <w:pPr>
              <w:tabs>
                <w:tab w:val="left" w:pos="0"/>
              </w:tabs>
              <w:spacing w:line="240" w:lineRule="auto"/>
              <w:jc w:val="center"/>
              <w:rPr>
                <w:rFonts w:cs="Calibri"/>
                <w:b w:val="0"/>
                <w:bCs/>
                <w:color w:val="000000"/>
                <w:sz w:val="18"/>
                <w:szCs w:val="18"/>
                <w:lang w:val="hy-AM"/>
              </w:rPr>
            </w:pPr>
            <w:r w:rsidRPr="00055B78">
              <w:rPr>
                <w:b w:val="0"/>
                <w:bCs/>
                <w:color w:val="000000"/>
                <w:sz w:val="18"/>
                <w:szCs w:val="18"/>
              </w:rPr>
              <w:t>57.1</w:t>
            </w:r>
          </w:p>
        </w:tc>
        <w:tc>
          <w:tcPr>
            <w:tcW w:w="1133" w:type="dxa"/>
            <w:tcBorders>
              <w:top w:val="single" w:sz="4" w:space="0" w:color="auto"/>
            </w:tcBorders>
            <w:shd w:val="clear" w:color="auto" w:fill="FFFFFF"/>
            <w:vAlign w:val="center"/>
            <w:hideMark/>
          </w:tcPr>
          <w:p w14:paraId="3FC7E30C" w14:textId="77777777" w:rsidR="007C7D1E" w:rsidRPr="00055B78" w:rsidRDefault="007C7D1E" w:rsidP="007C7D1E">
            <w:pPr>
              <w:tabs>
                <w:tab w:val="left" w:pos="0"/>
              </w:tabs>
              <w:spacing w:line="240" w:lineRule="auto"/>
              <w:jc w:val="center"/>
              <w:rPr>
                <w:rFonts w:cs="Calibri"/>
                <w:b w:val="0"/>
                <w:bCs/>
                <w:color w:val="000000"/>
                <w:sz w:val="18"/>
                <w:szCs w:val="18"/>
              </w:rPr>
            </w:pPr>
            <w:r w:rsidRPr="00055B78">
              <w:rPr>
                <w:b w:val="0"/>
                <w:bCs/>
                <w:color w:val="000000"/>
                <w:sz w:val="18"/>
                <w:szCs w:val="18"/>
              </w:rPr>
              <w:t>110.3</w:t>
            </w:r>
          </w:p>
        </w:tc>
        <w:tc>
          <w:tcPr>
            <w:tcW w:w="2127" w:type="dxa"/>
            <w:tcBorders>
              <w:top w:val="single" w:sz="4" w:space="0" w:color="auto"/>
            </w:tcBorders>
            <w:shd w:val="clear" w:color="auto" w:fill="FFFFFF"/>
            <w:vAlign w:val="center"/>
          </w:tcPr>
          <w:p w14:paraId="725E2B5B" w14:textId="212A3F27"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101.2</w:t>
            </w:r>
          </w:p>
        </w:tc>
      </w:tr>
      <w:tr w:rsidR="007C7D1E" w:rsidRPr="00055B78" w14:paraId="34D06FBA" w14:textId="77777777" w:rsidTr="000F4905">
        <w:trPr>
          <w:trHeight w:val="30"/>
        </w:trPr>
        <w:tc>
          <w:tcPr>
            <w:tcW w:w="4013" w:type="dxa"/>
            <w:gridSpan w:val="2"/>
            <w:shd w:val="clear" w:color="auto" w:fill="auto"/>
            <w:vAlign w:val="center"/>
            <w:hideMark/>
          </w:tcPr>
          <w:p w14:paraId="4F514E54" w14:textId="77777777" w:rsidR="007C7D1E" w:rsidRPr="00055B78" w:rsidRDefault="007C7D1E" w:rsidP="007C7D1E">
            <w:pPr>
              <w:tabs>
                <w:tab w:val="left" w:pos="0"/>
              </w:tabs>
              <w:spacing w:line="240" w:lineRule="auto"/>
              <w:jc w:val="left"/>
              <w:rPr>
                <w:rFonts w:cs="Arial"/>
                <w:b w:val="0"/>
                <w:color w:val="000000"/>
                <w:sz w:val="18"/>
                <w:szCs w:val="18"/>
              </w:rPr>
            </w:pPr>
            <w:r w:rsidRPr="00055B78">
              <w:rPr>
                <w:rFonts w:cs="Arial"/>
                <w:b w:val="0"/>
                <w:color w:val="000000"/>
                <w:sz w:val="18"/>
                <w:szCs w:val="18"/>
              </w:rPr>
              <w:t>ՀՆԱ-ի նկատմամբ (%)</w:t>
            </w:r>
          </w:p>
        </w:tc>
        <w:tc>
          <w:tcPr>
            <w:tcW w:w="850" w:type="dxa"/>
            <w:shd w:val="clear" w:color="auto" w:fill="auto"/>
            <w:vAlign w:val="center"/>
            <w:hideMark/>
          </w:tcPr>
          <w:p w14:paraId="7D36BBC9"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0.8</w:t>
            </w:r>
          </w:p>
        </w:tc>
        <w:tc>
          <w:tcPr>
            <w:tcW w:w="822" w:type="dxa"/>
            <w:shd w:val="clear" w:color="auto" w:fill="auto"/>
            <w:vAlign w:val="center"/>
            <w:hideMark/>
          </w:tcPr>
          <w:p w14:paraId="37CF14F7"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1.2</w:t>
            </w:r>
          </w:p>
        </w:tc>
        <w:tc>
          <w:tcPr>
            <w:tcW w:w="709" w:type="dxa"/>
            <w:shd w:val="clear" w:color="auto" w:fill="auto"/>
            <w:vAlign w:val="center"/>
            <w:hideMark/>
          </w:tcPr>
          <w:p w14:paraId="1E6426D1"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0.7</w:t>
            </w:r>
          </w:p>
        </w:tc>
        <w:tc>
          <w:tcPr>
            <w:tcW w:w="1133" w:type="dxa"/>
            <w:shd w:val="clear" w:color="auto" w:fill="auto"/>
            <w:vAlign w:val="center"/>
            <w:hideMark/>
          </w:tcPr>
          <w:p w14:paraId="0331E6AA"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1.2</w:t>
            </w:r>
          </w:p>
        </w:tc>
        <w:tc>
          <w:tcPr>
            <w:tcW w:w="2127" w:type="dxa"/>
            <w:vMerge w:val="restart"/>
            <w:shd w:val="clear" w:color="auto" w:fill="auto"/>
            <w:vAlign w:val="center"/>
          </w:tcPr>
          <w:p w14:paraId="12448278" w14:textId="5963DCCA"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1.0</w:t>
            </w:r>
          </w:p>
          <w:p w14:paraId="128FE1A7" w14:textId="671A13E9"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3.2</w:t>
            </w:r>
          </w:p>
        </w:tc>
      </w:tr>
      <w:tr w:rsidR="007C7D1E" w:rsidRPr="00055B78" w14:paraId="7C415EEC" w14:textId="77777777" w:rsidTr="000F4905">
        <w:trPr>
          <w:trHeight w:val="141"/>
        </w:trPr>
        <w:tc>
          <w:tcPr>
            <w:tcW w:w="4013" w:type="dxa"/>
            <w:gridSpan w:val="2"/>
            <w:tcBorders>
              <w:bottom w:val="single" w:sz="4" w:space="0" w:color="auto"/>
            </w:tcBorders>
            <w:shd w:val="clear" w:color="auto" w:fill="auto"/>
            <w:vAlign w:val="center"/>
            <w:hideMark/>
          </w:tcPr>
          <w:p w14:paraId="3B5B04EB" w14:textId="77777777" w:rsidR="007C7D1E" w:rsidRPr="00055B78" w:rsidRDefault="007C7D1E" w:rsidP="007C7D1E">
            <w:pPr>
              <w:tabs>
                <w:tab w:val="left" w:pos="0"/>
              </w:tabs>
              <w:spacing w:line="240" w:lineRule="auto"/>
              <w:jc w:val="left"/>
              <w:rPr>
                <w:rFonts w:cs="Arial"/>
                <w:b w:val="0"/>
                <w:color w:val="000000"/>
                <w:sz w:val="18"/>
                <w:szCs w:val="18"/>
              </w:rPr>
            </w:pPr>
            <w:r w:rsidRPr="00055B78">
              <w:rPr>
                <w:rFonts w:cs="Arial"/>
                <w:b w:val="0"/>
                <w:color w:val="000000"/>
                <w:sz w:val="18"/>
                <w:szCs w:val="18"/>
              </w:rPr>
              <w:t>Ընդհանուր ծախսերում (%)</w:t>
            </w:r>
          </w:p>
        </w:tc>
        <w:tc>
          <w:tcPr>
            <w:tcW w:w="850" w:type="dxa"/>
            <w:tcBorders>
              <w:bottom w:val="single" w:sz="4" w:space="0" w:color="auto"/>
            </w:tcBorders>
            <w:shd w:val="clear" w:color="auto" w:fill="auto"/>
            <w:vAlign w:val="center"/>
            <w:hideMark/>
          </w:tcPr>
          <w:p w14:paraId="2DD876C0"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2.5</w:t>
            </w:r>
          </w:p>
        </w:tc>
        <w:tc>
          <w:tcPr>
            <w:tcW w:w="822" w:type="dxa"/>
            <w:tcBorders>
              <w:bottom w:val="single" w:sz="4" w:space="0" w:color="auto"/>
            </w:tcBorders>
            <w:shd w:val="clear" w:color="auto" w:fill="auto"/>
            <w:vAlign w:val="center"/>
            <w:hideMark/>
          </w:tcPr>
          <w:p w14:paraId="6450733F"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4.0</w:t>
            </w:r>
          </w:p>
        </w:tc>
        <w:tc>
          <w:tcPr>
            <w:tcW w:w="709" w:type="dxa"/>
            <w:tcBorders>
              <w:bottom w:val="single" w:sz="4" w:space="0" w:color="auto"/>
            </w:tcBorders>
            <w:shd w:val="clear" w:color="auto" w:fill="auto"/>
            <w:vAlign w:val="center"/>
            <w:hideMark/>
          </w:tcPr>
          <w:p w14:paraId="7D622D5F"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2.5</w:t>
            </w:r>
          </w:p>
        </w:tc>
        <w:tc>
          <w:tcPr>
            <w:tcW w:w="1133" w:type="dxa"/>
            <w:tcBorders>
              <w:bottom w:val="single" w:sz="4" w:space="0" w:color="auto"/>
            </w:tcBorders>
            <w:shd w:val="clear" w:color="auto" w:fill="auto"/>
            <w:vAlign w:val="center"/>
            <w:hideMark/>
          </w:tcPr>
          <w:p w14:paraId="3A738E86"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rFonts w:cs="Calibri"/>
                <w:b w:val="0"/>
                <w:color w:val="000000"/>
                <w:sz w:val="18"/>
                <w:szCs w:val="18"/>
              </w:rPr>
              <w:t>4.3</w:t>
            </w:r>
          </w:p>
        </w:tc>
        <w:tc>
          <w:tcPr>
            <w:tcW w:w="2127" w:type="dxa"/>
            <w:vMerge/>
            <w:tcBorders>
              <w:bottom w:val="single" w:sz="4" w:space="0" w:color="auto"/>
            </w:tcBorders>
            <w:shd w:val="clear" w:color="auto" w:fill="auto"/>
            <w:vAlign w:val="center"/>
          </w:tcPr>
          <w:p w14:paraId="7E2F6BA4" w14:textId="77777777" w:rsidR="007C7D1E" w:rsidRPr="007C7D1E" w:rsidRDefault="007C7D1E" w:rsidP="007C7D1E">
            <w:pPr>
              <w:tabs>
                <w:tab w:val="left" w:pos="0"/>
              </w:tabs>
              <w:spacing w:line="240" w:lineRule="auto"/>
              <w:jc w:val="center"/>
              <w:rPr>
                <w:b w:val="0"/>
                <w:bCs/>
                <w:color w:val="000000"/>
                <w:sz w:val="18"/>
                <w:szCs w:val="18"/>
              </w:rPr>
            </w:pPr>
          </w:p>
        </w:tc>
      </w:tr>
      <w:tr w:rsidR="007C7D1E" w:rsidRPr="00C87A27" w14:paraId="1E75FF3A" w14:textId="77777777" w:rsidTr="000F4905">
        <w:trPr>
          <w:gridBefore w:val="1"/>
          <w:wBefore w:w="22" w:type="dxa"/>
          <w:trHeight w:val="141"/>
        </w:trPr>
        <w:tc>
          <w:tcPr>
            <w:tcW w:w="3991" w:type="dxa"/>
            <w:shd w:val="clear" w:color="auto" w:fill="auto"/>
            <w:vAlign w:val="center"/>
          </w:tcPr>
          <w:p w14:paraId="72E376BF" w14:textId="77777777" w:rsidR="007C7D1E" w:rsidRPr="00055B78" w:rsidRDefault="007C7D1E" w:rsidP="007C7D1E">
            <w:pPr>
              <w:tabs>
                <w:tab w:val="left" w:pos="0"/>
              </w:tabs>
              <w:spacing w:line="240" w:lineRule="auto"/>
              <w:jc w:val="left"/>
              <w:rPr>
                <w:b w:val="0"/>
                <w:bCs/>
                <w:color w:val="000000"/>
                <w:sz w:val="18"/>
                <w:szCs w:val="18"/>
              </w:rPr>
            </w:pPr>
            <w:r w:rsidRPr="00055B78">
              <w:rPr>
                <w:b w:val="0"/>
                <w:bCs/>
                <w:color w:val="000000"/>
                <w:sz w:val="18"/>
                <w:szCs w:val="18"/>
              </w:rPr>
              <w:t xml:space="preserve">1. </w:t>
            </w:r>
            <w:r w:rsidRPr="00055B78">
              <w:rPr>
                <w:rFonts w:cs="Arial"/>
                <w:b w:val="0"/>
                <w:bCs/>
                <w:color w:val="000000"/>
                <w:sz w:val="18"/>
                <w:szCs w:val="18"/>
              </w:rPr>
              <w:t>Վարկային</w:t>
            </w:r>
            <w:r w:rsidRPr="00055B78">
              <w:rPr>
                <w:b w:val="0"/>
                <w:bCs/>
                <w:color w:val="000000"/>
                <w:sz w:val="18"/>
                <w:szCs w:val="18"/>
              </w:rPr>
              <w:t xml:space="preserve"> </w:t>
            </w:r>
            <w:r w:rsidRPr="00055B78">
              <w:rPr>
                <w:rFonts w:cs="Arial"/>
                <w:b w:val="0"/>
                <w:bCs/>
                <w:color w:val="000000"/>
                <w:sz w:val="18"/>
                <w:szCs w:val="18"/>
              </w:rPr>
              <w:t>ծրագրերի</w:t>
            </w:r>
            <w:r w:rsidRPr="00055B78">
              <w:rPr>
                <w:b w:val="0"/>
                <w:bCs/>
                <w:color w:val="000000"/>
                <w:sz w:val="18"/>
                <w:szCs w:val="18"/>
              </w:rPr>
              <w:t xml:space="preserve"> </w:t>
            </w:r>
            <w:r w:rsidRPr="00055B78">
              <w:rPr>
                <w:rFonts w:cs="Arial"/>
                <w:b w:val="0"/>
                <w:bCs/>
                <w:color w:val="000000"/>
                <w:sz w:val="18"/>
                <w:szCs w:val="18"/>
              </w:rPr>
              <w:t>և</w:t>
            </w:r>
            <w:r w:rsidRPr="00055B78">
              <w:rPr>
                <w:b w:val="0"/>
                <w:bCs/>
                <w:color w:val="000000"/>
                <w:sz w:val="18"/>
                <w:szCs w:val="18"/>
              </w:rPr>
              <w:t xml:space="preserve"> </w:t>
            </w:r>
            <w:r w:rsidRPr="00055B78">
              <w:rPr>
                <w:rFonts w:cs="Arial"/>
                <w:b w:val="0"/>
                <w:bCs/>
                <w:color w:val="000000"/>
                <w:sz w:val="18"/>
                <w:szCs w:val="18"/>
              </w:rPr>
              <w:t>միջոցառումներ</w:t>
            </w:r>
          </w:p>
        </w:tc>
        <w:tc>
          <w:tcPr>
            <w:tcW w:w="850" w:type="dxa"/>
            <w:shd w:val="clear" w:color="auto" w:fill="auto"/>
            <w:vAlign w:val="center"/>
          </w:tcPr>
          <w:p w14:paraId="1B4F76B3"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bCs/>
                <w:color w:val="000000"/>
                <w:sz w:val="18"/>
                <w:szCs w:val="18"/>
              </w:rPr>
              <w:t>41.4</w:t>
            </w:r>
          </w:p>
        </w:tc>
        <w:tc>
          <w:tcPr>
            <w:tcW w:w="822" w:type="dxa"/>
            <w:shd w:val="clear" w:color="auto" w:fill="auto"/>
            <w:vAlign w:val="center"/>
          </w:tcPr>
          <w:p w14:paraId="52896780"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bCs/>
                <w:color w:val="000000"/>
                <w:sz w:val="18"/>
                <w:szCs w:val="18"/>
              </w:rPr>
              <w:t>73.6</w:t>
            </w:r>
          </w:p>
        </w:tc>
        <w:tc>
          <w:tcPr>
            <w:tcW w:w="709" w:type="dxa"/>
            <w:shd w:val="clear" w:color="auto" w:fill="auto"/>
            <w:vAlign w:val="center"/>
          </w:tcPr>
          <w:p w14:paraId="7C54755C"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b w:val="0"/>
                <w:bCs/>
                <w:color w:val="000000"/>
                <w:sz w:val="18"/>
                <w:szCs w:val="18"/>
              </w:rPr>
              <w:t>46.9</w:t>
            </w:r>
          </w:p>
        </w:tc>
        <w:tc>
          <w:tcPr>
            <w:tcW w:w="1133" w:type="dxa"/>
            <w:shd w:val="clear" w:color="auto" w:fill="auto"/>
            <w:vAlign w:val="center"/>
          </w:tcPr>
          <w:p w14:paraId="4F273EC9"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bCs/>
                <w:color w:val="000000"/>
                <w:sz w:val="18"/>
                <w:szCs w:val="18"/>
              </w:rPr>
              <w:t>94.1</w:t>
            </w:r>
          </w:p>
        </w:tc>
        <w:tc>
          <w:tcPr>
            <w:tcW w:w="2127" w:type="dxa"/>
            <w:vMerge w:val="restart"/>
            <w:shd w:val="clear" w:color="auto" w:fill="auto"/>
            <w:vAlign w:val="center"/>
          </w:tcPr>
          <w:p w14:paraId="4F76A3C9" w14:textId="77777777"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86.5</w:t>
            </w:r>
          </w:p>
          <w:p w14:paraId="62A431E2" w14:textId="6E7ACC60"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0.8</w:t>
            </w:r>
          </w:p>
          <w:p w14:paraId="7B4B9A93" w14:textId="239FDDFC"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2.7</w:t>
            </w:r>
          </w:p>
        </w:tc>
      </w:tr>
      <w:tr w:rsidR="007C7D1E" w:rsidRPr="00C87A27" w14:paraId="55E8859B" w14:textId="77777777" w:rsidTr="000F4905">
        <w:trPr>
          <w:gridBefore w:val="1"/>
          <w:wBefore w:w="22" w:type="dxa"/>
          <w:trHeight w:val="80"/>
        </w:trPr>
        <w:tc>
          <w:tcPr>
            <w:tcW w:w="3991" w:type="dxa"/>
            <w:shd w:val="clear" w:color="auto" w:fill="auto"/>
            <w:vAlign w:val="center"/>
          </w:tcPr>
          <w:p w14:paraId="2FCD176F"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rFonts w:cs="Arial"/>
                <w:b w:val="0"/>
                <w:color w:val="000000"/>
                <w:sz w:val="18"/>
                <w:szCs w:val="18"/>
              </w:rPr>
              <w:t>ՀՆԱ</w:t>
            </w:r>
            <w:r w:rsidRPr="00055B78">
              <w:rPr>
                <w:rFonts w:cs="Calibri"/>
                <w:b w:val="0"/>
                <w:color w:val="000000"/>
                <w:sz w:val="18"/>
                <w:szCs w:val="18"/>
              </w:rPr>
              <w:t>-</w:t>
            </w:r>
            <w:r w:rsidRPr="00055B78">
              <w:rPr>
                <w:rFonts w:cs="Arial"/>
                <w:b w:val="0"/>
                <w:color w:val="000000"/>
                <w:sz w:val="18"/>
                <w:szCs w:val="18"/>
              </w:rPr>
              <w:t>ի</w:t>
            </w:r>
            <w:r w:rsidRPr="00055B78">
              <w:rPr>
                <w:rFonts w:cs="Calibri"/>
                <w:b w:val="0"/>
                <w:color w:val="000000"/>
                <w:sz w:val="18"/>
                <w:szCs w:val="18"/>
              </w:rPr>
              <w:t xml:space="preserve"> </w:t>
            </w:r>
            <w:r w:rsidRPr="00055B78">
              <w:rPr>
                <w:rFonts w:cs="Arial"/>
                <w:b w:val="0"/>
                <w:color w:val="000000"/>
                <w:sz w:val="18"/>
                <w:szCs w:val="18"/>
              </w:rPr>
              <w:t>նկատմամբ</w:t>
            </w:r>
            <w:r w:rsidRPr="00055B78">
              <w:rPr>
                <w:rFonts w:cs="Calibri"/>
                <w:b w:val="0"/>
                <w:color w:val="000000"/>
                <w:sz w:val="18"/>
                <w:szCs w:val="18"/>
              </w:rPr>
              <w:t xml:space="preserve"> (%)</w:t>
            </w:r>
          </w:p>
        </w:tc>
        <w:tc>
          <w:tcPr>
            <w:tcW w:w="850" w:type="dxa"/>
            <w:shd w:val="clear" w:color="auto" w:fill="auto"/>
            <w:vAlign w:val="center"/>
          </w:tcPr>
          <w:p w14:paraId="6A08BC1D"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0.7</w:t>
            </w:r>
          </w:p>
        </w:tc>
        <w:tc>
          <w:tcPr>
            <w:tcW w:w="822" w:type="dxa"/>
            <w:shd w:val="clear" w:color="auto" w:fill="auto"/>
            <w:vAlign w:val="center"/>
          </w:tcPr>
          <w:p w14:paraId="6C25869D"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1.1</w:t>
            </w:r>
          </w:p>
        </w:tc>
        <w:tc>
          <w:tcPr>
            <w:tcW w:w="709" w:type="dxa"/>
            <w:shd w:val="clear" w:color="auto" w:fill="auto"/>
            <w:vAlign w:val="center"/>
          </w:tcPr>
          <w:p w14:paraId="76AA2C51"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b w:val="0"/>
                <w:color w:val="000000"/>
                <w:sz w:val="18"/>
                <w:szCs w:val="18"/>
              </w:rPr>
              <w:t>0.6</w:t>
            </w:r>
          </w:p>
        </w:tc>
        <w:tc>
          <w:tcPr>
            <w:tcW w:w="1133" w:type="dxa"/>
            <w:shd w:val="clear" w:color="auto" w:fill="auto"/>
            <w:vAlign w:val="center"/>
          </w:tcPr>
          <w:p w14:paraId="79732638"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1.0</w:t>
            </w:r>
          </w:p>
        </w:tc>
        <w:tc>
          <w:tcPr>
            <w:tcW w:w="2127" w:type="dxa"/>
            <w:vMerge/>
            <w:shd w:val="clear" w:color="auto" w:fill="auto"/>
            <w:vAlign w:val="center"/>
          </w:tcPr>
          <w:p w14:paraId="518E29DB" w14:textId="77777777" w:rsidR="007C7D1E" w:rsidRPr="007C7D1E" w:rsidRDefault="007C7D1E" w:rsidP="007C7D1E">
            <w:pPr>
              <w:tabs>
                <w:tab w:val="left" w:pos="0"/>
              </w:tabs>
              <w:spacing w:line="240" w:lineRule="auto"/>
              <w:jc w:val="center"/>
              <w:rPr>
                <w:b w:val="0"/>
                <w:bCs/>
                <w:color w:val="000000"/>
                <w:sz w:val="18"/>
                <w:szCs w:val="18"/>
              </w:rPr>
            </w:pPr>
          </w:p>
        </w:tc>
      </w:tr>
      <w:tr w:rsidR="007C7D1E" w:rsidRPr="00C87A27" w14:paraId="7AC23AD8" w14:textId="77777777" w:rsidTr="000F4905">
        <w:trPr>
          <w:gridBefore w:val="1"/>
          <w:wBefore w:w="22" w:type="dxa"/>
          <w:trHeight w:val="141"/>
        </w:trPr>
        <w:tc>
          <w:tcPr>
            <w:tcW w:w="3991" w:type="dxa"/>
            <w:tcBorders>
              <w:bottom w:val="single" w:sz="4" w:space="0" w:color="auto"/>
            </w:tcBorders>
            <w:shd w:val="clear" w:color="auto" w:fill="auto"/>
            <w:vAlign w:val="center"/>
          </w:tcPr>
          <w:p w14:paraId="545A7D59"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rFonts w:cs="Arial"/>
                <w:b w:val="0"/>
                <w:color w:val="000000"/>
                <w:sz w:val="18"/>
                <w:szCs w:val="18"/>
              </w:rPr>
              <w:t>Ընդհանուր</w:t>
            </w:r>
            <w:r w:rsidRPr="00055B78">
              <w:rPr>
                <w:rFonts w:cs="Calibri"/>
                <w:b w:val="0"/>
                <w:color w:val="000000"/>
                <w:sz w:val="18"/>
                <w:szCs w:val="18"/>
              </w:rPr>
              <w:t xml:space="preserve"> </w:t>
            </w:r>
            <w:r w:rsidRPr="00055B78">
              <w:rPr>
                <w:rFonts w:cs="Arial"/>
                <w:b w:val="0"/>
                <w:color w:val="000000"/>
                <w:sz w:val="18"/>
                <w:szCs w:val="18"/>
              </w:rPr>
              <w:t>ծախսերում</w:t>
            </w:r>
            <w:r w:rsidRPr="00055B78">
              <w:rPr>
                <w:rFonts w:cs="Calibri"/>
                <w:b w:val="0"/>
                <w:color w:val="000000"/>
                <w:sz w:val="18"/>
                <w:szCs w:val="18"/>
              </w:rPr>
              <w:t xml:space="preserve"> (%)</w:t>
            </w:r>
          </w:p>
        </w:tc>
        <w:tc>
          <w:tcPr>
            <w:tcW w:w="850" w:type="dxa"/>
            <w:tcBorders>
              <w:bottom w:val="single" w:sz="4" w:space="0" w:color="auto"/>
            </w:tcBorders>
            <w:shd w:val="clear" w:color="auto" w:fill="auto"/>
            <w:vAlign w:val="center"/>
          </w:tcPr>
          <w:p w14:paraId="2E87AAB5"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2.2</w:t>
            </w:r>
          </w:p>
        </w:tc>
        <w:tc>
          <w:tcPr>
            <w:tcW w:w="822" w:type="dxa"/>
            <w:tcBorders>
              <w:bottom w:val="single" w:sz="4" w:space="0" w:color="auto"/>
            </w:tcBorders>
            <w:shd w:val="clear" w:color="auto" w:fill="auto"/>
            <w:vAlign w:val="center"/>
          </w:tcPr>
          <w:p w14:paraId="25ACA065"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3.7</w:t>
            </w:r>
          </w:p>
        </w:tc>
        <w:tc>
          <w:tcPr>
            <w:tcW w:w="709" w:type="dxa"/>
            <w:tcBorders>
              <w:bottom w:val="single" w:sz="4" w:space="0" w:color="auto"/>
            </w:tcBorders>
            <w:shd w:val="clear" w:color="auto" w:fill="auto"/>
            <w:vAlign w:val="center"/>
          </w:tcPr>
          <w:p w14:paraId="6A9216D5"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b w:val="0"/>
                <w:color w:val="000000"/>
                <w:sz w:val="18"/>
                <w:szCs w:val="18"/>
              </w:rPr>
              <w:t>2.1</w:t>
            </w:r>
          </w:p>
        </w:tc>
        <w:tc>
          <w:tcPr>
            <w:tcW w:w="1133" w:type="dxa"/>
            <w:tcBorders>
              <w:bottom w:val="single" w:sz="4" w:space="0" w:color="auto"/>
            </w:tcBorders>
            <w:shd w:val="clear" w:color="auto" w:fill="auto"/>
            <w:vAlign w:val="center"/>
          </w:tcPr>
          <w:p w14:paraId="0182E8E9"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3.6</w:t>
            </w:r>
          </w:p>
        </w:tc>
        <w:tc>
          <w:tcPr>
            <w:tcW w:w="2127" w:type="dxa"/>
            <w:vMerge/>
            <w:tcBorders>
              <w:bottom w:val="single" w:sz="4" w:space="0" w:color="auto"/>
            </w:tcBorders>
            <w:shd w:val="clear" w:color="auto" w:fill="auto"/>
            <w:vAlign w:val="center"/>
          </w:tcPr>
          <w:p w14:paraId="162DEBF8" w14:textId="77777777" w:rsidR="007C7D1E" w:rsidRPr="007C7D1E" w:rsidRDefault="007C7D1E" w:rsidP="007C7D1E">
            <w:pPr>
              <w:tabs>
                <w:tab w:val="left" w:pos="0"/>
              </w:tabs>
              <w:spacing w:line="240" w:lineRule="auto"/>
              <w:jc w:val="center"/>
              <w:rPr>
                <w:b w:val="0"/>
                <w:bCs/>
                <w:color w:val="000000"/>
                <w:sz w:val="18"/>
                <w:szCs w:val="18"/>
              </w:rPr>
            </w:pPr>
          </w:p>
        </w:tc>
      </w:tr>
      <w:tr w:rsidR="007C7D1E" w:rsidRPr="00C87A27" w14:paraId="02B24639" w14:textId="77777777" w:rsidTr="000F4905">
        <w:trPr>
          <w:gridBefore w:val="1"/>
          <w:wBefore w:w="22" w:type="dxa"/>
          <w:trHeight w:val="141"/>
        </w:trPr>
        <w:tc>
          <w:tcPr>
            <w:tcW w:w="3991" w:type="dxa"/>
            <w:tcBorders>
              <w:top w:val="single" w:sz="4" w:space="0" w:color="auto"/>
            </w:tcBorders>
            <w:shd w:val="clear" w:color="auto" w:fill="auto"/>
            <w:vAlign w:val="center"/>
          </w:tcPr>
          <w:p w14:paraId="08586D31"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b w:val="0"/>
                <w:bCs/>
                <w:color w:val="000000"/>
                <w:sz w:val="18"/>
                <w:szCs w:val="18"/>
              </w:rPr>
              <w:lastRenderedPageBreak/>
              <w:t xml:space="preserve">2. </w:t>
            </w:r>
            <w:r w:rsidRPr="00055B78">
              <w:rPr>
                <w:rFonts w:cs="Arial"/>
                <w:b w:val="0"/>
                <w:bCs/>
                <w:color w:val="000000"/>
                <w:sz w:val="18"/>
                <w:szCs w:val="18"/>
              </w:rPr>
              <w:t>Դրամաշնորհային</w:t>
            </w:r>
            <w:r w:rsidRPr="00055B78">
              <w:rPr>
                <w:b w:val="0"/>
                <w:bCs/>
                <w:color w:val="000000"/>
                <w:sz w:val="18"/>
                <w:szCs w:val="18"/>
              </w:rPr>
              <w:t xml:space="preserve"> </w:t>
            </w:r>
            <w:r w:rsidRPr="00055B78">
              <w:rPr>
                <w:rFonts w:cs="Arial"/>
                <w:b w:val="0"/>
                <w:bCs/>
                <w:color w:val="000000"/>
                <w:sz w:val="18"/>
                <w:szCs w:val="18"/>
              </w:rPr>
              <w:t>ծրագրերի</w:t>
            </w:r>
            <w:r w:rsidRPr="00055B78">
              <w:rPr>
                <w:b w:val="0"/>
                <w:bCs/>
                <w:color w:val="000000"/>
                <w:sz w:val="18"/>
                <w:szCs w:val="18"/>
              </w:rPr>
              <w:t xml:space="preserve"> </w:t>
            </w:r>
            <w:r w:rsidRPr="00055B78">
              <w:rPr>
                <w:rFonts w:cs="Arial"/>
                <w:b w:val="0"/>
                <w:bCs/>
                <w:color w:val="000000"/>
                <w:sz w:val="18"/>
                <w:szCs w:val="18"/>
              </w:rPr>
              <w:t>և</w:t>
            </w:r>
            <w:r w:rsidRPr="00055B78">
              <w:rPr>
                <w:b w:val="0"/>
                <w:bCs/>
                <w:color w:val="000000"/>
                <w:sz w:val="18"/>
                <w:szCs w:val="18"/>
              </w:rPr>
              <w:t xml:space="preserve"> </w:t>
            </w:r>
            <w:r w:rsidRPr="00055B78">
              <w:rPr>
                <w:rFonts w:cs="Arial"/>
                <w:b w:val="0"/>
                <w:bCs/>
                <w:color w:val="000000"/>
                <w:sz w:val="18"/>
                <w:szCs w:val="18"/>
              </w:rPr>
              <w:t>միջոցառումներ</w:t>
            </w:r>
          </w:p>
        </w:tc>
        <w:tc>
          <w:tcPr>
            <w:tcW w:w="850" w:type="dxa"/>
            <w:tcBorders>
              <w:top w:val="single" w:sz="4" w:space="0" w:color="auto"/>
            </w:tcBorders>
            <w:shd w:val="clear" w:color="auto" w:fill="auto"/>
            <w:vAlign w:val="center"/>
          </w:tcPr>
          <w:p w14:paraId="43619E48"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bCs/>
                <w:color w:val="000000"/>
                <w:sz w:val="18"/>
                <w:szCs w:val="18"/>
              </w:rPr>
              <w:t>5.6</w:t>
            </w:r>
          </w:p>
        </w:tc>
        <w:tc>
          <w:tcPr>
            <w:tcW w:w="822" w:type="dxa"/>
            <w:tcBorders>
              <w:top w:val="single" w:sz="4" w:space="0" w:color="auto"/>
            </w:tcBorders>
            <w:shd w:val="clear" w:color="auto" w:fill="auto"/>
            <w:vAlign w:val="center"/>
          </w:tcPr>
          <w:p w14:paraId="130213D0"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bCs/>
                <w:color w:val="000000"/>
                <w:sz w:val="18"/>
                <w:szCs w:val="18"/>
              </w:rPr>
              <w:t>7.6</w:t>
            </w:r>
          </w:p>
        </w:tc>
        <w:tc>
          <w:tcPr>
            <w:tcW w:w="709" w:type="dxa"/>
            <w:tcBorders>
              <w:top w:val="single" w:sz="4" w:space="0" w:color="auto"/>
            </w:tcBorders>
            <w:shd w:val="clear" w:color="auto" w:fill="auto"/>
            <w:vAlign w:val="center"/>
          </w:tcPr>
          <w:p w14:paraId="51BEDC5E"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b w:val="0"/>
                <w:bCs/>
                <w:color w:val="000000"/>
                <w:sz w:val="18"/>
                <w:szCs w:val="18"/>
              </w:rPr>
              <w:t>10.2</w:t>
            </w:r>
          </w:p>
        </w:tc>
        <w:tc>
          <w:tcPr>
            <w:tcW w:w="1133" w:type="dxa"/>
            <w:tcBorders>
              <w:top w:val="single" w:sz="4" w:space="0" w:color="auto"/>
            </w:tcBorders>
            <w:shd w:val="clear" w:color="auto" w:fill="auto"/>
            <w:vAlign w:val="center"/>
          </w:tcPr>
          <w:p w14:paraId="2218D8C5"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bCs/>
                <w:color w:val="000000"/>
                <w:sz w:val="18"/>
                <w:szCs w:val="18"/>
              </w:rPr>
              <w:t>16.2</w:t>
            </w:r>
          </w:p>
        </w:tc>
        <w:tc>
          <w:tcPr>
            <w:tcW w:w="2127" w:type="dxa"/>
            <w:tcBorders>
              <w:top w:val="single" w:sz="4" w:space="0" w:color="auto"/>
            </w:tcBorders>
            <w:shd w:val="clear" w:color="auto" w:fill="auto"/>
            <w:vAlign w:val="center"/>
          </w:tcPr>
          <w:p w14:paraId="2E40B025" w14:textId="299CF25A"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14.7</w:t>
            </w:r>
          </w:p>
        </w:tc>
      </w:tr>
      <w:tr w:rsidR="007C7D1E" w:rsidRPr="00C87A27" w14:paraId="02EDDEF4" w14:textId="77777777" w:rsidTr="000F4905">
        <w:trPr>
          <w:gridBefore w:val="1"/>
          <w:wBefore w:w="22" w:type="dxa"/>
          <w:trHeight w:val="141"/>
        </w:trPr>
        <w:tc>
          <w:tcPr>
            <w:tcW w:w="3991" w:type="dxa"/>
            <w:shd w:val="clear" w:color="auto" w:fill="auto"/>
            <w:vAlign w:val="center"/>
          </w:tcPr>
          <w:p w14:paraId="0C3CB6D3" w14:textId="77777777" w:rsidR="007C7D1E" w:rsidRPr="00055B78" w:rsidRDefault="007C7D1E" w:rsidP="007C7D1E">
            <w:pPr>
              <w:tabs>
                <w:tab w:val="left" w:pos="0"/>
              </w:tabs>
              <w:spacing w:line="240" w:lineRule="auto"/>
              <w:jc w:val="left"/>
              <w:rPr>
                <w:rFonts w:cs="Arial"/>
                <w:b w:val="0"/>
                <w:color w:val="000000"/>
                <w:sz w:val="18"/>
                <w:szCs w:val="18"/>
              </w:rPr>
            </w:pPr>
            <w:r w:rsidRPr="00055B78">
              <w:rPr>
                <w:rFonts w:cs="Arial"/>
                <w:b w:val="0"/>
                <w:color w:val="000000"/>
                <w:sz w:val="18"/>
                <w:szCs w:val="18"/>
              </w:rPr>
              <w:t>ՀՆԱ-ի նկատմամբ (%)</w:t>
            </w:r>
          </w:p>
        </w:tc>
        <w:tc>
          <w:tcPr>
            <w:tcW w:w="850" w:type="dxa"/>
            <w:shd w:val="clear" w:color="auto" w:fill="auto"/>
            <w:vAlign w:val="center"/>
          </w:tcPr>
          <w:p w14:paraId="103E8663"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0.1</w:t>
            </w:r>
          </w:p>
        </w:tc>
        <w:tc>
          <w:tcPr>
            <w:tcW w:w="822" w:type="dxa"/>
            <w:shd w:val="clear" w:color="auto" w:fill="auto"/>
            <w:vAlign w:val="center"/>
          </w:tcPr>
          <w:p w14:paraId="49B6443E"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0.1</w:t>
            </w:r>
          </w:p>
        </w:tc>
        <w:tc>
          <w:tcPr>
            <w:tcW w:w="709" w:type="dxa"/>
            <w:shd w:val="clear" w:color="auto" w:fill="auto"/>
            <w:vAlign w:val="center"/>
          </w:tcPr>
          <w:p w14:paraId="7064E9A1"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b w:val="0"/>
                <w:color w:val="000000"/>
                <w:sz w:val="18"/>
                <w:szCs w:val="18"/>
              </w:rPr>
              <w:t>0.1</w:t>
            </w:r>
          </w:p>
        </w:tc>
        <w:tc>
          <w:tcPr>
            <w:tcW w:w="1133" w:type="dxa"/>
            <w:shd w:val="clear" w:color="auto" w:fill="auto"/>
            <w:vAlign w:val="center"/>
          </w:tcPr>
          <w:p w14:paraId="6A63CB9C"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0.2</w:t>
            </w:r>
          </w:p>
        </w:tc>
        <w:tc>
          <w:tcPr>
            <w:tcW w:w="2127" w:type="dxa"/>
            <w:shd w:val="clear" w:color="auto" w:fill="auto"/>
            <w:vAlign w:val="center"/>
          </w:tcPr>
          <w:p w14:paraId="1186FEE9" w14:textId="77FF6CF1"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0.1</w:t>
            </w:r>
          </w:p>
        </w:tc>
      </w:tr>
      <w:tr w:rsidR="007C7D1E" w:rsidRPr="00C87A27" w14:paraId="45A5D6C7" w14:textId="77777777" w:rsidTr="000F4905">
        <w:trPr>
          <w:gridBefore w:val="1"/>
          <w:wBefore w:w="22" w:type="dxa"/>
          <w:trHeight w:val="141"/>
        </w:trPr>
        <w:tc>
          <w:tcPr>
            <w:tcW w:w="3991" w:type="dxa"/>
            <w:tcBorders>
              <w:bottom w:val="single" w:sz="4" w:space="0" w:color="auto"/>
            </w:tcBorders>
            <w:shd w:val="clear" w:color="auto" w:fill="auto"/>
            <w:vAlign w:val="center"/>
          </w:tcPr>
          <w:p w14:paraId="7A8EF3DB" w14:textId="77777777" w:rsidR="007C7D1E" w:rsidRPr="00055B78" w:rsidRDefault="007C7D1E" w:rsidP="007C7D1E">
            <w:pPr>
              <w:tabs>
                <w:tab w:val="left" w:pos="0"/>
              </w:tabs>
              <w:spacing w:line="240" w:lineRule="auto"/>
              <w:jc w:val="left"/>
              <w:rPr>
                <w:rFonts w:cs="Arial"/>
                <w:b w:val="0"/>
                <w:color w:val="000000"/>
                <w:sz w:val="18"/>
                <w:szCs w:val="18"/>
              </w:rPr>
            </w:pPr>
            <w:r w:rsidRPr="00055B78">
              <w:rPr>
                <w:rFonts w:cs="Arial"/>
                <w:b w:val="0"/>
                <w:color w:val="000000"/>
                <w:sz w:val="18"/>
                <w:szCs w:val="18"/>
              </w:rPr>
              <w:t>Ընդհանուր ծախսերում (%)</w:t>
            </w:r>
          </w:p>
        </w:tc>
        <w:tc>
          <w:tcPr>
            <w:tcW w:w="850" w:type="dxa"/>
            <w:tcBorders>
              <w:bottom w:val="single" w:sz="4" w:space="0" w:color="auto"/>
            </w:tcBorders>
            <w:shd w:val="clear" w:color="auto" w:fill="auto"/>
            <w:vAlign w:val="center"/>
          </w:tcPr>
          <w:p w14:paraId="592E01C2"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0.3</w:t>
            </w:r>
          </w:p>
        </w:tc>
        <w:tc>
          <w:tcPr>
            <w:tcW w:w="822" w:type="dxa"/>
            <w:tcBorders>
              <w:bottom w:val="single" w:sz="4" w:space="0" w:color="auto"/>
            </w:tcBorders>
            <w:shd w:val="clear" w:color="auto" w:fill="auto"/>
            <w:vAlign w:val="center"/>
          </w:tcPr>
          <w:p w14:paraId="5506614B"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0.4</w:t>
            </w:r>
          </w:p>
        </w:tc>
        <w:tc>
          <w:tcPr>
            <w:tcW w:w="709" w:type="dxa"/>
            <w:tcBorders>
              <w:bottom w:val="single" w:sz="4" w:space="0" w:color="auto"/>
            </w:tcBorders>
            <w:shd w:val="clear" w:color="auto" w:fill="auto"/>
            <w:vAlign w:val="center"/>
          </w:tcPr>
          <w:p w14:paraId="70CF50B6" w14:textId="77777777" w:rsidR="007C7D1E" w:rsidRPr="00055B78" w:rsidRDefault="007C7D1E" w:rsidP="007C7D1E">
            <w:pPr>
              <w:tabs>
                <w:tab w:val="left" w:pos="0"/>
              </w:tabs>
              <w:spacing w:line="240" w:lineRule="auto"/>
              <w:jc w:val="left"/>
              <w:rPr>
                <w:rFonts w:cs="Calibri"/>
                <w:b w:val="0"/>
                <w:color w:val="000000"/>
                <w:sz w:val="18"/>
                <w:szCs w:val="18"/>
              </w:rPr>
            </w:pPr>
            <w:r w:rsidRPr="00055B78">
              <w:rPr>
                <w:b w:val="0"/>
                <w:color w:val="000000"/>
                <w:sz w:val="18"/>
                <w:szCs w:val="18"/>
              </w:rPr>
              <w:t>0.5</w:t>
            </w:r>
          </w:p>
        </w:tc>
        <w:tc>
          <w:tcPr>
            <w:tcW w:w="1133" w:type="dxa"/>
            <w:tcBorders>
              <w:bottom w:val="single" w:sz="4" w:space="0" w:color="auto"/>
            </w:tcBorders>
            <w:shd w:val="clear" w:color="auto" w:fill="auto"/>
            <w:vAlign w:val="center"/>
          </w:tcPr>
          <w:p w14:paraId="5C58477B" w14:textId="77777777" w:rsidR="007C7D1E" w:rsidRPr="00055B78" w:rsidRDefault="007C7D1E" w:rsidP="007C7D1E">
            <w:pPr>
              <w:tabs>
                <w:tab w:val="left" w:pos="0"/>
              </w:tabs>
              <w:spacing w:line="240" w:lineRule="auto"/>
              <w:jc w:val="center"/>
              <w:rPr>
                <w:rFonts w:cs="Calibri"/>
                <w:b w:val="0"/>
                <w:color w:val="000000"/>
                <w:sz w:val="18"/>
                <w:szCs w:val="18"/>
              </w:rPr>
            </w:pPr>
            <w:r w:rsidRPr="00055B78">
              <w:rPr>
                <w:b w:val="0"/>
                <w:color w:val="000000"/>
                <w:sz w:val="18"/>
                <w:szCs w:val="18"/>
              </w:rPr>
              <w:t>0.6</w:t>
            </w:r>
          </w:p>
        </w:tc>
        <w:tc>
          <w:tcPr>
            <w:tcW w:w="2127" w:type="dxa"/>
            <w:tcBorders>
              <w:bottom w:val="single" w:sz="4" w:space="0" w:color="auto"/>
            </w:tcBorders>
            <w:shd w:val="clear" w:color="auto" w:fill="auto"/>
            <w:vAlign w:val="center"/>
          </w:tcPr>
          <w:p w14:paraId="41BB3324" w14:textId="1D035350" w:rsidR="007C7D1E" w:rsidRPr="007C7D1E" w:rsidRDefault="007C7D1E" w:rsidP="007C7D1E">
            <w:pPr>
              <w:tabs>
                <w:tab w:val="left" w:pos="0"/>
              </w:tabs>
              <w:spacing w:line="240" w:lineRule="auto"/>
              <w:jc w:val="center"/>
              <w:rPr>
                <w:b w:val="0"/>
                <w:bCs/>
                <w:color w:val="000000"/>
                <w:sz w:val="18"/>
                <w:szCs w:val="18"/>
              </w:rPr>
            </w:pPr>
            <w:r w:rsidRPr="007C7D1E">
              <w:rPr>
                <w:b w:val="0"/>
                <w:bCs/>
                <w:color w:val="000000"/>
                <w:sz w:val="18"/>
                <w:szCs w:val="18"/>
              </w:rPr>
              <w:t>0.5</w:t>
            </w:r>
          </w:p>
        </w:tc>
      </w:tr>
    </w:tbl>
    <w:p w14:paraId="062D5CF3" w14:textId="77777777" w:rsidR="006E6471" w:rsidRPr="00C74BDD" w:rsidRDefault="006E6471" w:rsidP="006E6471">
      <w:pPr>
        <w:jc w:val="left"/>
        <w:rPr>
          <w:rFonts w:eastAsiaTheme="minorHAnsi" w:cs="Cambria Math"/>
          <w:b w:val="0"/>
          <w:sz w:val="24"/>
          <w:highlight w:val="yellow"/>
          <w:lang w:val="en-US" w:eastAsia="en-US"/>
        </w:rPr>
      </w:pPr>
    </w:p>
    <w:p w14:paraId="155382CA" w14:textId="5D99F03D" w:rsidR="006E6471" w:rsidRDefault="006E6471" w:rsidP="006E6471">
      <w:pPr>
        <w:rPr>
          <w:rFonts w:eastAsiaTheme="minorHAnsi" w:cs="Cambria Math"/>
          <w:b w:val="0"/>
          <w:szCs w:val="22"/>
          <w:lang w:val="en-US" w:eastAsia="en-US"/>
        </w:rPr>
      </w:pPr>
      <w:r w:rsidRPr="00C74BDD">
        <w:rPr>
          <w:rFonts w:eastAsiaTheme="minorHAnsi" w:cs="Cambria Math"/>
          <w:b w:val="0"/>
          <w:szCs w:val="22"/>
          <w:lang w:val="en-US" w:eastAsia="en-US"/>
        </w:rPr>
        <w:t>Արտաքին  աղբյուրներից վարկերի և պաշտոնական դրամաշնորհների տեսքով ստաց</w:t>
      </w:r>
      <w:r w:rsidRPr="00C74BDD">
        <w:rPr>
          <w:rFonts w:eastAsiaTheme="minorHAnsi" w:cs="Cambria Math"/>
          <w:b w:val="0"/>
          <w:szCs w:val="22"/>
          <w:lang w:val="en-US" w:eastAsia="en-US"/>
        </w:rPr>
        <w:softHyphen/>
        <w:t>վե</w:t>
      </w:r>
      <w:r w:rsidRPr="00C74BDD">
        <w:rPr>
          <w:rFonts w:eastAsiaTheme="minorHAnsi" w:cs="Cambria Math"/>
          <w:b w:val="0"/>
          <w:szCs w:val="22"/>
          <w:lang w:val="en-US" w:eastAsia="en-US"/>
        </w:rPr>
        <w:softHyphen/>
        <w:t>լիք մի</w:t>
      </w:r>
      <w:r w:rsidRPr="00C74BDD">
        <w:rPr>
          <w:rFonts w:eastAsiaTheme="minorHAnsi" w:cs="Cambria Math"/>
          <w:b w:val="0"/>
          <w:szCs w:val="22"/>
          <w:lang w:val="en-US" w:eastAsia="en-US"/>
        </w:rPr>
        <w:softHyphen/>
        <w:t>ջոցների հաշվին 202</w:t>
      </w:r>
      <w:r>
        <w:rPr>
          <w:rFonts w:eastAsiaTheme="minorHAnsi" w:cs="Cambria Math"/>
          <w:b w:val="0"/>
          <w:szCs w:val="22"/>
          <w:lang w:val="hy-AM" w:eastAsia="en-US"/>
        </w:rPr>
        <w:t>4</w:t>
      </w:r>
      <w:r w:rsidRPr="00C74BDD">
        <w:rPr>
          <w:rFonts w:eastAsiaTheme="minorHAnsi" w:cs="Cambria Math"/>
          <w:b w:val="0"/>
          <w:szCs w:val="22"/>
          <w:lang w:val="en-US" w:eastAsia="en-US"/>
        </w:rPr>
        <w:t xml:space="preserve"> թվականին ֆինանսավորվող ծախսերի տեսակարար կշիռը ծախսերի ամբողջ ծավալում կազմում է </w:t>
      </w:r>
      <w:r w:rsidR="007C7D1E">
        <w:rPr>
          <w:rFonts w:eastAsiaTheme="minorHAnsi" w:cs="Cambria Math"/>
          <w:b w:val="0"/>
          <w:szCs w:val="22"/>
          <w:lang w:val="hy-AM" w:eastAsia="en-US"/>
        </w:rPr>
        <w:t>3.2</w:t>
      </w:r>
      <w:r w:rsidRPr="00C74BDD">
        <w:rPr>
          <w:rFonts w:eastAsiaTheme="minorHAnsi" w:cs="Cambria Math"/>
          <w:b w:val="0"/>
          <w:szCs w:val="22"/>
          <w:lang w:val="en-US" w:eastAsia="en-US"/>
        </w:rPr>
        <w:t>% և ՀՆԱ-ի նկատ</w:t>
      </w:r>
      <w:r w:rsidRPr="00C74BDD">
        <w:rPr>
          <w:rFonts w:eastAsiaTheme="minorHAnsi" w:cs="Cambria Math"/>
          <w:b w:val="0"/>
          <w:szCs w:val="22"/>
          <w:lang w:val="en-US" w:eastAsia="en-US"/>
        </w:rPr>
        <w:softHyphen/>
        <w:t xml:space="preserve">մամբ՝ </w:t>
      </w:r>
      <w:r w:rsidR="007C7D1E">
        <w:rPr>
          <w:rFonts w:eastAsiaTheme="minorHAnsi" w:cs="Cambria Math"/>
          <w:b w:val="0"/>
          <w:szCs w:val="22"/>
          <w:lang w:val="hy-AM" w:eastAsia="en-US"/>
        </w:rPr>
        <w:t>1.0</w:t>
      </w:r>
      <w:r w:rsidRPr="00C74BDD">
        <w:rPr>
          <w:rFonts w:eastAsiaTheme="minorHAnsi" w:cs="Cambria Math"/>
          <w:b w:val="0"/>
          <w:szCs w:val="22"/>
          <w:lang w:val="en-US" w:eastAsia="en-US"/>
        </w:rPr>
        <w:t>%:</w:t>
      </w:r>
    </w:p>
    <w:p w14:paraId="18B5C20B" w14:textId="0E6F52F3" w:rsidR="00C95115" w:rsidRPr="00C95115" w:rsidRDefault="00C95115" w:rsidP="00C95115">
      <w:pPr>
        <w:pStyle w:val="Heading1"/>
      </w:pPr>
      <w:bookmarkStart w:id="286" w:name="_Toc153184488"/>
      <w:r w:rsidRPr="00C95115">
        <w:t xml:space="preserve">Լեռնային Ղարաբաղից բռնի տեղահանված բնակչության </w:t>
      </w:r>
      <w:r>
        <w:t>օ</w:t>
      </w:r>
      <w:r w:rsidRPr="00C95115">
        <w:t>ժանդակության ծրագրեր</w:t>
      </w:r>
      <w:bookmarkEnd w:id="286"/>
      <w:r w:rsidRPr="00C95115">
        <w:t xml:space="preserve"> </w:t>
      </w:r>
    </w:p>
    <w:p w14:paraId="2872CD2B" w14:textId="0D7D3DBA" w:rsidR="00C95115" w:rsidRDefault="00C95115" w:rsidP="00C95115">
      <w:pPr>
        <w:shd w:val="clear" w:color="auto" w:fill="FFFFFF"/>
        <w:spacing w:line="240" w:lineRule="auto"/>
        <w:ind w:firstLine="720"/>
        <w:rPr>
          <w:b w:val="0"/>
          <w:szCs w:val="22"/>
          <w:lang w:val="hy-AM" w:eastAsia="en-US"/>
        </w:rPr>
      </w:pPr>
      <w:r>
        <w:rPr>
          <w:b w:val="0"/>
          <w:lang w:val="hy-AM"/>
        </w:rPr>
        <w:t>2023 թվականի սեպտեմբերի 19-ից հետո Լեռնային Ղարաբաղից բռնի տեղահանված բնակչության համար նախատեսվել են օժանդակության ծրագրեր՝ 47,328.3 մլն դրամի չափով, որից՝</w:t>
      </w:r>
    </w:p>
    <w:p w14:paraId="5735A6A3" w14:textId="77777777" w:rsidR="00C95115" w:rsidRPr="00982119" w:rsidRDefault="00C95115" w:rsidP="00982119">
      <w:pPr>
        <w:rPr>
          <w:rFonts w:eastAsiaTheme="minorHAnsi" w:cs="Cambria Math"/>
          <w:b w:val="0"/>
          <w:szCs w:val="22"/>
          <w:lang w:val="hy-AM" w:eastAsia="en-US"/>
        </w:rPr>
      </w:pPr>
      <w:r w:rsidRPr="00982119">
        <w:rPr>
          <w:rFonts w:eastAsiaTheme="minorHAnsi" w:cs="Cambria Math"/>
          <w:b w:val="0"/>
          <w:szCs w:val="22"/>
          <w:lang w:val="hy-AM" w:eastAsia="en-US"/>
        </w:rPr>
        <w:t xml:space="preserve">Կրթության ոլորտի գծով՝ 1,211.4 մլն դրամի չափով, այդ թվում՝ 902.4 մլն դրամը՝ ՀՀ-ում կրթություն ստացող 4360 ուսանողների ուսման վարձի փոխհատուցման նպատակով, 309.0 մլն դրամը՝ ուսուցիչների օժանդակության ծրագրի գծով: </w:t>
      </w:r>
    </w:p>
    <w:p w14:paraId="4046A803" w14:textId="77777777" w:rsidR="00C95115" w:rsidRPr="00982119" w:rsidRDefault="00C95115" w:rsidP="00982119">
      <w:pPr>
        <w:rPr>
          <w:rFonts w:eastAsiaTheme="minorHAnsi" w:cs="Cambria Math"/>
          <w:b w:val="0"/>
          <w:szCs w:val="22"/>
          <w:lang w:val="hy-AM" w:eastAsia="en-US"/>
        </w:rPr>
      </w:pPr>
      <w:r w:rsidRPr="00982119">
        <w:rPr>
          <w:rFonts w:eastAsiaTheme="minorHAnsi" w:cs="Cambria Math"/>
          <w:b w:val="0"/>
          <w:szCs w:val="22"/>
          <w:lang w:val="hy-AM" w:eastAsia="en-US"/>
        </w:rPr>
        <w:t>Աշխատանքի և սոցիալական պաշտպանության ոլորտի գծով՝ 46,116</w:t>
      </w:r>
      <w:r w:rsidRPr="00982119">
        <w:rPr>
          <w:rFonts w:ascii="Cambria Math" w:eastAsiaTheme="minorHAnsi" w:hAnsi="Cambria Math" w:cs="Cambria Math"/>
          <w:b w:val="0"/>
          <w:szCs w:val="22"/>
          <w:lang w:val="hy-AM" w:eastAsia="en-US"/>
        </w:rPr>
        <w:t>․</w:t>
      </w:r>
      <w:r w:rsidRPr="00982119">
        <w:rPr>
          <w:rFonts w:eastAsiaTheme="minorHAnsi" w:cs="Cambria Math"/>
          <w:b w:val="0"/>
          <w:szCs w:val="22"/>
          <w:lang w:val="hy-AM" w:eastAsia="en-US"/>
        </w:rPr>
        <w:t>8 մլն դրամի չափով, այդ թվում.</w:t>
      </w:r>
    </w:p>
    <w:p w14:paraId="71A84B09" w14:textId="77777777" w:rsidR="00C95115" w:rsidRPr="00982119" w:rsidRDefault="00C95115" w:rsidP="00AC1E1E">
      <w:pPr>
        <w:pStyle w:val="ListParagraph"/>
        <w:numPr>
          <w:ilvl w:val="0"/>
          <w:numId w:val="67"/>
        </w:numPr>
        <w:tabs>
          <w:tab w:val="left" w:pos="270"/>
        </w:tabs>
        <w:ind w:left="0" w:firstLine="0"/>
        <w:rPr>
          <w:rFonts w:eastAsiaTheme="minorHAnsi" w:cs="Cambria Math"/>
          <w:b w:val="0"/>
          <w:szCs w:val="22"/>
          <w:lang w:val="hy-AM" w:eastAsia="en-US"/>
        </w:rPr>
      </w:pPr>
      <w:r w:rsidRPr="00982119">
        <w:rPr>
          <w:rFonts w:eastAsiaTheme="minorHAnsi" w:cs="Cambria Math"/>
          <w:b w:val="0"/>
          <w:szCs w:val="22"/>
          <w:lang w:val="hy-AM" w:eastAsia="en-US"/>
        </w:rPr>
        <w:t>«Կենսաթոշակային ապահովություն» ծրագրի  գծով - 22,461</w:t>
      </w:r>
      <w:r w:rsidRPr="00982119">
        <w:rPr>
          <w:rFonts w:ascii="Cambria Math" w:eastAsiaTheme="minorHAnsi" w:hAnsi="Cambria Math" w:cs="Cambria Math"/>
          <w:b w:val="0"/>
          <w:szCs w:val="22"/>
          <w:lang w:val="hy-AM" w:eastAsia="en-US"/>
        </w:rPr>
        <w:t>․</w:t>
      </w:r>
      <w:r w:rsidRPr="00982119">
        <w:rPr>
          <w:rFonts w:eastAsiaTheme="minorHAnsi" w:cs="Cambria Math"/>
          <w:b w:val="0"/>
          <w:szCs w:val="22"/>
          <w:lang w:val="hy-AM" w:eastAsia="en-US"/>
        </w:rPr>
        <w:t>1 մլն դրամ,</w:t>
      </w:r>
    </w:p>
    <w:p w14:paraId="60539134" w14:textId="054CA519" w:rsidR="00C95115" w:rsidRPr="00982119" w:rsidRDefault="00C95115" w:rsidP="00AC1E1E">
      <w:pPr>
        <w:pStyle w:val="ListParagraph"/>
        <w:numPr>
          <w:ilvl w:val="0"/>
          <w:numId w:val="67"/>
        </w:numPr>
        <w:tabs>
          <w:tab w:val="left" w:pos="270"/>
        </w:tabs>
        <w:ind w:left="0" w:firstLine="0"/>
        <w:rPr>
          <w:rFonts w:eastAsiaTheme="minorHAnsi" w:cs="Cambria Math"/>
          <w:b w:val="0"/>
          <w:szCs w:val="22"/>
          <w:lang w:val="hy-AM" w:eastAsia="en-US"/>
        </w:rPr>
      </w:pPr>
      <w:r w:rsidRPr="00982119">
        <w:rPr>
          <w:rFonts w:eastAsiaTheme="minorHAnsi" w:cs="Cambria Math"/>
          <w:b w:val="0"/>
          <w:szCs w:val="22"/>
          <w:lang w:val="hy-AM" w:eastAsia="en-US"/>
        </w:rPr>
        <w:t>«Ժողովրդագրական վիճակի բարելավում» ծրագրի գծով - 2,603</w:t>
      </w:r>
      <w:r w:rsidRPr="00982119">
        <w:rPr>
          <w:rFonts w:ascii="Cambria Math" w:eastAsiaTheme="minorHAnsi" w:hAnsi="Cambria Math" w:cs="Cambria Math"/>
          <w:b w:val="0"/>
          <w:szCs w:val="22"/>
          <w:lang w:val="hy-AM" w:eastAsia="en-US"/>
        </w:rPr>
        <w:t>․</w:t>
      </w:r>
      <w:r w:rsidRPr="00982119">
        <w:rPr>
          <w:rFonts w:eastAsiaTheme="minorHAnsi" w:cs="Cambria Math"/>
          <w:b w:val="0"/>
          <w:szCs w:val="22"/>
          <w:lang w:val="hy-AM" w:eastAsia="en-US"/>
        </w:rPr>
        <w:t>7 մլն դրամ,</w:t>
      </w:r>
    </w:p>
    <w:p w14:paraId="00F65854" w14:textId="60F2754E" w:rsidR="00C95115" w:rsidRPr="00982119" w:rsidRDefault="00C95115" w:rsidP="00AC1E1E">
      <w:pPr>
        <w:pStyle w:val="ListParagraph"/>
        <w:numPr>
          <w:ilvl w:val="0"/>
          <w:numId w:val="67"/>
        </w:numPr>
        <w:tabs>
          <w:tab w:val="left" w:pos="270"/>
        </w:tabs>
        <w:ind w:left="0" w:firstLine="0"/>
        <w:rPr>
          <w:rFonts w:eastAsiaTheme="minorHAnsi" w:cs="Cambria Math"/>
          <w:b w:val="0"/>
          <w:szCs w:val="22"/>
          <w:lang w:val="hy-AM" w:eastAsia="en-US"/>
        </w:rPr>
      </w:pPr>
      <w:r w:rsidRPr="00982119">
        <w:rPr>
          <w:rFonts w:eastAsiaTheme="minorHAnsi" w:cs="Cambria Math"/>
          <w:b w:val="0"/>
          <w:szCs w:val="22"/>
          <w:lang w:val="hy-AM" w:eastAsia="en-US"/>
        </w:rPr>
        <w:t>«Սոցիալական աջակցություն անաշխատունակության դեպքում» ծրագրի  գծով - 1,614</w:t>
      </w:r>
      <w:r w:rsidRPr="00982119">
        <w:rPr>
          <w:rFonts w:ascii="Cambria Math" w:eastAsiaTheme="minorHAnsi" w:hAnsi="Cambria Math" w:cs="Cambria Math"/>
          <w:b w:val="0"/>
          <w:szCs w:val="22"/>
          <w:lang w:val="hy-AM" w:eastAsia="en-US"/>
        </w:rPr>
        <w:t>․</w:t>
      </w:r>
      <w:r w:rsidRPr="00982119">
        <w:rPr>
          <w:rFonts w:eastAsiaTheme="minorHAnsi" w:cs="Cambria Math"/>
          <w:b w:val="0"/>
          <w:szCs w:val="22"/>
          <w:lang w:val="hy-AM" w:eastAsia="en-US"/>
        </w:rPr>
        <w:t>8 մլն դրամ,</w:t>
      </w:r>
    </w:p>
    <w:p w14:paraId="05A7393B" w14:textId="11AEAEDB" w:rsidR="00C95115" w:rsidRPr="00982119" w:rsidRDefault="00C95115" w:rsidP="00AC1E1E">
      <w:pPr>
        <w:pStyle w:val="ListParagraph"/>
        <w:numPr>
          <w:ilvl w:val="0"/>
          <w:numId w:val="67"/>
        </w:numPr>
        <w:tabs>
          <w:tab w:val="left" w:pos="270"/>
        </w:tabs>
        <w:ind w:left="0" w:firstLine="0"/>
        <w:rPr>
          <w:rFonts w:eastAsiaTheme="minorHAnsi" w:cs="Cambria Math"/>
          <w:b w:val="0"/>
          <w:szCs w:val="22"/>
          <w:lang w:val="hy-AM" w:eastAsia="en-US"/>
        </w:rPr>
      </w:pPr>
      <w:r w:rsidRPr="00982119">
        <w:rPr>
          <w:rFonts w:eastAsiaTheme="minorHAnsi" w:cs="Cambria Math"/>
          <w:b w:val="0"/>
          <w:szCs w:val="22"/>
          <w:lang w:val="hy-AM" w:eastAsia="en-US"/>
        </w:rPr>
        <w:t>«Անապահով սոցիալական խմբերին աջակցություն» ծրագրի գծով - 1,545</w:t>
      </w:r>
      <w:r w:rsidRPr="00982119">
        <w:rPr>
          <w:rFonts w:ascii="Cambria Math" w:eastAsiaTheme="minorHAnsi" w:hAnsi="Cambria Math" w:cs="Cambria Math"/>
          <w:b w:val="0"/>
          <w:szCs w:val="22"/>
          <w:lang w:val="hy-AM" w:eastAsia="en-US"/>
        </w:rPr>
        <w:t>․</w:t>
      </w:r>
      <w:r w:rsidRPr="00982119">
        <w:rPr>
          <w:rFonts w:eastAsiaTheme="minorHAnsi" w:cs="Cambria Math"/>
          <w:b w:val="0"/>
          <w:szCs w:val="22"/>
          <w:lang w:val="hy-AM" w:eastAsia="en-US"/>
        </w:rPr>
        <w:t>2 մլն դրամ,</w:t>
      </w:r>
    </w:p>
    <w:p w14:paraId="7B4B2E13" w14:textId="77777777" w:rsidR="00C95115" w:rsidRPr="00982119" w:rsidRDefault="00C95115" w:rsidP="00AC1E1E">
      <w:pPr>
        <w:pStyle w:val="ListParagraph"/>
        <w:numPr>
          <w:ilvl w:val="0"/>
          <w:numId w:val="67"/>
        </w:numPr>
        <w:tabs>
          <w:tab w:val="left" w:pos="270"/>
        </w:tabs>
        <w:ind w:left="0" w:firstLine="0"/>
        <w:rPr>
          <w:rFonts w:eastAsiaTheme="minorHAnsi" w:cs="Cambria Math"/>
          <w:b w:val="0"/>
          <w:szCs w:val="22"/>
          <w:lang w:val="hy-AM" w:eastAsia="en-US"/>
        </w:rPr>
      </w:pPr>
      <w:r w:rsidRPr="00982119">
        <w:rPr>
          <w:rFonts w:eastAsiaTheme="minorHAnsi" w:cs="Cambria Math"/>
          <w:b w:val="0"/>
          <w:szCs w:val="22"/>
          <w:lang w:val="hy-AM" w:eastAsia="en-US"/>
        </w:rPr>
        <w:t>«Լեռնային Ղարաբաղից բռնի տեղահանվածներին ժամանակավոր կացարանում բնակվելու և կոմունալ ծառայությունների ծախսերի կատարմանն օժանդակելու համար սոցիալական աջակցություն» միջոցառման գծով - 15,000</w:t>
      </w:r>
      <w:r w:rsidRPr="00982119">
        <w:rPr>
          <w:rFonts w:ascii="Cambria Math" w:eastAsiaTheme="minorHAnsi" w:hAnsi="Cambria Math" w:cs="Cambria Math"/>
          <w:b w:val="0"/>
          <w:szCs w:val="22"/>
          <w:lang w:val="hy-AM" w:eastAsia="en-US"/>
        </w:rPr>
        <w:t>․</w:t>
      </w:r>
      <w:r w:rsidRPr="00982119">
        <w:rPr>
          <w:rFonts w:eastAsiaTheme="minorHAnsi" w:cs="Cambria Math"/>
          <w:b w:val="0"/>
          <w:szCs w:val="22"/>
          <w:lang w:val="hy-AM" w:eastAsia="en-US"/>
        </w:rPr>
        <w:t>0 մլն դրամ:</w:t>
      </w:r>
    </w:p>
    <w:p w14:paraId="12814C5B" w14:textId="20FB5CB0" w:rsidR="00C95115" w:rsidRPr="00982119" w:rsidRDefault="002E5DDC" w:rsidP="002E5DDC">
      <w:pPr>
        <w:rPr>
          <w:rFonts w:eastAsiaTheme="minorHAnsi" w:cs="Cambria Math"/>
          <w:b w:val="0"/>
          <w:szCs w:val="22"/>
          <w:lang w:val="hy-AM" w:eastAsia="en-US"/>
        </w:rPr>
      </w:pPr>
      <w:r w:rsidRPr="00982119">
        <w:rPr>
          <w:rFonts w:eastAsiaTheme="minorHAnsi" w:cs="Cambria Math"/>
          <w:b w:val="0"/>
          <w:szCs w:val="22"/>
          <w:lang w:val="hy-AM" w:eastAsia="en-US"/>
        </w:rPr>
        <w:t>2024թվականի ընթացքում օժանդակության ծրագրերի լրացուցիչ միջոցների առաջացման դեպքում վերջիններս կֆինանսավորվեն ՀՀ կառավարության պահուստային ֆոնդի</w:t>
      </w:r>
      <w:r w:rsidR="00982119" w:rsidRPr="00982119">
        <w:rPr>
          <w:rFonts w:eastAsiaTheme="minorHAnsi" w:cs="Cambria Math"/>
          <w:b w:val="0"/>
          <w:szCs w:val="22"/>
          <w:lang w:val="hy-AM" w:eastAsia="en-US"/>
        </w:rPr>
        <w:t>ց:</w:t>
      </w:r>
    </w:p>
    <w:p w14:paraId="1CDF6AAB" w14:textId="77777777" w:rsidR="007E6A67" w:rsidRPr="0009272D" w:rsidRDefault="007E6A67" w:rsidP="002E02D6">
      <w:pPr>
        <w:jc w:val="left"/>
        <w:rPr>
          <w:rFonts w:eastAsia="Calibri" w:cs="GHEA Grapalat"/>
          <w:bCs/>
          <w:sz w:val="24"/>
          <w:szCs w:val="26"/>
          <w:lang w:val="af-ZA" w:eastAsia="en-US"/>
        </w:rPr>
      </w:pPr>
    </w:p>
    <w:p w14:paraId="420BDDFD" w14:textId="77777777" w:rsidR="00D443BB" w:rsidRPr="009C0E1E" w:rsidRDefault="00D443BB" w:rsidP="009C0E1E">
      <w:pPr>
        <w:keepNext/>
        <w:keepLines/>
        <w:spacing w:before="0"/>
        <w:ind w:firstLine="284"/>
        <w:outlineLvl w:val="2"/>
        <w:rPr>
          <w:rFonts w:eastAsiaTheme="majorEastAsia" w:cstheme="majorBidi"/>
          <w:bCs/>
          <w:color w:val="1F497D" w:themeColor="text2"/>
          <w:sz w:val="24"/>
          <w:lang w:val="hy-AM" w:eastAsia="en-US"/>
        </w:rPr>
      </w:pPr>
      <w:bookmarkStart w:id="287" w:name="_Toc153184489"/>
      <w:r w:rsidRPr="009C0E1E">
        <w:rPr>
          <w:rFonts w:eastAsiaTheme="majorEastAsia" w:cstheme="majorBidi"/>
          <w:bCs/>
          <w:color w:val="1F497D" w:themeColor="text2"/>
          <w:sz w:val="24"/>
          <w:lang w:val="hy-AM" w:eastAsia="en-US"/>
        </w:rPr>
        <w:t>ՀՀ 2024 ԹՎԱԿԱՆԻ ՊԵՏԱԿԱՆ ԲՅՈՒՋԵԻՑ ՀԱՄԱՅՆՔՆԵՐԻՆ ՏՐՎՈՂ ՀԱՏԿԱՑՈՒՄՆԵՐԸ</w:t>
      </w:r>
      <w:bookmarkEnd w:id="287"/>
    </w:p>
    <w:p w14:paraId="5C5011C5" w14:textId="77777777" w:rsidR="00D443BB" w:rsidRPr="00102369" w:rsidRDefault="00D443BB" w:rsidP="00D443BB">
      <w:pPr>
        <w:tabs>
          <w:tab w:val="left" w:pos="0"/>
        </w:tabs>
        <w:rPr>
          <w:lang w:val="hy-AM"/>
        </w:rPr>
      </w:pPr>
    </w:p>
    <w:p w14:paraId="06C68AC3" w14:textId="77777777" w:rsidR="00D443BB" w:rsidRDefault="00D443BB" w:rsidP="006141F5">
      <w:pPr>
        <w:rPr>
          <w:rFonts w:cs="Sylfaen"/>
          <w:b w:val="0"/>
          <w:szCs w:val="22"/>
          <w:lang w:val="af-ZA" w:eastAsia="en-US"/>
        </w:rPr>
      </w:pPr>
      <w:r w:rsidRPr="007E7E8F">
        <w:rPr>
          <w:rFonts w:cs="Sylfaen"/>
          <w:b w:val="0"/>
          <w:szCs w:val="22"/>
          <w:lang w:val="hy-AM" w:eastAsia="en-US"/>
        </w:rPr>
        <w:t>2024 թվակա</w:t>
      </w:r>
      <w:r>
        <w:rPr>
          <w:rFonts w:cs="Sylfaen"/>
          <w:b w:val="0"/>
          <w:szCs w:val="22"/>
          <w:lang w:val="hy-AM" w:eastAsia="en-US"/>
        </w:rPr>
        <w:t>նի</w:t>
      </w:r>
      <w:r>
        <w:rPr>
          <w:rFonts w:cs="Sylfaen"/>
          <w:b w:val="0"/>
          <w:szCs w:val="22"/>
          <w:lang w:val="af-ZA" w:eastAsia="en-US"/>
        </w:rPr>
        <w:t xml:space="preserve"> </w:t>
      </w:r>
      <w:r>
        <w:rPr>
          <w:rFonts w:cs="Sylfaen"/>
          <w:b w:val="0"/>
          <w:szCs w:val="22"/>
          <w:lang w:val="hy-AM" w:eastAsia="en-US"/>
        </w:rPr>
        <w:t>պետական</w:t>
      </w:r>
      <w:r>
        <w:rPr>
          <w:rFonts w:cs="Sylfaen"/>
          <w:b w:val="0"/>
          <w:szCs w:val="22"/>
          <w:lang w:val="af-ZA" w:eastAsia="en-US"/>
        </w:rPr>
        <w:t xml:space="preserve"> </w:t>
      </w:r>
      <w:r>
        <w:rPr>
          <w:rFonts w:cs="Sylfaen"/>
          <w:b w:val="0"/>
          <w:szCs w:val="22"/>
          <w:lang w:val="hy-AM" w:eastAsia="en-US"/>
        </w:rPr>
        <w:t>բյուջեից</w:t>
      </w:r>
      <w:r>
        <w:rPr>
          <w:rFonts w:cs="Sylfaen"/>
          <w:b w:val="0"/>
          <w:szCs w:val="22"/>
          <w:lang w:val="af-ZA" w:eastAsia="en-US"/>
        </w:rPr>
        <w:t xml:space="preserve"> </w:t>
      </w:r>
      <w:r>
        <w:rPr>
          <w:rFonts w:cs="Sylfaen"/>
          <w:b w:val="0"/>
          <w:szCs w:val="22"/>
          <w:lang w:val="hy-AM" w:eastAsia="en-US"/>
        </w:rPr>
        <w:t>նախատեսվում</w:t>
      </w:r>
      <w:r>
        <w:rPr>
          <w:rFonts w:cs="Sylfaen"/>
          <w:b w:val="0"/>
          <w:szCs w:val="22"/>
          <w:lang w:val="af-ZA" w:eastAsia="en-US"/>
        </w:rPr>
        <w:t xml:space="preserve"> </w:t>
      </w:r>
      <w:r>
        <w:rPr>
          <w:rFonts w:cs="Sylfaen"/>
          <w:b w:val="0"/>
          <w:szCs w:val="22"/>
          <w:lang w:val="hy-AM" w:eastAsia="en-US"/>
        </w:rPr>
        <w:t>է</w:t>
      </w:r>
      <w:r>
        <w:rPr>
          <w:rFonts w:cs="Sylfaen"/>
          <w:b w:val="0"/>
          <w:szCs w:val="22"/>
          <w:lang w:val="af-ZA" w:eastAsia="en-US"/>
        </w:rPr>
        <w:t xml:space="preserve"> </w:t>
      </w:r>
      <w:r>
        <w:rPr>
          <w:rFonts w:cs="Sylfaen"/>
          <w:b w:val="0"/>
          <w:szCs w:val="22"/>
          <w:lang w:val="hy-AM" w:eastAsia="en-US"/>
        </w:rPr>
        <w:t>տրամադրել</w:t>
      </w:r>
      <w:r>
        <w:rPr>
          <w:rFonts w:cs="Sylfaen"/>
          <w:b w:val="0"/>
          <w:szCs w:val="22"/>
          <w:lang w:val="af-ZA" w:eastAsia="en-US"/>
        </w:rPr>
        <w:t xml:space="preserve"> </w:t>
      </w:r>
      <w:r>
        <w:rPr>
          <w:rFonts w:cs="Sylfaen"/>
          <w:szCs w:val="22"/>
          <w:lang w:val="hy-AM" w:eastAsia="en-US"/>
        </w:rPr>
        <w:t>հատկացումներ</w:t>
      </w:r>
      <w:r>
        <w:rPr>
          <w:rFonts w:cs="Sylfaen"/>
          <w:szCs w:val="22"/>
          <w:lang w:val="af-ZA" w:eastAsia="en-US"/>
        </w:rPr>
        <w:t xml:space="preserve"> </w:t>
      </w:r>
      <w:r>
        <w:rPr>
          <w:rFonts w:cs="Sylfaen"/>
          <w:szCs w:val="22"/>
          <w:lang w:val="hy-AM" w:eastAsia="en-US"/>
        </w:rPr>
        <w:t>ՀՀ</w:t>
      </w:r>
      <w:r>
        <w:rPr>
          <w:rFonts w:cs="Sylfaen"/>
          <w:szCs w:val="22"/>
          <w:lang w:val="af-ZA" w:eastAsia="en-US"/>
        </w:rPr>
        <w:t xml:space="preserve"> </w:t>
      </w:r>
      <w:r>
        <w:rPr>
          <w:rFonts w:cs="Sylfaen"/>
          <w:szCs w:val="22"/>
          <w:lang w:val="hy-AM" w:eastAsia="en-US"/>
        </w:rPr>
        <w:t>համայնքներին</w:t>
      </w:r>
      <w:r>
        <w:rPr>
          <w:rFonts w:cs="Sylfaen"/>
          <w:b w:val="0"/>
          <w:szCs w:val="22"/>
          <w:lang w:val="af-ZA" w:eastAsia="en-US"/>
        </w:rPr>
        <w:t xml:space="preserve">, </w:t>
      </w:r>
      <w:r>
        <w:rPr>
          <w:rFonts w:cs="Sylfaen"/>
          <w:b w:val="0"/>
          <w:szCs w:val="22"/>
          <w:lang w:val="hy-AM" w:eastAsia="en-US"/>
        </w:rPr>
        <w:t>որը</w:t>
      </w:r>
      <w:r>
        <w:rPr>
          <w:rFonts w:cs="Sylfaen"/>
          <w:b w:val="0"/>
          <w:szCs w:val="22"/>
          <w:lang w:val="af-ZA" w:eastAsia="en-US"/>
        </w:rPr>
        <w:t xml:space="preserve"> </w:t>
      </w:r>
      <w:r>
        <w:rPr>
          <w:rFonts w:cs="Sylfaen"/>
          <w:b w:val="0"/>
          <w:szCs w:val="22"/>
          <w:lang w:val="hy-AM" w:eastAsia="en-US"/>
        </w:rPr>
        <w:t>կազմել է</w:t>
      </w:r>
      <w:r>
        <w:rPr>
          <w:rFonts w:cs="Sylfaen"/>
          <w:b w:val="0"/>
          <w:szCs w:val="22"/>
          <w:lang w:val="af-ZA" w:eastAsia="en-US"/>
        </w:rPr>
        <w:t xml:space="preserve"> </w:t>
      </w:r>
      <w:r w:rsidRPr="0013789F">
        <w:rPr>
          <w:rFonts w:cs="Sylfaen"/>
          <w:b w:val="0"/>
          <w:szCs w:val="22"/>
          <w:lang w:val="hy-AM" w:eastAsia="en-US"/>
        </w:rPr>
        <w:t xml:space="preserve">շուրջ </w:t>
      </w:r>
      <w:r w:rsidRPr="0013789F">
        <w:rPr>
          <w:rFonts w:cs="Sylfaen"/>
          <w:b w:val="0"/>
          <w:szCs w:val="22"/>
          <w:lang w:val="af-ZA" w:eastAsia="en-US"/>
        </w:rPr>
        <w:t>15</w:t>
      </w:r>
      <w:r w:rsidR="008703BD">
        <w:rPr>
          <w:rFonts w:cs="Sylfaen"/>
          <w:b w:val="0"/>
          <w:szCs w:val="22"/>
          <w:lang w:val="af-ZA" w:eastAsia="en-US"/>
        </w:rPr>
        <w:t>7</w:t>
      </w:r>
      <w:r w:rsidRPr="0013789F">
        <w:rPr>
          <w:rFonts w:cs="Sylfaen"/>
          <w:b w:val="0"/>
          <w:szCs w:val="22"/>
          <w:lang w:val="af-ZA" w:eastAsia="en-US"/>
        </w:rPr>
        <w:t>.</w:t>
      </w:r>
      <w:r w:rsidR="008703BD">
        <w:rPr>
          <w:rFonts w:cs="Sylfaen"/>
          <w:b w:val="0"/>
          <w:szCs w:val="22"/>
          <w:lang w:val="af-ZA" w:eastAsia="en-US"/>
        </w:rPr>
        <w:t>2</w:t>
      </w:r>
      <w:r w:rsidRPr="0013789F">
        <w:rPr>
          <w:rFonts w:cs="Sylfaen"/>
          <w:b w:val="0"/>
          <w:szCs w:val="22"/>
          <w:lang w:val="hy-AM" w:eastAsia="en-US"/>
        </w:rPr>
        <w:t xml:space="preserve"> մլրդ</w:t>
      </w:r>
      <w:r>
        <w:rPr>
          <w:rFonts w:cs="Sylfaen"/>
          <w:b w:val="0"/>
          <w:szCs w:val="22"/>
          <w:lang w:val="hy-AM" w:eastAsia="en-US"/>
        </w:rPr>
        <w:t xml:space="preserve"> դրամ (</w:t>
      </w:r>
      <w:r>
        <w:rPr>
          <w:rFonts w:cs="Sylfaen"/>
          <w:b w:val="0"/>
          <w:szCs w:val="22"/>
          <w:lang w:val="af-ZA" w:eastAsia="en-US"/>
        </w:rPr>
        <w:t>202</w:t>
      </w:r>
      <w:r>
        <w:rPr>
          <w:rFonts w:cs="Sylfaen"/>
          <w:b w:val="0"/>
          <w:szCs w:val="22"/>
          <w:lang w:val="hy-AM" w:eastAsia="en-US"/>
        </w:rPr>
        <w:t>3</w:t>
      </w:r>
      <w:r>
        <w:rPr>
          <w:rFonts w:cs="Sylfaen"/>
          <w:b w:val="0"/>
          <w:szCs w:val="22"/>
          <w:lang w:val="af-ZA" w:eastAsia="en-US"/>
        </w:rPr>
        <w:t xml:space="preserve"> </w:t>
      </w:r>
      <w:r>
        <w:rPr>
          <w:rFonts w:cs="Sylfaen"/>
          <w:b w:val="0"/>
          <w:szCs w:val="22"/>
          <w:lang w:val="hy-AM" w:eastAsia="en-US"/>
        </w:rPr>
        <w:t>թվականին</w:t>
      </w:r>
      <w:r>
        <w:rPr>
          <w:rFonts w:cs="Sylfaen"/>
          <w:b w:val="0"/>
          <w:szCs w:val="22"/>
          <w:lang w:val="af-ZA" w:eastAsia="en-US"/>
        </w:rPr>
        <w:t xml:space="preserve"> </w:t>
      </w:r>
      <w:r>
        <w:rPr>
          <w:rFonts w:cs="Sylfaen"/>
          <w:b w:val="0"/>
          <w:szCs w:val="22"/>
          <w:lang w:val="hy-AM" w:eastAsia="en-US"/>
        </w:rPr>
        <w:t>այն</w:t>
      </w:r>
      <w:r>
        <w:rPr>
          <w:rFonts w:cs="Sylfaen"/>
          <w:b w:val="0"/>
          <w:szCs w:val="22"/>
          <w:lang w:val="af-ZA" w:eastAsia="en-US"/>
        </w:rPr>
        <w:t xml:space="preserve"> </w:t>
      </w:r>
      <w:r>
        <w:rPr>
          <w:rFonts w:cs="Sylfaen"/>
          <w:b w:val="0"/>
          <w:szCs w:val="22"/>
          <w:lang w:val="hy-AM" w:eastAsia="en-US"/>
        </w:rPr>
        <w:t>կազմել</w:t>
      </w:r>
      <w:r>
        <w:rPr>
          <w:rFonts w:cs="Sylfaen"/>
          <w:b w:val="0"/>
          <w:szCs w:val="22"/>
          <w:lang w:val="af-ZA" w:eastAsia="en-US"/>
        </w:rPr>
        <w:t xml:space="preserve"> </w:t>
      </w:r>
      <w:r>
        <w:rPr>
          <w:rFonts w:cs="Sylfaen"/>
          <w:b w:val="0"/>
          <w:szCs w:val="22"/>
          <w:lang w:val="hy-AM" w:eastAsia="en-US"/>
        </w:rPr>
        <w:t>է՝</w:t>
      </w:r>
      <w:r>
        <w:rPr>
          <w:rFonts w:cs="Sylfaen"/>
          <w:b w:val="0"/>
          <w:szCs w:val="22"/>
          <w:lang w:val="af-ZA" w:eastAsia="en-US"/>
        </w:rPr>
        <w:t xml:space="preserve"> շուրջ </w:t>
      </w:r>
      <w:r>
        <w:rPr>
          <w:rFonts w:cs="Sylfaen"/>
          <w:b w:val="0"/>
          <w:szCs w:val="22"/>
          <w:lang w:val="hy-AM" w:eastAsia="en-US"/>
        </w:rPr>
        <w:t>1</w:t>
      </w:r>
      <w:r w:rsidR="008703BD" w:rsidRPr="008703BD">
        <w:rPr>
          <w:rFonts w:cs="Sylfaen"/>
          <w:b w:val="0"/>
          <w:szCs w:val="22"/>
          <w:lang w:val="hy-AM" w:eastAsia="en-US"/>
        </w:rPr>
        <w:t>48</w:t>
      </w:r>
      <w:r>
        <w:rPr>
          <w:rFonts w:cs="Sylfaen"/>
          <w:b w:val="0"/>
          <w:szCs w:val="22"/>
          <w:lang w:val="hy-AM" w:eastAsia="en-US"/>
        </w:rPr>
        <w:t>.</w:t>
      </w:r>
      <w:r w:rsidR="008703BD" w:rsidRPr="008703BD">
        <w:rPr>
          <w:rFonts w:cs="Sylfaen"/>
          <w:b w:val="0"/>
          <w:szCs w:val="22"/>
          <w:lang w:val="hy-AM" w:eastAsia="en-US"/>
        </w:rPr>
        <w:t>6</w:t>
      </w:r>
      <w:r>
        <w:rPr>
          <w:rFonts w:cs="Sylfaen"/>
          <w:b w:val="0"/>
          <w:szCs w:val="22"/>
          <w:lang w:val="af-ZA" w:eastAsia="en-US"/>
        </w:rPr>
        <w:t xml:space="preserve"> </w:t>
      </w:r>
      <w:r>
        <w:rPr>
          <w:rFonts w:cs="Sylfaen"/>
          <w:b w:val="0"/>
          <w:szCs w:val="22"/>
          <w:lang w:val="hy-AM" w:eastAsia="en-US"/>
        </w:rPr>
        <w:t>մլրդ</w:t>
      </w:r>
      <w:r>
        <w:rPr>
          <w:rFonts w:cs="Sylfaen"/>
          <w:b w:val="0"/>
          <w:szCs w:val="22"/>
          <w:lang w:val="af-ZA" w:eastAsia="en-US"/>
        </w:rPr>
        <w:t xml:space="preserve"> </w:t>
      </w:r>
      <w:r>
        <w:rPr>
          <w:rFonts w:cs="Sylfaen"/>
          <w:b w:val="0"/>
          <w:szCs w:val="22"/>
          <w:lang w:val="hy-AM" w:eastAsia="en-US"/>
        </w:rPr>
        <w:t>դրամ)</w:t>
      </w:r>
      <w:r>
        <w:rPr>
          <w:rFonts w:cs="Sylfaen"/>
          <w:b w:val="0"/>
          <w:szCs w:val="22"/>
          <w:lang w:val="af-ZA" w:eastAsia="en-US"/>
        </w:rPr>
        <w:t xml:space="preserve"> </w:t>
      </w:r>
      <w:r>
        <w:rPr>
          <w:rFonts w:cs="Sylfaen"/>
          <w:b w:val="0"/>
          <w:szCs w:val="22"/>
          <w:lang w:val="hy-AM" w:eastAsia="en-US"/>
        </w:rPr>
        <w:t>կամ</w:t>
      </w:r>
      <w:r>
        <w:rPr>
          <w:rFonts w:cs="Sylfaen"/>
          <w:b w:val="0"/>
          <w:szCs w:val="22"/>
          <w:lang w:val="af-ZA" w:eastAsia="en-US"/>
        </w:rPr>
        <w:t xml:space="preserve"> </w:t>
      </w:r>
      <w:r>
        <w:rPr>
          <w:rFonts w:cs="Sylfaen"/>
          <w:b w:val="0"/>
          <w:szCs w:val="22"/>
          <w:lang w:val="hy-AM" w:eastAsia="en-US"/>
        </w:rPr>
        <w:t>ընդհանուր</w:t>
      </w:r>
      <w:r>
        <w:rPr>
          <w:rFonts w:cs="Sylfaen"/>
          <w:b w:val="0"/>
          <w:szCs w:val="22"/>
          <w:lang w:val="af-ZA" w:eastAsia="en-US"/>
        </w:rPr>
        <w:t xml:space="preserve"> </w:t>
      </w:r>
      <w:r>
        <w:rPr>
          <w:rFonts w:cs="Sylfaen"/>
          <w:b w:val="0"/>
          <w:szCs w:val="22"/>
          <w:lang w:val="hy-AM" w:eastAsia="en-US"/>
        </w:rPr>
        <w:t>բյուջետային</w:t>
      </w:r>
      <w:r>
        <w:rPr>
          <w:rFonts w:cs="Sylfaen"/>
          <w:b w:val="0"/>
          <w:szCs w:val="22"/>
          <w:lang w:val="af-ZA" w:eastAsia="en-US"/>
        </w:rPr>
        <w:t xml:space="preserve"> </w:t>
      </w:r>
      <w:r w:rsidRPr="00CF08F8">
        <w:rPr>
          <w:rFonts w:cs="Sylfaen"/>
          <w:b w:val="0"/>
          <w:szCs w:val="22"/>
          <w:lang w:val="hy-AM" w:eastAsia="en-US"/>
        </w:rPr>
        <w:t>ծախսերի</w:t>
      </w:r>
      <w:r w:rsidRPr="00CF08F8">
        <w:rPr>
          <w:rFonts w:cs="Sylfaen"/>
          <w:b w:val="0"/>
          <w:szCs w:val="22"/>
          <w:lang w:val="af-ZA" w:eastAsia="en-US"/>
        </w:rPr>
        <w:t xml:space="preserve"> </w:t>
      </w:r>
      <w:r w:rsidR="008703BD">
        <w:rPr>
          <w:rFonts w:cs="Sylfaen"/>
          <w:b w:val="0"/>
          <w:szCs w:val="22"/>
          <w:lang w:val="af-ZA" w:eastAsia="en-US"/>
        </w:rPr>
        <w:t>4</w:t>
      </w:r>
      <w:r w:rsidRPr="00CF08F8">
        <w:rPr>
          <w:rFonts w:cs="Sylfaen"/>
          <w:b w:val="0"/>
          <w:szCs w:val="22"/>
          <w:lang w:val="hy-AM" w:eastAsia="en-US"/>
        </w:rPr>
        <w:t>.</w:t>
      </w:r>
      <w:r w:rsidR="008703BD" w:rsidRPr="008703BD">
        <w:rPr>
          <w:rFonts w:cs="Sylfaen"/>
          <w:b w:val="0"/>
          <w:szCs w:val="22"/>
          <w:lang w:val="hy-AM" w:eastAsia="en-US"/>
        </w:rPr>
        <w:t>9</w:t>
      </w:r>
      <w:r w:rsidRPr="00CF08F8">
        <w:rPr>
          <w:rFonts w:cs="Sylfaen"/>
          <w:b w:val="0"/>
          <w:szCs w:val="22"/>
          <w:lang w:val="af-ZA" w:eastAsia="en-US"/>
        </w:rPr>
        <w:t xml:space="preserve"> </w:t>
      </w:r>
      <w:r w:rsidRPr="00CF08F8">
        <w:rPr>
          <w:rFonts w:cs="Sylfaen"/>
          <w:b w:val="0"/>
          <w:szCs w:val="22"/>
          <w:lang w:val="hy-AM" w:eastAsia="en-US"/>
        </w:rPr>
        <w:t>և</w:t>
      </w:r>
      <w:r w:rsidRPr="00CF08F8">
        <w:rPr>
          <w:rFonts w:cs="Sylfaen"/>
          <w:b w:val="0"/>
          <w:szCs w:val="22"/>
          <w:lang w:val="af-ZA" w:eastAsia="en-US"/>
        </w:rPr>
        <w:t xml:space="preserve"> </w:t>
      </w:r>
      <w:r w:rsidRPr="00CF08F8">
        <w:rPr>
          <w:rFonts w:cs="Sylfaen"/>
          <w:b w:val="0"/>
          <w:szCs w:val="22"/>
          <w:lang w:val="hy-AM" w:eastAsia="en-US"/>
        </w:rPr>
        <w:t>ՀՆԱ</w:t>
      </w:r>
      <w:r w:rsidRPr="00CF08F8">
        <w:rPr>
          <w:rFonts w:cs="Sylfaen"/>
          <w:b w:val="0"/>
          <w:szCs w:val="22"/>
          <w:lang w:val="af-ZA" w:eastAsia="en-US"/>
        </w:rPr>
        <w:t>-</w:t>
      </w:r>
      <w:r w:rsidRPr="00CF08F8">
        <w:rPr>
          <w:rFonts w:cs="Sylfaen"/>
          <w:b w:val="0"/>
          <w:szCs w:val="22"/>
          <w:lang w:val="hy-AM" w:eastAsia="en-US"/>
        </w:rPr>
        <w:t>ի</w:t>
      </w:r>
      <w:r w:rsidRPr="00CF08F8">
        <w:rPr>
          <w:rFonts w:cs="Sylfaen"/>
          <w:b w:val="0"/>
          <w:szCs w:val="22"/>
          <w:lang w:val="af-ZA" w:eastAsia="en-US"/>
        </w:rPr>
        <w:t xml:space="preserve"> 1.</w:t>
      </w:r>
      <w:r w:rsidR="008703BD">
        <w:rPr>
          <w:rFonts w:cs="Sylfaen"/>
          <w:b w:val="0"/>
          <w:szCs w:val="22"/>
          <w:lang w:val="af-ZA" w:eastAsia="en-US"/>
        </w:rPr>
        <w:t>5</w:t>
      </w:r>
      <w:r w:rsidRPr="00CF08F8">
        <w:rPr>
          <w:b w:val="0"/>
          <w:szCs w:val="22"/>
          <w:lang w:val="af-ZA" w:eastAsia="en-US"/>
        </w:rPr>
        <w:t xml:space="preserve"> </w:t>
      </w:r>
      <w:r>
        <w:rPr>
          <w:rFonts w:cs="Sylfaen"/>
          <w:b w:val="0"/>
          <w:szCs w:val="22"/>
          <w:lang w:val="hy-AM" w:eastAsia="en-US"/>
        </w:rPr>
        <w:t>տոկոսը</w:t>
      </w:r>
      <w:r w:rsidRPr="00CF08F8">
        <w:rPr>
          <w:rFonts w:cs="Sylfaen"/>
          <w:b w:val="0"/>
          <w:szCs w:val="22"/>
          <w:lang w:val="af-ZA" w:eastAsia="en-US"/>
        </w:rPr>
        <w:t>:</w:t>
      </w:r>
      <w:r>
        <w:rPr>
          <w:rFonts w:cs="Sylfaen"/>
          <w:b w:val="0"/>
          <w:szCs w:val="22"/>
          <w:lang w:val="af-ZA" w:eastAsia="en-US"/>
        </w:rPr>
        <w:t xml:space="preserve"> </w:t>
      </w:r>
    </w:p>
    <w:p w14:paraId="09C6064D" w14:textId="77777777" w:rsidR="00D443BB" w:rsidRDefault="00D443BB" w:rsidP="006141F5">
      <w:pPr>
        <w:rPr>
          <w:rFonts w:cs="Sylfaen"/>
          <w:b w:val="0"/>
          <w:szCs w:val="22"/>
          <w:lang w:val="hy-AM" w:eastAsia="en-US"/>
        </w:rPr>
      </w:pPr>
      <w:r w:rsidRPr="007E7E8F">
        <w:rPr>
          <w:rFonts w:cs="Sylfaen"/>
          <w:b w:val="0"/>
          <w:szCs w:val="22"/>
          <w:lang w:val="hy-AM" w:eastAsia="en-US"/>
        </w:rPr>
        <w:lastRenderedPageBreak/>
        <w:t>Համայնքների բյուջեներին ֆինանսական համահարթեցման սկզբունքով դոտացիաների տրամադրման նպատակով 2024 թվականին նախատեսվում է տրամադրել շուրջ 85.3 մլրդ դրամ կամ ընդհանուր բյուջետային</w:t>
      </w:r>
      <w:r w:rsidR="0037336F">
        <w:rPr>
          <w:rFonts w:cs="Sylfaen"/>
          <w:b w:val="0"/>
          <w:szCs w:val="22"/>
          <w:lang w:val="hy-AM" w:eastAsia="en-US"/>
        </w:rPr>
        <w:t xml:space="preserve"> ծախսերի 2.</w:t>
      </w:r>
      <w:r w:rsidR="008703BD" w:rsidRPr="008703BD">
        <w:rPr>
          <w:rFonts w:cs="Sylfaen"/>
          <w:b w:val="0"/>
          <w:szCs w:val="22"/>
          <w:lang w:val="af-ZA" w:eastAsia="en-US"/>
        </w:rPr>
        <w:t>7</w:t>
      </w:r>
      <w:r>
        <w:rPr>
          <w:rFonts w:cs="Sylfaen"/>
          <w:b w:val="0"/>
          <w:szCs w:val="22"/>
          <w:lang w:val="hy-AM" w:eastAsia="en-US"/>
        </w:rPr>
        <w:t xml:space="preserve"> և ՀՆԱ-ի 0.8 տոկոսը</w:t>
      </w:r>
      <w:r w:rsidRPr="007E7E8F">
        <w:rPr>
          <w:rFonts w:cs="Sylfaen"/>
          <w:b w:val="0"/>
          <w:szCs w:val="22"/>
          <w:lang w:val="hy-AM" w:eastAsia="en-US"/>
        </w:rPr>
        <w:t xml:space="preserve">: </w:t>
      </w:r>
    </w:p>
    <w:p w14:paraId="0CEC78F0" w14:textId="77777777" w:rsidR="008703BD" w:rsidRPr="007E7E8F" w:rsidRDefault="008703BD" w:rsidP="008703BD">
      <w:pPr>
        <w:rPr>
          <w:rFonts w:cs="Sylfaen"/>
          <w:b w:val="0"/>
          <w:szCs w:val="22"/>
          <w:lang w:val="hy-AM" w:eastAsia="en-US"/>
        </w:rPr>
      </w:pPr>
      <w:r w:rsidRPr="007E7E8F">
        <w:rPr>
          <w:rFonts w:cs="Sylfaen"/>
          <w:b w:val="0"/>
          <w:szCs w:val="22"/>
          <w:lang w:val="hy-AM" w:eastAsia="en-US"/>
        </w:rPr>
        <w:t xml:space="preserve">2024 թվականին նախատեսվում է տրամադրել </w:t>
      </w:r>
      <w:r w:rsidRPr="008703BD">
        <w:rPr>
          <w:rFonts w:cs="Sylfaen"/>
          <w:b w:val="0"/>
          <w:szCs w:val="22"/>
          <w:lang w:val="hy-AM" w:eastAsia="en-US"/>
        </w:rPr>
        <w:t>այլ ընթացիկ դրամաշնորհներ համայնքներին՝</w:t>
      </w:r>
      <w:r w:rsidRPr="007E7E8F">
        <w:rPr>
          <w:rFonts w:cs="Sylfaen"/>
          <w:b w:val="0"/>
          <w:szCs w:val="22"/>
          <w:lang w:val="hy-AM" w:eastAsia="en-US"/>
        </w:rPr>
        <w:t xml:space="preserve"> 5.</w:t>
      </w:r>
      <w:r w:rsidRPr="008703BD">
        <w:rPr>
          <w:rFonts w:cs="Sylfaen"/>
          <w:b w:val="0"/>
          <w:szCs w:val="22"/>
          <w:lang w:val="hy-AM" w:eastAsia="en-US"/>
        </w:rPr>
        <w:t>7</w:t>
      </w:r>
      <w:r w:rsidRPr="007E7E8F">
        <w:rPr>
          <w:rFonts w:cs="Sylfaen"/>
          <w:b w:val="0"/>
          <w:szCs w:val="22"/>
          <w:lang w:val="hy-AM" w:eastAsia="en-US"/>
        </w:rPr>
        <w:t xml:space="preserve"> մլրդ դրամ կամ ընդհանուր բյուջետային</w:t>
      </w:r>
      <w:r>
        <w:rPr>
          <w:rFonts w:cs="Sylfaen"/>
          <w:b w:val="0"/>
          <w:szCs w:val="22"/>
          <w:lang w:val="hy-AM" w:eastAsia="en-US"/>
        </w:rPr>
        <w:t xml:space="preserve"> ծախսերի </w:t>
      </w:r>
      <w:r w:rsidRPr="008703BD">
        <w:rPr>
          <w:rFonts w:cs="Sylfaen"/>
          <w:b w:val="0"/>
          <w:szCs w:val="22"/>
          <w:lang w:val="hy-AM" w:eastAsia="en-US"/>
        </w:rPr>
        <w:t>0</w:t>
      </w:r>
      <w:r>
        <w:rPr>
          <w:rFonts w:cs="Sylfaen"/>
          <w:b w:val="0"/>
          <w:szCs w:val="22"/>
          <w:lang w:val="hy-AM" w:eastAsia="en-US"/>
        </w:rPr>
        <w:t>.</w:t>
      </w:r>
      <w:r w:rsidRPr="008703BD">
        <w:rPr>
          <w:rFonts w:cs="Sylfaen"/>
          <w:b w:val="0"/>
          <w:szCs w:val="22"/>
          <w:lang w:val="hy-AM" w:eastAsia="en-US"/>
        </w:rPr>
        <w:t>2</w:t>
      </w:r>
      <w:r>
        <w:rPr>
          <w:rFonts w:cs="Sylfaen"/>
          <w:b w:val="0"/>
          <w:szCs w:val="22"/>
          <w:lang w:val="hy-AM" w:eastAsia="en-US"/>
        </w:rPr>
        <w:t xml:space="preserve"> և ՀՆԱ-ի 0.</w:t>
      </w:r>
      <w:r w:rsidRPr="008703BD">
        <w:rPr>
          <w:rFonts w:cs="Sylfaen"/>
          <w:b w:val="0"/>
          <w:szCs w:val="22"/>
          <w:lang w:val="hy-AM" w:eastAsia="en-US"/>
        </w:rPr>
        <w:t>1</w:t>
      </w:r>
      <w:r>
        <w:rPr>
          <w:rFonts w:cs="Sylfaen"/>
          <w:b w:val="0"/>
          <w:szCs w:val="22"/>
          <w:lang w:val="hy-AM" w:eastAsia="en-US"/>
        </w:rPr>
        <w:t xml:space="preserve"> տոկոսը</w:t>
      </w:r>
      <w:r w:rsidRPr="007E7E8F">
        <w:rPr>
          <w:rFonts w:cs="Sylfaen"/>
          <w:b w:val="0"/>
          <w:szCs w:val="22"/>
          <w:lang w:val="hy-AM" w:eastAsia="en-US"/>
        </w:rPr>
        <w:t>:</w:t>
      </w:r>
    </w:p>
    <w:p w14:paraId="66E8552B" w14:textId="77777777" w:rsidR="00D443BB" w:rsidRDefault="00D443BB" w:rsidP="006141F5">
      <w:pPr>
        <w:rPr>
          <w:rFonts w:cs="Sylfaen"/>
          <w:b w:val="0"/>
          <w:szCs w:val="22"/>
          <w:lang w:val="hy-AM" w:eastAsia="en-US"/>
        </w:rPr>
      </w:pPr>
      <w:r w:rsidRPr="007E7E8F">
        <w:rPr>
          <w:rFonts w:cs="Sylfaen"/>
          <w:b w:val="0"/>
          <w:szCs w:val="22"/>
          <w:lang w:val="hy-AM" w:eastAsia="en-US"/>
        </w:rPr>
        <w:t>2024 թվակա</w:t>
      </w:r>
      <w:r>
        <w:rPr>
          <w:rFonts w:cs="Sylfaen"/>
          <w:b w:val="0"/>
          <w:szCs w:val="22"/>
          <w:lang w:val="hy-AM" w:eastAsia="en-US"/>
        </w:rPr>
        <w:t>նի</w:t>
      </w:r>
      <w:r>
        <w:rPr>
          <w:rFonts w:cs="Sylfaen"/>
          <w:b w:val="0"/>
          <w:szCs w:val="22"/>
          <w:lang w:val="af-ZA" w:eastAsia="en-US"/>
        </w:rPr>
        <w:t xml:space="preserve"> </w:t>
      </w:r>
      <w:r>
        <w:rPr>
          <w:rFonts w:cs="Sylfaen"/>
          <w:b w:val="0"/>
          <w:szCs w:val="22"/>
          <w:lang w:val="hy-AM" w:eastAsia="en-US"/>
        </w:rPr>
        <w:t>պետական</w:t>
      </w:r>
      <w:r>
        <w:rPr>
          <w:rFonts w:cs="Sylfaen"/>
          <w:b w:val="0"/>
          <w:szCs w:val="22"/>
          <w:lang w:val="af-ZA" w:eastAsia="en-US"/>
        </w:rPr>
        <w:t xml:space="preserve"> </w:t>
      </w:r>
      <w:r>
        <w:rPr>
          <w:rFonts w:cs="Sylfaen"/>
          <w:b w:val="0"/>
          <w:szCs w:val="22"/>
          <w:lang w:val="hy-AM" w:eastAsia="en-US"/>
        </w:rPr>
        <w:t>բյուջեից</w:t>
      </w:r>
      <w:r>
        <w:rPr>
          <w:rFonts w:cs="Sylfaen"/>
          <w:b w:val="0"/>
          <w:szCs w:val="22"/>
          <w:lang w:val="af-ZA" w:eastAsia="en-US"/>
        </w:rPr>
        <w:t xml:space="preserve"> </w:t>
      </w:r>
      <w:r w:rsidRPr="007E7E8F">
        <w:rPr>
          <w:rFonts w:cs="Sylfaen"/>
          <w:b w:val="0"/>
          <w:szCs w:val="22"/>
          <w:lang w:val="hy-AM" w:eastAsia="en-US"/>
        </w:rPr>
        <w:t>նախատեսվ</w:t>
      </w:r>
      <w:r w:rsidRPr="00A94898">
        <w:rPr>
          <w:rFonts w:cs="Sylfaen"/>
          <w:b w:val="0"/>
          <w:szCs w:val="22"/>
          <w:lang w:val="hy-AM" w:eastAsia="en-US"/>
        </w:rPr>
        <w:t>ում</w:t>
      </w:r>
      <w:r w:rsidRPr="007E7E8F">
        <w:rPr>
          <w:rFonts w:cs="Sylfaen"/>
          <w:b w:val="0"/>
          <w:szCs w:val="22"/>
          <w:lang w:val="hy-AM" w:eastAsia="en-US"/>
        </w:rPr>
        <w:t xml:space="preserve"> է համայնքներին տրամադրել սուբվենցիաներ՝  շուրջ 25.</w:t>
      </w:r>
      <w:r w:rsidRPr="00A94898">
        <w:rPr>
          <w:rFonts w:cs="Sylfaen"/>
          <w:b w:val="0"/>
          <w:szCs w:val="22"/>
          <w:lang w:val="hy-AM" w:eastAsia="en-US"/>
        </w:rPr>
        <w:t>3</w:t>
      </w:r>
      <w:r w:rsidRPr="007E7E8F">
        <w:rPr>
          <w:rFonts w:cs="Sylfaen"/>
          <w:b w:val="0"/>
          <w:szCs w:val="22"/>
          <w:lang w:val="hy-AM" w:eastAsia="en-US"/>
        </w:rPr>
        <w:t xml:space="preserve"> մլրդ կամ ընդհանուր բյուջետային ծախսերի 0.</w:t>
      </w:r>
      <w:r w:rsidRPr="00A94898">
        <w:rPr>
          <w:rFonts w:cs="Sylfaen"/>
          <w:b w:val="0"/>
          <w:szCs w:val="22"/>
          <w:lang w:val="hy-AM" w:eastAsia="en-US"/>
        </w:rPr>
        <w:t>8</w:t>
      </w:r>
      <w:r w:rsidRPr="007E7E8F">
        <w:rPr>
          <w:rFonts w:cs="Sylfaen"/>
          <w:b w:val="0"/>
          <w:szCs w:val="22"/>
          <w:lang w:val="hy-AM" w:eastAsia="en-US"/>
        </w:rPr>
        <w:t xml:space="preserve"> </w:t>
      </w:r>
      <w:r w:rsidRPr="00CF08F8">
        <w:rPr>
          <w:rFonts w:cs="Sylfaen"/>
          <w:b w:val="0"/>
          <w:szCs w:val="22"/>
          <w:lang w:val="hy-AM" w:eastAsia="en-US"/>
        </w:rPr>
        <w:t>և</w:t>
      </w:r>
      <w:r w:rsidRPr="00CF08F8">
        <w:rPr>
          <w:rFonts w:cs="Sylfaen"/>
          <w:b w:val="0"/>
          <w:szCs w:val="22"/>
          <w:lang w:val="af-ZA" w:eastAsia="en-US"/>
        </w:rPr>
        <w:t xml:space="preserve"> </w:t>
      </w:r>
      <w:r w:rsidRPr="00CF08F8">
        <w:rPr>
          <w:rFonts w:cs="Sylfaen"/>
          <w:b w:val="0"/>
          <w:szCs w:val="22"/>
          <w:lang w:val="hy-AM" w:eastAsia="en-US"/>
        </w:rPr>
        <w:t>ՀՆԱ</w:t>
      </w:r>
      <w:r w:rsidRPr="00CF08F8">
        <w:rPr>
          <w:rFonts w:cs="Sylfaen"/>
          <w:b w:val="0"/>
          <w:szCs w:val="22"/>
          <w:lang w:val="af-ZA" w:eastAsia="en-US"/>
        </w:rPr>
        <w:t>-</w:t>
      </w:r>
      <w:r w:rsidRPr="00CF08F8">
        <w:rPr>
          <w:rFonts w:cs="Sylfaen"/>
          <w:b w:val="0"/>
          <w:szCs w:val="22"/>
          <w:lang w:val="hy-AM" w:eastAsia="en-US"/>
        </w:rPr>
        <w:t>ի</w:t>
      </w:r>
      <w:r w:rsidRPr="00CF08F8">
        <w:rPr>
          <w:rFonts w:cs="Sylfaen"/>
          <w:b w:val="0"/>
          <w:szCs w:val="22"/>
          <w:lang w:val="af-ZA" w:eastAsia="en-US"/>
        </w:rPr>
        <w:t xml:space="preserve"> </w:t>
      </w:r>
      <w:r>
        <w:rPr>
          <w:rFonts w:cs="Sylfaen"/>
          <w:b w:val="0"/>
          <w:szCs w:val="22"/>
          <w:lang w:val="af-ZA" w:eastAsia="en-US"/>
        </w:rPr>
        <w:t>0</w:t>
      </w:r>
      <w:r w:rsidRPr="00CF08F8">
        <w:rPr>
          <w:rFonts w:cs="Sylfaen"/>
          <w:b w:val="0"/>
          <w:szCs w:val="22"/>
          <w:lang w:val="af-ZA" w:eastAsia="en-US"/>
        </w:rPr>
        <w:t>.</w:t>
      </w:r>
      <w:r>
        <w:rPr>
          <w:rFonts w:cs="Sylfaen"/>
          <w:b w:val="0"/>
          <w:szCs w:val="22"/>
          <w:lang w:val="af-ZA" w:eastAsia="en-US"/>
        </w:rPr>
        <w:t>2</w:t>
      </w:r>
      <w:r w:rsidRPr="00CF08F8">
        <w:rPr>
          <w:b w:val="0"/>
          <w:szCs w:val="22"/>
          <w:lang w:val="af-ZA" w:eastAsia="en-US"/>
        </w:rPr>
        <w:t xml:space="preserve"> </w:t>
      </w:r>
      <w:r w:rsidRPr="007E7E8F">
        <w:rPr>
          <w:rFonts w:cs="Sylfaen"/>
          <w:b w:val="0"/>
          <w:szCs w:val="22"/>
          <w:lang w:val="hy-AM" w:eastAsia="en-US"/>
        </w:rPr>
        <w:t xml:space="preserve">տոկոսը: </w:t>
      </w:r>
    </w:p>
    <w:p w14:paraId="7A18457C" w14:textId="77777777" w:rsidR="00D443BB" w:rsidRPr="007E7E8F" w:rsidRDefault="00D443BB" w:rsidP="006141F5">
      <w:pPr>
        <w:rPr>
          <w:rFonts w:cs="Sylfaen"/>
          <w:b w:val="0"/>
          <w:szCs w:val="22"/>
          <w:lang w:val="hy-AM" w:eastAsia="en-US"/>
        </w:rPr>
      </w:pPr>
      <w:r w:rsidRPr="00A94898">
        <w:rPr>
          <w:rFonts w:cs="Sylfaen"/>
          <w:b w:val="0"/>
          <w:szCs w:val="22"/>
          <w:lang w:val="hy-AM" w:eastAsia="en-US"/>
        </w:rPr>
        <w:t>Պ</w:t>
      </w:r>
      <w:r w:rsidRPr="007E7E8F">
        <w:rPr>
          <w:rFonts w:cs="Sylfaen"/>
          <w:b w:val="0"/>
          <w:szCs w:val="22"/>
          <w:lang w:val="hy-AM" w:eastAsia="en-US"/>
        </w:rPr>
        <w:t>ատվիրակված լիազորությունների ֆինանսավորման գծով համայնքներին 2024 թվակա</w:t>
      </w:r>
      <w:r>
        <w:rPr>
          <w:rFonts w:cs="Sylfaen"/>
          <w:b w:val="0"/>
          <w:szCs w:val="22"/>
          <w:lang w:val="hy-AM" w:eastAsia="en-US"/>
        </w:rPr>
        <w:t>նի</w:t>
      </w:r>
      <w:r>
        <w:rPr>
          <w:rFonts w:cs="Sylfaen"/>
          <w:b w:val="0"/>
          <w:szCs w:val="22"/>
          <w:lang w:val="af-ZA" w:eastAsia="en-US"/>
        </w:rPr>
        <w:t xml:space="preserve"> </w:t>
      </w:r>
      <w:r>
        <w:rPr>
          <w:rFonts w:cs="Sylfaen"/>
          <w:b w:val="0"/>
          <w:szCs w:val="22"/>
          <w:lang w:val="hy-AM" w:eastAsia="en-US"/>
        </w:rPr>
        <w:t>պետական</w:t>
      </w:r>
      <w:r>
        <w:rPr>
          <w:rFonts w:cs="Sylfaen"/>
          <w:b w:val="0"/>
          <w:szCs w:val="22"/>
          <w:lang w:val="af-ZA" w:eastAsia="en-US"/>
        </w:rPr>
        <w:t xml:space="preserve"> </w:t>
      </w:r>
      <w:r>
        <w:rPr>
          <w:rFonts w:cs="Sylfaen"/>
          <w:b w:val="0"/>
          <w:szCs w:val="22"/>
          <w:lang w:val="hy-AM" w:eastAsia="en-US"/>
        </w:rPr>
        <w:t>բյուջեից</w:t>
      </w:r>
      <w:r>
        <w:rPr>
          <w:rFonts w:cs="Sylfaen"/>
          <w:b w:val="0"/>
          <w:szCs w:val="22"/>
          <w:lang w:val="af-ZA" w:eastAsia="en-US"/>
        </w:rPr>
        <w:t xml:space="preserve"> </w:t>
      </w:r>
      <w:r w:rsidRPr="007E7E8F">
        <w:rPr>
          <w:rFonts w:cs="Sylfaen"/>
          <w:b w:val="0"/>
          <w:szCs w:val="22"/>
          <w:lang w:val="hy-AM" w:eastAsia="en-US"/>
        </w:rPr>
        <w:t>նախատեսվ</w:t>
      </w:r>
      <w:r w:rsidRPr="00A94898">
        <w:rPr>
          <w:rFonts w:cs="Sylfaen"/>
          <w:b w:val="0"/>
          <w:szCs w:val="22"/>
          <w:lang w:val="hy-AM" w:eastAsia="en-US"/>
        </w:rPr>
        <w:t>ում</w:t>
      </w:r>
      <w:r w:rsidRPr="007E7E8F">
        <w:rPr>
          <w:rFonts w:cs="Sylfaen"/>
          <w:b w:val="0"/>
          <w:szCs w:val="22"/>
          <w:lang w:val="hy-AM" w:eastAsia="en-US"/>
        </w:rPr>
        <w:t xml:space="preserve"> է տրամադրել՝ շուրջ </w:t>
      </w:r>
      <w:r w:rsidRPr="00A94898">
        <w:rPr>
          <w:rFonts w:cs="Sylfaen"/>
          <w:b w:val="0"/>
          <w:szCs w:val="22"/>
          <w:lang w:val="hy-AM" w:eastAsia="en-US"/>
        </w:rPr>
        <w:t>4</w:t>
      </w:r>
      <w:r w:rsidR="008703BD" w:rsidRPr="008703BD">
        <w:rPr>
          <w:rFonts w:cs="Sylfaen"/>
          <w:b w:val="0"/>
          <w:szCs w:val="22"/>
          <w:lang w:val="hy-AM" w:eastAsia="en-US"/>
        </w:rPr>
        <w:t>0</w:t>
      </w:r>
      <w:r w:rsidRPr="007E7E8F">
        <w:rPr>
          <w:rFonts w:cs="Sylfaen"/>
          <w:b w:val="0"/>
          <w:szCs w:val="22"/>
          <w:lang w:val="hy-AM" w:eastAsia="en-US"/>
        </w:rPr>
        <w:t>.</w:t>
      </w:r>
      <w:r w:rsidR="008703BD" w:rsidRPr="008703BD">
        <w:rPr>
          <w:rFonts w:cs="Sylfaen"/>
          <w:b w:val="0"/>
          <w:szCs w:val="22"/>
          <w:lang w:val="hy-AM" w:eastAsia="en-US"/>
        </w:rPr>
        <w:t>9</w:t>
      </w:r>
      <w:r w:rsidRPr="007E7E8F">
        <w:rPr>
          <w:rFonts w:cs="Sylfaen"/>
          <w:b w:val="0"/>
          <w:szCs w:val="22"/>
          <w:lang w:val="hy-AM" w:eastAsia="en-US"/>
        </w:rPr>
        <w:t xml:space="preserve"> մլրդ կամ ընդհանուր բյուջետային ծախսերի 1.</w:t>
      </w:r>
      <w:r w:rsidR="008703BD" w:rsidRPr="008703BD">
        <w:rPr>
          <w:rFonts w:cs="Sylfaen"/>
          <w:b w:val="0"/>
          <w:szCs w:val="22"/>
          <w:lang w:val="hy-AM" w:eastAsia="en-US"/>
        </w:rPr>
        <w:t>3</w:t>
      </w:r>
      <w:r w:rsidRPr="007E7E8F">
        <w:rPr>
          <w:rFonts w:cs="Sylfaen"/>
          <w:b w:val="0"/>
          <w:szCs w:val="22"/>
          <w:lang w:val="hy-AM" w:eastAsia="en-US"/>
        </w:rPr>
        <w:t xml:space="preserve"> </w:t>
      </w:r>
      <w:r>
        <w:rPr>
          <w:rFonts w:cs="Sylfaen"/>
          <w:b w:val="0"/>
          <w:szCs w:val="22"/>
          <w:lang w:val="hy-AM" w:eastAsia="en-US"/>
        </w:rPr>
        <w:t>և ՀՆԱ-ի 0.</w:t>
      </w:r>
      <w:r w:rsidRPr="00A94898">
        <w:rPr>
          <w:rFonts w:cs="Sylfaen"/>
          <w:b w:val="0"/>
          <w:szCs w:val="22"/>
          <w:lang w:val="hy-AM" w:eastAsia="en-US"/>
        </w:rPr>
        <w:t>4</w:t>
      </w:r>
      <w:r>
        <w:rPr>
          <w:rFonts w:cs="Sylfaen"/>
          <w:b w:val="0"/>
          <w:szCs w:val="22"/>
          <w:lang w:val="hy-AM" w:eastAsia="en-US"/>
        </w:rPr>
        <w:t xml:space="preserve"> տոկոսը</w:t>
      </w:r>
      <w:r w:rsidRPr="007E7E8F">
        <w:rPr>
          <w:rFonts w:cs="Sylfaen"/>
          <w:b w:val="0"/>
          <w:szCs w:val="22"/>
          <w:lang w:val="hy-AM" w:eastAsia="en-US"/>
        </w:rPr>
        <w:t xml:space="preserve">: </w:t>
      </w:r>
    </w:p>
    <w:p w14:paraId="102E9159" w14:textId="77777777" w:rsidR="00D443BB" w:rsidRDefault="00D443BB" w:rsidP="006141F5">
      <w:pPr>
        <w:tabs>
          <w:tab w:val="left" w:pos="0"/>
        </w:tabs>
        <w:rPr>
          <w:lang w:val="hy-AM"/>
        </w:rPr>
      </w:pPr>
    </w:p>
    <w:p w14:paraId="658ABB00" w14:textId="618B96D3" w:rsidR="00D443BB" w:rsidRPr="00324B27" w:rsidRDefault="00AA7CE6" w:rsidP="00AA7CE6">
      <w:pPr>
        <w:pStyle w:val="Caption"/>
        <w:rPr>
          <w:b/>
          <w:color w:val="000000" w:themeColor="text1"/>
          <w:sz w:val="22"/>
          <w:szCs w:val="22"/>
          <w:lang w:val="af-ZA"/>
        </w:rPr>
      </w:pPr>
      <w:bookmarkStart w:id="288" w:name="_Toc57631763"/>
      <w:bookmarkStart w:id="289" w:name="_Toc152324778"/>
      <w:r w:rsidRPr="00AA7CE6">
        <w:rPr>
          <w:b/>
          <w:bCs w:val="0"/>
          <w:color w:val="auto"/>
          <w:sz w:val="22"/>
          <w:szCs w:val="22"/>
          <w:lang w:val="hy-AM"/>
        </w:rPr>
        <w:t xml:space="preserve">Աղյուսակ </w:t>
      </w:r>
      <w:r w:rsidRPr="00AA7CE6">
        <w:rPr>
          <w:b/>
          <w:bCs w:val="0"/>
          <w:color w:val="auto"/>
          <w:sz w:val="22"/>
          <w:szCs w:val="22"/>
          <w:lang w:val="hy-AM"/>
        </w:rPr>
        <w:fldChar w:fldCharType="begin"/>
      </w:r>
      <w:r w:rsidRPr="00AA7CE6">
        <w:rPr>
          <w:b/>
          <w:bCs w:val="0"/>
          <w:color w:val="auto"/>
          <w:sz w:val="22"/>
          <w:szCs w:val="22"/>
          <w:lang w:val="hy-AM"/>
        </w:rPr>
        <w:instrText xml:space="preserve"> SEQ Աղյուսակ \* ARABIC </w:instrText>
      </w:r>
      <w:r w:rsidRPr="00AA7CE6">
        <w:rPr>
          <w:b/>
          <w:bCs w:val="0"/>
          <w:color w:val="auto"/>
          <w:sz w:val="22"/>
          <w:szCs w:val="22"/>
          <w:lang w:val="hy-AM"/>
        </w:rPr>
        <w:fldChar w:fldCharType="separate"/>
      </w:r>
      <w:r w:rsidR="00DB4E68">
        <w:rPr>
          <w:b/>
          <w:bCs w:val="0"/>
          <w:noProof/>
          <w:color w:val="auto"/>
          <w:sz w:val="22"/>
          <w:szCs w:val="22"/>
          <w:lang w:val="hy-AM"/>
        </w:rPr>
        <w:t>16</w:t>
      </w:r>
      <w:r w:rsidRPr="00AA7CE6">
        <w:rPr>
          <w:b/>
          <w:bCs w:val="0"/>
          <w:color w:val="auto"/>
          <w:sz w:val="22"/>
          <w:szCs w:val="22"/>
          <w:lang w:val="hy-AM"/>
        </w:rPr>
        <w:fldChar w:fldCharType="end"/>
      </w:r>
      <w:r w:rsidR="00D443BB" w:rsidRPr="00AA7CE6">
        <w:rPr>
          <w:b/>
          <w:bCs w:val="0"/>
          <w:color w:val="auto"/>
          <w:sz w:val="22"/>
          <w:szCs w:val="22"/>
          <w:lang w:val="hy-AM"/>
        </w:rPr>
        <w:t>.</w:t>
      </w:r>
      <w:r w:rsidR="00D443BB" w:rsidRPr="00324B27">
        <w:rPr>
          <w:caps/>
          <w:color w:val="000000" w:themeColor="text1"/>
          <w:spacing w:val="10"/>
          <w:sz w:val="22"/>
          <w:szCs w:val="22"/>
          <w:lang w:val="af-ZA"/>
        </w:rPr>
        <w:t xml:space="preserve"> </w:t>
      </w:r>
      <w:r w:rsidR="00D443BB" w:rsidRPr="00324B27">
        <w:rPr>
          <w:rFonts w:ascii="Cambria Math" w:hAnsi="Cambria Math"/>
          <w:caps/>
          <w:color w:val="000000" w:themeColor="text1"/>
          <w:spacing w:val="10"/>
          <w:sz w:val="22"/>
          <w:szCs w:val="22"/>
          <w:lang w:val="hy-AM"/>
        </w:rPr>
        <w:t xml:space="preserve"> </w:t>
      </w:r>
      <w:r w:rsidR="00D443BB" w:rsidRPr="00324B27">
        <w:rPr>
          <w:color w:val="000000" w:themeColor="text1"/>
          <w:sz w:val="22"/>
          <w:szCs w:val="22"/>
          <w:lang w:val="af-ZA"/>
        </w:rPr>
        <w:t>ՀՀ պետական բյուջեից ՀՀ համայնքների բյուջեներին տրվող հատկացումները</w:t>
      </w:r>
      <w:bookmarkEnd w:id="288"/>
      <w:r w:rsidR="00D443BB" w:rsidRPr="00324B27">
        <w:rPr>
          <w:color w:val="000000" w:themeColor="text1"/>
          <w:sz w:val="22"/>
          <w:szCs w:val="22"/>
          <w:lang w:val="af-ZA"/>
        </w:rPr>
        <w:t xml:space="preserve">, </w:t>
      </w:r>
      <w:r w:rsidR="00D443BB" w:rsidRPr="00324B27">
        <w:rPr>
          <w:color w:val="000000" w:themeColor="text1"/>
          <w:sz w:val="22"/>
          <w:szCs w:val="22"/>
          <w:lang w:val="hy-AM"/>
        </w:rPr>
        <w:t>մլրդ</w:t>
      </w:r>
      <w:r w:rsidR="00D443BB" w:rsidRPr="00324B27">
        <w:rPr>
          <w:color w:val="000000" w:themeColor="text1"/>
          <w:sz w:val="22"/>
          <w:szCs w:val="22"/>
          <w:lang w:val="af-ZA"/>
        </w:rPr>
        <w:t xml:space="preserve"> դրամ</w:t>
      </w:r>
      <w:bookmarkEnd w:id="289"/>
    </w:p>
    <w:tbl>
      <w:tblPr>
        <w:tblW w:w="0" w:type="dxa"/>
        <w:tblLayout w:type="fixed"/>
        <w:tblLook w:val="04A0" w:firstRow="1" w:lastRow="0" w:firstColumn="1" w:lastColumn="0" w:noHBand="0" w:noVBand="1"/>
      </w:tblPr>
      <w:tblGrid>
        <w:gridCol w:w="4183"/>
        <w:gridCol w:w="986"/>
        <w:gridCol w:w="986"/>
        <w:gridCol w:w="986"/>
        <w:gridCol w:w="845"/>
        <w:gridCol w:w="1104"/>
      </w:tblGrid>
      <w:tr w:rsidR="00D443BB" w14:paraId="24FC1B43" w14:textId="77777777" w:rsidTr="00B134CD">
        <w:trPr>
          <w:trHeight w:val="223"/>
        </w:trPr>
        <w:tc>
          <w:tcPr>
            <w:tcW w:w="4183" w:type="dxa"/>
            <w:vMerge w:val="restart"/>
            <w:tcBorders>
              <w:top w:val="nil"/>
              <w:left w:val="nil"/>
              <w:bottom w:val="single" w:sz="4" w:space="0" w:color="auto"/>
              <w:right w:val="nil"/>
            </w:tcBorders>
            <w:noWrap/>
            <w:hideMark/>
          </w:tcPr>
          <w:p w14:paraId="1634EDA2" w14:textId="77777777" w:rsidR="00D443BB" w:rsidRPr="00242EE8" w:rsidRDefault="00D443BB" w:rsidP="00B134CD">
            <w:pPr>
              <w:tabs>
                <w:tab w:val="left" w:pos="0"/>
              </w:tabs>
              <w:spacing w:line="240" w:lineRule="auto"/>
              <w:jc w:val="center"/>
              <w:rPr>
                <w:rFonts w:cs="Sylfaen"/>
                <w:b w:val="0"/>
                <w:color w:val="000000" w:themeColor="text1"/>
                <w:sz w:val="18"/>
                <w:szCs w:val="18"/>
                <w:lang w:val="hy-AM"/>
              </w:rPr>
            </w:pPr>
            <w:r w:rsidRPr="00242EE8">
              <w:rPr>
                <w:b w:val="0"/>
                <w:i/>
                <w:iCs/>
                <w:color w:val="000000" w:themeColor="text1"/>
                <w:sz w:val="18"/>
                <w:szCs w:val="18"/>
                <w:lang w:val="hy-AM"/>
              </w:rPr>
              <w:tab/>
            </w:r>
            <w:r w:rsidRPr="00242EE8">
              <w:rPr>
                <w:rFonts w:ascii="Calibri" w:hAnsi="Calibri" w:cs="Calibri"/>
                <w:b w:val="0"/>
                <w:color w:val="000000" w:themeColor="text1"/>
                <w:sz w:val="18"/>
                <w:szCs w:val="18"/>
                <w:lang w:val="hy-AM"/>
              </w:rPr>
              <w:t> </w:t>
            </w:r>
          </w:p>
          <w:p w14:paraId="078D1248" w14:textId="77777777" w:rsidR="00D443BB" w:rsidRPr="00242EE8" w:rsidRDefault="00D443BB" w:rsidP="00B134CD">
            <w:pPr>
              <w:tabs>
                <w:tab w:val="left" w:pos="0"/>
              </w:tabs>
              <w:spacing w:line="240" w:lineRule="auto"/>
              <w:jc w:val="center"/>
              <w:rPr>
                <w:b w:val="0"/>
                <w:i/>
                <w:iCs/>
                <w:color w:val="000000" w:themeColor="text1"/>
                <w:sz w:val="18"/>
                <w:szCs w:val="18"/>
                <w:lang w:val="hy-AM"/>
              </w:rPr>
            </w:pPr>
            <w:r w:rsidRPr="00242EE8">
              <w:rPr>
                <w:rFonts w:cs="Sylfaen"/>
                <w:b w:val="0"/>
                <w:color w:val="000000" w:themeColor="text1"/>
                <w:sz w:val="18"/>
                <w:szCs w:val="18"/>
                <w:lang w:val="hy-AM"/>
              </w:rPr>
              <w:t>Ցուցանիշներ</w:t>
            </w:r>
          </w:p>
        </w:tc>
        <w:tc>
          <w:tcPr>
            <w:tcW w:w="2958" w:type="dxa"/>
            <w:gridSpan w:val="3"/>
            <w:tcBorders>
              <w:top w:val="nil"/>
              <w:left w:val="nil"/>
              <w:bottom w:val="nil"/>
              <w:right w:val="nil"/>
            </w:tcBorders>
            <w:hideMark/>
          </w:tcPr>
          <w:p w14:paraId="4A0310FF" w14:textId="77777777" w:rsidR="00D443BB" w:rsidRPr="00242EE8" w:rsidRDefault="00D443BB" w:rsidP="00B134CD">
            <w:pPr>
              <w:tabs>
                <w:tab w:val="left" w:pos="0"/>
              </w:tabs>
              <w:spacing w:line="240" w:lineRule="auto"/>
              <w:jc w:val="center"/>
              <w:rPr>
                <w:rFonts w:cs="Sylfaen"/>
                <w:b w:val="0"/>
                <w:color w:val="000000" w:themeColor="text1"/>
                <w:sz w:val="18"/>
                <w:szCs w:val="18"/>
                <w:lang w:val="hy-AM"/>
              </w:rPr>
            </w:pPr>
            <w:r w:rsidRPr="00242EE8">
              <w:rPr>
                <w:rFonts w:cs="Sylfaen"/>
                <w:b w:val="0"/>
                <w:color w:val="000000" w:themeColor="text1"/>
                <w:sz w:val="18"/>
                <w:szCs w:val="18"/>
                <w:lang w:val="hy-AM"/>
              </w:rPr>
              <w:t>Փաստ</w:t>
            </w:r>
          </w:p>
        </w:tc>
        <w:tc>
          <w:tcPr>
            <w:tcW w:w="845" w:type="dxa"/>
            <w:tcBorders>
              <w:top w:val="nil"/>
              <w:left w:val="nil"/>
              <w:bottom w:val="nil"/>
              <w:right w:val="nil"/>
            </w:tcBorders>
            <w:hideMark/>
          </w:tcPr>
          <w:p w14:paraId="72AFF35B" w14:textId="77777777" w:rsidR="00D443BB" w:rsidRPr="00242EE8" w:rsidRDefault="00D443BB" w:rsidP="00B134CD">
            <w:pPr>
              <w:tabs>
                <w:tab w:val="left" w:pos="0"/>
              </w:tabs>
              <w:spacing w:line="240" w:lineRule="auto"/>
              <w:jc w:val="center"/>
              <w:rPr>
                <w:rFonts w:cs="Sylfaen"/>
                <w:b w:val="0"/>
                <w:color w:val="000000" w:themeColor="text1"/>
                <w:sz w:val="18"/>
                <w:szCs w:val="18"/>
                <w:u w:val="single"/>
                <w:lang w:val="hy-AM"/>
              </w:rPr>
            </w:pPr>
            <w:r w:rsidRPr="00242EE8">
              <w:rPr>
                <w:rFonts w:cs="Sylfaen"/>
                <w:b w:val="0"/>
                <w:color w:val="000000" w:themeColor="text1"/>
                <w:sz w:val="18"/>
                <w:szCs w:val="18"/>
                <w:u w:val="single"/>
                <w:lang w:val="hy-AM"/>
              </w:rPr>
              <w:t>Բյուջե</w:t>
            </w:r>
          </w:p>
        </w:tc>
        <w:tc>
          <w:tcPr>
            <w:tcW w:w="1104" w:type="dxa"/>
            <w:tcBorders>
              <w:top w:val="nil"/>
              <w:left w:val="nil"/>
              <w:bottom w:val="nil"/>
              <w:right w:val="nil"/>
            </w:tcBorders>
            <w:hideMark/>
          </w:tcPr>
          <w:p w14:paraId="6317D966" w14:textId="586767AC" w:rsidR="00D443BB" w:rsidRPr="00242EE8" w:rsidRDefault="009813D2" w:rsidP="00B134CD">
            <w:pPr>
              <w:tabs>
                <w:tab w:val="left" w:pos="0"/>
              </w:tabs>
              <w:spacing w:line="240" w:lineRule="auto"/>
              <w:jc w:val="center"/>
              <w:rPr>
                <w:rFonts w:cs="Sylfaen"/>
                <w:b w:val="0"/>
                <w:color w:val="000000" w:themeColor="text1"/>
                <w:sz w:val="18"/>
                <w:szCs w:val="18"/>
                <w:u w:val="single"/>
                <w:lang w:val="hy-AM"/>
              </w:rPr>
            </w:pPr>
            <w:r>
              <w:rPr>
                <w:rFonts w:cs="Sylfaen"/>
                <w:b w:val="0"/>
                <w:color w:val="000000" w:themeColor="text1"/>
                <w:sz w:val="18"/>
                <w:szCs w:val="18"/>
                <w:u w:val="single"/>
                <w:lang w:val="hy-AM"/>
              </w:rPr>
              <w:t>ծրագիր</w:t>
            </w:r>
          </w:p>
        </w:tc>
      </w:tr>
      <w:tr w:rsidR="00D443BB" w14:paraId="2F22D944" w14:textId="77777777" w:rsidTr="00B134CD">
        <w:trPr>
          <w:trHeight w:val="343"/>
        </w:trPr>
        <w:tc>
          <w:tcPr>
            <w:tcW w:w="4183" w:type="dxa"/>
            <w:vMerge/>
            <w:tcBorders>
              <w:top w:val="nil"/>
              <w:left w:val="nil"/>
              <w:bottom w:val="single" w:sz="4" w:space="0" w:color="auto"/>
              <w:right w:val="nil"/>
            </w:tcBorders>
            <w:vAlign w:val="center"/>
            <w:hideMark/>
          </w:tcPr>
          <w:p w14:paraId="76AEA0D2" w14:textId="77777777" w:rsidR="00D443BB" w:rsidRPr="00242EE8" w:rsidRDefault="00D443BB" w:rsidP="00B134CD">
            <w:pPr>
              <w:spacing w:before="0" w:line="240" w:lineRule="auto"/>
              <w:jc w:val="left"/>
              <w:rPr>
                <w:b w:val="0"/>
                <w:bCs/>
                <w:i/>
                <w:iCs/>
                <w:color w:val="000000" w:themeColor="text1"/>
                <w:sz w:val="18"/>
                <w:szCs w:val="18"/>
                <w:lang w:val="hy-AM"/>
              </w:rPr>
            </w:pPr>
          </w:p>
        </w:tc>
        <w:tc>
          <w:tcPr>
            <w:tcW w:w="986" w:type="dxa"/>
            <w:tcBorders>
              <w:left w:val="nil"/>
              <w:bottom w:val="single" w:sz="4" w:space="0" w:color="auto"/>
              <w:right w:val="nil"/>
            </w:tcBorders>
            <w:hideMark/>
          </w:tcPr>
          <w:p w14:paraId="245C7D12" w14:textId="77777777" w:rsidR="00D443BB" w:rsidRPr="00242EE8" w:rsidRDefault="00D443BB" w:rsidP="00B134CD">
            <w:pPr>
              <w:tabs>
                <w:tab w:val="left" w:pos="0"/>
              </w:tabs>
              <w:spacing w:line="240" w:lineRule="auto"/>
              <w:jc w:val="center"/>
              <w:rPr>
                <w:rFonts w:cs="Sylfaen"/>
                <w:b w:val="0"/>
                <w:color w:val="000000" w:themeColor="text1"/>
                <w:sz w:val="18"/>
                <w:szCs w:val="18"/>
                <w:lang w:val="hy-AM"/>
              </w:rPr>
            </w:pPr>
            <w:r w:rsidRPr="00242EE8">
              <w:rPr>
                <w:rFonts w:cs="Sylfaen"/>
                <w:b w:val="0"/>
                <w:color w:val="000000" w:themeColor="text1"/>
                <w:sz w:val="18"/>
                <w:szCs w:val="18"/>
                <w:lang w:val="hy-AM"/>
              </w:rPr>
              <w:t>2020թ.</w:t>
            </w:r>
          </w:p>
        </w:tc>
        <w:tc>
          <w:tcPr>
            <w:tcW w:w="986" w:type="dxa"/>
            <w:tcBorders>
              <w:left w:val="nil"/>
              <w:bottom w:val="single" w:sz="4" w:space="0" w:color="auto"/>
              <w:right w:val="nil"/>
            </w:tcBorders>
            <w:hideMark/>
          </w:tcPr>
          <w:p w14:paraId="0B36DADB" w14:textId="77777777" w:rsidR="00D443BB" w:rsidRPr="00242EE8" w:rsidRDefault="00D443BB" w:rsidP="00B134CD">
            <w:pPr>
              <w:tabs>
                <w:tab w:val="left" w:pos="0"/>
              </w:tabs>
              <w:spacing w:line="240" w:lineRule="auto"/>
              <w:jc w:val="center"/>
              <w:rPr>
                <w:rFonts w:cs="Sylfaen"/>
                <w:b w:val="0"/>
                <w:color w:val="000000" w:themeColor="text1"/>
                <w:sz w:val="18"/>
                <w:szCs w:val="18"/>
                <w:lang w:val="hy-AM"/>
              </w:rPr>
            </w:pPr>
            <w:r w:rsidRPr="00242EE8">
              <w:rPr>
                <w:rFonts w:cs="Sylfaen"/>
                <w:b w:val="0"/>
                <w:color w:val="000000" w:themeColor="text1"/>
                <w:sz w:val="18"/>
                <w:szCs w:val="18"/>
                <w:lang w:val="hy-AM"/>
              </w:rPr>
              <w:t>2021թ.</w:t>
            </w:r>
          </w:p>
        </w:tc>
        <w:tc>
          <w:tcPr>
            <w:tcW w:w="986" w:type="dxa"/>
            <w:tcBorders>
              <w:left w:val="nil"/>
              <w:bottom w:val="single" w:sz="4" w:space="0" w:color="auto"/>
              <w:right w:val="nil"/>
            </w:tcBorders>
            <w:hideMark/>
          </w:tcPr>
          <w:p w14:paraId="5276C9B1" w14:textId="77777777" w:rsidR="00D443BB" w:rsidRPr="00242EE8" w:rsidRDefault="00D443BB" w:rsidP="00B134CD">
            <w:pPr>
              <w:tabs>
                <w:tab w:val="left" w:pos="0"/>
              </w:tabs>
              <w:spacing w:line="240" w:lineRule="auto"/>
              <w:jc w:val="center"/>
              <w:rPr>
                <w:rFonts w:cs="Sylfaen"/>
                <w:b w:val="0"/>
                <w:color w:val="000000" w:themeColor="text1"/>
                <w:sz w:val="18"/>
                <w:szCs w:val="18"/>
                <w:lang w:val="hy-AM"/>
              </w:rPr>
            </w:pPr>
            <w:r w:rsidRPr="00242EE8">
              <w:rPr>
                <w:rFonts w:cs="Sylfaen"/>
                <w:b w:val="0"/>
                <w:color w:val="000000" w:themeColor="text1"/>
                <w:sz w:val="18"/>
                <w:szCs w:val="18"/>
                <w:lang w:val="hy-AM"/>
              </w:rPr>
              <w:t>202</w:t>
            </w:r>
            <w:r w:rsidRPr="00242EE8">
              <w:rPr>
                <w:rFonts w:cs="Sylfaen"/>
                <w:b w:val="0"/>
                <w:color w:val="000000" w:themeColor="text1"/>
                <w:sz w:val="18"/>
                <w:szCs w:val="18"/>
              </w:rPr>
              <w:t>2</w:t>
            </w:r>
            <w:r w:rsidRPr="00242EE8">
              <w:rPr>
                <w:rFonts w:cs="Sylfaen"/>
                <w:b w:val="0"/>
                <w:color w:val="000000" w:themeColor="text1"/>
                <w:sz w:val="18"/>
                <w:szCs w:val="18"/>
                <w:lang w:val="hy-AM"/>
              </w:rPr>
              <w:t>թ.</w:t>
            </w:r>
          </w:p>
        </w:tc>
        <w:tc>
          <w:tcPr>
            <w:tcW w:w="845" w:type="dxa"/>
            <w:tcBorders>
              <w:top w:val="nil"/>
              <w:left w:val="nil"/>
              <w:bottom w:val="single" w:sz="4" w:space="0" w:color="auto"/>
              <w:right w:val="nil"/>
            </w:tcBorders>
            <w:hideMark/>
          </w:tcPr>
          <w:p w14:paraId="322465BE" w14:textId="77777777" w:rsidR="00D443BB" w:rsidRPr="00242EE8" w:rsidRDefault="00D443BB" w:rsidP="00B134CD">
            <w:pPr>
              <w:tabs>
                <w:tab w:val="left" w:pos="0"/>
              </w:tabs>
              <w:spacing w:line="240" w:lineRule="auto"/>
              <w:jc w:val="center"/>
              <w:rPr>
                <w:b w:val="0"/>
                <w:bCs/>
                <w:color w:val="000000" w:themeColor="text1"/>
                <w:sz w:val="18"/>
                <w:szCs w:val="18"/>
                <w:lang w:val="hy-AM"/>
              </w:rPr>
            </w:pPr>
            <w:r w:rsidRPr="00242EE8">
              <w:rPr>
                <w:rFonts w:cs="Sylfaen"/>
                <w:b w:val="0"/>
                <w:color w:val="000000" w:themeColor="text1"/>
                <w:sz w:val="18"/>
                <w:szCs w:val="18"/>
                <w:lang w:val="hy-AM"/>
              </w:rPr>
              <w:t>202</w:t>
            </w:r>
            <w:r w:rsidRPr="00242EE8">
              <w:rPr>
                <w:rFonts w:cs="Sylfaen"/>
                <w:b w:val="0"/>
                <w:color w:val="000000" w:themeColor="text1"/>
                <w:sz w:val="18"/>
                <w:szCs w:val="18"/>
              </w:rPr>
              <w:t>3</w:t>
            </w:r>
            <w:r w:rsidRPr="00242EE8">
              <w:rPr>
                <w:rFonts w:cs="Sylfaen"/>
                <w:b w:val="0"/>
                <w:color w:val="000000" w:themeColor="text1"/>
                <w:sz w:val="18"/>
                <w:szCs w:val="18"/>
                <w:lang w:val="hy-AM"/>
              </w:rPr>
              <w:t>թ.</w:t>
            </w:r>
          </w:p>
        </w:tc>
        <w:tc>
          <w:tcPr>
            <w:tcW w:w="1104" w:type="dxa"/>
            <w:tcBorders>
              <w:top w:val="nil"/>
              <w:left w:val="nil"/>
              <w:bottom w:val="single" w:sz="4" w:space="0" w:color="auto"/>
              <w:right w:val="nil"/>
            </w:tcBorders>
            <w:hideMark/>
          </w:tcPr>
          <w:p w14:paraId="395FE6B7" w14:textId="77777777" w:rsidR="00D443BB" w:rsidRPr="00242EE8" w:rsidRDefault="00D443BB" w:rsidP="00B134CD">
            <w:pPr>
              <w:tabs>
                <w:tab w:val="left" w:pos="0"/>
              </w:tabs>
              <w:spacing w:line="240" w:lineRule="auto"/>
              <w:jc w:val="center"/>
              <w:rPr>
                <w:b w:val="0"/>
                <w:bCs/>
                <w:color w:val="000000" w:themeColor="text1"/>
                <w:sz w:val="18"/>
                <w:szCs w:val="18"/>
                <w:lang w:val="hy-AM"/>
              </w:rPr>
            </w:pPr>
            <w:r w:rsidRPr="00242EE8">
              <w:rPr>
                <w:rFonts w:cs="Sylfaen"/>
                <w:b w:val="0"/>
                <w:color w:val="000000" w:themeColor="text1"/>
                <w:sz w:val="18"/>
                <w:szCs w:val="18"/>
                <w:lang w:val="hy-AM"/>
              </w:rPr>
              <w:t>202</w:t>
            </w:r>
            <w:r w:rsidRPr="00242EE8">
              <w:rPr>
                <w:rFonts w:cs="Sylfaen"/>
                <w:b w:val="0"/>
                <w:color w:val="000000" w:themeColor="text1"/>
                <w:sz w:val="18"/>
                <w:szCs w:val="18"/>
              </w:rPr>
              <w:t>4</w:t>
            </w:r>
            <w:r w:rsidRPr="00242EE8">
              <w:rPr>
                <w:rFonts w:cs="Sylfaen"/>
                <w:b w:val="0"/>
                <w:color w:val="000000" w:themeColor="text1"/>
                <w:sz w:val="18"/>
                <w:szCs w:val="18"/>
                <w:lang w:val="hy-AM"/>
              </w:rPr>
              <w:t>թ</w:t>
            </w:r>
            <w:r w:rsidRPr="00242EE8">
              <w:rPr>
                <w:rFonts w:cs="Sylfaen"/>
                <w:b w:val="0"/>
                <w:color w:val="000000" w:themeColor="text1"/>
                <w:sz w:val="18"/>
                <w:szCs w:val="18"/>
              </w:rPr>
              <w:t>.</w:t>
            </w:r>
          </w:p>
        </w:tc>
      </w:tr>
      <w:tr w:rsidR="00D443BB" w14:paraId="512AE610" w14:textId="77777777" w:rsidTr="00B134CD">
        <w:trPr>
          <w:trHeight w:val="385"/>
        </w:trPr>
        <w:tc>
          <w:tcPr>
            <w:tcW w:w="4183" w:type="dxa"/>
            <w:tcBorders>
              <w:top w:val="single" w:sz="4" w:space="0" w:color="auto"/>
              <w:left w:val="nil"/>
              <w:bottom w:val="single" w:sz="4" w:space="0" w:color="7F7F7F" w:themeColor="text1" w:themeTint="80"/>
              <w:right w:val="nil"/>
            </w:tcBorders>
            <w:noWrap/>
            <w:hideMark/>
          </w:tcPr>
          <w:p w14:paraId="66F5D6EC" w14:textId="77777777" w:rsidR="00D443BB" w:rsidRPr="00242EE8" w:rsidRDefault="00D443BB" w:rsidP="00B134CD">
            <w:pPr>
              <w:tabs>
                <w:tab w:val="left" w:pos="0"/>
              </w:tabs>
              <w:spacing w:line="240" w:lineRule="auto"/>
              <w:jc w:val="left"/>
              <w:rPr>
                <w:b w:val="0"/>
                <w:bCs/>
                <w:color w:val="000000"/>
                <w:sz w:val="18"/>
                <w:szCs w:val="18"/>
                <w:lang w:val="hy-AM"/>
              </w:rPr>
            </w:pPr>
            <w:r w:rsidRPr="00242EE8">
              <w:rPr>
                <w:b w:val="0"/>
                <w:bCs/>
                <w:color w:val="000000"/>
                <w:sz w:val="18"/>
                <w:szCs w:val="18"/>
                <w:lang w:val="hy-AM"/>
              </w:rPr>
              <w:t>ԸՆԴԱՄԵՆԸ</w:t>
            </w:r>
          </w:p>
        </w:tc>
        <w:tc>
          <w:tcPr>
            <w:tcW w:w="986" w:type="dxa"/>
            <w:tcBorders>
              <w:top w:val="single" w:sz="4" w:space="0" w:color="auto"/>
              <w:left w:val="nil"/>
              <w:bottom w:val="single" w:sz="4" w:space="0" w:color="7F7F7F" w:themeColor="text1" w:themeTint="80"/>
              <w:right w:val="nil"/>
            </w:tcBorders>
            <w:vAlign w:val="center"/>
            <w:hideMark/>
          </w:tcPr>
          <w:p w14:paraId="0043180B"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sz w:val="18"/>
                <w:szCs w:val="18"/>
                <w:lang w:val="hy-AM"/>
              </w:rPr>
              <w:t>1</w:t>
            </w:r>
            <w:r w:rsidRPr="00242EE8">
              <w:rPr>
                <w:rFonts w:cs="Calibri"/>
                <w:b w:val="0"/>
                <w:sz w:val="18"/>
                <w:szCs w:val="18"/>
                <w:lang w:val="en-US"/>
              </w:rPr>
              <w:t>08</w:t>
            </w:r>
            <w:r w:rsidRPr="00242EE8">
              <w:rPr>
                <w:rFonts w:cs="Calibri"/>
                <w:b w:val="0"/>
                <w:sz w:val="18"/>
                <w:szCs w:val="18"/>
                <w:lang w:val="hy-AM"/>
              </w:rPr>
              <w:t>.</w:t>
            </w:r>
            <w:r w:rsidRPr="00242EE8">
              <w:rPr>
                <w:rFonts w:cs="Calibri"/>
                <w:b w:val="0"/>
                <w:sz w:val="18"/>
                <w:szCs w:val="18"/>
                <w:lang w:val="en-US"/>
              </w:rPr>
              <w:t>2</w:t>
            </w:r>
          </w:p>
        </w:tc>
        <w:tc>
          <w:tcPr>
            <w:tcW w:w="986" w:type="dxa"/>
            <w:tcBorders>
              <w:top w:val="single" w:sz="4" w:space="0" w:color="auto"/>
              <w:left w:val="nil"/>
              <w:bottom w:val="single" w:sz="4" w:space="0" w:color="7F7F7F" w:themeColor="text1" w:themeTint="80"/>
              <w:right w:val="nil"/>
            </w:tcBorders>
            <w:vAlign w:val="center"/>
            <w:hideMark/>
          </w:tcPr>
          <w:p w14:paraId="28FE1E96"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1</w:t>
            </w:r>
            <w:r w:rsidRPr="00242EE8">
              <w:rPr>
                <w:rFonts w:cs="Calibri"/>
                <w:b w:val="0"/>
                <w:color w:val="000000"/>
                <w:sz w:val="18"/>
                <w:szCs w:val="18"/>
                <w:lang w:val="en-US"/>
              </w:rPr>
              <w:t>15</w:t>
            </w:r>
            <w:r w:rsidRPr="00242EE8">
              <w:rPr>
                <w:rFonts w:cs="Calibri"/>
                <w:b w:val="0"/>
                <w:color w:val="000000"/>
                <w:sz w:val="18"/>
                <w:szCs w:val="18"/>
                <w:lang w:val="hy-AM"/>
              </w:rPr>
              <w:t>.</w:t>
            </w:r>
            <w:r w:rsidRPr="00242EE8">
              <w:rPr>
                <w:rFonts w:cs="Calibri"/>
                <w:b w:val="0"/>
                <w:color w:val="000000"/>
                <w:sz w:val="18"/>
                <w:szCs w:val="18"/>
                <w:lang w:val="en-US"/>
              </w:rPr>
              <w:t>4</w:t>
            </w:r>
          </w:p>
        </w:tc>
        <w:tc>
          <w:tcPr>
            <w:tcW w:w="986" w:type="dxa"/>
            <w:tcBorders>
              <w:top w:val="single" w:sz="4" w:space="0" w:color="auto"/>
              <w:left w:val="nil"/>
              <w:bottom w:val="single" w:sz="4" w:space="0" w:color="7F7F7F" w:themeColor="text1" w:themeTint="80"/>
              <w:right w:val="nil"/>
            </w:tcBorders>
            <w:vAlign w:val="center"/>
            <w:hideMark/>
          </w:tcPr>
          <w:p w14:paraId="37E82A00" w14:textId="77777777" w:rsidR="00D443BB" w:rsidRPr="00242EE8" w:rsidRDefault="00D443BB" w:rsidP="00B134CD">
            <w:pPr>
              <w:tabs>
                <w:tab w:val="left" w:pos="0"/>
              </w:tabs>
              <w:spacing w:line="240" w:lineRule="auto"/>
              <w:jc w:val="center"/>
              <w:rPr>
                <w:b w:val="0"/>
                <w:bCs/>
                <w:sz w:val="18"/>
                <w:szCs w:val="18"/>
                <w:lang w:val="en-US"/>
              </w:rPr>
            </w:pPr>
            <w:r w:rsidRPr="00242EE8">
              <w:rPr>
                <w:rFonts w:cs="Calibri"/>
                <w:b w:val="0"/>
                <w:color w:val="000000"/>
                <w:sz w:val="18"/>
                <w:szCs w:val="18"/>
                <w:lang w:val="hy-AM"/>
              </w:rPr>
              <w:t>120.</w:t>
            </w:r>
            <w:r w:rsidRPr="00242EE8">
              <w:rPr>
                <w:rFonts w:cs="Calibri"/>
                <w:b w:val="0"/>
                <w:color w:val="000000"/>
                <w:sz w:val="18"/>
                <w:szCs w:val="18"/>
                <w:lang w:val="en-US"/>
              </w:rPr>
              <w:t>2</w:t>
            </w:r>
          </w:p>
        </w:tc>
        <w:tc>
          <w:tcPr>
            <w:tcW w:w="845" w:type="dxa"/>
            <w:tcBorders>
              <w:top w:val="single" w:sz="4" w:space="0" w:color="auto"/>
              <w:left w:val="nil"/>
              <w:bottom w:val="single" w:sz="4" w:space="0" w:color="7F7F7F" w:themeColor="text1" w:themeTint="80"/>
              <w:right w:val="nil"/>
            </w:tcBorders>
            <w:vAlign w:val="center"/>
            <w:hideMark/>
          </w:tcPr>
          <w:p w14:paraId="60A00B21" w14:textId="77777777" w:rsidR="00D443BB" w:rsidRPr="00242EE8" w:rsidRDefault="00D443BB" w:rsidP="007E6A67">
            <w:pPr>
              <w:tabs>
                <w:tab w:val="left" w:pos="0"/>
              </w:tabs>
              <w:spacing w:line="240" w:lineRule="auto"/>
              <w:jc w:val="center"/>
              <w:rPr>
                <w:b w:val="0"/>
                <w:bCs/>
                <w:sz w:val="18"/>
                <w:szCs w:val="18"/>
                <w:lang w:val="hy-AM"/>
              </w:rPr>
            </w:pPr>
            <w:r w:rsidRPr="00242EE8">
              <w:rPr>
                <w:rFonts w:cs="Calibri"/>
                <w:b w:val="0"/>
                <w:color w:val="000000"/>
                <w:sz w:val="18"/>
                <w:szCs w:val="18"/>
                <w:lang w:val="hy-AM"/>
              </w:rPr>
              <w:t>1</w:t>
            </w:r>
            <w:r w:rsidR="007E6A67">
              <w:rPr>
                <w:rFonts w:cs="Calibri"/>
                <w:b w:val="0"/>
                <w:color w:val="000000"/>
                <w:sz w:val="18"/>
                <w:szCs w:val="18"/>
                <w:lang w:val="en-US"/>
              </w:rPr>
              <w:t>48</w:t>
            </w:r>
            <w:r w:rsidRPr="00242EE8">
              <w:rPr>
                <w:rFonts w:cs="Calibri"/>
                <w:b w:val="0"/>
                <w:color w:val="000000"/>
                <w:sz w:val="18"/>
                <w:szCs w:val="18"/>
                <w:lang w:val="hy-AM"/>
              </w:rPr>
              <w:t>.</w:t>
            </w:r>
            <w:r w:rsidR="007E6A67">
              <w:rPr>
                <w:rFonts w:cs="Calibri"/>
                <w:b w:val="0"/>
                <w:color w:val="000000"/>
                <w:sz w:val="18"/>
                <w:szCs w:val="18"/>
                <w:lang w:val="en-US"/>
              </w:rPr>
              <w:t>6</w:t>
            </w:r>
          </w:p>
        </w:tc>
        <w:tc>
          <w:tcPr>
            <w:tcW w:w="1104" w:type="dxa"/>
            <w:tcBorders>
              <w:top w:val="single" w:sz="4" w:space="0" w:color="auto"/>
              <w:left w:val="nil"/>
              <w:bottom w:val="single" w:sz="4" w:space="0" w:color="7F7F7F" w:themeColor="text1" w:themeTint="80"/>
              <w:right w:val="nil"/>
            </w:tcBorders>
            <w:vAlign w:val="center"/>
            <w:hideMark/>
          </w:tcPr>
          <w:p w14:paraId="76D7D59D" w14:textId="77777777" w:rsidR="00D443BB" w:rsidRPr="00242EE8" w:rsidRDefault="00D443BB" w:rsidP="007E6A67">
            <w:pPr>
              <w:tabs>
                <w:tab w:val="left" w:pos="0"/>
              </w:tabs>
              <w:spacing w:line="240" w:lineRule="auto"/>
              <w:jc w:val="center"/>
              <w:rPr>
                <w:b w:val="0"/>
                <w:bCs/>
                <w:sz w:val="18"/>
                <w:szCs w:val="18"/>
                <w:lang w:val="en-US"/>
              </w:rPr>
            </w:pPr>
            <w:r w:rsidRPr="00242EE8">
              <w:rPr>
                <w:rFonts w:cs="Calibri"/>
                <w:b w:val="0"/>
                <w:color w:val="000000"/>
                <w:sz w:val="18"/>
                <w:szCs w:val="18"/>
                <w:lang w:val="en-US"/>
              </w:rPr>
              <w:t>15</w:t>
            </w:r>
            <w:r w:rsidR="007E6A67">
              <w:rPr>
                <w:rFonts w:cs="Calibri"/>
                <w:b w:val="0"/>
                <w:color w:val="000000"/>
                <w:sz w:val="18"/>
                <w:szCs w:val="18"/>
                <w:lang w:val="en-US"/>
              </w:rPr>
              <w:t>7</w:t>
            </w:r>
            <w:r w:rsidRPr="00242EE8">
              <w:rPr>
                <w:rFonts w:cs="Calibri"/>
                <w:b w:val="0"/>
                <w:color w:val="000000"/>
                <w:sz w:val="18"/>
                <w:szCs w:val="18"/>
                <w:lang w:val="en-US"/>
              </w:rPr>
              <w:t>.</w:t>
            </w:r>
            <w:r w:rsidR="007E6A67">
              <w:rPr>
                <w:rFonts w:cs="Calibri"/>
                <w:b w:val="0"/>
                <w:color w:val="000000"/>
                <w:sz w:val="18"/>
                <w:szCs w:val="18"/>
                <w:lang w:val="en-US"/>
              </w:rPr>
              <w:t>2</w:t>
            </w:r>
          </w:p>
        </w:tc>
      </w:tr>
      <w:tr w:rsidR="00D443BB" w14:paraId="2644A5B0" w14:textId="77777777" w:rsidTr="00B134CD">
        <w:trPr>
          <w:trHeight w:val="353"/>
        </w:trPr>
        <w:tc>
          <w:tcPr>
            <w:tcW w:w="4183" w:type="dxa"/>
            <w:tcBorders>
              <w:left w:val="nil"/>
              <w:right w:val="nil"/>
            </w:tcBorders>
            <w:hideMark/>
          </w:tcPr>
          <w:p w14:paraId="75C8E1BB" w14:textId="77777777" w:rsidR="00D443BB" w:rsidRPr="00242EE8" w:rsidRDefault="00D443BB" w:rsidP="00B134CD">
            <w:pPr>
              <w:tabs>
                <w:tab w:val="left" w:pos="0"/>
              </w:tabs>
              <w:spacing w:line="240" w:lineRule="auto"/>
              <w:jc w:val="left"/>
              <w:rPr>
                <w:b w:val="0"/>
                <w:bCs/>
                <w:sz w:val="18"/>
                <w:szCs w:val="18"/>
                <w:lang w:val="hy-AM"/>
              </w:rPr>
            </w:pPr>
            <w:r w:rsidRPr="00242EE8">
              <w:rPr>
                <w:b w:val="0"/>
                <w:bCs/>
                <w:sz w:val="18"/>
                <w:szCs w:val="18"/>
                <w:lang w:val="hy-AM"/>
              </w:rPr>
              <w:t>Ֆինանսական համահարթեց</w:t>
            </w:r>
            <w:r w:rsidRPr="00242EE8">
              <w:rPr>
                <w:b w:val="0"/>
                <w:bCs/>
                <w:sz w:val="18"/>
                <w:szCs w:val="18"/>
                <w:lang w:val="hy-AM"/>
              </w:rPr>
              <w:softHyphen/>
            </w:r>
            <w:r w:rsidRPr="00242EE8">
              <w:rPr>
                <w:b w:val="0"/>
                <w:bCs/>
                <w:sz w:val="18"/>
                <w:szCs w:val="18"/>
                <w:lang w:val="hy-AM"/>
              </w:rPr>
              <w:softHyphen/>
              <w:t xml:space="preserve">ման դոտացիաներ </w:t>
            </w:r>
          </w:p>
        </w:tc>
        <w:tc>
          <w:tcPr>
            <w:tcW w:w="986" w:type="dxa"/>
            <w:tcBorders>
              <w:left w:val="nil"/>
              <w:right w:val="nil"/>
            </w:tcBorders>
            <w:vAlign w:val="center"/>
            <w:hideMark/>
          </w:tcPr>
          <w:p w14:paraId="3688AEAE"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55.4</w:t>
            </w:r>
          </w:p>
        </w:tc>
        <w:tc>
          <w:tcPr>
            <w:tcW w:w="986" w:type="dxa"/>
            <w:tcBorders>
              <w:left w:val="nil"/>
              <w:right w:val="nil"/>
            </w:tcBorders>
            <w:vAlign w:val="center"/>
            <w:hideMark/>
          </w:tcPr>
          <w:p w14:paraId="34A22AD8"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64.6</w:t>
            </w:r>
          </w:p>
        </w:tc>
        <w:tc>
          <w:tcPr>
            <w:tcW w:w="986" w:type="dxa"/>
            <w:tcBorders>
              <w:left w:val="nil"/>
              <w:right w:val="nil"/>
            </w:tcBorders>
            <w:noWrap/>
            <w:vAlign w:val="center"/>
            <w:hideMark/>
          </w:tcPr>
          <w:p w14:paraId="4C526DF2"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64.3</w:t>
            </w:r>
          </w:p>
        </w:tc>
        <w:tc>
          <w:tcPr>
            <w:tcW w:w="845" w:type="dxa"/>
            <w:tcBorders>
              <w:left w:val="nil"/>
              <w:right w:val="nil"/>
            </w:tcBorders>
            <w:vAlign w:val="center"/>
            <w:hideMark/>
          </w:tcPr>
          <w:p w14:paraId="1150AFB7"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bCs/>
                <w:color w:val="000000"/>
                <w:sz w:val="18"/>
                <w:szCs w:val="18"/>
                <w:lang w:val="hy-AM"/>
              </w:rPr>
              <w:t>69.8</w:t>
            </w:r>
          </w:p>
        </w:tc>
        <w:tc>
          <w:tcPr>
            <w:tcW w:w="1104" w:type="dxa"/>
            <w:tcBorders>
              <w:left w:val="nil"/>
              <w:right w:val="nil"/>
            </w:tcBorders>
            <w:vAlign w:val="center"/>
            <w:hideMark/>
          </w:tcPr>
          <w:p w14:paraId="5F71A7F1"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bCs/>
                <w:color w:val="000000"/>
                <w:sz w:val="18"/>
                <w:szCs w:val="18"/>
                <w:lang w:val="hy-AM"/>
              </w:rPr>
              <w:t>85.3</w:t>
            </w:r>
          </w:p>
        </w:tc>
      </w:tr>
      <w:tr w:rsidR="00D443BB" w14:paraId="4865D3F7" w14:textId="77777777" w:rsidTr="00B134CD">
        <w:trPr>
          <w:trHeight w:val="224"/>
        </w:trPr>
        <w:tc>
          <w:tcPr>
            <w:tcW w:w="4183" w:type="dxa"/>
            <w:tcBorders>
              <w:top w:val="nil"/>
              <w:left w:val="nil"/>
              <w:bottom w:val="nil"/>
              <w:right w:val="nil"/>
            </w:tcBorders>
            <w:hideMark/>
          </w:tcPr>
          <w:p w14:paraId="32952250" w14:textId="77777777" w:rsidR="00D443BB" w:rsidRPr="00242EE8" w:rsidRDefault="00D443BB" w:rsidP="00B134CD">
            <w:pPr>
              <w:tabs>
                <w:tab w:val="left" w:pos="0"/>
              </w:tabs>
              <w:spacing w:line="240" w:lineRule="auto"/>
              <w:jc w:val="left"/>
              <w:rPr>
                <w:b w:val="0"/>
                <w:bCs/>
                <w:sz w:val="18"/>
                <w:szCs w:val="18"/>
                <w:lang w:val="hy-AM"/>
              </w:rPr>
            </w:pPr>
            <w:r w:rsidRPr="00242EE8">
              <w:rPr>
                <w:b w:val="0"/>
                <w:bCs/>
                <w:sz w:val="18"/>
                <w:szCs w:val="18"/>
                <w:lang w:val="hy-AM"/>
              </w:rPr>
              <w:t>Այլ ընթացիկ դրամաշնորհներ համայնքներին</w:t>
            </w:r>
          </w:p>
        </w:tc>
        <w:tc>
          <w:tcPr>
            <w:tcW w:w="986" w:type="dxa"/>
            <w:tcBorders>
              <w:top w:val="nil"/>
              <w:left w:val="nil"/>
              <w:bottom w:val="nil"/>
              <w:right w:val="nil"/>
            </w:tcBorders>
            <w:vAlign w:val="center"/>
            <w:hideMark/>
          </w:tcPr>
          <w:p w14:paraId="1E521495"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3.4</w:t>
            </w:r>
          </w:p>
        </w:tc>
        <w:tc>
          <w:tcPr>
            <w:tcW w:w="986" w:type="dxa"/>
            <w:tcBorders>
              <w:top w:val="nil"/>
              <w:left w:val="nil"/>
              <w:bottom w:val="nil"/>
              <w:right w:val="nil"/>
            </w:tcBorders>
            <w:vAlign w:val="center"/>
            <w:hideMark/>
          </w:tcPr>
          <w:p w14:paraId="4DEC5079"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0.0</w:t>
            </w:r>
          </w:p>
        </w:tc>
        <w:tc>
          <w:tcPr>
            <w:tcW w:w="986" w:type="dxa"/>
            <w:tcBorders>
              <w:top w:val="nil"/>
              <w:left w:val="nil"/>
              <w:bottom w:val="nil"/>
              <w:right w:val="nil"/>
            </w:tcBorders>
            <w:noWrap/>
            <w:vAlign w:val="center"/>
            <w:hideMark/>
          </w:tcPr>
          <w:p w14:paraId="7DD82292"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0.0</w:t>
            </w:r>
          </w:p>
        </w:tc>
        <w:tc>
          <w:tcPr>
            <w:tcW w:w="845" w:type="dxa"/>
            <w:tcBorders>
              <w:top w:val="nil"/>
              <w:left w:val="nil"/>
              <w:bottom w:val="nil"/>
              <w:right w:val="nil"/>
            </w:tcBorders>
            <w:vAlign w:val="center"/>
            <w:hideMark/>
          </w:tcPr>
          <w:p w14:paraId="67B33B77"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bCs/>
                <w:color w:val="000000"/>
                <w:sz w:val="18"/>
                <w:szCs w:val="18"/>
                <w:lang w:val="hy-AM"/>
              </w:rPr>
              <w:t>0.8</w:t>
            </w:r>
          </w:p>
        </w:tc>
        <w:tc>
          <w:tcPr>
            <w:tcW w:w="1104" w:type="dxa"/>
            <w:tcBorders>
              <w:top w:val="nil"/>
              <w:left w:val="nil"/>
              <w:bottom w:val="nil"/>
              <w:right w:val="nil"/>
            </w:tcBorders>
            <w:vAlign w:val="center"/>
            <w:hideMark/>
          </w:tcPr>
          <w:p w14:paraId="61FD2AF5" w14:textId="77777777" w:rsidR="00D443BB" w:rsidRPr="00242EE8" w:rsidRDefault="007E6A67" w:rsidP="007E6A67">
            <w:pPr>
              <w:tabs>
                <w:tab w:val="left" w:pos="0"/>
              </w:tabs>
              <w:spacing w:line="240" w:lineRule="auto"/>
              <w:jc w:val="center"/>
              <w:rPr>
                <w:b w:val="0"/>
                <w:bCs/>
                <w:sz w:val="18"/>
                <w:szCs w:val="18"/>
                <w:lang w:val="hy-AM"/>
              </w:rPr>
            </w:pPr>
            <w:r>
              <w:rPr>
                <w:rFonts w:cs="Calibri"/>
                <w:b w:val="0"/>
                <w:bCs/>
                <w:color w:val="000000"/>
                <w:sz w:val="18"/>
                <w:szCs w:val="18"/>
                <w:lang w:val="en-US"/>
              </w:rPr>
              <w:t>5</w:t>
            </w:r>
            <w:r w:rsidR="00D443BB" w:rsidRPr="00242EE8">
              <w:rPr>
                <w:rFonts w:cs="Calibri"/>
                <w:b w:val="0"/>
                <w:bCs/>
                <w:color w:val="000000"/>
                <w:sz w:val="18"/>
                <w:szCs w:val="18"/>
                <w:lang w:val="hy-AM"/>
              </w:rPr>
              <w:t>.</w:t>
            </w:r>
            <w:r>
              <w:rPr>
                <w:rFonts w:cs="Calibri"/>
                <w:b w:val="0"/>
                <w:bCs/>
                <w:color w:val="000000"/>
                <w:sz w:val="18"/>
                <w:szCs w:val="18"/>
                <w:lang w:val="en-US"/>
              </w:rPr>
              <w:t>7</w:t>
            </w:r>
          </w:p>
        </w:tc>
      </w:tr>
      <w:tr w:rsidR="00D443BB" w14:paraId="204642F9" w14:textId="77777777" w:rsidTr="00B134CD">
        <w:trPr>
          <w:trHeight w:val="242"/>
        </w:trPr>
        <w:tc>
          <w:tcPr>
            <w:tcW w:w="4183" w:type="dxa"/>
            <w:tcBorders>
              <w:left w:val="nil"/>
              <w:right w:val="nil"/>
            </w:tcBorders>
            <w:hideMark/>
          </w:tcPr>
          <w:p w14:paraId="05819834" w14:textId="77777777" w:rsidR="00D443BB" w:rsidRPr="00242EE8" w:rsidRDefault="00D443BB" w:rsidP="00B134CD">
            <w:pPr>
              <w:tabs>
                <w:tab w:val="left" w:pos="0"/>
              </w:tabs>
              <w:spacing w:line="240" w:lineRule="auto"/>
              <w:jc w:val="left"/>
              <w:rPr>
                <w:b w:val="0"/>
                <w:bCs/>
                <w:sz w:val="18"/>
                <w:szCs w:val="18"/>
              </w:rPr>
            </w:pPr>
            <w:r w:rsidRPr="00242EE8">
              <w:rPr>
                <w:b w:val="0"/>
                <w:bCs/>
                <w:sz w:val="18"/>
                <w:szCs w:val="18"/>
              </w:rPr>
              <w:t>Սուբվենցիաներ համայնքներին</w:t>
            </w:r>
          </w:p>
        </w:tc>
        <w:tc>
          <w:tcPr>
            <w:tcW w:w="986" w:type="dxa"/>
            <w:tcBorders>
              <w:left w:val="nil"/>
              <w:right w:val="nil"/>
            </w:tcBorders>
            <w:vAlign w:val="center"/>
            <w:hideMark/>
          </w:tcPr>
          <w:p w14:paraId="57B8C4D4" w14:textId="77777777" w:rsidR="00D443BB" w:rsidRPr="00242EE8" w:rsidRDefault="00D443BB" w:rsidP="00B134CD">
            <w:pPr>
              <w:tabs>
                <w:tab w:val="left" w:pos="0"/>
              </w:tabs>
              <w:spacing w:line="240" w:lineRule="auto"/>
              <w:jc w:val="center"/>
              <w:rPr>
                <w:b w:val="0"/>
                <w:bCs/>
                <w:sz w:val="18"/>
                <w:szCs w:val="18"/>
                <w:lang w:val="en-US"/>
              </w:rPr>
            </w:pPr>
            <w:r w:rsidRPr="00242EE8">
              <w:rPr>
                <w:rFonts w:cs="Calibri"/>
                <w:b w:val="0"/>
                <w:color w:val="000000"/>
                <w:sz w:val="18"/>
                <w:szCs w:val="18"/>
                <w:lang w:val="en-US"/>
              </w:rPr>
              <w:t>22</w:t>
            </w:r>
            <w:r w:rsidRPr="00242EE8">
              <w:rPr>
                <w:rFonts w:cs="Calibri"/>
                <w:b w:val="0"/>
                <w:color w:val="000000"/>
                <w:sz w:val="18"/>
                <w:szCs w:val="18"/>
                <w:lang w:val="hy-AM"/>
              </w:rPr>
              <w:t>.</w:t>
            </w:r>
            <w:r w:rsidRPr="00242EE8">
              <w:rPr>
                <w:rFonts w:cs="Calibri"/>
                <w:b w:val="0"/>
                <w:color w:val="000000"/>
                <w:sz w:val="18"/>
                <w:szCs w:val="18"/>
                <w:lang w:val="en-US"/>
              </w:rPr>
              <w:t>8</w:t>
            </w:r>
          </w:p>
        </w:tc>
        <w:tc>
          <w:tcPr>
            <w:tcW w:w="986" w:type="dxa"/>
            <w:tcBorders>
              <w:left w:val="nil"/>
              <w:right w:val="nil"/>
            </w:tcBorders>
            <w:vAlign w:val="center"/>
            <w:hideMark/>
          </w:tcPr>
          <w:p w14:paraId="6663CCDC"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21.0</w:t>
            </w:r>
          </w:p>
        </w:tc>
        <w:tc>
          <w:tcPr>
            <w:tcW w:w="986" w:type="dxa"/>
            <w:tcBorders>
              <w:left w:val="nil"/>
              <w:right w:val="nil"/>
            </w:tcBorders>
            <w:noWrap/>
            <w:vAlign w:val="center"/>
            <w:hideMark/>
          </w:tcPr>
          <w:p w14:paraId="1DB6F794"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2</w:t>
            </w:r>
            <w:r w:rsidRPr="00242EE8">
              <w:rPr>
                <w:rFonts w:cs="Calibri"/>
                <w:b w:val="0"/>
                <w:color w:val="000000"/>
                <w:sz w:val="18"/>
                <w:szCs w:val="18"/>
                <w:lang w:val="en-US"/>
              </w:rPr>
              <w:t>7</w:t>
            </w:r>
            <w:r w:rsidRPr="00242EE8">
              <w:rPr>
                <w:rFonts w:cs="Calibri"/>
                <w:b w:val="0"/>
                <w:color w:val="000000"/>
                <w:sz w:val="18"/>
                <w:szCs w:val="18"/>
                <w:lang w:val="hy-AM"/>
              </w:rPr>
              <w:t>.</w:t>
            </w:r>
            <w:r w:rsidRPr="00242EE8">
              <w:rPr>
                <w:rFonts w:cs="Calibri"/>
                <w:b w:val="0"/>
                <w:color w:val="000000"/>
                <w:sz w:val="18"/>
                <w:szCs w:val="18"/>
                <w:lang w:val="en-US"/>
              </w:rPr>
              <w:t>0</w:t>
            </w:r>
          </w:p>
        </w:tc>
        <w:tc>
          <w:tcPr>
            <w:tcW w:w="845" w:type="dxa"/>
            <w:tcBorders>
              <w:left w:val="nil"/>
              <w:right w:val="nil"/>
            </w:tcBorders>
            <w:vAlign w:val="center"/>
            <w:hideMark/>
          </w:tcPr>
          <w:p w14:paraId="0F44B293"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bCs/>
                <w:color w:val="000000"/>
                <w:sz w:val="18"/>
                <w:szCs w:val="18"/>
                <w:lang w:val="hy-AM"/>
              </w:rPr>
              <w:t>31.8</w:t>
            </w:r>
          </w:p>
        </w:tc>
        <w:tc>
          <w:tcPr>
            <w:tcW w:w="1104" w:type="dxa"/>
            <w:tcBorders>
              <w:left w:val="nil"/>
              <w:right w:val="nil"/>
            </w:tcBorders>
            <w:vAlign w:val="center"/>
            <w:hideMark/>
          </w:tcPr>
          <w:p w14:paraId="598361A8" w14:textId="77777777" w:rsidR="00D443BB" w:rsidRPr="00242EE8" w:rsidRDefault="00D443BB" w:rsidP="00B134CD">
            <w:pPr>
              <w:tabs>
                <w:tab w:val="left" w:pos="0"/>
              </w:tabs>
              <w:spacing w:line="240" w:lineRule="auto"/>
              <w:jc w:val="center"/>
              <w:rPr>
                <w:b w:val="0"/>
                <w:bCs/>
                <w:sz w:val="18"/>
                <w:szCs w:val="18"/>
                <w:lang w:val="en-US"/>
              </w:rPr>
            </w:pPr>
            <w:r w:rsidRPr="00242EE8">
              <w:rPr>
                <w:rFonts w:cs="Calibri"/>
                <w:b w:val="0"/>
                <w:bCs/>
                <w:color w:val="000000"/>
                <w:sz w:val="18"/>
                <w:szCs w:val="18"/>
                <w:lang w:val="hy-AM"/>
              </w:rPr>
              <w:t>25.</w:t>
            </w:r>
            <w:r w:rsidRPr="00242EE8">
              <w:rPr>
                <w:rFonts w:cs="Calibri"/>
                <w:b w:val="0"/>
                <w:bCs/>
                <w:color w:val="000000"/>
                <w:sz w:val="18"/>
                <w:szCs w:val="18"/>
                <w:lang w:val="en-US"/>
              </w:rPr>
              <w:t>3</w:t>
            </w:r>
          </w:p>
        </w:tc>
      </w:tr>
      <w:tr w:rsidR="00D443BB" w14:paraId="5069749F" w14:textId="77777777" w:rsidTr="00B134CD">
        <w:trPr>
          <w:trHeight w:val="259"/>
        </w:trPr>
        <w:tc>
          <w:tcPr>
            <w:tcW w:w="4183" w:type="dxa"/>
            <w:tcBorders>
              <w:top w:val="nil"/>
              <w:left w:val="nil"/>
              <w:bottom w:val="nil"/>
              <w:right w:val="nil"/>
            </w:tcBorders>
            <w:hideMark/>
          </w:tcPr>
          <w:p w14:paraId="4284153C" w14:textId="77777777" w:rsidR="00D443BB" w:rsidRPr="00242EE8" w:rsidRDefault="00D443BB" w:rsidP="00B134CD">
            <w:pPr>
              <w:tabs>
                <w:tab w:val="left" w:pos="0"/>
              </w:tabs>
              <w:spacing w:line="240" w:lineRule="auto"/>
              <w:ind w:left="227"/>
              <w:jc w:val="left"/>
              <w:rPr>
                <w:b w:val="0"/>
                <w:bCs/>
                <w:i/>
                <w:iCs/>
                <w:sz w:val="18"/>
                <w:szCs w:val="18"/>
              </w:rPr>
            </w:pPr>
            <w:r w:rsidRPr="00242EE8">
              <w:rPr>
                <w:b w:val="0"/>
                <w:i/>
                <w:iCs/>
                <w:sz w:val="18"/>
                <w:szCs w:val="18"/>
              </w:rPr>
              <w:t>ընթացիկ սուբվենցիաներ</w:t>
            </w:r>
          </w:p>
        </w:tc>
        <w:tc>
          <w:tcPr>
            <w:tcW w:w="986" w:type="dxa"/>
            <w:tcBorders>
              <w:top w:val="nil"/>
              <w:left w:val="nil"/>
              <w:bottom w:val="nil"/>
              <w:right w:val="nil"/>
            </w:tcBorders>
            <w:vAlign w:val="center"/>
            <w:hideMark/>
          </w:tcPr>
          <w:p w14:paraId="602F8346"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i/>
                <w:iCs/>
                <w:color w:val="000000"/>
                <w:sz w:val="18"/>
                <w:szCs w:val="18"/>
                <w:lang w:val="hy-AM"/>
              </w:rPr>
              <w:t>8.7</w:t>
            </w:r>
          </w:p>
        </w:tc>
        <w:tc>
          <w:tcPr>
            <w:tcW w:w="986" w:type="dxa"/>
            <w:tcBorders>
              <w:top w:val="nil"/>
              <w:left w:val="nil"/>
              <w:bottom w:val="nil"/>
              <w:right w:val="nil"/>
            </w:tcBorders>
            <w:vAlign w:val="center"/>
            <w:hideMark/>
          </w:tcPr>
          <w:p w14:paraId="19CC0486"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i/>
                <w:iCs/>
                <w:color w:val="000000"/>
                <w:sz w:val="18"/>
                <w:szCs w:val="18"/>
                <w:lang w:val="hy-AM"/>
              </w:rPr>
              <w:t>7.1</w:t>
            </w:r>
          </w:p>
        </w:tc>
        <w:tc>
          <w:tcPr>
            <w:tcW w:w="986" w:type="dxa"/>
            <w:tcBorders>
              <w:top w:val="nil"/>
              <w:left w:val="nil"/>
              <w:bottom w:val="nil"/>
              <w:right w:val="nil"/>
            </w:tcBorders>
            <w:noWrap/>
            <w:vAlign w:val="center"/>
            <w:hideMark/>
          </w:tcPr>
          <w:p w14:paraId="42D65854"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i/>
                <w:iCs/>
                <w:color w:val="000000"/>
                <w:sz w:val="18"/>
                <w:szCs w:val="18"/>
                <w:lang w:val="hy-AM"/>
              </w:rPr>
              <w:t>7.5</w:t>
            </w:r>
          </w:p>
        </w:tc>
        <w:tc>
          <w:tcPr>
            <w:tcW w:w="845" w:type="dxa"/>
            <w:tcBorders>
              <w:top w:val="nil"/>
              <w:left w:val="nil"/>
              <w:bottom w:val="nil"/>
              <w:right w:val="nil"/>
            </w:tcBorders>
            <w:vAlign w:val="center"/>
            <w:hideMark/>
          </w:tcPr>
          <w:p w14:paraId="34076B94"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bCs/>
                <w:i/>
                <w:iCs/>
                <w:color w:val="000000"/>
                <w:sz w:val="18"/>
                <w:szCs w:val="18"/>
                <w:lang w:val="hy-AM"/>
              </w:rPr>
              <w:t>7.7</w:t>
            </w:r>
          </w:p>
        </w:tc>
        <w:tc>
          <w:tcPr>
            <w:tcW w:w="1104" w:type="dxa"/>
            <w:tcBorders>
              <w:top w:val="nil"/>
              <w:left w:val="nil"/>
              <w:bottom w:val="nil"/>
              <w:right w:val="nil"/>
            </w:tcBorders>
            <w:vAlign w:val="center"/>
            <w:hideMark/>
          </w:tcPr>
          <w:p w14:paraId="1BB6D72C"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bCs/>
                <w:i/>
                <w:iCs/>
                <w:color w:val="000000"/>
                <w:sz w:val="18"/>
                <w:szCs w:val="18"/>
                <w:lang w:val="hy-AM"/>
              </w:rPr>
              <w:t>1.0</w:t>
            </w:r>
          </w:p>
        </w:tc>
      </w:tr>
      <w:tr w:rsidR="00D443BB" w14:paraId="1554A87F" w14:textId="77777777" w:rsidTr="00B134CD">
        <w:trPr>
          <w:trHeight w:val="259"/>
        </w:trPr>
        <w:tc>
          <w:tcPr>
            <w:tcW w:w="4183" w:type="dxa"/>
            <w:tcBorders>
              <w:left w:val="nil"/>
              <w:right w:val="nil"/>
            </w:tcBorders>
            <w:hideMark/>
          </w:tcPr>
          <w:p w14:paraId="78ABD618" w14:textId="77777777" w:rsidR="00D443BB" w:rsidRPr="00242EE8" w:rsidRDefault="00D443BB" w:rsidP="00B134CD">
            <w:pPr>
              <w:tabs>
                <w:tab w:val="left" w:pos="0"/>
              </w:tabs>
              <w:spacing w:line="240" w:lineRule="auto"/>
              <w:ind w:left="227"/>
              <w:jc w:val="left"/>
              <w:rPr>
                <w:b w:val="0"/>
                <w:bCs/>
                <w:i/>
                <w:iCs/>
                <w:sz w:val="18"/>
                <w:szCs w:val="18"/>
              </w:rPr>
            </w:pPr>
            <w:r w:rsidRPr="00242EE8">
              <w:rPr>
                <w:b w:val="0"/>
                <w:i/>
                <w:iCs/>
                <w:sz w:val="18"/>
                <w:szCs w:val="18"/>
              </w:rPr>
              <w:t>կապիտալ սուբվենցիաներ</w:t>
            </w:r>
          </w:p>
        </w:tc>
        <w:tc>
          <w:tcPr>
            <w:tcW w:w="986" w:type="dxa"/>
            <w:tcBorders>
              <w:left w:val="nil"/>
              <w:right w:val="nil"/>
            </w:tcBorders>
            <w:vAlign w:val="center"/>
            <w:hideMark/>
          </w:tcPr>
          <w:p w14:paraId="73414ADB"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i/>
                <w:iCs/>
                <w:color w:val="000000"/>
                <w:sz w:val="18"/>
                <w:szCs w:val="18"/>
                <w:lang w:val="hy-AM"/>
              </w:rPr>
              <w:t>14.1</w:t>
            </w:r>
          </w:p>
        </w:tc>
        <w:tc>
          <w:tcPr>
            <w:tcW w:w="986" w:type="dxa"/>
            <w:tcBorders>
              <w:left w:val="nil"/>
              <w:right w:val="nil"/>
            </w:tcBorders>
            <w:vAlign w:val="center"/>
            <w:hideMark/>
          </w:tcPr>
          <w:p w14:paraId="2AE1A261"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i/>
                <w:iCs/>
                <w:color w:val="000000"/>
                <w:sz w:val="18"/>
                <w:szCs w:val="18"/>
                <w:lang w:val="hy-AM"/>
              </w:rPr>
              <w:t>13.9</w:t>
            </w:r>
          </w:p>
        </w:tc>
        <w:tc>
          <w:tcPr>
            <w:tcW w:w="986" w:type="dxa"/>
            <w:tcBorders>
              <w:left w:val="nil"/>
              <w:right w:val="nil"/>
            </w:tcBorders>
            <w:noWrap/>
            <w:vAlign w:val="center"/>
            <w:hideMark/>
          </w:tcPr>
          <w:p w14:paraId="2D1F2F97"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i/>
                <w:iCs/>
                <w:color w:val="000000"/>
                <w:sz w:val="18"/>
                <w:szCs w:val="18"/>
                <w:lang w:val="hy-AM"/>
              </w:rPr>
              <w:t>19.5</w:t>
            </w:r>
          </w:p>
        </w:tc>
        <w:tc>
          <w:tcPr>
            <w:tcW w:w="845" w:type="dxa"/>
            <w:tcBorders>
              <w:left w:val="nil"/>
              <w:right w:val="nil"/>
            </w:tcBorders>
            <w:vAlign w:val="center"/>
            <w:hideMark/>
          </w:tcPr>
          <w:p w14:paraId="20719138" w14:textId="77777777" w:rsidR="00D443BB" w:rsidRPr="00242EE8" w:rsidRDefault="00D443BB" w:rsidP="00B134CD">
            <w:pPr>
              <w:tabs>
                <w:tab w:val="left" w:pos="0"/>
              </w:tabs>
              <w:spacing w:line="240" w:lineRule="auto"/>
              <w:jc w:val="center"/>
              <w:rPr>
                <w:b w:val="0"/>
                <w:bCs/>
                <w:i/>
                <w:sz w:val="18"/>
                <w:szCs w:val="18"/>
                <w:lang w:val="hy-AM"/>
              </w:rPr>
            </w:pPr>
            <w:r w:rsidRPr="00242EE8">
              <w:rPr>
                <w:rFonts w:cs="Calibri"/>
                <w:b w:val="0"/>
                <w:bCs/>
                <w:i/>
                <w:iCs/>
                <w:color w:val="000000"/>
                <w:sz w:val="18"/>
                <w:szCs w:val="18"/>
                <w:lang w:val="hy-AM"/>
              </w:rPr>
              <w:t>24.1</w:t>
            </w:r>
          </w:p>
        </w:tc>
        <w:tc>
          <w:tcPr>
            <w:tcW w:w="1104" w:type="dxa"/>
            <w:tcBorders>
              <w:left w:val="nil"/>
              <w:right w:val="nil"/>
            </w:tcBorders>
            <w:vAlign w:val="center"/>
            <w:hideMark/>
          </w:tcPr>
          <w:p w14:paraId="3FDCD142" w14:textId="77777777" w:rsidR="00D443BB" w:rsidRPr="00242EE8" w:rsidRDefault="00D443BB" w:rsidP="00B134CD">
            <w:pPr>
              <w:tabs>
                <w:tab w:val="left" w:pos="0"/>
              </w:tabs>
              <w:spacing w:line="240" w:lineRule="auto"/>
              <w:jc w:val="center"/>
              <w:rPr>
                <w:b w:val="0"/>
                <w:bCs/>
                <w:i/>
                <w:sz w:val="18"/>
                <w:szCs w:val="18"/>
                <w:lang w:val="en-US"/>
              </w:rPr>
            </w:pPr>
            <w:r w:rsidRPr="00242EE8">
              <w:rPr>
                <w:rFonts w:cs="Calibri"/>
                <w:b w:val="0"/>
                <w:bCs/>
                <w:i/>
                <w:iCs/>
                <w:color w:val="000000"/>
                <w:sz w:val="18"/>
                <w:szCs w:val="18"/>
                <w:lang w:val="hy-AM"/>
              </w:rPr>
              <w:t>24.</w:t>
            </w:r>
            <w:r w:rsidRPr="00242EE8">
              <w:rPr>
                <w:rFonts w:cs="Calibri"/>
                <w:b w:val="0"/>
                <w:bCs/>
                <w:i/>
                <w:iCs/>
                <w:color w:val="000000"/>
                <w:sz w:val="18"/>
                <w:szCs w:val="18"/>
                <w:lang w:val="en-US"/>
              </w:rPr>
              <w:t>3</w:t>
            </w:r>
          </w:p>
        </w:tc>
      </w:tr>
      <w:tr w:rsidR="00D443BB" w14:paraId="12746DAD" w14:textId="77777777" w:rsidTr="00B134CD">
        <w:trPr>
          <w:trHeight w:val="169"/>
        </w:trPr>
        <w:tc>
          <w:tcPr>
            <w:tcW w:w="4183" w:type="dxa"/>
            <w:tcBorders>
              <w:top w:val="nil"/>
              <w:left w:val="nil"/>
              <w:bottom w:val="single" w:sz="4" w:space="0" w:color="7F7F7F" w:themeColor="text1" w:themeTint="80"/>
              <w:right w:val="nil"/>
            </w:tcBorders>
            <w:hideMark/>
          </w:tcPr>
          <w:p w14:paraId="6BD0C99B" w14:textId="77777777" w:rsidR="00D443BB" w:rsidRPr="00242EE8" w:rsidRDefault="00D443BB" w:rsidP="00B134CD">
            <w:pPr>
              <w:tabs>
                <w:tab w:val="left" w:pos="0"/>
              </w:tabs>
              <w:spacing w:line="240" w:lineRule="auto"/>
              <w:jc w:val="left"/>
              <w:rPr>
                <w:b w:val="0"/>
                <w:bCs/>
                <w:sz w:val="18"/>
                <w:szCs w:val="18"/>
              </w:rPr>
            </w:pPr>
            <w:r w:rsidRPr="00242EE8">
              <w:rPr>
                <w:b w:val="0"/>
                <w:bCs/>
                <w:sz w:val="18"/>
                <w:szCs w:val="18"/>
              </w:rPr>
              <w:t>Պատվիրակված լիազորությունների ֆինանսավորում</w:t>
            </w:r>
          </w:p>
        </w:tc>
        <w:tc>
          <w:tcPr>
            <w:tcW w:w="986" w:type="dxa"/>
            <w:tcBorders>
              <w:top w:val="nil"/>
              <w:left w:val="nil"/>
              <w:bottom w:val="single" w:sz="4" w:space="0" w:color="7F7F7F" w:themeColor="text1" w:themeTint="80"/>
              <w:right w:val="nil"/>
            </w:tcBorders>
            <w:vAlign w:val="center"/>
            <w:hideMark/>
          </w:tcPr>
          <w:p w14:paraId="43D3255C"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26.6</w:t>
            </w:r>
          </w:p>
        </w:tc>
        <w:tc>
          <w:tcPr>
            <w:tcW w:w="986" w:type="dxa"/>
            <w:tcBorders>
              <w:top w:val="nil"/>
              <w:left w:val="nil"/>
              <w:bottom w:val="single" w:sz="4" w:space="0" w:color="7F7F7F" w:themeColor="text1" w:themeTint="80"/>
              <w:right w:val="nil"/>
            </w:tcBorders>
            <w:vAlign w:val="center"/>
            <w:hideMark/>
          </w:tcPr>
          <w:p w14:paraId="164D238D"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29.8</w:t>
            </w:r>
          </w:p>
        </w:tc>
        <w:tc>
          <w:tcPr>
            <w:tcW w:w="986" w:type="dxa"/>
            <w:tcBorders>
              <w:top w:val="nil"/>
              <w:left w:val="nil"/>
              <w:bottom w:val="single" w:sz="4" w:space="0" w:color="7F7F7F" w:themeColor="text1" w:themeTint="80"/>
              <w:right w:val="nil"/>
            </w:tcBorders>
            <w:noWrap/>
            <w:vAlign w:val="center"/>
            <w:hideMark/>
          </w:tcPr>
          <w:p w14:paraId="285985A2" w14:textId="77777777" w:rsidR="00D443BB" w:rsidRPr="00242EE8" w:rsidRDefault="00D443BB" w:rsidP="00B134CD">
            <w:pPr>
              <w:tabs>
                <w:tab w:val="left" w:pos="0"/>
              </w:tabs>
              <w:spacing w:line="240" w:lineRule="auto"/>
              <w:jc w:val="center"/>
              <w:rPr>
                <w:b w:val="0"/>
                <w:bCs/>
                <w:sz w:val="18"/>
                <w:szCs w:val="18"/>
                <w:lang w:val="hy-AM"/>
              </w:rPr>
            </w:pPr>
            <w:r w:rsidRPr="00242EE8">
              <w:rPr>
                <w:rFonts w:cs="Calibri"/>
                <w:b w:val="0"/>
                <w:color w:val="000000"/>
                <w:sz w:val="18"/>
                <w:szCs w:val="18"/>
                <w:lang w:val="hy-AM"/>
              </w:rPr>
              <w:t>28.9</w:t>
            </w:r>
          </w:p>
        </w:tc>
        <w:tc>
          <w:tcPr>
            <w:tcW w:w="845" w:type="dxa"/>
            <w:tcBorders>
              <w:top w:val="nil"/>
              <w:left w:val="nil"/>
              <w:bottom w:val="single" w:sz="4" w:space="0" w:color="7F7F7F" w:themeColor="text1" w:themeTint="80"/>
              <w:right w:val="nil"/>
            </w:tcBorders>
            <w:vAlign w:val="center"/>
            <w:hideMark/>
          </w:tcPr>
          <w:p w14:paraId="0D684E2E" w14:textId="77777777" w:rsidR="00D443BB" w:rsidRPr="00242EE8" w:rsidRDefault="007E6A67" w:rsidP="007E6A67">
            <w:pPr>
              <w:tabs>
                <w:tab w:val="left" w:pos="0"/>
              </w:tabs>
              <w:spacing w:line="240" w:lineRule="auto"/>
              <w:jc w:val="center"/>
              <w:rPr>
                <w:b w:val="0"/>
                <w:bCs/>
                <w:sz w:val="18"/>
                <w:szCs w:val="18"/>
                <w:lang w:val="hy-AM"/>
              </w:rPr>
            </w:pPr>
            <w:r>
              <w:rPr>
                <w:rFonts w:cs="Calibri"/>
                <w:b w:val="0"/>
                <w:bCs/>
                <w:color w:val="000000"/>
                <w:sz w:val="18"/>
                <w:szCs w:val="18"/>
                <w:lang w:val="en-US"/>
              </w:rPr>
              <w:t>4</w:t>
            </w:r>
            <w:r>
              <w:rPr>
                <w:rFonts w:cs="Calibri"/>
                <w:b w:val="0"/>
                <w:bCs/>
                <w:color w:val="000000"/>
                <w:sz w:val="18"/>
                <w:szCs w:val="18"/>
                <w:lang w:val="hy-AM"/>
              </w:rPr>
              <w:t>6</w:t>
            </w:r>
            <w:r w:rsidR="00D443BB" w:rsidRPr="00242EE8">
              <w:rPr>
                <w:rFonts w:cs="Calibri"/>
                <w:b w:val="0"/>
                <w:bCs/>
                <w:color w:val="000000"/>
                <w:sz w:val="18"/>
                <w:szCs w:val="18"/>
                <w:lang w:val="hy-AM"/>
              </w:rPr>
              <w:t>.</w:t>
            </w:r>
            <w:r>
              <w:rPr>
                <w:rFonts w:cs="Calibri"/>
                <w:b w:val="0"/>
                <w:bCs/>
                <w:color w:val="000000"/>
                <w:sz w:val="18"/>
                <w:szCs w:val="18"/>
                <w:lang w:val="en-US"/>
              </w:rPr>
              <w:t>2</w:t>
            </w:r>
          </w:p>
        </w:tc>
        <w:tc>
          <w:tcPr>
            <w:tcW w:w="1104" w:type="dxa"/>
            <w:tcBorders>
              <w:top w:val="nil"/>
              <w:left w:val="nil"/>
              <w:bottom w:val="single" w:sz="4" w:space="0" w:color="7F7F7F" w:themeColor="text1" w:themeTint="80"/>
              <w:right w:val="nil"/>
            </w:tcBorders>
            <w:vAlign w:val="center"/>
            <w:hideMark/>
          </w:tcPr>
          <w:p w14:paraId="758BE245" w14:textId="77777777" w:rsidR="00D443BB" w:rsidRPr="00242EE8" w:rsidRDefault="00D443BB" w:rsidP="007E6A67">
            <w:pPr>
              <w:tabs>
                <w:tab w:val="left" w:pos="0"/>
              </w:tabs>
              <w:spacing w:line="240" w:lineRule="auto"/>
              <w:jc w:val="center"/>
              <w:rPr>
                <w:b w:val="0"/>
                <w:bCs/>
                <w:sz w:val="18"/>
                <w:szCs w:val="18"/>
                <w:lang w:val="hy-AM"/>
              </w:rPr>
            </w:pPr>
            <w:r w:rsidRPr="00242EE8">
              <w:rPr>
                <w:rFonts w:cs="Calibri"/>
                <w:b w:val="0"/>
                <w:bCs/>
                <w:color w:val="000000"/>
                <w:sz w:val="18"/>
                <w:szCs w:val="18"/>
                <w:lang w:val="en-US"/>
              </w:rPr>
              <w:t>4</w:t>
            </w:r>
            <w:r w:rsidR="007E6A67">
              <w:rPr>
                <w:rFonts w:cs="Calibri"/>
                <w:b w:val="0"/>
                <w:bCs/>
                <w:color w:val="000000"/>
                <w:sz w:val="18"/>
                <w:szCs w:val="18"/>
                <w:lang w:val="en-US"/>
              </w:rPr>
              <w:t>0</w:t>
            </w:r>
            <w:r w:rsidRPr="00242EE8">
              <w:rPr>
                <w:rFonts w:cs="Calibri"/>
                <w:b w:val="0"/>
                <w:bCs/>
                <w:color w:val="000000"/>
                <w:sz w:val="18"/>
                <w:szCs w:val="18"/>
                <w:lang w:val="en-US"/>
              </w:rPr>
              <w:t>.</w:t>
            </w:r>
            <w:r w:rsidR="007E6A67">
              <w:rPr>
                <w:rFonts w:cs="Calibri"/>
                <w:b w:val="0"/>
                <w:bCs/>
                <w:color w:val="000000"/>
                <w:sz w:val="18"/>
                <w:szCs w:val="18"/>
                <w:lang w:val="en-US"/>
              </w:rPr>
              <w:t>9</w:t>
            </w:r>
          </w:p>
        </w:tc>
      </w:tr>
    </w:tbl>
    <w:p w14:paraId="17A03C06" w14:textId="77777777" w:rsidR="00D443BB" w:rsidRDefault="00D443BB" w:rsidP="00D443BB"/>
    <w:p w14:paraId="792B722A" w14:textId="58D6FA5E" w:rsidR="00D443BB" w:rsidRPr="006460FD" w:rsidRDefault="006460FD" w:rsidP="006460FD">
      <w:pPr>
        <w:pStyle w:val="Heading1"/>
      </w:pPr>
      <w:bookmarkStart w:id="290" w:name="_Toc153184490"/>
      <w:r>
        <w:t>Երևան քաղաքապետարանին տրամադրվող</w:t>
      </w:r>
      <w:bookmarkEnd w:id="290"/>
    </w:p>
    <w:p w14:paraId="7187BAD7" w14:textId="502BB4FB" w:rsidR="00111F20" w:rsidRPr="00111F20" w:rsidRDefault="00111F20" w:rsidP="00111F20">
      <w:pPr>
        <w:rPr>
          <w:rFonts w:eastAsiaTheme="minorEastAsia" w:cstheme="minorBidi"/>
          <w:b w:val="0"/>
          <w:szCs w:val="22"/>
          <w:lang w:val="hy-AM" w:eastAsia="en-US"/>
        </w:rPr>
      </w:pPr>
      <w:r w:rsidRPr="00111F20">
        <w:rPr>
          <w:rFonts w:eastAsiaTheme="minorEastAsia" w:cstheme="minorBidi"/>
          <w:b w:val="0"/>
          <w:szCs w:val="22"/>
          <w:lang w:val="hy-AM" w:eastAsia="en-US"/>
        </w:rPr>
        <w:t xml:space="preserve">ՀՀ 2024թ. պետական բյուջեով Երևանի քաղաքապետարանին սեփական լիազորությունների իրականացմանն աջակցելու նպատակով լրացուցիչ հատկացվել է 17.1 մլրդ դրամ՝ ներքոհիշյալ աշխատանքների մասով. </w:t>
      </w:r>
    </w:p>
    <w:p w14:paraId="7F17AEE1" w14:textId="77777777" w:rsidR="00111F20" w:rsidRPr="00AC1E1E" w:rsidRDefault="00111F20" w:rsidP="00AC1E1E">
      <w:pPr>
        <w:pStyle w:val="ListParagraph"/>
        <w:numPr>
          <w:ilvl w:val="0"/>
          <w:numId w:val="67"/>
        </w:numPr>
        <w:tabs>
          <w:tab w:val="left" w:pos="270"/>
        </w:tabs>
        <w:ind w:left="0" w:firstLine="0"/>
        <w:rPr>
          <w:rFonts w:eastAsiaTheme="minorHAnsi" w:cs="Cambria Math"/>
          <w:b w:val="0"/>
          <w:szCs w:val="22"/>
          <w:lang w:val="hy-AM" w:eastAsia="en-US"/>
        </w:rPr>
      </w:pPr>
      <w:r w:rsidRPr="00111F20">
        <w:rPr>
          <w:rFonts w:eastAsiaTheme="minorEastAsia" w:cstheme="minorBidi"/>
          <w:b w:val="0"/>
          <w:szCs w:val="22"/>
          <w:lang w:val="hy-AM" w:eastAsia="en-US"/>
        </w:rPr>
        <w:t xml:space="preserve">Մանկապարտեզների հիմնանորոգման և վերջինների բակերի բարեկարգման աշխատանքների </w:t>
      </w:r>
      <w:r w:rsidRPr="00AC1E1E">
        <w:rPr>
          <w:rFonts w:eastAsiaTheme="minorHAnsi" w:cs="Cambria Math"/>
          <w:b w:val="0"/>
          <w:szCs w:val="22"/>
          <w:lang w:val="hy-AM" w:eastAsia="en-US"/>
        </w:rPr>
        <w:t xml:space="preserve">համար՝ 3.3 մլրդ դրամ, </w:t>
      </w:r>
    </w:p>
    <w:p w14:paraId="4A9CF9C7" w14:textId="77777777" w:rsidR="00111F20" w:rsidRPr="00AC1E1E" w:rsidRDefault="00111F20" w:rsidP="00AC1E1E">
      <w:pPr>
        <w:pStyle w:val="ListParagraph"/>
        <w:numPr>
          <w:ilvl w:val="0"/>
          <w:numId w:val="67"/>
        </w:numPr>
        <w:tabs>
          <w:tab w:val="left" w:pos="270"/>
        </w:tabs>
        <w:ind w:left="0" w:firstLine="0"/>
        <w:rPr>
          <w:rFonts w:eastAsiaTheme="minorHAnsi" w:cs="Cambria Math"/>
          <w:b w:val="0"/>
          <w:szCs w:val="22"/>
          <w:lang w:val="hy-AM" w:eastAsia="en-US"/>
        </w:rPr>
      </w:pPr>
      <w:r w:rsidRPr="00AC1E1E">
        <w:rPr>
          <w:rFonts w:eastAsiaTheme="minorHAnsi" w:cs="Cambria Math"/>
          <w:b w:val="0"/>
          <w:szCs w:val="22"/>
          <w:lang w:val="hy-AM" w:eastAsia="en-US"/>
        </w:rPr>
        <w:t>Ճանապարհների և կամուրջների աշխատանքների համար՝ 3.4 մլրդ դրամ,</w:t>
      </w:r>
    </w:p>
    <w:p w14:paraId="032733DE" w14:textId="6065100A" w:rsidR="00111F20" w:rsidRPr="00AC1E1E" w:rsidRDefault="00111F20" w:rsidP="00AC1E1E">
      <w:pPr>
        <w:pStyle w:val="ListParagraph"/>
        <w:numPr>
          <w:ilvl w:val="0"/>
          <w:numId w:val="67"/>
        </w:numPr>
        <w:tabs>
          <w:tab w:val="left" w:pos="270"/>
        </w:tabs>
        <w:ind w:left="0" w:firstLine="0"/>
        <w:rPr>
          <w:rFonts w:eastAsiaTheme="minorHAnsi" w:cs="Cambria Math"/>
          <w:b w:val="0"/>
          <w:szCs w:val="22"/>
          <w:lang w:val="hy-AM" w:eastAsia="en-US"/>
        </w:rPr>
      </w:pPr>
      <w:r w:rsidRPr="00AC1E1E">
        <w:rPr>
          <w:rFonts w:eastAsiaTheme="minorHAnsi" w:cs="Cambria Math"/>
          <w:b w:val="0"/>
          <w:szCs w:val="22"/>
          <w:lang w:val="hy-AM" w:eastAsia="en-US"/>
        </w:rPr>
        <w:t>Երևանի էներգաարդյունավետության ծրագրի իրականացման համար՝ 4.7 դրամ,</w:t>
      </w:r>
    </w:p>
    <w:p w14:paraId="11FD86B2" w14:textId="77777777" w:rsidR="00111F20" w:rsidRPr="00111F20" w:rsidRDefault="00111F20" w:rsidP="00AC1E1E">
      <w:pPr>
        <w:pStyle w:val="ListParagraph"/>
        <w:numPr>
          <w:ilvl w:val="0"/>
          <w:numId w:val="67"/>
        </w:numPr>
        <w:tabs>
          <w:tab w:val="left" w:pos="270"/>
        </w:tabs>
        <w:ind w:left="0" w:firstLine="0"/>
        <w:rPr>
          <w:rFonts w:eastAsiaTheme="minorEastAsia" w:cstheme="minorBidi"/>
          <w:b w:val="0"/>
          <w:szCs w:val="22"/>
          <w:lang w:val="hy-AM" w:eastAsia="en-US"/>
        </w:rPr>
      </w:pPr>
      <w:r w:rsidRPr="00AC1E1E">
        <w:rPr>
          <w:rFonts w:eastAsiaTheme="minorHAnsi" w:cs="Cambria Math"/>
          <w:b w:val="0"/>
          <w:szCs w:val="22"/>
          <w:lang w:val="hy-AM" w:eastAsia="en-US"/>
        </w:rPr>
        <w:lastRenderedPageBreak/>
        <w:t>Երևանի քաղա</w:t>
      </w:r>
      <w:r w:rsidRPr="00111F20">
        <w:rPr>
          <w:rFonts w:eastAsiaTheme="minorEastAsia" w:cstheme="minorBidi"/>
          <w:b w:val="0"/>
          <w:szCs w:val="22"/>
          <w:lang w:val="hy-AM" w:eastAsia="en-US"/>
        </w:rPr>
        <w:t xml:space="preserve">քապետի սեփական լիազորությունների իրականացմանն աջակցելու նպատակով՝ 5.7 մլրդ դրամ (այլ դոտացիաներ)։ </w:t>
      </w:r>
    </w:p>
    <w:p w14:paraId="6BB4A99D" w14:textId="77777777" w:rsidR="00A14B59" w:rsidRPr="00111F20" w:rsidRDefault="00A14B59" w:rsidP="002E02D6">
      <w:pPr>
        <w:jc w:val="left"/>
        <w:rPr>
          <w:rFonts w:eastAsia="Calibri" w:cs="GHEA Grapalat"/>
          <w:bCs/>
          <w:sz w:val="24"/>
          <w:szCs w:val="26"/>
          <w:lang w:val="hy-AM" w:eastAsia="en-US"/>
        </w:rPr>
      </w:pPr>
    </w:p>
    <w:p w14:paraId="0CDBCD5F" w14:textId="3A2FF075" w:rsidR="00453D56" w:rsidRPr="00290696" w:rsidRDefault="00453D56" w:rsidP="009C0E1E">
      <w:pPr>
        <w:keepNext/>
        <w:keepLines/>
        <w:spacing w:before="0"/>
        <w:ind w:firstLine="284"/>
        <w:outlineLvl w:val="2"/>
        <w:rPr>
          <w:rFonts w:eastAsiaTheme="majorEastAsia" w:cstheme="majorBidi"/>
          <w:bCs/>
          <w:color w:val="1F497D" w:themeColor="text2"/>
          <w:sz w:val="24"/>
          <w:lang w:val="hy-AM" w:eastAsia="en-US"/>
        </w:rPr>
      </w:pPr>
      <w:bookmarkStart w:id="291" w:name="_Toc153184491"/>
      <w:r w:rsidRPr="00290696">
        <w:rPr>
          <w:rFonts w:eastAsiaTheme="majorEastAsia" w:cstheme="majorBidi"/>
          <w:bCs/>
          <w:color w:val="1F497D" w:themeColor="text2"/>
          <w:sz w:val="24"/>
          <w:lang w:val="hy-AM" w:eastAsia="en-US"/>
        </w:rPr>
        <w:t>202</w:t>
      </w:r>
      <w:r w:rsidR="00F36BF8">
        <w:rPr>
          <w:rFonts w:eastAsiaTheme="majorEastAsia" w:cstheme="majorBidi"/>
          <w:bCs/>
          <w:color w:val="1F497D" w:themeColor="text2"/>
          <w:sz w:val="24"/>
          <w:lang w:val="hy-AM" w:eastAsia="en-US"/>
        </w:rPr>
        <w:t>4</w:t>
      </w:r>
      <w:r w:rsidR="00AB7355" w:rsidRPr="00290696">
        <w:rPr>
          <w:rFonts w:eastAsiaTheme="majorEastAsia" w:cstheme="majorBidi"/>
          <w:bCs/>
          <w:color w:val="1F497D" w:themeColor="text2"/>
          <w:sz w:val="24"/>
          <w:lang w:val="hy-AM" w:eastAsia="en-US"/>
        </w:rPr>
        <w:t xml:space="preserve"> </w:t>
      </w:r>
      <w:r w:rsidRPr="00290696">
        <w:rPr>
          <w:rFonts w:eastAsiaTheme="majorEastAsia" w:cstheme="majorBidi"/>
          <w:bCs/>
          <w:color w:val="1F497D" w:themeColor="text2"/>
          <w:sz w:val="24"/>
          <w:lang w:val="hy-AM" w:eastAsia="en-US"/>
        </w:rPr>
        <w:t>Թ</w:t>
      </w:r>
      <w:r w:rsidR="00AB7355" w:rsidRPr="00290696">
        <w:rPr>
          <w:rFonts w:eastAsiaTheme="majorEastAsia" w:cstheme="majorBidi"/>
          <w:bCs/>
          <w:color w:val="1F497D" w:themeColor="text2"/>
          <w:sz w:val="24"/>
          <w:lang w:val="hy-AM" w:eastAsia="en-US"/>
        </w:rPr>
        <w:t>ՎԱԿԱՆԻ</w:t>
      </w:r>
      <w:r w:rsidRPr="00290696">
        <w:rPr>
          <w:rFonts w:eastAsiaTheme="majorEastAsia" w:cstheme="majorBidi"/>
          <w:bCs/>
          <w:color w:val="1F497D" w:themeColor="text2"/>
          <w:sz w:val="24"/>
          <w:lang w:val="hy-AM" w:eastAsia="en-US"/>
        </w:rPr>
        <w:t xml:space="preserve"> ԲՅՈՒՋԵԻ ԱՌԱՋՆԱՀԵՐԹՈՒԹՅՈՒՆՆԵՐ</w:t>
      </w:r>
      <w:bookmarkEnd w:id="237"/>
      <w:bookmarkEnd w:id="238"/>
      <w:r w:rsidRPr="00290696">
        <w:rPr>
          <w:rFonts w:eastAsiaTheme="majorEastAsia" w:cstheme="majorBidi"/>
          <w:bCs/>
          <w:color w:val="1F497D" w:themeColor="text2"/>
          <w:sz w:val="24"/>
          <w:lang w:val="hy-AM" w:eastAsia="en-US"/>
        </w:rPr>
        <w:t>Ը</w:t>
      </w:r>
      <w:bookmarkEnd w:id="291"/>
    </w:p>
    <w:p w14:paraId="67626730" w14:textId="77777777" w:rsidR="00453D56" w:rsidRPr="007955BB" w:rsidRDefault="00453D56" w:rsidP="006141F5">
      <w:pPr>
        <w:rPr>
          <w:rFonts w:eastAsiaTheme="minorEastAsia" w:cstheme="minorBidi"/>
          <w:b w:val="0"/>
          <w:szCs w:val="22"/>
          <w:lang w:val="hy-AM" w:eastAsia="en-US"/>
        </w:rPr>
      </w:pPr>
      <w:r w:rsidRPr="007955BB">
        <w:rPr>
          <w:rFonts w:eastAsiaTheme="minorEastAsia" w:cstheme="minorBidi"/>
          <w:b w:val="0"/>
          <w:szCs w:val="22"/>
          <w:lang w:val="hy-AM" w:eastAsia="en-US"/>
        </w:rPr>
        <w:t>ՀՀ կառավարության ծրագրին համապատասխան ծախսային քաղաքականության արդյունավետության բարձրացման տեսանկյունից միջնաժամկետ ժամանակահատվածում կարևորվում է հանրային ֆինանսների նպատակային, խնայողաբար և ադյունավետ օգտագործումը, ինչի արդյունքում ՀՀ պետական բյուջեի ծախսերի կառուցվածքում աստիճանաբար հնարավորության սահմաններում կմեծանա մարդկային կապիտալին և ենթակառուցվածքներին ուղղվող ծախսերի տեսակարար կշիռը:</w:t>
      </w:r>
    </w:p>
    <w:p w14:paraId="451D86B0" w14:textId="32CE64CF" w:rsidR="00813A99" w:rsidRPr="007955BB" w:rsidRDefault="00453D56" w:rsidP="006141F5">
      <w:pPr>
        <w:rPr>
          <w:rFonts w:eastAsiaTheme="minorEastAsia" w:cs="Arial"/>
          <w:b w:val="0"/>
          <w:szCs w:val="22"/>
          <w:lang w:val="hy-AM" w:eastAsia="en-US"/>
        </w:rPr>
      </w:pPr>
      <w:r w:rsidRPr="007955BB">
        <w:rPr>
          <w:rFonts w:eastAsiaTheme="minorEastAsia" w:cstheme="minorBidi"/>
          <w:b w:val="0"/>
          <w:szCs w:val="22"/>
          <w:lang w:val="hy-AM" w:eastAsia="en-US"/>
        </w:rPr>
        <w:t>202</w:t>
      </w:r>
      <w:r w:rsidR="00F36BF8">
        <w:rPr>
          <w:rFonts w:eastAsiaTheme="minorEastAsia" w:cstheme="minorBidi"/>
          <w:b w:val="0"/>
          <w:szCs w:val="22"/>
          <w:lang w:val="hy-AM" w:eastAsia="en-US"/>
        </w:rPr>
        <w:t>4</w:t>
      </w:r>
      <w:r w:rsidRPr="007955BB">
        <w:rPr>
          <w:rFonts w:eastAsiaTheme="minorEastAsia" w:cstheme="minorBidi"/>
          <w:b w:val="0"/>
          <w:szCs w:val="22"/>
          <w:lang w:val="hy-AM" w:eastAsia="en-US"/>
        </w:rPr>
        <w:t>թ</w:t>
      </w:r>
      <w:r w:rsidR="00813A99" w:rsidRPr="007955BB">
        <w:rPr>
          <w:rFonts w:eastAsiaTheme="minorEastAsia" w:cstheme="minorBidi"/>
          <w:b w:val="0"/>
          <w:szCs w:val="22"/>
          <w:lang w:val="hy-AM" w:eastAsia="en-US"/>
        </w:rPr>
        <w:t>.</w:t>
      </w:r>
      <w:r w:rsidRPr="007955BB">
        <w:rPr>
          <w:rFonts w:eastAsiaTheme="minorEastAsia" w:cstheme="minorBidi"/>
          <w:b w:val="0"/>
          <w:szCs w:val="22"/>
          <w:lang w:val="hy-AM" w:eastAsia="en-US"/>
        </w:rPr>
        <w:t xml:space="preserve"> </w:t>
      </w:r>
      <w:r w:rsidR="00813A99" w:rsidRPr="007955BB">
        <w:rPr>
          <w:rFonts w:eastAsiaTheme="minorEastAsia" w:cstheme="minorBidi"/>
          <w:b w:val="0"/>
          <w:szCs w:val="22"/>
          <w:lang w:val="hy-AM" w:eastAsia="en-US"/>
        </w:rPr>
        <w:t>բյուջեի 6-րդ</w:t>
      </w:r>
      <w:r w:rsidRPr="007955BB">
        <w:rPr>
          <w:rFonts w:eastAsiaTheme="minorEastAsia" w:cstheme="minorBidi"/>
          <w:b w:val="0"/>
          <w:szCs w:val="22"/>
          <w:lang w:val="hy-AM" w:eastAsia="en-US"/>
        </w:rPr>
        <w:t xml:space="preserve"> հավելվածով ներկայացվել են </w:t>
      </w:r>
      <w:r w:rsidR="00813A99" w:rsidRPr="007955BB">
        <w:rPr>
          <w:rFonts w:eastAsiaTheme="minorEastAsia" w:cstheme="minorBidi"/>
          <w:b w:val="0"/>
          <w:szCs w:val="22"/>
          <w:lang w:val="hy-AM" w:eastAsia="en-US"/>
        </w:rPr>
        <w:t xml:space="preserve">ծախսային առաջնահերթությունները՝ </w:t>
      </w:r>
      <w:r w:rsidR="00F84EB3">
        <w:rPr>
          <w:rFonts w:eastAsiaTheme="minorEastAsia" w:cstheme="minorBidi"/>
          <w:b w:val="0"/>
          <w:szCs w:val="22"/>
          <w:lang w:val="hy-AM" w:eastAsia="en-US"/>
        </w:rPr>
        <w:t>8.7</w:t>
      </w:r>
      <w:r w:rsidR="00813A99" w:rsidRPr="007955BB">
        <w:rPr>
          <w:rFonts w:eastAsiaTheme="minorEastAsia" w:cstheme="minorBidi"/>
          <w:b w:val="0"/>
          <w:szCs w:val="22"/>
          <w:lang w:val="hy-AM" w:eastAsia="en-US"/>
        </w:rPr>
        <w:t xml:space="preserve"> մլրդ դրամի չափով</w:t>
      </w:r>
      <w:r w:rsidRPr="007955BB">
        <w:rPr>
          <w:rFonts w:eastAsiaTheme="minorEastAsia" w:cstheme="minorBidi"/>
          <w:b w:val="0"/>
          <w:szCs w:val="22"/>
          <w:lang w:val="hy-AM" w:eastAsia="en-US"/>
        </w:rPr>
        <w:t xml:space="preserve">: </w:t>
      </w:r>
    </w:p>
    <w:p w14:paraId="18C4D725" w14:textId="078E9E0D" w:rsidR="00453D56" w:rsidRPr="007955BB" w:rsidRDefault="00453D56" w:rsidP="006141F5">
      <w:pPr>
        <w:rPr>
          <w:rFonts w:eastAsiaTheme="minorEastAsia" w:cstheme="minorBidi"/>
          <w:b w:val="0"/>
          <w:szCs w:val="22"/>
          <w:lang w:val="hy-AM" w:eastAsia="en-US"/>
        </w:rPr>
      </w:pPr>
      <w:r w:rsidRPr="007955BB">
        <w:rPr>
          <w:rFonts w:eastAsiaTheme="minorEastAsia" w:cstheme="minorBidi"/>
          <w:b w:val="0"/>
          <w:szCs w:val="22"/>
          <w:lang w:val="hy-AM" w:eastAsia="en-US"/>
        </w:rPr>
        <w:t>ԲԳԿ-ների կողմից ներկայացված առաջնահերթությունները 202</w:t>
      </w:r>
      <w:r w:rsidR="00F36BF8">
        <w:rPr>
          <w:rFonts w:eastAsiaTheme="minorEastAsia" w:cstheme="minorBidi"/>
          <w:b w:val="0"/>
          <w:szCs w:val="22"/>
          <w:lang w:val="hy-AM" w:eastAsia="en-US"/>
        </w:rPr>
        <w:t>4</w:t>
      </w:r>
      <w:r w:rsidRPr="007955BB">
        <w:rPr>
          <w:rFonts w:eastAsiaTheme="minorEastAsia" w:cstheme="minorBidi"/>
          <w:b w:val="0"/>
          <w:szCs w:val="22"/>
          <w:lang w:val="hy-AM" w:eastAsia="en-US"/>
        </w:rPr>
        <w:t>թ. բյուջեում լրացուցիչ ֆինանսական միջոցների առկայության պայմաններում (Հայաստանի Հանրապետության տնտեսական զարգացման բարենպաստ միջավայրի և այլ գործոններով պայմանավորված), ինչպես նաև 202</w:t>
      </w:r>
      <w:r w:rsidR="00F36BF8">
        <w:rPr>
          <w:rFonts w:eastAsiaTheme="minorEastAsia" w:cstheme="minorBidi"/>
          <w:b w:val="0"/>
          <w:szCs w:val="22"/>
          <w:lang w:val="hy-AM" w:eastAsia="en-US"/>
        </w:rPr>
        <w:t>4</w:t>
      </w:r>
      <w:r w:rsidRPr="007955BB">
        <w:rPr>
          <w:rFonts w:eastAsiaTheme="minorEastAsia" w:cstheme="minorBidi"/>
          <w:b w:val="0"/>
          <w:szCs w:val="22"/>
          <w:lang w:val="hy-AM" w:eastAsia="en-US"/>
        </w:rPr>
        <w:t>թ ընթացքում բյուջեով նախատեսված ծախսերի կրճատման, ծախսային ուղղությունների գծով հնարավոր գերակայությունների (առաջնահերթությունների) փոփոխման արդյունքում վերաբաշխումների (փոխատեղումների), խնայողությունների առկայության, Հայաստանի Հանրապետության օրենսդրությամբ սահմանված կարգով Հայաստանի Հանրապետության պետական բյուջեի դեֆիցիտի սահմանաչափի ավելացման պարագայում վերջիններիս ֆինանսավորումը պետք է իրականացվեն առաջնահերթ կարգով՝ կապիտալ ծախսերի դեպքում հիմք ընդունելով համապատասխան նախագծանախահաշվային փաստաթղթերի հիման վրա այդ աշխատանքների արժեքների ճշգրտումները։</w:t>
      </w:r>
    </w:p>
    <w:p w14:paraId="527E6BAD" w14:textId="77777777" w:rsidR="000123D5" w:rsidRPr="007955BB" w:rsidRDefault="00453D56" w:rsidP="006141F5">
      <w:pPr>
        <w:rPr>
          <w:lang w:val="hy-AM"/>
        </w:rPr>
      </w:pPr>
      <w:r w:rsidRPr="007955BB">
        <w:rPr>
          <w:rFonts w:eastAsiaTheme="minorEastAsia" w:cstheme="minorBidi"/>
          <w:b w:val="0"/>
          <w:szCs w:val="22"/>
          <w:lang w:val="hy-AM" w:eastAsia="en-US"/>
        </w:rPr>
        <w:t>Առաջնահերթություններում</w:t>
      </w:r>
      <w:r w:rsidRPr="007955BB">
        <w:rPr>
          <w:rFonts w:eastAsiaTheme="minorEastAsia" w:cs="Arial"/>
          <w:b w:val="0"/>
          <w:szCs w:val="22"/>
          <w:lang w:val="hy-AM" w:eastAsia="en-US"/>
        </w:rPr>
        <w:t xml:space="preserve"> կարևորվում է նաև կ</w:t>
      </w:r>
      <w:r w:rsidRPr="007955BB">
        <w:rPr>
          <w:rFonts w:eastAsiaTheme="minorEastAsia" w:cstheme="minorBidi"/>
          <w:b w:val="0"/>
          <w:szCs w:val="22"/>
          <w:lang w:val="hy-AM" w:eastAsia="en-US"/>
        </w:rPr>
        <w:t>ապիտալ ծրագրերի դերը, որոնք իրենց ուրույն տեղն են գտել նաև ՊՖԿՀ բարեփոխումների ռազմավարությունում, որտեղ «Հանրային ներդրումների կառավարման» համակարգի ներդրումը դիտվում է որպես կապիտալ ծրագրերի գնահատման, առաջնահերթությունների որոշման և ֆինանսավորման համար անհրաժեշտ ռեսուրսների հաշվարկման առանցքային գործիքակազմի բաղադրիչներից մեկը: Այս միջոցառման իրականացումը ապագայում կնպաստի կապիտալ ծախսերի իրականացման արդյունավետության բարձրացմանը՝ խթանելով երկարաժամկետ տնտեսական աճի արագացումը:</w:t>
      </w:r>
      <w:r w:rsidR="000123D5" w:rsidRPr="007955BB">
        <w:rPr>
          <w:b w:val="0"/>
          <w:lang w:val="hy-AM"/>
        </w:rPr>
        <w:br w:type="page"/>
      </w:r>
    </w:p>
    <w:p w14:paraId="56F59F64" w14:textId="77777777" w:rsidR="00E85612" w:rsidRPr="006141F5" w:rsidRDefault="00DD17FC" w:rsidP="009C0E1E">
      <w:pPr>
        <w:keepNext/>
        <w:keepLines/>
        <w:spacing w:before="0"/>
        <w:ind w:firstLine="284"/>
        <w:outlineLvl w:val="2"/>
        <w:rPr>
          <w:rFonts w:eastAsiaTheme="majorEastAsia" w:cstheme="majorBidi"/>
          <w:bCs/>
          <w:color w:val="1F497D" w:themeColor="text2"/>
          <w:sz w:val="24"/>
          <w:lang w:val="hy-AM" w:eastAsia="en-US"/>
        </w:rPr>
      </w:pPr>
      <w:bookmarkStart w:id="292" w:name="_Toc153184492"/>
      <w:r w:rsidRPr="006141F5">
        <w:rPr>
          <w:rFonts w:eastAsiaTheme="majorEastAsia" w:cstheme="majorBidi"/>
          <w:bCs/>
          <w:color w:val="1F497D" w:themeColor="text2"/>
          <w:sz w:val="24"/>
          <w:lang w:val="hy-AM" w:eastAsia="en-US"/>
        </w:rPr>
        <w:lastRenderedPageBreak/>
        <w:t xml:space="preserve">ՈԼՈՐՏԱՅԻՆ </w:t>
      </w:r>
      <w:r w:rsidR="00E85612" w:rsidRPr="006141F5">
        <w:rPr>
          <w:rFonts w:eastAsiaTheme="majorEastAsia" w:cstheme="majorBidi"/>
          <w:bCs/>
          <w:color w:val="1F497D" w:themeColor="text2"/>
          <w:sz w:val="24"/>
          <w:lang w:val="hy-AM" w:eastAsia="en-US"/>
        </w:rPr>
        <w:t>ԾԱԽՍԵՐՆ ԸՍՏ ԲՅՈՒՋԵՏԱՅԻՆ ԳԼԽԱՎՈՐ ԿԱՐԳԱԴՐԻՉՆԵՐԻ</w:t>
      </w:r>
      <w:bookmarkEnd w:id="292"/>
    </w:p>
    <w:p w14:paraId="27F0AD79" w14:textId="77777777" w:rsidR="00F278C8" w:rsidRPr="00DD17FC" w:rsidRDefault="00F278C8" w:rsidP="00AC1E1E">
      <w:pPr>
        <w:keepNext/>
        <w:tabs>
          <w:tab w:val="left" w:pos="709"/>
        </w:tabs>
        <w:rPr>
          <w:rFonts w:eastAsia="Calibri" w:cs="GHEA Grapalat"/>
          <w:bCs/>
          <w:color w:val="FF0000"/>
          <w:sz w:val="24"/>
          <w:lang w:val="af-ZA" w:eastAsia="en-US"/>
        </w:rPr>
      </w:pPr>
    </w:p>
    <w:p w14:paraId="573BD53F" w14:textId="77777777" w:rsidR="00442DED" w:rsidRPr="006141F5" w:rsidRDefault="00E42A8A" w:rsidP="00AC1E1E">
      <w:pPr>
        <w:pStyle w:val="Heading1"/>
        <w:rPr>
          <w:bCs w:val="0"/>
        </w:rPr>
      </w:pPr>
      <w:bookmarkStart w:id="293" w:name="_Toc57655473"/>
      <w:bookmarkStart w:id="294" w:name="_Toc153184493"/>
      <w:r w:rsidRPr="006141F5">
        <w:t>Հանրային իշխանության</w:t>
      </w:r>
      <w:r w:rsidR="00442DED" w:rsidRPr="006141F5">
        <w:t xml:space="preserve"> մարմինների պահպանման ծախսեր</w:t>
      </w:r>
      <w:bookmarkEnd w:id="293"/>
      <w:bookmarkEnd w:id="294"/>
    </w:p>
    <w:p w14:paraId="2D70A702" w14:textId="77777777" w:rsidR="00924667" w:rsidRPr="007955BB" w:rsidRDefault="00924667" w:rsidP="00AC1E1E">
      <w:pPr>
        <w:rPr>
          <w:rFonts w:eastAsia="Calibri"/>
          <w:b w:val="0"/>
          <w:szCs w:val="22"/>
          <w:lang w:val="hy-AM"/>
        </w:rPr>
      </w:pPr>
      <w:r w:rsidRPr="007955BB">
        <w:rPr>
          <w:rFonts w:eastAsia="Calibri"/>
          <w:b w:val="0"/>
          <w:szCs w:val="22"/>
          <w:lang w:val="hy-AM"/>
        </w:rPr>
        <w:t xml:space="preserve">Ոլորտը ներառում է Սահմանադրությամբ և օրենքով ստեղծված պետական մարմինների պահպանմանն ուղղված բյուջետային ծրագրերի ու միջոցառումների շրջանակը, որն ընդգրկում է պետական իշխանության մարմինների (օրենսդիր, գործադիր և դատական), Սահմանադրությամբ և օրենքով ստեղծված ինքնավար և անկախ մարմինների ընթացիկ պահպանումը և տեխնիկական միջոցներով ապահովումը: </w:t>
      </w:r>
    </w:p>
    <w:p w14:paraId="55C3B864" w14:textId="0D826B4D" w:rsidR="003D07C3" w:rsidRPr="005D0030" w:rsidRDefault="000D0C18" w:rsidP="00AC1E1E">
      <w:pPr>
        <w:rPr>
          <w:rFonts w:eastAsia="Calibri"/>
          <w:b w:val="0"/>
          <w:szCs w:val="22"/>
          <w:lang w:val="hy-AM"/>
        </w:rPr>
      </w:pPr>
      <w:r w:rsidRPr="000D0C18">
        <w:rPr>
          <w:rFonts w:eastAsia="Calibri"/>
          <w:b w:val="0"/>
          <w:szCs w:val="22"/>
          <w:lang w:val="hy-AM"/>
        </w:rPr>
        <w:t>Հանրային իշխանության</w:t>
      </w:r>
      <w:r w:rsidR="003D07C3" w:rsidRPr="000D0C18">
        <w:rPr>
          <w:rFonts w:eastAsia="Calibri"/>
          <w:b w:val="0"/>
          <w:szCs w:val="22"/>
          <w:lang w:val="hy-AM"/>
        </w:rPr>
        <w:t xml:space="preserve"> մարմինների պահպանման </w:t>
      </w:r>
      <w:r w:rsidR="003D07C3" w:rsidRPr="005D0030">
        <w:rPr>
          <w:rFonts w:eastAsia="Calibri"/>
          <w:b w:val="0"/>
          <w:szCs w:val="22"/>
          <w:lang w:val="hy-AM"/>
        </w:rPr>
        <w:t>ծախսերի ընդհանուր գումարը ՀՀ 202</w:t>
      </w:r>
      <w:r w:rsidRPr="005D0030">
        <w:rPr>
          <w:rFonts w:eastAsia="Calibri"/>
          <w:b w:val="0"/>
          <w:szCs w:val="22"/>
          <w:lang w:val="hy-AM"/>
        </w:rPr>
        <w:t>4</w:t>
      </w:r>
      <w:r w:rsidR="003D07C3" w:rsidRPr="005D0030">
        <w:rPr>
          <w:rFonts w:eastAsia="Calibri"/>
          <w:b w:val="0"/>
          <w:szCs w:val="22"/>
          <w:lang w:val="hy-AM"/>
        </w:rPr>
        <w:t xml:space="preserve"> թվականի պետական բյուջեում ծրագրավորված է 1</w:t>
      </w:r>
      <w:r w:rsidR="003F238B" w:rsidRPr="005D0030">
        <w:rPr>
          <w:rFonts w:eastAsia="Calibri"/>
          <w:b w:val="0"/>
          <w:szCs w:val="22"/>
          <w:lang w:val="hy-AM"/>
        </w:rPr>
        <w:t>5</w:t>
      </w:r>
      <w:r w:rsidR="00832729" w:rsidRPr="00832729">
        <w:rPr>
          <w:rFonts w:eastAsia="Calibri"/>
          <w:b w:val="0"/>
          <w:szCs w:val="22"/>
          <w:lang w:val="hy-AM"/>
        </w:rPr>
        <w:t>8</w:t>
      </w:r>
      <w:r w:rsidR="003D07C3" w:rsidRPr="005D0030">
        <w:rPr>
          <w:rFonts w:eastAsia="Calibri"/>
          <w:b w:val="0"/>
          <w:szCs w:val="22"/>
          <w:lang w:val="hy-AM"/>
        </w:rPr>
        <w:t>,</w:t>
      </w:r>
      <w:r w:rsidR="00832729" w:rsidRPr="00832729">
        <w:rPr>
          <w:rFonts w:eastAsia="Calibri"/>
          <w:b w:val="0"/>
          <w:szCs w:val="22"/>
          <w:lang w:val="hy-AM"/>
        </w:rPr>
        <w:t>568</w:t>
      </w:r>
      <w:r w:rsidR="003D07C3" w:rsidRPr="005D0030">
        <w:rPr>
          <w:rFonts w:eastAsia="Calibri"/>
          <w:b w:val="0"/>
          <w:szCs w:val="22"/>
          <w:lang w:val="hy-AM"/>
        </w:rPr>
        <w:t>.</w:t>
      </w:r>
      <w:r w:rsidR="00832729" w:rsidRPr="00832729">
        <w:rPr>
          <w:rFonts w:eastAsia="Calibri"/>
          <w:b w:val="0"/>
          <w:szCs w:val="22"/>
          <w:lang w:val="hy-AM"/>
        </w:rPr>
        <w:t>2</w:t>
      </w:r>
      <w:r w:rsidR="003D07C3" w:rsidRPr="005D0030">
        <w:rPr>
          <w:rFonts w:eastAsia="Calibri"/>
          <w:b w:val="0"/>
          <w:szCs w:val="22"/>
          <w:lang w:val="hy-AM"/>
        </w:rPr>
        <w:t xml:space="preserve"> մլն դրամի չափով, որը 202</w:t>
      </w:r>
      <w:r w:rsidRPr="005D0030">
        <w:rPr>
          <w:rFonts w:eastAsia="Calibri"/>
          <w:b w:val="0"/>
          <w:szCs w:val="22"/>
          <w:lang w:val="hy-AM"/>
        </w:rPr>
        <w:t>2</w:t>
      </w:r>
      <w:r w:rsidR="003D07C3" w:rsidRPr="005D0030">
        <w:rPr>
          <w:rFonts w:eastAsia="Calibri"/>
          <w:b w:val="0"/>
          <w:szCs w:val="22"/>
          <w:lang w:val="hy-AM"/>
        </w:rPr>
        <w:t xml:space="preserve"> թվականի բյուջետային տարվա փաստացի և 202</w:t>
      </w:r>
      <w:r w:rsidRPr="005D0030">
        <w:rPr>
          <w:rFonts w:eastAsia="Calibri"/>
          <w:b w:val="0"/>
          <w:szCs w:val="22"/>
          <w:lang w:val="hy-AM"/>
        </w:rPr>
        <w:t>3</w:t>
      </w:r>
      <w:r w:rsidR="003D07C3" w:rsidRPr="005D0030">
        <w:rPr>
          <w:rFonts w:eastAsia="Calibri"/>
          <w:b w:val="0"/>
          <w:szCs w:val="22"/>
          <w:lang w:val="hy-AM"/>
        </w:rPr>
        <w:t xml:space="preserve"> թվականի բյուջետային տարվա համար հաստատված համապատասխան ցուցանիշների նկատմամբ կազմում է համապատասխանաբար 1</w:t>
      </w:r>
      <w:r w:rsidR="00832729">
        <w:rPr>
          <w:rFonts w:eastAsia="Calibri"/>
          <w:b w:val="0"/>
          <w:szCs w:val="22"/>
          <w:lang w:val="hy-AM"/>
        </w:rPr>
        <w:t>18</w:t>
      </w:r>
      <w:r w:rsidR="003D07C3" w:rsidRPr="005D0030">
        <w:rPr>
          <w:rFonts w:eastAsia="Calibri"/>
          <w:b w:val="0"/>
          <w:szCs w:val="22"/>
          <w:lang w:val="hy-AM"/>
        </w:rPr>
        <w:t>.</w:t>
      </w:r>
      <w:r w:rsidR="00832729" w:rsidRPr="00832729">
        <w:rPr>
          <w:rFonts w:eastAsia="Calibri"/>
          <w:b w:val="0"/>
          <w:szCs w:val="22"/>
          <w:lang w:val="hy-AM"/>
        </w:rPr>
        <w:t>4</w:t>
      </w:r>
      <w:r w:rsidR="003D07C3" w:rsidRPr="005D0030">
        <w:rPr>
          <w:rFonts w:eastAsia="Calibri"/>
          <w:b w:val="0"/>
          <w:szCs w:val="22"/>
          <w:lang w:val="hy-AM"/>
        </w:rPr>
        <w:t xml:space="preserve"> և </w:t>
      </w:r>
      <w:r w:rsidR="005D0030" w:rsidRPr="005D0030">
        <w:rPr>
          <w:rFonts w:eastAsia="Calibri"/>
          <w:b w:val="0"/>
          <w:szCs w:val="22"/>
          <w:lang w:val="hy-AM"/>
        </w:rPr>
        <w:t>10</w:t>
      </w:r>
      <w:r w:rsidR="00832729" w:rsidRPr="00832729">
        <w:rPr>
          <w:rFonts w:eastAsia="Calibri"/>
          <w:b w:val="0"/>
          <w:szCs w:val="22"/>
          <w:lang w:val="hy-AM"/>
        </w:rPr>
        <w:t>4</w:t>
      </w:r>
      <w:r w:rsidR="003D07C3" w:rsidRPr="005D0030">
        <w:rPr>
          <w:rFonts w:eastAsia="Calibri"/>
          <w:b w:val="0"/>
          <w:szCs w:val="22"/>
          <w:lang w:val="hy-AM"/>
        </w:rPr>
        <w:t>.</w:t>
      </w:r>
      <w:r w:rsidR="00832729" w:rsidRPr="00832729">
        <w:rPr>
          <w:rFonts w:eastAsia="Calibri"/>
          <w:b w:val="0"/>
          <w:szCs w:val="22"/>
          <w:lang w:val="hy-AM"/>
        </w:rPr>
        <w:t>7</w:t>
      </w:r>
      <w:r w:rsidR="003D07C3" w:rsidRPr="005D0030">
        <w:rPr>
          <w:rFonts w:eastAsia="Calibri"/>
          <w:b w:val="0"/>
          <w:szCs w:val="22"/>
          <w:lang w:val="hy-AM"/>
        </w:rPr>
        <w:t xml:space="preserve"> տոկոս: Նշված ցուցանիշների համեմատությունը արտացոլված է սույն բացատրագրի N 2 աղյուսակում:</w:t>
      </w:r>
    </w:p>
    <w:p w14:paraId="5085A4CD" w14:textId="041E5560" w:rsidR="003D07C3" w:rsidRPr="003D07C3" w:rsidRDefault="003D07C3" w:rsidP="00AC1E1E">
      <w:pPr>
        <w:rPr>
          <w:rFonts w:eastAsia="Calibri"/>
          <w:b w:val="0"/>
          <w:szCs w:val="22"/>
          <w:lang w:val="hy-AM"/>
        </w:rPr>
      </w:pPr>
      <w:r w:rsidRPr="005D0030">
        <w:rPr>
          <w:rFonts w:eastAsia="Calibri"/>
          <w:b w:val="0"/>
          <w:szCs w:val="22"/>
          <w:lang w:val="hy-AM"/>
        </w:rPr>
        <w:t>ՀՀ 202</w:t>
      </w:r>
      <w:r w:rsidR="000D0C18" w:rsidRPr="005D0030">
        <w:rPr>
          <w:rFonts w:eastAsia="Calibri"/>
          <w:b w:val="0"/>
          <w:szCs w:val="22"/>
          <w:lang w:val="hy-AM"/>
        </w:rPr>
        <w:t>4</w:t>
      </w:r>
      <w:r w:rsidRPr="005D0030">
        <w:rPr>
          <w:rFonts w:eastAsia="Calibri"/>
          <w:b w:val="0"/>
          <w:szCs w:val="22"/>
          <w:lang w:val="hy-AM"/>
        </w:rPr>
        <w:t xml:space="preserve"> թվականի պետական բյուջեում ծրագրավորված </w:t>
      </w:r>
      <w:r w:rsidR="000D0C18" w:rsidRPr="005D0030">
        <w:rPr>
          <w:rFonts w:eastAsia="Calibri"/>
          <w:b w:val="0"/>
          <w:szCs w:val="22"/>
          <w:lang w:val="hy-AM"/>
        </w:rPr>
        <w:t xml:space="preserve">հանրային իշխանության </w:t>
      </w:r>
      <w:r w:rsidRPr="005D0030">
        <w:rPr>
          <w:rFonts w:eastAsia="Calibri"/>
          <w:b w:val="0"/>
          <w:szCs w:val="22"/>
          <w:lang w:val="hy-AM"/>
        </w:rPr>
        <w:t>մարմինների պահպանման ընթացիկ ծախսերը նախատեսվել են</w:t>
      </w:r>
      <w:r w:rsidR="000D0C18" w:rsidRPr="005D0030">
        <w:rPr>
          <w:rFonts w:eastAsia="Calibri"/>
          <w:b w:val="0"/>
          <w:szCs w:val="22"/>
          <w:lang w:val="hy-AM"/>
        </w:rPr>
        <w:t xml:space="preserve"> </w:t>
      </w:r>
      <w:r w:rsidRPr="005D0030">
        <w:rPr>
          <w:rFonts w:eastAsia="Calibri"/>
          <w:b w:val="0"/>
          <w:szCs w:val="22"/>
          <w:lang w:val="hy-AM"/>
        </w:rPr>
        <w:t>1</w:t>
      </w:r>
      <w:r w:rsidR="005D0030" w:rsidRPr="005D0030">
        <w:rPr>
          <w:rFonts w:eastAsia="Calibri"/>
          <w:b w:val="0"/>
          <w:szCs w:val="22"/>
          <w:lang w:val="hy-AM"/>
        </w:rPr>
        <w:t>5</w:t>
      </w:r>
      <w:r w:rsidR="00832729" w:rsidRPr="00C05226">
        <w:rPr>
          <w:rFonts w:eastAsia="Calibri"/>
          <w:b w:val="0"/>
          <w:szCs w:val="22"/>
          <w:lang w:val="hy-AM"/>
        </w:rPr>
        <w:t>6</w:t>
      </w:r>
      <w:r w:rsidRPr="005D0030">
        <w:rPr>
          <w:rFonts w:eastAsia="Calibri"/>
          <w:b w:val="0"/>
          <w:szCs w:val="22"/>
          <w:lang w:val="hy-AM"/>
        </w:rPr>
        <w:t>,</w:t>
      </w:r>
      <w:r w:rsidR="005D0030" w:rsidRPr="005D0030">
        <w:rPr>
          <w:rFonts w:eastAsia="Calibri"/>
          <w:b w:val="0"/>
          <w:szCs w:val="22"/>
          <w:lang w:val="hy-AM"/>
        </w:rPr>
        <w:t>1</w:t>
      </w:r>
      <w:r w:rsidR="00832729" w:rsidRPr="00C05226">
        <w:rPr>
          <w:rFonts w:eastAsia="Calibri"/>
          <w:b w:val="0"/>
          <w:szCs w:val="22"/>
          <w:lang w:val="hy-AM"/>
        </w:rPr>
        <w:t>98</w:t>
      </w:r>
      <w:r w:rsidRPr="005D0030">
        <w:rPr>
          <w:rFonts w:eastAsia="Calibri"/>
          <w:b w:val="0"/>
          <w:szCs w:val="22"/>
          <w:lang w:val="hy-AM"/>
        </w:rPr>
        <w:t>.</w:t>
      </w:r>
      <w:r w:rsidR="00832729" w:rsidRPr="00C05226">
        <w:rPr>
          <w:rFonts w:eastAsia="Calibri"/>
          <w:b w:val="0"/>
          <w:szCs w:val="22"/>
          <w:lang w:val="hy-AM"/>
        </w:rPr>
        <w:t>5</w:t>
      </w:r>
      <w:r w:rsidRPr="005D0030">
        <w:rPr>
          <w:rFonts w:eastAsia="Calibri"/>
          <w:b w:val="0"/>
          <w:szCs w:val="22"/>
          <w:lang w:val="hy-AM"/>
        </w:rPr>
        <w:t xml:space="preserve"> մլն դրամի չափով, իսկ ոչ ֆինանսական (կապիտալ) ակտիվների գծով ծախսերը նախատեսվել են </w:t>
      </w:r>
      <w:r w:rsidR="005D0030" w:rsidRPr="005D0030">
        <w:rPr>
          <w:rFonts w:eastAsia="Calibri"/>
          <w:b w:val="0"/>
          <w:szCs w:val="22"/>
          <w:lang w:val="hy-AM"/>
        </w:rPr>
        <w:t>2</w:t>
      </w:r>
      <w:r w:rsidRPr="005D0030">
        <w:rPr>
          <w:rFonts w:eastAsia="Calibri"/>
          <w:b w:val="0"/>
          <w:szCs w:val="22"/>
          <w:lang w:val="hy-AM"/>
        </w:rPr>
        <w:t>,</w:t>
      </w:r>
      <w:r w:rsidR="00832729">
        <w:rPr>
          <w:rFonts w:eastAsia="Calibri"/>
          <w:b w:val="0"/>
          <w:szCs w:val="22"/>
          <w:lang w:val="hy-AM"/>
        </w:rPr>
        <w:t>369</w:t>
      </w:r>
      <w:r w:rsidRPr="005D0030">
        <w:rPr>
          <w:rFonts w:eastAsia="Calibri"/>
          <w:b w:val="0"/>
          <w:szCs w:val="22"/>
          <w:lang w:val="hy-AM"/>
        </w:rPr>
        <w:t>.</w:t>
      </w:r>
      <w:r w:rsidR="00832729" w:rsidRPr="00C05226">
        <w:rPr>
          <w:rFonts w:eastAsia="Calibri"/>
          <w:b w:val="0"/>
          <w:szCs w:val="22"/>
          <w:lang w:val="hy-AM"/>
        </w:rPr>
        <w:t>7</w:t>
      </w:r>
      <w:r w:rsidRPr="005D0030">
        <w:rPr>
          <w:rFonts w:eastAsia="Calibri"/>
          <w:b w:val="0"/>
          <w:szCs w:val="22"/>
          <w:lang w:val="hy-AM"/>
        </w:rPr>
        <w:t xml:space="preserve"> մլն դրամի չափով` առանձին պետական մարմիններում տեխնիկական կարողությունների զարգացման</w:t>
      </w:r>
      <w:r w:rsidRPr="003D07C3">
        <w:rPr>
          <w:rFonts w:eastAsia="Calibri"/>
          <w:b w:val="0"/>
          <w:szCs w:val="22"/>
          <w:lang w:val="hy-AM"/>
        </w:rPr>
        <w:t xml:space="preserve"> նպատակով:</w:t>
      </w:r>
    </w:p>
    <w:p w14:paraId="32102976" w14:textId="77777777" w:rsidR="00924667" w:rsidRPr="007955BB" w:rsidRDefault="000D0C18" w:rsidP="00AC1E1E">
      <w:pPr>
        <w:rPr>
          <w:rFonts w:eastAsia="Calibri"/>
          <w:b w:val="0"/>
          <w:szCs w:val="22"/>
          <w:lang w:val="hy-AM"/>
        </w:rPr>
      </w:pPr>
      <w:r w:rsidRPr="000D0C18">
        <w:rPr>
          <w:rFonts w:eastAsia="Calibri"/>
          <w:b w:val="0"/>
          <w:szCs w:val="22"/>
          <w:lang w:val="hy-AM"/>
        </w:rPr>
        <w:t xml:space="preserve">Հանրային իշխանության մարմինների </w:t>
      </w:r>
      <w:r w:rsidR="00924667" w:rsidRPr="007955BB">
        <w:rPr>
          <w:rFonts w:eastAsia="Calibri"/>
          <w:b w:val="0"/>
          <w:szCs w:val="22"/>
          <w:lang w:val="hy-AM"/>
        </w:rPr>
        <w:t xml:space="preserve">պահպանման ծախսերը ծրագրավորելիս դիտարկվում է Կառավարության ծրագրով նախանշված ուղղություններին և նպատակներին դրանց համապատասխանությունը, ինչպես նաև հաշվի են առնվում պետական կառավարման համակարգի ինստիտուցիոնալ բարեփոխումները՝ համաձայն առանձին ոլորտների ռազմավարական ծրագրերի: </w:t>
      </w:r>
    </w:p>
    <w:p w14:paraId="3113574E" w14:textId="77777777" w:rsidR="00924667" w:rsidRPr="007955BB" w:rsidRDefault="00924667" w:rsidP="00AC1E1E">
      <w:pPr>
        <w:rPr>
          <w:rFonts w:eastAsia="Calibri"/>
          <w:b w:val="0"/>
          <w:szCs w:val="22"/>
          <w:lang w:val="hy-AM"/>
        </w:rPr>
      </w:pPr>
      <w:r w:rsidRPr="007955BB">
        <w:rPr>
          <w:rFonts w:eastAsia="Calibri"/>
          <w:b w:val="0"/>
          <w:szCs w:val="22"/>
          <w:lang w:val="hy-AM"/>
        </w:rPr>
        <w:t xml:space="preserve">Հանրային կառավարման համակարգի խորքային բարեփոխումների անհրաժեշտությունն ամրագրված է ՀՀ կառավարության 2021 թվականի օգոստոսի 18-ի N 1363-Ա որոշմամբ հավանության արժանացած ՀՀ կառավարության 2021-2026թթ. հնգամյա ծրագրով: Մի շարք կարևոր ռազմավարություններ ու գործողությունների ծրագրեր են ընդունվել և սկսել իրագործվել, որոնցից՝ հակակոռուպցիոն, </w:t>
      </w:r>
      <w:r w:rsidR="000D0C18" w:rsidRPr="000D0C18">
        <w:rPr>
          <w:rFonts w:eastAsia="Calibri"/>
          <w:b w:val="0"/>
          <w:szCs w:val="22"/>
          <w:lang w:val="hy-AM"/>
        </w:rPr>
        <w:t xml:space="preserve">մարդու իրավունքների, </w:t>
      </w:r>
      <w:r w:rsidR="000D0C18" w:rsidRPr="007955BB">
        <w:rPr>
          <w:rFonts w:eastAsia="Calibri"/>
          <w:b w:val="0"/>
          <w:szCs w:val="22"/>
          <w:lang w:val="hy-AM"/>
        </w:rPr>
        <w:t>դատական և իրավական բարեփոխումների</w:t>
      </w:r>
      <w:r w:rsidR="000D0C18" w:rsidRPr="000D0C18">
        <w:rPr>
          <w:rFonts w:eastAsia="Calibri"/>
          <w:b w:val="0"/>
          <w:szCs w:val="22"/>
          <w:lang w:val="hy-AM"/>
        </w:rPr>
        <w:t>,</w:t>
      </w:r>
      <w:r w:rsidR="000D0C18" w:rsidRPr="007955BB">
        <w:rPr>
          <w:rFonts w:eastAsia="Calibri"/>
          <w:b w:val="0"/>
          <w:szCs w:val="22"/>
          <w:lang w:val="hy-AM"/>
        </w:rPr>
        <w:t xml:space="preserve"> </w:t>
      </w:r>
      <w:r w:rsidRPr="007955BB">
        <w:rPr>
          <w:rFonts w:eastAsia="Calibri"/>
          <w:b w:val="0"/>
          <w:szCs w:val="22"/>
          <w:lang w:val="hy-AM"/>
        </w:rPr>
        <w:t xml:space="preserve">պետական ֆինանսների կառավարման և այլն: </w:t>
      </w:r>
    </w:p>
    <w:p w14:paraId="4E091118" w14:textId="77777777" w:rsidR="00900CEA" w:rsidRPr="007955BB" w:rsidRDefault="000D0C18" w:rsidP="00AC1E1E">
      <w:pPr>
        <w:keepNext/>
        <w:tabs>
          <w:tab w:val="left" w:pos="360"/>
        </w:tabs>
        <w:rPr>
          <w:rFonts w:eastAsia="Calibri"/>
          <w:b w:val="0"/>
          <w:szCs w:val="22"/>
          <w:lang w:val="hy-AM"/>
        </w:rPr>
      </w:pPr>
      <w:r w:rsidRPr="00AD08B5">
        <w:rPr>
          <w:rFonts w:eastAsiaTheme="majorEastAsia" w:cstheme="majorBidi"/>
          <w:bCs/>
          <w:color w:val="1F497D" w:themeColor="text2"/>
          <w:sz w:val="24"/>
          <w:lang w:val="hy-AM" w:eastAsia="en-US"/>
        </w:rPr>
        <w:t xml:space="preserve">Հանրային իշխանության </w:t>
      </w:r>
      <w:r w:rsidR="00900CEA" w:rsidRPr="00AD08B5">
        <w:rPr>
          <w:rFonts w:eastAsiaTheme="majorEastAsia" w:cstheme="majorBidi"/>
          <w:bCs/>
          <w:color w:val="1F497D" w:themeColor="text2"/>
          <w:sz w:val="24"/>
          <w:lang w:val="hy-AM" w:eastAsia="en-US"/>
        </w:rPr>
        <w:t>մարմինների պահպանման ծախսերի ծրագրավորման առանձնահատկությունները</w:t>
      </w:r>
    </w:p>
    <w:p w14:paraId="4CE1A3AE" w14:textId="0A1073A3" w:rsidR="00924667" w:rsidRDefault="000D0C18" w:rsidP="00AC1E1E">
      <w:pPr>
        <w:rPr>
          <w:rFonts w:eastAsia="Calibri"/>
          <w:b w:val="0"/>
          <w:szCs w:val="22"/>
          <w:lang w:val="hy-AM"/>
        </w:rPr>
      </w:pPr>
      <w:r w:rsidRPr="000D0C18">
        <w:rPr>
          <w:rFonts w:eastAsia="Calibri"/>
          <w:b w:val="0"/>
          <w:szCs w:val="22"/>
          <w:lang w:val="hy-AM"/>
        </w:rPr>
        <w:t xml:space="preserve">Հանրային իշխանության </w:t>
      </w:r>
      <w:r w:rsidR="00924667" w:rsidRPr="007955BB">
        <w:rPr>
          <w:rFonts w:eastAsia="Calibri"/>
          <w:b w:val="0"/>
          <w:szCs w:val="22"/>
          <w:lang w:val="hy-AM"/>
        </w:rPr>
        <w:t>մարմինների պահպանման ծախսերը ՀՀ 202</w:t>
      </w:r>
      <w:r w:rsidRPr="000D0C18">
        <w:rPr>
          <w:rFonts w:eastAsia="Calibri"/>
          <w:b w:val="0"/>
          <w:szCs w:val="22"/>
          <w:lang w:val="hy-AM"/>
        </w:rPr>
        <w:t>4</w:t>
      </w:r>
      <w:r w:rsidR="00924667" w:rsidRPr="007955BB">
        <w:rPr>
          <w:rFonts w:eastAsia="Calibri"/>
          <w:b w:val="0"/>
          <w:szCs w:val="22"/>
          <w:lang w:val="hy-AM"/>
        </w:rPr>
        <w:t xml:space="preserve"> թվականի պետական բյուջեում գլխավորապես ծրագրավորվել են հիմք ընդունելով ՀՀ կառավարության 202</w:t>
      </w:r>
      <w:r w:rsidRPr="000D0C18">
        <w:rPr>
          <w:rFonts w:eastAsia="Calibri"/>
          <w:b w:val="0"/>
          <w:szCs w:val="22"/>
          <w:lang w:val="hy-AM"/>
        </w:rPr>
        <w:t>3</w:t>
      </w:r>
      <w:r w:rsidR="00924667" w:rsidRPr="007955BB">
        <w:rPr>
          <w:rFonts w:eastAsia="Calibri"/>
          <w:b w:val="0"/>
          <w:szCs w:val="22"/>
          <w:lang w:val="hy-AM"/>
        </w:rPr>
        <w:t xml:space="preserve"> թվականի </w:t>
      </w:r>
      <w:r>
        <w:rPr>
          <w:rFonts w:eastAsia="Calibri"/>
          <w:b w:val="0"/>
          <w:szCs w:val="22"/>
          <w:lang w:val="hy-AM"/>
        </w:rPr>
        <w:t>հու</w:t>
      </w:r>
      <w:r w:rsidRPr="000D0C18">
        <w:rPr>
          <w:rFonts w:eastAsia="Calibri"/>
          <w:b w:val="0"/>
          <w:szCs w:val="22"/>
          <w:lang w:val="hy-AM"/>
        </w:rPr>
        <w:t>ն</w:t>
      </w:r>
      <w:r w:rsidR="00924667" w:rsidRPr="007955BB">
        <w:rPr>
          <w:rFonts w:eastAsia="Calibri"/>
          <w:b w:val="0"/>
          <w:szCs w:val="22"/>
          <w:lang w:val="hy-AM"/>
        </w:rPr>
        <w:t xml:space="preserve">իսի </w:t>
      </w:r>
      <w:r w:rsidRPr="000D0C18">
        <w:rPr>
          <w:rFonts w:eastAsia="Calibri"/>
          <w:b w:val="0"/>
          <w:szCs w:val="22"/>
          <w:lang w:val="hy-AM"/>
        </w:rPr>
        <w:t>29</w:t>
      </w:r>
      <w:r w:rsidR="00924667" w:rsidRPr="007955BB">
        <w:rPr>
          <w:rFonts w:eastAsia="Calibri"/>
          <w:b w:val="0"/>
          <w:szCs w:val="22"/>
          <w:lang w:val="hy-AM"/>
        </w:rPr>
        <w:t>-ի N</w:t>
      </w:r>
      <w:r w:rsidR="00663975">
        <w:rPr>
          <w:rFonts w:ascii="Calibri" w:eastAsia="Calibri" w:hAnsi="Calibri" w:cs="Calibri"/>
          <w:b w:val="0"/>
          <w:szCs w:val="22"/>
          <w:lang w:val="hy-AM"/>
        </w:rPr>
        <w:t xml:space="preserve"> </w:t>
      </w:r>
      <w:r w:rsidR="00924667" w:rsidRPr="007955BB">
        <w:rPr>
          <w:rFonts w:eastAsia="Calibri"/>
          <w:b w:val="0"/>
          <w:szCs w:val="22"/>
          <w:lang w:val="hy-AM"/>
        </w:rPr>
        <w:t>10</w:t>
      </w:r>
      <w:r w:rsidRPr="000D0C18">
        <w:rPr>
          <w:rFonts w:eastAsia="Calibri"/>
          <w:b w:val="0"/>
          <w:szCs w:val="22"/>
          <w:lang w:val="hy-AM"/>
        </w:rPr>
        <w:t>82</w:t>
      </w:r>
      <w:r w:rsidR="00924667" w:rsidRPr="007955BB">
        <w:rPr>
          <w:rFonts w:eastAsia="Calibri"/>
          <w:b w:val="0"/>
          <w:szCs w:val="22"/>
          <w:lang w:val="hy-AM"/>
        </w:rPr>
        <w:t>-Ն որոշմամբ հաստատված Հայաստանի Հանրապետության 202</w:t>
      </w:r>
      <w:r w:rsidRPr="000D0C18">
        <w:rPr>
          <w:rFonts w:eastAsia="Calibri"/>
          <w:b w:val="0"/>
          <w:szCs w:val="22"/>
          <w:lang w:val="hy-AM"/>
        </w:rPr>
        <w:t>4</w:t>
      </w:r>
      <w:r w:rsidR="00924667" w:rsidRPr="007955BB">
        <w:rPr>
          <w:rFonts w:eastAsia="Calibri"/>
          <w:b w:val="0"/>
          <w:szCs w:val="22"/>
          <w:lang w:val="hy-AM"/>
        </w:rPr>
        <w:t>-202</w:t>
      </w:r>
      <w:r w:rsidRPr="000D0C18">
        <w:rPr>
          <w:rFonts w:eastAsia="Calibri"/>
          <w:b w:val="0"/>
          <w:szCs w:val="22"/>
          <w:lang w:val="hy-AM"/>
        </w:rPr>
        <w:t>6</w:t>
      </w:r>
      <w:r w:rsidR="00924667" w:rsidRPr="007955BB">
        <w:rPr>
          <w:rFonts w:eastAsia="Calibri"/>
          <w:b w:val="0"/>
          <w:szCs w:val="22"/>
          <w:lang w:val="hy-AM"/>
        </w:rPr>
        <w:t xml:space="preserve"> թվականների պետական </w:t>
      </w:r>
      <w:r w:rsidR="00E77748">
        <w:rPr>
          <w:rFonts w:eastAsia="Calibri"/>
          <w:b w:val="0"/>
          <w:szCs w:val="22"/>
          <w:lang w:val="hy-AM"/>
        </w:rPr>
        <w:t>ՄԺԾԾ</w:t>
      </w:r>
      <w:r w:rsidR="00924667" w:rsidRPr="007955BB">
        <w:rPr>
          <w:rFonts w:eastAsia="Calibri"/>
          <w:b w:val="0"/>
          <w:szCs w:val="22"/>
          <w:lang w:val="hy-AM"/>
        </w:rPr>
        <w:t xml:space="preserve"> </w:t>
      </w:r>
      <w:r w:rsidR="00924667" w:rsidRPr="007955BB">
        <w:rPr>
          <w:rFonts w:eastAsia="Calibri"/>
          <w:b w:val="0"/>
          <w:szCs w:val="22"/>
          <w:lang w:val="hy-AM"/>
        </w:rPr>
        <w:lastRenderedPageBreak/>
        <w:t xml:space="preserve">ցուցանիշները, ինչպես նաև, ըստ անհրաժեշտության, կատարվել են փոփոխություններ՝ պայմանավորված </w:t>
      </w:r>
      <w:r w:rsidR="00E77748">
        <w:rPr>
          <w:rFonts w:eastAsia="Calibri"/>
          <w:b w:val="0"/>
          <w:szCs w:val="22"/>
          <w:lang w:val="hy-AM"/>
        </w:rPr>
        <w:t>ՄԺԾԾ</w:t>
      </w:r>
      <w:r w:rsidR="00924667" w:rsidRPr="007955BB">
        <w:rPr>
          <w:rFonts w:eastAsia="Calibri"/>
          <w:b w:val="0"/>
          <w:szCs w:val="22"/>
          <w:lang w:val="hy-AM"/>
        </w:rPr>
        <w:t xml:space="preserve"> ընդունումից հետո պահպանման ծախսերին առնչվող օրենսդրական և իրավական ակտերում կատարված փոփոխություններով: </w:t>
      </w:r>
    </w:p>
    <w:p w14:paraId="07511B83" w14:textId="2494CE41" w:rsidR="006857DB" w:rsidRPr="00E4306F" w:rsidRDefault="006857DB" w:rsidP="00AC1E1E">
      <w:pPr>
        <w:rPr>
          <w:rFonts w:eastAsia="Calibri"/>
          <w:b w:val="0"/>
          <w:szCs w:val="22"/>
          <w:lang w:val="hy-AM"/>
        </w:rPr>
      </w:pPr>
      <w:r w:rsidRPr="00E4306F">
        <w:rPr>
          <w:rFonts w:eastAsia="Calibri"/>
          <w:b w:val="0"/>
          <w:szCs w:val="22"/>
          <w:lang w:val="hy-AM"/>
        </w:rPr>
        <w:t>«Հայաստանի Հանրապետության շրջակա միջավայրի պահպանության ծառայության մասին» ՀՀ օրենքով (</w:t>
      </w:r>
      <w:r w:rsidR="00EF51B3" w:rsidRPr="00E4306F">
        <w:rPr>
          <w:rFonts w:eastAsia="Calibri"/>
          <w:b w:val="0"/>
          <w:szCs w:val="22"/>
          <w:lang w:val="hy-AM"/>
        </w:rPr>
        <w:t xml:space="preserve">22.11.2023թ. </w:t>
      </w:r>
      <w:r w:rsidRPr="00E4306F">
        <w:rPr>
          <w:rFonts w:eastAsia="Calibri"/>
          <w:b w:val="0"/>
          <w:szCs w:val="22"/>
          <w:lang w:val="hy-AM"/>
        </w:rPr>
        <w:t xml:space="preserve">ԱԺ կողմից ընդունվել է 2-րդ ընթերցմամբ) նախատեսվում է ստեղծել Շրջակա միջավայրի պահպանության ծառայություն, որի պահպանման ծախսերը </w:t>
      </w:r>
      <w:r w:rsidRPr="007955BB">
        <w:rPr>
          <w:rFonts w:eastAsia="Calibri"/>
          <w:b w:val="0"/>
          <w:szCs w:val="22"/>
          <w:lang w:val="hy-AM"/>
        </w:rPr>
        <w:t>ՀՀ 202</w:t>
      </w:r>
      <w:r w:rsidRPr="000D0C18">
        <w:rPr>
          <w:rFonts w:eastAsia="Calibri"/>
          <w:b w:val="0"/>
          <w:szCs w:val="22"/>
          <w:lang w:val="hy-AM"/>
        </w:rPr>
        <w:t>4</w:t>
      </w:r>
      <w:r w:rsidRPr="007955BB">
        <w:rPr>
          <w:rFonts w:eastAsia="Calibri"/>
          <w:b w:val="0"/>
          <w:szCs w:val="22"/>
          <w:lang w:val="hy-AM"/>
        </w:rPr>
        <w:t xml:space="preserve"> թվականի պետական բյուջեում</w:t>
      </w:r>
      <w:r w:rsidRPr="00E4306F">
        <w:rPr>
          <w:rFonts w:eastAsia="Calibri"/>
          <w:b w:val="0"/>
          <w:szCs w:val="22"/>
          <w:lang w:val="hy-AM"/>
        </w:rPr>
        <w:t xml:space="preserve"> ընդգրկվել են ՀՀ շրջակա միջավայրի նախարարության անտառային կոմիտեի պահպանման ծախսերում:</w:t>
      </w:r>
    </w:p>
    <w:p w14:paraId="4D992723" w14:textId="617A97C5" w:rsidR="00924667" w:rsidRPr="007955BB" w:rsidRDefault="00924667" w:rsidP="00AC1E1E">
      <w:pPr>
        <w:rPr>
          <w:rFonts w:eastAsia="Calibri"/>
          <w:b w:val="0"/>
          <w:szCs w:val="22"/>
          <w:lang w:val="hy-AM"/>
        </w:rPr>
      </w:pPr>
      <w:r w:rsidRPr="007955BB">
        <w:rPr>
          <w:rFonts w:eastAsia="Calibri"/>
          <w:b w:val="0"/>
          <w:szCs w:val="22"/>
          <w:lang w:val="hy-AM"/>
        </w:rPr>
        <w:t>ՀՀ 202</w:t>
      </w:r>
      <w:r w:rsidR="000D0C18" w:rsidRPr="000D0C18">
        <w:rPr>
          <w:rFonts w:eastAsia="Calibri"/>
          <w:b w:val="0"/>
          <w:szCs w:val="22"/>
          <w:lang w:val="hy-AM"/>
        </w:rPr>
        <w:t>4</w:t>
      </w:r>
      <w:r w:rsidRPr="007955BB">
        <w:rPr>
          <w:rFonts w:eastAsia="Calibri"/>
          <w:b w:val="0"/>
          <w:szCs w:val="22"/>
          <w:lang w:val="hy-AM"/>
        </w:rPr>
        <w:t xml:space="preserve"> թվականի պետական բյուջեում </w:t>
      </w:r>
      <w:r w:rsidR="000D0C18" w:rsidRPr="000D0C18">
        <w:rPr>
          <w:rFonts w:eastAsia="Calibri"/>
          <w:b w:val="0"/>
          <w:szCs w:val="22"/>
          <w:lang w:val="hy-AM"/>
        </w:rPr>
        <w:t xml:space="preserve">հանրային իշխանության </w:t>
      </w:r>
      <w:r w:rsidRPr="007955BB">
        <w:rPr>
          <w:rFonts w:eastAsia="Calibri"/>
          <w:b w:val="0"/>
          <w:szCs w:val="22"/>
          <w:lang w:val="hy-AM"/>
        </w:rPr>
        <w:t xml:space="preserve">մարմինների պահպանման ծախսերը հաշվարկելիս հաշվի են առնվել կառուցվածքային և գործառութային կարգավորումների արդյունքում ՀՀ վարչապետի որոշմամբ հաստատված համապատասխան մարմինների աշխատողների առավելագույն թվաքանակի փոփոխությունները։ </w:t>
      </w:r>
    </w:p>
    <w:p w14:paraId="077F4C8D" w14:textId="61C3C9C5" w:rsidR="00924667" w:rsidRDefault="00924667" w:rsidP="00AC1E1E">
      <w:pPr>
        <w:rPr>
          <w:rFonts w:eastAsia="Calibri"/>
          <w:b w:val="0"/>
          <w:szCs w:val="22"/>
          <w:lang w:val="hy-AM"/>
        </w:rPr>
      </w:pPr>
      <w:r w:rsidRPr="007955BB">
        <w:rPr>
          <w:rFonts w:eastAsia="Calibri"/>
          <w:b w:val="0"/>
          <w:szCs w:val="22"/>
          <w:lang w:val="hy-AM"/>
        </w:rPr>
        <w:t>ՀՀ</w:t>
      </w:r>
      <w:r w:rsidR="000D0C18">
        <w:rPr>
          <w:rFonts w:eastAsia="Calibri"/>
          <w:b w:val="0"/>
          <w:szCs w:val="22"/>
          <w:lang w:val="hy-AM"/>
        </w:rPr>
        <w:t xml:space="preserve"> 202</w:t>
      </w:r>
      <w:r w:rsidR="000D0C18" w:rsidRPr="000D0C18">
        <w:rPr>
          <w:rFonts w:eastAsia="Calibri"/>
          <w:b w:val="0"/>
          <w:szCs w:val="22"/>
          <w:lang w:val="hy-AM"/>
        </w:rPr>
        <w:t>4</w:t>
      </w:r>
      <w:r w:rsidRPr="007955BB">
        <w:rPr>
          <w:rFonts w:eastAsia="Calibri"/>
          <w:b w:val="0"/>
          <w:szCs w:val="22"/>
          <w:lang w:val="hy-AM"/>
        </w:rPr>
        <w:t xml:space="preserve"> թվականի պետական բյուջեում պետական մարմինների պահպանման ծախսերը հաշվարկվել են հիմք ընդունելով </w:t>
      </w:r>
      <w:r w:rsidR="00B1061A">
        <w:rPr>
          <w:rFonts w:eastAsia="Calibri"/>
          <w:b w:val="0"/>
          <w:szCs w:val="22"/>
          <w:lang w:val="hy-AM"/>
        </w:rPr>
        <w:t>20</w:t>
      </w:r>
      <w:r w:rsidR="00C05226" w:rsidRPr="00C05226">
        <w:rPr>
          <w:rFonts w:eastAsia="Calibri"/>
          <w:b w:val="0"/>
          <w:szCs w:val="22"/>
          <w:lang w:val="hy-AM"/>
        </w:rPr>
        <w:t>1</w:t>
      </w:r>
      <w:r w:rsidR="00B1061A">
        <w:rPr>
          <w:rFonts w:eastAsia="Calibri"/>
          <w:b w:val="0"/>
          <w:szCs w:val="22"/>
          <w:lang w:val="hy-AM"/>
        </w:rPr>
        <w:t>59</w:t>
      </w:r>
      <w:r w:rsidRPr="007955BB">
        <w:rPr>
          <w:rFonts w:eastAsia="Calibri"/>
          <w:b w:val="0"/>
          <w:szCs w:val="22"/>
          <w:lang w:val="hy-AM"/>
        </w:rPr>
        <w:t xml:space="preserve"> հաստիքային միավորների քանակը, որը 202</w:t>
      </w:r>
      <w:r w:rsidR="000D0C18" w:rsidRPr="000D0C18">
        <w:rPr>
          <w:rFonts w:eastAsia="Calibri"/>
          <w:b w:val="0"/>
          <w:szCs w:val="22"/>
          <w:lang w:val="hy-AM"/>
        </w:rPr>
        <w:t>3</w:t>
      </w:r>
      <w:r w:rsidRPr="007955BB">
        <w:rPr>
          <w:rFonts w:eastAsia="Calibri"/>
          <w:b w:val="0"/>
          <w:szCs w:val="22"/>
          <w:lang w:val="hy-AM"/>
        </w:rPr>
        <w:t xml:space="preserve"> թվականի համեմատ </w:t>
      </w:r>
      <w:r w:rsidR="00B1061A">
        <w:rPr>
          <w:rFonts w:eastAsia="Calibri"/>
          <w:b w:val="0"/>
          <w:szCs w:val="22"/>
          <w:lang w:val="hy-AM"/>
        </w:rPr>
        <w:t>նվազել է</w:t>
      </w:r>
      <w:r w:rsidR="00E23C79">
        <w:rPr>
          <w:rFonts w:eastAsia="Calibri"/>
          <w:b w:val="0"/>
          <w:szCs w:val="22"/>
          <w:lang w:val="hy-AM"/>
        </w:rPr>
        <w:t xml:space="preserve"> </w:t>
      </w:r>
      <w:r w:rsidR="00C05226" w:rsidRPr="00C05226">
        <w:rPr>
          <w:rFonts w:eastAsia="Calibri"/>
          <w:b w:val="0"/>
          <w:szCs w:val="22"/>
          <w:lang w:val="hy-AM"/>
        </w:rPr>
        <w:t>4</w:t>
      </w:r>
      <w:r w:rsidR="00B1061A">
        <w:rPr>
          <w:rFonts w:eastAsia="Calibri"/>
          <w:b w:val="0"/>
          <w:szCs w:val="22"/>
          <w:lang w:val="hy-AM"/>
        </w:rPr>
        <w:t>26</w:t>
      </w:r>
      <w:r w:rsidRPr="007955BB">
        <w:rPr>
          <w:rFonts w:eastAsia="Calibri"/>
          <w:b w:val="0"/>
          <w:szCs w:val="22"/>
          <w:lang w:val="hy-AM"/>
        </w:rPr>
        <w:t xml:space="preserve"> միավորով: </w:t>
      </w:r>
    </w:p>
    <w:p w14:paraId="762B17A3" w14:textId="0940EFB9" w:rsidR="00C4623A" w:rsidRPr="00C4623A" w:rsidRDefault="00C4623A" w:rsidP="00AC1E1E">
      <w:pPr>
        <w:rPr>
          <w:rFonts w:eastAsia="Calibri"/>
          <w:b w:val="0"/>
          <w:szCs w:val="22"/>
          <w:lang w:val="hy-AM"/>
        </w:rPr>
      </w:pPr>
      <w:r w:rsidRPr="00C4623A">
        <w:rPr>
          <w:rFonts w:eastAsia="Calibri"/>
          <w:b w:val="0"/>
          <w:szCs w:val="22"/>
          <w:lang w:val="hy-AM"/>
        </w:rPr>
        <w:t>ՀՀ վարչապետի 30.11.2023թ. N 1080-Ա որոշմամբ Հայաստանի Հանրապետության մարզպետների աշխատակազմերի հաստիքների առավելագույն թիվը նվազեցվել է 209 միավորով: Հաշվի առնելով, որ նշված որոշումն ուժի մեջ է մտնելու 2024 թվականի հունվարի 3-ից, ծախսերը համապատասխանաբար կնվազեցվեն 2024 թվականի ընթացքում՝ կրճատված աշխատակիցների նկատմամբ օրենսդրական պարտավորություններն ապահովելուց հետո:</w:t>
      </w:r>
    </w:p>
    <w:p w14:paraId="39A860BD" w14:textId="77777777" w:rsidR="00924667" w:rsidRPr="007955BB" w:rsidRDefault="00924667" w:rsidP="00AC1E1E">
      <w:pPr>
        <w:rPr>
          <w:rFonts w:eastAsia="Calibri"/>
          <w:b w:val="0"/>
          <w:szCs w:val="22"/>
          <w:lang w:val="hy-AM"/>
        </w:rPr>
      </w:pPr>
      <w:r w:rsidRPr="007955BB">
        <w:rPr>
          <w:rFonts w:eastAsia="Calibri"/>
          <w:b w:val="0"/>
          <w:szCs w:val="22"/>
          <w:lang w:val="hy-AM"/>
        </w:rPr>
        <w:t>ՀՀ պետական մարմինների աշխատողների թվաքանակի փոփոխությունը արտացոլված է սույն բացատրագրի N 2ա աղյուսակում:</w:t>
      </w:r>
    </w:p>
    <w:p w14:paraId="0B941040" w14:textId="77777777" w:rsidR="00924667" w:rsidRPr="007955BB" w:rsidRDefault="00924667" w:rsidP="00AC1E1E">
      <w:pPr>
        <w:rPr>
          <w:rFonts w:eastAsia="Calibri"/>
          <w:b w:val="0"/>
          <w:szCs w:val="22"/>
          <w:lang w:val="hy-AM"/>
        </w:rPr>
      </w:pPr>
      <w:r w:rsidRPr="007955BB">
        <w:rPr>
          <w:rFonts w:eastAsia="Calibri"/>
          <w:b w:val="0"/>
          <w:szCs w:val="22"/>
          <w:lang w:val="hy-AM"/>
        </w:rPr>
        <w:t>Ծախսերի ծրագրավորման սկզբունքները ըստ առանձին ծախսային ուղղությունների.</w:t>
      </w:r>
    </w:p>
    <w:p w14:paraId="4A4015B5" w14:textId="77777777" w:rsidR="00924667" w:rsidRPr="00AD08B5" w:rsidRDefault="00924667" w:rsidP="00AC1E1E">
      <w:pPr>
        <w:keepNext/>
        <w:tabs>
          <w:tab w:val="left" w:pos="360"/>
        </w:tabs>
        <w:rPr>
          <w:rFonts w:eastAsiaTheme="majorEastAsia" w:cstheme="majorBidi"/>
          <w:bCs/>
          <w:color w:val="1F497D" w:themeColor="text2"/>
          <w:sz w:val="24"/>
          <w:lang w:val="hy-AM" w:eastAsia="en-US"/>
        </w:rPr>
      </w:pPr>
      <w:r w:rsidRPr="00AD08B5">
        <w:rPr>
          <w:rFonts w:eastAsiaTheme="majorEastAsia" w:cstheme="majorBidi"/>
          <w:bCs/>
          <w:color w:val="1F497D" w:themeColor="text2"/>
          <w:sz w:val="24"/>
          <w:lang w:val="hy-AM" w:eastAsia="en-US"/>
        </w:rPr>
        <w:t>Աշխատավարձի ֆոնդ</w:t>
      </w:r>
    </w:p>
    <w:p w14:paraId="178D8BE9" w14:textId="77777777" w:rsidR="00924667" w:rsidRPr="007955BB" w:rsidRDefault="000D0C18" w:rsidP="00AC1E1E">
      <w:pPr>
        <w:rPr>
          <w:rFonts w:eastAsia="Calibri"/>
          <w:b w:val="0"/>
          <w:szCs w:val="22"/>
          <w:lang w:val="hy-AM"/>
        </w:rPr>
      </w:pPr>
      <w:r w:rsidRPr="000D0C18">
        <w:rPr>
          <w:rFonts w:eastAsia="Calibri"/>
          <w:b w:val="0"/>
          <w:szCs w:val="22"/>
          <w:lang w:val="hy-AM"/>
        </w:rPr>
        <w:t xml:space="preserve">Հանրային իշխանության </w:t>
      </w:r>
      <w:r w:rsidR="00924667" w:rsidRPr="007955BB">
        <w:rPr>
          <w:rFonts w:eastAsia="Calibri"/>
          <w:b w:val="0"/>
          <w:szCs w:val="22"/>
          <w:lang w:val="hy-AM"/>
        </w:rPr>
        <w:t>մարմինների պահպանման ծախսերում աշխատավարձի ֆոնդում ներառվում են ինչպես աշխատողներին վճարվող հիմնական աշխատավարձերը, հավելումներն ու հավելավճարները, այնպես էլ պարգևատրման և դրամական խրախուսման համար օրենսդրությամբ նախատեսված միջոցները: Աշխատավարձի ֆոնդը հաշվարկվել է «Պետական պաշտոններ և պետական ծառայության պաշտոններ զբաղեցնող անձանց վարձատրության մասին» ՀՀ օրենքի դրույթներին և ՀՀ կառավարության 2014 թվականի հուլիսի 3-ի «Պետական իշխանության մարմիններում քաղաքա</w:t>
      </w:r>
      <w:r w:rsidR="00924667" w:rsidRPr="007955BB">
        <w:rPr>
          <w:rFonts w:eastAsia="Calibri"/>
          <w:b w:val="0"/>
          <w:szCs w:val="22"/>
          <w:lang w:val="hy-AM"/>
        </w:rPr>
        <w:softHyphen/>
        <w:t>ցիական աշխատանք կատարող և տեխնիկական սպասարկում իրականացնող անձանց պաշտոնային դրույքաչափերը սահմանելու մասին» N 737-Ն որոշման պահանջներին համապատասխան։</w:t>
      </w:r>
    </w:p>
    <w:p w14:paraId="2C3D243D" w14:textId="77777777" w:rsidR="00924667" w:rsidRPr="007955BB" w:rsidRDefault="00924667" w:rsidP="00AC1E1E">
      <w:pPr>
        <w:rPr>
          <w:rFonts w:eastAsia="Calibri"/>
          <w:b w:val="0"/>
          <w:szCs w:val="22"/>
          <w:lang w:val="hy-AM"/>
        </w:rPr>
      </w:pPr>
      <w:r w:rsidRPr="007955BB">
        <w:rPr>
          <w:rFonts w:eastAsia="Calibri"/>
          <w:b w:val="0"/>
          <w:szCs w:val="22"/>
          <w:lang w:val="hy-AM"/>
        </w:rPr>
        <w:lastRenderedPageBreak/>
        <w:t>Աշխատավարձի ֆոնդը ծրագրավորվել է հաշվի առնելով՝ պետական պաշտոն զբաղեցնող անձանց պաշտոնային դրույքաչափերի նկատմամբ գործող օրենսդրությամբ նախատեսված հավելավճարները (դասային, դիվանագիտական աստիճանների, կոչման, աշխատանքային ստա</w:t>
      </w:r>
      <w:r w:rsidRPr="007955BB">
        <w:rPr>
          <w:rFonts w:eastAsia="Calibri"/>
          <w:b w:val="0"/>
          <w:szCs w:val="22"/>
          <w:lang w:val="hy-AM"/>
        </w:rPr>
        <w:softHyphen/>
        <w:t xml:space="preserve">ժի և այլն), հավելումները (բարձր լեռնային, ծանր, վնասակար աշխատանքների համար և այլն) և պետական ծառայողների հիմնական աշխատավարձի բնականոն աճերը, ինչպես նաև ՀՀ օրենսդրությամբ սահմանված նվազագույն աշխատավարձի չափը չգերազանցող աշխատավարձ ստացողների համար՝ «Հայաստանի Հանրապետության պաշտպանության ժամանակ զինծառայողների կյանքին կամ առողջությանը պատճառված վնասների հատուցման մասին» ՀՀ օրենքով սահմանված դրոշմանիշային վճարի գումարը </w:t>
      </w:r>
      <w:bookmarkStart w:id="295" w:name="_Hlk51424056"/>
      <w:r w:rsidRPr="007955BB">
        <w:rPr>
          <w:rFonts w:eastAsia="Calibri"/>
          <w:b w:val="0"/>
          <w:szCs w:val="22"/>
          <w:lang w:val="hy-AM"/>
        </w:rPr>
        <w:t>և «Նվազագույն ամսական աշխատավարձի մասին» ՀՀ</w:t>
      </w:r>
      <w:bookmarkEnd w:id="295"/>
      <w:r w:rsidRPr="007955BB">
        <w:rPr>
          <w:rFonts w:eastAsia="Calibri"/>
          <w:b w:val="0"/>
          <w:szCs w:val="22"/>
          <w:lang w:val="hy-AM"/>
        </w:rPr>
        <w:t xml:space="preserve"> օրենքի պահանջները:</w:t>
      </w:r>
    </w:p>
    <w:p w14:paraId="40A413A6" w14:textId="77777777" w:rsidR="000D0C18" w:rsidRPr="000D0C18" w:rsidRDefault="000D0C18" w:rsidP="00AC1E1E">
      <w:pPr>
        <w:rPr>
          <w:rFonts w:eastAsia="Calibri"/>
          <w:b w:val="0"/>
          <w:szCs w:val="22"/>
          <w:lang w:val="hy-AM"/>
        </w:rPr>
      </w:pPr>
      <w:r w:rsidRPr="000D0C18">
        <w:rPr>
          <w:rFonts w:eastAsia="Calibri"/>
          <w:b w:val="0"/>
          <w:szCs w:val="22"/>
          <w:lang w:val="hy-AM"/>
        </w:rPr>
        <w:t xml:space="preserve">2024 թվականի համար աշխատավարձի ֆոնդի հաշվարկման հիմքում բազային աշխա-տավարձի </w:t>
      </w:r>
      <w:r w:rsidR="003A5789" w:rsidRPr="003A5789">
        <w:rPr>
          <w:rFonts w:eastAsia="Calibri"/>
          <w:b w:val="0"/>
          <w:szCs w:val="22"/>
          <w:lang w:val="hy-AM"/>
        </w:rPr>
        <w:t>ցուցանիշը</w:t>
      </w:r>
      <w:r w:rsidRPr="000D0C18">
        <w:rPr>
          <w:rFonts w:eastAsia="Calibri"/>
          <w:b w:val="0"/>
          <w:szCs w:val="22"/>
          <w:lang w:val="hy-AM"/>
        </w:rPr>
        <w:t xml:space="preserve"> պահպանվել է 2023 թվականի չափով՝ 83,200.0 դրամ:</w:t>
      </w:r>
    </w:p>
    <w:p w14:paraId="719298D3" w14:textId="5E4F909F" w:rsidR="003A5789" w:rsidRPr="003A5789" w:rsidRDefault="000D0C18" w:rsidP="00AC1E1E">
      <w:pPr>
        <w:rPr>
          <w:rFonts w:eastAsia="Calibri"/>
          <w:b w:val="0"/>
          <w:szCs w:val="22"/>
          <w:lang w:val="hy-AM"/>
        </w:rPr>
      </w:pPr>
      <w:r w:rsidRPr="000D0C18">
        <w:rPr>
          <w:rFonts w:eastAsia="Calibri"/>
          <w:b w:val="0"/>
          <w:szCs w:val="22"/>
          <w:lang w:val="hy-AM"/>
        </w:rPr>
        <w:t>2024 թվականի</w:t>
      </w:r>
      <w:r w:rsidR="0055220B">
        <w:rPr>
          <w:rFonts w:eastAsia="Calibri"/>
          <w:b w:val="0"/>
          <w:szCs w:val="22"/>
          <w:lang w:val="hy-AM"/>
        </w:rPr>
        <w:t xml:space="preserve">ն </w:t>
      </w:r>
      <w:r w:rsidRPr="000D0C18">
        <w:rPr>
          <w:rFonts w:eastAsia="Calibri"/>
          <w:b w:val="0"/>
          <w:szCs w:val="22"/>
          <w:lang w:val="hy-AM"/>
        </w:rPr>
        <w:t xml:space="preserve">բոլոր </w:t>
      </w:r>
      <w:r w:rsidR="0055220B">
        <w:rPr>
          <w:rFonts w:eastAsia="Calibri"/>
          <w:b w:val="0"/>
          <w:szCs w:val="22"/>
          <w:lang w:val="hy-AM"/>
        </w:rPr>
        <w:t xml:space="preserve">մարմինների համար </w:t>
      </w:r>
      <w:r w:rsidR="003A5789">
        <w:rPr>
          <w:rFonts w:eastAsia="Calibri"/>
          <w:b w:val="0"/>
          <w:szCs w:val="22"/>
          <w:lang w:val="hy-AM"/>
        </w:rPr>
        <w:t>միասնական սկզբունքով նախատեսվել է</w:t>
      </w:r>
      <w:r w:rsidRPr="000D0C18">
        <w:rPr>
          <w:rFonts w:eastAsia="Calibri"/>
          <w:b w:val="0"/>
          <w:szCs w:val="22"/>
          <w:lang w:val="hy-AM"/>
        </w:rPr>
        <w:t xml:space="preserve"> պարգևատրման </w:t>
      </w:r>
      <w:r w:rsidR="003A5789">
        <w:rPr>
          <w:rFonts w:eastAsia="Calibri"/>
          <w:b w:val="0"/>
          <w:szCs w:val="22"/>
          <w:lang w:val="hy-AM"/>
        </w:rPr>
        <w:t>ֆոնդ</w:t>
      </w:r>
      <w:r w:rsidRPr="000D0C18">
        <w:rPr>
          <w:rFonts w:eastAsia="Calibri"/>
          <w:b w:val="0"/>
          <w:szCs w:val="22"/>
          <w:lang w:val="hy-AM"/>
        </w:rPr>
        <w:t xml:space="preserve"> (ներառյալ հանրային ծառայողների պարգևատրման ֆոնդը)</w:t>
      </w:r>
      <w:r w:rsidR="003A5789" w:rsidRPr="003A5789">
        <w:rPr>
          <w:rFonts w:eastAsia="Calibri"/>
          <w:b w:val="0"/>
          <w:szCs w:val="22"/>
          <w:lang w:val="hy-AM"/>
        </w:rPr>
        <w:t>՝</w:t>
      </w:r>
      <w:r w:rsidRPr="000D0C18">
        <w:rPr>
          <w:rFonts w:eastAsia="Calibri"/>
          <w:b w:val="0"/>
          <w:szCs w:val="22"/>
          <w:lang w:val="hy-AM"/>
        </w:rPr>
        <w:t xml:space="preserve"> հիմնական աշխատավարձի (առանց հավելումների և հավելավճարների) 16%-ի չափով: </w:t>
      </w:r>
      <w:r w:rsidR="004B0D95" w:rsidRPr="004B0D95">
        <w:rPr>
          <w:rFonts w:eastAsia="Calibri"/>
          <w:b w:val="0"/>
          <w:szCs w:val="22"/>
          <w:lang w:val="hy-AM"/>
        </w:rPr>
        <w:t>Հ</w:t>
      </w:r>
      <w:r w:rsidR="004B0D95" w:rsidRPr="000D0C18">
        <w:rPr>
          <w:rFonts w:eastAsia="Calibri"/>
          <w:b w:val="0"/>
          <w:szCs w:val="22"/>
          <w:lang w:val="hy-AM"/>
        </w:rPr>
        <w:t xml:space="preserve">աշվի առնելով </w:t>
      </w:r>
      <w:r w:rsidR="004B0D95" w:rsidRPr="004B0D95">
        <w:rPr>
          <w:rFonts w:eastAsia="Calibri"/>
          <w:b w:val="0"/>
          <w:szCs w:val="22"/>
          <w:lang w:val="hy-AM"/>
        </w:rPr>
        <w:t>առանձին պաշտոն զբաղեցնող անձանց</w:t>
      </w:r>
      <w:r w:rsidR="004B0D95" w:rsidRPr="000D0C18">
        <w:rPr>
          <w:rFonts w:eastAsia="Calibri"/>
          <w:b w:val="0"/>
          <w:szCs w:val="22"/>
          <w:lang w:val="hy-AM"/>
        </w:rPr>
        <w:t xml:space="preserve"> սահմանված պաշտոնային դրույքաչափի նկատմամբ հավելման կամ հավելավճարի բարձր տոկոսը</w:t>
      </w:r>
      <w:r w:rsidR="004B0D95" w:rsidRPr="004B0D95">
        <w:rPr>
          <w:rFonts w:eastAsia="Calibri"/>
          <w:b w:val="0"/>
          <w:szCs w:val="22"/>
          <w:lang w:val="hy-AM"/>
        </w:rPr>
        <w:t>,</w:t>
      </w:r>
      <w:r w:rsidR="004B0D95" w:rsidRPr="003A5789">
        <w:rPr>
          <w:rFonts w:eastAsia="Calibri"/>
          <w:b w:val="0"/>
          <w:szCs w:val="22"/>
          <w:lang w:val="hy-AM"/>
        </w:rPr>
        <w:t xml:space="preserve"> </w:t>
      </w:r>
      <w:r w:rsidR="004B0D95" w:rsidRPr="004B0D95">
        <w:rPr>
          <w:rFonts w:eastAsia="Calibri"/>
          <w:b w:val="0"/>
          <w:szCs w:val="22"/>
          <w:lang w:val="hy-AM"/>
        </w:rPr>
        <w:t>համապատասխան մարմինների պահպանման ծախսերում պ</w:t>
      </w:r>
      <w:r w:rsidR="003A5789" w:rsidRPr="003A5789">
        <w:rPr>
          <w:rFonts w:eastAsia="Calibri"/>
          <w:b w:val="0"/>
          <w:szCs w:val="22"/>
          <w:lang w:val="hy-AM"/>
        </w:rPr>
        <w:t xml:space="preserve">արգևատրման միջոցներ չեն նախատեսվել </w:t>
      </w:r>
      <w:r w:rsidR="004B0D95" w:rsidRPr="004B0D95">
        <w:rPr>
          <w:rFonts w:eastAsia="Calibri"/>
          <w:b w:val="0"/>
          <w:szCs w:val="22"/>
          <w:lang w:val="hy-AM"/>
        </w:rPr>
        <w:t>հետևյալ</w:t>
      </w:r>
      <w:r w:rsidR="003A5789" w:rsidRPr="003A5789">
        <w:rPr>
          <w:rFonts w:eastAsia="Calibri"/>
          <w:b w:val="0"/>
          <w:szCs w:val="22"/>
          <w:lang w:val="hy-AM"/>
        </w:rPr>
        <w:t xml:space="preserve"> պաշտոն զբաղեցնող անձանց համար՝</w:t>
      </w:r>
      <w:r w:rsidRPr="000D0C18">
        <w:rPr>
          <w:rFonts w:eastAsia="Calibri"/>
          <w:b w:val="0"/>
          <w:szCs w:val="22"/>
          <w:lang w:val="hy-AM"/>
        </w:rPr>
        <w:t xml:space="preserve"> Սահմանադրական դատարանի դատավորներ</w:t>
      </w:r>
      <w:r w:rsidR="00443554">
        <w:rPr>
          <w:rFonts w:eastAsia="Calibri"/>
          <w:b w:val="0"/>
          <w:szCs w:val="22"/>
          <w:lang w:val="hy-AM"/>
        </w:rPr>
        <w:t>ի</w:t>
      </w:r>
      <w:r w:rsidRPr="000D0C18">
        <w:rPr>
          <w:rFonts w:eastAsia="Calibri"/>
          <w:b w:val="0"/>
          <w:szCs w:val="22"/>
          <w:lang w:val="hy-AM"/>
        </w:rPr>
        <w:t>, Բարձրագույն դատական խորհրդի անդամներ</w:t>
      </w:r>
      <w:r w:rsidR="00443554">
        <w:rPr>
          <w:rFonts w:eastAsia="Calibri"/>
          <w:b w:val="0"/>
          <w:szCs w:val="22"/>
          <w:lang w:val="hy-AM"/>
        </w:rPr>
        <w:t>ի</w:t>
      </w:r>
      <w:r w:rsidRPr="000D0C18">
        <w:rPr>
          <w:rFonts w:eastAsia="Calibri"/>
          <w:b w:val="0"/>
          <w:szCs w:val="22"/>
          <w:lang w:val="hy-AM"/>
        </w:rPr>
        <w:t xml:space="preserve">, Վճռաբեկ, վերաքննիչ, </w:t>
      </w:r>
      <w:r w:rsidR="00A20C0E">
        <w:rPr>
          <w:rFonts w:eastAsia="Calibri"/>
          <w:b w:val="0"/>
          <w:szCs w:val="22"/>
          <w:lang w:val="hy-AM"/>
        </w:rPr>
        <w:t xml:space="preserve">ինչպես նաև </w:t>
      </w:r>
      <w:r w:rsidRPr="000D0C18">
        <w:rPr>
          <w:rFonts w:eastAsia="Calibri"/>
          <w:b w:val="0"/>
          <w:szCs w:val="22"/>
          <w:lang w:val="hy-AM"/>
        </w:rPr>
        <w:t>առաջին ատյանի մասնագիտացված և ընդհանուր իրավասության դատարանների դատավորների, դատախազների, Քննչական կոմիտեի ինքնավար պաշտոն զբաղեցնող անձանց, Հակակոռուպցիոն կոմիտեի ինքնավար պաշտոն զբաղեցնող և օպերատիվ-հետախուզական գործառույթ իրականացնող անձանց համար</w:t>
      </w:r>
      <w:r w:rsidR="004B0D95" w:rsidRPr="004B0D95">
        <w:rPr>
          <w:rFonts w:eastAsia="Calibri"/>
          <w:b w:val="0"/>
          <w:szCs w:val="22"/>
          <w:lang w:val="hy-AM"/>
        </w:rPr>
        <w:t>:</w:t>
      </w:r>
      <w:r w:rsidRPr="000D0C18">
        <w:rPr>
          <w:rFonts w:eastAsia="Calibri"/>
          <w:b w:val="0"/>
          <w:szCs w:val="22"/>
          <w:lang w:val="hy-AM"/>
        </w:rPr>
        <w:t xml:space="preserve"> </w:t>
      </w:r>
    </w:p>
    <w:p w14:paraId="1FFDC879" w14:textId="77777777" w:rsidR="00924667" w:rsidRPr="007955BB" w:rsidRDefault="00924667" w:rsidP="00AC1E1E">
      <w:pPr>
        <w:rPr>
          <w:rFonts w:eastAsia="Calibri"/>
          <w:b w:val="0"/>
          <w:szCs w:val="22"/>
          <w:lang w:val="hy-AM"/>
        </w:rPr>
      </w:pPr>
      <w:r w:rsidRPr="007955BB">
        <w:rPr>
          <w:rFonts w:eastAsia="Calibri"/>
          <w:b w:val="0"/>
          <w:szCs w:val="22"/>
          <w:lang w:val="hy-AM"/>
        </w:rPr>
        <w:t>Աշխատավարձի ֆոնդում նախատեսվել է նաև հանրային ծառայողների պարգևատրման ֆոնդ` նրանց 202</w:t>
      </w:r>
      <w:r w:rsidR="003A5789" w:rsidRPr="003A5789">
        <w:rPr>
          <w:rFonts w:eastAsia="Calibri"/>
          <w:b w:val="0"/>
          <w:szCs w:val="22"/>
          <w:lang w:val="hy-AM"/>
        </w:rPr>
        <w:t>3</w:t>
      </w:r>
      <w:r w:rsidRPr="007955BB">
        <w:rPr>
          <w:rFonts w:eastAsia="Calibri"/>
          <w:b w:val="0"/>
          <w:szCs w:val="22"/>
          <w:lang w:val="hy-AM"/>
        </w:rPr>
        <w:t xml:space="preserve"> թվականի տարեկան աշխատավարձի ֆոնդի 10 տոկոսի չափով: </w:t>
      </w:r>
    </w:p>
    <w:p w14:paraId="66007A22" w14:textId="0F419C0A" w:rsidR="00924667" w:rsidRPr="007955BB" w:rsidRDefault="00924667" w:rsidP="00AC1E1E">
      <w:pPr>
        <w:rPr>
          <w:rFonts w:eastAsia="Calibri"/>
          <w:b w:val="0"/>
          <w:szCs w:val="22"/>
          <w:lang w:val="hy-AM"/>
        </w:rPr>
      </w:pPr>
      <w:r w:rsidRPr="007955BB">
        <w:rPr>
          <w:rFonts w:eastAsia="Calibri"/>
          <w:szCs w:val="22"/>
          <w:lang w:val="hy-AM"/>
        </w:rPr>
        <w:t>Էներգետիկ ծառայությունների</w:t>
      </w:r>
      <w:r w:rsidRPr="007955BB">
        <w:rPr>
          <w:rFonts w:eastAsia="Calibri"/>
          <w:b w:val="0"/>
          <w:szCs w:val="22"/>
          <w:lang w:val="hy-AM"/>
        </w:rPr>
        <w:t>` էլեկտրաէներգիայի, վառելիքի և ջեռուցման ծախսերը ծրագրավորվել են ՀՀ կառավարության 2005 թվականի ապրիլի 28-ի «Հայաստանի Հանրապետության պետական բյուջեի նախագծում Հայաստանի Հանրապետության պետական մարմինների գծով բյուջետային ծախսերի առանձին տեսակների ջեռուցման, վառելիքի և էլեկտրաէներգիայի ձեռքբերման ծավալների հաշվարկման հիմքում դրվող նորմաները հաստատելու մասին» N 629-Ն որոշման պահանջներին համապատասխան` հաշվի առնելով գործող սակագները։ Բնական գազի սակագինը սահմանվել է Հանրային ծառայությունները կարգավորող հանձնաժողովի 01.03.2022թ. N 83-Ն որոշմամբ (յուրաքանչյուր հազար խորանարդ մետր բնական գազի սակագինը՝ 143</w:t>
      </w:r>
      <w:r w:rsidR="006535BA">
        <w:rPr>
          <w:rFonts w:eastAsia="Calibri"/>
          <w:b w:val="0"/>
          <w:szCs w:val="22"/>
          <w:lang w:val="hy-AM"/>
        </w:rPr>
        <w:t>,</w:t>
      </w:r>
      <w:r w:rsidRPr="007955BB">
        <w:rPr>
          <w:rFonts w:eastAsia="Calibri"/>
          <w:b w:val="0"/>
          <w:szCs w:val="22"/>
          <w:lang w:val="hy-AM"/>
        </w:rPr>
        <w:t>700</w:t>
      </w:r>
      <w:r w:rsidR="006535BA" w:rsidRPr="006535BA">
        <w:rPr>
          <w:rFonts w:eastAsia="Calibri"/>
          <w:b w:val="0"/>
          <w:szCs w:val="22"/>
          <w:lang w:val="hy-AM"/>
        </w:rPr>
        <w:t>.</w:t>
      </w:r>
      <w:r w:rsidR="006535BA">
        <w:rPr>
          <w:rFonts w:eastAsia="Calibri"/>
          <w:b w:val="0"/>
          <w:szCs w:val="22"/>
          <w:lang w:val="hy-AM"/>
        </w:rPr>
        <w:t>0</w:t>
      </w:r>
      <w:r w:rsidRPr="007955BB">
        <w:rPr>
          <w:rFonts w:eastAsia="Calibri"/>
          <w:b w:val="0"/>
          <w:szCs w:val="22"/>
          <w:lang w:val="hy-AM"/>
        </w:rPr>
        <w:t xml:space="preserve"> դրամ)։ </w:t>
      </w:r>
    </w:p>
    <w:p w14:paraId="3B5A62B0" w14:textId="77777777" w:rsidR="00924667" w:rsidRPr="007955BB" w:rsidRDefault="00924667" w:rsidP="00AC1E1E">
      <w:pPr>
        <w:rPr>
          <w:rFonts w:eastAsia="Calibri"/>
          <w:b w:val="0"/>
          <w:szCs w:val="22"/>
          <w:lang w:val="hy-AM"/>
        </w:rPr>
      </w:pPr>
      <w:r w:rsidRPr="007955BB">
        <w:rPr>
          <w:rFonts w:eastAsia="Calibri"/>
          <w:b w:val="0"/>
          <w:szCs w:val="22"/>
          <w:lang w:val="hy-AM"/>
        </w:rPr>
        <w:lastRenderedPageBreak/>
        <w:t>Հանրային ծառայությունները կարգավորող հանձնաժողովի 2021 թվականի դեկտեմբերի 29-ի N 478-Ն որոշմամբ էլեկտրաէներգիայի սակագինը սահմանվել է 53.48 դրամ</w:t>
      </w:r>
      <w:r w:rsidR="00D25196">
        <w:rPr>
          <w:rFonts w:eastAsia="Calibri"/>
          <w:b w:val="0"/>
          <w:szCs w:val="22"/>
          <w:lang w:val="hy-AM"/>
        </w:rPr>
        <w:t>:</w:t>
      </w:r>
      <w:r w:rsidRPr="007955BB">
        <w:rPr>
          <w:rFonts w:eastAsia="Calibri"/>
          <w:b w:val="0"/>
          <w:szCs w:val="22"/>
          <w:lang w:val="hy-AM"/>
        </w:rPr>
        <w:t xml:space="preserve"> Էլեկտրաէներգիայի ծախսերը ծրագրավորվել են սահմանված նորմաներով հաշվարկվածի 65%-ի չափով: </w:t>
      </w:r>
    </w:p>
    <w:p w14:paraId="1588C8D7" w14:textId="77777777" w:rsidR="00924667" w:rsidRPr="007955BB" w:rsidRDefault="00924667" w:rsidP="00AC1E1E">
      <w:pPr>
        <w:rPr>
          <w:rFonts w:eastAsia="Calibri"/>
          <w:b w:val="0"/>
          <w:szCs w:val="22"/>
          <w:lang w:val="hy-AM"/>
        </w:rPr>
      </w:pPr>
      <w:r w:rsidRPr="007955BB">
        <w:rPr>
          <w:rFonts w:eastAsia="Calibri"/>
          <w:b w:val="0"/>
          <w:szCs w:val="22"/>
          <w:lang w:val="hy-AM"/>
        </w:rPr>
        <w:t>Հանրային ծառայությունները կարգավորող հանձնաժողովի 202</w:t>
      </w:r>
      <w:r w:rsidR="006516B8" w:rsidRPr="006516B8">
        <w:rPr>
          <w:rFonts w:eastAsia="Calibri"/>
          <w:b w:val="0"/>
          <w:szCs w:val="22"/>
          <w:lang w:val="hy-AM"/>
        </w:rPr>
        <w:t>2</w:t>
      </w:r>
      <w:r w:rsidRPr="007955BB">
        <w:rPr>
          <w:rFonts w:eastAsia="Calibri"/>
          <w:b w:val="0"/>
          <w:szCs w:val="22"/>
          <w:lang w:val="hy-AM"/>
        </w:rPr>
        <w:t xml:space="preserve"> թվականի նոյեմբերի</w:t>
      </w:r>
      <w:r w:rsidR="006516B8">
        <w:rPr>
          <w:rFonts w:eastAsia="Calibri"/>
          <w:b w:val="0"/>
          <w:szCs w:val="22"/>
          <w:lang w:val="hy-AM"/>
        </w:rPr>
        <w:t xml:space="preserve"> </w:t>
      </w:r>
      <w:r w:rsidR="006516B8" w:rsidRPr="006516B8">
        <w:rPr>
          <w:rFonts w:eastAsia="Calibri"/>
          <w:b w:val="0"/>
          <w:szCs w:val="22"/>
          <w:lang w:val="hy-AM"/>
        </w:rPr>
        <w:t>29</w:t>
      </w:r>
      <w:r w:rsidRPr="007955BB">
        <w:rPr>
          <w:rFonts w:eastAsia="Calibri"/>
          <w:b w:val="0"/>
          <w:szCs w:val="22"/>
          <w:lang w:val="hy-AM"/>
        </w:rPr>
        <w:t xml:space="preserve">-ի </w:t>
      </w:r>
      <w:r w:rsidR="006516B8" w:rsidRPr="006516B8">
        <w:rPr>
          <w:rFonts w:eastAsia="Calibri"/>
          <w:b w:val="0"/>
          <w:szCs w:val="22"/>
          <w:lang w:val="hy-AM"/>
        </w:rPr>
        <w:t>N</w:t>
      </w:r>
      <w:r w:rsidR="00663975">
        <w:rPr>
          <w:rFonts w:ascii="Courier New" w:eastAsia="Calibri" w:hAnsi="Courier New" w:cs="Courier New"/>
          <w:b w:val="0"/>
          <w:szCs w:val="22"/>
          <w:lang w:val="hy-AM"/>
        </w:rPr>
        <w:t xml:space="preserve"> </w:t>
      </w:r>
      <w:r w:rsidR="006516B8" w:rsidRPr="006516B8">
        <w:rPr>
          <w:rFonts w:eastAsia="Calibri"/>
          <w:b w:val="0"/>
          <w:szCs w:val="22"/>
          <w:lang w:val="hy-AM"/>
        </w:rPr>
        <w:t xml:space="preserve">519-Ն </w:t>
      </w:r>
      <w:r w:rsidRPr="007955BB">
        <w:rPr>
          <w:rFonts w:eastAsia="Calibri"/>
          <w:b w:val="0"/>
          <w:szCs w:val="22"/>
          <w:lang w:val="hy-AM"/>
        </w:rPr>
        <w:t>որոշմամբ ջրի սակագինը սահմանվել է 20</w:t>
      </w:r>
      <w:r w:rsidR="006516B8" w:rsidRPr="006516B8">
        <w:rPr>
          <w:rFonts w:eastAsia="Calibri"/>
          <w:b w:val="0"/>
          <w:szCs w:val="22"/>
          <w:lang w:val="hy-AM"/>
        </w:rPr>
        <w:t>8</w:t>
      </w:r>
      <w:r w:rsidRPr="007955BB">
        <w:rPr>
          <w:rFonts w:eastAsia="Calibri"/>
          <w:b w:val="0"/>
          <w:szCs w:val="22"/>
          <w:lang w:val="hy-AM"/>
        </w:rPr>
        <w:t>.4</w:t>
      </w:r>
      <w:r w:rsidR="006516B8" w:rsidRPr="006516B8">
        <w:rPr>
          <w:rFonts w:eastAsia="Calibri"/>
          <w:b w:val="0"/>
          <w:szCs w:val="22"/>
          <w:lang w:val="hy-AM"/>
        </w:rPr>
        <w:t>2</w:t>
      </w:r>
      <w:r w:rsidRPr="007955BB">
        <w:rPr>
          <w:rFonts w:eastAsia="Calibri"/>
          <w:b w:val="0"/>
          <w:szCs w:val="22"/>
          <w:lang w:val="hy-AM"/>
        </w:rPr>
        <w:t xml:space="preserve"> դրամ:</w:t>
      </w:r>
    </w:p>
    <w:p w14:paraId="3B8D9DD9" w14:textId="77777777" w:rsidR="00924667" w:rsidRPr="007955BB" w:rsidRDefault="00924667" w:rsidP="00AC1E1E">
      <w:pPr>
        <w:rPr>
          <w:rFonts w:eastAsia="Calibri"/>
          <w:b w:val="0"/>
          <w:szCs w:val="22"/>
          <w:lang w:val="hy-AM"/>
        </w:rPr>
      </w:pPr>
      <w:r w:rsidRPr="007955BB">
        <w:rPr>
          <w:rFonts w:eastAsia="Calibri"/>
          <w:b w:val="0"/>
          <w:szCs w:val="22"/>
          <w:lang w:val="hy-AM"/>
        </w:rPr>
        <w:t xml:space="preserve">Պետական մարմինների կողմից խմելու ջրի մատակարարման և ջրահեռացման ծառայություններից օգտվելու վարձի վճարման ծախսերը հաշվարկվել են գործող սակագներով՝ հիմք ընդունելով յուրաքանչյուր հաստիքային միավորի համար սահմանված նորմատիվը` օրական 30 լիտր (հիմք ՀՀ կառավարության 23.09.2004թ. N 1536-Ն որոշում): Բացի այդ, ՀՀ դատարանների համար ՀՀ կառավարության 2005 թվականի մայիսի 12-ի N 732-Ա որոշման պահանջներին համապատասխան նախատեսվել է նաև լրացուցիչ ծախս` ելնելով դատական նիստերի դահլիճների ընդհանուր մակերեսի մեծությունից: </w:t>
      </w:r>
    </w:p>
    <w:p w14:paraId="42ED5B15" w14:textId="77777777" w:rsidR="00924667" w:rsidRPr="007955BB" w:rsidRDefault="006516B8" w:rsidP="00AC1E1E">
      <w:pPr>
        <w:rPr>
          <w:rFonts w:eastAsia="Calibri"/>
          <w:b w:val="0"/>
          <w:szCs w:val="22"/>
          <w:lang w:val="hy-AM"/>
        </w:rPr>
      </w:pPr>
      <w:r w:rsidRPr="006516B8">
        <w:rPr>
          <w:rFonts w:eastAsia="Calibri"/>
          <w:b w:val="0"/>
          <w:szCs w:val="22"/>
          <w:lang w:val="hy-AM"/>
        </w:rPr>
        <w:t>Կոմունալ ծախսերի և կ</w:t>
      </w:r>
      <w:r w:rsidRPr="007955BB">
        <w:rPr>
          <w:rFonts w:eastAsia="Calibri"/>
          <w:b w:val="0"/>
          <w:szCs w:val="22"/>
          <w:lang w:val="hy-AM"/>
        </w:rPr>
        <w:t xml:space="preserve">ապի ծառայությունների </w:t>
      </w:r>
      <w:r w:rsidRPr="006516B8">
        <w:rPr>
          <w:rFonts w:eastAsia="Calibri"/>
          <w:b w:val="0"/>
          <w:szCs w:val="22"/>
          <w:lang w:val="hy-AM"/>
        </w:rPr>
        <w:t>ծախսերը</w:t>
      </w:r>
      <w:r w:rsidR="00924667" w:rsidRPr="007955BB">
        <w:rPr>
          <w:rFonts w:eastAsia="Calibri"/>
          <w:b w:val="0"/>
          <w:szCs w:val="22"/>
          <w:lang w:val="hy-AM"/>
        </w:rPr>
        <w:t xml:space="preserve"> հաշվարկվել են ՀՀ կառավարության 2004 թվականի սեպտեմբերի 23-ի «Հայաստանի Հանրապետության պետական մարմինների կոմունալ ծախսերի նորմաներ սահմանելու մասին» N 1536-Ն և ՀՀ կառավարության 2004 թվականի դեկտեմբերի 30-ի «Հայաստանի Հանրապետության պետական մարմիններում </w:t>
      </w:r>
      <w:r w:rsidR="00D25196" w:rsidRPr="00D25196">
        <w:rPr>
          <w:rFonts w:eastAsia="Calibri"/>
          <w:b w:val="0"/>
          <w:szCs w:val="22"/>
          <w:lang w:val="hy-AM"/>
        </w:rPr>
        <w:t xml:space="preserve">հեռախոսակապի </w:t>
      </w:r>
      <w:r w:rsidR="00924667" w:rsidRPr="007955BB">
        <w:rPr>
          <w:rFonts w:eastAsia="Calibri"/>
          <w:b w:val="0"/>
          <w:szCs w:val="22"/>
          <w:lang w:val="hy-AM"/>
        </w:rPr>
        <w:t>ծառայությ</w:t>
      </w:r>
      <w:r w:rsidR="00D25196" w:rsidRPr="00D25196">
        <w:rPr>
          <w:rFonts w:eastAsia="Calibri"/>
          <w:b w:val="0"/>
          <w:szCs w:val="22"/>
          <w:lang w:val="hy-AM"/>
        </w:rPr>
        <w:t>ան գծով ծախսի ամսական սահմանաչափի</w:t>
      </w:r>
      <w:r w:rsidR="00924667" w:rsidRPr="007955BB">
        <w:rPr>
          <w:rFonts w:eastAsia="Calibri"/>
          <w:b w:val="0"/>
          <w:szCs w:val="22"/>
          <w:lang w:val="hy-AM"/>
        </w:rPr>
        <w:t xml:space="preserve"> նորմաները և </w:t>
      </w:r>
      <w:r w:rsidR="00D25196" w:rsidRPr="00D25196">
        <w:rPr>
          <w:rFonts w:eastAsia="Calibri"/>
          <w:b w:val="0"/>
          <w:szCs w:val="22"/>
          <w:lang w:val="hy-AM"/>
        </w:rPr>
        <w:t>փաստային կապի ծառայությունների նորմաները սահմանելու</w:t>
      </w:r>
      <w:r w:rsidR="00924667" w:rsidRPr="007955BB">
        <w:rPr>
          <w:rFonts w:eastAsia="Calibri"/>
          <w:b w:val="0"/>
          <w:szCs w:val="22"/>
          <w:lang w:val="hy-AM"/>
        </w:rPr>
        <w:t xml:space="preserve"> մասին» N 1956-Ն որոշումների պահանջներին համապատասխան: </w:t>
      </w:r>
    </w:p>
    <w:p w14:paraId="26CC18E3" w14:textId="77777777" w:rsidR="00924667" w:rsidRPr="007955BB" w:rsidRDefault="00924667" w:rsidP="00AC1E1E">
      <w:pPr>
        <w:rPr>
          <w:rFonts w:eastAsia="Calibri"/>
          <w:b w:val="0"/>
          <w:color w:val="FF0000"/>
          <w:szCs w:val="22"/>
          <w:lang w:val="hy-AM"/>
        </w:rPr>
      </w:pPr>
      <w:r w:rsidRPr="00B027AF">
        <w:rPr>
          <w:rFonts w:eastAsia="Calibri"/>
          <w:szCs w:val="22"/>
          <w:lang w:val="hy-AM"/>
        </w:rPr>
        <w:t>Ծառայողական գործուղումների</w:t>
      </w:r>
      <w:r w:rsidRPr="007955BB">
        <w:rPr>
          <w:rFonts w:eastAsia="Calibri"/>
          <w:b w:val="0"/>
          <w:szCs w:val="22"/>
          <w:lang w:val="hy-AM"/>
        </w:rPr>
        <w:t xml:space="preserve"> գծով ծախսերը նախատեսվում են որոշակի գործառույթների իրականացումն ապահովելու նպատակով, իսկ ծախսերի հատուցումն իրականացվում է ՀՀ կառավարության 2005 թվականի դեկտեմբերի 29-ի N 2335-Ն որոշմամբ սահմանված նորմաներով: </w:t>
      </w:r>
    </w:p>
    <w:p w14:paraId="7EE37149" w14:textId="77777777" w:rsidR="00B027AF" w:rsidRPr="00B027AF" w:rsidRDefault="00B027AF" w:rsidP="00AC1E1E">
      <w:pPr>
        <w:rPr>
          <w:rFonts w:eastAsia="Calibri"/>
          <w:b w:val="0"/>
          <w:szCs w:val="22"/>
          <w:lang w:val="hy-AM"/>
        </w:rPr>
      </w:pPr>
      <w:r w:rsidRPr="00B027AF">
        <w:rPr>
          <w:rFonts w:eastAsia="Calibri"/>
          <w:b w:val="0"/>
          <w:szCs w:val="22"/>
          <w:lang w:val="hy-AM"/>
        </w:rPr>
        <w:t xml:space="preserve">ՀՀ 2024 թվականի պետական բյուջեի նախագծում հանրային իշխանության մարմինների արտասահմանյան պաշտոնական գործուղումների հետ կապված ծախսերի գծով հատկացումները նախատեսվել են յուրաքանչյուր մարմնի պահպանման ծախսերում: </w:t>
      </w:r>
    </w:p>
    <w:p w14:paraId="767DFFE4" w14:textId="77777777" w:rsidR="00900CEA" w:rsidRPr="007955BB" w:rsidRDefault="00900CEA" w:rsidP="00AC1E1E">
      <w:pPr>
        <w:rPr>
          <w:rFonts w:eastAsia="Calibri"/>
          <w:b w:val="0"/>
          <w:szCs w:val="22"/>
          <w:lang w:val="hy-AM"/>
        </w:rPr>
      </w:pPr>
      <w:r w:rsidRPr="007955BB">
        <w:rPr>
          <w:rFonts w:eastAsia="Calibri"/>
          <w:szCs w:val="22"/>
          <w:lang w:val="hy-AM"/>
        </w:rPr>
        <w:t>Ծառայողական ավտոմեքենաների</w:t>
      </w:r>
      <w:r w:rsidRPr="007955BB">
        <w:rPr>
          <w:rFonts w:eastAsia="Calibri"/>
          <w:b w:val="0"/>
          <w:szCs w:val="22"/>
          <w:lang w:val="hy-AM"/>
        </w:rPr>
        <w:t xml:space="preserve"> պահպանման ծախսերը ծրագրավորվել են համապատասխան մարմինների կողմից</w:t>
      </w:r>
      <w:r w:rsidR="00443554">
        <w:rPr>
          <w:rFonts w:eastAsia="Calibri"/>
          <w:b w:val="0"/>
          <w:szCs w:val="22"/>
          <w:lang w:val="hy-AM"/>
        </w:rPr>
        <w:t xml:space="preserve"> 2024</w:t>
      </w:r>
      <w:r w:rsidRPr="007955BB">
        <w:rPr>
          <w:rFonts w:eastAsia="Calibri"/>
          <w:b w:val="0"/>
          <w:szCs w:val="22"/>
          <w:lang w:val="hy-AM"/>
        </w:rPr>
        <w:t xml:space="preserve"> թվականի բյուջետային ֆինանսավորման հայտերով ներկայացված ծառայողական ավտոմեքենաների քանակին համապատասխան, բայց ոչ ավելի քան ՀՀ կառավարության 2005 թվականի փետրվարի 17-ի N 194-Ն որոշմամբ նախատեսված սահմանաքանակը։ Ընդ որում, 1 մեքենայի պահպանման տարեկան ծախսը հաշվարկվել է 1</w:t>
      </w:r>
      <w:r w:rsidR="00443554" w:rsidRPr="00443554">
        <w:rPr>
          <w:rFonts w:eastAsia="Calibri"/>
          <w:b w:val="0"/>
          <w:szCs w:val="22"/>
          <w:lang w:val="hy-AM"/>
        </w:rPr>
        <w:t>.</w:t>
      </w:r>
      <w:r w:rsidRPr="007955BB">
        <w:rPr>
          <w:rFonts w:eastAsia="Calibri"/>
          <w:b w:val="0"/>
          <w:szCs w:val="22"/>
          <w:lang w:val="hy-AM"/>
        </w:rPr>
        <w:t>2 մլն դրամի չափով (պահպանվել է նախորդ տարիների մակարդակը):</w:t>
      </w:r>
    </w:p>
    <w:p w14:paraId="5ACED021" w14:textId="77777777" w:rsidR="00900CEA" w:rsidRPr="007955BB" w:rsidRDefault="00900CEA" w:rsidP="00AC1E1E">
      <w:pPr>
        <w:rPr>
          <w:rFonts w:eastAsia="Calibri"/>
          <w:b w:val="0"/>
          <w:szCs w:val="22"/>
          <w:lang w:val="hy-AM"/>
        </w:rPr>
      </w:pPr>
      <w:r w:rsidRPr="007955BB">
        <w:rPr>
          <w:rFonts w:eastAsia="Calibri"/>
          <w:b w:val="0"/>
          <w:szCs w:val="22"/>
          <w:lang w:val="hy-AM"/>
        </w:rPr>
        <w:t xml:space="preserve">Մեքենաների պահպանման ծախսերի ծրագրավորման նշված միասնական սկզբունքից շեղումներ են թույլ տրվել մի շարք մարմինների պահպանման ծախսերում՝ ելնելով դրանց գործառութային առանձնահատկություններից կամ կապված օպերատիվ հետախուզական գործունեություն հետ, նախատեսվում է լրացուցիչ տրանսպորտային նյութերի ձեռքբերման </w:t>
      </w:r>
      <w:r w:rsidRPr="007955BB">
        <w:rPr>
          <w:rFonts w:eastAsia="Calibri"/>
          <w:b w:val="0"/>
          <w:szCs w:val="22"/>
          <w:lang w:val="hy-AM"/>
        </w:rPr>
        <w:lastRenderedPageBreak/>
        <w:t>ծախս (Հակակոռուպցիոն կոմիտե, Քննչական կոմիտե, Մարդու իրավունքների պաշտպանի աշխատակազմ) կամ պահպանման ծախսերում նախատեսվել են միջոցներ՝ որպես նշված գործունեության հետ կապված տրանսպորտային ծախսերի փոխհատուցում (ՊԵԿ, ՀՀ դատախազություն):</w:t>
      </w:r>
    </w:p>
    <w:p w14:paraId="4B135708" w14:textId="77777777" w:rsidR="00900CEA" w:rsidRPr="007955BB" w:rsidRDefault="00900CEA" w:rsidP="00AC1E1E">
      <w:pPr>
        <w:rPr>
          <w:rFonts w:eastAsia="Calibri"/>
          <w:b w:val="0"/>
          <w:szCs w:val="22"/>
          <w:lang w:val="hy-AM"/>
        </w:rPr>
      </w:pPr>
      <w:r w:rsidRPr="007955BB">
        <w:rPr>
          <w:rFonts w:eastAsia="Calibri"/>
          <w:szCs w:val="22"/>
          <w:lang w:val="hy-AM"/>
        </w:rPr>
        <w:t>Շենքերի և կառույցների ընթացիկ նորոգման</w:t>
      </w:r>
      <w:r w:rsidRPr="007955BB">
        <w:rPr>
          <w:rFonts w:eastAsia="Calibri"/>
          <w:b w:val="0"/>
          <w:szCs w:val="22"/>
          <w:lang w:val="hy-AM"/>
        </w:rPr>
        <w:t xml:space="preserve"> ծախսերը նախատեսելիս կիրառվել է միասնական մոտեցում, նախագծով նախատեսված գումարը հաշվարկվել է տվյալ մարմնի կողմից օգտագործվող (բացառությամբ վարձակալած) տարածքների համար՝ 1քմ-ը 800 դրամ հաշվարկով: </w:t>
      </w:r>
    </w:p>
    <w:p w14:paraId="3FFEADF7" w14:textId="77777777" w:rsidR="00900CEA" w:rsidRPr="007955BB" w:rsidRDefault="00900CEA" w:rsidP="00AC1E1E">
      <w:pPr>
        <w:rPr>
          <w:rFonts w:eastAsia="Calibri"/>
          <w:b w:val="0"/>
          <w:szCs w:val="22"/>
          <w:lang w:val="hy-AM"/>
        </w:rPr>
      </w:pPr>
      <w:r w:rsidRPr="007955BB">
        <w:rPr>
          <w:rFonts w:eastAsia="Calibri"/>
          <w:b w:val="0"/>
          <w:szCs w:val="22"/>
          <w:lang w:val="hy-AM"/>
        </w:rPr>
        <w:t>Միաժամանակ, պահպանման մի շարք այլ պայմանագրային ծառայությունների ձեռքբերման ծախսերը նախատեսելիս դրանք դիտարկվել են նախորդ տարիների փաստացի ծախսի մակարդակը հաշվի առնելով:</w:t>
      </w:r>
    </w:p>
    <w:p w14:paraId="2864B154" w14:textId="77777777" w:rsidR="00900CEA" w:rsidRPr="007955BB" w:rsidRDefault="00900CEA" w:rsidP="00AC1E1E">
      <w:pPr>
        <w:rPr>
          <w:rFonts w:eastAsia="Calibri"/>
          <w:b w:val="0"/>
          <w:szCs w:val="22"/>
          <w:lang w:val="hy-AM"/>
        </w:rPr>
      </w:pPr>
      <w:r w:rsidRPr="007955BB">
        <w:rPr>
          <w:rFonts w:eastAsia="Calibri"/>
          <w:szCs w:val="22"/>
          <w:lang w:val="hy-AM"/>
        </w:rPr>
        <w:t>Վարչական սարքավորումների</w:t>
      </w:r>
      <w:r w:rsidRPr="007955BB">
        <w:rPr>
          <w:rFonts w:eastAsia="Calibri"/>
          <w:b w:val="0"/>
          <w:szCs w:val="22"/>
          <w:lang w:val="hy-AM"/>
        </w:rPr>
        <w:t xml:space="preserve"> նախատեսման հարցում կիրառվել է միասնական մոտեցում:</w:t>
      </w:r>
    </w:p>
    <w:p w14:paraId="39F399C4" w14:textId="77777777" w:rsidR="00900CEA" w:rsidRPr="007955BB" w:rsidRDefault="00900CEA" w:rsidP="00AC1E1E">
      <w:pPr>
        <w:rPr>
          <w:rFonts w:eastAsia="Calibri"/>
          <w:b w:val="0"/>
          <w:szCs w:val="22"/>
          <w:lang w:val="hy-AM"/>
        </w:rPr>
      </w:pPr>
      <w:r w:rsidRPr="007955BB">
        <w:rPr>
          <w:rFonts w:eastAsia="Calibri"/>
          <w:b w:val="0"/>
          <w:szCs w:val="22"/>
          <w:lang w:val="hy-AM"/>
        </w:rPr>
        <w:t>Հայտերով ներկայացված տեղեկատվության վերլուծության արդյունքում գնահատվել է առանձին մարմիններում յուրաքանչյուր աշխատատեղի՝ համակարգչային սարքավորումներով հագեցվածության և գույքով կահավորվածության մակարդակը, հիմք ընդունելով ՀՀ ֆինանսների նախարարի 2016</w:t>
      </w:r>
      <w:r w:rsidR="00443554">
        <w:rPr>
          <w:rFonts w:eastAsia="Calibri"/>
          <w:b w:val="0"/>
          <w:szCs w:val="22"/>
          <w:lang w:val="hy-AM"/>
        </w:rPr>
        <w:t xml:space="preserve"> </w:t>
      </w:r>
      <w:r w:rsidRPr="007955BB">
        <w:rPr>
          <w:rFonts w:eastAsia="Calibri"/>
          <w:b w:val="0"/>
          <w:szCs w:val="22"/>
          <w:lang w:val="hy-AM"/>
        </w:rPr>
        <w:t>թ</w:t>
      </w:r>
      <w:r w:rsidR="00443554">
        <w:rPr>
          <w:rFonts w:eastAsia="Calibri"/>
          <w:b w:val="0"/>
          <w:szCs w:val="22"/>
          <w:lang w:val="hy-AM"/>
        </w:rPr>
        <w:t>վականի</w:t>
      </w:r>
      <w:r w:rsidRPr="007955BB">
        <w:rPr>
          <w:rFonts w:eastAsia="Calibri"/>
          <w:b w:val="0"/>
          <w:szCs w:val="22"/>
          <w:lang w:val="hy-AM"/>
        </w:rPr>
        <w:t xml:space="preserve"> հունվարի 8-ի «Հանրային հատվածի կազմակերպություններում նոր հիմնական միջոցների և սկզբնական արժեքով հաշվառվող կենսաբանական ակտիվների մաշվածության հաշվարկման նորմատիվային օգտակար ծառայության ժամկետները հաստատելու մասին» N 3-Ն հրամանի պահանջները: </w:t>
      </w:r>
    </w:p>
    <w:p w14:paraId="515EBB29" w14:textId="42BCF7B0" w:rsidR="00900CEA" w:rsidRPr="007955BB" w:rsidRDefault="00900CEA" w:rsidP="00AC1E1E">
      <w:pPr>
        <w:rPr>
          <w:rFonts w:eastAsia="Calibri"/>
          <w:b w:val="0"/>
          <w:szCs w:val="22"/>
          <w:lang w:val="hy-AM"/>
        </w:rPr>
      </w:pPr>
      <w:r w:rsidRPr="007955BB">
        <w:rPr>
          <w:rFonts w:eastAsia="Calibri"/>
          <w:b w:val="0"/>
          <w:szCs w:val="22"/>
          <w:lang w:val="hy-AM"/>
        </w:rPr>
        <w:t>ՀՀ</w:t>
      </w:r>
      <w:r w:rsidR="00443554">
        <w:rPr>
          <w:rFonts w:eastAsia="Calibri"/>
          <w:b w:val="0"/>
          <w:szCs w:val="22"/>
          <w:lang w:val="hy-AM"/>
        </w:rPr>
        <w:t xml:space="preserve"> 2024 </w:t>
      </w:r>
      <w:r w:rsidRPr="007955BB">
        <w:rPr>
          <w:rFonts w:eastAsia="Calibri"/>
          <w:b w:val="0"/>
          <w:szCs w:val="22"/>
          <w:lang w:val="hy-AM"/>
        </w:rPr>
        <w:t>թ</w:t>
      </w:r>
      <w:r w:rsidR="00443554">
        <w:rPr>
          <w:rFonts w:eastAsia="Calibri"/>
          <w:b w:val="0"/>
          <w:szCs w:val="22"/>
          <w:lang w:val="hy-AM"/>
        </w:rPr>
        <w:t>վականի</w:t>
      </w:r>
      <w:r w:rsidRPr="007955BB">
        <w:rPr>
          <w:rFonts w:eastAsia="Calibri"/>
          <w:b w:val="0"/>
          <w:szCs w:val="22"/>
          <w:lang w:val="hy-AM"/>
        </w:rPr>
        <w:t xml:space="preserve"> պետական բյուջեով նախատեսվում է միասնական սկզբունքով, ներկայացված հայտերի շրջանակներում, ապահովել օգտակար ծառայության ժամկետներում գտնվող վարչական սարքավորումներով և գույքով առնվազն 70% հագեցվածություն, բայց ոչ ավելի քան ներկայացված հայտը: </w:t>
      </w:r>
    </w:p>
    <w:p w14:paraId="3A3EEE42" w14:textId="77777777" w:rsidR="00060470" w:rsidRPr="00CD66AC" w:rsidRDefault="00277648" w:rsidP="00AC1E1E">
      <w:pPr>
        <w:pStyle w:val="Heading1"/>
        <w:rPr>
          <w:bCs w:val="0"/>
        </w:rPr>
      </w:pPr>
      <w:bookmarkStart w:id="296" w:name="_Toc153184494"/>
      <w:r w:rsidRPr="00CD66AC">
        <w:t>ՀՀ ա</w:t>
      </w:r>
      <w:r w:rsidR="00B857F9" w:rsidRPr="00CD66AC">
        <w:t>ռողջապահության նախարարություն</w:t>
      </w:r>
      <w:bookmarkEnd w:id="296"/>
    </w:p>
    <w:p w14:paraId="1B473611" w14:textId="0C32C5CC" w:rsidR="001816A6" w:rsidRPr="007955BB" w:rsidRDefault="001816A6" w:rsidP="00AC1E1E">
      <w:pPr>
        <w:rPr>
          <w:rFonts w:eastAsia="Calibri"/>
          <w:b w:val="0"/>
          <w:szCs w:val="22"/>
          <w:lang w:val="hy-AM" w:eastAsia="en-US"/>
          <w14:textOutline w14:w="9525" w14:cap="rnd" w14:cmpd="sng" w14:algn="ctr">
            <w14:noFill/>
            <w14:prstDash w14:val="solid"/>
            <w14:bevel/>
          </w14:textOutline>
        </w:rPr>
      </w:pPr>
      <w:r w:rsidRPr="007955BB">
        <w:rPr>
          <w:rFonts w:eastAsia="Calibri"/>
          <w:b w:val="0"/>
          <w:szCs w:val="22"/>
          <w:lang w:val="hy-AM" w:eastAsia="en-US"/>
          <w14:textOutline w14:w="9525" w14:cap="rnd" w14:cmpd="sng" w14:algn="ctr">
            <w14:noFill/>
            <w14:prstDash w14:val="solid"/>
            <w14:bevel/>
          </w14:textOutline>
        </w:rPr>
        <w:t xml:space="preserve">ՀՀ առողջապահության նախարարության գծով </w:t>
      </w:r>
      <w:r w:rsidRPr="007955BB">
        <w:rPr>
          <w:rFonts w:eastAsia="Calibri" w:cs="Sylfaen"/>
          <w:b w:val="0"/>
          <w:szCs w:val="22"/>
          <w:lang w:val="af-ZA" w:eastAsia="en-US"/>
          <w14:textOutline w14:w="9525" w14:cap="rnd" w14:cmpd="sng" w14:algn="ctr">
            <w14:noFill/>
            <w14:prstDash w14:val="solid"/>
            <w14:bevel/>
          </w14:textOutline>
        </w:rPr>
        <w:t>ՀՀ 202</w:t>
      </w:r>
      <w:r>
        <w:rPr>
          <w:rFonts w:eastAsia="Calibri" w:cs="Sylfaen"/>
          <w:b w:val="0"/>
          <w:szCs w:val="22"/>
          <w:lang w:val="hy-AM" w:eastAsia="en-US"/>
          <w14:textOutline w14:w="9525" w14:cap="rnd" w14:cmpd="sng" w14:algn="ctr">
            <w14:noFill/>
            <w14:prstDash w14:val="solid"/>
            <w14:bevel/>
          </w14:textOutline>
        </w:rPr>
        <w:t>4</w:t>
      </w:r>
      <w:r w:rsidRPr="007955BB">
        <w:rPr>
          <w:rFonts w:eastAsia="Calibri" w:cs="Sylfaen"/>
          <w:b w:val="0"/>
          <w:szCs w:val="22"/>
          <w:lang w:val="af-ZA" w:eastAsia="en-US"/>
          <w14:textOutline w14:w="9525" w14:cap="rnd" w14:cmpd="sng" w14:algn="ctr">
            <w14:noFill/>
            <w14:prstDash w14:val="solid"/>
            <w14:bevel/>
          </w14:textOutline>
        </w:rPr>
        <w:t xml:space="preserve"> թվականի պետական բյուջեով նախատեսվում է </w:t>
      </w:r>
      <w:r w:rsidR="00C461B6" w:rsidRPr="00C461B6">
        <w:rPr>
          <w:rFonts w:eastAsia="Calibri" w:cs="Sylfaen"/>
          <w:b w:val="0"/>
          <w:szCs w:val="22"/>
          <w:lang w:val="hy-AM" w:eastAsia="en-US"/>
          <w14:textOutline w14:w="9525" w14:cap="rnd" w14:cmpd="sng" w14:algn="ctr">
            <w14:noFill/>
            <w14:prstDash w14:val="solid"/>
            <w14:bevel/>
          </w14:textOutline>
        </w:rPr>
        <w:t>168,279.3</w:t>
      </w:r>
      <w:r w:rsidRPr="007955BB">
        <w:rPr>
          <w:rFonts w:eastAsia="Calibri" w:cs="Sylfaen"/>
          <w:b w:val="0"/>
          <w:color w:val="000000"/>
          <w:szCs w:val="22"/>
          <w:lang w:val="af-ZA" w:eastAsia="en-US"/>
          <w14:textOutline w14:w="9525" w14:cap="rnd" w14:cmpd="sng" w14:algn="ctr">
            <w14:noFill/>
            <w14:prstDash w14:val="solid"/>
            <w14:bevel/>
          </w14:textOutline>
        </w:rPr>
        <w:t xml:space="preserve"> մլն դրամի ծախսեր</w:t>
      </w:r>
      <w:r w:rsidRPr="007955BB">
        <w:rPr>
          <w:rFonts w:eastAsia="Calibri" w:cs="Sylfaen"/>
          <w:b w:val="0"/>
          <w:color w:val="000000"/>
          <w:szCs w:val="22"/>
          <w:lang w:val="hy-AM" w:eastAsia="en-US"/>
          <w14:textOutline w14:w="9525" w14:cap="rnd" w14:cmpd="sng" w14:algn="ctr">
            <w14:noFill/>
            <w14:prstDash w14:val="solid"/>
            <w14:bevel/>
          </w14:textOutline>
        </w:rPr>
        <w:t xml:space="preserve"> </w:t>
      </w:r>
      <w:r w:rsidRPr="007955BB">
        <w:rPr>
          <w:rFonts w:eastAsia="Calibri" w:cs="Sylfaen"/>
          <w:b w:val="0"/>
          <w:color w:val="000000"/>
          <w:szCs w:val="22"/>
          <w:lang w:val="af-ZA" w:eastAsia="en-US"/>
          <w14:textOutline w14:w="9525" w14:cap="rnd" w14:cmpd="sng" w14:algn="ctr">
            <w14:noFill/>
            <w14:prstDash w14:val="solid"/>
            <w14:bevel/>
          </w14:textOutline>
        </w:rPr>
        <w:t>(</w:t>
      </w:r>
      <w:r w:rsidRPr="007955BB">
        <w:rPr>
          <w:rFonts w:eastAsia="Calibri" w:cs="Sylfaen"/>
          <w:b w:val="0"/>
          <w:color w:val="000000"/>
          <w:szCs w:val="22"/>
          <w:lang w:val="hy-AM" w:eastAsia="en-US"/>
          <w14:textOutline w14:w="9525" w14:cap="rnd" w14:cmpd="sng" w14:algn="ctr">
            <w14:noFill/>
            <w14:prstDash w14:val="solid"/>
            <w14:bevel/>
          </w14:textOutline>
        </w:rPr>
        <w:t>ներառյալ կառավարման</w:t>
      </w:r>
      <w:r w:rsidRPr="007955BB">
        <w:rPr>
          <w:rFonts w:eastAsia="Calibri" w:cs="Sylfaen"/>
          <w:b w:val="0"/>
          <w:color w:val="000000"/>
          <w:szCs w:val="22"/>
          <w:lang w:val="af-ZA" w:eastAsia="en-US"/>
          <w14:textOutline w14:w="9525" w14:cap="rnd" w14:cmpd="sng" w14:algn="ctr">
            <w14:noFill/>
            <w14:prstDash w14:val="solid"/>
            <w14:bevel/>
          </w14:textOutline>
        </w:rPr>
        <w:t xml:space="preserve"> </w:t>
      </w:r>
      <w:r w:rsidRPr="007955BB">
        <w:rPr>
          <w:rFonts w:eastAsia="Calibri" w:cs="Sylfaen"/>
          <w:b w:val="0"/>
          <w:color w:val="000000"/>
          <w:szCs w:val="22"/>
          <w:lang w:val="hy-AM" w:eastAsia="en-US"/>
          <w14:textOutline w14:w="9525" w14:cap="rnd" w14:cmpd="sng" w14:algn="ctr">
            <w14:noFill/>
            <w14:prstDash w14:val="solid"/>
            <w14:bevel/>
          </w14:textOutline>
        </w:rPr>
        <w:t>ապարատի պահպանման ծախսերը</w:t>
      </w:r>
      <w:r w:rsidRPr="007955BB">
        <w:rPr>
          <w:rFonts w:eastAsia="Calibri" w:cs="Sylfaen"/>
          <w:b w:val="0"/>
          <w:color w:val="000000"/>
          <w:szCs w:val="22"/>
          <w:lang w:val="af-ZA" w:eastAsia="en-US"/>
          <w14:textOutline w14:w="9525" w14:cap="rnd" w14:cmpd="sng" w14:algn="ctr">
            <w14:noFill/>
            <w14:prstDash w14:val="solid"/>
            <w14:bevel/>
          </w14:textOutline>
        </w:rPr>
        <w:t>)</w:t>
      </w:r>
      <w:r w:rsidRPr="007955BB">
        <w:rPr>
          <w:rFonts w:eastAsia="Calibri"/>
          <w:b w:val="0"/>
          <w:szCs w:val="22"/>
          <w:lang w:val="hy-AM" w:eastAsia="en-US"/>
          <w14:textOutline w14:w="9525" w14:cap="rnd" w14:cmpd="sng" w14:algn="ctr">
            <w14:noFill/>
            <w14:prstDash w14:val="solid"/>
            <w14:bevel/>
          </w14:textOutline>
        </w:rPr>
        <w:t xml:space="preserve">, որի շրջանակներում նախատեսվում է իրականացնել հետևյալ ծրագրերը. </w:t>
      </w:r>
    </w:p>
    <w:p w14:paraId="15F1E6B9" w14:textId="77777777" w:rsidR="001816A6" w:rsidRPr="00A8149B" w:rsidRDefault="001816A6" w:rsidP="00AC1E1E">
      <w:pPr>
        <w:rPr>
          <w:rFonts w:eastAsia="Calibri"/>
          <w:szCs w:val="22"/>
          <w:lang w:val="hy-AM" w:eastAsia="en-US"/>
          <w14:textOutline w14:w="9525" w14:cap="rnd" w14:cmpd="sng" w14:algn="ctr">
            <w14:noFill/>
            <w14:prstDash w14:val="solid"/>
            <w14:bevel/>
          </w14:textOutline>
        </w:rPr>
      </w:pPr>
      <w:r w:rsidRPr="007955BB">
        <w:rPr>
          <w:rFonts w:eastAsia="Calibri"/>
          <w:szCs w:val="22"/>
          <w:lang w:val="hy-AM" w:eastAsia="en-US"/>
          <w14:textOutline w14:w="9525" w14:cap="rnd" w14:cmpd="sng" w14:algn="ctr">
            <w14:noFill/>
            <w14:prstDash w14:val="solid"/>
            <w14:bevel/>
          </w14:textOutline>
        </w:rPr>
        <w:t>Հանրային</w:t>
      </w:r>
      <w:r w:rsidRPr="007955BB">
        <w:rPr>
          <w:rFonts w:eastAsia="Calibri" w:cs="Arial Armenian"/>
          <w:szCs w:val="22"/>
          <w:lang w:val="hy-AM" w:eastAsia="en-US"/>
          <w14:textOutline w14:w="9525" w14:cap="rnd" w14:cmpd="sng" w14:algn="ctr">
            <w14:noFill/>
            <w14:prstDash w14:val="solid"/>
            <w14:bevel/>
          </w14:textOutline>
        </w:rPr>
        <w:t xml:space="preserve"> </w:t>
      </w:r>
      <w:r w:rsidRPr="007955BB">
        <w:rPr>
          <w:rFonts w:eastAsia="Calibri"/>
          <w:szCs w:val="22"/>
          <w:lang w:val="hy-AM" w:eastAsia="en-US"/>
          <w14:textOutline w14:w="9525" w14:cap="rnd" w14:cmpd="sng" w14:algn="ctr">
            <w14:noFill/>
            <w14:prstDash w14:val="solid"/>
            <w14:bevel/>
          </w14:textOutline>
        </w:rPr>
        <w:t>առողջության պահպանում</w:t>
      </w:r>
      <w:r w:rsidRPr="007955BB">
        <w:rPr>
          <w:rFonts w:eastAsia="Calibri"/>
          <w:b w:val="0"/>
          <w:szCs w:val="22"/>
          <w:lang w:val="hy-AM" w:eastAsia="en-US"/>
          <w14:textOutline w14:w="9525" w14:cap="rnd" w14:cmpd="sng" w14:algn="ctr">
            <w14:noFill/>
            <w14:prstDash w14:val="solid"/>
            <w14:bevel/>
          </w14:textOutline>
        </w:rPr>
        <w:t xml:space="preserve"> ծրագրի գծով</w:t>
      </w:r>
      <w:r>
        <w:rPr>
          <w:rFonts w:eastAsia="Calibri"/>
          <w:b w:val="0"/>
          <w:szCs w:val="22"/>
          <w:lang w:val="hy-AM" w:eastAsia="en-US"/>
          <w14:textOutline w14:w="9525" w14:cap="rnd" w14:cmpd="sng" w14:algn="ctr">
            <w14:noFill/>
            <w14:prstDash w14:val="solid"/>
            <w14:bevel/>
          </w14:textOutline>
        </w:rPr>
        <w:t xml:space="preserve"> 2024</w:t>
      </w:r>
      <w:r w:rsidRPr="007955BB">
        <w:rPr>
          <w:rFonts w:eastAsia="Calibri"/>
          <w:b w:val="0"/>
          <w:szCs w:val="22"/>
          <w:lang w:val="hy-AM" w:eastAsia="en-US"/>
          <w14:textOutline w14:w="9525" w14:cap="rnd" w14:cmpd="sng" w14:algn="ctr">
            <w14:noFill/>
            <w14:prstDash w14:val="solid"/>
            <w14:bevel/>
          </w14:textOutline>
        </w:rPr>
        <w:t xml:space="preserve">թ. նախատեսվել է </w:t>
      </w:r>
      <w:r>
        <w:rPr>
          <w:rFonts w:eastAsia="Calibri"/>
          <w:b w:val="0"/>
          <w:szCs w:val="22"/>
          <w:lang w:val="hy-AM" w:eastAsia="en-US"/>
          <w14:textOutline w14:w="9525" w14:cap="rnd" w14:cmpd="sng" w14:algn="ctr">
            <w14:noFill/>
            <w14:prstDash w14:val="solid"/>
            <w14:bevel/>
          </w14:textOutline>
        </w:rPr>
        <w:t>7,334.8</w:t>
      </w:r>
      <w:r w:rsidRPr="007955BB">
        <w:rPr>
          <w:rFonts w:eastAsia="Calibri"/>
          <w:b w:val="0"/>
          <w:szCs w:val="22"/>
          <w:lang w:val="hy-AM" w:eastAsia="en-US"/>
          <w14:textOutline w14:w="9525" w14:cap="rnd" w14:cmpd="sng" w14:algn="ctr">
            <w14:noFill/>
            <w14:prstDash w14:val="solid"/>
            <w14:bevel/>
          </w14:textOutline>
        </w:rPr>
        <w:t xml:space="preserve"> մլն դրամ: Ծրագրի նպատակն է մարդու օրգանիզմի վրա շրջակա միջավայրի վնասակար և վտանգավոր գործոնների ազդեցության բացառումը և նվազեցումը, կառավարելի վարակիչ հիվ</w:t>
      </w:r>
      <w:r w:rsidRPr="00A8149B">
        <w:rPr>
          <w:rFonts w:eastAsia="Calibri"/>
          <w:b w:val="0"/>
          <w:szCs w:val="22"/>
          <w:lang w:val="hy-AM" w:eastAsia="en-US"/>
          <w14:textOutline w14:w="9525" w14:cap="rnd" w14:cmpd="sng" w14:algn="ctr">
            <w14:noFill/>
            <w14:prstDash w14:val="solid"/>
            <w14:bevel/>
          </w14:textOutline>
        </w:rPr>
        <w:t>անդությունների դեմ պայքարը:</w:t>
      </w:r>
      <w:r w:rsidRPr="00A8149B">
        <w:rPr>
          <w:rFonts w:eastAsia="Calibri"/>
          <w:szCs w:val="22"/>
          <w:lang w:val="hy-AM" w:eastAsia="en-US"/>
          <w14:textOutline w14:w="9525" w14:cap="rnd" w14:cmpd="sng" w14:algn="ctr">
            <w14:noFill/>
            <w14:prstDash w14:val="solid"/>
            <w14:bevel/>
          </w14:textOutline>
        </w:rPr>
        <w:t xml:space="preserve"> </w:t>
      </w:r>
    </w:p>
    <w:p w14:paraId="7C2CF1B0" w14:textId="77777777" w:rsidR="001816A6" w:rsidRPr="00A8149B" w:rsidRDefault="001816A6" w:rsidP="00AC1E1E">
      <w:pPr>
        <w:rPr>
          <w:rFonts w:eastAsia="Calibri"/>
          <w:szCs w:val="22"/>
          <w:lang w:val="hy-AM" w:eastAsia="en-US"/>
          <w14:textOutline w14:w="9525" w14:cap="rnd" w14:cmpd="sng" w14:algn="ctr">
            <w14:noFill/>
            <w14:prstDash w14:val="solid"/>
            <w14:bevel/>
          </w14:textOutline>
        </w:rPr>
      </w:pPr>
      <w:r w:rsidRPr="00A8149B">
        <w:rPr>
          <w:rFonts w:eastAsia="Calibri"/>
          <w:b w:val="0"/>
          <w:szCs w:val="22"/>
          <w:lang w:val="hy-AM" w:eastAsia="en-US"/>
          <w14:textOutline w14:w="9525" w14:cap="rnd" w14:cmpd="sng" w14:algn="ctr">
            <w14:noFill/>
            <w14:prstDash w14:val="solid"/>
            <w14:bevel/>
          </w14:textOutline>
        </w:rPr>
        <w:t xml:space="preserve">Ծրագրի շրջանակներում նախատեսվում է իրականացնել թվով 580142 հատ հետազոտություններ վարակիչ օջախների ախտահանման նպատակով,  60% ՀՀ բժշկական օգնություն և սպասարկում իրականացնող կազմակերպություններում վարակի </w:t>
      </w:r>
      <w:r w:rsidRPr="00A8149B">
        <w:rPr>
          <w:rFonts w:eastAsia="Calibri"/>
          <w:b w:val="0"/>
          <w:szCs w:val="22"/>
          <w:lang w:val="hy-AM" w:eastAsia="en-US"/>
          <w14:textOutline w14:w="9525" w14:cap="rnd" w14:cmpd="sng" w14:algn="ctr">
            <w14:noFill/>
            <w14:prstDash w14:val="solid"/>
            <w14:bevel/>
          </w14:textOutline>
        </w:rPr>
        <w:lastRenderedPageBreak/>
        <w:t xml:space="preserve">հսկողության առանձին բաղադրիչների գնահատում, 99%-ով ապահովել համաճարակաբանական հետազոտության ենթակա հիվանդությունների օջախների ընդգրկվածությունը, 90%-ով բնական օջախների տարածքների կենդանամակաբուծական հետազոտություններով ընդգրկվածությունը, պատվաստանյութերի արդյունավետ կառավարման նպատակով՝ ապահովել </w:t>
      </w:r>
      <w:r>
        <w:rPr>
          <w:rFonts w:eastAsia="Calibri"/>
          <w:b w:val="0"/>
          <w:szCs w:val="22"/>
          <w:lang w:val="hy-AM" w:eastAsia="en-US"/>
          <w14:textOutline w14:w="9525" w14:cap="rnd" w14:cmpd="sng" w14:algn="ctr">
            <w14:noFill/>
            <w14:prstDash w14:val="solid"/>
            <w14:bevel/>
          </w14:textOutline>
        </w:rPr>
        <w:t>1067200</w:t>
      </w:r>
      <w:r w:rsidRPr="00A8149B">
        <w:rPr>
          <w:rFonts w:eastAsia="Calibri"/>
          <w:b w:val="0"/>
          <w:szCs w:val="22"/>
          <w:lang w:val="hy-AM" w:eastAsia="en-US"/>
          <w14:textOutline w14:w="9525" w14:cap="rnd" w14:cmpd="sng" w14:algn="ctr">
            <w14:noFill/>
            <w14:prstDash w14:val="solid"/>
            <w14:bevel/>
          </w14:textOutline>
        </w:rPr>
        <w:t xml:space="preserve"> դեղաչափ պատվաստանյութերի ստացումը՝ </w:t>
      </w:r>
      <w:r>
        <w:rPr>
          <w:rFonts w:eastAsia="Calibri"/>
          <w:b w:val="0"/>
          <w:szCs w:val="22"/>
          <w:lang w:val="hy-AM" w:eastAsia="en-US"/>
          <w14:textOutline w14:w="9525" w14:cap="rnd" w14:cmpd="sng" w14:algn="ctr">
            <w14:noFill/>
            <w14:prstDash w14:val="solid"/>
            <w14:bevel/>
          </w14:textOutline>
        </w:rPr>
        <w:t>860</w:t>
      </w:r>
      <w:r w:rsidRPr="00A8149B">
        <w:rPr>
          <w:rFonts w:eastAsia="Calibri"/>
          <w:b w:val="0"/>
          <w:szCs w:val="22"/>
          <w:lang w:val="hy-AM" w:eastAsia="en-US"/>
          <w14:textOutline w14:w="9525" w14:cap="rnd" w14:cmpd="sng" w14:algn="ctr">
            <w14:noFill/>
            <w14:prstDash w14:val="solid"/>
            <w14:bevel/>
          </w14:textOutline>
        </w:rPr>
        <w:t xml:space="preserve">000 պատվաստումներ իրականացնելու համար, </w:t>
      </w:r>
      <w:r w:rsidRPr="000635F8">
        <w:rPr>
          <w:rFonts w:eastAsia="Calibri"/>
          <w:b w:val="0"/>
          <w:szCs w:val="22"/>
          <w:lang w:val="hy-AM" w:eastAsia="en-US"/>
          <w14:textOutline w14:w="9525" w14:cap="rnd" w14:cmpd="sng" w14:algn="ctr">
            <w14:noFill/>
            <w14:prstDash w14:val="solid"/>
            <w14:bevel/>
          </w14:textOutline>
        </w:rPr>
        <w:t>Հ</w:t>
      </w:r>
      <w:r w:rsidRPr="00A8149B">
        <w:rPr>
          <w:rFonts w:eastAsia="Calibri"/>
          <w:b w:val="0"/>
          <w:szCs w:val="22"/>
          <w:lang w:val="hy-AM" w:eastAsia="en-US"/>
          <w14:textOutline w14:w="9525" w14:cap="rnd" w14:cmpd="sng" w14:algn="ctr">
            <w14:noFill/>
            <w14:prstDash w14:val="solid"/>
            <w14:bevel/>
          </w14:textOutline>
        </w:rPr>
        <w:t>անրապետությունում արյան, արյան բաղադրամասերի և արյան պատրաստուկների անհրաժեշտ քանակության (100%) ապահովումը, իրականացնել 5 տեսակի առողջ ապրելակերպի խթանմանն ու ծխելու դեմ պայքարին ուղղված և 5 առողջ ապրելակերպի հանրային իրազեկման թեմատիկ միջոցառումներ:</w:t>
      </w:r>
    </w:p>
    <w:p w14:paraId="6340ECC3" w14:textId="77777777" w:rsidR="001816A6" w:rsidRPr="007955BB" w:rsidRDefault="001816A6" w:rsidP="00AC1E1E">
      <w:pPr>
        <w:widowControl w:val="0"/>
        <w:tabs>
          <w:tab w:val="left" w:pos="180"/>
        </w:tabs>
        <w:rPr>
          <w:b w:val="0"/>
          <w:lang w:val="hy-AM"/>
        </w:rPr>
      </w:pPr>
      <w:r w:rsidRPr="007955BB">
        <w:rPr>
          <w:rFonts w:cs="Sylfaen"/>
          <w:bCs/>
          <w:szCs w:val="22"/>
          <w:lang w:val="hy-AM"/>
        </w:rPr>
        <w:t xml:space="preserve">Առողջության առաջնային պահպանում </w:t>
      </w:r>
      <w:r w:rsidRPr="007955BB">
        <w:rPr>
          <w:b w:val="0"/>
          <w:lang w:val="hy-AM"/>
        </w:rPr>
        <w:t xml:space="preserve">ծրագրի գծով նախատեսվել է </w:t>
      </w:r>
      <w:r>
        <w:rPr>
          <w:b w:val="0"/>
          <w:lang w:val="hy-AM"/>
        </w:rPr>
        <w:t>31,629.6</w:t>
      </w:r>
      <w:r w:rsidRPr="007955BB">
        <w:rPr>
          <w:b w:val="0"/>
          <w:lang w:val="hy-AM"/>
        </w:rPr>
        <w:t xml:space="preserve"> մլն դրամ: </w:t>
      </w:r>
    </w:p>
    <w:p w14:paraId="4CC7F08C" w14:textId="77777777" w:rsidR="001816A6" w:rsidRDefault="001816A6" w:rsidP="00AC1E1E">
      <w:pPr>
        <w:rPr>
          <w:b w:val="0"/>
          <w:lang w:val="hy-AM"/>
        </w:rPr>
      </w:pPr>
      <w:r w:rsidRPr="007955BB">
        <w:rPr>
          <w:b w:val="0"/>
          <w:lang w:val="hy-AM"/>
        </w:rPr>
        <w:t xml:space="preserve">Ծրագրի նպատակն է բնակչությանը մատչելի և որակյալ առաջնային բժշկական օգնության և սպասարկման տրամադրումը, առողջության վատթարացման ռիսկի գործոնների վերհանումը և դրանց հնարավոր անբարենպաստ ազդեցության կանխարգելումը, որը ներառում է առողջության առաջնային պահպանման գծով կազմակերպություններում գրանցված </w:t>
      </w:r>
      <w:r>
        <w:rPr>
          <w:b w:val="0"/>
          <w:lang w:val="hy-AM"/>
        </w:rPr>
        <w:t>3119563</w:t>
      </w:r>
      <w:r w:rsidRPr="007955BB">
        <w:rPr>
          <w:b w:val="0"/>
          <w:lang w:val="hy-AM"/>
        </w:rPr>
        <w:t xml:space="preserve"> բնակչի՝ ընտանեկան բժշկի, ընդհանուր պրակտիկայի թերապևտի, ընդհանուր պրակտիկայի մանկաբույժի կողմից մատուցվող ծառայություններ՝ հավաքագրված բնակչության շրջանում հիվանդությունների կանխարգելումը, վաղ հայտնաբերումը, ախտորոշումը, բուժումը, քրոնիկ հիվանդների դինամիկ հսկողությունը (ներառյալ ակտիվ կանչերը), ժամանակավոր անաշխատունակության փորձաքննությունը, տնային կանչերի իրականացումը, ըստ ցուցումների, հիվանդների հոսպիտալացման կազմակերպումը, բնակչության բժշկահիգիենիկ կրթումը, թվով </w:t>
      </w:r>
      <w:r>
        <w:rPr>
          <w:b w:val="0"/>
          <w:lang w:val="hy-AM"/>
        </w:rPr>
        <w:t>391671</w:t>
      </w:r>
      <w:r w:rsidRPr="007955BB">
        <w:rPr>
          <w:b w:val="0"/>
          <w:lang w:val="hy-AM"/>
        </w:rPr>
        <w:t xml:space="preserve"> աշակերտների՝ դպրոցում բժշկական օգնություն և սպասարկումը, անվճար կամ արտոնյալ պայմաններով դեղեր ստանալու իրավունք ունեցող թվով 864000 անձանց դեղերով ապահովումը, առավել տարածված ոչ վարակիչ հիվանդությունների (արյան շրջանառության համակարգի, շաքարային դիաբետի, չարորակ նորագոյացությունների և այլն) վաղ հայտնաբերման և կանխարգելման գործընթացի պարտադիր իրականացումը, վարակիչ հիվանդությունների կանխարգելում ու վաղ հայտնաբերումը, ինչպես նաև ախտորոշման ճշտման նպատակով </w:t>
      </w:r>
      <w:r>
        <w:rPr>
          <w:b w:val="0"/>
          <w:lang w:val="hy-AM"/>
        </w:rPr>
        <w:t xml:space="preserve">նեղ մասնագիտական կենտրոններում </w:t>
      </w:r>
      <w:r w:rsidRPr="007955BB">
        <w:rPr>
          <w:b w:val="0"/>
          <w:lang w:val="hy-AM"/>
        </w:rPr>
        <w:t>լաբորատոր-գործիքային 195230 հետազոտությունների</w:t>
      </w:r>
      <w:r>
        <w:rPr>
          <w:b w:val="0"/>
          <w:lang w:val="hy-AM"/>
        </w:rPr>
        <w:t>, ինչպես նաև նախաքաղցկեղային վիճակները և վաղ փուլի չարորակ նորագոյացությունները հայտնաբերելու նպատակով կոլոռեկտալ քաղցկեղի սկրինինգի թվով 11390 հետազոտությունների</w:t>
      </w:r>
      <w:r w:rsidRPr="007955BB">
        <w:rPr>
          <w:b w:val="0"/>
          <w:lang w:val="hy-AM"/>
        </w:rPr>
        <w:t xml:space="preserve"> իրականացումը: </w:t>
      </w:r>
    </w:p>
    <w:p w14:paraId="2D64006E" w14:textId="77777777" w:rsidR="001816A6" w:rsidRPr="007955BB" w:rsidRDefault="001816A6" w:rsidP="00AC1E1E">
      <w:pPr>
        <w:rPr>
          <w:rFonts w:cs="Sylfaen"/>
          <w:b w:val="0"/>
          <w:szCs w:val="22"/>
          <w:lang w:val="hy-AM"/>
        </w:rPr>
      </w:pPr>
      <w:r w:rsidRPr="007955BB">
        <w:rPr>
          <w:rFonts w:cs="Sylfaen"/>
          <w:bCs/>
          <w:szCs w:val="22"/>
          <w:lang w:val="hy-AM"/>
        </w:rPr>
        <w:t>Դատաբժշկական և ախտաբանաանատոմիական ծառայություններ</w:t>
      </w:r>
      <w:r w:rsidRPr="000635F8">
        <w:rPr>
          <w:rFonts w:cs="Sylfaen"/>
          <w:bCs/>
          <w:szCs w:val="22"/>
          <w:lang w:val="hy-AM"/>
        </w:rPr>
        <w:t xml:space="preserve"> ծրագրի</w:t>
      </w:r>
      <w:r w:rsidRPr="007955BB">
        <w:rPr>
          <w:rFonts w:cs="Sylfaen"/>
          <w:bCs/>
          <w:szCs w:val="22"/>
          <w:lang w:val="hy-AM"/>
        </w:rPr>
        <w:t xml:space="preserve"> </w:t>
      </w:r>
      <w:r w:rsidRPr="007955BB">
        <w:rPr>
          <w:b w:val="0"/>
          <w:lang w:val="hy-AM"/>
        </w:rPr>
        <w:t xml:space="preserve">գծով նախատեսվել է </w:t>
      </w:r>
      <w:r>
        <w:rPr>
          <w:b w:val="0"/>
          <w:lang w:val="hy-AM"/>
        </w:rPr>
        <w:t>571.8</w:t>
      </w:r>
      <w:r w:rsidRPr="007955BB">
        <w:rPr>
          <w:b w:val="0"/>
          <w:lang w:val="hy-AM"/>
        </w:rPr>
        <w:t xml:space="preserve"> մլն դրամ:</w:t>
      </w:r>
      <w:bookmarkStart w:id="297" w:name="_Hlk19663384"/>
      <w:r w:rsidRPr="007955BB">
        <w:rPr>
          <w:b w:val="0"/>
          <w:lang w:val="hy-AM"/>
        </w:rPr>
        <w:t xml:space="preserve"> </w:t>
      </w:r>
      <w:r w:rsidRPr="007955BB">
        <w:rPr>
          <w:rFonts w:cs="Sylfaen"/>
          <w:b w:val="0"/>
          <w:szCs w:val="22"/>
          <w:lang w:val="hy-AM"/>
        </w:rPr>
        <w:t xml:space="preserve">Ծրագրի նպատակն է Հանրապետության ուժային մարմինների որոշումների հիման վրա դատաբժշկական և գենետիկ փորձաքննությունների ապահովումը` մահերի պատճառների վերհանման նպատակով դիակների փորձաքննությունների միջոցով, ինչպես նաև պաթանատոմիական կանխորոշումների հիման վրա ախտորոշման և բուժման արդյունավետության բարձրացումը: Ծրագրի ակնկալվող արդյունքը մահերի պատճառների բացահայտումն է: </w:t>
      </w:r>
    </w:p>
    <w:p w14:paraId="70714011" w14:textId="77777777" w:rsidR="001816A6" w:rsidRPr="007955BB" w:rsidRDefault="001816A6" w:rsidP="00AC1E1E">
      <w:pPr>
        <w:tabs>
          <w:tab w:val="left" w:pos="180"/>
        </w:tabs>
        <w:rPr>
          <w:rFonts w:cs="Sylfaen"/>
          <w:b w:val="0"/>
          <w:szCs w:val="22"/>
          <w:lang w:val="hy-AM"/>
        </w:rPr>
      </w:pPr>
      <w:r>
        <w:rPr>
          <w:rFonts w:cs="Sylfaen"/>
          <w:b w:val="0"/>
          <w:szCs w:val="22"/>
          <w:lang w:val="hy-AM"/>
        </w:rPr>
        <w:lastRenderedPageBreak/>
        <w:t>Ծրագրի շրջանակներում նախատեսվում է</w:t>
      </w:r>
      <w:r w:rsidRPr="007955BB">
        <w:rPr>
          <w:rFonts w:cs="Sylfaen"/>
          <w:b w:val="0"/>
          <w:szCs w:val="22"/>
          <w:lang w:val="hy-AM"/>
        </w:rPr>
        <w:t xml:space="preserve"> իրականացնել դատաբժշկական և գենետիկ ծառայությունների գծով </w:t>
      </w:r>
      <w:r>
        <w:rPr>
          <w:rFonts w:cs="Sylfaen"/>
          <w:b w:val="0"/>
          <w:szCs w:val="22"/>
          <w:lang w:val="hy-AM"/>
        </w:rPr>
        <w:t>41059</w:t>
      </w:r>
      <w:r w:rsidRPr="007955BB">
        <w:rPr>
          <w:rFonts w:cs="Sylfaen"/>
          <w:b w:val="0"/>
          <w:szCs w:val="22"/>
          <w:lang w:val="hy-AM"/>
        </w:rPr>
        <w:t xml:space="preserve"> փորձաքննություն, վիրահատական և բիոպսիոն նյութերի 3456 հետազոտություններ, ինչպես նաև 576 ախտաբանաանատոմիական դիահերձումներ:</w:t>
      </w:r>
      <w:bookmarkEnd w:id="297"/>
    </w:p>
    <w:p w14:paraId="43B3D0A6" w14:textId="77777777" w:rsidR="001816A6" w:rsidRPr="007955BB" w:rsidRDefault="001816A6" w:rsidP="00AC1E1E">
      <w:pPr>
        <w:rPr>
          <w:b w:val="0"/>
          <w:lang w:val="hy-AM"/>
        </w:rPr>
      </w:pPr>
      <w:r w:rsidRPr="007955BB">
        <w:rPr>
          <w:rFonts w:cs="Sylfaen"/>
          <w:bCs/>
          <w:szCs w:val="22"/>
          <w:lang w:val="hy-AM"/>
        </w:rPr>
        <w:t>Դեղապահովում ծրագր</w:t>
      </w:r>
      <w:bookmarkStart w:id="298" w:name="_Hlk19664365"/>
      <w:r w:rsidRPr="000635F8">
        <w:rPr>
          <w:rFonts w:cs="Sylfaen"/>
          <w:bCs/>
          <w:szCs w:val="22"/>
          <w:lang w:val="hy-AM"/>
        </w:rPr>
        <w:t>ի</w:t>
      </w:r>
      <w:r w:rsidRPr="007955BB">
        <w:rPr>
          <w:rFonts w:cs="Sylfaen"/>
          <w:bCs/>
          <w:szCs w:val="22"/>
          <w:lang w:val="hy-AM"/>
        </w:rPr>
        <w:t xml:space="preserve"> </w:t>
      </w:r>
      <w:r w:rsidRPr="007955BB">
        <w:rPr>
          <w:b w:val="0"/>
          <w:lang w:val="hy-AM"/>
        </w:rPr>
        <w:t>գծով նախատեսվել է 4</w:t>
      </w:r>
      <w:r>
        <w:rPr>
          <w:b w:val="0"/>
          <w:lang w:val="hy-AM"/>
        </w:rPr>
        <w:t>,630.0</w:t>
      </w:r>
      <w:r w:rsidRPr="007955BB">
        <w:rPr>
          <w:b w:val="0"/>
          <w:lang w:val="hy-AM"/>
        </w:rPr>
        <w:t xml:space="preserve"> մլն դրամ:</w:t>
      </w:r>
    </w:p>
    <w:p w14:paraId="64584F89" w14:textId="77777777" w:rsidR="001816A6" w:rsidRPr="007955BB" w:rsidRDefault="001816A6" w:rsidP="00AC1E1E">
      <w:pPr>
        <w:tabs>
          <w:tab w:val="left" w:pos="180"/>
        </w:tabs>
        <w:rPr>
          <w:rFonts w:cs="Sylfaen"/>
          <w:b w:val="0"/>
          <w:szCs w:val="22"/>
          <w:lang w:val="hy-AM"/>
        </w:rPr>
      </w:pPr>
      <w:r w:rsidRPr="007955BB">
        <w:rPr>
          <w:rFonts w:cs="Sylfaen"/>
          <w:b w:val="0"/>
          <w:szCs w:val="22"/>
          <w:lang w:val="hy-AM"/>
        </w:rPr>
        <w:t>Ծրագրի նպատակը դեղերի անվտանգության, արդյունավետության և որակի ապահովումն է, ՀՀ հիմնական դեղերի ցանկում առկա կենսականորեն անհրաժեշտ դեղերի ֆիզիկական և տնտե</w:t>
      </w:r>
      <w:r w:rsidR="00025871">
        <w:rPr>
          <w:rFonts w:cs="Sylfaen"/>
          <w:b w:val="0"/>
          <w:szCs w:val="22"/>
          <w:lang w:val="hy-AM"/>
        </w:rPr>
        <w:t>սական մատչելիության բարձրացումը</w:t>
      </w:r>
      <w:r w:rsidRPr="007955BB">
        <w:rPr>
          <w:rFonts w:cs="Sylfaen"/>
          <w:b w:val="0"/>
          <w:szCs w:val="22"/>
          <w:lang w:val="hy-AM"/>
        </w:rPr>
        <w:t xml:space="preserve">: Ծրագրի շրջանակներում նախատեսված հատկացումներն ուղղվելու են ՀՀ կառավարության 2019թ.-ի մայիսի 30-ի N 642-Ն որոշմամբ սահմանված թվով </w:t>
      </w:r>
      <w:r>
        <w:rPr>
          <w:rFonts w:cs="Sylfaen"/>
          <w:b w:val="0"/>
          <w:szCs w:val="22"/>
          <w:lang w:val="hy-AM"/>
        </w:rPr>
        <w:t>20</w:t>
      </w:r>
      <w:r w:rsidR="00C461B6" w:rsidRPr="00C461B6">
        <w:rPr>
          <w:rFonts w:cs="Sylfaen"/>
          <w:b w:val="0"/>
          <w:szCs w:val="22"/>
          <w:lang w:val="hy-AM"/>
        </w:rPr>
        <w:t>5228</w:t>
      </w:r>
      <w:r w:rsidRPr="007955BB">
        <w:rPr>
          <w:rFonts w:cs="Sylfaen"/>
          <w:b w:val="0"/>
          <w:szCs w:val="22"/>
          <w:lang w:val="hy-AM"/>
        </w:rPr>
        <w:t xml:space="preserve"> շահառուներին՝ պետության կողմից անվճար և արտոնյալ պայմաններով դեղորայքի տրամադրման համար ապահովելով 1</w:t>
      </w:r>
      <w:r w:rsidR="00C461B6" w:rsidRPr="00C461B6">
        <w:rPr>
          <w:rFonts w:cs="Sylfaen"/>
          <w:b w:val="0"/>
          <w:szCs w:val="22"/>
          <w:lang w:val="hy-AM"/>
        </w:rPr>
        <w:t>8</w:t>
      </w:r>
      <w:r w:rsidRPr="007955BB">
        <w:rPr>
          <w:rFonts w:cs="Sylfaen"/>
          <w:b w:val="0"/>
          <w:szCs w:val="22"/>
          <w:lang w:val="hy-AM"/>
        </w:rPr>
        <w:t xml:space="preserve"> հիվանդության ծածկույթ: Ծրագրի շրջանակներում նախատեսվում է իրականացնել նաև թվով </w:t>
      </w:r>
      <w:r>
        <w:rPr>
          <w:rFonts w:cs="Sylfaen"/>
          <w:b w:val="0"/>
          <w:szCs w:val="22"/>
          <w:lang w:val="hy-AM"/>
        </w:rPr>
        <w:t>167</w:t>
      </w:r>
      <w:r w:rsidRPr="007955BB">
        <w:rPr>
          <w:rFonts w:cs="Sylfaen"/>
          <w:b w:val="0"/>
          <w:szCs w:val="22"/>
          <w:lang w:val="hy-AM"/>
        </w:rPr>
        <w:t xml:space="preserve"> հատ մարդասիրական օգնության կարգով ստացվող դեղերի և բժշկական պարագաների բեռների ստացման, մաքսազերծման և պահպանման ծառայություններ:</w:t>
      </w:r>
    </w:p>
    <w:bookmarkEnd w:id="298"/>
    <w:p w14:paraId="2AF035CE" w14:textId="77777777" w:rsidR="001816A6" w:rsidRPr="007955BB" w:rsidRDefault="001816A6" w:rsidP="00AC1E1E">
      <w:pPr>
        <w:tabs>
          <w:tab w:val="left" w:pos="180"/>
          <w:tab w:val="left" w:pos="851"/>
        </w:tabs>
        <w:rPr>
          <w:rFonts w:cs="Sylfaen"/>
          <w:b w:val="0"/>
          <w:szCs w:val="22"/>
          <w:lang w:val="hy-AM"/>
        </w:rPr>
      </w:pPr>
      <w:r w:rsidRPr="007955BB">
        <w:rPr>
          <w:rFonts w:cs="Sylfaen"/>
          <w:bCs/>
          <w:szCs w:val="22"/>
          <w:lang w:val="hy-AM"/>
        </w:rPr>
        <w:t xml:space="preserve">Խորհրդատվական, մասնագիտական աջակցություն և հետազոտություններ </w:t>
      </w:r>
      <w:r w:rsidRPr="007955BB">
        <w:rPr>
          <w:rFonts w:cs="Sylfaen"/>
          <w:b w:val="0"/>
          <w:bCs/>
          <w:szCs w:val="22"/>
          <w:lang w:val="hy-AM"/>
        </w:rPr>
        <w:t>ծրագրի գծով նախատեսվել է 382.4 մլն դրամ:</w:t>
      </w:r>
      <w:bookmarkStart w:id="299" w:name="_Hlk19665130"/>
      <w:r w:rsidRPr="007955BB">
        <w:rPr>
          <w:rFonts w:cs="Sylfaen"/>
          <w:b w:val="0"/>
          <w:bCs/>
          <w:szCs w:val="22"/>
          <w:lang w:val="hy-AM"/>
        </w:rPr>
        <w:t xml:space="preserve"> </w:t>
      </w:r>
      <w:r w:rsidRPr="007955BB">
        <w:rPr>
          <w:rFonts w:cs="Sylfaen"/>
          <w:b w:val="0"/>
          <w:szCs w:val="22"/>
          <w:lang w:val="hy-AM"/>
        </w:rPr>
        <w:t xml:space="preserve">Ծրագրի նպատակն է բժշկական օգնության կազմակերպման ու որակի բարձրացման կարգավորման մասնագիտական, խորհրդատվական, կազմակերպամեթոդական ապահովումը, համակարգի գործունեության արդյունքների գնահատումը, ինչպես նաև բժիշկ-մասնագետների ժամանակավոր ուղեգրման միջոցով ՀՀ մարզային առողջապահական կազմակերպություններում բժշկական ծառայությունների մատուցումը: </w:t>
      </w:r>
    </w:p>
    <w:p w14:paraId="5C4CDD0D" w14:textId="77777777" w:rsidR="001816A6" w:rsidRPr="007955BB" w:rsidRDefault="001816A6" w:rsidP="00AC1E1E">
      <w:pPr>
        <w:tabs>
          <w:tab w:val="left" w:pos="180"/>
          <w:tab w:val="left" w:pos="851"/>
        </w:tabs>
        <w:rPr>
          <w:b w:val="0"/>
          <w:bCs/>
          <w:lang w:val="hy-AM"/>
        </w:rPr>
      </w:pPr>
      <w:r w:rsidRPr="007955BB">
        <w:rPr>
          <w:rFonts w:cs="Sylfaen"/>
          <w:b w:val="0"/>
          <w:szCs w:val="22"/>
          <w:lang w:val="hy-AM"/>
        </w:rPr>
        <w:t>Ծրագրի շրջանակներում նախատե</w:t>
      </w:r>
      <w:r>
        <w:rPr>
          <w:rFonts w:cs="Sylfaen"/>
          <w:b w:val="0"/>
          <w:szCs w:val="22"/>
          <w:lang w:val="hy-AM"/>
        </w:rPr>
        <w:t>ս</w:t>
      </w:r>
      <w:r w:rsidRPr="007955BB">
        <w:rPr>
          <w:rFonts w:cs="Sylfaen"/>
          <w:b w:val="0"/>
          <w:szCs w:val="22"/>
          <w:lang w:val="hy-AM"/>
        </w:rPr>
        <w:t xml:space="preserve">վում է իրականացնել 250 հատ շարունակական մասնագիտական զարգացման կրեդիտային համակարգի ծառայություններ, </w:t>
      </w:r>
      <w:r>
        <w:rPr>
          <w:rFonts w:cs="Sylfaen"/>
          <w:b w:val="0"/>
          <w:szCs w:val="22"/>
          <w:lang w:val="hy-AM"/>
        </w:rPr>
        <w:t>30</w:t>
      </w:r>
      <w:r w:rsidRPr="007955BB">
        <w:rPr>
          <w:rFonts w:cs="Sylfaen"/>
          <w:b w:val="0"/>
          <w:szCs w:val="22"/>
          <w:lang w:val="hy-AM"/>
        </w:rPr>
        <w:t xml:space="preserve"> ուղեցույցերի, գործելակարգերի, հաշվառման ձևերի և այլ փաստաթղթերի մշակման ծառայություններ, 5</w:t>
      </w:r>
      <w:r>
        <w:rPr>
          <w:rFonts w:cs="Sylfaen"/>
          <w:b w:val="0"/>
          <w:szCs w:val="22"/>
          <w:lang w:val="hy-AM"/>
        </w:rPr>
        <w:t xml:space="preserve">0 բժիշկ-մասնագետների ուղեգրումն </w:t>
      </w:r>
      <w:r w:rsidRPr="007955BB">
        <w:rPr>
          <w:rFonts w:cs="Sylfaen"/>
          <w:b w:val="0"/>
          <w:szCs w:val="22"/>
          <w:lang w:val="hy-AM"/>
        </w:rPr>
        <w:t xml:space="preserve">ընդունած </w:t>
      </w:r>
      <w:r>
        <w:rPr>
          <w:rFonts w:cs="Sylfaen"/>
          <w:b w:val="0"/>
          <w:szCs w:val="22"/>
          <w:lang w:val="hy-AM"/>
        </w:rPr>
        <w:t>20</w:t>
      </w:r>
      <w:r w:rsidRPr="007955BB">
        <w:rPr>
          <w:rFonts w:cs="Sylfaen"/>
          <w:b w:val="0"/>
          <w:szCs w:val="22"/>
          <w:lang w:val="hy-AM"/>
        </w:rPr>
        <w:t xml:space="preserve"> մարզային առողջապահական կազմակերպություններ, ինչպես նաև 1200 բուժաշխատողների շարունակական մասնագիտական վերապատրաստման դասընթացներ:</w:t>
      </w:r>
      <w:bookmarkEnd w:id="299"/>
    </w:p>
    <w:p w14:paraId="0BC924ED" w14:textId="77777777" w:rsidR="001816A6" w:rsidRPr="007955BB" w:rsidRDefault="001816A6" w:rsidP="00AC1E1E">
      <w:pPr>
        <w:tabs>
          <w:tab w:val="left" w:pos="180"/>
          <w:tab w:val="left" w:pos="851"/>
        </w:tabs>
        <w:rPr>
          <w:rFonts w:cs="Sylfaen"/>
          <w:b w:val="0"/>
          <w:szCs w:val="22"/>
          <w:lang w:val="hy-AM"/>
        </w:rPr>
      </w:pPr>
      <w:r w:rsidRPr="007955BB">
        <w:rPr>
          <w:rFonts w:cs="Sylfaen"/>
          <w:bCs/>
          <w:szCs w:val="22"/>
          <w:lang w:val="hy-AM"/>
        </w:rPr>
        <w:t xml:space="preserve">Մոր և մանկան առողջության պահպանում ծրագրի </w:t>
      </w:r>
      <w:r w:rsidRPr="007955BB">
        <w:rPr>
          <w:rFonts w:cs="Sylfaen"/>
          <w:b w:val="0"/>
          <w:bCs/>
          <w:szCs w:val="22"/>
          <w:lang w:val="hy-AM"/>
        </w:rPr>
        <w:t xml:space="preserve">գծով նախատեսվել է </w:t>
      </w:r>
      <w:r>
        <w:rPr>
          <w:rFonts w:cs="Sylfaen"/>
          <w:b w:val="0"/>
          <w:bCs/>
          <w:szCs w:val="22"/>
          <w:lang w:val="hy-AM"/>
        </w:rPr>
        <w:t>23,017.0</w:t>
      </w:r>
      <w:r w:rsidRPr="007955BB">
        <w:rPr>
          <w:rFonts w:cs="Sylfaen"/>
          <w:b w:val="0"/>
          <w:bCs/>
          <w:szCs w:val="22"/>
          <w:lang w:val="hy-AM"/>
        </w:rPr>
        <w:t xml:space="preserve"> մլն դրամ: </w:t>
      </w:r>
      <w:r w:rsidRPr="007955BB">
        <w:rPr>
          <w:rFonts w:cs="Sylfaen"/>
          <w:b w:val="0"/>
          <w:szCs w:val="22"/>
          <w:lang w:val="hy-AM"/>
        </w:rPr>
        <w:t xml:space="preserve">Ծրագրի նպատակն է մոր և մանկան առողջության պահպանումը, կանանց և երեխաներին մատուցվող բժշկական ծառայությունների մատչելիության և որակի բարելավումը, որի արդյունքում ակնկալվում է մանկական և մայրական մահացության և հիվանդացության կրճատում, կանանց վերարտադրողական առողջության բարելավում: </w:t>
      </w:r>
    </w:p>
    <w:p w14:paraId="3E9A4C79" w14:textId="77777777" w:rsidR="001816A6" w:rsidRPr="007955BB" w:rsidRDefault="001816A6" w:rsidP="00AC1E1E">
      <w:pPr>
        <w:tabs>
          <w:tab w:val="left" w:pos="180"/>
          <w:tab w:val="left" w:pos="540"/>
        </w:tabs>
        <w:rPr>
          <w:rFonts w:cs="Sylfaen"/>
          <w:b w:val="0"/>
          <w:szCs w:val="22"/>
          <w:lang w:val="hy-AM" w:eastAsia="x-none"/>
        </w:rPr>
      </w:pPr>
      <w:r w:rsidRPr="007955BB">
        <w:rPr>
          <w:rFonts w:cs="Sylfaen"/>
          <w:b w:val="0"/>
          <w:szCs w:val="22"/>
          <w:lang w:val="hy-AM" w:eastAsia="x-none"/>
        </w:rPr>
        <w:t xml:space="preserve">Ծրագրի շրջանակներում նախատեսվում է իրականացնել մանկաբարձական բժշկական օգնության ծառայություններից օգտվելու 51631 դեպք, 36114 հատ ծնունդներ, 13267 կեսարյան հատում, երեխաների բժշկական օգնության գծով ծառայություններից օգտվելու 81810 դեպք, մտավոր, հոգեկան (վարքագծային), լսողական, ֆիզիկական (շարժողական) և զարգացման այլ խանգարումներով երեխաների վերականգնողական բուժման գծով ծառայություններից օգտվելու 91780 դեպք, </w:t>
      </w:r>
      <w:r>
        <w:rPr>
          <w:rFonts w:cs="Sylfaen"/>
          <w:b w:val="0"/>
          <w:szCs w:val="22"/>
          <w:lang w:val="hy-AM" w:eastAsia="x-none"/>
        </w:rPr>
        <w:t>3618</w:t>
      </w:r>
      <w:r w:rsidRPr="007955BB">
        <w:rPr>
          <w:rFonts w:cs="Sylfaen"/>
          <w:b w:val="0"/>
          <w:szCs w:val="22"/>
          <w:lang w:val="hy-AM" w:eastAsia="x-none"/>
        </w:rPr>
        <w:t xml:space="preserve"> ամուսնական զույգերի տրամադրել </w:t>
      </w:r>
      <w:r w:rsidRPr="007955BB">
        <w:rPr>
          <w:rFonts w:cs="Sylfaen"/>
          <w:b w:val="0"/>
          <w:szCs w:val="22"/>
          <w:lang w:val="hy-AM" w:eastAsia="x-none"/>
        </w:rPr>
        <w:lastRenderedPageBreak/>
        <w:t xml:space="preserve">վերարտադրողական օժանդակ տեխնոլոգիաների կիրառմամբ բժշկական օգնության ծառայություններ, այդ թվում՝ իրականացնել </w:t>
      </w:r>
      <w:r>
        <w:rPr>
          <w:rFonts w:cs="Sylfaen"/>
          <w:b w:val="0"/>
          <w:szCs w:val="22"/>
          <w:lang w:val="hy-AM" w:eastAsia="x-none"/>
        </w:rPr>
        <w:t>72851</w:t>
      </w:r>
      <w:r w:rsidRPr="007955BB">
        <w:rPr>
          <w:rFonts w:cs="Sylfaen"/>
          <w:b w:val="0"/>
          <w:szCs w:val="22"/>
          <w:lang w:val="hy-AM" w:eastAsia="x-none"/>
        </w:rPr>
        <w:t xml:space="preserve"> հատ հետազոտություններ, ինչպես նաև անցկացնել 135000 հատ բնածին հիպոթիրեոզի, ֆենիլկենտոնուրիայի և լսողութ</w:t>
      </w:r>
      <w:r w:rsidRPr="000635F8">
        <w:rPr>
          <w:rFonts w:cs="Sylfaen"/>
          <w:b w:val="0"/>
          <w:szCs w:val="22"/>
          <w:lang w:val="hy-AM" w:eastAsia="x-none"/>
        </w:rPr>
        <w:t>յ</w:t>
      </w:r>
      <w:r w:rsidRPr="007955BB">
        <w:rPr>
          <w:rFonts w:cs="Sylfaen"/>
          <w:b w:val="0"/>
          <w:szCs w:val="22"/>
          <w:lang w:val="hy-AM" w:eastAsia="x-none"/>
        </w:rPr>
        <w:t>ան խանգարումների վաղ հայտնաբերման նպատակով նորածնային սկրինինգի հետազոտություններ:</w:t>
      </w:r>
    </w:p>
    <w:p w14:paraId="40749686" w14:textId="77777777" w:rsidR="001816A6" w:rsidRPr="007955BB" w:rsidRDefault="001816A6" w:rsidP="00AC1E1E">
      <w:pPr>
        <w:tabs>
          <w:tab w:val="left" w:pos="180"/>
          <w:tab w:val="left" w:pos="540"/>
        </w:tabs>
        <w:rPr>
          <w:rFonts w:cs="Sylfaen"/>
          <w:b w:val="0"/>
          <w:szCs w:val="22"/>
          <w:lang w:val="hy-AM" w:eastAsia="x-none"/>
        </w:rPr>
      </w:pPr>
      <w:r w:rsidRPr="007955BB">
        <w:rPr>
          <w:rFonts w:cs="Sylfaen"/>
          <w:bCs/>
          <w:szCs w:val="22"/>
          <w:lang w:val="hy-AM" w:eastAsia="x-none"/>
        </w:rPr>
        <w:t xml:space="preserve">Շտապ բժշկական օգնություն ծրագրի </w:t>
      </w:r>
      <w:r w:rsidRPr="007955BB">
        <w:rPr>
          <w:rFonts w:cs="Sylfaen"/>
          <w:b w:val="0"/>
          <w:szCs w:val="22"/>
          <w:lang w:val="hy-AM" w:eastAsia="x-none"/>
        </w:rPr>
        <w:t>գծով նախատեսվել է 5,311.0 մլն դրամ:</w:t>
      </w:r>
    </w:p>
    <w:p w14:paraId="53BF60FB" w14:textId="77777777" w:rsidR="001816A6" w:rsidRPr="007955BB" w:rsidRDefault="001816A6" w:rsidP="00AC1E1E">
      <w:pPr>
        <w:tabs>
          <w:tab w:val="left" w:pos="180"/>
        </w:tabs>
        <w:rPr>
          <w:rFonts w:cs="Sylfaen"/>
          <w:b w:val="0"/>
          <w:szCs w:val="22"/>
          <w:lang w:val="hy-AM"/>
        </w:rPr>
      </w:pPr>
      <w:r w:rsidRPr="007955BB">
        <w:rPr>
          <w:rFonts w:cs="Sylfaen"/>
          <w:b w:val="0"/>
          <w:szCs w:val="22"/>
          <w:lang w:val="hy-AM"/>
        </w:rPr>
        <w:t xml:space="preserve">Ծրագրի նպատակն է մարդու կյանքին և առողջությանը վտանգ սպառնացող վիճակներում որակյալ շտապ բժշկական օգնության ծառայությունների տրամադրումը, որի արդյունքում նախատեսվում է բարելավել շտապ օգնության համակարգի պատրաստվածությունը, արձագանքման արագությունը, հասանելիության և բժշկական օգնության ծառայությունների որակը: </w:t>
      </w:r>
    </w:p>
    <w:p w14:paraId="6FF84FE7" w14:textId="77777777" w:rsidR="001816A6" w:rsidRPr="007955BB" w:rsidRDefault="001816A6" w:rsidP="00AC1E1E">
      <w:pPr>
        <w:tabs>
          <w:tab w:val="left" w:pos="180"/>
        </w:tabs>
        <w:rPr>
          <w:rFonts w:cs="Sylfaen"/>
          <w:b w:val="0"/>
          <w:szCs w:val="22"/>
          <w:lang w:val="hy-AM"/>
        </w:rPr>
      </w:pPr>
      <w:r w:rsidRPr="007955BB">
        <w:rPr>
          <w:rFonts w:cs="Sylfaen"/>
          <w:b w:val="0"/>
          <w:szCs w:val="22"/>
          <w:lang w:val="hy-AM"/>
        </w:rPr>
        <w:t xml:space="preserve">Ծրագրի շրջանակներում նախատեսված </w:t>
      </w:r>
      <w:r w:rsidRPr="000635F8">
        <w:rPr>
          <w:rFonts w:cs="Sylfaen"/>
          <w:b w:val="0"/>
          <w:szCs w:val="22"/>
          <w:lang w:val="hy-AM"/>
        </w:rPr>
        <w:t xml:space="preserve">է </w:t>
      </w:r>
      <w:r w:rsidRPr="007955BB">
        <w:rPr>
          <w:rFonts w:cs="Sylfaen"/>
          <w:b w:val="0"/>
          <w:szCs w:val="22"/>
          <w:lang w:val="hy-AM"/>
        </w:rPr>
        <w:t xml:space="preserve">իրականացնել </w:t>
      </w:r>
      <w:r>
        <w:rPr>
          <w:rFonts w:cs="Sylfaen"/>
          <w:b w:val="0"/>
          <w:szCs w:val="22"/>
          <w:lang w:val="hy-AM"/>
        </w:rPr>
        <w:t>546219</w:t>
      </w:r>
      <w:r w:rsidRPr="007955BB">
        <w:rPr>
          <w:rFonts w:cs="Sylfaen"/>
          <w:b w:val="0"/>
          <w:szCs w:val="22"/>
          <w:lang w:val="hy-AM"/>
        </w:rPr>
        <w:t xml:space="preserve"> հատ շտապ օգնության և </w:t>
      </w:r>
      <w:r>
        <w:rPr>
          <w:rFonts w:cs="Sylfaen"/>
          <w:b w:val="0"/>
          <w:szCs w:val="22"/>
          <w:lang w:val="hy-AM"/>
        </w:rPr>
        <w:t>65</w:t>
      </w:r>
      <w:r w:rsidRPr="007955BB">
        <w:rPr>
          <w:rFonts w:cs="Sylfaen"/>
          <w:b w:val="0"/>
          <w:szCs w:val="22"/>
          <w:lang w:val="hy-AM"/>
        </w:rPr>
        <w:t xml:space="preserve"> հատ օդային ճանապարհով սանիտարական ավիացիայի կանչեր, ինչպես նաև </w:t>
      </w:r>
      <w:r>
        <w:rPr>
          <w:rFonts w:cs="Sylfaen"/>
          <w:b w:val="0"/>
          <w:szCs w:val="22"/>
          <w:lang w:val="hy-AM"/>
        </w:rPr>
        <w:t>11452</w:t>
      </w:r>
      <w:r w:rsidRPr="007955BB">
        <w:rPr>
          <w:rFonts w:cs="Sylfaen"/>
          <w:b w:val="0"/>
          <w:szCs w:val="22"/>
          <w:lang w:val="hy-AM"/>
        </w:rPr>
        <w:t xml:space="preserve"> հատ մարզերից Երևան կամ այլ տարածաշրջանային հիվանդանոցներ հիվանդի տեղափոխման դեպքեր:</w:t>
      </w:r>
    </w:p>
    <w:p w14:paraId="241E3F24" w14:textId="77777777" w:rsidR="001816A6" w:rsidRPr="007955BB" w:rsidRDefault="001816A6" w:rsidP="00AC1E1E">
      <w:pPr>
        <w:tabs>
          <w:tab w:val="left" w:pos="180"/>
        </w:tabs>
        <w:rPr>
          <w:rFonts w:cs="Sylfaen"/>
          <w:b w:val="0"/>
          <w:szCs w:val="22"/>
          <w:lang w:val="hy-AM"/>
        </w:rPr>
      </w:pPr>
      <w:r w:rsidRPr="007955BB">
        <w:rPr>
          <w:rFonts w:cs="Sylfaen"/>
          <w:bCs/>
          <w:szCs w:val="22"/>
          <w:lang w:val="hy-AM"/>
        </w:rPr>
        <w:t xml:space="preserve">Ոչ վարակիչ հիվանդությունների բժշկական օգնության ապահովում </w:t>
      </w:r>
      <w:r w:rsidRPr="007955BB">
        <w:rPr>
          <w:rFonts w:cs="Sylfaen"/>
          <w:b w:val="0"/>
          <w:bCs/>
          <w:szCs w:val="22"/>
          <w:lang w:val="hy-AM"/>
        </w:rPr>
        <w:t>ծր</w:t>
      </w:r>
      <w:r w:rsidRPr="007955BB">
        <w:rPr>
          <w:rFonts w:cs="Sylfaen"/>
          <w:b w:val="0"/>
          <w:szCs w:val="22"/>
          <w:lang w:val="hy-AM"/>
        </w:rPr>
        <w:t xml:space="preserve">ագրի գծով նախատեսվել է </w:t>
      </w:r>
      <w:r>
        <w:rPr>
          <w:rFonts w:cs="Sylfaen"/>
          <w:b w:val="0"/>
          <w:szCs w:val="22"/>
          <w:lang w:val="hy-AM"/>
        </w:rPr>
        <w:t>39,720.4</w:t>
      </w:r>
      <w:r w:rsidRPr="007955BB">
        <w:rPr>
          <w:rFonts w:cs="Sylfaen"/>
          <w:b w:val="0"/>
          <w:szCs w:val="22"/>
          <w:lang w:val="hy-AM"/>
        </w:rPr>
        <w:t xml:space="preserve"> մլն դրամ:</w:t>
      </w:r>
    </w:p>
    <w:p w14:paraId="3769030C" w14:textId="77777777" w:rsidR="001816A6" w:rsidRPr="007955BB" w:rsidRDefault="001816A6" w:rsidP="00AC1E1E">
      <w:pPr>
        <w:tabs>
          <w:tab w:val="left" w:pos="180"/>
        </w:tabs>
        <w:rPr>
          <w:rFonts w:cs="Sylfaen"/>
          <w:b w:val="0"/>
          <w:szCs w:val="22"/>
          <w:lang w:val="hy-AM"/>
        </w:rPr>
      </w:pPr>
      <w:r w:rsidRPr="007955BB">
        <w:rPr>
          <w:rFonts w:cs="Sylfaen"/>
          <w:b w:val="0"/>
          <w:szCs w:val="22"/>
          <w:lang w:val="hy-AM"/>
        </w:rPr>
        <w:t>Ծրագրի նպատակն է ոչ վարակիչ հիվանդությունների (մասնավորապես՛ սիրտանոթային, շաքարային դիաբետի և չարորակ նորագոյացությունների) բուժման արդյունավետության բարձրացումը: Ծրագրի իրականացման արդյունքում նախատեսվում է նվազեցնել ոչ վարակիչ հիվանդություններով պայմանավորված հիվանդացությունը և մահացությունը:</w:t>
      </w:r>
    </w:p>
    <w:p w14:paraId="52A6BB53" w14:textId="5063515C" w:rsidR="001816A6" w:rsidRDefault="001816A6" w:rsidP="00AC1E1E">
      <w:pPr>
        <w:tabs>
          <w:tab w:val="left" w:pos="180"/>
        </w:tabs>
        <w:rPr>
          <w:rFonts w:cs="Sylfaen"/>
          <w:b w:val="0"/>
          <w:szCs w:val="22"/>
          <w:lang w:val="hy-AM"/>
        </w:rPr>
      </w:pPr>
      <w:r w:rsidRPr="005E20FD">
        <w:rPr>
          <w:rFonts w:cs="Sylfaen"/>
          <w:b w:val="0"/>
          <w:szCs w:val="22"/>
          <w:lang w:val="hy-AM"/>
        </w:rPr>
        <w:t>Նկատի ունենալով, որ ներկայումս քննարկվում է առողջության համա</w:t>
      </w:r>
      <w:r w:rsidR="007A3DE3">
        <w:rPr>
          <w:rFonts w:cs="Sylfaen"/>
          <w:b w:val="0"/>
          <w:szCs w:val="22"/>
          <w:lang w:val="hy-AM"/>
        </w:rPr>
        <w:t>պարփակ ապահովագրության համակարգի</w:t>
      </w:r>
      <w:r w:rsidRPr="005E20FD">
        <w:rPr>
          <w:rFonts w:cs="Sylfaen"/>
          <w:b w:val="0"/>
          <w:szCs w:val="22"/>
          <w:lang w:val="hy-AM"/>
        </w:rPr>
        <w:t xml:space="preserve"> ներդրման հարցը՝ այդ նպատակով 2024թ. պետական բյուջեով ն</w:t>
      </w:r>
      <w:r w:rsidR="007A3DE3" w:rsidRPr="001F6A37">
        <w:rPr>
          <w:rFonts w:cs="Sylfaen"/>
          <w:b w:val="0"/>
          <w:szCs w:val="22"/>
          <w:lang w:val="hy-AM"/>
        </w:rPr>
        <w:t>ա</w:t>
      </w:r>
      <w:r w:rsidRPr="005E20FD">
        <w:rPr>
          <w:rFonts w:cs="Sylfaen"/>
          <w:b w:val="0"/>
          <w:szCs w:val="22"/>
          <w:lang w:val="hy-AM"/>
        </w:rPr>
        <w:t>խատեսվել է 26,092.8 մլն դրամ, որից 8,092.8 մլն դրամն առողջության համապարփակ ապահովագրության համակարգի ներդրման համատեքստում ՀՀ առողջապահության նախարարության առաջարկով բաշխվել է 2024թ. բյուջեով «Առողջապահություն» բաժնի մի շարք միջոցառումների միջև, իսկ 18,000.0 մլն դրամը նախատեսվել է սույն ծրագրով Առողջության համապարփակ ապահովագրության համակարգի ներդրմանն ուղղված միջոցառումների համար: Սակայն, հաշվի առնելով, որ դեռևս քննարկման փուլում է գտնվում ապահովագրական փաթեթների մեջ ներառվող ծառայությունների, ապահովագրական վճարի, ֆինանսավորման մեխանիզմի, ինչպես նաև կառավարման մոդելի հարցերը և գնագոյացման սկզբունքները, ինչպես նաև հաստատված չեն համապատասխան իրավական ակտերը՝ միջոցառման Բ</w:t>
      </w:r>
      <w:r w:rsidR="00C461B6">
        <w:rPr>
          <w:rFonts w:cs="Sylfaen"/>
          <w:b w:val="0"/>
          <w:szCs w:val="22"/>
          <w:lang w:val="hy-AM"/>
        </w:rPr>
        <w:t>ՍԿ-ն սահմանվել է ՀՀ կառավարությու</w:t>
      </w:r>
      <w:r w:rsidRPr="005E20FD">
        <w:rPr>
          <w:rFonts w:cs="Sylfaen"/>
          <w:b w:val="0"/>
          <w:szCs w:val="22"/>
          <w:lang w:val="hy-AM"/>
        </w:rPr>
        <w:t>նը, մինչև վերը նշված հարցերի համաձայնեցումը:</w:t>
      </w:r>
    </w:p>
    <w:p w14:paraId="616D426E" w14:textId="77777777" w:rsidR="00C461B6" w:rsidRPr="005E20FD" w:rsidRDefault="00C461B6" w:rsidP="00AC1E1E">
      <w:pPr>
        <w:tabs>
          <w:tab w:val="left" w:pos="180"/>
        </w:tabs>
        <w:rPr>
          <w:rFonts w:cs="Sylfaen"/>
          <w:b w:val="0"/>
          <w:szCs w:val="22"/>
          <w:lang w:val="hy-AM"/>
        </w:rPr>
      </w:pPr>
      <w:r w:rsidRPr="00C461B6">
        <w:rPr>
          <w:rFonts w:cs="Sylfaen"/>
          <w:b w:val="0"/>
          <w:szCs w:val="22"/>
          <w:lang w:val="hy-AM"/>
        </w:rPr>
        <w:t xml:space="preserve">Միաժամանակ, ՀՀ 2024թ. պետական բյուջեով Առողջապահության համապարփակ ապահովագրության համակարգի ներդրման համար նախատեսված գումարները ՀՀ առողջապահության նախարարությանը հատկացվելու են միջազգային կառույցների կողմից արդյունքի դիմաց «Համընդհանուր առողջապահական ծածկույթի աջակցման </w:t>
      </w:r>
      <w:r w:rsidRPr="00C461B6">
        <w:rPr>
          <w:rFonts w:cs="Sylfaen"/>
          <w:b w:val="0"/>
          <w:szCs w:val="22"/>
          <w:lang w:val="hy-AM"/>
        </w:rPr>
        <w:lastRenderedPageBreak/>
        <w:t>ծրագիր»-ի համար տրվող աջակցության շրջանակներում սահմանված արդյունքների (DLI-ների) ապահովման դեպքում:</w:t>
      </w:r>
    </w:p>
    <w:p w14:paraId="379A69A7" w14:textId="77777777" w:rsidR="001816A6" w:rsidRPr="007955BB" w:rsidRDefault="001816A6" w:rsidP="00AC1E1E">
      <w:pPr>
        <w:tabs>
          <w:tab w:val="left" w:pos="180"/>
        </w:tabs>
        <w:rPr>
          <w:rFonts w:cs="Sylfaen"/>
          <w:b w:val="0"/>
          <w:szCs w:val="22"/>
          <w:lang w:val="hy-AM"/>
        </w:rPr>
      </w:pPr>
      <w:r w:rsidRPr="007955BB">
        <w:rPr>
          <w:rFonts w:cs="Sylfaen"/>
          <w:b w:val="0"/>
          <w:szCs w:val="22"/>
          <w:lang w:val="hy-AM"/>
        </w:rPr>
        <w:t>Ծրագրի շրջա</w:t>
      </w:r>
      <w:r>
        <w:rPr>
          <w:rFonts w:cs="Sylfaen"/>
          <w:b w:val="0"/>
          <w:szCs w:val="22"/>
          <w:lang w:val="hy-AM"/>
        </w:rPr>
        <w:t>նակներում նախատեսված միջոցներից 21,720.4 մլն դրամ հատկացումն</w:t>
      </w:r>
      <w:r w:rsidRPr="007955BB">
        <w:rPr>
          <w:rFonts w:cs="Sylfaen"/>
          <w:b w:val="0"/>
          <w:szCs w:val="22"/>
          <w:lang w:val="hy-AM"/>
        </w:rPr>
        <w:t>երն ուղղվելու են 160650 հատ հեմոդիալիզի անցկացման սեանսներին, անհետաձգելի բժշկական օգնության ծառայություններից օգտվելու՝ 26857 դեպքի, գլխուղեղի սուր կամ ենթասուր իշեմիկ</w:t>
      </w:r>
      <w:r>
        <w:rPr>
          <w:rFonts w:cs="Sylfaen"/>
          <w:b w:val="0"/>
          <w:szCs w:val="22"/>
          <w:lang w:val="hy-AM"/>
        </w:rPr>
        <w:t xml:space="preserve"> ինսուլտի բուժման՝ 727 դեպքի, ա</w:t>
      </w:r>
      <w:r w:rsidRPr="007955BB">
        <w:rPr>
          <w:rFonts w:cs="Sylfaen"/>
          <w:b w:val="0"/>
          <w:szCs w:val="22"/>
          <w:lang w:val="hy-AM"/>
        </w:rPr>
        <w:t>ո</w:t>
      </w:r>
      <w:r w:rsidRPr="000635F8">
        <w:rPr>
          <w:rFonts w:cs="Sylfaen"/>
          <w:b w:val="0"/>
          <w:szCs w:val="22"/>
          <w:lang w:val="hy-AM"/>
        </w:rPr>
        <w:t>ր</w:t>
      </w:r>
      <w:r w:rsidRPr="007955BB">
        <w:rPr>
          <w:rFonts w:cs="Sylfaen"/>
          <w:b w:val="0"/>
          <w:szCs w:val="22"/>
          <w:lang w:val="hy-AM"/>
        </w:rPr>
        <w:t xml:space="preserve">տայի շերտազատված անևրիզմայի վիրահատական բուժման՝ 100 դեպքի, հիվանդանոցային պայմաններում արտահիվանդանոցային բժշկական օգնության (emergency)` 87456 դեպքի, հոգեկան և նարկոլոգիական հիվանդների բժշկական օգնության գծով ծառայություններից օգտվելու՝ 8095 դեպքի, ուռուցքաբանական և արյունաբանական հիվանդությունների բժշկական օգնության գծով ծառայություններից օգտվելու՝ </w:t>
      </w:r>
      <w:r>
        <w:rPr>
          <w:rFonts w:cs="Sylfaen"/>
          <w:b w:val="0"/>
          <w:szCs w:val="22"/>
          <w:lang w:val="hy-AM"/>
        </w:rPr>
        <w:t>47010</w:t>
      </w:r>
      <w:r w:rsidRPr="007955BB">
        <w:rPr>
          <w:rFonts w:cs="Sylfaen"/>
          <w:b w:val="0"/>
          <w:szCs w:val="22"/>
          <w:lang w:val="hy-AM"/>
        </w:rPr>
        <w:t xml:space="preserve"> դեպքի և </w:t>
      </w:r>
      <w:r>
        <w:rPr>
          <w:rFonts w:cs="Sylfaen"/>
          <w:b w:val="0"/>
          <w:szCs w:val="22"/>
          <w:lang w:val="hy-AM"/>
        </w:rPr>
        <w:t>8203</w:t>
      </w:r>
      <w:r w:rsidRPr="007955BB">
        <w:rPr>
          <w:rFonts w:cs="Sylfaen"/>
          <w:b w:val="0"/>
          <w:szCs w:val="22"/>
          <w:lang w:val="hy-AM"/>
        </w:rPr>
        <w:t xml:space="preserve"> վիրաբուժական միջամտությունների, ինչպես նաև սրտի անհետաձգելի վիրահ</w:t>
      </w:r>
      <w:r>
        <w:rPr>
          <w:rFonts w:cs="Sylfaen"/>
          <w:b w:val="0"/>
          <w:szCs w:val="22"/>
          <w:lang w:val="hy-AM"/>
        </w:rPr>
        <w:t xml:space="preserve">ատությունների գծով՝ 2183 դեպքի </w:t>
      </w:r>
      <w:r w:rsidRPr="007955BB">
        <w:rPr>
          <w:rFonts w:cs="Sylfaen"/>
          <w:b w:val="0"/>
          <w:szCs w:val="22"/>
          <w:lang w:val="hy-AM"/>
        </w:rPr>
        <w:t xml:space="preserve">իրականացմանը: </w:t>
      </w:r>
    </w:p>
    <w:p w14:paraId="39D3F087" w14:textId="77777777" w:rsidR="001816A6" w:rsidRPr="007955BB" w:rsidRDefault="001816A6" w:rsidP="00AC1E1E">
      <w:pPr>
        <w:tabs>
          <w:tab w:val="left" w:pos="180"/>
        </w:tabs>
        <w:rPr>
          <w:rFonts w:cs="Sylfaen"/>
          <w:b w:val="0"/>
          <w:szCs w:val="22"/>
          <w:lang w:val="hy-AM"/>
        </w:rPr>
      </w:pPr>
      <w:r w:rsidRPr="007955BB">
        <w:rPr>
          <w:rFonts w:cs="Sylfaen"/>
          <w:bCs/>
          <w:szCs w:val="22"/>
          <w:lang w:val="hy-AM"/>
        </w:rPr>
        <w:t xml:space="preserve">Սոցիալապես անապահով և առանձին խմբերի անձանց բժշկական օգնություն </w:t>
      </w:r>
      <w:r w:rsidRPr="007955BB">
        <w:rPr>
          <w:rFonts w:cs="Sylfaen"/>
          <w:b w:val="0"/>
          <w:bCs/>
          <w:szCs w:val="22"/>
          <w:lang w:val="hy-AM"/>
        </w:rPr>
        <w:t xml:space="preserve">ծրագրի գծով նախատեսվել է </w:t>
      </w:r>
      <w:r>
        <w:rPr>
          <w:rFonts w:cs="Sylfaen"/>
          <w:b w:val="0"/>
          <w:bCs/>
          <w:szCs w:val="22"/>
          <w:lang w:val="hy-AM"/>
        </w:rPr>
        <w:t>38,648.2</w:t>
      </w:r>
      <w:r w:rsidRPr="007955BB">
        <w:rPr>
          <w:rFonts w:cs="Sylfaen"/>
          <w:b w:val="0"/>
          <w:bCs/>
          <w:szCs w:val="22"/>
          <w:lang w:val="hy-AM"/>
        </w:rPr>
        <w:t xml:space="preserve"> մլն դրամ:</w:t>
      </w:r>
    </w:p>
    <w:p w14:paraId="12BF421D" w14:textId="77777777" w:rsidR="001816A6" w:rsidRPr="007955BB" w:rsidRDefault="001816A6" w:rsidP="00AC1E1E">
      <w:pPr>
        <w:tabs>
          <w:tab w:val="left" w:pos="180"/>
        </w:tabs>
        <w:rPr>
          <w:rFonts w:cs="Sylfaen"/>
          <w:b w:val="0"/>
          <w:szCs w:val="22"/>
          <w:lang w:val="hy-AM"/>
        </w:rPr>
      </w:pPr>
      <w:bookmarkStart w:id="300" w:name="_Hlk19669190"/>
      <w:r w:rsidRPr="007955BB">
        <w:rPr>
          <w:rFonts w:cs="Sylfaen"/>
          <w:b w:val="0"/>
          <w:szCs w:val="22"/>
          <w:lang w:val="hy-AM"/>
        </w:rPr>
        <w:t xml:space="preserve">Ծրագրի նպատակն է սոցիալապես անապահով և հատուկ խմբերում ընդգրկված անձանց բժշկական օգնության հասանելիության և մատչելիության մակարդակի բարձրացումը, հիվանդանոցային որակյալ բժշկական օգնության ապահովումը: </w:t>
      </w:r>
    </w:p>
    <w:p w14:paraId="4E58088F" w14:textId="77777777" w:rsidR="001816A6" w:rsidRPr="007955BB" w:rsidRDefault="001816A6" w:rsidP="00AC1E1E">
      <w:pPr>
        <w:tabs>
          <w:tab w:val="left" w:pos="180"/>
        </w:tabs>
        <w:rPr>
          <w:rFonts w:cs="Sylfaen"/>
          <w:b w:val="0"/>
          <w:szCs w:val="22"/>
          <w:lang w:val="hy-AM"/>
        </w:rPr>
      </w:pPr>
      <w:r w:rsidRPr="007955BB">
        <w:rPr>
          <w:rFonts w:cs="Sylfaen"/>
          <w:b w:val="0"/>
          <w:szCs w:val="22"/>
          <w:lang w:val="hy-AM"/>
        </w:rPr>
        <w:t>Ծրագիրը հանդիսանում է սոցիալապես անապահով և հատուկ խմբերում ընդգրկված շահառուների սոցիալական երաշխիքի առողջապահական բաղադրիչը և ապահովում է բնակչության սոցիալապես անապահով և հատուկ խմբերում ընդգրկվածների, զինծառայողների, ինչպես նաև փրկարար ծառայողների և նրանց ընտանիքի անդամն</w:t>
      </w:r>
      <w:r w:rsidRPr="000635F8">
        <w:rPr>
          <w:rFonts w:cs="Sylfaen"/>
          <w:b w:val="0"/>
          <w:szCs w:val="22"/>
          <w:lang w:val="hy-AM"/>
        </w:rPr>
        <w:t>ե</w:t>
      </w:r>
      <w:r w:rsidRPr="007955BB">
        <w:rPr>
          <w:rFonts w:cs="Sylfaen"/>
          <w:b w:val="0"/>
          <w:szCs w:val="22"/>
          <w:lang w:val="hy-AM"/>
        </w:rPr>
        <w:t>րի,</w:t>
      </w:r>
      <w:r w:rsidRPr="007955BB">
        <w:rPr>
          <w:lang w:val="hy-AM"/>
        </w:rPr>
        <w:t xml:space="preserve"> </w:t>
      </w:r>
      <w:r w:rsidRPr="007955BB">
        <w:rPr>
          <w:rFonts w:cs="Sylfaen"/>
          <w:b w:val="0"/>
          <w:szCs w:val="22"/>
          <w:lang w:val="hy-AM"/>
        </w:rPr>
        <w:t xml:space="preserve">պետական հիմնարկների և կազմակերպությունների աշխատողների և թրաֆիքինգի զոհերի գծով բժշկական օգնության ծառայություններից օգտվելու </w:t>
      </w:r>
      <w:r>
        <w:rPr>
          <w:rFonts w:cs="Sylfaen"/>
          <w:b w:val="0"/>
          <w:szCs w:val="22"/>
          <w:lang w:val="hy-AM"/>
        </w:rPr>
        <w:t>360037</w:t>
      </w:r>
      <w:r w:rsidRPr="007955BB">
        <w:rPr>
          <w:rFonts w:cs="Sylfaen"/>
          <w:b w:val="0"/>
          <w:szCs w:val="22"/>
          <w:lang w:val="hy-AM"/>
        </w:rPr>
        <w:t xml:space="preserve"> դեպքի, ինչպես նաև ստոմատոլոգիական բժշկական օգնության գծով 102636 դեպքի, մարդու օրգանների փոխպատվաստման 18 դեպքի և ոսկրածուծի փոխպատվաստման 20 դեպքի իրականացումը:</w:t>
      </w:r>
      <w:bookmarkEnd w:id="300"/>
    </w:p>
    <w:p w14:paraId="224D2E5E" w14:textId="77777777" w:rsidR="001816A6" w:rsidRPr="007955BB" w:rsidRDefault="001816A6" w:rsidP="00AC1E1E">
      <w:pPr>
        <w:tabs>
          <w:tab w:val="left" w:pos="180"/>
        </w:tabs>
        <w:rPr>
          <w:rFonts w:cs="Sylfaen"/>
          <w:b w:val="0"/>
          <w:szCs w:val="22"/>
          <w:lang w:val="hy-AM"/>
        </w:rPr>
      </w:pPr>
      <w:r w:rsidRPr="007955BB">
        <w:rPr>
          <w:rFonts w:cs="Sylfaen"/>
          <w:bCs/>
          <w:szCs w:val="22"/>
          <w:lang w:val="hy-AM"/>
        </w:rPr>
        <w:t xml:space="preserve">Վարակիչ հիվանդությունների կանխարգելում ծրագիր </w:t>
      </w:r>
      <w:r w:rsidRPr="007955BB">
        <w:rPr>
          <w:rFonts w:cs="Sylfaen"/>
          <w:b w:val="0"/>
          <w:bCs/>
          <w:szCs w:val="22"/>
          <w:lang w:val="hy-AM"/>
        </w:rPr>
        <w:t>գծով նախատեսվել է 2,307.</w:t>
      </w:r>
      <w:r>
        <w:rPr>
          <w:rFonts w:cs="Sylfaen"/>
          <w:b w:val="0"/>
          <w:bCs/>
          <w:szCs w:val="22"/>
          <w:lang w:val="hy-AM"/>
        </w:rPr>
        <w:t>5</w:t>
      </w:r>
      <w:r w:rsidRPr="007955BB">
        <w:rPr>
          <w:rFonts w:cs="Sylfaen"/>
          <w:b w:val="0"/>
          <w:bCs/>
          <w:szCs w:val="22"/>
          <w:lang w:val="hy-AM"/>
        </w:rPr>
        <w:t xml:space="preserve"> մլն դրամ:</w:t>
      </w:r>
    </w:p>
    <w:p w14:paraId="05F88C84" w14:textId="77777777" w:rsidR="001816A6" w:rsidRPr="007955BB" w:rsidRDefault="001816A6" w:rsidP="00AC1E1E">
      <w:pPr>
        <w:tabs>
          <w:tab w:val="left" w:pos="0"/>
        </w:tabs>
        <w:rPr>
          <w:rFonts w:cs="Sylfaen"/>
          <w:b w:val="0"/>
          <w:szCs w:val="22"/>
          <w:lang w:val="hy-AM"/>
        </w:rPr>
      </w:pPr>
      <w:r w:rsidRPr="007955BB">
        <w:rPr>
          <w:rFonts w:cs="Sylfaen"/>
          <w:b w:val="0"/>
          <w:szCs w:val="22"/>
          <w:lang w:val="hy-AM"/>
        </w:rPr>
        <w:tab/>
        <w:t>Ծրագրի նպատակն է վարակիչ և բնակչության համար մեծ ռիսկ ներկայացնող հիվանդությունների (մալարիա, տուբերկուլյոզ, ՄԻԱՎ/ՁԻԱՀ և այլն) վաղ հայտնաբերումը, արդյուն</w:t>
      </w:r>
      <w:r w:rsidRPr="000635F8">
        <w:rPr>
          <w:rFonts w:cs="Sylfaen"/>
          <w:b w:val="0"/>
          <w:szCs w:val="22"/>
          <w:lang w:val="hy-AM"/>
        </w:rPr>
        <w:t>ա</w:t>
      </w:r>
      <w:r w:rsidRPr="007955BB">
        <w:rPr>
          <w:rFonts w:cs="Sylfaen"/>
          <w:b w:val="0"/>
          <w:szCs w:val="22"/>
          <w:lang w:val="hy-AM"/>
        </w:rPr>
        <w:t xml:space="preserve">վետ հակազդումը և բժշկական օգնության ապահովումը, որի իրականացման արդյունքում նախատեսվում է նվազեցնել վարակի փոխանցումը, վարակիչ հիվանդություններով պայմանավորված հիվանդացությունը և մահացությունը: </w:t>
      </w:r>
    </w:p>
    <w:p w14:paraId="2B33588E" w14:textId="77777777" w:rsidR="001816A6" w:rsidRPr="007955BB" w:rsidRDefault="001816A6" w:rsidP="00AC1E1E">
      <w:pPr>
        <w:tabs>
          <w:tab w:val="left" w:pos="0"/>
          <w:tab w:val="left" w:pos="567"/>
        </w:tabs>
        <w:rPr>
          <w:rFonts w:cs="Sylfaen"/>
          <w:b w:val="0"/>
          <w:szCs w:val="22"/>
          <w:lang w:val="hy-AM"/>
        </w:rPr>
      </w:pPr>
      <w:r w:rsidRPr="007955BB">
        <w:rPr>
          <w:rFonts w:cs="Sylfaen"/>
          <w:b w:val="0"/>
          <w:szCs w:val="22"/>
          <w:lang w:val="hy-AM"/>
        </w:rPr>
        <w:t xml:space="preserve">Ծրագրի շրջանակներում նախատեսված հատկացումներն ուղղվելու են ՄԻԱՎ/ՁԻԱՀ-ի  կանխարգելման և բուժօգնության ծառայությունների գծով 26290 հետազոտությունների, 30406 ՄԻԱՎ/ՁԻԱՀ-ով հիվանդների դիսպանսերային հսկողության, տուբերկուլյոզի բժշկական օգնության գծով ծառայություններից օգտվելու 570 դեպքի, ինչպես նաև </w:t>
      </w:r>
      <w:r w:rsidRPr="007955BB">
        <w:rPr>
          <w:rFonts w:cs="Sylfaen"/>
          <w:b w:val="0"/>
          <w:szCs w:val="22"/>
          <w:lang w:val="hy-AM"/>
        </w:rPr>
        <w:lastRenderedPageBreak/>
        <w:t>աղիքային և այլ ինֆեկցիոն հիվանդությունների բժշկական օգնության գծով ծառայություններից օգտվելու 11690 դեպքի իրականացմանը:</w:t>
      </w:r>
    </w:p>
    <w:p w14:paraId="6BD906B1" w14:textId="77777777" w:rsidR="001816A6" w:rsidRPr="00C461B6" w:rsidRDefault="001816A6" w:rsidP="00AC1E1E">
      <w:pPr>
        <w:tabs>
          <w:tab w:val="left" w:pos="180"/>
        </w:tabs>
        <w:rPr>
          <w:b w:val="0"/>
          <w:szCs w:val="22"/>
          <w:lang w:val="hy-AM" w:eastAsia="en-US"/>
        </w:rPr>
      </w:pPr>
      <w:r w:rsidRPr="007955BB">
        <w:rPr>
          <w:rFonts w:cs="Sylfaen"/>
          <w:bCs/>
          <w:szCs w:val="22"/>
          <w:lang w:val="hy-AM"/>
        </w:rPr>
        <w:t>Առողջապահության համակարգի արդիականացման և արդյունավետության բարձրացման ծրագիր</w:t>
      </w:r>
      <w:r w:rsidR="00C461B6" w:rsidRPr="00C461B6">
        <w:rPr>
          <w:lang w:val="hy-AM"/>
        </w:rPr>
        <w:t xml:space="preserve"> </w:t>
      </w:r>
      <w:r w:rsidR="00C461B6" w:rsidRPr="00C461B6">
        <w:rPr>
          <w:b w:val="0"/>
          <w:szCs w:val="22"/>
          <w:lang w:val="hy-AM" w:eastAsia="en-US"/>
        </w:rPr>
        <w:t>գծով նախատեսվել է 2,490.3 մլն դրամ, որից՝ վարկային և դրամաշնորհային միջոցների գծով 2,117.5 մլն դրամ, համաֆինանսավորման գծով՝ 372.8 մլն դրամ:</w:t>
      </w:r>
    </w:p>
    <w:p w14:paraId="7FE29C99" w14:textId="77777777" w:rsidR="001816A6" w:rsidRPr="007955BB" w:rsidRDefault="001816A6" w:rsidP="00AC1E1E">
      <w:pPr>
        <w:numPr>
          <w:ilvl w:val="12"/>
          <w:numId w:val="0"/>
        </w:numPr>
        <w:tabs>
          <w:tab w:val="left" w:pos="851"/>
          <w:tab w:val="left" w:pos="9214"/>
        </w:tabs>
        <w:rPr>
          <w:b w:val="0"/>
          <w:szCs w:val="22"/>
          <w:lang w:val="hy-AM" w:eastAsia="en-US"/>
        </w:rPr>
      </w:pPr>
      <w:r w:rsidRPr="007955BB">
        <w:rPr>
          <w:b w:val="0"/>
          <w:szCs w:val="22"/>
          <w:lang w:val="hy-AM" w:eastAsia="en-US"/>
        </w:rPr>
        <w:t>Ծրագրի նպատակն է Առողջապահության համակարգի արդիականացում</w:t>
      </w:r>
      <w:r w:rsidR="00282ECB" w:rsidRPr="001F6A37">
        <w:rPr>
          <w:b w:val="0"/>
          <w:szCs w:val="22"/>
          <w:lang w:val="hy-AM" w:eastAsia="en-US"/>
        </w:rPr>
        <w:t>ը</w:t>
      </w:r>
      <w:r w:rsidR="00282ECB">
        <w:rPr>
          <w:b w:val="0"/>
          <w:szCs w:val="22"/>
          <w:lang w:val="hy-AM" w:eastAsia="en-US"/>
        </w:rPr>
        <w:t xml:space="preserve"> և զարգացում, </w:t>
      </w:r>
      <w:r w:rsidRPr="007955BB">
        <w:rPr>
          <w:b w:val="0"/>
          <w:szCs w:val="22"/>
          <w:lang w:val="hy-AM" w:eastAsia="en-US"/>
        </w:rPr>
        <w:t>վարակիչ և բնակչության համար մեծ ռիսկ ներկայացնող հիվանդությունների (մալարիա, տուբերկուլյոզ, ՄԻԱՎ/ՁԻԱՀ և այլն) վաղ հայտնաբերումը, արդյուն</w:t>
      </w:r>
      <w:r w:rsidRPr="000635F8">
        <w:rPr>
          <w:b w:val="0"/>
          <w:szCs w:val="22"/>
          <w:lang w:val="hy-AM" w:eastAsia="en-US"/>
        </w:rPr>
        <w:t>ա</w:t>
      </w:r>
      <w:r w:rsidRPr="007955BB">
        <w:rPr>
          <w:b w:val="0"/>
          <w:szCs w:val="22"/>
          <w:lang w:val="hy-AM" w:eastAsia="en-US"/>
        </w:rPr>
        <w:t>վետ հակազդումը և բժշկական օգնության ապահովումը:</w:t>
      </w:r>
    </w:p>
    <w:p w14:paraId="339E93CB" w14:textId="77777777" w:rsidR="001816A6" w:rsidRPr="007955BB" w:rsidRDefault="001816A6" w:rsidP="00AC1E1E">
      <w:pPr>
        <w:numPr>
          <w:ilvl w:val="12"/>
          <w:numId w:val="0"/>
        </w:numPr>
        <w:tabs>
          <w:tab w:val="left" w:pos="851"/>
          <w:tab w:val="left" w:pos="9214"/>
        </w:tabs>
        <w:rPr>
          <w:b w:val="0"/>
          <w:color w:val="FF0000"/>
          <w:szCs w:val="22"/>
          <w:lang w:val="hy-AM" w:eastAsia="en-US"/>
        </w:rPr>
      </w:pPr>
      <w:r w:rsidRPr="007955BB">
        <w:rPr>
          <w:b w:val="0"/>
          <w:szCs w:val="22"/>
          <w:lang w:val="hy-AM" w:eastAsia="en-US"/>
        </w:rPr>
        <w:t>Ծրագրի շրջանակներում նախատեսվում է՝ խորհրդատվական ծառայությունների մատուցում,</w:t>
      </w:r>
      <w:r w:rsidR="00282ECB" w:rsidRPr="001F6A37">
        <w:rPr>
          <w:b w:val="0"/>
          <w:szCs w:val="22"/>
          <w:lang w:val="hy-AM" w:eastAsia="en-US"/>
        </w:rPr>
        <w:t xml:space="preserve">  </w:t>
      </w:r>
      <w:r w:rsidRPr="007955BB">
        <w:rPr>
          <w:b w:val="0"/>
          <w:szCs w:val="22"/>
          <w:lang w:val="hy-AM" w:eastAsia="en-US"/>
        </w:rPr>
        <w:t>ս</w:t>
      </w:r>
      <w:r w:rsidRPr="007955BB">
        <w:rPr>
          <w:rFonts w:cs="Sylfaen"/>
          <w:b w:val="0"/>
          <w:lang w:val="hy-AM"/>
        </w:rPr>
        <w:t>քրինինգային</w:t>
      </w:r>
      <w:r w:rsidRPr="007955BB">
        <w:rPr>
          <w:rFonts w:cs="Sylfaen"/>
          <w:b w:val="0"/>
          <w:lang w:val="af-ZA"/>
        </w:rPr>
        <w:t xml:space="preserve"> </w:t>
      </w:r>
      <w:r w:rsidRPr="007955BB">
        <w:rPr>
          <w:rFonts w:cs="Sylfaen"/>
          <w:b w:val="0"/>
          <w:lang w:val="hy-AM"/>
        </w:rPr>
        <w:t>հետազոտությունների</w:t>
      </w:r>
      <w:r w:rsidRPr="007955BB">
        <w:rPr>
          <w:rFonts w:cs="Sylfaen"/>
          <w:b w:val="0"/>
          <w:lang w:val="af-ZA"/>
        </w:rPr>
        <w:t xml:space="preserve"> </w:t>
      </w:r>
      <w:r w:rsidRPr="007955BB">
        <w:rPr>
          <w:rFonts w:cs="Sylfaen"/>
          <w:b w:val="0"/>
          <w:lang w:val="hy-AM"/>
        </w:rPr>
        <w:t>իրականացում</w:t>
      </w:r>
      <w:r w:rsidRPr="007955BB">
        <w:rPr>
          <w:rFonts w:cs="Sylfaen"/>
          <w:b w:val="0"/>
          <w:lang w:val="af-ZA"/>
        </w:rPr>
        <w:t xml:space="preserve">, </w:t>
      </w:r>
      <w:r w:rsidRPr="007955BB">
        <w:rPr>
          <w:rFonts w:cs="Sylfaen"/>
          <w:b w:val="0"/>
          <w:szCs w:val="22"/>
          <w:lang w:val="af-ZA"/>
        </w:rPr>
        <w:t xml:space="preserve">հանրապետության տարբեր մարզերում </w:t>
      </w:r>
      <w:r w:rsidRPr="007955BB">
        <w:rPr>
          <w:b w:val="0"/>
          <w:szCs w:val="22"/>
          <w:lang w:val="hy-AM"/>
        </w:rPr>
        <w:t>ընտրված հիվանդանոցների արդյունավետության և որակի բարելավում</w:t>
      </w:r>
      <w:r w:rsidRPr="007955BB">
        <w:rPr>
          <w:b w:val="0"/>
          <w:szCs w:val="22"/>
          <w:lang w:val="af-ZA"/>
        </w:rPr>
        <w:t>,</w:t>
      </w:r>
      <w:r w:rsidRPr="007955BB">
        <w:rPr>
          <w:b w:val="0"/>
          <w:szCs w:val="22"/>
          <w:lang w:val="hy-AM"/>
        </w:rPr>
        <w:t xml:space="preserve"> </w:t>
      </w:r>
      <w:r w:rsidRPr="007955BB">
        <w:rPr>
          <w:rFonts w:cs="Sylfaen"/>
          <w:b w:val="0"/>
          <w:lang w:val="hy-AM"/>
        </w:rPr>
        <w:t xml:space="preserve">նոր բժշկական կենտրոնների կառուցում, </w:t>
      </w:r>
      <w:r w:rsidRPr="007955BB">
        <w:rPr>
          <w:rFonts w:cs="Sylfaen"/>
          <w:b w:val="0"/>
          <w:szCs w:val="22"/>
          <w:lang w:val="af-ZA"/>
        </w:rPr>
        <w:t>տուբերկուլ</w:t>
      </w:r>
      <w:r>
        <w:rPr>
          <w:rFonts w:cs="Sylfaen"/>
          <w:b w:val="0"/>
          <w:szCs w:val="22"/>
          <w:lang w:val="af-ZA"/>
        </w:rPr>
        <w:t>յ</w:t>
      </w:r>
      <w:r w:rsidRPr="007955BB">
        <w:rPr>
          <w:rFonts w:cs="Sylfaen"/>
          <w:b w:val="0"/>
          <w:szCs w:val="22"/>
          <w:lang w:val="af-ZA"/>
        </w:rPr>
        <w:t>ոզի բոլոր տեսակների և ՄԻԱՎ/ՁԻԱՀ-ի ախտորոշման հասանելիության բուժման մոնիթորինգի և կանխարգելման ապահովում, տուբերկուլ</w:t>
      </w:r>
      <w:r>
        <w:rPr>
          <w:rFonts w:cs="Sylfaen"/>
          <w:b w:val="0"/>
          <w:szCs w:val="22"/>
          <w:lang w:val="af-ZA"/>
        </w:rPr>
        <w:t>յ</w:t>
      </w:r>
      <w:r w:rsidRPr="007955BB">
        <w:rPr>
          <w:rFonts w:cs="Sylfaen"/>
          <w:b w:val="0"/>
          <w:szCs w:val="22"/>
          <w:lang w:val="af-ZA"/>
        </w:rPr>
        <w:t xml:space="preserve">ոզով հիվանդների սոցիալական և հոգեբանական օժանդակություն, հիվանդների ակտիվ հայտնաբերման միջոցառումներ, բուժման մոնիթորինգի, վարակի վերահսկման բարելավում, ներառյալ մեթադոնային փոխարինող </w:t>
      </w:r>
      <w:r w:rsidRPr="007955BB">
        <w:rPr>
          <w:b w:val="0"/>
          <w:lang w:val="hy-AM" w:eastAsia="en-US"/>
        </w:rPr>
        <w:t xml:space="preserve">բուժման իրականացում, որի արդյունքում </w:t>
      </w:r>
      <w:r w:rsidRPr="007955BB">
        <w:rPr>
          <w:b w:val="0"/>
          <w:szCs w:val="22"/>
          <w:lang w:val="hy-AM" w:eastAsia="en-US"/>
        </w:rPr>
        <w:t>նվազեցվում է վարակի փոխանցումը, վարակիչ հիվանդություններով պայմանավորված հիվանդացությունը և մահացությունը</w:t>
      </w:r>
      <w:r w:rsidR="00996D30" w:rsidRPr="001F6A37">
        <w:rPr>
          <w:b w:val="0"/>
          <w:szCs w:val="22"/>
          <w:lang w:val="hy-AM" w:eastAsia="en-US"/>
        </w:rPr>
        <w:t>:</w:t>
      </w:r>
    </w:p>
    <w:p w14:paraId="6598901C" w14:textId="77777777" w:rsidR="001816A6" w:rsidRDefault="001816A6" w:rsidP="00AC1E1E">
      <w:pPr>
        <w:tabs>
          <w:tab w:val="left" w:pos="180"/>
        </w:tabs>
        <w:rPr>
          <w:rFonts w:cs="Sylfaen"/>
          <w:b w:val="0"/>
          <w:bCs/>
          <w:szCs w:val="22"/>
          <w:lang w:val="hy-AM"/>
        </w:rPr>
      </w:pPr>
      <w:r w:rsidRPr="007955BB">
        <w:rPr>
          <w:rFonts w:cs="Sylfaen"/>
          <w:bCs/>
          <w:szCs w:val="22"/>
          <w:lang w:val="hy-AM"/>
        </w:rPr>
        <w:t xml:space="preserve">Առողջապահական կազմակերպությունների </w:t>
      </w:r>
      <w:r>
        <w:rPr>
          <w:rFonts w:cs="Sylfaen"/>
          <w:bCs/>
          <w:szCs w:val="22"/>
          <w:lang w:val="hy-AM"/>
        </w:rPr>
        <w:t xml:space="preserve">շինարարական, </w:t>
      </w:r>
      <w:r w:rsidRPr="007955BB">
        <w:rPr>
          <w:rFonts w:cs="Sylfaen"/>
          <w:bCs/>
          <w:szCs w:val="22"/>
          <w:lang w:val="hy-AM"/>
        </w:rPr>
        <w:t xml:space="preserve">նախագծային </w:t>
      </w:r>
      <w:r>
        <w:rPr>
          <w:rFonts w:cs="Sylfaen"/>
          <w:bCs/>
          <w:szCs w:val="22"/>
          <w:lang w:val="hy-AM"/>
        </w:rPr>
        <w:t xml:space="preserve">և վերազինման </w:t>
      </w:r>
      <w:r w:rsidRPr="007955BB">
        <w:rPr>
          <w:rFonts w:cs="Sylfaen"/>
          <w:bCs/>
          <w:szCs w:val="22"/>
          <w:lang w:val="hy-AM"/>
        </w:rPr>
        <w:t xml:space="preserve">աշխատանքների համար </w:t>
      </w:r>
      <w:r w:rsidRPr="007955BB">
        <w:rPr>
          <w:rFonts w:cs="Sylfaen"/>
          <w:b w:val="0"/>
          <w:bCs/>
          <w:szCs w:val="22"/>
          <w:lang w:val="hy-AM"/>
        </w:rPr>
        <w:t>ՀՀ 202</w:t>
      </w:r>
      <w:r>
        <w:rPr>
          <w:rFonts w:cs="Sylfaen"/>
          <w:b w:val="0"/>
          <w:bCs/>
          <w:szCs w:val="22"/>
          <w:lang w:val="hy-AM"/>
        </w:rPr>
        <w:t>4</w:t>
      </w:r>
      <w:r w:rsidRPr="007955BB">
        <w:rPr>
          <w:rFonts w:cs="Sylfaen"/>
          <w:b w:val="0"/>
          <w:bCs/>
          <w:szCs w:val="22"/>
          <w:lang w:val="hy-AM"/>
        </w:rPr>
        <w:t xml:space="preserve">թ. պետական բյուջեով նախատեսվել է </w:t>
      </w:r>
      <w:r>
        <w:rPr>
          <w:rFonts w:cs="Sylfaen"/>
          <w:b w:val="0"/>
          <w:bCs/>
          <w:szCs w:val="22"/>
          <w:lang w:val="hy-AM"/>
        </w:rPr>
        <w:t>11,058.8</w:t>
      </w:r>
      <w:r w:rsidRPr="007955BB">
        <w:rPr>
          <w:rFonts w:cs="Sylfaen"/>
          <w:b w:val="0"/>
          <w:bCs/>
          <w:szCs w:val="22"/>
          <w:lang w:val="hy-AM"/>
        </w:rPr>
        <w:t xml:space="preserve"> մլն դրամ:</w:t>
      </w:r>
    </w:p>
    <w:p w14:paraId="28DD794F" w14:textId="77777777" w:rsidR="001816A6" w:rsidRPr="008F3F06" w:rsidRDefault="001816A6" w:rsidP="00AC1E1E">
      <w:pPr>
        <w:tabs>
          <w:tab w:val="left" w:pos="180"/>
        </w:tabs>
        <w:rPr>
          <w:lang w:val="hy-AM"/>
        </w:rPr>
      </w:pPr>
      <w:r>
        <w:rPr>
          <w:rFonts w:cs="Sylfaen"/>
          <w:b w:val="0"/>
          <w:bCs/>
          <w:szCs w:val="22"/>
          <w:lang w:val="hy-AM"/>
        </w:rPr>
        <w:t xml:space="preserve">Ծրագրի համար նախատեսված միջոցների շրջանակներում նախատեսվում է իրականացնել </w:t>
      </w:r>
      <w:r w:rsidR="00BE619B" w:rsidRPr="00BE619B">
        <w:rPr>
          <w:rFonts w:cs="Sylfaen"/>
          <w:b w:val="0"/>
          <w:bCs/>
          <w:szCs w:val="22"/>
          <w:lang w:val="hy-AM"/>
        </w:rPr>
        <w:t>49</w:t>
      </w:r>
      <w:r>
        <w:rPr>
          <w:rFonts w:cs="Sylfaen"/>
          <w:b w:val="0"/>
          <w:bCs/>
          <w:szCs w:val="22"/>
          <w:lang w:val="hy-AM"/>
        </w:rPr>
        <w:t xml:space="preserve"> բժշկական կազմակերպությունների շինարարական աշխատանքներ</w:t>
      </w:r>
      <w:r w:rsidR="00BE619B">
        <w:rPr>
          <w:rFonts w:cs="Sylfaen"/>
          <w:b w:val="0"/>
          <w:bCs/>
          <w:szCs w:val="22"/>
          <w:lang w:val="hy-AM"/>
        </w:rPr>
        <w:t>,</w:t>
      </w:r>
      <w:r w:rsidR="00BE619B" w:rsidRPr="00BE619B">
        <w:rPr>
          <w:lang w:val="hy-AM"/>
        </w:rPr>
        <w:t xml:space="preserve"> </w:t>
      </w:r>
      <w:r w:rsidR="00BE619B" w:rsidRPr="00BE619B">
        <w:rPr>
          <w:rFonts w:cs="Sylfaen"/>
          <w:b w:val="0"/>
          <w:bCs/>
          <w:szCs w:val="22"/>
          <w:lang w:val="hy-AM"/>
        </w:rPr>
        <w:t>որից՝ թվով 17-ը հիվանդանոցներ են, իսկ 32-ն այլ առողջապահական կազմակերպություններ (առողջության առաջնային պահպանման կետեր)</w:t>
      </w:r>
      <w:r>
        <w:rPr>
          <w:rFonts w:cs="Sylfaen"/>
          <w:b w:val="0"/>
          <w:bCs/>
          <w:szCs w:val="22"/>
          <w:lang w:val="hy-AM"/>
        </w:rPr>
        <w:t xml:space="preserve"> և թվով 8 բժշկական հաստատությունների, ինչպես նաև շտապ օգնության ծառայություններ մատուցող կազմակերպությունների վերազնիման աշխատանքները (</w:t>
      </w:r>
      <w:r w:rsidR="00BE619B" w:rsidRPr="00BE619B">
        <w:rPr>
          <w:rFonts w:cs="Sylfaen"/>
          <w:b w:val="0"/>
          <w:bCs/>
          <w:szCs w:val="22"/>
          <w:lang w:val="hy-AM"/>
        </w:rPr>
        <w:t>208</w:t>
      </w:r>
      <w:r>
        <w:rPr>
          <w:rFonts w:cs="Sylfaen"/>
          <w:b w:val="0"/>
          <w:bCs/>
          <w:szCs w:val="22"/>
          <w:lang w:val="hy-AM"/>
        </w:rPr>
        <w:t xml:space="preserve"> բժշկական սարքավորումների ձեռք բերում): </w:t>
      </w:r>
    </w:p>
    <w:p w14:paraId="53839E32" w14:textId="77777777" w:rsidR="00632A9E" w:rsidRPr="00CA7D73" w:rsidRDefault="00F0615A" w:rsidP="00AC1E1E">
      <w:pPr>
        <w:pStyle w:val="Heading1"/>
        <w:rPr>
          <w:bCs w:val="0"/>
        </w:rPr>
      </w:pPr>
      <w:bookmarkStart w:id="301" w:name="_Toc153184495"/>
      <w:r w:rsidRPr="00CA7D73">
        <w:t>ՀՀ կ</w:t>
      </w:r>
      <w:r w:rsidR="004D4C68" w:rsidRPr="00CA7D73">
        <w:t>րթությ</w:t>
      </w:r>
      <w:r w:rsidRPr="00CA7D73">
        <w:t>ան</w:t>
      </w:r>
      <w:r w:rsidR="00E66B09" w:rsidRPr="00CA7D73">
        <w:t>,</w:t>
      </w:r>
      <w:r w:rsidRPr="00CA7D73">
        <w:t xml:space="preserve"> գիտության</w:t>
      </w:r>
      <w:r w:rsidR="00E66B09" w:rsidRPr="00CA7D73">
        <w:t>, մշակույթի և սպորտի</w:t>
      </w:r>
      <w:r w:rsidRPr="00CA7D73">
        <w:t xml:space="preserve"> նախարարություն</w:t>
      </w:r>
      <w:bookmarkEnd w:id="301"/>
    </w:p>
    <w:p w14:paraId="7B58BD7A" w14:textId="77777777" w:rsidR="00232970" w:rsidRPr="00104AA3" w:rsidRDefault="00232970" w:rsidP="00AC1E1E">
      <w:pPr>
        <w:keepNext/>
        <w:tabs>
          <w:tab w:val="left" w:pos="360"/>
        </w:tabs>
        <w:rPr>
          <w:rFonts w:eastAsiaTheme="majorEastAsia" w:cstheme="majorBidi"/>
          <w:bCs/>
          <w:color w:val="1F497D" w:themeColor="text2"/>
          <w:sz w:val="24"/>
          <w:lang w:val="hy-AM" w:eastAsia="en-US"/>
        </w:rPr>
      </w:pPr>
      <w:bookmarkStart w:id="302" w:name="OLE_LINK4"/>
      <w:r w:rsidRPr="00104AA3">
        <w:rPr>
          <w:rFonts w:eastAsiaTheme="majorEastAsia" w:cstheme="majorBidi"/>
          <w:bCs/>
          <w:color w:val="1F497D" w:themeColor="text2"/>
          <w:sz w:val="24"/>
          <w:lang w:val="hy-AM" w:eastAsia="en-US"/>
        </w:rPr>
        <w:t>Կրթություն</w:t>
      </w:r>
    </w:p>
    <w:p w14:paraId="1669DEF1" w14:textId="24662932" w:rsidR="00232970" w:rsidRPr="00D81C77" w:rsidRDefault="00232970" w:rsidP="00AC1E1E">
      <w:pPr>
        <w:numPr>
          <w:ilvl w:val="12"/>
          <w:numId w:val="0"/>
        </w:numPr>
        <w:tabs>
          <w:tab w:val="left" w:pos="851"/>
          <w:tab w:val="left" w:pos="9214"/>
        </w:tabs>
        <w:rPr>
          <w:b w:val="0"/>
          <w:color w:val="000000"/>
          <w:szCs w:val="22"/>
          <w:lang w:val="hy-AM" w:eastAsia="en-US"/>
        </w:rPr>
      </w:pPr>
      <w:r w:rsidRPr="00D81C77">
        <w:rPr>
          <w:b w:val="0"/>
          <w:color w:val="000000"/>
          <w:szCs w:val="22"/>
          <w:lang w:val="hy-AM" w:eastAsia="en-US"/>
        </w:rPr>
        <w:t>ՀՀ ԿԳՄՍՆ գծով</w:t>
      </w:r>
      <w:r w:rsidR="0063256E">
        <w:rPr>
          <w:b w:val="0"/>
          <w:color w:val="000000"/>
          <w:szCs w:val="22"/>
          <w:lang w:val="hy-AM" w:eastAsia="en-US"/>
        </w:rPr>
        <w:t xml:space="preserve"> ՀՀ 2024 թվականի պետական բյուջեով</w:t>
      </w:r>
      <w:r>
        <w:rPr>
          <w:b w:val="0"/>
          <w:color w:val="000000"/>
          <w:szCs w:val="22"/>
          <w:lang w:val="hy-AM" w:eastAsia="en-US"/>
        </w:rPr>
        <w:t xml:space="preserve"> նախատեսվում է հատկացնել 34</w:t>
      </w:r>
      <w:r w:rsidR="008A0005" w:rsidRPr="008A0005">
        <w:rPr>
          <w:b w:val="0"/>
          <w:color w:val="000000"/>
          <w:szCs w:val="22"/>
          <w:lang w:val="hy-AM" w:eastAsia="en-US"/>
        </w:rPr>
        <w:t>6</w:t>
      </w:r>
      <w:r w:rsidRPr="00D81C77">
        <w:rPr>
          <w:b w:val="0"/>
          <w:color w:val="000000"/>
          <w:szCs w:val="22"/>
          <w:lang w:val="hy-AM" w:eastAsia="en-US"/>
        </w:rPr>
        <w:t>,</w:t>
      </w:r>
      <w:r w:rsidR="008A0005" w:rsidRPr="008A0005">
        <w:rPr>
          <w:b w:val="0"/>
          <w:color w:val="000000"/>
          <w:szCs w:val="22"/>
          <w:lang w:val="hy-AM" w:eastAsia="en-US"/>
        </w:rPr>
        <w:t>476</w:t>
      </w:r>
      <w:r w:rsidRPr="00D81C77">
        <w:rPr>
          <w:b w:val="0"/>
          <w:color w:val="000000"/>
          <w:szCs w:val="22"/>
          <w:lang w:val="af-ZA" w:eastAsia="en-US"/>
        </w:rPr>
        <w:t>.</w:t>
      </w:r>
      <w:r w:rsidR="00EE0403" w:rsidRPr="00EE0403">
        <w:rPr>
          <w:b w:val="0"/>
          <w:color w:val="000000"/>
          <w:szCs w:val="22"/>
          <w:lang w:val="hy-AM" w:eastAsia="en-US"/>
        </w:rPr>
        <w:t>0</w:t>
      </w:r>
      <w:r w:rsidRPr="00D81C77">
        <w:rPr>
          <w:b w:val="0"/>
          <w:color w:val="000000"/>
          <w:szCs w:val="22"/>
          <w:lang w:val="hy-AM" w:eastAsia="en-US"/>
        </w:rPr>
        <w:t xml:space="preserve"> մլն դրամ (ներառյալ կառավարման ապարատի պահպանման ծախսերը):</w:t>
      </w:r>
    </w:p>
    <w:p w14:paraId="769A937F" w14:textId="77777777" w:rsidR="00232970" w:rsidRPr="00D81C77" w:rsidRDefault="00232970" w:rsidP="00AC1E1E">
      <w:pPr>
        <w:rPr>
          <w:b w:val="0"/>
          <w:lang w:val="hy-AM"/>
        </w:rPr>
      </w:pPr>
      <w:r w:rsidRPr="00D81C77">
        <w:rPr>
          <w:b w:val="0"/>
          <w:lang w:val="hy-AM"/>
        </w:rPr>
        <w:t>Հատկացվելիք միջոցներն ուղղվելու են հետևյալ ծրագրերի իրականացմանը.</w:t>
      </w:r>
    </w:p>
    <w:p w14:paraId="23196813" w14:textId="77777777" w:rsidR="00232970" w:rsidRPr="00D81C77" w:rsidRDefault="00232970" w:rsidP="00AC1E1E">
      <w:pPr>
        <w:rPr>
          <w:b w:val="0"/>
          <w:color w:val="000000"/>
          <w:szCs w:val="22"/>
          <w:lang w:val="hy-AM" w:eastAsia="en-US"/>
        </w:rPr>
      </w:pPr>
      <w:r w:rsidRPr="00D81C77">
        <w:rPr>
          <w:color w:val="000000"/>
          <w:szCs w:val="22"/>
          <w:lang w:val="hy-AM" w:eastAsia="en-US"/>
        </w:rPr>
        <w:lastRenderedPageBreak/>
        <w:t>Նախնական (արհեստագործական) և միջին մասնագիտական կրթության</w:t>
      </w:r>
      <w:r>
        <w:rPr>
          <w:b w:val="0"/>
          <w:color w:val="000000"/>
          <w:szCs w:val="22"/>
          <w:lang w:val="hy-AM" w:eastAsia="en-US"/>
        </w:rPr>
        <w:t xml:space="preserve"> ծրագրի գծով 2024</w:t>
      </w:r>
      <w:r w:rsidRPr="00D81C77">
        <w:rPr>
          <w:b w:val="0"/>
          <w:color w:val="000000"/>
          <w:szCs w:val="22"/>
          <w:lang w:val="hy-AM" w:eastAsia="en-US"/>
        </w:rPr>
        <w:t xml:space="preserve"> թվա</w:t>
      </w:r>
      <w:r>
        <w:rPr>
          <w:b w:val="0"/>
          <w:color w:val="000000"/>
          <w:szCs w:val="22"/>
          <w:lang w:val="hy-AM" w:eastAsia="en-US"/>
        </w:rPr>
        <w:t>կանին նախատեսվում է հատկացնել 15</w:t>
      </w:r>
      <w:r w:rsidRPr="00D81C77">
        <w:rPr>
          <w:b w:val="0"/>
          <w:color w:val="000000"/>
          <w:szCs w:val="22"/>
          <w:lang w:val="hy-AM" w:eastAsia="en-US"/>
        </w:rPr>
        <w:t>,</w:t>
      </w:r>
      <w:r w:rsidR="00EE0403" w:rsidRPr="00EE0403">
        <w:rPr>
          <w:b w:val="0"/>
          <w:color w:val="000000"/>
          <w:szCs w:val="22"/>
          <w:lang w:val="hy-AM" w:eastAsia="en-US"/>
        </w:rPr>
        <w:t>863</w:t>
      </w:r>
      <w:r w:rsidRPr="00D81C77">
        <w:rPr>
          <w:b w:val="0"/>
          <w:color w:val="000000"/>
          <w:szCs w:val="22"/>
          <w:lang w:val="hy-AM" w:eastAsia="en-US"/>
        </w:rPr>
        <w:t>.</w:t>
      </w:r>
      <w:r w:rsidR="00EE0403" w:rsidRPr="00EE0403">
        <w:rPr>
          <w:b w:val="0"/>
          <w:color w:val="000000"/>
          <w:szCs w:val="22"/>
          <w:lang w:val="hy-AM" w:eastAsia="en-US"/>
        </w:rPr>
        <w:t>9</w:t>
      </w:r>
      <w:r w:rsidRPr="00D81C77">
        <w:rPr>
          <w:b w:val="0"/>
          <w:color w:val="000000"/>
          <w:szCs w:val="22"/>
          <w:lang w:val="hy-AM" w:eastAsia="en-US"/>
        </w:rPr>
        <w:t xml:space="preserve"> մլն դրամ:</w:t>
      </w:r>
    </w:p>
    <w:p w14:paraId="20BA5AF9" w14:textId="77777777" w:rsidR="00232970" w:rsidRPr="00D81C77" w:rsidRDefault="00232970" w:rsidP="00AC1E1E">
      <w:pPr>
        <w:numPr>
          <w:ilvl w:val="12"/>
          <w:numId w:val="0"/>
        </w:numPr>
        <w:tabs>
          <w:tab w:val="left" w:pos="851"/>
          <w:tab w:val="left" w:pos="9214"/>
        </w:tabs>
        <w:rPr>
          <w:b w:val="0"/>
          <w:szCs w:val="22"/>
          <w:lang w:val="hy-AM" w:eastAsia="en-US"/>
        </w:rPr>
      </w:pPr>
      <w:r w:rsidRPr="00D81C77">
        <w:rPr>
          <w:b w:val="0"/>
          <w:color w:val="000000"/>
          <w:szCs w:val="22"/>
          <w:lang w:val="hy-AM" w:eastAsia="en-US"/>
        </w:rPr>
        <w:t xml:space="preserve">Ծրագրի նպատակն է՝ աշխատաշուկայի արդի պահանջներին համապատասխան նախնական մասնագիտական (արհեստագործական) և միջին մասնագիտական կրթության որակավորում ունեցող մասնագետների պատրաստումը, կրթության մատչելիության ապահովումը: Ծրագրով ծախսերը նախատեսվել են հանրապետության 21 արհեստագործական ուսումնարաններում արհեստագործական կրթության մեջ ընդգրկվող </w:t>
      </w:r>
      <w:r w:rsidR="00224E3F">
        <w:rPr>
          <w:b w:val="0"/>
          <w:color w:val="000000"/>
          <w:szCs w:val="22"/>
          <w:lang w:val="hy-AM" w:eastAsia="en-US"/>
        </w:rPr>
        <w:t>8.</w:t>
      </w:r>
      <w:r w:rsidRPr="00F22D77">
        <w:rPr>
          <w:b w:val="0"/>
          <w:color w:val="000000"/>
          <w:szCs w:val="22"/>
          <w:lang w:val="hy-AM" w:eastAsia="en-US"/>
        </w:rPr>
        <w:t>0</w:t>
      </w:r>
      <w:r w:rsidRPr="00D81C77">
        <w:rPr>
          <w:b w:val="0"/>
          <w:color w:val="000000"/>
          <w:szCs w:val="22"/>
          <w:lang w:val="hy-AM" w:eastAsia="en-US"/>
        </w:rPr>
        <w:t xml:space="preserve"> հազար սովորողների, 6</w:t>
      </w:r>
      <w:r w:rsidR="00EE0403" w:rsidRPr="00EE0403">
        <w:rPr>
          <w:b w:val="0"/>
          <w:color w:val="000000"/>
          <w:szCs w:val="22"/>
          <w:lang w:val="hy-AM" w:eastAsia="en-US"/>
        </w:rPr>
        <w:t>5</w:t>
      </w:r>
      <w:r w:rsidRPr="00D81C77">
        <w:rPr>
          <w:b w:val="0"/>
          <w:color w:val="000000"/>
          <w:szCs w:val="22"/>
          <w:lang w:val="hy-AM" w:eastAsia="en-US"/>
        </w:rPr>
        <w:t xml:space="preserve"> հաստատություններում միջին մասնագիտական կրթության մեջ ընդգրկվող </w:t>
      </w:r>
      <w:r w:rsidRPr="00F22D77">
        <w:rPr>
          <w:b w:val="0"/>
          <w:color w:val="000000"/>
          <w:szCs w:val="22"/>
          <w:lang w:val="hy-AM" w:eastAsia="en-US"/>
        </w:rPr>
        <w:t>20</w:t>
      </w:r>
      <w:r w:rsidRPr="00D81C77">
        <w:rPr>
          <w:b w:val="0"/>
          <w:color w:val="000000"/>
          <w:szCs w:val="22"/>
          <w:lang w:val="hy-AM" w:eastAsia="en-US"/>
        </w:rPr>
        <w:t>.</w:t>
      </w:r>
      <w:r w:rsidRPr="00F22D77">
        <w:rPr>
          <w:b w:val="0"/>
          <w:color w:val="000000"/>
          <w:szCs w:val="22"/>
          <w:lang w:val="hy-AM" w:eastAsia="en-US"/>
        </w:rPr>
        <w:t>2</w:t>
      </w:r>
      <w:r w:rsidRPr="00D81C77">
        <w:rPr>
          <w:b w:val="0"/>
          <w:color w:val="000000"/>
          <w:szCs w:val="22"/>
          <w:lang w:val="hy-AM" w:eastAsia="en-US"/>
        </w:rPr>
        <w:t xml:space="preserve"> հազար սովորողների ուսուցման գծով</w:t>
      </w:r>
      <w:r w:rsidRPr="000E379B">
        <w:rPr>
          <w:b w:val="0"/>
          <w:color w:val="000000"/>
          <w:szCs w:val="22"/>
          <w:lang w:val="hy-AM" w:eastAsia="en-US"/>
        </w:rPr>
        <w:t xml:space="preserve">: </w:t>
      </w:r>
      <w:r w:rsidR="00464695" w:rsidRPr="001F6A37">
        <w:rPr>
          <w:b w:val="0"/>
          <w:color w:val="000000"/>
          <w:szCs w:val="22"/>
          <w:lang w:val="hy-AM" w:eastAsia="en-US"/>
        </w:rPr>
        <w:t xml:space="preserve">Պետական բյուջեով </w:t>
      </w:r>
      <w:r w:rsidRPr="000E379B">
        <w:rPr>
          <w:b w:val="0"/>
          <w:color w:val="000000"/>
          <w:szCs w:val="22"/>
          <w:lang w:val="hy-AM" w:eastAsia="en-US"/>
        </w:rPr>
        <w:t xml:space="preserve">լրացուցիչ միջոցներ են նախատեսվել </w:t>
      </w:r>
      <w:r w:rsidRPr="00A976C4">
        <w:rPr>
          <w:rFonts w:cs="GHEA Grapalat"/>
          <w:b w:val="0"/>
          <w:color w:val="000000"/>
          <w:szCs w:val="22"/>
          <w:lang w:val="hy-AM" w:eastAsia="en-US"/>
        </w:rPr>
        <w:t>Հ</w:t>
      </w:r>
      <w:r w:rsidRPr="00A976C4">
        <w:rPr>
          <w:b w:val="0"/>
          <w:color w:val="000000"/>
          <w:szCs w:val="22"/>
          <w:lang w:val="hy-AM" w:eastAsia="en-US"/>
        </w:rPr>
        <w:t>Հ կառավարության կողմից հաստատված</w:t>
      </w:r>
      <w:r>
        <w:rPr>
          <w:b w:val="0"/>
          <w:color w:val="000000"/>
          <w:szCs w:val="22"/>
          <w:lang w:val="hy-AM" w:eastAsia="en-US"/>
        </w:rPr>
        <w:t xml:space="preserve"> առաջնահերթ և կարևոր ոլորտների </w:t>
      </w:r>
      <w:r w:rsidRPr="00A976C4">
        <w:rPr>
          <w:b w:val="0"/>
          <w:color w:val="000000"/>
          <w:szCs w:val="22"/>
          <w:lang w:val="hy-AM" w:eastAsia="en-US"/>
        </w:rPr>
        <w:t xml:space="preserve">մասնագիտությունների ցանկով հիմնական կրթության հիմքով ընդունված ուսանողներին </w:t>
      </w:r>
      <w:r w:rsidRPr="00945822">
        <w:rPr>
          <w:b w:val="0"/>
          <w:color w:val="000000"/>
          <w:szCs w:val="22"/>
          <w:lang w:val="hy-AM" w:eastAsia="en-US"/>
        </w:rPr>
        <w:t xml:space="preserve">տրվող </w:t>
      </w:r>
      <w:r w:rsidRPr="000E379B">
        <w:rPr>
          <w:b w:val="0"/>
          <w:color w:val="000000"/>
          <w:szCs w:val="22"/>
          <w:lang w:val="hy-AM" w:eastAsia="en-US"/>
        </w:rPr>
        <w:t xml:space="preserve">կրթաթոշակների չափերի </w:t>
      </w:r>
      <w:r w:rsidRPr="006147A1">
        <w:rPr>
          <w:b w:val="0"/>
          <w:color w:val="000000"/>
          <w:szCs w:val="22"/>
          <w:lang w:val="hy-AM" w:eastAsia="en-US"/>
        </w:rPr>
        <w:t>ավելացման</w:t>
      </w:r>
      <w:r w:rsidRPr="000E379B">
        <w:rPr>
          <w:b w:val="0"/>
          <w:color w:val="000000"/>
          <w:szCs w:val="22"/>
          <w:lang w:val="hy-AM" w:eastAsia="en-US"/>
        </w:rPr>
        <w:t xml:space="preserve"> նպատակով</w:t>
      </w:r>
      <w:r w:rsidRPr="00945822">
        <w:rPr>
          <w:b w:val="0"/>
          <w:color w:val="000000"/>
          <w:szCs w:val="22"/>
          <w:lang w:val="hy-AM" w:eastAsia="en-US"/>
        </w:rPr>
        <w:t xml:space="preserve">: </w:t>
      </w:r>
      <w:r w:rsidRPr="00122DB9">
        <w:rPr>
          <w:b w:val="0"/>
          <w:color w:val="000000"/>
          <w:szCs w:val="22"/>
          <w:lang w:val="hy-AM" w:eastAsia="en-US"/>
        </w:rPr>
        <w:t>Միջոցներ են նախատեսվել նաև ատեստավորման արդյունքում նախն</w:t>
      </w:r>
      <w:r>
        <w:rPr>
          <w:b w:val="0"/>
          <w:color w:val="000000"/>
          <w:szCs w:val="22"/>
          <w:lang w:val="hy-AM" w:eastAsia="en-US"/>
        </w:rPr>
        <w:t>ական մասնագիտական (</w:t>
      </w:r>
      <w:r w:rsidRPr="00122DB9">
        <w:rPr>
          <w:b w:val="0"/>
          <w:color w:val="000000"/>
          <w:szCs w:val="22"/>
          <w:lang w:val="hy-AM" w:eastAsia="en-US"/>
        </w:rPr>
        <w:t>արհեստագործական</w:t>
      </w:r>
      <w:r>
        <w:rPr>
          <w:b w:val="0"/>
          <w:color w:val="000000"/>
          <w:szCs w:val="22"/>
          <w:lang w:val="hy-AM" w:eastAsia="en-US"/>
        </w:rPr>
        <w:t>)</w:t>
      </w:r>
      <w:r w:rsidRPr="00122DB9">
        <w:rPr>
          <w:b w:val="0"/>
          <w:color w:val="000000"/>
          <w:szCs w:val="22"/>
          <w:lang w:val="hy-AM" w:eastAsia="en-US"/>
        </w:rPr>
        <w:t xml:space="preserve"> և միջին մասնագիտական ուսումնական հաստատությունների մանկավարժական աշխատողներին հավելավճարների</w:t>
      </w:r>
      <w:r>
        <w:rPr>
          <w:b w:val="0"/>
          <w:color w:val="000000"/>
          <w:szCs w:val="22"/>
          <w:lang w:val="hy-AM" w:eastAsia="en-US"/>
        </w:rPr>
        <w:t xml:space="preserve"> տրամադրման</w:t>
      </w:r>
      <w:r w:rsidRPr="00122DB9">
        <w:rPr>
          <w:b w:val="0"/>
          <w:color w:val="000000"/>
          <w:szCs w:val="22"/>
          <w:lang w:val="hy-AM" w:eastAsia="en-US"/>
        </w:rPr>
        <w:t xml:space="preserve">, </w:t>
      </w:r>
      <w:r w:rsidR="00A87221" w:rsidRPr="009E7DB2">
        <w:rPr>
          <w:b w:val="0"/>
          <w:color w:val="000000"/>
          <w:szCs w:val="22"/>
          <w:lang w:val="hy-AM" w:eastAsia="en-US"/>
        </w:rPr>
        <w:t>2023 թվականի սեպտեմբերի 19-ից հետո Լեռնային Ղարաբաղից բռնի տեղահանված և ՀՀ-ում նախնական  մասնագիտական (արհեստագործական) և միջին մասնագիտական կրթություն ստացող ուսանողներին ուսման վարձի լրիվ կամ մասնակի փոխհատուցման գծով կրթաթոշակի տրամադրման</w:t>
      </w:r>
      <w:r w:rsidR="00A87221" w:rsidRPr="00A87221">
        <w:rPr>
          <w:b w:val="0"/>
          <w:color w:val="000000"/>
          <w:szCs w:val="22"/>
          <w:lang w:val="hy-AM" w:eastAsia="en-US"/>
        </w:rPr>
        <w:t xml:space="preserve">, </w:t>
      </w:r>
      <w:r w:rsidRPr="00122DB9">
        <w:rPr>
          <w:b w:val="0"/>
          <w:color w:val="000000"/>
          <w:szCs w:val="22"/>
          <w:lang w:val="hy-AM" w:eastAsia="en-US"/>
        </w:rPr>
        <w:t>ինչպես</w:t>
      </w:r>
      <w:r w:rsidRPr="00945822">
        <w:rPr>
          <w:b w:val="0"/>
          <w:color w:val="000000"/>
          <w:szCs w:val="22"/>
          <w:lang w:val="hy-AM" w:eastAsia="en-US"/>
        </w:rPr>
        <w:t xml:space="preserve"> </w:t>
      </w:r>
      <w:r w:rsidRPr="00D81C77">
        <w:rPr>
          <w:b w:val="0"/>
          <w:color w:val="000000"/>
          <w:szCs w:val="22"/>
          <w:lang w:val="hy-AM" w:eastAsia="en-US"/>
        </w:rPr>
        <w:t>նաև</w:t>
      </w:r>
      <w:r w:rsidRPr="000E379B">
        <w:rPr>
          <w:b w:val="0"/>
          <w:color w:val="000000"/>
          <w:szCs w:val="22"/>
          <w:lang w:val="hy-AM" w:eastAsia="en-US"/>
        </w:rPr>
        <w:t xml:space="preserve"> ուսումնական հաստատությունների շենքային պայմանների բարելավման և կառուցման նպատակով</w:t>
      </w:r>
      <w:r w:rsidRPr="00D81C77">
        <w:rPr>
          <w:b w:val="0"/>
          <w:szCs w:val="22"/>
          <w:lang w:val="hy-AM" w:eastAsia="en-US"/>
        </w:rPr>
        <w:t>:</w:t>
      </w:r>
    </w:p>
    <w:p w14:paraId="2840D388" w14:textId="77777777" w:rsidR="00232970" w:rsidRPr="00D81C77" w:rsidRDefault="00232970" w:rsidP="00AC1E1E">
      <w:pPr>
        <w:rPr>
          <w:rFonts w:eastAsia="Calibri"/>
          <w:b w:val="0"/>
          <w:szCs w:val="22"/>
          <w:lang w:val="hy-AM" w:eastAsia="en-US"/>
        </w:rPr>
      </w:pPr>
      <w:r w:rsidRPr="00D81C77">
        <w:rPr>
          <w:b w:val="0"/>
          <w:szCs w:val="22"/>
          <w:lang w:val="hy-AM" w:eastAsia="en-US"/>
        </w:rPr>
        <w:t>Նախնական (արհեստագործական) և միջին մասնագիտական կրթության ոլորտի բարեփոխումներն ամրագրված են ՀՀ կառավարության ծրագրի «4.3 Կրթություն» բաժնում:</w:t>
      </w:r>
    </w:p>
    <w:p w14:paraId="59FFD069" w14:textId="77777777" w:rsidR="00232970" w:rsidRPr="00D81C77" w:rsidRDefault="00232970" w:rsidP="00AC1E1E">
      <w:pPr>
        <w:rPr>
          <w:b w:val="0"/>
          <w:color w:val="000000"/>
          <w:szCs w:val="22"/>
          <w:lang w:val="hy-AM" w:eastAsia="en-US"/>
        </w:rPr>
      </w:pPr>
      <w:r w:rsidRPr="00D81C77">
        <w:rPr>
          <w:szCs w:val="22"/>
          <w:lang w:val="hy-AM" w:eastAsia="en-US"/>
        </w:rPr>
        <w:t xml:space="preserve">Բարձրագույն և հետբուհական մասնագիտական կրթության </w:t>
      </w:r>
      <w:r>
        <w:rPr>
          <w:b w:val="0"/>
          <w:color w:val="000000"/>
          <w:szCs w:val="22"/>
          <w:lang w:val="hy-AM" w:eastAsia="en-US"/>
        </w:rPr>
        <w:t>ծրագրի գծով 2024</w:t>
      </w:r>
      <w:r w:rsidRPr="00D81C77">
        <w:rPr>
          <w:b w:val="0"/>
          <w:color w:val="000000"/>
          <w:szCs w:val="22"/>
          <w:lang w:val="hy-AM" w:eastAsia="en-US"/>
        </w:rPr>
        <w:t xml:space="preserve"> թվականին նախատեսվում է հատկացնել 14,</w:t>
      </w:r>
      <w:r w:rsidR="00483FB4">
        <w:rPr>
          <w:b w:val="0"/>
          <w:color w:val="000000"/>
          <w:szCs w:val="22"/>
          <w:lang w:val="hy-AM" w:eastAsia="en-US"/>
        </w:rPr>
        <w:t>642</w:t>
      </w:r>
      <w:r w:rsidRPr="00D81C77">
        <w:rPr>
          <w:b w:val="0"/>
          <w:color w:val="000000"/>
          <w:szCs w:val="22"/>
          <w:lang w:val="hy-AM" w:eastAsia="en-US"/>
        </w:rPr>
        <w:t>.</w:t>
      </w:r>
      <w:r w:rsidR="00483FB4" w:rsidRPr="00483FB4">
        <w:rPr>
          <w:b w:val="0"/>
          <w:color w:val="000000"/>
          <w:szCs w:val="22"/>
          <w:lang w:val="hy-AM" w:eastAsia="en-US"/>
        </w:rPr>
        <w:t>3</w:t>
      </w:r>
      <w:r w:rsidRPr="00D81C77">
        <w:rPr>
          <w:b w:val="0"/>
          <w:color w:val="000000"/>
          <w:szCs w:val="22"/>
          <w:lang w:val="hy-AM" w:eastAsia="en-US"/>
        </w:rPr>
        <w:t xml:space="preserve"> մլն դրամ:</w:t>
      </w:r>
    </w:p>
    <w:p w14:paraId="45EB3B57" w14:textId="77777777" w:rsidR="00232970" w:rsidRPr="00D81C77" w:rsidRDefault="00232970" w:rsidP="00AC1E1E">
      <w:pPr>
        <w:numPr>
          <w:ilvl w:val="12"/>
          <w:numId w:val="0"/>
        </w:numPr>
        <w:tabs>
          <w:tab w:val="left" w:pos="851"/>
          <w:tab w:val="left" w:pos="9214"/>
        </w:tabs>
        <w:rPr>
          <w:b w:val="0"/>
          <w:szCs w:val="22"/>
          <w:lang w:val="hy-AM" w:eastAsia="en-US"/>
        </w:rPr>
      </w:pPr>
      <w:r w:rsidRPr="00D81C77">
        <w:rPr>
          <w:b w:val="0"/>
          <w:szCs w:val="22"/>
          <w:lang w:val="hy-AM" w:eastAsia="en-US"/>
        </w:rPr>
        <w:t>Ծրագրի նպատակն է՝ ապահովել մատչելի, որակյալ և մրցունակ բարձրագույն և հետբուհական մասնագիտական կրթություն: Ծր</w:t>
      </w:r>
      <w:r>
        <w:rPr>
          <w:b w:val="0"/>
          <w:szCs w:val="22"/>
          <w:lang w:val="hy-AM" w:eastAsia="en-US"/>
        </w:rPr>
        <w:t>ագրով ծախսերը նախատեսվել են 12.</w:t>
      </w:r>
      <w:r w:rsidRPr="006147A1">
        <w:rPr>
          <w:b w:val="0"/>
          <w:szCs w:val="22"/>
          <w:lang w:val="hy-AM" w:eastAsia="en-US"/>
        </w:rPr>
        <w:t>5</w:t>
      </w:r>
      <w:r w:rsidRPr="00D81C77">
        <w:rPr>
          <w:b w:val="0"/>
          <w:szCs w:val="22"/>
          <w:lang w:val="hy-AM" w:eastAsia="en-US"/>
        </w:rPr>
        <w:t xml:space="preserve"> հազար ուսանող</w:t>
      </w:r>
      <w:r w:rsidRPr="00AD3FB7">
        <w:rPr>
          <w:b w:val="0"/>
          <w:szCs w:val="22"/>
          <w:lang w:val="hy-AM" w:eastAsia="en-US"/>
        </w:rPr>
        <w:t>ներ</w:t>
      </w:r>
      <w:r w:rsidRPr="00D81C77">
        <w:rPr>
          <w:b w:val="0"/>
          <w:szCs w:val="22"/>
          <w:lang w:val="hy-AM" w:eastAsia="en-US"/>
        </w:rPr>
        <w:t>ի կրթության, մարտական գործողություններին մասնակցած ուսանողների, երկու և ավելի անչափահաս երեխա ունեցող ուսանողների ու</w:t>
      </w:r>
      <w:r>
        <w:rPr>
          <w:b w:val="0"/>
          <w:szCs w:val="22"/>
          <w:lang w:val="hy-AM" w:eastAsia="en-US"/>
        </w:rPr>
        <w:t xml:space="preserve">սման վճարի մասնակի փոխհատուցման </w:t>
      </w:r>
      <w:r w:rsidRPr="006147A1">
        <w:rPr>
          <w:b w:val="0"/>
          <w:szCs w:val="22"/>
          <w:lang w:val="hy-AM" w:eastAsia="en-US"/>
        </w:rPr>
        <w:t>գծով:</w:t>
      </w:r>
      <w:r w:rsidRPr="00D81C77">
        <w:rPr>
          <w:b w:val="0"/>
          <w:szCs w:val="22"/>
          <w:lang w:val="hy-AM" w:eastAsia="en-US"/>
        </w:rPr>
        <w:t xml:space="preserve"> </w:t>
      </w:r>
      <w:r w:rsidR="00464695" w:rsidRPr="001F6A37">
        <w:rPr>
          <w:b w:val="0"/>
          <w:szCs w:val="22"/>
          <w:lang w:val="hy-AM" w:eastAsia="en-US"/>
        </w:rPr>
        <w:t>Պետական բյուջեով</w:t>
      </w:r>
      <w:r w:rsidRPr="006147A1">
        <w:rPr>
          <w:b w:val="0"/>
          <w:szCs w:val="22"/>
          <w:lang w:val="hy-AM" w:eastAsia="en-US"/>
        </w:rPr>
        <w:t xml:space="preserve"> լրացուցիչ միջոցներ են նախատեսվել պետության համար առաջնային և կարևորություն ներկայացնող մասնագիտություններով (կրթական ծրագրերով) ՀՀ բուհերում բակալավրի և մագիստրոսի կրթական աստիճաններով առկա ուսուցմամբ սովորողներին տրվող պետական կրթաթոշակի չափերի ավելացման</w:t>
      </w:r>
      <w:r w:rsidR="00E2071A" w:rsidRPr="00E2071A">
        <w:rPr>
          <w:b w:val="0"/>
          <w:szCs w:val="22"/>
          <w:lang w:val="hy-AM" w:eastAsia="en-US"/>
        </w:rPr>
        <w:t xml:space="preserve">, </w:t>
      </w:r>
      <w:r w:rsidR="00E2071A" w:rsidRPr="003E08CA">
        <w:rPr>
          <w:b w:val="0"/>
          <w:szCs w:val="22"/>
          <w:lang w:val="hy-AM" w:eastAsia="en-US"/>
        </w:rPr>
        <w:t>2023 թվականի սեպտեմբերի 19-ից հետո Լեռնային Ղարաբաղից բռնի տեղահանված և ՀՀ-ում բարձրագույն մասնագիտական կրթություն ստացող ուսանողներին ուսման վարձի լրիվ կամ մասնակի փոխհատուցման գծով</w:t>
      </w:r>
      <w:r w:rsidR="00E2071A">
        <w:rPr>
          <w:b w:val="0"/>
          <w:szCs w:val="22"/>
          <w:lang w:val="hy-AM" w:eastAsia="en-US"/>
        </w:rPr>
        <w:t xml:space="preserve"> կրթաթոշակի տրամադրման </w:t>
      </w:r>
      <w:r w:rsidR="00E2071A" w:rsidRPr="00D82F41">
        <w:rPr>
          <w:b w:val="0"/>
          <w:szCs w:val="22"/>
          <w:lang w:val="hy-AM" w:eastAsia="en-US"/>
        </w:rPr>
        <w:t>նպատակով,</w:t>
      </w:r>
      <w:r w:rsidRPr="006147A1">
        <w:rPr>
          <w:b w:val="0"/>
          <w:szCs w:val="22"/>
          <w:lang w:val="hy-AM" w:eastAsia="en-US"/>
        </w:rPr>
        <w:t xml:space="preserve"> </w:t>
      </w:r>
      <w:r w:rsidRPr="00D11F23">
        <w:rPr>
          <w:b w:val="0"/>
          <w:szCs w:val="22"/>
          <w:lang w:val="hy-AM" w:eastAsia="en-US"/>
        </w:rPr>
        <w:t>ինչպես նաև «Երևանի Կոմիտասի անվան պետական կոնսերվատորիա» ՊՈԱԿ-ի և «Զեյթուն» ուսանողական ավան» հիմնադրամի շինարարական աշխատանքների գծով:</w:t>
      </w:r>
      <w:r w:rsidRPr="00D81C77">
        <w:rPr>
          <w:b w:val="0"/>
          <w:szCs w:val="22"/>
          <w:lang w:val="hy-AM" w:eastAsia="en-US"/>
        </w:rPr>
        <w:t xml:space="preserve"> </w:t>
      </w:r>
    </w:p>
    <w:p w14:paraId="6C50415C" w14:textId="77777777" w:rsidR="00232970" w:rsidRPr="00D81C77" w:rsidRDefault="00232970" w:rsidP="00AC1E1E">
      <w:pPr>
        <w:rPr>
          <w:rFonts w:eastAsia="Calibri"/>
          <w:b w:val="0"/>
          <w:szCs w:val="22"/>
          <w:lang w:val="hy-AM" w:eastAsia="en-US"/>
        </w:rPr>
      </w:pPr>
      <w:r w:rsidRPr="00D81C77">
        <w:rPr>
          <w:b w:val="0"/>
          <w:szCs w:val="22"/>
          <w:lang w:val="hy-AM" w:eastAsia="en-US"/>
        </w:rPr>
        <w:lastRenderedPageBreak/>
        <w:t>Բարձրագույն կրթության ոլորտի բարեփոխումներն ամրագրված են ՀՀ կառավարության ծրագրի «4.3 Կրթություն» բաժնում:</w:t>
      </w:r>
    </w:p>
    <w:p w14:paraId="5DE84E92" w14:textId="77777777" w:rsidR="00232970" w:rsidRPr="00D81C77" w:rsidRDefault="00232970" w:rsidP="00AC1E1E">
      <w:pPr>
        <w:rPr>
          <w:b w:val="0"/>
          <w:szCs w:val="22"/>
          <w:lang w:val="hy-AM" w:eastAsia="en-US"/>
        </w:rPr>
      </w:pPr>
      <w:r w:rsidRPr="00D81C77">
        <w:rPr>
          <w:szCs w:val="22"/>
          <w:lang w:val="hy-AM" w:eastAsia="en-US"/>
        </w:rPr>
        <w:t xml:space="preserve">Հանրակրթության </w:t>
      </w:r>
      <w:r w:rsidRPr="00D81C77">
        <w:rPr>
          <w:b w:val="0"/>
          <w:szCs w:val="22"/>
          <w:lang w:val="hy-AM" w:eastAsia="en-US"/>
        </w:rPr>
        <w:t xml:space="preserve">ծրագրի գծով </w:t>
      </w:r>
      <w:r w:rsidRPr="00D81C77">
        <w:rPr>
          <w:b w:val="0"/>
          <w:color w:val="000000"/>
          <w:szCs w:val="22"/>
          <w:lang w:val="hy-AM" w:eastAsia="en-US"/>
        </w:rPr>
        <w:t>202</w:t>
      </w:r>
      <w:r w:rsidRPr="00D55506">
        <w:rPr>
          <w:b w:val="0"/>
          <w:color w:val="000000"/>
          <w:szCs w:val="22"/>
          <w:lang w:val="hy-AM" w:eastAsia="en-US"/>
        </w:rPr>
        <w:t>4</w:t>
      </w:r>
      <w:r w:rsidRPr="00D81C77">
        <w:rPr>
          <w:b w:val="0"/>
          <w:color w:val="000000"/>
          <w:szCs w:val="22"/>
          <w:lang w:val="hy-AM" w:eastAsia="en-US"/>
        </w:rPr>
        <w:t xml:space="preserve"> թվականին նախատեսվում է հատկացնել 12</w:t>
      </w:r>
      <w:r w:rsidR="00E2071A">
        <w:rPr>
          <w:b w:val="0"/>
          <w:color w:val="000000"/>
          <w:szCs w:val="22"/>
          <w:lang w:val="hy-AM" w:eastAsia="en-US"/>
        </w:rPr>
        <w:t>1</w:t>
      </w:r>
      <w:r w:rsidRPr="00D81C77">
        <w:rPr>
          <w:b w:val="0"/>
          <w:color w:val="000000"/>
          <w:szCs w:val="22"/>
          <w:lang w:val="hy-AM" w:eastAsia="en-US"/>
        </w:rPr>
        <w:t>,</w:t>
      </w:r>
      <w:r w:rsidR="00E2071A" w:rsidRPr="00E2071A">
        <w:rPr>
          <w:b w:val="0"/>
          <w:color w:val="000000"/>
          <w:szCs w:val="22"/>
          <w:lang w:val="hy-AM" w:eastAsia="en-US"/>
        </w:rPr>
        <w:t>906</w:t>
      </w:r>
      <w:r w:rsidRPr="00D81C77">
        <w:rPr>
          <w:b w:val="0"/>
          <w:color w:val="000000"/>
          <w:szCs w:val="22"/>
          <w:lang w:val="hy-AM" w:eastAsia="en-US"/>
        </w:rPr>
        <w:t>.</w:t>
      </w:r>
      <w:r w:rsidR="00E2071A" w:rsidRPr="00E2071A">
        <w:rPr>
          <w:b w:val="0"/>
          <w:color w:val="000000"/>
          <w:szCs w:val="22"/>
          <w:lang w:val="hy-AM" w:eastAsia="en-US"/>
        </w:rPr>
        <w:t>0</w:t>
      </w:r>
      <w:r w:rsidRPr="00D81C77">
        <w:rPr>
          <w:b w:val="0"/>
          <w:color w:val="000000"/>
          <w:szCs w:val="22"/>
          <w:lang w:val="hy-AM" w:eastAsia="en-US"/>
        </w:rPr>
        <w:t xml:space="preserve"> մլն դրամ:</w:t>
      </w:r>
    </w:p>
    <w:p w14:paraId="341B2376" w14:textId="77777777" w:rsidR="00232970" w:rsidRPr="00D81C77" w:rsidRDefault="00232970" w:rsidP="00AC1E1E">
      <w:pPr>
        <w:rPr>
          <w:b w:val="0"/>
          <w:szCs w:val="22"/>
          <w:lang w:val="hy-AM" w:eastAsia="en-US"/>
        </w:rPr>
      </w:pPr>
      <w:r w:rsidRPr="00D81C77">
        <w:rPr>
          <w:b w:val="0"/>
          <w:szCs w:val="22"/>
          <w:lang w:val="hy-AM" w:eastAsia="en-US"/>
        </w:rPr>
        <w:t xml:space="preserve">Ծրագրի նպատակն է՝ ապահովել անվճար և որակյալ հանրակրթություն: Ծրագրի շրջանակներում միջոցներ են նախատեսվել պարտադիր կրթության երեք մակարդակներում սովորողների ուսուցման գծով: </w:t>
      </w:r>
      <w:r>
        <w:rPr>
          <w:b w:val="0"/>
          <w:szCs w:val="22"/>
          <w:lang w:val="hy-AM" w:eastAsia="en-US"/>
        </w:rPr>
        <w:t>Մասնավորապես</w:t>
      </w:r>
      <w:r w:rsidRPr="00D55506">
        <w:rPr>
          <w:b w:val="0"/>
          <w:szCs w:val="22"/>
          <w:lang w:val="hy-AM" w:eastAsia="en-US"/>
        </w:rPr>
        <w:t xml:space="preserve">. </w:t>
      </w:r>
      <w:r w:rsidR="00464695" w:rsidRPr="001F6A37">
        <w:rPr>
          <w:b w:val="0"/>
          <w:szCs w:val="22"/>
          <w:lang w:val="hy-AM" w:eastAsia="en-US"/>
        </w:rPr>
        <w:t>ծ</w:t>
      </w:r>
      <w:r w:rsidRPr="00D81C77">
        <w:rPr>
          <w:b w:val="0"/>
          <w:szCs w:val="22"/>
          <w:lang w:val="hy-AM" w:eastAsia="en-US"/>
        </w:rPr>
        <w:t>ախսերը հաշվարկվել են 133</w:t>
      </w:r>
      <w:r>
        <w:rPr>
          <w:b w:val="0"/>
          <w:szCs w:val="22"/>
          <w:lang w:val="hy-AM" w:eastAsia="en-US"/>
        </w:rPr>
        <w:t>5</w:t>
      </w:r>
      <w:r w:rsidRPr="00D81C77">
        <w:rPr>
          <w:b w:val="0"/>
          <w:szCs w:val="22"/>
          <w:lang w:val="hy-AM" w:eastAsia="en-US"/>
        </w:rPr>
        <w:t xml:space="preserve"> հանրակրթական դպրոցների</w:t>
      </w:r>
      <w:r w:rsidRPr="00D55506">
        <w:rPr>
          <w:b w:val="0"/>
          <w:szCs w:val="22"/>
          <w:lang w:val="hy-AM" w:eastAsia="en-US"/>
        </w:rPr>
        <w:t xml:space="preserve"> </w:t>
      </w:r>
      <w:r>
        <w:rPr>
          <w:b w:val="0"/>
          <w:szCs w:val="22"/>
          <w:lang w:val="hy-AM" w:eastAsia="en-US"/>
        </w:rPr>
        <w:t>20</w:t>
      </w:r>
      <w:r w:rsidRPr="00D55506">
        <w:rPr>
          <w:b w:val="0"/>
          <w:szCs w:val="22"/>
          <w:lang w:val="hy-AM" w:eastAsia="en-US"/>
        </w:rPr>
        <w:t>.</w:t>
      </w:r>
      <w:r>
        <w:rPr>
          <w:b w:val="0"/>
          <w:szCs w:val="22"/>
          <w:lang w:val="hy-AM" w:eastAsia="en-US"/>
        </w:rPr>
        <w:t>1 հազար դասարաններում ընդգրկվող</w:t>
      </w:r>
      <w:r w:rsidRPr="00D81C77">
        <w:rPr>
          <w:b w:val="0"/>
          <w:szCs w:val="22"/>
          <w:lang w:val="hy-AM" w:eastAsia="en-US"/>
        </w:rPr>
        <w:t xml:space="preserve">, միջին տարեկան հաշվարկով, </w:t>
      </w:r>
      <w:r>
        <w:rPr>
          <w:b w:val="0"/>
          <w:szCs w:val="22"/>
          <w:lang w:val="hy-AM" w:eastAsia="en-US"/>
        </w:rPr>
        <w:t>403</w:t>
      </w:r>
      <w:r w:rsidRPr="00D81C77">
        <w:rPr>
          <w:b w:val="0"/>
          <w:szCs w:val="22"/>
          <w:lang w:val="hy-AM" w:eastAsia="en-US"/>
        </w:rPr>
        <w:t>.</w:t>
      </w:r>
      <w:r w:rsidR="00E2071A" w:rsidRPr="00E2071A">
        <w:rPr>
          <w:b w:val="0"/>
          <w:szCs w:val="22"/>
          <w:lang w:val="hy-AM" w:eastAsia="en-US"/>
        </w:rPr>
        <w:t>7</w:t>
      </w:r>
      <w:r w:rsidRPr="00D81C77">
        <w:rPr>
          <w:b w:val="0"/>
          <w:szCs w:val="22"/>
          <w:lang w:val="hy-AM" w:eastAsia="en-US"/>
        </w:rPr>
        <w:t xml:space="preserve"> հազար աշակերտի ուսուցման</w:t>
      </w:r>
      <w:r>
        <w:rPr>
          <w:b w:val="0"/>
          <w:szCs w:val="22"/>
          <w:lang w:val="hy-AM" w:eastAsia="en-US"/>
        </w:rPr>
        <w:t>,</w:t>
      </w:r>
      <w:r w:rsidRPr="00D81C77">
        <w:rPr>
          <w:b w:val="0"/>
          <w:szCs w:val="22"/>
          <w:lang w:val="hy-AM" w:eastAsia="en-US"/>
        </w:rPr>
        <w:t xml:space="preserve"> </w:t>
      </w:r>
      <w:r>
        <w:rPr>
          <w:b w:val="0"/>
          <w:szCs w:val="22"/>
          <w:lang w:val="hy-AM" w:eastAsia="en-US"/>
        </w:rPr>
        <w:t>հատուկ և մասնագիտացված հանրակրթության մեջ ընդգրկվող՝ համապատասխանաբար, 0</w:t>
      </w:r>
      <w:r w:rsidRPr="00D55506">
        <w:rPr>
          <w:b w:val="0"/>
          <w:szCs w:val="22"/>
          <w:lang w:val="hy-AM" w:eastAsia="en-US"/>
        </w:rPr>
        <w:t>.6</w:t>
      </w:r>
      <w:r>
        <w:rPr>
          <w:b w:val="0"/>
          <w:szCs w:val="22"/>
          <w:lang w:val="hy-AM" w:eastAsia="en-US"/>
        </w:rPr>
        <w:t xml:space="preserve"> և 3</w:t>
      </w:r>
      <w:r w:rsidRPr="00D55506">
        <w:rPr>
          <w:b w:val="0"/>
          <w:szCs w:val="22"/>
          <w:lang w:val="hy-AM" w:eastAsia="en-US"/>
        </w:rPr>
        <w:t>.9</w:t>
      </w:r>
      <w:r>
        <w:rPr>
          <w:b w:val="0"/>
          <w:szCs w:val="22"/>
          <w:lang w:val="hy-AM" w:eastAsia="en-US"/>
        </w:rPr>
        <w:t xml:space="preserve"> հազար սովորողների կրթության գծով</w:t>
      </w:r>
      <w:r w:rsidRPr="00CD73F9">
        <w:rPr>
          <w:b w:val="0"/>
          <w:szCs w:val="22"/>
          <w:lang w:val="hy-AM" w:eastAsia="en-US"/>
        </w:rPr>
        <w:t>:</w:t>
      </w:r>
      <w:r>
        <w:rPr>
          <w:b w:val="0"/>
          <w:szCs w:val="22"/>
          <w:lang w:val="hy-AM" w:eastAsia="en-US"/>
        </w:rPr>
        <w:t xml:space="preserve"> </w:t>
      </w:r>
    </w:p>
    <w:p w14:paraId="102C3957" w14:textId="77777777" w:rsidR="00232970" w:rsidRDefault="00232970" w:rsidP="00AC1E1E">
      <w:pPr>
        <w:rPr>
          <w:b w:val="0"/>
          <w:szCs w:val="22"/>
          <w:lang w:val="hy-AM" w:eastAsia="en-US"/>
        </w:rPr>
      </w:pPr>
      <w:r w:rsidRPr="00D81C77">
        <w:rPr>
          <w:b w:val="0"/>
          <w:szCs w:val="22"/>
          <w:lang w:val="hy-AM" w:eastAsia="en-US"/>
        </w:rPr>
        <w:t>Ծրագրի շրջանակներում միջոցներ են նախատեսվել</w:t>
      </w:r>
      <w:r w:rsidRPr="003F5110">
        <w:rPr>
          <w:lang w:val="hy-AM"/>
        </w:rPr>
        <w:t xml:space="preserve"> </w:t>
      </w:r>
      <w:r w:rsidRPr="003F5110">
        <w:rPr>
          <w:b w:val="0"/>
          <w:lang w:val="hy-AM"/>
        </w:rPr>
        <w:t>կ</w:t>
      </w:r>
      <w:r w:rsidRPr="003F5110">
        <w:rPr>
          <w:b w:val="0"/>
          <w:szCs w:val="22"/>
          <w:lang w:val="hy-AM" w:eastAsia="en-US"/>
        </w:rPr>
        <w:t>րթական հաստատությունների աշակերտներին դասագրքերով և ուս</w:t>
      </w:r>
      <w:r>
        <w:rPr>
          <w:b w:val="0"/>
          <w:szCs w:val="22"/>
          <w:lang w:val="hy-AM" w:eastAsia="en-US"/>
        </w:rPr>
        <w:t xml:space="preserve">ումնական գրականությամբ ապահովման, </w:t>
      </w:r>
      <w:r w:rsidRPr="00D81C77">
        <w:rPr>
          <w:b w:val="0"/>
          <w:szCs w:val="22"/>
          <w:lang w:val="hy-AM" w:eastAsia="en-US"/>
        </w:rPr>
        <w:t>hանրակրթական դպրոցների մանկավարժների</w:t>
      </w:r>
      <w:r>
        <w:rPr>
          <w:b w:val="0"/>
          <w:szCs w:val="22"/>
          <w:lang w:val="hy-AM" w:eastAsia="en-US"/>
        </w:rPr>
        <w:t>ն</w:t>
      </w:r>
      <w:r w:rsidRPr="00D81C77">
        <w:rPr>
          <w:b w:val="0"/>
          <w:szCs w:val="22"/>
          <w:lang w:val="hy-AM" w:eastAsia="en-US"/>
        </w:rPr>
        <w:t xml:space="preserve"> և դպրոցահասակ երեխաների</w:t>
      </w:r>
      <w:r>
        <w:rPr>
          <w:b w:val="0"/>
          <w:szCs w:val="22"/>
          <w:lang w:val="hy-AM" w:eastAsia="en-US"/>
        </w:rPr>
        <w:t>ն</w:t>
      </w:r>
      <w:r w:rsidRPr="00D81C77">
        <w:rPr>
          <w:b w:val="0"/>
          <w:szCs w:val="22"/>
          <w:lang w:val="hy-AM" w:eastAsia="en-US"/>
        </w:rPr>
        <w:t xml:space="preserve"> տրանսպորտային ծախսերի փոխհատուցման</w:t>
      </w:r>
      <w:r w:rsidRPr="003514ED">
        <w:rPr>
          <w:b w:val="0"/>
          <w:szCs w:val="22"/>
          <w:lang w:val="hy-AM" w:eastAsia="en-US"/>
        </w:rPr>
        <w:t xml:space="preserve"> </w:t>
      </w:r>
      <w:r w:rsidRPr="00D81C77">
        <w:rPr>
          <w:b w:val="0"/>
          <w:szCs w:val="22"/>
          <w:lang w:val="hy-AM" w:eastAsia="en-US"/>
        </w:rPr>
        <w:t>գծով: Ծախսեր են նախատեսվել նաև սովորողների միջազգային գնահատման ծրագրին (PISA) մասնակցության, ՀՀ պետական հանրակրթական բոլոր ուսումնական հաստատություններում ԲՏՃՄ ոլորտի (բացառությամբ մաթեմատիկայի), գյուղական բնակավայրերում մինչև 100 աշակերտ ունեցող դպրոցների, ՀՀ Սյունիքի մարզում բազմահամակազմ դասարաններում դասավանդող ուսուցիչների համար</w:t>
      </w:r>
      <w:r>
        <w:rPr>
          <w:b w:val="0"/>
          <w:szCs w:val="22"/>
          <w:lang w:val="hy-AM" w:eastAsia="en-US"/>
        </w:rPr>
        <w:t xml:space="preserve"> հավելավճարների տրամադրման</w:t>
      </w:r>
      <w:r w:rsidR="00E2071A" w:rsidRPr="00E2071A">
        <w:rPr>
          <w:b w:val="0"/>
          <w:szCs w:val="22"/>
          <w:lang w:val="hy-AM" w:eastAsia="en-US"/>
        </w:rPr>
        <w:t>,</w:t>
      </w:r>
      <w:r>
        <w:rPr>
          <w:b w:val="0"/>
          <w:szCs w:val="22"/>
          <w:lang w:val="hy-AM" w:eastAsia="en-US"/>
        </w:rPr>
        <w:t xml:space="preserve"> </w:t>
      </w:r>
      <w:r w:rsidR="00E2071A" w:rsidRPr="00BD4ACA">
        <w:rPr>
          <w:b w:val="0"/>
          <w:szCs w:val="22"/>
          <w:lang w:val="hy-AM" w:eastAsia="en-US"/>
        </w:rPr>
        <w:t>2023 թվականին Լեռնային Ղարաբաղից բռնի տեղահանված ուսուցիչների օժանդակո</w:t>
      </w:r>
      <w:r w:rsidR="00E2071A">
        <w:rPr>
          <w:b w:val="0"/>
          <w:szCs w:val="22"/>
          <w:lang w:val="hy-AM" w:eastAsia="en-US"/>
        </w:rPr>
        <w:t>ւթյան ծրագ</w:t>
      </w:r>
      <w:r w:rsidR="00E2071A" w:rsidRPr="00BD4ACA">
        <w:rPr>
          <w:b w:val="0"/>
          <w:szCs w:val="22"/>
          <w:lang w:val="hy-AM" w:eastAsia="en-US"/>
        </w:rPr>
        <w:t>րի</w:t>
      </w:r>
      <w:r w:rsidR="00E2071A">
        <w:rPr>
          <w:b w:val="0"/>
          <w:szCs w:val="22"/>
          <w:lang w:val="hy-AM" w:eastAsia="en-US"/>
        </w:rPr>
        <w:t xml:space="preserve"> </w:t>
      </w:r>
      <w:r>
        <w:rPr>
          <w:b w:val="0"/>
          <w:szCs w:val="22"/>
          <w:lang w:val="hy-AM" w:eastAsia="en-US"/>
        </w:rPr>
        <w:t>գծով</w:t>
      </w:r>
      <w:r w:rsidRPr="00D81C77">
        <w:rPr>
          <w:b w:val="0"/>
          <w:szCs w:val="22"/>
          <w:lang w:val="hy-AM" w:eastAsia="en-US"/>
        </w:rPr>
        <w:t>:</w:t>
      </w:r>
    </w:p>
    <w:p w14:paraId="0BA07F6C" w14:textId="77777777" w:rsidR="00E2071A" w:rsidRDefault="00E2071A" w:rsidP="00AC1E1E">
      <w:pPr>
        <w:rPr>
          <w:b w:val="0"/>
          <w:color w:val="000000"/>
          <w:szCs w:val="22"/>
          <w:lang w:val="hy-AM" w:eastAsia="en-US"/>
        </w:rPr>
      </w:pPr>
      <w:r w:rsidRPr="00E2071A">
        <w:rPr>
          <w:b w:val="0"/>
          <w:szCs w:val="22"/>
          <w:lang w:val="hy-AM" w:eastAsia="en-US"/>
        </w:rPr>
        <w:t xml:space="preserve">Միաժամանակ, </w:t>
      </w:r>
      <w:r w:rsidRPr="00BD4ACA">
        <w:rPr>
          <w:b w:val="0"/>
          <w:szCs w:val="22"/>
          <w:lang w:val="hy-AM" w:eastAsia="en-US"/>
        </w:rPr>
        <w:t xml:space="preserve">կրթության ոլորտի ծրագրերի </w:t>
      </w:r>
      <w:r>
        <w:rPr>
          <w:b w:val="0"/>
          <w:szCs w:val="22"/>
          <w:lang w:val="hy-AM" w:eastAsia="en-US"/>
        </w:rPr>
        <w:t>(</w:t>
      </w:r>
      <w:r w:rsidRPr="00BD4ACA">
        <w:rPr>
          <w:b w:val="0"/>
          <w:szCs w:val="22"/>
          <w:lang w:val="hy-AM" w:eastAsia="en-US"/>
        </w:rPr>
        <w:t>միջոցառումների</w:t>
      </w:r>
      <w:r>
        <w:rPr>
          <w:b w:val="0"/>
          <w:szCs w:val="22"/>
          <w:lang w:val="hy-AM" w:eastAsia="en-US"/>
        </w:rPr>
        <w:t>)</w:t>
      </w:r>
      <w:r w:rsidRPr="00BD4ACA">
        <w:rPr>
          <w:b w:val="0"/>
          <w:szCs w:val="22"/>
          <w:lang w:val="hy-AM" w:eastAsia="en-US"/>
        </w:rPr>
        <w:t xml:space="preserve"> վերադասավորման արդյունքում՝ Հանրակրթության ծրագրից առանձնացվել </w:t>
      </w:r>
      <w:r w:rsidRPr="00B91939">
        <w:rPr>
          <w:b w:val="0"/>
          <w:szCs w:val="22"/>
          <w:lang w:val="hy-AM" w:eastAsia="en-US"/>
        </w:rPr>
        <w:t xml:space="preserve">և նոր՝ </w:t>
      </w:r>
      <w:r w:rsidRPr="00DE225A">
        <w:rPr>
          <w:szCs w:val="22"/>
          <w:lang w:val="hy-AM" w:eastAsia="en-US"/>
        </w:rPr>
        <w:t>«Նախադպրոցական կրթություն»</w:t>
      </w:r>
      <w:r w:rsidRPr="00B91939">
        <w:rPr>
          <w:b w:val="0"/>
          <w:szCs w:val="22"/>
          <w:lang w:val="hy-AM" w:eastAsia="en-US"/>
        </w:rPr>
        <w:t xml:space="preserve"> ծրագրի շրջանակներում են նախատեսվել նախադպրոցական կրթության կազմակերպման գծով միջոցառումները: Ծրագրի գծով 2024 թվականին նախատեսվում է հատկացնել 2</w:t>
      </w:r>
      <w:r w:rsidRPr="00D82F41">
        <w:rPr>
          <w:b w:val="0"/>
          <w:color w:val="000000"/>
          <w:szCs w:val="22"/>
          <w:lang w:val="hy-AM" w:eastAsia="en-US"/>
        </w:rPr>
        <w:t>,</w:t>
      </w:r>
      <w:r w:rsidRPr="00B91939">
        <w:rPr>
          <w:b w:val="0"/>
          <w:color w:val="000000"/>
          <w:szCs w:val="22"/>
          <w:lang w:val="hy-AM" w:eastAsia="en-US"/>
        </w:rPr>
        <w:t>747</w:t>
      </w:r>
      <w:r w:rsidRPr="00D82F41">
        <w:rPr>
          <w:b w:val="0"/>
          <w:color w:val="000000"/>
          <w:szCs w:val="22"/>
          <w:lang w:val="hy-AM" w:eastAsia="en-US"/>
        </w:rPr>
        <w:t>.</w:t>
      </w:r>
      <w:r w:rsidRPr="00B91939">
        <w:rPr>
          <w:b w:val="0"/>
          <w:color w:val="000000"/>
          <w:szCs w:val="22"/>
          <w:lang w:val="hy-AM" w:eastAsia="en-US"/>
        </w:rPr>
        <w:t>6</w:t>
      </w:r>
      <w:r w:rsidRPr="00D82F41">
        <w:rPr>
          <w:b w:val="0"/>
          <w:color w:val="000000"/>
          <w:szCs w:val="22"/>
          <w:lang w:val="hy-AM" w:eastAsia="en-US"/>
        </w:rPr>
        <w:t xml:space="preserve"> մլն դրամ</w:t>
      </w:r>
      <w:r w:rsidRPr="00E2071A">
        <w:rPr>
          <w:b w:val="0"/>
          <w:color w:val="000000"/>
          <w:szCs w:val="22"/>
          <w:lang w:val="hy-AM" w:eastAsia="en-US"/>
        </w:rPr>
        <w:t>:</w:t>
      </w:r>
    </w:p>
    <w:p w14:paraId="27450A48" w14:textId="77777777" w:rsidR="0062287A" w:rsidRPr="0062287A" w:rsidRDefault="0062287A" w:rsidP="00AC1E1E">
      <w:pPr>
        <w:rPr>
          <w:b w:val="0"/>
          <w:szCs w:val="22"/>
          <w:lang w:val="hy-AM" w:eastAsia="en-US"/>
        </w:rPr>
      </w:pPr>
      <w:r w:rsidRPr="0062287A">
        <w:rPr>
          <w:b w:val="0"/>
          <w:color w:val="000000"/>
          <w:szCs w:val="22"/>
          <w:lang w:val="hy-AM" w:eastAsia="en-US"/>
        </w:rPr>
        <w:t xml:space="preserve">Ծրագրի նպատակն է՝ ապահովել հասանելի և որակյալ նախադպրոցական կրթություն: Ծրագրի շրջանակներում միջոցներ են նախատեսվել նախակրթարաններում ընդգրկվող երեխաների, </w:t>
      </w:r>
      <w:r w:rsidRPr="0062287A">
        <w:rPr>
          <w:b w:val="0"/>
          <w:szCs w:val="22"/>
          <w:lang w:val="hy-AM" w:eastAsia="en-US"/>
        </w:rPr>
        <w:t>սոցիալական որոշ խմբերի</w:t>
      </w:r>
      <w:r w:rsidRPr="0062287A">
        <w:rPr>
          <w:rFonts w:ascii="Calibri" w:hAnsi="Calibri" w:cs="Calibri"/>
          <w:b w:val="0"/>
          <w:szCs w:val="22"/>
          <w:lang w:val="hy-AM" w:eastAsia="en-US"/>
        </w:rPr>
        <w:t xml:space="preserve"> </w:t>
      </w:r>
      <w:r w:rsidRPr="0062287A">
        <w:rPr>
          <w:b w:val="0"/>
          <w:szCs w:val="22"/>
          <w:lang w:val="hy-AM" w:eastAsia="en-US"/>
        </w:rPr>
        <w:t xml:space="preserve">1.5-5 </w:t>
      </w:r>
      <w:r w:rsidRPr="0062287A">
        <w:rPr>
          <w:rFonts w:cs="GHEA Grapalat"/>
          <w:b w:val="0"/>
          <w:szCs w:val="22"/>
          <w:lang w:val="hy-AM" w:eastAsia="en-US"/>
        </w:rPr>
        <w:t>տարեկան</w:t>
      </w:r>
      <w:r w:rsidRPr="0062287A">
        <w:rPr>
          <w:b w:val="0"/>
          <w:szCs w:val="22"/>
          <w:lang w:val="hy-AM" w:eastAsia="en-US"/>
        </w:rPr>
        <w:t xml:space="preserve"> </w:t>
      </w:r>
      <w:r w:rsidRPr="0062287A">
        <w:rPr>
          <w:rFonts w:cs="GHEA Grapalat"/>
          <w:b w:val="0"/>
          <w:szCs w:val="22"/>
          <w:lang w:val="hy-AM" w:eastAsia="en-US"/>
        </w:rPr>
        <w:t>երե</w:t>
      </w:r>
      <w:r w:rsidRPr="0062287A">
        <w:rPr>
          <w:b w:val="0"/>
          <w:szCs w:val="22"/>
          <w:lang w:val="hy-AM" w:eastAsia="en-US"/>
        </w:rPr>
        <w:t>խաների նախադպրոցական կրթության ապահովման, նախադպրոցական ծրագրեր իրականացնող ուսումնական հաստատությունների մանկավարժների վերապատրաստման, վերջիններիս տարակարգի շնորհման արդյունքում հավելավճարի տրամադրման գծով:</w:t>
      </w:r>
    </w:p>
    <w:p w14:paraId="1EA840E7" w14:textId="77777777" w:rsidR="00232970" w:rsidRPr="00D81C77" w:rsidRDefault="00232970" w:rsidP="00AC1E1E">
      <w:pPr>
        <w:rPr>
          <w:b w:val="0"/>
          <w:szCs w:val="22"/>
          <w:lang w:val="hy-AM" w:eastAsia="en-US"/>
        </w:rPr>
      </w:pPr>
      <w:r w:rsidRPr="00D81C77">
        <w:rPr>
          <w:b w:val="0"/>
          <w:szCs w:val="22"/>
          <w:lang w:val="hy-AM" w:eastAsia="en-US"/>
        </w:rPr>
        <w:t xml:space="preserve">Հանրակրթության և նախադպրոցական կրթության վերաբերյալ դրույթներն ամրագրված են ՀՀ կառավարության ծրագրի «4.3 Կրթություն» բաժնում: </w:t>
      </w:r>
    </w:p>
    <w:p w14:paraId="37CEA21B" w14:textId="77777777" w:rsidR="00232970" w:rsidRPr="00D81C77" w:rsidRDefault="00232970" w:rsidP="00AC1E1E">
      <w:pPr>
        <w:rPr>
          <w:b w:val="0"/>
          <w:szCs w:val="22"/>
          <w:lang w:val="hy-AM" w:eastAsia="en-US"/>
        </w:rPr>
      </w:pPr>
      <w:r w:rsidRPr="00D81C77">
        <w:rPr>
          <w:szCs w:val="22"/>
          <w:lang w:val="hy-AM" w:eastAsia="en-US"/>
        </w:rPr>
        <w:t>Արտադպրոցական դաստիարակության</w:t>
      </w:r>
      <w:r w:rsidRPr="00D81C77">
        <w:rPr>
          <w:b w:val="0"/>
          <w:szCs w:val="22"/>
          <w:lang w:val="hy-AM" w:eastAsia="en-US"/>
        </w:rPr>
        <w:t xml:space="preserve"> ծրագրի գծով 202</w:t>
      </w:r>
      <w:r w:rsidRPr="006B44EC">
        <w:rPr>
          <w:b w:val="0"/>
          <w:szCs w:val="22"/>
          <w:lang w:val="hy-AM" w:eastAsia="en-US"/>
        </w:rPr>
        <w:t>4</w:t>
      </w:r>
      <w:r w:rsidRPr="00D81C77">
        <w:rPr>
          <w:b w:val="0"/>
          <w:szCs w:val="22"/>
          <w:lang w:val="hy-AM" w:eastAsia="en-US"/>
        </w:rPr>
        <w:t xml:space="preserve"> թվականին </w:t>
      </w:r>
      <w:r w:rsidRPr="00D81C77">
        <w:rPr>
          <w:b w:val="0"/>
          <w:color w:val="000000"/>
          <w:szCs w:val="22"/>
          <w:lang w:val="hy-AM" w:eastAsia="en-US"/>
        </w:rPr>
        <w:t>նախատեսվում է հատկացնել</w:t>
      </w:r>
      <w:r w:rsidRPr="00D81C77">
        <w:rPr>
          <w:b w:val="0"/>
          <w:szCs w:val="22"/>
          <w:lang w:val="hy-AM" w:eastAsia="en-US"/>
        </w:rPr>
        <w:t xml:space="preserve"> </w:t>
      </w:r>
      <w:r w:rsidRPr="006B44EC">
        <w:rPr>
          <w:b w:val="0"/>
          <w:szCs w:val="22"/>
          <w:lang w:val="hy-AM" w:eastAsia="en-US"/>
        </w:rPr>
        <w:t>4</w:t>
      </w:r>
      <w:r w:rsidRPr="00D81C77">
        <w:rPr>
          <w:b w:val="0"/>
          <w:szCs w:val="22"/>
          <w:lang w:val="hy-AM" w:eastAsia="en-US"/>
        </w:rPr>
        <w:t>,</w:t>
      </w:r>
      <w:r w:rsidR="0062287A" w:rsidRPr="0062287A">
        <w:rPr>
          <w:b w:val="0"/>
          <w:szCs w:val="22"/>
          <w:lang w:val="hy-AM" w:eastAsia="en-US"/>
        </w:rPr>
        <w:t>268</w:t>
      </w:r>
      <w:r w:rsidRPr="00D81C77">
        <w:rPr>
          <w:b w:val="0"/>
          <w:szCs w:val="22"/>
          <w:lang w:val="hy-AM" w:eastAsia="en-US"/>
        </w:rPr>
        <w:t>.</w:t>
      </w:r>
      <w:r w:rsidR="0062287A" w:rsidRPr="0062287A">
        <w:rPr>
          <w:b w:val="0"/>
          <w:szCs w:val="22"/>
          <w:lang w:val="hy-AM" w:eastAsia="en-US"/>
        </w:rPr>
        <w:t>6</w:t>
      </w:r>
      <w:r w:rsidRPr="00D81C77">
        <w:rPr>
          <w:b w:val="0"/>
          <w:szCs w:val="22"/>
          <w:lang w:val="hy-AM" w:eastAsia="en-US"/>
        </w:rPr>
        <w:t xml:space="preserve"> մլն դրամ:</w:t>
      </w:r>
    </w:p>
    <w:p w14:paraId="0D2DA487" w14:textId="77777777" w:rsidR="00232970" w:rsidRPr="00D81C77" w:rsidRDefault="00232970" w:rsidP="00AC1E1E">
      <w:pPr>
        <w:rPr>
          <w:b w:val="0"/>
          <w:szCs w:val="22"/>
          <w:lang w:val="hy-AM" w:eastAsia="en-US"/>
        </w:rPr>
      </w:pPr>
      <w:r w:rsidRPr="00D81C77">
        <w:rPr>
          <w:b w:val="0"/>
          <w:szCs w:val="22"/>
          <w:lang w:val="hy-AM" w:eastAsia="en-US"/>
        </w:rPr>
        <w:lastRenderedPageBreak/>
        <w:t xml:space="preserve">Ծրագրի նպատակն է՝ նպաստել հանրակրթական ուսուցման համակարգում ընդգրկված երեխաների ֆիզիկական, հոգևոր և գեղագիտական զարգացմանը, բնապահպանական և կիրառական գիտելիքների ձեռքբերմանը: </w:t>
      </w:r>
    </w:p>
    <w:p w14:paraId="2B0D83CB" w14:textId="77777777" w:rsidR="00232970" w:rsidRPr="00D81C77" w:rsidRDefault="00232970" w:rsidP="00AC1E1E">
      <w:pPr>
        <w:rPr>
          <w:b w:val="0"/>
          <w:szCs w:val="22"/>
          <w:lang w:val="hy-AM" w:eastAsia="en-US"/>
        </w:rPr>
      </w:pPr>
      <w:r w:rsidRPr="00D81C77">
        <w:rPr>
          <w:b w:val="0"/>
          <w:szCs w:val="22"/>
          <w:lang w:val="hy-AM" w:eastAsia="en-US"/>
        </w:rPr>
        <w:t xml:space="preserve">Ծրագրի շրջանակներում միջոցներ են նախատեսվել 3200 դպրոցականների ամառային հանգստի, ՀՀ հանրակրթական ծրագրեր իրականացնող ուսումնական հաստատությունների 11-րդ դասարանների </w:t>
      </w:r>
      <w:r w:rsidRPr="006B44EC">
        <w:rPr>
          <w:b w:val="0"/>
          <w:szCs w:val="22"/>
          <w:lang w:val="hy-AM" w:eastAsia="en-US"/>
        </w:rPr>
        <w:t>960</w:t>
      </w:r>
      <w:r w:rsidRPr="00D81C77">
        <w:rPr>
          <w:b w:val="0"/>
          <w:szCs w:val="22"/>
          <w:lang w:val="hy-AM" w:eastAsia="en-US"/>
        </w:rPr>
        <w:t xml:space="preserve"> աշակերտների ռազմամարզական ճամբարի կազմակերպման</w:t>
      </w:r>
      <w:r w:rsidRPr="006B44EC">
        <w:rPr>
          <w:b w:val="0"/>
          <w:szCs w:val="22"/>
          <w:lang w:val="hy-AM" w:eastAsia="en-US"/>
        </w:rPr>
        <w:t xml:space="preserve">, </w:t>
      </w:r>
      <w:r w:rsidRPr="00122DB9">
        <w:rPr>
          <w:b w:val="0"/>
          <w:color w:val="000000"/>
          <w:szCs w:val="22"/>
          <w:lang w:val="hy-AM" w:eastAsia="en-US"/>
        </w:rPr>
        <w:t xml:space="preserve">ատեստավորման արդյունքում </w:t>
      </w:r>
      <w:r>
        <w:rPr>
          <w:b w:val="0"/>
          <w:color w:val="000000"/>
          <w:szCs w:val="22"/>
          <w:lang w:val="hy-AM" w:eastAsia="en-US"/>
        </w:rPr>
        <w:t xml:space="preserve">արտադպրոցական ուսումնական հաստատություններում դասավանդող </w:t>
      </w:r>
      <w:r w:rsidRPr="00122DB9">
        <w:rPr>
          <w:b w:val="0"/>
          <w:color w:val="000000"/>
          <w:szCs w:val="22"/>
          <w:lang w:val="hy-AM" w:eastAsia="en-US"/>
        </w:rPr>
        <w:t>մանկավարժական աշխատողներին հավելավճարների</w:t>
      </w:r>
      <w:r>
        <w:rPr>
          <w:b w:val="0"/>
          <w:color w:val="000000"/>
          <w:szCs w:val="22"/>
          <w:lang w:val="hy-AM" w:eastAsia="en-US"/>
        </w:rPr>
        <w:t xml:space="preserve"> տրամադրման</w:t>
      </w:r>
      <w:r w:rsidRPr="00D81C77">
        <w:rPr>
          <w:b w:val="0"/>
          <w:szCs w:val="22"/>
          <w:lang w:val="hy-AM" w:eastAsia="en-US"/>
        </w:rPr>
        <w:t xml:space="preserve"> գծով:</w:t>
      </w:r>
    </w:p>
    <w:p w14:paraId="4085D7CA" w14:textId="77777777" w:rsidR="00232970" w:rsidRPr="00D81C77" w:rsidRDefault="00232970" w:rsidP="00AC1E1E">
      <w:pPr>
        <w:rPr>
          <w:b w:val="0"/>
          <w:szCs w:val="22"/>
          <w:lang w:val="hy-AM" w:eastAsia="en-US"/>
        </w:rPr>
      </w:pPr>
      <w:r w:rsidRPr="00D81C77">
        <w:rPr>
          <w:b w:val="0"/>
          <w:szCs w:val="22"/>
          <w:lang w:val="hy-AM" w:eastAsia="en-US"/>
        </w:rPr>
        <w:t>Արտադպրոցական դաստիարակության վերաբերյալ դրույթներն ամրագրված են ՀՀ կառավարության ծրագրի «4.3 Կրթություն»,  «4.8 Սպորտ</w:t>
      </w:r>
      <w:r>
        <w:rPr>
          <w:b w:val="0"/>
          <w:szCs w:val="22"/>
          <w:lang w:val="hy-AM" w:eastAsia="en-US"/>
        </w:rPr>
        <w:t xml:space="preserve">» բաժիններում,  «4.9 Մշակույթ» </w:t>
      </w:r>
      <w:r w:rsidRPr="00D81C77">
        <w:rPr>
          <w:b w:val="0"/>
          <w:szCs w:val="22"/>
          <w:lang w:val="hy-AM" w:eastAsia="en-US"/>
        </w:rPr>
        <w:t>բաժնի մշակութային կրթության վերաբերյալ ենթաբաժնում:</w:t>
      </w:r>
    </w:p>
    <w:p w14:paraId="69B44070" w14:textId="77777777" w:rsidR="00232970" w:rsidRPr="00D81C77" w:rsidRDefault="00232970" w:rsidP="00AC1E1E">
      <w:pPr>
        <w:rPr>
          <w:b w:val="0"/>
          <w:color w:val="000000"/>
          <w:szCs w:val="22"/>
          <w:lang w:val="hy-AM" w:eastAsia="en-US"/>
        </w:rPr>
      </w:pPr>
      <w:r w:rsidRPr="00D81C77">
        <w:rPr>
          <w:szCs w:val="22"/>
          <w:lang w:val="hy-AM" w:eastAsia="en-US"/>
        </w:rPr>
        <w:t>Ապահով դպրոց</w:t>
      </w:r>
      <w:r w:rsidRPr="00D81C77">
        <w:rPr>
          <w:b w:val="0"/>
          <w:szCs w:val="22"/>
          <w:lang w:val="hy-AM" w:eastAsia="en-US"/>
        </w:rPr>
        <w:t xml:space="preserve"> ծրագրի </w:t>
      </w:r>
      <w:r w:rsidRPr="00D81C77">
        <w:rPr>
          <w:b w:val="0"/>
          <w:color w:val="000000"/>
          <w:szCs w:val="22"/>
          <w:lang w:val="hy-AM" w:eastAsia="en-US"/>
        </w:rPr>
        <w:t>գծով 202</w:t>
      </w:r>
      <w:r>
        <w:rPr>
          <w:b w:val="0"/>
          <w:color w:val="000000"/>
          <w:szCs w:val="22"/>
          <w:lang w:val="hy-AM" w:eastAsia="en-US"/>
        </w:rPr>
        <w:t>4</w:t>
      </w:r>
      <w:r w:rsidRPr="00D81C77">
        <w:rPr>
          <w:b w:val="0"/>
          <w:color w:val="000000"/>
          <w:szCs w:val="22"/>
          <w:lang w:val="hy-AM" w:eastAsia="en-US"/>
        </w:rPr>
        <w:t xml:space="preserve"> թվականին նախատեսվում է հատկացնել </w:t>
      </w:r>
      <w:r w:rsidR="0062287A" w:rsidRPr="0062287A">
        <w:rPr>
          <w:b w:val="0"/>
          <w:szCs w:val="22"/>
          <w:lang w:val="hy-AM" w:eastAsia="en-US"/>
        </w:rPr>
        <w:t>981</w:t>
      </w:r>
      <w:r w:rsidRPr="00D81C77">
        <w:rPr>
          <w:b w:val="0"/>
          <w:szCs w:val="22"/>
          <w:lang w:val="hy-AM" w:eastAsia="en-US"/>
        </w:rPr>
        <w:t>.</w:t>
      </w:r>
      <w:r w:rsidR="0062287A" w:rsidRPr="0062287A">
        <w:rPr>
          <w:b w:val="0"/>
          <w:szCs w:val="22"/>
          <w:lang w:val="hy-AM" w:eastAsia="en-US"/>
        </w:rPr>
        <w:t>6</w:t>
      </w:r>
      <w:r w:rsidRPr="00D81C77">
        <w:rPr>
          <w:b w:val="0"/>
          <w:szCs w:val="22"/>
          <w:lang w:val="hy-AM" w:eastAsia="en-US"/>
        </w:rPr>
        <w:t xml:space="preserve"> </w:t>
      </w:r>
      <w:r w:rsidRPr="00D81C77">
        <w:rPr>
          <w:b w:val="0"/>
          <w:color w:val="000000"/>
          <w:szCs w:val="22"/>
          <w:lang w:val="hy-AM" w:eastAsia="en-US"/>
        </w:rPr>
        <w:t>մլն դրամ:</w:t>
      </w:r>
    </w:p>
    <w:p w14:paraId="431903A5" w14:textId="77777777" w:rsidR="00F02275" w:rsidRPr="00F02275" w:rsidRDefault="00232970" w:rsidP="00AC1E1E">
      <w:pPr>
        <w:rPr>
          <w:b w:val="0"/>
          <w:szCs w:val="22"/>
          <w:lang w:val="hy-AM" w:eastAsia="en-US"/>
        </w:rPr>
      </w:pPr>
      <w:r w:rsidRPr="00D81C77">
        <w:rPr>
          <w:b w:val="0"/>
          <w:szCs w:val="22"/>
          <w:lang w:val="hy-AM" w:eastAsia="en-US"/>
        </w:rPr>
        <w:t xml:space="preserve">Ծրագրի նպատակն է՝ դպրոցներին սպառնացող աղետների ռիսկի կառավարման կարողությունների հզորացում, դպրոցի անձնակազմի և աշակերտների անվտանգության ապահովման մակարդակի բարձրացում՝ կիրառելով ներառական և երեխայակենտրոն մոտեցում: </w:t>
      </w:r>
      <w:r w:rsidR="00F02275" w:rsidRPr="00F02275">
        <w:rPr>
          <w:b w:val="0"/>
          <w:szCs w:val="22"/>
          <w:lang w:val="hy-AM" w:eastAsia="en-US"/>
        </w:rPr>
        <w:t xml:space="preserve">Միաժամանակ, </w:t>
      </w:r>
      <w:r w:rsidR="00F02275" w:rsidRPr="00F02275">
        <w:rPr>
          <w:szCs w:val="22"/>
          <w:lang w:val="hy-AM" w:eastAsia="en-US"/>
        </w:rPr>
        <w:t>«Հանրակրթական և նախադպրոցական հաստատությունների հիմնում, կառուցում, բարելավում</w:t>
      </w:r>
      <w:r w:rsidR="00F02275" w:rsidRPr="00F02275">
        <w:rPr>
          <w:b w:val="0"/>
          <w:szCs w:val="22"/>
          <w:lang w:val="hy-AM" w:eastAsia="en-US"/>
        </w:rPr>
        <w:t xml:space="preserve">» նոր ծրագրի գծով նախատեսվում է հատկացնել 92,861.6 մլն դրամ: </w:t>
      </w:r>
    </w:p>
    <w:p w14:paraId="31ADAD8E" w14:textId="77777777" w:rsidR="00F02275" w:rsidRDefault="00F02275" w:rsidP="00AC1E1E">
      <w:pPr>
        <w:rPr>
          <w:b w:val="0"/>
          <w:szCs w:val="22"/>
          <w:lang w:val="hy-AM" w:eastAsia="en-US"/>
        </w:rPr>
      </w:pPr>
      <w:r w:rsidRPr="00F02275">
        <w:rPr>
          <w:b w:val="0"/>
          <w:szCs w:val="22"/>
          <w:lang w:val="hy-AM" w:eastAsia="en-US"/>
        </w:rPr>
        <w:t xml:space="preserve">Ծրագրի նպատակն է՝ ՀՀ պետական բյուջեի միջոցների շրջանակներում առնվազն 300 դպրոցի և 500 մանկապարտեզի կառուցման, վերակառուցման և հիմնանորոգման ծրագրերի իրականացում: Ծրագրի շրջանակներում զգալի միջոցներ են նախատեսվել կրթահամալիրների կառուցման, հանրակրթական դպրոցների և մանկապարտեզների շենքերի կառուցման, վերակառուցման և հիմնանորոգման, ինչպես նաև նշված հաստատությունների՝ գույքով և տեխնիկայով ապահովման գծով: </w:t>
      </w:r>
    </w:p>
    <w:p w14:paraId="6EE7E78A" w14:textId="77777777" w:rsidR="00F02275" w:rsidRPr="00F02275" w:rsidRDefault="00F02275" w:rsidP="00AC1E1E">
      <w:pPr>
        <w:rPr>
          <w:b w:val="0"/>
          <w:szCs w:val="22"/>
          <w:lang w:val="hy-AM" w:eastAsia="en-US"/>
        </w:rPr>
      </w:pPr>
      <w:r w:rsidRPr="00D82F41">
        <w:rPr>
          <w:b w:val="0"/>
          <w:szCs w:val="22"/>
          <w:lang w:val="hy-AM" w:eastAsia="en-US"/>
        </w:rPr>
        <w:t>Վերոնշված աշխատանքների իրականացման վերաբերյալ դրույթներն ամրագրված են ՀՀ կառավարության ծրագրի «4.3 Կրթություն» բաժնում:</w:t>
      </w:r>
    </w:p>
    <w:p w14:paraId="51AA99DC" w14:textId="77777777" w:rsidR="00232970" w:rsidRPr="00D81C77" w:rsidRDefault="00232970" w:rsidP="00AC1E1E">
      <w:pPr>
        <w:rPr>
          <w:b w:val="0"/>
          <w:color w:val="000000"/>
          <w:szCs w:val="22"/>
          <w:lang w:val="hy-AM" w:eastAsia="en-US"/>
        </w:rPr>
      </w:pPr>
      <w:r w:rsidRPr="00452F79">
        <w:rPr>
          <w:szCs w:val="22"/>
          <w:lang w:val="hy-AM" w:eastAsia="en-US"/>
        </w:rPr>
        <w:t>Դպրոցների սեյսմիկ անվտանգու</w:t>
      </w:r>
      <w:r>
        <w:rPr>
          <w:szCs w:val="22"/>
          <w:lang w:val="hy-AM" w:eastAsia="en-US"/>
        </w:rPr>
        <w:t xml:space="preserve">թյան մակարդակի բարձրացման </w:t>
      </w:r>
      <w:r w:rsidRPr="00452F79">
        <w:rPr>
          <w:b w:val="0"/>
          <w:szCs w:val="22"/>
          <w:lang w:val="hy-AM" w:eastAsia="en-US"/>
        </w:rPr>
        <w:t>ծրագրի</w:t>
      </w:r>
      <w:r>
        <w:rPr>
          <w:b w:val="0"/>
          <w:szCs w:val="22"/>
          <w:lang w:val="hy-AM" w:eastAsia="en-US"/>
        </w:rPr>
        <w:t xml:space="preserve"> գծով </w:t>
      </w:r>
      <w:r w:rsidRPr="00D81C77">
        <w:rPr>
          <w:b w:val="0"/>
          <w:color w:val="000000"/>
          <w:szCs w:val="22"/>
          <w:lang w:val="hy-AM" w:eastAsia="en-US"/>
        </w:rPr>
        <w:t>202</w:t>
      </w:r>
      <w:r>
        <w:rPr>
          <w:b w:val="0"/>
          <w:color w:val="000000"/>
          <w:szCs w:val="22"/>
          <w:lang w:val="hy-AM" w:eastAsia="en-US"/>
        </w:rPr>
        <w:t>4</w:t>
      </w:r>
      <w:r w:rsidRPr="00D81C77">
        <w:rPr>
          <w:b w:val="0"/>
          <w:color w:val="000000"/>
          <w:szCs w:val="22"/>
          <w:lang w:val="hy-AM" w:eastAsia="en-US"/>
        </w:rPr>
        <w:t xml:space="preserve"> թվականին նախատեսվում է հատկացնել </w:t>
      </w:r>
      <w:r>
        <w:rPr>
          <w:b w:val="0"/>
          <w:color w:val="000000"/>
          <w:szCs w:val="22"/>
          <w:lang w:val="hy-AM" w:eastAsia="en-US"/>
        </w:rPr>
        <w:t>10</w:t>
      </w:r>
      <w:r w:rsidRPr="00D81C77">
        <w:rPr>
          <w:b w:val="0"/>
          <w:szCs w:val="22"/>
          <w:lang w:val="hy-AM" w:eastAsia="en-US"/>
        </w:rPr>
        <w:t>,</w:t>
      </w:r>
      <w:r w:rsidR="00F02275" w:rsidRPr="00F02275">
        <w:rPr>
          <w:b w:val="0"/>
          <w:szCs w:val="22"/>
          <w:lang w:val="hy-AM" w:eastAsia="en-US"/>
        </w:rPr>
        <w:t>286</w:t>
      </w:r>
      <w:r w:rsidRPr="00D81C77">
        <w:rPr>
          <w:b w:val="0"/>
          <w:szCs w:val="22"/>
          <w:lang w:val="hy-AM" w:eastAsia="en-US"/>
        </w:rPr>
        <w:t>.</w:t>
      </w:r>
      <w:r>
        <w:rPr>
          <w:b w:val="0"/>
          <w:szCs w:val="22"/>
          <w:lang w:val="hy-AM" w:eastAsia="en-US"/>
        </w:rPr>
        <w:t>2</w:t>
      </w:r>
      <w:r w:rsidRPr="00D81C77">
        <w:rPr>
          <w:b w:val="0"/>
          <w:szCs w:val="22"/>
          <w:lang w:val="hy-AM" w:eastAsia="en-US"/>
        </w:rPr>
        <w:t xml:space="preserve"> </w:t>
      </w:r>
      <w:r w:rsidRPr="00D81C77">
        <w:rPr>
          <w:b w:val="0"/>
          <w:color w:val="000000"/>
          <w:szCs w:val="22"/>
          <w:lang w:val="hy-AM" w:eastAsia="en-US"/>
        </w:rPr>
        <w:t>մլն դրամ:</w:t>
      </w:r>
    </w:p>
    <w:p w14:paraId="18DD6929" w14:textId="77777777" w:rsidR="00232970" w:rsidRPr="00B44A9F" w:rsidRDefault="00232970" w:rsidP="00AC1E1E">
      <w:pPr>
        <w:rPr>
          <w:b w:val="0"/>
          <w:szCs w:val="22"/>
          <w:lang w:val="hy-AM" w:eastAsia="en-US"/>
        </w:rPr>
      </w:pPr>
      <w:r w:rsidRPr="00D81C77">
        <w:rPr>
          <w:b w:val="0"/>
          <w:szCs w:val="22"/>
          <w:lang w:val="hy-AM" w:eastAsia="en-US"/>
        </w:rPr>
        <w:t>Ծրագրի նպատակն է՝</w:t>
      </w:r>
      <w:r>
        <w:rPr>
          <w:b w:val="0"/>
          <w:szCs w:val="22"/>
          <w:lang w:val="hy-AM" w:eastAsia="en-US"/>
        </w:rPr>
        <w:t xml:space="preserve"> նպաստել երկրի սեյսմակայունության ապահովմանը, անհատական և հասարակական անվտանգության մակարդակի բարձրացմանը</w:t>
      </w:r>
      <w:r w:rsidRPr="00B44A9F">
        <w:rPr>
          <w:b w:val="0"/>
          <w:szCs w:val="22"/>
          <w:lang w:val="hy-AM" w:eastAsia="en-US"/>
        </w:rPr>
        <w:t>:</w:t>
      </w:r>
      <w:r>
        <w:rPr>
          <w:b w:val="0"/>
          <w:szCs w:val="22"/>
          <w:lang w:val="hy-AM" w:eastAsia="en-US"/>
        </w:rPr>
        <w:t xml:space="preserve"> Ծրագրի շրջանակներում նախատեսվում է </w:t>
      </w:r>
      <w:r w:rsidRPr="0093778A">
        <w:rPr>
          <w:b w:val="0"/>
          <w:szCs w:val="22"/>
          <w:lang w:val="hy-AM" w:eastAsia="en-US"/>
        </w:rPr>
        <w:t>կառուցել</w:t>
      </w:r>
      <w:r w:rsidR="00BE6FD0" w:rsidRPr="00E960A7">
        <w:rPr>
          <w:b w:val="0"/>
          <w:szCs w:val="22"/>
          <w:lang w:val="hy-AM" w:eastAsia="en-US"/>
        </w:rPr>
        <w:t xml:space="preserve"> 14</w:t>
      </w:r>
      <w:r w:rsidRPr="0093778A">
        <w:rPr>
          <w:b w:val="0"/>
          <w:szCs w:val="22"/>
          <w:lang w:val="hy-AM" w:eastAsia="en-US"/>
        </w:rPr>
        <w:t xml:space="preserve"> դպրոց:</w:t>
      </w:r>
      <w:r w:rsidRPr="00B44A9F">
        <w:rPr>
          <w:b w:val="0"/>
          <w:szCs w:val="22"/>
          <w:lang w:val="hy-AM" w:eastAsia="en-US"/>
        </w:rPr>
        <w:t xml:space="preserve"> </w:t>
      </w:r>
      <w:r>
        <w:rPr>
          <w:b w:val="0"/>
          <w:szCs w:val="22"/>
          <w:lang w:val="hy-AM" w:eastAsia="en-US"/>
        </w:rPr>
        <w:t>Նախկինում ծրագրի գծով բյուջետային գլխավոր կարգադրիչ է հանդիսացել ՀՀ Տարածքային կառավարման և ենթակառուցվածքների նախարարությունը, իսկ 2024 թվականից՝ ՀՀ կրթության, գիտության, մշակույթի և սպորտի նախարարությունը</w:t>
      </w:r>
      <w:r w:rsidRPr="00B44A9F">
        <w:rPr>
          <w:b w:val="0"/>
          <w:szCs w:val="22"/>
          <w:lang w:val="hy-AM" w:eastAsia="en-US"/>
        </w:rPr>
        <w:t>:</w:t>
      </w:r>
    </w:p>
    <w:p w14:paraId="01181461" w14:textId="77777777" w:rsidR="00232970" w:rsidRPr="00D81C77" w:rsidRDefault="00232970" w:rsidP="00AC1E1E">
      <w:pPr>
        <w:rPr>
          <w:b w:val="0"/>
          <w:color w:val="000000"/>
          <w:szCs w:val="22"/>
          <w:lang w:val="hy-AM" w:eastAsia="en-US"/>
        </w:rPr>
      </w:pPr>
      <w:r w:rsidRPr="00D81C77">
        <w:rPr>
          <w:szCs w:val="22"/>
          <w:lang w:val="hy-AM" w:eastAsia="en-US"/>
        </w:rPr>
        <w:lastRenderedPageBreak/>
        <w:t>Կրթության որակի ապահովում</w:t>
      </w:r>
      <w:r w:rsidRPr="00D81C77">
        <w:rPr>
          <w:b w:val="0"/>
          <w:szCs w:val="22"/>
          <w:lang w:val="hy-AM" w:eastAsia="en-US"/>
        </w:rPr>
        <w:t xml:space="preserve"> ծրագրի </w:t>
      </w:r>
      <w:r>
        <w:rPr>
          <w:b w:val="0"/>
          <w:color w:val="000000"/>
          <w:szCs w:val="22"/>
          <w:lang w:val="hy-AM" w:eastAsia="en-US"/>
        </w:rPr>
        <w:t>գծով 202</w:t>
      </w:r>
      <w:r w:rsidRPr="00627D58">
        <w:rPr>
          <w:b w:val="0"/>
          <w:color w:val="000000"/>
          <w:szCs w:val="22"/>
          <w:lang w:val="hy-AM" w:eastAsia="en-US"/>
        </w:rPr>
        <w:t>4</w:t>
      </w:r>
      <w:r w:rsidRPr="00D81C77">
        <w:rPr>
          <w:b w:val="0"/>
          <w:color w:val="000000"/>
          <w:szCs w:val="22"/>
          <w:lang w:val="hy-AM" w:eastAsia="en-US"/>
        </w:rPr>
        <w:t xml:space="preserve"> թվականին նախատեսվում է հատկացնել </w:t>
      </w:r>
      <w:r w:rsidRPr="00601931">
        <w:rPr>
          <w:b w:val="0"/>
          <w:szCs w:val="22"/>
          <w:lang w:val="hy-AM" w:eastAsia="en-US"/>
        </w:rPr>
        <w:t>12</w:t>
      </w:r>
      <w:r w:rsidRPr="00D81C77">
        <w:rPr>
          <w:b w:val="0"/>
          <w:szCs w:val="22"/>
          <w:lang w:val="hy-AM" w:eastAsia="en-US"/>
        </w:rPr>
        <w:t>,</w:t>
      </w:r>
      <w:r w:rsidRPr="00601931">
        <w:rPr>
          <w:b w:val="0"/>
          <w:szCs w:val="22"/>
          <w:lang w:val="hy-AM" w:eastAsia="en-US"/>
        </w:rPr>
        <w:t>0</w:t>
      </w:r>
      <w:r w:rsidR="00F02275" w:rsidRPr="00F02275">
        <w:rPr>
          <w:b w:val="0"/>
          <w:szCs w:val="22"/>
          <w:lang w:val="hy-AM" w:eastAsia="en-US"/>
        </w:rPr>
        <w:t>50</w:t>
      </w:r>
      <w:r w:rsidRPr="00D81C77">
        <w:rPr>
          <w:b w:val="0"/>
          <w:szCs w:val="22"/>
          <w:lang w:val="hy-AM" w:eastAsia="en-US"/>
        </w:rPr>
        <w:t>.</w:t>
      </w:r>
      <w:r w:rsidRPr="00601931">
        <w:rPr>
          <w:b w:val="0"/>
          <w:szCs w:val="22"/>
          <w:lang w:val="hy-AM" w:eastAsia="en-US"/>
        </w:rPr>
        <w:t>8</w:t>
      </w:r>
      <w:r w:rsidRPr="00D81C77">
        <w:rPr>
          <w:b w:val="0"/>
          <w:szCs w:val="22"/>
          <w:lang w:val="hy-AM" w:eastAsia="en-US"/>
        </w:rPr>
        <w:t xml:space="preserve"> </w:t>
      </w:r>
      <w:r w:rsidRPr="00D81C77">
        <w:rPr>
          <w:b w:val="0"/>
          <w:color w:val="000000"/>
          <w:szCs w:val="22"/>
          <w:lang w:val="hy-AM" w:eastAsia="en-US"/>
        </w:rPr>
        <w:t>մլն դրամ:</w:t>
      </w:r>
    </w:p>
    <w:p w14:paraId="13D26F7C" w14:textId="77777777" w:rsidR="00232970" w:rsidRDefault="00232970" w:rsidP="00AC1E1E">
      <w:pPr>
        <w:rPr>
          <w:b w:val="0"/>
          <w:szCs w:val="22"/>
          <w:lang w:val="hy-AM" w:eastAsia="en-US"/>
        </w:rPr>
      </w:pPr>
      <w:r w:rsidRPr="00D81C77">
        <w:rPr>
          <w:b w:val="0"/>
          <w:szCs w:val="22"/>
          <w:lang w:val="hy-AM" w:eastAsia="en-US"/>
        </w:rPr>
        <w:t xml:space="preserve">Ծրագրի նպատակն է՝ ընթացիկ աշխատանքների, բարեփոխումների և նոր նախաձեռնությունների միջոցով կրթության ոլորտում իրականացվող միջոցառումների, մատուցվող ծառայությունների բովանդակության և կազմակերպման որակի շարունակական բարելավում: Ծրագրի շրջանակներում միջոցներ են նախատեսվել հանրակրթության պետական կրթական չափորոշչի </w:t>
      </w:r>
      <w:r w:rsidR="00224E3F" w:rsidRPr="001F6A37">
        <w:rPr>
          <w:b w:val="0"/>
          <w:szCs w:val="22"/>
          <w:lang w:val="hy-AM" w:eastAsia="en-US"/>
        </w:rPr>
        <w:t>ու</w:t>
      </w:r>
      <w:r w:rsidRPr="00D81C77">
        <w:rPr>
          <w:b w:val="0"/>
          <w:szCs w:val="22"/>
          <w:lang w:val="hy-AM" w:eastAsia="en-US"/>
        </w:rPr>
        <w:t xml:space="preserve"> առարկայական ծրագրերին համապատասխան տնօրենների և ուսուցիչների վերապատրաստման, կամավոր ատեստավորման արդյունքում ուսուցիչներին հավելավճարների տրամադրման,</w:t>
      </w:r>
      <w:r w:rsidR="00F02275" w:rsidRPr="00F02275">
        <w:rPr>
          <w:b w:val="0"/>
          <w:szCs w:val="22"/>
          <w:lang w:val="hy-AM" w:eastAsia="en-US"/>
        </w:rPr>
        <w:t xml:space="preserve"> </w:t>
      </w:r>
      <w:r w:rsidRPr="00D81C77">
        <w:rPr>
          <w:b w:val="0"/>
          <w:szCs w:val="22"/>
          <w:lang w:val="hy-AM" w:eastAsia="en-US"/>
        </w:rPr>
        <w:t>հանրակրթական հիմնական ծրագրեր իրականացնող ուսումնական հաստատությունների հերթական ատեստավորման ենթակա ուսուցիչների</w:t>
      </w:r>
      <w:r w:rsidRPr="00601931">
        <w:rPr>
          <w:b w:val="0"/>
          <w:szCs w:val="22"/>
          <w:lang w:val="hy-AM" w:eastAsia="en-US"/>
        </w:rPr>
        <w:t xml:space="preserve"> </w:t>
      </w:r>
      <w:r w:rsidRPr="00D81C77">
        <w:rPr>
          <w:b w:val="0"/>
          <w:szCs w:val="22"/>
          <w:lang w:val="hy-AM" w:eastAsia="en-US"/>
        </w:rPr>
        <w:t>վերապատրաստման գծով:</w:t>
      </w:r>
    </w:p>
    <w:p w14:paraId="0B0B9BE7" w14:textId="77777777" w:rsidR="00232970" w:rsidRPr="00D81C77" w:rsidRDefault="00232970" w:rsidP="00AC1E1E">
      <w:pPr>
        <w:rPr>
          <w:b w:val="0"/>
          <w:szCs w:val="22"/>
          <w:lang w:val="hy-AM" w:eastAsia="en-US"/>
        </w:rPr>
      </w:pPr>
      <w:r w:rsidRPr="00D81C77">
        <w:rPr>
          <w:b w:val="0"/>
          <w:szCs w:val="22"/>
          <w:lang w:val="hy-AM" w:eastAsia="en-US"/>
        </w:rPr>
        <w:t xml:space="preserve">Ուսուցիչների մասնագիտական շարունակական զարգացման և վարձատրության փոխկապակցված մեխանիզմի ներդրման վերաբերյալ դրույթն ամրագրված է ՀՀ կառավարության ծրագրի «4.3 Կրթություն» բաժնում: </w:t>
      </w:r>
    </w:p>
    <w:p w14:paraId="5768A035" w14:textId="77777777" w:rsidR="00232970" w:rsidRPr="00D81C77" w:rsidRDefault="00232970" w:rsidP="00AC1E1E">
      <w:pPr>
        <w:numPr>
          <w:ilvl w:val="12"/>
          <w:numId w:val="0"/>
        </w:numPr>
        <w:tabs>
          <w:tab w:val="left" w:pos="851"/>
          <w:tab w:val="left" w:pos="9214"/>
        </w:tabs>
        <w:rPr>
          <w:b w:val="0"/>
          <w:szCs w:val="22"/>
          <w:lang w:val="hy-AM" w:eastAsia="en-US"/>
        </w:rPr>
      </w:pPr>
      <w:r w:rsidRPr="00D11F23">
        <w:rPr>
          <w:b w:val="0"/>
          <w:szCs w:val="22"/>
          <w:lang w:val="hy-AM" w:eastAsia="en-US"/>
        </w:rPr>
        <w:t>Ծրագրի շրջանակներում զգալի միջոցներ են նախատեսվել Արարատի, Գեղարքունիքի և Կոտայքի մարզերի հանրակրթական դպրոցները լաբորատորիաներով ապահովման գծով: Համաշխարհային բանկի աջակցությամբ իրականացվող «Կրթության բարելավում» ծրագրի լրացուցիչ ֆինանսավորման վարկային ծրագրի շրջանակներում նախատեսվում է օժանդակել նախադպրոցական ծառայությունների ստեղծմանը և զարգացմանը, կրթության կառավարման և տեղեկատվական համակարգի բարելավմանը, նախատեսվում է նաև բուհերում նորարարական և զարգացման ծրագրերի իրականացման նպատակով դրամաշնորհների մրցակցային հիմունքներով տրամադրում, 4 ավագ դպրոցների վերակառուցում, անհրաժեշտ գույքով համալրում, ինչպես նաև կշարունակվեն հանրակրթական դպրոցների վերազինման, շուրջ 100 ուսումնական հաստատությունների ժամանակակից բնագիտական և ինժեներական լաբորատոր, համակարգչային սարքավորումներով և գույքով հագեցած նոր լաբորատորիաների հիմնման աշխատանքները։</w:t>
      </w:r>
      <w:r w:rsidRPr="00D81C77">
        <w:rPr>
          <w:b w:val="0"/>
          <w:szCs w:val="22"/>
          <w:lang w:val="hy-AM" w:eastAsia="en-US"/>
        </w:rPr>
        <w:t xml:space="preserve"> </w:t>
      </w:r>
    </w:p>
    <w:p w14:paraId="63D6E4AF" w14:textId="77777777" w:rsidR="00232970" w:rsidRPr="00D81C77" w:rsidRDefault="00232970" w:rsidP="00AC1E1E">
      <w:pPr>
        <w:rPr>
          <w:b w:val="0"/>
          <w:color w:val="000000"/>
          <w:szCs w:val="22"/>
          <w:lang w:val="hy-AM" w:eastAsia="en-US"/>
        </w:rPr>
      </w:pPr>
      <w:r w:rsidRPr="00D81C77">
        <w:rPr>
          <w:szCs w:val="22"/>
          <w:lang w:val="hy-AM" w:eastAsia="en-US"/>
        </w:rPr>
        <w:t>Համընդհանուր ներառական կրթության համակարգի ներդրում</w:t>
      </w:r>
      <w:r w:rsidRPr="00D81C77">
        <w:rPr>
          <w:b w:val="0"/>
          <w:szCs w:val="22"/>
          <w:lang w:val="hy-AM" w:eastAsia="en-US"/>
        </w:rPr>
        <w:t xml:space="preserve"> ծրագրի </w:t>
      </w:r>
      <w:r w:rsidRPr="00D81C77">
        <w:rPr>
          <w:b w:val="0"/>
          <w:color w:val="000000"/>
          <w:szCs w:val="22"/>
          <w:lang w:val="hy-AM" w:eastAsia="en-US"/>
        </w:rPr>
        <w:t>գծով 202</w:t>
      </w:r>
      <w:r>
        <w:rPr>
          <w:b w:val="0"/>
          <w:color w:val="000000"/>
          <w:szCs w:val="22"/>
          <w:lang w:val="hy-AM" w:eastAsia="en-US"/>
        </w:rPr>
        <w:t>4</w:t>
      </w:r>
      <w:r w:rsidRPr="00D81C77">
        <w:rPr>
          <w:b w:val="0"/>
          <w:color w:val="000000"/>
          <w:szCs w:val="22"/>
          <w:lang w:val="hy-AM" w:eastAsia="en-US"/>
        </w:rPr>
        <w:t xml:space="preserve"> թվականին նախատեսվում է հատկացնել </w:t>
      </w:r>
      <w:r>
        <w:rPr>
          <w:b w:val="0"/>
          <w:szCs w:val="22"/>
          <w:lang w:val="hy-AM" w:eastAsia="en-US"/>
        </w:rPr>
        <w:t>3</w:t>
      </w:r>
      <w:r w:rsidRPr="00D81C77">
        <w:rPr>
          <w:b w:val="0"/>
          <w:szCs w:val="22"/>
          <w:lang w:val="hy-AM" w:eastAsia="en-US"/>
        </w:rPr>
        <w:t>,</w:t>
      </w:r>
      <w:r>
        <w:rPr>
          <w:b w:val="0"/>
          <w:szCs w:val="22"/>
          <w:lang w:val="hy-AM" w:eastAsia="en-US"/>
        </w:rPr>
        <w:t>767</w:t>
      </w:r>
      <w:r w:rsidRPr="00D81C77">
        <w:rPr>
          <w:b w:val="0"/>
          <w:szCs w:val="22"/>
          <w:lang w:val="hy-AM" w:eastAsia="en-US"/>
        </w:rPr>
        <w:t>.</w:t>
      </w:r>
      <w:r>
        <w:rPr>
          <w:b w:val="0"/>
          <w:szCs w:val="22"/>
          <w:lang w:val="hy-AM" w:eastAsia="en-US"/>
        </w:rPr>
        <w:t>7</w:t>
      </w:r>
      <w:r w:rsidRPr="00D81C77">
        <w:rPr>
          <w:b w:val="0"/>
          <w:szCs w:val="22"/>
          <w:lang w:val="hy-AM" w:eastAsia="en-US"/>
        </w:rPr>
        <w:t xml:space="preserve"> </w:t>
      </w:r>
      <w:r w:rsidRPr="00D81C77">
        <w:rPr>
          <w:b w:val="0"/>
          <w:color w:val="000000"/>
          <w:szCs w:val="22"/>
          <w:lang w:val="hy-AM" w:eastAsia="en-US"/>
        </w:rPr>
        <w:t>մլն դրամ:</w:t>
      </w:r>
    </w:p>
    <w:p w14:paraId="46100469" w14:textId="77777777" w:rsidR="00232970" w:rsidRPr="00D81C77" w:rsidRDefault="00232970" w:rsidP="00AC1E1E">
      <w:pPr>
        <w:rPr>
          <w:b w:val="0"/>
          <w:szCs w:val="22"/>
          <w:lang w:val="hy-AM" w:eastAsia="en-US"/>
        </w:rPr>
      </w:pPr>
      <w:r w:rsidRPr="00D81C77">
        <w:rPr>
          <w:b w:val="0"/>
          <w:szCs w:val="22"/>
          <w:lang w:val="hy-AM" w:eastAsia="en-US"/>
        </w:rPr>
        <w:t>Ծրագրի նպատակն է՝ յուրաքանչյուր երեխայի համար կրթության մատչելիության, հավասար մասնակցության հնարավորությ</w:t>
      </w:r>
      <w:r w:rsidR="00A27EAF">
        <w:rPr>
          <w:b w:val="0"/>
          <w:szCs w:val="22"/>
          <w:lang w:val="hy-AM" w:eastAsia="en-US"/>
        </w:rPr>
        <w:t>ան և որակի ապահովում՝</w:t>
      </w:r>
      <w:r w:rsidRPr="00D81C77">
        <w:rPr>
          <w:b w:val="0"/>
          <w:szCs w:val="22"/>
          <w:lang w:val="hy-AM" w:eastAsia="en-US"/>
        </w:rPr>
        <w:t xml:space="preserve"> զարգացման առանձնահատկություններին համապատասխան և անհրաժե</w:t>
      </w:r>
      <w:r w:rsidR="0028762E">
        <w:rPr>
          <w:b w:val="0"/>
          <w:szCs w:val="22"/>
          <w:lang w:val="hy-AM" w:eastAsia="en-US"/>
        </w:rPr>
        <w:t xml:space="preserve">շտ պայմանների ստեղծման միջոցով: </w:t>
      </w:r>
      <w:r w:rsidRPr="00D81C77">
        <w:rPr>
          <w:b w:val="0"/>
          <w:szCs w:val="22"/>
          <w:lang w:val="hy-AM" w:eastAsia="en-US"/>
        </w:rPr>
        <w:t>Ծրագրի շրջանակներում միջոցներ են նախատեսվել տարածքային մանկավարժահոգեբանական աջակցության կենտրոնների գործունեության հետ կապված</w:t>
      </w:r>
      <w:r>
        <w:rPr>
          <w:b w:val="0"/>
          <w:szCs w:val="22"/>
          <w:lang w:val="hy-AM" w:eastAsia="en-US"/>
        </w:rPr>
        <w:t>՝</w:t>
      </w:r>
      <w:r w:rsidRPr="00D81C77">
        <w:rPr>
          <w:b w:val="0"/>
          <w:szCs w:val="22"/>
          <w:lang w:val="hy-AM" w:eastAsia="en-US"/>
        </w:rPr>
        <w:t xml:space="preserve"> համընդհանուր ներառական կրթության անցմամբ պայմանավորված: </w:t>
      </w:r>
    </w:p>
    <w:p w14:paraId="6F860D21" w14:textId="77777777" w:rsidR="00232970" w:rsidRPr="00D81C77" w:rsidRDefault="00232970" w:rsidP="00AC1E1E">
      <w:pPr>
        <w:rPr>
          <w:b w:val="0"/>
          <w:color w:val="000000"/>
          <w:szCs w:val="22"/>
          <w:lang w:val="hy-AM" w:eastAsia="en-US"/>
        </w:rPr>
      </w:pPr>
      <w:r w:rsidRPr="00D81C77">
        <w:rPr>
          <w:szCs w:val="22"/>
          <w:lang w:val="hy-AM" w:eastAsia="en-US"/>
        </w:rPr>
        <w:t>Մշակութային և գեղագիտական դաստիարակության</w:t>
      </w:r>
      <w:r w:rsidRPr="00D81C77">
        <w:rPr>
          <w:b w:val="0"/>
          <w:szCs w:val="22"/>
          <w:lang w:val="hy-AM" w:eastAsia="en-US"/>
        </w:rPr>
        <w:t xml:space="preserve"> ծրագրի </w:t>
      </w:r>
      <w:r w:rsidRPr="00D81C77">
        <w:rPr>
          <w:b w:val="0"/>
          <w:color w:val="000000"/>
          <w:szCs w:val="22"/>
          <w:lang w:val="hy-AM" w:eastAsia="en-US"/>
        </w:rPr>
        <w:t>գծով 202</w:t>
      </w:r>
      <w:r>
        <w:rPr>
          <w:b w:val="0"/>
          <w:color w:val="000000"/>
          <w:szCs w:val="22"/>
          <w:lang w:val="hy-AM" w:eastAsia="en-US"/>
        </w:rPr>
        <w:t>4</w:t>
      </w:r>
      <w:r w:rsidRPr="00D81C77">
        <w:rPr>
          <w:b w:val="0"/>
          <w:color w:val="000000"/>
          <w:szCs w:val="22"/>
          <w:lang w:val="hy-AM" w:eastAsia="en-US"/>
        </w:rPr>
        <w:t xml:space="preserve"> թվականին նախատեսվում է հատկացնել </w:t>
      </w:r>
      <w:r w:rsidR="00C436AB" w:rsidRPr="00C436AB">
        <w:rPr>
          <w:b w:val="0"/>
          <w:szCs w:val="22"/>
          <w:lang w:val="hy-AM" w:eastAsia="en-US"/>
        </w:rPr>
        <w:t>824</w:t>
      </w:r>
      <w:r w:rsidRPr="00D81C77">
        <w:rPr>
          <w:b w:val="0"/>
          <w:szCs w:val="22"/>
          <w:lang w:val="hy-AM" w:eastAsia="en-US"/>
        </w:rPr>
        <w:t>.</w:t>
      </w:r>
      <w:r w:rsidR="00C436AB" w:rsidRPr="00C436AB">
        <w:rPr>
          <w:b w:val="0"/>
          <w:szCs w:val="22"/>
          <w:lang w:val="hy-AM" w:eastAsia="en-US"/>
        </w:rPr>
        <w:t>6</w:t>
      </w:r>
      <w:r w:rsidRPr="00D81C77">
        <w:rPr>
          <w:b w:val="0"/>
          <w:szCs w:val="22"/>
          <w:lang w:val="hy-AM" w:eastAsia="en-US"/>
        </w:rPr>
        <w:t xml:space="preserve"> </w:t>
      </w:r>
      <w:r w:rsidRPr="00D81C77">
        <w:rPr>
          <w:b w:val="0"/>
          <w:color w:val="000000"/>
          <w:szCs w:val="22"/>
          <w:lang w:val="hy-AM" w:eastAsia="en-US"/>
        </w:rPr>
        <w:t>մլն դրամ:</w:t>
      </w:r>
    </w:p>
    <w:p w14:paraId="04B294CA" w14:textId="77777777" w:rsidR="00232970" w:rsidRPr="00D81C77" w:rsidRDefault="00232970" w:rsidP="00AC1E1E">
      <w:pPr>
        <w:rPr>
          <w:b w:val="0"/>
          <w:szCs w:val="22"/>
          <w:lang w:val="hy-AM" w:eastAsia="en-US"/>
        </w:rPr>
      </w:pPr>
      <w:r w:rsidRPr="00D81C77">
        <w:rPr>
          <w:b w:val="0"/>
          <w:szCs w:val="22"/>
          <w:lang w:val="hy-AM" w:eastAsia="en-US"/>
        </w:rPr>
        <w:lastRenderedPageBreak/>
        <w:t>Ծրագրի նպատակն է՝ երեխաների հոգևոր և գեղագիտական ընդունակությունների բացահայտումը և զարգացումը: Ծրագրի շրջանակներում միջոցներ են նախատեսվել երաժշտական, արվեստի, գեղարվեստի և պարարվեստի դպրոցներում 3800 աշակերտների և 920 ուսուցիչների համար ուսումնամեթոդական աշխատանքների կազմակերպման, ազգային, փողային և լարային  նվագարանների գծով 1181 սովորողների ուսման վարձավճարի փոխհատուցման, շնորհալի պատանի 15 երաժիշտ կատարողների մասնագիտական կարողությունների զարգացման և կատարելագործման նպատակով:</w:t>
      </w:r>
      <w:r w:rsidR="00C436AB" w:rsidRPr="00C436AB">
        <w:rPr>
          <w:b w:val="0"/>
          <w:szCs w:val="22"/>
          <w:lang w:val="hy-AM" w:eastAsia="en-US"/>
        </w:rPr>
        <w:t xml:space="preserve"> </w:t>
      </w:r>
      <w:r w:rsidR="00C436AB" w:rsidRPr="001921DA">
        <w:rPr>
          <w:b w:val="0"/>
          <w:szCs w:val="22"/>
          <w:lang w:val="hy-AM" w:eastAsia="en-US"/>
        </w:rPr>
        <w:t xml:space="preserve">Ծախսեր են նախատեսվել նաև </w:t>
      </w:r>
      <w:r w:rsidR="00C436AB" w:rsidRPr="00D82F41">
        <w:rPr>
          <w:szCs w:val="22"/>
          <w:lang w:val="hy-AM" w:eastAsia="en-US"/>
        </w:rPr>
        <w:t>«</w:t>
      </w:r>
      <w:r w:rsidR="00C436AB" w:rsidRPr="001921DA">
        <w:rPr>
          <w:b w:val="0"/>
          <w:szCs w:val="22"/>
          <w:lang w:val="hy-AM" w:eastAsia="en-US"/>
        </w:rPr>
        <w:t>Ստեղծագործական կրթամշակութային մանկապատանեկան ծրագրեր և նախագծեր</w:t>
      </w:r>
      <w:r w:rsidR="00C436AB" w:rsidRPr="00D82F41">
        <w:rPr>
          <w:b w:val="0"/>
          <w:szCs w:val="22"/>
          <w:lang w:val="hy-AM" w:eastAsia="en-US"/>
        </w:rPr>
        <w:t>»</w:t>
      </w:r>
      <w:r w:rsidR="00C436AB" w:rsidRPr="001921DA">
        <w:rPr>
          <w:b w:val="0"/>
          <w:szCs w:val="22"/>
          <w:lang w:val="hy-AM" w:eastAsia="en-US"/>
        </w:rPr>
        <w:t xml:space="preserve"> և </w:t>
      </w:r>
      <w:r w:rsidR="00C436AB" w:rsidRPr="00D82F41">
        <w:rPr>
          <w:szCs w:val="22"/>
          <w:lang w:val="hy-AM" w:eastAsia="en-US"/>
        </w:rPr>
        <w:t>«</w:t>
      </w:r>
      <w:r w:rsidR="00C436AB" w:rsidRPr="001921DA">
        <w:rPr>
          <w:b w:val="0"/>
          <w:szCs w:val="22"/>
          <w:lang w:val="hy-AM" w:eastAsia="en-US"/>
        </w:rPr>
        <w:t>Դպրոցական բաժանորդային համակարգի ծրագրի իրականացում</w:t>
      </w:r>
      <w:r w:rsidR="00C436AB" w:rsidRPr="00D82F41">
        <w:rPr>
          <w:b w:val="0"/>
          <w:szCs w:val="22"/>
          <w:lang w:val="hy-AM" w:eastAsia="en-US"/>
        </w:rPr>
        <w:t>»</w:t>
      </w:r>
      <w:r w:rsidR="00C436AB">
        <w:rPr>
          <w:b w:val="0"/>
          <w:szCs w:val="22"/>
          <w:lang w:val="hy-AM" w:eastAsia="en-US"/>
        </w:rPr>
        <w:t xml:space="preserve"> նոր միջո</w:t>
      </w:r>
      <w:r w:rsidR="00C436AB" w:rsidRPr="001921DA">
        <w:rPr>
          <w:b w:val="0"/>
          <w:szCs w:val="22"/>
          <w:lang w:val="hy-AM" w:eastAsia="en-US"/>
        </w:rPr>
        <w:t>ցառումների գծով:</w:t>
      </w:r>
      <w:r w:rsidRPr="00D81C77">
        <w:rPr>
          <w:b w:val="0"/>
          <w:szCs w:val="22"/>
          <w:lang w:val="hy-AM" w:eastAsia="en-US"/>
        </w:rPr>
        <w:t xml:space="preserve"> </w:t>
      </w:r>
    </w:p>
    <w:p w14:paraId="5202CF24" w14:textId="77777777" w:rsidR="00232970" w:rsidRPr="00D81C77" w:rsidRDefault="00232970" w:rsidP="00AC1E1E">
      <w:pPr>
        <w:rPr>
          <w:b w:val="0"/>
          <w:color w:val="000000"/>
          <w:szCs w:val="22"/>
          <w:lang w:val="hy-AM" w:eastAsia="en-US"/>
        </w:rPr>
      </w:pPr>
      <w:r w:rsidRPr="00D81C77">
        <w:rPr>
          <w:szCs w:val="22"/>
          <w:lang w:val="hy-AM" w:eastAsia="en-US"/>
        </w:rPr>
        <w:t>Կրթության, մշակույթի և սպորտի ոլորտներում միջազգային և սփյուռքի հետ համագործակցության զարգացում</w:t>
      </w:r>
      <w:r w:rsidRPr="00D81C77">
        <w:rPr>
          <w:b w:val="0"/>
          <w:szCs w:val="22"/>
          <w:lang w:val="hy-AM" w:eastAsia="en-US"/>
        </w:rPr>
        <w:t xml:space="preserve"> ծրագրի </w:t>
      </w:r>
      <w:r w:rsidRPr="00D81C77">
        <w:rPr>
          <w:b w:val="0"/>
          <w:color w:val="000000"/>
          <w:szCs w:val="22"/>
          <w:lang w:val="hy-AM" w:eastAsia="en-US"/>
        </w:rPr>
        <w:t>գծով 202</w:t>
      </w:r>
      <w:r>
        <w:rPr>
          <w:b w:val="0"/>
          <w:color w:val="000000"/>
          <w:szCs w:val="22"/>
          <w:lang w:val="hy-AM" w:eastAsia="en-US"/>
        </w:rPr>
        <w:t>4</w:t>
      </w:r>
      <w:r w:rsidRPr="00D81C77">
        <w:rPr>
          <w:b w:val="0"/>
          <w:color w:val="000000"/>
          <w:szCs w:val="22"/>
          <w:lang w:val="hy-AM" w:eastAsia="en-US"/>
        </w:rPr>
        <w:t xml:space="preserve"> թվականին նախատեսվում է հատկացնել </w:t>
      </w:r>
      <w:r>
        <w:rPr>
          <w:b w:val="0"/>
          <w:szCs w:val="22"/>
          <w:lang w:val="hy-AM" w:eastAsia="en-US"/>
        </w:rPr>
        <w:t>40</w:t>
      </w:r>
      <w:r w:rsidR="00C436AB" w:rsidRPr="00C436AB">
        <w:rPr>
          <w:b w:val="0"/>
          <w:szCs w:val="22"/>
          <w:lang w:val="hy-AM" w:eastAsia="en-US"/>
        </w:rPr>
        <w:t>3</w:t>
      </w:r>
      <w:r w:rsidRPr="00D81C77">
        <w:rPr>
          <w:b w:val="0"/>
          <w:szCs w:val="22"/>
          <w:lang w:val="hy-AM" w:eastAsia="en-US"/>
        </w:rPr>
        <w:t>.</w:t>
      </w:r>
      <w:r w:rsidR="00C436AB" w:rsidRPr="00C436AB">
        <w:rPr>
          <w:b w:val="0"/>
          <w:szCs w:val="22"/>
          <w:lang w:val="hy-AM" w:eastAsia="en-US"/>
        </w:rPr>
        <w:t>1</w:t>
      </w:r>
      <w:r w:rsidRPr="00D81C77">
        <w:rPr>
          <w:b w:val="0"/>
          <w:szCs w:val="22"/>
          <w:lang w:val="hy-AM" w:eastAsia="en-US"/>
        </w:rPr>
        <w:t xml:space="preserve"> </w:t>
      </w:r>
      <w:r w:rsidRPr="00D81C77">
        <w:rPr>
          <w:b w:val="0"/>
          <w:color w:val="000000"/>
          <w:szCs w:val="22"/>
          <w:lang w:val="hy-AM" w:eastAsia="en-US"/>
        </w:rPr>
        <w:t>մլն դրամ:</w:t>
      </w:r>
    </w:p>
    <w:p w14:paraId="50D1760A" w14:textId="77777777" w:rsidR="00232970" w:rsidRPr="00D81C77" w:rsidRDefault="00232970" w:rsidP="00AC1E1E">
      <w:pPr>
        <w:rPr>
          <w:b w:val="0"/>
          <w:szCs w:val="22"/>
          <w:lang w:val="hy-AM" w:eastAsia="en-US"/>
        </w:rPr>
      </w:pPr>
      <w:r w:rsidRPr="00D81C77">
        <w:rPr>
          <w:b w:val="0"/>
          <w:szCs w:val="22"/>
          <w:lang w:val="hy-AM" w:eastAsia="en-US"/>
        </w:rPr>
        <w:t xml:space="preserve">Ծրագրի նպատակն է՝ կրթության, մշակույթի և սպորտի ոլորտներում միջազգային համագործակցության ընդլայնումը, սփյուռքում և օտարերկրյա պետություններում հայկական կրթական կարողությունների հզորացումը: Ծրագրով նախատեսվող միջոցները կուղղվեն Սփյուռքի կրթօջախների ուսուցիչների կարողությունների հզորացմանը, դասագրքերի և այլ ուսումնական նյութերի մշակմանն ու տրամադրմանը, օտարերկրյա պետություններում հայերենի և հայագիտական առարկաների դասավանդմանը: </w:t>
      </w:r>
    </w:p>
    <w:p w14:paraId="0EAA2EEF" w14:textId="77777777" w:rsidR="00232970" w:rsidRPr="00E81CDF" w:rsidRDefault="00232970" w:rsidP="00AC1E1E">
      <w:pPr>
        <w:rPr>
          <w:b w:val="0"/>
          <w:szCs w:val="22"/>
          <w:lang w:val="hy-AM" w:eastAsia="en-US"/>
        </w:rPr>
      </w:pPr>
      <w:r>
        <w:rPr>
          <w:b w:val="0"/>
          <w:szCs w:val="22"/>
          <w:lang w:val="hy-AM" w:eastAsia="en-US"/>
        </w:rPr>
        <w:t xml:space="preserve">Միջոցներ են նախատեսվել նաև </w:t>
      </w:r>
      <w:r w:rsidRPr="00E81CDF">
        <w:rPr>
          <w:b w:val="0"/>
          <w:szCs w:val="22"/>
          <w:lang w:val="hy-AM" w:eastAsia="en-US"/>
        </w:rPr>
        <w:t>Հայաստանում ԱՊՀ մասնակից պետությունների ուսուցիչների և կրթության ոլորտի աշխատակիցնե</w:t>
      </w:r>
      <w:r>
        <w:rPr>
          <w:b w:val="0"/>
          <w:szCs w:val="22"/>
          <w:lang w:val="hy-AM" w:eastAsia="en-US"/>
        </w:rPr>
        <w:t>րի VIII համագումարի կազմակերպման գծով</w:t>
      </w:r>
      <w:r w:rsidRPr="00E81CDF">
        <w:rPr>
          <w:b w:val="0"/>
          <w:szCs w:val="22"/>
          <w:lang w:val="hy-AM" w:eastAsia="en-US"/>
        </w:rPr>
        <w:t>:</w:t>
      </w:r>
    </w:p>
    <w:p w14:paraId="31D73D60" w14:textId="77777777" w:rsidR="00232970" w:rsidRPr="00D81C77" w:rsidRDefault="00232970" w:rsidP="00AC1E1E">
      <w:pPr>
        <w:rPr>
          <w:b w:val="0"/>
          <w:szCs w:val="22"/>
          <w:lang w:val="hy-AM" w:eastAsia="en-US"/>
        </w:rPr>
      </w:pPr>
      <w:r w:rsidRPr="00D81C77">
        <w:rPr>
          <w:b w:val="0"/>
          <w:szCs w:val="22"/>
          <w:lang w:val="hy-AM" w:eastAsia="en-US"/>
        </w:rPr>
        <w:t>Սփյուռքի հետ համագործակցության վերաբերյալ դրույթներն ամրագրված են ՀՀ կառավարության ծրագրի «1.4 Սփյուռք», «4.7 Երիտասարդություն» բաժիններում, «4.9 Մշակույթ» բաժնի մշակութային ժառանգության վերաբերյալ ենթաբաժնում</w:t>
      </w:r>
      <w:r w:rsidRPr="00D81C77">
        <w:rPr>
          <w:b w:val="0"/>
          <w:szCs w:val="22"/>
          <w:lang w:val="af-ZA" w:eastAsia="en-US"/>
        </w:rPr>
        <w:t>:</w:t>
      </w:r>
    </w:p>
    <w:p w14:paraId="295A4858" w14:textId="77777777" w:rsidR="00232970" w:rsidRPr="00D81C77" w:rsidRDefault="00232970" w:rsidP="00AC1E1E">
      <w:pPr>
        <w:rPr>
          <w:b w:val="0"/>
          <w:color w:val="000000"/>
          <w:szCs w:val="22"/>
          <w:lang w:val="hy-AM" w:eastAsia="en-US"/>
        </w:rPr>
      </w:pPr>
      <w:r w:rsidRPr="00D81C77">
        <w:rPr>
          <w:rFonts w:cs="Arial"/>
          <w:kern w:val="16"/>
          <w:szCs w:val="22"/>
          <w:lang w:val="hy-AM" w:eastAsia="en-US"/>
        </w:rPr>
        <w:t xml:space="preserve">Կրթության ոլորտում տեղեկատվական և հաղորդակցական տեխնոլոգիաների ներդրում </w:t>
      </w:r>
      <w:r w:rsidRPr="00D81C77">
        <w:rPr>
          <w:b w:val="0"/>
          <w:szCs w:val="22"/>
          <w:lang w:val="hy-AM" w:eastAsia="en-US"/>
        </w:rPr>
        <w:t xml:space="preserve">ծրագրի </w:t>
      </w:r>
      <w:r w:rsidRPr="00D81C77">
        <w:rPr>
          <w:b w:val="0"/>
          <w:color w:val="000000"/>
          <w:szCs w:val="22"/>
          <w:lang w:val="hy-AM" w:eastAsia="en-US"/>
        </w:rPr>
        <w:t>գծով 202</w:t>
      </w:r>
      <w:r>
        <w:rPr>
          <w:b w:val="0"/>
          <w:color w:val="000000"/>
          <w:szCs w:val="22"/>
          <w:lang w:val="hy-AM" w:eastAsia="en-US"/>
        </w:rPr>
        <w:t>4</w:t>
      </w:r>
      <w:r w:rsidRPr="00D81C77">
        <w:rPr>
          <w:b w:val="0"/>
          <w:color w:val="000000"/>
          <w:szCs w:val="22"/>
          <w:lang w:val="hy-AM" w:eastAsia="en-US"/>
        </w:rPr>
        <w:t xml:space="preserve"> թվականին նախատեսվում է հատկացնել </w:t>
      </w:r>
      <w:r>
        <w:rPr>
          <w:b w:val="0"/>
          <w:szCs w:val="22"/>
          <w:lang w:val="hy-AM" w:eastAsia="en-US"/>
        </w:rPr>
        <w:t>736</w:t>
      </w:r>
      <w:r w:rsidRPr="00D81C77">
        <w:rPr>
          <w:b w:val="0"/>
          <w:szCs w:val="22"/>
          <w:lang w:val="hy-AM" w:eastAsia="en-US"/>
        </w:rPr>
        <w:t>.</w:t>
      </w:r>
      <w:r>
        <w:rPr>
          <w:b w:val="0"/>
          <w:szCs w:val="22"/>
          <w:lang w:val="hy-AM" w:eastAsia="en-US"/>
        </w:rPr>
        <w:t>3</w:t>
      </w:r>
      <w:r w:rsidRPr="00D81C77">
        <w:rPr>
          <w:b w:val="0"/>
          <w:szCs w:val="22"/>
          <w:lang w:val="hy-AM" w:eastAsia="en-US"/>
        </w:rPr>
        <w:t xml:space="preserve"> </w:t>
      </w:r>
      <w:r w:rsidRPr="00D81C77">
        <w:rPr>
          <w:b w:val="0"/>
          <w:color w:val="000000"/>
          <w:szCs w:val="22"/>
          <w:lang w:val="hy-AM" w:eastAsia="en-US"/>
        </w:rPr>
        <w:t>մլն դրամ:</w:t>
      </w:r>
    </w:p>
    <w:p w14:paraId="079621DA" w14:textId="77777777" w:rsidR="00232970" w:rsidRDefault="00232970" w:rsidP="00AC1E1E">
      <w:pPr>
        <w:rPr>
          <w:b w:val="0"/>
          <w:szCs w:val="22"/>
          <w:lang w:val="hy-AM" w:eastAsia="en-US"/>
        </w:rPr>
      </w:pPr>
      <w:r w:rsidRPr="00D81C77">
        <w:rPr>
          <w:b w:val="0"/>
          <w:szCs w:val="22"/>
          <w:lang w:val="hy-AM" w:eastAsia="en-US"/>
        </w:rPr>
        <w:t>Ծրագրի նպատակն է՝ կրթության ոլորտում տեղեկատվական և հաղորդակցական տեխնոլոգիաների կիրառման ընդլայնումը: Ծրագրի շրջանակներում միջոցներ են նախատեսվել ՀՀ հանրակրթական ուսումնական հաստատություններում տվյալների փոխանակման կապի ապահովման և սպասարկման, հեռավար դասընթացների կազմակերպման, կրթության ոլորտում ՏՀՏ բնագավառի ծրագրերի համակարգման գծով:</w:t>
      </w:r>
    </w:p>
    <w:p w14:paraId="259D5F6B" w14:textId="77777777" w:rsidR="00976695" w:rsidRPr="00104AA3" w:rsidRDefault="00976695" w:rsidP="00AC1E1E">
      <w:pPr>
        <w:keepNext/>
        <w:tabs>
          <w:tab w:val="left" w:pos="360"/>
        </w:tabs>
        <w:rPr>
          <w:rFonts w:eastAsiaTheme="majorEastAsia" w:cstheme="majorBidi"/>
          <w:bCs/>
          <w:color w:val="1F497D" w:themeColor="text2"/>
          <w:sz w:val="24"/>
          <w:lang w:val="hy-AM" w:eastAsia="en-US"/>
        </w:rPr>
      </w:pPr>
      <w:r w:rsidRPr="00104AA3">
        <w:rPr>
          <w:rFonts w:eastAsiaTheme="majorEastAsia" w:cstheme="majorBidi"/>
          <w:bCs/>
          <w:color w:val="1F497D" w:themeColor="text2"/>
          <w:sz w:val="24"/>
          <w:lang w:val="hy-AM" w:eastAsia="en-US"/>
        </w:rPr>
        <w:t>Գիտություն</w:t>
      </w:r>
    </w:p>
    <w:p w14:paraId="216260B1" w14:textId="7376AD4E" w:rsidR="00A1007D" w:rsidRDefault="00A1007D" w:rsidP="00AC1E1E">
      <w:pPr>
        <w:ind w:firstLine="547"/>
        <w:rPr>
          <w:b w:val="0"/>
          <w:szCs w:val="22"/>
          <w:lang w:val="hy-AM" w:eastAsia="en-US"/>
        </w:rPr>
      </w:pPr>
      <w:r w:rsidRPr="00A83C94">
        <w:rPr>
          <w:szCs w:val="22"/>
          <w:lang w:val="hy-AM" w:eastAsia="en-US"/>
        </w:rPr>
        <w:t xml:space="preserve">Գիտական և գիտատեխնիկական հետազոտությունների ծրագրի </w:t>
      </w:r>
      <w:r w:rsidRPr="00A83C94">
        <w:rPr>
          <w:b w:val="0"/>
          <w:szCs w:val="22"/>
          <w:lang w:val="hy-AM" w:eastAsia="en-US"/>
        </w:rPr>
        <w:t xml:space="preserve">նպատակն է՝ գիտական և գիտատեխնիկական գործունեության հիմնարար, կիրառական և թեմատիկ հետազոտությունների իրականացում, ենթակառուցվածքի և ազգային արժեք ներկայացնող գիտական  օբյեկտների պահպանում և </w:t>
      </w:r>
      <w:r w:rsidRPr="00DE23F3">
        <w:rPr>
          <w:b w:val="0"/>
          <w:szCs w:val="22"/>
          <w:lang w:val="hy-AM" w:eastAsia="en-US"/>
        </w:rPr>
        <w:t xml:space="preserve">զարգացում, գիտական ներուժի </w:t>
      </w:r>
      <w:r w:rsidRPr="00DE23F3">
        <w:rPr>
          <w:b w:val="0"/>
          <w:szCs w:val="22"/>
          <w:lang w:val="hy-AM" w:eastAsia="en-US"/>
        </w:rPr>
        <w:lastRenderedPageBreak/>
        <w:t>վերարտադրության ապահովում: Ծրագրի գծով 202</w:t>
      </w:r>
      <w:r w:rsidRPr="00930F86">
        <w:rPr>
          <w:b w:val="0"/>
          <w:szCs w:val="22"/>
          <w:lang w:val="hy-AM" w:eastAsia="en-US"/>
        </w:rPr>
        <w:t>4</w:t>
      </w:r>
      <w:r w:rsidRPr="00DE23F3">
        <w:rPr>
          <w:b w:val="0"/>
          <w:szCs w:val="22"/>
          <w:lang w:val="hy-AM" w:eastAsia="en-US"/>
        </w:rPr>
        <w:t xml:space="preserve"> թվականին նախատեսվել է </w:t>
      </w:r>
      <w:r>
        <w:rPr>
          <w:b w:val="0"/>
          <w:szCs w:val="22"/>
          <w:lang w:val="hy-AM" w:eastAsia="en-US"/>
        </w:rPr>
        <w:t>3</w:t>
      </w:r>
      <w:r w:rsidR="008A0005" w:rsidRPr="008A0005">
        <w:rPr>
          <w:b w:val="0"/>
          <w:szCs w:val="22"/>
          <w:lang w:val="hy-AM" w:eastAsia="en-US"/>
        </w:rPr>
        <w:t>5</w:t>
      </w:r>
      <w:r>
        <w:rPr>
          <w:b w:val="0"/>
          <w:szCs w:val="22"/>
          <w:lang w:val="hy-AM" w:eastAsia="en-US"/>
        </w:rPr>
        <w:t>,</w:t>
      </w:r>
      <w:r w:rsidR="008A0005" w:rsidRPr="008A0005">
        <w:rPr>
          <w:b w:val="0"/>
          <w:szCs w:val="22"/>
          <w:lang w:val="hy-AM" w:eastAsia="en-US"/>
        </w:rPr>
        <w:t>776</w:t>
      </w:r>
      <w:r>
        <w:rPr>
          <w:b w:val="0"/>
          <w:szCs w:val="22"/>
          <w:lang w:val="hy-AM" w:eastAsia="en-US"/>
        </w:rPr>
        <w:t xml:space="preserve">.0 </w:t>
      </w:r>
      <w:r w:rsidRPr="00DE23F3">
        <w:rPr>
          <w:b w:val="0"/>
          <w:szCs w:val="22"/>
          <w:lang w:val="hy-AM" w:eastAsia="en-US"/>
        </w:rPr>
        <w:t>մլն դրամ</w:t>
      </w:r>
      <w:r w:rsidRPr="00C9508C">
        <w:rPr>
          <w:b w:val="0"/>
          <w:szCs w:val="22"/>
          <w:lang w:val="hy-AM" w:eastAsia="en-US"/>
        </w:rPr>
        <w:t>:</w:t>
      </w:r>
    </w:p>
    <w:p w14:paraId="56243174" w14:textId="77777777" w:rsidR="00A1007D" w:rsidRPr="00A53B0F" w:rsidRDefault="00A1007D" w:rsidP="00AC1E1E">
      <w:pPr>
        <w:ind w:firstLine="547"/>
        <w:rPr>
          <w:b w:val="0"/>
          <w:szCs w:val="22"/>
          <w:lang w:val="hy-AM" w:eastAsia="en-US"/>
        </w:rPr>
      </w:pPr>
      <w:r w:rsidRPr="00DE23F3">
        <w:rPr>
          <w:szCs w:val="22"/>
          <w:lang w:val="hy-AM" w:eastAsia="en-US"/>
        </w:rPr>
        <w:t>«</w:t>
      </w:r>
      <w:r w:rsidRPr="00DE23F3">
        <w:rPr>
          <w:b w:val="0"/>
          <w:szCs w:val="22"/>
          <w:lang w:val="hy-AM" w:eastAsia="en-US"/>
        </w:rPr>
        <w:t xml:space="preserve">Գիտական ենթակառուցվածքի արդիականացում» միջոցառման գծով նախատեսվել է </w:t>
      </w:r>
      <w:r w:rsidRPr="00A83C94">
        <w:rPr>
          <w:b w:val="0"/>
          <w:szCs w:val="22"/>
          <w:lang w:val="hy-AM" w:eastAsia="en-US"/>
        </w:rPr>
        <w:t xml:space="preserve">գիտական կազմակերպությունների և բուհերի գիտական ստորաբաժանումների  զարգացման, ծրագրերի իրականացման, գիտական սարքավորումների արդիականացման, միջազգային համագործակցության աջակցության նպատակով: </w:t>
      </w:r>
      <w:bookmarkStart w:id="303" w:name="_Hlk77769403"/>
      <w:r w:rsidRPr="00A53B0F">
        <w:rPr>
          <w:b w:val="0"/>
          <w:szCs w:val="22"/>
          <w:lang w:val="hy-AM" w:eastAsia="en-US"/>
        </w:rPr>
        <w:t>Միջոցառմանը հատկացվող միջոցներում ընդգրկված է գիտաշխատողների աշխատավարձի ավելացում</w:t>
      </w:r>
      <w:bookmarkEnd w:id="303"/>
      <w:r w:rsidRPr="00A53B0F">
        <w:rPr>
          <w:b w:val="0"/>
          <w:szCs w:val="22"/>
          <w:lang w:val="hy-AM" w:eastAsia="en-US"/>
        </w:rPr>
        <w:t>ը՝ պայմանավորված 13.05.2021թ. «Հայաստանի Հանրապետության կառավարության 2001 թվականի նոյեմբերի 17-ի N 1121 որոշման մեջ փոփոխություններ և լրացումներ կատարելու մասին» ՀՀ կառավարության N 747-Լ որոշմամբ 2022-2025 թվականներին գիտական կադրերի աշխատավարձի աստիճանական ավելաց</w:t>
      </w:r>
      <w:r>
        <w:rPr>
          <w:b w:val="0"/>
          <w:szCs w:val="22"/>
          <w:lang w:val="hy-AM" w:eastAsia="en-US"/>
        </w:rPr>
        <w:t>մամբ, ինչպես նաև</w:t>
      </w:r>
      <w:r w:rsidRPr="00A53B0F">
        <w:rPr>
          <w:b w:val="0"/>
          <w:szCs w:val="22"/>
          <w:lang w:val="hy-AM" w:eastAsia="en-US"/>
        </w:rPr>
        <w:t xml:space="preserve"> միջազգային գիտական ծրագրերի, կառույցների անդամակցությունը և գիտատեղեկատվական շտեմարանի ռեսուրսների օգտագործումը («Հորիզոն Եվրոպա» շրջանակային (9-րդ) ծրագրի մասնակցություն, Միջուկային հետազոտությունների միացյալ ինստիտուտ, Բարձր էներգիաների ստերեոսկոպիկ համակարգ, Տեսական ֆիզիկայի միջազգային կենտրոն, Քլարիվեյթ Անալիտիքս):</w:t>
      </w:r>
    </w:p>
    <w:p w14:paraId="458A1019" w14:textId="77777777" w:rsidR="00A1007D" w:rsidRDefault="00A1007D" w:rsidP="00AC1E1E">
      <w:pPr>
        <w:ind w:firstLine="547"/>
        <w:rPr>
          <w:b w:val="0"/>
          <w:szCs w:val="22"/>
          <w:lang w:val="hy-AM" w:eastAsia="en-US"/>
        </w:rPr>
      </w:pPr>
      <w:r w:rsidRPr="00A83C94">
        <w:rPr>
          <w:b w:val="0"/>
          <w:szCs w:val="22"/>
          <w:lang w:val="hy-AM" w:eastAsia="en-US"/>
        </w:rPr>
        <w:t xml:space="preserve">Աշխատավարձերի բարձրացման գծով համապատասխան միջոցներ են նախատեսվել </w:t>
      </w:r>
      <w:r>
        <w:rPr>
          <w:b w:val="0"/>
          <w:szCs w:val="22"/>
          <w:lang w:val="hy-AM" w:eastAsia="en-US"/>
        </w:rPr>
        <w:t xml:space="preserve">նաև </w:t>
      </w:r>
      <w:r w:rsidRPr="00A83C94">
        <w:rPr>
          <w:b w:val="0"/>
          <w:szCs w:val="22"/>
          <w:lang w:val="hy-AM" w:eastAsia="en-US"/>
        </w:rPr>
        <w:t>«Քենդլ» սինքրոտրոնային հետազոտությունների ինստիտուտ» հիմնադրամին՝ արագացուցչային ֆիզիկայի և տեխնիկայի բնագավառում գիտական և գիտատեխնիկական հետազոտությունների, «Ա. Ի. Ալիխանյանի անվան ազգային գիտական լաբորատորիա (Երևանի ֆիզիկայի ինստիտուտ)» հիմնադրամին՝ ֆիզիկայի բնագավառում գիտական և գիտատեխնիկական հետազոտությունների իրականացման նպատակով, «Ազգային արժեք ներկայացնող գիտական օբյեկ</w:t>
      </w:r>
      <w:r>
        <w:rPr>
          <w:b w:val="0"/>
          <w:szCs w:val="22"/>
          <w:lang w:val="hy-AM" w:eastAsia="en-US"/>
        </w:rPr>
        <w:t>տների պահպանություն» միջոցառման մեջ ընդգրկված</w:t>
      </w:r>
      <w:r w:rsidRPr="00A83C94">
        <w:rPr>
          <w:b w:val="0"/>
          <w:szCs w:val="22"/>
          <w:lang w:val="hy-AM" w:eastAsia="en-US"/>
        </w:rPr>
        <w:t>՝ Հին ձեռագրերի ինստիտուտի</w:t>
      </w:r>
      <w:r>
        <w:rPr>
          <w:b w:val="0"/>
          <w:szCs w:val="22"/>
          <w:lang w:val="hy-AM" w:eastAsia="en-US"/>
        </w:rPr>
        <w:t>ն</w:t>
      </w:r>
      <w:r w:rsidRPr="00A83C94">
        <w:rPr>
          <w:b w:val="0"/>
          <w:szCs w:val="22"/>
          <w:lang w:val="hy-AM" w:eastAsia="en-US"/>
        </w:rPr>
        <w:t>, Ցեղասպանության թանգարանի</w:t>
      </w:r>
      <w:r>
        <w:rPr>
          <w:b w:val="0"/>
          <w:szCs w:val="22"/>
          <w:lang w:val="hy-AM" w:eastAsia="en-US"/>
        </w:rPr>
        <w:t>ն</w:t>
      </w:r>
      <w:r w:rsidRPr="00A83C94">
        <w:rPr>
          <w:b w:val="0"/>
          <w:szCs w:val="22"/>
          <w:lang w:val="hy-AM" w:eastAsia="en-US"/>
        </w:rPr>
        <w:t>, Բյուրականի աստղադիտարանի</w:t>
      </w:r>
      <w:r>
        <w:rPr>
          <w:b w:val="0"/>
          <w:szCs w:val="22"/>
          <w:lang w:val="hy-AM" w:eastAsia="en-US"/>
        </w:rPr>
        <w:t>ն:</w:t>
      </w:r>
    </w:p>
    <w:p w14:paraId="5C986A91" w14:textId="77777777" w:rsidR="00A1007D" w:rsidRPr="00A83C94" w:rsidRDefault="00A1007D" w:rsidP="00AC1E1E">
      <w:pPr>
        <w:ind w:firstLine="547"/>
        <w:rPr>
          <w:b w:val="0"/>
          <w:szCs w:val="22"/>
          <w:lang w:val="hy-AM" w:eastAsia="en-US"/>
        </w:rPr>
      </w:pPr>
      <w:r w:rsidRPr="00A83C94">
        <w:rPr>
          <w:b w:val="0"/>
          <w:szCs w:val="22"/>
          <w:lang w:val="hy-AM" w:eastAsia="en-US"/>
        </w:rPr>
        <w:t>«Գիտական և գիտատեխնիկական պայմանագրային (թեմատիկ) հետազոտություններ» միջոցառման գծով նախատեսվ</w:t>
      </w:r>
      <w:r>
        <w:rPr>
          <w:b w:val="0"/>
          <w:szCs w:val="22"/>
          <w:lang w:val="hy-AM" w:eastAsia="en-US"/>
        </w:rPr>
        <w:t>ած միջոցներում հաշվի է առնվել</w:t>
      </w:r>
      <w:r w:rsidRPr="00A83C94">
        <w:rPr>
          <w:b w:val="0"/>
          <w:szCs w:val="22"/>
          <w:lang w:val="hy-AM" w:eastAsia="en-US"/>
        </w:rPr>
        <w:t xml:space="preserve"> նոր մրցութային ծրագրերի իրականաց</w:t>
      </w:r>
      <w:r>
        <w:rPr>
          <w:b w:val="0"/>
          <w:szCs w:val="22"/>
          <w:lang w:val="hy-AM" w:eastAsia="en-US"/>
        </w:rPr>
        <w:t>ու</w:t>
      </w:r>
      <w:r w:rsidRPr="00A83C94">
        <w:rPr>
          <w:b w:val="0"/>
          <w:szCs w:val="22"/>
          <w:lang w:val="hy-AM" w:eastAsia="en-US"/>
        </w:rPr>
        <w:t>մ</w:t>
      </w:r>
      <w:r>
        <w:rPr>
          <w:b w:val="0"/>
          <w:szCs w:val="22"/>
          <w:lang w:val="hy-AM" w:eastAsia="en-US"/>
        </w:rPr>
        <w:t>ը</w:t>
      </w:r>
      <w:r w:rsidRPr="00A83C94">
        <w:rPr>
          <w:b w:val="0"/>
          <w:szCs w:val="22"/>
          <w:lang w:val="hy-AM" w:eastAsia="en-US"/>
        </w:rPr>
        <w:t>: Միջոցառման շրջանակում իրականացվում են դրամաշնորհային մրցույթներ, որոնց համար որպես արդյունքային ցուցանիշներ են սահմանվում միջազգային չափանիշներին համապատասխան գիտական արդյունքները:</w:t>
      </w:r>
    </w:p>
    <w:p w14:paraId="5E3D348F" w14:textId="77777777" w:rsidR="00A1007D" w:rsidRDefault="00A1007D" w:rsidP="00AC1E1E">
      <w:pPr>
        <w:ind w:firstLine="547"/>
        <w:rPr>
          <w:b w:val="0"/>
          <w:szCs w:val="22"/>
          <w:lang w:val="hy-AM" w:eastAsia="en-US"/>
        </w:rPr>
      </w:pPr>
      <w:r>
        <w:rPr>
          <w:b w:val="0"/>
          <w:szCs w:val="22"/>
          <w:lang w:val="hy-AM" w:eastAsia="en-US"/>
        </w:rPr>
        <w:t>Ծրագրում</w:t>
      </w:r>
      <w:r w:rsidRPr="00A83C94">
        <w:rPr>
          <w:b w:val="0"/>
          <w:szCs w:val="22"/>
          <w:lang w:val="hy-AM" w:eastAsia="en-US"/>
        </w:rPr>
        <w:t xml:space="preserve"> նախատեսվել </w:t>
      </w:r>
      <w:r>
        <w:rPr>
          <w:b w:val="0"/>
          <w:szCs w:val="22"/>
          <w:lang w:val="hy-AM" w:eastAsia="en-US"/>
        </w:rPr>
        <w:t xml:space="preserve">են </w:t>
      </w:r>
      <w:r w:rsidRPr="00A83C94">
        <w:rPr>
          <w:b w:val="0"/>
          <w:szCs w:val="22"/>
          <w:lang w:val="hy-AM" w:eastAsia="en-US"/>
        </w:rPr>
        <w:t xml:space="preserve">ՀՀ ԳԱԱ իսկական և թղթակից </w:t>
      </w:r>
      <w:r>
        <w:rPr>
          <w:b w:val="0"/>
          <w:szCs w:val="22"/>
          <w:lang w:val="hy-AM" w:eastAsia="en-US"/>
        </w:rPr>
        <w:t xml:space="preserve">77 </w:t>
      </w:r>
      <w:r w:rsidRPr="00A83C94">
        <w:rPr>
          <w:b w:val="0"/>
          <w:szCs w:val="22"/>
          <w:lang w:val="hy-AM" w:eastAsia="en-US"/>
        </w:rPr>
        <w:t>անդամների պատվովճարների</w:t>
      </w:r>
      <w:r>
        <w:rPr>
          <w:b w:val="0"/>
          <w:szCs w:val="22"/>
          <w:lang w:val="hy-AM" w:eastAsia="en-US"/>
        </w:rPr>
        <w:t xml:space="preserve"> տրամադրումը</w:t>
      </w:r>
      <w:r w:rsidRPr="00A83C94">
        <w:rPr>
          <w:b w:val="0"/>
          <w:szCs w:val="22"/>
          <w:lang w:val="hy-AM" w:eastAsia="en-US"/>
        </w:rPr>
        <w:t>, պետական գիտական ծրագրերում ընդգրկված` գիտական աստիճան ունեցող գիտաշխատողներին հավելավճարների տրամադր</w:t>
      </w:r>
      <w:r>
        <w:rPr>
          <w:b w:val="0"/>
          <w:szCs w:val="22"/>
          <w:lang w:val="hy-AM" w:eastAsia="en-US"/>
        </w:rPr>
        <w:t>ումը</w:t>
      </w:r>
      <w:r w:rsidRPr="00A83C94">
        <w:rPr>
          <w:b w:val="0"/>
          <w:szCs w:val="22"/>
          <w:lang w:val="hy-AM" w:eastAsia="en-US"/>
        </w:rPr>
        <w:t xml:space="preserve"> (618 գիտության դոկտորներ</w:t>
      </w:r>
      <w:r>
        <w:rPr>
          <w:b w:val="0"/>
          <w:szCs w:val="22"/>
          <w:lang w:val="hy-AM" w:eastAsia="en-US"/>
        </w:rPr>
        <w:t>ի</w:t>
      </w:r>
      <w:r w:rsidRPr="00A83C94">
        <w:rPr>
          <w:b w:val="0"/>
          <w:szCs w:val="22"/>
          <w:lang w:val="hy-AM" w:eastAsia="en-US"/>
        </w:rPr>
        <w:t xml:space="preserve"> և 1550 գիտության թեկնածուներ</w:t>
      </w:r>
      <w:r>
        <w:rPr>
          <w:b w:val="0"/>
          <w:szCs w:val="22"/>
          <w:lang w:val="hy-AM" w:eastAsia="en-US"/>
        </w:rPr>
        <w:t>ի հաշվով</w:t>
      </w:r>
      <w:r w:rsidRPr="00A83C94">
        <w:rPr>
          <w:b w:val="0"/>
          <w:szCs w:val="22"/>
          <w:lang w:val="hy-AM" w:eastAsia="en-US"/>
        </w:rPr>
        <w:t>), գիտական և գիտատեխնիկական նպատակային-ծրագրային հետազոտությունների</w:t>
      </w:r>
      <w:r>
        <w:rPr>
          <w:b w:val="0"/>
          <w:szCs w:val="22"/>
          <w:lang w:val="hy-AM" w:eastAsia="en-US"/>
        </w:rPr>
        <w:t xml:space="preserve"> համար միջոցները:</w:t>
      </w:r>
    </w:p>
    <w:p w14:paraId="6D1643C3" w14:textId="77777777" w:rsidR="00A1007D" w:rsidRDefault="00A1007D" w:rsidP="00AC1E1E">
      <w:pPr>
        <w:ind w:firstLine="547"/>
        <w:rPr>
          <w:b w:val="0"/>
          <w:szCs w:val="22"/>
          <w:lang w:val="hy-AM" w:eastAsia="en-US"/>
        </w:rPr>
      </w:pPr>
      <w:r>
        <w:rPr>
          <w:b w:val="0"/>
          <w:szCs w:val="22"/>
          <w:lang w:val="hy-AM" w:eastAsia="en-US"/>
        </w:rPr>
        <w:t>2024 թվականին գ</w:t>
      </w:r>
      <w:r w:rsidRPr="00EA326A">
        <w:rPr>
          <w:b w:val="0"/>
          <w:szCs w:val="22"/>
          <w:lang w:val="hy-AM" w:eastAsia="en-US"/>
        </w:rPr>
        <w:t>իտական կենտրոնների վերանորոգ</w:t>
      </w:r>
      <w:r>
        <w:rPr>
          <w:b w:val="0"/>
          <w:szCs w:val="22"/>
          <w:lang w:val="hy-AM" w:eastAsia="en-US"/>
        </w:rPr>
        <w:t xml:space="preserve">ման շրջանակներում նախատեսվում են շարունակել </w:t>
      </w:r>
      <w:r w:rsidRPr="00A83C94">
        <w:rPr>
          <w:b w:val="0"/>
          <w:szCs w:val="22"/>
          <w:lang w:val="hy-AM" w:eastAsia="en-US"/>
        </w:rPr>
        <w:t>«</w:t>
      </w:r>
      <w:r>
        <w:rPr>
          <w:b w:val="0"/>
          <w:szCs w:val="22"/>
          <w:lang w:val="hy-AM" w:eastAsia="en-US"/>
        </w:rPr>
        <w:t>Ակադեմիական քաղաք</w:t>
      </w:r>
      <w:r w:rsidRPr="00A83C94">
        <w:rPr>
          <w:b w:val="0"/>
          <w:szCs w:val="22"/>
          <w:lang w:val="hy-AM" w:eastAsia="en-US"/>
        </w:rPr>
        <w:t>»</w:t>
      </w:r>
      <w:r>
        <w:rPr>
          <w:b w:val="0"/>
          <w:szCs w:val="22"/>
          <w:lang w:val="hy-AM" w:eastAsia="en-US"/>
        </w:rPr>
        <w:t xml:space="preserve"> նախագծի իրականացումը, </w:t>
      </w:r>
      <w:r>
        <w:rPr>
          <w:b w:val="0"/>
          <w:szCs w:val="22"/>
          <w:lang w:val="hy-AM" w:eastAsia="en-US"/>
        </w:rPr>
        <w:lastRenderedPageBreak/>
        <w:t>ինչպես նաև՝</w:t>
      </w:r>
      <w:r w:rsidRPr="001A57E1">
        <w:rPr>
          <w:b w:val="0"/>
          <w:szCs w:val="22"/>
          <w:lang w:val="hy-AM" w:eastAsia="en-US"/>
        </w:rPr>
        <w:t xml:space="preserve"> </w:t>
      </w:r>
      <w:r>
        <w:rPr>
          <w:b w:val="0"/>
          <w:szCs w:val="22"/>
          <w:lang w:val="hy-AM" w:eastAsia="en-US"/>
        </w:rPr>
        <w:t>գ</w:t>
      </w:r>
      <w:r w:rsidRPr="00EA326A">
        <w:rPr>
          <w:b w:val="0"/>
          <w:szCs w:val="22"/>
          <w:lang w:val="hy-AM" w:eastAsia="en-US"/>
        </w:rPr>
        <w:t>իտական կենտրոնները ժամանակակից սարքավորումներով վերազին</w:t>
      </w:r>
      <w:r>
        <w:rPr>
          <w:b w:val="0"/>
          <w:szCs w:val="22"/>
          <w:lang w:val="hy-AM" w:eastAsia="en-US"/>
        </w:rPr>
        <w:t>ու</w:t>
      </w:r>
      <w:r w:rsidRPr="00EA326A">
        <w:rPr>
          <w:b w:val="0"/>
          <w:szCs w:val="22"/>
          <w:lang w:val="hy-AM" w:eastAsia="en-US"/>
        </w:rPr>
        <w:t>մ</w:t>
      </w:r>
      <w:r>
        <w:rPr>
          <w:b w:val="0"/>
          <w:szCs w:val="22"/>
          <w:lang w:val="hy-AM" w:eastAsia="en-US"/>
        </w:rPr>
        <w:t>ն</w:t>
      </w:r>
      <w:r w:rsidRPr="00EA326A">
        <w:rPr>
          <w:b w:val="0"/>
          <w:szCs w:val="22"/>
          <w:lang w:val="hy-AM" w:eastAsia="en-US"/>
        </w:rPr>
        <w:t xml:space="preserve"> ու համատեղ օգտագործման գիտական սարքավորումների կենտրոնների ստեղծ</w:t>
      </w:r>
      <w:r>
        <w:rPr>
          <w:b w:val="0"/>
          <w:szCs w:val="22"/>
          <w:lang w:val="hy-AM" w:eastAsia="en-US"/>
        </w:rPr>
        <w:t>ու</w:t>
      </w:r>
      <w:r w:rsidRPr="00EA326A">
        <w:rPr>
          <w:b w:val="0"/>
          <w:szCs w:val="22"/>
          <w:lang w:val="hy-AM" w:eastAsia="en-US"/>
        </w:rPr>
        <w:t>մ</w:t>
      </w:r>
      <w:r>
        <w:rPr>
          <w:b w:val="0"/>
          <w:szCs w:val="22"/>
          <w:lang w:val="hy-AM" w:eastAsia="en-US"/>
        </w:rPr>
        <w:t>ը:</w:t>
      </w:r>
    </w:p>
    <w:p w14:paraId="0A328CAD" w14:textId="77777777" w:rsidR="00A1007D" w:rsidRPr="00A83C94" w:rsidRDefault="00A1007D" w:rsidP="00AC1E1E">
      <w:pPr>
        <w:ind w:firstLine="547"/>
        <w:rPr>
          <w:b w:val="0"/>
          <w:szCs w:val="22"/>
          <w:lang w:val="hy-AM" w:eastAsia="en-US"/>
        </w:rPr>
      </w:pPr>
      <w:r w:rsidRPr="00A83C94">
        <w:rPr>
          <w:b w:val="0"/>
          <w:szCs w:val="22"/>
          <w:lang w:val="hy-AM" w:eastAsia="en-US"/>
        </w:rPr>
        <w:t xml:space="preserve">Գիտության ոլորտի զարգացման վերաբերյալ դրույթներն ամրագրված են ՀՀ կառավարության ծրագրի «4.4 Գիտությունն» բաժնում: </w:t>
      </w:r>
    </w:p>
    <w:p w14:paraId="504B6DA3" w14:textId="77777777" w:rsidR="00F146F7" w:rsidRPr="00B2166C" w:rsidRDefault="00F146F7" w:rsidP="00AC1E1E">
      <w:pPr>
        <w:tabs>
          <w:tab w:val="left" w:pos="284"/>
        </w:tabs>
        <w:rPr>
          <w:lang w:val="hy-AM"/>
        </w:rPr>
      </w:pPr>
    </w:p>
    <w:p w14:paraId="78B9E72B" w14:textId="77777777" w:rsidR="00104AA3" w:rsidRPr="00104AA3" w:rsidRDefault="00104AA3" w:rsidP="00AC1E1E">
      <w:pPr>
        <w:keepNext/>
        <w:tabs>
          <w:tab w:val="left" w:pos="360"/>
        </w:tabs>
        <w:rPr>
          <w:rFonts w:eastAsiaTheme="majorEastAsia" w:cstheme="majorBidi"/>
          <w:bCs/>
          <w:color w:val="1F497D" w:themeColor="text2"/>
          <w:sz w:val="24"/>
          <w:lang w:val="hy-AM" w:eastAsia="en-US"/>
        </w:rPr>
      </w:pPr>
      <w:r w:rsidRPr="00104AA3">
        <w:rPr>
          <w:rFonts w:eastAsiaTheme="majorEastAsia" w:cstheme="majorBidi"/>
          <w:bCs/>
          <w:color w:val="1F497D" w:themeColor="text2"/>
          <w:sz w:val="24"/>
          <w:lang w:val="hy-AM" w:eastAsia="en-US"/>
        </w:rPr>
        <w:t>Մշակույթ</w:t>
      </w:r>
    </w:p>
    <w:p w14:paraId="0EE65E7A" w14:textId="77777777" w:rsidR="00104AA3" w:rsidRPr="00C33773" w:rsidRDefault="00104AA3" w:rsidP="00AC1E1E">
      <w:pPr>
        <w:tabs>
          <w:tab w:val="left" w:pos="0"/>
        </w:tabs>
        <w:rPr>
          <w:b w:val="0"/>
          <w:noProof/>
          <w:szCs w:val="22"/>
          <w:lang w:val="af-ZA"/>
        </w:rPr>
      </w:pPr>
      <w:r w:rsidRPr="00C33773">
        <w:rPr>
          <w:b w:val="0"/>
          <w:noProof/>
          <w:szCs w:val="22"/>
          <w:lang w:val="hy-AM"/>
        </w:rPr>
        <w:tab/>
      </w:r>
      <w:r w:rsidRPr="00C33773">
        <w:rPr>
          <w:b w:val="0"/>
          <w:noProof/>
          <w:szCs w:val="22"/>
          <w:lang w:val="hy-AM"/>
        </w:rPr>
        <w:tab/>
      </w:r>
      <w:r w:rsidRPr="00C33773">
        <w:rPr>
          <w:b w:val="0"/>
          <w:noProof/>
          <w:szCs w:val="22"/>
          <w:lang w:val="hy-AM"/>
        </w:rPr>
        <w:tab/>
      </w:r>
      <w:r w:rsidRPr="00C33773">
        <w:rPr>
          <w:b w:val="0"/>
          <w:noProof/>
          <w:szCs w:val="22"/>
          <w:lang w:val="hy-AM"/>
        </w:rPr>
        <w:tab/>
        <w:t>ՀՀ</w:t>
      </w:r>
      <w:r w:rsidRPr="00C33773">
        <w:rPr>
          <w:b w:val="0"/>
          <w:noProof/>
          <w:szCs w:val="22"/>
          <w:lang w:val="af-ZA"/>
        </w:rPr>
        <w:t xml:space="preserve"> </w:t>
      </w:r>
      <w:r w:rsidRPr="00C33773">
        <w:rPr>
          <w:b w:val="0"/>
          <w:noProof/>
          <w:szCs w:val="22"/>
          <w:lang w:val="hy-AM"/>
        </w:rPr>
        <w:t>կառավարության</w:t>
      </w:r>
      <w:r w:rsidRPr="00C33773">
        <w:rPr>
          <w:b w:val="0"/>
          <w:noProof/>
          <w:szCs w:val="22"/>
          <w:lang w:val="af-ZA"/>
        </w:rPr>
        <w:t xml:space="preserve"> </w:t>
      </w:r>
      <w:r w:rsidRPr="00C33773">
        <w:rPr>
          <w:b w:val="0"/>
          <w:noProof/>
          <w:szCs w:val="22"/>
          <w:lang w:val="hy-AM"/>
        </w:rPr>
        <w:t>վարած</w:t>
      </w:r>
      <w:r w:rsidRPr="00C33773">
        <w:rPr>
          <w:b w:val="0"/>
          <w:noProof/>
          <w:szCs w:val="22"/>
          <w:lang w:val="af-ZA"/>
        </w:rPr>
        <w:t xml:space="preserve"> </w:t>
      </w:r>
      <w:r w:rsidRPr="00C33773">
        <w:rPr>
          <w:b w:val="0"/>
          <w:noProof/>
          <w:szCs w:val="22"/>
          <w:lang w:val="hy-AM"/>
        </w:rPr>
        <w:t>մշակութային</w:t>
      </w:r>
      <w:r w:rsidRPr="00C33773">
        <w:rPr>
          <w:b w:val="0"/>
          <w:noProof/>
          <w:szCs w:val="22"/>
          <w:lang w:val="af-ZA"/>
        </w:rPr>
        <w:t xml:space="preserve"> </w:t>
      </w:r>
      <w:r w:rsidRPr="00C33773">
        <w:rPr>
          <w:b w:val="0"/>
          <w:noProof/>
          <w:szCs w:val="22"/>
          <w:lang w:val="hy-AM"/>
        </w:rPr>
        <w:t>քաղաքականությանը</w:t>
      </w:r>
      <w:r w:rsidRPr="00C33773">
        <w:rPr>
          <w:b w:val="0"/>
          <w:noProof/>
          <w:szCs w:val="22"/>
          <w:lang w:val="af-ZA"/>
        </w:rPr>
        <w:t xml:space="preserve"> </w:t>
      </w:r>
      <w:r w:rsidRPr="00C33773">
        <w:rPr>
          <w:b w:val="0"/>
          <w:noProof/>
          <w:szCs w:val="22"/>
          <w:lang w:val="hy-AM"/>
        </w:rPr>
        <w:t>համապա</w:t>
      </w:r>
      <w:r w:rsidRPr="00C33773">
        <w:rPr>
          <w:b w:val="0"/>
          <w:noProof/>
          <w:szCs w:val="22"/>
          <w:lang w:val="af-ZA"/>
        </w:rPr>
        <w:softHyphen/>
      </w:r>
      <w:r w:rsidRPr="00C33773">
        <w:rPr>
          <w:b w:val="0"/>
          <w:noProof/>
          <w:szCs w:val="22"/>
          <w:lang w:val="hy-AM"/>
        </w:rPr>
        <w:t>տասխան</w:t>
      </w:r>
      <w:r w:rsidRPr="00C33773">
        <w:rPr>
          <w:b w:val="0"/>
          <w:noProof/>
          <w:szCs w:val="22"/>
          <w:lang w:val="af-ZA"/>
        </w:rPr>
        <w:t xml:space="preserve"> </w:t>
      </w:r>
      <w:r w:rsidRPr="00C33773">
        <w:rPr>
          <w:b w:val="0"/>
          <w:noProof/>
          <w:szCs w:val="22"/>
          <w:lang w:val="hy-AM"/>
        </w:rPr>
        <w:t>մշակույթի</w:t>
      </w:r>
      <w:r w:rsidRPr="00C33773">
        <w:rPr>
          <w:b w:val="0"/>
          <w:noProof/>
          <w:szCs w:val="22"/>
          <w:lang w:val="af-ZA"/>
        </w:rPr>
        <w:t xml:space="preserve"> </w:t>
      </w:r>
      <w:r w:rsidRPr="00C33773">
        <w:rPr>
          <w:b w:val="0"/>
          <w:noProof/>
          <w:szCs w:val="22"/>
          <w:lang w:val="hy-AM"/>
        </w:rPr>
        <w:t>ոլորտում</w:t>
      </w:r>
      <w:r w:rsidRPr="00C33773">
        <w:rPr>
          <w:b w:val="0"/>
          <w:noProof/>
          <w:szCs w:val="22"/>
          <w:lang w:val="af-ZA"/>
        </w:rPr>
        <w:t xml:space="preserve"> </w:t>
      </w:r>
      <w:r w:rsidRPr="00C33773">
        <w:rPr>
          <w:rFonts w:cs="Sylfaen"/>
          <w:b w:val="0"/>
          <w:lang w:val="hy-AM"/>
        </w:rPr>
        <w:t>իրականացվող ծրագրերը միտված են մշակութային ժառանգության պահպանությանը և տարածմանը, մշակութային և ստեղծարար ոլորտների խթանմանը և երկրի կայուն զարգացման գործընթացներում վերջիններիս դերի ընդլայնմանը, մշակույթի և ժամանակակից արվեստի հասանելիությանը և սոցիալական ներառականությանը, բարեկեցիկ հասարակության ձևավորմանը, հայկական մշակույթի միջազգային ինտեգրմանը և միջազգային շուկաներում մրցունակության ապահվմանը</w:t>
      </w:r>
      <w:r w:rsidRPr="00C33773">
        <w:rPr>
          <w:b w:val="0"/>
          <w:noProof/>
          <w:szCs w:val="22"/>
          <w:lang w:val="af-ZA"/>
        </w:rPr>
        <w:t xml:space="preserve"> (</w:t>
      </w:r>
      <w:r w:rsidRPr="00C33773">
        <w:rPr>
          <w:b w:val="0"/>
          <w:noProof/>
          <w:szCs w:val="22"/>
          <w:lang w:val="hy-AM"/>
        </w:rPr>
        <w:t>հիմք՝</w:t>
      </w:r>
      <w:r w:rsidRPr="00C33773">
        <w:rPr>
          <w:b w:val="0"/>
          <w:noProof/>
          <w:szCs w:val="22"/>
          <w:lang w:val="af-ZA"/>
        </w:rPr>
        <w:t xml:space="preserve"> </w:t>
      </w:r>
      <w:r w:rsidRPr="00C33773">
        <w:rPr>
          <w:b w:val="0"/>
          <w:noProof/>
          <w:szCs w:val="22"/>
          <w:lang w:val="hy-AM"/>
        </w:rPr>
        <w:t>ՀՀ</w:t>
      </w:r>
      <w:r w:rsidRPr="00C33773">
        <w:rPr>
          <w:b w:val="0"/>
          <w:noProof/>
          <w:szCs w:val="22"/>
          <w:lang w:val="af-ZA"/>
        </w:rPr>
        <w:t xml:space="preserve"> </w:t>
      </w:r>
      <w:r w:rsidRPr="00C33773">
        <w:rPr>
          <w:b w:val="0"/>
          <w:noProof/>
          <w:szCs w:val="22"/>
          <w:lang w:val="hy-AM"/>
        </w:rPr>
        <w:t>կառավարության</w:t>
      </w:r>
      <w:r w:rsidRPr="00C33773">
        <w:rPr>
          <w:b w:val="0"/>
          <w:noProof/>
          <w:szCs w:val="22"/>
          <w:lang w:val="af-ZA"/>
        </w:rPr>
        <w:t xml:space="preserve"> </w:t>
      </w:r>
      <w:r w:rsidRPr="00C33773">
        <w:rPr>
          <w:b w:val="0"/>
          <w:noProof/>
          <w:szCs w:val="22"/>
          <w:lang w:val="hy-AM"/>
        </w:rPr>
        <w:t>ծրագրի</w:t>
      </w:r>
      <w:r w:rsidRPr="00C33773">
        <w:rPr>
          <w:b w:val="0"/>
          <w:noProof/>
          <w:szCs w:val="22"/>
          <w:lang w:val="af-ZA"/>
        </w:rPr>
        <w:t xml:space="preserve"> «4.9 </w:t>
      </w:r>
      <w:r w:rsidRPr="00C33773">
        <w:rPr>
          <w:b w:val="0"/>
          <w:noProof/>
          <w:szCs w:val="22"/>
          <w:lang w:val="hy-AM"/>
        </w:rPr>
        <w:t>Մշակույթ</w:t>
      </w:r>
      <w:r w:rsidRPr="00C33773">
        <w:rPr>
          <w:b w:val="0"/>
          <w:noProof/>
          <w:szCs w:val="22"/>
          <w:lang w:val="af-ZA"/>
        </w:rPr>
        <w:t xml:space="preserve">» </w:t>
      </w:r>
      <w:r w:rsidRPr="00C33773">
        <w:rPr>
          <w:b w:val="0"/>
          <w:noProof/>
          <w:szCs w:val="22"/>
          <w:lang w:val="hy-AM"/>
        </w:rPr>
        <w:t>բաժին</w:t>
      </w:r>
      <w:r w:rsidRPr="00C33773">
        <w:rPr>
          <w:b w:val="0"/>
          <w:noProof/>
          <w:szCs w:val="22"/>
          <w:lang w:val="af-ZA"/>
        </w:rPr>
        <w:t>):</w:t>
      </w:r>
    </w:p>
    <w:p w14:paraId="36C3198E" w14:textId="77777777" w:rsidR="00104AA3" w:rsidRPr="00C33773" w:rsidRDefault="00104AA3" w:rsidP="00AC1E1E">
      <w:pPr>
        <w:numPr>
          <w:ilvl w:val="12"/>
          <w:numId w:val="0"/>
        </w:numPr>
        <w:rPr>
          <w:b w:val="0"/>
          <w:noProof/>
          <w:szCs w:val="22"/>
          <w:lang w:val="af-ZA"/>
        </w:rPr>
      </w:pPr>
      <w:r w:rsidRPr="001F6A37">
        <w:rPr>
          <w:b w:val="0"/>
          <w:noProof/>
          <w:szCs w:val="22"/>
          <w:lang w:val="hy-AM"/>
        </w:rPr>
        <w:tab/>
        <w:t>Մշակույթի</w:t>
      </w:r>
      <w:r w:rsidRPr="00C33773">
        <w:rPr>
          <w:b w:val="0"/>
          <w:noProof/>
          <w:szCs w:val="22"/>
          <w:lang w:val="af-ZA"/>
        </w:rPr>
        <w:t xml:space="preserve"> </w:t>
      </w:r>
      <w:r w:rsidRPr="001F6A37">
        <w:rPr>
          <w:b w:val="0"/>
          <w:noProof/>
          <w:szCs w:val="22"/>
          <w:lang w:val="hy-AM"/>
        </w:rPr>
        <w:t>ոլորտի</w:t>
      </w:r>
      <w:r w:rsidRPr="00C33773">
        <w:rPr>
          <w:b w:val="0"/>
          <w:noProof/>
          <w:szCs w:val="22"/>
          <w:lang w:val="af-ZA"/>
        </w:rPr>
        <w:t xml:space="preserve"> </w:t>
      </w:r>
      <w:r w:rsidRPr="001F6A37">
        <w:rPr>
          <w:b w:val="0"/>
          <w:noProof/>
          <w:szCs w:val="22"/>
          <w:lang w:val="hy-AM"/>
        </w:rPr>
        <w:t>համար</w:t>
      </w:r>
      <w:r w:rsidRPr="00C33773">
        <w:rPr>
          <w:b w:val="0"/>
          <w:noProof/>
          <w:szCs w:val="22"/>
          <w:lang w:val="af-ZA"/>
        </w:rPr>
        <w:t xml:space="preserve"> </w:t>
      </w:r>
      <w:r w:rsidRPr="001F6A37">
        <w:rPr>
          <w:b w:val="0"/>
          <w:noProof/>
          <w:szCs w:val="22"/>
          <w:lang w:val="hy-AM"/>
        </w:rPr>
        <w:t>նախատեսված</w:t>
      </w:r>
      <w:r w:rsidRPr="00C33773">
        <w:rPr>
          <w:b w:val="0"/>
          <w:noProof/>
          <w:szCs w:val="22"/>
          <w:lang w:val="af-ZA"/>
        </w:rPr>
        <w:t xml:space="preserve"> </w:t>
      </w:r>
      <w:r w:rsidRPr="001F6A37">
        <w:rPr>
          <w:b w:val="0"/>
          <w:noProof/>
          <w:szCs w:val="22"/>
          <w:lang w:val="hy-AM"/>
        </w:rPr>
        <w:t>հատկացումներն</w:t>
      </w:r>
      <w:r w:rsidRPr="00C33773">
        <w:rPr>
          <w:b w:val="0"/>
          <w:noProof/>
          <w:szCs w:val="22"/>
          <w:lang w:val="af-ZA"/>
        </w:rPr>
        <w:t xml:space="preserve"> </w:t>
      </w:r>
      <w:r w:rsidRPr="001F6A37">
        <w:rPr>
          <w:b w:val="0"/>
          <w:noProof/>
          <w:szCs w:val="22"/>
          <w:lang w:val="hy-AM"/>
        </w:rPr>
        <w:t>ուղղվել</w:t>
      </w:r>
      <w:r w:rsidRPr="00C33773">
        <w:rPr>
          <w:b w:val="0"/>
          <w:noProof/>
          <w:szCs w:val="22"/>
          <w:lang w:val="hy-AM"/>
        </w:rPr>
        <w:t>ու</w:t>
      </w:r>
      <w:r w:rsidRPr="00C33773">
        <w:rPr>
          <w:b w:val="0"/>
          <w:noProof/>
          <w:szCs w:val="22"/>
          <w:lang w:val="af-ZA"/>
        </w:rPr>
        <w:t xml:space="preserve"> </w:t>
      </w:r>
      <w:r w:rsidRPr="001F6A37">
        <w:rPr>
          <w:b w:val="0"/>
          <w:noProof/>
          <w:szCs w:val="22"/>
          <w:lang w:val="hy-AM"/>
        </w:rPr>
        <w:t>են</w:t>
      </w:r>
      <w:r w:rsidRPr="00C33773">
        <w:rPr>
          <w:b w:val="0"/>
          <w:noProof/>
          <w:szCs w:val="22"/>
          <w:lang w:val="af-ZA"/>
        </w:rPr>
        <w:t xml:space="preserve"> </w:t>
      </w:r>
      <w:r w:rsidRPr="00C33773">
        <w:rPr>
          <w:b w:val="0"/>
          <w:noProof/>
          <w:szCs w:val="22"/>
          <w:lang w:val="hy-AM"/>
        </w:rPr>
        <w:t>5</w:t>
      </w:r>
      <w:r w:rsidRPr="00C33773">
        <w:rPr>
          <w:b w:val="0"/>
          <w:noProof/>
          <w:szCs w:val="22"/>
          <w:lang w:val="af-ZA"/>
        </w:rPr>
        <w:t xml:space="preserve"> </w:t>
      </w:r>
      <w:r w:rsidRPr="001F6A37">
        <w:rPr>
          <w:b w:val="0"/>
          <w:noProof/>
          <w:szCs w:val="22"/>
          <w:lang w:val="hy-AM"/>
        </w:rPr>
        <w:t>ծրագրերի</w:t>
      </w:r>
      <w:r w:rsidRPr="00C33773">
        <w:rPr>
          <w:b w:val="0"/>
          <w:noProof/>
          <w:szCs w:val="22"/>
          <w:lang w:val="af-ZA"/>
        </w:rPr>
        <w:t xml:space="preserve"> </w:t>
      </w:r>
      <w:r w:rsidRPr="001F6A37">
        <w:rPr>
          <w:b w:val="0"/>
          <w:noProof/>
          <w:szCs w:val="22"/>
          <w:lang w:val="hy-AM"/>
        </w:rPr>
        <w:t>իրականացմանը</w:t>
      </w:r>
      <w:r w:rsidRPr="00C33773">
        <w:rPr>
          <w:b w:val="0"/>
          <w:noProof/>
          <w:szCs w:val="22"/>
          <w:lang w:val="af-ZA"/>
        </w:rPr>
        <w:t xml:space="preserve">: </w:t>
      </w:r>
    </w:p>
    <w:p w14:paraId="75B82F01"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lang w:val="hy-AM"/>
        </w:rPr>
        <w:t>Ոլորտում հ</w:t>
      </w:r>
      <w:r w:rsidRPr="00C33773">
        <w:rPr>
          <w:b w:val="0"/>
          <w:noProof/>
          <w:szCs w:val="22"/>
        </w:rPr>
        <w:t>իմնանորոգման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շինարարության</w:t>
      </w:r>
      <w:r w:rsidRPr="00C33773">
        <w:rPr>
          <w:b w:val="0"/>
          <w:noProof/>
          <w:szCs w:val="22"/>
          <w:lang w:val="af-ZA"/>
        </w:rPr>
        <w:t xml:space="preserve"> </w:t>
      </w:r>
      <w:r w:rsidRPr="00C33773">
        <w:rPr>
          <w:b w:val="0"/>
          <w:noProof/>
          <w:szCs w:val="22"/>
        </w:rPr>
        <w:t>համար</w:t>
      </w:r>
      <w:r w:rsidRPr="00C33773">
        <w:rPr>
          <w:b w:val="0"/>
          <w:noProof/>
          <w:szCs w:val="22"/>
          <w:lang w:val="af-ZA"/>
        </w:rPr>
        <w:t xml:space="preserve"> </w:t>
      </w:r>
      <w:r w:rsidRPr="00C33773">
        <w:rPr>
          <w:b w:val="0"/>
          <w:noProof/>
          <w:szCs w:val="22"/>
        </w:rPr>
        <w:t>նախատեսված</w:t>
      </w:r>
      <w:r w:rsidRPr="00C33773">
        <w:rPr>
          <w:b w:val="0"/>
          <w:noProof/>
          <w:szCs w:val="22"/>
          <w:lang w:val="af-ZA"/>
        </w:rPr>
        <w:t xml:space="preserve"> </w:t>
      </w:r>
      <w:r w:rsidRPr="00C33773">
        <w:rPr>
          <w:b w:val="0"/>
          <w:noProof/>
          <w:szCs w:val="22"/>
        </w:rPr>
        <w:t>հատկացումներ</w:t>
      </w:r>
      <w:r w:rsidRPr="00C33773">
        <w:rPr>
          <w:b w:val="0"/>
          <w:noProof/>
          <w:szCs w:val="22"/>
          <w:lang w:val="hy-AM"/>
        </w:rPr>
        <w:t>ի շրջանակներում իրականացվելու են հ</w:t>
      </w:r>
      <w:r w:rsidRPr="00C33773">
        <w:rPr>
          <w:b w:val="0"/>
          <w:noProof/>
          <w:szCs w:val="22"/>
        </w:rPr>
        <w:t>ուշարձանների</w:t>
      </w:r>
      <w:r w:rsidRPr="00C33773">
        <w:rPr>
          <w:b w:val="0"/>
          <w:noProof/>
          <w:szCs w:val="22"/>
          <w:lang w:val="af-ZA"/>
        </w:rPr>
        <w:t xml:space="preserve"> </w:t>
      </w:r>
      <w:r w:rsidRPr="00C33773">
        <w:rPr>
          <w:b w:val="0"/>
          <w:noProof/>
          <w:szCs w:val="22"/>
        </w:rPr>
        <w:t>ամրակայմ</w:t>
      </w:r>
      <w:r w:rsidRPr="00C33773">
        <w:rPr>
          <w:b w:val="0"/>
          <w:noProof/>
          <w:szCs w:val="22"/>
          <w:lang w:val="hy-AM"/>
        </w:rPr>
        <w:t>ան</w:t>
      </w:r>
      <w:r w:rsidRPr="00C33773">
        <w:rPr>
          <w:b w:val="0"/>
          <w:noProof/>
          <w:szCs w:val="22"/>
          <w:lang w:val="af-ZA"/>
        </w:rPr>
        <w:t xml:space="preserve">, </w:t>
      </w:r>
      <w:r w:rsidRPr="00C33773">
        <w:rPr>
          <w:b w:val="0"/>
          <w:noProof/>
          <w:szCs w:val="22"/>
        </w:rPr>
        <w:t>նորոգմ</w:t>
      </w:r>
      <w:r w:rsidRPr="00C33773">
        <w:rPr>
          <w:b w:val="0"/>
          <w:noProof/>
          <w:szCs w:val="22"/>
          <w:lang w:val="hy-AM"/>
        </w:rPr>
        <w:t>ան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վերականգնմ</w:t>
      </w:r>
      <w:r w:rsidRPr="00C33773">
        <w:rPr>
          <w:b w:val="0"/>
          <w:noProof/>
          <w:szCs w:val="22"/>
          <w:lang w:val="hy-AM"/>
        </w:rPr>
        <w:t xml:space="preserve">ան, թանգարանների և պատկերասրահների հիմնանորոգման </w:t>
      </w:r>
      <w:r w:rsidRPr="00C33773">
        <w:rPr>
          <w:b w:val="0"/>
          <w:noProof/>
          <w:szCs w:val="22"/>
          <w:lang w:val="en-US"/>
        </w:rPr>
        <w:t>և</w:t>
      </w:r>
      <w:r w:rsidRPr="00C33773">
        <w:rPr>
          <w:b w:val="0"/>
          <w:noProof/>
          <w:szCs w:val="22"/>
          <w:lang w:val="af-ZA"/>
        </w:rPr>
        <w:t xml:space="preserve"> թատրոնների շենքերի կապիտալ վերանորոգման</w:t>
      </w:r>
      <w:r w:rsidRPr="00C33773">
        <w:rPr>
          <w:b w:val="0"/>
          <w:noProof/>
          <w:szCs w:val="22"/>
          <w:lang w:val="hy-AM"/>
        </w:rPr>
        <w:t xml:space="preserve"> աշխատանքներ</w:t>
      </w:r>
      <w:r w:rsidRPr="00C33773">
        <w:rPr>
          <w:b w:val="0"/>
          <w:noProof/>
          <w:szCs w:val="22"/>
          <w:lang w:val="af-ZA"/>
        </w:rPr>
        <w:t>:</w:t>
      </w:r>
    </w:p>
    <w:p w14:paraId="35F03213" w14:textId="77777777" w:rsidR="00104AA3" w:rsidRPr="00C33773" w:rsidRDefault="00104AA3" w:rsidP="00AC1E1E">
      <w:pPr>
        <w:numPr>
          <w:ilvl w:val="12"/>
          <w:numId w:val="0"/>
        </w:numPr>
        <w:tabs>
          <w:tab w:val="left" w:pos="851"/>
        </w:tabs>
        <w:rPr>
          <w:b w:val="0"/>
          <w:noProof/>
          <w:szCs w:val="22"/>
          <w:lang w:val="af-ZA"/>
        </w:rPr>
      </w:pPr>
      <w:r w:rsidRPr="00C33773">
        <w:rPr>
          <w:noProof/>
          <w:szCs w:val="22"/>
          <w:lang w:val="hy-AM"/>
        </w:rPr>
        <w:t>Կինեմատոգրաֆիայի</w:t>
      </w:r>
      <w:r w:rsidRPr="00C33773">
        <w:rPr>
          <w:noProof/>
          <w:szCs w:val="22"/>
          <w:lang w:val="af-ZA"/>
        </w:rPr>
        <w:t xml:space="preserve"> </w:t>
      </w:r>
      <w:r w:rsidRPr="00C33773">
        <w:rPr>
          <w:noProof/>
          <w:szCs w:val="22"/>
          <w:lang w:val="hy-AM"/>
        </w:rPr>
        <w:t>ծրագրի</w:t>
      </w:r>
      <w:r w:rsidRPr="00C33773">
        <w:rPr>
          <w:b w:val="0"/>
          <w:noProof/>
          <w:szCs w:val="22"/>
          <w:lang w:val="af-ZA"/>
        </w:rPr>
        <w:t xml:space="preserve"> </w:t>
      </w:r>
      <w:r w:rsidRPr="00C33773">
        <w:rPr>
          <w:b w:val="0"/>
          <w:noProof/>
          <w:szCs w:val="22"/>
          <w:lang w:val="hy-AM"/>
        </w:rPr>
        <w:t>նպատակն</w:t>
      </w:r>
      <w:r w:rsidRPr="00C33773">
        <w:rPr>
          <w:b w:val="0"/>
          <w:noProof/>
          <w:szCs w:val="22"/>
          <w:lang w:val="af-ZA"/>
        </w:rPr>
        <w:t xml:space="preserve"> </w:t>
      </w:r>
      <w:r w:rsidRPr="00C33773">
        <w:rPr>
          <w:b w:val="0"/>
          <w:noProof/>
          <w:szCs w:val="22"/>
          <w:lang w:val="hy-AM"/>
        </w:rPr>
        <w:t>է</w:t>
      </w:r>
      <w:r w:rsidRPr="00C33773">
        <w:rPr>
          <w:b w:val="0"/>
          <w:noProof/>
          <w:szCs w:val="22"/>
          <w:lang w:val="af-ZA"/>
        </w:rPr>
        <w:t xml:space="preserve"> </w:t>
      </w:r>
      <w:r w:rsidRPr="00C33773">
        <w:rPr>
          <w:b w:val="0"/>
          <w:noProof/>
          <w:szCs w:val="22"/>
          <w:lang w:val="hy-AM"/>
        </w:rPr>
        <w:t>աջակցել</w:t>
      </w:r>
      <w:r w:rsidRPr="00C33773">
        <w:rPr>
          <w:b w:val="0"/>
          <w:noProof/>
          <w:szCs w:val="22"/>
          <w:lang w:val="af-ZA"/>
        </w:rPr>
        <w:t xml:space="preserve"> </w:t>
      </w:r>
      <w:r w:rsidRPr="00C33773">
        <w:rPr>
          <w:b w:val="0"/>
          <w:noProof/>
          <w:szCs w:val="22"/>
          <w:lang w:val="hy-AM"/>
        </w:rPr>
        <w:t>կինոարվեստի</w:t>
      </w:r>
      <w:r w:rsidRPr="00C33773">
        <w:rPr>
          <w:b w:val="0"/>
          <w:noProof/>
          <w:szCs w:val="22"/>
          <w:lang w:val="af-ZA"/>
        </w:rPr>
        <w:t xml:space="preserve"> </w:t>
      </w:r>
      <w:r w:rsidRPr="00C33773">
        <w:rPr>
          <w:b w:val="0"/>
          <w:noProof/>
          <w:szCs w:val="22"/>
          <w:lang w:val="hy-AM"/>
        </w:rPr>
        <w:t>և</w:t>
      </w:r>
      <w:r w:rsidRPr="00C33773">
        <w:rPr>
          <w:b w:val="0"/>
          <w:noProof/>
          <w:szCs w:val="22"/>
          <w:lang w:val="af-ZA"/>
        </w:rPr>
        <w:t xml:space="preserve"> </w:t>
      </w:r>
      <w:r w:rsidRPr="00C33773">
        <w:rPr>
          <w:b w:val="0"/>
          <w:noProof/>
          <w:szCs w:val="22"/>
          <w:lang w:val="hy-AM"/>
        </w:rPr>
        <w:t>կինոարտադրության</w:t>
      </w:r>
      <w:r w:rsidRPr="00C33773">
        <w:rPr>
          <w:b w:val="0"/>
          <w:noProof/>
          <w:szCs w:val="22"/>
          <w:lang w:val="af-ZA"/>
        </w:rPr>
        <w:t xml:space="preserve"> </w:t>
      </w:r>
      <w:r w:rsidRPr="00C33773">
        <w:rPr>
          <w:b w:val="0"/>
          <w:noProof/>
          <w:szCs w:val="22"/>
          <w:lang w:val="hy-AM"/>
        </w:rPr>
        <w:t>զարգացմանը</w:t>
      </w:r>
      <w:r w:rsidRPr="00C33773">
        <w:rPr>
          <w:b w:val="0"/>
          <w:noProof/>
          <w:szCs w:val="22"/>
          <w:lang w:val="af-ZA"/>
        </w:rPr>
        <w:t xml:space="preserve">, </w:t>
      </w:r>
      <w:r w:rsidRPr="00C33773">
        <w:rPr>
          <w:b w:val="0"/>
          <w:noProof/>
          <w:szCs w:val="22"/>
          <w:lang w:val="hy-AM"/>
        </w:rPr>
        <w:t>հայկական</w:t>
      </w:r>
      <w:r w:rsidRPr="00C33773">
        <w:rPr>
          <w:b w:val="0"/>
          <w:noProof/>
          <w:szCs w:val="22"/>
          <w:lang w:val="af-ZA"/>
        </w:rPr>
        <w:t xml:space="preserve"> </w:t>
      </w:r>
      <w:r w:rsidRPr="00C33773">
        <w:rPr>
          <w:b w:val="0"/>
          <w:noProof/>
          <w:szCs w:val="22"/>
          <w:lang w:val="hy-AM"/>
        </w:rPr>
        <w:t>ավանդույթների</w:t>
      </w:r>
      <w:r w:rsidRPr="00C33773">
        <w:rPr>
          <w:b w:val="0"/>
          <w:noProof/>
          <w:szCs w:val="22"/>
          <w:lang w:val="af-ZA"/>
        </w:rPr>
        <w:t xml:space="preserve"> </w:t>
      </w:r>
      <w:r w:rsidRPr="00C33773">
        <w:rPr>
          <w:b w:val="0"/>
          <w:noProof/>
          <w:szCs w:val="22"/>
          <w:lang w:val="hy-AM"/>
        </w:rPr>
        <w:t>շարունակականության</w:t>
      </w:r>
      <w:r w:rsidRPr="00C33773">
        <w:rPr>
          <w:b w:val="0"/>
          <w:noProof/>
          <w:szCs w:val="22"/>
          <w:lang w:val="af-ZA"/>
        </w:rPr>
        <w:t xml:space="preserve"> </w:t>
      </w:r>
      <w:r w:rsidRPr="00C33773">
        <w:rPr>
          <w:b w:val="0"/>
          <w:noProof/>
          <w:szCs w:val="22"/>
          <w:lang w:val="hy-AM"/>
        </w:rPr>
        <w:t>ապահովմանը</w:t>
      </w:r>
      <w:r w:rsidRPr="00C33773">
        <w:rPr>
          <w:b w:val="0"/>
          <w:noProof/>
          <w:szCs w:val="22"/>
          <w:lang w:val="af-ZA"/>
        </w:rPr>
        <w:t xml:space="preserve"> </w:t>
      </w:r>
      <w:r w:rsidRPr="00C33773">
        <w:rPr>
          <w:b w:val="0"/>
          <w:noProof/>
          <w:szCs w:val="22"/>
          <w:lang w:val="hy-AM"/>
        </w:rPr>
        <w:t>և</w:t>
      </w:r>
      <w:r w:rsidRPr="00C33773">
        <w:rPr>
          <w:b w:val="0"/>
          <w:noProof/>
          <w:szCs w:val="22"/>
          <w:lang w:val="af-ZA"/>
        </w:rPr>
        <w:t xml:space="preserve"> </w:t>
      </w:r>
      <w:r w:rsidRPr="00C33773">
        <w:rPr>
          <w:b w:val="0"/>
          <w:noProof/>
          <w:szCs w:val="22"/>
          <w:lang w:val="hy-AM"/>
        </w:rPr>
        <w:t>կինոարվեստի</w:t>
      </w:r>
      <w:r w:rsidRPr="00C33773">
        <w:rPr>
          <w:b w:val="0"/>
          <w:noProof/>
          <w:szCs w:val="22"/>
          <w:lang w:val="af-ZA"/>
        </w:rPr>
        <w:t xml:space="preserve"> </w:t>
      </w:r>
      <w:r w:rsidRPr="00C33773">
        <w:rPr>
          <w:b w:val="0"/>
          <w:noProof/>
          <w:szCs w:val="22"/>
          <w:lang w:val="hy-AM"/>
        </w:rPr>
        <w:t>հանրահռչակմանը</w:t>
      </w:r>
      <w:r w:rsidRPr="00C33773">
        <w:rPr>
          <w:b w:val="0"/>
          <w:noProof/>
          <w:szCs w:val="22"/>
          <w:lang w:val="af-ZA"/>
        </w:rPr>
        <w:t>:</w:t>
      </w:r>
    </w:p>
    <w:p w14:paraId="5ABDCE5B"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rPr>
        <w:t>Կինեմատոգրաֆիայի</w:t>
      </w:r>
      <w:r w:rsidRPr="00C33773">
        <w:rPr>
          <w:b w:val="0"/>
          <w:noProof/>
          <w:szCs w:val="22"/>
          <w:lang w:val="af-ZA"/>
        </w:rPr>
        <w:t xml:space="preserve"> </w:t>
      </w:r>
      <w:r w:rsidRPr="00C33773">
        <w:rPr>
          <w:b w:val="0"/>
          <w:noProof/>
          <w:szCs w:val="22"/>
        </w:rPr>
        <w:t>ծրագրի</w:t>
      </w:r>
      <w:r w:rsidRPr="00C33773">
        <w:rPr>
          <w:b w:val="0"/>
          <w:noProof/>
          <w:szCs w:val="22"/>
          <w:lang w:val="af-ZA"/>
        </w:rPr>
        <w:t xml:space="preserve"> </w:t>
      </w:r>
      <w:r w:rsidRPr="00C33773">
        <w:rPr>
          <w:b w:val="0"/>
          <w:noProof/>
          <w:szCs w:val="22"/>
        </w:rPr>
        <w:t>համար</w:t>
      </w:r>
      <w:r w:rsidRPr="00C33773">
        <w:rPr>
          <w:b w:val="0"/>
          <w:noProof/>
          <w:szCs w:val="22"/>
          <w:lang w:val="af-ZA"/>
        </w:rPr>
        <w:t xml:space="preserve"> 2024 թվականին </w:t>
      </w:r>
      <w:r w:rsidRPr="00C33773">
        <w:rPr>
          <w:b w:val="0"/>
          <w:noProof/>
          <w:szCs w:val="22"/>
        </w:rPr>
        <w:t>նախատեսվում</w:t>
      </w:r>
      <w:r w:rsidRPr="00C33773">
        <w:rPr>
          <w:b w:val="0"/>
          <w:noProof/>
          <w:szCs w:val="22"/>
          <w:lang w:val="af-ZA"/>
        </w:rPr>
        <w:t xml:space="preserve"> </w:t>
      </w:r>
      <w:r w:rsidRPr="00C33773">
        <w:rPr>
          <w:b w:val="0"/>
          <w:noProof/>
          <w:szCs w:val="22"/>
        </w:rPr>
        <w:t>է</w:t>
      </w:r>
      <w:r w:rsidRPr="00C33773">
        <w:rPr>
          <w:b w:val="0"/>
          <w:noProof/>
          <w:szCs w:val="22"/>
          <w:lang w:val="af-ZA"/>
        </w:rPr>
        <w:t xml:space="preserve"> </w:t>
      </w:r>
      <w:r w:rsidRPr="00C33773">
        <w:rPr>
          <w:b w:val="0"/>
          <w:noProof/>
          <w:szCs w:val="22"/>
        </w:rPr>
        <w:t>հատկացնել</w:t>
      </w:r>
      <w:r w:rsidRPr="00C33773">
        <w:rPr>
          <w:b w:val="0"/>
          <w:noProof/>
          <w:szCs w:val="22"/>
          <w:lang w:val="af-ZA"/>
        </w:rPr>
        <w:t xml:space="preserve"> </w:t>
      </w:r>
      <w:r w:rsidRPr="00C33773">
        <w:rPr>
          <w:b w:val="0"/>
          <w:noProof/>
          <w:szCs w:val="22"/>
          <w:lang w:val="hy-AM"/>
        </w:rPr>
        <w:t>849</w:t>
      </w:r>
      <w:r w:rsidRPr="00C33773">
        <w:rPr>
          <w:b w:val="0"/>
          <w:noProof/>
          <w:szCs w:val="22"/>
          <w:lang w:val="af-ZA"/>
        </w:rPr>
        <w:t>.</w:t>
      </w:r>
      <w:r w:rsidRPr="00C33773">
        <w:rPr>
          <w:b w:val="0"/>
          <w:noProof/>
          <w:szCs w:val="22"/>
          <w:lang w:val="hy-AM"/>
        </w:rPr>
        <w:t>7</w:t>
      </w:r>
      <w:r w:rsidRPr="00C33773">
        <w:rPr>
          <w:b w:val="0"/>
          <w:noProof/>
          <w:szCs w:val="22"/>
          <w:lang w:val="af-ZA"/>
        </w:rPr>
        <w:t xml:space="preserve"> </w:t>
      </w:r>
      <w:r w:rsidRPr="00C33773">
        <w:rPr>
          <w:b w:val="0"/>
          <w:noProof/>
          <w:szCs w:val="22"/>
        </w:rPr>
        <w:t>մլն</w:t>
      </w:r>
      <w:r w:rsidRPr="00C33773">
        <w:rPr>
          <w:b w:val="0"/>
          <w:noProof/>
          <w:szCs w:val="22"/>
          <w:lang w:val="af-ZA"/>
        </w:rPr>
        <w:t xml:space="preserve"> </w:t>
      </w:r>
      <w:r w:rsidRPr="00C33773">
        <w:rPr>
          <w:b w:val="0"/>
          <w:noProof/>
          <w:szCs w:val="22"/>
        </w:rPr>
        <w:t>դրամ</w:t>
      </w:r>
      <w:r w:rsidRPr="00C33773">
        <w:rPr>
          <w:b w:val="0"/>
          <w:noProof/>
          <w:szCs w:val="22"/>
          <w:lang w:val="af-ZA"/>
        </w:rPr>
        <w:t xml:space="preserve">: </w:t>
      </w:r>
    </w:p>
    <w:p w14:paraId="3EA24F87" w14:textId="1B6DDFD6" w:rsidR="00104AA3" w:rsidRPr="00C33773" w:rsidRDefault="00104AA3" w:rsidP="00AC1E1E">
      <w:pPr>
        <w:numPr>
          <w:ilvl w:val="12"/>
          <w:numId w:val="0"/>
        </w:numPr>
        <w:tabs>
          <w:tab w:val="left" w:pos="851"/>
        </w:tabs>
        <w:rPr>
          <w:b w:val="0"/>
          <w:noProof/>
          <w:szCs w:val="22"/>
          <w:lang w:val="af-ZA"/>
        </w:rPr>
      </w:pPr>
      <w:r w:rsidRPr="00C33773">
        <w:rPr>
          <w:b w:val="0"/>
          <w:noProof/>
          <w:szCs w:val="22"/>
        </w:rPr>
        <w:t>Ծրագրի</w:t>
      </w:r>
      <w:r w:rsidRPr="00C33773">
        <w:rPr>
          <w:b w:val="0"/>
          <w:noProof/>
          <w:szCs w:val="22"/>
          <w:lang w:val="af-ZA"/>
        </w:rPr>
        <w:t xml:space="preserve"> </w:t>
      </w:r>
      <w:r w:rsidRPr="00C33773">
        <w:rPr>
          <w:b w:val="0"/>
          <w:noProof/>
          <w:szCs w:val="22"/>
        </w:rPr>
        <w:t>շրջանակներում</w:t>
      </w:r>
      <w:r w:rsidRPr="00C33773">
        <w:rPr>
          <w:b w:val="0"/>
          <w:noProof/>
          <w:szCs w:val="22"/>
          <w:lang w:val="af-ZA"/>
        </w:rPr>
        <w:t xml:space="preserve"> </w:t>
      </w:r>
      <w:r w:rsidRPr="00C33773">
        <w:rPr>
          <w:b w:val="0"/>
          <w:noProof/>
          <w:szCs w:val="22"/>
        </w:rPr>
        <w:t>հատկացումներն</w:t>
      </w:r>
      <w:r w:rsidRPr="00C33773">
        <w:rPr>
          <w:b w:val="0"/>
          <w:noProof/>
          <w:szCs w:val="22"/>
          <w:lang w:val="af-ZA"/>
        </w:rPr>
        <w:t xml:space="preserve"> </w:t>
      </w:r>
      <w:r w:rsidRPr="00C33773">
        <w:rPr>
          <w:b w:val="0"/>
          <w:noProof/>
          <w:szCs w:val="22"/>
        </w:rPr>
        <w:t>ուղղվելու</w:t>
      </w:r>
      <w:r w:rsidRPr="00C33773">
        <w:rPr>
          <w:b w:val="0"/>
          <w:noProof/>
          <w:szCs w:val="22"/>
          <w:lang w:val="af-ZA"/>
        </w:rPr>
        <w:t xml:space="preserve"> </w:t>
      </w:r>
      <w:r w:rsidRPr="00C33773">
        <w:rPr>
          <w:b w:val="0"/>
          <w:noProof/>
          <w:szCs w:val="22"/>
        </w:rPr>
        <w:t>են</w:t>
      </w:r>
      <w:r w:rsidRPr="00C33773">
        <w:rPr>
          <w:b w:val="0"/>
          <w:noProof/>
          <w:szCs w:val="22"/>
          <w:lang w:val="af-ZA"/>
        </w:rPr>
        <w:t xml:space="preserve"> </w:t>
      </w:r>
      <w:r w:rsidRPr="00C33773">
        <w:rPr>
          <w:b w:val="0"/>
          <w:noProof/>
          <w:szCs w:val="22"/>
        </w:rPr>
        <w:t>ֆիլմերի</w:t>
      </w:r>
      <w:r w:rsidRPr="00C33773">
        <w:rPr>
          <w:b w:val="0"/>
          <w:noProof/>
          <w:szCs w:val="22"/>
          <w:lang w:val="af-ZA"/>
        </w:rPr>
        <w:t xml:space="preserve"> </w:t>
      </w:r>
      <w:r w:rsidRPr="00C33773">
        <w:rPr>
          <w:b w:val="0"/>
          <w:noProof/>
          <w:szCs w:val="22"/>
        </w:rPr>
        <w:t>արտադրությանը</w:t>
      </w:r>
      <w:r w:rsidRPr="00C33773">
        <w:rPr>
          <w:b w:val="0"/>
          <w:noProof/>
          <w:szCs w:val="22"/>
          <w:lang w:val="af-ZA"/>
        </w:rPr>
        <w:t xml:space="preserve">, </w:t>
      </w:r>
      <w:r w:rsidRPr="00C33773">
        <w:rPr>
          <w:b w:val="0"/>
          <w:noProof/>
          <w:szCs w:val="22"/>
        </w:rPr>
        <w:t>կինո</w:t>
      </w:r>
      <w:r w:rsidRPr="00C33773">
        <w:rPr>
          <w:b w:val="0"/>
          <w:noProof/>
          <w:szCs w:val="22"/>
          <w:lang w:val="af-ZA"/>
        </w:rPr>
        <w:t>-</w:t>
      </w:r>
      <w:r w:rsidRPr="00C33773">
        <w:rPr>
          <w:b w:val="0"/>
          <w:noProof/>
          <w:szCs w:val="22"/>
        </w:rPr>
        <w:t>ֆոտո</w:t>
      </w:r>
      <w:r w:rsidRPr="00C33773">
        <w:rPr>
          <w:b w:val="0"/>
          <w:noProof/>
          <w:szCs w:val="22"/>
          <w:lang w:val="af-ZA"/>
        </w:rPr>
        <w:t>-</w:t>
      </w:r>
      <w:r w:rsidRPr="00C33773">
        <w:rPr>
          <w:b w:val="0"/>
          <w:noProof/>
          <w:szCs w:val="22"/>
        </w:rPr>
        <w:t>ֆոնո</w:t>
      </w:r>
      <w:r w:rsidRPr="00C33773">
        <w:rPr>
          <w:b w:val="0"/>
          <w:noProof/>
          <w:szCs w:val="22"/>
          <w:lang w:val="af-ZA"/>
        </w:rPr>
        <w:t xml:space="preserve"> </w:t>
      </w:r>
      <w:r w:rsidRPr="00C33773">
        <w:rPr>
          <w:b w:val="0"/>
          <w:noProof/>
          <w:szCs w:val="22"/>
        </w:rPr>
        <w:t>հավաքածուի</w:t>
      </w:r>
      <w:r w:rsidRPr="00C33773">
        <w:rPr>
          <w:b w:val="0"/>
          <w:noProof/>
          <w:szCs w:val="22"/>
          <w:lang w:val="af-ZA"/>
        </w:rPr>
        <w:t xml:space="preserve"> </w:t>
      </w:r>
      <w:r w:rsidRPr="00C33773">
        <w:rPr>
          <w:b w:val="0"/>
          <w:noProof/>
          <w:szCs w:val="22"/>
        </w:rPr>
        <w:t>պահպանմանը</w:t>
      </w:r>
      <w:r w:rsidRPr="00C33773">
        <w:rPr>
          <w:b w:val="0"/>
          <w:noProof/>
          <w:szCs w:val="22"/>
          <w:lang w:val="af-ZA"/>
        </w:rPr>
        <w:t xml:space="preserve">, </w:t>
      </w:r>
      <w:r w:rsidRPr="00C33773">
        <w:rPr>
          <w:b w:val="0"/>
          <w:noProof/>
          <w:szCs w:val="22"/>
        </w:rPr>
        <w:t>թվայնացմանը</w:t>
      </w:r>
      <w:r w:rsidRPr="00C33773">
        <w:rPr>
          <w:b w:val="0"/>
          <w:noProof/>
          <w:szCs w:val="22"/>
          <w:lang w:val="af-ZA"/>
        </w:rPr>
        <w:t xml:space="preserve">, կինոարվեստի նախագծերի,  </w:t>
      </w:r>
      <w:r w:rsidRPr="00C33773">
        <w:rPr>
          <w:b w:val="0"/>
          <w:noProof/>
          <w:szCs w:val="22"/>
        </w:rPr>
        <w:t>միջազգային</w:t>
      </w:r>
      <w:r w:rsidRPr="00C33773">
        <w:rPr>
          <w:b w:val="0"/>
          <w:noProof/>
          <w:szCs w:val="22"/>
          <w:lang w:val="af-ZA"/>
        </w:rPr>
        <w:t xml:space="preserve"> </w:t>
      </w:r>
      <w:r w:rsidRPr="00C33773">
        <w:rPr>
          <w:b w:val="0"/>
          <w:noProof/>
          <w:szCs w:val="22"/>
        </w:rPr>
        <w:t>կինո</w:t>
      </w:r>
      <w:r w:rsidRPr="00C33773">
        <w:rPr>
          <w:b w:val="0"/>
          <w:noProof/>
          <w:szCs w:val="22"/>
          <w:lang w:val="en-US"/>
        </w:rPr>
        <w:t>նախագծերին</w:t>
      </w:r>
      <w:r w:rsidRPr="00C33773">
        <w:rPr>
          <w:b w:val="0"/>
          <w:noProof/>
          <w:szCs w:val="22"/>
          <w:lang w:val="af-ZA"/>
        </w:rPr>
        <w:t xml:space="preserve"> </w:t>
      </w:r>
      <w:r w:rsidRPr="00C33773">
        <w:rPr>
          <w:b w:val="0"/>
          <w:noProof/>
          <w:szCs w:val="22"/>
          <w:lang w:val="en-US"/>
        </w:rPr>
        <w:t>մասնակցու</w:t>
      </w:r>
      <w:r w:rsidRPr="00C33773">
        <w:rPr>
          <w:b w:val="0"/>
          <w:noProof/>
          <w:szCs w:val="22"/>
        </w:rPr>
        <w:t>թյանը</w:t>
      </w:r>
      <w:r w:rsidRPr="00C33773">
        <w:rPr>
          <w:b w:val="0"/>
          <w:noProof/>
          <w:szCs w:val="22"/>
          <w:lang w:val="af-ZA"/>
        </w:rPr>
        <w:t xml:space="preserve"> (</w:t>
      </w:r>
      <w:r w:rsidRPr="00C33773">
        <w:rPr>
          <w:b w:val="0"/>
          <w:noProof/>
          <w:szCs w:val="22"/>
        </w:rPr>
        <w:t>նոր</w:t>
      </w:r>
      <w:r w:rsidRPr="00C33773">
        <w:rPr>
          <w:b w:val="0"/>
          <w:noProof/>
          <w:szCs w:val="22"/>
          <w:lang w:val="af-ZA"/>
        </w:rPr>
        <w:t xml:space="preserve"> և շարունակվող </w:t>
      </w:r>
      <w:r w:rsidRPr="00C33773">
        <w:rPr>
          <w:b w:val="0"/>
          <w:noProof/>
          <w:szCs w:val="22"/>
        </w:rPr>
        <w:t>կինոնկարների</w:t>
      </w:r>
      <w:r w:rsidRPr="00C33773">
        <w:rPr>
          <w:b w:val="0"/>
          <w:noProof/>
          <w:szCs w:val="22"/>
          <w:lang w:val="af-ZA"/>
        </w:rPr>
        <w:t xml:space="preserve"> </w:t>
      </w:r>
      <w:r w:rsidR="00AD04FC">
        <w:rPr>
          <w:b w:val="0"/>
          <w:noProof/>
          <w:szCs w:val="22"/>
          <w:lang w:val="hy-AM"/>
        </w:rPr>
        <w:t>թիվ</w:t>
      </w:r>
      <w:r w:rsidRPr="00C33773">
        <w:rPr>
          <w:b w:val="0"/>
          <w:noProof/>
          <w:szCs w:val="22"/>
        </w:rPr>
        <w:t>ը</w:t>
      </w:r>
      <w:r w:rsidRPr="00C33773">
        <w:rPr>
          <w:b w:val="0"/>
          <w:noProof/>
          <w:szCs w:val="22"/>
          <w:lang w:val="af-ZA"/>
        </w:rPr>
        <w:t xml:space="preserve"> </w:t>
      </w:r>
      <w:r w:rsidRPr="00C33773">
        <w:rPr>
          <w:b w:val="0"/>
          <w:noProof/>
          <w:szCs w:val="22"/>
        </w:rPr>
        <w:t>նախատեսվում</w:t>
      </w:r>
      <w:r w:rsidRPr="00C33773">
        <w:rPr>
          <w:b w:val="0"/>
          <w:noProof/>
          <w:szCs w:val="22"/>
          <w:lang w:val="af-ZA"/>
        </w:rPr>
        <w:t xml:space="preserve"> </w:t>
      </w:r>
      <w:r w:rsidRPr="00C33773">
        <w:rPr>
          <w:b w:val="0"/>
          <w:noProof/>
          <w:szCs w:val="22"/>
        </w:rPr>
        <w:t>է</w:t>
      </w:r>
      <w:r w:rsidRPr="00C33773">
        <w:rPr>
          <w:b w:val="0"/>
          <w:noProof/>
          <w:szCs w:val="22"/>
          <w:lang w:val="af-ZA"/>
        </w:rPr>
        <w:t xml:space="preserve"> 22, </w:t>
      </w:r>
      <w:r w:rsidRPr="00C33773">
        <w:rPr>
          <w:b w:val="0"/>
          <w:noProof/>
          <w:szCs w:val="22"/>
        </w:rPr>
        <w:t>միջազգային</w:t>
      </w:r>
      <w:r w:rsidRPr="00C33773">
        <w:rPr>
          <w:b w:val="0"/>
          <w:noProof/>
          <w:szCs w:val="22"/>
          <w:lang w:val="af-ZA"/>
        </w:rPr>
        <w:t xml:space="preserve"> </w:t>
      </w:r>
      <w:r w:rsidRPr="00C33773">
        <w:rPr>
          <w:b w:val="0"/>
          <w:noProof/>
          <w:szCs w:val="22"/>
          <w:lang w:val="hy-AM"/>
        </w:rPr>
        <w:t>կինոփառատոներին, կինոշուկաներին</w:t>
      </w:r>
      <w:r w:rsidRPr="001F6A37">
        <w:rPr>
          <w:b w:val="0"/>
          <w:noProof/>
          <w:szCs w:val="22"/>
          <w:lang w:val="af-ZA"/>
        </w:rPr>
        <w:t>,</w:t>
      </w:r>
      <w:r w:rsidRPr="00C33773">
        <w:rPr>
          <w:b w:val="0"/>
          <w:noProof/>
          <w:szCs w:val="22"/>
          <w:lang w:val="hy-AM"/>
        </w:rPr>
        <w:t xml:space="preserve"> </w:t>
      </w:r>
      <w:r w:rsidRPr="00C33773">
        <w:rPr>
          <w:b w:val="0"/>
          <w:noProof/>
          <w:szCs w:val="22"/>
        </w:rPr>
        <w:t>կինոծրագրերի</w:t>
      </w:r>
      <w:r w:rsidRPr="00C33773">
        <w:rPr>
          <w:b w:val="0"/>
          <w:noProof/>
          <w:szCs w:val="22"/>
          <w:lang w:val="hy-AM"/>
        </w:rPr>
        <w:t>ն</w:t>
      </w:r>
      <w:r w:rsidRPr="00C33773">
        <w:rPr>
          <w:b w:val="0"/>
          <w:noProof/>
          <w:szCs w:val="22"/>
          <w:lang w:val="af-ZA"/>
        </w:rPr>
        <w:t xml:space="preserve"> </w:t>
      </w:r>
      <w:r w:rsidRPr="00C33773">
        <w:rPr>
          <w:b w:val="0"/>
          <w:noProof/>
          <w:szCs w:val="22"/>
        </w:rPr>
        <w:t>մասնակցության</w:t>
      </w:r>
      <w:r w:rsidRPr="00C33773">
        <w:rPr>
          <w:b w:val="0"/>
          <w:noProof/>
          <w:szCs w:val="22"/>
          <w:lang w:val="af-ZA"/>
        </w:rPr>
        <w:t xml:space="preserve"> </w:t>
      </w:r>
      <w:r w:rsidR="00AD04FC">
        <w:rPr>
          <w:b w:val="0"/>
          <w:noProof/>
          <w:szCs w:val="22"/>
          <w:lang w:val="hy-AM"/>
        </w:rPr>
        <w:t>թիվ</w:t>
      </w:r>
      <w:r w:rsidRPr="00C33773">
        <w:rPr>
          <w:b w:val="0"/>
          <w:noProof/>
          <w:szCs w:val="22"/>
        </w:rPr>
        <w:t>ը՝</w:t>
      </w:r>
      <w:r w:rsidRPr="00C33773">
        <w:rPr>
          <w:b w:val="0"/>
          <w:noProof/>
          <w:szCs w:val="22"/>
          <w:lang w:val="af-ZA"/>
        </w:rPr>
        <w:t xml:space="preserve"> </w:t>
      </w:r>
      <w:r w:rsidR="0038797D">
        <w:rPr>
          <w:b w:val="0"/>
          <w:noProof/>
          <w:szCs w:val="22"/>
          <w:lang w:val="af-ZA"/>
        </w:rPr>
        <w:t>8</w:t>
      </w:r>
      <w:r w:rsidRPr="00C33773">
        <w:rPr>
          <w:b w:val="0"/>
          <w:noProof/>
          <w:szCs w:val="22"/>
          <w:lang w:val="af-ZA"/>
        </w:rPr>
        <w:t>):</w:t>
      </w:r>
    </w:p>
    <w:p w14:paraId="73D1B90B" w14:textId="77777777" w:rsidR="00104AA3" w:rsidRPr="00C33773" w:rsidRDefault="00104AA3" w:rsidP="00AC1E1E">
      <w:pPr>
        <w:numPr>
          <w:ilvl w:val="12"/>
          <w:numId w:val="0"/>
        </w:numPr>
        <w:tabs>
          <w:tab w:val="left" w:pos="851"/>
        </w:tabs>
        <w:rPr>
          <w:b w:val="0"/>
          <w:noProof/>
          <w:szCs w:val="22"/>
          <w:lang w:val="af-ZA"/>
        </w:rPr>
      </w:pPr>
      <w:r w:rsidRPr="00C33773">
        <w:rPr>
          <w:noProof/>
          <w:szCs w:val="22"/>
          <w:lang w:val="hy-AM"/>
        </w:rPr>
        <w:t>Մշակութային</w:t>
      </w:r>
      <w:r w:rsidRPr="00C33773">
        <w:rPr>
          <w:noProof/>
          <w:szCs w:val="22"/>
          <w:lang w:val="af-ZA"/>
        </w:rPr>
        <w:t xml:space="preserve"> </w:t>
      </w:r>
      <w:r w:rsidRPr="00C33773">
        <w:rPr>
          <w:noProof/>
          <w:szCs w:val="22"/>
          <w:lang w:val="hy-AM"/>
        </w:rPr>
        <w:t>ժառանգության</w:t>
      </w:r>
      <w:r w:rsidRPr="00C33773">
        <w:rPr>
          <w:noProof/>
          <w:szCs w:val="22"/>
          <w:lang w:val="af-ZA"/>
        </w:rPr>
        <w:t xml:space="preserve"> </w:t>
      </w:r>
      <w:r w:rsidRPr="00C33773">
        <w:rPr>
          <w:b w:val="0"/>
          <w:noProof/>
          <w:szCs w:val="22"/>
          <w:lang w:val="hy-AM"/>
        </w:rPr>
        <w:t>ծրագրի նպատակն</w:t>
      </w:r>
      <w:r w:rsidRPr="00C33773">
        <w:rPr>
          <w:b w:val="0"/>
          <w:noProof/>
          <w:szCs w:val="22"/>
          <w:lang w:val="af-ZA"/>
        </w:rPr>
        <w:t xml:space="preserve"> </w:t>
      </w:r>
      <w:r w:rsidRPr="00C33773">
        <w:rPr>
          <w:b w:val="0"/>
          <w:noProof/>
          <w:szCs w:val="22"/>
          <w:lang w:val="hy-AM"/>
        </w:rPr>
        <w:t>է</w:t>
      </w:r>
      <w:r w:rsidRPr="00C33773">
        <w:rPr>
          <w:b w:val="0"/>
          <w:noProof/>
          <w:szCs w:val="22"/>
          <w:lang w:val="af-ZA"/>
        </w:rPr>
        <w:t xml:space="preserve"> </w:t>
      </w:r>
      <w:r w:rsidRPr="00C33773">
        <w:rPr>
          <w:b w:val="0"/>
          <w:noProof/>
          <w:szCs w:val="22"/>
          <w:lang w:val="hy-AM"/>
        </w:rPr>
        <w:t>ապահովել</w:t>
      </w:r>
      <w:r w:rsidRPr="00C33773">
        <w:rPr>
          <w:b w:val="0"/>
          <w:noProof/>
          <w:szCs w:val="22"/>
          <w:lang w:val="af-ZA"/>
        </w:rPr>
        <w:t xml:space="preserve"> </w:t>
      </w:r>
      <w:r w:rsidRPr="00C33773">
        <w:rPr>
          <w:b w:val="0"/>
          <w:noProof/>
          <w:szCs w:val="22"/>
          <w:lang w:val="hy-AM"/>
        </w:rPr>
        <w:t>մշակութային</w:t>
      </w:r>
      <w:r w:rsidRPr="00C33773">
        <w:rPr>
          <w:b w:val="0"/>
          <w:noProof/>
          <w:szCs w:val="22"/>
          <w:lang w:val="af-ZA"/>
        </w:rPr>
        <w:t xml:space="preserve"> </w:t>
      </w:r>
      <w:r w:rsidRPr="00C33773">
        <w:rPr>
          <w:b w:val="0"/>
          <w:noProof/>
          <w:szCs w:val="22"/>
          <w:lang w:val="hy-AM"/>
        </w:rPr>
        <w:t>ժառանգության</w:t>
      </w:r>
      <w:r w:rsidRPr="00C33773">
        <w:rPr>
          <w:b w:val="0"/>
          <w:noProof/>
          <w:szCs w:val="22"/>
          <w:lang w:val="af-ZA"/>
        </w:rPr>
        <w:t xml:space="preserve"> </w:t>
      </w:r>
      <w:r w:rsidRPr="00C33773">
        <w:rPr>
          <w:b w:val="0"/>
          <w:noProof/>
          <w:szCs w:val="22"/>
          <w:lang w:val="hy-AM"/>
        </w:rPr>
        <w:t>պահպանումը</w:t>
      </w:r>
      <w:r w:rsidRPr="00C33773">
        <w:rPr>
          <w:b w:val="0"/>
          <w:noProof/>
          <w:szCs w:val="22"/>
          <w:lang w:val="af-ZA"/>
        </w:rPr>
        <w:t xml:space="preserve">, </w:t>
      </w:r>
      <w:r w:rsidRPr="00C33773">
        <w:rPr>
          <w:b w:val="0"/>
          <w:noProof/>
          <w:szCs w:val="22"/>
          <w:lang w:val="hy-AM"/>
        </w:rPr>
        <w:t>օգտագործումը</w:t>
      </w:r>
      <w:r w:rsidRPr="00C33773">
        <w:rPr>
          <w:b w:val="0"/>
          <w:noProof/>
          <w:szCs w:val="22"/>
          <w:lang w:val="af-ZA"/>
        </w:rPr>
        <w:t xml:space="preserve">, </w:t>
      </w:r>
      <w:r w:rsidRPr="00C33773">
        <w:rPr>
          <w:b w:val="0"/>
          <w:noProof/>
          <w:szCs w:val="22"/>
          <w:lang w:val="hy-AM"/>
        </w:rPr>
        <w:t>համալրումը</w:t>
      </w:r>
      <w:r w:rsidRPr="00C33773">
        <w:rPr>
          <w:b w:val="0"/>
          <w:noProof/>
          <w:szCs w:val="22"/>
          <w:lang w:val="af-ZA"/>
        </w:rPr>
        <w:t xml:space="preserve"> </w:t>
      </w:r>
      <w:r w:rsidRPr="00C33773">
        <w:rPr>
          <w:b w:val="0"/>
          <w:noProof/>
          <w:szCs w:val="22"/>
          <w:lang w:val="hy-AM"/>
        </w:rPr>
        <w:t>և</w:t>
      </w:r>
      <w:r w:rsidRPr="00C33773">
        <w:rPr>
          <w:b w:val="0"/>
          <w:noProof/>
          <w:szCs w:val="22"/>
          <w:lang w:val="af-ZA"/>
        </w:rPr>
        <w:t xml:space="preserve"> </w:t>
      </w:r>
      <w:r w:rsidRPr="00C33773">
        <w:rPr>
          <w:b w:val="0"/>
          <w:noProof/>
          <w:szCs w:val="22"/>
          <w:lang w:val="hy-AM"/>
        </w:rPr>
        <w:t>հանրահռչակումը</w:t>
      </w:r>
      <w:r w:rsidRPr="00C33773">
        <w:rPr>
          <w:b w:val="0"/>
          <w:noProof/>
          <w:szCs w:val="22"/>
          <w:lang w:val="af-ZA"/>
        </w:rPr>
        <w:t>:</w:t>
      </w:r>
    </w:p>
    <w:p w14:paraId="4FB4D461"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rPr>
        <w:t>Ծրագրի</w:t>
      </w:r>
      <w:r w:rsidRPr="00C33773">
        <w:rPr>
          <w:b w:val="0"/>
          <w:noProof/>
          <w:szCs w:val="22"/>
          <w:lang w:val="af-ZA"/>
        </w:rPr>
        <w:t xml:space="preserve"> </w:t>
      </w:r>
      <w:r w:rsidRPr="00C33773">
        <w:rPr>
          <w:b w:val="0"/>
          <w:noProof/>
          <w:szCs w:val="22"/>
        </w:rPr>
        <w:t>շրջանակներում</w:t>
      </w:r>
      <w:r w:rsidRPr="00C33773">
        <w:rPr>
          <w:b w:val="0"/>
          <w:noProof/>
          <w:szCs w:val="22"/>
          <w:lang w:val="af-ZA"/>
        </w:rPr>
        <w:t xml:space="preserve"> </w:t>
      </w:r>
      <w:r w:rsidRPr="00C33773">
        <w:rPr>
          <w:b w:val="0"/>
          <w:noProof/>
          <w:szCs w:val="22"/>
        </w:rPr>
        <w:t>հատկացումներն</w:t>
      </w:r>
      <w:r w:rsidRPr="00C33773">
        <w:rPr>
          <w:b w:val="0"/>
          <w:noProof/>
          <w:szCs w:val="22"/>
          <w:lang w:val="af-ZA"/>
        </w:rPr>
        <w:t xml:space="preserve"> </w:t>
      </w:r>
      <w:r w:rsidRPr="00C33773">
        <w:rPr>
          <w:b w:val="0"/>
          <w:noProof/>
          <w:szCs w:val="22"/>
        </w:rPr>
        <w:t>ուղղվելու</w:t>
      </w:r>
      <w:r w:rsidRPr="00C33773">
        <w:rPr>
          <w:b w:val="0"/>
          <w:noProof/>
          <w:szCs w:val="22"/>
          <w:lang w:val="af-ZA"/>
        </w:rPr>
        <w:t xml:space="preserve"> </w:t>
      </w:r>
      <w:r w:rsidRPr="00C33773">
        <w:rPr>
          <w:b w:val="0"/>
          <w:noProof/>
          <w:szCs w:val="22"/>
        </w:rPr>
        <w:t>են</w:t>
      </w:r>
      <w:r w:rsidRPr="00C33773">
        <w:rPr>
          <w:b w:val="0"/>
          <w:noProof/>
          <w:szCs w:val="22"/>
          <w:lang w:val="af-ZA"/>
        </w:rPr>
        <w:t xml:space="preserve"> </w:t>
      </w:r>
      <w:r w:rsidRPr="00C33773">
        <w:rPr>
          <w:b w:val="0"/>
          <w:noProof/>
          <w:szCs w:val="22"/>
        </w:rPr>
        <w:t>պատմամշակութային</w:t>
      </w:r>
      <w:r w:rsidRPr="00C33773">
        <w:rPr>
          <w:b w:val="0"/>
          <w:noProof/>
          <w:szCs w:val="22"/>
          <w:lang w:val="af-ZA"/>
        </w:rPr>
        <w:t xml:space="preserve"> </w:t>
      </w:r>
      <w:r w:rsidRPr="00C33773">
        <w:rPr>
          <w:b w:val="0"/>
          <w:noProof/>
          <w:szCs w:val="22"/>
        </w:rPr>
        <w:t>ժառանգության</w:t>
      </w:r>
      <w:r w:rsidRPr="00C33773">
        <w:rPr>
          <w:b w:val="0"/>
          <w:noProof/>
          <w:szCs w:val="22"/>
          <w:lang w:val="af-ZA"/>
        </w:rPr>
        <w:t xml:space="preserve"> </w:t>
      </w:r>
      <w:r w:rsidRPr="00C33773">
        <w:rPr>
          <w:b w:val="0"/>
          <w:noProof/>
          <w:szCs w:val="22"/>
        </w:rPr>
        <w:t>գիտահետազոտական</w:t>
      </w:r>
      <w:r w:rsidRPr="00C33773">
        <w:rPr>
          <w:b w:val="0"/>
          <w:noProof/>
          <w:szCs w:val="22"/>
          <w:lang w:val="af-ZA"/>
        </w:rPr>
        <w:t xml:space="preserve"> </w:t>
      </w:r>
      <w:r w:rsidRPr="00C33773">
        <w:rPr>
          <w:b w:val="0"/>
          <w:noProof/>
          <w:szCs w:val="22"/>
        </w:rPr>
        <w:t>աշխատանքների</w:t>
      </w:r>
      <w:r w:rsidRPr="00C33773">
        <w:rPr>
          <w:b w:val="0"/>
          <w:noProof/>
          <w:szCs w:val="22"/>
          <w:lang w:val="af-ZA"/>
        </w:rPr>
        <w:t xml:space="preserve">, </w:t>
      </w:r>
      <w:r w:rsidRPr="00C33773">
        <w:rPr>
          <w:b w:val="0"/>
          <w:noProof/>
          <w:szCs w:val="22"/>
        </w:rPr>
        <w:t>մշակութային</w:t>
      </w:r>
      <w:r w:rsidRPr="00C33773">
        <w:rPr>
          <w:b w:val="0"/>
          <w:noProof/>
          <w:szCs w:val="22"/>
          <w:lang w:val="af-ZA"/>
        </w:rPr>
        <w:t xml:space="preserve"> </w:t>
      </w:r>
      <w:r w:rsidRPr="00C33773">
        <w:rPr>
          <w:b w:val="0"/>
          <w:noProof/>
          <w:szCs w:val="22"/>
        </w:rPr>
        <w:t>արժեքների</w:t>
      </w:r>
      <w:r w:rsidRPr="00C33773">
        <w:rPr>
          <w:b w:val="0"/>
          <w:noProof/>
          <w:szCs w:val="22"/>
          <w:lang w:val="af-ZA"/>
        </w:rPr>
        <w:t xml:space="preserve"> </w:t>
      </w:r>
      <w:r w:rsidRPr="00C33773">
        <w:rPr>
          <w:b w:val="0"/>
          <w:noProof/>
          <w:szCs w:val="22"/>
        </w:rPr>
        <w:t>փորձաքննության</w:t>
      </w:r>
      <w:r w:rsidRPr="00C33773">
        <w:rPr>
          <w:b w:val="0"/>
          <w:noProof/>
          <w:szCs w:val="22"/>
          <w:lang w:val="af-ZA"/>
        </w:rPr>
        <w:t xml:space="preserve">, </w:t>
      </w:r>
      <w:r w:rsidRPr="00C33773">
        <w:rPr>
          <w:b w:val="0"/>
          <w:noProof/>
          <w:szCs w:val="22"/>
        </w:rPr>
        <w:t>թանգարանային</w:t>
      </w:r>
      <w:r w:rsidRPr="00C33773">
        <w:rPr>
          <w:b w:val="0"/>
          <w:noProof/>
          <w:szCs w:val="22"/>
          <w:lang w:val="af-ZA"/>
        </w:rPr>
        <w:t xml:space="preserve"> </w:t>
      </w:r>
      <w:r w:rsidRPr="00C33773">
        <w:rPr>
          <w:b w:val="0"/>
          <w:noProof/>
          <w:szCs w:val="22"/>
        </w:rPr>
        <w:t>ծառայությունների</w:t>
      </w:r>
      <w:r w:rsidRPr="00C33773">
        <w:rPr>
          <w:b w:val="0"/>
          <w:noProof/>
          <w:szCs w:val="22"/>
          <w:lang w:val="af-ZA"/>
        </w:rPr>
        <w:t xml:space="preserve"> </w:t>
      </w:r>
      <w:r w:rsidRPr="00C33773">
        <w:rPr>
          <w:b w:val="0"/>
          <w:noProof/>
          <w:szCs w:val="22"/>
        </w:rPr>
        <w:t>իրականացմանը</w:t>
      </w:r>
      <w:r w:rsidRPr="00C33773">
        <w:rPr>
          <w:b w:val="0"/>
          <w:noProof/>
          <w:szCs w:val="22"/>
          <w:lang w:val="af-ZA"/>
        </w:rPr>
        <w:t xml:space="preserve">, թանգարաններում էլեկտրոնային տոմսերի միասնական ավտոմատացված </w:t>
      </w:r>
      <w:r w:rsidRPr="00C33773">
        <w:rPr>
          <w:b w:val="0"/>
          <w:noProof/>
          <w:szCs w:val="22"/>
          <w:lang w:val="af-ZA"/>
        </w:rPr>
        <w:lastRenderedPageBreak/>
        <w:t xml:space="preserve">համակարգերի, մշակույթի զարգացման հիմնադրամի ստեղծմանը, </w:t>
      </w:r>
      <w:r w:rsidRPr="00C33773">
        <w:rPr>
          <w:b w:val="0"/>
          <w:noProof/>
          <w:szCs w:val="22"/>
        </w:rPr>
        <w:t>ՀՀ</w:t>
      </w:r>
      <w:r w:rsidRPr="00C33773">
        <w:rPr>
          <w:b w:val="0"/>
          <w:noProof/>
          <w:szCs w:val="22"/>
          <w:lang w:val="af-ZA"/>
        </w:rPr>
        <w:t xml:space="preserve"> </w:t>
      </w:r>
      <w:r w:rsidRPr="00C33773">
        <w:rPr>
          <w:b w:val="0"/>
          <w:noProof/>
          <w:szCs w:val="22"/>
        </w:rPr>
        <w:t>տարածքում</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օտարերկրյա</w:t>
      </w:r>
      <w:r w:rsidRPr="00C33773">
        <w:rPr>
          <w:b w:val="0"/>
          <w:noProof/>
          <w:szCs w:val="22"/>
          <w:lang w:val="af-ZA"/>
        </w:rPr>
        <w:t xml:space="preserve"> </w:t>
      </w:r>
      <w:r w:rsidRPr="00C33773">
        <w:rPr>
          <w:b w:val="0"/>
          <w:noProof/>
          <w:szCs w:val="22"/>
        </w:rPr>
        <w:t>պետություններում</w:t>
      </w:r>
      <w:r w:rsidRPr="00C33773">
        <w:rPr>
          <w:b w:val="0"/>
          <w:noProof/>
          <w:szCs w:val="22"/>
          <w:lang w:val="af-ZA"/>
        </w:rPr>
        <w:t xml:space="preserve"> </w:t>
      </w:r>
      <w:r w:rsidRPr="00C33773">
        <w:rPr>
          <w:b w:val="0"/>
          <w:noProof/>
          <w:szCs w:val="22"/>
        </w:rPr>
        <w:t>գտնվող</w:t>
      </w:r>
      <w:r w:rsidRPr="00C33773">
        <w:rPr>
          <w:b w:val="0"/>
          <w:noProof/>
          <w:szCs w:val="22"/>
          <w:lang w:val="af-ZA"/>
        </w:rPr>
        <w:t xml:space="preserve"> </w:t>
      </w:r>
      <w:r w:rsidRPr="00C33773">
        <w:rPr>
          <w:b w:val="0"/>
          <w:noProof/>
          <w:szCs w:val="22"/>
        </w:rPr>
        <w:t>հայ</w:t>
      </w:r>
      <w:r w:rsidRPr="00C33773">
        <w:rPr>
          <w:b w:val="0"/>
          <w:noProof/>
          <w:szCs w:val="22"/>
          <w:lang w:val="af-ZA"/>
        </w:rPr>
        <w:t xml:space="preserve"> </w:t>
      </w:r>
      <w:r w:rsidRPr="00C33773">
        <w:rPr>
          <w:b w:val="0"/>
          <w:noProof/>
          <w:szCs w:val="22"/>
        </w:rPr>
        <w:t>ճարտարապետության</w:t>
      </w:r>
      <w:r w:rsidRPr="00C33773">
        <w:rPr>
          <w:b w:val="0"/>
          <w:noProof/>
          <w:szCs w:val="22"/>
          <w:lang w:val="af-ZA"/>
        </w:rPr>
        <w:t xml:space="preserve">, </w:t>
      </w:r>
      <w:r w:rsidRPr="00C33773">
        <w:rPr>
          <w:b w:val="0"/>
          <w:noProof/>
          <w:szCs w:val="22"/>
        </w:rPr>
        <w:t>մշակույթին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պատմությանն</w:t>
      </w:r>
      <w:r w:rsidRPr="00C33773">
        <w:rPr>
          <w:b w:val="0"/>
          <w:noProof/>
          <w:szCs w:val="22"/>
          <w:lang w:val="af-ZA"/>
        </w:rPr>
        <w:t xml:space="preserve"> </w:t>
      </w:r>
      <w:r w:rsidRPr="00C33773">
        <w:rPr>
          <w:b w:val="0"/>
          <w:noProof/>
          <w:szCs w:val="22"/>
        </w:rPr>
        <w:t>առնչվող</w:t>
      </w:r>
      <w:r w:rsidRPr="00C33773">
        <w:rPr>
          <w:b w:val="0"/>
          <w:noProof/>
          <w:szCs w:val="22"/>
          <w:lang w:val="af-ZA"/>
        </w:rPr>
        <w:t xml:space="preserve"> </w:t>
      </w:r>
      <w:r w:rsidRPr="00C33773">
        <w:rPr>
          <w:b w:val="0"/>
          <w:noProof/>
          <w:szCs w:val="22"/>
        </w:rPr>
        <w:t>հուշարձանների</w:t>
      </w:r>
      <w:r w:rsidRPr="00C33773">
        <w:rPr>
          <w:b w:val="0"/>
          <w:noProof/>
          <w:szCs w:val="22"/>
          <w:lang w:val="af-ZA"/>
        </w:rPr>
        <w:t xml:space="preserve"> </w:t>
      </w:r>
      <w:r w:rsidRPr="00C33773">
        <w:rPr>
          <w:b w:val="0"/>
          <w:noProof/>
          <w:szCs w:val="22"/>
        </w:rPr>
        <w:t>ուսումնասիրմանը</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պահպանմանը</w:t>
      </w:r>
      <w:r w:rsidRPr="00C33773">
        <w:rPr>
          <w:b w:val="0"/>
          <w:noProof/>
          <w:szCs w:val="22"/>
          <w:lang w:val="af-ZA"/>
        </w:rPr>
        <w:t xml:space="preserve">, </w:t>
      </w:r>
      <w:r w:rsidRPr="00C33773">
        <w:rPr>
          <w:b w:val="0"/>
          <w:noProof/>
          <w:szCs w:val="22"/>
          <w:lang w:val="hy-AM"/>
        </w:rPr>
        <w:t>պ</w:t>
      </w:r>
      <w:r w:rsidRPr="00C33773">
        <w:rPr>
          <w:b w:val="0"/>
          <w:noProof/>
          <w:szCs w:val="22"/>
          <w:lang w:val="af-ZA"/>
        </w:rPr>
        <w:t>ատմության և մշակույթի անշարժ հուշարձանների հանրահռչակմ</w:t>
      </w:r>
      <w:r w:rsidRPr="00C33773">
        <w:rPr>
          <w:b w:val="0"/>
          <w:noProof/>
          <w:szCs w:val="22"/>
          <w:lang w:val="hy-AM"/>
        </w:rPr>
        <w:t>անը</w:t>
      </w:r>
      <w:r w:rsidRPr="00C33773">
        <w:rPr>
          <w:b w:val="0"/>
          <w:noProof/>
          <w:szCs w:val="22"/>
          <w:lang w:val="af-ZA"/>
        </w:rPr>
        <w:t xml:space="preserve"> միջազգային հարթակներում</w:t>
      </w:r>
      <w:r w:rsidRPr="00C33773">
        <w:rPr>
          <w:b w:val="0"/>
          <w:noProof/>
          <w:szCs w:val="22"/>
          <w:lang w:val="hy-AM"/>
        </w:rPr>
        <w:t xml:space="preserve">, </w:t>
      </w:r>
      <w:r w:rsidRPr="00C33773">
        <w:rPr>
          <w:b w:val="0"/>
          <w:noProof/>
          <w:szCs w:val="22"/>
        </w:rPr>
        <w:t>հուշարձանների</w:t>
      </w:r>
      <w:r w:rsidRPr="00C33773">
        <w:rPr>
          <w:b w:val="0"/>
          <w:noProof/>
          <w:szCs w:val="22"/>
          <w:lang w:val="af-ZA"/>
        </w:rPr>
        <w:t xml:space="preserve"> </w:t>
      </w:r>
      <w:r w:rsidRPr="00C33773">
        <w:rPr>
          <w:b w:val="0"/>
          <w:noProof/>
          <w:szCs w:val="22"/>
        </w:rPr>
        <w:t>ամրակայմանը</w:t>
      </w:r>
      <w:r w:rsidRPr="00C33773">
        <w:rPr>
          <w:b w:val="0"/>
          <w:noProof/>
          <w:szCs w:val="22"/>
          <w:lang w:val="af-ZA"/>
        </w:rPr>
        <w:t xml:space="preserve">, </w:t>
      </w:r>
      <w:r w:rsidRPr="00C33773">
        <w:rPr>
          <w:b w:val="0"/>
          <w:noProof/>
          <w:szCs w:val="22"/>
        </w:rPr>
        <w:t>նորոգմանը</w:t>
      </w:r>
      <w:r w:rsidRPr="00C33773">
        <w:rPr>
          <w:b w:val="0"/>
          <w:noProof/>
          <w:szCs w:val="22"/>
          <w:lang w:val="af-ZA"/>
        </w:rPr>
        <w:t xml:space="preserve">, </w:t>
      </w:r>
      <w:r w:rsidRPr="00C33773">
        <w:rPr>
          <w:b w:val="0"/>
          <w:noProof/>
          <w:szCs w:val="22"/>
        </w:rPr>
        <w:t>վերականգնմանը</w:t>
      </w:r>
      <w:r w:rsidRPr="00C33773">
        <w:rPr>
          <w:b w:val="0"/>
          <w:noProof/>
          <w:szCs w:val="22"/>
          <w:lang w:val="af-ZA"/>
        </w:rPr>
        <w:t>:</w:t>
      </w:r>
    </w:p>
    <w:p w14:paraId="674470F7"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rPr>
        <w:t>Մշակութային</w:t>
      </w:r>
      <w:r w:rsidRPr="00C33773">
        <w:rPr>
          <w:b w:val="0"/>
          <w:noProof/>
          <w:szCs w:val="22"/>
          <w:lang w:val="af-ZA"/>
        </w:rPr>
        <w:t xml:space="preserve"> </w:t>
      </w:r>
      <w:r w:rsidRPr="00C33773">
        <w:rPr>
          <w:b w:val="0"/>
          <w:noProof/>
          <w:szCs w:val="22"/>
        </w:rPr>
        <w:t>ժառանգության</w:t>
      </w:r>
      <w:r w:rsidRPr="00C33773">
        <w:rPr>
          <w:b w:val="0"/>
          <w:noProof/>
          <w:szCs w:val="22"/>
          <w:lang w:val="af-ZA"/>
        </w:rPr>
        <w:t xml:space="preserve"> </w:t>
      </w:r>
      <w:r w:rsidRPr="00C33773">
        <w:rPr>
          <w:b w:val="0"/>
          <w:noProof/>
          <w:szCs w:val="22"/>
        </w:rPr>
        <w:t>ծրագրի</w:t>
      </w:r>
      <w:r w:rsidRPr="00C33773">
        <w:rPr>
          <w:b w:val="0"/>
          <w:noProof/>
          <w:szCs w:val="22"/>
          <w:lang w:val="af-ZA"/>
        </w:rPr>
        <w:t xml:space="preserve"> </w:t>
      </w:r>
      <w:r w:rsidRPr="00C33773">
        <w:rPr>
          <w:b w:val="0"/>
          <w:noProof/>
          <w:szCs w:val="22"/>
        </w:rPr>
        <w:t>համար</w:t>
      </w:r>
      <w:r w:rsidRPr="00C33773">
        <w:rPr>
          <w:b w:val="0"/>
          <w:noProof/>
          <w:szCs w:val="22"/>
          <w:lang w:val="af-ZA"/>
        </w:rPr>
        <w:t xml:space="preserve"> 2024 թվականին </w:t>
      </w:r>
      <w:r w:rsidRPr="00C33773">
        <w:rPr>
          <w:b w:val="0"/>
          <w:noProof/>
          <w:szCs w:val="22"/>
        </w:rPr>
        <w:t>նախատեսվում</w:t>
      </w:r>
      <w:r w:rsidRPr="00C33773">
        <w:rPr>
          <w:b w:val="0"/>
          <w:noProof/>
          <w:szCs w:val="22"/>
          <w:lang w:val="af-ZA"/>
        </w:rPr>
        <w:t xml:space="preserve"> </w:t>
      </w:r>
      <w:r w:rsidRPr="00C33773">
        <w:rPr>
          <w:b w:val="0"/>
          <w:noProof/>
          <w:szCs w:val="22"/>
        </w:rPr>
        <w:t>է</w:t>
      </w:r>
      <w:r w:rsidRPr="00C33773">
        <w:rPr>
          <w:b w:val="0"/>
          <w:noProof/>
          <w:szCs w:val="22"/>
          <w:lang w:val="af-ZA"/>
        </w:rPr>
        <w:t xml:space="preserve"> </w:t>
      </w:r>
      <w:r w:rsidRPr="00C33773">
        <w:rPr>
          <w:b w:val="0"/>
          <w:noProof/>
          <w:szCs w:val="22"/>
        </w:rPr>
        <w:t>հատկացնել</w:t>
      </w:r>
      <w:r w:rsidRPr="00C33773">
        <w:rPr>
          <w:b w:val="0"/>
          <w:noProof/>
          <w:szCs w:val="22"/>
          <w:lang w:val="af-ZA"/>
        </w:rPr>
        <w:t xml:space="preserve"> 5,065.1 </w:t>
      </w:r>
      <w:r w:rsidRPr="00C33773">
        <w:rPr>
          <w:b w:val="0"/>
          <w:noProof/>
          <w:szCs w:val="22"/>
        </w:rPr>
        <w:t>մլն</w:t>
      </w:r>
      <w:r w:rsidRPr="00C33773">
        <w:rPr>
          <w:b w:val="0"/>
          <w:noProof/>
          <w:szCs w:val="22"/>
          <w:lang w:val="af-ZA"/>
        </w:rPr>
        <w:t xml:space="preserve"> </w:t>
      </w:r>
      <w:r w:rsidRPr="00C33773">
        <w:rPr>
          <w:b w:val="0"/>
          <w:noProof/>
          <w:szCs w:val="22"/>
        </w:rPr>
        <w:t>դրամ</w:t>
      </w:r>
      <w:r w:rsidRPr="00C33773">
        <w:rPr>
          <w:b w:val="0"/>
          <w:noProof/>
          <w:szCs w:val="22"/>
          <w:lang w:val="af-ZA"/>
        </w:rPr>
        <w:t xml:space="preserve">: </w:t>
      </w:r>
    </w:p>
    <w:p w14:paraId="47AEAADE" w14:textId="77777777" w:rsidR="00104AA3" w:rsidRPr="00C33773" w:rsidRDefault="00104AA3" w:rsidP="00AC1E1E">
      <w:pPr>
        <w:numPr>
          <w:ilvl w:val="12"/>
          <w:numId w:val="0"/>
        </w:numPr>
        <w:tabs>
          <w:tab w:val="left" w:pos="851"/>
        </w:tabs>
        <w:rPr>
          <w:b w:val="0"/>
          <w:noProof/>
          <w:szCs w:val="22"/>
          <w:lang w:val="af-ZA"/>
        </w:rPr>
      </w:pPr>
      <w:r w:rsidRPr="00C33773">
        <w:rPr>
          <w:noProof/>
          <w:szCs w:val="22"/>
          <w:lang w:val="hy-AM"/>
        </w:rPr>
        <w:t>Գրահրատարակչության</w:t>
      </w:r>
      <w:r w:rsidRPr="00C33773">
        <w:rPr>
          <w:noProof/>
          <w:szCs w:val="22"/>
          <w:lang w:val="af-ZA"/>
        </w:rPr>
        <w:t xml:space="preserve"> </w:t>
      </w:r>
      <w:r w:rsidRPr="00C33773">
        <w:rPr>
          <w:noProof/>
          <w:szCs w:val="22"/>
          <w:lang w:val="hy-AM"/>
        </w:rPr>
        <w:t>և</w:t>
      </w:r>
      <w:r w:rsidRPr="00C33773">
        <w:rPr>
          <w:noProof/>
          <w:szCs w:val="22"/>
          <w:lang w:val="af-ZA"/>
        </w:rPr>
        <w:t xml:space="preserve"> </w:t>
      </w:r>
      <w:r w:rsidRPr="00C33773">
        <w:rPr>
          <w:noProof/>
          <w:szCs w:val="22"/>
          <w:lang w:val="hy-AM"/>
        </w:rPr>
        <w:t>գրադարանների</w:t>
      </w:r>
      <w:r w:rsidRPr="00C33773">
        <w:rPr>
          <w:noProof/>
          <w:szCs w:val="22"/>
          <w:lang w:val="af-ZA"/>
        </w:rPr>
        <w:t xml:space="preserve"> </w:t>
      </w:r>
      <w:r w:rsidRPr="00C33773">
        <w:rPr>
          <w:b w:val="0"/>
          <w:noProof/>
          <w:szCs w:val="22"/>
          <w:lang w:val="hy-AM"/>
        </w:rPr>
        <w:t>ծրագրի</w:t>
      </w:r>
      <w:r w:rsidRPr="00C33773">
        <w:rPr>
          <w:b w:val="0"/>
          <w:noProof/>
          <w:szCs w:val="22"/>
          <w:lang w:val="af-ZA"/>
        </w:rPr>
        <w:t xml:space="preserve"> </w:t>
      </w:r>
      <w:r w:rsidRPr="00C33773">
        <w:rPr>
          <w:b w:val="0"/>
          <w:noProof/>
          <w:szCs w:val="22"/>
          <w:lang w:val="hy-AM"/>
        </w:rPr>
        <w:t>նպատակն</w:t>
      </w:r>
      <w:r w:rsidRPr="00C33773">
        <w:rPr>
          <w:b w:val="0"/>
          <w:noProof/>
          <w:szCs w:val="22"/>
          <w:lang w:val="af-ZA"/>
        </w:rPr>
        <w:t xml:space="preserve"> </w:t>
      </w:r>
      <w:r w:rsidRPr="00C33773">
        <w:rPr>
          <w:b w:val="0"/>
          <w:noProof/>
          <w:szCs w:val="22"/>
          <w:lang w:val="hy-AM"/>
        </w:rPr>
        <w:t>է</w:t>
      </w:r>
      <w:r w:rsidRPr="00C33773">
        <w:rPr>
          <w:b w:val="0"/>
          <w:noProof/>
          <w:szCs w:val="22"/>
          <w:lang w:val="af-ZA"/>
        </w:rPr>
        <w:t xml:space="preserve"> </w:t>
      </w:r>
      <w:r w:rsidRPr="00C33773">
        <w:rPr>
          <w:b w:val="0"/>
          <w:noProof/>
          <w:szCs w:val="22"/>
          <w:lang w:val="hy-AM"/>
        </w:rPr>
        <w:t>նպաստել</w:t>
      </w:r>
      <w:r w:rsidRPr="00C33773">
        <w:rPr>
          <w:b w:val="0"/>
          <w:noProof/>
          <w:szCs w:val="22"/>
          <w:lang w:val="af-ZA"/>
        </w:rPr>
        <w:t xml:space="preserve"> </w:t>
      </w:r>
      <w:r w:rsidRPr="00C33773">
        <w:rPr>
          <w:b w:val="0"/>
          <w:noProof/>
          <w:szCs w:val="22"/>
          <w:lang w:val="hy-AM"/>
        </w:rPr>
        <w:t>գրականության</w:t>
      </w:r>
      <w:r w:rsidRPr="00C33773">
        <w:rPr>
          <w:b w:val="0"/>
          <w:noProof/>
          <w:szCs w:val="22"/>
          <w:lang w:val="af-ZA"/>
        </w:rPr>
        <w:t xml:space="preserve"> </w:t>
      </w:r>
      <w:r w:rsidRPr="00C33773">
        <w:rPr>
          <w:b w:val="0"/>
          <w:noProof/>
          <w:szCs w:val="22"/>
          <w:lang w:val="hy-AM"/>
        </w:rPr>
        <w:t>հրատարակմանը</w:t>
      </w:r>
      <w:r w:rsidRPr="00C33773">
        <w:rPr>
          <w:b w:val="0"/>
          <w:noProof/>
          <w:szCs w:val="22"/>
          <w:lang w:val="af-ZA"/>
        </w:rPr>
        <w:t xml:space="preserve">, </w:t>
      </w:r>
      <w:r w:rsidRPr="00C33773">
        <w:rPr>
          <w:b w:val="0"/>
          <w:noProof/>
          <w:szCs w:val="22"/>
          <w:lang w:val="hy-AM"/>
        </w:rPr>
        <w:t>տարածմանը</w:t>
      </w:r>
      <w:r w:rsidRPr="00C33773">
        <w:rPr>
          <w:b w:val="0"/>
          <w:noProof/>
          <w:szCs w:val="22"/>
          <w:lang w:val="af-ZA"/>
        </w:rPr>
        <w:t xml:space="preserve"> </w:t>
      </w:r>
      <w:r w:rsidRPr="00C33773">
        <w:rPr>
          <w:b w:val="0"/>
          <w:noProof/>
          <w:szCs w:val="22"/>
          <w:lang w:val="hy-AM"/>
        </w:rPr>
        <w:t>և</w:t>
      </w:r>
      <w:r w:rsidRPr="00C33773">
        <w:rPr>
          <w:b w:val="0"/>
          <w:noProof/>
          <w:szCs w:val="22"/>
          <w:lang w:val="af-ZA"/>
        </w:rPr>
        <w:t xml:space="preserve"> </w:t>
      </w:r>
      <w:r w:rsidRPr="00C33773">
        <w:rPr>
          <w:b w:val="0"/>
          <w:noProof/>
          <w:szCs w:val="22"/>
          <w:lang w:val="hy-AM"/>
        </w:rPr>
        <w:t>հանրահռչակմանը</w:t>
      </w:r>
      <w:r w:rsidRPr="00C33773">
        <w:rPr>
          <w:b w:val="0"/>
          <w:noProof/>
          <w:szCs w:val="22"/>
          <w:lang w:val="af-ZA"/>
        </w:rPr>
        <w:t>:</w:t>
      </w:r>
    </w:p>
    <w:p w14:paraId="12DDD926" w14:textId="18FBFBAB" w:rsidR="00104AA3" w:rsidRPr="00C33773" w:rsidRDefault="00104AA3" w:rsidP="00AC1E1E">
      <w:pPr>
        <w:numPr>
          <w:ilvl w:val="12"/>
          <w:numId w:val="0"/>
        </w:numPr>
        <w:tabs>
          <w:tab w:val="left" w:pos="851"/>
        </w:tabs>
        <w:rPr>
          <w:b w:val="0"/>
          <w:noProof/>
          <w:szCs w:val="22"/>
          <w:lang w:val="af-ZA"/>
        </w:rPr>
      </w:pPr>
      <w:r w:rsidRPr="00C33773">
        <w:rPr>
          <w:b w:val="0"/>
          <w:noProof/>
          <w:szCs w:val="22"/>
        </w:rPr>
        <w:t>Ծրագրի</w:t>
      </w:r>
      <w:r w:rsidRPr="00C33773">
        <w:rPr>
          <w:b w:val="0"/>
          <w:noProof/>
          <w:szCs w:val="22"/>
          <w:lang w:val="af-ZA"/>
        </w:rPr>
        <w:t xml:space="preserve"> </w:t>
      </w:r>
      <w:r w:rsidRPr="00C33773">
        <w:rPr>
          <w:b w:val="0"/>
          <w:noProof/>
          <w:szCs w:val="22"/>
        </w:rPr>
        <w:t>շրջանակներում</w:t>
      </w:r>
      <w:r w:rsidRPr="00C33773">
        <w:rPr>
          <w:b w:val="0"/>
          <w:noProof/>
          <w:szCs w:val="22"/>
          <w:lang w:val="af-ZA"/>
        </w:rPr>
        <w:t xml:space="preserve"> </w:t>
      </w:r>
      <w:r w:rsidRPr="00C33773">
        <w:rPr>
          <w:b w:val="0"/>
          <w:noProof/>
          <w:szCs w:val="22"/>
        </w:rPr>
        <w:t>հատկացումներն</w:t>
      </w:r>
      <w:r w:rsidRPr="00C33773">
        <w:rPr>
          <w:b w:val="0"/>
          <w:noProof/>
          <w:szCs w:val="22"/>
          <w:lang w:val="af-ZA"/>
        </w:rPr>
        <w:t xml:space="preserve"> </w:t>
      </w:r>
      <w:r w:rsidRPr="00C33773">
        <w:rPr>
          <w:b w:val="0"/>
          <w:noProof/>
          <w:szCs w:val="22"/>
        </w:rPr>
        <w:t>ուղղվելու</w:t>
      </w:r>
      <w:r w:rsidRPr="00C33773">
        <w:rPr>
          <w:b w:val="0"/>
          <w:noProof/>
          <w:szCs w:val="22"/>
          <w:lang w:val="af-ZA"/>
        </w:rPr>
        <w:t xml:space="preserve"> </w:t>
      </w:r>
      <w:r w:rsidRPr="00C33773">
        <w:rPr>
          <w:b w:val="0"/>
          <w:noProof/>
          <w:szCs w:val="22"/>
        </w:rPr>
        <w:t>են</w:t>
      </w:r>
      <w:r w:rsidRPr="00C33773">
        <w:rPr>
          <w:b w:val="0"/>
          <w:noProof/>
          <w:szCs w:val="22"/>
          <w:lang w:val="af-ZA"/>
        </w:rPr>
        <w:t xml:space="preserve"> </w:t>
      </w:r>
      <w:r w:rsidRPr="00C33773">
        <w:rPr>
          <w:b w:val="0"/>
          <w:noProof/>
          <w:szCs w:val="22"/>
        </w:rPr>
        <w:t>թարգմանական</w:t>
      </w:r>
      <w:r w:rsidRPr="00C33773">
        <w:rPr>
          <w:b w:val="0"/>
          <w:noProof/>
          <w:szCs w:val="22"/>
          <w:lang w:val="af-ZA"/>
        </w:rPr>
        <w:t xml:space="preserve"> </w:t>
      </w:r>
      <w:r w:rsidRPr="00C33773">
        <w:rPr>
          <w:b w:val="0"/>
          <w:noProof/>
          <w:szCs w:val="22"/>
        </w:rPr>
        <w:t>ծրագրերին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ստեղծագործողներին</w:t>
      </w:r>
      <w:r w:rsidRPr="00C33773">
        <w:rPr>
          <w:b w:val="0"/>
          <w:noProof/>
          <w:szCs w:val="22"/>
          <w:lang w:val="af-ZA"/>
        </w:rPr>
        <w:t xml:space="preserve"> </w:t>
      </w:r>
      <w:r w:rsidRPr="00C33773">
        <w:rPr>
          <w:b w:val="0"/>
          <w:noProof/>
          <w:szCs w:val="22"/>
        </w:rPr>
        <w:t>աջակցմանը</w:t>
      </w:r>
      <w:r w:rsidRPr="00C33773">
        <w:rPr>
          <w:b w:val="0"/>
          <w:noProof/>
          <w:szCs w:val="22"/>
          <w:lang w:val="af-ZA"/>
        </w:rPr>
        <w:t xml:space="preserve">, </w:t>
      </w:r>
      <w:r w:rsidRPr="00C33773">
        <w:rPr>
          <w:b w:val="0"/>
          <w:noProof/>
          <w:szCs w:val="22"/>
        </w:rPr>
        <w:t>գրականության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ոչ</w:t>
      </w:r>
      <w:r w:rsidRPr="00C33773">
        <w:rPr>
          <w:b w:val="0"/>
          <w:noProof/>
          <w:szCs w:val="22"/>
          <w:lang w:val="af-ZA"/>
        </w:rPr>
        <w:t xml:space="preserve"> </w:t>
      </w:r>
      <w:r w:rsidRPr="00C33773">
        <w:rPr>
          <w:b w:val="0"/>
          <w:noProof/>
          <w:szCs w:val="22"/>
        </w:rPr>
        <w:t>պետական</w:t>
      </w:r>
      <w:r w:rsidRPr="00C33773">
        <w:rPr>
          <w:b w:val="0"/>
          <w:noProof/>
          <w:szCs w:val="22"/>
          <w:lang w:val="af-ZA"/>
        </w:rPr>
        <w:t xml:space="preserve"> </w:t>
      </w:r>
      <w:r w:rsidRPr="00C33773">
        <w:rPr>
          <w:b w:val="0"/>
          <w:noProof/>
          <w:szCs w:val="22"/>
        </w:rPr>
        <w:t>մամուլի</w:t>
      </w:r>
      <w:r w:rsidRPr="00C33773">
        <w:rPr>
          <w:b w:val="0"/>
          <w:noProof/>
          <w:szCs w:val="22"/>
          <w:lang w:val="af-ZA"/>
        </w:rPr>
        <w:t xml:space="preserve"> </w:t>
      </w:r>
      <w:r w:rsidRPr="00C33773">
        <w:rPr>
          <w:b w:val="0"/>
          <w:noProof/>
          <w:szCs w:val="22"/>
        </w:rPr>
        <w:t>հրատարակմանը</w:t>
      </w:r>
      <w:r w:rsidRPr="00C33773">
        <w:rPr>
          <w:b w:val="0"/>
          <w:noProof/>
          <w:szCs w:val="22"/>
          <w:lang w:val="af-ZA"/>
        </w:rPr>
        <w:t xml:space="preserve">, </w:t>
      </w:r>
      <w:r w:rsidRPr="00C33773">
        <w:rPr>
          <w:b w:val="0"/>
          <w:noProof/>
          <w:szCs w:val="22"/>
        </w:rPr>
        <w:t>գրադարանային</w:t>
      </w:r>
      <w:r w:rsidRPr="00C33773">
        <w:rPr>
          <w:b w:val="0"/>
          <w:noProof/>
          <w:szCs w:val="22"/>
          <w:lang w:val="af-ZA"/>
        </w:rPr>
        <w:t xml:space="preserve"> </w:t>
      </w:r>
      <w:r w:rsidRPr="00C33773">
        <w:rPr>
          <w:b w:val="0"/>
          <w:noProof/>
          <w:szCs w:val="22"/>
        </w:rPr>
        <w:t>ծառայությունների</w:t>
      </w:r>
      <w:r w:rsidRPr="00C33773">
        <w:rPr>
          <w:b w:val="0"/>
          <w:noProof/>
          <w:szCs w:val="22"/>
          <w:lang w:val="af-ZA"/>
        </w:rPr>
        <w:t xml:space="preserve"> </w:t>
      </w:r>
      <w:r w:rsidRPr="00C33773">
        <w:rPr>
          <w:b w:val="0"/>
          <w:noProof/>
          <w:szCs w:val="22"/>
        </w:rPr>
        <w:t>իրականացմանը</w:t>
      </w:r>
      <w:r w:rsidRPr="00C33773">
        <w:rPr>
          <w:b w:val="0"/>
          <w:noProof/>
          <w:szCs w:val="22"/>
          <w:lang w:val="af-ZA"/>
        </w:rPr>
        <w:t xml:space="preserve">, </w:t>
      </w:r>
      <w:r w:rsidRPr="00C33773">
        <w:rPr>
          <w:b w:val="0"/>
          <w:noProof/>
          <w:szCs w:val="22"/>
        </w:rPr>
        <w:t>գրականության</w:t>
      </w:r>
      <w:r w:rsidRPr="00C33773">
        <w:rPr>
          <w:b w:val="0"/>
          <w:noProof/>
          <w:szCs w:val="22"/>
          <w:lang w:val="af-ZA"/>
        </w:rPr>
        <w:t xml:space="preserve"> </w:t>
      </w:r>
      <w:r w:rsidRPr="00C33773">
        <w:rPr>
          <w:b w:val="0"/>
          <w:noProof/>
          <w:szCs w:val="22"/>
        </w:rPr>
        <w:t>հանրահռչակմանը</w:t>
      </w:r>
      <w:r w:rsidRPr="00C33773">
        <w:rPr>
          <w:b w:val="0"/>
          <w:noProof/>
          <w:szCs w:val="22"/>
          <w:lang w:val="af-ZA"/>
        </w:rPr>
        <w:t xml:space="preserve">, </w:t>
      </w:r>
      <w:r w:rsidRPr="00C33773">
        <w:rPr>
          <w:b w:val="0"/>
          <w:noProof/>
          <w:szCs w:val="22"/>
        </w:rPr>
        <w:t>գրական</w:t>
      </w:r>
      <w:r w:rsidRPr="00C33773">
        <w:rPr>
          <w:b w:val="0"/>
          <w:noProof/>
          <w:szCs w:val="22"/>
          <w:lang w:val="af-ZA"/>
        </w:rPr>
        <w:t xml:space="preserve"> </w:t>
      </w:r>
      <w:r w:rsidRPr="00C33773">
        <w:rPr>
          <w:b w:val="0"/>
          <w:noProof/>
          <w:szCs w:val="22"/>
        </w:rPr>
        <w:t>ծրագրերին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գրքերի</w:t>
      </w:r>
      <w:r w:rsidRPr="00C33773">
        <w:rPr>
          <w:b w:val="0"/>
          <w:noProof/>
          <w:szCs w:val="22"/>
          <w:lang w:val="af-ZA"/>
        </w:rPr>
        <w:t xml:space="preserve"> </w:t>
      </w:r>
      <w:r w:rsidRPr="00C33773">
        <w:rPr>
          <w:b w:val="0"/>
          <w:noProof/>
          <w:szCs w:val="22"/>
        </w:rPr>
        <w:t>միջազգային</w:t>
      </w:r>
      <w:r w:rsidRPr="00C33773">
        <w:rPr>
          <w:b w:val="0"/>
          <w:noProof/>
          <w:szCs w:val="22"/>
          <w:lang w:val="af-ZA"/>
        </w:rPr>
        <w:t xml:space="preserve"> </w:t>
      </w:r>
      <w:r w:rsidRPr="00C33773">
        <w:rPr>
          <w:b w:val="0"/>
          <w:noProof/>
          <w:szCs w:val="22"/>
        </w:rPr>
        <w:t>ցուցահանդեսներին</w:t>
      </w:r>
      <w:r w:rsidRPr="00C33773">
        <w:rPr>
          <w:b w:val="0"/>
          <w:noProof/>
          <w:szCs w:val="22"/>
          <w:lang w:val="af-ZA"/>
        </w:rPr>
        <w:t xml:space="preserve"> </w:t>
      </w:r>
      <w:r w:rsidRPr="00C33773">
        <w:rPr>
          <w:b w:val="0"/>
          <w:noProof/>
          <w:szCs w:val="22"/>
        </w:rPr>
        <w:t>մասնակցությանը</w:t>
      </w:r>
      <w:r w:rsidRPr="00C33773">
        <w:rPr>
          <w:b w:val="0"/>
          <w:noProof/>
          <w:szCs w:val="22"/>
          <w:lang w:val="af-ZA"/>
        </w:rPr>
        <w:t xml:space="preserve"> (</w:t>
      </w:r>
      <w:r w:rsidRPr="00C33773">
        <w:rPr>
          <w:b w:val="0"/>
          <w:noProof/>
          <w:szCs w:val="22"/>
        </w:rPr>
        <w:t>թարգմանական</w:t>
      </w:r>
      <w:r w:rsidRPr="00C33773">
        <w:rPr>
          <w:b w:val="0"/>
          <w:noProof/>
          <w:szCs w:val="22"/>
          <w:lang w:val="af-ZA"/>
        </w:rPr>
        <w:t xml:space="preserve"> </w:t>
      </w:r>
      <w:r w:rsidRPr="00C33773">
        <w:rPr>
          <w:b w:val="0"/>
          <w:noProof/>
          <w:szCs w:val="22"/>
        </w:rPr>
        <w:t>ծրագրերի</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աջակցություն</w:t>
      </w:r>
      <w:r w:rsidRPr="00C33773">
        <w:rPr>
          <w:b w:val="0"/>
          <w:noProof/>
          <w:szCs w:val="22"/>
          <w:lang w:val="af-ZA"/>
        </w:rPr>
        <w:t xml:space="preserve"> </w:t>
      </w:r>
      <w:r w:rsidRPr="00C33773">
        <w:rPr>
          <w:b w:val="0"/>
          <w:noProof/>
          <w:szCs w:val="22"/>
        </w:rPr>
        <w:t>ստացած</w:t>
      </w:r>
      <w:r w:rsidRPr="00C33773">
        <w:rPr>
          <w:b w:val="0"/>
          <w:noProof/>
          <w:szCs w:val="22"/>
          <w:lang w:val="af-ZA"/>
        </w:rPr>
        <w:t xml:space="preserve"> </w:t>
      </w:r>
      <w:r w:rsidRPr="00C33773">
        <w:rPr>
          <w:b w:val="0"/>
          <w:noProof/>
          <w:szCs w:val="22"/>
        </w:rPr>
        <w:t>ստեղծագործողների</w:t>
      </w:r>
      <w:r w:rsidRPr="00C33773">
        <w:rPr>
          <w:b w:val="0"/>
          <w:noProof/>
          <w:szCs w:val="22"/>
          <w:lang w:val="af-ZA"/>
        </w:rPr>
        <w:t xml:space="preserve"> </w:t>
      </w:r>
      <w:r w:rsidRPr="00C33773">
        <w:rPr>
          <w:b w:val="0"/>
          <w:noProof/>
          <w:szCs w:val="22"/>
        </w:rPr>
        <w:t>ու</w:t>
      </w:r>
      <w:r w:rsidRPr="00C33773">
        <w:rPr>
          <w:b w:val="0"/>
          <w:noProof/>
          <w:szCs w:val="22"/>
          <w:lang w:val="af-ZA"/>
        </w:rPr>
        <w:t xml:space="preserve"> </w:t>
      </w:r>
      <w:r w:rsidRPr="00C33773">
        <w:rPr>
          <w:b w:val="0"/>
          <w:noProof/>
          <w:szCs w:val="22"/>
        </w:rPr>
        <w:t>հետազոտողների</w:t>
      </w:r>
      <w:r w:rsidRPr="00C33773">
        <w:rPr>
          <w:b w:val="0"/>
          <w:noProof/>
          <w:szCs w:val="22"/>
          <w:lang w:val="af-ZA"/>
        </w:rPr>
        <w:t xml:space="preserve"> </w:t>
      </w:r>
      <w:r w:rsidR="00AD04FC">
        <w:rPr>
          <w:b w:val="0"/>
          <w:noProof/>
          <w:szCs w:val="22"/>
          <w:lang w:val="hy-AM"/>
        </w:rPr>
        <w:t>թիվ</w:t>
      </w:r>
      <w:r w:rsidRPr="00C33773">
        <w:rPr>
          <w:b w:val="0"/>
          <w:noProof/>
          <w:szCs w:val="22"/>
        </w:rPr>
        <w:t>ը</w:t>
      </w:r>
      <w:r w:rsidRPr="00C33773">
        <w:rPr>
          <w:b w:val="0"/>
          <w:noProof/>
          <w:szCs w:val="22"/>
          <w:lang w:val="af-ZA"/>
        </w:rPr>
        <w:t xml:space="preserve"> </w:t>
      </w:r>
      <w:r w:rsidRPr="00C33773">
        <w:rPr>
          <w:b w:val="0"/>
          <w:noProof/>
          <w:szCs w:val="22"/>
        </w:rPr>
        <w:t>նախատեսվում</w:t>
      </w:r>
      <w:r w:rsidRPr="00C33773">
        <w:rPr>
          <w:b w:val="0"/>
          <w:noProof/>
          <w:szCs w:val="22"/>
          <w:lang w:val="af-ZA"/>
        </w:rPr>
        <w:t xml:space="preserve"> </w:t>
      </w:r>
      <w:r w:rsidRPr="00C33773">
        <w:rPr>
          <w:b w:val="0"/>
          <w:noProof/>
          <w:szCs w:val="22"/>
        </w:rPr>
        <w:t>է</w:t>
      </w:r>
      <w:r w:rsidRPr="00C33773">
        <w:rPr>
          <w:b w:val="0"/>
          <w:noProof/>
          <w:szCs w:val="22"/>
          <w:lang w:val="af-ZA"/>
        </w:rPr>
        <w:t xml:space="preserve"> 85, </w:t>
      </w:r>
      <w:r w:rsidRPr="00C33773">
        <w:rPr>
          <w:b w:val="0"/>
          <w:noProof/>
          <w:szCs w:val="22"/>
        </w:rPr>
        <w:t>պետական</w:t>
      </w:r>
      <w:r w:rsidRPr="00C33773">
        <w:rPr>
          <w:b w:val="0"/>
          <w:noProof/>
          <w:szCs w:val="22"/>
          <w:lang w:val="af-ZA"/>
        </w:rPr>
        <w:t xml:space="preserve"> </w:t>
      </w:r>
      <w:r w:rsidRPr="00C33773">
        <w:rPr>
          <w:b w:val="0"/>
          <w:noProof/>
          <w:szCs w:val="22"/>
        </w:rPr>
        <w:t>աջակցություն</w:t>
      </w:r>
      <w:r w:rsidRPr="00C33773">
        <w:rPr>
          <w:b w:val="0"/>
          <w:noProof/>
          <w:szCs w:val="22"/>
          <w:lang w:val="af-ZA"/>
        </w:rPr>
        <w:t xml:space="preserve"> </w:t>
      </w:r>
      <w:r w:rsidRPr="00C33773">
        <w:rPr>
          <w:b w:val="0"/>
          <w:noProof/>
          <w:szCs w:val="22"/>
        </w:rPr>
        <w:t>ստացող</w:t>
      </w:r>
      <w:r w:rsidRPr="00C33773">
        <w:rPr>
          <w:b w:val="0"/>
          <w:noProof/>
          <w:szCs w:val="22"/>
          <w:lang w:val="af-ZA"/>
        </w:rPr>
        <w:t xml:space="preserve"> </w:t>
      </w:r>
      <w:r w:rsidRPr="00C33773">
        <w:rPr>
          <w:b w:val="0"/>
          <w:noProof/>
          <w:szCs w:val="22"/>
        </w:rPr>
        <w:t>ազգային</w:t>
      </w:r>
      <w:r w:rsidRPr="00C33773">
        <w:rPr>
          <w:b w:val="0"/>
          <w:noProof/>
          <w:szCs w:val="22"/>
          <w:lang w:val="af-ZA"/>
        </w:rPr>
        <w:t xml:space="preserve"> </w:t>
      </w:r>
      <w:r w:rsidRPr="00C33773">
        <w:rPr>
          <w:b w:val="0"/>
          <w:noProof/>
          <w:szCs w:val="22"/>
        </w:rPr>
        <w:t>փոքրամասնությունների</w:t>
      </w:r>
      <w:r w:rsidRPr="00C33773">
        <w:rPr>
          <w:b w:val="0"/>
          <w:noProof/>
          <w:szCs w:val="22"/>
          <w:lang w:val="af-ZA"/>
        </w:rPr>
        <w:t xml:space="preserve">, </w:t>
      </w:r>
      <w:r w:rsidRPr="00C33773">
        <w:rPr>
          <w:b w:val="0"/>
          <w:noProof/>
          <w:szCs w:val="22"/>
        </w:rPr>
        <w:t>գրական</w:t>
      </w:r>
      <w:r w:rsidRPr="00C33773">
        <w:rPr>
          <w:b w:val="0"/>
          <w:noProof/>
          <w:szCs w:val="22"/>
          <w:lang w:val="af-ZA"/>
        </w:rPr>
        <w:t xml:space="preserve">, </w:t>
      </w:r>
      <w:r w:rsidRPr="00C33773">
        <w:rPr>
          <w:b w:val="0"/>
          <w:noProof/>
          <w:szCs w:val="22"/>
        </w:rPr>
        <w:t>մշակութային</w:t>
      </w:r>
      <w:r w:rsidRPr="00C33773">
        <w:rPr>
          <w:b w:val="0"/>
          <w:noProof/>
          <w:szCs w:val="22"/>
          <w:lang w:val="af-ZA"/>
        </w:rPr>
        <w:t xml:space="preserve"> </w:t>
      </w:r>
      <w:r w:rsidRPr="00C33773">
        <w:rPr>
          <w:b w:val="0"/>
          <w:noProof/>
          <w:szCs w:val="22"/>
        </w:rPr>
        <w:t>ոչ</w:t>
      </w:r>
      <w:r w:rsidRPr="00C33773">
        <w:rPr>
          <w:b w:val="0"/>
          <w:noProof/>
          <w:szCs w:val="22"/>
          <w:lang w:val="af-ZA"/>
        </w:rPr>
        <w:t xml:space="preserve"> </w:t>
      </w:r>
      <w:r w:rsidRPr="00C33773">
        <w:rPr>
          <w:b w:val="0"/>
          <w:noProof/>
          <w:szCs w:val="22"/>
        </w:rPr>
        <w:t>պետական</w:t>
      </w:r>
      <w:r w:rsidRPr="00C33773">
        <w:rPr>
          <w:b w:val="0"/>
          <w:noProof/>
          <w:szCs w:val="22"/>
          <w:lang w:val="af-ZA"/>
        </w:rPr>
        <w:t xml:space="preserve"> </w:t>
      </w:r>
      <w:r w:rsidRPr="00C33773">
        <w:rPr>
          <w:b w:val="0"/>
          <w:noProof/>
          <w:szCs w:val="22"/>
        </w:rPr>
        <w:t>լրատվամիջոցների</w:t>
      </w:r>
      <w:r w:rsidRPr="00C33773">
        <w:rPr>
          <w:b w:val="0"/>
          <w:noProof/>
          <w:szCs w:val="22"/>
          <w:lang w:val="af-ZA"/>
        </w:rPr>
        <w:t xml:space="preserve"> </w:t>
      </w:r>
      <w:r w:rsidRPr="00C33773">
        <w:rPr>
          <w:b w:val="0"/>
          <w:noProof/>
          <w:szCs w:val="22"/>
        </w:rPr>
        <w:t>քանակը՝</w:t>
      </w:r>
      <w:r w:rsidRPr="00C33773">
        <w:rPr>
          <w:b w:val="0"/>
          <w:noProof/>
          <w:szCs w:val="22"/>
          <w:lang w:val="af-ZA"/>
        </w:rPr>
        <w:t xml:space="preserve"> 24,</w:t>
      </w:r>
      <w:r w:rsidRPr="00C33773">
        <w:rPr>
          <w:b w:val="0"/>
          <w:lang w:val="af-ZA"/>
        </w:rPr>
        <w:t xml:space="preserve"> </w:t>
      </w:r>
      <w:r w:rsidRPr="00C33773">
        <w:rPr>
          <w:b w:val="0"/>
          <w:lang w:val="hy-AM"/>
        </w:rPr>
        <w:t>գ</w:t>
      </w:r>
      <w:r w:rsidRPr="00C33773">
        <w:rPr>
          <w:b w:val="0"/>
          <w:lang w:val="af-ZA"/>
        </w:rPr>
        <w:t xml:space="preserve">րականության հանրահռչակմանը, գրական ծրագրերին և գրքերի միջազգային ցուցահանդեսներին մասնակցության </w:t>
      </w:r>
      <w:r w:rsidR="00AD04FC">
        <w:rPr>
          <w:b w:val="0"/>
          <w:lang w:val="hy-AM"/>
        </w:rPr>
        <w:t>թիվ</w:t>
      </w:r>
      <w:r w:rsidRPr="00C33773">
        <w:rPr>
          <w:b w:val="0"/>
          <w:noProof/>
          <w:szCs w:val="22"/>
        </w:rPr>
        <w:t>ը՝</w:t>
      </w:r>
      <w:r w:rsidRPr="00C33773">
        <w:rPr>
          <w:b w:val="0"/>
          <w:noProof/>
          <w:szCs w:val="22"/>
          <w:lang w:val="af-ZA"/>
        </w:rPr>
        <w:t xml:space="preserve"> 3):</w:t>
      </w:r>
    </w:p>
    <w:p w14:paraId="63E039C1"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rPr>
        <w:t>Գրահրատարակչության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գրադարանների</w:t>
      </w:r>
      <w:r w:rsidRPr="00C33773">
        <w:rPr>
          <w:b w:val="0"/>
          <w:noProof/>
          <w:szCs w:val="22"/>
          <w:lang w:val="af-ZA"/>
        </w:rPr>
        <w:t xml:space="preserve"> </w:t>
      </w:r>
      <w:r w:rsidRPr="00C33773">
        <w:rPr>
          <w:b w:val="0"/>
          <w:noProof/>
          <w:szCs w:val="22"/>
        </w:rPr>
        <w:t>ծրագրի</w:t>
      </w:r>
      <w:r w:rsidRPr="00C33773">
        <w:rPr>
          <w:b w:val="0"/>
          <w:noProof/>
          <w:szCs w:val="22"/>
          <w:lang w:val="af-ZA"/>
        </w:rPr>
        <w:t xml:space="preserve"> </w:t>
      </w:r>
      <w:r w:rsidRPr="00C33773">
        <w:rPr>
          <w:b w:val="0"/>
          <w:noProof/>
          <w:szCs w:val="22"/>
        </w:rPr>
        <w:t>համար</w:t>
      </w:r>
      <w:r w:rsidRPr="00C33773">
        <w:rPr>
          <w:b w:val="0"/>
          <w:noProof/>
          <w:szCs w:val="22"/>
          <w:lang w:val="af-ZA"/>
        </w:rPr>
        <w:t xml:space="preserve"> 202</w:t>
      </w:r>
      <w:r w:rsidRPr="00C33773">
        <w:rPr>
          <w:b w:val="0"/>
          <w:noProof/>
          <w:szCs w:val="22"/>
          <w:lang w:val="hy-AM"/>
        </w:rPr>
        <w:t>4</w:t>
      </w:r>
      <w:r w:rsidRPr="00C33773">
        <w:rPr>
          <w:b w:val="0"/>
          <w:noProof/>
          <w:szCs w:val="22"/>
          <w:lang w:val="af-ZA"/>
        </w:rPr>
        <w:t xml:space="preserve"> թվականին </w:t>
      </w:r>
      <w:r w:rsidRPr="00C33773">
        <w:rPr>
          <w:b w:val="0"/>
          <w:noProof/>
          <w:szCs w:val="22"/>
        </w:rPr>
        <w:t>նախատեսվում</w:t>
      </w:r>
      <w:r w:rsidRPr="00C33773">
        <w:rPr>
          <w:b w:val="0"/>
          <w:noProof/>
          <w:szCs w:val="22"/>
          <w:lang w:val="af-ZA"/>
        </w:rPr>
        <w:t xml:space="preserve"> </w:t>
      </w:r>
      <w:r w:rsidRPr="00C33773">
        <w:rPr>
          <w:b w:val="0"/>
          <w:noProof/>
          <w:szCs w:val="22"/>
        </w:rPr>
        <w:t>է</w:t>
      </w:r>
      <w:r w:rsidRPr="00C33773">
        <w:rPr>
          <w:b w:val="0"/>
          <w:noProof/>
          <w:szCs w:val="22"/>
          <w:lang w:val="af-ZA"/>
        </w:rPr>
        <w:t xml:space="preserve"> </w:t>
      </w:r>
      <w:r w:rsidRPr="00C33773">
        <w:rPr>
          <w:b w:val="0"/>
          <w:noProof/>
          <w:szCs w:val="22"/>
        </w:rPr>
        <w:t>հատկացնել</w:t>
      </w:r>
      <w:r w:rsidRPr="00C33773">
        <w:rPr>
          <w:b w:val="0"/>
          <w:noProof/>
          <w:szCs w:val="22"/>
          <w:lang w:val="af-ZA"/>
        </w:rPr>
        <w:t xml:space="preserve"> 1,7</w:t>
      </w:r>
      <w:r w:rsidRPr="00C33773">
        <w:rPr>
          <w:b w:val="0"/>
          <w:noProof/>
          <w:szCs w:val="22"/>
          <w:lang w:val="hy-AM"/>
        </w:rPr>
        <w:t>88</w:t>
      </w:r>
      <w:r w:rsidRPr="00C33773">
        <w:rPr>
          <w:b w:val="0"/>
          <w:noProof/>
          <w:szCs w:val="22"/>
          <w:lang w:val="af-ZA"/>
        </w:rPr>
        <w:t>.</w:t>
      </w:r>
      <w:r w:rsidRPr="00C33773">
        <w:rPr>
          <w:b w:val="0"/>
          <w:noProof/>
          <w:szCs w:val="22"/>
          <w:lang w:val="hy-AM"/>
        </w:rPr>
        <w:t>0</w:t>
      </w:r>
      <w:r w:rsidRPr="00C33773">
        <w:rPr>
          <w:b w:val="0"/>
          <w:noProof/>
          <w:szCs w:val="22"/>
          <w:lang w:val="af-ZA"/>
        </w:rPr>
        <w:t xml:space="preserve"> </w:t>
      </w:r>
      <w:r w:rsidRPr="00C33773">
        <w:rPr>
          <w:b w:val="0"/>
          <w:noProof/>
          <w:szCs w:val="22"/>
        </w:rPr>
        <w:t>մլն</w:t>
      </w:r>
      <w:r w:rsidRPr="00C33773">
        <w:rPr>
          <w:b w:val="0"/>
          <w:noProof/>
          <w:szCs w:val="22"/>
          <w:lang w:val="af-ZA"/>
        </w:rPr>
        <w:t xml:space="preserve"> </w:t>
      </w:r>
      <w:r w:rsidRPr="00C33773">
        <w:rPr>
          <w:b w:val="0"/>
          <w:noProof/>
          <w:szCs w:val="22"/>
        </w:rPr>
        <w:t>դրամ</w:t>
      </w:r>
      <w:r w:rsidRPr="00C33773">
        <w:rPr>
          <w:b w:val="0"/>
          <w:noProof/>
          <w:szCs w:val="22"/>
          <w:lang w:val="af-ZA"/>
        </w:rPr>
        <w:t xml:space="preserve">: </w:t>
      </w:r>
    </w:p>
    <w:p w14:paraId="2C148EBC" w14:textId="77777777" w:rsidR="00104AA3" w:rsidRPr="00C33773" w:rsidRDefault="00104AA3" w:rsidP="00AC1E1E">
      <w:pPr>
        <w:numPr>
          <w:ilvl w:val="12"/>
          <w:numId w:val="0"/>
        </w:numPr>
        <w:tabs>
          <w:tab w:val="left" w:pos="851"/>
        </w:tabs>
        <w:rPr>
          <w:b w:val="0"/>
          <w:noProof/>
          <w:szCs w:val="22"/>
          <w:lang w:val="af-ZA"/>
        </w:rPr>
      </w:pPr>
      <w:r w:rsidRPr="00C33773">
        <w:rPr>
          <w:noProof/>
          <w:szCs w:val="22"/>
          <w:lang w:val="hy-AM"/>
        </w:rPr>
        <w:t>Արվեստների</w:t>
      </w:r>
      <w:r w:rsidRPr="00C33773">
        <w:rPr>
          <w:noProof/>
          <w:szCs w:val="22"/>
          <w:lang w:val="af-ZA"/>
        </w:rPr>
        <w:t xml:space="preserve"> </w:t>
      </w:r>
      <w:r w:rsidRPr="00C33773">
        <w:rPr>
          <w:noProof/>
          <w:szCs w:val="22"/>
          <w:lang w:val="hy-AM"/>
        </w:rPr>
        <w:t>ծրագրի</w:t>
      </w:r>
      <w:r w:rsidRPr="00C33773">
        <w:rPr>
          <w:b w:val="0"/>
          <w:noProof/>
          <w:szCs w:val="22"/>
          <w:lang w:val="af-ZA"/>
        </w:rPr>
        <w:t xml:space="preserve"> </w:t>
      </w:r>
      <w:r w:rsidRPr="00C33773">
        <w:rPr>
          <w:b w:val="0"/>
          <w:noProof/>
          <w:szCs w:val="22"/>
          <w:lang w:val="hy-AM"/>
        </w:rPr>
        <w:t>նպատակն</w:t>
      </w:r>
      <w:r w:rsidRPr="00C33773">
        <w:rPr>
          <w:b w:val="0"/>
          <w:noProof/>
          <w:szCs w:val="22"/>
          <w:lang w:val="af-ZA"/>
        </w:rPr>
        <w:t xml:space="preserve"> </w:t>
      </w:r>
      <w:r w:rsidRPr="00C33773">
        <w:rPr>
          <w:b w:val="0"/>
          <w:noProof/>
          <w:szCs w:val="22"/>
          <w:lang w:val="hy-AM"/>
        </w:rPr>
        <w:t>է</w:t>
      </w:r>
      <w:r w:rsidRPr="00C33773">
        <w:rPr>
          <w:b w:val="0"/>
          <w:noProof/>
          <w:szCs w:val="22"/>
          <w:lang w:val="af-ZA"/>
        </w:rPr>
        <w:t xml:space="preserve"> </w:t>
      </w:r>
      <w:r w:rsidRPr="00C33773">
        <w:rPr>
          <w:b w:val="0"/>
          <w:noProof/>
          <w:szCs w:val="22"/>
          <w:lang w:val="hy-AM"/>
        </w:rPr>
        <w:t>նպաստել</w:t>
      </w:r>
      <w:r w:rsidRPr="00C33773">
        <w:rPr>
          <w:b w:val="0"/>
          <w:noProof/>
          <w:szCs w:val="22"/>
          <w:lang w:val="af-ZA"/>
        </w:rPr>
        <w:t xml:space="preserve"> </w:t>
      </w:r>
      <w:r w:rsidRPr="00C33773">
        <w:rPr>
          <w:b w:val="0"/>
          <w:noProof/>
          <w:szCs w:val="22"/>
          <w:lang w:val="hy-AM"/>
        </w:rPr>
        <w:t>ազգային</w:t>
      </w:r>
      <w:r w:rsidRPr="00C33773">
        <w:rPr>
          <w:b w:val="0"/>
          <w:noProof/>
          <w:szCs w:val="22"/>
          <w:lang w:val="af-ZA"/>
        </w:rPr>
        <w:t xml:space="preserve"> </w:t>
      </w:r>
      <w:r w:rsidRPr="00C33773">
        <w:rPr>
          <w:b w:val="0"/>
          <w:noProof/>
          <w:szCs w:val="22"/>
          <w:lang w:val="hy-AM"/>
        </w:rPr>
        <w:t>հենքի</w:t>
      </w:r>
      <w:r w:rsidRPr="00C33773">
        <w:rPr>
          <w:b w:val="0"/>
          <w:noProof/>
          <w:szCs w:val="22"/>
          <w:lang w:val="af-ZA"/>
        </w:rPr>
        <w:t xml:space="preserve"> </w:t>
      </w:r>
      <w:r w:rsidRPr="00C33773">
        <w:rPr>
          <w:b w:val="0"/>
          <w:noProof/>
          <w:szCs w:val="22"/>
          <w:lang w:val="hy-AM"/>
        </w:rPr>
        <w:t>վրա</w:t>
      </w:r>
      <w:r w:rsidRPr="00C33773">
        <w:rPr>
          <w:b w:val="0"/>
          <w:noProof/>
          <w:szCs w:val="22"/>
          <w:lang w:val="af-ZA"/>
        </w:rPr>
        <w:t xml:space="preserve"> </w:t>
      </w:r>
      <w:r w:rsidRPr="00C33773">
        <w:rPr>
          <w:b w:val="0"/>
          <w:noProof/>
          <w:szCs w:val="22"/>
          <w:lang w:val="hy-AM"/>
        </w:rPr>
        <w:t>ժամանակակից</w:t>
      </w:r>
      <w:r w:rsidRPr="00C33773">
        <w:rPr>
          <w:b w:val="0"/>
          <w:noProof/>
          <w:szCs w:val="22"/>
          <w:lang w:val="af-ZA"/>
        </w:rPr>
        <w:t xml:space="preserve"> </w:t>
      </w:r>
      <w:r w:rsidRPr="00C33773">
        <w:rPr>
          <w:b w:val="0"/>
          <w:noProof/>
          <w:szCs w:val="22"/>
          <w:lang w:val="hy-AM"/>
        </w:rPr>
        <w:t>թատերարվեստի</w:t>
      </w:r>
      <w:r w:rsidRPr="00C33773">
        <w:rPr>
          <w:b w:val="0"/>
          <w:noProof/>
          <w:szCs w:val="22"/>
          <w:lang w:val="af-ZA"/>
        </w:rPr>
        <w:t xml:space="preserve">, </w:t>
      </w:r>
      <w:r w:rsidRPr="00C33773">
        <w:rPr>
          <w:b w:val="0"/>
          <w:noProof/>
          <w:szCs w:val="22"/>
          <w:lang w:val="hy-AM"/>
        </w:rPr>
        <w:t>երաժշտարվեստի</w:t>
      </w:r>
      <w:r w:rsidRPr="00C33773">
        <w:rPr>
          <w:b w:val="0"/>
          <w:noProof/>
          <w:szCs w:val="22"/>
          <w:lang w:val="af-ZA"/>
        </w:rPr>
        <w:t xml:space="preserve">, </w:t>
      </w:r>
      <w:r w:rsidRPr="00C33773">
        <w:rPr>
          <w:b w:val="0"/>
          <w:noProof/>
          <w:szCs w:val="22"/>
          <w:lang w:val="hy-AM"/>
        </w:rPr>
        <w:t>կերպարվեստի</w:t>
      </w:r>
      <w:r w:rsidRPr="00C33773">
        <w:rPr>
          <w:b w:val="0"/>
          <w:noProof/>
          <w:szCs w:val="22"/>
          <w:lang w:val="af-ZA"/>
        </w:rPr>
        <w:t xml:space="preserve"> </w:t>
      </w:r>
      <w:r w:rsidRPr="00C33773">
        <w:rPr>
          <w:b w:val="0"/>
          <w:noProof/>
          <w:szCs w:val="22"/>
          <w:lang w:val="hy-AM"/>
        </w:rPr>
        <w:t>և</w:t>
      </w:r>
      <w:r w:rsidRPr="00C33773">
        <w:rPr>
          <w:b w:val="0"/>
          <w:noProof/>
          <w:szCs w:val="22"/>
          <w:lang w:val="af-ZA"/>
        </w:rPr>
        <w:t xml:space="preserve"> </w:t>
      </w:r>
      <w:r w:rsidRPr="00C33773">
        <w:rPr>
          <w:b w:val="0"/>
          <w:noProof/>
          <w:szCs w:val="22"/>
          <w:lang w:val="hy-AM"/>
        </w:rPr>
        <w:t>պարարվեստի</w:t>
      </w:r>
      <w:r w:rsidRPr="00C33773">
        <w:rPr>
          <w:b w:val="0"/>
          <w:noProof/>
          <w:szCs w:val="22"/>
          <w:lang w:val="af-ZA"/>
        </w:rPr>
        <w:t xml:space="preserve"> </w:t>
      </w:r>
      <w:r w:rsidRPr="00C33773">
        <w:rPr>
          <w:b w:val="0"/>
          <w:noProof/>
          <w:szCs w:val="22"/>
          <w:lang w:val="hy-AM"/>
        </w:rPr>
        <w:t>զարգացմանը</w:t>
      </w:r>
      <w:r w:rsidRPr="00C33773">
        <w:rPr>
          <w:b w:val="0"/>
          <w:noProof/>
          <w:szCs w:val="22"/>
          <w:lang w:val="af-ZA"/>
        </w:rPr>
        <w:t xml:space="preserve"> </w:t>
      </w:r>
      <w:r w:rsidRPr="00C33773">
        <w:rPr>
          <w:b w:val="0"/>
          <w:noProof/>
          <w:szCs w:val="22"/>
          <w:lang w:val="hy-AM"/>
        </w:rPr>
        <w:t>և</w:t>
      </w:r>
      <w:r w:rsidRPr="00C33773">
        <w:rPr>
          <w:b w:val="0"/>
          <w:noProof/>
          <w:szCs w:val="22"/>
          <w:lang w:val="af-ZA"/>
        </w:rPr>
        <w:t xml:space="preserve"> </w:t>
      </w:r>
      <w:r w:rsidRPr="00C33773">
        <w:rPr>
          <w:b w:val="0"/>
          <w:noProof/>
          <w:szCs w:val="22"/>
          <w:lang w:val="hy-AM"/>
        </w:rPr>
        <w:t>հանրահռչակմանը</w:t>
      </w:r>
      <w:r w:rsidRPr="00C33773">
        <w:rPr>
          <w:b w:val="0"/>
          <w:noProof/>
          <w:szCs w:val="22"/>
          <w:lang w:val="af-ZA"/>
        </w:rPr>
        <w:t>:</w:t>
      </w:r>
    </w:p>
    <w:p w14:paraId="2BB4922C"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rPr>
        <w:t>Ծրագրի</w:t>
      </w:r>
      <w:r w:rsidRPr="00C33773">
        <w:rPr>
          <w:b w:val="0"/>
          <w:noProof/>
          <w:szCs w:val="22"/>
          <w:lang w:val="af-ZA"/>
        </w:rPr>
        <w:t xml:space="preserve"> </w:t>
      </w:r>
      <w:r w:rsidRPr="00C33773">
        <w:rPr>
          <w:b w:val="0"/>
          <w:noProof/>
          <w:szCs w:val="22"/>
        </w:rPr>
        <w:t>շրջանակներում</w:t>
      </w:r>
      <w:r w:rsidRPr="00C33773">
        <w:rPr>
          <w:b w:val="0"/>
          <w:noProof/>
          <w:szCs w:val="22"/>
          <w:lang w:val="af-ZA"/>
        </w:rPr>
        <w:t xml:space="preserve"> </w:t>
      </w:r>
      <w:r w:rsidRPr="00C33773">
        <w:rPr>
          <w:b w:val="0"/>
          <w:noProof/>
          <w:szCs w:val="22"/>
        </w:rPr>
        <w:t>հատկացումներն</w:t>
      </w:r>
      <w:r w:rsidRPr="00C33773">
        <w:rPr>
          <w:b w:val="0"/>
          <w:noProof/>
          <w:szCs w:val="22"/>
          <w:lang w:val="af-ZA"/>
        </w:rPr>
        <w:t xml:space="preserve"> </w:t>
      </w:r>
      <w:r w:rsidRPr="00C33773">
        <w:rPr>
          <w:b w:val="0"/>
          <w:noProof/>
          <w:szCs w:val="22"/>
        </w:rPr>
        <w:t>ուղղվելու</w:t>
      </w:r>
      <w:r w:rsidRPr="00C33773">
        <w:rPr>
          <w:b w:val="0"/>
          <w:noProof/>
          <w:szCs w:val="22"/>
          <w:lang w:val="af-ZA"/>
        </w:rPr>
        <w:t xml:space="preserve"> </w:t>
      </w:r>
      <w:r w:rsidRPr="00C33773">
        <w:rPr>
          <w:b w:val="0"/>
          <w:noProof/>
          <w:szCs w:val="22"/>
        </w:rPr>
        <w:t>են</w:t>
      </w:r>
      <w:r w:rsidRPr="00C33773">
        <w:rPr>
          <w:b w:val="0"/>
          <w:noProof/>
          <w:szCs w:val="22"/>
          <w:lang w:val="af-ZA"/>
        </w:rPr>
        <w:t xml:space="preserve"> o</w:t>
      </w:r>
      <w:r w:rsidRPr="00C33773">
        <w:rPr>
          <w:b w:val="0"/>
          <w:noProof/>
          <w:szCs w:val="22"/>
        </w:rPr>
        <w:t>պերային</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բալետային</w:t>
      </w:r>
      <w:r w:rsidRPr="00C33773">
        <w:rPr>
          <w:b w:val="0"/>
          <w:noProof/>
          <w:szCs w:val="22"/>
          <w:lang w:val="af-ZA"/>
        </w:rPr>
        <w:t xml:space="preserve"> </w:t>
      </w:r>
      <w:r w:rsidRPr="00C33773">
        <w:rPr>
          <w:b w:val="0"/>
          <w:noProof/>
          <w:szCs w:val="22"/>
        </w:rPr>
        <w:t>արվեստի</w:t>
      </w:r>
      <w:r w:rsidRPr="00C33773">
        <w:rPr>
          <w:b w:val="0"/>
          <w:noProof/>
          <w:szCs w:val="22"/>
          <w:lang w:val="af-ZA"/>
        </w:rPr>
        <w:t xml:space="preserve">, </w:t>
      </w:r>
      <w:r w:rsidRPr="00C33773">
        <w:rPr>
          <w:b w:val="0"/>
          <w:noProof/>
          <w:szCs w:val="22"/>
        </w:rPr>
        <w:t>թատերական</w:t>
      </w:r>
      <w:r w:rsidRPr="00C33773">
        <w:rPr>
          <w:b w:val="0"/>
          <w:noProof/>
          <w:szCs w:val="22"/>
          <w:lang w:val="af-ZA"/>
        </w:rPr>
        <w:t xml:space="preserve"> </w:t>
      </w:r>
      <w:r w:rsidRPr="00C33773">
        <w:rPr>
          <w:rFonts w:eastAsia="MS Mincho" w:cs="MS Mincho"/>
          <w:b w:val="0"/>
          <w:kern w:val="16"/>
          <w:szCs w:val="22"/>
        </w:rPr>
        <w:t>ներկայացումների</w:t>
      </w:r>
      <w:r w:rsidRPr="00C33773">
        <w:rPr>
          <w:b w:val="0"/>
          <w:noProof/>
          <w:szCs w:val="22"/>
          <w:lang w:val="af-ZA"/>
        </w:rPr>
        <w:t xml:space="preserve">, </w:t>
      </w:r>
      <w:r w:rsidRPr="00C33773">
        <w:rPr>
          <w:b w:val="0"/>
          <w:noProof/>
          <w:szCs w:val="22"/>
        </w:rPr>
        <w:t>երաժշտարվեստի</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պարարվեստի</w:t>
      </w:r>
      <w:r w:rsidRPr="00C33773">
        <w:rPr>
          <w:b w:val="0"/>
          <w:noProof/>
          <w:szCs w:val="22"/>
          <w:lang w:val="af-ZA"/>
        </w:rPr>
        <w:t xml:space="preserve"> </w:t>
      </w:r>
      <w:r w:rsidRPr="00C33773">
        <w:rPr>
          <w:b w:val="0"/>
          <w:noProof/>
          <w:szCs w:val="22"/>
        </w:rPr>
        <w:t>համերգների</w:t>
      </w:r>
      <w:r w:rsidRPr="00C33773">
        <w:rPr>
          <w:b w:val="0"/>
          <w:noProof/>
          <w:szCs w:val="22"/>
          <w:lang w:val="af-ZA"/>
        </w:rPr>
        <w:t xml:space="preserve">, </w:t>
      </w:r>
      <w:r w:rsidRPr="00C33773">
        <w:rPr>
          <w:b w:val="0"/>
          <w:noProof/>
          <w:szCs w:val="22"/>
        </w:rPr>
        <w:t>մշակութային</w:t>
      </w:r>
      <w:r w:rsidRPr="00C33773">
        <w:rPr>
          <w:b w:val="0"/>
          <w:noProof/>
          <w:szCs w:val="22"/>
          <w:lang w:val="af-ZA"/>
        </w:rPr>
        <w:t xml:space="preserve"> </w:t>
      </w:r>
      <w:r w:rsidRPr="00C33773">
        <w:rPr>
          <w:b w:val="0"/>
          <w:noProof/>
          <w:szCs w:val="22"/>
        </w:rPr>
        <w:t>միջոցառումների</w:t>
      </w:r>
      <w:r w:rsidRPr="00C33773">
        <w:rPr>
          <w:b w:val="0"/>
          <w:noProof/>
          <w:szCs w:val="22"/>
          <w:lang w:val="af-ZA"/>
        </w:rPr>
        <w:t xml:space="preserve"> </w:t>
      </w:r>
      <w:r w:rsidRPr="00C33773">
        <w:rPr>
          <w:b w:val="0"/>
          <w:noProof/>
          <w:szCs w:val="22"/>
        </w:rPr>
        <w:t>իրականացմանը</w:t>
      </w:r>
      <w:r w:rsidRPr="00C33773">
        <w:rPr>
          <w:b w:val="0"/>
          <w:noProof/>
          <w:szCs w:val="22"/>
          <w:lang w:val="af-ZA"/>
        </w:rPr>
        <w:t>, թատերահամերգային կազմակերպությունների ֆինանսավորման նոր մոդելի ներդրմանը,  «</w:t>
      </w:r>
      <w:r w:rsidRPr="00C33773">
        <w:rPr>
          <w:b w:val="0"/>
          <w:noProof/>
          <w:szCs w:val="22"/>
        </w:rPr>
        <w:t>Ժողովրդական</w:t>
      </w:r>
      <w:r w:rsidRPr="00C33773">
        <w:rPr>
          <w:b w:val="0"/>
          <w:noProof/>
          <w:szCs w:val="22"/>
          <w:lang w:val="af-ZA"/>
        </w:rPr>
        <w:t xml:space="preserve">» </w:t>
      </w:r>
      <w:r w:rsidRPr="00C33773">
        <w:rPr>
          <w:b w:val="0"/>
          <w:noProof/>
          <w:szCs w:val="22"/>
        </w:rPr>
        <w:t>պատվավոր</w:t>
      </w:r>
      <w:r w:rsidRPr="00C33773">
        <w:rPr>
          <w:b w:val="0"/>
          <w:noProof/>
          <w:szCs w:val="22"/>
          <w:lang w:val="af-ZA"/>
        </w:rPr>
        <w:t xml:space="preserve"> </w:t>
      </w:r>
      <w:r w:rsidRPr="00C33773">
        <w:rPr>
          <w:b w:val="0"/>
          <w:noProof/>
          <w:szCs w:val="22"/>
        </w:rPr>
        <w:t>կոչման</w:t>
      </w:r>
      <w:r w:rsidRPr="00C33773">
        <w:rPr>
          <w:b w:val="0"/>
          <w:noProof/>
          <w:szCs w:val="22"/>
          <w:lang w:val="af-ZA"/>
        </w:rPr>
        <w:t xml:space="preserve"> </w:t>
      </w:r>
      <w:r w:rsidRPr="00C33773">
        <w:rPr>
          <w:b w:val="0"/>
          <w:noProof/>
          <w:szCs w:val="22"/>
        </w:rPr>
        <w:t>արժանացած</w:t>
      </w:r>
      <w:r w:rsidRPr="00C33773">
        <w:rPr>
          <w:b w:val="0"/>
          <w:noProof/>
          <w:szCs w:val="22"/>
          <w:lang w:val="af-ZA"/>
        </w:rPr>
        <w:t xml:space="preserve"> </w:t>
      </w:r>
      <w:r w:rsidRPr="00C33773">
        <w:rPr>
          <w:b w:val="0"/>
          <w:noProof/>
          <w:szCs w:val="22"/>
        </w:rPr>
        <w:t>անձանց</w:t>
      </w:r>
      <w:r w:rsidRPr="00C33773">
        <w:rPr>
          <w:b w:val="0"/>
          <w:noProof/>
          <w:szCs w:val="22"/>
          <w:lang w:val="af-ZA"/>
        </w:rPr>
        <w:t xml:space="preserve"> </w:t>
      </w:r>
      <w:r w:rsidRPr="00C33773">
        <w:rPr>
          <w:b w:val="0"/>
          <w:noProof/>
          <w:szCs w:val="22"/>
        </w:rPr>
        <w:t>պատվովճարի</w:t>
      </w:r>
      <w:r w:rsidRPr="00C33773">
        <w:rPr>
          <w:b w:val="0"/>
          <w:noProof/>
          <w:szCs w:val="22"/>
          <w:lang w:val="af-ZA"/>
        </w:rPr>
        <w:t xml:space="preserve"> </w:t>
      </w:r>
      <w:r w:rsidRPr="00C33773">
        <w:rPr>
          <w:b w:val="0"/>
          <w:noProof/>
          <w:szCs w:val="22"/>
        </w:rPr>
        <w:t>հատկացմանը</w:t>
      </w:r>
      <w:r w:rsidRPr="00C33773">
        <w:rPr>
          <w:b w:val="0"/>
          <w:noProof/>
          <w:szCs w:val="22"/>
          <w:lang w:val="af-ZA"/>
        </w:rPr>
        <w:t>,</w:t>
      </w:r>
      <w:r w:rsidRPr="00C33773">
        <w:rPr>
          <w:b w:val="0"/>
          <w:szCs w:val="22"/>
          <w:lang w:val="af-ZA"/>
        </w:rPr>
        <w:t xml:space="preserve"> </w:t>
      </w:r>
      <w:r w:rsidRPr="00C33773">
        <w:rPr>
          <w:b w:val="0"/>
          <w:noProof/>
          <w:szCs w:val="22"/>
        </w:rPr>
        <w:t>թատ</w:t>
      </w:r>
      <w:r w:rsidRPr="00C33773">
        <w:rPr>
          <w:b w:val="0"/>
          <w:noProof/>
          <w:szCs w:val="22"/>
          <w:lang w:val="hy-AM"/>
        </w:rPr>
        <w:t>երահամերգային կազմակերպությունների</w:t>
      </w:r>
      <w:r w:rsidRPr="00C33773">
        <w:rPr>
          <w:b w:val="0"/>
          <w:noProof/>
          <w:szCs w:val="22"/>
          <w:lang w:val="af-ZA"/>
        </w:rPr>
        <w:t xml:space="preserve"> </w:t>
      </w:r>
      <w:r w:rsidRPr="00C33773">
        <w:rPr>
          <w:b w:val="0"/>
          <w:noProof/>
          <w:szCs w:val="22"/>
          <w:lang w:val="hy-AM"/>
        </w:rPr>
        <w:t xml:space="preserve">նյութատեխնիկական բազային համալրմանը, թատրոնների </w:t>
      </w:r>
      <w:r w:rsidRPr="00C33773">
        <w:rPr>
          <w:b w:val="0"/>
          <w:noProof/>
          <w:szCs w:val="22"/>
        </w:rPr>
        <w:t>շենքերի</w:t>
      </w:r>
      <w:r w:rsidRPr="00C33773">
        <w:rPr>
          <w:b w:val="0"/>
          <w:noProof/>
          <w:szCs w:val="22"/>
          <w:lang w:val="af-ZA"/>
        </w:rPr>
        <w:t xml:space="preserve"> </w:t>
      </w:r>
      <w:r w:rsidRPr="00C33773">
        <w:rPr>
          <w:b w:val="0"/>
          <w:noProof/>
          <w:szCs w:val="22"/>
        </w:rPr>
        <w:t>կապիտալ</w:t>
      </w:r>
      <w:r w:rsidRPr="00C33773">
        <w:rPr>
          <w:b w:val="0"/>
          <w:noProof/>
          <w:szCs w:val="22"/>
          <w:lang w:val="af-ZA"/>
        </w:rPr>
        <w:t xml:space="preserve"> </w:t>
      </w:r>
      <w:r w:rsidRPr="00C33773">
        <w:rPr>
          <w:b w:val="0"/>
          <w:noProof/>
          <w:szCs w:val="22"/>
        </w:rPr>
        <w:t>վերանորոգման</w:t>
      </w:r>
      <w:r w:rsidRPr="00C33773">
        <w:rPr>
          <w:b w:val="0"/>
          <w:noProof/>
          <w:szCs w:val="22"/>
          <w:lang w:val="af-ZA"/>
        </w:rPr>
        <w:t xml:space="preserve"> </w:t>
      </w:r>
      <w:r w:rsidRPr="00C33773">
        <w:rPr>
          <w:b w:val="0"/>
          <w:noProof/>
          <w:szCs w:val="22"/>
        </w:rPr>
        <w:t>համար</w:t>
      </w:r>
      <w:r w:rsidRPr="00C33773">
        <w:rPr>
          <w:b w:val="0"/>
          <w:noProof/>
          <w:szCs w:val="22"/>
          <w:lang w:val="af-ZA"/>
        </w:rPr>
        <w:t xml:space="preserve"> </w:t>
      </w:r>
      <w:r w:rsidRPr="00C33773">
        <w:rPr>
          <w:b w:val="0"/>
          <w:noProof/>
          <w:szCs w:val="22"/>
        </w:rPr>
        <w:t>ներդրումների</w:t>
      </w:r>
      <w:r w:rsidRPr="00C33773">
        <w:rPr>
          <w:b w:val="0"/>
          <w:noProof/>
          <w:szCs w:val="22"/>
          <w:lang w:val="af-ZA"/>
        </w:rPr>
        <w:t xml:space="preserve"> </w:t>
      </w:r>
      <w:r w:rsidRPr="00C33773">
        <w:rPr>
          <w:b w:val="0"/>
          <w:noProof/>
          <w:szCs w:val="22"/>
        </w:rPr>
        <w:t>իրականացմանը</w:t>
      </w:r>
      <w:r w:rsidRPr="00C33773">
        <w:rPr>
          <w:b w:val="0"/>
          <w:noProof/>
          <w:szCs w:val="22"/>
          <w:lang w:val="af-ZA"/>
        </w:rPr>
        <w:t xml:space="preserve"> (</w:t>
      </w:r>
      <w:r w:rsidRPr="00C33773">
        <w:rPr>
          <w:b w:val="0"/>
          <w:noProof/>
          <w:szCs w:val="22"/>
        </w:rPr>
        <w:t>արվեստի</w:t>
      </w:r>
      <w:r w:rsidRPr="00C33773">
        <w:rPr>
          <w:b w:val="0"/>
          <w:noProof/>
          <w:szCs w:val="22"/>
          <w:lang w:val="af-ZA"/>
        </w:rPr>
        <w:t xml:space="preserve"> </w:t>
      </w:r>
      <w:r w:rsidRPr="00C33773">
        <w:rPr>
          <w:b w:val="0"/>
          <w:noProof/>
          <w:szCs w:val="22"/>
        </w:rPr>
        <w:t>տարբեր</w:t>
      </w:r>
      <w:r w:rsidRPr="00C33773">
        <w:rPr>
          <w:b w:val="0"/>
          <w:noProof/>
          <w:szCs w:val="22"/>
          <w:lang w:val="af-ZA"/>
        </w:rPr>
        <w:t xml:space="preserve"> </w:t>
      </w:r>
      <w:r w:rsidRPr="00C33773">
        <w:rPr>
          <w:b w:val="0"/>
          <w:noProof/>
          <w:szCs w:val="22"/>
        </w:rPr>
        <w:t>ոլորտներում</w:t>
      </w:r>
      <w:r w:rsidRPr="00C33773">
        <w:rPr>
          <w:b w:val="0"/>
          <w:noProof/>
          <w:szCs w:val="22"/>
          <w:lang w:val="af-ZA"/>
        </w:rPr>
        <w:t xml:space="preserve"> </w:t>
      </w:r>
      <w:r w:rsidRPr="00C33773">
        <w:rPr>
          <w:b w:val="0"/>
          <w:noProof/>
          <w:szCs w:val="22"/>
        </w:rPr>
        <w:t>ստեղծագործական</w:t>
      </w:r>
      <w:r w:rsidRPr="00C33773">
        <w:rPr>
          <w:b w:val="0"/>
          <w:noProof/>
          <w:szCs w:val="22"/>
          <w:lang w:val="af-ZA"/>
        </w:rPr>
        <w:t xml:space="preserve"> ծրագրերի </w:t>
      </w:r>
      <w:r w:rsidRPr="00C33773">
        <w:rPr>
          <w:b w:val="0"/>
          <w:noProof/>
          <w:szCs w:val="22"/>
        </w:rPr>
        <w:t>քանակը</w:t>
      </w:r>
      <w:r w:rsidRPr="00C33773">
        <w:rPr>
          <w:b w:val="0"/>
          <w:noProof/>
          <w:szCs w:val="22"/>
          <w:lang w:val="af-ZA"/>
        </w:rPr>
        <w:t xml:space="preserve"> </w:t>
      </w:r>
      <w:r w:rsidRPr="00C33773">
        <w:rPr>
          <w:b w:val="0"/>
          <w:noProof/>
          <w:szCs w:val="22"/>
        </w:rPr>
        <w:t>նախատեսվում</w:t>
      </w:r>
      <w:r w:rsidRPr="00C33773">
        <w:rPr>
          <w:b w:val="0"/>
          <w:noProof/>
          <w:szCs w:val="22"/>
          <w:lang w:val="af-ZA"/>
        </w:rPr>
        <w:t xml:space="preserve"> </w:t>
      </w:r>
      <w:r w:rsidRPr="00C33773">
        <w:rPr>
          <w:b w:val="0"/>
          <w:noProof/>
          <w:szCs w:val="22"/>
        </w:rPr>
        <w:t>է</w:t>
      </w:r>
      <w:r w:rsidRPr="00C33773">
        <w:rPr>
          <w:b w:val="0"/>
          <w:noProof/>
          <w:szCs w:val="22"/>
          <w:lang w:val="af-ZA"/>
        </w:rPr>
        <w:t xml:space="preserve"> </w:t>
      </w:r>
      <w:r w:rsidR="0038797D">
        <w:rPr>
          <w:b w:val="0"/>
          <w:noProof/>
          <w:szCs w:val="22"/>
          <w:lang w:val="af-ZA"/>
        </w:rPr>
        <w:t>50</w:t>
      </w:r>
      <w:r w:rsidRPr="00C33773">
        <w:rPr>
          <w:b w:val="0"/>
          <w:noProof/>
          <w:szCs w:val="22"/>
          <w:lang w:val="af-ZA"/>
        </w:rPr>
        <w:t xml:space="preserve">, </w:t>
      </w:r>
      <w:r w:rsidRPr="00C33773">
        <w:rPr>
          <w:b w:val="0"/>
          <w:noProof/>
          <w:szCs w:val="22"/>
        </w:rPr>
        <w:t>արվեստի</w:t>
      </w:r>
      <w:r w:rsidRPr="00C33773">
        <w:rPr>
          <w:b w:val="0"/>
          <w:noProof/>
          <w:szCs w:val="22"/>
          <w:lang w:val="af-ZA"/>
        </w:rPr>
        <w:t xml:space="preserve"> </w:t>
      </w:r>
      <w:r w:rsidRPr="00C33773">
        <w:rPr>
          <w:b w:val="0"/>
          <w:noProof/>
          <w:szCs w:val="22"/>
        </w:rPr>
        <w:t>միջազգային</w:t>
      </w:r>
      <w:r w:rsidRPr="00C33773">
        <w:rPr>
          <w:b w:val="0"/>
          <w:noProof/>
          <w:szCs w:val="22"/>
          <w:lang w:val="af-ZA"/>
        </w:rPr>
        <w:t xml:space="preserve"> </w:t>
      </w:r>
      <w:r w:rsidRPr="00C33773">
        <w:rPr>
          <w:b w:val="0"/>
          <w:noProof/>
          <w:szCs w:val="22"/>
        </w:rPr>
        <w:t>նախագծերին</w:t>
      </w:r>
      <w:r w:rsidRPr="00C33773">
        <w:rPr>
          <w:b w:val="0"/>
          <w:noProof/>
          <w:szCs w:val="22"/>
          <w:lang w:val="af-ZA"/>
        </w:rPr>
        <w:t xml:space="preserve"> </w:t>
      </w:r>
      <w:r w:rsidRPr="00C33773">
        <w:rPr>
          <w:b w:val="0"/>
          <w:noProof/>
          <w:szCs w:val="22"/>
        </w:rPr>
        <w:t>մասնակցող</w:t>
      </w:r>
      <w:r w:rsidRPr="00C33773">
        <w:rPr>
          <w:b w:val="0"/>
          <w:noProof/>
          <w:szCs w:val="22"/>
          <w:lang w:val="af-ZA"/>
        </w:rPr>
        <w:t xml:space="preserve"> </w:t>
      </w:r>
      <w:r w:rsidRPr="00C33773">
        <w:rPr>
          <w:b w:val="0"/>
          <w:noProof/>
          <w:szCs w:val="22"/>
          <w:lang w:val="hy-AM"/>
        </w:rPr>
        <w:t>ստեղծագործողների</w:t>
      </w:r>
      <w:r w:rsidRPr="00C33773">
        <w:rPr>
          <w:b w:val="0"/>
          <w:noProof/>
          <w:szCs w:val="22"/>
          <w:lang w:val="af-ZA"/>
        </w:rPr>
        <w:t xml:space="preserve"> </w:t>
      </w:r>
      <w:r w:rsidRPr="00C33773">
        <w:rPr>
          <w:b w:val="0"/>
          <w:noProof/>
          <w:szCs w:val="22"/>
          <w:lang w:val="hy-AM"/>
        </w:rPr>
        <w:t>քանակը</w:t>
      </w:r>
      <w:r w:rsidRPr="00C33773">
        <w:rPr>
          <w:b w:val="0"/>
          <w:noProof/>
          <w:szCs w:val="22"/>
        </w:rPr>
        <w:t>՝</w:t>
      </w:r>
      <w:r w:rsidRPr="00C33773">
        <w:rPr>
          <w:b w:val="0"/>
          <w:noProof/>
          <w:szCs w:val="22"/>
          <w:lang w:val="af-ZA"/>
        </w:rPr>
        <w:t xml:space="preserve"> 50, </w:t>
      </w:r>
      <w:r w:rsidRPr="00C33773">
        <w:rPr>
          <w:b w:val="0"/>
          <w:noProof/>
          <w:szCs w:val="22"/>
          <w:lang w:val="hy-AM"/>
        </w:rPr>
        <w:t>հանրապետությունում իրականացվող արվեստի միջազգային նախագծերի քանակը</w:t>
      </w:r>
      <w:r w:rsidRPr="00C33773">
        <w:rPr>
          <w:b w:val="0"/>
          <w:noProof/>
          <w:szCs w:val="22"/>
        </w:rPr>
        <w:t>՝</w:t>
      </w:r>
      <w:r w:rsidRPr="00C33773">
        <w:rPr>
          <w:b w:val="0"/>
          <w:noProof/>
          <w:szCs w:val="22"/>
          <w:lang w:val="af-ZA"/>
        </w:rPr>
        <w:t xml:space="preserve"> 16):</w:t>
      </w:r>
    </w:p>
    <w:p w14:paraId="49586D96"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rPr>
        <w:t>Արվեստների</w:t>
      </w:r>
      <w:r w:rsidRPr="00C33773">
        <w:rPr>
          <w:b w:val="0"/>
          <w:noProof/>
          <w:szCs w:val="22"/>
          <w:lang w:val="af-ZA"/>
        </w:rPr>
        <w:t xml:space="preserve"> </w:t>
      </w:r>
      <w:r w:rsidRPr="00C33773">
        <w:rPr>
          <w:b w:val="0"/>
          <w:noProof/>
          <w:szCs w:val="22"/>
        </w:rPr>
        <w:t>ծրագրի</w:t>
      </w:r>
      <w:r w:rsidRPr="00C33773">
        <w:rPr>
          <w:b w:val="0"/>
          <w:noProof/>
          <w:szCs w:val="22"/>
          <w:lang w:val="af-ZA"/>
        </w:rPr>
        <w:t xml:space="preserve"> </w:t>
      </w:r>
      <w:r w:rsidRPr="00C33773">
        <w:rPr>
          <w:b w:val="0"/>
          <w:noProof/>
          <w:szCs w:val="22"/>
        </w:rPr>
        <w:t>համար</w:t>
      </w:r>
      <w:r w:rsidRPr="00C33773">
        <w:rPr>
          <w:b w:val="0"/>
          <w:noProof/>
          <w:szCs w:val="22"/>
          <w:lang w:val="af-ZA"/>
        </w:rPr>
        <w:t xml:space="preserve"> 2024 թվականին </w:t>
      </w:r>
      <w:r w:rsidRPr="00C33773">
        <w:rPr>
          <w:b w:val="0"/>
          <w:noProof/>
          <w:szCs w:val="22"/>
        </w:rPr>
        <w:t>նախատեսվում</w:t>
      </w:r>
      <w:r w:rsidRPr="00C33773">
        <w:rPr>
          <w:b w:val="0"/>
          <w:noProof/>
          <w:szCs w:val="22"/>
          <w:lang w:val="af-ZA"/>
        </w:rPr>
        <w:t xml:space="preserve"> </w:t>
      </w:r>
      <w:r w:rsidRPr="00C33773">
        <w:rPr>
          <w:b w:val="0"/>
          <w:noProof/>
          <w:szCs w:val="22"/>
        </w:rPr>
        <w:t>է</w:t>
      </w:r>
      <w:r w:rsidRPr="00C33773">
        <w:rPr>
          <w:b w:val="0"/>
          <w:noProof/>
          <w:szCs w:val="22"/>
          <w:lang w:val="af-ZA"/>
        </w:rPr>
        <w:t xml:space="preserve"> </w:t>
      </w:r>
      <w:r w:rsidRPr="00C33773">
        <w:rPr>
          <w:b w:val="0"/>
          <w:noProof/>
          <w:szCs w:val="22"/>
        </w:rPr>
        <w:t>հատկացնել</w:t>
      </w:r>
      <w:r w:rsidRPr="00C33773">
        <w:rPr>
          <w:b w:val="0"/>
          <w:noProof/>
          <w:szCs w:val="22"/>
          <w:lang w:val="af-ZA"/>
        </w:rPr>
        <w:t xml:space="preserve"> </w:t>
      </w:r>
      <w:r w:rsidRPr="00C33773">
        <w:rPr>
          <w:b w:val="0"/>
          <w:noProof/>
          <w:szCs w:val="22"/>
          <w:lang w:val="hy-AM"/>
        </w:rPr>
        <w:t>10</w:t>
      </w:r>
      <w:r w:rsidRPr="00C33773">
        <w:rPr>
          <w:b w:val="0"/>
          <w:noProof/>
          <w:szCs w:val="22"/>
          <w:lang w:val="af-ZA"/>
        </w:rPr>
        <w:t>,</w:t>
      </w:r>
      <w:r w:rsidR="0038797D">
        <w:rPr>
          <w:b w:val="0"/>
          <w:noProof/>
          <w:szCs w:val="22"/>
          <w:lang w:val="af-ZA"/>
        </w:rPr>
        <w:t>612</w:t>
      </w:r>
      <w:r w:rsidRPr="00C33773">
        <w:rPr>
          <w:b w:val="0"/>
          <w:noProof/>
          <w:szCs w:val="22"/>
          <w:lang w:val="af-ZA"/>
        </w:rPr>
        <w:t>.</w:t>
      </w:r>
      <w:r w:rsidR="0038797D">
        <w:rPr>
          <w:b w:val="0"/>
          <w:noProof/>
          <w:szCs w:val="22"/>
          <w:lang w:val="af-ZA"/>
        </w:rPr>
        <w:t>7</w:t>
      </w:r>
      <w:r w:rsidRPr="00C33773">
        <w:rPr>
          <w:b w:val="0"/>
          <w:noProof/>
          <w:szCs w:val="22"/>
          <w:lang w:val="af-ZA"/>
        </w:rPr>
        <w:t xml:space="preserve"> </w:t>
      </w:r>
      <w:r w:rsidRPr="00C33773">
        <w:rPr>
          <w:b w:val="0"/>
          <w:noProof/>
          <w:szCs w:val="22"/>
        </w:rPr>
        <w:t>մլն</w:t>
      </w:r>
      <w:r w:rsidRPr="00C33773">
        <w:rPr>
          <w:b w:val="0"/>
          <w:noProof/>
          <w:szCs w:val="22"/>
          <w:lang w:val="af-ZA"/>
        </w:rPr>
        <w:t xml:space="preserve"> </w:t>
      </w:r>
      <w:r w:rsidRPr="00C33773">
        <w:rPr>
          <w:b w:val="0"/>
          <w:noProof/>
          <w:szCs w:val="22"/>
        </w:rPr>
        <w:t>դրամ</w:t>
      </w:r>
      <w:r w:rsidRPr="00C33773">
        <w:rPr>
          <w:b w:val="0"/>
          <w:noProof/>
          <w:szCs w:val="22"/>
          <w:lang w:val="af-ZA"/>
        </w:rPr>
        <w:t>:</w:t>
      </w:r>
    </w:p>
    <w:p w14:paraId="6070F7E5" w14:textId="77777777" w:rsidR="00104AA3" w:rsidRPr="00C33773" w:rsidRDefault="00104AA3" w:rsidP="00AC1E1E">
      <w:pPr>
        <w:numPr>
          <w:ilvl w:val="12"/>
          <w:numId w:val="0"/>
        </w:numPr>
        <w:tabs>
          <w:tab w:val="left" w:pos="851"/>
        </w:tabs>
        <w:rPr>
          <w:b w:val="0"/>
          <w:noProof/>
          <w:szCs w:val="22"/>
          <w:lang w:val="af-ZA"/>
        </w:rPr>
      </w:pPr>
      <w:r w:rsidRPr="00C33773">
        <w:rPr>
          <w:noProof/>
          <w:szCs w:val="22"/>
          <w:lang w:val="hy-AM"/>
        </w:rPr>
        <w:lastRenderedPageBreak/>
        <w:t>Մարզերի</w:t>
      </w:r>
      <w:r w:rsidRPr="00C33773">
        <w:rPr>
          <w:noProof/>
          <w:szCs w:val="22"/>
          <w:lang w:val="af-ZA"/>
        </w:rPr>
        <w:t xml:space="preserve"> </w:t>
      </w:r>
      <w:r w:rsidRPr="00C33773">
        <w:rPr>
          <w:noProof/>
          <w:szCs w:val="22"/>
          <w:lang w:val="hy-AM"/>
        </w:rPr>
        <w:t>մշակութային</w:t>
      </w:r>
      <w:r w:rsidRPr="00C33773">
        <w:rPr>
          <w:noProof/>
          <w:szCs w:val="22"/>
          <w:lang w:val="af-ZA"/>
        </w:rPr>
        <w:t xml:space="preserve"> </w:t>
      </w:r>
      <w:r w:rsidRPr="00C33773">
        <w:rPr>
          <w:noProof/>
          <w:szCs w:val="22"/>
          <w:lang w:val="hy-AM"/>
        </w:rPr>
        <w:t>զարգացման</w:t>
      </w:r>
      <w:r w:rsidRPr="00C33773">
        <w:rPr>
          <w:noProof/>
          <w:szCs w:val="22"/>
          <w:lang w:val="af-ZA"/>
        </w:rPr>
        <w:t xml:space="preserve"> </w:t>
      </w:r>
      <w:r w:rsidRPr="00C33773">
        <w:rPr>
          <w:b w:val="0"/>
          <w:noProof/>
          <w:szCs w:val="22"/>
          <w:lang w:val="hy-AM"/>
        </w:rPr>
        <w:t>ծրագրի</w:t>
      </w:r>
      <w:r w:rsidRPr="00C33773">
        <w:rPr>
          <w:b w:val="0"/>
          <w:noProof/>
          <w:szCs w:val="22"/>
          <w:lang w:val="af-ZA"/>
        </w:rPr>
        <w:t xml:space="preserve"> </w:t>
      </w:r>
      <w:r w:rsidRPr="00C33773">
        <w:rPr>
          <w:b w:val="0"/>
          <w:noProof/>
          <w:szCs w:val="22"/>
          <w:lang w:val="hy-AM"/>
        </w:rPr>
        <w:t>նպատակն</w:t>
      </w:r>
      <w:r w:rsidRPr="00C33773">
        <w:rPr>
          <w:b w:val="0"/>
          <w:noProof/>
          <w:szCs w:val="22"/>
          <w:lang w:val="af-ZA"/>
        </w:rPr>
        <w:t xml:space="preserve"> </w:t>
      </w:r>
      <w:r w:rsidRPr="00C33773">
        <w:rPr>
          <w:b w:val="0"/>
          <w:noProof/>
          <w:szCs w:val="22"/>
          <w:lang w:val="hy-AM"/>
        </w:rPr>
        <w:t>է</w:t>
      </w:r>
      <w:r w:rsidRPr="00C33773">
        <w:rPr>
          <w:b w:val="0"/>
          <w:noProof/>
          <w:szCs w:val="22"/>
          <w:lang w:val="af-ZA"/>
        </w:rPr>
        <w:t xml:space="preserve"> </w:t>
      </w:r>
      <w:r w:rsidRPr="00C33773">
        <w:rPr>
          <w:b w:val="0"/>
          <w:noProof/>
          <w:szCs w:val="22"/>
          <w:lang w:val="hy-AM"/>
        </w:rPr>
        <w:t>նպաստել</w:t>
      </w:r>
      <w:r w:rsidRPr="00C33773">
        <w:rPr>
          <w:b w:val="0"/>
          <w:noProof/>
          <w:szCs w:val="22"/>
          <w:lang w:val="af-ZA"/>
        </w:rPr>
        <w:t xml:space="preserve"> </w:t>
      </w:r>
      <w:r w:rsidRPr="00C33773">
        <w:rPr>
          <w:b w:val="0"/>
          <w:noProof/>
          <w:szCs w:val="22"/>
          <w:lang w:val="hy-AM"/>
        </w:rPr>
        <w:t>մարզերում</w:t>
      </w:r>
      <w:r w:rsidRPr="00C33773">
        <w:rPr>
          <w:b w:val="0"/>
          <w:noProof/>
          <w:szCs w:val="22"/>
          <w:lang w:val="af-ZA"/>
        </w:rPr>
        <w:t xml:space="preserve"> </w:t>
      </w:r>
      <w:r w:rsidRPr="00C33773">
        <w:rPr>
          <w:b w:val="0"/>
          <w:noProof/>
          <w:szCs w:val="22"/>
          <w:lang w:val="hy-AM"/>
        </w:rPr>
        <w:t>մշակութային</w:t>
      </w:r>
      <w:r w:rsidRPr="00C33773">
        <w:rPr>
          <w:b w:val="0"/>
          <w:noProof/>
          <w:szCs w:val="22"/>
          <w:lang w:val="af-ZA"/>
        </w:rPr>
        <w:t xml:space="preserve"> </w:t>
      </w:r>
      <w:r w:rsidRPr="00C33773">
        <w:rPr>
          <w:b w:val="0"/>
          <w:noProof/>
          <w:szCs w:val="22"/>
          <w:lang w:val="hy-AM"/>
        </w:rPr>
        <w:t>կյանքի</w:t>
      </w:r>
      <w:r w:rsidRPr="00C33773">
        <w:rPr>
          <w:b w:val="0"/>
          <w:noProof/>
          <w:szCs w:val="22"/>
          <w:lang w:val="af-ZA"/>
        </w:rPr>
        <w:t xml:space="preserve"> </w:t>
      </w:r>
      <w:r w:rsidRPr="00C33773">
        <w:rPr>
          <w:b w:val="0"/>
          <w:noProof/>
          <w:szCs w:val="22"/>
          <w:lang w:val="hy-AM"/>
        </w:rPr>
        <w:t>և</w:t>
      </w:r>
      <w:r w:rsidRPr="00C33773">
        <w:rPr>
          <w:b w:val="0"/>
          <w:noProof/>
          <w:szCs w:val="22"/>
          <w:lang w:val="af-ZA"/>
        </w:rPr>
        <w:t xml:space="preserve"> </w:t>
      </w:r>
      <w:r w:rsidRPr="00C33773">
        <w:rPr>
          <w:b w:val="0"/>
          <w:noProof/>
          <w:szCs w:val="22"/>
          <w:lang w:val="hy-AM"/>
        </w:rPr>
        <w:t>մշակութաստեղծ</w:t>
      </w:r>
      <w:r w:rsidRPr="00C33773">
        <w:rPr>
          <w:b w:val="0"/>
          <w:noProof/>
          <w:szCs w:val="22"/>
          <w:lang w:val="af-ZA"/>
        </w:rPr>
        <w:t xml:space="preserve"> </w:t>
      </w:r>
      <w:r w:rsidRPr="00C33773">
        <w:rPr>
          <w:b w:val="0"/>
          <w:noProof/>
          <w:szCs w:val="22"/>
          <w:lang w:val="hy-AM"/>
        </w:rPr>
        <w:t>գործունեության</w:t>
      </w:r>
      <w:r w:rsidRPr="00C33773">
        <w:rPr>
          <w:b w:val="0"/>
          <w:noProof/>
          <w:szCs w:val="22"/>
          <w:lang w:val="af-ZA"/>
        </w:rPr>
        <w:t xml:space="preserve"> </w:t>
      </w:r>
      <w:r w:rsidRPr="00C33773">
        <w:rPr>
          <w:b w:val="0"/>
          <w:noProof/>
          <w:szCs w:val="22"/>
          <w:lang w:val="hy-AM"/>
        </w:rPr>
        <w:t>ակտիվացմանը</w:t>
      </w:r>
      <w:r w:rsidRPr="00C33773">
        <w:rPr>
          <w:b w:val="0"/>
          <w:noProof/>
          <w:szCs w:val="22"/>
          <w:lang w:val="af-ZA"/>
        </w:rPr>
        <w:t>:</w:t>
      </w:r>
    </w:p>
    <w:p w14:paraId="68E2F550" w14:textId="77777777" w:rsidR="00104AA3" w:rsidRPr="00C33773" w:rsidRDefault="00104AA3" w:rsidP="00AC1E1E">
      <w:pPr>
        <w:numPr>
          <w:ilvl w:val="12"/>
          <w:numId w:val="0"/>
        </w:numPr>
        <w:tabs>
          <w:tab w:val="left" w:pos="851"/>
        </w:tabs>
        <w:rPr>
          <w:b w:val="0"/>
          <w:noProof/>
          <w:szCs w:val="22"/>
          <w:lang w:val="af-ZA"/>
        </w:rPr>
      </w:pPr>
      <w:r w:rsidRPr="00C33773">
        <w:rPr>
          <w:b w:val="0"/>
          <w:noProof/>
          <w:szCs w:val="22"/>
        </w:rPr>
        <w:t>Ծրագրի</w:t>
      </w:r>
      <w:r w:rsidRPr="00C33773">
        <w:rPr>
          <w:b w:val="0"/>
          <w:noProof/>
          <w:szCs w:val="22"/>
          <w:lang w:val="af-ZA"/>
        </w:rPr>
        <w:t xml:space="preserve"> </w:t>
      </w:r>
      <w:r w:rsidRPr="00C33773">
        <w:rPr>
          <w:b w:val="0"/>
          <w:noProof/>
          <w:szCs w:val="22"/>
        </w:rPr>
        <w:t>շրջանակներում</w:t>
      </w:r>
      <w:r w:rsidRPr="00C33773">
        <w:rPr>
          <w:b w:val="0"/>
          <w:noProof/>
          <w:szCs w:val="22"/>
          <w:lang w:val="hy-AM"/>
        </w:rPr>
        <w:t>՝</w:t>
      </w:r>
      <w:r w:rsidRPr="00C33773">
        <w:rPr>
          <w:b w:val="0"/>
          <w:noProof/>
          <w:szCs w:val="22"/>
          <w:lang w:val="af-ZA"/>
        </w:rPr>
        <w:t xml:space="preserve"> </w:t>
      </w:r>
      <w:r w:rsidRPr="00C33773">
        <w:rPr>
          <w:b w:val="0"/>
          <w:noProof/>
          <w:szCs w:val="22"/>
          <w:lang w:val="hy-AM"/>
        </w:rPr>
        <w:t>90.</w:t>
      </w:r>
      <w:r w:rsidR="0038797D" w:rsidRPr="0038797D">
        <w:rPr>
          <w:b w:val="0"/>
          <w:noProof/>
          <w:szCs w:val="22"/>
          <w:lang w:val="af-ZA"/>
        </w:rPr>
        <w:t>7</w:t>
      </w:r>
      <w:r w:rsidRPr="00C33773">
        <w:rPr>
          <w:b w:val="0"/>
          <w:noProof/>
          <w:szCs w:val="22"/>
          <w:lang w:val="hy-AM"/>
        </w:rPr>
        <w:t xml:space="preserve"> մլն դրամ </w:t>
      </w:r>
      <w:r w:rsidRPr="00C33773">
        <w:rPr>
          <w:b w:val="0"/>
          <w:noProof/>
          <w:szCs w:val="22"/>
        </w:rPr>
        <w:t>հատկացումներն</w:t>
      </w:r>
      <w:r w:rsidRPr="00C33773">
        <w:rPr>
          <w:b w:val="0"/>
          <w:noProof/>
          <w:szCs w:val="22"/>
          <w:lang w:val="af-ZA"/>
        </w:rPr>
        <w:t xml:space="preserve"> </w:t>
      </w:r>
      <w:r w:rsidRPr="00C33773">
        <w:rPr>
          <w:b w:val="0"/>
          <w:noProof/>
          <w:szCs w:val="22"/>
        </w:rPr>
        <w:t>ուղղվելու</w:t>
      </w:r>
      <w:r w:rsidRPr="00C33773">
        <w:rPr>
          <w:b w:val="0"/>
          <w:noProof/>
          <w:szCs w:val="22"/>
          <w:lang w:val="af-ZA"/>
        </w:rPr>
        <w:t xml:space="preserve"> </w:t>
      </w:r>
      <w:r w:rsidRPr="00C33773">
        <w:rPr>
          <w:b w:val="0"/>
          <w:noProof/>
          <w:szCs w:val="22"/>
        </w:rPr>
        <w:t>են</w:t>
      </w:r>
      <w:r w:rsidRPr="00C33773">
        <w:rPr>
          <w:b w:val="0"/>
          <w:noProof/>
          <w:szCs w:val="22"/>
          <w:lang w:val="af-ZA"/>
        </w:rPr>
        <w:t xml:space="preserve"> </w:t>
      </w:r>
      <w:r w:rsidRPr="00C33773">
        <w:rPr>
          <w:b w:val="0"/>
          <w:noProof/>
          <w:szCs w:val="22"/>
        </w:rPr>
        <w:t>մարզերում</w:t>
      </w:r>
      <w:r w:rsidRPr="00C33773">
        <w:rPr>
          <w:b w:val="0"/>
          <w:noProof/>
          <w:szCs w:val="22"/>
          <w:lang w:val="af-ZA"/>
        </w:rPr>
        <w:t xml:space="preserve"> </w:t>
      </w:r>
      <w:r w:rsidRPr="00C33773">
        <w:rPr>
          <w:b w:val="0"/>
          <w:noProof/>
          <w:szCs w:val="22"/>
        </w:rPr>
        <w:t>մշակութային</w:t>
      </w:r>
      <w:r w:rsidRPr="00C33773">
        <w:rPr>
          <w:b w:val="0"/>
          <w:noProof/>
          <w:szCs w:val="22"/>
          <w:lang w:val="af-ZA"/>
        </w:rPr>
        <w:t xml:space="preserve"> </w:t>
      </w:r>
      <w:r w:rsidRPr="00C33773">
        <w:rPr>
          <w:b w:val="0"/>
          <w:noProof/>
          <w:szCs w:val="22"/>
        </w:rPr>
        <w:t>միջոցառումների</w:t>
      </w:r>
      <w:r w:rsidRPr="00C33773">
        <w:rPr>
          <w:b w:val="0"/>
          <w:noProof/>
          <w:szCs w:val="22"/>
          <w:lang w:val="af-ZA"/>
        </w:rPr>
        <w:t xml:space="preserve"> </w:t>
      </w:r>
      <w:r w:rsidRPr="00C33773">
        <w:rPr>
          <w:b w:val="0"/>
          <w:noProof/>
          <w:szCs w:val="22"/>
        </w:rPr>
        <w:t>իրականացմանը</w:t>
      </w:r>
      <w:r w:rsidRPr="00C33773">
        <w:rPr>
          <w:b w:val="0"/>
          <w:noProof/>
          <w:szCs w:val="22"/>
          <w:lang w:val="af-ZA"/>
        </w:rPr>
        <w:t xml:space="preserve">, </w:t>
      </w:r>
      <w:r w:rsidRPr="00C33773">
        <w:rPr>
          <w:b w:val="0"/>
          <w:noProof/>
          <w:szCs w:val="22"/>
        </w:rPr>
        <w:t>համայնքային</w:t>
      </w:r>
      <w:r w:rsidRPr="00C33773">
        <w:rPr>
          <w:b w:val="0"/>
          <w:noProof/>
          <w:szCs w:val="22"/>
          <w:lang w:val="af-ZA"/>
        </w:rPr>
        <w:t xml:space="preserve"> </w:t>
      </w:r>
      <w:r w:rsidRPr="00C33773">
        <w:rPr>
          <w:b w:val="0"/>
          <w:noProof/>
          <w:szCs w:val="22"/>
        </w:rPr>
        <w:t>մշակույթի</w:t>
      </w:r>
      <w:r w:rsidRPr="00C33773">
        <w:rPr>
          <w:b w:val="0"/>
          <w:noProof/>
          <w:szCs w:val="22"/>
          <w:lang w:val="af-ZA"/>
        </w:rPr>
        <w:t xml:space="preserve"> </w:t>
      </w:r>
      <w:r w:rsidRPr="00C33773">
        <w:rPr>
          <w:b w:val="0"/>
          <w:noProof/>
          <w:szCs w:val="22"/>
        </w:rPr>
        <w:t>և</w:t>
      </w:r>
      <w:r w:rsidRPr="00C33773">
        <w:rPr>
          <w:b w:val="0"/>
          <w:noProof/>
          <w:szCs w:val="22"/>
          <w:lang w:val="af-ZA"/>
        </w:rPr>
        <w:t xml:space="preserve"> </w:t>
      </w:r>
      <w:r w:rsidRPr="00C33773">
        <w:rPr>
          <w:b w:val="0"/>
          <w:noProof/>
          <w:szCs w:val="22"/>
        </w:rPr>
        <w:t>ազատ</w:t>
      </w:r>
      <w:r w:rsidRPr="00C33773">
        <w:rPr>
          <w:b w:val="0"/>
          <w:noProof/>
          <w:szCs w:val="22"/>
          <w:lang w:val="af-ZA"/>
        </w:rPr>
        <w:t xml:space="preserve"> </w:t>
      </w:r>
      <w:r w:rsidRPr="00C33773">
        <w:rPr>
          <w:b w:val="0"/>
          <w:noProof/>
          <w:szCs w:val="22"/>
        </w:rPr>
        <w:t>ժամանցի</w:t>
      </w:r>
      <w:r w:rsidRPr="00C33773">
        <w:rPr>
          <w:b w:val="0"/>
          <w:noProof/>
          <w:szCs w:val="22"/>
          <w:lang w:val="af-ZA"/>
        </w:rPr>
        <w:t xml:space="preserve"> </w:t>
      </w:r>
      <w:r w:rsidRPr="00C33773">
        <w:rPr>
          <w:b w:val="0"/>
          <w:noProof/>
          <w:szCs w:val="22"/>
        </w:rPr>
        <w:t>կազմակերպմանը</w:t>
      </w:r>
      <w:r w:rsidRPr="00C33773">
        <w:rPr>
          <w:b w:val="0"/>
          <w:noProof/>
          <w:szCs w:val="22"/>
          <w:lang w:val="af-ZA"/>
        </w:rPr>
        <w:t>:</w:t>
      </w:r>
    </w:p>
    <w:p w14:paraId="65E9F832" w14:textId="77777777" w:rsidR="00104AA3" w:rsidRPr="00104AA3" w:rsidRDefault="00104AA3" w:rsidP="00AC1E1E">
      <w:pPr>
        <w:keepNext/>
        <w:tabs>
          <w:tab w:val="left" w:pos="360"/>
        </w:tabs>
        <w:rPr>
          <w:rFonts w:eastAsiaTheme="majorEastAsia" w:cstheme="majorBidi"/>
          <w:bCs/>
          <w:color w:val="1F497D" w:themeColor="text2"/>
          <w:sz w:val="24"/>
          <w:lang w:val="hy-AM" w:eastAsia="en-US"/>
        </w:rPr>
      </w:pPr>
      <w:r w:rsidRPr="00104AA3">
        <w:rPr>
          <w:rFonts w:eastAsiaTheme="majorEastAsia" w:cstheme="majorBidi"/>
          <w:bCs/>
          <w:color w:val="1F497D" w:themeColor="text2"/>
          <w:sz w:val="24"/>
          <w:lang w:val="hy-AM" w:eastAsia="en-US"/>
        </w:rPr>
        <w:t>Ֆիզիկական կուլտուրա և սպորտ</w:t>
      </w:r>
    </w:p>
    <w:p w14:paraId="5BE372D9" w14:textId="77777777" w:rsidR="00104AA3" w:rsidRPr="00C33773" w:rsidRDefault="00104AA3" w:rsidP="00AC1E1E">
      <w:pPr>
        <w:tabs>
          <w:tab w:val="left" w:pos="0"/>
        </w:tabs>
        <w:rPr>
          <w:b w:val="0"/>
          <w:szCs w:val="22"/>
          <w:lang w:val="hy-AM"/>
        </w:rPr>
      </w:pPr>
      <w:r w:rsidRPr="00C33773">
        <w:rPr>
          <w:b w:val="0"/>
          <w:szCs w:val="22"/>
          <w:lang w:val="hy-AM"/>
        </w:rPr>
        <w:t xml:space="preserve">Սպորտի ոլորտում պետական քաղաքականությունն ուղղված է </w:t>
      </w:r>
      <w:r w:rsidRPr="00C33773">
        <w:rPr>
          <w:rFonts w:cs="Arial"/>
          <w:b w:val="0"/>
          <w:iCs/>
          <w:lang w:val="hy-AM"/>
        </w:rPr>
        <w:t>բնակչության շրջանում առողջ ապրելակերպի և ակտիվ հանգստի արմատավորմանը, ֆիզիկական կուլտուրայի և սպորտի միջոցով բնակչության առողջության ամրապնդմանը։ ՀՀ կառավարությունը խրախուսում է նաև մարզական բարձր արդյունքները միջազգային մրցասպարեզներում, աջակցում է մարզական ֆեդերացիաների գործունեությանը</w:t>
      </w:r>
      <w:r w:rsidRPr="00C33773">
        <w:rPr>
          <w:b w:val="0"/>
          <w:szCs w:val="22"/>
          <w:lang w:val="hy-AM"/>
        </w:rPr>
        <w:t xml:space="preserve"> </w:t>
      </w:r>
      <w:r w:rsidRPr="00C33773">
        <w:rPr>
          <w:b w:val="0"/>
          <w:noProof/>
          <w:szCs w:val="22"/>
          <w:lang w:val="hy-AM"/>
        </w:rPr>
        <w:t>(հիմք՝ ՀՀ կառավարության ծրագրի «4.8 Սպորտ» բաժին)</w:t>
      </w:r>
      <w:r w:rsidRPr="00C33773">
        <w:rPr>
          <w:b w:val="0"/>
          <w:szCs w:val="22"/>
          <w:lang w:val="hy-AM"/>
        </w:rPr>
        <w:t xml:space="preserve">: </w:t>
      </w:r>
    </w:p>
    <w:p w14:paraId="3FB9E31F" w14:textId="77777777" w:rsidR="00104AA3" w:rsidRPr="00C33773" w:rsidRDefault="00104AA3" w:rsidP="00AC1E1E">
      <w:pPr>
        <w:numPr>
          <w:ilvl w:val="12"/>
          <w:numId w:val="0"/>
        </w:numPr>
        <w:tabs>
          <w:tab w:val="left" w:pos="851"/>
        </w:tabs>
        <w:rPr>
          <w:b w:val="0"/>
          <w:noProof/>
          <w:szCs w:val="22"/>
          <w:lang w:val="hy-AM"/>
        </w:rPr>
      </w:pPr>
      <w:r w:rsidRPr="001F6A37">
        <w:rPr>
          <w:b w:val="0"/>
          <w:noProof/>
          <w:szCs w:val="22"/>
          <w:lang w:val="hy-AM"/>
        </w:rPr>
        <w:t>Ս</w:t>
      </w:r>
      <w:r w:rsidRPr="00C33773">
        <w:rPr>
          <w:b w:val="0"/>
          <w:noProof/>
          <w:szCs w:val="22"/>
          <w:lang w:val="hy-AM"/>
        </w:rPr>
        <w:t>պորտի համար նախատեսված հատկացումներն ուղղվելու են 2 ծրագրերի իրականացմանը:</w:t>
      </w:r>
    </w:p>
    <w:p w14:paraId="594AF281" w14:textId="77777777" w:rsidR="00104AA3" w:rsidRPr="00C33773" w:rsidRDefault="00104AA3" w:rsidP="00AC1E1E">
      <w:pPr>
        <w:numPr>
          <w:ilvl w:val="12"/>
          <w:numId w:val="0"/>
        </w:numPr>
        <w:tabs>
          <w:tab w:val="left" w:pos="851"/>
        </w:tabs>
        <w:rPr>
          <w:b w:val="0"/>
          <w:noProof/>
          <w:szCs w:val="22"/>
          <w:lang w:val="hy-AM"/>
        </w:rPr>
      </w:pPr>
      <w:r w:rsidRPr="00C33773">
        <w:rPr>
          <w:noProof/>
          <w:szCs w:val="22"/>
          <w:lang w:val="hy-AM"/>
        </w:rPr>
        <w:t xml:space="preserve">Մեծ նվաճումների սպորտ </w:t>
      </w:r>
      <w:r w:rsidRPr="00C33773">
        <w:rPr>
          <w:b w:val="0"/>
          <w:noProof/>
          <w:szCs w:val="22"/>
          <w:lang w:val="hy-AM"/>
        </w:rPr>
        <w:t>ծրագրի նպատակն է նպաստել Հայաստանում մեծ սպորտի շարունակական զարգացմանը և միջազգային հարթակներում ՀՀ դիրքի բարելավմանը:</w:t>
      </w:r>
    </w:p>
    <w:p w14:paraId="2B461B54" w14:textId="027D06F4" w:rsidR="00104AA3" w:rsidRPr="00C33773" w:rsidRDefault="00104AA3" w:rsidP="00AC1E1E">
      <w:pPr>
        <w:numPr>
          <w:ilvl w:val="12"/>
          <w:numId w:val="0"/>
        </w:numPr>
        <w:tabs>
          <w:tab w:val="left" w:pos="851"/>
        </w:tabs>
        <w:rPr>
          <w:b w:val="0"/>
          <w:noProof/>
          <w:szCs w:val="22"/>
          <w:lang w:val="hy-AM"/>
        </w:rPr>
      </w:pPr>
      <w:r w:rsidRPr="00C33773">
        <w:rPr>
          <w:b w:val="0"/>
          <w:noProof/>
          <w:szCs w:val="22"/>
          <w:lang w:val="hy-AM"/>
        </w:rPr>
        <w:t xml:space="preserve">Ծրագրի շրջանակներում հատկացումներն ուղղվելու են օլիմպիական խաղերին, միջազգային տարբեր մակարդակի միջոցառումներին, ուսումնամարզական հավաքներին, hանրապետական առաջնություններին Հայաստանի հավաքական թիմերի մասնակցության ապահովմանը, աշխարհի, Եվրոպայի առաջնություններում հաղթողների և մրցանակակիրների պարգևատրման ծախսերի իրականացմանը, ՀՀ հավաքական թիմերի գլխավոր և ավագ մարզիչների վարձատրությանը և աշխարհի չեմպիոններին, օլիմպիական խաղերի և շախմատի համաշխարհային օլիմպիադայի մրցանակակիրներին պատվովճարի, օլիմպիական խաղերում, աշխարհի և Եվրոպայի առաջնություններում բարձր արդյունքների հասած ՀՀ հավաքական թիմերի մարզիկներին և նրանց մարզիչներին անվանական թոշակի հատկացմանը, շախմատիստների պատրաստմանը, հաշմանդամային և նավամոդելային սպորտին աջակցմանը, սպորտային բժշկության և հակադոպինգային հսկողության և շախմատի մրցույթների պատրաստման ծառայությունների իրականացմանը (ՀՀ առաջնությունների և միջազգային մարզական միջոցառումների մասնակիցների </w:t>
      </w:r>
      <w:r w:rsidR="00AD04FC">
        <w:rPr>
          <w:b w:val="0"/>
          <w:noProof/>
          <w:szCs w:val="22"/>
          <w:lang w:val="hy-AM"/>
        </w:rPr>
        <w:t>թիվ</w:t>
      </w:r>
      <w:r w:rsidRPr="00C33773">
        <w:rPr>
          <w:b w:val="0"/>
          <w:noProof/>
          <w:szCs w:val="22"/>
          <w:lang w:val="hy-AM"/>
        </w:rPr>
        <w:t xml:space="preserve">ը նախատեսվում է համապատասխանաբար՝ 9680 և 2280): </w:t>
      </w:r>
    </w:p>
    <w:p w14:paraId="3B931E89" w14:textId="77777777" w:rsidR="00104AA3" w:rsidRPr="00C33773" w:rsidRDefault="00104AA3" w:rsidP="00AC1E1E">
      <w:pPr>
        <w:numPr>
          <w:ilvl w:val="12"/>
          <w:numId w:val="0"/>
        </w:numPr>
        <w:tabs>
          <w:tab w:val="left" w:pos="851"/>
        </w:tabs>
        <w:rPr>
          <w:b w:val="0"/>
          <w:noProof/>
          <w:szCs w:val="22"/>
          <w:lang w:val="hy-AM"/>
        </w:rPr>
      </w:pPr>
      <w:r w:rsidRPr="00C33773">
        <w:rPr>
          <w:b w:val="0"/>
          <w:noProof/>
          <w:szCs w:val="22"/>
          <w:lang w:val="hy-AM"/>
        </w:rPr>
        <w:t>Մեծ նվաճումների սպորտ» ծրագրի համար 2024 թվականին նախատեսվում է հատկացնել 3,984.0 մլն դրամ:</w:t>
      </w:r>
    </w:p>
    <w:p w14:paraId="16075061" w14:textId="77777777" w:rsidR="00104AA3" w:rsidRPr="00C33773" w:rsidRDefault="00104AA3" w:rsidP="00AC1E1E">
      <w:pPr>
        <w:numPr>
          <w:ilvl w:val="12"/>
          <w:numId w:val="0"/>
        </w:numPr>
        <w:tabs>
          <w:tab w:val="left" w:pos="851"/>
        </w:tabs>
        <w:rPr>
          <w:b w:val="0"/>
          <w:noProof/>
          <w:szCs w:val="22"/>
          <w:lang w:val="hy-AM"/>
        </w:rPr>
      </w:pPr>
      <w:r w:rsidRPr="00C33773">
        <w:rPr>
          <w:noProof/>
          <w:szCs w:val="22"/>
          <w:lang w:val="hy-AM"/>
        </w:rPr>
        <w:t xml:space="preserve">Մասսայական սպորտ </w:t>
      </w:r>
      <w:r w:rsidRPr="00C33773">
        <w:rPr>
          <w:b w:val="0"/>
          <w:noProof/>
          <w:szCs w:val="22"/>
          <w:lang w:val="hy-AM"/>
        </w:rPr>
        <w:t>ծրագրի նպատակն է ապահովել բնակչության շրջանում առողջ ապրելակերպի արմատավորումը, անհատի բազմակողմանի ու ներդաշնակ զարգացման գործում ֆիզիկական կուլտուրայի և սպորտի դերի բարձրացումը:</w:t>
      </w:r>
    </w:p>
    <w:p w14:paraId="31A34E37" w14:textId="406E4315" w:rsidR="00104AA3" w:rsidRPr="00C33773" w:rsidRDefault="00104AA3" w:rsidP="00AC1E1E">
      <w:pPr>
        <w:numPr>
          <w:ilvl w:val="12"/>
          <w:numId w:val="0"/>
        </w:numPr>
        <w:tabs>
          <w:tab w:val="left" w:pos="851"/>
        </w:tabs>
        <w:rPr>
          <w:b w:val="0"/>
          <w:noProof/>
          <w:szCs w:val="22"/>
          <w:lang w:val="hy-AM"/>
        </w:rPr>
      </w:pPr>
      <w:r w:rsidRPr="00C33773">
        <w:rPr>
          <w:b w:val="0"/>
          <w:noProof/>
          <w:szCs w:val="22"/>
          <w:lang w:val="hy-AM"/>
        </w:rPr>
        <w:lastRenderedPageBreak/>
        <w:t xml:space="preserve">Ծրագրի շրջանակներում հատկացումներն ուղղվելու են Համաշխարհային ունիվերսիադային Հայաստանի ուսանողական մարզական պատվիրակության մասնակցության ապահովմանը, մասսայական սպորտի միջոցառումների իրականացմանը (մասսայական սպորտային միջոցառումներին մասնակիցների  </w:t>
      </w:r>
      <w:r w:rsidR="00AD04FC">
        <w:rPr>
          <w:b w:val="0"/>
          <w:noProof/>
          <w:szCs w:val="22"/>
          <w:lang w:val="hy-AM"/>
        </w:rPr>
        <w:t>թիվ</w:t>
      </w:r>
      <w:r w:rsidRPr="00C33773">
        <w:rPr>
          <w:b w:val="0"/>
          <w:noProof/>
          <w:szCs w:val="22"/>
          <w:lang w:val="hy-AM"/>
        </w:rPr>
        <w:t>ը կանխատեսվում է՝ 40000) և մարզական օբյեկտների շինարարությանը և հիմնանորոգմանը:</w:t>
      </w:r>
    </w:p>
    <w:p w14:paraId="60FC5790" w14:textId="77777777" w:rsidR="00104AA3" w:rsidRPr="00C33773" w:rsidRDefault="00104AA3" w:rsidP="00AC1E1E">
      <w:pPr>
        <w:numPr>
          <w:ilvl w:val="12"/>
          <w:numId w:val="0"/>
        </w:numPr>
        <w:tabs>
          <w:tab w:val="left" w:pos="851"/>
        </w:tabs>
        <w:rPr>
          <w:b w:val="0"/>
          <w:noProof/>
          <w:szCs w:val="22"/>
          <w:lang w:val="hy-AM"/>
        </w:rPr>
      </w:pPr>
      <w:r w:rsidRPr="00C33773">
        <w:rPr>
          <w:b w:val="0"/>
          <w:noProof/>
          <w:szCs w:val="22"/>
          <w:lang w:val="hy-AM"/>
        </w:rPr>
        <w:t>Մասսայական սպորտ» ծրագրի համար 2024 թվականին նախատեսվում է հատկացնել 2,</w:t>
      </w:r>
      <w:r w:rsidRPr="001F6A37">
        <w:rPr>
          <w:b w:val="0"/>
          <w:noProof/>
          <w:szCs w:val="22"/>
          <w:lang w:val="hy-AM"/>
        </w:rPr>
        <w:t>724</w:t>
      </w:r>
      <w:r w:rsidRPr="00C33773">
        <w:rPr>
          <w:b w:val="0"/>
          <w:noProof/>
          <w:szCs w:val="22"/>
          <w:lang w:val="hy-AM"/>
        </w:rPr>
        <w:t>.</w:t>
      </w:r>
      <w:r w:rsidRPr="001F6A37">
        <w:rPr>
          <w:b w:val="0"/>
          <w:noProof/>
          <w:szCs w:val="22"/>
          <w:lang w:val="hy-AM"/>
        </w:rPr>
        <w:t>7</w:t>
      </w:r>
      <w:r w:rsidRPr="00C33773">
        <w:rPr>
          <w:b w:val="0"/>
          <w:noProof/>
          <w:szCs w:val="22"/>
          <w:lang w:val="hy-AM"/>
        </w:rPr>
        <w:t xml:space="preserve"> մլն դրամ:</w:t>
      </w:r>
    </w:p>
    <w:p w14:paraId="4BB8295F" w14:textId="77777777" w:rsidR="00104AA3" w:rsidRPr="00C33773" w:rsidRDefault="00104AA3" w:rsidP="00AC1E1E">
      <w:pPr>
        <w:keepNext/>
        <w:tabs>
          <w:tab w:val="left" w:pos="360"/>
        </w:tabs>
        <w:rPr>
          <w:b w:val="0"/>
          <w:noProof/>
          <w:szCs w:val="22"/>
          <w:lang w:val="hy-AM"/>
        </w:rPr>
      </w:pPr>
      <w:r w:rsidRPr="00C33773">
        <w:rPr>
          <w:noProof/>
          <w:szCs w:val="22"/>
          <w:lang w:val="hy-AM"/>
        </w:rPr>
        <w:t xml:space="preserve">Երիտասարդության </w:t>
      </w:r>
      <w:r w:rsidRPr="00C33773">
        <w:rPr>
          <w:b w:val="0"/>
          <w:noProof/>
          <w:szCs w:val="22"/>
          <w:lang w:val="hy-AM"/>
        </w:rPr>
        <w:t>ծրագրի նպատակն է նպաստել սոցիալ-տնտեսական, քաղաքական և մշակութային կյանքին երիտասարդների լիարժեք ներգրավմանը և նրանց ստեղծագործական ներուժի ամբողջական դրսևորմանը</w:t>
      </w:r>
      <w:r w:rsidRPr="00C33773">
        <w:rPr>
          <w:b w:val="0"/>
          <w:szCs w:val="22"/>
          <w:lang w:val="af-ZA"/>
        </w:rPr>
        <w:t xml:space="preserve"> </w:t>
      </w:r>
      <w:r w:rsidRPr="00C33773">
        <w:rPr>
          <w:b w:val="0"/>
          <w:noProof/>
          <w:szCs w:val="22"/>
          <w:lang w:val="hy-AM"/>
        </w:rPr>
        <w:t>(հիմք՝ ՀՀ կառավարության «4.7 Երիտասարդություն» բաժին):</w:t>
      </w:r>
    </w:p>
    <w:p w14:paraId="7317F73A" w14:textId="17EE93A1" w:rsidR="00104AA3" w:rsidRPr="00C33773" w:rsidRDefault="00104AA3" w:rsidP="00AC1E1E">
      <w:pPr>
        <w:numPr>
          <w:ilvl w:val="12"/>
          <w:numId w:val="0"/>
        </w:numPr>
        <w:tabs>
          <w:tab w:val="left" w:pos="851"/>
        </w:tabs>
        <w:rPr>
          <w:b w:val="0"/>
          <w:noProof/>
          <w:szCs w:val="22"/>
          <w:lang w:val="hy-AM"/>
        </w:rPr>
      </w:pPr>
      <w:r w:rsidRPr="00C33773">
        <w:rPr>
          <w:b w:val="0"/>
          <w:noProof/>
          <w:szCs w:val="22"/>
          <w:lang w:val="hy-AM"/>
        </w:rPr>
        <w:t xml:space="preserve">Ծրագրի շրջանակներում հատկացումներն ուղղվելու են երիտասարդական պետական քաղաքականությանն ուղղված ծրագրերի և միջոցառումների, «ՀՀ տարվա երիտասարդական մայրաքաղաք» միջոցառման, երիտասարդական ծրագրերի շրջանակներում թրաֆիքինգի դեմ պայքարի միջոցառումների իրականացմանը, </w:t>
      </w:r>
      <w:r w:rsidR="00D827F0" w:rsidRPr="00C33773">
        <w:rPr>
          <w:b w:val="0"/>
          <w:noProof/>
          <w:szCs w:val="22"/>
          <w:lang w:val="hy-AM"/>
        </w:rPr>
        <w:t>«</w:t>
      </w:r>
      <w:r w:rsidR="00D827F0" w:rsidRPr="00D827F0">
        <w:rPr>
          <w:b w:val="0"/>
          <w:noProof/>
          <w:szCs w:val="22"/>
          <w:lang w:val="hy-AM"/>
        </w:rPr>
        <w:t>Ե</w:t>
      </w:r>
      <w:r w:rsidRPr="00C33773">
        <w:rPr>
          <w:b w:val="0"/>
          <w:noProof/>
          <w:szCs w:val="22"/>
          <w:lang w:val="hy-AM"/>
        </w:rPr>
        <w:t>րիտասարդ ընտանիքին</w:t>
      </w:r>
      <w:r w:rsidR="00D827F0" w:rsidRPr="00D827F0">
        <w:rPr>
          <w:b w:val="0"/>
          <w:noProof/>
          <w:szCs w:val="22"/>
          <w:lang w:val="hy-AM"/>
        </w:rPr>
        <w:t>՝ մատչելի բնակարան</w:t>
      </w:r>
      <w:r w:rsidR="00D827F0" w:rsidRPr="00C33773">
        <w:rPr>
          <w:b w:val="0"/>
          <w:noProof/>
          <w:szCs w:val="22"/>
          <w:lang w:val="hy-AM"/>
        </w:rPr>
        <w:t>»</w:t>
      </w:r>
      <w:r w:rsidR="00D827F0" w:rsidRPr="00D827F0">
        <w:rPr>
          <w:b w:val="0"/>
          <w:noProof/>
          <w:szCs w:val="22"/>
          <w:lang w:val="hy-AM"/>
        </w:rPr>
        <w:t xml:space="preserve"> պետական նպատակային ծրագրի շրջանակներում երիտասարդ ընտանիքներին</w:t>
      </w:r>
      <w:r w:rsidR="00D827F0">
        <w:rPr>
          <w:b w:val="0"/>
          <w:noProof/>
          <w:szCs w:val="22"/>
          <w:lang w:val="hy-AM"/>
        </w:rPr>
        <w:t xml:space="preserve"> աջակցմանը (սուբսիդավոր</w:t>
      </w:r>
      <w:r w:rsidR="00D827F0" w:rsidRPr="00D827F0">
        <w:rPr>
          <w:b w:val="0"/>
          <w:noProof/>
          <w:szCs w:val="22"/>
          <w:lang w:val="hy-AM"/>
        </w:rPr>
        <w:t>ում ստացող</w:t>
      </w:r>
      <w:r w:rsidRPr="00C33773">
        <w:rPr>
          <w:b w:val="0"/>
          <w:noProof/>
          <w:szCs w:val="22"/>
          <w:lang w:val="hy-AM"/>
        </w:rPr>
        <w:t xml:space="preserve"> ընտանիքների </w:t>
      </w:r>
      <w:r w:rsidR="00AD04FC">
        <w:rPr>
          <w:b w:val="0"/>
          <w:noProof/>
          <w:szCs w:val="22"/>
          <w:lang w:val="hy-AM"/>
        </w:rPr>
        <w:t>թիվ</w:t>
      </w:r>
      <w:r w:rsidRPr="00C33773">
        <w:rPr>
          <w:b w:val="0"/>
          <w:noProof/>
          <w:szCs w:val="22"/>
          <w:lang w:val="hy-AM"/>
        </w:rPr>
        <w:t xml:space="preserve">ը կկազմի </w:t>
      </w:r>
      <w:r w:rsidR="00353E6C" w:rsidRPr="00353E6C">
        <w:rPr>
          <w:b w:val="0"/>
          <w:noProof/>
          <w:szCs w:val="22"/>
          <w:lang w:val="hy-AM"/>
        </w:rPr>
        <w:t>9775</w:t>
      </w:r>
      <w:r w:rsidRPr="00C33773">
        <w:rPr>
          <w:b w:val="0"/>
          <w:noProof/>
          <w:szCs w:val="22"/>
          <w:lang w:val="hy-AM"/>
        </w:rPr>
        <w:t>):</w:t>
      </w:r>
    </w:p>
    <w:p w14:paraId="7974647A" w14:textId="77777777" w:rsidR="00104AA3" w:rsidRPr="00C33773" w:rsidRDefault="00104AA3" w:rsidP="00AC1E1E">
      <w:pPr>
        <w:numPr>
          <w:ilvl w:val="12"/>
          <w:numId w:val="0"/>
        </w:numPr>
        <w:tabs>
          <w:tab w:val="left" w:pos="851"/>
        </w:tabs>
        <w:rPr>
          <w:b w:val="0"/>
          <w:noProof/>
          <w:szCs w:val="22"/>
          <w:lang w:val="hy-AM"/>
        </w:rPr>
      </w:pPr>
      <w:r w:rsidRPr="00C33773">
        <w:rPr>
          <w:b w:val="0"/>
          <w:noProof/>
          <w:szCs w:val="22"/>
          <w:lang w:val="hy-AM"/>
        </w:rPr>
        <w:t>Երիտասարդության ծրագրի համար 2024 թվականին նախատեսվում է հատկացնել 2,331.9 մլն դրամ:</w:t>
      </w:r>
    </w:p>
    <w:p w14:paraId="013F98A1" w14:textId="77777777" w:rsidR="00437B7A" w:rsidRPr="007955BB" w:rsidRDefault="00437B7A" w:rsidP="00AC1E1E">
      <w:pPr>
        <w:numPr>
          <w:ilvl w:val="12"/>
          <w:numId w:val="0"/>
        </w:numPr>
        <w:tabs>
          <w:tab w:val="left" w:pos="851"/>
        </w:tabs>
        <w:rPr>
          <w:noProof/>
          <w:szCs w:val="22"/>
          <w:lang w:val="hy-AM"/>
        </w:rPr>
      </w:pPr>
    </w:p>
    <w:p w14:paraId="7FCF1926" w14:textId="77777777" w:rsidR="009506DE" w:rsidRPr="001F6A37" w:rsidRDefault="009506DE" w:rsidP="00AC1E1E">
      <w:pPr>
        <w:pStyle w:val="Heading1"/>
      </w:pPr>
      <w:bookmarkStart w:id="304" w:name="_Toc526009805"/>
      <w:bookmarkStart w:id="305" w:name="_Toc153184496"/>
      <w:bookmarkEnd w:id="302"/>
      <w:r w:rsidRPr="006B0C25">
        <w:t>ՀՀ աշխատանքի և սոցիալական հարցերի նախարարություն</w:t>
      </w:r>
      <w:bookmarkEnd w:id="304"/>
      <w:bookmarkEnd w:id="305"/>
      <w:r w:rsidRPr="001F6A37">
        <w:t xml:space="preserve"> </w:t>
      </w:r>
    </w:p>
    <w:p w14:paraId="72276C63" w14:textId="77777777" w:rsidR="00F47B79" w:rsidRPr="00114178" w:rsidRDefault="00F47B79" w:rsidP="00AC1E1E">
      <w:pPr>
        <w:tabs>
          <w:tab w:val="left" w:pos="0"/>
        </w:tabs>
        <w:rPr>
          <w:rFonts w:eastAsiaTheme="minorHAnsi" w:cs="Cambria Math"/>
          <w:bCs/>
          <w:szCs w:val="22"/>
          <w:highlight w:val="yellow"/>
          <w:lang w:val="hy-AM" w:eastAsia="en-US"/>
        </w:rPr>
      </w:pPr>
      <w:r w:rsidRPr="00EB40D6">
        <w:rPr>
          <w:rFonts w:eastAsiaTheme="minorHAnsi" w:cs="Cambria Math"/>
          <w:b w:val="0"/>
          <w:bCs/>
          <w:szCs w:val="22"/>
          <w:lang w:val="hy-AM" w:eastAsia="en-US"/>
        </w:rPr>
        <w:t>ՀՀ աշխատանքի</w:t>
      </w:r>
      <w:r w:rsidRPr="00EB40D6">
        <w:rPr>
          <w:rFonts w:eastAsiaTheme="minorHAnsi" w:cs="Cambria Math"/>
          <w:b w:val="0"/>
          <w:bCs/>
          <w:szCs w:val="22"/>
          <w:lang w:val="af-ZA" w:eastAsia="en-US"/>
        </w:rPr>
        <w:t xml:space="preserve"> </w:t>
      </w:r>
      <w:r w:rsidRPr="00EB40D6">
        <w:rPr>
          <w:rFonts w:eastAsiaTheme="minorHAnsi" w:cs="Cambria Math"/>
          <w:b w:val="0"/>
          <w:bCs/>
          <w:szCs w:val="22"/>
          <w:lang w:val="hy-AM" w:eastAsia="en-US"/>
        </w:rPr>
        <w:t>և</w:t>
      </w:r>
      <w:r w:rsidRPr="00EB40D6">
        <w:rPr>
          <w:rFonts w:eastAsiaTheme="minorHAnsi" w:cs="Cambria Math"/>
          <w:b w:val="0"/>
          <w:bCs/>
          <w:szCs w:val="22"/>
          <w:lang w:val="af-ZA" w:eastAsia="en-US"/>
        </w:rPr>
        <w:t xml:space="preserve"> </w:t>
      </w:r>
      <w:r w:rsidRPr="00874991">
        <w:rPr>
          <w:b w:val="0"/>
          <w:bCs/>
          <w:color w:val="191919"/>
          <w:szCs w:val="22"/>
          <w:shd w:val="clear" w:color="auto" w:fill="FFFFFF"/>
          <w:lang w:val="hy-AM" w:eastAsia="en-US"/>
        </w:rPr>
        <w:t>սոցիալական հարցերի նախարարության գծով ՀՀ 2024 թվականի պետական բյուջեով նախատեսվում է 795,324.6 մլն դրամ (ներառյալ կառավարման ապարատի պահպանման ծախսերը)</w:t>
      </w:r>
      <w:r w:rsidRPr="00EB40D6">
        <w:rPr>
          <w:rFonts w:cs="Sylfaen"/>
          <w:b w:val="0"/>
          <w:szCs w:val="22"/>
          <w:lang w:val="hy-AM"/>
        </w:rPr>
        <w:t>¸</w:t>
      </w:r>
      <w:r w:rsidRPr="00EB40D6">
        <w:rPr>
          <w:rFonts w:cs="Sylfaen"/>
          <w:b w:val="0"/>
          <w:szCs w:val="22"/>
          <w:lang w:val="af-ZA"/>
        </w:rPr>
        <w:t xml:space="preserve"> </w:t>
      </w:r>
      <w:r w:rsidRPr="00EB40D6">
        <w:rPr>
          <w:b w:val="0"/>
          <w:bCs/>
          <w:color w:val="191919"/>
          <w:szCs w:val="22"/>
          <w:shd w:val="clear" w:color="auto" w:fill="FFFFFF"/>
          <w:lang w:val="hy-AM" w:eastAsia="en-US"/>
        </w:rPr>
        <w:t>որի շրջանակներում նախատեսվում է իրականացնել հետևյալ ծրագրերը.</w:t>
      </w:r>
    </w:p>
    <w:p w14:paraId="6D761456" w14:textId="77777777" w:rsidR="00F47B79" w:rsidRPr="00EB40D6" w:rsidRDefault="00F47B79" w:rsidP="00AC1E1E">
      <w:pPr>
        <w:tabs>
          <w:tab w:val="left" w:pos="0"/>
        </w:tabs>
        <w:rPr>
          <w:b w:val="0"/>
          <w:iCs/>
          <w:color w:val="191919"/>
          <w:szCs w:val="22"/>
          <w:shd w:val="clear" w:color="auto" w:fill="FFFFFF"/>
          <w:lang w:val="hy-AM" w:eastAsia="en-US"/>
        </w:rPr>
      </w:pPr>
      <w:r w:rsidRPr="00EB40D6">
        <w:rPr>
          <w:iCs/>
          <w:color w:val="191919"/>
          <w:szCs w:val="22"/>
          <w:shd w:val="clear" w:color="auto" w:fill="FFFFFF"/>
          <w:lang w:val="hy-AM" w:eastAsia="en-US"/>
        </w:rPr>
        <w:t xml:space="preserve">Պարգևավճարներ և պատվովճարներ ծրագրի </w:t>
      </w:r>
      <w:r w:rsidRPr="00EB40D6">
        <w:rPr>
          <w:b w:val="0"/>
          <w:iCs/>
          <w:color w:val="191919"/>
          <w:szCs w:val="22"/>
          <w:shd w:val="clear" w:color="auto" w:fill="FFFFFF"/>
          <w:lang w:val="hy-AM" w:eastAsia="en-US"/>
        </w:rPr>
        <w:t xml:space="preserve">վերջնական արդյունքը զինծառայողների, այդ թվում՝ ՀՄՊ վետերանների և նրանց ընտանիքների անդամների սոցիալական պաշտպանվածության մակարդակի բարձրացումն է: </w:t>
      </w:r>
    </w:p>
    <w:p w14:paraId="65F7298A" w14:textId="77777777" w:rsidR="00F47B79" w:rsidRPr="00EB40D6" w:rsidRDefault="00F47B79" w:rsidP="00AC1E1E">
      <w:pPr>
        <w:tabs>
          <w:tab w:val="left" w:pos="0"/>
        </w:tabs>
        <w:rPr>
          <w:b w:val="0"/>
          <w:iCs/>
          <w:color w:val="191919"/>
          <w:szCs w:val="22"/>
          <w:shd w:val="clear" w:color="auto" w:fill="FFFFFF"/>
          <w:lang w:val="hy-AM" w:eastAsia="en-US"/>
        </w:rPr>
      </w:pPr>
      <w:r w:rsidRPr="00EB40D6">
        <w:rPr>
          <w:b w:val="0"/>
          <w:iCs/>
          <w:color w:val="191919"/>
          <w:szCs w:val="22"/>
          <w:shd w:val="clear" w:color="auto" w:fill="FFFFFF"/>
          <w:lang w:val="hy-AM" w:eastAsia="en-US"/>
        </w:rPr>
        <w:t>Հարկ է նկատի ունենալ, որ օրենսդրական փոփոխությունների արդյունքում 2023 թվականի ընթացքում ընդլայնվել է պարգևավճար ստանալու իրավունք ունեցող անձանց շրջանակը, մասնավորապես, այսուհետ պարգևավճարի իրավունք ունեն նաև աշխատանքային կենսաթոշակ կամ ծերության նպաստ կամ հաշմանդամության նպաստ կամ կերակրողին կորցնելու դեպքում նպաստ ստանալու իրավունք ունեցող հետևյալ կատեգորիաների անձինք`</w:t>
      </w:r>
    </w:p>
    <w:p w14:paraId="56018E8A" w14:textId="77777777" w:rsidR="00F47B79" w:rsidRPr="00876C72" w:rsidRDefault="00F47B79" w:rsidP="00AC1E1E">
      <w:pPr>
        <w:numPr>
          <w:ilvl w:val="0"/>
          <w:numId w:val="28"/>
        </w:numPr>
        <w:tabs>
          <w:tab w:val="left" w:pos="567"/>
        </w:tabs>
        <w:ind w:left="540" w:hanging="540"/>
        <w:rPr>
          <w:rFonts w:cs="Sylfaen"/>
          <w:b w:val="0"/>
          <w:szCs w:val="22"/>
          <w:lang w:val="hy-AM" w:eastAsia="en-US"/>
        </w:rPr>
      </w:pPr>
      <w:r w:rsidRPr="00876C72">
        <w:rPr>
          <w:rFonts w:cs="Sylfaen"/>
          <w:b w:val="0"/>
          <w:szCs w:val="22"/>
          <w:lang w:val="hy-AM" w:eastAsia="en-US"/>
        </w:rPr>
        <w:t xml:space="preserve">ՀՀ պաշտպանության մարտական գործողությունների մասնակիցները՝ 5,000 դրամ, </w:t>
      </w:r>
    </w:p>
    <w:p w14:paraId="14C62432" w14:textId="77777777" w:rsidR="00F47B79" w:rsidRPr="00876C72" w:rsidRDefault="00F47B79" w:rsidP="00AC1E1E">
      <w:pPr>
        <w:numPr>
          <w:ilvl w:val="0"/>
          <w:numId w:val="28"/>
        </w:numPr>
        <w:tabs>
          <w:tab w:val="left" w:pos="567"/>
        </w:tabs>
        <w:ind w:left="540" w:hanging="540"/>
        <w:rPr>
          <w:rFonts w:cs="Sylfaen"/>
          <w:b w:val="0"/>
          <w:szCs w:val="22"/>
          <w:lang w:val="hy-AM" w:eastAsia="en-US"/>
        </w:rPr>
      </w:pPr>
      <w:r w:rsidRPr="00876C72">
        <w:rPr>
          <w:rFonts w:cs="Sylfaen"/>
          <w:b w:val="0"/>
          <w:szCs w:val="22"/>
          <w:lang w:val="hy-AM" w:eastAsia="en-US"/>
        </w:rPr>
        <w:lastRenderedPageBreak/>
        <w:t>«Մարտական խաչ» շքանշանով պարգևատրված անձինք՝ 15,000 դրամ։</w:t>
      </w:r>
    </w:p>
    <w:p w14:paraId="10674066" w14:textId="42130D0F" w:rsidR="00F47B79" w:rsidRPr="008E3C24" w:rsidRDefault="00F47B79" w:rsidP="00AC1E1E">
      <w:pPr>
        <w:tabs>
          <w:tab w:val="left" w:pos="0"/>
          <w:tab w:val="left" w:pos="284"/>
        </w:tabs>
        <w:rPr>
          <w:rFonts w:cs="Sylfaen"/>
          <w:b w:val="0"/>
          <w:szCs w:val="22"/>
          <w:lang w:val="hy-AM" w:eastAsia="en-US"/>
        </w:rPr>
      </w:pPr>
      <w:r w:rsidRPr="008E3C24">
        <w:rPr>
          <w:rFonts w:cs="Sylfaen"/>
          <w:b w:val="0"/>
          <w:szCs w:val="22"/>
          <w:lang w:val="hy-AM" w:eastAsia="en-US"/>
        </w:rPr>
        <w:t xml:space="preserve">2024 թվականին ծրագրի համար նախատեսվում է շուրջ  11,017.1 մլն դրամ։ Ըստ որում, շահառուների թվում ընդգրկված են Լեռնային </w:t>
      </w:r>
      <w:r w:rsidRPr="00B31F1D">
        <w:rPr>
          <w:rFonts w:cs="Sylfaen"/>
          <w:b w:val="0"/>
          <w:szCs w:val="22"/>
          <w:lang w:val="hy-AM" w:eastAsia="en-US"/>
        </w:rPr>
        <w:t>Ղ</w:t>
      </w:r>
      <w:r w:rsidRPr="008E3C24">
        <w:rPr>
          <w:rFonts w:cs="Sylfaen"/>
          <w:b w:val="0"/>
          <w:szCs w:val="22"/>
          <w:lang w:val="hy-AM" w:eastAsia="en-US"/>
        </w:rPr>
        <w:t xml:space="preserve">արաբաղից բռնի տեղահանված պարգևավճար ստացող 3130 ընտանիք, ինչպես նաև պատվովճար ստացող 2 վետերան շահառու։  </w:t>
      </w:r>
    </w:p>
    <w:p w14:paraId="641E3F4D" w14:textId="77777777" w:rsidR="00F47B79" w:rsidRPr="008E3C24" w:rsidRDefault="00F47B79" w:rsidP="00AC1E1E">
      <w:pPr>
        <w:tabs>
          <w:tab w:val="left" w:pos="0"/>
          <w:tab w:val="left" w:pos="284"/>
        </w:tabs>
        <w:rPr>
          <w:rFonts w:cs="Sylfaen"/>
          <w:b w:val="0"/>
          <w:szCs w:val="22"/>
          <w:lang w:val="hy-AM" w:eastAsia="en-US"/>
        </w:rPr>
      </w:pPr>
      <w:r w:rsidRPr="008E3C24">
        <w:rPr>
          <w:rFonts w:cs="Sylfaen"/>
          <w:b w:val="0"/>
          <w:szCs w:val="22"/>
          <w:lang w:val="hy-AM" w:eastAsia="en-US"/>
        </w:rPr>
        <w:t xml:space="preserve">Անապահով սոցիալական խմբերին աջակցություն ծրագրի գծով 2024 թվականին </w:t>
      </w:r>
      <w:r w:rsidRPr="00D47E09">
        <w:rPr>
          <w:b w:val="0"/>
          <w:bCs/>
          <w:color w:val="191919"/>
          <w:szCs w:val="22"/>
          <w:shd w:val="clear" w:color="auto" w:fill="FFFFFF"/>
          <w:lang w:val="hy-AM" w:eastAsia="en-US"/>
        </w:rPr>
        <w:t xml:space="preserve">նախատեսվում </w:t>
      </w:r>
      <w:r w:rsidRPr="008E3C24">
        <w:rPr>
          <w:rFonts w:cs="Sylfaen"/>
          <w:b w:val="0"/>
          <w:szCs w:val="22"/>
          <w:lang w:val="hy-AM" w:eastAsia="en-US"/>
        </w:rPr>
        <w:t>է 31,942.4 մլն դրամ։ Ծրագրի վերջնական արդյունքը՝ օժանդակել անապահով ընտանիքների կենսամակարդակի բարձրացմանը, դրանով մեղմելով աղքատությունը և կրճատելով ծայրահեղ աղքատությունը:</w:t>
      </w:r>
    </w:p>
    <w:p w14:paraId="776F5A4A" w14:textId="77777777" w:rsidR="00F47B79" w:rsidRPr="008E3C24" w:rsidRDefault="00F47B79" w:rsidP="00AC1E1E">
      <w:pPr>
        <w:tabs>
          <w:tab w:val="left" w:pos="0"/>
          <w:tab w:val="left" w:pos="284"/>
        </w:tabs>
        <w:rPr>
          <w:rFonts w:cs="Sylfaen"/>
          <w:b w:val="0"/>
          <w:szCs w:val="22"/>
          <w:lang w:val="hy-AM" w:eastAsia="en-US"/>
        </w:rPr>
      </w:pPr>
      <w:r w:rsidRPr="008E3C24">
        <w:rPr>
          <w:rFonts w:cs="Sylfaen"/>
          <w:b w:val="0"/>
          <w:szCs w:val="22"/>
          <w:lang w:val="hy-AM" w:eastAsia="en-US"/>
        </w:rPr>
        <w:t xml:space="preserve">2024 թվականի պետական բյուջեով՝ ընտանիքների կենսամակարդակի բարձրացմանն ուղղվող նպաստի գծով նախատեսվում է 31,411.3 մլն դրամ, որի շրջանակներում նպաստ կտրամադրվի շուրջ 66849 ընտանիքի, այդ թվում՝ 3183 Լեռնային Ղարաբաղից բռնի տեղահանված ընտանիք։ Նպաստի միջին ամսական չափը կկազմի շուրջ 37,000 դրամ: </w:t>
      </w:r>
    </w:p>
    <w:p w14:paraId="05E7C99D" w14:textId="77777777" w:rsidR="00F47B79" w:rsidRPr="00EB40D6" w:rsidRDefault="00F47B79" w:rsidP="00AC1E1E">
      <w:pPr>
        <w:tabs>
          <w:tab w:val="left" w:pos="0"/>
          <w:tab w:val="left" w:pos="284"/>
        </w:tabs>
        <w:rPr>
          <w:b w:val="0"/>
          <w:bCs/>
          <w:color w:val="191919"/>
          <w:szCs w:val="22"/>
          <w:shd w:val="clear" w:color="auto" w:fill="FFFFFF"/>
          <w:lang w:val="hy-AM" w:eastAsia="en-US"/>
        </w:rPr>
      </w:pPr>
      <w:r w:rsidRPr="008E3C24">
        <w:rPr>
          <w:rFonts w:cs="Sylfaen"/>
          <w:b w:val="0"/>
          <w:szCs w:val="22"/>
          <w:lang w:val="hy-AM" w:eastAsia="en-US"/>
        </w:rPr>
        <w:t>Սոցիալական փաթեթների ապահովում ծրագրի վերջնական արդյունքը պետական</w:t>
      </w:r>
      <w:r w:rsidRPr="00EB40D6">
        <w:rPr>
          <w:b w:val="0"/>
          <w:bCs/>
          <w:color w:val="191919"/>
          <w:szCs w:val="22"/>
          <w:shd w:val="clear" w:color="auto" w:fill="FFFFFF"/>
          <w:lang w:val="hy-AM" w:eastAsia="en-US"/>
        </w:rPr>
        <w:t xml:space="preserve"> մարմինների աշխատակիցների կյանքի որակի բարելավումն է՝ սոցիալական երաշխիքների ապահովման և աշխատանքային մոտիվացիայի բարձրացման նպատակով: </w:t>
      </w:r>
    </w:p>
    <w:p w14:paraId="282E41E9" w14:textId="77777777" w:rsidR="00F47B79" w:rsidRPr="00EB40D6" w:rsidRDefault="00F47B79" w:rsidP="00AC1E1E">
      <w:pPr>
        <w:tabs>
          <w:tab w:val="left" w:pos="0"/>
        </w:tabs>
        <w:rPr>
          <w:b w:val="0"/>
          <w:bCs/>
          <w:color w:val="191919"/>
          <w:szCs w:val="22"/>
          <w:shd w:val="clear" w:color="auto" w:fill="FFFFFF"/>
          <w:lang w:val="hy-AM" w:eastAsia="en-US"/>
        </w:rPr>
      </w:pPr>
      <w:r w:rsidRPr="00EB40D6">
        <w:rPr>
          <w:b w:val="0"/>
          <w:bCs/>
          <w:szCs w:val="22"/>
          <w:shd w:val="clear" w:color="auto" w:fill="FFFFFF"/>
          <w:lang w:val="hy-AM" w:eastAsia="en-US"/>
        </w:rPr>
        <w:t>202</w:t>
      </w:r>
      <w:r w:rsidRPr="008245E1">
        <w:rPr>
          <w:b w:val="0"/>
          <w:bCs/>
          <w:szCs w:val="22"/>
          <w:shd w:val="clear" w:color="auto" w:fill="FFFFFF"/>
          <w:lang w:val="hy-AM" w:eastAsia="en-US"/>
        </w:rPr>
        <w:t>4</w:t>
      </w:r>
      <w:r w:rsidRPr="00EB40D6">
        <w:rPr>
          <w:b w:val="0"/>
          <w:bCs/>
          <w:szCs w:val="22"/>
          <w:shd w:val="clear" w:color="auto" w:fill="FFFFFF"/>
          <w:lang w:val="hy-AM" w:eastAsia="en-US"/>
        </w:rPr>
        <w:t xml:space="preserve"> թվականի </w:t>
      </w:r>
      <w:r w:rsidRPr="00EB40D6">
        <w:rPr>
          <w:b w:val="0"/>
          <w:bCs/>
          <w:color w:val="191919"/>
          <w:szCs w:val="22"/>
          <w:shd w:val="clear" w:color="auto" w:fill="FFFFFF"/>
          <w:lang w:val="hy-AM" w:eastAsia="en-US"/>
        </w:rPr>
        <w:t>համար նախատեսվում է 10,619.5 մլն դրամ՝ 147493 շահառուի հաշվարկով։</w:t>
      </w:r>
    </w:p>
    <w:p w14:paraId="11A35220" w14:textId="77777777" w:rsidR="00F47B79" w:rsidRPr="00EB40D6" w:rsidRDefault="00F47B79" w:rsidP="00AC1E1E">
      <w:pPr>
        <w:tabs>
          <w:tab w:val="left" w:pos="0"/>
        </w:tabs>
        <w:rPr>
          <w:b w:val="0"/>
          <w:bCs/>
          <w:color w:val="191919"/>
          <w:szCs w:val="22"/>
          <w:shd w:val="clear" w:color="auto" w:fill="FFFFFF"/>
          <w:lang w:val="hy-AM" w:eastAsia="en-US"/>
        </w:rPr>
      </w:pPr>
      <w:r>
        <w:rPr>
          <w:iCs/>
          <w:szCs w:val="22"/>
          <w:shd w:val="clear" w:color="auto" w:fill="FFFFFF"/>
          <w:lang w:val="hy-AM" w:eastAsia="en-US"/>
        </w:rPr>
        <w:t xml:space="preserve">Տարեց և </w:t>
      </w:r>
      <w:r w:rsidRPr="00B16DD8">
        <w:rPr>
          <w:iCs/>
          <w:szCs w:val="22"/>
          <w:shd w:val="clear" w:color="auto" w:fill="FFFFFF"/>
          <w:lang w:val="hy-AM" w:eastAsia="en-US"/>
        </w:rPr>
        <w:t>(</w:t>
      </w:r>
      <w:r>
        <w:rPr>
          <w:iCs/>
          <w:szCs w:val="22"/>
          <w:shd w:val="clear" w:color="auto" w:fill="FFFFFF"/>
          <w:lang w:val="hy-AM" w:eastAsia="en-US"/>
        </w:rPr>
        <w:t>կամ</w:t>
      </w:r>
      <w:r w:rsidRPr="00B16DD8">
        <w:rPr>
          <w:iCs/>
          <w:szCs w:val="22"/>
          <w:shd w:val="clear" w:color="auto" w:fill="FFFFFF"/>
          <w:lang w:val="hy-AM" w:eastAsia="en-US"/>
        </w:rPr>
        <w:t>)</w:t>
      </w:r>
      <w:r>
        <w:rPr>
          <w:iCs/>
          <w:szCs w:val="22"/>
          <w:shd w:val="clear" w:color="auto" w:fill="FFFFFF"/>
          <w:lang w:val="hy-AM" w:eastAsia="en-US"/>
        </w:rPr>
        <w:t xml:space="preserve"> հաշմանդամություն ունեցող անձանց խնամքի տրամադրում, կյանքի դժվարին իրավիճակում հայտնված անձանց սննդի կազմակերպում և կացարանով ապահովում</w:t>
      </w:r>
      <w:r w:rsidRPr="00EB40D6">
        <w:rPr>
          <w:szCs w:val="22"/>
          <w:shd w:val="clear" w:color="auto" w:fill="FFFFFF"/>
          <w:lang w:val="hy-AM" w:eastAsia="en-US"/>
        </w:rPr>
        <w:t xml:space="preserve"> </w:t>
      </w:r>
      <w:r w:rsidRPr="00EB40D6">
        <w:rPr>
          <w:b w:val="0"/>
          <w:bCs/>
          <w:szCs w:val="22"/>
          <w:shd w:val="clear" w:color="auto" w:fill="FFFFFF"/>
          <w:lang w:val="hy-AM" w:eastAsia="en-US"/>
        </w:rPr>
        <w:t xml:space="preserve">ծրագրի վերջնական արդյունքը խնամքի կարիք ունեցող 18 տարեկանից բարձր տարիքի անձանց իրենց գնահատված անհատական սոցիալական կարիքներին համապատասխան խնամքի ծառայությունների տրամադրումն է՝ բնականոն կենսագործունեության ապահովման նպատակով: </w:t>
      </w:r>
    </w:p>
    <w:p w14:paraId="41925E3B" w14:textId="77777777" w:rsidR="00F47B79" w:rsidRPr="008E3C24" w:rsidRDefault="00F47B79" w:rsidP="00AC1E1E">
      <w:pPr>
        <w:rPr>
          <w:b w:val="0"/>
          <w:bCs/>
          <w:szCs w:val="22"/>
          <w:shd w:val="clear" w:color="auto" w:fill="FFFFFF"/>
          <w:lang w:val="hy-AM" w:eastAsia="en-US"/>
        </w:rPr>
      </w:pPr>
      <w:r w:rsidRPr="00EB40D6">
        <w:rPr>
          <w:b w:val="0"/>
          <w:bCs/>
          <w:szCs w:val="22"/>
          <w:shd w:val="clear" w:color="auto" w:fill="FFFFFF"/>
          <w:lang w:val="hy-AM" w:eastAsia="en-US"/>
        </w:rPr>
        <w:t xml:space="preserve">2024 թվականին նախատեսվում է </w:t>
      </w:r>
      <w:r w:rsidRPr="008E3C24">
        <w:rPr>
          <w:b w:val="0"/>
          <w:bCs/>
          <w:szCs w:val="22"/>
          <w:shd w:val="clear" w:color="auto" w:fill="FFFFFF"/>
          <w:lang w:val="hy-AM" w:eastAsia="en-US"/>
        </w:rPr>
        <w:t>4,530.</w:t>
      </w:r>
      <w:r w:rsidRPr="00B31F1D">
        <w:rPr>
          <w:b w:val="0"/>
          <w:bCs/>
          <w:szCs w:val="22"/>
          <w:shd w:val="clear" w:color="auto" w:fill="FFFFFF"/>
          <w:lang w:val="hy-AM" w:eastAsia="en-US"/>
        </w:rPr>
        <w:t>6</w:t>
      </w:r>
      <w:r w:rsidRPr="008E3C24">
        <w:rPr>
          <w:b w:val="0"/>
          <w:bCs/>
          <w:szCs w:val="22"/>
          <w:shd w:val="clear" w:color="auto" w:fill="FFFFFF"/>
          <w:lang w:val="hy-AM" w:eastAsia="en-US"/>
        </w:rPr>
        <w:t xml:space="preserve"> </w:t>
      </w:r>
      <w:r w:rsidRPr="00EB40D6">
        <w:rPr>
          <w:b w:val="0"/>
          <w:bCs/>
          <w:szCs w:val="22"/>
          <w:shd w:val="clear" w:color="auto" w:fill="FFFFFF"/>
          <w:lang w:val="hy-AM" w:eastAsia="en-US"/>
        </w:rPr>
        <w:t xml:space="preserve">մլն դրամ, որի շրջանակում կտրամադրվի շուրջօրյա խնամքի ծառայություններ </w:t>
      </w:r>
      <w:r>
        <w:rPr>
          <w:b w:val="0"/>
          <w:bCs/>
          <w:szCs w:val="22"/>
          <w:shd w:val="clear" w:color="auto" w:fill="FFFFFF"/>
          <w:lang w:val="hy-AM" w:eastAsia="en-US"/>
        </w:rPr>
        <w:t>1</w:t>
      </w:r>
      <w:r w:rsidRPr="00B31F1D">
        <w:rPr>
          <w:b w:val="0"/>
          <w:bCs/>
          <w:szCs w:val="22"/>
          <w:shd w:val="clear" w:color="auto" w:fill="FFFFFF"/>
          <w:lang w:val="hy-AM" w:eastAsia="en-US"/>
        </w:rPr>
        <w:t>28</w:t>
      </w:r>
      <w:r w:rsidRPr="008E3C24">
        <w:rPr>
          <w:b w:val="0"/>
          <w:bCs/>
          <w:szCs w:val="22"/>
          <w:shd w:val="clear" w:color="auto" w:fill="FFFFFF"/>
          <w:lang w:val="hy-AM" w:eastAsia="en-US"/>
        </w:rPr>
        <w:t>5</w:t>
      </w:r>
      <w:r w:rsidRPr="007F432F">
        <w:rPr>
          <w:b w:val="0"/>
          <w:bCs/>
          <w:szCs w:val="22"/>
          <w:shd w:val="clear" w:color="auto" w:fill="FFFFFF"/>
          <w:lang w:val="hy-AM" w:eastAsia="en-US"/>
        </w:rPr>
        <w:t xml:space="preserve"> </w:t>
      </w:r>
      <w:r>
        <w:rPr>
          <w:b w:val="0"/>
          <w:bCs/>
          <w:szCs w:val="22"/>
          <w:shd w:val="clear" w:color="auto" w:fill="FFFFFF"/>
          <w:lang w:val="hy-AM" w:eastAsia="en-US"/>
        </w:rPr>
        <w:t>անձանց,</w:t>
      </w:r>
      <w:r w:rsidRPr="007F432F">
        <w:rPr>
          <w:b w:val="0"/>
          <w:bCs/>
          <w:szCs w:val="22"/>
          <w:shd w:val="clear" w:color="auto" w:fill="FFFFFF"/>
          <w:lang w:val="hy-AM" w:eastAsia="en-US"/>
        </w:rPr>
        <w:t xml:space="preserve"> </w:t>
      </w:r>
      <w:r w:rsidRPr="008E3C24">
        <w:rPr>
          <w:b w:val="0"/>
          <w:bCs/>
          <w:szCs w:val="22"/>
          <w:shd w:val="clear" w:color="auto" w:fill="FFFFFF"/>
          <w:lang w:val="hy-AM" w:eastAsia="en-US"/>
        </w:rPr>
        <w:t xml:space="preserve">որից 80-ը Լեռնային Ղարաբաղից բռնի տեղահանված, </w:t>
      </w:r>
      <w:r w:rsidRPr="00EB40D6">
        <w:rPr>
          <w:b w:val="0"/>
          <w:bCs/>
          <w:szCs w:val="22"/>
          <w:shd w:val="clear" w:color="auto" w:fill="FFFFFF"/>
          <w:lang w:val="hy-AM" w:eastAsia="en-US"/>
        </w:rPr>
        <w:t xml:space="preserve">տնային պայմաններում խնամքի ծառայություններ (այդ թվում՝ հոգեկան </w:t>
      </w:r>
      <w:r>
        <w:rPr>
          <w:b w:val="0"/>
          <w:bCs/>
          <w:szCs w:val="22"/>
          <w:shd w:val="clear" w:color="auto" w:fill="FFFFFF"/>
          <w:lang w:val="hy-AM" w:eastAsia="en-US"/>
        </w:rPr>
        <w:t xml:space="preserve">առողջության խնդիրներ ունեցող) </w:t>
      </w:r>
      <w:r w:rsidRPr="008E3C24">
        <w:rPr>
          <w:b w:val="0"/>
          <w:bCs/>
          <w:szCs w:val="22"/>
          <w:shd w:val="clear" w:color="auto" w:fill="FFFFFF"/>
          <w:lang w:val="hy-AM" w:eastAsia="en-US"/>
        </w:rPr>
        <w:t>1300</w:t>
      </w:r>
      <w:r>
        <w:rPr>
          <w:b w:val="0"/>
          <w:bCs/>
          <w:szCs w:val="22"/>
          <w:shd w:val="clear" w:color="auto" w:fill="FFFFFF"/>
          <w:lang w:val="hy-AM" w:eastAsia="en-US"/>
        </w:rPr>
        <w:t xml:space="preserve"> անձանց</w:t>
      </w:r>
      <w:r w:rsidRPr="00EB40D6">
        <w:rPr>
          <w:b w:val="0"/>
          <w:bCs/>
          <w:szCs w:val="22"/>
          <w:shd w:val="clear" w:color="auto" w:fill="FFFFFF"/>
          <w:lang w:val="hy-AM" w:eastAsia="en-US"/>
        </w:rPr>
        <w:t>,</w:t>
      </w:r>
      <w:r w:rsidRPr="008E3C24">
        <w:rPr>
          <w:b w:val="0"/>
          <w:bCs/>
          <w:szCs w:val="22"/>
          <w:shd w:val="clear" w:color="auto" w:fill="FFFFFF"/>
          <w:lang w:val="hy-AM" w:eastAsia="en-US"/>
        </w:rPr>
        <w:t xml:space="preserve"> որից 100-ը Լեռնային Ղարաբաղից բռնի տեղահանված</w:t>
      </w:r>
      <w:r w:rsidRPr="007F432F">
        <w:rPr>
          <w:b w:val="0"/>
          <w:bCs/>
          <w:szCs w:val="22"/>
          <w:shd w:val="clear" w:color="auto" w:fill="FFFFFF"/>
          <w:lang w:val="hy-AM" w:eastAsia="en-US"/>
        </w:rPr>
        <w:t xml:space="preserve">, </w:t>
      </w:r>
      <w:r w:rsidRPr="00EB40D6">
        <w:rPr>
          <w:b w:val="0"/>
          <w:bCs/>
          <w:szCs w:val="22"/>
          <w:shd w:val="clear" w:color="auto" w:fill="FFFFFF"/>
          <w:lang w:val="hy-AM" w:eastAsia="en-US"/>
        </w:rPr>
        <w:t xml:space="preserve"> ցերեկային կենտրոններում </w:t>
      </w:r>
      <w:r w:rsidRPr="00350691">
        <w:rPr>
          <w:b w:val="0"/>
          <w:bCs/>
          <w:szCs w:val="22"/>
          <w:shd w:val="clear" w:color="auto" w:fill="FFFFFF"/>
          <w:lang w:val="hy-AM" w:eastAsia="en-US"/>
        </w:rPr>
        <w:t>(</w:t>
      </w:r>
      <w:r w:rsidRPr="00EB40D6">
        <w:rPr>
          <w:b w:val="0"/>
          <w:bCs/>
          <w:szCs w:val="22"/>
          <w:shd w:val="clear" w:color="auto" w:fill="FFFFFF"/>
          <w:lang w:val="hy-AM" w:eastAsia="en-US"/>
        </w:rPr>
        <w:t>խնամք և բարեգործական ճաշարաններում սննդ</w:t>
      </w:r>
      <w:r>
        <w:rPr>
          <w:b w:val="0"/>
          <w:bCs/>
          <w:szCs w:val="22"/>
          <w:shd w:val="clear" w:color="auto" w:fill="FFFFFF"/>
          <w:lang w:val="hy-AM" w:eastAsia="en-US"/>
        </w:rPr>
        <w:t xml:space="preserve">ի </w:t>
      </w:r>
      <w:r w:rsidRPr="00EB40D6">
        <w:rPr>
          <w:b w:val="0"/>
          <w:bCs/>
          <w:szCs w:val="22"/>
          <w:shd w:val="clear" w:color="auto" w:fill="FFFFFF"/>
          <w:lang w:val="hy-AM" w:eastAsia="en-US"/>
        </w:rPr>
        <w:t>տրամադր</w:t>
      </w:r>
      <w:r>
        <w:rPr>
          <w:b w:val="0"/>
          <w:bCs/>
          <w:szCs w:val="22"/>
          <w:shd w:val="clear" w:color="auto" w:fill="FFFFFF"/>
          <w:lang w:val="hy-AM" w:eastAsia="en-US"/>
        </w:rPr>
        <w:t>ում</w:t>
      </w:r>
      <w:r w:rsidRPr="00350691">
        <w:rPr>
          <w:b w:val="0"/>
          <w:bCs/>
          <w:szCs w:val="22"/>
          <w:shd w:val="clear" w:color="auto" w:fill="FFFFFF"/>
          <w:lang w:val="hy-AM" w:eastAsia="en-US"/>
        </w:rPr>
        <w:t>)</w:t>
      </w:r>
      <w:r w:rsidRPr="00EB40D6">
        <w:rPr>
          <w:b w:val="0"/>
          <w:bCs/>
          <w:szCs w:val="22"/>
          <w:shd w:val="clear" w:color="auto" w:fill="FFFFFF"/>
          <w:lang w:val="hy-AM" w:eastAsia="en-US"/>
        </w:rPr>
        <w:t xml:space="preserve"> </w:t>
      </w:r>
      <w:r w:rsidRPr="008E3C24">
        <w:rPr>
          <w:b w:val="0"/>
          <w:bCs/>
          <w:szCs w:val="22"/>
          <w:shd w:val="clear" w:color="auto" w:fill="FFFFFF"/>
          <w:lang w:val="hy-AM" w:eastAsia="en-US"/>
        </w:rPr>
        <w:t>1300</w:t>
      </w:r>
      <w:r>
        <w:rPr>
          <w:b w:val="0"/>
          <w:bCs/>
          <w:szCs w:val="22"/>
          <w:shd w:val="clear" w:color="auto" w:fill="FFFFFF"/>
          <w:lang w:val="hy-AM" w:eastAsia="en-US"/>
        </w:rPr>
        <w:t xml:space="preserve"> անձանց</w:t>
      </w:r>
      <w:r w:rsidRPr="00EB40D6">
        <w:rPr>
          <w:b w:val="0"/>
          <w:bCs/>
          <w:szCs w:val="22"/>
          <w:shd w:val="clear" w:color="auto" w:fill="FFFFFF"/>
          <w:lang w:val="hy-AM" w:eastAsia="en-US"/>
        </w:rPr>
        <w:t>,</w:t>
      </w:r>
      <w:r w:rsidRPr="008E3C24">
        <w:rPr>
          <w:b w:val="0"/>
          <w:bCs/>
          <w:szCs w:val="22"/>
          <w:shd w:val="clear" w:color="auto" w:fill="FFFFFF"/>
          <w:lang w:val="hy-AM" w:eastAsia="en-US"/>
        </w:rPr>
        <w:t xml:space="preserve"> որից 100-ը Լեռնային Ղարաբաղից բռնի տեղահանված</w:t>
      </w:r>
      <w:r w:rsidRPr="007F432F">
        <w:rPr>
          <w:b w:val="0"/>
          <w:bCs/>
          <w:szCs w:val="22"/>
          <w:shd w:val="clear" w:color="auto" w:fill="FFFFFF"/>
          <w:lang w:val="hy-AM" w:eastAsia="en-US"/>
        </w:rPr>
        <w:t xml:space="preserve">, </w:t>
      </w:r>
      <w:r w:rsidRPr="00EB40D6">
        <w:rPr>
          <w:b w:val="0"/>
          <w:bCs/>
          <w:szCs w:val="22"/>
          <w:shd w:val="clear" w:color="auto" w:fill="FFFFFF"/>
          <w:lang w:val="hy-AM" w:eastAsia="en-US"/>
        </w:rPr>
        <w:t xml:space="preserve"> անօթևան անձանց ժամանակավոր կացարանով կապահովվի </w:t>
      </w:r>
      <w:r>
        <w:rPr>
          <w:b w:val="0"/>
          <w:bCs/>
          <w:szCs w:val="22"/>
          <w:shd w:val="clear" w:color="auto" w:fill="FFFFFF"/>
          <w:lang w:val="hy-AM" w:eastAsia="en-US"/>
        </w:rPr>
        <w:t xml:space="preserve">շուրջ </w:t>
      </w:r>
      <w:r w:rsidRPr="00EB40D6">
        <w:rPr>
          <w:b w:val="0"/>
          <w:bCs/>
          <w:szCs w:val="22"/>
          <w:shd w:val="clear" w:color="auto" w:fill="FFFFFF"/>
          <w:lang w:val="hy-AM" w:eastAsia="en-US"/>
        </w:rPr>
        <w:t xml:space="preserve">100 շահառու: </w:t>
      </w:r>
    </w:p>
    <w:p w14:paraId="2735D7A6" w14:textId="77777777" w:rsidR="00F47B79" w:rsidRPr="00EB40D6" w:rsidRDefault="00F47B79" w:rsidP="00AC1E1E">
      <w:pPr>
        <w:tabs>
          <w:tab w:val="left" w:pos="0"/>
        </w:tabs>
        <w:rPr>
          <w:b w:val="0"/>
          <w:bCs/>
          <w:szCs w:val="22"/>
          <w:shd w:val="clear" w:color="auto" w:fill="FFFFFF"/>
          <w:lang w:val="hy-AM" w:eastAsia="en-US"/>
        </w:rPr>
      </w:pPr>
      <w:r w:rsidRPr="00EB40D6">
        <w:rPr>
          <w:b w:val="0"/>
          <w:bCs/>
          <w:szCs w:val="22"/>
          <w:shd w:val="clear" w:color="auto" w:fill="FFFFFF"/>
          <w:lang w:val="hy-AM" w:eastAsia="en-US"/>
        </w:rPr>
        <w:t>Միաժամանակ, ծրագրի շրջանակում նախատեսվում է մեկնարկել տարեց և (կամ) հաշմանդամություն ունեցող անձանց, ինչպես նաև երեխաների շուրջօրյա խնամք մատուցող ՊՈԱԿ-ների շենքային պայմանների բարելավման աշխատանքները, որի համար նախատեսվում է 678.8 մլն դրամ։</w:t>
      </w:r>
    </w:p>
    <w:p w14:paraId="579EC974" w14:textId="77777777" w:rsidR="00F47B79" w:rsidRPr="008E3C24" w:rsidRDefault="00F47B79" w:rsidP="00AC1E1E">
      <w:pPr>
        <w:tabs>
          <w:tab w:val="left" w:pos="0"/>
        </w:tabs>
        <w:rPr>
          <w:rFonts w:eastAsia="Calibri" w:cs="Calibri"/>
          <w:b w:val="0"/>
          <w:szCs w:val="22"/>
          <w:lang w:val="hy-AM" w:eastAsia="en-US"/>
        </w:rPr>
      </w:pPr>
      <w:r w:rsidRPr="008E3C24">
        <w:rPr>
          <w:rFonts w:eastAsia="Calibri" w:cs="Calibri"/>
          <w:szCs w:val="22"/>
          <w:lang w:val="hy-AM" w:eastAsia="en-US"/>
        </w:rPr>
        <w:t>Ժողովրդագրական վիճակի բարելավում ծրագրի</w:t>
      </w:r>
      <w:r w:rsidRPr="00EB40D6">
        <w:rPr>
          <w:rFonts w:eastAsia="Calibri" w:cs="Calibri"/>
          <w:b w:val="0"/>
          <w:szCs w:val="22"/>
          <w:lang w:val="hy-AM" w:eastAsia="en-US"/>
        </w:rPr>
        <w:t xml:space="preserve"> գծով 2024 թվականին նախատեսվում է հատկացնել </w:t>
      </w:r>
      <w:r w:rsidRPr="008E3C24">
        <w:rPr>
          <w:rFonts w:eastAsia="Calibri" w:cs="Calibri"/>
          <w:b w:val="0"/>
          <w:szCs w:val="22"/>
          <w:lang w:val="hy-AM" w:eastAsia="en-US"/>
        </w:rPr>
        <w:t xml:space="preserve">68,869.7 </w:t>
      </w:r>
      <w:r w:rsidRPr="00EB40D6">
        <w:rPr>
          <w:rFonts w:eastAsia="Calibri" w:cs="Calibri"/>
          <w:b w:val="0"/>
          <w:szCs w:val="22"/>
          <w:lang w:val="hy-AM" w:eastAsia="en-US"/>
        </w:rPr>
        <w:t>մլն դրամ։</w:t>
      </w:r>
    </w:p>
    <w:p w14:paraId="01A3524B" w14:textId="77777777" w:rsidR="00F47B79" w:rsidRPr="00403BEF" w:rsidRDefault="00F47B79" w:rsidP="00AC1E1E">
      <w:pPr>
        <w:rPr>
          <w:rFonts w:eastAsia="Calibri" w:cs="Calibri"/>
          <w:b w:val="0"/>
          <w:szCs w:val="22"/>
          <w:lang w:val="hy-AM" w:eastAsia="en-US"/>
        </w:rPr>
      </w:pPr>
      <w:r w:rsidRPr="008E3C24">
        <w:rPr>
          <w:rFonts w:eastAsia="Calibri" w:cs="Calibri"/>
          <w:b w:val="0"/>
          <w:szCs w:val="22"/>
          <w:lang w:val="hy-AM" w:eastAsia="en-US"/>
        </w:rPr>
        <w:lastRenderedPageBreak/>
        <w:t xml:space="preserve">2024 թվականին մինչև 2 տարեկան երեխայի խնամքի նպաստի համար նախատեսվում է 29,069.7 մլն դրամ, որից 1,097.1 մլն դրամը՝ Լեռնային Ղարաբաղից բռնի տեղահանված շահառուների գծով։ Ընդ որում, 2024 թվականին </w:t>
      </w:r>
      <w:r w:rsidRPr="00EB40D6">
        <w:rPr>
          <w:rFonts w:eastAsia="Calibri" w:cs="Calibri"/>
          <w:b w:val="0"/>
          <w:szCs w:val="22"/>
          <w:lang w:val="hy-AM" w:eastAsia="en-US"/>
        </w:rPr>
        <w:t xml:space="preserve">պահպանվելու են նպաստի այս տեսակի՝ 2023 թվականի չափերը. խնամքի </w:t>
      </w:r>
      <w:r w:rsidRPr="00403BEF">
        <w:rPr>
          <w:rFonts w:eastAsia="Calibri" w:cs="Calibri"/>
          <w:b w:val="0"/>
          <w:szCs w:val="22"/>
          <w:lang w:val="hy-AM" w:eastAsia="en-US"/>
        </w:rPr>
        <w:t xml:space="preserve">արձակուրդում գտնվող ծնողի դեպքում՝ 37,500 դրամ, խնամքի արձակուրդում չգտնվող ծնողի դեպքում՝ 31,600 դրամ, գյուղաբնակ և խնամքի արձակուրդում գտնվող ծնողի դեպքում՝ 69,100 դրամ։ </w:t>
      </w:r>
    </w:p>
    <w:p w14:paraId="7198B0FA" w14:textId="77777777" w:rsidR="00F47B79" w:rsidRPr="00EB40D6" w:rsidRDefault="00F47B79" w:rsidP="00AC1E1E">
      <w:pPr>
        <w:rPr>
          <w:rFonts w:eastAsia="Calibri" w:cs="Calibri"/>
          <w:b w:val="0"/>
          <w:szCs w:val="22"/>
          <w:lang w:val="hy-AM" w:eastAsia="en-US"/>
        </w:rPr>
      </w:pPr>
      <w:r w:rsidRPr="008E3C24">
        <w:rPr>
          <w:rFonts w:eastAsia="Calibri" w:cs="Calibri"/>
          <w:b w:val="0"/>
          <w:szCs w:val="22"/>
          <w:lang w:val="hy-AM" w:eastAsia="en-US"/>
        </w:rPr>
        <w:t xml:space="preserve">Միաժամանակ, նախատեսվում է 21,783.2 մլն դրամ՝ 38790 նորածինների ծննդյան կապակցությամբ երեխայի ծննդյան միանվագ նպաստ տրամադրելու համար։ Լեռնային Ղարաբաղից բռնի տեղահանված շահառուների գծով նախատեսվել է 1,133.2 մլն դրամ՝ 2220 երեխայի ծննդի կապակցությամբ։ Այս դեպքում ևս  պահպանվելու են նպաստի՝ 2023 թվականի </w:t>
      </w:r>
      <w:r w:rsidRPr="00EB40D6">
        <w:rPr>
          <w:rFonts w:eastAsia="Calibri" w:cs="Calibri"/>
          <w:b w:val="0"/>
          <w:szCs w:val="22"/>
          <w:lang w:val="hy-AM" w:eastAsia="en-US"/>
        </w:rPr>
        <w:t xml:space="preserve">չափերը՝ 1-ին կամ 2-րդ երեխայի ծննդյան դեպքում՝ 300 հազ. դրամ, 3-րդ կամ 4-րդ երեխայի ծննդյան դեպքում՝ 1.0 մլն դրամ, 5-րդ և յուրաքանչյուր հաջորդ երեխայի ծննդյան դեպքում՝ 1.5 մլն դրամ: </w:t>
      </w:r>
    </w:p>
    <w:p w14:paraId="09CA6DB2" w14:textId="77777777" w:rsidR="00F47B79" w:rsidRPr="008E3C24" w:rsidRDefault="00F47B79" w:rsidP="00AC1E1E">
      <w:pPr>
        <w:rPr>
          <w:rFonts w:eastAsia="Calibri" w:cs="Calibri"/>
          <w:b w:val="0"/>
          <w:szCs w:val="22"/>
          <w:lang w:val="hy-AM" w:eastAsia="en-US"/>
        </w:rPr>
      </w:pPr>
      <w:r w:rsidRPr="00EB40D6">
        <w:rPr>
          <w:rFonts w:eastAsia="Calibri" w:cs="Calibri"/>
          <w:b w:val="0"/>
          <w:szCs w:val="22"/>
          <w:lang w:val="hy-AM" w:eastAsia="en-US"/>
        </w:rPr>
        <w:t xml:space="preserve">2024 թվականին կշարունակվի 2022 թվականի հունվարի 1-ից հետո ծնված երեխայի ծնողին՝ ընտանիքում 3-րդ և յուրաքանչյուր հաջորդ երեխայի ծնվելու կապակցությամբ մինչև երեխայի 6 </w:t>
      </w:r>
      <w:r w:rsidRPr="008E3C24">
        <w:rPr>
          <w:rFonts w:eastAsia="Calibri" w:cs="Calibri"/>
          <w:b w:val="0"/>
          <w:szCs w:val="22"/>
          <w:lang w:val="hy-AM" w:eastAsia="en-US"/>
        </w:rPr>
        <w:t>տարեկանը լրանալ</w:t>
      </w:r>
      <w:r w:rsidRPr="00B31F1D">
        <w:rPr>
          <w:rFonts w:eastAsia="Calibri" w:cs="Calibri"/>
          <w:b w:val="0"/>
          <w:szCs w:val="22"/>
          <w:lang w:val="hy-AM" w:eastAsia="en-US"/>
        </w:rPr>
        <w:t>ն</w:t>
      </w:r>
      <w:r w:rsidRPr="008E3C24">
        <w:rPr>
          <w:rFonts w:eastAsia="Calibri" w:cs="Calibri"/>
          <w:b w:val="0"/>
          <w:szCs w:val="22"/>
          <w:lang w:val="hy-AM" w:eastAsia="en-US"/>
        </w:rPr>
        <w:t xml:space="preserve"> ամսական 50,000 դրամ դրամական աջակցության տրամադրումը։ Այդ նպատակին կուղղվի 17,406.7 մլն դրամ՝ միջին ամսական շուրջ </w:t>
      </w:r>
      <w:r w:rsidRPr="008E3C24">
        <w:rPr>
          <w:rFonts w:eastAsia="Calibri" w:cs="Calibri"/>
          <w:b w:val="0"/>
          <w:bCs/>
          <w:szCs w:val="22"/>
          <w:lang w:val="hy-AM" w:eastAsia="en-US"/>
        </w:rPr>
        <w:t>28816</w:t>
      </w:r>
      <w:r w:rsidRPr="008E3C24">
        <w:rPr>
          <w:rFonts w:eastAsia="Calibri" w:cs="Calibri"/>
          <w:b w:val="0"/>
          <w:szCs w:val="22"/>
          <w:lang w:val="hy-AM" w:eastAsia="en-US"/>
        </w:rPr>
        <w:t xml:space="preserve"> երեխաների ծննդյան կապակցությամբ:  Լեռնային Ղարաբաղից բռնի տեղահանված շահառուների գծով այս ցուցանիշները կազմում են, համապատասխանաբար, 373.3 մլն դրամ և 427 երեխա։</w:t>
      </w:r>
    </w:p>
    <w:p w14:paraId="35DF02E2" w14:textId="77777777" w:rsidR="00F47B79" w:rsidRPr="00EB40D6" w:rsidRDefault="00F47B79" w:rsidP="00AC1E1E">
      <w:pPr>
        <w:rPr>
          <w:rFonts w:eastAsia="Calibri" w:cs="Calibri"/>
          <w:b w:val="0"/>
          <w:szCs w:val="22"/>
          <w:lang w:val="hy-AM" w:eastAsia="en-US"/>
        </w:rPr>
      </w:pPr>
      <w:r w:rsidRPr="008E3C24">
        <w:rPr>
          <w:rFonts w:eastAsia="Calibri" w:cs="Calibri"/>
          <w:b w:val="0"/>
          <w:szCs w:val="22"/>
          <w:lang w:val="hy-AM" w:eastAsia="en-US"/>
        </w:rPr>
        <w:t xml:space="preserve">2024 թվականին կշարունակվի երեխա ունեցող ընտանիքների բնակարանային ապահովության պետական աջակցության 2020-2023 թթ. ծրագրերի, մասնավորապես, երեխայի ծննդյան </w:t>
      </w:r>
      <w:r w:rsidRPr="00EB40D6">
        <w:rPr>
          <w:rFonts w:eastAsia="Calibri" w:cs="Calibri"/>
          <w:b w:val="0"/>
          <w:szCs w:val="22"/>
          <w:lang w:val="hy-AM" w:eastAsia="en-US"/>
        </w:rPr>
        <w:t xml:space="preserve">աջակցության ծրագրի շրջանակներում երեխա ունեցող ընտանիքների բնակարանային </w:t>
      </w:r>
      <w:r>
        <w:rPr>
          <w:rFonts w:eastAsia="Calibri" w:cs="Calibri"/>
          <w:b w:val="0"/>
          <w:szCs w:val="22"/>
          <w:lang w:val="hy-AM" w:eastAsia="en-US"/>
        </w:rPr>
        <w:t>ապահովմանն</w:t>
      </w:r>
      <w:r w:rsidRPr="00EB40D6">
        <w:rPr>
          <w:rFonts w:eastAsia="Calibri" w:cs="Calibri"/>
          <w:b w:val="0"/>
          <w:szCs w:val="22"/>
          <w:lang w:val="hy-AM" w:eastAsia="en-US"/>
        </w:rPr>
        <w:t xml:space="preserve"> ուղղված աջակցությունը, որի համար 2024 թվականին նախատեսվում է 606.0 մլն դրամ՝ 2430 շահառուի համար։</w:t>
      </w:r>
    </w:p>
    <w:p w14:paraId="477E5AF0" w14:textId="77777777" w:rsidR="00F47B79" w:rsidRPr="00EB40D6" w:rsidRDefault="00F47B79" w:rsidP="00AC1E1E">
      <w:pPr>
        <w:rPr>
          <w:rFonts w:eastAsia="Calibri" w:cs="Calibri"/>
          <w:b w:val="0"/>
          <w:szCs w:val="22"/>
          <w:lang w:val="hy-AM" w:eastAsia="en-US"/>
        </w:rPr>
      </w:pPr>
      <w:r w:rsidRPr="00EB40D6">
        <w:rPr>
          <w:rFonts w:eastAsia="Calibri" w:cs="Calibri"/>
          <w:szCs w:val="22"/>
          <w:lang w:val="hy-AM" w:eastAsia="en-US"/>
        </w:rPr>
        <w:t xml:space="preserve">Սոցիալական աջակցություն անաշխատունակության դեպքում ծրագրի </w:t>
      </w:r>
      <w:r w:rsidRPr="00EB40D6">
        <w:rPr>
          <w:b w:val="0"/>
          <w:szCs w:val="22"/>
          <w:lang w:val="hy-AM"/>
        </w:rPr>
        <w:t xml:space="preserve">վերջնական արդյունքը </w:t>
      </w:r>
      <w:r w:rsidRPr="00EB40D6">
        <w:rPr>
          <w:rFonts w:eastAsia="Calibri" w:cs="Calibri"/>
          <w:b w:val="0"/>
          <w:szCs w:val="22"/>
          <w:lang w:val="hy-AM" w:eastAsia="en-US"/>
        </w:rPr>
        <w:t>անաշխատունակության հետևանքով եկամտի կորստի մասնակի փոխհատուցման ապահովումն է։</w:t>
      </w:r>
    </w:p>
    <w:p w14:paraId="557383ED" w14:textId="77777777" w:rsidR="00F47B79" w:rsidRPr="00F301E2" w:rsidRDefault="00F47B79" w:rsidP="00AC1E1E">
      <w:pPr>
        <w:rPr>
          <w:rFonts w:eastAsia="Calibri" w:cs="Calibri"/>
          <w:b w:val="0"/>
          <w:szCs w:val="22"/>
          <w:lang w:val="hy-AM" w:eastAsia="en-US"/>
        </w:rPr>
      </w:pPr>
      <w:r w:rsidRPr="00EB40D6">
        <w:rPr>
          <w:rFonts w:eastAsia="Calibri" w:cs="Calibri"/>
          <w:b w:val="0"/>
          <w:szCs w:val="22"/>
          <w:lang w:val="hy-AM" w:eastAsia="en-US"/>
        </w:rPr>
        <w:t xml:space="preserve">Ծրագրի իրականացման համար 2024 </w:t>
      </w:r>
      <w:r w:rsidRPr="008C6567">
        <w:rPr>
          <w:rFonts w:eastAsia="Calibri" w:cs="Calibri"/>
          <w:b w:val="0"/>
          <w:szCs w:val="22"/>
          <w:lang w:val="hy-AM" w:eastAsia="en-US"/>
        </w:rPr>
        <w:t xml:space="preserve">թվականին նախատեսվում է հատկացնել շուրջ </w:t>
      </w:r>
      <w:r w:rsidRPr="00F301E2">
        <w:rPr>
          <w:rFonts w:eastAsia="Calibri" w:cs="Calibri"/>
          <w:b w:val="0"/>
          <w:szCs w:val="22"/>
          <w:lang w:val="hy-AM" w:eastAsia="en-US"/>
        </w:rPr>
        <w:t xml:space="preserve">22,557.1 </w:t>
      </w:r>
      <w:r w:rsidRPr="008C6567">
        <w:rPr>
          <w:rFonts w:eastAsia="Calibri" w:cs="Calibri"/>
          <w:b w:val="0"/>
          <w:szCs w:val="22"/>
          <w:lang w:val="hy-AM" w:eastAsia="en-US"/>
        </w:rPr>
        <w:t xml:space="preserve">մլն դրամ, այդ թվում՝ ժամանակավոր անաշխատունակության նպաստների գծով՝ </w:t>
      </w:r>
      <w:r w:rsidRPr="00F301E2">
        <w:rPr>
          <w:rFonts w:eastAsia="Calibri" w:cs="Calibri"/>
          <w:b w:val="0"/>
          <w:szCs w:val="22"/>
          <w:lang w:val="hy-AM" w:eastAsia="en-US"/>
        </w:rPr>
        <w:t>5,880.1 մլն դրամ, իսկ մայրության նպաստ ստացող աշխատող` 17530 և չաշխատող` 22588 անձանց գծով՝ 16,440.7 մլն դրամ: Լեռնային Ղարաբաղից բռնի տեղահանված շահառուների գծով նախատեսվում է հատկացնել 50.0 մլն դրամ ժամանակավոր անաշխատունակության նպաստների, 1,564.8 մլն դրամ՝ մայրության նպաստի (հաշվարկված 100 աշխատող և 2018 չաշխատող մայրերի համար) գծով։</w:t>
      </w:r>
    </w:p>
    <w:p w14:paraId="4B98F3AA" w14:textId="77777777" w:rsidR="00F47B79" w:rsidRPr="00EB40D6" w:rsidRDefault="00F47B79" w:rsidP="00AC1E1E">
      <w:pPr>
        <w:rPr>
          <w:rFonts w:eastAsia="Calibri" w:cs="Calibri"/>
          <w:b w:val="0"/>
          <w:szCs w:val="22"/>
          <w:lang w:val="hy-AM" w:eastAsia="en-US"/>
        </w:rPr>
      </w:pPr>
      <w:r w:rsidRPr="00EB40D6">
        <w:rPr>
          <w:rFonts w:eastAsia="Calibri" w:cs="Calibri"/>
          <w:b w:val="0"/>
          <w:szCs w:val="22"/>
          <w:lang w:val="hy-AM" w:eastAsia="en-US"/>
        </w:rPr>
        <w:t xml:space="preserve">Միաժամանակ, Մարդու իրավունքների պաշտպանի դիմումի հիման վրա՝ ՀՀ քաղաքացիական օրենսգրքի 1086-րդ հոդվածի, ՀՀ աշխատանքային օրենսգրքի 236-րդ հոդվածի, ՀՀ կառավարության 15.11.1992 N 579 որոշման, ՀՀ կառավարության </w:t>
      </w:r>
      <w:r w:rsidRPr="00EB40D6">
        <w:rPr>
          <w:rFonts w:eastAsia="Calibri" w:cs="Calibri"/>
          <w:b w:val="0"/>
          <w:szCs w:val="22"/>
          <w:lang w:val="hy-AM" w:eastAsia="en-US"/>
        </w:rPr>
        <w:lastRenderedPageBreak/>
        <w:t>23.07.2009թ. N 914-Ն որոշման՝ Սահմանադրությանը համապատասխանության հարցը որոշելու վերաբերյալ գործով Սահմանադրական դատարանի 30.11.2021 ՍԴՈ-1618 որոշման 3-րդ կետի համաձայն՝ ՀՀ կառավարության 15.11.1992 N 579 որոշմամբ ամրագրված իրավակարգավորումները համապատասխանում են Սահմանադրությանն այնպիսի մեկնաբանությամբ, համաձայն որի մինչև ՀՀ կառավարության 22.07.2004 N 1094-Ն որոշմամբ կատարված փոփոխությունն ուժի մեջ մտնելն աշխատանքային պարտականությունների կատարման հետ կապված խեղման, մասնագիտական հիվանդության և առողջության այլ վնաս կրած անձինք կազմակերպության գործունեության դադարեցման դեպքում կապիտալացված միջոցների բացակայության կամ անբավարար լինելու պարագայում պահպանում են պետական բյուջեի հաշվին փոխհատուցում ստանալու իրավունքը: 2024 թվականին վերոնշյալ անձանց վնասի փոխհատուցման համար նախատեսվել</w:t>
      </w:r>
      <w:r>
        <w:rPr>
          <w:rFonts w:eastAsia="Calibri" w:cs="Calibri"/>
          <w:b w:val="0"/>
          <w:szCs w:val="22"/>
          <w:lang w:val="hy-AM" w:eastAsia="en-US"/>
        </w:rPr>
        <w:t xml:space="preserve"> </w:t>
      </w:r>
      <w:r w:rsidRPr="00EB40D6">
        <w:rPr>
          <w:rFonts w:eastAsia="Calibri" w:cs="Calibri"/>
          <w:b w:val="0"/>
          <w:szCs w:val="22"/>
          <w:lang w:val="hy-AM" w:eastAsia="en-US"/>
        </w:rPr>
        <w:t>է շուրջ 231.3 մլն դրամ՝ 499 շահառուի համար:</w:t>
      </w:r>
    </w:p>
    <w:p w14:paraId="45C88F0F" w14:textId="77777777" w:rsidR="00F47B79" w:rsidRPr="00EB40D6" w:rsidRDefault="00F47B79" w:rsidP="00AC1E1E">
      <w:pPr>
        <w:rPr>
          <w:rFonts w:eastAsia="Calibri" w:cs="Calibri"/>
          <w:b w:val="0"/>
          <w:szCs w:val="22"/>
          <w:lang w:val="hy-AM" w:eastAsia="en-US"/>
        </w:rPr>
      </w:pPr>
      <w:r w:rsidRPr="00EB40D6">
        <w:rPr>
          <w:iCs/>
          <w:color w:val="191919"/>
          <w:szCs w:val="22"/>
          <w:shd w:val="clear" w:color="auto" w:fill="FFFFFF"/>
          <w:lang w:val="hy-AM" w:eastAsia="en-US"/>
        </w:rPr>
        <w:t>Զբաղվածության ծրագրի</w:t>
      </w:r>
      <w:r w:rsidRPr="00EB40D6">
        <w:rPr>
          <w:b w:val="0"/>
          <w:bCs/>
          <w:color w:val="191919"/>
          <w:szCs w:val="22"/>
          <w:shd w:val="clear" w:color="auto" w:fill="FFFFFF"/>
          <w:lang w:val="hy-AM" w:eastAsia="en-US"/>
        </w:rPr>
        <w:t xml:space="preserve"> </w:t>
      </w:r>
      <w:r w:rsidRPr="00EB40D6">
        <w:rPr>
          <w:b w:val="0"/>
          <w:bCs/>
          <w:szCs w:val="22"/>
          <w:shd w:val="clear" w:color="auto" w:fill="FFFFFF"/>
          <w:lang w:val="hy-AM" w:eastAsia="en-US"/>
        </w:rPr>
        <w:t xml:space="preserve">վերջնական արդյունքը կայուն և ժամանակավոր զբաղվածների թվաքանակի աճն է՝ բնակչության կայուն և ժամանակավոր զբաղվածության ապահովմանը միտված պայմանների ստեղծման նպատակով: </w:t>
      </w:r>
    </w:p>
    <w:p w14:paraId="3A25052C" w14:textId="205F3D35" w:rsidR="00F47B79" w:rsidRDefault="00F47B79" w:rsidP="00AC1E1E">
      <w:pPr>
        <w:tabs>
          <w:tab w:val="left" w:pos="0"/>
        </w:tabs>
        <w:rPr>
          <w:b w:val="0"/>
          <w:bCs/>
          <w:color w:val="191919"/>
          <w:szCs w:val="22"/>
          <w:shd w:val="clear" w:color="auto" w:fill="FFFFFF"/>
          <w:lang w:val="hy-AM" w:eastAsia="en-US"/>
        </w:rPr>
      </w:pPr>
      <w:r w:rsidRPr="00EB40D6">
        <w:rPr>
          <w:b w:val="0"/>
          <w:bCs/>
          <w:szCs w:val="22"/>
          <w:shd w:val="clear" w:color="auto" w:fill="FFFFFF"/>
          <w:lang w:val="hy-AM" w:eastAsia="en-US"/>
        </w:rPr>
        <w:t>2024 թվականին նախատեսվել է զբաղվածության ծրագրին հատկացնել 638.5 մլն դրամ, որը կուղղվի զբաղվածության պետական 5 միջոցառումների իրականացմանը: Ընդ որում, նախատեսված գումարից 193.4 մլն դրամը պետք</w:t>
      </w:r>
      <w:r w:rsidR="00840A23" w:rsidRPr="00840A23">
        <w:rPr>
          <w:b w:val="0"/>
          <w:bCs/>
          <w:szCs w:val="22"/>
          <w:shd w:val="clear" w:color="auto" w:fill="FFFFFF"/>
          <w:lang w:val="hy-AM" w:eastAsia="en-US"/>
        </w:rPr>
        <w:t xml:space="preserve"> </w:t>
      </w:r>
      <w:r w:rsidRPr="00EB40D6">
        <w:rPr>
          <w:b w:val="0"/>
          <w:bCs/>
          <w:szCs w:val="22"/>
          <w:shd w:val="clear" w:color="auto" w:fill="FFFFFF"/>
          <w:lang w:val="hy-AM" w:eastAsia="en-US"/>
        </w:rPr>
        <w:tab/>
        <w:t xml:space="preserve">է ուղղվի 2022-2023թթ. զբաղվածության 3 միջոցառումների շրջանակներում կնքված 276 պայմանագրերի գծով՝ 2024 թվականի պետական բյուջե տեղափոխվող ֆինանսական պատրավորությունների մարմանը։ Միաժամանակ, 2024 թվականին նախատեսվում է զբաղվածության միջոցառումներում ընդգրկել </w:t>
      </w:r>
      <w:r w:rsidRPr="00DC2B7E">
        <w:rPr>
          <w:b w:val="0"/>
          <w:bCs/>
          <w:szCs w:val="22"/>
          <w:shd w:val="clear" w:color="auto" w:fill="FFFFFF"/>
          <w:lang w:val="hy-AM" w:eastAsia="en-US"/>
        </w:rPr>
        <w:t>1217</w:t>
      </w:r>
      <w:r w:rsidRPr="00EB40D6">
        <w:rPr>
          <w:b w:val="0"/>
          <w:bCs/>
          <w:szCs w:val="22"/>
          <w:shd w:val="clear" w:color="auto" w:fill="FFFFFF"/>
          <w:lang w:val="hy-AM" w:eastAsia="en-US"/>
        </w:rPr>
        <w:t xml:space="preserve"> շահառու, որից 942-ը սեզոնային զբաղվածության ապահ</w:t>
      </w:r>
      <w:r>
        <w:rPr>
          <w:b w:val="0"/>
          <w:bCs/>
          <w:szCs w:val="22"/>
          <w:shd w:val="clear" w:color="auto" w:fill="FFFFFF"/>
          <w:lang w:val="hy-AM" w:eastAsia="en-US"/>
        </w:rPr>
        <w:t>ով</w:t>
      </w:r>
      <w:r w:rsidRPr="00EB40D6">
        <w:rPr>
          <w:b w:val="0"/>
          <w:bCs/>
          <w:szCs w:val="22"/>
          <w:shd w:val="clear" w:color="auto" w:fill="FFFFFF"/>
          <w:lang w:val="hy-AM" w:eastAsia="en-US"/>
        </w:rPr>
        <w:t>ման միջոցառման մեջ</w:t>
      </w:r>
      <w:r w:rsidRPr="00EB40D6">
        <w:rPr>
          <w:b w:val="0"/>
          <w:bCs/>
          <w:color w:val="191919"/>
          <w:szCs w:val="22"/>
          <w:shd w:val="clear" w:color="auto" w:fill="FFFFFF"/>
          <w:lang w:val="hy-AM" w:eastAsia="en-US"/>
        </w:rPr>
        <w:t>:</w:t>
      </w:r>
    </w:p>
    <w:p w14:paraId="394430D7" w14:textId="77777777" w:rsidR="00F47B79" w:rsidRPr="00EB40D6" w:rsidRDefault="00F47B79" w:rsidP="00AC1E1E">
      <w:pPr>
        <w:tabs>
          <w:tab w:val="left" w:pos="0"/>
        </w:tabs>
        <w:rPr>
          <w:b w:val="0"/>
          <w:bCs/>
          <w:color w:val="191919"/>
          <w:szCs w:val="22"/>
          <w:shd w:val="clear" w:color="auto" w:fill="FFFFFF"/>
          <w:lang w:val="hy-AM" w:eastAsia="en-US"/>
        </w:rPr>
      </w:pPr>
      <w:r w:rsidRPr="00EB40D6">
        <w:rPr>
          <w:bCs/>
          <w:color w:val="191919"/>
          <w:szCs w:val="22"/>
          <w:shd w:val="clear" w:color="auto" w:fill="FFFFFF"/>
          <w:lang w:val="hy-AM" w:eastAsia="en-US"/>
        </w:rPr>
        <w:t>Բնակարանային ապահովման</w:t>
      </w:r>
      <w:r w:rsidRPr="00EB40D6">
        <w:rPr>
          <w:bCs/>
          <w:kern w:val="16"/>
          <w:szCs w:val="22"/>
          <w:lang w:val="hy-AM" w:eastAsia="en-US"/>
        </w:rPr>
        <w:t xml:space="preserve"> </w:t>
      </w:r>
      <w:r w:rsidRPr="00EB40D6">
        <w:rPr>
          <w:b w:val="0"/>
          <w:bCs/>
          <w:color w:val="191919"/>
          <w:szCs w:val="22"/>
          <w:shd w:val="clear" w:color="auto" w:fill="FFFFFF"/>
          <w:lang w:val="hy-AM" w:eastAsia="en-US"/>
        </w:rPr>
        <w:t>ծրագրի համար 2024 թվականին նախատեսվում է 4,</w:t>
      </w:r>
      <w:r w:rsidRPr="00A15953">
        <w:rPr>
          <w:b w:val="0"/>
          <w:bCs/>
          <w:color w:val="191919"/>
          <w:szCs w:val="22"/>
          <w:shd w:val="clear" w:color="auto" w:fill="FFFFFF"/>
          <w:lang w:val="hy-AM" w:eastAsia="en-US"/>
        </w:rPr>
        <w:t>837</w:t>
      </w:r>
      <w:r w:rsidRPr="00EB40D6">
        <w:rPr>
          <w:b w:val="0"/>
          <w:bCs/>
          <w:color w:val="191919"/>
          <w:szCs w:val="22"/>
          <w:shd w:val="clear" w:color="auto" w:fill="FFFFFF"/>
          <w:lang w:val="hy-AM" w:eastAsia="en-US"/>
        </w:rPr>
        <w:t>.</w:t>
      </w:r>
      <w:r w:rsidRPr="00A15953">
        <w:rPr>
          <w:b w:val="0"/>
          <w:bCs/>
          <w:color w:val="191919"/>
          <w:szCs w:val="22"/>
          <w:shd w:val="clear" w:color="auto" w:fill="FFFFFF"/>
          <w:lang w:val="hy-AM" w:eastAsia="en-US"/>
        </w:rPr>
        <w:t>3</w:t>
      </w:r>
      <w:r w:rsidRPr="00EB40D6">
        <w:rPr>
          <w:b w:val="0"/>
          <w:bCs/>
          <w:color w:val="191919"/>
          <w:szCs w:val="22"/>
          <w:shd w:val="clear" w:color="auto" w:fill="FFFFFF"/>
          <w:lang w:val="hy-AM" w:eastAsia="en-US"/>
        </w:rPr>
        <w:t xml:space="preserve"> մլն դրամ, այդ թվում՝ ՀՀ ՊՆ համակարգի՝ </w:t>
      </w:r>
      <w:r w:rsidRPr="007404FD">
        <w:rPr>
          <w:b w:val="0"/>
          <w:bCs/>
          <w:color w:val="191919"/>
          <w:szCs w:val="22"/>
          <w:shd w:val="clear" w:color="auto" w:fill="FFFFFF"/>
          <w:lang w:val="hy-AM" w:eastAsia="en-US"/>
        </w:rPr>
        <w:t xml:space="preserve">43 անօթևան </w:t>
      </w:r>
      <w:r w:rsidRPr="00EB40D6">
        <w:rPr>
          <w:b w:val="0"/>
          <w:bCs/>
          <w:color w:val="191919"/>
          <w:szCs w:val="22"/>
          <w:shd w:val="clear" w:color="auto" w:fill="FFFFFF"/>
          <w:lang w:val="hy-AM" w:eastAsia="en-US"/>
        </w:rPr>
        <w:t xml:space="preserve">և բնակարանային պայմանների բարելավման կարիք ունեցող` զոհված (մահացած) զինծառայողների ընտանիքների համար՝ 494.0 մլն դրամ, և </w:t>
      </w:r>
      <w:r w:rsidRPr="007404FD">
        <w:rPr>
          <w:b w:val="0"/>
          <w:bCs/>
          <w:color w:val="191919"/>
          <w:szCs w:val="22"/>
          <w:shd w:val="clear" w:color="auto" w:fill="FFFFFF"/>
          <w:lang w:val="hy-AM" w:eastAsia="en-US"/>
        </w:rPr>
        <w:t>100 զինծառայողների</w:t>
      </w:r>
      <w:r w:rsidRPr="00EB40D6">
        <w:rPr>
          <w:b w:val="0"/>
          <w:bCs/>
          <w:color w:val="191919"/>
          <w:szCs w:val="22"/>
          <w:shd w:val="clear" w:color="auto" w:fill="FFFFFF"/>
          <w:lang w:val="hy-AM" w:eastAsia="en-US"/>
        </w:rPr>
        <w:t>, նրանց հավասարեցված անձանց բնակարանային պայմանների բարելավման համար՝ 921.0 մլն դրամ։</w:t>
      </w:r>
    </w:p>
    <w:p w14:paraId="0812895E" w14:textId="77777777" w:rsidR="00F47B79" w:rsidRPr="00EB40D6" w:rsidRDefault="00F47B79" w:rsidP="00AC1E1E">
      <w:pPr>
        <w:tabs>
          <w:tab w:val="left" w:pos="0"/>
        </w:tabs>
        <w:rPr>
          <w:b w:val="0"/>
          <w:bCs/>
          <w:color w:val="191919"/>
          <w:szCs w:val="22"/>
          <w:shd w:val="clear" w:color="auto" w:fill="FFFFFF"/>
          <w:lang w:val="hy-AM" w:eastAsia="en-US"/>
        </w:rPr>
      </w:pPr>
      <w:r w:rsidRPr="00EB40D6">
        <w:rPr>
          <w:b w:val="0"/>
          <w:bCs/>
          <w:color w:val="191919"/>
          <w:szCs w:val="22"/>
          <w:shd w:val="clear" w:color="auto" w:fill="FFFFFF"/>
          <w:lang w:val="hy-AM" w:eastAsia="en-US"/>
        </w:rPr>
        <w:t>Ծրագրի շրջանակում նախատեսվում է նաև պատժից ազատվ</w:t>
      </w:r>
      <w:r>
        <w:rPr>
          <w:b w:val="0"/>
          <w:bCs/>
          <w:color w:val="191919"/>
          <w:szCs w:val="22"/>
          <w:shd w:val="clear" w:color="auto" w:fill="FFFFFF"/>
          <w:lang w:val="hy-AM" w:eastAsia="en-US"/>
        </w:rPr>
        <w:t xml:space="preserve">ող այն դատապարտյալներին, ովքեր </w:t>
      </w:r>
      <w:r w:rsidRPr="00EB40D6">
        <w:rPr>
          <w:b w:val="0"/>
          <w:bCs/>
          <w:color w:val="191919"/>
          <w:szCs w:val="22"/>
          <w:shd w:val="clear" w:color="auto" w:fill="FFFFFF"/>
          <w:lang w:val="hy-AM" w:eastAsia="en-US"/>
        </w:rPr>
        <w:t>չունեն բնակության վայր՝ նրանց տրամադրել բնակարանի վարձակալության վարձավճարի հատուցում՝ մինչև վեց ամիս ժամկետով</w:t>
      </w:r>
      <w:r>
        <w:rPr>
          <w:b w:val="0"/>
          <w:bCs/>
          <w:color w:val="191919"/>
          <w:szCs w:val="22"/>
          <w:shd w:val="clear" w:color="auto" w:fill="FFFFFF"/>
          <w:lang w:val="hy-AM" w:eastAsia="en-US"/>
        </w:rPr>
        <w:t>:</w:t>
      </w:r>
      <w:r w:rsidRPr="00EB40D6">
        <w:rPr>
          <w:b w:val="0"/>
          <w:bCs/>
          <w:color w:val="191919"/>
          <w:szCs w:val="22"/>
          <w:shd w:val="clear" w:color="auto" w:fill="FFFFFF"/>
          <w:lang w:val="hy-AM" w:eastAsia="en-US"/>
        </w:rPr>
        <w:t xml:space="preserve"> 2024 թվականին միջոցառման շահառուների թիվը կկազմի 375</w:t>
      </w:r>
      <w:r>
        <w:rPr>
          <w:b w:val="0"/>
          <w:bCs/>
          <w:color w:val="191919"/>
          <w:szCs w:val="22"/>
          <w:shd w:val="clear" w:color="auto" w:fill="FFFFFF"/>
          <w:lang w:val="hy-AM" w:eastAsia="en-US"/>
        </w:rPr>
        <w:t>,</w:t>
      </w:r>
      <w:r w:rsidRPr="00EB40D6">
        <w:rPr>
          <w:b w:val="0"/>
          <w:bCs/>
          <w:color w:val="191919"/>
          <w:szCs w:val="22"/>
          <w:shd w:val="clear" w:color="auto" w:fill="FFFFFF"/>
          <w:lang w:val="hy-AM" w:eastAsia="en-US"/>
        </w:rPr>
        <w:t xml:space="preserve"> վարձավճարի ամսական չափը՝ 60.0 հազ. դրամ:</w:t>
      </w:r>
    </w:p>
    <w:p w14:paraId="4A2C85C8" w14:textId="77777777" w:rsidR="00F47B79" w:rsidRPr="00EB40D6" w:rsidRDefault="00F47B79" w:rsidP="00AC1E1E">
      <w:pPr>
        <w:tabs>
          <w:tab w:val="left" w:pos="0"/>
        </w:tabs>
        <w:rPr>
          <w:b w:val="0"/>
          <w:bCs/>
          <w:color w:val="191919"/>
          <w:szCs w:val="22"/>
          <w:shd w:val="clear" w:color="auto" w:fill="FFFFFF"/>
          <w:lang w:val="hy-AM" w:eastAsia="en-US"/>
        </w:rPr>
      </w:pPr>
      <w:r w:rsidRPr="00EB40D6">
        <w:rPr>
          <w:b w:val="0"/>
          <w:bCs/>
          <w:color w:val="191919"/>
          <w:szCs w:val="22"/>
          <w:shd w:val="clear" w:color="auto" w:fill="FFFFFF"/>
          <w:lang w:val="hy-AM" w:eastAsia="en-US"/>
        </w:rPr>
        <w:t xml:space="preserve">2,000.0 մլն դրամի պետական աջակցություն Լեռնային Ղարաբաղի առանձին շրջաններից </w:t>
      </w:r>
      <w:r>
        <w:rPr>
          <w:b w:val="0"/>
          <w:bCs/>
          <w:color w:val="191919"/>
          <w:szCs w:val="22"/>
          <w:shd w:val="clear" w:color="auto" w:fill="FFFFFF"/>
          <w:lang w:val="hy-AM" w:eastAsia="en-US"/>
        </w:rPr>
        <w:t xml:space="preserve">բռնի </w:t>
      </w:r>
      <w:r w:rsidRPr="00EB40D6">
        <w:rPr>
          <w:b w:val="0"/>
          <w:bCs/>
          <w:color w:val="191919"/>
          <w:szCs w:val="22"/>
          <w:shd w:val="clear" w:color="auto" w:fill="FFFFFF"/>
          <w:lang w:val="hy-AM" w:eastAsia="en-US"/>
        </w:rPr>
        <w:t xml:space="preserve">տեղահանված 4032 ընտանիքների՝ ձեռք բերելու բնակելի անշարժ գույք կամ կառուցելու անհատական բնակելի տուն, ինչպես նաև, 467.5 մլն դրամի չափով՝ ՀՀ սահմանամերձ գյուղական բնակավայրում անհատական բնակելի տուն կառուցելու </w:t>
      </w:r>
      <w:r w:rsidRPr="00EB40D6">
        <w:rPr>
          <w:b w:val="0"/>
          <w:bCs/>
          <w:color w:val="191919"/>
          <w:szCs w:val="22"/>
          <w:shd w:val="clear" w:color="auto" w:fill="FFFFFF"/>
          <w:lang w:val="hy-AM" w:eastAsia="en-US"/>
        </w:rPr>
        <w:lastRenderedPageBreak/>
        <w:t>նպատակով գործընկեր կազմակերպությունների կողմից տրամադրված հիփոթեքային վարկ ստացած 540 շահառուի։</w:t>
      </w:r>
    </w:p>
    <w:p w14:paraId="2915310F" w14:textId="77777777" w:rsidR="00F47B79" w:rsidRPr="00EB40D6" w:rsidRDefault="00F47B79" w:rsidP="00AC1E1E">
      <w:pPr>
        <w:tabs>
          <w:tab w:val="left" w:pos="0"/>
        </w:tabs>
        <w:rPr>
          <w:rFonts w:eastAsia="Calibri" w:cs="Calibri"/>
          <w:b w:val="0"/>
          <w:szCs w:val="22"/>
          <w:lang w:val="hy-AM" w:eastAsia="en-US"/>
        </w:rPr>
      </w:pPr>
      <w:r w:rsidRPr="00EB40D6">
        <w:rPr>
          <w:rFonts w:eastAsia="Calibri" w:cs="Calibri"/>
          <w:szCs w:val="22"/>
          <w:lang w:val="hy-AM" w:eastAsia="en-US"/>
        </w:rPr>
        <w:t xml:space="preserve">Կենսաթոշակային ապահովություն ծրագրի </w:t>
      </w:r>
      <w:r w:rsidRPr="00EB40D6">
        <w:rPr>
          <w:rFonts w:eastAsia="Calibri" w:cs="Calibri"/>
          <w:b w:val="0"/>
          <w:szCs w:val="22"/>
          <w:lang w:val="hy-AM" w:eastAsia="en-US"/>
        </w:rPr>
        <w:t>վերջնական արդյունքը օրենքով սահմանված դեպքերում և կարգով պետական կենսաթոշակների տրամադրման (նշանակման և վճարման), ինչպես նաև պետական բյուջեի միջոցների հաշվին օրենքով սահմանված դեպքերում պարտադիր կուտակային համակարգի մասնակցի համար (օգտին) մինչև նրա կենսաթոշակային տարիքը լրանալը կուտակային հատկացումների կատարման ապահովումն է:</w:t>
      </w:r>
    </w:p>
    <w:p w14:paraId="2D07D967" w14:textId="77777777" w:rsidR="00F47B79" w:rsidRPr="00A15953" w:rsidRDefault="00F47B79" w:rsidP="00AC1E1E">
      <w:pPr>
        <w:tabs>
          <w:tab w:val="left" w:pos="0"/>
        </w:tabs>
        <w:rPr>
          <w:rFonts w:eastAsia="Calibri" w:cs="Calibri"/>
          <w:b w:val="0"/>
          <w:szCs w:val="22"/>
          <w:lang w:val="hy-AM" w:eastAsia="en-US"/>
        </w:rPr>
      </w:pPr>
      <w:r w:rsidRPr="00A15953">
        <w:rPr>
          <w:rFonts w:eastAsia="Calibri" w:cs="Calibri"/>
          <w:b w:val="0"/>
          <w:szCs w:val="22"/>
          <w:lang w:val="hy-AM" w:eastAsia="en-US"/>
        </w:rPr>
        <w:t>2024 թվականին այս ծրագրի գծով նախատեսվում է հատկացնել 493,902.9 մլն դրամ, որից 152,266.8 մլն դրամը կուտակային կենսաթոշակն է, այդ թվում՝  Լեռնային Ղարաբաղից բռնի տեղահանված կենսաթոշակառուների կենսաթոշակների համար՝ 22,461.1 մլն դրամ, որից 7,250.8 մլն դրամ։</w:t>
      </w:r>
    </w:p>
    <w:p w14:paraId="212C0CCD" w14:textId="77777777" w:rsidR="00F47B79" w:rsidRPr="00EB40D6" w:rsidRDefault="00F47B79" w:rsidP="00AC1E1E">
      <w:pPr>
        <w:tabs>
          <w:tab w:val="left" w:pos="0"/>
        </w:tabs>
        <w:rPr>
          <w:b w:val="0"/>
          <w:bCs/>
          <w:color w:val="191919"/>
          <w:szCs w:val="22"/>
          <w:shd w:val="clear" w:color="auto" w:fill="FFFFFF"/>
          <w:lang w:val="hy-AM" w:eastAsia="en-US"/>
        </w:rPr>
      </w:pPr>
      <w:r w:rsidRPr="00EB40D6">
        <w:rPr>
          <w:rFonts w:eastAsia="Calibri" w:cs="Calibri"/>
          <w:b w:val="0"/>
          <w:szCs w:val="22"/>
          <w:lang w:val="hy-AM" w:eastAsia="en-US"/>
        </w:rPr>
        <w:t xml:space="preserve">2024 թվականի կանխատեսումներում հաշվի են առնվել կենսաթոշակային ապահովության ոլորտի </w:t>
      </w:r>
      <w:r w:rsidRPr="00EB40D6">
        <w:rPr>
          <w:rFonts w:cs="Sylfaen"/>
          <w:b w:val="0"/>
          <w:bCs/>
          <w:szCs w:val="22"/>
          <w:lang w:val="hy-AM" w:eastAsia="en-US"/>
        </w:rPr>
        <w:t xml:space="preserve">2023 թվականի հուլիսի 1-ից հետո կատարված փոփոխություններով սահմանված </w:t>
      </w:r>
      <w:r w:rsidRPr="00EB40D6">
        <w:rPr>
          <w:rFonts w:eastAsia="Calibri" w:cs="Calibri"/>
          <w:b w:val="0"/>
          <w:szCs w:val="22"/>
          <w:lang w:val="hy-AM" w:eastAsia="en-US"/>
        </w:rPr>
        <w:t xml:space="preserve">հիմնական ցուցանիշները՝ </w:t>
      </w:r>
    </w:p>
    <w:p w14:paraId="31F3D9C8" w14:textId="77777777" w:rsidR="00F47B79" w:rsidRPr="00EB40D6" w:rsidRDefault="00F47B79" w:rsidP="00AC1E1E">
      <w:pPr>
        <w:numPr>
          <w:ilvl w:val="0"/>
          <w:numId w:val="37"/>
        </w:numPr>
        <w:tabs>
          <w:tab w:val="left" w:pos="567"/>
        </w:tabs>
        <w:ind w:left="0" w:firstLine="284"/>
        <w:rPr>
          <w:rFonts w:eastAsia="Calibri" w:cs="Calibri"/>
          <w:szCs w:val="22"/>
          <w:lang w:val="hy-AM" w:eastAsia="en-US"/>
        </w:rPr>
      </w:pPr>
      <w:r w:rsidRPr="00EB40D6">
        <w:rPr>
          <w:rFonts w:eastAsia="Calibri" w:cs="Calibri"/>
          <w:szCs w:val="22"/>
          <w:lang w:val="hy-AM" w:eastAsia="en-US"/>
        </w:rPr>
        <w:t>աշխատանքային կենսաթոշակը հաշվարկելու համար</w:t>
      </w:r>
      <w:r w:rsidRPr="00EB40D6">
        <w:rPr>
          <w:rFonts w:eastAsia="Calibri" w:cs="Calibri"/>
          <w:szCs w:val="22"/>
          <w:lang w:eastAsia="en-US"/>
        </w:rPr>
        <w:t>՝</w:t>
      </w:r>
    </w:p>
    <w:p w14:paraId="72F6A82B" w14:textId="77777777" w:rsidR="00F47B79" w:rsidRPr="00EB40D6" w:rsidRDefault="00F47B79" w:rsidP="00AC1E1E">
      <w:pPr>
        <w:numPr>
          <w:ilvl w:val="0"/>
          <w:numId w:val="38"/>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հիմնական կենսաթոշակի չափը, հիմնական կենսաթոշակ՝ 24000 դրամ և նվազագույն կենսաթ</w:t>
      </w:r>
      <w:r w:rsidRPr="001F6A37">
        <w:rPr>
          <w:rFonts w:eastAsia="Calibri" w:cs="Calibri"/>
          <w:b w:val="0"/>
          <w:szCs w:val="22"/>
          <w:lang w:val="hy-AM" w:eastAsia="en-US"/>
        </w:rPr>
        <w:t>ո</w:t>
      </w:r>
      <w:r w:rsidRPr="00EB40D6">
        <w:rPr>
          <w:rFonts w:eastAsia="Calibri" w:cs="Calibri"/>
          <w:b w:val="0"/>
          <w:szCs w:val="22"/>
          <w:lang w:val="hy-AM" w:eastAsia="en-US"/>
        </w:rPr>
        <w:t xml:space="preserve">շակ՝ 36000 դրամ, </w:t>
      </w:r>
    </w:p>
    <w:p w14:paraId="7B9E63A4" w14:textId="77777777" w:rsidR="00F47B79" w:rsidRPr="00EB40D6" w:rsidRDefault="00F47B79" w:rsidP="00AC1E1E">
      <w:pPr>
        <w:numPr>
          <w:ilvl w:val="0"/>
          <w:numId w:val="38"/>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աշխատանքային ստաժի 1 տարվա արժեք՝ 950 դրամ մինչև 10 տարվա ստաժի 1 տարվա համար և 500 դրամ՝ 10-ից ավելի ստաժի 1 տարվա համար,</w:t>
      </w:r>
    </w:p>
    <w:p w14:paraId="06618BAF" w14:textId="77777777" w:rsidR="00F47B79" w:rsidRPr="00EB40D6" w:rsidRDefault="00F47B79" w:rsidP="00AC1E1E">
      <w:pPr>
        <w:numPr>
          <w:ilvl w:val="0"/>
          <w:numId w:val="37"/>
        </w:numPr>
        <w:tabs>
          <w:tab w:val="left" w:pos="567"/>
        </w:tabs>
        <w:ind w:left="0" w:firstLine="284"/>
        <w:rPr>
          <w:rFonts w:eastAsia="Calibri" w:cs="Calibri"/>
          <w:szCs w:val="22"/>
          <w:lang w:val="hy-AM" w:eastAsia="en-US"/>
        </w:rPr>
      </w:pPr>
      <w:r w:rsidRPr="00EB40D6">
        <w:rPr>
          <w:rFonts w:eastAsia="Calibri" w:cs="Calibri"/>
          <w:szCs w:val="22"/>
          <w:lang w:val="hy-AM" w:eastAsia="en-US"/>
        </w:rPr>
        <w:t>զինվորական կենսաթոշակը հաշվարկելու համար</w:t>
      </w:r>
      <w:r w:rsidRPr="00EB40D6">
        <w:rPr>
          <w:rFonts w:eastAsia="Calibri" w:cs="Calibri"/>
          <w:szCs w:val="22"/>
          <w:lang w:eastAsia="en-US"/>
        </w:rPr>
        <w:t>՝</w:t>
      </w:r>
      <w:r w:rsidRPr="00EB40D6">
        <w:rPr>
          <w:rFonts w:eastAsia="Calibri" w:cs="Calibri"/>
          <w:szCs w:val="22"/>
          <w:lang w:val="hy-AM" w:eastAsia="en-US"/>
        </w:rPr>
        <w:t xml:space="preserve"> </w:t>
      </w:r>
    </w:p>
    <w:p w14:paraId="67386AD9" w14:textId="77777777" w:rsidR="00F47B79" w:rsidRPr="00EB40D6" w:rsidRDefault="00F47B79" w:rsidP="00AC1E1E">
      <w:pPr>
        <w:numPr>
          <w:ilvl w:val="0"/>
          <w:numId w:val="38"/>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 xml:space="preserve">հիմնական կենսաթոշակի չափը՝ 20000 դրամ, </w:t>
      </w:r>
    </w:p>
    <w:p w14:paraId="7A680276" w14:textId="77777777" w:rsidR="00F47B79" w:rsidRPr="00EB40D6" w:rsidRDefault="00F47B79" w:rsidP="00AC1E1E">
      <w:pPr>
        <w:numPr>
          <w:ilvl w:val="0"/>
          <w:numId w:val="38"/>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 xml:space="preserve">զինվորական ծառայության մեկ տարվա արժեքը՝ 1750 դրամ, </w:t>
      </w:r>
    </w:p>
    <w:p w14:paraId="03335DD6" w14:textId="77777777" w:rsidR="00F47B79" w:rsidRPr="00EB40D6" w:rsidRDefault="00F47B79" w:rsidP="00AC1E1E">
      <w:pPr>
        <w:numPr>
          <w:ilvl w:val="0"/>
          <w:numId w:val="37"/>
        </w:numPr>
        <w:tabs>
          <w:tab w:val="left" w:pos="567"/>
        </w:tabs>
        <w:ind w:left="0" w:firstLine="284"/>
        <w:rPr>
          <w:rFonts w:eastAsia="Calibri" w:cs="Calibri"/>
          <w:szCs w:val="22"/>
          <w:lang w:val="hy-AM" w:eastAsia="en-US"/>
        </w:rPr>
      </w:pPr>
      <w:r w:rsidRPr="00EB40D6">
        <w:rPr>
          <w:rFonts w:eastAsia="Calibri" w:cs="Calibri"/>
          <w:szCs w:val="22"/>
          <w:lang w:val="hy-AM" w:eastAsia="en-US"/>
        </w:rPr>
        <w:t xml:space="preserve">պարտադիր ժամկետային (շարքային) զինվորական ծառայության շարքային կազմի զինծառայողի հաշմանդամության զինվորական կենսաթոշակի չափերը, համապատասխանաբար՝ </w:t>
      </w:r>
    </w:p>
    <w:p w14:paraId="64A37CAF" w14:textId="77777777" w:rsidR="00F47B79" w:rsidRPr="00EB40D6" w:rsidRDefault="00F47B79" w:rsidP="00AC1E1E">
      <w:pPr>
        <w:numPr>
          <w:ilvl w:val="0"/>
          <w:numId w:val="39"/>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 xml:space="preserve">1-ին խմբի դեպքում՝ 50600 դրամ, </w:t>
      </w:r>
    </w:p>
    <w:p w14:paraId="6EF32A47" w14:textId="77777777" w:rsidR="00F47B79" w:rsidRPr="00EB40D6" w:rsidRDefault="00F47B79" w:rsidP="00AC1E1E">
      <w:pPr>
        <w:numPr>
          <w:ilvl w:val="0"/>
          <w:numId w:val="39"/>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 xml:space="preserve">2-րդ խմբի դեպքում՝ 41400 դրամ, </w:t>
      </w:r>
    </w:p>
    <w:p w14:paraId="01A9DB6F" w14:textId="77777777" w:rsidR="00F47B79" w:rsidRPr="00EB40D6" w:rsidRDefault="00F47B79" w:rsidP="00AC1E1E">
      <w:pPr>
        <w:numPr>
          <w:ilvl w:val="0"/>
          <w:numId w:val="39"/>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 xml:space="preserve">3-րդ խմբի դեպքում՝ 38000 դրամ, </w:t>
      </w:r>
    </w:p>
    <w:p w14:paraId="6C53EBB1" w14:textId="77777777" w:rsidR="00F47B79" w:rsidRPr="00EB40D6" w:rsidRDefault="00F47B79" w:rsidP="00AC1E1E">
      <w:pPr>
        <w:numPr>
          <w:ilvl w:val="0"/>
          <w:numId w:val="37"/>
        </w:numPr>
        <w:tabs>
          <w:tab w:val="left" w:pos="567"/>
        </w:tabs>
        <w:ind w:left="0" w:firstLine="284"/>
        <w:rPr>
          <w:rFonts w:eastAsia="Calibri" w:cs="Calibri"/>
          <w:szCs w:val="22"/>
          <w:lang w:val="af-ZA" w:eastAsia="en-US"/>
        </w:rPr>
      </w:pPr>
      <w:r w:rsidRPr="00EB40D6">
        <w:rPr>
          <w:rFonts w:eastAsia="Calibri" w:cs="Calibri"/>
          <w:szCs w:val="22"/>
          <w:lang w:val="af-ZA" w:eastAsia="en-US"/>
        </w:rPr>
        <w:t>պարտադիր ժամկետային զինվորական ծառայության շարքային կազմի մահացած (զոհված) զինծառայողի ընտանիքի անդամի կերակրողին կորցնելու դեպքում զինվորական կենսաթոշակի չափերը</w:t>
      </w:r>
      <w:r w:rsidRPr="00EB40D6">
        <w:rPr>
          <w:rFonts w:eastAsia="Calibri" w:cs="Calibri"/>
          <w:szCs w:val="22"/>
          <w:lang w:val="hy-AM" w:eastAsia="en-US"/>
        </w:rPr>
        <w:t>,</w:t>
      </w:r>
      <w:r w:rsidRPr="00EB40D6">
        <w:rPr>
          <w:rFonts w:eastAsia="Calibri" w:cs="Calibri"/>
          <w:szCs w:val="22"/>
          <w:lang w:val="af-ZA" w:eastAsia="en-US"/>
        </w:rPr>
        <w:t xml:space="preserve"> համապատասխանաբար՝</w:t>
      </w:r>
    </w:p>
    <w:p w14:paraId="6A85D23F" w14:textId="77777777" w:rsidR="00F47B79" w:rsidRPr="00EB40D6" w:rsidRDefault="00F47B79" w:rsidP="00AC1E1E">
      <w:pPr>
        <w:numPr>
          <w:ilvl w:val="0"/>
          <w:numId w:val="39"/>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կերակրողը կորցնելու դեպքում (միակողմանի ծնողազուրկ երեխա, այլ անդամ)՝</w:t>
      </w:r>
      <w:r w:rsidRPr="00EB40D6">
        <w:rPr>
          <w:rFonts w:eastAsia="Calibri" w:cs="Calibri"/>
          <w:b w:val="0"/>
          <w:szCs w:val="22"/>
          <w:lang w:val="af-ZA" w:eastAsia="en-US"/>
        </w:rPr>
        <w:t xml:space="preserve"> </w:t>
      </w:r>
      <w:r w:rsidRPr="00EB40D6">
        <w:rPr>
          <w:rFonts w:eastAsia="Calibri" w:cs="Calibri"/>
          <w:b w:val="0"/>
          <w:szCs w:val="22"/>
          <w:lang w:val="hy-AM" w:eastAsia="en-US"/>
        </w:rPr>
        <w:t xml:space="preserve">38000 դրամ, </w:t>
      </w:r>
    </w:p>
    <w:p w14:paraId="2ADFA450" w14:textId="77777777" w:rsidR="00F47B79" w:rsidRPr="00EB40D6" w:rsidRDefault="00F47B79" w:rsidP="00AC1E1E">
      <w:pPr>
        <w:numPr>
          <w:ilvl w:val="0"/>
          <w:numId w:val="39"/>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կերակրողը կորցնելու դեպքում (երկկողմանի ծնողազուրկ երեխա)՝ 120000 դրամ,</w:t>
      </w:r>
    </w:p>
    <w:p w14:paraId="60AF5A57" w14:textId="77777777" w:rsidR="00F47B79" w:rsidRPr="00EB40D6" w:rsidRDefault="00F47B79" w:rsidP="00AC1E1E">
      <w:pPr>
        <w:pStyle w:val="ListParagraph"/>
        <w:numPr>
          <w:ilvl w:val="0"/>
          <w:numId w:val="37"/>
        </w:numPr>
        <w:tabs>
          <w:tab w:val="left" w:pos="567"/>
        </w:tabs>
        <w:ind w:left="0" w:firstLine="284"/>
        <w:rPr>
          <w:rFonts w:eastAsia="Calibri" w:cs="Calibri"/>
          <w:szCs w:val="22"/>
          <w:lang w:val="af-ZA" w:eastAsia="en-US"/>
        </w:rPr>
      </w:pPr>
      <w:r w:rsidRPr="00EB40D6">
        <w:rPr>
          <w:rFonts w:eastAsia="Calibri" w:cs="Calibri"/>
          <w:szCs w:val="22"/>
          <w:lang w:val="af-ZA" w:eastAsia="en-US"/>
        </w:rPr>
        <w:lastRenderedPageBreak/>
        <w:t>պետական պաշտոն զբաղեցրած անձանց կենսաթոշակի չափը հաշվարկելու համար՝</w:t>
      </w:r>
    </w:p>
    <w:p w14:paraId="4229AE2C" w14:textId="77777777" w:rsidR="00F47B79" w:rsidRPr="00EB40D6" w:rsidRDefault="00F47B79" w:rsidP="00AC1E1E">
      <w:pPr>
        <w:numPr>
          <w:ilvl w:val="0"/>
          <w:numId w:val="39"/>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 xml:space="preserve">հիմնական կենսաթոշակի չափը՝ 14000 դրամ, </w:t>
      </w:r>
    </w:p>
    <w:p w14:paraId="540B9D68" w14:textId="77777777" w:rsidR="00F47B79" w:rsidRDefault="00F47B79" w:rsidP="00AC1E1E">
      <w:pPr>
        <w:numPr>
          <w:ilvl w:val="0"/>
          <w:numId w:val="39"/>
        </w:numPr>
        <w:tabs>
          <w:tab w:val="left" w:pos="567"/>
        </w:tabs>
        <w:ind w:left="0" w:firstLine="284"/>
        <w:rPr>
          <w:rFonts w:eastAsia="Calibri" w:cs="Calibri"/>
          <w:b w:val="0"/>
          <w:szCs w:val="22"/>
          <w:lang w:val="hy-AM" w:eastAsia="en-US"/>
        </w:rPr>
      </w:pPr>
      <w:r w:rsidRPr="00EB40D6">
        <w:rPr>
          <w:rFonts w:eastAsia="Calibri" w:cs="Calibri"/>
          <w:b w:val="0"/>
          <w:szCs w:val="22"/>
          <w:lang w:val="hy-AM" w:eastAsia="en-US"/>
        </w:rPr>
        <w:t>մասնագիտական ստաժի մեկ տարվա արժեքը՝ 5000 դրամ:</w:t>
      </w:r>
    </w:p>
    <w:p w14:paraId="5CA28D4D" w14:textId="77777777" w:rsidR="00F47B79" w:rsidRPr="00A15953" w:rsidRDefault="00F47B79" w:rsidP="00AC1E1E">
      <w:pPr>
        <w:rPr>
          <w:rFonts w:eastAsia="Calibri" w:cs="Calibri"/>
          <w:b w:val="0"/>
          <w:bCs/>
          <w:szCs w:val="22"/>
          <w:lang w:val="hy-AM" w:eastAsia="en-US"/>
        </w:rPr>
      </w:pPr>
      <w:r w:rsidRPr="00C9186A">
        <w:rPr>
          <w:rFonts w:eastAsia="Calibri" w:cs="Calibri"/>
          <w:b w:val="0"/>
          <w:szCs w:val="22"/>
          <w:lang w:val="hy-AM" w:eastAsia="en-US"/>
        </w:rPr>
        <w:t xml:space="preserve">2023 թվականի հուլիսի 1-ի դրությամբ կենսաթոշակ ստանալու իրավունք ունեցող անձանց փաստացի քանակական տվյալներով աշխատանքային կենսաթոշակ ստացող </w:t>
      </w:r>
      <w:r w:rsidRPr="00A15953">
        <w:rPr>
          <w:rFonts w:eastAsia="Calibri" w:cs="Calibri"/>
          <w:b w:val="0"/>
          <w:bCs/>
          <w:szCs w:val="22"/>
          <w:lang w:val="hy-AM" w:eastAsia="en-US"/>
        </w:rPr>
        <w:t xml:space="preserve">կենսաթոշակառուների թիվը 2024 թվականի համար </w:t>
      </w:r>
      <w:r w:rsidRPr="00C9186A">
        <w:rPr>
          <w:rFonts w:eastAsia="Calibri" w:cs="Calibri"/>
          <w:b w:val="0"/>
          <w:bCs/>
          <w:szCs w:val="22"/>
          <w:lang w:val="hy-AM" w:eastAsia="en-US"/>
        </w:rPr>
        <w:t xml:space="preserve">կանխատեսվել է </w:t>
      </w:r>
      <w:r w:rsidRPr="00A15953">
        <w:rPr>
          <w:rFonts w:eastAsia="Calibri" w:cs="Calibri"/>
          <w:b w:val="0"/>
          <w:bCs/>
          <w:szCs w:val="22"/>
          <w:lang w:val="hy-AM" w:eastAsia="en-US"/>
        </w:rPr>
        <w:t>488402 անձ, իսկ միջին կենսաթոշակի չափը՝ 50,414 դրամ: Աշխատանքային կենսաթոշակների ֆինանսավորման համար նախատեսվում է 295,468.0 մլն դրամ։ Այս ցուցանիշները Լեռնային Ղարաբաղից բռնի տեղահանված կենսաթոշակառուների գծով կազմել են. կենսաթոշակառուների թիվ՝ 20439 անձ, կենսաթոշակի չափը՝ 54,895.0 դրամ և ֆինանսավորում՝ 13,464.0 մլն դրամ։</w:t>
      </w:r>
    </w:p>
    <w:p w14:paraId="631399BD" w14:textId="77777777" w:rsidR="00F47B79" w:rsidRPr="005034E9" w:rsidRDefault="00F47B79" w:rsidP="00AC1E1E">
      <w:pPr>
        <w:rPr>
          <w:rFonts w:eastAsia="Calibri" w:cs="Calibri"/>
          <w:b w:val="0"/>
          <w:bCs/>
          <w:szCs w:val="22"/>
          <w:lang w:val="hy-AM" w:eastAsia="en-US"/>
        </w:rPr>
      </w:pPr>
      <w:r w:rsidRPr="00A15953">
        <w:rPr>
          <w:rFonts w:eastAsia="Calibri" w:cs="Calibri"/>
          <w:b w:val="0"/>
          <w:bCs/>
          <w:szCs w:val="22"/>
          <w:lang w:val="hy-AM" w:eastAsia="en-US"/>
        </w:rPr>
        <w:t>Սպայական անձնակազմի և նրանց ընտանիքների անդամների կենսաթոշակներ</w:t>
      </w:r>
      <w:r w:rsidRPr="00C9186A">
        <w:rPr>
          <w:rFonts w:eastAsia="Calibri" w:cs="Calibri"/>
          <w:b w:val="0"/>
          <w:bCs/>
          <w:szCs w:val="22"/>
          <w:lang w:val="hy-AM" w:eastAsia="en-US"/>
        </w:rPr>
        <w:t xml:space="preserve">ի դեպքում 2024 թվականի համար անհրաժեշտ միջոցները հաշվարկելիս, </w:t>
      </w:r>
      <w:r w:rsidRPr="00A15953">
        <w:rPr>
          <w:rFonts w:eastAsia="Calibri" w:cs="Calibri"/>
          <w:b w:val="0"/>
          <w:bCs/>
          <w:szCs w:val="22"/>
          <w:lang w:val="hy-AM" w:eastAsia="en-US"/>
        </w:rPr>
        <w:t>կենսաթոշակառուների միջին ամսական թիվը կանխատեսվել է 37074 անձ, իսկ միջին զինվորական կենսաթոշակի չափը՝  92781 դրամ: Այս միջոցառման գծով նախատեսվում է հատկացնել  41,277.1 մլն դրամ: Այս ցուցանիշները Լեռնային Ղարաբաղից բռնի տեղահանված կենսաթոշակառուների գծով կազմել են համապատասխանաբար՝  անձ, դրամ և մլն դրամ։ կենսաթոշակառուների թիվ՝ 1217 անձ, կենսաթոշակի չափը՝ 115,729.0 դրամ և ֆինանսավորում՝ 1,690.1 մլն դրամ։</w:t>
      </w:r>
    </w:p>
    <w:p w14:paraId="01FDCE8A" w14:textId="77777777" w:rsidR="00F47B79" w:rsidRPr="00EB40D6" w:rsidRDefault="00F47B79" w:rsidP="00AC1E1E">
      <w:pPr>
        <w:rPr>
          <w:rFonts w:eastAsia="Calibri" w:cs="Calibri"/>
          <w:szCs w:val="22"/>
          <w:lang w:val="hy-AM" w:eastAsia="en-US"/>
        </w:rPr>
      </w:pPr>
      <w:r w:rsidRPr="00C9186A">
        <w:rPr>
          <w:rFonts w:eastAsia="Calibri" w:cs="Calibri"/>
          <w:szCs w:val="22"/>
          <w:lang w:val="hy-AM" w:eastAsia="en-US"/>
        </w:rPr>
        <w:t xml:space="preserve">Սոցիալական պաշտպանության բնագավառում պետական քաղաքականության մշակում, ծրագրերի համակարգում և մոնիթորինգ </w:t>
      </w:r>
      <w:r w:rsidRPr="00C9186A">
        <w:rPr>
          <w:rFonts w:eastAsia="Calibri" w:cs="Calibri"/>
          <w:b w:val="0"/>
          <w:szCs w:val="22"/>
          <w:lang w:val="hy-AM" w:eastAsia="en-US"/>
        </w:rPr>
        <w:t>ծրագրի</w:t>
      </w:r>
      <w:r w:rsidRPr="00C9186A">
        <w:rPr>
          <w:rFonts w:eastAsia="Calibri" w:cs="Calibri"/>
          <w:b w:val="0"/>
          <w:i/>
          <w:szCs w:val="22"/>
          <w:lang w:val="hy-AM" w:eastAsia="en-US"/>
        </w:rPr>
        <w:t xml:space="preserve"> </w:t>
      </w:r>
      <w:r w:rsidRPr="00C9186A">
        <w:rPr>
          <w:rFonts w:eastAsia="Calibri" w:cs="Calibri"/>
          <w:b w:val="0"/>
          <w:szCs w:val="22"/>
          <w:lang w:val="hy-AM" w:eastAsia="en-US"/>
        </w:rPr>
        <w:t>գծով 2024 թվականի համար նախատեսվել է</w:t>
      </w:r>
      <w:r w:rsidRPr="00EB40D6">
        <w:rPr>
          <w:rFonts w:eastAsia="Calibri" w:cs="Calibri"/>
          <w:b w:val="0"/>
          <w:szCs w:val="22"/>
          <w:lang w:val="hy-AM" w:eastAsia="en-US"/>
        </w:rPr>
        <w:t xml:space="preserve"> 8,</w:t>
      </w:r>
      <w:r w:rsidRPr="00EC7FDC">
        <w:rPr>
          <w:rFonts w:eastAsia="Calibri" w:cs="Calibri"/>
          <w:b w:val="0"/>
          <w:szCs w:val="22"/>
          <w:lang w:val="hy-AM" w:eastAsia="en-US"/>
        </w:rPr>
        <w:t>604</w:t>
      </w:r>
      <w:r w:rsidRPr="00EB40D6">
        <w:rPr>
          <w:rFonts w:eastAsia="Calibri" w:cs="Calibri"/>
          <w:b w:val="0"/>
          <w:szCs w:val="22"/>
          <w:lang w:val="hy-AM" w:eastAsia="en-US"/>
        </w:rPr>
        <w:t>.</w:t>
      </w:r>
      <w:r w:rsidRPr="00EC7FDC">
        <w:rPr>
          <w:rFonts w:eastAsia="Calibri" w:cs="Calibri"/>
          <w:b w:val="0"/>
          <w:szCs w:val="22"/>
          <w:lang w:val="hy-AM" w:eastAsia="en-US"/>
        </w:rPr>
        <w:t>3</w:t>
      </w:r>
      <w:r w:rsidRPr="00EB40D6">
        <w:rPr>
          <w:rFonts w:eastAsia="Calibri" w:cs="Calibri"/>
          <w:b w:val="0"/>
          <w:szCs w:val="22"/>
          <w:lang w:val="hy-AM" w:eastAsia="en-US"/>
        </w:rPr>
        <w:t xml:space="preserve"> մլն դրամ:</w:t>
      </w:r>
    </w:p>
    <w:p w14:paraId="00E946AC" w14:textId="77777777" w:rsidR="00F47B79" w:rsidRPr="00EB40D6" w:rsidRDefault="00F47B79" w:rsidP="00AC1E1E">
      <w:pPr>
        <w:rPr>
          <w:rFonts w:eastAsia="Calibri" w:cs="Calibri"/>
          <w:b w:val="0"/>
          <w:szCs w:val="22"/>
          <w:lang w:val="hy-AM" w:eastAsia="en-US"/>
        </w:rPr>
      </w:pPr>
      <w:r w:rsidRPr="00EB40D6">
        <w:rPr>
          <w:rFonts w:eastAsia="Calibri" w:cs="Calibri"/>
          <w:szCs w:val="22"/>
          <w:lang w:val="hy-AM" w:eastAsia="en-US"/>
        </w:rPr>
        <w:t>Ընտանիքներին, կանանց և երեխաներին աջակցություն</w:t>
      </w:r>
      <w:r>
        <w:rPr>
          <w:rFonts w:eastAsia="Calibri" w:cs="Calibri"/>
          <w:b w:val="0"/>
          <w:szCs w:val="22"/>
          <w:lang w:val="hy-AM" w:eastAsia="en-US"/>
        </w:rPr>
        <w:t xml:space="preserve"> </w:t>
      </w:r>
      <w:r w:rsidRPr="00EB40D6">
        <w:rPr>
          <w:rFonts w:eastAsia="Calibri" w:cs="Calibri"/>
          <w:b w:val="0"/>
          <w:szCs w:val="22"/>
          <w:lang w:val="hy-AM" w:eastAsia="en-US"/>
        </w:rPr>
        <w:t>ծրագրի վերջնական արդյունքը ընտանիքներին՝ կանանց և երեխաներին մատուցվող սոցիալական ծառայությունների և դրանց հասցեականության բարելավումն է՝ նրանց հասարակություն ինտեգրման նպատակով:</w:t>
      </w:r>
    </w:p>
    <w:p w14:paraId="1048F35B" w14:textId="77777777" w:rsidR="00F47B79" w:rsidRPr="00EC7FDC" w:rsidRDefault="00F47B79" w:rsidP="00AC1E1E">
      <w:pPr>
        <w:rPr>
          <w:rFonts w:cs="Browallia New"/>
          <w:b w:val="0"/>
          <w:szCs w:val="22"/>
          <w:lang w:val="hy-AM"/>
        </w:rPr>
      </w:pPr>
      <w:r w:rsidRPr="00EC7FDC">
        <w:rPr>
          <w:rFonts w:cs="Browallia New"/>
          <w:b w:val="0"/>
          <w:szCs w:val="22"/>
          <w:lang w:val="hy-AM"/>
        </w:rPr>
        <w:t>ՀՀ 2024 թվականին պետական բյուջեով նախատեսվում է 5,029.1 մլն դրամ։</w:t>
      </w:r>
    </w:p>
    <w:p w14:paraId="59AC9D61" w14:textId="77777777" w:rsidR="00F47B79" w:rsidRPr="00EC7FDC" w:rsidRDefault="00F47B79" w:rsidP="00AC1E1E">
      <w:pPr>
        <w:rPr>
          <w:rFonts w:cs="Browallia New"/>
          <w:b w:val="0"/>
          <w:szCs w:val="22"/>
          <w:lang w:val="hy-AM"/>
        </w:rPr>
      </w:pPr>
      <w:r w:rsidRPr="00EC7FDC">
        <w:rPr>
          <w:rFonts w:cs="Browallia New"/>
          <w:b w:val="0"/>
          <w:szCs w:val="22"/>
          <w:lang w:val="hy-AM"/>
        </w:rPr>
        <w:t>Ծրագրի շրջանակում կշարունակվի 635, որից 20 շահառու Լեռնային Ղարաբաղից բնակչության բռնի տեղահանման հետևանքով առանց ծնողական խնամքի մնացած երեխաներ, երեխայի խնամքն ու դաստիարակությունը բնակչության սոցիալական պաշտպանության ընդհանուր և հատուկ/մասնագիտացված տիպի 5</w:t>
      </w:r>
      <w:r w:rsidRPr="00D41319">
        <w:rPr>
          <w:rFonts w:cs="Browallia New"/>
          <w:b w:val="0"/>
          <w:szCs w:val="22"/>
          <w:lang w:val="hy-AM"/>
        </w:rPr>
        <w:t xml:space="preserve"> հաստատություններում, որի համար պետական բյուջեով նախատեսվում է  </w:t>
      </w:r>
      <w:r w:rsidRPr="00EC7FDC">
        <w:rPr>
          <w:rFonts w:cs="Browallia New"/>
          <w:b w:val="0"/>
          <w:szCs w:val="22"/>
          <w:lang w:val="hy-AM"/>
        </w:rPr>
        <w:t xml:space="preserve">2,647,172.1 հազ. դրամ։ </w:t>
      </w:r>
    </w:p>
    <w:p w14:paraId="4E1E6936" w14:textId="77777777" w:rsidR="00F47B79" w:rsidRPr="00D756D8" w:rsidRDefault="00F47B79" w:rsidP="00AC1E1E">
      <w:pPr>
        <w:rPr>
          <w:rFonts w:cs="Browallia New"/>
          <w:b w:val="0"/>
          <w:szCs w:val="22"/>
          <w:lang w:val="hy-AM"/>
        </w:rPr>
      </w:pPr>
      <w:r w:rsidRPr="00EB40D6">
        <w:rPr>
          <w:rFonts w:cs="Browallia New"/>
          <w:b w:val="0"/>
          <w:szCs w:val="22"/>
          <w:lang w:val="hy-AM"/>
        </w:rPr>
        <w:t>Երեխաների և ընտանիքների աջակցության տրամադրման ծառայությունների շրջանակում կշարունակվի իրականացվել 3 աջակցության կենտրոնում սոցիա</w:t>
      </w:r>
      <w:r>
        <w:rPr>
          <w:rFonts w:cs="Browallia New"/>
          <w:b w:val="0"/>
          <w:szCs w:val="22"/>
          <w:lang w:val="hy-AM"/>
        </w:rPr>
        <w:t xml:space="preserve">լ-հոգեբանական ծառայությունների </w:t>
      </w:r>
      <w:r w:rsidRPr="00EB40D6">
        <w:rPr>
          <w:rFonts w:cs="Browallia New"/>
          <w:b w:val="0"/>
          <w:szCs w:val="22"/>
          <w:lang w:val="hy-AM"/>
        </w:rPr>
        <w:t xml:space="preserve">տրամադրումը կյանքի դժվարին իրավիճակում հայտնված 300 </w:t>
      </w:r>
      <w:r w:rsidRPr="00EB40D6">
        <w:rPr>
          <w:rFonts w:cs="Browallia New"/>
          <w:b w:val="0"/>
          <w:szCs w:val="22"/>
          <w:lang w:val="hy-AM"/>
        </w:rPr>
        <w:lastRenderedPageBreak/>
        <w:t>երեխայի և նրանց ընտանիքներին, ինչպես նաև 3 ճգնաժամային կենտրոնում 0-18 տարեկան 150 երեխայի կարճաժամկետ ճգնաժամային բաղադրիչի կիրառմամբ շուրջօրյա խնամքի ծառայությունների մատուցումը</w:t>
      </w:r>
      <w:r w:rsidRPr="00D756D8">
        <w:rPr>
          <w:rFonts w:cs="Browallia New"/>
          <w:b w:val="0"/>
          <w:szCs w:val="22"/>
          <w:lang w:val="hy-AM"/>
        </w:rPr>
        <w:t xml:space="preserve"> </w:t>
      </w:r>
      <w:r>
        <w:rPr>
          <w:rFonts w:cs="Browallia New"/>
          <w:b w:val="0"/>
          <w:szCs w:val="22"/>
          <w:lang w:val="hy-AM"/>
        </w:rPr>
        <w:t xml:space="preserve">և </w:t>
      </w:r>
      <w:r w:rsidRPr="00EC7FDC">
        <w:rPr>
          <w:rFonts w:cs="Browallia New"/>
          <w:b w:val="0"/>
          <w:szCs w:val="22"/>
          <w:lang w:val="hy-AM"/>
        </w:rPr>
        <w:t>2-18 տարեկան 300 երեխայի և նրանց ընտանիքներին ցերեկային ծառայությունների տրամադրումը,</w:t>
      </w:r>
      <w:r w:rsidRPr="00D756D8">
        <w:rPr>
          <w:rFonts w:cs="Browallia New"/>
          <w:b w:val="0"/>
          <w:szCs w:val="22"/>
          <w:lang w:val="hy-AM"/>
        </w:rPr>
        <w:t xml:space="preserve"> որի համար պետական բյուջեով նախատեսվում է 1,188.4 մլն դրամ։</w:t>
      </w:r>
    </w:p>
    <w:p w14:paraId="7FB719E6" w14:textId="77777777" w:rsidR="00F47B79" w:rsidRPr="00EC7FDC" w:rsidRDefault="00F47B79" w:rsidP="00AC1E1E">
      <w:pPr>
        <w:rPr>
          <w:rFonts w:cs="Browallia New"/>
          <w:b w:val="0"/>
          <w:szCs w:val="22"/>
          <w:lang w:val="hy-AM"/>
        </w:rPr>
      </w:pPr>
      <w:r w:rsidRPr="00D756D8">
        <w:rPr>
          <w:rFonts w:cs="Browallia New"/>
          <w:b w:val="0"/>
          <w:szCs w:val="22"/>
          <w:lang w:val="hy-AM"/>
        </w:rPr>
        <w:t xml:space="preserve">Միաժամանակ, 2024 թվականի պետական բյուջեով նախատեսված շուրջ </w:t>
      </w:r>
      <w:r w:rsidRPr="00EC7FDC">
        <w:rPr>
          <w:rFonts w:cs="Browallia New"/>
          <w:b w:val="0"/>
          <w:szCs w:val="22"/>
          <w:lang w:val="hy-AM"/>
        </w:rPr>
        <w:t xml:space="preserve">353.8 մլն </w:t>
      </w:r>
      <w:r w:rsidRPr="00D756D8">
        <w:rPr>
          <w:rFonts w:cs="Browallia New"/>
          <w:b w:val="0"/>
          <w:szCs w:val="22"/>
          <w:lang w:val="hy-AM"/>
        </w:rPr>
        <w:t xml:space="preserve">դրամի շրջանակում կկազմակերպվի </w:t>
      </w:r>
      <w:r w:rsidRPr="00EC7FDC">
        <w:rPr>
          <w:rFonts w:cs="Browallia New"/>
          <w:b w:val="0"/>
          <w:szCs w:val="22"/>
          <w:lang w:val="hy-AM"/>
        </w:rPr>
        <w:t>111</w:t>
      </w:r>
      <w:r w:rsidRPr="00D756D8">
        <w:rPr>
          <w:rFonts w:cs="Browallia New"/>
          <w:b w:val="0"/>
          <w:szCs w:val="22"/>
          <w:lang w:val="hy-AM"/>
        </w:rPr>
        <w:t xml:space="preserve"> խնամատար ընտանիքներում </w:t>
      </w:r>
      <w:r w:rsidRPr="00EC7FDC">
        <w:rPr>
          <w:rFonts w:cs="Browallia New"/>
          <w:b w:val="0"/>
          <w:szCs w:val="22"/>
          <w:lang w:val="hy-AM"/>
        </w:rPr>
        <w:t xml:space="preserve">170 </w:t>
      </w:r>
      <w:r w:rsidRPr="00D756D8">
        <w:rPr>
          <w:rFonts w:cs="Browallia New"/>
          <w:b w:val="0"/>
          <w:szCs w:val="22"/>
          <w:lang w:val="hy-AM"/>
        </w:rPr>
        <w:t>խնամատարության ենթակա երեխաների</w:t>
      </w:r>
      <w:r>
        <w:rPr>
          <w:rFonts w:cs="Browallia New"/>
          <w:b w:val="0"/>
          <w:szCs w:val="22"/>
          <w:lang w:val="hy-AM"/>
        </w:rPr>
        <w:t xml:space="preserve">, </w:t>
      </w:r>
      <w:r w:rsidRPr="00EC7FDC">
        <w:rPr>
          <w:rFonts w:cs="Browallia New"/>
          <w:b w:val="0"/>
          <w:szCs w:val="22"/>
          <w:lang w:val="hy-AM"/>
        </w:rPr>
        <w:t>որից 20-ը Լեռնային Ղարաբաղից բնակչության բռնի տեղահանման հետևանքով կյանքի դժվարին իրավիճակում հայտնված երեխաներ,</w:t>
      </w:r>
      <w:r w:rsidRPr="00D756D8">
        <w:rPr>
          <w:rFonts w:cs="Browallia New"/>
          <w:b w:val="0"/>
          <w:szCs w:val="22"/>
          <w:lang w:val="hy-AM"/>
        </w:rPr>
        <w:t xml:space="preserve"> խնամքն ու </w:t>
      </w:r>
      <w:r w:rsidRPr="00EC7FDC">
        <w:rPr>
          <w:rFonts w:cs="Browallia New"/>
          <w:b w:val="0"/>
          <w:szCs w:val="22"/>
          <w:lang w:val="hy-AM"/>
        </w:rPr>
        <w:t>դաստիարակություն</w:t>
      </w:r>
      <w:r w:rsidRPr="00D756D8">
        <w:rPr>
          <w:rFonts w:cs="Browallia New"/>
          <w:b w:val="0"/>
          <w:szCs w:val="22"/>
          <w:lang w:val="hy-AM"/>
        </w:rPr>
        <w:t>ը, կշարունակվի նաև մ</w:t>
      </w:r>
      <w:r w:rsidRPr="00EC7FDC">
        <w:rPr>
          <w:rFonts w:cs="Browallia New"/>
          <w:b w:val="0"/>
          <w:szCs w:val="22"/>
          <w:lang w:val="hy-AM"/>
        </w:rPr>
        <w:t xml:space="preserve">անկատներում </w:t>
      </w:r>
      <w:r w:rsidRPr="00D756D8">
        <w:rPr>
          <w:rFonts w:cs="Browallia New"/>
          <w:b w:val="0"/>
          <w:szCs w:val="22"/>
          <w:lang w:val="hy-AM"/>
        </w:rPr>
        <w:t xml:space="preserve">և ճգնաժամային կենտրոններում </w:t>
      </w:r>
      <w:r w:rsidRPr="00EC7FDC">
        <w:rPr>
          <w:rFonts w:cs="Browallia New"/>
          <w:b w:val="0"/>
          <w:szCs w:val="22"/>
          <w:lang w:val="hy-AM"/>
        </w:rPr>
        <w:t xml:space="preserve">խնամվող </w:t>
      </w:r>
      <w:r w:rsidRPr="00D756D8">
        <w:rPr>
          <w:rFonts w:cs="Browallia New"/>
          <w:b w:val="0"/>
          <w:szCs w:val="22"/>
          <w:lang w:val="hy-AM"/>
        </w:rPr>
        <w:t xml:space="preserve">231 </w:t>
      </w:r>
      <w:r w:rsidRPr="00EC7FDC">
        <w:rPr>
          <w:rFonts w:cs="Browallia New"/>
          <w:b w:val="0"/>
          <w:szCs w:val="22"/>
          <w:lang w:val="hy-AM"/>
        </w:rPr>
        <w:t>դպրոցահասակ երեխաների</w:t>
      </w:r>
      <w:r w:rsidRPr="00D756D8">
        <w:rPr>
          <w:rFonts w:cs="Browallia New"/>
          <w:b w:val="0"/>
          <w:szCs w:val="22"/>
          <w:lang w:val="hy-AM"/>
        </w:rPr>
        <w:t>ն</w:t>
      </w:r>
      <w:r w:rsidRPr="00EC7FDC">
        <w:rPr>
          <w:rFonts w:cs="Browallia New"/>
          <w:b w:val="0"/>
          <w:szCs w:val="22"/>
          <w:lang w:val="hy-AM"/>
        </w:rPr>
        <w:t xml:space="preserve"> դրամական աջակցության տրամադրում</w:t>
      </w:r>
      <w:r w:rsidRPr="00D756D8">
        <w:rPr>
          <w:rFonts w:cs="Browallia New"/>
          <w:b w:val="0"/>
          <w:szCs w:val="22"/>
          <w:lang w:val="hy-AM"/>
        </w:rPr>
        <w:t>ը՝</w:t>
      </w:r>
      <w:r w:rsidRPr="00EC7FDC">
        <w:rPr>
          <w:rFonts w:cs="Browallia New"/>
          <w:b w:val="0"/>
          <w:szCs w:val="22"/>
          <w:lang w:val="hy-AM"/>
        </w:rPr>
        <w:t xml:space="preserve"> կենցաղային որոշակի հմտությունների </w:t>
      </w:r>
      <w:r w:rsidRPr="00D756D8">
        <w:rPr>
          <w:rFonts w:cs="Browallia New"/>
          <w:b w:val="0"/>
          <w:szCs w:val="22"/>
          <w:lang w:val="hy-AM"/>
        </w:rPr>
        <w:t xml:space="preserve">ուսուցանման նպատակով՝ </w:t>
      </w:r>
      <w:r w:rsidRPr="00EC7FDC">
        <w:rPr>
          <w:rFonts w:cs="Browallia New"/>
          <w:b w:val="0"/>
          <w:szCs w:val="22"/>
          <w:lang w:val="hy-AM"/>
        </w:rPr>
        <w:t xml:space="preserve">31.4 մլն </w:t>
      </w:r>
      <w:r w:rsidRPr="00D756D8">
        <w:rPr>
          <w:rFonts w:cs="Browallia New"/>
          <w:b w:val="0"/>
          <w:szCs w:val="22"/>
          <w:lang w:val="hy-AM"/>
        </w:rPr>
        <w:t>դրամի շրջանակներում</w:t>
      </w:r>
      <w:r w:rsidRPr="00EC7FDC">
        <w:rPr>
          <w:rFonts w:cs="Browallia New"/>
          <w:b w:val="0"/>
          <w:szCs w:val="22"/>
          <w:lang w:val="hy-AM"/>
        </w:rPr>
        <w:t>:</w:t>
      </w:r>
    </w:p>
    <w:p w14:paraId="2E69923A" w14:textId="77777777" w:rsidR="00F47B79" w:rsidRPr="00734A61" w:rsidRDefault="00F47B79" w:rsidP="00AC1E1E">
      <w:pPr>
        <w:rPr>
          <w:rFonts w:cs="Browallia New"/>
          <w:b w:val="0"/>
          <w:szCs w:val="22"/>
          <w:lang w:val="hy-AM"/>
        </w:rPr>
      </w:pPr>
      <w:r w:rsidRPr="00B83069">
        <w:rPr>
          <w:rFonts w:cs="Browallia New"/>
          <w:b w:val="0"/>
          <w:szCs w:val="22"/>
          <w:lang w:val="hy-AM"/>
        </w:rPr>
        <w:t xml:space="preserve">Պետության կողմից հավաստագրված ՀԿ-ների կողմից հանրապետության բոլոր մարզերում՝ առնվազն </w:t>
      </w:r>
      <w:r w:rsidRPr="006E6A4E">
        <w:rPr>
          <w:rFonts w:cs="Browallia New"/>
          <w:b w:val="0"/>
          <w:szCs w:val="22"/>
          <w:lang w:val="hy-AM"/>
        </w:rPr>
        <w:t>20</w:t>
      </w:r>
      <w:r w:rsidRPr="00B83069">
        <w:rPr>
          <w:rFonts w:cs="Browallia New"/>
          <w:b w:val="0"/>
          <w:szCs w:val="22"/>
          <w:lang w:val="hy-AM"/>
        </w:rPr>
        <w:t xml:space="preserve"> սոցիալական հոգածության ցերեկային կենտրոններում կյանքի դժվարին իրավիճակում հայտնված </w:t>
      </w:r>
      <w:r w:rsidRPr="006E6A4E">
        <w:rPr>
          <w:rFonts w:cs="Browallia New"/>
          <w:b w:val="0"/>
          <w:szCs w:val="22"/>
          <w:lang w:val="hy-AM"/>
        </w:rPr>
        <w:t>4500</w:t>
      </w:r>
      <w:r w:rsidRPr="00B83069">
        <w:rPr>
          <w:rFonts w:cs="Browallia New"/>
          <w:b w:val="0"/>
          <w:szCs w:val="22"/>
          <w:lang w:val="hy-AM"/>
        </w:rPr>
        <w:t xml:space="preserve"> </w:t>
      </w:r>
      <w:r w:rsidRPr="006E6A4E">
        <w:rPr>
          <w:rFonts w:cs="Browallia New"/>
          <w:b w:val="0"/>
          <w:szCs w:val="22"/>
          <w:lang w:val="hy-AM"/>
        </w:rPr>
        <w:t xml:space="preserve">երեխայի, այդ թվում՝ 1000 շահառու Լեռնային Ղարաբաղից բնակչության բռնի տեղահանման հետևանքով կյանքի դժվարին իրավիճակում հայտնված  երեխաներ, </w:t>
      </w:r>
      <w:r w:rsidRPr="00B83069">
        <w:rPr>
          <w:rFonts w:cs="Browallia New"/>
          <w:b w:val="0"/>
          <w:szCs w:val="22"/>
          <w:lang w:val="hy-AM"/>
        </w:rPr>
        <w:t>և նրանց ծնողներին կտարամադրվեն սոցիալական սպասարկման ծառայություններ, ինչպես նաև սոցիալական, հոգեբանական, իրավաբանական խորհրդատվություն և աջակցություն`</w:t>
      </w:r>
      <w:r w:rsidRPr="006E6A4E">
        <w:rPr>
          <w:rFonts w:cs="Browallia New"/>
          <w:b w:val="0"/>
          <w:szCs w:val="22"/>
          <w:lang w:val="hy-AM"/>
        </w:rPr>
        <w:t xml:space="preserve"> 650,587.8 հազ. դրամի </w:t>
      </w:r>
      <w:r w:rsidRPr="00B83069">
        <w:rPr>
          <w:rFonts w:cs="Browallia New"/>
          <w:b w:val="0"/>
          <w:szCs w:val="22"/>
          <w:lang w:val="hy-AM"/>
        </w:rPr>
        <w:t>շրջանակում:</w:t>
      </w:r>
    </w:p>
    <w:p w14:paraId="231B96B6" w14:textId="77777777" w:rsidR="00F47B79" w:rsidRPr="00734A61" w:rsidRDefault="00F47B79" w:rsidP="00AC1E1E">
      <w:pPr>
        <w:rPr>
          <w:rFonts w:cs="Browallia New"/>
          <w:b w:val="0"/>
          <w:szCs w:val="22"/>
          <w:lang w:val="hy-AM"/>
        </w:rPr>
      </w:pPr>
      <w:r w:rsidRPr="00734A61">
        <w:rPr>
          <w:rFonts w:cs="Browallia New"/>
          <w:b w:val="0"/>
          <w:szCs w:val="22"/>
          <w:lang w:val="hy-AM"/>
        </w:rPr>
        <w:t>2024 թվականին ընտանիքում բռնության ենթարկված անձանց կշարունակվի մատուցվել ապաստարանի ծառայություններ, որից կօգտվեն 120 շահառու, աջակցության կենտրոնների ծառայություններ կտրամադրվեն շուրջ 1600 շահառուի, միանվագ դրամական փոխհատուցում կստանա 150 շահառու։</w:t>
      </w:r>
    </w:p>
    <w:p w14:paraId="74717D36" w14:textId="77777777" w:rsidR="00F47B79" w:rsidRPr="00EB40D6" w:rsidRDefault="00F47B79" w:rsidP="00AC1E1E">
      <w:pPr>
        <w:rPr>
          <w:rFonts w:cs="Sylfaen"/>
          <w:b w:val="0"/>
          <w:szCs w:val="22"/>
          <w:lang w:val="af-ZA"/>
        </w:rPr>
      </w:pPr>
      <w:r w:rsidRPr="00734A61">
        <w:rPr>
          <w:rFonts w:cs="Browallia New"/>
          <w:b w:val="0"/>
          <w:szCs w:val="22"/>
          <w:lang w:val="hy-AM"/>
        </w:rPr>
        <w:t>Սոցիալական պաշտպանության ոլորտի զարգացման ծրագրի գծով նախատեսվում է 149.7 մլն</w:t>
      </w:r>
      <w:r w:rsidRPr="00EB40D6">
        <w:rPr>
          <w:rFonts w:cs="Sylfaen"/>
          <w:b w:val="0"/>
          <w:szCs w:val="22"/>
          <w:lang w:val="af-ZA"/>
        </w:rPr>
        <w:t xml:space="preserve"> դրամ: Ծրագրի շրջանակում նախատեսվում է մեթոդաբանական ձեռնարկների մշակում, հետազոտությունների անցկացում, սոցիալական ապահովության ոլորտի կադրերի վերապատրաստում և մասնագիտական կողմնորոշման համակարգի մեթոդաբանության ապահովման և կադրերի վերապատրաստումներ:</w:t>
      </w:r>
    </w:p>
    <w:p w14:paraId="40DD6A31" w14:textId="77777777" w:rsidR="00F47B79" w:rsidRPr="00EB40D6" w:rsidRDefault="00F47B79" w:rsidP="00AC1E1E">
      <w:pPr>
        <w:rPr>
          <w:rFonts w:cs="Sylfaen"/>
          <w:b w:val="0"/>
          <w:szCs w:val="22"/>
          <w:lang w:val="af-ZA"/>
        </w:rPr>
      </w:pPr>
      <w:r w:rsidRPr="00EB40D6">
        <w:rPr>
          <w:bCs/>
          <w:color w:val="191919"/>
          <w:szCs w:val="22"/>
          <w:shd w:val="clear" w:color="auto" w:fill="FFFFFF"/>
          <w:lang w:val="hy-AM" w:eastAsia="en-US"/>
        </w:rPr>
        <w:t>Հաշմանդամություն ունեցող անձանց աջակցություն</w:t>
      </w:r>
      <w:r w:rsidRPr="00EB40D6">
        <w:rPr>
          <w:rFonts w:cs="Sylfaen"/>
          <w:b w:val="0"/>
          <w:bCs/>
          <w:szCs w:val="22"/>
          <w:lang w:val="hy-AM"/>
        </w:rPr>
        <w:t xml:space="preserve"> </w:t>
      </w:r>
      <w:r w:rsidRPr="00EB40D6">
        <w:rPr>
          <w:rFonts w:cs="Browallia New"/>
          <w:b w:val="0"/>
          <w:bCs/>
          <w:szCs w:val="22"/>
          <w:lang w:val="fr-FR"/>
        </w:rPr>
        <w:t>ծրագրի</w:t>
      </w:r>
      <w:r w:rsidRPr="00EB40D6">
        <w:rPr>
          <w:rFonts w:cs="Browallia New"/>
          <w:b w:val="0"/>
          <w:bCs/>
          <w:szCs w:val="22"/>
          <w:lang w:val="af-ZA"/>
        </w:rPr>
        <w:t xml:space="preserve"> </w:t>
      </w:r>
      <w:r w:rsidRPr="00EB40D6">
        <w:rPr>
          <w:rFonts w:cs="Browallia New"/>
          <w:b w:val="0"/>
          <w:bCs/>
          <w:szCs w:val="22"/>
          <w:lang w:val="fr-FR"/>
        </w:rPr>
        <w:t>վերջնական</w:t>
      </w:r>
      <w:r w:rsidRPr="00EB40D6">
        <w:rPr>
          <w:rFonts w:cs="Browallia New"/>
          <w:b w:val="0"/>
          <w:bCs/>
          <w:szCs w:val="22"/>
          <w:lang w:val="af-ZA"/>
        </w:rPr>
        <w:t xml:space="preserve"> </w:t>
      </w:r>
      <w:r w:rsidRPr="00EB40D6">
        <w:rPr>
          <w:rFonts w:cs="Browallia New"/>
          <w:b w:val="0"/>
          <w:bCs/>
          <w:szCs w:val="22"/>
          <w:lang w:val="fr-FR"/>
        </w:rPr>
        <w:t>արդյունքը</w:t>
      </w:r>
      <w:r w:rsidRPr="00EB40D6">
        <w:rPr>
          <w:rFonts w:cs="Browallia New"/>
          <w:b w:val="0"/>
          <w:bCs/>
          <w:szCs w:val="22"/>
          <w:lang w:val="af-ZA"/>
        </w:rPr>
        <w:t xml:space="preserve"> </w:t>
      </w:r>
      <w:r w:rsidRPr="00EB40D6">
        <w:rPr>
          <w:rFonts w:cs="Browallia New"/>
          <w:b w:val="0"/>
          <w:bCs/>
          <w:szCs w:val="22"/>
          <w:lang w:val="fr-FR"/>
        </w:rPr>
        <w:t>հաշմանդամություն</w:t>
      </w:r>
      <w:r w:rsidRPr="00EB40D6">
        <w:rPr>
          <w:rFonts w:cs="Browallia New"/>
          <w:b w:val="0"/>
          <w:bCs/>
          <w:szCs w:val="22"/>
          <w:lang w:val="af-ZA"/>
        </w:rPr>
        <w:t xml:space="preserve"> </w:t>
      </w:r>
      <w:r w:rsidRPr="00EB40D6">
        <w:rPr>
          <w:rFonts w:cs="Browallia New"/>
          <w:b w:val="0"/>
          <w:bCs/>
          <w:szCs w:val="22"/>
          <w:lang w:val="fr-FR"/>
        </w:rPr>
        <w:t>ունեցող</w:t>
      </w:r>
      <w:r w:rsidRPr="00EB40D6">
        <w:rPr>
          <w:rFonts w:cs="Browallia New"/>
          <w:b w:val="0"/>
          <w:bCs/>
          <w:szCs w:val="22"/>
          <w:lang w:val="af-ZA"/>
        </w:rPr>
        <w:t xml:space="preserve"> </w:t>
      </w:r>
      <w:r w:rsidRPr="00EB40D6">
        <w:rPr>
          <w:rFonts w:cs="Browallia New"/>
          <w:b w:val="0"/>
          <w:bCs/>
          <w:szCs w:val="22"/>
          <w:lang w:val="fr-FR"/>
        </w:rPr>
        <w:t>անձանց</w:t>
      </w:r>
      <w:r w:rsidRPr="00EB40D6">
        <w:rPr>
          <w:rFonts w:cs="Browallia New"/>
          <w:b w:val="0"/>
          <w:bCs/>
          <w:szCs w:val="22"/>
          <w:lang w:val="af-ZA"/>
        </w:rPr>
        <w:t xml:space="preserve"> </w:t>
      </w:r>
      <w:r w:rsidRPr="00EB40D6">
        <w:rPr>
          <w:rFonts w:cs="Browallia New"/>
          <w:b w:val="0"/>
          <w:bCs/>
          <w:szCs w:val="22"/>
          <w:lang w:val="fr-FR"/>
        </w:rPr>
        <w:t>մատուցվող</w:t>
      </w:r>
      <w:r w:rsidRPr="00EB40D6">
        <w:rPr>
          <w:rFonts w:cs="Browallia New"/>
          <w:b w:val="0"/>
          <w:bCs/>
          <w:szCs w:val="22"/>
          <w:lang w:val="af-ZA"/>
        </w:rPr>
        <w:t xml:space="preserve"> </w:t>
      </w:r>
      <w:r w:rsidRPr="00EB40D6">
        <w:rPr>
          <w:rFonts w:cs="Browallia New"/>
          <w:b w:val="0"/>
          <w:bCs/>
          <w:szCs w:val="22"/>
          <w:lang w:val="fr-FR"/>
        </w:rPr>
        <w:t>սոցիալական</w:t>
      </w:r>
      <w:r w:rsidRPr="00EB40D6">
        <w:rPr>
          <w:rFonts w:cs="Browallia New"/>
          <w:b w:val="0"/>
          <w:bCs/>
          <w:szCs w:val="22"/>
          <w:lang w:val="af-ZA"/>
        </w:rPr>
        <w:t xml:space="preserve"> </w:t>
      </w:r>
      <w:r w:rsidRPr="00EB40D6">
        <w:rPr>
          <w:rFonts w:cs="Browallia New"/>
          <w:b w:val="0"/>
          <w:bCs/>
          <w:szCs w:val="22"/>
          <w:lang w:val="fr-FR"/>
        </w:rPr>
        <w:t>ծառայությունների</w:t>
      </w:r>
      <w:r w:rsidRPr="00EB40D6">
        <w:rPr>
          <w:rFonts w:cs="Browallia New"/>
          <w:b w:val="0"/>
          <w:bCs/>
          <w:szCs w:val="22"/>
          <w:lang w:val="af-ZA"/>
        </w:rPr>
        <w:t xml:space="preserve"> </w:t>
      </w:r>
      <w:r w:rsidRPr="00EB40D6">
        <w:rPr>
          <w:rFonts w:cs="Browallia New"/>
          <w:b w:val="0"/>
          <w:bCs/>
          <w:szCs w:val="22"/>
          <w:lang w:val="fr-FR"/>
        </w:rPr>
        <w:t>հասցեականության</w:t>
      </w:r>
      <w:r w:rsidRPr="00EB40D6">
        <w:rPr>
          <w:rFonts w:cs="Browallia New"/>
          <w:b w:val="0"/>
          <w:bCs/>
          <w:szCs w:val="22"/>
          <w:lang w:val="af-ZA"/>
        </w:rPr>
        <w:t xml:space="preserve"> </w:t>
      </w:r>
      <w:r w:rsidRPr="00EB40D6">
        <w:rPr>
          <w:rFonts w:cs="Browallia New"/>
          <w:b w:val="0"/>
          <w:bCs/>
          <w:szCs w:val="22"/>
          <w:lang w:val="fr-FR"/>
        </w:rPr>
        <w:t>և</w:t>
      </w:r>
      <w:r w:rsidRPr="00EB40D6">
        <w:rPr>
          <w:rFonts w:cs="Browallia New"/>
          <w:b w:val="0"/>
          <w:bCs/>
          <w:szCs w:val="22"/>
          <w:lang w:val="af-ZA"/>
        </w:rPr>
        <w:t xml:space="preserve"> </w:t>
      </w:r>
      <w:r w:rsidRPr="00EB40D6">
        <w:rPr>
          <w:rFonts w:cs="Browallia New"/>
          <w:b w:val="0"/>
          <w:bCs/>
          <w:szCs w:val="22"/>
          <w:lang w:val="fr-FR"/>
        </w:rPr>
        <w:t>արդյունավետության</w:t>
      </w:r>
      <w:r w:rsidRPr="00EB40D6">
        <w:rPr>
          <w:rFonts w:cs="Browallia New"/>
          <w:b w:val="0"/>
          <w:bCs/>
          <w:szCs w:val="22"/>
          <w:lang w:val="af-ZA"/>
        </w:rPr>
        <w:t xml:space="preserve"> </w:t>
      </w:r>
      <w:r w:rsidRPr="00EB40D6">
        <w:rPr>
          <w:rFonts w:cs="Browallia New"/>
          <w:b w:val="0"/>
          <w:bCs/>
          <w:szCs w:val="22"/>
          <w:lang w:val="fr-FR"/>
        </w:rPr>
        <w:t>բարձրացումն</w:t>
      </w:r>
      <w:r w:rsidRPr="00EB40D6">
        <w:rPr>
          <w:rFonts w:cs="Browallia New"/>
          <w:b w:val="0"/>
          <w:bCs/>
          <w:szCs w:val="22"/>
          <w:lang w:val="af-ZA"/>
        </w:rPr>
        <w:t xml:space="preserve"> </w:t>
      </w:r>
      <w:r w:rsidRPr="00EB40D6">
        <w:rPr>
          <w:rFonts w:cs="Browallia New"/>
          <w:b w:val="0"/>
          <w:bCs/>
          <w:szCs w:val="22"/>
          <w:lang w:val="fr-FR"/>
        </w:rPr>
        <w:t>է՝</w:t>
      </w:r>
      <w:r w:rsidRPr="00EB40D6">
        <w:rPr>
          <w:rFonts w:cs="Browallia New"/>
          <w:b w:val="0"/>
          <w:bCs/>
          <w:szCs w:val="22"/>
          <w:lang w:val="af-ZA"/>
        </w:rPr>
        <w:t xml:space="preserve"> </w:t>
      </w:r>
      <w:r w:rsidRPr="00EB40D6">
        <w:rPr>
          <w:rFonts w:cs="Browallia New"/>
          <w:b w:val="0"/>
          <w:bCs/>
          <w:szCs w:val="22"/>
          <w:lang w:val="fr-FR"/>
        </w:rPr>
        <w:t>հասարակություն</w:t>
      </w:r>
      <w:r w:rsidRPr="00EB40D6">
        <w:rPr>
          <w:rFonts w:cs="Browallia New"/>
          <w:b w:val="0"/>
          <w:bCs/>
          <w:szCs w:val="22"/>
          <w:lang w:val="af-ZA"/>
        </w:rPr>
        <w:t xml:space="preserve"> </w:t>
      </w:r>
      <w:r w:rsidRPr="00EB40D6">
        <w:rPr>
          <w:rFonts w:cs="Browallia New"/>
          <w:b w:val="0"/>
          <w:bCs/>
          <w:szCs w:val="22"/>
          <w:lang w:val="fr-FR"/>
        </w:rPr>
        <w:t>սոցիալական</w:t>
      </w:r>
      <w:r w:rsidRPr="00EB40D6">
        <w:rPr>
          <w:rFonts w:cs="Browallia New"/>
          <w:b w:val="0"/>
          <w:bCs/>
          <w:szCs w:val="22"/>
          <w:lang w:val="af-ZA"/>
        </w:rPr>
        <w:t xml:space="preserve"> </w:t>
      </w:r>
      <w:r w:rsidRPr="00EB40D6">
        <w:rPr>
          <w:rFonts w:cs="Browallia New"/>
          <w:b w:val="0"/>
          <w:bCs/>
          <w:szCs w:val="22"/>
          <w:lang w:val="fr-FR"/>
        </w:rPr>
        <w:t>ներառման</w:t>
      </w:r>
      <w:r w:rsidRPr="00EB40D6">
        <w:rPr>
          <w:rFonts w:cs="Browallia New"/>
          <w:b w:val="0"/>
          <w:bCs/>
          <w:szCs w:val="22"/>
          <w:lang w:val="af-ZA"/>
        </w:rPr>
        <w:t xml:space="preserve"> </w:t>
      </w:r>
      <w:r w:rsidRPr="00EB40D6">
        <w:rPr>
          <w:rFonts w:cs="Browallia New"/>
          <w:b w:val="0"/>
          <w:bCs/>
          <w:szCs w:val="22"/>
          <w:lang w:val="fr-FR"/>
        </w:rPr>
        <w:t>նպատակով</w:t>
      </w:r>
      <w:r w:rsidRPr="00EB40D6">
        <w:rPr>
          <w:rFonts w:cs="Browallia New"/>
          <w:b w:val="0"/>
          <w:bCs/>
          <w:szCs w:val="22"/>
          <w:lang w:val="af-ZA"/>
        </w:rPr>
        <w:t>:</w:t>
      </w:r>
    </w:p>
    <w:p w14:paraId="093FB119" w14:textId="77777777" w:rsidR="00F47B79" w:rsidRPr="004179E0" w:rsidRDefault="00F47B79" w:rsidP="00AC1E1E">
      <w:pPr>
        <w:rPr>
          <w:rFonts w:cs="Browallia New"/>
          <w:b w:val="0"/>
          <w:bCs/>
          <w:szCs w:val="22"/>
          <w:lang w:val="hy-AM"/>
        </w:rPr>
      </w:pPr>
      <w:r w:rsidRPr="004179E0">
        <w:rPr>
          <w:rFonts w:cs="Browallia New"/>
          <w:b w:val="0"/>
          <w:bCs/>
          <w:szCs w:val="22"/>
          <w:lang w:val="hy-AM"/>
        </w:rPr>
        <w:t>202</w:t>
      </w:r>
      <w:r w:rsidRPr="00EB40D6">
        <w:rPr>
          <w:rFonts w:cs="Browallia New"/>
          <w:b w:val="0"/>
          <w:bCs/>
          <w:szCs w:val="22"/>
          <w:lang w:val="hy-AM"/>
        </w:rPr>
        <w:t>4</w:t>
      </w:r>
      <w:r w:rsidRPr="004179E0">
        <w:rPr>
          <w:rFonts w:cs="Browallia New"/>
          <w:b w:val="0"/>
          <w:bCs/>
          <w:szCs w:val="22"/>
          <w:lang w:val="hy-AM"/>
        </w:rPr>
        <w:t xml:space="preserve"> թվական</w:t>
      </w:r>
      <w:r w:rsidRPr="00EB40D6">
        <w:rPr>
          <w:rFonts w:cs="Browallia New"/>
          <w:b w:val="0"/>
          <w:bCs/>
          <w:szCs w:val="22"/>
          <w:lang w:val="hy-AM"/>
        </w:rPr>
        <w:t xml:space="preserve">ին </w:t>
      </w:r>
      <w:r w:rsidRPr="004179E0">
        <w:rPr>
          <w:rFonts w:cs="Browallia New"/>
          <w:b w:val="0"/>
          <w:bCs/>
          <w:szCs w:val="22"/>
          <w:lang w:val="hy-AM"/>
        </w:rPr>
        <w:t xml:space="preserve">նախատեսվում է </w:t>
      </w:r>
      <w:r w:rsidRPr="00EB40D6">
        <w:rPr>
          <w:rFonts w:cs="Browallia New"/>
          <w:b w:val="0"/>
          <w:bCs/>
          <w:szCs w:val="22"/>
          <w:lang w:val="hy-AM"/>
        </w:rPr>
        <w:t>շուրջ 2,</w:t>
      </w:r>
      <w:r w:rsidRPr="004179E0">
        <w:rPr>
          <w:rFonts w:cs="Browallia New"/>
          <w:b w:val="0"/>
          <w:bCs/>
          <w:szCs w:val="22"/>
          <w:lang w:val="hy-AM"/>
        </w:rPr>
        <w:t>298</w:t>
      </w:r>
      <w:r w:rsidRPr="00EB40D6">
        <w:rPr>
          <w:rFonts w:cs="Browallia New"/>
          <w:b w:val="0"/>
          <w:bCs/>
          <w:szCs w:val="22"/>
          <w:lang w:val="hy-AM"/>
        </w:rPr>
        <w:t>.</w:t>
      </w:r>
      <w:r w:rsidRPr="004179E0">
        <w:rPr>
          <w:rFonts w:cs="Browallia New"/>
          <w:b w:val="0"/>
          <w:bCs/>
          <w:szCs w:val="22"/>
          <w:lang w:val="hy-AM"/>
        </w:rPr>
        <w:t>7</w:t>
      </w:r>
      <w:r w:rsidRPr="00EB40D6">
        <w:rPr>
          <w:rFonts w:cs="Browallia New"/>
          <w:b w:val="0"/>
          <w:bCs/>
          <w:szCs w:val="22"/>
          <w:lang w:val="hy-AM"/>
        </w:rPr>
        <w:t xml:space="preserve"> մլն </w:t>
      </w:r>
      <w:r w:rsidRPr="004179E0">
        <w:rPr>
          <w:rFonts w:cs="Browallia New"/>
          <w:b w:val="0"/>
          <w:bCs/>
          <w:szCs w:val="22"/>
          <w:lang w:val="hy-AM"/>
        </w:rPr>
        <w:t>դրամ</w:t>
      </w:r>
      <w:r w:rsidRPr="00EB40D6">
        <w:rPr>
          <w:rFonts w:cs="Browallia New"/>
          <w:b w:val="0"/>
          <w:bCs/>
          <w:szCs w:val="22"/>
          <w:lang w:val="hy-AM"/>
        </w:rPr>
        <w:t xml:space="preserve">, այդ թվում՝ 151.1 մլն դրամը </w:t>
      </w:r>
      <w:r w:rsidRPr="004179E0">
        <w:rPr>
          <w:rFonts w:cs="Browallia New"/>
          <w:b w:val="0"/>
          <w:bCs/>
          <w:szCs w:val="22"/>
          <w:lang w:val="hy-AM"/>
        </w:rPr>
        <w:t xml:space="preserve">(189 </w:t>
      </w:r>
      <w:r w:rsidRPr="00EB40D6">
        <w:rPr>
          <w:rFonts w:cs="Browallia New"/>
          <w:b w:val="0"/>
          <w:bCs/>
          <w:szCs w:val="22"/>
          <w:lang w:val="hy-AM"/>
        </w:rPr>
        <w:t>շահառու</w:t>
      </w:r>
      <w:r w:rsidRPr="004179E0">
        <w:rPr>
          <w:rFonts w:cs="Browallia New"/>
          <w:b w:val="0"/>
          <w:bCs/>
          <w:szCs w:val="22"/>
          <w:lang w:val="hy-AM"/>
        </w:rPr>
        <w:t>)</w:t>
      </w:r>
      <w:r w:rsidRPr="00EB40D6">
        <w:rPr>
          <w:rFonts w:cs="Browallia New"/>
          <w:b w:val="0"/>
          <w:bCs/>
          <w:szCs w:val="22"/>
          <w:lang w:val="hy-AM"/>
        </w:rPr>
        <w:t xml:space="preserve"> նախատեսվում է նոր</w:t>
      </w:r>
      <w:r>
        <w:rPr>
          <w:rFonts w:cs="Browallia New"/>
          <w:b w:val="0"/>
          <w:bCs/>
          <w:szCs w:val="22"/>
          <w:lang w:val="hy-AM"/>
        </w:rPr>
        <w:t>՝</w:t>
      </w:r>
      <w:r w:rsidRPr="00EB40D6">
        <w:rPr>
          <w:rFonts w:cs="Browallia New"/>
          <w:b w:val="0"/>
          <w:bCs/>
          <w:szCs w:val="22"/>
          <w:lang w:val="hy-AM"/>
        </w:rPr>
        <w:t xml:space="preserve"> «Անձնական օգնականի ծառայություն» միջոցառման համար։ </w:t>
      </w:r>
    </w:p>
    <w:p w14:paraId="6B79B0A5" w14:textId="77777777" w:rsidR="00F47B79" w:rsidRPr="00C21D1C" w:rsidRDefault="00F47B79" w:rsidP="00AC1E1E">
      <w:pPr>
        <w:rPr>
          <w:rFonts w:cs="Browallia New"/>
          <w:b w:val="0"/>
          <w:bCs/>
          <w:szCs w:val="22"/>
          <w:lang w:val="hy-AM"/>
        </w:rPr>
      </w:pPr>
      <w:r w:rsidRPr="00EB40D6">
        <w:rPr>
          <w:rFonts w:cs="Browallia New"/>
          <w:b w:val="0"/>
          <w:bCs/>
          <w:szCs w:val="22"/>
          <w:lang w:val="hy-AM"/>
        </w:rPr>
        <w:lastRenderedPageBreak/>
        <w:t>Ծրագրի շրջանակում</w:t>
      </w:r>
      <w:r w:rsidRPr="004179E0">
        <w:rPr>
          <w:rFonts w:cs="Browallia New"/>
          <w:b w:val="0"/>
          <w:bCs/>
          <w:szCs w:val="22"/>
          <w:lang w:val="hy-AM"/>
        </w:rPr>
        <w:t xml:space="preserve"> հաշմանդամություն ունեցող անձանց պետական հավաստագրերի հիման</w:t>
      </w:r>
      <w:r w:rsidRPr="00EB40D6">
        <w:rPr>
          <w:rFonts w:cs="Browallia New"/>
          <w:b w:val="0"/>
          <w:bCs/>
          <w:szCs w:val="22"/>
          <w:lang w:val="af-ZA"/>
        </w:rPr>
        <w:t xml:space="preserve"> </w:t>
      </w:r>
      <w:r w:rsidRPr="00C21D1C">
        <w:rPr>
          <w:rFonts w:cs="Browallia New"/>
          <w:b w:val="0"/>
          <w:bCs/>
          <w:szCs w:val="22"/>
          <w:lang w:val="hy-AM"/>
        </w:rPr>
        <w:t xml:space="preserve">վրա </w:t>
      </w:r>
      <w:r w:rsidRPr="00EB40D6">
        <w:rPr>
          <w:rFonts w:cs="Browallia New"/>
          <w:b w:val="0"/>
          <w:bCs/>
          <w:szCs w:val="22"/>
          <w:lang w:val="hy-AM"/>
        </w:rPr>
        <w:t xml:space="preserve">նախարարության կողմից որակավորված կազմակերպությունների </w:t>
      </w:r>
      <w:r w:rsidRPr="00C21D1C">
        <w:rPr>
          <w:rFonts w:cs="Browallia New"/>
          <w:b w:val="0"/>
          <w:bCs/>
          <w:szCs w:val="22"/>
          <w:lang w:val="hy-AM"/>
        </w:rPr>
        <w:t>կողմից 1,823.4 մլն դրամի շրջանակում կտրամադրվեն շուրջ 22934 աջակցող միջոց (այդ թվում՝ պրոթեզներ, օրթեզներ, քայլակներ, անվասայլակներ, լսողական սարքեր և այլն), այդ թվում՝ 734-ը Լեռնային Ղարաբաղից բռնի տեղահանված անձանց, հասարակական կյանքում նրանց մասնակցությունը խթանելու նպատակով, ինչպես նաև կիրականացվի 23 աջակցող միջոցի  վերանորոգում, որից 5-ը՝ Լեռնային Ղարաբաղից բռնի տեղահանված անձի:</w:t>
      </w:r>
    </w:p>
    <w:p w14:paraId="367A9C5C" w14:textId="77777777" w:rsidR="00F47B79" w:rsidRPr="00C21D1C" w:rsidRDefault="00F47B79" w:rsidP="00AC1E1E">
      <w:pPr>
        <w:tabs>
          <w:tab w:val="left" w:pos="0"/>
        </w:tabs>
        <w:rPr>
          <w:rFonts w:cs="Browallia New"/>
          <w:b w:val="0"/>
          <w:bCs/>
          <w:szCs w:val="22"/>
          <w:lang w:val="hy-AM"/>
        </w:rPr>
      </w:pPr>
      <w:r w:rsidRPr="00C21D1C">
        <w:rPr>
          <w:rFonts w:cs="Browallia New"/>
          <w:b w:val="0"/>
          <w:bCs/>
          <w:szCs w:val="22"/>
          <w:lang w:val="hy-AM"/>
        </w:rPr>
        <w:t xml:space="preserve">2024 </w:t>
      </w:r>
      <w:r w:rsidRPr="00EB40D6">
        <w:rPr>
          <w:rFonts w:cs="Browallia New"/>
          <w:b w:val="0"/>
          <w:bCs/>
          <w:szCs w:val="22"/>
          <w:lang w:val="hy-AM"/>
        </w:rPr>
        <w:t xml:space="preserve">թվականին կշարունակվեն նաև պետության կողմից հավաստագրված ՀԿ-ների կողմից դրամաշնորհի </w:t>
      </w:r>
      <w:r w:rsidRPr="00C21D1C">
        <w:rPr>
          <w:rFonts w:cs="Browallia New"/>
          <w:b w:val="0"/>
          <w:bCs/>
          <w:szCs w:val="22"/>
          <w:lang w:val="hy-AM"/>
        </w:rPr>
        <w:t xml:space="preserve">պայմանագրի հիման վրա հաշմանդամություն ունեցող անձանց սոցիալ-վերականգնողական ծառայությունների մատուցումը. 218.6 մլն դրամի շրջանակում ծառայություն կտրամադրվի 445 շահառուի, այդ թվում՝ Լեռնային Ղարաբաղից բռնի տեղահանված 35 շահառուի։ </w:t>
      </w:r>
    </w:p>
    <w:p w14:paraId="18CD36FD" w14:textId="77777777" w:rsidR="00F47B79" w:rsidRPr="00C21D1C" w:rsidRDefault="00F47B79" w:rsidP="00AC1E1E">
      <w:pPr>
        <w:tabs>
          <w:tab w:val="left" w:pos="0"/>
        </w:tabs>
        <w:rPr>
          <w:rFonts w:cs="Browallia New"/>
          <w:b w:val="0"/>
          <w:bCs/>
          <w:szCs w:val="22"/>
          <w:lang w:val="hy-AM"/>
        </w:rPr>
      </w:pPr>
      <w:r w:rsidRPr="00C21D1C">
        <w:rPr>
          <w:rFonts w:cs="Browallia New"/>
          <w:b w:val="0"/>
          <w:bCs/>
          <w:szCs w:val="22"/>
          <w:lang w:val="hy-AM"/>
        </w:rPr>
        <w:t xml:space="preserve">Միաժամանակ, 92.1 մլն դրամի շրջանակում համայնքահենք փոքր խմբային տներում շուրջօրյա խնամքի ծառայություններ կստանան 70 հաշմանդամություն ունեցող անձիք, այդ թվում՝ Լեռնային Ղարաբաղից բռնի տեղահանված 8 շահառու: </w:t>
      </w:r>
    </w:p>
    <w:p w14:paraId="13C338EB" w14:textId="77777777" w:rsidR="00F47B79" w:rsidRPr="00D9118A" w:rsidRDefault="00F47B79" w:rsidP="00AC1E1E">
      <w:pPr>
        <w:tabs>
          <w:tab w:val="left" w:pos="0"/>
        </w:tabs>
        <w:rPr>
          <w:rFonts w:eastAsia="Calibri" w:cs="Calibri"/>
          <w:b w:val="0"/>
          <w:szCs w:val="22"/>
          <w:lang w:val="hy-AM" w:eastAsia="en-US"/>
        </w:rPr>
      </w:pPr>
      <w:r w:rsidRPr="00C21D1C">
        <w:rPr>
          <w:rFonts w:cs="Browallia New"/>
          <w:b w:val="0"/>
          <w:bCs/>
          <w:szCs w:val="22"/>
          <w:lang w:val="hy-AM"/>
        </w:rPr>
        <w:t>Ավանդների փոխհատուցում</w:t>
      </w:r>
      <w:r w:rsidRPr="00EB40D6">
        <w:rPr>
          <w:rFonts w:cs="Browallia New"/>
          <w:b w:val="0"/>
          <w:bCs/>
          <w:szCs w:val="22"/>
          <w:lang w:val="hy-AM"/>
        </w:rPr>
        <w:t xml:space="preserve"> ծրագրի </w:t>
      </w:r>
      <w:r w:rsidRPr="00C21D1C">
        <w:rPr>
          <w:rFonts w:cs="Browallia New"/>
          <w:b w:val="0"/>
          <w:bCs/>
          <w:szCs w:val="22"/>
          <w:lang w:val="hy-AM"/>
        </w:rPr>
        <w:t xml:space="preserve">գծով 2024 թվականին </w:t>
      </w:r>
      <w:r w:rsidRPr="00EB40D6">
        <w:rPr>
          <w:rFonts w:cs="Browallia New"/>
          <w:b w:val="0"/>
          <w:bCs/>
          <w:szCs w:val="22"/>
          <w:lang w:val="hy-AM"/>
        </w:rPr>
        <w:t>նախատեսվում է 1,515.0 մլն դրամ, որի շրջանակում «ՎՏԲ-Հայաստան</w:t>
      </w:r>
      <w:r w:rsidRPr="00C21D1C">
        <w:rPr>
          <w:rFonts w:cs="Browallia New"/>
          <w:b w:val="0"/>
          <w:bCs/>
          <w:szCs w:val="22"/>
          <w:lang w:val="hy-AM"/>
        </w:rPr>
        <w:t>»</w:t>
      </w:r>
      <w:r w:rsidRPr="00EB40D6">
        <w:rPr>
          <w:rFonts w:cs="Browallia New"/>
          <w:b w:val="0"/>
          <w:bCs/>
          <w:szCs w:val="22"/>
          <w:lang w:val="hy-AM"/>
        </w:rPr>
        <w:t xml:space="preserve"> ՓԲԸ-ում ավանդատու հանդիսացող և նախկին ԽՍՀՄ Խնայբանկի ՀԽՍՀ հանրապետական բանկում մինչև 1993 թվականի հունիսի 10-ը ներդրված դրամական ավանդների փոխհատուցում կստանան շուրջ 8000 շահառու. փոխհատուցում ստանալու իրավունք կտրվի նաև մինչև 1941 թ. հունիսի 30-ը ներառյալ ծնված </w:t>
      </w:r>
      <w:r w:rsidRPr="00D9118A">
        <w:rPr>
          <w:rFonts w:eastAsia="Calibri" w:cs="Calibri"/>
          <w:b w:val="0"/>
          <w:szCs w:val="22"/>
          <w:lang w:val="hy-AM" w:eastAsia="en-US"/>
        </w:rPr>
        <w:t>ավանդատուներին:</w:t>
      </w:r>
    </w:p>
    <w:p w14:paraId="436B3AE8" w14:textId="77777777" w:rsidR="00F47B79" w:rsidRPr="00EB40D6" w:rsidRDefault="00F47B79" w:rsidP="00AC1E1E">
      <w:pPr>
        <w:tabs>
          <w:tab w:val="left" w:pos="0"/>
        </w:tabs>
        <w:rPr>
          <w:rFonts w:cs="Browallia New"/>
          <w:b w:val="0"/>
          <w:bCs/>
          <w:szCs w:val="22"/>
          <w:lang w:val="hy-AM"/>
        </w:rPr>
      </w:pPr>
      <w:r w:rsidRPr="009A095E">
        <w:rPr>
          <w:rFonts w:eastAsia="Calibri" w:cs="Calibri"/>
          <w:szCs w:val="22"/>
          <w:lang w:val="hy-AM" w:eastAsia="en-US"/>
        </w:rPr>
        <w:t xml:space="preserve">Սոցիալական ապահովություն </w:t>
      </w:r>
      <w:r w:rsidRPr="00EB40D6">
        <w:rPr>
          <w:rFonts w:eastAsia="Calibri" w:cs="Calibri"/>
          <w:b w:val="0"/>
          <w:szCs w:val="22"/>
          <w:lang w:val="hy-AM" w:eastAsia="en-US"/>
        </w:rPr>
        <w:t>ծրագրի գծով 2024 թվականին նախատեսվում է</w:t>
      </w:r>
      <w:r>
        <w:rPr>
          <w:rFonts w:eastAsia="Calibri" w:cs="Calibri"/>
          <w:b w:val="0"/>
          <w:szCs w:val="22"/>
          <w:lang w:val="hy-AM" w:eastAsia="en-US"/>
        </w:rPr>
        <w:t xml:space="preserve"> </w:t>
      </w:r>
      <w:r w:rsidRPr="00D9118A">
        <w:rPr>
          <w:rFonts w:eastAsia="Calibri" w:cs="Calibri"/>
          <w:b w:val="0"/>
          <w:szCs w:val="22"/>
          <w:lang w:val="hy-AM" w:eastAsia="en-US"/>
        </w:rPr>
        <w:t xml:space="preserve">112,871.0 </w:t>
      </w:r>
      <w:r w:rsidRPr="00EB40D6">
        <w:rPr>
          <w:rFonts w:eastAsia="Calibri" w:cs="Calibri"/>
          <w:b w:val="0"/>
          <w:szCs w:val="22"/>
          <w:lang w:val="hy-AM" w:eastAsia="en-US"/>
        </w:rPr>
        <w:t xml:space="preserve">մլն դրամ, որի շրջանակում կշարունակվեն աջակցությունը </w:t>
      </w:r>
      <w:r>
        <w:rPr>
          <w:rFonts w:eastAsia="Calibri" w:cs="Calibri"/>
          <w:b w:val="0"/>
          <w:szCs w:val="22"/>
          <w:lang w:val="hy-AM" w:eastAsia="en-US"/>
        </w:rPr>
        <w:t xml:space="preserve">ծերության, </w:t>
      </w:r>
      <w:r w:rsidRPr="00EB40D6">
        <w:rPr>
          <w:rFonts w:eastAsia="Calibri" w:cs="Calibri"/>
          <w:b w:val="0"/>
          <w:szCs w:val="22"/>
          <w:lang w:val="hy-AM" w:eastAsia="en-US"/>
        </w:rPr>
        <w:t>հաշմանդամ</w:t>
      </w:r>
      <w:r>
        <w:rPr>
          <w:rFonts w:eastAsia="Calibri" w:cs="Calibri"/>
          <w:b w:val="0"/>
          <w:szCs w:val="22"/>
          <w:lang w:val="hy-AM" w:eastAsia="en-US"/>
        </w:rPr>
        <w:t>ություն ունեցող</w:t>
      </w:r>
      <w:r w:rsidRPr="00EB40D6">
        <w:rPr>
          <w:rFonts w:eastAsia="Calibri" w:cs="Calibri"/>
          <w:b w:val="0"/>
          <w:szCs w:val="22"/>
          <w:lang w:val="hy-AM" w:eastAsia="en-US"/>
        </w:rPr>
        <w:t>, կերակրողը կորցրած անձանց</w:t>
      </w:r>
      <w:r>
        <w:rPr>
          <w:rFonts w:eastAsia="Calibri" w:cs="Calibri"/>
          <w:b w:val="0"/>
          <w:szCs w:val="22"/>
          <w:lang w:val="hy-AM" w:eastAsia="en-US"/>
        </w:rPr>
        <w:t>,</w:t>
      </w:r>
      <w:r w:rsidRPr="00EB40D6">
        <w:rPr>
          <w:rFonts w:eastAsia="Calibri" w:cs="Calibri"/>
          <w:b w:val="0"/>
          <w:szCs w:val="22"/>
          <w:lang w:val="hy-AM" w:eastAsia="en-US"/>
        </w:rPr>
        <w:t xml:space="preserve"> ՀՀ ՊՆ զինվորական կոչում ունեցող անձնակազմին, ՀՀ պաշտպանության ժամանակ զինծառայողների կյանքին կամ առողջությանը պատճառված վնասների փոխհատուցումը։</w:t>
      </w:r>
    </w:p>
    <w:p w14:paraId="03BF9E37" w14:textId="77777777" w:rsidR="00F47B79" w:rsidRPr="002F09E7" w:rsidRDefault="00F47B79" w:rsidP="00AC1E1E">
      <w:pPr>
        <w:tabs>
          <w:tab w:val="left" w:pos="0"/>
        </w:tabs>
        <w:rPr>
          <w:rFonts w:eastAsia="Calibri" w:cs="Calibri"/>
          <w:b w:val="0"/>
          <w:szCs w:val="22"/>
          <w:lang w:val="hy-AM" w:eastAsia="en-US"/>
        </w:rPr>
      </w:pPr>
      <w:r w:rsidRPr="00EB40D6">
        <w:rPr>
          <w:rFonts w:eastAsia="Calibri" w:cs="Calibri"/>
          <w:b w:val="0"/>
          <w:szCs w:val="22"/>
          <w:lang w:val="hy-AM" w:eastAsia="en-US"/>
        </w:rPr>
        <w:t>Ծրագրի շրջանակում կշարունակվի</w:t>
      </w:r>
      <w:r>
        <w:rPr>
          <w:rFonts w:eastAsia="Calibri" w:cs="Calibri"/>
          <w:b w:val="0"/>
          <w:szCs w:val="22"/>
          <w:lang w:val="hy-AM" w:eastAsia="en-US"/>
        </w:rPr>
        <w:t xml:space="preserve"> </w:t>
      </w:r>
      <w:r w:rsidRPr="00EB40D6">
        <w:rPr>
          <w:rFonts w:eastAsia="Calibri" w:cs="Calibri"/>
          <w:b w:val="0"/>
          <w:szCs w:val="22"/>
          <w:lang w:val="hy-AM" w:eastAsia="en-US"/>
        </w:rPr>
        <w:t xml:space="preserve">անկանխիկ եղանակով վճարումներից կենսաթոշակառուներին հետվճարի տրամադրումը. հետվերադարձի համար կանխատեսվող տարեկան գումարը նախատեսվում է </w:t>
      </w:r>
      <w:r w:rsidRPr="00D9118A">
        <w:rPr>
          <w:rFonts w:eastAsia="Calibri" w:cs="Calibri"/>
          <w:b w:val="0"/>
          <w:szCs w:val="22"/>
          <w:lang w:val="hy-AM" w:eastAsia="en-US"/>
        </w:rPr>
        <w:t>10</w:t>
      </w:r>
      <w:r w:rsidRPr="002F09E7">
        <w:rPr>
          <w:rFonts w:eastAsia="Calibri" w:cs="Calibri"/>
          <w:b w:val="0"/>
          <w:szCs w:val="22"/>
          <w:lang w:val="hy-AM" w:eastAsia="en-US"/>
        </w:rPr>
        <w:t>,212.0 մլն դրամ, օգտվողների միջին ամսական թիվը՝ շուրջ 230000 կենսաթոշակառու` ներառյալ Լեռնային Ղարաբաղից բռնի տեղահանված կենսաթոշակառուների գծով ֆինանսավորումը՝ 372.2 մլն դրամ 8382 շահառուի համար։</w:t>
      </w:r>
    </w:p>
    <w:p w14:paraId="692565D7" w14:textId="77777777" w:rsidR="00F47B79" w:rsidRPr="002F09E7" w:rsidRDefault="00F47B79" w:rsidP="00AC1E1E">
      <w:pPr>
        <w:tabs>
          <w:tab w:val="left" w:pos="0"/>
        </w:tabs>
        <w:rPr>
          <w:b w:val="0"/>
          <w:szCs w:val="22"/>
          <w:lang w:val="hy-AM"/>
        </w:rPr>
      </w:pPr>
      <w:r w:rsidRPr="002F09E7">
        <w:rPr>
          <w:szCs w:val="22"/>
          <w:lang w:val="hy-AM"/>
        </w:rPr>
        <w:t>Սոցիալական պաշտպանության համակարգի բարեփոխումներ</w:t>
      </w:r>
      <w:r w:rsidRPr="002F09E7">
        <w:rPr>
          <w:b w:val="0"/>
          <w:szCs w:val="22"/>
          <w:lang w:val="hy-AM"/>
        </w:rPr>
        <w:t xml:space="preserve"> </w:t>
      </w:r>
      <w:r w:rsidRPr="002F09E7">
        <w:rPr>
          <w:rFonts w:eastAsia="Calibri" w:cs="Calibri"/>
          <w:b w:val="0"/>
          <w:szCs w:val="22"/>
          <w:lang w:val="hy-AM" w:eastAsia="en-US"/>
        </w:rPr>
        <w:t xml:space="preserve">ծրագրի գծով 2024 թվականին նախատեսվում է </w:t>
      </w:r>
      <w:r w:rsidRPr="002F09E7">
        <w:rPr>
          <w:rFonts w:eastAsia="Calibri" w:cs="Calibri"/>
          <w:b w:val="0"/>
          <w:bCs/>
          <w:szCs w:val="22"/>
          <w:lang w:val="hy-AM" w:eastAsia="en-US"/>
        </w:rPr>
        <w:t xml:space="preserve">854.0 </w:t>
      </w:r>
      <w:r w:rsidRPr="002F09E7">
        <w:rPr>
          <w:rFonts w:eastAsia="Calibri" w:cs="Calibri"/>
          <w:b w:val="0"/>
          <w:szCs w:val="22"/>
          <w:lang w:val="hy-AM" w:eastAsia="en-US"/>
        </w:rPr>
        <w:t>մլն դրամ։</w:t>
      </w:r>
    </w:p>
    <w:p w14:paraId="5AC0DC58" w14:textId="65FA620F" w:rsidR="00F47B79" w:rsidRPr="002044C7" w:rsidRDefault="00F47B79" w:rsidP="00AC1E1E">
      <w:pPr>
        <w:rPr>
          <w:rFonts w:eastAsia="Calibri" w:cs="Calibri"/>
          <w:b w:val="0"/>
          <w:szCs w:val="22"/>
          <w:lang w:val="hy-AM" w:eastAsia="en-US"/>
        </w:rPr>
      </w:pPr>
      <w:r w:rsidRPr="00443838">
        <w:rPr>
          <w:rFonts w:eastAsia="Calibri" w:cs="Calibri"/>
          <w:szCs w:val="22"/>
          <w:lang w:val="hy-AM" w:eastAsia="en-US"/>
        </w:rPr>
        <w:t xml:space="preserve">Ճգնաժամերի հակազդման և արտակարգ իրավիճակների հետևանքների նվազեցման և վերացման նպատակով առանձին սոցիալական խմբերին տրվող սոցիալական աջակցություն </w:t>
      </w:r>
      <w:r w:rsidRPr="008869CC">
        <w:rPr>
          <w:rFonts w:eastAsia="Calibri" w:cs="Calibri"/>
          <w:b w:val="0"/>
          <w:szCs w:val="22"/>
          <w:lang w:val="hy-AM" w:eastAsia="en-US"/>
        </w:rPr>
        <w:t>ծր</w:t>
      </w:r>
      <w:r>
        <w:rPr>
          <w:rFonts w:eastAsia="Calibri" w:cs="Calibri"/>
          <w:b w:val="0"/>
          <w:szCs w:val="22"/>
          <w:lang w:val="hy-AM" w:eastAsia="en-US"/>
        </w:rPr>
        <w:t xml:space="preserve">ագրի </w:t>
      </w:r>
      <w:r w:rsidRPr="002044C7">
        <w:rPr>
          <w:rFonts w:eastAsia="Calibri" w:cs="Calibri"/>
          <w:b w:val="0"/>
          <w:szCs w:val="22"/>
          <w:lang w:val="hy-AM" w:eastAsia="en-US"/>
        </w:rPr>
        <w:t xml:space="preserve">շրջանակում </w:t>
      </w:r>
      <w:r w:rsidRPr="002044C7">
        <w:rPr>
          <w:rFonts w:eastAsia="Calibri" w:cs="Calibri"/>
          <w:b w:val="0"/>
          <w:bCs/>
          <w:szCs w:val="22"/>
          <w:lang w:val="hy-AM" w:eastAsia="en-US"/>
        </w:rPr>
        <w:t xml:space="preserve">2024 թվականին նախատեսվում է նաև  Լեռնային </w:t>
      </w:r>
      <w:r w:rsidRPr="002044C7">
        <w:rPr>
          <w:rFonts w:eastAsia="Calibri" w:cs="Calibri"/>
          <w:b w:val="0"/>
          <w:bCs/>
          <w:szCs w:val="22"/>
          <w:lang w:val="hy-AM" w:eastAsia="en-US"/>
        </w:rPr>
        <w:lastRenderedPageBreak/>
        <w:t>Ղարաբաղից բռնի տեղահանված</w:t>
      </w:r>
      <w:r w:rsidR="00221F52">
        <w:rPr>
          <w:rFonts w:eastAsia="Calibri" w:cs="Calibri"/>
          <w:b w:val="0"/>
          <w:bCs/>
          <w:szCs w:val="22"/>
          <w:lang w:val="hy-AM" w:eastAsia="en-US"/>
        </w:rPr>
        <w:t>ների</w:t>
      </w:r>
      <w:r w:rsidRPr="002044C7">
        <w:rPr>
          <w:rFonts w:eastAsia="Calibri" w:cs="Calibri"/>
          <w:b w:val="0"/>
          <w:bCs/>
          <w:szCs w:val="22"/>
          <w:lang w:val="hy-AM" w:eastAsia="en-US"/>
        </w:rPr>
        <w:t xml:space="preserve"> ժամանակավոր կացարանում բնակվելու և կոմունալ ծառայությունների ծախսերի կատարմանն օժանդակելու համար սոցիալական աջակցության տրամադրում 3 ամիս ժամկետով՝ ամսական 50,000 դրամի չափով՝ 15 մլրդ դրամի շրջանակում։</w:t>
      </w:r>
    </w:p>
    <w:p w14:paraId="49B2E0D3" w14:textId="77777777" w:rsidR="00366B0D" w:rsidRPr="0039457F" w:rsidRDefault="00366B0D" w:rsidP="00AC1E1E">
      <w:pPr>
        <w:pStyle w:val="Heading1"/>
        <w:rPr>
          <w:bCs w:val="0"/>
          <w:szCs w:val="22"/>
        </w:rPr>
      </w:pPr>
      <w:bookmarkStart w:id="306" w:name="_Toc153184497"/>
      <w:r w:rsidRPr="0039457F">
        <w:rPr>
          <w:szCs w:val="22"/>
        </w:rPr>
        <w:t xml:space="preserve">ՀՀ </w:t>
      </w:r>
      <w:r w:rsidR="004E7CE1" w:rsidRPr="0039457F">
        <w:rPr>
          <w:szCs w:val="22"/>
        </w:rPr>
        <w:t>տարածքային կառավարման և</w:t>
      </w:r>
      <w:r w:rsidRPr="0039457F">
        <w:rPr>
          <w:szCs w:val="22"/>
        </w:rPr>
        <w:t xml:space="preserve"> ենթակառուցվածքների նախարարություն</w:t>
      </w:r>
      <w:bookmarkEnd w:id="306"/>
    </w:p>
    <w:p w14:paraId="6E67CC33" w14:textId="77777777" w:rsidR="001A149E" w:rsidRPr="0039457F" w:rsidRDefault="001A149E" w:rsidP="00AC1E1E">
      <w:pPr>
        <w:widowControl w:val="0"/>
        <w:rPr>
          <w:rFonts w:cs="Sylfaen"/>
          <w:b w:val="0"/>
          <w:szCs w:val="22"/>
          <w:lang w:val="hy-AM"/>
        </w:rPr>
      </w:pPr>
      <w:bookmarkStart w:id="307" w:name="_Toc83575904"/>
      <w:r w:rsidRPr="0039457F">
        <w:rPr>
          <w:rFonts w:cs="Sylfaen"/>
          <w:b w:val="0"/>
          <w:szCs w:val="22"/>
          <w:lang w:val="hy-AM"/>
        </w:rPr>
        <w:t>ՀՀ տարածքային կառավարման և ենթակառուցվածքների նախարարության գծով 202</w:t>
      </w:r>
      <w:r w:rsidRPr="0039457F">
        <w:rPr>
          <w:rFonts w:cs="Sylfaen"/>
          <w:b w:val="0"/>
          <w:szCs w:val="22"/>
          <w:lang w:val="af-ZA"/>
        </w:rPr>
        <w:t>4</w:t>
      </w:r>
      <w:r w:rsidRPr="0039457F">
        <w:rPr>
          <w:rFonts w:cs="Sylfaen"/>
          <w:b w:val="0"/>
          <w:szCs w:val="22"/>
          <w:lang w:val="hy-AM"/>
        </w:rPr>
        <w:t xml:space="preserve"> թվականի պետական բյուջեով նախատեսվում է </w:t>
      </w:r>
      <w:r w:rsidR="004F3CA3">
        <w:rPr>
          <w:rFonts w:cs="Sylfaen"/>
          <w:b w:val="0"/>
          <w:szCs w:val="22"/>
          <w:lang w:val="hy-AM"/>
        </w:rPr>
        <w:t>307</w:t>
      </w:r>
      <w:r w:rsidRPr="0039457F">
        <w:rPr>
          <w:rFonts w:cs="Sylfaen"/>
          <w:b w:val="0"/>
          <w:szCs w:val="22"/>
          <w:lang w:val="hy-AM"/>
        </w:rPr>
        <w:t>,</w:t>
      </w:r>
      <w:r w:rsidR="004F3CA3">
        <w:rPr>
          <w:rFonts w:cs="Sylfaen"/>
          <w:b w:val="0"/>
          <w:szCs w:val="22"/>
          <w:lang w:val="hy-AM"/>
        </w:rPr>
        <w:t>244</w:t>
      </w:r>
      <w:r w:rsidRPr="0039457F">
        <w:rPr>
          <w:rFonts w:cs="Sylfaen"/>
          <w:b w:val="0"/>
          <w:szCs w:val="22"/>
          <w:lang w:val="af-ZA"/>
        </w:rPr>
        <w:t>.</w:t>
      </w:r>
      <w:r w:rsidR="004F3CA3">
        <w:rPr>
          <w:rFonts w:cs="Sylfaen"/>
          <w:b w:val="0"/>
          <w:szCs w:val="22"/>
          <w:lang w:val="hy-AM"/>
        </w:rPr>
        <w:t>4</w:t>
      </w:r>
      <w:r w:rsidRPr="0039457F">
        <w:rPr>
          <w:rFonts w:cs="Sylfaen"/>
          <w:b w:val="0"/>
          <w:szCs w:val="22"/>
          <w:lang w:val="hy-AM"/>
        </w:rPr>
        <w:t xml:space="preserve"> մլն դրամի ծախսեր </w:t>
      </w:r>
      <w:r w:rsidRPr="0039457F">
        <w:rPr>
          <w:b w:val="0"/>
          <w:color w:val="000000"/>
          <w:szCs w:val="22"/>
          <w:lang w:val="hy-AM" w:eastAsia="en-US"/>
        </w:rPr>
        <w:t>(ներառյալ կառավարման ապարատի պահպանման ծախսերը)</w:t>
      </w:r>
      <w:r w:rsidRPr="0039457F">
        <w:rPr>
          <w:rFonts w:cs="Sylfaen"/>
          <w:b w:val="0"/>
          <w:szCs w:val="22"/>
          <w:lang w:val="hy-AM"/>
        </w:rPr>
        <w:t>¸ որի շրջանակներում նախատեսվում է իրականացնել հետևյալ ծրագրերը.</w:t>
      </w:r>
    </w:p>
    <w:p w14:paraId="1F11C0A8" w14:textId="77777777" w:rsidR="001A149E" w:rsidRPr="0039457F" w:rsidRDefault="001A149E" w:rsidP="00AC1E1E">
      <w:pPr>
        <w:rPr>
          <w:b w:val="0"/>
          <w:bCs/>
          <w:iCs/>
          <w:szCs w:val="22"/>
          <w:lang w:val="hy-AM"/>
        </w:rPr>
      </w:pPr>
      <w:r w:rsidRPr="0039457F">
        <w:rPr>
          <w:bCs/>
          <w:iCs/>
          <w:szCs w:val="22"/>
          <w:lang w:val="hy-AM"/>
        </w:rPr>
        <w:t xml:space="preserve">Ոռոգման համակարգի առողջացում </w:t>
      </w:r>
      <w:r w:rsidRPr="0039457F">
        <w:rPr>
          <w:b w:val="0"/>
          <w:bCs/>
          <w:iCs/>
          <w:szCs w:val="22"/>
          <w:lang w:val="hy-AM"/>
        </w:rPr>
        <w:t xml:space="preserve">ծրագրի </w:t>
      </w:r>
      <w:r w:rsidRPr="0039457F">
        <w:rPr>
          <w:rFonts w:cs="Sylfaen"/>
          <w:b w:val="0"/>
          <w:szCs w:val="22"/>
          <w:lang w:val="hy-AM"/>
        </w:rPr>
        <w:t>գծով 2024 թվականին նախատեսվել է 34</w:t>
      </w:r>
      <w:r w:rsidRPr="0039457F">
        <w:rPr>
          <w:rFonts w:cs="GHEA Grapalat"/>
          <w:b w:val="0"/>
          <w:szCs w:val="22"/>
          <w:lang w:val="hy-AM"/>
        </w:rPr>
        <w:t>,</w:t>
      </w:r>
      <w:r w:rsidR="004F3CA3">
        <w:rPr>
          <w:rFonts w:cs="GHEA Grapalat"/>
          <w:b w:val="0"/>
          <w:szCs w:val="22"/>
          <w:lang w:val="hy-AM"/>
        </w:rPr>
        <w:t>94</w:t>
      </w:r>
      <w:r w:rsidRPr="0039457F">
        <w:rPr>
          <w:rFonts w:cs="GHEA Grapalat"/>
          <w:b w:val="0"/>
          <w:szCs w:val="22"/>
          <w:lang w:val="hy-AM"/>
        </w:rPr>
        <w:t>6.</w:t>
      </w:r>
      <w:r w:rsidR="004F3CA3">
        <w:rPr>
          <w:rFonts w:cs="GHEA Grapalat"/>
          <w:b w:val="0"/>
          <w:szCs w:val="22"/>
          <w:lang w:val="hy-AM"/>
        </w:rPr>
        <w:t>0</w:t>
      </w:r>
      <w:r w:rsidRPr="0039457F">
        <w:rPr>
          <w:rFonts w:cs="GHEA Grapalat"/>
          <w:b w:val="0"/>
          <w:szCs w:val="22"/>
          <w:lang w:val="hy-AM"/>
        </w:rPr>
        <w:t xml:space="preserve"> մլն դրամ</w:t>
      </w:r>
      <w:r w:rsidRPr="0039457F">
        <w:rPr>
          <w:b w:val="0"/>
          <w:bCs/>
          <w:iCs/>
          <w:szCs w:val="22"/>
          <w:lang w:val="hy-AM"/>
        </w:rPr>
        <w:t>.</w:t>
      </w:r>
    </w:p>
    <w:p w14:paraId="0718B7E3" w14:textId="77777777" w:rsidR="001A149E" w:rsidRPr="0039457F" w:rsidRDefault="001A149E" w:rsidP="00AC1E1E">
      <w:pPr>
        <w:tabs>
          <w:tab w:val="num" w:pos="720"/>
        </w:tabs>
        <w:rPr>
          <w:b w:val="0"/>
          <w:szCs w:val="22"/>
          <w:lang w:val="hy-AM"/>
        </w:rPr>
      </w:pPr>
      <w:r w:rsidRPr="0039457F">
        <w:rPr>
          <w:b w:val="0"/>
          <w:szCs w:val="22"/>
          <w:lang w:val="hy-AM"/>
        </w:rPr>
        <w:t xml:space="preserve">Ծրագրի նպատակն է ստեղծել ոռոգման ոլորտի զարգացման և բարեփոխումների շարունակականության, ֆինանսական կայունության համար բավարար հիմքեր, ապահովել ենթակառուցվածքների և ոլորտային կազմակերպությունների ինքնաբավ և տնտեսապես անկախ գործունեությունը, որով ակնկալվում է նվազեցնել ոռոգման ջրի կորուստները, ավելացնել փաստացի ոռոգելի հողատարածքների մակերեսը: Ծրագրի շրջանակներում նախատեսվում է սուբսիդավորել «Ջրառ» ՓԲԸ-ի և 15 ջրօգտագործողների ընկերությունների գործունեության արդյունքում առաջացող ֆինանսական ճեղքվածքը: </w:t>
      </w:r>
    </w:p>
    <w:p w14:paraId="5A53448C" w14:textId="77777777" w:rsidR="001A149E" w:rsidRPr="0039457F" w:rsidRDefault="001A149E" w:rsidP="00AC1E1E">
      <w:pPr>
        <w:tabs>
          <w:tab w:val="num" w:pos="720"/>
        </w:tabs>
        <w:rPr>
          <w:b w:val="0"/>
          <w:szCs w:val="22"/>
          <w:lang w:val="hy-AM"/>
        </w:rPr>
      </w:pPr>
      <w:r w:rsidRPr="0039457F">
        <w:rPr>
          <w:b w:val="0"/>
          <w:szCs w:val="22"/>
          <w:lang w:val="hy-AM"/>
        </w:rPr>
        <w:t xml:space="preserve">Կշարունակվեն փոքր և միջին ջրամբարների կառուցմանն ուղղվող աշխատանքները, որի ներքո 2024 թվականին 6 ջրամբարների համար ձեռք կբերվեն նախագծանախահաշվային փաստաթղթեր, 9-ի մասով կիրականացվեն տեխնիկատնտեսական ուսումնասիրություններ և կսկսվի 3 ջրամբարների կառուցման աշխատանքները, ինչպես նաև գետերի և հեղեղատարների տեղամասերի ամրացման և մաքրման աշխատանքները, որի շրջանակում կիրականացվի ևս 2 նախագծանախահաշվային փաստաթղթերի ձեռքբերում և թվով 2 օբյեկտների 130 մ ափապատնեշի բարձրացման և Արաքս գետի պատնեշի վերականգնման աշխատանքները: Կմեկնարկի թվով 1 ջրամբարի (Տավուշ) վերականգնման և վերազինման աշխատանքները, թվով 30 օրվա կարգավորման ջրավազանների կառուցման ու վերակառուցման աշխատանքները: </w:t>
      </w:r>
    </w:p>
    <w:p w14:paraId="47799AD5" w14:textId="77777777" w:rsidR="001A149E" w:rsidRPr="0039457F" w:rsidRDefault="001A149E" w:rsidP="00AC1E1E">
      <w:pPr>
        <w:rPr>
          <w:b w:val="0"/>
          <w:szCs w:val="22"/>
          <w:lang w:val="hy-AM"/>
        </w:rPr>
      </w:pPr>
      <w:r w:rsidRPr="0039457F">
        <w:rPr>
          <w:b w:val="0"/>
          <w:szCs w:val="22"/>
          <w:lang w:val="hy-AM"/>
        </w:rPr>
        <w:t xml:space="preserve">Արտաքին աղբյուրների ֆինանսավորմամբ իրականացվող շարունակական ծրագրերի ներքո նախատեսվում է վերականգնել Վեդու ջրամբարի ոռոգման ներտնտեսային ցանցի 60,0 կմ հատվածը, ինչպես նաև Կապսի ջրամբարի 8.0 մ բարձրությամբ պատվարի շինարարական աշխատանքները: ՀՀ մարզերում կհիմնանորոգվի ոռոգման ցանցերի շուրջ 81,1 կմ հատվածը, որով կբարելավվի ոռոգման համակարգերի ընդանուր վիճակը։ </w:t>
      </w:r>
    </w:p>
    <w:p w14:paraId="1F35AD68" w14:textId="77777777" w:rsidR="001A149E" w:rsidRPr="0039457F" w:rsidRDefault="001A149E" w:rsidP="00AC1E1E">
      <w:pPr>
        <w:rPr>
          <w:b w:val="0"/>
          <w:szCs w:val="22"/>
          <w:lang w:val="hy-AM"/>
        </w:rPr>
      </w:pPr>
      <w:r w:rsidRPr="0039457F">
        <w:rPr>
          <w:b w:val="0"/>
          <w:szCs w:val="22"/>
          <w:lang w:val="hy-AM"/>
        </w:rPr>
        <w:t>Կապսի ջրամբարի բուն պատվարի շնարարության ընթացքում Ախուրյան գետի ջրերը հեռացվելու են Շինարարական թունելով (470 մ), որը ջրամբարի շահագործման ընթացքում ծառայելու է որպես Հատակային ջրթող՝ ապահովելով Կապսի ջրամբարից դեպի Ախուրյան գետ բնապահպանական թողերը։</w:t>
      </w:r>
    </w:p>
    <w:p w14:paraId="694A21F5" w14:textId="77777777" w:rsidR="001A149E" w:rsidRPr="0039457F" w:rsidRDefault="001A149E" w:rsidP="00AC1E1E">
      <w:pPr>
        <w:rPr>
          <w:b w:val="0"/>
          <w:szCs w:val="22"/>
          <w:lang w:val="hy-AM"/>
        </w:rPr>
      </w:pPr>
      <w:r w:rsidRPr="0039457F">
        <w:rPr>
          <w:b w:val="0"/>
          <w:szCs w:val="22"/>
          <w:lang w:val="hy-AM"/>
        </w:rPr>
        <w:lastRenderedPageBreak/>
        <w:t>Միաժամանակ Համաշխարհային բանկի աջակցությամբ նախատեսվում է իրականացնել ոռոգման համակարգերի հիմնանորոգման և ինստիտուցիոնալ կարուղությունների ուժեղացման, Արփա-Սևան ջրային համակարգի տեխնիկական վիճակի բարելավման և Վեոլիա ջրի սպասարկման տարածքում չներառված բնակավայրերի ջրային համակարգերի կառուցման կամ վերականգնման աշխատանքները (Ծրագիր արդյունքի դիմաց):</w:t>
      </w:r>
    </w:p>
    <w:p w14:paraId="5C05902A" w14:textId="77777777" w:rsidR="001A149E" w:rsidRPr="0039457F" w:rsidRDefault="001A149E" w:rsidP="00AC1E1E">
      <w:pPr>
        <w:rPr>
          <w:b w:val="0"/>
          <w:bCs/>
          <w:iCs/>
          <w:szCs w:val="22"/>
          <w:lang w:val="hy-AM"/>
        </w:rPr>
      </w:pPr>
      <w:r w:rsidRPr="0039457F">
        <w:rPr>
          <w:szCs w:val="22"/>
          <w:lang w:val="hy-AM"/>
        </w:rPr>
        <w:t>Որոտան</w:t>
      </w:r>
      <w:r w:rsidRPr="0039457F">
        <w:rPr>
          <w:szCs w:val="22"/>
          <w:lang w:val="af-ZA"/>
        </w:rPr>
        <w:t>-</w:t>
      </w:r>
      <w:r w:rsidRPr="0039457F">
        <w:rPr>
          <w:szCs w:val="22"/>
          <w:lang w:val="hy-AM"/>
        </w:rPr>
        <w:t>Արփա</w:t>
      </w:r>
      <w:r w:rsidRPr="0039457F">
        <w:rPr>
          <w:szCs w:val="22"/>
          <w:lang w:val="af-ZA"/>
        </w:rPr>
        <w:t>-</w:t>
      </w:r>
      <w:r w:rsidRPr="0039457F">
        <w:rPr>
          <w:szCs w:val="22"/>
          <w:lang w:val="hy-AM"/>
        </w:rPr>
        <w:t>Սևան</w:t>
      </w:r>
      <w:r w:rsidRPr="0039457F">
        <w:rPr>
          <w:szCs w:val="22"/>
          <w:lang w:val="af-ZA"/>
        </w:rPr>
        <w:t xml:space="preserve"> </w:t>
      </w:r>
      <w:r w:rsidRPr="0039457F">
        <w:rPr>
          <w:szCs w:val="22"/>
          <w:lang w:val="hy-AM"/>
        </w:rPr>
        <w:t>թունելի</w:t>
      </w:r>
      <w:r w:rsidRPr="0039457F">
        <w:rPr>
          <w:szCs w:val="22"/>
          <w:lang w:val="af-ZA"/>
        </w:rPr>
        <w:t xml:space="preserve"> </w:t>
      </w:r>
      <w:r w:rsidRPr="0039457F">
        <w:rPr>
          <w:szCs w:val="22"/>
          <w:lang w:val="hy-AM"/>
        </w:rPr>
        <w:t>ջրային</w:t>
      </w:r>
      <w:r w:rsidRPr="0039457F">
        <w:rPr>
          <w:szCs w:val="22"/>
          <w:lang w:val="af-ZA"/>
        </w:rPr>
        <w:t xml:space="preserve"> </w:t>
      </w:r>
      <w:r w:rsidRPr="0039457F">
        <w:rPr>
          <w:szCs w:val="22"/>
          <w:lang w:val="hy-AM"/>
        </w:rPr>
        <w:t>համակարգի</w:t>
      </w:r>
      <w:r w:rsidRPr="0039457F">
        <w:rPr>
          <w:szCs w:val="22"/>
          <w:lang w:val="af-ZA"/>
        </w:rPr>
        <w:t xml:space="preserve"> </w:t>
      </w:r>
      <w:r w:rsidRPr="0039457F">
        <w:rPr>
          <w:szCs w:val="22"/>
          <w:lang w:val="hy-AM"/>
        </w:rPr>
        <w:t>կառավարում</w:t>
      </w:r>
      <w:r w:rsidRPr="0039457F">
        <w:rPr>
          <w:szCs w:val="22"/>
          <w:lang w:val="af-ZA"/>
        </w:rPr>
        <w:t xml:space="preserve"> </w:t>
      </w:r>
      <w:r w:rsidRPr="0039457F">
        <w:rPr>
          <w:b w:val="0"/>
          <w:bCs/>
          <w:iCs/>
          <w:szCs w:val="22"/>
          <w:lang w:val="hy-AM"/>
        </w:rPr>
        <w:t>ծրագրի</w:t>
      </w:r>
      <w:r w:rsidRPr="0039457F">
        <w:rPr>
          <w:b w:val="0"/>
          <w:bCs/>
          <w:iCs/>
          <w:szCs w:val="22"/>
          <w:lang w:val="af-ZA"/>
        </w:rPr>
        <w:t xml:space="preserve"> </w:t>
      </w:r>
      <w:r w:rsidRPr="0039457F">
        <w:rPr>
          <w:rFonts w:cs="Sylfaen"/>
          <w:b w:val="0"/>
          <w:szCs w:val="22"/>
          <w:lang w:val="hy-AM"/>
        </w:rPr>
        <w:t>գծով 2024 թվականին  նախատեսվել է  1</w:t>
      </w:r>
      <w:r w:rsidRPr="0039457F">
        <w:rPr>
          <w:rFonts w:cs="Sylfaen"/>
          <w:b w:val="0"/>
          <w:szCs w:val="22"/>
          <w:lang w:val="af-ZA"/>
        </w:rPr>
        <w:t>,</w:t>
      </w:r>
      <w:r w:rsidRPr="0039457F">
        <w:rPr>
          <w:rFonts w:cs="Sylfaen"/>
          <w:b w:val="0"/>
          <w:szCs w:val="22"/>
          <w:lang w:val="hy-AM"/>
        </w:rPr>
        <w:t>300</w:t>
      </w:r>
      <w:r w:rsidRPr="0039457F">
        <w:rPr>
          <w:rFonts w:cs="Sylfaen"/>
          <w:b w:val="0"/>
          <w:szCs w:val="22"/>
          <w:lang w:val="af-ZA"/>
        </w:rPr>
        <w:t>.</w:t>
      </w:r>
      <w:r w:rsidRPr="0039457F">
        <w:rPr>
          <w:rFonts w:cs="Sylfaen"/>
          <w:b w:val="0"/>
          <w:szCs w:val="22"/>
          <w:lang w:val="hy-AM"/>
        </w:rPr>
        <w:t xml:space="preserve">0 </w:t>
      </w:r>
      <w:r w:rsidRPr="0039457F">
        <w:rPr>
          <w:rFonts w:cs="GHEA Grapalat"/>
          <w:b w:val="0"/>
          <w:szCs w:val="22"/>
          <w:lang w:val="hy-AM"/>
        </w:rPr>
        <w:t>մլն</w:t>
      </w:r>
      <w:r w:rsidRPr="0039457F">
        <w:rPr>
          <w:rFonts w:cs="Sylfaen"/>
          <w:b w:val="0"/>
          <w:szCs w:val="22"/>
          <w:lang w:val="hy-AM"/>
        </w:rPr>
        <w:t xml:space="preserve"> </w:t>
      </w:r>
      <w:r w:rsidRPr="0039457F">
        <w:rPr>
          <w:rFonts w:cs="GHEA Grapalat"/>
          <w:b w:val="0"/>
          <w:szCs w:val="22"/>
          <w:lang w:val="hy-AM"/>
        </w:rPr>
        <w:t>դրամ</w:t>
      </w:r>
      <w:r w:rsidRPr="0039457F">
        <w:rPr>
          <w:b w:val="0"/>
          <w:bCs/>
          <w:iCs/>
          <w:szCs w:val="22"/>
          <w:lang w:val="hy-AM"/>
        </w:rPr>
        <w:t>.</w:t>
      </w:r>
    </w:p>
    <w:p w14:paraId="5C788521" w14:textId="77777777" w:rsidR="001A149E" w:rsidRPr="0039457F" w:rsidRDefault="001A149E" w:rsidP="00AC1E1E">
      <w:pPr>
        <w:rPr>
          <w:b w:val="0"/>
          <w:szCs w:val="22"/>
          <w:lang w:val="hy-AM"/>
        </w:rPr>
      </w:pPr>
      <w:r w:rsidRPr="0039457F">
        <w:rPr>
          <w:b w:val="0"/>
          <w:szCs w:val="22"/>
          <w:lang w:val="hy-AM"/>
        </w:rPr>
        <w:t>Ծրագրի</w:t>
      </w:r>
      <w:r w:rsidRPr="0039457F">
        <w:rPr>
          <w:b w:val="0"/>
          <w:szCs w:val="22"/>
          <w:lang w:val="af-ZA"/>
        </w:rPr>
        <w:t xml:space="preserve"> </w:t>
      </w:r>
      <w:r w:rsidRPr="0039457F">
        <w:rPr>
          <w:b w:val="0"/>
          <w:szCs w:val="22"/>
          <w:lang w:val="hy-AM"/>
        </w:rPr>
        <w:t>նպատակն</w:t>
      </w:r>
      <w:r w:rsidRPr="0039457F">
        <w:rPr>
          <w:b w:val="0"/>
          <w:szCs w:val="22"/>
          <w:lang w:val="af-ZA"/>
        </w:rPr>
        <w:t xml:space="preserve"> </w:t>
      </w:r>
      <w:r w:rsidRPr="0039457F">
        <w:rPr>
          <w:b w:val="0"/>
          <w:szCs w:val="22"/>
          <w:lang w:val="hy-AM"/>
        </w:rPr>
        <w:t>է</w:t>
      </w:r>
      <w:r w:rsidRPr="0039457F">
        <w:rPr>
          <w:b w:val="0"/>
          <w:szCs w:val="22"/>
          <w:lang w:val="af-ZA"/>
        </w:rPr>
        <w:t xml:space="preserve"> </w:t>
      </w:r>
      <w:r w:rsidRPr="0039457F">
        <w:rPr>
          <w:b w:val="0"/>
          <w:szCs w:val="22"/>
          <w:lang w:val="hy-AM"/>
        </w:rPr>
        <w:t>վերականգնել</w:t>
      </w:r>
      <w:r w:rsidRPr="0039457F">
        <w:rPr>
          <w:b w:val="0"/>
          <w:szCs w:val="22"/>
          <w:lang w:val="af-ZA"/>
        </w:rPr>
        <w:t xml:space="preserve"> </w:t>
      </w:r>
      <w:r w:rsidRPr="0039457F">
        <w:rPr>
          <w:b w:val="0"/>
          <w:szCs w:val="22"/>
          <w:lang w:val="hy-AM"/>
        </w:rPr>
        <w:t>Արփա</w:t>
      </w:r>
      <w:r w:rsidRPr="0039457F">
        <w:rPr>
          <w:b w:val="0"/>
          <w:szCs w:val="22"/>
          <w:lang w:val="af-ZA"/>
        </w:rPr>
        <w:t>-</w:t>
      </w:r>
      <w:r w:rsidRPr="0039457F">
        <w:rPr>
          <w:b w:val="0"/>
          <w:szCs w:val="22"/>
          <w:lang w:val="hy-AM"/>
        </w:rPr>
        <w:t>Սևան</w:t>
      </w:r>
      <w:r w:rsidRPr="0039457F">
        <w:rPr>
          <w:b w:val="0"/>
          <w:szCs w:val="22"/>
          <w:lang w:val="af-ZA"/>
        </w:rPr>
        <w:t xml:space="preserve"> </w:t>
      </w:r>
      <w:r w:rsidRPr="0039457F">
        <w:rPr>
          <w:b w:val="0"/>
          <w:szCs w:val="22"/>
          <w:lang w:val="hy-AM"/>
        </w:rPr>
        <w:t>թունելի վթարային հատվածները և պահպանել այն, որից ակնկալվող վերջնական արդյունքն է առավելագույն քանակի ջուր տեղափոխել դեպի Սևանա լիճ: Ծրագրի շրջանակներում նախատեսվում է իրականացնել Որոտան-Արփա-Սևան թունելի 234 գծմ հատվածի երեսարկների վերակառուցման աշխատանքներ։</w:t>
      </w:r>
    </w:p>
    <w:p w14:paraId="16983615" w14:textId="77777777" w:rsidR="001A149E" w:rsidRPr="0039457F" w:rsidRDefault="001A149E" w:rsidP="00AC1E1E">
      <w:pPr>
        <w:rPr>
          <w:b w:val="0"/>
          <w:bCs/>
          <w:iCs/>
          <w:szCs w:val="22"/>
          <w:lang w:val="hy-AM"/>
        </w:rPr>
      </w:pPr>
      <w:r w:rsidRPr="0039457F">
        <w:rPr>
          <w:szCs w:val="22"/>
          <w:lang w:val="af-ZA"/>
        </w:rPr>
        <w:t xml:space="preserve">Սոցիալական ներդրումների և տեղական զարգացման </w:t>
      </w:r>
      <w:r w:rsidRPr="0039457F">
        <w:rPr>
          <w:b w:val="0"/>
          <w:szCs w:val="22"/>
          <w:lang w:val="af-ZA"/>
        </w:rPr>
        <w:t>ծրագր</w:t>
      </w:r>
      <w:r w:rsidRPr="0039457F">
        <w:rPr>
          <w:b w:val="0"/>
          <w:szCs w:val="22"/>
          <w:lang w:val="hy-AM"/>
        </w:rPr>
        <w:t xml:space="preserve">ի </w:t>
      </w:r>
      <w:r w:rsidRPr="0039457F">
        <w:rPr>
          <w:rFonts w:cs="Sylfaen"/>
          <w:b w:val="0"/>
          <w:szCs w:val="22"/>
          <w:lang w:val="hy-AM"/>
        </w:rPr>
        <w:t>գծով 2024 թվականին նախատեսվել է 4</w:t>
      </w:r>
      <w:r w:rsidRPr="0039457F">
        <w:rPr>
          <w:rFonts w:cs="Sylfaen"/>
          <w:b w:val="0"/>
          <w:szCs w:val="22"/>
          <w:lang w:val="af-ZA"/>
        </w:rPr>
        <w:t>,</w:t>
      </w:r>
      <w:r w:rsidRPr="0039457F">
        <w:rPr>
          <w:rFonts w:cs="Sylfaen"/>
          <w:b w:val="0"/>
          <w:szCs w:val="22"/>
          <w:lang w:val="hy-AM"/>
        </w:rPr>
        <w:t>4</w:t>
      </w:r>
      <w:r w:rsidR="004F3CA3">
        <w:rPr>
          <w:rFonts w:cs="Sylfaen"/>
          <w:b w:val="0"/>
          <w:szCs w:val="22"/>
          <w:lang w:val="hy-AM"/>
        </w:rPr>
        <w:t>8</w:t>
      </w:r>
      <w:r w:rsidRPr="0039457F">
        <w:rPr>
          <w:rFonts w:cs="Sylfaen"/>
          <w:b w:val="0"/>
          <w:szCs w:val="22"/>
          <w:lang w:val="hy-AM"/>
        </w:rPr>
        <w:t xml:space="preserve">6.6 մլն </w:t>
      </w:r>
      <w:r w:rsidRPr="0039457F">
        <w:rPr>
          <w:rFonts w:cs="GHEA Grapalat"/>
          <w:b w:val="0"/>
          <w:szCs w:val="22"/>
          <w:lang w:val="hy-AM"/>
        </w:rPr>
        <w:t>դրամ</w:t>
      </w:r>
      <w:r w:rsidRPr="0039457F">
        <w:rPr>
          <w:b w:val="0"/>
          <w:bCs/>
          <w:iCs/>
          <w:szCs w:val="22"/>
          <w:lang w:val="hy-AM"/>
        </w:rPr>
        <w:t>.</w:t>
      </w:r>
    </w:p>
    <w:p w14:paraId="685F771A" w14:textId="77777777" w:rsidR="001A149E" w:rsidRPr="0039457F" w:rsidRDefault="001A149E" w:rsidP="00AC1E1E">
      <w:pPr>
        <w:rPr>
          <w:b w:val="0"/>
          <w:szCs w:val="22"/>
          <w:lang w:val="hy-AM"/>
        </w:rPr>
      </w:pPr>
      <w:r w:rsidRPr="0039457F">
        <w:rPr>
          <w:b w:val="0"/>
          <w:szCs w:val="22"/>
          <w:lang w:val="hy-AM"/>
        </w:rPr>
        <w:t>Ծրագրի նպատակն է նպաստել բնակչության նյութական և ոչ նյութական բարեկեցության աճին, որով նախատեսվում է համայնքային և միջհամայնքային ենթակառուցվածքների և որակի հասանելիության բարելավում, ինստիտուցիոնալ և ֆինանասական կարողությունների հզորացում: Ծրագրի շրջանակներում նախատեսվում է իրականացնել 2 համայնքներում խմելու ջրի ջրամատակարարման և 1 համայնքներում ոռոգման համակարգերի հիմնանորոգման և կառուցման աշխատանքները, ևս 20 համայնքներում նախատեսվում է համայնքային կենտրոններին, դպրոցներին և մանկապարտեզներին գույքի, սարքավորումների և</w:t>
      </w:r>
      <w:r w:rsidR="001B743B">
        <w:rPr>
          <w:b w:val="0"/>
          <w:szCs w:val="22"/>
          <w:lang w:val="hy-AM"/>
        </w:rPr>
        <w:t xml:space="preserve"> տեխնիկայի տրամադրում</w:t>
      </w:r>
      <w:r w:rsidRPr="0039457F">
        <w:rPr>
          <w:b w:val="0"/>
          <w:szCs w:val="22"/>
          <w:lang w:val="hy-AM"/>
        </w:rPr>
        <w:t>, 490 հազար շահառու կօգտվեն հիմնանորոգված և նոր կառուցված ջրագծերի, առողջապահության, կրթության, մշակույթի, հատուկ խնամքի և ենթակառուցվածքների ոլորտի օբյեկտներից:</w:t>
      </w:r>
    </w:p>
    <w:p w14:paraId="3169187B" w14:textId="77777777" w:rsidR="001A149E" w:rsidRPr="0039457F" w:rsidRDefault="001A149E" w:rsidP="00AC1E1E">
      <w:pPr>
        <w:rPr>
          <w:b w:val="0"/>
          <w:szCs w:val="22"/>
          <w:lang w:val="af-ZA"/>
        </w:rPr>
      </w:pPr>
      <w:r w:rsidRPr="0039457F">
        <w:rPr>
          <w:szCs w:val="22"/>
          <w:lang w:val="hy-AM"/>
        </w:rPr>
        <w:t>Կոլեկտորադրենաժային</w:t>
      </w:r>
      <w:r w:rsidRPr="0039457F">
        <w:rPr>
          <w:szCs w:val="22"/>
          <w:lang w:val="af-ZA"/>
        </w:rPr>
        <w:t xml:space="preserve"> </w:t>
      </w:r>
      <w:r w:rsidRPr="0039457F">
        <w:rPr>
          <w:szCs w:val="22"/>
          <w:lang w:val="hy-AM"/>
        </w:rPr>
        <w:t>ծառայություններ</w:t>
      </w:r>
      <w:r w:rsidRPr="0039457F">
        <w:rPr>
          <w:szCs w:val="22"/>
          <w:lang w:val="af-ZA"/>
        </w:rPr>
        <w:t xml:space="preserve"> </w:t>
      </w:r>
      <w:r w:rsidRPr="0039457F">
        <w:rPr>
          <w:b w:val="0"/>
          <w:bCs/>
          <w:iCs/>
          <w:szCs w:val="22"/>
          <w:lang w:val="hy-AM"/>
        </w:rPr>
        <w:t xml:space="preserve">ծրագրի </w:t>
      </w:r>
      <w:r w:rsidRPr="0039457F">
        <w:rPr>
          <w:rFonts w:cs="Sylfaen"/>
          <w:b w:val="0"/>
          <w:szCs w:val="22"/>
          <w:lang w:val="hy-AM"/>
        </w:rPr>
        <w:t>գծով 2024 թվականին նախատեսվել է 290</w:t>
      </w:r>
      <w:r w:rsidRPr="0039457F">
        <w:rPr>
          <w:rFonts w:ascii="Cambria Math" w:hAnsi="Cambria Math" w:cs="Cambria Math"/>
          <w:b w:val="0"/>
          <w:szCs w:val="22"/>
          <w:lang w:val="hy-AM"/>
        </w:rPr>
        <w:t>․</w:t>
      </w:r>
      <w:r w:rsidRPr="0039457F">
        <w:rPr>
          <w:rFonts w:cs="Sylfaen"/>
          <w:b w:val="0"/>
          <w:szCs w:val="22"/>
          <w:lang w:val="hy-AM"/>
        </w:rPr>
        <w:t>1 մլն դրամ.</w:t>
      </w:r>
    </w:p>
    <w:p w14:paraId="27DD0013" w14:textId="77777777" w:rsidR="001A149E" w:rsidRPr="0039457F" w:rsidRDefault="001A149E" w:rsidP="00AC1E1E">
      <w:pPr>
        <w:rPr>
          <w:b w:val="0"/>
          <w:szCs w:val="22"/>
          <w:lang w:val="af-ZA"/>
        </w:rPr>
      </w:pPr>
      <w:r w:rsidRPr="0039457F">
        <w:rPr>
          <w:b w:val="0"/>
          <w:szCs w:val="22"/>
          <w:lang w:val="hy-AM"/>
        </w:rPr>
        <w:t>Ծրագրի</w:t>
      </w:r>
      <w:r w:rsidRPr="0039457F">
        <w:rPr>
          <w:b w:val="0"/>
          <w:szCs w:val="22"/>
          <w:lang w:val="af-ZA"/>
        </w:rPr>
        <w:t xml:space="preserve"> </w:t>
      </w:r>
      <w:r w:rsidRPr="0039457F">
        <w:rPr>
          <w:b w:val="0"/>
          <w:szCs w:val="22"/>
          <w:lang w:val="hy-AM"/>
        </w:rPr>
        <w:t>նպատակն</w:t>
      </w:r>
      <w:r w:rsidRPr="0039457F">
        <w:rPr>
          <w:b w:val="0"/>
          <w:szCs w:val="22"/>
          <w:lang w:val="af-ZA"/>
        </w:rPr>
        <w:t xml:space="preserve"> </w:t>
      </w:r>
      <w:r w:rsidRPr="0039457F">
        <w:rPr>
          <w:b w:val="0"/>
          <w:szCs w:val="22"/>
          <w:lang w:val="hy-AM"/>
        </w:rPr>
        <w:t>է</w:t>
      </w:r>
      <w:r w:rsidRPr="0039457F">
        <w:rPr>
          <w:b w:val="0"/>
          <w:szCs w:val="22"/>
          <w:lang w:val="af-ZA"/>
        </w:rPr>
        <w:t xml:space="preserve"> </w:t>
      </w:r>
      <w:r w:rsidRPr="0039457F">
        <w:rPr>
          <w:b w:val="0"/>
          <w:szCs w:val="22"/>
          <w:lang w:val="hy-AM"/>
        </w:rPr>
        <w:t>բարելավել</w:t>
      </w:r>
      <w:r w:rsidRPr="0039457F">
        <w:rPr>
          <w:b w:val="0"/>
          <w:szCs w:val="22"/>
          <w:lang w:val="af-ZA"/>
        </w:rPr>
        <w:t xml:space="preserve"> </w:t>
      </w:r>
      <w:r w:rsidRPr="0039457F">
        <w:rPr>
          <w:b w:val="0"/>
          <w:szCs w:val="22"/>
          <w:lang w:val="hy-AM"/>
        </w:rPr>
        <w:t>ՀՀ</w:t>
      </w:r>
      <w:r w:rsidRPr="0039457F">
        <w:rPr>
          <w:b w:val="0"/>
          <w:szCs w:val="22"/>
          <w:lang w:val="af-ZA"/>
        </w:rPr>
        <w:t xml:space="preserve"> </w:t>
      </w:r>
      <w:r w:rsidRPr="0039457F">
        <w:rPr>
          <w:b w:val="0"/>
          <w:szCs w:val="22"/>
          <w:lang w:val="hy-AM"/>
        </w:rPr>
        <w:t>ոռոգելի</w:t>
      </w:r>
      <w:r w:rsidRPr="0039457F">
        <w:rPr>
          <w:b w:val="0"/>
          <w:szCs w:val="22"/>
          <w:lang w:val="af-ZA"/>
        </w:rPr>
        <w:t xml:space="preserve"> </w:t>
      </w:r>
      <w:r w:rsidRPr="0039457F">
        <w:rPr>
          <w:b w:val="0"/>
          <w:szCs w:val="22"/>
          <w:lang w:val="hy-AM"/>
        </w:rPr>
        <w:t>հողերի</w:t>
      </w:r>
      <w:r w:rsidRPr="0039457F">
        <w:rPr>
          <w:b w:val="0"/>
          <w:szCs w:val="22"/>
          <w:lang w:val="af-ZA"/>
        </w:rPr>
        <w:t xml:space="preserve"> </w:t>
      </w:r>
      <w:r w:rsidRPr="0039457F">
        <w:rPr>
          <w:b w:val="0"/>
          <w:szCs w:val="22"/>
          <w:lang w:val="hy-AM"/>
        </w:rPr>
        <w:t>մելիորատիվ</w:t>
      </w:r>
      <w:r w:rsidRPr="0039457F">
        <w:rPr>
          <w:b w:val="0"/>
          <w:szCs w:val="22"/>
          <w:lang w:val="af-ZA"/>
        </w:rPr>
        <w:t xml:space="preserve"> </w:t>
      </w:r>
      <w:r w:rsidRPr="0039457F">
        <w:rPr>
          <w:b w:val="0"/>
          <w:szCs w:val="22"/>
          <w:lang w:val="hy-AM"/>
        </w:rPr>
        <w:t>վիճակը</w:t>
      </w:r>
      <w:r w:rsidRPr="0039457F">
        <w:rPr>
          <w:b w:val="0"/>
          <w:szCs w:val="22"/>
          <w:lang w:val="af-ZA"/>
        </w:rPr>
        <w:t xml:space="preserve">, </w:t>
      </w:r>
      <w:r w:rsidRPr="0039457F">
        <w:rPr>
          <w:b w:val="0"/>
          <w:szCs w:val="22"/>
          <w:lang w:val="hy-AM"/>
        </w:rPr>
        <w:t>կարգավորել</w:t>
      </w:r>
      <w:r w:rsidRPr="0039457F">
        <w:rPr>
          <w:b w:val="0"/>
          <w:szCs w:val="22"/>
          <w:lang w:val="af-ZA"/>
        </w:rPr>
        <w:t xml:space="preserve"> </w:t>
      </w:r>
      <w:r w:rsidRPr="0039457F">
        <w:rPr>
          <w:b w:val="0"/>
          <w:szCs w:val="22"/>
          <w:lang w:val="hy-AM"/>
        </w:rPr>
        <w:t>գրունտային</w:t>
      </w:r>
      <w:r w:rsidRPr="0039457F">
        <w:rPr>
          <w:b w:val="0"/>
          <w:szCs w:val="22"/>
          <w:lang w:val="af-ZA"/>
        </w:rPr>
        <w:t xml:space="preserve"> </w:t>
      </w:r>
      <w:r w:rsidRPr="0039457F">
        <w:rPr>
          <w:b w:val="0"/>
          <w:szCs w:val="22"/>
          <w:lang w:val="hy-AM"/>
        </w:rPr>
        <w:t>ջրերի</w:t>
      </w:r>
      <w:r w:rsidRPr="0039457F">
        <w:rPr>
          <w:b w:val="0"/>
          <w:szCs w:val="22"/>
          <w:lang w:val="af-ZA"/>
        </w:rPr>
        <w:t xml:space="preserve"> </w:t>
      </w:r>
      <w:r w:rsidRPr="0039457F">
        <w:rPr>
          <w:b w:val="0"/>
          <w:szCs w:val="22"/>
          <w:lang w:val="hy-AM"/>
        </w:rPr>
        <w:t>մակարդակները</w:t>
      </w:r>
      <w:r w:rsidRPr="0039457F">
        <w:rPr>
          <w:b w:val="0"/>
          <w:szCs w:val="22"/>
          <w:lang w:val="af-ZA"/>
        </w:rPr>
        <w:t xml:space="preserve">, </w:t>
      </w:r>
      <w:r w:rsidRPr="0039457F">
        <w:rPr>
          <w:b w:val="0"/>
          <w:szCs w:val="22"/>
          <w:lang w:val="hy-AM"/>
        </w:rPr>
        <w:t>կանխել</w:t>
      </w:r>
      <w:r w:rsidRPr="0039457F">
        <w:rPr>
          <w:b w:val="0"/>
          <w:szCs w:val="22"/>
          <w:lang w:val="af-ZA"/>
        </w:rPr>
        <w:t xml:space="preserve"> </w:t>
      </w:r>
      <w:r w:rsidRPr="0039457F">
        <w:rPr>
          <w:b w:val="0"/>
          <w:szCs w:val="22"/>
          <w:lang w:val="hy-AM"/>
        </w:rPr>
        <w:t>հողատեսքերի</w:t>
      </w:r>
      <w:r w:rsidRPr="0039457F">
        <w:rPr>
          <w:b w:val="0"/>
          <w:szCs w:val="22"/>
          <w:lang w:val="af-ZA"/>
        </w:rPr>
        <w:t xml:space="preserve"> </w:t>
      </w:r>
      <w:r w:rsidRPr="0039457F">
        <w:rPr>
          <w:b w:val="0"/>
          <w:szCs w:val="22"/>
          <w:lang w:val="hy-AM"/>
        </w:rPr>
        <w:t>աղակալումը</w:t>
      </w:r>
      <w:r w:rsidRPr="0039457F">
        <w:rPr>
          <w:b w:val="0"/>
          <w:szCs w:val="22"/>
          <w:lang w:val="af-ZA"/>
        </w:rPr>
        <w:t xml:space="preserve">, </w:t>
      </w:r>
      <w:r w:rsidRPr="0039457F">
        <w:rPr>
          <w:b w:val="0"/>
          <w:szCs w:val="22"/>
          <w:lang w:val="hy-AM"/>
        </w:rPr>
        <w:t>բնակավայրերի</w:t>
      </w:r>
      <w:r w:rsidRPr="0039457F">
        <w:rPr>
          <w:b w:val="0"/>
          <w:szCs w:val="22"/>
          <w:lang w:val="af-ZA"/>
        </w:rPr>
        <w:t xml:space="preserve"> </w:t>
      </w:r>
      <w:r w:rsidRPr="0039457F">
        <w:rPr>
          <w:b w:val="0"/>
          <w:szCs w:val="22"/>
          <w:lang w:val="hy-AM"/>
        </w:rPr>
        <w:t>ջրակալումը</w:t>
      </w:r>
      <w:r w:rsidRPr="0039457F">
        <w:rPr>
          <w:b w:val="0"/>
          <w:szCs w:val="22"/>
          <w:lang w:val="af-ZA"/>
        </w:rPr>
        <w:t xml:space="preserve"> </w:t>
      </w:r>
      <w:r w:rsidRPr="0039457F">
        <w:rPr>
          <w:b w:val="0"/>
          <w:szCs w:val="22"/>
          <w:lang w:val="hy-AM"/>
        </w:rPr>
        <w:t>և</w:t>
      </w:r>
      <w:r w:rsidRPr="0039457F">
        <w:rPr>
          <w:b w:val="0"/>
          <w:szCs w:val="22"/>
          <w:lang w:val="af-ZA"/>
        </w:rPr>
        <w:t xml:space="preserve"> </w:t>
      </w:r>
      <w:r w:rsidRPr="0039457F">
        <w:rPr>
          <w:b w:val="0"/>
          <w:szCs w:val="22"/>
          <w:lang w:val="hy-AM"/>
        </w:rPr>
        <w:t>ապահովել</w:t>
      </w:r>
      <w:r w:rsidRPr="0039457F">
        <w:rPr>
          <w:b w:val="0"/>
          <w:szCs w:val="22"/>
          <w:lang w:val="af-ZA"/>
        </w:rPr>
        <w:t xml:space="preserve"> </w:t>
      </w:r>
      <w:r w:rsidRPr="0039457F">
        <w:rPr>
          <w:b w:val="0"/>
          <w:szCs w:val="22"/>
          <w:lang w:val="hy-AM"/>
        </w:rPr>
        <w:t>մշակաբույսերի</w:t>
      </w:r>
      <w:r w:rsidRPr="0039457F">
        <w:rPr>
          <w:b w:val="0"/>
          <w:szCs w:val="22"/>
          <w:lang w:val="af-ZA"/>
        </w:rPr>
        <w:t xml:space="preserve"> </w:t>
      </w:r>
      <w:r w:rsidRPr="0039457F">
        <w:rPr>
          <w:b w:val="0"/>
          <w:szCs w:val="22"/>
          <w:lang w:val="hy-AM"/>
        </w:rPr>
        <w:t>բնականոն</w:t>
      </w:r>
      <w:r w:rsidRPr="0039457F">
        <w:rPr>
          <w:b w:val="0"/>
          <w:szCs w:val="22"/>
          <w:lang w:val="af-ZA"/>
        </w:rPr>
        <w:t xml:space="preserve"> </w:t>
      </w:r>
      <w:r w:rsidRPr="0039457F">
        <w:rPr>
          <w:b w:val="0"/>
          <w:szCs w:val="22"/>
          <w:lang w:val="hy-AM"/>
        </w:rPr>
        <w:t>աճը</w:t>
      </w:r>
      <w:r w:rsidRPr="0039457F">
        <w:rPr>
          <w:b w:val="0"/>
          <w:szCs w:val="22"/>
          <w:lang w:val="af-ZA"/>
        </w:rPr>
        <w:t xml:space="preserve">, </w:t>
      </w:r>
      <w:r w:rsidRPr="0039457F">
        <w:rPr>
          <w:b w:val="0"/>
          <w:szCs w:val="22"/>
          <w:lang w:val="hy-AM"/>
        </w:rPr>
        <w:t>որի</w:t>
      </w:r>
      <w:r w:rsidRPr="0039457F">
        <w:rPr>
          <w:b w:val="0"/>
          <w:szCs w:val="22"/>
          <w:lang w:val="af-ZA"/>
        </w:rPr>
        <w:t xml:space="preserve"> </w:t>
      </w:r>
      <w:r w:rsidRPr="0039457F">
        <w:rPr>
          <w:b w:val="0"/>
          <w:szCs w:val="22"/>
          <w:lang w:val="hy-AM"/>
        </w:rPr>
        <w:t>վերջնական</w:t>
      </w:r>
      <w:r w:rsidRPr="0039457F">
        <w:rPr>
          <w:b w:val="0"/>
          <w:szCs w:val="22"/>
          <w:lang w:val="af-ZA"/>
        </w:rPr>
        <w:t xml:space="preserve"> </w:t>
      </w:r>
      <w:r w:rsidRPr="0039457F">
        <w:rPr>
          <w:b w:val="0"/>
          <w:szCs w:val="22"/>
          <w:lang w:val="hy-AM"/>
        </w:rPr>
        <w:t>արդյունքն</w:t>
      </w:r>
      <w:r w:rsidRPr="0039457F">
        <w:rPr>
          <w:b w:val="0"/>
          <w:szCs w:val="22"/>
          <w:lang w:val="af-ZA"/>
        </w:rPr>
        <w:t xml:space="preserve"> </w:t>
      </w:r>
      <w:r w:rsidRPr="0039457F">
        <w:rPr>
          <w:b w:val="0"/>
          <w:szCs w:val="22"/>
          <w:lang w:val="hy-AM"/>
        </w:rPr>
        <w:t>է</w:t>
      </w:r>
      <w:r w:rsidRPr="0039457F">
        <w:rPr>
          <w:b w:val="0"/>
          <w:szCs w:val="22"/>
          <w:lang w:val="af-ZA"/>
        </w:rPr>
        <w:t xml:space="preserve"> </w:t>
      </w:r>
      <w:r w:rsidRPr="0039457F">
        <w:rPr>
          <w:b w:val="0"/>
          <w:szCs w:val="22"/>
          <w:lang w:val="hy-AM"/>
        </w:rPr>
        <w:t>ավելացնել</w:t>
      </w:r>
      <w:r w:rsidRPr="0039457F">
        <w:rPr>
          <w:b w:val="0"/>
          <w:szCs w:val="22"/>
          <w:lang w:val="af-ZA"/>
        </w:rPr>
        <w:t xml:space="preserve"> </w:t>
      </w:r>
      <w:r w:rsidRPr="0039457F">
        <w:rPr>
          <w:b w:val="0"/>
          <w:szCs w:val="22"/>
          <w:lang w:val="hy-AM"/>
        </w:rPr>
        <w:t>մշակելի</w:t>
      </w:r>
      <w:r w:rsidRPr="0039457F">
        <w:rPr>
          <w:b w:val="0"/>
          <w:szCs w:val="22"/>
          <w:lang w:val="af-ZA"/>
        </w:rPr>
        <w:t xml:space="preserve"> </w:t>
      </w:r>
      <w:r w:rsidRPr="0039457F">
        <w:rPr>
          <w:b w:val="0"/>
          <w:szCs w:val="22"/>
          <w:lang w:val="hy-AM"/>
        </w:rPr>
        <w:t>հողատարածքների</w:t>
      </w:r>
      <w:r w:rsidRPr="0039457F">
        <w:rPr>
          <w:b w:val="0"/>
          <w:szCs w:val="22"/>
          <w:lang w:val="af-ZA"/>
        </w:rPr>
        <w:t xml:space="preserve"> </w:t>
      </w:r>
      <w:r w:rsidRPr="0039457F">
        <w:rPr>
          <w:b w:val="0"/>
          <w:szCs w:val="22"/>
          <w:lang w:val="hy-AM"/>
        </w:rPr>
        <w:t>մակերեսը</w:t>
      </w:r>
      <w:r w:rsidRPr="0039457F">
        <w:rPr>
          <w:b w:val="0"/>
          <w:szCs w:val="22"/>
          <w:lang w:val="af-ZA"/>
        </w:rPr>
        <w:t xml:space="preserve">: </w:t>
      </w:r>
      <w:r w:rsidRPr="0039457F">
        <w:rPr>
          <w:b w:val="0"/>
          <w:szCs w:val="22"/>
          <w:lang w:val="hy-AM"/>
        </w:rPr>
        <w:t>Ծրագրի</w:t>
      </w:r>
      <w:r w:rsidRPr="0039457F">
        <w:rPr>
          <w:b w:val="0"/>
          <w:szCs w:val="22"/>
          <w:lang w:val="af-ZA"/>
        </w:rPr>
        <w:t xml:space="preserve"> </w:t>
      </w:r>
      <w:r w:rsidRPr="0039457F">
        <w:rPr>
          <w:b w:val="0"/>
          <w:szCs w:val="22"/>
          <w:lang w:val="hy-AM"/>
        </w:rPr>
        <w:t>շրջանակներում</w:t>
      </w:r>
      <w:r w:rsidRPr="0039457F">
        <w:rPr>
          <w:b w:val="0"/>
          <w:szCs w:val="22"/>
          <w:lang w:val="af-ZA"/>
        </w:rPr>
        <w:t xml:space="preserve"> </w:t>
      </w:r>
      <w:r w:rsidRPr="0039457F">
        <w:rPr>
          <w:b w:val="0"/>
          <w:szCs w:val="22"/>
          <w:lang w:val="hy-AM"/>
        </w:rPr>
        <w:t>նախատեսվում</w:t>
      </w:r>
      <w:r w:rsidRPr="0039457F">
        <w:rPr>
          <w:b w:val="0"/>
          <w:szCs w:val="22"/>
          <w:lang w:val="af-ZA"/>
        </w:rPr>
        <w:t xml:space="preserve"> </w:t>
      </w:r>
      <w:r w:rsidRPr="0039457F">
        <w:rPr>
          <w:b w:val="0"/>
          <w:szCs w:val="22"/>
          <w:lang w:val="hy-AM"/>
        </w:rPr>
        <w:t>է</w:t>
      </w:r>
      <w:r w:rsidRPr="0039457F">
        <w:rPr>
          <w:b w:val="0"/>
          <w:szCs w:val="22"/>
          <w:lang w:val="af-ZA"/>
        </w:rPr>
        <w:t xml:space="preserve"> </w:t>
      </w:r>
      <w:r w:rsidRPr="0039457F">
        <w:rPr>
          <w:b w:val="0"/>
          <w:szCs w:val="22"/>
          <w:lang w:val="hy-AM"/>
        </w:rPr>
        <w:t>հանրապետության 6 մարզերում մաքրել</w:t>
      </w:r>
      <w:r w:rsidRPr="0039457F">
        <w:rPr>
          <w:b w:val="0"/>
          <w:szCs w:val="22"/>
          <w:lang w:val="af-ZA"/>
        </w:rPr>
        <w:t xml:space="preserve"> </w:t>
      </w:r>
      <w:r w:rsidRPr="0039457F">
        <w:rPr>
          <w:b w:val="0"/>
          <w:szCs w:val="22"/>
          <w:lang w:val="hy-AM"/>
        </w:rPr>
        <w:t>և</w:t>
      </w:r>
      <w:r w:rsidRPr="0039457F">
        <w:rPr>
          <w:b w:val="0"/>
          <w:szCs w:val="22"/>
          <w:lang w:val="af-ZA"/>
        </w:rPr>
        <w:t xml:space="preserve"> </w:t>
      </w:r>
      <w:r w:rsidRPr="0039457F">
        <w:rPr>
          <w:b w:val="0"/>
          <w:szCs w:val="22"/>
          <w:lang w:val="hy-AM"/>
        </w:rPr>
        <w:t>վերանորոգել</w:t>
      </w:r>
      <w:r w:rsidRPr="0039457F">
        <w:rPr>
          <w:b w:val="0"/>
          <w:szCs w:val="22"/>
          <w:lang w:val="af-ZA"/>
        </w:rPr>
        <w:t xml:space="preserve"> </w:t>
      </w:r>
      <w:r w:rsidRPr="0039457F">
        <w:rPr>
          <w:b w:val="0"/>
          <w:szCs w:val="22"/>
          <w:lang w:val="hy-AM"/>
        </w:rPr>
        <w:t>173</w:t>
      </w:r>
      <w:r w:rsidRPr="0039457F">
        <w:rPr>
          <w:b w:val="0"/>
          <w:szCs w:val="22"/>
          <w:lang w:val="af-ZA"/>
        </w:rPr>
        <w:t xml:space="preserve"> </w:t>
      </w:r>
      <w:r w:rsidRPr="0039457F">
        <w:rPr>
          <w:b w:val="0"/>
          <w:szCs w:val="22"/>
          <w:lang w:val="hy-AM"/>
        </w:rPr>
        <w:t>կմ</w:t>
      </w:r>
      <w:r w:rsidRPr="0039457F">
        <w:rPr>
          <w:b w:val="0"/>
          <w:szCs w:val="22"/>
          <w:lang w:val="af-ZA"/>
        </w:rPr>
        <w:t xml:space="preserve"> </w:t>
      </w:r>
      <w:r w:rsidRPr="0039457F">
        <w:rPr>
          <w:b w:val="0"/>
          <w:szCs w:val="22"/>
          <w:lang w:val="hy-AM"/>
        </w:rPr>
        <w:t>երկարությամբ</w:t>
      </w:r>
      <w:r w:rsidRPr="0039457F">
        <w:rPr>
          <w:b w:val="0"/>
          <w:szCs w:val="22"/>
          <w:lang w:val="af-ZA"/>
        </w:rPr>
        <w:t xml:space="preserve"> </w:t>
      </w:r>
      <w:r w:rsidRPr="0039457F">
        <w:rPr>
          <w:b w:val="0"/>
          <w:szCs w:val="22"/>
          <w:lang w:val="hy-AM"/>
        </w:rPr>
        <w:t>կոլեկտորադրենաժային</w:t>
      </w:r>
      <w:r w:rsidRPr="0039457F">
        <w:rPr>
          <w:b w:val="0"/>
          <w:szCs w:val="22"/>
          <w:lang w:val="af-ZA"/>
        </w:rPr>
        <w:t xml:space="preserve"> </w:t>
      </w:r>
      <w:r w:rsidR="001B743B">
        <w:rPr>
          <w:b w:val="0"/>
          <w:szCs w:val="22"/>
          <w:lang w:val="hy-AM"/>
        </w:rPr>
        <w:t>ցանց՝ 1601 մլն խ</w:t>
      </w:r>
      <w:r w:rsidRPr="0039457F">
        <w:rPr>
          <w:b w:val="0"/>
          <w:szCs w:val="22"/>
          <w:lang w:val="hy-AM"/>
        </w:rPr>
        <w:t>մ ջրահեռացման ծավալով:</w:t>
      </w:r>
    </w:p>
    <w:p w14:paraId="6458A720" w14:textId="77777777" w:rsidR="001A149E" w:rsidRPr="0039457F" w:rsidRDefault="001A149E" w:rsidP="00AC1E1E">
      <w:pPr>
        <w:widowControl w:val="0"/>
        <w:rPr>
          <w:rFonts w:cs="Sylfaen"/>
          <w:b w:val="0"/>
          <w:szCs w:val="22"/>
          <w:lang w:val="af-ZA"/>
        </w:rPr>
      </w:pPr>
      <w:r w:rsidRPr="0039457F">
        <w:rPr>
          <w:rFonts w:cs="Sylfaen"/>
          <w:szCs w:val="22"/>
          <w:lang w:val="hy-AM"/>
        </w:rPr>
        <w:t>Տարածքային</w:t>
      </w:r>
      <w:r w:rsidRPr="0039457F">
        <w:rPr>
          <w:rFonts w:cs="Sylfaen"/>
          <w:szCs w:val="22"/>
          <w:lang w:val="af-ZA"/>
        </w:rPr>
        <w:t xml:space="preserve"> </w:t>
      </w:r>
      <w:r w:rsidRPr="0039457F">
        <w:rPr>
          <w:rFonts w:cs="Sylfaen"/>
          <w:szCs w:val="22"/>
          <w:lang w:val="hy-AM"/>
        </w:rPr>
        <w:t>կառավարման</w:t>
      </w:r>
      <w:r w:rsidRPr="0039457F">
        <w:rPr>
          <w:rFonts w:cs="Sylfaen"/>
          <w:szCs w:val="22"/>
          <w:lang w:val="af-ZA"/>
        </w:rPr>
        <w:t xml:space="preserve"> </w:t>
      </w:r>
      <w:r w:rsidRPr="0039457F">
        <w:rPr>
          <w:rFonts w:cs="Sylfaen"/>
          <w:szCs w:val="22"/>
          <w:lang w:val="hy-AM"/>
        </w:rPr>
        <w:t>և</w:t>
      </w:r>
      <w:r w:rsidRPr="0039457F">
        <w:rPr>
          <w:rFonts w:cs="Sylfaen"/>
          <w:szCs w:val="22"/>
          <w:lang w:val="af-ZA"/>
        </w:rPr>
        <w:t xml:space="preserve"> </w:t>
      </w:r>
      <w:r w:rsidRPr="0039457F">
        <w:rPr>
          <w:rFonts w:cs="Sylfaen"/>
          <w:szCs w:val="22"/>
          <w:lang w:val="hy-AM"/>
        </w:rPr>
        <w:t>ՏԻՄ</w:t>
      </w:r>
      <w:r w:rsidRPr="0039457F">
        <w:rPr>
          <w:rFonts w:cs="Sylfaen"/>
          <w:szCs w:val="22"/>
          <w:lang w:val="af-ZA"/>
        </w:rPr>
        <w:t xml:space="preserve"> </w:t>
      </w:r>
      <w:r w:rsidRPr="0039457F">
        <w:rPr>
          <w:rFonts w:cs="Sylfaen"/>
          <w:szCs w:val="22"/>
          <w:lang w:val="hy-AM"/>
        </w:rPr>
        <w:t>ներկայացուցիչների</w:t>
      </w:r>
      <w:r w:rsidRPr="0039457F">
        <w:rPr>
          <w:rFonts w:cs="Sylfaen"/>
          <w:szCs w:val="22"/>
          <w:lang w:val="af-ZA"/>
        </w:rPr>
        <w:t xml:space="preserve"> </w:t>
      </w:r>
      <w:r w:rsidRPr="0039457F">
        <w:rPr>
          <w:rFonts w:cs="Sylfaen"/>
          <w:szCs w:val="22"/>
          <w:lang w:val="hy-AM"/>
        </w:rPr>
        <w:t>մասնագիտական</w:t>
      </w:r>
      <w:r w:rsidRPr="0039457F">
        <w:rPr>
          <w:rFonts w:cs="Sylfaen"/>
          <w:szCs w:val="22"/>
          <w:lang w:val="af-ZA"/>
        </w:rPr>
        <w:t xml:space="preserve"> </w:t>
      </w:r>
      <w:r w:rsidRPr="0039457F">
        <w:rPr>
          <w:rFonts w:cs="Sylfaen"/>
          <w:szCs w:val="22"/>
          <w:lang w:val="hy-AM"/>
        </w:rPr>
        <w:t>վերապատրաստում</w:t>
      </w:r>
      <w:r w:rsidRPr="0039457F">
        <w:rPr>
          <w:rFonts w:cs="Sylfaen"/>
          <w:szCs w:val="22"/>
          <w:lang w:val="af-ZA"/>
        </w:rPr>
        <w:t xml:space="preserve"> </w:t>
      </w:r>
      <w:r w:rsidRPr="0039457F">
        <w:rPr>
          <w:rFonts w:cs="Sylfaen"/>
          <w:szCs w:val="22"/>
          <w:lang w:val="hy-AM"/>
        </w:rPr>
        <w:t>և</w:t>
      </w:r>
      <w:r w:rsidRPr="0039457F">
        <w:rPr>
          <w:rFonts w:cs="Sylfaen"/>
          <w:szCs w:val="22"/>
          <w:lang w:val="af-ZA"/>
        </w:rPr>
        <w:t xml:space="preserve"> </w:t>
      </w:r>
      <w:r w:rsidRPr="0039457F">
        <w:rPr>
          <w:rFonts w:cs="Sylfaen"/>
          <w:szCs w:val="22"/>
          <w:lang w:val="hy-AM"/>
        </w:rPr>
        <w:t>հատուկ</w:t>
      </w:r>
      <w:r w:rsidRPr="0039457F">
        <w:rPr>
          <w:rFonts w:cs="Sylfaen"/>
          <w:szCs w:val="22"/>
          <w:lang w:val="af-ZA"/>
        </w:rPr>
        <w:t xml:space="preserve"> </w:t>
      </w:r>
      <w:r w:rsidRPr="0039457F">
        <w:rPr>
          <w:rFonts w:cs="Sylfaen"/>
          <w:szCs w:val="22"/>
          <w:lang w:val="hy-AM"/>
        </w:rPr>
        <w:t>ուսուցում</w:t>
      </w:r>
      <w:r w:rsidRPr="0039457F">
        <w:rPr>
          <w:rFonts w:cs="Sylfaen"/>
          <w:szCs w:val="22"/>
          <w:lang w:val="af-ZA"/>
        </w:rPr>
        <w:t xml:space="preserve"> </w:t>
      </w:r>
      <w:r w:rsidRPr="0039457F">
        <w:rPr>
          <w:b w:val="0"/>
          <w:bCs/>
          <w:iCs/>
          <w:szCs w:val="22"/>
          <w:lang w:val="hy-AM"/>
        </w:rPr>
        <w:t xml:space="preserve">ծրագրի </w:t>
      </w:r>
      <w:r w:rsidRPr="0039457F">
        <w:rPr>
          <w:rFonts w:cs="Sylfaen"/>
          <w:b w:val="0"/>
          <w:szCs w:val="22"/>
          <w:lang w:val="hy-AM"/>
        </w:rPr>
        <w:t>գծով 2024 թվականին նախատեսվել է 1</w:t>
      </w:r>
      <w:r w:rsidRPr="0039457F">
        <w:rPr>
          <w:rFonts w:cs="Sylfaen"/>
          <w:b w:val="0"/>
          <w:szCs w:val="22"/>
          <w:lang w:val="af-ZA"/>
        </w:rPr>
        <w:t>4.6</w:t>
      </w:r>
      <w:r w:rsidRPr="0039457F">
        <w:rPr>
          <w:rFonts w:cs="Sylfaen"/>
          <w:b w:val="0"/>
          <w:szCs w:val="22"/>
          <w:lang w:val="hy-AM"/>
        </w:rPr>
        <w:t xml:space="preserve"> </w:t>
      </w:r>
      <w:r w:rsidRPr="0039457F">
        <w:rPr>
          <w:rFonts w:cs="GHEA Grapalat"/>
          <w:b w:val="0"/>
          <w:szCs w:val="22"/>
          <w:lang w:val="hy-AM"/>
        </w:rPr>
        <w:t>մլն</w:t>
      </w:r>
      <w:r w:rsidRPr="0039457F">
        <w:rPr>
          <w:rFonts w:cs="Sylfaen"/>
          <w:b w:val="0"/>
          <w:szCs w:val="22"/>
          <w:lang w:val="hy-AM"/>
        </w:rPr>
        <w:t xml:space="preserve"> </w:t>
      </w:r>
      <w:r w:rsidRPr="0039457F">
        <w:rPr>
          <w:rFonts w:cs="GHEA Grapalat"/>
          <w:b w:val="0"/>
          <w:szCs w:val="22"/>
          <w:lang w:val="hy-AM"/>
        </w:rPr>
        <w:t>դրամ</w:t>
      </w:r>
      <w:r w:rsidRPr="0039457F">
        <w:rPr>
          <w:b w:val="0"/>
          <w:bCs/>
          <w:iCs/>
          <w:szCs w:val="22"/>
          <w:lang w:val="hy-AM"/>
        </w:rPr>
        <w:t>.</w:t>
      </w:r>
    </w:p>
    <w:p w14:paraId="381068BE" w14:textId="77777777" w:rsidR="001A149E" w:rsidRPr="0039457F" w:rsidRDefault="001A149E" w:rsidP="00AC1E1E">
      <w:pPr>
        <w:widowControl w:val="0"/>
        <w:rPr>
          <w:rFonts w:cs="Sylfaen"/>
          <w:b w:val="0"/>
          <w:szCs w:val="22"/>
          <w:lang w:val="af-ZA"/>
        </w:rPr>
      </w:pPr>
      <w:r w:rsidRPr="0039457F">
        <w:rPr>
          <w:rFonts w:cs="Sylfaen"/>
          <w:b w:val="0"/>
          <w:szCs w:val="22"/>
        </w:rPr>
        <w:t>Ծրագրի</w:t>
      </w:r>
      <w:r w:rsidRPr="0039457F">
        <w:rPr>
          <w:rFonts w:cs="Sylfaen"/>
          <w:b w:val="0"/>
          <w:szCs w:val="22"/>
          <w:lang w:val="af-ZA"/>
        </w:rPr>
        <w:t xml:space="preserve"> </w:t>
      </w:r>
      <w:r w:rsidRPr="0039457F">
        <w:rPr>
          <w:rFonts w:cs="Sylfaen"/>
          <w:b w:val="0"/>
          <w:szCs w:val="22"/>
        </w:rPr>
        <w:t>նպատակն</w:t>
      </w:r>
      <w:r w:rsidRPr="0039457F">
        <w:rPr>
          <w:rFonts w:cs="Sylfaen"/>
          <w:b w:val="0"/>
          <w:szCs w:val="22"/>
          <w:lang w:val="af-ZA"/>
        </w:rPr>
        <w:t xml:space="preserve"> </w:t>
      </w:r>
      <w:r w:rsidRPr="0039457F">
        <w:rPr>
          <w:rFonts w:cs="Sylfaen"/>
          <w:b w:val="0"/>
          <w:szCs w:val="22"/>
        </w:rPr>
        <w:t>է</w:t>
      </w:r>
      <w:r w:rsidRPr="0039457F">
        <w:rPr>
          <w:rFonts w:cs="Sylfaen"/>
          <w:b w:val="0"/>
          <w:szCs w:val="22"/>
          <w:lang w:val="af-ZA"/>
        </w:rPr>
        <w:t xml:space="preserve"> </w:t>
      </w:r>
      <w:r w:rsidRPr="0039457F">
        <w:rPr>
          <w:rFonts w:cs="Sylfaen"/>
          <w:b w:val="0"/>
          <w:szCs w:val="22"/>
        </w:rPr>
        <w:t>տարածքային</w:t>
      </w:r>
      <w:r w:rsidRPr="0039457F">
        <w:rPr>
          <w:rFonts w:cs="Sylfaen"/>
          <w:b w:val="0"/>
          <w:szCs w:val="22"/>
          <w:lang w:val="af-ZA"/>
        </w:rPr>
        <w:t xml:space="preserve"> </w:t>
      </w:r>
      <w:r w:rsidRPr="0039457F">
        <w:rPr>
          <w:rFonts w:cs="Sylfaen"/>
          <w:b w:val="0"/>
          <w:szCs w:val="22"/>
        </w:rPr>
        <w:t>կառավարման</w:t>
      </w:r>
      <w:r w:rsidRPr="0039457F">
        <w:rPr>
          <w:rFonts w:cs="Sylfaen"/>
          <w:b w:val="0"/>
          <w:szCs w:val="22"/>
          <w:lang w:val="af-ZA"/>
        </w:rPr>
        <w:t xml:space="preserve"> </w:t>
      </w:r>
      <w:r w:rsidRPr="0039457F">
        <w:rPr>
          <w:rFonts w:cs="Sylfaen"/>
          <w:b w:val="0"/>
          <w:szCs w:val="22"/>
        </w:rPr>
        <w:t>և</w:t>
      </w:r>
      <w:r w:rsidRPr="0039457F">
        <w:rPr>
          <w:rFonts w:cs="Sylfaen"/>
          <w:b w:val="0"/>
          <w:szCs w:val="22"/>
          <w:lang w:val="af-ZA"/>
        </w:rPr>
        <w:t xml:space="preserve"> </w:t>
      </w:r>
      <w:r w:rsidRPr="0039457F">
        <w:rPr>
          <w:rFonts w:cs="Sylfaen"/>
          <w:b w:val="0"/>
          <w:szCs w:val="22"/>
          <w:lang w:val="hy-AM"/>
        </w:rPr>
        <w:t>ՏԻՄ-երի</w:t>
      </w:r>
      <w:r w:rsidRPr="0039457F">
        <w:rPr>
          <w:rFonts w:cs="Sylfaen"/>
          <w:b w:val="0"/>
          <w:szCs w:val="22"/>
          <w:lang w:val="af-ZA"/>
        </w:rPr>
        <w:t xml:space="preserve">, </w:t>
      </w:r>
      <w:r w:rsidRPr="0039457F">
        <w:rPr>
          <w:rFonts w:cs="Sylfaen"/>
          <w:b w:val="0"/>
          <w:szCs w:val="22"/>
        </w:rPr>
        <w:t>ինչպես</w:t>
      </w:r>
      <w:r w:rsidRPr="0039457F">
        <w:rPr>
          <w:rFonts w:cs="Sylfaen"/>
          <w:b w:val="0"/>
          <w:szCs w:val="22"/>
          <w:lang w:val="af-ZA"/>
        </w:rPr>
        <w:t xml:space="preserve"> </w:t>
      </w:r>
      <w:r w:rsidRPr="0039457F">
        <w:rPr>
          <w:rFonts w:cs="Sylfaen"/>
          <w:b w:val="0"/>
          <w:szCs w:val="22"/>
        </w:rPr>
        <w:t>նաև</w:t>
      </w:r>
      <w:r w:rsidRPr="0039457F">
        <w:rPr>
          <w:rFonts w:cs="Sylfaen"/>
          <w:b w:val="0"/>
          <w:szCs w:val="22"/>
          <w:lang w:val="af-ZA"/>
        </w:rPr>
        <w:t xml:space="preserve"> </w:t>
      </w:r>
      <w:r w:rsidRPr="0039457F">
        <w:rPr>
          <w:rFonts w:cs="Sylfaen"/>
          <w:b w:val="0"/>
          <w:szCs w:val="22"/>
        </w:rPr>
        <w:t>համայնքային</w:t>
      </w:r>
      <w:r w:rsidRPr="0039457F">
        <w:rPr>
          <w:rFonts w:cs="Sylfaen"/>
          <w:b w:val="0"/>
          <w:szCs w:val="22"/>
          <w:lang w:val="af-ZA"/>
        </w:rPr>
        <w:t xml:space="preserve"> </w:t>
      </w:r>
      <w:r w:rsidRPr="0039457F">
        <w:rPr>
          <w:rFonts w:cs="Sylfaen"/>
          <w:b w:val="0"/>
          <w:szCs w:val="22"/>
        </w:rPr>
        <w:lastRenderedPageBreak/>
        <w:t>ծառայողների</w:t>
      </w:r>
      <w:r w:rsidRPr="0039457F">
        <w:rPr>
          <w:rFonts w:cs="Sylfaen"/>
          <w:b w:val="0"/>
          <w:szCs w:val="22"/>
          <w:lang w:val="af-ZA"/>
        </w:rPr>
        <w:t xml:space="preserve"> </w:t>
      </w:r>
      <w:r w:rsidRPr="0039457F">
        <w:rPr>
          <w:rFonts w:cs="Sylfaen"/>
          <w:b w:val="0"/>
          <w:szCs w:val="22"/>
        </w:rPr>
        <w:t>աշխատանքի</w:t>
      </w:r>
      <w:r w:rsidRPr="0039457F">
        <w:rPr>
          <w:rFonts w:cs="Sylfaen"/>
          <w:b w:val="0"/>
          <w:szCs w:val="22"/>
          <w:lang w:val="af-ZA"/>
        </w:rPr>
        <w:t xml:space="preserve"> </w:t>
      </w:r>
      <w:r w:rsidRPr="0039457F">
        <w:rPr>
          <w:rFonts w:cs="Sylfaen"/>
          <w:b w:val="0"/>
          <w:szCs w:val="22"/>
        </w:rPr>
        <w:t>արդյունավետության</w:t>
      </w:r>
      <w:r w:rsidRPr="0039457F">
        <w:rPr>
          <w:rFonts w:cs="Sylfaen"/>
          <w:b w:val="0"/>
          <w:szCs w:val="22"/>
          <w:lang w:val="af-ZA"/>
        </w:rPr>
        <w:t xml:space="preserve"> </w:t>
      </w:r>
      <w:r w:rsidRPr="0039457F">
        <w:rPr>
          <w:rFonts w:cs="Sylfaen"/>
          <w:b w:val="0"/>
          <w:szCs w:val="22"/>
        </w:rPr>
        <w:t>բարելավումը</w:t>
      </w:r>
      <w:r w:rsidRPr="0039457F">
        <w:rPr>
          <w:rFonts w:cs="Sylfaen"/>
          <w:b w:val="0"/>
          <w:szCs w:val="22"/>
          <w:lang w:val="af-ZA"/>
        </w:rPr>
        <w:t>:</w:t>
      </w:r>
    </w:p>
    <w:p w14:paraId="688F0D00" w14:textId="77777777" w:rsidR="001A149E" w:rsidRPr="0039457F" w:rsidRDefault="001A149E" w:rsidP="00AC1E1E">
      <w:pPr>
        <w:widowControl w:val="0"/>
        <w:rPr>
          <w:rFonts w:cs="Sylfaen"/>
          <w:b w:val="0"/>
          <w:szCs w:val="22"/>
          <w:lang w:val="af-ZA"/>
        </w:rPr>
      </w:pPr>
      <w:r w:rsidRPr="0039457F">
        <w:rPr>
          <w:rFonts w:cs="Sylfaen"/>
          <w:b w:val="0"/>
          <w:szCs w:val="22"/>
        </w:rPr>
        <w:t>Միջոցառմամբ</w:t>
      </w:r>
      <w:r w:rsidRPr="0039457F">
        <w:rPr>
          <w:rFonts w:cs="Sylfaen"/>
          <w:b w:val="0"/>
          <w:szCs w:val="22"/>
          <w:lang w:val="af-ZA"/>
        </w:rPr>
        <w:t xml:space="preserve"> </w:t>
      </w:r>
      <w:r w:rsidRPr="0039457F">
        <w:rPr>
          <w:rFonts w:cs="Sylfaen"/>
          <w:b w:val="0"/>
          <w:szCs w:val="22"/>
        </w:rPr>
        <w:t>նախատեսվում</w:t>
      </w:r>
      <w:r w:rsidRPr="0039457F">
        <w:rPr>
          <w:rFonts w:cs="Sylfaen"/>
          <w:b w:val="0"/>
          <w:szCs w:val="22"/>
          <w:lang w:val="af-ZA"/>
        </w:rPr>
        <w:t xml:space="preserve"> </w:t>
      </w:r>
      <w:r w:rsidRPr="0039457F">
        <w:rPr>
          <w:rFonts w:cs="Sylfaen"/>
          <w:b w:val="0"/>
          <w:szCs w:val="22"/>
        </w:rPr>
        <w:t>է</w:t>
      </w:r>
      <w:r w:rsidRPr="0039457F">
        <w:rPr>
          <w:rFonts w:cs="Sylfaen"/>
          <w:b w:val="0"/>
          <w:szCs w:val="22"/>
          <w:lang w:val="af-ZA"/>
        </w:rPr>
        <w:t xml:space="preserve"> </w:t>
      </w:r>
      <w:r w:rsidRPr="0039457F">
        <w:rPr>
          <w:rFonts w:cs="Sylfaen"/>
          <w:b w:val="0"/>
          <w:szCs w:val="22"/>
        </w:rPr>
        <w:t>իրականացնել</w:t>
      </w:r>
      <w:r w:rsidRPr="0039457F">
        <w:rPr>
          <w:rFonts w:cs="Sylfaen"/>
          <w:b w:val="0"/>
          <w:szCs w:val="22"/>
          <w:lang w:val="af-ZA"/>
        </w:rPr>
        <w:t xml:space="preserve"> </w:t>
      </w:r>
      <w:r w:rsidRPr="0039457F">
        <w:rPr>
          <w:rFonts w:cs="Sylfaen"/>
          <w:b w:val="0"/>
          <w:szCs w:val="22"/>
        </w:rPr>
        <w:t>համայնքային</w:t>
      </w:r>
      <w:r w:rsidRPr="0039457F">
        <w:rPr>
          <w:rFonts w:cs="Sylfaen"/>
          <w:b w:val="0"/>
          <w:szCs w:val="22"/>
          <w:lang w:val="af-ZA"/>
        </w:rPr>
        <w:t xml:space="preserve"> </w:t>
      </w:r>
      <w:r w:rsidRPr="0039457F">
        <w:rPr>
          <w:rFonts w:cs="Sylfaen"/>
          <w:b w:val="0"/>
          <w:szCs w:val="22"/>
        </w:rPr>
        <w:t>ծառայողների</w:t>
      </w:r>
      <w:r w:rsidRPr="0039457F">
        <w:rPr>
          <w:rFonts w:cs="Sylfaen"/>
          <w:b w:val="0"/>
          <w:szCs w:val="22"/>
          <w:lang w:val="af-ZA"/>
        </w:rPr>
        <w:t xml:space="preserve">, </w:t>
      </w:r>
      <w:r w:rsidRPr="0039457F">
        <w:rPr>
          <w:rFonts w:cs="Sylfaen"/>
          <w:b w:val="0"/>
          <w:szCs w:val="22"/>
        </w:rPr>
        <w:t>տեղական</w:t>
      </w:r>
      <w:r w:rsidRPr="0039457F">
        <w:rPr>
          <w:rFonts w:cs="Sylfaen"/>
          <w:b w:val="0"/>
          <w:szCs w:val="22"/>
          <w:lang w:val="af-ZA"/>
        </w:rPr>
        <w:t xml:space="preserve"> </w:t>
      </w:r>
      <w:r w:rsidRPr="0039457F">
        <w:rPr>
          <w:rFonts w:cs="Sylfaen"/>
          <w:b w:val="0"/>
          <w:szCs w:val="22"/>
        </w:rPr>
        <w:t>ինքնակառավարման</w:t>
      </w:r>
      <w:r w:rsidRPr="0039457F">
        <w:rPr>
          <w:rFonts w:cs="Sylfaen"/>
          <w:b w:val="0"/>
          <w:szCs w:val="22"/>
          <w:lang w:val="af-ZA"/>
        </w:rPr>
        <w:t xml:space="preserve"> </w:t>
      </w:r>
      <w:r w:rsidRPr="0039457F">
        <w:rPr>
          <w:rFonts w:cs="Sylfaen"/>
          <w:b w:val="0"/>
          <w:szCs w:val="22"/>
        </w:rPr>
        <w:t>և</w:t>
      </w:r>
      <w:r w:rsidRPr="0039457F">
        <w:rPr>
          <w:rFonts w:cs="Sylfaen"/>
          <w:b w:val="0"/>
          <w:szCs w:val="22"/>
          <w:lang w:val="af-ZA"/>
        </w:rPr>
        <w:t xml:space="preserve"> </w:t>
      </w:r>
      <w:r w:rsidRPr="0039457F">
        <w:rPr>
          <w:rFonts w:cs="Sylfaen"/>
          <w:b w:val="0"/>
          <w:szCs w:val="22"/>
        </w:rPr>
        <w:t>տարածքային</w:t>
      </w:r>
      <w:r w:rsidRPr="0039457F">
        <w:rPr>
          <w:rFonts w:cs="Sylfaen"/>
          <w:b w:val="0"/>
          <w:szCs w:val="22"/>
          <w:lang w:val="af-ZA"/>
        </w:rPr>
        <w:t xml:space="preserve"> </w:t>
      </w:r>
      <w:r w:rsidRPr="0039457F">
        <w:rPr>
          <w:rFonts w:cs="Sylfaen"/>
          <w:b w:val="0"/>
          <w:szCs w:val="22"/>
        </w:rPr>
        <w:t>կառավարման</w:t>
      </w:r>
      <w:r w:rsidRPr="0039457F">
        <w:rPr>
          <w:rFonts w:cs="Sylfaen"/>
          <w:b w:val="0"/>
          <w:szCs w:val="22"/>
          <w:lang w:val="af-ZA"/>
        </w:rPr>
        <w:t xml:space="preserve"> </w:t>
      </w:r>
      <w:r w:rsidRPr="0039457F">
        <w:rPr>
          <w:rFonts w:cs="Sylfaen"/>
          <w:b w:val="0"/>
          <w:szCs w:val="22"/>
        </w:rPr>
        <w:t>մարմիններ</w:t>
      </w:r>
      <w:r w:rsidRPr="0039457F">
        <w:rPr>
          <w:rFonts w:cs="Sylfaen"/>
          <w:b w:val="0"/>
          <w:szCs w:val="22"/>
          <w:lang w:val="af-ZA"/>
        </w:rPr>
        <w:t xml:space="preserve"> 1050 </w:t>
      </w:r>
      <w:r w:rsidRPr="0039457F">
        <w:rPr>
          <w:rFonts w:cs="Sylfaen"/>
          <w:b w:val="0"/>
          <w:szCs w:val="22"/>
        </w:rPr>
        <w:t>աշխատակիցների</w:t>
      </w:r>
      <w:r w:rsidRPr="0039457F">
        <w:rPr>
          <w:rFonts w:cs="Sylfaen"/>
          <w:b w:val="0"/>
          <w:szCs w:val="22"/>
          <w:lang w:val="af-ZA"/>
        </w:rPr>
        <w:t xml:space="preserve"> </w:t>
      </w:r>
      <w:r w:rsidRPr="0039457F">
        <w:rPr>
          <w:rFonts w:cs="Sylfaen"/>
          <w:b w:val="0"/>
          <w:szCs w:val="22"/>
        </w:rPr>
        <w:t>վերապատրաստում</w:t>
      </w:r>
      <w:r w:rsidRPr="0039457F">
        <w:rPr>
          <w:rFonts w:cs="Sylfaen"/>
          <w:b w:val="0"/>
          <w:szCs w:val="22"/>
          <w:lang w:val="af-ZA"/>
        </w:rPr>
        <w:t>:</w:t>
      </w:r>
    </w:p>
    <w:p w14:paraId="52F299E2" w14:textId="77777777" w:rsidR="001A149E" w:rsidRPr="0039457F" w:rsidRDefault="001A149E" w:rsidP="00AC1E1E">
      <w:pPr>
        <w:widowControl w:val="0"/>
        <w:shd w:val="clear" w:color="auto" w:fill="FFFFFF"/>
        <w:rPr>
          <w:rFonts w:cs="Sylfaen"/>
          <w:b w:val="0"/>
          <w:color w:val="000000"/>
          <w:szCs w:val="22"/>
          <w:lang w:val="af-ZA"/>
        </w:rPr>
      </w:pPr>
      <w:r w:rsidRPr="0039457F">
        <w:rPr>
          <w:rFonts w:cs="Sylfaen"/>
          <w:color w:val="000000"/>
          <w:szCs w:val="22"/>
          <w:lang w:val="hy-AM"/>
        </w:rPr>
        <w:t xml:space="preserve">Կոշտ թափոնների կառավարում </w:t>
      </w:r>
      <w:r w:rsidRPr="0039457F">
        <w:rPr>
          <w:b w:val="0"/>
          <w:bCs/>
          <w:iCs/>
          <w:color w:val="000000"/>
          <w:szCs w:val="22"/>
          <w:lang w:val="hy-AM"/>
        </w:rPr>
        <w:t xml:space="preserve">ծրագրի </w:t>
      </w:r>
      <w:r w:rsidRPr="0039457F">
        <w:rPr>
          <w:rFonts w:cs="Sylfaen"/>
          <w:b w:val="0"/>
          <w:color w:val="000000"/>
          <w:szCs w:val="22"/>
          <w:lang w:val="hy-AM"/>
        </w:rPr>
        <w:t>գծով 2024 թվականին նախատեսվել է 2,</w:t>
      </w:r>
      <w:r w:rsidRPr="0039457F">
        <w:rPr>
          <w:rFonts w:cs="Sylfaen"/>
          <w:b w:val="0"/>
          <w:color w:val="000000"/>
          <w:szCs w:val="22"/>
          <w:lang w:val="af-ZA"/>
        </w:rPr>
        <w:t>4</w:t>
      </w:r>
      <w:r w:rsidR="004F3CA3">
        <w:rPr>
          <w:rFonts w:cs="Sylfaen"/>
          <w:b w:val="0"/>
          <w:color w:val="000000"/>
          <w:szCs w:val="22"/>
          <w:lang w:val="hy-AM"/>
        </w:rPr>
        <w:t>44</w:t>
      </w:r>
      <w:r w:rsidRPr="0039457F">
        <w:rPr>
          <w:rFonts w:cs="Sylfaen"/>
          <w:b w:val="0"/>
          <w:color w:val="000000"/>
          <w:szCs w:val="22"/>
          <w:lang w:val="hy-AM"/>
        </w:rPr>
        <w:t>.</w:t>
      </w:r>
      <w:r w:rsidR="004F3CA3">
        <w:rPr>
          <w:rFonts w:cs="Sylfaen"/>
          <w:b w:val="0"/>
          <w:color w:val="000000"/>
          <w:szCs w:val="22"/>
          <w:lang w:val="hy-AM"/>
        </w:rPr>
        <w:t>1</w:t>
      </w:r>
      <w:r w:rsidRPr="0039457F">
        <w:rPr>
          <w:rFonts w:cs="Sylfaen"/>
          <w:b w:val="0"/>
          <w:color w:val="000000"/>
          <w:szCs w:val="22"/>
          <w:lang w:val="hy-AM"/>
        </w:rPr>
        <w:t xml:space="preserve"> մլն </w:t>
      </w:r>
      <w:r w:rsidRPr="0039457F">
        <w:rPr>
          <w:rFonts w:cs="GHEA Grapalat"/>
          <w:b w:val="0"/>
          <w:color w:val="000000"/>
          <w:szCs w:val="22"/>
          <w:lang w:val="hy-AM"/>
        </w:rPr>
        <w:t>դրամ</w:t>
      </w:r>
      <w:r w:rsidRPr="0039457F">
        <w:rPr>
          <w:b w:val="0"/>
          <w:bCs/>
          <w:iCs/>
          <w:color w:val="000000"/>
          <w:szCs w:val="22"/>
          <w:lang w:val="hy-AM"/>
        </w:rPr>
        <w:t>.</w:t>
      </w:r>
    </w:p>
    <w:p w14:paraId="4006479F" w14:textId="77777777" w:rsidR="001A149E" w:rsidRPr="0039457F" w:rsidRDefault="001A149E" w:rsidP="00AC1E1E">
      <w:pPr>
        <w:widowControl w:val="0"/>
        <w:shd w:val="clear" w:color="auto" w:fill="FFFFFF"/>
        <w:rPr>
          <w:rFonts w:cs="Sylfaen"/>
          <w:b w:val="0"/>
          <w:color w:val="000000"/>
          <w:szCs w:val="22"/>
          <w:lang w:val="hy-AM"/>
        </w:rPr>
      </w:pPr>
      <w:r w:rsidRPr="0039457F">
        <w:rPr>
          <w:rFonts w:cs="Sylfaen"/>
          <w:b w:val="0"/>
          <w:color w:val="000000"/>
          <w:szCs w:val="22"/>
        </w:rPr>
        <w:t>Ծրագրի</w:t>
      </w:r>
      <w:r w:rsidRPr="0039457F">
        <w:rPr>
          <w:rFonts w:cs="Sylfaen"/>
          <w:b w:val="0"/>
          <w:color w:val="000000"/>
          <w:szCs w:val="22"/>
          <w:lang w:val="af-ZA"/>
        </w:rPr>
        <w:t xml:space="preserve"> </w:t>
      </w:r>
      <w:r w:rsidRPr="0039457F">
        <w:rPr>
          <w:rFonts w:cs="Sylfaen"/>
          <w:b w:val="0"/>
          <w:color w:val="000000"/>
          <w:szCs w:val="22"/>
        </w:rPr>
        <w:t>նպատակն</w:t>
      </w:r>
      <w:r w:rsidRPr="0039457F">
        <w:rPr>
          <w:rFonts w:cs="Sylfaen"/>
          <w:b w:val="0"/>
          <w:color w:val="000000"/>
          <w:szCs w:val="22"/>
          <w:lang w:val="af-ZA"/>
        </w:rPr>
        <w:t xml:space="preserve"> </w:t>
      </w:r>
      <w:r w:rsidRPr="0039457F">
        <w:rPr>
          <w:rFonts w:cs="Sylfaen"/>
          <w:b w:val="0"/>
          <w:color w:val="000000"/>
          <w:szCs w:val="22"/>
        </w:rPr>
        <w:t>է</w:t>
      </w:r>
      <w:r w:rsidRPr="0039457F">
        <w:rPr>
          <w:rFonts w:cs="Sylfaen"/>
          <w:b w:val="0"/>
          <w:color w:val="000000"/>
          <w:szCs w:val="22"/>
          <w:lang w:val="af-ZA"/>
        </w:rPr>
        <w:t xml:space="preserve"> </w:t>
      </w:r>
      <w:r w:rsidRPr="0039457F">
        <w:rPr>
          <w:rFonts w:cs="Sylfaen"/>
          <w:b w:val="0"/>
          <w:color w:val="000000"/>
          <w:szCs w:val="22"/>
        </w:rPr>
        <w:t>կենցաղային</w:t>
      </w:r>
      <w:r w:rsidRPr="0039457F">
        <w:rPr>
          <w:rFonts w:cs="Sylfaen"/>
          <w:b w:val="0"/>
          <w:color w:val="000000"/>
          <w:szCs w:val="22"/>
          <w:lang w:val="af-ZA"/>
        </w:rPr>
        <w:t xml:space="preserve"> </w:t>
      </w:r>
      <w:r w:rsidRPr="0039457F">
        <w:rPr>
          <w:rFonts w:cs="Sylfaen"/>
          <w:b w:val="0"/>
          <w:color w:val="000000"/>
          <w:szCs w:val="22"/>
        </w:rPr>
        <w:t>թափոնների</w:t>
      </w:r>
      <w:r w:rsidRPr="0039457F">
        <w:rPr>
          <w:rFonts w:cs="Sylfaen"/>
          <w:b w:val="0"/>
          <w:color w:val="000000"/>
          <w:szCs w:val="22"/>
          <w:lang w:val="af-ZA"/>
        </w:rPr>
        <w:t xml:space="preserve"> </w:t>
      </w:r>
      <w:r w:rsidRPr="0039457F">
        <w:rPr>
          <w:rFonts w:cs="Sylfaen"/>
          <w:b w:val="0"/>
          <w:color w:val="000000"/>
          <w:szCs w:val="22"/>
        </w:rPr>
        <w:t>արդյունավետ</w:t>
      </w:r>
      <w:r w:rsidRPr="0039457F">
        <w:rPr>
          <w:rFonts w:cs="Sylfaen"/>
          <w:b w:val="0"/>
          <w:color w:val="000000"/>
          <w:szCs w:val="22"/>
          <w:lang w:val="af-ZA"/>
        </w:rPr>
        <w:t xml:space="preserve"> </w:t>
      </w:r>
      <w:r w:rsidRPr="0039457F">
        <w:rPr>
          <w:rFonts w:cs="Sylfaen"/>
          <w:b w:val="0"/>
          <w:color w:val="000000"/>
          <w:szCs w:val="22"/>
        </w:rPr>
        <w:t>կառավարումը</w:t>
      </w:r>
      <w:r w:rsidRPr="0039457F">
        <w:rPr>
          <w:rFonts w:cs="Sylfaen"/>
          <w:b w:val="0"/>
          <w:color w:val="000000"/>
          <w:szCs w:val="22"/>
          <w:lang w:val="af-ZA"/>
        </w:rPr>
        <w:t xml:space="preserve">, </w:t>
      </w:r>
      <w:r w:rsidRPr="0039457F">
        <w:rPr>
          <w:rFonts w:cs="Sylfaen"/>
          <w:b w:val="0"/>
          <w:color w:val="000000"/>
          <w:szCs w:val="22"/>
        </w:rPr>
        <w:t>սոցիալական</w:t>
      </w:r>
      <w:r w:rsidRPr="0039457F">
        <w:rPr>
          <w:rFonts w:cs="Sylfaen"/>
          <w:b w:val="0"/>
          <w:color w:val="000000"/>
          <w:szCs w:val="22"/>
          <w:lang w:val="af-ZA"/>
        </w:rPr>
        <w:t xml:space="preserve"> </w:t>
      </w:r>
      <w:r w:rsidRPr="0039457F">
        <w:rPr>
          <w:rFonts w:cs="Sylfaen"/>
          <w:b w:val="0"/>
          <w:color w:val="000000"/>
          <w:szCs w:val="22"/>
        </w:rPr>
        <w:t>և</w:t>
      </w:r>
      <w:r w:rsidRPr="0039457F">
        <w:rPr>
          <w:rFonts w:cs="Sylfaen"/>
          <w:b w:val="0"/>
          <w:color w:val="000000"/>
          <w:szCs w:val="22"/>
          <w:lang w:val="af-ZA"/>
        </w:rPr>
        <w:t xml:space="preserve"> </w:t>
      </w:r>
      <w:r w:rsidRPr="0039457F">
        <w:rPr>
          <w:rFonts w:cs="Sylfaen"/>
          <w:b w:val="0"/>
          <w:color w:val="000000"/>
          <w:szCs w:val="22"/>
        </w:rPr>
        <w:t>բնապահպանական</w:t>
      </w:r>
      <w:r w:rsidRPr="0039457F">
        <w:rPr>
          <w:rFonts w:cs="Sylfaen"/>
          <w:b w:val="0"/>
          <w:color w:val="000000"/>
          <w:szCs w:val="22"/>
          <w:lang w:val="af-ZA"/>
        </w:rPr>
        <w:t xml:space="preserve"> </w:t>
      </w:r>
      <w:r w:rsidRPr="0039457F">
        <w:rPr>
          <w:rFonts w:cs="Sylfaen"/>
          <w:b w:val="0"/>
          <w:color w:val="000000"/>
          <w:szCs w:val="22"/>
        </w:rPr>
        <w:t>խնդիրների</w:t>
      </w:r>
      <w:r w:rsidRPr="0039457F">
        <w:rPr>
          <w:rFonts w:cs="Sylfaen"/>
          <w:b w:val="0"/>
          <w:color w:val="000000"/>
          <w:szCs w:val="22"/>
          <w:lang w:val="af-ZA"/>
        </w:rPr>
        <w:t xml:space="preserve"> </w:t>
      </w:r>
      <w:r w:rsidRPr="0039457F">
        <w:rPr>
          <w:rFonts w:cs="Sylfaen"/>
          <w:b w:val="0"/>
          <w:color w:val="000000"/>
          <w:szCs w:val="22"/>
        </w:rPr>
        <w:t>լուծումը</w:t>
      </w:r>
      <w:r w:rsidRPr="0039457F">
        <w:rPr>
          <w:rFonts w:cs="Sylfaen"/>
          <w:b w:val="0"/>
          <w:color w:val="000000"/>
          <w:szCs w:val="22"/>
          <w:lang w:val="hy-AM"/>
        </w:rPr>
        <w:t>, մասնավորապես բարելավել հանրապետությունում աղբահանության և սանիտարական մաքրման համակարգը, ինչպես նաև նպաստել հանրապետությունում ԿԿԹ-ի արդյունավետ կառավարմանը:</w:t>
      </w:r>
    </w:p>
    <w:p w14:paraId="4BF67468" w14:textId="77777777" w:rsidR="001A149E" w:rsidRPr="0039457F" w:rsidRDefault="001A149E" w:rsidP="00AC1E1E">
      <w:pPr>
        <w:widowControl w:val="0"/>
        <w:shd w:val="clear" w:color="auto" w:fill="FFFFFF"/>
        <w:rPr>
          <w:b w:val="0"/>
          <w:color w:val="000000"/>
          <w:szCs w:val="22"/>
          <w:lang w:val="hy-AM"/>
        </w:rPr>
      </w:pPr>
      <w:r w:rsidRPr="0039457F">
        <w:rPr>
          <w:b w:val="0"/>
          <w:bCs/>
          <w:color w:val="000000"/>
          <w:szCs w:val="22"/>
          <w:lang w:val="hy-AM"/>
        </w:rPr>
        <w:t xml:space="preserve">Ծրագրով նախատեսվում է բարելավել 2 մարզերի աղբահանության համակարգը և կառուցել ԵՄ չափանիշներին համապատասխան աղբավայր Հրազդան քաղաքում, ինչպես նաև </w:t>
      </w:r>
      <w:r w:rsidRPr="0039457F">
        <w:rPr>
          <w:b w:val="0"/>
          <w:color w:val="000000"/>
          <w:szCs w:val="22"/>
          <w:lang w:val="hy-AM"/>
        </w:rPr>
        <w:t xml:space="preserve">երկու մարզերում ներդնել ԵՄ չափանիշներին համապատասխան աղբահանության համակարգ, այդ թվում կառուցել 2 փոխաբեռնման կայան՝ Ակունք և Մարտունի համայնքներում, ձեռք բերել անհրաժեշտ տեխնիկա, աղբատար մեքենաներ, աղբամաններ։ </w:t>
      </w:r>
    </w:p>
    <w:p w14:paraId="48DC84DC" w14:textId="77777777" w:rsidR="001A149E" w:rsidRPr="0039457F" w:rsidRDefault="001A149E" w:rsidP="00AC1E1E">
      <w:pPr>
        <w:widowControl w:val="0"/>
        <w:shd w:val="clear" w:color="auto" w:fill="FFFFFF"/>
        <w:rPr>
          <w:rFonts w:eastAsia="Calibri"/>
          <w:b w:val="0"/>
          <w:color w:val="000000"/>
          <w:szCs w:val="22"/>
          <w:lang w:val="hy-AM" w:eastAsia="en-US"/>
        </w:rPr>
      </w:pPr>
      <w:r w:rsidRPr="0039457F">
        <w:rPr>
          <w:b w:val="0"/>
          <w:color w:val="000000"/>
          <w:szCs w:val="22"/>
          <w:lang w:val="hy-AM"/>
        </w:rPr>
        <w:t xml:space="preserve">Միաժամանակ միջազգային կազմակերպությունների կողմից վարկային և դրամաշնորհային միջոցների ֆինանսավորմամբ (քննարկման փուլում է) </w:t>
      </w:r>
      <w:r w:rsidRPr="0039457F">
        <w:rPr>
          <w:rFonts w:eastAsia="Calibri"/>
          <w:b w:val="0"/>
          <w:color w:val="000000"/>
          <w:szCs w:val="22"/>
          <w:lang w:val="hy-AM" w:eastAsia="en-US"/>
        </w:rPr>
        <w:t>նախատեսվում է 8 մարզերի աղբահանության և կոշտ թափոնների ինտեգրված համակարգի (4 սանիտարական աղբավայր, 16 փոխբեռնման կայան</w:t>
      </w:r>
      <w:r w:rsidRPr="0039457F">
        <w:rPr>
          <w:rFonts w:ascii="Calibri" w:eastAsia="Calibri" w:hAnsi="Calibri" w:cs="Calibri"/>
          <w:b w:val="0"/>
          <w:color w:val="000000"/>
          <w:szCs w:val="22"/>
          <w:lang w:val="hy-AM" w:eastAsia="en-US"/>
        </w:rPr>
        <w:t xml:space="preserve">) </w:t>
      </w:r>
      <w:r w:rsidRPr="0039457F">
        <w:rPr>
          <w:rFonts w:eastAsia="Calibri"/>
          <w:b w:val="0"/>
          <w:color w:val="000000"/>
          <w:szCs w:val="22"/>
          <w:lang w:val="hy-AM" w:eastAsia="en-US"/>
        </w:rPr>
        <w:t>ներդրման ծրագիր</w:t>
      </w:r>
    </w:p>
    <w:p w14:paraId="4EE1C5E9" w14:textId="77777777" w:rsidR="001A149E" w:rsidRPr="0039457F" w:rsidRDefault="001A149E" w:rsidP="00AC1E1E">
      <w:pPr>
        <w:widowControl w:val="0"/>
        <w:rPr>
          <w:rFonts w:cs="Sylfaen"/>
          <w:b w:val="0"/>
          <w:szCs w:val="22"/>
          <w:lang w:val="af-ZA"/>
        </w:rPr>
      </w:pPr>
      <w:r w:rsidRPr="0039457F">
        <w:rPr>
          <w:rFonts w:cs="Sylfaen"/>
          <w:szCs w:val="22"/>
          <w:lang w:val="hy-AM"/>
        </w:rPr>
        <w:t>Ճանապարհային</w:t>
      </w:r>
      <w:r w:rsidRPr="0039457F">
        <w:rPr>
          <w:rFonts w:cs="Sylfaen"/>
          <w:szCs w:val="22"/>
          <w:lang w:val="af-ZA"/>
        </w:rPr>
        <w:t xml:space="preserve"> </w:t>
      </w:r>
      <w:r w:rsidRPr="0039457F">
        <w:rPr>
          <w:rFonts w:cs="Sylfaen"/>
          <w:szCs w:val="22"/>
          <w:lang w:val="hy-AM"/>
        </w:rPr>
        <w:t>ցանցի</w:t>
      </w:r>
      <w:r w:rsidRPr="0039457F">
        <w:rPr>
          <w:rFonts w:cs="Sylfaen"/>
          <w:szCs w:val="22"/>
          <w:lang w:val="af-ZA"/>
        </w:rPr>
        <w:t xml:space="preserve"> </w:t>
      </w:r>
      <w:r w:rsidRPr="0039457F">
        <w:rPr>
          <w:rFonts w:cs="Sylfaen"/>
          <w:szCs w:val="22"/>
          <w:lang w:val="hy-AM"/>
        </w:rPr>
        <w:t>բարելավում</w:t>
      </w:r>
      <w:r w:rsidRPr="0039457F">
        <w:rPr>
          <w:rFonts w:cs="Sylfaen"/>
          <w:szCs w:val="22"/>
          <w:lang w:val="af-ZA"/>
        </w:rPr>
        <w:t xml:space="preserve"> </w:t>
      </w:r>
      <w:r w:rsidRPr="0039457F">
        <w:rPr>
          <w:b w:val="0"/>
          <w:bCs/>
          <w:iCs/>
          <w:szCs w:val="22"/>
          <w:lang w:val="hy-AM"/>
        </w:rPr>
        <w:t xml:space="preserve">ծրագրի </w:t>
      </w:r>
      <w:r w:rsidRPr="0039457F">
        <w:rPr>
          <w:rFonts w:cs="Sylfaen"/>
          <w:b w:val="0"/>
          <w:szCs w:val="22"/>
          <w:lang w:val="hy-AM"/>
        </w:rPr>
        <w:t>գծով 2024 թվականին նախատեսվել է 119,</w:t>
      </w:r>
      <w:r w:rsidR="004F3CA3">
        <w:rPr>
          <w:rFonts w:cs="Sylfaen"/>
          <w:b w:val="0"/>
          <w:szCs w:val="22"/>
          <w:lang w:val="hy-AM"/>
        </w:rPr>
        <w:t>530.1</w:t>
      </w:r>
      <w:r w:rsidRPr="0039457F">
        <w:rPr>
          <w:rFonts w:cs="Sylfaen"/>
          <w:b w:val="0"/>
          <w:szCs w:val="22"/>
          <w:lang w:val="hy-AM"/>
        </w:rPr>
        <w:t xml:space="preserve"> մլն </w:t>
      </w:r>
      <w:r w:rsidRPr="0039457F">
        <w:rPr>
          <w:rFonts w:cs="GHEA Grapalat"/>
          <w:b w:val="0"/>
          <w:szCs w:val="22"/>
          <w:lang w:val="hy-AM"/>
        </w:rPr>
        <w:t>դրամ</w:t>
      </w:r>
      <w:r w:rsidRPr="0039457F">
        <w:rPr>
          <w:b w:val="0"/>
          <w:bCs/>
          <w:iCs/>
          <w:szCs w:val="22"/>
          <w:lang w:val="hy-AM"/>
        </w:rPr>
        <w:t>.</w:t>
      </w:r>
    </w:p>
    <w:p w14:paraId="46725B41" w14:textId="77777777" w:rsidR="001A149E" w:rsidRPr="0039457F" w:rsidRDefault="001A149E" w:rsidP="00AC1E1E">
      <w:pPr>
        <w:widowControl w:val="0"/>
        <w:rPr>
          <w:rFonts w:cs="Sylfaen"/>
          <w:b w:val="0"/>
          <w:szCs w:val="22"/>
          <w:lang w:val="hy-AM"/>
        </w:rPr>
      </w:pPr>
      <w:r w:rsidRPr="0039457F">
        <w:rPr>
          <w:rFonts w:cs="Sylfaen"/>
          <w:b w:val="0"/>
          <w:szCs w:val="22"/>
          <w:lang w:val="hy-AM"/>
        </w:rPr>
        <w:t>Ծրագրի</w:t>
      </w:r>
      <w:r w:rsidRPr="0039457F">
        <w:rPr>
          <w:rFonts w:cs="Sylfaen"/>
          <w:b w:val="0"/>
          <w:szCs w:val="22"/>
          <w:lang w:val="af-ZA"/>
        </w:rPr>
        <w:t xml:space="preserve"> </w:t>
      </w:r>
      <w:r w:rsidRPr="0039457F">
        <w:rPr>
          <w:rFonts w:cs="Sylfaen"/>
          <w:b w:val="0"/>
          <w:szCs w:val="22"/>
          <w:lang w:val="hy-AM"/>
        </w:rPr>
        <w:t>նպատակն</w:t>
      </w:r>
      <w:r w:rsidRPr="0039457F">
        <w:rPr>
          <w:rFonts w:cs="Sylfaen"/>
          <w:b w:val="0"/>
          <w:szCs w:val="22"/>
          <w:lang w:val="af-ZA"/>
        </w:rPr>
        <w:t xml:space="preserve"> </w:t>
      </w:r>
      <w:r w:rsidRPr="0039457F">
        <w:rPr>
          <w:rFonts w:cs="Sylfaen"/>
          <w:b w:val="0"/>
          <w:szCs w:val="22"/>
          <w:lang w:val="hy-AM"/>
        </w:rPr>
        <w:t>է</w:t>
      </w:r>
      <w:r w:rsidRPr="0039457F">
        <w:rPr>
          <w:rFonts w:cs="Sylfaen"/>
          <w:b w:val="0"/>
          <w:szCs w:val="22"/>
          <w:lang w:val="af-ZA"/>
        </w:rPr>
        <w:t xml:space="preserve"> </w:t>
      </w:r>
      <w:r w:rsidRPr="0039457F">
        <w:rPr>
          <w:rFonts w:cs="Sylfaen"/>
          <w:b w:val="0"/>
          <w:szCs w:val="22"/>
          <w:lang w:val="hy-AM"/>
        </w:rPr>
        <w:t>ճանապարհային</w:t>
      </w:r>
      <w:r w:rsidRPr="0039457F">
        <w:rPr>
          <w:rFonts w:cs="Sylfaen"/>
          <w:b w:val="0"/>
          <w:szCs w:val="22"/>
          <w:lang w:val="af-ZA"/>
        </w:rPr>
        <w:t xml:space="preserve"> </w:t>
      </w:r>
      <w:r w:rsidRPr="0039457F">
        <w:rPr>
          <w:rFonts w:cs="Sylfaen"/>
          <w:b w:val="0"/>
          <w:szCs w:val="22"/>
          <w:lang w:val="hy-AM"/>
        </w:rPr>
        <w:t>ցանցի</w:t>
      </w:r>
      <w:r w:rsidRPr="0039457F">
        <w:rPr>
          <w:rFonts w:cs="Sylfaen"/>
          <w:b w:val="0"/>
          <w:szCs w:val="22"/>
          <w:lang w:val="af-ZA"/>
        </w:rPr>
        <w:t xml:space="preserve"> </w:t>
      </w:r>
      <w:r w:rsidRPr="0039457F">
        <w:rPr>
          <w:rFonts w:cs="Sylfaen"/>
          <w:b w:val="0"/>
          <w:szCs w:val="22"/>
          <w:lang w:val="hy-AM"/>
        </w:rPr>
        <w:t>բարելավումն</w:t>
      </w:r>
      <w:r w:rsidRPr="0039457F">
        <w:rPr>
          <w:rFonts w:cs="Sylfaen"/>
          <w:b w:val="0"/>
          <w:szCs w:val="22"/>
          <w:lang w:val="af-ZA"/>
        </w:rPr>
        <w:t xml:space="preserve"> </w:t>
      </w:r>
      <w:r w:rsidRPr="0039457F">
        <w:rPr>
          <w:rFonts w:cs="Sylfaen"/>
          <w:b w:val="0"/>
          <w:szCs w:val="22"/>
          <w:lang w:val="hy-AM"/>
        </w:rPr>
        <w:t>ու</w:t>
      </w:r>
      <w:r w:rsidRPr="0039457F">
        <w:rPr>
          <w:rFonts w:cs="Sylfaen"/>
          <w:b w:val="0"/>
          <w:szCs w:val="22"/>
          <w:lang w:val="af-ZA"/>
        </w:rPr>
        <w:t xml:space="preserve"> </w:t>
      </w:r>
      <w:r w:rsidRPr="0039457F">
        <w:rPr>
          <w:rFonts w:cs="Sylfaen"/>
          <w:b w:val="0"/>
          <w:szCs w:val="22"/>
          <w:lang w:val="hy-AM"/>
        </w:rPr>
        <w:t>անվտանգ</w:t>
      </w:r>
      <w:r w:rsidRPr="0039457F">
        <w:rPr>
          <w:rFonts w:cs="Sylfaen"/>
          <w:b w:val="0"/>
          <w:szCs w:val="22"/>
          <w:lang w:val="af-ZA"/>
        </w:rPr>
        <w:t xml:space="preserve"> </w:t>
      </w:r>
      <w:r w:rsidRPr="0039457F">
        <w:rPr>
          <w:rFonts w:cs="Sylfaen"/>
          <w:b w:val="0"/>
          <w:szCs w:val="22"/>
          <w:lang w:val="hy-AM"/>
        </w:rPr>
        <w:t>երթևեկության</w:t>
      </w:r>
      <w:r w:rsidRPr="0039457F">
        <w:rPr>
          <w:rFonts w:cs="Sylfaen"/>
          <w:b w:val="0"/>
          <w:szCs w:val="22"/>
          <w:lang w:val="af-ZA"/>
        </w:rPr>
        <w:t xml:space="preserve"> </w:t>
      </w:r>
      <w:r w:rsidRPr="0039457F">
        <w:rPr>
          <w:rFonts w:cs="Sylfaen"/>
          <w:b w:val="0"/>
          <w:szCs w:val="22"/>
          <w:lang w:val="hy-AM"/>
        </w:rPr>
        <w:t>ապահովումը</w:t>
      </w:r>
      <w:r w:rsidRPr="0039457F">
        <w:rPr>
          <w:rFonts w:cs="Sylfaen"/>
          <w:b w:val="0"/>
          <w:szCs w:val="22"/>
          <w:lang w:val="af-ZA"/>
        </w:rPr>
        <w:t xml:space="preserve">, </w:t>
      </w:r>
      <w:r w:rsidRPr="0039457F">
        <w:rPr>
          <w:rFonts w:cs="Sylfaen"/>
          <w:b w:val="0"/>
          <w:szCs w:val="22"/>
          <w:lang w:val="hy-AM"/>
        </w:rPr>
        <w:t>որի</w:t>
      </w:r>
      <w:r w:rsidRPr="0039457F">
        <w:rPr>
          <w:rFonts w:cs="Sylfaen"/>
          <w:b w:val="0"/>
          <w:szCs w:val="22"/>
          <w:lang w:val="af-ZA"/>
        </w:rPr>
        <w:t xml:space="preserve"> </w:t>
      </w:r>
      <w:r w:rsidRPr="0039457F">
        <w:rPr>
          <w:rFonts w:cs="Sylfaen"/>
          <w:b w:val="0"/>
          <w:szCs w:val="22"/>
          <w:lang w:val="hy-AM"/>
        </w:rPr>
        <w:t>շրջանակներում</w:t>
      </w:r>
      <w:r w:rsidRPr="0039457F">
        <w:rPr>
          <w:rFonts w:cs="Sylfaen"/>
          <w:b w:val="0"/>
          <w:szCs w:val="22"/>
          <w:lang w:val="af-ZA"/>
        </w:rPr>
        <w:t xml:space="preserve"> 202</w:t>
      </w:r>
      <w:r w:rsidRPr="0039457F">
        <w:rPr>
          <w:rFonts w:cs="Sylfaen"/>
          <w:b w:val="0"/>
          <w:szCs w:val="22"/>
          <w:lang w:val="hy-AM"/>
        </w:rPr>
        <w:t>4</w:t>
      </w:r>
      <w:r w:rsidRPr="0039457F">
        <w:rPr>
          <w:rFonts w:cs="Sylfaen"/>
          <w:b w:val="0"/>
          <w:szCs w:val="22"/>
          <w:lang w:val="af-ZA"/>
        </w:rPr>
        <w:t xml:space="preserve"> </w:t>
      </w:r>
      <w:r w:rsidRPr="0039457F">
        <w:rPr>
          <w:rFonts w:cs="Sylfaen"/>
          <w:b w:val="0"/>
          <w:szCs w:val="22"/>
          <w:lang w:val="hy-AM"/>
        </w:rPr>
        <w:t>թվականին</w:t>
      </w:r>
      <w:r w:rsidRPr="0039457F">
        <w:rPr>
          <w:rFonts w:cs="Sylfaen"/>
          <w:b w:val="0"/>
          <w:szCs w:val="22"/>
          <w:lang w:val="af-ZA"/>
        </w:rPr>
        <w:t xml:space="preserve"> </w:t>
      </w:r>
      <w:r w:rsidRPr="0039457F">
        <w:rPr>
          <w:rFonts w:cs="Sylfaen"/>
          <w:b w:val="0"/>
          <w:szCs w:val="22"/>
          <w:lang w:val="hy-AM"/>
        </w:rPr>
        <w:t>ակնկալվում</w:t>
      </w:r>
      <w:r w:rsidRPr="0039457F">
        <w:rPr>
          <w:rFonts w:cs="Sylfaen"/>
          <w:b w:val="0"/>
          <w:szCs w:val="22"/>
          <w:lang w:val="af-ZA"/>
        </w:rPr>
        <w:t xml:space="preserve"> </w:t>
      </w:r>
      <w:r w:rsidRPr="0039457F">
        <w:rPr>
          <w:rFonts w:cs="Sylfaen"/>
          <w:b w:val="0"/>
          <w:szCs w:val="22"/>
          <w:lang w:val="hy-AM"/>
        </w:rPr>
        <w:t>է</w:t>
      </w:r>
      <w:r w:rsidRPr="0039457F">
        <w:rPr>
          <w:rFonts w:cs="Sylfaen"/>
          <w:b w:val="0"/>
          <w:szCs w:val="22"/>
          <w:lang w:val="af-ZA"/>
        </w:rPr>
        <w:t xml:space="preserve"> </w:t>
      </w:r>
      <w:r w:rsidRPr="0039457F">
        <w:rPr>
          <w:rFonts w:cs="Sylfaen"/>
          <w:b w:val="0"/>
          <w:szCs w:val="22"/>
          <w:lang w:val="hy-AM"/>
        </w:rPr>
        <w:t>համայնքների</w:t>
      </w:r>
      <w:r w:rsidRPr="0039457F">
        <w:rPr>
          <w:rFonts w:cs="Sylfaen"/>
          <w:b w:val="0"/>
          <w:szCs w:val="22"/>
          <w:lang w:val="af-ZA"/>
        </w:rPr>
        <w:t xml:space="preserve"> </w:t>
      </w:r>
      <w:r w:rsidRPr="0039457F">
        <w:rPr>
          <w:rFonts w:cs="Sylfaen"/>
          <w:b w:val="0"/>
          <w:szCs w:val="22"/>
          <w:lang w:val="hy-AM"/>
        </w:rPr>
        <w:t>տրանսպորտային</w:t>
      </w:r>
      <w:r w:rsidRPr="0039457F">
        <w:rPr>
          <w:rFonts w:cs="Sylfaen"/>
          <w:b w:val="0"/>
          <w:szCs w:val="22"/>
          <w:lang w:val="af-ZA"/>
        </w:rPr>
        <w:t xml:space="preserve"> </w:t>
      </w:r>
      <w:r w:rsidRPr="0039457F">
        <w:rPr>
          <w:rFonts w:cs="Sylfaen"/>
          <w:b w:val="0"/>
          <w:szCs w:val="22"/>
          <w:lang w:val="hy-AM"/>
        </w:rPr>
        <w:t>կապի</w:t>
      </w:r>
      <w:r w:rsidRPr="0039457F">
        <w:rPr>
          <w:rFonts w:cs="Sylfaen"/>
          <w:b w:val="0"/>
          <w:szCs w:val="22"/>
          <w:lang w:val="af-ZA"/>
        </w:rPr>
        <w:t xml:space="preserve"> </w:t>
      </w:r>
      <w:r w:rsidRPr="0039457F">
        <w:rPr>
          <w:rFonts w:cs="Sylfaen"/>
          <w:b w:val="0"/>
          <w:szCs w:val="22"/>
          <w:lang w:val="hy-AM"/>
        </w:rPr>
        <w:t>ցուցանիշի</w:t>
      </w:r>
      <w:r w:rsidRPr="0039457F">
        <w:rPr>
          <w:rFonts w:cs="Sylfaen"/>
          <w:b w:val="0"/>
          <w:szCs w:val="22"/>
          <w:lang w:val="af-ZA"/>
        </w:rPr>
        <w:t xml:space="preserve"> (</w:t>
      </w:r>
      <w:r w:rsidRPr="0039457F">
        <w:rPr>
          <w:rFonts w:cs="Sylfaen"/>
          <w:b w:val="0"/>
          <w:szCs w:val="22"/>
          <w:lang w:val="hy-AM"/>
        </w:rPr>
        <w:t>հիմնական</w:t>
      </w:r>
      <w:r w:rsidRPr="0039457F">
        <w:rPr>
          <w:rFonts w:cs="Sylfaen"/>
          <w:b w:val="0"/>
          <w:szCs w:val="22"/>
          <w:lang w:val="af-ZA"/>
        </w:rPr>
        <w:t xml:space="preserve"> </w:t>
      </w:r>
      <w:r w:rsidRPr="0039457F">
        <w:rPr>
          <w:rFonts w:cs="Sylfaen"/>
          <w:b w:val="0"/>
          <w:szCs w:val="22"/>
          <w:lang w:val="hy-AM"/>
        </w:rPr>
        <w:t>ճանապարհային</w:t>
      </w:r>
      <w:r w:rsidRPr="0039457F">
        <w:rPr>
          <w:rFonts w:cs="Sylfaen"/>
          <w:b w:val="0"/>
          <w:szCs w:val="22"/>
          <w:lang w:val="af-ZA"/>
        </w:rPr>
        <w:t xml:space="preserve"> </w:t>
      </w:r>
      <w:r w:rsidRPr="0039457F">
        <w:rPr>
          <w:rFonts w:cs="Sylfaen"/>
          <w:b w:val="0"/>
          <w:szCs w:val="22"/>
          <w:lang w:val="hy-AM"/>
        </w:rPr>
        <w:t>ցանցի</w:t>
      </w:r>
      <w:r w:rsidRPr="0039457F">
        <w:rPr>
          <w:rFonts w:cs="Sylfaen"/>
          <w:b w:val="0"/>
          <w:szCs w:val="22"/>
          <w:lang w:val="af-ZA"/>
        </w:rPr>
        <w:t xml:space="preserve"> </w:t>
      </w:r>
      <w:r w:rsidRPr="0039457F">
        <w:rPr>
          <w:rFonts w:cs="Sylfaen"/>
          <w:b w:val="0"/>
          <w:szCs w:val="22"/>
          <w:lang w:val="hy-AM"/>
        </w:rPr>
        <w:t>կամ</w:t>
      </w:r>
      <w:r w:rsidRPr="0039457F">
        <w:rPr>
          <w:rFonts w:cs="Sylfaen"/>
          <w:b w:val="0"/>
          <w:szCs w:val="22"/>
          <w:lang w:val="af-ZA"/>
        </w:rPr>
        <w:t xml:space="preserve"> </w:t>
      </w:r>
      <w:r w:rsidRPr="0039457F">
        <w:rPr>
          <w:rFonts w:cs="Sylfaen"/>
          <w:b w:val="0"/>
          <w:szCs w:val="22"/>
          <w:lang w:val="hy-AM"/>
        </w:rPr>
        <w:t>մարզկենտրոնների</w:t>
      </w:r>
      <w:r w:rsidRPr="0039457F">
        <w:rPr>
          <w:rFonts w:cs="Sylfaen"/>
          <w:b w:val="0"/>
          <w:szCs w:val="22"/>
          <w:lang w:val="af-ZA"/>
        </w:rPr>
        <w:t xml:space="preserve"> </w:t>
      </w:r>
      <w:r w:rsidRPr="0039457F">
        <w:rPr>
          <w:rFonts w:cs="Sylfaen"/>
          <w:b w:val="0"/>
          <w:szCs w:val="22"/>
          <w:lang w:val="hy-AM"/>
        </w:rPr>
        <w:t>հետ</w:t>
      </w:r>
      <w:r w:rsidRPr="0039457F">
        <w:rPr>
          <w:rFonts w:cs="Sylfaen"/>
          <w:b w:val="0"/>
          <w:szCs w:val="22"/>
          <w:lang w:val="af-ZA"/>
        </w:rPr>
        <w:t xml:space="preserve"> </w:t>
      </w:r>
      <w:r w:rsidRPr="0039457F">
        <w:rPr>
          <w:rFonts w:cs="Sylfaen"/>
          <w:b w:val="0"/>
          <w:szCs w:val="22"/>
          <w:lang w:val="hy-AM"/>
        </w:rPr>
        <w:t>առնվազն</w:t>
      </w:r>
      <w:r w:rsidRPr="0039457F">
        <w:rPr>
          <w:rFonts w:cs="Sylfaen"/>
          <w:b w:val="0"/>
          <w:szCs w:val="22"/>
          <w:lang w:val="af-ZA"/>
        </w:rPr>
        <w:t xml:space="preserve"> </w:t>
      </w:r>
      <w:r w:rsidRPr="0039457F">
        <w:rPr>
          <w:rFonts w:cs="Sylfaen"/>
          <w:b w:val="0"/>
          <w:szCs w:val="22"/>
          <w:lang w:val="hy-AM"/>
        </w:rPr>
        <w:t>մեկ</w:t>
      </w:r>
      <w:r w:rsidRPr="0039457F">
        <w:rPr>
          <w:rFonts w:cs="Sylfaen"/>
          <w:b w:val="0"/>
          <w:szCs w:val="22"/>
          <w:lang w:val="af-ZA"/>
        </w:rPr>
        <w:t xml:space="preserve"> </w:t>
      </w:r>
      <w:r w:rsidRPr="0039457F">
        <w:rPr>
          <w:rFonts w:cs="Sylfaen"/>
          <w:b w:val="0"/>
          <w:szCs w:val="22"/>
          <w:lang w:val="hy-AM"/>
        </w:rPr>
        <w:t>բավարար</w:t>
      </w:r>
      <w:r w:rsidRPr="0039457F">
        <w:rPr>
          <w:rFonts w:cs="Sylfaen"/>
          <w:b w:val="0"/>
          <w:szCs w:val="22"/>
          <w:lang w:val="af-ZA"/>
        </w:rPr>
        <w:t xml:space="preserve"> </w:t>
      </w:r>
      <w:r w:rsidRPr="0039457F">
        <w:rPr>
          <w:rFonts w:cs="Sylfaen"/>
          <w:b w:val="0"/>
          <w:szCs w:val="22"/>
          <w:lang w:val="hy-AM"/>
        </w:rPr>
        <w:t>կամ</w:t>
      </w:r>
      <w:r w:rsidRPr="0039457F">
        <w:rPr>
          <w:rFonts w:cs="Sylfaen"/>
          <w:b w:val="0"/>
          <w:szCs w:val="22"/>
          <w:lang w:val="af-ZA"/>
        </w:rPr>
        <w:t xml:space="preserve"> </w:t>
      </w:r>
      <w:r w:rsidRPr="0039457F">
        <w:rPr>
          <w:rFonts w:cs="Sylfaen"/>
          <w:b w:val="0"/>
          <w:szCs w:val="22"/>
          <w:lang w:val="hy-AM"/>
        </w:rPr>
        <w:t>ավելի</w:t>
      </w:r>
      <w:r w:rsidRPr="0039457F">
        <w:rPr>
          <w:rFonts w:cs="Sylfaen"/>
          <w:b w:val="0"/>
          <w:szCs w:val="22"/>
          <w:lang w:val="af-ZA"/>
        </w:rPr>
        <w:t xml:space="preserve"> </w:t>
      </w:r>
      <w:r w:rsidRPr="0039457F">
        <w:rPr>
          <w:rFonts w:cs="Sylfaen"/>
          <w:b w:val="0"/>
          <w:szCs w:val="22"/>
          <w:lang w:val="hy-AM"/>
        </w:rPr>
        <w:t>լավ</w:t>
      </w:r>
      <w:r w:rsidRPr="0039457F">
        <w:rPr>
          <w:rFonts w:cs="Sylfaen"/>
          <w:b w:val="0"/>
          <w:szCs w:val="22"/>
          <w:lang w:val="af-ZA"/>
        </w:rPr>
        <w:t xml:space="preserve"> </w:t>
      </w:r>
      <w:r w:rsidRPr="0039457F">
        <w:rPr>
          <w:rFonts w:cs="Sylfaen"/>
          <w:b w:val="0"/>
          <w:szCs w:val="22"/>
          <w:lang w:val="hy-AM"/>
        </w:rPr>
        <w:t>վիճակում</w:t>
      </w:r>
      <w:r w:rsidRPr="0039457F">
        <w:rPr>
          <w:rFonts w:cs="Sylfaen"/>
          <w:b w:val="0"/>
          <w:szCs w:val="22"/>
          <w:lang w:val="af-ZA"/>
        </w:rPr>
        <w:t xml:space="preserve"> </w:t>
      </w:r>
      <w:r w:rsidRPr="0039457F">
        <w:rPr>
          <w:rFonts w:cs="Sylfaen"/>
          <w:b w:val="0"/>
          <w:szCs w:val="22"/>
          <w:lang w:val="hy-AM"/>
        </w:rPr>
        <w:t>գտնվող</w:t>
      </w:r>
      <w:r w:rsidRPr="0039457F">
        <w:rPr>
          <w:rFonts w:cs="Sylfaen"/>
          <w:b w:val="0"/>
          <w:szCs w:val="22"/>
          <w:lang w:val="af-ZA"/>
        </w:rPr>
        <w:t xml:space="preserve"> </w:t>
      </w:r>
      <w:r w:rsidRPr="0039457F">
        <w:rPr>
          <w:rFonts w:cs="Sylfaen"/>
          <w:b w:val="0"/>
          <w:szCs w:val="22"/>
          <w:lang w:val="hy-AM"/>
        </w:rPr>
        <w:t>ճանապարհներ</w:t>
      </w:r>
      <w:r w:rsidRPr="0039457F">
        <w:rPr>
          <w:rFonts w:cs="Sylfaen"/>
          <w:b w:val="0"/>
          <w:szCs w:val="22"/>
          <w:lang w:val="af-ZA"/>
        </w:rPr>
        <w:t xml:space="preserve"> </w:t>
      </w:r>
      <w:r w:rsidRPr="0039457F">
        <w:rPr>
          <w:rFonts w:cs="Sylfaen"/>
          <w:b w:val="0"/>
          <w:szCs w:val="22"/>
          <w:lang w:val="hy-AM"/>
        </w:rPr>
        <w:t>ունեցող</w:t>
      </w:r>
      <w:r w:rsidRPr="0039457F">
        <w:rPr>
          <w:rFonts w:cs="Sylfaen"/>
          <w:b w:val="0"/>
          <w:szCs w:val="22"/>
          <w:lang w:val="af-ZA"/>
        </w:rPr>
        <w:t xml:space="preserve"> </w:t>
      </w:r>
      <w:r w:rsidRPr="0039457F">
        <w:rPr>
          <w:rFonts w:cs="Sylfaen"/>
          <w:b w:val="0"/>
          <w:szCs w:val="22"/>
          <w:lang w:val="hy-AM"/>
        </w:rPr>
        <w:t>բնակավայրերի</w:t>
      </w:r>
      <w:r w:rsidRPr="0039457F">
        <w:rPr>
          <w:rFonts w:cs="Sylfaen"/>
          <w:b w:val="0"/>
          <w:szCs w:val="22"/>
          <w:lang w:val="af-ZA"/>
        </w:rPr>
        <w:t xml:space="preserve"> </w:t>
      </w:r>
      <w:r w:rsidRPr="0039457F">
        <w:rPr>
          <w:rFonts w:cs="Sylfaen"/>
          <w:b w:val="0"/>
          <w:szCs w:val="22"/>
          <w:lang w:val="hy-AM"/>
        </w:rPr>
        <w:t>մասնաբաժինը</w:t>
      </w:r>
      <w:r w:rsidRPr="0039457F">
        <w:rPr>
          <w:rFonts w:cs="Sylfaen"/>
          <w:b w:val="0"/>
          <w:szCs w:val="22"/>
          <w:lang w:val="af-ZA"/>
        </w:rPr>
        <w:t xml:space="preserve"> </w:t>
      </w:r>
      <w:r w:rsidRPr="0039457F">
        <w:rPr>
          <w:rFonts w:cs="Sylfaen"/>
          <w:b w:val="0"/>
          <w:szCs w:val="22"/>
          <w:lang w:val="hy-AM"/>
        </w:rPr>
        <w:t>բնակավայրերի</w:t>
      </w:r>
      <w:r w:rsidRPr="0039457F">
        <w:rPr>
          <w:rFonts w:cs="Sylfaen"/>
          <w:b w:val="0"/>
          <w:szCs w:val="22"/>
          <w:lang w:val="af-ZA"/>
        </w:rPr>
        <w:t xml:space="preserve"> </w:t>
      </w:r>
      <w:r w:rsidRPr="0039457F">
        <w:rPr>
          <w:rFonts w:cs="Sylfaen"/>
          <w:b w:val="0"/>
          <w:szCs w:val="22"/>
          <w:lang w:val="hy-AM"/>
        </w:rPr>
        <w:t>ընդհանուր</w:t>
      </w:r>
      <w:r w:rsidRPr="0039457F">
        <w:rPr>
          <w:rFonts w:cs="Sylfaen"/>
          <w:b w:val="0"/>
          <w:szCs w:val="22"/>
          <w:lang w:val="af-ZA"/>
        </w:rPr>
        <w:t xml:space="preserve"> </w:t>
      </w:r>
      <w:r w:rsidRPr="0039457F">
        <w:rPr>
          <w:rFonts w:cs="Sylfaen"/>
          <w:b w:val="0"/>
          <w:szCs w:val="22"/>
          <w:lang w:val="hy-AM"/>
        </w:rPr>
        <w:t>թվում</w:t>
      </w:r>
      <w:r w:rsidRPr="0039457F">
        <w:rPr>
          <w:rFonts w:cs="Sylfaen"/>
          <w:b w:val="0"/>
          <w:szCs w:val="22"/>
          <w:lang w:val="af-ZA"/>
        </w:rPr>
        <w:t xml:space="preserve">) </w:t>
      </w:r>
      <w:r w:rsidRPr="0039457F">
        <w:rPr>
          <w:rFonts w:cs="Sylfaen"/>
          <w:b w:val="0"/>
          <w:szCs w:val="22"/>
          <w:lang w:val="hy-AM"/>
        </w:rPr>
        <w:t>մասով</w:t>
      </w:r>
      <w:r w:rsidRPr="0039457F">
        <w:rPr>
          <w:rFonts w:cs="Sylfaen"/>
          <w:b w:val="0"/>
          <w:szCs w:val="22"/>
          <w:lang w:val="af-ZA"/>
        </w:rPr>
        <w:t xml:space="preserve"> </w:t>
      </w:r>
      <w:r w:rsidRPr="0039457F">
        <w:rPr>
          <w:rFonts w:cs="Sylfaen"/>
          <w:b w:val="0"/>
          <w:szCs w:val="22"/>
          <w:lang w:val="hy-AM"/>
        </w:rPr>
        <w:t>բազային</w:t>
      </w:r>
      <w:r w:rsidRPr="0039457F">
        <w:rPr>
          <w:rFonts w:cs="Sylfaen"/>
          <w:b w:val="0"/>
          <w:szCs w:val="22"/>
          <w:lang w:val="af-ZA"/>
        </w:rPr>
        <w:t xml:space="preserve"> 65.9 </w:t>
      </w:r>
      <w:r w:rsidRPr="0039457F">
        <w:rPr>
          <w:rFonts w:cs="Sylfaen"/>
          <w:b w:val="0"/>
          <w:szCs w:val="22"/>
          <w:lang w:val="hy-AM"/>
        </w:rPr>
        <w:t>տոկոսի</w:t>
      </w:r>
      <w:r w:rsidRPr="0039457F">
        <w:rPr>
          <w:rFonts w:cs="Sylfaen"/>
          <w:b w:val="0"/>
          <w:szCs w:val="22"/>
          <w:lang w:val="af-ZA"/>
        </w:rPr>
        <w:t xml:space="preserve"> </w:t>
      </w:r>
      <w:r w:rsidRPr="0039457F">
        <w:rPr>
          <w:rFonts w:cs="Sylfaen"/>
          <w:b w:val="0"/>
          <w:szCs w:val="22"/>
          <w:lang w:val="hy-AM"/>
        </w:rPr>
        <w:t>դիմաց</w:t>
      </w:r>
      <w:r w:rsidRPr="0039457F">
        <w:rPr>
          <w:rFonts w:cs="Sylfaen"/>
          <w:b w:val="0"/>
          <w:szCs w:val="22"/>
          <w:lang w:val="af-ZA"/>
        </w:rPr>
        <w:t xml:space="preserve"> </w:t>
      </w:r>
      <w:r w:rsidRPr="0039457F">
        <w:rPr>
          <w:rFonts w:cs="Sylfaen"/>
          <w:b w:val="0"/>
          <w:szCs w:val="22"/>
          <w:lang w:val="hy-AM"/>
        </w:rPr>
        <w:t>ապահովել</w:t>
      </w:r>
      <w:r w:rsidRPr="0039457F">
        <w:rPr>
          <w:rFonts w:cs="Sylfaen"/>
          <w:b w:val="0"/>
          <w:szCs w:val="22"/>
          <w:lang w:val="af-ZA"/>
        </w:rPr>
        <w:t xml:space="preserve"> 68 </w:t>
      </w:r>
      <w:r w:rsidRPr="0039457F">
        <w:rPr>
          <w:rFonts w:cs="Sylfaen"/>
          <w:b w:val="0"/>
          <w:szCs w:val="22"/>
          <w:lang w:val="hy-AM"/>
        </w:rPr>
        <w:t>տոկոս</w:t>
      </w:r>
      <w:r w:rsidRPr="0039457F">
        <w:rPr>
          <w:rFonts w:cs="Sylfaen"/>
          <w:b w:val="0"/>
          <w:szCs w:val="22"/>
          <w:lang w:val="af-ZA"/>
        </w:rPr>
        <w:t xml:space="preserve"> </w:t>
      </w:r>
      <w:r w:rsidRPr="0039457F">
        <w:rPr>
          <w:rFonts w:cs="Sylfaen"/>
          <w:b w:val="0"/>
          <w:szCs w:val="22"/>
          <w:lang w:val="hy-AM"/>
        </w:rPr>
        <w:t>թիրախային</w:t>
      </w:r>
      <w:r w:rsidRPr="0039457F">
        <w:rPr>
          <w:rFonts w:cs="Sylfaen"/>
          <w:b w:val="0"/>
          <w:szCs w:val="22"/>
          <w:lang w:val="af-ZA"/>
        </w:rPr>
        <w:t xml:space="preserve"> </w:t>
      </w:r>
      <w:r w:rsidRPr="0039457F">
        <w:rPr>
          <w:rFonts w:cs="Sylfaen"/>
          <w:b w:val="0"/>
          <w:szCs w:val="22"/>
          <w:lang w:val="hy-AM"/>
        </w:rPr>
        <w:t>ցուցանիշը</w:t>
      </w:r>
      <w:r w:rsidRPr="0039457F">
        <w:rPr>
          <w:rFonts w:cs="Sylfaen"/>
          <w:b w:val="0"/>
          <w:szCs w:val="22"/>
          <w:lang w:val="af-ZA"/>
        </w:rPr>
        <w:t xml:space="preserve">, </w:t>
      </w:r>
      <w:r w:rsidRPr="0039457F">
        <w:rPr>
          <w:rFonts w:cs="Sylfaen"/>
          <w:b w:val="0"/>
          <w:szCs w:val="22"/>
          <w:lang w:val="hy-AM"/>
        </w:rPr>
        <w:t>իսկ</w:t>
      </w:r>
      <w:r w:rsidRPr="0039457F">
        <w:rPr>
          <w:rFonts w:cs="Sylfaen"/>
          <w:b w:val="0"/>
          <w:szCs w:val="22"/>
          <w:lang w:val="af-ZA"/>
        </w:rPr>
        <w:t xml:space="preserve"> </w:t>
      </w:r>
      <w:r w:rsidRPr="0039457F">
        <w:rPr>
          <w:rFonts w:cs="GHEA Grapalat"/>
          <w:b w:val="0"/>
          <w:szCs w:val="22"/>
          <w:lang w:val="hy-AM"/>
        </w:rPr>
        <w:t>միջպետական</w:t>
      </w:r>
      <w:r w:rsidRPr="0039457F">
        <w:rPr>
          <w:rFonts w:cs="Sylfaen"/>
          <w:b w:val="0"/>
          <w:szCs w:val="22"/>
          <w:lang w:val="af-ZA"/>
        </w:rPr>
        <w:t xml:space="preserve"> </w:t>
      </w:r>
      <w:r w:rsidRPr="0039457F">
        <w:rPr>
          <w:rFonts w:cs="Sylfaen"/>
          <w:b w:val="0"/>
          <w:szCs w:val="22"/>
          <w:lang w:val="hy-AM"/>
        </w:rPr>
        <w:t>նշանակության</w:t>
      </w:r>
      <w:r w:rsidRPr="0039457F">
        <w:rPr>
          <w:rFonts w:cs="Sylfaen"/>
          <w:b w:val="0"/>
          <w:szCs w:val="22"/>
          <w:lang w:val="af-ZA"/>
        </w:rPr>
        <w:t xml:space="preserve"> </w:t>
      </w:r>
      <w:r w:rsidRPr="0039457F">
        <w:rPr>
          <w:rFonts w:cs="Sylfaen"/>
          <w:b w:val="0"/>
          <w:szCs w:val="22"/>
          <w:lang w:val="hy-AM"/>
        </w:rPr>
        <w:t>ճանապարհների</w:t>
      </w:r>
      <w:r w:rsidRPr="0039457F">
        <w:rPr>
          <w:rFonts w:cs="Sylfaen"/>
          <w:b w:val="0"/>
          <w:szCs w:val="22"/>
          <w:lang w:val="af-ZA"/>
        </w:rPr>
        <w:t xml:space="preserve"> </w:t>
      </w:r>
      <w:r w:rsidRPr="0039457F">
        <w:rPr>
          <w:rFonts w:cs="Sylfaen"/>
          <w:b w:val="0"/>
          <w:szCs w:val="22"/>
          <w:lang w:val="hy-AM"/>
        </w:rPr>
        <w:t>անհարթության</w:t>
      </w:r>
      <w:r w:rsidRPr="0039457F">
        <w:rPr>
          <w:rFonts w:cs="Sylfaen"/>
          <w:b w:val="0"/>
          <w:szCs w:val="22"/>
          <w:lang w:val="af-ZA"/>
        </w:rPr>
        <w:t xml:space="preserve"> IRI </w:t>
      </w:r>
      <w:r w:rsidRPr="0039457F">
        <w:rPr>
          <w:rFonts w:cs="Sylfaen"/>
          <w:b w:val="0"/>
          <w:szCs w:val="22"/>
          <w:lang w:val="hy-AM"/>
        </w:rPr>
        <w:t>գործակցի</w:t>
      </w:r>
      <w:r w:rsidRPr="0039457F">
        <w:rPr>
          <w:rFonts w:cs="Sylfaen"/>
          <w:b w:val="0"/>
          <w:szCs w:val="22"/>
          <w:lang w:val="af-ZA"/>
        </w:rPr>
        <w:t xml:space="preserve"> </w:t>
      </w:r>
      <w:r w:rsidRPr="0039457F">
        <w:rPr>
          <w:rFonts w:cs="Sylfaen"/>
          <w:b w:val="0"/>
          <w:szCs w:val="22"/>
          <w:lang w:val="hy-AM"/>
        </w:rPr>
        <w:t>միջին</w:t>
      </w:r>
      <w:r w:rsidRPr="0039457F">
        <w:rPr>
          <w:rFonts w:cs="Sylfaen"/>
          <w:b w:val="0"/>
          <w:szCs w:val="22"/>
          <w:lang w:val="af-ZA"/>
        </w:rPr>
        <w:t xml:space="preserve"> </w:t>
      </w:r>
      <w:r w:rsidRPr="0039457F">
        <w:rPr>
          <w:rFonts w:cs="Sylfaen"/>
          <w:b w:val="0"/>
          <w:szCs w:val="22"/>
          <w:lang w:val="hy-AM"/>
        </w:rPr>
        <w:t>թվաբանականի</w:t>
      </w:r>
      <w:r w:rsidRPr="0039457F">
        <w:rPr>
          <w:rFonts w:cs="Sylfaen"/>
          <w:b w:val="0"/>
          <w:szCs w:val="22"/>
          <w:lang w:val="af-ZA"/>
        </w:rPr>
        <w:t xml:space="preserve"> </w:t>
      </w:r>
      <w:r w:rsidRPr="0039457F">
        <w:rPr>
          <w:rFonts w:cs="Sylfaen"/>
          <w:b w:val="0"/>
          <w:szCs w:val="22"/>
          <w:lang w:val="hy-AM"/>
        </w:rPr>
        <w:t>համար՝</w:t>
      </w:r>
      <w:r w:rsidRPr="0039457F">
        <w:rPr>
          <w:rFonts w:cs="Sylfaen"/>
          <w:b w:val="0"/>
          <w:szCs w:val="22"/>
          <w:lang w:val="af-ZA"/>
        </w:rPr>
        <w:t xml:space="preserve"> </w:t>
      </w:r>
      <w:r w:rsidRPr="0039457F">
        <w:rPr>
          <w:rFonts w:cs="Sylfaen"/>
          <w:b w:val="0"/>
          <w:szCs w:val="22"/>
          <w:lang w:val="hy-AM"/>
        </w:rPr>
        <w:t>պահպանել</w:t>
      </w:r>
      <w:r w:rsidRPr="0039457F">
        <w:rPr>
          <w:rFonts w:cs="Sylfaen"/>
          <w:b w:val="0"/>
          <w:szCs w:val="22"/>
          <w:lang w:val="af-ZA"/>
        </w:rPr>
        <w:t xml:space="preserve"> 6.3 </w:t>
      </w:r>
      <w:r w:rsidRPr="0039457F">
        <w:rPr>
          <w:rFonts w:cs="Sylfaen"/>
          <w:b w:val="0"/>
          <w:szCs w:val="22"/>
          <w:lang w:val="hy-AM"/>
        </w:rPr>
        <w:t>մ</w:t>
      </w:r>
      <w:r w:rsidRPr="0039457F">
        <w:rPr>
          <w:rFonts w:cs="Sylfaen"/>
          <w:b w:val="0"/>
          <w:szCs w:val="22"/>
          <w:lang w:val="af-ZA"/>
        </w:rPr>
        <w:t>/</w:t>
      </w:r>
      <w:r w:rsidRPr="0039457F">
        <w:rPr>
          <w:rFonts w:cs="Sylfaen"/>
          <w:b w:val="0"/>
          <w:szCs w:val="22"/>
          <w:lang w:val="hy-AM"/>
        </w:rPr>
        <w:t>կմ</w:t>
      </w:r>
      <w:r w:rsidRPr="0039457F">
        <w:rPr>
          <w:rFonts w:cs="Sylfaen"/>
          <w:b w:val="0"/>
          <w:szCs w:val="22"/>
          <w:lang w:val="af-ZA"/>
        </w:rPr>
        <w:t xml:space="preserve"> </w:t>
      </w:r>
      <w:r w:rsidRPr="0039457F">
        <w:rPr>
          <w:rFonts w:cs="Sylfaen"/>
          <w:b w:val="0"/>
          <w:szCs w:val="22"/>
          <w:lang w:val="hy-AM"/>
        </w:rPr>
        <w:t>ցուցանիշը:</w:t>
      </w:r>
    </w:p>
    <w:p w14:paraId="2C239DC3" w14:textId="77777777" w:rsidR="001A149E" w:rsidRPr="0039457F" w:rsidRDefault="001A149E" w:rsidP="00AC1E1E">
      <w:pPr>
        <w:widowControl w:val="0"/>
        <w:rPr>
          <w:rFonts w:cs="Sylfaen"/>
          <w:b w:val="0"/>
          <w:szCs w:val="22"/>
          <w:lang w:val="hy-AM"/>
        </w:rPr>
      </w:pPr>
      <w:r w:rsidRPr="0039457F">
        <w:rPr>
          <w:rFonts w:cs="Sylfaen"/>
          <w:b w:val="0"/>
          <w:szCs w:val="22"/>
          <w:lang w:val="hy-AM"/>
        </w:rPr>
        <w:t>Ծրագրի շրջանակներում ներքին և արտաքին աղբյուրների ֆինանսավորմամբ նախատեսվում է իրականացնել միջպետական, հանրապետական և մարզային նշանակության ավտոմոբիլային ճանապարհների ցանցի նորոգում, հիմնանորոգում և որակի շարունակական բարձրացում:</w:t>
      </w:r>
    </w:p>
    <w:p w14:paraId="6D6810D0" w14:textId="613FDE0E" w:rsidR="001A149E" w:rsidRPr="0039457F" w:rsidRDefault="001A149E" w:rsidP="00AC1E1E">
      <w:pPr>
        <w:widowControl w:val="0"/>
        <w:tabs>
          <w:tab w:val="num" w:pos="720"/>
        </w:tabs>
        <w:rPr>
          <w:rFonts w:cs="Sylfaen"/>
          <w:b w:val="0"/>
          <w:szCs w:val="22"/>
          <w:lang w:val="hy-AM"/>
        </w:rPr>
      </w:pPr>
      <w:r w:rsidRPr="0039457F">
        <w:rPr>
          <w:rFonts w:cs="Sylfaen"/>
          <w:b w:val="0"/>
          <w:szCs w:val="22"/>
          <w:lang w:val="hy-AM"/>
        </w:rPr>
        <w:t xml:space="preserve">Ներքին աղբյուրների հաշվին նախատեսվում է իրականացնել շուրջ 100 կմ երկարությամբ միջպետական, 110 կմ հանրապետական և 130 կմ մարզային նշանակության ավտոմոբիլային ճանապարհների և </w:t>
      </w:r>
      <w:r w:rsidR="00A575E1">
        <w:rPr>
          <w:rFonts w:cs="Sylfaen"/>
          <w:b w:val="0"/>
          <w:szCs w:val="22"/>
          <w:lang w:val="hy-AM"/>
        </w:rPr>
        <w:t>10</w:t>
      </w:r>
      <w:r w:rsidRPr="0039457F">
        <w:rPr>
          <w:rFonts w:cs="Sylfaen"/>
          <w:b w:val="0"/>
          <w:szCs w:val="22"/>
          <w:lang w:val="hy-AM"/>
        </w:rPr>
        <w:t xml:space="preserve"> տրանսպորտային օբյեկտների հիմնանորոգման, </w:t>
      </w:r>
      <w:r w:rsidRPr="0039457F">
        <w:rPr>
          <w:rFonts w:cs="Sylfaen"/>
          <w:b w:val="0"/>
          <w:szCs w:val="22"/>
          <w:lang w:val="hy-AM"/>
        </w:rPr>
        <w:lastRenderedPageBreak/>
        <w:t>107.7 կմ միջին նորոգման, 4074.7 կմ ամառային և 4841.9 կմ ձմեռային պահպանման, ինչպես նաև 3 թունելների և 5 կամուրջների պահպանման ու շահագործման աշխատանքներ:</w:t>
      </w:r>
    </w:p>
    <w:p w14:paraId="4C59E6A2" w14:textId="77777777" w:rsidR="001A149E" w:rsidRPr="0039457F" w:rsidRDefault="001A149E" w:rsidP="00AC1E1E">
      <w:pPr>
        <w:widowControl w:val="0"/>
        <w:tabs>
          <w:tab w:val="num" w:pos="720"/>
        </w:tabs>
        <w:rPr>
          <w:rFonts w:cs="Sylfaen"/>
          <w:b w:val="0"/>
          <w:szCs w:val="22"/>
          <w:lang w:val="hy-AM"/>
        </w:rPr>
      </w:pPr>
      <w:r w:rsidRPr="0039457F">
        <w:rPr>
          <w:rFonts w:cs="Sylfaen"/>
          <w:b w:val="0"/>
          <w:szCs w:val="22"/>
          <w:lang w:val="hy-AM"/>
        </w:rPr>
        <w:t xml:space="preserve">Հյուսիս-հարավ ճանապարհային միջանցքի զարգացման ծրագրի իրականացման գծով կիրականացվեն Քաջարան-Ագարակ 32 կմ հատվածի, Աշտարակ-Թալին 8 կմ և 34 կմ հատվածների կառուցման աշխատանքներ, ինչպես նաև նախատեսվում է մեկնարկել Սիսիան-Քաջարան 60կմ ճանապարհահատվածի և Քաջարանի թունելի և մոտեցումների, Գյումրու շրջանցիկ ճանապարհի կառուցման և հիմնանորոգման աշխատանքները: </w:t>
      </w:r>
    </w:p>
    <w:p w14:paraId="2FF1C46C" w14:textId="77777777" w:rsidR="001A149E" w:rsidRPr="0039457F" w:rsidRDefault="001A149E" w:rsidP="00AC1E1E">
      <w:pPr>
        <w:widowControl w:val="0"/>
        <w:rPr>
          <w:rFonts w:cs="Sylfaen"/>
          <w:b w:val="0"/>
          <w:szCs w:val="22"/>
          <w:lang w:val="af-ZA"/>
        </w:rPr>
      </w:pPr>
      <w:r w:rsidRPr="0039457F">
        <w:rPr>
          <w:rFonts w:cs="Sylfaen"/>
          <w:szCs w:val="22"/>
          <w:lang w:val="hy-AM"/>
        </w:rPr>
        <w:t>Ջրամատակարարման</w:t>
      </w:r>
      <w:r w:rsidRPr="0039457F">
        <w:rPr>
          <w:rFonts w:cs="Sylfaen"/>
          <w:szCs w:val="22"/>
          <w:lang w:val="af-ZA"/>
        </w:rPr>
        <w:t xml:space="preserve"> </w:t>
      </w:r>
      <w:r w:rsidRPr="0039457F">
        <w:rPr>
          <w:rFonts w:cs="Sylfaen"/>
          <w:szCs w:val="22"/>
          <w:lang w:val="hy-AM"/>
        </w:rPr>
        <w:t>և</w:t>
      </w:r>
      <w:r w:rsidRPr="0039457F">
        <w:rPr>
          <w:rFonts w:cs="Sylfaen"/>
          <w:szCs w:val="22"/>
          <w:lang w:val="af-ZA"/>
        </w:rPr>
        <w:t xml:space="preserve"> </w:t>
      </w:r>
      <w:r w:rsidRPr="0039457F">
        <w:rPr>
          <w:rFonts w:cs="Sylfaen"/>
          <w:szCs w:val="22"/>
          <w:lang w:val="hy-AM"/>
        </w:rPr>
        <w:t>ջրահեռացման</w:t>
      </w:r>
      <w:r w:rsidRPr="0039457F">
        <w:rPr>
          <w:rFonts w:cs="Sylfaen"/>
          <w:szCs w:val="22"/>
          <w:lang w:val="af-ZA"/>
        </w:rPr>
        <w:t xml:space="preserve"> </w:t>
      </w:r>
      <w:r w:rsidRPr="0039457F">
        <w:rPr>
          <w:rFonts w:cs="Sylfaen"/>
          <w:b w:val="0"/>
          <w:szCs w:val="22"/>
          <w:lang w:val="hy-AM"/>
        </w:rPr>
        <w:t>ծրագրի գծով 2024 թվականին նախատեսվել է 12,</w:t>
      </w:r>
      <w:r w:rsidR="004F3CA3">
        <w:rPr>
          <w:rFonts w:cs="Sylfaen"/>
          <w:b w:val="0"/>
          <w:szCs w:val="22"/>
          <w:lang w:val="hy-AM"/>
        </w:rPr>
        <w:t>906.3</w:t>
      </w:r>
      <w:r w:rsidRPr="0039457F">
        <w:rPr>
          <w:rFonts w:cs="Sylfaen"/>
          <w:b w:val="0"/>
          <w:szCs w:val="22"/>
          <w:lang w:val="hy-AM"/>
        </w:rPr>
        <w:t xml:space="preserve"> </w:t>
      </w:r>
      <w:r w:rsidRPr="0039457F">
        <w:rPr>
          <w:rFonts w:cs="GHEA Grapalat"/>
          <w:b w:val="0"/>
          <w:szCs w:val="22"/>
          <w:lang w:val="hy-AM"/>
        </w:rPr>
        <w:t>մլն</w:t>
      </w:r>
      <w:r w:rsidRPr="0039457F">
        <w:rPr>
          <w:rFonts w:cs="Sylfaen"/>
          <w:b w:val="0"/>
          <w:szCs w:val="22"/>
          <w:lang w:val="hy-AM"/>
        </w:rPr>
        <w:t xml:space="preserve"> </w:t>
      </w:r>
      <w:r w:rsidRPr="0039457F">
        <w:rPr>
          <w:rFonts w:cs="GHEA Grapalat"/>
          <w:b w:val="0"/>
          <w:szCs w:val="22"/>
          <w:lang w:val="hy-AM"/>
        </w:rPr>
        <w:t>դրամ</w:t>
      </w:r>
      <w:r w:rsidRPr="0039457F">
        <w:rPr>
          <w:b w:val="0"/>
          <w:bCs/>
          <w:iCs/>
          <w:szCs w:val="22"/>
          <w:lang w:val="hy-AM"/>
        </w:rPr>
        <w:t>.</w:t>
      </w:r>
    </w:p>
    <w:p w14:paraId="69092877" w14:textId="77777777" w:rsidR="001A149E" w:rsidRPr="0039457F" w:rsidRDefault="001A149E" w:rsidP="00AC1E1E">
      <w:pPr>
        <w:widowControl w:val="0"/>
        <w:rPr>
          <w:rFonts w:cs="Sylfaen"/>
          <w:b w:val="0"/>
          <w:szCs w:val="22"/>
          <w:lang w:val="af-ZA"/>
        </w:rPr>
      </w:pPr>
      <w:r w:rsidRPr="0039457F">
        <w:rPr>
          <w:rFonts w:cs="Sylfaen"/>
          <w:b w:val="0"/>
          <w:szCs w:val="22"/>
        </w:rPr>
        <w:t>Ծրագրի</w:t>
      </w:r>
      <w:r w:rsidRPr="0039457F">
        <w:rPr>
          <w:rFonts w:cs="Sylfaen"/>
          <w:b w:val="0"/>
          <w:szCs w:val="22"/>
          <w:lang w:val="af-ZA"/>
        </w:rPr>
        <w:t xml:space="preserve"> </w:t>
      </w:r>
      <w:r w:rsidRPr="0039457F">
        <w:rPr>
          <w:rFonts w:cs="Sylfaen"/>
          <w:b w:val="0"/>
          <w:szCs w:val="22"/>
        </w:rPr>
        <w:t>նպատակն</w:t>
      </w:r>
      <w:r w:rsidRPr="0039457F">
        <w:rPr>
          <w:rFonts w:cs="Sylfaen"/>
          <w:b w:val="0"/>
          <w:szCs w:val="22"/>
          <w:lang w:val="af-ZA"/>
        </w:rPr>
        <w:t xml:space="preserve"> </w:t>
      </w:r>
      <w:r w:rsidRPr="0039457F">
        <w:rPr>
          <w:rFonts w:cs="Sylfaen"/>
          <w:b w:val="0"/>
          <w:szCs w:val="22"/>
        </w:rPr>
        <w:t>է</w:t>
      </w:r>
      <w:r w:rsidRPr="0039457F">
        <w:rPr>
          <w:rFonts w:cs="Sylfaen"/>
          <w:b w:val="0"/>
          <w:szCs w:val="22"/>
          <w:lang w:val="af-ZA"/>
        </w:rPr>
        <w:t xml:space="preserve"> </w:t>
      </w:r>
      <w:r w:rsidRPr="0039457F">
        <w:rPr>
          <w:rFonts w:cs="Sylfaen"/>
          <w:b w:val="0"/>
          <w:szCs w:val="22"/>
        </w:rPr>
        <w:t>ջրամատակարարման</w:t>
      </w:r>
      <w:r w:rsidRPr="0039457F">
        <w:rPr>
          <w:rFonts w:cs="Sylfaen"/>
          <w:b w:val="0"/>
          <w:szCs w:val="22"/>
          <w:lang w:val="af-ZA"/>
        </w:rPr>
        <w:t xml:space="preserve">, </w:t>
      </w:r>
      <w:r w:rsidRPr="0039457F">
        <w:rPr>
          <w:rFonts w:cs="Sylfaen"/>
          <w:b w:val="0"/>
          <w:szCs w:val="22"/>
        </w:rPr>
        <w:t>ջրահեռացման</w:t>
      </w:r>
      <w:r w:rsidRPr="0039457F">
        <w:rPr>
          <w:rFonts w:cs="Sylfaen"/>
          <w:b w:val="0"/>
          <w:szCs w:val="22"/>
          <w:lang w:val="af-ZA"/>
        </w:rPr>
        <w:t xml:space="preserve"> </w:t>
      </w:r>
      <w:r w:rsidRPr="0039457F">
        <w:rPr>
          <w:rFonts w:cs="Sylfaen"/>
          <w:b w:val="0"/>
          <w:szCs w:val="22"/>
        </w:rPr>
        <w:t>և</w:t>
      </w:r>
      <w:r w:rsidRPr="0039457F">
        <w:rPr>
          <w:rFonts w:cs="Sylfaen"/>
          <w:b w:val="0"/>
          <w:szCs w:val="22"/>
          <w:lang w:val="af-ZA"/>
        </w:rPr>
        <w:t xml:space="preserve"> </w:t>
      </w:r>
      <w:r w:rsidRPr="0039457F">
        <w:rPr>
          <w:rFonts w:cs="Sylfaen"/>
          <w:b w:val="0"/>
          <w:szCs w:val="22"/>
        </w:rPr>
        <w:t>կեղտաջրերի</w:t>
      </w:r>
      <w:r w:rsidRPr="0039457F">
        <w:rPr>
          <w:rFonts w:cs="Sylfaen"/>
          <w:b w:val="0"/>
          <w:szCs w:val="22"/>
          <w:lang w:val="af-ZA"/>
        </w:rPr>
        <w:t xml:space="preserve"> </w:t>
      </w:r>
      <w:r w:rsidRPr="0039457F">
        <w:rPr>
          <w:rFonts w:cs="Sylfaen"/>
          <w:b w:val="0"/>
          <w:szCs w:val="22"/>
        </w:rPr>
        <w:t>մաքրման</w:t>
      </w:r>
      <w:r w:rsidRPr="0039457F">
        <w:rPr>
          <w:rFonts w:cs="Sylfaen"/>
          <w:b w:val="0"/>
          <w:szCs w:val="22"/>
          <w:lang w:val="af-ZA"/>
        </w:rPr>
        <w:t xml:space="preserve"> </w:t>
      </w:r>
      <w:r w:rsidRPr="0039457F">
        <w:rPr>
          <w:rFonts w:cs="Sylfaen"/>
          <w:b w:val="0"/>
          <w:szCs w:val="22"/>
        </w:rPr>
        <w:t>աշխատանքների</w:t>
      </w:r>
      <w:r w:rsidRPr="0039457F">
        <w:rPr>
          <w:rFonts w:cs="Sylfaen"/>
          <w:b w:val="0"/>
          <w:szCs w:val="22"/>
          <w:lang w:val="af-ZA"/>
        </w:rPr>
        <w:t xml:space="preserve"> </w:t>
      </w:r>
      <w:r w:rsidRPr="0039457F">
        <w:rPr>
          <w:rFonts w:cs="Sylfaen"/>
          <w:b w:val="0"/>
          <w:szCs w:val="22"/>
        </w:rPr>
        <w:t>արդյունավետության</w:t>
      </w:r>
      <w:r w:rsidRPr="0039457F">
        <w:rPr>
          <w:rFonts w:cs="Sylfaen"/>
          <w:b w:val="0"/>
          <w:szCs w:val="22"/>
          <w:lang w:val="af-ZA"/>
        </w:rPr>
        <w:t xml:space="preserve"> </w:t>
      </w:r>
      <w:r w:rsidRPr="0039457F">
        <w:rPr>
          <w:rFonts w:cs="Sylfaen"/>
          <w:b w:val="0"/>
          <w:szCs w:val="22"/>
        </w:rPr>
        <w:t>բարձրացումը</w:t>
      </w:r>
      <w:r w:rsidRPr="0039457F">
        <w:rPr>
          <w:rFonts w:cs="Sylfaen"/>
          <w:b w:val="0"/>
          <w:szCs w:val="22"/>
          <w:lang w:val="af-ZA"/>
        </w:rPr>
        <w:t xml:space="preserve">, </w:t>
      </w:r>
      <w:r w:rsidRPr="0039457F">
        <w:rPr>
          <w:rFonts w:cs="Sylfaen"/>
          <w:b w:val="0"/>
          <w:szCs w:val="22"/>
        </w:rPr>
        <w:t>համակարգերում</w:t>
      </w:r>
      <w:r w:rsidRPr="0039457F">
        <w:rPr>
          <w:rFonts w:cs="Sylfaen"/>
          <w:b w:val="0"/>
          <w:szCs w:val="22"/>
          <w:lang w:val="af-ZA"/>
        </w:rPr>
        <w:t xml:space="preserve"> </w:t>
      </w:r>
      <w:r w:rsidRPr="0039457F">
        <w:rPr>
          <w:rFonts w:cs="Sylfaen"/>
          <w:b w:val="0"/>
          <w:szCs w:val="22"/>
        </w:rPr>
        <w:t>ջրամատակարարման</w:t>
      </w:r>
      <w:r w:rsidRPr="0039457F">
        <w:rPr>
          <w:rFonts w:cs="Sylfaen"/>
          <w:b w:val="0"/>
          <w:szCs w:val="22"/>
          <w:lang w:val="af-ZA"/>
        </w:rPr>
        <w:t xml:space="preserve"> </w:t>
      </w:r>
      <w:r w:rsidRPr="0039457F">
        <w:rPr>
          <w:rFonts w:cs="Sylfaen"/>
          <w:b w:val="0"/>
          <w:szCs w:val="22"/>
        </w:rPr>
        <w:t>շարունակականության</w:t>
      </w:r>
      <w:r w:rsidRPr="0039457F">
        <w:rPr>
          <w:rFonts w:cs="Sylfaen"/>
          <w:b w:val="0"/>
          <w:szCs w:val="22"/>
          <w:lang w:val="af-ZA"/>
        </w:rPr>
        <w:t xml:space="preserve"> </w:t>
      </w:r>
      <w:r w:rsidRPr="0039457F">
        <w:rPr>
          <w:rFonts w:cs="Sylfaen"/>
          <w:b w:val="0"/>
          <w:szCs w:val="22"/>
        </w:rPr>
        <w:t>և</w:t>
      </w:r>
      <w:r w:rsidRPr="0039457F">
        <w:rPr>
          <w:rFonts w:cs="Sylfaen"/>
          <w:b w:val="0"/>
          <w:szCs w:val="22"/>
          <w:lang w:val="af-ZA"/>
        </w:rPr>
        <w:t xml:space="preserve"> </w:t>
      </w:r>
      <w:r w:rsidRPr="0039457F">
        <w:rPr>
          <w:rFonts w:cs="Sylfaen"/>
          <w:b w:val="0"/>
          <w:szCs w:val="22"/>
        </w:rPr>
        <w:t>ջրի</w:t>
      </w:r>
      <w:r w:rsidRPr="0039457F">
        <w:rPr>
          <w:rFonts w:cs="Sylfaen"/>
          <w:b w:val="0"/>
          <w:szCs w:val="22"/>
          <w:lang w:val="af-ZA"/>
        </w:rPr>
        <w:t xml:space="preserve"> </w:t>
      </w:r>
      <w:r w:rsidRPr="0039457F">
        <w:rPr>
          <w:rFonts w:cs="Sylfaen"/>
          <w:b w:val="0"/>
          <w:szCs w:val="22"/>
        </w:rPr>
        <w:t>որակի</w:t>
      </w:r>
      <w:r w:rsidRPr="0039457F">
        <w:rPr>
          <w:rFonts w:cs="Sylfaen"/>
          <w:b w:val="0"/>
          <w:szCs w:val="22"/>
          <w:lang w:val="af-ZA"/>
        </w:rPr>
        <w:t xml:space="preserve"> </w:t>
      </w:r>
      <w:r w:rsidRPr="0039457F">
        <w:rPr>
          <w:rFonts w:cs="Sylfaen"/>
          <w:b w:val="0"/>
          <w:szCs w:val="22"/>
        </w:rPr>
        <w:t>բարելավման</w:t>
      </w:r>
      <w:r w:rsidRPr="0039457F">
        <w:rPr>
          <w:rFonts w:cs="Sylfaen"/>
          <w:b w:val="0"/>
          <w:szCs w:val="22"/>
          <w:lang w:val="af-ZA"/>
        </w:rPr>
        <w:t xml:space="preserve"> </w:t>
      </w:r>
      <w:r w:rsidRPr="0039457F">
        <w:rPr>
          <w:rFonts w:cs="Sylfaen"/>
          <w:b w:val="0"/>
          <w:szCs w:val="22"/>
        </w:rPr>
        <w:t>ապահովումը</w:t>
      </w:r>
      <w:r w:rsidRPr="0039457F">
        <w:rPr>
          <w:rFonts w:cs="Sylfaen"/>
          <w:b w:val="0"/>
          <w:szCs w:val="22"/>
          <w:lang w:val="af-ZA"/>
        </w:rPr>
        <w:t xml:space="preserve">, </w:t>
      </w:r>
      <w:r w:rsidRPr="0039457F">
        <w:rPr>
          <w:rFonts w:cs="Sylfaen"/>
          <w:b w:val="0"/>
          <w:szCs w:val="22"/>
        </w:rPr>
        <w:t>կառավարման</w:t>
      </w:r>
      <w:r w:rsidRPr="0039457F">
        <w:rPr>
          <w:rFonts w:cs="Sylfaen"/>
          <w:b w:val="0"/>
          <w:szCs w:val="22"/>
          <w:lang w:val="af-ZA"/>
        </w:rPr>
        <w:t xml:space="preserve"> </w:t>
      </w:r>
      <w:r w:rsidRPr="0039457F">
        <w:rPr>
          <w:rFonts w:cs="Sylfaen"/>
          <w:b w:val="0"/>
          <w:szCs w:val="22"/>
        </w:rPr>
        <w:t>բարեփոխումների</w:t>
      </w:r>
      <w:r w:rsidRPr="0039457F">
        <w:rPr>
          <w:rFonts w:cs="Sylfaen"/>
          <w:b w:val="0"/>
          <w:szCs w:val="22"/>
          <w:lang w:val="af-ZA"/>
        </w:rPr>
        <w:t xml:space="preserve"> </w:t>
      </w:r>
      <w:r w:rsidRPr="0039457F">
        <w:rPr>
          <w:rFonts w:cs="Sylfaen"/>
          <w:b w:val="0"/>
          <w:szCs w:val="22"/>
        </w:rPr>
        <w:t>խորացումն</w:t>
      </w:r>
      <w:r w:rsidRPr="0039457F">
        <w:rPr>
          <w:rFonts w:cs="Sylfaen"/>
          <w:b w:val="0"/>
          <w:szCs w:val="22"/>
          <w:lang w:val="af-ZA"/>
        </w:rPr>
        <w:t xml:space="preserve"> </w:t>
      </w:r>
      <w:r w:rsidRPr="0039457F">
        <w:rPr>
          <w:rFonts w:cs="Sylfaen"/>
          <w:b w:val="0"/>
          <w:szCs w:val="22"/>
        </w:rPr>
        <w:t>ու</w:t>
      </w:r>
      <w:r w:rsidRPr="0039457F">
        <w:rPr>
          <w:rFonts w:cs="Sylfaen"/>
          <w:b w:val="0"/>
          <w:szCs w:val="22"/>
          <w:lang w:val="af-ZA"/>
        </w:rPr>
        <w:t xml:space="preserve"> </w:t>
      </w:r>
      <w:r w:rsidRPr="0039457F">
        <w:rPr>
          <w:rFonts w:cs="Sylfaen"/>
          <w:b w:val="0"/>
          <w:szCs w:val="22"/>
        </w:rPr>
        <w:t>ամրապնդումը</w:t>
      </w:r>
      <w:r w:rsidRPr="0039457F">
        <w:rPr>
          <w:rFonts w:cs="Sylfaen"/>
          <w:b w:val="0"/>
          <w:szCs w:val="22"/>
          <w:lang w:val="af-ZA"/>
        </w:rPr>
        <w:t xml:space="preserve">, </w:t>
      </w:r>
      <w:r w:rsidRPr="0039457F">
        <w:rPr>
          <w:rFonts w:cs="Sylfaen"/>
          <w:b w:val="0"/>
          <w:szCs w:val="22"/>
        </w:rPr>
        <w:t>կատարելագործումը</w:t>
      </w:r>
      <w:r w:rsidRPr="0039457F">
        <w:rPr>
          <w:rFonts w:cs="Sylfaen"/>
          <w:b w:val="0"/>
          <w:szCs w:val="22"/>
          <w:lang w:val="af-ZA"/>
        </w:rPr>
        <w:t xml:space="preserve">, </w:t>
      </w:r>
      <w:r w:rsidRPr="0039457F">
        <w:rPr>
          <w:rFonts w:cs="Sylfaen"/>
          <w:b w:val="0"/>
          <w:szCs w:val="22"/>
        </w:rPr>
        <w:t>ներդրումների</w:t>
      </w:r>
      <w:r w:rsidRPr="0039457F">
        <w:rPr>
          <w:rFonts w:cs="Sylfaen"/>
          <w:b w:val="0"/>
          <w:szCs w:val="22"/>
          <w:lang w:val="af-ZA"/>
        </w:rPr>
        <w:t xml:space="preserve"> </w:t>
      </w:r>
      <w:r w:rsidRPr="0039457F">
        <w:rPr>
          <w:rFonts w:cs="Sylfaen"/>
          <w:b w:val="0"/>
          <w:szCs w:val="22"/>
        </w:rPr>
        <w:t>անհրաժեշտ</w:t>
      </w:r>
      <w:r w:rsidRPr="0039457F">
        <w:rPr>
          <w:rFonts w:cs="Sylfaen"/>
          <w:b w:val="0"/>
          <w:szCs w:val="22"/>
          <w:lang w:val="af-ZA"/>
        </w:rPr>
        <w:t xml:space="preserve"> </w:t>
      </w:r>
      <w:r w:rsidRPr="0039457F">
        <w:rPr>
          <w:rFonts w:cs="Sylfaen"/>
          <w:b w:val="0"/>
          <w:szCs w:val="22"/>
        </w:rPr>
        <w:t>ծավալների</w:t>
      </w:r>
      <w:r w:rsidRPr="0039457F">
        <w:rPr>
          <w:rFonts w:cs="Sylfaen"/>
          <w:b w:val="0"/>
          <w:szCs w:val="22"/>
          <w:lang w:val="af-ZA"/>
        </w:rPr>
        <w:t xml:space="preserve"> </w:t>
      </w:r>
      <w:r w:rsidRPr="0039457F">
        <w:rPr>
          <w:rFonts w:cs="Sylfaen"/>
          <w:b w:val="0"/>
          <w:szCs w:val="22"/>
        </w:rPr>
        <w:t>ներգրավումը</w:t>
      </w:r>
      <w:r w:rsidRPr="0039457F">
        <w:rPr>
          <w:rFonts w:cs="Sylfaen"/>
          <w:b w:val="0"/>
          <w:szCs w:val="22"/>
          <w:lang w:val="af-ZA"/>
        </w:rPr>
        <w:t xml:space="preserve"> </w:t>
      </w:r>
      <w:r w:rsidRPr="0039457F">
        <w:rPr>
          <w:rFonts w:cs="Sylfaen"/>
          <w:b w:val="0"/>
          <w:szCs w:val="22"/>
        </w:rPr>
        <w:t>և</w:t>
      </w:r>
      <w:r w:rsidRPr="0039457F">
        <w:rPr>
          <w:rFonts w:cs="Sylfaen"/>
          <w:b w:val="0"/>
          <w:szCs w:val="22"/>
          <w:lang w:val="af-ZA"/>
        </w:rPr>
        <w:t xml:space="preserve"> </w:t>
      </w:r>
      <w:r w:rsidRPr="0039457F">
        <w:rPr>
          <w:rFonts w:cs="Sylfaen"/>
          <w:b w:val="0"/>
          <w:szCs w:val="22"/>
        </w:rPr>
        <w:t>իրականացումը</w:t>
      </w:r>
      <w:r w:rsidRPr="0039457F">
        <w:rPr>
          <w:rFonts w:cs="Sylfaen"/>
          <w:b w:val="0"/>
          <w:szCs w:val="22"/>
          <w:lang w:val="af-ZA"/>
        </w:rPr>
        <w:t xml:space="preserve">: </w:t>
      </w:r>
    </w:p>
    <w:p w14:paraId="1F625724" w14:textId="77777777" w:rsidR="001A149E" w:rsidRPr="0039457F" w:rsidRDefault="001A149E" w:rsidP="00AC1E1E">
      <w:pPr>
        <w:widowControl w:val="0"/>
        <w:rPr>
          <w:rFonts w:cs="Sylfaen"/>
          <w:b w:val="0"/>
          <w:szCs w:val="22"/>
          <w:lang w:val="af-ZA"/>
        </w:rPr>
      </w:pPr>
      <w:r w:rsidRPr="0039457F">
        <w:rPr>
          <w:rFonts w:cs="Sylfaen"/>
          <w:b w:val="0"/>
          <w:szCs w:val="22"/>
        </w:rPr>
        <w:t>Ծրագրի</w:t>
      </w:r>
      <w:r w:rsidRPr="0039457F">
        <w:rPr>
          <w:rFonts w:cs="Sylfaen"/>
          <w:b w:val="0"/>
          <w:szCs w:val="22"/>
          <w:lang w:val="af-ZA"/>
        </w:rPr>
        <w:t xml:space="preserve"> </w:t>
      </w:r>
      <w:r w:rsidRPr="0039457F">
        <w:rPr>
          <w:rFonts w:cs="Sylfaen"/>
          <w:b w:val="0"/>
          <w:szCs w:val="22"/>
        </w:rPr>
        <w:t>շրջանակներում</w:t>
      </w:r>
      <w:r w:rsidRPr="0039457F">
        <w:rPr>
          <w:rFonts w:cs="Sylfaen"/>
          <w:b w:val="0"/>
          <w:szCs w:val="22"/>
          <w:lang w:val="af-ZA"/>
        </w:rPr>
        <w:t xml:space="preserve"> </w:t>
      </w:r>
      <w:r w:rsidRPr="0039457F">
        <w:rPr>
          <w:rFonts w:cs="Sylfaen"/>
          <w:b w:val="0"/>
          <w:szCs w:val="22"/>
        </w:rPr>
        <w:t>կշարունակվեն</w:t>
      </w:r>
      <w:r w:rsidRPr="0039457F">
        <w:rPr>
          <w:rFonts w:cs="Sylfaen"/>
          <w:b w:val="0"/>
          <w:szCs w:val="22"/>
          <w:lang w:val="af-ZA"/>
        </w:rPr>
        <w:t xml:space="preserve"> </w:t>
      </w:r>
      <w:r w:rsidRPr="0039457F">
        <w:rPr>
          <w:rFonts w:cs="Sylfaen"/>
          <w:b w:val="0"/>
          <w:szCs w:val="22"/>
        </w:rPr>
        <w:t>խմելու</w:t>
      </w:r>
      <w:r w:rsidRPr="0039457F">
        <w:rPr>
          <w:rFonts w:cs="Sylfaen"/>
          <w:b w:val="0"/>
          <w:szCs w:val="22"/>
          <w:lang w:val="af-ZA"/>
        </w:rPr>
        <w:t xml:space="preserve"> </w:t>
      </w:r>
      <w:r w:rsidRPr="0039457F">
        <w:rPr>
          <w:rFonts w:cs="Sylfaen"/>
          <w:b w:val="0"/>
          <w:szCs w:val="22"/>
        </w:rPr>
        <w:t>ջուր</w:t>
      </w:r>
      <w:r w:rsidRPr="0039457F">
        <w:rPr>
          <w:rFonts w:cs="Sylfaen"/>
          <w:b w:val="0"/>
          <w:szCs w:val="22"/>
          <w:lang w:val="af-ZA"/>
        </w:rPr>
        <w:t xml:space="preserve"> </w:t>
      </w:r>
      <w:r w:rsidRPr="0039457F">
        <w:rPr>
          <w:rFonts w:cs="Sylfaen"/>
          <w:b w:val="0"/>
          <w:szCs w:val="22"/>
        </w:rPr>
        <w:t>մատակարարող</w:t>
      </w:r>
      <w:r w:rsidRPr="0039457F">
        <w:rPr>
          <w:rFonts w:cs="Sylfaen"/>
          <w:b w:val="0"/>
          <w:szCs w:val="22"/>
          <w:lang w:val="af-ZA"/>
        </w:rPr>
        <w:t xml:space="preserve"> </w:t>
      </w:r>
      <w:r w:rsidRPr="0039457F">
        <w:rPr>
          <w:rFonts w:cs="Sylfaen"/>
          <w:b w:val="0"/>
          <w:szCs w:val="22"/>
        </w:rPr>
        <w:t>ընկերությունների</w:t>
      </w:r>
      <w:r w:rsidRPr="0039457F">
        <w:rPr>
          <w:rFonts w:cs="Sylfaen"/>
          <w:b w:val="0"/>
          <w:szCs w:val="22"/>
          <w:lang w:val="af-ZA"/>
        </w:rPr>
        <w:t xml:space="preserve"> </w:t>
      </w:r>
      <w:r w:rsidRPr="0039457F">
        <w:rPr>
          <w:rFonts w:cs="Sylfaen"/>
          <w:b w:val="0"/>
          <w:szCs w:val="22"/>
        </w:rPr>
        <w:t>սուբսիդավորումը</w:t>
      </w:r>
      <w:r w:rsidRPr="0039457F">
        <w:rPr>
          <w:rFonts w:cs="Sylfaen"/>
          <w:b w:val="0"/>
          <w:szCs w:val="22"/>
          <w:lang w:val="af-ZA"/>
        </w:rPr>
        <w:t xml:space="preserve">, </w:t>
      </w:r>
      <w:r w:rsidRPr="0039457F">
        <w:rPr>
          <w:rFonts w:cs="Sylfaen"/>
          <w:b w:val="0"/>
          <w:szCs w:val="22"/>
        </w:rPr>
        <w:t>որոնց</w:t>
      </w:r>
      <w:r w:rsidRPr="0039457F">
        <w:rPr>
          <w:rFonts w:cs="Sylfaen"/>
          <w:b w:val="0"/>
          <w:szCs w:val="22"/>
          <w:lang w:val="af-ZA"/>
        </w:rPr>
        <w:t xml:space="preserve"> </w:t>
      </w:r>
      <w:r w:rsidRPr="0039457F">
        <w:rPr>
          <w:rFonts w:cs="Sylfaen"/>
          <w:b w:val="0"/>
          <w:szCs w:val="22"/>
        </w:rPr>
        <w:t>կողմից</w:t>
      </w:r>
      <w:r w:rsidRPr="0039457F">
        <w:rPr>
          <w:rFonts w:cs="Sylfaen"/>
          <w:b w:val="0"/>
          <w:szCs w:val="22"/>
          <w:lang w:val="af-ZA"/>
        </w:rPr>
        <w:t xml:space="preserve"> </w:t>
      </w:r>
      <w:r w:rsidRPr="0039457F">
        <w:rPr>
          <w:rFonts w:cs="Sylfaen"/>
          <w:b w:val="0"/>
          <w:szCs w:val="22"/>
        </w:rPr>
        <w:t>մատուցվող</w:t>
      </w:r>
      <w:r w:rsidRPr="0039457F">
        <w:rPr>
          <w:rFonts w:cs="Sylfaen"/>
          <w:b w:val="0"/>
          <w:szCs w:val="22"/>
          <w:lang w:val="af-ZA"/>
        </w:rPr>
        <w:t xml:space="preserve"> </w:t>
      </w:r>
      <w:r w:rsidRPr="0039457F">
        <w:rPr>
          <w:rFonts w:cs="Sylfaen"/>
          <w:b w:val="0"/>
          <w:szCs w:val="22"/>
        </w:rPr>
        <w:t>ծառայությունների</w:t>
      </w:r>
      <w:r w:rsidRPr="0039457F">
        <w:rPr>
          <w:rFonts w:cs="Sylfaen"/>
          <w:b w:val="0"/>
          <w:szCs w:val="22"/>
          <w:lang w:val="af-ZA"/>
        </w:rPr>
        <w:t xml:space="preserve"> </w:t>
      </w:r>
      <w:r w:rsidRPr="0039457F">
        <w:rPr>
          <w:rFonts w:cs="Sylfaen"/>
          <w:b w:val="0"/>
          <w:szCs w:val="22"/>
        </w:rPr>
        <w:t>շրջանակում</w:t>
      </w:r>
      <w:r w:rsidRPr="0039457F">
        <w:rPr>
          <w:rFonts w:cs="Sylfaen"/>
          <w:b w:val="0"/>
          <w:szCs w:val="22"/>
          <w:lang w:val="af-ZA"/>
        </w:rPr>
        <w:t xml:space="preserve"> 2024</w:t>
      </w:r>
      <w:r w:rsidRPr="0039457F">
        <w:rPr>
          <w:rFonts w:cs="Sylfaen"/>
          <w:b w:val="0"/>
          <w:szCs w:val="22"/>
        </w:rPr>
        <w:t>թ</w:t>
      </w:r>
      <w:r w:rsidRPr="0039457F">
        <w:rPr>
          <w:rFonts w:cs="Sylfaen"/>
          <w:b w:val="0"/>
          <w:szCs w:val="22"/>
          <w:lang w:val="af-ZA"/>
        </w:rPr>
        <w:t>.-</w:t>
      </w:r>
      <w:r w:rsidRPr="0039457F">
        <w:rPr>
          <w:rFonts w:cs="Sylfaen"/>
          <w:b w:val="0"/>
          <w:szCs w:val="22"/>
        </w:rPr>
        <w:t>ին</w:t>
      </w:r>
      <w:r w:rsidRPr="0039457F">
        <w:rPr>
          <w:rFonts w:cs="Sylfaen"/>
          <w:b w:val="0"/>
          <w:szCs w:val="22"/>
          <w:lang w:val="af-ZA"/>
        </w:rPr>
        <w:t xml:space="preserve"> </w:t>
      </w:r>
      <w:r w:rsidRPr="0039457F">
        <w:rPr>
          <w:rFonts w:cs="Sylfaen"/>
          <w:b w:val="0"/>
          <w:szCs w:val="22"/>
        </w:rPr>
        <w:t>ակնկալվում</w:t>
      </w:r>
      <w:r w:rsidRPr="0039457F">
        <w:rPr>
          <w:rFonts w:cs="Sylfaen"/>
          <w:b w:val="0"/>
          <w:szCs w:val="22"/>
          <w:lang w:val="af-ZA"/>
        </w:rPr>
        <w:t xml:space="preserve"> </w:t>
      </w:r>
      <w:r w:rsidRPr="0039457F">
        <w:rPr>
          <w:rFonts w:cs="Sylfaen"/>
          <w:b w:val="0"/>
          <w:szCs w:val="22"/>
        </w:rPr>
        <w:t>է</w:t>
      </w:r>
      <w:r w:rsidRPr="0039457F">
        <w:rPr>
          <w:rFonts w:cs="Sylfaen"/>
          <w:b w:val="0"/>
          <w:szCs w:val="22"/>
          <w:lang w:val="af-ZA"/>
        </w:rPr>
        <w:t xml:space="preserve">, </w:t>
      </w:r>
      <w:r w:rsidRPr="0039457F">
        <w:rPr>
          <w:rFonts w:cs="Sylfaen"/>
          <w:b w:val="0"/>
          <w:szCs w:val="22"/>
        </w:rPr>
        <w:t>որ</w:t>
      </w:r>
      <w:r w:rsidRPr="0039457F">
        <w:rPr>
          <w:rFonts w:cs="Sylfaen"/>
          <w:b w:val="0"/>
          <w:szCs w:val="22"/>
          <w:lang w:val="af-ZA"/>
        </w:rPr>
        <w:t xml:space="preserve"> </w:t>
      </w:r>
      <w:r w:rsidRPr="0039457F">
        <w:rPr>
          <w:rFonts w:cs="Sylfaen"/>
          <w:b w:val="0"/>
          <w:szCs w:val="22"/>
        </w:rPr>
        <w:t>շուրջ</w:t>
      </w:r>
      <w:r w:rsidRPr="0039457F">
        <w:rPr>
          <w:rFonts w:cs="Sylfaen"/>
          <w:b w:val="0"/>
          <w:szCs w:val="22"/>
          <w:lang w:val="af-ZA"/>
        </w:rPr>
        <w:t xml:space="preserve"> 803 </w:t>
      </w:r>
      <w:r w:rsidRPr="0039457F">
        <w:rPr>
          <w:rFonts w:cs="Sylfaen"/>
          <w:b w:val="0"/>
          <w:szCs w:val="22"/>
        </w:rPr>
        <w:t>հազար</w:t>
      </w:r>
      <w:r w:rsidRPr="0039457F">
        <w:rPr>
          <w:rFonts w:cs="Sylfaen"/>
          <w:b w:val="0"/>
          <w:szCs w:val="22"/>
          <w:lang w:val="af-ZA"/>
        </w:rPr>
        <w:t xml:space="preserve"> </w:t>
      </w:r>
      <w:r w:rsidRPr="0039457F">
        <w:rPr>
          <w:rFonts w:cs="Sylfaen"/>
          <w:b w:val="0"/>
          <w:szCs w:val="22"/>
        </w:rPr>
        <w:t>բաժանորդներին</w:t>
      </w:r>
      <w:r w:rsidRPr="0039457F">
        <w:rPr>
          <w:rFonts w:cs="Sylfaen"/>
          <w:b w:val="0"/>
          <w:szCs w:val="22"/>
          <w:lang w:val="af-ZA"/>
        </w:rPr>
        <w:t xml:space="preserve"> </w:t>
      </w:r>
      <w:r w:rsidRPr="0039457F">
        <w:rPr>
          <w:rFonts w:cs="Sylfaen"/>
          <w:b w:val="0"/>
          <w:szCs w:val="22"/>
        </w:rPr>
        <w:t>կմատակարարվի</w:t>
      </w:r>
      <w:r w:rsidRPr="0039457F">
        <w:rPr>
          <w:rFonts w:cs="Sylfaen"/>
          <w:b w:val="0"/>
          <w:szCs w:val="22"/>
          <w:lang w:val="af-ZA"/>
        </w:rPr>
        <w:t xml:space="preserve"> 144 </w:t>
      </w:r>
      <w:r w:rsidRPr="0039457F">
        <w:rPr>
          <w:rFonts w:cs="Sylfaen"/>
          <w:b w:val="0"/>
          <w:szCs w:val="22"/>
        </w:rPr>
        <w:t>մլն</w:t>
      </w:r>
      <w:r w:rsidRPr="0039457F">
        <w:rPr>
          <w:rFonts w:cs="Sylfaen"/>
          <w:b w:val="0"/>
          <w:szCs w:val="22"/>
          <w:lang w:val="af-ZA"/>
        </w:rPr>
        <w:t xml:space="preserve"> </w:t>
      </w:r>
      <w:r w:rsidRPr="0039457F">
        <w:rPr>
          <w:rFonts w:cs="Sylfaen"/>
          <w:b w:val="0"/>
          <w:szCs w:val="22"/>
        </w:rPr>
        <w:t>խմ</w:t>
      </w:r>
      <w:r w:rsidRPr="0039457F">
        <w:rPr>
          <w:rFonts w:cs="Sylfaen"/>
          <w:b w:val="0"/>
          <w:szCs w:val="22"/>
          <w:lang w:val="af-ZA"/>
        </w:rPr>
        <w:t xml:space="preserve"> </w:t>
      </w:r>
      <w:r w:rsidRPr="0039457F">
        <w:rPr>
          <w:rFonts w:cs="Sylfaen"/>
          <w:b w:val="0"/>
          <w:szCs w:val="22"/>
        </w:rPr>
        <w:t>ջուր</w:t>
      </w:r>
      <w:r w:rsidRPr="0039457F">
        <w:rPr>
          <w:rFonts w:cs="Sylfaen"/>
          <w:b w:val="0"/>
          <w:szCs w:val="22"/>
          <w:lang w:val="af-ZA"/>
        </w:rPr>
        <w:t xml:space="preserve"> (1 </w:t>
      </w:r>
      <w:r w:rsidRPr="0039457F">
        <w:rPr>
          <w:rFonts w:cs="Sylfaen"/>
          <w:b w:val="0"/>
          <w:szCs w:val="22"/>
        </w:rPr>
        <w:t>խմ</w:t>
      </w:r>
      <w:r w:rsidRPr="0039457F">
        <w:rPr>
          <w:rFonts w:cs="Sylfaen"/>
          <w:b w:val="0"/>
          <w:szCs w:val="22"/>
          <w:lang w:val="af-ZA"/>
        </w:rPr>
        <w:t xml:space="preserve"> </w:t>
      </w:r>
      <w:r w:rsidRPr="0039457F">
        <w:rPr>
          <w:rFonts w:cs="Sylfaen"/>
          <w:b w:val="0"/>
          <w:szCs w:val="22"/>
        </w:rPr>
        <w:t>ջրի</w:t>
      </w:r>
      <w:r w:rsidRPr="0039457F">
        <w:rPr>
          <w:rFonts w:cs="Sylfaen"/>
          <w:b w:val="0"/>
          <w:szCs w:val="22"/>
          <w:lang w:val="af-ZA"/>
        </w:rPr>
        <w:t xml:space="preserve"> </w:t>
      </w:r>
      <w:r w:rsidRPr="0039457F">
        <w:rPr>
          <w:rFonts w:cs="Sylfaen"/>
          <w:b w:val="0"/>
          <w:szCs w:val="22"/>
        </w:rPr>
        <w:t>սուբսիդավորման</w:t>
      </w:r>
      <w:r w:rsidRPr="0039457F">
        <w:rPr>
          <w:rFonts w:cs="Sylfaen"/>
          <w:b w:val="0"/>
          <w:szCs w:val="22"/>
          <w:lang w:val="af-ZA"/>
        </w:rPr>
        <w:t xml:space="preserve"> </w:t>
      </w:r>
      <w:r w:rsidRPr="0039457F">
        <w:rPr>
          <w:rFonts w:cs="Sylfaen"/>
          <w:b w:val="0"/>
          <w:szCs w:val="22"/>
        </w:rPr>
        <w:t>մասը՝</w:t>
      </w:r>
      <w:r w:rsidRPr="0039457F">
        <w:rPr>
          <w:rFonts w:cs="Sylfaen"/>
          <w:b w:val="0"/>
          <w:szCs w:val="22"/>
          <w:lang w:val="af-ZA"/>
        </w:rPr>
        <w:t xml:space="preserve"> 5.77 </w:t>
      </w:r>
      <w:r w:rsidRPr="0039457F">
        <w:rPr>
          <w:rFonts w:cs="Sylfaen"/>
          <w:b w:val="0"/>
          <w:szCs w:val="22"/>
        </w:rPr>
        <w:t>դրամ</w:t>
      </w:r>
      <w:r w:rsidRPr="0039457F">
        <w:rPr>
          <w:rFonts w:cs="Sylfaen"/>
          <w:b w:val="0"/>
          <w:szCs w:val="22"/>
          <w:lang w:val="af-ZA"/>
        </w:rPr>
        <w:t xml:space="preserve">), </w:t>
      </w:r>
      <w:r w:rsidRPr="0039457F">
        <w:rPr>
          <w:rFonts w:cs="Sylfaen"/>
          <w:b w:val="0"/>
          <w:szCs w:val="22"/>
        </w:rPr>
        <w:t>հեռացվող</w:t>
      </w:r>
      <w:r w:rsidRPr="0039457F">
        <w:rPr>
          <w:rFonts w:cs="Sylfaen"/>
          <w:b w:val="0"/>
          <w:szCs w:val="22"/>
          <w:lang w:val="af-ZA"/>
        </w:rPr>
        <w:t xml:space="preserve"> </w:t>
      </w:r>
      <w:r w:rsidRPr="0039457F">
        <w:rPr>
          <w:rFonts w:cs="Sylfaen"/>
          <w:b w:val="0"/>
          <w:szCs w:val="22"/>
        </w:rPr>
        <w:t>կեղտաջրերի</w:t>
      </w:r>
      <w:r w:rsidRPr="0039457F">
        <w:rPr>
          <w:rFonts w:cs="Sylfaen"/>
          <w:b w:val="0"/>
          <w:szCs w:val="22"/>
          <w:lang w:val="af-ZA"/>
        </w:rPr>
        <w:t xml:space="preserve"> </w:t>
      </w:r>
      <w:r w:rsidRPr="0039457F">
        <w:rPr>
          <w:rFonts w:cs="Sylfaen"/>
          <w:b w:val="0"/>
          <w:szCs w:val="22"/>
        </w:rPr>
        <w:t>ծավալը</w:t>
      </w:r>
      <w:r w:rsidRPr="0039457F">
        <w:rPr>
          <w:rFonts w:cs="Sylfaen"/>
          <w:b w:val="0"/>
          <w:szCs w:val="22"/>
          <w:lang w:val="af-ZA"/>
        </w:rPr>
        <w:t xml:space="preserve"> </w:t>
      </w:r>
      <w:r w:rsidRPr="0039457F">
        <w:rPr>
          <w:rFonts w:cs="Sylfaen"/>
          <w:b w:val="0"/>
          <w:szCs w:val="22"/>
        </w:rPr>
        <w:t>կկազմի</w:t>
      </w:r>
      <w:r w:rsidRPr="0039457F">
        <w:rPr>
          <w:rFonts w:cs="Sylfaen"/>
          <w:b w:val="0"/>
          <w:szCs w:val="22"/>
          <w:lang w:val="af-ZA"/>
        </w:rPr>
        <w:t xml:space="preserve"> 111.6 </w:t>
      </w:r>
      <w:r w:rsidRPr="0039457F">
        <w:rPr>
          <w:rFonts w:cs="Sylfaen"/>
          <w:b w:val="0"/>
          <w:szCs w:val="22"/>
        </w:rPr>
        <w:t>մլն</w:t>
      </w:r>
      <w:r w:rsidRPr="0039457F">
        <w:rPr>
          <w:rFonts w:cs="Sylfaen"/>
          <w:b w:val="0"/>
          <w:szCs w:val="22"/>
          <w:lang w:val="af-ZA"/>
        </w:rPr>
        <w:t xml:space="preserve"> </w:t>
      </w:r>
      <w:r w:rsidRPr="0039457F">
        <w:rPr>
          <w:rFonts w:cs="Sylfaen"/>
          <w:b w:val="0"/>
          <w:szCs w:val="22"/>
        </w:rPr>
        <w:t>խմ</w:t>
      </w:r>
      <w:r w:rsidRPr="0039457F">
        <w:rPr>
          <w:rFonts w:cs="Sylfaen"/>
          <w:b w:val="0"/>
          <w:szCs w:val="22"/>
          <w:lang w:val="af-ZA"/>
        </w:rPr>
        <w:t xml:space="preserve"> (1 </w:t>
      </w:r>
      <w:r w:rsidRPr="0039457F">
        <w:rPr>
          <w:rFonts w:cs="Sylfaen"/>
          <w:b w:val="0"/>
          <w:szCs w:val="22"/>
        </w:rPr>
        <w:t>խմ</w:t>
      </w:r>
      <w:r w:rsidRPr="0039457F">
        <w:rPr>
          <w:rFonts w:cs="Sylfaen"/>
          <w:b w:val="0"/>
          <w:szCs w:val="22"/>
          <w:lang w:val="af-ZA"/>
        </w:rPr>
        <w:t xml:space="preserve"> </w:t>
      </w:r>
      <w:r w:rsidRPr="0039457F">
        <w:rPr>
          <w:rFonts w:cs="Sylfaen"/>
          <w:b w:val="0"/>
          <w:szCs w:val="22"/>
        </w:rPr>
        <w:t>ջրահեռացման</w:t>
      </w:r>
      <w:r w:rsidRPr="0039457F">
        <w:rPr>
          <w:rFonts w:cs="Sylfaen"/>
          <w:b w:val="0"/>
          <w:szCs w:val="22"/>
          <w:lang w:val="af-ZA"/>
        </w:rPr>
        <w:t xml:space="preserve"> </w:t>
      </w:r>
      <w:r w:rsidRPr="0039457F">
        <w:rPr>
          <w:rFonts w:cs="Sylfaen"/>
          <w:b w:val="0"/>
          <w:szCs w:val="22"/>
        </w:rPr>
        <w:t>սուբսիդավորման</w:t>
      </w:r>
      <w:r w:rsidRPr="0039457F">
        <w:rPr>
          <w:rFonts w:cs="Sylfaen"/>
          <w:b w:val="0"/>
          <w:szCs w:val="22"/>
          <w:lang w:val="af-ZA"/>
        </w:rPr>
        <w:t xml:space="preserve"> </w:t>
      </w:r>
      <w:r w:rsidRPr="0039457F">
        <w:rPr>
          <w:rFonts w:cs="Sylfaen"/>
          <w:b w:val="0"/>
          <w:szCs w:val="22"/>
        </w:rPr>
        <w:t>մասը՝</w:t>
      </w:r>
      <w:r w:rsidRPr="0039457F">
        <w:rPr>
          <w:rFonts w:cs="Sylfaen"/>
          <w:b w:val="0"/>
          <w:szCs w:val="22"/>
          <w:lang w:val="af-ZA"/>
        </w:rPr>
        <w:t xml:space="preserve"> 1.20 </w:t>
      </w:r>
      <w:r w:rsidRPr="0039457F">
        <w:rPr>
          <w:rFonts w:cs="Sylfaen"/>
          <w:b w:val="0"/>
          <w:szCs w:val="22"/>
        </w:rPr>
        <w:t>դրամ</w:t>
      </w:r>
      <w:r w:rsidRPr="0039457F">
        <w:rPr>
          <w:rFonts w:cs="Sylfaen"/>
          <w:b w:val="0"/>
          <w:szCs w:val="22"/>
          <w:lang w:val="af-ZA"/>
        </w:rPr>
        <w:t xml:space="preserve">): </w:t>
      </w:r>
      <w:r w:rsidRPr="0039457F">
        <w:rPr>
          <w:rFonts w:cs="Sylfaen"/>
          <w:b w:val="0"/>
          <w:szCs w:val="22"/>
        </w:rPr>
        <w:t>Բացի</w:t>
      </w:r>
      <w:r w:rsidRPr="0039457F">
        <w:rPr>
          <w:rFonts w:cs="Sylfaen"/>
          <w:b w:val="0"/>
          <w:szCs w:val="22"/>
          <w:lang w:val="af-ZA"/>
        </w:rPr>
        <w:t xml:space="preserve"> </w:t>
      </w:r>
      <w:r w:rsidRPr="0039457F">
        <w:rPr>
          <w:rFonts w:cs="Sylfaen"/>
          <w:b w:val="0"/>
          <w:szCs w:val="22"/>
        </w:rPr>
        <w:t>այդ</w:t>
      </w:r>
      <w:r w:rsidRPr="0039457F">
        <w:rPr>
          <w:rFonts w:cs="Sylfaen"/>
          <w:b w:val="0"/>
          <w:szCs w:val="22"/>
          <w:lang w:val="af-ZA"/>
        </w:rPr>
        <w:t xml:space="preserve">, </w:t>
      </w:r>
      <w:r w:rsidRPr="0039457F">
        <w:rPr>
          <w:rFonts w:cs="Sylfaen"/>
          <w:b w:val="0"/>
          <w:szCs w:val="22"/>
        </w:rPr>
        <w:t>շարունակվելու</w:t>
      </w:r>
      <w:r w:rsidRPr="0039457F">
        <w:rPr>
          <w:rFonts w:cs="Sylfaen"/>
          <w:b w:val="0"/>
          <w:szCs w:val="22"/>
          <w:lang w:val="af-ZA"/>
        </w:rPr>
        <w:t xml:space="preserve"> </w:t>
      </w:r>
      <w:r w:rsidRPr="0039457F">
        <w:rPr>
          <w:rFonts w:cs="Sylfaen"/>
          <w:b w:val="0"/>
          <w:szCs w:val="22"/>
        </w:rPr>
        <w:t>են</w:t>
      </w:r>
      <w:r w:rsidRPr="0039457F">
        <w:rPr>
          <w:rFonts w:cs="Sylfaen"/>
          <w:b w:val="0"/>
          <w:szCs w:val="22"/>
          <w:lang w:val="af-ZA"/>
        </w:rPr>
        <w:t xml:space="preserve"> </w:t>
      </w:r>
      <w:r w:rsidRPr="0039457F">
        <w:rPr>
          <w:rFonts w:cs="Sylfaen"/>
          <w:b w:val="0"/>
          <w:szCs w:val="22"/>
        </w:rPr>
        <w:t>թվով</w:t>
      </w:r>
      <w:r w:rsidRPr="0039457F">
        <w:rPr>
          <w:rFonts w:cs="Sylfaen"/>
          <w:b w:val="0"/>
          <w:szCs w:val="22"/>
          <w:lang w:val="af-ZA"/>
        </w:rPr>
        <w:t xml:space="preserve"> </w:t>
      </w:r>
      <w:r w:rsidRPr="0039457F">
        <w:rPr>
          <w:rFonts w:cs="Sylfaen"/>
          <w:b w:val="0"/>
          <w:szCs w:val="22"/>
          <w:lang w:val="hy-AM"/>
        </w:rPr>
        <w:t>8</w:t>
      </w:r>
      <w:r w:rsidRPr="0039457F">
        <w:rPr>
          <w:rFonts w:cs="Sylfaen"/>
          <w:b w:val="0"/>
          <w:szCs w:val="22"/>
          <w:lang w:val="af-ZA"/>
        </w:rPr>
        <w:t xml:space="preserve"> </w:t>
      </w:r>
      <w:r w:rsidRPr="0039457F">
        <w:rPr>
          <w:rFonts w:cs="Sylfaen"/>
          <w:b w:val="0"/>
          <w:szCs w:val="22"/>
        </w:rPr>
        <w:t>բնակավայրերի</w:t>
      </w:r>
      <w:r w:rsidRPr="0039457F">
        <w:rPr>
          <w:rFonts w:cs="Sylfaen"/>
          <w:b w:val="0"/>
          <w:szCs w:val="22"/>
          <w:lang w:val="af-ZA"/>
        </w:rPr>
        <w:t xml:space="preserve"> </w:t>
      </w:r>
      <w:r w:rsidRPr="0039457F">
        <w:rPr>
          <w:rFonts w:cs="Sylfaen"/>
          <w:b w:val="0"/>
          <w:szCs w:val="22"/>
        </w:rPr>
        <w:t>ջրամատակարարման</w:t>
      </w:r>
      <w:r w:rsidRPr="0039457F">
        <w:rPr>
          <w:rFonts w:cs="Sylfaen"/>
          <w:b w:val="0"/>
          <w:szCs w:val="22"/>
          <w:lang w:val="af-ZA"/>
        </w:rPr>
        <w:t xml:space="preserve"> </w:t>
      </w:r>
      <w:r w:rsidRPr="0039457F">
        <w:rPr>
          <w:rFonts w:cs="Sylfaen"/>
          <w:b w:val="0"/>
          <w:szCs w:val="22"/>
        </w:rPr>
        <w:t>և</w:t>
      </w:r>
      <w:r w:rsidRPr="0039457F">
        <w:rPr>
          <w:rFonts w:cs="Sylfaen"/>
          <w:b w:val="0"/>
          <w:szCs w:val="22"/>
          <w:lang w:val="af-ZA"/>
        </w:rPr>
        <w:t xml:space="preserve"> </w:t>
      </w:r>
      <w:r w:rsidRPr="0039457F">
        <w:rPr>
          <w:rFonts w:cs="Sylfaen"/>
          <w:b w:val="0"/>
          <w:szCs w:val="22"/>
        </w:rPr>
        <w:t>ջրահեռացման</w:t>
      </w:r>
      <w:r w:rsidRPr="0039457F">
        <w:rPr>
          <w:rFonts w:cs="Sylfaen"/>
          <w:b w:val="0"/>
          <w:szCs w:val="22"/>
          <w:lang w:val="af-ZA"/>
        </w:rPr>
        <w:t xml:space="preserve"> </w:t>
      </w:r>
      <w:r w:rsidRPr="0039457F">
        <w:rPr>
          <w:rFonts w:cs="Sylfaen"/>
          <w:b w:val="0"/>
          <w:szCs w:val="22"/>
        </w:rPr>
        <w:t>համակարգերի</w:t>
      </w:r>
      <w:r w:rsidRPr="0039457F">
        <w:rPr>
          <w:rFonts w:cs="Sylfaen"/>
          <w:b w:val="0"/>
          <w:szCs w:val="22"/>
          <w:lang w:val="af-ZA"/>
        </w:rPr>
        <w:t xml:space="preserve"> </w:t>
      </w:r>
      <w:r w:rsidRPr="0039457F">
        <w:rPr>
          <w:rFonts w:cs="Sylfaen"/>
          <w:b w:val="0"/>
          <w:szCs w:val="22"/>
        </w:rPr>
        <w:t>հիմնանորոգման</w:t>
      </w:r>
      <w:r w:rsidRPr="0039457F">
        <w:rPr>
          <w:rFonts w:cs="Sylfaen"/>
          <w:b w:val="0"/>
          <w:szCs w:val="22"/>
          <w:lang w:val="af-ZA"/>
        </w:rPr>
        <w:t xml:space="preserve"> </w:t>
      </w:r>
      <w:r w:rsidRPr="0039457F">
        <w:rPr>
          <w:rFonts w:cs="Sylfaen"/>
          <w:b w:val="0"/>
          <w:szCs w:val="22"/>
        </w:rPr>
        <w:t>և</w:t>
      </w:r>
      <w:r w:rsidRPr="0039457F">
        <w:rPr>
          <w:rFonts w:cs="Sylfaen"/>
          <w:b w:val="0"/>
          <w:szCs w:val="22"/>
          <w:lang w:val="af-ZA"/>
        </w:rPr>
        <w:t xml:space="preserve"> </w:t>
      </w:r>
      <w:r w:rsidRPr="0039457F">
        <w:rPr>
          <w:rFonts w:cs="Sylfaen"/>
          <w:b w:val="0"/>
          <w:szCs w:val="22"/>
        </w:rPr>
        <w:t>կառուցման</w:t>
      </w:r>
      <w:r w:rsidRPr="0039457F">
        <w:rPr>
          <w:rFonts w:cs="Sylfaen"/>
          <w:b w:val="0"/>
          <w:szCs w:val="22"/>
          <w:lang w:val="af-ZA"/>
        </w:rPr>
        <w:t xml:space="preserve"> </w:t>
      </w:r>
      <w:r w:rsidRPr="0039457F">
        <w:rPr>
          <w:rFonts w:cs="Sylfaen"/>
          <w:b w:val="0"/>
          <w:szCs w:val="22"/>
        </w:rPr>
        <w:t>աշխատանքները</w:t>
      </w:r>
      <w:r w:rsidRPr="0039457F">
        <w:rPr>
          <w:rFonts w:cs="Sylfaen"/>
          <w:b w:val="0"/>
          <w:szCs w:val="22"/>
          <w:lang w:val="af-ZA"/>
        </w:rPr>
        <w:t>:</w:t>
      </w:r>
    </w:p>
    <w:p w14:paraId="1AB5C7DD" w14:textId="77777777" w:rsidR="001A149E" w:rsidRPr="0039457F" w:rsidRDefault="001A149E" w:rsidP="00AC1E1E">
      <w:pPr>
        <w:widowControl w:val="0"/>
        <w:rPr>
          <w:b w:val="0"/>
          <w:color w:val="0D0D0D"/>
          <w:szCs w:val="22"/>
          <w:lang w:val="af-ZA"/>
        </w:rPr>
      </w:pPr>
      <w:r w:rsidRPr="0039457F">
        <w:rPr>
          <w:b w:val="0"/>
          <w:color w:val="0D0D0D"/>
          <w:szCs w:val="22"/>
          <w:lang w:val="af-ZA"/>
        </w:rPr>
        <w:t>Արտաքին աղբյուրների ֆինանսավորմամբ իրականացվող շարունակական ծրագրերի ներքո նախատեսվում է բարելավել Երևանի ջրամատակարարումը</w:t>
      </w:r>
      <w:r w:rsidRPr="0039457F">
        <w:rPr>
          <w:b w:val="0"/>
          <w:color w:val="0D0D0D"/>
          <w:szCs w:val="22"/>
          <w:lang w:val="hy-AM"/>
        </w:rPr>
        <w:t>՝</w:t>
      </w:r>
      <w:r w:rsidRPr="0039457F">
        <w:rPr>
          <w:b w:val="0"/>
          <w:color w:val="0D0D0D"/>
          <w:szCs w:val="22"/>
          <w:lang w:val="af-ZA"/>
        </w:rPr>
        <w:t xml:space="preserve"> Հաղթանակ, Սիլիկյան և Մալաթիա թաղամասերում, ինչպես նաև </w:t>
      </w:r>
      <w:r w:rsidRPr="0039457F">
        <w:rPr>
          <w:b w:val="0"/>
          <w:color w:val="0D0D0D"/>
          <w:szCs w:val="22"/>
          <w:lang w:val="hy-AM"/>
        </w:rPr>
        <w:t xml:space="preserve">իրականացնել </w:t>
      </w:r>
      <w:r w:rsidRPr="0039457F">
        <w:rPr>
          <w:b w:val="0"/>
          <w:color w:val="0D0D0D"/>
          <w:szCs w:val="22"/>
          <w:lang w:val="af-ZA"/>
        </w:rPr>
        <w:t xml:space="preserve">ՀՀ մարզերում մեկնարկած ջրամատակարարման և ջրահեռացման համակարգերի վերականգնման աշխատանքները։ Երևանում նախատեսվում է նորոգել ընդհանուր առմամբ </w:t>
      </w:r>
      <w:r w:rsidRPr="0039457F">
        <w:rPr>
          <w:b w:val="0"/>
          <w:color w:val="0D0D0D"/>
          <w:szCs w:val="22"/>
          <w:lang w:val="hy-AM"/>
        </w:rPr>
        <w:t>51</w:t>
      </w:r>
      <w:r w:rsidRPr="0039457F">
        <w:rPr>
          <w:b w:val="0"/>
          <w:color w:val="0D0D0D"/>
          <w:szCs w:val="22"/>
          <w:lang w:val="af-ZA"/>
        </w:rPr>
        <w:t xml:space="preserve"> կմ ջրագիծ, 26,4 կմ մուտքագիծ և </w:t>
      </w:r>
      <w:r w:rsidRPr="0039457F">
        <w:rPr>
          <w:b w:val="0"/>
          <w:color w:val="0D0D0D"/>
          <w:szCs w:val="22"/>
          <w:lang w:val="hy-AM"/>
        </w:rPr>
        <w:t>3200</w:t>
      </w:r>
      <w:r w:rsidRPr="0039457F">
        <w:rPr>
          <w:b w:val="0"/>
          <w:color w:val="0D0D0D"/>
          <w:szCs w:val="22"/>
          <w:lang w:val="af-ZA"/>
        </w:rPr>
        <w:t xml:space="preserve"> հատ տնային միացումներ։ ՀՀ մարզերում ընդհանուր առմամբ նախատեսվում է նորոգել 255,5 կմ ջրագիծ, 10.5 կմ կոյուղագիծ և իրականացնել 8700 հատ տնային միացումներ։</w:t>
      </w:r>
    </w:p>
    <w:p w14:paraId="4AC11D36" w14:textId="77777777" w:rsidR="001A149E" w:rsidRPr="0039457F" w:rsidRDefault="001A149E" w:rsidP="00AC1E1E">
      <w:pPr>
        <w:widowControl w:val="0"/>
        <w:rPr>
          <w:b w:val="0"/>
          <w:szCs w:val="22"/>
          <w:lang w:val="af-ZA"/>
        </w:rPr>
      </w:pPr>
      <w:r w:rsidRPr="0039457F">
        <w:rPr>
          <w:rFonts w:cs="Sylfaen"/>
          <w:szCs w:val="22"/>
          <w:lang w:val="hy-AM"/>
        </w:rPr>
        <w:t>Ընդերքի</w:t>
      </w:r>
      <w:r w:rsidRPr="0039457F">
        <w:rPr>
          <w:rFonts w:cs="Sylfaen"/>
          <w:szCs w:val="22"/>
          <w:lang w:val="af-ZA"/>
        </w:rPr>
        <w:t xml:space="preserve"> </w:t>
      </w:r>
      <w:r w:rsidRPr="0039457F">
        <w:rPr>
          <w:rFonts w:cs="Sylfaen"/>
          <w:szCs w:val="22"/>
          <w:lang w:val="hy-AM"/>
        </w:rPr>
        <w:t>ուսումնասիրության</w:t>
      </w:r>
      <w:r w:rsidRPr="0039457F">
        <w:rPr>
          <w:rFonts w:cs="Sylfaen"/>
          <w:szCs w:val="22"/>
          <w:lang w:val="af-ZA"/>
        </w:rPr>
        <w:t xml:space="preserve">, </w:t>
      </w:r>
      <w:r w:rsidRPr="0039457F">
        <w:rPr>
          <w:rFonts w:cs="Sylfaen"/>
          <w:szCs w:val="22"/>
          <w:lang w:val="hy-AM"/>
        </w:rPr>
        <w:t>օգտագործման</w:t>
      </w:r>
      <w:r w:rsidRPr="0039457F">
        <w:rPr>
          <w:rFonts w:cs="Sylfaen"/>
          <w:szCs w:val="22"/>
          <w:lang w:val="af-ZA"/>
        </w:rPr>
        <w:t xml:space="preserve"> </w:t>
      </w:r>
      <w:r w:rsidRPr="0039457F">
        <w:rPr>
          <w:rFonts w:cs="Sylfaen"/>
          <w:szCs w:val="22"/>
          <w:lang w:val="hy-AM"/>
        </w:rPr>
        <w:t>և</w:t>
      </w:r>
      <w:r w:rsidRPr="0039457F">
        <w:rPr>
          <w:rFonts w:cs="Sylfaen"/>
          <w:szCs w:val="22"/>
          <w:lang w:val="af-ZA"/>
        </w:rPr>
        <w:t xml:space="preserve"> </w:t>
      </w:r>
      <w:r w:rsidRPr="0039457F">
        <w:rPr>
          <w:rFonts w:cs="Sylfaen"/>
          <w:szCs w:val="22"/>
          <w:lang w:val="hy-AM"/>
        </w:rPr>
        <w:t>պահպանման</w:t>
      </w:r>
      <w:r w:rsidRPr="0039457F">
        <w:rPr>
          <w:rFonts w:cs="Sylfaen"/>
          <w:szCs w:val="22"/>
          <w:lang w:val="af-ZA"/>
        </w:rPr>
        <w:t xml:space="preserve"> </w:t>
      </w:r>
      <w:r w:rsidRPr="0039457F">
        <w:rPr>
          <w:rFonts w:cs="Sylfaen"/>
          <w:szCs w:val="22"/>
          <w:lang w:val="hy-AM"/>
        </w:rPr>
        <w:t xml:space="preserve">ծառայություններ </w:t>
      </w:r>
      <w:r w:rsidRPr="0039457F">
        <w:rPr>
          <w:b w:val="0"/>
          <w:szCs w:val="22"/>
          <w:lang w:val="hy-AM"/>
        </w:rPr>
        <w:t>ծրագրի</w:t>
      </w:r>
      <w:r w:rsidRPr="0039457F">
        <w:rPr>
          <w:b w:val="0"/>
          <w:szCs w:val="22"/>
          <w:lang w:val="af-ZA"/>
        </w:rPr>
        <w:t xml:space="preserve"> </w:t>
      </w:r>
      <w:r w:rsidRPr="0039457F">
        <w:rPr>
          <w:b w:val="0"/>
          <w:szCs w:val="22"/>
          <w:lang w:val="hy-AM"/>
        </w:rPr>
        <w:t>գծով</w:t>
      </w:r>
      <w:r w:rsidRPr="0039457F">
        <w:rPr>
          <w:b w:val="0"/>
          <w:szCs w:val="22"/>
          <w:lang w:val="af-ZA"/>
        </w:rPr>
        <w:t xml:space="preserve"> 202</w:t>
      </w:r>
      <w:r w:rsidRPr="0039457F">
        <w:rPr>
          <w:b w:val="0"/>
          <w:szCs w:val="22"/>
          <w:lang w:val="hy-AM"/>
        </w:rPr>
        <w:t>4</w:t>
      </w:r>
      <w:r w:rsidRPr="0039457F">
        <w:rPr>
          <w:b w:val="0"/>
          <w:szCs w:val="22"/>
          <w:lang w:val="af-ZA"/>
        </w:rPr>
        <w:t xml:space="preserve"> </w:t>
      </w:r>
      <w:r w:rsidRPr="0039457F">
        <w:rPr>
          <w:b w:val="0"/>
          <w:szCs w:val="22"/>
          <w:lang w:val="hy-AM"/>
        </w:rPr>
        <w:t>թվականին</w:t>
      </w:r>
      <w:r w:rsidRPr="0039457F">
        <w:rPr>
          <w:b w:val="0"/>
          <w:szCs w:val="22"/>
          <w:lang w:val="af-ZA"/>
        </w:rPr>
        <w:t xml:space="preserve"> </w:t>
      </w:r>
      <w:r w:rsidRPr="0039457F">
        <w:rPr>
          <w:b w:val="0"/>
          <w:szCs w:val="22"/>
          <w:lang w:val="hy-AM"/>
        </w:rPr>
        <w:t>նախատեսվել</w:t>
      </w:r>
      <w:r w:rsidRPr="0039457F">
        <w:rPr>
          <w:b w:val="0"/>
          <w:szCs w:val="22"/>
          <w:lang w:val="af-ZA"/>
        </w:rPr>
        <w:t xml:space="preserve"> </w:t>
      </w:r>
      <w:r w:rsidRPr="0039457F">
        <w:rPr>
          <w:b w:val="0"/>
          <w:szCs w:val="22"/>
          <w:lang w:val="hy-AM"/>
        </w:rPr>
        <w:t>է</w:t>
      </w:r>
      <w:r w:rsidRPr="0039457F">
        <w:rPr>
          <w:b w:val="0"/>
          <w:szCs w:val="22"/>
          <w:lang w:val="af-ZA"/>
        </w:rPr>
        <w:t xml:space="preserve"> 2</w:t>
      </w:r>
      <w:r w:rsidRPr="0039457F">
        <w:rPr>
          <w:b w:val="0"/>
          <w:szCs w:val="22"/>
          <w:lang w:val="hy-AM"/>
        </w:rPr>
        <w:t>2.0մլն</w:t>
      </w:r>
      <w:r w:rsidRPr="0039457F">
        <w:rPr>
          <w:b w:val="0"/>
          <w:szCs w:val="22"/>
          <w:lang w:val="af-ZA"/>
        </w:rPr>
        <w:t xml:space="preserve"> </w:t>
      </w:r>
      <w:r w:rsidRPr="0039457F">
        <w:rPr>
          <w:b w:val="0"/>
          <w:szCs w:val="22"/>
          <w:lang w:val="hy-AM"/>
        </w:rPr>
        <w:t>դրամ</w:t>
      </w:r>
      <w:r w:rsidRPr="0039457F">
        <w:rPr>
          <w:b w:val="0"/>
          <w:szCs w:val="22"/>
          <w:lang w:val="af-ZA"/>
        </w:rPr>
        <w:t>.</w:t>
      </w:r>
    </w:p>
    <w:p w14:paraId="6D8A75BC" w14:textId="77777777" w:rsidR="001A149E" w:rsidRPr="0039457F" w:rsidRDefault="001A149E" w:rsidP="00AC1E1E">
      <w:pPr>
        <w:rPr>
          <w:b w:val="0"/>
          <w:szCs w:val="22"/>
          <w:lang w:val="af-ZA"/>
        </w:rPr>
      </w:pPr>
      <w:r w:rsidRPr="0039457F">
        <w:rPr>
          <w:b w:val="0"/>
          <w:szCs w:val="22"/>
          <w:lang w:val="hy-AM"/>
        </w:rPr>
        <w:t>Ծրագրի</w:t>
      </w:r>
      <w:r w:rsidRPr="0039457F">
        <w:rPr>
          <w:b w:val="0"/>
          <w:szCs w:val="22"/>
          <w:lang w:val="af-ZA"/>
        </w:rPr>
        <w:t xml:space="preserve"> </w:t>
      </w:r>
      <w:r w:rsidRPr="0039457F">
        <w:rPr>
          <w:b w:val="0"/>
          <w:szCs w:val="22"/>
          <w:lang w:val="hy-AM"/>
        </w:rPr>
        <w:t>նպատակն</w:t>
      </w:r>
      <w:r w:rsidRPr="0039457F">
        <w:rPr>
          <w:b w:val="0"/>
          <w:szCs w:val="22"/>
          <w:lang w:val="af-ZA"/>
        </w:rPr>
        <w:t xml:space="preserve"> </w:t>
      </w:r>
      <w:r w:rsidRPr="0039457F">
        <w:rPr>
          <w:b w:val="0"/>
          <w:szCs w:val="22"/>
          <w:lang w:val="hy-AM"/>
        </w:rPr>
        <w:t>է</w:t>
      </w:r>
      <w:r w:rsidRPr="0039457F">
        <w:rPr>
          <w:b w:val="0"/>
          <w:szCs w:val="22"/>
          <w:lang w:val="af-ZA"/>
        </w:rPr>
        <w:t xml:space="preserve"> </w:t>
      </w:r>
      <w:r w:rsidRPr="0039457F">
        <w:rPr>
          <w:b w:val="0"/>
          <w:szCs w:val="22"/>
        </w:rPr>
        <w:t>ե</w:t>
      </w:r>
      <w:r w:rsidRPr="0039457F">
        <w:rPr>
          <w:b w:val="0"/>
          <w:szCs w:val="22"/>
          <w:lang w:val="en-US"/>
        </w:rPr>
        <w:t>րկրաբանական</w:t>
      </w:r>
      <w:r w:rsidRPr="0039457F">
        <w:rPr>
          <w:b w:val="0"/>
          <w:szCs w:val="22"/>
          <w:lang w:val="af-ZA"/>
        </w:rPr>
        <w:t xml:space="preserve"> </w:t>
      </w:r>
      <w:r w:rsidRPr="0039457F">
        <w:rPr>
          <w:b w:val="0"/>
          <w:szCs w:val="22"/>
          <w:lang w:val="en-US"/>
        </w:rPr>
        <w:t>տեղեկության</w:t>
      </w:r>
      <w:r w:rsidRPr="0039457F">
        <w:rPr>
          <w:b w:val="0"/>
          <w:szCs w:val="22"/>
          <w:lang w:val="af-ZA"/>
        </w:rPr>
        <w:t xml:space="preserve"> </w:t>
      </w:r>
      <w:r w:rsidRPr="0039457F">
        <w:rPr>
          <w:b w:val="0"/>
          <w:szCs w:val="22"/>
          <w:lang w:val="en-US"/>
        </w:rPr>
        <w:t>ընդունում</w:t>
      </w:r>
      <w:r w:rsidRPr="0039457F">
        <w:rPr>
          <w:b w:val="0"/>
          <w:szCs w:val="22"/>
        </w:rPr>
        <w:t>ը</w:t>
      </w:r>
      <w:r w:rsidRPr="0039457F">
        <w:rPr>
          <w:b w:val="0"/>
          <w:szCs w:val="22"/>
          <w:lang w:val="af-ZA"/>
        </w:rPr>
        <w:t xml:space="preserve"> </w:t>
      </w:r>
      <w:r w:rsidRPr="0039457F">
        <w:rPr>
          <w:b w:val="0"/>
          <w:szCs w:val="22"/>
          <w:lang w:val="en-US"/>
        </w:rPr>
        <w:t>և</w:t>
      </w:r>
      <w:r w:rsidRPr="0039457F">
        <w:rPr>
          <w:b w:val="0"/>
          <w:szCs w:val="22"/>
          <w:lang w:val="af-ZA"/>
        </w:rPr>
        <w:t xml:space="preserve"> </w:t>
      </w:r>
      <w:r w:rsidRPr="0039457F">
        <w:rPr>
          <w:b w:val="0"/>
          <w:szCs w:val="22"/>
          <w:lang w:val="en-US"/>
        </w:rPr>
        <w:t>պահպանում</w:t>
      </w:r>
      <w:r w:rsidRPr="0039457F">
        <w:rPr>
          <w:b w:val="0"/>
          <w:szCs w:val="22"/>
        </w:rPr>
        <w:t>ը</w:t>
      </w:r>
      <w:r w:rsidRPr="0039457F">
        <w:rPr>
          <w:b w:val="0"/>
          <w:szCs w:val="22"/>
          <w:lang w:val="af-ZA"/>
        </w:rPr>
        <w:t xml:space="preserve">, </w:t>
      </w:r>
      <w:r w:rsidRPr="0039457F">
        <w:rPr>
          <w:b w:val="0"/>
          <w:szCs w:val="22"/>
          <w:lang w:val="en-US"/>
        </w:rPr>
        <w:t>ընդերքօգտագործման</w:t>
      </w:r>
      <w:r w:rsidRPr="0039457F">
        <w:rPr>
          <w:b w:val="0"/>
          <w:szCs w:val="22"/>
          <w:lang w:val="af-ZA"/>
        </w:rPr>
        <w:t xml:space="preserve"> </w:t>
      </w:r>
      <w:r w:rsidRPr="0039457F">
        <w:rPr>
          <w:b w:val="0"/>
          <w:szCs w:val="22"/>
          <w:lang w:val="en-US"/>
        </w:rPr>
        <w:t>ֆոնդի</w:t>
      </w:r>
      <w:r w:rsidRPr="0039457F">
        <w:rPr>
          <w:b w:val="0"/>
          <w:szCs w:val="22"/>
          <w:lang w:val="af-ZA"/>
        </w:rPr>
        <w:t xml:space="preserve"> </w:t>
      </w:r>
      <w:r w:rsidRPr="0039457F">
        <w:rPr>
          <w:b w:val="0"/>
          <w:szCs w:val="22"/>
          <w:lang w:val="en-US"/>
        </w:rPr>
        <w:t>ստեղծում</w:t>
      </w:r>
      <w:r w:rsidRPr="0039457F">
        <w:rPr>
          <w:b w:val="0"/>
          <w:szCs w:val="22"/>
        </w:rPr>
        <w:t>ը</w:t>
      </w:r>
      <w:r w:rsidRPr="0039457F">
        <w:rPr>
          <w:b w:val="0"/>
          <w:szCs w:val="22"/>
          <w:lang w:val="af-ZA"/>
        </w:rPr>
        <w:t xml:space="preserve"> </w:t>
      </w:r>
      <w:r w:rsidRPr="0039457F">
        <w:rPr>
          <w:b w:val="0"/>
          <w:szCs w:val="22"/>
          <w:lang w:val="en-US"/>
        </w:rPr>
        <w:t>և</w:t>
      </w:r>
      <w:r w:rsidRPr="0039457F">
        <w:rPr>
          <w:b w:val="0"/>
          <w:szCs w:val="22"/>
          <w:lang w:val="af-ZA"/>
        </w:rPr>
        <w:t xml:space="preserve"> </w:t>
      </w:r>
      <w:r w:rsidRPr="0039457F">
        <w:rPr>
          <w:b w:val="0"/>
          <w:szCs w:val="22"/>
          <w:lang w:val="en-US"/>
        </w:rPr>
        <w:t>վարում</w:t>
      </w:r>
      <w:r w:rsidRPr="0039457F">
        <w:rPr>
          <w:b w:val="0"/>
          <w:szCs w:val="22"/>
        </w:rPr>
        <w:t>ը</w:t>
      </w:r>
      <w:r w:rsidRPr="0039457F">
        <w:rPr>
          <w:b w:val="0"/>
          <w:szCs w:val="22"/>
          <w:lang w:val="af-ZA"/>
        </w:rPr>
        <w:t xml:space="preserve">, </w:t>
      </w:r>
      <w:r w:rsidRPr="0039457F">
        <w:rPr>
          <w:b w:val="0"/>
          <w:szCs w:val="22"/>
          <w:lang w:val="en-US"/>
        </w:rPr>
        <w:t>պաշարների</w:t>
      </w:r>
      <w:r w:rsidRPr="0039457F">
        <w:rPr>
          <w:b w:val="0"/>
          <w:szCs w:val="22"/>
          <w:lang w:val="af-ZA"/>
        </w:rPr>
        <w:t xml:space="preserve"> </w:t>
      </w:r>
      <w:r w:rsidRPr="0039457F">
        <w:rPr>
          <w:b w:val="0"/>
          <w:szCs w:val="22"/>
          <w:lang w:val="en-US"/>
        </w:rPr>
        <w:t>պետական</w:t>
      </w:r>
      <w:r w:rsidRPr="0039457F">
        <w:rPr>
          <w:b w:val="0"/>
          <w:szCs w:val="22"/>
          <w:lang w:val="af-ZA"/>
        </w:rPr>
        <w:t xml:space="preserve"> </w:t>
      </w:r>
      <w:r w:rsidRPr="0039457F">
        <w:rPr>
          <w:b w:val="0"/>
          <w:szCs w:val="22"/>
          <w:lang w:val="en-US"/>
        </w:rPr>
        <w:t>հաշվեկշռի</w:t>
      </w:r>
      <w:r w:rsidRPr="0039457F">
        <w:rPr>
          <w:b w:val="0"/>
          <w:szCs w:val="22"/>
          <w:lang w:val="af-ZA"/>
        </w:rPr>
        <w:t xml:space="preserve">, </w:t>
      </w:r>
      <w:r w:rsidRPr="0039457F">
        <w:rPr>
          <w:b w:val="0"/>
          <w:szCs w:val="22"/>
          <w:lang w:val="en-US"/>
        </w:rPr>
        <w:t>հանքավայրերի</w:t>
      </w:r>
      <w:r w:rsidRPr="0039457F">
        <w:rPr>
          <w:b w:val="0"/>
          <w:szCs w:val="22"/>
          <w:lang w:val="af-ZA"/>
        </w:rPr>
        <w:t xml:space="preserve"> </w:t>
      </w:r>
      <w:r w:rsidRPr="0039457F">
        <w:rPr>
          <w:b w:val="0"/>
          <w:szCs w:val="22"/>
          <w:lang w:val="en-US"/>
        </w:rPr>
        <w:t>և</w:t>
      </w:r>
      <w:r w:rsidRPr="0039457F">
        <w:rPr>
          <w:b w:val="0"/>
          <w:szCs w:val="22"/>
          <w:lang w:val="af-ZA"/>
        </w:rPr>
        <w:t xml:space="preserve"> </w:t>
      </w:r>
      <w:r w:rsidRPr="0039457F">
        <w:rPr>
          <w:b w:val="0"/>
          <w:szCs w:val="22"/>
          <w:lang w:val="en-US"/>
        </w:rPr>
        <w:t>երևակումների</w:t>
      </w:r>
      <w:r w:rsidRPr="0039457F">
        <w:rPr>
          <w:b w:val="0"/>
          <w:szCs w:val="22"/>
          <w:lang w:val="af-ZA"/>
        </w:rPr>
        <w:t xml:space="preserve"> </w:t>
      </w:r>
      <w:r w:rsidRPr="0039457F">
        <w:rPr>
          <w:b w:val="0"/>
          <w:szCs w:val="22"/>
          <w:lang w:val="en-US"/>
        </w:rPr>
        <w:t>պետական</w:t>
      </w:r>
      <w:r w:rsidRPr="0039457F">
        <w:rPr>
          <w:b w:val="0"/>
          <w:szCs w:val="22"/>
          <w:lang w:val="af-ZA"/>
        </w:rPr>
        <w:t xml:space="preserve"> </w:t>
      </w:r>
      <w:r w:rsidRPr="0039457F">
        <w:rPr>
          <w:b w:val="0"/>
          <w:szCs w:val="22"/>
          <w:lang w:val="en-US"/>
        </w:rPr>
        <w:t>կադաստրի</w:t>
      </w:r>
      <w:r w:rsidRPr="0039457F">
        <w:rPr>
          <w:b w:val="0"/>
          <w:szCs w:val="22"/>
          <w:lang w:val="af-ZA"/>
        </w:rPr>
        <w:t xml:space="preserve"> </w:t>
      </w:r>
      <w:r w:rsidRPr="0039457F">
        <w:rPr>
          <w:b w:val="0"/>
          <w:szCs w:val="22"/>
          <w:lang w:val="en-US"/>
        </w:rPr>
        <w:t>վարումը</w:t>
      </w:r>
      <w:r w:rsidRPr="0039457F">
        <w:rPr>
          <w:b w:val="0"/>
          <w:szCs w:val="22"/>
          <w:lang w:val="af-ZA"/>
        </w:rPr>
        <w:t xml:space="preserve">, </w:t>
      </w:r>
      <w:r w:rsidRPr="0039457F">
        <w:rPr>
          <w:b w:val="0"/>
          <w:szCs w:val="22"/>
          <w:lang w:val="en-US"/>
        </w:rPr>
        <w:t>իրավունքների</w:t>
      </w:r>
      <w:r w:rsidRPr="0039457F">
        <w:rPr>
          <w:b w:val="0"/>
          <w:szCs w:val="22"/>
          <w:lang w:val="af-ZA"/>
        </w:rPr>
        <w:t xml:space="preserve"> </w:t>
      </w:r>
      <w:r w:rsidRPr="0039457F">
        <w:rPr>
          <w:b w:val="0"/>
          <w:szCs w:val="22"/>
          <w:lang w:val="en-US"/>
        </w:rPr>
        <w:t>պետական</w:t>
      </w:r>
      <w:r w:rsidRPr="0039457F">
        <w:rPr>
          <w:b w:val="0"/>
          <w:szCs w:val="22"/>
          <w:lang w:val="af-ZA"/>
        </w:rPr>
        <w:t xml:space="preserve"> </w:t>
      </w:r>
      <w:r w:rsidRPr="0039457F">
        <w:rPr>
          <w:b w:val="0"/>
          <w:szCs w:val="22"/>
          <w:lang w:val="en-US"/>
        </w:rPr>
        <w:t>հաշվառումը</w:t>
      </w:r>
      <w:r w:rsidRPr="0039457F">
        <w:rPr>
          <w:b w:val="0"/>
          <w:szCs w:val="22"/>
          <w:lang w:val="af-ZA"/>
        </w:rPr>
        <w:t xml:space="preserve">, </w:t>
      </w:r>
      <w:r w:rsidRPr="0039457F">
        <w:rPr>
          <w:b w:val="0"/>
          <w:szCs w:val="22"/>
          <w:lang w:val="en-US"/>
        </w:rPr>
        <w:t>տեղեկատվության</w:t>
      </w:r>
      <w:r w:rsidRPr="0039457F">
        <w:rPr>
          <w:b w:val="0"/>
          <w:szCs w:val="22"/>
          <w:lang w:val="af-ZA"/>
        </w:rPr>
        <w:t xml:space="preserve"> </w:t>
      </w:r>
      <w:r w:rsidRPr="0039457F">
        <w:rPr>
          <w:b w:val="0"/>
          <w:szCs w:val="22"/>
          <w:lang w:val="en-US"/>
        </w:rPr>
        <w:t>վերլուծումը</w:t>
      </w:r>
      <w:r w:rsidRPr="0039457F">
        <w:rPr>
          <w:b w:val="0"/>
          <w:szCs w:val="22"/>
          <w:lang w:val="af-ZA"/>
        </w:rPr>
        <w:t xml:space="preserve"> </w:t>
      </w:r>
      <w:r w:rsidRPr="0039457F">
        <w:rPr>
          <w:b w:val="0"/>
          <w:szCs w:val="22"/>
          <w:lang w:val="en-US"/>
        </w:rPr>
        <w:t>և</w:t>
      </w:r>
      <w:r w:rsidRPr="0039457F">
        <w:rPr>
          <w:b w:val="0"/>
          <w:szCs w:val="22"/>
          <w:lang w:val="af-ZA"/>
        </w:rPr>
        <w:t xml:space="preserve"> </w:t>
      </w:r>
      <w:r w:rsidRPr="0039457F">
        <w:rPr>
          <w:b w:val="0"/>
          <w:szCs w:val="22"/>
          <w:lang w:val="en-US"/>
        </w:rPr>
        <w:t>տրամադրումը</w:t>
      </w:r>
      <w:r w:rsidRPr="0039457F">
        <w:rPr>
          <w:b w:val="0"/>
          <w:szCs w:val="22"/>
          <w:lang w:val="af-ZA"/>
        </w:rPr>
        <w:t>:</w:t>
      </w:r>
    </w:p>
    <w:p w14:paraId="73D39452" w14:textId="77777777" w:rsidR="001A149E" w:rsidRPr="0039457F" w:rsidRDefault="001A149E" w:rsidP="00AC1E1E">
      <w:pPr>
        <w:rPr>
          <w:b w:val="0"/>
          <w:szCs w:val="22"/>
          <w:lang w:val="af-ZA"/>
        </w:rPr>
      </w:pPr>
      <w:r w:rsidRPr="0039457F">
        <w:rPr>
          <w:b w:val="0"/>
          <w:szCs w:val="22"/>
          <w:lang w:val="en-US"/>
        </w:rPr>
        <w:lastRenderedPageBreak/>
        <w:t>Ծրագրի</w:t>
      </w:r>
      <w:r w:rsidRPr="0039457F">
        <w:rPr>
          <w:b w:val="0"/>
          <w:szCs w:val="22"/>
          <w:lang w:val="af-ZA"/>
        </w:rPr>
        <w:t xml:space="preserve"> </w:t>
      </w:r>
      <w:r w:rsidRPr="0039457F">
        <w:rPr>
          <w:b w:val="0"/>
          <w:szCs w:val="22"/>
          <w:lang w:val="en-US"/>
        </w:rPr>
        <w:t>շրջանակներում</w:t>
      </w:r>
      <w:r w:rsidRPr="0039457F">
        <w:rPr>
          <w:b w:val="0"/>
          <w:szCs w:val="22"/>
          <w:lang w:val="af-ZA"/>
        </w:rPr>
        <w:t xml:space="preserve"> </w:t>
      </w:r>
      <w:r w:rsidRPr="0039457F">
        <w:rPr>
          <w:b w:val="0"/>
          <w:szCs w:val="22"/>
          <w:lang w:val="en-US"/>
        </w:rPr>
        <w:t>նախատեսվում</w:t>
      </w:r>
      <w:r w:rsidRPr="0039457F">
        <w:rPr>
          <w:b w:val="0"/>
          <w:szCs w:val="22"/>
          <w:lang w:val="af-ZA"/>
        </w:rPr>
        <w:t xml:space="preserve"> </w:t>
      </w:r>
      <w:r w:rsidRPr="0039457F">
        <w:rPr>
          <w:b w:val="0"/>
          <w:szCs w:val="22"/>
          <w:lang w:val="en-US"/>
        </w:rPr>
        <w:t>է</w:t>
      </w:r>
      <w:r w:rsidRPr="0039457F">
        <w:rPr>
          <w:b w:val="0"/>
          <w:szCs w:val="22"/>
          <w:lang w:val="af-ZA"/>
        </w:rPr>
        <w:t xml:space="preserve"> 15</w:t>
      </w:r>
      <w:r w:rsidRPr="0039457F">
        <w:rPr>
          <w:b w:val="0"/>
          <w:szCs w:val="22"/>
          <w:lang w:val="hy-AM"/>
        </w:rPr>
        <w:t>8</w:t>
      </w:r>
      <w:r w:rsidRPr="0039457F">
        <w:rPr>
          <w:b w:val="0"/>
          <w:szCs w:val="22"/>
          <w:lang w:val="af-ZA"/>
        </w:rPr>
        <w:t xml:space="preserve">0 </w:t>
      </w:r>
      <w:r w:rsidRPr="0039457F">
        <w:rPr>
          <w:b w:val="0"/>
          <w:szCs w:val="22"/>
          <w:lang w:val="en-US"/>
        </w:rPr>
        <w:t>երկրաբանական</w:t>
      </w:r>
      <w:r w:rsidRPr="0039457F">
        <w:rPr>
          <w:b w:val="0"/>
          <w:szCs w:val="22"/>
          <w:lang w:val="af-ZA"/>
        </w:rPr>
        <w:t xml:space="preserve"> </w:t>
      </w:r>
      <w:r w:rsidRPr="0039457F">
        <w:rPr>
          <w:b w:val="0"/>
          <w:szCs w:val="22"/>
          <w:lang w:val="en-US"/>
        </w:rPr>
        <w:t>նյութերի</w:t>
      </w:r>
      <w:r w:rsidRPr="0039457F">
        <w:rPr>
          <w:b w:val="0"/>
          <w:szCs w:val="22"/>
          <w:lang w:val="af-ZA"/>
        </w:rPr>
        <w:t xml:space="preserve"> </w:t>
      </w:r>
      <w:r w:rsidRPr="0039457F">
        <w:rPr>
          <w:b w:val="0"/>
          <w:szCs w:val="22"/>
          <w:lang w:val="en-US"/>
        </w:rPr>
        <w:t>ուսումնասիրությունների</w:t>
      </w:r>
      <w:r w:rsidRPr="0039457F">
        <w:rPr>
          <w:b w:val="0"/>
          <w:szCs w:val="22"/>
          <w:lang w:val="af-ZA"/>
        </w:rPr>
        <w:t xml:space="preserve"> </w:t>
      </w:r>
      <w:r w:rsidRPr="0039457F">
        <w:rPr>
          <w:b w:val="0"/>
          <w:szCs w:val="22"/>
          <w:lang w:val="en-US"/>
        </w:rPr>
        <w:t>վերաբերյալ</w:t>
      </w:r>
      <w:r w:rsidRPr="0039457F">
        <w:rPr>
          <w:b w:val="0"/>
          <w:szCs w:val="22"/>
          <w:lang w:val="af-ZA"/>
        </w:rPr>
        <w:t xml:space="preserve"> </w:t>
      </w:r>
      <w:r w:rsidRPr="0039457F">
        <w:rPr>
          <w:b w:val="0"/>
          <w:szCs w:val="22"/>
          <w:lang w:val="en-US"/>
        </w:rPr>
        <w:t>տեղեկությունների</w:t>
      </w:r>
      <w:r w:rsidRPr="0039457F">
        <w:rPr>
          <w:b w:val="0"/>
          <w:szCs w:val="22"/>
          <w:lang w:val="af-ZA"/>
        </w:rPr>
        <w:t xml:space="preserve"> </w:t>
      </w:r>
      <w:r w:rsidRPr="0039457F">
        <w:rPr>
          <w:b w:val="0"/>
          <w:szCs w:val="22"/>
          <w:lang w:val="en-US"/>
        </w:rPr>
        <w:t>ընդունում</w:t>
      </w:r>
      <w:r w:rsidRPr="0039457F">
        <w:rPr>
          <w:b w:val="0"/>
          <w:szCs w:val="22"/>
          <w:lang w:val="af-ZA"/>
        </w:rPr>
        <w:t xml:space="preserve">, </w:t>
      </w:r>
      <w:r w:rsidRPr="0039457F">
        <w:rPr>
          <w:b w:val="0"/>
          <w:szCs w:val="22"/>
          <w:lang w:val="en-US"/>
        </w:rPr>
        <w:t>թվայնացում</w:t>
      </w:r>
      <w:r w:rsidRPr="0039457F">
        <w:rPr>
          <w:b w:val="0"/>
          <w:szCs w:val="22"/>
          <w:lang w:val="af-ZA"/>
        </w:rPr>
        <w:t xml:space="preserve"> </w:t>
      </w:r>
      <w:r w:rsidRPr="0039457F">
        <w:rPr>
          <w:b w:val="0"/>
          <w:szCs w:val="22"/>
          <w:lang w:val="en-US"/>
        </w:rPr>
        <w:t>և</w:t>
      </w:r>
      <w:r w:rsidRPr="0039457F">
        <w:rPr>
          <w:b w:val="0"/>
          <w:szCs w:val="22"/>
          <w:lang w:val="af-ZA"/>
        </w:rPr>
        <w:t xml:space="preserve"> </w:t>
      </w:r>
      <w:r w:rsidRPr="0039457F">
        <w:rPr>
          <w:b w:val="0"/>
          <w:szCs w:val="22"/>
          <w:lang w:val="en-US"/>
        </w:rPr>
        <w:t>կայքում</w:t>
      </w:r>
      <w:r w:rsidRPr="0039457F">
        <w:rPr>
          <w:b w:val="0"/>
          <w:szCs w:val="22"/>
          <w:lang w:val="af-ZA"/>
        </w:rPr>
        <w:t xml:space="preserve"> </w:t>
      </w:r>
      <w:r w:rsidRPr="0039457F">
        <w:rPr>
          <w:b w:val="0"/>
          <w:szCs w:val="22"/>
          <w:lang w:val="en-US"/>
        </w:rPr>
        <w:t>տեղադրում</w:t>
      </w:r>
      <w:r w:rsidRPr="0039457F">
        <w:rPr>
          <w:b w:val="0"/>
          <w:szCs w:val="22"/>
          <w:lang w:val="af-ZA"/>
        </w:rPr>
        <w:t>, 9</w:t>
      </w:r>
      <w:r w:rsidRPr="0039457F">
        <w:rPr>
          <w:b w:val="0"/>
          <w:szCs w:val="22"/>
          <w:lang w:val="hy-AM"/>
        </w:rPr>
        <w:t>70</w:t>
      </w:r>
      <w:r w:rsidRPr="0039457F">
        <w:rPr>
          <w:b w:val="0"/>
          <w:szCs w:val="22"/>
          <w:lang w:val="af-ZA"/>
        </w:rPr>
        <w:t xml:space="preserve"> </w:t>
      </w:r>
      <w:r w:rsidRPr="0039457F">
        <w:rPr>
          <w:b w:val="0"/>
          <w:szCs w:val="22"/>
          <w:lang w:val="en-US"/>
        </w:rPr>
        <w:t>հանքավայրերի</w:t>
      </w:r>
      <w:r w:rsidRPr="0039457F">
        <w:rPr>
          <w:b w:val="0"/>
          <w:szCs w:val="22"/>
          <w:lang w:val="af-ZA"/>
        </w:rPr>
        <w:t xml:space="preserve"> </w:t>
      </w:r>
      <w:r w:rsidRPr="0039457F">
        <w:rPr>
          <w:b w:val="0"/>
          <w:szCs w:val="22"/>
          <w:lang w:val="en-US"/>
        </w:rPr>
        <w:t>օգտակար</w:t>
      </w:r>
      <w:r w:rsidRPr="0039457F">
        <w:rPr>
          <w:b w:val="0"/>
          <w:szCs w:val="22"/>
          <w:lang w:val="af-ZA"/>
        </w:rPr>
        <w:t xml:space="preserve"> </w:t>
      </w:r>
      <w:r w:rsidRPr="0039457F">
        <w:rPr>
          <w:b w:val="0"/>
          <w:szCs w:val="22"/>
          <w:lang w:val="en-US"/>
        </w:rPr>
        <w:t>հանածոների</w:t>
      </w:r>
      <w:r w:rsidRPr="0039457F">
        <w:rPr>
          <w:b w:val="0"/>
          <w:szCs w:val="22"/>
          <w:lang w:val="af-ZA"/>
        </w:rPr>
        <w:t xml:space="preserve"> </w:t>
      </w:r>
      <w:r w:rsidRPr="0039457F">
        <w:rPr>
          <w:b w:val="0"/>
          <w:szCs w:val="22"/>
          <w:lang w:val="en-US"/>
        </w:rPr>
        <w:t>պաշարների</w:t>
      </w:r>
      <w:r w:rsidRPr="0039457F">
        <w:rPr>
          <w:b w:val="0"/>
          <w:szCs w:val="22"/>
          <w:lang w:val="af-ZA"/>
        </w:rPr>
        <w:t>, 1</w:t>
      </w:r>
      <w:r w:rsidRPr="0039457F">
        <w:rPr>
          <w:b w:val="0"/>
          <w:szCs w:val="22"/>
          <w:lang w:val="hy-AM"/>
        </w:rPr>
        <w:t>7</w:t>
      </w:r>
      <w:r w:rsidRPr="0039457F">
        <w:rPr>
          <w:b w:val="0"/>
          <w:szCs w:val="22"/>
          <w:lang w:val="af-ZA"/>
        </w:rPr>
        <w:t xml:space="preserve">5 </w:t>
      </w:r>
      <w:r w:rsidRPr="0039457F">
        <w:rPr>
          <w:b w:val="0"/>
          <w:szCs w:val="22"/>
          <w:lang w:val="en-US"/>
        </w:rPr>
        <w:t>ընդերքի</w:t>
      </w:r>
      <w:r w:rsidRPr="0039457F">
        <w:rPr>
          <w:b w:val="0"/>
          <w:szCs w:val="22"/>
          <w:lang w:val="af-ZA"/>
        </w:rPr>
        <w:t xml:space="preserve"> </w:t>
      </w:r>
      <w:r w:rsidRPr="0039457F">
        <w:rPr>
          <w:b w:val="0"/>
          <w:szCs w:val="22"/>
          <w:lang w:val="en-US"/>
        </w:rPr>
        <w:t>տեղամասերի</w:t>
      </w:r>
      <w:r w:rsidRPr="0039457F">
        <w:rPr>
          <w:b w:val="0"/>
          <w:szCs w:val="22"/>
          <w:lang w:val="af-ZA"/>
        </w:rPr>
        <w:t xml:space="preserve"> </w:t>
      </w:r>
      <w:r w:rsidRPr="0039457F">
        <w:rPr>
          <w:b w:val="0"/>
          <w:szCs w:val="22"/>
          <w:lang w:val="en-US"/>
        </w:rPr>
        <w:t>ներկայացված</w:t>
      </w:r>
      <w:r w:rsidRPr="0039457F">
        <w:rPr>
          <w:b w:val="0"/>
          <w:szCs w:val="22"/>
          <w:lang w:val="af-ZA"/>
        </w:rPr>
        <w:t xml:space="preserve"> </w:t>
      </w:r>
      <w:r w:rsidRPr="0039457F">
        <w:rPr>
          <w:b w:val="0"/>
          <w:szCs w:val="22"/>
          <w:lang w:val="en-US"/>
        </w:rPr>
        <w:t>կոորդինատների</w:t>
      </w:r>
      <w:r w:rsidRPr="0039457F">
        <w:rPr>
          <w:b w:val="0"/>
          <w:szCs w:val="22"/>
          <w:lang w:val="af-ZA"/>
        </w:rPr>
        <w:t xml:space="preserve"> </w:t>
      </w:r>
      <w:r w:rsidRPr="0039457F">
        <w:rPr>
          <w:b w:val="0"/>
          <w:szCs w:val="22"/>
          <w:lang w:val="en-US"/>
        </w:rPr>
        <w:t>վերաբերյալ</w:t>
      </w:r>
      <w:r w:rsidRPr="0039457F">
        <w:rPr>
          <w:b w:val="0"/>
          <w:szCs w:val="22"/>
          <w:lang w:val="af-ZA"/>
        </w:rPr>
        <w:t xml:space="preserve"> </w:t>
      </w:r>
      <w:r w:rsidRPr="0039457F">
        <w:rPr>
          <w:b w:val="0"/>
          <w:szCs w:val="22"/>
          <w:lang w:val="en-US"/>
        </w:rPr>
        <w:t>տեղեկությունների</w:t>
      </w:r>
      <w:r w:rsidRPr="0039457F">
        <w:rPr>
          <w:b w:val="0"/>
          <w:szCs w:val="22"/>
          <w:lang w:val="af-ZA"/>
        </w:rPr>
        <w:t xml:space="preserve"> </w:t>
      </w:r>
      <w:r w:rsidRPr="0039457F">
        <w:rPr>
          <w:b w:val="0"/>
          <w:szCs w:val="22"/>
          <w:lang w:val="en-US"/>
        </w:rPr>
        <w:t>և</w:t>
      </w:r>
      <w:r w:rsidRPr="0039457F">
        <w:rPr>
          <w:b w:val="0"/>
          <w:szCs w:val="22"/>
          <w:lang w:val="af-ZA"/>
        </w:rPr>
        <w:t xml:space="preserve"> </w:t>
      </w:r>
      <w:r w:rsidRPr="0039457F">
        <w:rPr>
          <w:b w:val="0"/>
          <w:szCs w:val="22"/>
          <w:lang w:val="en-US"/>
        </w:rPr>
        <w:t>տրամադրված</w:t>
      </w:r>
      <w:r w:rsidRPr="0039457F">
        <w:rPr>
          <w:b w:val="0"/>
          <w:szCs w:val="22"/>
          <w:lang w:val="af-ZA"/>
        </w:rPr>
        <w:t xml:space="preserve"> 4</w:t>
      </w:r>
      <w:r w:rsidRPr="0039457F">
        <w:rPr>
          <w:b w:val="0"/>
          <w:szCs w:val="22"/>
          <w:lang w:val="hy-AM"/>
        </w:rPr>
        <w:t>7</w:t>
      </w:r>
      <w:r w:rsidRPr="0039457F">
        <w:rPr>
          <w:b w:val="0"/>
          <w:szCs w:val="22"/>
          <w:lang w:val="af-ZA"/>
        </w:rPr>
        <w:t xml:space="preserve">5 </w:t>
      </w:r>
      <w:r w:rsidRPr="0039457F">
        <w:rPr>
          <w:b w:val="0"/>
          <w:szCs w:val="22"/>
          <w:lang w:val="en-US"/>
        </w:rPr>
        <w:t>ընդերքօգտագործման</w:t>
      </w:r>
      <w:r w:rsidRPr="0039457F">
        <w:rPr>
          <w:b w:val="0"/>
          <w:szCs w:val="22"/>
          <w:lang w:val="af-ZA"/>
        </w:rPr>
        <w:t xml:space="preserve"> </w:t>
      </w:r>
      <w:r w:rsidRPr="0039457F">
        <w:rPr>
          <w:b w:val="0"/>
          <w:szCs w:val="22"/>
          <w:lang w:val="en-US"/>
        </w:rPr>
        <w:t>իրավունքների</w:t>
      </w:r>
      <w:r w:rsidRPr="0039457F">
        <w:rPr>
          <w:b w:val="0"/>
          <w:szCs w:val="22"/>
          <w:lang w:val="af-ZA"/>
        </w:rPr>
        <w:t xml:space="preserve"> </w:t>
      </w:r>
      <w:r w:rsidRPr="0039457F">
        <w:rPr>
          <w:b w:val="0"/>
          <w:szCs w:val="22"/>
          <w:lang w:val="en-US"/>
        </w:rPr>
        <w:t>հաշվառում</w:t>
      </w:r>
      <w:r w:rsidRPr="0039457F">
        <w:rPr>
          <w:b w:val="0"/>
          <w:szCs w:val="22"/>
          <w:lang w:val="af-ZA"/>
        </w:rPr>
        <w:t>:</w:t>
      </w:r>
    </w:p>
    <w:p w14:paraId="16EE04B4" w14:textId="77777777" w:rsidR="001A149E" w:rsidRPr="0039457F" w:rsidRDefault="001A149E" w:rsidP="00AC1E1E">
      <w:pPr>
        <w:widowControl w:val="0"/>
        <w:rPr>
          <w:rFonts w:cs="Sylfaen"/>
          <w:b w:val="0"/>
          <w:szCs w:val="22"/>
          <w:lang w:val="hy-AM"/>
        </w:rPr>
      </w:pPr>
      <w:r w:rsidRPr="0039457F">
        <w:rPr>
          <w:rFonts w:cs="Sylfaen"/>
          <w:szCs w:val="22"/>
          <w:lang w:val="hy-AM"/>
        </w:rPr>
        <w:t>Երկաթուղային</w:t>
      </w:r>
      <w:r w:rsidRPr="0039457F">
        <w:rPr>
          <w:rFonts w:cs="Sylfaen"/>
          <w:szCs w:val="22"/>
          <w:lang w:val="af-ZA"/>
        </w:rPr>
        <w:t xml:space="preserve"> </w:t>
      </w:r>
      <w:r w:rsidRPr="0039457F">
        <w:rPr>
          <w:rFonts w:cs="Sylfaen"/>
          <w:szCs w:val="22"/>
          <w:lang w:val="hy-AM"/>
        </w:rPr>
        <w:t>ցանցի</w:t>
      </w:r>
      <w:r w:rsidRPr="0039457F">
        <w:rPr>
          <w:rFonts w:cs="Sylfaen"/>
          <w:szCs w:val="22"/>
          <w:lang w:val="af-ZA"/>
        </w:rPr>
        <w:t xml:space="preserve"> </w:t>
      </w:r>
      <w:r w:rsidRPr="0039457F">
        <w:rPr>
          <w:rFonts w:cs="Sylfaen"/>
          <w:szCs w:val="22"/>
          <w:lang w:val="hy-AM"/>
        </w:rPr>
        <w:t>զարգացում</w:t>
      </w:r>
      <w:r w:rsidRPr="0039457F">
        <w:rPr>
          <w:rFonts w:cs="Sylfaen"/>
          <w:szCs w:val="22"/>
          <w:lang w:val="af-ZA"/>
        </w:rPr>
        <w:t xml:space="preserve"> </w:t>
      </w:r>
      <w:r w:rsidRPr="0039457F">
        <w:rPr>
          <w:rFonts w:cs="Sylfaen"/>
          <w:b w:val="0"/>
          <w:szCs w:val="22"/>
          <w:lang w:val="hy-AM"/>
        </w:rPr>
        <w:t>ծրագրի գծով ուղևորափոխադրումներից</w:t>
      </w:r>
      <w:r w:rsidRPr="0039457F">
        <w:rPr>
          <w:rFonts w:cs="Sylfaen"/>
          <w:b w:val="0"/>
          <w:szCs w:val="22"/>
          <w:lang w:val="af-ZA"/>
        </w:rPr>
        <w:t xml:space="preserve"> </w:t>
      </w:r>
      <w:r w:rsidRPr="0039457F">
        <w:rPr>
          <w:rFonts w:cs="Sylfaen"/>
          <w:b w:val="0"/>
          <w:szCs w:val="22"/>
          <w:lang w:val="hy-AM"/>
        </w:rPr>
        <w:t>ստացված</w:t>
      </w:r>
      <w:r w:rsidRPr="0039457F">
        <w:rPr>
          <w:rFonts w:cs="Sylfaen"/>
          <w:b w:val="0"/>
          <w:szCs w:val="22"/>
          <w:lang w:val="af-ZA"/>
        </w:rPr>
        <w:t xml:space="preserve"> </w:t>
      </w:r>
      <w:r w:rsidRPr="0039457F">
        <w:rPr>
          <w:rFonts w:cs="Sylfaen"/>
          <w:b w:val="0"/>
          <w:szCs w:val="22"/>
          <w:lang w:val="hy-AM"/>
        </w:rPr>
        <w:t>վնասի</w:t>
      </w:r>
      <w:r w:rsidRPr="0039457F">
        <w:rPr>
          <w:rFonts w:cs="Sylfaen"/>
          <w:b w:val="0"/>
          <w:szCs w:val="22"/>
          <w:lang w:val="af-ZA"/>
        </w:rPr>
        <w:t xml:space="preserve"> </w:t>
      </w:r>
      <w:r w:rsidRPr="0039457F">
        <w:rPr>
          <w:rFonts w:cs="Sylfaen"/>
          <w:b w:val="0"/>
          <w:szCs w:val="22"/>
          <w:lang w:val="hy-AM"/>
        </w:rPr>
        <w:t>դիմաց</w:t>
      </w:r>
      <w:r w:rsidRPr="0039457F">
        <w:rPr>
          <w:rFonts w:cs="Sylfaen"/>
          <w:b w:val="0"/>
          <w:szCs w:val="22"/>
          <w:lang w:val="af-ZA"/>
        </w:rPr>
        <w:t xml:space="preserve"> «</w:t>
      </w:r>
      <w:r w:rsidRPr="0039457F">
        <w:rPr>
          <w:rFonts w:cs="Sylfaen"/>
          <w:b w:val="0"/>
          <w:szCs w:val="22"/>
          <w:lang w:val="hy-AM"/>
        </w:rPr>
        <w:t>Հարավկովկասյան</w:t>
      </w:r>
      <w:r w:rsidRPr="0039457F">
        <w:rPr>
          <w:rFonts w:cs="Sylfaen"/>
          <w:b w:val="0"/>
          <w:szCs w:val="22"/>
          <w:lang w:val="af-ZA"/>
        </w:rPr>
        <w:t xml:space="preserve"> </w:t>
      </w:r>
      <w:r w:rsidRPr="0039457F">
        <w:rPr>
          <w:rFonts w:cs="Sylfaen"/>
          <w:b w:val="0"/>
          <w:szCs w:val="22"/>
          <w:lang w:val="hy-AM"/>
        </w:rPr>
        <w:t>երկաթուղի</w:t>
      </w:r>
      <w:r w:rsidRPr="0039457F">
        <w:rPr>
          <w:rFonts w:cs="Sylfaen"/>
          <w:b w:val="0"/>
          <w:szCs w:val="22"/>
          <w:lang w:val="af-ZA"/>
        </w:rPr>
        <w:t xml:space="preserve">» </w:t>
      </w:r>
      <w:r w:rsidRPr="0039457F">
        <w:rPr>
          <w:rFonts w:cs="Sylfaen"/>
          <w:b w:val="0"/>
          <w:szCs w:val="22"/>
          <w:lang w:val="hy-AM"/>
        </w:rPr>
        <w:t>ՓԲԸ</w:t>
      </w:r>
      <w:r w:rsidRPr="0039457F">
        <w:rPr>
          <w:rFonts w:cs="Sylfaen"/>
          <w:b w:val="0"/>
          <w:szCs w:val="22"/>
          <w:lang w:val="af-ZA"/>
        </w:rPr>
        <w:t>-</w:t>
      </w:r>
      <w:r w:rsidRPr="0039457F">
        <w:rPr>
          <w:rFonts w:cs="Sylfaen"/>
          <w:b w:val="0"/>
          <w:szCs w:val="22"/>
          <w:lang w:val="hy-AM"/>
        </w:rPr>
        <w:t>ին</w:t>
      </w:r>
      <w:r w:rsidRPr="0039457F">
        <w:rPr>
          <w:rFonts w:cs="Sylfaen"/>
          <w:b w:val="0"/>
          <w:szCs w:val="22"/>
          <w:lang w:val="af-ZA"/>
        </w:rPr>
        <w:t xml:space="preserve"> </w:t>
      </w:r>
      <w:r w:rsidRPr="0039457F">
        <w:rPr>
          <w:rFonts w:cs="Sylfaen"/>
          <w:b w:val="0"/>
          <w:szCs w:val="22"/>
          <w:lang w:val="hy-AM"/>
        </w:rPr>
        <w:t>սուբսիդիայի</w:t>
      </w:r>
      <w:r w:rsidRPr="0039457F">
        <w:rPr>
          <w:rFonts w:cs="Sylfaen"/>
          <w:b w:val="0"/>
          <w:szCs w:val="22"/>
          <w:lang w:val="af-ZA"/>
        </w:rPr>
        <w:t xml:space="preserve"> </w:t>
      </w:r>
      <w:r w:rsidRPr="0039457F">
        <w:rPr>
          <w:rFonts w:cs="Sylfaen"/>
          <w:b w:val="0"/>
          <w:szCs w:val="22"/>
          <w:lang w:val="hy-AM"/>
        </w:rPr>
        <w:t>տրամադրման</w:t>
      </w:r>
      <w:r w:rsidRPr="0039457F">
        <w:rPr>
          <w:rFonts w:cs="Sylfaen"/>
          <w:b w:val="0"/>
          <w:szCs w:val="22"/>
          <w:lang w:val="af-ZA"/>
        </w:rPr>
        <w:t xml:space="preserve"> </w:t>
      </w:r>
      <w:r w:rsidRPr="0039457F">
        <w:rPr>
          <w:rFonts w:cs="Sylfaen"/>
          <w:b w:val="0"/>
          <w:szCs w:val="22"/>
          <w:lang w:val="hy-AM"/>
        </w:rPr>
        <w:t>համար</w:t>
      </w:r>
      <w:r w:rsidRPr="0039457F">
        <w:rPr>
          <w:rFonts w:cs="Sylfaen"/>
          <w:b w:val="0"/>
          <w:szCs w:val="22"/>
          <w:lang w:val="af-ZA"/>
        </w:rPr>
        <w:t xml:space="preserve"> </w:t>
      </w:r>
      <w:r w:rsidRPr="0039457F">
        <w:rPr>
          <w:rFonts w:cs="Sylfaen"/>
          <w:b w:val="0"/>
          <w:szCs w:val="22"/>
          <w:lang w:val="hy-AM"/>
        </w:rPr>
        <w:t>նախատեսվում</w:t>
      </w:r>
      <w:r w:rsidRPr="0039457F">
        <w:rPr>
          <w:rFonts w:cs="Sylfaen"/>
          <w:b w:val="0"/>
          <w:szCs w:val="22"/>
          <w:lang w:val="af-ZA"/>
        </w:rPr>
        <w:t xml:space="preserve"> </w:t>
      </w:r>
      <w:r w:rsidRPr="0039457F">
        <w:rPr>
          <w:rFonts w:cs="Sylfaen"/>
          <w:b w:val="0"/>
          <w:szCs w:val="22"/>
          <w:lang w:val="hy-AM"/>
        </w:rPr>
        <w:t>է</w:t>
      </w:r>
      <w:r w:rsidRPr="0039457F">
        <w:rPr>
          <w:rFonts w:cs="Sylfaen"/>
          <w:b w:val="0"/>
          <w:szCs w:val="22"/>
          <w:lang w:val="af-ZA"/>
        </w:rPr>
        <w:t xml:space="preserve"> 202</w:t>
      </w:r>
      <w:r w:rsidRPr="0039457F">
        <w:rPr>
          <w:rFonts w:cs="Sylfaen"/>
          <w:b w:val="0"/>
          <w:szCs w:val="22"/>
          <w:lang w:val="hy-AM"/>
        </w:rPr>
        <w:t>4</w:t>
      </w:r>
      <w:r w:rsidRPr="0039457F">
        <w:rPr>
          <w:rFonts w:cs="Sylfaen"/>
          <w:b w:val="0"/>
          <w:szCs w:val="22"/>
          <w:lang w:val="af-ZA"/>
        </w:rPr>
        <w:t xml:space="preserve"> </w:t>
      </w:r>
      <w:r w:rsidRPr="0039457F">
        <w:rPr>
          <w:rFonts w:cs="Sylfaen"/>
          <w:b w:val="0"/>
          <w:szCs w:val="22"/>
          <w:lang w:val="hy-AM"/>
        </w:rPr>
        <w:t>թվականին</w:t>
      </w:r>
      <w:r w:rsidRPr="0039457F">
        <w:rPr>
          <w:rFonts w:cs="Sylfaen"/>
          <w:b w:val="0"/>
          <w:szCs w:val="22"/>
          <w:lang w:val="af-ZA"/>
        </w:rPr>
        <w:t xml:space="preserve"> </w:t>
      </w:r>
      <w:r w:rsidRPr="0039457F">
        <w:rPr>
          <w:rFonts w:cs="Sylfaen"/>
          <w:b w:val="0"/>
          <w:szCs w:val="22"/>
          <w:lang w:val="hy-AM"/>
        </w:rPr>
        <w:t>հատկացնել</w:t>
      </w:r>
      <w:r w:rsidRPr="0039457F">
        <w:rPr>
          <w:rFonts w:cs="Sylfaen"/>
          <w:b w:val="0"/>
          <w:szCs w:val="22"/>
          <w:lang w:val="af-ZA"/>
        </w:rPr>
        <w:t xml:space="preserve"> 3</w:t>
      </w:r>
      <w:r w:rsidRPr="0039457F">
        <w:rPr>
          <w:rFonts w:cs="Sylfaen"/>
          <w:b w:val="0"/>
          <w:szCs w:val="22"/>
          <w:lang w:val="hy-AM"/>
        </w:rPr>
        <w:t>2</w:t>
      </w:r>
      <w:r w:rsidRPr="0039457F">
        <w:rPr>
          <w:rFonts w:cs="Sylfaen"/>
          <w:b w:val="0"/>
          <w:szCs w:val="22"/>
          <w:lang w:val="af-ZA"/>
        </w:rPr>
        <w:t>7.</w:t>
      </w:r>
      <w:r w:rsidRPr="0039457F">
        <w:rPr>
          <w:rFonts w:cs="Sylfaen"/>
          <w:b w:val="0"/>
          <w:szCs w:val="22"/>
          <w:lang w:val="hy-AM"/>
        </w:rPr>
        <w:t>4</w:t>
      </w:r>
      <w:r w:rsidRPr="0039457F">
        <w:rPr>
          <w:rFonts w:cs="Sylfaen"/>
          <w:b w:val="0"/>
          <w:szCs w:val="22"/>
          <w:lang w:val="af-ZA"/>
        </w:rPr>
        <w:t xml:space="preserve"> </w:t>
      </w:r>
      <w:r w:rsidRPr="0039457F">
        <w:rPr>
          <w:rFonts w:cs="Sylfaen"/>
          <w:b w:val="0"/>
          <w:szCs w:val="22"/>
          <w:lang w:val="hy-AM"/>
        </w:rPr>
        <w:t>մլն</w:t>
      </w:r>
      <w:r w:rsidRPr="0039457F">
        <w:rPr>
          <w:rFonts w:cs="Sylfaen"/>
          <w:b w:val="0"/>
          <w:szCs w:val="22"/>
          <w:lang w:val="af-ZA"/>
        </w:rPr>
        <w:t xml:space="preserve"> </w:t>
      </w:r>
      <w:r w:rsidRPr="0039457F">
        <w:rPr>
          <w:rFonts w:cs="Sylfaen"/>
          <w:b w:val="0"/>
          <w:szCs w:val="22"/>
          <w:lang w:val="hy-AM"/>
        </w:rPr>
        <w:t>դրամ:</w:t>
      </w:r>
    </w:p>
    <w:p w14:paraId="44372B0F" w14:textId="77777777" w:rsidR="001A149E" w:rsidRPr="0039457F" w:rsidRDefault="001A149E" w:rsidP="00AC1E1E">
      <w:pPr>
        <w:widowControl w:val="0"/>
        <w:rPr>
          <w:rFonts w:cs="Sylfaen"/>
          <w:b w:val="0"/>
          <w:szCs w:val="22"/>
          <w:lang w:val="af-ZA"/>
        </w:rPr>
      </w:pPr>
      <w:r w:rsidRPr="0039457F">
        <w:rPr>
          <w:rFonts w:cs="Sylfaen"/>
          <w:b w:val="0"/>
          <w:szCs w:val="22"/>
          <w:lang w:val="hy-AM"/>
        </w:rPr>
        <w:t>Միջոցառման</w:t>
      </w:r>
      <w:r w:rsidRPr="0039457F">
        <w:rPr>
          <w:rFonts w:cs="Sylfaen"/>
          <w:b w:val="0"/>
          <w:szCs w:val="22"/>
          <w:lang w:val="af-ZA"/>
        </w:rPr>
        <w:t xml:space="preserve"> </w:t>
      </w:r>
      <w:r w:rsidRPr="0039457F">
        <w:rPr>
          <w:rFonts w:cs="Sylfaen"/>
          <w:b w:val="0"/>
          <w:szCs w:val="22"/>
          <w:lang w:val="hy-AM"/>
        </w:rPr>
        <w:t>նպատակն</w:t>
      </w:r>
      <w:r w:rsidRPr="0039457F">
        <w:rPr>
          <w:rFonts w:cs="Sylfaen"/>
          <w:b w:val="0"/>
          <w:szCs w:val="22"/>
          <w:lang w:val="af-ZA"/>
        </w:rPr>
        <w:t xml:space="preserve"> </w:t>
      </w:r>
      <w:r w:rsidRPr="0039457F">
        <w:rPr>
          <w:rFonts w:cs="Sylfaen"/>
          <w:b w:val="0"/>
          <w:szCs w:val="22"/>
          <w:lang w:val="hy-AM"/>
        </w:rPr>
        <w:t>է</w:t>
      </w:r>
      <w:r w:rsidRPr="0039457F">
        <w:rPr>
          <w:rFonts w:cs="Sylfaen"/>
          <w:b w:val="0"/>
          <w:szCs w:val="22"/>
          <w:lang w:val="af-ZA"/>
        </w:rPr>
        <w:t xml:space="preserve"> </w:t>
      </w:r>
      <w:r w:rsidRPr="0039457F">
        <w:rPr>
          <w:rFonts w:cs="Sylfaen"/>
          <w:b w:val="0"/>
          <w:szCs w:val="22"/>
          <w:lang w:val="hy-AM"/>
        </w:rPr>
        <w:t>ՀՀ</w:t>
      </w:r>
      <w:r w:rsidRPr="0039457F">
        <w:rPr>
          <w:rFonts w:cs="Sylfaen"/>
          <w:b w:val="0"/>
          <w:szCs w:val="22"/>
          <w:lang w:val="af-ZA"/>
        </w:rPr>
        <w:t xml:space="preserve"> </w:t>
      </w:r>
      <w:r w:rsidRPr="0039457F">
        <w:rPr>
          <w:rFonts w:cs="Sylfaen"/>
          <w:b w:val="0"/>
          <w:szCs w:val="22"/>
          <w:lang w:val="hy-AM"/>
        </w:rPr>
        <w:t>կառավարության</w:t>
      </w:r>
      <w:r w:rsidRPr="0039457F">
        <w:rPr>
          <w:rFonts w:cs="Sylfaen"/>
          <w:b w:val="0"/>
          <w:szCs w:val="22"/>
          <w:lang w:val="af-ZA"/>
        </w:rPr>
        <w:t xml:space="preserve"> 07.02.2008</w:t>
      </w:r>
      <w:r w:rsidRPr="0039457F">
        <w:rPr>
          <w:rFonts w:cs="Sylfaen"/>
          <w:b w:val="0"/>
          <w:szCs w:val="22"/>
          <w:lang w:val="hy-AM"/>
        </w:rPr>
        <w:t>թ</w:t>
      </w:r>
      <w:r w:rsidRPr="0039457F">
        <w:rPr>
          <w:rFonts w:cs="Sylfaen"/>
          <w:b w:val="0"/>
          <w:szCs w:val="22"/>
          <w:lang w:val="af-ZA"/>
        </w:rPr>
        <w:t>. N 83-</w:t>
      </w:r>
      <w:r w:rsidRPr="0039457F">
        <w:rPr>
          <w:rFonts w:cs="Sylfaen"/>
          <w:b w:val="0"/>
          <w:szCs w:val="22"/>
          <w:lang w:val="hy-AM"/>
        </w:rPr>
        <w:t>Ա</w:t>
      </w:r>
      <w:r w:rsidRPr="0039457F">
        <w:rPr>
          <w:rFonts w:cs="Sylfaen"/>
          <w:b w:val="0"/>
          <w:szCs w:val="22"/>
          <w:lang w:val="af-ZA"/>
        </w:rPr>
        <w:t xml:space="preserve"> </w:t>
      </w:r>
      <w:r w:rsidRPr="0039457F">
        <w:rPr>
          <w:rFonts w:cs="Sylfaen"/>
          <w:b w:val="0"/>
          <w:szCs w:val="22"/>
          <w:lang w:val="hy-AM"/>
        </w:rPr>
        <w:t>որոշմամբ</w:t>
      </w:r>
      <w:r w:rsidRPr="0039457F">
        <w:rPr>
          <w:rFonts w:cs="Sylfaen"/>
          <w:b w:val="0"/>
          <w:szCs w:val="22"/>
          <w:lang w:val="af-ZA"/>
        </w:rPr>
        <w:t xml:space="preserve"> </w:t>
      </w:r>
      <w:r w:rsidRPr="0039457F">
        <w:rPr>
          <w:rFonts w:cs="Sylfaen"/>
          <w:b w:val="0"/>
          <w:szCs w:val="22"/>
          <w:lang w:val="hy-AM"/>
        </w:rPr>
        <w:t>հաս</w:t>
      </w:r>
      <w:r w:rsidRPr="0039457F">
        <w:rPr>
          <w:rFonts w:cs="Sylfaen"/>
          <w:b w:val="0"/>
          <w:szCs w:val="22"/>
          <w:lang w:val="af-ZA"/>
        </w:rPr>
        <w:softHyphen/>
      </w:r>
      <w:r w:rsidRPr="0039457F">
        <w:rPr>
          <w:rFonts w:cs="Sylfaen"/>
          <w:b w:val="0"/>
          <w:szCs w:val="22"/>
          <w:lang w:val="hy-AM"/>
        </w:rPr>
        <w:t>տատված</w:t>
      </w:r>
      <w:r w:rsidRPr="0039457F">
        <w:rPr>
          <w:rFonts w:cs="Sylfaen"/>
          <w:b w:val="0"/>
          <w:szCs w:val="22"/>
          <w:lang w:val="af-ZA"/>
        </w:rPr>
        <w:t xml:space="preserve"> </w:t>
      </w:r>
      <w:r w:rsidRPr="0039457F">
        <w:rPr>
          <w:rFonts w:cs="Sylfaen"/>
          <w:b w:val="0"/>
          <w:szCs w:val="22"/>
          <w:lang w:val="hy-AM"/>
        </w:rPr>
        <w:t>Կոնցեսիոն</w:t>
      </w:r>
      <w:r w:rsidRPr="0039457F">
        <w:rPr>
          <w:rFonts w:cs="Sylfaen"/>
          <w:b w:val="0"/>
          <w:szCs w:val="22"/>
          <w:lang w:val="af-ZA"/>
        </w:rPr>
        <w:t xml:space="preserve"> </w:t>
      </w:r>
      <w:r w:rsidRPr="0039457F">
        <w:rPr>
          <w:rFonts w:cs="Sylfaen"/>
          <w:b w:val="0"/>
          <w:szCs w:val="22"/>
          <w:lang w:val="hy-AM"/>
        </w:rPr>
        <w:t>պայմա</w:t>
      </w:r>
      <w:r w:rsidRPr="0039457F">
        <w:rPr>
          <w:rFonts w:cs="Sylfaen"/>
          <w:b w:val="0"/>
          <w:szCs w:val="22"/>
          <w:lang w:val="af-ZA"/>
        </w:rPr>
        <w:softHyphen/>
      </w:r>
      <w:r w:rsidRPr="0039457F">
        <w:rPr>
          <w:rFonts w:cs="Sylfaen"/>
          <w:b w:val="0"/>
          <w:szCs w:val="22"/>
          <w:lang w:val="hy-AM"/>
        </w:rPr>
        <w:t>նագրի</w:t>
      </w:r>
      <w:r w:rsidRPr="0039457F">
        <w:rPr>
          <w:rFonts w:cs="Sylfaen"/>
          <w:b w:val="0"/>
          <w:szCs w:val="22"/>
          <w:lang w:val="af-ZA"/>
        </w:rPr>
        <w:t xml:space="preserve"> </w:t>
      </w:r>
      <w:r w:rsidRPr="0039457F">
        <w:rPr>
          <w:rFonts w:cs="Sylfaen"/>
          <w:b w:val="0"/>
          <w:szCs w:val="22"/>
          <w:lang w:val="hy-AM"/>
        </w:rPr>
        <w:t>համաձայն</w:t>
      </w:r>
      <w:r w:rsidRPr="0039457F">
        <w:rPr>
          <w:rFonts w:cs="Sylfaen"/>
          <w:b w:val="0"/>
          <w:szCs w:val="22"/>
          <w:lang w:val="af-ZA"/>
        </w:rPr>
        <w:t xml:space="preserve"> </w:t>
      </w:r>
      <w:r w:rsidRPr="0039457F">
        <w:rPr>
          <w:rFonts w:cs="Sylfaen"/>
          <w:b w:val="0"/>
          <w:szCs w:val="22"/>
          <w:lang w:val="hy-AM"/>
        </w:rPr>
        <w:t xml:space="preserve">մասնակի </w:t>
      </w:r>
      <w:r w:rsidRPr="0039457F">
        <w:rPr>
          <w:rFonts w:cs="Sylfaen"/>
          <w:b w:val="0"/>
          <w:szCs w:val="22"/>
          <w:lang w:val="af-ZA"/>
        </w:rPr>
        <w:t xml:space="preserve">(30%) </w:t>
      </w:r>
      <w:r w:rsidRPr="0039457F">
        <w:rPr>
          <w:rFonts w:cs="Sylfaen"/>
          <w:b w:val="0"/>
          <w:szCs w:val="22"/>
          <w:lang w:val="hy-AM"/>
        </w:rPr>
        <w:t>սուբսիդավորել</w:t>
      </w:r>
      <w:r w:rsidRPr="0039457F">
        <w:rPr>
          <w:rFonts w:cs="Sylfaen"/>
          <w:b w:val="0"/>
          <w:szCs w:val="22"/>
          <w:lang w:val="af-ZA"/>
        </w:rPr>
        <w:t xml:space="preserve"> </w:t>
      </w:r>
      <w:r w:rsidRPr="0039457F">
        <w:rPr>
          <w:rFonts w:cs="Sylfaen"/>
          <w:b w:val="0"/>
          <w:szCs w:val="22"/>
          <w:lang w:val="hy-AM"/>
        </w:rPr>
        <w:t>համաձայնեցված</w:t>
      </w:r>
      <w:r w:rsidRPr="0039457F">
        <w:rPr>
          <w:rFonts w:cs="Sylfaen"/>
          <w:b w:val="0"/>
          <w:szCs w:val="22"/>
          <w:lang w:val="af-ZA"/>
        </w:rPr>
        <w:t xml:space="preserve"> </w:t>
      </w:r>
      <w:r w:rsidRPr="0039457F">
        <w:rPr>
          <w:rFonts w:cs="Sylfaen"/>
          <w:b w:val="0"/>
          <w:szCs w:val="22"/>
          <w:lang w:val="hy-AM"/>
        </w:rPr>
        <w:t>ծավալներով</w:t>
      </w:r>
      <w:r w:rsidRPr="0039457F">
        <w:rPr>
          <w:rFonts w:cs="Sylfaen"/>
          <w:b w:val="0"/>
          <w:szCs w:val="22"/>
          <w:lang w:val="af-ZA"/>
        </w:rPr>
        <w:t xml:space="preserve"> </w:t>
      </w:r>
      <w:r w:rsidRPr="0039457F">
        <w:rPr>
          <w:rFonts w:cs="Sylfaen"/>
          <w:b w:val="0"/>
          <w:szCs w:val="22"/>
          <w:lang w:val="hy-AM"/>
        </w:rPr>
        <w:t>և</w:t>
      </w:r>
      <w:r w:rsidRPr="0039457F">
        <w:rPr>
          <w:rFonts w:cs="Sylfaen"/>
          <w:b w:val="0"/>
          <w:szCs w:val="22"/>
          <w:lang w:val="af-ZA"/>
        </w:rPr>
        <w:t xml:space="preserve"> </w:t>
      </w:r>
      <w:r w:rsidRPr="0039457F">
        <w:rPr>
          <w:rFonts w:cs="Sylfaen"/>
          <w:b w:val="0"/>
          <w:szCs w:val="22"/>
          <w:lang w:val="hy-AM"/>
        </w:rPr>
        <w:t>ուղղություններով</w:t>
      </w:r>
      <w:r w:rsidRPr="0039457F">
        <w:rPr>
          <w:rFonts w:cs="Sylfaen"/>
          <w:b w:val="0"/>
          <w:szCs w:val="22"/>
          <w:lang w:val="af-ZA"/>
        </w:rPr>
        <w:t xml:space="preserve"> </w:t>
      </w:r>
      <w:r w:rsidRPr="0039457F">
        <w:rPr>
          <w:rFonts w:cs="Sylfaen"/>
          <w:b w:val="0"/>
          <w:szCs w:val="22"/>
          <w:lang w:val="hy-AM"/>
        </w:rPr>
        <w:t>ուղևորափոխադրումներից</w:t>
      </w:r>
      <w:r w:rsidRPr="0039457F">
        <w:rPr>
          <w:rFonts w:cs="Sylfaen"/>
          <w:b w:val="0"/>
          <w:szCs w:val="22"/>
          <w:lang w:val="af-ZA"/>
        </w:rPr>
        <w:t xml:space="preserve"> «</w:t>
      </w:r>
      <w:r w:rsidRPr="0039457F">
        <w:rPr>
          <w:rFonts w:cs="Sylfaen"/>
          <w:b w:val="0"/>
          <w:szCs w:val="22"/>
          <w:lang w:val="hy-AM"/>
        </w:rPr>
        <w:t>Հարավկովկասյան</w:t>
      </w:r>
      <w:r w:rsidRPr="0039457F">
        <w:rPr>
          <w:rFonts w:cs="Sylfaen"/>
          <w:b w:val="0"/>
          <w:szCs w:val="22"/>
          <w:lang w:val="af-ZA"/>
        </w:rPr>
        <w:t xml:space="preserve"> </w:t>
      </w:r>
      <w:r w:rsidRPr="0039457F">
        <w:rPr>
          <w:rFonts w:cs="Sylfaen"/>
          <w:b w:val="0"/>
          <w:szCs w:val="22"/>
          <w:lang w:val="hy-AM"/>
        </w:rPr>
        <w:t>երկաթուղի</w:t>
      </w:r>
      <w:r w:rsidRPr="0039457F">
        <w:rPr>
          <w:rFonts w:cs="Sylfaen"/>
          <w:b w:val="0"/>
          <w:szCs w:val="22"/>
          <w:lang w:val="af-ZA"/>
        </w:rPr>
        <w:t xml:space="preserve">» </w:t>
      </w:r>
      <w:r w:rsidRPr="0039457F">
        <w:rPr>
          <w:rFonts w:cs="Sylfaen"/>
          <w:b w:val="0"/>
          <w:szCs w:val="22"/>
          <w:lang w:val="hy-AM"/>
        </w:rPr>
        <w:t>ՓԲԸ</w:t>
      </w:r>
      <w:r w:rsidRPr="0039457F">
        <w:rPr>
          <w:rFonts w:cs="Sylfaen"/>
          <w:b w:val="0"/>
          <w:szCs w:val="22"/>
          <w:lang w:val="af-ZA"/>
        </w:rPr>
        <w:t>-</w:t>
      </w:r>
      <w:r w:rsidRPr="0039457F">
        <w:rPr>
          <w:rFonts w:cs="Sylfaen"/>
          <w:b w:val="0"/>
          <w:szCs w:val="22"/>
          <w:lang w:val="hy-AM"/>
        </w:rPr>
        <w:t>ի</w:t>
      </w:r>
      <w:r w:rsidRPr="0039457F">
        <w:rPr>
          <w:rFonts w:cs="Sylfaen"/>
          <w:b w:val="0"/>
          <w:szCs w:val="22"/>
          <w:lang w:val="af-ZA"/>
        </w:rPr>
        <w:t xml:space="preserve"> </w:t>
      </w:r>
      <w:r w:rsidRPr="0039457F">
        <w:rPr>
          <w:rFonts w:cs="Sylfaen"/>
          <w:b w:val="0"/>
          <w:szCs w:val="22"/>
          <w:lang w:val="hy-AM"/>
        </w:rPr>
        <w:t>նախորդ</w:t>
      </w:r>
      <w:r w:rsidRPr="0039457F">
        <w:rPr>
          <w:rFonts w:cs="Sylfaen"/>
          <w:b w:val="0"/>
          <w:szCs w:val="22"/>
          <w:lang w:val="af-ZA"/>
        </w:rPr>
        <w:t xml:space="preserve"> </w:t>
      </w:r>
      <w:r w:rsidRPr="0039457F">
        <w:rPr>
          <w:rFonts w:cs="Sylfaen"/>
          <w:b w:val="0"/>
          <w:szCs w:val="22"/>
          <w:lang w:val="hy-AM"/>
        </w:rPr>
        <w:t>տարվա</w:t>
      </w:r>
      <w:r w:rsidRPr="0039457F">
        <w:rPr>
          <w:rFonts w:cs="Sylfaen"/>
          <w:b w:val="0"/>
          <w:szCs w:val="22"/>
          <w:lang w:val="af-ZA"/>
        </w:rPr>
        <w:t xml:space="preserve"> </w:t>
      </w:r>
      <w:r w:rsidRPr="0039457F">
        <w:rPr>
          <w:rFonts w:cs="Sylfaen"/>
          <w:b w:val="0"/>
          <w:szCs w:val="22"/>
          <w:lang w:val="hy-AM"/>
        </w:rPr>
        <w:t>արդյունքներով</w:t>
      </w:r>
      <w:r w:rsidRPr="0039457F">
        <w:rPr>
          <w:rFonts w:cs="Sylfaen"/>
          <w:b w:val="0"/>
          <w:szCs w:val="22"/>
          <w:lang w:val="af-ZA"/>
        </w:rPr>
        <w:t xml:space="preserve"> </w:t>
      </w:r>
      <w:r w:rsidRPr="0039457F">
        <w:rPr>
          <w:rFonts w:cs="Sylfaen"/>
          <w:b w:val="0"/>
          <w:szCs w:val="22"/>
          <w:lang w:val="hy-AM"/>
        </w:rPr>
        <w:t>առաջացած</w:t>
      </w:r>
      <w:r w:rsidRPr="0039457F">
        <w:rPr>
          <w:rFonts w:cs="Sylfaen"/>
          <w:b w:val="0"/>
          <w:szCs w:val="22"/>
          <w:lang w:val="af-ZA"/>
        </w:rPr>
        <w:t xml:space="preserve"> </w:t>
      </w:r>
      <w:r w:rsidRPr="0039457F">
        <w:rPr>
          <w:rFonts w:cs="Sylfaen"/>
          <w:b w:val="0"/>
          <w:szCs w:val="22"/>
          <w:lang w:val="hy-AM"/>
        </w:rPr>
        <w:t>տարեկան</w:t>
      </w:r>
      <w:r w:rsidRPr="0039457F">
        <w:rPr>
          <w:rFonts w:cs="Sylfaen"/>
          <w:b w:val="0"/>
          <w:szCs w:val="22"/>
          <w:lang w:val="af-ZA"/>
        </w:rPr>
        <w:t xml:space="preserve"> </w:t>
      </w:r>
      <w:r w:rsidRPr="0039457F">
        <w:rPr>
          <w:rFonts w:cs="Sylfaen"/>
          <w:b w:val="0"/>
          <w:szCs w:val="22"/>
          <w:lang w:val="hy-AM"/>
        </w:rPr>
        <w:t>վնասը (ՀՀ</w:t>
      </w:r>
      <w:r w:rsidRPr="0039457F">
        <w:rPr>
          <w:rFonts w:cs="Sylfaen"/>
          <w:b w:val="0"/>
          <w:szCs w:val="22"/>
          <w:lang w:val="af-ZA"/>
        </w:rPr>
        <w:t xml:space="preserve"> </w:t>
      </w:r>
      <w:r w:rsidRPr="0039457F">
        <w:rPr>
          <w:rFonts w:cs="Sylfaen"/>
          <w:b w:val="0"/>
          <w:szCs w:val="22"/>
          <w:lang w:val="hy-AM"/>
        </w:rPr>
        <w:t>կառավարության</w:t>
      </w:r>
      <w:r w:rsidRPr="0039457F">
        <w:rPr>
          <w:rFonts w:cs="Sylfaen"/>
          <w:b w:val="0"/>
          <w:szCs w:val="22"/>
          <w:lang w:val="af-ZA"/>
        </w:rPr>
        <w:t xml:space="preserve"> 07.02.2008</w:t>
      </w:r>
      <w:r w:rsidRPr="0039457F">
        <w:rPr>
          <w:rFonts w:cs="Sylfaen"/>
          <w:b w:val="0"/>
          <w:szCs w:val="22"/>
          <w:lang w:val="hy-AM"/>
        </w:rPr>
        <w:t>թ</w:t>
      </w:r>
      <w:r w:rsidRPr="0039457F">
        <w:rPr>
          <w:rFonts w:cs="Sylfaen"/>
          <w:b w:val="0"/>
          <w:szCs w:val="22"/>
          <w:lang w:val="af-ZA"/>
        </w:rPr>
        <w:t xml:space="preserve"> N 83-</w:t>
      </w:r>
      <w:r w:rsidRPr="0039457F">
        <w:rPr>
          <w:rFonts w:cs="Sylfaen"/>
          <w:b w:val="0"/>
          <w:szCs w:val="22"/>
          <w:lang w:val="hy-AM"/>
        </w:rPr>
        <w:t>Ա</w:t>
      </w:r>
      <w:r w:rsidRPr="0039457F">
        <w:rPr>
          <w:rFonts w:cs="Sylfaen"/>
          <w:b w:val="0"/>
          <w:szCs w:val="22"/>
          <w:lang w:val="af-ZA"/>
        </w:rPr>
        <w:t xml:space="preserve"> </w:t>
      </w:r>
      <w:r w:rsidRPr="0039457F">
        <w:rPr>
          <w:rFonts w:cs="Sylfaen"/>
          <w:b w:val="0"/>
          <w:szCs w:val="22"/>
          <w:lang w:val="hy-AM"/>
        </w:rPr>
        <w:t>որոշումից բխող՝</w:t>
      </w:r>
      <w:r w:rsidRPr="0039457F">
        <w:rPr>
          <w:rFonts w:cs="Sylfaen"/>
          <w:b w:val="0"/>
          <w:szCs w:val="22"/>
          <w:lang w:val="af-ZA"/>
        </w:rPr>
        <w:t xml:space="preserve"> </w:t>
      </w:r>
      <w:r w:rsidRPr="0039457F">
        <w:rPr>
          <w:rFonts w:cs="Sylfaen"/>
          <w:b w:val="0"/>
          <w:szCs w:val="22"/>
          <w:lang w:val="hy-AM"/>
        </w:rPr>
        <w:t>կոնցեսիոների</w:t>
      </w:r>
      <w:r w:rsidRPr="0039457F">
        <w:rPr>
          <w:rFonts w:cs="Sylfaen"/>
          <w:b w:val="0"/>
          <w:szCs w:val="22"/>
          <w:lang w:val="af-ZA"/>
        </w:rPr>
        <w:t xml:space="preserve"> </w:t>
      </w:r>
      <w:r w:rsidRPr="0039457F">
        <w:rPr>
          <w:rFonts w:cs="Sylfaen"/>
          <w:b w:val="0"/>
          <w:szCs w:val="22"/>
          <w:lang w:val="hy-AM"/>
        </w:rPr>
        <w:t>կողմից</w:t>
      </w:r>
      <w:r w:rsidRPr="0039457F">
        <w:rPr>
          <w:rFonts w:cs="Sylfaen"/>
          <w:b w:val="0"/>
          <w:szCs w:val="22"/>
          <w:lang w:val="af-ZA"/>
        </w:rPr>
        <w:t xml:space="preserve"> </w:t>
      </w:r>
      <w:r w:rsidRPr="0039457F">
        <w:rPr>
          <w:rFonts w:cs="Sylfaen"/>
          <w:b w:val="0"/>
          <w:szCs w:val="22"/>
          <w:lang w:val="hy-AM"/>
        </w:rPr>
        <w:t>կանխատեսվող</w:t>
      </w:r>
      <w:r w:rsidRPr="0039457F">
        <w:rPr>
          <w:rFonts w:cs="Sylfaen"/>
          <w:b w:val="0"/>
          <w:szCs w:val="22"/>
          <w:lang w:val="af-ZA"/>
        </w:rPr>
        <w:t xml:space="preserve"> </w:t>
      </w:r>
      <w:r w:rsidRPr="0039457F">
        <w:rPr>
          <w:rFonts w:cs="Sylfaen"/>
          <w:b w:val="0"/>
          <w:szCs w:val="22"/>
          <w:lang w:val="hy-AM"/>
        </w:rPr>
        <w:t>կոնցեսիոն</w:t>
      </w:r>
      <w:r w:rsidRPr="0039457F">
        <w:rPr>
          <w:rFonts w:cs="Sylfaen"/>
          <w:b w:val="0"/>
          <w:szCs w:val="22"/>
          <w:lang w:val="af-ZA"/>
        </w:rPr>
        <w:t xml:space="preserve"> </w:t>
      </w:r>
      <w:r w:rsidRPr="0039457F">
        <w:rPr>
          <w:rFonts w:cs="Sylfaen"/>
          <w:b w:val="0"/>
          <w:szCs w:val="22"/>
          <w:lang w:val="hy-AM"/>
        </w:rPr>
        <w:t>տարեկան</w:t>
      </w:r>
      <w:r w:rsidRPr="0039457F">
        <w:rPr>
          <w:rFonts w:cs="Sylfaen"/>
          <w:b w:val="0"/>
          <w:szCs w:val="22"/>
          <w:lang w:val="af-ZA"/>
        </w:rPr>
        <w:t xml:space="preserve"> </w:t>
      </w:r>
      <w:r w:rsidRPr="0039457F">
        <w:rPr>
          <w:rFonts w:cs="Sylfaen"/>
          <w:b w:val="0"/>
          <w:szCs w:val="22"/>
          <w:lang w:val="hy-AM"/>
        </w:rPr>
        <w:t>վճարի</w:t>
      </w:r>
      <w:r w:rsidRPr="0039457F">
        <w:rPr>
          <w:rFonts w:cs="Sylfaen"/>
          <w:b w:val="0"/>
          <w:szCs w:val="22"/>
          <w:lang w:val="af-ZA"/>
        </w:rPr>
        <w:t xml:space="preserve"> </w:t>
      </w:r>
      <w:r w:rsidRPr="0039457F">
        <w:rPr>
          <w:rFonts w:cs="Sylfaen"/>
          <w:b w:val="0"/>
          <w:szCs w:val="22"/>
          <w:lang w:val="hy-AM"/>
        </w:rPr>
        <w:t>չափով)</w:t>
      </w:r>
      <w:r w:rsidRPr="0039457F">
        <w:rPr>
          <w:rFonts w:cs="Sylfaen"/>
          <w:b w:val="0"/>
          <w:szCs w:val="22"/>
          <w:lang w:val="af-ZA"/>
        </w:rPr>
        <w:t xml:space="preserve">: </w:t>
      </w:r>
    </w:p>
    <w:p w14:paraId="137BA4BC" w14:textId="77777777" w:rsidR="001A149E" w:rsidRPr="0039457F" w:rsidRDefault="001A149E" w:rsidP="00AC1E1E">
      <w:pPr>
        <w:widowControl w:val="0"/>
        <w:rPr>
          <w:rFonts w:cs="Sylfaen"/>
          <w:b w:val="0"/>
          <w:szCs w:val="22"/>
          <w:lang w:val="hy-AM"/>
        </w:rPr>
      </w:pPr>
      <w:r w:rsidRPr="0039457F">
        <w:rPr>
          <w:rFonts w:cs="Sylfaen"/>
          <w:szCs w:val="22"/>
        </w:rPr>
        <w:t>Պետական</w:t>
      </w:r>
      <w:r w:rsidRPr="0039457F">
        <w:rPr>
          <w:rFonts w:cs="Sylfaen"/>
          <w:szCs w:val="22"/>
          <w:lang w:val="af-ZA"/>
        </w:rPr>
        <w:t xml:space="preserve"> </w:t>
      </w:r>
      <w:r w:rsidRPr="0039457F">
        <w:rPr>
          <w:rFonts w:cs="Sylfaen"/>
          <w:szCs w:val="22"/>
        </w:rPr>
        <w:t>գույքի</w:t>
      </w:r>
      <w:r w:rsidRPr="0039457F">
        <w:rPr>
          <w:rFonts w:cs="Sylfaen"/>
          <w:szCs w:val="22"/>
          <w:lang w:val="af-ZA"/>
        </w:rPr>
        <w:t xml:space="preserve"> </w:t>
      </w:r>
      <w:r w:rsidRPr="0039457F">
        <w:rPr>
          <w:rFonts w:cs="Sylfaen"/>
          <w:szCs w:val="22"/>
        </w:rPr>
        <w:t>կառավարում</w:t>
      </w:r>
      <w:r w:rsidRPr="0039457F">
        <w:rPr>
          <w:rFonts w:cs="Sylfaen"/>
          <w:szCs w:val="22"/>
          <w:lang w:val="af-ZA"/>
        </w:rPr>
        <w:t xml:space="preserve"> </w:t>
      </w:r>
      <w:r w:rsidRPr="0039457F">
        <w:rPr>
          <w:rFonts w:cs="Sylfaen"/>
          <w:b w:val="0"/>
          <w:szCs w:val="22"/>
        </w:rPr>
        <w:t>ծրագրի</w:t>
      </w:r>
      <w:r w:rsidRPr="0039457F">
        <w:rPr>
          <w:rFonts w:cs="Sylfaen"/>
          <w:b w:val="0"/>
          <w:szCs w:val="22"/>
          <w:lang w:val="af-ZA"/>
        </w:rPr>
        <w:t xml:space="preserve"> </w:t>
      </w:r>
      <w:r w:rsidRPr="0039457F">
        <w:rPr>
          <w:rFonts w:cs="Sylfaen"/>
          <w:b w:val="0"/>
          <w:szCs w:val="22"/>
          <w:lang w:val="hy-AM"/>
        </w:rPr>
        <w:t xml:space="preserve">գծով 2024 թվականին նախատեսվում է. </w:t>
      </w:r>
    </w:p>
    <w:p w14:paraId="096B8250" w14:textId="77777777" w:rsidR="001A149E" w:rsidRPr="0039457F" w:rsidRDefault="001A149E" w:rsidP="00AC1E1E">
      <w:pPr>
        <w:widowControl w:val="0"/>
        <w:rPr>
          <w:rFonts w:cs="Sylfaen"/>
          <w:b w:val="0"/>
          <w:szCs w:val="22"/>
          <w:lang w:val="hy-AM"/>
        </w:rPr>
      </w:pPr>
      <w:r w:rsidRPr="0039457F">
        <w:rPr>
          <w:rFonts w:cs="Sylfaen"/>
          <w:b w:val="0"/>
          <w:szCs w:val="22"/>
          <w:lang w:val="hy-AM"/>
        </w:rPr>
        <w:t>265.4 մլն դրամ՝ պետական գույքի հաշվառման, գույքագրման, գնահատման, անշարժ գույքի պահառության, սպասարկման աշխատանքների և աճուրդների իրականացման ծառայությունների և պետական մարմիններին և կազմակերպություններին ամրացված՝ յուրաքանչյուր միավոր մինչև 5 մլն դրամ գնահատված արժեքով շարժական գույքի օտարման գործընթացում գտնվելու ժամանակահատվածում գույքի պահառության կազմակերպման համար:</w:t>
      </w:r>
    </w:p>
    <w:p w14:paraId="7C72EB82" w14:textId="77777777" w:rsidR="001A149E" w:rsidRPr="0039457F" w:rsidRDefault="001A149E" w:rsidP="00AC1E1E">
      <w:pPr>
        <w:widowControl w:val="0"/>
        <w:rPr>
          <w:rFonts w:cs="Sylfaen"/>
          <w:b w:val="0"/>
          <w:szCs w:val="22"/>
          <w:lang w:val="hy-AM"/>
        </w:rPr>
      </w:pPr>
      <w:r w:rsidRPr="0039457F">
        <w:rPr>
          <w:rFonts w:cs="Sylfaen"/>
          <w:b w:val="0"/>
          <w:szCs w:val="22"/>
          <w:lang w:val="hy-AM"/>
        </w:rPr>
        <w:t>Նշվածի շրջանակներում նախատեսվում է ապահովել պետական սեփականություն հանդիսացող գույքի գույքագրման, գնահատման, հաշվառման, հաշվառված գույքի տվյալների մշակման, փոփոխությունների գրանցման, տեղեկատվության տրամադրման աշխատանքների, պահառության, աճուրդների կազմակերպման և անցկացման ծառայությունների իրականացումը, ինչպես նաև պետական գույքի հաշվառման նոր ավտոմատացված ու ամբողջական համակարգի և էլեկտրոնային աճուրդների կազմակերպման ծրագրերի սպասարկումը։</w:t>
      </w:r>
    </w:p>
    <w:p w14:paraId="5FC1E01F" w14:textId="77777777" w:rsidR="001A149E" w:rsidRPr="0039457F" w:rsidRDefault="001A149E" w:rsidP="00AC1E1E">
      <w:pPr>
        <w:widowControl w:val="0"/>
        <w:rPr>
          <w:rFonts w:cs="Sylfaen"/>
          <w:b w:val="0"/>
          <w:szCs w:val="22"/>
          <w:lang w:val="hy-AM"/>
        </w:rPr>
      </w:pPr>
      <w:r w:rsidRPr="0039457F">
        <w:rPr>
          <w:rFonts w:cs="Sylfaen"/>
          <w:b w:val="0"/>
          <w:szCs w:val="22"/>
          <w:lang w:val="hy-AM"/>
        </w:rPr>
        <w:t>Բացի այդ պետական մարմինների կողմից օգտագործվող ոչ ֆինանսական ակտիվների օտարումից նախատեսվում է (15,000.0 մլն դրամի) մուտքեր:</w:t>
      </w:r>
    </w:p>
    <w:p w14:paraId="2BBFF5E1" w14:textId="77777777" w:rsidR="00F55BE2" w:rsidRPr="0039457F" w:rsidRDefault="00F55BE2" w:rsidP="00AC1E1E">
      <w:pPr>
        <w:widowControl w:val="0"/>
        <w:rPr>
          <w:rFonts w:cs="Sylfaen"/>
          <w:b w:val="0"/>
          <w:szCs w:val="22"/>
          <w:lang w:val="hy-AM"/>
        </w:rPr>
      </w:pPr>
      <w:r w:rsidRPr="0039457F">
        <w:rPr>
          <w:rFonts w:cs="Sylfaen"/>
          <w:b w:val="0"/>
          <w:szCs w:val="22"/>
          <w:lang w:val="hy-AM"/>
        </w:rPr>
        <w:t>Հանրային իշխանության մարմիններին տրանսպորտային միջոցներով ապահովվածության բարելավմ</w:t>
      </w:r>
      <w:r w:rsidRPr="00D14211">
        <w:rPr>
          <w:rFonts w:cs="Sylfaen"/>
          <w:b w:val="0"/>
          <w:szCs w:val="22"/>
          <w:lang w:val="hy-AM"/>
        </w:rPr>
        <w:t xml:space="preserve">ան նպատակով </w:t>
      </w:r>
      <w:r w:rsidRPr="0039457F">
        <w:rPr>
          <w:rFonts w:cs="Sylfaen"/>
          <w:b w:val="0"/>
          <w:szCs w:val="22"/>
          <w:lang w:val="hy-AM"/>
        </w:rPr>
        <w:t xml:space="preserve">մեքենաների ձեռք բերման հետ կապված բոլոր ծախսերը խմբավորվել են </w:t>
      </w:r>
      <w:r w:rsidRPr="00D14211">
        <w:rPr>
          <w:rFonts w:cs="Sylfaen"/>
          <w:b w:val="0"/>
          <w:szCs w:val="22"/>
          <w:lang w:val="hy-AM"/>
        </w:rPr>
        <w:t>սույն ծրագրի</w:t>
      </w:r>
      <w:r w:rsidRPr="0039457F">
        <w:rPr>
          <w:rFonts w:cs="Sylfaen"/>
          <w:b w:val="0"/>
          <w:szCs w:val="22"/>
          <w:lang w:val="hy-AM"/>
        </w:rPr>
        <w:t xml:space="preserve"> ներքո</w:t>
      </w:r>
      <w:r w:rsidRPr="00D14211">
        <w:rPr>
          <w:rFonts w:cs="Sylfaen"/>
          <w:b w:val="0"/>
          <w:szCs w:val="22"/>
          <w:lang w:val="hy-AM"/>
        </w:rPr>
        <w:t xml:space="preserve">, որի համար </w:t>
      </w:r>
      <w:r w:rsidRPr="0039457F">
        <w:rPr>
          <w:rFonts w:cs="Sylfaen"/>
          <w:b w:val="0"/>
          <w:szCs w:val="22"/>
          <w:lang w:val="hy-AM"/>
        </w:rPr>
        <w:t>նախատեսվել է 1.</w:t>
      </w:r>
      <w:r w:rsidR="004F3CA3">
        <w:rPr>
          <w:rFonts w:cs="Sylfaen"/>
          <w:b w:val="0"/>
          <w:szCs w:val="22"/>
          <w:lang w:val="hy-AM"/>
        </w:rPr>
        <w:t>2</w:t>
      </w:r>
      <w:r w:rsidRPr="0039457F">
        <w:rPr>
          <w:rFonts w:cs="Sylfaen"/>
          <w:b w:val="0"/>
          <w:szCs w:val="22"/>
          <w:lang w:val="hy-AM"/>
        </w:rPr>
        <w:t xml:space="preserve"> մլրդ դրամ: Նախատեսվում է, բոլոր պետական մարմինների կարիքների համար նոր ծառայողական մեքենաների ձեռբերումն ու բաշխումը կիրականացվի կենտրոնացված կարգով՝ ելնելով այդ ոլորտում պետական միասնական քաղաքականությունից:</w:t>
      </w:r>
    </w:p>
    <w:p w14:paraId="7E4892CC" w14:textId="77777777" w:rsidR="001A149E" w:rsidRPr="0039457F" w:rsidRDefault="001A149E" w:rsidP="00AC1E1E">
      <w:pPr>
        <w:widowControl w:val="0"/>
        <w:rPr>
          <w:rFonts w:cs="Sylfaen"/>
          <w:b w:val="0"/>
          <w:szCs w:val="22"/>
          <w:lang w:val="hy-AM"/>
        </w:rPr>
      </w:pPr>
      <w:r w:rsidRPr="0039457F">
        <w:rPr>
          <w:rFonts w:cs="Sylfaen"/>
          <w:szCs w:val="22"/>
          <w:lang w:val="hy-AM"/>
        </w:rPr>
        <w:t>Այլընտրանքային</w:t>
      </w:r>
      <w:r w:rsidRPr="0039457F">
        <w:rPr>
          <w:rFonts w:cs="Sylfaen"/>
          <w:szCs w:val="22"/>
          <w:lang w:val="af-ZA"/>
        </w:rPr>
        <w:t xml:space="preserve"> </w:t>
      </w:r>
      <w:r w:rsidRPr="0039457F">
        <w:rPr>
          <w:rFonts w:cs="Sylfaen"/>
          <w:szCs w:val="22"/>
          <w:lang w:val="hy-AM"/>
        </w:rPr>
        <w:t>աշխատանքային</w:t>
      </w:r>
      <w:r w:rsidRPr="0039457F">
        <w:rPr>
          <w:rFonts w:cs="Sylfaen"/>
          <w:szCs w:val="22"/>
          <w:lang w:val="af-ZA"/>
        </w:rPr>
        <w:t xml:space="preserve"> </w:t>
      </w:r>
      <w:r w:rsidRPr="0039457F">
        <w:rPr>
          <w:rFonts w:cs="Sylfaen"/>
          <w:szCs w:val="22"/>
          <w:lang w:val="hy-AM"/>
        </w:rPr>
        <w:t xml:space="preserve">ծառայություն </w:t>
      </w:r>
      <w:r w:rsidRPr="0039457F">
        <w:rPr>
          <w:rFonts w:cs="Sylfaen"/>
          <w:b w:val="0"/>
          <w:szCs w:val="22"/>
          <w:lang w:val="hy-AM"/>
        </w:rPr>
        <w:t>ծրագրի</w:t>
      </w:r>
      <w:r w:rsidRPr="0039457F">
        <w:rPr>
          <w:rFonts w:cs="Sylfaen"/>
          <w:b w:val="0"/>
          <w:szCs w:val="22"/>
          <w:lang w:val="af-ZA"/>
        </w:rPr>
        <w:t xml:space="preserve"> </w:t>
      </w:r>
      <w:r w:rsidRPr="0039457F">
        <w:rPr>
          <w:rFonts w:cs="Sylfaen"/>
          <w:b w:val="0"/>
          <w:szCs w:val="22"/>
          <w:lang w:val="hy-AM"/>
        </w:rPr>
        <w:t xml:space="preserve">գծով 2024 թվականին </w:t>
      </w:r>
      <w:r w:rsidRPr="0039457F">
        <w:rPr>
          <w:rFonts w:cs="Sylfaen"/>
          <w:b w:val="0"/>
          <w:szCs w:val="22"/>
          <w:lang w:val="hy-AM"/>
        </w:rPr>
        <w:lastRenderedPageBreak/>
        <w:t>նախատեսվել է</w:t>
      </w:r>
      <w:r w:rsidRPr="0039457F">
        <w:rPr>
          <w:b w:val="0"/>
          <w:szCs w:val="22"/>
          <w:lang w:val="it-IT"/>
        </w:rPr>
        <w:t xml:space="preserve"> 30.</w:t>
      </w:r>
      <w:r w:rsidRPr="0039457F">
        <w:rPr>
          <w:b w:val="0"/>
          <w:szCs w:val="22"/>
          <w:lang w:val="hy-AM"/>
        </w:rPr>
        <w:t>7</w:t>
      </w:r>
      <w:r w:rsidRPr="0039457F">
        <w:rPr>
          <w:b w:val="0"/>
          <w:szCs w:val="22"/>
          <w:lang w:val="it-IT"/>
        </w:rPr>
        <w:t xml:space="preserve"> </w:t>
      </w:r>
      <w:r w:rsidRPr="0039457F">
        <w:rPr>
          <w:b w:val="0"/>
          <w:szCs w:val="22"/>
          <w:lang w:val="hy-AM"/>
        </w:rPr>
        <w:t>մլն</w:t>
      </w:r>
      <w:r w:rsidRPr="0039457F">
        <w:rPr>
          <w:b w:val="0"/>
          <w:szCs w:val="22"/>
          <w:lang w:val="it-IT"/>
        </w:rPr>
        <w:t xml:space="preserve"> </w:t>
      </w:r>
      <w:r w:rsidRPr="0039457F">
        <w:rPr>
          <w:b w:val="0"/>
          <w:szCs w:val="22"/>
          <w:lang w:val="hy-AM"/>
        </w:rPr>
        <w:t>դրամ:</w:t>
      </w:r>
    </w:p>
    <w:p w14:paraId="4134A90D" w14:textId="77777777" w:rsidR="001A149E" w:rsidRPr="0039457F" w:rsidRDefault="001A149E" w:rsidP="00AC1E1E">
      <w:pPr>
        <w:widowControl w:val="0"/>
        <w:rPr>
          <w:rFonts w:cs="Arial"/>
          <w:b w:val="0"/>
          <w:noProof/>
          <w:szCs w:val="22"/>
          <w:lang w:val="hy-AM"/>
        </w:rPr>
      </w:pPr>
      <w:r w:rsidRPr="0039457F">
        <w:rPr>
          <w:rFonts w:cs="Sylfaen"/>
          <w:b w:val="0"/>
          <w:noProof/>
          <w:szCs w:val="22"/>
          <w:lang w:val="hy-AM"/>
        </w:rPr>
        <w:t>Ծրագրի նպատակն է քաղաքացիական պարտքի կատարման այլընտրանքային տարբերակների ապահովումը</w:t>
      </w:r>
      <w:r w:rsidRPr="0039457F">
        <w:rPr>
          <w:rFonts w:cs="Times Armenian"/>
          <w:b w:val="0"/>
          <w:kern w:val="16"/>
          <w:szCs w:val="22"/>
          <w:lang w:val="hy-AM"/>
        </w:rPr>
        <w:t>,</w:t>
      </w:r>
      <w:r w:rsidRPr="0039457F">
        <w:rPr>
          <w:b w:val="0"/>
          <w:szCs w:val="22"/>
          <w:lang w:val="it-IT"/>
        </w:rPr>
        <w:t xml:space="preserve"> </w:t>
      </w:r>
      <w:r w:rsidRPr="0039457F">
        <w:rPr>
          <w:rFonts w:cs="Arial"/>
          <w:b w:val="0"/>
          <w:noProof/>
          <w:szCs w:val="22"/>
          <w:lang w:val="hy-AM"/>
        </w:rPr>
        <w:t>որի շրջանակում թվով 102 այլընտրանքային աշխատանքային ծառայողների կտրամադրվի դրամական բավարարում և փոխհատուցում:</w:t>
      </w:r>
    </w:p>
    <w:p w14:paraId="1C4624D4" w14:textId="77777777" w:rsidR="001A149E" w:rsidRPr="0039457F" w:rsidRDefault="001A149E" w:rsidP="00AC1E1E">
      <w:pPr>
        <w:rPr>
          <w:rFonts w:cs="Sylfaen"/>
          <w:b w:val="0"/>
          <w:szCs w:val="22"/>
          <w:lang w:val="hy-AM"/>
        </w:rPr>
      </w:pPr>
      <w:r w:rsidRPr="0039457F">
        <w:rPr>
          <w:rFonts w:cs="Sylfaen"/>
          <w:szCs w:val="22"/>
          <w:lang w:val="hy-AM"/>
        </w:rPr>
        <w:t xml:space="preserve">Քաղաքային զարգացում </w:t>
      </w:r>
      <w:r w:rsidRPr="0039457F">
        <w:rPr>
          <w:rFonts w:cs="Sylfaen"/>
          <w:b w:val="0"/>
          <w:szCs w:val="22"/>
          <w:lang w:val="hy-AM"/>
        </w:rPr>
        <w:t>ծրագրի</w:t>
      </w:r>
      <w:r w:rsidRPr="0039457F">
        <w:rPr>
          <w:rFonts w:cs="Sylfaen"/>
          <w:b w:val="0"/>
          <w:szCs w:val="22"/>
          <w:lang w:val="af-ZA"/>
        </w:rPr>
        <w:t xml:space="preserve"> </w:t>
      </w:r>
      <w:r w:rsidRPr="0039457F">
        <w:rPr>
          <w:rFonts w:cs="Sylfaen"/>
          <w:b w:val="0"/>
          <w:szCs w:val="22"/>
          <w:lang w:val="hy-AM"/>
        </w:rPr>
        <w:t>գծով 2024 թվականին նախատեսվել է 1</w:t>
      </w:r>
      <w:r w:rsidR="004F3CA3">
        <w:rPr>
          <w:rFonts w:cs="Sylfaen"/>
          <w:b w:val="0"/>
          <w:szCs w:val="22"/>
          <w:lang w:val="hy-AM"/>
        </w:rPr>
        <w:t>6</w:t>
      </w:r>
      <w:r w:rsidRPr="0039457F">
        <w:rPr>
          <w:rFonts w:cs="Sylfaen"/>
          <w:b w:val="0"/>
          <w:szCs w:val="22"/>
          <w:lang w:val="hy-AM"/>
        </w:rPr>
        <w:t>,</w:t>
      </w:r>
      <w:r w:rsidR="004F3CA3">
        <w:rPr>
          <w:rFonts w:cs="Sylfaen"/>
          <w:b w:val="0"/>
          <w:szCs w:val="22"/>
          <w:lang w:val="hy-AM"/>
        </w:rPr>
        <w:t>583</w:t>
      </w:r>
      <w:r w:rsidRPr="0039457F">
        <w:rPr>
          <w:rFonts w:cs="Sylfaen"/>
          <w:b w:val="0"/>
          <w:szCs w:val="22"/>
          <w:lang w:val="hy-AM"/>
        </w:rPr>
        <w:t>.</w:t>
      </w:r>
      <w:r w:rsidR="004F3CA3">
        <w:rPr>
          <w:rFonts w:cs="Sylfaen"/>
          <w:b w:val="0"/>
          <w:szCs w:val="22"/>
          <w:lang w:val="hy-AM"/>
        </w:rPr>
        <w:t>7</w:t>
      </w:r>
      <w:r w:rsidRPr="0039457F">
        <w:rPr>
          <w:rFonts w:cs="Sylfaen"/>
          <w:b w:val="0"/>
          <w:szCs w:val="22"/>
          <w:lang w:val="hy-AM"/>
        </w:rPr>
        <w:t xml:space="preserve"> մլն դրամ:</w:t>
      </w:r>
    </w:p>
    <w:p w14:paraId="49FF88F8" w14:textId="77777777" w:rsidR="001A149E" w:rsidRPr="0039457F" w:rsidRDefault="001A149E" w:rsidP="00AC1E1E">
      <w:pPr>
        <w:widowControl w:val="0"/>
        <w:rPr>
          <w:rFonts w:cs="Sylfaen"/>
          <w:b w:val="0"/>
          <w:szCs w:val="22"/>
          <w:lang w:val="hy-AM"/>
        </w:rPr>
      </w:pPr>
      <w:r w:rsidRPr="0039457F">
        <w:rPr>
          <w:rFonts w:cs="Sylfaen"/>
          <w:b w:val="0"/>
          <w:szCs w:val="22"/>
          <w:lang w:val="hy-AM"/>
        </w:rPr>
        <w:t>Ծրագրի նպատակն է քաղաքային ենթակառուցվածքների զարգացումը, որի շրջանակներում ներքին</w:t>
      </w:r>
      <w:r w:rsidRPr="0039457F">
        <w:rPr>
          <w:rFonts w:cs="Sylfaen"/>
          <w:b w:val="0"/>
          <w:szCs w:val="22"/>
          <w:lang w:val="af-ZA"/>
        </w:rPr>
        <w:t xml:space="preserve"> </w:t>
      </w:r>
      <w:r w:rsidRPr="0039457F">
        <w:rPr>
          <w:rFonts w:cs="Sylfaen"/>
          <w:b w:val="0"/>
          <w:szCs w:val="22"/>
          <w:lang w:val="hy-AM"/>
        </w:rPr>
        <w:t>և</w:t>
      </w:r>
      <w:r w:rsidRPr="0039457F">
        <w:rPr>
          <w:rFonts w:cs="Sylfaen"/>
          <w:b w:val="0"/>
          <w:szCs w:val="22"/>
          <w:lang w:val="af-ZA"/>
        </w:rPr>
        <w:t xml:space="preserve"> </w:t>
      </w:r>
      <w:r w:rsidRPr="0039457F">
        <w:rPr>
          <w:rFonts w:cs="Sylfaen"/>
          <w:b w:val="0"/>
          <w:szCs w:val="22"/>
          <w:lang w:val="hy-AM"/>
        </w:rPr>
        <w:t>արտաքին</w:t>
      </w:r>
      <w:r w:rsidRPr="0039457F">
        <w:rPr>
          <w:rFonts w:cs="Sylfaen"/>
          <w:b w:val="0"/>
          <w:szCs w:val="22"/>
          <w:lang w:val="af-ZA"/>
        </w:rPr>
        <w:t xml:space="preserve"> </w:t>
      </w:r>
      <w:r w:rsidRPr="0039457F">
        <w:rPr>
          <w:rFonts w:cs="Sylfaen"/>
          <w:b w:val="0"/>
          <w:szCs w:val="22"/>
          <w:lang w:val="hy-AM"/>
        </w:rPr>
        <w:t>աղբյուրների</w:t>
      </w:r>
      <w:r w:rsidRPr="0039457F">
        <w:rPr>
          <w:rFonts w:cs="Sylfaen"/>
          <w:b w:val="0"/>
          <w:szCs w:val="22"/>
          <w:lang w:val="af-ZA"/>
        </w:rPr>
        <w:t xml:space="preserve"> </w:t>
      </w:r>
      <w:r w:rsidRPr="0039457F">
        <w:rPr>
          <w:rFonts w:cs="Sylfaen"/>
          <w:b w:val="0"/>
          <w:szCs w:val="22"/>
          <w:lang w:val="hy-AM"/>
        </w:rPr>
        <w:t>ֆինանսավորմամբ նախատեսվում</w:t>
      </w:r>
      <w:r w:rsidRPr="0039457F">
        <w:rPr>
          <w:rFonts w:cs="Sylfaen"/>
          <w:b w:val="0"/>
          <w:szCs w:val="22"/>
          <w:lang w:val="af-ZA"/>
        </w:rPr>
        <w:t xml:space="preserve"> </w:t>
      </w:r>
      <w:r w:rsidRPr="0039457F">
        <w:rPr>
          <w:rFonts w:cs="Sylfaen"/>
          <w:b w:val="0"/>
          <w:szCs w:val="22"/>
          <w:lang w:val="hy-AM"/>
        </w:rPr>
        <w:t>է իրականացնել Երևանի մետրոպոլիտենով ուղևորափոխադրման ծառայությունների և Երևանի տարածքում ճանապարհային երթևեկության կարգավորման գծով պետության կողմից համայնքի ղեկավարին պատվիրակված լիազորությունների իրականացման, Երևան և Գյումրի քաղաքների փողոցների և արտաքին լուսավորության ցանցի հիմանորոգման, շահագործման ու պահպանման աշխատանքների իրականացում:</w:t>
      </w:r>
    </w:p>
    <w:p w14:paraId="6B367585" w14:textId="77777777" w:rsidR="001A149E" w:rsidRPr="0039457F" w:rsidRDefault="001A149E" w:rsidP="00AC1E1E">
      <w:pPr>
        <w:widowControl w:val="0"/>
        <w:tabs>
          <w:tab w:val="num" w:pos="720"/>
        </w:tabs>
        <w:rPr>
          <w:rFonts w:cs="Sylfaen"/>
          <w:b w:val="0"/>
          <w:szCs w:val="22"/>
          <w:lang w:val="hy-AM"/>
        </w:rPr>
      </w:pPr>
      <w:r w:rsidRPr="0039457F">
        <w:rPr>
          <w:rFonts w:cs="Sylfaen"/>
          <w:b w:val="0"/>
          <w:szCs w:val="22"/>
          <w:lang w:val="hy-AM"/>
        </w:rPr>
        <w:t>Մասնավորապես 2024 թվականին ներքին աղբյուրների հաշվին նախատեսվում է սուբսիդավորել Երևանի մետրոպոլիտենի ուղևորափոխադրման ծառայությունները՝ ապահովելով 26.5 մլն ուղևորների անվտանգ ուղևորափոխադրումը, իրականացնել մետրոպոլիտենի հիմնանորոգման աշխատանքներ և մեկնարկել Աջափնյակ կայարանի կառուցման աշխատանքները: Կշարունակվեն մանկապարտեզների հիմնանորոգման ու Երևանի բուսաբանական այգու տարածքում անտառապուրակի կառուցապատման աշխատանքները:</w:t>
      </w:r>
    </w:p>
    <w:p w14:paraId="234770F2" w14:textId="77777777" w:rsidR="001A149E" w:rsidRPr="0039457F" w:rsidRDefault="001A149E" w:rsidP="00AC1E1E">
      <w:pPr>
        <w:widowControl w:val="0"/>
        <w:rPr>
          <w:rFonts w:cs="Sylfaen"/>
          <w:b w:val="0"/>
          <w:szCs w:val="22"/>
          <w:lang w:val="hy-AM"/>
        </w:rPr>
      </w:pPr>
      <w:r w:rsidRPr="0039457F">
        <w:rPr>
          <w:rFonts w:cs="Sylfaen"/>
          <w:b w:val="0"/>
          <w:szCs w:val="22"/>
          <w:lang w:val="hy-AM"/>
        </w:rPr>
        <w:t xml:space="preserve">Արտաքին աղբյուրների ֆինանսավորմամբ իրականացվող շարունակական ծրագրերի ներքո նախատեսվում է՝ Երևան քաղաքում 28 փողոցների արտաքին լուսավորության ցանցի արդիականացում, Գյումրի քաղաքում՝ ընտրված փողոցների վերանորոգում և լուսավորության ցանցի արդիականացում, ինչպես նաև մեկնարկելու են նաև Երևան քաղաքի Իսակով-Արշակունյաց ճանապարհի կառուցման աշխատանքները: </w:t>
      </w:r>
    </w:p>
    <w:p w14:paraId="06C4B0AF" w14:textId="77777777" w:rsidR="001A149E" w:rsidRPr="0039457F" w:rsidRDefault="001A149E" w:rsidP="00AC1E1E">
      <w:pPr>
        <w:rPr>
          <w:b w:val="0"/>
          <w:bCs/>
          <w:iCs/>
          <w:color w:val="000000"/>
          <w:szCs w:val="22"/>
          <w:lang w:val="hy-AM"/>
        </w:rPr>
      </w:pPr>
      <w:r w:rsidRPr="0039457F">
        <w:rPr>
          <w:color w:val="000000"/>
          <w:szCs w:val="22"/>
          <w:lang w:val="hy-AM"/>
        </w:rPr>
        <w:t xml:space="preserve">Էլեկտրաէներգետիկ համակարգի զարգացման </w:t>
      </w:r>
      <w:r w:rsidRPr="0039457F">
        <w:rPr>
          <w:b w:val="0"/>
          <w:bCs/>
          <w:iCs/>
          <w:color w:val="000000"/>
          <w:szCs w:val="22"/>
          <w:lang w:val="hy-AM"/>
        </w:rPr>
        <w:t>ծրագրի գծով 2024 թվականին նախա</w:t>
      </w:r>
      <w:r w:rsidRPr="0039457F">
        <w:rPr>
          <w:b w:val="0"/>
          <w:bCs/>
          <w:iCs/>
          <w:color w:val="000000"/>
          <w:szCs w:val="22"/>
          <w:lang w:val="hy-AM"/>
        </w:rPr>
        <w:softHyphen/>
        <w:t>տեսվում է հատկացնել 1,2</w:t>
      </w:r>
      <w:r w:rsidR="004F3CA3">
        <w:rPr>
          <w:b w:val="0"/>
          <w:bCs/>
          <w:iCs/>
          <w:color w:val="000000"/>
          <w:szCs w:val="22"/>
          <w:lang w:val="hy-AM"/>
        </w:rPr>
        <w:t>59</w:t>
      </w:r>
      <w:r w:rsidRPr="0039457F">
        <w:rPr>
          <w:b w:val="0"/>
          <w:bCs/>
          <w:iCs/>
          <w:color w:val="000000"/>
          <w:szCs w:val="22"/>
          <w:lang w:val="hy-AM"/>
        </w:rPr>
        <w:t>.</w:t>
      </w:r>
      <w:r w:rsidR="004F3CA3">
        <w:rPr>
          <w:b w:val="0"/>
          <w:bCs/>
          <w:iCs/>
          <w:color w:val="000000"/>
          <w:szCs w:val="22"/>
          <w:lang w:val="hy-AM"/>
        </w:rPr>
        <w:t>1</w:t>
      </w:r>
      <w:r w:rsidRPr="0039457F">
        <w:rPr>
          <w:b w:val="0"/>
          <w:bCs/>
          <w:iCs/>
          <w:color w:val="000000"/>
          <w:szCs w:val="22"/>
          <w:lang w:val="hy-AM"/>
        </w:rPr>
        <w:t xml:space="preserve"> մլն դրամ:</w:t>
      </w:r>
    </w:p>
    <w:p w14:paraId="42BAE8F7" w14:textId="77777777" w:rsidR="001A149E" w:rsidRPr="0039457F" w:rsidRDefault="001A149E" w:rsidP="00AC1E1E">
      <w:pPr>
        <w:rPr>
          <w:b w:val="0"/>
          <w:bCs/>
          <w:iCs/>
          <w:color w:val="000000"/>
          <w:szCs w:val="22"/>
          <w:lang w:val="hy-AM"/>
        </w:rPr>
      </w:pPr>
      <w:r w:rsidRPr="0039457F">
        <w:rPr>
          <w:b w:val="0"/>
          <w:bCs/>
          <w:iCs/>
          <w:color w:val="000000"/>
          <w:szCs w:val="22"/>
          <w:lang w:val="hy-AM"/>
        </w:rPr>
        <w:t>Ծրագրի նպատակն է նպաստել էլեկտրաէներգետիկ համակարգի հուսալիության բարձրացմանը և էլեկտրաէներգիայի անխափան մատակարարման ապահովմանը:</w:t>
      </w:r>
    </w:p>
    <w:p w14:paraId="178818D6" w14:textId="77777777" w:rsidR="001A149E" w:rsidRPr="0039457F" w:rsidRDefault="001A149E" w:rsidP="00AC1E1E">
      <w:pPr>
        <w:rPr>
          <w:b w:val="0"/>
          <w:bCs/>
          <w:iCs/>
          <w:color w:val="000000"/>
          <w:szCs w:val="22"/>
          <w:lang w:val="hy-AM"/>
        </w:rPr>
      </w:pPr>
      <w:r w:rsidRPr="0039457F">
        <w:rPr>
          <w:b w:val="0"/>
          <w:bCs/>
          <w:iCs/>
          <w:color w:val="000000"/>
          <w:szCs w:val="22"/>
          <w:lang w:val="hy-AM"/>
        </w:rPr>
        <w:t>Դրամաշնորհային ծրագրերի շրջանակներում կիրականացվեն Հայաստան-Վրաստան 400 կՎ լարման էլեկտրահաղորդման օդային գծերի և համապատասխան ենթակայանների կառուցման գլխավոր կապալառուների ընտրության և գլխավոր կապալառուների հետ համապատասխան պայմանագրերի կնքման աշխատանքները, որը կապված է համանուն վարկային ծրագրի հետ:</w:t>
      </w:r>
    </w:p>
    <w:p w14:paraId="5B2D79B2" w14:textId="77777777" w:rsidR="001A149E" w:rsidRPr="0039457F" w:rsidRDefault="001A149E" w:rsidP="00AC1E1E">
      <w:pPr>
        <w:rPr>
          <w:b w:val="0"/>
          <w:bCs/>
          <w:iCs/>
          <w:color w:val="000000"/>
          <w:szCs w:val="22"/>
          <w:lang w:val="hy-AM"/>
        </w:rPr>
      </w:pPr>
      <w:r w:rsidRPr="0039457F">
        <w:rPr>
          <w:b w:val="0"/>
          <w:bCs/>
          <w:iCs/>
          <w:color w:val="000000"/>
          <w:szCs w:val="22"/>
          <w:lang w:val="hy-AM"/>
        </w:rPr>
        <w:t xml:space="preserve">Արդյունքում՝ հայկական և վրացական էներգահամակարգերի միացման հետևանքով Հայաստան-Վրաստան էլեկտրաէներգիայի փոխանակման հզորությունը ներկայիս 200 </w:t>
      </w:r>
      <w:r w:rsidRPr="0039457F">
        <w:rPr>
          <w:b w:val="0"/>
          <w:bCs/>
          <w:iCs/>
          <w:color w:val="000000"/>
          <w:szCs w:val="22"/>
          <w:lang w:val="hy-AM"/>
        </w:rPr>
        <w:lastRenderedPageBreak/>
        <w:t>մՎտ-ից առաջին փուլում կհասցվի 350 մՎտ-ի, հետագայում՝ ելնելով տարածաշրջանային շուկայի պահանջարկից մինչև 1050 մՎտ-ի:</w:t>
      </w:r>
    </w:p>
    <w:p w14:paraId="7AA28517" w14:textId="77777777" w:rsidR="001A149E" w:rsidRPr="0039457F" w:rsidRDefault="001A149E" w:rsidP="00AC1E1E">
      <w:pPr>
        <w:rPr>
          <w:b w:val="0"/>
          <w:szCs w:val="22"/>
          <w:lang w:val="hy-AM"/>
        </w:rPr>
      </w:pPr>
      <w:r w:rsidRPr="0039457F">
        <w:rPr>
          <w:szCs w:val="22"/>
          <w:lang w:val="hy-AM"/>
        </w:rPr>
        <w:t xml:space="preserve">Ռադիոակտիվ թափոնների կառավարում </w:t>
      </w:r>
      <w:r w:rsidRPr="0039457F">
        <w:rPr>
          <w:b w:val="0"/>
          <w:szCs w:val="22"/>
          <w:lang w:val="hy-AM"/>
        </w:rPr>
        <w:t>ծրագրի գծով 2024 թվականին նախատեսվում է հատկացնել 40.3 մլն դրամ:</w:t>
      </w:r>
    </w:p>
    <w:p w14:paraId="47D8C4FB" w14:textId="77777777" w:rsidR="001A149E" w:rsidRPr="0039457F" w:rsidRDefault="001A149E" w:rsidP="00AC1E1E">
      <w:pPr>
        <w:rPr>
          <w:b w:val="0"/>
          <w:szCs w:val="22"/>
          <w:lang w:val="hy-AM"/>
        </w:rPr>
      </w:pPr>
      <w:r w:rsidRPr="0039457F">
        <w:rPr>
          <w:b w:val="0"/>
          <w:szCs w:val="22"/>
          <w:lang w:val="hy-AM"/>
        </w:rPr>
        <w:t xml:space="preserve">Ծրագրի նպատակն է միջուկային և ճառագայթային անվտանգության նորմերի ու կանոնների պահպանմամբ ռադիոակտիվ թափոնների կենտրոնացված փոխադրման, ուսումնասիրման, պահպանման, վնասազերծման և թաղման ապահովումը` մարդկանց և շրջակա միջավայրի իոնացնող ճառագայթման վնասակար ազդեցությունից պաշտպանելու համար: Ծրագրի կատարումից ակնկալվում է հայտնաբերված ռադիոակտիվ թափոնների 100% վնասազերծում: Ծրագրի շրջանակներում նախատեսվում է 150 ռադիոակտիվ թափոնների միջուկային և ճառագայթային անվտանգության նորմերի ու կանոնների պահպանմամբ կենտրոնացված փոխադրման, ուսումնասիրման, պահպանման և վնասազերծման աշխատանքներ: </w:t>
      </w:r>
    </w:p>
    <w:p w14:paraId="6209B450" w14:textId="297F74F9" w:rsidR="001A149E" w:rsidRPr="0039457F" w:rsidRDefault="001A149E" w:rsidP="00AC1E1E">
      <w:pPr>
        <w:rPr>
          <w:b w:val="0"/>
          <w:szCs w:val="22"/>
          <w:lang w:val="hy-AM"/>
        </w:rPr>
      </w:pPr>
      <w:r w:rsidRPr="0039457F">
        <w:rPr>
          <w:rFonts w:cs="Sylfaen"/>
          <w:szCs w:val="22"/>
          <w:lang w:val="hy-AM"/>
        </w:rPr>
        <w:t xml:space="preserve">Ավիացիայի բնագավառում վերահսկողության, կանոնակարգման և զարգացման ապահովում </w:t>
      </w:r>
      <w:r w:rsidRPr="0039457F">
        <w:rPr>
          <w:b w:val="0"/>
          <w:szCs w:val="22"/>
          <w:lang w:val="hy-AM"/>
        </w:rPr>
        <w:t>ծրագրի գծով 2024 թվականին նախա</w:t>
      </w:r>
      <w:r w:rsidRPr="0039457F">
        <w:rPr>
          <w:b w:val="0"/>
          <w:szCs w:val="22"/>
          <w:lang w:val="hy-AM"/>
        </w:rPr>
        <w:softHyphen/>
        <w:t>տեսվել է 58</w:t>
      </w:r>
      <w:r w:rsidR="005972E4">
        <w:rPr>
          <w:b w:val="0"/>
          <w:szCs w:val="22"/>
          <w:lang w:val="hy-AM"/>
        </w:rPr>
        <w:t>6</w:t>
      </w:r>
      <w:r w:rsidRPr="0039457F">
        <w:rPr>
          <w:b w:val="0"/>
          <w:szCs w:val="22"/>
          <w:lang w:val="hy-AM"/>
        </w:rPr>
        <w:t>.2 մլն դրամ (որից 1,454.8 մլն դրամը ապարատի պահպանմանն ուղղվող գումարներն են):</w:t>
      </w:r>
    </w:p>
    <w:p w14:paraId="295746D1" w14:textId="77777777" w:rsidR="001A149E" w:rsidRPr="0039457F" w:rsidRDefault="001A149E" w:rsidP="00AC1E1E">
      <w:pPr>
        <w:widowControl w:val="0"/>
        <w:rPr>
          <w:b w:val="0"/>
          <w:szCs w:val="22"/>
          <w:lang w:val="hy-AM"/>
        </w:rPr>
      </w:pPr>
      <w:r w:rsidRPr="0039457F">
        <w:rPr>
          <w:rFonts w:cs="Sylfaen"/>
          <w:b w:val="0"/>
          <w:szCs w:val="22"/>
          <w:lang w:val="hy-AM"/>
        </w:rPr>
        <w:t>Նշված ծրագրի շրջանակներում կ</w:t>
      </w:r>
      <w:r w:rsidRPr="0039457F">
        <w:rPr>
          <w:b w:val="0"/>
          <w:szCs w:val="22"/>
          <w:lang w:val="hy-AM"/>
        </w:rPr>
        <w:t>վերապատրաստվեն ՀՀ տարածքային կառավարման և ենթակառուցվածքների նախարարության քաղաքացիական ավիացիայի կոմիտեի 180 աշխատակիցներ (</w:t>
      </w:r>
      <w:r w:rsidRPr="0039457F">
        <w:rPr>
          <w:rFonts w:cs="Sylfaen"/>
          <w:b w:val="0"/>
          <w:szCs w:val="22"/>
          <w:lang w:val="hy-AM"/>
        </w:rPr>
        <w:t xml:space="preserve">78.8 </w:t>
      </w:r>
      <w:r w:rsidRPr="0039457F">
        <w:rPr>
          <w:b w:val="0"/>
          <w:szCs w:val="22"/>
          <w:lang w:val="hy-AM"/>
        </w:rPr>
        <w:t>մլն դրամ):</w:t>
      </w:r>
    </w:p>
    <w:p w14:paraId="14448D08" w14:textId="77777777" w:rsidR="001A149E" w:rsidRPr="0039457F" w:rsidRDefault="001A149E" w:rsidP="00AC1E1E">
      <w:pPr>
        <w:rPr>
          <w:rFonts w:cs="Sylfaen"/>
          <w:b w:val="0"/>
          <w:szCs w:val="22"/>
          <w:lang w:val="hy-AM"/>
        </w:rPr>
      </w:pPr>
      <w:r w:rsidRPr="0039457F">
        <w:rPr>
          <w:szCs w:val="22"/>
          <w:lang w:val="hy-AM"/>
        </w:rPr>
        <w:t xml:space="preserve">Տարածքային զարգացում </w:t>
      </w:r>
      <w:r w:rsidRPr="0039457F">
        <w:rPr>
          <w:b w:val="0"/>
          <w:szCs w:val="22"/>
          <w:lang w:val="hy-AM"/>
        </w:rPr>
        <w:t xml:space="preserve">ծրագրի գծով 2024 </w:t>
      </w:r>
      <w:r w:rsidRPr="0039457F">
        <w:rPr>
          <w:rFonts w:cs="Sylfaen"/>
          <w:b w:val="0"/>
          <w:szCs w:val="22"/>
          <w:lang w:val="hy-AM"/>
        </w:rPr>
        <w:t>թվականին նախատեսվում է հատկացնել 1</w:t>
      </w:r>
      <w:r w:rsidR="004F3CA3">
        <w:rPr>
          <w:rFonts w:cs="Sylfaen"/>
          <w:b w:val="0"/>
          <w:szCs w:val="22"/>
          <w:lang w:val="hy-AM"/>
        </w:rPr>
        <w:t>15</w:t>
      </w:r>
      <w:r w:rsidRPr="0039457F">
        <w:rPr>
          <w:rFonts w:cs="Sylfaen"/>
          <w:b w:val="0"/>
          <w:szCs w:val="22"/>
          <w:lang w:val="hy-AM"/>
        </w:rPr>
        <w:t>,</w:t>
      </w:r>
      <w:r w:rsidR="004F3CA3">
        <w:rPr>
          <w:rFonts w:cs="Sylfaen"/>
          <w:b w:val="0"/>
          <w:szCs w:val="22"/>
          <w:lang w:val="hy-AM"/>
        </w:rPr>
        <w:t>5</w:t>
      </w:r>
      <w:r w:rsidRPr="0039457F">
        <w:rPr>
          <w:rFonts w:cs="Sylfaen"/>
          <w:b w:val="0"/>
          <w:szCs w:val="22"/>
          <w:lang w:val="hy-AM"/>
        </w:rPr>
        <w:t xml:space="preserve">59.6 մլն դրամ: </w:t>
      </w:r>
    </w:p>
    <w:p w14:paraId="24E31BDD" w14:textId="77777777" w:rsidR="001A149E" w:rsidRPr="00340504" w:rsidRDefault="001A149E" w:rsidP="00AC1E1E">
      <w:pPr>
        <w:widowControl w:val="0"/>
        <w:rPr>
          <w:rFonts w:cs="Sylfaen"/>
          <w:b w:val="0"/>
          <w:szCs w:val="22"/>
          <w:lang w:val="hy-AM"/>
        </w:rPr>
      </w:pPr>
      <w:r w:rsidRPr="00340504">
        <w:rPr>
          <w:rFonts w:cs="Sylfaen"/>
          <w:b w:val="0"/>
          <w:szCs w:val="22"/>
          <w:lang w:val="hy-AM"/>
        </w:rPr>
        <w:t xml:space="preserve">Ծրագրի նպատակն է տարածքային համաչափ զարգացման խթանումը (մասնավորապես ՀՀ համայնքների կառավարման արդյունավետության բարձրացումն ու տնտեսական գործունեության խթանումը (ներառյալ ՀՀ Գեղարքունիքի մարզի Արծվաշեն բնակավայրի): </w:t>
      </w:r>
    </w:p>
    <w:p w14:paraId="37B0AA5A" w14:textId="77777777" w:rsidR="001A149E" w:rsidRPr="00340504" w:rsidRDefault="001A149E" w:rsidP="00AC1E1E">
      <w:pPr>
        <w:widowControl w:val="0"/>
        <w:rPr>
          <w:rFonts w:cs="Sylfaen"/>
          <w:b w:val="0"/>
          <w:szCs w:val="22"/>
          <w:lang w:val="hy-AM"/>
        </w:rPr>
      </w:pPr>
      <w:r w:rsidRPr="00340504">
        <w:rPr>
          <w:rFonts w:cs="Sylfaen"/>
          <w:b w:val="0"/>
          <w:szCs w:val="22"/>
          <w:lang w:val="hy-AM"/>
        </w:rPr>
        <w:t>Ծրագրի շրջանակներում կիրականացվեն.</w:t>
      </w:r>
    </w:p>
    <w:p w14:paraId="0F8419F6" w14:textId="77777777" w:rsidR="001A149E" w:rsidRPr="00340504" w:rsidRDefault="001A149E" w:rsidP="00AC1E1E">
      <w:pPr>
        <w:widowControl w:val="0"/>
        <w:rPr>
          <w:rFonts w:cs="Sylfaen"/>
          <w:b w:val="0"/>
          <w:szCs w:val="22"/>
          <w:lang w:val="hy-AM"/>
        </w:rPr>
      </w:pPr>
      <w:r w:rsidRPr="00340504">
        <w:rPr>
          <w:rFonts w:cs="Sylfaen"/>
          <w:b w:val="0"/>
          <w:szCs w:val="22"/>
          <w:lang w:val="hy-AM"/>
        </w:rPr>
        <w:t xml:space="preserve">Համայնքների ներդաշնակ զարգացումն ապահովելու նպատակով Տարածքային զարգացում ծրագրի շրջանակում նախատեսվում են համայնքների բյուջեներին ֆինանսական համահարթեցման սկզբունքով` համայնքների ընթացիկ ծախսերի ծածկման համար անհատույց և անվերադարձ կարգով տրվող դրամական միջոցներ` ֆինանսական համահարթեցման դոտացիաներ: </w:t>
      </w:r>
    </w:p>
    <w:p w14:paraId="59E4AEFC" w14:textId="7D163EFC" w:rsidR="00F3160C" w:rsidRPr="00340504" w:rsidRDefault="00F3160C" w:rsidP="00AC1E1E">
      <w:pPr>
        <w:widowControl w:val="0"/>
        <w:rPr>
          <w:rFonts w:cs="Sylfaen"/>
          <w:b w:val="0"/>
          <w:szCs w:val="22"/>
          <w:lang w:val="hy-AM"/>
        </w:rPr>
      </w:pPr>
      <w:r w:rsidRPr="00340504">
        <w:rPr>
          <w:rFonts w:cs="Sylfaen"/>
          <w:b w:val="0"/>
          <w:szCs w:val="22"/>
          <w:lang w:val="hy-AM"/>
        </w:rPr>
        <w:t>Հիմք ընդունելով «Տեղական ինքնակառավարման մասին» և «Հա</w:t>
      </w:r>
      <w:r w:rsidRPr="00340504">
        <w:rPr>
          <w:rFonts w:cs="Sylfaen"/>
          <w:b w:val="0"/>
          <w:szCs w:val="22"/>
          <w:lang w:val="hy-AM"/>
        </w:rPr>
        <w:softHyphen/>
        <w:t>յաս</w:t>
      </w:r>
      <w:r w:rsidRPr="00340504">
        <w:rPr>
          <w:rFonts w:cs="Sylfaen"/>
          <w:b w:val="0"/>
          <w:szCs w:val="22"/>
          <w:lang w:val="hy-AM"/>
        </w:rPr>
        <w:softHyphen/>
        <w:t>տա</w:t>
      </w:r>
      <w:r w:rsidRPr="00340504">
        <w:rPr>
          <w:rFonts w:cs="Sylfaen"/>
          <w:b w:val="0"/>
          <w:szCs w:val="22"/>
          <w:lang w:val="hy-AM"/>
        </w:rPr>
        <w:softHyphen/>
        <w:t>նի Հանրապետության բյուջետային համակարգի մասին» օրենքներով սահմանված համապատասխան դրույթները՝ 2024 թվականին հա</w:t>
      </w:r>
      <w:r w:rsidRPr="00340504">
        <w:rPr>
          <w:rFonts w:cs="Sylfaen"/>
          <w:b w:val="0"/>
          <w:szCs w:val="22"/>
          <w:lang w:val="hy-AM"/>
        </w:rPr>
        <w:softHyphen/>
        <w:t>մայնք</w:t>
      </w:r>
      <w:r w:rsidRPr="00340504">
        <w:rPr>
          <w:rFonts w:cs="Sylfaen"/>
          <w:b w:val="0"/>
          <w:szCs w:val="22"/>
          <w:lang w:val="hy-AM"/>
        </w:rPr>
        <w:softHyphen/>
        <w:t>նե</w:t>
      </w:r>
      <w:r w:rsidRPr="00340504">
        <w:rPr>
          <w:rFonts w:cs="Sylfaen"/>
          <w:b w:val="0"/>
          <w:szCs w:val="22"/>
          <w:lang w:val="hy-AM"/>
        </w:rPr>
        <w:softHyphen/>
        <w:t>րին տրա</w:t>
      </w:r>
      <w:r w:rsidRPr="00340504">
        <w:rPr>
          <w:rFonts w:cs="Sylfaen"/>
          <w:b w:val="0"/>
          <w:szCs w:val="22"/>
          <w:lang w:val="hy-AM"/>
        </w:rPr>
        <w:softHyphen/>
      </w:r>
      <w:r w:rsidRPr="00340504">
        <w:rPr>
          <w:rFonts w:cs="Sylfaen"/>
          <w:b w:val="0"/>
          <w:szCs w:val="22"/>
          <w:lang w:val="hy-AM"/>
        </w:rPr>
        <w:softHyphen/>
        <w:t>մադրվող ֆինան</w:t>
      </w:r>
      <w:r w:rsidRPr="00340504">
        <w:rPr>
          <w:rFonts w:cs="Sylfaen"/>
          <w:b w:val="0"/>
          <w:szCs w:val="22"/>
          <w:lang w:val="hy-AM"/>
        </w:rPr>
        <w:softHyphen/>
        <w:t>սական համա</w:t>
      </w:r>
      <w:r w:rsidRPr="00340504">
        <w:rPr>
          <w:rFonts w:cs="Sylfaen"/>
          <w:b w:val="0"/>
          <w:szCs w:val="22"/>
          <w:lang w:val="hy-AM"/>
        </w:rPr>
        <w:softHyphen/>
        <w:t>հարթեցման դոտա</w:t>
      </w:r>
      <w:r w:rsidRPr="00340504">
        <w:rPr>
          <w:rFonts w:cs="Sylfaen"/>
          <w:b w:val="0"/>
          <w:szCs w:val="22"/>
          <w:lang w:val="hy-AM"/>
        </w:rPr>
        <w:softHyphen/>
        <w:t>ցիա</w:t>
      </w:r>
      <w:r w:rsidRPr="00340504">
        <w:rPr>
          <w:rFonts w:cs="Sylfaen"/>
          <w:b w:val="0"/>
          <w:szCs w:val="22"/>
          <w:lang w:val="hy-AM"/>
        </w:rPr>
        <w:softHyphen/>
        <w:t>ների ընդհա</w:t>
      </w:r>
      <w:r w:rsidRPr="00340504">
        <w:rPr>
          <w:rFonts w:cs="Sylfaen"/>
          <w:b w:val="0"/>
          <w:szCs w:val="22"/>
          <w:lang w:val="hy-AM"/>
        </w:rPr>
        <w:softHyphen/>
        <w:t>նուր գումարը (ներ</w:t>
      </w:r>
      <w:r w:rsidRPr="00340504">
        <w:rPr>
          <w:rFonts w:cs="Sylfaen"/>
          <w:b w:val="0"/>
          <w:szCs w:val="22"/>
          <w:lang w:val="hy-AM"/>
        </w:rPr>
        <w:softHyphen/>
        <w:t>առ</w:t>
      </w:r>
      <w:r w:rsidRPr="00340504">
        <w:rPr>
          <w:rFonts w:cs="Sylfaen"/>
          <w:b w:val="0"/>
          <w:szCs w:val="22"/>
          <w:lang w:val="hy-AM"/>
        </w:rPr>
        <w:softHyphen/>
        <w:t>յալ պե</w:t>
      </w:r>
      <w:r w:rsidRPr="00340504">
        <w:rPr>
          <w:rFonts w:cs="Sylfaen"/>
          <w:b w:val="0"/>
          <w:szCs w:val="22"/>
          <w:lang w:val="hy-AM"/>
        </w:rPr>
        <w:softHyphen/>
        <w:t>տու</w:t>
      </w:r>
      <w:r w:rsidRPr="00340504">
        <w:rPr>
          <w:rFonts w:cs="Sylfaen"/>
          <w:b w:val="0"/>
          <w:szCs w:val="22"/>
          <w:lang w:val="hy-AM"/>
        </w:rPr>
        <w:softHyphen/>
        <w:t>թյան կողմից հա</w:t>
      </w:r>
      <w:r w:rsidRPr="00340504">
        <w:rPr>
          <w:rFonts w:cs="Sylfaen"/>
          <w:b w:val="0"/>
          <w:szCs w:val="22"/>
          <w:lang w:val="hy-AM"/>
        </w:rPr>
        <w:softHyphen/>
      </w:r>
      <w:r w:rsidRPr="00340504">
        <w:rPr>
          <w:rFonts w:cs="Sylfaen"/>
          <w:b w:val="0"/>
          <w:szCs w:val="22"/>
          <w:lang w:val="hy-AM"/>
        </w:rPr>
        <w:softHyphen/>
        <w:t>մայնք</w:t>
      </w:r>
      <w:r w:rsidRPr="00340504">
        <w:rPr>
          <w:rFonts w:cs="Sylfaen"/>
          <w:b w:val="0"/>
          <w:szCs w:val="22"/>
          <w:lang w:val="hy-AM"/>
        </w:rPr>
        <w:softHyphen/>
        <w:t>ներին տվյալ տարում տրվող փոխհա</w:t>
      </w:r>
      <w:r w:rsidRPr="00340504">
        <w:rPr>
          <w:rFonts w:cs="Sylfaen"/>
          <w:b w:val="0"/>
          <w:szCs w:val="22"/>
          <w:lang w:val="hy-AM"/>
        </w:rPr>
        <w:softHyphen/>
        <w:t>տուց</w:t>
      </w:r>
      <w:r w:rsidRPr="00340504">
        <w:rPr>
          <w:rFonts w:cs="Sylfaen"/>
          <w:b w:val="0"/>
          <w:szCs w:val="22"/>
          <w:lang w:val="hy-AM"/>
        </w:rPr>
        <w:softHyphen/>
        <w:t>ման գումարները) չպետք է պա</w:t>
      </w:r>
      <w:r w:rsidRPr="00340504">
        <w:rPr>
          <w:rFonts w:cs="Sylfaen"/>
          <w:b w:val="0"/>
          <w:szCs w:val="22"/>
          <w:lang w:val="hy-AM"/>
        </w:rPr>
        <w:softHyphen/>
        <w:t>կաս լինի ՀՀ 2022 թվա</w:t>
      </w:r>
      <w:r w:rsidRPr="00340504">
        <w:rPr>
          <w:rFonts w:cs="Sylfaen"/>
          <w:b w:val="0"/>
          <w:szCs w:val="22"/>
          <w:lang w:val="hy-AM"/>
        </w:rPr>
        <w:softHyphen/>
        <w:t>կանի հա</w:t>
      </w:r>
      <w:r w:rsidRPr="00340504">
        <w:rPr>
          <w:rFonts w:cs="Sylfaen"/>
          <w:b w:val="0"/>
          <w:szCs w:val="22"/>
          <w:lang w:val="hy-AM"/>
        </w:rPr>
        <w:softHyphen/>
        <w:t>մախմբված բյուջեի փաս</w:t>
      </w:r>
      <w:r w:rsidRPr="00340504">
        <w:rPr>
          <w:rFonts w:cs="Sylfaen"/>
          <w:b w:val="0"/>
          <w:szCs w:val="22"/>
          <w:lang w:val="hy-AM"/>
        </w:rPr>
        <w:softHyphen/>
        <w:t>տա</w:t>
      </w:r>
      <w:r w:rsidRPr="00340504">
        <w:rPr>
          <w:rFonts w:cs="Sylfaen"/>
          <w:b w:val="0"/>
          <w:szCs w:val="22"/>
          <w:lang w:val="hy-AM"/>
        </w:rPr>
        <w:softHyphen/>
        <w:t>ցի եկամուտների ընդ</w:t>
      </w:r>
      <w:r w:rsidRPr="00340504">
        <w:rPr>
          <w:rFonts w:cs="Sylfaen"/>
          <w:b w:val="0"/>
          <w:szCs w:val="22"/>
          <w:lang w:val="hy-AM"/>
        </w:rPr>
        <w:softHyphen/>
        <w:t>հանուր գու</w:t>
      </w:r>
      <w:r w:rsidRPr="00340504">
        <w:rPr>
          <w:rFonts w:cs="Sylfaen"/>
          <w:b w:val="0"/>
          <w:szCs w:val="22"/>
          <w:lang w:val="hy-AM"/>
        </w:rPr>
        <w:softHyphen/>
        <w:t>մարի` 2,132.9 մլրդ դրամի 4%-ը կազ</w:t>
      </w:r>
      <w:r w:rsidRPr="00340504">
        <w:rPr>
          <w:rFonts w:cs="Sylfaen"/>
          <w:b w:val="0"/>
          <w:szCs w:val="22"/>
          <w:lang w:val="hy-AM"/>
        </w:rPr>
        <w:softHyphen/>
        <w:t xml:space="preserve">մող 85,314.6 մլն դրամից: ՀՀ 2024 թվականի </w:t>
      </w:r>
      <w:r w:rsidRPr="00340504">
        <w:rPr>
          <w:rFonts w:cs="Sylfaen"/>
          <w:b w:val="0"/>
          <w:szCs w:val="22"/>
          <w:lang w:val="hy-AM"/>
        </w:rPr>
        <w:lastRenderedPageBreak/>
        <w:t>պետական բյուջեի նախագծով նախատեսվում է ֆինանսական համա</w:t>
      </w:r>
      <w:r w:rsidRPr="00340504">
        <w:rPr>
          <w:rFonts w:cs="Sylfaen"/>
          <w:b w:val="0"/>
          <w:szCs w:val="22"/>
          <w:lang w:val="hy-AM"/>
        </w:rPr>
        <w:softHyphen/>
        <w:t>հար</w:t>
      </w:r>
      <w:r w:rsidRPr="00340504">
        <w:rPr>
          <w:rFonts w:cs="Sylfaen"/>
          <w:b w:val="0"/>
          <w:szCs w:val="22"/>
          <w:lang w:val="hy-AM"/>
        </w:rPr>
        <w:softHyphen/>
        <w:t>թեց</w:t>
      </w:r>
      <w:r w:rsidRPr="00340504">
        <w:rPr>
          <w:rFonts w:cs="Sylfaen"/>
          <w:b w:val="0"/>
          <w:szCs w:val="22"/>
          <w:lang w:val="hy-AM"/>
        </w:rPr>
        <w:softHyphen/>
        <w:t>ման սկզբունքով ՀՀ համայնքներին (71 համայնքներին) տրամադրել ընդհանուր գումարով 85,314.6 մլն դրա</w:t>
      </w:r>
      <w:r w:rsidRPr="00340504">
        <w:rPr>
          <w:rFonts w:cs="Sylfaen"/>
          <w:b w:val="0"/>
          <w:szCs w:val="22"/>
          <w:lang w:val="hy-AM"/>
        </w:rPr>
        <w:softHyphen/>
      </w:r>
      <w:r w:rsidRPr="00340504">
        <w:rPr>
          <w:rFonts w:cs="Sylfaen"/>
          <w:b w:val="0"/>
          <w:szCs w:val="22"/>
          <w:lang w:val="hy-AM"/>
        </w:rPr>
        <w:softHyphen/>
        <w:t>մի դո</w:t>
      </w:r>
      <w:r w:rsidRPr="00340504">
        <w:rPr>
          <w:rFonts w:cs="Sylfaen"/>
          <w:b w:val="0"/>
          <w:szCs w:val="22"/>
          <w:lang w:val="hy-AM"/>
        </w:rPr>
        <w:softHyphen/>
        <w:t>տա</w:t>
      </w:r>
      <w:r w:rsidRPr="00340504">
        <w:rPr>
          <w:rFonts w:cs="Sylfaen"/>
          <w:b w:val="0"/>
          <w:szCs w:val="22"/>
          <w:lang w:val="hy-AM"/>
        </w:rPr>
        <w:softHyphen/>
        <w:t>ցիա</w:t>
      </w:r>
      <w:r w:rsidRPr="00340504">
        <w:rPr>
          <w:rFonts w:cs="Sylfaen"/>
          <w:b w:val="0"/>
          <w:szCs w:val="22"/>
          <w:lang w:val="hy-AM"/>
        </w:rPr>
        <w:softHyphen/>
        <w:t>ներ: ՀՀ 2024 թվականի պետական բյուջեով նախատեսված ֆինանսական համա</w:t>
      </w:r>
      <w:r w:rsidRPr="00340504">
        <w:rPr>
          <w:rFonts w:cs="Sylfaen"/>
          <w:b w:val="0"/>
          <w:szCs w:val="22"/>
          <w:lang w:val="hy-AM"/>
        </w:rPr>
        <w:softHyphen/>
        <w:t>հար</w:t>
      </w:r>
      <w:r w:rsidRPr="00340504">
        <w:rPr>
          <w:rFonts w:cs="Sylfaen"/>
          <w:b w:val="0"/>
          <w:szCs w:val="22"/>
          <w:lang w:val="hy-AM"/>
        </w:rPr>
        <w:softHyphen/>
        <w:t>թեց</w:t>
      </w:r>
      <w:r w:rsidRPr="00340504">
        <w:rPr>
          <w:rFonts w:cs="Sylfaen"/>
          <w:b w:val="0"/>
          <w:szCs w:val="22"/>
          <w:lang w:val="hy-AM"/>
        </w:rPr>
        <w:softHyphen/>
        <w:t>ման սկզբունքով համայնքներին տրամադրվող դոտացիաների բաշխումն ըստ առանձին համայնք</w:t>
      </w:r>
      <w:r w:rsidRPr="00340504">
        <w:rPr>
          <w:rFonts w:cs="Sylfaen"/>
          <w:b w:val="0"/>
          <w:szCs w:val="22"/>
          <w:lang w:val="hy-AM"/>
        </w:rPr>
        <w:softHyphen/>
        <w:t>ների իրականացվել է «Ֆինանսական համահարթեցման մասին» ՀՀ օրենքի դրույթներին հա</w:t>
      </w:r>
      <w:r w:rsidRPr="00340504">
        <w:rPr>
          <w:rFonts w:cs="Sylfaen"/>
          <w:b w:val="0"/>
          <w:szCs w:val="22"/>
          <w:lang w:val="hy-AM"/>
        </w:rPr>
        <w:softHyphen/>
        <w:t>մա</w:t>
      </w:r>
      <w:r w:rsidRPr="00340504">
        <w:rPr>
          <w:rFonts w:cs="Sylfaen"/>
          <w:b w:val="0"/>
          <w:szCs w:val="22"/>
          <w:lang w:val="hy-AM"/>
        </w:rPr>
        <w:softHyphen/>
        <w:t>պա</w:t>
      </w:r>
      <w:r w:rsidRPr="00340504">
        <w:rPr>
          <w:rFonts w:cs="Sylfaen"/>
          <w:b w:val="0"/>
          <w:szCs w:val="22"/>
          <w:lang w:val="hy-AM"/>
        </w:rPr>
        <w:softHyphen/>
        <w:t>տասխան:</w:t>
      </w:r>
    </w:p>
    <w:p w14:paraId="3519D15D" w14:textId="22ABCC08" w:rsidR="001D72B3" w:rsidRPr="00340504" w:rsidRDefault="00D862D5" w:rsidP="00AC1E1E">
      <w:pPr>
        <w:widowControl w:val="0"/>
        <w:rPr>
          <w:rFonts w:cs="Sylfaen"/>
          <w:b w:val="0"/>
          <w:szCs w:val="22"/>
          <w:lang w:val="hy-AM"/>
        </w:rPr>
      </w:pPr>
      <w:r w:rsidRPr="00340504">
        <w:rPr>
          <w:rFonts w:cs="Sylfaen"/>
          <w:b w:val="0"/>
          <w:szCs w:val="22"/>
          <w:lang w:val="hy-AM"/>
        </w:rPr>
        <w:t>Երևան քաղաքի մասով բացի վերը նշված հա</w:t>
      </w:r>
      <w:r w:rsidRPr="00340504">
        <w:rPr>
          <w:rFonts w:cs="Sylfaen"/>
          <w:b w:val="0"/>
          <w:szCs w:val="22"/>
          <w:lang w:val="hy-AM"/>
        </w:rPr>
        <w:softHyphen/>
        <w:t>մայնք</w:t>
      </w:r>
      <w:r w:rsidRPr="00340504">
        <w:rPr>
          <w:rFonts w:cs="Sylfaen"/>
          <w:b w:val="0"/>
          <w:szCs w:val="22"/>
          <w:lang w:val="hy-AM"/>
        </w:rPr>
        <w:softHyphen/>
        <w:t>նե</w:t>
      </w:r>
      <w:r w:rsidRPr="00340504">
        <w:rPr>
          <w:rFonts w:cs="Sylfaen"/>
          <w:b w:val="0"/>
          <w:szCs w:val="22"/>
          <w:lang w:val="hy-AM"/>
        </w:rPr>
        <w:softHyphen/>
        <w:t>րին տրա</w:t>
      </w:r>
      <w:r w:rsidRPr="00340504">
        <w:rPr>
          <w:rFonts w:cs="Sylfaen"/>
          <w:b w:val="0"/>
          <w:szCs w:val="22"/>
          <w:lang w:val="hy-AM"/>
        </w:rPr>
        <w:softHyphen/>
      </w:r>
      <w:r w:rsidRPr="00340504">
        <w:rPr>
          <w:rFonts w:cs="Sylfaen"/>
          <w:b w:val="0"/>
          <w:szCs w:val="22"/>
          <w:lang w:val="hy-AM"/>
        </w:rPr>
        <w:softHyphen/>
        <w:t>մադրվող ֆինան</w:t>
      </w:r>
      <w:r w:rsidRPr="00340504">
        <w:rPr>
          <w:rFonts w:cs="Sylfaen"/>
          <w:b w:val="0"/>
          <w:szCs w:val="22"/>
          <w:lang w:val="hy-AM"/>
        </w:rPr>
        <w:softHyphen/>
        <w:t>սական համա</w:t>
      </w:r>
      <w:r w:rsidRPr="00340504">
        <w:rPr>
          <w:rFonts w:cs="Sylfaen"/>
          <w:b w:val="0"/>
          <w:szCs w:val="22"/>
          <w:lang w:val="hy-AM"/>
        </w:rPr>
        <w:softHyphen/>
        <w:t>հարթեցման դոտա</w:t>
      </w:r>
      <w:r w:rsidRPr="00340504">
        <w:rPr>
          <w:rFonts w:cs="Sylfaen"/>
          <w:b w:val="0"/>
          <w:szCs w:val="22"/>
          <w:lang w:val="hy-AM"/>
        </w:rPr>
        <w:softHyphen/>
        <w:t>ցիա</w:t>
      </w:r>
      <w:r w:rsidRPr="00340504">
        <w:rPr>
          <w:rFonts w:cs="Sylfaen"/>
          <w:b w:val="0"/>
          <w:szCs w:val="22"/>
          <w:lang w:val="hy-AM"/>
        </w:rPr>
        <w:softHyphen/>
        <w:t>ներից, գ</w:t>
      </w:r>
      <w:r w:rsidR="001D72B3" w:rsidRPr="00340504">
        <w:rPr>
          <w:rFonts w:cs="Sylfaen"/>
          <w:b w:val="0"/>
          <w:szCs w:val="22"/>
          <w:lang w:val="hy-AM"/>
        </w:rPr>
        <w:t xml:space="preserve">ումարներ </w:t>
      </w:r>
      <w:r w:rsidR="00A575E1" w:rsidRPr="00340504">
        <w:rPr>
          <w:rFonts w:cs="Sylfaen"/>
          <w:b w:val="0"/>
          <w:szCs w:val="22"/>
          <w:lang w:val="hy-AM"/>
        </w:rPr>
        <w:t xml:space="preserve">(5.7 մլդ դրամ) </w:t>
      </w:r>
      <w:r w:rsidR="001D72B3" w:rsidRPr="00340504">
        <w:rPr>
          <w:rFonts w:cs="Sylfaen"/>
          <w:b w:val="0"/>
          <w:szCs w:val="22"/>
          <w:lang w:val="hy-AM"/>
        </w:rPr>
        <w:t>կ</w:t>
      </w:r>
      <w:r w:rsidRPr="00340504">
        <w:rPr>
          <w:rFonts w:cs="Sylfaen"/>
          <w:b w:val="0"/>
          <w:szCs w:val="22"/>
          <w:lang w:val="hy-AM"/>
        </w:rPr>
        <w:t>հատկացվեն</w:t>
      </w:r>
      <w:r w:rsidR="001D72B3" w:rsidRPr="00340504">
        <w:rPr>
          <w:rFonts w:cs="Sylfaen"/>
          <w:b w:val="0"/>
          <w:szCs w:val="22"/>
          <w:lang w:val="hy-AM"/>
        </w:rPr>
        <w:t xml:space="preserve"> նաև Երևանի քաղաքապետարանի սեփական լիազորությունների իրականացմանն աջակցելու </w:t>
      </w:r>
      <w:r w:rsidRPr="00340504">
        <w:rPr>
          <w:rFonts w:cs="Sylfaen"/>
          <w:b w:val="0"/>
          <w:szCs w:val="22"/>
          <w:lang w:val="hy-AM"/>
        </w:rPr>
        <w:t>նպատակով:</w:t>
      </w:r>
    </w:p>
    <w:p w14:paraId="3A81B221" w14:textId="77777777" w:rsidR="001A149E" w:rsidRPr="00340504" w:rsidRDefault="001A149E" w:rsidP="00AC1E1E">
      <w:pPr>
        <w:widowControl w:val="0"/>
        <w:rPr>
          <w:rFonts w:cs="Sylfaen"/>
          <w:b w:val="0"/>
          <w:szCs w:val="22"/>
          <w:lang w:val="hy-AM"/>
        </w:rPr>
      </w:pPr>
      <w:r w:rsidRPr="00340504">
        <w:rPr>
          <w:rFonts w:cs="Sylfaen"/>
          <w:b w:val="0"/>
          <w:szCs w:val="22"/>
          <w:lang w:val="hy-AM"/>
        </w:rPr>
        <w:t>Կշարունակվեն ՀՀ կառավարության կողմից համաֆինանսավորման սկզբունքով համայնքներում սուբվենցիոն ծրագրերի իրականացումը (ներառյալ մասնակցային բյուջետավորմամբ ձևավորված), ինչպես նաև սոցիալական աջակցություն ստ</w:t>
      </w:r>
      <w:r w:rsidR="00184A50" w:rsidRPr="00340504">
        <w:rPr>
          <w:rFonts w:cs="Sylfaen"/>
          <w:b w:val="0"/>
          <w:szCs w:val="22"/>
          <w:lang w:val="hy-AM"/>
        </w:rPr>
        <w:t>ացող սահմանամերձ համայնքների (13</w:t>
      </w:r>
      <w:r w:rsidRPr="00340504">
        <w:rPr>
          <w:rFonts w:cs="Sylfaen"/>
          <w:b w:val="0"/>
          <w:szCs w:val="22"/>
          <w:lang w:val="hy-AM"/>
        </w:rPr>
        <w:t xml:space="preserve"> համայնքների 82 բնակավայրեր) կողմից ծախսված բնական գազի, էլեկտրաէներգիայի, ոռոգման ջրի, սահմանամերձ համայնքների վարչական տարածքում գտնվող մարտական գործողությունների հետևանքով չօգտագործվող և հակառակորդի կողմից հողատարածքների գնդակոծման դեպքեր ունեցող գյուղատնտեսական նշանակության և բնակավայրերի բնակելի կառուցապատման հողատարածքների և (կամ) դրանց բարելավումների անշարժ գույքի հարկի ծախսերի փոխհատուցումը: </w:t>
      </w:r>
    </w:p>
    <w:p w14:paraId="1C9B718F" w14:textId="77777777" w:rsidR="001A149E" w:rsidRPr="0039457F" w:rsidRDefault="001A149E" w:rsidP="00AC1E1E">
      <w:pPr>
        <w:widowControl w:val="0"/>
        <w:rPr>
          <w:b w:val="0"/>
          <w:szCs w:val="22"/>
          <w:lang w:val="hy-AM"/>
        </w:rPr>
      </w:pPr>
      <w:r w:rsidRPr="00340504">
        <w:rPr>
          <w:rFonts w:cs="Sylfaen"/>
          <w:b w:val="0"/>
          <w:szCs w:val="22"/>
          <w:lang w:val="hy-AM"/>
        </w:rPr>
        <w:t>Ազդակիր բնակավայրերի և համայնքների բյուջեներին համայնքային մասհանումների հատկացումը («Հայաստանի Հանրապետության բյուջետային համակարգի մասին օրենքում լրացումներ կատարելու մասին» 11</w:t>
      </w:r>
      <w:r w:rsidRPr="00340504">
        <w:rPr>
          <w:rFonts w:ascii="Cambria Math" w:hAnsi="Cambria Math" w:cs="Cambria Math"/>
          <w:b w:val="0"/>
          <w:szCs w:val="22"/>
          <w:lang w:val="hy-AM"/>
        </w:rPr>
        <w:t>․</w:t>
      </w:r>
      <w:r w:rsidRPr="00340504">
        <w:rPr>
          <w:rFonts w:cs="Sylfaen"/>
          <w:b w:val="0"/>
          <w:szCs w:val="22"/>
          <w:lang w:val="hy-AM"/>
        </w:rPr>
        <w:t>03</w:t>
      </w:r>
      <w:r w:rsidRPr="00340504">
        <w:rPr>
          <w:rFonts w:ascii="Cambria Math" w:hAnsi="Cambria Math" w:cs="Cambria Math"/>
          <w:b w:val="0"/>
          <w:szCs w:val="22"/>
          <w:lang w:val="hy-AM"/>
        </w:rPr>
        <w:t>․․</w:t>
      </w:r>
      <w:r w:rsidRPr="00340504">
        <w:rPr>
          <w:rFonts w:cs="Sylfaen"/>
          <w:b w:val="0"/>
          <w:szCs w:val="22"/>
          <w:lang w:val="hy-AM"/>
        </w:rPr>
        <w:t>2022թ</w:t>
      </w:r>
      <w:r w:rsidRPr="00340504">
        <w:rPr>
          <w:rFonts w:ascii="Cambria Math" w:hAnsi="Cambria Math" w:cs="Cambria Math"/>
          <w:b w:val="0"/>
          <w:szCs w:val="22"/>
          <w:lang w:val="hy-AM"/>
        </w:rPr>
        <w:t>․</w:t>
      </w:r>
      <w:r w:rsidRPr="00340504">
        <w:rPr>
          <w:rFonts w:cs="Sylfaen"/>
          <w:b w:val="0"/>
          <w:szCs w:val="22"/>
          <w:lang w:val="hy-AM"/>
        </w:rPr>
        <w:t xml:space="preserve"> ՀՕ-52-Ն օրենքի 2-րդ հոդվածի պահանջով պայմանավորված նախատեսվում է յուրաքանչյուր ռոյալթի վճարողի կողմից նախորդող երրորդ տարվա փաստացի բյուջե վճարված ռոյալթիի չափի երկու տոկոսից ՀՀ բնակավայրերին և համայնքներին անվերադարձ կարգով տրամադրել մասհանումներ համայնքի սոցիալ-տնտեսական</w:t>
      </w:r>
      <w:r w:rsidRPr="0039457F">
        <w:rPr>
          <w:b w:val="0"/>
          <w:szCs w:val="22"/>
          <w:lang w:val="hy-AM"/>
        </w:rPr>
        <w:t xml:space="preserve"> զարգացման ծրագրերի իրականացման համար):</w:t>
      </w:r>
    </w:p>
    <w:p w14:paraId="12603F10" w14:textId="13735A2A" w:rsidR="001A149E" w:rsidRPr="0039457F" w:rsidRDefault="001A149E" w:rsidP="00AC1E1E">
      <w:pPr>
        <w:rPr>
          <w:b w:val="0"/>
          <w:bCs/>
          <w:iCs/>
          <w:color w:val="000000"/>
          <w:szCs w:val="22"/>
          <w:lang w:val="hy-AM"/>
        </w:rPr>
      </w:pPr>
      <w:r w:rsidRPr="0039457F">
        <w:rPr>
          <w:color w:val="000000"/>
          <w:szCs w:val="22"/>
          <w:lang w:val="hy-AM"/>
        </w:rPr>
        <w:t xml:space="preserve">էներգաարդյունավետության զարգացման </w:t>
      </w:r>
      <w:r w:rsidRPr="0039457F">
        <w:rPr>
          <w:b w:val="0"/>
          <w:bCs/>
          <w:iCs/>
          <w:color w:val="000000"/>
          <w:szCs w:val="22"/>
          <w:lang w:val="hy-AM"/>
        </w:rPr>
        <w:t>ծրագրի գծով 2024 թվա</w:t>
      </w:r>
      <w:r w:rsidR="00E353F2">
        <w:rPr>
          <w:b w:val="0"/>
          <w:bCs/>
          <w:iCs/>
          <w:color w:val="000000"/>
          <w:szCs w:val="22"/>
          <w:lang w:val="hy-AM"/>
        </w:rPr>
        <w:t>կանին նախա</w:t>
      </w:r>
      <w:r w:rsidR="00E353F2">
        <w:rPr>
          <w:b w:val="0"/>
          <w:bCs/>
          <w:iCs/>
          <w:color w:val="000000"/>
          <w:szCs w:val="22"/>
          <w:lang w:val="hy-AM"/>
        </w:rPr>
        <w:softHyphen/>
        <w:t>տեսվում է հատկացնել 6</w:t>
      </w:r>
      <w:r w:rsidRPr="0039457F">
        <w:rPr>
          <w:b w:val="0"/>
          <w:bCs/>
          <w:iCs/>
          <w:color w:val="000000"/>
          <w:szCs w:val="22"/>
          <w:lang w:val="hy-AM"/>
        </w:rPr>
        <w:t>,</w:t>
      </w:r>
      <w:r w:rsidR="00E353F2">
        <w:rPr>
          <w:b w:val="0"/>
          <w:bCs/>
          <w:iCs/>
          <w:color w:val="000000"/>
          <w:szCs w:val="22"/>
          <w:lang w:val="hy-AM"/>
        </w:rPr>
        <w:t>3</w:t>
      </w:r>
      <w:r w:rsidR="005972E4">
        <w:rPr>
          <w:b w:val="0"/>
          <w:bCs/>
          <w:iCs/>
          <w:color w:val="000000"/>
          <w:szCs w:val="22"/>
          <w:lang w:val="hy-AM"/>
        </w:rPr>
        <w:t>54</w:t>
      </w:r>
      <w:r w:rsidR="00E353F2">
        <w:rPr>
          <w:b w:val="0"/>
          <w:bCs/>
          <w:iCs/>
          <w:color w:val="000000"/>
          <w:szCs w:val="22"/>
          <w:lang w:val="hy-AM"/>
        </w:rPr>
        <w:t>.9</w:t>
      </w:r>
      <w:r w:rsidRPr="0039457F">
        <w:rPr>
          <w:b w:val="0"/>
          <w:bCs/>
          <w:iCs/>
          <w:color w:val="000000"/>
          <w:szCs w:val="22"/>
          <w:lang w:val="hy-AM"/>
        </w:rPr>
        <w:t xml:space="preserve"> մլն դրամ:</w:t>
      </w:r>
    </w:p>
    <w:p w14:paraId="11600090" w14:textId="77777777" w:rsidR="001A149E" w:rsidRPr="0039457F" w:rsidRDefault="001A149E" w:rsidP="00AC1E1E">
      <w:pPr>
        <w:rPr>
          <w:b w:val="0"/>
          <w:bCs/>
          <w:iCs/>
          <w:color w:val="000000"/>
          <w:szCs w:val="22"/>
          <w:lang w:val="hy-AM"/>
        </w:rPr>
      </w:pPr>
      <w:r w:rsidRPr="0039457F">
        <w:rPr>
          <w:b w:val="0"/>
          <w:bCs/>
          <w:iCs/>
          <w:color w:val="000000"/>
          <w:szCs w:val="22"/>
          <w:lang w:val="hy-AM"/>
        </w:rPr>
        <w:t>Ծրագրի նպատակն է նպաստել Էներգախնայողության բարձրացման և վերականգնվող էներգետիկայի ներուժի առավելագույն իրացմանը։</w:t>
      </w:r>
    </w:p>
    <w:p w14:paraId="2B024D2F" w14:textId="47379CCF" w:rsidR="001A149E" w:rsidRPr="0039457F" w:rsidRDefault="001A149E" w:rsidP="00AC1E1E">
      <w:pPr>
        <w:widowControl w:val="0"/>
        <w:rPr>
          <w:b w:val="0"/>
          <w:bCs/>
          <w:iCs/>
          <w:color w:val="000000"/>
          <w:szCs w:val="22"/>
          <w:lang w:val="hy-AM"/>
        </w:rPr>
      </w:pPr>
      <w:r w:rsidRPr="0039457F">
        <w:rPr>
          <w:rFonts w:cs="Sylfaen"/>
          <w:b w:val="0"/>
          <w:szCs w:val="22"/>
          <w:lang w:val="hy-AM"/>
        </w:rPr>
        <w:t xml:space="preserve">Ծրագրի </w:t>
      </w:r>
      <w:r w:rsidRPr="0039457F">
        <w:rPr>
          <w:b w:val="0"/>
          <w:bCs/>
          <w:iCs/>
          <w:color w:val="000000"/>
          <w:szCs w:val="22"/>
          <w:lang w:val="hy-AM"/>
        </w:rPr>
        <w:t xml:space="preserve">շրջանակներում նախատեսվում է սուբսիդավորել բնակարանների և անհատական բնակելի տների էներգաարդյունավետ վերանորոգման աշխատանքների պետական աջակցության ծրագրով ընտրված շուրջ </w:t>
      </w:r>
      <w:r w:rsidR="00A575E1">
        <w:rPr>
          <w:b w:val="0"/>
          <w:bCs/>
          <w:iCs/>
          <w:color w:val="000000"/>
          <w:szCs w:val="22"/>
          <w:lang w:val="hy-AM"/>
        </w:rPr>
        <w:t>8</w:t>
      </w:r>
      <w:r w:rsidRPr="0039457F">
        <w:rPr>
          <w:b w:val="0"/>
          <w:bCs/>
          <w:iCs/>
          <w:color w:val="000000"/>
          <w:szCs w:val="22"/>
          <w:lang w:val="hy-AM"/>
        </w:rPr>
        <w:t>000 շահառուների կողմից էներգաարդյունավետ վերանորոգման համար ներգրավված վարկերի տոկոսադրույքը (վարկի գործողության ողջ ընթացքում, բայց ոչ ավելի, քան 7 տարի):</w:t>
      </w:r>
    </w:p>
    <w:p w14:paraId="1257D8BF" w14:textId="77777777" w:rsidR="001A149E" w:rsidRPr="0039457F" w:rsidRDefault="001A149E" w:rsidP="00AC1E1E">
      <w:pPr>
        <w:rPr>
          <w:rFonts w:cs="Sylfaen"/>
          <w:b w:val="0"/>
          <w:szCs w:val="22"/>
          <w:lang w:val="hy-AM"/>
        </w:rPr>
      </w:pPr>
      <w:r w:rsidRPr="0039457F">
        <w:rPr>
          <w:b w:val="0"/>
          <w:bCs/>
          <w:iCs/>
          <w:color w:val="000000"/>
          <w:szCs w:val="22"/>
          <w:lang w:val="hy-AM"/>
        </w:rPr>
        <w:t xml:space="preserve">Արտաքին աղբյուրների </w:t>
      </w:r>
      <w:r w:rsidRPr="0039457F">
        <w:rPr>
          <w:b w:val="0"/>
          <w:color w:val="0D0D0D"/>
          <w:szCs w:val="22"/>
          <w:lang w:val="af-ZA"/>
        </w:rPr>
        <w:t>ֆինանսավորմամբ իրականացվող շարունակական ծրագրերի</w:t>
      </w:r>
      <w:r w:rsidRPr="0039457F">
        <w:rPr>
          <w:b w:val="0"/>
          <w:bCs/>
          <w:iCs/>
          <w:color w:val="000000"/>
          <w:szCs w:val="22"/>
          <w:lang w:val="hy-AM"/>
        </w:rPr>
        <w:t xml:space="preserve"> շրջանակներում նախատեսվում է թվով </w:t>
      </w:r>
      <w:r w:rsidR="00D44D71" w:rsidRPr="0039457F">
        <w:rPr>
          <w:b w:val="0"/>
          <w:bCs/>
          <w:iCs/>
          <w:color w:val="000000"/>
          <w:szCs w:val="22"/>
          <w:lang w:val="hy-AM"/>
        </w:rPr>
        <w:t>1</w:t>
      </w:r>
      <w:r w:rsidRPr="0039457F">
        <w:rPr>
          <w:b w:val="0"/>
          <w:bCs/>
          <w:iCs/>
          <w:color w:val="000000"/>
          <w:szCs w:val="22"/>
          <w:lang w:val="hy-AM"/>
        </w:rPr>
        <w:t xml:space="preserve">5 հանրային և հասարակական շենքերում </w:t>
      </w:r>
      <w:r w:rsidRPr="0039457F">
        <w:rPr>
          <w:b w:val="0"/>
          <w:bCs/>
          <w:iCs/>
          <w:color w:val="000000"/>
          <w:szCs w:val="22"/>
          <w:lang w:val="hy-AM"/>
        </w:rPr>
        <w:lastRenderedPageBreak/>
        <w:t>(մանկապարտեզներ, պոլիկլինիկաներ, մշակութային օջախներ</w:t>
      </w:r>
      <w:r w:rsidR="00D862D5">
        <w:rPr>
          <w:b w:val="0"/>
          <w:bCs/>
          <w:iCs/>
          <w:color w:val="000000"/>
          <w:szCs w:val="22"/>
          <w:lang w:val="hy-AM"/>
        </w:rPr>
        <w:t xml:space="preserve"> և այլն</w:t>
      </w:r>
      <w:r w:rsidRPr="0039457F">
        <w:rPr>
          <w:b w:val="0"/>
          <w:bCs/>
          <w:iCs/>
          <w:color w:val="000000"/>
          <w:szCs w:val="22"/>
          <w:lang w:val="hy-AM"/>
        </w:rPr>
        <w:t>) իրականացնել էներգաարդյունավետությանը և էներգախնայողությանն ուղղված հիմնանորոգման աշխատանքներ, որի արդյունքում կապահովվեն հանրային շենքերի սեյսմակայունությունը, ջերմամեկուսացման և լուսավորության համակարգերի, վերականգնվող էներգիայի աղբյուրների ինտեգրման, հաշմանդամների համար շենքերի հասանելիությունը, 0.3 տոկոսով կկրճատվեն էներգետիկ սպասարկման ֆինանսական ծախսերը, ինչպես նաև</w:t>
      </w:r>
      <w:r w:rsidRPr="0039457F">
        <w:rPr>
          <w:rFonts w:cs="Sylfaen"/>
          <w:b w:val="0"/>
          <w:szCs w:val="22"/>
          <w:lang w:val="hy-AM"/>
        </w:rPr>
        <w:t xml:space="preserve"> տեղի կունենա արտանետվող CO</w:t>
      </w:r>
      <w:r w:rsidRPr="0039457F">
        <w:rPr>
          <w:rFonts w:cs="Sylfaen"/>
          <w:b w:val="0"/>
          <w:szCs w:val="22"/>
          <w:vertAlign w:val="subscript"/>
          <w:lang w:val="hy-AM"/>
        </w:rPr>
        <w:t>2</w:t>
      </w:r>
      <w:r w:rsidRPr="0039457F">
        <w:rPr>
          <w:rFonts w:cs="Sylfaen"/>
          <w:b w:val="0"/>
          <w:szCs w:val="22"/>
          <w:lang w:val="hy-AM"/>
        </w:rPr>
        <w:t xml:space="preserve"> գազի նվազեցում։</w:t>
      </w:r>
    </w:p>
    <w:p w14:paraId="4F22D49A" w14:textId="77777777" w:rsidR="0023176E" w:rsidRPr="004F5524" w:rsidRDefault="0023176E" w:rsidP="00AC1E1E">
      <w:pPr>
        <w:pStyle w:val="Heading1"/>
      </w:pPr>
      <w:bookmarkStart w:id="308" w:name="_Toc153184498"/>
      <w:r w:rsidRPr="004F5524">
        <w:t xml:space="preserve">ՀՀ </w:t>
      </w:r>
      <w:r w:rsidRPr="00BA5118">
        <w:rPr>
          <w:szCs w:val="22"/>
        </w:rPr>
        <w:t>բարձր</w:t>
      </w:r>
      <w:r w:rsidRPr="004F5524">
        <w:t xml:space="preserve"> տեխնոլոգիական արդյունաբերության նախարարություն</w:t>
      </w:r>
      <w:bookmarkEnd w:id="307"/>
      <w:bookmarkEnd w:id="308"/>
    </w:p>
    <w:p w14:paraId="06430126" w14:textId="77777777" w:rsidR="00DE1703" w:rsidRPr="007955BB" w:rsidRDefault="00DE1703" w:rsidP="00AC1E1E">
      <w:pPr>
        <w:tabs>
          <w:tab w:val="left" w:pos="284"/>
        </w:tabs>
        <w:rPr>
          <w:rFonts w:eastAsia="Calibri" w:cs="Sylfaen"/>
          <w:b w:val="0"/>
          <w:szCs w:val="22"/>
          <w:lang w:val="hy-AM" w:eastAsia="en-US"/>
        </w:rPr>
      </w:pPr>
      <w:r w:rsidRPr="007955BB">
        <w:rPr>
          <w:b w:val="0"/>
          <w:color w:val="000000"/>
          <w:szCs w:val="22"/>
          <w:lang w:val="hy-AM" w:eastAsia="en-US"/>
        </w:rPr>
        <w:t>202</w:t>
      </w:r>
      <w:r>
        <w:rPr>
          <w:b w:val="0"/>
          <w:color w:val="000000"/>
          <w:szCs w:val="22"/>
          <w:lang w:val="hy-AM" w:eastAsia="en-US"/>
        </w:rPr>
        <w:t>4</w:t>
      </w:r>
      <w:r w:rsidRPr="007955BB">
        <w:rPr>
          <w:b w:val="0"/>
          <w:color w:val="000000"/>
          <w:szCs w:val="22"/>
          <w:lang w:val="hy-AM" w:eastAsia="en-US"/>
        </w:rPr>
        <w:t xml:space="preserve"> թվականի ՀՀ պետական բյուջեով ՀՀ </w:t>
      </w:r>
      <w:r w:rsidRPr="007955BB">
        <w:rPr>
          <w:rFonts w:eastAsia="Calibri" w:cs="Sylfaen"/>
          <w:b w:val="0"/>
          <w:szCs w:val="22"/>
          <w:lang w:val="hy-AM" w:eastAsia="en-US"/>
        </w:rPr>
        <w:t xml:space="preserve">բարձր տեխնոլոգիական արդյունաբերության նախարարությանը նախատեսվում է հատկացնել </w:t>
      </w:r>
      <w:r>
        <w:rPr>
          <w:rFonts w:eastAsia="Calibri" w:cs="Sylfaen"/>
          <w:b w:val="0"/>
          <w:szCs w:val="22"/>
          <w:lang w:val="hy-AM" w:eastAsia="en-US"/>
        </w:rPr>
        <w:t>2</w:t>
      </w:r>
      <w:r w:rsidR="008662BC">
        <w:rPr>
          <w:rFonts w:eastAsia="Calibri" w:cs="Sylfaen"/>
          <w:b w:val="0"/>
          <w:szCs w:val="22"/>
          <w:lang w:val="hy-AM" w:eastAsia="en-US"/>
        </w:rPr>
        <w:t>5</w:t>
      </w:r>
      <w:r>
        <w:rPr>
          <w:rFonts w:eastAsia="Calibri" w:cs="Sylfaen"/>
          <w:b w:val="0"/>
          <w:szCs w:val="22"/>
          <w:lang w:val="hy-AM" w:eastAsia="en-US"/>
        </w:rPr>
        <w:t>,</w:t>
      </w:r>
      <w:r w:rsidR="008662BC">
        <w:rPr>
          <w:rFonts w:eastAsia="Calibri" w:cs="Sylfaen"/>
          <w:b w:val="0"/>
          <w:szCs w:val="22"/>
          <w:lang w:val="hy-AM" w:eastAsia="en-US"/>
        </w:rPr>
        <w:t>316</w:t>
      </w:r>
      <w:r w:rsidRPr="007955BB">
        <w:rPr>
          <w:rFonts w:eastAsia="Calibri" w:cs="Sylfaen"/>
          <w:b w:val="0"/>
          <w:szCs w:val="22"/>
          <w:lang w:val="hy-AM" w:eastAsia="en-US"/>
        </w:rPr>
        <w:t>.</w:t>
      </w:r>
      <w:r w:rsidR="008662BC">
        <w:rPr>
          <w:rFonts w:eastAsia="Calibri" w:cs="Sylfaen"/>
          <w:b w:val="0"/>
          <w:szCs w:val="22"/>
          <w:lang w:val="hy-AM" w:eastAsia="en-US"/>
        </w:rPr>
        <w:t>8</w:t>
      </w:r>
      <w:r w:rsidRPr="007955BB">
        <w:rPr>
          <w:rFonts w:eastAsia="Calibri" w:cs="Sylfaen"/>
          <w:b w:val="0"/>
          <w:szCs w:val="22"/>
          <w:lang w:val="hy-AM" w:eastAsia="en-US"/>
        </w:rPr>
        <w:t xml:space="preserve"> մլն դրամ </w:t>
      </w:r>
      <w:r w:rsidRPr="007955BB">
        <w:rPr>
          <w:b w:val="0"/>
          <w:color w:val="000000"/>
          <w:szCs w:val="22"/>
          <w:lang w:val="hy-AM" w:eastAsia="en-US"/>
        </w:rPr>
        <w:t>(ներառյալ կառավարման ապարատի պահպանման ծախսերը)</w:t>
      </w:r>
      <w:r w:rsidRPr="007955BB">
        <w:rPr>
          <w:rFonts w:eastAsia="Calibri" w:cs="Sylfaen"/>
          <w:b w:val="0"/>
          <w:szCs w:val="22"/>
          <w:lang w:val="hy-AM" w:eastAsia="en-US"/>
        </w:rPr>
        <w:t xml:space="preserve">: </w:t>
      </w:r>
      <w:r w:rsidRPr="007955BB">
        <w:rPr>
          <w:b w:val="0"/>
          <w:lang w:val="hy-AM"/>
        </w:rPr>
        <w:t>Հատկացվելիք միջոցներն ուղղվելու են հետևյալ ծրագրերի իրականացմանը.</w:t>
      </w:r>
    </w:p>
    <w:p w14:paraId="538FC32E" w14:textId="77777777" w:rsidR="00DE1703" w:rsidRPr="007955BB" w:rsidRDefault="00DE1703" w:rsidP="00AC1E1E">
      <w:pPr>
        <w:tabs>
          <w:tab w:val="left" w:pos="284"/>
        </w:tabs>
        <w:rPr>
          <w:rFonts w:eastAsia="Calibri"/>
          <w:b w:val="0"/>
          <w:szCs w:val="22"/>
          <w:lang w:val="hy-AM" w:eastAsia="en-US"/>
        </w:rPr>
      </w:pPr>
      <w:r w:rsidRPr="007955BB">
        <w:rPr>
          <w:rFonts w:eastAsia="Calibri"/>
          <w:szCs w:val="22"/>
          <w:lang w:val="hy-AM"/>
        </w:rPr>
        <w:t>Բարձր տեխնոլոգիական արդյունաբերության էկոհամակարգի</w:t>
      </w:r>
      <w:r>
        <w:rPr>
          <w:rFonts w:eastAsia="Calibri"/>
          <w:szCs w:val="22"/>
          <w:lang w:val="hy-AM"/>
        </w:rPr>
        <w:t xml:space="preserve"> </w:t>
      </w:r>
      <w:r w:rsidRPr="007955BB">
        <w:rPr>
          <w:rFonts w:eastAsia="Calibri"/>
          <w:szCs w:val="22"/>
          <w:lang w:val="hy-AM"/>
        </w:rPr>
        <w:t xml:space="preserve">և շուկայի զարգացման </w:t>
      </w:r>
      <w:r w:rsidRPr="007955BB">
        <w:rPr>
          <w:rFonts w:eastAsia="Calibri"/>
          <w:b w:val="0"/>
          <w:szCs w:val="22"/>
          <w:lang w:val="hy-AM"/>
        </w:rPr>
        <w:t xml:space="preserve">ծրագրի գծով </w:t>
      </w:r>
      <w:r w:rsidRPr="007955BB">
        <w:rPr>
          <w:rFonts w:eastAsia="Calibri"/>
          <w:b w:val="0"/>
          <w:szCs w:val="22"/>
          <w:lang w:val="hy-AM" w:eastAsia="en-US"/>
        </w:rPr>
        <w:t>202</w:t>
      </w:r>
      <w:r>
        <w:rPr>
          <w:rFonts w:eastAsia="Calibri"/>
          <w:b w:val="0"/>
          <w:szCs w:val="22"/>
          <w:lang w:val="hy-AM" w:eastAsia="en-US"/>
        </w:rPr>
        <w:t>4</w:t>
      </w:r>
      <w:r w:rsidRPr="007955BB">
        <w:rPr>
          <w:rFonts w:eastAsia="Calibri"/>
          <w:b w:val="0"/>
          <w:szCs w:val="22"/>
          <w:lang w:val="hy-AM" w:eastAsia="en-US"/>
        </w:rPr>
        <w:t xml:space="preserve"> թվականին նախատեսվել է հատկացնել </w:t>
      </w:r>
      <w:r>
        <w:rPr>
          <w:rFonts w:eastAsia="Calibri"/>
          <w:b w:val="0"/>
          <w:szCs w:val="22"/>
          <w:lang w:val="hy-AM" w:eastAsia="en-US"/>
        </w:rPr>
        <w:t>5</w:t>
      </w:r>
      <w:r w:rsidRPr="007955BB">
        <w:rPr>
          <w:rFonts w:eastAsia="Calibri"/>
          <w:b w:val="0"/>
          <w:szCs w:val="22"/>
          <w:lang w:val="hy-AM" w:eastAsia="en-US"/>
        </w:rPr>
        <w:t>,</w:t>
      </w:r>
      <w:r w:rsidR="00E622FF">
        <w:rPr>
          <w:rFonts w:eastAsia="Calibri"/>
          <w:b w:val="0"/>
          <w:szCs w:val="22"/>
          <w:lang w:val="hy-AM" w:eastAsia="en-US"/>
        </w:rPr>
        <w:t>852</w:t>
      </w:r>
      <w:r>
        <w:rPr>
          <w:rFonts w:eastAsia="Calibri"/>
          <w:b w:val="0"/>
          <w:szCs w:val="22"/>
          <w:lang w:val="hy-AM" w:eastAsia="en-US"/>
        </w:rPr>
        <w:t>.</w:t>
      </w:r>
      <w:r w:rsidR="00E622FF">
        <w:rPr>
          <w:rFonts w:eastAsia="Calibri"/>
          <w:b w:val="0"/>
          <w:szCs w:val="22"/>
          <w:lang w:val="hy-AM" w:eastAsia="en-US"/>
        </w:rPr>
        <w:t>4</w:t>
      </w:r>
      <w:r w:rsidRPr="007955BB">
        <w:rPr>
          <w:rFonts w:eastAsia="Calibri"/>
          <w:b w:val="0"/>
          <w:szCs w:val="22"/>
          <w:lang w:val="hy-AM" w:eastAsia="en-US"/>
        </w:rPr>
        <w:t xml:space="preserve"> մլն դրամ:</w:t>
      </w:r>
    </w:p>
    <w:p w14:paraId="4D3F9447" w14:textId="77777777" w:rsidR="00DE1703" w:rsidRPr="007955BB" w:rsidRDefault="00DE1703" w:rsidP="00AC1E1E">
      <w:pPr>
        <w:tabs>
          <w:tab w:val="left" w:pos="284"/>
        </w:tabs>
        <w:rPr>
          <w:rFonts w:eastAsia="Calibri"/>
          <w:b w:val="0"/>
          <w:szCs w:val="22"/>
          <w:lang w:val="hy-AM" w:eastAsia="en-US"/>
        </w:rPr>
      </w:pPr>
      <w:r w:rsidRPr="007955BB">
        <w:rPr>
          <w:rFonts w:eastAsia="Calibri"/>
          <w:b w:val="0"/>
          <w:szCs w:val="22"/>
          <w:lang w:val="hy-AM" w:eastAsia="en-US"/>
        </w:rPr>
        <w:t>Ծրագրի նպատակ</w:t>
      </w:r>
      <w:r>
        <w:rPr>
          <w:rFonts w:eastAsia="Calibri"/>
          <w:b w:val="0"/>
          <w:szCs w:val="22"/>
          <w:lang w:val="hy-AM" w:eastAsia="en-US"/>
        </w:rPr>
        <w:t>ը</w:t>
      </w:r>
      <w:r w:rsidRPr="007955BB">
        <w:rPr>
          <w:rFonts w:eastAsia="Calibri"/>
          <w:b w:val="0"/>
          <w:szCs w:val="22"/>
          <w:lang w:val="hy-AM" w:eastAsia="en-US"/>
        </w:rPr>
        <w:t xml:space="preserve"> բարձր տեխնոլոգիաների ենթակառուցվածքների բարելավում</w:t>
      </w:r>
      <w:r>
        <w:rPr>
          <w:rFonts w:eastAsia="Calibri"/>
          <w:b w:val="0"/>
          <w:szCs w:val="22"/>
          <w:lang w:val="hy-AM" w:eastAsia="en-US"/>
        </w:rPr>
        <w:t>ն է</w:t>
      </w:r>
      <w:r w:rsidRPr="007955BB">
        <w:rPr>
          <w:rFonts w:eastAsia="Calibri"/>
          <w:b w:val="0"/>
          <w:szCs w:val="22"/>
          <w:lang w:val="hy-AM" w:eastAsia="en-US"/>
        </w:rPr>
        <w:t>, մասնավորապես.</w:t>
      </w:r>
    </w:p>
    <w:p w14:paraId="1B283618" w14:textId="77777777" w:rsidR="00DE1703" w:rsidRPr="00097368" w:rsidRDefault="00DE1703"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DE1703">
        <w:rPr>
          <w:b w:val="0"/>
          <w:szCs w:val="22"/>
          <w:lang w:val="hy-AM" w:eastAsia="en-US"/>
        </w:rPr>
        <w:t xml:space="preserve">Իրականացնել կադրերի թիրախավորված պատրաստում և վերապատրաստում, հաշվի առնելով </w:t>
      </w:r>
      <w:r w:rsidRPr="00097368">
        <w:rPr>
          <w:rFonts w:eastAsia="Calibri" w:cs="Arial"/>
          <w:b w:val="0"/>
          <w:bCs/>
          <w:kern w:val="2"/>
          <w:szCs w:val="22"/>
          <w:lang w:val="hy-AM"/>
          <w14:ligatures w14:val="standardContextual"/>
        </w:rPr>
        <w:t>շուկայի կտրուկ զարգացումն ու կադրերի նկատմամբ շուկայի պահանջարկի կտրուկ աճը,</w:t>
      </w:r>
    </w:p>
    <w:p w14:paraId="70B00970" w14:textId="77777777" w:rsidR="00DE1703" w:rsidRPr="00097368" w:rsidRDefault="00DE1703"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Զարգացնել բարձր տեխնոլոգիական ոլորտի համար անհրաժեշտ էկոհամակարգը` ներառյալ թիրախավորված գիտահետազոտական աշխատանքների, ստեղծագործական խմբերի, նորաստեղծ ընկերությունների ֆինանսավորումը,</w:t>
      </w:r>
    </w:p>
    <w:p w14:paraId="2C66FBE9" w14:textId="77777777" w:rsidR="00DE1703" w:rsidRPr="00DE1703" w:rsidRDefault="00DE1703" w:rsidP="00AC1E1E">
      <w:pPr>
        <w:pStyle w:val="ListParagraph"/>
        <w:numPr>
          <w:ilvl w:val="0"/>
          <w:numId w:val="55"/>
        </w:numPr>
        <w:tabs>
          <w:tab w:val="left" w:pos="284"/>
        </w:tabs>
        <w:suppressAutoHyphens/>
        <w:ind w:left="0" w:firstLine="0"/>
        <w:rPr>
          <w:b w:val="0"/>
          <w:szCs w:val="22"/>
          <w:lang w:val="hy-AM" w:eastAsia="en-US"/>
        </w:rPr>
      </w:pPr>
      <w:r w:rsidRPr="00097368">
        <w:rPr>
          <w:rFonts w:eastAsia="Calibri" w:cs="Arial"/>
          <w:b w:val="0"/>
          <w:bCs/>
          <w:kern w:val="2"/>
          <w:szCs w:val="22"/>
          <w:lang w:val="hy-AM"/>
          <w14:ligatures w14:val="standardContextual"/>
        </w:rPr>
        <w:t>Հայկական Սփյուռքի ներգրավվածությունն ապահովելու համար հայկական ընկերությունների</w:t>
      </w:r>
      <w:r w:rsidRPr="00DE1703">
        <w:rPr>
          <w:b w:val="0"/>
          <w:szCs w:val="22"/>
          <w:lang w:val="hy-AM"/>
        </w:rPr>
        <w:t>, կազմակերպությունների և անհատների հետ ստեղծել շարունակական համագործակցության հարթակ</w:t>
      </w:r>
      <w:r w:rsidRPr="00DE1703">
        <w:rPr>
          <w:b w:val="0"/>
          <w:color w:val="000000"/>
          <w:szCs w:val="22"/>
          <w:lang w:val="hy-AM" w:eastAsia="en-US"/>
        </w:rPr>
        <w:t>:</w:t>
      </w:r>
    </w:p>
    <w:p w14:paraId="05DAD49E" w14:textId="168C4FBA" w:rsidR="00DE1703" w:rsidRDefault="00DE1703" w:rsidP="00AC1E1E">
      <w:pPr>
        <w:pStyle w:val="NormalWeb"/>
        <w:tabs>
          <w:tab w:val="left" w:pos="284"/>
        </w:tabs>
        <w:spacing w:before="120" w:beforeAutospacing="0" w:after="0" w:afterAutospacing="0"/>
        <w:rPr>
          <w:b w:val="0"/>
          <w:szCs w:val="22"/>
          <w:lang w:val="hy-AM"/>
        </w:rPr>
      </w:pPr>
      <w:r w:rsidRPr="003337DF">
        <w:rPr>
          <w:b w:val="0"/>
          <w:szCs w:val="22"/>
          <w:lang w:val="hy-AM"/>
        </w:rPr>
        <w:t xml:space="preserve"> </w:t>
      </w:r>
      <w:r w:rsidRPr="003337DF">
        <w:rPr>
          <w:b w:val="0"/>
          <w:color w:val="000000"/>
          <w:szCs w:val="22"/>
          <w:lang w:val="hy-AM" w:eastAsia="en-US"/>
        </w:rPr>
        <w:t xml:space="preserve">Նշվածի </w:t>
      </w:r>
      <w:r w:rsidRPr="003337DF">
        <w:rPr>
          <w:b w:val="0"/>
          <w:szCs w:val="22"/>
          <w:lang w:val="hy-AM"/>
        </w:rPr>
        <w:t xml:space="preserve">շրջանակներում կապահովվի հետևյալ արդյունքային ցուցանիշները՝ ԲՈՒՀ- մասնավոր համագործակցության շրջանակներում կպատրաստվեն </w:t>
      </w:r>
      <w:r>
        <w:rPr>
          <w:b w:val="0"/>
          <w:szCs w:val="22"/>
          <w:lang w:val="hy-AM"/>
        </w:rPr>
        <w:t xml:space="preserve">շուրջ </w:t>
      </w:r>
      <w:r w:rsidR="009F1582" w:rsidRPr="00443554">
        <w:rPr>
          <w:b w:val="0"/>
          <w:szCs w:val="22"/>
          <w:lang w:val="hy-AM"/>
        </w:rPr>
        <w:t>2</w:t>
      </w:r>
      <w:r w:rsidR="00F0247D">
        <w:rPr>
          <w:b w:val="0"/>
          <w:szCs w:val="22"/>
          <w:lang w:val="hy-AM"/>
        </w:rPr>
        <w:t>85</w:t>
      </w:r>
      <w:r w:rsidRPr="003337DF">
        <w:rPr>
          <w:b w:val="0"/>
          <w:szCs w:val="22"/>
          <w:lang w:val="hy-AM"/>
        </w:rPr>
        <w:t xml:space="preserve">0 մասնագետներ, դրամաշնորհային ծրագրի շրջանակներում </w:t>
      </w:r>
      <w:r w:rsidR="00F0247D">
        <w:rPr>
          <w:b w:val="0"/>
          <w:szCs w:val="22"/>
          <w:lang w:val="hy-AM"/>
        </w:rPr>
        <w:t>6</w:t>
      </w:r>
      <w:r w:rsidRPr="003337DF">
        <w:rPr>
          <w:b w:val="0"/>
          <w:szCs w:val="22"/>
          <w:lang w:val="hy-AM"/>
        </w:rPr>
        <w:t xml:space="preserve">0 կազմակերպությունների կտրամադրվեն դրամաշնորհներ,  կիրականացվի մեկ աքսելերացիոն ծրագիր՝ 20 շահառու թիմերի և 40 մասնակիցների համար, </w:t>
      </w:r>
      <w:r w:rsidR="00F0247D">
        <w:rPr>
          <w:b w:val="0"/>
          <w:szCs w:val="22"/>
          <w:lang w:val="hy-AM"/>
        </w:rPr>
        <w:t>10</w:t>
      </w:r>
      <w:r w:rsidRPr="003337DF">
        <w:rPr>
          <w:b w:val="0"/>
          <w:szCs w:val="22"/>
          <w:lang w:val="hy-AM"/>
        </w:rPr>
        <w:t>0 շահառուների համար կիրականացվեն ձեռնարկատիրական ինկուբացիոն դասընթացներ, «Ներուժ» ծրագրին կմասնակցեն 6 սփյուռքահայ ձեռներեցներից բաղկացած շահառու թիմեր</w:t>
      </w:r>
      <w:r>
        <w:rPr>
          <w:b w:val="0"/>
          <w:szCs w:val="22"/>
          <w:lang w:val="hy-AM"/>
        </w:rPr>
        <w:t xml:space="preserve">: </w:t>
      </w:r>
      <w:r w:rsidRPr="003337DF">
        <w:rPr>
          <w:b w:val="0"/>
          <w:szCs w:val="22"/>
          <w:lang w:val="hy-AM"/>
        </w:rPr>
        <w:t>Բացի այդ</w:t>
      </w:r>
      <w:r>
        <w:rPr>
          <w:b w:val="0"/>
          <w:szCs w:val="22"/>
          <w:lang w:val="hy-AM"/>
        </w:rPr>
        <w:t xml:space="preserve"> նախատեսվում է, որ </w:t>
      </w:r>
      <w:r w:rsidRPr="003337DF">
        <w:rPr>
          <w:b w:val="0"/>
          <w:szCs w:val="22"/>
          <w:lang w:val="hy-AM"/>
        </w:rPr>
        <w:t xml:space="preserve">2024 թվականին </w:t>
      </w:r>
      <w:r>
        <w:rPr>
          <w:b w:val="0"/>
          <w:szCs w:val="22"/>
          <w:lang w:val="hy-AM"/>
        </w:rPr>
        <w:t xml:space="preserve">Երևանում անցկացվելու է </w:t>
      </w:r>
      <w:r w:rsidRPr="003337DF">
        <w:rPr>
          <w:b w:val="0"/>
          <w:szCs w:val="22"/>
          <w:lang w:val="hy-AM"/>
        </w:rPr>
        <w:t>Տեղեկատվական տեխնոլո</w:t>
      </w:r>
      <w:r>
        <w:rPr>
          <w:b w:val="0"/>
          <w:szCs w:val="22"/>
          <w:lang w:val="hy-AM"/>
        </w:rPr>
        <w:t>գիաների համաշխարհային համաժողով</w:t>
      </w:r>
      <w:r w:rsidRPr="003337DF">
        <w:rPr>
          <w:b w:val="0"/>
          <w:szCs w:val="22"/>
          <w:lang w:val="hy-AM"/>
        </w:rPr>
        <w:t xml:space="preserve"> (ՏՏՀՀ) </w:t>
      </w:r>
      <w:r>
        <w:rPr>
          <w:b w:val="0"/>
          <w:szCs w:val="22"/>
          <w:lang w:val="hy-AM"/>
        </w:rPr>
        <w:t>միջոցառումը, որի մասով կապահովվի</w:t>
      </w:r>
      <w:r w:rsidRPr="003337DF">
        <w:rPr>
          <w:b w:val="0"/>
          <w:szCs w:val="22"/>
          <w:lang w:val="hy-AM"/>
        </w:rPr>
        <w:t xml:space="preserve"> մասնակցության վճար</w:t>
      </w:r>
      <w:r>
        <w:rPr>
          <w:b w:val="0"/>
          <w:szCs w:val="22"/>
          <w:lang w:val="hy-AM"/>
        </w:rPr>
        <w:t>ի հատկացումը</w:t>
      </w:r>
      <w:r w:rsidRPr="003337DF">
        <w:rPr>
          <w:b w:val="0"/>
          <w:szCs w:val="22"/>
          <w:lang w:val="hy-AM"/>
        </w:rPr>
        <w:t>:</w:t>
      </w:r>
    </w:p>
    <w:p w14:paraId="371B6300" w14:textId="77777777" w:rsidR="00DE1703" w:rsidRPr="007955BB" w:rsidRDefault="00DE1703" w:rsidP="00AC1E1E">
      <w:pPr>
        <w:tabs>
          <w:tab w:val="left" w:pos="284"/>
        </w:tabs>
        <w:suppressAutoHyphens/>
        <w:rPr>
          <w:b w:val="0"/>
          <w:color w:val="000000"/>
          <w:szCs w:val="22"/>
          <w:lang w:val="hy-AM" w:eastAsia="en-US"/>
        </w:rPr>
      </w:pPr>
      <w:r w:rsidRPr="007955BB">
        <w:rPr>
          <w:rFonts w:eastAsia="Calibri" w:cs="Sylfaen"/>
          <w:szCs w:val="22"/>
          <w:lang w:val="hy-AM" w:eastAsia="en-US"/>
        </w:rPr>
        <w:t xml:space="preserve">Հեռահաղորդակցության ապահովում </w:t>
      </w:r>
      <w:r w:rsidRPr="007955BB">
        <w:rPr>
          <w:rFonts w:eastAsia="Calibri"/>
          <w:b w:val="0"/>
          <w:szCs w:val="22"/>
          <w:lang w:val="hy-AM"/>
        </w:rPr>
        <w:t xml:space="preserve">ծրագրի գծով </w:t>
      </w:r>
      <w:r w:rsidRPr="007955BB">
        <w:rPr>
          <w:rFonts w:eastAsia="Calibri"/>
          <w:b w:val="0"/>
          <w:szCs w:val="22"/>
          <w:lang w:val="hy-AM" w:eastAsia="en-US"/>
        </w:rPr>
        <w:t>202</w:t>
      </w:r>
      <w:r>
        <w:rPr>
          <w:rFonts w:eastAsia="Calibri"/>
          <w:b w:val="0"/>
          <w:szCs w:val="22"/>
          <w:lang w:val="hy-AM" w:eastAsia="en-US"/>
        </w:rPr>
        <w:t>4</w:t>
      </w:r>
      <w:r w:rsidRPr="007955BB">
        <w:rPr>
          <w:rFonts w:eastAsia="Calibri"/>
          <w:b w:val="0"/>
          <w:szCs w:val="22"/>
          <w:lang w:val="hy-AM" w:eastAsia="en-US"/>
        </w:rPr>
        <w:t xml:space="preserve"> թվականին նախատեսվել է հատկացնել </w:t>
      </w:r>
      <w:r w:rsidRPr="007955BB">
        <w:rPr>
          <w:rFonts w:eastAsia="Calibri" w:cs="Sylfaen"/>
          <w:b w:val="0"/>
          <w:szCs w:val="22"/>
          <w:lang w:val="hy-AM" w:eastAsia="en-US"/>
        </w:rPr>
        <w:t>2,</w:t>
      </w:r>
      <w:r>
        <w:rPr>
          <w:rFonts w:eastAsia="Calibri" w:cs="Sylfaen"/>
          <w:b w:val="0"/>
          <w:szCs w:val="22"/>
          <w:lang w:val="hy-AM" w:eastAsia="en-US"/>
        </w:rPr>
        <w:t>34</w:t>
      </w:r>
      <w:r w:rsidR="00E622FF">
        <w:rPr>
          <w:rFonts w:eastAsia="Calibri" w:cs="Sylfaen"/>
          <w:b w:val="0"/>
          <w:szCs w:val="22"/>
          <w:lang w:val="hy-AM" w:eastAsia="en-US"/>
        </w:rPr>
        <w:t>5</w:t>
      </w:r>
      <w:r w:rsidRPr="007955BB">
        <w:rPr>
          <w:rFonts w:eastAsia="Calibri" w:cs="Sylfaen"/>
          <w:b w:val="0"/>
          <w:szCs w:val="22"/>
          <w:lang w:val="hy-AM" w:eastAsia="en-US"/>
        </w:rPr>
        <w:t>.</w:t>
      </w:r>
      <w:r w:rsidR="00E622FF">
        <w:rPr>
          <w:rFonts w:eastAsia="Calibri" w:cs="Sylfaen"/>
          <w:b w:val="0"/>
          <w:szCs w:val="22"/>
          <w:lang w:val="hy-AM" w:eastAsia="en-US"/>
        </w:rPr>
        <w:t>1</w:t>
      </w:r>
      <w:r w:rsidRPr="007955BB">
        <w:rPr>
          <w:rFonts w:eastAsia="Calibri" w:cs="Sylfaen"/>
          <w:b w:val="0"/>
          <w:szCs w:val="22"/>
          <w:lang w:val="hy-AM" w:eastAsia="en-US"/>
        </w:rPr>
        <w:t xml:space="preserve"> մլն դրամ</w:t>
      </w:r>
      <w:r w:rsidRPr="007955BB">
        <w:rPr>
          <w:b w:val="0"/>
          <w:color w:val="000000"/>
          <w:szCs w:val="22"/>
          <w:lang w:val="hy-AM" w:eastAsia="en-US"/>
        </w:rPr>
        <w:t>:</w:t>
      </w:r>
    </w:p>
    <w:p w14:paraId="30B1DA48" w14:textId="77777777" w:rsidR="00DE1703" w:rsidRPr="007955BB" w:rsidRDefault="00DE1703" w:rsidP="00AC1E1E">
      <w:pPr>
        <w:tabs>
          <w:tab w:val="left" w:pos="284"/>
        </w:tabs>
        <w:rPr>
          <w:rFonts w:eastAsia="Calibri" w:cs="Sylfaen"/>
          <w:b w:val="0"/>
          <w:szCs w:val="22"/>
          <w:lang w:val="hy-AM" w:eastAsia="en-US"/>
        </w:rPr>
      </w:pPr>
      <w:r w:rsidRPr="007955BB">
        <w:rPr>
          <w:rFonts w:eastAsia="Calibri" w:cs="Sylfaen"/>
          <w:b w:val="0"/>
          <w:szCs w:val="22"/>
          <w:lang w:val="hy-AM" w:eastAsia="en-US"/>
        </w:rPr>
        <w:lastRenderedPageBreak/>
        <w:t xml:space="preserve">Ծրագրի նպատակն է ապահովել </w:t>
      </w:r>
      <w:r>
        <w:rPr>
          <w:rFonts w:eastAsia="Calibri" w:cs="Sylfaen"/>
          <w:b w:val="0"/>
          <w:szCs w:val="22"/>
          <w:lang w:val="hy-AM" w:eastAsia="en-US"/>
        </w:rPr>
        <w:t>ՀՀ</w:t>
      </w:r>
      <w:r w:rsidRPr="007955BB">
        <w:rPr>
          <w:rFonts w:eastAsia="Calibri" w:cs="Sylfaen"/>
          <w:b w:val="0"/>
          <w:szCs w:val="22"/>
          <w:lang w:val="hy-AM" w:eastAsia="en-US"/>
        </w:rPr>
        <w:t xml:space="preserve"> հեռահաղորդակցության և կապի ծառայությունների որակի կանոնակարգումն ու բարելավումը:</w:t>
      </w:r>
    </w:p>
    <w:p w14:paraId="320FC97C" w14:textId="77777777" w:rsidR="00DE1703" w:rsidRPr="007955BB" w:rsidRDefault="00DE1703" w:rsidP="00AC1E1E">
      <w:pPr>
        <w:tabs>
          <w:tab w:val="left" w:pos="284"/>
        </w:tabs>
        <w:rPr>
          <w:rFonts w:eastAsia="Calibri" w:cs="Sylfaen"/>
          <w:b w:val="0"/>
          <w:szCs w:val="22"/>
          <w:lang w:val="hy-AM" w:eastAsia="en-US"/>
        </w:rPr>
      </w:pPr>
      <w:r w:rsidRPr="007955BB">
        <w:rPr>
          <w:rFonts w:eastAsia="Calibri" w:cs="Sylfaen"/>
          <w:b w:val="0"/>
          <w:szCs w:val="22"/>
          <w:lang w:val="hy-AM" w:eastAsia="en-US"/>
        </w:rPr>
        <w:t xml:space="preserve">Ծրագրի շրջանակներում նախատեսվում է </w:t>
      </w:r>
      <w:r w:rsidRPr="007955BB">
        <w:rPr>
          <w:rFonts w:eastAsia="Calibri"/>
          <w:b w:val="0"/>
          <w:szCs w:val="22"/>
          <w:lang w:val="hy-AM" w:eastAsia="en-US"/>
        </w:rPr>
        <w:t>ռադիոհաճախական</w:t>
      </w:r>
      <w:r w:rsidR="00E512E1" w:rsidRPr="00D14211">
        <w:rPr>
          <w:rFonts w:eastAsia="Calibri"/>
          <w:b w:val="0"/>
          <w:szCs w:val="22"/>
          <w:lang w:val="hy-AM" w:eastAsia="en-US"/>
        </w:rPr>
        <w:t>ությունների</w:t>
      </w:r>
      <w:r w:rsidRPr="007955BB">
        <w:rPr>
          <w:rFonts w:eastAsia="Calibri"/>
          <w:b w:val="0"/>
          <w:szCs w:val="22"/>
          <w:lang w:val="hy-AM" w:eastAsia="en-US"/>
        </w:rPr>
        <w:t xml:space="preserve"> տիրույթի 92 տոկոս մաքրության ապահովում, </w:t>
      </w:r>
      <w:r w:rsidRPr="007955BB">
        <w:rPr>
          <w:rFonts w:eastAsia="Calibri" w:cs="Sylfaen"/>
          <w:b w:val="0"/>
          <w:szCs w:val="22"/>
          <w:lang w:val="hy-AM" w:eastAsia="en-US"/>
        </w:rPr>
        <w:t>հեռահաղորդակ</w:t>
      </w:r>
      <w:r w:rsidRPr="007955BB">
        <w:rPr>
          <w:rFonts w:eastAsia="Calibri" w:cs="Sylfaen"/>
          <w:b w:val="0"/>
          <w:szCs w:val="22"/>
          <w:lang w:val="hy-AM" w:eastAsia="en-US"/>
        </w:rPr>
        <w:softHyphen/>
        <w:t>ցության և կապի ծառայությունների որակի կանոնակարգում ու բարելավում, ռադիոեթերի մոնիթորինգի և ազդանշանների տեխնիկական պարամետրերի չափումների անցկացում, Հանրապետական սփռման մուլտիպլեքսի արբանյակային   տարածման համար արբանյակային ունակության վարձակալում, ՀՀ-ում պետական մարմինների և ուսումնական հաստատությունների տվյալների փոխանակման կապի ապահովում և սպասարկում, ՀՀ տարածքում բազային և շարժական ռադիոմոնիտորինգի համակարգի ներդրմ</w:t>
      </w:r>
      <w:r>
        <w:rPr>
          <w:rFonts w:eastAsia="Calibri" w:cs="Sylfaen"/>
          <w:b w:val="0"/>
          <w:szCs w:val="22"/>
          <w:lang w:val="hy-AM" w:eastAsia="en-US"/>
        </w:rPr>
        <w:t>ան շարունակություն</w:t>
      </w:r>
      <w:r w:rsidRPr="007955BB">
        <w:rPr>
          <w:rFonts w:eastAsia="Calibri" w:cs="Sylfaen"/>
          <w:b w:val="0"/>
          <w:szCs w:val="22"/>
          <w:lang w:val="hy-AM" w:eastAsia="en-US"/>
        </w:rPr>
        <w:t xml:space="preserve">։ </w:t>
      </w:r>
    </w:p>
    <w:p w14:paraId="22B15EE8" w14:textId="77777777" w:rsidR="00DE1703" w:rsidRPr="007955BB" w:rsidRDefault="00DE1703" w:rsidP="00AC1E1E">
      <w:pPr>
        <w:tabs>
          <w:tab w:val="left" w:pos="284"/>
        </w:tabs>
        <w:suppressAutoHyphens/>
        <w:rPr>
          <w:b w:val="0"/>
          <w:color w:val="000000"/>
          <w:szCs w:val="22"/>
          <w:lang w:val="hy-AM" w:eastAsia="en-US"/>
        </w:rPr>
      </w:pPr>
      <w:r>
        <w:rPr>
          <w:color w:val="000000"/>
          <w:szCs w:val="22"/>
          <w:lang w:val="hy-AM" w:eastAsia="en-US"/>
        </w:rPr>
        <w:t xml:space="preserve">Ռազմարդյունաբերության համակարգի զարգացում </w:t>
      </w:r>
      <w:r w:rsidRPr="007955BB">
        <w:rPr>
          <w:rFonts w:eastAsia="Calibri"/>
          <w:b w:val="0"/>
          <w:szCs w:val="22"/>
          <w:lang w:val="hy-AM"/>
        </w:rPr>
        <w:t xml:space="preserve">ծրագրի գծով </w:t>
      </w:r>
      <w:r w:rsidRPr="007955BB">
        <w:rPr>
          <w:rFonts w:eastAsia="Calibri"/>
          <w:b w:val="0"/>
          <w:szCs w:val="22"/>
          <w:lang w:val="hy-AM" w:eastAsia="en-US"/>
        </w:rPr>
        <w:t>202</w:t>
      </w:r>
      <w:r>
        <w:rPr>
          <w:rFonts w:eastAsia="Calibri"/>
          <w:b w:val="0"/>
          <w:szCs w:val="22"/>
          <w:lang w:val="hy-AM" w:eastAsia="en-US"/>
        </w:rPr>
        <w:t>4</w:t>
      </w:r>
      <w:r w:rsidRPr="007955BB">
        <w:rPr>
          <w:rFonts w:eastAsia="Calibri"/>
          <w:b w:val="0"/>
          <w:szCs w:val="22"/>
          <w:lang w:val="hy-AM" w:eastAsia="en-US"/>
        </w:rPr>
        <w:t xml:space="preserve"> թվականին նախատեսվել է հատկացնել </w:t>
      </w:r>
      <w:r>
        <w:rPr>
          <w:rFonts w:eastAsia="Calibri"/>
          <w:b w:val="0"/>
          <w:szCs w:val="22"/>
          <w:lang w:val="hy-AM" w:eastAsia="en-US"/>
        </w:rPr>
        <w:t>5</w:t>
      </w:r>
      <w:r w:rsidRPr="007955BB">
        <w:rPr>
          <w:b w:val="0"/>
          <w:color w:val="000000"/>
          <w:szCs w:val="22"/>
          <w:lang w:val="hy-AM" w:eastAsia="en-US"/>
        </w:rPr>
        <w:t>,8</w:t>
      </w:r>
      <w:r w:rsidR="009640D6">
        <w:rPr>
          <w:b w:val="0"/>
          <w:color w:val="000000"/>
          <w:szCs w:val="22"/>
          <w:lang w:val="hy-AM" w:eastAsia="en-US"/>
        </w:rPr>
        <w:t>19.2</w:t>
      </w:r>
      <w:r w:rsidRPr="007955BB">
        <w:rPr>
          <w:b w:val="0"/>
          <w:color w:val="000000"/>
          <w:szCs w:val="22"/>
          <w:lang w:val="hy-AM" w:eastAsia="en-US"/>
        </w:rPr>
        <w:t xml:space="preserve"> մլն դրամ:</w:t>
      </w:r>
    </w:p>
    <w:p w14:paraId="0992C15A" w14:textId="77777777" w:rsidR="00DE1703" w:rsidRPr="007955BB" w:rsidRDefault="00DE1703" w:rsidP="00AC1E1E">
      <w:pPr>
        <w:tabs>
          <w:tab w:val="left" w:pos="284"/>
        </w:tabs>
        <w:suppressAutoHyphens/>
        <w:rPr>
          <w:b w:val="0"/>
          <w:color w:val="000000"/>
          <w:szCs w:val="22"/>
          <w:lang w:val="hy-AM" w:eastAsia="en-US"/>
        </w:rPr>
      </w:pPr>
      <w:r w:rsidRPr="007955BB">
        <w:rPr>
          <w:b w:val="0"/>
          <w:color w:val="000000"/>
          <w:szCs w:val="22"/>
          <w:lang w:val="hy-AM" w:eastAsia="en-US"/>
        </w:rPr>
        <w:t>Ծրագրի նպատակն է նպաստել ՀՀ պաշտպանության և անվտանգության համակարգերի զարգացմանը, մասնավորապես իրականացնել գիտահետազոտական և փորձակոնստրուկտորական աշխատանքների իրականացում պաշտպանության համակարգի ապահովման համար:</w:t>
      </w:r>
      <w:r>
        <w:rPr>
          <w:b w:val="0"/>
          <w:color w:val="000000"/>
          <w:szCs w:val="22"/>
          <w:lang w:val="hy-AM" w:eastAsia="en-US"/>
        </w:rPr>
        <w:t xml:space="preserve"> 2024</w:t>
      </w:r>
      <w:r w:rsidRPr="007955BB">
        <w:rPr>
          <w:b w:val="0"/>
          <w:color w:val="000000"/>
          <w:szCs w:val="22"/>
          <w:lang w:val="hy-AM" w:eastAsia="en-US"/>
        </w:rPr>
        <w:t>թ</w:t>
      </w:r>
      <w:r w:rsidRPr="007955BB">
        <w:rPr>
          <w:rFonts w:ascii="Cambria Math" w:hAnsi="Cambria Math" w:cs="Cambria Math"/>
          <w:b w:val="0"/>
          <w:color w:val="000000"/>
          <w:szCs w:val="22"/>
          <w:lang w:val="hy-AM" w:eastAsia="en-US"/>
        </w:rPr>
        <w:t>․</w:t>
      </w:r>
      <w:r w:rsidRPr="007955BB">
        <w:rPr>
          <w:b w:val="0"/>
          <w:color w:val="000000"/>
          <w:szCs w:val="22"/>
          <w:lang w:val="hy-AM" w:eastAsia="en-US"/>
        </w:rPr>
        <w:t xml:space="preserve"> նախատեսվում է.</w:t>
      </w:r>
    </w:p>
    <w:p w14:paraId="5E104FB8" w14:textId="77777777" w:rsidR="00DE1703" w:rsidRPr="00DE1703" w:rsidRDefault="00DE1703" w:rsidP="00AC1E1E">
      <w:pPr>
        <w:pStyle w:val="ListParagraph"/>
        <w:numPr>
          <w:ilvl w:val="0"/>
          <w:numId w:val="43"/>
        </w:numPr>
        <w:tabs>
          <w:tab w:val="left" w:pos="284"/>
          <w:tab w:val="left" w:pos="567"/>
        </w:tabs>
        <w:suppressAutoHyphens/>
        <w:ind w:left="0" w:firstLine="0"/>
        <w:rPr>
          <w:b w:val="0"/>
          <w:color w:val="000000"/>
          <w:szCs w:val="22"/>
          <w:lang w:val="hy-AM" w:eastAsia="en-US"/>
        </w:rPr>
      </w:pPr>
      <w:r w:rsidRPr="00DE1703">
        <w:rPr>
          <w:b w:val="0"/>
          <w:color w:val="000000"/>
          <w:szCs w:val="22"/>
          <w:lang w:val="hy-AM" w:eastAsia="en-US"/>
        </w:rPr>
        <w:t>ՀՀ զինված ուժերում և այլ զորքերում շահագործվող սպառազինության և ռազմական տեխնիկայի ու ռազմատեխնիկական ունեցվածքի նորոգման համար անհրաժեշտ հզորությունների ստեղծումը, պահպանումը և զարգացումը,</w:t>
      </w:r>
    </w:p>
    <w:p w14:paraId="32CF1E43" w14:textId="1FDB4A05" w:rsidR="00DE1703" w:rsidRDefault="00DE1703" w:rsidP="00AC1E1E">
      <w:pPr>
        <w:pStyle w:val="ListParagraph"/>
        <w:numPr>
          <w:ilvl w:val="0"/>
          <w:numId w:val="43"/>
        </w:numPr>
        <w:tabs>
          <w:tab w:val="left" w:pos="284"/>
          <w:tab w:val="left" w:pos="567"/>
        </w:tabs>
        <w:suppressAutoHyphens/>
        <w:ind w:left="0" w:firstLine="0"/>
        <w:rPr>
          <w:b w:val="0"/>
          <w:color w:val="000000"/>
          <w:szCs w:val="22"/>
          <w:lang w:val="hy-AM" w:eastAsia="en-US"/>
        </w:rPr>
      </w:pPr>
      <w:r w:rsidRPr="00DE1703">
        <w:rPr>
          <w:b w:val="0"/>
          <w:color w:val="000000"/>
          <w:szCs w:val="22"/>
          <w:lang w:val="hy-AM" w:eastAsia="en-US"/>
        </w:rPr>
        <w:t>ՀՀ զինված ուժերում և այլ զորքերում շահագործվող սպառազինության և ռազմական տեխնիկայի և ռազմատեխնիկական ունեցվածքի արդիականացման գործընթացի յուրացում,</w:t>
      </w:r>
    </w:p>
    <w:p w14:paraId="4EC8B0B4" w14:textId="3AB3652D" w:rsidR="00DE1703" w:rsidRDefault="00DE1703" w:rsidP="00AC1E1E">
      <w:pPr>
        <w:pStyle w:val="ListParagraph"/>
        <w:numPr>
          <w:ilvl w:val="0"/>
          <w:numId w:val="43"/>
        </w:numPr>
        <w:tabs>
          <w:tab w:val="left" w:pos="284"/>
          <w:tab w:val="left" w:pos="567"/>
        </w:tabs>
        <w:suppressAutoHyphens/>
        <w:ind w:left="0" w:firstLine="0"/>
        <w:rPr>
          <w:b w:val="0"/>
          <w:color w:val="000000"/>
          <w:szCs w:val="22"/>
          <w:lang w:val="hy-AM" w:eastAsia="en-US"/>
        </w:rPr>
      </w:pPr>
      <w:r w:rsidRPr="00DE1703">
        <w:rPr>
          <w:b w:val="0"/>
          <w:color w:val="000000"/>
          <w:szCs w:val="22"/>
          <w:lang w:val="hy-AM" w:eastAsia="en-US"/>
        </w:rPr>
        <w:t>Ավտոմատացված</w:t>
      </w:r>
      <w:r w:rsidRPr="00DE1703">
        <w:rPr>
          <w:rFonts w:ascii="Calibri" w:hAnsi="Calibri" w:cs="Calibri"/>
          <w:b w:val="0"/>
          <w:color w:val="000000"/>
          <w:szCs w:val="22"/>
          <w:lang w:val="hy-AM" w:eastAsia="en-US"/>
        </w:rPr>
        <w:t> </w:t>
      </w:r>
      <w:r w:rsidRPr="00DE1703">
        <w:rPr>
          <w:b w:val="0"/>
          <w:color w:val="000000"/>
          <w:szCs w:val="22"/>
          <w:lang w:val="hy-AM" w:eastAsia="en-US"/>
        </w:rPr>
        <w:t>կառավարման</w:t>
      </w:r>
      <w:r w:rsidRPr="00DE1703">
        <w:rPr>
          <w:rFonts w:ascii="Calibri" w:hAnsi="Calibri" w:cs="Calibri"/>
          <w:b w:val="0"/>
          <w:color w:val="000000"/>
          <w:szCs w:val="22"/>
          <w:lang w:val="hy-AM" w:eastAsia="en-US"/>
        </w:rPr>
        <w:t> </w:t>
      </w:r>
      <w:r w:rsidRPr="00DE1703">
        <w:rPr>
          <w:b w:val="0"/>
          <w:color w:val="000000"/>
          <w:szCs w:val="22"/>
          <w:lang w:val="hy-AM" w:eastAsia="en-US"/>
        </w:rPr>
        <w:t>համակարգերի</w:t>
      </w:r>
      <w:r w:rsidRPr="00DE1703">
        <w:rPr>
          <w:rFonts w:ascii="Calibri" w:hAnsi="Calibri" w:cs="Calibri"/>
          <w:b w:val="0"/>
          <w:color w:val="000000"/>
          <w:szCs w:val="22"/>
          <w:lang w:val="hy-AM" w:eastAsia="en-US"/>
        </w:rPr>
        <w:t> </w:t>
      </w:r>
      <w:r>
        <w:rPr>
          <w:b w:val="0"/>
          <w:color w:val="000000"/>
          <w:szCs w:val="22"/>
          <w:lang w:val="hy-AM" w:eastAsia="en-US"/>
        </w:rPr>
        <w:t>ստեղծում,</w:t>
      </w:r>
    </w:p>
    <w:p w14:paraId="042FC45C" w14:textId="77777777" w:rsidR="00DE1703" w:rsidRPr="00DE1703" w:rsidRDefault="00DE1703" w:rsidP="00AC1E1E">
      <w:pPr>
        <w:pStyle w:val="ListParagraph"/>
        <w:numPr>
          <w:ilvl w:val="0"/>
          <w:numId w:val="43"/>
        </w:numPr>
        <w:tabs>
          <w:tab w:val="left" w:pos="284"/>
          <w:tab w:val="left" w:pos="567"/>
        </w:tabs>
        <w:suppressAutoHyphens/>
        <w:ind w:left="0" w:firstLine="0"/>
        <w:rPr>
          <w:b w:val="0"/>
          <w:color w:val="000000"/>
          <w:szCs w:val="22"/>
          <w:lang w:val="hy-AM" w:eastAsia="en-US"/>
        </w:rPr>
      </w:pPr>
      <w:r w:rsidRPr="00DE1703">
        <w:rPr>
          <w:b w:val="0"/>
          <w:color w:val="000000"/>
          <w:szCs w:val="22"/>
          <w:lang w:val="hy-AM" w:eastAsia="en-US"/>
        </w:rPr>
        <w:t>Ռազմարդյունաբերության ոլորտի նեղ մասնագետների պատրաստում։</w:t>
      </w:r>
    </w:p>
    <w:p w14:paraId="378C9E2B" w14:textId="77777777" w:rsidR="0006559C" w:rsidRPr="0006559C" w:rsidRDefault="00DE1703" w:rsidP="00AC1E1E">
      <w:pPr>
        <w:tabs>
          <w:tab w:val="left" w:pos="284"/>
        </w:tabs>
        <w:suppressAutoHyphens/>
        <w:rPr>
          <w:rFonts w:eastAsia="Calibri" w:cs="Sylfaen"/>
          <w:b w:val="0"/>
          <w:szCs w:val="22"/>
          <w:lang w:val="hy-AM" w:eastAsia="en-US"/>
        </w:rPr>
      </w:pPr>
      <w:r>
        <w:rPr>
          <w:lang w:val="hy-AM"/>
        </w:rPr>
        <w:t>Թվային փոխակերպման գործընթացի իրականացում</w:t>
      </w:r>
      <w:r w:rsidRPr="007955BB">
        <w:rPr>
          <w:lang w:val="hy-AM"/>
        </w:rPr>
        <w:t xml:space="preserve"> </w:t>
      </w:r>
      <w:r w:rsidRPr="007955BB">
        <w:rPr>
          <w:b w:val="0"/>
          <w:lang w:val="hy-AM"/>
        </w:rPr>
        <w:t xml:space="preserve">ծրագրի գծով </w:t>
      </w:r>
      <w:r w:rsidRPr="007955BB">
        <w:rPr>
          <w:rFonts w:eastAsia="Calibri"/>
          <w:b w:val="0"/>
          <w:szCs w:val="22"/>
          <w:lang w:val="hy-AM" w:eastAsia="en-US"/>
        </w:rPr>
        <w:t>202</w:t>
      </w:r>
      <w:r>
        <w:rPr>
          <w:rFonts w:eastAsia="Calibri"/>
          <w:b w:val="0"/>
          <w:szCs w:val="22"/>
          <w:lang w:val="hy-AM" w:eastAsia="en-US"/>
        </w:rPr>
        <w:t>4</w:t>
      </w:r>
      <w:r w:rsidRPr="007955BB">
        <w:rPr>
          <w:rFonts w:eastAsia="Calibri"/>
          <w:b w:val="0"/>
          <w:szCs w:val="22"/>
          <w:lang w:val="hy-AM" w:eastAsia="en-US"/>
        </w:rPr>
        <w:t xml:space="preserve"> թվականին նախատեսվել է հատկացնել 1</w:t>
      </w:r>
      <w:r>
        <w:rPr>
          <w:rFonts w:eastAsia="Calibri"/>
          <w:b w:val="0"/>
          <w:szCs w:val="22"/>
          <w:lang w:val="hy-AM" w:eastAsia="en-US"/>
        </w:rPr>
        <w:t>0</w:t>
      </w:r>
      <w:r w:rsidRPr="007955BB">
        <w:rPr>
          <w:rFonts w:eastAsia="Calibri"/>
          <w:b w:val="0"/>
          <w:szCs w:val="22"/>
          <w:lang w:val="hy-AM" w:eastAsia="en-US"/>
        </w:rPr>
        <w:t>.</w:t>
      </w:r>
      <w:r>
        <w:rPr>
          <w:rFonts w:eastAsia="Calibri"/>
          <w:b w:val="0"/>
          <w:szCs w:val="22"/>
          <w:lang w:val="hy-AM" w:eastAsia="en-US"/>
        </w:rPr>
        <w:t>00</w:t>
      </w:r>
      <w:r w:rsidRPr="0083096F">
        <w:rPr>
          <w:rFonts w:eastAsia="Calibri"/>
          <w:b w:val="0"/>
          <w:szCs w:val="22"/>
          <w:lang w:val="hy-AM" w:eastAsia="en-US"/>
        </w:rPr>
        <w:t>0</w:t>
      </w:r>
      <w:r>
        <w:rPr>
          <w:rFonts w:eastAsia="Calibri"/>
          <w:b w:val="0"/>
          <w:szCs w:val="22"/>
          <w:lang w:val="hy-AM" w:eastAsia="en-US"/>
        </w:rPr>
        <w:t>.0</w:t>
      </w:r>
      <w:r w:rsidRPr="007955BB">
        <w:rPr>
          <w:rFonts w:eastAsia="Calibri" w:cs="Sylfaen"/>
          <w:b w:val="0"/>
          <w:szCs w:val="22"/>
          <w:lang w:val="hy-AM" w:eastAsia="en-US"/>
        </w:rPr>
        <w:t xml:space="preserve"> մլն դրամ՝ </w:t>
      </w:r>
      <w:r>
        <w:rPr>
          <w:rFonts w:eastAsia="Calibri" w:cs="Sylfaen"/>
          <w:b w:val="0"/>
          <w:szCs w:val="22"/>
          <w:lang w:val="hy-AM" w:eastAsia="en-US"/>
        </w:rPr>
        <w:t xml:space="preserve">պետական մարմինների կողմից իրականացվող թվային փոխակերպման միջոցառումների ֆինանսավորման </w:t>
      </w:r>
      <w:r w:rsidRPr="007955BB">
        <w:rPr>
          <w:rFonts w:eastAsia="Calibri" w:cs="Sylfaen"/>
          <w:b w:val="0"/>
          <w:szCs w:val="22"/>
          <w:lang w:val="hy-AM" w:eastAsia="en-US"/>
        </w:rPr>
        <w:t>նպատակով:</w:t>
      </w:r>
      <w:r w:rsidR="0006559C" w:rsidRPr="00D14211">
        <w:rPr>
          <w:rFonts w:eastAsia="Calibri" w:cs="Sylfaen"/>
          <w:b w:val="0"/>
          <w:szCs w:val="22"/>
          <w:lang w:val="hy-AM" w:eastAsia="en-US"/>
        </w:rPr>
        <w:t xml:space="preserve"> </w:t>
      </w:r>
      <w:r w:rsidR="0006559C" w:rsidRPr="0006559C">
        <w:rPr>
          <w:rFonts w:eastAsia="Calibri" w:cs="Sylfaen"/>
          <w:b w:val="0"/>
          <w:szCs w:val="22"/>
          <w:lang w:val="hy-AM" w:eastAsia="en-US"/>
        </w:rPr>
        <w:t>Թվայնացման հետ կապված բոլոր ծախսերը խմբավորվել են այս ծրագրի ներքո: Թվայնացման առաջարկները կընտրվեն և կֆինանսավորվեն ըստ դրանց առաջնահերթության՝ թվայնացման օրակարգին համահունչ, թվայնացման խորհրդի դրական եզրակացության և տեխնիկական առաջադրանքների բավարար պատրաստվածության պարագայում:</w:t>
      </w:r>
    </w:p>
    <w:p w14:paraId="289C998F" w14:textId="77777777" w:rsidR="003C0C2C" w:rsidRPr="00CB235A" w:rsidRDefault="00885B84" w:rsidP="00AC1E1E">
      <w:pPr>
        <w:pStyle w:val="Heading1"/>
      </w:pPr>
      <w:bookmarkStart w:id="309" w:name="_Toc153184499"/>
      <w:r w:rsidRPr="00CB235A">
        <w:t>ՀՀ շրջակա միջավայրի նախարարություն</w:t>
      </w:r>
      <w:bookmarkEnd w:id="309"/>
    </w:p>
    <w:p w14:paraId="1ABBD6CC" w14:textId="77777777" w:rsidR="00754947" w:rsidRDefault="00754947" w:rsidP="00AC1E1E">
      <w:pPr>
        <w:tabs>
          <w:tab w:val="left" w:pos="851"/>
        </w:tabs>
        <w:rPr>
          <w:rFonts w:eastAsia="Calibri"/>
          <w:b w:val="0"/>
          <w:szCs w:val="22"/>
          <w:lang w:val="hy-AM" w:eastAsia="en-US"/>
        </w:rPr>
      </w:pPr>
      <w:r>
        <w:rPr>
          <w:rFonts w:eastAsia="Calibri"/>
          <w:b w:val="0"/>
          <w:szCs w:val="22"/>
          <w:lang w:val="hy-AM" w:eastAsia="en-US"/>
        </w:rPr>
        <w:t>ՀՀ շրջակա միջավայրի նախարարության գծով Նա</w:t>
      </w:r>
      <w:r>
        <w:rPr>
          <w:rFonts w:eastAsia="Calibri"/>
          <w:b w:val="0"/>
          <w:szCs w:val="22"/>
          <w:lang w:val="hy-AM" w:eastAsia="en-US"/>
        </w:rPr>
        <w:softHyphen/>
        <w:t xml:space="preserve">խագծով նախատեսվում է հատկացնել </w:t>
      </w:r>
      <w:r w:rsidR="00121255">
        <w:rPr>
          <w:rFonts w:eastAsia="Calibri" w:cs="Sylfaen"/>
          <w:b w:val="0"/>
          <w:szCs w:val="22"/>
          <w:lang w:val="af-ZA" w:eastAsia="en-US"/>
        </w:rPr>
        <w:t>9</w:t>
      </w:r>
      <w:r>
        <w:rPr>
          <w:rFonts w:eastAsia="Calibri" w:cs="Sylfaen"/>
          <w:b w:val="0"/>
          <w:szCs w:val="22"/>
          <w:lang w:val="af-ZA" w:eastAsia="en-US"/>
        </w:rPr>
        <w:t>,</w:t>
      </w:r>
      <w:r w:rsidR="006857DB">
        <w:rPr>
          <w:rFonts w:eastAsia="Calibri" w:cs="Sylfaen"/>
          <w:b w:val="0"/>
          <w:szCs w:val="22"/>
          <w:lang w:val="af-ZA" w:eastAsia="en-US"/>
        </w:rPr>
        <w:t>792.1</w:t>
      </w:r>
      <w:r>
        <w:rPr>
          <w:rFonts w:eastAsia="Calibri" w:cs="Sylfaen"/>
          <w:b w:val="0"/>
          <w:szCs w:val="22"/>
          <w:lang w:val="af-ZA" w:eastAsia="en-US"/>
        </w:rPr>
        <w:t xml:space="preserve"> մլն դրամ </w:t>
      </w:r>
      <w:r>
        <w:rPr>
          <w:rFonts w:eastAsia="Calibri"/>
          <w:b w:val="0"/>
          <w:color w:val="000000"/>
          <w:szCs w:val="22"/>
          <w:lang w:val="hy-AM" w:eastAsia="en-US"/>
        </w:rPr>
        <w:t>(ներառյալ կառավարման ապարատի պահպանման ծախսերը)</w:t>
      </w:r>
      <w:r>
        <w:rPr>
          <w:rFonts w:eastAsia="Calibri"/>
          <w:b w:val="0"/>
          <w:szCs w:val="22"/>
          <w:lang w:val="hy-AM" w:eastAsia="en-US"/>
        </w:rPr>
        <w:t xml:space="preserve">, որի շրջանակներում նախատեսվում է իրականացնել հետևյալ ծրագրերը. </w:t>
      </w:r>
    </w:p>
    <w:p w14:paraId="332C0D67" w14:textId="77777777" w:rsidR="00754947" w:rsidRDefault="00754947" w:rsidP="00AC1E1E">
      <w:pPr>
        <w:tabs>
          <w:tab w:val="left" w:pos="851"/>
        </w:tabs>
        <w:autoSpaceDE w:val="0"/>
        <w:autoSpaceDN w:val="0"/>
        <w:adjustRightInd w:val="0"/>
        <w:rPr>
          <w:rFonts w:eastAsia="Calibri" w:cs="Sylfaen"/>
          <w:b w:val="0"/>
          <w:szCs w:val="22"/>
          <w:lang w:val="hy-AM" w:eastAsia="en-US"/>
        </w:rPr>
      </w:pPr>
      <w:r>
        <w:rPr>
          <w:rFonts w:eastAsia="Calibri" w:cs="IRTEK Courier"/>
          <w:szCs w:val="22"/>
          <w:lang w:val="hy-AM" w:eastAsia="en-US"/>
        </w:rPr>
        <w:lastRenderedPageBreak/>
        <w:t>Շրջակա միջավայրի վրա ազդեցության գնահատում և մոնիթորինգ</w:t>
      </w:r>
      <w:r>
        <w:rPr>
          <w:rFonts w:eastAsia="Calibri" w:cs="IRTEK Courier"/>
          <w:b w:val="0"/>
          <w:szCs w:val="22"/>
          <w:lang w:val="hy-AM" w:eastAsia="en-US"/>
        </w:rPr>
        <w:t xml:space="preserve"> ծ</w:t>
      </w:r>
      <w:r>
        <w:rPr>
          <w:rFonts w:eastAsia="Calibri" w:cs="IRTEK Courier"/>
          <w:b w:val="0"/>
          <w:iCs/>
          <w:szCs w:val="22"/>
          <w:lang w:val="hy-AM" w:eastAsia="en-US"/>
        </w:rPr>
        <w:t xml:space="preserve">րագրի գծով </w:t>
      </w:r>
      <w:r>
        <w:rPr>
          <w:rFonts w:eastAsia="Calibri" w:cs="Sylfaen"/>
          <w:b w:val="0"/>
          <w:szCs w:val="22"/>
          <w:lang w:val="hy-AM" w:eastAsia="en-US"/>
        </w:rPr>
        <w:t>202</w:t>
      </w:r>
      <w:r w:rsidRPr="00754947">
        <w:rPr>
          <w:rFonts w:eastAsia="Calibri" w:cs="Sylfaen"/>
          <w:b w:val="0"/>
          <w:szCs w:val="22"/>
          <w:lang w:val="hy-AM" w:eastAsia="en-US"/>
        </w:rPr>
        <w:t xml:space="preserve">4 </w:t>
      </w:r>
      <w:r>
        <w:rPr>
          <w:rFonts w:eastAsia="Calibri" w:cs="Sylfaen"/>
          <w:b w:val="0"/>
          <w:szCs w:val="22"/>
          <w:lang w:val="hy-AM" w:eastAsia="en-US"/>
        </w:rPr>
        <w:t>թվականին նախատեսվել է 2,</w:t>
      </w:r>
      <w:r w:rsidRPr="00754947">
        <w:rPr>
          <w:rFonts w:eastAsia="Calibri" w:cs="Sylfaen"/>
          <w:b w:val="0"/>
          <w:szCs w:val="22"/>
          <w:lang w:val="hy-AM" w:eastAsia="en-US"/>
        </w:rPr>
        <w:t>270.7</w:t>
      </w:r>
      <w:r>
        <w:rPr>
          <w:rFonts w:eastAsia="Calibri" w:cs="Sylfaen"/>
          <w:b w:val="0"/>
          <w:szCs w:val="22"/>
          <w:lang w:val="hy-AM" w:eastAsia="en-US"/>
        </w:rPr>
        <w:t xml:space="preserve"> մլն դրամ:</w:t>
      </w:r>
    </w:p>
    <w:p w14:paraId="3C0AF239" w14:textId="77777777" w:rsidR="00754947" w:rsidRDefault="00754947" w:rsidP="00AC1E1E">
      <w:pPr>
        <w:rPr>
          <w:rFonts w:eastAsia="Calibri" w:cs="Sylfaen"/>
          <w:szCs w:val="22"/>
          <w:lang w:val="hy-AM" w:eastAsia="en-US"/>
        </w:rPr>
      </w:pPr>
      <w:r>
        <w:rPr>
          <w:rFonts w:eastAsia="Calibri" w:cs="Sylfaen"/>
          <w:b w:val="0"/>
          <w:szCs w:val="22"/>
          <w:lang w:val="hy-AM" w:eastAsia="en-US"/>
        </w:rPr>
        <w:t xml:space="preserve">Ծրագրի նպատակն է նպաստել շրջակա միջավայրի և բնական ռեսուրսների (բացառությամբ օգտակար հանածոների) պահպանությանը՝ վերջինիս վերաբերյալ տեղեկատվության հրապարակմամբ: Ծրագրի շրջանակներում նախատեսվում է  </w:t>
      </w:r>
      <w:r w:rsidRPr="00754947">
        <w:rPr>
          <w:rFonts w:eastAsia="Calibri" w:cs="Sylfaen"/>
          <w:b w:val="0"/>
          <w:szCs w:val="22"/>
          <w:lang w:val="hy-AM" w:eastAsia="en-US"/>
        </w:rPr>
        <w:t xml:space="preserve">իրականացնել </w:t>
      </w:r>
      <w:r>
        <w:rPr>
          <w:rFonts w:eastAsia="Calibri" w:cs="Sylfaen"/>
          <w:b w:val="0"/>
          <w:szCs w:val="22"/>
          <w:lang w:val="hy-AM" w:eastAsia="en-US"/>
        </w:rPr>
        <w:t xml:space="preserve">Սևանա լճի ջրի որակի ֆիզիկաքիմիական, հիդրոկենսաբանական, լճի հատակային նստվածքների ֆիզիկական և քիմիական պարամետրերի, մթնոլորտային տեղումների որակական կազմի մոնիթորինգ, </w:t>
      </w:r>
      <w:r w:rsidRPr="00754947">
        <w:rPr>
          <w:rFonts w:eastAsia="Calibri" w:cs="Sylfaen"/>
          <w:b w:val="0"/>
          <w:szCs w:val="22"/>
          <w:lang w:val="hy-AM" w:eastAsia="en-US"/>
        </w:rPr>
        <w:t>մ</w:t>
      </w:r>
      <w:r>
        <w:rPr>
          <w:rFonts w:eastAsia="Calibri" w:cs="Sylfaen"/>
          <w:b w:val="0"/>
          <w:szCs w:val="22"/>
          <w:lang w:val="hy-AM" w:eastAsia="en-US"/>
        </w:rPr>
        <w:t xml:space="preserve">թնոլորտային օդի մոնիթորինգի համակարգի կատարելագործման </w:t>
      </w:r>
      <w:r w:rsidRPr="00754947">
        <w:rPr>
          <w:rFonts w:eastAsia="Calibri" w:cs="Sylfaen"/>
          <w:b w:val="0"/>
          <w:szCs w:val="22"/>
          <w:lang w:val="hy-AM" w:eastAsia="en-US"/>
        </w:rPr>
        <w:t>նպատակով</w:t>
      </w:r>
      <w:r>
        <w:rPr>
          <w:rFonts w:eastAsia="Calibri" w:cs="Sylfaen"/>
          <w:b w:val="0"/>
          <w:szCs w:val="22"/>
          <w:lang w:val="hy-AM" w:eastAsia="en-US"/>
        </w:rPr>
        <w:t xml:space="preserve"> նախատեսվում արդիականացնել «Հիդրոօդերևութաբանության և մոնիթորինգի կենտրոն» ՊՈԱԿ-ի տեխնիկական միջոցները և ձեռք բերել ավտոմատ գազանալիզատորներով համալրված 2 դիտակայան, շրջակա միջավայրի վրա ազդեցության գնահատման նպատակով իրականացնել 200 հայտերի գնահատման, փորձաքննության և եզրակացությունների տրամադրման աշխատանքներ, հիդրոօդերևու</w:t>
      </w:r>
      <w:r>
        <w:rPr>
          <w:rFonts w:eastAsia="Calibri" w:cs="Sylfaen"/>
          <w:b w:val="0"/>
          <w:szCs w:val="22"/>
          <w:lang w:val="hy-AM" w:eastAsia="en-US"/>
        </w:rPr>
        <w:softHyphen/>
        <w:t>թաբանական աշխատանքներ` մթնոլորտի և ջրոլորտի ուսումնա</w:t>
      </w:r>
      <w:r>
        <w:rPr>
          <w:rFonts w:eastAsia="Calibri" w:cs="Sylfaen"/>
          <w:b w:val="0"/>
          <w:szCs w:val="22"/>
          <w:lang w:val="hy-AM" w:eastAsia="en-US"/>
        </w:rPr>
        <w:softHyphen/>
        <w:t>սիրու</w:t>
      </w:r>
      <w:r>
        <w:rPr>
          <w:rFonts w:eastAsia="Calibri" w:cs="Sylfaen"/>
          <w:b w:val="0"/>
          <w:szCs w:val="22"/>
          <w:lang w:val="hy-AM" w:eastAsia="en-US"/>
        </w:rPr>
        <w:softHyphen/>
        <w:t>թյունների ձևով` շուրջ 159,856.0 օդերևութաբանական, հելիոերկրաֆիզիկական, ագրոօդերևութաբանական և 94,220.0 հիդրոլոգիական և ռադիոլոգիական դիտարկումների իրականացում, փաստացի և սպաս</w:t>
      </w:r>
      <w:r>
        <w:rPr>
          <w:rFonts w:eastAsia="Calibri" w:cs="Sylfaen"/>
          <w:b w:val="0"/>
          <w:szCs w:val="22"/>
          <w:lang w:val="hy-AM" w:eastAsia="en-US"/>
        </w:rPr>
        <w:softHyphen/>
        <w:t>վող փոփոխությունների, ինչպես նաև դրանց հնարավոր հետևանքների մասին անհրա</w:t>
      </w:r>
      <w:r>
        <w:rPr>
          <w:rFonts w:eastAsia="Calibri" w:cs="Sylfaen"/>
          <w:b w:val="0"/>
          <w:szCs w:val="22"/>
          <w:lang w:val="hy-AM" w:eastAsia="en-US"/>
        </w:rPr>
        <w:softHyphen/>
        <w:t>ժեշտ տեղե</w:t>
      </w:r>
      <w:r>
        <w:rPr>
          <w:rFonts w:eastAsia="Calibri" w:cs="Sylfaen"/>
          <w:b w:val="0"/>
          <w:szCs w:val="22"/>
          <w:lang w:val="hy-AM" w:eastAsia="en-US"/>
        </w:rPr>
        <w:softHyphen/>
        <w:t xml:space="preserve">կատվության ապահովում և մթնոլորտային երևույթների կառավարում: </w:t>
      </w:r>
    </w:p>
    <w:p w14:paraId="0AFB4B54" w14:textId="77777777" w:rsidR="00754947" w:rsidRDefault="00754947" w:rsidP="00AC1E1E">
      <w:pPr>
        <w:tabs>
          <w:tab w:val="left" w:pos="851"/>
        </w:tabs>
        <w:autoSpaceDE w:val="0"/>
        <w:autoSpaceDN w:val="0"/>
        <w:adjustRightInd w:val="0"/>
        <w:rPr>
          <w:rFonts w:eastAsia="Calibri" w:cs="Sylfaen"/>
          <w:b w:val="0"/>
          <w:szCs w:val="22"/>
          <w:lang w:val="hy-AM" w:eastAsia="en-US"/>
        </w:rPr>
      </w:pPr>
      <w:r>
        <w:rPr>
          <w:rFonts w:eastAsia="Calibri" w:cs="IRTEK Courier"/>
          <w:szCs w:val="22"/>
          <w:lang w:val="hy-AM" w:eastAsia="en-US"/>
        </w:rPr>
        <w:t>Բնապահպանական ծրագրերի իրականացում համայնքներում</w:t>
      </w:r>
      <w:r>
        <w:rPr>
          <w:rFonts w:eastAsia="Calibri" w:cs="IRTEK Courier"/>
          <w:b w:val="0"/>
          <w:szCs w:val="22"/>
          <w:lang w:val="hy-AM" w:eastAsia="en-US"/>
        </w:rPr>
        <w:t xml:space="preserve"> ծրագրի </w:t>
      </w:r>
      <w:r>
        <w:rPr>
          <w:rFonts w:eastAsia="Calibri" w:cs="IRTEK Courier"/>
          <w:b w:val="0"/>
          <w:iCs/>
          <w:szCs w:val="22"/>
          <w:lang w:val="hy-AM" w:eastAsia="en-US"/>
        </w:rPr>
        <w:t xml:space="preserve">գծով </w:t>
      </w:r>
      <w:r>
        <w:rPr>
          <w:rFonts w:eastAsia="Calibri" w:cs="Sylfaen"/>
          <w:b w:val="0"/>
          <w:szCs w:val="22"/>
          <w:lang w:val="hy-AM" w:eastAsia="en-US"/>
        </w:rPr>
        <w:t>202</w:t>
      </w:r>
      <w:r w:rsidRPr="00754947">
        <w:rPr>
          <w:rFonts w:eastAsia="Calibri" w:cs="Sylfaen"/>
          <w:b w:val="0"/>
          <w:szCs w:val="22"/>
          <w:lang w:val="hy-AM" w:eastAsia="en-US"/>
        </w:rPr>
        <w:t>4</w:t>
      </w:r>
      <w:r>
        <w:rPr>
          <w:rFonts w:eastAsia="Calibri" w:cs="Sylfaen"/>
          <w:b w:val="0"/>
          <w:szCs w:val="22"/>
          <w:lang w:val="hy-AM" w:eastAsia="en-US"/>
        </w:rPr>
        <w:t xml:space="preserve"> թվականին նախատեսվել է </w:t>
      </w:r>
      <w:r w:rsidR="0022665E" w:rsidRPr="005E3FE8">
        <w:rPr>
          <w:rFonts w:eastAsia="Calibri" w:cs="Sylfaen"/>
          <w:b w:val="0"/>
          <w:szCs w:val="22"/>
          <w:lang w:val="hy-AM" w:eastAsia="en-US"/>
        </w:rPr>
        <w:t>322.6</w:t>
      </w:r>
      <w:r>
        <w:rPr>
          <w:rFonts w:eastAsia="Calibri" w:cs="Sylfaen"/>
          <w:b w:val="0"/>
          <w:szCs w:val="22"/>
          <w:lang w:val="hy-AM" w:eastAsia="en-US"/>
        </w:rPr>
        <w:t xml:space="preserve"> մլն դրամ</w:t>
      </w:r>
      <w:r>
        <w:rPr>
          <w:rFonts w:eastAsia="Calibri" w:cs="Calibri"/>
          <w:b w:val="0"/>
          <w:szCs w:val="22"/>
          <w:lang w:val="hy-AM" w:eastAsia="en-US"/>
        </w:rPr>
        <w:t>:</w:t>
      </w:r>
    </w:p>
    <w:p w14:paraId="65858817" w14:textId="77777777" w:rsidR="00D77632" w:rsidRDefault="00754947" w:rsidP="00AC1E1E">
      <w:pPr>
        <w:tabs>
          <w:tab w:val="left" w:pos="851"/>
        </w:tabs>
        <w:autoSpaceDE w:val="0"/>
        <w:autoSpaceDN w:val="0"/>
        <w:adjustRightInd w:val="0"/>
        <w:rPr>
          <w:rFonts w:eastAsia="Calibri" w:cs="Sylfaen"/>
          <w:b w:val="0"/>
          <w:szCs w:val="22"/>
          <w:lang w:val="hy-AM" w:eastAsia="en-US"/>
        </w:rPr>
      </w:pPr>
      <w:r>
        <w:rPr>
          <w:rFonts w:eastAsia="Calibri" w:cs="Sylfaen"/>
          <w:b w:val="0"/>
          <w:szCs w:val="22"/>
          <w:lang w:val="hy-AM" w:eastAsia="en-US"/>
        </w:rPr>
        <w:t xml:space="preserve">Ծրագրի նպատակն է մեղմել հանքարդյունաբերության ոլորտում տնտեսական գործունեության հետևանքով շրջակա միջավայրին և բնակչության առողջությանը պատճառված վնասները: Նախատեսվում է «Ընկերությունների կողմից վճարվող բնապահպանական հարկի նպատակային օգտագործման մասին» ՀՀ օրենքի համաձայն ՀՀ թվով </w:t>
      </w:r>
      <w:r w:rsidRPr="00754947">
        <w:rPr>
          <w:rFonts w:eastAsia="Calibri" w:cs="Sylfaen"/>
          <w:b w:val="0"/>
          <w:szCs w:val="22"/>
          <w:lang w:val="hy-AM" w:eastAsia="en-US"/>
        </w:rPr>
        <w:t>5</w:t>
      </w:r>
      <w:r>
        <w:rPr>
          <w:rFonts w:eastAsia="Calibri" w:cs="Sylfaen"/>
          <w:b w:val="0"/>
          <w:szCs w:val="22"/>
          <w:lang w:val="hy-AM" w:eastAsia="en-US"/>
        </w:rPr>
        <w:t xml:space="preserve"> համայնքների տրամադրել սուբվենցիաներ՝ </w:t>
      </w:r>
      <w:r w:rsidR="00D77632" w:rsidRPr="00D77632">
        <w:rPr>
          <w:rFonts w:eastAsia="Calibri" w:cs="Sylfaen"/>
          <w:b w:val="0"/>
          <w:szCs w:val="22"/>
          <w:lang w:val="hy-AM" w:eastAsia="en-US"/>
        </w:rPr>
        <w:t>թվով 7 բնապահպանական և 3 առողջապահական ծրագրերի իրականացման համար:</w:t>
      </w:r>
    </w:p>
    <w:p w14:paraId="4EC2CB7F" w14:textId="77777777" w:rsidR="00754947" w:rsidRDefault="00754947" w:rsidP="00AC1E1E">
      <w:pPr>
        <w:tabs>
          <w:tab w:val="left" w:pos="851"/>
        </w:tabs>
        <w:autoSpaceDE w:val="0"/>
        <w:autoSpaceDN w:val="0"/>
        <w:adjustRightInd w:val="0"/>
        <w:rPr>
          <w:rFonts w:eastAsia="Calibri" w:cs="Sylfaen"/>
          <w:b w:val="0"/>
          <w:szCs w:val="22"/>
          <w:lang w:val="hy-AM" w:eastAsia="en-US"/>
        </w:rPr>
      </w:pPr>
      <w:r>
        <w:rPr>
          <w:rFonts w:eastAsia="Calibri" w:cs="Sylfaen"/>
          <w:szCs w:val="22"/>
          <w:lang w:val="hy-AM" w:eastAsia="en-US"/>
        </w:rPr>
        <w:t>Բնական պաշարների և բնության հատուկ պահպանվող տարածքների կառավարում և պահպանում</w:t>
      </w:r>
      <w:r>
        <w:rPr>
          <w:rFonts w:eastAsia="Calibri" w:cs="Sylfaen"/>
          <w:b w:val="0"/>
          <w:szCs w:val="22"/>
          <w:lang w:val="hy-AM" w:eastAsia="en-US"/>
        </w:rPr>
        <w:t xml:space="preserve"> ծրագրի գծով 202</w:t>
      </w:r>
      <w:r w:rsidRPr="00754947">
        <w:rPr>
          <w:rFonts w:eastAsia="Calibri" w:cs="Sylfaen"/>
          <w:b w:val="0"/>
          <w:szCs w:val="22"/>
          <w:lang w:val="hy-AM" w:eastAsia="en-US"/>
        </w:rPr>
        <w:t>4</w:t>
      </w:r>
      <w:r>
        <w:rPr>
          <w:rFonts w:eastAsia="Calibri" w:cs="Sylfaen"/>
          <w:b w:val="0"/>
          <w:szCs w:val="22"/>
          <w:lang w:val="hy-AM" w:eastAsia="en-US"/>
        </w:rPr>
        <w:t xml:space="preserve"> թվականին նախատեսվել է </w:t>
      </w:r>
      <w:r w:rsidRPr="00754947">
        <w:rPr>
          <w:rFonts w:eastAsia="Calibri" w:cs="Sylfaen"/>
          <w:b w:val="0"/>
          <w:szCs w:val="22"/>
          <w:lang w:val="hy-AM" w:eastAsia="en-US"/>
        </w:rPr>
        <w:t>2,030.</w:t>
      </w:r>
      <w:r w:rsidR="006857DB" w:rsidRPr="00E4306F">
        <w:rPr>
          <w:rFonts w:eastAsia="Calibri" w:cs="Sylfaen"/>
          <w:b w:val="0"/>
          <w:szCs w:val="22"/>
          <w:lang w:val="hy-AM" w:eastAsia="en-US"/>
        </w:rPr>
        <w:t>1</w:t>
      </w:r>
      <w:r>
        <w:rPr>
          <w:rFonts w:eastAsia="Calibri" w:cs="Sylfaen"/>
          <w:b w:val="0"/>
          <w:szCs w:val="22"/>
          <w:lang w:val="af-ZA" w:eastAsia="en-US"/>
        </w:rPr>
        <w:t xml:space="preserve"> </w:t>
      </w:r>
      <w:r>
        <w:rPr>
          <w:rFonts w:eastAsia="Calibri" w:cs="Sylfaen"/>
          <w:b w:val="0"/>
          <w:szCs w:val="22"/>
          <w:lang w:val="hy-AM" w:eastAsia="en-US"/>
        </w:rPr>
        <w:t>մլն</w:t>
      </w:r>
      <w:r>
        <w:rPr>
          <w:rFonts w:eastAsia="Calibri" w:cs="Sylfaen"/>
          <w:b w:val="0"/>
          <w:szCs w:val="22"/>
          <w:lang w:val="af-ZA" w:eastAsia="en-US"/>
        </w:rPr>
        <w:t xml:space="preserve"> </w:t>
      </w:r>
      <w:r>
        <w:rPr>
          <w:rFonts w:eastAsia="Calibri" w:cs="Sylfaen"/>
          <w:b w:val="0"/>
          <w:szCs w:val="22"/>
          <w:lang w:val="hy-AM" w:eastAsia="en-US"/>
        </w:rPr>
        <w:t>դրամ:</w:t>
      </w:r>
    </w:p>
    <w:p w14:paraId="2205AB9E" w14:textId="77777777" w:rsidR="00754947" w:rsidRDefault="00754947" w:rsidP="00AC1E1E">
      <w:pPr>
        <w:rPr>
          <w:rFonts w:eastAsia="Calibri" w:cs="Sylfaen"/>
          <w:b w:val="0"/>
          <w:szCs w:val="22"/>
          <w:lang w:val="hy-AM" w:eastAsia="en-US"/>
        </w:rPr>
      </w:pPr>
      <w:r>
        <w:rPr>
          <w:rFonts w:eastAsia="Calibri" w:cs="Sylfaen"/>
          <w:b w:val="0"/>
          <w:szCs w:val="22"/>
          <w:lang w:val="hy-AM" w:eastAsia="en-US"/>
        </w:rPr>
        <w:t>Ծրագրի նպատակն է ապահովել բնական պաշարների և կենսաբազմազանության արդյունավետ կառավարումն ու պահպանությունը՝ ակնկալելով ապահովել բնական պաշարների և կենսաբազմազանության վերարտադրության աճը: Ծրագրի շրջանակներում նախատեսվում է մաքրել</w:t>
      </w:r>
      <w:r>
        <w:rPr>
          <w:rFonts w:eastAsia="Calibri" w:cs="Sylfaen"/>
          <w:b w:val="0"/>
          <w:szCs w:val="22"/>
          <w:lang w:val="af-ZA" w:eastAsia="en-US"/>
        </w:rPr>
        <w:t xml:space="preserve"> </w:t>
      </w:r>
      <w:r>
        <w:rPr>
          <w:rFonts w:eastAsia="Calibri" w:cs="Sylfaen"/>
          <w:b w:val="0"/>
          <w:szCs w:val="22"/>
          <w:lang w:val="hy-AM" w:eastAsia="en-US"/>
        </w:rPr>
        <w:t>Սևանա</w:t>
      </w:r>
      <w:r>
        <w:rPr>
          <w:rFonts w:eastAsia="Calibri" w:cs="Sylfaen"/>
          <w:b w:val="0"/>
          <w:szCs w:val="22"/>
          <w:lang w:val="af-ZA" w:eastAsia="en-US"/>
        </w:rPr>
        <w:t xml:space="preserve"> </w:t>
      </w:r>
      <w:r>
        <w:rPr>
          <w:rFonts w:eastAsia="Calibri" w:cs="Sylfaen"/>
          <w:b w:val="0"/>
          <w:szCs w:val="22"/>
          <w:lang w:val="hy-AM" w:eastAsia="en-US"/>
        </w:rPr>
        <w:t>լճի</w:t>
      </w:r>
      <w:r>
        <w:rPr>
          <w:rFonts w:eastAsia="Calibri" w:cs="Sylfaen"/>
          <w:b w:val="0"/>
          <w:szCs w:val="22"/>
          <w:lang w:val="af-ZA" w:eastAsia="en-US"/>
        </w:rPr>
        <w:t xml:space="preserve"> </w:t>
      </w:r>
      <w:r>
        <w:rPr>
          <w:rFonts w:eastAsia="Calibri" w:cs="Sylfaen"/>
          <w:b w:val="0"/>
          <w:szCs w:val="22"/>
          <w:lang w:val="hy-AM" w:eastAsia="en-US"/>
        </w:rPr>
        <w:t>շրջակայքի</w:t>
      </w:r>
      <w:r>
        <w:rPr>
          <w:rFonts w:eastAsia="Calibri" w:cs="Sylfaen"/>
          <w:b w:val="0"/>
          <w:szCs w:val="22"/>
          <w:lang w:val="af-ZA" w:eastAsia="en-US"/>
        </w:rPr>
        <w:t xml:space="preserve"> </w:t>
      </w:r>
      <w:r w:rsidR="00280924" w:rsidRPr="00280924">
        <w:rPr>
          <w:rFonts w:eastAsia="Calibri" w:cs="Sylfaen"/>
          <w:b w:val="0"/>
          <w:szCs w:val="22"/>
          <w:lang w:val="hy-AM" w:eastAsia="en-US"/>
        </w:rPr>
        <w:t>395.0</w:t>
      </w:r>
      <w:r>
        <w:rPr>
          <w:rFonts w:eastAsia="Calibri" w:cs="Sylfaen"/>
          <w:b w:val="0"/>
          <w:szCs w:val="22"/>
          <w:lang w:val="af-ZA" w:eastAsia="en-US"/>
        </w:rPr>
        <w:t xml:space="preserve"> </w:t>
      </w:r>
      <w:r>
        <w:rPr>
          <w:rFonts w:eastAsia="Calibri" w:cs="Sylfaen"/>
          <w:b w:val="0"/>
          <w:szCs w:val="22"/>
          <w:lang w:val="hy-AM" w:eastAsia="en-US"/>
        </w:rPr>
        <w:t>հա</w:t>
      </w:r>
      <w:r>
        <w:rPr>
          <w:rFonts w:eastAsia="Calibri" w:cs="Sylfaen"/>
          <w:b w:val="0"/>
          <w:szCs w:val="22"/>
          <w:lang w:val="af-ZA" w:eastAsia="en-US"/>
        </w:rPr>
        <w:t xml:space="preserve"> </w:t>
      </w:r>
      <w:r>
        <w:rPr>
          <w:rFonts w:eastAsia="Calibri" w:cs="Sylfaen"/>
          <w:b w:val="0"/>
          <w:szCs w:val="22"/>
          <w:lang w:val="hy-AM" w:eastAsia="en-US"/>
        </w:rPr>
        <w:t>ջրածածկ</w:t>
      </w:r>
      <w:r>
        <w:rPr>
          <w:rFonts w:eastAsia="Calibri" w:cs="Sylfaen"/>
          <w:b w:val="0"/>
          <w:szCs w:val="22"/>
          <w:lang w:val="af-ZA" w:eastAsia="en-US"/>
        </w:rPr>
        <w:t xml:space="preserve"> </w:t>
      </w:r>
      <w:r>
        <w:rPr>
          <w:rFonts w:eastAsia="Calibri" w:cs="Sylfaen"/>
          <w:b w:val="0"/>
          <w:szCs w:val="22"/>
          <w:lang w:val="hy-AM" w:eastAsia="en-US"/>
        </w:rPr>
        <w:t xml:space="preserve">անտառտնկարկներ, </w:t>
      </w:r>
      <w:r>
        <w:rPr>
          <w:rFonts w:eastAsia="Calibri"/>
          <w:b w:val="0"/>
          <w:szCs w:val="22"/>
          <w:lang w:val="hy-AM" w:eastAsia="en-US"/>
        </w:rPr>
        <w:t xml:space="preserve">իրականացնել Uևանա լճի ջրահավաք ավազանի կենդանական ռեuուրuների (ձկան և խեցգետնի) պաշարների հաշվառման, </w:t>
      </w:r>
      <w:r>
        <w:rPr>
          <w:rFonts w:eastAsia="Calibri" w:cs="IRTEK Courier"/>
          <w:b w:val="0"/>
          <w:szCs w:val="22"/>
          <w:lang w:val="pt-BR" w:eastAsia="en-US"/>
        </w:rPr>
        <w:t xml:space="preserve">«Սևան», «Դիլիջան», «Արևիկ» և «Արփի լիճ» ազգային պարկերում, «Խոսրովի անտառ» և «Շիկահող» պետական արգելոցներում, «Սոսու պուրակ», «Զանգեզուր» և «Զիկատար» արգելավայրերում, ինչպես նաև «Արգելոցապարկային համալիր» ՊՈԱԿ-ի տնօրինության ներքո գտնվող բնության </w:t>
      </w:r>
      <w:r>
        <w:rPr>
          <w:rFonts w:eastAsia="Calibri" w:cs="IRTEK Courier"/>
          <w:b w:val="0"/>
          <w:szCs w:val="22"/>
          <w:lang w:val="pt-BR" w:eastAsia="en-US"/>
        </w:rPr>
        <w:lastRenderedPageBreak/>
        <w:t xml:space="preserve">հատուկ պահպանվող 328.1 հազ. հա տարածքների պահպանման, աջակցել Սևանի իշխանի պաշարների վերականգնման և ձկնաբուծության զարգացման հիմնադրամին, ինչպես նաև իրականացնել </w:t>
      </w:r>
      <w:r>
        <w:rPr>
          <w:rFonts w:eastAsia="Calibri" w:cs="IRTEK Courier"/>
          <w:b w:val="0"/>
          <w:szCs w:val="22"/>
          <w:lang w:val="hy-AM" w:eastAsia="en-US"/>
        </w:rPr>
        <w:t>որսի օբյեկտ հանդիսացող կենդանիների հաշվառում, որը</w:t>
      </w:r>
      <w:r>
        <w:rPr>
          <w:rFonts w:eastAsia="Calibri"/>
          <w:b w:val="0"/>
          <w:szCs w:val="22"/>
          <w:lang w:val="hy-AM" w:eastAsia="en-US"/>
        </w:rPr>
        <w:t xml:space="preserve"> </w:t>
      </w:r>
      <w:r>
        <w:rPr>
          <w:rFonts w:eastAsia="Calibri" w:cs="IRTEK Courier"/>
          <w:b w:val="0"/>
          <w:szCs w:val="22"/>
          <w:lang w:val="hy-AM" w:eastAsia="en-US"/>
        </w:rPr>
        <w:t xml:space="preserve">հնարավորություն կնձեռնի սահմանել  որսի կենդանիների տարեկան օգտագործման թույլատրելի չափաքանակներն ու որսի ժամկետները: </w:t>
      </w:r>
    </w:p>
    <w:p w14:paraId="4E959621" w14:textId="77777777" w:rsidR="00754947" w:rsidRDefault="00754947" w:rsidP="00AC1E1E">
      <w:pPr>
        <w:rPr>
          <w:rFonts w:eastAsia="Calibri" w:cs="Sylfaen"/>
          <w:b w:val="0"/>
          <w:szCs w:val="22"/>
          <w:lang w:val="hy-AM" w:eastAsia="en-US"/>
        </w:rPr>
      </w:pPr>
      <w:r>
        <w:rPr>
          <w:rFonts w:eastAsia="Calibri" w:cs="Sylfaen"/>
          <w:szCs w:val="22"/>
          <w:lang w:val="hy-AM" w:eastAsia="en-US"/>
        </w:rPr>
        <w:t>Անտառների կառավարում</w:t>
      </w:r>
      <w:r>
        <w:rPr>
          <w:rFonts w:eastAsia="Calibri" w:cs="Sylfaen"/>
          <w:b w:val="0"/>
          <w:szCs w:val="22"/>
          <w:lang w:val="hy-AM" w:eastAsia="en-US"/>
        </w:rPr>
        <w:t xml:space="preserve"> ծրագրի գծով 202</w:t>
      </w:r>
      <w:r w:rsidRPr="00754947">
        <w:rPr>
          <w:rFonts w:eastAsia="Calibri" w:cs="Sylfaen"/>
          <w:b w:val="0"/>
          <w:szCs w:val="22"/>
          <w:lang w:val="hy-AM" w:eastAsia="en-US"/>
        </w:rPr>
        <w:t>4</w:t>
      </w:r>
      <w:r>
        <w:rPr>
          <w:rFonts w:eastAsia="Calibri" w:cs="Sylfaen"/>
          <w:b w:val="0"/>
          <w:szCs w:val="22"/>
          <w:lang w:val="hy-AM" w:eastAsia="en-US"/>
        </w:rPr>
        <w:t xml:space="preserve"> թվականին նախատեսվել է </w:t>
      </w:r>
      <w:r w:rsidR="00121255" w:rsidRPr="00121255">
        <w:rPr>
          <w:rFonts w:eastAsia="Calibri" w:cs="Sylfaen"/>
          <w:b w:val="0"/>
          <w:szCs w:val="22"/>
          <w:lang w:val="hy-AM" w:eastAsia="en-US"/>
        </w:rPr>
        <w:t>3</w:t>
      </w:r>
      <w:r w:rsidRPr="00754947">
        <w:rPr>
          <w:rFonts w:eastAsia="Calibri" w:cs="Sylfaen"/>
          <w:b w:val="0"/>
          <w:szCs w:val="22"/>
          <w:lang w:val="hy-AM" w:eastAsia="en-US"/>
        </w:rPr>
        <w:t>,812.7</w:t>
      </w:r>
      <w:r>
        <w:rPr>
          <w:rFonts w:eastAsia="Calibri" w:cs="Sylfaen"/>
          <w:b w:val="0"/>
          <w:szCs w:val="22"/>
          <w:lang w:val="hy-AM" w:eastAsia="en-US"/>
        </w:rPr>
        <w:t xml:space="preserve"> մլն դրամ: </w:t>
      </w:r>
    </w:p>
    <w:p w14:paraId="5BAD3FA3" w14:textId="77777777" w:rsidR="00754947" w:rsidRDefault="00754947" w:rsidP="00AC1E1E">
      <w:pPr>
        <w:rPr>
          <w:rFonts w:eastAsia="Calibri" w:cs="Sylfaen"/>
          <w:b w:val="0"/>
          <w:szCs w:val="22"/>
          <w:lang w:val="hy-AM" w:eastAsia="en-US"/>
        </w:rPr>
      </w:pPr>
      <w:r>
        <w:rPr>
          <w:rFonts w:eastAsia="Calibri" w:cs="Sylfaen"/>
          <w:b w:val="0"/>
          <w:szCs w:val="22"/>
          <w:lang w:val="hy-AM" w:eastAsia="en-US"/>
        </w:rPr>
        <w:t>Ծրագրի նպատակն է ապահովել անտառային տարածքների կայուն կառավարումը՝ նպաստելով կայուն կառավարվող անտառային տարածքների աճին: Ծրագրի շրջանակներում նախատեսվում է իրականացնել «</w:t>
      </w:r>
      <w:r>
        <w:rPr>
          <w:rFonts w:eastAsia="Calibri"/>
          <w:b w:val="0"/>
          <w:szCs w:val="22"/>
          <w:lang w:val="hy-AM" w:eastAsia="en-US"/>
        </w:rPr>
        <w:t>Հայանտառ</w:t>
      </w:r>
      <w:r>
        <w:rPr>
          <w:rFonts w:eastAsia="Calibri"/>
          <w:b w:val="0"/>
          <w:szCs w:val="22"/>
          <w:lang w:val="af-ZA" w:eastAsia="en-US"/>
        </w:rPr>
        <w:t xml:space="preserve">» </w:t>
      </w:r>
      <w:r>
        <w:rPr>
          <w:rFonts w:eastAsia="Calibri"/>
          <w:b w:val="0"/>
          <w:szCs w:val="22"/>
          <w:lang w:val="hy-AM" w:eastAsia="en-US"/>
        </w:rPr>
        <w:t>ՊՈԱԿ</w:t>
      </w:r>
      <w:r>
        <w:rPr>
          <w:rFonts w:eastAsia="Calibri"/>
          <w:b w:val="0"/>
          <w:szCs w:val="22"/>
          <w:lang w:val="af-ZA" w:eastAsia="en-US"/>
        </w:rPr>
        <w:t>-</w:t>
      </w:r>
      <w:r>
        <w:rPr>
          <w:rFonts w:eastAsia="Calibri"/>
          <w:b w:val="0"/>
          <w:szCs w:val="22"/>
          <w:lang w:val="hy-AM" w:eastAsia="en-US"/>
        </w:rPr>
        <w:t>ի</w:t>
      </w:r>
      <w:r>
        <w:rPr>
          <w:rFonts w:eastAsia="Calibri"/>
          <w:b w:val="0"/>
          <w:szCs w:val="22"/>
          <w:lang w:val="af-ZA" w:eastAsia="en-US"/>
        </w:rPr>
        <w:t xml:space="preserve"> </w:t>
      </w:r>
      <w:r>
        <w:rPr>
          <w:rFonts w:eastAsia="Calibri"/>
          <w:b w:val="0"/>
          <w:szCs w:val="22"/>
          <w:lang w:val="hy-AM" w:eastAsia="en-US"/>
        </w:rPr>
        <w:t>իրավասության</w:t>
      </w:r>
      <w:r>
        <w:rPr>
          <w:rFonts w:eastAsia="Calibri"/>
          <w:b w:val="0"/>
          <w:szCs w:val="22"/>
          <w:lang w:val="af-ZA" w:eastAsia="en-US"/>
        </w:rPr>
        <w:t xml:space="preserve"> </w:t>
      </w:r>
      <w:r>
        <w:rPr>
          <w:rFonts w:eastAsia="Calibri"/>
          <w:b w:val="0"/>
          <w:szCs w:val="22"/>
          <w:lang w:val="hy-AM" w:eastAsia="en-US"/>
        </w:rPr>
        <w:t>ներքո</w:t>
      </w:r>
      <w:r>
        <w:rPr>
          <w:rFonts w:eastAsia="Calibri"/>
          <w:b w:val="0"/>
          <w:szCs w:val="22"/>
          <w:lang w:val="af-ZA" w:eastAsia="en-US"/>
        </w:rPr>
        <w:t xml:space="preserve"> </w:t>
      </w:r>
      <w:r>
        <w:rPr>
          <w:rFonts w:eastAsia="Calibri"/>
          <w:b w:val="0"/>
          <w:szCs w:val="22"/>
          <w:lang w:val="hy-AM" w:eastAsia="en-US"/>
        </w:rPr>
        <w:t>գտնվող</w:t>
      </w:r>
      <w:r>
        <w:rPr>
          <w:rFonts w:eastAsia="Calibri"/>
          <w:b w:val="0"/>
          <w:szCs w:val="22"/>
          <w:lang w:val="af-ZA" w:eastAsia="en-US"/>
        </w:rPr>
        <w:t xml:space="preserve"> </w:t>
      </w:r>
      <w:r>
        <w:rPr>
          <w:rFonts w:eastAsia="Calibri"/>
          <w:b w:val="0"/>
          <w:szCs w:val="22"/>
          <w:lang w:val="hy-AM" w:eastAsia="en-US"/>
        </w:rPr>
        <w:t>անտառային</w:t>
      </w:r>
      <w:r>
        <w:rPr>
          <w:rFonts w:eastAsia="Calibri"/>
          <w:b w:val="0"/>
          <w:szCs w:val="22"/>
          <w:lang w:val="af-ZA" w:eastAsia="en-US"/>
        </w:rPr>
        <w:t xml:space="preserve"> 342,400.0 </w:t>
      </w:r>
      <w:r>
        <w:rPr>
          <w:rFonts w:eastAsia="Calibri"/>
          <w:b w:val="0"/>
          <w:szCs w:val="22"/>
          <w:lang w:val="hy-AM" w:eastAsia="en-US"/>
        </w:rPr>
        <w:t>հա</w:t>
      </w:r>
      <w:r>
        <w:rPr>
          <w:rFonts w:eastAsia="Calibri"/>
          <w:b w:val="0"/>
          <w:szCs w:val="22"/>
          <w:lang w:val="af-ZA" w:eastAsia="en-US"/>
        </w:rPr>
        <w:t xml:space="preserve"> </w:t>
      </w:r>
      <w:r>
        <w:rPr>
          <w:rFonts w:eastAsia="Calibri"/>
          <w:b w:val="0"/>
          <w:szCs w:val="22"/>
          <w:lang w:val="hy-AM" w:eastAsia="en-US"/>
        </w:rPr>
        <w:t>տարածքների</w:t>
      </w:r>
      <w:r>
        <w:rPr>
          <w:rFonts w:eastAsia="Calibri"/>
          <w:b w:val="0"/>
          <w:szCs w:val="22"/>
          <w:lang w:val="af-ZA" w:eastAsia="en-US"/>
        </w:rPr>
        <w:t xml:space="preserve"> </w:t>
      </w:r>
      <w:r>
        <w:rPr>
          <w:rFonts w:eastAsia="Calibri"/>
          <w:b w:val="0"/>
          <w:szCs w:val="22"/>
          <w:lang w:val="hy-AM" w:eastAsia="en-US"/>
        </w:rPr>
        <w:t xml:space="preserve">պահպանում, </w:t>
      </w:r>
      <w:r>
        <w:rPr>
          <w:rFonts w:eastAsia="Calibri"/>
          <w:b w:val="0"/>
          <w:szCs w:val="22"/>
          <w:lang w:val="af-ZA" w:eastAsia="en-US"/>
        </w:rPr>
        <w:t>«</w:t>
      </w:r>
      <w:r>
        <w:rPr>
          <w:rFonts w:eastAsia="Calibri"/>
          <w:b w:val="0"/>
          <w:szCs w:val="22"/>
          <w:lang w:val="hy-AM" w:eastAsia="en-US"/>
        </w:rPr>
        <w:t>Հայանտառ</w:t>
      </w:r>
      <w:r>
        <w:rPr>
          <w:rFonts w:eastAsia="Calibri"/>
          <w:b w:val="0"/>
          <w:szCs w:val="22"/>
          <w:lang w:val="af-ZA" w:eastAsia="en-US"/>
        </w:rPr>
        <w:t xml:space="preserve">» </w:t>
      </w:r>
      <w:r>
        <w:rPr>
          <w:rFonts w:eastAsia="Calibri"/>
          <w:b w:val="0"/>
          <w:szCs w:val="22"/>
          <w:lang w:val="hy-AM" w:eastAsia="en-US"/>
        </w:rPr>
        <w:t>ՊՈԱԿ</w:t>
      </w:r>
      <w:r>
        <w:rPr>
          <w:rFonts w:eastAsia="Calibri"/>
          <w:b w:val="0"/>
          <w:szCs w:val="22"/>
          <w:lang w:val="af-ZA" w:eastAsia="en-US"/>
        </w:rPr>
        <w:t>-</w:t>
      </w:r>
      <w:r>
        <w:rPr>
          <w:rFonts w:eastAsia="Calibri"/>
          <w:b w:val="0"/>
          <w:szCs w:val="22"/>
          <w:lang w:val="hy-AM" w:eastAsia="en-US"/>
        </w:rPr>
        <w:t>ի</w:t>
      </w:r>
      <w:r>
        <w:rPr>
          <w:rFonts w:eastAsia="Calibri"/>
          <w:b w:val="0"/>
          <w:szCs w:val="22"/>
          <w:lang w:val="af-ZA" w:eastAsia="en-US"/>
        </w:rPr>
        <w:t xml:space="preserve"> </w:t>
      </w:r>
      <w:r>
        <w:rPr>
          <w:rFonts w:eastAsia="Calibri"/>
          <w:b w:val="0"/>
          <w:szCs w:val="22"/>
          <w:lang w:val="hy-AM" w:eastAsia="en-US"/>
        </w:rPr>
        <w:t>մասնաճյուղերի</w:t>
      </w:r>
      <w:r>
        <w:rPr>
          <w:rFonts w:eastAsia="Calibri"/>
          <w:b w:val="0"/>
          <w:szCs w:val="22"/>
          <w:lang w:val="af-ZA" w:eastAsia="en-US"/>
        </w:rPr>
        <w:t xml:space="preserve"> </w:t>
      </w:r>
      <w:r>
        <w:rPr>
          <w:rFonts w:eastAsia="Calibri"/>
          <w:b w:val="0"/>
          <w:szCs w:val="22"/>
          <w:lang w:val="hy-AM" w:eastAsia="en-US"/>
        </w:rPr>
        <w:t>անտառածածկ</w:t>
      </w:r>
      <w:r>
        <w:rPr>
          <w:rFonts w:eastAsia="Calibri"/>
          <w:b w:val="0"/>
          <w:szCs w:val="22"/>
          <w:lang w:val="af-ZA" w:eastAsia="en-US"/>
        </w:rPr>
        <w:t xml:space="preserve"> 9000 </w:t>
      </w:r>
      <w:r>
        <w:rPr>
          <w:rFonts w:eastAsia="Calibri"/>
          <w:b w:val="0"/>
          <w:szCs w:val="22"/>
          <w:lang w:val="hy-AM" w:eastAsia="en-US"/>
        </w:rPr>
        <w:t>հա</w:t>
      </w:r>
      <w:r>
        <w:rPr>
          <w:rFonts w:eastAsia="Calibri"/>
          <w:b w:val="0"/>
          <w:szCs w:val="22"/>
          <w:lang w:val="af-ZA" w:eastAsia="en-US"/>
        </w:rPr>
        <w:t xml:space="preserve"> </w:t>
      </w:r>
      <w:r>
        <w:rPr>
          <w:rFonts w:eastAsia="Calibri"/>
          <w:b w:val="0"/>
          <w:szCs w:val="22"/>
          <w:lang w:val="hy-AM" w:eastAsia="en-US"/>
        </w:rPr>
        <w:t>տարածքում վնասատուների</w:t>
      </w:r>
      <w:r>
        <w:rPr>
          <w:rFonts w:eastAsia="Calibri"/>
          <w:b w:val="0"/>
          <w:szCs w:val="22"/>
          <w:lang w:val="af-ZA" w:eastAsia="en-US"/>
        </w:rPr>
        <w:t xml:space="preserve"> </w:t>
      </w:r>
      <w:r>
        <w:rPr>
          <w:rFonts w:eastAsia="Calibri"/>
          <w:b w:val="0"/>
          <w:szCs w:val="22"/>
          <w:lang w:val="hy-AM" w:eastAsia="en-US"/>
        </w:rPr>
        <w:t>դեմ ավիացիոն</w:t>
      </w:r>
      <w:r>
        <w:rPr>
          <w:rFonts w:eastAsia="Calibri"/>
          <w:b w:val="0"/>
          <w:szCs w:val="22"/>
          <w:lang w:val="af-ZA" w:eastAsia="en-US"/>
        </w:rPr>
        <w:t xml:space="preserve"> </w:t>
      </w:r>
      <w:r>
        <w:rPr>
          <w:rFonts w:eastAsia="Calibri"/>
          <w:b w:val="0"/>
          <w:szCs w:val="22"/>
          <w:lang w:val="hy-AM" w:eastAsia="en-US"/>
        </w:rPr>
        <w:t>պայքարի միջոցառումներ</w:t>
      </w:r>
      <w:r w:rsidRPr="00754947">
        <w:rPr>
          <w:rFonts w:eastAsia="Calibri"/>
          <w:b w:val="0"/>
          <w:szCs w:val="22"/>
          <w:lang w:val="hy-AM" w:eastAsia="en-US"/>
        </w:rPr>
        <w:t xml:space="preserve"> կենսաբանական եղանակով</w:t>
      </w:r>
      <w:r>
        <w:rPr>
          <w:rFonts w:eastAsia="Calibri"/>
          <w:b w:val="0"/>
          <w:szCs w:val="22"/>
          <w:lang w:val="hy-AM" w:eastAsia="en-US"/>
        </w:rPr>
        <w:t xml:space="preserve">, </w:t>
      </w:r>
      <w:r>
        <w:rPr>
          <w:rFonts w:eastAsia="Calibri" w:cs="IRTEK Courier"/>
          <w:b w:val="0"/>
          <w:szCs w:val="22"/>
          <w:lang w:val="pt-BR" w:eastAsia="en-US"/>
        </w:rPr>
        <w:t>130 հա տարածքում անտառվերականգնման և անտառապատման աշխատանքներ, այդ թվում նաև նախորդ տարիներին տնկված ծառերի խնամքի միջոցառումներ:</w:t>
      </w:r>
    </w:p>
    <w:p w14:paraId="206F2D47" w14:textId="77777777" w:rsidR="00754947" w:rsidRDefault="00754947" w:rsidP="00AC1E1E">
      <w:pPr>
        <w:rPr>
          <w:rFonts w:eastAsia="Calibri" w:cs="Sylfaen"/>
          <w:szCs w:val="22"/>
          <w:lang w:val="hy-AM" w:eastAsia="en-US"/>
        </w:rPr>
      </w:pPr>
      <w:r>
        <w:rPr>
          <w:rFonts w:eastAsia="Calibri"/>
          <w:szCs w:val="22"/>
          <w:lang w:val="ro-RO" w:eastAsia="en-US"/>
        </w:rPr>
        <w:t>Բնապահպանական նմուշների պահպանություն և ցուցադրություն</w:t>
      </w:r>
      <w:r>
        <w:rPr>
          <w:rFonts w:eastAsia="Calibri"/>
          <w:b w:val="0"/>
          <w:szCs w:val="22"/>
          <w:lang w:val="ro-RO" w:eastAsia="en-US"/>
        </w:rPr>
        <w:t xml:space="preserve"> </w:t>
      </w:r>
      <w:r>
        <w:rPr>
          <w:rFonts w:eastAsia="Calibri" w:cs="IRTEK Courier"/>
          <w:b w:val="0"/>
          <w:szCs w:val="22"/>
          <w:lang w:val="hy-AM" w:eastAsia="en-US"/>
        </w:rPr>
        <w:t>ծրագրի</w:t>
      </w:r>
      <w:r>
        <w:rPr>
          <w:rFonts w:eastAsia="Calibri" w:cs="IRTEK Courier"/>
          <w:b w:val="0"/>
          <w:iCs/>
          <w:szCs w:val="22"/>
          <w:lang w:val="hy-AM" w:eastAsia="en-US"/>
        </w:rPr>
        <w:t xml:space="preserve"> </w:t>
      </w:r>
      <w:r>
        <w:rPr>
          <w:rFonts w:eastAsia="Calibri" w:cs="Sylfaen"/>
          <w:b w:val="0"/>
          <w:szCs w:val="22"/>
          <w:lang w:val="hy-AM" w:eastAsia="en-US"/>
        </w:rPr>
        <w:t>գծով 202</w:t>
      </w:r>
      <w:r w:rsidRPr="00754947">
        <w:rPr>
          <w:rFonts w:eastAsia="Calibri" w:cs="Sylfaen"/>
          <w:b w:val="0"/>
          <w:szCs w:val="22"/>
          <w:lang w:val="hy-AM" w:eastAsia="en-US"/>
        </w:rPr>
        <w:t>4</w:t>
      </w:r>
      <w:r>
        <w:rPr>
          <w:rFonts w:eastAsia="Calibri" w:cs="Sylfaen"/>
          <w:b w:val="0"/>
          <w:szCs w:val="22"/>
          <w:lang w:val="hy-AM" w:eastAsia="en-US"/>
        </w:rPr>
        <w:t xml:space="preserve"> թվականին նախատեսվել է </w:t>
      </w:r>
      <w:r w:rsidRPr="00754947">
        <w:rPr>
          <w:rFonts w:eastAsia="Calibri" w:cs="Sylfaen"/>
          <w:b w:val="0"/>
          <w:szCs w:val="22"/>
          <w:lang w:val="hy-AM" w:eastAsia="en-US"/>
        </w:rPr>
        <w:t>42.5</w:t>
      </w:r>
      <w:r>
        <w:rPr>
          <w:rFonts w:eastAsia="Calibri" w:cs="Sylfaen"/>
          <w:b w:val="0"/>
          <w:szCs w:val="22"/>
          <w:lang w:val="af-ZA" w:eastAsia="en-US"/>
        </w:rPr>
        <w:t xml:space="preserve"> </w:t>
      </w:r>
      <w:r>
        <w:rPr>
          <w:rFonts w:eastAsia="Calibri" w:cs="Sylfaen"/>
          <w:b w:val="0"/>
          <w:szCs w:val="22"/>
          <w:lang w:val="hy-AM" w:eastAsia="en-US"/>
        </w:rPr>
        <w:t>մլն</w:t>
      </w:r>
      <w:r>
        <w:rPr>
          <w:rFonts w:eastAsia="Calibri" w:cs="Sylfaen"/>
          <w:b w:val="0"/>
          <w:szCs w:val="22"/>
          <w:lang w:val="af-ZA" w:eastAsia="en-US"/>
        </w:rPr>
        <w:t xml:space="preserve"> </w:t>
      </w:r>
      <w:r>
        <w:rPr>
          <w:rFonts w:eastAsia="Calibri" w:cs="Sylfaen"/>
          <w:b w:val="0"/>
          <w:szCs w:val="22"/>
          <w:lang w:val="hy-AM" w:eastAsia="en-US"/>
        </w:rPr>
        <w:t xml:space="preserve">դրամ: </w:t>
      </w:r>
    </w:p>
    <w:p w14:paraId="6428C732" w14:textId="77777777" w:rsidR="00754947" w:rsidRDefault="00754947" w:rsidP="00AC1E1E">
      <w:pPr>
        <w:rPr>
          <w:rFonts w:eastAsia="GHEAGrapalat"/>
          <w:b w:val="0"/>
          <w:szCs w:val="22"/>
          <w:lang w:val="hy-AM" w:eastAsia="en-US"/>
        </w:rPr>
      </w:pPr>
      <w:r>
        <w:rPr>
          <w:rFonts w:eastAsia="Calibri" w:cs="Sylfaen"/>
          <w:b w:val="0"/>
          <w:szCs w:val="22"/>
          <w:lang w:val="hy-AM" w:eastAsia="en-US"/>
        </w:rPr>
        <w:t>Ծրագրի</w:t>
      </w:r>
      <w:r>
        <w:rPr>
          <w:rFonts w:eastAsia="Calibri"/>
          <w:b w:val="0"/>
          <w:szCs w:val="22"/>
          <w:lang w:val="ro-RO" w:eastAsia="en-US"/>
        </w:rPr>
        <w:t xml:space="preserve"> նպատակն է </w:t>
      </w:r>
      <w:r>
        <w:rPr>
          <w:rFonts w:eastAsia="Calibri" w:cs="Sylfaen"/>
          <w:b w:val="0"/>
          <w:szCs w:val="22"/>
          <w:lang w:val="hy-AM" w:eastAsia="en-US"/>
        </w:rPr>
        <w:t>մշտական և ժամանակավոր ցուցահանդեսների միջոցով հավաքածուները ներկայացնել հանրությանը և իրականացնել բնապահպանական քարոզչություն՝</w:t>
      </w:r>
      <w:r>
        <w:rPr>
          <w:rFonts w:eastAsia="Calibri"/>
          <w:b w:val="0"/>
          <w:szCs w:val="22"/>
          <w:lang w:val="ro-RO" w:eastAsia="en-US"/>
        </w:rPr>
        <w:t xml:space="preserve"> նպաստելով բնապահպանական աշխարհայացքի ձևավորմանը, բնակչության էկոլոգիական</w:t>
      </w:r>
      <w:r>
        <w:rPr>
          <w:rFonts w:eastAsia="Calibri" w:cs="Sylfaen"/>
          <w:b w:val="0"/>
          <w:szCs w:val="22"/>
          <w:lang w:val="hy-AM" w:eastAsia="en-US"/>
        </w:rPr>
        <w:t xml:space="preserve"> դաստիարակությանը: Ծրագրի շրջանակներում նախատեսվում է իրականացնել </w:t>
      </w:r>
      <w:r>
        <w:rPr>
          <w:rFonts w:eastAsia="Calibri"/>
          <w:b w:val="0"/>
          <w:szCs w:val="22"/>
          <w:lang w:val="af-ZA" w:eastAsia="en-US"/>
        </w:rPr>
        <w:t>«</w:t>
      </w:r>
      <w:r>
        <w:rPr>
          <w:rFonts w:eastAsia="Calibri"/>
          <w:b w:val="0"/>
          <w:szCs w:val="22"/>
          <w:lang w:val="hy-AM" w:eastAsia="en-US"/>
        </w:rPr>
        <w:t>Հայաստանի բնության պետական թանգարան</w:t>
      </w:r>
      <w:r>
        <w:rPr>
          <w:rFonts w:eastAsia="Calibri"/>
          <w:b w:val="0"/>
          <w:szCs w:val="22"/>
          <w:lang w:val="af-ZA" w:eastAsia="en-US"/>
        </w:rPr>
        <w:t xml:space="preserve">» </w:t>
      </w:r>
      <w:r>
        <w:rPr>
          <w:rFonts w:eastAsia="Calibri"/>
          <w:b w:val="0"/>
          <w:szCs w:val="22"/>
          <w:lang w:val="hy-AM" w:eastAsia="en-US"/>
        </w:rPr>
        <w:t>ՊՈԱԿ</w:t>
      </w:r>
      <w:r>
        <w:rPr>
          <w:rFonts w:eastAsia="Calibri"/>
          <w:b w:val="0"/>
          <w:szCs w:val="22"/>
          <w:lang w:val="af-ZA" w:eastAsia="en-US"/>
        </w:rPr>
        <w:t>-</w:t>
      </w:r>
      <w:r>
        <w:rPr>
          <w:rFonts w:eastAsia="Calibri"/>
          <w:b w:val="0"/>
          <w:szCs w:val="22"/>
          <w:lang w:val="hy-AM" w:eastAsia="en-US"/>
        </w:rPr>
        <w:t>ի</w:t>
      </w:r>
      <w:r>
        <w:rPr>
          <w:rFonts w:eastAsia="Calibri"/>
          <w:b w:val="0"/>
          <w:szCs w:val="22"/>
          <w:lang w:val="af-ZA" w:eastAsia="en-US"/>
        </w:rPr>
        <w:t xml:space="preserve"> </w:t>
      </w:r>
      <w:r>
        <w:rPr>
          <w:rFonts w:eastAsia="Calibri"/>
          <w:b w:val="0"/>
          <w:szCs w:val="22"/>
          <w:lang w:val="hy-AM" w:eastAsia="en-US"/>
        </w:rPr>
        <w:t>իրավասության</w:t>
      </w:r>
      <w:r>
        <w:rPr>
          <w:rFonts w:eastAsia="Calibri"/>
          <w:b w:val="0"/>
          <w:szCs w:val="22"/>
          <w:lang w:val="af-ZA" w:eastAsia="en-US"/>
        </w:rPr>
        <w:t xml:space="preserve"> </w:t>
      </w:r>
      <w:r>
        <w:rPr>
          <w:rFonts w:eastAsia="Calibri"/>
          <w:b w:val="0"/>
          <w:szCs w:val="22"/>
          <w:lang w:val="hy-AM" w:eastAsia="en-US"/>
        </w:rPr>
        <w:t>ներքո</w:t>
      </w:r>
      <w:r>
        <w:rPr>
          <w:rFonts w:eastAsia="Calibri"/>
          <w:b w:val="0"/>
          <w:szCs w:val="22"/>
          <w:lang w:val="af-ZA" w:eastAsia="en-US"/>
        </w:rPr>
        <w:t xml:space="preserve"> </w:t>
      </w:r>
      <w:r>
        <w:rPr>
          <w:rFonts w:eastAsia="Calibri"/>
          <w:b w:val="0"/>
          <w:szCs w:val="22"/>
          <w:lang w:val="hy-AM" w:eastAsia="en-US"/>
        </w:rPr>
        <w:t>գտնվող</w:t>
      </w:r>
      <w:r>
        <w:rPr>
          <w:rFonts w:eastAsia="Calibri"/>
          <w:b w:val="0"/>
          <w:szCs w:val="22"/>
          <w:lang w:val="af-ZA" w:eastAsia="en-US"/>
        </w:rPr>
        <w:t xml:space="preserve"> Հայաստանին բնորոշ 6750 բնության օբյեկտների թանգարանային ցուցանմուշների պահպանության և ցուցադրության միջոցառումներ</w:t>
      </w:r>
      <w:r>
        <w:rPr>
          <w:rFonts w:eastAsia="GHEAGrapalat"/>
          <w:b w:val="0"/>
          <w:szCs w:val="22"/>
          <w:lang w:val="hy-AM" w:eastAsia="en-US"/>
        </w:rPr>
        <w:t>:</w:t>
      </w:r>
    </w:p>
    <w:p w14:paraId="0B6EB12B" w14:textId="77777777" w:rsidR="00AE497C" w:rsidRPr="004F5524" w:rsidRDefault="00AE497C" w:rsidP="00AC1E1E">
      <w:pPr>
        <w:pStyle w:val="Heading1"/>
      </w:pPr>
      <w:bookmarkStart w:id="310" w:name="_Toc530663277"/>
      <w:bookmarkStart w:id="311" w:name="_Toc57655480"/>
      <w:bookmarkStart w:id="312" w:name="_Toc153184500"/>
      <w:r w:rsidRPr="00AF2B7B">
        <w:t>ՀՀ էկոնոմիկայի նախա</w:t>
      </w:r>
      <w:r w:rsidRPr="00AF2B7B">
        <w:softHyphen/>
        <w:t>րարու</w:t>
      </w:r>
      <w:r w:rsidRPr="00AF2B7B">
        <w:softHyphen/>
        <w:t>թյուն</w:t>
      </w:r>
      <w:bookmarkEnd w:id="310"/>
      <w:bookmarkEnd w:id="311"/>
      <w:bookmarkEnd w:id="312"/>
    </w:p>
    <w:p w14:paraId="308F7698" w14:textId="0A50D63A" w:rsidR="005C6C72" w:rsidRPr="005C6C72" w:rsidRDefault="005C6C72" w:rsidP="00AC1E1E">
      <w:pPr>
        <w:rPr>
          <w:b w:val="0"/>
          <w:lang w:val="hy-AM"/>
        </w:rPr>
      </w:pPr>
      <w:r w:rsidRPr="005C6C72">
        <w:rPr>
          <w:b w:val="0"/>
          <w:lang w:val="hy-AM"/>
        </w:rPr>
        <w:t>ՀՀ էկոնոմիկայի նախարարության գծով նախատեսվում է հատկացնել 9</w:t>
      </w:r>
      <w:r w:rsidR="00927586" w:rsidRPr="00927586">
        <w:rPr>
          <w:b w:val="0"/>
          <w:lang w:val="hy-AM"/>
        </w:rPr>
        <w:t>0</w:t>
      </w:r>
      <w:r w:rsidRPr="005C6C72">
        <w:rPr>
          <w:b w:val="0"/>
          <w:lang w:val="hy-AM"/>
        </w:rPr>
        <w:t>,</w:t>
      </w:r>
      <w:r w:rsidR="00927586" w:rsidRPr="00927586">
        <w:rPr>
          <w:b w:val="0"/>
          <w:lang w:val="hy-AM"/>
        </w:rPr>
        <w:t>862</w:t>
      </w:r>
      <w:r w:rsidRPr="005C6C72">
        <w:rPr>
          <w:b w:val="0"/>
          <w:lang w:val="hy-AM"/>
        </w:rPr>
        <w:t>.</w:t>
      </w:r>
      <w:r w:rsidR="00927586" w:rsidRPr="00927586">
        <w:rPr>
          <w:b w:val="0"/>
          <w:lang w:val="hy-AM"/>
        </w:rPr>
        <w:t>0</w:t>
      </w:r>
      <w:r w:rsidRPr="005C6C72">
        <w:rPr>
          <w:b w:val="0"/>
          <w:lang w:val="hy-AM"/>
        </w:rPr>
        <w:t xml:space="preserve"> մլն դրամ </w:t>
      </w:r>
      <w:r w:rsidRPr="005C6C72">
        <w:rPr>
          <w:b w:val="0"/>
          <w:color w:val="000000"/>
          <w:szCs w:val="22"/>
          <w:lang w:val="hy-AM" w:eastAsia="en-US"/>
        </w:rPr>
        <w:t>(ներառյալ կառավարման ապարատի պահպանման ծախսերը)</w:t>
      </w:r>
      <w:r w:rsidRPr="005C6C72">
        <w:rPr>
          <w:b w:val="0"/>
          <w:lang w:val="hy-AM"/>
        </w:rPr>
        <w:t>: Հատկացվելիք միջոցներն ուղղվելու են հետևյալ ծրագրերի իրականացմանը.</w:t>
      </w:r>
    </w:p>
    <w:p w14:paraId="0AC572FF" w14:textId="77777777" w:rsidR="005C6C72" w:rsidRPr="005C6C72" w:rsidRDefault="005C6C72" w:rsidP="00AC1E1E">
      <w:pPr>
        <w:rPr>
          <w:b w:val="0"/>
          <w:lang w:val="hy-AM"/>
        </w:rPr>
      </w:pPr>
      <w:r w:rsidRPr="005C6C72">
        <w:rPr>
          <w:lang w:val="hy-AM"/>
        </w:rPr>
        <w:t xml:space="preserve">Ստանդարտների մշակում և հավատարմագրման համակարգի զարգացում </w:t>
      </w:r>
      <w:r w:rsidRPr="005C6C72">
        <w:rPr>
          <w:b w:val="0"/>
          <w:lang w:val="hy-AM"/>
        </w:rPr>
        <w:t>ծրագրի գծով 2024 թվականին նախատեսվել է հատկացնել 1,030.8 մլն դրամ:</w:t>
      </w:r>
    </w:p>
    <w:p w14:paraId="53D968F1" w14:textId="77777777" w:rsidR="005C6C72" w:rsidRPr="005C6C72" w:rsidRDefault="005C6C72" w:rsidP="00AC1E1E">
      <w:pPr>
        <w:rPr>
          <w:b w:val="0"/>
          <w:lang w:val="hy-AM"/>
        </w:rPr>
      </w:pPr>
      <w:r w:rsidRPr="005C6C72">
        <w:rPr>
          <w:b w:val="0"/>
          <w:lang w:val="hy-AM"/>
        </w:rPr>
        <w:t xml:space="preserve">Ծրագրի նպատակն է աջակցել հայրենական արտադրանքի արտանահման ծավալների ավելացմանը, հայրենական արտադրողներին հնարավորություն տալ ապահովել տեխնիկական կանոնակարգերով սահմանված պահանջները, արտադրել միջազգային շուկայում մրցունակ արտադրանք: Ինչպես նաև համապատասխանության գնահատման մարմինների հավատարմագրումը, հավատարմագրված համապատասխանության գնահատման մարմինների կողմից մատուցվող ծառայությունների նկատմամբ սպառողների վստահության բարձրացումը, ՀՀ և ԵԱՏՄ տեխնիկական կանոնակարգերի </w:t>
      </w:r>
      <w:r w:rsidRPr="005C6C72">
        <w:rPr>
          <w:b w:val="0"/>
          <w:lang w:val="hy-AM"/>
        </w:rPr>
        <w:lastRenderedPageBreak/>
        <w:t>համաձայն տրված համապատասխանության սերտիֆիկատների և գրանցված համապատասխանության հայտարարագրերի, հավատարմագրված համապատասխանության գնահատման մարմինների ռեեստրների ձևավորումը, վարումը և արդիականացումը:</w:t>
      </w:r>
    </w:p>
    <w:p w14:paraId="569BCA41" w14:textId="77777777" w:rsidR="005C6C72" w:rsidRPr="005C6C72" w:rsidRDefault="005C6C72" w:rsidP="00AC1E1E">
      <w:pPr>
        <w:rPr>
          <w:b w:val="0"/>
          <w:lang w:val="hy-AM"/>
        </w:rPr>
      </w:pPr>
      <w:r w:rsidRPr="005C6C72">
        <w:rPr>
          <w:b w:val="0"/>
          <w:lang w:val="hy-AM"/>
        </w:rPr>
        <w:t xml:space="preserve">Ծրագրի շրջանակներում նախատեսվում է արտադրանքի  և ծառայությունների գծով մշակել 30 ազգային ստանդարտներ, հավատարմագրված համապատասխանության գնահատման մարմինների ազգային, արտադրանքի սերտիֆիկացման մարմինների, լաբորատորիաների ԵԱՏՄ, համապատասխանության սերտիֆիկատների, հայտարարագրերի ՀՀ և ԵԱՏՄ միասնական ռեեստրների և հավատարմագրման փորձագետների, գնահատողների, տեխնիկական փորձագետների ռեեստրների վարում՝ 5 հատ: </w:t>
      </w:r>
    </w:p>
    <w:p w14:paraId="31AAFE40" w14:textId="77777777" w:rsidR="005C6C72" w:rsidRPr="005C6C72" w:rsidRDefault="005C6C72" w:rsidP="00AC1E1E">
      <w:pPr>
        <w:rPr>
          <w:b w:val="0"/>
          <w:lang w:val="hy-AM"/>
        </w:rPr>
      </w:pPr>
      <w:r w:rsidRPr="005C6C72">
        <w:rPr>
          <w:b w:val="0"/>
          <w:lang w:val="hy-AM"/>
        </w:rPr>
        <w:t>ԵՄ աջակցությամբ իրականացվող որակի ենթակառուցվածքի համակարգի արդիականացում դրամաշնորհային ծրագիրի նպատակն է ՍՉԱՄ ՓԲԸ-ում տրամաչափարկման կարողությունների հիմնում, փորձարկման կարողությունների ընդլայնում՝ նոր լաբորատոր սարքավորումների ձեռքբերում, լաբորատորիաների վերազինում և ստեղծում:</w:t>
      </w:r>
    </w:p>
    <w:p w14:paraId="07E8A08A" w14:textId="77777777" w:rsidR="005C6C72" w:rsidRPr="005C6C72" w:rsidRDefault="005C6C72" w:rsidP="00AC1E1E">
      <w:pPr>
        <w:rPr>
          <w:b w:val="0"/>
          <w:lang w:val="hy-AM"/>
        </w:rPr>
      </w:pPr>
      <w:r w:rsidRPr="005C6C72">
        <w:rPr>
          <w:lang w:val="hy-AM"/>
        </w:rPr>
        <w:t xml:space="preserve">Գիտելիքահենք, նորարարական տնտեսությանը և փոքր ու միջին ձեռնարկատիրությանը աջակցություն </w:t>
      </w:r>
      <w:r w:rsidRPr="005C6C72">
        <w:rPr>
          <w:b w:val="0"/>
          <w:lang w:val="hy-AM"/>
        </w:rPr>
        <w:t>ծրագրի գծով 2024 թվականին նախատեսվել է հատկացնել 20,433.2 մլն դրամ:</w:t>
      </w:r>
    </w:p>
    <w:p w14:paraId="026385F5" w14:textId="77777777" w:rsidR="005C6C72" w:rsidRPr="005C6C72" w:rsidRDefault="005C6C72" w:rsidP="00AC1E1E">
      <w:pPr>
        <w:rPr>
          <w:b w:val="0"/>
          <w:lang w:val="hy-AM"/>
        </w:rPr>
      </w:pPr>
      <w:r w:rsidRPr="005C6C72">
        <w:rPr>
          <w:b w:val="0"/>
          <w:lang w:val="hy-AM"/>
        </w:rPr>
        <w:t>Ծրագրի նպատակն է արտադրողականության բարձրացման նպատակով տնտեսության թվայնացման, նորարարական էլեկտրոնային կառավարման համակարգերի ներդրման, գիտելիքահենք գործարարությանը և փոքր ու միջին ձեռնարկատիրությանը աջակցություն:</w:t>
      </w:r>
    </w:p>
    <w:p w14:paraId="3F16C7D8" w14:textId="77777777" w:rsidR="005C6C72" w:rsidRPr="005C6C72" w:rsidRDefault="005C6C72" w:rsidP="00AC1E1E">
      <w:pPr>
        <w:rPr>
          <w:b w:val="0"/>
          <w:lang w:val="hy-AM"/>
        </w:rPr>
      </w:pPr>
      <w:r w:rsidRPr="005C6C72">
        <w:rPr>
          <w:b w:val="0"/>
          <w:lang w:val="hy-AM"/>
        </w:rPr>
        <w:t xml:space="preserve">Ծրագրի շրջանակներում նախատեսվում է ձեռնարկատիրական հմտությունների զարգացման դասընթացին 1000 շահառուի մասնակցություն, հովանոցային մեխանիզմով երաշխավորությունների տրամադրում 3 շահառուի: Տնտեսավարողների կողմից ներգրավված 500 բարձր որակավորում ունեցող մասնագետների ծախսերի մասնակի փոխհատուցում, ինչպես նաև 2000 տնտեսավարող սուբյեկտների սուբսիդավորում: </w:t>
      </w:r>
      <w:r w:rsidRPr="005C6C72">
        <w:rPr>
          <w:lang w:val="hy-AM"/>
        </w:rPr>
        <w:t xml:space="preserve">Ներդրումների և արտահանման խթանման </w:t>
      </w:r>
      <w:r w:rsidRPr="005C6C72">
        <w:rPr>
          <w:b w:val="0"/>
          <w:lang w:val="hy-AM"/>
        </w:rPr>
        <w:t>ծրագրի գծով 2024 թվականին նախատեսվել է հատկացնել 8,</w:t>
      </w:r>
      <w:r w:rsidR="00BF714C" w:rsidRPr="00BF714C">
        <w:rPr>
          <w:b w:val="0"/>
          <w:lang w:val="hy-AM"/>
        </w:rPr>
        <w:t>137</w:t>
      </w:r>
      <w:r w:rsidRPr="005C6C72">
        <w:rPr>
          <w:b w:val="0"/>
          <w:lang w:val="hy-AM"/>
        </w:rPr>
        <w:t>.</w:t>
      </w:r>
      <w:r w:rsidR="00BF714C" w:rsidRPr="00BF714C">
        <w:rPr>
          <w:b w:val="0"/>
          <w:lang w:val="hy-AM"/>
        </w:rPr>
        <w:t>8</w:t>
      </w:r>
      <w:r w:rsidRPr="005C6C72">
        <w:rPr>
          <w:b w:val="0"/>
          <w:lang w:val="hy-AM"/>
        </w:rPr>
        <w:t xml:space="preserve"> մլն դրամ:</w:t>
      </w:r>
    </w:p>
    <w:p w14:paraId="67FD7A04" w14:textId="77777777" w:rsidR="005C6C72" w:rsidRPr="005C6C72" w:rsidRDefault="005C6C72" w:rsidP="00AC1E1E">
      <w:pPr>
        <w:rPr>
          <w:b w:val="0"/>
          <w:lang w:val="hy-AM"/>
        </w:rPr>
      </w:pPr>
      <w:r w:rsidRPr="005C6C72">
        <w:rPr>
          <w:b w:val="0"/>
          <w:lang w:val="hy-AM"/>
        </w:rPr>
        <w:t xml:space="preserve">Ծրագրի հիմնական նպատակն է ՀՀ կառավարության կողմից հաստատված ՀՀ արտահանմանն ուղղված արդյունաբերական քաղաքականության ռազմավարությամբ սահմանված երկարաժամկետ հեռանկարում նպաստել տնտեսական աճի նոր շարժիչ ոլորտների ձևավորմանը, վերամշակող արդյունաբերության ճյուղերի և համալիրների զարգացմանը, արտահանման զարգացման ներուժ ունեցող ոլորտների հավասարակշռված և փուլային միջոցառումների իրականացմանը: Աջակցել ներդրողների սպասարկմանը, օտարերկրյա ներդրողների ներգրավմանը և հետներդրումային սպասարկմանը:  </w:t>
      </w:r>
    </w:p>
    <w:p w14:paraId="023EE66A" w14:textId="77777777" w:rsidR="005C6C72" w:rsidRPr="005C6C72" w:rsidRDefault="005C6C72" w:rsidP="00AC1E1E">
      <w:pPr>
        <w:rPr>
          <w:b w:val="0"/>
          <w:lang w:val="hy-AM"/>
        </w:rPr>
      </w:pPr>
      <w:r w:rsidRPr="005C6C72">
        <w:rPr>
          <w:b w:val="0"/>
          <w:lang w:val="hy-AM"/>
        </w:rPr>
        <w:lastRenderedPageBreak/>
        <w:t xml:space="preserve">Ծրագրի շրջանակներում նախատեսվում է արտադրական գործունեության միջազգային 14 ցուցահանդեսներին մասնակցության ապահովում, գործարար 7 համաժողովների (ֆորումների), 40 ներդրումային ծրագրերի ուղեկցում, ՀՀ-ում գործող օտարերկրյա ներդրողների 50 հետներդրումային շարունակական սպասարկում, ինչպես նաև հանրային ներդրումային ծրագրերի տեխնիկատնտեսական ուսումնասիրություն: </w:t>
      </w:r>
    </w:p>
    <w:p w14:paraId="421A26C2" w14:textId="77777777" w:rsidR="005C6C72" w:rsidRPr="005C6C72" w:rsidRDefault="005C6C72" w:rsidP="00AC1E1E">
      <w:pPr>
        <w:rPr>
          <w:b w:val="0"/>
          <w:lang w:val="hy-AM"/>
        </w:rPr>
      </w:pPr>
      <w:r w:rsidRPr="005C6C72">
        <w:rPr>
          <w:b w:val="0"/>
          <w:lang w:val="hy-AM"/>
        </w:rPr>
        <w:t>Ծրագրի շրջանակներում նախատեսվում է նաև նոր միջոցառումների իրականացում, այդ թվում՝ մասնագիտական կարողությունների զարգացման նպատակով 500 շահառուների առցանց, համակցված (առցանց և առկա բաղադրիչներով), կամ առկա եղանակով որակավորման կամ վերաորակավորման դասընթացների մասնակցության վճարի փոխհատուցում, սկսնակ և փոքր բիզնեսին արտոնյալ պայմաններով 150 շահառուի վարկավորման տրամադրում վարկերի տարեկան տոկոսադրույքի սուբսիդավորման եղանակով, դեղագործության  արդյունաբերության զարգացմանը և «ԷՔՍՊՈ 2025» Օսակա, Կանսայ, Ճապոնիա համաշխարհային ցուցահանդեսին ՀՀ մասնակցության կազմակերպման աշխատանքներին աջակցություն:</w:t>
      </w:r>
    </w:p>
    <w:p w14:paraId="004DA771" w14:textId="77777777" w:rsidR="005C6C72" w:rsidRPr="005C6C72" w:rsidRDefault="005C6C72" w:rsidP="00AC1E1E">
      <w:pPr>
        <w:rPr>
          <w:b w:val="0"/>
          <w:lang w:val="hy-AM"/>
        </w:rPr>
      </w:pPr>
      <w:r w:rsidRPr="005C6C72">
        <w:rPr>
          <w:bCs/>
          <w:lang w:val="hy-AM"/>
        </w:rPr>
        <w:t xml:space="preserve">Գյուղատնտեսության խթանման </w:t>
      </w:r>
      <w:r w:rsidRPr="005C6C72">
        <w:rPr>
          <w:b w:val="0"/>
          <w:bCs/>
          <w:lang w:val="hy-AM"/>
        </w:rPr>
        <w:t>ծրագրի գծով 2024 թվականին նախատեսվել է</w:t>
      </w:r>
      <w:r w:rsidRPr="005C6C72">
        <w:rPr>
          <w:b w:val="0"/>
          <w:lang w:val="hy-AM"/>
        </w:rPr>
        <w:t xml:space="preserve"> հատկացնել </w:t>
      </w:r>
      <w:r w:rsidR="006101D7">
        <w:rPr>
          <w:b w:val="0"/>
          <w:bCs/>
          <w:lang w:val="hy-AM"/>
        </w:rPr>
        <w:t>16,466.</w:t>
      </w:r>
      <w:r w:rsidR="006101D7" w:rsidRPr="006101D7">
        <w:rPr>
          <w:b w:val="0"/>
          <w:bCs/>
          <w:lang w:val="hy-AM"/>
        </w:rPr>
        <w:t>5</w:t>
      </w:r>
      <w:r w:rsidRPr="005C6C72">
        <w:rPr>
          <w:b w:val="0"/>
          <w:bCs/>
          <w:lang w:val="hy-AM"/>
        </w:rPr>
        <w:t xml:space="preserve"> մլն</w:t>
      </w:r>
      <w:r w:rsidRPr="005C6C72">
        <w:rPr>
          <w:b w:val="0"/>
          <w:lang w:val="hy-AM"/>
        </w:rPr>
        <w:t xml:space="preserve"> դրամ: </w:t>
      </w:r>
    </w:p>
    <w:p w14:paraId="3E1D3EB1" w14:textId="77777777" w:rsidR="005C6C72" w:rsidRPr="005C6C72" w:rsidRDefault="005C6C72" w:rsidP="00AC1E1E">
      <w:pPr>
        <w:rPr>
          <w:b w:val="0"/>
          <w:lang w:val="hy-AM"/>
        </w:rPr>
      </w:pPr>
      <w:r w:rsidRPr="005C6C72">
        <w:rPr>
          <w:b w:val="0"/>
          <w:lang w:val="hy-AM"/>
        </w:rPr>
        <w:t xml:space="preserve">Ծրագրի նպատակն է գյուղատնտեսական մթերքի և դրանց վերամշակումից ստացվող սննդամթերքի ծավալների ավելացումը: Ծրագրի շրջանակներում նախատեսվում է սուբսիդավորել 22908 տնտեսավարող սուբյեկտի` նախորդ տարիներին տրամադրված գյուղատնտեսական վարկերը, 285 տնտեսավարող սուբյեկտի՝ 2024թ. տրամադրվելիք և նախորդ տարիներին տրամադրված գյուղատնտեսական հումքի մթերումների (գնումների) նպատակով վարկերը, </w:t>
      </w:r>
      <w:r w:rsidRPr="005C6C72">
        <w:rPr>
          <w:b w:val="0"/>
          <w:bCs/>
          <w:lang w:val="hy-AM"/>
        </w:rPr>
        <w:t xml:space="preserve">սուբսիդավորել 15000 հա հողատարածքի ապահովագրավճարները, ՀՀ տարածքից դուրս իրականացնել հայկական գինեգործության հանրահռչակմանը, հայկական գինիների առաջմղմանն ու արտահանմանն ուղղված 5 միջոցառումներ, միջազգային բարձր վարկանիշ ունեցող ամսագրերում </w:t>
      </w:r>
      <w:r w:rsidRPr="004904D5">
        <w:rPr>
          <w:b w:val="0"/>
          <w:bCs/>
          <w:lang w:val="hy-AM"/>
        </w:rPr>
        <w:t xml:space="preserve">տպագրել </w:t>
      </w:r>
      <w:r w:rsidRPr="005C6C72">
        <w:rPr>
          <w:b w:val="0"/>
          <w:bCs/>
          <w:lang w:val="hy-AM"/>
        </w:rPr>
        <w:t xml:space="preserve">հայկական գինեգործության մասին թվով 20 հոդվածներ, </w:t>
      </w:r>
      <w:r w:rsidRPr="005C6C72">
        <w:rPr>
          <w:b w:val="0"/>
          <w:lang w:val="hy-AM"/>
        </w:rPr>
        <w:t>հողային բարեփոխումների փորձնական ծրագրի շրջանակներում ձեռք</w:t>
      </w:r>
      <w:r w:rsidRPr="004904D5">
        <w:rPr>
          <w:b w:val="0"/>
          <w:lang w:val="hy-AM"/>
        </w:rPr>
        <w:t xml:space="preserve"> </w:t>
      </w:r>
      <w:r w:rsidRPr="005C6C72">
        <w:rPr>
          <w:b w:val="0"/>
          <w:lang w:val="hy-AM"/>
        </w:rPr>
        <w:t>բեր</w:t>
      </w:r>
      <w:r w:rsidRPr="004904D5">
        <w:rPr>
          <w:b w:val="0"/>
          <w:lang w:val="hy-AM"/>
        </w:rPr>
        <w:t xml:space="preserve">ել, </w:t>
      </w:r>
      <w:r w:rsidRPr="005C6C72">
        <w:rPr>
          <w:b w:val="0"/>
          <w:lang w:val="hy-AM"/>
        </w:rPr>
        <w:t>շրջանառ</w:t>
      </w:r>
      <w:r w:rsidRPr="004904D5">
        <w:rPr>
          <w:b w:val="0"/>
          <w:lang w:val="hy-AM"/>
        </w:rPr>
        <w:t xml:space="preserve">ել և բարելավել </w:t>
      </w:r>
      <w:r w:rsidRPr="005C6C72">
        <w:rPr>
          <w:b w:val="0"/>
          <w:lang w:val="hy-AM"/>
        </w:rPr>
        <w:t>գյուղատնտեսական նշանակության հողեր</w:t>
      </w:r>
      <w:r w:rsidRPr="004904D5">
        <w:rPr>
          <w:b w:val="0"/>
          <w:lang w:val="hy-AM"/>
        </w:rPr>
        <w:t xml:space="preserve">, ինչպես նաև </w:t>
      </w:r>
      <w:r w:rsidRPr="005C6C72">
        <w:rPr>
          <w:b w:val="0"/>
          <w:lang w:val="hy-AM"/>
        </w:rPr>
        <w:t>շրջանառության մեջ ներառ</w:t>
      </w:r>
      <w:r w:rsidRPr="004904D5">
        <w:rPr>
          <w:b w:val="0"/>
          <w:lang w:val="hy-AM"/>
        </w:rPr>
        <w:t>ել</w:t>
      </w:r>
      <w:r w:rsidRPr="005C6C72">
        <w:rPr>
          <w:b w:val="0"/>
          <w:lang w:val="hy-AM"/>
        </w:rPr>
        <w:t xml:space="preserve"> չօգտագործվող գյուղատնտեսական նշանակության </w:t>
      </w:r>
      <w:r w:rsidRPr="004904D5">
        <w:rPr>
          <w:b w:val="0"/>
          <w:lang w:val="hy-AM"/>
        </w:rPr>
        <w:t>217.4</w:t>
      </w:r>
      <w:r w:rsidRPr="005C6C72">
        <w:rPr>
          <w:b w:val="0"/>
          <w:lang w:val="hy-AM"/>
        </w:rPr>
        <w:t xml:space="preserve"> հա հողեր և այլն: </w:t>
      </w:r>
    </w:p>
    <w:p w14:paraId="02FADF54" w14:textId="77777777" w:rsidR="005C6C72" w:rsidRPr="005C6C72" w:rsidRDefault="005C6C72" w:rsidP="00AC1E1E">
      <w:pPr>
        <w:rPr>
          <w:b w:val="0"/>
          <w:lang w:val="hy-AM"/>
        </w:rPr>
      </w:pPr>
      <w:r w:rsidRPr="005C6C72">
        <w:rPr>
          <w:lang w:val="hy-AM"/>
        </w:rPr>
        <w:t xml:space="preserve">Բուսաբուծության խթանում և բույսերի պաշտպանություն </w:t>
      </w:r>
      <w:r w:rsidRPr="005C6C72">
        <w:rPr>
          <w:b w:val="0"/>
          <w:lang w:val="hy-AM"/>
        </w:rPr>
        <w:t xml:space="preserve">ծրագրի գծով 2024 թվականին նախատեսվել է հատկացնել 125.4 մլն դրամ: </w:t>
      </w:r>
    </w:p>
    <w:p w14:paraId="6D563EE7" w14:textId="77777777" w:rsidR="005C6C72" w:rsidRPr="005C6C72" w:rsidRDefault="005C6C72" w:rsidP="00AC1E1E">
      <w:pPr>
        <w:rPr>
          <w:b w:val="0"/>
          <w:lang w:val="hy-AM"/>
        </w:rPr>
      </w:pPr>
      <w:r w:rsidRPr="005C6C72">
        <w:rPr>
          <w:b w:val="0"/>
          <w:lang w:val="hy-AM"/>
        </w:rPr>
        <w:t xml:space="preserve">Ծրագրի նպատակն է հողագործությունից ստացվող արդյունքի բարելավումը: Ծրագրի շրջանակներում նախատեսվում է վնասակար օրգանիզմների հայտնաբերման նպատակով հետազոտել 180,000 հեկտար տարածք, 85 համայնքի տրամադրել գյուղատնտեսական նշանակության հողերի կազմված ագրոքիմիական քարտեզներ, գյուղատնտեսական մշակաբույսերի առավել վնասակար օրգանիզմների դեմ իրականացնել պայքար 53,000.0 հեկտար տարածքում, իրականացնել բույսերի սերմերի որակի լաբորատոր </w:t>
      </w:r>
      <w:r w:rsidRPr="005C6C72">
        <w:rPr>
          <w:b w:val="0"/>
          <w:lang w:val="hy-AM"/>
        </w:rPr>
        <w:lastRenderedPageBreak/>
        <w:t>հետազոտություններ և փաստաթղթավորում՝ 12 հազար տոննա, ինչպես նաև բույսերի նոր սորտերի ստուգիչ ցանքեր և դաշտային փորձարկումներ՝ 100 հատ:</w:t>
      </w:r>
    </w:p>
    <w:p w14:paraId="20B81643" w14:textId="098F251C" w:rsidR="005C6C72" w:rsidRPr="005C6C72" w:rsidRDefault="005C6C72" w:rsidP="00AC1E1E">
      <w:pPr>
        <w:rPr>
          <w:b w:val="0"/>
          <w:lang w:val="hy-AM"/>
        </w:rPr>
      </w:pPr>
      <w:r w:rsidRPr="005C6C72">
        <w:rPr>
          <w:lang w:val="hy-AM"/>
        </w:rPr>
        <w:t>Անասնաբուժական ծառայություններ ծրագրի</w:t>
      </w:r>
      <w:r w:rsidRPr="005C6C72">
        <w:rPr>
          <w:b w:val="0"/>
          <w:lang w:val="hy-AM"/>
        </w:rPr>
        <w:t xml:space="preserve"> գծով 2024 թվականին նախատեսվել է հատկացնել  1,</w:t>
      </w:r>
      <w:r w:rsidR="004D0006">
        <w:rPr>
          <w:b w:val="0"/>
          <w:lang w:val="hy-AM"/>
        </w:rPr>
        <w:t>9</w:t>
      </w:r>
      <w:r w:rsidRPr="005C6C72">
        <w:rPr>
          <w:b w:val="0"/>
          <w:lang w:val="hy-AM"/>
        </w:rPr>
        <w:t xml:space="preserve">55.4 մլն դրամ: </w:t>
      </w:r>
    </w:p>
    <w:p w14:paraId="513AD9F0" w14:textId="77777777" w:rsidR="005C6C72" w:rsidRPr="005C6C72" w:rsidRDefault="005C6C72" w:rsidP="00AC1E1E">
      <w:pPr>
        <w:rPr>
          <w:b w:val="0"/>
          <w:lang w:val="hy-AM"/>
        </w:rPr>
      </w:pPr>
      <w:r w:rsidRPr="005C6C72">
        <w:rPr>
          <w:b w:val="0"/>
          <w:lang w:val="hy-AM"/>
        </w:rPr>
        <w:t>Ծրագրի նպատակն է անասնահամաճարակային կայուն ֆոնի ապահովումը: Ծրագրի շրջանակներում նախատեսվում է իրականացնել ախտորոշիչ</w:t>
      </w:r>
      <w:r w:rsidRPr="004904D5">
        <w:rPr>
          <w:b w:val="0"/>
          <w:lang w:val="hy-AM"/>
        </w:rPr>
        <w:t xml:space="preserve"> և</w:t>
      </w:r>
      <w:r w:rsidRPr="005C6C72">
        <w:rPr>
          <w:b w:val="0"/>
          <w:lang w:val="hy-AM"/>
        </w:rPr>
        <w:t xml:space="preserve"> կանխարգելիչ (պատվաստումներ) միջոցառումներ և 195,400 խոշոր եղջերավոր կենդանու համարակալում: </w:t>
      </w:r>
    </w:p>
    <w:p w14:paraId="59C79E9B" w14:textId="26504034" w:rsidR="005C6C72" w:rsidRPr="005C6C72" w:rsidRDefault="005C6C72" w:rsidP="00AC1E1E">
      <w:pPr>
        <w:rPr>
          <w:b w:val="0"/>
          <w:lang w:val="hy-AM"/>
        </w:rPr>
      </w:pPr>
      <w:r w:rsidRPr="005C6C72">
        <w:rPr>
          <w:lang w:val="hy-AM"/>
        </w:rPr>
        <w:t xml:space="preserve">Գյուղատնտեսության արդիականացման </w:t>
      </w:r>
      <w:r w:rsidRPr="005C6C72">
        <w:rPr>
          <w:b w:val="0"/>
          <w:lang w:val="hy-AM"/>
        </w:rPr>
        <w:t>ծրագրի գծով 2024 թվականին նախատեսվել է հատկացնել   25,</w:t>
      </w:r>
      <w:r w:rsidR="004D0006">
        <w:rPr>
          <w:b w:val="0"/>
          <w:lang w:val="hy-AM"/>
        </w:rPr>
        <w:t>4</w:t>
      </w:r>
      <w:r w:rsidRPr="005C6C72">
        <w:rPr>
          <w:b w:val="0"/>
          <w:lang w:val="hy-AM"/>
        </w:rPr>
        <w:t xml:space="preserve">46.6 մլն դրամ: </w:t>
      </w:r>
    </w:p>
    <w:p w14:paraId="5A1C9904" w14:textId="77777777" w:rsidR="005C6C72" w:rsidRPr="005C6C72" w:rsidRDefault="005C6C72" w:rsidP="00AC1E1E">
      <w:pPr>
        <w:rPr>
          <w:b w:val="0"/>
          <w:lang w:val="hy-AM"/>
        </w:rPr>
      </w:pPr>
      <w:r w:rsidRPr="005C6C72">
        <w:rPr>
          <w:b w:val="0"/>
          <w:lang w:val="hy-AM"/>
        </w:rPr>
        <w:t>Ծրագրի նպատակն է գյուղատնտեսական տեխնիկական համակարգերի արդիականացումը, ինտենսիվ այգիների ներդրման և տոհմաբուծության մեջ նոր ցեղատեսակների բուծման գծով աջակցությունը: Ծրագրի շրջանակներում նախատեսվում է սուբսիդավորել՝</w:t>
      </w:r>
    </w:p>
    <w:p w14:paraId="16272032" w14:textId="77777777" w:rsidR="005C6C72" w:rsidRPr="005C6C72" w:rsidRDefault="005C6C72" w:rsidP="00AC1E1E">
      <w:pPr>
        <w:numPr>
          <w:ilvl w:val="0"/>
          <w:numId w:val="57"/>
        </w:numPr>
        <w:tabs>
          <w:tab w:val="left" w:pos="284"/>
        </w:tabs>
        <w:ind w:left="0" w:firstLine="0"/>
        <w:rPr>
          <w:b w:val="0"/>
          <w:lang w:val="hy-AM"/>
        </w:rPr>
      </w:pPr>
      <w:r w:rsidRPr="005C6C72">
        <w:rPr>
          <w:b w:val="0"/>
          <w:lang w:val="hy-AM"/>
        </w:rPr>
        <w:t xml:space="preserve">նախորդ տարիներին հիմնված՝ 4,310.1 հեկտար նոր ինտենսիվ պտղատու այգիների համար տրամադրված վարկերը, </w:t>
      </w:r>
    </w:p>
    <w:p w14:paraId="760AEDA9" w14:textId="77777777" w:rsidR="005C6C72" w:rsidRPr="00097368" w:rsidRDefault="005C6C72"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5C6C72">
        <w:rPr>
          <w:b w:val="0"/>
          <w:lang w:val="hy-AM"/>
        </w:rPr>
        <w:t xml:space="preserve">1,796 տնտեսավարող սուբյեկտի՝ 2024 թվականին տրամադրվելիք և նախորդ տարիներին </w:t>
      </w:r>
      <w:r w:rsidRPr="00097368">
        <w:rPr>
          <w:rFonts w:eastAsia="Calibri" w:cs="Arial"/>
          <w:b w:val="0"/>
          <w:bCs/>
          <w:kern w:val="2"/>
          <w:szCs w:val="22"/>
          <w:lang w:val="hy-AM"/>
          <w14:ligatures w14:val="standardContextual"/>
        </w:rPr>
        <w:t xml:space="preserve">տրամադրված՝ գյուղատնտեսական տեխնիկա ձեռքբերելու նպատակով վարկերը, </w:t>
      </w:r>
    </w:p>
    <w:p w14:paraId="1C4C61E2" w14:textId="77777777" w:rsidR="005C6C72" w:rsidRPr="00097368" w:rsidRDefault="005C6C72"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695 տնտեսավարող սուբյեկտի՝ 2024 թվականին տրամադրվելիք և նախորդ տարիներին տրամադրված ագրոպարենային ոլորտի սարքավորումներ ձեռքբերելու նպատակով վարկերը, </w:t>
      </w:r>
    </w:p>
    <w:p w14:paraId="3953EDC0" w14:textId="77777777" w:rsidR="005C6C72" w:rsidRPr="00097368" w:rsidRDefault="005C6C72"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1,527.5 հեկտար տարածքում ոռոգման արդիական համակարգ ներդնելու նպատակով նախորդ տարիներին տրամադրված վարկերը, </w:t>
      </w:r>
    </w:p>
    <w:p w14:paraId="63D49FA3" w14:textId="77777777" w:rsidR="005C6C72" w:rsidRPr="00097368" w:rsidRDefault="005C6C72"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500 հեկտար տարածքում ինտենսիվ այգիներ հիմնելու նպատակով 2023թ. տրամադրվելիք վարկերը, </w:t>
      </w:r>
    </w:p>
    <w:p w14:paraId="6EFD1597" w14:textId="77777777" w:rsidR="005C6C72" w:rsidRPr="00097368" w:rsidRDefault="005C6C72"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նախորդ տարիներին 194.1 հեկտար տարածքում տեղակայված կարկտապաշտպան ցանցային համակարգերի համար տրամադրված վարկերը, </w:t>
      </w:r>
    </w:p>
    <w:p w14:paraId="7E3238D7" w14:textId="77777777" w:rsidR="005C6C72" w:rsidRPr="00097368" w:rsidRDefault="005C6C72"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2175 գլուխ խոշոր եղջերավոր տոհմային կենդանիների ձեռքբերման համար նախորդ տարիներին տրամադրված և 600 խոշոր եղջերավոր տոհմային կենդանիների ձեռքբերման համար 2024 թվականին տրամադրվելիք վարկերը: </w:t>
      </w:r>
    </w:p>
    <w:p w14:paraId="67BB7B07" w14:textId="77777777" w:rsidR="005C6C72" w:rsidRPr="005C6C72" w:rsidRDefault="005C6C72" w:rsidP="00AC1E1E">
      <w:pPr>
        <w:pStyle w:val="ListParagraph"/>
        <w:numPr>
          <w:ilvl w:val="0"/>
          <w:numId w:val="55"/>
        </w:numPr>
        <w:tabs>
          <w:tab w:val="left" w:pos="284"/>
        </w:tabs>
        <w:suppressAutoHyphens/>
        <w:ind w:left="0" w:firstLine="0"/>
        <w:rPr>
          <w:b w:val="0"/>
          <w:lang w:val="hy-AM"/>
        </w:rPr>
      </w:pPr>
      <w:r w:rsidRPr="00097368">
        <w:rPr>
          <w:rFonts w:eastAsia="Calibri" w:cs="Arial"/>
          <w:b w:val="0"/>
          <w:bCs/>
          <w:kern w:val="2"/>
          <w:szCs w:val="22"/>
          <w:lang w:val="hy-AM"/>
          <w14:ligatures w14:val="standardContextual"/>
        </w:rPr>
        <w:t>Ծրագրի շրջանակներում նախատեսվում է նաև մասնակի փոխհատուցել նախորդ տարիներից կառուցվող կամ վերակառուցվող 10 անասնաշենքի գծով և հիմնված ինտենսիվ պտղատու</w:t>
      </w:r>
      <w:r w:rsidRPr="005C6C72">
        <w:rPr>
          <w:b w:val="0"/>
          <w:lang w:val="hy-AM"/>
        </w:rPr>
        <w:t xml:space="preserve"> այգիների համար կատարված ծախսերը, ինչպես նաև նոր հիմնվող ինտենսիվ պտղատու այգիների և ներդրվող ոռոգման արդիական համակարգերի գծով կատարվող ծախսերը: </w:t>
      </w:r>
    </w:p>
    <w:p w14:paraId="1E6B9D2D" w14:textId="77777777" w:rsidR="005C6C72" w:rsidRPr="005C6C72" w:rsidRDefault="005C6C72" w:rsidP="00AC1E1E">
      <w:pPr>
        <w:rPr>
          <w:b w:val="0"/>
          <w:lang w:val="hy-AM"/>
        </w:rPr>
      </w:pPr>
      <w:r w:rsidRPr="005C6C72">
        <w:rPr>
          <w:bCs/>
          <w:lang w:val="hy-AM"/>
        </w:rPr>
        <w:lastRenderedPageBreak/>
        <w:t xml:space="preserve">Գյուղական ենթակառուցվածքների վերականգնում և զարգացում </w:t>
      </w:r>
      <w:r w:rsidRPr="005C6C72">
        <w:rPr>
          <w:b w:val="0"/>
          <w:lang w:val="hy-AM"/>
        </w:rPr>
        <w:t xml:space="preserve">ծրագրի գծով 2024 թվականին նախատեսվել է հատկացնել  </w:t>
      </w:r>
      <w:r w:rsidR="00927586" w:rsidRPr="00927586">
        <w:rPr>
          <w:b w:val="0"/>
          <w:lang w:val="hy-AM"/>
        </w:rPr>
        <w:t>528</w:t>
      </w:r>
      <w:r w:rsidRPr="005C6C72">
        <w:rPr>
          <w:b w:val="0"/>
          <w:lang w:val="hy-AM"/>
        </w:rPr>
        <w:t>.</w:t>
      </w:r>
      <w:r w:rsidR="00927586" w:rsidRPr="00927586">
        <w:rPr>
          <w:b w:val="0"/>
          <w:lang w:val="hy-AM"/>
        </w:rPr>
        <w:t>4</w:t>
      </w:r>
      <w:r w:rsidRPr="005C6C72">
        <w:rPr>
          <w:b w:val="0"/>
          <w:lang w:val="hy-AM"/>
        </w:rPr>
        <w:t xml:space="preserve"> մլն դրամ:</w:t>
      </w:r>
    </w:p>
    <w:p w14:paraId="217994D3" w14:textId="77777777" w:rsidR="005C6C72" w:rsidRPr="005C6C72" w:rsidRDefault="005C6C72" w:rsidP="00AC1E1E">
      <w:pPr>
        <w:rPr>
          <w:b w:val="0"/>
          <w:lang w:val="hy-AM"/>
        </w:rPr>
      </w:pPr>
      <w:r w:rsidRPr="005C6C72">
        <w:rPr>
          <w:b w:val="0"/>
          <w:lang w:val="hy-AM"/>
        </w:rPr>
        <w:t>Ծրագրի նպատակն է բարձրացնել գյուղատնտեսության ոլորտի արդյունավետությունը: Ծրագրի շրջանակներում նախատեսվում է ՀՀ Արմավիրի և Արարատի մարզերում ներդնել ժամանակակից ոռոգման համակարգեր՝ գյուղացիական տնտեսվարողներին աջակցության նպատակով:</w:t>
      </w:r>
    </w:p>
    <w:p w14:paraId="504F3573" w14:textId="77777777" w:rsidR="005C6C72" w:rsidRPr="005C6C72" w:rsidRDefault="005C6C72" w:rsidP="00AC1E1E">
      <w:pPr>
        <w:rPr>
          <w:b w:val="0"/>
          <w:lang w:val="hy-AM"/>
        </w:rPr>
      </w:pPr>
      <w:r w:rsidRPr="005C6C72">
        <w:rPr>
          <w:lang w:val="hy-AM"/>
        </w:rPr>
        <w:t xml:space="preserve">Զբոսաշրջության զարգացման </w:t>
      </w:r>
      <w:r w:rsidRPr="005C6C72">
        <w:rPr>
          <w:b w:val="0"/>
          <w:lang w:val="hy-AM"/>
        </w:rPr>
        <w:t>ծրագրի գծով 2024 թվականին նախատեսվել է հատկացնել 13,188.2 մլն դրամ:</w:t>
      </w:r>
    </w:p>
    <w:p w14:paraId="09C24B9B" w14:textId="77777777" w:rsidR="005C6C72" w:rsidRPr="005C6C72" w:rsidRDefault="005C6C72" w:rsidP="00AC1E1E">
      <w:pPr>
        <w:rPr>
          <w:b w:val="0"/>
          <w:lang w:val="hy-AM"/>
        </w:rPr>
      </w:pPr>
      <w:r w:rsidRPr="005C6C72">
        <w:rPr>
          <w:b w:val="0"/>
          <w:lang w:val="hy-AM"/>
        </w:rPr>
        <w:t>Ծրագրի նպատակն է նպաստել ապահովել Հայաստան զբոսաշրջային այցելությունների դինամիկ աճին, Հայաստանի կայուն և համաչափ տարածքային տնտեսական զարգացմանը, պատմամշակութային և բնության ժառանգության պահպանությանը, զարգացմանը և պատշաճ ներկայացմանն ու խթանմանը։</w:t>
      </w:r>
    </w:p>
    <w:p w14:paraId="7DDB3014" w14:textId="77777777" w:rsidR="005C6C72" w:rsidRPr="005C6C72" w:rsidRDefault="005C6C72" w:rsidP="00AC1E1E">
      <w:pPr>
        <w:rPr>
          <w:b w:val="0"/>
          <w:lang w:val="hy-AM"/>
        </w:rPr>
      </w:pPr>
      <w:r w:rsidRPr="005C6C72">
        <w:rPr>
          <w:b w:val="0"/>
          <w:lang w:val="hy-AM"/>
        </w:rPr>
        <w:t xml:space="preserve"> Ծրագրի շրջանակներում նախատեսվում է նաև զբոսաշրջային վայրերի բարելավված մուտքային 12 կմ ճանապարհահատվածի կառուցման, 1 զբոսայգու բարելավման և փողոցային լուսավորության թվով 360 սյուների ու լամպերի փոխարինման աշխատանքներ: Զբոսաշրջության աջակցության հետ կապված գործողությունների միջոցով կստեղծվեն 450 ժամանակավոր և մշտական  աշխատատեղեր, միջազգային 4 ցուցահանդեսների մասնակցություն, միջազգային 50 ճանաչողական այցերի կազմակերպում, պետական աջակցություն ՀՀ մարզերում 7 փառատոների  կազմակերպմանը, 2 միջազգային միջոցառման կազմակերպում, աջակցություն զբոսաշրջային տեղեկատվական 5 կենտրոնների գործունեությանը, 3 թիրախային երկրներում ռոուդ շոուների կազմակերպում, պետական աջակցություն 3 DMO-ների (զբոսաշրջային այցելավայրերի կառավարման կազմակերպություններ) գործունեությանը, 2 միջազգային միջոցառման կազմակերպում:</w:t>
      </w:r>
    </w:p>
    <w:p w14:paraId="5CD06700" w14:textId="77777777" w:rsidR="00CE334B" w:rsidRPr="004F5524" w:rsidRDefault="00CE334B" w:rsidP="00AC1E1E">
      <w:pPr>
        <w:pStyle w:val="Heading1"/>
      </w:pPr>
      <w:bookmarkStart w:id="313" w:name="_Toc153184501"/>
      <w:r w:rsidRPr="004F5524">
        <w:t>ՀՀ ֆինանսների նախա</w:t>
      </w:r>
      <w:r w:rsidRPr="004F5524">
        <w:softHyphen/>
        <w:t>րարու</w:t>
      </w:r>
      <w:r w:rsidRPr="004F5524">
        <w:softHyphen/>
        <w:t>թյուն</w:t>
      </w:r>
      <w:bookmarkEnd w:id="313"/>
    </w:p>
    <w:p w14:paraId="420C4F08" w14:textId="228DD9DD" w:rsidR="00CE334B" w:rsidRPr="00CE334B" w:rsidRDefault="00CE334B" w:rsidP="00AC1E1E">
      <w:pPr>
        <w:rPr>
          <w:b w:val="0"/>
          <w:lang w:val="hy-AM"/>
        </w:rPr>
      </w:pPr>
      <w:r w:rsidRPr="003121ED">
        <w:rPr>
          <w:b w:val="0"/>
          <w:lang w:val="hy-AM"/>
        </w:rPr>
        <w:t>ՀՀ ֆինանսերի նախա</w:t>
      </w:r>
      <w:r w:rsidRPr="003121ED">
        <w:rPr>
          <w:b w:val="0"/>
          <w:lang w:val="hy-AM"/>
        </w:rPr>
        <w:softHyphen/>
        <w:t>րարու</w:t>
      </w:r>
      <w:r w:rsidRPr="003121ED">
        <w:rPr>
          <w:b w:val="0"/>
          <w:lang w:val="hy-AM"/>
        </w:rPr>
        <w:softHyphen/>
        <w:t>թյան գծով նախատեսվում է հատկացնել 3</w:t>
      </w:r>
      <w:r w:rsidR="00D956DA" w:rsidRPr="00D14211">
        <w:rPr>
          <w:b w:val="0"/>
          <w:lang w:val="hy-AM"/>
        </w:rPr>
        <w:t>3</w:t>
      </w:r>
      <w:r w:rsidR="006535BA" w:rsidRPr="006535BA">
        <w:rPr>
          <w:b w:val="0"/>
          <w:lang w:val="hy-AM"/>
        </w:rPr>
        <w:t>1</w:t>
      </w:r>
      <w:r w:rsidRPr="003121ED">
        <w:rPr>
          <w:b w:val="0"/>
          <w:lang w:val="hy-AM"/>
        </w:rPr>
        <w:t>,</w:t>
      </w:r>
      <w:r w:rsidR="006535BA" w:rsidRPr="006535BA">
        <w:rPr>
          <w:b w:val="0"/>
          <w:lang w:val="hy-AM"/>
        </w:rPr>
        <w:t>324</w:t>
      </w:r>
      <w:r w:rsidRPr="003121ED">
        <w:rPr>
          <w:b w:val="0"/>
          <w:lang w:val="hy-AM"/>
        </w:rPr>
        <w:t>.</w:t>
      </w:r>
      <w:r w:rsidR="006535BA" w:rsidRPr="006535BA">
        <w:rPr>
          <w:b w:val="0"/>
          <w:lang w:val="hy-AM"/>
        </w:rPr>
        <w:t>9</w:t>
      </w:r>
      <w:r w:rsidRPr="003121ED">
        <w:rPr>
          <w:b w:val="0"/>
          <w:lang w:val="hy-AM"/>
        </w:rPr>
        <w:t xml:space="preserve"> մլն դրամ: Հատկացվելիք միջոցներն</w:t>
      </w:r>
      <w:r w:rsidRPr="00CE334B">
        <w:rPr>
          <w:b w:val="0"/>
          <w:lang w:val="hy-AM"/>
        </w:rPr>
        <w:t xml:space="preserve"> ուղղվելու են հետևյալ ծրագրերի իրականացմանը.</w:t>
      </w:r>
    </w:p>
    <w:p w14:paraId="6D40AC30" w14:textId="19DDF730" w:rsidR="00CE334B" w:rsidRPr="00CE334B" w:rsidRDefault="00CE334B" w:rsidP="00AC1E1E">
      <w:pPr>
        <w:pStyle w:val="ListParagraph"/>
        <w:ind w:left="0"/>
        <w:rPr>
          <w:b w:val="0"/>
          <w:lang w:val="hy-AM"/>
        </w:rPr>
      </w:pPr>
      <w:r w:rsidRPr="00CE334B">
        <w:rPr>
          <w:lang w:val="hy-AM"/>
        </w:rPr>
        <w:t>Պետական պարտքի կառավարում</w:t>
      </w:r>
      <w:r w:rsidRPr="00CE334B">
        <w:rPr>
          <w:b w:val="0"/>
          <w:lang w:val="hy-AM"/>
        </w:rPr>
        <w:t>. ծրագրի գծով 2024 թվականին նախատեսվել է հատկացնել 3</w:t>
      </w:r>
      <w:r w:rsidR="00D956DA" w:rsidRPr="00D14211">
        <w:rPr>
          <w:b w:val="0"/>
          <w:lang w:val="hy-AM"/>
        </w:rPr>
        <w:t>2</w:t>
      </w:r>
      <w:r w:rsidR="006535BA" w:rsidRPr="006535BA">
        <w:rPr>
          <w:b w:val="0"/>
          <w:lang w:val="hy-AM"/>
        </w:rPr>
        <w:t>3</w:t>
      </w:r>
      <w:r w:rsidRPr="00CE334B">
        <w:rPr>
          <w:b w:val="0"/>
          <w:lang w:val="hy-AM"/>
        </w:rPr>
        <w:t>,</w:t>
      </w:r>
      <w:r w:rsidR="006535BA" w:rsidRPr="006535BA">
        <w:rPr>
          <w:b w:val="0"/>
          <w:lang w:val="hy-AM"/>
        </w:rPr>
        <w:t>183</w:t>
      </w:r>
      <w:r w:rsidRPr="00CE334B">
        <w:rPr>
          <w:b w:val="0"/>
          <w:lang w:val="hy-AM"/>
        </w:rPr>
        <w:t>.</w:t>
      </w:r>
      <w:r w:rsidR="00D956DA" w:rsidRPr="00D14211">
        <w:rPr>
          <w:b w:val="0"/>
          <w:lang w:val="hy-AM"/>
        </w:rPr>
        <w:t>5</w:t>
      </w:r>
      <w:r w:rsidRPr="00CE334B">
        <w:rPr>
          <w:b w:val="0"/>
          <w:lang w:val="hy-AM"/>
        </w:rPr>
        <w:t xml:space="preserve"> մլն դրամ: Ծրագրի նպատակն է Կառավարության ֆինանսական կարիքների բավարարման մշտական հնարավորության ապահովումը` երկարաժամկետ հատվածում նվազեցնելով պարտքի սպասարկման մեծությունը: Ծրագրի շրջանակներում նախատեսվում է արտարժութային պետական պարտատոմսերի թողարկում, ՀՀ պետական պարտքի կառավարման գործընթացի հրապարակայնության ապահովում, պարտքի կառավարմանն առնչվող տեղեկատվական համակարգերի և ծրագրերի սպասարկում և կառավարության պարտքի և մուրհակների սպասարկում:</w:t>
      </w:r>
    </w:p>
    <w:p w14:paraId="651A95D0" w14:textId="77777777" w:rsidR="00CE334B" w:rsidRPr="00CE334B" w:rsidRDefault="00CE334B" w:rsidP="00AC1E1E">
      <w:pPr>
        <w:pStyle w:val="ListParagraph"/>
        <w:ind w:left="0"/>
        <w:rPr>
          <w:b w:val="0"/>
          <w:lang w:val="hy-AM"/>
        </w:rPr>
      </w:pPr>
      <w:r w:rsidRPr="00CE334B">
        <w:rPr>
          <w:lang w:val="hy-AM"/>
        </w:rPr>
        <w:t>Հանրային հատվածի ֆինանսական ոլորտի մասնագետների վերապատրաստում</w:t>
      </w:r>
      <w:r w:rsidRPr="00CE334B">
        <w:rPr>
          <w:b w:val="0"/>
          <w:lang w:val="hy-AM"/>
        </w:rPr>
        <w:t xml:space="preserve">  ծրագրի գծով նախատեսվել է հատկացնել 23.6 մլն դրամ: Ծրագրի նպատակն է հանրային </w:t>
      </w:r>
      <w:r w:rsidRPr="00CE334B">
        <w:rPr>
          <w:b w:val="0"/>
          <w:lang w:val="hy-AM"/>
        </w:rPr>
        <w:lastRenderedPageBreak/>
        <w:t>հատվածի ֆինանսական ոլորտի մասնագետների աշխատանքի արդյունավետության բարելավումը, հանրային ֆինանսների կառավարման նոր գիտելիքների և փորձի յուրացումը: Ծրագրի շրջանակներում նախատեսվում է իրականացնել հետևյալ միջոցառումը:</w:t>
      </w:r>
    </w:p>
    <w:p w14:paraId="47F22773" w14:textId="04C21FA2" w:rsidR="00CE334B" w:rsidRPr="00CE334B" w:rsidRDefault="00CE334B" w:rsidP="00AC1E1E">
      <w:pPr>
        <w:rPr>
          <w:rFonts w:cs="Sylfaen"/>
          <w:sz w:val="24"/>
          <w:lang w:val="hy-AM"/>
        </w:rPr>
      </w:pPr>
      <w:r w:rsidRPr="00CE334B">
        <w:rPr>
          <w:lang w:val="hy-AM"/>
        </w:rPr>
        <w:t>Հանրային ֆինանսների կառավարման բնագավառում պետական քաղաքականության մշակում, ծրագրերի համակարգում և մոնի</w:t>
      </w:r>
      <w:r w:rsidR="005B750E" w:rsidRPr="001F6A37">
        <w:rPr>
          <w:lang w:val="hy-AM"/>
        </w:rPr>
        <w:t>թ</w:t>
      </w:r>
      <w:r w:rsidRPr="00CE334B">
        <w:rPr>
          <w:lang w:val="hy-AM"/>
        </w:rPr>
        <w:t>որինգ</w:t>
      </w:r>
      <w:r w:rsidRPr="00CE334B">
        <w:rPr>
          <w:b w:val="0"/>
          <w:lang w:val="hy-AM"/>
        </w:rPr>
        <w:t xml:space="preserve"> ծրագրի գծով 2024 թվականին նախատեսվել է հատկացնել 7,</w:t>
      </w:r>
      <w:r w:rsidR="006535BA" w:rsidRPr="00FE64C8">
        <w:rPr>
          <w:b w:val="0"/>
          <w:lang w:val="hy-AM"/>
        </w:rPr>
        <w:t>998</w:t>
      </w:r>
      <w:r w:rsidRPr="00CE334B">
        <w:rPr>
          <w:b w:val="0"/>
          <w:lang w:val="hy-AM"/>
        </w:rPr>
        <w:t>.</w:t>
      </w:r>
      <w:r w:rsidR="006535BA" w:rsidRPr="00FE64C8">
        <w:rPr>
          <w:b w:val="0"/>
          <w:lang w:val="hy-AM"/>
        </w:rPr>
        <w:t>6</w:t>
      </w:r>
      <w:r w:rsidRPr="00CE334B">
        <w:rPr>
          <w:b w:val="0"/>
          <w:lang w:val="hy-AM"/>
        </w:rPr>
        <w:t xml:space="preserve"> մլն դրամ: Ծրագրի նպատակն է հանրային ֆինանսների կառավարման բնագավառում պետական քաղաքականության մշակումը և դրա կատարման համակարգումը, պետական ծրագրերի պլանավորումը, մշակումը, մոնի</w:t>
      </w:r>
      <w:r w:rsidR="005B750E" w:rsidRPr="001F6A37">
        <w:rPr>
          <w:b w:val="0"/>
          <w:lang w:val="hy-AM"/>
        </w:rPr>
        <w:t>թ</w:t>
      </w:r>
      <w:r w:rsidRPr="00CE334B">
        <w:rPr>
          <w:b w:val="0"/>
          <w:lang w:val="hy-AM"/>
        </w:rPr>
        <w:t>որինգի (վերահսկման) ծառայությունների իրականացումը: Ծրագրի շրջանակներում նախատեսվում է նաև ֆինանսական կառավարման համակարգի վճարահաշվարկային ծառայությունների մատուցում, ՀՀ համապատասխան վարկանիշի միջազգային հարթակում ապահովման նպատակով՝ ՀՀ սուվերեն վարկանիշի ստացում,  ՀՀ ՖՆ և ՌԴ ֆինանսների նախարարության միջև` ՌԴ կողմից ՀՀ-ին անհատույց ֆինանսական օգնության դրամաշնորհային ծրագրի շրջանակներում Կառավարության ֆինանսական կառավարման տեղեկատվական համակարգերի ներդրում և մի շարք այլ միջոցառումների իրականացումը:</w:t>
      </w:r>
    </w:p>
    <w:p w14:paraId="2FE04D48" w14:textId="77777777" w:rsidR="00CE334B" w:rsidRPr="00CE334B" w:rsidRDefault="00CE334B" w:rsidP="00AC1E1E">
      <w:pPr>
        <w:pStyle w:val="ListParagraph"/>
        <w:ind w:left="0"/>
        <w:rPr>
          <w:b w:val="0"/>
          <w:lang w:val="hy-AM"/>
        </w:rPr>
      </w:pPr>
      <w:r w:rsidRPr="00CE334B">
        <w:rPr>
          <w:lang w:val="hy-AM"/>
        </w:rPr>
        <w:t>Գնումների գործընթացի կարգավորում և համակարգում</w:t>
      </w:r>
      <w:r w:rsidRPr="00CE334B">
        <w:rPr>
          <w:b w:val="0"/>
          <w:lang w:val="hy-AM"/>
        </w:rPr>
        <w:t xml:space="preserve"> ծրագրի գծով նախատեսվել է հատկացնել 119.3 մլն դրամ: Ծրագրի նպատակն է հանրային միջոցների ծախսման արդյունավետության բարձրացումը և կոռուպցիոն ռիսկերի նվազեցումը: Ծրագրի շրջանակներում նախատեսվում է պետական գնումների գործընթացի թափանցիկության՝ հրապարակայնության և մրցակցության աստիճանի բարձրացում՝ էլեկտրոնային գնումների համակարգի տեխնիկական սպասարկում և գնումների պլանավորում, պայմանագրերի կառավարման ու գնումների հաշվետվողականության էլեկտրոնային համակարգի սպասարկում, LSFinance (ԳԳՕ) և CLIENT-TREASURY համակարգի անխափան գործունեության ապահովում:</w:t>
      </w:r>
    </w:p>
    <w:p w14:paraId="4B018937" w14:textId="77777777" w:rsidR="009F4194" w:rsidRDefault="009F4194" w:rsidP="00AC1E1E">
      <w:pPr>
        <w:pStyle w:val="Heading1"/>
      </w:pPr>
      <w:bookmarkStart w:id="314" w:name="_Toc153184502"/>
      <w:r w:rsidRPr="007955BB">
        <w:t>ՀՀ արդարադատության նախարարությ</w:t>
      </w:r>
      <w:r w:rsidR="00823D17" w:rsidRPr="007955BB">
        <w:t>ուն</w:t>
      </w:r>
      <w:bookmarkEnd w:id="314"/>
    </w:p>
    <w:p w14:paraId="14F9D674" w14:textId="141506E6" w:rsidR="00A663C2" w:rsidRDefault="00A663C2" w:rsidP="00AC1E1E">
      <w:pPr>
        <w:rPr>
          <w:rFonts w:cs="Sylfaen"/>
          <w:b w:val="0"/>
          <w:szCs w:val="22"/>
          <w:lang w:val="hy-AM"/>
        </w:rPr>
      </w:pPr>
      <w:r>
        <w:rPr>
          <w:rFonts w:cs="Sylfaen"/>
          <w:b w:val="0"/>
          <w:szCs w:val="22"/>
          <w:lang w:val="hy-AM"/>
        </w:rPr>
        <w:t>ՀՀ արդարադատության ոլորտի քաղաքականության իրականացման նպատակով 202</w:t>
      </w:r>
      <w:r w:rsidRPr="00A663C2">
        <w:rPr>
          <w:rFonts w:cs="Sylfaen"/>
          <w:b w:val="0"/>
          <w:szCs w:val="22"/>
          <w:lang w:val="hy-AM"/>
        </w:rPr>
        <w:t>4</w:t>
      </w:r>
      <w:r>
        <w:rPr>
          <w:rFonts w:cs="Sylfaen"/>
          <w:b w:val="0"/>
          <w:szCs w:val="22"/>
          <w:lang w:val="hy-AM"/>
        </w:rPr>
        <w:t xml:space="preserve"> թվականի պետական բյուջեով  նախատեսվել է 2</w:t>
      </w:r>
      <w:r w:rsidRPr="00A663C2">
        <w:rPr>
          <w:rFonts w:cs="Sylfaen"/>
          <w:b w:val="0"/>
          <w:szCs w:val="22"/>
          <w:lang w:val="hy-AM"/>
        </w:rPr>
        <w:t>3</w:t>
      </w:r>
      <w:r>
        <w:rPr>
          <w:rFonts w:cs="Sylfaen"/>
          <w:b w:val="0"/>
          <w:szCs w:val="22"/>
          <w:lang w:val="hy-AM"/>
        </w:rPr>
        <w:t>,</w:t>
      </w:r>
      <w:r w:rsidRPr="00A663C2">
        <w:rPr>
          <w:rFonts w:cs="Sylfaen"/>
          <w:b w:val="0"/>
          <w:szCs w:val="22"/>
          <w:lang w:val="hy-AM"/>
        </w:rPr>
        <w:t>1</w:t>
      </w:r>
      <w:r w:rsidR="00FE64C8" w:rsidRPr="00331CB6">
        <w:rPr>
          <w:rFonts w:cs="Sylfaen"/>
          <w:b w:val="0"/>
          <w:szCs w:val="22"/>
          <w:lang w:val="hy-AM"/>
        </w:rPr>
        <w:t>62</w:t>
      </w:r>
      <w:r>
        <w:rPr>
          <w:rFonts w:cs="Sylfaen"/>
          <w:b w:val="0"/>
          <w:szCs w:val="22"/>
          <w:lang w:val="hy-AM"/>
        </w:rPr>
        <w:t>.</w:t>
      </w:r>
      <w:r w:rsidR="00FE64C8" w:rsidRPr="00331CB6">
        <w:rPr>
          <w:rFonts w:cs="Sylfaen"/>
          <w:b w:val="0"/>
          <w:szCs w:val="22"/>
          <w:lang w:val="hy-AM"/>
        </w:rPr>
        <w:t>5</w:t>
      </w:r>
      <w:r>
        <w:rPr>
          <w:rFonts w:cs="Sylfaen"/>
          <w:b w:val="0"/>
          <w:szCs w:val="22"/>
          <w:lang w:val="hy-AM"/>
        </w:rPr>
        <w:t xml:space="preserve"> </w:t>
      </w:r>
      <w:r>
        <w:rPr>
          <w:rFonts w:cs="GHEA Grapalat"/>
          <w:b w:val="0"/>
          <w:szCs w:val="22"/>
          <w:lang w:val="hy-AM"/>
        </w:rPr>
        <w:t>մլն</w:t>
      </w:r>
      <w:r>
        <w:rPr>
          <w:rFonts w:cs="Sylfaen"/>
          <w:b w:val="0"/>
          <w:szCs w:val="22"/>
          <w:lang w:val="hy-AM"/>
        </w:rPr>
        <w:t xml:space="preserve"> </w:t>
      </w:r>
      <w:r>
        <w:rPr>
          <w:rFonts w:cs="GHEA Grapalat"/>
          <w:b w:val="0"/>
          <w:szCs w:val="22"/>
          <w:lang w:val="hy-AM"/>
        </w:rPr>
        <w:t>դրամ</w:t>
      </w:r>
      <w:r>
        <w:rPr>
          <w:rFonts w:cs="Sylfaen"/>
          <w:b w:val="0"/>
          <w:szCs w:val="22"/>
          <w:lang w:val="hy-AM"/>
        </w:rPr>
        <w:t xml:space="preserve">, </w:t>
      </w:r>
      <w:r>
        <w:rPr>
          <w:rFonts w:cs="GHEA Grapalat"/>
          <w:b w:val="0"/>
          <w:szCs w:val="22"/>
          <w:lang w:val="hy-AM"/>
        </w:rPr>
        <w:t>այդ</w:t>
      </w:r>
      <w:r>
        <w:rPr>
          <w:rFonts w:cs="Sylfaen"/>
          <w:b w:val="0"/>
          <w:szCs w:val="22"/>
          <w:lang w:val="hy-AM"/>
        </w:rPr>
        <w:t xml:space="preserve"> </w:t>
      </w:r>
      <w:r>
        <w:rPr>
          <w:rFonts w:cs="GHEA Grapalat"/>
          <w:b w:val="0"/>
          <w:szCs w:val="22"/>
          <w:lang w:val="hy-AM"/>
        </w:rPr>
        <w:t>թվում՝</w:t>
      </w:r>
      <w:r>
        <w:rPr>
          <w:rFonts w:cs="Sylfaen"/>
          <w:b w:val="0"/>
          <w:szCs w:val="22"/>
          <w:lang w:val="hy-AM"/>
        </w:rPr>
        <w:t xml:space="preserve"> </w:t>
      </w:r>
      <w:r>
        <w:rPr>
          <w:rFonts w:cs="GHEA Grapalat"/>
          <w:b w:val="0"/>
          <w:szCs w:val="22"/>
          <w:lang w:val="hy-AM"/>
        </w:rPr>
        <w:t>կապիտալ</w:t>
      </w:r>
      <w:r>
        <w:rPr>
          <w:rFonts w:cs="Sylfaen"/>
          <w:b w:val="0"/>
          <w:szCs w:val="22"/>
          <w:lang w:val="hy-AM"/>
        </w:rPr>
        <w:t xml:space="preserve"> </w:t>
      </w:r>
      <w:r>
        <w:rPr>
          <w:rFonts w:cs="GHEA Grapalat"/>
          <w:b w:val="0"/>
          <w:szCs w:val="22"/>
          <w:lang w:val="hy-AM"/>
        </w:rPr>
        <w:t>ծախսերի</w:t>
      </w:r>
      <w:r>
        <w:rPr>
          <w:rFonts w:cs="Sylfaen"/>
          <w:b w:val="0"/>
          <w:szCs w:val="22"/>
          <w:lang w:val="hy-AM"/>
        </w:rPr>
        <w:t xml:space="preserve"> </w:t>
      </w:r>
      <w:r>
        <w:rPr>
          <w:rFonts w:cs="GHEA Grapalat"/>
          <w:b w:val="0"/>
          <w:szCs w:val="22"/>
          <w:lang w:val="hy-AM"/>
        </w:rPr>
        <w:t xml:space="preserve">գծով՝ </w:t>
      </w:r>
      <w:r w:rsidRPr="00A663C2">
        <w:rPr>
          <w:rFonts w:cs="GHEA Grapalat"/>
          <w:b w:val="0"/>
          <w:szCs w:val="22"/>
          <w:lang w:val="hy-AM"/>
        </w:rPr>
        <w:t>462</w:t>
      </w:r>
      <w:r>
        <w:rPr>
          <w:rFonts w:cs="GHEA Grapalat"/>
          <w:b w:val="0"/>
          <w:szCs w:val="22"/>
          <w:lang w:val="hy-AM"/>
        </w:rPr>
        <w:t>.</w:t>
      </w:r>
      <w:r w:rsidRPr="00A663C2">
        <w:rPr>
          <w:rFonts w:cs="GHEA Grapalat"/>
          <w:b w:val="0"/>
          <w:szCs w:val="22"/>
          <w:lang w:val="hy-AM"/>
        </w:rPr>
        <w:t>3</w:t>
      </w:r>
      <w:r>
        <w:rPr>
          <w:rFonts w:cs="GHEA Grapalat"/>
          <w:b w:val="0"/>
          <w:szCs w:val="22"/>
          <w:lang w:val="hy-AM"/>
        </w:rPr>
        <w:t xml:space="preserve"> մլն</w:t>
      </w:r>
      <w:r>
        <w:rPr>
          <w:rFonts w:cs="Sylfaen"/>
          <w:b w:val="0"/>
          <w:szCs w:val="22"/>
          <w:lang w:val="hy-AM"/>
        </w:rPr>
        <w:t xml:space="preserve"> </w:t>
      </w:r>
      <w:r>
        <w:rPr>
          <w:rFonts w:cs="GHEA Grapalat"/>
          <w:b w:val="0"/>
          <w:szCs w:val="22"/>
          <w:lang w:val="hy-AM"/>
        </w:rPr>
        <w:t>դրամ։</w:t>
      </w:r>
    </w:p>
    <w:p w14:paraId="4FA4E0F4" w14:textId="77777777" w:rsidR="00A663C2" w:rsidRDefault="00A663C2" w:rsidP="00AC1E1E">
      <w:pPr>
        <w:rPr>
          <w:rFonts w:cs="Sylfaen"/>
          <w:b w:val="0"/>
          <w:szCs w:val="22"/>
          <w:lang w:val="hy-AM"/>
        </w:rPr>
      </w:pPr>
      <w:r>
        <w:rPr>
          <w:rFonts w:cs="Sylfaen"/>
          <w:b w:val="0"/>
          <w:szCs w:val="22"/>
          <w:lang w:val="hy-AM"/>
        </w:rPr>
        <w:t xml:space="preserve">Արդարադատության ոլորտում քաղաքականության մշակման, ծրագրերի համակարգման, խորհրդատվության և մոնիտորինգի ծրագրի գծով 2024 թվականի ընթացքում նախատեսվում է իրականացնել ՀՀ դատական և իրավական բարեփոխումների 2022-2026 թվականների ռազմավարությունից բխող 2022-2026 թվականների գործողությունների ծրագրով և Հայաստանի Հանրապետության հակակոռուպցիոն ռազմավարության և դրանից բխող 2023-2026 թվականների գործողությունների ծրագրի շրջանակներում սահմանված միջոցառումները: Մասնավորապես, նախատեսվում է ապահովել ռազմավարություններից բխող 500 իրավական ակտերի նախագծերի մշակում, 5000 </w:t>
      </w:r>
      <w:r>
        <w:rPr>
          <w:rFonts w:cs="Sylfaen"/>
          <w:b w:val="0"/>
          <w:szCs w:val="22"/>
          <w:lang w:val="hy-AM"/>
        </w:rPr>
        <w:lastRenderedPageBreak/>
        <w:t xml:space="preserve">պետական փորձագիտական եզրակացությունների, կարծիքների, դիրքորոշումների տրամադրում։ Նախատեսվում է իրավաբանական անձանց պետական գրանցման գործընթացի արդյունավետության բարձրացմանն ուղղված շարունակական աշխատանքների իրականացում և պետական ռեգիստրում գրանցման ենթակա 50,000 սուբյեկտների և նրանց առանձնացված ստորաբաժանումների պետական գրանցում և հաշվառում։ </w:t>
      </w:r>
    </w:p>
    <w:p w14:paraId="0356CF0E" w14:textId="77777777" w:rsidR="00A663C2" w:rsidRDefault="00A663C2" w:rsidP="00AC1E1E">
      <w:pPr>
        <w:rPr>
          <w:rFonts w:cs="Sylfaen"/>
          <w:b w:val="0"/>
          <w:szCs w:val="22"/>
          <w:lang w:val="hy-AM"/>
        </w:rPr>
      </w:pPr>
      <w:r>
        <w:rPr>
          <w:rFonts w:cs="Sylfaen"/>
          <w:b w:val="0"/>
          <w:szCs w:val="22"/>
          <w:lang w:val="hy-AM"/>
        </w:rPr>
        <w:t>Նախատեսվում է ապահովել անձնական տվյալների պաշտպանության ավելի բարձր մակարդակ, մասնավորապես՝ համապատասխանեցնել անձնական տվյալների պաշտպանության լիազոր մարմնի կարգավիճակն օրենքով սահմանված և միջազգային չափանիշներին՝ ապահովելով նաև մարդկային ռեսուրսների, մասնագիտական, նյութական և տեխնիկական կարողությունների զարգացում։ Անձնական տվյալների պաշտպանության նպատակով հասարակության իրազեկվածության նպատակով 2024 թվականին նախատեսվում է տրամադրել 300 խորհրդատվություն։</w:t>
      </w:r>
      <w:r>
        <w:rPr>
          <w:rFonts w:cs="Sylfaen"/>
          <w:b w:val="0"/>
          <w:szCs w:val="22"/>
          <w:lang w:val="hy-AM"/>
        </w:rPr>
        <w:tab/>
      </w:r>
    </w:p>
    <w:p w14:paraId="3451FA78" w14:textId="77777777" w:rsidR="00A663C2" w:rsidRDefault="00A663C2" w:rsidP="00AC1E1E">
      <w:pPr>
        <w:rPr>
          <w:rFonts w:cs="Sylfaen"/>
          <w:b w:val="0"/>
          <w:szCs w:val="22"/>
          <w:lang w:val="hy-AM"/>
        </w:rPr>
      </w:pPr>
      <w:r>
        <w:rPr>
          <w:rFonts w:cs="Sylfaen"/>
          <w:b w:val="0"/>
          <w:szCs w:val="22"/>
          <w:lang w:val="hy-AM"/>
        </w:rPr>
        <w:t xml:space="preserve">Քաղաքացիական կացության ակտերի գրանցում ծրագրի գծով 2024 թվականին նախատեսվում է շարունակել նվազեցնել ոլորտում առկա վարչարարությունը` ապահովելով շուրջ 165,000 գրանցումներ, վկայակնների կրկնօրինակների, տեղեկանքների տրամադրում, մատուցվող ծառայությունների ավտոմատացման 100 տոկոս, մատուցվող ծառայությունների դիմաց ներկայացված բողոքների կրճատում՝ մինչև 5 տոկոս։ </w:t>
      </w:r>
    </w:p>
    <w:p w14:paraId="480291C7" w14:textId="77777777" w:rsidR="00A663C2" w:rsidRPr="001F6A37" w:rsidRDefault="00A663C2" w:rsidP="00AC1E1E">
      <w:pPr>
        <w:rPr>
          <w:rFonts w:cs="Sylfaen"/>
          <w:b w:val="0"/>
          <w:szCs w:val="22"/>
          <w:lang w:val="hy-AM"/>
        </w:rPr>
      </w:pPr>
      <w:r>
        <w:rPr>
          <w:rFonts w:cs="Sylfaen"/>
          <w:b w:val="0"/>
          <w:szCs w:val="22"/>
          <w:lang w:val="hy-AM"/>
        </w:rPr>
        <w:t xml:space="preserve">Դատական և հանրային պաշտպանություն ծրագրի գծով միջոցներն, ինչպես և նախկինում, ուղղվելու են իրավունքի պաշտպանության հասանելիության և օբյեկտիվության ապահովմանը: Ծրագրի գծով 2024 թվականին նախատեսվել են </w:t>
      </w:r>
      <w:r>
        <w:rPr>
          <w:rFonts w:cs="GHEA Grapalat"/>
          <w:b w:val="0"/>
          <w:szCs w:val="22"/>
          <w:lang w:val="hy-AM"/>
        </w:rPr>
        <w:t>լրացուցիչ</w:t>
      </w:r>
      <w:r>
        <w:rPr>
          <w:rFonts w:cs="Sylfaen"/>
          <w:b w:val="0"/>
          <w:szCs w:val="22"/>
          <w:lang w:val="hy-AM"/>
        </w:rPr>
        <w:t xml:space="preserve"> միջոցներ՝ </w:t>
      </w:r>
      <w:r>
        <w:rPr>
          <w:rFonts w:cs="GHEA Grapalat"/>
          <w:b w:val="0"/>
          <w:szCs w:val="22"/>
          <w:lang w:val="hy-AM"/>
        </w:rPr>
        <w:t>փորձաքննությունների</w:t>
      </w:r>
      <w:r>
        <w:rPr>
          <w:rFonts w:cs="Sylfaen"/>
          <w:b w:val="0"/>
          <w:szCs w:val="22"/>
          <w:lang w:val="hy-AM"/>
        </w:rPr>
        <w:t xml:space="preserve"> </w:t>
      </w:r>
      <w:r>
        <w:rPr>
          <w:rFonts w:cs="GHEA Grapalat"/>
          <w:b w:val="0"/>
          <w:szCs w:val="22"/>
          <w:lang w:val="hy-AM"/>
        </w:rPr>
        <w:t>ծառայությունների</w:t>
      </w:r>
      <w:r>
        <w:rPr>
          <w:rFonts w:cs="Sylfaen"/>
          <w:b w:val="0"/>
          <w:szCs w:val="22"/>
          <w:lang w:val="hy-AM"/>
        </w:rPr>
        <w:t xml:space="preserve"> </w:t>
      </w:r>
      <w:r>
        <w:rPr>
          <w:rFonts w:cs="GHEA Grapalat"/>
          <w:b w:val="0"/>
          <w:szCs w:val="22"/>
          <w:lang w:val="hy-AM"/>
        </w:rPr>
        <w:t>ձեռքբերման</w:t>
      </w:r>
      <w:r>
        <w:rPr>
          <w:rFonts w:cs="Sylfaen"/>
          <w:b w:val="0"/>
          <w:szCs w:val="22"/>
          <w:lang w:val="hy-AM"/>
        </w:rPr>
        <w:t xml:space="preserve"> </w:t>
      </w:r>
      <w:r>
        <w:rPr>
          <w:rFonts w:cs="GHEA Grapalat"/>
          <w:b w:val="0"/>
          <w:szCs w:val="22"/>
          <w:lang w:val="hy-AM"/>
        </w:rPr>
        <w:t>նպատակով</w:t>
      </w:r>
      <w:r>
        <w:rPr>
          <w:rFonts w:cs="Sylfaen"/>
          <w:b w:val="0"/>
          <w:szCs w:val="22"/>
          <w:lang w:val="hy-AM"/>
        </w:rPr>
        <w:t xml:space="preserve">, </w:t>
      </w:r>
      <w:r>
        <w:rPr>
          <w:rFonts w:cs="GHEA Grapalat"/>
          <w:b w:val="0"/>
          <w:szCs w:val="22"/>
          <w:lang w:val="hy-AM"/>
        </w:rPr>
        <w:t>միաժամանակ</w:t>
      </w:r>
      <w:r>
        <w:rPr>
          <w:rFonts w:cs="Sylfaen"/>
          <w:b w:val="0"/>
          <w:szCs w:val="22"/>
          <w:lang w:val="hy-AM"/>
        </w:rPr>
        <w:t xml:space="preserve"> </w:t>
      </w:r>
      <w:r>
        <w:rPr>
          <w:rFonts w:cs="GHEA Grapalat"/>
          <w:b w:val="0"/>
          <w:szCs w:val="22"/>
          <w:lang w:val="hy-AM"/>
        </w:rPr>
        <w:t>ապահովելով</w:t>
      </w:r>
      <w:r>
        <w:rPr>
          <w:rFonts w:cs="Sylfaen"/>
          <w:b w:val="0"/>
          <w:szCs w:val="22"/>
          <w:lang w:val="hy-AM"/>
        </w:rPr>
        <w:t xml:space="preserve"> </w:t>
      </w:r>
      <w:r>
        <w:rPr>
          <w:rFonts w:cs="GHEA Grapalat"/>
          <w:b w:val="0"/>
          <w:szCs w:val="22"/>
          <w:lang w:val="hy-AM"/>
        </w:rPr>
        <w:t>առաջադրված</w:t>
      </w:r>
      <w:r>
        <w:rPr>
          <w:rFonts w:cs="Sylfaen"/>
          <w:b w:val="0"/>
          <w:szCs w:val="22"/>
          <w:lang w:val="hy-AM"/>
        </w:rPr>
        <w:t xml:space="preserve"> </w:t>
      </w:r>
      <w:r>
        <w:rPr>
          <w:rFonts w:cs="GHEA Grapalat"/>
          <w:b w:val="0"/>
          <w:szCs w:val="22"/>
          <w:lang w:val="hy-AM"/>
        </w:rPr>
        <w:t>հարցերի</w:t>
      </w:r>
      <w:r>
        <w:rPr>
          <w:rFonts w:cs="Sylfaen"/>
          <w:b w:val="0"/>
          <w:szCs w:val="22"/>
          <w:lang w:val="hy-AM"/>
        </w:rPr>
        <w:t xml:space="preserve"> ընդհանուր քանակի մեջ փորձաքննությամբ լուծված հարցերի 95 տոկոս տեսակարար կշիռ։ Բացի դրանից, լրացուցիչ 4</w:t>
      </w:r>
      <w:r w:rsidRPr="00A663C2">
        <w:rPr>
          <w:rFonts w:cs="Sylfaen"/>
          <w:b w:val="0"/>
          <w:szCs w:val="22"/>
          <w:lang w:val="hy-AM"/>
        </w:rPr>
        <w:t>45.4</w:t>
      </w:r>
      <w:r>
        <w:rPr>
          <w:rFonts w:cs="Sylfaen"/>
          <w:b w:val="0"/>
          <w:szCs w:val="22"/>
          <w:lang w:val="hy-AM"/>
        </w:rPr>
        <w:t xml:space="preserve"> մլն դրամ գումար է նախատեսվել Արբիտրաժի և հաշտարարության հայաստանյան կենտրոնի գործունեության ապահովման նպատակով</w:t>
      </w:r>
      <w:r w:rsidR="005B750E" w:rsidRPr="001F6A37">
        <w:rPr>
          <w:rFonts w:cs="Sylfaen"/>
          <w:b w:val="0"/>
          <w:szCs w:val="22"/>
          <w:lang w:val="hy-AM"/>
        </w:rPr>
        <w:t>:</w:t>
      </w:r>
    </w:p>
    <w:p w14:paraId="259F6460" w14:textId="77777777" w:rsidR="00A663C2" w:rsidRDefault="00A663C2" w:rsidP="00AC1E1E">
      <w:pPr>
        <w:rPr>
          <w:rFonts w:cs="Sylfaen"/>
          <w:b w:val="0"/>
          <w:szCs w:val="22"/>
          <w:lang w:val="hy-AM"/>
        </w:rPr>
      </w:pPr>
      <w:r>
        <w:rPr>
          <w:rFonts w:cs="Sylfaen"/>
          <w:b w:val="0"/>
          <w:szCs w:val="22"/>
          <w:lang w:val="hy-AM"/>
        </w:rPr>
        <w:t>Ծրագրի շրջանակներում նախատեսվում է ապահովել օրենսդրությամբ սահմանված դեպքերում քաղաքացիներին անվճար իրավաբանական ծառայությունների տրամադրումը վարույթ ընդունած 18,201 գործերի գծով, 15</w:t>
      </w:r>
      <w:r w:rsidRPr="00A663C2">
        <w:rPr>
          <w:rFonts w:cs="Sylfaen"/>
          <w:b w:val="0"/>
          <w:szCs w:val="22"/>
          <w:lang w:val="hy-AM"/>
        </w:rPr>
        <w:t>,</w:t>
      </w:r>
      <w:r>
        <w:rPr>
          <w:rFonts w:cs="Sylfaen"/>
          <w:b w:val="0"/>
          <w:szCs w:val="22"/>
          <w:lang w:val="hy-AM"/>
        </w:rPr>
        <w:t xml:space="preserve">579 փորձաքննություների ձեռքբերում և 1000 սնանկության գործերով փոխհատուցում։ </w:t>
      </w:r>
    </w:p>
    <w:p w14:paraId="6EDA6B9F" w14:textId="77777777" w:rsidR="00A663C2" w:rsidRDefault="00A663C2" w:rsidP="00AC1E1E">
      <w:pPr>
        <w:rPr>
          <w:rFonts w:cs="Sylfaen"/>
          <w:b w:val="0"/>
          <w:strike/>
          <w:szCs w:val="22"/>
          <w:lang w:val="hy-AM"/>
        </w:rPr>
      </w:pPr>
      <w:r>
        <w:rPr>
          <w:rFonts w:cs="Sylfaen"/>
          <w:b w:val="0"/>
          <w:szCs w:val="22"/>
          <w:lang w:val="hy-AM"/>
        </w:rPr>
        <w:t xml:space="preserve">«Քրեակատարողական ծառայություններ»  ծրագրի գծով 2024 թվականին հատկացված գումարները նախատեսվում է ուղղել քրեակատարողական հիմնարկների օպտիմալացման և արդիականացման ռազմավարական պլանները կյանքի կոչելուն, ազատությունից զրկված անձանց պահման պայմանների բարելավմանը, վերասոցիալականացման միջոցառումների իրականացմանը, տրամադրվող բժշկական օգնության և սպասարկման որակի բարձրացմանը, պրոբացիայի ինստիտուտի զարգացմանն ու արձանագրված ոլորտային խնդիրների լուծմանը: </w:t>
      </w:r>
    </w:p>
    <w:p w14:paraId="4C5FAE2B" w14:textId="29AC2896" w:rsidR="00A663C2" w:rsidRDefault="00A663C2" w:rsidP="00AC1E1E">
      <w:pPr>
        <w:rPr>
          <w:rFonts w:cs="Sylfaen"/>
          <w:b w:val="0"/>
          <w:szCs w:val="22"/>
          <w:lang w:val="hy-AM"/>
        </w:rPr>
      </w:pPr>
      <w:r>
        <w:rPr>
          <w:rFonts w:cs="Sylfaen"/>
          <w:b w:val="0"/>
          <w:szCs w:val="22"/>
          <w:lang w:val="hy-AM"/>
        </w:rPr>
        <w:lastRenderedPageBreak/>
        <w:t xml:space="preserve">Ծրագրի շրջանակում նախատեսվում է դատապարտյալների 15 տոկոսին ապահովել աշխատանքով, աստիճանաբար ավելացնել ՔԿՀ-ում միջին մասնագիտական/տեխնիկական կրթություն ստացող, սոցիալական /սոցիալական վերականգնում և խորհրդատվություն/ աջակցություն ստացած դատապարտյալների և կալանավորվածների </w:t>
      </w:r>
      <w:r w:rsidR="00AD04FC">
        <w:rPr>
          <w:b w:val="0"/>
          <w:noProof/>
          <w:szCs w:val="22"/>
          <w:lang w:val="hy-AM"/>
        </w:rPr>
        <w:t>թիվ</w:t>
      </w:r>
      <w:r>
        <w:rPr>
          <w:rFonts w:cs="Sylfaen"/>
          <w:b w:val="0"/>
          <w:szCs w:val="22"/>
          <w:lang w:val="hy-AM"/>
        </w:rPr>
        <w:t xml:space="preserve">ը, ՔԿՀ-ում մշակութային կամ մարզական միջոցառումներին մասնակցած դատապարտյալների  տեսակարար կշիռը ընդհանուր դատապարտյալների մեջ: </w:t>
      </w:r>
    </w:p>
    <w:p w14:paraId="0DA987C2" w14:textId="77777777" w:rsidR="00A663C2" w:rsidRDefault="00A663C2" w:rsidP="00AC1E1E">
      <w:pPr>
        <w:rPr>
          <w:rFonts w:cs="Sylfaen"/>
          <w:b w:val="0"/>
          <w:szCs w:val="22"/>
          <w:lang w:val="hy-AM"/>
        </w:rPr>
      </w:pPr>
      <w:r>
        <w:rPr>
          <w:rFonts w:cs="Sylfaen"/>
          <w:b w:val="0"/>
          <w:szCs w:val="22"/>
          <w:lang w:val="hy-AM"/>
        </w:rPr>
        <w:t xml:space="preserve">2024 թվականին շարունակվելու է քրեակատարողական հիմնարկներում գտնվող,  իրավախախտում կատարած անձանց գեղագիտական դաստիարակության և կրթության ծրագրերի իրականացումը: Տարեկան հաստատված ծրագրերին մասնակցած և հավաստագրեր ստացած ունկնդիրների տեսակարար կշիռը մասնակիցների ընդհանուր թվաքանակի մեջ նախատեսվում է 80 տոկոս: ՀՀ քրեակատարողական օրենսգրքի 112-րդ հոդված 3-րդ մասի և «Կրթության մասին» օրենքում լրացում կատարելու մասին» 2022 թվականի մայիսի 25-ի ՀՕ-130-Ն օրենքով նախատեսված դրույթների համաձայն 2024 թվականին «Քրեակատարողական ծառայություններ» ծրագրի շրջանակներում կապահովվի անկախ տարիքից՝ ազատությունից զրկված 100 անձանց համար հանրակրթության իրականացումը։ </w:t>
      </w:r>
    </w:p>
    <w:p w14:paraId="3BC9D2AD" w14:textId="0DFB3E39" w:rsidR="00A663C2" w:rsidRDefault="00A663C2" w:rsidP="00AC1E1E">
      <w:pPr>
        <w:rPr>
          <w:rFonts w:cs="Sylfaen"/>
          <w:b w:val="0"/>
          <w:szCs w:val="22"/>
          <w:lang w:val="hy-AM"/>
        </w:rPr>
      </w:pPr>
      <w:r>
        <w:rPr>
          <w:rFonts w:cs="Sylfaen"/>
          <w:b w:val="0"/>
          <w:szCs w:val="22"/>
          <w:lang w:val="hy-AM"/>
        </w:rPr>
        <w:t xml:space="preserve">Կառավարությունը շարունակելու է վճռական մնալ վերականգնողական արդարադատության սկզբունքների արմատավորման հարցում: Այս համատեքստում հիմնական թիրախային ուղղությունները լինելու են զարգացնել Պրոբացիայի ծառայության կարողությունները և հզորացնել կադրային ներուժը: Պրոբացիայի ծառայությունում հաշվառված շահառուների համար նախատեսվում է իրականացնել 55 մշակութային միջոցառումներ, ավելացնել վերասոցիալականացման ծրագրերին մասնակցած շահառուների </w:t>
      </w:r>
      <w:r w:rsidR="00AD04FC">
        <w:rPr>
          <w:b w:val="0"/>
          <w:noProof/>
          <w:szCs w:val="22"/>
          <w:lang w:val="hy-AM"/>
        </w:rPr>
        <w:t>թիվ</w:t>
      </w:r>
      <w:r>
        <w:rPr>
          <w:rFonts w:cs="Sylfaen"/>
          <w:b w:val="0"/>
          <w:szCs w:val="22"/>
          <w:lang w:val="hy-AM"/>
        </w:rPr>
        <w:t xml:space="preserve">ը, հանրային աշխատանքներ պատժատեսակում ներգրավված շահառուների </w:t>
      </w:r>
      <w:r w:rsidR="00AD04FC">
        <w:rPr>
          <w:b w:val="0"/>
          <w:noProof/>
          <w:szCs w:val="22"/>
          <w:lang w:val="hy-AM"/>
        </w:rPr>
        <w:t>թիվ</w:t>
      </w:r>
      <w:r>
        <w:rPr>
          <w:rFonts w:cs="Sylfaen"/>
          <w:b w:val="0"/>
          <w:szCs w:val="22"/>
          <w:lang w:val="hy-AM"/>
        </w:rPr>
        <w:t xml:space="preserve">ը, արդյունքում ապահովելով կրկնահանցագործություն կատարած շահառուների թվի կրճատում: </w:t>
      </w:r>
    </w:p>
    <w:p w14:paraId="48A40F56" w14:textId="77777777" w:rsidR="00A663C2" w:rsidRDefault="00A663C2" w:rsidP="00AC1E1E">
      <w:pPr>
        <w:rPr>
          <w:rFonts w:cs="Sylfaen"/>
          <w:b w:val="0"/>
          <w:szCs w:val="22"/>
          <w:lang w:val="hy-AM"/>
        </w:rPr>
      </w:pPr>
      <w:r>
        <w:rPr>
          <w:rFonts w:cs="Sylfaen"/>
          <w:b w:val="0"/>
          <w:szCs w:val="22"/>
          <w:lang w:val="hy-AM"/>
        </w:rPr>
        <w:t xml:space="preserve">Ազատությունից զրկելուն այլընտրանք հանդիսացող նոր պատժատեսակների և խափանման միջոցների արդյունավետ կիրառման նպատակով Պրոբացիայի ծառայությանը 2023 թվականին շարունակվելու է էլեկտրոնային հսկողության համար անհրաժեշտ միջոցներով ու ենթակառուցվածքներով վերազինումը և, ըստ այդմ, իրավակիրառ պրակտիկայում էլեկտրոնային հսկողության փաստացի և պատշաճ կիրառումը: </w:t>
      </w:r>
    </w:p>
    <w:p w14:paraId="58ED43F0" w14:textId="77777777" w:rsidR="00A663C2" w:rsidRDefault="00A663C2" w:rsidP="00AC1E1E">
      <w:pPr>
        <w:rPr>
          <w:rFonts w:cs="Sylfaen"/>
          <w:b w:val="0"/>
          <w:szCs w:val="22"/>
          <w:lang w:val="hy-AM"/>
        </w:rPr>
      </w:pPr>
      <w:r>
        <w:rPr>
          <w:rFonts w:cs="Sylfaen"/>
          <w:b w:val="0"/>
          <w:szCs w:val="22"/>
          <w:lang w:val="hy-AM"/>
        </w:rPr>
        <w:tab/>
        <w:t xml:space="preserve">«Իրավական իրազեկում և տեղեկատվության ապահովում» ծրագրի շրջանակներում նախատեսվում է ապահովել Հայաստանի իրավական տեղեկատվության համակարգում` «ԱՐԼԻՍ» կայքում լրացուցիչ մոտ 5,000 իրավական ակտի հրատարակում, տեղեկատվական համակարգի ամենշաբաթյա թարմացում, իրավական ակտերի էլեկտրոնային ժողովածուի պարբերական համալրում և  ՀՀ, ԵՏՄ, ԵՄ իրավական ակտերի, ՀՀ ազգային զեկույցների, ՀՀ պետական մարմինների կողմից միջազգային կառույցներ ներկայացվող և այդ կառույցների կողմից ՀՀ մարմիններ ներկայացվող </w:t>
      </w:r>
      <w:r>
        <w:rPr>
          <w:rFonts w:cs="Sylfaen"/>
          <w:b w:val="0"/>
          <w:szCs w:val="22"/>
          <w:lang w:val="hy-AM"/>
        </w:rPr>
        <w:lastRenderedPageBreak/>
        <w:t xml:space="preserve">փաստաթղթերի և հանձնարարվող այլ առանցքային փաստաթղթերի թարգմանությունների կատարումը: Ծրագրի նպատակն է ապահովել մոտ 3 տոկոս հանրային իրազեկվածության բարձրացում:  </w:t>
      </w:r>
    </w:p>
    <w:p w14:paraId="21542508" w14:textId="77777777" w:rsidR="00A663C2" w:rsidRDefault="00A663C2" w:rsidP="00AC1E1E">
      <w:pPr>
        <w:rPr>
          <w:rFonts w:cs="Sylfaen"/>
          <w:b w:val="0"/>
          <w:szCs w:val="22"/>
          <w:lang w:val="hy-AM"/>
        </w:rPr>
      </w:pPr>
      <w:r>
        <w:rPr>
          <w:rFonts w:cs="Sylfaen"/>
          <w:b w:val="0"/>
          <w:szCs w:val="22"/>
          <w:lang w:val="hy-AM"/>
        </w:rPr>
        <w:t xml:space="preserve"> «Արդարադատության համակարգի աշխատակիցների վերապատրաստում և հատուկ ուսուցում» ծրագրի գծով 2024 թվականին նախատեսվում է հատկացնել 530.9 մլն դրամ՝ </w:t>
      </w:r>
      <w:r>
        <w:rPr>
          <w:rFonts w:cs="GHEA Grapalat"/>
          <w:b w:val="0"/>
          <w:szCs w:val="22"/>
          <w:lang w:val="hy-AM"/>
        </w:rPr>
        <w:t>դատավորների</w:t>
      </w:r>
      <w:r>
        <w:rPr>
          <w:rFonts w:cs="Sylfaen"/>
          <w:b w:val="0"/>
          <w:szCs w:val="22"/>
          <w:lang w:val="hy-AM"/>
        </w:rPr>
        <w:t xml:space="preserve"> </w:t>
      </w:r>
      <w:r>
        <w:rPr>
          <w:rFonts w:cs="GHEA Grapalat"/>
          <w:b w:val="0"/>
          <w:szCs w:val="22"/>
          <w:lang w:val="hy-AM"/>
        </w:rPr>
        <w:t>թեկնածուների</w:t>
      </w:r>
      <w:r>
        <w:rPr>
          <w:rFonts w:cs="Sylfaen"/>
          <w:b w:val="0"/>
          <w:szCs w:val="22"/>
          <w:lang w:val="hy-AM"/>
        </w:rPr>
        <w:t xml:space="preserve"> </w:t>
      </w:r>
      <w:r>
        <w:rPr>
          <w:rFonts w:cs="GHEA Grapalat"/>
          <w:b w:val="0"/>
          <w:szCs w:val="22"/>
          <w:lang w:val="hy-AM"/>
        </w:rPr>
        <w:t>հավակնորդների</w:t>
      </w:r>
      <w:r>
        <w:rPr>
          <w:rFonts w:cs="Sylfaen"/>
          <w:b w:val="0"/>
          <w:szCs w:val="22"/>
          <w:lang w:val="hy-AM"/>
        </w:rPr>
        <w:t xml:space="preserve"> </w:t>
      </w:r>
      <w:r>
        <w:rPr>
          <w:rFonts w:cs="GHEA Grapalat"/>
          <w:b w:val="0"/>
          <w:szCs w:val="22"/>
          <w:lang w:val="hy-AM"/>
        </w:rPr>
        <w:t>և</w:t>
      </w:r>
      <w:r>
        <w:rPr>
          <w:rFonts w:cs="Sylfaen"/>
          <w:b w:val="0"/>
          <w:szCs w:val="22"/>
          <w:lang w:val="hy-AM"/>
        </w:rPr>
        <w:t xml:space="preserve"> </w:t>
      </w:r>
      <w:r>
        <w:rPr>
          <w:rFonts w:cs="GHEA Grapalat"/>
          <w:b w:val="0"/>
          <w:szCs w:val="22"/>
          <w:lang w:val="hy-AM"/>
        </w:rPr>
        <w:t>դատախազների</w:t>
      </w:r>
      <w:r>
        <w:rPr>
          <w:rFonts w:cs="Sylfaen"/>
          <w:b w:val="0"/>
          <w:szCs w:val="22"/>
          <w:lang w:val="hy-AM"/>
        </w:rPr>
        <w:t xml:space="preserve"> </w:t>
      </w:r>
      <w:r>
        <w:rPr>
          <w:rFonts w:cs="GHEA Grapalat"/>
          <w:b w:val="0"/>
          <w:szCs w:val="22"/>
          <w:lang w:val="hy-AM"/>
        </w:rPr>
        <w:t>թեկնածուների</w:t>
      </w:r>
      <w:r>
        <w:rPr>
          <w:rFonts w:cs="Sylfaen"/>
          <w:b w:val="0"/>
          <w:szCs w:val="22"/>
          <w:lang w:val="hy-AM"/>
        </w:rPr>
        <w:t xml:space="preserve"> </w:t>
      </w:r>
      <w:r>
        <w:rPr>
          <w:rFonts w:cs="GHEA Grapalat"/>
          <w:b w:val="0"/>
          <w:szCs w:val="22"/>
          <w:lang w:val="hy-AM"/>
        </w:rPr>
        <w:t>ցուցակում</w:t>
      </w:r>
      <w:r>
        <w:rPr>
          <w:rFonts w:cs="Sylfaen"/>
          <w:b w:val="0"/>
          <w:szCs w:val="22"/>
          <w:lang w:val="hy-AM"/>
        </w:rPr>
        <w:t xml:space="preserve"> </w:t>
      </w:r>
      <w:r>
        <w:rPr>
          <w:rFonts w:cs="GHEA Grapalat"/>
          <w:b w:val="0"/>
          <w:szCs w:val="22"/>
          <w:lang w:val="hy-AM"/>
        </w:rPr>
        <w:t>ընդգրկված</w:t>
      </w:r>
      <w:r>
        <w:rPr>
          <w:rFonts w:cs="Sylfaen"/>
          <w:b w:val="0"/>
          <w:szCs w:val="22"/>
          <w:lang w:val="hy-AM"/>
        </w:rPr>
        <w:t xml:space="preserve"> </w:t>
      </w:r>
      <w:r>
        <w:rPr>
          <w:rFonts w:cs="GHEA Grapalat"/>
          <w:b w:val="0"/>
          <w:szCs w:val="22"/>
          <w:lang w:val="hy-AM"/>
        </w:rPr>
        <w:t>անձանց</w:t>
      </w:r>
      <w:r>
        <w:rPr>
          <w:rFonts w:cs="Sylfaen"/>
          <w:b w:val="0"/>
          <w:szCs w:val="22"/>
          <w:lang w:val="hy-AM"/>
        </w:rPr>
        <w:t xml:space="preserve"> </w:t>
      </w:r>
      <w:r>
        <w:rPr>
          <w:rFonts w:cs="GHEA Grapalat"/>
          <w:b w:val="0"/>
          <w:szCs w:val="22"/>
          <w:lang w:val="hy-AM"/>
        </w:rPr>
        <w:t>Արդարադատության</w:t>
      </w:r>
      <w:r>
        <w:rPr>
          <w:rFonts w:cs="Sylfaen"/>
          <w:b w:val="0"/>
          <w:szCs w:val="22"/>
          <w:lang w:val="hy-AM"/>
        </w:rPr>
        <w:t xml:space="preserve"> </w:t>
      </w:r>
      <w:r>
        <w:rPr>
          <w:rFonts w:cs="GHEA Grapalat"/>
          <w:b w:val="0"/>
          <w:szCs w:val="22"/>
          <w:lang w:val="hy-AM"/>
        </w:rPr>
        <w:t>ակադեմիայում մասնագիտական պատրաստման ընթացքում կրթաթոշակի վճարման, ինչպես նաև հատուկ ծառայողների վերապատրաստման և հատուկ ուսուցման, դատավորների և դատախազների, դատական ծառայողների, դատախազության աշխատակազմում ծառայողների, դատական կարգադրիչների վերապատրաստման և հատուկ ուսուցման կազմակերպման նպատակով։  Այս ծրագրով նախատեսվում է ապահովել 2,250 հատուկ ծառայողների, 327 դատավորների</w:t>
      </w:r>
      <w:r>
        <w:rPr>
          <w:rFonts w:cs="Sylfaen"/>
          <w:b w:val="0"/>
          <w:szCs w:val="22"/>
          <w:lang w:val="hy-AM"/>
        </w:rPr>
        <w:t xml:space="preserve">, 257 դատախազների, 250 դատական կարգադրիչների վերապատրաստումն ու  հատուկ ուսուցումը, ապահովելով վերապատրաստման հավաստագիր ստացած ունկնդիրների </w:t>
      </w:r>
      <w:r>
        <w:rPr>
          <w:rFonts w:cs="GHEA Grapalat"/>
          <w:b w:val="0"/>
          <w:szCs w:val="22"/>
          <w:lang w:val="hy-AM"/>
        </w:rPr>
        <w:t>99 տոկոս տեսակար</w:t>
      </w:r>
      <w:r w:rsidR="005B750E" w:rsidRPr="001F6A37">
        <w:rPr>
          <w:rFonts w:cs="GHEA Grapalat"/>
          <w:b w:val="0"/>
          <w:szCs w:val="22"/>
          <w:lang w:val="hy-AM"/>
        </w:rPr>
        <w:t>ար</w:t>
      </w:r>
      <w:r>
        <w:rPr>
          <w:rFonts w:cs="GHEA Grapalat"/>
          <w:b w:val="0"/>
          <w:szCs w:val="22"/>
          <w:lang w:val="hy-AM"/>
        </w:rPr>
        <w:t xml:space="preserve"> կշիռ:</w:t>
      </w:r>
      <w:r>
        <w:rPr>
          <w:rFonts w:cs="Sylfaen"/>
          <w:b w:val="0"/>
          <w:szCs w:val="22"/>
          <w:lang w:val="hy-AM"/>
        </w:rPr>
        <w:t xml:space="preserve"> </w:t>
      </w:r>
    </w:p>
    <w:p w14:paraId="341D6B64" w14:textId="77777777" w:rsidR="00A663C2" w:rsidRDefault="00A663C2" w:rsidP="00AC1E1E">
      <w:pPr>
        <w:rPr>
          <w:rFonts w:cs="Sylfaen"/>
          <w:b w:val="0"/>
          <w:szCs w:val="22"/>
          <w:lang w:val="hy-AM"/>
        </w:rPr>
      </w:pPr>
      <w:r>
        <w:rPr>
          <w:rFonts w:cs="Sylfaen"/>
          <w:b w:val="0"/>
          <w:szCs w:val="22"/>
          <w:lang w:val="hy-AM"/>
        </w:rPr>
        <w:t>2024 թվականին Դատաիրավական բարեփոխումների շրջանակում իրականացվելու է հարկադիր կատարման ոլորտի համընդհանուր բարեփոխումներ՝ բարձրացնելու կատարողական գործողությունների արդյունավետությունը, առավելագույնս ապահովելու կատարողական վարույթի մասնակիցների օրինական շահերի պաշտպանությունը, նրանց խնդիրներին ու կարիքներին արագ և արդյունավետ արձագանքելու կառուցակարգերի ներդրմանը: 2024 թվականին նախատեսվում է ավարտել ընթացքի մեջ գտնվող կատարողական վարույթների 58 տոկոսը, բռնագանձման ենթակա գումարի նկատմամբ բռնագանձված գումարի տեսակարար կշիռը նախատեսվել է 14 տոկոս, իսկ աճուրդով վերականգնված գումարի տեսակարար կշիռը՝ 6 տոկոս:</w:t>
      </w:r>
    </w:p>
    <w:p w14:paraId="67AD99BE" w14:textId="77777777" w:rsidR="00A663C2" w:rsidRDefault="00A663C2" w:rsidP="00AC1E1E">
      <w:pPr>
        <w:rPr>
          <w:rFonts w:cs="Sylfaen"/>
          <w:b w:val="0"/>
          <w:szCs w:val="22"/>
          <w:lang w:val="hy-AM"/>
        </w:rPr>
      </w:pPr>
      <w:r>
        <w:rPr>
          <w:rFonts w:cs="Sylfaen"/>
          <w:b w:val="0"/>
          <w:szCs w:val="22"/>
          <w:lang w:val="hy-AM"/>
        </w:rPr>
        <w:t xml:space="preserve">Հարկադիր կատարման վարույթի </w:t>
      </w:r>
      <w:r w:rsidR="00C63261">
        <w:rPr>
          <w:rFonts w:cs="Sylfaen"/>
          <w:b w:val="0"/>
          <w:szCs w:val="22"/>
          <w:lang w:val="hy-AM"/>
        </w:rPr>
        <w:t>ամբողջական թվայնացման, ըստ այդմ՝</w:t>
      </w:r>
      <w:r>
        <w:rPr>
          <w:rFonts w:cs="Sylfaen"/>
          <w:b w:val="0"/>
          <w:szCs w:val="22"/>
          <w:lang w:val="hy-AM"/>
        </w:rPr>
        <w:t xml:space="preserve"> քաղաքացի-հարկադիր կատարող արդյունավետ հաղորդակցության ապահովման նպատակով հարկադիր կատարման ծառայության գծով 2024 թվականին նախատեսվել են միջոցներ տեխնիկական հագեցվածության բարելավման նպատակով: </w:t>
      </w:r>
    </w:p>
    <w:p w14:paraId="09EFF3A1" w14:textId="77777777" w:rsidR="00FA7A76" w:rsidRPr="00690787" w:rsidRDefault="00FA7A76" w:rsidP="00AC1E1E">
      <w:pPr>
        <w:pStyle w:val="Heading1"/>
      </w:pPr>
      <w:bookmarkStart w:id="315" w:name="_Toc153184503"/>
      <w:r w:rsidRPr="00FA7A76">
        <w:t>ՀՀ արտաքին գործերի նախա</w:t>
      </w:r>
      <w:r w:rsidRPr="00FA7A76">
        <w:softHyphen/>
        <w:t>րարու</w:t>
      </w:r>
      <w:r w:rsidRPr="00FA7A76">
        <w:softHyphen/>
        <w:t>թյուն</w:t>
      </w:r>
      <w:bookmarkEnd w:id="315"/>
    </w:p>
    <w:p w14:paraId="556226A7" w14:textId="77777777" w:rsidR="00FA7A76" w:rsidRPr="00AF2B7B" w:rsidRDefault="00FA7A76" w:rsidP="00AC1E1E">
      <w:pPr>
        <w:rPr>
          <w:rFonts w:cs="Sylfaen"/>
          <w:b w:val="0"/>
          <w:szCs w:val="22"/>
          <w:lang w:val="hy-AM"/>
        </w:rPr>
      </w:pPr>
      <w:r w:rsidRPr="00AF2B7B">
        <w:rPr>
          <w:rFonts w:cs="Sylfaen"/>
          <w:b w:val="0"/>
          <w:szCs w:val="22"/>
          <w:lang w:val="hy-AM"/>
        </w:rPr>
        <w:t>ՀՀ</w:t>
      </w:r>
      <w:r w:rsidRPr="00AF2B7B">
        <w:rPr>
          <w:b w:val="0"/>
          <w:szCs w:val="22"/>
          <w:lang w:val="hy-AM"/>
        </w:rPr>
        <w:t xml:space="preserve"> </w:t>
      </w:r>
      <w:r w:rsidRPr="00AF2B7B">
        <w:rPr>
          <w:rFonts w:cs="Sylfaen"/>
          <w:b w:val="0"/>
          <w:szCs w:val="22"/>
          <w:lang w:val="hy-AM"/>
        </w:rPr>
        <w:t>արտաքին</w:t>
      </w:r>
      <w:r w:rsidRPr="00AF2B7B">
        <w:rPr>
          <w:b w:val="0"/>
          <w:szCs w:val="22"/>
          <w:lang w:val="hy-AM"/>
        </w:rPr>
        <w:t xml:space="preserve"> </w:t>
      </w:r>
      <w:r w:rsidRPr="00AF2B7B">
        <w:rPr>
          <w:rFonts w:cs="Sylfaen"/>
          <w:b w:val="0"/>
          <w:szCs w:val="22"/>
          <w:lang w:val="hy-AM"/>
        </w:rPr>
        <w:t>գործերի</w:t>
      </w:r>
      <w:r w:rsidRPr="00AF2B7B">
        <w:rPr>
          <w:b w:val="0"/>
          <w:szCs w:val="22"/>
          <w:lang w:val="hy-AM"/>
        </w:rPr>
        <w:t xml:space="preserve"> </w:t>
      </w:r>
      <w:r w:rsidRPr="00AF2B7B">
        <w:rPr>
          <w:rFonts w:cs="Sylfaen"/>
          <w:b w:val="0"/>
          <w:szCs w:val="22"/>
          <w:lang w:val="hy-AM"/>
        </w:rPr>
        <w:t>նախարարությունն իրեն</w:t>
      </w:r>
      <w:r w:rsidRPr="00AF2B7B">
        <w:rPr>
          <w:b w:val="0"/>
          <w:szCs w:val="22"/>
          <w:lang w:val="hy-AM"/>
        </w:rPr>
        <w:t xml:space="preserve"> </w:t>
      </w:r>
      <w:r w:rsidRPr="00AF2B7B">
        <w:rPr>
          <w:rFonts w:cs="Sylfaen"/>
          <w:b w:val="0"/>
          <w:szCs w:val="22"/>
          <w:lang w:val="hy-AM"/>
        </w:rPr>
        <w:t>վերապահված</w:t>
      </w:r>
      <w:r w:rsidRPr="00AF2B7B">
        <w:rPr>
          <w:b w:val="0"/>
          <w:szCs w:val="22"/>
          <w:lang w:val="hy-AM"/>
        </w:rPr>
        <w:t xml:space="preserve"> </w:t>
      </w:r>
      <w:r w:rsidRPr="00AF2B7B">
        <w:rPr>
          <w:rFonts w:cs="Sylfaen"/>
          <w:b w:val="0"/>
          <w:szCs w:val="22"/>
          <w:lang w:val="hy-AM"/>
        </w:rPr>
        <w:t>լիազորությունների</w:t>
      </w:r>
      <w:r w:rsidRPr="00AF2B7B">
        <w:rPr>
          <w:b w:val="0"/>
          <w:szCs w:val="22"/>
          <w:lang w:val="hy-AM"/>
        </w:rPr>
        <w:t xml:space="preserve"> </w:t>
      </w:r>
      <w:r w:rsidRPr="00AF2B7B">
        <w:rPr>
          <w:rFonts w:cs="Sylfaen"/>
          <w:b w:val="0"/>
          <w:szCs w:val="22"/>
          <w:lang w:val="hy-AM"/>
        </w:rPr>
        <w:t xml:space="preserve">շրջանակներում </w:t>
      </w:r>
      <w:r w:rsidRPr="00AF2B7B">
        <w:rPr>
          <w:b w:val="0"/>
          <w:szCs w:val="22"/>
          <w:lang w:val="hy-AM"/>
        </w:rPr>
        <w:t>ՀՀ Կառավարության ծրագրի հիման վրա մշ</w:t>
      </w:r>
      <w:r w:rsidRPr="00AF2B7B">
        <w:rPr>
          <w:rFonts w:cs="Sylfaen"/>
          <w:b w:val="0"/>
          <w:szCs w:val="22"/>
          <w:lang w:val="hy-AM"/>
        </w:rPr>
        <w:t>ակում</w:t>
      </w:r>
      <w:r w:rsidRPr="00AF2B7B">
        <w:rPr>
          <w:b w:val="0"/>
          <w:szCs w:val="22"/>
          <w:lang w:val="hy-AM"/>
        </w:rPr>
        <w:t xml:space="preserve"> </w:t>
      </w:r>
      <w:r w:rsidRPr="00AF2B7B">
        <w:rPr>
          <w:rFonts w:cs="Sylfaen"/>
          <w:b w:val="0"/>
          <w:szCs w:val="22"/>
          <w:lang w:val="hy-AM"/>
        </w:rPr>
        <w:t>և</w:t>
      </w:r>
      <w:r w:rsidRPr="00AF2B7B">
        <w:rPr>
          <w:b w:val="0"/>
          <w:szCs w:val="22"/>
          <w:lang w:val="hy-AM"/>
        </w:rPr>
        <w:t xml:space="preserve"> </w:t>
      </w:r>
      <w:r w:rsidRPr="00AF2B7B">
        <w:rPr>
          <w:rFonts w:cs="Sylfaen"/>
          <w:b w:val="0"/>
          <w:szCs w:val="22"/>
          <w:lang w:val="hy-AM"/>
        </w:rPr>
        <w:t>իրականացնում</w:t>
      </w:r>
      <w:r w:rsidRPr="00AF2B7B">
        <w:rPr>
          <w:b w:val="0"/>
          <w:szCs w:val="22"/>
          <w:lang w:val="hy-AM"/>
        </w:rPr>
        <w:t xml:space="preserve"> </w:t>
      </w:r>
      <w:r w:rsidRPr="00AF2B7B">
        <w:rPr>
          <w:rFonts w:cs="Sylfaen"/>
          <w:b w:val="0"/>
          <w:szCs w:val="22"/>
          <w:lang w:val="hy-AM"/>
        </w:rPr>
        <w:t>է</w:t>
      </w:r>
      <w:r w:rsidRPr="00AF2B7B">
        <w:rPr>
          <w:b w:val="0"/>
          <w:szCs w:val="22"/>
          <w:lang w:val="hy-AM"/>
        </w:rPr>
        <w:t xml:space="preserve"> </w:t>
      </w:r>
      <w:r w:rsidRPr="00AF2B7B">
        <w:rPr>
          <w:rFonts w:cs="Sylfaen"/>
          <w:b w:val="0"/>
          <w:szCs w:val="22"/>
          <w:lang w:val="hy-AM"/>
        </w:rPr>
        <w:t>ՀՀ</w:t>
      </w:r>
      <w:r w:rsidRPr="00AF2B7B">
        <w:rPr>
          <w:b w:val="0"/>
          <w:szCs w:val="22"/>
          <w:lang w:val="hy-AM"/>
        </w:rPr>
        <w:t xml:space="preserve"> </w:t>
      </w:r>
      <w:r w:rsidRPr="00AF2B7B">
        <w:rPr>
          <w:rFonts w:cs="Sylfaen"/>
          <w:b w:val="0"/>
          <w:szCs w:val="22"/>
          <w:lang w:val="hy-AM"/>
        </w:rPr>
        <w:t>արտաքին</w:t>
      </w:r>
      <w:r w:rsidRPr="00AF2B7B">
        <w:rPr>
          <w:b w:val="0"/>
          <w:szCs w:val="22"/>
          <w:lang w:val="hy-AM"/>
        </w:rPr>
        <w:t xml:space="preserve"> </w:t>
      </w:r>
      <w:r w:rsidRPr="00AF2B7B">
        <w:rPr>
          <w:rFonts w:cs="Sylfaen"/>
          <w:b w:val="0"/>
          <w:szCs w:val="22"/>
          <w:lang w:val="hy-AM"/>
        </w:rPr>
        <w:t>քաղաքականությունը,</w:t>
      </w:r>
      <w:r w:rsidRPr="00AF2B7B">
        <w:rPr>
          <w:b w:val="0"/>
          <w:szCs w:val="22"/>
          <w:lang w:val="hy-AM"/>
        </w:rPr>
        <w:t xml:space="preserve"> </w:t>
      </w:r>
      <w:r w:rsidRPr="00AF2B7B">
        <w:rPr>
          <w:rFonts w:cs="Sylfaen"/>
          <w:b w:val="0"/>
          <w:szCs w:val="22"/>
          <w:lang w:val="hy-AM"/>
        </w:rPr>
        <w:t>ինչպե</w:t>
      </w:r>
      <w:r w:rsidRPr="00AF2B7B">
        <w:rPr>
          <w:b w:val="0"/>
          <w:szCs w:val="22"/>
          <w:lang w:val="hy-AM"/>
        </w:rPr>
        <w:t xml:space="preserve">u </w:t>
      </w:r>
      <w:r w:rsidRPr="00AF2B7B">
        <w:rPr>
          <w:rFonts w:cs="Sylfaen"/>
          <w:b w:val="0"/>
          <w:szCs w:val="22"/>
          <w:lang w:val="hy-AM"/>
        </w:rPr>
        <w:t>նաև</w:t>
      </w:r>
      <w:r w:rsidRPr="00AF2B7B">
        <w:rPr>
          <w:b w:val="0"/>
          <w:szCs w:val="22"/>
          <w:lang w:val="hy-AM"/>
        </w:rPr>
        <w:t xml:space="preserve"> </w:t>
      </w:r>
      <w:r w:rsidRPr="00AF2B7B">
        <w:rPr>
          <w:rFonts w:cs="Sylfaen"/>
          <w:b w:val="0"/>
          <w:szCs w:val="22"/>
          <w:lang w:val="hy-AM"/>
        </w:rPr>
        <w:t>կազմակերպում</w:t>
      </w:r>
      <w:r w:rsidRPr="00AF2B7B">
        <w:rPr>
          <w:b w:val="0"/>
          <w:szCs w:val="22"/>
          <w:lang w:val="hy-AM"/>
        </w:rPr>
        <w:t xml:space="preserve"> </w:t>
      </w:r>
      <w:r w:rsidRPr="00AF2B7B">
        <w:rPr>
          <w:rFonts w:cs="Sylfaen"/>
          <w:b w:val="0"/>
          <w:szCs w:val="22"/>
          <w:lang w:val="hy-AM"/>
        </w:rPr>
        <w:t>և</w:t>
      </w:r>
      <w:r w:rsidRPr="00AF2B7B">
        <w:rPr>
          <w:b w:val="0"/>
          <w:szCs w:val="22"/>
          <w:lang w:val="hy-AM"/>
        </w:rPr>
        <w:t xml:space="preserve"> </w:t>
      </w:r>
      <w:r w:rsidRPr="00AF2B7B">
        <w:rPr>
          <w:rFonts w:cs="Sylfaen"/>
          <w:b w:val="0"/>
          <w:szCs w:val="22"/>
          <w:lang w:val="hy-AM"/>
        </w:rPr>
        <w:t>ղեկավարում</w:t>
      </w:r>
      <w:r w:rsidRPr="00AF2B7B">
        <w:rPr>
          <w:b w:val="0"/>
          <w:szCs w:val="22"/>
          <w:lang w:val="hy-AM"/>
        </w:rPr>
        <w:t xml:space="preserve"> </w:t>
      </w:r>
      <w:r w:rsidRPr="00AF2B7B">
        <w:rPr>
          <w:rFonts w:cs="Sylfaen"/>
          <w:b w:val="0"/>
          <w:szCs w:val="22"/>
          <w:lang w:val="hy-AM"/>
        </w:rPr>
        <w:t>է</w:t>
      </w:r>
      <w:r w:rsidRPr="00AF2B7B">
        <w:rPr>
          <w:b w:val="0"/>
          <w:szCs w:val="22"/>
          <w:lang w:val="hy-AM"/>
        </w:rPr>
        <w:t xml:space="preserve"> </w:t>
      </w:r>
      <w:r w:rsidRPr="00AF2B7B">
        <w:rPr>
          <w:rFonts w:cs="Sylfaen"/>
          <w:b w:val="0"/>
          <w:szCs w:val="22"/>
          <w:lang w:val="hy-AM"/>
        </w:rPr>
        <w:t xml:space="preserve">դիվանագիտական ծառայությունն օտարերկրյա  պետություններում և միջազգային կառույցներում: </w:t>
      </w:r>
    </w:p>
    <w:p w14:paraId="3171B33B" w14:textId="4A253E23" w:rsidR="00FA7A76" w:rsidRPr="00AF2B7B" w:rsidRDefault="00FA7A76" w:rsidP="00AC1E1E">
      <w:pPr>
        <w:rPr>
          <w:rFonts w:cs="Sylfaen"/>
          <w:b w:val="0"/>
          <w:szCs w:val="22"/>
          <w:lang w:val="hy-AM"/>
        </w:rPr>
      </w:pPr>
      <w:r w:rsidRPr="00AF2B7B">
        <w:rPr>
          <w:rFonts w:cs="Sylfaen"/>
          <w:b w:val="0"/>
          <w:szCs w:val="22"/>
          <w:lang w:val="hy-AM"/>
        </w:rPr>
        <w:t>ՀՀ արտաքին գործերի նախա</w:t>
      </w:r>
      <w:r w:rsidRPr="00AF2B7B">
        <w:rPr>
          <w:rFonts w:cs="Sylfaen"/>
          <w:b w:val="0"/>
          <w:szCs w:val="22"/>
          <w:lang w:val="hy-AM"/>
        </w:rPr>
        <w:softHyphen/>
        <w:t>րարու</w:t>
      </w:r>
      <w:r w:rsidRPr="00AF2B7B">
        <w:rPr>
          <w:rFonts w:cs="Sylfaen"/>
          <w:b w:val="0"/>
          <w:szCs w:val="22"/>
          <w:lang w:val="hy-AM"/>
        </w:rPr>
        <w:softHyphen/>
        <w:t>թյան գծով 2024 թվականի պետական բյուջեով նախատեսվում է հատկացնել շուրջ 1</w:t>
      </w:r>
      <w:r w:rsidR="00331CB6" w:rsidRPr="00331CB6">
        <w:rPr>
          <w:rFonts w:cs="Sylfaen"/>
          <w:b w:val="0"/>
          <w:szCs w:val="22"/>
          <w:lang w:val="hy-AM"/>
        </w:rPr>
        <w:t>7</w:t>
      </w:r>
      <w:r w:rsidRPr="00AF2B7B">
        <w:rPr>
          <w:rFonts w:cs="Sylfaen"/>
          <w:b w:val="0"/>
          <w:szCs w:val="22"/>
          <w:lang w:val="hy-AM"/>
        </w:rPr>
        <w:t>,</w:t>
      </w:r>
      <w:r w:rsidR="00331CB6" w:rsidRPr="00331CB6">
        <w:rPr>
          <w:rFonts w:cs="Sylfaen"/>
          <w:b w:val="0"/>
          <w:szCs w:val="22"/>
          <w:lang w:val="hy-AM"/>
        </w:rPr>
        <w:t>062</w:t>
      </w:r>
      <w:r w:rsidRPr="00AF2B7B">
        <w:rPr>
          <w:rFonts w:cs="Sylfaen"/>
          <w:b w:val="0"/>
          <w:szCs w:val="22"/>
          <w:lang w:val="hy-AM"/>
        </w:rPr>
        <w:t>.</w:t>
      </w:r>
      <w:r w:rsidR="00331CB6" w:rsidRPr="00331CB6">
        <w:rPr>
          <w:rFonts w:cs="Sylfaen"/>
          <w:b w:val="0"/>
          <w:szCs w:val="22"/>
          <w:lang w:val="hy-AM"/>
        </w:rPr>
        <w:t>8</w:t>
      </w:r>
      <w:r w:rsidRPr="00AF2B7B">
        <w:rPr>
          <w:rFonts w:cs="Sylfaen"/>
          <w:b w:val="0"/>
          <w:szCs w:val="22"/>
          <w:lang w:val="hy-AM"/>
        </w:rPr>
        <w:t xml:space="preserve"> մլն դրամ: Հատկացվող միջոցներն ուղղվելու են հետևյալ ծրագրերի իրականացմանը.</w:t>
      </w:r>
    </w:p>
    <w:p w14:paraId="71F59AC0" w14:textId="77777777" w:rsidR="00FA7A76" w:rsidRPr="00AF2B7B" w:rsidRDefault="00FA7A76" w:rsidP="00AC1E1E">
      <w:pPr>
        <w:rPr>
          <w:rFonts w:eastAsia="Calibri"/>
          <w:spacing w:val="-6"/>
          <w:szCs w:val="22"/>
          <w:lang w:val="hy-AM"/>
        </w:rPr>
      </w:pPr>
      <w:r w:rsidRPr="00AF2B7B">
        <w:rPr>
          <w:rFonts w:eastAsia="Calibri" w:cs="GHEA Grapalat"/>
          <w:spacing w:val="-6"/>
          <w:szCs w:val="22"/>
          <w:lang w:val="hy-AM"/>
        </w:rPr>
        <w:lastRenderedPageBreak/>
        <w:t>Միջազգային</w:t>
      </w:r>
      <w:r w:rsidRPr="00AF2B7B">
        <w:rPr>
          <w:rFonts w:eastAsia="Calibri"/>
          <w:spacing w:val="-6"/>
          <w:szCs w:val="22"/>
          <w:lang w:val="hy-AM"/>
        </w:rPr>
        <w:t xml:space="preserve"> </w:t>
      </w:r>
      <w:r w:rsidRPr="00AF2B7B">
        <w:rPr>
          <w:rFonts w:eastAsia="Calibri" w:cs="GHEA Grapalat"/>
          <w:spacing w:val="-6"/>
          <w:szCs w:val="22"/>
          <w:lang w:val="hy-AM"/>
        </w:rPr>
        <w:t>հարաբերությունների</w:t>
      </w:r>
      <w:r w:rsidRPr="00AF2B7B">
        <w:rPr>
          <w:rFonts w:eastAsia="Calibri"/>
          <w:spacing w:val="-6"/>
          <w:szCs w:val="22"/>
          <w:lang w:val="hy-AM"/>
        </w:rPr>
        <w:t xml:space="preserve"> </w:t>
      </w:r>
      <w:r w:rsidRPr="00AF2B7B">
        <w:rPr>
          <w:rFonts w:eastAsia="Calibri" w:cs="GHEA Grapalat"/>
          <w:spacing w:val="-6"/>
          <w:szCs w:val="22"/>
          <w:lang w:val="hy-AM"/>
        </w:rPr>
        <w:t>և</w:t>
      </w:r>
      <w:r w:rsidRPr="00AF2B7B">
        <w:rPr>
          <w:rFonts w:eastAsia="Calibri"/>
          <w:spacing w:val="-6"/>
          <w:szCs w:val="22"/>
          <w:lang w:val="hy-AM"/>
        </w:rPr>
        <w:t xml:space="preserve"> </w:t>
      </w:r>
      <w:r w:rsidRPr="00AF2B7B">
        <w:rPr>
          <w:rFonts w:eastAsia="Calibri" w:cs="GHEA Grapalat"/>
          <w:spacing w:val="-6"/>
          <w:szCs w:val="22"/>
          <w:lang w:val="hy-AM"/>
        </w:rPr>
        <w:t>դիվանագիտության</w:t>
      </w:r>
      <w:r w:rsidRPr="00AF2B7B">
        <w:rPr>
          <w:rFonts w:eastAsia="Calibri"/>
          <w:spacing w:val="-6"/>
          <w:szCs w:val="22"/>
          <w:lang w:val="hy-AM"/>
        </w:rPr>
        <w:t xml:space="preserve"> </w:t>
      </w:r>
      <w:r w:rsidRPr="00AF2B7B">
        <w:rPr>
          <w:rFonts w:eastAsia="Calibri" w:cs="GHEA Grapalat"/>
          <w:spacing w:val="-6"/>
          <w:szCs w:val="22"/>
          <w:lang w:val="hy-AM"/>
        </w:rPr>
        <w:t>ո</w:t>
      </w:r>
      <w:r w:rsidRPr="00AF2B7B">
        <w:rPr>
          <w:rFonts w:eastAsia="Calibri"/>
          <w:spacing w:val="-6"/>
          <w:szCs w:val="22"/>
          <w:lang w:val="hy-AM"/>
        </w:rPr>
        <w:t>լորտում մասնագետների պատրաստում և վերապատրաստում.</w:t>
      </w:r>
    </w:p>
    <w:p w14:paraId="763E9A0E" w14:textId="07FFB384" w:rsidR="00FA7A76" w:rsidRPr="00AF2B7B" w:rsidRDefault="00FA7A76" w:rsidP="00AC1E1E">
      <w:pPr>
        <w:tabs>
          <w:tab w:val="left" w:pos="1080"/>
        </w:tabs>
        <w:rPr>
          <w:b w:val="0"/>
          <w:szCs w:val="22"/>
          <w:lang w:val="hy-AM"/>
        </w:rPr>
      </w:pPr>
      <w:r w:rsidRPr="00AF2B7B">
        <w:rPr>
          <w:b w:val="0"/>
          <w:szCs w:val="22"/>
          <w:lang w:val="hy-AM"/>
        </w:rPr>
        <w:t xml:space="preserve">Ծրագրի </w:t>
      </w:r>
      <w:r w:rsidRPr="00AF2B7B">
        <w:rPr>
          <w:rFonts w:eastAsia="Calibri"/>
          <w:b w:val="0"/>
          <w:spacing w:val="-6"/>
          <w:szCs w:val="22"/>
          <w:lang w:val="hy-AM"/>
        </w:rPr>
        <w:t xml:space="preserve">նպատակն է՝ </w:t>
      </w:r>
      <w:r w:rsidRPr="00AF2B7B">
        <w:rPr>
          <w:rFonts w:eastAsia="GHEA Grapalat" w:cs="GHEA Grapalat"/>
          <w:b w:val="0"/>
          <w:szCs w:val="22"/>
          <w:lang w:val="hy-AM"/>
        </w:rPr>
        <w:t xml:space="preserve">Դիվանագիտական և պետական ծառայության արդյունավետության բարձրացում, դիվանագիտական ծառայության համալրում նոր և որակյալ մասնագետներով, պետական ծառայության, այդ թվում` դիվանագիտական ծառայողների վերապատրաստում, տեսական գիտելիքների և գործնական հմտությունների բարելավում և նրանց աշխատանքի արդյունավետության բարձրացում: </w:t>
      </w:r>
      <w:r w:rsidRPr="00AF2B7B">
        <w:rPr>
          <w:rFonts w:cs="Times Armenian"/>
          <w:b w:val="0"/>
          <w:szCs w:val="22"/>
          <w:lang w:val="hy-AM"/>
        </w:rPr>
        <w:t xml:space="preserve">ՀՀ 2024 թվականի պետական բյուջեով նախատեսվել է 314.0 </w:t>
      </w:r>
      <w:r w:rsidRPr="00AF2B7B">
        <w:rPr>
          <w:b w:val="0"/>
          <w:szCs w:val="22"/>
          <w:lang w:val="hy-AM"/>
        </w:rPr>
        <w:t>մլն դրամ</w:t>
      </w:r>
      <w:r w:rsidRPr="00AF2B7B">
        <w:rPr>
          <w:b w:val="0"/>
          <w:spacing w:val="-4"/>
          <w:szCs w:val="22"/>
          <w:lang w:val="hy-AM"/>
        </w:rPr>
        <w:t>: Հայաստանի դիվանագիտական դպրոցը նախատեսում է իրականացնել վերապատրաստման նոր ծրագրեր և ընդլայնել շահառուների շրջանակը՝ ընդգրկելով թե՛ դիվանագետներ, թե՛ պետական այլ մարմինների աշխատակիցների նոր խմբերի: Այդ ծրագրերը նպատակ ունեն բարելավել դիվանագիտական ծառայության որակը և ընդլայնել շահառուների շրջանակը:</w:t>
      </w:r>
    </w:p>
    <w:p w14:paraId="5AA8F0EA" w14:textId="77777777" w:rsidR="00FA7A76" w:rsidRPr="00AF2B7B" w:rsidRDefault="00FA7A76" w:rsidP="00AC1E1E">
      <w:pPr>
        <w:rPr>
          <w:rFonts w:cs="Sylfaen"/>
          <w:b w:val="0"/>
          <w:szCs w:val="22"/>
          <w:lang w:val="hy-AM"/>
        </w:rPr>
      </w:pPr>
      <w:r w:rsidRPr="00AF2B7B">
        <w:rPr>
          <w:rFonts w:cs="Sylfaen"/>
          <w:szCs w:val="22"/>
          <w:lang w:val="hy-AM"/>
        </w:rPr>
        <w:t>Արտաքին գործերի ոլորտում Կառավարության քաղաքականության մշակում և իրականացում.</w:t>
      </w:r>
      <w:r w:rsidRPr="00AF2B7B">
        <w:rPr>
          <w:rFonts w:cs="Sylfaen"/>
          <w:b w:val="0"/>
          <w:szCs w:val="22"/>
          <w:lang w:val="hy-AM"/>
        </w:rPr>
        <w:t xml:space="preserve"> </w:t>
      </w:r>
    </w:p>
    <w:p w14:paraId="1E2F1528" w14:textId="17F6D897" w:rsidR="00FA7A76" w:rsidRPr="00AF2B7B" w:rsidRDefault="00FA7A76" w:rsidP="00AC1E1E">
      <w:pPr>
        <w:rPr>
          <w:rFonts w:eastAsia="GHEA Grapalat" w:cs="GHEA Grapalat"/>
          <w:b w:val="0"/>
          <w:szCs w:val="22"/>
          <w:lang w:val="hy-AM"/>
        </w:rPr>
      </w:pPr>
      <w:r w:rsidRPr="00AF2B7B">
        <w:rPr>
          <w:rFonts w:cs="Sylfaen"/>
          <w:b w:val="0"/>
          <w:szCs w:val="22"/>
          <w:lang w:val="hy-AM"/>
        </w:rPr>
        <w:t>Ծրագրի նպատակն է Հայաստանի Հանրապետության ինքնիշխանության և պետական շահերի պաշտպանությունը</w:t>
      </w:r>
      <w:r w:rsidRPr="00AF2B7B">
        <w:rPr>
          <w:rFonts w:eastAsia="GHEA Grapalat" w:cs="GHEA Grapalat"/>
          <w:b w:val="0"/>
          <w:szCs w:val="22"/>
          <w:lang w:val="hy-AM"/>
        </w:rPr>
        <w:t>, միջազգային իրավունքի հիման վրա բոլոր պետությունների հետ բարիդրացիական, փոխշահավետ հարաբերությունների հաստատումը և զարգացումը, միջազգային հարաբերություններում ՀՀ շահերի և իրավունքների ներկայացումը:</w:t>
      </w:r>
      <w:r w:rsidRPr="00AF2B7B">
        <w:rPr>
          <w:rFonts w:cs="Times Armenian"/>
          <w:b w:val="0"/>
          <w:szCs w:val="22"/>
          <w:lang w:val="hy-AM"/>
        </w:rPr>
        <w:t xml:space="preserve"> ՀՀ 2024 թվականի պետական բյո</w:t>
      </w:r>
      <w:r w:rsidR="00331CB6">
        <w:rPr>
          <w:rFonts w:cs="Times Armenian"/>
          <w:b w:val="0"/>
          <w:szCs w:val="22"/>
          <w:lang w:val="hy-AM"/>
        </w:rPr>
        <w:t>ւջեով նախատեսվել է 2,7</w:t>
      </w:r>
      <w:r w:rsidR="00331CB6" w:rsidRPr="00331CB6">
        <w:rPr>
          <w:rFonts w:cs="Times Armenian"/>
          <w:b w:val="0"/>
          <w:szCs w:val="22"/>
          <w:lang w:val="hy-AM"/>
        </w:rPr>
        <w:t>51</w:t>
      </w:r>
      <w:r w:rsidRPr="00AF2B7B">
        <w:rPr>
          <w:rFonts w:cs="Times Armenian"/>
          <w:b w:val="0"/>
          <w:szCs w:val="22"/>
          <w:lang w:val="hy-AM"/>
        </w:rPr>
        <w:t>.</w:t>
      </w:r>
      <w:r w:rsidR="00331CB6" w:rsidRPr="00331CB6">
        <w:rPr>
          <w:rFonts w:cs="Times Armenian"/>
          <w:b w:val="0"/>
          <w:szCs w:val="22"/>
          <w:lang w:val="hy-AM"/>
        </w:rPr>
        <w:t>4</w:t>
      </w:r>
      <w:r w:rsidRPr="00AF2B7B">
        <w:rPr>
          <w:rFonts w:cs="Times Armenian"/>
          <w:b w:val="0"/>
          <w:szCs w:val="22"/>
          <w:lang w:val="hy-AM"/>
        </w:rPr>
        <w:t xml:space="preserve"> </w:t>
      </w:r>
      <w:r w:rsidRPr="00AF2B7B">
        <w:rPr>
          <w:b w:val="0"/>
          <w:szCs w:val="22"/>
          <w:lang w:val="hy-AM"/>
        </w:rPr>
        <w:t>մլն դրամ</w:t>
      </w:r>
      <w:r w:rsidRPr="00AF2B7B">
        <w:rPr>
          <w:b w:val="0"/>
          <w:spacing w:val="-4"/>
          <w:szCs w:val="22"/>
          <w:lang w:val="hy-AM"/>
        </w:rPr>
        <w:t>:</w:t>
      </w:r>
    </w:p>
    <w:p w14:paraId="0F4B5256" w14:textId="77777777" w:rsidR="00FA7A76" w:rsidRPr="00AF2B7B" w:rsidRDefault="00FA7A76" w:rsidP="00AC1E1E">
      <w:pPr>
        <w:rPr>
          <w:rFonts w:eastAsia="GHEA Grapalat" w:cs="GHEA Grapalat"/>
          <w:b w:val="0"/>
          <w:szCs w:val="22"/>
          <w:lang w:val="hy-AM"/>
        </w:rPr>
      </w:pPr>
      <w:r w:rsidRPr="00AF2B7B">
        <w:rPr>
          <w:rFonts w:eastAsia="GHEA Grapalat" w:cs="GHEA Grapalat"/>
          <w:b w:val="0"/>
          <w:szCs w:val="22"/>
          <w:lang w:val="hy-AM"/>
        </w:rPr>
        <w:t>Ծրագիրն ուղղված է տարածաշրջանային խաղաղության և կայունության հաստատմանը, գործընկերների հետ համագործակցության խթանմանը և հարաբերությունների կարգավորմանը:</w:t>
      </w:r>
    </w:p>
    <w:p w14:paraId="57A26690" w14:textId="77777777" w:rsidR="00FA7A76" w:rsidRPr="00AF2B7B" w:rsidRDefault="00FA7A76" w:rsidP="00AC1E1E">
      <w:pPr>
        <w:rPr>
          <w:rFonts w:eastAsia="Calibri"/>
          <w:b w:val="0"/>
          <w:spacing w:val="-6"/>
          <w:szCs w:val="22"/>
          <w:lang w:val="hy-AM"/>
        </w:rPr>
      </w:pPr>
      <w:r w:rsidRPr="00AF2B7B">
        <w:rPr>
          <w:rFonts w:eastAsia="Calibri"/>
          <w:spacing w:val="-6"/>
          <w:szCs w:val="22"/>
          <w:lang w:val="hy-AM"/>
        </w:rPr>
        <w:t xml:space="preserve">Համագործակցություն </w:t>
      </w:r>
      <w:r w:rsidRPr="00AF2B7B">
        <w:rPr>
          <w:rFonts w:eastAsia="Calibri" w:cs="GHEA Grapalat"/>
          <w:spacing w:val="-6"/>
          <w:szCs w:val="22"/>
          <w:lang w:val="hy-AM"/>
        </w:rPr>
        <w:t>միջազգային</w:t>
      </w:r>
      <w:r w:rsidRPr="00AF2B7B">
        <w:rPr>
          <w:rFonts w:eastAsia="Calibri"/>
          <w:spacing w:val="-6"/>
          <w:szCs w:val="22"/>
          <w:lang w:val="hy-AM"/>
        </w:rPr>
        <w:t xml:space="preserve"> </w:t>
      </w:r>
      <w:r w:rsidRPr="00AF2B7B">
        <w:rPr>
          <w:rFonts w:eastAsia="Calibri" w:cs="GHEA Grapalat"/>
          <w:spacing w:val="-6"/>
          <w:szCs w:val="22"/>
          <w:lang w:val="hy-AM"/>
        </w:rPr>
        <w:t>կազմակերպությունների</w:t>
      </w:r>
      <w:r w:rsidRPr="00AF2B7B">
        <w:rPr>
          <w:rFonts w:eastAsia="Calibri"/>
          <w:spacing w:val="-6"/>
          <w:szCs w:val="22"/>
          <w:lang w:val="hy-AM"/>
        </w:rPr>
        <w:t xml:space="preserve"> </w:t>
      </w:r>
      <w:r w:rsidRPr="00AF2B7B">
        <w:rPr>
          <w:rFonts w:eastAsia="Calibri" w:cs="GHEA Grapalat"/>
          <w:spacing w:val="-6"/>
          <w:szCs w:val="22"/>
          <w:lang w:val="hy-AM"/>
        </w:rPr>
        <w:t>հետ</w:t>
      </w:r>
      <w:r w:rsidRPr="00AF2B7B">
        <w:rPr>
          <w:rFonts w:eastAsia="Calibri"/>
          <w:b w:val="0"/>
          <w:spacing w:val="-6"/>
          <w:szCs w:val="22"/>
          <w:lang w:val="hy-AM"/>
        </w:rPr>
        <w:t>.</w:t>
      </w:r>
    </w:p>
    <w:p w14:paraId="0C457A6F" w14:textId="77777777" w:rsidR="00FA7A76" w:rsidRPr="00AF2B7B" w:rsidRDefault="00FA7A76" w:rsidP="00AC1E1E">
      <w:pPr>
        <w:rPr>
          <w:b w:val="0"/>
          <w:spacing w:val="-4"/>
          <w:szCs w:val="22"/>
          <w:lang w:val="hy-AM"/>
        </w:rPr>
      </w:pPr>
      <w:r w:rsidRPr="00AF2B7B">
        <w:rPr>
          <w:b w:val="0"/>
          <w:szCs w:val="22"/>
          <w:lang w:val="hy-AM"/>
        </w:rPr>
        <w:t xml:space="preserve">Ծրագրի </w:t>
      </w:r>
      <w:r w:rsidRPr="00AF2B7B">
        <w:rPr>
          <w:rFonts w:eastAsia="Calibri"/>
          <w:b w:val="0"/>
          <w:spacing w:val="-6"/>
          <w:szCs w:val="22"/>
          <w:lang w:val="hy-AM"/>
        </w:rPr>
        <w:t>նպատակն է միջազգային կազմակերպությունների հետ և դրանց շրջանակներում բնականոն փոխհարաբերությունների ու արդյունավետ համագործակցության ապահովում և ընդլայնում:</w:t>
      </w:r>
    </w:p>
    <w:p w14:paraId="607698D0" w14:textId="2AF92A63" w:rsidR="00FA7A76" w:rsidRPr="00AF2B7B" w:rsidRDefault="00FA7A76" w:rsidP="00AC1E1E">
      <w:pPr>
        <w:rPr>
          <w:rFonts w:eastAsia="Calibri"/>
          <w:b w:val="0"/>
          <w:spacing w:val="-6"/>
          <w:szCs w:val="22"/>
          <w:lang w:val="hy-AM"/>
        </w:rPr>
      </w:pPr>
      <w:r w:rsidRPr="00AF2B7B">
        <w:rPr>
          <w:rFonts w:eastAsia="GHEA Grapalat" w:cs="GHEA Grapalat"/>
          <w:b w:val="0"/>
          <w:szCs w:val="22"/>
          <w:lang w:val="hy-AM"/>
        </w:rPr>
        <w:t>Ծրագիրն ուղղված է միջազգային կազմակերպությունների աշխատանքներին ՀՀ մասնակցության, երկրում նրանց կողմից տարբեր ծրագրերի իրականացման ապահովմանը և միջազգային հարաբերություններում</w:t>
      </w:r>
      <w:r w:rsidR="00C63261" w:rsidRPr="00AF2B7B">
        <w:rPr>
          <w:rFonts w:eastAsia="GHEA Grapalat" w:cs="GHEA Grapalat"/>
          <w:b w:val="0"/>
          <w:szCs w:val="22"/>
          <w:lang w:val="hy-AM"/>
        </w:rPr>
        <w:t xml:space="preserve"> </w:t>
      </w:r>
      <w:r w:rsidRPr="00AF2B7B">
        <w:rPr>
          <w:rFonts w:eastAsia="GHEA Grapalat" w:cs="GHEA Grapalat"/>
          <w:b w:val="0"/>
          <w:szCs w:val="22"/>
          <w:lang w:val="hy-AM"/>
        </w:rPr>
        <w:t xml:space="preserve">ՀՀ առաջնահերթությունների սպասարկմանը։ </w:t>
      </w:r>
      <w:r w:rsidR="00C63261" w:rsidRPr="00AF2B7B">
        <w:rPr>
          <w:rFonts w:eastAsia="GHEA Grapalat" w:cs="GHEA Grapalat"/>
          <w:b w:val="0"/>
          <w:szCs w:val="22"/>
          <w:lang w:val="hy-AM"/>
        </w:rPr>
        <w:t>Հայաստան</w:t>
      </w:r>
      <w:r w:rsidRPr="00AF2B7B">
        <w:rPr>
          <w:rFonts w:eastAsia="GHEA Grapalat" w:cs="GHEA Grapalat"/>
          <w:b w:val="0"/>
          <w:szCs w:val="22"/>
          <w:lang w:val="hy-AM"/>
        </w:rPr>
        <w:t>ն անդամակցում է 110 միջազգային կազմակերպության, այդ թվում՝ մասնագիտացված մարմինների, ծրագրերի, կոնվենցիաների</w:t>
      </w:r>
      <w:r w:rsidRPr="00AF2B7B">
        <w:rPr>
          <w:b w:val="0"/>
          <w:szCs w:val="22"/>
          <w:lang w:val="hy-AM" w:eastAsia="en-US"/>
        </w:rPr>
        <w:t>։</w:t>
      </w:r>
      <w:r w:rsidRPr="00AF2B7B">
        <w:rPr>
          <w:rFonts w:cs="Times Armenian"/>
          <w:b w:val="0"/>
          <w:szCs w:val="22"/>
          <w:lang w:val="hy-AM"/>
        </w:rPr>
        <w:t xml:space="preserve"> ՀՀ 2024 թվականի պետական բ</w:t>
      </w:r>
      <w:r w:rsidR="00331CB6">
        <w:rPr>
          <w:rFonts w:cs="Times Armenian"/>
          <w:b w:val="0"/>
          <w:szCs w:val="22"/>
          <w:lang w:val="hy-AM"/>
        </w:rPr>
        <w:t>յուջեով նախատեսվել է 1,</w:t>
      </w:r>
      <w:r w:rsidR="00331CB6" w:rsidRPr="00485B2C">
        <w:rPr>
          <w:rFonts w:cs="Times Armenian"/>
          <w:b w:val="0"/>
          <w:szCs w:val="22"/>
          <w:lang w:val="hy-AM"/>
        </w:rPr>
        <w:t>827</w:t>
      </w:r>
      <w:r w:rsidRPr="00AF2B7B">
        <w:rPr>
          <w:rFonts w:cs="Times Armenian"/>
          <w:b w:val="0"/>
          <w:szCs w:val="22"/>
          <w:lang w:val="hy-AM"/>
        </w:rPr>
        <w:t>.</w:t>
      </w:r>
      <w:r w:rsidR="00331CB6" w:rsidRPr="00485B2C">
        <w:rPr>
          <w:rFonts w:cs="Times Armenian"/>
          <w:b w:val="0"/>
          <w:szCs w:val="22"/>
          <w:lang w:val="hy-AM"/>
        </w:rPr>
        <w:t>9</w:t>
      </w:r>
      <w:r w:rsidRPr="00AF2B7B">
        <w:rPr>
          <w:rFonts w:cs="Times Armenian"/>
          <w:b w:val="0"/>
          <w:szCs w:val="22"/>
          <w:lang w:val="hy-AM"/>
        </w:rPr>
        <w:t xml:space="preserve"> </w:t>
      </w:r>
      <w:r w:rsidRPr="00AF2B7B">
        <w:rPr>
          <w:b w:val="0"/>
          <w:szCs w:val="22"/>
          <w:lang w:val="hy-AM"/>
        </w:rPr>
        <w:t>մլն դրամ</w:t>
      </w:r>
      <w:r w:rsidRPr="00AF2B7B">
        <w:rPr>
          <w:b w:val="0"/>
          <w:spacing w:val="-4"/>
          <w:szCs w:val="22"/>
          <w:lang w:val="hy-AM"/>
        </w:rPr>
        <w:t>:</w:t>
      </w:r>
    </w:p>
    <w:p w14:paraId="40D14F03" w14:textId="77777777" w:rsidR="00FA7A76" w:rsidRPr="00AF2B7B" w:rsidRDefault="00FA7A76" w:rsidP="00AC1E1E">
      <w:pPr>
        <w:rPr>
          <w:rFonts w:eastAsia="Calibri" w:cs="GHEA Grapalat"/>
          <w:spacing w:val="-6"/>
          <w:szCs w:val="22"/>
          <w:lang w:val="hy-AM"/>
        </w:rPr>
      </w:pPr>
      <w:r w:rsidRPr="00AF2B7B">
        <w:rPr>
          <w:rFonts w:eastAsia="Calibri" w:cs="GHEA Grapalat"/>
          <w:spacing w:val="-6"/>
          <w:szCs w:val="22"/>
          <w:lang w:val="hy-AM"/>
        </w:rPr>
        <w:t>Օտարերկրյա</w:t>
      </w:r>
      <w:r w:rsidRPr="00AF2B7B">
        <w:rPr>
          <w:rFonts w:eastAsia="Calibri"/>
          <w:spacing w:val="-6"/>
          <w:szCs w:val="22"/>
          <w:lang w:val="hy-AM"/>
        </w:rPr>
        <w:t xml:space="preserve"> </w:t>
      </w:r>
      <w:r w:rsidRPr="00AF2B7B">
        <w:rPr>
          <w:rFonts w:eastAsia="Calibri" w:cs="GHEA Grapalat"/>
          <w:spacing w:val="-6"/>
          <w:szCs w:val="22"/>
          <w:lang w:val="hy-AM"/>
        </w:rPr>
        <w:t>պետություններում</w:t>
      </w:r>
      <w:r w:rsidRPr="00AF2B7B">
        <w:rPr>
          <w:rFonts w:eastAsia="Calibri"/>
          <w:spacing w:val="-6"/>
          <w:szCs w:val="22"/>
          <w:lang w:val="hy-AM"/>
        </w:rPr>
        <w:t xml:space="preserve"> </w:t>
      </w:r>
      <w:r w:rsidRPr="00AF2B7B">
        <w:rPr>
          <w:rFonts w:eastAsia="Calibri" w:cs="GHEA Grapalat"/>
          <w:spacing w:val="-6"/>
          <w:szCs w:val="22"/>
          <w:lang w:val="hy-AM"/>
        </w:rPr>
        <w:t>ՀՀ</w:t>
      </w:r>
      <w:r w:rsidRPr="00AF2B7B">
        <w:rPr>
          <w:rFonts w:eastAsia="Calibri"/>
          <w:spacing w:val="-6"/>
          <w:szCs w:val="22"/>
          <w:lang w:val="hy-AM"/>
        </w:rPr>
        <w:t xml:space="preserve"> </w:t>
      </w:r>
      <w:r w:rsidRPr="00AF2B7B">
        <w:rPr>
          <w:rFonts w:eastAsia="Calibri" w:cs="GHEA Grapalat"/>
          <w:spacing w:val="-6"/>
          <w:szCs w:val="22"/>
          <w:lang w:val="hy-AM"/>
        </w:rPr>
        <w:t>դիվանագիտական</w:t>
      </w:r>
      <w:r w:rsidRPr="00AF2B7B">
        <w:rPr>
          <w:rFonts w:eastAsia="Calibri"/>
          <w:spacing w:val="-6"/>
          <w:szCs w:val="22"/>
          <w:lang w:val="hy-AM"/>
        </w:rPr>
        <w:t xml:space="preserve"> </w:t>
      </w:r>
      <w:r w:rsidRPr="00AF2B7B">
        <w:rPr>
          <w:rFonts w:eastAsia="Calibri" w:cs="GHEA Grapalat"/>
          <w:spacing w:val="-6"/>
          <w:szCs w:val="22"/>
          <w:lang w:val="hy-AM"/>
        </w:rPr>
        <w:t>ծառայության</w:t>
      </w:r>
      <w:r w:rsidRPr="00AF2B7B">
        <w:rPr>
          <w:rFonts w:eastAsia="Calibri"/>
          <w:spacing w:val="-6"/>
          <w:szCs w:val="22"/>
          <w:lang w:val="hy-AM"/>
        </w:rPr>
        <w:t xml:space="preserve"> </w:t>
      </w:r>
      <w:r w:rsidRPr="00AF2B7B">
        <w:rPr>
          <w:rFonts w:eastAsia="Calibri" w:cs="GHEA Grapalat"/>
          <w:spacing w:val="-6"/>
          <w:szCs w:val="22"/>
          <w:lang w:val="hy-AM"/>
        </w:rPr>
        <w:t>մարմինների</w:t>
      </w:r>
      <w:r w:rsidRPr="00AF2B7B">
        <w:rPr>
          <w:rFonts w:eastAsia="Calibri"/>
          <w:spacing w:val="-6"/>
          <w:szCs w:val="22"/>
          <w:lang w:val="hy-AM"/>
        </w:rPr>
        <w:t xml:space="preserve"> </w:t>
      </w:r>
      <w:r w:rsidRPr="00AF2B7B">
        <w:rPr>
          <w:rFonts w:eastAsia="Calibri" w:cs="GHEA Grapalat"/>
          <w:spacing w:val="-6"/>
          <w:szCs w:val="22"/>
          <w:lang w:val="hy-AM"/>
        </w:rPr>
        <w:t>գործունեության</w:t>
      </w:r>
      <w:r w:rsidRPr="00AF2B7B">
        <w:rPr>
          <w:rFonts w:eastAsia="Calibri"/>
          <w:spacing w:val="-6"/>
          <w:szCs w:val="22"/>
          <w:lang w:val="hy-AM"/>
        </w:rPr>
        <w:t xml:space="preserve"> </w:t>
      </w:r>
      <w:r w:rsidRPr="00AF2B7B">
        <w:rPr>
          <w:rFonts w:eastAsia="Calibri" w:cs="GHEA Grapalat"/>
          <w:spacing w:val="-6"/>
          <w:szCs w:val="22"/>
          <w:lang w:val="hy-AM"/>
        </w:rPr>
        <w:t>կազմակերպում</w:t>
      </w:r>
      <w:r w:rsidRPr="00AF2B7B">
        <w:rPr>
          <w:rFonts w:eastAsia="Calibri"/>
          <w:spacing w:val="-6"/>
          <w:szCs w:val="22"/>
          <w:lang w:val="hy-AM"/>
        </w:rPr>
        <w:t xml:space="preserve"> </w:t>
      </w:r>
      <w:r w:rsidRPr="00AF2B7B">
        <w:rPr>
          <w:rFonts w:eastAsia="Calibri" w:cs="GHEA Grapalat"/>
          <w:spacing w:val="-6"/>
          <w:szCs w:val="22"/>
          <w:lang w:val="hy-AM"/>
        </w:rPr>
        <w:t>և</w:t>
      </w:r>
      <w:r w:rsidRPr="00AF2B7B">
        <w:rPr>
          <w:rFonts w:eastAsia="Calibri"/>
          <w:spacing w:val="-6"/>
          <w:szCs w:val="22"/>
          <w:lang w:val="hy-AM"/>
        </w:rPr>
        <w:t xml:space="preserve"> </w:t>
      </w:r>
      <w:r w:rsidRPr="00AF2B7B">
        <w:rPr>
          <w:rFonts w:eastAsia="Calibri" w:cs="GHEA Grapalat"/>
          <w:spacing w:val="-6"/>
          <w:szCs w:val="22"/>
          <w:lang w:val="hy-AM"/>
        </w:rPr>
        <w:t>իրականացում.</w:t>
      </w:r>
    </w:p>
    <w:p w14:paraId="38D0EBB3" w14:textId="77777777" w:rsidR="00FA7A76" w:rsidRPr="00AF2B7B" w:rsidRDefault="00FA7A76" w:rsidP="00AC1E1E">
      <w:pPr>
        <w:rPr>
          <w:rFonts w:eastAsia="GHEA Grapalat" w:cs="GHEA Grapalat"/>
          <w:b w:val="0"/>
          <w:szCs w:val="22"/>
          <w:lang w:val="hy-AM"/>
        </w:rPr>
      </w:pPr>
      <w:r w:rsidRPr="00AF2B7B">
        <w:rPr>
          <w:b w:val="0"/>
          <w:szCs w:val="22"/>
          <w:lang w:val="hy-AM"/>
        </w:rPr>
        <w:t xml:space="preserve">Ծրագրի </w:t>
      </w:r>
      <w:r w:rsidRPr="00AF2B7B">
        <w:rPr>
          <w:rFonts w:eastAsia="Calibri"/>
          <w:b w:val="0"/>
          <w:spacing w:val="-6"/>
          <w:szCs w:val="22"/>
          <w:lang w:val="hy-AM"/>
        </w:rPr>
        <w:t xml:space="preserve">նպատակն է </w:t>
      </w:r>
      <w:r w:rsidR="00564C40" w:rsidRPr="00AF2B7B">
        <w:rPr>
          <w:rFonts w:eastAsia="GHEA Grapalat" w:cs="GHEA Grapalat"/>
          <w:b w:val="0"/>
          <w:szCs w:val="22"/>
          <w:lang w:val="hy-AM"/>
        </w:rPr>
        <w:t>ե</w:t>
      </w:r>
      <w:r w:rsidRPr="00AF2B7B">
        <w:rPr>
          <w:rFonts w:eastAsia="GHEA Grapalat" w:cs="GHEA Grapalat"/>
          <w:b w:val="0"/>
          <w:szCs w:val="22"/>
          <w:lang w:val="hy-AM"/>
        </w:rPr>
        <w:t>րկկողմ և բազմակողմ միջազգային հարաբերություններում ՀՀ ներկայացում, օտարերկրյա պետություններում ՀՀ քաղաքացիների և իրավաբանական անձանց շահերի պաշտպանություն:</w:t>
      </w:r>
    </w:p>
    <w:p w14:paraId="41EF020D" w14:textId="35EF3D2A" w:rsidR="00FA7A76" w:rsidRPr="00AF2B7B" w:rsidRDefault="00FA7A76" w:rsidP="00AC1E1E">
      <w:pPr>
        <w:rPr>
          <w:rFonts w:eastAsia="Calibri"/>
          <w:b w:val="0"/>
          <w:spacing w:val="-6"/>
          <w:szCs w:val="22"/>
          <w:lang w:val="hy-AM"/>
        </w:rPr>
      </w:pPr>
      <w:r w:rsidRPr="00AF2B7B">
        <w:rPr>
          <w:rFonts w:eastAsia="GHEA Grapalat" w:cs="GHEA Grapalat"/>
          <w:b w:val="0"/>
          <w:szCs w:val="22"/>
          <w:lang w:val="hy-AM"/>
        </w:rPr>
        <w:lastRenderedPageBreak/>
        <w:t>1991 թվականից ի վեր Հայաստանի Հանրապետությունը դիվանագիտական հարաբերություններ է հաստատել 179 պետության հետ, անդամակցում է 110 միջազգային կազմակերպության, այդ թվում՝ մասնագիտացված մարմինների, ծրագրերի, կոնվենցիաների և միջազգային հանրության կողմից ընկալվում է որպես կանխատեսելի և հուսալի գործընկեր: Արտերկրում ՀՀ-ն ունի 43 ռեզիդենտ դեսպան, ովքեր հավատարմագրված են ընդհանուր առմամբ 90 երկրում։ ՀՀ մշտական ներկայացուցիչներ են նշանակված 19 միջազգային կազմակերպություններում, արտերկրում գործում են 10 ՀՀ գլխավոր հյուպատոսություն, 2 հյուպատոսական գրասենյակ  և 59 պատվավոր հյուպատոս: Ծրագիրն ուղղված է միջազգային ասպարեզում ՀՀ շահերի պաշտպանությանը և դիրքորոշումների առաջ մղմանը:</w:t>
      </w:r>
      <w:r w:rsidRPr="00AF2B7B">
        <w:rPr>
          <w:rFonts w:cs="Times Armenian"/>
          <w:b w:val="0"/>
          <w:szCs w:val="22"/>
          <w:lang w:val="hy-AM"/>
        </w:rPr>
        <w:t xml:space="preserve"> ՀՀ 2024 թվականի պետական բյ</w:t>
      </w:r>
      <w:r w:rsidR="00331CB6">
        <w:rPr>
          <w:rFonts w:cs="Times Armenian"/>
          <w:b w:val="0"/>
          <w:szCs w:val="22"/>
          <w:lang w:val="hy-AM"/>
        </w:rPr>
        <w:t>ուջեով նախատեսվել է 11,982</w:t>
      </w:r>
      <w:r w:rsidRPr="00AF2B7B">
        <w:rPr>
          <w:rFonts w:cs="Times Armenian"/>
          <w:b w:val="0"/>
          <w:szCs w:val="22"/>
          <w:lang w:val="hy-AM"/>
        </w:rPr>
        <w:t>.</w:t>
      </w:r>
      <w:r w:rsidR="00331CB6" w:rsidRPr="00A20C0E">
        <w:rPr>
          <w:rFonts w:cs="Times Armenian"/>
          <w:b w:val="0"/>
          <w:szCs w:val="22"/>
          <w:lang w:val="hy-AM"/>
        </w:rPr>
        <w:t>5</w:t>
      </w:r>
      <w:r w:rsidRPr="00AF2B7B">
        <w:rPr>
          <w:rFonts w:cs="Times Armenian"/>
          <w:b w:val="0"/>
          <w:szCs w:val="22"/>
          <w:lang w:val="hy-AM"/>
        </w:rPr>
        <w:t xml:space="preserve"> </w:t>
      </w:r>
      <w:r w:rsidRPr="00AF2B7B">
        <w:rPr>
          <w:b w:val="0"/>
          <w:szCs w:val="22"/>
          <w:lang w:val="hy-AM"/>
        </w:rPr>
        <w:t>մլն դրամ</w:t>
      </w:r>
      <w:r w:rsidRPr="00AF2B7B">
        <w:rPr>
          <w:b w:val="0"/>
          <w:spacing w:val="-4"/>
          <w:szCs w:val="22"/>
          <w:lang w:val="hy-AM"/>
        </w:rPr>
        <w:t>:</w:t>
      </w:r>
    </w:p>
    <w:p w14:paraId="092E8644" w14:textId="77777777" w:rsidR="00FA7A76" w:rsidRPr="00AF2B7B" w:rsidRDefault="00FA7A76" w:rsidP="00AC1E1E">
      <w:pPr>
        <w:rPr>
          <w:rFonts w:eastAsia="Calibri" w:cs="GHEA Grapalat"/>
          <w:spacing w:val="-6"/>
          <w:szCs w:val="22"/>
          <w:lang w:val="hy-AM"/>
        </w:rPr>
      </w:pPr>
      <w:r w:rsidRPr="00AF2B7B">
        <w:rPr>
          <w:rFonts w:eastAsia="Calibri" w:cs="GHEA Grapalat"/>
          <w:spacing w:val="-6"/>
          <w:szCs w:val="22"/>
          <w:lang w:val="hy-AM"/>
        </w:rPr>
        <w:t>Հայաստանի Հանրապետությունում և օտարերկրյա պետություններում արարողակարգային միջոցառումների իրականացում.</w:t>
      </w:r>
    </w:p>
    <w:p w14:paraId="58E19480" w14:textId="6657EA12" w:rsidR="00FA7A76" w:rsidRPr="00AF2B7B" w:rsidRDefault="00FA7A76" w:rsidP="00AC1E1E">
      <w:pPr>
        <w:rPr>
          <w:rFonts w:eastAsia="GHEA Grapalat" w:cs="GHEA Grapalat"/>
          <w:b w:val="0"/>
          <w:szCs w:val="22"/>
          <w:lang w:val="hy-AM"/>
        </w:rPr>
      </w:pPr>
      <w:r w:rsidRPr="00AF2B7B">
        <w:rPr>
          <w:rFonts w:eastAsia="GHEA Grapalat" w:cs="GHEA Grapalat"/>
          <w:b w:val="0"/>
          <w:szCs w:val="22"/>
          <w:lang w:val="hy-AM"/>
        </w:rPr>
        <w:t>Ծրագրի նպատակն է` Հայաստանի Հանրապետությունում և ՀՀ միջազգային հարաբերություններում պետական արարողակարգային կանոնների միասնական կիրառում, միջազգային արարողակարգային չափանիշներին համապատասխան միջոցառումների ընթացակարգերի և ծիսակարգերի կազմակերպում և իրականացում: ՀՀ 2024 թվականի պետական բյուջեով նախատեսվել է 187.0 մլն դրամ:</w:t>
      </w:r>
    </w:p>
    <w:p w14:paraId="610ADC5F" w14:textId="77777777" w:rsidR="00787739" w:rsidRPr="007955BB" w:rsidRDefault="00787739" w:rsidP="00AC1E1E">
      <w:pPr>
        <w:pStyle w:val="Heading1"/>
      </w:pPr>
      <w:bookmarkStart w:id="316" w:name="_Toc153184504"/>
      <w:r w:rsidRPr="007955BB">
        <w:t>ՀՀ պաշտպանության նախարարություն</w:t>
      </w:r>
      <w:bookmarkEnd w:id="316"/>
      <w:r w:rsidR="00AC3502" w:rsidRPr="007955BB">
        <w:t xml:space="preserve"> </w:t>
      </w:r>
    </w:p>
    <w:p w14:paraId="78B51B99" w14:textId="0E7B6230" w:rsidR="001F52FB" w:rsidRPr="006B6E50" w:rsidRDefault="001F52FB" w:rsidP="00AC1E1E">
      <w:pPr>
        <w:tabs>
          <w:tab w:val="left" w:pos="1080"/>
        </w:tabs>
        <w:rPr>
          <w:b w:val="0"/>
          <w:szCs w:val="22"/>
          <w:lang w:val="af-ZA"/>
        </w:rPr>
      </w:pPr>
      <w:r w:rsidRPr="00FC442F">
        <w:rPr>
          <w:b w:val="0"/>
          <w:szCs w:val="22"/>
          <w:lang w:val="hy-AM"/>
        </w:rPr>
        <w:t>ՀՀ ՊՆ կողմից 202</w:t>
      </w:r>
      <w:r w:rsidRPr="00FC442F">
        <w:rPr>
          <w:b w:val="0"/>
          <w:szCs w:val="22"/>
          <w:lang w:val="af-ZA"/>
        </w:rPr>
        <w:t>4</w:t>
      </w:r>
      <w:r w:rsidRPr="00FC442F">
        <w:rPr>
          <w:b w:val="0"/>
          <w:szCs w:val="22"/>
          <w:lang w:val="hy-AM"/>
        </w:rPr>
        <w:t xml:space="preserve"> թվականին</w:t>
      </w:r>
      <w:r w:rsidRPr="00FC442F">
        <w:rPr>
          <w:b w:val="0"/>
          <w:szCs w:val="22"/>
          <w:lang w:val="af-ZA"/>
        </w:rPr>
        <w:t xml:space="preserve"> </w:t>
      </w:r>
      <w:r w:rsidRPr="00FC442F">
        <w:rPr>
          <w:b w:val="0"/>
          <w:szCs w:val="22"/>
          <w:lang w:val="hy-AM"/>
        </w:rPr>
        <w:t>ծախսերը</w:t>
      </w:r>
      <w:r w:rsidRPr="00FC442F">
        <w:rPr>
          <w:b w:val="0"/>
          <w:szCs w:val="22"/>
          <w:lang w:val="af-ZA"/>
        </w:rPr>
        <w:t xml:space="preserve"> </w:t>
      </w:r>
      <w:r w:rsidRPr="00FC442F">
        <w:rPr>
          <w:b w:val="0"/>
          <w:szCs w:val="22"/>
          <w:lang w:val="hy-AM"/>
        </w:rPr>
        <w:t>նախատեսվում</w:t>
      </w:r>
      <w:r w:rsidRPr="00FC442F">
        <w:rPr>
          <w:b w:val="0"/>
          <w:szCs w:val="22"/>
          <w:lang w:val="af-ZA"/>
        </w:rPr>
        <w:t xml:space="preserve"> </w:t>
      </w:r>
      <w:r w:rsidRPr="00FC442F">
        <w:rPr>
          <w:b w:val="0"/>
          <w:szCs w:val="22"/>
          <w:lang w:val="hy-AM"/>
        </w:rPr>
        <w:t>է</w:t>
      </w:r>
      <w:r w:rsidRPr="00FC442F">
        <w:rPr>
          <w:b w:val="0"/>
          <w:szCs w:val="22"/>
          <w:lang w:val="af-ZA"/>
        </w:rPr>
        <w:t xml:space="preserve"> </w:t>
      </w:r>
      <w:r w:rsidRPr="00FC442F">
        <w:rPr>
          <w:b w:val="0"/>
          <w:szCs w:val="22"/>
          <w:lang w:val="hy-AM"/>
        </w:rPr>
        <w:t>իրականացնել</w:t>
      </w:r>
      <w:r w:rsidRPr="00FC442F">
        <w:rPr>
          <w:b w:val="0"/>
          <w:szCs w:val="22"/>
          <w:lang w:val="af-ZA"/>
        </w:rPr>
        <w:t xml:space="preserve"> </w:t>
      </w:r>
      <w:r w:rsidRPr="00FC442F">
        <w:rPr>
          <w:b w:val="0"/>
          <w:szCs w:val="22"/>
          <w:lang w:val="hy-AM"/>
        </w:rPr>
        <w:t>հինգ ծրագրերի</w:t>
      </w:r>
      <w:r w:rsidRPr="00FC442F">
        <w:rPr>
          <w:b w:val="0"/>
          <w:szCs w:val="22"/>
          <w:lang w:val="af-ZA"/>
        </w:rPr>
        <w:t xml:space="preserve"> </w:t>
      </w:r>
      <w:r w:rsidRPr="00FC442F">
        <w:rPr>
          <w:b w:val="0"/>
          <w:szCs w:val="22"/>
          <w:lang w:val="hy-AM"/>
        </w:rPr>
        <w:t xml:space="preserve">շրջանակներում, որոնց գծով պետական բյուջեով նախատեսվում է </w:t>
      </w:r>
      <w:r w:rsidRPr="00FC442F">
        <w:rPr>
          <w:b w:val="0"/>
          <w:szCs w:val="22"/>
          <w:lang w:val="af-ZA"/>
        </w:rPr>
        <w:t>5</w:t>
      </w:r>
      <w:r w:rsidR="00796C0B">
        <w:rPr>
          <w:b w:val="0"/>
          <w:szCs w:val="22"/>
          <w:lang w:val="af-ZA"/>
        </w:rPr>
        <w:t>53</w:t>
      </w:r>
      <w:r w:rsidRPr="00FC442F">
        <w:rPr>
          <w:b w:val="0"/>
          <w:szCs w:val="22"/>
          <w:lang w:val="hy-AM"/>
        </w:rPr>
        <w:t>,</w:t>
      </w:r>
      <w:r w:rsidR="00796C0B" w:rsidRPr="00796C0B">
        <w:rPr>
          <w:b w:val="0"/>
          <w:szCs w:val="22"/>
          <w:lang w:val="hy-AM"/>
        </w:rPr>
        <w:t>898</w:t>
      </w:r>
      <w:r w:rsidRPr="00FC442F">
        <w:rPr>
          <w:b w:val="0"/>
          <w:szCs w:val="22"/>
          <w:lang w:val="hy-AM"/>
        </w:rPr>
        <w:t>.</w:t>
      </w:r>
      <w:r w:rsidR="00796C0B" w:rsidRPr="00796C0B">
        <w:rPr>
          <w:b w:val="0"/>
          <w:szCs w:val="22"/>
          <w:lang w:val="hy-AM"/>
        </w:rPr>
        <w:t>5</w:t>
      </w:r>
      <w:r w:rsidRPr="00FC442F">
        <w:rPr>
          <w:b w:val="0"/>
          <w:szCs w:val="22"/>
          <w:lang w:val="hy-AM"/>
        </w:rPr>
        <w:t xml:space="preserve"> մլն</w:t>
      </w:r>
      <w:r w:rsidRPr="00FC442F">
        <w:rPr>
          <w:b w:val="0"/>
          <w:szCs w:val="22"/>
          <w:lang w:val="af-ZA"/>
        </w:rPr>
        <w:t xml:space="preserve"> </w:t>
      </w:r>
      <w:r w:rsidRPr="00FC442F">
        <w:rPr>
          <w:b w:val="0"/>
          <w:szCs w:val="22"/>
          <w:lang w:val="hy-AM"/>
        </w:rPr>
        <w:t>դրամ,</w:t>
      </w:r>
      <w:r w:rsidRPr="00FC442F">
        <w:rPr>
          <w:b w:val="0"/>
          <w:szCs w:val="22"/>
          <w:lang w:val="af-ZA"/>
        </w:rPr>
        <w:t xml:space="preserve"> </w:t>
      </w:r>
      <w:r w:rsidRPr="00FC442F">
        <w:rPr>
          <w:b w:val="0"/>
          <w:szCs w:val="22"/>
          <w:lang w:val="hy-AM"/>
        </w:rPr>
        <w:t>որից ընթացիկ ծախսերի գծով` 2</w:t>
      </w:r>
      <w:r>
        <w:rPr>
          <w:b w:val="0"/>
          <w:szCs w:val="22"/>
          <w:lang w:val="af-ZA"/>
        </w:rPr>
        <w:t>62</w:t>
      </w:r>
      <w:r w:rsidRPr="00FC442F">
        <w:rPr>
          <w:b w:val="0"/>
          <w:szCs w:val="22"/>
          <w:lang w:val="hy-AM"/>
        </w:rPr>
        <w:t>,</w:t>
      </w:r>
      <w:r w:rsidRPr="00FC442F">
        <w:rPr>
          <w:b w:val="0"/>
          <w:szCs w:val="22"/>
          <w:lang w:val="af-ZA"/>
        </w:rPr>
        <w:t>5</w:t>
      </w:r>
      <w:r w:rsidR="00796C0B">
        <w:rPr>
          <w:b w:val="0"/>
          <w:szCs w:val="22"/>
          <w:lang w:val="af-ZA"/>
        </w:rPr>
        <w:t>67</w:t>
      </w:r>
      <w:r w:rsidRPr="00FC442F">
        <w:rPr>
          <w:b w:val="0"/>
          <w:szCs w:val="22"/>
          <w:lang w:val="hy-AM"/>
        </w:rPr>
        <w:t>.</w:t>
      </w:r>
      <w:r w:rsidR="00796C0B" w:rsidRPr="00796C0B">
        <w:rPr>
          <w:b w:val="0"/>
          <w:szCs w:val="22"/>
          <w:lang w:val="hy-AM"/>
        </w:rPr>
        <w:t>3</w:t>
      </w:r>
      <w:r w:rsidRPr="00FC442F">
        <w:rPr>
          <w:b w:val="0"/>
          <w:szCs w:val="22"/>
          <w:lang w:val="hy-AM"/>
        </w:rPr>
        <w:t xml:space="preserve"> մլն</w:t>
      </w:r>
      <w:r w:rsidRPr="00FC442F">
        <w:rPr>
          <w:b w:val="0"/>
          <w:szCs w:val="22"/>
          <w:lang w:val="af-ZA"/>
        </w:rPr>
        <w:t xml:space="preserve"> </w:t>
      </w:r>
      <w:r w:rsidRPr="00FC442F">
        <w:rPr>
          <w:b w:val="0"/>
          <w:szCs w:val="22"/>
          <w:lang w:val="hy-AM"/>
        </w:rPr>
        <w:t xml:space="preserve">դրամ կամ </w:t>
      </w:r>
      <w:r w:rsidRPr="00993D5B">
        <w:rPr>
          <w:b w:val="0"/>
          <w:color w:val="000000" w:themeColor="text1"/>
          <w:szCs w:val="22"/>
          <w:lang w:val="af-ZA"/>
        </w:rPr>
        <w:t>47</w:t>
      </w:r>
      <w:r w:rsidRPr="00993D5B">
        <w:rPr>
          <w:b w:val="0"/>
          <w:color w:val="000000" w:themeColor="text1"/>
          <w:szCs w:val="22"/>
          <w:lang w:val="hy-AM"/>
        </w:rPr>
        <w:t>.</w:t>
      </w:r>
      <w:r w:rsidR="00796C0B" w:rsidRPr="00796C0B">
        <w:rPr>
          <w:b w:val="0"/>
          <w:color w:val="000000" w:themeColor="text1"/>
          <w:szCs w:val="22"/>
          <w:lang w:val="hy-AM"/>
        </w:rPr>
        <w:t>4</w:t>
      </w:r>
      <w:r w:rsidRPr="00993D5B">
        <w:rPr>
          <w:b w:val="0"/>
          <w:color w:val="000000" w:themeColor="text1"/>
          <w:szCs w:val="22"/>
          <w:lang w:val="hy-AM"/>
        </w:rPr>
        <w:t xml:space="preserve">%, </w:t>
      </w:r>
      <w:r w:rsidRPr="00993D5B">
        <w:rPr>
          <w:b w:val="0"/>
          <w:szCs w:val="22"/>
          <w:lang w:val="hy-AM"/>
        </w:rPr>
        <w:t>իսկ</w:t>
      </w:r>
      <w:r w:rsidRPr="00FC442F">
        <w:rPr>
          <w:b w:val="0"/>
          <w:szCs w:val="22"/>
          <w:lang w:val="hy-AM"/>
        </w:rPr>
        <w:t xml:space="preserve"> ոչ ֆինանսական </w:t>
      </w:r>
      <w:r w:rsidRPr="006B6E50">
        <w:rPr>
          <w:b w:val="0"/>
          <w:szCs w:val="22"/>
          <w:lang w:val="hy-AM"/>
        </w:rPr>
        <w:t xml:space="preserve">ակտիվների գծով` </w:t>
      </w:r>
      <w:r w:rsidR="00796C0B">
        <w:rPr>
          <w:b w:val="0"/>
          <w:szCs w:val="22"/>
          <w:lang w:val="af-ZA"/>
        </w:rPr>
        <w:t>291</w:t>
      </w:r>
      <w:r w:rsidRPr="006B6E50">
        <w:rPr>
          <w:b w:val="0"/>
          <w:szCs w:val="22"/>
          <w:lang w:val="hy-AM"/>
        </w:rPr>
        <w:t>,</w:t>
      </w:r>
      <w:r w:rsidR="00796C0B" w:rsidRPr="00796C0B">
        <w:rPr>
          <w:b w:val="0"/>
          <w:szCs w:val="22"/>
          <w:lang w:val="hy-AM"/>
        </w:rPr>
        <w:t>331</w:t>
      </w:r>
      <w:r w:rsidRPr="006B6E50">
        <w:rPr>
          <w:b w:val="0"/>
          <w:szCs w:val="22"/>
          <w:lang w:val="hy-AM"/>
        </w:rPr>
        <w:t>.</w:t>
      </w:r>
      <w:r w:rsidR="00796C0B" w:rsidRPr="00796C0B">
        <w:rPr>
          <w:b w:val="0"/>
          <w:szCs w:val="22"/>
          <w:lang w:val="hy-AM"/>
        </w:rPr>
        <w:t>2</w:t>
      </w:r>
      <w:r w:rsidRPr="006B6E50">
        <w:rPr>
          <w:b w:val="0"/>
          <w:szCs w:val="22"/>
          <w:lang w:val="hy-AM"/>
        </w:rPr>
        <w:t xml:space="preserve"> մլն</w:t>
      </w:r>
      <w:r w:rsidRPr="006B6E50">
        <w:rPr>
          <w:b w:val="0"/>
          <w:szCs w:val="22"/>
          <w:lang w:val="af-ZA"/>
        </w:rPr>
        <w:t xml:space="preserve"> </w:t>
      </w:r>
      <w:r w:rsidRPr="006B6E50">
        <w:rPr>
          <w:b w:val="0"/>
          <w:szCs w:val="22"/>
          <w:lang w:val="hy-AM"/>
        </w:rPr>
        <w:t xml:space="preserve">դրամ </w:t>
      </w:r>
      <w:r w:rsidRPr="006B6E50">
        <w:rPr>
          <w:b w:val="0"/>
          <w:color w:val="000000" w:themeColor="text1"/>
          <w:szCs w:val="22"/>
          <w:lang w:val="hy-AM"/>
        </w:rPr>
        <w:t xml:space="preserve">կամ </w:t>
      </w:r>
      <w:r w:rsidRPr="006B6E50">
        <w:rPr>
          <w:b w:val="0"/>
          <w:color w:val="000000" w:themeColor="text1"/>
          <w:szCs w:val="22"/>
          <w:lang w:val="af-ZA"/>
        </w:rPr>
        <w:t>52</w:t>
      </w:r>
      <w:r w:rsidRPr="006B6E50">
        <w:rPr>
          <w:b w:val="0"/>
          <w:color w:val="000000" w:themeColor="text1"/>
          <w:szCs w:val="22"/>
          <w:lang w:val="hy-AM"/>
        </w:rPr>
        <w:t>.</w:t>
      </w:r>
      <w:r w:rsidR="00796C0B" w:rsidRPr="00796C0B">
        <w:rPr>
          <w:b w:val="0"/>
          <w:color w:val="000000" w:themeColor="text1"/>
          <w:szCs w:val="22"/>
          <w:lang w:val="hy-AM"/>
        </w:rPr>
        <w:t>6</w:t>
      </w:r>
      <w:r w:rsidRPr="006B6E50">
        <w:rPr>
          <w:b w:val="0"/>
          <w:color w:val="000000" w:themeColor="text1"/>
          <w:szCs w:val="22"/>
          <w:lang w:val="hy-AM"/>
        </w:rPr>
        <w:t>%-ը</w:t>
      </w:r>
      <w:r w:rsidRPr="006B6E50">
        <w:rPr>
          <w:b w:val="0"/>
          <w:szCs w:val="22"/>
          <w:lang w:val="hy-AM"/>
        </w:rPr>
        <w:t xml:space="preserve">: Ծախսերի աճը </w:t>
      </w:r>
      <w:r w:rsidRPr="006B6E50">
        <w:rPr>
          <w:rFonts w:cs="Times Armenian"/>
          <w:b w:val="0"/>
          <w:szCs w:val="22"/>
          <w:lang w:val="hy-AM"/>
        </w:rPr>
        <w:t>ՀՀ 202</w:t>
      </w:r>
      <w:r w:rsidRPr="006B6E50">
        <w:rPr>
          <w:rFonts w:cs="Times Armenian"/>
          <w:b w:val="0"/>
          <w:szCs w:val="22"/>
          <w:lang w:val="af-ZA"/>
        </w:rPr>
        <w:t>3</w:t>
      </w:r>
      <w:r w:rsidRPr="006B6E50">
        <w:rPr>
          <w:rFonts w:cs="Times Armenian"/>
          <w:b w:val="0"/>
          <w:szCs w:val="22"/>
          <w:lang w:val="hy-AM"/>
        </w:rPr>
        <w:t xml:space="preserve"> թվականի պետական բյուջեի նկատմամբ կկազմի </w:t>
      </w:r>
      <w:r w:rsidRPr="006B6E50">
        <w:rPr>
          <w:rFonts w:cs="Times Armenian"/>
          <w:b w:val="0"/>
          <w:szCs w:val="22"/>
          <w:lang w:val="af-ZA"/>
        </w:rPr>
        <w:t>3</w:t>
      </w:r>
      <w:r w:rsidR="00796C0B">
        <w:rPr>
          <w:rFonts w:cs="Times Armenian"/>
          <w:b w:val="0"/>
          <w:szCs w:val="22"/>
          <w:lang w:val="af-ZA"/>
        </w:rPr>
        <w:t>6</w:t>
      </w:r>
      <w:r w:rsidRPr="006B6E50">
        <w:rPr>
          <w:rFonts w:cs="Times Armenian"/>
          <w:b w:val="0"/>
          <w:szCs w:val="22"/>
          <w:lang w:val="hy-AM"/>
        </w:rPr>
        <w:t>,</w:t>
      </w:r>
      <w:r w:rsidR="00796C0B" w:rsidRPr="00796C0B">
        <w:rPr>
          <w:rFonts w:cs="Times Armenian"/>
          <w:b w:val="0"/>
          <w:szCs w:val="22"/>
          <w:lang w:val="hy-AM"/>
        </w:rPr>
        <w:t>621</w:t>
      </w:r>
      <w:r w:rsidRPr="006B6E50">
        <w:rPr>
          <w:rFonts w:cs="Times Armenian"/>
          <w:b w:val="0"/>
          <w:szCs w:val="22"/>
          <w:lang w:val="hy-AM"/>
        </w:rPr>
        <w:t>.</w:t>
      </w:r>
      <w:r w:rsidR="00796C0B" w:rsidRPr="00796C0B">
        <w:rPr>
          <w:rFonts w:cs="Times Armenian"/>
          <w:b w:val="0"/>
          <w:szCs w:val="22"/>
          <w:lang w:val="hy-AM"/>
        </w:rPr>
        <w:t>2</w:t>
      </w:r>
      <w:r w:rsidRPr="006B6E50">
        <w:rPr>
          <w:rFonts w:cs="Times Armenian"/>
          <w:b w:val="0"/>
          <w:szCs w:val="22"/>
          <w:lang w:val="hy-AM"/>
        </w:rPr>
        <w:t xml:space="preserve"> </w:t>
      </w:r>
      <w:r w:rsidRPr="006B6E50">
        <w:rPr>
          <w:b w:val="0"/>
          <w:szCs w:val="22"/>
          <w:lang w:val="hy-AM"/>
        </w:rPr>
        <w:t>մլն</w:t>
      </w:r>
      <w:r w:rsidRPr="006B6E50">
        <w:rPr>
          <w:b w:val="0"/>
          <w:szCs w:val="22"/>
          <w:lang w:val="af-ZA"/>
        </w:rPr>
        <w:t xml:space="preserve"> </w:t>
      </w:r>
      <w:r w:rsidRPr="006B6E50">
        <w:rPr>
          <w:b w:val="0"/>
          <w:szCs w:val="22"/>
          <w:lang w:val="hy-AM"/>
        </w:rPr>
        <w:t>դրամ</w:t>
      </w:r>
      <w:r w:rsidRPr="006B6E50">
        <w:rPr>
          <w:b w:val="0"/>
          <w:szCs w:val="22"/>
          <w:lang w:val="af-ZA"/>
        </w:rPr>
        <w:t>:</w:t>
      </w:r>
    </w:p>
    <w:p w14:paraId="56F0BCC9" w14:textId="77777777" w:rsidR="001F52FB" w:rsidRPr="00FC442F" w:rsidRDefault="001F52FB" w:rsidP="00AC1E1E">
      <w:pPr>
        <w:tabs>
          <w:tab w:val="left" w:pos="1080"/>
        </w:tabs>
        <w:rPr>
          <w:rFonts w:cs="Sylfaen"/>
          <w:b w:val="0"/>
          <w:szCs w:val="22"/>
          <w:lang w:val="hy-AM"/>
        </w:rPr>
      </w:pPr>
      <w:r w:rsidRPr="006B6E50">
        <w:rPr>
          <w:b w:val="0"/>
          <w:spacing w:val="-4"/>
          <w:szCs w:val="22"/>
          <w:lang w:val="hy-AM"/>
        </w:rPr>
        <w:t>ՀՀ պաշտպանության ապահովում ծրագիրը հ</w:t>
      </w:r>
      <w:r w:rsidRPr="006B6E50">
        <w:rPr>
          <w:b w:val="0"/>
          <w:szCs w:val="22"/>
          <w:lang w:val="hy-AM"/>
        </w:rPr>
        <w:t>անդիսանում է ՀՀ ՊՆ համակարգի գործունեությունն ապահովող հիմնական ծրագիր, որի</w:t>
      </w:r>
      <w:r w:rsidRPr="00FC442F">
        <w:rPr>
          <w:b w:val="0"/>
          <w:szCs w:val="22"/>
          <w:lang w:val="hy-AM"/>
        </w:rPr>
        <w:t xml:space="preserve"> շրջանակներում նախատեսվում են </w:t>
      </w:r>
      <w:r w:rsidRPr="00FC442F">
        <w:rPr>
          <w:rFonts w:cs="Sylfaen"/>
          <w:b w:val="0"/>
          <w:szCs w:val="22"/>
          <w:lang w:val="hy-AM"/>
        </w:rPr>
        <w:t>ՀՀ զինված</w:t>
      </w:r>
      <w:r w:rsidRPr="00FC442F">
        <w:rPr>
          <w:rFonts w:cs="Times Armenian"/>
          <w:b w:val="0"/>
          <w:szCs w:val="22"/>
          <w:lang w:val="hy-AM"/>
        </w:rPr>
        <w:t xml:space="preserve"> </w:t>
      </w:r>
      <w:r w:rsidRPr="00FC442F">
        <w:rPr>
          <w:rFonts w:cs="Sylfaen"/>
          <w:b w:val="0"/>
          <w:szCs w:val="22"/>
          <w:lang w:val="hy-AM"/>
        </w:rPr>
        <w:t>ուժերի</w:t>
      </w:r>
      <w:r w:rsidRPr="00FC442F">
        <w:rPr>
          <w:rFonts w:cs="Times Armenian"/>
          <w:b w:val="0"/>
          <w:szCs w:val="22"/>
          <w:lang w:val="hy-AM"/>
        </w:rPr>
        <w:t xml:space="preserve"> </w:t>
      </w:r>
      <w:r w:rsidRPr="00FC442F">
        <w:rPr>
          <w:rFonts w:cs="Sylfaen"/>
          <w:b w:val="0"/>
          <w:szCs w:val="22"/>
          <w:lang w:val="hy-AM"/>
        </w:rPr>
        <w:t>պահպանման</w:t>
      </w:r>
      <w:r w:rsidRPr="00FC442F">
        <w:rPr>
          <w:rFonts w:cs="Times Armenian"/>
          <w:b w:val="0"/>
          <w:szCs w:val="22"/>
          <w:lang w:val="hy-AM"/>
        </w:rPr>
        <w:t>, ռ</w:t>
      </w:r>
      <w:r w:rsidRPr="00FC442F">
        <w:rPr>
          <w:rFonts w:cs="Sylfaen"/>
          <w:b w:val="0"/>
          <w:szCs w:val="22"/>
          <w:lang w:val="hy-AM"/>
        </w:rPr>
        <w:t>ազմական</w:t>
      </w:r>
      <w:r w:rsidRPr="00FC442F">
        <w:rPr>
          <w:rFonts w:cs="Times Armenian"/>
          <w:b w:val="0"/>
          <w:szCs w:val="22"/>
          <w:lang w:val="hy-AM"/>
        </w:rPr>
        <w:t xml:space="preserve">, </w:t>
      </w:r>
      <w:r w:rsidRPr="00FC442F">
        <w:rPr>
          <w:rFonts w:cs="Sylfaen"/>
          <w:b w:val="0"/>
          <w:szCs w:val="22"/>
          <w:lang w:val="hy-AM"/>
        </w:rPr>
        <w:t>մարտական</w:t>
      </w:r>
      <w:r w:rsidRPr="00FC442F">
        <w:rPr>
          <w:rFonts w:cs="Times Armenian"/>
          <w:b w:val="0"/>
          <w:szCs w:val="22"/>
          <w:lang w:val="hy-AM"/>
        </w:rPr>
        <w:t xml:space="preserve"> </w:t>
      </w:r>
      <w:r w:rsidRPr="00FC442F">
        <w:rPr>
          <w:rFonts w:cs="Sylfaen"/>
          <w:b w:val="0"/>
          <w:szCs w:val="22"/>
          <w:lang w:val="hy-AM"/>
        </w:rPr>
        <w:t>տեխնիկայի</w:t>
      </w:r>
      <w:r w:rsidRPr="00FC442F">
        <w:rPr>
          <w:rFonts w:cs="Times Armenian"/>
          <w:b w:val="0"/>
          <w:szCs w:val="22"/>
          <w:lang w:val="hy-AM"/>
        </w:rPr>
        <w:t xml:space="preserve">, </w:t>
      </w:r>
      <w:r w:rsidRPr="00FC442F">
        <w:rPr>
          <w:rFonts w:cs="Sylfaen"/>
          <w:b w:val="0"/>
          <w:szCs w:val="22"/>
          <w:lang w:val="hy-AM"/>
        </w:rPr>
        <w:t>տրանսպորտային</w:t>
      </w:r>
      <w:r w:rsidRPr="00FC442F">
        <w:rPr>
          <w:rFonts w:cs="Times Armenian"/>
          <w:b w:val="0"/>
          <w:szCs w:val="22"/>
          <w:lang w:val="hy-AM"/>
        </w:rPr>
        <w:t xml:space="preserve"> </w:t>
      </w:r>
      <w:r w:rsidRPr="00FC442F">
        <w:rPr>
          <w:rFonts w:cs="Sylfaen"/>
          <w:b w:val="0"/>
          <w:szCs w:val="22"/>
          <w:lang w:val="hy-AM"/>
        </w:rPr>
        <w:t>միջոցների</w:t>
      </w:r>
      <w:r w:rsidRPr="00FC442F">
        <w:rPr>
          <w:rFonts w:cs="Times Armenian"/>
          <w:b w:val="0"/>
          <w:szCs w:val="22"/>
          <w:lang w:val="hy-AM"/>
        </w:rPr>
        <w:t xml:space="preserve">, </w:t>
      </w:r>
      <w:r w:rsidRPr="00FC442F">
        <w:rPr>
          <w:rFonts w:cs="Sylfaen"/>
          <w:b w:val="0"/>
          <w:szCs w:val="22"/>
          <w:lang w:val="hy-AM"/>
        </w:rPr>
        <w:t>կապի</w:t>
      </w:r>
      <w:r w:rsidRPr="00FC442F">
        <w:rPr>
          <w:rFonts w:cs="Times Armenian"/>
          <w:b w:val="0"/>
          <w:szCs w:val="22"/>
          <w:lang w:val="hy-AM"/>
        </w:rPr>
        <w:t xml:space="preserve"> </w:t>
      </w:r>
      <w:r w:rsidRPr="00FC442F">
        <w:rPr>
          <w:rFonts w:cs="Sylfaen"/>
          <w:b w:val="0"/>
          <w:szCs w:val="22"/>
          <w:lang w:val="hy-AM"/>
        </w:rPr>
        <w:t>համակարգի</w:t>
      </w:r>
      <w:r w:rsidRPr="00FC442F">
        <w:rPr>
          <w:rFonts w:cs="Times Armenian"/>
          <w:b w:val="0"/>
          <w:szCs w:val="22"/>
          <w:lang w:val="hy-AM"/>
        </w:rPr>
        <w:t xml:space="preserve"> </w:t>
      </w:r>
      <w:r w:rsidRPr="00FC442F">
        <w:rPr>
          <w:rFonts w:cs="Sylfaen"/>
          <w:b w:val="0"/>
          <w:szCs w:val="22"/>
          <w:lang w:val="hy-AM"/>
        </w:rPr>
        <w:t>սարքավորումների</w:t>
      </w:r>
      <w:r w:rsidRPr="00FC442F">
        <w:rPr>
          <w:rFonts w:cs="Times Armenian"/>
          <w:b w:val="0"/>
          <w:szCs w:val="22"/>
          <w:lang w:val="hy-AM"/>
        </w:rPr>
        <w:t xml:space="preserve">, </w:t>
      </w:r>
      <w:r w:rsidRPr="00FC442F">
        <w:rPr>
          <w:rFonts w:cs="Sylfaen"/>
          <w:b w:val="0"/>
          <w:szCs w:val="22"/>
          <w:lang w:val="hy-AM"/>
        </w:rPr>
        <w:t>զորանոցային</w:t>
      </w:r>
      <w:r w:rsidRPr="00FC442F">
        <w:rPr>
          <w:rFonts w:cs="Times Armenian"/>
          <w:b w:val="0"/>
          <w:szCs w:val="22"/>
          <w:lang w:val="hy-AM"/>
        </w:rPr>
        <w:t xml:space="preserve"> </w:t>
      </w:r>
      <w:r w:rsidRPr="00FC442F">
        <w:rPr>
          <w:rFonts w:cs="Sylfaen"/>
          <w:b w:val="0"/>
          <w:szCs w:val="22"/>
          <w:lang w:val="hy-AM"/>
        </w:rPr>
        <w:t>և</w:t>
      </w:r>
      <w:r w:rsidRPr="00FC442F">
        <w:rPr>
          <w:rFonts w:cs="Times Armenian"/>
          <w:b w:val="0"/>
          <w:szCs w:val="22"/>
          <w:lang w:val="hy-AM"/>
        </w:rPr>
        <w:t xml:space="preserve"> </w:t>
      </w:r>
      <w:r w:rsidRPr="00FC442F">
        <w:rPr>
          <w:rFonts w:cs="Sylfaen"/>
          <w:b w:val="0"/>
          <w:szCs w:val="22"/>
          <w:lang w:val="hy-AM"/>
        </w:rPr>
        <w:t>տեխնիկական</w:t>
      </w:r>
      <w:r w:rsidRPr="00FC442F">
        <w:rPr>
          <w:rFonts w:cs="Times Armenian"/>
          <w:b w:val="0"/>
          <w:szCs w:val="22"/>
          <w:lang w:val="hy-AM"/>
        </w:rPr>
        <w:t xml:space="preserve"> գ</w:t>
      </w:r>
      <w:r w:rsidRPr="00FC442F">
        <w:rPr>
          <w:rFonts w:cs="Sylfaen"/>
          <w:b w:val="0"/>
          <w:szCs w:val="22"/>
          <w:lang w:val="hy-AM"/>
        </w:rPr>
        <w:t>ույքի</w:t>
      </w:r>
      <w:r w:rsidRPr="00FC442F">
        <w:rPr>
          <w:rFonts w:cs="Times Armenian"/>
          <w:b w:val="0"/>
          <w:szCs w:val="22"/>
          <w:lang w:val="hy-AM"/>
        </w:rPr>
        <w:t xml:space="preserve">, </w:t>
      </w:r>
      <w:r w:rsidRPr="00FC442F">
        <w:rPr>
          <w:rFonts w:cs="Sylfaen"/>
          <w:b w:val="0"/>
          <w:szCs w:val="22"/>
          <w:lang w:val="hy-AM"/>
        </w:rPr>
        <w:t>պարենի</w:t>
      </w:r>
      <w:r w:rsidRPr="00FC442F">
        <w:rPr>
          <w:rFonts w:cs="Times Armenian"/>
          <w:b w:val="0"/>
          <w:szCs w:val="22"/>
          <w:lang w:val="hy-AM"/>
        </w:rPr>
        <w:t xml:space="preserve">, </w:t>
      </w:r>
      <w:r w:rsidRPr="00FC442F">
        <w:rPr>
          <w:rFonts w:cs="Sylfaen"/>
          <w:b w:val="0"/>
          <w:szCs w:val="22"/>
          <w:lang w:val="hy-AM"/>
        </w:rPr>
        <w:t>հանդերձանքի</w:t>
      </w:r>
      <w:r w:rsidRPr="00FC442F">
        <w:rPr>
          <w:rFonts w:cs="Times Armenian"/>
          <w:b w:val="0"/>
          <w:szCs w:val="22"/>
          <w:lang w:val="hy-AM"/>
        </w:rPr>
        <w:t xml:space="preserve">, </w:t>
      </w:r>
      <w:r w:rsidRPr="00FC442F">
        <w:rPr>
          <w:rFonts w:cs="Sylfaen"/>
          <w:b w:val="0"/>
          <w:szCs w:val="22"/>
          <w:lang w:val="hy-AM"/>
        </w:rPr>
        <w:t>վառելիքա</w:t>
      </w:r>
      <w:r w:rsidRPr="00FC442F">
        <w:rPr>
          <w:rFonts w:cs="Times Armenian"/>
          <w:b w:val="0"/>
          <w:szCs w:val="22"/>
          <w:lang w:val="hy-AM"/>
        </w:rPr>
        <w:t>-</w:t>
      </w:r>
      <w:r w:rsidRPr="00FC442F">
        <w:rPr>
          <w:rFonts w:cs="Sylfaen"/>
          <w:b w:val="0"/>
          <w:szCs w:val="22"/>
          <w:lang w:val="hy-AM"/>
        </w:rPr>
        <w:t>քսուքային</w:t>
      </w:r>
      <w:r w:rsidRPr="00FC442F">
        <w:rPr>
          <w:rFonts w:cs="Times Armenian"/>
          <w:b w:val="0"/>
          <w:szCs w:val="22"/>
          <w:lang w:val="hy-AM"/>
        </w:rPr>
        <w:t xml:space="preserve"> </w:t>
      </w:r>
      <w:r w:rsidRPr="00FC442F">
        <w:rPr>
          <w:rFonts w:cs="Sylfaen"/>
          <w:b w:val="0"/>
          <w:szCs w:val="22"/>
          <w:lang w:val="hy-AM"/>
        </w:rPr>
        <w:t>նյութերի</w:t>
      </w:r>
      <w:r w:rsidRPr="00FC442F">
        <w:rPr>
          <w:rFonts w:cs="Times Armenian"/>
          <w:b w:val="0"/>
          <w:szCs w:val="22"/>
          <w:lang w:val="hy-AM"/>
        </w:rPr>
        <w:t xml:space="preserve"> </w:t>
      </w:r>
      <w:r w:rsidRPr="00FC442F">
        <w:rPr>
          <w:rFonts w:cs="Sylfaen"/>
          <w:b w:val="0"/>
          <w:szCs w:val="22"/>
          <w:lang w:val="hy-AM"/>
        </w:rPr>
        <w:t>սահմանված</w:t>
      </w:r>
      <w:r w:rsidRPr="00FC442F">
        <w:rPr>
          <w:rFonts w:cs="Times Armenian"/>
          <w:b w:val="0"/>
          <w:szCs w:val="22"/>
          <w:lang w:val="hy-AM"/>
        </w:rPr>
        <w:t xml:space="preserve"> </w:t>
      </w:r>
      <w:r w:rsidRPr="00FC442F">
        <w:rPr>
          <w:rFonts w:cs="Sylfaen"/>
          <w:b w:val="0"/>
          <w:szCs w:val="22"/>
          <w:lang w:val="hy-AM"/>
        </w:rPr>
        <w:t>պաշարների</w:t>
      </w:r>
      <w:r w:rsidRPr="00FC442F">
        <w:rPr>
          <w:rFonts w:cs="Times Armenian"/>
          <w:b w:val="0"/>
          <w:szCs w:val="22"/>
          <w:lang w:val="hy-AM"/>
        </w:rPr>
        <w:t xml:space="preserve"> </w:t>
      </w:r>
      <w:r w:rsidRPr="00FC442F">
        <w:rPr>
          <w:rFonts w:cs="Sylfaen"/>
          <w:b w:val="0"/>
          <w:szCs w:val="22"/>
          <w:lang w:val="hy-AM"/>
        </w:rPr>
        <w:t>մակարդակի</w:t>
      </w:r>
      <w:r w:rsidRPr="00FC442F">
        <w:rPr>
          <w:rFonts w:cs="Times Armenian"/>
          <w:b w:val="0"/>
          <w:szCs w:val="22"/>
          <w:lang w:val="hy-AM"/>
        </w:rPr>
        <w:t xml:space="preserve">, </w:t>
      </w:r>
      <w:r w:rsidRPr="00FC442F">
        <w:rPr>
          <w:rFonts w:cs="Sylfaen"/>
          <w:b w:val="0"/>
          <w:szCs w:val="22"/>
          <w:lang w:val="hy-AM"/>
        </w:rPr>
        <w:t>զենքի</w:t>
      </w:r>
      <w:r w:rsidRPr="00FC442F">
        <w:rPr>
          <w:rFonts w:cs="Times Armenian"/>
          <w:b w:val="0"/>
          <w:szCs w:val="22"/>
          <w:lang w:val="hy-AM"/>
        </w:rPr>
        <w:t xml:space="preserve"> </w:t>
      </w:r>
      <w:r w:rsidRPr="00FC442F">
        <w:rPr>
          <w:rFonts w:cs="Sylfaen"/>
          <w:b w:val="0"/>
          <w:szCs w:val="22"/>
          <w:lang w:val="hy-AM"/>
        </w:rPr>
        <w:t>և</w:t>
      </w:r>
      <w:r w:rsidRPr="00FC442F">
        <w:rPr>
          <w:rFonts w:cs="Times Armenian"/>
          <w:b w:val="0"/>
          <w:szCs w:val="22"/>
          <w:lang w:val="hy-AM"/>
        </w:rPr>
        <w:t xml:space="preserve"> </w:t>
      </w:r>
      <w:r w:rsidRPr="00FC442F">
        <w:rPr>
          <w:rFonts w:cs="Sylfaen"/>
          <w:b w:val="0"/>
          <w:szCs w:val="22"/>
          <w:lang w:val="hy-AM"/>
        </w:rPr>
        <w:t>զինամթերքի</w:t>
      </w:r>
      <w:r w:rsidRPr="00FC442F">
        <w:rPr>
          <w:rFonts w:cs="Times Armenian"/>
          <w:b w:val="0"/>
          <w:szCs w:val="22"/>
          <w:lang w:val="hy-AM"/>
        </w:rPr>
        <w:t xml:space="preserve"> </w:t>
      </w:r>
      <w:r w:rsidRPr="00FC442F">
        <w:rPr>
          <w:rFonts w:cs="Sylfaen"/>
          <w:b w:val="0"/>
          <w:szCs w:val="22"/>
          <w:lang w:val="hy-AM"/>
        </w:rPr>
        <w:t>հնարավոր</w:t>
      </w:r>
      <w:r w:rsidRPr="00FC442F">
        <w:rPr>
          <w:rFonts w:cs="Times Armenian"/>
          <w:b w:val="0"/>
          <w:szCs w:val="22"/>
          <w:lang w:val="hy-AM"/>
        </w:rPr>
        <w:t xml:space="preserve"> </w:t>
      </w:r>
      <w:r w:rsidRPr="00FC442F">
        <w:rPr>
          <w:rFonts w:cs="Sylfaen"/>
          <w:b w:val="0"/>
          <w:szCs w:val="22"/>
          <w:lang w:val="hy-AM"/>
        </w:rPr>
        <w:t>ներհանրապետական</w:t>
      </w:r>
      <w:r w:rsidRPr="00FC442F">
        <w:rPr>
          <w:rFonts w:cs="Times Armenian"/>
          <w:b w:val="0"/>
          <w:szCs w:val="22"/>
          <w:lang w:val="hy-AM"/>
        </w:rPr>
        <w:t xml:space="preserve"> գ</w:t>
      </w:r>
      <w:r w:rsidRPr="00FC442F">
        <w:rPr>
          <w:rFonts w:cs="Sylfaen"/>
          <w:b w:val="0"/>
          <w:szCs w:val="22"/>
          <w:lang w:val="hy-AM"/>
        </w:rPr>
        <w:t>նումների</w:t>
      </w:r>
      <w:r w:rsidRPr="00FC442F">
        <w:rPr>
          <w:rFonts w:cs="Times Armenian"/>
          <w:b w:val="0"/>
          <w:szCs w:val="22"/>
          <w:lang w:val="hy-AM"/>
        </w:rPr>
        <w:t xml:space="preserve">, </w:t>
      </w:r>
      <w:r w:rsidRPr="00FC442F">
        <w:rPr>
          <w:rFonts w:cs="Sylfaen"/>
          <w:b w:val="0"/>
          <w:szCs w:val="22"/>
          <w:lang w:val="hy-AM"/>
        </w:rPr>
        <w:t>բանակի</w:t>
      </w:r>
      <w:r w:rsidRPr="00FC442F">
        <w:rPr>
          <w:rFonts w:cs="Times Armenian"/>
          <w:b w:val="0"/>
          <w:szCs w:val="22"/>
          <w:lang w:val="hy-AM"/>
        </w:rPr>
        <w:t xml:space="preserve"> </w:t>
      </w:r>
      <w:r w:rsidRPr="00FC442F">
        <w:rPr>
          <w:rFonts w:cs="Sylfaen"/>
          <w:b w:val="0"/>
          <w:szCs w:val="22"/>
          <w:lang w:val="hy-AM"/>
        </w:rPr>
        <w:t>մարտունակության</w:t>
      </w:r>
      <w:r w:rsidRPr="00FC442F">
        <w:rPr>
          <w:rFonts w:cs="Times Armenian"/>
          <w:b w:val="0"/>
          <w:szCs w:val="22"/>
          <w:lang w:val="hy-AM"/>
        </w:rPr>
        <w:t xml:space="preserve"> </w:t>
      </w:r>
      <w:r w:rsidRPr="00FC442F">
        <w:rPr>
          <w:rFonts w:cs="Sylfaen"/>
          <w:b w:val="0"/>
          <w:szCs w:val="22"/>
          <w:lang w:val="hy-AM"/>
        </w:rPr>
        <w:t>և</w:t>
      </w:r>
      <w:r w:rsidRPr="00FC442F">
        <w:rPr>
          <w:rFonts w:cs="Times Armenian"/>
          <w:b w:val="0"/>
          <w:szCs w:val="22"/>
          <w:lang w:val="hy-AM"/>
        </w:rPr>
        <w:t xml:space="preserve"> </w:t>
      </w:r>
      <w:r w:rsidRPr="00FC442F">
        <w:rPr>
          <w:rFonts w:cs="Sylfaen"/>
          <w:b w:val="0"/>
          <w:szCs w:val="22"/>
          <w:lang w:val="hy-AM"/>
        </w:rPr>
        <w:t>կենսապահովման</w:t>
      </w:r>
      <w:r w:rsidRPr="00FC442F">
        <w:rPr>
          <w:rFonts w:cs="Times Armenian"/>
          <w:b w:val="0"/>
          <w:szCs w:val="22"/>
          <w:lang w:val="hy-AM"/>
        </w:rPr>
        <w:t xml:space="preserve"> </w:t>
      </w:r>
      <w:r w:rsidRPr="00FC442F">
        <w:rPr>
          <w:rFonts w:cs="Sylfaen"/>
          <w:b w:val="0"/>
          <w:szCs w:val="22"/>
          <w:lang w:val="hy-AM"/>
        </w:rPr>
        <w:t>պահանջների</w:t>
      </w:r>
      <w:r w:rsidRPr="00FC442F">
        <w:rPr>
          <w:rFonts w:cs="Times Armenian"/>
          <w:b w:val="0"/>
          <w:szCs w:val="22"/>
          <w:lang w:val="hy-AM"/>
        </w:rPr>
        <w:t xml:space="preserve"> </w:t>
      </w:r>
      <w:r w:rsidRPr="00FC442F">
        <w:rPr>
          <w:rFonts w:cs="Sylfaen"/>
          <w:b w:val="0"/>
          <w:szCs w:val="22"/>
          <w:lang w:val="hy-AM"/>
        </w:rPr>
        <w:t>բավարարման ծախսերը:</w:t>
      </w:r>
    </w:p>
    <w:p w14:paraId="6C873CC4" w14:textId="0A2A6B83" w:rsidR="001F52FB" w:rsidRPr="006B6E50" w:rsidRDefault="001F52FB" w:rsidP="00AC1E1E">
      <w:pPr>
        <w:tabs>
          <w:tab w:val="left" w:pos="1080"/>
        </w:tabs>
        <w:rPr>
          <w:rFonts w:cs="Times Armenian"/>
          <w:b w:val="0"/>
          <w:szCs w:val="22"/>
          <w:lang w:val="hy-AM"/>
        </w:rPr>
      </w:pPr>
      <w:r w:rsidRPr="00FC442F">
        <w:rPr>
          <w:rFonts w:cs="Times Armenian"/>
          <w:b w:val="0"/>
          <w:szCs w:val="22"/>
          <w:lang w:val="hy-AM"/>
        </w:rPr>
        <w:t xml:space="preserve">ՀՀ </w:t>
      </w:r>
      <w:r w:rsidRPr="006B6E50">
        <w:rPr>
          <w:rFonts w:cs="Times Armenian"/>
          <w:b w:val="0"/>
          <w:szCs w:val="22"/>
          <w:lang w:val="hy-AM"/>
        </w:rPr>
        <w:t xml:space="preserve">2024 թվականի պետական բյուջեով վերոնշյալ ծրագրով նախատեսվել է 549,931.1 </w:t>
      </w:r>
      <w:r w:rsidRPr="006B6E50">
        <w:rPr>
          <w:b w:val="0"/>
          <w:szCs w:val="22"/>
          <w:lang w:val="hy-AM"/>
        </w:rPr>
        <w:t>մլն դրամ</w:t>
      </w:r>
      <w:r w:rsidRPr="006B6E50">
        <w:rPr>
          <w:rFonts w:cs="Times Armenian"/>
          <w:b w:val="0"/>
          <w:szCs w:val="22"/>
          <w:lang w:val="hy-AM"/>
        </w:rPr>
        <w:t xml:space="preserve">` ՀՀ 2023 թվականի պետական բյուջեից 37,145.3 </w:t>
      </w:r>
      <w:r w:rsidRPr="006B6E50">
        <w:rPr>
          <w:b w:val="0"/>
          <w:szCs w:val="22"/>
          <w:lang w:val="hy-AM"/>
        </w:rPr>
        <w:t xml:space="preserve">մլն </w:t>
      </w:r>
      <w:r w:rsidRPr="006B6E50">
        <w:rPr>
          <w:rFonts w:cs="Times Armenian"/>
          <w:b w:val="0"/>
          <w:szCs w:val="22"/>
          <w:lang w:val="hy-AM"/>
        </w:rPr>
        <w:t>դրամով ավել:</w:t>
      </w:r>
    </w:p>
    <w:p w14:paraId="1B330B90" w14:textId="77D7B72D" w:rsidR="001F52FB" w:rsidRPr="006B6E50" w:rsidRDefault="001F52FB" w:rsidP="00AC1E1E">
      <w:pPr>
        <w:rPr>
          <w:rFonts w:cs="Sylfaen"/>
          <w:b w:val="0"/>
          <w:szCs w:val="22"/>
          <w:lang w:val="hy-AM"/>
        </w:rPr>
      </w:pPr>
      <w:r w:rsidRPr="006B6E50">
        <w:rPr>
          <w:b w:val="0"/>
          <w:spacing w:val="-4"/>
          <w:szCs w:val="22"/>
          <w:lang w:val="hy-AM"/>
        </w:rPr>
        <w:t xml:space="preserve">Ռազմաբժշկական սպասարկում և առողջապահական ծառայություններ ծրագրի գծով </w:t>
      </w:r>
      <w:r w:rsidRPr="006B6E50">
        <w:rPr>
          <w:rFonts w:cs="Times Armenian"/>
          <w:b w:val="0"/>
          <w:szCs w:val="22"/>
          <w:lang w:val="hy-AM"/>
        </w:rPr>
        <w:t xml:space="preserve">ՀՀ </w:t>
      </w:r>
      <w:r w:rsidRPr="006B6E50">
        <w:rPr>
          <w:rFonts w:cs="Sylfaen"/>
          <w:b w:val="0"/>
          <w:szCs w:val="22"/>
          <w:lang w:val="hy-AM"/>
        </w:rPr>
        <w:t xml:space="preserve">2024 թվականի պետական բյուջեով նախատեսվել է </w:t>
      </w:r>
      <w:r w:rsidR="00796C0B" w:rsidRPr="00796C0B">
        <w:rPr>
          <w:rFonts w:cs="Sylfaen"/>
          <w:b w:val="0"/>
          <w:szCs w:val="22"/>
          <w:lang w:val="hy-AM"/>
        </w:rPr>
        <w:t>1</w:t>
      </w:r>
      <w:r w:rsidRPr="006B6E50">
        <w:rPr>
          <w:rFonts w:cs="Sylfaen"/>
          <w:b w:val="0"/>
          <w:szCs w:val="22"/>
          <w:lang w:val="hy-AM"/>
        </w:rPr>
        <w:t>,</w:t>
      </w:r>
      <w:r w:rsidR="00796C0B" w:rsidRPr="00796C0B">
        <w:rPr>
          <w:rFonts w:cs="Sylfaen"/>
          <w:b w:val="0"/>
          <w:szCs w:val="22"/>
          <w:lang w:val="hy-AM"/>
        </w:rPr>
        <w:t>489</w:t>
      </w:r>
      <w:r w:rsidRPr="006B6E50">
        <w:rPr>
          <w:rFonts w:cs="Sylfaen"/>
          <w:b w:val="0"/>
          <w:szCs w:val="22"/>
          <w:lang w:val="hy-AM"/>
        </w:rPr>
        <w:t>.</w:t>
      </w:r>
      <w:r w:rsidR="00796C0B" w:rsidRPr="00796C0B">
        <w:rPr>
          <w:rFonts w:cs="Sylfaen"/>
          <w:b w:val="0"/>
          <w:szCs w:val="22"/>
          <w:lang w:val="hy-AM"/>
        </w:rPr>
        <w:t>3</w:t>
      </w:r>
      <w:r w:rsidRPr="006B6E50">
        <w:rPr>
          <w:rFonts w:cs="Sylfaen"/>
          <w:b w:val="0"/>
          <w:szCs w:val="22"/>
          <w:lang w:val="hy-AM"/>
        </w:rPr>
        <w:t xml:space="preserve"> մլն դրամ, որի շրջանակներում իրականացվելու են վերականգնողական մասնագիտացված բուժօգնության գծով ծառայությունների տրամադրում, համաճարակային միջոցառումների կազմակերպում, </w:t>
      </w:r>
      <w:r w:rsidRPr="006B6E50">
        <w:rPr>
          <w:rFonts w:cs="Sylfaen"/>
          <w:b w:val="0"/>
          <w:szCs w:val="22"/>
          <w:lang w:val="hy-AM"/>
        </w:rPr>
        <w:lastRenderedPageBreak/>
        <w:t>զինվորական հոսպիտալների և բժշկական կետերի սարքավորումների ընթացիկ վերանորոգման և տեխնիկական սպասարկման ծառայություններ:</w:t>
      </w:r>
    </w:p>
    <w:p w14:paraId="104F5D92" w14:textId="4FF3C7E6" w:rsidR="001F52FB" w:rsidRPr="006B6E50" w:rsidRDefault="001F52FB" w:rsidP="00AC1E1E">
      <w:pPr>
        <w:tabs>
          <w:tab w:val="left" w:pos="1080"/>
        </w:tabs>
        <w:rPr>
          <w:b w:val="0"/>
          <w:szCs w:val="22"/>
          <w:lang w:val="hy-AM"/>
        </w:rPr>
      </w:pPr>
      <w:r w:rsidRPr="006B6E50">
        <w:rPr>
          <w:b w:val="0"/>
          <w:spacing w:val="-4"/>
          <w:szCs w:val="22"/>
          <w:lang w:val="hy-AM"/>
        </w:rPr>
        <w:t xml:space="preserve">Ռազմական ուսուցում և վերապատրաստում ծրագրի շրջանակներում նախատեսվում է իրականացնել ուսուցում արտերկրների ռազմական ուսումնական հաստատություններում և ակադեմիաներում: </w:t>
      </w:r>
      <w:r w:rsidRPr="006B6E50">
        <w:rPr>
          <w:rFonts w:cs="Times Armenian"/>
          <w:b w:val="0"/>
          <w:szCs w:val="22"/>
          <w:lang w:val="hy-AM"/>
        </w:rPr>
        <w:t xml:space="preserve">ՀՀ 2024 թվականի պետական բյուջեով նախատեսվել է 1,174.2 </w:t>
      </w:r>
      <w:r w:rsidRPr="006B6E50">
        <w:rPr>
          <w:b w:val="0"/>
          <w:szCs w:val="22"/>
          <w:lang w:val="hy-AM"/>
        </w:rPr>
        <w:t>մլն դրամ</w:t>
      </w:r>
      <w:r w:rsidRPr="006B6E50">
        <w:rPr>
          <w:b w:val="0"/>
          <w:spacing w:val="-4"/>
          <w:szCs w:val="22"/>
          <w:lang w:val="hy-AM"/>
        </w:rPr>
        <w:t>:</w:t>
      </w:r>
    </w:p>
    <w:p w14:paraId="4FC55DBD" w14:textId="055F623D" w:rsidR="001F52FB" w:rsidRPr="006B6E50" w:rsidRDefault="001F52FB" w:rsidP="00AC1E1E">
      <w:pPr>
        <w:tabs>
          <w:tab w:val="left" w:pos="1080"/>
        </w:tabs>
        <w:rPr>
          <w:b w:val="0"/>
          <w:szCs w:val="22"/>
          <w:lang w:val="hy-AM"/>
        </w:rPr>
      </w:pPr>
      <w:r w:rsidRPr="006B6E50">
        <w:rPr>
          <w:b w:val="0"/>
          <w:spacing w:val="-4"/>
          <w:szCs w:val="22"/>
          <w:lang w:val="hy-AM"/>
        </w:rPr>
        <w:t xml:space="preserve">Միջազգային ռազմական համագործակցություն ծրագրով </w:t>
      </w:r>
      <w:r w:rsidRPr="006B6E50">
        <w:rPr>
          <w:rFonts w:cs="Times Armenian"/>
          <w:b w:val="0"/>
          <w:szCs w:val="22"/>
          <w:lang w:val="hy-AM"/>
        </w:rPr>
        <w:t xml:space="preserve">ՀՀ 2024 թվականի պետական բյուջեով նախատեսվել է </w:t>
      </w:r>
      <w:r w:rsidR="00796C0B" w:rsidRPr="00796C0B">
        <w:rPr>
          <w:rFonts w:cs="Times Armenian"/>
          <w:b w:val="0"/>
          <w:szCs w:val="22"/>
          <w:lang w:val="hy-AM"/>
        </w:rPr>
        <w:t>820</w:t>
      </w:r>
      <w:r w:rsidRPr="006B6E50">
        <w:rPr>
          <w:rFonts w:cs="Times Armenian"/>
          <w:b w:val="0"/>
          <w:szCs w:val="22"/>
          <w:lang w:val="hy-AM"/>
        </w:rPr>
        <w:t>.</w:t>
      </w:r>
      <w:r w:rsidR="00796C0B" w:rsidRPr="00796C0B">
        <w:rPr>
          <w:rFonts w:cs="Times Armenian"/>
          <w:b w:val="0"/>
          <w:szCs w:val="22"/>
          <w:lang w:val="hy-AM"/>
        </w:rPr>
        <w:t>1</w:t>
      </w:r>
      <w:r w:rsidRPr="006B6E50">
        <w:rPr>
          <w:rFonts w:cs="Times Armenian"/>
          <w:b w:val="0"/>
          <w:szCs w:val="22"/>
          <w:lang w:val="hy-AM"/>
        </w:rPr>
        <w:t xml:space="preserve"> </w:t>
      </w:r>
      <w:r w:rsidRPr="006B6E50">
        <w:rPr>
          <w:b w:val="0"/>
          <w:szCs w:val="22"/>
          <w:lang w:val="hy-AM"/>
        </w:rPr>
        <w:t>մլն դրամ</w:t>
      </w:r>
      <w:r w:rsidRPr="006B6E50">
        <w:rPr>
          <w:rFonts w:cs="Times Armenian"/>
          <w:b w:val="0"/>
          <w:szCs w:val="22"/>
          <w:lang w:val="hy-AM"/>
        </w:rPr>
        <w:t>, որի շրջանակներում</w:t>
      </w:r>
      <w:r w:rsidRPr="006B6E50">
        <w:rPr>
          <w:b w:val="0"/>
          <w:spacing w:val="-4"/>
          <w:szCs w:val="22"/>
          <w:lang w:val="hy-AM"/>
        </w:rPr>
        <w:t xml:space="preserve"> կիրականացվի օտարերկրյա պետություններում ՀՀ ռազմական կցորդների և միջազգային կազմակերպություններում ռազմաքաղաքական և ռազմական ներկայացուցիչների պահպանման ծախսերի ֆինանսավորումը: Ծախսերը </w:t>
      </w:r>
      <w:r w:rsidRPr="006B6E50">
        <w:rPr>
          <w:rFonts w:cs="Times Armenian"/>
          <w:b w:val="0"/>
          <w:szCs w:val="22"/>
          <w:lang w:val="hy-AM"/>
        </w:rPr>
        <w:t xml:space="preserve">ՀՀ 2023 թվականի պետական բյուջեի նկատմամբ աճել են </w:t>
      </w:r>
      <w:r w:rsidR="00796C0B" w:rsidRPr="00796C0B">
        <w:rPr>
          <w:rFonts w:cs="Times Armenian"/>
          <w:b w:val="0"/>
          <w:szCs w:val="22"/>
          <w:lang w:val="hy-AM"/>
        </w:rPr>
        <w:t>85</w:t>
      </w:r>
      <w:r w:rsidRPr="006B6E50">
        <w:rPr>
          <w:rFonts w:cs="Times Armenian"/>
          <w:b w:val="0"/>
          <w:szCs w:val="22"/>
          <w:lang w:val="hy-AM"/>
        </w:rPr>
        <w:t>.</w:t>
      </w:r>
      <w:r w:rsidR="00796C0B" w:rsidRPr="00856159">
        <w:rPr>
          <w:rFonts w:cs="Times Armenian"/>
          <w:b w:val="0"/>
          <w:szCs w:val="22"/>
          <w:lang w:val="hy-AM"/>
        </w:rPr>
        <w:t>1</w:t>
      </w:r>
      <w:r w:rsidRPr="006B6E50">
        <w:rPr>
          <w:rFonts w:cs="Times Armenian"/>
          <w:b w:val="0"/>
          <w:szCs w:val="22"/>
          <w:lang w:val="hy-AM"/>
        </w:rPr>
        <w:t xml:space="preserve"> </w:t>
      </w:r>
      <w:r w:rsidRPr="006B6E50">
        <w:rPr>
          <w:b w:val="0"/>
          <w:szCs w:val="22"/>
          <w:lang w:val="hy-AM"/>
        </w:rPr>
        <w:t>մլն դրամով</w:t>
      </w:r>
      <w:r w:rsidR="006B6E50">
        <w:rPr>
          <w:b w:val="0"/>
          <w:szCs w:val="22"/>
          <w:lang w:val="hy-AM"/>
        </w:rPr>
        <w:t>`</w:t>
      </w:r>
      <w:r w:rsidRPr="006B6E50">
        <w:rPr>
          <w:b w:val="0"/>
          <w:szCs w:val="22"/>
          <w:lang w:val="hy-AM"/>
        </w:rPr>
        <w:t xml:space="preserve"> պայմանավորված ՀՀ դրամի նկատմամբ արտարժույթի փոխարժեքի փոփոխությամբ</w:t>
      </w:r>
      <w:r w:rsidRPr="006B6E50">
        <w:rPr>
          <w:rFonts w:cs="Times Armenian"/>
          <w:b w:val="0"/>
          <w:szCs w:val="22"/>
          <w:lang w:val="hy-AM"/>
        </w:rPr>
        <w:t>:</w:t>
      </w:r>
    </w:p>
    <w:p w14:paraId="61AA023C" w14:textId="1E0EA562" w:rsidR="001F52FB" w:rsidRPr="007955BB" w:rsidRDefault="001F52FB" w:rsidP="00AC1E1E">
      <w:pPr>
        <w:tabs>
          <w:tab w:val="left" w:pos="1080"/>
        </w:tabs>
        <w:rPr>
          <w:rFonts w:cs="Times Armenian"/>
          <w:b w:val="0"/>
          <w:szCs w:val="22"/>
          <w:lang w:val="hy-AM"/>
        </w:rPr>
      </w:pPr>
      <w:r w:rsidRPr="006B6E50">
        <w:rPr>
          <w:rFonts w:cs="Times Armenian"/>
          <w:b w:val="0"/>
          <w:szCs w:val="22"/>
          <w:lang w:val="hy-AM"/>
        </w:rPr>
        <w:t>Հումանիտար ականազերծման և փորձագիտական ծառայություններ ծրագրի շրջանակներում նախատեսվում է իրականացնել հակաականային</w:t>
      </w:r>
      <w:r w:rsidRPr="00C43BF7">
        <w:rPr>
          <w:rFonts w:cs="Times Armenian"/>
          <w:b w:val="0"/>
          <w:szCs w:val="22"/>
          <w:lang w:val="hy-AM"/>
        </w:rPr>
        <w:t xml:space="preserve"> գործողությունների ենթակա տարածքի հետազննում, քարտեզագրում, նախատեսվող ծավալի աշխատանքների հստակեցում և իրականացվող միջոցառումներ</w:t>
      </w:r>
      <w:r>
        <w:rPr>
          <w:rFonts w:cs="Times Armenian"/>
          <w:b w:val="0"/>
          <w:szCs w:val="22"/>
          <w:lang w:val="hy-AM"/>
        </w:rPr>
        <w:t>ի պլանավորում</w:t>
      </w:r>
      <w:r w:rsidRPr="007955BB">
        <w:rPr>
          <w:rFonts w:cs="Times Armenian"/>
          <w:b w:val="0"/>
          <w:szCs w:val="22"/>
          <w:lang w:val="hy-AM"/>
        </w:rPr>
        <w:t>: ՀՀ 202</w:t>
      </w:r>
      <w:r>
        <w:rPr>
          <w:rFonts w:cs="Times Armenian"/>
          <w:b w:val="0"/>
          <w:szCs w:val="22"/>
          <w:lang w:val="hy-AM"/>
        </w:rPr>
        <w:t>4</w:t>
      </w:r>
      <w:r w:rsidRPr="007955BB">
        <w:rPr>
          <w:rFonts w:cs="Times Armenian"/>
          <w:b w:val="0"/>
          <w:szCs w:val="22"/>
          <w:lang w:val="hy-AM"/>
        </w:rPr>
        <w:t xml:space="preserve"> թվականի պետական բյուջեով նախատեսվել է </w:t>
      </w:r>
      <w:r>
        <w:rPr>
          <w:rFonts w:cs="Times Armenian"/>
          <w:b w:val="0"/>
          <w:szCs w:val="22"/>
          <w:lang w:val="hy-AM"/>
        </w:rPr>
        <w:t>483</w:t>
      </w:r>
      <w:r w:rsidRPr="007955BB">
        <w:rPr>
          <w:rFonts w:cs="Times Armenian"/>
          <w:b w:val="0"/>
          <w:szCs w:val="22"/>
          <w:lang w:val="hy-AM"/>
        </w:rPr>
        <w:t>.</w:t>
      </w:r>
      <w:r>
        <w:rPr>
          <w:rFonts w:cs="Times Armenian"/>
          <w:b w:val="0"/>
          <w:szCs w:val="22"/>
          <w:lang w:val="hy-AM"/>
        </w:rPr>
        <w:t>8</w:t>
      </w:r>
      <w:r w:rsidRPr="007955BB">
        <w:rPr>
          <w:rFonts w:cs="Times Armenian"/>
          <w:b w:val="0"/>
          <w:szCs w:val="22"/>
          <w:lang w:val="hy-AM"/>
        </w:rPr>
        <w:t xml:space="preserve"> </w:t>
      </w:r>
      <w:r w:rsidRPr="007955BB">
        <w:rPr>
          <w:b w:val="0"/>
          <w:szCs w:val="22"/>
          <w:lang w:val="hy-AM"/>
        </w:rPr>
        <w:t>մլն</w:t>
      </w:r>
      <w:r w:rsidRPr="00C43BF7">
        <w:rPr>
          <w:b w:val="0"/>
          <w:szCs w:val="22"/>
          <w:lang w:val="hy-AM"/>
        </w:rPr>
        <w:t xml:space="preserve"> </w:t>
      </w:r>
      <w:r w:rsidRPr="007955BB">
        <w:rPr>
          <w:b w:val="0"/>
          <w:szCs w:val="22"/>
          <w:lang w:val="hy-AM"/>
        </w:rPr>
        <w:t>դրամ</w:t>
      </w:r>
      <w:r w:rsidRPr="007955BB">
        <w:rPr>
          <w:rFonts w:cs="Times Armenian"/>
          <w:b w:val="0"/>
          <w:szCs w:val="22"/>
          <w:lang w:val="hy-AM"/>
        </w:rPr>
        <w:t>:</w:t>
      </w:r>
    </w:p>
    <w:p w14:paraId="5224AB30" w14:textId="77777777" w:rsidR="00EB7E99" w:rsidRPr="00EB7E99" w:rsidRDefault="00EB7E99" w:rsidP="00AC1E1E">
      <w:pPr>
        <w:pStyle w:val="Heading1"/>
      </w:pPr>
      <w:bookmarkStart w:id="317" w:name="_Toc153184505"/>
      <w:r w:rsidRPr="00EB7E99">
        <w:t>ՀՀ ներքին գործերի նախարարություն</w:t>
      </w:r>
      <w:bookmarkEnd w:id="317"/>
      <w:r w:rsidRPr="00EB7E99">
        <w:t xml:space="preserve"> </w:t>
      </w:r>
    </w:p>
    <w:p w14:paraId="63C81FC9" w14:textId="497250F6" w:rsidR="00EB7E99" w:rsidRPr="007F5F7A" w:rsidRDefault="00EB7E99" w:rsidP="00AC1E1E">
      <w:pPr>
        <w:tabs>
          <w:tab w:val="left" w:pos="284"/>
        </w:tabs>
        <w:rPr>
          <w:b w:val="0"/>
          <w:bCs/>
          <w:szCs w:val="22"/>
          <w:lang w:val="hy-AM"/>
        </w:rPr>
      </w:pPr>
      <w:r>
        <w:rPr>
          <w:b w:val="0"/>
          <w:bCs/>
          <w:szCs w:val="22"/>
          <w:lang w:val="hy-AM"/>
        </w:rPr>
        <w:t>ՀՀ 2024</w:t>
      </w:r>
      <w:r w:rsidRPr="007F5F7A">
        <w:rPr>
          <w:b w:val="0"/>
          <w:bCs/>
          <w:szCs w:val="22"/>
          <w:lang w:val="hy-AM"/>
        </w:rPr>
        <w:t xml:space="preserve"> թվականի պետական բյուջեով ՀՀ </w:t>
      </w:r>
      <w:r>
        <w:rPr>
          <w:b w:val="0"/>
          <w:bCs/>
          <w:szCs w:val="22"/>
          <w:lang w:val="hy-AM"/>
        </w:rPr>
        <w:t>ներքին գործերի նախարարության</w:t>
      </w:r>
      <w:r w:rsidRPr="007F5F7A">
        <w:rPr>
          <w:b w:val="0"/>
          <w:bCs/>
          <w:szCs w:val="22"/>
          <w:lang w:val="hy-AM"/>
        </w:rPr>
        <w:t xml:space="preserve"> ընդհա</w:t>
      </w:r>
      <w:r>
        <w:rPr>
          <w:b w:val="0"/>
          <w:bCs/>
          <w:szCs w:val="22"/>
          <w:lang w:val="hy-AM"/>
        </w:rPr>
        <w:t xml:space="preserve">նուր հատկացումները կազմում են </w:t>
      </w:r>
      <w:r w:rsidR="00C70C0F" w:rsidRPr="00C70C0F">
        <w:rPr>
          <w:b w:val="0"/>
          <w:bCs/>
          <w:szCs w:val="22"/>
          <w:lang w:val="hy-AM"/>
        </w:rPr>
        <w:t>91</w:t>
      </w:r>
      <w:r w:rsidRPr="007F5F7A">
        <w:rPr>
          <w:b w:val="0"/>
          <w:bCs/>
          <w:szCs w:val="22"/>
          <w:lang w:val="hy-AM"/>
        </w:rPr>
        <w:t>,</w:t>
      </w:r>
      <w:r w:rsidR="00C70C0F" w:rsidRPr="00C70C0F">
        <w:rPr>
          <w:b w:val="0"/>
          <w:bCs/>
          <w:szCs w:val="22"/>
          <w:lang w:val="hy-AM"/>
        </w:rPr>
        <w:t>130</w:t>
      </w:r>
      <w:r w:rsidRPr="007F5F7A">
        <w:rPr>
          <w:b w:val="0"/>
          <w:bCs/>
          <w:szCs w:val="22"/>
          <w:lang w:val="hy-AM"/>
        </w:rPr>
        <w:t>.</w:t>
      </w:r>
      <w:r w:rsidR="00C70C0F" w:rsidRPr="00C70C0F">
        <w:rPr>
          <w:b w:val="0"/>
          <w:bCs/>
          <w:szCs w:val="22"/>
          <w:lang w:val="hy-AM"/>
        </w:rPr>
        <w:t>5</w:t>
      </w:r>
      <w:r>
        <w:rPr>
          <w:b w:val="0"/>
          <w:bCs/>
          <w:szCs w:val="22"/>
          <w:lang w:val="hy-AM"/>
        </w:rPr>
        <w:t xml:space="preserve"> մլն դրամ</w:t>
      </w:r>
      <w:r w:rsidRPr="007F5F7A">
        <w:rPr>
          <w:b w:val="0"/>
          <w:bCs/>
          <w:szCs w:val="22"/>
          <w:lang w:val="hy-AM"/>
        </w:rPr>
        <w:t xml:space="preserve">: </w:t>
      </w:r>
    </w:p>
    <w:p w14:paraId="0F784993" w14:textId="65966411" w:rsidR="00EB7E99" w:rsidRPr="006B6E50" w:rsidRDefault="00EB7E99" w:rsidP="00AC1E1E">
      <w:pPr>
        <w:tabs>
          <w:tab w:val="left" w:pos="284"/>
        </w:tabs>
        <w:rPr>
          <w:b w:val="0"/>
          <w:bCs/>
          <w:szCs w:val="22"/>
          <w:lang w:val="hy-AM"/>
        </w:rPr>
      </w:pPr>
      <w:r w:rsidRPr="006B6E50">
        <w:rPr>
          <w:b w:val="0"/>
          <w:bCs/>
          <w:szCs w:val="22"/>
          <w:lang w:val="hy-AM"/>
        </w:rPr>
        <w:t>Նախատեսվող հատկացումները հիմնականում վերագրվում են  ընթացիկ ծախսե</w:t>
      </w:r>
      <w:r w:rsidR="00C70C0F">
        <w:rPr>
          <w:b w:val="0"/>
          <w:bCs/>
          <w:szCs w:val="22"/>
          <w:lang w:val="hy-AM"/>
        </w:rPr>
        <w:t>րին՝ 89,519.</w:t>
      </w:r>
      <w:r w:rsidR="00C70C0F" w:rsidRPr="00C70C0F">
        <w:rPr>
          <w:b w:val="0"/>
          <w:bCs/>
          <w:szCs w:val="22"/>
          <w:lang w:val="hy-AM"/>
        </w:rPr>
        <w:t>4</w:t>
      </w:r>
      <w:r w:rsidR="00D63202">
        <w:rPr>
          <w:b w:val="0"/>
          <w:bCs/>
          <w:szCs w:val="22"/>
          <w:lang w:val="hy-AM"/>
        </w:rPr>
        <w:t xml:space="preserve"> մլն </w:t>
      </w:r>
      <w:r w:rsidRPr="006B6E50">
        <w:rPr>
          <w:b w:val="0"/>
          <w:bCs/>
          <w:szCs w:val="22"/>
          <w:lang w:val="hy-AM"/>
        </w:rPr>
        <w:t xml:space="preserve">դրամ, իսկ կապիտալ ծախսերը կազմել են 1,611.1 մլն դրամ։ </w:t>
      </w:r>
    </w:p>
    <w:p w14:paraId="14AB40EE" w14:textId="77777777" w:rsidR="00EB7E99" w:rsidRPr="006B6E50" w:rsidRDefault="00EB7E99" w:rsidP="00AC1E1E">
      <w:pPr>
        <w:tabs>
          <w:tab w:val="left" w:pos="284"/>
        </w:tabs>
        <w:rPr>
          <w:b w:val="0"/>
          <w:bCs/>
          <w:szCs w:val="22"/>
          <w:lang w:val="hy-AM"/>
        </w:rPr>
      </w:pPr>
      <w:r w:rsidRPr="006B6E50">
        <w:rPr>
          <w:b w:val="0"/>
          <w:bCs/>
          <w:szCs w:val="22"/>
          <w:lang w:val="hy-AM"/>
        </w:rPr>
        <w:t xml:space="preserve">Ներքին գործերի նախարարության ոլորտի քաղաքականության մշակում, կառավարում, կենտրոնացված միջոցառումների մոնիթորինգ և վերահսկողություն ծրագրի գծով հատկացումները կազմում են </w:t>
      </w:r>
      <w:r w:rsidR="00C70C0F" w:rsidRPr="00C70C0F">
        <w:rPr>
          <w:b w:val="0"/>
          <w:bCs/>
          <w:szCs w:val="22"/>
          <w:lang w:val="hy-AM"/>
        </w:rPr>
        <w:t>76,097.4</w:t>
      </w:r>
      <w:r w:rsidRPr="006B6E50">
        <w:rPr>
          <w:b w:val="0"/>
          <w:bCs/>
          <w:szCs w:val="22"/>
          <w:lang w:val="hy-AM"/>
        </w:rPr>
        <w:t xml:space="preserve"> մլն դրամ, որից ընթացիկ ծախսերի գծով հատկացումները կազմում են </w:t>
      </w:r>
      <w:r w:rsidR="00C70C0F" w:rsidRPr="00C70C0F">
        <w:rPr>
          <w:b w:val="0"/>
          <w:bCs/>
          <w:szCs w:val="22"/>
          <w:lang w:val="hy-AM"/>
        </w:rPr>
        <w:t>74</w:t>
      </w:r>
      <w:r w:rsidRPr="006B6E50">
        <w:rPr>
          <w:b w:val="0"/>
          <w:bCs/>
          <w:szCs w:val="22"/>
          <w:lang w:val="hy-AM"/>
        </w:rPr>
        <w:t>,</w:t>
      </w:r>
      <w:r w:rsidR="00C70C0F" w:rsidRPr="00C70C0F">
        <w:rPr>
          <w:b w:val="0"/>
          <w:bCs/>
          <w:szCs w:val="22"/>
          <w:lang w:val="hy-AM"/>
        </w:rPr>
        <w:t>486</w:t>
      </w:r>
      <w:r w:rsidRPr="006B6E50">
        <w:rPr>
          <w:b w:val="0"/>
          <w:bCs/>
          <w:szCs w:val="22"/>
          <w:lang w:val="hy-AM"/>
        </w:rPr>
        <w:t>.</w:t>
      </w:r>
      <w:r w:rsidR="00C70C0F" w:rsidRPr="00C70C0F">
        <w:rPr>
          <w:b w:val="0"/>
          <w:bCs/>
          <w:szCs w:val="22"/>
          <w:lang w:val="hy-AM"/>
        </w:rPr>
        <w:t>3</w:t>
      </w:r>
      <w:r w:rsidRPr="006B6E50">
        <w:rPr>
          <w:b w:val="0"/>
          <w:bCs/>
          <w:szCs w:val="22"/>
          <w:lang w:val="hy-AM"/>
        </w:rPr>
        <w:t xml:space="preserve"> մլն դրամ, իսկ կապիտալ ծախսերը՝ 1,611.1 մլն դրամ: </w:t>
      </w:r>
    </w:p>
    <w:p w14:paraId="08E6AA9A" w14:textId="77777777" w:rsidR="00EB7E99" w:rsidRDefault="00EB7E99" w:rsidP="00AC1E1E">
      <w:pPr>
        <w:tabs>
          <w:tab w:val="left" w:pos="284"/>
        </w:tabs>
        <w:rPr>
          <w:b w:val="0"/>
          <w:bCs/>
          <w:szCs w:val="22"/>
          <w:lang w:val="hy-AM"/>
        </w:rPr>
      </w:pPr>
      <w:r w:rsidRPr="006B6E50">
        <w:rPr>
          <w:b w:val="0"/>
          <w:bCs/>
          <w:szCs w:val="22"/>
          <w:lang w:val="hy-AM"/>
        </w:rPr>
        <w:t>Ծրագրով իրականացվող ներքին գործերի նախարարության</w:t>
      </w:r>
      <w:r w:rsidRPr="007F5F7A">
        <w:rPr>
          <w:b w:val="0"/>
          <w:bCs/>
          <w:szCs w:val="22"/>
          <w:lang w:val="hy-AM"/>
        </w:rPr>
        <w:t xml:space="preserve"> գործունեության հիմնական նպատակներ են.</w:t>
      </w:r>
    </w:p>
    <w:p w14:paraId="142B9C02"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F13F6">
        <w:rPr>
          <w:b w:val="0"/>
          <w:bCs/>
          <w:szCs w:val="22"/>
          <w:lang w:val="hy-AM"/>
        </w:rPr>
        <w:t xml:space="preserve">հասարակական կարգի </w:t>
      </w:r>
      <w:r w:rsidRPr="00097368">
        <w:rPr>
          <w:rFonts w:eastAsia="Calibri" w:cs="Arial"/>
          <w:b w:val="0"/>
          <w:bCs/>
          <w:kern w:val="2"/>
          <w:szCs w:val="22"/>
          <w:lang w:val="hy-AM"/>
          <w14:ligatures w14:val="standardContextual"/>
        </w:rPr>
        <w:t>պահպանությունը և հասարակական անվտանգության ապահովումը,</w:t>
      </w:r>
    </w:p>
    <w:p w14:paraId="680CA5D5"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պետական շենքերի կարևորագույն օբյեկտների անվտանգության ապահովումը, </w:t>
      </w:r>
    </w:p>
    <w:p w14:paraId="4842C38E"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հատուկ պետական պաշտպանության ենթակա անձանց անվտանգության. ապահովմանն աջակցելը, </w:t>
      </w:r>
    </w:p>
    <w:p w14:paraId="4454FCFF"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lastRenderedPageBreak/>
        <w:t>ռազմական և արտակարգ դրությունների իրավական ռեժիմի ապահովմանը մասնակցելը,</w:t>
      </w:r>
    </w:p>
    <w:p w14:paraId="0B7A9762"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քրեական վարույթն իրականացնող մարմիններին օժանդակելը,</w:t>
      </w:r>
    </w:p>
    <w:p w14:paraId="790E4EC8"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աղետների վաղ ազդարարման համակարգի զարգացումը, մարդկային կորուստների  և տնտեսական վնասների նվազեցումը,</w:t>
      </w:r>
    </w:p>
    <w:p w14:paraId="34F15A19"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տեխնիկական անվտանգության ոլորտում՝ արտադրական վտանգավոր օբյեկտների շահագործմամբ</w:t>
      </w:r>
      <w:r w:rsidR="000F13F6" w:rsidRPr="00097368">
        <w:rPr>
          <w:rFonts w:eastAsia="Calibri" w:cs="Arial"/>
          <w:b w:val="0"/>
          <w:bCs/>
          <w:kern w:val="2"/>
          <w:szCs w:val="22"/>
          <w:lang w:val="hy-AM"/>
          <w14:ligatures w14:val="standardContextual"/>
        </w:rPr>
        <w:t xml:space="preserve"> </w:t>
      </w:r>
      <w:r w:rsidRPr="00097368">
        <w:rPr>
          <w:rFonts w:eastAsia="Calibri" w:cs="Arial"/>
          <w:b w:val="0"/>
          <w:bCs/>
          <w:kern w:val="2"/>
          <w:szCs w:val="22"/>
          <w:lang w:val="hy-AM"/>
          <w14:ligatures w14:val="standardContextual"/>
        </w:rPr>
        <w:t>պայմանավորված, տեխնածին վթարների, դրանց հետևանքով հասարակությանը և տնտեսությանը պատճառվող վնասների ռիսկերի նվազեցումը,</w:t>
      </w:r>
    </w:p>
    <w:p w14:paraId="2A1A4C45" w14:textId="77777777" w:rsidR="00EB7E99" w:rsidRPr="00097368" w:rsidRDefault="00EB7E99"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միգրացիոն քաղաքականության մշակումը և իրականացումը,</w:t>
      </w:r>
    </w:p>
    <w:p w14:paraId="4DECCF14" w14:textId="77777777" w:rsidR="00EB7E99" w:rsidRPr="006B270D" w:rsidRDefault="00EB7E99" w:rsidP="00AC1E1E">
      <w:pPr>
        <w:pStyle w:val="ListParagraph"/>
        <w:numPr>
          <w:ilvl w:val="0"/>
          <w:numId w:val="55"/>
        </w:numPr>
        <w:tabs>
          <w:tab w:val="left" w:pos="284"/>
        </w:tabs>
        <w:suppressAutoHyphens/>
        <w:ind w:left="0" w:firstLine="0"/>
        <w:rPr>
          <w:b w:val="0"/>
          <w:bCs/>
          <w:szCs w:val="22"/>
          <w:lang w:val="es-ES"/>
        </w:rPr>
      </w:pPr>
      <w:r w:rsidRPr="00097368">
        <w:rPr>
          <w:rFonts w:eastAsia="Calibri" w:cs="Arial"/>
          <w:b w:val="0"/>
          <w:bCs/>
          <w:kern w:val="2"/>
          <w:szCs w:val="22"/>
          <w:lang w:val="hy-AM"/>
          <w14:ligatures w14:val="standardContextual"/>
        </w:rPr>
        <w:t>Հայաստանի Հանրապետությունում կենսաչափական փաստաթղթերի տրամադրման համակար</w:t>
      </w:r>
      <w:r w:rsidRPr="000F13F6">
        <w:rPr>
          <w:b w:val="0"/>
          <w:bCs/>
          <w:szCs w:val="22"/>
          <w:lang w:val="es-ES"/>
        </w:rPr>
        <w:t>գի արդիականացում</w:t>
      </w:r>
      <w:r w:rsidRPr="000F13F6">
        <w:rPr>
          <w:b w:val="0"/>
          <w:bCs/>
          <w:szCs w:val="22"/>
          <w:lang w:val="hy-AM"/>
        </w:rPr>
        <w:t>ը</w:t>
      </w:r>
      <w:r w:rsidRPr="000F13F6">
        <w:rPr>
          <w:b w:val="0"/>
          <w:bCs/>
          <w:szCs w:val="22"/>
          <w:lang w:val="es-ES"/>
        </w:rPr>
        <w:t xml:space="preserve"> և բնակչությանը մատուցվող էլեկտրոնային ծառայությունների հնարավորությունների ավելացում</w:t>
      </w:r>
      <w:r w:rsidRPr="000F13F6">
        <w:rPr>
          <w:b w:val="0"/>
          <w:bCs/>
          <w:szCs w:val="22"/>
          <w:lang w:val="hy-AM"/>
        </w:rPr>
        <w:t>ը:</w:t>
      </w:r>
    </w:p>
    <w:p w14:paraId="10D10E35" w14:textId="77777777" w:rsidR="006B270D" w:rsidRPr="006D4887" w:rsidRDefault="006B270D" w:rsidP="00AC1E1E">
      <w:pPr>
        <w:rPr>
          <w:b w:val="0"/>
          <w:bCs/>
          <w:szCs w:val="22"/>
          <w:lang w:val="hy-AM"/>
        </w:rPr>
      </w:pPr>
      <w:r w:rsidRPr="006B270D">
        <w:rPr>
          <w:rFonts w:cs="Arian AMU"/>
          <w:b w:val="0"/>
          <w:szCs w:val="22"/>
          <w:lang w:val="hy-AM"/>
        </w:rPr>
        <w:t>ՀՀ ներքին գործերի նախարարության փրկարար ծառայություններ ծրագրի գծով</w:t>
      </w:r>
      <w:r w:rsidRPr="006B270D">
        <w:rPr>
          <w:b w:val="0"/>
          <w:bCs/>
          <w:szCs w:val="22"/>
          <w:lang w:val="hy-AM"/>
        </w:rPr>
        <w:t xml:space="preserve"> հատկացումները կազմում են 13,461.4 </w:t>
      </w:r>
      <w:r w:rsidRPr="006B270D">
        <w:rPr>
          <w:b w:val="0"/>
          <w:szCs w:val="22"/>
          <w:lang w:val="hy-AM"/>
        </w:rPr>
        <w:t>մլն</w:t>
      </w:r>
      <w:r w:rsidRPr="006B270D">
        <w:rPr>
          <w:b w:val="0"/>
          <w:bCs/>
          <w:szCs w:val="22"/>
          <w:lang w:val="hy-AM"/>
        </w:rPr>
        <w:t xml:space="preserve"> դրամ: </w:t>
      </w:r>
      <w:r w:rsidRPr="007955BB">
        <w:rPr>
          <w:rFonts w:cs="Sylfaen"/>
          <w:b w:val="0"/>
          <w:szCs w:val="22"/>
          <w:lang w:val="hy-AM"/>
        </w:rPr>
        <w:t xml:space="preserve">Ծրագրի </w:t>
      </w:r>
      <w:r w:rsidR="006D4887">
        <w:rPr>
          <w:rFonts w:cs="Sylfaen"/>
          <w:b w:val="0"/>
          <w:szCs w:val="22"/>
          <w:lang w:val="en-US"/>
        </w:rPr>
        <w:t>շրջանակներում</w:t>
      </w:r>
      <w:r w:rsidR="006D4887" w:rsidRPr="006D4887">
        <w:rPr>
          <w:rFonts w:cs="Sylfaen"/>
          <w:b w:val="0"/>
          <w:szCs w:val="22"/>
          <w:lang w:val="es-ES"/>
        </w:rPr>
        <w:t xml:space="preserve"> </w:t>
      </w:r>
      <w:r w:rsidR="006D4887">
        <w:rPr>
          <w:rFonts w:cs="Sylfaen"/>
          <w:b w:val="0"/>
          <w:szCs w:val="22"/>
          <w:lang w:val="en-US"/>
        </w:rPr>
        <w:t>հատկացված</w:t>
      </w:r>
      <w:r w:rsidR="006D4887" w:rsidRPr="006D4887">
        <w:rPr>
          <w:rFonts w:cs="Sylfaen"/>
          <w:b w:val="0"/>
          <w:szCs w:val="22"/>
          <w:lang w:val="es-ES"/>
        </w:rPr>
        <w:t xml:space="preserve"> </w:t>
      </w:r>
      <w:r w:rsidR="006D4887">
        <w:rPr>
          <w:rFonts w:cs="Sylfaen"/>
          <w:b w:val="0"/>
          <w:szCs w:val="22"/>
          <w:lang w:val="en-US"/>
        </w:rPr>
        <w:t>միջոցներն</w:t>
      </w:r>
      <w:r w:rsidR="006D4887" w:rsidRPr="006D4887">
        <w:rPr>
          <w:rFonts w:cs="Sylfaen"/>
          <w:b w:val="0"/>
          <w:szCs w:val="22"/>
          <w:lang w:val="es-ES"/>
        </w:rPr>
        <w:t xml:space="preserve"> </w:t>
      </w:r>
      <w:r w:rsidR="006D4887">
        <w:rPr>
          <w:rFonts w:cs="Sylfaen"/>
          <w:b w:val="0"/>
          <w:szCs w:val="22"/>
          <w:lang w:val="en-US"/>
        </w:rPr>
        <w:t>ուղղվելու</w:t>
      </w:r>
      <w:r w:rsidR="006D4887" w:rsidRPr="006D4887">
        <w:rPr>
          <w:rFonts w:cs="Sylfaen"/>
          <w:b w:val="0"/>
          <w:szCs w:val="22"/>
          <w:lang w:val="es-ES"/>
        </w:rPr>
        <w:t xml:space="preserve"> </w:t>
      </w:r>
      <w:r w:rsidR="006D4887">
        <w:rPr>
          <w:rFonts w:cs="Sylfaen"/>
          <w:b w:val="0"/>
          <w:szCs w:val="22"/>
          <w:lang w:val="en-US"/>
        </w:rPr>
        <w:t>են</w:t>
      </w:r>
      <w:r w:rsidR="006D4887" w:rsidRPr="006D4887">
        <w:rPr>
          <w:rFonts w:cs="Sylfaen"/>
          <w:b w:val="0"/>
          <w:szCs w:val="22"/>
          <w:lang w:val="es-ES"/>
        </w:rPr>
        <w:t xml:space="preserve"> </w:t>
      </w:r>
      <w:r w:rsidRPr="000F13F6">
        <w:rPr>
          <w:rFonts w:cs="GHEA Grapalat"/>
          <w:b w:val="0"/>
          <w:bCs/>
          <w:szCs w:val="22"/>
          <w:lang w:val="es-ES"/>
        </w:rPr>
        <w:t>փրկարարական</w:t>
      </w:r>
      <w:r w:rsidRPr="000F13F6">
        <w:rPr>
          <w:b w:val="0"/>
          <w:bCs/>
          <w:szCs w:val="22"/>
          <w:lang w:val="es-ES"/>
        </w:rPr>
        <w:t xml:space="preserve"> </w:t>
      </w:r>
      <w:r w:rsidRPr="000F13F6">
        <w:rPr>
          <w:rFonts w:cs="GHEA Grapalat"/>
          <w:b w:val="0"/>
          <w:bCs/>
          <w:szCs w:val="22"/>
          <w:lang w:val="es-ES"/>
        </w:rPr>
        <w:t>ուժերի</w:t>
      </w:r>
      <w:r w:rsidRPr="000F13F6">
        <w:rPr>
          <w:b w:val="0"/>
          <w:bCs/>
          <w:szCs w:val="22"/>
          <w:lang w:val="es-ES"/>
        </w:rPr>
        <w:t xml:space="preserve"> </w:t>
      </w:r>
      <w:r w:rsidRPr="000F13F6">
        <w:rPr>
          <w:rFonts w:cs="GHEA Grapalat"/>
          <w:b w:val="0"/>
          <w:bCs/>
          <w:szCs w:val="22"/>
          <w:lang w:val="es-ES"/>
        </w:rPr>
        <w:t>կարողությունների</w:t>
      </w:r>
      <w:r w:rsidRPr="000F13F6">
        <w:rPr>
          <w:b w:val="0"/>
          <w:bCs/>
          <w:szCs w:val="22"/>
          <w:lang w:val="es-ES"/>
        </w:rPr>
        <w:t xml:space="preserve"> </w:t>
      </w:r>
      <w:r w:rsidRPr="000F13F6">
        <w:rPr>
          <w:rFonts w:cs="GHEA Grapalat"/>
          <w:b w:val="0"/>
          <w:bCs/>
          <w:szCs w:val="22"/>
          <w:lang w:val="es-ES"/>
        </w:rPr>
        <w:t>զարգացմ</w:t>
      </w:r>
      <w:r w:rsidR="006D4887">
        <w:rPr>
          <w:rFonts w:cs="GHEA Grapalat"/>
          <w:b w:val="0"/>
          <w:bCs/>
          <w:szCs w:val="22"/>
          <w:lang w:val="es-ES"/>
        </w:rPr>
        <w:t>անը</w:t>
      </w:r>
      <w:r w:rsidR="001A758B">
        <w:rPr>
          <w:b w:val="0"/>
          <w:bCs/>
          <w:szCs w:val="22"/>
          <w:lang w:val="es-ES"/>
        </w:rPr>
        <w:t xml:space="preserve"> և</w:t>
      </w:r>
      <w:r w:rsidRPr="000F13F6">
        <w:rPr>
          <w:b w:val="0"/>
          <w:bCs/>
          <w:szCs w:val="22"/>
          <w:lang w:val="es-ES"/>
        </w:rPr>
        <w:t xml:space="preserve"> </w:t>
      </w:r>
      <w:r w:rsidRPr="000F13F6">
        <w:rPr>
          <w:rFonts w:cs="GHEA Grapalat"/>
          <w:b w:val="0"/>
          <w:bCs/>
          <w:szCs w:val="22"/>
          <w:lang w:val="es-ES"/>
        </w:rPr>
        <w:t>պատրաստականության</w:t>
      </w:r>
      <w:r w:rsidRPr="000F13F6">
        <w:rPr>
          <w:b w:val="0"/>
          <w:bCs/>
          <w:szCs w:val="22"/>
          <w:lang w:val="es-ES"/>
        </w:rPr>
        <w:t xml:space="preserve"> </w:t>
      </w:r>
      <w:r w:rsidRPr="000F13F6">
        <w:rPr>
          <w:rFonts w:cs="GHEA Grapalat"/>
          <w:b w:val="0"/>
          <w:bCs/>
          <w:szCs w:val="22"/>
          <w:lang w:val="es-ES"/>
        </w:rPr>
        <w:t>բարձրացմ</w:t>
      </w:r>
      <w:r w:rsidR="006D4887">
        <w:rPr>
          <w:rFonts w:cs="GHEA Grapalat"/>
          <w:b w:val="0"/>
          <w:bCs/>
          <w:szCs w:val="22"/>
          <w:lang w:val="es-ES"/>
        </w:rPr>
        <w:t>ան</w:t>
      </w:r>
      <w:r w:rsidRPr="000F13F6">
        <w:rPr>
          <w:rFonts w:cs="GHEA Grapalat"/>
          <w:b w:val="0"/>
          <w:bCs/>
          <w:szCs w:val="22"/>
          <w:lang w:val="hy-AM"/>
        </w:rPr>
        <w:t>ը</w:t>
      </w:r>
      <w:r w:rsidR="006D4887" w:rsidRPr="006D4887">
        <w:rPr>
          <w:rFonts w:cs="GHEA Grapalat"/>
          <w:b w:val="0"/>
          <w:bCs/>
          <w:szCs w:val="22"/>
          <w:lang w:val="hy-AM"/>
        </w:rPr>
        <w:t>:</w:t>
      </w:r>
    </w:p>
    <w:p w14:paraId="3F1AB5DC" w14:textId="77777777" w:rsidR="006B270D" w:rsidRPr="006B270D" w:rsidRDefault="006B270D" w:rsidP="00AC1E1E">
      <w:pPr>
        <w:pStyle w:val="ListParagraph"/>
        <w:tabs>
          <w:tab w:val="left" w:pos="284"/>
          <w:tab w:val="left" w:pos="567"/>
        </w:tabs>
        <w:ind w:left="0"/>
        <w:rPr>
          <w:b w:val="0"/>
          <w:bCs/>
          <w:szCs w:val="22"/>
          <w:lang w:val="hy-AM"/>
        </w:rPr>
      </w:pPr>
    </w:p>
    <w:p w14:paraId="7EBF9202" w14:textId="77777777" w:rsidR="00EB7E99" w:rsidRPr="007955BB" w:rsidRDefault="00EB7E99" w:rsidP="00AC1E1E">
      <w:pPr>
        <w:rPr>
          <w:b w:val="0"/>
          <w:bCs/>
          <w:szCs w:val="22"/>
          <w:lang w:val="hy-AM"/>
        </w:rPr>
      </w:pPr>
      <w:r>
        <w:rPr>
          <w:rFonts w:cs="Arian AMU"/>
          <w:szCs w:val="22"/>
          <w:lang w:val="hy-AM"/>
        </w:rPr>
        <w:t xml:space="preserve">ՀՀ ներքին գործերի նախարարության </w:t>
      </w:r>
      <w:r w:rsidRPr="007955BB">
        <w:rPr>
          <w:rFonts w:cs="Arian AMU"/>
          <w:szCs w:val="22"/>
          <w:lang w:val="hy-AM"/>
        </w:rPr>
        <w:t>կրթական ծառայություններ</w:t>
      </w:r>
      <w:r w:rsidRPr="007955BB">
        <w:rPr>
          <w:rFonts w:cs="Arian AMU"/>
          <w:b w:val="0"/>
          <w:szCs w:val="22"/>
          <w:lang w:val="hy-AM"/>
        </w:rPr>
        <w:t xml:space="preserve"> ծրագրի գծով</w:t>
      </w:r>
      <w:r w:rsidRPr="007955BB">
        <w:rPr>
          <w:b w:val="0"/>
          <w:bCs/>
          <w:szCs w:val="22"/>
          <w:lang w:val="hy-AM"/>
        </w:rPr>
        <w:t xml:space="preserve"> հատկացումները կազմում են 1,571.7 </w:t>
      </w:r>
      <w:r w:rsidRPr="007955BB">
        <w:rPr>
          <w:b w:val="0"/>
          <w:szCs w:val="22"/>
          <w:lang w:val="hy-AM"/>
        </w:rPr>
        <w:t>մլն</w:t>
      </w:r>
      <w:r w:rsidRPr="007955BB">
        <w:rPr>
          <w:b w:val="0"/>
          <w:bCs/>
          <w:szCs w:val="22"/>
          <w:lang w:val="hy-AM"/>
        </w:rPr>
        <w:t xml:space="preserve"> դրամ: </w:t>
      </w:r>
    </w:p>
    <w:p w14:paraId="165155CF" w14:textId="77777777" w:rsidR="00EB7E99" w:rsidRPr="007955BB" w:rsidRDefault="00EB7E99" w:rsidP="00AC1E1E">
      <w:pPr>
        <w:rPr>
          <w:rFonts w:cs="Sylfaen"/>
          <w:b w:val="0"/>
          <w:szCs w:val="22"/>
          <w:lang w:val="hy-AM"/>
        </w:rPr>
      </w:pPr>
      <w:r w:rsidRPr="007955BB">
        <w:rPr>
          <w:rFonts w:cs="Sylfaen"/>
          <w:b w:val="0"/>
          <w:szCs w:val="22"/>
          <w:lang w:val="hy-AM"/>
        </w:rPr>
        <w:t xml:space="preserve">Ծրագրի նպատակն է՝ </w:t>
      </w:r>
      <w:r>
        <w:rPr>
          <w:rFonts w:cs="Sylfaen"/>
          <w:b w:val="0"/>
          <w:szCs w:val="22"/>
          <w:lang w:val="hy-AM"/>
        </w:rPr>
        <w:t xml:space="preserve">ՀՀ ներքին գործերի նախարարության </w:t>
      </w:r>
      <w:r w:rsidRPr="007955BB">
        <w:rPr>
          <w:rFonts w:cs="Sylfaen"/>
          <w:b w:val="0"/>
          <w:szCs w:val="22"/>
          <w:lang w:val="hy-AM"/>
        </w:rPr>
        <w:t>ոստիկանության ծառայողների մասնագիտական գիտելիքների և գործնական հմտությունների ձևավորումը:</w:t>
      </w:r>
      <w:r w:rsidRPr="007955BB">
        <w:rPr>
          <w:b w:val="0"/>
          <w:lang w:val="hy-AM"/>
        </w:rPr>
        <w:t xml:space="preserve"> Ծրագրի շրջանակներում միջոցներ են նախատեսվել ո</w:t>
      </w:r>
      <w:r w:rsidRPr="007955BB">
        <w:rPr>
          <w:rFonts w:cs="Sylfaen"/>
          <w:b w:val="0"/>
          <w:szCs w:val="22"/>
          <w:lang w:val="hy-AM"/>
        </w:rPr>
        <w:t>ստիկանության ծառայողների նախնական, միջին և բարձրագույն մասնագիտական կրթության գծով:</w:t>
      </w:r>
    </w:p>
    <w:p w14:paraId="49559C13" w14:textId="77777777" w:rsidR="00787739" w:rsidRPr="002752AD" w:rsidRDefault="00787739" w:rsidP="00AC1E1E">
      <w:pPr>
        <w:pStyle w:val="Heading1"/>
      </w:pPr>
      <w:bookmarkStart w:id="318" w:name="_Toc153184506"/>
      <w:r w:rsidRPr="002752AD">
        <w:t>ՀՀ ազգային անվտանգության ծառայություն</w:t>
      </w:r>
      <w:bookmarkEnd w:id="318"/>
    </w:p>
    <w:p w14:paraId="74514F61" w14:textId="77777777" w:rsidR="00C87063" w:rsidRDefault="00C87063" w:rsidP="00AC1E1E">
      <w:pPr>
        <w:rPr>
          <w:rFonts w:cs="Tahoma"/>
          <w:b w:val="0"/>
          <w:iCs/>
          <w:noProof/>
          <w:lang w:val="it-IT"/>
        </w:rPr>
      </w:pPr>
      <w:r>
        <w:rPr>
          <w:rFonts w:cs="Tahoma"/>
          <w:b w:val="0"/>
          <w:iCs/>
          <w:noProof/>
          <w:lang w:val="it-IT"/>
        </w:rPr>
        <w:t xml:space="preserve">ՀՀ ազգային անվտանգությունը պետության և հասարակության այնպիսի կացություն է, երբ ապահովված է անձի, հասարակության և պետության անվտանգությունը, երկրի տարածքային ամբողջականությունը, ինքնիշխանությունը, սահմանադրական կարգը, տնտեսության բնականոն զարգացումը, հասարակության նյութական և հոգևոր արժեքների, քաղաքացիների իրավունքների և ազատությունների, շրջակա միջավայրի պաշտպանությունը ներքին և արտաքին սպառնալիքներից: </w:t>
      </w:r>
    </w:p>
    <w:p w14:paraId="6E5F2B34" w14:textId="77777777" w:rsidR="00C87063" w:rsidRDefault="00C87063" w:rsidP="00AC1E1E">
      <w:pPr>
        <w:rPr>
          <w:rFonts w:cs="Tahoma"/>
          <w:b w:val="0"/>
          <w:iCs/>
          <w:noProof/>
          <w:lang w:val="it-IT"/>
        </w:rPr>
      </w:pPr>
      <w:r>
        <w:rPr>
          <w:rFonts w:cs="Tahoma"/>
          <w:b w:val="0"/>
          <w:iCs/>
          <w:noProof/>
          <w:lang w:val="hy-AM"/>
        </w:rPr>
        <w:t>ՀՀ</w:t>
      </w:r>
      <w:r>
        <w:rPr>
          <w:rFonts w:cs="Tahoma"/>
          <w:b w:val="0"/>
          <w:iCs/>
          <w:noProof/>
          <w:lang w:val="it-IT"/>
        </w:rPr>
        <w:t xml:space="preserve"> արտաքին և ներքին անվտանգության ապահովման կարևորագույն նախապայմանն անվտանգության միջավայրի համակողմանի գնահատման հիման վրա արտաքին, ներքին և պաշտպանական քաղաքականության ճկուն գործիքակազմի ձևավորումն է, ինչը հնարավորություն կտա Կառավարության քաղաքական առաջնահերթությունները կյանքի կոչելու համար ստեղծել կայուն և կանխատեսելի մթնոլորտ, իսկ արտաքին անվտանգության ապահովման երաշխիքների համար՝ բավարար կարողություններ: </w:t>
      </w:r>
    </w:p>
    <w:p w14:paraId="54096A8B" w14:textId="77777777" w:rsidR="00C87063" w:rsidRDefault="00C87063" w:rsidP="00AC1E1E">
      <w:pPr>
        <w:rPr>
          <w:rFonts w:cs="Tahoma"/>
          <w:b w:val="0"/>
          <w:iCs/>
          <w:noProof/>
          <w:lang w:val="it-IT"/>
        </w:rPr>
      </w:pPr>
      <w:r>
        <w:rPr>
          <w:rFonts w:cs="Tahoma"/>
          <w:b w:val="0"/>
          <w:iCs/>
          <w:noProof/>
          <w:lang w:val="it-IT"/>
        </w:rPr>
        <w:lastRenderedPageBreak/>
        <w:t>Ազգային անվտանգության ծառայության նպատակներն են հետախուզական գործունեությունը, հակահետախուզական գործունեությունը, ռազմական հակահետախուզական գործունեությունը, պետական սահմանի պահպանությունը և պայքարը հանցագործությունների դեմ: Այս առումով վերջնական արդյունքներն են ՀՀ ազգային անվտանգության սպառնալիքների մասին տեղեկությունների ստացումը և կանխարգելիչ միջոցառումների անցկացումը, օտարերկրյա պետությունների հատուկ ծառայությունների և այլ կազմակերպությունների, ինչպես նաև առանձին անձանց հետախուզական գործունեության բացահայտումը, կանխումը և խափանումը, օպերատիվ-հետախուզական միջոցառումների շնորհիվ հանցագործությունների բացահայտումը, կանխումը և խափանումը, ՀՀ պետական սահմանի անձեռնմխելիության ապահովումը, սահմանափակումների կանխումը և խափանումը:</w:t>
      </w:r>
    </w:p>
    <w:p w14:paraId="08492BB1" w14:textId="77777777" w:rsidR="00C87063" w:rsidRDefault="00C87063" w:rsidP="00AC1E1E">
      <w:pPr>
        <w:rPr>
          <w:rFonts w:cs="Tahoma"/>
          <w:b w:val="0"/>
          <w:iCs/>
          <w:noProof/>
          <w:lang w:val="it-IT"/>
        </w:rPr>
      </w:pPr>
      <w:r>
        <w:rPr>
          <w:rFonts w:cs="Tahoma"/>
          <w:b w:val="0"/>
          <w:iCs/>
          <w:noProof/>
          <w:lang w:val="it-IT"/>
        </w:rPr>
        <w:t>Ազգային անվտանգության գերակա վերջնական արդյունքն է ազգային անվտանգության ապահովումը:</w:t>
      </w:r>
    </w:p>
    <w:p w14:paraId="7A1DECEE" w14:textId="77777777" w:rsidR="00C87063" w:rsidRDefault="00C87063" w:rsidP="00AC1E1E">
      <w:pPr>
        <w:rPr>
          <w:rFonts w:cs="Tahoma"/>
          <w:b w:val="0"/>
          <w:iCs/>
          <w:noProof/>
          <w:lang w:val="hy-AM"/>
        </w:rPr>
      </w:pPr>
      <w:r>
        <w:rPr>
          <w:rFonts w:cs="Tahoma"/>
          <w:b w:val="0"/>
          <w:iCs/>
          <w:noProof/>
          <w:lang w:val="hy-AM"/>
        </w:rPr>
        <w:t>Ազգային անվտանգության համակարգի զարգացման հիմնական միտումները</w:t>
      </w:r>
      <w:r>
        <w:rPr>
          <w:rFonts w:cs="Tahoma"/>
          <w:b w:val="0"/>
          <w:iCs/>
          <w:noProof/>
          <w:lang w:val="it-IT"/>
        </w:rPr>
        <w:t xml:space="preserve"> նպատակաուղղված են </w:t>
      </w:r>
      <w:r>
        <w:rPr>
          <w:rFonts w:cs="Tahoma"/>
          <w:b w:val="0"/>
          <w:iCs/>
          <w:noProof/>
          <w:lang w:val="hy-AM"/>
        </w:rPr>
        <w:t>ներքին և արտաքին սպառնալիքներից անձի, հասարակության ու պետության անվտանգության ապահովման</w:t>
      </w:r>
      <w:r>
        <w:rPr>
          <w:rFonts w:cs="Tahoma"/>
          <w:b w:val="0"/>
          <w:iCs/>
          <w:noProof/>
          <w:lang w:val="it-IT"/>
        </w:rPr>
        <w:t xml:space="preserve"> բարձրացմանը,</w:t>
      </w:r>
      <w:r>
        <w:rPr>
          <w:rFonts w:cs="Tahoma"/>
          <w:b w:val="0"/>
          <w:iCs/>
          <w:noProof/>
          <w:lang w:val="hy-AM"/>
        </w:rPr>
        <w:t xml:space="preserve"> տնտեսության ոլորտում կատարվող հանցագործությունների, այդ թվում՝ կոռուպցիայի տարբեր դրսևորումների և տնտեսության զարգացմանը խոչընդոտող այլ երևույթների ժամանակին հայտնաբերման ու բացահայտման աշխատանքների ակտիվացմանը</w:t>
      </w:r>
      <w:r>
        <w:rPr>
          <w:rFonts w:cs="Tahoma"/>
          <w:b w:val="0"/>
          <w:iCs/>
          <w:noProof/>
          <w:lang w:val="it-IT"/>
        </w:rPr>
        <w:t xml:space="preserve">, </w:t>
      </w:r>
      <w:r>
        <w:rPr>
          <w:rFonts w:cs="Tahoma"/>
          <w:b w:val="0"/>
          <w:iCs/>
          <w:noProof/>
          <w:lang w:val="hy-AM"/>
        </w:rPr>
        <w:t>օպերատիվ</w:t>
      </w:r>
      <w:r>
        <w:rPr>
          <w:rFonts w:cs="Tahoma"/>
          <w:b w:val="0"/>
          <w:iCs/>
          <w:noProof/>
          <w:lang w:val="it-IT"/>
        </w:rPr>
        <w:t xml:space="preserve"> </w:t>
      </w:r>
      <w:r>
        <w:rPr>
          <w:rFonts w:cs="Tahoma"/>
          <w:b w:val="0"/>
          <w:iCs/>
          <w:noProof/>
          <w:lang w:val="hy-AM"/>
        </w:rPr>
        <w:t>գործունեության</w:t>
      </w:r>
      <w:r>
        <w:rPr>
          <w:rFonts w:cs="Tahoma"/>
          <w:b w:val="0"/>
          <w:iCs/>
          <w:noProof/>
          <w:lang w:val="it-IT"/>
        </w:rPr>
        <w:t xml:space="preserve"> </w:t>
      </w:r>
      <w:r>
        <w:rPr>
          <w:rFonts w:cs="Tahoma"/>
          <w:b w:val="0"/>
          <w:iCs/>
          <w:noProof/>
          <w:lang w:val="hy-AM"/>
        </w:rPr>
        <w:t>արդյունավետության</w:t>
      </w:r>
      <w:r>
        <w:rPr>
          <w:rFonts w:cs="Tahoma"/>
          <w:b w:val="0"/>
          <w:iCs/>
          <w:noProof/>
          <w:lang w:val="it-IT"/>
        </w:rPr>
        <w:t xml:space="preserve"> </w:t>
      </w:r>
      <w:r>
        <w:rPr>
          <w:rFonts w:cs="Tahoma"/>
          <w:b w:val="0"/>
          <w:iCs/>
          <w:noProof/>
          <w:lang w:val="hy-AM"/>
        </w:rPr>
        <w:t>բարձրացմանը</w:t>
      </w:r>
      <w:r>
        <w:rPr>
          <w:rFonts w:cs="Tahoma"/>
          <w:b w:val="0"/>
          <w:iCs/>
          <w:noProof/>
          <w:lang w:val="it-IT"/>
        </w:rPr>
        <w:t xml:space="preserve">, </w:t>
      </w:r>
      <w:r>
        <w:rPr>
          <w:rFonts w:cs="Tahoma"/>
          <w:b w:val="0"/>
          <w:iCs/>
          <w:noProof/>
          <w:lang w:val="hy-AM"/>
        </w:rPr>
        <w:t>պետական սահմանի շուրջօրյա հսկման և պահպանման</w:t>
      </w:r>
      <w:r>
        <w:rPr>
          <w:rFonts w:cs="Tahoma"/>
          <w:b w:val="0"/>
          <w:iCs/>
          <w:noProof/>
          <w:lang w:val="it-IT"/>
        </w:rPr>
        <w:t xml:space="preserve"> բարելավմանը</w:t>
      </w:r>
      <w:r>
        <w:rPr>
          <w:rFonts w:cs="Tahoma"/>
          <w:b w:val="0"/>
          <w:iCs/>
          <w:noProof/>
          <w:lang w:val="hy-AM"/>
        </w:rPr>
        <w:t>, այդ թվում նաև էլեկտրոնային համակարգերով և ծառայողական կենդանիներով (շներ, ձիեր և այլն)</w:t>
      </w:r>
      <w:r>
        <w:rPr>
          <w:rFonts w:cs="Tahoma"/>
          <w:b w:val="0"/>
          <w:iCs/>
          <w:noProof/>
          <w:lang w:val="it-IT"/>
        </w:rPr>
        <w:t>, հետախուզության, հակահետախուզության ոլորտի ընդլայնմանը, օտարերկրյա հատուկ ծառայությունների կողմից օգտագործվող գործակալական ցանցի բացահայտման հետ կապված աշխատանքների զարգացմանը, գաղտնի տեղեկատվության անվտանգությ</w:t>
      </w:r>
      <w:r w:rsidR="006B6E50">
        <w:rPr>
          <w:rFonts w:cs="Tahoma"/>
          <w:b w:val="0"/>
          <w:iCs/>
          <w:noProof/>
          <w:lang w:val="it-IT"/>
        </w:rPr>
        <w:t>ա</w:t>
      </w:r>
      <w:r>
        <w:rPr>
          <w:rFonts w:cs="Tahoma"/>
          <w:b w:val="0"/>
          <w:iCs/>
          <w:noProof/>
          <w:lang w:val="it-IT"/>
        </w:rPr>
        <w:t>ն մակարդակի բարելավմանը, նոր համակարգի ներդրման ապահովմանը:</w:t>
      </w:r>
    </w:p>
    <w:p w14:paraId="6917592D" w14:textId="55D37C5C" w:rsidR="00C87063" w:rsidRDefault="00C87063" w:rsidP="00AC1E1E">
      <w:pPr>
        <w:rPr>
          <w:b w:val="0"/>
          <w:szCs w:val="20"/>
          <w:lang w:val="it-IT"/>
        </w:rPr>
      </w:pPr>
      <w:r>
        <w:rPr>
          <w:rFonts w:cs="Tahoma"/>
          <w:b w:val="0"/>
          <w:bCs/>
          <w:iCs/>
          <w:noProof/>
          <w:lang w:val="hy-AM"/>
        </w:rPr>
        <w:t>Ոլորտային քաղաքականության թիրախների (վերջնական արդյունքների) ապահովման նպատակով ՀՀ ազգային</w:t>
      </w:r>
      <w:r>
        <w:rPr>
          <w:rFonts w:cs="Tahoma"/>
          <w:b w:val="0"/>
          <w:bCs/>
          <w:iCs/>
          <w:noProof/>
          <w:lang w:val="it-IT"/>
        </w:rPr>
        <w:t xml:space="preserve"> </w:t>
      </w:r>
      <w:r>
        <w:rPr>
          <w:rFonts w:cs="Tahoma"/>
          <w:b w:val="0"/>
          <w:bCs/>
          <w:iCs/>
          <w:noProof/>
          <w:lang w:val="hy-AM"/>
        </w:rPr>
        <w:t>անվտանգության</w:t>
      </w:r>
      <w:r>
        <w:rPr>
          <w:rFonts w:cs="Tahoma"/>
          <w:b w:val="0"/>
          <w:bCs/>
          <w:iCs/>
          <w:noProof/>
          <w:lang w:val="it-IT"/>
        </w:rPr>
        <w:t xml:space="preserve"> </w:t>
      </w:r>
      <w:r>
        <w:rPr>
          <w:rFonts w:cs="Tahoma"/>
          <w:b w:val="0"/>
          <w:bCs/>
          <w:iCs/>
          <w:noProof/>
          <w:lang w:val="hy-AM"/>
        </w:rPr>
        <w:t>ծառայության կողմից իրական</w:t>
      </w:r>
      <w:r w:rsidR="006B6E50" w:rsidRPr="006B6E50">
        <w:rPr>
          <w:rFonts w:cs="Tahoma"/>
          <w:b w:val="0"/>
          <w:bCs/>
          <w:iCs/>
          <w:noProof/>
          <w:lang w:val="hy-AM"/>
        </w:rPr>
        <w:t>ա</w:t>
      </w:r>
      <w:r>
        <w:rPr>
          <w:rFonts w:cs="Tahoma"/>
          <w:b w:val="0"/>
          <w:bCs/>
          <w:iCs/>
          <w:noProof/>
          <w:lang w:val="hy-AM"/>
        </w:rPr>
        <w:t xml:space="preserve">ցվում է </w:t>
      </w:r>
      <w:r>
        <w:rPr>
          <w:rFonts w:cs="Times LatArm"/>
          <w:b w:val="0"/>
          <w:lang w:val="hy-AM"/>
        </w:rPr>
        <w:t>ծրագիր</w:t>
      </w:r>
      <w:r>
        <w:rPr>
          <w:rFonts w:cs="Times LatArm"/>
          <w:b w:val="0"/>
          <w:lang w:val="it-IT"/>
        </w:rPr>
        <w:t>, որի</w:t>
      </w:r>
      <w:r>
        <w:rPr>
          <w:rFonts w:eastAsia="Calibri" w:cs="Sylfaen"/>
          <w:b w:val="0"/>
          <w:szCs w:val="20"/>
          <w:lang w:val="af-ZA"/>
        </w:rPr>
        <w:t xml:space="preserve"> շրջանակներում նախատեսվում է</w:t>
      </w:r>
      <w:r>
        <w:rPr>
          <w:rFonts w:eastAsia="Calibri" w:cs="Sylfaen"/>
          <w:b w:val="0"/>
          <w:szCs w:val="20"/>
          <w:lang w:val="hy-AM"/>
        </w:rPr>
        <w:t xml:space="preserve"> </w:t>
      </w:r>
      <w:r>
        <w:rPr>
          <w:b w:val="0"/>
          <w:szCs w:val="20"/>
          <w:lang w:val="hy-AM"/>
        </w:rPr>
        <w:t>ՀՀ</w:t>
      </w:r>
      <w:r>
        <w:rPr>
          <w:b w:val="0"/>
          <w:szCs w:val="20"/>
          <w:lang w:val="it-IT"/>
        </w:rPr>
        <w:t xml:space="preserve"> 202</w:t>
      </w:r>
      <w:r>
        <w:rPr>
          <w:b w:val="0"/>
          <w:szCs w:val="20"/>
          <w:lang w:val="hy-AM"/>
        </w:rPr>
        <w:t>4</w:t>
      </w:r>
      <w:r>
        <w:rPr>
          <w:b w:val="0"/>
          <w:szCs w:val="20"/>
          <w:lang w:val="it-IT"/>
        </w:rPr>
        <w:t xml:space="preserve"> </w:t>
      </w:r>
      <w:r>
        <w:rPr>
          <w:b w:val="0"/>
          <w:szCs w:val="20"/>
          <w:lang w:val="hy-AM"/>
        </w:rPr>
        <w:t>թվականի</w:t>
      </w:r>
      <w:r>
        <w:rPr>
          <w:b w:val="0"/>
          <w:szCs w:val="20"/>
          <w:lang w:val="it-IT"/>
        </w:rPr>
        <w:t xml:space="preserve"> </w:t>
      </w:r>
      <w:r>
        <w:rPr>
          <w:b w:val="0"/>
          <w:szCs w:val="20"/>
          <w:lang w:val="hy-AM"/>
        </w:rPr>
        <w:t>պետական</w:t>
      </w:r>
      <w:r>
        <w:rPr>
          <w:b w:val="0"/>
          <w:szCs w:val="20"/>
          <w:lang w:val="it-IT"/>
        </w:rPr>
        <w:t xml:space="preserve"> </w:t>
      </w:r>
      <w:r>
        <w:rPr>
          <w:b w:val="0"/>
          <w:szCs w:val="20"/>
          <w:lang w:val="hy-AM"/>
        </w:rPr>
        <w:t>բյուջեով</w:t>
      </w:r>
      <w:r>
        <w:rPr>
          <w:rFonts w:eastAsia="Calibri" w:cs="Sylfaen"/>
          <w:b w:val="0"/>
          <w:szCs w:val="20"/>
          <w:lang w:val="hy-AM"/>
        </w:rPr>
        <w:t xml:space="preserve"> հատկացնել 52,008.1 մլն դրամ կամ 7,538.5 մլն դրամով ավել ՀՀ 2023 թվականի պետական բյուջեի նկատմամբ՝</w:t>
      </w:r>
      <w:r>
        <w:rPr>
          <w:b w:val="0"/>
          <w:szCs w:val="20"/>
          <w:lang w:val="hy-AM"/>
        </w:rPr>
        <w:t xml:space="preserve"> պայմանավորված</w:t>
      </w:r>
      <w:r>
        <w:rPr>
          <w:b w:val="0"/>
          <w:szCs w:val="20"/>
          <w:lang w:val="it-IT"/>
        </w:rPr>
        <w:t xml:space="preserve"> </w:t>
      </w:r>
      <w:r>
        <w:rPr>
          <w:b w:val="0"/>
          <w:szCs w:val="20"/>
          <w:lang w:val="hy-AM"/>
        </w:rPr>
        <w:t>ծառայության</w:t>
      </w:r>
      <w:r>
        <w:rPr>
          <w:b w:val="0"/>
          <w:szCs w:val="20"/>
          <w:lang w:val="it-IT"/>
        </w:rPr>
        <w:t xml:space="preserve"> </w:t>
      </w:r>
      <w:r>
        <w:rPr>
          <w:b w:val="0"/>
          <w:szCs w:val="20"/>
          <w:lang w:val="hy-AM"/>
        </w:rPr>
        <w:t>բնականոն</w:t>
      </w:r>
      <w:r>
        <w:rPr>
          <w:b w:val="0"/>
          <w:szCs w:val="20"/>
          <w:lang w:val="it-IT"/>
        </w:rPr>
        <w:t xml:space="preserve"> </w:t>
      </w:r>
      <w:r>
        <w:rPr>
          <w:b w:val="0"/>
          <w:szCs w:val="20"/>
          <w:lang w:val="hy-AM"/>
        </w:rPr>
        <w:t>գործունեության</w:t>
      </w:r>
      <w:r>
        <w:rPr>
          <w:b w:val="0"/>
          <w:szCs w:val="20"/>
          <w:lang w:val="it-IT"/>
        </w:rPr>
        <w:t xml:space="preserve"> </w:t>
      </w:r>
      <w:r>
        <w:rPr>
          <w:b w:val="0"/>
          <w:szCs w:val="20"/>
          <w:lang w:val="hy-AM"/>
        </w:rPr>
        <w:t>ապահովման</w:t>
      </w:r>
      <w:r>
        <w:rPr>
          <w:b w:val="0"/>
          <w:szCs w:val="20"/>
          <w:lang w:val="it-IT"/>
        </w:rPr>
        <w:t xml:space="preserve"> </w:t>
      </w:r>
      <w:r>
        <w:rPr>
          <w:b w:val="0"/>
          <w:szCs w:val="20"/>
          <w:lang w:val="hy-AM"/>
        </w:rPr>
        <w:t>անհրաժեշտությամբ</w:t>
      </w:r>
      <w:r>
        <w:rPr>
          <w:b w:val="0"/>
          <w:szCs w:val="20"/>
          <w:lang w:val="it-IT"/>
        </w:rPr>
        <w:t>:</w:t>
      </w:r>
    </w:p>
    <w:p w14:paraId="3FC4F0C9" w14:textId="77777777" w:rsidR="00856159" w:rsidRPr="001F52FB" w:rsidRDefault="00856159" w:rsidP="00AC1E1E">
      <w:pPr>
        <w:pStyle w:val="Heading1"/>
      </w:pPr>
      <w:bookmarkStart w:id="319" w:name="_Toc153184507"/>
      <w:r w:rsidRPr="007955BB">
        <w:t xml:space="preserve">ՀՀ </w:t>
      </w:r>
      <w:r>
        <w:t>արտաքին հետախուզության ծառայություն</w:t>
      </w:r>
      <w:bookmarkEnd w:id="319"/>
    </w:p>
    <w:p w14:paraId="015615E8" w14:textId="22A3E9A7" w:rsidR="00856159" w:rsidRDefault="00856159" w:rsidP="00AC1E1E">
      <w:pPr>
        <w:rPr>
          <w:rFonts w:cs="Tahoma"/>
          <w:b w:val="0"/>
          <w:iCs/>
          <w:noProof/>
          <w:lang w:val="hy-AM"/>
        </w:rPr>
      </w:pPr>
      <w:r>
        <w:rPr>
          <w:rFonts w:cs="Tahoma"/>
          <w:b w:val="0"/>
          <w:iCs/>
          <w:noProof/>
          <w:lang w:val="hy-AM"/>
        </w:rPr>
        <w:t xml:space="preserve">ՀՀ արտաքին հետախուզության </w:t>
      </w:r>
      <w:r>
        <w:rPr>
          <w:rFonts w:cs="Tahoma"/>
          <w:b w:val="0"/>
          <w:iCs/>
          <w:noProof/>
          <w:lang w:val="it-IT"/>
        </w:rPr>
        <w:t xml:space="preserve">ծառայությունն իրականացնում է Հայաստանի Հանրապետության կենսական շահերին սպառնացող արտաքին վտանգներից, անձի, հասարակության և պետության պաշտպանության, ինչպես նաև պետության կենսական ոլորտների բնականոն զարգացման նպատակով արտաքին քաղաքական, ռազմական, տնտեսական, գիտատեխնիկական, բնապահպանական և կենսական այլ ոլորտներում  </w:t>
      </w:r>
      <w:r>
        <w:rPr>
          <w:rFonts w:cs="Tahoma"/>
          <w:b w:val="0"/>
          <w:iCs/>
          <w:noProof/>
          <w:lang w:val="it-IT"/>
        </w:rPr>
        <w:lastRenderedPageBreak/>
        <w:t>հետախուզական տեղեկությունների հավաքագրում, մշակում, ամփոփում և ներկայացում ՀՀ վարչապետին</w:t>
      </w:r>
      <w:r>
        <w:rPr>
          <w:rFonts w:cs="Tahoma"/>
          <w:b w:val="0"/>
          <w:iCs/>
          <w:noProof/>
          <w:lang w:val="hy-AM"/>
        </w:rPr>
        <w:t>: ՀՀ 2024 թվականի պետական բյուջեով նախատեսվել է 3,189.6 մլն դրամ:</w:t>
      </w:r>
    </w:p>
    <w:p w14:paraId="5E931250" w14:textId="77777777" w:rsidR="001F52FB" w:rsidRPr="001F52FB" w:rsidRDefault="001F52FB" w:rsidP="00AC1E1E">
      <w:pPr>
        <w:pStyle w:val="Heading1"/>
      </w:pPr>
      <w:bookmarkStart w:id="320" w:name="_Toc153184508"/>
      <w:r w:rsidRPr="007955BB">
        <w:t xml:space="preserve">ՀՀ </w:t>
      </w:r>
      <w:r>
        <w:t>պետական պահպանության ծառայություն</w:t>
      </w:r>
      <w:bookmarkEnd w:id="320"/>
    </w:p>
    <w:p w14:paraId="4B326745" w14:textId="77777777" w:rsidR="001F52FB" w:rsidRPr="00C4421C" w:rsidRDefault="001F52FB" w:rsidP="00AC1E1E">
      <w:pPr>
        <w:rPr>
          <w:rFonts w:cs="Tahoma"/>
          <w:b w:val="0"/>
          <w:iCs/>
          <w:noProof/>
          <w:lang w:val="it-IT"/>
        </w:rPr>
      </w:pPr>
      <w:r w:rsidRPr="00C4421C">
        <w:rPr>
          <w:rFonts w:cs="Tahoma"/>
          <w:b w:val="0"/>
          <w:iCs/>
          <w:noProof/>
          <w:lang w:val="it-IT"/>
        </w:rPr>
        <w:t>Պետական պահպանության ծառայությունն իրականացնում է պետական պահպանության ենթակա օբյեկտների անվտանգության ապահովման և պետական օբյեկտների պաշտպանության ոլորտի գործառույթ, իրավական, կազմակերպական, պահպանական, ռեժիմային, օպերատիվ-հետախուզական, տեխնիկական և այլ միջոցառումների համակցմամբ:</w:t>
      </w:r>
    </w:p>
    <w:p w14:paraId="67B0B00F" w14:textId="77777777" w:rsidR="001F52FB" w:rsidRPr="00C4421C" w:rsidRDefault="001F52FB" w:rsidP="00AC1E1E">
      <w:pPr>
        <w:rPr>
          <w:rFonts w:cs="Tahoma"/>
          <w:b w:val="0"/>
          <w:iCs/>
          <w:noProof/>
          <w:lang w:val="it-IT"/>
        </w:rPr>
      </w:pPr>
      <w:r w:rsidRPr="00C4421C">
        <w:rPr>
          <w:rFonts w:cs="Tahoma"/>
          <w:b w:val="0"/>
          <w:iCs/>
          <w:noProof/>
          <w:lang w:val="it-IT"/>
        </w:rPr>
        <w:t>Պետական պահպանության ծառայության նպատակներն են` իր իրավասության սահմաններում կազմակերպել պետական պահպանության ենթակա օբյեկտների անվտանգությունը, կանխատեսել և բացահայտել այդ օբյեկտներին սպառնացող վտանգը և նրանց կանխարգելման համար իրականացնել համալիր միջոցառումներ, պետական պահպանության օբյեկտների անվտանգությունն ապահովել նրանց մշտական կամ ժամանակավոր գտնվելու վայրում, իր իրավասության շրջանակներում մասնակցել ահաբեկչության դեմ պայքարին, պաշտպանել պահպանվող օբյեկտները, կանխել և խափանել պահպանվող օբյեկտներում հանցագործությունները և այլ իրավախախտումները, ապահովել սահմանված անցագրային ռեժիմն ու կարգը:</w:t>
      </w:r>
    </w:p>
    <w:p w14:paraId="005F222B" w14:textId="77777777" w:rsidR="001F52FB" w:rsidRPr="006B6E50" w:rsidRDefault="001F52FB" w:rsidP="00AC1E1E">
      <w:pPr>
        <w:rPr>
          <w:rFonts w:cs="Tahoma"/>
          <w:b w:val="0"/>
          <w:iCs/>
          <w:noProof/>
          <w:lang w:val="it-IT"/>
        </w:rPr>
      </w:pPr>
      <w:r w:rsidRPr="00C4421C">
        <w:rPr>
          <w:rFonts w:cs="Tahoma"/>
          <w:b w:val="0"/>
          <w:iCs/>
          <w:noProof/>
          <w:lang w:val="it-IT"/>
        </w:rPr>
        <w:t>Պետական պահպանության ծառայության զարգացման հիմնական միտումները նպատակաուղղված են պետական պահպանության ծառայության հատուկ պետական պաշտպանության ենթակա անձանց, ինչպես նաև մշտական և ժամանակավոր պահպանվող օբյեկտների անվտանգության ապահովման բարձրացմանը, պետական պահպա</w:t>
      </w:r>
      <w:r w:rsidR="006B6E50">
        <w:rPr>
          <w:rFonts w:cs="Tahoma"/>
          <w:b w:val="0"/>
          <w:iCs/>
          <w:noProof/>
          <w:lang w:val="it-IT"/>
        </w:rPr>
        <w:t>նության ապահովման համար տեխնիկա</w:t>
      </w:r>
      <w:r w:rsidRPr="00C4421C">
        <w:rPr>
          <w:rFonts w:cs="Tahoma"/>
          <w:b w:val="0"/>
          <w:iCs/>
          <w:noProof/>
          <w:lang w:val="it-IT"/>
        </w:rPr>
        <w:t>տնտեսական բազայի ամրապնդմանը, զենք</w:t>
      </w:r>
      <w:r w:rsidR="006B6E50">
        <w:rPr>
          <w:rFonts w:cs="Tahoma"/>
          <w:b w:val="0"/>
          <w:iCs/>
          <w:noProof/>
          <w:lang w:val="hy-AM"/>
        </w:rPr>
        <w:t>-</w:t>
      </w:r>
      <w:r w:rsidRPr="00C4421C">
        <w:rPr>
          <w:rFonts w:cs="Tahoma"/>
          <w:b w:val="0"/>
          <w:iCs/>
          <w:noProof/>
          <w:lang w:val="it-IT"/>
        </w:rPr>
        <w:t>զինամթերքի արդիականացմանը և ավելացմանը, անհրաժեշտ նյութական ռեսուրսներով ապահովմանը, զինծառայողների և զինվորական կոչում չունեցող աշխատակիցների ֆինանսական և սոցիալական վիճակի բարելավմանը, սեփական ուսումնական կենտրոնի</w:t>
      </w:r>
      <w:r w:rsidR="006B6E50">
        <w:rPr>
          <w:rFonts w:cs="Tahoma"/>
          <w:b w:val="0"/>
          <w:iCs/>
          <w:noProof/>
          <w:lang w:val="hy-AM"/>
        </w:rPr>
        <w:t>,</w:t>
      </w:r>
      <w:r w:rsidRPr="00C4421C">
        <w:rPr>
          <w:rFonts w:cs="Tahoma"/>
          <w:b w:val="0"/>
          <w:iCs/>
          <w:noProof/>
          <w:lang w:val="it-IT"/>
        </w:rPr>
        <w:t xml:space="preserve"> նրան կից անհրաժեշտ շինություններ</w:t>
      </w:r>
      <w:r w:rsidR="006B6E50">
        <w:rPr>
          <w:rFonts w:cs="Tahoma"/>
          <w:b w:val="0"/>
          <w:iCs/>
          <w:noProof/>
          <w:lang w:val="en-US"/>
        </w:rPr>
        <w:t>ի</w:t>
      </w:r>
      <w:r w:rsidRPr="00C4421C">
        <w:rPr>
          <w:rFonts w:cs="Tahoma"/>
          <w:b w:val="0"/>
          <w:iCs/>
          <w:noProof/>
          <w:lang w:val="it-IT"/>
        </w:rPr>
        <w:t xml:space="preserve">, լրացուցիչ պահեստներով </w:t>
      </w:r>
      <w:r w:rsidRPr="006B6E50">
        <w:rPr>
          <w:rFonts w:cs="Tahoma"/>
          <w:b w:val="0"/>
          <w:iCs/>
          <w:noProof/>
          <w:lang w:val="it-IT"/>
        </w:rPr>
        <w:t>ապահովմանը, ինչպես նաև անձնակազմի մասնագիտական պատրաստականության բարձրացմանը:</w:t>
      </w:r>
    </w:p>
    <w:p w14:paraId="5CAE829E" w14:textId="260DFE2F" w:rsidR="001F52FB" w:rsidRPr="00DF1B13" w:rsidRDefault="001F52FB" w:rsidP="00AC1E1E">
      <w:pPr>
        <w:rPr>
          <w:b w:val="0"/>
          <w:szCs w:val="20"/>
          <w:lang w:val="hy-AM"/>
        </w:rPr>
      </w:pPr>
      <w:r w:rsidRPr="006B6E50">
        <w:rPr>
          <w:rFonts w:cs="Tahoma"/>
          <w:b w:val="0"/>
          <w:bCs/>
          <w:iCs/>
          <w:noProof/>
          <w:lang w:val="hy-AM"/>
        </w:rPr>
        <w:t xml:space="preserve">Ոլորտային քաղաքականության թիրախների (վերջնական արդյունքների) ապահովման նպատակով ՀՀ պետական պահպանության </w:t>
      </w:r>
      <w:r w:rsidRPr="006B6E50">
        <w:rPr>
          <w:rFonts w:cs="Tahoma"/>
          <w:b w:val="0"/>
          <w:bCs/>
          <w:iCs/>
          <w:noProof/>
        </w:rPr>
        <w:t>ծառայության</w:t>
      </w:r>
      <w:r w:rsidRPr="006B6E50">
        <w:rPr>
          <w:rFonts w:cs="Tahoma"/>
          <w:b w:val="0"/>
          <w:bCs/>
          <w:iCs/>
          <w:noProof/>
          <w:lang w:val="hy-AM"/>
        </w:rPr>
        <w:t xml:space="preserve"> կողմից իրականցվում է </w:t>
      </w:r>
      <w:r w:rsidRPr="006B6E50">
        <w:rPr>
          <w:rFonts w:cs="Sylfaen"/>
          <w:b w:val="0"/>
          <w:bCs/>
          <w:szCs w:val="22"/>
          <w:lang w:val="hy-AM"/>
        </w:rPr>
        <w:t>«</w:t>
      </w:r>
      <w:r w:rsidRPr="006B6E50">
        <w:rPr>
          <w:rFonts w:cs="Times LatArm"/>
          <w:b w:val="0"/>
        </w:rPr>
        <w:t>Պետական</w:t>
      </w:r>
      <w:r w:rsidRPr="006B6E50">
        <w:rPr>
          <w:rFonts w:cs="Times LatArm"/>
          <w:b w:val="0"/>
          <w:lang w:val="af-ZA"/>
        </w:rPr>
        <w:t xml:space="preserve"> </w:t>
      </w:r>
      <w:r w:rsidRPr="006B6E50">
        <w:rPr>
          <w:rFonts w:cs="Times LatArm"/>
          <w:b w:val="0"/>
        </w:rPr>
        <w:t>պահպ</w:t>
      </w:r>
      <w:r w:rsidRPr="006B6E50">
        <w:rPr>
          <w:rFonts w:cs="Times LatArm"/>
          <w:b w:val="0"/>
          <w:lang w:val="hy-AM"/>
        </w:rPr>
        <w:t>ա</w:t>
      </w:r>
      <w:r w:rsidRPr="006B6E50">
        <w:rPr>
          <w:rFonts w:cs="Times LatArm"/>
          <w:b w:val="0"/>
        </w:rPr>
        <w:t>նության</w:t>
      </w:r>
      <w:r w:rsidRPr="006B6E50">
        <w:rPr>
          <w:rFonts w:cs="Times LatArm"/>
          <w:b w:val="0"/>
          <w:lang w:val="af-ZA"/>
        </w:rPr>
        <w:t xml:space="preserve"> </w:t>
      </w:r>
      <w:r w:rsidRPr="006B6E50">
        <w:rPr>
          <w:rFonts w:cs="Times LatArm"/>
          <w:b w:val="0"/>
        </w:rPr>
        <w:t>ապահովում</w:t>
      </w:r>
      <w:r w:rsidRPr="006B6E50">
        <w:rPr>
          <w:rFonts w:cs="Times LatArm"/>
          <w:b w:val="0"/>
          <w:bCs/>
          <w:lang w:val="hy-AM"/>
        </w:rPr>
        <w:t>»</w:t>
      </w:r>
      <w:r w:rsidRPr="006B6E50">
        <w:rPr>
          <w:rFonts w:cs="Times LatArm"/>
          <w:b w:val="0"/>
          <w:lang w:val="af-ZA"/>
        </w:rPr>
        <w:t xml:space="preserve"> </w:t>
      </w:r>
      <w:r w:rsidRPr="006B6E50">
        <w:rPr>
          <w:rFonts w:cs="Times LatArm"/>
          <w:b w:val="0"/>
          <w:lang w:val="hy-AM"/>
        </w:rPr>
        <w:t xml:space="preserve">ծրագիրը: Ծրագրի </w:t>
      </w:r>
      <w:r w:rsidRPr="006B6E50">
        <w:rPr>
          <w:rFonts w:eastAsia="Calibri" w:cs="Sylfaen"/>
          <w:b w:val="0"/>
          <w:szCs w:val="20"/>
          <w:lang w:val="af-ZA"/>
        </w:rPr>
        <w:t xml:space="preserve">շրջանակներում </w:t>
      </w:r>
      <w:r w:rsidRPr="006B6E50">
        <w:rPr>
          <w:b w:val="0"/>
          <w:szCs w:val="20"/>
          <w:lang w:val="hy-AM"/>
        </w:rPr>
        <w:t>ՀՀ</w:t>
      </w:r>
      <w:r w:rsidRPr="006B6E50">
        <w:rPr>
          <w:b w:val="0"/>
          <w:szCs w:val="20"/>
          <w:lang w:val="it-IT"/>
        </w:rPr>
        <w:t xml:space="preserve"> 202</w:t>
      </w:r>
      <w:r w:rsidRPr="006B6E50">
        <w:rPr>
          <w:b w:val="0"/>
          <w:szCs w:val="20"/>
          <w:lang w:val="hy-AM"/>
        </w:rPr>
        <w:t>4</w:t>
      </w:r>
      <w:r w:rsidRPr="006B6E50">
        <w:rPr>
          <w:b w:val="0"/>
          <w:szCs w:val="20"/>
          <w:lang w:val="it-IT"/>
        </w:rPr>
        <w:t xml:space="preserve"> </w:t>
      </w:r>
      <w:r w:rsidRPr="006B6E50">
        <w:rPr>
          <w:b w:val="0"/>
          <w:szCs w:val="20"/>
          <w:lang w:val="hy-AM"/>
        </w:rPr>
        <w:t>թվականի</w:t>
      </w:r>
      <w:r w:rsidRPr="006B6E50">
        <w:rPr>
          <w:b w:val="0"/>
          <w:szCs w:val="20"/>
          <w:lang w:val="it-IT"/>
        </w:rPr>
        <w:t xml:space="preserve"> </w:t>
      </w:r>
      <w:r w:rsidRPr="006B6E50">
        <w:rPr>
          <w:b w:val="0"/>
          <w:szCs w:val="20"/>
          <w:lang w:val="hy-AM"/>
        </w:rPr>
        <w:t>պետական</w:t>
      </w:r>
      <w:r w:rsidRPr="006B6E50">
        <w:rPr>
          <w:b w:val="0"/>
          <w:szCs w:val="20"/>
          <w:lang w:val="it-IT"/>
        </w:rPr>
        <w:t xml:space="preserve"> </w:t>
      </w:r>
      <w:r w:rsidRPr="006B6E50">
        <w:rPr>
          <w:b w:val="0"/>
          <w:szCs w:val="20"/>
          <w:lang w:val="hy-AM"/>
        </w:rPr>
        <w:t>բյուջեով</w:t>
      </w:r>
      <w:r w:rsidRPr="006B6E50">
        <w:rPr>
          <w:rFonts w:eastAsia="Calibri" w:cs="Sylfaen"/>
          <w:b w:val="0"/>
          <w:szCs w:val="20"/>
          <w:lang w:val="hy-AM"/>
        </w:rPr>
        <w:t xml:space="preserve"> </w:t>
      </w:r>
      <w:r w:rsidRPr="006B6E50">
        <w:rPr>
          <w:rFonts w:eastAsia="Calibri" w:cs="Sylfaen"/>
          <w:b w:val="0"/>
          <w:szCs w:val="20"/>
          <w:lang w:val="af-ZA"/>
        </w:rPr>
        <w:t>նախատեսվում է</w:t>
      </w:r>
      <w:r w:rsidRPr="006B6E50">
        <w:rPr>
          <w:rFonts w:eastAsia="Calibri" w:cs="Sylfaen"/>
          <w:b w:val="0"/>
          <w:szCs w:val="20"/>
          <w:lang w:val="hy-AM"/>
        </w:rPr>
        <w:t xml:space="preserve"> հատկացնել 5,984.</w:t>
      </w:r>
      <w:r w:rsidRPr="006B6E50">
        <w:rPr>
          <w:rFonts w:eastAsia="Calibri" w:cs="Sylfaen"/>
          <w:b w:val="0"/>
          <w:szCs w:val="20"/>
          <w:lang w:val="it-IT"/>
        </w:rPr>
        <w:t>6</w:t>
      </w:r>
      <w:r w:rsidRPr="006B6E50">
        <w:rPr>
          <w:rFonts w:eastAsia="Calibri" w:cs="Sylfaen"/>
          <w:b w:val="0"/>
          <w:szCs w:val="20"/>
          <w:lang w:val="hy-AM"/>
        </w:rPr>
        <w:t xml:space="preserve"> մլն դրամ</w:t>
      </w:r>
      <w:r w:rsidRPr="00EC275E">
        <w:rPr>
          <w:rFonts w:eastAsia="Calibri" w:cs="Sylfaen"/>
          <w:b w:val="0"/>
          <w:szCs w:val="20"/>
          <w:lang w:val="hy-AM"/>
        </w:rPr>
        <w:t xml:space="preserve"> կամ 1,520</w:t>
      </w:r>
      <w:r w:rsidRPr="00EC275E">
        <w:rPr>
          <w:rFonts w:eastAsia="Calibri" w:cs="Sylfaen"/>
          <w:b w:val="0"/>
          <w:szCs w:val="20"/>
          <w:lang w:val="it-IT"/>
        </w:rPr>
        <w:t>.</w:t>
      </w:r>
      <w:r w:rsidRPr="00EC275E">
        <w:rPr>
          <w:rFonts w:eastAsia="Calibri" w:cs="Sylfaen"/>
          <w:b w:val="0"/>
          <w:szCs w:val="20"/>
          <w:lang w:val="hy-AM"/>
        </w:rPr>
        <w:t>0 մլն դրամով ավել ՀՀ 2023 թվականի պետական բյուջեի նկատմամբ:</w:t>
      </w:r>
    </w:p>
    <w:p w14:paraId="2DD5CDAE" w14:textId="77777777" w:rsidR="00FC7885" w:rsidRPr="007955BB" w:rsidRDefault="00FC7885" w:rsidP="00AC1E1E">
      <w:pPr>
        <w:pStyle w:val="Heading1"/>
      </w:pPr>
      <w:bookmarkStart w:id="321" w:name="_Toc153184509"/>
      <w:r w:rsidRPr="007955BB">
        <w:t>ՀՀ վարչապետի աշխատակազմ</w:t>
      </w:r>
      <w:bookmarkEnd w:id="321"/>
    </w:p>
    <w:p w14:paraId="7E404BBF" w14:textId="6FF256DA" w:rsidR="007C315F" w:rsidRPr="007C315F" w:rsidRDefault="007C315F" w:rsidP="00AC1E1E">
      <w:pPr>
        <w:rPr>
          <w:b w:val="0"/>
          <w:color w:val="000000"/>
          <w:szCs w:val="22"/>
          <w:lang w:val="hy-AM" w:eastAsia="en-US"/>
        </w:rPr>
      </w:pPr>
      <w:r w:rsidRPr="007C315F">
        <w:rPr>
          <w:rFonts w:cs="Sylfaen"/>
          <w:b w:val="0"/>
          <w:color w:val="000000"/>
          <w:szCs w:val="22"/>
          <w:lang w:val="hy-AM"/>
        </w:rPr>
        <w:t xml:space="preserve">ՀՀ վարչապետի աշխատակազմի գծով </w:t>
      </w:r>
      <w:r w:rsidRPr="007C315F">
        <w:rPr>
          <w:b w:val="0"/>
          <w:color w:val="000000"/>
          <w:szCs w:val="22"/>
          <w:lang w:val="hy-AM" w:eastAsia="en-US"/>
        </w:rPr>
        <w:t>ՀՀ 2024 թվականի պետական բյուջեով նախատեսվում է հատկացնել 24,</w:t>
      </w:r>
      <w:r w:rsidR="008C27FF" w:rsidRPr="008C27FF">
        <w:rPr>
          <w:b w:val="0"/>
          <w:color w:val="000000"/>
          <w:szCs w:val="22"/>
          <w:lang w:val="hy-AM" w:eastAsia="en-US"/>
        </w:rPr>
        <w:t>773</w:t>
      </w:r>
      <w:r w:rsidRPr="007C315F">
        <w:rPr>
          <w:b w:val="0"/>
          <w:color w:val="000000"/>
          <w:szCs w:val="22"/>
          <w:lang w:val="hy-AM" w:eastAsia="en-US"/>
        </w:rPr>
        <w:t>.</w:t>
      </w:r>
      <w:r w:rsidR="008C27FF" w:rsidRPr="008C27FF">
        <w:rPr>
          <w:b w:val="0"/>
          <w:color w:val="000000"/>
          <w:szCs w:val="22"/>
          <w:lang w:val="hy-AM" w:eastAsia="en-US"/>
        </w:rPr>
        <w:t>9</w:t>
      </w:r>
      <w:r w:rsidRPr="007C315F">
        <w:rPr>
          <w:b w:val="0"/>
          <w:color w:val="000000"/>
          <w:szCs w:val="22"/>
          <w:lang w:val="hy-AM" w:eastAsia="en-US"/>
        </w:rPr>
        <w:t xml:space="preserve"> մլն դրամ (ներառյալ կառավարման ապարատի </w:t>
      </w:r>
      <w:r w:rsidRPr="007C315F">
        <w:rPr>
          <w:b w:val="0"/>
          <w:color w:val="000000"/>
          <w:szCs w:val="22"/>
          <w:lang w:val="hy-AM" w:eastAsia="en-US"/>
        </w:rPr>
        <w:lastRenderedPageBreak/>
        <w:t>պահպանման ծախսերը):</w:t>
      </w:r>
      <w:r w:rsidRPr="007C315F">
        <w:rPr>
          <w:rFonts w:cs="Sylfaen"/>
          <w:b w:val="0"/>
          <w:szCs w:val="22"/>
          <w:lang w:val="hy-AM"/>
        </w:rPr>
        <w:t xml:space="preserve"> Հ</w:t>
      </w:r>
      <w:r w:rsidRPr="007C315F">
        <w:rPr>
          <w:rFonts w:cs="Sylfaen"/>
          <w:b w:val="0"/>
          <w:szCs w:val="22"/>
          <w:lang w:val="af-ZA"/>
        </w:rPr>
        <w:t>ատկացվելիք միջոցներն ուղղվելու են հետևյալ ծրագրերի իրականացմանը.</w:t>
      </w:r>
      <w:r w:rsidRPr="007C315F">
        <w:rPr>
          <w:b w:val="0"/>
          <w:lang w:val="hy-AM"/>
        </w:rPr>
        <w:t xml:space="preserve"> </w:t>
      </w:r>
    </w:p>
    <w:p w14:paraId="03A6DFCB" w14:textId="77777777" w:rsidR="007C315F" w:rsidRPr="007C315F" w:rsidRDefault="007C315F" w:rsidP="00AC1E1E">
      <w:pPr>
        <w:rPr>
          <w:rFonts w:cs="Sylfaen"/>
          <w:b w:val="0"/>
          <w:bCs/>
          <w:szCs w:val="22"/>
          <w:lang w:val="hy-AM"/>
        </w:rPr>
      </w:pPr>
      <w:r w:rsidRPr="007C315F">
        <w:rPr>
          <w:rFonts w:cs="Times Armenian"/>
          <w:szCs w:val="22"/>
          <w:lang w:val="af-ZA"/>
        </w:rPr>
        <w:t xml:space="preserve">Տեսչական վերահսկողության </w:t>
      </w:r>
      <w:r w:rsidRPr="007C315F">
        <w:rPr>
          <w:b w:val="0"/>
          <w:lang w:val="hy-AM"/>
        </w:rPr>
        <w:t>ծրագրի գծով նախատեսվել է հատկացնել 535.5 մլն դրամ (</w:t>
      </w:r>
      <w:r w:rsidRPr="007C315F">
        <w:rPr>
          <w:rFonts w:cs="Sylfaen"/>
          <w:b w:val="0"/>
          <w:bCs/>
          <w:szCs w:val="22"/>
          <w:lang w:val="hy-AM"/>
        </w:rPr>
        <w:t>առանց կառավարման ապարատի պահպանման ծախսերի):</w:t>
      </w:r>
    </w:p>
    <w:p w14:paraId="33E41689" w14:textId="77777777" w:rsidR="007C315F" w:rsidRPr="007C315F" w:rsidRDefault="007C315F" w:rsidP="00AC1E1E">
      <w:pPr>
        <w:rPr>
          <w:rFonts w:cs="Sylfaen"/>
          <w:b w:val="0"/>
          <w:bCs/>
          <w:szCs w:val="22"/>
          <w:lang w:val="hy-AM"/>
        </w:rPr>
      </w:pPr>
      <w:r w:rsidRPr="007C315F">
        <w:rPr>
          <w:rFonts w:cs="Sylfaen"/>
          <w:b w:val="0"/>
          <w:bCs/>
          <w:szCs w:val="22"/>
          <w:lang w:val="hy-AM"/>
        </w:rPr>
        <w:t>Ծրագրի նպատակն է ՀՀ-ում ապրանք արտադրողների և ծառայություն մատուցող</w:t>
      </w:r>
      <w:r w:rsidRPr="007C315F">
        <w:rPr>
          <w:rFonts w:cs="Sylfaen"/>
          <w:b w:val="0"/>
          <w:bCs/>
          <w:szCs w:val="22"/>
          <w:lang w:val="hy-AM"/>
        </w:rPr>
        <w:softHyphen/>
        <w:t>ների կողմից սպառողներին իրացվող արտադրանքի նկատմամբ պետական վերահսկողության իրականացումը` ստանդարտացման և չափագիտական նորմերի ապահովման միջոցով, ինչպես նաև սննդամթերքի անվտանգության և որակի ապահովման բնագավառներում միջազգային չափորոշիչների պահանջներին համապատասխան լաբորատոր փորձաքննություններ</w:t>
      </w:r>
      <w:r w:rsidRPr="004904D5">
        <w:rPr>
          <w:rFonts w:cs="Sylfaen"/>
          <w:b w:val="0"/>
          <w:bCs/>
          <w:szCs w:val="22"/>
          <w:lang w:val="hy-AM"/>
        </w:rPr>
        <w:t>ի իրականացումը</w:t>
      </w:r>
      <w:r w:rsidRPr="007C315F">
        <w:rPr>
          <w:rFonts w:cs="Sylfaen"/>
          <w:b w:val="0"/>
          <w:bCs/>
          <w:szCs w:val="22"/>
          <w:lang w:val="hy-AM"/>
        </w:rPr>
        <w:t>:</w:t>
      </w:r>
    </w:p>
    <w:p w14:paraId="50414A8E" w14:textId="77777777" w:rsidR="007C315F" w:rsidRPr="007C315F" w:rsidRDefault="007C315F" w:rsidP="00AC1E1E">
      <w:pPr>
        <w:rPr>
          <w:rFonts w:cs="Times Armenian"/>
          <w:b w:val="0"/>
          <w:szCs w:val="22"/>
          <w:lang w:val="af-ZA"/>
        </w:rPr>
      </w:pPr>
      <w:r w:rsidRPr="007C315F">
        <w:rPr>
          <w:rFonts w:cs="Sylfaen"/>
          <w:b w:val="0"/>
          <w:szCs w:val="22"/>
          <w:lang w:val="af-ZA"/>
        </w:rPr>
        <w:t>Ծրագրի շրջանակներում</w:t>
      </w:r>
      <w:r w:rsidRPr="007C315F">
        <w:rPr>
          <w:rFonts w:cs="Times Armenian"/>
          <w:b w:val="0"/>
          <w:szCs w:val="22"/>
          <w:lang w:val="af-ZA"/>
        </w:rPr>
        <w:t xml:space="preserve"> </w:t>
      </w:r>
      <w:r w:rsidRPr="007C315F">
        <w:rPr>
          <w:rFonts w:cs="Sylfaen"/>
          <w:b w:val="0"/>
          <w:szCs w:val="22"/>
          <w:lang w:val="af-ZA"/>
        </w:rPr>
        <w:t>նախատեսվում</w:t>
      </w:r>
      <w:r w:rsidRPr="007C315F">
        <w:rPr>
          <w:rFonts w:cs="Times Armenian"/>
          <w:b w:val="0"/>
          <w:szCs w:val="22"/>
          <w:lang w:val="af-ZA"/>
        </w:rPr>
        <w:t xml:space="preserve"> </w:t>
      </w:r>
      <w:r w:rsidRPr="007C315F">
        <w:rPr>
          <w:rFonts w:cs="Sylfaen"/>
          <w:b w:val="0"/>
          <w:szCs w:val="22"/>
          <w:lang w:val="af-ZA"/>
        </w:rPr>
        <w:t>է</w:t>
      </w:r>
      <w:r w:rsidRPr="007C315F">
        <w:rPr>
          <w:rFonts w:cs="Times Armenian"/>
          <w:b w:val="0"/>
          <w:szCs w:val="22"/>
          <w:lang w:val="af-ZA"/>
        </w:rPr>
        <w:t xml:space="preserve"> </w:t>
      </w:r>
      <w:r w:rsidRPr="007C315F">
        <w:rPr>
          <w:rFonts w:cs="Sylfaen"/>
          <w:b w:val="0"/>
          <w:szCs w:val="22"/>
          <w:lang w:val="af-ZA"/>
        </w:rPr>
        <w:t>իրականացնել</w:t>
      </w:r>
      <w:r w:rsidRPr="007C315F">
        <w:rPr>
          <w:rFonts w:cs="Times Armenian"/>
          <w:b w:val="0"/>
          <w:szCs w:val="22"/>
          <w:lang w:val="af-ZA"/>
        </w:rPr>
        <w:t xml:space="preserve"> արտադրական կանեփի նկատմամբ վերահսկողության </w:t>
      </w:r>
      <w:r w:rsidRPr="007C315F">
        <w:rPr>
          <w:rFonts w:cs="Times Armenian"/>
          <w:b w:val="0"/>
          <w:szCs w:val="22"/>
          <w:lang w:val="hy-AM"/>
        </w:rPr>
        <w:t xml:space="preserve">գծով </w:t>
      </w:r>
      <w:r w:rsidRPr="007C315F">
        <w:rPr>
          <w:rFonts w:cs="Times Armenian"/>
          <w:b w:val="0"/>
          <w:szCs w:val="22"/>
          <w:lang w:val="af-ZA"/>
        </w:rPr>
        <w:t>փորձարկում</w:t>
      </w:r>
      <w:r w:rsidRPr="007C315F">
        <w:rPr>
          <w:rFonts w:cs="Times Armenian"/>
          <w:b w:val="0"/>
          <w:szCs w:val="22"/>
          <w:lang w:val="hy-AM"/>
        </w:rPr>
        <w:t>ներ</w:t>
      </w:r>
      <w:r w:rsidRPr="007C315F">
        <w:rPr>
          <w:rFonts w:cs="Times Armenian"/>
          <w:b w:val="0"/>
          <w:szCs w:val="22"/>
          <w:lang w:val="af-ZA"/>
        </w:rPr>
        <w:t>,  սննդամթերքի 868 լաբորատոր փորձաքննություններ, գյուղատնտեսական կենդանիների հիվանդությունների լաբորատոր ախտորոշման և կենդանական ծագում ունեցող հումքի և նյութի 995000 լաբորատոր փորձաքննություններ, գյուղատնտեսական մշակաբույսերի ու բույսերի պաշտպանության միջոցների 5500 լաբորատոր փորձաքննություններ, մեղրի մեջ մնացորդային նյութերի լաբորատոր հսկողության նպատակով 863 հետազոտություններ և ձկան մեջ մնացորդային նյութերի լաբորատոր հսկողության նպատակով 792 հետազոտություններ, ինչպես նաև խոշոր և մանր եղջերավոր կենդանիների շճաբանական 4400 հետազոտություն:</w:t>
      </w:r>
    </w:p>
    <w:p w14:paraId="73D5F9AE" w14:textId="77777777" w:rsidR="007C315F" w:rsidRPr="007C315F" w:rsidRDefault="007C315F" w:rsidP="00AC1E1E">
      <w:pPr>
        <w:rPr>
          <w:b w:val="0"/>
          <w:lang w:val="hy-AM"/>
        </w:rPr>
      </w:pPr>
      <w:r w:rsidRPr="007C315F">
        <w:rPr>
          <w:noProof/>
          <w:szCs w:val="22"/>
          <w:lang w:val="hy-AM"/>
        </w:rPr>
        <w:t xml:space="preserve">Աջակցություն հասարակական և այլ կազմակերպություններին </w:t>
      </w:r>
      <w:r w:rsidRPr="007C315F">
        <w:rPr>
          <w:b w:val="0"/>
          <w:noProof/>
          <w:szCs w:val="22"/>
          <w:lang w:val="hy-AM"/>
        </w:rPr>
        <w:t xml:space="preserve">ծրագրի </w:t>
      </w:r>
      <w:r w:rsidRPr="007C315F">
        <w:rPr>
          <w:b w:val="0"/>
          <w:lang w:val="hy-AM"/>
        </w:rPr>
        <w:t>գծով նախատեսվել է հատկացնել 61.8 մլն դրամ</w:t>
      </w:r>
      <w:r w:rsidRPr="007C315F">
        <w:rPr>
          <w:b w:val="0"/>
          <w:lang w:val="af-ZA"/>
        </w:rPr>
        <w:t xml:space="preserve"> </w:t>
      </w:r>
      <w:r w:rsidRPr="007C315F">
        <w:rPr>
          <w:b w:val="0"/>
          <w:lang w:val="hy-AM"/>
        </w:rPr>
        <w:t xml:space="preserve">(առանց </w:t>
      </w:r>
      <w:r w:rsidRPr="007C315F">
        <w:rPr>
          <w:b w:val="0"/>
          <w:color w:val="000000"/>
          <w:szCs w:val="22"/>
          <w:lang w:val="hy-AM" w:eastAsia="en-US"/>
        </w:rPr>
        <w:t>կառավարման ապարատի պահպանման ծախսերի</w:t>
      </w:r>
      <w:r w:rsidRPr="007C315F">
        <w:rPr>
          <w:b w:val="0"/>
          <w:lang w:val="hy-AM"/>
        </w:rPr>
        <w:t>):</w:t>
      </w:r>
    </w:p>
    <w:p w14:paraId="72D88F14" w14:textId="77777777" w:rsidR="007C315F" w:rsidRPr="007C315F" w:rsidRDefault="007C315F" w:rsidP="00AC1E1E">
      <w:pPr>
        <w:rPr>
          <w:b w:val="0"/>
          <w:noProof/>
          <w:szCs w:val="22"/>
          <w:lang w:val="af-ZA"/>
        </w:rPr>
      </w:pPr>
      <w:r w:rsidRPr="007C315F">
        <w:rPr>
          <w:b w:val="0"/>
          <w:noProof/>
          <w:szCs w:val="22"/>
          <w:lang w:val="hy-AM"/>
        </w:rPr>
        <w:t>Ծրագրի նպատակն է</w:t>
      </w:r>
      <w:r w:rsidRPr="007C315F">
        <w:rPr>
          <w:b w:val="0"/>
          <w:noProof/>
          <w:szCs w:val="22"/>
          <w:lang w:val="af-ZA"/>
        </w:rPr>
        <w:t xml:space="preserve"> </w:t>
      </w:r>
      <w:r w:rsidRPr="007C315F">
        <w:rPr>
          <w:b w:val="0"/>
          <w:noProof/>
          <w:szCs w:val="22"/>
          <w:lang w:val="hy-AM"/>
        </w:rPr>
        <w:t>նպաստել քաղաքացիական հասարակության զարգացմանը</w:t>
      </w:r>
      <w:r w:rsidRPr="007C315F">
        <w:rPr>
          <w:b w:val="0"/>
          <w:noProof/>
          <w:szCs w:val="22"/>
          <w:lang w:val="af-ZA"/>
        </w:rPr>
        <w:t>:</w:t>
      </w:r>
      <w:r w:rsidRPr="007C315F">
        <w:rPr>
          <w:b w:val="0"/>
          <w:noProof/>
          <w:szCs w:val="22"/>
          <w:lang w:val="hy-AM"/>
        </w:rPr>
        <w:t xml:space="preserve"> Ծրագրի</w:t>
      </w:r>
      <w:r w:rsidRPr="007C315F">
        <w:rPr>
          <w:b w:val="0"/>
          <w:noProof/>
          <w:szCs w:val="22"/>
          <w:lang w:val="af-ZA"/>
        </w:rPr>
        <w:t xml:space="preserve"> </w:t>
      </w:r>
      <w:r w:rsidRPr="007C315F">
        <w:rPr>
          <w:b w:val="0"/>
          <w:noProof/>
          <w:szCs w:val="22"/>
          <w:lang w:val="hy-AM"/>
        </w:rPr>
        <w:t>շրջանակներում</w:t>
      </w:r>
      <w:r w:rsidRPr="007C315F">
        <w:rPr>
          <w:b w:val="0"/>
          <w:noProof/>
          <w:szCs w:val="22"/>
          <w:lang w:val="af-ZA"/>
        </w:rPr>
        <w:t xml:space="preserve"> </w:t>
      </w:r>
      <w:r w:rsidRPr="007C315F">
        <w:rPr>
          <w:b w:val="0"/>
          <w:noProof/>
          <w:szCs w:val="22"/>
          <w:lang w:val="hy-AM"/>
        </w:rPr>
        <w:t>հատկացումներն</w:t>
      </w:r>
      <w:r w:rsidRPr="007C315F">
        <w:rPr>
          <w:b w:val="0"/>
          <w:noProof/>
          <w:szCs w:val="22"/>
          <w:lang w:val="af-ZA"/>
        </w:rPr>
        <w:t xml:space="preserve"> </w:t>
      </w:r>
      <w:r w:rsidRPr="007C315F">
        <w:rPr>
          <w:b w:val="0"/>
          <w:noProof/>
          <w:szCs w:val="22"/>
          <w:lang w:val="hy-AM"/>
        </w:rPr>
        <w:t>ուղղվելու</w:t>
      </w:r>
      <w:r w:rsidRPr="007C315F">
        <w:rPr>
          <w:b w:val="0"/>
          <w:noProof/>
          <w:szCs w:val="22"/>
          <w:lang w:val="af-ZA"/>
        </w:rPr>
        <w:t xml:space="preserve"> </w:t>
      </w:r>
      <w:r w:rsidRPr="007C315F">
        <w:rPr>
          <w:b w:val="0"/>
          <w:noProof/>
          <w:szCs w:val="22"/>
          <w:lang w:val="hy-AM"/>
        </w:rPr>
        <w:t>են</w:t>
      </w:r>
      <w:r w:rsidRPr="007C315F">
        <w:rPr>
          <w:b w:val="0"/>
          <w:noProof/>
          <w:szCs w:val="22"/>
          <w:lang w:val="af-ZA"/>
        </w:rPr>
        <w:t xml:space="preserve"> </w:t>
      </w:r>
      <w:r w:rsidRPr="007C315F">
        <w:rPr>
          <w:b w:val="0"/>
          <w:noProof/>
          <w:szCs w:val="22"/>
          <w:lang w:val="hy-AM"/>
        </w:rPr>
        <w:t>պ</w:t>
      </w:r>
      <w:r w:rsidRPr="007C315F">
        <w:rPr>
          <w:b w:val="0"/>
          <w:noProof/>
          <w:szCs w:val="22"/>
          <w:lang w:val="af-ZA"/>
        </w:rPr>
        <w:t>ետական կառավարման գործընթացներին քաղաքացիական հասարակության մասնակցության ապահով</w:t>
      </w:r>
      <w:r w:rsidRPr="007C315F">
        <w:rPr>
          <w:b w:val="0"/>
          <w:noProof/>
          <w:szCs w:val="22"/>
          <w:lang w:val="hy-AM"/>
        </w:rPr>
        <w:t>մանը, հասարակական կազմակերպություններին աջակցմանը</w:t>
      </w:r>
      <w:r w:rsidRPr="007C315F">
        <w:rPr>
          <w:b w:val="0"/>
          <w:noProof/>
          <w:szCs w:val="22"/>
          <w:lang w:val="af-ZA"/>
        </w:rPr>
        <w:t>:</w:t>
      </w:r>
    </w:p>
    <w:p w14:paraId="78F5F0AB" w14:textId="77777777" w:rsidR="007C315F" w:rsidRPr="007C315F" w:rsidRDefault="007C315F" w:rsidP="00AC1E1E">
      <w:pPr>
        <w:rPr>
          <w:b w:val="0"/>
          <w:noProof/>
          <w:szCs w:val="22"/>
          <w:lang w:val="af-ZA"/>
        </w:rPr>
      </w:pPr>
      <w:r w:rsidRPr="007C315F">
        <w:rPr>
          <w:noProof/>
          <w:szCs w:val="22"/>
          <w:lang w:val="hy-AM"/>
        </w:rPr>
        <w:t>Հանրային</w:t>
      </w:r>
      <w:r w:rsidRPr="007C315F">
        <w:rPr>
          <w:noProof/>
          <w:szCs w:val="22"/>
          <w:lang w:val="af-ZA"/>
        </w:rPr>
        <w:t xml:space="preserve"> </w:t>
      </w:r>
      <w:r w:rsidRPr="007C315F">
        <w:rPr>
          <w:noProof/>
          <w:szCs w:val="22"/>
          <w:lang w:val="hy-AM"/>
        </w:rPr>
        <w:t>իրազեկում</w:t>
      </w:r>
      <w:r w:rsidRPr="007C315F">
        <w:rPr>
          <w:noProof/>
          <w:szCs w:val="22"/>
          <w:lang w:val="af-ZA"/>
        </w:rPr>
        <w:t xml:space="preserve"> </w:t>
      </w:r>
      <w:r w:rsidRPr="007C315F">
        <w:rPr>
          <w:b w:val="0"/>
          <w:noProof/>
          <w:szCs w:val="22"/>
          <w:lang w:val="hy-AM"/>
        </w:rPr>
        <w:t>ծրագրի գծով նախատեսվել է</w:t>
      </w:r>
      <w:r w:rsidRPr="007C315F">
        <w:rPr>
          <w:b w:val="0"/>
          <w:noProof/>
          <w:szCs w:val="22"/>
          <w:lang w:val="af-ZA"/>
        </w:rPr>
        <w:t xml:space="preserve"> </w:t>
      </w:r>
      <w:r w:rsidRPr="007C315F">
        <w:rPr>
          <w:b w:val="0"/>
          <w:noProof/>
          <w:szCs w:val="22"/>
          <w:lang w:val="hy-AM"/>
        </w:rPr>
        <w:t>հատկացնել</w:t>
      </w:r>
      <w:r w:rsidRPr="007C315F">
        <w:rPr>
          <w:b w:val="0"/>
          <w:noProof/>
          <w:szCs w:val="22"/>
          <w:lang w:val="af-ZA"/>
        </w:rPr>
        <w:t xml:space="preserve"> 1,</w:t>
      </w:r>
      <w:r w:rsidRPr="007C315F">
        <w:rPr>
          <w:b w:val="0"/>
          <w:noProof/>
          <w:szCs w:val="22"/>
          <w:lang w:val="hy-AM"/>
        </w:rPr>
        <w:t>323.7</w:t>
      </w:r>
      <w:r w:rsidRPr="007C315F">
        <w:rPr>
          <w:b w:val="0"/>
          <w:noProof/>
          <w:szCs w:val="22"/>
          <w:lang w:val="af-ZA"/>
        </w:rPr>
        <w:t xml:space="preserve"> </w:t>
      </w:r>
      <w:r w:rsidRPr="007C315F">
        <w:rPr>
          <w:b w:val="0"/>
          <w:noProof/>
          <w:szCs w:val="22"/>
          <w:lang w:val="hy-AM"/>
        </w:rPr>
        <w:t>մլն</w:t>
      </w:r>
      <w:r w:rsidRPr="007C315F">
        <w:rPr>
          <w:b w:val="0"/>
          <w:noProof/>
          <w:szCs w:val="22"/>
          <w:lang w:val="af-ZA"/>
        </w:rPr>
        <w:t xml:space="preserve"> </w:t>
      </w:r>
      <w:r w:rsidRPr="007C315F">
        <w:rPr>
          <w:b w:val="0"/>
          <w:noProof/>
          <w:szCs w:val="22"/>
          <w:lang w:val="hy-AM"/>
        </w:rPr>
        <w:t>դրամ</w:t>
      </w:r>
      <w:r w:rsidRPr="007C315F">
        <w:rPr>
          <w:b w:val="0"/>
          <w:noProof/>
          <w:szCs w:val="22"/>
          <w:lang w:val="af-ZA"/>
        </w:rPr>
        <w:t>:</w:t>
      </w:r>
    </w:p>
    <w:p w14:paraId="0E1EBA73" w14:textId="77777777" w:rsidR="007C315F" w:rsidRPr="007C315F" w:rsidRDefault="007C315F" w:rsidP="00AC1E1E">
      <w:pPr>
        <w:rPr>
          <w:b w:val="0"/>
          <w:noProof/>
          <w:szCs w:val="22"/>
          <w:lang w:val="af-ZA"/>
        </w:rPr>
      </w:pPr>
      <w:r w:rsidRPr="007C315F">
        <w:rPr>
          <w:b w:val="0"/>
          <w:noProof/>
          <w:szCs w:val="22"/>
          <w:lang w:val="hy-AM"/>
        </w:rPr>
        <w:t>Ծրագրի նպատակն</w:t>
      </w:r>
      <w:r w:rsidRPr="007C315F">
        <w:rPr>
          <w:b w:val="0"/>
          <w:noProof/>
          <w:szCs w:val="22"/>
          <w:lang w:val="af-ZA"/>
        </w:rPr>
        <w:t xml:space="preserve"> </w:t>
      </w:r>
      <w:r w:rsidRPr="007C315F">
        <w:rPr>
          <w:b w:val="0"/>
          <w:noProof/>
          <w:szCs w:val="22"/>
          <w:lang w:val="hy-AM"/>
        </w:rPr>
        <w:t>է</w:t>
      </w:r>
      <w:r w:rsidRPr="007C315F">
        <w:rPr>
          <w:b w:val="0"/>
          <w:noProof/>
          <w:szCs w:val="22"/>
          <w:lang w:val="af-ZA"/>
        </w:rPr>
        <w:t xml:space="preserve"> </w:t>
      </w:r>
      <w:r w:rsidRPr="007C315F">
        <w:rPr>
          <w:b w:val="0"/>
          <w:noProof/>
          <w:szCs w:val="22"/>
          <w:lang w:val="hy-AM"/>
        </w:rPr>
        <w:t>ապահովել հանրային կապերի՝ պետական մարմինների թափանցիկությունը, տեղեկատվության մատչելիությունը</w:t>
      </w:r>
      <w:r w:rsidRPr="007C315F">
        <w:rPr>
          <w:b w:val="0"/>
          <w:noProof/>
          <w:szCs w:val="22"/>
          <w:lang w:val="af-ZA"/>
        </w:rPr>
        <w:t>:</w:t>
      </w:r>
    </w:p>
    <w:p w14:paraId="4BE377A9" w14:textId="77777777" w:rsidR="007C315F" w:rsidRPr="007C315F" w:rsidRDefault="007C315F" w:rsidP="00AC1E1E">
      <w:pPr>
        <w:rPr>
          <w:b w:val="0"/>
          <w:noProof/>
          <w:szCs w:val="22"/>
          <w:lang w:val="af-ZA"/>
        </w:rPr>
      </w:pPr>
      <w:r w:rsidRPr="007C315F">
        <w:rPr>
          <w:b w:val="0"/>
          <w:noProof/>
          <w:szCs w:val="22"/>
          <w:lang w:val="hy-AM"/>
        </w:rPr>
        <w:t>Ծ</w:t>
      </w:r>
      <w:r w:rsidRPr="007C315F">
        <w:rPr>
          <w:b w:val="0"/>
          <w:noProof/>
          <w:szCs w:val="22"/>
        </w:rPr>
        <w:t>րագրով</w:t>
      </w:r>
      <w:r w:rsidRPr="007C315F">
        <w:rPr>
          <w:b w:val="0"/>
          <w:noProof/>
          <w:szCs w:val="22"/>
          <w:lang w:val="af-ZA"/>
        </w:rPr>
        <w:t xml:space="preserve"> </w:t>
      </w:r>
      <w:r w:rsidRPr="007C315F">
        <w:rPr>
          <w:b w:val="0"/>
          <w:noProof/>
          <w:szCs w:val="22"/>
        </w:rPr>
        <w:t>նախատեսված</w:t>
      </w:r>
      <w:r w:rsidRPr="007C315F">
        <w:rPr>
          <w:b w:val="0"/>
          <w:noProof/>
          <w:szCs w:val="22"/>
          <w:lang w:val="af-ZA"/>
        </w:rPr>
        <w:t xml:space="preserve"> </w:t>
      </w:r>
      <w:r w:rsidRPr="007C315F">
        <w:rPr>
          <w:b w:val="0"/>
          <w:noProof/>
          <w:szCs w:val="22"/>
        </w:rPr>
        <w:t>հատկացումներն</w:t>
      </w:r>
      <w:r w:rsidRPr="007C315F">
        <w:rPr>
          <w:b w:val="0"/>
          <w:noProof/>
          <w:szCs w:val="22"/>
          <w:lang w:val="af-ZA"/>
        </w:rPr>
        <w:t xml:space="preserve"> </w:t>
      </w:r>
      <w:r w:rsidRPr="007C315F">
        <w:rPr>
          <w:b w:val="0"/>
          <w:noProof/>
          <w:szCs w:val="22"/>
        </w:rPr>
        <w:t>ուղղվելու</w:t>
      </w:r>
      <w:r w:rsidRPr="007C315F">
        <w:rPr>
          <w:b w:val="0"/>
          <w:noProof/>
          <w:szCs w:val="22"/>
          <w:lang w:val="af-ZA"/>
        </w:rPr>
        <w:t xml:space="preserve"> </w:t>
      </w:r>
      <w:r w:rsidRPr="007C315F">
        <w:rPr>
          <w:b w:val="0"/>
          <w:noProof/>
          <w:szCs w:val="22"/>
        </w:rPr>
        <w:t>են</w:t>
      </w:r>
      <w:r w:rsidRPr="007C315F">
        <w:rPr>
          <w:b w:val="0"/>
          <w:noProof/>
          <w:szCs w:val="22"/>
          <w:lang w:val="af-ZA"/>
        </w:rPr>
        <w:t xml:space="preserve"> </w:t>
      </w:r>
      <w:r w:rsidRPr="007C315F">
        <w:rPr>
          <w:b w:val="0"/>
          <w:noProof/>
          <w:szCs w:val="22"/>
        </w:rPr>
        <w:t>հանրային</w:t>
      </w:r>
      <w:r w:rsidRPr="007C315F">
        <w:rPr>
          <w:b w:val="0"/>
          <w:noProof/>
          <w:szCs w:val="22"/>
          <w:lang w:val="af-ZA"/>
        </w:rPr>
        <w:t xml:space="preserve"> </w:t>
      </w:r>
      <w:r w:rsidRPr="007C315F">
        <w:rPr>
          <w:b w:val="0"/>
          <w:noProof/>
          <w:szCs w:val="22"/>
        </w:rPr>
        <w:t>իրազեկման</w:t>
      </w:r>
      <w:r w:rsidRPr="007C315F">
        <w:rPr>
          <w:b w:val="0"/>
          <w:noProof/>
          <w:szCs w:val="22"/>
          <w:lang w:val="af-ZA"/>
        </w:rPr>
        <w:t xml:space="preserve"> </w:t>
      </w:r>
      <w:r w:rsidRPr="007C315F">
        <w:rPr>
          <w:b w:val="0"/>
          <w:noProof/>
          <w:szCs w:val="22"/>
        </w:rPr>
        <w:t>ապահովմանը</w:t>
      </w:r>
      <w:r w:rsidRPr="007C315F">
        <w:rPr>
          <w:b w:val="0"/>
          <w:noProof/>
          <w:szCs w:val="22"/>
          <w:lang w:val="af-ZA"/>
        </w:rPr>
        <w:t>, ՀՀ վերաբերյալ պաշտոնական տեղեկատվության ապահովմ</w:t>
      </w:r>
      <w:r w:rsidRPr="007C315F">
        <w:rPr>
          <w:b w:val="0"/>
          <w:noProof/>
          <w:szCs w:val="22"/>
          <w:lang w:val="en-US"/>
        </w:rPr>
        <w:t>անը</w:t>
      </w:r>
      <w:r w:rsidRPr="007C315F">
        <w:rPr>
          <w:b w:val="0"/>
          <w:noProof/>
          <w:szCs w:val="22"/>
          <w:lang w:val="af-ZA"/>
        </w:rPr>
        <w:t xml:space="preserve"> նաև միջազգային հարթակներում, «Միր» միջպետական հեռուստառադիոընկերության ՀՀ մասնաբաժնի վճար</w:t>
      </w:r>
      <w:r w:rsidRPr="007C315F">
        <w:rPr>
          <w:b w:val="0"/>
          <w:noProof/>
          <w:szCs w:val="22"/>
          <w:lang w:val="hy-AM"/>
        </w:rPr>
        <w:t xml:space="preserve">մանը, </w:t>
      </w:r>
      <w:r w:rsidRPr="007C315F">
        <w:rPr>
          <w:b w:val="0"/>
          <w:noProof/>
          <w:szCs w:val="22"/>
        </w:rPr>
        <w:t>տեղեկատվության</w:t>
      </w:r>
      <w:r w:rsidRPr="007C315F">
        <w:rPr>
          <w:b w:val="0"/>
          <w:noProof/>
          <w:szCs w:val="22"/>
          <w:lang w:val="af-ZA"/>
        </w:rPr>
        <w:t xml:space="preserve"> </w:t>
      </w:r>
      <w:r w:rsidRPr="007C315F">
        <w:rPr>
          <w:b w:val="0"/>
          <w:noProof/>
          <w:szCs w:val="22"/>
        </w:rPr>
        <w:t>ձեռքբերման</w:t>
      </w:r>
      <w:r w:rsidRPr="007C315F">
        <w:rPr>
          <w:b w:val="0"/>
          <w:noProof/>
          <w:szCs w:val="22"/>
          <w:lang w:val="af-ZA"/>
        </w:rPr>
        <w:t xml:space="preserve">, </w:t>
      </w:r>
      <w:r w:rsidRPr="007C315F">
        <w:rPr>
          <w:b w:val="0"/>
          <w:noProof/>
          <w:szCs w:val="22"/>
        </w:rPr>
        <w:t>պահպանման</w:t>
      </w:r>
      <w:r w:rsidRPr="007C315F">
        <w:rPr>
          <w:b w:val="0"/>
          <w:noProof/>
          <w:szCs w:val="22"/>
          <w:lang w:val="af-ZA"/>
        </w:rPr>
        <w:t xml:space="preserve"> </w:t>
      </w:r>
      <w:r w:rsidRPr="007C315F">
        <w:rPr>
          <w:b w:val="0"/>
          <w:noProof/>
          <w:szCs w:val="22"/>
        </w:rPr>
        <w:t>և</w:t>
      </w:r>
      <w:r w:rsidRPr="007C315F">
        <w:rPr>
          <w:b w:val="0"/>
          <w:noProof/>
          <w:szCs w:val="22"/>
          <w:lang w:val="af-ZA"/>
        </w:rPr>
        <w:t xml:space="preserve"> </w:t>
      </w:r>
      <w:r w:rsidRPr="007C315F">
        <w:rPr>
          <w:b w:val="0"/>
          <w:noProof/>
          <w:szCs w:val="22"/>
        </w:rPr>
        <w:t>արխիվացման</w:t>
      </w:r>
      <w:r w:rsidRPr="007C315F">
        <w:rPr>
          <w:b w:val="0"/>
          <w:noProof/>
          <w:szCs w:val="22"/>
          <w:lang w:val="af-ZA"/>
        </w:rPr>
        <w:t xml:space="preserve"> </w:t>
      </w:r>
      <w:r w:rsidRPr="007C315F">
        <w:rPr>
          <w:b w:val="0"/>
          <w:noProof/>
          <w:szCs w:val="22"/>
        </w:rPr>
        <w:t>ծառայությունների</w:t>
      </w:r>
      <w:r w:rsidRPr="007C315F">
        <w:rPr>
          <w:b w:val="0"/>
          <w:noProof/>
          <w:szCs w:val="22"/>
          <w:lang w:val="af-ZA"/>
        </w:rPr>
        <w:t xml:space="preserve"> </w:t>
      </w:r>
      <w:r w:rsidRPr="007C315F">
        <w:rPr>
          <w:b w:val="0"/>
          <w:noProof/>
          <w:szCs w:val="22"/>
        </w:rPr>
        <w:t>իրականացմանը</w:t>
      </w:r>
      <w:r w:rsidRPr="007C315F">
        <w:rPr>
          <w:b w:val="0"/>
          <w:noProof/>
          <w:szCs w:val="22"/>
          <w:lang w:val="af-ZA"/>
        </w:rPr>
        <w:t xml:space="preserve">: </w:t>
      </w:r>
    </w:p>
    <w:p w14:paraId="70727CD6" w14:textId="77777777" w:rsidR="007C315F" w:rsidRPr="007C315F" w:rsidRDefault="007C315F" w:rsidP="00AC1E1E">
      <w:pPr>
        <w:numPr>
          <w:ilvl w:val="12"/>
          <w:numId w:val="0"/>
        </w:numPr>
        <w:tabs>
          <w:tab w:val="left" w:pos="851"/>
        </w:tabs>
        <w:rPr>
          <w:b w:val="0"/>
          <w:noProof/>
          <w:szCs w:val="22"/>
          <w:lang w:val="af-ZA"/>
        </w:rPr>
      </w:pPr>
      <w:r w:rsidRPr="007C315F">
        <w:rPr>
          <w:noProof/>
          <w:szCs w:val="22"/>
          <w:lang w:val="hy-AM"/>
        </w:rPr>
        <w:t>Տոների</w:t>
      </w:r>
      <w:r w:rsidRPr="007C315F">
        <w:rPr>
          <w:noProof/>
          <w:szCs w:val="22"/>
          <w:lang w:val="af-ZA"/>
        </w:rPr>
        <w:t xml:space="preserve"> </w:t>
      </w:r>
      <w:r w:rsidRPr="007C315F">
        <w:rPr>
          <w:noProof/>
          <w:szCs w:val="22"/>
          <w:lang w:val="hy-AM"/>
        </w:rPr>
        <w:t>և</w:t>
      </w:r>
      <w:r w:rsidRPr="007C315F">
        <w:rPr>
          <w:noProof/>
          <w:szCs w:val="22"/>
          <w:lang w:val="af-ZA"/>
        </w:rPr>
        <w:t xml:space="preserve"> </w:t>
      </w:r>
      <w:r w:rsidRPr="007C315F">
        <w:rPr>
          <w:noProof/>
          <w:szCs w:val="22"/>
          <w:lang w:val="hy-AM"/>
        </w:rPr>
        <w:t>հիշատակի</w:t>
      </w:r>
      <w:r w:rsidRPr="007C315F">
        <w:rPr>
          <w:noProof/>
          <w:szCs w:val="22"/>
          <w:lang w:val="af-ZA"/>
        </w:rPr>
        <w:t xml:space="preserve"> </w:t>
      </w:r>
      <w:r w:rsidRPr="007C315F">
        <w:rPr>
          <w:noProof/>
          <w:szCs w:val="22"/>
          <w:lang w:val="hy-AM"/>
        </w:rPr>
        <w:t>օրերի</w:t>
      </w:r>
      <w:r w:rsidRPr="007C315F">
        <w:rPr>
          <w:noProof/>
          <w:szCs w:val="22"/>
          <w:lang w:val="af-ZA"/>
        </w:rPr>
        <w:t xml:space="preserve"> </w:t>
      </w:r>
      <w:r w:rsidRPr="007C315F">
        <w:rPr>
          <w:b w:val="0"/>
          <w:noProof/>
          <w:szCs w:val="22"/>
          <w:lang w:val="hy-AM"/>
        </w:rPr>
        <w:t>ծրագրի գծով նախատեսվել է</w:t>
      </w:r>
      <w:r w:rsidRPr="007C315F">
        <w:rPr>
          <w:b w:val="0"/>
          <w:noProof/>
          <w:szCs w:val="22"/>
          <w:lang w:val="af-ZA"/>
        </w:rPr>
        <w:t xml:space="preserve"> </w:t>
      </w:r>
      <w:r w:rsidRPr="007C315F">
        <w:rPr>
          <w:b w:val="0"/>
          <w:noProof/>
          <w:szCs w:val="22"/>
          <w:lang w:val="hy-AM"/>
        </w:rPr>
        <w:t>հատկացնել</w:t>
      </w:r>
      <w:r w:rsidRPr="007C315F">
        <w:rPr>
          <w:b w:val="0"/>
          <w:noProof/>
          <w:szCs w:val="22"/>
          <w:lang w:val="af-ZA"/>
        </w:rPr>
        <w:t xml:space="preserve"> </w:t>
      </w:r>
      <w:r w:rsidRPr="007C315F">
        <w:rPr>
          <w:b w:val="0"/>
          <w:noProof/>
          <w:szCs w:val="22"/>
          <w:lang w:val="hy-AM"/>
        </w:rPr>
        <w:t>234</w:t>
      </w:r>
      <w:r w:rsidRPr="007C315F">
        <w:rPr>
          <w:b w:val="0"/>
          <w:noProof/>
          <w:szCs w:val="22"/>
          <w:lang w:val="af-ZA"/>
        </w:rPr>
        <w:t>.</w:t>
      </w:r>
      <w:r w:rsidRPr="007C315F">
        <w:rPr>
          <w:b w:val="0"/>
          <w:noProof/>
          <w:szCs w:val="22"/>
          <w:lang w:val="hy-AM"/>
        </w:rPr>
        <w:t>3</w:t>
      </w:r>
      <w:r w:rsidRPr="007C315F">
        <w:rPr>
          <w:b w:val="0"/>
          <w:noProof/>
          <w:szCs w:val="22"/>
          <w:lang w:val="af-ZA"/>
        </w:rPr>
        <w:t xml:space="preserve"> </w:t>
      </w:r>
      <w:r w:rsidRPr="007C315F">
        <w:rPr>
          <w:b w:val="0"/>
          <w:noProof/>
          <w:szCs w:val="22"/>
          <w:lang w:val="hy-AM"/>
        </w:rPr>
        <w:t>մլն</w:t>
      </w:r>
      <w:r w:rsidRPr="007C315F">
        <w:rPr>
          <w:b w:val="0"/>
          <w:noProof/>
          <w:szCs w:val="22"/>
          <w:lang w:val="af-ZA"/>
        </w:rPr>
        <w:t xml:space="preserve"> </w:t>
      </w:r>
      <w:r w:rsidRPr="007C315F">
        <w:rPr>
          <w:b w:val="0"/>
          <w:noProof/>
          <w:szCs w:val="22"/>
          <w:lang w:val="hy-AM"/>
        </w:rPr>
        <w:t>դրամ</w:t>
      </w:r>
      <w:r w:rsidRPr="007C315F">
        <w:rPr>
          <w:b w:val="0"/>
          <w:noProof/>
          <w:szCs w:val="22"/>
          <w:lang w:val="af-ZA"/>
        </w:rPr>
        <w:t>:</w:t>
      </w:r>
    </w:p>
    <w:p w14:paraId="732C13E7" w14:textId="77777777" w:rsidR="007C315F" w:rsidRPr="007C315F" w:rsidRDefault="007C315F" w:rsidP="00AC1E1E">
      <w:pPr>
        <w:numPr>
          <w:ilvl w:val="12"/>
          <w:numId w:val="0"/>
        </w:numPr>
        <w:tabs>
          <w:tab w:val="left" w:pos="851"/>
        </w:tabs>
        <w:rPr>
          <w:b w:val="0"/>
          <w:noProof/>
          <w:szCs w:val="22"/>
          <w:lang w:val="af-ZA"/>
        </w:rPr>
      </w:pPr>
      <w:r w:rsidRPr="007C315F">
        <w:rPr>
          <w:rFonts w:cs="Sylfaen"/>
          <w:b w:val="0"/>
          <w:bCs/>
          <w:iCs/>
          <w:color w:val="000000"/>
          <w:szCs w:val="22"/>
          <w:lang w:val="hy-AM" w:eastAsia="en-US"/>
        </w:rPr>
        <w:t xml:space="preserve">Ծրագրի </w:t>
      </w:r>
      <w:r w:rsidRPr="007C315F">
        <w:rPr>
          <w:b w:val="0"/>
          <w:noProof/>
          <w:szCs w:val="22"/>
          <w:lang w:val="hy-AM"/>
        </w:rPr>
        <w:t>նպատակն</w:t>
      </w:r>
      <w:r w:rsidRPr="007C315F">
        <w:rPr>
          <w:b w:val="0"/>
          <w:noProof/>
          <w:szCs w:val="22"/>
          <w:lang w:val="af-ZA"/>
        </w:rPr>
        <w:t xml:space="preserve"> </w:t>
      </w:r>
      <w:r w:rsidRPr="007C315F">
        <w:rPr>
          <w:b w:val="0"/>
          <w:noProof/>
          <w:szCs w:val="22"/>
          <w:lang w:val="hy-AM"/>
        </w:rPr>
        <w:t>է</w:t>
      </w:r>
      <w:r w:rsidRPr="007C315F">
        <w:rPr>
          <w:b w:val="0"/>
          <w:noProof/>
          <w:szCs w:val="22"/>
          <w:lang w:val="af-ZA"/>
        </w:rPr>
        <w:t xml:space="preserve"> </w:t>
      </w:r>
      <w:r w:rsidRPr="007C315F">
        <w:rPr>
          <w:b w:val="0"/>
          <w:noProof/>
          <w:szCs w:val="22"/>
          <w:lang w:val="hy-AM"/>
        </w:rPr>
        <w:t>տոների</w:t>
      </w:r>
      <w:r w:rsidRPr="007C315F">
        <w:rPr>
          <w:b w:val="0"/>
          <w:noProof/>
          <w:szCs w:val="22"/>
          <w:lang w:val="af-ZA"/>
        </w:rPr>
        <w:t xml:space="preserve"> </w:t>
      </w:r>
      <w:r w:rsidRPr="007C315F">
        <w:rPr>
          <w:b w:val="0"/>
          <w:noProof/>
          <w:szCs w:val="22"/>
          <w:lang w:val="hy-AM"/>
        </w:rPr>
        <w:t>և</w:t>
      </w:r>
      <w:r w:rsidRPr="007C315F">
        <w:rPr>
          <w:b w:val="0"/>
          <w:noProof/>
          <w:szCs w:val="22"/>
          <w:lang w:val="af-ZA"/>
        </w:rPr>
        <w:t xml:space="preserve"> </w:t>
      </w:r>
      <w:r w:rsidRPr="007C315F">
        <w:rPr>
          <w:b w:val="0"/>
          <w:noProof/>
          <w:szCs w:val="22"/>
          <w:lang w:val="hy-AM"/>
        </w:rPr>
        <w:t>հիշատակի</w:t>
      </w:r>
      <w:r w:rsidRPr="007C315F">
        <w:rPr>
          <w:b w:val="0"/>
          <w:noProof/>
          <w:szCs w:val="22"/>
          <w:lang w:val="af-ZA"/>
        </w:rPr>
        <w:t xml:space="preserve"> </w:t>
      </w:r>
      <w:r w:rsidRPr="007C315F">
        <w:rPr>
          <w:b w:val="0"/>
          <w:noProof/>
          <w:szCs w:val="22"/>
          <w:lang w:val="hy-AM"/>
        </w:rPr>
        <w:t>օրերին</w:t>
      </w:r>
      <w:r w:rsidRPr="007C315F">
        <w:rPr>
          <w:b w:val="0"/>
          <w:noProof/>
          <w:szCs w:val="22"/>
          <w:lang w:val="af-ZA"/>
        </w:rPr>
        <w:t xml:space="preserve"> </w:t>
      </w:r>
      <w:r w:rsidRPr="007C315F">
        <w:rPr>
          <w:b w:val="0"/>
          <w:noProof/>
          <w:szCs w:val="22"/>
          <w:lang w:val="hy-AM"/>
        </w:rPr>
        <w:t>նվիրված</w:t>
      </w:r>
      <w:r w:rsidRPr="007C315F">
        <w:rPr>
          <w:b w:val="0"/>
          <w:noProof/>
          <w:szCs w:val="22"/>
          <w:lang w:val="af-ZA"/>
        </w:rPr>
        <w:t xml:space="preserve"> </w:t>
      </w:r>
      <w:r w:rsidRPr="007C315F">
        <w:rPr>
          <w:b w:val="0"/>
          <w:noProof/>
          <w:szCs w:val="22"/>
          <w:lang w:val="hy-AM"/>
        </w:rPr>
        <w:t>միջոցառումների</w:t>
      </w:r>
      <w:r w:rsidRPr="007C315F">
        <w:rPr>
          <w:b w:val="0"/>
          <w:noProof/>
          <w:szCs w:val="22"/>
          <w:lang w:val="af-ZA"/>
        </w:rPr>
        <w:t xml:space="preserve"> </w:t>
      </w:r>
      <w:r w:rsidRPr="007C315F">
        <w:rPr>
          <w:b w:val="0"/>
          <w:noProof/>
          <w:szCs w:val="22"/>
          <w:lang w:val="hy-AM"/>
        </w:rPr>
        <w:t>անցկացումը՝</w:t>
      </w:r>
      <w:r w:rsidRPr="007C315F">
        <w:rPr>
          <w:b w:val="0"/>
          <w:noProof/>
          <w:szCs w:val="22"/>
          <w:lang w:val="af-ZA"/>
        </w:rPr>
        <w:t xml:space="preserve"> </w:t>
      </w:r>
      <w:r w:rsidRPr="007C315F">
        <w:rPr>
          <w:b w:val="0"/>
          <w:noProof/>
          <w:szCs w:val="22"/>
          <w:lang w:val="hy-AM"/>
        </w:rPr>
        <w:t>ի</w:t>
      </w:r>
      <w:r w:rsidRPr="007C315F">
        <w:rPr>
          <w:b w:val="0"/>
          <w:noProof/>
          <w:szCs w:val="22"/>
          <w:lang w:val="af-ZA"/>
        </w:rPr>
        <w:t xml:space="preserve"> </w:t>
      </w:r>
      <w:r w:rsidRPr="007C315F">
        <w:rPr>
          <w:b w:val="0"/>
          <w:noProof/>
          <w:szCs w:val="22"/>
          <w:lang w:val="hy-AM"/>
        </w:rPr>
        <w:t>նպաստ</w:t>
      </w:r>
      <w:r w:rsidRPr="007C315F">
        <w:rPr>
          <w:b w:val="0"/>
          <w:noProof/>
          <w:szCs w:val="22"/>
          <w:lang w:val="af-ZA"/>
        </w:rPr>
        <w:t xml:space="preserve"> </w:t>
      </w:r>
      <w:r w:rsidRPr="007C315F">
        <w:rPr>
          <w:b w:val="0"/>
          <w:noProof/>
          <w:szCs w:val="22"/>
          <w:lang w:val="hy-AM"/>
        </w:rPr>
        <w:t>Ազգային</w:t>
      </w:r>
      <w:r w:rsidRPr="007C315F">
        <w:rPr>
          <w:b w:val="0"/>
          <w:noProof/>
          <w:szCs w:val="22"/>
          <w:lang w:val="af-ZA"/>
        </w:rPr>
        <w:t xml:space="preserve"> </w:t>
      </w:r>
      <w:r w:rsidRPr="007C315F">
        <w:rPr>
          <w:b w:val="0"/>
          <w:noProof/>
          <w:szCs w:val="22"/>
          <w:lang w:val="hy-AM"/>
        </w:rPr>
        <w:t>ինքնության</w:t>
      </w:r>
      <w:r w:rsidRPr="007C315F">
        <w:rPr>
          <w:b w:val="0"/>
          <w:noProof/>
          <w:szCs w:val="22"/>
          <w:lang w:val="af-ZA"/>
        </w:rPr>
        <w:t xml:space="preserve"> </w:t>
      </w:r>
      <w:r w:rsidRPr="007C315F">
        <w:rPr>
          <w:b w:val="0"/>
          <w:noProof/>
          <w:szCs w:val="22"/>
          <w:lang w:val="hy-AM"/>
        </w:rPr>
        <w:t>պահպանմանը</w:t>
      </w:r>
      <w:r w:rsidRPr="007C315F">
        <w:rPr>
          <w:b w:val="0"/>
          <w:noProof/>
          <w:szCs w:val="22"/>
          <w:lang w:val="af-ZA"/>
        </w:rPr>
        <w:t>:</w:t>
      </w:r>
    </w:p>
    <w:p w14:paraId="7D046FFD" w14:textId="77777777" w:rsidR="007C315F" w:rsidRPr="007C315F" w:rsidRDefault="007C315F" w:rsidP="00AC1E1E">
      <w:pPr>
        <w:numPr>
          <w:ilvl w:val="12"/>
          <w:numId w:val="0"/>
        </w:numPr>
        <w:tabs>
          <w:tab w:val="left" w:pos="851"/>
        </w:tabs>
        <w:rPr>
          <w:b w:val="0"/>
          <w:noProof/>
          <w:szCs w:val="22"/>
          <w:lang w:val="hy-AM"/>
        </w:rPr>
      </w:pPr>
      <w:r w:rsidRPr="007C315F">
        <w:rPr>
          <w:b w:val="0"/>
          <w:noProof/>
          <w:szCs w:val="22"/>
          <w:lang w:val="hy-AM"/>
        </w:rPr>
        <w:lastRenderedPageBreak/>
        <w:t>Ծրագրի</w:t>
      </w:r>
      <w:r w:rsidRPr="007C315F">
        <w:rPr>
          <w:b w:val="0"/>
          <w:noProof/>
          <w:szCs w:val="22"/>
          <w:lang w:val="af-ZA"/>
        </w:rPr>
        <w:t xml:space="preserve"> </w:t>
      </w:r>
      <w:r w:rsidRPr="007C315F">
        <w:rPr>
          <w:b w:val="0"/>
          <w:noProof/>
          <w:szCs w:val="22"/>
        </w:rPr>
        <w:t>շրջանակներում</w:t>
      </w:r>
      <w:r w:rsidRPr="007C315F">
        <w:rPr>
          <w:b w:val="0"/>
          <w:noProof/>
          <w:szCs w:val="22"/>
          <w:lang w:val="af-ZA"/>
        </w:rPr>
        <w:t xml:space="preserve"> </w:t>
      </w:r>
      <w:r w:rsidRPr="007C315F">
        <w:rPr>
          <w:b w:val="0"/>
          <w:noProof/>
          <w:szCs w:val="22"/>
        </w:rPr>
        <w:t>հատկացումները</w:t>
      </w:r>
      <w:r w:rsidRPr="007C315F">
        <w:rPr>
          <w:b w:val="0"/>
          <w:noProof/>
          <w:szCs w:val="22"/>
          <w:lang w:val="af-ZA"/>
        </w:rPr>
        <w:t xml:space="preserve"> </w:t>
      </w:r>
      <w:r w:rsidRPr="007C315F">
        <w:rPr>
          <w:b w:val="0"/>
          <w:noProof/>
          <w:szCs w:val="22"/>
        </w:rPr>
        <w:t>կուղղվեն</w:t>
      </w:r>
      <w:r w:rsidRPr="007C315F">
        <w:rPr>
          <w:b w:val="0"/>
          <w:noProof/>
          <w:szCs w:val="22"/>
          <w:lang w:val="af-ZA"/>
        </w:rPr>
        <w:t xml:space="preserve"> </w:t>
      </w:r>
      <w:r w:rsidRPr="007C315F">
        <w:rPr>
          <w:b w:val="0"/>
          <w:noProof/>
          <w:szCs w:val="22"/>
        </w:rPr>
        <w:t>Քաղաքացու</w:t>
      </w:r>
      <w:r w:rsidRPr="007C315F">
        <w:rPr>
          <w:b w:val="0"/>
          <w:noProof/>
          <w:szCs w:val="22"/>
          <w:lang w:val="af-ZA"/>
        </w:rPr>
        <w:t xml:space="preserve"> </w:t>
      </w:r>
      <w:r w:rsidRPr="007C315F">
        <w:rPr>
          <w:b w:val="0"/>
          <w:noProof/>
          <w:szCs w:val="22"/>
        </w:rPr>
        <w:t>օրվան</w:t>
      </w:r>
      <w:r w:rsidRPr="007C315F">
        <w:rPr>
          <w:b w:val="0"/>
          <w:noProof/>
          <w:szCs w:val="22"/>
          <w:lang w:val="af-ZA"/>
        </w:rPr>
        <w:t xml:space="preserve"> նվիրված </w:t>
      </w:r>
      <w:r w:rsidRPr="007C315F">
        <w:rPr>
          <w:b w:val="0"/>
          <w:noProof/>
          <w:szCs w:val="22"/>
          <w:lang w:val="hy-AM"/>
        </w:rPr>
        <w:t xml:space="preserve">և «Մեր ժամանակների հերոսը» </w:t>
      </w:r>
      <w:r w:rsidRPr="007C315F">
        <w:rPr>
          <w:b w:val="0"/>
          <w:noProof/>
          <w:szCs w:val="22"/>
        </w:rPr>
        <w:t>միջոցառ</w:t>
      </w:r>
      <w:r w:rsidRPr="007C315F">
        <w:rPr>
          <w:b w:val="0"/>
          <w:noProof/>
          <w:szCs w:val="22"/>
          <w:lang w:val="hy-AM"/>
        </w:rPr>
        <w:t>ումներին:</w:t>
      </w:r>
    </w:p>
    <w:p w14:paraId="2E492C7B" w14:textId="77777777" w:rsidR="007C315F" w:rsidRPr="007C315F" w:rsidRDefault="007C315F" w:rsidP="00AC1E1E">
      <w:pPr>
        <w:numPr>
          <w:ilvl w:val="12"/>
          <w:numId w:val="0"/>
        </w:numPr>
        <w:tabs>
          <w:tab w:val="left" w:pos="851"/>
        </w:tabs>
        <w:rPr>
          <w:b w:val="0"/>
          <w:noProof/>
          <w:szCs w:val="22"/>
          <w:lang w:val="hy-AM"/>
        </w:rPr>
      </w:pPr>
      <w:r w:rsidRPr="007C315F">
        <w:rPr>
          <w:noProof/>
          <w:szCs w:val="22"/>
          <w:lang w:val="hy-AM"/>
        </w:rPr>
        <w:t xml:space="preserve">Սփյուռքի գծով </w:t>
      </w:r>
      <w:r w:rsidRPr="007C315F">
        <w:rPr>
          <w:b w:val="0"/>
          <w:noProof/>
          <w:szCs w:val="22"/>
          <w:lang w:val="hy-AM"/>
        </w:rPr>
        <w:t>իրականացվում է 2 ծրագիր, որից.</w:t>
      </w:r>
    </w:p>
    <w:p w14:paraId="483C2FFE" w14:textId="77777777" w:rsidR="007C315F" w:rsidRPr="007C315F" w:rsidRDefault="007C315F" w:rsidP="00AC1E1E">
      <w:pPr>
        <w:numPr>
          <w:ilvl w:val="12"/>
          <w:numId w:val="0"/>
        </w:numPr>
        <w:tabs>
          <w:tab w:val="left" w:pos="851"/>
        </w:tabs>
        <w:rPr>
          <w:rFonts w:cs="Sylfaen"/>
          <w:b w:val="0"/>
          <w:bCs/>
          <w:iCs/>
          <w:color w:val="000000"/>
          <w:sz w:val="20"/>
          <w:szCs w:val="20"/>
          <w:lang w:val="hy-AM" w:eastAsia="en-US"/>
        </w:rPr>
      </w:pPr>
      <w:r w:rsidRPr="007C315F">
        <w:rPr>
          <w:noProof/>
          <w:szCs w:val="22"/>
          <w:lang w:val="hy-AM"/>
        </w:rPr>
        <w:t xml:space="preserve">Հայաստան-Սփյուռք գործակցության </w:t>
      </w:r>
      <w:r w:rsidRPr="007C315F">
        <w:rPr>
          <w:b w:val="0"/>
          <w:noProof/>
          <w:szCs w:val="22"/>
          <w:lang w:val="hy-AM"/>
        </w:rPr>
        <w:t>ծրագրի գծով նախատեսվել է</w:t>
      </w:r>
      <w:r w:rsidRPr="007C315F">
        <w:rPr>
          <w:b w:val="0"/>
          <w:noProof/>
          <w:szCs w:val="22"/>
          <w:lang w:val="af-ZA"/>
        </w:rPr>
        <w:t xml:space="preserve"> </w:t>
      </w:r>
      <w:r w:rsidRPr="007C315F">
        <w:rPr>
          <w:b w:val="0"/>
          <w:noProof/>
          <w:szCs w:val="22"/>
          <w:lang w:val="hy-AM"/>
        </w:rPr>
        <w:t>հատկացնել</w:t>
      </w:r>
      <w:r w:rsidRPr="007C315F">
        <w:rPr>
          <w:b w:val="0"/>
          <w:noProof/>
          <w:szCs w:val="22"/>
          <w:lang w:val="af-ZA"/>
        </w:rPr>
        <w:t xml:space="preserve"> </w:t>
      </w:r>
      <w:r w:rsidRPr="007C315F">
        <w:rPr>
          <w:b w:val="0"/>
          <w:noProof/>
          <w:szCs w:val="22"/>
          <w:lang w:val="hy-AM"/>
        </w:rPr>
        <w:t>577.0</w:t>
      </w:r>
      <w:r w:rsidRPr="007C315F">
        <w:rPr>
          <w:b w:val="0"/>
          <w:noProof/>
          <w:szCs w:val="22"/>
          <w:lang w:val="af-ZA"/>
        </w:rPr>
        <w:t xml:space="preserve"> </w:t>
      </w:r>
      <w:r w:rsidRPr="007C315F">
        <w:rPr>
          <w:b w:val="0"/>
          <w:noProof/>
          <w:szCs w:val="22"/>
          <w:lang w:val="hy-AM"/>
        </w:rPr>
        <w:t>մլն</w:t>
      </w:r>
      <w:r w:rsidRPr="007C315F">
        <w:rPr>
          <w:b w:val="0"/>
          <w:noProof/>
          <w:szCs w:val="22"/>
          <w:lang w:val="af-ZA"/>
        </w:rPr>
        <w:t xml:space="preserve"> </w:t>
      </w:r>
      <w:r w:rsidRPr="007C315F">
        <w:rPr>
          <w:b w:val="0"/>
          <w:noProof/>
          <w:szCs w:val="22"/>
          <w:lang w:val="hy-AM"/>
        </w:rPr>
        <w:t>դրամ</w:t>
      </w:r>
      <w:r w:rsidRPr="007C315F">
        <w:rPr>
          <w:b w:val="0"/>
          <w:noProof/>
          <w:szCs w:val="22"/>
          <w:lang w:val="af-ZA"/>
        </w:rPr>
        <w:t>:</w:t>
      </w:r>
    </w:p>
    <w:p w14:paraId="4809FDC9" w14:textId="77777777" w:rsidR="007C315F" w:rsidRPr="007C315F" w:rsidRDefault="007C315F" w:rsidP="00AC1E1E">
      <w:pPr>
        <w:rPr>
          <w:rFonts w:cs="Sylfaen"/>
          <w:b w:val="0"/>
          <w:bCs/>
          <w:szCs w:val="22"/>
          <w:lang w:val="hy-AM"/>
        </w:rPr>
      </w:pPr>
      <w:r w:rsidRPr="007C315F">
        <w:rPr>
          <w:rFonts w:cs="Sylfaen"/>
          <w:b w:val="0"/>
          <w:bCs/>
          <w:szCs w:val="22"/>
          <w:lang w:val="hy-AM"/>
        </w:rPr>
        <w:t xml:space="preserve">Ծրագրի նպատակն է նպաստել Հայաստան-Սփյուռք գործակցության զարգացմանը, հայապահպանությանն ու ազգային ինքնության պահպանմանը: </w:t>
      </w:r>
    </w:p>
    <w:p w14:paraId="4259F20B" w14:textId="77777777" w:rsidR="007C315F" w:rsidRPr="007C315F" w:rsidRDefault="007C315F" w:rsidP="00AC1E1E">
      <w:pPr>
        <w:rPr>
          <w:rFonts w:cs="Sylfaen"/>
          <w:b w:val="0"/>
          <w:bCs/>
          <w:szCs w:val="22"/>
          <w:lang w:val="hy-AM"/>
        </w:rPr>
      </w:pPr>
      <w:r w:rsidRPr="007C315F">
        <w:rPr>
          <w:rFonts w:cs="Sylfaen"/>
          <w:b w:val="0"/>
          <w:bCs/>
          <w:szCs w:val="22"/>
          <w:lang w:val="hy-AM"/>
        </w:rPr>
        <w:t>Ծրագրի շրջանակներում նախատեսվում է իրականացնել Սփյուռքի հայ երիտասարդության և պատանիների ուսումնաճանաչողական այցելություններ, հայերենի ուսուցման դասընթացներ՝ ընդգրկելով շուրջ 648 մասնակցի («Քայլ դեպի տուն»), Հ</w:t>
      </w:r>
      <w:r w:rsidRPr="004904D5">
        <w:rPr>
          <w:rFonts w:cs="Sylfaen"/>
          <w:b w:val="0"/>
          <w:bCs/>
          <w:szCs w:val="22"/>
          <w:lang w:val="hy-AM"/>
        </w:rPr>
        <w:t xml:space="preserve">այաստանի </w:t>
      </w:r>
      <w:r w:rsidRPr="007C315F">
        <w:rPr>
          <w:rFonts w:cs="Sylfaen"/>
          <w:b w:val="0"/>
          <w:bCs/>
          <w:szCs w:val="22"/>
          <w:lang w:val="hy-AM"/>
        </w:rPr>
        <w:t>Հ</w:t>
      </w:r>
      <w:r w:rsidRPr="004904D5">
        <w:rPr>
          <w:rFonts w:cs="Sylfaen"/>
          <w:b w:val="0"/>
          <w:bCs/>
          <w:szCs w:val="22"/>
          <w:lang w:val="hy-AM"/>
        </w:rPr>
        <w:t>անրապետության</w:t>
      </w:r>
      <w:r w:rsidRPr="007C315F">
        <w:rPr>
          <w:rFonts w:cs="Sylfaen"/>
          <w:b w:val="0"/>
          <w:bCs/>
          <w:szCs w:val="22"/>
          <w:lang w:val="hy-AM"/>
        </w:rPr>
        <w:t xml:space="preserve"> մասին սփյուռքի երիտասարդ առաջնորդների ճանաչողական և վերապատրաստման դասընթացների կազմակերպում շուրջ 30 մասնակցի համար, ինչպես նաև 18 այցելություններ սփյուռքի համայնքներ՝ խնդիրներին ծանոթանալու, դրանց լուծման ուղիների քննարկման, համայնքներում կազմակերպված միջոցառումներին մասնակցության և այլ նպատակներով, հնարավորություն է ընձեռնվում սփյուռքահայ լավագույն որակավորում ունեցող 100 մասնագետներին</w:t>
      </w:r>
      <w:r w:rsidRPr="004904D5">
        <w:rPr>
          <w:rFonts w:cs="Sylfaen"/>
          <w:b w:val="0"/>
          <w:bCs/>
          <w:szCs w:val="22"/>
          <w:lang w:val="hy-AM"/>
        </w:rPr>
        <w:t>,</w:t>
      </w:r>
      <w:r w:rsidRPr="007C315F">
        <w:rPr>
          <w:rFonts w:cs="Sylfaen"/>
          <w:b w:val="0"/>
          <w:bCs/>
          <w:szCs w:val="22"/>
          <w:lang w:val="hy-AM"/>
        </w:rPr>
        <w:t xml:space="preserve"> իրենց մասնագիտական և փորձագիտական հմտություններով</w:t>
      </w:r>
      <w:r w:rsidRPr="004904D5">
        <w:rPr>
          <w:rFonts w:cs="Sylfaen"/>
          <w:b w:val="0"/>
          <w:bCs/>
          <w:szCs w:val="22"/>
          <w:lang w:val="hy-AM"/>
        </w:rPr>
        <w:t>,</w:t>
      </w:r>
      <w:r w:rsidRPr="007C315F">
        <w:rPr>
          <w:rFonts w:cs="Sylfaen"/>
          <w:b w:val="0"/>
          <w:bCs/>
          <w:szCs w:val="22"/>
          <w:lang w:val="hy-AM"/>
        </w:rPr>
        <w:t xml:space="preserve"> ներգրավվելու ՀՀ պետական կառավարման համակարգում («իԳործ»), պատրաստվելու և հեռարձակվելու են հայրենադարձության քարոզչության վերաբերյալ 86 հեռուստահաղորդումներ, տեսահոլովակներ և գովազդային նյութեր` ապահովելով սփյուռքահայերի իրազեկվածությունը:</w:t>
      </w:r>
    </w:p>
    <w:p w14:paraId="0FA76AAA" w14:textId="77777777" w:rsidR="007C315F" w:rsidRPr="007C315F" w:rsidRDefault="007C315F" w:rsidP="00AC1E1E">
      <w:pPr>
        <w:rPr>
          <w:b w:val="0"/>
          <w:szCs w:val="22"/>
          <w:lang w:val="af-ZA"/>
        </w:rPr>
      </w:pPr>
      <w:r w:rsidRPr="007C315F">
        <w:rPr>
          <w:rFonts w:cs="Sylfaen"/>
          <w:b w:val="0"/>
          <w:bCs/>
          <w:szCs w:val="22"/>
          <w:lang w:val="hy-AM"/>
        </w:rPr>
        <w:t>Ծրագրի շրջանակներում նախատեսվում է նաև իրականացնել Հայրենադարձության ինտեգրման կենտրոնի ընթացիկ աշխատանքները, որը հնարավորություն է ընձեռում կարգավորել հայրենադարձության</w:t>
      </w:r>
      <w:r w:rsidRPr="007C315F">
        <w:rPr>
          <w:b w:val="0"/>
          <w:szCs w:val="22"/>
          <w:lang w:val="af-ZA"/>
        </w:rPr>
        <w:t xml:space="preserve"> հետ կապված տարատեսակ հարցեր՝ սպասարկելով շուրջ 2500 անձանց և նպաստելով </w:t>
      </w:r>
      <w:r w:rsidRPr="007C315F">
        <w:rPr>
          <w:b w:val="0"/>
          <w:szCs w:val="22"/>
          <w:lang w:val="hy-AM"/>
        </w:rPr>
        <w:t>ՀՀ-</w:t>
      </w:r>
      <w:r w:rsidRPr="007C315F">
        <w:rPr>
          <w:b w:val="0"/>
          <w:szCs w:val="22"/>
          <w:lang w:val="af-ZA"/>
        </w:rPr>
        <w:t>ում հայրենադարձների արագ և արդյունավետ ինտեգրմանը:</w:t>
      </w:r>
    </w:p>
    <w:p w14:paraId="24B3A6FE" w14:textId="77777777" w:rsidR="007C315F" w:rsidRPr="007C315F" w:rsidRDefault="007C315F" w:rsidP="00AC1E1E">
      <w:pPr>
        <w:numPr>
          <w:ilvl w:val="12"/>
          <w:numId w:val="0"/>
        </w:numPr>
        <w:tabs>
          <w:tab w:val="left" w:pos="851"/>
        </w:tabs>
        <w:rPr>
          <w:rFonts w:cs="Sylfaen"/>
          <w:b w:val="0"/>
          <w:bCs/>
          <w:iCs/>
          <w:color w:val="000000"/>
          <w:sz w:val="20"/>
          <w:szCs w:val="20"/>
          <w:lang w:val="hy-AM" w:eastAsia="en-US"/>
        </w:rPr>
      </w:pPr>
      <w:r w:rsidRPr="007C315F">
        <w:rPr>
          <w:noProof/>
          <w:szCs w:val="22"/>
          <w:lang w:val="hy-AM"/>
        </w:rPr>
        <w:t>ՀՀ զարգացման գործընթացներում Սփյուռքի ներուժի ներգրավում ծրագրի</w:t>
      </w:r>
      <w:r w:rsidRPr="007C315F">
        <w:rPr>
          <w:b w:val="0"/>
          <w:noProof/>
          <w:szCs w:val="22"/>
          <w:lang w:val="hy-AM"/>
        </w:rPr>
        <w:t xml:space="preserve"> գծով նախատեսվել է</w:t>
      </w:r>
      <w:r w:rsidRPr="007C315F">
        <w:rPr>
          <w:b w:val="0"/>
          <w:noProof/>
          <w:szCs w:val="22"/>
          <w:lang w:val="af-ZA"/>
        </w:rPr>
        <w:t xml:space="preserve"> </w:t>
      </w:r>
      <w:r w:rsidRPr="007C315F">
        <w:rPr>
          <w:b w:val="0"/>
          <w:noProof/>
          <w:szCs w:val="22"/>
          <w:lang w:val="hy-AM"/>
        </w:rPr>
        <w:t>հատկացնել</w:t>
      </w:r>
      <w:r w:rsidRPr="007C315F">
        <w:rPr>
          <w:b w:val="0"/>
          <w:noProof/>
          <w:szCs w:val="22"/>
          <w:lang w:val="af-ZA"/>
        </w:rPr>
        <w:t xml:space="preserve"> </w:t>
      </w:r>
      <w:r w:rsidRPr="007C315F">
        <w:rPr>
          <w:b w:val="0"/>
          <w:noProof/>
          <w:szCs w:val="22"/>
          <w:lang w:val="hy-AM"/>
        </w:rPr>
        <w:t>300.0</w:t>
      </w:r>
      <w:r w:rsidRPr="007C315F">
        <w:rPr>
          <w:b w:val="0"/>
          <w:noProof/>
          <w:szCs w:val="22"/>
          <w:lang w:val="af-ZA"/>
        </w:rPr>
        <w:t xml:space="preserve"> </w:t>
      </w:r>
      <w:r w:rsidRPr="007C315F">
        <w:rPr>
          <w:b w:val="0"/>
          <w:noProof/>
          <w:szCs w:val="22"/>
          <w:lang w:val="hy-AM"/>
        </w:rPr>
        <w:t>մլն</w:t>
      </w:r>
      <w:r w:rsidRPr="007C315F">
        <w:rPr>
          <w:b w:val="0"/>
          <w:noProof/>
          <w:szCs w:val="22"/>
          <w:lang w:val="af-ZA"/>
        </w:rPr>
        <w:t xml:space="preserve"> </w:t>
      </w:r>
      <w:r w:rsidRPr="007C315F">
        <w:rPr>
          <w:b w:val="0"/>
          <w:noProof/>
          <w:szCs w:val="22"/>
          <w:lang w:val="hy-AM"/>
        </w:rPr>
        <w:t>դրամ</w:t>
      </w:r>
      <w:r w:rsidRPr="007C315F">
        <w:rPr>
          <w:b w:val="0"/>
          <w:noProof/>
          <w:szCs w:val="22"/>
          <w:lang w:val="af-ZA"/>
        </w:rPr>
        <w:t>:</w:t>
      </w:r>
      <w:r w:rsidRPr="007C315F">
        <w:rPr>
          <w:rFonts w:cs="Sylfaen"/>
          <w:b w:val="0"/>
          <w:bCs/>
          <w:iCs/>
          <w:color w:val="000000"/>
          <w:sz w:val="20"/>
          <w:szCs w:val="20"/>
          <w:lang w:val="hy-AM" w:eastAsia="en-US"/>
        </w:rPr>
        <w:t xml:space="preserve">   </w:t>
      </w:r>
    </w:p>
    <w:p w14:paraId="1B1A30B2" w14:textId="77777777" w:rsidR="007C315F" w:rsidRPr="007C315F" w:rsidRDefault="007C315F" w:rsidP="00AC1E1E">
      <w:pPr>
        <w:numPr>
          <w:ilvl w:val="12"/>
          <w:numId w:val="0"/>
        </w:numPr>
        <w:tabs>
          <w:tab w:val="left" w:pos="851"/>
        </w:tabs>
        <w:rPr>
          <w:rFonts w:cs="Sylfaen"/>
          <w:b w:val="0"/>
          <w:kern w:val="16"/>
          <w:szCs w:val="22"/>
          <w:lang w:val="pt-BR"/>
        </w:rPr>
      </w:pPr>
      <w:r w:rsidRPr="007C315F">
        <w:rPr>
          <w:b w:val="0"/>
          <w:noProof/>
          <w:szCs w:val="22"/>
          <w:lang w:val="hy-AM"/>
        </w:rPr>
        <w:t xml:space="preserve">Ծրագրի նպատակն է ապահովել </w:t>
      </w:r>
      <w:r w:rsidRPr="007C315F">
        <w:rPr>
          <w:rFonts w:cs="Sylfaen"/>
          <w:b w:val="0"/>
          <w:bCs/>
          <w:szCs w:val="22"/>
          <w:lang w:val="hy-AM"/>
        </w:rPr>
        <w:t xml:space="preserve">սփյուռքի ներուժի բացահայտումը, տեղեկատվական համակարգերի ստեղծումը, կատարելագործումը և համալրումը, համատեղ ծրագրերի իրականացումը, համահայկական մասնագիտական ցանցերի ստեղծումը, </w:t>
      </w:r>
      <w:r w:rsidRPr="007C315F">
        <w:rPr>
          <w:rFonts w:cs="Sylfaen"/>
          <w:b w:val="0"/>
          <w:color w:val="000000"/>
          <w:szCs w:val="22"/>
          <w:shd w:val="clear" w:color="auto" w:fill="FFFFFF"/>
          <w:lang w:val="hy-AM"/>
        </w:rPr>
        <w:t>որի արդյունքում հնարավոր կլինի համախմբել Հայաստանի և</w:t>
      </w:r>
      <w:r w:rsidRPr="007C315F">
        <w:rPr>
          <w:rFonts w:cs="Sylfaen"/>
          <w:b w:val="0"/>
          <w:color w:val="000000"/>
          <w:szCs w:val="22"/>
          <w:shd w:val="clear" w:color="auto" w:fill="FFFFFF"/>
          <w:lang w:val="pt-BR"/>
        </w:rPr>
        <w:t xml:space="preserve"> </w:t>
      </w:r>
      <w:r w:rsidRPr="007C315F">
        <w:rPr>
          <w:rFonts w:cs="Sylfaen"/>
          <w:b w:val="0"/>
          <w:color w:val="000000"/>
          <w:szCs w:val="22"/>
          <w:shd w:val="clear" w:color="auto" w:fill="FFFFFF"/>
          <w:lang w:val="hy-AM"/>
        </w:rPr>
        <w:t>Սփյուռքի</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գիտական</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կրթական</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տնտեսական</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մշակութային</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և</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այլ</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ոլորտներում</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առկա</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ներուժը</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 xml:space="preserve">և այն </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արդյունավետ</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կիրառել առաջադրված</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խնդիրների</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լուծման</w:t>
      </w:r>
      <w:r w:rsidRPr="007C315F">
        <w:rPr>
          <w:b w:val="0"/>
          <w:color w:val="000000"/>
          <w:szCs w:val="22"/>
          <w:shd w:val="clear" w:color="auto" w:fill="FFFFFF"/>
          <w:lang w:val="pt-BR"/>
        </w:rPr>
        <w:t xml:space="preserve"> </w:t>
      </w:r>
      <w:r w:rsidRPr="007C315F">
        <w:rPr>
          <w:rFonts w:cs="Sylfaen"/>
          <w:b w:val="0"/>
          <w:color w:val="000000"/>
          <w:szCs w:val="22"/>
          <w:shd w:val="clear" w:color="auto" w:fill="FFFFFF"/>
          <w:lang w:val="hy-AM"/>
        </w:rPr>
        <w:t>համար</w:t>
      </w:r>
      <w:r w:rsidRPr="007C315F">
        <w:rPr>
          <w:b w:val="0"/>
          <w:color w:val="000000"/>
          <w:szCs w:val="22"/>
          <w:shd w:val="clear" w:color="auto" w:fill="FFFFFF"/>
          <w:lang w:val="pt-BR"/>
        </w:rPr>
        <w:t>:</w:t>
      </w:r>
    </w:p>
    <w:p w14:paraId="56CAEF02" w14:textId="77777777" w:rsidR="007C315F" w:rsidRPr="007C315F" w:rsidRDefault="007C315F" w:rsidP="00AC1E1E">
      <w:pPr>
        <w:rPr>
          <w:b w:val="0"/>
          <w:noProof/>
          <w:szCs w:val="22"/>
          <w:lang w:val="hy-AM"/>
        </w:rPr>
      </w:pPr>
      <w:r w:rsidRPr="007C315F">
        <w:rPr>
          <w:b w:val="0"/>
          <w:szCs w:val="22"/>
          <w:lang w:val="hy-AM"/>
        </w:rPr>
        <w:t>Ծրագրի</w:t>
      </w:r>
      <w:r w:rsidRPr="007C315F">
        <w:rPr>
          <w:b w:val="0"/>
          <w:szCs w:val="22"/>
          <w:lang w:val="pt-BR"/>
        </w:rPr>
        <w:t xml:space="preserve"> </w:t>
      </w:r>
      <w:r w:rsidRPr="007C315F">
        <w:rPr>
          <w:b w:val="0"/>
          <w:szCs w:val="22"/>
          <w:lang w:val="hy-AM"/>
        </w:rPr>
        <w:t>շրջանակներում նախատեսվում</w:t>
      </w:r>
      <w:r w:rsidRPr="007C315F">
        <w:rPr>
          <w:b w:val="0"/>
          <w:szCs w:val="22"/>
          <w:lang w:val="pt-BR"/>
        </w:rPr>
        <w:t xml:space="preserve"> </w:t>
      </w:r>
      <w:r w:rsidRPr="007C315F">
        <w:rPr>
          <w:b w:val="0"/>
          <w:szCs w:val="22"/>
          <w:lang w:val="hy-AM"/>
        </w:rPr>
        <w:t>է</w:t>
      </w:r>
      <w:r w:rsidRPr="007C315F">
        <w:rPr>
          <w:b w:val="0"/>
          <w:szCs w:val="22"/>
          <w:lang w:val="pt-BR"/>
        </w:rPr>
        <w:t xml:space="preserve"> </w:t>
      </w:r>
      <w:r w:rsidRPr="007C315F">
        <w:rPr>
          <w:b w:val="0"/>
          <w:szCs w:val="22"/>
          <w:lang w:val="hy-AM"/>
        </w:rPr>
        <w:t>իրականացնել</w:t>
      </w:r>
      <w:r w:rsidRPr="007C315F">
        <w:rPr>
          <w:b w:val="0"/>
          <w:szCs w:val="22"/>
          <w:lang w:val="pt-BR"/>
        </w:rPr>
        <w:t xml:space="preserve"> </w:t>
      </w:r>
      <w:r w:rsidRPr="007C315F">
        <w:rPr>
          <w:b w:val="0"/>
          <w:noProof/>
          <w:szCs w:val="22"/>
          <w:lang w:val="hy-AM"/>
        </w:rPr>
        <w:t xml:space="preserve">Համահայկական համաժողով, </w:t>
      </w:r>
      <w:r w:rsidRPr="007C315F">
        <w:rPr>
          <w:rFonts w:eastAsia="Calibri"/>
          <w:b w:val="0"/>
          <w:color w:val="000000"/>
          <w:szCs w:val="22"/>
          <w:lang w:val="hy-AM"/>
        </w:rPr>
        <w:t xml:space="preserve">որը ներգրավելու է </w:t>
      </w:r>
      <w:r w:rsidRPr="007C315F">
        <w:rPr>
          <w:b w:val="0"/>
          <w:noProof/>
          <w:szCs w:val="22"/>
          <w:lang w:val="hy-AM"/>
        </w:rPr>
        <w:t>շուրջ 800 մասնակից, ինչպես նաև «</w:t>
      </w:r>
      <w:r w:rsidRPr="007C315F">
        <w:rPr>
          <w:b w:val="0"/>
          <w:noProof/>
          <w:szCs w:val="22"/>
          <w:lang w:val="pt-BR"/>
        </w:rPr>
        <w:t xml:space="preserve">Սփյուռքի մարդկային ներուժի </w:t>
      </w:r>
      <w:r w:rsidRPr="007C315F">
        <w:rPr>
          <w:b w:val="0"/>
          <w:noProof/>
          <w:szCs w:val="22"/>
          <w:lang w:val="pt-BR"/>
        </w:rPr>
        <w:lastRenderedPageBreak/>
        <w:t>վերհանում, դրա քարտեզագրում և տեղեկատվական բազայի ստեղծում»</w:t>
      </w:r>
      <w:r w:rsidRPr="007C315F">
        <w:rPr>
          <w:b w:val="0"/>
          <w:noProof/>
          <w:szCs w:val="22"/>
          <w:lang w:val="hy-AM"/>
        </w:rPr>
        <w:t xml:space="preserve"> միջոցառման գծով սփյուռքի մարդկային ներուժի 50 000 հավաքագրված տվյալների լրամշակում: </w:t>
      </w:r>
    </w:p>
    <w:p w14:paraId="42401178" w14:textId="77777777" w:rsidR="007C315F" w:rsidRPr="007C315F" w:rsidRDefault="007C315F" w:rsidP="00AC1E1E">
      <w:pPr>
        <w:numPr>
          <w:ilvl w:val="12"/>
          <w:numId w:val="0"/>
        </w:numPr>
        <w:tabs>
          <w:tab w:val="left" w:pos="851"/>
        </w:tabs>
        <w:rPr>
          <w:rFonts w:cs="Times LatArm"/>
          <w:b w:val="0"/>
          <w:szCs w:val="22"/>
          <w:lang w:val="hy-AM"/>
        </w:rPr>
      </w:pPr>
      <w:r w:rsidRPr="007C315F">
        <w:rPr>
          <w:rFonts w:cs="Times LatArm"/>
          <w:szCs w:val="22"/>
          <w:lang w:val="hy-AM"/>
        </w:rPr>
        <w:t xml:space="preserve">Քաղաքացիական ծառայողների վերապատրաստում </w:t>
      </w:r>
      <w:r w:rsidRPr="007C315F">
        <w:rPr>
          <w:rFonts w:cs="Times LatArm"/>
          <w:b w:val="0"/>
          <w:szCs w:val="22"/>
          <w:lang w:val="hy-AM"/>
        </w:rPr>
        <w:t>ծրագրի գծով նախատեսվել է հատկացնել 10.1 մլն դրամ:</w:t>
      </w:r>
    </w:p>
    <w:p w14:paraId="2EEAF818" w14:textId="77777777" w:rsidR="007C315F" w:rsidRPr="007C315F" w:rsidRDefault="007C315F" w:rsidP="00AC1E1E">
      <w:pPr>
        <w:numPr>
          <w:ilvl w:val="12"/>
          <w:numId w:val="0"/>
        </w:numPr>
        <w:tabs>
          <w:tab w:val="left" w:pos="851"/>
        </w:tabs>
        <w:rPr>
          <w:rFonts w:cs="Times LatArm"/>
          <w:b w:val="0"/>
          <w:szCs w:val="22"/>
          <w:lang w:val="hy-AM"/>
        </w:rPr>
      </w:pPr>
      <w:r w:rsidRPr="007C315F">
        <w:rPr>
          <w:rFonts w:cs="Times LatArm"/>
          <w:b w:val="0"/>
          <w:szCs w:val="22"/>
          <w:lang w:val="hy-AM"/>
        </w:rPr>
        <w:t>Ծրագրի նպատակն է 1500 քաղաքացիական ծառայողների մասնագիտական գիտելիքների, աշխատանքային ունակությունների հետևողական վերապատրաստում</w:t>
      </w:r>
      <w:r w:rsidRPr="004904D5">
        <w:rPr>
          <w:rFonts w:cs="Times LatArm"/>
          <w:b w:val="0"/>
          <w:szCs w:val="22"/>
          <w:lang w:val="hy-AM"/>
        </w:rPr>
        <w:t>ը</w:t>
      </w:r>
      <w:r w:rsidRPr="007C315F">
        <w:rPr>
          <w:rFonts w:cs="Times LatArm"/>
          <w:b w:val="0"/>
          <w:szCs w:val="22"/>
          <w:lang w:val="hy-AM"/>
        </w:rPr>
        <w:t xml:space="preserve"> և ուսուցում</w:t>
      </w:r>
      <w:r w:rsidRPr="004904D5">
        <w:rPr>
          <w:rFonts w:cs="Times LatArm"/>
          <w:b w:val="0"/>
          <w:szCs w:val="22"/>
          <w:lang w:val="hy-AM"/>
        </w:rPr>
        <w:t>ը</w:t>
      </w:r>
      <w:r w:rsidRPr="007C315F">
        <w:rPr>
          <w:rFonts w:cs="Times LatArm"/>
          <w:b w:val="0"/>
          <w:szCs w:val="22"/>
          <w:lang w:val="hy-AM"/>
        </w:rPr>
        <w:t>:</w:t>
      </w:r>
    </w:p>
    <w:p w14:paraId="073C7FD9" w14:textId="77777777" w:rsidR="007C315F" w:rsidRPr="007C315F" w:rsidRDefault="007C315F" w:rsidP="00AC1E1E">
      <w:pPr>
        <w:rPr>
          <w:rFonts w:cs="Times LatArm"/>
          <w:b w:val="0"/>
          <w:szCs w:val="22"/>
          <w:lang w:val="hy-AM"/>
        </w:rPr>
      </w:pPr>
      <w:r w:rsidRPr="007C315F">
        <w:rPr>
          <w:rFonts w:cs="Times LatArm"/>
          <w:szCs w:val="22"/>
          <w:lang w:val="hy-AM"/>
        </w:rPr>
        <w:t xml:space="preserve">Պետական հատվածի արդիականացման </w:t>
      </w:r>
      <w:r w:rsidRPr="007C315F">
        <w:rPr>
          <w:rFonts w:cs="Times LatArm"/>
          <w:b w:val="0"/>
          <w:szCs w:val="22"/>
          <w:lang w:val="hy-AM"/>
        </w:rPr>
        <w:t>ծրագրի գծով  նախատեսվել է  3,7</w:t>
      </w:r>
      <w:r w:rsidR="00FA04CE" w:rsidRPr="00FA04CE">
        <w:rPr>
          <w:rFonts w:cs="Times LatArm"/>
          <w:b w:val="0"/>
          <w:szCs w:val="22"/>
          <w:lang w:val="hy-AM"/>
        </w:rPr>
        <w:t>37</w:t>
      </w:r>
      <w:r w:rsidRPr="007C315F">
        <w:rPr>
          <w:rFonts w:cs="Times LatArm"/>
          <w:b w:val="0"/>
          <w:szCs w:val="22"/>
          <w:lang w:val="hy-AM"/>
        </w:rPr>
        <w:t xml:space="preserve">.8 մլն դրամ: </w:t>
      </w:r>
    </w:p>
    <w:p w14:paraId="3701541E" w14:textId="77777777" w:rsidR="007C315F" w:rsidRPr="007C315F" w:rsidRDefault="007C315F" w:rsidP="00AC1E1E">
      <w:pPr>
        <w:rPr>
          <w:rFonts w:cs="Times LatArm"/>
          <w:b w:val="0"/>
          <w:szCs w:val="22"/>
          <w:lang w:val="hy-AM"/>
        </w:rPr>
      </w:pPr>
      <w:r w:rsidRPr="007C315F">
        <w:rPr>
          <w:rFonts w:cs="Times LatArm"/>
          <w:b w:val="0"/>
          <w:szCs w:val="22"/>
          <w:lang w:val="hy-AM"/>
        </w:rPr>
        <w:t>Ծրագրի նպատակն է Հանրային ֆինանսական հաշվետվությունների որակի և ընտրված էլեկտրոնային կառավարման կատարելագործված ծառայությունների հասանելիության բարելավում</w:t>
      </w:r>
      <w:r w:rsidRPr="004904D5">
        <w:rPr>
          <w:rFonts w:cs="Times LatArm"/>
          <w:b w:val="0"/>
          <w:szCs w:val="22"/>
          <w:lang w:val="hy-AM"/>
        </w:rPr>
        <w:t>ը</w:t>
      </w:r>
      <w:r w:rsidRPr="007C315F">
        <w:rPr>
          <w:rFonts w:cs="Times LatArm"/>
          <w:b w:val="0"/>
          <w:szCs w:val="22"/>
          <w:lang w:val="hy-AM"/>
        </w:rPr>
        <w:t xml:space="preserve">: </w:t>
      </w:r>
    </w:p>
    <w:p w14:paraId="4904C3C9" w14:textId="77777777" w:rsidR="007C315F" w:rsidRPr="007C315F" w:rsidRDefault="007C315F" w:rsidP="00AC1E1E">
      <w:pPr>
        <w:rPr>
          <w:rFonts w:cs="Times LatArm"/>
          <w:b w:val="0"/>
          <w:szCs w:val="22"/>
          <w:lang w:val="hy-AM"/>
        </w:rPr>
      </w:pPr>
      <w:r w:rsidRPr="007C315F">
        <w:rPr>
          <w:rFonts w:cs="Times LatArm"/>
          <w:b w:val="0"/>
          <w:szCs w:val="22"/>
          <w:lang w:val="hy-AM"/>
        </w:rPr>
        <w:t xml:space="preserve">Ծրագրի շրջանակներում 2023 թվականին մեկնարկել է </w:t>
      </w:r>
      <w:r w:rsidRPr="007C315F">
        <w:rPr>
          <w:rFonts w:cs="Times LatArm"/>
          <w:szCs w:val="22"/>
          <w:lang w:val="hy-AM"/>
        </w:rPr>
        <w:t>Պետական հատվածի արդիականացման</w:t>
      </w:r>
      <w:r w:rsidRPr="007C315F">
        <w:rPr>
          <w:rFonts w:cs="Times LatArm"/>
          <w:b w:val="0"/>
          <w:szCs w:val="22"/>
          <w:lang w:val="hy-AM"/>
        </w:rPr>
        <w:t xml:space="preserve"> չորրորդ վարկային ծրագիրը, որի նպատակն է քաղաքացիական ծառայության շարունակական բարեփոխումների, պետության և ՏԻՄ-երի կողմից մատուցվող ծառայությունների թվայնացման և ընտրված էլեկտրոնային կառավարման համակարգերի ներդրման միջոցով աջակցել պետական կառավարման համակարգի արդիականացմանը: Ծրագրի շրջանակներում նախատեսվում է՝ </w:t>
      </w:r>
      <w:r w:rsidRPr="004904D5">
        <w:rPr>
          <w:rFonts w:cs="Times LatArm"/>
          <w:b w:val="0"/>
          <w:szCs w:val="22"/>
          <w:lang w:val="hy-AM"/>
        </w:rPr>
        <w:t>դ</w:t>
      </w:r>
      <w:r w:rsidRPr="007C315F">
        <w:rPr>
          <w:rFonts w:cs="Times LatArm"/>
          <w:b w:val="0"/>
          <w:szCs w:val="22"/>
          <w:lang w:val="hy-AM"/>
        </w:rPr>
        <w:t xml:space="preserve">րոշմանիշային վճարների գծով պարտավորությունների ինքնաշխատ հաշվառման համակարգի ներդրում, </w:t>
      </w:r>
      <w:r w:rsidRPr="004904D5">
        <w:rPr>
          <w:rFonts w:cs="Times LatArm"/>
          <w:b w:val="0"/>
          <w:szCs w:val="22"/>
          <w:lang w:val="hy-AM"/>
        </w:rPr>
        <w:t>մ</w:t>
      </w:r>
      <w:r w:rsidRPr="007C315F">
        <w:rPr>
          <w:rFonts w:cs="Times LatArm"/>
          <w:b w:val="0"/>
          <w:szCs w:val="22"/>
          <w:lang w:val="hy-AM"/>
        </w:rPr>
        <w:t xml:space="preserve">աքսային միասնական հաշվի համակարգի, </w:t>
      </w:r>
      <w:r w:rsidRPr="004904D5">
        <w:rPr>
          <w:rFonts w:cs="Times LatArm"/>
          <w:b w:val="0"/>
          <w:szCs w:val="22"/>
          <w:lang w:val="hy-AM"/>
        </w:rPr>
        <w:t>ի</w:t>
      </w:r>
      <w:r w:rsidRPr="007C315F">
        <w:rPr>
          <w:rFonts w:cs="Times LatArm"/>
          <w:b w:val="0"/>
          <w:szCs w:val="22"/>
          <w:lang w:val="hy-AM"/>
        </w:rPr>
        <w:t xml:space="preserve">րավաբանական անձանց էլեկտրոնային գրանցման e-register համակարգի արդիականացման, </w:t>
      </w:r>
      <w:r w:rsidRPr="004904D5">
        <w:rPr>
          <w:rFonts w:cs="Times LatArm"/>
          <w:b w:val="0"/>
          <w:szCs w:val="22"/>
          <w:lang w:val="hy-AM"/>
        </w:rPr>
        <w:t>ա</w:t>
      </w:r>
      <w:r w:rsidRPr="007C315F">
        <w:rPr>
          <w:rFonts w:cs="Times LatArm"/>
          <w:b w:val="0"/>
          <w:szCs w:val="22"/>
          <w:lang w:val="hy-AM"/>
        </w:rPr>
        <w:t>րհեստական բանականության և մեքենայացված ուսուցման տեխնոլոգիաների հիման վրա ժամանակակից վերլուծական համակարգի հարկային և մաքսային էլեկտրոնային համակարգերում ներդրման նպատակով նախագծերի պատրաստում:</w:t>
      </w:r>
    </w:p>
    <w:p w14:paraId="56D7DB65" w14:textId="77777777" w:rsidR="007C315F" w:rsidRPr="007C315F" w:rsidRDefault="007C315F" w:rsidP="00AC1E1E">
      <w:pPr>
        <w:overflowPunct w:val="0"/>
        <w:autoSpaceDE w:val="0"/>
        <w:autoSpaceDN w:val="0"/>
        <w:adjustRightInd w:val="0"/>
        <w:textAlignment w:val="baseline"/>
        <w:rPr>
          <w:rFonts w:cs="Times LatArm"/>
          <w:b w:val="0"/>
          <w:szCs w:val="22"/>
          <w:lang w:val="hy-AM"/>
        </w:rPr>
      </w:pPr>
      <w:r w:rsidRPr="007C315F">
        <w:rPr>
          <w:rFonts w:cs="Times LatArm"/>
          <w:szCs w:val="22"/>
          <w:lang w:val="hy-AM"/>
        </w:rPr>
        <w:t>Արդյունահանող ճյուղերի զարգացման</w:t>
      </w:r>
      <w:r w:rsidRPr="007C315F">
        <w:rPr>
          <w:rFonts w:cs="Times LatArm"/>
          <w:b w:val="0"/>
          <w:szCs w:val="22"/>
          <w:lang w:val="hy-AM"/>
        </w:rPr>
        <w:t xml:space="preserve"> ծրագրի գծով  նախատեսվել է  </w:t>
      </w:r>
      <w:r w:rsidR="00FA04CE" w:rsidRPr="00F114FA">
        <w:rPr>
          <w:rFonts w:cs="Times LatArm"/>
          <w:b w:val="0"/>
          <w:szCs w:val="22"/>
          <w:lang w:val="hy-AM"/>
        </w:rPr>
        <w:t>91.9</w:t>
      </w:r>
      <w:r w:rsidRPr="007C315F">
        <w:rPr>
          <w:rFonts w:cs="Times LatArm"/>
          <w:b w:val="0"/>
          <w:szCs w:val="22"/>
          <w:lang w:val="hy-AM"/>
        </w:rPr>
        <w:t xml:space="preserve"> մլն դրամ: </w:t>
      </w:r>
    </w:p>
    <w:p w14:paraId="3208A8AE" w14:textId="77777777" w:rsidR="007C315F" w:rsidRPr="007C315F" w:rsidRDefault="007C315F" w:rsidP="00AC1E1E">
      <w:pPr>
        <w:overflowPunct w:val="0"/>
        <w:autoSpaceDE w:val="0"/>
        <w:autoSpaceDN w:val="0"/>
        <w:adjustRightInd w:val="0"/>
        <w:textAlignment w:val="baseline"/>
        <w:rPr>
          <w:rFonts w:cs="Times LatArm"/>
          <w:b w:val="0"/>
          <w:szCs w:val="22"/>
          <w:lang w:val="hy-AM"/>
        </w:rPr>
      </w:pPr>
      <w:r w:rsidRPr="007C315F">
        <w:rPr>
          <w:rFonts w:cs="Times LatArm"/>
          <w:b w:val="0"/>
          <w:szCs w:val="22"/>
          <w:lang w:val="hy-AM"/>
        </w:rPr>
        <w:t xml:space="preserve">Ծրագրի նպատակն է Հայաստանում տնտեսական աճին հանքարդյունաբերության ոլորտի նպաստի ամրապնդումը: </w:t>
      </w:r>
    </w:p>
    <w:p w14:paraId="113BDFC6" w14:textId="77777777" w:rsidR="007C315F" w:rsidRPr="007C315F" w:rsidRDefault="007C315F" w:rsidP="00AC1E1E">
      <w:pPr>
        <w:overflowPunct w:val="0"/>
        <w:autoSpaceDE w:val="0"/>
        <w:autoSpaceDN w:val="0"/>
        <w:adjustRightInd w:val="0"/>
        <w:textAlignment w:val="baseline"/>
        <w:rPr>
          <w:b w:val="0"/>
          <w:shd w:val="clear" w:color="auto" w:fill="FFFFFF"/>
          <w:lang w:val="hy-AM" w:eastAsia="en-US"/>
        </w:rPr>
      </w:pPr>
      <w:r w:rsidRPr="007C315F">
        <w:rPr>
          <w:rFonts w:cs="Times LatArm"/>
          <w:b w:val="0"/>
          <w:szCs w:val="22"/>
          <w:lang w:val="hy-AM"/>
        </w:rPr>
        <w:t>Ծրագրի շրջանակներում նախատեսվում է՝ Համաշխարհային բանկի աջակցությամբ իրականացվող «Հայաստանի արդյունահանող ճյուղերի թափանցիկության նախաձեռնությանն աջակցություն. Լրացուցիչ ֆինանսավորում» դրամաշնոր</w:t>
      </w:r>
      <w:r w:rsidRPr="007C315F">
        <w:rPr>
          <w:rFonts w:cs="Times LatArm"/>
          <w:b w:val="0"/>
          <w:szCs w:val="22"/>
          <w:lang w:val="hy-AM"/>
        </w:rPr>
        <w:softHyphen/>
        <w:t>հային ծրագիր, որի նպատակն է ԱՃԹՆ-ի միջազգային ստանդարտին համապատասխան՝ հանքարդյունաբերության ոլորտի թափանցիկության և հաշվետվողականության բարձրացմանն աջակցություն, տվյալների համակարգված բացահայտումների ավտոմատացված համակարգի ներդնում:</w:t>
      </w:r>
      <w:r w:rsidRPr="007C315F">
        <w:rPr>
          <w:shd w:val="clear" w:color="auto" w:fill="FFFFFF"/>
          <w:lang w:val="hy-AM"/>
        </w:rPr>
        <w:t xml:space="preserve"> </w:t>
      </w:r>
    </w:p>
    <w:p w14:paraId="41046A20" w14:textId="77777777" w:rsidR="00FC7885" w:rsidRPr="007955BB" w:rsidRDefault="00FC7885" w:rsidP="00AC1E1E">
      <w:pPr>
        <w:pStyle w:val="Heading1"/>
      </w:pPr>
      <w:bookmarkStart w:id="322" w:name="_Toc526009822"/>
      <w:bookmarkStart w:id="323" w:name="_Toc153184510"/>
      <w:r w:rsidRPr="007955BB">
        <w:t>ՀՀ պետական եկամուտների կոմիտե</w:t>
      </w:r>
      <w:bookmarkEnd w:id="323"/>
    </w:p>
    <w:p w14:paraId="065C118A" w14:textId="4DAE2970" w:rsidR="0030703F" w:rsidRPr="007C315F" w:rsidRDefault="0030703F" w:rsidP="00AC1E1E">
      <w:pPr>
        <w:rPr>
          <w:b w:val="0"/>
          <w:color w:val="000000"/>
          <w:szCs w:val="22"/>
          <w:lang w:val="hy-AM" w:eastAsia="en-US"/>
        </w:rPr>
      </w:pPr>
      <w:r w:rsidRPr="0030703F">
        <w:rPr>
          <w:b w:val="0"/>
          <w:color w:val="000000"/>
          <w:szCs w:val="22"/>
          <w:lang w:val="hy-AM" w:eastAsia="en-US"/>
        </w:rPr>
        <w:t>ՀՀ պետական եկամուտների կոմիտ</w:t>
      </w:r>
      <w:r>
        <w:rPr>
          <w:b w:val="0"/>
          <w:color w:val="000000"/>
          <w:szCs w:val="22"/>
          <w:lang w:val="hy-AM" w:eastAsia="en-US"/>
        </w:rPr>
        <w:t>եի</w:t>
      </w:r>
      <w:r w:rsidRPr="0030703F">
        <w:rPr>
          <w:b w:val="0"/>
          <w:color w:val="000000"/>
          <w:szCs w:val="22"/>
          <w:lang w:val="hy-AM" w:eastAsia="en-US"/>
        </w:rPr>
        <w:t xml:space="preserve"> գծով </w:t>
      </w:r>
      <w:r w:rsidRPr="007C315F">
        <w:rPr>
          <w:b w:val="0"/>
          <w:color w:val="000000"/>
          <w:szCs w:val="22"/>
          <w:lang w:val="hy-AM" w:eastAsia="en-US"/>
        </w:rPr>
        <w:t xml:space="preserve">ՀՀ 2024 թվականի պետական բյուջեով նախատեսվում է հատկացնել </w:t>
      </w:r>
      <w:r>
        <w:rPr>
          <w:b w:val="0"/>
          <w:color w:val="000000"/>
          <w:szCs w:val="22"/>
          <w:lang w:val="hy-AM" w:eastAsia="en-US"/>
        </w:rPr>
        <w:t>109,438.7</w:t>
      </w:r>
      <w:r w:rsidRPr="007C315F">
        <w:rPr>
          <w:b w:val="0"/>
          <w:color w:val="000000"/>
          <w:szCs w:val="22"/>
          <w:lang w:val="hy-AM" w:eastAsia="en-US"/>
        </w:rPr>
        <w:t xml:space="preserve"> մլն դրամ (ներառյալ կառավարման ապարատի </w:t>
      </w:r>
      <w:r w:rsidRPr="007C315F">
        <w:rPr>
          <w:b w:val="0"/>
          <w:color w:val="000000"/>
          <w:szCs w:val="22"/>
          <w:lang w:val="hy-AM" w:eastAsia="en-US"/>
        </w:rPr>
        <w:lastRenderedPageBreak/>
        <w:t>պահպանման ծախսերը):</w:t>
      </w:r>
      <w:r w:rsidRPr="0030703F">
        <w:rPr>
          <w:b w:val="0"/>
          <w:color w:val="000000"/>
          <w:szCs w:val="22"/>
          <w:lang w:val="hy-AM" w:eastAsia="en-US"/>
        </w:rPr>
        <w:t xml:space="preserve"> Հատկացվելիք միջոցներն ուղղվելու են հետևյալ ծրագրերի իրականացմանը. </w:t>
      </w:r>
    </w:p>
    <w:p w14:paraId="61681421" w14:textId="67FEBD24" w:rsidR="00CD567C" w:rsidRPr="00CD567C" w:rsidRDefault="00CD567C" w:rsidP="00AC1E1E">
      <w:pPr>
        <w:rPr>
          <w:rFonts w:eastAsia="Calibri" w:cs="Sylfaen"/>
          <w:b w:val="0"/>
          <w:szCs w:val="22"/>
          <w:lang w:val="af-ZA"/>
        </w:rPr>
      </w:pPr>
      <w:r w:rsidRPr="0030703F">
        <w:rPr>
          <w:rFonts w:eastAsia="Calibri" w:cs="Sylfaen"/>
          <w:szCs w:val="22"/>
          <w:lang w:val="hy-AM"/>
        </w:rPr>
        <w:t>Հարկային և մաքսային ծառայություններ</w:t>
      </w:r>
      <w:r w:rsidRPr="0030703F">
        <w:rPr>
          <w:b w:val="0"/>
          <w:color w:val="000000"/>
          <w:szCs w:val="22"/>
          <w:lang w:val="hy-AM" w:eastAsia="en-US"/>
        </w:rPr>
        <w:t xml:space="preserve"> ծրագրի գծով ՀՀ 2024 թվականի պետական</w:t>
      </w:r>
      <w:r w:rsidRPr="00CD567C">
        <w:rPr>
          <w:rFonts w:eastAsia="Calibri" w:cs="Sylfaen"/>
          <w:b w:val="0"/>
          <w:szCs w:val="22"/>
          <w:lang w:val="af-ZA"/>
        </w:rPr>
        <w:t xml:space="preserve"> բյուջեով, </w:t>
      </w:r>
      <w:r w:rsidRPr="00CD567C">
        <w:rPr>
          <w:rFonts w:eastAsia="Calibri" w:cs="Sylfaen"/>
          <w:b w:val="0"/>
          <w:color w:val="000000"/>
          <w:szCs w:val="22"/>
          <w:lang w:val="hy-AM" w:eastAsia="en-US"/>
        </w:rPr>
        <w:t xml:space="preserve">ներառյալ </w:t>
      </w:r>
      <w:r w:rsidRPr="00CD567C">
        <w:rPr>
          <w:rFonts w:eastAsia="Calibri" w:cs="Sylfaen"/>
          <w:b w:val="0"/>
          <w:szCs w:val="22"/>
          <w:lang w:val="hy-AM" w:eastAsia="en-US"/>
        </w:rPr>
        <w:t>կառավարման ապարատի պահպանման ծախսերը,</w:t>
      </w:r>
      <w:r w:rsidRPr="00CD567C">
        <w:rPr>
          <w:rFonts w:eastAsia="Calibri" w:cs="Sylfaen"/>
          <w:b w:val="0"/>
          <w:szCs w:val="22"/>
          <w:lang w:val="hy-AM"/>
        </w:rPr>
        <w:t xml:space="preserve"> նախատեսվել</w:t>
      </w:r>
      <w:r w:rsidRPr="00CD567C">
        <w:rPr>
          <w:rFonts w:eastAsia="Calibri" w:cs="Sylfaen"/>
          <w:b w:val="0"/>
          <w:szCs w:val="22"/>
          <w:lang w:val="af-ZA"/>
        </w:rPr>
        <w:t xml:space="preserve"> </w:t>
      </w:r>
      <w:r w:rsidRPr="00CD567C">
        <w:rPr>
          <w:rFonts w:eastAsia="Calibri" w:cs="Sylfaen"/>
          <w:b w:val="0"/>
          <w:szCs w:val="22"/>
          <w:lang w:val="hy-AM"/>
        </w:rPr>
        <w:t>է</w:t>
      </w:r>
      <w:r w:rsidRPr="00CD567C">
        <w:rPr>
          <w:rFonts w:eastAsia="Calibri" w:cs="Sylfaen"/>
          <w:b w:val="0"/>
          <w:szCs w:val="22"/>
          <w:lang w:val="af-ZA"/>
        </w:rPr>
        <w:t xml:space="preserve"> </w:t>
      </w:r>
      <w:r w:rsidRPr="00CD567C">
        <w:rPr>
          <w:rFonts w:eastAsia="Calibri" w:cs="Sylfaen"/>
          <w:b w:val="0"/>
          <w:szCs w:val="22"/>
          <w:lang w:val="hy-AM"/>
        </w:rPr>
        <w:t>հատկացնել</w:t>
      </w:r>
      <w:r w:rsidRPr="00CD567C">
        <w:rPr>
          <w:rFonts w:eastAsia="Calibri" w:cs="Sylfaen"/>
          <w:b w:val="0"/>
          <w:szCs w:val="22"/>
          <w:lang w:val="af-ZA"/>
        </w:rPr>
        <w:t xml:space="preserve"> 3</w:t>
      </w:r>
      <w:r w:rsidRPr="00CD567C">
        <w:rPr>
          <w:rFonts w:eastAsia="Calibri" w:cs="Sylfaen"/>
          <w:b w:val="0"/>
          <w:szCs w:val="22"/>
          <w:lang w:val="hy-AM"/>
        </w:rPr>
        <w:t>7</w:t>
      </w:r>
      <w:r w:rsidRPr="00CD567C">
        <w:rPr>
          <w:rFonts w:eastAsia="Calibri" w:cs="Sylfaen"/>
          <w:b w:val="0"/>
          <w:szCs w:val="22"/>
          <w:lang w:val="af-ZA"/>
        </w:rPr>
        <w:t>,</w:t>
      </w:r>
      <w:r w:rsidR="001B5E5E">
        <w:rPr>
          <w:rFonts w:eastAsia="Calibri" w:cs="Sylfaen"/>
          <w:b w:val="0"/>
          <w:szCs w:val="22"/>
          <w:lang w:val="af-ZA"/>
        </w:rPr>
        <w:t>438</w:t>
      </w:r>
      <w:r w:rsidRPr="00CD567C">
        <w:rPr>
          <w:rFonts w:eastAsia="Calibri" w:cs="Sylfaen"/>
          <w:b w:val="0"/>
          <w:szCs w:val="22"/>
          <w:lang w:val="af-ZA"/>
        </w:rPr>
        <w:t>.</w:t>
      </w:r>
      <w:r w:rsidR="001B5E5E">
        <w:rPr>
          <w:rFonts w:eastAsia="Calibri" w:cs="Sylfaen"/>
          <w:b w:val="0"/>
          <w:szCs w:val="22"/>
          <w:lang w:val="af-ZA"/>
        </w:rPr>
        <w:t>7</w:t>
      </w:r>
      <w:r w:rsidRPr="00CD567C">
        <w:rPr>
          <w:rFonts w:eastAsia="Calibri" w:cs="Sylfaen"/>
          <w:b w:val="0"/>
          <w:szCs w:val="22"/>
          <w:lang w:val="af-ZA"/>
        </w:rPr>
        <w:t xml:space="preserve"> մլն դրամ, (այդ թվում՝ վարկային միջոցներ՝ </w:t>
      </w:r>
      <w:r w:rsidRPr="00CD567C">
        <w:rPr>
          <w:rFonts w:eastAsia="Calibri" w:cs="Sylfaen"/>
          <w:b w:val="0"/>
          <w:szCs w:val="22"/>
          <w:lang w:val="hy-AM"/>
        </w:rPr>
        <w:t>2,</w:t>
      </w:r>
      <w:r w:rsidR="0052062B" w:rsidRPr="0052062B">
        <w:rPr>
          <w:rFonts w:eastAsia="Calibri" w:cs="Sylfaen"/>
          <w:b w:val="0"/>
          <w:szCs w:val="22"/>
          <w:lang w:val="hy-AM"/>
        </w:rPr>
        <w:t>937</w:t>
      </w:r>
      <w:r w:rsidRPr="00CD567C">
        <w:rPr>
          <w:rFonts w:eastAsia="Calibri" w:cs="Sylfaen"/>
          <w:b w:val="0"/>
          <w:szCs w:val="22"/>
          <w:lang w:val="hy-AM"/>
        </w:rPr>
        <w:t>.</w:t>
      </w:r>
      <w:r w:rsidR="0052062B" w:rsidRPr="0052062B">
        <w:rPr>
          <w:rFonts w:eastAsia="Calibri" w:cs="Sylfaen"/>
          <w:b w:val="0"/>
          <w:szCs w:val="22"/>
          <w:lang w:val="hy-AM"/>
        </w:rPr>
        <w:t>7</w:t>
      </w:r>
      <w:r w:rsidRPr="00CD567C">
        <w:rPr>
          <w:rFonts w:eastAsia="Calibri" w:cs="Sylfaen"/>
          <w:b w:val="0"/>
          <w:szCs w:val="22"/>
          <w:lang w:val="af-ZA"/>
        </w:rPr>
        <w:t xml:space="preserve"> մլն դրամ, դրամաշնորհային միջոցներ՝ 1,</w:t>
      </w:r>
      <w:r w:rsidR="001B5E5E" w:rsidRPr="001B5E5E">
        <w:rPr>
          <w:rFonts w:eastAsia="Calibri" w:cs="Sylfaen"/>
          <w:b w:val="0"/>
          <w:szCs w:val="22"/>
          <w:lang w:val="hy-AM"/>
        </w:rPr>
        <w:t>935</w:t>
      </w:r>
      <w:r w:rsidRPr="00CD567C">
        <w:rPr>
          <w:rFonts w:eastAsia="Calibri" w:cs="Sylfaen"/>
          <w:b w:val="0"/>
          <w:szCs w:val="22"/>
          <w:lang w:val="af-ZA"/>
        </w:rPr>
        <w:t>.</w:t>
      </w:r>
      <w:r w:rsidR="001B5E5E">
        <w:rPr>
          <w:rFonts w:eastAsia="Calibri" w:cs="Sylfaen"/>
          <w:b w:val="0"/>
          <w:szCs w:val="22"/>
          <w:lang w:val="af-ZA"/>
        </w:rPr>
        <w:t>5</w:t>
      </w:r>
      <w:r w:rsidRPr="00CD567C">
        <w:rPr>
          <w:rFonts w:eastAsia="Calibri" w:cs="Sylfaen"/>
          <w:b w:val="0"/>
          <w:szCs w:val="22"/>
          <w:lang w:val="af-ZA"/>
        </w:rPr>
        <w:t xml:space="preserve"> մլն դրամ, ՀՀ համաֆինանսավորում՝ ընդհանուր </w:t>
      </w:r>
      <w:r w:rsidR="0052062B">
        <w:rPr>
          <w:rFonts w:eastAsia="Calibri" w:cs="Sylfaen"/>
          <w:b w:val="0"/>
          <w:szCs w:val="22"/>
          <w:lang w:val="hy-AM"/>
        </w:rPr>
        <w:t>8</w:t>
      </w:r>
      <w:r w:rsidR="0052062B" w:rsidRPr="0052062B">
        <w:rPr>
          <w:rFonts w:eastAsia="Calibri" w:cs="Sylfaen"/>
          <w:b w:val="0"/>
          <w:szCs w:val="22"/>
          <w:lang w:val="hy-AM"/>
        </w:rPr>
        <w:t>62</w:t>
      </w:r>
      <w:r w:rsidRPr="00CD567C">
        <w:rPr>
          <w:rFonts w:eastAsia="Calibri" w:cs="Sylfaen"/>
          <w:b w:val="0"/>
          <w:szCs w:val="22"/>
          <w:lang w:val="hy-AM"/>
        </w:rPr>
        <w:t>.</w:t>
      </w:r>
      <w:r w:rsidR="0052062B" w:rsidRPr="0052062B">
        <w:rPr>
          <w:rFonts w:eastAsia="Calibri" w:cs="Sylfaen"/>
          <w:b w:val="0"/>
          <w:szCs w:val="22"/>
          <w:lang w:val="hy-AM"/>
        </w:rPr>
        <w:t>2</w:t>
      </w:r>
      <w:r w:rsidRPr="00CD567C">
        <w:rPr>
          <w:rFonts w:eastAsia="Calibri" w:cs="Sylfaen"/>
          <w:b w:val="0"/>
          <w:szCs w:val="22"/>
          <w:lang w:val="af-ZA"/>
        </w:rPr>
        <w:t xml:space="preserve"> մլն դրամ): </w:t>
      </w:r>
    </w:p>
    <w:p w14:paraId="70D93344" w14:textId="77777777" w:rsidR="00CD567C" w:rsidRPr="00CD567C" w:rsidRDefault="00CD567C" w:rsidP="00AC1E1E">
      <w:pPr>
        <w:widowControl w:val="0"/>
        <w:rPr>
          <w:rFonts w:eastAsia="Calibri" w:cs="Sylfaen"/>
          <w:b w:val="0"/>
          <w:szCs w:val="22"/>
          <w:lang w:val="af-ZA"/>
        </w:rPr>
      </w:pPr>
      <w:r w:rsidRPr="00CD567C">
        <w:rPr>
          <w:rFonts w:eastAsia="Calibri" w:cs="Sylfaen"/>
          <w:b w:val="0"/>
          <w:szCs w:val="22"/>
          <w:lang w:val="af-ZA"/>
        </w:rPr>
        <w:t>Ծրագրի նպատակը հարկային և մաքսային միասնական պետական քաղաքականության իրականացումն է, հարկային և մաքսային օրենսդրության ամբողջական և համահավասար կիրառում</w:t>
      </w:r>
      <w:r w:rsidRPr="00CD567C">
        <w:rPr>
          <w:rFonts w:eastAsia="Calibri" w:cs="Sylfaen"/>
          <w:b w:val="0"/>
          <w:szCs w:val="22"/>
          <w:lang w:val="en-US"/>
        </w:rPr>
        <w:t>ը</w:t>
      </w:r>
      <w:r w:rsidRPr="00CD567C">
        <w:rPr>
          <w:rFonts w:eastAsia="Calibri" w:cs="Sylfaen"/>
          <w:b w:val="0"/>
          <w:szCs w:val="22"/>
          <w:lang w:val="af-ZA"/>
        </w:rPr>
        <w:t xml:space="preserve"> ՀՀ տարածքում: Ծրագրի վերջնական արդյունքը` արդյունավետ հարկային և մաքսային հսկողության իրականացումն է և պետական բյուջեի եկամուտների ապահովումը: </w:t>
      </w:r>
    </w:p>
    <w:p w14:paraId="5790AC84" w14:textId="77777777" w:rsidR="00CD567C" w:rsidRPr="00CD567C" w:rsidRDefault="00CD567C" w:rsidP="00AC1E1E">
      <w:pPr>
        <w:widowControl w:val="0"/>
        <w:rPr>
          <w:rFonts w:eastAsia="Calibri" w:cs="Sylfaen"/>
          <w:b w:val="0"/>
          <w:szCs w:val="22"/>
          <w:lang w:val="af-ZA"/>
        </w:rPr>
      </w:pPr>
      <w:r w:rsidRPr="00CD567C">
        <w:rPr>
          <w:rFonts w:eastAsia="Calibri" w:cs="Sylfaen"/>
          <w:b w:val="0"/>
          <w:szCs w:val="22"/>
          <w:lang w:val="af-ZA"/>
        </w:rPr>
        <w:t>Նշված ծրագրի շրջանակներում նախատեսվել է թվով 1</w:t>
      </w:r>
      <w:r w:rsidRPr="00CD567C">
        <w:rPr>
          <w:rFonts w:eastAsia="Calibri" w:cs="Sylfaen"/>
          <w:b w:val="0"/>
          <w:szCs w:val="22"/>
          <w:lang w:val="hy-AM"/>
        </w:rPr>
        <w:t>2</w:t>
      </w:r>
      <w:r w:rsidRPr="00CD567C">
        <w:rPr>
          <w:rFonts w:eastAsia="Calibri" w:cs="Sylfaen"/>
          <w:b w:val="0"/>
          <w:szCs w:val="22"/>
          <w:lang w:val="af-ZA"/>
        </w:rPr>
        <w:t xml:space="preserve"> միջոցառում, որից </w:t>
      </w:r>
      <w:r w:rsidRPr="00CD567C">
        <w:rPr>
          <w:rFonts w:eastAsia="Calibri" w:cs="Sylfaen"/>
          <w:b w:val="0"/>
          <w:szCs w:val="22"/>
          <w:lang w:val="hy-AM"/>
        </w:rPr>
        <w:t>6</w:t>
      </w:r>
      <w:r w:rsidRPr="00CD567C">
        <w:rPr>
          <w:rFonts w:eastAsia="Calibri" w:cs="Sylfaen"/>
          <w:b w:val="0"/>
          <w:szCs w:val="22"/>
          <w:lang w:val="af-ZA"/>
        </w:rPr>
        <w:t>-ը՝ կապիտալ բնույթի (այդ թվում` վարկային և դրամաշնորհային միջոցների հաշվին իրականացվող): Մասնավորապես</w:t>
      </w:r>
      <w:r w:rsidRPr="00CD567C">
        <w:rPr>
          <w:rFonts w:eastAsia="Calibri" w:cs="Sylfaen"/>
          <w:b w:val="0"/>
          <w:szCs w:val="22"/>
          <w:lang w:val="hy-AM"/>
        </w:rPr>
        <w:t>,</w:t>
      </w:r>
      <w:r w:rsidRPr="00CD567C">
        <w:rPr>
          <w:rFonts w:eastAsia="Calibri" w:cs="Sylfaen"/>
          <w:b w:val="0"/>
          <w:szCs w:val="22"/>
          <w:lang w:val="af-ZA"/>
        </w:rPr>
        <w:t xml:space="preserve"> նախատեսվում է ՀՀ-ում արտադրվող և ներմուծվող որոշակի ապրանքների դրոշմապիտակների</w:t>
      </w:r>
      <w:r w:rsidRPr="00CD567C">
        <w:rPr>
          <w:rFonts w:eastAsia="Calibri" w:cs="Sylfaen"/>
          <w:b w:val="0"/>
          <w:szCs w:val="22"/>
          <w:lang w:val="hy-AM"/>
        </w:rPr>
        <w:t xml:space="preserve"> ձեռքբերման </w:t>
      </w:r>
      <w:r w:rsidRPr="00CD567C">
        <w:rPr>
          <w:rFonts w:eastAsia="Calibri" w:cs="Sylfaen"/>
          <w:b w:val="0"/>
          <w:szCs w:val="22"/>
          <w:lang w:val="af-ZA"/>
        </w:rPr>
        <w:t>համար</w:t>
      </w:r>
      <w:r w:rsidRPr="00CD567C">
        <w:rPr>
          <w:rFonts w:eastAsia="Calibri" w:cs="Sylfaen"/>
          <w:b w:val="0"/>
          <w:szCs w:val="22"/>
          <w:lang w:val="hy-AM"/>
        </w:rPr>
        <w:t xml:space="preserve"> հատկացնել </w:t>
      </w:r>
      <w:r w:rsidRPr="00CD567C">
        <w:rPr>
          <w:rFonts w:eastAsia="Calibri" w:cs="Sylfaen"/>
          <w:b w:val="0"/>
          <w:szCs w:val="22"/>
          <w:lang w:val="af-ZA"/>
        </w:rPr>
        <w:t>5,292.0 մլն դրամ</w:t>
      </w:r>
      <w:r w:rsidRPr="00CD567C">
        <w:rPr>
          <w:rFonts w:eastAsia="Calibri" w:cs="Sylfaen"/>
          <w:b w:val="0"/>
          <w:szCs w:val="22"/>
          <w:lang w:val="hy-AM"/>
        </w:rPr>
        <w:t>, իսկ Կոմիտեի պահպանման ծախսերի համար 23,91</w:t>
      </w:r>
      <w:r w:rsidR="0052062B" w:rsidRPr="0052062B">
        <w:rPr>
          <w:rFonts w:eastAsia="Calibri" w:cs="Sylfaen"/>
          <w:b w:val="0"/>
          <w:szCs w:val="22"/>
          <w:lang w:val="af-ZA"/>
        </w:rPr>
        <w:t>5</w:t>
      </w:r>
      <w:r w:rsidRPr="00CD567C">
        <w:rPr>
          <w:rFonts w:eastAsia="Calibri" w:cs="Sylfaen"/>
          <w:b w:val="0"/>
          <w:szCs w:val="22"/>
          <w:lang w:val="hy-AM"/>
        </w:rPr>
        <w:t>.</w:t>
      </w:r>
      <w:r w:rsidR="0052062B" w:rsidRPr="0052062B">
        <w:rPr>
          <w:rFonts w:eastAsia="Calibri" w:cs="Sylfaen"/>
          <w:b w:val="0"/>
          <w:szCs w:val="22"/>
          <w:lang w:val="af-ZA"/>
        </w:rPr>
        <w:t>3</w:t>
      </w:r>
      <w:r w:rsidRPr="00CD567C">
        <w:rPr>
          <w:rFonts w:eastAsia="Calibri" w:cs="Sylfaen"/>
          <w:b w:val="0"/>
          <w:szCs w:val="22"/>
          <w:lang w:val="hy-AM"/>
        </w:rPr>
        <w:t xml:space="preserve"> մլն դրամ</w:t>
      </w:r>
      <w:r w:rsidRPr="00CD567C">
        <w:rPr>
          <w:rFonts w:eastAsia="Calibri" w:cs="Sylfaen"/>
          <w:b w:val="0"/>
          <w:szCs w:val="22"/>
          <w:lang w:val="af-ZA"/>
        </w:rPr>
        <w:t>:</w:t>
      </w:r>
    </w:p>
    <w:p w14:paraId="643724AF" w14:textId="77777777" w:rsidR="00CD567C" w:rsidRPr="00CD567C" w:rsidRDefault="00CD567C" w:rsidP="00AC1E1E">
      <w:pPr>
        <w:widowControl w:val="0"/>
        <w:rPr>
          <w:rFonts w:eastAsia="Calibri" w:cs="Sylfaen"/>
          <w:b w:val="0"/>
          <w:szCs w:val="22"/>
          <w:lang w:val="af-ZA"/>
        </w:rPr>
      </w:pPr>
      <w:r w:rsidRPr="00CD567C">
        <w:rPr>
          <w:rFonts w:eastAsia="Calibri" w:cs="Sylfaen"/>
          <w:b w:val="0"/>
          <w:szCs w:val="22"/>
          <w:lang w:val="af-ZA"/>
        </w:rPr>
        <w:t>Նախատեսվում է շարունակել Կոմիտեի կարիքների համար անհրաժեշտ փորձաքննությունների կատարումը, եզրակացությունների տրամադրումը և անվճարունակ քաղաքացիներին իրավական ծառայությունների տրամադրումը: Միաժամանակ, նախատեսվում է իրականացնել հարկային և մաքսային ծառայողների վերապատրաստման մեթոդիկայի մշակում, պլանա</w:t>
      </w:r>
      <w:r w:rsidRPr="00CD567C">
        <w:rPr>
          <w:rFonts w:eastAsia="Calibri" w:cs="Sylfaen"/>
          <w:b w:val="0"/>
          <w:szCs w:val="22"/>
          <w:lang w:val="af-ZA"/>
        </w:rPr>
        <w:softHyphen/>
        <w:t>վորում, ծրագրերի իրականացում</w:t>
      </w:r>
      <w:r w:rsidRPr="00CD567C">
        <w:rPr>
          <w:rFonts w:eastAsia="Calibri" w:cs="Sylfaen"/>
          <w:b w:val="0"/>
          <w:szCs w:val="22"/>
          <w:lang w:val="hy-AM"/>
        </w:rPr>
        <w:t>,</w:t>
      </w:r>
      <w:r w:rsidRPr="00CD567C">
        <w:rPr>
          <w:rFonts w:eastAsia="Calibri" w:cs="Sylfaen"/>
          <w:b w:val="0"/>
          <w:szCs w:val="22"/>
          <w:lang w:val="af-ZA"/>
        </w:rPr>
        <w:t xml:space="preserve"> աջակցության ծառայությունների մատուցում</w:t>
      </w:r>
      <w:r w:rsidRPr="00CD567C">
        <w:rPr>
          <w:rFonts w:eastAsia="Calibri" w:cs="Sylfaen"/>
          <w:b w:val="0"/>
          <w:szCs w:val="22"/>
          <w:lang w:val="hy-AM"/>
        </w:rPr>
        <w:t xml:space="preserve"> և</w:t>
      </w:r>
      <w:r w:rsidRPr="00CD567C">
        <w:rPr>
          <w:rFonts w:eastAsia="Calibri" w:cs="Sylfaen"/>
          <w:b w:val="0"/>
          <w:szCs w:val="22"/>
          <w:lang w:val="af-ZA"/>
        </w:rPr>
        <w:t xml:space="preserve"> 1610 ծառա</w:t>
      </w:r>
      <w:r w:rsidRPr="00CD567C">
        <w:rPr>
          <w:rFonts w:eastAsia="Calibri" w:cs="Sylfaen"/>
          <w:b w:val="0"/>
          <w:szCs w:val="22"/>
          <w:lang w:val="af-ZA"/>
        </w:rPr>
        <w:softHyphen/>
        <w:t>յողների վերապատրաստում:</w:t>
      </w:r>
    </w:p>
    <w:p w14:paraId="32873A85" w14:textId="0CBD71F4" w:rsidR="00CD567C" w:rsidRPr="00CD567C" w:rsidRDefault="00CD567C" w:rsidP="00AC1E1E">
      <w:pPr>
        <w:widowControl w:val="0"/>
        <w:rPr>
          <w:rFonts w:eastAsia="Calibri" w:cs="Sylfaen"/>
          <w:b w:val="0"/>
          <w:szCs w:val="22"/>
          <w:lang w:val="hy-AM"/>
        </w:rPr>
      </w:pPr>
      <w:r w:rsidRPr="00CD567C">
        <w:rPr>
          <w:rFonts w:eastAsia="Calibri" w:cs="Sylfaen"/>
          <w:b w:val="0"/>
          <w:szCs w:val="22"/>
          <w:lang w:val="af-ZA"/>
        </w:rPr>
        <w:t>Բացի վերը նշվածից, նախատեսվում է նաև շենքային ապահովվածության պայմանների բարելավմանն ուղղված միջոցառումներ</w:t>
      </w:r>
      <w:r w:rsidRPr="00CD567C">
        <w:rPr>
          <w:rFonts w:eastAsia="Calibri" w:cs="Sylfaen"/>
          <w:b w:val="0"/>
          <w:szCs w:val="22"/>
          <w:lang w:val="hy-AM"/>
        </w:rPr>
        <w:t>ի իրականացում</w:t>
      </w:r>
      <w:r w:rsidRPr="00CD567C">
        <w:rPr>
          <w:rFonts w:eastAsia="Calibri" w:cs="Sylfaen"/>
          <w:b w:val="0"/>
          <w:szCs w:val="22"/>
          <w:lang w:val="af-ZA"/>
        </w:rPr>
        <w:t xml:space="preserve">, որոնց նպատակն է Կոմիտեի կարիքների համար նոր շենքերի կառուցումը: </w:t>
      </w:r>
      <w:r w:rsidRPr="00CD567C">
        <w:rPr>
          <w:rFonts w:eastAsia="Calibri" w:cs="Sylfaen"/>
          <w:b w:val="0"/>
          <w:szCs w:val="22"/>
          <w:lang w:val="en-US"/>
        </w:rPr>
        <w:t>Մասնավորապես</w:t>
      </w:r>
      <w:r w:rsidRPr="00CD567C">
        <w:rPr>
          <w:rFonts w:eastAsia="Calibri" w:cs="Sylfaen"/>
          <w:b w:val="0"/>
          <w:szCs w:val="22"/>
          <w:lang w:val="hy-AM"/>
        </w:rPr>
        <w:t>,</w:t>
      </w:r>
      <w:r w:rsidRPr="00CD567C">
        <w:rPr>
          <w:rFonts w:eastAsia="Calibri" w:cs="Sylfaen"/>
          <w:b w:val="0"/>
          <w:szCs w:val="22"/>
          <w:lang w:val="af-ZA"/>
        </w:rPr>
        <w:t xml:space="preserve"> նախատեսվում է Երևան քաղաքի արտաքին տնտեսական գործունեության կենտրոնի կառուցման և Արևելյան մաքսա</w:t>
      </w:r>
      <w:r w:rsidRPr="00CD567C">
        <w:rPr>
          <w:rFonts w:eastAsia="Calibri" w:cs="Sylfaen"/>
          <w:b w:val="0"/>
          <w:szCs w:val="22"/>
          <w:lang w:val="af-ZA"/>
        </w:rPr>
        <w:softHyphen/>
        <w:t>տան-վարչության Բագրատաշենի մաքսային կետ-բաժնի ենթակառուցվածքների վերա</w:t>
      </w:r>
      <w:r w:rsidRPr="00CD567C">
        <w:rPr>
          <w:rFonts w:eastAsia="Calibri" w:cs="Sylfaen"/>
          <w:b w:val="0"/>
          <w:szCs w:val="22"/>
          <w:lang w:val="af-ZA"/>
        </w:rPr>
        <w:softHyphen/>
        <w:t>կառուցում աշխատանքներ</w:t>
      </w:r>
      <w:r w:rsidRPr="00CD567C">
        <w:rPr>
          <w:rFonts w:eastAsia="Calibri" w:cs="Sylfaen"/>
          <w:b w:val="0"/>
          <w:szCs w:val="22"/>
          <w:lang w:val="hy-AM"/>
        </w:rPr>
        <w:t xml:space="preserve">ի իրականացում, ինչպես նաև Երևան քաղաքի Սասունցի Դավթի փողոցի </w:t>
      </w:r>
      <w:r w:rsidR="00666E8A">
        <w:rPr>
          <w:rFonts w:eastAsia="Calibri" w:cs="Sylfaen"/>
          <w:b w:val="0"/>
          <w:szCs w:val="22"/>
          <w:lang w:val="hy-AM"/>
        </w:rPr>
        <w:t>N</w:t>
      </w:r>
      <w:r w:rsidRPr="00CD567C">
        <w:rPr>
          <w:rFonts w:eastAsia="Calibri" w:cs="Sylfaen"/>
          <w:b w:val="0"/>
          <w:szCs w:val="22"/>
          <w:lang w:val="hy-AM"/>
        </w:rPr>
        <w:t xml:space="preserve"> 87 ա հասցեում գտնվող և Աբովյան քաղաքի Բարեկամության հրապարակ </w:t>
      </w:r>
      <w:r w:rsidR="00666E8A">
        <w:rPr>
          <w:rFonts w:eastAsia="Calibri" w:cs="Sylfaen"/>
          <w:b w:val="0"/>
          <w:szCs w:val="22"/>
          <w:lang w:val="hy-AM"/>
        </w:rPr>
        <w:t>N</w:t>
      </w:r>
      <w:r w:rsidRPr="00CD567C">
        <w:rPr>
          <w:rFonts w:eastAsia="Calibri" w:cs="Sylfaen"/>
          <w:b w:val="0"/>
          <w:szCs w:val="22"/>
          <w:lang w:val="hy-AM"/>
        </w:rPr>
        <w:t xml:space="preserve"> 1 հասցեում գտնվող վարչական շենքերի վերանորոգում</w:t>
      </w:r>
      <w:r w:rsidRPr="00CD567C">
        <w:rPr>
          <w:rFonts w:eastAsia="Calibri" w:cs="Sylfaen"/>
          <w:b w:val="0"/>
          <w:szCs w:val="22"/>
          <w:lang w:val="af-ZA"/>
        </w:rPr>
        <w:t>:</w:t>
      </w:r>
    </w:p>
    <w:p w14:paraId="08DCDE35" w14:textId="193483F9" w:rsidR="00CD567C" w:rsidRDefault="00CD567C" w:rsidP="00AC1E1E">
      <w:pPr>
        <w:widowControl w:val="0"/>
        <w:rPr>
          <w:rFonts w:eastAsia="Calibri" w:cs="Sylfaen"/>
          <w:b w:val="0"/>
          <w:szCs w:val="22"/>
          <w:lang w:val="hy-AM"/>
        </w:rPr>
      </w:pPr>
      <w:r w:rsidRPr="00CD567C">
        <w:rPr>
          <w:rFonts w:eastAsia="Calibri" w:cs="Sylfaen"/>
          <w:b w:val="0"/>
          <w:szCs w:val="22"/>
          <w:lang w:val="af-ZA"/>
        </w:rPr>
        <w:t xml:space="preserve">Ծրագրի շրջանակներում նախատեսվում է նաև </w:t>
      </w:r>
      <w:r w:rsidRPr="00CD567C">
        <w:rPr>
          <w:rFonts w:eastAsia="Calibri" w:cs="Sylfaen"/>
          <w:b w:val="0"/>
          <w:szCs w:val="22"/>
          <w:lang w:val="hy-AM"/>
        </w:rPr>
        <w:t>ՎԶԵԲ-ի</w:t>
      </w:r>
      <w:r w:rsidRPr="00CD567C">
        <w:rPr>
          <w:rFonts w:eastAsia="Calibri" w:cs="Sylfaen"/>
          <w:b w:val="0"/>
          <w:szCs w:val="22"/>
          <w:lang w:val="af-ZA"/>
        </w:rPr>
        <w:t xml:space="preserve"> աջակցությամբ իրակա</w:t>
      </w:r>
      <w:r w:rsidRPr="00CD567C">
        <w:rPr>
          <w:rFonts w:eastAsia="Calibri" w:cs="Sylfaen"/>
          <w:b w:val="0"/>
          <w:szCs w:val="22"/>
          <w:lang w:val="af-ZA"/>
        </w:rPr>
        <w:softHyphen/>
        <w:t xml:space="preserve">նացվող «Մեղրիի սահմանային անցակետի ծրագիր» դրամաշնորհային և վարկային </w:t>
      </w:r>
      <w:r w:rsidRPr="00CD567C">
        <w:rPr>
          <w:rFonts w:eastAsia="Calibri" w:cs="Sylfaen"/>
          <w:b w:val="0"/>
          <w:szCs w:val="22"/>
          <w:lang w:val="hy-AM"/>
        </w:rPr>
        <w:t>ծրագրերով</w:t>
      </w:r>
      <w:r w:rsidRPr="00CD567C">
        <w:rPr>
          <w:rFonts w:eastAsia="Calibri" w:cs="Sylfaen"/>
          <w:b w:val="0"/>
          <w:szCs w:val="22"/>
          <w:lang w:val="af-ZA"/>
        </w:rPr>
        <w:t xml:space="preserve"> </w:t>
      </w:r>
      <w:r w:rsidRPr="00CD567C">
        <w:rPr>
          <w:rFonts w:eastAsia="Calibri" w:cs="Sylfaen"/>
          <w:b w:val="0"/>
          <w:szCs w:val="22"/>
          <w:lang w:val="hy-AM"/>
        </w:rPr>
        <w:t>Կոմիտե</w:t>
      </w:r>
      <w:r w:rsidRPr="00CD567C">
        <w:rPr>
          <w:rFonts w:eastAsia="Calibri" w:cs="Sylfaen"/>
          <w:b w:val="0"/>
          <w:szCs w:val="22"/>
          <w:lang w:val="af-ZA"/>
        </w:rPr>
        <w:t xml:space="preserve">ի նոր շենքային պայմանների ապահովում, </w:t>
      </w:r>
      <w:r w:rsidRPr="00CD567C">
        <w:rPr>
          <w:rFonts w:eastAsia="Calibri" w:cs="Sylfaen"/>
          <w:b w:val="0"/>
          <w:szCs w:val="22"/>
          <w:lang w:val="hy-AM"/>
        </w:rPr>
        <w:t xml:space="preserve">որի </w:t>
      </w:r>
      <w:r w:rsidRPr="00CD567C">
        <w:rPr>
          <w:rFonts w:eastAsia="Calibri" w:cs="Sylfaen"/>
          <w:b w:val="0"/>
          <w:szCs w:val="22"/>
          <w:lang w:val="af-ZA"/>
        </w:rPr>
        <w:t xml:space="preserve">նպատակն է դրամաշնորհային և վարկային </w:t>
      </w:r>
      <w:r w:rsidRPr="00CD567C">
        <w:rPr>
          <w:rFonts w:eastAsia="Calibri" w:cs="Sylfaen"/>
          <w:b w:val="0"/>
          <w:szCs w:val="22"/>
          <w:lang w:val="hy-AM"/>
        </w:rPr>
        <w:t xml:space="preserve">միջոցների </w:t>
      </w:r>
      <w:r w:rsidRPr="00CD567C">
        <w:rPr>
          <w:rFonts w:eastAsia="Calibri" w:cs="Sylfaen"/>
          <w:b w:val="0"/>
          <w:szCs w:val="22"/>
          <w:lang w:val="af-ZA"/>
        </w:rPr>
        <w:t xml:space="preserve">շրջանակներում Կոմիտեի Մեղրիի սահմանային անցակետում </w:t>
      </w:r>
      <w:r w:rsidRPr="00CD567C">
        <w:rPr>
          <w:rFonts w:eastAsia="Calibri" w:cs="Sylfaen"/>
          <w:b w:val="0"/>
          <w:szCs w:val="22"/>
          <w:lang w:val="hy-AM"/>
        </w:rPr>
        <w:t xml:space="preserve">ունենալ </w:t>
      </w:r>
      <w:r w:rsidRPr="00CD567C">
        <w:rPr>
          <w:rFonts w:eastAsia="Calibri" w:cs="Sylfaen"/>
          <w:b w:val="0"/>
          <w:szCs w:val="22"/>
          <w:lang w:val="af-ZA"/>
        </w:rPr>
        <w:t>միջազգային չափորոշիչներին համապատասխան նոր մաքսա</w:t>
      </w:r>
      <w:r w:rsidRPr="00CD567C">
        <w:rPr>
          <w:rFonts w:eastAsia="Calibri" w:cs="Sylfaen"/>
          <w:b w:val="0"/>
          <w:szCs w:val="22"/>
          <w:lang w:val="hy-AM"/>
        </w:rPr>
        <w:t>յին անցա</w:t>
      </w:r>
      <w:r w:rsidRPr="00CD567C">
        <w:rPr>
          <w:rFonts w:eastAsia="Calibri" w:cs="Sylfaen"/>
          <w:b w:val="0"/>
          <w:szCs w:val="22"/>
          <w:lang w:val="af-ZA"/>
        </w:rPr>
        <w:t xml:space="preserve">կետ: </w:t>
      </w:r>
      <w:r w:rsidRPr="00CD567C">
        <w:rPr>
          <w:rFonts w:eastAsia="Calibri" w:cs="Sylfaen"/>
          <w:b w:val="0"/>
          <w:szCs w:val="22"/>
          <w:lang w:val="hy-AM"/>
        </w:rPr>
        <w:t>Ծրագրի մեկնարկը տրվել է 2023 թվականին:</w:t>
      </w:r>
    </w:p>
    <w:p w14:paraId="346F181E" w14:textId="10EB1DD9" w:rsidR="007F4171" w:rsidRPr="00CD567C" w:rsidRDefault="007F4171" w:rsidP="00AC1E1E">
      <w:pPr>
        <w:widowControl w:val="0"/>
        <w:rPr>
          <w:rFonts w:eastAsia="Calibri" w:cs="Sylfaen"/>
          <w:b w:val="0"/>
          <w:szCs w:val="22"/>
          <w:lang w:val="af-ZA"/>
        </w:rPr>
      </w:pPr>
      <w:r w:rsidRPr="007F4171">
        <w:rPr>
          <w:rFonts w:eastAsia="Calibri" w:cs="Sylfaen"/>
          <w:szCs w:val="22"/>
          <w:lang w:val="hy-AM"/>
        </w:rPr>
        <w:t xml:space="preserve">Հիպոթեկային վարկի վճարված տոկոսների գումարի վերադարձ </w:t>
      </w:r>
      <w:r w:rsidRPr="00CD567C">
        <w:rPr>
          <w:rFonts w:eastAsia="Calibri" w:cs="Sylfaen"/>
          <w:b w:val="0"/>
          <w:szCs w:val="22"/>
          <w:lang w:val="hy-AM"/>
        </w:rPr>
        <w:t>ծրագրի</w:t>
      </w:r>
      <w:r w:rsidRPr="00CD567C">
        <w:rPr>
          <w:rFonts w:eastAsia="Calibri" w:cs="Sylfaen"/>
          <w:b w:val="0"/>
          <w:szCs w:val="22"/>
          <w:lang w:val="af-ZA"/>
        </w:rPr>
        <w:t xml:space="preserve"> գծով ՀՀ 202</w:t>
      </w:r>
      <w:r w:rsidRPr="00CD567C">
        <w:rPr>
          <w:rFonts w:eastAsia="Calibri" w:cs="Sylfaen"/>
          <w:b w:val="0"/>
          <w:szCs w:val="22"/>
          <w:lang w:val="hy-AM"/>
        </w:rPr>
        <w:t>4</w:t>
      </w:r>
      <w:r w:rsidRPr="00CD567C">
        <w:rPr>
          <w:rFonts w:eastAsia="Calibri" w:cs="Sylfaen"/>
          <w:b w:val="0"/>
          <w:szCs w:val="22"/>
          <w:lang w:val="af-ZA"/>
        </w:rPr>
        <w:t xml:space="preserve"> </w:t>
      </w:r>
      <w:r w:rsidRPr="00CD567C">
        <w:rPr>
          <w:rFonts w:eastAsia="Calibri" w:cs="Sylfaen"/>
          <w:b w:val="0"/>
          <w:szCs w:val="22"/>
          <w:lang w:val="af-ZA"/>
        </w:rPr>
        <w:lastRenderedPageBreak/>
        <w:t>թվականի պետական բյուջեով</w:t>
      </w:r>
      <w:r w:rsidRPr="00CD567C">
        <w:rPr>
          <w:rFonts w:eastAsia="Calibri" w:cs="Sylfaen"/>
          <w:b w:val="0"/>
          <w:szCs w:val="22"/>
          <w:lang w:val="hy-AM"/>
        </w:rPr>
        <w:t xml:space="preserve"> նախատեսվել</w:t>
      </w:r>
      <w:r w:rsidRPr="00CD567C">
        <w:rPr>
          <w:rFonts w:eastAsia="Calibri" w:cs="Sylfaen"/>
          <w:b w:val="0"/>
          <w:szCs w:val="22"/>
          <w:lang w:val="af-ZA"/>
        </w:rPr>
        <w:t xml:space="preserve"> </w:t>
      </w:r>
      <w:r w:rsidRPr="00CD567C">
        <w:rPr>
          <w:rFonts w:eastAsia="Calibri" w:cs="Sylfaen"/>
          <w:b w:val="0"/>
          <w:szCs w:val="22"/>
          <w:lang w:val="hy-AM"/>
        </w:rPr>
        <w:t>է</w:t>
      </w:r>
      <w:r w:rsidRPr="00CD567C">
        <w:rPr>
          <w:rFonts w:eastAsia="Calibri" w:cs="Sylfaen"/>
          <w:b w:val="0"/>
          <w:szCs w:val="22"/>
          <w:lang w:val="af-ZA"/>
        </w:rPr>
        <w:t xml:space="preserve"> </w:t>
      </w:r>
      <w:r w:rsidRPr="00CD567C">
        <w:rPr>
          <w:rFonts w:eastAsia="Calibri" w:cs="Sylfaen"/>
          <w:b w:val="0"/>
          <w:szCs w:val="22"/>
          <w:lang w:val="hy-AM"/>
        </w:rPr>
        <w:t>հատկացնել</w:t>
      </w:r>
      <w:r w:rsidRPr="00CD567C">
        <w:rPr>
          <w:rFonts w:eastAsia="Calibri" w:cs="Sylfaen"/>
          <w:b w:val="0"/>
          <w:szCs w:val="22"/>
          <w:lang w:val="af-ZA"/>
        </w:rPr>
        <w:t xml:space="preserve"> </w:t>
      </w:r>
      <w:r>
        <w:rPr>
          <w:rFonts w:eastAsia="Calibri" w:cs="Sylfaen"/>
          <w:b w:val="0"/>
          <w:szCs w:val="22"/>
          <w:lang w:val="af-ZA"/>
        </w:rPr>
        <w:t>7</w:t>
      </w:r>
      <w:r w:rsidR="00C364F0">
        <w:rPr>
          <w:rFonts w:eastAsia="Calibri" w:cs="Sylfaen"/>
          <w:b w:val="0"/>
          <w:szCs w:val="22"/>
          <w:lang w:val="af-ZA"/>
        </w:rPr>
        <w:t>2</w:t>
      </w:r>
      <w:r>
        <w:rPr>
          <w:rFonts w:eastAsia="Calibri" w:cs="Sylfaen"/>
          <w:b w:val="0"/>
          <w:szCs w:val="22"/>
          <w:lang w:val="af-ZA"/>
        </w:rPr>
        <w:t>,</w:t>
      </w:r>
      <w:r w:rsidR="00C364F0">
        <w:rPr>
          <w:rFonts w:eastAsia="Calibri" w:cs="Sylfaen"/>
          <w:b w:val="0"/>
          <w:szCs w:val="22"/>
          <w:lang w:val="af-ZA"/>
        </w:rPr>
        <w:t>0</w:t>
      </w:r>
      <w:r>
        <w:rPr>
          <w:rFonts w:eastAsia="Calibri" w:cs="Sylfaen"/>
          <w:b w:val="0"/>
          <w:szCs w:val="22"/>
          <w:lang w:val="af-ZA"/>
        </w:rPr>
        <w:t>00.0</w:t>
      </w:r>
      <w:r w:rsidRPr="00CD567C">
        <w:rPr>
          <w:rFonts w:eastAsia="Calibri" w:cs="Sylfaen"/>
          <w:b w:val="0"/>
          <w:szCs w:val="22"/>
          <w:lang w:val="af-ZA"/>
        </w:rPr>
        <w:t xml:space="preserve"> մլն դրամ: </w:t>
      </w:r>
    </w:p>
    <w:p w14:paraId="1C453B39" w14:textId="77777777" w:rsidR="00414D8F" w:rsidRDefault="00414D8F" w:rsidP="00AC1E1E">
      <w:pPr>
        <w:pStyle w:val="Heading1"/>
      </w:pPr>
      <w:bookmarkStart w:id="324" w:name="_Toc153184511"/>
      <w:r w:rsidRPr="007955BB">
        <w:t xml:space="preserve">ՀՀ </w:t>
      </w:r>
      <w:r w:rsidRPr="0059682F">
        <w:t>կադաստրի</w:t>
      </w:r>
      <w:r w:rsidRPr="007955BB">
        <w:t xml:space="preserve"> կոմիտե</w:t>
      </w:r>
      <w:bookmarkEnd w:id="324"/>
    </w:p>
    <w:p w14:paraId="26FDB461" w14:textId="7864DF73" w:rsidR="006A554A" w:rsidRPr="007955BB" w:rsidRDefault="006A554A" w:rsidP="00AC1E1E">
      <w:pPr>
        <w:widowControl w:val="0"/>
        <w:rPr>
          <w:rFonts w:eastAsia="Calibri" w:cs="Sylfaen"/>
          <w:b w:val="0"/>
          <w:szCs w:val="22"/>
          <w:lang w:val="af-ZA"/>
        </w:rPr>
      </w:pPr>
      <w:r w:rsidRPr="007955BB">
        <w:rPr>
          <w:rFonts w:eastAsia="Calibri" w:cs="Sylfaen"/>
          <w:b w:val="0"/>
          <w:szCs w:val="22"/>
          <w:lang w:val="af-ZA"/>
        </w:rPr>
        <w:t>Անշարժ գույքի պետական ռեգիստրի համակարգի գծով ՀՀ 202</w:t>
      </w:r>
      <w:r>
        <w:rPr>
          <w:rFonts w:eastAsia="Calibri" w:cs="Sylfaen"/>
          <w:b w:val="0"/>
          <w:szCs w:val="22"/>
          <w:lang w:val="af-ZA"/>
        </w:rPr>
        <w:t>4</w:t>
      </w:r>
      <w:r w:rsidRPr="007955BB">
        <w:rPr>
          <w:rFonts w:eastAsia="Calibri" w:cs="Sylfaen"/>
          <w:b w:val="0"/>
          <w:szCs w:val="22"/>
          <w:lang w:val="af-ZA"/>
        </w:rPr>
        <w:t xml:space="preserve"> թվականի պետական բյուջեով նախատեսվում է</w:t>
      </w:r>
      <w:r>
        <w:rPr>
          <w:rFonts w:eastAsia="Calibri" w:cs="Sylfaen"/>
          <w:b w:val="0"/>
          <w:szCs w:val="22"/>
          <w:lang w:val="af-ZA"/>
        </w:rPr>
        <w:t xml:space="preserve"> 4,497.5</w:t>
      </w:r>
      <w:r w:rsidRPr="007955BB">
        <w:rPr>
          <w:rFonts w:eastAsia="Calibri" w:cs="Sylfaen"/>
          <w:b w:val="0"/>
          <w:szCs w:val="22"/>
          <w:lang w:val="af-ZA"/>
        </w:rPr>
        <w:t xml:space="preserve"> մլն դրամի ծախսեր (ներառյալ կառավարման ապարատի պահպանման ծախսերը)։ Նշված գումարի շրջանակներում նախատեսվում է իրականացնել Անշարժ գույքի կադաստրի վարման բնագավառում պետական քաղաքականության իրականացում ծրագիրը։ Ծրագրի նպատակն է անշարժ գույքի պետական միասնական կադաստրի համակարգի զարգացումը, պետության կողմից անշարժ գույքի նկատմամբ իրավունքների ճանաչումը, երաշխավորումը և պաշտպանությունը։ </w:t>
      </w:r>
    </w:p>
    <w:p w14:paraId="6DFDA954" w14:textId="77777777" w:rsidR="00414D8F" w:rsidRPr="00414D8F" w:rsidRDefault="006A554A" w:rsidP="00AC1E1E">
      <w:pPr>
        <w:rPr>
          <w:lang w:val="hy-AM" w:eastAsia="en-US"/>
        </w:rPr>
      </w:pPr>
      <w:r w:rsidRPr="007955BB">
        <w:rPr>
          <w:rFonts w:eastAsia="Calibri" w:cs="Sylfaen"/>
          <w:b w:val="0"/>
          <w:szCs w:val="22"/>
          <w:lang w:val="af-ZA"/>
        </w:rPr>
        <w:t xml:space="preserve">Գեոդեզիայի ու քարտեզագրության բնագավառի զարգացման նպատակով նախատեսվում է շարունակել իրականացնել երկրատեղեկատվական համակարգում </w:t>
      </w:r>
      <w:r>
        <w:rPr>
          <w:rFonts w:eastAsia="Calibri" w:cs="Sylfaen"/>
          <w:b w:val="0"/>
          <w:szCs w:val="22"/>
          <w:lang w:val="hy-AM"/>
        </w:rPr>
        <w:t>ՀՀ</w:t>
      </w:r>
      <w:r w:rsidRPr="007955BB">
        <w:rPr>
          <w:rFonts w:eastAsia="Calibri" w:cs="Sylfaen"/>
          <w:b w:val="0"/>
          <w:szCs w:val="22"/>
          <w:lang w:val="af-ZA"/>
        </w:rPr>
        <w:t xml:space="preserve"> բնակավայրերի քարտեզագրական հենքի ստեղծման աշխատանքները, ՀՀ օրթոֆոտոհատակագծերով ամբողջությամբ ծածկված համայնքների ճշգրտված կադաստրային թաղամասերի հատակագծերը, ՀՀ համայնքների կադաստրային թաղամասերի ուղղման նպատակով լրացուցիչ կետերի դիտարկման և թաղամասերի արտաքին սահմանների ամբողջական ուղղման աշխատանքները։</w:t>
      </w:r>
      <w:r>
        <w:rPr>
          <w:rFonts w:eastAsia="Calibri" w:cs="Sylfaen"/>
          <w:b w:val="0"/>
          <w:szCs w:val="22"/>
          <w:lang w:val="af-ZA"/>
        </w:rPr>
        <w:t xml:space="preserve"> Ինչպես նաև ստեղծվելու են խորհրդատվական կենտրոններ:</w:t>
      </w:r>
    </w:p>
    <w:p w14:paraId="3755EF48" w14:textId="77777777" w:rsidR="00243DE8" w:rsidRPr="007955BB" w:rsidRDefault="00243DE8" w:rsidP="00AC1E1E">
      <w:pPr>
        <w:pStyle w:val="Heading1"/>
      </w:pPr>
      <w:bookmarkStart w:id="325" w:name="_Toc153184512"/>
      <w:r w:rsidRPr="007955BB">
        <w:t>ՀՀ վիճակագրական կոմիտե</w:t>
      </w:r>
      <w:bookmarkEnd w:id="325"/>
    </w:p>
    <w:p w14:paraId="76C9690E" w14:textId="77777777" w:rsidR="00C812A3" w:rsidRPr="007955BB" w:rsidRDefault="00C812A3" w:rsidP="00AC1E1E">
      <w:pPr>
        <w:tabs>
          <w:tab w:val="left" w:pos="284"/>
        </w:tabs>
        <w:rPr>
          <w:b w:val="0"/>
          <w:szCs w:val="22"/>
          <w:lang w:val="af-ZA" w:eastAsia="en-US"/>
        </w:rPr>
      </w:pPr>
      <w:r w:rsidRPr="007955BB">
        <w:rPr>
          <w:b w:val="0"/>
          <w:szCs w:val="22"/>
          <w:lang w:val="af-ZA" w:eastAsia="en-US"/>
        </w:rPr>
        <w:t>Վիճակա</w:t>
      </w:r>
      <w:r w:rsidR="00FA2DDF">
        <w:rPr>
          <w:b w:val="0"/>
          <w:szCs w:val="22"/>
          <w:lang w:val="af-ZA" w:eastAsia="en-US"/>
        </w:rPr>
        <w:t>գրական կոմիտեն ՀՀ կառավարությանն</w:t>
      </w:r>
      <w:r w:rsidRPr="007955BB">
        <w:rPr>
          <w:b w:val="0"/>
          <w:szCs w:val="22"/>
          <w:lang w:val="af-ZA" w:eastAsia="en-US"/>
        </w:rPr>
        <w:t xml:space="preserve"> ենթակա պետական մարմին է, որն իր լիազորություններն իրականացնելիս անկախ է, ղեկավարվում է ՀՀ Սահմանադրությամբ, ՀՀ միջազգային պայմանագրերով, «Պաշտոնական վիճակագրության մասին» օրենքով և այլ իրավական ակտերով:</w:t>
      </w:r>
    </w:p>
    <w:p w14:paraId="27D03E5D" w14:textId="77777777" w:rsidR="00C30671" w:rsidRDefault="00C812A3" w:rsidP="00AC1E1E">
      <w:pPr>
        <w:tabs>
          <w:tab w:val="left" w:pos="284"/>
        </w:tabs>
        <w:rPr>
          <w:b w:val="0"/>
          <w:szCs w:val="22"/>
          <w:lang w:val="af-ZA" w:eastAsia="en-US"/>
        </w:rPr>
      </w:pPr>
      <w:r w:rsidRPr="007955BB">
        <w:rPr>
          <w:b w:val="0"/>
          <w:szCs w:val="22"/>
          <w:lang w:val="af-ZA" w:eastAsia="en-US"/>
        </w:rPr>
        <w:t xml:space="preserve">Վիճակագրական կոմիտեն ՀՀ պաշտոնական վիճակագրության գլխավոր արտադրողն է և համակարգում է ազգային վիճակագրական համակարգում պաշտոնական վիճակագրության մշակմանը, արտադրությանը և տարածմանն ուղղված ողջ գործունեությունը, բացառությամբ  ՀՀ </w:t>
      </w:r>
      <w:r w:rsidR="00980531">
        <w:rPr>
          <w:b w:val="0"/>
          <w:szCs w:val="22"/>
          <w:lang w:val="hy-AM" w:eastAsia="en-US"/>
        </w:rPr>
        <w:t>ԿԲ-</w:t>
      </w:r>
      <w:r w:rsidRPr="007955BB">
        <w:rPr>
          <w:b w:val="0"/>
          <w:szCs w:val="22"/>
          <w:lang w:val="af-ZA" w:eastAsia="en-US"/>
        </w:rPr>
        <w:t>ի:</w:t>
      </w:r>
    </w:p>
    <w:p w14:paraId="7AF54E6C" w14:textId="77777777" w:rsidR="00C30671" w:rsidRPr="00C30671" w:rsidRDefault="00C30671" w:rsidP="00AC1E1E">
      <w:pPr>
        <w:tabs>
          <w:tab w:val="left" w:pos="284"/>
        </w:tabs>
        <w:rPr>
          <w:b w:val="0"/>
          <w:szCs w:val="22"/>
          <w:lang w:val="af-ZA" w:eastAsia="en-US"/>
        </w:rPr>
      </w:pPr>
      <w:r w:rsidRPr="00C30671">
        <w:rPr>
          <w:b w:val="0"/>
          <w:szCs w:val="22"/>
          <w:lang w:val="af-ZA" w:eastAsia="en-US"/>
        </w:rPr>
        <w:t>ՀՀ վիճակագրական կոմիտեի գծով ՀՀ 2024 թվականի պետական բյուջեով նախատես</w:t>
      </w:r>
      <w:r w:rsidRPr="00C30671">
        <w:rPr>
          <w:b w:val="0"/>
          <w:szCs w:val="22"/>
          <w:lang w:val="af-ZA" w:eastAsia="en-US"/>
        </w:rPr>
        <w:softHyphen/>
        <w:t>վում է հատկացնել 4,299.5 մլն դրամ (ներառյալ կառավարման ապարատի պահպանման ծախսերը):</w:t>
      </w:r>
    </w:p>
    <w:p w14:paraId="2FCE80DE" w14:textId="77777777" w:rsidR="00C30671" w:rsidRPr="00C30671" w:rsidRDefault="00C30671" w:rsidP="00AC1E1E">
      <w:pPr>
        <w:tabs>
          <w:tab w:val="left" w:pos="284"/>
        </w:tabs>
        <w:rPr>
          <w:b w:val="0"/>
          <w:szCs w:val="22"/>
          <w:lang w:val="af-ZA" w:eastAsia="en-US"/>
        </w:rPr>
      </w:pPr>
      <w:r w:rsidRPr="00C30671">
        <w:rPr>
          <w:b w:val="0"/>
          <w:szCs w:val="22"/>
          <w:lang w:val="af-ZA" w:eastAsia="en-US"/>
        </w:rPr>
        <w:t xml:space="preserve">Հատկացվող ծախսերի շրջանակներում նախատեսվում է իրականացնել </w:t>
      </w:r>
      <w:r w:rsidRPr="00370583">
        <w:rPr>
          <w:szCs w:val="22"/>
          <w:lang w:val="af-ZA" w:eastAsia="en-US"/>
        </w:rPr>
        <w:t>«Ազգային պաշտոնական վիճակագրության արտադրություն և տարածում»</w:t>
      </w:r>
      <w:r w:rsidRPr="00C30671">
        <w:rPr>
          <w:b w:val="0"/>
          <w:szCs w:val="22"/>
          <w:lang w:val="af-ZA" w:eastAsia="en-US"/>
        </w:rPr>
        <w:t xml:space="preserve"> ծրագիրը, որի նպատակն է  տնտեսական և հասարակական գործընթացների վերաբերյալ պաշտոնական վիճակագրության մշակումը, արտադրումը ու տարածումը:</w:t>
      </w:r>
    </w:p>
    <w:p w14:paraId="20329366" w14:textId="77777777" w:rsidR="00C30671" w:rsidRPr="00C30671" w:rsidRDefault="00C30671" w:rsidP="00AC1E1E">
      <w:pPr>
        <w:tabs>
          <w:tab w:val="left" w:pos="284"/>
        </w:tabs>
        <w:rPr>
          <w:b w:val="0"/>
          <w:szCs w:val="22"/>
          <w:lang w:val="af-ZA" w:eastAsia="en-US"/>
        </w:rPr>
      </w:pPr>
      <w:r w:rsidRPr="00C30671">
        <w:rPr>
          <w:b w:val="0"/>
          <w:szCs w:val="22"/>
          <w:lang w:val="af-ZA" w:eastAsia="en-US"/>
        </w:rPr>
        <w:t xml:space="preserve">Ծրագրի շրջանակներում նախատեսվում է </w:t>
      </w:r>
      <w:r w:rsidR="0070739F">
        <w:rPr>
          <w:b w:val="0"/>
          <w:szCs w:val="22"/>
          <w:lang w:val="af-ZA" w:eastAsia="en-US"/>
        </w:rPr>
        <w:t xml:space="preserve">2024 թվականին </w:t>
      </w:r>
      <w:r w:rsidRPr="00C30671">
        <w:rPr>
          <w:b w:val="0"/>
          <w:szCs w:val="22"/>
          <w:lang w:val="af-ZA" w:eastAsia="en-US"/>
        </w:rPr>
        <w:t xml:space="preserve">իրականացնել Հերթական գյուղատնտեսական համատարած հաշվառման նախապատրաստման և անցկացման միջոցառումը, որի համար </w:t>
      </w:r>
      <w:r w:rsidR="0070739F">
        <w:rPr>
          <w:b w:val="0"/>
          <w:szCs w:val="22"/>
          <w:lang w:val="af-ZA" w:eastAsia="en-US"/>
        </w:rPr>
        <w:t xml:space="preserve">կհատկացվի </w:t>
      </w:r>
      <w:r w:rsidRPr="00C30671">
        <w:rPr>
          <w:b w:val="0"/>
          <w:szCs w:val="22"/>
          <w:lang w:val="af-ZA" w:eastAsia="en-US"/>
        </w:rPr>
        <w:t>2,176.8 մլն դրամ:</w:t>
      </w:r>
    </w:p>
    <w:p w14:paraId="4F4D8639" w14:textId="77777777" w:rsidR="00C30671" w:rsidRPr="00C30671" w:rsidRDefault="00C30671" w:rsidP="00AC1E1E">
      <w:pPr>
        <w:tabs>
          <w:tab w:val="left" w:pos="284"/>
        </w:tabs>
        <w:rPr>
          <w:b w:val="0"/>
          <w:szCs w:val="22"/>
          <w:lang w:val="af-ZA" w:eastAsia="en-US"/>
        </w:rPr>
      </w:pPr>
      <w:r w:rsidRPr="00C30671">
        <w:rPr>
          <w:b w:val="0"/>
          <w:szCs w:val="22"/>
          <w:lang w:val="af-ZA" w:eastAsia="en-US"/>
        </w:rPr>
        <w:lastRenderedPageBreak/>
        <w:t>Ղեկավարվելով «Պաշտոնական վիճակագրության մասին» օրենքի 21-րդ հոդվածի պահանջներով, ՀՀ կառավարության 29.09.2022թ. «Հայաստանի Հանրապետությունում 2024 թվականին հերթական գյուղատնտեսական համատարած հաշվառում անցկացնելու ժամկետներ, 2023 թվականին փորձնական գյուղատնտեսական համատարած հաշվառում անցկացնելու տարածքներ և ժամկետներ հաստատելու, 2024 թվականի հերթական գյուղատնտեսական համատարած հաշվառման նախապատրաստման և անցկացման աշխատանքներին օժանդակ</w:t>
      </w:r>
      <w:r w:rsidR="00FA2DDF">
        <w:rPr>
          <w:b w:val="0"/>
          <w:szCs w:val="22"/>
          <w:lang w:val="af-ZA" w:eastAsia="en-US"/>
        </w:rPr>
        <w:t>ելու նպատակով հանրապետական, Երև</w:t>
      </w:r>
      <w:r w:rsidRPr="00C30671">
        <w:rPr>
          <w:b w:val="0"/>
          <w:szCs w:val="22"/>
          <w:lang w:val="af-ZA" w:eastAsia="en-US"/>
        </w:rPr>
        <w:t xml:space="preserve">ան քաղաքի և մարզային հանձնաժողովներ ստեղծելու և դրանց կազմերը հաստատելու մասին» N 1514-Ն որոշման համաձայն, Հայաստանի Հանրապետությունում 2024թ. հոկտեմբերի 11-31-ը ներառյալ նախատեսվում է անցկացնել </w:t>
      </w:r>
      <w:bookmarkStart w:id="326" w:name="_Hlk128739944"/>
      <w:r w:rsidRPr="00C30671">
        <w:rPr>
          <w:b w:val="0"/>
          <w:szCs w:val="22"/>
          <w:lang w:val="af-ZA" w:eastAsia="en-US"/>
        </w:rPr>
        <w:t>հերթական գյուղատնտեսական համատարած հաշվառում (ԳՀՀ)</w:t>
      </w:r>
      <w:bookmarkEnd w:id="326"/>
      <w:r w:rsidRPr="00C30671">
        <w:rPr>
          <w:b w:val="0"/>
          <w:szCs w:val="22"/>
          <w:lang w:val="af-ZA" w:eastAsia="en-US"/>
        </w:rPr>
        <w:t xml:space="preserve">: </w:t>
      </w:r>
    </w:p>
    <w:p w14:paraId="6C230E33" w14:textId="77777777" w:rsidR="00C30671" w:rsidRPr="00C30671" w:rsidRDefault="00C30671" w:rsidP="00AC1E1E">
      <w:pPr>
        <w:tabs>
          <w:tab w:val="left" w:pos="284"/>
        </w:tabs>
        <w:rPr>
          <w:b w:val="0"/>
          <w:szCs w:val="22"/>
          <w:lang w:val="af-ZA" w:eastAsia="en-US"/>
        </w:rPr>
      </w:pPr>
      <w:r w:rsidRPr="00C30671">
        <w:rPr>
          <w:b w:val="0"/>
          <w:szCs w:val="22"/>
          <w:lang w:val="af-ZA" w:eastAsia="en-US"/>
        </w:rPr>
        <w:t>ԳՀՀ նպատակն է գյուղատնտեսության կառուցվածքի, առկա ներուժի և դրա օգտագործման վերաբերյալ պահն արտացոլող տեղեկատվության հավաքումը, մշակումը և տարածումը՝ հանրապետության, մարզային և համայնքային կտրվածքով, ինչպես նաև առկա անհատական (գյուղացիական) տնային տնտեսությունների վիճակագրական ռեգիստրի արդիականացումն ու միջազգային վիճակագրական տվյալների հետ համադրելիության ապահովումը:</w:t>
      </w:r>
    </w:p>
    <w:p w14:paraId="17E49E09" w14:textId="77777777" w:rsidR="00C30671" w:rsidRDefault="00C30671" w:rsidP="00AC1E1E">
      <w:pPr>
        <w:tabs>
          <w:tab w:val="left" w:pos="284"/>
        </w:tabs>
        <w:rPr>
          <w:b w:val="0"/>
          <w:szCs w:val="22"/>
          <w:lang w:val="af-ZA" w:eastAsia="en-US"/>
        </w:rPr>
      </w:pPr>
      <w:r w:rsidRPr="00C30671">
        <w:rPr>
          <w:b w:val="0"/>
          <w:szCs w:val="22"/>
          <w:lang w:val="af-ZA" w:eastAsia="en-US"/>
        </w:rPr>
        <w:t xml:space="preserve">ԳՀՀ անցկացման արդյունքում. </w:t>
      </w:r>
    </w:p>
    <w:p w14:paraId="388F7B23" w14:textId="77777777" w:rsidR="00C9433A" w:rsidRPr="00097368" w:rsidRDefault="00C30671"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կհավաքվի տեղեկատվություն գյուղատնտեսության կառուցվածքի` գյուղատնտեսական նշանակության հողերի, գյուղատնտեսական կենդանիների գլխաքանակի, գյուղատնտեսական տեխնիկայի, գյուղատնտեսական նշանակության շինությունների, առկա ներուժի` մարդկային, նյութական </w:t>
      </w:r>
      <w:r w:rsidR="00C9433A" w:rsidRPr="00097368">
        <w:rPr>
          <w:rFonts w:eastAsia="Calibri" w:cs="Arial"/>
          <w:b w:val="0"/>
          <w:bCs/>
          <w:kern w:val="2"/>
          <w:szCs w:val="22"/>
          <w:lang w:val="hy-AM"/>
          <w14:ligatures w14:val="standardContextual"/>
        </w:rPr>
        <w:t>և դրանց օգտագործման վերաբերյալ,</w:t>
      </w:r>
    </w:p>
    <w:p w14:paraId="7373CC92" w14:textId="77777777" w:rsidR="00C9433A" w:rsidRPr="00097368" w:rsidRDefault="00C30671"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հնարավորություն կընձեռվի արդիականացնել առկա անհատական (գյուղացիական) տնային տնտեսությունների վիճակագրական ռեգիստրը,</w:t>
      </w:r>
    </w:p>
    <w:p w14:paraId="3C7BFB98" w14:textId="77777777" w:rsidR="00C9433A" w:rsidRPr="00097368" w:rsidRDefault="00C30671" w:rsidP="00AC1E1E">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 xml:space="preserve">ձևավորված տեղեկատվական բազան հնարավորություն կընձեռի կատարելագործել ընտրանքային դիտարկման դաշտը, </w:t>
      </w:r>
    </w:p>
    <w:p w14:paraId="7B6FC81D" w14:textId="77777777" w:rsidR="00B33986" w:rsidRDefault="00C30671" w:rsidP="00AC1E1E">
      <w:pPr>
        <w:pStyle w:val="ListParagraph"/>
        <w:numPr>
          <w:ilvl w:val="0"/>
          <w:numId w:val="55"/>
        </w:numPr>
        <w:tabs>
          <w:tab w:val="left" w:pos="284"/>
        </w:tabs>
        <w:suppressAutoHyphens/>
        <w:ind w:left="0" w:firstLine="0"/>
        <w:rPr>
          <w:b w:val="0"/>
          <w:szCs w:val="22"/>
          <w:lang w:val="af-ZA" w:eastAsia="en-US"/>
        </w:rPr>
      </w:pPr>
      <w:r w:rsidRPr="00097368">
        <w:rPr>
          <w:rFonts w:eastAsia="Calibri" w:cs="Arial"/>
          <w:b w:val="0"/>
          <w:bCs/>
          <w:kern w:val="2"/>
          <w:szCs w:val="22"/>
          <w:lang w:val="hy-AM"/>
          <w14:ligatures w14:val="standardContextual"/>
        </w:rPr>
        <w:t>ապահովել</w:t>
      </w:r>
      <w:r w:rsidRPr="00B33986">
        <w:rPr>
          <w:b w:val="0"/>
          <w:szCs w:val="22"/>
          <w:lang w:val="af-ZA" w:eastAsia="en-US"/>
        </w:rPr>
        <w:t xml:space="preserve"> միջազգային վիճակագրական տվյալների հետ համադրելիությունը:</w:t>
      </w:r>
      <w:r w:rsidRPr="00B33986">
        <w:rPr>
          <w:b w:val="0"/>
          <w:szCs w:val="22"/>
          <w:lang w:val="af-ZA" w:eastAsia="en-US"/>
        </w:rPr>
        <w:tab/>
      </w:r>
    </w:p>
    <w:p w14:paraId="0A5CEED5" w14:textId="77777777" w:rsidR="00C30671" w:rsidRPr="00B33986" w:rsidRDefault="00C30671" w:rsidP="00AC1E1E">
      <w:pPr>
        <w:pStyle w:val="ListParagraph"/>
        <w:tabs>
          <w:tab w:val="left" w:pos="284"/>
          <w:tab w:val="left" w:pos="567"/>
        </w:tabs>
        <w:ind w:left="0"/>
        <w:rPr>
          <w:b w:val="0"/>
          <w:szCs w:val="22"/>
          <w:lang w:val="af-ZA" w:eastAsia="en-US"/>
        </w:rPr>
      </w:pPr>
      <w:r w:rsidRPr="00B33986">
        <w:rPr>
          <w:b w:val="0"/>
          <w:szCs w:val="22"/>
          <w:lang w:val="af-ZA" w:eastAsia="en-US"/>
        </w:rPr>
        <w:t>ԳՀՀ</w:t>
      </w:r>
      <w:r w:rsidR="00702D0D">
        <w:rPr>
          <w:b w:val="0"/>
          <w:szCs w:val="22"/>
          <w:lang w:val="af-ZA" w:eastAsia="en-US"/>
        </w:rPr>
        <w:t xml:space="preserve"> </w:t>
      </w:r>
      <w:r w:rsidRPr="00B33986">
        <w:rPr>
          <w:b w:val="0"/>
          <w:szCs w:val="22"/>
          <w:lang w:val="af-ZA" w:eastAsia="en-US"/>
        </w:rPr>
        <w:t>արդյունքում ստացված տեղեկատվական բազան հնարավորություն կընձեռի վիճակագրական տեղեկատվություն օգտագործողների համար ապահովել ոլորտի վերաբերյալ առավել ընդգրկուն և ամբողջական տեղեկատվություն:</w:t>
      </w:r>
    </w:p>
    <w:p w14:paraId="2A43233E" w14:textId="77777777" w:rsidR="00FC7885" w:rsidRPr="007955BB" w:rsidRDefault="00FC7885" w:rsidP="00AC1E1E">
      <w:pPr>
        <w:pStyle w:val="Heading1"/>
      </w:pPr>
      <w:bookmarkStart w:id="327" w:name="_Toc153184513"/>
      <w:r w:rsidRPr="007955BB">
        <w:t>ՀՀ քաղաքաշինության կոմիտե</w:t>
      </w:r>
      <w:bookmarkEnd w:id="322"/>
      <w:bookmarkEnd w:id="327"/>
    </w:p>
    <w:p w14:paraId="6CABCE66" w14:textId="0852883A" w:rsidR="00CA4228" w:rsidRPr="00CA4228" w:rsidRDefault="00CA4228" w:rsidP="00AC1E1E">
      <w:pPr>
        <w:rPr>
          <w:rFonts w:ascii="Times New Roman" w:hAnsi="Times New Roman" w:cs="Calibri"/>
          <w:b w:val="0"/>
          <w:iCs/>
          <w:sz w:val="24"/>
          <w:szCs w:val="22"/>
          <w:lang w:val="hy-AM" w:eastAsia="en-GB"/>
        </w:rPr>
      </w:pPr>
      <w:r w:rsidRPr="00CA4228">
        <w:rPr>
          <w:rFonts w:cs="Calibri"/>
          <w:b w:val="0"/>
          <w:iCs/>
          <w:szCs w:val="22"/>
          <w:lang w:val="hy-AM" w:eastAsia="en-GB"/>
        </w:rPr>
        <w:t>Քաղաքաշինության և ճարտարապետության բնագավառում պետական քաղաքականության իրականացում և կանոնակարգում ծրագրի շրջանակներում 202</w:t>
      </w:r>
      <w:r w:rsidRPr="00CA4228">
        <w:rPr>
          <w:rFonts w:cs="Calibri"/>
          <w:b w:val="0"/>
          <w:iCs/>
          <w:szCs w:val="22"/>
          <w:lang w:val="it-IT" w:eastAsia="en-GB"/>
        </w:rPr>
        <w:t>4</w:t>
      </w:r>
      <w:r w:rsidRPr="00CA4228">
        <w:rPr>
          <w:rFonts w:cs="Calibri"/>
          <w:b w:val="0"/>
          <w:iCs/>
          <w:szCs w:val="22"/>
          <w:lang w:val="hy-AM" w:eastAsia="en-GB"/>
        </w:rPr>
        <w:t xml:space="preserve"> թվականի համար նախատեսվել է շուրջ </w:t>
      </w:r>
      <w:r w:rsidR="00E4306F">
        <w:rPr>
          <w:rFonts w:cs="Calibri"/>
          <w:b w:val="0"/>
          <w:iCs/>
          <w:szCs w:val="22"/>
          <w:lang w:val="it-IT" w:eastAsia="en-GB"/>
        </w:rPr>
        <w:t>5,1</w:t>
      </w:r>
      <w:r w:rsidRPr="00CA4228">
        <w:rPr>
          <w:rFonts w:cs="Calibri"/>
          <w:b w:val="0"/>
          <w:iCs/>
          <w:szCs w:val="22"/>
          <w:lang w:val="it-IT" w:eastAsia="en-GB"/>
        </w:rPr>
        <w:t>2</w:t>
      </w:r>
      <w:r w:rsidR="00E4306F">
        <w:rPr>
          <w:rFonts w:cs="Calibri"/>
          <w:b w:val="0"/>
          <w:iCs/>
          <w:szCs w:val="22"/>
          <w:lang w:val="it-IT" w:eastAsia="en-GB"/>
        </w:rPr>
        <w:t>3.2</w:t>
      </w:r>
      <w:r w:rsidRPr="00CA4228">
        <w:rPr>
          <w:rFonts w:cs="Calibri"/>
          <w:b w:val="0"/>
          <w:iCs/>
          <w:szCs w:val="22"/>
          <w:lang w:val="hy-AM" w:eastAsia="en-GB"/>
        </w:rPr>
        <w:t xml:space="preserve"> մլն դրամ (ներառյալ կառավարման ապարատի պահպանման ծախսերը՝ </w:t>
      </w:r>
      <w:r w:rsidR="00E4306F" w:rsidRPr="00E4306F">
        <w:rPr>
          <w:rFonts w:cs="Calibri"/>
          <w:b w:val="0"/>
          <w:iCs/>
          <w:szCs w:val="22"/>
          <w:lang w:val="hy-AM" w:eastAsia="en-GB"/>
        </w:rPr>
        <w:t xml:space="preserve">շուրջ </w:t>
      </w:r>
      <w:r w:rsidR="0036032C">
        <w:rPr>
          <w:rFonts w:cs="Calibri"/>
          <w:b w:val="0"/>
          <w:iCs/>
          <w:szCs w:val="22"/>
          <w:lang w:val="af-ZA" w:eastAsia="en-GB"/>
        </w:rPr>
        <w:t>1,086.5</w:t>
      </w:r>
      <w:r w:rsidRPr="00CA4228">
        <w:rPr>
          <w:rFonts w:cs="Calibri"/>
          <w:b w:val="0"/>
          <w:iCs/>
          <w:szCs w:val="22"/>
          <w:lang w:val="hy-AM" w:eastAsia="en-GB"/>
        </w:rPr>
        <w:t xml:space="preserve"> մլն դրամ)։ Ծրագրի նպատակն է շարունակել քաղաքաշինական գործունեության պետական կարգավորման միջոց հանդիսացող նորմատիվ փաստաթղթերի մշակումն ու շարունա</w:t>
      </w:r>
      <w:r w:rsidRPr="00CA4228">
        <w:rPr>
          <w:rFonts w:cs="Calibri"/>
          <w:b w:val="0"/>
          <w:iCs/>
          <w:szCs w:val="22"/>
          <w:lang w:val="hy-AM" w:eastAsia="en-GB"/>
        </w:rPr>
        <w:softHyphen/>
        <w:t xml:space="preserve">կական </w:t>
      </w:r>
      <w:r w:rsidRPr="00CA4228">
        <w:rPr>
          <w:rFonts w:cs="Calibri"/>
          <w:b w:val="0"/>
          <w:iCs/>
          <w:szCs w:val="22"/>
          <w:lang w:val="hy-AM" w:eastAsia="en-GB"/>
        </w:rPr>
        <w:lastRenderedPageBreak/>
        <w:t>արդիականացումը, դրանց ներդաշնակեցումը միջազգային նորմերին, տարածք</w:t>
      </w:r>
      <w:r w:rsidRPr="00CA4228">
        <w:rPr>
          <w:rFonts w:cs="Calibri"/>
          <w:b w:val="0"/>
          <w:iCs/>
          <w:szCs w:val="22"/>
          <w:lang w:val="hy-AM" w:eastAsia="en-GB"/>
        </w:rPr>
        <w:softHyphen/>
        <w:t>ների և բնակավայրերի կայուն քաղաքաշինական զարգացումն ու դրան նպաստող համայնքների համակցված տարածական պլանավորման փաստաթղթերի մշակումը: Նշված նպատակին հասնելու համար մշակվելու և տեղայնացվելու են թվով 25 նորմատիվատեխնիկական փաստաթղթեր, իրականացվելու են միկրոռեգիոնալ մակարդակի համակցված տարածական պլանավորման թվով 15 փաստաթղթերի մշակման աշխատանքներ, այդ թվում՝ ՀՀ Լոռու</w:t>
      </w:r>
      <w:r w:rsidR="00AB73B3" w:rsidRPr="004904D5">
        <w:rPr>
          <w:rFonts w:cs="Calibri"/>
          <w:b w:val="0"/>
          <w:iCs/>
          <w:szCs w:val="22"/>
          <w:lang w:val="hy-AM" w:eastAsia="en-GB"/>
        </w:rPr>
        <w:t xml:space="preserve"> </w:t>
      </w:r>
      <w:r w:rsidR="00AB73B3" w:rsidRPr="00CA4228">
        <w:rPr>
          <w:rFonts w:cs="Calibri"/>
          <w:b w:val="0"/>
          <w:iCs/>
          <w:szCs w:val="22"/>
          <w:lang w:val="hy-AM" w:eastAsia="en-GB"/>
        </w:rPr>
        <w:t>մարզի</w:t>
      </w:r>
      <w:r w:rsidRPr="00CA4228">
        <w:rPr>
          <w:rFonts w:cs="Calibri"/>
          <w:b w:val="0"/>
          <w:iCs/>
          <w:szCs w:val="22"/>
          <w:lang w:val="hy-AM" w:eastAsia="en-GB"/>
        </w:rPr>
        <w:t xml:space="preserve"> (մասամբ՝ 4 փաստաթուղթ) և ՀՀ Կոտայքի մարզի (մասամբ՝ 10 փաստաթուղթ) փաստաթղթերը, ՀՀ Տավուշի մարզ (մասնակի` 1 փաստաթուղթ): </w:t>
      </w:r>
    </w:p>
    <w:p w14:paraId="161A06D5" w14:textId="77777777" w:rsidR="00CA4228" w:rsidRPr="00CA4228" w:rsidRDefault="00CA4228" w:rsidP="00AC1E1E">
      <w:pPr>
        <w:rPr>
          <w:rFonts w:cs="Calibri"/>
          <w:b w:val="0"/>
          <w:iCs/>
          <w:szCs w:val="22"/>
          <w:lang w:val="hy-AM" w:eastAsia="en-GB"/>
        </w:rPr>
      </w:pPr>
      <w:r w:rsidRPr="00CA4228">
        <w:rPr>
          <w:rFonts w:cs="Calibri"/>
          <w:b w:val="0"/>
          <w:iCs/>
          <w:szCs w:val="22"/>
          <w:lang w:val="hy-AM" w:eastAsia="en-GB"/>
        </w:rPr>
        <w:t xml:space="preserve">Բացի այդ, կմեկնարկեն ՀՀ Լոռու մարզի Ստեփանավան համայնքի Աշոտաբերդի նոր թաղամասի կառուցապատման աշխատանքները (թվով 24 վթարային փայտյա բազմաբնակարան շենքերի փոխարեն կկառուցվեն թվով 15 եռահարկ բազմաբնակարան շենքեր): </w:t>
      </w:r>
    </w:p>
    <w:p w14:paraId="7F84E2E1" w14:textId="77777777" w:rsidR="00CA4228" w:rsidRPr="00CA4228" w:rsidRDefault="00CA4228" w:rsidP="00AC1E1E">
      <w:pPr>
        <w:rPr>
          <w:rFonts w:cs="Calibri"/>
          <w:b w:val="0"/>
          <w:iCs/>
          <w:szCs w:val="22"/>
          <w:lang w:val="hy-AM" w:eastAsia="en-GB"/>
        </w:rPr>
      </w:pPr>
      <w:r w:rsidRPr="00CA4228">
        <w:rPr>
          <w:rFonts w:cs="Calibri"/>
          <w:b w:val="0"/>
          <w:iCs/>
          <w:szCs w:val="22"/>
          <w:lang w:val="hy-AM" w:eastAsia="en-GB"/>
        </w:rPr>
        <w:t>«Աղետի գոտու բնակավայրերի հողամասերը ոչ հիմնական շինություններից ազատում և քաղաքաշինական միջավայրի վերականգնում» միջոցառման շրջանակներում նախատեսվում է իրականացնել ոչ հիմնական շինությունների քանդման՝ տարածքների քաղաքաշինական միջավայրի վերականգնման,  այդ շինություններում բնակվող ընտանիքների վերաբնակեցման, նրանց կարգավիճակից ելնելով աջակցության ցուցաբերում:</w:t>
      </w:r>
    </w:p>
    <w:p w14:paraId="2800D936" w14:textId="77777777" w:rsidR="00CA4228" w:rsidRPr="008245E1" w:rsidRDefault="00CA4228" w:rsidP="00AC1E1E">
      <w:pPr>
        <w:pStyle w:val="ListParagraph"/>
        <w:tabs>
          <w:tab w:val="left" w:pos="-5670"/>
          <w:tab w:val="left" w:pos="567"/>
        </w:tabs>
        <w:autoSpaceDE w:val="0"/>
        <w:autoSpaceDN w:val="0"/>
        <w:adjustRightInd w:val="0"/>
        <w:ind w:left="0"/>
        <w:rPr>
          <w:rFonts w:cs="Calibri"/>
          <w:b w:val="0"/>
          <w:iCs/>
          <w:szCs w:val="22"/>
          <w:lang w:val="hy-AM" w:eastAsia="en-GB"/>
        </w:rPr>
      </w:pPr>
      <w:r w:rsidRPr="00CA4228">
        <w:rPr>
          <w:rFonts w:cs="Calibri"/>
          <w:b w:val="0"/>
          <w:iCs/>
          <w:szCs w:val="22"/>
          <w:lang w:val="hy-AM" w:eastAsia="en-GB"/>
        </w:rPr>
        <w:t>Միևնույն ժամանակ, ծրագրի շրջանակներում նախատեսվում է ապահովել կարևորագույն նշանակության շենքերի և շինությունների անվտանգ և մատչելի շահագործումը: Մասնավորապես կապահովի հաշմանդամություն ունեցող անձանց համար  շահագործման մատչելիության և հուսալիության, ինչպես նաև անվտանգության տեսանկյունից դիտարկվող  երկրաշարժադիմաց</w:t>
      </w:r>
      <w:r w:rsidRPr="00CA4228">
        <w:rPr>
          <w:rFonts w:cs="Calibri"/>
          <w:b w:val="0"/>
          <w:iCs/>
          <w:szCs w:val="22"/>
          <w:lang w:val="hy-AM" w:eastAsia="en-GB"/>
        </w:rPr>
        <w:softHyphen/>
        <w:t>կունության և քաղաքացիական պաշտպանության կանխարգելիչ միջոցառումների համատեղ իրականացումը: Այդ նպատակի ապահովումն ակնկալվում է ռազմավարական մի շարք փաստաթղթերով նախանշված ծրագրերի իրագործմամբ, որը կունենա շարունակական բնույթ: Նպատակային թիրախներն են Երևան քաղաքում և ՀՀ մարզերում տեղակայված  կարևորագույն նշանակության այն օբյեկտները, որոնք առավել օգտագործելի կամ շահագործելի են հանրության կողմից: 2024 թվականի ընթացքում նշված ուղղությամբ նախատեսվում է իրականացնել Երևան քաղաքի և ՀՀ մարզերի թվով 25 կարևորագույն նշանակության շենքերի (վարչական) տեխնիկական վիճակի հետազննության եզրակացու</w:t>
      </w:r>
      <w:r w:rsidRPr="00CA4228">
        <w:rPr>
          <w:rFonts w:cs="Calibri"/>
          <w:b w:val="0"/>
          <w:iCs/>
          <w:szCs w:val="22"/>
          <w:lang w:val="hy-AM" w:eastAsia="en-GB"/>
        </w:rPr>
        <w:softHyphen/>
        <w:t>թյունների և շենքերի անձնագրերի ձեռքբերում։</w:t>
      </w:r>
    </w:p>
    <w:p w14:paraId="4399AFAE" w14:textId="77777777" w:rsidR="00AD03E5" w:rsidRDefault="005A7E7A" w:rsidP="00AC1E1E">
      <w:pPr>
        <w:pStyle w:val="Heading1"/>
      </w:pPr>
      <w:bookmarkStart w:id="328" w:name="_Toc153184514"/>
      <w:r w:rsidRPr="007955BB">
        <w:t xml:space="preserve">Հանրային </w:t>
      </w:r>
      <w:r w:rsidR="00C6276C" w:rsidRPr="007955BB">
        <w:t>հեռարձակողի</w:t>
      </w:r>
      <w:r w:rsidR="00AD03E5" w:rsidRPr="007955BB">
        <w:t xml:space="preserve"> խորհուրդ</w:t>
      </w:r>
      <w:bookmarkEnd w:id="328"/>
    </w:p>
    <w:p w14:paraId="79F56F7D" w14:textId="77777777" w:rsidR="00702D0D" w:rsidRPr="00702D0D" w:rsidRDefault="00702D0D" w:rsidP="00AC1E1E">
      <w:pPr>
        <w:numPr>
          <w:ilvl w:val="12"/>
          <w:numId w:val="0"/>
        </w:numPr>
        <w:tabs>
          <w:tab w:val="left" w:pos="851"/>
        </w:tabs>
        <w:rPr>
          <w:b w:val="0"/>
          <w:noProof/>
          <w:szCs w:val="22"/>
          <w:lang w:val="af-ZA"/>
        </w:rPr>
      </w:pPr>
      <w:r w:rsidRPr="00702D0D">
        <w:rPr>
          <w:b w:val="0"/>
          <w:color w:val="000000"/>
          <w:szCs w:val="22"/>
          <w:lang w:val="hy-AM" w:eastAsia="en-US"/>
        </w:rPr>
        <w:t>ՀՀ 2024 թվականի</w:t>
      </w:r>
      <w:r w:rsidRPr="004904D5">
        <w:rPr>
          <w:b w:val="0"/>
          <w:color w:val="000000"/>
          <w:szCs w:val="22"/>
          <w:lang w:val="hy-AM" w:eastAsia="en-US"/>
        </w:rPr>
        <w:t>ն</w:t>
      </w:r>
      <w:r w:rsidRPr="00702D0D">
        <w:rPr>
          <w:b w:val="0"/>
          <w:color w:val="000000"/>
          <w:szCs w:val="22"/>
          <w:lang w:val="hy-AM" w:eastAsia="en-US"/>
        </w:rPr>
        <w:t xml:space="preserve"> Հանրային հեռարձակողի խորհրդին նախատեսվում է հատկացնել 8,005.0 մլն դրամ </w:t>
      </w:r>
      <w:r w:rsidRPr="00702D0D">
        <w:rPr>
          <w:rFonts w:cs="Calibri"/>
          <w:b w:val="0"/>
          <w:iCs/>
          <w:szCs w:val="22"/>
          <w:lang w:val="hy-AM" w:eastAsia="en-GB"/>
        </w:rPr>
        <w:t>(ներառյալ կառավարման ապարատի պահպանման ծախսերը)</w:t>
      </w:r>
      <w:r w:rsidRPr="00702D0D">
        <w:rPr>
          <w:b w:val="0"/>
          <w:noProof/>
          <w:szCs w:val="22"/>
          <w:lang w:val="af-ZA"/>
        </w:rPr>
        <w:t>:</w:t>
      </w:r>
    </w:p>
    <w:p w14:paraId="57C300F9" w14:textId="77777777" w:rsidR="00702D0D" w:rsidRPr="00702D0D" w:rsidRDefault="00702D0D" w:rsidP="00AC1E1E">
      <w:pPr>
        <w:numPr>
          <w:ilvl w:val="12"/>
          <w:numId w:val="0"/>
        </w:numPr>
        <w:tabs>
          <w:tab w:val="left" w:pos="851"/>
        </w:tabs>
        <w:rPr>
          <w:b w:val="0"/>
          <w:noProof/>
          <w:color w:val="FF0000"/>
          <w:szCs w:val="22"/>
          <w:lang w:val="af-ZA"/>
        </w:rPr>
      </w:pPr>
      <w:r w:rsidRPr="00702D0D">
        <w:rPr>
          <w:b w:val="0"/>
          <w:noProof/>
          <w:szCs w:val="22"/>
          <w:lang w:val="hy-AM"/>
        </w:rPr>
        <w:t>Հանրային հեռարձակողի խորհուրդ</w:t>
      </w:r>
      <w:r w:rsidRPr="00702D0D">
        <w:rPr>
          <w:b w:val="0"/>
          <w:noProof/>
          <w:szCs w:val="22"/>
          <w:lang w:val="en-US"/>
        </w:rPr>
        <w:t>ի</w:t>
      </w:r>
      <w:r w:rsidRPr="00702D0D">
        <w:rPr>
          <w:b w:val="0"/>
          <w:noProof/>
          <w:szCs w:val="22"/>
          <w:lang w:val="af-ZA"/>
        </w:rPr>
        <w:t xml:space="preserve"> </w:t>
      </w:r>
      <w:r w:rsidRPr="00702D0D">
        <w:rPr>
          <w:b w:val="0"/>
          <w:noProof/>
          <w:szCs w:val="22"/>
          <w:lang w:val="en-US"/>
        </w:rPr>
        <w:t>կողմից</w:t>
      </w:r>
      <w:r w:rsidRPr="00702D0D">
        <w:rPr>
          <w:b w:val="0"/>
          <w:noProof/>
          <w:szCs w:val="22"/>
          <w:lang w:val="af-ZA"/>
        </w:rPr>
        <w:t xml:space="preserve"> </w:t>
      </w:r>
      <w:r w:rsidRPr="00702D0D">
        <w:rPr>
          <w:b w:val="0"/>
          <w:noProof/>
          <w:szCs w:val="22"/>
          <w:lang w:val="en-US"/>
        </w:rPr>
        <w:t>իրականացվող</w:t>
      </w:r>
      <w:r w:rsidRPr="00702D0D">
        <w:rPr>
          <w:b w:val="0"/>
          <w:noProof/>
          <w:szCs w:val="22"/>
          <w:lang w:val="af-ZA"/>
        </w:rPr>
        <w:t xml:space="preserve"> </w:t>
      </w:r>
      <w:r w:rsidRPr="00702D0D">
        <w:rPr>
          <w:noProof/>
          <w:szCs w:val="22"/>
          <w:lang w:val="hy-AM"/>
        </w:rPr>
        <w:t>Ռադիո</w:t>
      </w:r>
      <w:r w:rsidRPr="00702D0D">
        <w:rPr>
          <w:noProof/>
          <w:szCs w:val="22"/>
          <w:lang w:val="af-ZA"/>
        </w:rPr>
        <w:t xml:space="preserve"> </w:t>
      </w:r>
      <w:r w:rsidRPr="00702D0D">
        <w:rPr>
          <w:noProof/>
          <w:szCs w:val="22"/>
          <w:lang w:val="hy-AM"/>
        </w:rPr>
        <w:t>և</w:t>
      </w:r>
      <w:r w:rsidRPr="00702D0D">
        <w:rPr>
          <w:noProof/>
          <w:szCs w:val="22"/>
          <w:lang w:val="af-ZA"/>
        </w:rPr>
        <w:t xml:space="preserve"> </w:t>
      </w:r>
      <w:r w:rsidRPr="00702D0D">
        <w:rPr>
          <w:noProof/>
          <w:szCs w:val="22"/>
          <w:lang w:val="hy-AM"/>
        </w:rPr>
        <w:t>հեռուստահաղորդումների</w:t>
      </w:r>
      <w:r w:rsidRPr="00702D0D">
        <w:rPr>
          <w:noProof/>
          <w:szCs w:val="22"/>
          <w:lang w:val="af-ZA"/>
        </w:rPr>
        <w:t xml:space="preserve"> </w:t>
      </w:r>
      <w:r w:rsidRPr="00702D0D">
        <w:rPr>
          <w:noProof/>
          <w:szCs w:val="22"/>
          <w:lang w:val="hy-AM"/>
        </w:rPr>
        <w:t>հեռարձակում</w:t>
      </w:r>
      <w:r w:rsidRPr="00702D0D">
        <w:rPr>
          <w:noProof/>
          <w:szCs w:val="22"/>
          <w:lang w:val="af-ZA"/>
        </w:rPr>
        <w:t xml:space="preserve"> </w:t>
      </w:r>
      <w:r w:rsidRPr="00702D0D">
        <w:rPr>
          <w:b w:val="0"/>
          <w:noProof/>
          <w:szCs w:val="22"/>
          <w:lang w:val="hy-AM"/>
        </w:rPr>
        <w:t>ծրագրի նպատակն</w:t>
      </w:r>
      <w:r w:rsidRPr="00702D0D">
        <w:rPr>
          <w:b w:val="0"/>
          <w:noProof/>
          <w:szCs w:val="22"/>
          <w:lang w:val="af-ZA"/>
        </w:rPr>
        <w:t xml:space="preserve"> </w:t>
      </w:r>
      <w:r w:rsidRPr="00702D0D">
        <w:rPr>
          <w:b w:val="0"/>
          <w:noProof/>
          <w:szCs w:val="22"/>
          <w:lang w:val="hy-AM"/>
        </w:rPr>
        <w:t>է</w:t>
      </w:r>
      <w:r w:rsidRPr="00702D0D">
        <w:rPr>
          <w:b w:val="0"/>
          <w:noProof/>
          <w:szCs w:val="22"/>
          <w:lang w:val="af-ZA"/>
        </w:rPr>
        <w:t xml:space="preserve"> </w:t>
      </w:r>
      <w:r w:rsidRPr="00702D0D">
        <w:rPr>
          <w:b w:val="0"/>
          <w:noProof/>
          <w:szCs w:val="22"/>
          <w:lang w:val="hy-AM"/>
        </w:rPr>
        <w:t>ապահովել</w:t>
      </w:r>
      <w:r w:rsidRPr="00702D0D">
        <w:rPr>
          <w:b w:val="0"/>
          <w:noProof/>
          <w:szCs w:val="22"/>
          <w:lang w:val="af-ZA"/>
        </w:rPr>
        <w:t xml:space="preserve"> </w:t>
      </w:r>
      <w:r w:rsidRPr="00702D0D">
        <w:rPr>
          <w:b w:val="0"/>
          <w:noProof/>
          <w:szCs w:val="22"/>
          <w:lang w:val="hy-AM"/>
        </w:rPr>
        <w:t>բազմազան</w:t>
      </w:r>
      <w:r w:rsidRPr="00702D0D">
        <w:rPr>
          <w:b w:val="0"/>
          <w:noProof/>
          <w:szCs w:val="22"/>
          <w:lang w:val="af-ZA"/>
        </w:rPr>
        <w:t xml:space="preserve"> </w:t>
      </w:r>
      <w:r w:rsidRPr="00702D0D">
        <w:rPr>
          <w:b w:val="0"/>
          <w:noProof/>
          <w:szCs w:val="22"/>
          <w:lang w:val="hy-AM"/>
        </w:rPr>
        <w:t>տեղեկատվական</w:t>
      </w:r>
      <w:r w:rsidRPr="00702D0D">
        <w:rPr>
          <w:b w:val="0"/>
          <w:noProof/>
          <w:szCs w:val="22"/>
          <w:lang w:val="af-ZA"/>
        </w:rPr>
        <w:t xml:space="preserve">, </w:t>
      </w:r>
      <w:r w:rsidRPr="00702D0D">
        <w:rPr>
          <w:b w:val="0"/>
          <w:noProof/>
          <w:szCs w:val="22"/>
          <w:lang w:val="hy-AM"/>
        </w:rPr>
        <w:t>ճանաչողական</w:t>
      </w:r>
      <w:r w:rsidRPr="00702D0D">
        <w:rPr>
          <w:b w:val="0"/>
          <w:noProof/>
          <w:szCs w:val="22"/>
          <w:lang w:val="af-ZA"/>
        </w:rPr>
        <w:t xml:space="preserve">, </w:t>
      </w:r>
      <w:r w:rsidRPr="00702D0D">
        <w:rPr>
          <w:b w:val="0"/>
          <w:noProof/>
          <w:szCs w:val="22"/>
          <w:lang w:val="hy-AM"/>
        </w:rPr>
        <w:t>կրթական</w:t>
      </w:r>
      <w:r w:rsidRPr="00702D0D">
        <w:rPr>
          <w:b w:val="0"/>
          <w:noProof/>
          <w:szCs w:val="22"/>
          <w:lang w:val="af-ZA"/>
        </w:rPr>
        <w:t xml:space="preserve">, </w:t>
      </w:r>
      <w:r w:rsidRPr="00702D0D">
        <w:rPr>
          <w:b w:val="0"/>
          <w:noProof/>
          <w:szCs w:val="22"/>
          <w:lang w:val="hy-AM"/>
        </w:rPr>
        <w:t>ժամանցային</w:t>
      </w:r>
      <w:r w:rsidRPr="00702D0D">
        <w:rPr>
          <w:b w:val="0"/>
          <w:noProof/>
          <w:szCs w:val="22"/>
          <w:lang w:val="af-ZA"/>
        </w:rPr>
        <w:t xml:space="preserve"> </w:t>
      </w:r>
      <w:r w:rsidRPr="00702D0D">
        <w:rPr>
          <w:b w:val="0"/>
          <w:noProof/>
          <w:szCs w:val="22"/>
          <w:lang w:val="hy-AM"/>
        </w:rPr>
        <w:t>հեռուստատեսային և ռադիո հաղորդումների արտադրությունը և հեռարձակումը</w:t>
      </w:r>
      <w:r w:rsidRPr="00702D0D">
        <w:rPr>
          <w:b w:val="0"/>
          <w:noProof/>
          <w:szCs w:val="22"/>
          <w:lang w:val="af-ZA"/>
        </w:rPr>
        <w:t>:</w:t>
      </w:r>
    </w:p>
    <w:p w14:paraId="6F094651" w14:textId="77777777" w:rsidR="00702D0D" w:rsidRPr="00702D0D" w:rsidRDefault="00702D0D" w:rsidP="00AC1E1E">
      <w:pPr>
        <w:numPr>
          <w:ilvl w:val="12"/>
          <w:numId w:val="0"/>
        </w:numPr>
        <w:tabs>
          <w:tab w:val="left" w:pos="851"/>
        </w:tabs>
        <w:rPr>
          <w:b w:val="0"/>
          <w:noProof/>
          <w:szCs w:val="22"/>
          <w:lang w:val="hy-AM"/>
        </w:rPr>
      </w:pPr>
      <w:r w:rsidRPr="00702D0D">
        <w:rPr>
          <w:b w:val="0"/>
          <w:color w:val="000000"/>
          <w:szCs w:val="22"/>
          <w:lang w:val="en-US" w:eastAsia="en-US"/>
        </w:rPr>
        <w:lastRenderedPageBreak/>
        <w:t>Ծրագրի</w:t>
      </w:r>
      <w:r w:rsidRPr="00702D0D">
        <w:rPr>
          <w:b w:val="0"/>
          <w:color w:val="000000"/>
          <w:szCs w:val="22"/>
          <w:lang w:val="af-ZA" w:eastAsia="en-US"/>
        </w:rPr>
        <w:t xml:space="preserve"> </w:t>
      </w:r>
      <w:r w:rsidRPr="00702D0D">
        <w:rPr>
          <w:b w:val="0"/>
          <w:color w:val="000000"/>
          <w:szCs w:val="22"/>
          <w:lang w:val="en-US" w:eastAsia="en-US"/>
        </w:rPr>
        <w:t>շրջանակներում</w:t>
      </w:r>
      <w:r w:rsidRPr="00702D0D">
        <w:rPr>
          <w:b w:val="0"/>
          <w:color w:val="000000"/>
          <w:szCs w:val="22"/>
          <w:lang w:val="af-ZA" w:eastAsia="en-US"/>
        </w:rPr>
        <w:t xml:space="preserve"> </w:t>
      </w:r>
      <w:r w:rsidRPr="00702D0D">
        <w:rPr>
          <w:b w:val="0"/>
          <w:color w:val="000000"/>
          <w:szCs w:val="22"/>
          <w:lang w:val="en-US" w:eastAsia="en-US"/>
        </w:rPr>
        <w:t>նախատեսվում</w:t>
      </w:r>
      <w:r w:rsidRPr="00702D0D">
        <w:rPr>
          <w:b w:val="0"/>
          <w:color w:val="000000"/>
          <w:szCs w:val="22"/>
          <w:lang w:val="af-ZA" w:eastAsia="en-US"/>
        </w:rPr>
        <w:t xml:space="preserve"> </w:t>
      </w:r>
      <w:r w:rsidRPr="00702D0D">
        <w:rPr>
          <w:b w:val="0"/>
          <w:color w:val="000000"/>
          <w:szCs w:val="22"/>
          <w:lang w:val="en-US" w:eastAsia="en-US"/>
        </w:rPr>
        <w:t>է</w:t>
      </w:r>
      <w:r w:rsidRPr="00702D0D">
        <w:rPr>
          <w:b w:val="0"/>
          <w:color w:val="000000"/>
          <w:szCs w:val="22"/>
          <w:lang w:val="af-ZA" w:eastAsia="en-US"/>
        </w:rPr>
        <w:t xml:space="preserve"> </w:t>
      </w:r>
      <w:r w:rsidRPr="00702D0D">
        <w:rPr>
          <w:b w:val="0"/>
          <w:color w:val="000000"/>
          <w:szCs w:val="22"/>
          <w:lang w:val="en-US" w:eastAsia="en-US"/>
        </w:rPr>
        <w:t>ապահովել</w:t>
      </w:r>
      <w:r w:rsidRPr="00702D0D">
        <w:rPr>
          <w:b w:val="0"/>
          <w:color w:val="000000"/>
          <w:szCs w:val="22"/>
          <w:lang w:val="af-ZA" w:eastAsia="en-US"/>
        </w:rPr>
        <w:t xml:space="preserve"> </w:t>
      </w:r>
      <w:r w:rsidRPr="00702D0D">
        <w:rPr>
          <w:b w:val="0"/>
          <w:color w:val="000000"/>
          <w:szCs w:val="22"/>
          <w:lang w:val="en-US" w:eastAsia="en-US"/>
        </w:rPr>
        <w:t>Հանրային</w:t>
      </w:r>
      <w:r w:rsidRPr="00702D0D">
        <w:rPr>
          <w:b w:val="0"/>
          <w:color w:val="000000"/>
          <w:szCs w:val="22"/>
          <w:lang w:val="af-ZA" w:eastAsia="en-US"/>
        </w:rPr>
        <w:t xml:space="preserve"> </w:t>
      </w:r>
      <w:r w:rsidRPr="00702D0D">
        <w:rPr>
          <w:b w:val="0"/>
          <w:color w:val="000000"/>
          <w:szCs w:val="22"/>
          <w:lang w:val="en-US" w:eastAsia="en-US"/>
        </w:rPr>
        <w:t>հեռուստաընկերության</w:t>
      </w:r>
      <w:r w:rsidRPr="00702D0D">
        <w:rPr>
          <w:b w:val="0"/>
          <w:color w:val="000000"/>
          <w:szCs w:val="22"/>
          <w:lang w:val="af-ZA" w:eastAsia="en-US"/>
        </w:rPr>
        <w:t xml:space="preserve"> </w:t>
      </w:r>
      <w:r w:rsidRPr="00702D0D">
        <w:rPr>
          <w:b w:val="0"/>
          <w:color w:val="000000"/>
          <w:szCs w:val="22"/>
          <w:lang w:val="en-US" w:eastAsia="en-US"/>
        </w:rPr>
        <w:t>առաջին</w:t>
      </w:r>
      <w:r w:rsidRPr="00702D0D">
        <w:rPr>
          <w:b w:val="0"/>
          <w:color w:val="000000"/>
          <w:szCs w:val="22"/>
          <w:lang w:val="af-ZA" w:eastAsia="en-US"/>
        </w:rPr>
        <w:t xml:space="preserve"> </w:t>
      </w:r>
      <w:r w:rsidRPr="00702D0D">
        <w:rPr>
          <w:b w:val="0"/>
          <w:color w:val="000000"/>
          <w:szCs w:val="22"/>
          <w:lang w:val="en-US" w:eastAsia="en-US"/>
        </w:rPr>
        <w:t>ալիքի</w:t>
      </w:r>
      <w:r w:rsidRPr="00702D0D">
        <w:rPr>
          <w:b w:val="0"/>
          <w:color w:val="000000"/>
          <w:szCs w:val="22"/>
          <w:lang w:val="af-ZA" w:eastAsia="en-US"/>
        </w:rPr>
        <w:t xml:space="preserve"> </w:t>
      </w:r>
      <w:r w:rsidRPr="00702D0D">
        <w:rPr>
          <w:b w:val="0"/>
          <w:color w:val="000000"/>
          <w:szCs w:val="22"/>
          <w:lang w:val="en-US" w:eastAsia="en-US"/>
        </w:rPr>
        <w:t>եթերում՝</w:t>
      </w:r>
      <w:r w:rsidRPr="00702D0D">
        <w:rPr>
          <w:b w:val="0"/>
          <w:color w:val="000000"/>
          <w:szCs w:val="22"/>
          <w:lang w:val="af-ZA" w:eastAsia="en-US"/>
        </w:rPr>
        <w:t xml:space="preserve"> 3030 </w:t>
      </w:r>
      <w:r w:rsidRPr="00702D0D">
        <w:rPr>
          <w:b w:val="0"/>
          <w:color w:val="000000"/>
          <w:szCs w:val="22"/>
          <w:lang w:val="en-US" w:eastAsia="en-US"/>
        </w:rPr>
        <w:t>ժամ</w:t>
      </w:r>
      <w:r w:rsidRPr="00702D0D">
        <w:rPr>
          <w:b w:val="0"/>
          <w:color w:val="000000"/>
          <w:szCs w:val="22"/>
          <w:lang w:val="af-ZA" w:eastAsia="en-US"/>
        </w:rPr>
        <w:t xml:space="preserve">, </w:t>
      </w:r>
      <w:r w:rsidRPr="00702D0D">
        <w:rPr>
          <w:b w:val="0"/>
          <w:color w:val="000000"/>
          <w:szCs w:val="22"/>
          <w:lang w:val="en-US" w:eastAsia="en-US"/>
        </w:rPr>
        <w:t>Հանրային</w:t>
      </w:r>
      <w:r w:rsidRPr="00702D0D">
        <w:rPr>
          <w:b w:val="0"/>
          <w:color w:val="000000"/>
          <w:szCs w:val="22"/>
          <w:lang w:val="af-ZA" w:eastAsia="en-US"/>
        </w:rPr>
        <w:t xml:space="preserve"> </w:t>
      </w:r>
      <w:r w:rsidRPr="00702D0D">
        <w:rPr>
          <w:b w:val="0"/>
          <w:color w:val="000000"/>
          <w:szCs w:val="22"/>
          <w:lang w:val="en-US" w:eastAsia="en-US"/>
        </w:rPr>
        <w:t>ռադիոընկերության</w:t>
      </w:r>
      <w:r w:rsidRPr="00702D0D">
        <w:rPr>
          <w:b w:val="0"/>
          <w:color w:val="000000"/>
          <w:szCs w:val="22"/>
          <w:lang w:val="af-ZA" w:eastAsia="en-US"/>
        </w:rPr>
        <w:t xml:space="preserve"> </w:t>
      </w:r>
      <w:r w:rsidRPr="00702D0D">
        <w:rPr>
          <w:b w:val="0"/>
          <w:color w:val="000000"/>
          <w:szCs w:val="22"/>
          <w:lang w:val="en-US" w:eastAsia="en-US"/>
        </w:rPr>
        <w:t>Առաջին</w:t>
      </w:r>
      <w:r w:rsidRPr="00702D0D">
        <w:rPr>
          <w:b w:val="0"/>
          <w:color w:val="000000"/>
          <w:szCs w:val="22"/>
          <w:lang w:val="af-ZA" w:eastAsia="en-US"/>
        </w:rPr>
        <w:t xml:space="preserve"> </w:t>
      </w:r>
      <w:r w:rsidRPr="00702D0D">
        <w:rPr>
          <w:b w:val="0"/>
          <w:color w:val="000000"/>
          <w:szCs w:val="22"/>
          <w:lang w:val="en-US" w:eastAsia="en-US"/>
        </w:rPr>
        <w:t>ծրագրերի</w:t>
      </w:r>
      <w:r w:rsidRPr="00702D0D">
        <w:rPr>
          <w:b w:val="0"/>
          <w:color w:val="000000"/>
          <w:szCs w:val="22"/>
          <w:lang w:val="af-ZA" w:eastAsia="en-US"/>
        </w:rPr>
        <w:t xml:space="preserve"> </w:t>
      </w:r>
      <w:r w:rsidRPr="00702D0D">
        <w:rPr>
          <w:b w:val="0"/>
          <w:color w:val="000000"/>
          <w:szCs w:val="22"/>
          <w:lang w:val="en-US" w:eastAsia="en-US"/>
        </w:rPr>
        <w:t>եթերում՝</w:t>
      </w:r>
      <w:r w:rsidRPr="00702D0D">
        <w:rPr>
          <w:b w:val="0"/>
          <w:color w:val="000000"/>
          <w:szCs w:val="22"/>
          <w:lang w:val="af-ZA" w:eastAsia="en-US"/>
        </w:rPr>
        <w:t xml:space="preserve"> 4205 </w:t>
      </w:r>
      <w:r w:rsidRPr="00702D0D">
        <w:rPr>
          <w:b w:val="0"/>
          <w:color w:val="000000"/>
          <w:szCs w:val="22"/>
          <w:lang w:val="en-US" w:eastAsia="en-US"/>
        </w:rPr>
        <w:t>ժամ</w:t>
      </w:r>
      <w:r w:rsidRPr="00702D0D">
        <w:rPr>
          <w:b w:val="0"/>
          <w:color w:val="000000"/>
          <w:szCs w:val="22"/>
          <w:lang w:val="af-ZA" w:eastAsia="en-US"/>
        </w:rPr>
        <w:t xml:space="preserve"> </w:t>
      </w:r>
      <w:r w:rsidRPr="00702D0D">
        <w:rPr>
          <w:b w:val="0"/>
          <w:color w:val="000000"/>
          <w:szCs w:val="22"/>
          <w:lang w:val="en-US" w:eastAsia="en-US"/>
        </w:rPr>
        <w:t>օրիգինալ</w:t>
      </w:r>
      <w:r w:rsidRPr="00702D0D">
        <w:rPr>
          <w:b w:val="0"/>
          <w:color w:val="000000"/>
          <w:szCs w:val="22"/>
          <w:lang w:val="af-ZA" w:eastAsia="en-US"/>
        </w:rPr>
        <w:t xml:space="preserve"> (</w:t>
      </w:r>
      <w:r w:rsidRPr="00702D0D">
        <w:rPr>
          <w:b w:val="0"/>
          <w:color w:val="000000"/>
          <w:szCs w:val="22"/>
          <w:lang w:val="hy-AM" w:eastAsia="en-US"/>
        </w:rPr>
        <w:t>նոր</w:t>
      </w:r>
      <w:r w:rsidRPr="00702D0D">
        <w:rPr>
          <w:b w:val="0"/>
          <w:color w:val="000000"/>
          <w:szCs w:val="22"/>
          <w:lang w:val="af-ZA" w:eastAsia="en-US"/>
        </w:rPr>
        <w:t>)</w:t>
      </w:r>
      <w:r w:rsidRPr="00702D0D">
        <w:rPr>
          <w:b w:val="0"/>
          <w:color w:val="000000"/>
          <w:szCs w:val="22"/>
          <w:lang w:val="hy-AM" w:eastAsia="en-US"/>
        </w:rPr>
        <w:t xml:space="preserve"> հաղորդումների հեռարձակում, Հանրային հեռուստաընկերության եթերում 55 բազմազան հաղորդաշարերի պատրաստում և հեռարձակում:</w:t>
      </w:r>
    </w:p>
    <w:p w14:paraId="51DB86EA" w14:textId="77777777" w:rsidR="002D26D0" w:rsidRDefault="002D26D0" w:rsidP="00AC1E1E">
      <w:pPr>
        <w:rPr>
          <w:rFonts w:eastAsiaTheme="majorEastAsia" w:cstheme="majorBidi"/>
          <w:bCs/>
          <w:color w:val="1F497D" w:themeColor="text2"/>
          <w:sz w:val="24"/>
          <w:lang w:val="hy-AM" w:eastAsia="en-US"/>
        </w:rPr>
      </w:pPr>
      <w:r w:rsidRPr="008245E1">
        <w:rPr>
          <w:lang w:val="af-ZA"/>
        </w:rPr>
        <w:br w:type="page"/>
      </w:r>
    </w:p>
    <w:p w14:paraId="6DD391A7" w14:textId="77777777" w:rsidR="00DE47A7" w:rsidRDefault="00DE47A7" w:rsidP="0009272D">
      <w:pPr>
        <w:pStyle w:val="Heading1"/>
      </w:pPr>
      <w:bookmarkStart w:id="329" w:name="_Toc153184515"/>
      <w:r w:rsidRPr="00290696">
        <w:lastRenderedPageBreak/>
        <w:t>ՎԵՐԼՈՒԾՈՒԹՅՈՒՆՆԵՐ</w:t>
      </w:r>
      <w:bookmarkEnd w:id="329"/>
    </w:p>
    <w:p w14:paraId="68879AEB" w14:textId="77777777" w:rsidR="00E81B58" w:rsidRPr="007955BB" w:rsidRDefault="003342DF" w:rsidP="0009272D">
      <w:pPr>
        <w:pStyle w:val="Heading1"/>
      </w:pPr>
      <w:bookmarkStart w:id="330" w:name="_Toc153184516"/>
      <w:r w:rsidRPr="007955BB">
        <w:t xml:space="preserve">1. </w:t>
      </w:r>
      <w:r w:rsidR="00E81B58" w:rsidRPr="007955BB">
        <w:t>ՀԱՅԱՍՏԱՆԻ ՀԱՆՐԱՊԵՏՈՒԹՅԱՆ ՊԵՏԱԿԱՆ ՊԱՐՏՔԸ</w:t>
      </w:r>
      <w:bookmarkEnd w:id="330"/>
    </w:p>
    <w:p w14:paraId="58045C68" w14:textId="77777777" w:rsidR="000C298C" w:rsidRDefault="000C298C" w:rsidP="000C298C">
      <w:pPr>
        <w:shd w:val="clear" w:color="auto" w:fill="FFFFFF"/>
        <w:rPr>
          <w:rFonts w:eastAsia="Calibri"/>
          <w:b w:val="0"/>
          <w:szCs w:val="22"/>
          <w:lang w:val="hy-AM" w:eastAsia="en-US"/>
        </w:rPr>
      </w:pPr>
      <w:bookmarkStart w:id="331" w:name="_Toc83972892"/>
      <w:r w:rsidRPr="00864B6B">
        <w:rPr>
          <w:rFonts w:eastAsia="Calibri"/>
          <w:b w:val="0"/>
          <w:szCs w:val="22"/>
          <w:lang w:val="hy-AM" w:eastAsia="en-US"/>
        </w:rPr>
        <w:t>ՀՀ 2024թ. պետական բյուջեի հիմքում դրված կանխատեսումների համաձայն` 2023 թվականի դեկտեմբերի 31-ի դրությամբ պետական պարտքը կկազմի 4,6</w:t>
      </w:r>
      <w:r w:rsidRPr="003E5D08">
        <w:rPr>
          <w:rFonts w:eastAsia="Calibri"/>
          <w:b w:val="0"/>
          <w:szCs w:val="22"/>
          <w:lang w:val="af-ZA" w:eastAsia="en-US"/>
        </w:rPr>
        <w:t>59</w:t>
      </w:r>
      <w:r w:rsidRPr="00864B6B">
        <w:rPr>
          <w:rFonts w:eastAsia="Calibri"/>
          <w:b w:val="0"/>
          <w:szCs w:val="22"/>
          <w:lang w:val="hy-AM" w:eastAsia="en-US"/>
        </w:rPr>
        <w:t xml:space="preserve"> մլրդ դրամ կամ ՀՆԱ-ի </w:t>
      </w:r>
      <w:r>
        <w:rPr>
          <w:rFonts w:eastAsia="Calibri"/>
          <w:b w:val="0"/>
          <w:szCs w:val="22"/>
          <w:lang w:val="hy-AM" w:eastAsia="en-US"/>
        </w:rPr>
        <w:t>49.3</w:t>
      </w:r>
      <w:r w:rsidRPr="00864B6B">
        <w:rPr>
          <w:rFonts w:eastAsia="Calibri"/>
          <w:b w:val="0"/>
          <w:szCs w:val="22"/>
          <w:lang w:val="hy-AM" w:eastAsia="en-US"/>
        </w:rPr>
        <w:t>%-ը, իսկ 2024 թվականի տարեվերջին այն կկազմի 5,3</w:t>
      </w:r>
      <w:r>
        <w:rPr>
          <w:rFonts w:eastAsia="Calibri"/>
          <w:b w:val="0"/>
          <w:szCs w:val="22"/>
          <w:lang w:val="af-ZA" w:eastAsia="en-US"/>
        </w:rPr>
        <w:t>1</w:t>
      </w:r>
      <w:r>
        <w:rPr>
          <w:rFonts w:eastAsia="Calibri"/>
          <w:b w:val="0"/>
          <w:szCs w:val="22"/>
          <w:lang w:val="hy-AM" w:eastAsia="en-US"/>
        </w:rPr>
        <w:t>4</w:t>
      </w:r>
      <w:r w:rsidRPr="00864B6B">
        <w:rPr>
          <w:rFonts w:eastAsia="Calibri"/>
          <w:b w:val="0"/>
          <w:szCs w:val="22"/>
          <w:lang w:val="hy-AM" w:eastAsia="en-US"/>
        </w:rPr>
        <w:t xml:space="preserve"> մլրդ դրամ կամ ՀՆԱ-ի</w:t>
      </w:r>
      <w:r>
        <w:rPr>
          <w:rFonts w:eastAsia="Calibri"/>
          <w:b w:val="0"/>
          <w:szCs w:val="22"/>
          <w:lang w:val="hy-AM" w:eastAsia="en-US"/>
        </w:rPr>
        <w:t xml:space="preserve"> 50</w:t>
      </w:r>
      <w:r w:rsidRPr="00864B6B">
        <w:rPr>
          <w:rFonts w:eastAsia="Calibri"/>
          <w:b w:val="0"/>
          <w:szCs w:val="22"/>
          <w:lang w:val="hy-AM" w:eastAsia="en-US"/>
        </w:rPr>
        <w:t>.</w:t>
      </w:r>
      <w:r w:rsidRPr="003E5D08">
        <w:rPr>
          <w:rFonts w:eastAsia="Calibri"/>
          <w:b w:val="0"/>
          <w:szCs w:val="22"/>
          <w:lang w:val="af-ZA" w:eastAsia="en-US"/>
        </w:rPr>
        <w:t>5</w:t>
      </w:r>
      <w:r w:rsidRPr="00864B6B">
        <w:rPr>
          <w:rFonts w:eastAsia="Calibri"/>
          <w:b w:val="0"/>
          <w:szCs w:val="22"/>
          <w:lang w:val="hy-AM" w:eastAsia="en-US"/>
        </w:rPr>
        <w:t>%-ը:</w:t>
      </w:r>
    </w:p>
    <w:p w14:paraId="51075909" w14:textId="793653D9" w:rsidR="000C298C" w:rsidRPr="000C298C" w:rsidRDefault="000C298C" w:rsidP="000C298C">
      <w:pPr>
        <w:shd w:val="clear" w:color="auto" w:fill="FFFFFF"/>
        <w:rPr>
          <w:rFonts w:cs="Sylfaen"/>
          <w:b w:val="0"/>
          <w:bCs/>
          <w:lang w:val="hy-AM"/>
        </w:rPr>
      </w:pPr>
      <w:bookmarkStart w:id="332" w:name="_Toc152324779"/>
      <w:r w:rsidRPr="000C298C">
        <w:rPr>
          <w:rFonts w:cs="Sylfaen"/>
          <w:lang w:val="hy-AM"/>
        </w:rPr>
        <w:t xml:space="preserve">Աղյուսակ </w:t>
      </w:r>
      <w:r w:rsidRPr="000C298C">
        <w:rPr>
          <w:rFonts w:cs="Sylfaen"/>
          <w:lang w:val="hy-AM"/>
        </w:rPr>
        <w:fldChar w:fldCharType="begin"/>
      </w:r>
      <w:r w:rsidRPr="000C298C">
        <w:rPr>
          <w:rFonts w:cs="Sylfaen"/>
          <w:lang w:val="hy-AM"/>
        </w:rPr>
        <w:instrText xml:space="preserve"> SEQ Աղյուսակ \* ARABIC </w:instrText>
      </w:r>
      <w:r w:rsidRPr="000C298C">
        <w:rPr>
          <w:rFonts w:cs="Sylfaen"/>
          <w:lang w:val="hy-AM"/>
        </w:rPr>
        <w:fldChar w:fldCharType="separate"/>
      </w:r>
      <w:r w:rsidR="00DB4E68">
        <w:rPr>
          <w:rFonts w:cs="Sylfaen"/>
          <w:noProof/>
          <w:lang w:val="hy-AM"/>
        </w:rPr>
        <w:t>17</w:t>
      </w:r>
      <w:r w:rsidRPr="000C298C">
        <w:rPr>
          <w:rFonts w:cs="Sylfaen"/>
          <w:lang w:val="hy-AM"/>
        </w:rPr>
        <w:fldChar w:fldCharType="end"/>
      </w:r>
      <w:r w:rsidRPr="000C298C">
        <w:rPr>
          <w:rFonts w:cs="Sylfaen"/>
          <w:lang w:val="hy-AM"/>
        </w:rPr>
        <w:t xml:space="preserve">. </w:t>
      </w:r>
      <w:r w:rsidRPr="000C298C">
        <w:rPr>
          <w:rFonts w:cs="Sylfaen"/>
          <w:b w:val="0"/>
          <w:bCs/>
          <w:lang w:val="hy-AM"/>
        </w:rPr>
        <w:t>Պետական պարտքի կառուցվածքը</w:t>
      </w:r>
      <w:bookmarkEnd w:id="332"/>
    </w:p>
    <w:p w14:paraId="3A59F6E5" w14:textId="7C7ED2C9" w:rsidR="000C298C" w:rsidRDefault="000C298C" w:rsidP="008B5A72">
      <w:pPr>
        <w:shd w:val="clear" w:color="auto" w:fill="FFFFFF"/>
        <w:spacing w:line="240" w:lineRule="auto"/>
        <w:rPr>
          <w:spacing w:val="10"/>
          <w:lang w:val="hy-AM"/>
        </w:rPr>
      </w:pPr>
    </w:p>
    <w:tbl>
      <w:tblPr>
        <w:tblW w:w="9330" w:type="dxa"/>
        <w:tblBorders>
          <w:insideH w:val="single" w:sz="4" w:space="0" w:color="auto"/>
        </w:tblBorders>
        <w:tblLook w:val="04A0" w:firstRow="1" w:lastRow="0" w:firstColumn="1" w:lastColumn="0" w:noHBand="0" w:noVBand="1"/>
      </w:tblPr>
      <w:tblGrid>
        <w:gridCol w:w="4650"/>
        <w:gridCol w:w="1470"/>
        <w:gridCol w:w="1736"/>
        <w:gridCol w:w="1474"/>
      </w:tblGrid>
      <w:tr w:rsidR="000C298C" w:rsidRPr="00324B27" w14:paraId="764E2D25" w14:textId="77777777" w:rsidTr="00B70363">
        <w:trPr>
          <w:trHeight w:val="330"/>
        </w:trPr>
        <w:tc>
          <w:tcPr>
            <w:tcW w:w="4650" w:type="dxa"/>
            <w:shd w:val="clear" w:color="auto" w:fill="auto"/>
            <w:hideMark/>
          </w:tcPr>
          <w:p w14:paraId="2861855C" w14:textId="77777777" w:rsidR="000C298C" w:rsidRPr="00324B27" w:rsidRDefault="000C298C" w:rsidP="008B5A72">
            <w:pPr>
              <w:spacing w:before="0" w:line="240" w:lineRule="auto"/>
              <w:jc w:val="center"/>
              <w:rPr>
                <w:b w:val="0"/>
                <w:bCs/>
                <w:sz w:val="18"/>
                <w:szCs w:val="18"/>
                <w:lang w:val="hy-AM" w:eastAsia="en-US"/>
              </w:rPr>
            </w:pPr>
            <w:r w:rsidRPr="00324B27">
              <w:rPr>
                <w:rFonts w:ascii="Calibri" w:hAnsi="Calibri" w:cs="Calibri"/>
                <w:b w:val="0"/>
                <w:bCs/>
                <w:sz w:val="18"/>
                <w:szCs w:val="18"/>
                <w:lang w:val="hy-AM" w:eastAsia="en-US"/>
              </w:rPr>
              <w:t> </w:t>
            </w:r>
          </w:p>
        </w:tc>
        <w:tc>
          <w:tcPr>
            <w:tcW w:w="1470" w:type="dxa"/>
            <w:shd w:val="clear" w:color="auto" w:fill="auto"/>
            <w:hideMark/>
          </w:tcPr>
          <w:p w14:paraId="4045EFEA" w14:textId="77777777" w:rsidR="000C298C" w:rsidRPr="00324B27" w:rsidRDefault="000C298C" w:rsidP="008B5A72">
            <w:pPr>
              <w:spacing w:before="0" w:line="240" w:lineRule="auto"/>
              <w:jc w:val="right"/>
              <w:rPr>
                <w:b w:val="0"/>
                <w:bCs/>
                <w:sz w:val="18"/>
                <w:szCs w:val="18"/>
                <w:lang w:val="hy-AM" w:eastAsia="en-US"/>
              </w:rPr>
            </w:pPr>
            <w:r w:rsidRPr="00324B27">
              <w:rPr>
                <w:b w:val="0"/>
                <w:bCs/>
                <w:sz w:val="18"/>
                <w:szCs w:val="18"/>
                <w:lang w:val="hy-AM" w:eastAsia="en-US"/>
              </w:rPr>
              <w:t>31.12.202</w:t>
            </w:r>
            <w:r w:rsidRPr="00324B27">
              <w:rPr>
                <w:b w:val="0"/>
                <w:bCs/>
                <w:sz w:val="18"/>
                <w:szCs w:val="18"/>
                <w:lang w:val="en-US" w:eastAsia="en-US"/>
              </w:rPr>
              <w:t>2</w:t>
            </w:r>
            <w:r w:rsidRPr="00324B27">
              <w:rPr>
                <w:b w:val="0"/>
                <w:bCs/>
                <w:sz w:val="18"/>
                <w:szCs w:val="18"/>
                <w:lang w:val="hy-AM" w:eastAsia="en-US"/>
              </w:rPr>
              <w:t>թ.</w:t>
            </w:r>
          </w:p>
        </w:tc>
        <w:tc>
          <w:tcPr>
            <w:tcW w:w="1736" w:type="dxa"/>
            <w:shd w:val="clear" w:color="auto" w:fill="auto"/>
            <w:hideMark/>
          </w:tcPr>
          <w:p w14:paraId="5611C783" w14:textId="77777777" w:rsidR="000C298C" w:rsidRPr="00324B27" w:rsidRDefault="000C298C" w:rsidP="008B5A72">
            <w:pPr>
              <w:spacing w:before="0" w:line="240" w:lineRule="auto"/>
              <w:jc w:val="right"/>
              <w:rPr>
                <w:b w:val="0"/>
                <w:bCs/>
                <w:sz w:val="18"/>
                <w:szCs w:val="18"/>
                <w:lang w:val="hy-AM" w:eastAsia="en-US"/>
              </w:rPr>
            </w:pPr>
            <w:r w:rsidRPr="00324B27">
              <w:rPr>
                <w:b w:val="0"/>
                <w:bCs/>
                <w:sz w:val="18"/>
                <w:szCs w:val="18"/>
                <w:lang w:val="hy-AM" w:eastAsia="en-US"/>
              </w:rPr>
              <w:t>31.12.202</w:t>
            </w:r>
            <w:r w:rsidRPr="00324B27">
              <w:rPr>
                <w:b w:val="0"/>
                <w:bCs/>
                <w:sz w:val="18"/>
                <w:szCs w:val="18"/>
                <w:lang w:val="en-US" w:eastAsia="en-US"/>
              </w:rPr>
              <w:t>3</w:t>
            </w:r>
            <w:r w:rsidRPr="00324B27">
              <w:rPr>
                <w:b w:val="0"/>
                <w:bCs/>
                <w:sz w:val="18"/>
                <w:szCs w:val="18"/>
                <w:lang w:val="hy-AM" w:eastAsia="en-US"/>
              </w:rPr>
              <w:t>թ.</w:t>
            </w:r>
          </w:p>
        </w:tc>
        <w:tc>
          <w:tcPr>
            <w:tcW w:w="1474" w:type="dxa"/>
            <w:shd w:val="clear" w:color="auto" w:fill="auto"/>
            <w:hideMark/>
          </w:tcPr>
          <w:p w14:paraId="031FCED3" w14:textId="77777777" w:rsidR="000C298C" w:rsidRPr="00324B27" w:rsidRDefault="000C298C" w:rsidP="008B5A72">
            <w:pPr>
              <w:spacing w:before="0" w:line="240" w:lineRule="auto"/>
              <w:jc w:val="right"/>
              <w:rPr>
                <w:b w:val="0"/>
                <w:bCs/>
                <w:sz w:val="18"/>
                <w:szCs w:val="18"/>
                <w:lang w:val="hy-AM" w:eastAsia="en-US"/>
              </w:rPr>
            </w:pPr>
            <w:r w:rsidRPr="00324B27">
              <w:rPr>
                <w:b w:val="0"/>
                <w:bCs/>
                <w:sz w:val="18"/>
                <w:szCs w:val="18"/>
                <w:lang w:val="hy-AM" w:eastAsia="en-US"/>
              </w:rPr>
              <w:t>31.12.202</w:t>
            </w:r>
            <w:r w:rsidRPr="00324B27">
              <w:rPr>
                <w:b w:val="0"/>
                <w:bCs/>
                <w:sz w:val="18"/>
                <w:szCs w:val="18"/>
                <w:lang w:val="en-US" w:eastAsia="en-US"/>
              </w:rPr>
              <w:t>4</w:t>
            </w:r>
            <w:r w:rsidRPr="00324B27">
              <w:rPr>
                <w:b w:val="0"/>
                <w:bCs/>
                <w:sz w:val="18"/>
                <w:szCs w:val="18"/>
                <w:lang w:val="hy-AM" w:eastAsia="en-US"/>
              </w:rPr>
              <w:t>թ.</w:t>
            </w:r>
          </w:p>
        </w:tc>
      </w:tr>
      <w:tr w:rsidR="000C298C" w:rsidRPr="00324B27" w14:paraId="57E50889" w14:textId="77777777" w:rsidTr="00B70363">
        <w:trPr>
          <w:trHeight w:val="343"/>
        </w:trPr>
        <w:tc>
          <w:tcPr>
            <w:tcW w:w="4650" w:type="dxa"/>
            <w:tcBorders>
              <w:bottom w:val="single" w:sz="4" w:space="0" w:color="auto"/>
            </w:tcBorders>
            <w:shd w:val="clear" w:color="auto" w:fill="auto"/>
          </w:tcPr>
          <w:p w14:paraId="3026E300" w14:textId="77777777" w:rsidR="000C298C" w:rsidRPr="00324B27" w:rsidRDefault="000C298C" w:rsidP="00001B7F">
            <w:pPr>
              <w:spacing w:before="0" w:line="240" w:lineRule="auto"/>
              <w:jc w:val="center"/>
              <w:rPr>
                <w:rFonts w:cs="Courier New"/>
                <w:b w:val="0"/>
                <w:bCs/>
                <w:i/>
                <w:sz w:val="18"/>
                <w:szCs w:val="18"/>
                <w:lang w:val="hy-AM" w:eastAsia="en-US"/>
              </w:rPr>
            </w:pPr>
            <w:r w:rsidRPr="00324B27">
              <w:rPr>
                <w:b w:val="0"/>
                <w:bCs/>
                <w:i/>
                <w:iCs/>
                <w:sz w:val="18"/>
                <w:szCs w:val="18"/>
                <w:lang w:val="hy-AM" w:eastAsia="en-US"/>
              </w:rPr>
              <w:t>մլրդ դրամ</w:t>
            </w:r>
          </w:p>
        </w:tc>
        <w:tc>
          <w:tcPr>
            <w:tcW w:w="1470" w:type="dxa"/>
            <w:tcBorders>
              <w:bottom w:val="single" w:sz="4" w:space="0" w:color="auto"/>
            </w:tcBorders>
            <w:shd w:val="clear" w:color="auto" w:fill="auto"/>
          </w:tcPr>
          <w:p w14:paraId="5EDF3976" w14:textId="77777777" w:rsidR="000C298C" w:rsidRPr="00324B27" w:rsidRDefault="000C298C" w:rsidP="00001B7F">
            <w:pPr>
              <w:spacing w:before="0" w:line="240" w:lineRule="auto"/>
              <w:jc w:val="center"/>
              <w:rPr>
                <w:b w:val="0"/>
                <w:bCs/>
                <w:sz w:val="18"/>
                <w:szCs w:val="18"/>
                <w:lang w:val="hy-AM" w:eastAsia="en-US"/>
              </w:rPr>
            </w:pPr>
            <w:r w:rsidRPr="00324B27">
              <w:rPr>
                <w:rFonts w:ascii="Calibri" w:hAnsi="Calibri" w:cs="Calibri"/>
                <w:b w:val="0"/>
                <w:bCs/>
                <w:sz w:val="18"/>
                <w:szCs w:val="18"/>
                <w:lang w:val="hy-AM" w:eastAsia="en-US"/>
              </w:rPr>
              <w:t> </w:t>
            </w:r>
          </w:p>
        </w:tc>
        <w:tc>
          <w:tcPr>
            <w:tcW w:w="1736" w:type="dxa"/>
            <w:tcBorders>
              <w:bottom w:val="single" w:sz="4" w:space="0" w:color="auto"/>
            </w:tcBorders>
            <w:shd w:val="clear" w:color="auto" w:fill="auto"/>
            <w:vAlign w:val="bottom"/>
          </w:tcPr>
          <w:p w14:paraId="34AC4221" w14:textId="77777777" w:rsidR="000C298C" w:rsidRPr="00324B27" w:rsidRDefault="000C298C" w:rsidP="00001B7F">
            <w:pPr>
              <w:spacing w:line="240" w:lineRule="auto"/>
              <w:ind w:firstLine="567"/>
              <w:contextualSpacing/>
              <w:jc w:val="center"/>
              <w:rPr>
                <w:b w:val="0"/>
                <w:bCs/>
                <w:sz w:val="18"/>
                <w:szCs w:val="18"/>
                <w:lang w:val="hy-AM" w:eastAsia="en-US"/>
              </w:rPr>
            </w:pPr>
          </w:p>
        </w:tc>
        <w:tc>
          <w:tcPr>
            <w:tcW w:w="1474" w:type="dxa"/>
            <w:tcBorders>
              <w:bottom w:val="single" w:sz="4" w:space="0" w:color="auto"/>
            </w:tcBorders>
            <w:shd w:val="clear" w:color="auto" w:fill="auto"/>
            <w:vAlign w:val="bottom"/>
          </w:tcPr>
          <w:p w14:paraId="4F71B2CB" w14:textId="77777777" w:rsidR="000C298C" w:rsidRPr="00324B27" w:rsidRDefault="000C298C" w:rsidP="00001B7F">
            <w:pPr>
              <w:spacing w:line="240" w:lineRule="auto"/>
              <w:ind w:firstLine="567"/>
              <w:contextualSpacing/>
              <w:rPr>
                <w:b w:val="0"/>
                <w:bCs/>
                <w:sz w:val="18"/>
                <w:szCs w:val="18"/>
                <w:lang w:val="hy-AM" w:eastAsia="en-US"/>
              </w:rPr>
            </w:pPr>
          </w:p>
        </w:tc>
      </w:tr>
      <w:tr w:rsidR="000C298C" w:rsidRPr="00324B27" w14:paraId="773BD296" w14:textId="77777777" w:rsidTr="00E11B4F">
        <w:trPr>
          <w:trHeight w:val="330"/>
        </w:trPr>
        <w:tc>
          <w:tcPr>
            <w:tcW w:w="4650" w:type="dxa"/>
            <w:tcBorders>
              <w:top w:val="single" w:sz="4" w:space="0" w:color="auto"/>
              <w:bottom w:val="nil"/>
            </w:tcBorders>
            <w:shd w:val="clear" w:color="auto" w:fill="auto"/>
            <w:vAlign w:val="bottom"/>
            <w:hideMark/>
          </w:tcPr>
          <w:p w14:paraId="0885541A" w14:textId="77777777" w:rsidR="000C298C" w:rsidRPr="00E11B4F" w:rsidRDefault="000C298C" w:rsidP="00001B7F">
            <w:pPr>
              <w:spacing w:before="0" w:line="240" w:lineRule="auto"/>
              <w:jc w:val="left"/>
              <w:rPr>
                <w:b w:val="0"/>
                <w:bCs/>
                <w:sz w:val="20"/>
                <w:szCs w:val="20"/>
                <w:lang w:val="hy-AM" w:eastAsia="en-US"/>
              </w:rPr>
            </w:pPr>
            <w:r w:rsidRPr="00E11B4F">
              <w:rPr>
                <w:b w:val="0"/>
                <w:bCs/>
                <w:sz w:val="20"/>
                <w:szCs w:val="20"/>
                <w:lang w:val="hy-AM" w:eastAsia="en-US"/>
              </w:rPr>
              <w:t>ՀՀ պետական պարտք</w:t>
            </w:r>
          </w:p>
        </w:tc>
        <w:tc>
          <w:tcPr>
            <w:tcW w:w="1470" w:type="dxa"/>
            <w:tcBorders>
              <w:top w:val="single" w:sz="4" w:space="0" w:color="auto"/>
              <w:bottom w:val="nil"/>
            </w:tcBorders>
            <w:shd w:val="clear" w:color="auto" w:fill="auto"/>
          </w:tcPr>
          <w:p w14:paraId="7DF8253C" w14:textId="77777777" w:rsidR="000C298C" w:rsidRPr="00E11B4F" w:rsidRDefault="000C298C" w:rsidP="00001B7F">
            <w:pPr>
              <w:spacing w:line="240" w:lineRule="auto"/>
              <w:jc w:val="center"/>
              <w:rPr>
                <w:b w:val="0"/>
                <w:sz w:val="20"/>
                <w:szCs w:val="20"/>
              </w:rPr>
            </w:pPr>
            <w:r w:rsidRPr="00E11B4F">
              <w:rPr>
                <w:b w:val="0"/>
                <w:sz w:val="20"/>
                <w:szCs w:val="20"/>
              </w:rPr>
              <w:t>4,187</w:t>
            </w:r>
          </w:p>
        </w:tc>
        <w:tc>
          <w:tcPr>
            <w:tcW w:w="1736" w:type="dxa"/>
            <w:tcBorders>
              <w:top w:val="single" w:sz="4" w:space="0" w:color="auto"/>
              <w:bottom w:val="nil"/>
            </w:tcBorders>
            <w:shd w:val="clear" w:color="auto" w:fill="auto"/>
          </w:tcPr>
          <w:p w14:paraId="33B96D0D" w14:textId="77777777" w:rsidR="000C298C" w:rsidRPr="00E11B4F" w:rsidRDefault="000C298C" w:rsidP="00001B7F">
            <w:pPr>
              <w:spacing w:line="240" w:lineRule="auto"/>
              <w:jc w:val="center"/>
              <w:rPr>
                <w:b w:val="0"/>
                <w:sz w:val="20"/>
                <w:szCs w:val="20"/>
              </w:rPr>
            </w:pPr>
            <w:r w:rsidRPr="00E11B4F">
              <w:rPr>
                <w:b w:val="0"/>
                <w:sz w:val="20"/>
                <w:szCs w:val="20"/>
              </w:rPr>
              <w:t>4,659</w:t>
            </w:r>
          </w:p>
        </w:tc>
        <w:tc>
          <w:tcPr>
            <w:tcW w:w="1474" w:type="dxa"/>
            <w:tcBorders>
              <w:top w:val="single" w:sz="4" w:space="0" w:color="auto"/>
              <w:bottom w:val="nil"/>
            </w:tcBorders>
            <w:shd w:val="clear" w:color="auto" w:fill="auto"/>
          </w:tcPr>
          <w:p w14:paraId="6B99681B" w14:textId="77777777" w:rsidR="000C298C" w:rsidRPr="00E11B4F" w:rsidRDefault="000C298C" w:rsidP="00001B7F">
            <w:pPr>
              <w:spacing w:line="240" w:lineRule="auto"/>
              <w:jc w:val="center"/>
              <w:rPr>
                <w:b w:val="0"/>
                <w:sz w:val="20"/>
                <w:szCs w:val="20"/>
              </w:rPr>
            </w:pPr>
            <w:r w:rsidRPr="00E11B4F">
              <w:rPr>
                <w:b w:val="0"/>
                <w:sz w:val="20"/>
                <w:szCs w:val="20"/>
              </w:rPr>
              <w:t>5,314</w:t>
            </w:r>
          </w:p>
        </w:tc>
      </w:tr>
      <w:tr w:rsidR="000C298C" w:rsidRPr="00324B27" w14:paraId="3030C8C3" w14:textId="77777777" w:rsidTr="00E11B4F">
        <w:trPr>
          <w:trHeight w:val="330"/>
        </w:trPr>
        <w:tc>
          <w:tcPr>
            <w:tcW w:w="4650" w:type="dxa"/>
            <w:tcBorders>
              <w:top w:val="nil"/>
              <w:bottom w:val="nil"/>
            </w:tcBorders>
            <w:shd w:val="clear" w:color="auto" w:fill="auto"/>
            <w:vAlign w:val="bottom"/>
            <w:hideMark/>
          </w:tcPr>
          <w:p w14:paraId="4D0AAB38" w14:textId="77777777" w:rsidR="000C298C" w:rsidRPr="00E11B4F" w:rsidRDefault="000C298C" w:rsidP="00001B7F">
            <w:pPr>
              <w:spacing w:before="0" w:line="240" w:lineRule="auto"/>
              <w:jc w:val="center"/>
              <w:rPr>
                <w:b w:val="0"/>
                <w:bCs/>
                <w:i/>
                <w:sz w:val="20"/>
                <w:szCs w:val="20"/>
                <w:lang w:val="hy-AM" w:eastAsia="en-US"/>
              </w:rPr>
            </w:pPr>
            <w:r w:rsidRPr="00E11B4F">
              <w:rPr>
                <w:b w:val="0"/>
                <w:bCs/>
                <w:i/>
                <w:sz w:val="20"/>
                <w:szCs w:val="20"/>
                <w:lang w:val="hy-AM" w:eastAsia="en-US"/>
              </w:rPr>
              <w:t>այդ թվում`</w:t>
            </w:r>
          </w:p>
        </w:tc>
        <w:tc>
          <w:tcPr>
            <w:tcW w:w="1470" w:type="dxa"/>
            <w:tcBorders>
              <w:top w:val="nil"/>
              <w:bottom w:val="nil"/>
            </w:tcBorders>
            <w:shd w:val="clear" w:color="auto" w:fill="auto"/>
          </w:tcPr>
          <w:p w14:paraId="2D575E62" w14:textId="77777777" w:rsidR="000C298C" w:rsidRPr="00E11B4F" w:rsidRDefault="000C298C" w:rsidP="00001B7F">
            <w:pPr>
              <w:spacing w:line="240" w:lineRule="auto"/>
              <w:jc w:val="center"/>
              <w:rPr>
                <w:b w:val="0"/>
                <w:sz w:val="20"/>
                <w:szCs w:val="20"/>
              </w:rPr>
            </w:pPr>
          </w:p>
        </w:tc>
        <w:tc>
          <w:tcPr>
            <w:tcW w:w="1736" w:type="dxa"/>
            <w:tcBorders>
              <w:top w:val="nil"/>
              <w:bottom w:val="nil"/>
            </w:tcBorders>
            <w:shd w:val="clear" w:color="auto" w:fill="auto"/>
          </w:tcPr>
          <w:p w14:paraId="0BCCA3AE" w14:textId="77777777" w:rsidR="000C298C" w:rsidRPr="00E11B4F" w:rsidRDefault="000C298C" w:rsidP="00001B7F">
            <w:pPr>
              <w:spacing w:line="240" w:lineRule="auto"/>
              <w:jc w:val="center"/>
              <w:rPr>
                <w:b w:val="0"/>
                <w:sz w:val="20"/>
                <w:szCs w:val="20"/>
              </w:rPr>
            </w:pPr>
          </w:p>
        </w:tc>
        <w:tc>
          <w:tcPr>
            <w:tcW w:w="1474" w:type="dxa"/>
            <w:tcBorders>
              <w:top w:val="nil"/>
              <w:bottom w:val="nil"/>
            </w:tcBorders>
            <w:shd w:val="clear" w:color="auto" w:fill="auto"/>
          </w:tcPr>
          <w:p w14:paraId="44B00807" w14:textId="77777777" w:rsidR="000C298C" w:rsidRPr="00E11B4F" w:rsidRDefault="000C298C" w:rsidP="00001B7F">
            <w:pPr>
              <w:spacing w:line="240" w:lineRule="auto"/>
              <w:jc w:val="center"/>
              <w:rPr>
                <w:b w:val="0"/>
                <w:sz w:val="20"/>
                <w:szCs w:val="20"/>
              </w:rPr>
            </w:pPr>
          </w:p>
        </w:tc>
      </w:tr>
      <w:tr w:rsidR="000C298C" w:rsidRPr="00324B27" w14:paraId="44C163C0" w14:textId="77777777" w:rsidTr="00E11B4F">
        <w:trPr>
          <w:trHeight w:val="330"/>
        </w:trPr>
        <w:tc>
          <w:tcPr>
            <w:tcW w:w="4650" w:type="dxa"/>
            <w:tcBorders>
              <w:top w:val="nil"/>
              <w:bottom w:val="nil"/>
            </w:tcBorders>
            <w:shd w:val="clear" w:color="auto" w:fill="auto"/>
            <w:vAlign w:val="bottom"/>
            <w:hideMark/>
          </w:tcPr>
          <w:p w14:paraId="5A92C0F9" w14:textId="77777777" w:rsidR="000C298C" w:rsidRPr="00E11B4F" w:rsidRDefault="000C298C" w:rsidP="00001B7F">
            <w:pPr>
              <w:spacing w:before="0" w:line="240" w:lineRule="auto"/>
              <w:ind w:firstLineChars="100" w:firstLine="200"/>
              <w:jc w:val="left"/>
              <w:rPr>
                <w:b w:val="0"/>
                <w:bCs/>
                <w:sz w:val="20"/>
                <w:szCs w:val="20"/>
                <w:lang w:val="hy-AM" w:eastAsia="en-US"/>
              </w:rPr>
            </w:pPr>
            <w:r w:rsidRPr="00E11B4F">
              <w:rPr>
                <w:b w:val="0"/>
                <w:bCs/>
                <w:sz w:val="20"/>
                <w:szCs w:val="20"/>
                <w:lang w:val="hy-AM" w:eastAsia="en-US"/>
              </w:rPr>
              <w:t>արտաքին պետական պարտք</w:t>
            </w:r>
          </w:p>
        </w:tc>
        <w:tc>
          <w:tcPr>
            <w:tcW w:w="1470" w:type="dxa"/>
            <w:tcBorders>
              <w:top w:val="nil"/>
              <w:bottom w:val="nil"/>
            </w:tcBorders>
            <w:shd w:val="clear" w:color="auto" w:fill="auto"/>
          </w:tcPr>
          <w:p w14:paraId="4B01EC05" w14:textId="77777777" w:rsidR="000C298C" w:rsidRPr="00E11B4F" w:rsidRDefault="000C298C" w:rsidP="00001B7F">
            <w:pPr>
              <w:spacing w:line="240" w:lineRule="auto"/>
              <w:jc w:val="center"/>
              <w:rPr>
                <w:b w:val="0"/>
                <w:sz w:val="20"/>
                <w:szCs w:val="20"/>
              </w:rPr>
            </w:pPr>
            <w:r w:rsidRPr="00E11B4F">
              <w:rPr>
                <w:b w:val="0"/>
                <w:sz w:val="20"/>
                <w:szCs w:val="20"/>
              </w:rPr>
              <w:t>2,537</w:t>
            </w:r>
          </w:p>
        </w:tc>
        <w:tc>
          <w:tcPr>
            <w:tcW w:w="1736" w:type="dxa"/>
            <w:tcBorders>
              <w:top w:val="nil"/>
              <w:bottom w:val="nil"/>
            </w:tcBorders>
            <w:shd w:val="clear" w:color="auto" w:fill="auto"/>
          </w:tcPr>
          <w:p w14:paraId="23C8544F" w14:textId="77777777" w:rsidR="000C298C" w:rsidRPr="00E11B4F" w:rsidRDefault="000C298C" w:rsidP="00001B7F">
            <w:pPr>
              <w:spacing w:line="240" w:lineRule="auto"/>
              <w:jc w:val="center"/>
              <w:rPr>
                <w:b w:val="0"/>
                <w:sz w:val="20"/>
                <w:szCs w:val="20"/>
              </w:rPr>
            </w:pPr>
            <w:r w:rsidRPr="00E11B4F">
              <w:rPr>
                <w:b w:val="0"/>
                <w:sz w:val="20"/>
                <w:szCs w:val="20"/>
              </w:rPr>
              <w:t>2,701</w:t>
            </w:r>
          </w:p>
        </w:tc>
        <w:tc>
          <w:tcPr>
            <w:tcW w:w="1474" w:type="dxa"/>
            <w:tcBorders>
              <w:top w:val="nil"/>
              <w:bottom w:val="nil"/>
            </w:tcBorders>
            <w:shd w:val="clear" w:color="auto" w:fill="auto"/>
          </w:tcPr>
          <w:p w14:paraId="57572208" w14:textId="77777777" w:rsidR="000C298C" w:rsidRPr="00E11B4F" w:rsidRDefault="000C298C" w:rsidP="00001B7F">
            <w:pPr>
              <w:spacing w:line="240" w:lineRule="auto"/>
              <w:jc w:val="center"/>
              <w:rPr>
                <w:b w:val="0"/>
                <w:sz w:val="20"/>
                <w:szCs w:val="20"/>
              </w:rPr>
            </w:pPr>
            <w:r w:rsidRPr="00E11B4F">
              <w:rPr>
                <w:b w:val="0"/>
                <w:sz w:val="20"/>
                <w:szCs w:val="20"/>
              </w:rPr>
              <w:t>3,018</w:t>
            </w:r>
          </w:p>
        </w:tc>
      </w:tr>
      <w:tr w:rsidR="000C298C" w:rsidRPr="00324B27" w14:paraId="10B3E393" w14:textId="77777777" w:rsidTr="00E11B4F">
        <w:trPr>
          <w:trHeight w:val="330"/>
        </w:trPr>
        <w:tc>
          <w:tcPr>
            <w:tcW w:w="4650" w:type="dxa"/>
            <w:tcBorders>
              <w:top w:val="nil"/>
              <w:bottom w:val="nil"/>
            </w:tcBorders>
            <w:shd w:val="clear" w:color="auto" w:fill="auto"/>
            <w:vAlign w:val="bottom"/>
            <w:hideMark/>
          </w:tcPr>
          <w:p w14:paraId="4A1C843B" w14:textId="77777777" w:rsidR="000C298C" w:rsidRPr="00E11B4F" w:rsidRDefault="000C298C" w:rsidP="00001B7F">
            <w:pPr>
              <w:spacing w:before="0" w:line="240" w:lineRule="auto"/>
              <w:ind w:firstLineChars="300" w:firstLine="600"/>
              <w:jc w:val="left"/>
              <w:rPr>
                <w:b w:val="0"/>
                <w:bCs/>
                <w:i/>
                <w:iCs/>
                <w:sz w:val="20"/>
                <w:szCs w:val="20"/>
                <w:lang w:val="hy-AM" w:eastAsia="en-US"/>
              </w:rPr>
            </w:pPr>
            <w:r w:rsidRPr="00E11B4F">
              <w:rPr>
                <w:b w:val="0"/>
                <w:bCs/>
                <w:i/>
                <w:iCs/>
                <w:sz w:val="20"/>
                <w:szCs w:val="20"/>
                <w:lang w:val="hy-AM" w:eastAsia="en-US"/>
              </w:rPr>
              <w:t xml:space="preserve">որից` ՀՀ կենտրոնական բանկի պարտք </w:t>
            </w:r>
          </w:p>
        </w:tc>
        <w:tc>
          <w:tcPr>
            <w:tcW w:w="1470" w:type="dxa"/>
            <w:tcBorders>
              <w:top w:val="nil"/>
              <w:bottom w:val="nil"/>
            </w:tcBorders>
            <w:shd w:val="clear" w:color="auto" w:fill="auto"/>
          </w:tcPr>
          <w:p w14:paraId="4309B036" w14:textId="77777777" w:rsidR="000C298C" w:rsidRPr="00E11B4F" w:rsidRDefault="000C298C" w:rsidP="00001B7F">
            <w:pPr>
              <w:spacing w:line="240" w:lineRule="auto"/>
              <w:jc w:val="center"/>
              <w:rPr>
                <w:b w:val="0"/>
                <w:sz w:val="20"/>
                <w:szCs w:val="20"/>
              </w:rPr>
            </w:pPr>
            <w:r w:rsidRPr="00E11B4F">
              <w:rPr>
                <w:b w:val="0"/>
                <w:sz w:val="20"/>
                <w:szCs w:val="20"/>
              </w:rPr>
              <w:t>217</w:t>
            </w:r>
          </w:p>
        </w:tc>
        <w:tc>
          <w:tcPr>
            <w:tcW w:w="1736" w:type="dxa"/>
            <w:tcBorders>
              <w:top w:val="nil"/>
              <w:bottom w:val="nil"/>
            </w:tcBorders>
            <w:shd w:val="clear" w:color="auto" w:fill="auto"/>
          </w:tcPr>
          <w:p w14:paraId="65B9ED38" w14:textId="77777777" w:rsidR="000C298C" w:rsidRPr="00E11B4F" w:rsidRDefault="000C298C" w:rsidP="00001B7F">
            <w:pPr>
              <w:spacing w:line="240" w:lineRule="auto"/>
              <w:jc w:val="center"/>
              <w:rPr>
                <w:b w:val="0"/>
                <w:sz w:val="20"/>
                <w:szCs w:val="20"/>
              </w:rPr>
            </w:pPr>
            <w:r w:rsidRPr="00E11B4F">
              <w:rPr>
                <w:b w:val="0"/>
                <w:sz w:val="20"/>
                <w:szCs w:val="20"/>
              </w:rPr>
              <w:t>218</w:t>
            </w:r>
          </w:p>
        </w:tc>
        <w:tc>
          <w:tcPr>
            <w:tcW w:w="1474" w:type="dxa"/>
            <w:tcBorders>
              <w:top w:val="nil"/>
              <w:bottom w:val="nil"/>
            </w:tcBorders>
            <w:shd w:val="clear" w:color="auto" w:fill="auto"/>
          </w:tcPr>
          <w:p w14:paraId="28CE62E0" w14:textId="77777777" w:rsidR="000C298C" w:rsidRPr="00E11B4F" w:rsidRDefault="000C298C" w:rsidP="00001B7F">
            <w:pPr>
              <w:spacing w:line="240" w:lineRule="auto"/>
              <w:jc w:val="center"/>
              <w:rPr>
                <w:b w:val="0"/>
                <w:sz w:val="20"/>
                <w:szCs w:val="20"/>
              </w:rPr>
            </w:pPr>
            <w:r w:rsidRPr="00E11B4F">
              <w:rPr>
                <w:b w:val="0"/>
                <w:sz w:val="20"/>
                <w:szCs w:val="20"/>
              </w:rPr>
              <w:t>231</w:t>
            </w:r>
          </w:p>
        </w:tc>
      </w:tr>
      <w:tr w:rsidR="000C298C" w:rsidRPr="00324B27" w14:paraId="0EDFD3EF" w14:textId="77777777" w:rsidTr="00E11B4F">
        <w:trPr>
          <w:trHeight w:val="330"/>
        </w:trPr>
        <w:tc>
          <w:tcPr>
            <w:tcW w:w="4650" w:type="dxa"/>
            <w:tcBorders>
              <w:top w:val="nil"/>
              <w:bottom w:val="single" w:sz="4" w:space="0" w:color="auto"/>
            </w:tcBorders>
            <w:shd w:val="clear" w:color="auto" w:fill="auto"/>
            <w:vAlign w:val="bottom"/>
            <w:hideMark/>
          </w:tcPr>
          <w:p w14:paraId="602E3AB8" w14:textId="77777777" w:rsidR="000C298C" w:rsidRPr="00E11B4F" w:rsidRDefault="000C298C" w:rsidP="00001B7F">
            <w:pPr>
              <w:spacing w:before="0" w:line="240" w:lineRule="auto"/>
              <w:ind w:firstLineChars="100" w:firstLine="200"/>
              <w:jc w:val="left"/>
              <w:rPr>
                <w:b w:val="0"/>
                <w:bCs/>
                <w:sz w:val="20"/>
                <w:szCs w:val="20"/>
                <w:lang w:val="hy-AM" w:eastAsia="en-US"/>
              </w:rPr>
            </w:pPr>
            <w:r w:rsidRPr="00E11B4F">
              <w:rPr>
                <w:b w:val="0"/>
                <w:bCs/>
                <w:sz w:val="20"/>
                <w:szCs w:val="20"/>
                <w:lang w:val="hy-AM" w:eastAsia="en-US"/>
              </w:rPr>
              <w:t>ներքին պետական պարտք</w:t>
            </w:r>
          </w:p>
        </w:tc>
        <w:tc>
          <w:tcPr>
            <w:tcW w:w="1470" w:type="dxa"/>
            <w:tcBorders>
              <w:top w:val="nil"/>
              <w:bottom w:val="single" w:sz="4" w:space="0" w:color="auto"/>
            </w:tcBorders>
            <w:shd w:val="clear" w:color="auto" w:fill="auto"/>
          </w:tcPr>
          <w:p w14:paraId="688F8726" w14:textId="77777777" w:rsidR="000C298C" w:rsidRPr="00E11B4F" w:rsidRDefault="000C298C" w:rsidP="00001B7F">
            <w:pPr>
              <w:spacing w:line="240" w:lineRule="auto"/>
              <w:jc w:val="center"/>
              <w:rPr>
                <w:b w:val="0"/>
                <w:sz w:val="20"/>
                <w:szCs w:val="20"/>
              </w:rPr>
            </w:pPr>
            <w:r w:rsidRPr="00E11B4F">
              <w:rPr>
                <w:b w:val="0"/>
                <w:sz w:val="20"/>
                <w:szCs w:val="20"/>
              </w:rPr>
              <w:t>1,650</w:t>
            </w:r>
          </w:p>
        </w:tc>
        <w:tc>
          <w:tcPr>
            <w:tcW w:w="1736" w:type="dxa"/>
            <w:tcBorders>
              <w:top w:val="nil"/>
              <w:bottom w:val="single" w:sz="4" w:space="0" w:color="auto"/>
            </w:tcBorders>
            <w:shd w:val="clear" w:color="auto" w:fill="auto"/>
          </w:tcPr>
          <w:p w14:paraId="6540A2A1" w14:textId="77777777" w:rsidR="000C298C" w:rsidRPr="00E11B4F" w:rsidRDefault="000C298C" w:rsidP="00001B7F">
            <w:pPr>
              <w:spacing w:line="240" w:lineRule="auto"/>
              <w:jc w:val="center"/>
              <w:rPr>
                <w:b w:val="0"/>
                <w:sz w:val="20"/>
                <w:szCs w:val="20"/>
              </w:rPr>
            </w:pPr>
            <w:r w:rsidRPr="00E11B4F">
              <w:rPr>
                <w:b w:val="0"/>
                <w:sz w:val="20"/>
                <w:szCs w:val="20"/>
              </w:rPr>
              <w:t>1,958</w:t>
            </w:r>
          </w:p>
        </w:tc>
        <w:tc>
          <w:tcPr>
            <w:tcW w:w="1474" w:type="dxa"/>
            <w:tcBorders>
              <w:top w:val="nil"/>
              <w:bottom w:val="single" w:sz="4" w:space="0" w:color="auto"/>
            </w:tcBorders>
            <w:shd w:val="clear" w:color="auto" w:fill="auto"/>
          </w:tcPr>
          <w:p w14:paraId="7BABF4EB" w14:textId="77777777" w:rsidR="000C298C" w:rsidRPr="00E11B4F" w:rsidRDefault="000C298C" w:rsidP="00001B7F">
            <w:pPr>
              <w:spacing w:line="240" w:lineRule="auto"/>
              <w:jc w:val="center"/>
              <w:rPr>
                <w:b w:val="0"/>
                <w:sz w:val="20"/>
                <w:szCs w:val="20"/>
              </w:rPr>
            </w:pPr>
            <w:r w:rsidRPr="00E11B4F">
              <w:rPr>
                <w:b w:val="0"/>
                <w:sz w:val="20"/>
                <w:szCs w:val="20"/>
              </w:rPr>
              <w:t>2,296</w:t>
            </w:r>
          </w:p>
        </w:tc>
      </w:tr>
      <w:tr w:rsidR="000C298C" w:rsidRPr="00324B27" w14:paraId="46A65F02" w14:textId="77777777" w:rsidTr="00E11B4F">
        <w:trPr>
          <w:trHeight w:val="330"/>
        </w:trPr>
        <w:tc>
          <w:tcPr>
            <w:tcW w:w="4650" w:type="dxa"/>
            <w:tcBorders>
              <w:top w:val="single" w:sz="4" w:space="0" w:color="auto"/>
              <w:bottom w:val="single" w:sz="4" w:space="0" w:color="auto"/>
            </w:tcBorders>
            <w:shd w:val="clear" w:color="auto" w:fill="auto"/>
            <w:vAlign w:val="bottom"/>
          </w:tcPr>
          <w:p w14:paraId="3BD23557" w14:textId="77777777" w:rsidR="000C298C" w:rsidRPr="00E11B4F" w:rsidRDefault="000C298C" w:rsidP="00001B7F">
            <w:pPr>
              <w:spacing w:before="0" w:line="240" w:lineRule="auto"/>
              <w:ind w:firstLineChars="100" w:firstLine="200"/>
              <w:jc w:val="center"/>
              <w:rPr>
                <w:b w:val="0"/>
                <w:bCs/>
                <w:i/>
                <w:sz w:val="20"/>
                <w:szCs w:val="20"/>
                <w:lang w:val="hy-AM" w:eastAsia="en-US"/>
              </w:rPr>
            </w:pPr>
            <w:r w:rsidRPr="00E11B4F">
              <w:rPr>
                <w:b w:val="0"/>
                <w:bCs/>
                <w:i/>
                <w:sz w:val="20"/>
                <w:szCs w:val="20"/>
                <w:lang w:val="hy-AM" w:eastAsia="en-US"/>
              </w:rPr>
              <w:t>տոկոսներով ՀՆԱ-ի նկատմամբ</w:t>
            </w:r>
          </w:p>
        </w:tc>
        <w:tc>
          <w:tcPr>
            <w:tcW w:w="1470" w:type="dxa"/>
            <w:tcBorders>
              <w:top w:val="single" w:sz="4" w:space="0" w:color="auto"/>
              <w:bottom w:val="single" w:sz="4" w:space="0" w:color="auto"/>
            </w:tcBorders>
            <w:shd w:val="clear" w:color="auto" w:fill="auto"/>
          </w:tcPr>
          <w:p w14:paraId="0A552952" w14:textId="77777777" w:rsidR="000C298C" w:rsidRPr="00E11B4F" w:rsidRDefault="000C298C" w:rsidP="00001B7F">
            <w:pPr>
              <w:spacing w:line="240" w:lineRule="auto"/>
              <w:ind w:firstLine="567"/>
              <w:contextualSpacing/>
              <w:jc w:val="center"/>
              <w:rPr>
                <w:b w:val="0"/>
                <w:sz w:val="20"/>
                <w:szCs w:val="20"/>
              </w:rPr>
            </w:pPr>
          </w:p>
        </w:tc>
        <w:tc>
          <w:tcPr>
            <w:tcW w:w="1736" w:type="dxa"/>
            <w:tcBorders>
              <w:top w:val="single" w:sz="4" w:space="0" w:color="auto"/>
              <w:bottom w:val="single" w:sz="4" w:space="0" w:color="auto"/>
            </w:tcBorders>
            <w:shd w:val="clear" w:color="auto" w:fill="auto"/>
          </w:tcPr>
          <w:p w14:paraId="001ED2AF" w14:textId="77777777" w:rsidR="000C298C" w:rsidRPr="00E11B4F" w:rsidRDefault="000C298C" w:rsidP="00001B7F">
            <w:pPr>
              <w:spacing w:line="240" w:lineRule="auto"/>
              <w:ind w:firstLine="567"/>
              <w:contextualSpacing/>
              <w:jc w:val="center"/>
              <w:rPr>
                <w:b w:val="0"/>
                <w:bCs/>
                <w:sz w:val="20"/>
                <w:szCs w:val="20"/>
              </w:rPr>
            </w:pPr>
          </w:p>
        </w:tc>
        <w:tc>
          <w:tcPr>
            <w:tcW w:w="1474" w:type="dxa"/>
            <w:tcBorders>
              <w:top w:val="single" w:sz="4" w:space="0" w:color="auto"/>
              <w:bottom w:val="single" w:sz="4" w:space="0" w:color="auto"/>
            </w:tcBorders>
            <w:shd w:val="clear" w:color="auto" w:fill="auto"/>
          </w:tcPr>
          <w:p w14:paraId="39853747" w14:textId="77777777" w:rsidR="000C298C" w:rsidRPr="00E11B4F" w:rsidRDefault="000C298C" w:rsidP="00001B7F">
            <w:pPr>
              <w:spacing w:line="240" w:lineRule="auto"/>
              <w:ind w:firstLine="567"/>
              <w:contextualSpacing/>
              <w:jc w:val="center"/>
              <w:rPr>
                <w:b w:val="0"/>
                <w:sz w:val="20"/>
                <w:szCs w:val="20"/>
              </w:rPr>
            </w:pPr>
          </w:p>
        </w:tc>
      </w:tr>
      <w:tr w:rsidR="000C298C" w:rsidRPr="00324B27" w14:paraId="547729B7" w14:textId="77777777" w:rsidTr="00E11B4F">
        <w:trPr>
          <w:trHeight w:val="330"/>
        </w:trPr>
        <w:tc>
          <w:tcPr>
            <w:tcW w:w="4650" w:type="dxa"/>
            <w:tcBorders>
              <w:top w:val="single" w:sz="4" w:space="0" w:color="auto"/>
              <w:bottom w:val="nil"/>
            </w:tcBorders>
            <w:shd w:val="clear" w:color="auto" w:fill="auto"/>
            <w:vAlign w:val="bottom"/>
            <w:hideMark/>
          </w:tcPr>
          <w:p w14:paraId="7797AB23" w14:textId="77777777" w:rsidR="000C298C" w:rsidRPr="00E11B4F" w:rsidRDefault="000C298C" w:rsidP="00001B7F">
            <w:pPr>
              <w:spacing w:before="0" w:line="240" w:lineRule="auto"/>
              <w:jc w:val="left"/>
              <w:rPr>
                <w:b w:val="0"/>
                <w:bCs/>
                <w:sz w:val="20"/>
                <w:szCs w:val="20"/>
                <w:lang w:val="hy-AM" w:eastAsia="en-US"/>
              </w:rPr>
            </w:pPr>
            <w:r w:rsidRPr="00E11B4F">
              <w:rPr>
                <w:b w:val="0"/>
                <w:bCs/>
                <w:sz w:val="20"/>
                <w:szCs w:val="20"/>
                <w:lang w:val="hy-AM" w:eastAsia="en-US"/>
              </w:rPr>
              <w:t>ՀՀ պետական պարտք</w:t>
            </w:r>
          </w:p>
        </w:tc>
        <w:tc>
          <w:tcPr>
            <w:tcW w:w="1470" w:type="dxa"/>
            <w:tcBorders>
              <w:top w:val="single" w:sz="4" w:space="0" w:color="auto"/>
              <w:bottom w:val="nil"/>
            </w:tcBorders>
            <w:shd w:val="clear" w:color="auto" w:fill="auto"/>
          </w:tcPr>
          <w:p w14:paraId="108D4EA3" w14:textId="77777777" w:rsidR="000C298C" w:rsidRPr="00E11B4F" w:rsidRDefault="000C298C" w:rsidP="00001B7F">
            <w:pPr>
              <w:spacing w:line="240" w:lineRule="auto"/>
              <w:jc w:val="center"/>
              <w:rPr>
                <w:b w:val="0"/>
                <w:sz w:val="20"/>
                <w:szCs w:val="20"/>
                <w:lang w:val="en-US" w:eastAsia="en-US"/>
              </w:rPr>
            </w:pPr>
            <w:r w:rsidRPr="00E11B4F">
              <w:rPr>
                <w:b w:val="0"/>
                <w:sz w:val="20"/>
                <w:szCs w:val="20"/>
              </w:rPr>
              <w:t>49.2</w:t>
            </w:r>
          </w:p>
        </w:tc>
        <w:tc>
          <w:tcPr>
            <w:tcW w:w="1736" w:type="dxa"/>
            <w:tcBorders>
              <w:top w:val="single" w:sz="4" w:space="0" w:color="auto"/>
              <w:bottom w:val="nil"/>
            </w:tcBorders>
            <w:shd w:val="clear" w:color="auto" w:fill="auto"/>
          </w:tcPr>
          <w:p w14:paraId="180E6C81" w14:textId="77777777" w:rsidR="000C298C" w:rsidRPr="00E11B4F" w:rsidRDefault="000C298C" w:rsidP="00001B7F">
            <w:pPr>
              <w:spacing w:line="240" w:lineRule="auto"/>
              <w:jc w:val="center"/>
              <w:rPr>
                <w:b w:val="0"/>
                <w:sz w:val="20"/>
                <w:szCs w:val="20"/>
              </w:rPr>
            </w:pPr>
            <w:r w:rsidRPr="00E11B4F">
              <w:rPr>
                <w:b w:val="0"/>
                <w:sz w:val="20"/>
                <w:szCs w:val="20"/>
              </w:rPr>
              <w:t>49.3</w:t>
            </w:r>
          </w:p>
        </w:tc>
        <w:tc>
          <w:tcPr>
            <w:tcW w:w="1474" w:type="dxa"/>
            <w:tcBorders>
              <w:top w:val="single" w:sz="4" w:space="0" w:color="auto"/>
              <w:bottom w:val="nil"/>
            </w:tcBorders>
            <w:shd w:val="clear" w:color="auto" w:fill="auto"/>
          </w:tcPr>
          <w:p w14:paraId="7C65478F" w14:textId="77777777" w:rsidR="000C298C" w:rsidRPr="00E11B4F" w:rsidRDefault="000C298C" w:rsidP="00001B7F">
            <w:pPr>
              <w:spacing w:line="240" w:lineRule="auto"/>
              <w:jc w:val="center"/>
              <w:rPr>
                <w:b w:val="0"/>
                <w:sz w:val="20"/>
                <w:szCs w:val="20"/>
              </w:rPr>
            </w:pPr>
            <w:r w:rsidRPr="00E11B4F">
              <w:rPr>
                <w:b w:val="0"/>
                <w:sz w:val="20"/>
                <w:szCs w:val="20"/>
              </w:rPr>
              <w:t>50.5</w:t>
            </w:r>
          </w:p>
        </w:tc>
      </w:tr>
      <w:tr w:rsidR="000C298C" w:rsidRPr="00324B27" w14:paraId="218D82C1" w14:textId="77777777" w:rsidTr="00E11B4F">
        <w:trPr>
          <w:trHeight w:val="330"/>
        </w:trPr>
        <w:tc>
          <w:tcPr>
            <w:tcW w:w="4650" w:type="dxa"/>
            <w:tcBorders>
              <w:top w:val="nil"/>
              <w:bottom w:val="nil"/>
            </w:tcBorders>
            <w:shd w:val="clear" w:color="auto" w:fill="auto"/>
            <w:vAlign w:val="bottom"/>
            <w:hideMark/>
          </w:tcPr>
          <w:p w14:paraId="7A88398D" w14:textId="77777777" w:rsidR="000C298C" w:rsidRPr="00E11B4F" w:rsidRDefault="000C298C" w:rsidP="00001B7F">
            <w:pPr>
              <w:spacing w:before="0" w:line="240" w:lineRule="auto"/>
              <w:jc w:val="center"/>
              <w:rPr>
                <w:b w:val="0"/>
                <w:bCs/>
                <w:i/>
                <w:sz w:val="20"/>
                <w:szCs w:val="20"/>
                <w:lang w:val="hy-AM" w:eastAsia="en-US"/>
              </w:rPr>
            </w:pPr>
            <w:r w:rsidRPr="00E11B4F">
              <w:rPr>
                <w:b w:val="0"/>
                <w:bCs/>
                <w:i/>
                <w:sz w:val="20"/>
                <w:szCs w:val="20"/>
                <w:lang w:val="hy-AM" w:eastAsia="en-US"/>
              </w:rPr>
              <w:t>այդ թվում`</w:t>
            </w:r>
          </w:p>
        </w:tc>
        <w:tc>
          <w:tcPr>
            <w:tcW w:w="1470" w:type="dxa"/>
            <w:tcBorders>
              <w:top w:val="nil"/>
              <w:bottom w:val="nil"/>
            </w:tcBorders>
            <w:shd w:val="clear" w:color="auto" w:fill="auto"/>
          </w:tcPr>
          <w:p w14:paraId="5714E1E3" w14:textId="77777777" w:rsidR="000C298C" w:rsidRPr="00E11B4F" w:rsidRDefault="000C298C" w:rsidP="00001B7F">
            <w:pPr>
              <w:spacing w:line="240" w:lineRule="auto"/>
              <w:jc w:val="center"/>
              <w:rPr>
                <w:b w:val="0"/>
                <w:sz w:val="20"/>
                <w:szCs w:val="20"/>
              </w:rPr>
            </w:pPr>
          </w:p>
        </w:tc>
        <w:tc>
          <w:tcPr>
            <w:tcW w:w="1736" w:type="dxa"/>
            <w:tcBorders>
              <w:top w:val="nil"/>
              <w:bottom w:val="nil"/>
            </w:tcBorders>
            <w:shd w:val="clear" w:color="auto" w:fill="auto"/>
          </w:tcPr>
          <w:p w14:paraId="572AB17B" w14:textId="77777777" w:rsidR="000C298C" w:rsidRPr="00E11B4F" w:rsidRDefault="000C298C" w:rsidP="00001B7F">
            <w:pPr>
              <w:spacing w:line="240" w:lineRule="auto"/>
              <w:jc w:val="center"/>
              <w:rPr>
                <w:b w:val="0"/>
                <w:sz w:val="20"/>
                <w:szCs w:val="20"/>
              </w:rPr>
            </w:pPr>
          </w:p>
        </w:tc>
        <w:tc>
          <w:tcPr>
            <w:tcW w:w="1474" w:type="dxa"/>
            <w:tcBorders>
              <w:top w:val="nil"/>
              <w:bottom w:val="nil"/>
            </w:tcBorders>
            <w:shd w:val="clear" w:color="auto" w:fill="auto"/>
          </w:tcPr>
          <w:p w14:paraId="1BE7AABB" w14:textId="77777777" w:rsidR="000C298C" w:rsidRPr="00E11B4F" w:rsidRDefault="000C298C" w:rsidP="00001B7F">
            <w:pPr>
              <w:spacing w:line="240" w:lineRule="auto"/>
              <w:jc w:val="center"/>
              <w:rPr>
                <w:b w:val="0"/>
                <w:sz w:val="20"/>
                <w:szCs w:val="20"/>
              </w:rPr>
            </w:pPr>
          </w:p>
        </w:tc>
      </w:tr>
      <w:tr w:rsidR="000C298C" w:rsidRPr="00324B27" w14:paraId="1581ADDD" w14:textId="77777777" w:rsidTr="00E11B4F">
        <w:trPr>
          <w:trHeight w:val="330"/>
        </w:trPr>
        <w:tc>
          <w:tcPr>
            <w:tcW w:w="4650" w:type="dxa"/>
            <w:tcBorders>
              <w:top w:val="nil"/>
              <w:bottom w:val="nil"/>
            </w:tcBorders>
            <w:shd w:val="clear" w:color="auto" w:fill="auto"/>
            <w:vAlign w:val="bottom"/>
            <w:hideMark/>
          </w:tcPr>
          <w:p w14:paraId="4CDDF024" w14:textId="77777777" w:rsidR="000C298C" w:rsidRPr="00E11B4F" w:rsidRDefault="000C298C" w:rsidP="00001B7F">
            <w:pPr>
              <w:spacing w:before="0" w:line="240" w:lineRule="auto"/>
              <w:ind w:firstLineChars="100" w:firstLine="200"/>
              <w:jc w:val="left"/>
              <w:rPr>
                <w:b w:val="0"/>
                <w:bCs/>
                <w:sz w:val="20"/>
                <w:szCs w:val="20"/>
                <w:lang w:val="hy-AM" w:eastAsia="en-US"/>
              </w:rPr>
            </w:pPr>
            <w:r w:rsidRPr="00E11B4F">
              <w:rPr>
                <w:b w:val="0"/>
                <w:bCs/>
                <w:sz w:val="20"/>
                <w:szCs w:val="20"/>
                <w:lang w:val="hy-AM" w:eastAsia="en-US"/>
              </w:rPr>
              <w:t>արտաքին պետական պարտք</w:t>
            </w:r>
          </w:p>
        </w:tc>
        <w:tc>
          <w:tcPr>
            <w:tcW w:w="1470" w:type="dxa"/>
            <w:tcBorders>
              <w:top w:val="nil"/>
              <w:bottom w:val="nil"/>
            </w:tcBorders>
            <w:shd w:val="clear" w:color="auto" w:fill="auto"/>
          </w:tcPr>
          <w:p w14:paraId="79528099" w14:textId="77777777" w:rsidR="000C298C" w:rsidRPr="00E11B4F" w:rsidRDefault="000C298C" w:rsidP="00001B7F">
            <w:pPr>
              <w:spacing w:line="240" w:lineRule="auto"/>
              <w:jc w:val="center"/>
              <w:rPr>
                <w:b w:val="0"/>
                <w:sz w:val="20"/>
                <w:szCs w:val="20"/>
              </w:rPr>
            </w:pPr>
            <w:r w:rsidRPr="00E11B4F">
              <w:rPr>
                <w:b w:val="0"/>
                <w:sz w:val="20"/>
                <w:szCs w:val="20"/>
              </w:rPr>
              <w:t>29.8</w:t>
            </w:r>
          </w:p>
        </w:tc>
        <w:tc>
          <w:tcPr>
            <w:tcW w:w="1736" w:type="dxa"/>
            <w:tcBorders>
              <w:top w:val="nil"/>
              <w:bottom w:val="nil"/>
            </w:tcBorders>
            <w:shd w:val="clear" w:color="auto" w:fill="auto"/>
          </w:tcPr>
          <w:p w14:paraId="6D1C6085" w14:textId="77777777" w:rsidR="000C298C" w:rsidRPr="00E11B4F" w:rsidRDefault="000C298C" w:rsidP="00001B7F">
            <w:pPr>
              <w:spacing w:line="240" w:lineRule="auto"/>
              <w:jc w:val="center"/>
              <w:rPr>
                <w:b w:val="0"/>
                <w:sz w:val="20"/>
                <w:szCs w:val="20"/>
              </w:rPr>
            </w:pPr>
            <w:r w:rsidRPr="00E11B4F">
              <w:rPr>
                <w:b w:val="0"/>
                <w:sz w:val="20"/>
                <w:szCs w:val="20"/>
              </w:rPr>
              <w:t>28.6</w:t>
            </w:r>
          </w:p>
        </w:tc>
        <w:tc>
          <w:tcPr>
            <w:tcW w:w="1474" w:type="dxa"/>
            <w:tcBorders>
              <w:top w:val="nil"/>
              <w:bottom w:val="nil"/>
            </w:tcBorders>
            <w:shd w:val="clear" w:color="auto" w:fill="auto"/>
          </w:tcPr>
          <w:p w14:paraId="74AFC0BB" w14:textId="77777777" w:rsidR="000C298C" w:rsidRPr="00E11B4F" w:rsidRDefault="000C298C" w:rsidP="00001B7F">
            <w:pPr>
              <w:spacing w:line="240" w:lineRule="auto"/>
              <w:jc w:val="center"/>
              <w:rPr>
                <w:b w:val="0"/>
                <w:sz w:val="20"/>
                <w:szCs w:val="20"/>
              </w:rPr>
            </w:pPr>
            <w:r w:rsidRPr="00E11B4F">
              <w:rPr>
                <w:b w:val="0"/>
                <w:sz w:val="20"/>
                <w:szCs w:val="20"/>
              </w:rPr>
              <w:t>28.7</w:t>
            </w:r>
          </w:p>
        </w:tc>
      </w:tr>
      <w:tr w:rsidR="000C298C" w:rsidRPr="00324B27" w14:paraId="080320F7" w14:textId="77777777" w:rsidTr="00E11B4F">
        <w:trPr>
          <w:trHeight w:val="330"/>
        </w:trPr>
        <w:tc>
          <w:tcPr>
            <w:tcW w:w="4650" w:type="dxa"/>
            <w:tcBorders>
              <w:top w:val="nil"/>
              <w:bottom w:val="nil"/>
            </w:tcBorders>
            <w:shd w:val="clear" w:color="auto" w:fill="auto"/>
            <w:vAlign w:val="bottom"/>
            <w:hideMark/>
          </w:tcPr>
          <w:p w14:paraId="2AF7A85D" w14:textId="77777777" w:rsidR="000C298C" w:rsidRPr="00E11B4F" w:rsidRDefault="000C298C" w:rsidP="00001B7F">
            <w:pPr>
              <w:spacing w:before="0" w:line="240" w:lineRule="auto"/>
              <w:ind w:firstLineChars="300" w:firstLine="600"/>
              <w:jc w:val="left"/>
              <w:rPr>
                <w:b w:val="0"/>
                <w:bCs/>
                <w:i/>
                <w:iCs/>
                <w:sz w:val="20"/>
                <w:szCs w:val="20"/>
                <w:lang w:val="hy-AM" w:eastAsia="en-US"/>
              </w:rPr>
            </w:pPr>
            <w:r w:rsidRPr="00E11B4F">
              <w:rPr>
                <w:b w:val="0"/>
                <w:bCs/>
                <w:i/>
                <w:iCs/>
                <w:sz w:val="20"/>
                <w:szCs w:val="20"/>
                <w:lang w:val="hy-AM" w:eastAsia="en-US"/>
              </w:rPr>
              <w:t xml:space="preserve">որից` ՀՀ կենտրոնական բանկի պարտք </w:t>
            </w:r>
          </w:p>
        </w:tc>
        <w:tc>
          <w:tcPr>
            <w:tcW w:w="1470" w:type="dxa"/>
            <w:tcBorders>
              <w:top w:val="nil"/>
              <w:bottom w:val="nil"/>
            </w:tcBorders>
            <w:shd w:val="clear" w:color="auto" w:fill="auto"/>
          </w:tcPr>
          <w:p w14:paraId="7A02D0A6" w14:textId="77777777" w:rsidR="000C298C" w:rsidRPr="00E11B4F" w:rsidRDefault="000C298C" w:rsidP="00001B7F">
            <w:pPr>
              <w:spacing w:line="240" w:lineRule="auto"/>
              <w:jc w:val="center"/>
              <w:rPr>
                <w:b w:val="0"/>
                <w:i/>
                <w:iCs/>
                <w:sz w:val="20"/>
                <w:szCs w:val="20"/>
              </w:rPr>
            </w:pPr>
            <w:r w:rsidRPr="00E11B4F">
              <w:rPr>
                <w:b w:val="0"/>
                <w:i/>
                <w:iCs/>
                <w:sz w:val="20"/>
                <w:szCs w:val="20"/>
              </w:rPr>
              <w:t>2.6</w:t>
            </w:r>
          </w:p>
        </w:tc>
        <w:tc>
          <w:tcPr>
            <w:tcW w:w="1736" w:type="dxa"/>
            <w:tcBorders>
              <w:top w:val="nil"/>
              <w:bottom w:val="nil"/>
            </w:tcBorders>
            <w:shd w:val="clear" w:color="auto" w:fill="auto"/>
          </w:tcPr>
          <w:p w14:paraId="590B5A7A" w14:textId="77777777" w:rsidR="000C298C" w:rsidRPr="00E11B4F" w:rsidRDefault="000C298C" w:rsidP="00001B7F">
            <w:pPr>
              <w:spacing w:line="240" w:lineRule="auto"/>
              <w:jc w:val="center"/>
              <w:rPr>
                <w:b w:val="0"/>
                <w:i/>
                <w:iCs/>
                <w:sz w:val="20"/>
                <w:szCs w:val="20"/>
              </w:rPr>
            </w:pPr>
            <w:r w:rsidRPr="00E11B4F">
              <w:rPr>
                <w:b w:val="0"/>
                <w:i/>
                <w:iCs/>
                <w:sz w:val="20"/>
                <w:szCs w:val="20"/>
              </w:rPr>
              <w:t>2.3</w:t>
            </w:r>
          </w:p>
        </w:tc>
        <w:tc>
          <w:tcPr>
            <w:tcW w:w="1474" w:type="dxa"/>
            <w:tcBorders>
              <w:top w:val="nil"/>
              <w:bottom w:val="nil"/>
            </w:tcBorders>
            <w:shd w:val="clear" w:color="auto" w:fill="auto"/>
          </w:tcPr>
          <w:p w14:paraId="239AE2FF" w14:textId="77777777" w:rsidR="000C298C" w:rsidRPr="00E11B4F" w:rsidRDefault="000C298C" w:rsidP="00001B7F">
            <w:pPr>
              <w:spacing w:line="240" w:lineRule="auto"/>
              <w:jc w:val="center"/>
              <w:rPr>
                <w:b w:val="0"/>
                <w:i/>
                <w:iCs/>
                <w:sz w:val="20"/>
                <w:szCs w:val="20"/>
              </w:rPr>
            </w:pPr>
            <w:r w:rsidRPr="00E11B4F">
              <w:rPr>
                <w:b w:val="0"/>
                <w:i/>
                <w:iCs/>
                <w:sz w:val="20"/>
                <w:szCs w:val="20"/>
              </w:rPr>
              <w:t>2.2</w:t>
            </w:r>
          </w:p>
        </w:tc>
      </w:tr>
      <w:tr w:rsidR="000C298C" w:rsidRPr="00324B27" w14:paraId="6639829C" w14:textId="77777777" w:rsidTr="00E11B4F">
        <w:trPr>
          <w:trHeight w:val="330"/>
        </w:trPr>
        <w:tc>
          <w:tcPr>
            <w:tcW w:w="4650" w:type="dxa"/>
            <w:tcBorders>
              <w:top w:val="nil"/>
              <w:bottom w:val="nil"/>
            </w:tcBorders>
            <w:shd w:val="clear" w:color="auto" w:fill="auto"/>
            <w:vAlign w:val="bottom"/>
            <w:hideMark/>
          </w:tcPr>
          <w:p w14:paraId="7B144C6A" w14:textId="77777777" w:rsidR="000C298C" w:rsidRPr="00E11B4F" w:rsidRDefault="000C298C" w:rsidP="00001B7F">
            <w:pPr>
              <w:spacing w:before="0" w:line="240" w:lineRule="auto"/>
              <w:ind w:firstLineChars="100" w:firstLine="200"/>
              <w:jc w:val="left"/>
              <w:rPr>
                <w:b w:val="0"/>
                <w:bCs/>
                <w:sz w:val="20"/>
                <w:szCs w:val="20"/>
                <w:lang w:val="hy-AM" w:eastAsia="en-US"/>
              </w:rPr>
            </w:pPr>
            <w:r w:rsidRPr="00E11B4F">
              <w:rPr>
                <w:b w:val="0"/>
                <w:bCs/>
                <w:sz w:val="20"/>
                <w:szCs w:val="20"/>
                <w:lang w:val="hy-AM" w:eastAsia="en-US"/>
              </w:rPr>
              <w:t>ներքին պետական պարտք</w:t>
            </w:r>
          </w:p>
        </w:tc>
        <w:tc>
          <w:tcPr>
            <w:tcW w:w="1470" w:type="dxa"/>
            <w:tcBorders>
              <w:top w:val="nil"/>
              <w:bottom w:val="nil"/>
            </w:tcBorders>
            <w:shd w:val="clear" w:color="auto" w:fill="auto"/>
          </w:tcPr>
          <w:p w14:paraId="54C4708C" w14:textId="77777777" w:rsidR="000C298C" w:rsidRPr="00E11B4F" w:rsidRDefault="000C298C" w:rsidP="00001B7F">
            <w:pPr>
              <w:spacing w:line="240" w:lineRule="auto"/>
              <w:jc w:val="center"/>
              <w:rPr>
                <w:b w:val="0"/>
                <w:sz w:val="20"/>
                <w:szCs w:val="20"/>
              </w:rPr>
            </w:pPr>
            <w:r w:rsidRPr="00E11B4F">
              <w:rPr>
                <w:b w:val="0"/>
                <w:sz w:val="20"/>
                <w:szCs w:val="20"/>
              </w:rPr>
              <w:t>19.4</w:t>
            </w:r>
          </w:p>
        </w:tc>
        <w:tc>
          <w:tcPr>
            <w:tcW w:w="1736" w:type="dxa"/>
            <w:tcBorders>
              <w:top w:val="nil"/>
              <w:bottom w:val="nil"/>
            </w:tcBorders>
            <w:shd w:val="clear" w:color="auto" w:fill="auto"/>
          </w:tcPr>
          <w:p w14:paraId="0F1E9663" w14:textId="77777777" w:rsidR="000C298C" w:rsidRPr="00E11B4F" w:rsidRDefault="000C298C" w:rsidP="00001B7F">
            <w:pPr>
              <w:spacing w:line="240" w:lineRule="auto"/>
              <w:jc w:val="center"/>
              <w:rPr>
                <w:b w:val="0"/>
                <w:sz w:val="20"/>
                <w:szCs w:val="20"/>
              </w:rPr>
            </w:pPr>
            <w:r w:rsidRPr="00E11B4F">
              <w:rPr>
                <w:b w:val="0"/>
                <w:sz w:val="20"/>
                <w:szCs w:val="20"/>
              </w:rPr>
              <w:t>20.7</w:t>
            </w:r>
          </w:p>
        </w:tc>
        <w:tc>
          <w:tcPr>
            <w:tcW w:w="1474" w:type="dxa"/>
            <w:tcBorders>
              <w:top w:val="nil"/>
              <w:bottom w:val="nil"/>
            </w:tcBorders>
            <w:shd w:val="clear" w:color="auto" w:fill="auto"/>
          </w:tcPr>
          <w:p w14:paraId="237BFA2E" w14:textId="77777777" w:rsidR="000C298C" w:rsidRPr="00E11B4F" w:rsidRDefault="000C298C" w:rsidP="00001B7F">
            <w:pPr>
              <w:spacing w:line="240" w:lineRule="auto"/>
              <w:jc w:val="center"/>
              <w:rPr>
                <w:b w:val="0"/>
                <w:sz w:val="20"/>
                <w:szCs w:val="20"/>
              </w:rPr>
            </w:pPr>
            <w:r w:rsidRPr="00E11B4F">
              <w:rPr>
                <w:b w:val="0"/>
                <w:sz w:val="20"/>
                <w:szCs w:val="20"/>
              </w:rPr>
              <w:t>21.8</w:t>
            </w:r>
          </w:p>
        </w:tc>
      </w:tr>
    </w:tbl>
    <w:p w14:paraId="47549AF3" w14:textId="77777777" w:rsidR="000C298C" w:rsidRPr="00324B27" w:rsidRDefault="000C298C" w:rsidP="000C298C">
      <w:pPr>
        <w:spacing w:before="0" w:after="200"/>
        <w:jc w:val="left"/>
        <w:rPr>
          <w:rFonts w:eastAsia="Calibri" w:cs="Sylfaen"/>
          <w:sz w:val="18"/>
          <w:szCs w:val="18"/>
          <w:u w:val="single"/>
          <w:lang w:val="hy-AM" w:eastAsia="en-US"/>
        </w:rPr>
      </w:pPr>
    </w:p>
    <w:p w14:paraId="13C934EC" w14:textId="77777777" w:rsidR="000C298C" w:rsidRPr="00864B6B" w:rsidRDefault="000C298C" w:rsidP="000C298C">
      <w:pPr>
        <w:keepNext/>
        <w:tabs>
          <w:tab w:val="left" w:pos="0"/>
        </w:tabs>
        <w:contextualSpacing/>
        <w:outlineLvl w:val="2"/>
        <w:rPr>
          <w:rFonts w:eastAsia="Calibri" w:cs="GHEA Grapalat"/>
          <w:bCs/>
          <w:szCs w:val="22"/>
          <w:lang w:val="hy-AM" w:eastAsia="en-US"/>
        </w:rPr>
      </w:pPr>
      <w:bookmarkStart w:id="333" w:name="_Toc146798600"/>
      <w:bookmarkStart w:id="334" w:name="_Toc153184517"/>
      <w:r w:rsidRPr="00864B6B">
        <w:rPr>
          <w:rFonts w:eastAsia="Calibri" w:cs="GHEA Grapalat"/>
          <w:bCs/>
          <w:szCs w:val="22"/>
          <w:lang w:val="hy-AM" w:eastAsia="en-US"/>
        </w:rPr>
        <w:t>ՀԱՅԱՍՏԱՆԻ ՀԱՆՐԱՊԵՏՈՒԹՅԱՆ ԿԱՌԱՎԱՐՈՒԹՅԱՆ ՊԱՐՏՔԸ</w:t>
      </w:r>
      <w:bookmarkEnd w:id="333"/>
      <w:bookmarkEnd w:id="334"/>
    </w:p>
    <w:p w14:paraId="28FFF0A4" w14:textId="77777777" w:rsidR="000C298C" w:rsidRPr="00864B6B" w:rsidRDefault="000C298C" w:rsidP="00001B7F">
      <w:pPr>
        <w:shd w:val="clear" w:color="auto" w:fill="FFFFFF"/>
        <w:tabs>
          <w:tab w:val="left" w:pos="0"/>
        </w:tabs>
        <w:rPr>
          <w:rFonts w:eastAsia="Calibri" w:cs="Arial"/>
          <w:b w:val="0"/>
          <w:szCs w:val="22"/>
          <w:lang w:val="hy-AM" w:eastAsia="en-US"/>
        </w:rPr>
      </w:pPr>
      <w:r w:rsidRPr="00864B6B">
        <w:rPr>
          <w:rFonts w:eastAsia="Calibri" w:cs="Arial"/>
          <w:b w:val="0"/>
          <w:szCs w:val="22"/>
          <w:lang w:val="hy-AM" w:eastAsia="en-US"/>
        </w:rPr>
        <w:t xml:space="preserve">Կառավարության պարտքի 2023 և 2024 թվականների կանխատեսումները կատարվել են հիմք ընդունելով </w:t>
      </w:r>
      <w:r>
        <w:rPr>
          <w:rFonts w:eastAsia="Calibri" w:cs="Arial"/>
          <w:b w:val="0"/>
          <w:szCs w:val="22"/>
          <w:lang w:val="hy-AM" w:eastAsia="en-US"/>
        </w:rPr>
        <w:t>հետևյալը</w:t>
      </w:r>
      <w:r w:rsidRPr="00864B6B">
        <w:rPr>
          <w:rFonts w:eastAsia="Calibri" w:cs="Arial"/>
          <w:b w:val="0"/>
          <w:szCs w:val="22"/>
          <w:lang w:val="hy-AM" w:eastAsia="en-US"/>
        </w:rPr>
        <w:t>.</w:t>
      </w:r>
    </w:p>
    <w:p w14:paraId="7DBF922D" w14:textId="77777777" w:rsidR="000C298C" w:rsidRPr="00097368" w:rsidRDefault="000C298C" w:rsidP="00001B7F">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864B6B">
        <w:rPr>
          <w:rFonts w:eastAsia="Calibri"/>
          <w:b w:val="0"/>
          <w:szCs w:val="22"/>
          <w:lang w:val="hy-AM" w:eastAsia="en-US"/>
        </w:rPr>
        <w:t xml:space="preserve">ՀՀ 2023թ. </w:t>
      </w:r>
      <w:r w:rsidRPr="00097368">
        <w:rPr>
          <w:rFonts w:eastAsia="Calibri" w:cs="Arial"/>
          <w:b w:val="0"/>
          <w:bCs/>
          <w:kern w:val="2"/>
          <w:szCs w:val="22"/>
          <w:lang w:val="hy-AM"/>
          <w14:ligatures w14:val="standardContextual"/>
        </w:rPr>
        <w:t>պետական բյուջեի պակասուրդի զուտ ֆինանսավորումը պարտքային գործիքների հաշվին կիրականացվի 361.0 մլրդ դրամի չափով, որից.</w:t>
      </w:r>
    </w:p>
    <w:p w14:paraId="3957B6F1" w14:textId="77777777" w:rsidR="000C298C" w:rsidRPr="00097368" w:rsidRDefault="000C298C" w:rsidP="00001B7F">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385 մլրդ դրամը պետական գանձապետական պարտատոմսերի հաշվին՝ սկզբնական 295.2 մլրդ դրամ ծրագրի դիմաց,</w:t>
      </w:r>
    </w:p>
    <w:p w14:paraId="75121948" w14:textId="77777777" w:rsidR="000C298C" w:rsidRPr="00864B6B" w:rsidRDefault="000C298C" w:rsidP="00001B7F">
      <w:pPr>
        <w:pStyle w:val="ListParagraph"/>
        <w:numPr>
          <w:ilvl w:val="0"/>
          <w:numId w:val="55"/>
        </w:numPr>
        <w:tabs>
          <w:tab w:val="left" w:pos="284"/>
        </w:tabs>
        <w:suppressAutoHyphens/>
        <w:ind w:left="0" w:firstLine="0"/>
        <w:rPr>
          <w:rFonts w:eastAsia="Calibri"/>
          <w:b w:val="0"/>
          <w:szCs w:val="22"/>
          <w:lang w:val="hy-AM" w:eastAsia="en-US"/>
        </w:rPr>
      </w:pPr>
      <w:r w:rsidRPr="00097368">
        <w:rPr>
          <w:rFonts w:eastAsia="Calibri" w:cs="Arial"/>
          <w:b w:val="0"/>
          <w:bCs/>
          <w:kern w:val="2"/>
          <w:szCs w:val="22"/>
          <w:lang w:val="hy-AM"/>
          <w14:ligatures w14:val="standardContextual"/>
        </w:rPr>
        <w:t>12.8 մլրդ դրամը արտաքին աղբյուրների հաշվին՝ սկզբնական 123.4 մլրդ դրամ ծրագրի դիմաց (222.1 մլրդ դրամի մասհանումներ՝ ծրագրավորված 259.4 մլրդ դրամի դիմաց, և 136.0 մլրդ դրամի</w:t>
      </w:r>
      <w:r w:rsidRPr="00864B6B">
        <w:rPr>
          <w:rFonts w:eastAsia="Calibri"/>
          <w:b w:val="0"/>
          <w:szCs w:val="22"/>
          <w:lang w:val="hy-AM" w:eastAsia="en-US"/>
        </w:rPr>
        <w:t xml:space="preserve"> արտաքին վարկերի գծով մարումներ</w:t>
      </w:r>
      <w:r>
        <w:rPr>
          <w:rFonts w:eastAsia="Calibri"/>
          <w:b w:val="0"/>
          <w:szCs w:val="22"/>
          <w:lang w:val="hy-AM" w:eastAsia="en-US"/>
        </w:rPr>
        <w:t>,</w:t>
      </w:r>
      <w:r w:rsidRPr="00864B6B">
        <w:rPr>
          <w:rFonts w:eastAsia="Calibri"/>
          <w:b w:val="0"/>
          <w:szCs w:val="22"/>
          <w:lang w:val="hy-AM" w:eastAsia="en-US"/>
        </w:rPr>
        <w:t xml:space="preserve"> </w:t>
      </w:r>
      <w:r>
        <w:rPr>
          <w:rFonts w:eastAsia="Calibri"/>
          <w:b w:val="0"/>
          <w:szCs w:val="22"/>
          <w:lang w:val="hy-AM" w:eastAsia="en-US"/>
        </w:rPr>
        <w:t>արտարժութային պարտատոմսերի հետգնում՝ 73.3 մլրդ դրամ</w:t>
      </w:r>
      <w:r w:rsidRPr="00F86516">
        <w:rPr>
          <w:rFonts w:eastAsia="Calibri"/>
          <w:b w:val="0"/>
          <w:szCs w:val="22"/>
          <w:lang w:val="hy-AM" w:eastAsia="en-US"/>
        </w:rPr>
        <w:t>)</w:t>
      </w:r>
      <w:r w:rsidRPr="00864B6B">
        <w:rPr>
          <w:rFonts w:eastAsia="Calibri"/>
          <w:b w:val="0"/>
          <w:szCs w:val="22"/>
          <w:lang w:val="hy-AM" w:eastAsia="en-US"/>
        </w:rPr>
        <w:t>:</w:t>
      </w:r>
    </w:p>
    <w:p w14:paraId="5260E846" w14:textId="10878C59" w:rsidR="000C298C" w:rsidRPr="00097368" w:rsidRDefault="000C298C" w:rsidP="00001B7F">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864B6B">
        <w:rPr>
          <w:rFonts w:eastAsia="Calibri" w:cs="Arial"/>
          <w:b w:val="0"/>
          <w:szCs w:val="22"/>
          <w:lang w:val="hy-AM" w:eastAsia="en-US"/>
        </w:rPr>
        <w:t>ՀՀ</w:t>
      </w:r>
      <w:r w:rsidRPr="00864B6B">
        <w:rPr>
          <w:rFonts w:eastAsia="Calibri"/>
          <w:b w:val="0"/>
          <w:szCs w:val="22"/>
          <w:lang w:val="hy-AM" w:eastAsia="en-US"/>
        </w:rPr>
        <w:t xml:space="preserve"> 2024թ. պետական բյուջեի հիմքում դրված պակասուրդի ֆինանսավորման սցենարը, որի համաձայն զուտ ֆինանսավորումը պարտքային </w:t>
      </w:r>
      <w:r w:rsidRPr="00097368">
        <w:rPr>
          <w:rFonts w:eastAsia="Calibri" w:cs="Arial"/>
          <w:b w:val="0"/>
          <w:bCs/>
          <w:kern w:val="2"/>
          <w:szCs w:val="22"/>
          <w:lang w:val="hy-AM"/>
          <w14:ligatures w14:val="standardContextual"/>
        </w:rPr>
        <w:t xml:space="preserve">գործիքների հաշվին կիրականացվի </w:t>
      </w:r>
      <w:r w:rsidRPr="00097368">
        <w:rPr>
          <w:rFonts w:eastAsia="Calibri" w:cs="Arial"/>
          <w:b w:val="0"/>
          <w:bCs/>
          <w:kern w:val="2"/>
          <w:szCs w:val="22"/>
          <w:lang w:val="hy-AM"/>
          <w14:ligatures w14:val="standardContextual"/>
        </w:rPr>
        <w:lastRenderedPageBreak/>
        <w:t>490.9 մլրդ դրամի չափով, որից 350.8 մլրդ դրամը պետական գանձապետական պարտատոմսերի հաշվին, 140.1 մլրդ դրամը՝ արտաքին վարկերի հաշվին (կատարվելիք մասհանումների և մայր գումարի մարումների տարբերություն), իսկ արտարժութային պետական պարտատոմսերի հաշվին մուտքեր և ելքեր չեն նախատեսվել,</w:t>
      </w:r>
    </w:p>
    <w:p w14:paraId="6ABBAEDA" w14:textId="77777777" w:rsidR="000C298C" w:rsidRPr="00097368" w:rsidRDefault="000C298C" w:rsidP="00001B7F">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Առկա և նոր պարտքի սպասարկման և մարման պայմանները,</w:t>
      </w:r>
    </w:p>
    <w:p w14:paraId="3D2FD0D7" w14:textId="3B1FEA9B" w:rsidR="000C298C" w:rsidRPr="00864B6B" w:rsidRDefault="000C298C" w:rsidP="00001B7F">
      <w:pPr>
        <w:pStyle w:val="ListParagraph"/>
        <w:numPr>
          <w:ilvl w:val="0"/>
          <w:numId w:val="55"/>
        </w:numPr>
        <w:tabs>
          <w:tab w:val="left" w:pos="284"/>
        </w:tabs>
        <w:suppressAutoHyphens/>
        <w:ind w:left="0" w:firstLine="0"/>
        <w:rPr>
          <w:rFonts w:eastAsia="Calibri" w:cs="Arial"/>
          <w:b w:val="0"/>
          <w:szCs w:val="22"/>
          <w:lang w:val="hy-AM" w:eastAsia="en-US"/>
        </w:rPr>
      </w:pPr>
      <w:r w:rsidRPr="00097368">
        <w:rPr>
          <w:rFonts w:eastAsia="Calibri" w:cs="Arial"/>
          <w:b w:val="0"/>
          <w:bCs/>
          <w:kern w:val="2"/>
          <w:szCs w:val="22"/>
          <w:lang w:val="hy-AM"/>
          <w14:ligatures w14:val="standardContextual"/>
        </w:rPr>
        <w:t>ՀՀ 2024թ</w:t>
      </w:r>
      <w:r w:rsidRPr="00864B6B">
        <w:rPr>
          <w:rFonts w:eastAsia="Calibri"/>
          <w:b w:val="0"/>
          <w:szCs w:val="22"/>
          <w:lang w:val="hy-AM" w:eastAsia="en-US"/>
        </w:rPr>
        <w:t>. պետական բյուջեի հիմքում դրված 2023թ. և 2024թ. ՀՆԱ-ի և այլ մակրոտնտեսական կանխատեսումային ցուցանիշները:</w:t>
      </w:r>
    </w:p>
    <w:p w14:paraId="6E6B944E" w14:textId="77777777" w:rsidR="000C298C" w:rsidRDefault="000C298C" w:rsidP="00001B7F">
      <w:pPr>
        <w:shd w:val="clear" w:color="auto" w:fill="FFFFFF"/>
        <w:tabs>
          <w:tab w:val="left" w:pos="0"/>
        </w:tabs>
        <w:rPr>
          <w:rFonts w:eastAsia="Calibri" w:cs="Arial"/>
          <w:b w:val="0"/>
          <w:szCs w:val="22"/>
          <w:lang w:val="hy-AM" w:eastAsia="en-US"/>
        </w:rPr>
      </w:pPr>
      <w:r>
        <w:rPr>
          <w:rFonts w:eastAsia="Calibri" w:cs="Arial"/>
          <w:b w:val="0"/>
          <w:szCs w:val="22"/>
          <w:lang w:val="hy-AM" w:eastAsia="en-US"/>
        </w:rPr>
        <w:t>2024թ. պետական բյուջեի ծրագրային ցուցանիշների արդյունք</w:t>
      </w:r>
      <w:r>
        <w:rPr>
          <w:rFonts w:eastAsia="Calibri" w:cs="Arial"/>
          <w:b w:val="0"/>
          <w:szCs w:val="22"/>
          <w:lang w:val="hy-AM" w:eastAsia="en-US"/>
        </w:rPr>
        <w:tab/>
        <w:t>ում 2024թ. համախառն ֆինանսական կարիքը կազմել է 665.8 մլրդ դրամ, որը նախատեսվում է ֆինանսավորել հետևյալ պարտքային գործիքներով.</w:t>
      </w:r>
    </w:p>
    <w:p w14:paraId="30256A20" w14:textId="77777777" w:rsidR="000C298C" w:rsidRPr="00097368" w:rsidRDefault="000C298C" w:rsidP="00001B7F">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Գանձապետական պարտատոմսեր - 350.8 մլրդ դրամ,</w:t>
      </w:r>
    </w:p>
    <w:p w14:paraId="266515C8" w14:textId="77777777" w:rsidR="000C298C" w:rsidRPr="00097368" w:rsidRDefault="000C298C" w:rsidP="00001B7F">
      <w:pPr>
        <w:pStyle w:val="ListParagraph"/>
        <w:numPr>
          <w:ilvl w:val="0"/>
          <w:numId w:val="55"/>
        </w:numPr>
        <w:tabs>
          <w:tab w:val="left" w:pos="284"/>
        </w:tabs>
        <w:suppressAutoHyphens/>
        <w:ind w:left="0" w:firstLine="0"/>
        <w:rPr>
          <w:rFonts w:eastAsia="Calibri" w:cs="Arial"/>
          <w:b w:val="0"/>
          <w:bCs/>
          <w:kern w:val="2"/>
          <w:szCs w:val="22"/>
          <w:lang w:val="hy-AM"/>
          <w14:ligatures w14:val="standardContextual"/>
        </w:rPr>
      </w:pPr>
      <w:r w:rsidRPr="00097368">
        <w:rPr>
          <w:rFonts w:eastAsia="Calibri" w:cs="Arial"/>
          <w:b w:val="0"/>
          <w:bCs/>
          <w:kern w:val="2"/>
          <w:szCs w:val="22"/>
          <w:lang w:val="hy-AM"/>
          <w14:ligatures w14:val="standardContextual"/>
        </w:rPr>
        <w:t>Բյուջետային աջակցության վարկեր - 182.2 լրդ դրամ,</w:t>
      </w:r>
    </w:p>
    <w:p w14:paraId="0F01706D" w14:textId="77777777" w:rsidR="000C298C" w:rsidRPr="007E5270" w:rsidRDefault="000C298C" w:rsidP="00001B7F">
      <w:pPr>
        <w:pStyle w:val="ListParagraph"/>
        <w:numPr>
          <w:ilvl w:val="0"/>
          <w:numId w:val="55"/>
        </w:numPr>
        <w:tabs>
          <w:tab w:val="left" w:pos="284"/>
        </w:tabs>
        <w:suppressAutoHyphens/>
        <w:ind w:left="0" w:firstLine="0"/>
        <w:rPr>
          <w:rFonts w:eastAsia="Calibri" w:cs="Arial"/>
          <w:b w:val="0"/>
          <w:szCs w:val="22"/>
          <w:lang w:val="hy-AM" w:eastAsia="en-US"/>
        </w:rPr>
      </w:pPr>
      <w:r w:rsidRPr="00097368">
        <w:rPr>
          <w:rFonts w:eastAsia="Calibri" w:cs="Arial"/>
          <w:b w:val="0"/>
          <w:bCs/>
          <w:kern w:val="2"/>
          <w:szCs w:val="22"/>
          <w:lang w:val="hy-AM"/>
          <w14:ligatures w14:val="standardContextual"/>
        </w:rPr>
        <w:t>Ծրագրային</w:t>
      </w:r>
      <w:r>
        <w:rPr>
          <w:rFonts w:eastAsia="Calibri" w:cs="Arial"/>
          <w:b w:val="0"/>
          <w:szCs w:val="22"/>
          <w:lang w:val="hy-AM" w:eastAsia="en-US"/>
        </w:rPr>
        <w:t xml:space="preserve"> վարկեր – 132.8 մլրդ դրամ:</w:t>
      </w:r>
    </w:p>
    <w:p w14:paraId="4542C61C" w14:textId="48319F76" w:rsidR="000C298C" w:rsidRDefault="000C298C" w:rsidP="00001B7F">
      <w:pPr>
        <w:shd w:val="clear" w:color="auto" w:fill="FFFFFF"/>
        <w:tabs>
          <w:tab w:val="left" w:pos="0"/>
        </w:tabs>
        <w:rPr>
          <w:rFonts w:eastAsia="Calibri"/>
          <w:b w:val="0"/>
          <w:szCs w:val="22"/>
          <w:lang w:val="hy-AM" w:eastAsia="en-US"/>
        </w:rPr>
      </w:pPr>
      <w:r w:rsidRPr="00864B6B">
        <w:rPr>
          <w:rFonts w:eastAsia="Calibri" w:cs="Arial"/>
          <w:b w:val="0"/>
          <w:szCs w:val="22"/>
          <w:lang w:val="hy-AM" w:eastAsia="en-US"/>
        </w:rPr>
        <w:t>Ը</w:t>
      </w:r>
      <w:r w:rsidRPr="00864B6B">
        <w:rPr>
          <w:rFonts w:eastAsia="Calibri"/>
          <w:b w:val="0"/>
          <w:szCs w:val="22"/>
          <w:lang w:val="hy-AM" w:eastAsia="en-US"/>
        </w:rPr>
        <w:t>ստ կանխատեսումների` 2024 թվականի դեկտեմբերի 31-ի դրությամբ կառավարության պարտքը կկազմի 5,08</w:t>
      </w:r>
      <w:r>
        <w:rPr>
          <w:rFonts w:eastAsia="Calibri"/>
          <w:b w:val="0"/>
          <w:szCs w:val="22"/>
          <w:lang w:val="hy-AM" w:eastAsia="en-US"/>
        </w:rPr>
        <w:t>3</w:t>
      </w:r>
      <w:r w:rsidRPr="00864B6B">
        <w:rPr>
          <w:rFonts w:eastAsia="Calibri"/>
          <w:b w:val="0"/>
          <w:szCs w:val="22"/>
          <w:lang w:val="hy-AM" w:eastAsia="en-US"/>
        </w:rPr>
        <w:t xml:space="preserve"> մլրդ դրամ կամ ՀՆԱ-ի 48.</w:t>
      </w:r>
      <w:r>
        <w:rPr>
          <w:rFonts w:eastAsia="Calibri"/>
          <w:b w:val="0"/>
          <w:szCs w:val="22"/>
          <w:lang w:val="hy-AM" w:eastAsia="en-US"/>
        </w:rPr>
        <w:t>3</w:t>
      </w:r>
      <w:r w:rsidRPr="00864B6B">
        <w:rPr>
          <w:rFonts w:eastAsia="Calibri"/>
          <w:b w:val="0"/>
          <w:szCs w:val="22"/>
          <w:lang w:val="hy-AM" w:eastAsia="en-US"/>
        </w:rPr>
        <w:t xml:space="preserve"> տոկոսը և 2023 թվականի տարեվերջի համեմատությամբ ՀՆԱ-ի նկատմամբ կաճի</w:t>
      </w:r>
      <w:r>
        <w:rPr>
          <w:rFonts w:eastAsia="Calibri"/>
          <w:b w:val="0"/>
          <w:szCs w:val="22"/>
          <w:lang w:val="hy-AM" w:eastAsia="en-US"/>
        </w:rPr>
        <w:t xml:space="preserve"> 1.3</w:t>
      </w:r>
      <w:r w:rsidRPr="00864B6B">
        <w:rPr>
          <w:rFonts w:eastAsia="Calibri"/>
          <w:b w:val="0"/>
          <w:szCs w:val="22"/>
          <w:lang w:val="hy-AM" w:eastAsia="en-US"/>
        </w:rPr>
        <w:t xml:space="preserve"> տոկոսային կետով: Նշենք, որ կառավարության պարտք/ՀՆԱ ցուցանիշի նշված կանխատեսումները տարբերվում են կառավարության պարտքի կառավարման 2024-2026 թվականների միջնաժամկետ ռազմավարական ծրագրով սահմանված ցուցանիշներից՝ պայմանավորված հիմնականում կանխատեսումներում կիրառված մակրոտնտեսական ու հարկաբյուջետային շրջանակի, փոխարժեքների տարբերություններով ու կառավարության պարտքի գծով գործառնություններով:  </w:t>
      </w:r>
    </w:p>
    <w:p w14:paraId="32BF603D" w14:textId="77777777" w:rsidR="00001B7F" w:rsidRDefault="00001B7F" w:rsidP="00001B7F">
      <w:pPr>
        <w:shd w:val="clear" w:color="auto" w:fill="FFFFFF"/>
        <w:tabs>
          <w:tab w:val="left" w:pos="0"/>
        </w:tabs>
        <w:rPr>
          <w:rFonts w:eastAsia="Calibri"/>
          <w:b w:val="0"/>
          <w:szCs w:val="22"/>
          <w:lang w:val="hy-AM" w:eastAsia="en-US"/>
        </w:rPr>
      </w:pPr>
    </w:p>
    <w:p w14:paraId="2DB70913" w14:textId="014C389A" w:rsidR="000C298C" w:rsidRPr="000C298C" w:rsidRDefault="000C298C" w:rsidP="000C298C">
      <w:pPr>
        <w:shd w:val="clear" w:color="auto" w:fill="FFFFFF"/>
        <w:rPr>
          <w:rFonts w:cs="Sylfaen"/>
          <w:lang w:val="hy-AM"/>
        </w:rPr>
      </w:pPr>
      <w:bookmarkStart w:id="335" w:name="_Toc152324780"/>
      <w:r w:rsidRPr="000C298C">
        <w:rPr>
          <w:rFonts w:cs="Sylfaen"/>
          <w:lang w:val="hy-AM"/>
        </w:rPr>
        <w:t xml:space="preserve">Աղյուսակ </w:t>
      </w:r>
      <w:r w:rsidRPr="000C298C">
        <w:rPr>
          <w:rFonts w:cs="Sylfaen"/>
          <w:lang w:val="hy-AM"/>
        </w:rPr>
        <w:fldChar w:fldCharType="begin"/>
      </w:r>
      <w:r w:rsidRPr="000C298C">
        <w:rPr>
          <w:rFonts w:cs="Sylfaen"/>
          <w:lang w:val="hy-AM"/>
        </w:rPr>
        <w:instrText xml:space="preserve"> SEQ Աղյուսակ \* ARABIC </w:instrText>
      </w:r>
      <w:r w:rsidRPr="000C298C">
        <w:rPr>
          <w:rFonts w:cs="Sylfaen"/>
          <w:lang w:val="hy-AM"/>
        </w:rPr>
        <w:fldChar w:fldCharType="separate"/>
      </w:r>
      <w:r w:rsidR="00DB4E68">
        <w:rPr>
          <w:rFonts w:cs="Sylfaen"/>
          <w:noProof/>
          <w:lang w:val="hy-AM"/>
        </w:rPr>
        <w:t>18</w:t>
      </w:r>
      <w:r w:rsidRPr="000C298C">
        <w:rPr>
          <w:rFonts w:cs="Sylfaen"/>
          <w:lang w:val="hy-AM"/>
        </w:rPr>
        <w:fldChar w:fldCharType="end"/>
      </w:r>
      <w:r>
        <w:rPr>
          <w:rFonts w:cs="Sylfaen"/>
          <w:lang w:val="en-US"/>
        </w:rPr>
        <w:t>.</w:t>
      </w:r>
      <w:r w:rsidRPr="000C298C">
        <w:rPr>
          <w:rFonts w:cs="Sylfaen"/>
          <w:lang w:val="hy-AM"/>
        </w:rPr>
        <w:t xml:space="preserve"> </w:t>
      </w:r>
      <w:r w:rsidRPr="000C298C">
        <w:rPr>
          <w:rFonts w:cs="Sylfaen"/>
          <w:b w:val="0"/>
          <w:bCs/>
          <w:lang w:val="hy-AM"/>
        </w:rPr>
        <w:t>Կառավարության պարտքը</w:t>
      </w:r>
      <w:bookmarkEnd w:id="335"/>
    </w:p>
    <w:tbl>
      <w:tblPr>
        <w:tblW w:w="8640" w:type="dxa"/>
        <w:jc w:val="center"/>
        <w:tblLook w:val="04A0" w:firstRow="1" w:lastRow="0" w:firstColumn="1" w:lastColumn="0" w:noHBand="0" w:noVBand="1"/>
      </w:tblPr>
      <w:tblGrid>
        <w:gridCol w:w="4708"/>
        <w:gridCol w:w="1242"/>
        <w:gridCol w:w="1251"/>
        <w:gridCol w:w="1439"/>
      </w:tblGrid>
      <w:tr w:rsidR="000C298C" w:rsidRPr="00324B27" w14:paraId="18B305ED" w14:textId="77777777" w:rsidTr="00B44E16">
        <w:trPr>
          <w:trHeight w:val="341"/>
          <w:jc w:val="center"/>
        </w:trPr>
        <w:tc>
          <w:tcPr>
            <w:tcW w:w="4708" w:type="dxa"/>
            <w:tcBorders>
              <w:bottom w:val="single" w:sz="4" w:space="0" w:color="auto"/>
            </w:tcBorders>
            <w:shd w:val="clear" w:color="auto" w:fill="auto"/>
            <w:vAlign w:val="center"/>
          </w:tcPr>
          <w:p w14:paraId="61E3DCC4" w14:textId="77777777" w:rsidR="000C298C" w:rsidRPr="00324B27" w:rsidRDefault="000C298C" w:rsidP="00B70363">
            <w:pPr>
              <w:spacing w:before="0" w:line="240" w:lineRule="auto"/>
              <w:jc w:val="left"/>
              <w:rPr>
                <w:rFonts w:cs="Courier New"/>
                <w:b w:val="0"/>
                <w:sz w:val="18"/>
                <w:szCs w:val="18"/>
                <w:lang w:val="hy-AM" w:eastAsia="en-US"/>
              </w:rPr>
            </w:pPr>
            <w:r w:rsidRPr="00324B27">
              <w:rPr>
                <w:rFonts w:ascii="Calibri" w:hAnsi="Calibri" w:cs="Calibri"/>
                <w:b w:val="0"/>
                <w:sz w:val="18"/>
                <w:szCs w:val="18"/>
                <w:lang w:val="hy-AM" w:eastAsia="en-US"/>
              </w:rPr>
              <w:t> </w:t>
            </w:r>
          </w:p>
        </w:tc>
        <w:tc>
          <w:tcPr>
            <w:tcW w:w="1242" w:type="dxa"/>
            <w:tcBorders>
              <w:bottom w:val="single" w:sz="4" w:space="0" w:color="auto"/>
            </w:tcBorders>
            <w:shd w:val="clear" w:color="auto" w:fill="auto"/>
          </w:tcPr>
          <w:p w14:paraId="7D993440"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31.12.2022թ.</w:t>
            </w:r>
          </w:p>
        </w:tc>
        <w:tc>
          <w:tcPr>
            <w:tcW w:w="1251" w:type="dxa"/>
            <w:tcBorders>
              <w:bottom w:val="single" w:sz="4" w:space="0" w:color="auto"/>
            </w:tcBorders>
            <w:shd w:val="clear" w:color="auto" w:fill="auto"/>
          </w:tcPr>
          <w:p w14:paraId="79766E69"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31.12.2023թ.</w:t>
            </w:r>
          </w:p>
        </w:tc>
        <w:tc>
          <w:tcPr>
            <w:tcW w:w="1439" w:type="dxa"/>
            <w:tcBorders>
              <w:bottom w:val="single" w:sz="4" w:space="0" w:color="auto"/>
            </w:tcBorders>
            <w:shd w:val="clear" w:color="auto" w:fill="auto"/>
          </w:tcPr>
          <w:p w14:paraId="4F76B964"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31.12.2024թ.</w:t>
            </w:r>
          </w:p>
        </w:tc>
      </w:tr>
      <w:tr w:rsidR="000C298C" w:rsidRPr="00324B27" w14:paraId="6D9A541A" w14:textId="77777777" w:rsidTr="00B44E16">
        <w:trPr>
          <w:trHeight w:val="341"/>
          <w:jc w:val="center"/>
        </w:trPr>
        <w:tc>
          <w:tcPr>
            <w:tcW w:w="4708" w:type="dxa"/>
            <w:tcBorders>
              <w:bottom w:val="single" w:sz="4" w:space="0" w:color="auto"/>
            </w:tcBorders>
            <w:shd w:val="clear" w:color="auto" w:fill="auto"/>
            <w:vAlign w:val="center"/>
          </w:tcPr>
          <w:p w14:paraId="26F70B59" w14:textId="77777777" w:rsidR="000C298C" w:rsidRPr="00324B27" w:rsidRDefault="000C298C" w:rsidP="00B70363">
            <w:pPr>
              <w:spacing w:before="0" w:line="240" w:lineRule="auto"/>
              <w:jc w:val="left"/>
              <w:rPr>
                <w:rFonts w:cs="Courier New"/>
                <w:b w:val="0"/>
                <w:sz w:val="18"/>
                <w:szCs w:val="18"/>
                <w:lang w:val="hy-AM" w:eastAsia="en-US"/>
              </w:rPr>
            </w:pPr>
            <w:r w:rsidRPr="00324B27">
              <w:rPr>
                <w:rFonts w:cs="Courier New"/>
                <w:b w:val="0"/>
                <w:sz w:val="18"/>
                <w:szCs w:val="18"/>
                <w:lang w:val="hy-AM" w:eastAsia="en-US"/>
              </w:rPr>
              <w:t>ՀՀ կառավարության պարտք, մլրդ դրամ</w:t>
            </w:r>
          </w:p>
        </w:tc>
        <w:tc>
          <w:tcPr>
            <w:tcW w:w="1242" w:type="dxa"/>
            <w:tcBorders>
              <w:bottom w:val="single" w:sz="4" w:space="0" w:color="auto"/>
            </w:tcBorders>
            <w:shd w:val="clear" w:color="auto" w:fill="auto"/>
          </w:tcPr>
          <w:p w14:paraId="6E7B1C49"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hy-AM" w:eastAsia="en-US"/>
              </w:rPr>
            </w:pPr>
            <w:r w:rsidRPr="00324B27">
              <w:rPr>
                <w:rFonts w:cs="GHEA Grapalat"/>
                <w:b w:val="0"/>
                <w:sz w:val="18"/>
                <w:szCs w:val="18"/>
                <w:lang w:val="hy-AM" w:eastAsia="en-US"/>
              </w:rPr>
              <w:t>3,970</w:t>
            </w:r>
          </w:p>
        </w:tc>
        <w:tc>
          <w:tcPr>
            <w:tcW w:w="1251" w:type="dxa"/>
            <w:tcBorders>
              <w:bottom w:val="single" w:sz="4" w:space="0" w:color="auto"/>
            </w:tcBorders>
            <w:shd w:val="clear" w:color="auto" w:fill="auto"/>
          </w:tcPr>
          <w:p w14:paraId="03F91D40"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hy-AM" w:eastAsia="en-US"/>
              </w:rPr>
            </w:pPr>
            <w:r w:rsidRPr="00324B27">
              <w:rPr>
                <w:rFonts w:cs="GHEA Grapalat"/>
                <w:b w:val="0"/>
                <w:sz w:val="18"/>
                <w:szCs w:val="18"/>
                <w:lang w:val="hy-AM" w:eastAsia="en-US"/>
              </w:rPr>
              <w:t>4,442</w:t>
            </w:r>
          </w:p>
        </w:tc>
        <w:tc>
          <w:tcPr>
            <w:tcW w:w="1439" w:type="dxa"/>
            <w:tcBorders>
              <w:bottom w:val="single" w:sz="4" w:space="0" w:color="auto"/>
            </w:tcBorders>
            <w:shd w:val="clear" w:color="auto" w:fill="auto"/>
          </w:tcPr>
          <w:p w14:paraId="06E3D621"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hy-AM" w:eastAsia="en-US"/>
              </w:rPr>
            </w:pPr>
            <w:r w:rsidRPr="00324B27">
              <w:rPr>
                <w:rFonts w:cs="GHEA Grapalat"/>
                <w:b w:val="0"/>
                <w:sz w:val="18"/>
                <w:szCs w:val="18"/>
                <w:lang w:val="hy-AM" w:eastAsia="en-US"/>
              </w:rPr>
              <w:t>5,083</w:t>
            </w:r>
          </w:p>
        </w:tc>
      </w:tr>
      <w:tr w:rsidR="000C298C" w:rsidRPr="00324B27" w14:paraId="11A02A8F" w14:textId="77777777" w:rsidTr="00B44E16">
        <w:trPr>
          <w:trHeight w:val="341"/>
          <w:jc w:val="center"/>
        </w:trPr>
        <w:tc>
          <w:tcPr>
            <w:tcW w:w="4708" w:type="dxa"/>
            <w:tcBorders>
              <w:bottom w:val="single" w:sz="4" w:space="0" w:color="auto"/>
            </w:tcBorders>
            <w:shd w:val="clear" w:color="auto" w:fill="auto"/>
            <w:vAlign w:val="center"/>
          </w:tcPr>
          <w:p w14:paraId="5499586A" w14:textId="77777777" w:rsidR="000C298C" w:rsidRPr="00324B27" w:rsidRDefault="000C298C" w:rsidP="00B70363">
            <w:pPr>
              <w:spacing w:before="0" w:line="240" w:lineRule="auto"/>
              <w:jc w:val="left"/>
              <w:rPr>
                <w:rFonts w:cs="Courier New"/>
                <w:b w:val="0"/>
                <w:sz w:val="18"/>
                <w:szCs w:val="18"/>
                <w:lang w:val="hy-AM" w:eastAsia="en-US"/>
              </w:rPr>
            </w:pPr>
            <w:r w:rsidRPr="00324B27">
              <w:rPr>
                <w:rFonts w:cs="Courier New"/>
                <w:b w:val="0"/>
                <w:sz w:val="18"/>
                <w:szCs w:val="18"/>
                <w:lang w:val="hy-AM" w:eastAsia="en-US"/>
              </w:rPr>
              <w:t>ՀՀ կառավարության պարտք, մլն ԱՄՆ դոլար</w:t>
            </w:r>
          </w:p>
        </w:tc>
        <w:tc>
          <w:tcPr>
            <w:tcW w:w="1242" w:type="dxa"/>
            <w:tcBorders>
              <w:bottom w:val="single" w:sz="4" w:space="0" w:color="auto"/>
            </w:tcBorders>
            <w:shd w:val="clear" w:color="auto" w:fill="auto"/>
          </w:tcPr>
          <w:p w14:paraId="19E1B4CD"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10,086</w:t>
            </w:r>
          </w:p>
        </w:tc>
        <w:tc>
          <w:tcPr>
            <w:tcW w:w="1251" w:type="dxa"/>
            <w:tcBorders>
              <w:bottom w:val="single" w:sz="4" w:space="0" w:color="auto"/>
            </w:tcBorders>
            <w:shd w:val="clear" w:color="auto" w:fill="auto"/>
          </w:tcPr>
          <w:p w14:paraId="02E1CB3B"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10,910</w:t>
            </w:r>
          </w:p>
        </w:tc>
        <w:tc>
          <w:tcPr>
            <w:tcW w:w="1439" w:type="dxa"/>
            <w:tcBorders>
              <w:bottom w:val="single" w:sz="4" w:space="0" w:color="auto"/>
            </w:tcBorders>
            <w:shd w:val="clear" w:color="auto" w:fill="auto"/>
          </w:tcPr>
          <w:p w14:paraId="2B3E5719"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hy-AM" w:eastAsia="en-US"/>
              </w:rPr>
            </w:pPr>
            <w:r w:rsidRPr="00324B27">
              <w:rPr>
                <w:rFonts w:cs="GHEA Grapalat"/>
                <w:b w:val="0"/>
                <w:sz w:val="18"/>
                <w:szCs w:val="18"/>
                <w:lang w:val="hy-AM" w:eastAsia="en-US"/>
              </w:rPr>
              <w:t>11,892</w:t>
            </w:r>
          </w:p>
        </w:tc>
      </w:tr>
      <w:tr w:rsidR="000C298C" w:rsidRPr="00324B27" w14:paraId="242EB135" w14:textId="77777777" w:rsidTr="00B44E16">
        <w:trPr>
          <w:trHeight w:val="341"/>
          <w:jc w:val="center"/>
        </w:trPr>
        <w:tc>
          <w:tcPr>
            <w:tcW w:w="4708" w:type="dxa"/>
            <w:tcBorders>
              <w:bottom w:val="single" w:sz="4" w:space="0" w:color="auto"/>
            </w:tcBorders>
            <w:shd w:val="clear" w:color="auto" w:fill="auto"/>
            <w:vAlign w:val="center"/>
          </w:tcPr>
          <w:p w14:paraId="488D7D93" w14:textId="77777777" w:rsidR="000C298C" w:rsidRPr="00324B27" w:rsidRDefault="000C298C" w:rsidP="00B70363">
            <w:pPr>
              <w:spacing w:before="0" w:line="240" w:lineRule="auto"/>
              <w:jc w:val="left"/>
              <w:rPr>
                <w:rFonts w:cs="Courier New"/>
                <w:b w:val="0"/>
                <w:sz w:val="18"/>
                <w:szCs w:val="18"/>
                <w:lang w:val="hy-AM" w:eastAsia="en-US"/>
              </w:rPr>
            </w:pPr>
            <w:r w:rsidRPr="00324B27">
              <w:rPr>
                <w:rFonts w:cs="Courier New"/>
                <w:b w:val="0"/>
                <w:sz w:val="18"/>
                <w:szCs w:val="18"/>
                <w:lang w:val="hy-AM" w:eastAsia="en-US"/>
              </w:rPr>
              <w:t>ՀՀ կառավարության պարտք, % ՀՆԱ-ի նկատմամբ</w:t>
            </w:r>
          </w:p>
        </w:tc>
        <w:tc>
          <w:tcPr>
            <w:tcW w:w="1242" w:type="dxa"/>
            <w:tcBorders>
              <w:bottom w:val="single" w:sz="4" w:space="0" w:color="auto"/>
            </w:tcBorders>
            <w:shd w:val="clear" w:color="auto" w:fill="auto"/>
          </w:tcPr>
          <w:p w14:paraId="77175122"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46.7</w:t>
            </w:r>
          </w:p>
        </w:tc>
        <w:tc>
          <w:tcPr>
            <w:tcW w:w="1251" w:type="dxa"/>
            <w:tcBorders>
              <w:bottom w:val="single" w:sz="4" w:space="0" w:color="auto"/>
            </w:tcBorders>
            <w:shd w:val="clear" w:color="auto" w:fill="auto"/>
          </w:tcPr>
          <w:p w14:paraId="5490724C"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47.0</w:t>
            </w:r>
          </w:p>
        </w:tc>
        <w:tc>
          <w:tcPr>
            <w:tcW w:w="1439" w:type="dxa"/>
            <w:tcBorders>
              <w:bottom w:val="single" w:sz="4" w:space="0" w:color="auto"/>
            </w:tcBorders>
            <w:shd w:val="clear" w:color="auto" w:fill="auto"/>
          </w:tcPr>
          <w:p w14:paraId="447DABA5"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hy-AM" w:eastAsia="en-US"/>
              </w:rPr>
            </w:pPr>
            <w:r w:rsidRPr="00324B27">
              <w:rPr>
                <w:rFonts w:cs="GHEA Grapalat"/>
                <w:b w:val="0"/>
                <w:sz w:val="18"/>
                <w:szCs w:val="18"/>
                <w:lang w:val="hy-AM" w:eastAsia="en-US"/>
              </w:rPr>
              <w:t>48.3</w:t>
            </w:r>
          </w:p>
        </w:tc>
      </w:tr>
    </w:tbl>
    <w:p w14:paraId="2E51170C" w14:textId="77777777" w:rsidR="000C298C" w:rsidRPr="00864B6B" w:rsidRDefault="000C298C" w:rsidP="000C298C">
      <w:pPr>
        <w:shd w:val="clear" w:color="auto" w:fill="FFFFFF"/>
        <w:spacing w:before="0" w:line="312" w:lineRule="auto"/>
        <w:ind w:firstLine="720"/>
        <w:rPr>
          <w:rFonts w:eastAsia="Calibri"/>
          <w:b w:val="0"/>
          <w:szCs w:val="22"/>
          <w:lang w:val="hy-AM" w:eastAsia="en-US"/>
        </w:rPr>
      </w:pPr>
    </w:p>
    <w:p w14:paraId="77EDE433" w14:textId="30EBF5C5" w:rsidR="000C298C" w:rsidRDefault="000C298C" w:rsidP="000C298C">
      <w:pPr>
        <w:shd w:val="clear" w:color="auto" w:fill="FFFFFF"/>
        <w:rPr>
          <w:rFonts w:eastAsia="Calibri"/>
          <w:b w:val="0"/>
          <w:szCs w:val="22"/>
          <w:lang w:val="hy-AM" w:eastAsia="en-US"/>
        </w:rPr>
      </w:pPr>
      <w:r w:rsidRPr="00864B6B">
        <w:rPr>
          <w:rFonts w:eastAsia="Calibri"/>
          <w:b w:val="0"/>
          <w:szCs w:val="22"/>
          <w:lang w:val="hy-AM" w:eastAsia="en-US"/>
        </w:rPr>
        <w:t>Նախատեսվում է 2023-2024 թվականներին կառավարության պարտքի կառուցվածքում ավելացնել ՀՀ դրամով տեղաբաշխված պետական գանձապետական պարտատոմսերի կշիռը, որն ըստ կանխատեսումների կկազմի համա</w:t>
      </w:r>
      <w:r w:rsidRPr="00864B6B">
        <w:rPr>
          <w:rFonts w:eastAsia="Calibri"/>
          <w:b w:val="0"/>
          <w:szCs w:val="22"/>
          <w:lang w:val="hy-AM" w:eastAsia="en-US"/>
        </w:rPr>
        <w:softHyphen/>
        <w:t>պա</w:t>
      </w:r>
      <w:r w:rsidRPr="00864B6B">
        <w:rPr>
          <w:rFonts w:eastAsia="Calibri"/>
          <w:b w:val="0"/>
          <w:szCs w:val="22"/>
          <w:lang w:val="hy-AM" w:eastAsia="en-US"/>
        </w:rPr>
        <w:softHyphen/>
        <w:t>տաս</w:t>
      </w:r>
      <w:r w:rsidRPr="00864B6B">
        <w:rPr>
          <w:rFonts w:eastAsia="Calibri"/>
          <w:b w:val="0"/>
          <w:szCs w:val="22"/>
          <w:lang w:val="hy-AM" w:eastAsia="en-US"/>
        </w:rPr>
        <w:softHyphen/>
        <w:t>խանաբար 42.</w:t>
      </w:r>
      <w:r>
        <w:rPr>
          <w:rFonts w:eastAsia="Calibri"/>
          <w:b w:val="0"/>
          <w:szCs w:val="22"/>
          <w:lang w:val="hy-AM" w:eastAsia="en-US"/>
        </w:rPr>
        <w:t>5</w:t>
      </w:r>
      <w:r w:rsidRPr="00864B6B">
        <w:rPr>
          <w:rFonts w:eastAsia="Calibri"/>
          <w:b w:val="0"/>
          <w:szCs w:val="22"/>
          <w:lang w:val="hy-AM" w:eastAsia="en-US"/>
        </w:rPr>
        <w:t>% և</w:t>
      </w:r>
      <w:r>
        <w:rPr>
          <w:rFonts w:eastAsia="Calibri"/>
          <w:b w:val="0"/>
          <w:szCs w:val="22"/>
          <w:lang w:val="hy-AM" w:eastAsia="en-US"/>
        </w:rPr>
        <w:t xml:space="preserve"> 44.2</w:t>
      </w:r>
      <w:r w:rsidRPr="00864B6B">
        <w:rPr>
          <w:rFonts w:eastAsia="Calibri"/>
          <w:b w:val="0"/>
          <w:szCs w:val="22"/>
          <w:lang w:val="hy-AM" w:eastAsia="en-US"/>
        </w:rPr>
        <w:t>%: Կառավարության պարտքը կունենա հետևյալ կառուցվածքը.</w:t>
      </w:r>
    </w:p>
    <w:p w14:paraId="67405384" w14:textId="44327AC1" w:rsidR="00001B7F" w:rsidRDefault="00001B7F" w:rsidP="000C298C">
      <w:pPr>
        <w:shd w:val="clear" w:color="auto" w:fill="FFFFFF"/>
        <w:rPr>
          <w:rFonts w:eastAsia="Calibri"/>
          <w:b w:val="0"/>
          <w:szCs w:val="22"/>
          <w:lang w:val="hy-AM" w:eastAsia="en-US"/>
        </w:rPr>
      </w:pPr>
    </w:p>
    <w:p w14:paraId="5F9C2823" w14:textId="77777777" w:rsidR="00001B7F" w:rsidRDefault="00001B7F" w:rsidP="000C298C">
      <w:pPr>
        <w:shd w:val="clear" w:color="auto" w:fill="FFFFFF"/>
        <w:rPr>
          <w:rFonts w:eastAsia="Calibri"/>
          <w:b w:val="0"/>
          <w:szCs w:val="22"/>
          <w:lang w:val="hy-AM" w:eastAsia="en-US"/>
        </w:rPr>
      </w:pPr>
    </w:p>
    <w:p w14:paraId="7C58653F" w14:textId="0A672620" w:rsidR="000C298C" w:rsidRPr="000C298C" w:rsidRDefault="000C298C" w:rsidP="000C298C">
      <w:pPr>
        <w:shd w:val="clear" w:color="auto" w:fill="FFFFFF"/>
        <w:rPr>
          <w:rFonts w:cs="Sylfaen"/>
          <w:b w:val="0"/>
          <w:bCs/>
          <w:lang w:val="hy-AM"/>
        </w:rPr>
      </w:pPr>
      <w:bookmarkStart w:id="336" w:name="_Toc152324781"/>
      <w:r w:rsidRPr="000C298C">
        <w:rPr>
          <w:rFonts w:cs="Sylfaen"/>
          <w:lang w:val="hy-AM"/>
        </w:rPr>
        <w:lastRenderedPageBreak/>
        <w:t xml:space="preserve">Աղյուսակ </w:t>
      </w:r>
      <w:r w:rsidRPr="000C298C">
        <w:rPr>
          <w:rFonts w:cs="Sylfaen"/>
          <w:lang w:val="hy-AM"/>
        </w:rPr>
        <w:fldChar w:fldCharType="begin"/>
      </w:r>
      <w:r w:rsidRPr="000C298C">
        <w:rPr>
          <w:rFonts w:cs="Sylfaen"/>
          <w:lang w:val="hy-AM"/>
        </w:rPr>
        <w:instrText xml:space="preserve"> SEQ Աղյուսակ \* ARABIC </w:instrText>
      </w:r>
      <w:r w:rsidRPr="000C298C">
        <w:rPr>
          <w:rFonts w:cs="Sylfaen"/>
          <w:lang w:val="hy-AM"/>
        </w:rPr>
        <w:fldChar w:fldCharType="separate"/>
      </w:r>
      <w:r w:rsidR="00DB4E68">
        <w:rPr>
          <w:rFonts w:cs="Sylfaen"/>
          <w:noProof/>
          <w:lang w:val="hy-AM"/>
        </w:rPr>
        <w:t>19</w:t>
      </w:r>
      <w:r w:rsidRPr="000C298C">
        <w:rPr>
          <w:rFonts w:cs="Sylfaen"/>
          <w:lang w:val="hy-AM"/>
        </w:rPr>
        <w:fldChar w:fldCharType="end"/>
      </w:r>
      <w:r w:rsidRPr="000C298C">
        <w:rPr>
          <w:rFonts w:cs="Sylfaen"/>
          <w:lang w:val="hy-AM"/>
        </w:rPr>
        <w:t>.</w:t>
      </w:r>
      <w:r w:rsidRPr="000C298C">
        <w:rPr>
          <w:rFonts w:cs="Sylfaen"/>
          <w:b w:val="0"/>
          <w:bCs/>
          <w:lang w:val="hy-AM"/>
        </w:rPr>
        <w:t xml:space="preserve"> Կառավարության պարտքի կառուցվածքը</w:t>
      </w:r>
      <w:bookmarkEnd w:id="336"/>
    </w:p>
    <w:tbl>
      <w:tblPr>
        <w:tblW w:w="9270" w:type="dxa"/>
        <w:tblBorders>
          <w:bottom w:val="single" w:sz="4" w:space="0" w:color="auto"/>
        </w:tblBorders>
        <w:tblLayout w:type="fixed"/>
        <w:tblLook w:val="04A0" w:firstRow="1" w:lastRow="0" w:firstColumn="1" w:lastColumn="0" w:noHBand="0" w:noVBand="1"/>
      </w:tblPr>
      <w:tblGrid>
        <w:gridCol w:w="5058"/>
        <w:gridCol w:w="1422"/>
        <w:gridCol w:w="1350"/>
        <w:gridCol w:w="1440"/>
      </w:tblGrid>
      <w:tr w:rsidR="000C298C" w:rsidRPr="00324B27" w14:paraId="00184207" w14:textId="77777777" w:rsidTr="00B44E16">
        <w:trPr>
          <w:trHeight w:val="360"/>
          <w:tblHeader/>
        </w:trPr>
        <w:tc>
          <w:tcPr>
            <w:tcW w:w="5058" w:type="dxa"/>
            <w:tcBorders>
              <w:bottom w:val="single" w:sz="4" w:space="0" w:color="auto"/>
            </w:tcBorders>
            <w:shd w:val="clear" w:color="auto" w:fill="auto"/>
            <w:hideMark/>
          </w:tcPr>
          <w:p w14:paraId="6631114E" w14:textId="77777777" w:rsidR="000C298C" w:rsidRPr="00324B27" w:rsidRDefault="000C298C" w:rsidP="00B70363">
            <w:pPr>
              <w:spacing w:before="0" w:line="240" w:lineRule="auto"/>
              <w:jc w:val="center"/>
              <w:rPr>
                <w:b w:val="0"/>
                <w:bCs/>
                <w:color w:val="000000"/>
                <w:sz w:val="18"/>
                <w:szCs w:val="18"/>
                <w:lang w:val="hy-AM" w:eastAsia="en-US"/>
              </w:rPr>
            </w:pPr>
            <w:r w:rsidRPr="00324B27">
              <w:rPr>
                <w:rFonts w:ascii="Courier New" w:hAnsi="Courier New" w:cs="Courier New"/>
                <w:b w:val="0"/>
                <w:bCs/>
                <w:color w:val="000000"/>
                <w:sz w:val="18"/>
                <w:szCs w:val="18"/>
                <w:lang w:val="hy-AM" w:eastAsia="en-US"/>
              </w:rPr>
              <w:t> </w:t>
            </w:r>
          </w:p>
        </w:tc>
        <w:tc>
          <w:tcPr>
            <w:tcW w:w="1422" w:type="dxa"/>
            <w:tcBorders>
              <w:bottom w:val="single" w:sz="4" w:space="0" w:color="auto"/>
            </w:tcBorders>
            <w:shd w:val="clear" w:color="auto" w:fill="auto"/>
            <w:hideMark/>
          </w:tcPr>
          <w:p w14:paraId="0371BB13" w14:textId="77777777" w:rsidR="000C298C" w:rsidRPr="00324B27" w:rsidRDefault="000C298C" w:rsidP="00B70363">
            <w:pPr>
              <w:spacing w:before="0" w:line="240" w:lineRule="auto"/>
              <w:jc w:val="center"/>
              <w:rPr>
                <w:b w:val="0"/>
                <w:bCs/>
                <w:sz w:val="18"/>
                <w:szCs w:val="18"/>
                <w:lang w:val="hy-AM" w:eastAsia="en-US"/>
              </w:rPr>
            </w:pPr>
            <w:r w:rsidRPr="00324B27">
              <w:rPr>
                <w:b w:val="0"/>
                <w:bCs/>
                <w:sz w:val="18"/>
                <w:szCs w:val="18"/>
                <w:lang w:val="hy-AM" w:eastAsia="en-US"/>
              </w:rPr>
              <w:t>31.12.2022թ.</w:t>
            </w:r>
          </w:p>
        </w:tc>
        <w:tc>
          <w:tcPr>
            <w:tcW w:w="1350" w:type="dxa"/>
            <w:tcBorders>
              <w:bottom w:val="single" w:sz="4" w:space="0" w:color="auto"/>
            </w:tcBorders>
            <w:shd w:val="clear" w:color="auto" w:fill="auto"/>
            <w:hideMark/>
          </w:tcPr>
          <w:p w14:paraId="3D22844C" w14:textId="77777777" w:rsidR="000C298C" w:rsidRPr="00324B27" w:rsidRDefault="000C298C" w:rsidP="00B70363">
            <w:pPr>
              <w:spacing w:before="0" w:line="240" w:lineRule="auto"/>
              <w:jc w:val="center"/>
              <w:rPr>
                <w:b w:val="0"/>
                <w:bCs/>
                <w:sz w:val="18"/>
                <w:szCs w:val="18"/>
                <w:lang w:val="hy-AM" w:eastAsia="en-US"/>
              </w:rPr>
            </w:pPr>
            <w:r w:rsidRPr="00324B27">
              <w:rPr>
                <w:b w:val="0"/>
                <w:bCs/>
                <w:sz w:val="18"/>
                <w:szCs w:val="18"/>
                <w:lang w:val="hy-AM" w:eastAsia="en-US"/>
              </w:rPr>
              <w:t>31.12.2023թ.</w:t>
            </w:r>
          </w:p>
        </w:tc>
        <w:tc>
          <w:tcPr>
            <w:tcW w:w="1440" w:type="dxa"/>
            <w:tcBorders>
              <w:bottom w:val="single" w:sz="4" w:space="0" w:color="auto"/>
            </w:tcBorders>
            <w:shd w:val="clear" w:color="auto" w:fill="auto"/>
            <w:hideMark/>
          </w:tcPr>
          <w:p w14:paraId="703A1A85" w14:textId="77777777" w:rsidR="000C298C" w:rsidRPr="00324B27" w:rsidRDefault="000C298C" w:rsidP="00B70363">
            <w:pPr>
              <w:spacing w:before="0" w:line="240" w:lineRule="auto"/>
              <w:jc w:val="center"/>
              <w:rPr>
                <w:b w:val="0"/>
                <w:bCs/>
                <w:sz w:val="18"/>
                <w:szCs w:val="18"/>
                <w:lang w:val="hy-AM" w:eastAsia="en-US"/>
              </w:rPr>
            </w:pPr>
            <w:r w:rsidRPr="00324B27">
              <w:rPr>
                <w:b w:val="0"/>
                <w:bCs/>
                <w:sz w:val="18"/>
                <w:szCs w:val="18"/>
                <w:lang w:val="hy-AM" w:eastAsia="en-US"/>
              </w:rPr>
              <w:t xml:space="preserve">   31.12.2024թ.</w:t>
            </w:r>
          </w:p>
        </w:tc>
      </w:tr>
      <w:tr w:rsidR="000C298C" w:rsidRPr="00324B27" w14:paraId="32832CCD" w14:textId="77777777" w:rsidTr="00B44E16">
        <w:trPr>
          <w:trHeight w:val="360"/>
        </w:trPr>
        <w:tc>
          <w:tcPr>
            <w:tcW w:w="9270" w:type="dxa"/>
            <w:gridSpan w:val="4"/>
            <w:tcBorders>
              <w:top w:val="single" w:sz="4" w:space="0" w:color="auto"/>
            </w:tcBorders>
            <w:shd w:val="clear" w:color="auto" w:fill="auto"/>
            <w:vAlign w:val="center"/>
            <w:hideMark/>
          </w:tcPr>
          <w:p w14:paraId="3DA9B4A0" w14:textId="77777777" w:rsidR="000C298C" w:rsidRPr="00324B27" w:rsidRDefault="000C298C" w:rsidP="00B70363">
            <w:pPr>
              <w:spacing w:before="0" w:line="240" w:lineRule="auto"/>
              <w:ind w:left="540"/>
              <w:jc w:val="left"/>
              <w:rPr>
                <w:b w:val="0"/>
                <w:bCs/>
                <w:color w:val="000000"/>
                <w:sz w:val="18"/>
                <w:szCs w:val="18"/>
                <w:lang w:val="hy-AM" w:eastAsia="en-US"/>
              </w:rPr>
            </w:pPr>
            <w:r w:rsidRPr="00324B27">
              <w:rPr>
                <w:b w:val="0"/>
                <w:bCs/>
                <w:color w:val="000000"/>
                <w:sz w:val="18"/>
                <w:szCs w:val="18"/>
                <w:lang w:val="hy-AM" w:eastAsia="en-US"/>
              </w:rPr>
              <w:t>Կառուցվածքն ըստ ռեզիդենտության, մլրդ դրամ*</w:t>
            </w:r>
          </w:p>
        </w:tc>
      </w:tr>
      <w:tr w:rsidR="000C298C" w:rsidRPr="00324B27" w14:paraId="2E33288E" w14:textId="77777777" w:rsidTr="00B44E16">
        <w:trPr>
          <w:trHeight w:val="360"/>
        </w:trPr>
        <w:tc>
          <w:tcPr>
            <w:tcW w:w="5058" w:type="dxa"/>
            <w:shd w:val="clear" w:color="auto" w:fill="auto"/>
            <w:vAlign w:val="center"/>
            <w:hideMark/>
          </w:tcPr>
          <w:p w14:paraId="6D5A914E"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ներքին պարտք</w:t>
            </w:r>
          </w:p>
        </w:tc>
        <w:tc>
          <w:tcPr>
            <w:tcW w:w="1422" w:type="dxa"/>
            <w:tcBorders>
              <w:bottom w:val="nil"/>
            </w:tcBorders>
            <w:shd w:val="clear" w:color="auto" w:fill="auto"/>
          </w:tcPr>
          <w:p w14:paraId="46855F90"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1,650</w:t>
            </w:r>
          </w:p>
        </w:tc>
        <w:tc>
          <w:tcPr>
            <w:tcW w:w="1350" w:type="dxa"/>
            <w:tcBorders>
              <w:bottom w:val="nil"/>
            </w:tcBorders>
            <w:shd w:val="clear" w:color="auto" w:fill="auto"/>
          </w:tcPr>
          <w:p w14:paraId="05AFE577"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1,958</w:t>
            </w:r>
          </w:p>
        </w:tc>
        <w:tc>
          <w:tcPr>
            <w:tcW w:w="1440" w:type="dxa"/>
            <w:tcBorders>
              <w:bottom w:val="nil"/>
            </w:tcBorders>
            <w:shd w:val="clear" w:color="auto" w:fill="auto"/>
          </w:tcPr>
          <w:p w14:paraId="4802CB04"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2,296</w:t>
            </w:r>
          </w:p>
        </w:tc>
      </w:tr>
      <w:tr w:rsidR="000C298C" w:rsidRPr="00324B27" w14:paraId="2003087E" w14:textId="77777777" w:rsidTr="00B44E16">
        <w:trPr>
          <w:trHeight w:val="360"/>
        </w:trPr>
        <w:tc>
          <w:tcPr>
            <w:tcW w:w="5058" w:type="dxa"/>
            <w:tcBorders>
              <w:bottom w:val="single" w:sz="4" w:space="0" w:color="auto"/>
            </w:tcBorders>
            <w:shd w:val="clear" w:color="auto" w:fill="auto"/>
            <w:vAlign w:val="center"/>
            <w:hideMark/>
          </w:tcPr>
          <w:p w14:paraId="7BA789BA"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արտաքին պարտք</w:t>
            </w:r>
          </w:p>
        </w:tc>
        <w:tc>
          <w:tcPr>
            <w:tcW w:w="1422" w:type="dxa"/>
            <w:tcBorders>
              <w:bottom w:val="single" w:sz="4" w:space="0" w:color="auto"/>
            </w:tcBorders>
            <w:shd w:val="clear" w:color="auto" w:fill="auto"/>
          </w:tcPr>
          <w:p w14:paraId="655BA2F9"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2,320</w:t>
            </w:r>
          </w:p>
        </w:tc>
        <w:tc>
          <w:tcPr>
            <w:tcW w:w="1350" w:type="dxa"/>
            <w:tcBorders>
              <w:bottom w:val="single" w:sz="4" w:space="0" w:color="auto"/>
            </w:tcBorders>
            <w:shd w:val="clear" w:color="auto" w:fill="auto"/>
          </w:tcPr>
          <w:p w14:paraId="078814C9"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2,484</w:t>
            </w:r>
          </w:p>
        </w:tc>
        <w:tc>
          <w:tcPr>
            <w:tcW w:w="1440" w:type="dxa"/>
            <w:tcBorders>
              <w:bottom w:val="single" w:sz="4" w:space="0" w:color="auto"/>
            </w:tcBorders>
            <w:shd w:val="clear" w:color="auto" w:fill="auto"/>
          </w:tcPr>
          <w:p w14:paraId="0A920CD5"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hy-AM" w:eastAsia="en-US"/>
              </w:rPr>
            </w:pPr>
            <w:r w:rsidRPr="00324B27">
              <w:rPr>
                <w:rFonts w:cs="GHEA Grapalat"/>
                <w:b w:val="0"/>
                <w:sz w:val="18"/>
                <w:szCs w:val="18"/>
                <w:lang w:val="en-US" w:eastAsia="en-US"/>
              </w:rPr>
              <w:t>2,78</w:t>
            </w:r>
            <w:r w:rsidRPr="00324B27">
              <w:rPr>
                <w:rFonts w:cs="GHEA Grapalat"/>
                <w:b w:val="0"/>
                <w:sz w:val="18"/>
                <w:szCs w:val="18"/>
                <w:lang w:val="hy-AM" w:eastAsia="en-US"/>
              </w:rPr>
              <w:t>7</w:t>
            </w:r>
          </w:p>
        </w:tc>
      </w:tr>
      <w:tr w:rsidR="000C298C" w:rsidRPr="00864B6B" w14:paraId="01D379EE" w14:textId="77777777" w:rsidTr="00B44E16">
        <w:trPr>
          <w:trHeight w:val="360"/>
        </w:trPr>
        <w:tc>
          <w:tcPr>
            <w:tcW w:w="9270" w:type="dxa"/>
            <w:gridSpan w:val="4"/>
            <w:shd w:val="clear" w:color="auto" w:fill="auto"/>
            <w:vAlign w:val="center"/>
            <w:hideMark/>
          </w:tcPr>
          <w:p w14:paraId="2F699DB2" w14:textId="77777777" w:rsidR="000C298C" w:rsidRPr="00324B27" w:rsidRDefault="000C298C" w:rsidP="00B70363">
            <w:pPr>
              <w:spacing w:before="0" w:line="240" w:lineRule="auto"/>
              <w:ind w:left="540"/>
              <w:jc w:val="center"/>
              <w:rPr>
                <w:b w:val="0"/>
                <w:bCs/>
                <w:color w:val="000000"/>
                <w:sz w:val="18"/>
                <w:szCs w:val="18"/>
                <w:lang w:val="hy-AM" w:eastAsia="en-US"/>
              </w:rPr>
            </w:pPr>
            <w:r w:rsidRPr="00324B27">
              <w:rPr>
                <w:b w:val="0"/>
                <w:bCs/>
                <w:color w:val="000000"/>
                <w:sz w:val="18"/>
                <w:szCs w:val="18"/>
                <w:lang w:val="hy-AM" w:eastAsia="en-US"/>
              </w:rPr>
              <w:t>Կառուցվածքն ըստ գործիքակազմի, մլրդ դրամ</w:t>
            </w:r>
          </w:p>
        </w:tc>
      </w:tr>
      <w:tr w:rsidR="000C298C" w:rsidRPr="00324B27" w14:paraId="01B122AF" w14:textId="77777777" w:rsidTr="00B44E16">
        <w:trPr>
          <w:trHeight w:val="360"/>
        </w:trPr>
        <w:tc>
          <w:tcPr>
            <w:tcW w:w="5058" w:type="dxa"/>
            <w:shd w:val="clear" w:color="auto" w:fill="auto"/>
            <w:vAlign w:val="center"/>
            <w:hideMark/>
          </w:tcPr>
          <w:p w14:paraId="28F93EC8"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արտաքին վարկեր և փոխառություններ</w:t>
            </w:r>
          </w:p>
        </w:tc>
        <w:tc>
          <w:tcPr>
            <w:tcW w:w="1422" w:type="dxa"/>
            <w:shd w:val="clear" w:color="auto" w:fill="auto"/>
          </w:tcPr>
          <w:p w14:paraId="7CEA55A6"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1,773</w:t>
            </w:r>
          </w:p>
        </w:tc>
        <w:tc>
          <w:tcPr>
            <w:tcW w:w="1350" w:type="dxa"/>
            <w:shd w:val="clear" w:color="auto" w:fill="auto"/>
          </w:tcPr>
          <w:p w14:paraId="44E4ADBA"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1,909</w:t>
            </w:r>
          </w:p>
        </w:tc>
        <w:tc>
          <w:tcPr>
            <w:tcW w:w="1440" w:type="dxa"/>
            <w:shd w:val="clear" w:color="auto" w:fill="auto"/>
          </w:tcPr>
          <w:p w14:paraId="13E98C1E"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hy-AM" w:eastAsia="en-US"/>
              </w:rPr>
            </w:pPr>
            <w:r w:rsidRPr="00324B27">
              <w:rPr>
                <w:rFonts w:cs="GHEA Grapalat"/>
                <w:b w:val="0"/>
                <w:sz w:val="18"/>
                <w:szCs w:val="18"/>
                <w:lang w:val="en-US" w:eastAsia="en-US"/>
              </w:rPr>
              <w:t>2,16</w:t>
            </w:r>
            <w:r w:rsidRPr="00324B27">
              <w:rPr>
                <w:rFonts w:cs="GHEA Grapalat"/>
                <w:b w:val="0"/>
                <w:sz w:val="18"/>
                <w:szCs w:val="18"/>
                <w:lang w:val="hy-AM" w:eastAsia="en-US"/>
              </w:rPr>
              <w:t>1</w:t>
            </w:r>
          </w:p>
        </w:tc>
      </w:tr>
      <w:tr w:rsidR="000C298C" w:rsidRPr="00324B27" w14:paraId="6EFCB2C5" w14:textId="77777777" w:rsidTr="00B44E16">
        <w:trPr>
          <w:trHeight w:val="360"/>
        </w:trPr>
        <w:tc>
          <w:tcPr>
            <w:tcW w:w="5058" w:type="dxa"/>
            <w:shd w:val="clear" w:color="auto" w:fill="auto"/>
            <w:vAlign w:val="center"/>
            <w:hideMark/>
          </w:tcPr>
          <w:p w14:paraId="038C4781"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պետական գանձապետական պարտատոմսեր</w:t>
            </w:r>
          </w:p>
        </w:tc>
        <w:tc>
          <w:tcPr>
            <w:tcW w:w="1422" w:type="dxa"/>
            <w:shd w:val="clear" w:color="auto" w:fill="auto"/>
          </w:tcPr>
          <w:p w14:paraId="379FCE9F"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1,496</w:t>
            </w:r>
          </w:p>
        </w:tc>
        <w:tc>
          <w:tcPr>
            <w:tcW w:w="1350" w:type="dxa"/>
            <w:shd w:val="clear" w:color="auto" w:fill="auto"/>
          </w:tcPr>
          <w:p w14:paraId="08C6816C"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1,889</w:t>
            </w:r>
          </w:p>
        </w:tc>
        <w:tc>
          <w:tcPr>
            <w:tcW w:w="1440" w:type="dxa"/>
            <w:shd w:val="clear" w:color="auto" w:fill="auto"/>
          </w:tcPr>
          <w:p w14:paraId="425FC45B"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2,247</w:t>
            </w:r>
          </w:p>
        </w:tc>
      </w:tr>
      <w:tr w:rsidR="000C298C" w:rsidRPr="00324B27" w14:paraId="5517E4B0" w14:textId="77777777" w:rsidTr="00B44E16">
        <w:trPr>
          <w:trHeight w:val="360"/>
        </w:trPr>
        <w:tc>
          <w:tcPr>
            <w:tcW w:w="5058" w:type="dxa"/>
            <w:shd w:val="clear" w:color="auto" w:fill="auto"/>
            <w:vAlign w:val="center"/>
            <w:hideMark/>
          </w:tcPr>
          <w:p w14:paraId="6F6315FE"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արտարժութային պետական պարտատոմսեր</w:t>
            </w:r>
          </w:p>
        </w:tc>
        <w:tc>
          <w:tcPr>
            <w:tcW w:w="1422" w:type="dxa"/>
            <w:shd w:val="clear" w:color="auto" w:fill="auto"/>
          </w:tcPr>
          <w:p w14:paraId="474F96CD" w14:textId="77777777" w:rsidR="000C298C" w:rsidRPr="00324B27" w:rsidRDefault="000C298C" w:rsidP="00B70363">
            <w:pPr>
              <w:autoSpaceDE w:val="0"/>
              <w:autoSpaceDN w:val="0"/>
              <w:adjustRightInd w:val="0"/>
              <w:spacing w:before="0" w:line="240" w:lineRule="auto"/>
              <w:jc w:val="center"/>
              <w:rPr>
                <w:rFonts w:cs="GHEA Grapalat"/>
                <w:b w:val="0"/>
                <w:i/>
                <w:iCs/>
                <w:sz w:val="18"/>
                <w:szCs w:val="18"/>
                <w:lang w:val="en-US" w:eastAsia="en-US"/>
              </w:rPr>
            </w:pPr>
            <w:r w:rsidRPr="00324B27">
              <w:rPr>
                <w:rFonts w:cs="GHEA Grapalat"/>
                <w:b w:val="0"/>
                <w:i/>
                <w:iCs/>
                <w:sz w:val="18"/>
                <w:szCs w:val="18"/>
                <w:lang w:val="en-US" w:eastAsia="en-US"/>
              </w:rPr>
              <w:t>689</w:t>
            </w:r>
          </w:p>
        </w:tc>
        <w:tc>
          <w:tcPr>
            <w:tcW w:w="1350" w:type="dxa"/>
            <w:shd w:val="clear" w:color="auto" w:fill="auto"/>
          </w:tcPr>
          <w:p w14:paraId="5359151B" w14:textId="77777777" w:rsidR="000C298C" w:rsidRPr="00324B27" w:rsidRDefault="000C298C" w:rsidP="00B70363">
            <w:pPr>
              <w:autoSpaceDE w:val="0"/>
              <w:autoSpaceDN w:val="0"/>
              <w:adjustRightInd w:val="0"/>
              <w:spacing w:before="0" w:line="240" w:lineRule="auto"/>
              <w:jc w:val="center"/>
              <w:rPr>
                <w:rFonts w:cs="GHEA Grapalat"/>
                <w:b w:val="0"/>
                <w:i/>
                <w:iCs/>
                <w:sz w:val="18"/>
                <w:szCs w:val="18"/>
                <w:lang w:val="en-US" w:eastAsia="en-US"/>
              </w:rPr>
            </w:pPr>
            <w:r w:rsidRPr="00324B27">
              <w:rPr>
                <w:rFonts w:cs="GHEA Grapalat"/>
                <w:b w:val="0"/>
                <w:i/>
                <w:iCs/>
                <w:sz w:val="18"/>
                <w:szCs w:val="18"/>
                <w:lang w:val="en-US" w:eastAsia="en-US"/>
              </w:rPr>
              <w:t>636</w:t>
            </w:r>
          </w:p>
        </w:tc>
        <w:tc>
          <w:tcPr>
            <w:tcW w:w="1440" w:type="dxa"/>
            <w:shd w:val="clear" w:color="auto" w:fill="auto"/>
          </w:tcPr>
          <w:p w14:paraId="1B8B9676" w14:textId="77777777" w:rsidR="000C298C" w:rsidRPr="00324B27" w:rsidRDefault="000C298C" w:rsidP="00B70363">
            <w:pPr>
              <w:autoSpaceDE w:val="0"/>
              <w:autoSpaceDN w:val="0"/>
              <w:adjustRightInd w:val="0"/>
              <w:spacing w:before="0" w:line="240" w:lineRule="auto"/>
              <w:jc w:val="center"/>
              <w:rPr>
                <w:rFonts w:cs="GHEA Grapalat"/>
                <w:b w:val="0"/>
                <w:i/>
                <w:iCs/>
                <w:sz w:val="18"/>
                <w:szCs w:val="18"/>
                <w:lang w:val="en-US" w:eastAsia="en-US"/>
              </w:rPr>
            </w:pPr>
            <w:r w:rsidRPr="00324B27">
              <w:rPr>
                <w:rFonts w:cs="GHEA Grapalat"/>
                <w:b w:val="0"/>
                <w:i/>
                <w:iCs/>
                <w:sz w:val="18"/>
                <w:szCs w:val="18"/>
                <w:lang w:val="en-US" w:eastAsia="en-US"/>
              </w:rPr>
              <w:t>668</w:t>
            </w:r>
          </w:p>
        </w:tc>
      </w:tr>
      <w:tr w:rsidR="000C298C" w:rsidRPr="00324B27" w14:paraId="68326F1F" w14:textId="77777777" w:rsidTr="00B44E16">
        <w:trPr>
          <w:trHeight w:val="360"/>
        </w:trPr>
        <w:tc>
          <w:tcPr>
            <w:tcW w:w="5058" w:type="dxa"/>
            <w:shd w:val="clear" w:color="auto" w:fill="auto"/>
            <w:vAlign w:val="center"/>
            <w:hideMark/>
          </w:tcPr>
          <w:p w14:paraId="10AD1A25"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արտաքին երաշխիքներ</w:t>
            </w:r>
          </w:p>
        </w:tc>
        <w:tc>
          <w:tcPr>
            <w:tcW w:w="1422" w:type="dxa"/>
            <w:tcBorders>
              <w:bottom w:val="nil"/>
            </w:tcBorders>
            <w:shd w:val="clear" w:color="auto" w:fill="auto"/>
          </w:tcPr>
          <w:p w14:paraId="5BD0A7A0" w14:textId="77777777" w:rsidR="000C298C" w:rsidRPr="00324B27" w:rsidRDefault="000C298C" w:rsidP="00B70363">
            <w:pPr>
              <w:autoSpaceDE w:val="0"/>
              <w:autoSpaceDN w:val="0"/>
              <w:adjustRightInd w:val="0"/>
              <w:spacing w:before="0" w:line="240" w:lineRule="auto"/>
              <w:jc w:val="center"/>
              <w:rPr>
                <w:rFonts w:cs="GHEA Grapalat"/>
                <w:b w:val="0"/>
                <w:i/>
                <w:iCs/>
                <w:sz w:val="18"/>
                <w:szCs w:val="18"/>
                <w:lang w:val="en-US" w:eastAsia="en-US"/>
              </w:rPr>
            </w:pPr>
            <w:r w:rsidRPr="00324B27">
              <w:rPr>
                <w:rFonts w:cs="GHEA Grapalat"/>
                <w:b w:val="0"/>
                <w:i/>
                <w:iCs/>
                <w:sz w:val="18"/>
                <w:szCs w:val="18"/>
                <w:lang w:val="en-US" w:eastAsia="en-US"/>
              </w:rPr>
              <w:t>3</w:t>
            </w:r>
          </w:p>
        </w:tc>
        <w:tc>
          <w:tcPr>
            <w:tcW w:w="1350" w:type="dxa"/>
            <w:tcBorders>
              <w:bottom w:val="nil"/>
            </w:tcBorders>
            <w:shd w:val="clear" w:color="auto" w:fill="auto"/>
          </w:tcPr>
          <w:p w14:paraId="6EBB8914" w14:textId="77777777" w:rsidR="000C298C" w:rsidRPr="00324B27" w:rsidRDefault="000C298C" w:rsidP="00B70363">
            <w:pPr>
              <w:autoSpaceDE w:val="0"/>
              <w:autoSpaceDN w:val="0"/>
              <w:adjustRightInd w:val="0"/>
              <w:spacing w:before="0" w:line="240" w:lineRule="auto"/>
              <w:jc w:val="center"/>
              <w:rPr>
                <w:rFonts w:cs="GHEA Grapalat"/>
                <w:b w:val="0"/>
                <w:i/>
                <w:iCs/>
                <w:sz w:val="18"/>
                <w:szCs w:val="18"/>
                <w:lang w:val="en-US" w:eastAsia="en-US"/>
              </w:rPr>
            </w:pPr>
            <w:r w:rsidRPr="00324B27">
              <w:rPr>
                <w:rFonts w:cs="GHEA Grapalat"/>
                <w:b w:val="0"/>
                <w:i/>
                <w:iCs/>
                <w:sz w:val="18"/>
                <w:szCs w:val="18"/>
                <w:lang w:val="en-US" w:eastAsia="en-US"/>
              </w:rPr>
              <w:t>3</w:t>
            </w:r>
          </w:p>
        </w:tc>
        <w:tc>
          <w:tcPr>
            <w:tcW w:w="1440" w:type="dxa"/>
            <w:tcBorders>
              <w:bottom w:val="nil"/>
            </w:tcBorders>
            <w:shd w:val="clear" w:color="auto" w:fill="auto"/>
          </w:tcPr>
          <w:p w14:paraId="2B86A9F2" w14:textId="77777777" w:rsidR="000C298C" w:rsidRPr="00324B27" w:rsidRDefault="000C298C" w:rsidP="00B70363">
            <w:pPr>
              <w:autoSpaceDE w:val="0"/>
              <w:autoSpaceDN w:val="0"/>
              <w:adjustRightInd w:val="0"/>
              <w:spacing w:before="0" w:line="240" w:lineRule="auto"/>
              <w:jc w:val="center"/>
              <w:rPr>
                <w:rFonts w:cs="GHEA Grapalat"/>
                <w:b w:val="0"/>
                <w:i/>
                <w:iCs/>
                <w:sz w:val="18"/>
                <w:szCs w:val="18"/>
                <w:lang w:val="en-US" w:eastAsia="en-US"/>
              </w:rPr>
            </w:pPr>
            <w:r w:rsidRPr="00324B27">
              <w:rPr>
                <w:rFonts w:cs="GHEA Grapalat"/>
                <w:b w:val="0"/>
                <w:i/>
                <w:iCs/>
                <w:sz w:val="18"/>
                <w:szCs w:val="18"/>
                <w:lang w:val="en-US" w:eastAsia="en-US"/>
              </w:rPr>
              <w:t>3</w:t>
            </w:r>
          </w:p>
        </w:tc>
      </w:tr>
      <w:tr w:rsidR="000C298C" w:rsidRPr="00324B27" w14:paraId="21F0AE16" w14:textId="77777777" w:rsidTr="00B44E16">
        <w:trPr>
          <w:trHeight w:val="360"/>
        </w:trPr>
        <w:tc>
          <w:tcPr>
            <w:tcW w:w="5058" w:type="dxa"/>
            <w:tcBorders>
              <w:bottom w:val="single" w:sz="4" w:space="0" w:color="auto"/>
            </w:tcBorders>
            <w:shd w:val="clear" w:color="auto" w:fill="auto"/>
            <w:vAlign w:val="center"/>
            <w:hideMark/>
          </w:tcPr>
          <w:p w14:paraId="71DDD9AA"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ներքին երաշխիքներ</w:t>
            </w:r>
          </w:p>
        </w:tc>
        <w:tc>
          <w:tcPr>
            <w:tcW w:w="1422" w:type="dxa"/>
            <w:tcBorders>
              <w:bottom w:val="single" w:sz="4" w:space="0" w:color="auto"/>
            </w:tcBorders>
            <w:shd w:val="clear" w:color="auto" w:fill="auto"/>
          </w:tcPr>
          <w:p w14:paraId="66F4540E"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9</w:t>
            </w:r>
          </w:p>
        </w:tc>
        <w:tc>
          <w:tcPr>
            <w:tcW w:w="1350" w:type="dxa"/>
            <w:tcBorders>
              <w:bottom w:val="single" w:sz="4" w:space="0" w:color="auto"/>
            </w:tcBorders>
            <w:shd w:val="clear" w:color="auto" w:fill="auto"/>
          </w:tcPr>
          <w:p w14:paraId="46497C52"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5</w:t>
            </w:r>
          </w:p>
        </w:tc>
        <w:tc>
          <w:tcPr>
            <w:tcW w:w="1440" w:type="dxa"/>
            <w:tcBorders>
              <w:bottom w:val="single" w:sz="4" w:space="0" w:color="auto"/>
            </w:tcBorders>
            <w:shd w:val="clear" w:color="auto" w:fill="auto"/>
          </w:tcPr>
          <w:p w14:paraId="0C332A76"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4</w:t>
            </w:r>
          </w:p>
        </w:tc>
      </w:tr>
      <w:tr w:rsidR="000C298C" w:rsidRPr="00864B6B" w14:paraId="7A8453C0" w14:textId="77777777" w:rsidTr="00B44E16">
        <w:trPr>
          <w:trHeight w:val="360"/>
        </w:trPr>
        <w:tc>
          <w:tcPr>
            <w:tcW w:w="9270" w:type="dxa"/>
            <w:gridSpan w:val="4"/>
            <w:shd w:val="clear" w:color="auto" w:fill="auto"/>
            <w:vAlign w:val="center"/>
            <w:hideMark/>
          </w:tcPr>
          <w:p w14:paraId="295344D4" w14:textId="77777777" w:rsidR="000C298C" w:rsidRPr="00324B27" w:rsidRDefault="000C298C" w:rsidP="00B70363">
            <w:pPr>
              <w:spacing w:before="0" w:line="240" w:lineRule="auto"/>
              <w:ind w:left="540"/>
              <w:jc w:val="center"/>
              <w:rPr>
                <w:b w:val="0"/>
                <w:bCs/>
                <w:color w:val="000000"/>
                <w:sz w:val="18"/>
                <w:szCs w:val="18"/>
                <w:lang w:val="hy-AM" w:eastAsia="en-US"/>
              </w:rPr>
            </w:pPr>
            <w:r w:rsidRPr="00324B27">
              <w:rPr>
                <w:b w:val="0"/>
                <w:bCs/>
                <w:color w:val="000000"/>
                <w:sz w:val="18"/>
                <w:szCs w:val="18"/>
                <w:lang w:val="hy-AM" w:eastAsia="en-US"/>
              </w:rPr>
              <w:t>Արժութային կառուցվածքը, մլրդ դրամ</w:t>
            </w:r>
          </w:p>
        </w:tc>
      </w:tr>
      <w:tr w:rsidR="000C298C" w:rsidRPr="00324B27" w14:paraId="4DF900C6" w14:textId="77777777" w:rsidTr="00B44E16">
        <w:trPr>
          <w:trHeight w:val="360"/>
        </w:trPr>
        <w:tc>
          <w:tcPr>
            <w:tcW w:w="5058" w:type="dxa"/>
            <w:shd w:val="clear" w:color="auto" w:fill="auto"/>
            <w:vAlign w:val="center"/>
            <w:hideMark/>
          </w:tcPr>
          <w:p w14:paraId="418DEBAE"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ՀՀ դրամով ներգրավված պարտք</w:t>
            </w:r>
          </w:p>
        </w:tc>
        <w:tc>
          <w:tcPr>
            <w:tcW w:w="1422" w:type="dxa"/>
            <w:tcBorders>
              <w:bottom w:val="nil"/>
            </w:tcBorders>
            <w:shd w:val="clear" w:color="auto" w:fill="auto"/>
          </w:tcPr>
          <w:p w14:paraId="7C9740A8"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1,505</w:t>
            </w:r>
          </w:p>
        </w:tc>
        <w:tc>
          <w:tcPr>
            <w:tcW w:w="1350" w:type="dxa"/>
            <w:tcBorders>
              <w:bottom w:val="nil"/>
            </w:tcBorders>
            <w:shd w:val="clear" w:color="auto" w:fill="auto"/>
          </w:tcPr>
          <w:p w14:paraId="5198740D"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1,893</w:t>
            </w:r>
          </w:p>
        </w:tc>
        <w:tc>
          <w:tcPr>
            <w:tcW w:w="1440" w:type="dxa"/>
            <w:tcBorders>
              <w:bottom w:val="nil"/>
            </w:tcBorders>
            <w:shd w:val="clear" w:color="auto" w:fill="auto"/>
          </w:tcPr>
          <w:p w14:paraId="60A8FCD9"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2,251</w:t>
            </w:r>
          </w:p>
        </w:tc>
      </w:tr>
      <w:tr w:rsidR="000C298C" w:rsidRPr="00324B27" w14:paraId="73E29FA3" w14:textId="77777777" w:rsidTr="00B44E16">
        <w:trPr>
          <w:trHeight w:val="360"/>
        </w:trPr>
        <w:tc>
          <w:tcPr>
            <w:tcW w:w="5058" w:type="dxa"/>
            <w:tcBorders>
              <w:bottom w:val="single" w:sz="4" w:space="0" w:color="auto"/>
            </w:tcBorders>
            <w:shd w:val="clear" w:color="auto" w:fill="auto"/>
            <w:vAlign w:val="center"/>
            <w:hideMark/>
          </w:tcPr>
          <w:p w14:paraId="649F9401"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արտարժույթով ներգրավված պարտք</w:t>
            </w:r>
          </w:p>
        </w:tc>
        <w:tc>
          <w:tcPr>
            <w:tcW w:w="1422" w:type="dxa"/>
            <w:tcBorders>
              <w:bottom w:val="single" w:sz="4" w:space="0" w:color="auto"/>
            </w:tcBorders>
            <w:shd w:val="clear" w:color="auto" w:fill="auto"/>
          </w:tcPr>
          <w:p w14:paraId="58FDCFAA"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2,464</w:t>
            </w:r>
          </w:p>
        </w:tc>
        <w:tc>
          <w:tcPr>
            <w:tcW w:w="1350" w:type="dxa"/>
            <w:tcBorders>
              <w:bottom w:val="single" w:sz="4" w:space="0" w:color="auto"/>
            </w:tcBorders>
            <w:shd w:val="clear" w:color="auto" w:fill="auto"/>
          </w:tcPr>
          <w:p w14:paraId="1C149CC7"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2,548</w:t>
            </w:r>
          </w:p>
        </w:tc>
        <w:tc>
          <w:tcPr>
            <w:tcW w:w="1440" w:type="dxa"/>
            <w:tcBorders>
              <w:bottom w:val="single" w:sz="4" w:space="0" w:color="auto"/>
            </w:tcBorders>
            <w:shd w:val="clear" w:color="auto" w:fill="auto"/>
          </w:tcPr>
          <w:p w14:paraId="5DCF46F9"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2,832</w:t>
            </w:r>
          </w:p>
        </w:tc>
      </w:tr>
      <w:tr w:rsidR="000C298C" w:rsidRPr="00864B6B" w14:paraId="70D6C5D4" w14:textId="77777777" w:rsidTr="00B44E16">
        <w:trPr>
          <w:trHeight w:val="360"/>
        </w:trPr>
        <w:tc>
          <w:tcPr>
            <w:tcW w:w="9270" w:type="dxa"/>
            <w:gridSpan w:val="4"/>
            <w:shd w:val="clear" w:color="auto" w:fill="auto"/>
            <w:vAlign w:val="center"/>
            <w:hideMark/>
          </w:tcPr>
          <w:p w14:paraId="5813209B" w14:textId="77777777" w:rsidR="000C298C" w:rsidRPr="00324B27" w:rsidRDefault="000C298C" w:rsidP="00B70363">
            <w:pPr>
              <w:spacing w:before="0" w:line="240" w:lineRule="auto"/>
              <w:ind w:left="540"/>
              <w:jc w:val="center"/>
              <w:rPr>
                <w:b w:val="0"/>
                <w:bCs/>
                <w:color w:val="000000"/>
                <w:sz w:val="18"/>
                <w:szCs w:val="18"/>
                <w:lang w:val="hy-AM" w:eastAsia="en-US"/>
              </w:rPr>
            </w:pPr>
            <w:r w:rsidRPr="00324B27">
              <w:rPr>
                <w:b w:val="0"/>
                <w:bCs/>
                <w:color w:val="000000"/>
                <w:sz w:val="18"/>
                <w:szCs w:val="18"/>
                <w:lang w:val="hy-AM" w:eastAsia="en-US"/>
              </w:rPr>
              <w:t>Կառուցվածքն ըստ տոկոսադրույքի տեսակի, մլրդ դրամ</w:t>
            </w:r>
          </w:p>
        </w:tc>
      </w:tr>
      <w:tr w:rsidR="000C298C" w:rsidRPr="00324B27" w14:paraId="4B655C66" w14:textId="77777777" w:rsidTr="00B44E16">
        <w:trPr>
          <w:trHeight w:val="360"/>
        </w:trPr>
        <w:tc>
          <w:tcPr>
            <w:tcW w:w="5058" w:type="dxa"/>
            <w:shd w:val="clear" w:color="auto" w:fill="auto"/>
            <w:vAlign w:val="center"/>
            <w:hideMark/>
          </w:tcPr>
          <w:p w14:paraId="7A7048F4"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լողացող տոկոսադրույքով</w:t>
            </w:r>
          </w:p>
        </w:tc>
        <w:tc>
          <w:tcPr>
            <w:tcW w:w="1422" w:type="dxa"/>
            <w:tcBorders>
              <w:bottom w:val="nil"/>
            </w:tcBorders>
            <w:shd w:val="clear" w:color="auto" w:fill="auto"/>
          </w:tcPr>
          <w:p w14:paraId="40ABAB0E"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659</w:t>
            </w:r>
          </w:p>
        </w:tc>
        <w:tc>
          <w:tcPr>
            <w:tcW w:w="1350" w:type="dxa"/>
            <w:tcBorders>
              <w:bottom w:val="nil"/>
            </w:tcBorders>
            <w:shd w:val="clear" w:color="auto" w:fill="auto"/>
          </w:tcPr>
          <w:p w14:paraId="14CE2004"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758</w:t>
            </w:r>
          </w:p>
        </w:tc>
        <w:tc>
          <w:tcPr>
            <w:tcW w:w="1440" w:type="dxa"/>
            <w:tcBorders>
              <w:bottom w:val="nil"/>
            </w:tcBorders>
            <w:shd w:val="clear" w:color="auto" w:fill="auto"/>
          </w:tcPr>
          <w:p w14:paraId="42AEEA75"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914</w:t>
            </w:r>
          </w:p>
        </w:tc>
      </w:tr>
      <w:tr w:rsidR="000C298C" w:rsidRPr="00324B27" w14:paraId="3162C678" w14:textId="77777777" w:rsidTr="00B44E16">
        <w:trPr>
          <w:trHeight w:val="360"/>
        </w:trPr>
        <w:tc>
          <w:tcPr>
            <w:tcW w:w="5058" w:type="dxa"/>
            <w:tcBorders>
              <w:bottom w:val="single" w:sz="4" w:space="0" w:color="auto"/>
            </w:tcBorders>
            <w:shd w:val="clear" w:color="auto" w:fill="auto"/>
            <w:vAlign w:val="center"/>
            <w:hideMark/>
          </w:tcPr>
          <w:p w14:paraId="0A96A35A" w14:textId="77777777" w:rsidR="000C298C" w:rsidRPr="00324B27" w:rsidRDefault="000C298C" w:rsidP="00B70363">
            <w:pPr>
              <w:spacing w:before="0" w:line="240" w:lineRule="auto"/>
              <w:jc w:val="left"/>
              <w:rPr>
                <w:b w:val="0"/>
                <w:bCs/>
                <w:color w:val="000000"/>
                <w:sz w:val="18"/>
                <w:szCs w:val="18"/>
                <w:lang w:val="hy-AM" w:eastAsia="en-US"/>
              </w:rPr>
            </w:pPr>
            <w:r w:rsidRPr="00324B27">
              <w:rPr>
                <w:b w:val="0"/>
                <w:bCs/>
                <w:color w:val="000000"/>
                <w:sz w:val="18"/>
                <w:szCs w:val="18"/>
                <w:lang w:val="hy-AM" w:eastAsia="en-US"/>
              </w:rPr>
              <w:t>ֆիքսված տոկոսադրույքով</w:t>
            </w:r>
          </w:p>
        </w:tc>
        <w:tc>
          <w:tcPr>
            <w:tcW w:w="1422" w:type="dxa"/>
            <w:tcBorders>
              <w:bottom w:val="single" w:sz="4" w:space="0" w:color="auto"/>
            </w:tcBorders>
            <w:shd w:val="clear" w:color="auto" w:fill="auto"/>
          </w:tcPr>
          <w:p w14:paraId="5005758E"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3,311</w:t>
            </w:r>
          </w:p>
        </w:tc>
        <w:tc>
          <w:tcPr>
            <w:tcW w:w="1350" w:type="dxa"/>
            <w:tcBorders>
              <w:bottom w:val="single" w:sz="4" w:space="0" w:color="auto"/>
            </w:tcBorders>
            <w:shd w:val="clear" w:color="auto" w:fill="auto"/>
          </w:tcPr>
          <w:p w14:paraId="7C7BBBD3"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3,684</w:t>
            </w:r>
          </w:p>
        </w:tc>
        <w:tc>
          <w:tcPr>
            <w:tcW w:w="1440" w:type="dxa"/>
            <w:tcBorders>
              <w:bottom w:val="single" w:sz="4" w:space="0" w:color="auto"/>
            </w:tcBorders>
            <w:shd w:val="clear" w:color="auto" w:fill="auto"/>
          </w:tcPr>
          <w:p w14:paraId="31E1756E" w14:textId="77777777" w:rsidR="000C298C" w:rsidRPr="00324B27" w:rsidRDefault="000C298C" w:rsidP="00B70363">
            <w:pPr>
              <w:autoSpaceDE w:val="0"/>
              <w:autoSpaceDN w:val="0"/>
              <w:adjustRightInd w:val="0"/>
              <w:spacing w:before="0" w:line="240" w:lineRule="auto"/>
              <w:jc w:val="center"/>
              <w:rPr>
                <w:rFonts w:cs="GHEA Grapalat"/>
                <w:b w:val="0"/>
                <w:sz w:val="18"/>
                <w:szCs w:val="18"/>
                <w:lang w:val="en-US" w:eastAsia="en-US"/>
              </w:rPr>
            </w:pPr>
            <w:r w:rsidRPr="00324B27">
              <w:rPr>
                <w:rFonts w:cs="GHEA Grapalat"/>
                <w:b w:val="0"/>
                <w:sz w:val="18"/>
                <w:szCs w:val="18"/>
                <w:lang w:val="en-US" w:eastAsia="en-US"/>
              </w:rPr>
              <w:t>4,169</w:t>
            </w:r>
          </w:p>
        </w:tc>
      </w:tr>
      <w:tr w:rsidR="000C298C" w:rsidRPr="00864B6B" w14:paraId="710160AA" w14:textId="77777777" w:rsidTr="00B44E16">
        <w:trPr>
          <w:trHeight w:val="484"/>
        </w:trPr>
        <w:tc>
          <w:tcPr>
            <w:tcW w:w="9270" w:type="dxa"/>
            <w:gridSpan w:val="4"/>
            <w:shd w:val="clear" w:color="auto" w:fill="auto"/>
            <w:hideMark/>
          </w:tcPr>
          <w:p w14:paraId="3564A457" w14:textId="77777777" w:rsidR="000C298C" w:rsidRPr="00324B27" w:rsidRDefault="000C298C" w:rsidP="00B70363">
            <w:pPr>
              <w:spacing w:before="0" w:line="240" w:lineRule="auto"/>
              <w:rPr>
                <w:b w:val="0"/>
                <w:bCs/>
                <w:i/>
                <w:iCs/>
                <w:color w:val="000000"/>
                <w:sz w:val="18"/>
                <w:szCs w:val="18"/>
                <w:lang w:val="hy-AM" w:eastAsia="en-US"/>
              </w:rPr>
            </w:pPr>
            <w:r w:rsidRPr="00324B27">
              <w:rPr>
                <w:b w:val="0"/>
                <w:bCs/>
                <w:i/>
                <w:iCs/>
                <w:color w:val="000000"/>
                <w:sz w:val="18"/>
                <w:szCs w:val="18"/>
                <w:lang w:val="hy-AM" w:eastAsia="en-US"/>
              </w:rPr>
              <w:t xml:space="preserve">* 2023 </w:t>
            </w:r>
            <w:r w:rsidRPr="00324B27">
              <w:rPr>
                <w:rFonts w:cs="Sylfaen"/>
                <w:b w:val="0"/>
                <w:bCs/>
                <w:i/>
                <w:iCs/>
                <w:color w:val="000000"/>
                <w:sz w:val="18"/>
                <w:szCs w:val="18"/>
                <w:lang w:val="hy-AM" w:eastAsia="en-US"/>
              </w:rPr>
              <w:t>և</w:t>
            </w:r>
            <w:r w:rsidRPr="00324B27">
              <w:rPr>
                <w:b w:val="0"/>
                <w:bCs/>
                <w:i/>
                <w:iCs/>
                <w:color w:val="000000"/>
                <w:sz w:val="18"/>
                <w:szCs w:val="18"/>
                <w:lang w:val="hy-AM" w:eastAsia="en-US"/>
              </w:rPr>
              <w:t xml:space="preserve"> 2024 </w:t>
            </w:r>
            <w:r w:rsidRPr="00324B27">
              <w:rPr>
                <w:rFonts w:cs="Sylfaen"/>
                <w:b w:val="0"/>
                <w:bCs/>
                <w:i/>
                <w:iCs/>
                <w:color w:val="000000"/>
                <w:sz w:val="18"/>
                <w:szCs w:val="18"/>
                <w:lang w:val="hy-AM" w:eastAsia="en-US"/>
              </w:rPr>
              <w:t>թվականների</w:t>
            </w:r>
            <w:r w:rsidRPr="00324B27">
              <w:rPr>
                <w:b w:val="0"/>
                <w:bCs/>
                <w:i/>
                <w:iCs/>
                <w:color w:val="000000"/>
                <w:sz w:val="18"/>
                <w:szCs w:val="18"/>
                <w:lang w:val="hy-AM" w:eastAsia="en-US"/>
              </w:rPr>
              <w:t xml:space="preserve"> </w:t>
            </w:r>
            <w:r w:rsidRPr="00324B27">
              <w:rPr>
                <w:rFonts w:cs="Sylfaen"/>
                <w:b w:val="0"/>
                <w:bCs/>
                <w:i/>
                <w:iCs/>
                <w:color w:val="000000"/>
                <w:sz w:val="18"/>
                <w:szCs w:val="18"/>
                <w:lang w:val="hy-AM" w:eastAsia="en-US"/>
              </w:rPr>
              <w:t xml:space="preserve">համար </w:t>
            </w:r>
            <w:r w:rsidRPr="00324B27">
              <w:rPr>
                <w:b w:val="0"/>
                <w:bCs/>
                <w:i/>
                <w:iCs/>
                <w:color w:val="000000"/>
                <w:sz w:val="18"/>
                <w:szCs w:val="18"/>
                <w:lang w:val="hy-AM" w:eastAsia="en-US"/>
              </w:rPr>
              <w:t xml:space="preserve">պետական գանձապետական և արտարժութային պարտատոմսերի գծով պարտքի մնացորդը բաշխվել է ըստ ռեզիդենտության հիմք ընդունելով 2023թ. հոկտեմբերի 31-ի դրությամբ </w:t>
            </w:r>
            <w:r w:rsidRPr="00324B27">
              <w:rPr>
                <w:rFonts w:cs="Sylfaen"/>
                <w:b w:val="0"/>
                <w:bCs/>
                <w:i/>
                <w:iCs/>
                <w:color w:val="000000"/>
                <w:sz w:val="18"/>
                <w:szCs w:val="18"/>
                <w:lang w:val="hy-AM" w:eastAsia="en-US"/>
              </w:rPr>
              <w:t>փաստացի</w:t>
            </w:r>
            <w:r w:rsidRPr="00324B27">
              <w:rPr>
                <w:b w:val="0"/>
                <w:bCs/>
                <w:i/>
                <w:iCs/>
                <w:color w:val="000000"/>
                <w:sz w:val="18"/>
                <w:szCs w:val="18"/>
                <w:lang w:val="hy-AM" w:eastAsia="en-US"/>
              </w:rPr>
              <w:t xml:space="preserve"> </w:t>
            </w:r>
            <w:r w:rsidRPr="00324B27">
              <w:rPr>
                <w:rFonts w:cs="Sylfaen"/>
                <w:b w:val="0"/>
                <w:bCs/>
                <w:i/>
                <w:iCs/>
                <w:color w:val="000000"/>
                <w:sz w:val="18"/>
                <w:szCs w:val="18"/>
                <w:lang w:val="hy-AM" w:eastAsia="en-US"/>
              </w:rPr>
              <w:t>ձևավորված</w:t>
            </w:r>
            <w:r w:rsidRPr="00324B27">
              <w:rPr>
                <w:b w:val="0"/>
                <w:bCs/>
                <w:i/>
                <w:iCs/>
                <w:color w:val="000000"/>
                <w:sz w:val="18"/>
                <w:szCs w:val="18"/>
                <w:lang w:val="hy-AM" w:eastAsia="en-US"/>
              </w:rPr>
              <w:t xml:space="preserve"> </w:t>
            </w:r>
            <w:r w:rsidRPr="00324B27">
              <w:rPr>
                <w:rFonts w:cs="Sylfaen"/>
                <w:b w:val="0"/>
                <w:bCs/>
                <w:i/>
                <w:iCs/>
                <w:color w:val="000000"/>
                <w:sz w:val="18"/>
                <w:szCs w:val="18"/>
                <w:lang w:val="hy-AM" w:eastAsia="en-US"/>
              </w:rPr>
              <w:t>տեսակարար</w:t>
            </w:r>
            <w:r w:rsidRPr="00324B27">
              <w:rPr>
                <w:b w:val="0"/>
                <w:bCs/>
                <w:i/>
                <w:iCs/>
                <w:color w:val="000000"/>
                <w:sz w:val="18"/>
                <w:szCs w:val="18"/>
                <w:lang w:val="hy-AM" w:eastAsia="en-US"/>
              </w:rPr>
              <w:t xml:space="preserve"> </w:t>
            </w:r>
            <w:r w:rsidRPr="00324B27">
              <w:rPr>
                <w:rFonts w:cs="Sylfaen"/>
                <w:b w:val="0"/>
                <w:bCs/>
                <w:i/>
                <w:iCs/>
                <w:color w:val="000000"/>
                <w:sz w:val="18"/>
                <w:szCs w:val="18"/>
                <w:lang w:val="hy-AM" w:eastAsia="en-US"/>
              </w:rPr>
              <w:t>կշիռները</w:t>
            </w:r>
            <w:r w:rsidRPr="00324B27">
              <w:rPr>
                <w:b w:val="0"/>
                <w:bCs/>
                <w:i/>
                <w:iCs/>
                <w:color w:val="000000"/>
                <w:sz w:val="18"/>
                <w:szCs w:val="18"/>
                <w:lang w:val="hy-AM" w:eastAsia="en-US"/>
              </w:rPr>
              <w:t>:</w:t>
            </w:r>
          </w:p>
        </w:tc>
      </w:tr>
    </w:tbl>
    <w:p w14:paraId="2486AF3F" w14:textId="1D6FFF2A" w:rsidR="002C44C0" w:rsidRDefault="002C44C0" w:rsidP="000C298C">
      <w:pPr>
        <w:shd w:val="clear" w:color="auto" w:fill="FFFFFF"/>
        <w:rPr>
          <w:rFonts w:cs="Sylfaen"/>
          <w:lang w:val="hy-AM"/>
        </w:rPr>
      </w:pPr>
    </w:p>
    <w:p w14:paraId="7B9408D2" w14:textId="5BF3978D" w:rsidR="00001B7F" w:rsidRDefault="00001B7F" w:rsidP="000C298C">
      <w:pPr>
        <w:shd w:val="clear" w:color="auto" w:fill="FFFFFF"/>
        <w:rPr>
          <w:rFonts w:cs="Sylfaen"/>
          <w:lang w:val="hy-AM"/>
        </w:rPr>
      </w:pPr>
    </w:p>
    <w:p w14:paraId="2B09E7F9" w14:textId="2009CA60" w:rsidR="00001B7F" w:rsidRDefault="00001B7F" w:rsidP="000C298C">
      <w:pPr>
        <w:shd w:val="clear" w:color="auto" w:fill="FFFFFF"/>
        <w:rPr>
          <w:rFonts w:cs="Sylfaen"/>
          <w:lang w:val="hy-AM"/>
        </w:rPr>
      </w:pPr>
    </w:p>
    <w:p w14:paraId="66226E2A" w14:textId="3F639E7E" w:rsidR="00001B7F" w:rsidRDefault="00001B7F" w:rsidP="000C298C">
      <w:pPr>
        <w:shd w:val="clear" w:color="auto" w:fill="FFFFFF"/>
        <w:rPr>
          <w:rFonts w:cs="Sylfaen"/>
          <w:lang w:val="hy-AM"/>
        </w:rPr>
      </w:pPr>
    </w:p>
    <w:p w14:paraId="4A59789F" w14:textId="2C56721B" w:rsidR="00001B7F" w:rsidRDefault="00001B7F" w:rsidP="000C298C">
      <w:pPr>
        <w:shd w:val="clear" w:color="auto" w:fill="FFFFFF"/>
        <w:rPr>
          <w:rFonts w:cs="Sylfaen"/>
          <w:lang w:val="hy-AM"/>
        </w:rPr>
      </w:pPr>
    </w:p>
    <w:p w14:paraId="0B643A26" w14:textId="1F177599" w:rsidR="00001B7F" w:rsidRDefault="00001B7F" w:rsidP="000C298C">
      <w:pPr>
        <w:shd w:val="clear" w:color="auto" w:fill="FFFFFF"/>
        <w:rPr>
          <w:rFonts w:cs="Sylfaen"/>
          <w:lang w:val="hy-AM"/>
        </w:rPr>
      </w:pPr>
    </w:p>
    <w:p w14:paraId="620729BC" w14:textId="47D90DDD" w:rsidR="00001B7F" w:rsidRDefault="00001B7F" w:rsidP="000C298C">
      <w:pPr>
        <w:shd w:val="clear" w:color="auto" w:fill="FFFFFF"/>
        <w:rPr>
          <w:rFonts w:cs="Sylfaen"/>
          <w:lang w:val="hy-AM"/>
        </w:rPr>
      </w:pPr>
    </w:p>
    <w:p w14:paraId="6CF5C37B" w14:textId="2B592A9D" w:rsidR="00001B7F" w:rsidRDefault="00001B7F" w:rsidP="000C298C">
      <w:pPr>
        <w:shd w:val="clear" w:color="auto" w:fill="FFFFFF"/>
        <w:rPr>
          <w:rFonts w:cs="Sylfaen"/>
          <w:lang w:val="hy-AM"/>
        </w:rPr>
      </w:pPr>
    </w:p>
    <w:p w14:paraId="16C4964A" w14:textId="0EC652C7" w:rsidR="00001B7F" w:rsidRDefault="00001B7F" w:rsidP="000C298C">
      <w:pPr>
        <w:shd w:val="clear" w:color="auto" w:fill="FFFFFF"/>
        <w:rPr>
          <w:rFonts w:cs="Sylfaen"/>
          <w:lang w:val="hy-AM"/>
        </w:rPr>
      </w:pPr>
    </w:p>
    <w:p w14:paraId="6962511D" w14:textId="7BCEC7E8" w:rsidR="00001B7F" w:rsidRDefault="00001B7F" w:rsidP="000C298C">
      <w:pPr>
        <w:shd w:val="clear" w:color="auto" w:fill="FFFFFF"/>
        <w:rPr>
          <w:rFonts w:cs="Sylfaen"/>
          <w:lang w:val="hy-AM"/>
        </w:rPr>
      </w:pPr>
    </w:p>
    <w:p w14:paraId="46D81195" w14:textId="77777777" w:rsidR="00001B7F" w:rsidRDefault="00001B7F" w:rsidP="000C298C">
      <w:pPr>
        <w:shd w:val="clear" w:color="auto" w:fill="FFFFFF"/>
        <w:rPr>
          <w:rFonts w:cs="Sylfaen"/>
          <w:lang w:val="hy-AM"/>
        </w:rPr>
      </w:pPr>
    </w:p>
    <w:p w14:paraId="20F3D9CE" w14:textId="10EB9D95" w:rsidR="00001B7F" w:rsidRDefault="00001B7F" w:rsidP="000C298C">
      <w:pPr>
        <w:shd w:val="clear" w:color="auto" w:fill="FFFFFF"/>
        <w:rPr>
          <w:rFonts w:cs="Sylfaen"/>
          <w:lang w:val="hy-AM"/>
        </w:rPr>
      </w:pPr>
    </w:p>
    <w:p w14:paraId="3A091D58" w14:textId="31C1E919" w:rsidR="00001B7F" w:rsidRDefault="00001B7F" w:rsidP="000C298C">
      <w:pPr>
        <w:shd w:val="clear" w:color="auto" w:fill="FFFFFF"/>
        <w:rPr>
          <w:rFonts w:cs="Sylfaen"/>
          <w:lang w:val="hy-AM"/>
        </w:rPr>
      </w:pPr>
    </w:p>
    <w:p w14:paraId="77183EF8" w14:textId="77777777" w:rsidR="00001B7F" w:rsidRDefault="00001B7F" w:rsidP="000C298C">
      <w:pPr>
        <w:shd w:val="clear" w:color="auto" w:fill="FFFFFF"/>
        <w:rPr>
          <w:rFonts w:cs="Sylfaen"/>
          <w:lang w:val="hy-AM"/>
        </w:rPr>
      </w:pPr>
    </w:p>
    <w:p w14:paraId="099AC0C6" w14:textId="163EC291" w:rsidR="000C298C" w:rsidRDefault="000C298C" w:rsidP="000C298C">
      <w:pPr>
        <w:shd w:val="clear" w:color="auto" w:fill="FFFFFF"/>
        <w:rPr>
          <w:rFonts w:cs="Sylfaen"/>
          <w:b w:val="0"/>
          <w:bCs/>
          <w:lang w:val="hy-AM"/>
        </w:rPr>
      </w:pPr>
      <w:bookmarkStart w:id="337" w:name="_Toc152324827"/>
      <w:r w:rsidRPr="000C298C">
        <w:rPr>
          <w:rFonts w:cs="Sylfaen"/>
          <w:lang w:val="hy-AM"/>
        </w:rPr>
        <w:lastRenderedPageBreak/>
        <w:t xml:space="preserve">Գծապատկեր </w:t>
      </w:r>
      <w:r w:rsidRPr="000C298C">
        <w:rPr>
          <w:rFonts w:cs="Sylfaen"/>
          <w:lang w:val="hy-AM"/>
        </w:rPr>
        <w:fldChar w:fldCharType="begin"/>
      </w:r>
      <w:r w:rsidRPr="000C298C">
        <w:rPr>
          <w:rFonts w:cs="Sylfaen"/>
          <w:lang w:val="hy-AM"/>
        </w:rPr>
        <w:instrText xml:space="preserve"> SEQ Գծապատկեր \* ARABIC </w:instrText>
      </w:r>
      <w:r w:rsidRPr="000C298C">
        <w:rPr>
          <w:rFonts w:cs="Sylfaen"/>
          <w:lang w:val="hy-AM"/>
        </w:rPr>
        <w:fldChar w:fldCharType="separate"/>
      </w:r>
      <w:r w:rsidR="00DB4E68">
        <w:rPr>
          <w:rFonts w:cs="Sylfaen"/>
          <w:noProof/>
          <w:lang w:val="hy-AM"/>
        </w:rPr>
        <w:t>6</w:t>
      </w:r>
      <w:r w:rsidRPr="000C298C">
        <w:rPr>
          <w:rFonts w:cs="Sylfaen"/>
          <w:lang w:val="hy-AM"/>
        </w:rPr>
        <w:fldChar w:fldCharType="end"/>
      </w:r>
      <w:r w:rsidRPr="000C298C">
        <w:rPr>
          <w:rFonts w:cs="Sylfaen"/>
          <w:lang w:val="hy-AM"/>
        </w:rPr>
        <w:t>.</w:t>
      </w:r>
      <w:r w:rsidRPr="000C298C">
        <w:rPr>
          <w:rFonts w:cs="Sylfaen"/>
          <w:b w:val="0"/>
          <w:bCs/>
          <w:lang w:val="hy-AM"/>
        </w:rPr>
        <w:t xml:space="preserve"> Կառավարության պարտքի կառուցվածքն ըստ տարբեր դասակարգումների</w:t>
      </w:r>
      <w:bookmarkEnd w:id="337"/>
    </w:p>
    <w:p w14:paraId="4AF7E916" w14:textId="77777777" w:rsidR="00001B7F" w:rsidRPr="000C298C" w:rsidRDefault="00001B7F" w:rsidP="000C298C">
      <w:pPr>
        <w:shd w:val="clear" w:color="auto" w:fill="FFFFFF"/>
        <w:rPr>
          <w:rFonts w:cs="Sylfaen"/>
          <w:b w:val="0"/>
          <w:bCs/>
          <w:lang w:val="hy-AM"/>
        </w:rPr>
      </w:pPr>
    </w:p>
    <w:p w14:paraId="4E62C460" w14:textId="38B3FBED" w:rsidR="000C298C" w:rsidRPr="00864B6B" w:rsidRDefault="002C44C0" w:rsidP="000C298C">
      <w:pPr>
        <w:spacing w:before="0" w:after="120" w:line="360" w:lineRule="auto"/>
        <w:ind w:firstLine="720"/>
        <w:rPr>
          <w:rFonts w:eastAsia="Calibri"/>
          <w:b w:val="0"/>
          <w:szCs w:val="22"/>
          <w:lang w:val="hy-AM" w:eastAsia="en-US"/>
        </w:rPr>
      </w:pPr>
      <w:r>
        <w:rPr>
          <w:noProof/>
          <w:lang w:val="en-US" w:eastAsia="en-US"/>
        </w:rPr>
        <mc:AlternateContent>
          <mc:Choice Requires="wpg">
            <w:drawing>
              <wp:anchor distT="0" distB="0" distL="114300" distR="114300" simplePos="0" relativeHeight="251754496" behindDoc="0" locked="0" layoutInCell="1" allowOverlap="1" wp14:anchorId="40B056DA" wp14:editId="1EEC0F4D">
                <wp:simplePos x="0" y="0"/>
                <wp:positionH relativeFrom="column">
                  <wp:posOffset>-47625</wp:posOffset>
                </wp:positionH>
                <wp:positionV relativeFrom="paragraph">
                  <wp:posOffset>133985</wp:posOffset>
                </wp:positionV>
                <wp:extent cx="6537837" cy="5335352"/>
                <wp:effectExtent l="0" t="0" r="15875" b="17780"/>
                <wp:wrapNone/>
                <wp:docPr id="58" name="Group 2"/>
                <wp:cNvGraphicFramePr/>
                <a:graphic xmlns:a="http://schemas.openxmlformats.org/drawingml/2006/main">
                  <a:graphicData uri="http://schemas.microsoft.com/office/word/2010/wordprocessingGroup">
                    <wpg:wgp>
                      <wpg:cNvGrpSpPr/>
                      <wpg:grpSpPr>
                        <a:xfrm>
                          <a:off x="0" y="0"/>
                          <a:ext cx="6537837" cy="5335352"/>
                          <a:chOff x="-27453" y="0"/>
                          <a:chExt cx="7211389" cy="7315200"/>
                        </a:xfrm>
                      </wpg:grpSpPr>
                      <wpg:graphicFrame>
                        <wpg:cNvPr id="59" name="Chart 59"/>
                        <wpg:cNvFrPr>
                          <a:graphicFrameLocks/>
                        </wpg:cNvFrPr>
                        <wpg:xfrm>
                          <a:off x="11206" y="0"/>
                          <a:ext cx="3491193" cy="3773020"/>
                        </wpg:xfrm>
                        <a:graphic>
                          <a:graphicData uri="http://schemas.openxmlformats.org/drawingml/2006/chart">
                            <c:chart xmlns:c="http://schemas.openxmlformats.org/drawingml/2006/chart" xmlns:r="http://schemas.openxmlformats.org/officeDocument/2006/relationships" r:id="rId75"/>
                          </a:graphicData>
                        </a:graphic>
                      </wpg:graphicFrame>
                      <wpg:graphicFrame>
                        <wpg:cNvPr id="60" name="Chart 60"/>
                        <wpg:cNvFrPr>
                          <a:graphicFrameLocks/>
                        </wpg:cNvFrPr>
                        <wpg:xfrm>
                          <a:off x="3497196" y="0"/>
                          <a:ext cx="3686736" cy="3776382"/>
                        </wpg:xfrm>
                        <a:graphic>
                          <a:graphicData uri="http://schemas.openxmlformats.org/drawingml/2006/chart">
                            <c:chart xmlns:c="http://schemas.openxmlformats.org/drawingml/2006/chart" xmlns:r="http://schemas.openxmlformats.org/officeDocument/2006/relationships" r:id="rId76"/>
                          </a:graphicData>
                        </a:graphic>
                      </wpg:graphicFrame>
                      <wpg:graphicFrame>
                        <wpg:cNvPr id="61" name="Chart 61"/>
                        <wpg:cNvFrPr>
                          <a:graphicFrameLocks/>
                        </wpg:cNvFrPr>
                        <wpg:xfrm>
                          <a:off x="-27453" y="3773020"/>
                          <a:ext cx="3529853" cy="3529293"/>
                        </wpg:xfrm>
                        <a:graphic>
                          <a:graphicData uri="http://schemas.openxmlformats.org/drawingml/2006/chart">
                            <c:chart xmlns:c="http://schemas.openxmlformats.org/drawingml/2006/chart" xmlns:r="http://schemas.openxmlformats.org/officeDocument/2006/relationships" r:id="rId77"/>
                          </a:graphicData>
                        </a:graphic>
                      </wpg:graphicFrame>
                      <wpg:graphicFrame>
                        <wpg:cNvPr id="62" name="Chart 62"/>
                        <wpg:cNvFrPr>
                          <a:graphicFrameLocks/>
                        </wpg:cNvFrPr>
                        <wpg:xfrm>
                          <a:off x="3469746" y="3776382"/>
                          <a:ext cx="3714190" cy="3538818"/>
                        </wpg:xfrm>
                        <a:graphic>
                          <a:graphicData uri="http://schemas.openxmlformats.org/drawingml/2006/chart">
                            <c:chart xmlns:c="http://schemas.openxmlformats.org/drawingml/2006/chart" xmlns:r="http://schemas.openxmlformats.org/officeDocument/2006/relationships" r:id="rId78"/>
                          </a:graphicData>
                        </a:graphic>
                      </wpg:graphicFrame>
                    </wpg:wgp>
                  </a:graphicData>
                </a:graphic>
                <wp14:sizeRelH relativeFrom="margin">
                  <wp14:pctWidth>0</wp14:pctWidth>
                </wp14:sizeRelH>
                <wp14:sizeRelV relativeFrom="margin">
                  <wp14:pctHeight>0</wp14:pctHeight>
                </wp14:sizeRelV>
              </wp:anchor>
            </w:drawing>
          </mc:Choice>
          <mc:Fallback>
            <w:pict>
              <v:group w14:anchorId="3C898135" id="Group 2" o:spid="_x0000_s1026" style="position:absolute;margin-left:-3.75pt;margin-top:10.55pt;width:514.8pt;height:420.1pt;z-index:251754496;mso-width-relative:margin;mso-height-relative:margin" coordorigin="-274" coordsize="72113,73152" o:gfxdata="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59" o:spid="_x0000_s1027" type="#_x0000_t75" style="position:absolute;left:61;width:34965;height:377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">
                  <v:imagedata r:id="rId79" o:title=""/>
                  <o:lock v:ext="edit" aspectratio="f"/>
                </v:shape>
                <v:shape id="Chart 60" o:spid="_x0000_s1028" type="#_x0000_t75" style="position:absolute;left:34959;width:36915;height:377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">
                  <v:imagedata r:id="rId80" o:title=""/>
                  <o:lock v:ext="edit" aspectratio="f"/>
                </v:shape>
                <v:shape id="Chart 61" o:spid="_x0000_s1029" type="#_x0000_t75" style="position:absolute;left:-274;top:37695;width:35300;height:35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">
                  <v:imagedata r:id="rId81" o:title=""/>
                  <o:lock v:ext="edit" aspectratio="f"/>
                </v:shape>
                <v:shape id="Chart 62" o:spid="_x0000_s1030" type="#_x0000_t75" style="position:absolute;left:34690;top:37695;width:37184;height:355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">
                  <v:imagedata r:id="rId82" o:title=""/>
                  <o:lock v:ext="edit" aspectratio="f"/>
                </v:shape>
              </v:group>
            </w:pict>
          </mc:Fallback>
        </mc:AlternateContent>
      </w:r>
    </w:p>
    <w:p w14:paraId="3E146E64" w14:textId="3F0CFE44" w:rsidR="000C298C" w:rsidRPr="00074F9B" w:rsidRDefault="000C298C" w:rsidP="000C298C">
      <w:pPr>
        <w:spacing w:before="0" w:after="120" w:line="360" w:lineRule="auto"/>
        <w:ind w:firstLine="720"/>
        <w:rPr>
          <w:rFonts w:eastAsia="Calibri"/>
          <w:b w:val="0"/>
          <w:szCs w:val="22"/>
          <w:lang w:val="hy-AM" w:eastAsia="en-US"/>
        </w:rPr>
      </w:pPr>
    </w:p>
    <w:p w14:paraId="30DBD22A" w14:textId="2B78146A" w:rsidR="000C298C" w:rsidRPr="00074F9B" w:rsidRDefault="000C298C" w:rsidP="000C298C">
      <w:pPr>
        <w:spacing w:before="0" w:after="120" w:line="360" w:lineRule="auto"/>
        <w:ind w:left="-180" w:hanging="90"/>
        <w:rPr>
          <w:rFonts w:eastAsia="Calibri"/>
          <w:b w:val="0"/>
          <w:szCs w:val="22"/>
          <w:lang w:val="hy-AM" w:eastAsia="en-US"/>
        </w:rPr>
      </w:pPr>
    </w:p>
    <w:p w14:paraId="7C1A54F2" w14:textId="77777777" w:rsidR="000C298C" w:rsidRPr="00074F9B" w:rsidRDefault="000C298C" w:rsidP="000C298C">
      <w:pPr>
        <w:spacing w:before="0" w:after="120" w:line="360" w:lineRule="auto"/>
        <w:ind w:firstLine="720"/>
        <w:rPr>
          <w:rFonts w:eastAsia="Calibri"/>
          <w:b w:val="0"/>
          <w:szCs w:val="22"/>
          <w:lang w:val="hy-AM" w:eastAsia="en-US"/>
        </w:rPr>
      </w:pPr>
    </w:p>
    <w:p w14:paraId="1939B0E4" w14:textId="77777777" w:rsidR="000C298C" w:rsidRPr="00074F9B" w:rsidRDefault="000C298C" w:rsidP="000C298C">
      <w:pPr>
        <w:spacing w:before="0" w:after="120" w:line="360" w:lineRule="auto"/>
        <w:ind w:firstLine="720"/>
        <w:rPr>
          <w:rFonts w:eastAsia="Calibri"/>
          <w:b w:val="0"/>
          <w:szCs w:val="22"/>
          <w:lang w:val="hy-AM" w:eastAsia="en-US"/>
        </w:rPr>
      </w:pPr>
    </w:p>
    <w:p w14:paraId="5543E0BC" w14:textId="77777777" w:rsidR="000C298C" w:rsidRPr="00074F9B" w:rsidRDefault="000C298C" w:rsidP="000C298C">
      <w:pPr>
        <w:spacing w:before="0" w:after="120" w:line="360" w:lineRule="auto"/>
        <w:ind w:firstLine="720"/>
        <w:rPr>
          <w:rFonts w:eastAsia="Calibri"/>
          <w:b w:val="0"/>
          <w:szCs w:val="22"/>
          <w:lang w:val="hy-AM" w:eastAsia="en-US"/>
        </w:rPr>
      </w:pPr>
    </w:p>
    <w:p w14:paraId="28117832" w14:textId="77777777" w:rsidR="000C298C" w:rsidRDefault="000C298C" w:rsidP="000C298C">
      <w:pPr>
        <w:spacing w:before="0" w:after="120" w:line="360" w:lineRule="auto"/>
        <w:ind w:firstLine="720"/>
        <w:rPr>
          <w:rFonts w:eastAsia="Calibri"/>
          <w:b w:val="0"/>
          <w:szCs w:val="22"/>
          <w:lang w:val="hy-AM" w:eastAsia="en-US"/>
        </w:rPr>
      </w:pPr>
    </w:p>
    <w:p w14:paraId="413CDF38" w14:textId="528CAB12" w:rsidR="000C298C" w:rsidRDefault="000C298C" w:rsidP="000C298C">
      <w:pPr>
        <w:spacing w:before="0" w:after="120" w:line="360" w:lineRule="auto"/>
        <w:ind w:firstLine="720"/>
        <w:rPr>
          <w:rFonts w:eastAsia="Calibri"/>
          <w:b w:val="0"/>
          <w:szCs w:val="22"/>
          <w:lang w:val="hy-AM" w:eastAsia="en-US"/>
        </w:rPr>
      </w:pPr>
    </w:p>
    <w:p w14:paraId="798BA6A8" w14:textId="7D85620E" w:rsidR="00001B7F" w:rsidRDefault="00001B7F" w:rsidP="000C298C">
      <w:pPr>
        <w:spacing w:before="0" w:after="120" w:line="360" w:lineRule="auto"/>
        <w:ind w:firstLine="720"/>
        <w:rPr>
          <w:rFonts w:eastAsia="Calibri"/>
          <w:b w:val="0"/>
          <w:szCs w:val="22"/>
          <w:lang w:val="hy-AM" w:eastAsia="en-US"/>
        </w:rPr>
      </w:pPr>
    </w:p>
    <w:p w14:paraId="010FAA00" w14:textId="50F97FAA" w:rsidR="00001B7F" w:rsidRDefault="00001B7F" w:rsidP="000C298C">
      <w:pPr>
        <w:spacing w:before="0" w:after="120" w:line="360" w:lineRule="auto"/>
        <w:ind w:firstLine="720"/>
        <w:rPr>
          <w:rFonts w:eastAsia="Calibri"/>
          <w:b w:val="0"/>
          <w:szCs w:val="22"/>
          <w:lang w:val="hy-AM" w:eastAsia="en-US"/>
        </w:rPr>
      </w:pPr>
    </w:p>
    <w:p w14:paraId="0EA38969" w14:textId="32DB2842" w:rsidR="00001B7F" w:rsidRDefault="00001B7F" w:rsidP="000C298C">
      <w:pPr>
        <w:spacing w:before="0" w:after="120" w:line="360" w:lineRule="auto"/>
        <w:ind w:firstLine="720"/>
        <w:rPr>
          <w:rFonts w:eastAsia="Calibri"/>
          <w:b w:val="0"/>
          <w:szCs w:val="22"/>
          <w:lang w:val="hy-AM" w:eastAsia="en-US"/>
        </w:rPr>
      </w:pPr>
    </w:p>
    <w:p w14:paraId="1CA43EC6" w14:textId="640900C1" w:rsidR="00001B7F" w:rsidRDefault="00001B7F" w:rsidP="000C298C">
      <w:pPr>
        <w:spacing w:before="0" w:after="120" w:line="360" w:lineRule="auto"/>
        <w:ind w:firstLine="720"/>
        <w:rPr>
          <w:rFonts w:eastAsia="Calibri"/>
          <w:b w:val="0"/>
          <w:szCs w:val="22"/>
          <w:lang w:val="hy-AM" w:eastAsia="en-US"/>
        </w:rPr>
      </w:pPr>
    </w:p>
    <w:p w14:paraId="486EC940" w14:textId="5D2B6D9F" w:rsidR="00001B7F" w:rsidRDefault="00001B7F" w:rsidP="000C298C">
      <w:pPr>
        <w:spacing w:before="0" w:after="120" w:line="360" w:lineRule="auto"/>
        <w:ind w:firstLine="720"/>
        <w:rPr>
          <w:rFonts w:eastAsia="Calibri"/>
          <w:b w:val="0"/>
          <w:szCs w:val="22"/>
          <w:lang w:val="hy-AM" w:eastAsia="en-US"/>
        </w:rPr>
      </w:pPr>
    </w:p>
    <w:p w14:paraId="661950A4" w14:textId="74378249" w:rsidR="00001B7F" w:rsidRDefault="00001B7F" w:rsidP="000C298C">
      <w:pPr>
        <w:spacing w:before="0" w:after="120" w:line="360" w:lineRule="auto"/>
        <w:ind w:firstLine="720"/>
        <w:rPr>
          <w:rFonts w:eastAsia="Calibri"/>
          <w:b w:val="0"/>
          <w:szCs w:val="22"/>
          <w:lang w:val="hy-AM" w:eastAsia="en-US"/>
        </w:rPr>
      </w:pPr>
    </w:p>
    <w:p w14:paraId="108E1B24" w14:textId="36B3E7DB" w:rsidR="00001B7F" w:rsidRDefault="00001B7F" w:rsidP="000C298C">
      <w:pPr>
        <w:spacing w:before="0" w:after="120" w:line="360" w:lineRule="auto"/>
        <w:ind w:firstLine="720"/>
        <w:rPr>
          <w:rFonts w:eastAsia="Calibri"/>
          <w:b w:val="0"/>
          <w:szCs w:val="22"/>
          <w:lang w:val="hy-AM" w:eastAsia="en-US"/>
        </w:rPr>
      </w:pPr>
    </w:p>
    <w:p w14:paraId="2ED283BE" w14:textId="5D14D8ED" w:rsidR="00001B7F" w:rsidRDefault="00001B7F" w:rsidP="000C298C">
      <w:pPr>
        <w:spacing w:before="0" w:after="120" w:line="360" w:lineRule="auto"/>
        <w:ind w:firstLine="720"/>
        <w:rPr>
          <w:rFonts w:eastAsia="Calibri"/>
          <w:b w:val="0"/>
          <w:szCs w:val="22"/>
          <w:lang w:val="hy-AM" w:eastAsia="en-US"/>
        </w:rPr>
      </w:pPr>
    </w:p>
    <w:p w14:paraId="7DC8DDB6" w14:textId="44268DB0" w:rsidR="000C298C" w:rsidRDefault="000C298C" w:rsidP="000C298C">
      <w:pPr>
        <w:rPr>
          <w:rFonts w:eastAsia="Calibri"/>
          <w:b w:val="0"/>
          <w:szCs w:val="22"/>
          <w:lang w:val="hy-AM" w:eastAsia="en-US"/>
        </w:rPr>
      </w:pPr>
      <w:r w:rsidRPr="00864B6B">
        <w:rPr>
          <w:rFonts w:eastAsia="Calibri"/>
          <w:b w:val="0"/>
          <w:szCs w:val="22"/>
          <w:lang w:val="hy-AM" w:eastAsia="en-US"/>
        </w:rPr>
        <w:t>Հաշվի առնելով ՀՀ 2024 թվականի պետական բյուջեի հիմքում դրված կանխատեսումները և պարտքի գծով ծրագրավորված գործառնությունները, ՀՀ կառավարության պարտքի կառավարման 2024-2026 թվականների ռազմավարական ծրագրով ամրագրված ուղենշային ցուցանիշները 2024թ. տարեվերջի դրությամբ կկազմեն.</w:t>
      </w:r>
    </w:p>
    <w:p w14:paraId="1616757A" w14:textId="6113CC3F" w:rsidR="002C44C0" w:rsidRDefault="002C44C0" w:rsidP="000C298C">
      <w:pPr>
        <w:rPr>
          <w:rFonts w:eastAsia="Calibri"/>
          <w:b w:val="0"/>
          <w:szCs w:val="22"/>
          <w:lang w:val="hy-AM" w:eastAsia="en-US"/>
        </w:rPr>
      </w:pPr>
    </w:p>
    <w:p w14:paraId="4F8F6D78" w14:textId="4C67739A" w:rsidR="00001B7F" w:rsidRDefault="00001B7F" w:rsidP="000C298C">
      <w:pPr>
        <w:rPr>
          <w:rFonts w:eastAsia="Calibri"/>
          <w:b w:val="0"/>
          <w:szCs w:val="22"/>
          <w:lang w:val="hy-AM" w:eastAsia="en-US"/>
        </w:rPr>
      </w:pPr>
    </w:p>
    <w:p w14:paraId="37CAC113" w14:textId="54EE2CDB" w:rsidR="00001B7F" w:rsidRDefault="00001B7F" w:rsidP="000C298C">
      <w:pPr>
        <w:rPr>
          <w:rFonts w:eastAsia="Calibri"/>
          <w:b w:val="0"/>
          <w:szCs w:val="22"/>
          <w:lang w:val="hy-AM" w:eastAsia="en-US"/>
        </w:rPr>
      </w:pPr>
    </w:p>
    <w:p w14:paraId="503B9E2E" w14:textId="77777777" w:rsidR="00001B7F" w:rsidRDefault="00001B7F" w:rsidP="000C298C">
      <w:pPr>
        <w:rPr>
          <w:rFonts w:eastAsia="Calibri"/>
          <w:b w:val="0"/>
          <w:szCs w:val="22"/>
          <w:lang w:val="hy-AM" w:eastAsia="en-US"/>
        </w:rPr>
      </w:pPr>
    </w:p>
    <w:p w14:paraId="1DEE7A58" w14:textId="3958720A" w:rsidR="000C298C" w:rsidRPr="000C298C" w:rsidRDefault="000C298C" w:rsidP="000C298C">
      <w:pPr>
        <w:rPr>
          <w:rFonts w:cs="Sylfaen"/>
          <w:b w:val="0"/>
          <w:bCs/>
          <w:lang w:val="hy-AM"/>
        </w:rPr>
      </w:pPr>
      <w:bookmarkStart w:id="338" w:name="_Toc152324782"/>
      <w:r w:rsidRPr="000C298C">
        <w:rPr>
          <w:rFonts w:cs="Sylfaen"/>
          <w:lang w:val="hy-AM"/>
        </w:rPr>
        <w:lastRenderedPageBreak/>
        <w:t xml:space="preserve">Աղյուսակ </w:t>
      </w:r>
      <w:r w:rsidRPr="000C298C">
        <w:rPr>
          <w:rFonts w:cs="Sylfaen"/>
          <w:lang w:val="hy-AM"/>
        </w:rPr>
        <w:fldChar w:fldCharType="begin"/>
      </w:r>
      <w:r w:rsidRPr="000C298C">
        <w:rPr>
          <w:rFonts w:cs="Sylfaen"/>
          <w:lang w:val="hy-AM"/>
        </w:rPr>
        <w:instrText xml:space="preserve"> SEQ Աղյուսակ \* ARABIC </w:instrText>
      </w:r>
      <w:r w:rsidRPr="000C298C">
        <w:rPr>
          <w:rFonts w:cs="Sylfaen"/>
          <w:lang w:val="hy-AM"/>
        </w:rPr>
        <w:fldChar w:fldCharType="separate"/>
      </w:r>
      <w:r w:rsidR="00DB4E68">
        <w:rPr>
          <w:rFonts w:cs="Sylfaen"/>
          <w:noProof/>
          <w:lang w:val="hy-AM"/>
        </w:rPr>
        <w:t>20</w:t>
      </w:r>
      <w:r w:rsidRPr="000C298C">
        <w:rPr>
          <w:rFonts w:cs="Sylfaen"/>
          <w:lang w:val="hy-AM"/>
        </w:rPr>
        <w:fldChar w:fldCharType="end"/>
      </w:r>
      <w:r w:rsidRPr="000C298C">
        <w:rPr>
          <w:rFonts w:cs="Sylfaen"/>
          <w:lang w:val="hy-AM"/>
        </w:rPr>
        <w:t xml:space="preserve">. </w:t>
      </w:r>
      <w:r w:rsidRPr="000C298C">
        <w:rPr>
          <w:rFonts w:cs="Sylfaen"/>
          <w:b w:val="0"/>
          <w:bCs/>
          <w:lang w:val="hy-AM"/>
        </w:rPr>
        <w:t>ՀՀ կառավարության պարտքի կառավարման 2024-2026 թվականների ռազմավարական ծրագրով ամրագրված ուղենշային ցուցանիշները 2024թ. տարեվերջին</w:t>
      </w:r>
      <w:bookmarkEnd w:id="338"/>
    </w:p>
    <w:tbl>
      <w:tblPr>
        <w:tblW w:w="9630" w:type="dxa"/>
        <w:tblBorders>
          <w:bottom w:val="single" w:sz="4" w:space="0" w:color="auto"/>
          <w:insideH w:val="single" w:sz="4" w:space="0" w:color="auto"/>
        </w:tblBorders>
        <w:tblLayout w:type="fixed"/>
        <w:tblLook w:val="01E0" w:firstRow="1" w:lastRow="1" w:firstColumn="1" w:lastColumn="1" w:noHBand="0" w:noVBand="0"/>
      </w:tblPr>
      <w:tblGrid>
        <w:gridCol w:w="6120"/>
        <w:gridCol w:w="1800"/>
        <w:gridCol w:w="1710"/>
      </w:tblGrid>
      <w:tr w:rsidR="000C298C" w:rsidRPr="00324B27" w14:paraId="12620F88" w14:textId="77777777" w:rsidTr="00324B27">
        <w:trPr>
          <w:tblHeader/>
        </w:trPr>
        <w:tc>
          <w:tcPr>
            <w:tcW w:w="6120" w:type="dxa"/>
            <w:tcBorders>
              <w:bottom w:val="single" w:sz="4" w:space="0" w:color="auto"/>
            </w:tcBorders>
            <w:shd w:val="clear" w:color="auto" w:fill="auto"/>
          </w:tcPr>
          <w:p w14:paraId="60D832BF" w14:textId="77777777" w:rsidR="000C298C" w:rsidRPr="00324B27" w:rsidRDefault="000C298C" w:rsidP="00324B27">
            <w:pPr>
              <w:spacing w:line="360" w:lineRule="auto"/>
              <w:ind w:left="-285"/>
              <w:rPr>
                <w:bCs/>
                <w:color w:val="000000"/>
                <w:sz w:val="18"/>
                <w:szCs w:val="18"/>
                <w:lang w:val="hy-AM" w:eastAsia="en-US"/>
              </w:rPr>
            </w:pPr>
          </w:p>
        </w:tc>
        <w:tc>
          <w:tcPr>
            <w:tcW w:w="1800" w:type="dxa"/>
            <w:tcBorders>
              <w:bottom w:val="single" w:sz="4" w:space="0" w:color="auto"/>
            </w:tcBorders>
            <w:shd w:val="clear" w:color="auto" w:fill="auto"/>
            <w:vAlign w:val="center"/>
          </w:tcPr>
          <w:p w14:paraId="611FACBD" w14:textId="77777777" w:rsidR="000C298C" w:rsidRPr="00324B27" w:rsidRDefault="000C298C" w:rsidP="00324B27">
            <w:pPr>
              <w:spacing w:line="240" w:lineRule="auto"/>
              <w:ind w:left="-285"/>
              <w:jc w:val="center"/>
              <w:rPr>
                <w:bCs/>
                <w:color w:val="000000"/>
                <w:sz w:val="18"/>
                <w:szCs w:val="18"/>
                <w:lang w:val="hy-AM" w:eastAsia="en-US"/>
              </w:rPr>
            </w:pPr>
            <w:r w:rsidRPr="00324B27">
              <w:rPr>
                <w:rFonts w:cs="Times Unicode"/>
                <w:b w:val="0"/>
                <w:bCs/>
                <w:color w:val="000000"/>
                <w:sz w:val="18"/>
                <w:szCs w:val="18"/>
                <w:lang w:val="hy-AM" w:eastAsia="en-US"/>
              </w:rPr>
              <w:t>Ուղենիշ</w:t>
            </w:r>
          </w:p>
        </w:tc>
        <w:tc>
          <w:tcPr>
            <w:tcW w:w="1710" w:type="dxa"/>
            <w:tcBorders>
              <w:bottom w:val="single" w:sz="4" w:space="0" w:color="auto"/>
            </w:tcBorders>
            <w:shd w:val="clear" w:color="auto" w:fill="auto"/>
            <w:vAlign w:val="center"/>
          </w:tcPr>
          <w:p w14:paraId="1732C952" w14:textId="77777777" w:rsidR="000C298C" w:rsidRPr="00324B27" w:rsidRDefault="000C298C" w:rsidP="00324B27">
            <w:pPr>
              <w:spacing w:line="240" w:lineRule="auto"/>
              <w:ind w:left="-285"/>
              <w:jc w:val="center"/>
              <w:rPr>
                <w:rFonts w:cs="Times Unicode"/>
                <w:b w:val="0"/>
                <w:bCs/>
                <w:color w:val="000000"/>
                <w:sz w:val="18"/>
                <w:szCs w:val="18"/>
                <w:lang w:val="hy-AM" w:eastAsia="en-US"/>
              </w:rPr>
            </w:pPr>
            <w:r w:rsidRPr="00324B27">
              <w:rPr>
                <w:rFonts w:cs="Times Unicode"/>
                <w:b w:val="0"/>
                <w:bCs/>
                <w:color w:val="000000"/>
                <w:sz w:val="18"/>
                <w:szCs w:val="18"/>
                <w:lang w:val="hy-AM" w:eastAsia="en-US"/>
              </w:rPr>
              <w:t>2024թ.</w:t>
            </w:r>
          </w:p>
        </w:tc>
      </w:tr>
      <w:tr w:rsidR="000C298C" w:rsidRPr="00324B27" w14:paraId="70F66C86" w14:textId="77777777" w:rsidTr="00324B27">
        <w:tc>
          <w:tcPr>
            <w:tcW w:w="6120" w:type="dxa"/>
            <w:tcBorders>
              <w:top w:val="single" w:sz="4" w:space="0" w:color="auto"/>
              <w:bottom w:val="nil"/>
            </w:tcBorders>
            <w:shd w:val="clear" w:color="auto" w:fill="auto"/>
          </w:tcPr>
          <w:p w14:paraId="56FA857C" w14:textId="77777777" w:rsidR="000C298C" w:rsidRPr="00324B27" w:rsidRDefault="000C298C" w:rsidP="00B44E16">
            <w:pPr>
              <w:spacing w:line="240" w:lineRule="auto"/>
              <w:ind w:left="75"/>
              <w:jc w:val="left"/>
              <w:rPr>
                <w:rFonts w:cs="Times Unicode"/>
                <w:bCs/>
                <w:sz w:val="18"/>
                <w:szCs w:val="18"/>
                <w:lang w:val="hy-AM" w:eastAsia="en-US"/>
              </w:rPr>
            </w:pPr>
            <w:r w:rsidRPr="00324B27">
              <w:rPr>
                <w:rFonts w:cs="Times Unicode"/>
                <w:b w:val="0"/>
                <w:bCs/>
                <w:sz w:val="18"/>
                <w:szCs w:val="18"/>
                <w:lang w:val="hy-AM" w:eastAsia="en-US"/>
              </w:rPr>
              <w:t>Վերաֆինանսավորման ռիսկ</w:t>
            </w:r>
          </w:p>
        </w:tc>
        <w:tc>
          <w:tcPr>
            <w:tcW w:w="1800" w:type="dxa"/>
            <w:tcBorders>
              <w:top w:val="single" w:sz="4" w:space="0" w:color="auto"/>
              <w:bottom w:val="nil"/>
            </w:tcBorders>
            <w:shd w:val="clear" w:color="auto" w:fill="auto"/>
          </w:tcPr>
          <w:p w14:paraId="63DFBEE9" w14:textId="77777777" w:rsidR="000C298C" w:rsidRPr="00324B27" w:rsidRDefault="000C298C" w:rsidP="00324B27">
            <w:pPr>
              <w:spacing w:line="240" w:lineRule="auto"/>
              <w:ind w:left="-285"/>
              <w:jc w:val="center"/>
              <w:rPr>
                <w:sz w:val="18"/>
                <w:szCs w:val="18"/>
                <w:lang w:val="hy-AM" w:eastAsia="en-US"/>
              </w:rPr>
            </w:pPr>
          </w:p>
        </w:tc>
        <w:tc>
          <w:tcPr>
            <w:tcW w:w="1710" w:type="dxa"/>
            <w:tcBorders>
              <w:top w:val="single" w:sz="4" w:space="0" w:color="auto"/>
              <w:bottom w:val="nil"/>
            </w:tcBorders>
            <w:shd w:val="clear" w:color="auto" w:fill="auto"/>
          </w:tcPr>
          <w:p w14:paraId="19ABDAD2" w14:textId="77777777" w:rsidR="000C298C" w:rsidRPr="00324B27" w:rsidRDefault="000C298C" w:rsidP="00324B27">
            <w:pPr>
              <w:spacing w:line="240" w:lineRule="auto"/>
              <w:ind w:left="-285"/>
              <w:jc w:val="center"/>
              <w:rPr>
                <w:b w:val="0"/>
                <w:bCs/>
                <w:sz w:val="18"/>
                <w:szCs w:val="18"/>
                <w:lang w:val="hy-AM" w:eastAsia="en-US"/>
              </w:rPr>
            </w:pPr>
          </w:p>
        </w:tc>
      </w:tr>
      <w:tr w:rsidR="000C298C" w:rsidRPr="00324B27" w14:paraId="7BBCDD4B" w14:textId="77777777" w:rsidTr="00324B27">
        <w:tc>
          <w:tcPr>
            <w:tcW w:w="6120" w:type="dxa"/>
            <w:tcBorders>
              <w:top w:val="nil"/>
              <w:bottom w:val="nil"/>
            </w:tcBorders>
            <w:shd w:val="clear" w:color="auto" w:fill="auto"/>
          </w:tcPr>
          <w:p w14:paraId="38AE4066" w14:textId="77777777" w:rsidR="000C298C" w:rsidRPr="00324B27" w:rsidRDefault="000C298C" w:rsidP="00B44E16">
            <w:pPr>
              <w:spacing w:line="240" w:lineRule="auto"/>
              <w:ind w:left="75"/>
              <w:jc w:val="left"/>
              <w:rPr>
                <w:rFonts w:cs="Times Unicode"/>
                <w:b w:val="0"/>
                <w:bCs/>
                <w:sz w:val="18"/>
                <w:szCs w:val="18"/>
                <w:lang w:val="hy-AM" w:eastAsia="en-US"/>
              </w:rPr>
            </w:pPr>
            <w:r w:rsidRPr="00324B27">
              <w:rPr>
                <w:rFonts w:cs="Times Unicode"/>
                <w:b w:val="0"/>
                <w:bCs/>
                <w:sz w:val="18"/>
                <w:szCs w:val="18"/>
                <w:lang w:val="hy-AM" w:eastAsia="en-US"/>
              </w:rPr>
              <w:t xml:space="preserve">Մինչև մարում միջին ժամկետը </w:t>
            </w:r>
          </w:p>
        </w:tc>
        <w:tc>
          <w:tcPr>
            <w:tcW w:w="1800" w:type="dxa"/>
            <w:tcBorders>
              <w:top w:val="nil"/>
              <w:bottom w:val="nil"/>
            </w:tcBorders>
            <w:shd w:val="clear" w:color="auto" w:fill="auto"/>
            <w:vAlign w:val="center"/>
          </w:tcPr>
          <w:p w14:paraId="0FE95C4E" w14:textId="77777777" w:rsidR="000C298C" w:rsidRPr="00324B27" w:rsidRDefault="000C298C" w:rsidP="00324B27">
            <w:pPr>
              <w:spacing w:line="240" w:lineRule="auto"/>
              <w:ind w:left="-285"/>
              <w:jc w:val="center"/>
              <w:rPr>
                <w:b w:val="0"/>
                <w:sz w:val="18"/>
                <w:szCs w:val="18"/>
                <w:lang w:val="hy-AM" w:eastAsia="en-US"/>
              </w:rPr>
            </w:pPr>
            <w:r w:rsidRPr="00324B27">
              <w:rPr>
                <w:b w:val="0"/>
                <w:sz w:val="18"/>
                <w:szCs w:val="18"/>
                <w:lang w:val="en-US" w:eastAsia="en-US"/>
              </w:rPr>
              <w:t>7</w:t>
            </w:r>
            <w:r w:rsidRPr="00324B27">
              <w:rPr>
                <w:b w:val="0"/>
                <w:sz w:val="18"/>
                <w:szCs w:val="18"/>
                <w:lang w:val="hy-AM" w:eastAsia="en-US"/>
              </w:rPr>
              <w:t xml:space="preserve"> – 1</w:t>
            </w:r>
            <w:r w:rsidRPr="00324B27">
              <w:rPr>
                <w:b w:val="0"/>
                <w:sz w:val="18"/>
                <w:szCs w:val="18"/>
                <w:lang w:val="en-US" w:eastAsia="en-US"/>
              </w:rPr>
              <w:t>0</w:t>
            </w:r>
            <w:r w:rsidRPr="00324B27">
              <w:rPr>
                <w:b w:val="0"/>
                <w:sz w:val="18"/>
                <w:szCs w:val="18"/>
                <w:lang w:val="hy-AM" w:eastAsia="en-US"/>
              </w:rPr>
              <w:t xml:space="preserve"> տարի</w:t>
            </w:r>
          </w:p>
        </w:tc>
        <w:tc>
          <w:tcPr>
            <w:tcW w:w="1710" w:type="dxa"/>
            <w:tcBorders>
              <w:top w:val="nil"/>
              <w:bottom w:val="nil"/>
            </w:tcBorders>
            <w:shd w:val="clear" w:color="auto" w:fill="auto"/>
            <w:vAlign w:val="center"/>
          </w:tcPr>
          <w:p w14:paraId="0686C83F" w14:textId="77777777" w:rsidR="000C298C" w:rsidRPr="00324B27" w:rsidRDefault="000C298C" w:rsidP="00324B27">
            <w:pPr>
              <w:spacing w:line="240" w:lineRule="auto"/>
              <w:ind w:left="-285"/>
              <w:jc w:val="center"/>
              <w:rPr>
                <w:b w:val="0"/>
                <w:bCs/>
                <w:sz w:val="18"/>
                <w:szCs w:val="18"/>
                <w:lang w:val="hy-AM" w:eastAsia="en-US"/>
              </w:rPr>
            </w:pPr>
            <w:r w:rsidRPr="00324B27">
              <w:rPr>
                <w:b w:val="0"/>
                <w:bCs/>
                <w:sz w:val="18"/>
                <w:szCs w:val="18"/>
                <w:lang w:val="hy-AM" w:eastAsia="en-US"/>
              </w:rPr>
              <w:t>7.2 տարի</w:t>
            </w:r>
          </w:p>
        </w:tc>
      </w:tr>
      <w:tr w:rsidR="000C298C" w:rsidRPr="00324B27" w14:paraId="7FB68407" w14:textId="77777777" w:rsidTr="00324B27">
        <w:tc>
          <w:tcPr>
            <w:tcW w:w="6120" w:type="dxa"/>
            <w:tcBorders>
              <w:top w:val="nil"/>
              <w:bottom w:val="nil"/>
            </w:tcBorders>
            <w:shd w:val="clear" w:color="auto" w:fill="auto"/>
          </w:tcPr>
          <w:p w14:paraId="1782803B" w14:textId="77777777" w:rsidR="000C298C" w:rsidRPr="00324B27" w:rsidRDefault="000C298C" w:rsidP="00B44E16">
            <w:pPr>
              <w:spacing w:line="240" w:lineRule="auto"/>
              <w:ind w:left="75"/>
              <w:jc w:val="left"/>
              <w:rPr>
                <w:rFonts w:cs="Times Unicode"/>
                <w:b w:val="0"/>
                <w:bCs/>
                <w:sz w:val="18"/>
                <w:szCs w:val="18"/>
                <w:lang w:val="hy-AM" w:eastAsia="en-US"/>
              </w:rPr>
            </w:pPr>
            <w:r w:rsidRPr="00324B27">
              <w:rPr>
                <w:rFonts w:cs="Times Unicode"/>
                <w:b w:val="0"/>
                <w:bCs/>
                <w:sz w:val="18"/>
                <w:szCs w:val="18"/>
                <w:lang w:val="hy-AM" w:eastAsia="en-US"/>
              </w:rPr>
              <w:t>Առաջիկա երեք տարվա ընթացքում մարման ենթակա պարտքի տեսակարար կշիռ, %</w:t>
            </w:r>
          </w:p>
        </w:tc>
        <w:tc>
          <w:tcPr>
            <w:tcW w:w="1800" w:type="dxa"/>
            <w:tcBorders>
              <w:top w:val="nil"/>
              <w:bottom w:val="nil"/>
            </w:tcBorders>
            <w:shd w:val="clear" w:color="auto" w:fill="auto"/>
            <w:vAlign w:val="center"/>
          </w:tcPr>
          <w:p w14:paraId="047E2630" w14:textId="77777777" w:rsidR="000C298C" w:rsidRPr="00324B27" w:rsidRDefault="000C298C" w:rsidP="00324B27">
            <w:pPr>
              <w:spacing w:line="240" w:lineRule="auto"/>
              <w:ind w:left="-285"/>
              <w:jc w:val="center"/>
              <w:rPr>
                <w:b w:val="0"/>
                <w:sz w:val="18"/>
                <w:szCs w:val="18"/>
                <w:lang w:val="hy-AM" w:eastAsia="en-US"/>
              </w:rPr>
            </w:pPr>
            <w:r w:rsidRPr="00324B27">
              <w:rPr>
                <w:b w:val="0"/>
                <w:sz w:val="18"/>
                <w:szCs w:val="18"/>
                <w:lang w:val="hy-AM" w:eastAsia="en-US"/>
              </w:rPr>
              <w:t>առավելագույնը</w:t>
            </w:r>
          </w:p>
          <w:p w14:paraId="768BAF3D" w14:textId="77777777" w:rsidR="000C298C" w:rsidRPr="00324B27" w:rsidRDefault="000C298C" w:rsidP="00324B27">
            <w:pPr>
              <w:spacing w:line="240" w:lineRule="auto"/>
              <w:ind w:left="-285"/>
              <w:jc w:val="center"/>
              <w:rPr>
                <w:b w:val="0"/>
                <w:sz w:val="18"/>
                <w:szCs w:val="18"/>
                <w:lang w:val="hy-AM" w:eastAsia="en-US"/>
              </w:rPr>
            </w:pPr>
            <w:r w:rsidRPr="00324B27">
              <w:rPr>
                <w:b w:val="0"/>
                <w:sz w:val="18"/>
                <w:szCs w:val="18"/>
                <w:lang w:val="hy-AM" w:eastAsia="en-US"/>
              </w:rPr>
              <w:t>35%</w:t>
            </w:r>
          </w:p>
        </w:tc>
        <w:tc>
          <w:tcPr>
            <w:tcW w:w="1710" w:type="dxa"/>
            <w:tcBorders>
              <w:top w:val="nil"/>
              <w:bottom w:val="nil"/>
            </w:tcBorders>
            <w:shd w:val="clear" w:color="auto" w:fill="auto"/>
            <w:vAlign w:val="center"/>
          </w:tcPr>
          <w:p w14:paraId="67CEB304" w14:textId="77777777" w:rsidR="000C298C" w:rsidRPr="00324B27" w:rsidRDefault="000C298C" w:rsidP="00324B27">
            <w:pPr>
              <w:spacing w:line="240" w:lineRule="auto"/>
              <w:ind w:left="-285"/>
              <w:jc w:val="center"/>
              <w:rPr>
                <w:b w:val="0"/>
                <w:bCs/>
                <w:sz w:val="18"/>
                <w:szCs w:val="18"/>
                <w:lang w:val="hy-AM" w:eastAsia="en-US"/>
              </w:rPr>
            </w:pPr>
            <w:r w:rsidRPr="00324B27">
              <w:rPr>
                <w:b w:val="0"/>
                <w:bCs/>
                <w:sz w:val="18"/>
                <w:szCs w:val="18"/>
                <w:lang w:val="hy-AM" w:eastAsia="en-US"/>
              </w:rPr>
              <w:t>30.0%</w:t>
            </w:r>
          </w:p>
        </w:tc>
      </w:tr>
      <w:tr w:rsidR="000C298C" w:rsidRPr="00324B27" w14:paraId="09023A47" w14:textId="77777777" w:rsidTr="00324B27">
        <w:tc>
          <w:tcPr>
            <w:tcW w:w="6120" w:type="dxa"/>
            <w:tcBorders>
              <w:top w:val="nil"/>
              <w:bottom w:val="single" w:sz="4" w:space="0" w:color="auto"/>
            </w:tcBorders>
            <w:shd w:val="clear" w:color="auto" w:fill="auto"/>
          </w:tcPr>
          <w:p w14:paraId="17F4101C" w14:textId="77777777" w:rsidR="000C298C" w:rsidRPr="00324B27" w:rsidRDefault="000C298C" w:rsidP="00B44E16">
            <w:pPr>
              <w:spacing w:line="240" w:lineRule="auto"/>
              <w:ind w:left="75"/>
              <w:jc w:val="left"/>
              <w:rPr>
                <w:rFonts w:cs="Times Unicode"/>
                <w:b w:val="0"/>
                <w:bCs/>
                <w:sz w:val="18"/>
                <w:szCs w:val="18"/>
                <w:lang w:val="hy-AM" w:eastAsia="en-US"/>
              </w:rPr>
            </w:pPr>
            <w:r w:rsidRPr="00324B27">
              <w:rPr>
                <w:rFonts w:cs="Times Unicode"/>
                <w:b w:val="0"/>
                <w:bCs/>
                <w:sz w:val="18"/>
                <w:szCs w:val="18"/>
                <w:lang w:val="hy-AM" w:eastAsia="en-US"/>
              </w:rPr>
              <w:t>Առաջիկա տարվա ընթացքում մարվող պետական գանձապետական պարտատոմսերի (ՊԳՊ) առավելագույն կշիռը ՊԳՊ-երի ծավալի մեջ (տարեվերջին)</w:t>
            </w:r>
          </w:p>
        </w:tc>
        <w:tc>
          <w:tcPr>
            <w:tcW w:w="1800" w:type="dxa"/>
            <w:tcBorders>
              <w:top w:val="nil"/>
              <w:bottom w:val="single" w:sz="4" w:space="0" w:color="auto"/>
            </w:tcBorders>
            <w:shd w:val="clear" w:color="auto" w:fill="auto"/>
            <w:vAlign w:val="center"/>
          </w:tcPr>
          <w:p w14:paraId="091AB68D" w14:textId="77777777" w:rsidR="000C298C" w:rsidRPr="00324B27" w:rsidRDefault="000C298C" w:rsidP="00324B27">
            <w:pPr>
              <w:spacing w:line="240" w:lineRule="auto"/>
              <w:ind w:left="-285"/>
              <w:jc w:val="center"/>
              <w:rPr>
                <w:b w:val="0"/>
                <w:sz w:val="18"/>
                <w:szCs w:val="18"/>
                <w:lang w:val="hy-AM" w:eastAsia="en-US"/>
              </w:rPr>
            </w:pPr>
            <w:r w:rsidRPr="00324B27">
              <w:rPr>
                <w:b w:val="0"/>
                <w:sz w:val="18"/>
                <w:szCs w:val="18"/>
                <w:lang w:val="hy-AM" w:eastAsia="en-US"/>
              </w:rPr>
              <w:t>առավելագույնը</w:t>
            </w:r>
          </w:p>
          <w:p w14:paraId="60D9F16C" w14:textId="77777777" w:rsidR="000C298C" w:rsidRPr="00324B27" w:rsidRDefault="000C298C" w:rsidP="00324B27">
            <w:pPr>
              <w:spacing w:line="240" w:lineRule="auto"/>
              <w:ind w:left="-285"/>
              <w:jc w:val="center"/>
              <w:rPr>
                <w:b w:val="0"/>
                <w:sz w:val="18"/>
                <w:szCs w:val="18"/>
                <w:lang w:val="hy-AM" w:eastAsia="en-US"/>
              </w:rPr>
            </w:pPr>
            <w:r w:rsidRPr="00324B27">
              <w:rPr>
                <w:b w:val="0"/>
                <w:sz w:val="18"/>
                <w:szCs w:val="18"/>
                <w:lang w:val="hy-AM" w:eastAsia="en-US"/>
              </w:rPr>
              <w:t>20%</w:t>
            </w:r>
          </w:p>
        </w:tc>
        <w:tc>
          <w:tcPr>
            <w:tcW w:w="1710" w:type="dxa"/>
            <w:tcBorders>
              <w:top w:val="nil"/>
              <w:bottom w:val="single" w:sz="4" w:space="0" w:color="auto"/>
            </w:tcBorders>
            <w:shd w:val="clear" w:color="auto" w:fill="auto"/>
            <w:vAlign w:val="center"/>
          </w:tcPr>
          <w:p w14:paraId="240FB0E6" w14:textId="77777777" w:rsidR="000C298C" w:rsidRPr="00324B27" w:rsidRDefault="000C298C" w:rsidP="00324B27">
            <w:pPr>
              <w:spacing w:line="240" w:lineRule="auto"/>
              <w:ind w:left="-285"/>
              <w:jc w:val="center"/>
              <w:rPr>
                <w:b w:val="0"/>
                <w:bCs/>
                <w:sz w:val="18"/>
                <w:szCs w:val="18"/>
                <w:lang w:val="hy-AM" w:eastAsia="en-US"/>
              </w:rPr>
            </w:pPr>
            <w:r w:rsidRPr="00324B27">
              <w:rPr>
                <w:b w:val="0"/>
                <w:bCs/>
                <w:sz w:val="18"/>
                <w:szCs w:val="18"/>
                <w:lang w:val="en-US" w:eastAsia="en-US"/>
              </w:rPr>
              <w:t>1</w:t>
            </w:r>
            <w:r w:rsidRPr="00324B27">
              <w:rPr>
                <w:b w:val="0"/>
                <w:bCs/>
                <w:sz w:val="18"/>
                <w:szCs w:val="18"/>
                <w:lang w:val="hy-AM" w:eastAsia="en-US"/>
              </w:rPr>
              <w:t>5.2%</w:t>
            </w:r>
          </w:p>
        </w:tc>
      </w:tr>
      <w:tr w:rsidR="000C298C" w:rsidRPr="00324B27" w14:paraId="44EB691A" w14:textId="77777777" w:rsidTr="00324B27">
        <w:tc>
          <w:tcPr>
            <w:tcW w:w="6120" w:type="dxa"/>
            <w:tcBorders>
              <w:top w:val="single" w:sz="4" w:space="0" w:color="auto"/>
              <w:bottom w:val="nil"/>
            </w:tcBorders>
            <w:shd w:val="clear" w:color="auto" w:fill="auto"/>
          </w:tcPr>
          <w:p w14:paraId="35827DA6" w14:textId="77777777" w:rsidR="000C298C" w:rsidRPr="00324B27" w:rsidRDefault="000C298C" w:rsidP="00B44E16">
            <w:pPr>
              <w:spacing w:line="240" w:lineRule="auto"/>
              <w:ind w:left="75"/>
              <w:jc w:val="left"/>
              <w:rPr>
                <w:rFonts w:cs="Times Unicode"/>
                <w:bCs/>
                <w:sz w:val="18"/>
                <w:szCs w:val="18"/>
                <w:lang w:val="hy-AM" w:eastAsia="en-US"/>
              </w:rPr>
            </w:pPr>
            <w:r w:rsidRPr="00324B27">
              <w:rPr>
                <w:rFonts w:cs="Times Unicode"/>
                <w:b w:val="0"/>
                <w:bCs/>
                <w:sz w:val="18"/>
                <w:szCs w:val="18"/>
                <w:lang w:val="hy-AM" w:eastAsia="en-US"/>
              </w:rPr>
              <w:t>Տոկոսադրույքի ռիսկ</w:t>
            </w:r>
          </w:p>
        </w:tc>
        <w:tc>
          <w:tcPr>
            <w:tcW w:w="1800" w:type="dxa"/>
            <w:tcBorders>
              <w:top w:val="single" w:sz="4" w:space="0" w:color="auto"/>
              <w:bottom w:val="nil"/>
            </w:tcBorders>
            <w:shd w:val="clear" w:color="auto" w:fill="auto"/>
            <w:vAlign w:val="center"/>
          </w:tcPr>
          <w:p w14:paraId="6A1B2A8F" w14:textId="77777777" w:rsidR="000C298C" w:rsidRPr="00324B27" w:rsidRDefault="000C298C" w:rsidP="00324B27">
            <w:pPr>
              <w:spacing w:line="240" w:lineRule="auto"/>
              <w:ind w:left="-285"/>
              <w:jc w:val="center"/>
              <w:rPr>
                <w:b w:val="0"/>
                <w:sz w:val="18"/>
                <w:szCs w:val="18"/>
                <w:lang w:val="hy-AM" w:eastAsia="en-US"/>
              </w:rPr>
            </w:pPr>
          </w:p>
        </w:tc>
        <w:tc>
          <w:tcPr>
            <w:tcW w:w="1710" w:type="dxa"/>
            <w:tcBorders>
              <w:top w:val="single" w:sz="4" w:space="0" w:color="auto"/>
              <w:bottom w:val="nil"/>
            </w:tcBorders>
            <w:shd w:val="clear" w:color="auto" w:fill="auto"/>
            <w:vAlign w:val="center"/>
          </w:tcPr>
          <w:p w14:paraId="2F3CA750" w14:textId="77777777" w:rsidR="000C298C" w:rsidRPr="00324B27" w:rsidRDefault="000C298C" w:rsidP="00324B27">
            <w:pPr>
              <w:spacing w:line="240" w:lineRule="auto"/>
              <w:ind w:left="-285"/>
              <w:jc w:val="center"/>
              <w:rPr>
                <w:b w:val="0"/>
                <w:bCs/>
                <w:sz w:val="18"/>
                <w:szCs w:val="18"/>
                <w:lang w:val="hy-AM" w:eastAsia="en-US"/>
              </w:rPr>
            </w:pPr>
          </w:p>
        </w:tc>
      </w:tr>
      <w:tr w:rsidR="000C298C" w:rsidRPr="00324B27" w14:paraId="6C46D626" w14:textId="77777777" w:rsidTr="00324B27">
        <w:tc>
          <w:tcPr>
            <w:tcW w:w="6120" w:type="dxa"/>
            <w:tcBorders>
              <w:top w:val="nil"/>
              <w:bottom w:val="single" w:sz="4" w:space="0" w:color="auto"/>
            </w:tcBorders>
            <w:shd w:val="clear" w:color="auto" w:fill="auto"/>
          </w:tcPr>
          <w:p w14:paraId="162BD766" w14:textId="77777777" w:rsidR="000C298C" w:rsidRPr="00324B27" w:rsidRDefault="000C298C" w:rsidP="00B44E16">
            <w:pPr>
              <w:spacing w:line="240" w:lineRule="auto"/>
              <w:ind w:left="75"/>
              <w:jc w:val="left"/>
              <w:rPr>
                <w:rFonts w:cs="Times Unicode"/>
                <w:b w:val="0"/>
                <w:bCs/>
                <w:sz w:val="18"/>
                <w:szCs w:val="18"/>
                <w:lang w:val="hy-AM" w:eastAsia="en-US"/>
              </w:rPr>
            </w:pPr>
            <w:r w:rsidRPr="00324B27">
              <w:rPr>
                <w:rFonts w:cs="Times Unicode"/>
                <w:b w:val="0"/>
                <w:bCs/>
                <w:sz w:val="18"/>
                <w:szCs w:val="18"/>
                <w:lang w:val="hy-AM" w:eastAsia="en-US"/>
              </w:rPr>
              <w:t>Ֆիքսված տոկոսադրույքով պարտքի կշիռն ընդամենը պարտքի մեջ</w:t>
            </w:r>
          </w:p>
        </w:tc>
        <w:tc>
          <w:tcPr>
            <w:tcW w:w="1800" w:type="dxa"/>
            <w:tcBorders>
              <w:top w:val="nil"/>
              <w:bottom w:val="single" w:sz="4" w:space="0" w:color="auto"/>
            </w:tcBorders>
            <w:shd w:val="clear" w:color="auto" w:fill="auto"/>
            <w:vAlign w:val="center"/>
          </w:tcPr>
          <w:p w14:paraId="2AF32C70" w14:textId="77777777" w:rsidR="000C298C" w:rsidRPr="00324B27" w:rsidRDefault="000C298C" w:rsidP="00324B27">
            <w:pPr>
              <w:spacing w:line="240" w:lineRule="auto"/>
              <w:ind w:left="-285"/>
              <w:jc w:val="center"/>
              <w:rPr>
                <w:b w:val="0"/>
                <w:sz w:val="18"/>
                <w:szCs w:val="18"/>
                <w:lang w:val="hy-AM" w:eastAsia="en-US"/>
              </w:rPr>
            </w:pPr>
            <w:r w:rsidRPr="00324B27">
              <w:rPr>
                <w:b w:val="0"/>
                <w:sz w:val="18"/>
                <w:szCs w:val="18"/>
                <w:lang w:val="hy-AM" w:eastAsia="en-US"/>
              </w:rPr>
              <w:t>առնվազն 80%</w:t>
            </w:r>
          </w:p>
        </w:tc>
        <w:tc>
          <w:tcPr>
            <w:tcW w:w="1710" w:type="dxa"/>
            <w:tcBorders>
              <w:top w:val="nil"/>
              <w:bottom w:val="single" w:sz="4" w:space="0" w:color="auto"/>
            </w:tcBorders>
            <w:shd w:val="clear" w:color="auto" w:fill="auto"/>
            <w:vAlign w:val="center"/>
          </w:tcPr>
          <w:p w14:paraId="4DFC89FF" w14:textId="77777777" w:rsidR="000C298C" w:rsidRPr="00324B27" w:rsidRDefault="000C298C" w:rsidP="00324B27">
            <w:pPr>
              <w:spacing w:line="240" w:lineRule="auto"/>
              <w:ind w:left="-285"/>
              <w:jc w:val="center"/>
              <w:rPr>
                <w:b w:val="0"/>
                <w:bCs/>
                <w:sz w:val="18"/>
                <w:szCs w:val="18"/>
                <w:lang w:val="hy-AM" w:eastAsia="en-US"/>
              </w:rPr>
            </w:pPr>
            <w:r w:rsidRPr="00324B27">
              <w:rPr>
                <w:b w:val="0"/>
                <w:bCs/>
                <w:sz w:val="18"/>
                <w:szCs w:val="18"/>
                <w:lang w:val="hy-AM" w:eastAsia="en-US"/>
              </w:rPr>
              <w:t>82.0%</w:t>
            </w:r>
          </w:p>
        </w:tc>
      </w:tr>
      <w:tr w:rsidR="000C298C" w:rsidRPr="00324B27" w14:paraId="0C3D8963" w14:textId="77777777" w:rsidTr="00324B27">
        <w:tc>
          <w:tcPr>
            <w:tcW w:w="6120" w:type="dxa"/>
            <w:tcBorders>
              <w:top w:val="single" w:sz="4" w:space="0" w:color="auto"/>
              <w:bottom w:val="nil"/>
            </w:tcBorders>
            <w:shd w:val="clear" w:color="auto" w:fill="auto"/>
          </w:tcPr>
          <w:p w14:paraId="749259D3" w14:textId="77777777" w:rsidR="000C298C" w:rsidRPr="00324B27" w:rsidRDefault="000C298C" w:rsidP="00B44E16">
            <w:pPr>
              <w:spacing w:line="240" w:lineRule="auto"/>
              <w:ind w:left="75"/>
              <w:jc w:val="left"/>
              <w:rPr>
                <w:rFonts w:cs="Times Unicode"/>
                <w:bCs/>
                <w:sz w:val="18"/>
                <w:szCs w:val="18"/>
                <w:lang w:val="hy-AM" w:eastAsia="en-US"/>
              </w:rPr>
            </w:pPr>
            <w:r w:rsidRPr="00324B27">
              <w:rPr>
                <w:rFonts w:cs="Times Unicode"/>
                <w:b w:val="0"/>
                <w:bCs/>
                <w:sz w:val="18"/>
                <w:szCs w:val="18"/>
                <w:lang w:val="hy-AM" w:eastAsia="en-US"/>
              </w:rPr>
              <w:t>Փոխարժեքի ռիսկ</w:t>
            </w:r>
          </w:p>
        </w:tc>
        <w:tc>
          <w:tcPr>
            <w:tcW w:w="1800" w:type="dxa"/>
            <w:tcBorders>
              <w:top w:val="single" w:sz="4" w:space="0" w:color="auto"/>
              <w:bottom w:val="nil"/>
            </w:tcBorders>
            <w:shd w:val="clear" w:color="auto" w:fill="auto"/>
            <w:vAlign w:val="center"/>
          </w:tcPr>
          <w:p w14:paraId="2D8CF4C1" w14:textId="77777777" w:rsidR="000C298C" w:rsidRPr="00324B27" w:rsidRDefault="000C298C" w:rsidP="00324B27">
            <w:pPr>
              <w:spacing w:line="240" w:lineRule="auto"/>
              <w:ind w:left="-285"/>
              <w:jc w:val="center"/>
              <w:rPr>
                <w:b w:val="0"/>
                <w:sz w:val="18"/>
                <w:szCs w:val="18"/>
                <w:lang w:val="hy-AM" w:eastAsia="en-US"/>
              </w:rPr>
            </w:pPr>
          </w:p>
        </w:tc>
        <w:tc>
          <w:tcPr>
            <w:tcW w:w="1710" w:type="dxa"/>
            <w:tcBorders>
              <w:top w:val="single" w:sz="4" w:space="0" w:color="auto"/>
              <w:bottom w:val="nil"/>
            </w:tcBorders>
            <w:shd w:val="clear" w:color="auto" w:fill="auto"/>
            <w:vAlign w:val="center"/>
          </w:tcPr>
          <w:p w14:paraId="139668C2" w14:textId="77777777" w:rsidR="000C298C" w:rsidRPr="00324B27" w:rsidRDefault="000C298C" w:rsidP="00324B27">
            <w:pPr>
              <w:spacing w:line="240" w:lineRule="auto"/>
              <w:ind w:left="-285"/>
              <w:jc w:val="center"/>
              <w:rPr>
                <w:b w:val="0"/>
                <w:bCs/>
                <w:sz w:val="18"/>
                <w:szCs w:val="18"/>
                <w:lang w:val="hy-AM" w:eastAsia="en-US"/>
              </w:rPr>
            </w:pPr>
          </w:p>
        </w:tc>
      </w:tr>
      <w:tr w:rsidR="000C298C" w:rsidRPr="00324B27" w14:paraId="66DF0D64" w14:textId="77777777" w:rsidTr="00324B27">
        <w:tc>
          <w:tcPr>
            <w:tcW w:w="6120" w:type="dxa"/>
            <w:tcBorders>
              <w:top w:val="nil"/>
              <w:bottom w:val="nil"/>
            </w:tcBorders>
            <w:shd w:val="clear" w:color="auto" w:fill="auto"/>
          </w:tcPr>
          <w:p w14:paraId="2FCC4334" w14:textId="77777777" w:rsidR="000C298C" w:rsidRPr="00324B27" w:rsidRDefault="000C298C" w:rsidP="00B44E16">
            <w:pPr>
              <w:spacing w:line="240" w:lineRule="auto"/>
              <w:ind w:left="75"/>
              <w:jc w:val="left"/>
              <w:rPr>
                <w:rFonts w:cs="Times Unicode"/>
                <w:b w:val="0"/>
                <w:bCs/>
                <w:sz w:val="18"/>
                <w:szCs w:val="18"/>
                <w:lang w:val="hy-AM" w:eastAsia="en-US"/>
              </w:rPr>
            </w:pPr>
            <w:r w:rsidRPr="00324B27">
              <w:rPr>
                <w:rFonts w:cs="Times Unicode"/>
                <w:b w:val="0"/>
                <w:bCs/>
                <w:sz w:val="18"/>
                <w:szCs w:val="18"/>
                <w:lang w:val="hy-AM" w:eastAsia="en-US"/>
              </w:rPr>
              <w:t>Ներքին պարտքի կշիռն ընդամենը պարտքի մեջ</w:t>
            </w:r>
          </w:p>
        </w:tc>
        <w:tc>
          <w:tcPr>
            <w:tcW w:w="1800" w:type="dxa"/>
            <w:tcBorders>
              <w:top w:val="nil"/>
              <w:bottom w:val="nil"/>
            </w:tcBorders>
            <w:shd w:val="clear" w:color="auto" w:fill="auto"/>
            <w:vAlign w:val="center"/>
          </w:tcPr>
          <w:p w14:paraId="4A3AEA1F" w14:textId="77777777" w:rsidR="000C298C" w:rsidRPr="00324B27" w:rsidRDefault="000C298C" w:rsidP="00324B27">
            <w:pPr>
              <w:spacing w:line="240" w:lineRule="auto"/>
              <w:ind w:left="-285"/>
              <w:jc w:val="center"/>
              <w:rPr>
                <w:b w:val="0"/>
                <w:sz w:val="18"/>
                <w:szCs w:val="18"/>
                <w:lang w:val="hy-AM" w:eastAsia="en-US"/>
              </w:rPr>
            </w:pPr>
            <w:r w:rsidRPr="00324B27">
              <w:rPr>
                <w:b w:val="0"/>
                <w:sz w:val="18"/>
                <w:szCs w:val="18"/>
                <w:lang w:val="hy-AM" w:eastAsia="en-US"/>
              </w:rPr>
              <w:t>առնվազն 4</w:t>
            </w:r>
            <w:r w:rsidRPr="00324B27">
              <w:rPr>
                <w:b w:val="0"/>
                <w:sz w:val="18"/>
                <w:szCs w:val="18"/>
                <w:lang w:val="en-US" w:eastAsia="en-US"/>
              </w:rPr>
              <w:t>0</w:t>
            </w:r>
            <w:r w:rsidRPr="00324B27">
              <w:rPr>
                <w:b w:val="0"/>
                <w:sz w:val="18"/>
                <w:szCs w:val="18"/>
                <w:lang w:val="hy-AM" w:eastAsia="en-US"/>
              </w:rPr>
              <w:t>%</w:t>
            </w:r>
          </w:p>
        </w:tc>
        <w:tc>
          <w:tcPr>
            <w:tcW w:w="1710" w:type="dxa"/>
            <w:tcBorders>
              <w:top w:val="nil"/>
              <w:bottom w:val="nil"/>
            </w:tcBorders>
            <w:shd w:val="clear" w:color="auto" w:fill="auto"/>
            <w:vAlign w:val="center"/>
          </w:tcPr>
          <w:p w14:paraId="513484FF" w14:textId="77777777" w:rsidR="000C298C" w:rsidRPr="00324B27" w:rsidRDefault="000C298C" w:rsidP="00324B27">
            <w:pPr>
              <w:spacing w:line="240" w:lineRule="auto"/>
              <w:ind w:left="-285"/>
              <w:jc w:val="center"/>
              <w:rPr>
                <w:b w:val="0"/>
                <w:bCs/>
                <w:sz w:val="18"/>
                <w:szCs w:val="18"/>
                <w:lang w:val="hy-AM" w:eastAsia="en-US"/>
              </w:rPr>
            </w:pPr>
            <w:r w:rsidRPr="00324B27">
              <w:rPr>
                <w:b w:val="0"/>
                <w:bCs/>
                <w:sz w:val="18"/>
                <w:szCs w:val="18"/>
                <w:lang w:val="en-US" w:eastAsia="en-US"/>
              </w:rPr>
              <w:t>4</w:t>
            </w:r>
            <w:r w:rsidRPr="00324B27">
              <w:rPr>
                <w:b w:val="0"/>
                <w:bCs/>
                <w:sz w:val="18"/>
                <w:szCs w:val="18"/>
                <w:lang w:val="hy-AM" w:eastAsia="en-US"/>
              </w:rPr>
              <w:t>5.2%</w:t>
            </w:r>
          </w:p>
        </w:tc>
      </w:tr>
      <w:tr w:rsidR="000C298C" w:rsidRPr="00324B27" w14:paraId="28382936" w14:textId="77777777" w:rsidTr="00324B27">
        <w:tc>
          <w:tcPr>
            <w:tcW w:w="6120" w:type="dxa"/>
            <w:tcBorders>
              <w:top w:val="nil"/>
            </w:tcBorders>
            <w:shd w:val="clear" w:color="auto" w:fill="auto"/>
          </w:tcPr>
          <w:p w14:paraId="16119E9B" w14:textId="77777777" w:rsidR="000C298C" w:rsidRPr="00324B27" w:rsidRDefault="000C298C" w:rsidP="00B44E16">
            <w:pPr>
              <w:spacing w:line="240" w:lineRule="auto"/>
              <w:ind w:left="75"/>
              <w:jc w:val="left"/>
              <w:rPr>
                <w:rFonts w:cs="Times Unicode"/>
                <w:b w:val="0"/>
                <w:bCs/>
                <w:sz w:val="18"/>
                <w:szCs w:val="18"/>
                <w:lang w:val="hy-AM" w:eastAsia="en-US"/>
              </w:rPr>
            </w:pPr>
            <w:r w:rsidRPr="00324B27">
              <w:rPr>
                <w:rFonts w:cs="Times Unicode"/>
                <w:b w:val="0"/>
                <w:bCs/>
                <w:sz w:val="18"/>
                <w:szCs w:val="18"/>
                <w:lang w:val="hy-AM" w:eastAsia="en-US"/>
              </w:rPr>
              <w:t>ՀՀ դրամով ներգրավված պարտքի կշիռն ընդամենը պարտքի մեջ</w:t>
            </w:r>
          </w:p>
        </w:tc>
        <w:tc>
          <w:tcPr>
            <w:tcW w:w="1800" w:type="dxa"/>
            <w:tcBorders>
              <w:top w:val="nil"/>
            </w:tcBorders>
            <w:shd w:val="clear" w:color="auto" w:fill="auto"/>
            <w:vAlign w:val="center"/>
          </w:tcPr>
          <w:p w14:paraId="3CFE5BA7" w14:textId="77777777" w:rsidR="000C298C" w:rsidRPr="00324B27" w:rsidRDefault="000C298C" w:rsidP="00324B27">
            <w:pPr>
              <w:spacing w:line="240" w:lineRule="auto"/>
              <w:ind w:left="-285"/>
              <w:jc w:val="center"/>
              <w:rPr>
                <w:b w:val="0"/>
                <w:bCs/>
                <w:sz w:val="18"/>
                <w:szCs w:val="18"/>
                <w:lang w:val="hy-AM" w:eastAsia="en-US"/>
              </w:rPr>
            </w:pPr>
            <w:r w:rsidRPr="00324B27">
              <w:rPr>
                <w:b w:val="0"/>
                <w:bCs/>
                <w:sz w:val="18"/>
                <w:szCs w:val="18"/>
                <w:lang w:val="hy-AM" w:eastAsia="en-US"/>
              </w:rPr>
              <w:t>առնվազն 4</w:t>
            </w:r>
            <w:r w:rsidRPr="00324B27">
              <w:rPr>
                <w:b w:val="0"/>
                <w:bCs/>
                <w:sz w:val="18"/>
                <w:szCs w:val="18"/>
                <w:lang w:val="en-US" w:eastAsia="en-US"/>
              </w:rPr>
              <w:t>0</w:t>
            </w:r>
            <w:r w:rsidRPr="00324B27">
              <w:rPr>
                <w:b w:val="0"/>
                <w:bCs/>
                <w:sz w:val="18"/>
                <w:szCs w:val="18"/>
                <w:lang w:val="hy-AM" w:eastAsia="en-US"/>
              </w:rPr>
              <w:t>%</w:t>
            </w:r>
          </w:p>
        </w:tc>
        <w:tc>
          <w:tcPr>
            <w:tcW w:w="1710" w:type="dxa"/>
            <w:tcBorders>
              <w:top w:val="nil"/>
            </w:tcBorders>
            <w:shd w:val="clear" w:color="auto" w:fill="auto"/>
            <w:vAlign w:val="center"/>
          </w:tcPr>
          <w:p w14:paraId="050EEA1E" w14:textId="77777777" w:rsidR="000C298C" w:rsidRPr="00324B27" w:rsidRDefault="000C298C" w:rsidP="00324B27">
            <w:pPr>
              <w:spacing w:line="240" w:lineRule="auto"/>
              <w:ind w:left="-285"/>
              <w:jc w:val="center"/>
              <w:rPr>
                <w:b w:val="0"/>
                <w:bCs/>
                <w:sz w:val="18"/>
                <w:szCs w:val="18"/>
                <w:lang w:val="hy-AM" w:eastAsia="en-US"/>
              </w:rPr>
            </w:pPr>
            <w:r w:rsidRPr="00324B27">
              <w:rPr>
                <w:b w:val="0"/>
                <w:bCs/>
                <w:sz w:val="18"/>
                <w:szCs w:val="18"/>
                <w:lang w:val="hy-AM" w:eastAsia="en-US"/>
              </w:rPr>
              <w:t>44</w:t>
            </w:r>
            <w:r w:rsidRPr="00324B27">
              <w:rPr>
                <w:b w:val="0"/>
                <w:bCs/>
                <w:sz w:val="18"/>
                <w:szCs w:val="18"/>
                <w:lang w:val="en-US" w:eastAsia="en-US"/>
              </w:rPr>
              <w:t>.3</w:t>
            </w:r>
            <w:r w:rsidRPr="00324B27">
              <w:rPr>
                <w:b w:val="0"/>
                <w:bCs/>
                <w:sz w:val="18"/>
                <w:szCs w:val="18"/>
                <w:lang w:val="hy-AM" w:eastAsia="en-US"/>
              </w:rPr>
              <w:t>%</w:t>
            </w:r>
          </w:p>
        </w:tc>
      </w:tr>
    </w:tbl>
    <w:p w14:paraId="0D91CBD2" w14:textId="77777777" w:rsidR="000C298C" w:rsidRPr="00324B27" w:rsidRDefault="000C298C" w:rsidP="000C298C">
      <w:pPr>
        <w:spacing w:before="0" w:line="360" w:lineRule="auto"/>
        <w:ind w:firstLine="720"/>
        <w:rPr>
          <w:rFonts w:eastAsia="Calibri"/>
          <w:b w:val="0"/>
          <w:bCs/>
          <w:sz w:val="18"/>
          <w:szCs w:val="18"/>
          <w:lang w:val="hy-AM" w:eastAsia="en-US"/>
        </w:rPr>
      </w:pPr>
    </w:p>
    <w:p w14:paraId="2D44EA8B" w14:textId="77777777" w:rsidR="000C298C" w:rsidRDefault="000C298C" w:rsidP="000C298C">
      <w:pPr>
        <w:rPr>
          <w:rFonts w:eastAsia="Calibri"/>
          <w:b w:val="0"/>
          <w:noProof/>
          <w:szCs w:val="22"/>
          <w:lang w:val="hy-AM" w:eastAsia="en-US"/>
        </w:rPr>
      </w:pPr>
      <w:r w:rsidRPr="00864B6B">
        <w:rPr>
          <w:rFonts w:eastAsia="Calibri"/>
          <w:b w:val="0"/>
          <w:noProof/>
          <w:szCs w:val="22"/>
          <w:lang w:val="hy-AM" w:eastAsia="en-US"/>
        </w:rPr>
        <w:t xml:space="preserve">2024 թվականի տարեվերջի դրությամբ կառավարության արտաքին վարկերի գծով պարտքի 35.9%-ը բաժին կընկնի Համաշխարհային Բանկին (Զարգացման Միջազգային Ընկերակցություն ու Վերակառուցման և Զարգացման Միջազգային Բանկ): </w:t>
      </w:r>
    </w:p>
    <w:p w14:paraId="358A8007" w14:textId="213D0CEE" w:rsidR="00B44E16" w:rsidRDefault="000C298C" w:rsidP="00B44E16">
      <w:pPr>
        <w:rPr>
          <w:rFonts w:cs="Sylfaen"/>
          <w:b w:val="0"/>
          <w:bCs/>
          <w:lang w:val="hy-AM"/>
        </w:rPr>
      </w:pPr>
      <w:bookmarkStart w:id="339" w:name="_Toc152324828"/>
      <w:r w:rsidRPr="000C298C">
        <w:rPr>
          <w:rFonts w:cs="Sylfaen"/>
          <w:lang w:val="hy-AM"/>
        </w:rPr>
        <w:t xml:space="preserve">Գծապատկեր </w:t>
      </w:r>
      <w:r w:rsidRPr="000C298C">
        <w:rPr>
          <w:rFonts w:cs="Sylfaen"/>
          <w:lang w:val="hy-AM"/>
        </w:rPr>
        <w:fldChar w:fldCharType="begin"/>
      </w:r>
      <w:r w:rsidRPr="000C298C">
        <w:rPr>
          <w:rFonts w:cs="Sylfaen"/>
          <w:lang w:val="hy-AM"/>
        </w:rPr>
        <w:instrText xml:space="preserve"> SEQ Գծապատկեր \* ARABIC </w:instrText>
      </w:r>
      <w:r w:rsidRPr="000C298C">
        <w:rPr>
          <w:rFonts w:cs="Sylfaen"/>
          <w:lang w:val="hy-AM"/>
        </w:rPr>
        <w:fldChar w:fldCharType="separate"/>
      </w:r>
      <w:r w:rsidR="00DB4E68">
        <w:rPr>
          <w:rFonts w:cs="Sylfaen"/>
          <w:noProof/>
          <w:lang w:val="hy-AM"/>
        </w:rPr>
        <w:t>7</w:t>
      </w:r>
      <w:r w:rsidRPr="000C298C">
        <w:rPr>
          <w:rFonts w:cs="Sylfaen"/>
          <w:lang w:val="hy-AM"/>
        </w:rPr>
        <w:fldChar w:fldCharType="end"/>
      </w:r>
      <w:r w:rsidRPr="000C298C">
        <w:rPr>
          <w:rFonts w:cs="Sylfaen"/>
          <w:lang w:val="hy-AM"/>
        </w:rPr>
        <w:t>.</w:t>
      </w:r>
      <w:r w:rsidRPr="000C298C">
        <w:rPr>
          <w:rFonts w:cs="Sylfaen"/>
          <w:b w:val="0"/>
          <w:bCs/>
          <w:lang w:val="hy-AM"/>
        </w:rPr>
        <w:t xml:space="preserve"> Կառավարության արտաքին վարկերի գծով պարտքի կառուցվածքն ըստ վարկատուների</w:t>
      </w:r>
      <w:bookmarkEnd w:id="339"/>
    </w:p>
    <w:p w14:paraId="73AC5717" w14:textId="6C207DE4" w:rsidR="000C298C" w:rsidRPr="00864B6B" w:rsidRDefault="000C298C" w:rsidP="00B44E16">
      <w:pPr>
        <w:rPr>
          <w:rFonts w:eastAsia="Calibri"/>
          <w:b w:val="0"/>
          <w:noProof/>
          <w:szCs w:val="22"/>
          <w:lang w:val="hy-AM" w:eastAsia="en-US"/>
        </w:rPr>
      </w:pPr>
      <w:r>
        <w:rPr>
          <w:noProof/>
          <w:lang w:val="en-US" w:eastAsia="en-US"/>
        </w:rPr>
        <w:drawing>
          <wp:inline distT="0" distB="0" distL="0" distR="0" wp14:anchorId="5E52D871" wp14:editId="67725776">
            <wp:extent cx="5715000" cy="3162300"/>
            <wp:effectExtent l="133350" t="95250" r="133350" b="95250"/>
            <wp:docPr id="16120832" name="Chart 161208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59600D2" w14:textId="77777777" w:rsidR="000C298C" w:rsidRDefault="000C298C" w:rsidP="000C298C">
      <w:pPr>
        <w:spacing w:before="0" w:line="360" w:lineRule="auto"/>
        <w:ind w:firstLine="270"/>
        <w:rPr>
          <w:noProof/>
          <w:lang w:val="en-US" w:eastAsia="en-US"/>
        </w:rPr>
      </w:pPr>
    </w:p>
    <w:p w14:paraId="5E6833DC" w14:textId="77777777" w:rsidR="000C298C" w:rsidRDefault="000C298C" w:rsidP="000C298C">
      <w:pPr>
        <w:rPr>
          <w:rFonts w:eastAsia="Calibri"/>
          <w:b w:val="0"/>
          <w:noProof/>
          <w:szCs w:val="22"/>
          <w:lang w:val="hy-AM" w:eastAsia="en-US"/>
        </w:rPr>
      </w:pPr>
      <w:r w:rsidRPr="00864B6B">
        <w:rPr>
          <w:rFonts w:eastAsia="Calibri"/>
          <w:b w:val="0"/>
          <w:noProof/>
          <w:szCs w:val="22"/>
          <w:lang w:val="hy-AM" w:eastAsia="en-US"/>
        </w:rPr>
        <w:lastRenderedPageBreak/>
        <w:t xml:space="preserve">2024 թվականի տարեվերջի դրությամբ ձևավորվող կառավարության պարտքի մարման ժամանակացույցը սփռված կլինի մինչև 2054 թվականը և կունենա հետևյալ տեսքը. </w:t>
      </w:r>
    </w:p>
    <w:p w14:paraId="5E9A565D" w14:textId="77777777" w:rsidR="000C298C" w:rsidRDefault="000C298C" w:rsidP="000C298C">
      <w:pPr>
        <w:rPr>
          <w:rFonts w:cs="Sylfaen"/>
          <w:lang w:val="hy-AM"/>
        </w:rPr>
      </w:pPr>
    </w:p>
    <w:p w14:paraId="61F006A6" w14:textId="3C375FC7" w:rsidR="000C298C" w:rsidRPr="000C298C" w:rsidRDefault="000C298C" w:rsidP="000C298C">
      <w:pPr>
        <w:rPr>
          <w:rFonts w:cs="Sylfaen"/>
          <w:b w:val="0"/>
          <w:bCs/>
          <w:lang w:val="hy-AM"/>
        </w:rPr>
      </w:pPr>
      <w:bookmarkStart w:id="340" w:name="_Toc152324829"/>
      <w:r w:rsidRPr="000C298C">
        <w:rPr>
          <w:rFonts w:cs="Sylfaen"/>
          <w:lang w:val="hy-AM"/>
        </w:rPr>
        <w:t xml:space="preserve">Գծապատկեր </w:t>
      </w:r>
      <w:r w:rsidRPr="000C298C">
        <w:rPr>
          <w:rFonts w:cs="Sylfaen"/>
          <w:lang w:val="hy-AM"/>
        </w:rPr>
        <w:fldChar w:fldCharType="begin"/>
      </w:r>
      <w:r w:rsidRPr="000C298C">
        <w:rPr>
          <w:rFonts w:cs="Sylfaen"/>
          <w:lang w:val="hy-AM"/>
        </w:rPr>
        <w:instrText xml:space="preserve"> SEQ Գծապատկեր \* ARABIC </w:instrText>
      </w:r>
      <w:r w:rsidRPr="000C298C">
        <w:rPr>
          <w:rFonts w:cs="Sylfaen"/>
          <w:lang w:val="hy-AM"/>
        </w:rPr>
        <w:fldChar w:fldCharType="separate"/>
      </w:r>
      <w:r w:rsidR="00DB4E68">
        <w:rPr>
          <w:rFonts w:cs="Sylfaen"/>
          <w:noProof/>
          <w:lang w:val="hy-AM"/>
        </w:rPr>
        <w:t>8</w:t>
      </w:r>
      <w:r w:rsidRPr="000C298C">
        <w:rPr>
          <w:rFonts w:cs="Sylfaen"/>
          <w:lang w:val="hy-AM"/>
        </w:rPr>
        <w:fldChar w:fldCharType="end"/>
      </w:r>
      <w:r w:rsidRPr="000C298C">
        <w:rPr>
          <w:rFonts w:cs="Sylfaen"/>
          <w:lang w:val="hy-AM"/>
        </w:rPr>
        <w:t>.</w:t>
      </w:r>
      <w:r w:rsidRPr="000C298C">
        <w:rPr>
          <w:rFonts w:cs="Sylfaen"/>
          <w:b w:val="0"/>
          <w:bCs/>
          <w:lang w:val="hy-AM"/>
        </w:rPr>
        <w:t xml:space="preserve"> Կառավարության պարտքի մարման ժամանակացույցը 31.12.2024թ. դրությամբ (մլրդ դրամ)</w:t>
      </w:r>
      <w:bookmarkEnd w:id="340"/>
    </w:p>
    <w:p w14:paraId="503BF87A" w14:textId="77777777" w:rsidR="000C298C" w:rsidRPr="00864B6B" w:rsidRDefault="000C298C" w:rsidP="000C298C">
      <w:pPr>
        <w:rPr>
          <w:rFonts w:eastAsia="Calibri"/>
          <w:b w:val="0"/>
          <w:noProof/>
          <w:szCs w:val="22"/>
          <w:lang w:val="hy-AM" w:eastAsia="en-US"/>
        </w:rPr>
      </w:pPr>
      <w:r>
        <w:rPr>
          <w:noProof/>
          <w:lang w:val="en-US" w:eastAsia="en-US"/>
        </w:rPr>
        <w:drawing>
          <wp:inline distT="0" distB="0" distL="0" distR="0" wp14:anchorId="451C8F7F" wp14:editId="73B9C5D6">
            <wp:extent cx="6191250" cy="2597785"/>
            <wp:effectExtent l="0" t="0" r="0" b="0"/>
            <wp:docPr id="16120833" name="Chart 161208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7B848EC" w14:textId="77777777" w:rsidR="000C298C" w:rsidRPr="00864B6B" w:rsidRDefault="000C298C" w:rsidP="000C298C">
      <w:pPr>
        <w:spacing w:before="0" w:line="360" w:lineRule="auto"/>
        <w:ind w:left="-180"/>
        <w:jc w:val="center"/>
        <w:rPr>
          <w:rFonts w:eastAsia="Calibri"/>
          <w:b w:val="0"/>
          <w:noProof/>
          <w:szCs w:val="22"/>
          <w:lang w:val="hy-AM" w:eastAsia="en-US"/>
        </w:rPr>
      </w:pPr>
    </w:p>
    <w:p w14:paraId="63D24F16" w14:textId="77777777" w:rsidR="000C298C" w:rsidRDefault="000C298C" w:rsidP="000C298C">
      <w:pPr>
        <w:rPr>
          <w:rFonts w:eastAsia="Calibri"/>
          <w:b w:val="0"/>
          <w:bCs/>
          <w:szCs w:val="22"/>
          <w:lang w:val="hy-AM" w:eastAsia="en-US"/>
        </w:rPr>
      </w:pPr>
      <w:r w:rsidRPr="00864B6B">
        <w:rPr>
          <w:rFonts w:eastAsia="Calibri"/>
          <w:b w:val="0"/>
          <w:bCs/>
          <w:szCs w:val="22"/>
          <w:lang w:val="hy-AM" w:eastAsia="en-US"/>
        </w:rPr>
        <w:t>2024 թվականին կառավարության պարտքի միջին կշռված տոկոսադրույքը կկազմի 7.</w:t>
      </w:r>
      <w:r w:rsidRPr="00FD59B1">
        <w:rPr>
          <w:rFonts w:eastAsia="Calibri"/>
          <w:b w:val="0"/>
          <w:bCs/>
          <w:szCs w:val="22"/>
          <w:lang w:val="hy-AM" w:eastAsia="en-US"/>
        </w:rPr>
        <w:t>2</w:t>
      </w:r>
      <w:r w:rsidRPr="00864B6B">
        <w:rPr>
          <w:rFonts w:eastAsia="Calibri"/>
          <w:b w:val="0"/>
          <w:bCs/>
          <w:szCs w:val="22"/>
          <w:lang w:val="hy-AM" w:eastAsia="en-US"/>
        </w:rPr>
        <w:t xml:space="preserve">%: Կառավարության պարտքի սպասարկման ծախսերը (տոկոսավճարներ) կկազմեն ՀՆԱ-ի 3.1%-ը:  </w:t>
      </w:r>
    </w:p>
    <w:p w14:paraId="1630F887" w14:textId="01A8AFF3" w:rsidR="000C298C" w:rsidRPr="000C298C" w:rsidRDefault="000C298C" w:rsidP="000C298C">
      <w:pPr>
        <w:rPr>
          <w:rFonts w:cs="Sylfaen"/>
          <w:b w:val="0"/>
          <w:bCs/>
          <w:lang w:val="hy-AM"/>
        </w:rPr>
      </w:pPr>
      <w:bookmarkStart w:id="341" w:name="_Toc152324783"/>
      <w:r w:rsidRPr="000C298C">
        <w:rPr>
          <w:rFonts w:cs="Sylfaen"/>
          <w:lang w:val="hy-AM"/>
        </w:rPr>
        <w:t xml:space="preserve">Աղյուսակ </w:t>
      </w:r>
      <w:r w:rsidRPr="000C298C">
        <w:rPr>
          <w:rFonts w:cs="Sylfaen"/>
          <w:lang w:val="hy-AM"/>
        </w:rPr>
        <w:fldChar w:fldCharType="begin"/>
      </w:r>
      <w:r w:rsidRPr="000C298C">
        <w:rPr>
          <w:rFonts w:cs="Sylfaen"/>
          <w:lang w:val="hy-AM"/>
        </w:rPr>
        <w:instrText xml:space="preserve"> SEQ Աղյուսակ \* ARABIC </w:instrText>
      </w:r>
      <w:r w:rsidRPr="000C298C">
        <w:rPr>
          <w:rFonts w:cs="Sylfaen"/>
          <w:lang w:val="hy-AM"/>
        </w:rPr>
        <w:fldChar w:fldCharType="separate"/>
      </w:r>
      <w:r w:rsidR="00DB4E68">
        <w:rPr>
          <w:rFonts w:cs="Sylfaen"/>
          <w:noProof/>
          <w:lang w:val="hy-AM"/>
        </w:rPr>
        <w:t>21</w:t>
      </w:r>
      <w:r w:rsidRPr="000C298C">
        <w:rPr>
          <w:rFonts w:cs="Sylfaen"/>
          <w:lang w:val="hy-AM"/>
        </w:rPr>
        <w:fldChar w:fldCharType="end"/>
      </w:r>
      <w:r w:rsidRPr="000C298C">
        <w:rPr>
          <w:rFonts w:cs="Sylfaen"/>
          <w:lang w:val="hy-AM"/>
        </w:rPr>
        <w:t>.</w:t>
      </w:r>
      <w:r w:rsidRPr="000C298C">
        <w:rPr>
          <w:rFonts w:cs="Sylfaen"/>
          <w:b w:val="0"/>
          <w:bCs/>
          <w:lang w:val="hy-AM"/>
        </w:rPr>
        <w:t xml:space="preserve"> Կառավարության պարտքի սպասարկման ծախսերը (տոկոսավճարներ)</w:t>
      </w:r>
      <w:bookmarkEnd w:id="341"/>
    </w:p>
    <w:p w14:paraId="6FBB1E58" w14:textId="77777777" w:rsidR="000C298C" w:rsidRPr="00324B27" w:rsidRDefault="000C298C" w:rsidP="000C298C">
      <w:pPr>
        <w:rPr>
          <w:rFonts w:eastAsia="Calibri"/>
          <w:b w:val="0"/>
          <w:bCs/>
          <w:sz w:val="18"/>
          <w:szCs w:val="18"/>
          <w:lang w:val="hy-AM" w:eastAsia="en-US"/>
        </w:rPr>
      </w:pPr>
    </w:p>
    <w:tbl>
      <w:tblPr>
        <w:tblW w:w="8370" w:type="dxa"/>
        <w:tblBorders>
          <w:bottom w:val="single" w:sz="4" w:space="0" w:color="auto"/>
          <w:insideH w:val="single" w:sz="4" w:space="0" w:color="auto"/>
        </w:tblBorders>
        <w:tblLayout w:type="fixed"/>
        <w:tblLook w:val="04A0" w:firstRow="1" w:lastRow="0" w:firstColumn="1" w:lastColumn="0" w:noHBand="0" w:noVBand="1"/>
      </w:tblPr>
      <w:tblGrid>
        <w:gridCol w:w="5670"/>
        <w:gridCol w:w="900"/>
        <w:gridCol w:w="990"/>
        <w:gridCol w:w="810"/>
      </w:tblGrid>
      <w:tr w:rsidR="000C298C" w:rsidRPr="00324B27" w14:paraId="36FE3046" w14:textId="77777777" w:rsidTr="00B44E16">
        <w:trPr>
          <w:trHeight w:val="341"/>
        </w:trPr>
        <w:tc>
          <w:tcPr>
            <w:tcW w:w="5670" w:type="dxa"/>
            <w:shd w:val="clear" w:color="auto" w:fill="auto"/>
          </w:tcPr>
          <w:p w14:paraId="788804DC" w14:textId="77777777" w:rsidR="000C298C" w:rsidRPr="00324B27" w:rsidRDefault="000C298C" w:rsidP="00B70363">
            <w:pPr>
              <w:spacing w:before="0" w:line="240" w:lineRule="auto"/>
              <w:rPr>
                <w:b w:val="0"/>
                <w:sz w:val="18"/>
                <w:szCs w:val="18"/>
                <w:lang w:val="hy-AM" w:eastAsia="en-US"/>
              </w:rPr>
            </w:pPr>
            <w:r w:rsidRPr="00324B27">
              <w:rPr>
                <w:rFonts w:ascii="Courier New" w:hAnsi="Courier New" w:cs="Courier New"/>
                <w:b w:val="0"/>
                <w:sz w:val="18"/>
                <w:szCs w:val="18"/>
                <w:lang w:val="hy-AM" w:eastAsia="en-US"/>
              </w:rPr>
              <w:t> </w:t>
            </w:r>
          </w:p>
        </w:tc>
        <w:tc>
          <w:tcPr>
            <w:tcW w:w="900" w:type="dxa"/>
            <w:shd w:val="clear" w:color="auto" w:fill="auto"/>
          </w:tcPr>
          <w:p w14:paraId="152F6589" w14:textId="77777777" w:rsidR="000C298C" w:rsidRPr="00324B27" w:rsidRDefault="000C298C" w:rsidP="00B70363">
            <w:pPr>
              <w:spacing w:before="0" w:line="240" w:lineRule="auto"/>
              <w:rPr>
                <w:b w:val="0"/>
                <w:i/>
                <w:sz w:val="18"/>
                <w:szCs w:val="18"/>
                <w:lang w:val="hy-AM" w:eastAsia="en-US"/>
              </w:rPr>
            </w:pPr>
            <w:r w:rsidRPr="00324B27">
              <w:rPr>
                <w:b w:val="0"/>
                <w:i/>
                <w:sz w:val="18"/>
                <w:szCs w:val="18"/>
                <w:lang w:val="hy-AM" w:eastAsia="en-US"/>
              </w:rPr>
              <w:t>2022թ.</w:t>
            </w:r>
          </w:p>
        </w:tc>
        <w:tc>
          <w:tcPr>
            <w:tcW w:w="990" w:type="dxa"/>
            <w:shd w:val="clear" w:color="auto" w:fill="auto"/>
          </w:tcPr>
          <w:p w14:paraId="5656E4C0" w14:textId="77777777" w:rsidR="000C298C" w:rsidRPr="00324B27" w:rsidRDefault="000C298C" w:rsidP="00B70363">
            <w:pPr>
              <w:spacing w:before="0" w:line="240" w:lineRule="auto"/>
              <w:rPr>
                <w:b w:val="0"/>
                <w:i/>
                <w:sz w:val="18"/>
                <w:szCs w:val="18"/>
                <w:lang w:val="hy-AM" w:eastAsia="en-US"/>
              </w:rPr>
            </w:pPr>
            <w:r w:rsidRPr="00324B27">
              <w:rPr>
                <w:b w:val="0"/>
                <w:i/>
                <w:sz w:val="18"/>
                <w:szCs w:val="18"/>
                <w:lang w:val="hy-AM" w:eastAsia="en-US"/>
              </w:rPr>
              <w:t>2023թ.</w:t>
            </w:r>
          </w:p>
        </w:tc>
        <w:tc>
          <w:tcPr>
            <w:tcW w:w="810" w:type="dxa"/>
            <w:shd w:val="clear" w:color="auto" w:fill="auto"/>
          </w:tcPr>
          <w:p w14:paraId="5E928B7D" w14:textId="77777777" w:rsidR="000C298C" w:rsidRPr="00324B27" w:rsidRDefault="000C298C" w:rsidP="00B70363">
            <w:pPr>
              <w:spacing w:before="0" w:line="240" w:lineRule="auto"/>
              <w:rPr>
                <w:b w:val="0"/>
                <w:i/>
                <w:sz w:val="18"/>
                <w:szCs w:val="18"/>
                <w:lang w:val="hy-AM" w:eastAsia="en-US"/>
              </w:rPr>
            </w:pPr>
            <w:r w:rsidRPr="00324B27">
              <w:rPr>
                <w:b w:val="0"/>
                <w:i/>
                <w:sz w:val="18"/>
                <w:szCs w:val="18"/>
                <w:lang w:val="hy-AM" w:eastAsia="en-US"/>
              </w:rPr>
              <w:t>2024թ.</w:t>
            </w:r>
          </w:p>
        </w:tc>
      </w:tr>
      <w:tr w:rsidR="000C298C" w:rsidRPr="00324B27" w14:paraId="26597357" w14:textId="77777777" w:rsidTr="00B44E16">
        <w:trPr>
          <w:trHeight w:val="341"/>
        </w:trPr>
        <w:tc>
          <w:tcPr>
            <w:tcW w:w="5670" w:type="dxa"/>
            <w:tcBorders>
              <w:top w:val="single" w:sz="4" w:space="0" w:color="auto"/>
              <w:bottom w:val="nil"/>
            </w:tcBorders>
            <w:shd w:val="clear" w:color="auto" w:fill="auto"/>
          </w:tcPr>
          <w:p w14:paraId="508EBC8E" w14:textId="77777777" w:rsidR="000C298C" w:rsidRPr="00324B27" w:rsidRDefault="000C298C" w:rsidP="00B70363">
            <w:pPr>
              <w:spacing w:before="0" w:line="240" w:lineRule="auto"/>
              <w:jc w:val="left"/>
              <w:rPr>
                <w:b w:val="0"/>
                <w:sz w:val="18"/>
                <w:szCs w:val="18"/>
                <w:lang w:val="hy-AM" w:eastAsia="en-US"/>
              </w:rPr>
            </w:pPr>
            <w:r w:rsidRPr="00324B27">
              <w:rPr>
                <w:b w:val="0"/>
                <w:sz w:val="18"/>
                <w:szCs w:val="18"/>
                <w:lang w:val="hy-AM" w:eastAsia="en-US"/>
              </w:rPr>
              <w:t>Կառավարության պարտքի սպասարկում (տոկոսավճար), մլրդ դրամ</w:t>
            </w:r>
          </w:p>
        </w:tc>
        <w:tc>
          <w:tcPr>
            <w:tcW w:w="900" w:type="dxa"/>
            <w:tcBorders>
              <w:top w:val="single" w:sz="4" w:space="0" w:color="auto"/>
              <w:bottom w:val="nil"/>
            </w:tcBorders>
            <w:shd w:val="clear" w:color="auto" w:fill="auto"/>
            <w:vAlign w:val="center"/>
          </w:tcPr>
          <w:p w14:paraId="0EE4663C" w14:textId="77777777" w:rsidR="000C298C" w:rsidRPr="00324B27" w:rsidRDefault="000C298C" w:rsidP="00B70363">
            <w:pPr>
              <w:spacing w:line="360" w:lineRule="auto"/>
              <w:ind w:right="-111"/>
              <w:contextualSpacing/>
              <w:rPr>
                <w:b w:val="0"/>
                <w:sz w:val="18"/>
                <w:szCs w:val="18"/>
                <w:lang w:val="hy-AM" w:eastAsia="en-US"/>
              </w:rPr>
            </w:pPr>
            <w:r w:rsidRPr="00324B27">
              <w:rPr>
                <w:b w:val="0"/>
                <w:sz w:val="18"/>
                <w:szCs w:val="18"/>
                <w:lang w:val="hy-AM" w:eastAsia="en-US"/>
              </w:rPr>
              <w:t>198.3</w:t>
            </w:r>
          </w:p>
        </w:tc>
        <w:tc>
          <w:tcPr>
            <w:tcW w:w="990" w:type="dxa"/>
            <w:tcBorders>
              <w:top w:val="single" w:sz="4" w:space="0" w:color="auto"/>
              <w:bottom w:val="nil"/>
            </w:tcBorders>
            <w:shd w:val="clear" w:color="auto" w:fill="auto"/>
            <w:vAlign w:val="center"/>
          </w:tcPr>
          <w:p w14:paraId="6B32CCAF" w14:textId="77777777" w:rsidR="000C298C" w:rsidRPr="00324B27" w:rsidRDefault="000C298C" w:rsidP="00B70363">
            <w:pPr>
              <w:spacing w:line="360" w:lineRule="auto"/>
              <w:contextualSpacing/>
              <w:rPr>
                <w:b w:val="0"/>
                <w:sz w:val="18"/>
                <w:szCs w:val="18"/>
                <w:lang w:val="hy-AM" w:eastAsia="en-US"/>
              </w:rPr>
            </w:pPr>
            <w:r w:rsidRPr="00324B27">
              <w:rPr>
                <w:b w:val="0"/>
                <w:sz w:val="18"/>
                <w:szCs w:val="18"/>
                <w:lang w:val="hy-AM" w:eastAsia="en-US"/>
              </w:rPr>
              <w:t>272.8</w:t>
            </w:r>
          </w:p>
        </w:tc>
        <w:tc>
          <w:tcPr>
            <w:tcW w:w="810" w:type="dxa"/>
            <w:tcBorders>
              <w:top w:val="single" w:sz="4" w:space="0" w:color="auto"/>
              <w:bottom w:val="nil"/>
            </w:tcBorders>
            <w:shd w:val="clear" w:color="auto" w:fill="auto"/>
            <w:vAlign w:val="center"/>
          </w:tcPr>
          <w:p w14:paraId="16E33AF4" w14:textId="77777777" w:rsidR="000C298C" w:rsidRPr="00324B27" w:rsidRDefault="000C298C" w:rsidP="00B70363">
            <w:pPr>
              <w:spacing w:line="360" w:lineRule="auto"/>
              <w:contextualSpacing/>
              <w:jc w:val="center"/>
              <w:rPr>
                <w:b w:val="0"/>
                <w:sz w:val="18"/>
                <w:szCs w:val="18"/>
                <w:lang w:val="hy-AM" w:eastAsia="en-US"/>
              </w:rPr>
            </w:pPr>
            <w:r w:rsidRPr="00324B27">
              <w:rPr>
                <w:b w:val="0"/>
                <w:sz w:val="18"/>
                <w:szCs w:val="18"/>
                <w:lang w:val="hy-AM" w:eastAsia="en-US"/>
              </w:rPr>
              <w:t>32</w:t>
            </w:r>
            <w:r w:rsidRPr="00324B27">
              <w:rPr>
                <w:b w:val="0"/>
                <w:sz w:val="18"/>
                <w:szCs w:val="18"/>
                <w:lang w:val="en-US" w:eastAsia="en-US"/>
              </w:rPr>
              <w:t>3</w:t>
            </w:r>
            <w:r w:rsidRPr="00324B27">
              <w:rPr>
                <w:b w:val="0"/>
                <w:sz w:val="18"/>
                <w:szCs w:val="18"/>
                <w:lang w:val="hy-AM" w:eastAsia="en-US"/>
              </w:rPr>
              <w:t>.2</w:t>
            </w:r>
          </w:p>
        </w:tc>
      </w:tr>
      <w:tr w:rsidR="000C298C" w:rsidRPr="00324B27" w14:paraId="6B7CA44A" w14:textId="77777777" w:rsidTr="00B44E16">
        <w:trPr>
          <w:trHeight w:val="341"/>
        </w:trPr>
        <w:tc>
          <w:tcPr>
            <w:tcW w:w="5670" w:type="dxa"/>
            <w:tcBorders>
              <w:top w:val="nil"/>
              <w:bottom w:val="single" w:sz="4" w:space="0" w:color="auto"/>
            </w:tcBorders>
            <w:shd w:val="clear" w:color="auto" w:fill="auto"/>
          </w:tcPr>
          <w:p w14:paraId="50AA9C22"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%-ներով ՀՆԱ-ի նկատմամբ</w:t>
            </w:r>
          </w:p>
        </w:tc>
        <w:tc>
          <w:tcPr>
            <w:tcW w:w="900" w:type="dxa"/>
            <w:tcBorders>
              <w:top w:val="nil"/>
              <w:bottom w:val="single" w:sz="4" w:space="0" w:color="auto"/>
            </w:tcBorders>
            <w:shd w:val="clear" w:color="auto" w:fill="auto"/>
            <w:vAlign w:val="center"/>
          </w:tcPr>
          <w:p w14:paraId="3C34A1CA"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2.3</w:t>
            </w:r>
          </w:p>
        </w:tc>
        <w:tc>
          <w:tcPr>
            <w:tcW w:w="990" w:type="dxa"/>
            <w:tcBorders>
              <w:top w:val="nil"/>
              <w:bottom w:val="single" w:sz="4" w:space="0" w:color="auto"/>
            </w:tcBorders>
            <w:shd w:val="clear" w:color="auto" w:fill="auto"/>
            <w:vAlign w:val="center"/>
          </w:tcPr>
          <w:p w14:paraId="4A2F8944"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2.9</w:t>
            </w:r>
          </w:p>
        </w:tc>
        <w:tc>
          <w:tcPr>
            <w:tcW w:w="810" w:type="dxa"/>
            <w:tcBorders>
              <w:top w:val="nil"/>
              <w:bottom w:val="single" w:sz="4" w:space="0" w:color="auto"/>
            </w:tcBorders>
            <w:shd w:val="clear" w:color="auto" w:fill="auto"/>
            <w:vAlign w:val="center"/>
          </w:tcPr>
          <w:p w14:paraId="1CB1C91A"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3.1</w:t>
            </w:r>
          </w:p>
        </w:tc>
      </w:tr>
      <w:tr w:rsidR="000C298C" w:rsidRPr="00324B27" w14:paraId="335BFFBE" w14:textId="77777777" w:rsidTr="00B44E16">
        <w:trPr>
          <w:trHeight w:val="341"/>
        </w:trPr>
        <w:tc>
          <w:tcPr>
            <w:tcW w:w="5670" w:type="dxa"/>
            <w:tcBorders>
              <w:top w:val="single" w:sz="4" w:space="0" w:color="auto"/>
              <w:bottom w:val="nil"/>
            </w:tcBorders>
            <w:shd w:val="clear" w:color="auto" w:fill="auto"/>
          </w:tcPr>
          <w:p w14:paraId="27B78D6A" w14:textId="77777777" w:rsidR="000C298C" w:rsidRPr="00324B27" w:rsidRDefault="000C298C" w:rsidP="00B70363">
            <w:pPr>
              <w:spacing w:before="0" w:line="240" w:lineRule="auto"/>
              <w:jc w:val="left"/>
              <w:rPr>
                <w:b w:val="0"/>
                <w:sz w:val="18"/>
                <w:szCs w:val="18"/>
                <w:lang w:val="hy-AM" w:eastAsia="en-US"/>
              </w:rPr>
            </w:pPr>
            <w:r w:rsidRPr="00324B27">
              <w:rPr>
                <w:b w:val="0"/>
                <w:sz w:val="18"/>
                <w:szCs w:val="18"/>
                <w:lang w:val="hy-AM" w:eastAsia="en-US"/>
              </w:rPr>
              <w:t>Կառավարության պարտքի միջին կշռված տոկոսադրույք, %</w:t>
            </w:r>
          </w:p>
        </w:tc>
        <w:tc>
          <w:tcPr>
            <w:tcW w:w="900" w:type="dxa"/>
            <w:tcBorders>
              <w:top w:val="single" w:sz="4" w:space="0" w:color="auto"/>
              <w:bottom w:val="nil"/>
            </w:tcBorders>
            <w:shd w:val="clear" w:color="auto" w:fill="auto"/>
          </w:tcPr>
          <w:p w14:paraId="47B8EFF4"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6.3</w:t>
            </w:r>
          </w:p>
        </w:tc>
        <w:tc>
          <w:tcPr>
            <w:tcW w:w="990" w:type="dxa"/>
            <w:tcBorders>
              <w:top w:val="single" w:sz="4" w:space="0" w:color="auto"/>
              <w:bottom w:val="nil"/>
            </w:tcBorders>
            <w:shd w:val="clear" w:color="auto" w:fill="auto"/>
          </w:tcPr>
          <w:p w14:paraId="1CDA3251" w14:textId="77777777" w:rsidR="000C298C" w:rsidRPr="00324B27" w:rsidRDefault="000C298C" w:rsidP="00B70363">
            <w:pPr>
              <w:spacing w:before="0" w:line="240" w:lineRule="auto"/>
              <w:jc w:val="center"/>
              <w:rPr>
                <w:b w:val="0"/>
                <w:sz w:val="18"/>
                <w:szCs w:val="18"/>
                <w:lang w:val="en-US" w:eastAsia="en-US"/>
              </w:rPr>
            </w:pPr>
            <w:r w:rsidRPr="00324B27">
              <w:rPr>
                <w:b w:val="0"/>
                <w:sz w:val="18"/>
                <w:szCs w:val="18"/>
                <w:lang w:val="en-US" w:eastAsia="en-US"/>
              </w:rPr>
              <w:t>6.9</w:t>
            </w:r>
          </w:p>
        </w:tc>
        <w:tc>
          <w:tcPr>
            <w:tcW w:w="810" w:type="dxa"/>
            <w:tcBorders>
              <w:top w:val="single" w:sz="4" w:space="0" w:color="auto"/>
              <w:bottom w:val="nil"/>
            </w:tcBorders>
            <w:shd w:val="clear" w:color="auto" w:fill="auto"/>
          </w:tcPr>
          <w:p w14:paraId="79C91C9F" w14:textId="77777777" w:rsidR="000C298C" w:rsidRPr="00324B27" w:rsidRDefault="000C298C" w:rsidP="00B70363">
            <w:pPr>
              <w:spacing w:before="0" w:line="240" w:lineRule="auto"/>
              <w:jc w:val="center"/>
              <w:rPr>
                <w:b w:val="0"/>
                <w:sz w:val="18"/>
                <w:szCs w:val="18"/>
                <w:lang w:val="en-US" w:eastAsia="en-US"/>
              </w:rPr>
            </w:pPr>
            <w:r w:rsidRPr="00324B27">
              <w:rPr>
                <w:b w:val="0"/>
                <w:sz w:val="18"/>
                <w:szCs w:val="18"/>
                <w:lang w:val="en-US" w:eastAsia="en-US"/>
              </w:rPr>
              <w:t>7.2</w:t>
            </w:r>
          </w:p>
        </w:tc>
      </w:tr>
    </w:tbl>
    <w:p w14:paraId="6B6ED8CA" w14:textId="77777777" w:rsidR="000C298C" w:rsidRPr="002F4D21" w:rsidRDefault="000C298C" w:rsidP="000C298C">
      <w:pPr>
        <w:spacing w:before="0" w:after="240" w:line="240" w:lineRule="auto"/>
        <w:ind w:firstLine="1"/>
        <w:jc w:val="center"/>
        <w:rPr>
          <w:rFonts w:eastAsia="Calibri" w:cs="Sylfaen"/>
          <w:b w:val="0"/>
          <w:szCs w:val="22"/>
          <w:lang w:val="hy-AM" w:eastAsia="en-US"/>
        </w:rPr>
      </w:pPr>
    </w:p>
    <w:p w14:paraId="167FA323" w14:textId="77777777" w:rsidR="000C298C" w:rsidRPr="00864B6B" w:rsidRDefault="000C298C" w:rsidP="000C298C">
      <w:pPr>
        <w:ind w:firstLine="1"/>
        <w:rPr>
          <w:rFonts w:eastAsia="Calibri"/>
          <w:b w:val="0"/>
          <w:bCs/>
          <w:szCs w:val="22"/>
          <w:lang w:val="hy-AM" w:eastAsia="en-US"/>
        </w:rPr>
      </w:pPr>
      <w:r w:rsidRPr="00864B6B">
        <w:rPr>
          <w:rFonts w:eastAsia="Calibri" w:cs="Sylfaen"/>
          <w:szCs w:val="22"/>
          <w:lang w:val="hy-AM" w:eastAsia="en-US"/>
        </w:rPr>
        <w:t>Պակասուրդի ֆինանսավորման պարտքային գործիքակազմը</w:t>
      </w:r>
    </w:p>
    <w:p w14:paraId="39A242F7" w14:textId="2D86A7A7" w:rsidR="000C298C" w:rsidRDefault="000C298C" w:rsidP="000C298C">
      <w:pPr>
        <w:ind w:firstLine="1"/>
        <w:rPr>
          <w:rFonts w:eastAsia="Calibri"/>
          <w:b w:val="0"/>
          <w:bCs/>
          <w:szCs w:val="22"/>
          <w:lang w:val="hy-AM" w:eastAsia="en-US"/>
        </w:rPr>
      </w:pPr>
      <w:r w:rsidRPr="00864B6B">
        <w:rPr>
          <w:rFonts w:eastAsia="Calibri"/>
          <w:b w:val="0"/>
          <w:bCs/>
          <w:szCs w:val="22"/>
          <w:lang w:val="hy-AM" w:eastAsia="en-US"/>
        </w:rPr>
        <w:t>2024 թվականին պետական բյուջեի պակասուրդի զուտ ֆինանսավորումը փոխառու միջոցների հաշվին կկազմի 4</w:t>
      </w:r>
      <w:r w:rsidRPr="00162620">
        <w:rPr>
          <w:rFonts w:eastAsia="Calibri"/>
          <w:b w:val="0"/>
          <w:bCs/>
          <w:szCs w:val="22"/>
          <w:lang w:val="hy-AM" w:eastAsia="en-US"/>
        </w:rPr>
        <w:t>9</w:t>
      </w:r>
      <w:r>
        <w:rPr>
          <w:rFonts w:eastAsia="Calibri"/>
          <w:b w:val="0"/>
          <w:bCs/>
          <w:szCs w:val="22"/>
          <w:lang w:val="hy-AM" w:eastAsia="en-US"/>
        </w:rPr>
        <w:t>0.9</w:t>
      </w:r>
      <w:r w:rsidRPr="00864B6B">
        <w:rPr>
          <w:rFonts w:eastAsia="Calibri"/>
          <w:b w:val="0"/>
          <w:bCs/>
          <w:szCs w:val="22"/>
          <w:lang w:val="hy-AM" w:eastAsia="en-US"/>
        </w:rPr>
        <w:t xml:space="preserve"> մլրդ դրամ, ինչը կիրականացվի պետական գանձապետական պարտատոմսերի հաշվին՝ 350.8 մլրդ դրամի չափով և արտաքին վարկերի հաշվին՝ 1</w:t>
      </w:r>
      <w:r w:rsidRPr="00162620">
        <w:rPr>
          <w:rFonts w:eastAsia="Calibri"/>
          <w:b w:val="0"/>
          <w:bCs/>
          <w:szCs w:val="22"/>
          <w:lang w:val="hy-AM" w:eastAsia="en-US"/>
        </w:rPr>
        <w:t>4</w:t>
      </w:r>
      <w:r>
        <w:rPr>
          <w:rFonts w:eastAsia="Calibri"/>
          <w:b w:val="0"/>
          <w:bCs/>
          <w:szCs w:val="22"/>
          <w:lang w:val="hy-AM" w:eastAsia="en-US"/>
        </w:rPr>
        <w:t>0.</w:t>
      </w:r>
      <w:r w:rsidRPr="00162620">
        <w:rPr>
          <w:rFonts w:eastAsia="Calibri"/>
          <w:b w:val="0"/>
          <w:bCs/>
          <w:szCs w:val="22"/>
          <w:lang w:val="hy-AM" w:eastAsia="en-US"/>
        </w:rPr>
        <w:t>1</w:t>
      </w:r>
      <w:r w:rsidRPr="00864B6B">
        <w:rPr>
          <w:rFonts w:eastAsia="Calibri"/>
          <w:b w:val="0"/>
          <w:bCs/>
          <w:szCs w:val="22"/>
          <w:lang w:val="hy-AM" w:eastAsia="en-US"/>
        </w:rPr>
        <w:t xml:space="preserve"> մլրդ դրամի չափով: Արտարժութային պետական պարտատոմսերի հաշվին մուտքեր չեն նախատեսվել: </w:t>
      </w:r>
    </w:p>
    <w:p w14:paraId="21DA8896" w14:textId="4FF54D3B" w:rsidR="00001B7F" w:rsidRDefault="00001B7F" w:rsidP="000C298C">
      <w:pPr>
        <w:ind w:firstLine="1"/>
        <w:rPr>
          <w:rFonts w:eastAsia="Calibri"/>
          <w:b w:val="0"/>
          <w:bCs/>
          <w:szCs w:val="22"/>
          <w:lang w:val="hy-AM" w:eastAsia="en-US"/>
        </w:rPr>
      </w:pPr>
    </w:p>
    <w:p w14:paraId="10A0B271" w14:textId="77777777" w:rsidR="00001B7F" w:rsidRPr="00864B6B" w:rsidRDefault="00001B7F" w:rsidP="000C298C">
      <w:pPr>
        <w:ind w:firstLine="1"/>
        <w:rPr>
          <w:rFonts w:eastAsia="Calibri"/>
          <w:b w:val="0"/>
          <w:bCs/>
          <w:szCs w:val="22"/>
          <w:lang w:val="hy-AM" w:eastAsia="en-US"/>
        </w:rPr>
      </w:pPr>
    </w:p>
    <w:p w14:paraId="20EFE1FD" w14:textId="77777777" w:rsidR="000C298C" w:rsidRPr="00864B6B" w:rsidRDefault="000C298C" w:rsidP="000C298C">
      <w:pPr>
        <w:ind w:firstLine="1"/>
        <w:rPr>
          <w:rFonts w:eastAsia="Calibri"/>
          <w:b w:val="0"/>
          <w:bCs/>
          <w:i/>
          <w:szCs w:val="22"/>
          <w:u w:val="single"/>
          <w:lang w:val="hy-AM" w:eastAsia="en-US"/>
        </w:rPr>
      </w:pPr>
      <w:r w:rsidRPr="00864B6B">
        <w:rPr>
          <w:rFonts w:eastAsia="Calibri"/>
          <w:b w:val="0"/>
          <w:bCs/>
          <w:i/>
          <w:szCs w:val="22"/>
          <w:u w:val="single"/>
          <w:lang w:val="hy-AM" w:eastAsia="en-US"/>
        </w:rPr>
        <w:lastRenderedPageBreak/>
        <w:t>Պակասուրդի ֆինանսավորումը պետական գանձապետական պարտատոմսերով</w:t>
      </w:r>
    </w:p>
    <w:p w14:paraId="2DBD5BBC" w14:textId="77777777" w:rsidR="000C298C" w:rsidRPr="00864B6B" w:rsidRDefault="000C298C" w:rsidP="000C298C">
      <w:pPr>
        <w:ind w:firstLine="1"/>
        <w:contextualSpacing/>
        <w:rPr>
          <w:rFonts w:eastAsia="Calibri"/>
          <w:b w:val="0"/>
          <w:bCs/>
          <w:szCs w:val="22"/>
          <w:lang w:val="hy-AM" w:eastAsia="en-US"/>
        </w:rPr>
      </w:pPr>
      <w:r w:rsidRPr="00864B6B">
        <w:rPr>
          <w:rFonts w:eastAsia="Calibri"/>
          <w:b w:val="0"/>
          <w:bCs/>
          <w:szCs w:val="22"/>
          <w:lang w:val="hy-AM" w:eastAsia="en-US"/>
        </w:rPr>
        <w:t>Պետական գանձապետական պարտատոմսերով բյուջեի դեֆիցիտի ֆինանսավորումն իրականացվելու է կարճաժամկետ (3, 6, 9 և 12 ամիս), միջնաժամկետ (3 և 5 տարի), երկարաժամկետ (10 և 30 տարի) և խնայողական պարտատոմսերի հաշվին:</w:t>
      </w:r>
    </w:p>
    <w:p w14:paraId="5475174F" w14:textId="77777777" w:rsidR="000C298C" w:rsidRPr="00864B6B" w:rsidRDefault="000C298C" w:rsidP="000C298C">
      <w:pPr>
        <w:ind w:firstLine="1"/>
        <w:contextualSpacing/>
        <w:rPr>
          <w:rFonts w:eastAsia="Calibri"/>
          <w:b w:val="0"/>
          <w:szCs w:val="22"/>
          <w:lang w:val="hy-AM" w:eastAsia="en-US"/>
        </w:rPr>
      </w:pPr>
      <w:r w:rsidRPr="00864B6B">
        <w:rPr>
          <w:rFonts w:eastAsia="Calibri"/>
          <w:b w:val="0"/>
          <w:szCs w:val="22"/>
          <w:lang w:val="hy-AM" w:eastAsia="en-US"/>
        </w:rPr>
        <w:t>Յուրաքանչյուր երկու ամիսն առնվազն մեկ անգամ կկազմակերպվի 52, 39, 26 և 13 շաբաթ մարման ժամկետ ունեցող պետական գանձապետական կարճաժամկետ պարտատոմսերի տեղաբաշխման աճուրդներ:</w:t>
      </w:r>
      <w:r w:rsidRPr="00864B6B">
        <w:rPr>
          <w:rFonts w:eastAsia="Calibri"/>
          <w:b w:val="0"/>
          <w:bCs/>
          <w:szCs w:val="22"/>
          <w:lang w:val="hy-AM" w:eastAsia="en-US"/>
        </w:rPr>
        <w:t xml:space="preserve"> </w:t>
      </w:r>
      <w:r w:rsidRPr="00864B6B">
        <w:rPr>
          <w:rFonts w:eastAsia="Calibri"/>
          <w:b w:val="0"/>
          <w:szCs w:val="22"/>
          <w:lang w:val="hy-AM" w:eastAsia="en-US"/>
        </w:rPr>
        <w:t>Կարող են իրականացվել նաև պետական գանձապետական կարճաժամկետ պարտատոմսերի լրացուցիչ թողարկումներ, ընդ որում մինչև 3 շաբաթ մարման ժամկետայնությամբ թողարկումներ կարող են իրականացվել կանխիկ հոսքերի կառավարման նպատակով, իսկ 3-12 շաբաթ մարման ժամկետայնությամբ թողարկումներ` հարկաբյուջետային և դրամավարկային քաղաքականությունների կոորդինացման շրջանակներում:</w:t>
      </w:r>
    </w:p>
    <w:p w14:paraId="2B0C0DA3" w14:textId="77777777" w:rsidR="000C298C" w:rsidRPr="00864B6B" w:rsidRDefault="000C298C" w:rsidP="000C298C">
      <w:pPr>
        <w:ind w:firstLine="1"/>
        <w:contextualSpacing/>
        <w:rPr>
          <w:rFonts w:eastAsia="Calibri"/>
          <w:b w:val="0"/>
          <w:bCs/>
          <w:szCs w:val="22"/>
          <w:lang w:val="hy-AM" w:eastAsia="en-US"/>
        </w:rPr>
      </w:pPr>
      <w:r w:rsidRPr="00864B6B">
        <w:rPr>
          <w:rFonts w:eastAsia="Calibri"/>
          <w:b w:val="0"/>
          <w:bCs/>
          <w:szCs w:val="22"/>
          <w:lang w:val="hy-AM" w:eastAsia="en-US"/>
        </w:rPr>
        <w:t xml:space="preserve">2024 թվականի ապրիլի 29-ին կթողարկվեն 3 և 5 տարի մարման ժամկետայնությամբ նոր միջնաժամկետ պետական գանձապետական պարտատոմսեր: </w:t>
      </w:r>
    </w:p>
    <w:p w14:paraId="0873FB30" w14:textId="77777777" w:rsidR="000C298C" w:rsidRPr="00864B6B" w:rsidRDefault="000C298C" w:rsidP="000C298C">
      <w:pPr>
        <w:tabs>
          <w:tab w:val="left" w:pos="142"/>
        </w:tabs>
        <w:ind w:firstLine="1"/>
        <w:contextualSpacing/>
        <w:rPr>
          <w:rFonts w:eastAsia="Calibri"/>
          <w:b w:val="0"/>
          <w:szCs w:val="22"/>
          <w:lang w:val="hy-AM" w:eastAsia="en-US"/>
        </w:rPr>
      </w:pPr>
      <w:r w:rsidRPr="00864B6B">
        <w:rPr>
          <w:rFonts w:eastAsia="Calibri"/>
          <w:b w:val="0"/>
          <w:szCs w:val="22"/>
          <w:lang w:val="hy-AM" w:eastAsia="en-US"/>
        </w:rPr>
        <w:t xml:space="preserve">Աճուրդների կողմնորոշիչ ծավալների վերաբերյալ տեղեկատվությունը կհրապարակվի եռամսյակային կտրվածքով: </w:t>
      </w:r>
    </w:p>
    <w:p w14:paraId="64781329" w14:textId="77777777" w:rsidR="000C298C" w:rsidRPr="00864B6B" w:rsidRDefault="000C298C" w:rsidP="000C298C">
      <w:pPr>
        <w:tabs>
          <w:tab w:val="left" w:pos="142"/>
        </w:tabs>
        <w:ind w:firstLine="1"/>
        <w:contextualSpacing/>
        <w:rPr>
          <w:rFonts w:eastAsia="Calibri"/>
          <w:b w:val="0"/>
          <w:szCs w:val="22"/>
          <w:lang w:val="hy-AM" w:eastAsia="en-US"/>
        </w:rPr>
      </w:pPr>
      <w:r w:rsidRPr="00864B6B">
        <w:rPr>
          <w:rFonts w:eastAsia="Calibri"/>
          <w:b w:val="0"/>
          <w:szCs w:val="22"/>
          <w:lang w:val="hy-AM" w:eastAsia="en-US"/>
        </w:rPr>
        <w:t>Յուրաքանչյուր աճուրդին տեղաբաշխման ենթակա պարտատոմսերի ծավալների և ժամկետների վերաբերյալ տեղեկատվությունը կհրապարակվի աճուրդից առաջ՝ գործակալների հետ խորհրդակցելուց հետո:</w:t>
      </w:r>
    </w:p>
    <w:p w14:paraId="6D840AF8" w14:textId="77777777" w:rsidR="000C298C" w:rsidRPr="00864B6B" w:rsidRDefault="000C298C" w:rsidP="000C298C">
      <w:pPr>
        <w:ind w:firstLine="1"/>
        <w:contextualSpacing/>
        <w:rPr>
          <w:rFonts w:eastAsia="Calibri"/>
          <w:b w:val="0"/>
          <w:szCs w:val="22"/>
          <w:lang w:val="hy-AM" w:eastAsia="en-US"/>
        </w:rPr>
      </w:pPr>
      <w:r w:rsidRPr="00864B6B">
        <w:rPr>
          <w:rFonts w:eastAsia="Calibri"/>
          <w:b w:val="0"/>
          <w:szCs w:val="22"/>
          <w:lang w:val="hy-AM" w:eastAsia="en-US"/>
        </w:rPr>
        <w:t>2024 թվականի ընթացքում կիրականացվեն նաև պետական գանձապետական պարտատոմսերի հետգնումներ և փոխանակումներ: 2024 թվականի ընթացքում պարտատոմսերի հետգնումների 70-80%</w:t>
      </w:r>
      <w:r>
        <w:rPr>
          <w:rFonts w:eastAsia="Calibri"/>
          <w:b w:val="0"/>
          <w:szCs w:val="22"/>
          <w:lang w:val="hy-AM" w:eastAsia="en-US"/>
        </w:rPr>
        <w:t>-ը</w:t>
      </w:r>
      <w:r w:rsidRPr="00864B6B">
        <w:rPr>
          <w:rFonts w:eastAsia="Calibri"/>
          <w:b w:val="0"/>
          <w:szCs w:val="22"/>
          <w:lang w:val="hy-AM" w:eastAsia="en-US"/>
        </w:rPr>
        <w:t xml:space="preserve"> կիրականացվեն մարման գրաֆիկի հարթեցման, իսկ 20-30%</w:t>
      </w:r>
      <w:r>
        <w:rPr>
          <w:rFonts w:eastAsia="Calibri"/>
          <w:b w:val="0"/>
          <w:szCs w:val="22"/>
          <w:lang w:val="hy-AM" w:eastAsia="en-US"/>
        </w:rPr>
        <w:t>-ը</w:t>
      </w:r>
      <w:r w:rsidRPr="00864B6B">
        <w:rPr>
          <w:rFonts w:eastAsia="Calibri"/>
          <w:b w:val="0"/>
          <w:szCs w:val="22"/>
          <w:lang w:val="hy-AM" w:eastAsia="en-US"/>
        </w:rPr>
        <w:t>՝ պարտատոմսերի իրացվելիությունը խթանելու նպատակով: ՀՀ ֆինանսների նախարարությունը յուրաքանչյուր թողարկման պարտատոմսերի տեղաբաշխման ժամանակահատվածում այդ պարտատոմսերի հետգնում չի իրականացնի:</w:t>
      </w:r>
    </w:p>
    <w:p w14:paraId="7DA5CEB1" w14:textId="77777777" w:rsidR="000C298C" w:rsidRPr="00864B6B" w:rsidRDefault="000C298C" w:rsidP="000C298C">
      <w:pPr>
        <w:ind w:firstLine="1"/>
        <w:contextualSpacing/>
        <w:rPr>
          <w:rFonts w:eastAsia="Calibri"/>
          <w:b w:val="0"/>
          <w:bCs/>
          <w:szCs w:val="22"/>
          <w:lang w:val="hy-AM" w:eastAsia="en-US"/>
        </w:rPr>
      </w:pPr>
      <w:r w:rsidRPr="00864B6B">
        <w:rPr>
          <w:rFonts w:eastAsia="Calibri"/>
          <w:b w:val="0"/>
          <w:bCs/>
          <w:szCs w:val="22"/>
          <w:lang w:val="hy-AM" w:eastAsia="en-US"/>
        </w:rPr>
        <w:t>ՀՀ ֆինանսների նախարարության պաշտոնական կայք էջում եռամսյակային կտրվածքով, յուրաքանչյուր եռամսյակից 10 օր առաջ, կհրապարակի ուղենշային համարվող պարտատոմսերի ցանկը:</w:t>
      </w:r>
    </w:p>
    <w:p w14:paraId="5CF74D37" w14:textId="77777777" w:rsidR="000C298C" w:rsidRPr="00864B6B" w:rsidRDefault="000C298C" w:rsidP="000C298C">
      <w:pPr>
        <w:ind w:firstLine="1"/>
        <w:rPr>
          <w:rFonts w:eastAsia="Calibri"/>
          <w:b w:val="0"/>
          <w:bCs/>
          <w:i/>
          <w:szCs w:val="22"/>
          <w:u w:val="single"/>
          <w:lang w:val="hy-AM" w:eastAsia="en-US"/>
        </w:rPr>
      </w:pPr>
      <w:r w:rsidRPr="00864B6B">
        <w:rPr>
          <w:rFonts w:eastAsia="Calibri"/>
          <w:b w:val="0"/>
          <w:bCs/>
          <w:i/>
          <w:szCs w:val="22"/>
          <w:u w:val="single"/>
          <w:lang w:val="hy-AM" w:eastAsia="en-US"/>
        </w:rPr>
        <w:t>Պակասուրդի ֆինանսավորումն արտաքին վարկերով</w:t>
      </w:r>
    </w:p>
    <w:p w14:paraId="165A2CFF" w14:textId="77777777" w:rsidR="000C298C" w:rsidRPr="00864B6B" w:rsidRDefault="000C298C" w:rsidP="000C298C">
      <w:pPr>
        <w:ind w:firstLine="1"/>
        <w:rPr>
          <w:rFonts w:eastAsia="Calibri"/>
          <w:b w:val="0"/>
          <w:szCs w:val="22"/>
          <w:lang w:val="hy-AM" w:eastAsia="en-US"/>
        </w:rPr>
      </w:pPr>
      <w:r w:rsidRPr="00864B6B">
        <w:rPr>
          <w:rFonts w:eastAsia="Calibri"/>
          <w:b w:val="0"/>
          <w:szCs w:val="22"/>
          <w:lang w:val="hy-AM" w:eastAsia="en-US"/>
        </w:rPr>
        <w:t>ՀՀ 2024 թվականին պետական բյուջեի պակասուրդը ֆինանսավորելու համար նախատեսվում է արտաքին վարկերի գծով կատարել 3</w:t>
      </w:r>
      <w:r w:rsidRPr="00162620">
        <w:rPr>
          <w:rFonts w:eastAsia="Calibri"/>
          <w:b w:val="0"/>
          <w:szCs w:val="22"/>
          <w:lang w:val="hy-AM" w:eastAsia="en-US"/>
        </w:rPr>
        <w:t>1</w:t>
      </w:r>
      <w:r>
        <w:rPr>
          <w:rFonts w:eastAsia="Calibri"/>
          <w:b w:val="0"/>
          <w:szCs w:val="22"/>
          <w:lang w:val="hy-AM" w:eastAsia="en-US"/>
        </w:rPr>
        <w:t>5.0</w:t>
      </w:r>
      <w:r w:rsidRPr="00864B6B">
        <w:rPr>
          <w:rFonts w:eastAsia="Calibri"/>
          <w:b w:val="0"/>
          <w:szCs w:val="22"/>
          <w:lang w:val="hy-AM" w:eastAsia="en-US"/>
        </w:rPr>
        <w:t xml:space="preserve"> մլրդ դրամի (7</w:t>
      </w:r>
      <w:r w:rsidRPr="00162620">
        <w:rPr>
          <w:rFonts w:eastAsia="Calibri"/>
          <w:b w:val="0"/>
          <w:szCs w:val="22"/>
          <w:lang w:val="hy-AM" w:eastAsia="en-US"/>
        </w:rPr>
        <w:t>8</w:t>
      </w:r>
      <w:r>
        <w:rPr>
          <w:rFonts w:eastAsia="Calibri"/>
          <w:b w:val="0"/>
          <w:szCs w:val="22"/>
          <w:lang w:val="hy-AM" w:eastAsia="en-US"/>
        </w:rPr>
        <w:t>2.9</w:t>
      </w:r>
      <w:r w:rsidRPr="00162620">
        <w:rPr>
          <w:rFonts w:eastAsia="Calibri"/>
          <w:b w:val="0"/>
          <w:szCs w:val="22"/>
          <w:lang w:val="hy-AM" w:eastAsia="en-US"/>
        </w:rPr>
        <w:t xml:space="preserve"> </w:t>
      </w:r>
      <w:r w:rsidRPr="00864B6B">
        <w:rPr>
          <w:rFonts w:eastAsia="Calibri"/>
          <w:b w:val="0"/>
          <w:szCs w:val="22"/>
          <w:lang w:val="hy-AM" w:eastAsia="en-US"/>
        </w:rPr>
        <w:t>մլն ԱՄՆ դոլար) մասհանումներ: Ընդ որում մասհանումներից 13</w:t>
      </w:r>
      <w:r>
        <w:rPr>
          <w:rFonts w:eastAsia="Calibri"/>
          <w:b w:val="0"/>
          <w:szCs w:val="22"/>
          <w:lang w:val="hy-AM" w:eastAsia="en-US"/>
        </w:rPr>
        <w:t>2.8</w:t>
      </w:r>
      <w:r w:rsidRPr="00864B6B">
        <w:rPr>
          <w:rFonts w:eastAsia="Calibri"/>
          <w:b w:val="0"/>
          <w:szCs w:val="22"/>
          <w:lang w:val="hy-AM" w:eastAsia="en-US"/>
        </w:rPr>
        <w:t xml:space="preserve"> մլրդ դրամը (3</w:t>
      </w:r>
      <w:r w:rsidRPr="00162620">
        <w:rPr>
          <w:rFonts w:eastAsia="Calibri"/>
          <w:b w:val="0"/>
          <w:szCs w:val="22"/>
          <w:lang w:val="hy-AM" w:eastAsia="en-US"/>
        </w:rPr>
        <w:t>3</w:t>
      </w:r>
      <w:r>
        <w:rPr>
          <w:rFonts w:eastAsia="Calibri"/>
          <w:b w:val="0"/>
          <w:szCs w:val="22"/>
          <w:lang w:val="hy-AM" w:eastAsia="en-US"/>
        </w:rPr>
        <w:t>0.1</w:t>
      </w:r>
      <w:r w:rsidRPr="00864B6B">
        <w:rPr>
          <w:rFonts w:eastAsia="Calibri"/>
          <w:b w:val="0"/>
          <w:szCs w:val="22"/>
          <w:lang w:val="hy-AM" w:eastAsia="en-US"/>
        </w:rPr>
        <w:t xml:space="preserve"> մլն ԱՄՆ դոլար) նախատեսվում է կատարել նպատակային վարկային ծրագրերի գծով, իսկ մնացած 1</w:t>
      </w:r>
      <w:r w:rsidRPr="00162620">
        <w:rPr>
          <w:rFonts w:eastAsia="Calibri"/>
          <w:b w:val="0"/>
          <w:szCs w:val="22"/>
          <w:lang w:val="hy-AM" w:eastAsia="en-US"/>
        </w:rPr>
        <w:t>82.2</w:t>
      </w:r>
      <w:r w:rsidRPr="00864B6B">
        <w:rPr>
          <w:rFonts w:eastAsia="Calibri"/>
          <w:b w:val="0"/>
          <w:szCs w:val="22"/>
          <w:lang w:val="hy-AM" w:eastAsia="en-US"/>
        </w:rPr>
        <w:t xml:space="preserve"> մլրդ դրամը (45</w:t>
      </w:r>
      <w:r w:rsidRPr="00162620">
        <w:rPr>
          <w:rFonts w:eastAsia="Calibri"/>
          <w:b w:val="0"/>
          <w:szCs w:val="22"/>
          <w:lang w:val="hy-AM" w:eastAsia="en-US"/>
        </w:rPr>
        <w:t>2.7</w:t>
      </w:r>
      <w:r w:rsidRPr="00864B6B">
        <w:rPr>
          <w:rFonts w:eastAsia="Calibri"/>
          <w:b w:val="0"/>
          <w:szCs w:val="22"/>
          <w:lang w:val="hy-AM" w:eastAsia="en-US"/>
        </w:rPr>
        <w:t xml:space="preserve"> մլն ԱՄՆ դոլար)՝ բյուջետային աջակցության վարկերի գծով: </w:t>
      </w:r>
    </w:p>
    <w:p w14:paraId="1C7CE956" w14:textId="77777777" w:rsidR="000C298C" w:rsidRPr="00864B6B" w:rsidRDefault="000C298C" w:rsidP="000C298C">
      <w:pPr>
        <w:ind w:firstLine="1"/>
        <w:rPr>
          <w:rFonts w:eastAsia="Calibri"/>
          <w:b w:val="0"/>
          <w:szCs w:val="22"/>
          <w:lang w:val="hy-AM" w:eastAsia="en-US"/>
        </w:rPr>
      </w:pPr>
      <w:r w:rsidRPr="00864B6B">
        <w:rPr>
          <w:rFonts w:eastAsia="Calibri"/>
          <w:b w:val="0"/>
          <w:szCs w:val="22"/>
          <w:lang w:val="hy-AM" w:eastAsia="en-US"/>
        </w:rPr>
        <w:t xml:space="preserve">2024 թվականի համար ծրագրավորված բյուջետային աջակցության վարկերի ստացումները հետևյալն են. 100 մլն ԱՄՆ դոլար Վերակառուցման և Զարգացման Միջազգային Բանկից, 100 մլն ԱՄՆ դոլար Կայունացման և Զարգացման Եվրասիական </w:t>
      </w:r>
      <w:r w:rsidRPr="00864B6B">
        <w:rPr>
          <w:rFonts w:eastAsia="Calibri"/>
          <w:b w:val="0"/>
          <w:szCs w:val="22"/>
          <w:lang w:val="hy-AM" w:eastAsia="en-US"/>
        </w:rPr>
        <w:lastRenderedPageBreak/>
        <w:t>Հիմնադրամից, 50 մլն ԱՄՆ դոլար Ասիական Զարգացման Բանկից,  50 մլն եվրո Զարգացման Ֆրանսիական Գործակալությունից, 150 մլն ԱՄՆ դոլար՝ այլ աղբյուրներից:</w:t>
      </w:r>
    </w:p>
    <w:p w14:paraId="7F1052A4" w14:textId="77777777" w:rsidR="000C298C" w:rsidRDefault="000C298C" w:rsidP="000C298C">
      <w:pPr>
        <w:spacing w:before="0" w:after="120" w:line="360" w:lineRule="auto"/>
        <w:rPr>
          <w:rFonts w:eastAsia="Calibri"/>
          <w:b w:val="0"/>
          <w:szCs w:val="22"/>
          <w:lang w:val="hy-AM" w:eastAsia="en-US"/>
        </w:rPr>
      </w:pPr>
      <w:r w:rsidRPr="00864B6B">
        <w:rPr>
          <w:rFonts w:eastAsia="Calibri"/>
          <w:b w:val="0"/>
          <w:szCs w:val="22"/>
          <w:lang w:val="hy-AM" w:eastAsia="en-US"/>
        </w:rPr>
        <w:t>Ըստ վարկատուների մասհանումների կառուցվածքը հետևյալն է.</w:t>
      </w:r>
    </w:p>
    <w:p w14:paraId="303F6BF1" w14:textId="2D82F775" w:rsidR="000C298C" w:rsidRPr="000C298C" w:rsidRDefault="000C298C" w:rsidP="000C298C">
      <w:pPr>
        <w:rPr>
          <w:rFonts w:cs="Sylfaen"/>
          <w:b w:val="0"/>
          <w:bCs/>
          <w:lang w:val="hy-AM"/>
        </w:rPr>
      </w:pPr>
      <w:bookmarkStart w:id="342" w:name="_Toc152324830"/>
      <w:r w:rsidRPr="000C298C">
        <w:rPr>
          <w:rFonts w:cs="Sylfaen"/>
          <w:lang w:val="hy-AM"/>
        </w:rPr>
        <w:t xml:space="preserve">Գծապատկեր </w:t>
      </w:r>
      <w:r w:rsidRPr="000C298C">
        <w:rPr>
          <w:rFonts w:cs="Sylfaen"/>
          <w:lang w:val="hy-AM"/>
        </w:rPr>
        <w:fldChar w:fldCharType="begin"/>
      </w:r>
      <w:r w:rsidRPr="000C298C">
        <w:rPr>
          <w:rFonts w:cs="Sylfaen"/>
          <w:lang w:val="hy-AM"/>
        </w:rPr>
        <w:instrText xml:space="preserve"> SEQ Գծապատկեր \* ARABIC </w:instrText>
      </w:r>
      <w:r w:rsidRPr="000C298C">
        <w:rPr>
          <w:rFonts w:cs="Sylfaen"/>
          <w:lang w:val="hy-AM"/>
        </w:rPr>
        <w:fldChar w:fldCharType="separate"/>
      </w:r>
      <w:r w:rsidR="00DB4E68">
        <w:rPr>
          <w:rFonts w:cs="Sylfaen"/>
          <w:noProof/>
          <w:lang w:val="hy-AM"/>
        </w:rPr>
        <w:t>9</w:t>
      </w:r>
      <w:r w:rsidRPr="000C298C">
        <w:rPr>
          <w:rFonts w:cs="Sylfaen"/>
          <w:lang w:val="hy-AM"/>
        </w:rPr>
        <w:fldChar w:fldCharType="end"/>
      </w:r>
      <w:r w:rsidRPr="000C298C">
        <w:rPr>
          <w:rFonts w:cs="Sylfaen"/>
          <w:lang w:val="hy-AM"/>
        </w:rPr>
        <w:t>.</w:t>
      </w:r>
      <w:r w:rsidRPr="000C298C">
        <w:rPr>
          <w:rFonts w:cs="Sylfaen"/>
          <w:b w:val="0"/>
          <w:bCs/>
          <w:lang w:val="hy-AM"/>
        </w:rPr>
        <w:t xml:space="preserve"> Մասհանումների կառուցվածքն ըստ վարկատուների (%)</w:t>
      </w:r>
      <w:bookmarkEnd w:id="342"/>
    </w:p>
    <w:p w14:paraId="0C1CDAE4" w14:textId="77777777" w:rsidR="000C298C" w:rsidRPr="00864B6B" w:rsidRDefault="000C298C" w:rsidP="000C298C">
      <w:pPr>
        <w:spacing w:before="0" w:after="120" w:line="360" w:lineRule="auto"/>
        <w:ind w:firstLine="567"/>
        <w:rPr>
          <w:rFonts w:eastAsia="Calibri"/>
          <w:b w:val="0"/>
          <w:szCs w:val="22"/>
          <w:lang w:val="hy-AM" w:eastAsia="en-US"/>
        </w:rPr>
      </w:pPr>
      <w:r>
        <w:rPr>
          <w:noProof/>
          <w:lang w:val="en-US" w:eastAsia="en-US"/>
        </w:rPr>
        <w:drawing>
          <wp:inline distT="0" distB="0" distL="0" distR="0" wp14:anchorId="38E7A69E" wp14:editId="29EFC940">
            <wp:extent cx="4533900" cy="2638425"/>
            <wp:effectExtent l="114300" t="95250" r="114300" b="85725"/>
            <wp:docPr id="16120834" name="Chart 161208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A06043D" w14:textId="77777777" w:rsidR="000C298C" w:rsidRPr="00730EE1" w:rsidRDefault="000C298C" w:rsidP="000C298C">
      <w:pPr>
        <w:spacing w:before="0" w:line="360" w:lineRule="auto"/>
        <w:ind w:firstLine="720"/>
        <w:rPr>
          <w:rFonts w:eastAsia="Calibri"/>
          <w:b w:val="0"/>
          <w:szCs w:val="22"/>
          <w:lang w:val="hy-AM" w:eastAsia="en-US"/>
        </w:rPr>
      </w:pPr>
    </w:p>
    <w:p w14:paraId="63DD86D4" w14:textId="3D826B63" w:rsidR="000C298C" w:rsidRPr="000C298C" w:rsidRDefault="000C298C" w:rsidP="000C298C">
      <w:pPr>
        <w:spacing w:before="0" w:after="120" w:line="360" w:lineRule="auto"/>
        <w:rPr>
          <w:b w:val="0"/>
          <w:bCs/>
          <w:lang w:val="hy-AM"/>
        </w:rPr>
      </w:pPr>
      <w:bookmarkStart w:id="343" w:name="_Toc152324831"/>
      <w:r w:rsidRPr="000C298C">
        <w:rPr>
          <w:lang w:val="hy-AM"/>
        </w:rPr>
        <w:t xml:space="preserve">Գծապատկեր </w:t>
      </w:r>
      <w:r w:rsidRPr="000C298C">
        <w:rPr>
          <w:lang w:val="hy-AM"/>
        </w:rPr>
        <w:fldChar w:fldCharType="begin"/>
      </w:r>
      <w:r w:rsidRPr="000C298C">
        <w:rPr>
          <w:lang w:val="hy-AM"/>
        </w:rPr>
        <w:instrText xml:space="preserve"> SEQ Գծապատկեր \* ARABIC </w:instrText>
      </w:r>
      <w:r w:rsidRPr="000C298C">
        <w:rPr>
          <w:lang w:val="hy-AM"/>
        </w:rPr>
        <w:fldChar w:fldCharType="separate"/>
      </w:r>
      <w:r w:rsidR="00DB4E68">
        <w:rPr>
          <w:noProof/>
          <w:lang w:val="hy-AM"/>
        </w:rPr>
        <w:t>10</w:t>
      </w:r>
      <w:r w:rsidRPr="000C298C">
        <w:rPr>
          <w:lang w:val="hy-AM"/>
        </w:rPr>
        <w:fldChar w:fldCharType="end"/>
      </w:r>
      <w:r w:rsidRPr="000C298C">
        <w:rPr>
          <w:lang w:val="hy-AM"/>
        </w:rPr>
        <w:t>.</w:t>
      </w:r>
      <w:r w:rsidRPr="00A40004">
        <w:rPr>
          <w:lang w:val="hy-AM"/>
        </w:rPr>
        <w:t xml:space="preserve"> </w:t>
      </w:r>
      <w:r w:rsidRPr="000C298C">
        <w:rPr>
          <w:b w:val="0"/>
          <w:bCs/>
          <w:lang w:val="hy-AM"/>
        </w:rPr>
        <w:t>Մասհանումների կառուցվածքն ըստ ոլորտների  (մլն ԱՄՆ դոլար)</w:t>
      </w:r>
      <w:bookmarkEnd w:id="343"/>
    </w:p>
    <w:p w14:paraId="448A57B8" w14:textId="77777777" w:rsidR="000C298C" w:rsidRPr="00864B6B" w:rsidRDefault="000C298C" w:rsidP="000C298C">
      <w:pPr>
        <w:rPr>
          <w:rFonts w:eastAsia="Calibri"/>
          <w:b w:val="0"/>
          <w:szCs w:val="22"/>
          <w:lang w:val="hy-AM" w:eastAsia="en-US"/>
        </w:rPr>
      </w:pPr>
      <w:r>
        <w:rPr>
          <w:noProof/>
          <w:lang w:val="en-US" w:eastAsia="en-US"/>
        </w:rPr>
        <w:drawing>
          <wp:inline distT="0" distB="0" distL="0" distR="0" wp14:anchorId="6F086B86" wp14:editId="3111D443">
            <wp:extent cx="5172075" cy="2247900"/>
            <wp:effectExtent l="133350" t="95250" r="123825" b="95250"/>
            <wp:docPr id="16120838" name="Chart 161208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A540C7B" w14:textId="77777777" w:rsidR="000C298C" w:rsidRPr="00864B6B" w:rsidRDefault="000C298C" w:rsidP="000C298C">
      <w:pPr>
        <w:spacing w:before="0" w:line="360" w:lineRule="auto"/>
        <w:rPr>
          <w:rFonts w:eastAsia="Calibri"/>
          <w:b w:val="0"/>
          <w:szCs w:val="22"/>
          <w:lang w:val="en-US" w:eastAsia="en-US"/>
        </w:rPr>
      </w:pPr>
    </w:p>
    <w:p w14:paraId="556F8DF8" w14:textId="77777777" w:rsidR="000C298C" w:rsidRPr="00864B6B" w:rsidRDefault="000C298C" w:rsidP="000C298C">
      <w:pPr>
        <w:rPr>
          <w:rFonts w:eastAsia="Calibri"/>
          <w:b w:val="0"/>
          <w:szCs w:val="22"/>
          <w:lang w:val="en-US" w:eastAsia="en-US"/>
        </w:rPr>
      </w:pPr>
      <w:r w:rsidRPr="00864B6B">
        <w:rPr>
          <w:rFonts w:eastAsia="Calibri"/>
          <w:b w:val="0"/>
          <w:szCs w:val="22"/>
          <w:lang w:val="hy-AM" w:eastAsia="en-US"/>
        </w:rPr>
        <w:t>2024 թվականին մասհանումների 63.</w:t>
      </w:r>
      <w:r>
        <w:rPr>
          <w:rFonts w:eastAsia="Calibri"/>
          <w:b w:val="0"/>
          <w:szCs w:val="22"/>
          <w:lang w:val="hy-AM" w:eastAsia="en-US"/>
        </w:rPr>
        <w:t>7</w:t>
      </w:r>
      <w:r w:rsidRPr="00864B6B">
        <w:rPr>
          <w:rFonts w:eastAsia="Calibri"/>
          <w:b w:val="0"/>
          <w:szCs w:val="22"/>
          <w:lang w:val="hy-AM" w:eastAsia="en-US"/>
        </w:rPr>
        <w:t>%-ը կկատարվի ԱՄՆ դոլարով տրամադրված վարկերի գծով և 3</w:t>
      </w:r>
      <w:r>
        <w:rPr>
          <w:rFonts w:eastAsia="Calibri"/>
          <w:b w:val="0"/>
          <w:szCs w:val="22"/>
          <w:lang w:val="hy-AM" w:eastAsia="en-US"/>
        </w:rPr>
        <w:t>3.3</w:t>
      </w:r>
      <w:r w:rsidRPr="00864B6B">
        <w:rPr>
          <w:rFonts w:eastAsia="Calibri"/>
          <w:b w:val="0"/>
          <w:szCs w:val="22"/>
          <w:lang w:val="hy-AM" w:eastAsia="en-US"/>
        </w:rPr>
        <w:t xml:space="preserve">%-ը եվրոյով տրամադրված վարկերի գծով: </w:t>
      </w:r>
    </w:p>
    <w:p w14:paraId="33A64148" w14:textId="4A817813" w:rsidR="000C298C" w:rsidRPr="00463647" w:rsidRDefault="00463647" w:rsidP="00463647">
      <w:pPr>
        <w:spacing w:before="0" w:after="120" w:line="360" w:lineRule="auto"/>
        <w:rPr>
          <w:b w:val="0"/>
          <w:bCs/>
          <w:lang w:val="hy-AM"/>
        </w:rPr>
      </w:pPr>
      <w:bookmarkStart w:id="344" w:name="_Toc152324832"/>
      <w:r w:rsidRPr="00463647">
        <w:rPr>
          <w:lang w:val="hy-AM"/>
        </w:rPr>
        <w:t xml:space="preserve">Գծապատկեր </w:t>
      </w:r>
      <w:r w:rsidRPr="00463647">
        <w:rPr>
          <w:lang w:val="hy-AM"/>
        </w:rPr>
        <w:fldChar w:fldCharType="begin"/>
      </w:r>
      <w:r w:rsidRPr="00463647">
        <w:rPr>
          <w:lang w:val="hy-AM"/>
        </w:rPr>
        <w:instrText xml:space="preserve"> SEQ Գծապատկեր \* ARABIC </w:instrText>
      </w:r>
      <w:r w:rsidRPr="00463647">
        <w:rPr>
          <w:lang w:val="hy-AM"/>
        </w:rPr>
        <w:fldChar w:fldCharType="separate"/>
      </w:r>
      <w:r w:rsidR="00DB4E68">
        <w:rPr>
          <w:noProof/>
          <w:lang w:val="hy-AM"/>
        </w:rPr>
        <w:t>11</w:t>
      </w:r>
      <w:r w:rsidRPr="00463647">
        <w:rPr>
          <w:lang w:val="hy-AM"/>
        </w:rPr>
        <w:fldChar w:fldCharType="end"/>
      </w:r>
      <w:r w:rsidR="000C298C" w:rsidRPr="00463647">
        <w:rPr>
          <w:lang w:val="hy-AM"/>
        </w:rPr>
        <w:t>.</w:t>
      </w:r>
      <w:r w:rsidR="000C298C" w:rsidRPr="00463647">
        <w:rPr>
          <w:b w:val="0"/>
          <w:bCs/>
          <w:lang w:val="hy-AM"/>
        </w:rPr>
        <w:t xml:space="preserve"> Մասհանումների կառուցվածքն ըստ ըստ վարկի արժույթի (%)</w:t>
      </w:r>
      <w:bookmarkEnd w:id="344"/>
    </w:p>
    <w:p w14:paraId="0C232700" w14:textId="77777777" w:rsidR="000C298C" w:rsidRPr="00864B6B" w:rsidRDefault="000C298C" w:rsidP="000C298C">
      <w:pPr>
        <w:spacing w:before="0" w:after="120" w:line="360" w:lineRule="auto"/>
        <w:ind w:firstLine="720"/>
        <w:rPr>
          <w:rFonts w:eastAsia="Calibri"/>
          <w:b w:val="0"/>
          <w:szCs w:val="22"/>
          <w:lang w:val="hy-AM" w:eastAsia="en-US"/>
        </w:rPr>
      </w:pPr>
      <w:r>
        <w:rPr>
          <w:noProof/>
          <w:lang w:val="en-US" w:eastAsia="en-US"/>
        </w:rPr>
        <w:lastRenderedPageBreak/>
        <w:drawing>
          <wp:inline distT="0" distB="0" distL="0" distR="0" wp14:anchorId="1408ED6D" wp14:editId="2951D32B">
            <wp:extent cx="4648200" cy="1933575"/>
            <wp:effectExtent l="114300" t="95250" r="114300" b="857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B9BD52F" w14:textId="77777777" w:rsidR="000C298C" w:rsidRDefault="000C298C" w:rsidP="000C298C">
      <w:pPr>
        <w:jc w:val="left"/>
        <w:rPr>
          <w:rFonts w:eastAsia="Calibri" w:cs="Arial"/>
          <w:szCs w:val="22"/>
          <w:lang w:val="hy-AM" w:eastAsia="en-US"/>
        </w:rPr>
      </w:pPr>
    </w:p>
    <w:p w14:paraId="644E5007" w14:textId="77777777" w:rsidR="000C298C" w:rsidRPr="00864B6B" w:rsidRDefault="000C298C" w:rsidP="000C298C">
      <w:pPr>
        <w:jc w:val="left"/>
        <w:rPr>
          <w:rFonts w:eastAsia="Calibri" w:cs="Arial"/>
          <w:szCs w:val="22"/>
          <w:lang w:val="hy-AM" w:eastAsia="en-US"/>
        </w:rPr>
      </w:pPr>
      <w:r w:rsidRPr="00864B6B">
        <w:rPr>
          <w:rFonts w:eastAsia="Calibri" w:cs="Arial"/>
          <w:szCs w:val="22"/>
          <w:lang w:val="hy-AM" w:eastAsia="en-US"/>
        </w:rPr>
        <w:t>Կառավարության</w:t>
      </w:r>
      <w:r w:rsidRPr="00864B6B">
        <w:rPr>
          <w:rFonts w:eastAsia="Calibri"/>
          <w:szCs w:val="22"/>
          <w:lang w:val="hy-AM" w:eastAsia="en-US"/>
        </w:rPr>
        <w:t xml:space="preserve"> պարտքի մարումը և սպասարկումը</w:t>
      </w:r>
    </w:p>
    <w:p w14:paraId="2B610239" w14:textId="77777777" w:rsidR="000C298C" w:rsidRDefault="000C298C" w:rsidP="000C298C">
      <w:pPr>
        <w:spacing w:line="360" w:lineRule="auto"/>
        <w:rPr>
          <w:rFonts w:eastAsia="Calibri"/>
          <w:b w:val="0"/>
          <w:bCs/>
          <w:szCs w:val="22"/>
          <w:lang w:val="hy-AM" w:eastAsia="en-US"/>
        </w:rPr>
      </w:pPr>
      <w:r w:rsidRPr="00864B6B">
        <w:rPr>
          <w:rFonts w:eastAsia="Calibri"/>
          <w:b w:val="0"/>
          <w:bCs/>
          <w:szCs w:val="22"/>
          <w:lang w:val="hy-AM" w:eastAsia="en-US"/>
        </w:rPr>
        <w:t>2024 թվականին կառավարության պարտքի մարման և սպասարկման համար կպահանջվի 805.2 մլրդ դրամ, որից 483.0 մլրդ դրամը կկազմեն պարտքի գծով մարումները, իսկ 322.2 մլրդ դրամը՝ տոկոսավճարները:</w:t>
      </w:r>
    </w:p>
    <w:p w14:paraId="439F0AD7" w14:textId="1E55EE4F" w:rsidR="000C298C" w:rsidRPr="00463647" w:rsidRDefault="00463647" w:rsidP="00463647">
      <w:pPr>
        <w:shd w:val="clear" w:color="auto" w:fill="FFFFFF"/>
        <w:spacing w:before="0" w:after="200" w:line="360" w:lineRule="auto"/>
        <w:rPr>
          <w:rFonts w:cs="Sylfaen"/>
          <w:b w:val="0"/>
          <w:bCs/>
          <w:lang w:val="hy-AM"/>
        </w:rPr>
      </w:pPr>
      <w:bookmarkStart w:id="345" w:name="_Toc152324784"/>
      <w:r w:rsidRPr="00463647">
        <w:rPr>
          <w:rFonts w:cs="Sylfaen"/>
          <w:lang w:val="hy-AM"/>
        </w:rPr>
        <w:t xml:space="preserve">Աղյուսակ </w:t>
      </w:r>
      <w:r w:rsidRPr="00463647">
        <w:rPr>
          <w:rFonts w:cs="Sylfaen"/>
          <w:lang w:val="hy-AM"/>
        </w:rPr>
        <w:fldChar w:fldCharType="begin"/>
      </w:r>
      <w:r w:rsidRPr="00463647">
        <w:rPr>
          <w:rFonts w:cs="Sylfaen"/>
          <w:lang w:val="hy-AM"/>
        </w:rPr>
        <w:instrText xml:space="preserve"> SEQ Աղյուսակ \* ARABIC </w:instrText>
      </w:r>
      <w:r w:rsidRPr="00463647">
        <w:rPr>
          <w:rFonts w:cs="Sylfaen"/>
          <w:lang w:val="hy-AM"/>
        </w:rPr>
        <w:fldChar w:fldCharType="separate"/>
      </w:r>
      <w:r w:rsidR="00DB4E68">
        <w:rPr>
          <w:rFonts w:cs="Sylfaen"/>
          <w:noProof/>
          <w:lang w:val="hy-AM"/>
        </w:rPr>
        <w:t>22</w:t>
      </w:r>
      <w:r w:rsidRPr="00463647">
        <w:rPr>
          <w:rFonts w:cs="Sylfaen"/>
          <w:lang w:val="hy-AM"/>
        </w:rPr>
        <w:fldChar w:fldCharType="end"/>
      </w:r>
      <w:r w:rsidR="000C298C" w:rsidRPr="00463647">
        <w:rPr>
          <w:rFonts w:cs="Sylfaen"/>
          <w:lang w:val="hy-AM"/>
        </w:rPr>
        <w:t xml:space="preserve">. </w:t>
      </w:r>
      <w:r w:rsidR="000C298C" w:rsidRPr="00463647">
        <w:rPr>
          <w:rFonts w:cs="Sylfaen"/>
          <w:b w:val="0"/>
          <w:bCs/>
          <w:lang w:val="hy-AM"/>
        </w:rPr>
        <w:t>Կառավարության պարտքի մարման և սպասարկման ծախսերը (մլրդ դրամ)</w:t>
      </w:r>
      <w:bookmarkEnd w:id="345"/>
    </w:p>
    <w:tbl>
      <w:tblPr>
        <w:tblW w:w="0" w:type="auto"/>
        <w:tblLook w:val="04A0" w:firstRow="1" w:lastRow="0" w:firstColumn="1" w:lastColumn="0" w:noHBand="0" w:noVBand="1"/>
      </w:tblPr>
      <w:tblGrid>
        <w:gridCol w:w="4408"/>
        <w:gridCol w:w="1502"/>
        <w:gridCol w:w="1636"/>
        <w:gridCol w:w="1566"/>
      </w:tblGrid>
      <w:tr w:rsidR="000C298C" w:rsidRPr="00730EE1" w14:paraId="40335038" w14:textId="77777777" w:rsidTr="00B70363">
        <w:tc>
          <w:tcPr>
            <w:tcW w:w="4823" w:type="dxa"/>
            <w:tcBorders>
              <w:bottom w:val="single" w:sz="4" w:space="0" w:color="auto"/>
            </w:tcBorders>
          </w:tcPr>
          <w:p w14:paraId="476FB48B" w14:textId="77777777" w:rsidR="000C298C" w:rsidRPr="00324B27" w:rsidRDefault="000C298C" w:rsidP="00B70363">
            <w:pPr>
              <w:spacing w:before="0" w:line="240" w:lineRule="auto"/>
              <w:jc w:val="center"/>
              <w:rPr>
                <w:b w:val="0"/>
                <w:i/>
                <w:sz w:val="18"/>
                <w:szCs w:val="18"/>
                <w:lang w:val="hy-AM" w:eastAsia="en-US"/>
              </w:rPr>
            </w:pPr>
          </w:p>
        </w:tc>
        <w:tc>
          <w:tcPr>
            <w:tcW w:w="1607" w:type="dxa"/>
            <w:tcBorders>
              <w:bottom w:val="single" w:sz="4" w:space="0" w:color="auto"/>
            </w:tcBorders>
          </w:tcPr>
          <w:p w14:paraId="236E1B8E" w14:textId="77777777" w:rsidR="000C298C" w:rsidRPr="00324B27" w:rsidRDefault="000C298C" w:rsidP="00B70363">
            <w:pPr>
              <w:spacing w:before="0" w:line="240" w:lineRule="auto"/>
              <w:jc w:val="center"/>
              <w:rPr>
                <w:b w:val="0"/>
                <w:i/>
                <w:sz w:val="18"/>
                <w:szCs w:val="18"/>
                <w:lang w:val="hy-AM" w:eastAsia="en-US"/>
              </w:rPr>
            </w:pPr>
            <w:r w:rsidRPr="00324B27">
              <w:rPr>
                <w:b w:val="0"/>
                <w:sz w:val="18"/>
                <w:szCs w:val="18"/>
                <w:lang w:val="hy-AM" w:eastAsia="en-US"/>
              </w:rPr>
              <w:t>մարում</w:t>
            </w:r>
          </w:p>
        </w:tc>
        <w:tc>
          <w:tcPr>
            <w:tcW w:w="1685" w:type="dxa"/>
            <w:tcBorders>
              <w:bottom w:val="single" w:sz="4" w:space="0" w:color="auto"/>
            </w:tcBorders>
          </w:tcPr>
          <w:p w14:paraId="5223CF02" w14:textId="77777777" w:rsidR="000C298C" w:rsidRPr="00324B27" w:rsidRDefault="000C298C" w:rsidP="00B70363">
            <w:pPr>
              <w:spacing w:before="0" w:line="240" w:lineRule="auto"/>
              <w:jc w:val="center"/>
              <w:rPr>
                <w:b w:val="0"/>
                <w:i/>
                <w:sz w:val="18"/>
                <w:szCs w:val="18"/>
                <w:lang w:val="hy-AM" w:eastAsia="en-US"/>
              </w:rPr>
            </w:pPr>
            <w:r w:rsidRPr="00324B27">
              <w:rPr>
                <w:b w:val="0"/>
                <w:sz w:val="18"/>
                <w:szCs w:val="18"/>
                <w:lang w:val="hy-AM" w:eastAsia="en-US"/>
              </w:rPr>
              <w:t>սպասարկում</w:t>
            </w:r>
          </w:p>
        </w:tc>
        <w:tc>
          <w:tcPr>
            <w:tcW w:w="1642" w:type="dxa"/>
            <w:tcBorders>
              <w:bottom w:val="single" w:sz="4" w:space="0" w:color="auto"/>
            </w:tcBorders>
          </w:tcPr>
          <w:p w14:paraId="42C950F3" w14:textId="77777777" w:rsidR="000C298C" w:rsidRPr="00324B27" w:rsidRDefault="000C298C" w:rsidP="00B70363">
            <w:pPr>
              <w:spacing w:before="0" w:line="240" w:lineRule="auto"/>
              <w:jc w:val="center"/>
              <w:rPr>
                <w:b w:val="0"/>
                <w:i/>
                <w:sz w:val="18"/>
                <w:szCs w:val="18"/>
                <w:lang w:val="hy-AM" w:eastAsia="en-US"/>
              </w:rPr>
            </w:pPr>
            <w:r w:rsidRPr="00324B27">
              <w:rPr>
                <w:b w:val="0"/>
                <w:sz w:val="18"/>
                <w:szCs w:val="18"/>
                <w:lang w:val="hy-AM" w:eastAsia="en-US"/>
              </w:rPr>
              <w:t>ընդամենը</w:t>
            </w:r>
          </w:p>
        </w:tc>
      </w:tr>
      <w:tr w:rsidR="000C298C" w:rsidRPr="00730EE1" w14:paraId="144545A5" w14:textId="77777777" w:rsidTr="00B70363">
        <w:trPr>
          <w:trHeight w:val="361"/>
        </w:trPr>
        <w:tc>
          <w:tcPr>
            <w:tcW w:w="4823" w:type="dxa"/>
            <w:tcBorders>
              <w:top w:val="single" w:sz="4" w:space="0" w:color="auto"/>
            </w:tcBorders>
          </w:tcPr>
          <w:p w14:paraId="0B995B4C" w14:textId="77777777" w:rsidR="000C298C" w:rsidRPr="00324B27" w:rsidRDefault="000C298C" w:rsidP="00B70363">
            <w:pPr>
              <w:spacing w:before="0" w:line="240" w:lineRule="auto"/>
              <w:jc w:val="left"/>
              <w:rPr>
                <w:b w:val="0"/>
                <w:i/>
                <w:sz w:val="18"/>
                <w:szCs w:val="18"/>
                <w:lang w:val="hy-AM" w:eastAsia="en-US"/>
              </w:rPr>
            </w:pPr>
            <w:r w:rsidRPr="00324B27">
              <w:rPr>
                <w:b w:val="0"/>
                <w:sz w:val="18"/>
                <w:szCs w:val="18"/>
                <w:lang w:val="hy-AM" w:eastAsia="en-US"/>
              </w:rPr>
              <w:t>Պետական գանձապետական պարտատոմսեր</w:t>
            </w:r>
          </w:p>
        </w:tc>
        <w:tc>
          <w:tcPr>
            <w:tcW w:w="1607" w:type="dxa"/>
            <w:tcBorders>
              <w:top w:val="single" w:sz="4" w:space="0" w:color="auto"/>
            </w:tcBorders>
            <w:vAlign w:val="center"/>
          </w:tcPr>
          <w:p w14:paraId="15503C1E" w14:textId="77777777" w:rsidR="000C298C" w:rsidRPr="00324B27" w:rsidRDefault="000C298C" w:rsidP="00B70363">
            <w:pPr>
              <w:jc w:val="center"/>
              <w:rPr>
                <w:b w:val="0"/>
                <w:sz w:val="18"/>
                <w:szCs w:val="18"/>
                <w:lang w:val="en-US" w:eastAsia="en-US"/>
              </w:rPr>
            </w:pPr>
            <w:r w:rsidRPr="00324B27">
              <w:rPr>
                <w:b w:val="0"/>
                <w:sz w:val="18"/>
                <w:szCs w:val="18"/>
                <w:lang w:val="hy-AM"/>
              </w:rPr>
              <w:t>305.1</w:t>
            </w:r>
          </w:p>
        </w:tc>
        <w:tc>
          <w:tcPr>
            <w:tcW w:w="1685" w:type="dxa"/>
            <w:tcBorders>
              <w:top w:val="single" w:sz="4" w:space="0" w:color="auto"/>
            </w:tcBorders>
            <w:vAlign w:val="center"/>
          </w:tcPr>
          <w:p w14:paraId="421F05A4" w14:textId="77777777" w:rsidR="000C298C" w:rsidRPr="00324B27" w:rsidRDefault="000C298C" w:rsidP="00B70363">
            <w:pPr>
              <w:jc w:val="center"/>
              <w:rPr>
                <w:b w:val="0"/>
                <w:sz w:val="18"/>
                <w:szCs w:val="18"/>
              </w:rPr>
            </w:pPr>
            <w:r w:rsidRPr="00324B27">
              <w:rPr>
                <w:b w:val="0"/>
                <w:sz w:val="18"/>
                <w:szCs w:val="18"/>
                <w:lang w:val="hy-AM"/>
              </w:rPr>
              <w:t>209.9</w:t>
            </w:r>
          </w:p>
        </w:tc>
        <w:tc>
          <w:tcPr>
            <w:tcW w:w="1642" w:type="dxa"/>
            <w:tcBorders>
              <w:top w:val="single" w:sz="4" w:space="0" w:color="auto"/>
            </w:tcBorders>
            <w:vAlign w:val="center"/>
          </w:tcPr>
          <w:p w14:paraId="3B284E01" w14:textId="77777777" w:rsidR="000C298C" w:rsidRPr="00324B27" w:rsidRDefault="000C298C" w:rsidP="00B70363">
            <w:pPr>
              <w:jc w:val="center"/>
              <w:rPr>
                <w:b w:val="0"/>
                <w:sz w:val="18"/>
                <w:szCs w:val="18"/>
              </w:rPr>
            </w:pPr>
            <w:r w:rsidRPr="00324B27">
              <w:rPr>
                <w:b w:val="0"/>
                <w:sz w:val="18"/>
                <w:szCs w:val="18"/>
                <w:lang w:val="hy-AM"/>
              </w:rPr>
              <w:t>515.0</w:t>
            </w:r>
          </w:p>
        </w:tc>
      </w:tr>
      <w:tr w:rsidR="000C298C" w:rsidRPr="00730EE1" w14:paraId="57EB30D2" w14:textId="77777777" w:rsidTr="00B70363">
        <w:trPr>
          <w:trHeight w:val="361"/>
        </w:trPr>
        <w:tc>
          <w:tcPr>
            <w:tcW w:w="4823" w:type="dxa"/>
          </w:tcPr>
          <w:p w14:paraId="408D9725" w14:textId="77777777" w:rsidR="000C298C" w:rsidRPr="00324B27" w:rsidRDefault="000C298C" w:rsidP="00B70363">
            <w:pPr>
              <w:spacing w:before="0" w:line="240" w:lineRule="auto"/>
              <w:jc w:val="left"/>
              <w:rPr>
                <w:b w:val="0"/>
                <w:i/>
                <w:sz w:val="18"/>
                <w:szCs w:val="18"/>
                <w:lang w:val="hy-AM" w:eastAsia="en-US"/>
              </w:rPr>
            </w:pPr>
            <w:r w:rsidRPr="00324B27">
              <w:rPr>
                <w:b w:val="0"/>
                <w:sz w:val="18"/>
                <w:szCs w:val="18"/>
                <w:lang w:val="hy-AM" w:eastAsia="en-US"/>
              </w:rPr>
              <w:t>Արտարժութային պետական պարտատոմսեր</w:t>
            </w:r>
          </w:p>
        </w:tc>
        <w:tc>
          <w:tcPr>
            <w:tcW w:w="1607" w:type="dxa"/>
            <w:vAlign w:val="center"/>
          </w:tcPr>
          <w:p w14:paraId="12EC35DE" w14:textId="77777777" w:rsidR="000C298C" w:rsidRPr="00324B27" w:rsidRDefault="000C298C" w:rsidP="00B70363">
            <w:pPr>
              <w:jc w:val="center"/>
              <w:rPr>
                <w:b w:val="0"/>
                <w:sz w:val="18"/>
                <w:szCs w:val="18"/>
              </w:rPr>
            </w:pPr>
            <w:r w:rsidRPr="00324B27">
              <w:rPr>
                <w:b w:val="0"/>
                <w:sz w:val="18"/>
                <w:szCs w:val="18"/>
                <w:lang w:val="hy-AM"/>
              </w:rPr>
              <w:t>-</w:t>
            </w:r>
          </w:p>
        </w:tc>
        <w:tc>
          <w:tcPr>
            <w:tcW w:w="1685" w:type="dxa"/>
            <w:vAlign w:val="center"/>
          </w:tcPr>
          <w:p w14:paraId="0ADB4DCF" w14:textId="77777777" w:rsidR="000C298C" w:rsidRPr="00324B27" w:rsidRDefault="000C298C" w:rsidP="00B70363">
            <w:pPr>
              <w:jc w:val="center"/>
              <w:rPr>
                <w:b w:val="0"/>
                <w:sz w:val="18"/>
                <w:szCs w:val="18"/>
              </w:rPr>
            </w:pPr>
            <w:r w:rsidRPr="00324B27">
              <w:rPr>
                <w:b w:val="0"/>
                <w:sz w:val="18"/>
                <w:szCs w:val="18"/>
                <w:lang w:val="hy-AM"/>
              </w:rPr>
              <w:t>29.2</w:t>
            </w:r>
          </w:p>
        </w:tc>
        <w:tc>
          <w:tcPr>
            <w:tcW w:w="1642" w:type="dxa"/>
            <w:vAlign w:val="center"/>
          </w:tcPr>
          <w:p w14:paraId="1A44AE9B" w14:textId="77777777" w:rsidR="000C298C" w:rsidRPr="00324B27" w:rsidRDefault="000C298C" w:rsidP="00B70363">
            <w:pPr>
              <w:jc w:val="center"/>
              <w:rPr>
                <w:b w:val="0"/>
                <w:sz w:val="18"/>
                <w:szCs w:val="18"/>
              </w:rPr>
            </w:pPr>
            <w:r w:rsidRPr="00324B27">
              <w:rPr>
                <w:b w:val="0"/>
                <w:sz w:val="18"/>
                <w:szCs w:val="18"/>
                <w:lang w:val="hy-AM"/>
              </w:rPr>
              <w:t>29.2</w:t>
            </w:r>
          </w:p>
        </w:tc>
      </w:tr>
      <w:tr w:rsidR="000C298C" w:rsidRPr="00730EE1" w14:paraId="6FB995B2" w14:textId="77777777" w:rsidTr="00B70363">
        <w:trPr>
          <w:trHeight w:val="361"/>
        </w:trPr>
        <w:tc>
          <w:tcPr>
            <w:tcW w:w="4823" w:type="dxa"/>
            <w:tcBorders>
              <w:bottom w:val="single" w:sz="4" w:space="0" w:color="auto"/>
            </w:tcBorders>
          </w:tcPr>
          <w:p w14:paraId="74BCD130" w14:textId="77777777" w:rsidR="000C298C" w:rsidRPr="00324B27" w:rsidRDefault="000C298C" w:rsidP="00B70363">
            <w:pPr>
              <w:spacing w:before="0" w:line="240" w:lineRule="auto"/>
              <w:jc w:val="left"/>
              <w:rPr>
                <w:b w:val="0"/>
                <w:i/>
                <w:sz w:val="18"/>
                <w:szCs w:val="18"/>
                <w:lang w:val="hy-AM" w:eastAsia="en-US"/>
              </w:rPr>
            </w:pPr>
            <w:r w:rsidRPr="00324B27">
              <w:rPr>
                <w:b w:val="0"/>
                <w:sz w:val="18"/>
                <w:szCs w:val="18"/>
                <w:lang w:val="hy-AM" w:eastAsia="en-US"/>
              </w:rPr>
              <w:t>Արտաքին վարկեր</w:t>
            </w:r>
          </w:p>
        </w:tc>
        <w:tc>
          <w:tcPr>
            <w:tcW w:w="1607" w:type="dxa"/>
            <w:tcBorders>
              <w:bottom w:val="single" w:sz="4" w:space="0" w:color="auto"/>
            </w:tcBorders>
            <w:vAlign w:val="center"/>
          </w:tcPr>
          <w:p w14:paraId="0AB203AB" w14:textId="77777777" w:rsidR="000C298C" w:rsidRPr="00324B27" w:rsidRDefault="000C298C" w:rsidP="00B70363">
            <w:pPr>
              <w:jc w:val="center"/>
              <w:rPr>
                <w:b w:val="0"/>
                <w:sz w:val="18"/>
                <w:szCs w:val="18"/>
              </w:rPr>
            </w:pPr>
            <w:r w:rsidRPr="00324B27">
              <w:rPr>
                <w:b w:val="0"/>
                <w:sz w:val="18"/>
                <w:szCs w:val="18"/>
              </w:rPr>
              <w:t>175.1</w:t>
            </w:r>
          </w:p>
        </w:tc>
        <w:tc>
          <w:tcPr>
            <w:tcW w:w="1685" w:type="dxa"/>
            <w:tcBorders>
              <w:bottom w:val="single" w:sz="4" w:space="0" w:color="auto"/>
            </w:tcBorders>
            <w:vAlign w:val="center"/>
          </w:tcPr>
          <w:p w14:paraId="6A4379E1" w14:textId="77777777" w:rsidR="000C298C" w:rsidRPr="00324B27" w:rsidRDefault="000C298C" w:rsidP="00B70363">
            <w:pPr>
              <w:jc w:val="center"/>
              <w:rPr>
                <w:b w:val="0"/>
                <w:sz w:val="18"/>
                <w:szCs w:val="18"/>
              </w:rPr>
            </w:pPr>
            <w:r w:rsidRPr="00324B27">
              <w:rPr>
                <w:b w:val="0"/>
                <w:sz w:val="18"/>
                <w:szCs w:val="18"/>
                <w:lang w:val="hy-AM"/>
              </w:rPr>
              <w:t>84.0</w:t>
            </w:r>
          </w:p>
        </w:tc>
        <w:tc>
          <w:tcPr>
            <w:tcW w:w="1642" w:type="dxa"/>
            <w:tcBorders>
              <w:bottom w:val="single" w:sz="4" w:space="0" w:color="auto"/>
            </w:tcBorders>
            <w:vAlign w:val="center"/>
          </w:tcPr>
          <w:p w14:paraId="39A7A6DF" w14:textId="77777777" w:rsidR="000C298C" w:rsidRPr="00324B27" w:rsidRDefault="000C298C" w:rsidP="00B70363">
            <w:pPr>
              <w:jc w:val="center"/>
              <w:rPr>
                <w:b w:val="0"/>
                <w:sz w:val="18"/>
                <w:szCs w:val="18"/>
              </w:rPr>
            </w:pPr>
            <w:r w:rsidRPr="00324B27">
              <w:rPr>
                <w:b w:val="0"/>
                <w:sz w:val="18"/>
                <w:szCs w:val="18"/>
                <w:lang w:val="hy-AM"/>
              </w:rPr>
              <w:t>259.1</w:t>
            </w:r>
          </w:p>
        </w:tc>
      </w:tr>
      <w:tr w:rsidR="000C298C" w:rsidRPr="00730EE1" w14:paraId="7D5AEF44" w14:textId="77777777" w:rsidTr="00B70363">
        <w:trPr>
          <w:trHeight w:val="361"/>
        </w:trPr>
        <w:tc>
          <w:tcPr>
            <w:tcW w:w="4823" w:type="dxa"/>
            <w:tcBorders>
              <w:top w:val="single" w:sz="4" w:space="0" w:color="auto"/>
            </w:tcBorders>
          </w:tcPr>
          <w:p w14:paraId="3DB0C1F4" w14:textId="77777777" w:rsidR="000C298C" w:rsidRPr="00324B27" w:rsidRDefault="000C298C" w:rsidP="00B70363">
            <w:pPr>
              <w:spacing w:before="0" w:line="240" w:lineRule="auto"/>
              <w:jc w:val="center"/>
              <w:rPr>
                <w:b w:val="0"/>
                <w:sz w:val="18"/>
                <w:szCs w:val="18"/>
                <w:lang w:val="hy-AM" w:eastAsia="en-US"/>
              </w:rPr>
            </w:pPr>
            <w:r w:rsidRPr="00324B27">
              <w:rPr>
                <w:b w:val="0"/>
                <w:sz w:val="18"/>
                <w:szCs w:val="18"/>
                <w:lang w:val="hy-AM" w:eastAsia="en-US"/>
              </w:rPr>
              <w:t>Ընդամենը</w:t>
            </w:r>
          </w:p>
        </w:tc>
        <w:tc>
          <w:tcPr>
            <w:tcW w:w="1607" w:type="dxa"/>
            <w:tcBorders>
              <w:top w:val="single" w:sz="4" w:space="0" w:color="auto"/>
            </w:tcBorders>
            <w:vAlign w:val="center"/>
          </w:tcPr>
          <w:p w14:paraId="410D83E2" w14:textId="77777777" w:rsidR="000C298C" w:rsidRPr="00324B27" w:rsidRDefault="000C298C" w:rsidP="00B70363">
            <w:pPr>
              <w:jc w:val="center"/>
              <w:rPr>
                <w:b w:val="0"/>
                <w:bCs/>
                <w:sz w:val="18"/>
                <w:szCs w:val="18"/>
              </w:rPr>
            </w:pPr>
            <w:r w:rsidRPr="00324B27">
              <w:rPr>
                <w:b w:val="0"/>
                <w:bCs/>
                <w:sz w:val="18"/>
                <w:szCs w:val="18"/>
                <w:lang w:val="hy-AM"/>
              </w:rPr>
              <w:t>480.2</w:t>
            </w:r>
          </w:p>
        </w:tc>
        <w:tc>
          <w:tcPr>
            <w:tcW w:w="1685" w:type="dxa"/>
            <w:tcBorders>
              <w:top w:val="single" w:sz="4" w:space="0" w:color="auto"/>
            </w:tcBorders>
            <w:vAlign w:val="center"/>
          </w:tcPr>
          <w:p w14:paraId="3E895190" w14:textId="77777777" w:rsidR="000C298C" w:rsidRPr="00324B27" w:rsidRDefault="000C298C" w:rsidP="00B70363">
            <w:pPr>
              <w:jc w:val="center"/>
              <w:rPr>
                <w:b w:val="0"/>
                <w:bCs/>
                <w:sz w:val="18"/>
                <w:szCs w:val="18"/>
              </w:rPr>
            </w:pPr>
            <w:r w:rsidRPr="00324B27">
              <w:rPr>
                <w:b w:val="0"/>
                <w:bCs/>
                <w:sz w:val="18"/>
                <w:szCs w:val="18"/>
                <w:lang w:val="hy-AM"/>
              </w:rPr>
              <w:t>323.2</w:t>
            </w:r>
          </w:p>
        </w:tc>
        <w:tc>
          <w:tcPr>
            <w:tcW w:w="1642" w:type="dxa"/>
            <w:tcBorders>
              <w:top w:val="single" w:sz="4" w:space="0" w:color="auto"/>
            </w:tcBorders>
            <w:vAlign w:val="center"/>
          </w:tcPr>
          <w:p w14:paraId="350AE0B2" w14:textId="77777777" w:rsidR="000C298C" w:rsidRPr="00324B27" w:rsidRDefault="000C298C" w:rsidP="00B70363">
            <w:pPr>
              <w:jc w:val="center"/>
              <w:rPr>
                <w:b w:val="0"/>
                <w:bCs/>
                <w:sz w:val="18"/>
                <w:szCs w:val="18"/>
              </w:rPr>
            </w:pPr>
            <w:r w:rsidRPr="00324B27">
              <w:rPr>
                <w:b w:val="0"/>
                <w:bCs/>
                <w:sz w:val="18"/>
                <w:szCs w:val="18"/>
                <w:lang w:val="hy-AM"/>
              </w:rPr>
              <w:t>803.3</w:t>
            </w:r>
          </w:p>
        </w:tc>
      </w:tr>
    </w:tbl>
    <w:p w14:paraId="43CE2A71" w14:textId="75D088FE" w:rsidR="000C298C" w:rsidRPr="00463647" w:rsidRDefault="00463647" w:rsidP="00463647">
      <w:pPr>
        <w:shd w:val="clear" w:color="auto" w:fill="FFFFFF"/>
        <w:spacing w:before="0" w:after="200" w:line="360" w:lineRule="auto"/>
        <w:rPr>
          <w:rFonts w:cs="Sylfaen"/>
          <w:b w:val="0"/>
          <w:bCs/>
          <w:lang w:val="hy-AM"/>
        </w:rPr>
      </w:pPr>
      <w:bookmarkStart w:id="346" w:name="_Toc152324833"/>
      <w:r w:rsidRPr="00463647">
        <w:rPr>
          <w:rFonts w:cs="Sylfaen"/>
          <w:lang w:val="hy-AM"/>
        </w:rPr>
        <w:t xml:space="preserve">Գծապատկեր </w:t>
      </w:r>
      <w:r w:rsidRPr="00463647">
        <w:rPr>
          <w:rFonts w:cs="Sylfaen"/>
          <w:lang w:val="hy-AM"/>
        </w:rPr>
        <w:fldChar w:fldCharType="begin"/>
      </w:r>
      <w:r w:rsidRPr="00463647">
        <w:rPr>
          <w:rFonts w:cs="Sylfaen"/>
          <w:lang w:val="hy-AM"/>
        </w:rPr>
        <w:instrText xml:space="preserve"> SEQ Գծապատկեր \* ARABIC </w:instrText>
      </w:r>
      <w:r w:rsidRPr="00463647">
        <w:rPr>
          <w:rFonts w:cs="Sylfaen"/>
          <w:lang w:val="hy-AM"/>
        </w:rPr>
        <w:fldChar w:fldCharType="separate"/>
      </w:r>
      <w:r w:rsidR="00DB4E68">
        <w:rPr>
          <w:rFonts w:cs="Sylfaen"/>
          <w:noProof/>
          <w:lang w:val="hy-AM"/>
        </w:rPr>
        <w:t>12</w:t>
      </w:r>
      <w:r w:rsidRPr="00463647">
        <w:rPr>
          <w:rFonts w:cs="Sylfaen"/>
          <w:lang w:val="hy-AM"/>
        </w:rPr>
        <w:fldChar w:fldCharType="end"/>
      </w:r>
      <w:r w:rsidR="000C298C" w:rsidRPr="00463647">
        <w:rPr>
          <w:rFonts w:cs="Sylfaen"/>
          <w:lang w:val="hy-AM"/>
        </w:rPr>
        <w:t>.</w:t>
      </w:r>
      <w:r w:rsidR="000C298C" w:rsidRPr="00463647">
        <w:rPr>
          <w:rFonts w:cs="Sylfaen"/>
          <w:b w:val="0"/>
          <w:bCs/>
          <w:lang w:val="hy-AM"/>
        </w:rPr>
        <w:t xml:space="preserve"> Սպասարկման ծախսերի կառուցվածքը (%)</w:t>
      </w:r>
      <w:bookmarkEnd w:id="346"/>
    </w:p>
    <w:p w14:paraId="573F0BB7" w14:textId="77777777" w:rsidR="000C298C" w:rsidRPr="00864B6B" w:rsidRDefault="000C298C" w:rsidP="000C298C">
      <w:pPr>
        <w:shd w:val="clear" w:color="auto" w:fill="FFFFFF"/>
        <w:spacing w:before="0" w:after="200" w:line="360" w:lineRule="auto"/>
        <w:jc w:val="center"/>
        <w:rPr>
          <w:rFonts w:eastAsia="Calibri"/>
          <w:b w:val="0"/>
          <w:szCs w:val="22"/>
          <w:lang w:val="hy-AM" w:eastAsia="en-US"/>
        </w:rPr>
      </w:pPr>
      <w:r>
        <w:rPr>
          <w:noProof/>
          <w:lang w:val="en-US" w:eastAsia="en-US"/>
        </w:rPr>
        <w:drawing>
          <wp:inline distT="0" distB="0" distL="0" distR="0" wp14:anchorId="6BCFC356" wp14:editId="1C85A2B2">
            <wp:extent cx="4572000" cy="2576793"/>
            <wp:effectExtent l="114300" t="95250" r="114300" b="90805"/>
            <wp:docPr id="16120839" name="Chart 161208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8B13D14" w14:textId="77777777" w:rsidR="000C298C" w:rsidRPr="00864B6B" w:rsidRDefault="000C298C" w:rsidP="000C298C">
      <w:pPr>
        <w:shd w:val="clear" w:color="auto" w:fill="FFFFFF"/>
        <w:rPr>
          <w:rFonts w:eastAsia="Calibri"/>
          <w:b w:val="0"/>
          <w:szCs w:val="22"/>
          <w:lang w:val="hy-AM" w:eastAsia="en-US"/>
        </w:rPr>
      </w:pPr>
      <w:r w:rsidRPr="00864B6B">
        <w:rPr>
          <w:rFonts w:eastAsia="Calibri"/>
          <w:b w:val="0"/>
          <w:szCs w:val="22"/>
          <w:lang w:val="hy-AM" w:eastAsia="en-US"/>
        </w:rPr>
        <w:lastRenderedPageBreak/>
        <w:t xml:space="preserve">ՀՀ կառավարության արտարժութային պարտքի սպասարկման և մարման համար նախատեսված միջոցները փոխարկվել են ՀՀ դրամի հիմք ընդունելով 2023թ. </w:t>
      </w:r>
      <w:r>
        <w:rPr>
          <w:rFonts w:eastAsia="Calibri"/>
          <w:b w:val="0"/>
          <w:szCs w:val="22"/>
          <w:lang w:val="hy-AM" w:eastAsia="en-US"/>
        </w:rPr>
        <w:t>նոյ</w:t>
      </w:r>
      <w:r w:rsidRPr="00864B6B">
        <w:rPr>
          <w:rFonts w:eastAsia="Calibri"/>
          <w:b w:val="0"/>
          <w:szCs w:val="22"/>
          <w:lang w:val="hy-AM" w:eastAsia="en-US"/>
        </w:rPr>
        <w:t>եմբերի 1-ի դրությամբ արժութային շուկայում ձևավորված միջին փոխարժեքները (կիրառելով համապատասխան ճշգրտման գործակից, քանի որ փաստացի վճարումները կատարվելու են գործարքի օրվա դրությամբ ՀՀ կենտրոնական բանկի կողմից սահմանված վաճառքի փոխարժեքներով) և այն ենթադրությամբ, որ SOFR դրույքաչափը 2024 թվականին միջին հաշվով կկազմի 6.0%, 6-ամսյա EURIBOR-ը` 4.5%, իսկ SDR-ի տոկոսադրույքը՝ 6.0%:</w:t>
      </w:r>
    </w:p>
    <w:p w14:paraId="3280FAB0" w14:textId="77777777" w:rsidR="000C298C" w:rsidRPr="00864B6B" w:rsidRDefault="000C298C" w:rsidP="000C298C">
      <w:pPr>
        <w:shd w:val="clear" w:color="auto" w:fill="FFFFFF"/>
        <w:rPr>
          <w:rFonts w:eastAsia="Calibri"/>
          <w:b w:val="0"/>
          <w:szCs w:val="22"/>
          <w:lang w:val="hy-AM" w:eastAsia="en-US"/>
        </w:rPr>
      </w:pPr>
      <w:r w:rsidRPr="00864B6B">
        <w:rPr>
          <w:rFonts w:eastAsia="Calibri"/>
          <w:b w:val="0"/>
          <w:szCs w:val="22"/>
          <w:lang w:val="hy-AM" w:eastAsia="en-US"/>
        </w:rPr>
        <w:t>Պետական գանձապետական պարտատոմսերի մարման համար նախատեսված 305.1 մլրդ դրամի մեջ 30 մլրդ դրամը կազմում է պարտատոմսերի հետգնումների համար ծրագրավորված գումարը:</w:t>
      </w:r>
    </w:p>
    <w:p w14:paraId="191E0449" w14:textId="77777777" w:rsidR="000C298C" w:rsidRDefault="000C298C" w:rsidP="000C298C">
      <w:pPr>
        <w:rPr>
          <w:rFonts w:eastAsia="Calibri"/>
          <w:b w:val="0"/>
          <w:bCs/>
          <w:szCs w:val="22"/>
          <w:lang w:val="hy-AM" w:eastAsia="en-US"/>
        </w:rPr>
      </w:pPr>
      <w:r w:rsidRPr="00864B6B">
        <w:rPr>
          <w:rFonts w:eastAsia="Calibri"/>
          <w:b w:val="0"/>
          <w:bCs/>
          <w:szCs w:val="22"/>
          <w:lang w:val="hy-AM" w:eastAsia="en-US"/>
        </w:rPr>
        <w:t>Արտաքին վարկերի մարման և սպասարկման գծով նախատեսվում է վճարել 2</w:t>
      </w:r>
      <w:r>
        <w:rPr>
          <w:rFonts w:eastAsia="Calibri"/>
          <w:b w:val="0"/>
          <w:bCs/>
          <w:szCs w:val="22"/>
          <w:lang w:val="hy-AM" w:eastAsia="en-US"/>
        </w:rPr>
        <w:t>59.0</w:t>
      </w:r>
      <w:r w:rsidRPr="00864B6B">
        <w:rPr>
          <w:rFonts w:eastAsia="Calibri"/>
          <w:b w:val="0"/>
          <w:bCs/>
          <w:szCs w:val="22"/>
          <w:lang w:val="hy-AM" w:eastAsia="en-US"/>
        </w:rPr>
        <w:t xml:space="preserve"> մլրդ դրամ (6</w:t>
      </w:r>
      <w:r>
        <w:rPr>
          <w:rFonts w:eastAsia="Calibri"/>
          <w:b w:val="0"/>
          <w:bCs/>
          <w:szCs w:val="22"/>
          <w:lang w:val="hy-AM" w:eastAsia="en-US"/>
        </w:rPr>
        <w:t>43.7</w:t>
      </w:r>
      <w:r w:rsidRPr="00864B6B">
        <w:rPr>
          <w:rFonts w:eastAsia="Calibri"/>
          <w:b w:val="0"/>
          <w:bCs/>
          <w:szCs w:val="22"/>
          <w:lang w:val="hy-AM" w:eastAsia="en-US"/>
        </w:rPr>
        <w:t xml:space="preserve"> մլն ԱՄՆ դոլար): Նախատեսվող վճարումների կառուցվածքն ըստ վարկատուների հետևյալն է.</w:t>
      </w:r>
    </w:p>
    <w:p w14:paraId="2F972FE6" w14:textId="115ADB1E" w:rsidR="000C298C" w:rsidRPr="00324B27" w:rsidRDefault="00463647" w:rsidP="00463647">
      <w:pPr>
        <w:shd w:val="clear" w:color="auto" w:fill="FFFFFF"/>
        <w:spacing w:before="0" w:after="200" w:line="360" w:lineRule="auto"/>
        <w:rPr>
          <w:rFonts w:cs="Sylfaen"/>
          <w:b w:val="0"/>
          <w:bCs/>
          <w:sz w:val="18"/>
          <w:szCs w:val="18"/>
          <w:lang w:val="hy-AM"/>
        </w:rPr>
      </w:pPr>
      <w:bookmarkStart w:id="347" w:name="_Toc152324785"/>
      <w:r w:rsidRPr="00463647">
        <w:rPr>
          <w:rFonts w:cs="Sylfaen"/>
          <w:lang w:val="hy-AM"/>
        </w:rPr>
        <w:t xml:space="preserve">Աղյուսակ </w:t>
      </w:r>
      <w:r w:rsidRPr="00463647">
        <w:rPr>
          <w:rFonts w:cs="Sylfaen"/>
          <w:lang w:val="hy-AM"/>
        </w:rPr>
        <w:fldChar w:fldCharType="begin"/>
      </w:r>
      <w:r w:rsidRPr="00463647">
        <w:rPr>
          <w:rFonts w:cs="Sylfaen"/>
          <w:lang w:val="hy-AM"/>
        </w:rPr>
        <w:instrText xml:space="preserve"> SEQ Աղյուսակ \* ARABIC </w:instrText>
      </w:r>
      <w:r w:rsidRPr="00463647">
        <w:rPr>
          <w:rFonts w:cs="Sylfaen"/>
          <w:lang w:val="hy-AM"/>
        </w:rPr>
        <w:fldChar w:fldCharType="separate"/>
      </w:r>
      <w:r w:rsidR="00DB4E68">
        <w:rPr>
          <w:rFonts w:cs="Sylfaen"/>
          <w:noProof/>
          <w:lang w:val="hy-AM"/>
        </w:rPr>
        <w:t>23</w:t>
      </w:r>
      <w:r w:rsidRPr="00463647">
        <w:rPr>
          <w:rFonts w:cs="Sylfaen"/>
          <w:lang w:val="hy-AM"/>
        </w:rPr>
        <w:fldChar w:fldCharType="end"/>
      </w:r>
      <w:r w:rsidR="000C298C" w:rsidRPr="00463647">
        <w:rPr>
          <w:rFonts w:cs="Sylfaen"/>
          <w:lang w:val="hy-AM"/>
        </w:rPr>
        <w:t>.</w:t>
      </w:r>
      <w:r w:rsidR="000C298C" w:rsidRPr="00463647">
        <w:rPr>
          <w:rFonts w:cs="Sylfaen"/>
          <w:b w:val="0"/>
          <w:bCs/>
          <w:lang w:val="hy-AM"/>
        </w:rPr>
        <w:t xml:space="preserve"> Արտաքին վարկերի մարման և սպասարկման գծով նախատեսվող վճարումների </w:t>
      </w:r>
      <w:r w:rsidR="000C298C" w:rsidRPr="00324B27">
        <w:rPr>
          <w:rFonts w:cs="Sylfaen"/>
          <w:b w:val="0"/>
          <w:bCs/>
          <w:sz w:val="18"/>
          <w:szCs w:val="18"/>
          <w:lang w:val="hy-AM"/>
        </w:rPr>
        <w:t>կառուցվածքն ըստ վարկատուների (մլն ԱՄՆ դոլար)</w:t>
      </w:r>
      <w:bookmarkEnd w:id="347"/>
    </w:p>
    <w:tbl>
      <w:tblPr>
        <w:tblW w:w="9369" w:type="dxa"/>
        <w:tblInd w:w="108" w:type="dxa"/>
        <w:tblBorders>
          <w:bottom w:val="single" w:sz="4" w:space="0" w:color="auto"/>
        </w:tblBorders>
        <w:tblLook w:val="04A0" w:firstRow="1" w:lastRow="0" w:firstColumn="1" w:lastColumn="0" w:noHBand="0" w:noVBand="1"/>
      </w:tblPr>
      <w:tblGrid>
        <w:gridCol w:w="5988"/>
        <w:gridCol w:w="1362"/>
        <w:gridCol w:w="732"/>
        <w:gridCol w:w="1287"/>
      </w:tblGrid>
      <w:tr w:rsidR="000C298C" w:rsidRPr="00324B27" w14:paraId="279BCF3C" w14:textId="77777777" w:rsidTr="00E54C03">
        <w:trPr>
          <w:trHeight w:val="310"/>
          <w:tblHeader/>
        </w:trPr>
        <w:tc>
          <w:tcPr>
            <w:tcW w:w="5988" w:type="dxa"/>
            <w:tcBorders>
              <w:bottom w:val="single" w:sz="4" w:space="0" w:color="auto"/>
            </w:tcBorders>
            <w:shd w:val="clear" w:color="auto" w:fill="auto"/>
            <w:noWrap/>
            <w:hideMark/>
          </w:tcPr>
          <w:p w14:paraId="56155A0D" w14:textId="77777777" w:rsidR="000C298C" w:rsidRPr="00324B27" w:rsidRDefault="000C298C" w:rsidP="00E54C03">
            <w:pPr>
              <w:spacing w:before="0" w:line="240" w:lineRule="auto"/>
              <w:ind w:left="-390"/>
              <w:jc w:val="center"/>
              <w:rPr>
                <w:b w:val="0"/>
                <w:color w:val="000000"/>
                <w:sz w:val="18"/>
                <w:szCs w:val="18"/>
                <w:lang w:val="hy-AM" w:eastAsia="en-US"/>
              </w:rPr>
            </w:pPr>
          </w:p>
        </w:tc>
        <w:tc>
          <w:tcPr>
            <w:tcW w:w="1362" w:type="dxa"/>
            <w:tcBorders>
              <w:bottom w:val="single" w:sz="4" w:space="0" w:color="auto"/>
            </w:tcBorders>
            <w:shd w:val="clear" w:color="auto" w:fill="auto"/>
            <w:noWrap/>
            <w:hideMark/>
          </w:tcPr>
          <w:p w14:paraId="0C2C9A37" w14:textId="77777777" w:rsidR="000C298C" w:rsidRPr="00324B27" w:rsidRDefault="000C298C" w:rsidP="00E54C03">
            <w:pPr>
              <w:spacing w:before="0" w:line="240" w:lineRule="auto"/>
              <w:ind w:left="-390"/>
              <w:jc w:val="center"/>
              <w:rPr>
                <w:b w:val="0"/>
                <w:color w:val="000000"/>
                <w:sz w:val="18"/>
                <w:szCs w:val="18"/>
                <w:lang w:val="hy-AM" w:eastAsia="en-US"/>
              </w:rPr>
            </w:pPr>
            <w:r w:rsidRPr="00324B27">
              <w:rPr>
                <w:b w:val="0"/>
                <w:color w:val="000000"/>
                <w:sz w:val="18"/>
                <w:szCs w:val="18"/>
                <w:lang w:val="hy-AM" w:eastAsia="en-US"/>
              </w:rPr>
              <w:t>տոկոսավճար</w:t>
            </w:r>
          </w:p>
        </w:tc>
        <w:tc>
          <w:tcPr>
            <w:tcW w:w="732" w:type="dxa"/>
            <w:tcBorders>
              <w:bottom w:val="single" w:sz="4" w:space="0" w:color="auto"/>
            </w:tcBorders>
            <w:shd w:val="clear" w:color="auto" w:fill="auto"/>
            <w:noWrap/>
            <w:hideMark/>
          </w:tcPr>
          <w:p w14:paraId="2624DC44" w14:textId="77777777" w:rsidR="000C298C" w:rsidRPr="00324B27" w:rsidRDefault="000C298C" w:rsidP="00E54C03">
            <w:pPr>
              <w:spacing w:before="0" w:line="240" w:lineRule="auto"/>
              <w:ind w:left="-390"/>
              <w:jc w:val="center"/>
              <w:rPr>
                <w:b w:val="0"/>
                <w:color w:val="000000"/>
                <w:sz w:val="18"/>
                <w:szCs w:val="18"/>
                <w:lang w:val="hy-AM" w:eastAsia="en-US"/>
              </w:rPr>
            </w:pPr>
            <w:r w:rsidRPr="00324B27">
              <w:rPr>
                <w:b w:val="0"/>
                <w:color w:val="000000"/>
                <w:sz w:val="18"/>
                <w:szCs w:val="18"/>
                <w:lang w:val="hy-AM" w:eastAsia="en-US"/>
              </w:rPr>
              <w:t>մարում</w:t>
            </w:r>
          </w:p>
        </w:tc>
        <w:tc>
          <w:tcPr>
            <w:tcW w:w="1287" w:type="dxa"/>
            <w:tcBorders>
              <w:bottom w:val="single" w:sz="4" w:space="0" w:color="auto"/>
            </w:tcBorders>
            <w:shd w:val="clear" w:color="auto" w:fill="auto"/>
            <w:noWrap/>
            <w:hideMark/>
          </w:tcPr>
          <w:p w14:paraId="6F22DD97" w14:textId="77777777" w:rsidR="000C298C" w:rsidRPr="00324B27" w:rsidRDefault="000C298C" w:rsidP="00E54C03">
            <w:pPr>
              <w:spacing w:before="0" w:line="240" w:lineRule="auto"/>
              <w:ind w:left="-390"/>
              <w:jc w:val="center"/>
              <w:rPr>
                <w:b w:val="0"/>
                <w:color w:val="000000"/>
                <w:sz w:val="18"/>
                <w:szCs w:val="18"/>
                <w:lang w:val="hy-AM" w:eastAsia="en-US"/>
              </w:rPr>
            </w:pPr>
            <w:r w:rsidRPr="00324B27">
              <w:rPr>
                <w:b w:val="0"/>
                <w:color w:val="000000"/>
                <w:sz w:val="18"/>
                <w:szCs w:val="18"/>
                <w:lang w:val="hy-AM" w:eastAsia="en-US"/>
              </w:rPr>
              <w:t>ընդամենը</w:t>
            </w:r>
          </w:p>
        </w:tc>
      </w:tr>
      <w:tr w:rsidR="000C298C" w:rsidRPr="00324B27" w14:paraId="3567EFC1" w14:textId="77777777" w:rsidTr="00E54C03">
        <w:trPr>
          <w:trHeight w:val="310"/>
        </w:trPr>
        <w:tc>
          <w:tcPr>
            <w:tcW w:w="5988" w:type="dxa"/>
            <w:tcBorders>
              <w:top w:val="single" w:sz="4" w:space="0" w:color="auto"/>
            </w:tcBorders>
            <w:shd w:val="clear" w:color="auto" w:fill="auto"/>
            <w:vAlign w:val="bottom"/>
          </w:tcPr>
          <w:p w14:paraId="1F6A017F" w14:textId="77777777" w:rsidR="000C298C" w:rsidRPr="00324B27" w:rsidRDefault="000C298C" w:rsidP="00324B27">
            <w:pPr>
              <w:spacing w:before="0" w:line="240" w:lineRule="auto"/>
              <w:ind w:left="-30"/>
              <w:rPr>
                <w:b w:val="0"/>
                <w:color w:val="000000"/>
                <w:sz w:val="18"/>
                <w:szCs w:val="18"/>
                <w:lang w:val="hy-AM" w:eastAsia="en-US"/>
              </w:rPr>
            </w:pPr>
            <w:r w:rsidRPr="00324B27">
              <w:rPr>
                <w:b w:val="0"/>
                <w:color w:val="000000"/>
                <w:sz w:val="18"/>
                <w:szCs w:val="18"/>
                <w:lang w:val="hy-AM"/>
              </w:rPr>
              <w:t xml:space="preserve">     Վերակառուցման և Զարգացման Միջազգային Բանկ</w:t>
            </w:r>
          </w:p>
        </w:tc>
        <w:tc>
          <w:tcPr>
            <w:tcW w:w="1362" w:type="dxa"/>
            <w:tcBorders>
              <w:top w:val="single" w:sz="4" w:space="0" w:color="auto"/>
            </w:tcBorders>
            <w:shd w:val="clear" w:color="auto" w:fill="auto"/>
            <w:noWrap/>
            <w:vAlign w:val="bottom"/>
          </w:tcPr>
          <w:p w14:paraId="40C830AA" w14:textId="77777777" w:rsidR="000C298C" w:rsidRPr="00324B27" w:rsidRDefault="000C298C" w:rsidP="00E54C03">
            <w:pPr>
              <w:ind w:left="-390"/>
              <w:jc w:val="center"/>
              <w:rPr>
                <w:b w:val="0"/>
                <w:sz w:val="18"/>
                <w:szCs w:val="18"/>
                <w:lang w:val="en-US" w:eastAsia="en-US"/>
              </w:rPr>
            </w:pPr>
            <w:r w:rsidRPr="00324B27">
              <w:rPr>
                <w:b w:val="0"/>
                <w:sz w:val="18"/>
                <w:szCs w:val="18"/>
              </w:rPr>
              <w:t>67.0</w:t>
            </w:r>
          </w:p>
        </w:tc>
        <w:tc>
          <w:tcPr>
            <w:tcW w:w="732" w:type="dxa"/>
            <w:tcBorders>
              <w:top w:val="single" w:sz="4" w:space="0" w:color="auto"/>
            </w:tcBorders>
            <w:shd w:val="clear" w:color="auto" w:fill="auto"/>
            <w:noWrap/>
            <w:vAlign w:val="bottom"/>
          </w:tcPr>
          <w:p w14:paraId="5AFFC731" w14:textId="77777777" w:rsidR="000C298C" w:rsidRPr="00324B27" w:rsidRDefault="000C298C" w:rsidP="00E54C03">
            <w:pPr>
              <w:ind w:left="-390"/>
              <w:jc w:val="center"/>
              <w:rPr>
                <w:b w:val="0"/>
                <w:sz w:val="18"/>
                <w:szCs w:val="18"/>
              </w:rPr>
            </w:pPr>
            <w:r w:rsidRPr="00324B27">
              <w:rPr>
                <w:b w:val="0"/>
                <w:sz w:val="18"/>
                <w:szCs w:val="18"/>
              </w:rPr>
              <w:t>28.2</w:t>
            </w:r>
          </w:p>
        </w:tc>
        <w:tc>
          <w:tcPr>
            <w:tcW w:w="1287" w:type="dxa"/>
            <w:tcBorders>
              <w:top w:val="single" w:sz="4" w:space="0" w:color="auto"/>
            </w:tcBorders>
            <w:shd w:val="clear" w:color="auto" w:fill="auto"/>
            <w:noWrap/>
            <w:vAlign w:val="bottom"/>
          </w:tcPr>
          <w:p w14:paraId="2189900C" w14:textId="77777777" w:rsidR="000C298C" w:rsidRPr="00324B27" w:rsidRDefault="000C298C" w:rsidP="00E54C03">
            <w:pPr>
              <w:ind w:left="-390"/>
              <w:jc w:val="center"/>
              <w:rPr>
                <w:b w:val="0"/>
                <w:sz w:val="18"/>
                <w:szCs w:val="18"/>
              </w:rPr>
            </w:pPr>
            <w:r w:rsidRPr="00324B27">
              <w:rPr>
                <w:b w:val="0"/>
                <w:sz w:val="18"/>
                <w:szCs w:val="18"/>
              </w:rPr>
              <w:t>95.2</w:t>
            </w:r>
          </w:p>
        </w:tc>
      </w:tr>
      <w:tr w:rsidR="000C298C" w:rsidRPr="00324B27" w14:paraId="0CFE4629" w14:textId="77777777" w:rsidTr="00E54C03">
        <w:trPr>
          <w:trHeight w:val="310"/>
        </w:trPr>
        <w:tc>
          <w:tcPr>
            <w:tcW w:w="5988" w:type="dxa"/>
            <w:shd w:val="clear" w:color="auto" w:fill="auto"/>
            <w:vAlign w:val="bottom"/>
            <w:hideMark/>
          </w:tcPr>
          <w:p w14:paraId="6F659F52"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Զարգացման Միջազգային Ընկերակցություն</w:t>
            </w:r>
          </w:p>
        </w:tc>
        <w:tc>
          <w:tcPr>
            <w:tcW w:w="1362" w:type="dxa"/>
            <w:shd w:val="clear" w:color="auto" w:fill="auto"/>
            <w:noWrap/>
            <w:vAlign w:val="bottom"/>
          </w:tcPr>
          <w:p w14:paraId="289DEF52" w14:textId="77777777" w:rsidR="000C298C" w:rsidRPr="00324B27" w:rsidRDefault="000C298C" w:rsidP="00E54C03">
            <w:pPr>
              <w:ind w:left="-390"/>
              <w:jc w:val="center"/>
              <w:rPr>
                <w:b w:val="0"/>
                <w:sz w:val="18"/>
                <w:szCs w:val="18"/>
              </w:rPr>
            </w:pPr>
            <w:r w:rsidRPr="00324B27">
              <w:rPr>
                <w:b w:val="0"/>
                <w:sz w:val="18"/>
                <w:szCs w:val="18"/>
              </w:rPr>
              <w:t>18.1</w:t>
            </w:r>
          </w:p>
        </w:tc>
        <w:tc>
          <w:tcPr>
            <w:tcW w:w="732" w:type="dxa"/>
            <w:shd w:val="clear" w:color="auto" w:fill="auto"/>
            <w:noWrap/>
            <w:vAlign w:val="bottom"/>
          </w:tcPr>
          <w:p w14:paraId="4DF2F13C" w14:textId="77777777" w:rsidR="000C298C" w:rsidRPr="00324B27" w:rsidRDefault="000C298C" w:rsidP="00E54C03">
            <w:pPr>
              <w:ind w:left="-390"/>
              <w:jc w:val="center"/>
              <w:rPr>
                <w:b w:val="0"/>
                <w:sz w:val="18"/>
                <w:szCs w:val="18"/>
              </w:rPr>
            </w:pPr>
            <w:r w:rsidRPr="00324B27">
              <w:rPr>
                <w:b w:val="0"/>
                <w:sz w:val="18"/>
                <w:szCs w:val="18"/>
              </w:rPr>
              <w:t>71.0</w:t>
            </w:r>
          </w:p>
        </w:tc>
        <w:tc>
          <w:tcPr>
            <w:tcW w:w="1287" w:type="dxa"/>
            <w:shd w:val="clear" w:color="auto" w:fill="auto"/>
            <w:noWrap/>
            <w:vAlign w:val="bottom"/>
          </w:tcPr>
          <w:p w14:paraId="7C1D5978" w14:textId="77777777" w:rsidR="000C298C" w:rsidRPr="00324B27" w:rsidRDefault="000C298C" w:rsidP="00E54C03">
            <w:pPr>
              <w:ind w:left="-390"/>
              <w:jc w:val="center"/>
              <w:rPr>
                <w:b w:val="0"/>
                <w:sz w:val="18"/>
                <w:szCs w:val="18"/>
              </w:rPr>
            </w:pPr>
            <w:r w:rsidRPr="00324B27">
              <w:rPr>
                <w:b w:val="0"/>
                <w:sz w:val="18"/>
                <w:szCs w:val="18"/>
              </w:rPr>
              <w:t>89.1</w:t>
            </w:r>
          </w:p>
        </w:tc>
      </w:tr>
      <w:tr w:rsidR="000C298C" w:rsidRPr="00324B27" w14:paraId="3CB24C85" w14:textId="77777777" w:rsidTr="00E54C03">
        <w:trPr>
          <w:trHeight w:val="310"/>
        </w:trPr>
        <w:tc>
          <w:tcPr>
            <w:tcW w:w="5988" w:type="dxa"/>
            <w:shd w:val="clear" w:color="auto" w:fill="auto"/>
            <w:vAlign w:val="bottom"/>
            <w:hideMark/>
          </w:tcPr>
          <w:p w14:paraId="11D64639" w14:textId="77777777" w:rsidR="000C298C" w:rsidRPr="00324B27" w:rsidRDefault="000C298C" w:rsidP="00324B27">
            <w:pPr>
              <w:spacing w:line="360" w:lineRule="auto"/>
              <w:ind w:left="-30" w:firstLine="165"/>
              <w:contextualSpacing/>
              <w:jc w:val="left"/>
              <w:rPr>
                <w:b w:val="0"/>
                <w:color w:val="000000"/>
                <w:sz w:val="18"/>
                <w:szCs w:val="18"/>
                <w:lang w:val="hy-AM"/>
              </w:rPr>
            </w:pPr>
            <w:r w:rsidRPr="00324B27">
              <w:rPr>
                <w:b w:val="0"/>
                <w:color w:val="000000"/>
                <w:sz w:val="18"/>
                <w:szCs w:val="18"/>
                <w:lang w:val="hy-AM"/>
              </w:rPr>
              <w:t>Վերակառուցման և Զարգացման Եվրոպական Բանկ</w:t>
            </w:r>
          </w:p>
        </w:tc>
        <w:tc>
          <w:tcPr>
            <w:tcW w:w="1362" w:type="dxa"/>
            <w:shd w:val="clear" w:color="auto" w:fill="auto"/>
            <w:noWrap/>
            <w:vAlign w:val="bottom"/>
          </w:tcPr>
          <w:p w14:paraId="6450BC71" w14:textId="77777777" w:rsidR="000C298C" w:rsidRPr="00324B27" w:rsidRDefault="000C298C" w:rsidP="00E54C03">
            <w:pPr>
              <w:ind w:left="-390"/>
              <w:jc w:val="center"/>
              <w:rPr>
                <w:b w:val="0"/>
                <w:sz w:val="18"/>
                <w:szCs w:val="18"/>
              </w:rPr>
            </w:pPr>
            <w:r w:rsidRPr="00324B27">
              <w:rPr>
                <w:b w:val="0"/>
                <w:sz w:val="18"/>
                <w:szCs w:val="18"/>
              </w:rPr>
              <w:t>5.4</w:t>
            </w:r>
          </w:p>
        </w:tc>
        <w:tc>
          <w:tcPr>
            <w:tcW w:w="732" w:type="dxa"/>
            <w:shd w:val="clear" w:color="auto" w:fill="auto"/>
            <w:noWrap/>
            <w:vAlign w:val="bottom"/>
          </w:tcPr>
          <w:p w14:paraId="085A1CB0" w14:textId="77777777" w:rsidR="000C298C" w:rsidRPr="00324B27" w:rsidRDefault="000C298C" w:rsidP="00E54C03">
            <w:pPr>
              <w:ind w:left="-390"/>
              <w:jc w:val="center"/>
              <w:rPr>
                <w:b w:val="0"/>
                <w:sz w:val="18"/>
                <w:szCs w:val="18"/>
              </w:rPr>
            </w:pPr>
            <w:r w:rsidRPr="00324B27">
              <w:rPr>
                <w:b w:val="0"/>
                <w:sz w:val="18"/>
                <w:szCs w:val="18"/>
              </w:rPr>
              <w:t>4.8</w:t>
            </w:r>
          </w:p>
        </w:tc>
        <w:tc>
          <w:tcPr>
            <w:tcW w:w="1287" w:type="dxa"/>
            <w:shd w:val="clear" w:color="auto" w:fill="auto"/>
            <w:noWrap/>
            <w:vAlign w:val="bottom"/>
          </w:tcPr>
          <w:p w14:paraId="040B330E" w14:textId="77777777" w:rsidR="000C298C" w:rsidRPr="00324B27" w:rsidRDefault="000C298C" w:rsidP="00E54C03">
            <w:pPr>
              <w:ind w:left="-390"/>
              <w:jc w:val="center"/>
              <w:rPr>
                <w:b w:val="0"/>
                <w:sz w:val="18"/>
                <w:szCs w:val="18"/>
              </w:rPr>
            </w:pPr>
            <w:r w:rsidRPr="00324B27">
              <w:rPr>
                <w:b w:val="0"/>
                <w:sz w:val="18"/>
                <w:szCs w:val="18"/>
              </w:rPr>
              <w:t>10.3</w:t>
            </w:r>
          </w:p>
        </w:tc>
      </w:tr>
      <w:tr w:rsidR="000C298C" w:rsidRPr="00324B27" w14:paraId="4A24801D" w14:textId="77777777" w:rsidTr="00E54C03">
        <w:trPr>
          <w:trHeight w:val="310"/>
        </w:trPr>
        <w:tc>
          <w:tcPr>
            <w:tcW w:w="5988" w:type="dxa"/>
            <w:shd w:val="clear" w:color="auto" w:fill="auto"/>
            <w:vAlign w:val="bottom"/>
            <w:hideMark/>
          </w:tcPr>
          <w:p w14:paraId="1F2E5925"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Եվրոպական Ներդրումային Բանկ</w:t>
            </w:r>
          </w:p>
        </w:tc>
        <w:tc>
          <w:tcPr>
            <w:tcW w:w="1362" w:type="dxa"/>
            <w:shd w:val="clear" w:color="auto" w:fill="auto"/>
            <w:noWrap/>
            <w:vAlign w:val="bottom"/>
          </w:tcPr>
          <w:p w14:paraId="501E9737" w14:textId="77777777" w:rsidR="000C298C" w:rsidRPr="00324B27" w:rsidRDefault="000C298C" w:rsidP="00E54C03">
            <w:pPr>
              <w:ind w:left="-390"/>
              <w:jc w:val="center"/>
              <w:rPr>
                <w:b w:val="0"/>
                <w:sz w:val="18"/>
                <w:szCs w:val="18"/>
              </w:rPr>
            </w:pPr>
            <w:r w:rsidRPr="00324B27">
              <w:rPr>
                <w:b w:val="0"/>
                <w:sz w:val="18"/>
                <w:szCs w:val="18"/>
              </w:rPr>
              <w:t>4.2</w:t>
            </w:r>
          </w:p>
        </w:tc>
        <w:tc>
          <w:tcPr>
            <w:tcW w:w="732" w:type="dxa"/>
            <w:shd w:val="clear" w:color="auto" w:fill="auto"/>
            <w:noWrap/>
            <w:vAlign w:val="bottom"/>
          </w:tcPr>
          <w:p w14:paraId="409BEA5A" w14:textId="77777777" w:rsidR="000C298C" w:rsidRPr="00324B27" w:rsidRDefault="000C298C" w:rsidP="00E54C03">
            <w:pPr>
              <w:ind w:left="-390"/>
              <w:jc w:val="center"/>
              <w:rPr>
                <w:b w:val="0"/>
                <w:sz w:val="18"/>
                <w:szCs w:val="18"/>
              </w:rPr>
            </w:pPr>
            <w:r w:rsidRPr="00324B27">
              <w:rPr>
                <w:b w:val="0"/>
                <w:sz w:val="18"/>
                <w:szCs w:val="18"/>
              </w:rPr>
              <w:t>6.1</w:t>
            </w:r>
          </w:p>
        </w:tc>
        <w:tc>
          <w:tcPr>
            <w:tcW w:w="1287" w:type="dxa"/>
            <w:shd w:val="clear" w:color="auto" w:fill="auto"/>
            <w:noWrap/>
            <w:vAlign w:val="bottom"/>
          </w:tcPr>
          <w:p w14:paraId="387A6293" w14:textId="77777777" w:rsidR="000C298C" w:rsidRPr="00324B27" w:rsidRDefault="000C298C" w:rsidP="00E54C03">
            <w:pPr>
              <w:ind w:left="-390"/>
              <w:jc w:val="center"/>
              <w:rPr>
                <w:b w:val="0"/>
                <w:sz w:val="18"/>
                <w:szCs w:val="18"/>
              </w:rPr>
            </w:pPr>
            <w:r w:rsidRPr="00324B27">
              <w:rPr>
                <w:b w:val="0"/>
                <w:sz w:val="18"/>
                <w:szCs w:val="18"/>
              </w:rPr>
              <w:t>10.3</w:t>
            </w:r>
          </w:p>
        </w:tc>
      </w:tr>
      <w:tr w:rsidR="000C298C" w:rsidRPr="00324B27" w14:paraId="0C4B661B" w14:textId="77777777" w:rsidTr="00E54C03">
        <w:trPr>
          <w:trHeight w:val="310"/>
        </w:trPr>
        <w:tc>
          <w:tcPr>
            <w:tcW w:w="5988" w:type="dxa"/>
            <w:shd w:val="clear" w:color="auto" w:fill="auto"/>
            <w:vAlign w:val="bottom"/>
            <w:hideMark/>
          </w:tcPr>
          <w:p w14:paraId="7553A2C9"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Գյուղատնտեսության Զարգացման Միջազգային Հիմնադրամ</w:t>
            </w:r>
          </w:p>
        </w:tc>
        <w:tc>
          <w:tcPr>
            <w:tcW w:w="1362" w:type="dxa"/>
            <w:shd w:val="clear" w:color="auto" w:fill="auto"/>
            <w:noWrap/>
            <w:vAlign w:val="bottom"/>
          </w:tcPr>
          <w:p w14:paraId="2498F973" w14:textId="77777777" w:rsidR="000C298C" w:rsidRPr="00324B27" w:rsidRDefault="000C298C" w:rsidP="00E54C03">
            <w:pPr>
              <w:ind w:left="-390"/>
              <w:jc w:val="center"/>
              <w:rPr>
                <w:b w:val="0"/>
                <w:sz w:val="18"/>
                <w:szCs w:val="18"/>
              </w:rPr>
            </w:pPr>
            <w:r w:rsidRPr="00324B27">
              <w:rPr>
                <w:b w:val="0"/>
                <w:sz w:val="18"/>
                <w:szCs w:val="18"/>
              </w:rPr>
              <w:t>0.5</w:t>
            </w:r>
          </w:p>
        </w:tc>
        <w:tc>
          <w:tcPr>
            <w:tcW w:w="732" w:type="dxa"/>
            <w:shd w:val="clear" w:color="auto" w:fill="auto"/>
            <w:noWrap/>
            <w:vAlign w:val="bottom"/>
          </w:tcPr>
          <w:p w14:paraId="1BA67125" w14:textId="77777777" w:rsidR="000C298C" w:rsidRPr="00324B27" w:rsidRDefault="000C298C" w:rsidP="00E54C03">
            <w:pPr>
              <w:ind w:left="-390"/>
              <w:jc w:val="center"/>
              <w:rPr>
                <w:b w:val="0"/>
                <w:sz w:val="18"/>
                <w:szCs w:val="18"/>
              </w:rPr>
            </w:pPr>
            <w:r w:rsidRPr="00324B27">
              <w:rPr>
                <w:b w:val="0"/>
                <w:sz w:val="18"/>
                <w:szCs w:val="18"/>
              </w:rPr>
              <w:t>3.8</w:t>
            </w:r>
          </w:p>
        </w:tc>
        <w:tc>
          <w:tcPr>
            <w:tcW w:w="1287" w:type="dxa"/>
            <w:shd w:val="clear" w:color="auto" w:fill="auto"/>
            <w:noWrap/>
            <w:vAlign w:val="bottom"/>
          </w:tcPr>
          <w:p w14:paraId="5B4F4D0A" w14:textId="77777777" w:rsidR="000C298C" w:rsidRPr="00324B27" w:rsidRDefault="000C298C" w:rsidP="00E54C03">
            <w:pPr>
              <w:ind w:left="-390"/>
              <w:jc w:val="center"/>
              <w:rPr>
                <w:b w:val="0"/>
                <w:sz w:val="18"/>
                <w:szCs w:val="18"/>
              </w:rPr>
            </w:pPr>
            <w:r w:rsidRPr="00324B27">
              <w:rPr>
                <w:b w:val="0"/>
                <w:sz w:val="18"/>
                <w:szCs w:val="18"/>
              </w:rPr>
              <w:t>4.3</w:t>
            </w:r>
          </w:p>
        </w:tc>
      </w:tr>
      <w:tr w:rsidR="000C298C" w:rsidRPr="00324B27" w14:paraId="6F8EA496" w14:textId="77777777" w:rsidTr="00E54C03">
        <w:trPr>
          <w:trHeight w:val="310"/>
        </w:trPr>
        <w:tc>
          <w:tcPr>
            <w:tcW w:w="5988" w:type="dxa"/>
            <w:shd w:val="clear" w:color="auto" w:fill="auto"/>
            <w:vAlign w:val="bottom"/>
            <w:hideMark/>
          </w:tcPr>
          <w:p w14:paraId="4398DBBF" w14:textId="77777777" w:rsidR="000C298C" w:rsidRPr="00324B27" w:rsidRDefault="000C298C" w:rsidP="00324B27">
            <w:pPr>
              <w:spacing w:line="360" w:lineRule="auto"/>
              <w:ind w:left="-30" w:firstLine="165"/>
              <w:contextualSpacing/>
              <w:jc w:val="left"/>
              <w:rPr>
                <w:b w:val="0"/>
                <w:color w:val="000000"/>
                <w:sz w:val="18"/>
                <w:szCs w:val="18"/>
                <w:lang w:val="hy-AM"/>
              </w:rPr>
            </w:pPr>
            <w:r w:rsidRPr="00324B27">
              <w:rPr>
                <w:b w:val="0"/>
                <w:color w:val="000000"/>
                <w:sz w:val="18"/>
                <w:szCs w:val="18"/>
                <w:lang w:val="hy-AM"/>
              </w:rPr>
              <w:t xml:space="preserve">ՕՊԵԿ-ի Միջազգային Զարգացման Հիմնադրամ </w:t>
            </w:r>
          </w:p>
        </w:tc>
        <w:tc>
          <w:tcPr>
            <w:tcW w:w="1362" w:type="dxa"/>
            <w:shd w:val="clear" w:color="auto" w:fill="auto"/>
            <w:noWrap/>
            <w:vAlign w:val="bottom"/>
          </w:tcPr>
          <w:p w14:paraId="5A33023B" w14:textId="77777777" w:rsidR="000C298C" w:rsidRPr="00324B27" w:rsidRDefault="000C298C" w:rsidP="00E54C03">
            <w:pPr>
              <w:ind w:left="-390"/>
              <w:jc w:val="center"/>
              <w:rPr>
                <w:b w:val="0"/>
                <w:sz w:val="18"/>
                <w:szCs w:val="18"/>
              </w:rPr>
            </w:pPr>
            <w:r w:rsidRPr="00324B27">
              <w:rPr>
                <w:b w:val="0"/>
                <w:sz w:val="18"/>
                <w:szCs w:val="18"/>
              </w:rPr>
              <w:t>4.8</w:t>
            </w:r>
          </w:p>
        </w:tc>
        <w:tc>
          <w:tcPr>
            <w:tcW w:w="732" w:type="dxa"/>
            <w:shd w:val="clear" w:color="auto" w:fill="auto"/>
            <w:noWrap/>
            <w:vAlign w:val="bottom"/>
          </w:tcPr>
          <w:p w14:paraId="71E97516" w14:textId="77777777" w:rsidR="000C298C" w:rsidRPr="00324B27" w:rsidRDefault="000C298C" w:rsidP="00E54C03">
            <w:pPr>
              <w:ind w:left="-390"/>
              <w:jc w:val="center"/>
              <w:rPr>
                <w:b w:val="0"/>
                <w:sz w:val="18"/>
                <w:szCs w:val="18"/>
              </w:rPr>
            </w:pPr>
            <w:r w:rsidRPr="00324B27">
              <w:rPr>
                <w:b w:val="0"/>
                <w:sz w:val="18"/>
                <w:szCs w:val="18"/>
              </w:rPr>
              <w:t>5.2</w:t>
            </w:r>
          </w:p>
        </w:tc>
        <w:tc>
          <w:tcPr>
            <w:tcW w:w="1287" w:type="dxa"/>
            <w:shd w:val="clear" w:color="auto" w:fill="auto"/>
            <w:noWrap/>
            <w:vAlign w:val="bottom"/>
          </w:tcPr>
          <w:p w14:paraId="243DBD29" w14:textId="77777777" w:rsidR="000C298C" w:rsidRPr="00324B27" w:rsidRDefault="000C298C" w:rsidP="00E54C03">
            <w:pPr>
              <w:ind w:left="-390"/>
              <w:jc w:val="center"/>
              <w:rPr>
                <w:b w:val="0"/>
                <w:sz w:val="18"/>
                <w:szCs w:val="18"/>
              </w:rPr>
            </w:pPr>
            <w:r w:rsidRPr="00324B27">
              <w:rPr>
                <w:b w:val="0"/>
                <w:sz w:val="18"/>
                <w:szCs w:val="18"/>
              </w:rPr>
              <w:t>10.0</w:t>
            </w:r>
          </w:p>
        </w:tc>
      </w:tr>
      <w:tr w:rsidR="000C298C" w:rsidRPr="00324B27" w14:paraId="44A213CC" w14:textId="77777777" w:rsidTr="00E54C03">
        <w:trPr>
          <w:trHeight w:val="310"/>
        </w:trPr>
        <w:tc>
          <w:tcPr>
            <w:tcW w:w="5988" w:type="dxa"/>
            <w:shd w:val="clear" w:color="auto" w:fill="auto"/>
            <w:vAlign w:val="bottom"/>
            <w:hideMark/>
          </w:tcPr>
          <w:p w14:paraId="4E4CEE66"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Ասիական Զարգացման Բանկ</w:t>
            </w:r>
          </w:p>
        </w:tc>
        <w:tc>
          <w:tcPr>
            <w:tcW w:w="1362" w:type="dxa"/>
            <w:shd w:val="clear" w:color="auto" w:fill="auto"/>
            <w:noWrap/>
            <w:vAlign w:val="bottom"/>
          </w:tcPr>
          <w:p w14:paraId="7862AC12" w14:textId="77777777" w:rsidR="000C298C" w:rsidRPr="00324B27" w:rsidRDefault="000C298C" w:rsidP="00E54C03">
            <w:pPr>
              <w:ind w:left="-390"/>
              <w:jc w:val="center"/>
              <w:rPr>
                <w:b w:val="0"/>
                <w:sz w:val="18"/>
                <w:szCs w:val="18"/>
              </w:rPr>
            </w:pPr>
            <w:r w:rsidRPr="00324B27">
              <w:rPr>
                <w:b w:val="0"/>
                <w:sz w:val="18"/>
                <w:szCs w:val="18"/>
              </w:rPr>
              <w:t>49.9</w:t>
            </w:r>
          </w:p>
        </w:tc>
        <w:tc>
          <w:tcPr>
            <w:tcW w:w="732" w:type="dxa"/>
            <w:shd w:val="clear" w:color="auto" w:fill="auto"/>
            <w:noWrap/>
            <w:vAlign w:val="bottom"/>
          </w:tcPr>
          <w:p w14:paraId="7C7039C1" w14:textId="77777777" w:rsidR="000C298C" w:rsidRPr="00324B27" w:rsidRDefault="000C298C" w:rsidP="00E54C03">
            <w:pPr>
              <w:ind w:left="-390"/>
              <w:jc w:val="center"/>
              <w:rPr>
                <w:b w:val="0"/>
                <w:sz w:val="18"/>
                <w:szCs w:val="18"/>
              </w:rPr>
            </w:pPr>
            <w:r w:rsidRPr="00324B27">
              <w:rPr>
                <w:b w:val="0"/>
                <w:sz w:val="18"/>
                <w:szCs w:val="18"/>
              </w:rPr>
              <w:t>54.6</w:t>
            </w:r>
          </w:p>
        </w:tc>
        <w:tc>
          <w:tcPr>
            <w:tcW w:w="1287" w:type="dxa"/>
            <w:shd w:val="clear" w:color="auto" w:fill="auto"/>
            <w:noWrap/>
            <w:vAlign w:val="bottom"/>
          </w:tcPr>
          <w:p w14:paraId="78648DD5" w14:textId="77777777" w:rsidR="000C298C" w:rsidRPr="00324B27" w:rsidRDefault="000C298C" w:rsidP="00E54C03">
            <w:pPr>
              <w:ind w:left="-390"/>
              <w:jc w:val="center"/>
              <w:rPr>
                <w:b w:val="0"/>
                <w:sz w:val="18"/>
                <w:szCs w:val="18"/>
              </w:rPr>
            </w:pPr>
            <w:r w:rsidRPr="00324B27">
              <w:rPr>
                <w:b w:val="0"/>
                <w:sz w:val="18"/>
                <w:szCs w:val="18"/>
              </w:rPr>
              <w:t>104.5</w:t>
            </w:r>
          </w:p>
        </w:tc>
      </w:tr>
      <w:tr w:rsidR="000C298C" w:rsidRPr="00324B27" w14:paraId="59C18B45" w14:textId="77777777" w:rsidTr="00E54C03">
        <w:trPr>
          <w:trHeight w:val="310"/>
        </w:trPr>
        <w:tc>
          <w:tcPr>
            <w:tcW w:w="5988" w:type="dxa"/>
            <w:shd w:val="clear" w:color="auto" w:fill="auto"/>
            <w:vAlign w:val="bottom"/>
            <w:hideMark/>
          </w:tcPr>
          <w:p w14:paraId="18DE56D9"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Եվրամիություն</w:t>
            </w:r>
          </w:p>
        </w:tc>
        <w:tc>
          <w:tcPr>
            <w:tcW w:w="1362" w:type="dxa"/>
            <w:shd w:val="clear" w:color="auto" w:fill="auto"/>
            <w:noWrap/>
            <w:vAlign w:val="bottom"/>
          </w:tcPr>
          <w:p w14:paraId="24B67F3A" w14:textId="77777777" w:rsidR="000C298C" w:rsidRPr="00324B27" w:rsidRDefault="000C298C" w:rsidP="00E54C03">
            <w:pPr>
              <w:ind w:left="-390"/>
              <w:jc w:val="center"/>
              <w:rPr>
                <w:b w:val="0"/>
                <w:sz w:val="18"/>
                <w:szCs w:val="18"/>
              </w:rPr>
            </w:pPr>
            <w:r w:rsidRPr="00324B27">
              <w:rPr>
                <w:b w:val="0"/>
                <w:sz w:val="18"/>
                <w:szCs w:val="18"/>
              </w:rPr>
              <w:t>2.4</w:t>
            </w:r>
          </w:p>
        </w:tc>
        <w:tc>
          <w:tcPr>
            <w:tcW w:w="732" w:type="dxa"/>
            <w:shd w:val="clear" w:color="auto" w:fill="auto"/>
            <w:noWrap/>
            <w:vAlign w:val="bottom"/>
          </w:tcPr>
          <w:p w14:paraId="083B96FC" w14:textId="77777777" w:rsidR="000C298C" w:rsidRPr="00324B27" w:rsidRDefault="000C298C" w:rsidP="00E54C03">
            <w:pPr>
              <w:ind w:left="-390"/>
              <w:jc w:val="center"/>
              <w:rPr>
                <w:b w:val="0"/>
                <w:sz w:val="18"/>
                <w:szCs w:val="18"/>
              </w:rPr>
            </w:pPr>
            <w:r w:rsidRPr="00324B27">
              <w:rPr>
                <w:b w:val="0"/>
                <w:sz w:val="18"/>
                <w:szCs w:val="18"/>
              </w:rPr>
              <w:t>-</w:t>
            </w:r>
          </w:p>
        </w:tc>
        <w:tc>
          <w:tcPr>
            <w:tcW w:w="1287" w:type="dxa"/>
            <w:shd w:val="clear" w:color="auto" w:fill="auto"/>
            <w:noWrap/>
            <w:vAlign w:val="bottom"/>
          </w:tcPr>
          <w:p w14:paraId="711BFCE3" w14:textId="77777777" w:rsidR="000C298C" w:rsidRPr="00324B27" w:rsidRDefault="000C298C" w:rsidP="00E54C03">
            <w:pPr>
              <w:ind w:left="-390"/>
              <w:jc w:val="center"/>
              <w:rPr>
                <w:b w:val="0"/>
                <w:sz w:val="18"/>
                <w:szCs w:val="18"/>
              </w:rPr>
            </w:pPr>
            <w:r w:rsidRPr="00324B27">
              <w:rPr>
                <w:b w:val="0"/>
                <w:sz w:val="18"/>
                <w:szCs w:val="18"/>
              </w:rPr>
              <w:t>2.4</w:t>
            </w:r>
          </w:p>
        </w:tc>
      </w:tr>
      <w:tr w:rsidR="000C298C" w:rsidRPr="00324B27" w14:paraId="61743112" w14:textId="77777777" w:rsidTr="00E54C03">
        <w:trPr>
          <w:trHeight w:val="310"/>
        </w:trPr>
        <w:tc>
          <w:tcPr>
            <w:tcW w:w="5988" w:type="dxa"/>
            <w:shd w:val="clear" w:color="auto" w:fill="auto"/>
            <w:vAlign w:val="bottom"/>
            <w:hideMark/>
          </w:tcPr>
          <w:p w14:paraId="7108CB2D"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Արժույթի Միջազգային Հիմնադրամ</w:t>
            </w:r>
          </w:p>
        </w:tc>
        <w:tc>
          <w:tcPr>
            <w:tcW w:w="1362" w:type="dxa"/>
            <w:shd w:val="clear" w:color="auto" w:fill="auto"/>
            <w:noWrap/>
            <w:vAlign w:val="bottom"/>
          </w:tcPr>
          <w:p w14:paraId="796779E0" w14:textId="77777777" w:rsidR="000C298C" w:rsidRPr="00324B27" w:rsidRDefault="000C298C" w:rsidP="00E54C03">
            <w:pPr>
              <w:ind w:left="-390"/>
              <w:jc w:val="center"/>
              <w:rPr>
                <w:b w:val="0"/>
                <w:sz w:val="18"/>
                <w:szCs w:val="18"/>
              </w:rPr>
            </w:pPr>
            <w:r w:rsidRPr="00324B27">
              <w:rPr>
                <w:b w:val="0"/>
                <w:sz w:val="18"/>
                <w:szCs w:val="18"/>
              </w:rPr>
              <w:t>15.6</w:t>
            </w:r>
          </w:p>
        </w:tc>
        <w:tc>
          <w:tcPr>
            <w:tcW w:w="732" w:type="dxa"/>
            <w:shd w:val="clear" w:color="auto" w:fill="auto"/>
            <w:noWrap/>
            <w:vAlign w:val="bottom"/>
          </w:tcPr>
          <w:p w14:paraId="11BB8262" w14:textId="77777777" w:rsidR="000C298C" w:rsidRPr="00324B27" w:rsidRDefault="000C298C" w:rsidP="00E54C03">
            <w:pPr>
              <w:ind w:left="-390"/>
              <w:jc w:val="center"/>
              <w:rPr>
                <w:b w:val="0"/>
                <w:sz w:val="18"/>
                <w:szCs w:val="18"/>
              </w:rPr>
            </w:pPr>
            <w:r w:rsidRPr="00324B27">
              <w:rPr>
                <w:b w:val="0"/>
                <w:sz w:val="18"/>
                <w:szCs w:val="18"/>
              </w:rPr>
              <w:t>159.8</w:t>
            </w:r>
          </w:p>
        </w:tc>
        <w:tc>
          <w:tcPr>
            <w:tcW w:w="1287" w:type="dxa"/>
            <w:shd w:val="clear" w:color="auto" w:fill="auto"/>
            <w:noWrap/>
            <w:vAlign w:val="bottom"/>
          </w:tcPr>
          <w:p w14:paraId="6185B4C1" w14:textId="77777777" w:rsidR="000C298C" w:rsidRPr="00324B27" w:rsidRDefault="000C298C" w:rsidP="00E54C03">
            <w:pPr>
              <w:ind w:left="-390"/>
              <w:jc w:val="center"/>
              <w:rPr>
                <w:b w:val="0"/>
                <w:sz w:val="18"/>
                <w:szCs w:val="18"/>
              </w:rPr>
            </w:pPr>
            <w:r w:rsidRPr="00324B27">
              <w:rPr>
                <w:b w:val="0"/>
                <w:sz w:val="18"/>
                <w:szCs w:val="18"/>
              </w:rPr>
              <w:t>175.4</w:t>
            </w:r>
          </w:p>
        </w:tc>
      </w:tr>
      <w:tr w:rsidR="000C298C" w:rsidRPr="00324B27" w14:paraId="3A80D002" w14:textId="77777777" w:rsidTr="00E54C03">
        <w:trPr>
          <w:trHeight w:val="310"/>
        </w:trPr>
        <w:tc>
          <w:tcPr>
            <w:tcW w:w="5988" w:type="dxa"/>
            <w:shd w:val="clear" w:color="auto" w:fill="auto"/>
            <w:vAlign w:val="bottom"/>
            <w:hideMark/>
          </w:tcPr>
          <w:p w14:paraId="418B5B07"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 xml:space="preserve">Եվրասիական Զարգացման Բանկ </w:t>
            </w:r>
          </w:p>
        </w:tc>
        <w:tc>
          <w:tcPr>
            <w:tcW w:w="1362" w:type="dxa"/>
            <w:shd w:val="clear" w:color="auto" w:fill="auto"/>
            <w:noWrap/>
            <w:vAlign w:val="bottom"/>
          </w:tcPr>
          <w:p w14:paraId="1A2FED11" w14:textId="77777777" w:rsidR="000C298C" w:rsidRPr="00324B27" w:rsidRDefault="000C298C" w:rsidP="00E54C03">
            <w:pPr>
              <w:ind w:left="-390"/>
              <w:jc w:val="center"/>
              <w:rPr>
                <w:b w:val="0"/>
                <w:sz w:val="18"/>
                <w:szCs w:val="18"/>
              </w:rPr>
            </w:pPr>
            <w:r w:rsidRPr="00324B27">
              <w:rPr>
                <w:b w:val="0"/>
                <w:sz w:val="18"/>
                <w:szCs w:val="18"/>
              </w:rPr>
              <w:t>14.0</w:t>
            </w:r>
          </w:p>
        </w:tc>
        <w:tc>
          <w:tcPr>
            <w:tcW w:w="732" w:type="dxa"/>
            <w:shd w:val="clear" w:color="auto" w:fill="auto"/>
            <w:noWrap/>
            <w:vAlign w:val="bottom"/>
          </w:tcPr>
          <w:p w14:paraId="3BA670A1" w14:textId="77777777" w:rsidR="000C298C" w:rsidRPr="00324B27" w:rsidRDefault="000C298C" w:rsidP="00E54C03">
            <w:pPr>
              <w:ind w:left="-390"/>
              <w:jc w:val="center"/>
              <w:rPr>
                <w:b w:val="0"/>
                <w:sz w:val="18"/>
                <w:szCs w:val="18"/>
              </w:rPr>
            </w:pPr>
            <w:r w:rsidRPr="00324B27">
              <w:rPr>
                <w:b w:val="0"/>
                <w:sz w:val="18"/>
                <w:szCs w:val="18"/>
              </w:rPr>
              <w:t>4.1</w:t>
            </w:r>
          </w:p>
        </w:tc>
        <w:tc>
          <w:tcPr>
            <w:tcW w:w="1287" w:type="dxa"/>
            <w:shd w:val="clear" w:color="auto" w:fill="auto"/>
            <w:noWrap/>
            <w:vAlign w:val="bottom"/>
          </w:tcPr>
          <w:p w14:paraId="7B3BA6F4" w14:textId="77777777" w:rsidR="000C298C" w:rsidRPr="00324B27" w:rsidRDefault="000C298C" w:rsidP="00E54C03">
            <w:pPr>
              <w:ind w:left="-390"/>
              <w:jc w:val="center"/>
              <w:rPr>
                <w:b w:val="0"/>
                <w:sz w:val="18"/>
                <w:szCs w:val="18"/>
              </w:rPr>
            </w:pPr>
            <w:r w:rsidRPr="00324B27">
              <w:rPr>
                <w:b w:val="0"/>
                <w:sz w:val="18"/>
                <w:szCs w:val="18"/>
              </w:rPr>
              <w:t>18.0</w:t>
            </w:r>
          </w:p>
        </w:tc>
      </w:tr>
      <w:tr w:rsidR="000C298C" w:rsidRPr="00324B27" w14:paraId="00A9FADF" w14:textId="77777777" w:rsidTr="00E54C03">
        <w:trPr>
          <w:trHeight w:val="310"/>
        </w:trPr>
        <w:tc>
          <w:tcPr>
            <w:tcW w:w="5988" w:type="dxa"/>
            <w:shd w:val="clear" w:color="auto" w:fill="auto"/>
            <w:vAlign w:val="bottom"/>
            <w:hideMark/>
          </w:tcPr>
          <w:p w14:paraId="7AB8AFD2"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Գերմանիա (ՎՎԲ)</w:t>
            </w:r>
          </w:p>
        </w:tc>
        <w:tc>
          <w:tcPr>
            <w:tcW w:w="1362" w:type="dxa"/>
            <w:shd w:val="clear" w:color="auto" w:fill="auto"/>
            <w:noWrap/>
            <w:vAlign w:val="bottom"/>
          </w:tcPr>
          <w:p w14:paraId="1A3DF5FD" w14:textId="77777777" w:rsidR="000C298C" w:rsidRPr="00324B27" w:rsidRDefault="000C298C" w:rsidP="00E54C03">
            <w:pPr>
              <w:ind w:left="-390"/>
              <w:jc w:val="center"/>
              <w:rPr>
                <w:b w:val="0"/>
                <w:sz w:val="18"/>
                <w:szCs w:val="18"/>
              </w:rPr>
            </w:pPr>
            <w:r w:rsidRPr="00324B27">
              <w:rPr>
                <w:b w:val="0"/>
                <w:sz w:val="18"/>
                <w:szCs w:val="18"/>
              </w:rPr>
              <w:t>8.3</w:t>
            </w:r>
          </w:p>
        </w:tc>
        <w:tc>
          <w:tcPr>
            <w:tcW w:w="732" w:type="dxa"/>
            <w:shd w:val="clear" w:color="auto" w:fill="auto"/>
            <w:noWrap/>
            <w:vAlign w:val="bottom"/>
          </w:tcPr>
          <w:p w14:paraId="5612B790" w14:textId="77777777" w:rsidR="000C298C" w:rsidRPr="00324B27" w:rsidRDefault="000C298C" w:rsidP="00E54C03">
            <w:pPr>
              <w:ind w:left="-390"/>
              <w:jc w:val="center"/>
              <w:rPr>
                <w:b w:val="0"/>
                <w:sz w:val="18"/>
                <w:szCs w:val="18"/>
              </w:rPr>
            </w:pPr>
            <w:r w:rsidRPr="00324B27">
              <w:rPr>
                <w:b w:val="0"/>
                <w:sz w:val="18"/>
                <w:szCs w:val="18"/>
              </w:rPr>
              <w:t>31.7</w:t>
            </w:r>
          </w:p>
        </w:tc>
        <w:tc>
          <w:tcPr>
            <w:tcW w:w="1287" w:type="dxa"/>
            <w:shd w:val="clear" w:color="auto" w:fill="auto"/>
            <w:noWrap/>
            <w:vAlign w:val="bottom"/>
          </w:tcPr>
          <w:p w14:paraId="2718E22F" w14:textId="77777777" w:rsidR="000C298C" w:rsidRPr="00324B27" w:rsidRDefault="000C298C" w:rsidP="00E54C03">
            <w:pPr>
              <w:ind w:left="-390"/>
              <w:jc w:val="center"/>
              <w:rPr>
                <w:b w:val="0"/>
                <w:sz w:val="18"/>
                <w:szCs w:val="18"/>
              </w:rPr>
            </w:pPr>
            <w:r w:rsidRPr="00324B27">
              <w:rPr>
                <w:b w:val="0"/>
                <w:sz w:val="18"/>
                <w:szCs w:val="18"/>
              </w:rPr>
              <w:t>40.0</w:t>
            </w:r>
          </w:p>
        </w:tc>
      </w:tr>
      <w:tr w:rsidR="000C298C" w:rsidRPr="00324B27" w14:paraId="58A1BCF8" w14:textId="77777777" w:rsidTr="00E54C03">
        <w:trPr>
          <w:trHeight w:val="310"/>
        </w:trPr>
        <w:tc>
          <w:tcPr>
            <w:tcW w:w="5988" w:type="dxa"/>
            <w:shd w:val="clear" w:color="auto" w:fill="auto"/>
            <w:vAlign w:val="bottom"/>
            <w:hideMark/>
          </w:tcPr>
          <w:p w14:paraId="1409EFAB"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Ռուսաստանի Դաշնություն</w:t>
            </w:r>
          </w:p>
        </w:tc>
        <w:tc>
          <w:tcPr>
            <w:tcW w:w="1362" w:type="dxa"/>
            <w:shd w:val="clear" w:color="auto" w:fill="auto"/>
            <w:noWrap/>
            <w:vAlign w:val="bottom"/>
          </w:tcPr>
          <w:p w14:paraId="5C3C1E81" w14:textId="77777777" w:rsidR="000C298C" w:rsidRPr="00324B27" w:rsidRDefault="000C298C" w:rsidP="00E54C03">
            <w:pPr>
              <w:ind w:left="-390"/>
              <w:jc w:val="center"/>
              <w:rPr>
                <w:b w:val="0"/>
                <w:sz w:val="18"/>
                <w:szCs w:val="18"/>
              </w:rPr>
            </w:pPr>
            <w:r w:rsidRPr="00324B27">
              <w:rPr>
                <w:b w:val="0"/>
                <w:sz w:val="18"/>
                <w:szCs w:val="18"/>
              </w:rPr>
              <w:t>8.5</w:t>
            </w:r>
          </w:p>
        </w:tc>
        <w:tc>
          <w:tcPr>
            <w:tcW w:w="732" w:type="dxa"/>
            <w:shd w:val="clear" w:color="auto" w:fill="auto"/>
            <w:noWrap/>
            <w:vAlign w:val="bottom"/>
          </w:tcPr>
          <w:p w14:paraId="096B26BA" w14:textId="77777777" w:rsidR="000C298C" w:rsidRPr="00324B27" w:rsidRDefault="000C298C" w:rsidP="00E54C03">
            <w:pPr>
              <w:ind w:left="-390"/>
              <w:jc w:val="center"/>
              <w:rPr>
                <w:b w:val="0"/>
                <w:sz w:val="18"/>
                <w:szCs w:val="18"/>
              </w:rPr>
            </w:pPr>
            <w:r w:rsidRPr="00324B27">
              <w:rPr>
                <w:b w:val="0"/>
                <w:sz w:val="18"/>
                <w:szCs w:val="18"/>
              </w:rPr>
              <w:t>42.1</w:t>
            </w:r>
          </w:p>
        </w:tc>
        <w:tc>
          <w:tcPr>
            <w:tcW w:w="1287" w:type="dxa"/>
            <w:shd w:val="clear" w:color="auto" w:fill="auto"/>
            <w:noWrap/>
            <w:vAlign w:val="bottom"/>
          </w:tcPr>
          <w:p w14:paraId="6EB95FEB" w14:textId="77777777" w:rsidR="000C298C" w:rsidRPr="00324B27" w:rsidRDefault="000C298C" w:rsidP="00E54C03">
            <w:pPr>
              <w:ind w:left="-390"/>
              <w:jc w:val="center"/>
              <w:rPr>
                <w:b w:val="0"/>
                <w:sz w:val="18"/>
                <w:szCs w:val="18"/>
              </w:rPr>
            </w:pPr>
            <w:r w:rsidRPr="00324B27">
              <w:rPr>
                <w:b w:val="0"/>
                <w:sz w:val="18"/>
                <w:szCs w:val="18"/>
              </w:rPr>
              <w:t>50.6</w:t>
            </w:r>
          </w:p>
        </w:tc>
      </w:tr>
      <w:tr w:rsidR="000C298C" w:rsidRPr="00324B27" w14:paraId="666CD778" w14:textId="77777777" w:rsidTr="00E54C03">
        <w:trPr>
          <w:trHeight w:val="310"/>
        </w:trPr>
        <w:tc>
          <w:tcPr>
            <w:tcW w:w="5988" w:type="dxa"/>
            <w:shd w:val="clear" w:color="auto" w:fill="auto"/>
            <w:vAlign w:val="bottom"/>
            <w:hideMark/>
          </w:tcPr>
          <w:p w14:paraId="4FDB6703"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Ֆրանսիա</w:t>
            </w:r>
          </w:p>
        </w:tc>
        <w:tc>
          <w:tcPr>
            <w:tcW w:w="1362" w:type="dxa"/>
            <w:shd w:val="clear" w:color="auto" w:fill="auto"/>
            <w:noWrap/>
            <w:vAlign w:val="bottom"/>
          </w:tcPr>
          <w:p w14:paraId="2F0BADAA" w14:textId="77777777" w:rsidR="000C298C" w:rsidRPr="00324B27" w:rsidRDefault="000C298C" w:rsidP="00E54C03">
            <w:pPr>
              <w:ind w:left="-390"/>
              <w:jc w:val="center"/>
              <w:rPr>
                <w:b w:val="0"/>
                <w:sz w:val="18"/>
                <w:szCs w:val="18"/>
              </w:rPr>
            </w:pPr>
            <w:r w:rsidRPr="00324B27">
              <w:rPr>
                <w:b w:val="0"/>
                <w:sz w:val="18"/>
                <w:szCs w:val="18"/>
              </w:rPr>
              <w:t>8.3</w:t>
            </w:r>
          </w:p>
        </w:tc>
        <w:tc>
          <w:tcPr>
            <w:tcW w:w="732" w:type="dxa"/>
            <w:shd w:val="clear" w:color="auto" w:fill="auto"/>
            <w:noWrap/>
            <w:vAlign w:val="bottom"/>
          </w:tcPr>
          <w:p w14:paraId="6E1228D9" w14:textId="77777777" w:rsidR="000C298C" w:rsidRPr="00324B27" w:rsidRDefault="000C298C" w:rsidP="00E54C03">
            <w:pPr>
              <w:ind w:left="-390"/>
              <w:jc w:val="center"/>
              <w:rPr>
                <w:b w:val="0"/>
                <w:sz w:val="18"/>
                <w:szCs w:val="18"/>
              </w:rPr>
            </w:pPr>
            <w:r w:rsidRPr="00324B27">
              <w:rPr>
                <w:b w:val="0"/>
                <w:sz w:val="18"/>
                <w:szCs w:val="18"/>
              </w:rPr>
              <w:t>9.5</w:t>
            </w:r>
          </w:p>
        </w:tc>
        <w:tc>
          <w:tcPr>
            <w:tcW w:w="1287" w:type="dxa"/>
            <w:shd w:val="clear" w:color="auto" w:fill="auto"/>
            <w:noWrap/>
            <w:vAlign w:val="bottom"/>
          </w:tcPr>
          <w:p w14:paraId="49B601B8" w14:textId="77777777" w:rsidR="000C298C" w:rsidRPr="00324B27" w:rsidRDefault="000C298C" w:rsidP="00E54C03">
            <w:pPr>
              <w:ind w:left="-390"/>
              <w:jc w:val="center"/>
              <w:rPr>
                <w:b w:val="0"/>
                <w:sz w:val="18"/>
                <w:szCs w:val="18"/>
              </w:rPr>
            </w:pPr>
            <w:r w:rsidRPr="00324B27">
              <w:rPr>
                <w:b w:val="0"/>
                <w:sz w:val="18"/>
                <w:szCs w:val="18"/>
              </w:rPr>
              <w:t>17.9</w:t>
            </w:r>
          </w:p>
        </w:tc>
      </w:tr>
      <w:tr w:rsidR="000C298C" w:rsidRPr="00324B27" w14:paraId="0FE7B0B2" w14:textId="77777777" w:rsidTr="00E54C03">
        <w:trPr>
          <w:trHeight w:val="310"/>
        </w:trPr>
        <w:tc>
          <w:tcPr>
            <w:tcW w:w="5988" w:type="dxa"/>
            <w:shd w:val="clear" w:color="auto" w:fill="auto"/>
            <w:vAlign w:val="bottom"/>
            <w:hideMark/>
          </w:tcPr>
          <w:p w14:paraId="7892F872"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ԱՄՆ</w:t>
            </w:r>
          </w:p>
        </w:tc>
        <w:tc>
          <w:tcPr>
            <w:tcW w:w="1362" w:type="dxa"/>
            <w:shd w:val="clear" w:color="auto" w:fill="auto"/>
            <w:noWrap/>
            <w:vAlign w:val="bottom"/>
          </w:tcPr>
          <w:p w14:paraId="39523629" w14:textId="77777777" w:rsidR="000C298C" w:rsidRPr="00324B27" w:rsidRDefault="000C298C" w:rsidP="00E54C03">
            <w:pPr>
              <w:ind w:left="-390"/>
              <w:jc w:val="center"/>
              <w:rPr>
                <w:b w:val="0"/>
                <w:sz w:val="18"/>
                <w:szCs w:val="18"/>
              </w:rPr>
            </w:pPr>
            <w:r w:rsidRPr="00324B27">
              <w:rPr>
                <w:b w:val="0"/>
                <w:sz w:val="18"/>
                <w:szCs w:val="18"/>
              </w:rPr>
              <w:t>0.2</w:t>
            </w:r>
          </w:p>
        </w:tc>
        <w:tc>
          <w:tcPr>
            <w:tcW w:w="732" w:type="dxa"/>
            <w:shd w:val="clear" w:color="auto" w:fill="auto"/>
            <w:noWrap/>
            <w:vAlign w:val="bottom"/>
          </w:tcPr>
          <w:p w14:paraId="21F48967" w14:textId="77777777" w:rsidR="000C298C" w:rsidRPr="00324B27" w:rsidRDefault="000C298C" w:rsidP="00E54C03">
            <w:pPr>
              <w:ind w:left="-390"/>
              <w:jc w:val="center"/>
              <w:rPr>
                <w:b w:val="0"/>
                <w:sz w:val="18"/>
                <w:szCs w:val="18"/>
              </w:rPr>
            </w:pPr>
            <w:r w:rsidRPr="00324B27">
              <w:rPr>
                <w:b w:val="0"/>
                <w:sz w:val="18"/>
                <w:szCs w:val="18"/>
              </w:rPr>
              <w:t>1.8</w:t>
            </w:r>
          </w:p>
        </w:tc>
        <w:tc>
          <w:tcPr>
            <w:tcW w:w="1287" w:type="dxa"/>
            <w:shd w:val="clear" w:color="auto" w:fill="auto"/>
            <w:noWrap/>
            <w:vAlign w:val="bottom"/>
          </w:tcPr>
          <w:p w14:paraId="3D480B56" w14:textId="77777777" w:rsidR="000C298C" w:rsidRPr="00324B27" w:rsidRDefault="000C298C" w:rsidP="00E54C03">
            <w:pPr>
              <w:ind w:left="-390"/>
              <w:jc w:val="center"/>
              <w:rPr>
                <w:b w:val="0"/>
                <w:sz w:val="18"/>
                <w:szCs w:val="18"/>
              </w:rPr>
            </w:pPr>
            <w:r w:rsidRPr="00324B27">
              <w:rPr>
                <w:b w:val="0"/>
                <w:sz w:val="18"/>
                <w:szCs w:val="18"/>
              </w:rPr>
              <w:t>2.0</w:t>
            </w:r>
          </w:p>
        </w:tc>
      </w:tr>
      <w:tr w:rsidR="000C298C" w:rsidRPr="00324B27" w14:paraId="7392C6AA" w14:textId="77777777" w:rsidTr="00E54C03">
        <w:trPr>
          <w:trHeight w:val="310"/>
        </w:trPr>
        <w:tc>
          <w:tcPr>
            <w:tcW w:w="5988" w:type="dxa"/>
            <w:shd w:val="clear" w:color="auto" w:fill="auto"/>
            <w:vAlign w:val="bottom"/>
            <w:hideMark/>
          </w:tcPr>
          <w:p w14:paraId="467256F5"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Ճապոնիա</w:t>
            </w:r>
          </w:p>
        </w:tc>
        <w:tc>
          <w:tcPr>
            <w:tcW w:w="1362" w:type="dxa"/>
            <w:shd w:val="clear" w:color="auto" w:fill="auto"/>
            <w:noWrap/>
            <w:vAlign w:val="bottom"/>
          </w:tcPr>
          <w:p w14:paraId="2B7EDAFC" w14:textId="77777777" w:rsidR="000C298C" w:rsidRPr="00324B27" w:rsidRDefault="000C298C" w:rsidP="00E54C03">
            <w:pPr>
              <w:ind w:left="-390"/>
              <w:jc w:val="center"/>
              <w:rPr>
                <w:b w:val="0"/>
                <w:sz w:val="18"/>
                <w:szCs w:val="18"/>
              </w:rPr>
            </w:pPr>
            <w:r w:rsidRPr="00324B27">
              <w:rPr>
                <w:b w:val="0"/>
                <w:sz w:val="18"/>
                <w:szCs w:val="18"/>
              </w:rPr>
              <w:t>1.1</w:t>
            </w:r>
          </w:p>
        </w:tc>
        <w:tc>
          <w:tcPr>
            <w:tcW w:w="732" w:type="dxa"/>
            <w:shd w:val="clear" w:color="auto" w:fill="auto"/>
            <w:noWrap/>
            <w:vAlign w:val="bottom"/>
          </w:tcPr>
          <w:p w14:paraId="3CA3B131" w14:textId="77777777" w:rsidR="000C298C" w:rsidRPr="00324B27" w:rsidRDefault="000C298C" w:rsidP="00E54C03">
            <w:pPr>
              <w:ind w:left="-390"/>
              <w:jc w:val="center"/>
              <w:rPr>
                <w:b w:val="0"/>
                <w:sz w:val="18"/>
                <w:szCs w:val="18"/>
              </w:rPr>
            </w:pPr>
            <w:r w:rsidRPr="00324B27">
              <w:rPr>
                <w:b w:val="0"/>
                <w:sz w:val="18"/>
                <w:szCs w:val="18"/>
              </w:rPr>
              <w:t>7.8</w:t>
            </w:r>
          </w:p>
        </w:tc>
        <w:tc>
          <w:tcPr>
            <w:tcW w:w="1287" w:type="dxa"/>
            <w:shd w:val="clear" w:color="auto" w:fill="auto"/>
            <w:noWrap/>
            <w:vAlign w:val="bottom"/>
          </w:tcPr>
          <w:p w14:paraId="6ED16EC1" w14:textId="77777777" w:rsidR="000C298C" w:rsidRPr="00324B27" w:rsidRDefault="000C298C" w:rsidP="00E54C03">
            <w:pPr>
              <w:ind w:left="-390"/>
              <w:jc w:val="center"/>
              <w:rPr>
                <w:b w:val="0"/>
                <w:sz w:val="18"/>
                <w:szCs w:val="18"/>
              </w:rPr>
            </w:pPr>
            <w:r w:rsidRPr="00324B27">
              <w:rPr>
                <w:b w:val="0"/>
                <w:sz w:val="18"/>
                <w:szCs w:val="18"/>
              </w:rPr>
              <w:t>8.9</w:t>
            </w:r>
          </w:p>
        </w:tc>
      </w:tr>
      <w:tr w:rsidR="000C298C" w:rsidRPr="00324B27" w14:paraId="53C08FEC" w14:textId="77777777" w:rsidTr="00E54C03">
        <w:trPr>
          <w:trHeight w:val="310"/>
        </w:trPr>
        <w:tc>
          <w:tcPr>
            <w:tcW w:w="5988" w:type="dxa"/>
            <w:shd w:val="clear" w:color="auto" w:fill="auto"/>
            <w:vAlign w:val="bottom"/>
            <w:hideMark/>
          </w:tcPr>
          <w:p w14:paraId="60DC5EF8"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Աբու-Դաբիի Զարգացման Հիմնադրամ</w:t>
            </w:r>
          </w:p>
        </w:tc>
        <w:tc>
          <w:tcPr>
            <w:tcW w:w="1362" w:type="dxa"/>
            <w:shd w:val="clear" w:color="auto" w:fill="auto"/>
            <w:noWrap/>
            <w:vAlign w:val="bottom"/>
          </w:tcPr>
          <w:p w14:paraId="013429A3" w14:textId="77777777" w:rsidR="000C298C" w:rsidRPr="00324B27" w:rsidRDefault="000C298C" w:rsidP="00E54C03">
            <w:pPr>
              <w:ind w:left="-390"/>
              <w:jc w:val="center"/>
              <w:rPr>
                <w:b w:val="0"/>
                <w:sz w:val="18"/>
                <w:szCs w:val="18"/>
              </w:rPr>
            </w:pPr>
            <w:r w:rsidRPr="00324B27">
              <w:rPr>
                <w:b w:val="0"/>
                <w:sz w:val="18"/>
                <w:szCs w:val="18"/>
              </w:rPr>
              <w:t>0.1</w:t>
            </w:r>
          </w:p>
        </w:tc>
        <w:tc>
          <w:tcPr>
            <w:tcW w:w="732" w:type="dxa"/>
            <w:shd w:val="clear" w:color="auto" w:fill="auto"/>
            <w:noWrap/>
            <w:vAlign w:val="bottom"/>
          </w:tcPr>
          <w:p w14:paraId="492E0803" w14:textId="77777777" w:rsidR="000C298C" w:rsidRPr="00324B27" w:rsidRDefault="000C298C" w:rsidP="00E54C03">
            <w:pPr>
              <w:ind w:left="-390"/>
              <w:jc w:val="center"/>
              <w:rPr>
                <w:b w:val="0"/>
                <w:sz w:val="18"/>
                <w:szCs w:val="18"/>
              </w:rPr>
            </w:pPr>
            <w:r w:rsidRPr="00324B27">
              <w:rPr>
                <w:b w:val="0"/>
                <w:sz w:val="18"/>
                <w:szCs w:val="18"/>
              </w:rPr>
              <w:t>0.6</w:t>
            </w:r>
          </w:p>
        </w:tc>
        <w:tc>
          <w:tcPr>
            <w:tcW w:w="1287" w:type="dxa"/>
            <w:shd w:val="clear" w:color="auto" w:fill="auto"/>
            <w:noWrap/>
            <w:vAlign w:val="bottom"/>
          </w:tcPr>
          <w:p w14:paraId="05F644F8" w14:textId="77777777" w:rsidR="000C298C" w:rsidRPr="00324B27" w:rsidRDefault="000C298C" w:rsidP="00E54C03">
            <w:pPr>
              <w:ind w:left="-390"/>
              <w:jc w:val="center"/>
              <w:rPr>
                <w:b w:val="0"/>
                <w:sz w:val="18"/>
                <w:szCs w:val="18"/>
              </w:rPr>
            </w:pPr>
            <w:r w:rsidRPr="00324B27">
              <w:rPr>
                <w:b w:val="0"/>
                <w:sz w:val="18"/>
                <w:szCs w:val="18"/>
              </w:rPr>
              <w:t>0.7</w:t>
            </w:r>
          </w:p>
        </w:tc>
      </w:tr>
      <w:tr w:rsidR="000C298C" w:rsidRPr="00324B27" w14:paraId="1BFC314E" w14:textId="77777777" w:rsidTr="00E54C03">
        <w:trPr>
          <w:trHeight w:val="310"/>
        </w:trPr>
        <w:tc>
          <w:tcPr>
            <w:tcW w:w="5988" w:type="dxa"/>
            <w:shd w:val="clear" w:color="auto" w:fill="auto"/>
            <w:vAlign w:val="bottom"/>
            <w:hideMark/>
          </w:tcPr>
          <w:p w14:paraId="1D5E228F"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Չինաստանի Արտահանման-Ներմուծման Բանկ</w:t>
            </w:r>
          </w:p>
        </w:tc>
        <w:tc>
          <w:tcPr>
            <w:tcW w:w="1362" w:type="dxa"/>
            <w:shd w:val="clear" w:color="auto" w:fill="auto"/>
            <w:noWrap/>
            <w:vAlign w:val="bottom"/>
          </w:tcPr>
          <w:p w14:paraId="3F6088EA" w14:textId="77777777" w:rsidR="000C298C" w:rsidRPr="00324B27" w:rsidRDefault="000C298C" w:rsidP="00E54C03">
            <w:pPr>
              <w:ind w:left="-390"/>
              <w:jc w:val="center"/>
              <w:rPr>
                <w:b w:val="0"/>
                <w:sz w:val="18"/>
                <w:szCs w:val="18"/>
              </w:rPr>
            </w:pPr>
            <w:r w:rsidRPr="00324B27">
              <w:rPr>
                <w:b w:val="0"/>
                <w:sz w:val="18"/>
                <w:szCs w:val="18"/>
              </w:rPr>
              <w:t>0.3</w:t>
            </w:r>
          </w:p>
        </w:tc>
        <w:tc>
          <w:tcPr>
            <w:tcW w:w="732" w:type="dxa"/>
            <w:shd w:val="clear" w:color="auto" w:fill="auto"/>
            <w:noWrap/>
            <w:vAlign w:val="bottom"/>
          </w:tcPr>
          <w:p w14:paraId="75713EFD" w14:textId="77777777" w:rsidR="000C298C" w:rsidRPr="00324B27" w:rsidRDefault="000C298C" w:rsidP="00E54C03">
            <w:pPr>
              <w:ind w:left="-390"/>
              <w:jc w:val="center"/>
              <w:rPr>
                <w:b w:val="0"/>
                <w:sz w:val="18"/>
                <w:szCs w:val="18"/>
              </w:rPr>
            </w:pPr>
            <w:r w:rsidRPr="00324B27">
              <w:rPr>
                <w:b w:val="0"/>
                <w:sz w:val="18"/>
                <w:szCs w:val="18"/>
              </w:rPr>
              <w:t>1.5</w:t>
            </w:r>
          </w:p>
        </w:tc>
        <w:tc>
          <w:tcPr>
            <w:tcW w:w="1287" w:type="dxa"/>
            <w:shd w:val="clear" w:color="auto" w:fill="auto"/>
            <w:noWrap/>
            <w:vAlign w:val="bottom"/>
          </w:tcPr>
          <w:p w14:paraId="148A62C7" w14:textId="77777777" w:rsidR="000C298C" w:rsidRPr="00324B27" w:rsidRDefault="000C298C" w:rsidP="00E54C03">
            <w:pPr>
              <w:ind w:left="-390"/>
              <w:jc w:val="center"/>
              <w:rPr>
                <w:b w:val="0"/>
                <w:sz w:val="18"/>
                <w:szCs w:val="18"/>
              </w:rPr>
            </w:pPr>
            <w:r w:rsidRPr="00324B27">
              <w:rPr>
                <w:b w:val="0"/>
                <w:sz w:val="18"/>
                <w:szCs w:val="18"/>
              </w:rPr>
              <w:t>1.8</w:t>
            </w:r>
          </w:p>
        </w:tc>
      </w:tr>
      <w:tr w:rsidR="000C298C" w:rsidRPr="00324B27" w14:paraId="3779327E" w14:textId="77777777" w:rsidTr="00E54C03">
        <w:trPr>
          <w:trHeight w:val="310"/>
        </w:trPr>
        <w:tc>
          <w:tcPr>
            <w:tcW w:w="5988" w:type="dxa"/>
            <w:shd w:val="clear" w:color="auto" w:fill="auto"/>
            <w:vAlign w:val="bottom"/>
            <w:hideMark/>
          </w:tcPr>
          <w:p w14:paraId="34FC3BFA"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ԿԲՍ Բանկ (Բելգիա)</w:t>
            </w:r>
          </w:p>
        </w:tc>
        <w:tc>
          <w:tcPr>
            <w:tcW w:w="1362" w:type="dxa"/>
            <w:shd w:val="clear" w:color="auto" w:fill="auto"/>
            <w:noWrap/>
            <w:vAlign w:val="bottom"/>
          </w:tcPr>
          <w:p w14:paraId="4B95B9F7" w14:textId="77777777" w:rsidR="000C298C" w:rsidRPr="00324B27" w:rsidRDefault="000C298C" w:rsidP="00E54C03">
            <w:pPr>
              <w:ind w:left="-390"/>
              <w:jc w:val="center"/>
              <w:rPr>
                <w:b w:val="0"/>
                <w:sz w:val="18"/>
                <w:szCs w:val="18"/>
              </w:rPr>
            </w:pPr>
            <w:r w:rsidRPr="00324B27">
              <w:rPr>
                <w:b w:val="0"/>
                <w:sz w:val="18"/>
                <w:szCs w:val="18"/>
              </w:rPr>
              <w:t>0.0</w:t>
            </w:r>
          </w:p>
        </w:tc>
        <w:tc>
          <w:tcPr>
            <w:tcW w:w="732" w:type="dxa"/>
            <w:shd w:val="clear" w:color="auto" w:fill="auto"/>
            <w:noWrap/>
            <w:vAlign w:val="bottom"/>
          </w:tcPr>
          <w:p w14:paraId="4A0C11E5" w14:textId="77777777" w:rsidR="000C298C" w:rsidRPr="00324B27" w:rsidRDefault="000C298C" w:rsidP="00E54C03">
            <w:pPr>
              <w:ind w:left="-390"/>
              <w:jc w:val="center"/>
              <w:rPr>
                <w:b w:val="0"/>
                <w:sz w:val="18"/>
                <w:szCs w:val="18"/>
              </w:rPr>
            </w:pPr>
            <w:r w:rsidRPr="00324B27">
              <w:rPr>
                <w:b w:val="0"/>
                <w:sz w:val="18"/>
                <w:szCs w:val="18"/>
              </w:rPr>
              <w:t>0.5</w:t>
            </w:r>
          </w:p>
        </w:tc>
        <w:tc>
          <w:tcPr>
            <w:tcW w:w="1287" w:type="dxa"/>
            <w:shd w:val="clear" w:color="auto" w:fill="auto"/>
            <w:noWrap/>
            <w:vAlign w:val="bottom"/>
          </w:tcPr>
          <w:p w14:paraId="4C175DE0" w14:textId="77777777" w:rsidR="000C298C" w:rsidRPr="00324B27" w:rsidRDefault="000C298C" w:rsidP="00E54C03">
            <w:pPr>
              <w:ind w:left="-390"/>
              <w:jc w:val="center"/>
              <w:rPr>
                <w:b w:val="0"/>
                <w:sz w:val="18"/>
                <w:szCs w:val="18"/>
              </w:rPr>
            </w:pPr>
            <w:r w:rsidRPr="00324B27">
              <w:rPr>
                <w:b w:val="0"/>
                <w:sz w:val="18"/>
                <w:szCs w:val="18"/>
              </w:rPr>
              <w:t>0.5</w:t>
            </w:r>
          </w:p>
        </w:tc>
      </w:tr>
      <w:tr w:rsidR="000C298C" w:rsidRPr="00324B27" w14:paraId="2E1E8D06" w14:textId="77777777" w:rsidTr="00E54C03">
        <w:trPr>
          <w:trHeight w:val="310"/>
        </w:trPr>
        <w:tc>
          <w:tcPr>
            <w:tcW w:w="5988" w:type="dxa"/>
            <w:shd w:val="clear" w:color="auto" w:fill="auto"/>
            <w:vAlign w:val="bottom"/>
            <w:hideMark/>
          </w:tcPr>
          <w:p w14:paraId="3F92D6A1" w14:textId="77777777" w:rsidR="000C298C" w:rsidRPr="00324B27" w:rsidRDefault="000C298C" w:rsidP="00324B27">
            <w:pPr>
              <w:spacing w:line="360" w:lineRule="auto"/>
              <w:ind w:left="-30" w:firstLine="165"/>
              <w:contextualSpacing/>
              <w:jc w:val="left"/>
              <w:rPr>
                <w:b w:val="0"/>
                <w:color w:val="000000"/>
                <w:sz w:val="18"/>
                <w:szCs w:val="18"/>
              </w:rPr>
            </w:pPr>
            <w:r w:rsidRPr="00324B27">
              <w:rPr>
                <w:b w:val="0"/>
                <w:color w:val="000000"/>
                <w:sz w:val="18"/>
                <w:szCs w:val="18"/>
              </w:rPr>
              <w:t>Ռայֆայզն Բանկ (Ավստրիա)</w:t>
            </w:r>
          </w:p>
        </w:tc>
        <w:tc>
          <w:tcPr>
            <w:tcW w:w="1362" w:type="dxa"/>
            <w:shd w:val="clear" w:color="auto" w:fill="auto"/>
            <w:noWrap/>
            <w:vAlign w:val="bottom"/>
          </w:tcPr>
          <w:p w14:paraId="7F40A392" w14:textId="77777777" w:rsidR="000C298C" w:rsidRPr="00324B27" w:rsidRDefault="000C298C" w:rsidP="00E54C03">
            <w:pPr>
              <w:ind w:left="-390"/>
              <w:jc w:val="center"/>
              <w:rPr>
                <w:b w:val="0"/>
                <w:sz w:val="18"/>
                <w:szCs w:val="18"/>
              </w:rPr>
            </w:pPr>
            <w:r w:rsidRPr="00324B27">
              <w:rPr>
                <w:b w:val="0"/>
                <w:sz w:val="18"/>
                <w:szCs w:val="18"/>
              </w:rPr>
              <w:t>0.0</w:t>
            </w:r>
          </w:p>
        </w:tc>
        <w:tc>
          <w:tcPr>
            <w:tcW w:w="732" w:type="dxa"/>
            <w:shd w:val="clear" w:color="auto" w:fill="auto"/>
            <w:noWrap/>
            <w:vAlign w:val="bottom"/>
          </w:tcPr>
          <w:p w14:paraId="6DD00402" w14:textId="77777777" w:rsidR="000C298C" w:rsidRPr="00324B27" w:rsidRDefault="000C298C" w:rsidP="00E54C03">
            <w:pPr>
              <w:ind w:left="-390"/>
              <w:jc w:val="center"/>
              <w:rPr>
                <w:b w:val="0"/>
                <w:sz w:val="18"/>
                <w:szCs w:val="18"/>
              </w:rPr>
            </w:pPr>
            <w:r w:rsidRPr="00324B27">
              <w:rPr>
                <w:b w:val="0"/>
                <w:sz w:val="18"/>
                <w:szCs w:val="18"/>
              </w:rPr>
              <w:t>0.9</w:t>
            </w:r>
          </w:p>
        </w:tc>
        <w:tc>
          <w:tcPr>
            <w:tcW w:w="1287" w:type="dxa"/>
            <w:shd w:val="clear" w:color="auto" w:fill="auto"/>
            <w:noWrap/>
            <w:vAlign w:val="bottom"/>
          </w:tcPr>
          <w:p w14:paraId="6036B730" w14:textId="77777777" w:rsidR="000C298C" w:rsidRPr="00324B27" w:rsidRDefault="000C298C" w:rsidP="00E54C03">
            <w:pPr>
              <w:ind w:left="-390"/>
              <w:jc w:val="center"/>
              <w:rPr>
                <w:b w:val="0"/>
                <w:sz w:val="18"/>
                <w:szCs w:val="18"/>
              </w:rPr>
            </w:pPr>
            <w:r w:rsidRPr="00324B27">
              <w:rPr>
                <w:b w:val="0"/>
                <w:sz w:val="18"/>
                <w:szCs w:val="18"/>
              </w:rPr>
              <w:t>1.0</w:t>
            </w:r>
          </w:p>
        </w:tc>
      </w:tr>
      <w:tr w:rsidR="000C298C" w:rsidRPr="00324B27" w14:paraId="3975AE0F" w14:textId="77777777" w:rsidTr="00E54C03">
        <w:trPr>
          <w:trHeight w:val="310"/>
        </w:trPr>
        <w:tc>
          <w:tcPr>
            <w:tcW w:w="5988" w:type="dxa"/>
            <w:shd w:val="clear" w:color="auto" w:fill="auto"/>
            <w:vAlign w:val="bottom"/>
            <w:hideMark/>
          </w:tcPr>
          <w:p w14:paraId="6514D7D3" w14:textId="77777777" w:rsidR="000C298C" w:rsidRPr="00324B27" w:rsidRDefault="000C298C" w:rsidP="00324B27">
            <w:pPr>
              <w:spacing w:line="360" w:lineRule="auto"/>
              <w:ind w:left="-30" w:firstLine="30"/>
              <w:contextualSpacing/>
              <w:jc w:val="left"/>
              <w:rPr>
                <w:b w:val="0"/>
                <w:color w:val="000000"/>
                <w:sz w:val="18"/>
                <w:szCs w:val="18"/>
              </w:rPr>
            </w:pPr>
            <w:r w:rsidRPr="00324B27">
              <w:rPr>
                <w:b w:val="0"/>
                <w:color w:val="000000"/>
                <w:sz w:val="18"/>
                <w:szCs w:val="18"/>
              </w:rPr>
              <w:lastRenderedPageBreak/>
              <w:t>Էռստե Բանկ (Ավստրիա)</w:t>
            </w:r>
          </w:p>
        </w:tc>
        <w:tc>
          <w:tcPr>
            <w:tcW w:w="1362" w:type="dxa"/>
            <w:shd w:val="clear" w:color="auto" w:fill="auto"/>
            <w:noWrap/>
            <w:vAlign w:val="bottom"/>
          </w:tcPr>
          <w:p w14:paraId="6BA89FC7" w14:textId="77777777" w:rsidR="000C298C" w:rsidRPr="00324B27" w:rsidRDefault="000C298C" w:rsidP="00E54C03">
            <w:pPr>
              <w:ind w:left="-390"/>
              <w:jc w:val="center"/>
              <w:rPr>
                <w:b w:val="0"/>
                <w:sz w:val="18"/>
                <w:szCs w:val="18"/>
              </w:rPr>
            </w:pPr>
            <w:r w:rsidRPr="00324B27">
              <w:rPr>
                <w:b w:val="0"/>
                <w:sz w:val="18"/>
                <w:szCs w:val="18"/>
              </w:rPr>
              <w:t>0.1</w:t>
            </w:r>
          </w:p>
        </w:tc>
        <w:tc>
          <w:tcPr>
            <w:tcW w:w="732" w:type="dxa"/>
            <w:shd w:val="clear" w:color="auto" w:fill="auto"/>
            <w:noWrap/>
            <w:vAlign w:val="bottom"/>
          </w:tcPr>
          <w:p w14:paraId="3F06853C" w14:textId="77777777" w:rsidR="000C298C" w:rsidRPr="00324B27" w:rsidRDefault="000C298C" w:rsidP="00E54C03">
            <w:pPr>
              <w:ind w:left="-390"/>
              <w:jc w:val="center"/>
              <w:rPr>
                <w:b w:val="0"/>
                <w:sz w:val="18"/>
                <w:szCs w:val="18"/>
              </w:rPr>
            </w:pPr>
            <w:r w:rsidRPr="00324B27">
              <w:rPr>
                <w:b w:val="0"/>
                <w:sz w:val="18"/>
                <w:szCs w:val="18"/>
              </w:rPr>
              <w:t>0.7</w:t>
            </w:r>
          </w:p>
        </w:tc>
        <w:tc>
          <w:tcPr>
            <w:tcW w:w="1287" w:type="dxa"/>
            <w:shd w:val="clear" w:color="auto" w:fill="auto"/>
            <w:noWrap/>
            <w:vAlign w:val="bottom"/>
          </w:tcPr>
          <w:p w14:paraId="78323705" w14:textId="77777777" w:rsidR="000C298C" w:rsidRPr="00324B27" w:rsidRDefault="000C298C" w:rsidP="00E54C03">
            <w:pPr>
              <w:ind w:left="-390"/>
              <w:jc w:val="center"/>
              <w:rPr>
                <w:b w:val="0"/>
                <w:sz w:val="18"/>
                <w:szCs w:val="18"/>
              </w:rPr>
            </w:pPr>
            <w:r w:rsidRPr="00324B27">
              <w:rPr>
                <w:b w:val="0"/>
                <w:sz w:val="18"/>
                <w:szCs w:val="18"/>
              </w:rPr>
              <w:t>0.8</w:t>
            </w:r>
          </w:p>
        </w:tc>
      </w:tr>
      <w:tr w:rsidR="000C298C" w:rsidRPr="00324B27" w14:paraId="63CDF048" w14:textId="77777777" w:rsidTr="00E54C03">
        <w:trPr>
          <w:trHeight w:val="310"/>
        </w:trPr>
        <w:tc>
          <w:tcPr>
            <w:tcW w:w="5988" w:type="dxa"/>
            <w:tcBorders>
              <w:top w:val="single" w:sz="4" w:space="0" w:color="auto"/>
              <w:bottom w:val="single" w:sz="4" w:space="0" w:color="auto"/>
            </w:tcBorders>
            <w:shd w:val="clear" w:color="auto" w:fill="auto"/>
            <w:vAlign w:val="bottom"/>
            <w:hideMark/>
          </w:tcPr>
          <w:p w14:paraId="72A33702" w14:textId="77777777" w:rsidR="000C298C" w:rsidRPr="00324B27" w:rsidRDefault="000C298C" w:rsidP="00324B27">
            <w:pPr>
              <w:spacing w:line="360" w:lineRule="auto"/>
              <w:ind w:left="-30"/>
              <w:contextualSpacing/>
              <w:jc w:val="left"/>
              <w:rPr>
                <w:b w:val="0"/>
                <w:color w:val="000000"/>
                <w:sz w:val="18"/>
                <w:szCs w:val="18"/>
              </w:rPr>
            </w:pPr>
            <w:r w:rsidRPr="00324B27">
              <w:rPr>
                <w:b w:val="0"/>
                <w:color w:val="000000"/>
                <w:sz w:val="18"/>
                <w:szCs w:val="18"/>
              </w:rPr>
              <w:t>Ընդամենը</w:t>
            </w:r>
          </w:p>
        </w:tc>
        <w:tc>
          <w:tcPr>
            <w:tcW w:w="1362" w:type="dxa"/>
            <w:tcBorders>
              <w:top w:val="single" w:sz="4" w:space="0" w:color="auto"/>
              <w:bottom w:val="single" w:sz="4" w:space="0" w:color="auto"/>
            </w:tcBorders>
            <w:shd w:val="clear" w:color="auto" w:fill="auto"/>
            <w:noWrap/>
            <w:vAlign w:val="bottom"/>
          </w:tcPr>
          <w:p w14:paraId="7A824574" w14:textId="77777777" w:rsidR="000C298C" w:rsidRPr="00324B27" w:rsidRDefault="000C298C" w:rsidP="00E54C03">
            <w:pPr>
              <w:ind w:left="-390"/>
              <w:jc w:val="center"/>
              <w:rPr>
                <w:bCs/>
                <w:sz w:val="18"/>
                <w:szCs w:val="18"/>
              </w:rPr>
            </w:pPr>
            <w:r w:rsidRPr="00324B27">
              <w:rPr>
                <w:b w:val="0"/>
                <w:bCs/>
                <w:sz w:val="18"/>
                <w:szCs w:val="18"/>
              </w:rPr>
              <w:t>208.9</w:t>
            </w:r>
          </w:p>
        </w:tc>
        <w:tc>
          <w:tcPr>
            <w:tcW w:w="732" w:type="dxa"/>
            <w:tcBorders>
              <w:top w:val="single" w:sz="4" w:space="0" w:color="auto"/>
              <w:bottom w:val="single" w:sz="4" w:space="0" w:color="auto"/>
            </w:tcBorders>
            <w:shd w:val="clear" w:color="auto" w:fill="auto"/>
            <w:noWrap/>
            <w:vAlign w:val="bottom"/>
          </w:tcPr>
          <w:p w14:paraId="72AF6B8C" w14:textId="77777777" w:rsidR="000C298C" w:rsidRPr="00324B27" w:rsidRDefault="000C298C" w:rsidP="00E54C03">
            <w:pPr>
              <w:ind w:left="-390"/>
              <w:jc w:val="center"/>
              <w:rPr>
                <w:b w:val="0"/>
                <w:bCs/>
                <w:sz w:val="18"/>
                <w:szCs w:val="18"/>
              </w:rPr>
            </w:pPr>
            <w:r w:rsidRPr="00324B27">
              <w:rPr>
                <w:b w:val="0"/>
                <w:bCs/>
                <w:sz w:val="18"/>
                <w:szCs w:val="18"/>
              </w:rPr>
              <w:t>434.8</w:t>
            </w:r>
          </w:p>
        </w:tc>
        <w:tc>
          <w:tcPr>
            <w:tcW w:w="1287" w:type="dxa"/>
            <w:tcBorders>
              <w:top w:val="single" w:sz="4" w:space="0" w:color="auto"/>
              <w:bottom w:val="single" w:sz="4" w:space="0" w:color="auto"/>
            </w:tcBorders>
            <w:shd w:val="clear" w:color="auto" w:fill="auto"/>
            <w:noWrap/>
            <w:vAlign w:val="bottom"/>
          </w:tcPr>
          <w:p w14:paraId="4EBDD62A" w14:textId="77777777" w:rsidR="000C298C" w:rsidRPr="00324B27" w:rsidRDefault="000C298C" w:rsidP="00E54C03">
            <w:pPr>
              <w:ind w:left="-390"/>
              <w:jc w:val="center"/>
              <w:rPr>
                <w:b w:val="0"/>
                <w:bCs/>
                <w:sz w:val="18"/>
                <w:szCs w:val="18"/>
              </w:rPr>
            </w:pPr>
            <w:r w:rsidRPr="00324B27">
              <w:rPr>
                <w:b w:val="0"/>
                <w:bCs/>
                <w:sz w:val="18"/>
                <w:szCs w:val="18"/>
              </w:rPr>
              <w:t>643.7</w:t>
            </w:r>
          </w:p>
        </w:tc>
      </w:tr>
    </w:tbl>
    <w:p w14:paraId="6E87F0FD" w14:textId="77777777" w:rsidR="000C298C" w:rsidRPr="00864B6B" w:rsidRDefault="000C298C" w:rsidP="000C298C">
      <w:pPr>
        <w:spacing w:before="0" w:after="120" w:line="360" w:lineRule="auto"/>
        <w:rPr>
          <w:rFonts w:eastAsia="Calibri"/>
          <w:b w:val="0"/>
          <w:bCs/>
          <w:szCs w:val="22"/>
          <w:lang w:val="hy-AM" w:eastAsia="en-US"/>
        </w:rPr>
      </w:pPr>
    </w:p>
    <w:p w14:paraId="70351D42" w14:textId="77777777" w:rsidR="000C298C" w:rsidRDefault="000C298C" w:rsidP="000C298C">
      <w:pPr>
        <w:shd w:val="clear" w:color="auto" w:fill="FFFFFF"/>
        <w:rPr>
          <w:rFonts w:eastAsia="Calibri"/>
          <w:b w:val="0"/>
          <w:szCs w:val="22"/>
          <w:lang w:val="hy-AM" w:eastAsia="en-US"/>
        </w:rPr>
      </w:pPr>
      <w:r w:rsidRPr="00864B6B">
        <w:rPr>
          <w:rFonts w:eastAsia="Calibri"/>
          <w:b w:val="0"/>
          <w:szCs w:val="22"/>
          <w:lang w:val="hy-AM" w:eastAsia="en-US"/>
        </w:rPr>
        <w:t>Արտարժութային պետական պարտատոմսերի սպասարկման ծախսերը 2024 թվականին կկազմեն 7</w:t>
      </w:r>
      <w:r>
        <w:rPr>
          <w:rFonts w:eastAsia="Calibri"/>
          <w:b w:val="0"/>
          <w:szCs w:val="22"/>
          <w:lang w:val="hy-AM" w:eastAsia="en-US"/>
        </w:rPr>
        <w:t>2.6</w:t>
      </w:r>
      <w:r w:rsidRPr="00864B6B">
        <w:rPr>
          <w:rFonts w:eastAsia="Calibri"/>
          <w:b w:val="0"/>
          <w:szCs w:val="22"/>
          <w:lang w:val="hy-AM" w:eastAsia="en-US"/>
        </w:rPr>
        <w:t xml:space="preserve"> մլն ԱՄՆ դոլար` շրջանառության մեջ գտնվող պարտատոմսերի գծով արժեկտրոնային վճարումների համար:</w:t>
      </w:r>
    </w:p>
    <w:p w14:paraId="297F0331" w14:textId="77777777" w:rsidR="00885D1A" w:rsidRPr="00864B6B" w:rsidRDefault="00885D1A" w:rsidP="00934827">
      <w:pPr>
        <w:shd w:val="clear" w:color="auto" w:fill="FFFFFF"/>
        <w:rPr>
          <w:rFonts w:eastAsia="Calibri"/>
          <w:b w:val="0"/>
          <w:szCs w:val="22"/>
          <w:lang w:val="hy-AM" w:eastAsia="en-US"/>
        </w:rPr>
      </w:pPr>
    </w:p>
    <w:p w14:paraId="08AA3C5B" w14:textId="77777777" w:rsidR="0087134D" w:rsidRPr="00290696" w:rsidRDefault="0087134D" w:rsidP="0009272D">
      <w:pPr>
        <w:pStyle w:val="Heading1"/>
      </w:pPr>
      <w:bookmarkStart w:id="348" w:name="_Toc153184518"/>
      <w:r w:rsidRPr="00290696">
        <w:t>2. ՊԵՏԱԿԱՆ ԲՅՈՒՋԵԻ ՎՐԱ ՄԱԿՐՈՏՆՏԵՍԱԿԱՆ ԿԱՆԽԱՏԵՍՎԱԾ ՑՈՒՑԱՆԻՇՆԵՐԻՑ ՇԵՂՄԱՆ ՌԻՍԿԵՐԻ ԱԶԴԵՑՈՒԹՅԱՆ ՔԱՆԱԿԱԿԱՆ ԳՆԱՀԱՏՈՒՄ</w:t>
      </w:r>
      <w:bookmarkEnd w:id="331"/>
      <w:bookmarkEnd w:id="348"/>
    </w:p>
    <w:p w14:paraId="05DA2277" w14:textId="77777777" w:rsidR="0087134D" w:rsidRPr="007955BB" w:rsidRDefault="0087134D" w:rsidP="00155BCD">
      <w:pPr>
        <w:rPr>
          <w:sz w:val="24"/>
          <w:lang w:val="es-ES"/>
        </w:rPr>
      </w:pPr>
      <w:bookmarkStart w:id="349" w:name="_Toc14687616"/>
      <w:bookmarkStart w:id="350" w:name="_Toc13837280"/>
    </w:p>
    <w:p w14:paraId="2B0ACBD9" w14:textId="77777777" w:rsidR="00EB28B4" w:rsidRPr="007955BB" w:rsidRDefault="00EB28B4" w:rsidP="00EB28B4">
      <w:pPr>
        <w:rPr>
          <w:szCs w:val="22"/>
          <w:lang w:val="hy-AM"/>
        </w:rPr>
      </w:pPr>
      <w:bookmarkStart w:id="351" w:name="_Toc83663900"/>
      <w:bookmarkStart w:id="352" w:name="_Toc83972893"/>
      <w:bookmarkStart w:id="353" w:name="_Toc83650399"/>
      <w:bookmarkStart w:id="354" w:name="_Toc83972894"/>
      <w:bookmarkEnd w:id="349"/>
      <w:bookmarkEnd w:id="350"/>
      <w:r w:rsidRPr="007955BB">
        <w:rPr>
          <w:szCs w:val="22"/>
          <w:lang w:val="hy-AM"/>
        </w:rPr>
        <w:t>202</w:t>
      </w:r>
      <w:r>
        <w:rPr>
          <w:szCs w:val="22"/>
          <w:lang w:val="hy-AM"/>
        </w:rPr>
        <w:t>4</w:t>
      </w:r>
      <w:r w:rsidRPr="007955BB">
        <w:rPr>
          <w:szCs w:val="22"/>
          <w:lang w:val="hy-AM"/>
        </w:rPr>
        <w:t xml:space="preserve"> թվականին պետական բյուջեի հարկային եկամուտների վրա մակրոտնտեսական ցուցանիշների կանխատեսվածից շեղման ռիսկերի ազդեցության քանակական գնահատումը</w:t>
      </w:r>
    </w:p>
    <w:p w14:paraId="583B1B59" w14:textId="77777777" w:rsidR="00EB28B4" w:rsidRPr="007955BB" w:rsidRDefault="00EB28B4" w:rsidP="00EB28B4">
      <w:pPr>
        <w:rPr>
          <w:rFonts w:cs="Sylfaen"/>
          <w:b w:val="0"/>
          <w:lang w:val="hy-AM"/>
        </w:rPr>
      </w:pPr>
      <w:r w:rsidRPr="007955BB">
        <w:rPr>
          <w:rFonts w:cs="Sylfaen"/>
          <w:b w:val="0"/>
          <w:lang w:val="hy-AM"/>
        </w:rPr>
        <w:t>Կարճաժամկետ հատվածում հարկային եկամուտների կանխատեսվող հոսքերի վրա մակրոտնտեսական բնույթի ռիսկերի ազդեցության քանակական գնահատումը հիմնվել է ստորև նկարագրված կանխատեսումների ռիսկի և ենթադրություններից շեղումների ռիսկի վրա:</w:t>
      </w:r>
    </w:p>
    <w:p w14:paraId="6E95052A" w14:textId="77777777" w:rsidR="00EB28B4" w:rsidRPr="007955BB" w:rsidRDefault="00EB28B4" w:rsidP="00EB28B4">
      <w:pPr>
        <w:rPr>
          <w:rFonts w:cs="Sylfaen"/>
          <w:lang w:val="hy-AM"/>
        </w:rPr>
      </w:pPr>
      <w:r w:rsidRPr="007955BB">
        <w:rPr>
          <w:rFonts w:cs="Sylfaen"/>
          <w:lang w:val="hy-AM"/>
        </w:rPr>
        <w:t>1. Կանխատեսումների ռիսկ</w:t>
      </w:r>
    </w:p>
    <w:p w14:paraId="65F4024F" w14:textId="77777777" w:rsidR="00EB28B4" w:rsidRPr="006E29F6" w:rsidRDefault="00EB28B4" w:rsidP="00EB28B4">
      <w:pPr>
        <w:rPr>
          <w:rFonts w:cs="Sylfaen"/>
          <w:b w:val="0"/>
          <w:bCs/>
          <w:lang w:val="hy-AM"/>
        </w:rPr>
      </w:pPr>
      <w:r w:rsidRPr="006E29F6">
        <w:rPr>
          <w:rFonts w:cs="Sylfaen"/>
          <w:b w:val="0"/>
          <w:bCs/>
          <w:lang w:val="hy-AM"/>
        </w:rPr>
        <w:t>Սովորաբար կանխատեսումներ իրականացնելիս ի հայտ են գալիս հանգամանքներ, որոնք կապված են լինում օգտագործվող կանխատեսման մոդելների տեղայնացումից և մասնավորեցումից, տնտեսության կառուցվածքային տեղաշարժերից</w:t>
      </w:r>
      <w:r w:rsidRPr="006E29F6">
        <w:rPr>
          <w:rFonts w:cs="Sylfaen"/>
          <w:b w:val="0"/>
          <w:bCs/>
          <w:vertAlign w:val="superscript"/>
          <w:lang w:val="hy-AM"/>
        </w:rPr>
        <w:footnoteReference w:id="30"/>
      </w:r>
      <w:r w:rsidRPr="006E29F6">
        <w:rPr>
          <w:rFonts w:cs="Sylfaen"/>
          <w:b w:val="0"/>
          <w:bCs/>
          <w:lang w:val="hy-AM"/>
        </w:rPr>
        <w:t>, նոր երևույթներից (որի վերաբերյալ նախկինում տեղեկատվությունը բացակայել է) և այլն: Այս ռիսկերն ընդունված է անվանել կանխա</w:t>
      </w:r>
      <w:r w:rsidRPr="006E29F6">
        <w:rPr>
          <w:rFonts w:cs="Sylfaen"/>
          <w:b w:val="0"/>
          <w:bCs/>
          <w:lang w:val="hy-AM"/>
        </w:rPr>
        <w:softHyphen/>
        <w:t>տես</w:t>
      </w:r>
      <w:r w:rsidRPr="006E29F6">
        <w:rPr>
          <w:rFonts w:cs="Sylfaen"/>
          <w:b w:val="0"/>
          <w:bCs/>
          <w:lang w:val="hy-AM"/>
        </w:rPr>
        <w:softHyphen/>
        <w:t>ման ռիսկեր: ՄԺԾԾ տեսանկյունից կարևորվում է ՀՆԱ-ի կանխատեսման ռիսկի գնահատումը, քանի որ ՄԺԾԾ սցենարի սահուն իրականացումը կախված է տնտեսությունում ստեղծված անվանական ՀՆԱ-ի մեծությունից: ՀՆԱ-ի գծով կանխատեսումների ռիսկը գնահատվել է վերջին տասնամյակում միջնաժամկետ ծախսերի ծրագրերի հիմքում դրվող ՀՆԱ-ի կանխատեսված ցուցա</w:t>
      </w:r>
      <w:r w:rsidRPr="006E29F6">
        <w:rPr>
          <w:rFonts w:cs="Sylfaen"/>
          <w:b w:val="0"/>
          <w:bCs/>
          <w:lang w:val="hy-AM"/>
        </w:rPr>
        <w:softHyphen/>
        <w:t xml:space="preserve">նիշների և ՀՆԱ-ի փաստացի ցուցանիշների միջև շեղման հիման վրա, ինչպես նաև՝ ապագայի համար ենթադրված, որոշակի հավանականություն ունեցող և բացասական ռիսկեր արտացոլող սցենարների վրա՝ համահունչ սույն փաստաթղթի՝ </w:t>
      </w:r>
      <w:r w:rsidRPr="006E29F6">
        <w:rPr>
          <w:rFonts w:eastAsia="Calibri" w:cs="Sylfaen"/>
          <w:b w:val="0"/>
          <w:bCs/>
          <w:iCs/>
          <w:lang w:val="hy-AM"/>
        </w:rPr>
        <w:t xml:space="preserve">Գլուխ 1. Մակրոտնտեսական զարգացումներ և </w:t>
      </w:r>
      <w:r w:rsidRPr="006E29F6">
        <w:rPr>
          <w:rFonts w:eastAsia="Calibri" w:cs="Sylfaen"/>
          <w:b w:val="0"/>
          <w:bCs/>
          <w:iCs/>
          <w:lang w:val="hy-AM"/>
        </w:rPr>
        <w:lastRenderedPageBreak/>
        <w:t>կանխատեսումներ» հատվածի Ներդիր 1-ին, ինչպես նաև «4. ՀՀ կառավարության պարտքի կայունության վերլուծությունը» բաժնին:</w:t>
      </w:r>
      <w:r w:rsidRPr="006E29F6">
        <w:rPr>
          <w:rFonts w:cs="Sylfaen"/>
          <w:b w:val="0"/>
          <w:bCs/>
          <w:lang w:val="hy-AM"/>
        </w:rPr>
        <w:t xml:space="preserve"> </w:t>
      </w:r>
    </w:p>
    <w:p w14:paraId="5D0979D2" w14:textId="77777777" w:rsidR="00EB28B4" w:rsidRPr="006E29F6" w:rsidRDefault="00EB28B4" w:rsidP="00EB28B4">
      <w:pPr>
        <w:rPr>
          <w:rFonts w:cs="Sylfaen"/>
          <w:b w:val="0"/>
          <w:bCs/>
          <w:lang w:val="hy-AM"/>
        </w:rPr>
      </w:pPr>
      <w:r w:rsidRPr="006E29F6">
        <w:rPr>
          <w:rFonts w:cs="Sylfaen"/>
          <w:b w:val="0"/>
          <w:bCs/>
          <w:lang w:val="hy-AM"/>
        </w:rPr>
        <w:t>ՀՆԱ-ի կանխատեսումներից փաստացիի շեղումները վերջին տասնամյակի համար եղել են 3.4 տոկոսային կետ</w:t>
      </w:r>
      <w:r w:rsidRPr="006E29F6">
        <w:rPr>
          <w:rStyle w:val="FootnoteReference"/>
          <w:rFonts w:cs="Sylfaen"/>
          <w:b w:val="0"/>
          <w:bCs/>
          <w:lang w:val="hy-AM"/>
        </w:rPr>
        <w:footnoteReference w:id="31"/>
      </w:r>
      <w:r w:rsidRPr="006E29F6">
        <w:rPr>
          <w:rFonts w:cs="Sylfaen"/>
          <w:b w:val="0"/>
          <w:bCs/>
          <w:lang w:val="hy-AM"/>
        </w:rPr>
        <w:t>: Այս պարագայում, հաշվի առնելով կանխատեսվածից ցածր ՀՆԱ-ի ձևավորման վերոնկարագրյալ ռիսկերի գերակշռությունը, որպես ռիսկ է դիտարկվել ՀՆԱ-ի իրական աճի կանխատեսվածից 3.4 տոկոսային կետով ավելի ցածր ցուցանիշի ձևավորումը 2024 թվականին:</w:t>
      </w:r>
    </w:p>
    <w:p w14:paraId="4F93676C" w14:textId="77777777" w:rsidR="00EB28B4" w:rsidRPr="006E29F6" w:rsidRDefault="00EB28B4" w:rsidP="00EB28B4">
      <w:pPr>
        <w:rPr>
          <w:rFonts w:cs="Sylfaen"/>
          <w:b w:val="0"/>
          <w:bCs/>
          <w:lang w:val="hy-AM"/>
        </w:rPr>
      </w:pPr>
      <w:r w:rsidRPr="006E29F6">
        <w:rPr>
          <w:rFonts w:cs="Sylfaen"/>
          <w:b w:val="0"/>
          <w:bCs/>
          <w:lang w:val="hy-AM"/>
        </w:rPr>
        <w:t>Արդյունքում, ՀՆԱ նվազման ռիսկի ազդեցությունը հարկային եկամուտների վրա 2024 թվականի համար գնահատվում է 28.</w:t>
      </w:r>
      <w:r>
        <w:rPr>
          <w:rFonts w:cs="Sylfaen"/>
          <w:b w:val="0"/>
          <w:bCs/>
          <w:lang w:val="hy-AM"/>
        </w:rPr>
        <w:t>7</w:t>
      </w:r>
      <w:r w:rsidRPr="006E29F6">
        <w:rPr>
          <w:rFonts w:cs="Sylfaen"/>
          <w:b w:val="0"/>
          <w:bCs/>
          <w:lang w:val="hy-AM"/>
        </w:rPr>
        <w:t xml:space="preserve"> մլրդ ՀՀ դրամ ֆինանսական պահանջի ավելացման ուղղությամբ:</w:t>
      </w:r>
    </w:p>
    <w:p w14:paraId="64F376EB" w14:textId="77777777" w:rsidR="00EB28B4" w:rsidRDefault="00EB28B4" w:rsidP="00EB28B4">
      <w:pPr>
        <w:rPr>
          <w:rFonts w:cs="Sylfaen"/>
          <w:lang w:val="hy-AM"/>
        </w:rPr>
      </w:pPr>
      <w:r w:rsidRPr="007955BB">
        <w:rPr>
          <w:rFonts w:cs="Sylfaen"/>
          <w:lang w:val="hy-AM"/>
        </w:rPr>
        <w:t>2. Ենթադրություններից շեղումների ռիսկ</w:t>
      </w:r>
    </w:p>
    <w:p w14:paraId="6B2609A8" w14:textId="77777777" w:rsidR="00EB28B4" w:rsidRPr="00603C0E" w:rsidRDefault="00EB28B4" w:rsidP="00EB28B4">
      <w:pPr>
        <w:rPr>
          <w:rFonts w:cs="Sylfaen"/>
          <w:b w:val="0"/>
          <w:bCs/>
          <w:lang w:val="hy-AM"/>
        </w:rPr>
      </w:pPr>
      <w:r>
        <w:rPr>
          <w:rFonts w:cs="Sylfaen"/>
          <w:b w:val="0"/>
          <w:lang w:val="hy-AM"/>
        </w:rPr>
        <w:t>Բյուջեի</w:t>
      </w:r>
      <w:r w:rsidRPr="007955BB">
        <w:rPr>
          <w:rFonts w:cs="Sylfaen"/>
          <w:b w:val="0"/>
          <w:lang w:val="hy-AM"/>
        </w:rPr>
        <w:t xml:space="preserve"> հիմքում </w:t>
      </w:r>
      <w:r w:rsidRPr="00603C0E">
        <w:rPr>
          <w:rFonts w:cs="Sylfaen"/>
          <w:b w:val="0"/>
          <w:bCs/>
          <w:lang w:val="hy-AM"/>
        </w:rPr>
        <w:t xml:space="preserve">դրվող կանխատեսումները կառուցվում են որոշակի ենթադրությունների հիման վրա, որոնք էլ իրենց հերթին կախված են արտաքին կամ  ներքին գործոններից։ Սակայն միշտ չէ, որ այդ ենթադրությունները կանխատեսվող հորիզոնում իրականություն են դառնում՝ կապված ՀՀ կառավարության և ՀՀ ԿԲ-ի կառավարման դաշտից դուրս ի հայտ եկող երևույթների հետ: </w:t>
      </w:r>
    </w:p>
    <w:p w14:paraId="2D4D6EA3" w14:textId="77777777" w:rsidR="00EB28B4" w:rsidRPr="00603C0E" w:rsidRDefault="00EB28B4" w:rsidP="00EB28B4">
      <w:pPr>
        <w:rPr>
          <w:rFonts w:cs="Sylfaen"/>
          <w:b w:val="0"/>
          <w:bCs/>
          <w:lang w:val="hy-AM"/>
        </w:rPr>
      </w:pPr>
      <w:r w:rsidRPr="00603C0E">
        <w:rPr>
          <w:rFonts w:cs="Sylfaen"/>
          <w:b w:val="0"/>
          <w:bCs/>
          <w:lang w:val="hy-AM"/>
        </w:rPr>
        <w:t xml:space="preserve">Բացի արտաքին գործոններից, ենթադրությունների ռիսկ է հարկեր/ՀՆԱ թիրախավորված բարելավման չապահովումը՝ հարկային օրենսդրական բարեփոխումների կամ վարչարարության կատարելագործման ոչ բավարար տեմպ ապահովելու դեպքում։ </w:t>
      </w:r>
    </w:p>
    <w:p w14:paraId="0E9A3FC1" w14:textId="77777777" w:rsidR="00EB28B4" w:rsidRPr="00603C0E" w:rsidRDefault="00EB28B4" w:rsidP="00EB28B4">
      <w:pPr>
        <w:rPr>
          <w:rFonts w:cs="Sylfaen"/>
          <w:b w:val="0"/>
          <w:bCs/>
          <w:lang w:val="hy-AM"/>
        </w:rPr>
      </w:pPr>
      <w:r w:rsidRPr="00603C0E">
        <w:rPr>
          <w:rFonts w:cs="Sylfaen"/>
          <w:b w:val="0"/>
          <w:bCs/>
          <w:lang w:val="hy-AM"/>
        </w:rPr>
        <w:t>Ենթադրություններից շեղումների ռիսկ է նաև ԵԱՏՄ անդամ պետությունների տնտեսական զարգացումները: Միաժամանակ, ՀՀ պետական բյուջեի հարկային եկամուտներում մաքսա</w:t>
      </w:r>
      <w:r w:rsidRPr="00603C0E">
        <w:rPr>
          <w:rFonts w:cs="Sylfaen"/>
          <w:b w:val="0"/>
          <w:bCs/>
          <w:lang w:val="hy-AM"/>
        </w:rPr>
        <w:softHyphen/>
        <w:t>տուր</w:t>
      </w:r>
      <w:r w:rsidRPr="00603C0E">
        <w:rPr>
          <w:rFonts w:cs="Sylfaen"/>
          <w:b w:val="0"/>
          <w:bCs/>
          <w:lang w:val="hy-AM"/>
        </w:rPr>
        <w:softHyphen/>
        <w:t>քերի մասնաբաժինը կարող է փոփոխվել նոր պետությունների ԵԱՏՄ-ին անդամակ</w:t>
      </w:r>
      <w:r w:rsidRPr="00603C0E">
        <w:rPr>
          <w:rFonts w:cs="Sylfaen"/>
          <w:b w:val="0"/>
          <w:bCs/>
          <w:lang w:val="hy-AM"/>
        </w:rPr>
        <w:softHyphen/>
        <w:t xml:space="preserve">ցությունից: </w:t>
      </w:r>
    </w:p>
    <w:p w14:paraId="4E8C8F1A" w14:textId="77777777" w:rsidR="00EB28B4" w:rsidRPr="007955BB" w:rsidRDefault="00EB28B4" w:rsidP="00EB28B4">
      <w:pPr>
        <w:rPr>
          <w:rFonts w:cs="Sylfaen"/>
          <w:lang w:val="hy-AM"/>
        </w:rPr>
      </w:pPr>
      <w:r w:rsidRPr="007955BB">
        <w:rPr>
          <w:rFonts w:cs="Sylfaen"/>
          <w:lang w:val="hy-AM"/>
        </w:rPr>
        <w:t>2.1. Գնաճի շեղման հնարավոր չափը</w:t>
      </w:r>
    </w:p>
    <w:p w14:paraId="015AB6EF" w14:textId="77777777" w:rsidR="00EB28B4" w:rsidRPr="00603C0E" w:rsidRDefault="00EB28B4" w:rsidP="00EB28B4">
      <w:pPr>
        <w:rPr>
          <w:rFonts w:eastAsiaTheme="minorEastAsia" w:cs="Sylfaen"/>
          <w:b w:val="0"/>
          <w:szCs w:val="22"/>
          <w:lang w:val="hy-AM" w:eastAsia="en-US"/>
        </w:rPr>
      </w:pPr>
      <w:r w:rsidRPr="00603C0E">
        <w:rPr>
          <w:rFonts w:eastAsiaTheme="minorEastAsia" w:cs="Sylfaen"/>
          <w:b w:val="0"/>
          <w:szCs w:val="22"/>
          <w:lang w:val="hy-AM" w:eastAsia="en-US"/>
        </w:rPr>
        <w:t xml:space="preserve">Գնաճի ցուցանիշի շեղման հնարավոր չափ է դիտարկվում ՀՀ ԿԲ-ի կողմից դրամավարկային քաղաքականության ծրագրում (գնաճի հաշվետվություններում) ներկայացվող գնաճի նպատակային ցուցանիշի կենտրոնական արժեքից շեղման առավելագույն չափը: </w:t>
      </w:r>
    </w:p>
    <w:p w14:paraId="1028A42D" w14:textId="77777777" w:rsidR="00EB28B4" w:rsidRPr="00603C0E" w:rsidRDefault="00EB28B4" w:rsidP="00EB28B4">
      <w:pPr>
        <w:rPr>
          <w:rFonts w:eastAsiaTheme="minorEastAsia" w:cs="Sylfaen"/>
          <w:b w:val="0"/>
          <w:szCs w:val="22"/>
          <w:lang w:val="hy-AM" w:eastAsia="en-US"/>
        </w:rPr>
      </w:pPr>
      <w:r w:rsidRPr="00603C0E">
        <w:rPr>
          <w:rFonts w:eastAsiaTheme="minorEastAsia" w:cs="Sylfaen"/>
          <w:b w:val="0"/>
          <w:szCs w:val="22"/>
          <w:lang w:val="hy-AM" w:eastAsia="en-US"/>
        </w:rPr>
        <w:t xml:space="preserve">ՀՀ ԿԲ-ի կողմից միջնաժամկետ հորիզոնում կանխատեսվում է գնաճի կայունացում նպատակային ցուցանիշի շուրջ: Կանխատեսված ցուցանիշից գնաճի շեղման ռիսկերը միջնաժամկետ հորիզոնում գնահատվում են հավասարակշռված` գնաճի կենտրոնական </w:t>
      </w:r>
      <w:r w:rsidRPr="00603C0E">
        <w:rPr>
          <w:rFonts w:eastAsiaTheme="minorEastAsia" w:cs="Sylfaen"/>
          <w:b w:val="0"/>
          <w:szCs w:val="22"/>
          <w:lang w:val="hy-AM" w:eastAsia="en-US"/>
        </w:rPr>
        <w:lastRenderedPageBreak/>
        <w:t xml:space="preserve">արժեքից </w:t>
      </w:r>
      <w:r w:rsidRPr="00603C0E">
        <w:rPr>
          <w:rFonts w:eastAsiaTheme="minorEastAsia" w:cs="Sylfaen"/>
          <w:szCs w:val="22"/>
          <w:lang w:val="hy-AM" w:eastAsia="en-US"/>
        </w:rPr>
        <w:t>դեպի</w:t>
      </w:r>
      <w:r w:rsidRPr="00603C0E">
        <w:rPr>
          <w:rFonts w:eastAsiaTheme="minorEastAsia" w:cs="Sylfaen"/>
          <w:b w:val="0"/>
          <w:szCs w:val="22"/>
          <w:lang w:val="hy-AM" w:eastAsia="en-US"/>
        </w:rPr>
        <w:t xml:space="preserve"> </w:t>
      </w:r>
      <w:r w:rsidRPr="00603C0E">
        <w:rPr>
          <w:rFonts w:eastAsiaTheme="minorEastAsia" w:cs="Sylfaen"/>
          <w:szCs w:val="22"/>
          <w:lang w:val="hy-AM" w:eastAsia="en-US"/>
        </w:rPr>
        <w:t>ներքև`</w:t>
      </w:r>
      <w:r w:rsidRPr="00603C0E">
        <w:rPr>
          <w:rFonts w:eastAsiaTheme="minorEastAsia" w:cs="Sylfaen"/>
          <w:b w:val="0"/>
          <w:szCs w:val="22"/>
          <w:lang w:val="hy-AM" w:eastAsia="en-US"/>
        </w:rPr>
        <w:t xml:space="preserve"> </w:t>
      </w:r>
      <w:r w:rsidRPr="00603C0E">
        <w:rPr>
          <w:rFonts w:eastAsiaTheme="minorEastAsia" w:cs="Sylfaen"/>
          <w:szCs w:val="22"/>
          <w:lang w:val="hy-AM" w:eastAsia="en-US"/>
        </w:rPr>
        <w:t xml:space="preserve">1.5 տոկոսային կետի չափով </w:t>
      </w:r>
      <w:r w:rsidRPr="00603C0E">
        <w:rPr>
          <w:rFonts w:eastAsiaTheme="minorEastAsia" w:cs="Sylfaen"/>
          <w:b w:val="0"/>
          <w:szCs w:val="22"/>
          <w:lang w:val="hy-AM" w:eastAsia="en-US"/>
        </w:rPr>
        <w:t xml:space="preserve">(այսինքն` գնաճի ներքին սահմանը 2.5% է) և </w:t>
      </w:r>
      <w:r w:rsidRPr="00603C0E">
        <w:rPr>
          <w:rFonts w:eastAsiaTheme="minorEastAsia" w:cs="Sylfaen"/>
          <w:szCs w:val="22"/>
          <w:lang w:val="hy-AM" w:eastAsia="en-US"/>
        </w:rPr>
        <w:t xml:space="preserve">դեպի վերև շեղումը` 1.5 տոկոսային կետի չափով </w:t>
      </w:r>
      <w:r w:rsidRPr="00603C0E">
        <w:rPr>
          <w:rFonts w:eastAsiaTheme="minorEastAsia" w:cs="Sylfaen"/>
          <w:b w:val="0"/>
          <w:szCs w:val="22"/>
          <w:lang w:val="hy-AM" w:eastAsia="en-US"/>
        </w:rPr>
        <w:t xml:space="preserve">(վերին սահմանը 5.5% է): </w:t>
      </w:r>
    </w:p>
    <w:p w14:paraId="022F126B" w14:textId="77777777" w:rsidR="00EB28B4" w:rsidRPr="00603C0E" w:rsidRDefault="00EB28B4" w:rsidP="00EB28B4">
      <w:pPr>
        <w:rPr>
          <w:rFonts w:eastAsiaTheme="minorEastAsia" w:cs="Sylfaen"/>
          <w:b w:val="0"/>
          <w:szCs w:val="22"/>
          <w:lang w:val="hy-AM" w:eastAsia="en-US"/>
        </w:rPr>
      </w:pPr>
      <w:r w:rsidRPr="00603C0E">
        <w:rPr>
          <w:rFonts w:eastAsiaTheme="minorEastAsia" w:cs="Sylfaen"/>
          <w:b w:val="0"/>
          <w:szCs w:val="22"/>
          <w:lang w:val="hy-AM" w:eastAsia="en-US"/>
        </w:rPr>
        <w:t xml:space="preserve">Գնաճի շեղման ռիսկը կարող է ազդեցություն ունենալ ՀՀ պետական բյուջեի և՛ եկամտային, և՛ ծախսային կատարողականների վրա` անուղղակի հարկերի, ինչպես նաև ապրանքների և ծառայությունների գծով ծախսերի ուղղությամբ: Գնանկումային պայմաններում հարկերից մուտքերը կկրճատվեն և ընդհակառակը: </w:t>
      </w:r>
    </w:p>
    <w:p w14:paraId="62E23719" w14:textId="77777777" w:rsidR="00EB28B4" w:rsidRPr="007955BB" w:rsidRDefault="00EB28B4" w:rsidP="00EB28B4">
      <w:pPr>
        <w:rPr>
          <w:rFonts w:cs="Sylfaen"/>
          <w:b w:val="0"/>
          <w:lang w:val="hy-AM"/>
        </w:rPr>
      </w:pPr>
      <w:r w:rsidRPr="007955BB">
        <w:rPr>
          <w:rFonts w:cs="Sylfaen"/>
          <w:b w:val="0"/>
          <w:lang w:val="hy-AM"/>
        </w:rPr>
        <w:t>Արդյունքում, 202</w:t>
      </w:r>
      <w:r>
        <w:rPr>
          <w:rFonts w:cs="Sylfaen"/>
          <w:b w:val="0"/>
          <w:lang w:val="hy-AM"/>
        </w:rPr>
        <w:t>4</w:t>
      </w:r>
      <w:r w:rsidRPr="007955BB">
        <w:rPr>
          <w:rFonts w:cs="Sylfaen"/>
          <w:b w:val="0"/>
          <w:lang w:val="hy-AM"/>
        </w:rPr>
        <w:t xml:space="preserve"> թվականի համար դիտարկվել է գնաճային ռիսկի ազդեցությունը հարկային եկամուտների վրա և 202</w:t>
      </w:r>
      <w:r>
        <w:rPr>
          <w:rFonts w:cs="Sylfaen"/>
          <w:b w:val="0"/>
          <w:lang w:val="hy-AM"/>
        </w:rPr>
        <w:t>4</w:t>
      </w:r>
      <w:r w:rsidRPr="007955BB">
        <w:rPr>
          <w:rFonts w:cs="Sylfaen"/>
          <w:b w:val="0"/>
          <w:lang w:val="hy-AM"/>
        </w:rPr>
        <w:t xml:space="preserve"> թվականի համար գնահատվում է </w:t>
      </w:r>
      <w:r>
        <w:rPr>
          <w:rFonts w:cs="Sylfaen"/>
          <w:b w:val="0"/>
          <w:lang w:val="hy-AM"/>
        </w:rPr>
        <w:t>4.8</w:t>
      </w:r>
      <w:r w:rsidRPr="007955BB">
        <w:rPr>
          <w:rFonts w:cs="Sylfaen"/>
          <w:b w:val="0"/>
          <w:lang w:val="hy-AM"/>
        </w:rPr>
        <w:t xml:space="preserve"> մլրդ ՀՀ դրամի լրացուցիչ հարկային եկամուտների մուտքեր:</w:t>
      </w:r>
    </w:p>
    <w:p w14:paraId="1B68A054" w14:textId="77777777" w:rsidR="00EB28B4" w:rsidRPr="007955BB" w:rsidRDefault="00EB28B4" w:rsidP="00EB28B4">
      <w:pPr>
        <w:rPr>
          <w:rFonts w:cs="Sylfaen"/>
          <w:lang w:val="hy-AM"/>
        </w:rPr>
      </w:pPr>
      <w:r w:rsidRPr="007955BB">
        <w:rPr>
          <w:rFonts w:cs="Sylfaen"/>
          <w:lang w:val="hy-AM"/>
        </w:rPr>
        <w:t>2.2. Փոխարժեքի շեղման հնարավոր չափը</w:t>
      </w:r>
    </w:p>
    <w:p w14:paraId="17DB67F9" w14:textId="77777777" w:rsidR="00EB28B4" w:rsidRPr="00D04FBC" w:rsidRDefault="00EB28B4" w:rsidP="00001B7F">
      <w:pPr>
        <w:rPr>
          <w:rFonts w:eastAsiaTheme="minorEastAsia" w:cs="Sylfaen"/>
          <w:b w:val="0"/>
          <w:szCs w:val="22"/>
          <w:lang w:val="hy-AM" w:eastAsia="en-US"/>
        </w:rPr>
      </w:pPr>
      <w:r w:rsidRPr="00D04FBC">
        <w:rPr>
          <w:rFonts w:eastAsiaTheme="minorEastAsia" w:cs="Sylfaen"/>
          <w:b w:val="0"/>
          <w:szCs w:val="22"/>
          <w:lang w:val="hy-AM" w:eastAsia="en-US"/>
        </w:rPr>
        <w:t>ՀՀ ԿԲ-ն և ՀՀ ՖՆ-ն փոխարժեքի կանխա</w:t>
      </w:r>
      <w:r w:rsidRPr="00D04FBC">
        <w:rPr>
          <w:rFonts w:eastAsiaTheme="minorEastAsia" w:cs="Sylfaen"/>
          <w:b w:val="0"/>
          <w:szCs w:val="22"/>
          <w:lang w:val="hy-AM" w:eastAsia="en-US"/>
        </w:rPr>
        <w:softHyphen/>
        <w:t>տեսումներ չեն իրականացնում և մակրոտնտեսական քաղաքականությունն իրականացվում է լողացող փոխարժեքի սկզբունքի հիման վրա, ընդ որում, յուրաքանչյուր տարվա պետական բյուջեի ցուցանիշների կանխատեսումների հիմքում դրվում է փոխարժեքի անփոփոխ (որոշակի պահի դրությամբ) մակարդակ: Սակայն փոխարժեքի տատա</w:t>
      </w:r>
      <w:r w:rsidRPr="00D04FBC">
        <w:rPr>
          <w:rFonts w:eastAsiaTheme="minorEastAsia" w:cs="Sylfaen"/>
          <w:b w:val="0"/>
          <w:szCs w:val="22"/>
          <w:lang w:val="hy-AM" w:eastAsia="en-US"/>
        </w:rPr>
        <w:softHyphen/>
        <w:t>նում</w:t>
      </w:r>
      <w:r w:rsidRPr="00D04FBC">
        <w:rPr>
          <w:rFonts w:eastAsiaTheme="minorEastAsia" w:cs="Sylfaen"/>
          <w:b w:val="0"/>
          <w:szCs w:val="22"/>
          <w:lang w:val="hy-AM" w:eastAsia="en-US"/>
        </w:rPr>
        <w:softHyphen/>
        <w:t>ները կազդեն ներմուծումից ՀՀ պետական բյուջե մուտքագրվող հարկային եկամուտների վրա:</w:t>
      </w:r>
    </w:p>
    <w:p w14:paraId="57306A70" w14:textId="77777777" w:rsidR="00EB28B4" w:rsidRPr="00D04FBC" w:rsidRDefault="00EB28B4" w:rsidP="00001B7F">
      <w:pPr>
        <w:rPr>
          <w:rFonts w:eastAsiaTheme="minorEastAsia" w:cs="Sylfaen"/>
          <w:b w:val="0"/>
          <w:szCs w:val="22"/>
          <w:lang w:val="hy-AM" w:eastAsia="en-US"/>
        </w:rPr>
      </w:pPr>
      <w:r w:rsidRPr="00D04FBC">
        <w:rPr>
          <w:rFonts w:eastAsiaTheme="minorEastAsia" w:cs="Sylfaen"/>
          <w:b w:val="0"/>
          <w:szCs w:val="22"/>
          <w:lang w:val="hy-AM" w:eastAsia="en-US"/>
        </w:rPr>
        <w:t>Հաշվի առնելով այն հանգամանքը, որ վերջին տասնամյակի համար և՛ արժևորման, և՛ արժեզրկման ուղղությամբ փոխար</w:t>
      </w:r>
      <w:r w:rsidRPr="00D04FBC">
        <w:rPr>
          <w:rFonts w:eastAsiaTheme="minorEastAsia" w:cs="Sylfaen"/>
          <w:b w:val="0"/>
          <w:szCs w:val="22"/>
          <w:lang w:val="hy-AM" w:eastAsia="en-US"/>
        </w:rPr>
        <w:softHyphen/>
        <w:t xml:space="preserve">ժեքի տատանումների բացարձակ շեղման միջին չափը չի գերազանցել 4.6 տոկոսը` որպես ռիսկ է դիտարկվել ԱՄՆ դոլարի նկատմամբ ՀՀ դրամի առավելագույնը 4.6% արժեզրկումը: </w:t>
      </w:r>
    </w:p>
    <w:p w14:paraId="77702041" w14:textId="77777777" w:rsidR="00EB28B4" w:rsidRPr="007955BB" w:rsidRDefault="00EB28B4" w:rsidP="00001B7F">
      <w:pPr>
        <w:rPr>
          <w:rFonts w:cs="Sylfaen"/>
          <w:b w:val="0"/>
          <w:lang w:val="hy-AM"/>
        </w:rPr>
      </w:pPr>
      <w:r w:rsidRPr="007955BB">
        <w:rPr>
          <w:rFonts w:cs="Sylfaen"/>
          <w:b w:val="0"/>
          <w:lang w:val="hy-AM"/>
        </w:rPr>
        <w:t xml:space="preserve">Արդյունքում, փոխարժեքի </w:t>
      </w:r>
      <w:r>
        <w:rPr>
          <w:rFonts w:cs="Sylfaen"/>
          <w:b w:val="0"/>
          <w:lang w:val="hy-AM"/>
        </w:rPr>
        <w:t>4.6</w:t>
      </w:r>
      <w:r w:rsidRPr="007955BB">
        <w:rPr>
          <w:rFonts w:cs="Sylfaen"/>
          <w:b w:val="0"/>
          <w:lang w:val="hy-AM"/>
        </w:rPr>
        <w:t xml:space="preserve"> տոկոսով արժեզրկման ռիսկի դրսևորման դեպքում, այլ հավասար պայմաններում, 202</w:t>
      </w:r>
      <w:r>
        <w:rPr>
          <w:rFonts w:cs="Sylfaen"/>
          <w:b w:val="0"/>
          <w:lang w:val="hy-AM"/>
        </w:rPr>
        <w:t>4</w:t>
      </w:r>
      <w:r w:rsidRPr="007955BB">
        <w:rPr>
          <w:rFonts w:cs="Sylfaen"/>
          <w:b w:val="0"/>
          <w:lang w:val="hy-AM"/>
        </w:rPr>
        <w:t xml:space="preserve"> թվականին կարելի է ապահովել հարկային եկամուտների </w:t>
      </w:r>
      <w:r>
        <w:rPr>
          <w:rFonts w:cs="Sylfaen"/>
          <w:b w:val="0"/>
          <w:lang w:val="hy-AM"/>
        </w:rPr>
        <w:t>17.6</w:t>
      </w:r>
      <w:r w:rsidRPr="007955BB">
        <w:rPr>
          <w:rFonts w:cs="Sylfaen"/>
          <w:b w:val="0"/>
          <w:lang w:val="hy-AM"/>
        </w:rPr>
        <w:t xml:space="preserve"> մլրդ ՀՀ դրամ լրացուցիչ մուտք:</w:t>
      </w:r>
    </w:p>
    <w:p w14:paraId="23924817" w14:textId="77777777" w:rsidR="00EB28B4" w:rsidRPr="00C1353E" w:rsidRDefault="00EB28B4" w:rsidP="00001B7F">
      <w:pPr>
        <w:rPr>
          <w:rFonts w:cs="Sylfaen"/>
          <w:lang w:val="hy-AM"/>
        </w:rPr>
      </w:pPr>
      <w:r w:rsidRPr="00C1353E">
        <w:rPr>
          <w:rFonts w:cs="Sylfaen"/>
          <w:lang w:val="hy-AM"/>
        </w:rPr>
        <w:t>2.3. Ներմուծման գծով ռիսկի հնարավոր չափը</w:t>
      </w:r>
    </w:p>
    <w:p w14:paraId="3DE4522D" w14:textId="77777777" w:rsidR="00EB28B4" w:rsidRDefault="00EB28B4" w:rsidP="00001B7F">
      <w:pPr>
        <w:rPr>
          <w:rFonts w:cs="Sylfaen"/>
          <w:b w:val="0"/>
          <w:lang w:val="hy-AM"/>
        </w:rPr>
      </w:pPr>
      <w:r w:rsidRPr="00C1353E">
        <w:rPr>
          <w:rFonts w:cs="Sylfaen"/>
          <w:b w:val="0"/>
          <w:lang w:val="hy-AM"/>
        </w:rPr>
        <w:t>Քանի որ մաքսային սահմանին ներմուծումից գանձվող անուղղակի հարկերը էական կշիռ ունեն</w:t>
      </w:r>
      <w:r w:rsidRPr="007955BB">
        <w:rPr>
          <w:rFonts w:cs="Sylfaen"/>
          <w:b w:val="0"/>
          <w:lang w:val="hy-AM"/>
        </w:rPr>
        <w:t xml:space="preserve"> պետական բյուջեի ընդհանուր հարկային եկամուտներում, անհրաժեշտ է գնահատել նաև ներմուծման հնարավոր նվազման պարագայում հարկային եկամուտների նվազման ռիսկի չափը: </w:t>
      </w:r>
      <w:r w:rsidRPr="00820858">
        <w:rPr>
          <w:rFonts w:cs="Sylfaen"/>
          <w:b w:val="0"/>
          <w:bCs/>
          <w:lang w:val="hy-AM"/>
        </w:rPr>
        <w:t xml:space="preserve">2010-2022 թվականների ընթացքում ՄԺԾԾ-ում ներմուծման գծով կանխատեսումների շեղման միջին բացարձակ չափը </w:t>
      </w:r>
      <w:r>
        <w:rPr>
          <w:rFonts w:cs="Sylfaen"/>
          <w:b w:val="0"/>
          <w:bCs/>
          <w:lang w:val="hy-AM"/>
        </w:rPr>
        <w:t>կազմ</w:t>
      </w:r>
      <w:r w:rsidRPr="00820858">
        <w:rPr>
          <w:rFonts w:cs="Sylfaen"/>
          <w:b w:val="0"/>
          <w:bCs/>
          <w:lang w:val="hy-AM"/>
        </w:rPr>
        <w:t xml:space="preserve">ում է 9.6%, ինչն էլ հաշվի է առնվել այս գործոնի ազդեցությունը գնահատելու համար: </w:t>
      </w:r>
      <w:r>
        <w:rPr>
          <w:rFonts w:cs="Sylfaen"/>
          <w:b w:val="0"/>
          <w:bCs/>
          <w:lang w:val="hy-AM"/>
        </w:rPr>
        <w:t>2024թ.</w:t>
      </w:r>
      <w:r w:rsidRPr="00820858">
        <w:rPr>
          <w:rFonts w:cs="Sylfaen"/>
          <w:b w:val="0"/>
          <w:bCs/>
          <w:lang w:val="hy-AM"/>
        </w:rPr>
        <w:t xml:space="preserve"> գնահատականներում ներմուծման ցուցանիշները դիտ</w:t>
      </w:r>
      <w:r>
        <w:rPr>
          <w:rFonts w:cs="Sylfaen"/>
          <w:b w:val="0"/>
          <w:bCs/>
          <w:lang w:val="hy-AM"/>
        </w:rPr>
        <w:t xml:space="preserve">արկվել են առանց վերաարտահանման </w:t>
      </w:r>
      <w:r w:rsidRPr="00820858">
        <w:rPr>
          <w:rFonts w:cs="Sylfaen"/>
          <w:b w:val="0"/>
          <w:bCs/>
          <w:lang w:val="hy-AM"/>
        </w:rPr>
        <w:t>ծավալների</w:t>
      </w:r>
      <w:r>
        <w:rPr>
          <w:rFonts w:cs="Sylfaen"/>
          <w:b w:val="0"/>
          <w:bCs/>
          <w:lang w:val="hy-AM"/>
        </w:rPr>
        <w:t xml:space="preserve">: </w:t>
      </w:r>
      <w:r w:rsidRPr="007955BB">
        <w:rPr>
          <w:rFonts w:cs="Sylfaen"/>
          <w:b w:val="0"/>
          <w:lang w:val="hy-AM"/>
        </w:rPr>
        <w:t>202</w:t>
      </w:r>
      <w:r>
        <w:rPr>
          <w:rFonts w:cs="Sylfaen"/>
          <w:b w:val="0"/>
          <w:lang w:val="hy-AM"/>
        </w:rPr>
        <w:t>4</w:t>
      </w:r>
      <w:r w:rsidRPr="007955BB">
        <w:rPr>
          <w:rFonts w:cs="Sylfaen"/>
          <w:b w:val="0"/>
          <w:lang w:val="hy-AM"/>
        </w:rPr>
        <w:t xml:space="preserve"> թվականի համար ծրագրվածից </w:t>
      </w:r>
      <w:r>
        <w:rPr>
          <w:rFonts w:cs="Sylfaen"/>
          <w:b w:val="0"/>
          <w:lang w:val="hy-AM"/>
        </w:rPr>
        <w:t>9.6</w:t>
      </w:r>
      <w:r w:rsidRPr="007955BB">
        <w:rPr>
          <w:rFonts w:cs="Sylfaen"/>
          <w:b w:val="0"/>
          <w:lang w:val="hy-AM"/>
        </w:rPr>
        <w:t xml:space="preserve">% պակաս ներմուծման ռիսկի դրսևորման պայմաններում հարկային եկամուտների վրա ազդեցությունը գնահատվում է </w:t>
      </w:r>
      <w:r>
        <w:rPr>
          <w:rFonts w:cs="Sylfaen"/>
          <w:b w:val="0"/>
          <w:lang w:val="hy-AM"/>
        </w:rPr>
        <w:t>24.5</w:t>
      </w:r>
      <w:r w:rsidRPr="007955BB">
        <w:rPr>
          <w:rFonts w:cs="Sylfaen"/>
          <w:b w:val="0"/>
          <w:lang w:val="hy-AM"/>
        </w:rPr>
        <w:t xml:space="preserve"> մլրդ ՀՀ դրամ` ֆինանսական պահանջի ավելացման ուղղությամբ:</w:t>
      </w:r>
    </w:p>
    <w:p w14:paraId="7B316E8C" w14:textId="77777777" w:rsidR="00EB28B4" w:rsidRPr="00820858" w:rsidRDefault="00EB28B4" w:rsidP="00001B7F">
      <w:pPr>
        <w:rPr>
          <w:rFonts w:cs="Sylfaen"/>
          <w:szCs w:val="22"/>
          <w:lang w:val="hy-AM" w:eastAsia="en-US"/>
        </w:rPr>
      </w:pPr>
      <w:r w:rsidRPr="00820858">
        <w:rPr>
          <w:rFonts w:cs="Sylfaen"/>
          <w:lang w:val="hy-AM"/>
        </w:rPr>
        <w:t>2</w:t>
      </w:r>
      <w:r w:rsidRPr="00820858">
        <w:rPr>
          <w:rFonts w:ascii="Cambria Math" w:hAnsi="Cambria Math" w:cs="Cambria Math"/>
          <w:lang w:val="hy-AM"/>
        </w:rPr>
        <w:t>․</w:t>
      </w:r>
      <w:r w:rsidRPr="00820858">
        <w:rPr>
          <w:rFonts w:cs="Sylfaen"/>
          <w:lang w:val="hy-AM"/>
        </w:rPr>
        <w:t>4. Հարկեր/ՀՆԱ թիրախավորված բարելավումը չապահովելու ռիսկի չափը</w:t>
      </w:r>
    </w:p>
    <w:p w14:paraId="326AE7C6" w14:textId="77777777" w:rsidR="00EB28B4" w:rsidRPr="00820858" w:rsidRDefault="00EB28B4" w:rsidP="00001B7F">
      <w:pPr>
        <w:rPr>
          <w:rFonts w:cs="Sylfaen"/>
          <w:b w:val="0"/>
          <w:bCs/>
          <w:lang w:val="hy-AM"/>
        </w:rPr>
      </w:pPr>
      <w:r>
        <w:rPr>
          <w:rFonts w:cs="Sylfaen"/>
          <w:lang w:val="hy-AM"/>
        </w:rPr>
        <w:tab/>
      </w:r>
      <w:r w:rsidRPr="00820858">
        <w:rPr>
          <w:rFonts w:cs="Sylfaen"/>
          <w:b w:val="0"/>
          <w:bCs/>
          <w:lang w:val="hy-AM"/>
        </w:rPr>
        <w:t xml:space="preserve">Հայաստանի հարկեր/ՀՆԱ ցուցանիշը վերջին տասնամյակում միջինում բարելավվել է շուրջ 0.2 տոկոսային կետով, որին նպաստել են ինչպես տնտեսության կառուցվածքային </w:t>
      </w:r>
      <w:r w:rsidRPr="00820858">
        <w:rPr>
          <w:rFonts w:cs="Sylfaen"/>
          <w:b w:val="0"/>
          <w:bCs/>
          <w:lang w:val="hy-AM"/>
        </w:rPr>
        <w:lastRenderedPageBreak/>
        <w:t xml:space="preserve">փոփոխությունները (հարկունակ ճյուղերի մասնաբաժնի ավելացում), այնպես էլ հարկային օրենսդրական բարեփոխումները և վարչարարության արդյունավետության բարձրացումը՝ ստվերի դեմ պայքարի և հարկային վարչարարության ճեղքի աստիճանական կրճատման ճանապարհով։ Միաժամանակ, </w:t>
      </w:r>
      <w:r>
        <w:rPr>
          <w:rFonts w:cs="Sylfaen"/>
          <w:b w:val="0"/>
          <w:bCs/>
          <w:lang w:val="hy-AM"/>
        </w:rPr>
        <w:t xml:space="preserve">նշենք որ </w:t>
      </w:r>
      <w:r w:rsidRPr="00820858">
        <w:rPr>
          <w:rFonts w:cs="Sylfaen"/>
          <w:b w:val="0"/>
          <w:bCs/>
          <w:lang w:val="hy-AM"/>
        </w:rPr>
        <w:t>ՀՀ կառավարությունը թիրախավորել է մինչև 2026 թվականը ապահովել առնվազն 25%</w:t>
      </w:r>
      <w:r w:rsidRPr="00B14DDF">
        <w:rPr>
          <w:rFonts w:cs="Sylfaen"/>
          <w:b w:val="0"/>
          <w:bCs/>
          <w:lang w:val="hy-AM"/>
        </w:rPr>
        <w:t xml:space="preserve"> </w:t>
      </w:r>
      <w:r w:rsidRPr="00820858">
        <w:rPr>
          <w:rFonts w:cs="Sylfaen"/>
          <w:b w:val="0"/>
          <w:bCs/>
          <w:lang w:val="hy-AM"/>
        </w:rPr>
        <w:t>հարկեր/ՀՆԱ ցուցանիշ</w:t>
      </w:r>
      <w:r>
        <w:rPr>
          <w:rFonts w:cs="Sylfaen"/>
          <w:b w:val="0"/>
          <w:bCs/>
          <w:lang w:val="hy-AM"/>
        </w:rPr>
        <w:t>:</w:t>
      </w:r>
      <w:r w:rsidRPr="00820858">
        <w:rPr>
          <w:rFonts w:cs="Sylfaen"/>
          <w:b w:val="0"/>
          <w:bCs/>
          <w:lang w:val="hy-AM"/>
        </w:rPr>
        <w:t xml:space="preserve"> Հաշվի առնելով թիրախավորված և պատմականորեն արձանագրված հարկեր/ՀՆԱ բարելավման ցուցանիշները, որպես ռիսկ է դիտարկվել հարկային վարչարարության լրացուցիչ ջանքի տեղի չունենալը։</w:t>
      </w:r>
    </w:p>
    <w:p w14:paraId="4A4A5498" w14:textId="77777777" w:rsidR="00EB28B4" w:rsidRPr="00820858" w:rsidRDefault="00EB28B4" w:rsidP="00001B7F">
      <w:pPr>
        <w:rPr>
          <w:rFonts w:ascii="Cambria Math" w:hAnsi="Cambria Math" w:cs="Sylfaen"/>
          <w:b w:val="0"/>
          <w:bCs/>
          <w:lang w:val="hy-AM"/>
        </w:rPr>
      </w:pPr>
      <w:r w:rsidRPr="00820858">
        <w:rPr>
          <w:rFonts w:cs="Sylfaen"/>
          <w:b w:val="0"/>
          <w:bCs/>
          <w:lang w:val="hy-AM"/>
        </w:rPr>
        <w:t>Վերջինիս արդյունքում 2024</w:t>
      </w:r>
      <w:r w:rsidRPr="00B14DDF">
        <w:rPr>
          <w:rFonts w:cs="Sylfaen"/>
          <w:b w:val="0"/>
          <w:bCs/>
          <w:lang w:val="hy-AM"/>
        </w:rPr>
        <w:t xml:space="preserve"> </w:t>
      </w:r>
      <w:r w:rsidRPr="00820858">
        <w:rPr>
          <w:rFonts w:cs="Sylfaen"/>
          <w:b w:val="0"/>
          <w:bCs/>
          <w:lang w:val="hy-AM"/>
        </w:rPr>
        <w:t xml:space="preserve">թվականին </w:t>
      </w:r>
      <w:r>
        <w:rPr>
          <w:rFonts w:cs="Sylfaen"/>
          <w:b w:val="0"/>
          <w:bCs/>
          <w:lang w:val="hy-AM"/>
        </w:rPr>
        <w:t xml:space="preserve">գնահատվում է </w:t>
      </w:r>
      <w:r w:rsidRPr="00820858">
        <w:rPr>
          <w:rFonts w:cs="Sylfaen"/>
          <w:b w:val="0"/>
          <w:bCs/>
          <w:lang w:val="hy-AM"/>
        </w:rPr>
        <w:t>հարկային եկամուտներ</w:t>
      </w:r>
      <w:r>
        <w:rPr>
          <w:rFonts w:cs="Sylfaen"/>
          <w:b w:val="0"/>
          <w:bCs/>
          <w:lang w:val="hy-AM"/>
        </w:rPr>
        <w:t>ի</w:t>
      </w:r>
      <w:r w:rsidRPr="00820858">
        <w:rPr>
          <w:rFonts w:cs="Sylfaen"/>
          <w:b w:val="0"/>
          <w:bCs/>
          <w:lang w:val="hy-AM"/>
        </w:rPr>
        <w:t xml:space="preserve"> առավել ցածր կձևավոր</w:t>
      </w:r>
      <w:r>
        <w:rPr>
          <w:rFonts w:cs="Sylfaen"/>
          <w:b w:val="0"/>
          <w:bCs/>
          <w:lang w:val="hy-AM"/>
        </w:rPr>
        <w:t>ման ռիսկ</w:t>
      </w:r>
      <w:r w:rsidRPr="00820858">
        <w:rPr>
          <w:rFonts w:cs="Sylfaen"/>
          <w:b w:val="0"/>
          <w:bCs/>
          <w:lang w:val="hy-AM"/>
        </w:rPr>
        <w:t xml:space="preserve"> համապատասխանաբար </w:t>
      </w:r>
      <w:r>
        <w:rPr>
          <w:rFonts w:cs="Sylfaen"/>
          <w:b w:val="0"/>
          <w:bCs/>
          <w:lang w:val="hy-AM"/>
        </w:rPr>
        <w:t xml:space="preserve">52.5 </w:t>
      </w:r>
      <w:r w:rsidRPr="00820858">
        <w:rPr>
          <w:rFonts w:cs="Sylfaen"/>
          <w:b w:val="0"/>
          <w:bCs/>
          <w:lang w:val="hy-AM"/>
        </w:rPr>
        <w:t>մլրդ դրամ</w:t>
      </w:r>
      <w:r>
        <w:rPr>
          <w:rFonts w:cs="Sylfaen"/>
          <w:b w:val="0"/>
          <w:bCs/>
          <w:lang w:val="hy-AM"/>
        </w:rPr>
        <w:t>ի չափով:</w:t>
      </w:r>
      <w:r w:rsidRPr="00820858">
        <w:rPr>
          <w:rFonts w:cs="Sylfaen"/>
          <w:b w:val="0"/>
          <w:bCs/>
          <w:lang w:val="hy-AM"/>
        </w:rPr>
        <w:t xml:space="preserve">  </w:t>
      </w:r>
    </w:p>
    <w:p w14:paraId="241801AA" w14:textId="77777777" w:rsidR="00EB28B4" w:rsidRDefault="00EB28B4" w:rsidP="00001B7F">
      <w:pPr>
        <w:rPr>
          <w:rFonts w:cs="Sylfaen"/>
          <w:b w:val="0"/>
          <w:bCs/>
          <w:lang w:val="hy-AM"/>
        </w:rPr>
      </w:pPr>
      <w:bookmarkStart w:id="355" w:name="_Toc83928954"/>
      <w:bookmarkStart w:id="356" w:name="_Toc115686969"/>
      <w:r w:rsidRPr="00833B92">
        <w:rPr>
          <w:rFonts w:cs="Sylfaen"/>
          <w:b w:val="0"/>
          <w:bCs/>
          <w:lang w:val="hy-AM"/>
        </w:rPr>
        <w:t xml:space="preserve">Ամփոփելով վերը նկարագրված </w:t>
      </w:r>
      <w:r w:rsidRPr="00833B92">
        <w:rPr>
          <w:rFonts w:cs="Sylfaen"/>
          <w:lang w:val="hy-AM"/>
        </w:rPr>
        <w:t>կանխատեսումների ռիսկի, ենթադրություններից շեղումների և հարկեր/ՀՆԱ թիրախավորված բարելավումը չապահովելու ռիսկի</w:t>
      </w:r>
      <w:r w:rsidRPr="00833B92">
        <w:rPr>
          <w:rFonts w:cs="Sylfaen"/>
          <w:b w:val="0"/>
          <w:bCs/>
          <w:lang w:val="hy-AM"/>
        </w:rPr>
        <w:t xml:space="preserve"> գնահատականները, միջնաժամկետ հորիզոնում ՀՀ պետական բյուջեի հարկային եկամուտների վրա մակրոտնտեսական ցուցանիշների` իրական ՀՆԱ-ի աճի, գնաճի, փոխարժեքի տատանողականության և ներմուծման, ինչպես նաև հարկային վարչաչարության լրացուցիչ ջանքի չապահովման ռիսկերի ազդեցության քանակական ամփոփ գնահատականները ներկայացվում են ստորև.</w:t>
      </w:r>
    </w:p>
    <w:p w14:paraId="48048B35" w14:textId="77777777" w:rsidR="00EB28B4" w:rsidRPr="002F4D21" w:rsidRDefault="00EB28B4" w:rsidP="00EB28B4">
      <w:pPr>
        <w:rPr>
          <w:rFonts w:eastAsia="Calibri" w:cs="Sylfaen"/>
          <w:b w:val="0"/>
          <w:bCs/>
          <w:szCs w:val="22"/>
          <w:lang w:val="hy-AM" w:eastAsia="en-US"/>
        </w:rPr>
      </w:pPr>
      <w:r w:rsidRPr="00C1353E">
        <w:rPr>
          <w:szCs w:val="22"/>
          <w:lang w:val="hy-AM"/>
        </w:rPr>
        <w:t>Աղյուսակ</w:t>
      </w:r>
      <w:r>
        <w:rPr>
          <w:szCs w:val="22"/>
          <w:lang w:val="hy-AM"/>
        </w:rPr>
        <w:t xml:space="preserve"> 2.1.</w:t>
      </w:r>
      <w:r w:rsidRPr="00C1353E">
        <w:rPr>
          <w:szCs w:val="22"/>
          <w:lang w:val="hy-AM"/>
        </w:rPr>
        <w:t xml:space="preserve"> </w:t>
      </w:r>
      <w:bookmarkEnd w:id="355"/>
      <w:bookmarkEnd w:id="356"/>
      <w:r w:rsidRPr="002F4D21">
        <w:rPr>
          <w:rFonts w:eastAsia="Calibri" w:cs="Sylfaen"/>
          <w:b w:val="0"/>
          <w:bCs/>
          <w:szCs w:val="22"/>
          <w:lang w:val="hy-AM" w:eastAsia="en-US"/>
        </w:rPr>
        <w:t>Հարկային եկամուտների վրա մակրոտնտեսական կանխատեսումների և ենթադրությունների ռիսկերի ազդեցություն</w:t>
      </w:r>
      <w:r w:rsidRPr="002F4D21">
        <w:rPr>
          <w:rFonts w:eastAsia="Calibri" w:cs="Sylfaen"/>
          <w:b w:val="0"/>
          <w:bCs/>
          <w:szCs w:val="22"/>
          <w:vertAlign w:val="superscript"/>
          <w:lang w:val="hy-AM" w:eastAsia="en-US"/>
        </w:rPr>
        <w:footnoteReference w:id="32"/>
      </w:r>
    </w:p>
    <w:tbl>
      <w:tblPr>
        <w:tblW w:w="9380" w:type="dxa"/>
        <w:tblBorders>
          <w:bottom w:val="single" w:sz="4" w:space="0" w:color="auto"/>
        </w:tblBorders>
        <w:tblLook w:val="04A0" w:firstRow="1" w:lastRow="0" w:firstColumn="1" w:lastColumn="0" w:noHBand="0" w:noVBand="1"/>
      </w:tblPr>
      <w:tblGrid>
        <w:gridCol w:w="5473"/>
        <w:gridCol w:w="3685"/>
        <w:gridCol w:w="222"/>
      </w:tblGrid>
      <w:tr w:rsidR="00EB28B4" w:rsidRPr="00933CA4" w14:paraId="3496E18F" w14:textId="77777777" w:rsidTr="00D656FB">
        <w:trPr>
          <w:gridAfter w:val="1"/>
          <w:wAfter w:w="222" w:type="dxa"/>
          <w:trHeight w:val="675"/>
        </w:trPr>
        <w:tc>
          <w:tcPr>
            <w:tcW w:w="5473" w:type="dxa"/>
            <w:vMerge w:val="restart"/>
            <w:tcBorders>
              <w:bottom w:val="nil"/>
            </w:tcBorders>
            <w:shd w:val="clear" w:color="auto" w:fill="auto"/>
            <w:vAlign w:val="center"/>
            <w:hideMark/>
          </w:tcPr>
          <w:p w14:paraId="715D4FC9" w14:textId="77777777" w:rsidR="00EB28B4" w:rsidRPr="00324B27" w:rsidRDefault="00EB28B4" w:rsidP="00D656FB">
            <w:pPr>
              <w:rPr>
                <w:rFonts w:cs="Calibri"/>
                <w:bCs/>
                <w:sz w:val="18"/>
                <w:szCs w:val="18"/>
                <w:lang w:val="en-US" w:eastAsia="en-US"/>
              </w:rPr>
            </w:pPr>
            <w:r w:rsidRPr="00324B27">
              <w:rPr>
                <w:rFonts w:cs="Calibri"/>
                <w:bCs/>
                <w:sz w:val="18"/>
                <w:szCs w:val="18"/>
                <w:lang w:val="en-US" w:eastAsia="en-US"/>
              </w:rPr>
              <w:t>Ռիսկի տեսակը</w:t>
            </w:r>
          </w:p>
        </w:tc>
        <w:tc>
          <w:tcPr>
            <w:tcW w:w="3685" w:type="dxa"/>
            <w:vMerge w:val="restart"/>
            <w:tcBorders>
              <w:bottom w:val="nil"/>
            </w:tcBorders>
            <w:shd w:val="clear" w:color="auto" w:fill="auto"/>
            <w:vAlign w:val="center"/>
            <w:hideMark/>
          </w:tcPr>
          <w:p w14:paraId="23CAC290" w14:textId="77777777" w:rsidR="00EB28B4" w:rsidRPr="00324B27" w:rsidRDefault="00EB28B4" w:rsidP="00D656FB">
            <w:pPr>
              <w:rPr>
                <w:rFonts w:cs="Calibri"/>
                <w:bCs/>
                <w:sz w:val="18"/>
                <w:szCs w:val="18"/>
                <w:lang w:val="en-US" w:eastAsia="en-US"/>
              </w:rPr>
            </w:pPr>
            <w:r w:rsidRPr="00324B27">
              <w:rPr>
                <w:rFonts w:cs="Calibri"/>
                <w:bCs/>
                <w:sz w:val="18"/>
                <w:szCs w:val="18"/>
                <w:lang w:val="en-US" w:eastAsia="en-US"/>
              </w:rPr>
              <w:t>Ազդեցության գնահատականը, մլրդ ՀՀ դրամ</w:t>
            </w:r>
          </w:p>
        </w:tc>
      </w:tr>
      <w:tr w:rsidR="00EB28B4" w:rsidRPr="00933CA4" w14:paraId="40057F11" w14:textId="77777777" w:rsidTr="00001B7F">
        <w:trPr>
          <w:trHeight w:val="180"/>
        </w:trPr>
        <w:tc>
          <w:tcPr>
            <w:tcW w:w="5473" w:type="dxa"/>
            <w:vMerge/>
            <w:tcBorders>
              <w:bottom w:val="single" w:sz="4" w:space="0" w:color="auto"/>
            </w:tcBorders>
            <w:shd w:val="clear" w:color="auto" w:fill="auto"/>
            <w:vAlign w:val="center"/>
            <w:hideMark/>
          </w:tcPr>
          <w:p w14:paraId="1B57FD39" w14:textId="77777777" w:rsidR="00EB28B4" w:rsidRPr="00324B27" w:rsidRDefault="00EB28B4" w:rsidP="00D656FB">
            <w:pPr>
              <w:rPr>
                <w:rFonts w:cs="Calibri"/>
                <w:bCs/>
                <w:sz w:val="18"/>
                <w:szCs w:val="18"/>
                <w:lang w:val="en-US" w:eastAsia="en-US"/>
              </w:rPr>
            </w:pPr>
          </w:p>
        </w:tc>
        <w:tc>
          <w:tcPr>
            <w:tcW w:w="3685" w:type="dxa"/>
            <w:vMerge/>
            <w:tcBorders>
              <w:bottom w:val="single" w:sz="4" w:space="0" w:color="auto"/>
            </w:tcBorders>
            <w:shd w:val="clear" w:color="auto" w:fill="auto"/>
            <w:vAlign w:val="center"/>
            <w:hideMark/>
          </w:tcPr>
          <w:p w14:paraId="199A381F" w14:textId="77777777" w:rsidR="00EB28B4" w:rsidRPr="00324B27" w:rsidRDefault="00EB28B4" w:rsidP="00D656FB">
            <w:pPr>
              <w:rPr>
                <w:rFonts w:cs="Calibri"/>
                <w:bCs/>
                <w:sz w:val="18"/>
                <w:szCs w:val="18"/>
                <w:lang w:val="en-US" w:eastAsia="en-US"/>
              </w:rPr>
            </w:pPr>
          </w:p>
        </w:tc>
        <w:tc>
          <w:tcPr>
            <w:tcW w:w="222" w:type="dxa"/>
            <w:tcBorders>
              <w:bottom w:val="single" w:sz="4" w:space="0" w:color="auto"/>
            </w:tcBorders>
            <w:shd w:val="clear" w:color="auto" w:fill="auto"/>
            <w:noWrap/>
            <w:vAlign w:val="bottom"/>
            <w:hideMark/>
          </w:tcPr>
          <w:p w14:paraId="4C67AA85" w14:textId="77777777" w:rsidR="00EB28B4" w:rsidRPr="009B62D7" w:rsidRDefault="00EB28B4" w:rsidP="00D656FB">
            <w:pPr>
              <w:rPr>
                <w:rFonts w:cs="Calibri"/>
                <w:bCs/>
                <w:szCs w:val="22"/>
                <w:lang w:val="en-US" w:eastAsia="en-US"/>
              </w:rPr>
            </w:pPr>
          </w:p>
        </w:tc>
      </w:tr>
      <w:tr w:rsidR="00EB28B4" w:rsidRPr="009B62D7" w14:paraId="6373AEBE" w14:textId="77777777" w:rsidTr="00001B7F">
        <w:trPr>
          <w:trHeight w:val="260"/>
        </w:trPr>
        <w:tc>
          <w:tcPr>
            <w:tcW w:w="5473" w:type="dxa"/>
            <w:tcBorders>
              <w:top w:val="single" w:sz="4" w:space="0" w:color="auto"/>
            </w:tcBorders>
            <w:shd w:val="clear" w:color="auto" w:fill="auto"/>
            <w:vAlign w:val="center"/>
            <w:hideMark/>
          </w:tcPr>
          <w:p w14:paraId="2DE88558" w14:textId="77777777" w:rsidR="00EB28B4" w:rsidRPr="00324B27" w:rsidRDefault="00EB28B4" w:rsidP="00D656FB">
            <w:pPr>
              <w:rPr>
                <w:rFonts w:ascii="Calibri" w:hAnsi="Calibri" w:cs="Calibri"/>
                <w:bCs/>
                <w:sz w:val="18"/>
                <w:szCs w:val="18"/>
                <w:lang w:val="en-US" w:eastAsia="en-US"/>
              </w:rPr>
            </w:pPr>
            <w:r w:rsidRPr="00324B27">
              <w:rPr>
                <w:rFonts w:ascii="Calibri" w:hAnsi="Calibri" w:cs="Calibri"/>
                <w:bCs/>
                <w:sz w:val="18"/>
                <w:szCs w:val="18"/>
                <w:lang w:val="en-US" w:eastAsia="en-US"/>
              </w:rPr>
              <w:t> </w:t>
            </w:r>
          </w:p>
        </w:tc>
        <w:tc>
          <w:tcPr>
            <w:tcW w:w="3685" w:type="dxa"/>
            <w:tcBorders>
              <w:top w:val="single" w:sz="4" w:space="0" w:color="auto"/>
            </w:tcBorders>
            <w:shd w:val="clear" w:color="auto" w:fill="auto"/>
            <w:vAlign w:val="center"/>
            <w:hideMark/>
          </w:tcPr>
          <w:p w14:paraId="4C505676" w14:textId="77777777" w:rsidR="00EB28B4" w:rsidRPr="00324B27" w:rsidRDefault="00EB28B4" w:rsidP="00D656FB">
            <w:pPr>
              <w:rPr>
                <w:rFonts w:cs="Calibri"/>
                <w:bCs/>
                <w:sz w:val="18"/>
                <w:szCs w:val="18"/>
                <w:lang w:val="en-US" w:eastAsia="en-US"/>
              </w:rPr>
            </w:pPr>
            <w:r w:rsidRPr="00324B27">
              <w:rPr>
                <w:rFonts w:cs="Calibri"/>
                <w:bCs/>
                <w:sz w:val="18"/>
                <w:szCs w:val="18"/>
                <w:lang w:val="en-US" w:eastAsia="en-US"/>
              </w:rPr>
              <w:t>2024</w:t>
            </w:r>
          </w:p>
        </w:tc>
        <w:tc>
          <w:tcPr>
            <w:tcW w:w="222" w:type="dxa"/>
            <w:tcBorders>
              <w:top w:val="single" w:sz="4" w:space="0" w:color="auto"/>
            </w:tcBorders>
            <w:shd w:val="clear" w:color="auto" w:fill="auto"/>
            <w:vAlign w:val="center"/>
            <w:hideMark/>
          </w:tcPr>
          <w:p w14:paraId="4111D05F" w14:textId="77777777" w:rsidR="00EB28B4" w:rsidRPr="009B62D7" w:rsidRDefault="00EB28B4" w:rsidP="00D656FB">
            <w:pPr>
              <w:rPr>
                <w:rFonts w:ascii="Times New Roman" w:hAnsi="Times New Roman"/>
                <w:b w:val="0"/>
                <w:sz w:val="20"/>
                <w:szCs w:val="20"/>
                <w:lang w:val="en-US" w:eastAsia="en-US"/>
              </w:rPr>
            </w:pPr>
          </w:p>
        </w:tc>
      </w:tr>
      <w:tr w:rsidR="00EB28B4" w:rsidRPr="009B62D7" w14:paraId="66F6E211" w14:textId="77777777" w:rsidTr="00D656FB">
        <w:trPr>
          <w:trHeight w:val="330"/>
        </w:trPr>
        <w:tc>
          <w:tcPr>
            <w:tcW w:w="9158" w:type="dxa"/>
            <w:gridSpan w:val="2"/>
            <w:tcBorders>
              <w:bottom w:val="nil"/>
            </w:tcBorders>
            <w:shd w:val="clear" w:color="auto" w:fill="auto"/>
            <w:vAlign w:val="center"/>
            <w:hideMark/>
          </w:tcPr>
          <w:p w14:paraId="68038DE1" w14:textId="77777777" w:rsidR="00EB28B4" w:rsidRPr="00324B27" w:rsidRDefault="00EB28B4" w:rsidP="00001B7F">
            <w:pPr>
              <w:spacing w:line="240" w:lineRule="auto"/>
              <w:rPr>
                <w:rFonts w:cs="Calibri"/>
                <w:bCs/>
                <w:sz w:val="18"/>
                <w:szCs w:val="18"/>
                <w:lang w:eastAsia="en-US"/>
              </w:rPr>
            </w:pPr>
            <w:r w:rsidRPr="00324B27">
              <w:rPr>
                <w:rFonts w:cs="Calibri"/>
                <w:bCs/>
                <w:sz w:val="18"/>
                <w:szCs w:val="18"/>
                <w:lang w:val="en-US" w:eastAsia="en-US"/>
              </w:rPr>
              <w:t>Ռիսկերի</w:t>
            </w:r>
            <w:r w:rsidRPr="00324B27">
              <w:rPr>
                <w:rFonts w:cs="Calibri"/>
                <w:bCs/>
                <w:sz w:val="18"/>
                <w:szCs w:val="18"/>
                <w:lang w:eastAsia="en-US"/>
              </w:rPr>
              <w:t xml:space="preserve"> </w:t>
            </w:r>
            <w:r w:rsidRPr="00324B27">
              <w:rPr>
                <w:rFonts w:cs="Calibri"/>
                <w:bCs/>
                <w:sz w:val="18"/>
                <w:szCs w:val="18"/>
                <w:lang w:val="en-US" w:eastAsia="en-US"/>
              </w:rPr>
              <w:t>առանձին</w:t>
            </w:r>
            <w:r w:rsidRPr="00324B27">
              <w:rPr>
                <w:rFonts w:cs="Calibri"/>
                <w:bCs/>
                <w:sz w:val="18"/>
                <w:szCs w:val="18"/>
                <w:lang w:eastAsia="en-US"/>
              </w:rPr>
              <w:t xml:space="preserve"> </w:t>
            </w:r>
            <w:r w:rsidRPr="00324B27">
              <w:rPr>
                <w:rFonts w:cs="Calibri"/>
                <w:bCs/>
                <w:sz w:val="18"/>
                <w:szCs w:val="18"/>
                <w:lang w:val="en-US" w:eastAsia="en-US"/>
              </w:rPr>
              <w:t>հանդես</w:t>
            </w:r>
            <w:r w:rsidRPr="00324B27">
              <w:rPr>
                <w:rFonts w:cs="Calibri"/>
                <w:bCs/>
                <w:sz w:val="18"/>
                <w:szCs w:val="18"/>
                <w:lang w:eastAsia="en-US"/>
              </w:rPr>
              <w:t xml:space="preserve"> </w:t>
            </w:r>
            <w:r w:rsidRPr="00324B27">
              <w:rPr>
                <w:rFonts w:cs="Calibri"/>
                <w:bCs/>
                <w:sz w:val="18"/>
                <w:szCs w:val="18"/>
                <w:lang w:val="en-US" w:eastAsia="en-US"/>
              </w:rPr>
              <w:t>գալու</w:t>
            </w:r>
            <w:r w:rsidRPr="00324B27">
              <w:rPr>
                <w:rFonts w:cs="Calibri"/>
                <w:bCs/>
                <w:sz w:val="18"/>
                <w:szCs w:val="18"/>
                <w:lang w:eastAsia="en-US"/>
              </w:rPr>
              <w:t xml:space="preserve"> </w:t>
            </w:r>
            <w:r w:rsidRPr="00324B27">
              <w:rPr>
                <w:rFonts w:cs="Calibri"/>
                <w:bCs/>
                <w:sz w:val="18"/>
                <w:szCs w:val="18"/>
                <w:lang w:val="en-US" w:eastAsia="en-US"/>
              </w:rPr>
              <w:t>պայմաններում</w:t>
            </w:r>
          </w:p>
        </w:tc>
        <w:tc>
          <w:tcPr>
            <w:tcW w:w="222" w:type="dxa"/>
            <w:shd w:val="clear" w:color="auto" w:fill="auto"/>
            <w:vAlign w:val="center"/>
            <w:hideMark/>
          </w:tcPr>
          <w:p w14:paraId="6B66EF4A" w14:textId="77777777" w:rsidR="00EB28B4" w:rsidRPr="009B62D7" w:rsidRDefault="00EB28B4" w:rsidP="00D656FB">
            <w:pPr>
              <w:rPr>
                <w:rFonts w:ascii="Times New Roman" w:hAnsi="Times New Roman"/>
                <w:b w:val="0"/>
                <w:sz w:val="20"/>
                <w:szCs w:val="20"/>
                <w:lang w:eastAsia="en-US"/>
              </w:rPr>
            </w:pPr>
          </w:p>
        </w:tc>
      </w:tr>
      <w:tr w:rsidR="00EB28B4" w:rsidRPr="009B62D7" w14:paraId="209E4041" w14:textId="77777777" w:rsidTr="00D656FB">
        <w:trPr>
          <w:trHeight w:val="660"/>
        </w:trPr>
        <w:tc>
          <w:tcPr>
            <w:tcW w:w="5473" w:type="dxa"/>
            <w:tcBorders>
              <w:bottom w:val="nil"/>
            </w:tcBorders>
            <w:shd w:val="clear" w:color="auto" w:fill="auto"/>
            <w:vAlign w:val="center"/>
            <w:hideMark/>
          </w:tcPr>
          <w:p w14:paraId="284B8D81" w14:textId="77777777" w:rsidR="00EB28B4" w:rsidRPr="00324B27" w:rsidRDefault="00EB28B4" w:rsidP="00001B7F">
            <w:pPr>
              <w:spacing w:line="240" w:lineRule="auto"/>
              <w:rPr>
                <w:rFonts w:cs="Calibri"/>
                <w:b w:val="0"/>
                <w:sz w:val="18"/>
                <w:szCs w:val="18"/>
                <w:lang w:eastAsia="en-US"/>
              </w:rPr>
            </w:pPr>
            <w:r w:rsidRPr="00324B27">
              <w:rPr>
                <w:rFonts w:cs="Calibri"/>
                <w:b w:val="0"/>
                <w:sz w:val="18"/>
                <w:szCs w:val="18"/>
                <w:lang w:eastAsia="en-US"/>
              </w:rPr>
              <w:t xml:space="preserve">1. </w:t>
            </w:r>
            <w:r w:rsidRPr="00324B27">
              <w:rPr>
                <w:rFonts w:cs="Calibri"/>
                <w:b w:val="0"/>
                <w:sz w:val="18"/>
                <w:szCs w:val="18"/>
                <w:lang w:val="en-US" w:eastAsia="en-US"/>
              </w:rPr>
              <w:t>Կանխատեսվածից</w:t>
            </w:r>
            <w:r w:rsidRPr="00324B27">
              <w:rPr>
                <w:rFonts w:cs="Calibri"/>
                <w:b w:val="0"/>
                <w:sz w:val="18"/>
                <w:szCs w:val="18"/>
                <w:lang w:eastAsia="en-US"/>
              </w:rPr>
              <w:t xml:space="preserve"> </w:t>
            </w:r>
            <w:r w:rsidRPr="00324B27">
              <w:rPr>
                <w:rFonts w:cs="Calibri"/>
                <w:b w:val="0"/>
                <w:sz w:val="18"/>
                <w:szCs w:val="18"/>
                <w:lang w:val="en-US" w:eastAsia="en-US"/>
              </w:rPr>
              <w:t>ավելի</w:t>
            </w:r>
            <w:r w:rsidRPr="00324B27">
              <w:rPr>
                <w:rFonts w:cs="Calibri"/>
                <w:b w:val="0"/>
                <w:sz w:val="18"/>
                <w:szCs w:val="18"/>
                <w:lang w:eastAsia="en-US"/>
              </w:rPr>
              <w:t xml:space="preserve"> </w:t>
            </w:r>
            <w:r w:rsidRPr="00324B27">
              <w:rPr>
                <w:rFonts w:cs="Calibri"/>
                <w:b w:val="0"/>
                <w:sz w:val="18"/>
                <w:szCs w:val="18"/>
                <w:lang w:val="en-US" w:eastAsia="en-US"/>
              </w:rPr>
              <w:t>ցածր</w:t>
            </w:r>
            <w:r w:rsidRPr="00324B27">
              <w:rPr>
                <w:rFonts w:cs="Calibri"/>
                <w:b w:val="0"/>
                <w:sz w:val="18"/>
                <w:szCs w:val="18"/>
                <w:lang w:eastAsia="en-US"/>
              </w:rPr>
              <w:t xml:space="preserve"> </w:t>
            </w:r>
            <w:r w:rsidRPr="00324B27">
              <w:rPr>
                <w:rFonts w:cs="Calibri"/>
                <w:b w:val="0"/>
                <w:sz w:val="18"/>
                <w:szCs w:val="18"/>
                <w:lang w:val="en-US" w:eastAsia="en-US"/>
              </w:rPr>
              <w:t>իրական</w:t>
            </w:r>
            <w:r w:rsidRPr="00324B27">
              <w:rPr>
                <w:rFonts w:cs="Calibri"/>
                <w:b w:val="0"/>
                <w:sz w:val="18"/>
                <w:szCs w:val="18"/>
                <w:lang w:eastAsia="en-US"/>
              </w:rPr>
              <w:t xml:space="preserve"> </w:t>
            </w:r>
            <w:r w:rsidRPr="00324B27">
              <w:rPr>
                <w:rFonts w:cs="Calibri"/>
                <w:b w:val="0"/>
                <w:sz w:val="18"/>
                <w:szCs w:val="18"/>
                <w:lang w:val="en-US" w:eastAsia="en-US"/>
              </w:rPr>
              <w:t>ՀՆԱ</w:t>
            </w:r>
            <w:r w:rsidRPr="00324B27">
              <w:rPr>
                <w:rFonts w:cs="Calibri"/>
                <w:b w:val="0"/>
                <w:sz w:val="18"/>
                <w:szCs w:val="18"/>
                <w:lang w:eastAsia="en-US"/>
              </w:rPr>
              <w:t>-</w:t>
            </w:r>
            <w:r w:rsidRPr="00324B27">
              <w:rPr>
                <w:rFonts w:cs="Calibri"/>
                <w:b w:val="0"/>
                <w:sz w:val="18"/>
                <w:szCs w:val="18"/>
                <w:lang w:val="en-US" w:eastAsia="en-US"/>
              </w:rPr>
              <w:t>ի</w:t>
            </w:r>
            <w:r w:rsidRPr="00324B27">
              <w:rPr>
                <w:rFonts w:cs="Calibri"/>
                <w:b w:val="0"/>
                <w:sz w:val="18"/>
                <w:szCs w:val="18"/>
                <w:lang w:eastAsia="en-US"/>
              </w:rPr>
              <w:t xml:space="preserve"> </w:t>
            </w:r>
            <w:r w:rsidRPr="00324B27">
              <w:rPr>
                <w:rFonts w:cs="Calibri"/>
                <w:b w:val="0"/>
                <w:sz w:val="18"/>
                <w:szCs w:val="18"/>
                <w:lang w:val="en-US" w:eastAsia="en-US"/>
              </w:rPr>
              <w:t>աճ</w:t>
            </w:r>
            <w:r w:rsidRPr="00324B27">
              <w:rPr>
                <w:rFonts w:cs="Calibri"/>
                <w:b w:val="0"/>
                <w:sz w:val="18"/>
                <w:szCs w:val="18"/>
                <w:lang w:eastAsia="en-US"/>
              </w:rPr>
              <w:t xml:space="preserve">, 3.4 </w:t>
            </w:r>
            <w:r w:rsidRPr="00324B27">
              <w:rPr>
                <w:rFonts w:cs="Calibri"/>
                <w:b w:val="0"/>
                <w:sz w:val="18"/>
                <w:szCs w:val="18"/>
                <w:lang w:val="en-US" w:eastAsia="en-US"/>
              </w:rPr>
              <w:t>տոկոսային</w:t>
            </w:r>
            <w:r w:rsidRPr="00324B27">
              <w:rPr>
                <w:rFonts w:cs="Calibri"/>
                <w:b w:val="0"/>
                <w:sz w:val="18"/>
                <w:szCs w:val="18"/>
                <w:lang w:eastAsia="en-US"/>
              </w:rPr>
              <w:t xml:space="preserve"> </w:t>
            </w:r>
            <w:r w:rsidRPr="00324B27">
              <w:rPr>
                <w:rFonts w:cs="Calibri"/>
                <w:b w:val="0"/>
                <w:sz w:val="18"/>
                <w:szCs w:val="18"/>
                <w:lang w:val="en-US" w:eastAsia="en-US"/>
              </w:rPr>
              <w:t>կետ</w:t>
            </w:r>
          </w:p>
        </w:tc>
        <w:tc>
          <w:tcPr>
            <w:tcW w:w="3685" w:type="dxa"/>
            <w:tcBorders>
              <w:bottom w:val="nil"/>
            </w:tcBorders>
            <w:shd w:val="clear" w:color="auto" w:fill="auto"/>
            <w:vAlign w:val="center"/>
            <w:hideMark/>
          </w:tcPr>
          <w:p w14:paraId="758053D8" w14:textId="77777777" w:rsidR="00EB28B4" w:rsidRPr="00324B27" w:rsidRDefault="00EB28B4" w:rsidP="00001B7F">
            <w:pPr>
              <w:spacing w:line="240" w:lineRule="auto"/>
              <w:rPr>
                <w:rFonts w:cs="Calibri"/>
                <w:b w:val="0"/>
                <w:sz w:val="18"/>
                <w:szCs w:val="18"/>
                <w:lang w:val="en-US" w:eastAsia="en-US"/>
              </w:rPr>
            </w:pPr>
            <w:r w:rsidRPr="00324B27">
              <w:rPr>
                <w:rFonts w:cs="Calibri"/>
                <w:b w:val="0"/>
                <w:sz w:val="18"/>
                <w:szCs w:val="18"/>
                <w:lang w:val="en-US" w:eastAsia="en-US"/>
              </w:rPr>
              <w:t>-28.7</w:t>
            </w:r>
          </w:p>
        </w:tc>
        <w:tc>
          <w:tcPr>
            <w:tcW w:w="222" w:type="dxa"/>
            <w:shd w:val="clear" w:color="auto" w:fill="auto"/>
            <w:vAlign w:val="center"/>
            <w:hideMark/>
          </w:tcPr>
          <w:p w14:paraId="571D7855" w14:textId="77777777" w:rsidR="00EB28B4" w:rsidRPr="009B62D7" w:rsidRDefault="00EB28B4" w:rsidP="00D656FB">
            <w:pPr>
              <w:rPr>
                <w:rFonts w:ascii="Times New Roman" w:hAnsi="Times New Roman"/>
                <w:b w:val="0"/>
                <w:sz w:val="20"/>
                <w:szCs w:val="20"/>
                <w:lang w:val="en-US" w:eastAsia="en-US"/>
              </w:rPr>
            </w:pPr>
          </w:p>
        </w:tc>
      </w:tr>
      <w:tr w:rsidR="00EB28B4" w:rsidRPr="009B62D7" w14:paraId="684C3734" w14:textId="77777777" w:rsidTr="00D656FB">
        <w:trPr>
          <w:trHeight w:val="330"/>
        </w:trPr>
        <w:tc>
          <w:tcPr>
            <w:tcW w:w="5473" w:type="dxa"/>
            <w:tcBorders>
              <w:top w:val="nil"/>
            </w:tcBorders>
            <w:shd w:val="clear" w:color="auto" w:fill="auto"/>
            <w:vAlign w:val="center"/>
            <w:hideMark/>
          </w:tcPr>
          <w:p w14:paraId="7213BC40" w14:textId="77777777" w:rsidR="00EB28B4" w:rsidRPr="00324B27" w:rsidRDefault="00EB28B4" w:rsidP="00001B7F">
            <w:pPr>
              <w:spacing w:line="240" w:lineRule="auto"/>
              <w:rPr>
                <w:rFonts w:cs="Calibri"/>
                <w:b w:val="0"/>
                <w:sz w:val="18"/>
                <w:szCs w:val="18"/>
                <w:lang w:eastAsia="en-US"/>
              </w:rPr>
            </w:pPr>
            <w:r w:rsidRPr="00324B27">
              <w:rPr>
                <w:rFonts w:cs="Calibri"/>
                <w:b w:val="0"/>
                <w:sz w:val="18"/>
                <w:szCs w:val="18"/>
                <w:lang w:eastAsia="en-US"/>
              </w:rPr>
              <w:t xml:space="preserve">2. </w:t>
            </w:r>
            <w:r w:rsidRPr="00324B27">
              <w:rPr>
                <w:rFonts w:cs="Calibri"/>
                <w:b w:val="0"/>
                <w:sz w:val="18"/>
                <w:szCs w:val="18"/>
                <w:lang w:val="en-US" w:eastAsia="en-US"/>
              </w:rPr>
              <w:t>Ավելի</w:t>
            </w:r>
            <w:r w:rsidRPr="00324B27">
              <w:rPr>
                <w:rFonts w:cs="Calibri"/>
                <w:b w:val="0"/>
                <w:sz w:val="18"/>
                <w:szCs w:val="18"/>
                <w:lang w:eastAsia="en-US"/>
              </w:rPr>
              <w:t xml:space="preserve"> </w:t>
            </w:r>
            <w:r w:rsidRPr="00324B27">
              <w:rPr>
                <w:rFonts w:cs="Calibri"/>
                <w:b w:val="0"/>
                <w:sz w:val="18"/>
                <w:szCs w:val="18"/>
                <w:lang w:val="en-US" w:eastAsia="en-US"/>
              </w:rPr>
              <w:t>ցածր</w:t>
            </w:r>
            <w:r w:rsidRPr="00324B27">
              <w:rPr>
                <w:rFonts w:cs="Calibri"/>
                <w:b w:val="0"/>
                <w:sz w:val="18"/>
                <w:szCs w:val="18"/>
                <w:lang w:eastAsia="en-US"/>
              </w:rPr>
              <w:t xml:space="preserve"> </w:t>
            </w:r>
            <w:r w:rsidRPr="00324B27">
              <w:rPr>
                <w:rFonts w:cs="Calibri"/>
                <w:b w:val="0"/>
                <w:sz w:val="18"/>
                <w:szCs w:val="18"/>
                <w:lang w:val="en-US" w:eastAsia="en-US"/>
              </w:rPr>
              <w:t>գնաճի</w:t>
            </w:r>
            <w:r w:rsidRPr="00324B27">
              <w:rPr>
                <w:rFonts w:cs="Calibri"/>
                <w:b w:val="0"/>
                <w:sz w:val="18"/>
                <w:szCs w:val="18"/>
                <w:lang w:eastAsia="en-US"/>
              </w:rPr>
              <w:t xml:space="preserve"> </w:t>
            </w:r>
            <w:r w:rsidRPr="00324B27">
              <w:rPr>
                <w:rFonts w:cs="Calibri"/>
                <w:b w:val="0"/>
                <w:sz w:val="18"/>
                <w:szCs w:val="18"/>
                <w:lang w:val="en-US" w:eastAsia="en-US"/>
              </w:rPr>
              <w:t>ռիսկ</w:t>
            </w:r>
            <w:r w:rsidRPr="00324B27">
              <w:rPr>
                <w:rFonts w:cs="Calibri"/>
                <w:b w:val="0"/>
                <w:sz w:val="18"/>
                <w:szCs w:val="18"/>
                <w:lang w:eastAsia="en-US"/>
              </w:rPr>
              <w:t xml:space="preserve">, 1.5 </w:t>
            </w:r>
            <w:r w:rsidRPr="00324B27">
              <w:rPr>
                <w:rFonts w:cs="Calibri"/>
                <w:b w:val="0"/>
                <w:sz w:val="18"/>
                <w:szCs w:val="18"/>
                <w:lang w:val="en-US" w:eastAsia="en-US"/>
              </w:rPr>
              <w:t>տոկոսային</w:t>
            </w:r>
            <w:r w:rsidRPr="00324B27">
              <w:rPr>
                <w:rFonts w:cs="Calibri"/>
                <w:b w:val="0"/>
                <w:sz w:val="18"/>
                <w:szCs w:val="18"/>
                <w:lang w:eastAsia="en-US"/>
              </w:rPr>
              <w:t xml:space="preserve"> </w:t>
            </w:r>
            <w:r w:rsidRPr="00324B27">
              <w:rPr>
                <w:rFonts w:cs="Calibri"/>
                <w:b w:val="0"/>
                <w:sz w:val="18"/>
                <w:szCs w:val="18"/>
                <w:lang w:val="en-US" w:eastAsia="en-US"/>
              </w:rPr>
              <w:t>կետ</w:t>
            </w:r>
            <w:r w:rsidRPr="00324B27">
              <w:rPr>
                <w:rFonts w:cs="Calibri"/>
                <w:b w:val="0"/>
                <w:sz w:val="18"/>
                <w:szCs w:val="18"/>
                <w:lang w:eastAsia="en-US"/>
              </w:rPr>
              <w:t xml:space="preserve"> </w:t>
            </w:r>
          </w:p>
        </w:tc>
        <w:tc>
          <w:tcPr>
            <w:tcW w:w="3685" w:type="dxa"/>
            <w:tcBorders>
              <w:top w:val="nil"/>
            </w:tcBorders>
            <w:shd w:val="clear" w:color="auto" w:fill="auto"/>
            <w:vAlign w:val="center"/>
            <w:hideMark/>
          </w:tcPr>
          <w:p w14:paraId="7A29DDC1" w14:textId="77777777" w:rsidR="00EB28B4" w:rsidRPr="00324B27" w:rsidRDefault="00EB28B4" w:rsidP="00001B7F">
            <w:pPr>
              <w:spacing w:line="240" w:lineRule="auto"/>
              <w:rPr>
                <w:rFonts w:cs="Calibri"/>
                <w:b w:val="0"/>
                <w:sz w:val="18"/>
                <w:szCs w:val="18"/>
                <w:lang w:val="en-US" w:eastAsia="en-US"/>
              </w:rPr>
            </w:pPr>
            <w:r w:rsidRPr="00324B27">
              <w:rPr>
                <w:rFonts w:cs="Calibri"/>
                <w:b w:val="0"/>
                <w:sz w:val="18"/>
                <w:szCs w:val="18"/>
                <w:lang w:val="en-US" w:eastAsia="en-US"/>
              </w:rPr>
              <w:t>-4.8</w:t>
            </w:r>
          </w:p>
        </w:tc>
        <w:tc>
          <w:tcPr>
            <w:tcW w:w="222" w:type="dxa"/>
            <w:shd w:val="clear" w:color="auto" w:fill="auto"/>
            <w:vAlign w:val="center"/>
            <w:hideMark/>
          </w:tcPr>
          <w:p w14:paraId="332D34B8" w14:textId="77777777" w:rsidR="00EB28B4" w:rsidRPr="009B62D7" w:rsidRDefault="00EB28B4" w:rsidP="00D656FB">
            <w:pPr>
              <w:rPr>
                <w:rFonts w:ascii="Times New Roman" w:hAnsi="Times New Roman"/>
                <w:b w:val="0"/>
                <w:sz w:val="20"/>
                <w:szCs w:val="20"/>
                <w:lang w:val="en-US" w:eastAsia="en-US"/>
              </w:rPr>
            </w:pPr>
          </w:p>
        </w:tc>
      </w:tr>
      <w:tr w:rsidR="00EB28B4" w:rsidRPr="009B62D7" w14:paraId="02DA8D1D" w14:textId="77777777" w:rsidTr="00D656FB">
        <w:trPr>
          <w:trHeight w:val="330"/>
        </w:trPr>
        <w:tc>
          <w:tcPr>
            <w:tcW w:w="5473" w:type="dxa"/>
            <w:tcBorders>
              <w:bottom w:val="nil"/>
            </w:tcBorders>
            <w:shd w:val="clear" w:color="auto" w:fill="auto"/>
            <w:vAlign w:val="center"/>
            <w:hideMark/>
          </w:tcPr>
          <w:p w14:paraId="4EEEC737" w14:textId="77777777" w:rsidR="00EB28B4" w:rsidRPr="00324B27" w:rsidRDefault="00EB28B4" w:rsidP="00001B7F">
            <w:pPr>
              <w:spacing w:line="240" w:lineRule="auto"/>
              <w:rPr>
                <w:rFonts w:cs="Calibri"/>
                <w:b w:val="0"/>
                <w:sz w:val="18"/>
                <w:szCs w:val="18"/>
                <w:lang w:val="en-US" w:eastAsia="en-US"/>
              </w:rPr>
            </w:pPr>
            <w:r w:rsidRPr="00324B27">
              <w:rPr>
                <w:rFonts w:cs="Calibri"/>
                <w:b w:val="0"/>
                <w:sz w:val="18"/>
                <w:szCs w:val="18"/>
                <w:lang w:val="en-US" w:eastAsia="en-US"/>
              </w:rPr>
              <w:t>3. Փոխարժեքի 4.6 տոկոս արժեզրկման ռիսկ</w:t>
            </w:r>
          </w:p>
        </w:tc>
        <w:tc>
          <w:tcPr>
            <w:tcW w:w="3685" w:type="dxa"/>
            <w:tcBorders>
              <w:bottom w:val="nil"/>
            </w:tcBorders>
            <w:shd w:val="clear" w:color="auto" w:fill="auto"/>
            <w:vAlign w:val="center"/>
            <w:hideMark/>
          </w:tcPr>
          <w:p w14:paraId="395D7674" w14:textId="77777777" w:rsidR="00EB28B4" w:rsidRPr="00324B27" w:rsidRDefault="00EB28B4" w:rsidP="00001B7F">
            <w:pPr>
              <w:spacing w:line="240" w:lineRule="auto"/>
              <w:rPr>
                <w:rFonts w:cs="Calibri"/>
                <w:b w:val="0"/>
                <w:sz w:val="18"/>
                <w:szCs w:val="18"/>
                <w:lang w:val="en-US" w:eastAsia="en-US"/>
              </w:rPr>
            </w:pPr>
            <w:r w:rsidRPr="00324B27">
              <w:rPr>
                <w:rFonts w:cs="Calibri"/>
                <w:b w:val="0"/>
                <w:sz w:val="18"/>
                <w:szCs w:val="18"/>
                <w:lang w:val="en-US" w:eastAsia="en-US"/>
              </w:rPr>
              <w:t>17.6</w:t>
            </w:r>
          </w:p>
        </w:tc>
        <w:tc>
          <w:tcPr>
            <w:tcW w:w="222" w:type="dxa"/>
            <w:shd w:val="clear" w:color="auto" w:fill="auto"/>
            <w:vAlign w:val="center"/>
            <w:hideMark/>
          </w:tcPr>
          <w:p w14:paraId="51960214" w14:textId="77777777" w:rsidR="00EB28B4" w:rsidRPr="009B62D7" w:rsidRDefault="00EB28B4" w:rsidP="00D656FB">
            <w:pPr>
              <w:rPr>
                <w:rFonts w:ascii="Times New Roman" w:hAnsi="Times New Roman"/>
                <w:b w:val="0"/>
                <w:sz w:val="20"/>
                <w:szCs w:val="20"/>
                <w:lang w:val="en-US" w:eastAsia="en-US"/>
              </w:rPr>
            </w:pPr>
          </w:p>
        </w:tc>
      </w:tr>
      <w:tr w:rsidR="00EB28B4" w:rsidRPr="009B62D7" w14:paraId="50056F84" w14:textId="77777777" w:rsidTr="00D656FB">
        <w:trPr>
          <w:trHeight w:val="420"/>
        </w:trPr>
        <w:tc>
          <w:tcPr>
            <w:tcW w:w="5473" w:type="dxa"/>
            <w:tcBorders>
              <w:bottom w:val="single" w:sz="4" w:space="0" w:color="auto"/>
            </w:tcBorders>
            <w:shd w:val="clear" w:color="auto" w:fill="auto"/>
            <w:vAlign w:val="center"/>
            <w:hideMark/>
          </w:tcPr>
          <w:p w14:paraId="15644ED4" w14:textId="77777777" w:rsidR="00EB28B4" w:rsidRPr="00324B27" w:rsidRDefault="00EB28B4" w:rsidP="00001B7F">
            <w:pPr>
              <w:spacing w:line="240" w:lineRule="auto"/>
              <w:rPr>
                <w:rFonts w:cs="Calibri"/>
                <w:b w:val="0"/>
                <w:sz w:val="18"/>
                <w:szCs w:val="18"/>
                <w:lang w:eastAsia="en-US"/>
              </w:rPr>
            </w:pPr>
            <w:r w:rsidRPr="00324B27">
              <w:rPr>
                <w:rFonts w:cs="Calibri"/>
                <w:b w:val="0"/>
                <w:sz w:val="18"/>
                <w:szCs w:val="18"/>
                <w:lang w:eastAsia="en-US"/>
              </w:rPr>
              <w:t xml:space="preserve">4. </w:t>
            </w:r>
            <w:r w:rsidRPr="00324B27">
              <w:rPr>
                <w:rFonts w:cs="Calibri"/>
                <w:b w:val="0"/>
                <w:sz w:val="18"/>
                <w:szCs w:val="18"/>
                <w:lang w:val="en-US" w:eastAsia="en-US"/>
              </w:rPr>
              <w:t>Ներմուծման</w:t>
            </w:r>
            <w:r w:rsidRPr="00324B27">
              <w:rPr>
                <w:rFonts w:cs="Calibri"/>
                <w:b w:val="0"/>
                <w:sz w:val="18"/>
                <w:szCs w:val="18"/>
                <w:lang w:eastAsia="en-US"/>
              </w:rPr>
              <w:t xml:space="preserve">  </w:t>
            </w:r>
            <w:r w:rsidRPr="00324B27">
              <w:rPr>
                <w:rFonts w:cs="Calibri"/>
                <w:b w:val="0"/>
                <w:sz w:val="18"/>
                <w:szCs w:val="18"/>
                <w:lang w:val="en-US" w:eastAsia="en-US"/>
              </w:rPr>
              <w:t>նվազման</w:t>
            </w:r>
            <w:r w:rsidRPr="00324B27">
              <w:rPr>
                <w:rFonts w:cs="Calibri"/>
                <w:b w:val="0"/>
                <w:sz w:val="18"/>
                <w:szCs w:val="18"/>
                <w:lang w:eastAsia="en-US"/>
              </w:rPr>
              <w:t xml:space="preserve"> </w:t>
            </w:r>
            <w:r w:rsidRPr="00324B27">
              <w:rPr>
                <w:rFonts w:cs="Calibri"/>
                <w:b w:val="0"/>
                <w:sz w:val="18"/>
                <w:szCs w:val="18"/>
                <w:lang w:val="en-US" w:eastAsia="en-US"/>
              </w:rPr>
              <w:t>ռիսկ</w:t>
            </w:r>
            <w:r w:rsidRPr="00324B27">
              <w:rPr>
                <w:rFonts w:cs="Calibri"/>
                <w:b w:val="0"/>
                <w:sz w:val="18"/>
                <w:szCs w:val="18"/>
                <w:lang w:eastAsia="en-US"/>
              </w:rPr>
              <w:t xml:space="preserve">, 9.6 </w:t>
            </w:r>
            <w:r w:rsidRPr="00324B27">
              <w:rPr>
                <w:rFonts w:cs="Calibri"/>
                <w:b w:val="0"/>
                <w:sz w:val="18"/>
                <w:szCs w:val="18"/>
                <w:lang w:val="en-US" w:eastAsia="en-US"/>
              </w:rPr>
              <w:t>տոկոսային</w:t>
            </w:r>
            <w:r w:rsidRPr="00324B27">
              <w:rPr>
                <w:rFonts w:cs="Calibri"/>
                <w:b w:val="0"/>
                <w:sz w:val="18"/>
                <w:szCs w:val="18"/>
                <w:lang w:eastAsia="en-US"/>
              </w:rPr>
              <w:t xml:space="preserve"> </w:t>
            </w:r>
            <w:r w:rsidRPr="00324B27">
              <w:rPr>
                <w:rFonts w:cs="Calibri"/>
                <w:b w:val="0"/>
                <w:sz w:val="18"/>
                <w:szCs w:val="18"/>
                <w:lang w:val="en-US" w:eastAsia="en-US"/>
              </w:rPr>
              <w:t>կետ</w:t>
            </w:r>
          </w:p>
        </w:tc>
        <w:tc>
          <w:tcPr>
            <w:tcW w:w="3685" w:type="dxa"/>
            <w:tcBorders>
              <w:bottom w:val="single" w:sz="4" w:space="0" w:color="auto"/>
            </w:tcBorders>
            <w:shd w:val="clear" w:color="auto" w:fill="auto"/>
            <w:vAlign w:val="center"/>
            <w:hideMark/>
          </w:tcPr>
          <w:p w14:paraId="4430E4D3" w14:textId="77777777" w:rsidR="00EB28B4" w:rsidRPr="00324B27" w:rsidRDefault="00EB28B4" w:rsidP="00001B7F">
            <w:pPr>
              <w:spacing w:line="240" w:lineRule="auto"/>
              <w:rPr>
                <w:rFonts w:cs="Calibri"/>
                <w:b w:val="0"/>
                <w:sz w:val="18"/>
                <w:szCs w:val="18"/>
                <w:lang w:val="en-US" w:eastAsia="en-US"/>
              </w:rPr>
            </w:pPr>
            <w:r w:rsidRPr="00324B27">
              <w:rPr>
                <w:rFonts w:cs="Calibri"/>
                <w:b w:val="0"/>
                <w:sz w:val="18"/>
                <w:szCs w:val="18"/>
                <w:lang w:val="en-US" w:eastAsia="en-US"/>
              </w:rPr>
              <w:t>-24.5</w:t>
            </w:r>
          </w:p>
        </w:tc>
        <w:tc>
          <w:tcPr>
            <w:tcW w:w="222" w:type="dxa"/>
            <w:shd w:val="clear" w:color="auto" w:fill="auto"/>
            <w:vAlign w:val="center"/>
            <w:hideMark/>
          </w:tcPr>
          <w:p w14:paraId="22C739E9" w14:textId="77777777" w:rsidR="00EB28B4" w:rsidRPr="009B62D7" w:rsidRDefault="00EB28B4" w:rsidP="00D656FB">
            <w:pPr>
              <w:rPr>
                <w:rFonts w:ascii="Times New Roman" w:hAnsi="Times New Roman"/>
                <w:b w:val="0"/>
                <w:sz w:val="20"/>
                <w:szCs w:val="20"/>
                <w:lang w:val="en-US" w:eastAsia="en-US"/>
              </w:rPr>
            </w:pPr>
          </w:p>
        </w:tc>
      </w:tr>
      <w:tr w:rsidR="00EB28B4" w:rsidRPr="009B62D7" w14:paraId="449D7CEE" w14:textId="77777777" w:rsidTr="00D656FB">
        <w:trPr>
          <w:trHeight w:val="660"/>
        </w:trPr>
        <w:tc>
          <w:tcPr>
            <w:tcW w:w="5473" w:type="dxa"/>
            <w:tcBorders>
              <w:top w:val="single" w:sz="4" w:space="0" w:color="auto"/>
              <w:bottom w:val="single" w:sz="4" w:space="0" w:color="auto"/>
            </w:tcBorders>
            <w:shd w:val="clear" w:color="auto" w:fill="auto"/>
            <w:vAlign w:val="center"/>
            <w:hideMark/>
          </w:tcPr>
          <w:p w14:paraId="7B940CEA" w14:textId="77777777" w:rsidR="00EB28B4" w:rsidRPr="00324B27" w:rsidRDefault="00EB28B4" w:rsidP="00001B7F">
            <w:pPr>
              <w:spacing w:line="240" w:lineRule="auto"/>
              <w:rPr>
                <w:rFonts w:cs="Calibri"/>
                <w:bCs/>
                <w:sz w:val="18"/>
                <w:szCs w:val="18"/>
                <w:lang w:eastAsia="en-US"/>
              </w:rPr>
            </w:pPr>
            <w:r w:rsidRPr="00324B27">
              <w:rPr>
                <w:rFonts w:cs="Calibri"/>
                <w:bCs/>
                <w:sz w:val="18"/>
                <w:szCs w:val="18"/>
                <w:lang w:val="en-US" w:eastAsia="en-US"/>
              </w:rPr>
              <w:t>Վերոնշյալ</w:t>
            </w:r>
            <w:r w:rsidRPr="00324B27">
              <w:rPr>
                <w:rFonts w:cs="Calibri"/>
                <w:bCs/>
                <w:sz w:val="18"/>
                <w:szCs w:val="18"/>
                <w:lang w:eastAsia="en-US"/>
              </w:rPr>
              <w:t xml:space="preserve"> </w:t>
            </w:r>
            <w:r w:rsidRPr="00324B27">
              <w:rPr>
                <w:rFonts w:cs="Calibri"/>
                <w:bCs/>
                <w:sz w:val="18"/>
                <w:szCs w:val="18"/>
                <w:lang w:val="en-US" w:eastAsia="en-US"/>
              </w:rPr>
              <w:t>ռիսկերի</w:t>
            </w:r>
            <w:r w:rsidRPr="00324B27">
              <w:rPr>
                <w:rFonts w:cs="Calibri"/>
                <w:bCs/>
                <w:sz w:val="18"/>
                <w:szCs w:val="18"/>
                <w:lang w:eastAsia="en-US"/>
              </w:rPr>
              <w:t xml:space="preserve"> </w:t>
            </w:r>
            <w:r w:rsidRPr="00324B27">
              <w:rPr>
                <w:rFonts w:cs="Calibri"/>
                <w:bCs/>
                <w:sz w:val="18"/>
                <w:szCs w:val="18"/>
                <w:lang w:val="en-US" w:eastAsia="en-US"/>
              </w:rPr>
              <w:t>միաժամանակյա</w:t>
            </w:r>
            <w:r w:rsidRPr="00324B27">
              <w:rPr>
                <w:rFonts w:cs="Calibri"/>
                <w:bCs/>
                <w:sz w:val="18"/>
                <w:szCs w:val="18"/>
                <w:lang w:eastAsia="en-US"/>
              </w:rPr>
              <w:t xml:space="preserve"> </w:t>
            </w:r>
            <w:r w:rsidRPr="00324B27">
              <w:rPr>
                <w:rFonts w:cs="Calibri"/>
                <w:bCs/>
                <w:sz w:val="18"/>
                <w:szCs w:val="18"/>
                <w:lang w:val="en-US" w:eastAsia="en-US"/>
              </w:rPr>
              <w:t>հանդես</w:t>
            </w:r>
            <w:r w:rsidRPr="00324B27">
              <w:rPr>
                <w:rFonts w:cs="Calibri"/>
                <w:bCs/>
                <w:sz w:val="18"/>
                <w:szCs w:val="18"/>
                <w:lang w:eastAsia="en-US"/>
              </w:rPr>
              <w:t xml:space="preserve"> </w:t>
            </w:r>
            <w:r w:rsidRPr="00324B27">
              <w:rPr>
                <w:rFonts w:cs="Calibri"/>
                <w:bCs/>
                <w:sz w:val="18"/>
                <w:szCs w:val="18"/>
                <w:lang w:val="en-US" w:eastAsia="en-US"/>
              </w:rPr>
              <w:t>գալու</w:t>
            </w:r>
            <w:r w:rsidRPr="00324B27">
              <w:rPr>
                <w:rFonts w:cs="Calibri"/>
                <w:bCs/>
                <w:sz w:val="18"/>
                <w:szCs w:val="18"/>
                <w:lang w:eastAsia="en-US"/>
              </w:rPr>
              <w:t xml:space="preserve"> </w:t>
            </w:r>
            <w:r w:rsidRPr="00324B27">
              <w:rPr>
                <w:rFonts w:cs="Calibri"/>
                <w:bCs/>
                <w:sz w:val="18"/>
                <w:szCs w:val="18"/>
                <w:lang w:val="en-US" w:eastAsia="en-US"/>
              </w:rPr>
              <w:t>պայմաններում</w:t>
            </w:r>
          </w:p>
        </w:tc>
        <w:tc>
          <w:tcPr>
            <w:tcW w:w="3685" w:type="dxa"/>
            <w:tcBorders>
              <w:top w:val="single" w:sz="4" w:space="0" w:color="auto"/>
              <w:bottom w:val="single" w:sz="4" w:space="0" w:color="auto"/>
            </w:tcBorders>
            <w:shd w:val="clear" w:color="auto" w:fill="auto"/>
            <w:vAlign w:val="center"/>
            <w:hideMark/>
          </w:tcPr>
          <w:p w14:paraId="79C077C6" w14:textId="77777777" w:rsidR="00EB28B4" w:rsidRPr="00324B27" w:rsidRDefault="00EB28B4" w:rsidP="00001B7F">
            <w:pPr>
              <w:spacing w:line="240" w:lineRule="auto"/>
              <w:rPr>
                <w:rFonts w:cs="Calibri"/>
                <w:bCs/>
                <w:sz w:val="18"/>
                <w:szCs w:val="18"/>
                <w:lang w:val="en-US" w:eastAsia="en-US"/>
              </w:rPr>
            </w:pPr>
            <w:r w:rsidRPr="00324B27">
              <w:rPr>
                <w:rFonts w:cs="Calibri"/>
                <w:bCs/>
                <w:sz w:val="18"/>
                <w:szCs w:val="18"/>
                <w:lang w:val="en-US" w:eastAsia="en-US"/>
              </w:rPr>
              <w:t>-42.9</w:t>
            </w:r>
          </w:p>
        </w:tc>
        <w:tc>
          <w:tcPr>
            <w:tcW w:w="222" w:type="dxa"/>
            <w:shd w:val="clear" w:color="auto" w:fill="auto"/>
            <w:vAlign w:val="center"/>
            <w:hideMark/>
          </w:tcPr>
          <w:p w14:paraId="67BFD00D" w14:textId="77777777" w:rsidR="00EB28B4" w:rsidRPr="009B62D7" w:rsidRDefault="00EB28B4" w:rsidP="00D656FB">
            <w:pPr>
              <w:rPr>
                <w:rFonts w:ascii="Times New Roman" w:hAnsi="Times New Roman"/>
                <w:b w:val="0"/>
                <w:sz w:val="20"/>
                <w:szCs w:val="20"/>
                <w:lang w:val="en-US" w:eastAsia="en-US"/>
              </w:rPr>
            </w:pPr>
          </w:p>
        </w:tc>
      </w:tr>
      <w:tr w:rsidR="00EB28B4" w:rsidRPr="009B62D7" w14:paraId="7E763FAA" w14:textId="77777777" w:rsidTr="00D656FB">
        <w:trPr>
          <w:trHeight w:val="660"/>
        </w:trPr>
        <w:tc>
          <w:tcPr>
            <w:tcW w:w="5473" w:type="dxa"/>
            <w:tcBorders>
              <w:top w:val="single" w:sz="4" w:space="0" w:color="auto"/>
              <w:bottom w:val="single" w:sz="4" w:space="0" w:color="auto"/>
            </w:tcBorders>
            <w:shd w:val="clear" w:color="auto" w:fill="auto"/>
            <w:vAlign w:val="center"/>
            <w:hideMark/>
          </w:tcPr>
          <w:p w14:paraId="68CE9A1D" w14:textId="77777777" w:rsidR="00EB28B4" w:rsidRPr="00324B27" w:rsidRDefault="00EB28B4" w:rsidP="00001B7F">
            <w:pPr>
              <w:spacing w:line="240" w:lineRule="auto"/>
              <w:rPr>
                <w:rFonts w:cs="Calibri"/>
                <w:b w:val="0"/>
                <w:sz w:val="18"/>
                <w:szCs w:val="18"/>
                <w:lang w:eastAsia="en-US"/>
              </w:rPr>
            </w:pPr>
            <w:r w:rsidRPr="00324B27">
              <w:rPr>
                <w:rFonts w:cs="Calibri"/>
                <w:b w:val="0"/>
                <w:sz w:val="18"/>
                <w:szCs w:val="18"/>
                <w:lang w:val="en-US" w:eastAsia="en-US"/>
              </w:rPr>
              <w:t>Հարկային</w:t>
            </w:r>
            <w:r w:rsidRPr="00324B27">
              <w:rPr>
                <w:rFonts w:cs="Calibri"/>
                <w:b w:val="0"/>
                <w:sz w:val="18"/>
                <w:szCs w:val="18"/>
                <w:lang w:eastAsia="en-US"/>
              </w:rPr>
              <w:t xml:space="preserve"> </w:t>
            </w:r>
            <w:r w:rsidRPr="00324B27">
              <w:rPr>
                <w:rFonts w:cs="Calibri"/>
                <w:b w:val="0"/>
                <w:sz w:val="18"/>
                <w:szCs w:val="18"/>
                <w:lang w:val="en-US" w:eastAsia="en-US"/>
              </w:rPr>
              <w:t>եկամուտների</w:t>
            </w:r>
            <w:r w:rsidRPr="00324B27">
              <w:rPr>
                <w:rFonts w:cs="Calibri"/>
                <w:b w:val="0"/>
                <w:sz w:val="18"/>
                <w:szCs w:val="18"/>
                <w:lang w:eastAsia="en-US"/>
              </w:rPr>
              <w:t xml:space="preserve"> </w:t>
            </w:r>
            <w:r w:rsidRPr="00324B27">
              <w:rPr>
                <w:rFonts w:cs="Calibri"/>
                <w:b w:val="0"/>
                <w:sz w:val="18"/>
                <w:szCs w:val="18"/>
                <w:lang w:val="en-US" w:eastAsia="en-US"/>
              </w:rPr>
              <w:t>վարչարարության</w:t>
            </w:r>
            <w:r w:rsidRPr="00324B27">
              <w:rPr>
                <w:rFonts w:cs="Calibri"/>
                <w:b w:val="0"/>
                <w:sz w:val="18"/>
                <w:szCs w:val="18"/>
                <w:lang w:eastAsia="en-US"/>
              </w:rPr>
              <w:t xml:space="preserve"> </w:t>
            </w:r>
            <w:r w:rsidRPr="00324B27">
              <w:rPr>
                <w:rFonts w:cs="Calibri"/>
                <w:b w:val="0"/>
                <w:sz w:val="18"/>
                <w:szCs w:val="18"/>
                <w:lang w:val="en-US" w:eastAsia="en-US"/>
              </w:rPr>
              <w:t>ռիսկ</w:t>
            </w:r>
            <w:r w:rsidRPr="00324B27">
              <w:rPr>
                <w:rFonts w:cs="Calibri"/>
                <w:b w:val="0"/>
                <w:sz w:val="18"/>
                <w:szCs w:val="18"/>
                <w:lang w:eastAsia="en-US"/>
              </w:rPr>
              <w:t xml:space="preserve">, 0.5 </w:t>
            </w:r>
            <w:r w:rsidRPr="00324B27">
              <w:rPr>
                <w:rFonts w:cs="Calibri"/>
                <w:b w:val="0"/>
                <w:sz w:val="18"/>
                <w:szCs w:val="18"/>
                <w:lang w:val="en-US" w:eastAsia="en-US"/>
              </w:rPr>
              <w:t>տոկոսային</w:t>
            </w:r>
            <w:r w:rsidRPr="00324B27">
              <w:rPr>
                <w:rFonts w:cs="Calibri"/>
                <w:b w:val="0"/>
                <w:sz w:val="18"/>
                <w:szCs w:val="18"/>
                <w:lang w:eastAsia="en-US"/>
              </w:rPr>
              <w:t xml:space="preserve"> </w:t>
            </w:r>
            <w:r w:rsidRPr="00324B27">
              <w:rPr>
                <w:rFonts w:cs="Calibri"/>
                <w:b w:val="0"/>
                <w:sz w:val="18"/>
                <w:szCs w:val="18"/>
                <w:lang w:val="en-US" w:eastAsia="en-US"/>
              </w:rPr>
              <w:t>կետ</w:t>
            </w:r>
          </w:p>
        </w:tc>
        <w:tc>
          <w:tcPr>
            <w:tcW w:w="3685" w:type="dxa"/>
            <w:tcBorders>
              <w:top w:val="single" w:sz="4" w:space="0" w:color="auto"/>
              <w:bottom w:val="single" w:sz="4" w:space="0" w:color="auto"/>
            </w:tcBorders>
            <w:shd w:val="clear" w:color="auto" w:fill="auto"/>
            <w:vAlign w:val="center"/>
            <w:hideMark/>
          </w:tcPr>
          <w:p w14:paraId="58FB3AB4" w14:textId="77777777" w:rsidR="00EB28B4" w:rsidRPr="00324B27" w:rsidRDefault="00EB28B4" w:rsidP="00001B7F">
            <w:pPr>
              <w:spacing w:line="240" w:lineRule="auto"/>
              <w:rPr>
                <w:rFonts w:cs="Calibri"/>
                <w:b w:val="0"/>
                <w:sz w:val="18"/>
                <w:szCs w:val="18"/>
                <w:lang w:val="en-US" w:eastAsia="en-US"/>
              </w:rPr>
            </w:pPr>
            <w:r w:rsidRPr="00324B27">
              <w:rPr>
                <w:rFonts w:cs="Calibri"/>
                <w:b w:val="0"/>
                <w:sz w:val="18"/>
                <w:szCs w:val="18"/>
                <w:lang w:val="en-US" w:eastAsia="en-US"/>
              </w:rPr>
              <w:t>-52.5</w:t>
            </w:r>
          </w:p>
        </w:tc>
        <w:tc>
          <w:tcPr>
            <w:tcW w:w="222" w:type="dxa"/>
            <w:shd w:val="clear" w:color="auto" w:fill="auto"/>
            <w:vAlign w:val="center"/>
            <w:hideMark/>
          </w:tcPr>
          <w:p w14:paraId="3907E202" w14:textId="77777777" w:rsidR="00EB28B4" w:rsidRPr="00324B27" w:rsidRDefault="00EB28B4" w:rsidP="00D656FB">
            <w:pPr>
              <w:rPr>
                <w:rFonts w:ascii="Times New Roman" w:hAnsi="Times New Roman"/>
                <w:b w:val="0"/>
                <w:sz w:val="18"/>
                <w:szCs w:val="18"/>
                <w:lang w:val="en-US" w:eastAsia="en-US"/>
              </w:rPr>
            </w:pPr>
          </w:p>
        </w:tc>
      </w:tr>
      <w:tr w:rsidR="00EB28B4" w:rsidRPr="009B62D7" w14:paraId="727C176D" w14:textId="77777777" w:rsidTr="00D656FB">
        <w:trPr>
          <w:trHeight w:val="345"/>
        </w:trPr>
        <w:tc>
          <w:tcPr>
            <w:tcW w:w="5473" w:type="dxa"/>
            <w:tcBorders>
              <w:top w:val="single" w:sz="4" w:space="0" w:color="auto"/>
            </w:tcBorders>
            <w:shd w:val="clear" w:color="auto" w:fill="auto"/>
            <w:vAlign w:val="center"/>
            <w:hideMark/>
          </w:tcPr>
          <w:p w14:paraId="19754DE7" w14:textId="77777777" w:rsidR="00EB28B4" w:rsidRPr="00324B27" w:rsidRDefault="00EB28B4" w:rsidP="00D656FB">
            <w:pPr>
              <w:rPr>
                <w:rFonts w:cs="Calibri"/>
                <w:bCs/>
                <w:sz w:val="18"/>
                <w:szCs w:val="18"/>
                <w:lang w:val="en-US" w:eastAsia="en-US"/>
              </w:rPr>
            </w:pPr>
            <w:r w:rsidRPr="00324B27">
              <w:rPr>
                <w:rFonts w:cs="Calibri"/>
                <w:bCs/>
                <w:sz w:val="18"/>
                <w:szCs w:val="18"/>
                <w:lang w:val="en-US" w:eastAsia="en-US"/>
              </w:rPr>
              <w:t>ԸՆԴԱՄԵՆԸ</w:t>
            </w:r>
          </w:p>
        </w:tc>
        <w:tc>
          <w:tcPr>
            <w:tcW w:w="3685" w:type="dxa"/>
            <w:tcBorders>
              <w:top w:val="single" w:sz="4" w:space="0" w:color="auto"/>
            </w:tcBorders>
            <w:shd w:val="clear" w:color="auto" w:fill="auto"/>
            <w:vAlign w:val="center"/>
            <w:hideMark/>
          </w:tcPr>
          <w:p w14:paraId="443A552F" w14:textId="77777777" w:rsidR="00EB28B4" w:rsidRPr="00324B27" w:rsidRDefault="00EB28B4" w:rsidP="00D656FB">
            <w:pPr>
              <w:rPr>
                <w:rFonts w:cs="Calibri"/>
                <w:bCs/>
                <w:sz w:val="18"/>
                <w:szCs w:val="18"/>
                <w:lang w:val="en-US" w:eastAsia="en-US"/>
              </w:rPr>
            </w:pPr>
            <w:r w:rsidRPr="00324B27">
              <w:rPr>
                <w:rFonts w:cs="Calibri"/>
                <w:bCs/>
                <w:sz w:val="18"/>
                <w:szCs w:val="18"/>
                <w:lang w:val="en-US" w:eastAsia="en-US"/>
              </w:rPr>
              <w:t>-95.4</w:t>
            </w:r>
          </w:p>
        </w:tc>
        <w:tc>
          <w:tcPr>
            <w:tcW w:w="222" w:type="dxa"/>
            <w:shd w:val="clear" w:color="auto" w:fill="auto"/>
            <w:vAlign w:val="center"/>
            <w:hideMark/>
          </w:tcPr>
          <w:p w14:paraId="0CE2C3BE" w14:textId="77777777" w:rsidR="00EB28B4" w:rsidRPr="00324B27" w:rsidRDefault="00EB28B4" w:rsidP="00D656FB">
            <w:pPr>
              <w:rPr>
                <w:rFonts w:ascii="Times New Roman" w:hAnsi="Times New Roman"/>
                <w:b w:val="0"/>
                <w:sz w:val="18"/>
                <w:szCs w:val="18"/>
                <w:lang w:val="en-US" w:eastAsia="en-US"/>
              </w:rPr>
            </w:pPr>
          </w:p>
        </w:tc>
      </w:tr>
    </w:tbl>
    <w:p w14:paraId="1D9BB4C6" w14:textId="77777777" w:rsidR="00EB28B4" w:rsidRDefault="00EB28B4" w:rsidP="00EB28B4">
      <w:pPr>
        <w:rPr>
          <w:rFonts w:cs="Sylfaen"/>
          <w:b w:val="0"/>
          <w:lang w:val="hy-AM"/>
        </w:rPr>
      </w:pPr>
    </w:p>
    <w:p w14:paraId="7972D349" w14:textId="77777777" w:rsidR="00EB28B4" w:rsidRPr="007955BB" w:rsidRDefault="00EB28B4" w:rsidP="00EB28B4">
      <w:pPr>
        <w:rPr>
          <w:rFonts w:cs="Sylfaen"/>
          <w:b w:val="0"/>
          <w:lang w:val="hy-AM"/>
        </w:rPr>
      </w:pPr>
      <w:r w:rsidRPr="007955BB">
        <w:rPr>
          <w:rFonts w:cs="Sylfaen"/>
          <w:b w:val="0"/>
          <w:lang w:val="hy-AM"/>
        </w:rPr>
        <w:lastRenderedPageBreak/>
        <w:t>Այսպիսով, գնահատվում է, որ հարկային եկամուտների վրա ազդող վերոնշյալ ռիսկերի միաժամանակյա ի հայտ գալու պարագայում հարկային եկամուտների ծրագրված մակարդակից շեղումը 202</w:t>
      </w:r>
      <w:r>
        <w:rPr>
          <w:rFonts w:cs="Sylfaen"/>
          <w:b w:val="0"/>
          <w:lang w:val="hy-AM"/>
        </w:rPr>
        <w:t>4</w:t>
      </w:r>
      <w:r w:rsidRPr="007955BB">
        <w:rPr>
          <w:rFonts w:cs="Sylfaen"/>
          <w:b w:val="0"/>
          <w:lang w:val="hy-AM"/>
        </w:rPr>
        <w:t xml:space="preserve"> թվականին կկազմի շուրջ </w:t>
      </w:r>
      <w:r>
        <w:rPr>
          <w:rFonts w:cs="Sylfaen"/>
          <w:b w:val="0"/>
          <w:lang w:val="hy-AM"/>
        </w:rPr>
        <w:t>95.4</w:t>
      </w:r>
      <w:r w:rsidRPr="007955BB">
        <w:rPr>
          <w:rFonts w:cs="Sylfaen"/>
          <w:b w:val="0"/>
          <w:lang w:val="hy-AM"/>
        </w:rPr>
        <w:t xml:space="preserve"> մլրդ ՀՀ դրամ: </w:t>
      </w:r>
    </w:p>
    <w:p w14:paraId="4520A309" w14:textId="77777777" w:rsidR="00EB28B4" w:rsidRPr="007955BB" w:rsidRDefault="00EB28B4" w:rsidP="00EB28B4">
      <w:pPr>
        <w:rPr>
          <w:rFonts w:cs="Sylfaen"/>
          <w:b w:val="0"/>
          <w:lang w:val="hy-AM"/>
        </w:rPr>
      </w:pPr>
      <w:r w:rsidRPr="007955BB">
        <w:rPr>
          <w:rFonts w:cs="Sylfaen"/>
          <w:b w:val="0"/>
          <w:lang w:val="hy-AM"/>
        </w:rPr>
        <w:t>Հարկային եկամուտների վրա առանձին ռիսկերի ազդեցության չափի վերաբերյալ պատկերացում են տալիս նաև ստորև ներկայացվող զգայունության գնահատականները, սակայն այս դեպքում դիտարկվում է հարկային եկամուտների աճի վրա ազդող գործոնների աճերի 1% փոփոխության ազդեցությունը, ինչը ներկայացված է հարկային եկամուտների զգայունության աղյուսակում:</w:t>
      </w:r>
    </w:p>
    <w:p w14:paraId="101B7281" w14:textId="77777777" w:rsidR="00EB28B4" w:rsidRPr="004366AE" w:rsidRDefault="00EB28B4" w:rsidP="00EB28B4">
      <w:pPr>
        <w:pStyle w:val="Caption"/>
        <w:spacing w:after="0"/>
        <w:rPr>
          <w:rFonts w:eastAsia="Calibri" w:cs="Sylfaen"/>
          <w:color w:val="auto"/>
          <w:sz w:val="22"/>
          <w:szCs w:val="22"/>
          <w:lang w:val="hy-AM" w:eastAsia="en-US"/>
        </w:rPr>
      </w:pPr>
      <w:bookmarkStart w:id="357" w:name="_Toc83928955"/>
      <w:bookmarkStart w:id="358" w:name="_Toc115686970"/>
      <w:r w:rsidRPr="001F2522">
        <w:rPr>
          <w:b/>
          <w:bCs w:val="0"/>
          <w:color w:val="auto"/>
          <w:sz w:val="22"/>
          <w:szCs w:val="22"/>
          <w:lang w:val="hy-AM"/>
        </w:rPr>
        <w:t>Աղյուսակ 2.2.</w:t>
      </w:r>
      <w:r w:rsidRPr="00C1353E">
        <w:rPr>
          <w:sz w:val="22"/>
          <w:szCs w:val="22"/>
          <w:lang w:val="hy-AM"/>
        </w:rPr>
        <w:t xml:space="preserve">  </w:t>
      </w:r>
      <w:bookmarkEnd w:id="357"/>
      <w:bookmarkEnd w:id="358"/>
      <w:r w:rsidRPr="004366AE">
        <w:rPr>
          <w:rFonts w:eastAsia="Calibri" w:cs="Sylfaen"/>
          <w:color w:val="auto"/>
          <w:sz w:val="22"/>
          <w:szCs w:val="22"/>
          <w:lang w:val="hy-AM" w:eastAsia="en-US"/>
        </w:rPr>
        <w:t>Հարկային եկամուտների զգայունությունը հիմնական տնտեսական գործոնների նկատմամբ, տոկոս</w:t>
      </w:r>
    </w:p>
    <w:tbl>
      <w:tblPr>
        <w:tblW w:w="9198" w:type="dxa"/>
        <w:jc w:val="center"/>
        <w:tblLook w:val="00A0" w:firstRow="1" w:lastRow="0" w:firstColumn="1" w:lastColumn="0" w:noHBand="0" w:noVBand="0"/>
      </w:tblPr>
      <w:tblGrid>
        <w:gridCol w:w="3659"/>
        <w:gridCol w:w="1398"/>
        <w:gridCol w:w="1138"/>
        <w:gridCol w:w="1435"/>
        <w:gridCol w:w="1568"/>
      </w:tblGrid>
      <w:tr w:rsidR="00EB28B4" w:rsidRPr="004366AE" w14:paraId="4E573647" w14:textId="77777777" w:rsidTr="00D656FB">
        <w:trPr>
          <w:trHeight w:val="476"/>
          <w:jc w:val="center"/>
        </w:trPr>
        <w:tc>
          <w:tcPr>
            <w:tcW w:w="3659" w:type="dxa"/>
            <w:tcBorders>
              <w:bottom w:val="single" w:sz="4" w:space="0" w:color="auto"/>
            </w:tcBorders>
            <w:shd w:val="clear" w:color="auto" w:fill="auto"/>
            <w:noWrap/>
            <w:vAlign w:val="bottom"/>
            <w:hideMark/>
          </w:tcPr>
          <w:p w14:paraId="0804775D" w14:textId="77777777" w:rsidR="00EB28B4" w:rsidRPr="004366AE" w:rsidRDefault="00EB28B4" w:rsidP="00D656FB">
            <w:pPr>
              <w:rPr>
                <w:b w:val="0"/>
                <w:lang w:val="hy-AM"/>
              </w:rPr>
            </w:pPr>
            <w:r w:rsidRPr="004366AE">
              <w:rPr>
                <w:rFonts w:ascii="Calibri" w:hAnsi="Calibri" w:cs="Calibri"/>
                <w:b w:val="0"/>
                <w:lang w:val="hy-AM"/>
              </w:rPr>
              <w:t> </w:t>
            </w:r>
          </w:p>
        </w:tc>
        <w:tc>
          <w:tcPr>
            <w:tcW w:w="1398" w:type="dxa"/>
            <w:tcBorders>
              <w:bottom w:val="single" w:sz="4" w:space="0" w:color="auto"/>
            </w:tcBorders>
            <w:shd w:val="clear" w:color="auto" w:fill="auto"/>
            <w:noWrap/>
            <w:vAlign w:val="bottom"/>
            <w:hideMark/>
          </w:tcPr>
          <w:p w14:paraId="2E63DC9D" w14:textId="77777777" w:rsidR="00EB28B4" w:rsidRPr="004366AE" w:rsidRDefault="00EB28B4" w:rsidP="00D656FB">
            <w:pPr>
              <w:rPr>
                <w:b w:val="0"/>
                <w:lang w:val="hy-AM"/>
              </w:rPr>
            </w:pPr>
            <w:r w:rsidRPr="004366AE">
              <w:rPr>
                <w:rFonts w:cs="Sylfaen"/>
                <w:b w:val="0"/>
                <w:lang w:val="hy-AM"/>
              </w:rPr>
              <w:t>ՀՆԱ</w:t>
            </w:r>
          </w:p>
        </w:tc>
        <w:tc>
          <w:tcPr>
            <w:tcW w:w="1138" w:type="dxa"/>
            <w:tcBorders>
              <w:bottom w:val="single" w:sz="4" w:space="0" w:color="auto"/>
            </w:tcBorders>
            <w:shd w:val="clear" w:color="auto" w:fill="auto"/>
            <w:noWrap/>
            <w:vAlign w:val="bottom"/>
            <w:hideMark/>
          </w:tcPr>
          <w:p w14:paraId="481344DB" w14:textId="77777777" w:rsidR="00EB28B4" w:rsidRPr="004366AE" w:rsidRDefault="00EB28B4" w:rsidP="00D656FB">
            <w:pPr>
              <w:rPr>
                <w:b w:val="0"/>
                <w:lang w:val="hy-AM"/>
              </w:rPr>
            </w:pPr>
            <w:r w:rsidRPr="004366AE">
              <w:rPr>
                <w:rFonts w:cs="Sylfaen"/>
                <w:b w:val="0"/>
                <w:lang w:val="hy-AM"/>
              </w:rPr>
              <w:t>Գնաճ</w:t>
            </w:r>
          </w:p>
        </w:tc>
        <w:tc>
          <w:tcPr>
            <w:tcW w:w="1435" w:type="dxa"/>
            <w:tcBorders>
              <w:bottom w:val="single" w:sz="4" w:space="0" w:color="auto"/>
            </w:tcBorders>
            <w:shd w:val="clear" w:color="auto" w:fill="auto"/>
            <w:noWrap/>
            <w:vAlign w:val="bottom"/>
            <w:hideMark/>
          </w:tcPr>
          <w:p w14:paraId="26456CE3" w14:textId="77777777" w:rsidR="00EB28B4" w:rsidRPr="004366AE" w:rsidRDefault="00EB28B4" w:rsidP="00D656FB">
            <w:pPr>
              <w:rPr>
                <w:b w:val="0"/>
                <w:lang w:val="hy-AM"/>
              </w:rPr>
            </w:pPr>
            <w:r w:rsidRPr="004366AE">
              <w:rPr>
                <w:rFonts w:cs="Sylfaen"/>
                <w:b w:val="0"/>
                <w:lang w:val="hy-AM"/>
              </w:rPr>
              <w:t>Փոխարժեք</w:t>
            </w:r>
          </w:p>
        </w:tc>
        <w:tc>
          <w:tcPr>
            <w:tcW w:w="1568" w:type="dxa"/>
            <w:tcBorders>
              <w:bottom w:val="single" w:sz="4" w:space="0" w:color="auto"/>
            </w:tcBorders>
            <w:shd w:val="clear" w:color="auto" w:fill="auto"/>
            <w:noWrap/>
            <w:vAlign w:val="bottom"/>
            <w:hideMark/>
          </w:tcPr>
          <w:p w14:paraId="506F0672" w14:textId="77777777" w:rsidR="00EB28B4" w:rsidRPr="004366AE" w:rsidRDefault="00EB28B4" w:rsidP="00D656FB">
            <w:pPr>
              <w:rPr>
                <w:b w:val="0"/>
                <w:lang w:val="hy-AM"/>
              </w:rPr>
            </w:pPr>
            <w:r w:rsidRPr="004366AE">
              <w:rPr>
                <w:rFonts w:cs="Sylfaen"/>
                <w:b w:val="0"/>
                <w:lang w:val="hy-AM"/>
              </w:rPr>
              <w:t>Ներմուծ</w:t>
            </w:r>
            <w:r w:rsidRPr="004366AE">
              <w:rPr>
                <w:b w:val="0"/>
                <w:lang w:val="hy-AM"/>
              </w:rPr>
              <w:t>ում</w:t>
            </w:r>
          </w:p>
        </w:tc>
      </w:tr>
      <w:tr w:rsidR="00EB28B4" w:rsidRPr="004366AE" w14:paraId="6C62639D" w14:textId="77777777" w:rsidTr="00D656FB">
        <w:trPr>
          <w:trHeight w:val="476"/>
          <w:jc w:val="center"/>
        </w:trPr>
        <w:tc>
          <w:tcPr>
            <w:tcW w:w="3659" w:type="dxa"/>
            <w:tcBorders>
              <w:top w:val="single" w:sz="4" w:space="0" w:color="auto"/>
            </w:tcBorders>
            <w:shd w:val="clear" w:color="auto" w:fill="auto"/>
            <w:noWrap/>
            <w:vAlign w:val="bottom"/>
            <w:hideMark/>
          </w:tcPr>
          <w:p w14:paraId="02CA2D18" w14:textId="77777777" w:rsidR="00EB28B4" w:rsidRPr="004366AE" w:rsidRDefault="00EB28B4" w:rsidP="00D656FB">
            <w:pPr>
              <w:rPr>
                <w:b w:val="0"/>
                <w:lang w:val="hy-AM"/>
              </w:rPr>
            </w:pPr>
            <w:r w:rsidRPr="004366AE">
              <w:rPr>
                <w:rFonts w:cs="Sylfaen"/>
                <w:b w:val="0"/>
                <w:lang w:val="hy-AM"/>
              </w:rPr>
              <w:t>Միջին տարեկան ազդեցություն</w:t>
            </w:r>
          </w:p>
        </w:tc>
        <w:tc>
          <w:tcPr>
            <w:tcW w:w="1398" w:type="dxa"/>
            <w:tcBorders>
              <w:top w:val="single" w:sz="4" w:space="0" w:color="auto"/>
            </w:tcBorders>
            <w:shd w:val="clear" w:color="auto" w:fill="auto"/>
            <w:noWrap/>
            <w:vAlign w:val="bottom"/>
            <w:hideMark/>
          </w:tcPr>
          <w:p w14:paraId="2130A965" w14:textId="77777777" w:rsidR="00EB28B4" w:rsidRPr="004366AE" w:rsidRDefault="00EB28B4" w:rsidP="00D656FB">
            <w:pPr>
              <w:rPr>
                <w:rFonts w:cs="Calibri"/>
                <w:b w:val="0"/>
                <w:lang w:val="hy-AM"/>
              </w:rPr>
            </w:pPr>
            <w:r w:rsidRPr="004366AE">
              <w:rPr>
                <w:rFonts w:cs="Calibri"/>
                <w:b w:val="0"/>
                <w:szCs w:val="22"/>
              </w:rPr>
              <w:t>0.2</w:t>
            </w:r>
            <w:r w:rsidRPr="004366AE">
              <w:rPr>
                <w:rFonts w:cs="Calibri"/>
                <w:b w:val="0"/>
                <w:szCs w:val="22"/>
                <w:lang w:val="hy-AM"/>
              </w:rPr>
              <w:t>1</w:t>
            </w:r>
          </w:p>
        </w:tc>
        <w:tc>
          <w:tcPr>
            <w:tcW w:w="1138" w:type="dxa"/>
            <w:tcBorders>
              <w:top w:val="single" w:sz="4" w:space="0" w:color="auto"/>
            </w:tcBorders>
            <w:shd w:val="clear" w:color="auto" w:fill="auto"/>
            <w:noWrap/>
            <w:vAlign w:val="bottom"/>
            <w:hideMark/>
          </w:tcPr>
          <w:p w14:paraId="62DF3998" w14:textId="77777777" w:rsidR="00EB28B4" w:rsidRPr="004366AE" w:rsidRDefault="00EB28B4" w:rsidP="00D656FB">
            <w:pPr>
              <w:rPr>
                <w:rFonts w:cs="Calibri"/>
                <w:b w:val="0"/>
                <w:lang w:val="hy-AM"/>
              </w:rPr>
            </w:pPr>
            <w:r w:rsidRPr="004366AE">
              <w:rPr>
                <w:rFonts w:cs="Calibri"/>
                <w:b w:val="0"/>
                <w:szCs w:val="22"/>
              </w:rPr>
              <w:t>0.11</w:t>
            </w:r>
          </w:p>
        </w:tc>
        <w:tc>
          <w:tcPr>
            <w:tcW w:w="1435" w:type="dxa"/>
            <w:tcBorders>
              <w:top w:val="single" w:sz="4" w:space="0" w:color="auto"/>
            </w:tcBorders>
            <w:shd w:val="clear" w:color="auto" w:fill="auto"/>
            <w:noWrap/>
            <w:vAlign w:val="bottom"/>
            <w:hideMark/>
          </w:tcPr>
          <w:p w14:paraId="28B16C03" w14:textId="77777777" w:rsidR="00EB28B4" w:rsidRPr="004366AE" w:rsidRDefault="00EB28B4" w:rsidP="00D656FB">
            <w:pPr>
              <w:rPr>
                <w:rFonts w:cs="Calibri"/>
                <w:b w:val="0"/>
                <w:lang w:val="hy-AM"/>
              </w:rPr>
            </w:pPr>
            <w:r w:rsidRPr="004366AE">
              <w:rPr>
                <w:rFonts w:cs="Calibri"/>
                <w:b w:val="0"/>
                <w:szCs w:val="22"/>
              </w:rPr>
              <w:t>0.1</w:t>
            </w:r>
            <w:r w:rsidRPr="004366AE">
              <w:rPr>
                <w:rFonts w:cs="Calibri"/>
                <w:b w:val="0"/>
                <w:szCs w:val="22"/>
                <w:lang w:val="hy-AM"/>
              </w:rPr>
              <w:t>5</w:t>
            </w:r>
          </w:p>
        </w:tc>
        <w:tc>
          <w:tcPr>
            <w:tcW w:w="1568" w:type="dxa"/>
            <w:tcBorders>
              <w:top w:val="single" w:sz="4" w:space="0" w:color="auto"/>
            </w:tcBorders>
            <w:shd w:val="clear" w:color="auto" w:fill="auto"/>
            <w:noWrap/>
            <w:vAlign w:val="bottom"/>
            <w:hideMark/>
          </w:tcPr>
          <w:p w14:paraId="3989893B" w14:textId="77777777" w:rsidR="00EB28B4" w:rsidRPr="004366AE" w:rsidRDefault="00EB28B4" w:rsidP="00D656FB">
            <w:pPr>
              <w:rPr>
                <w:rFonts w:cs="Calibri"/>
                <w:b w:val="0"/>
                <w:lang w:val="hy-AM"/>
              </w:rPr>
            </w:pPr>
            <w:r w:rsidRPr="004366AE">
              <w:rPr>
                <w:rFonts w:cs="Calibri"/>
                <w:b w:val="0"/>
                <w:szCs w:val="22"/>
              </w:rPr>
              <w:t>0.05</w:t>
            </w:r>
          </w:p>
        </w:tc>
      </w:tr>
    </w:tbl>
    <w:p w14:paraId="15946D4E" w14:textId="77777777" w:rsidR="00EB28B4" w:rsidRDefault="00EB28B4" w:rsidP="00EB28B4">
      <w:pPr>
        <w:rPr>
          <w:rFonts w:cs="Sylfaen"/>
          <w:b w:val="0"/>
          <w:lang w:val="hy-AM"/>
        </w:rPr>
      </w:pPr>
    </w:p>
    <w:p w14:paraId="7A321922" w14:textId="77777777" w:rsidR="00EB28B4" w:rsidRPr="007955BB" w:rsidRDefault="00EB28B4" w:rsidP="00EB28B4">
      <w:pPr>
        <w:rPr>
          <w:rFonts w:cs="Sylfaen"/>
          <w:b w:val="0"/>
          <w:lang w:val="hy-AM"/>
        </w:rPr>
      </w:pPr>
      <w:r w:rsidRPr="007955BB">
        <w:rPr>
          <w:rFonts w:cs="Sylfaen"/>
          <w:b w:val="0"/>
          <w:lang w:val="hy-AM"/>
        </w:rPr>
        <w:t>Ինչպես երևում է աղյուսակից, հարկերի հավաքագրման առումով առավել էական գործոններ են հանդիսանում ՀՆԱ-ի և փոխարժեքի փոփոխությունները:</w:t>
      </w:r>
    </w:p>
    <w:p w14:paraId="6EFB1859" w14:textId="77777777" w:rsidR="00EB28B4" w:rsidRPr="007955BB" w:rsidRDefault="00EB28B4" w:rsidP="00EB28B4">
      <w:pPr>
        <w:rPr>
          <w:rFonts w:cs="Sylfaen"/>
          <w:b w:val="0"/>
          <w:lang w:val="hy-AM"/>
        </w:rPr>
      </w:pPr>
      <w:r w:rsidRPr="007955BB">
        <w:rPr>
          <w:rFonts w:cs="Sylfaen"/>
          <w:b w:val="0"/>
          <w:lang w:val="hy-AM"/>
        </w:rPr>
        <w:t>Հարկային եկամուտների կանխատեսումների հետ կապված անորոշությունների և ռիսկերի հաշվեկշռի վերաբերյալ գնահատականներն իրենց արտացոլումն են գտել ստորև ներկայացվող հարկային եկամուտների հավանականային բաշխման գծապատկերում և համապատասխան աղյուսակում (տես` Գծապատկեր 2.1 և Աղյուսակ 2</w:t>
      </w:r>
      <w:r w:rsidRPr="00625305">
        <w:rPr>
          <w:rFonts w:cs="Sylfaen"/>
          <w:b w:val="0"/>
          <w:lang w:val="hy-AM"/>
        </w:rPr>
        <w:t>1</w:t>
      </w:r>
      <w:r w:rsidRPr="007955BB">
        <w:rPr>
          <w:rFonts w:cs="Sylfaen"/>
          <w:b w:val="0"/>
          <w:lang w:val="hy-AM"/>
        </w:rPr>
        <w:t>)</w:t>
      </w:r>
      <w:r w:rsidRPr="007955BB">
        <w:rPr>
          <w:rStyle w:val="FootnoteReference"/>
          <w:rFonts w:cs="Sylfaen"/>
          <w:b w:val="0"/>
          <w:lang w:val="hy-AM"/>
        </w:rPr>
        <w:footnoteReference w:id="33"/>
      </w:r>
      <w:r w:rsidRPr="007955BB">
        <w:rPr>
          <w:rFonts w:cs="Sylfaen"/>
          <w:b w:val="0"/>
          <w:lang w:val="hy-AM"/>
        </w:rPr>
        <w:t>: Հավանականային բաշխման գրաֆիկի կառուցման ժամանակ օգտագործվել է աղյուսակ 1</w:t>
      </w:r>
      <w:r w:rsidRPr="00625305">
        <w:rPr>
          <w:rFonts w:cs="Sylfaen"/>
          <w:b w:val="0"/>
          <w:lang w:val="hy-AM"/>
        </w:rPr>
        <w:t>9</w:t>
      </w:r>
      <w:r w:rsidRPr="007955BB">
        <w:rPr>
          <w:rFonts w:cs="Sylfaen"/>
          <w:b w:val="0"/>
          <w:lang w:val="hy-AM"/>
        </w:rPr>
        <w:t>-ում գնահատված ամբողջական ռիսկերի միաժամանակյա հանդես գալու պայմաններում ի հայտ եկող բացասական ռիսկերը:</w:t>
      </w:r>
    </w:p>
    <w:p w14:paraId="31E1F6DC" w14:textId="77777777" w:rsidR="00EB28B4" w:rsidRPr="00EB6183" w:rsidRDefault="00EB28B4" w:rsidP="00EB28B4">
      <w:pPr>
        <w:pStyle w:val="Caption"/>
        <w:spacing w:after="0"/>
        <w:rPr>
          <w:rFonts w:eastAsia="Calibri" w:cs="Sylfaen"/>
          <w:color w:val="auto"/>
          <w:sz w:val="22"/>
          <w:szCs w:val="22"/>
          <w:lang w:val="hy-AM" w:eastAsia="en-US"/>
        </w:rPr>
      </w:pPr>
      <w:r w:rsidRPr="001F2522">
        <w:rPr>
          <w:rFonts w:eastAsia="Calibri"/>
          <w:b/>
          <w:bCs w:val="0"/>
          <w:i/>
          <w:color w:val="auto"/>
          <w:sz w:val="22"/>
          <w:szCs w:val="22"/>
          <w:lang w:val="hy-AM" w:eastAsia="en-US"/>
        </w:rPr>
        <w:t>Գծապատկեր 2.1.</w:t>
      </w:r>
      <w:r w:rsidRPr="001F2522">
        <w:rPr>
          <w:rFonts w:eastAsia="Calibri"/>
          <w:i/>
          <w:color w:val="auto"/>
          <w:sz w:val="22"/>
          <w:szCs w:val="22"/>
          <w:lang w:val="hy-AM" w:eastAsia="en-US"/>
        </w:rPr>
        <w:t xml:space="preserve"> </w:t>
      </w:r>
      <w:r w:rsidRPr="00EB6183">
        <w:rPr>
          <w:rFonts w:eastAsia="Calibri" w:cs="Sylfaen"/>
          <w:color w:val="auto"/>
          <w:sz w:val="22"/>
          <w:szCs w:val="22"/>
          <w:lang w:val="hy-AM" w:eastAsia="en-US"/>
        </w:rPr>
        <w:t>Հարկային եկամուտների զգայունությունը հիմնական տնտեսական գործոնների նկատմամբ, տոկոս</w:t>
      </w:r>
    </w:p>
    <w:p w14:paraId="44C81862" w14:textId="77777777" w:rsidR="00EB28B4" w:rsidRPr="007955BB" w:rsidRDefault="00EB28B4" w:rsidP="00EB28B4">
      <w:pPr>
        <w:tabs>
          <w:tab w:val="left" w:pos="90"/>
        </w:tabs>
        <w:rPr>
          <w:b w:val="0"/>
          <w:i/>
          <w:u w:val="single"/>
          <w:lang w:val="hy-AM"/>
        </w:rPr>
      </w:pPr>
      <w:r>
        <w:rPr>
          <w:noProof/>
          <w:lang w:val="en-US" w:eastAsia="en-US"/>
          <w14:ligatures w14:val="standardContextual"/>
        </w:rPr>
        <w:drawing>
          <wp:inline distT="0" distB="0" distL="0" distR="0" wp14:anchorId="0994EC99" wp14:editId="138C89D2">
            <wp:extent cx="5962650" cy="1685925"/>
            <wp:effectExtent l="0" t="0" r="0" b="9525"/>
            <wp:docPr id="1464873611" name="Chart 1">
              <a:extLst xmlns:a="http://schemas.openxmlformats.org/drawingml/2006/main">
                <a:ext uri="{FF2B5EF4-FFF2-40B4-BE49-F238E27FC236}">
                  <a16:creationId xmlns:a16="http://schemas.microsoft.com/office/drawing/2014/main" id="{1C4B8758-0D6E-94F6-A53C-C0D0C51A26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B5C45DC" w14:textId="77777777" w:rsidR="00EB28B4" w:rsidRDefault="00EB28B4" w:rsidP="00EB28B4">
      <w:pPr>
        <w:rPr>
          <w:rFonts w:cs="Sylfaen"/>
          <w:b w:val="0"/>
          <w:lang w:val="hy-AM"/>
        </w:rPr>
      </w:pPr>
      <w:r w:rsidRPr="007955BB">
        <w:rPr>
          <w:rFonts w:cs="Sylfaen"/>
          <w:b w:val="0"/>
          <w:lang w:val="hy-AM"/>
        </w:rPr>
        <w:t xml:space="preserve">Կանխատեսումների բաշխման հավանականություններն առավել պարզորոշ երևում են ստորև բերվող աղյուսակում: </w:t>
      </w:r>
    </w:p>
    <w:p w14:paraId="2DF0F618" w14:textId="77777777" w:rsidR="00EB28B4" w:rsidRDefault="00EB28B4" w:rsidP="00EB28B4">
      <w:pPr>
        <w:pStyle w:val="Caption"/>
        <w:spacing w:after="0"/>
        <w:rPr>
          <w:rFonts w:cs="Sylfaen"/>
          <w:bCs w:val="0"/>
          <w:color w:val="auto"/>
          <w:sz w:val="22"/>
          <w:szCs w:val="24"/>
          <w:lang w:val="hy-AM"/>
        </w:rPr>
      </w:pPr>
      <w:bookmarkStart w:id="359" w:name="_Toc83928956"/>
    </w:p>
    <w:p w14:paraId="101DC326" w14:textId="77777777" w:rsidR="00EB28B4" w:rsidRPr="00063D1B" w:rsidRDefault="00EB28B4" w:rsidP="00EB28B4">
      <w:pPr>
        <w:pStyle w:val="Caption"/>
        <w:spacing w:after="0"/>
        <w:rPr>
          <w:rFonts w:eastAsia="Calibri" w:cs="Sylfaen"/>
          <w:b/>
          <w:i/>
          <w:color w:val="auto"/>
          <w:sz w:val="22"/>
          <w:szCs w:val="22"/>
          <w:lang w:val="hy-AM" w:eastAsia="en-US"/>
        </w:rPr>
      </w:pPr>
      <w:r w:rsidRPr="007955BB">
        <w:rPr>
          <w:rFonts w:cs="Sylfaen"/>
          <w:bCs w:val="0"/>
          <w:color w:val="auto"/>
          <w:sz w:val="22"/>
          <w:szCs w:val="24"/>
          <w:lang w:val="hy-AM"/>
        </w:rPr>
        <w:t xml:space="preserve"> </w:t>
      </w:r>
      <w:bookmarkStart w:id="360" w:name="_Toc115686971"/>
      <w:r w:rsidRPr="001F2522">
        <w:rPr>
          <w:rFonts w:eastAsia="Calibri" w:cs="Sylfaen"/>
          <w:b/>
          <w:i/>
          <w:color w:val="auto"/>
          <w:sz w:val="22"/>
          <w:szCs w:val="22"/>
          <w:lang w:val="hy-AM" w:eastAsia="en-US"/>
        </w:rPr>
        <w:t>Աղյուսակ 2.3.</w:t>
      </w:r>
      <w:r w:rsidRPr="007955BB">
        <w:rPr>
          <w:rFonts w:eastAsia="Calibri"/>
          <w:i/>
          <w:sz w:val="20"/>
          <w:szCs w:val="20"/>
          <w:lang w:val="hy-AM" w:eastAsia="en-US"/>
        </w:rPr>
        <w:t xml:space="preserve"> </w:t>
      </w:r>
      <w:r w:rsidRPr="00EB6183">
        <w:rPr>
          <w:rFonts w:eastAsia="Calibri" w:cs="Sylfaen"/>
          <w:color w:val="auto"/>
          <w:sz w:val="22"/>
          <w:szCs w:val="22"/>
          <w:lang w:val="hy-AM" w:eastAsia="en-US"/>
        </w:rPr>
        <w:t>Հարկային եկամուտների կանխատեսումների հավանականային բաշխումը</w:t>
      </w:r>
      <w:bookmarkEnd w:id="359"/>
      <w:bookmarkEnd w:id="360"/>
    </w:p>
    <w:tbl>
      <w:tblPr>
        <w:tblW w:w="7803" w:type="dxa"/>
        <w:tblInd w:w="704" w:type="dxa"/>
        <w:tblBorders>
          <w:bottom w:val="single" w:sz="4" w:space="0" w:color="auto"/>
        </w:tblBorders>
        <w:tblLook w:val="04A0" w:firstRow="1" w:lastRow="0" w:firstColumn="1" w:lastColumn="0" w:noHBand="0" w:noVBand="1"/>
      </w:tblPr>
      <w:tblGrid>
        <w:gridCol w:w="2676"/>
        <w:gridCol w:w="913"/>
        <w:gridCol w:w="1709"/>
        <w:gridCol w:w="1416"/>
        <w:gridCol w:w="1089"/>
      </w:tblGrid>
      <w:tr w:rsidR="00EB28B4" w:rsidRPr="00933CA4" w14:paraId="3D32F219" w14:textId="77777777" w:rsidTr="00D656FB">
        <w:trPr>
          <w:trHeight w:val="995"/>
        </w:trPr>
        <w:tc>
          <w:tcPr>
            <w:tcW w:w="2676" w:type="dxa"/>
            <w:tcBorders>
              <w:bottom w:val="single" w:sz="4" w:space="0" w:color="auto"/>
            </w:tcBorders>
            <w:shd w:val="clear" w:color="auto" w:fill="auto"/>
            <w:vAlign w:val="center"/>
            <w:hideMark/>
          </w:tcPr>
          <w:p w14:paraId="60D446C5"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Հարկային եկամուտների աճի միջակայքը</w:t>
            </w:r>
          </w:p>
        </w:tc>
        <w:tc>
          <w:tcPr>
            <w:tcW w:w="5127" w:type="dxa"/>
            <w:gridSpan w:val="4"/>
            <w:tcBorders>
              <w:bottom w:val="single" w:sz="4" w:space="0" w:color="auto"/>
            </w:tcBorders>
            <w:shd w:val="clear" w:color="auto" w:fill="auto"/>
            <w:vAlign w:val="center"/>
            <w:hideMark/>
          </w:tcPr>
          <w:p w14:paraId="4AABD5B9"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Հարկային եկամուտների աճի` տվյալ  միջակայքում ձևավորվելու հավանականությունը</w:t>
            </w:r>
          </w:p>
        </w:tc>
      </w:tr>
      <w:tr w:rsidR="00EB28B4" w:rsidRPr="00324B27" w14:paraId="36F93A90" w14:textId="77777777" w:rsidTr="00D656FB">
        <w:trPr>
          <w:trHeight w:val="331"/>
        </w:trPr>
        <w:tc>
          <w:tcPr>
            <w:tcW w:w="2676" w:type="dxa"/>
            <w:tcBorders>
              <w:top w:val="single" w:sz="4" w:space="0" w:color="auto"/>
            </w:tcBorders>
            <w:shd w:val="clear" w:color="auto" w:fill="auto"/>
            <w:vAlign w:val="center"/>
            <w:hideMark/>
          </w:tcPr>
          <w:p w14:paraId="667E8564" w14:textId="77777777" w:rsidR="00EB28B4" w:rsidRPr="00324B27" w:rsidRDefault="00EB28B4" w:rsidP="00D656FB">
            <w:pPr>
              <w:rPr>
                <w:rFonts w:ascii="Calibri" w:hAnsi="Calibri" w:cs="Calibri"/>
                <w:b w:val="0"/>
                <w:bCs/>
                <w:sz w:val="18"/>
                <w:szCs w:val="18"/>
                <w:lang w:val="en-US" w:eastAsia="en-US"/>
              </w:rPr>
            </w:pPr>
            <w:r w:rsidRPr="00324B27">
              <w:rPr>
                <w:rFonts w:ascii="Calibri" w:hAnsi="Calibri" w:cs="Calibri"/>
                <w:b w:val="0"/>
                <w:bCs/>
                <w:sz w:val="18"/>
                <w:szCs w:val="18"/>
                <w:lang w:val="en-US" w:eastAsia="en-US"/>
              </w:rPr>
              <w:t> </w:t>
            </w:r>
          </w:p>
        </w:tc>
        <w:tc>
          <w:tcPr>
            <w:tcW w:w="5127" w:type="dxa"/>
            <w:gridSpan w:val="4"/>
            <w:tcBorders>
              <w:top w:val="single" w:sz="4" w:space="0" w:color="auto"/>
            </w:tcBorders>
            <w:shd w:val="clear" w:color="auto" w:fill="auto"/>
            <w:noWrap/>
            <w:vAlign w:val="center"/>
            <w:hideMark/>
          </w:tcPr>
          <w:p w14:paraId="1ED04524"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2024</w:t>
            </w:r>
          </w:p>
        </w:tc>
      </w:tr>
      <w:tr w:rsidR="00EB28B4" w:rsidRPr="00324B27" w14:paraId="618A5278" w14:textId="77777777" w:rsidTr="00D656FB">
        <w:trPr>
          <w:trHeight w:val="331"/>
        </w:trPr>
        <w:tc>
          <w:tcPr>
            <w:tcW w:w="2676" w:type="dxa"/>
            <w:shd w:val="clear" w:color="auto" w:fill="auto"/>
            <w:vAlign w:val="center"/>
            <w:hideMark/>
          </w:tcPr>
          <w:p w14:paraId="124880E7" w14:textId="77777777" w:rsidR="00EB28B4" w:rsidRPr="00324B27" w:rsidRDefault="00EB28B4" w:rsidP="00D656FB">
            <w:pPr>
              <w:rPr>
                <w:rFonts w:ascii="Calibri" w:hAnsi="Calibri" w:cs="Calibri"/>
                <w:b w:val="0"/>
                <w:bCs/>
                <w:sz w:val="18"/>
                <w:szCs w:val="18"/>
                <w:lang w:val="en-US" w:eastAsia="en-US"/>
              </w:rPr>
            </w:pPr>
            <w:r w:rsidRPr="00324B27">
              <w:rPr>
                <w:rFonts w:ascii="Calibri" w:hAnsi="Calibri" w:cs="Calibri"/>
                <w:b w:val="0"/>
                <w:bCs/>
                <w:sz w:val="18"/>
                <w:szCs w:val="18"/>
                <w:lang w:val="en-US" w:eastAsia="en-US"/>
              </w:rPr>
              <w:t> </w:t>
            </w:r>
          </w:p>
        </w:tc>
        <w:tc>
          <w:tcPr>
            <w:tcW w:w="913" w:type="dxa"/>
            <w:shd w:val="clear" w:color="auto" w:fill="auto"/>
            <w:noWrap/>
            <w:vAlign w:val="center"/>
            <w:hideMark/>
          </w:tcPr>
          <w:p w14:paraId="0285E88D"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1-եռ.</w:t>
            </w:r>
          </w:p>
        </w:tc>
        <w:tc>
          <w:tcPr>
            <w:tcW w:w="1709" w:type="dxa"/>
            <w:shd w:val="clear" w:color="auto" w:fill="auto"/>
            <w:noWrap/>
            <w:vAlign w:val="center"/>
            <w:hideMark/>
          </w:tcPr>
          <w:p w14:paraId="66371966"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1-ին կիս.</w:t>
            </w:r>
          </w:p>
        </w:tc>
        <w:tc>
          <w:tcPr>
            <w:tcW w:w="1416" w:type="dxa"/>
            <w:shd w:val="clear" w:color="auto" w:fill="auto"/>
            <w:noWrap/>
            <w:vAlign w:val="center"/>
            <w:hideMark/>
          </w:tcPr>
          <w:p w14:paraId="6AD65664"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9 ամիս</w:t>
            </w:r>
          </w:p>
        </w:tc>
        <w:tc>
          <w:tcPr>
            <w:tcW w:w="1089" w:type="dxa"/>
            <w:shd w:val="clear" w:color="auto" w:fill="auto"/>
            <w:noWrap/>
            <w:vAlign w:val="center"/>
            <w:hideMark/>
          </w:tcPr>
          <w:p w14:paraId="3BBD203B"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Տարի</w:t>
            </w:r>
          </w:p>
        </w:tc>
      </w:tr>
      <w:tr w:rsidR="00EB28B4" w:rsidRPr="00324B27" w14:paraId="4707DA8D" w14:textId="77777777" w:rsidTr="00D656FB">
        <w:trPr>
          <w:trHeight w:val="331"/>
        </w:trPr>
        <w:tc>
          <w:tcPr>
            <w:tcW w:w="2676" w:type="dxa"/>
            <w:shd w:val="clear" w:color="auto" w:fill="auto"/>
            <w:noWrap/>
            <w:vAlign w:val="center"/>
            <w:hideMark/>
          </w:tcPr>
          <w:p w14:paraId="128ABA09"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2-8 տոկոս</w:t>
            </w:r>
          </w:p>
        </w:tc>
        <w:tc>
          <w:tcPr>
            <w:tcW w:w="913" w:type="dxa"/>
            <w:shd w:val="clear" w:color="auto" w:fill="auto"/>
            <w:noWrap/>
            <w:vAlign w:val="center"/>
            <w:hideMark/>
          </w:tcPr>
          <w:p w14:paraId="6F0FA915"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0.37</w:t>
            </w:r>
          </w:p>
        </w:tc>
        <w:tc>
          <w:tcPr>
            <w:tcW w:w="1709" w:type="dxa"/>
            <w:shd w:val="clear" w:color="auto" w:fill="auto"/>
            <w:noWrap/>
            <w:vAlign w:val="center"/>
            <w:hideMark/>
          </w:tcPr>
          <w:p w14:paraId="46D68536"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0.21</w:t>
            </w:r>
          </w:p>
        </w:tc>
        <w:tc>
          <w:tcPr>
            <w:tcW w:w="1416" w:type="dxa"/>
            <w:shd w:val="clear" w:color="auto" w:fill="auto"/>
            <w:noWrap/>
            <w:vAlign w:val="center"/>
            <w:hideMark/>
          </w:tcPr>
          <w:p w14:paraId="2EC148C0"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0.22</w:t>
            </w:r>
          </w:p>
        </w:tc>
        <w:tc>
          <w:tcPr>
            <w:tcW w:w="1089" w:type="dxa"/>
            <w:shd w:val="clear" w:color="auto" w:fill="auto"/>
            <w:noWrap/>
            <w:vAlign w:val="center"/>
            <w:hideMark/>
          </w:tcPr>
          <w:p w14:paraId="4810C950"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0.19</w:t>
            </w:r>
          </w:p>
        </w:tc>
      </w:tr>
      <w:tr w:rsidR="00EB28B4" w:rsidRPr="00324B27" w14:paraId="29D0AF07" w14:textId="77777777" w:rsidTr="00D656FB">
        <w:trPr>
          <w:trHeight w:val="331"/>
        </w:trPr>
        <w:tc>
          <w:tcPr>
            <w:tcW w:w="2676" w:type="dxa"/>
            <w:shd w:val="clear" w:color="auto" w:fill="auto"/>
            <w:noWrap/>
            <w:vAlign w:val="center"/>
            <w:hideMark/>
          </w:tcPr>
          <w:p w14:paraId="135840EC"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8-14 տոկոս</w:t>
            </w:r>
          </w:p>
        </w:tc>
        <w:tc>
          <w:tcPr>
            <w:tcW w:w="913" w:type="dxa"/>
            <w:shd w:val="clear" w:color="auto" w:fill="auto"/>
            <w:noWrap/>
            <w:vAlign w:val="center"/>
            <w:hideMark/>
          </w:tcPr>
          <w:p w14:paraId="3BBF4E37" w14:textId="77777777" w:rsidR="00EB28B4" w:rsidRPr="00324B27" w:rsidRDefault="00EB28B4" w:rsidP="00D656FB">
            <w:pPr>
              <w:rPr>
                <w:rFonts w:cs="Calibri"/>
                <w:b w:val="0"/>
                <w:bCs/>
                <w:i/>
                <w:iCs/>
                <w:sz w:val="18"/>
                <w:szCs w:val="18"/>
                <w:u w:val="single"/>
                <w:lang w:val="en-US" w:eastAsia="en-US"/>
              </w:rPr>
            </w:pPr>
            <w:r w:rsidRPr="00324B27">
              <w:rPr>
                <w:rFonts w:cs="Calibri"/>
                <w:b w:val="0"/>
                <w:bCs/>
                <w:i/>
                <w:iCs/>
                <w:sz w:val="18"/>
                <w:szCs w:val="18"/>
                <w:u w:val="single"/>
                <w:lang w:val="en-US" w:eastAsia="en-US"/>
              </w:rPr>
              <w:t>0.51</w:t>
            </w:r>
          </w:p>
        </w:tc>
        <w:tc>
          <w:tcPr>
            <w:tcW w:w="1709" w:type="dxa"/>
            <w:shd w:val="clear" w:color="auto" w:fill="auto"/>
            <w:noWrap/>
            <w:vAlign w:val="center"/>
            <w:hideMark/>
          </w:tcPr>
          <w:p w14:paraId="35285B77" w14:textId="77777777" w:rsidR="00EB28B4" w:rsidRPr="00324B27" w:rsidRDefault="00EB28B4" w:rsidP="00D656FB">
            <w:pPr>
              <w:rPr>
                <w:rFonts w:cs="Calibri"/>
                <w:b w:val="0"/>
                <w:bCs/>
                <w:i/>
                <w:iCs/>
                <w:sz w:val="18"/>
                <w:szCs w:val="18"/>
                <w:u w:val="single"/>
                <w:lang w:val="en-US" w:eastAsia="en-US"/>
              </w:rPr>
            </w:pPr>
            <w:r w:rsidRPr="00324B27">
              <w:rPr>
                <w:rFonts w:cs="Calibri"/>
                <w:b w:val="0"/>
                <w:bCs/>
                <w:i/>
                <w:iCs/>
                <w:sz w:val="18"/>
                <w:szCs w:val="18"/>
                <w:u w:val="single"/>
                <w:lang w:val="en-US" w:eastAsia="en-US"/>
              </w:rPr>
              <w:t>0.52</w:t>
            </w:r>
          </w:p>
        </w:tc>
        <w:tc>
          <w:tcPr>
            <w:tcW w:w="1416" w:type="dxa"/>
            <w:shd w:val="clear" w:color="auto" w:fill="auto"/>
            <w:noWrap/>
            <w:vAlign w:val="center"/>
            <w:hideMark/>
          </w:tcPr>
          <w:p w14:paraId="6849A2A5" w14:textId="77777777" w:rsidR="00EB28B4" w:rsidRPr="00324B27" w:rsidRDefault="00EB28B4" w:rsidP="00D656FB">
            <w:pPr>
              <w:rPr>
                <w:rFonts w:cs="Calibri"/>
                <w:b w:val="0"/>
                <w:bCs/>
                <w:i/>
                <w:iCs/>
                <w:sz w:val="18"/>
                <w:szCs w:val="18"/>
                <w:u w:val="single"/>
                <w:lang w:val="en-US" w:eastAsia="en-US"/>
              </w:rPr>
            </w:pPr>
            <w:r w:rsidRPr="00324B27">
              <w:rPr>
                <w:rFonts w:cs="Calibri"/>
                <w:b w:val="0"/>
                <w:bCs/>
                <w:i/>
                <w:iCs/>
                <w:sz w:val="18"/>
                <w:szCs w:val="18"/>
                <w:u w:val="single"/>
                <w:lang w:val="en-US" w:eastAsia="en-US"/>
              </w:rPr>
              <w:t>0.52</w:t>
            </w:r>
          </w:p>
        </w:tc>
        <w:tc>
          <w:tcPr>
            <w:tcW w:w="1089" w:type="dxa"/>
            <w:shd w:val="clear" w:color="auto" w:fill="auto"/>
            <w:noWrap/>
            <w:vAlign w:val="center"/>
            <w:hideMark/>
          </w:tcPr>
          <w:p w14:paraId="6BF1798B" w14:textId="77777777" w:rsidR="00EB28B4" w:rsidRPr="00324B27" w:rsidRDefault="00EB28B4" w:rsidP="00D656FB">
            <w:pPr>
              <w:rPr>
                <w:rFonts w:cs="Calibri"/>
                <w:b w:val="0"/>
                <w:bCs/>
                <w:i/>
                <w:iCs/>
                <w:sz w:val="18"/>
                <w:szCs w:val="18"/>
                <w:u w:val="single"/>
                <w:lang w:val="en-US" w:eastAsia="en-US"/>
              </w:rPr>
            </w:pPr>
            <w:r w:rsidRPr="00324B27">
              <w:rPr>
                <w:rFonts w:cs="Calibri"/>
                <w:b w:val="0"/>
                <w:bCs/>
                <w:i/>
                <w:iCs/>
                <w:sz w:val="18"/>
                <w:szCs w:val="18"/>
                <w:u w:val="single"/>
                <w:lang w:val="en-US" w:eastAsia="en-US"/>
              </w:rPr>
              <w:t>0.49</w:t>
            </w:r>
          </w:p>
        </w:tc>
      </w:tr>
      <w:tr w:rsidR="00EB28B4" w:rsidRPr="00324B27" w14:paraId="60E8A089" w14:textId="77777777" w:rsidTr="00D656FB">
        <w:trPr>
          <w:trHeight w:val="331"/>
        </w:trPr>
        <w:tc>
          <w:tcPr>
            <w:tcW w:w="2676" w:type="dxa"/>
            <w:shd w:val="clear" w:color="auto" w:fill="auto"/>
            <w:noWrap/>
            <w:vAlign w:val="center"/>
            <w:hideMark/>
          </w:tcPr>
          <w:p w14:paraId="45D757D0" w14:textId="77777777" w:rsidR="00EB28B4" w:rsidRPr="00324B27" w:rsidRDefault="00EB28B4" w:rsidP="00D656FB">
            <w:pPr>
              <w:rPr>
                <w:rFonts w:cs="Calibri"/>
                <w:b w:val="0"/>
                <w:bCs/>
                <w:sz w:val="18"/>
                <w:szCs w:val="18"/>
                <w:lang w:val="en-US" w:eastAsia="en-US"/>
              </w:rPr>
            </w:pPr>
            <w:r w:rsidRPr="00324B27">
              <w:rPr>
                <w:rFonts w:cs="Calibri"/>
                <w:b w:val="0"/>
                <w:bCs/>
                <w:sz w:val="18"/>
                <w:szCs w:val="18"/>
                <w:lang w:val="en-US" w:eastAsia="en-US"/>
              </w:rPr>
              <w:t>14-20 տոկոս</w:t>
            </w:r>
          </w:p>
        </w:tc>
        <w:tc>
          <w:tcPr>
            <w:tcW w:w="913" w:type="dxa"/>
            <w:shd w:val="clear" w:color="auto" w:fill="auto"/>
            <w:noWrap/>
            <w:vAlign w:val="center"/>
            <w:hideMark/>
          </w:tcPr>
          <w:p w14:paraId="7150B035"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0.02</w:t>
            </w:r>
          </w:p>
        </w:tc>
        <w:tc>
          <w:tcPr>
            <w:tcW w:w="1709" w:type="dxa"/>
            <w:shd w:val="clear" w:color="auto" w:fill="auto"/>
            <w:noWrap/>
            <w:vAlign w:val="center"/>
            <w:hideMark/>
          </w:tcPr>
          <w:p w14:paraId="3F84E5CD"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0.24</w:t>
            </w:r>
          </w:p>
        </w:tc>
        <w:tc>
          <w:tcPr>
            <w:tcW w:w="1416" w:type="dxa"/>
            <w:shd w:val="clear" w:color="auto" w:fill="auto"/>
            <w:noWrap/>
            <w:vAlign w:val="center"/>
            <w:hideMark/>
          </w:tcPr>
          <w:p w14:paraId="6870CFBF"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0.23</w:t>
            </w:r>
          </w:p>
        </w:tc>
        <w:tc>
          <w:tcPr>
            <w:tcW w:w="1089" w:type="dxa"/>
            <w:shd w:val="clear" w:color="auto" w:fill="auto"/>
            <w:noWrap/>
            <w:vAlign w:val="center"/>
            <w:hideMark/>
          </w:tcPr>
          <w:p w14:paraId="4ADED044" w14:textId="77777777" w:rsidR="00EB28B4" w:rsidRPr="00324B27" w:rsidRDefault="00EB28B4" w:rsidP="00D656FB">
            <w:pPr>
              <w:rPr>
                <w:rFonts w:cs="Calibri"/>
                <w:b w:val="0"/>
                <w:sz w:val="18"/>
                <w:szCs w:val="18"/>
                <w:lang w:val="en-US" w:eastAsia="en-US"/>
              </w:rPr>
            </w:pPr>
            <w:r w:rsidRPr="00324B27">
              <w:rPr>
                <w:rFonts w:cs="Calibri"/>
                <w:b w:val="0"/>
                <w:sz w:val="18"/>
                <w:szCs w:val="18"/>
                <w:lang w:val="en-US" w:eastAsia="en-US"/>
              </w:rPr>
              <w:t>0.29</w:t>
            </w:r>
          </w:p>
        </w:tc>
      </w:tr>
    </w:tbl>
    <w:p w14:paraId="57638DD2" w14:textId="77777777" w:rsidR="00EB28B4" w:rsidRDefault="00EB28B4" w:rsidP="00EB28B4">
      <w:pPr>
        <w:rPr>
          <w:rFonts w:cs="Sylfaen"/>
          <w:b w:val="0"/>
          <w:lang w:val="hy-AM"/>
        </w:rPr>
      </w:pPr>
    </w:p>
    <w:p w14:paraId="21449A44" w14:textId="77777777" w:rsidR="00EB28B4" w:rsidRPr="007955BB" w:rsidRDefault="00EB28B4" w:rsidP="00EB28B4">
      <w:pPr>
        <w:rPr>
          <w:rFonts w:cs="Sylfaen"/>
          <w:b w:val="0"/>
          <w:lang w:val="hy-AM"/>
        </w:rPr>
      </w:pPr>
      <w:r>
        <w:rPr>
          <w:rFonts w:cs="Sylfaen"/>
          <w:b w:val="0"/>
          <w:lang w:val="hy-AM"/>
        </w:rPr>
        <w:t>Աղյուսակ 20</w:t>
      </w:r>
      <w:r w:rsidRPr="007955BB">
        <w:rPr>
          <w:rFonts w:cs="Sylfaen"/>
          <w:b w:val="0"/>
          <w:lang w:val="hy-AM"/>
        </w:rPr>
        <w:t>-ի առաջին սյունը ներկայացնում է հարկային եկամուտների աճի միջակայքերը, իսկ 2-ից 5-րդ սյուները` նշված միջակայքերից յուրաքանչյուրում այդ աճի ձևավորվելու հավանականությունները` ըստ եռամսյակային կանխատեսումների: Համաձայն գնահատականների, 202</w:t>
      </w:r>
      <w:r>
        <w:rPr>
          <w:rFonts w:cs="Sylfaen"/>
          <w:b w:val="0"/>
          <w:lang w:val="hy-AM"/>
        </w:rPr>
        <w:t>4</w:t>
      </w:r>
      <w:r w:rsidRPr="007955BB">
        <w:rPr>
          <w:rFonts w:cs="Sylfaen"/>
          <w:b w:val="0"/>
          <w:lang w:val="hy-AM"/>
        </w:rPr>
        <w:t xml:space="preserve"> թվականին </w:t>
      </w:r>
      <w:r>
        <w:rPr>
          <w:rFonts w:cs="Sylfaen"/>
          <w:b w:val="0"/>
          <w:lang w:val="hy-AM"/>
        </w:rPr>
        <w:t>8-14</w:t>
      </w:r>
      <w:r w:rsidRPr="007955BB">
        <w:rPr>
          <w:rFonts w:cs="Sylfaen"/>
          <w:b w:val="0"/>
          <w:lang w:val="hy-AM"/>
        </w:rPr>
        <w:t xml:space="preserve">% միջակայքում գտնվելու հավանականություններն ամենաբարձրն են, (Գծապատկեր 2.1-ում այն մուգ կարմիր է, իսկ Աղյուսակ </w:t>
      </w:r>
      <w:r w:rsidRPr="00C1353E">
        <w:rPr>
          <w:rFonts w:cs="Sylfaen"/>
          <w:b w:val="0"/>
          <w:lang w:val="hy-AM"/>
        </w:rPr>
        <w:t>20</w:t>
      </w:r>
      <w:r w:rsidRPr="007955BB">
        <w:rPr>
          <w:rFonts w:cs="Sylfaen"/>
          <w:b w:val="0"/>
          <w:lang w:val="hy-AM"/>
        </w:rPr>
        <w:t xml:space="preserve">-ում՝ հոծ նշումով): </w:t>
      </w:r>
    </w:p>
    <w:p w14:paraId="5FDEE889" w14:textId="77777777" w:rsidR="00EB28B4" w:rsidRPr="00063D1B" w:rsidRDefault="00EB28B4" w:rsidP="00EB28B4">
      <w:pPr>
        <w:pBdr>
          <w:top w:val="single" w:sz="4" w:space="0" w:color="auto"/>
          <w:left w:val="single" w:sz="4" w:space="4" w:color="auto"/>
          <w:bottom w:val="single" w:sz="4" w:space="1" w:color="auto"/>
          <w:right w:val="single" w:sz="4" w:space="4" w:color="auto"/>
        </w:pBdr>
        <w:shd w:val="clear" w:color="auto" w:fill="D9D9D9"/>
        <w:rPr>
          <w:rFonts w:cs="Sylfaen"/>
          <w:sz w:val="20"/>
          <w:szCs w:val="20"/>
          <w:lang w:val="hy-AM"/>
        </w:rPr>
      </w:pPr>
      <w:r w:rsidRPr="00063D1B">
        <w:rPr>
          <w:rFonts w:cs="Sylfaen"/>
          <w:sz w:val="20"/>
          <w:szCs w:val="20"/>
          <w:lang w:val="hy-AM"/>
        </w:rPr>
        <w:t xml:space="preserve">Ներդիր </w:t>
      </w:r>
    </w:p>
    <w:p w14:paraId="058BB4B4" w14:textId="77777777" w:rsidR="00EB28B4" w:rsidRPr="00063D1B" w:rsidRDefault="00EB28B4" w:rsidP="00EB28B4">
      <w:pPr>
        <w:pBdr>
          <w:top w:val="single" w:sz="4" w:space="0" w:color="auto"/>
          <w:left w:val="single" w:sz="4" w:space="4" w:color="auto"/>
          <w:bottom w:val="single" w:sz="4" w:space="1" w:color="auto"/>
          <w:right w:val="single" w:sz="4" w:space="4" w:color="auto"/>
        </w:pBdr>
        <w:shd w:val="clear" w:color="auto" w:fill="D9D9D9"/>
        <w:rPr>
          <w:rFonts w:cs="Sylfaen"/>
          <w:sz w:val="20"/>
          <w:szCs w:val="20"/>
          <w:lang w:val="hy-AM"/>
        </w:rPr>
      </w:pPr>
      <w:r w:rsidRPr="00063D1B">
        <w:rPr>
          <w:rFonts w:cs="Sylfaen"/>
          <w:sz w:val="20"/>
          <w:szCs w:val="20"/>
          <w:lang w:val="hy-AM"/>
        </w:rPr>
        <w:t>Իրական ՀՆԱ-ի և հարկային եկամուտների կանխատեսումների հավանականային բաշխման գծապատկերի կառուցումը</w:t>
      </w:r>
    </w:p>
    <w:p w14:paraId="5BA00434" w14:textId="77777777" w:rsidR="00EB28B4" w:rsidRPr="00063D1B" w:rsidRDefault="00EB28B4" w:rsidP="00EB28B4">
      <w:pPr>
        <w:pBdr>
          <w:top w:val="single" w:sz="4" w:space="0" w:color="auto"/>
          <w:left w:val="single" w:sz="4" w:space="4" w:color="auto"/>
          <w:bottom w:val="single" w:sz="4" w:space="1" w:color="auto"/>
          <w:right w:val="single" w:sz="4" w:space="4" w:color="auto"/>
        </w:pBdr>
        <w:shd w:val="clear" w:color="auto" w:fill="D9D9D9"/>
        <w:rPr>
          <w:b w:val="0"/>
          <w:sz w:val="20"/>
          <w:szCs w:val="20"/>
          <w:lang w:val="hy-AM"/>
        </w:rPr>
      </w:pPr>
      <w:r w:rsidRPr="00063D1B">
        <w:rPr>
          <w:rFonts w:cs="Sylfaen"/>
          <w:b w:val="0"/>
          <w:sz w:val="20"/>
          <w:szCs w:val="20"/>
          <w:lang w:val="hy-AM"/>
        </w:rPr>
        <w:t xml:space="preserve">Իրական ՀՆԱ-ի </w:t>
      </w:r>
      <w:r w:rsidRPr="00063D1B">
        <w:rPr>
          <w:b w:val="0"/>
          <w:sz w:val="20"/>
          <w:szCs w:val="20"/>
          <w:lang w:val="hy-AM"/>
        </w:rPr>
        <w:t xml:space="preserve">և հարկային եկամուտների կանխատեսումների </w:t>
      </w:r>
      <w:r w:rsidRPr="00063D1B">
        <w:rPr>
          <w:rFonts w:cs="Sylfaen"/>
          <w:b w:val="0"/>
          <w:sz w:val="20"/>
          <w:szCs w:val="20"/>
          <w:lang w:val="hy-AM"/>
        </w:rPr>
        <w:t>հավանականային</w:t>
      </w:r>
      <w:r w:rsidRPr="00063D1B">
        <w:rPr>
          <w:b w:val="0"/>
          <w:sz w:val="20"/>
          <w:szCs w:val="20"/>
          <w:lang w:val="hy-AM"/>
        </w:rPr>
        <w:t xml:space="preserve"> բ</w:t>
      </w:r>
      <w:r w:rsidRPr="00063D1B">
        <w:rPr>
          <w:rFonts w:cs="Sylfaen"/>
          <w:b w:val="0"/>
          <w:sz w:val="20"/>
          <w:szCs w:val="20"/>
          <w:lang w:val="hy-AM"/>
        </w:rPr>
        <w:t xml:space="preserve">աշխումը ներկայացնող գծապատկերները ցույց </w:t>
      </w:r>
      <w:r w:rsidRPr="00063D1B">
        <w:rPr>
          <w:b w:val="0"/>
          <w:sz w:val="20"/>
          <w:szCs w:val="20"/>
          <w:lang w:val="hy-AM"/>
        </w:rPr>
        <w:t xml:space="preserve">են </w:t>
      </w:r>
      <w:r w:rsidRPr="00063D1B">
        <w:rPr>
          <w:rFonts w:cs="Sylfaen"/>
          <w:b w:val="0"/>
          <w:sz w:val="20"/>
          <w:szCs w:val="20"/>
          <w:lang w:val="hy-AM"/>
        </w:rPr>
        <w:t>տալիս տնտեսության զարգացման ապագա ընթացքի վերաբերյալ կառավարության գնահատականները` տնտեսական աճի ծրագրային ցուցանիշների վերաբերյալ, ինչպես նաև հարկային եկամուտների հավաքագրման կանխատեսվող ընթացքը</w:t>
      </w:r>
      <w:r w:rsidRPr="00063D1B">
        <w:rPr>
          <w:b w:val="0"/>
          <w:sz w:val="20"/>
          <w:szCs w:val="20"/>
          <w:lang w:val="hy-AM"/>
        </w:rPr>
        <w:t>:</w:t>
      </w:r>
    </w:p>
    <w:p w14:paraId="24CE1C2E" w14:textId="77777777" w:rsidR="00EB28B4" w:rsidRPr="00063D1B" w:rsidRDefault="00EB28B4" w:rsidP="00EB28B4">
      <w:pPr>
        <w:pBdr>
          <w:top w:val="single" w:sz="4" w:space="0" w:color="auto"/>
          <w:left w:val="single" w:sz="4" w:space="4" w:color="auto"/>
          <w:bottom w:val="single" w:sz="4" w:space="1" w:color="auto"/>
          <w:right w:val="single" w:sz="4" w:space="4" w:color="auto"/>
        </w:pBdr>
        <w:shd w:val="clear" w:color="auto" w:fill="D9D9D9"/>
        <w:rPr>
          <w:rFonts w:cs="Sylfaen"/>
          <w:b w:val="0"/>
          <w:sz w:val="20"/>
          <w:szCs w:val="20"/>
          <w:lang w:val="hy-AM"/>
        </w:rPr>
      </w:pPr>
      <w:r w:rsidRPr="00063D1B">
        <w:rPr>
          <w:rFonts w:cs="Sylfaen"/>
          <w:b w:val="0"/>
          <w:sz w:val="20"/>
          <w:szCs w:val="20"/>
          <w:lang w:val="hy-AM"/>
        </w:rPr>
        <w:t>Կանխատեսումների հավանականային բաշխման գծապատկերի կառուցման անհրաժեշտությունը պայմանավորված է նրանով</w:t>
      </w:r>
      <w:r w:rsidRPr="00063D1B">
        <w:rPr>
          <w:b w:val="0"/>
          <w:sz w:val="20"/>
          <w:szCs w:val="20"/>
          <w:lang w:val="hy-AM"/>
        </w:rPr>
        <w:t xml:space="preserve">, </w:t>
      </w:r>
      <w:r w:rsidRPr="00063D1B">
        <w:rPr>
          <w:rFonts w:cs="Sylfaen"/>
          <w:b w:val="0"/>
          <w:sz w:val="20"/>
          <w:szCs w:val="20"/>
          <w:lang w:val="hy-AM"/>
        </w:rPr>
        <w:t>որ բոլոր կանխատեսումները ինչ</w:t>
      </w:r>
      <w:r w:rsidRPr="00063D1B">
        <w:rPr>
          <w:b w:val="0"/>
          <w:sz w:val="20"/>
          <w:szCs w:val="20"/>
          <w:lang w:val="hy-AM"/>
        </w:rPr>
        <w:t>-</w:t>
      </w:r>
      <w:r w:rsidRPr="00063D1B">
        <w:rPr>
          <w:rFonts w:cs="Sylfaen"/>
          <w:b w:val="0"/>
          <w:sz w:val="20"/>
          <w:szCs w:val="20"/>
          <w:lang w:val="hy-AM"/>
        </w:rPr>
        <w:t>որ չափով անորոշ են</w:t>
      </w:r>
      <w:r w:rsidRPr="00063D1B">
        <w:rPr>
          <w:b w:val="0"/>
          <w:sz w:val="20"/>
          <w:szCs w:val="20"/>
          <w:lang w:val="hy-AM"/>
        </w:rPr>
        <w:t xml:space="preserve">: </w:t>
      </w:r>
      <w:r w:rsidRPr="00063D1B">
        <w:rPr>
          <w:rFonts w:cs="Sylfaen"/>
          <w:b w:val="0"/>
          <w:sz w:val="20"/>
          <w:szCs w:val="20"/>
          <w:lang w:val="hy-AM"/>
        </w:rPr>
        <w:t>Կարևոր է հաշվի առնել ոչ միայն կոնկրետ կանխատեսված արժեքները</w:t>
      </w:r>
      <w:r w:rsidRPr="00063D1B">
        <w:rPr>
          <w:b w:val="0"/>
          <w:sz w:val="20"/>
          <w:szCs w:val="20"/>
          <w:lang w:val="hy-AM"/>
        </w:rPr>
        <w:t xml:space="preserve">, </w:t>
      </w:r>
      <w:r w:rsidRPr="00063D1B">
        <w:rPr>
          <w:rFonts w:cs="Sylfaen"/>
          <w:b w:val="0"/>
          <w:sz w:val="20"/>
          <w:szCs w:val="20"/>
          <w:lang w:val="hy-AM"/>
        </w:rPr>
        <w:t>այլ նաև բոլոր այն</w:t>
      </w:r>
      <w:r w:rsidRPr="00063D1B">
        <w:rPr>
          <w:b w:val="0"/>
          <w:sz w:val="20"/>
          <w:szCs w:val="20"/>
          <w:lang w:val="hy-AM"/>
        </w:rPr>
        <w:t xml:space="preserve"> վերոնշյալ </w:t>
      </w:r>
      <w:r w:rsidRPr="00063D1B">
        <w:rPr>
          <w:rFonts w:cs="Sylfaen"/>
          <w:b w:val="0"/>
          <w:sz w:val="20"/>
          <w:szCs w:val="20"/>
          <w:lang w:val="hy-AM"/>
        </w:rPr>
        <w:t>ռիսկերը</w:t>
      </w:r>
      <w:r w:rsidRPr="00063D1B">
        <w:rPr>
          <w:b w:val="0"/>
          <w:sz w:val="20"/>
          <w:szCs w:val="20"/>
          <w:lang w:val="hy-AM"/>
        </w:rPr>
        <w:t xml:space="preserve">, </w:t>
      </w:r>
      <w:r w:rsidRPr="00063D1B">
        <w:rPr>
          <w:rFonts w:cs="Sylfaen"/>
          <w:b w:val="0"/>
          <w:sz w:val="20"/>
          <w:szCs w:val="20"/>
          <w:lang w:val="hy-AM"/>
        </w:rPr>
        <w:t>որոնց արդյունքում կարող են շեղումներ առաջանալ իրական ՀՆԱ-ի կանխատեսումների և հարկերի կանխատեսումների կենտրոնական արժեքներից</w:t>
      </w:r>
      <w:r w:rsidRPr="00063D1B">
        <w:rPr>
          <w:b w:val="0"/>
          <w:sz w:val="20"/>
          <w:szCs w:val="20"/>
          <w:lang w:val="hy-AM"/>
        </w:rPr>
        <w:t xml:space="preserve">: </w:t>
      </w:r>
      <w:r w:rsidRPr="00063D1B">
        <w:rPr>
          <w:rFonts w:cs="Sylfaen"/>
          <w:b w:val="0"/>
          <w:sz w:val="20"/>
          <w:szCs w:val="20"/>
          <w:lang w:val="hy-AM"/>
        </w:rPr>
        <w:t>Հիմնվելով միայն կետային կանխատեսումների վրա հնարավոր չէ բավարար չափով տեղեկատվություն ներկայացնել դրանց հետ կապված անորոշությունների և</w:t>
      </w:r>
      <w:r w:rsidRPr="00063D1B">
        <w:rPr>
          <w:b w:val="0"/>
          <w:sz w:val="20"/>
          <w:szCs w:val="20"/>
          <w:lang w:val="hy-AM"/>
        </w:rPr>
        <w:t xml:space="preserve"> դրանց </w:t>
      </w:r>
      <w:r w:rsidRPr="00063D1B">
        <w:rPr>
          <w:rFonts w:cs="Sylfaen"/>
          <w:b w:val="0"/>
          <w:sz w:val="20"/>
          <w:szCs w:val="20"/>
          <w:lang w:val="hy-AM"/>
        </w:rPr>
        <w:t>աղբյուրների վերաբերյալ</w:t>
      </w:r>
      <w:r w:rsidRPr="00063D1B">
        <w:rPr>
          <w:b w:val="0"/>
          <w:sz w:val="20"/>
          <w:szCs w:val="20"/>
          <w:lang w:val="hy-AM"/>
        </w:rPr>
        <w:t xml:space="preserve">: </w:t>
      </w:r>
      <w:r w:rsidRPr="00063D1B">
        <w:rPr>
          <w:rFonts w:cs="Sylfaen"/>
          <w:b w:val="0"/>
          <w:sz w:val="20"/>
          <w:szCs w:val="20"/>
          <w:lang w:val="hy-AM"/>
        </w:rPr>
        <w:t>Այդ պատճառով կարևորվում է որոշակի վստահության միջակայքի կառուցման խնդիրը</w:t>
      </w:r>
      <w:r w:rsidRPr="00063D1B">
        <w:rPr>
          <w:b w:val="0"/>
          <w:sz w:val="20"/>
          <w:szCs w:val="20"/>
          <w:lang w:val="hy-AM"/>
        </w:rPr>
        <w:t xml:space="preserve">, </w:t>
      </w:r>
      <w:r w:rsidRPr="00063D1B">
        <w:rPr>
          <w:rFonts w:cs="Sylfaen"/>
          <w:b w:val="0"/>
          <w:sz w:val="20"/>
          <w:szCs w:val="20"/>
          <w:lang w:val="hy-AM"/>
        </w:rPr>
        <w:t>որը թույլ կտա գնահատել իրադարձությունների զարգացման հավանական ընթացքը</w:t>
      </w:r>
      <w:r w:rsidRPr="00063D1B">
        <w:rPr>
          <w:b w:val="0"/>
          <w:sz w:val="20"/>
          <w:szCs w:val="20"/>
          <w:lang w:val="hy-AM"/>
        </w:rPr>
        <w:t xml:space="preserve">: Իրական ՀՆԱ-ի և հարկերի կանխատեսումների հավանականային բաշխման ներկայացված գծապատկերները հիմնվում են </w:t>
      </w:r>
      <w:r w:rsidRPr="00063D1B">
        <w:rPr>
          <w:rFonts w:cs="Sylfaen"/>
          <w:b w:val="0"/>
          <w:sz w:val="20"/>
          <w:szCs w:val="20"/>
          <w:lang w:val="hy-AM"/>
        </w:rPr>
        <w:t>Անգլիայի բանկի կողմից մշակված մեթոդաբանության վրա և հաշվի է առնում</w:t>
      </w:r>
      <w:r w:rsidRPr="00063D1B">
        <w:rPr>
          <w:b w:val="0"/>
          <w:sz w:val="20"/>
          <w:szCs w:val="20"/>
          <w:lang w:val="hy-AM"/>
        </w:rPr>
        <w:t xml:space="preserve"> կանխատեսումների հավանականային բաշխման </w:t>
      </w:r>
      <w:r w:rsidRPr="00063D1B">
        <w:rPr>
          <w:rFonts w:cs="Sylfaen"/>
          <w:b w:val="0"/>
          <w:sz w:val="20"/>
          <w:szCs w:val="20"/>
          <w:lang w:val="hy-AM"/>
        </w:rPr>
        <w:t>ասիմետրիկության առկայությունը</w:t>
      </w:r>
      <w:r w:rsidRPr="00063D1B">
        <w:rPr>
          <w:b w:val="0"/>
          <w:sz w:val="20"/>
          <w:szCs w:val="20"/>
          <w:lang w:val="hy-AM"/>
        </w:rPr>
        <w:t xml:space="preserve">: </w:t>
      </w:r>
    </w:p>
    <w:p w14:paraId="121BC9A9" w14:textId="77777777" w:rsidR="00EB28B4" w:rsidRPr="00063D1B" w:rsidRDefault="00EB28B4" w:rsidP="00EB28B4">
      <w:pPr>
        <w:pBdr>
          <w:top w:val="single" w:sz="4" w:space="0" w:color="auto"/>
          <w:left w:val="single" w:sz="4" w:space="4" w:color="auto"/>
          <w:bottom w:val="single" w:sz="4" w:space="1" w:color="auto"/>
          <w:right w:val="single" w:sz="4" w:space="4" w:color="auto"/>
        </w:pBdr>
        <w:shd w:val="clear" w:color="auto" w:fill="D9D9D9"/>
        <w:rPr>
          <w:b w:val="0"/>
          <w:sz w:val="20"/>
          <w:szCs w:val="20"/>
          <w:lang w:val="hy-AM"/>
        </w:rPr>
      </w:pPr>
      <w:r w:rsidRPr="00063D1B">
        <w:rPr>
          <w:rFonts w:cs="Sylfaen"/>
          <w:b w:val="0"/>
          <w:sz w:val="20"/>
          <w:szCs w:val="20"/>
          <w:lang w:val="hy-AM"/>
        </w:rPr>
        <w:t>Հայաստանի համար իրական ՀՆԱ-ի և հարկերի աճի կանխատեսումների բաշխման գծապատկերները կառուցվել են երեք չափորոշիչների հիման վրա.</w:t>
      </w:r>
    </w:p>
    <w:p w14:paraId="4F140DAB" w14:textId="77777777" w:rsidR="00EB28B4" w:rsidRPr="00063D1B" w:rsidRDefault="00EB28B4" w:rsidP="00EB28B4">
      <w:pPr>
        <w:pBdr>
          <w:top w:val="single" w:sz="4" w:space="0" w:color="auto"/>
          <w:left w:val="single" w:sz="4" w:space="4" w:color="auto"/>
          <w:bottom w:val="single" w:sz="4" w:space="1" w:color="auto"/>
          <w:right w:val="single" w:sz="4" w:space="4" w:color="auto"/>
        </w:pBdr>
        <w:shd w:val="clear" w:color="auto" w:fill="D9D9D9"/>
        <w:rPr>
          <w:rFonts w:cs="Sylfaen"/>
          <w:b w:val="0"/>
          <w:sz w:val="20"/>
          <w:szCs w:val="20"/>
          <w:lang w:val="hy-AM"/>
        </w:rPr>
      </w:pPr>
      <w:r w:rsidRPr="00063D1B">
        <w:rPr>
          <w:b w:val="0"/>
          <w:sz w:val="20"/>
          <w:szCs w:val="20"/>
          <w:lang w:val="hy-AM"/>
        </w:rPr>
        <w:lastRenderedPageBreak/>
        <w:t xml:space="preserve">1. </w:t>
      </w:r>
      <w:r w:rsidRPr="00063D1B">
        <w:rPr>
          <w:rFonts w:cs="Sylfaen"/>
          <w:b w:val="0"/>
          <w:sz w:val="20"/>
          <w:szCs w:val="20"/>
          <w:lang w:val="hy-AM"/>
        </w:rPr>
        <w:t xml:space="preserve">կենտրոնական արժեքները, </w:t>
      </w:r>
      <w:r w:rsidRPr="00063D1B">
        <w:rPr>
          <w:b w:val="0"/>
          <w:sz w:val="20"/>
          <w:szCs w:val="20"/>
          <w:lang w:val="hy-AM"/>
        </w:rPr>
        <w:t xml:space="preserve">2. </w:t>
      </w:r>
      <w:r w:rsidRPr="00063D1B">
        <w:rPr>
          <w:rFonts w:cs="Sylfaen"/>
          <w:b w:val="0"/>
          <w:sz w:val="20"/>
          <w:szCs w:val="20"/>
          <w:lang w:val="hy-AM"/>
        </w:rPr>
        <w:t>անորոշության չափը</w:t>
      </w:r>
      <w:r w:rsidRPr="00063D1B">
        <w:rPr>
          <w:b w:val="0"/>
          <w:sz w:val="20"/>
          <w:szCs w:val="20"/>
          <w:lang w:val="hy-AM"/>
        </w:rPr>
        <w:t xml:space="preserve"> (</w:t>
      </w:r>
      <w:r w:rsidRPr="00063D1B">
        <w:rPr>
          <w:rFonts w:cs="Sylfaen"/>
          <w:b w:val="0"/>
          <w:sz w:val="20"/>
          <w:szCs w:val="20"/>
          <w:lang w:val="hy-AM"/>
        </w:rPr>
        <w:t>դիսպերսիան</w:t>
      </w:r>
      <w:r w:rsidRPr="00063D1B">
        <w:rPr>
          <w:b w:val="0"/>
          <w:sz w:val="20"/>
          <w:szCs w:val="20"/>
          <w:lang w:val="hy-AM"/>
        </w:rPr>
        <w:t>),</w:t>
      </w:r>
      <w:r w:rsidRPr="00063D1B">
        <w:rPr>
          <w:rFonts w:cs="Sylfaen"/>
          <w:b w:val="0"/>
          <w:sz w:val="20"/>
          <w:szCs w:val="20"/>
          <w:lang w:val="hy-AM"/>
        </w:rPr>
        <w:t xml:space="preserve"> որը ստանալու համար հիմք են հանդիսացել փաստացի պատմական շարքերի կանխատեսումային սխալները և </w:t>
      </w:r>
      <w:r w:rsidRPr="00063D1B">
        <w:rPr>
          <w:b w:val="0"/>
          <w:sz w:val="20"/>
          <w:szCs w:val="20"/>
          <w:lang w:val="hy-AM"/>
        </w:rPr>
        <w:t xml:space="preserve">3. </w:t>
      </w:r>
      <w:r w:rsidRPr="00063D1B">
        <w:rPr>
          <w:rFonts w:cs="Sylfaen"/>
          <w:b w:val="0"/>
          <w:sz w:val="20"/>
          <w:szCs w:val="20"/>
          <w:lang w:val="hy-AM"/>
        </w:rPr>
        <w:t>ռիսկերի հարաբերական հաշվեկշիռը՝ անհամաչափության գործակցի գնահատման նպատակով:</w:t>
      </w:r>
    </w:p>
    <w:p w14:paraId="4F5D3894" w14:textId="77777777" w:rsidR="00EB28B4" w:rsidRPr="00063D1B" w:rsidRDefault="00EB28B4" w:rsidP="00EB28B4">
      <w:pPr>
        <w:pBdr>
          <w:top w:val="single" w:sz="4" w:space="0" w:color="auto"/>
          <w:left w:val="single" w:sz="4" w:space="4" w:color="auto"/>
          <w:bottom w:val="single" w:sz="4" w:space="1" w:color="auto"/>
          <w:right w:val="single" w:sz="4" w:space="4" w:color="auto"/>
        </w:pBdr>
        <w:shd w:val="clear" w:color="auto" w:fill="D9D9D9"/>
        <w:rPr>
          <w:b w:val="0"/>
          <w:sz w:val="20"/>
          <w:szCs w:val="20"/>
          <w:lang w:val="hy-AM"/>
        </w:rPr>
      </w:pPr>
      <w:r w:rsidRPr="00063D1B">
        <w:rPr>
          <w:rFonts w:cs="Sylfaen"/>
          <w:b w:val="0"/>
          <w:sz w:val="20"/>
          <w:szCs w:val="20"/>
          <w:lang w:val="hy-AM"/>
        </w:rPr>
        <w:t>Ունենալով կանխատեսված</w:t>
      </w:r>
      <w:r w:rsidRPr="00063D1B">
        <w:rPr>
          <w:b w:val="0"/>
          <w:sz w:val="20"/>
          <w:szCs w:val="20"/>
          <w:lang w:val="hy-AM"/>
        </w:rPr>
        <w:t xml:space="preserve"> կենտրոնական արժեքները, անորոշության չափը (ցրվածքը) և ռիսկերի հաշվեկշիռը` կառուցվել են իրական ՀՆԱ-ի և հարկերի կանխատեսումների հավանականային բաշխման գրաֆիկները 202</w:t>
      </w:r>
      <w:r w:rsidRPr="00B14DDF">
        <w:rPr>
          <w:b w:val="0"/>
          <w:sz w:val="20"/>
          <w:szCs w:val="20"/>
          <w:lang w:val="hy-AM"/>
        </w:rPr>
        <w:t xml:space="preserve">4 </w:t>
      </w:r>
      <w:r w:rsidRPr="00063D1B">
        <w:rPr>
          <w:b w:val="0"/>
          <w:sz w:val="20"/>
          <w:szCs w:val="20"/>
          <w:lang w:val="hy-AM"/>
        </w:rPr>
        <w:t>թվականի համար (տես` Գծապատկեր 2.1):</w:t>
      </w:r>
    </w:p>
    <w:p w14:paraId="46506F57" w14:textId="77777777" w:rsidR="00EB28B4" w:rsidRPr="007D050F" w:rsidRDefault="00EB28B4" w:rsidP="00EB28B4">
      <w:pPr>
        <w:pBdr>
          <w:top w:val="single" w:sz="4" w:space="0" w:color="auto"/>
          <w:left w:val="single" w:sz="4" w:space="4" w:color="auto"/>
          <w:bottom w:val="single" w:sz="4" w:space="1" w:color="auto"/>
          <w:right w:val="single" w:sz="4" w:space="4" w:color="auto"/>
        </w:pBdr>
        <w:shd w:val="clear" w:color="auto" w:fill="D9D9D9"/>
        <w:rPr>
          <w:b w:val="0"/>
          <w:sz w:val="20"/>
          <w:szCs w:val="20"/>
          <w:lang w:val="hy-AM"/>
        </w:rPr>
      </w:pPr>
      <w:r w:rsidRPr="00063D1B">
        <w:rPr>
          <w:rFonts w:cs="Sylfaen"/>
          <w:b w:val="0"/>
          <w:sz w:val="20"/>
          <w:szCs w:val="20"/>
          <w:lang w:val="hy-AM"/>
        </w:rPr>
        <w:t>ՀՆԱ-ի և հարկերի կանխատեսման գծապատկերներում կենտրոնական մուգ</w:t>
      </w:r>
      <w:r w:rsidRPr="00063D1B">
        <w:rPr>
          <w:b w:val="0"/>
          <w:sz w:val="20"/>
          <w:szCs w:val="20"/>
          <w:lang w:val="hy-AM"/>
        </w:rPr>
        <w:t xml:space="preserve"> (</w:t>
      </w:r>
      <w:r w:rsidRPr="00063D1B">
        <w:rPr>
          <w:rFonts w:cs="Sylfaen"/>
          <w:b w:val="0"/>
          <w:sz w:val="20"/>
          <w:szCs w:val="20"/>
          <w:lang w:val="hy-AM"/>
        </w:rPr>
        <w:t>կարմիր)</w:t>
      </w:r>
      <w:r w:rsidRPr="00063D1B">
        <w:rPr>
          <w:b w:val="0"/>
          <w:sz w:val="20"/>
          <w:szCs w:val="20"/>
          <w:lang w:val="hy-AM"/>
        </w:rPr>
        <w:t xml:space="preserve"> ավելի նեղ </w:t>
      </w:r>
      <w:r w:rsidRPr="00063D1B">
        <w:rPr>
          <w:rFonts w:cs="Sylfaen"/>
          <w:b w:val="0"/>
          <w:sz w:val="20"/>
          <w:szCs w:val="20"/>
          <w:lang w:val="hy-AM"/>
        </w:rPr>
        <w:t>միջակայքը ներառում է նաև</w:t>
      </w:r>
      <w:r w:rsidRPr="00063D1B">
        <w:rPr>
          <w:b w:val="0"/>
          <w:sz w:val="20"/>
          <w:szCs w:val="20"/>
          <w:lang w:val="hy-AM"/>
        </w:rPr>
        <w:t xml:space="preserve"> կանխատեսման </w:t>
      </w:r>
      <w:r w:rsidRPr="00063D1B">
        <w:rPr>
          <w:rFonts w:cs="Sylfaen"/>
          <w:b w:val="0"/>
          <w:sz w:val="20"/>
          <w:szCs w:val="20"/>
          <w:lang w:val="hy-AM"/>
        </w:rPr>
        <w:t>կենտրոնական սցենարը</w:t>
      </w:r>
      <w:r w:rsidRPr="00063D1B">
        <w:rPr>
          <w:b w:val="0"/>
          <w:sz w:val="20"/>
          <w:szCs w:val="20"/>
          <w:lang w:val="hy-AM"/>
        </w:rPr>
        <w:t xml:space="preserve"> (</w:t>
      </w:r>
      <w:r w:rsidRPr="00063D1B">
        <w:rPr>
          <w:rFonts w:cs="Sylfaen"/>
          <w:b w:val="0"/>
          <w:sz w:val="20"/>
          <w:szCs w:val="20"/>
          <w:lang w:val="hy-AM"/>
        </w:rPr>
        <w:t>կանխատեսված արժեքները</w:t>
      </w:r>
      <w:r w:rsidRPr="00063D1B">
        <w:rPr>
          <w:b w:val="0"/>
          <w:sz w:val="20"/>
          <w:szCs w:val="20"/>
          <w:lang w:val="hy-AM"/>
        </w:rPr>
        <w:t xml:space="preserve">): Որքան հավանականային կանխատեսումները հեռանում են կենտրոնական սցենարից, այնքան ավելի ցածր է դառնում դրանց իրագործման հավանականությունը, ինչը գծապատկերում արտահայտվում է ավելի թույլ գունավորմամբ: Ներկայացված բաշխումը սիմետրիկ չէ, քանի որ ապագայի համար առկա են տնտեսական աճի և հարկերի կենտրոնական կանխատեսումից ավելի ցածր </w:t>
      </w:r>
      <w:r w:rsidRPr="007D050F">
        <w:rPr>
          <w:b w:val="0"/>
          <w:sz w:val="20"/>
          <w:szCs w:val="20"/>
          <w:lang w:val="hy-AM"/>
        </w:rPr>
        <w:t>մակարդակների ձևավորման ռիսկեր:</w:t>
      </w:r>
    </w:p>
    <w:p w14:paraId="16CC33D3" w14:textId="77777777" w:rsidR="00EB28B4" w:rsidRPr="007955BB" w:rsidRDefault="00EB28B4" w:rsidP="00EB28B4">
      <w:pPr>
        <w:rPr>
          <w:sz w:val="24"/>
          <w:lang w:val="hy-AM"/>
        </w:rPr>
      </w:pPr>
      <w:r w:rsidRPr="007D050F">
        <w:rPr>
          <w:sz w:val="24"/>
          <w:lang w:val="hy-AM"/>
        </w:rPr>
        <w:t xml:space="preserve">2.2. </w:t>
      </w:r>
      <w:r w:rsidRPr="0053749A">
        <w:rPr>
          <w:sz w:val="24"/>
          <w:lang w:val="hy-AM"/>
        </w:rPr>
        <w:t>Պետական բյուջեի վրա մակրոտնտեսական ցուցանիշների կանխատեսվածից շեղման</w:t>
      </w:r>
      <w:r w:rsidRPr="007955BB">
        <w:rPr>
          <w:sz w:val="24"/>
          <w:lang w:val="hy-AM"/>
        </w:rPr>
        <w:t xml:space="preserve"> ռիսկերի ազդեցության ընդհանուր գնահատականը և դրանց մեղմման հնարավորությունները</w:t>
      </w:r>
    </w:p>
    <w:p w14:paraId="32ECE99D" w14:textId="77777777" w:rsidR="00EB28B4" w:rsidRPr="007955BB" w:rsidRDefault="00EB28B4" w:rsidP="00EB28B4">
      <w:pPr>
        <w:rPr>
          <w:rFonts w:cs="Sylfaen"/>
          <w:b w:val="0"/>
          <w:lang w:val="hy-AM"/>
        </w:rPr>
      </w:pPr>
      <w:r w:rsidRPr="007955BB">
        <w:rPr>
          <w:rFonts w:cs="Sylfaen"/>
          <w:b w:val="0"/>
          <w:lang w:val="hy-AM"/>
        </w:rPr>
        <w:t>Կանխատեսումներում մեծ ուշադրություն է դարձվում նաև պետական բյուջեի ծախսերի պլանավորված մակարդակների ապահովումը խաթարող ռիսկերին, որոնք կարող են հանգեցնել լրացուցիչ ֆինանսավորման պահանջի առաջացման:</w:t>
      </w:r>
    </w:p>
    <w:p w14:paraId="45CAFC35" w14:textId="11D78709" w:rsidR="00EB28B4" w:rsidRPr="00EB28B4" w:rsidRDefault="00EB28B4" w:rsidP="00EB28B4">
      <w:pPr>
        <w:pStyle w:val="Caption"/>
        <w:spacing w:after="120" w:line="240" w:lineRule="auto"/>
        <w:rPr>
          <w:rFonts w:eastAsia="Calibri" w:cs="Sylfaen"/>
          <w:bCs w:val="0"/>
          <w:iCs/>
          <w:color w:val="auto"/>
          <w:sz w:val="22"/>
          <w:szCs w:val="22"/>
          <w:lang w:val="hy-AM" w:eastAsia="en-US"/>
        </w:rPr>
      </w:pPr>
      <w:bookmarkStart w:id="361" w:name="_Toc83928957"/>
      <w:bookmarkStart w:id="362" w:name="_Toc115686972"/>
      <w:r w:rsidRPr="001F2522">
        <w:rPr>
          <w:rFonts w:eastAsia="Calibri" w:cs="Sylfaen"/>
          <w:b/>
          <w:i/>
          <w:color w:val="auto"/>
          <w:sz w:val="22"/>
          <w:szCs w:val="22"/>
          <w:lang w:val="hy-AM" w:eastAsia="en-US"/>
        </w:rPr>
        <w:t xml:space="preserve">Աղյուսակ </w:t>
      </w:r>
      <w:r>
        <w:rPr>
          <w:rFonts w:eastAsia="Calibri" w:cs="Sylfaen"/>
          <w:b/>
          <w:i/>
          <w:color w:val="auto"/>
          <w:sz w:val="22"/>
          <w:szCs w:val="22"/>
          <w:lang w:val="hy-AM" w:eastAsia="en-US"/>
        </w:rPr>
        <w:t>2.4</w:t>
      </w:r>
      <w:r w:rsidRPr="001F2522">
        <w:rPr>
          <w:rFonts w:eastAsia="Calibri" w:cs="Sylfaen"/>
          <w:b/>
          <w:i/>
          <w:color w:val="auto"/>
          <w:sz w:val="22"/>
          <w:szCs w:val="22"/>
          <w:lang w:val="hy-AM" w:eastAsia="en-US"/>
        </w:rPr>
        <w:t>.</w:t>
      </w:r>
      <w:r w:rsidRPr="007955BB">
        <w:rPr>
          <w:lang w:val="hy-AM"/>
        </w:rPr>
        <w:t xml:space="preserve"> </w:t>
      </w:r>
      <w:r w:rsidRPr="00EB28B4">
        <w:rPr>
          <w:rFonts w:eastAsia="Calibri" w:cs="Sylfaen"/>
          <w:bCs w:val="0"/>
          <w:iCs/>
          <w:color w:val="auto"/>
          <w:sz w:val="22"/>
          <w:szCs w:val="22"/>
          <w:lang w:val="hy-AM" w:eastAsia="en-US"/>
        </w:rPr>
        <w:t>ՀՀ պետական բյուջեի հարկային եկամուտների և ծախսերի, ինչպես նաև այլ հոսքերի գծով ռիսկերի ընդհանուր ազդեցությունը</w:t>
      </w:r>
      <w:r w:rsidRPr="00EB28B4">
        <w:rPr>
          <w:rFonts w:eastAsia="Calibri" w:cs="Sylfaen"/>
          <w:bCs w:val="0"/>
          <w:iCs/>
          <w:color w:val="auto"/>
          <w:sz w:val="22"/>
          <w:szCs w:val="22"/>
          <w:lang w:val="hy-AM" w:eastAsia="en-US"/>
        </w:rPr>
        <w:footnoteReference w:id="34"/>
      </w:r>
      <w:r w:rsidRPr="00EB28B4">
        <w:rPr>
          <w:rFonts w:eastAsia="Calibri" w:cs="Sylfaen"/>
          <w:bCs w:val="0"/>
          <w:iCs/>
          <w:color w:val="auto"/>
          <w:sz w:val="22"/>
          <w:szCs w:val="22"/>
          <w:lang w:val="hy-AM" w:eastAsia="en-US"/>
        </w:rPr>
        <w:t>. (ֆինանսավորման պահանջ` - պահանջի մեծացում, + պահանջի նվազում), մլրդ ՀՀ դրամ</w:t>
      </w:r>
      <w:bookmarkEnd w:id="361"/>
      <w:bookmarkEnd w:id="362"/>
      <w:r w:rsidRPr="00EB28B4">
        <w:rPr>
          <w:rFonts w:eastAsia="Calibri" w:cs="Sylfaen"/>
          <w:bCs w:val="0"/>
          <w:iCs/>
          <w:color w:val="auto"/>
          <w:sz w:val="22"/>
          <w:szCs w:val="22"/>
          <w:lang w:val="hy-AM" w:eastAsia="en-US"/>
        </w:rPr>
        <w:t xml:space="preserve"> </w:t>
      </w:r>
    </w:p>
    <w:tbl>
      <w:tblPr>
        <w:tblW w:w="8140" w:type="dxa"/>
        <w:tblBorders>
          <w:bottom w:val="single" w:sz="4" w:space="0" w:color="auto"/>
        </w:tblBorders>
        <w:tblLook w:val="04A0" w:firstRow="1" w:lastRow="0" w:firstColumn="1" w:lastColumn="0" w:noHBand="0" w:noVBand="1"/>
      </w:tblPr>
      <w:tblGrid>
        <w:gridCol w:w="5260"/>
        <w:gridCol w:w="2880"/>
      </w:tblGrid>
      <w:tr w:rsidR="00EB28B4" w:rsidRPr="00324B27" w14:paraId="140E79A2" w14:textId="77777777" w:rsidTr="00D656FB">
        <w:trPr>
          <w:trHeight w:val="705"/>
        </w:trPr>
        <w:tc>
          <w:tcPr>
            <w:tcW w:w="5260" w:type="dxa"/>
            <w:vMerge w:val="restart"/>
            <w:tcBorders>
              <w:bottom w:val="single" w:sz="4" w:space="0" w:color="auto"/>
            </w:tcBorders>
            <w:shd w:val="clear" w:color="auto" w:fill="auto"/>
            <w:vAlign w:val="center"/>
            <w:hideMark/>
          </w:tcPr>
          <w:p w14:paraId="75592E99" w14:textId="77777777" w:rsidR="00EB28B4" w:rsidRPr="00324B27" w:rsidRDefault="00EB28B4" w:rsidP="00D656FB">
            <w:pPr>
              <w:spacing w:before="0" w:line="240" w:lineRule="auto"/>
              <w:jc w:val="center"/>
              <w:rPr>
                <w:b w:val="0"/>
                <w:bCs/>
                <w:sz w:val="18"/>
                <w:szCs w:val="18"/>
                <w:lang w:val="en-US" w:eastAsia="en-US"/>
              </w:rPr>
            </w:pPr>
            <w:r w:rsidRPr="00324B27">
              <w:rPr>
                <w:b w:val="0"/>
                <w:bCs/>
                <w:sz w:val="18"/>
                <w:szCs w:val="18"/>
                <w:lang w:val="en-US" w:eastAsia="en-US"/>
              </w:rPr>
              <w:t>Մակրոտնտեսական ցուցանիշների կանխատեսվող ռիսկեր</w:t>
            </w:r>
          </w:p>
        </w:tc>
        <w:tc>
          <w:tcPr>
            <w:tcW w:w="2880" w:type="dxa"/>
            <w:vMerge w:val="restart"/>
            <w:tcBorders>
              <w:bottom w:val="single" w:sz="4" w:space="0" w:color="auto"/>
            </w:tcBorders>
            <w:shd w:val="clear" w:color="auto" w:fill="auto"/>
            <w:vAlign w:val="center"/>
            <w:hideMark/>
          </w:tcPr>
          <w:p w14:paraId="795D86EF" w14:textId="77777777" w:rsidR="00EB28B4" w:rsidRPr="00324B27" w:rsidRDefault="00EB28B4" w:rsidP="00D656FB">
            <w:pPr>
              <w:spacing w:before="0" w:line="240" w:lineRule="auto"/>
              <w:jc w:val="center"/>
              <w:rPr>
                <w:b w:val="0"/>
                <w:bCs/>
                <w:sz w:val="18"/>
                <w:szCs w:val="18"/>
                <w:lang w:val="en-US" w:eastAsia="en-US"/>
              </w:rPr>
            </w:pPr>
            <w:r w:rsidRPr="00324B27">
              <w:rPr>
                <w:b w:val="0"/>
                <w:bCs/>
                <w:sz w:val="18"/>
                <w:szCs w:val="18"/>
                <w:lang w:val="en-US" w:eastAsia="en-US"/>
              </w:rPr>
              <w:t>2024</w:t>
            </w:r>
          </w:p>
        </w:tc>
      </w:tr>
      <w:tr w:rsidR="00EB28B4" w:rsidRPr="00324B27" w14:paraId="15480A08" w14:textId="77777777" w:rsidTr="00D656FB">
        <w:trPr>
          <w:trHeight w:val="467"/>
        </w:trPr>
        <w:tc>
          <w:tcPr>
            <w:tcW w:w="5260" w:type="dxa"/>
            <w:vMerge/>
            <w:tcBorders>
              <w:bottom w:val="single" w:sz="4" w:space="0" w:color="auto"/>
            </w:tcBorders>
            <w:shd w:val="clear" w:color="auto" w:fill="auto"/>
            <w:vAlign w:val="center"/>
            <w:hideMark/>
          </w:tcPr>
          <w:p w14:paraId="0A5D0A9B" w14:textId="77777777" w:rsidR="00EB28B4" w:rsidRPr="00324B27" w:rsidRDefault="00EB28B4" w:rsidP="00D656FB">
            <w:pPr>
              <w:spacing w:before="0" w:line="240" w:lineRule="auto"/>
              <w:jc w:val="left"/>
              <w:rPr>
                <w:b w:val="0"/>
                <w:bCs/>
                <w:sz w:val="18"/>
                <w:szCs w:val="18"/>
                <w:lang w:val="en-US" w:eastAsia="en-US"/>
              </w:rPr>
            </w:pPr>
          </w:p>
        </w:tc>
        <w:tc>
          <w:tcPr>
            <w:tcW w:w="2880" w:type="dxa"/>
            <w:vMerge/>
            <w:tcBorders>
              <w:bottom w:val="single" w:sz="4" w:space="0" w:color="auto"/>
            </w:tcBorders>
            <w:shd w:val="clear" w:color="auto" w:fill="auto"/>
            <w:vAlign w:val="center"/>
            <w:hideMark/>
          </w:tcPr>
          <w:p w14:paraId="2E6C8C1D" w14:textId="77777777" w:rsidR="00EB28B4" w:rsidRPr="00324B27" w:rsidRDefault="00EB28B4" w:rsidP="00D656FB">
            <w:pPr>
              <w:spacing w:before="0" w:line="240" w:lineRule="auto"/>
              <w:jc w:val="left"/>
              <w:rPr>
                <w:b w:val="0"/>
                <w:bCs/>
                <w:sz w:val="18"/>
                <w:szCs w:val="18"/>
                <w:lang w:val="en-US" w:eastAsia="en-US"/>
              </w:rPr>
            </w:pPr>
          </w:p>
        </w:tc>
      </w:tr>
      <w:tr w:rsidR="00EB28B4" w:rsidRPr="00324B27" w14:paraId="25A657B7" w14:textId="77777777" w:rsidTr="00D656FB">
        <w:trPr>
          <w:trHeight w:val="660"/>
        </w:trPr>
        <w:tc>
          <w:tcPr>
            <w:tcW w:w="5260" w:type="dxa"/>
            <w:tcBorders>
              <w:top w:val="single" w:sz="4" w:space="0" w:color="auto"/>
            </w:tcBorders>
            <w:shd w:val="clear" w:color="auto" w:fill="auto"/>
            <w:vAlign w:val="center"/>
            <w:hideMark/>
          </w:tcPr>
          <w:p w14:paraId="07B5920D" w14:textId="77777777" w:rsidR="00EB28B4" w:rsidRPr="00324B27" w:rsidRDefault="00EB28B4" w:rsidP="00D656FB">
            <w:pPr>
              <w:spacing w:before="0" w:line="240" w:lineRule="auto"/>
              <w:jc w:val="left"/>
              <w:rPr>
                <w:b w:val="0"/>
                <w:sz w:val="18"/>
                <w:szCs w:val="18"/>
                <w:lang w:eastAsia="en-US"/>
              </w:rPr>
            </w:pPr>
            <w:r w:rsidRPr="00324B27">
              <w:rPr>
                <w:b w:val="0"/>
                <w:sz w:val="18"/>
                <w:szCs w:val="18"/>
                <w:lang w:eastAsia="en-US"/>
              </w:rPr>
              <w:t xml:space="preserve">1. </w:t>
            </w:r>
            <w:r w:rsidRPr="00324B27">
              <w:rPr>
                <w:b w:val="0"/>
                <w:sz w:val="18"/>
                <w:szCs w:val="18"/>
                <w:lang w:val="en-US" w:eastAsia="en-US"/>
              </w:rPr>
              <w:t>Կանխատեսվածից</w:t>
            </w:r>
            <w:r w:rsidRPr="00324B27">
              <w:rPr>
                <w:b w:val="0"/>
                <w:sz w:val="18"/>
                <w:szCs w:val="18"/>
                <w:lang w:eastAsia="en-US"/>
              </w:rPr>
              <w:t xml:space="preserve"> </w:t>
            </w:r>
            <w:r w:rsidRPr="00324B27">
              <w:rPr>
                <w:b w:val="0"/>
                <w:sz w:val="18"/>
                <w:szCs w:val="18"/>
                <w:lang w:val="en-US" w:eastAsia="en-US"/>
              </w:rPr>
              <w:t>ավելի</w:t>
            </w:r>
            <w:r w:rsidRPr="00324B27">
              <w:rPr>
                <w:b w:val="0"/>
                <w:sz w:val="18"/>
                <w:szCs w:val="18"/>
                <w:lang w:eastAsia="en-US"/>
              </w:rPr>
              <w:t xml:space="preserve"> </w:t>
            </w:r>
            <w:r w:rsidRPr="00324B27">
              <w:rPr>
                <w:b w:val="0"/>
                <w:sz w:val="18"/>
                <w:szCs w:val="18"/>
                <w:lang w:val="en-US" w:eastAsia="en-US"/>
              </w:rPr>
              <w:t>ցածր</w:t>
            </w:r>
            <w:r w:rsidRPr="00324B27">
              <w:rPr>
                <w:b w:val="0"/>
                <w:sz w:val="18"/>
                <w:szCs w:val="18"/>
                <w:lang w:eastAsia="en-US"/>
              </w:rPr>
              <w:t xml:space="preserve"> </w:t>
            </w:r>
            <w:r w:rsidRPr="00324B27">
              <w:rPr>
                <w:b w:val="0"/>
                <w:sz w:val="18"/>
                <w:szCs w:val="18"/>
                <w:lang w:val="en-US" w:eastAsia="en-US"/>
              </w:rPr>
              <w:t>իրական</w:t>
            </w:r>
            <w:r w:rsidRPr="00324B27">
              <w:rPr>
                <w:b w:val="0"/>
                <w:sz w:val="18"/>
                <w:szCs w:val="18"/>
                <w:lang w:eastAsia="en-US"/>
              </w:rPr>
              <w:t xml:space="preserve"> </w:t>
            </w:r>
            <w:r w:rsidRPr="00324B27">
              <w:rPr>
                <w:b w:val="0"/>
                <w:sz w:val="18"/>
                <w:szCs w:val="18"/>
                <w:lang w:val="en-US" w:eastAsia="en-US"/>
              </w:rPr>
              <w:t>ՀՆԱ</w:t>
            </w:r>
            <w:r w:rsidRPr="00324B27">
              <w:rPr>
                <w:b w:val="0"/>
                <w:sz w:val="18"/>
                <w:szCs w:val="18"/>
                <w:lang w:eastAsia="en-US"/>
              </w:rPr>
              <w:t>-</w:t>
            </w:r>
            <w:r w:rsidRPr="00324B27">
              <w:rPr>
                <w:b w:val="0"/>
                <w:sz w:val="18"/>
                <w:szCs w:val="18"/>
                <w:lang w:val="en-US" w:eastAsia="en-US"/>
              </w:rPr>
              <w:t>ի</w:t>
            </w:r>
            <w:r w:rsidRPr="00324B27">
              <w:rPr>
                <w:b w:val="0"/>
                <w:sz w:val="18"/>
                <w:szCs w:val="18"/>
                <w:lang w:eastAsia="en-US"/>
              </w:rPr>
              <w:t xml:space="preserve"> </w:t>
            </w:r>
            <w:r w:rsidRPr="00324B27">
              <w:rPr>
                <w:b w:val="0"/>
                <w:sz w:val="18"/>
                <w:szCs w:val="18"/>
                <w:lang w:val="en-US" w:eastAsia="en-US"/>
              </w:rPr>
              <w:t>աճ</w:t>
            </w:r>
            <w:r w:rsidRPr="00324B27">
              <w:rPr>
                <w:b w:val="0"/>
                <w:sz w:val="18"/>
                <w:szCs w:val="18"/>
                <w:lang w:eastAsia="en-US"/>
              </w:rPr>
              <w:t xml:space="preserve">, 3.4 </w:t>
            </w:r>
            <w:r w:rsidRPr="00324B27">
              <w:rPr>
                <w:b w:val="0"/>
                <w:sz w:val="18"/>
                <w:szCs w:val="18"/>
                <w:lang w:val="en-US" w:eastAsia="en-US"/>
              </w:rPr>
              <w:t>տոկոսային</w:t>
            </w:r>
            <w:r w:rsidRPr="00324B27">
              <w:rPr>
                <w:b w:val="0"/>
                <w:sz w:val="18"/>
                <w:szCs w:val="18"/>
                <w:lang w:eastAsia="en-US"/>
              </w:rPr>
              <w:t xml:space="preserve"> </w:t>
            </w:r>
            <w:r w:rsidRPr="00324B27">
              <w:rPr>
                <w:b w:val="0"/>
                <w:sz w:val="18"/>
                <w:szCs w:val="18"/>
                <w:lang w:val="en-US" w:eastAsia="en-US"/>
              </w:rPr>
              <w:t>կետ</w:t>
            </w:r>
          </w:p>
        </w:tc>
        <w:tc>
          <w:tcPr>
            <w:tcW w:w="2880" w:type="dxa"/>
            <w:tcBorders>
              <w:top w:val="single" w:sz="4" w:space="0" w:color="auto"/>
            </w:tcBorders>
            <w:shd w:val="clear" w:color="auto" w:fill="auto"/>
            <w:vAlign w:val="center"/>
            <w:hideMark/>
          </w:tcPr>
          <w:p w14:paraId="5BB0B897" w14:textId="77777777" w:rsidR="00EB28B4" w:rsidRPr="00324B27" w:rsidRDefault="00EB28B4" w:rsidP="00D656FB">
            <w:pPr>
              <w:spacing w:before="0" w:line="240" w:lineRule="auto"/>
              <w:jc w:val="center"/>
              <w:rPr>
                <w:b w:val="0"/>
                <w:sz w:val="18"/>
                <w:szCs w:val="18"/>
                <w:lang w:val="en-US" w:eastAsia="en-US"/>
              </w:rPr>
            </w:pPr>
            <w:r w:rsidRPr="00324B27">
              <w:rPr>
                <w:b w:val="0"/>
                <w:sz w:val="18"/>
                <w:szCs w:val="18"/>
                <w:lang w:val="en-US" w:eastAsia="en-US"/>
              </w:rPr>
              <w:t>-28.7</w:t>
            </w:r>
          </w:p>
        </w:tc>
      </w:tr>
      <w:tr w:rsidR="00EB28B4" w:rsidRPr="00324B27" w14:paraId="60B6E6A9" w14:textId="77777777" w:rsidTr="00D656FB">
        <w:trPr>
          <w:trHeight w:val="330"/>
        </w:trPr>
        <w:tc>
          <w:tcPr>
            <w:tcW w:w="5260" w:type="dxa"/>
            <w:shd w:val="clear" w:color="auto" w:fill="auto"/>
            <w:vAlign w:val="center"/>
            <w:hideMark/>
          </w:tcPr>
          <w:p w14:paraId="797FDFAB" w14:textId="77777777" w:rsidR="00EB28B4" w:rsidRPr="00324B27" w:rsidRDefault="00EB28B4" w:rsidP="00D656FB">
            <w:pPr>
              <w:spacing w:before="0" w:line="240" w:lineRule="auto"/>
              <w:jc w:val="left"/>
              <w:rPr>
                <w:b w:val="0"/>
                <w:sz w:val="18"/>
                <w:szCs w:val="18"/>
                <w:lang w:eastAsia="en-US"/>
              </w:rPr>
            </w:pPr>
            <w:r w:rsidRPr="00324B27">
              <w:rPr>
                <w:b w:val="0"/>
                <w:sz w:val="18"/>
                <w:szCs w:val="18"/>
                <w:lang w:eastAsia="en-US"/>
              </w:rPr>
              <w:t xml:space="preserve">2. </w:t>
            </w:r>
            <w:r w:rsidRPr="00324B27">
              <w:rPr>
                <w:b w:val="0"/>
                <w:sz w:val="18"/>
                <w:szCs w:val="18"/>
                <w:lang w:val="en-US" w:eastAsia="en-US"/>
              </w:rPr>
              <w:t>Ավելի</w:t>
            </w:r>
            <w:r w:rsidRPr="00324B27">
              <w:rPr>
                <w:b w:val="0"/>
                <w:sz w:val="18"/>
                <w:szCs w:val="18"/>
                <w:lang w:eastAsia="en-US"/>
              </w:rPr>
              <w:t xml:space="preserve"> </w:t>
            </w:r>
            <w:r w:rsidRPr="00324B27">
              <w:rPr>
                <w:b w:val="0"/>
                <w:sz w:val="18"/>
                <w:szCs w:val="18"/>
                <w:lang w:val="en-US" w:eastAsia="en-US"/>
              </w:rPr>
              <w:t>ցածր</w:t>
            </w:r>
            <w:r w:rsidRPr="00324B27">
              <w:rPr>
                <w:b w:val="0"/>
                <w:sz w:val="18"/>
                <w:szCs w:val="18"/>
                <w:lang w:eastAsia="en-US"/>
              </w:rPr>
              <w:t xml:space="preserve"> </w:t>
            </w:r>
            <w:r w:rsidRPr="00324B27">
              <w:rPr>
                <w:b w:val="0"/>
                <w:sz w:val="18"/>
                <w:szCs w:val="18"/>
                <w:lang w:val="en-US" w:eastAsia="en-US"/>
              </w:rPr>
              <w:t>գնաճի</w:t>
            </w:r>
            <w:r w:rsidRPr="00324B27">
              <w:rPr>
                <w:b w:val="0"/>
                <w:sz w:val="18"/>
                <w:szCs w:val="18"/>
                <w:lang w:eastAsia="en-US"/>
              </w:rPr>
              <w:t xml:space="preserve"> </w:t>
            </w:r>
            <w:r w:rsidRPr="00324B27">
              <w:rPr>
                <w:b w:val="0"/>
                <w:sz w:val="18"/>
                <w:szCs w:val="18"/>
                <w:lang w:val="en-US" w:eastAsia="en-US"/>
              </w:rPr>
              <w:t>ռիսկ</w:t>
            </w:r>
            <w:r w:rsidRPr="00324B27">
              <w:rPr>
                <w:b w:val="0"/>
                <w:sz w:val="18"/>
                <w:szCs w:val="18"/>
                <w:lang w:eastAsia="en-US"/>
              </w:rPr>
              <w:t xml:space="preserve">, 1.5 </w:t>
            </w:r>
            <w:r w:rsidRPr="00324B27">
              <w:rPr>
                <w:b w:val="0"/>
                <w:sz w:val="18"/>
                <w:szCs w:val="18"/>
                <w:lang w:val="en-US" w:eastAsia="en-US"/>
              </w:rPr>
              <w:t>տոկոսային</w:t>
            </w:r>
            <w:r w:rsidRPr="00324B27">
              <w:rPr>
                <w:b w:val="0"/>
                <w:sz w:val="18"/>
                <w:szCs w:val="18"/>
                <w:lang w:eastAsia="en-US"/>
              </w:rPr>
              <w:t xml:space="preserve"> </w:t>
            </w:r>
            <w:r w:rsidRPr="00324B27">
              <w:rPr>
                <w:b w:val="0"/>
                <w:sz w:val="18"/>
                <w:szCs w:val="18"/>
                <w:lang w:val="en-US" w:eastAsia="en-US"/>
              </w:rPr>
              <w:t>կետ</w:t>
            </w:r>
            <w:r w:rsidRPr="00324B27">
              <w:rPr>
                <w:b w:val="0"/>
                <w:sz w:val="18"/>
                <w:szCs w:val="18"/>
                <w:lang w:eastAsia="en-US"/>
              </w:rPr>
              <w:t xml:space="preserve"> </w:t>
            </w:r>
          </w:p>
        </w:tc>
        <w:tc>
          <w:tcPr>
            <w:tcW w:w="2880" w:type="dxa"/>
            <w:shd w:val="clear" w:color="auto" w:fill="auto"/>
            <w:vAlign w:val="center"/>
            <w:hideMark/>
          </w:tcPr>
          <w:p w14:paraId="39B49B4F" w14:textId="77777777" w:rsidR="00EB28B4" w:rsidRPr="00324B27" w:rsidRDefault="00EB28B4" w:rsidP="00D656FB">
            <w:pPr>
              <w:spacing w:before="0" w:line="240" w:lineRule="auto"/>
              <w:jc w:val="center"/>
              <w:rPr>
                <w:b w:val="0"/>
                <w:sz w:val="18"/>
                <w:szCs w:val="18"/>
                <w:lang w:val="hy-AM" w:eastAsia="en-US"/>
              </w:rPr>
            </w:pPr>
            <w:r w:rsidRPr="00324B27">
              <w:rPr>
                <w:b w:val="0"/>
                <w:sz w:val="18"/>
                <w:szCs w:val="18"/>
                <w:lang w:val="en-US" w:eastAsia="en-US"/>
              </w:rPr>
              <w:t>8.</w:t>
            </w:r>
            <w:r w:rsidRPr="00324B27">
              <w:rPr>
                <w:b w:val="0"/>
                <w:sz w:val="18"/>
                <w:szCs w:val="18"/>
                <w:lang w:val="hy-AM" w:eastAsia="en-US"/>
              </w:rPr>
              <w:t>7</w:t>
            </w:r>
          </w:p>
        </w:tc>
      </w:tr>
      <w:tr w:rsidR="00EB28B4" w:rsidRPr="00324B27" w14:paraId="012A05FB" w14:textId="77777777" w:rsidTr="00D656FB">
        <w:trPr>
          <w:trHeight w:val="330"/>
        </w:trPr>
        <w:tc>
          <w:tcPr>
            <w:tcW w:w="5260" w:type="dxa"/>
            <w:shd w:val="clear" w:color="auto" w:fill="auto"/>
            <w:vAlign w:val="center"/>
            <w:hideMark/>
          </w:tcPr>
          <w:p w14:paraId="63BBCDBD" w14:textId="77777777" w:rsidR="00EB28B4" w:rsidRPr="00324B27" w:rsidRDefault="00EB28B4" w:rsidP="00D656FB">
            <w:pPr>
              <w:spacing w:before="0" w:line="240" w:lineRule="auto"/>
              <w:jc w:val="left"/>
              <w:rPr>
                <w:b w:val="0"/>
                <w:sz w:val="18"/>
                <w:szCs w:val="18"/>
                <w:lang w:val="en-US" w:eastAsia="en-US"/>
              </w:rPr>
            </w:pPr>
            <w:r w:rsidRPr="00324B27">
              <w:rPr>
                <w:b w:val="0"/>
                <w:sz w:val="18"/>
                <w:szCs w:val="18"/>
                <w:lang w:val="en-US" w:eastAsia="en-US"/>
              </w:rPr>
              <w:t>3. Փոխարժեքի 4.6 տոկոս արժեզրկման ռիսկ</w:t>
            </w:r>
          </w:p>
        </w:tc>
        <w:tc>
          <w:tcPr>
            <w:tcW w:w="2880" w:type="dxa"/>
            <w:shd w:val="clear" w:color="auto" w:fill="auto"/>
            <w:vAlign w:val="center"/>
            <w:hideMark/>
          </w:tcPr>
          <w:p w14:paraId="36D0BE87" w14:textId="77777777" w:rsidR="00EB28B4" w:rsidRPr="00324B27" w:rsidRDefault="00EB28B4" w:rsidP="00D656FB">
            <w:pPr>
              <w:spacing w:before="0" w:line="240" w:lineRule="auto"/>
              <w:jc w:val="center"/>
              <w:rPr>
                <w:b w:val="0"/>
                <w:sz w:val="18"/>
                <w:szCs w:val="18"/>
                <w:lang w:val="hy-AM" w:eastAsia="en-US"/>
              </w:rPr>
            </w:pPr>
            <w:r w:rsidRPr="00324B27">
              <w:rPr>
                <w:b w:val="0"/>
                <w:sz w:val="18"/>
                <w:szCs w:val="18"/>
                <w:lang w:val="hy-AM" w:eastAsia="en-US"/>
              </w:rPr>
              <w:t>11</w:t>
            </w:r>
            <w:r w:rsidRPr="00324B27">
              <w:rPr>
                <w:rFonts w:ascii="Cambria Math" w:hAnsi="Cambria Math" w:cs="Cambria Math"/>
                <w:b w:val="0"/>
                <w:sz w:val="18"/>
                <w:szCs w:val="18"/>
                <w:lang w:val="hy-AM" w:eastAsia="en-US"/>
              </w:rPr>
              <w:t>․</w:t>
            </w:r>
            <w:r w:rsidRPr="00324B27">
              <w:rPr>
                <w:b w:val="0"/>
                <w:sz w:val="18"/>
                <w:szCs w:val="18"/>
                <w:lang w:val="hy-AM" w:eastAsia="en-US"/>
              </w:rPr>
              <w:t>9</w:t>
            </w:r>
          </w:p>
        </w:tc>
      </w:tr>
      <w:tr w:rsidR="00EB28B4" w:rsidRPr="00324B27" w14:paraId="691AF4E7" w14:textId="77777777" w:rsidTr="00D656FB">
        <w:trPr>
          <w:trHeight w:val="660"/>
        </w:trPr>
        <w:tc>
          <w:tcPr>
            <w:tcW w:w="5260" w:type="dxa"/>
            <w:shd w:val="clear" w:color="auto" w:fill="auto"/>
            <w:vAlign w:val="center"/>
            <w:hideMark/>
          </w:tcPr>
          <w:p w14:paraId="443425DB" w14:textId="77777777" w:rsidR="00EB28B4" w:rsidRPr="00324B27" w:rsidRDefault="00EB28B4" w:rsidP="00D656FB">
            <w:pPr>
              <w:spacing w:before="0" w:line="240" w:lineRule="auto"/>
              <w:jc w:val="left"/>
              <w:rPr>
                <w:b w:val="0"/>
                <w:sz w:val="18"/>
                <w:szCs w:val="18"/>
                <w:lang w:eastAsia="en-US"/>
              </w:rPr>
            </w:pPr>
            <w:r w:rsidRPr="00324B27">
              <w:rPr>
                <w:b w:val="0"/>
                <w:sz w:val="18"/>
                <w:szCs w:val="18"/>
                <w:lang w:eastAsia="en-US"/>
              </w:rPr>
              <w:t xml:space="preserve">4. </w:t>
            </w:r>
            <w:r w:rsidRPr="00324B27">
              <w:rPr>
                <w:b w:val="0"/>
                <w:sz w:val="18"/>
                <w:szCs w:val="18"/>
                <w:lang w:val="en-US" w:eastAsia="en-US"/>
              </w:rPr>
              <w:t>Ներմուծման</w:t>
            </w:r>
            <w:r w:rsidRPr="00324B27">
              <w:rPr>
                <w:b w:val="0"/>
                <w:sz w:val="18"/>
                <w:szCs w:val="18"/>
                <w:lang w:eastAsia="en-US"/>
              </w:rPr>
              <w:t xml:space="preserve">  </w:t>
            </w:r>
            <w:r w:rsidRPr="00324B27">
              <w:rPr>
                <w:b w:val="0"/>
                <w:sz w:val="18"/>
                <w:szCs w:val="18"/>
                <w:lang w:val="en-US" w:eastAsia="en-US"/>
              </w:rPr>
              <w:t>նվազման</w:t>
            </w:r>
            <w:r w:rsidRPr="00324B27">
              <w:rPr>
                <w:b w:val="0"/>
                <w:sz w:val="18"/>
                <w:szCs w:val="18"/>
                <w:lang w:eastAsia="en-US"/>
              </w:rPr>
              <w:t xml:space="preserve"> </w:t>
            </w:r>
            <w:r w:rsidRPr="00324B27">
              <w:rPr>
                <w:b w:val="0"/>
                <w:sz w:val="18"/>
                <w:szCs w:val="18"/>
                <w:lang w:val="en-US" w:eastAsia="en-US"/>
              </w:rPr>
              <w:t>ռիսկ</w:t>
            </w:r>
            <w:r w:rsidRPr="00324B27">
              <w:rPr>
                <w:b w:val="0"/>
                <w:sz w:val="18"/>
                <w:szCs w:val="18"/>
                <w:lang w:eastAsia="en-US"/>
              </w:rPr>
              <w:t xml:space="preserve">, 9.6 </w:t>
            </w:r>
            <w:r w:rsidRPr="00324B27">
              <w:rPr>
                <w:b w:val="0"/>
                <w:sz w:val="18"/>
                <w:szCs w:val="18"/>
                <w:lang w:val="en-US" w:eastAsia="en-US"/>
              </w:rPr>
              <w:t>տոկոսային</w:t>
            </w:r>
            <w:r w:rsidRPr="00324B27">
              <w:rPr>
                <w:b w:val="0"/>
                <w:sz w:val="18"/>
                <w:szCs w:val="18"/>
                <w:lang w:eastAsia="en-US"/>
              </w:rPr>
              <w:t xml:space="preserve"> </w:t>
            </w:r>
            <w:r w:rsidRPr="00324B27">
              <w:rPr>
                <w:b w:val="0"/>
                <w:sz w:val="18"/>
                <w:szCs w:val="18"/>
                <w:lang w:val="en-US" w:eastAsia="en-US"/>
              </w:rPr>
              <w:t>կետ</w:t>
            </w:r>
          </w:p>
        </w:tc>
        <w:tc>
          <w:tcPr>
            <w:tcW w:w="2880" w:type="dxa"/>
            <w:shd w:val="clear" w:color="auto" w:fill="auto"/>
            <w:vAlign w:val="center"/>
            <w:hideMark/>
          </w:tcPr>
          <w:p w14:paraId="1F9D1AD4" w14:textId="77777777" w:rsidR="00EB28B4" w:rsidRPr="00324B27" w:rsidRDefault="00EB28B4" w:rsidP="00D656FB">
            <w:pPr>
              <w:spacing w:before="0" w:line="240" w:lineRule="auto"/>
              <w:jc w:val="center"/>
              <w:rPr>
                <w:b w:val="0"/>
                <w:sz w:val="18"/>
                <w:szCs w:val="18"/>
                <w:lang w:val="en-US" w:eastAsia="en-US"/>
              </w:rPr>
            </w:pPr>
            <w:r w:rsidRPr="00324B27">
              <w:rPr>
                <w:b w:val="0"/>
                <w:sz w:val="18"/>
                <w:szCs w:val="18"/>
                <w:lang w:val="en-US" w:eastAsia="en-US"/>
              </w:rPr>
              <w:t>-24.5</w:t>
            </w:r>
          </w:p>
        </w:tc>
      </w:tr>
      <w:tr w:rsidR="00EB28B4" w:rsidRPr="00324B27" w14:paraId="632FCC3E" w14:textId="77777777" w:rsidTr="00D656FB">
        <w:trPr>
          <w:trHeight w:val="660"/>
        </w:trPr>
        <w:tc>
          <w:tcPr>
            <w:tcW w:w="5260" w:type="dxa"/>
            <w:shd w:val="clear" w:color="auto" w:fill="auto"/>
            <w:vAlign w:val="center"/>
            <w:hideMark/>
          </w:tcPr>
          <w:p w14:paraId="4A324378" w14:textId="77777777" w:rsidR="00EB28B4" w:rsidRPr="00324B27" w:rsidRDefault="00EB28B4" w:rsidP="00D656FB">
            <w:pPr>
              <w:spacing w:before="0" w:line="240" w:lineRule="auto"/>
              <w:jc w:val="left"/>
              <w:rPr>
                <w:b w:val="0"/>
                <w:sz w:val="18"/>
                <w:szCs w:val="18"/>
                <w:lang w:eastAsia="en-US"/>
              </w:rPr>
            </w:pPr>
            <w:r w:rsidRPr="00324B27">
              <w:rPr>
                <w:b w:val="0"/>
                <w:sz w:val="18"/>
                <w:szCs w:val="18"/>
                <w:lang w:val="en-US" w:eastAsia="en-US"/>
              </w:rPr>
              <w:t>Հարկային</w:t>
            </w:r>
            <w:r w:rsidRPr="00324B27">
              <w:rPr>
                <w:b w:val="0"/>
                <w:sz w:val="18"/>
                <w:szCs w:val="18"/>
                <w:lang w:eastAsia="en-US"/>
              </w:rPr>
              <w:t xml:space="preserve"> </w:t>
            </w:r>
            <w:r w:rsidRPr="00324B27">
              <w:rPr>
                <w:b w:val="0"/>
                <w:sz w:val="18"/>
                <w:szCs w:val="18"/>
                <w:lang w:val="en-US" w:eastAsia="en-US"/>
              </w:rPr>
              <w:t>եկամուտների</w:t>
            </w:r>
            <w:r w:rsidRPr="00324B27">
              <w:rPr>
                <w:b w:val="0"/>
                <w:sz w:val="18"/>
                <w:szCs w:val="18"/>
                <w:lang w:eastAsia="en-US"/>
              </w:rPr>
              <w:t xml:space="preserve"> </w:t>
            </w:r>
            <w:r w:rsidRPr="00324B27">
              <w:rPr>
                <w:b w:val="0"/>
                <w:sz w:val="18"/>
                <w:szCs w:val="18"/>
                <w:lang w:val="en-US" w:eastAsia="en-US"/>
              </w:rPr>
              <w:t>վարչարարության</w:t>
            </w:r>
            <w:r w:rsidRPr="00324B27">
              <w:rPr>
                <w:b w:val="0"/>
                <w:sz w:val="18"/>
                <w:szCs w:val="18"/>
                <w:lang w:eastAsia="en-US"/>
              </w:rPr>
              <w:t xml:space="preserve"> </w:t>
            </w:r>
            <w:r w:rsidRPr="00324B27">
              <w:rPr>
                <w:b w:val="0"/>
                <w:sz w:val="18"/>
                <w:szCs w:val="18"/>
                <w:lang w:val="en-US" w:eastAsia="en-US"/>
              </w:rPr>
              <w:t>ռիսկ</w:t>
            </w:r>
            <w:r w:rsidRPr="00324B27">
              <w:rPr>
                <w:b w:val="0"/>
                <w:sz w:val="18"/>
                <w:szCs w:val="18"/>
                <w:lang w:eastAsia="en-US"/>
              </w:rPr>
              <w:t xml:space="preserve">, 0.5 </w:t>
            </w:r>
            <w:r w:rsidRPr="00324B27">
              <w:rPr>
                <w:b w:val="0"/>
                <w:sz w:val="18"/>
                <w:szCs w:val="18"/>
                <w:lang w:val="en-US" w:eastAsia="en-US"/>
              </w:rPr>
              <w:t>տոկոսային</w:t>
            </w:r>
            <w:r w:rsidRPr="00324B27">
              <w:rPr>
                <w:b w:val="0"/>
                <w:sz w:val="18"/>
                <w:szCs w:val="18"/>
                <w:lang w:eastAsia="en-US"/>
              </w:rPr>
              <w:t xml:space="preserve"> </w:t>
            </w:r>
            <w:r w:rsidRPr="00324B27">
              <w:rPr>
                <w:b w:val="0"/>
                <w:sz w:val="18"/>
                <w:szCs w:val="18"/>
                <w:lang w:val="en-US" w:eastAsia="en-US"/>
              </w:rPr>
              <w:t>կետ</w:t>
            </w:r>
          </w:p>
        </w:tc>
        <w:tc>
          <w:tcPr>
            <w:tcW w:w="2880" w:type="dxa"/>
            <w:shd w:val="clear" w:color="auto" w:fill="auto"/>
            <w:vAlign w:val="center"/>
            <w:hideMark/>
          </w:tcPr>
          <w:p w14:paraId="05532E9C" w14:textId="77777777" w:rsidR="00EB28B4" w:rsidRPr="00324B27" w:rsidRDefault="00EB28B4" w:rsidP="00D656FB">
            <w:pPr>
              <w:spacing w:before="0" w:line="240" w:lineRule="auto"/>
              <w:jc w:val="center"/>
              <w:rPr>
                <w:b w:val="0"/>
                <w:sz w:val="18"/>
                <w:szCs w:val="18"/>
                <w:lang w:val="en-US" w:eastAsia="en-US"/>
              </w:rPr>
            </w:pPr>
            <w:r w:rsidRPr="00324B27">
              <w:rPr>
                <w:b w:val="0"/>
                <w:sz w:val="18"/>
                <w:szCs w:val="18"/>
                <w:lang w:val="en-US" w:eastAsia="en-US"/>
              </w:rPr>
              <w:t>-52.5</w:t>
            </w:r>
          </w:p>
        </w:tc>
      </w:tr>
      <w:tr w:rsidR="00EB28B4" w:rsidRPr="00324B27" w14:paraId="5DB4A405" w14:textId="77777777" w:rsidTr="00D656FB">
        <w:trPr>
          <w:trHeight w:val="330"/>
        </w:trPr>
        <w:tc>
          <w:tcPr>
            <w:tcW w:w="5260" w:type="dxa"/>
            <w:shd w:val="clear" w:color="auto" w:fill="auto"/>
            <w:vAlign w:val="center"/>
            <w:hideMark/>
          </w:tcPr>
          <w:p w14:paraId="3BBB61DB" w14:textId="77777777" w:rsidR="00EB28B4" w:rsidRPr="00324B27" w:rsidRDefault="00EB28B4" w:rsidP="00D656FB">
            <w:pPr>
              <w:spacing w:before="0" w:line="240" w:lineRule="auto"/>
              <w:jc w:val="left"/>
              <w:rPr>
                <w:b w:val="0"/>
                <w:bCs/>
                <w:sz w:val="18"/>
                <w:szCs w:val="18"/>
                <w:lang w:val="en-US" w:eastAsia="en-US"/>
              </w:rPr>
            </w:pPr>
            <w:r w:rsidRPr="00324B27">
              <w:rPr>
                <w:b w:val="0"/>
                <w:bCs/>
                <w:sz w:val="18"/>
                <w:szCs w:val="18"/>
                <w:lang w:val="en-US" w:eastAsia="en-US"/>
              </w:rPr>
              <w:t>Ընդամենը</w:t>
            </w:r>
          </w:p>
        </w:tc>
        <w:tc>
          <w:tcPr>
            <w:tcW w:w="2880" w:type="dxa"/>
            <w:shd w:val="clear" w:color="auto" w:fill="auto"/>
            <w:vAlign w:val="center"/>
            <w:hideMark/>
          </w:tcPr>
          <w:p w14:paraId="1EA5E7A7" w14:textId="77777777" w:rsidR="00EB28B4" w:rsidRPr="00324B27" w:rsidRDefault="00EB28B4" w:rsidP="00D656FB">
            <w:pPr>
              <w:spacing w:before="0" w:line="240" w:lineRule="auto"/>
              <w:jc w:val="center"/>
              <w:rPr>
                <w:b w:val="0"/>
                <w:bCs/>
                <w:sz w:val="18"/>
                <w:szCs w:val="18"/>
                <w:lang w:val="en-US" w:eastAsia="en-US"/>
              </w:rPr>
            </w:pPr>
            <w:r w:rsidRPr="00324B27">
              <w:rPr>
                <w:b w:val="0"/>
                <w:bCs/>
                <w:sz w:val="18"/>
                <w:szCs w:val="18"/>
                <w:lang w:val="en-US" w:eastAsia="en-US"/>
              </w:rPr>
              <w:t>-85.</w:t>
            </w:r>
            <w:r w:rsidRPr="00324B27">
              <w:rPr>
                <w:b w:val="0"/>
                <w:bCs/>
                <w:sz w:val="18"/>
                <w:szCs w:val="18"/>
                <w:lang w:val="hy-AM" w:eastAsia="en-US"/>
              </w:rPr>
              <w:t>2</w:t>
            </w:r>
          </w:p>
        </w:tc>
      </w:tr>
    </w:tbl>
    <w:p w14:paraId="40115391" w14:textId="77777777" w:rsidR="00EB28B4" w:rsidRPr="007955BB" w:rsidRDefault="00EB28B4" w:rsidP="00EB28B4">
      <w:pPr>
        <w:rPr>
          <w:rFonts w:cs="Sylfaen"/>
          <w:b w:val="0"/>
          <w:lang w:val="hy-AM"/>
        </w:rPr>
      </w:pPr>
      <w:r w:rsidRPr="007955BB">
        <w:rPr>
          <w:rFonts w:cs="Sylfaen"/>
          <w:b w:val="0"/>
          <w:lang w:val="hy-AM"/>
        </w:rPr>
        <w:t>Աղյուսակ 2</w:t>
      </w:r>
      <w:r w:rsidRPr="004366AE">
        <w:rPr>
          <w:rFonts w:cs="Sylfaen"/>
          <w:b w:val="0"/>
          <w:lang w:val="hy-AM"/>
        </w:rPr>
        <w:t>.4</w:t>
      </w:r>
      <w:r w:rsidRPr="007955BB">
        <w:rPr>
          <w:rFonts w:cs="Sylfaen"/>
          <w:b w:val="0"/>
          <w:lang w:val="hy-AM"/>
        </w:rPr>
        <w:t xml:space="preserve">-ում ցույց են տրված գնահատված լրացուցիչ ռիսկերը, որոնք կհանգեցնեն լրացուցիչ ֆինանսավորման պահանջի առաջացման: Ակնհայտորեն երևում է, որ գնաճի </w:t>
      </w:r>
      <w:r w:rsidRPr="007955BB">
        <w:rPr>
          <w:rFonts w:cs="Sylfaen"/>
          <w:b w:val="0"/>
          <w:lang w:val="hy-AM"/>
        </w:rPr>
        <w:lastRenderedPageBreak/>
        <w:t xml:space="preserve">տատանումների հետևանքով կնվազի նախատեսված ֆինանսավորման պահանջը և համապատասխանաբար կփոփոխվեն նաև պետական բյուջեի ծախսերը` ավելացման ուղղությամբ: </w:t>
      </w:r>
    </w:p>
    <w:p w14:paraId="73BFAA6E" w14:textId="77777777" w:rsidR="00EB28B4" w:rsidRPr="007D050F" w:rsidRDefault="00EB28B4" w:rsidP="00EB28B4">
      <w:pPr>
        <w:rPr>
          <w:rFonts w:cs="Sylfaen"/>
          <w:b w:val="0"/>
          <w:lang w:val="hy-AM"/>
        </w:rPr>
      </w:pPr>
      <w:r w:rsidRPr="007955BB">
        <w:rPr>
          <w:rFonts w:cs="Sylfaen"/>
          <w:b w:val="0"/>
          <w:lang w:val="hy-AM"/>
        </w:rPr>
        <w:t xml:space="preserve">Հաշվի առնելով մակրոտնտեսական ցուցանիշների կանխատեսվող մակարդակից վերոնշյալ հնարավոր շեղումների ռիսկերի գնահատականները` ՀՀ պետական բյուջեի </w:t>
      </w:r>
      <w:r w:rsidRPr="007D050F">
        <w:rPr>
          <w:rFonts w:cs="Sylfaen"/>
          <w:b w:val="0"/>
          <w:lang w:val="hy-AM"/>
        </w:rPr>
        <w:t xml:space="preserve">եկամուտների հավաքագրման և ծախսերի կատարման տեսանկյունից 2023 </w:t>
      </w:r>
      <w:r w:rsidRPr="0036243E">
        <w:rPr>
          <w:rFonts w:cs="Sylfaen"/>
          <w:b w:val="0"/>
          <w:lang w:val="hy-AM"/>
        </w:rPr>
        <w:t>թվականին ՀՀ պետական բյուջեի դեֆիցիտի լրացուցիչ ֆինանսավորման պահանջը կկազմի շուրջ 85</w:t>
      </w:r>
      <w:r w:rsidRPr="00B20489">
        <w:rPr>
          <w:rFonts w:ascii="Cambria Math" w:hAnsi="Cambria Math" w:cs="Cambria Math"/>
          <w:b w:val="0"/>
          <w:lang w:val="hy-AM"/>
        </w:rPr>
        <w:t>․</w:t>
      </w:r>
      <w:r w:rsidRPr="00B20489">
        <w:rPr>
          <w:rFonts w:cs="Sylfaen"/>
          <w:b w:val="0"/>
          <w:lang w:val="hy-AM"/>
        </w:rPr>
        <w:t>2</w:t>
      </w:r>
      <w:r w:rsidRPr="0036243E">
        <w:rPr>
          <w:rFonts w:cs="Sylfaen"/>
          <w:b w:val="0"/>
          <w:lang w:val="hy-AM"/>
        </w:rPr>
        <w:t xml:space="preserve"> մլրդ</w:t>
      </w:r>
      <w:r w:rsidRPr="007D050F">
        <w:rPr>
          <w:rFonts w:cs="Sylfaen"/>
          <w:b w:val="0"/>
          <w:lang w:val="hy-AM"/>
        </w:rPr>
        <w:t xml:space="preserve"> ՀՀ դրամ կամ ՀՆԱ-ի 0.8%-ը: </w:t>
      </w:r>
    </w:p>
    <w:p w14:paraId="1AFA261D" w14:textId="058DA60C" w:rsidR="00EB28B4" w:rsidRDefault="00EB28B4" w:rsidP="00EB28B4">
      <w:pPr>
        <w:rPr>
          <w:b w:val="0"/>
          <w:bCs/>
          <w:lang w:val="hy-AM"/>
        </w:rPr>
      </w:pPr>
      <w:r w:rsidRPr="007D050F">
        <w:rPr>
          <w:rFonts w:cs="Sylfaen"/>
          <w:b w:val="0"/>
          <w:bCs/>
          <w:lang w:val="hy-AM"/>
        </w:rPr>
        <w:t xml:space="preserve">Ռիսկերի քանակական գնահատականների, ինչպես նաև բյուջեի ծախսային շրջանակի հնարավոր կարիքների հիման վրա ձևավորվել է պետական բյուջեի ընթացիկ ծախսերի կառուցվածքում ներառված պահուստային ֆոնդը` 60.6 մլրդ դրամ կամ ՀՆԱ 0.6%, որը </w:t>
      </w:r>
      <w:r w:rsidRPr="007D050F">
        <w:rPr>
          <w:b w:val="0"/>
          <w:bCs/>
          <w:lang w:val="hy-AM"/>
        </w:rPr>
        <w:t xml:space="preserve">գանձապետական միասնական հաշվի կայունացման ենթահաշվում ՀՆԱ նվազագույնը 1%-ի չափով միջոցների ապահովման հետ միասին կապահովի անհրաժեշտ հարկաբյուջետային «բարձիկների» առկայությունը՝ ռիսկերի նյութականացման պարագայում դրանց ազդեցությունները կլանելու նպատակով։ </w:t>
      </w:r>
    </w:p>
    <w:p w14:paraId="2627C898" w14:textId="77777777" w:rsidR="00EB28B4" w:rsidRPr="008A7062" w:rsidRDefault="00EB28B4" w:rsidP="00EB28B4">
      <w:pPr>
        <w:rPr>
          <w:lang w:val="hy-AM"/>
        </w:rPr>
      </w:pPr>
    </w:p>
    <w:p w14:paraId="772C7FE4" w14:textId="77777777" w:rsidR="00BE2F9F" w:rsidRPr="00290696" w:rsidRDefault="00BE2F9F" w:rsidP="0009272D">
      <w:pPr>
        <w:pStyle w:val="Heading1"/>
      </w:pPr>
      <w:bookmarkStart w:id="363" w:name="_Toc153184519"/>
      <w:r w:rsidRPr="00290696">
        <w:t>3. ԱՅԼ ԿԱՌՈՒՅՑՆԵՐԻ ԿՈՂՄԻՑ ՀՀ ՏՆՏԵՍԱԿԱՆ ԱՃԻ ԿԱՆԽԱՏԵՍՈՒՄՆԵՐԻ ՀԵՏ ՀԱՄԵՄԱՏԱԿԱՆ</w:t>
      </w:r>
      <w:bookmarkEnd w:id="351"/>
      <w:bookmarkEnd w:id="352"/>
      <w:bookmarkEnd w:id="363"/>
    </w:p>
    <w:p w14:paraId="418BFE08" w14:textId="77777777" w:rsidR="007840DE" w:rsidRPr="008B1046" w:rsidRDefault="007840DE" w:rsidP="007840DE">
      <w:pPr>
        <w:ind w:firstLine="357"/>
        <w:rPr>
          <w:rFonts w:cs="Sylfaen"/>
          <w:b w:val="0"/>
          <w:bCs/>
          <w:szCs w:val="22"/>
          <w:lang w:val="hy-AM"/>
        </w:rPr>
      </w:pPr>
      <w:r w:rsidRPr="008B1046">
        <w:rPr>
          <w:rFonts w:cs="Sylfaen"/>
          <w:bCs/>
          <w:szCs w:val="22"/>
          <w:u w:val="single"/>
          <w:lang w:val="hy-AM"/>
        </w:rPr>
        <w:t>Կանխատեսումներ։</w:t>
      </w:r>
      <w:r w:rsidRPr="008B1046">
        <w:rPr>
          <w:rFonts w:cs="Sylfaen"/>
          <w:bCs/>
          <w:szCs w:val="22"/>
          <w:lang w:val="hy-AM"/>
        </w:rPr>
        <w:t xml:space="preserve"> </w:t>
      </w:r>
      <w:r w:rsidRPr="008B1046">
        <w:rPr>
          <w:rFonts w:cs="Sylfaen"/>
          <w:b w:val="0"/>
          <w:bCs/>
          <w:szCs w:val="22"/>
          <w:lang w:val="hy-AM"/>
        </w:rPr>
        <w:t>Աղյուսակ 21-ում ներկայացված է ՀՀ ֆինանսների նախարարության և այլ կառույցների կողմից ՀՀ տնտեսական աճի 2023-2024թթ. կանխատեսումների համեմատականը: Նշված կառույցներից մի մասի կողմից 2023թ. ՀՀ տնտեսական աճի կանխատեսումները տարվա ընթացքում վերանայվել են աճի ուղղությամբ: Այսպես` ՀՀ կենտրոնական բանկը սեպտեմբեր ամսին վերանայել է իր կանխատեսումը դեպի վեր 0.3 տոկոսային կետով՝ սահմանելով 7.2%: Ֆիթչ վարկանիշային կազմակերպությունը 2023թ. ՀՆԱ կանխատեսվող ցուցանիշը սեպտեմբեր ամսին ևս բարձրացրել է 0.9 տոկոսային կետով՝ կանխատեսելով 7</w:t>
      </w:r>
      <w:r w:rsidRPr="008B1046">
        <w:rPr>
          <w:rFonts w:ascii="Cambria Math" w:hAnsi="Cambria Math" w:cs="Cambria Math"/>
          <w:b w:val="0"/>
          <w:bCs/>
          <w:szCs w:val="22"/>
          <w:lang w:val="hy-AM"/>
        </w:rPr>
        <w:t>․</w:t>
      </w:r>
      <w:r w:rsidRPr="008B1046">
        <w:rPr>
          <w:rFonts w:cs="Sylfaen"/>
          <w:b w:val="0"/>
          <w:bCs/>
          <w:szCs w:val="22"/>
          <w:lang w:val="hy-AM"/>
        </w:rPr>
        <w:t>2% տնտեսական աճ: 2022թ. ՀՀ տնտեսական աճի ավելի բարձր կանխատեսումները պայմանավորված են ՀՀ տնտեսության վերջին զարգացումներով:</w:t>
      </w:r>
    </w:p>
    <w:p w14:paraId="329D4077" w14:textId="2C29597E" w:rsidR="007840DE" w:rsidRPr="00C4330A" w:rsidRDefault="007840DE" w:rsidP="007840DE">
      <w:pPr>
        <w:pStyle w:val="Caption"/>
        <w:rPr>
          <w:rFonts w:cs="Sylfaen"/>
          <w:bCs w:val="0"/>
          <w:i/>
          <w:color w:val="auto"/>
          <w:sz w:val="22"/>
          <w:szCs w:val="22"/>
          <w:lang w:val="hy-AM"/>
        </w:rPr>
      </w:pPr>
      <w:bookmarkStart w:id="364" w:name="_Toc152324786"/>
      <w:r w:rsidRPr="00C4330A">
        <w:rPr>
          <w:b/>
          <w:color w:val="auto"/>
          <w:sz w:val="22"/>
          <w:szCs w:val="22"/>
          <w:lang w:val="hy-AM"/>
        </w:rPr>
        <w:t xml:space="preserve">Աղյուսակ </w:t>
      </w:r>
      <w:r w:rsidRPr="00C4330A">
        <w:rPr>
          <w:b/>
          <w:color w:val="auto"/>
          <w:sz w:val="22"/>
          <w:szCs w:val="22"/>
        </w:rPr>
        <w:fldChar w:fldCharType="begin"/>
      </w:r>
      <w:r w:rsidRPr="00C4330A">
        <w:rPr>
          <w:b/>
          <w:color w:val="auto"/>
          <w:sz w:val="22"/>
          <w:szCs w:val="22"/>
          <w:lang w:val="hy-AM"/>
        </w:rPr>
        <w:instrText xml:space="preserve"> SEQ Աղյուսակ \* ARABIC </w:instrText>
      </w:r>
      <w:r w:rsidRPr="00C4330A">
        <w:rPr>
          <w:b/>
          <w:color w:val="auto"/>
          <w:sz w:val="22"/>
          <w:szCs w:val="22"/>
        </w:rPr>
        <w:fldChar w:fldCharType="separate"/>
      </w:r>
      <w:r w:rsidR="00DB4E68">
        <w:rPr>
          <w:b/>
          <w:noProof/>
          <w:color w:val="auto"/>
          <w:sz w:val="22"/>
          <w:szCs w:val="22"/>
          <w:lang w:val="hy-AM"/>
        </w:rPr>
        <w:t>24</w:t>
      </w:r>
      <w:r w:rsidRPr="00C4330A">
        <w:rPr>
          <w:b/>
          <w:color w:val="auto"/>
          <w:sz w:val="22"/>
          <w:szCs w:val="22"/>
        </w:rPr>
        <w:fldChar w:fldCharType="end"/>
      </w:r>
      <w:r w:rsidRPr="00C4330A">
        <w:rPr>
          <w:b/>
          <w:color w:val="auto"/>
          <w:sz w:val="22"/>
          <w:szCs w:val="22"/>
          <w:lang w:val="hy-AM"/>
        </w:rPr>
        <w:t>.</w:t>
      </w:r>
      <w:r w:rsidRPr="00C4330A">
        <w:rPr>
          <w:color w:val="auto"/>
          <w:sz w:val="22"/>
          <w:szCs w:val="22"/>
          <w:lang w:val="hy-AM"/>
        </w:rPr>
        <w:t xml:space="preserve"> </w:t>
      </w:r>
      <w:r w:rsidRPr="007840DE">
        <w:rPr>
          <w:rFonts w:eastAsia="Calibri"/>
          <w:i/>
          <w:color w:val="auto"/>
          <w:sz w:val="20"/>
          <w:szCs w:val="20"/>
          <w:lang w:val="hy-AM" w:eastAsia="en-US"/>
        </w:rPr>
        <w:t>ՀՀ ՖՆ և այլ կառույցների կողմից ՀՀ տնտեսական աճի կանխատեսումները (%)</w:t>
      </w:r>
      <w:bookmarkEnd w:id="364"/>
    </w:p>
    <w:tbl>
      <w:tblPr>
        <w:tblW w:w="9506" w:type="dxa"/>
        <w:jc w:val="center"/>
        <w:tblBorders>
          <w:bottom w:val="single" w:sz="4" w:space="0" w:color="auto"/>
        </w:tblBorders>
        <w:tblLook w:val="04A0" w:firstRow="1" w:lastRow="0" w:firstColumn="1" w:lastColumn="0" w:noHBand="0" w:noVBand="1"/>
      </w:tblPr>
      <w:tblGrid>
        <w:gridCol w:w="6377"/>
        <w:gridCol w:w="1549"/>
        <w:gridCol w:w="1580"/>
      </w:tblGrid>
      <w:tr w:rsidR="007840DE" w:rsidRPr="00324B27" w14:paraId="0D226F9A" w14:textId="77777777" w:rsidTr="007840DE">
        <w:trPr>
          <w:trHeight w:val="198"/>
          <w:jc w:val="center"/>
        </w:trPr>
        <w:tc>
          <w:tcPr>
            <w:tcW w:w="6377" w:type="dxa"/>
            <w:tcBorders>
              <w:bottom w:val="single" w:sz="4" w:space="0" w:color="auto"/>
            </w:tcBorders>
            <w:shd w:val="clear" w:color="auto" w:fill="auto"/>
            <w:noWrap/>
            <w:vAlign w:val="center"/>
          </w:tcPr>
          <w:p w14:paraId="55BEDA9D" w14:textId="77777777" w:rsidR="007840DE" w:rsidRPr="00324B27" w:rsidRDefault="007840DE" w:rsidP="007840DE">
            <w:pPr>
              <w:spacing w:before="40" w:after="60" w:line="240" w:lineRule="auto"/>
              <w:ind w:right="111"/>
              <w:jc w:val="left"/>
              <w:rPr>
                <w:rFonts w:cs="Calibri"/>
                <w:color w:val="000000"/>
                <w:sz w:val="18"/>
                <w:szCs w:val="18"/>
                <w:lang w:val="hy-AM" w:eastAsia="en-US"/>
              </w:rPr>
            </w:pPr>
          </w:p>
        </w:tc>
        <w:tc>
          <w:tcPr>
            <w:tcW w:w="1549" w:type="dxa"/>
            <w:tcBorders>
              <w:bottom w:val="single" w:sz="4" w:space="0" w:color="auto"/>
            </w:tcBorders>
            <w:shd w:val="clear" w:color="auto" w:fill="auto"/>
            <w:noWrap/>
            <w:vAlign w:val="bottom"/>
            <w:hideMark/>
          </w:tcPr>
          <w:p w14:paraId="15D59A85" w14:textId="77777777" w:rsidR="007840DE" w:rsidRPr="00324B27" w:rsidRDefault="007840DE" w:rsidP="007840DE">
            <w:pPr>
              <w:spacing w:before="40" w:after="60" w:line="240" w:lineRule="auto"/>
              <w:ind w:right="111"/>
              <w:jc w:val="center"/>
              <w:rPr>
                <w:rFonts w:cs="Calibri"/>
                <w:b w:val="0"/>
                <w:bCs/>
                <w:color w:val="000000"/>
                <w:sz w:val="18"/>
                <w:szCs w:val="18"/>
                <w:lang w:val="en-US" w:eastAsia="en-US"/>
              </w:rPr>
            </w:pPr>
            <w:r w:rsidRPr="00324B27">
              <w:rPr>
                <w:rFonts w:cs="Calibri"/>
                <w:b w:val="0"/>
                <w:bCs/>
                <w:color w:val="000000"/>
                <w:sz w:val="18"/>
                <w:szCs w:val="18"/>
                <w:lang w:val="hy-AM" w:eastAsia="en-US"/>
              </w:rPr>
              <w:t>202</w:t>
            </w:r>
            <w:r w:rsidRPr="00324B27">
              <w:rPr>
                <w:rFonts w:cs="Calibri"/>
                <w:b w:val="0"/>
                <w:bCs/>
                <w:color w:val="000000"/>
                <w:sz w:val="18"/>
                <w:szCs w:val="18"/>
                <w:lang w:val="en-US" w:eastAsia="en-US"/>
              </w:rPr>
              <w:t>3</w:t>
            </w:r>
          </w:p>
        </w:tc>
        <w:tc>
          <w:tcPr>
            <w:tcW w:w="1580" w:type="dxa"/>
            <w:tcBorders>
              <w:bottom w:val="single" w:sz="4" w:space="0" w:color="auto"/>
            </w:tcBorders>
            <w:shd w:val="clear" w:color="auto" w:fill="auto"/>
            <w:noWrap/>
            <w:vAlign w:val="center"/>
            <w:hideMark/>
          </w:tcPr>
          <w:p w14:paraId="3E959FDB" w14:textId="77777777" w:rsidR="007840DE" w:rsidRPr="00324B27" w:rsidRDefault="007840DE" w:rsidP="007840DE">
            <w:pPr>
              <w:spacing w:before="40" w:after="60" w:line="240" w:lineRule="auto"/>
              <w:ind w:right="111"/>
              <w:jc w:val="center"/>
              <w:rPr>
                <w:rFonts w:cs="Calibri"/>
                <w:b w:val="0"/>
                <w:bCs/>
                <w:color w:val="000000"/>
                <w:sz w:val="18"/>
                <w:szCs w:val="18"/>
                <w:lang w:val="en-US" w:eastAsia="en-US"/>
              </w:rPr>
            </w:pPr>
            <w:r w:rsidRPr="00324B27">
              <w:rPr>
                <w:rFonts w:cs="Calibri"/>
                <w:b w:val="0"/>
                <w:bCs/>
                <w:color w:val="000000"/>
                <w:sz w:val="18"/>
                <w:szCs w:val="18"/>
                <w:lang w:val="hy-AM" w:eastAsia="en-US"/>
              </w:rPr>
              <w:t>202</w:t>
            </w:r>
            <w:r w:rsidRPr="00324B27">
              <w:rPr>
                <w:rFonts w:cs="Calibri"/>
                <w:b w:val="0"/>
                <w:bCs/>
                <w:color w:val="000000"/>
                <w:sz w:val="18"/>
                <w:szCs w:val="18"/>
                <w:lang w:val="en-US" w:eastAsia="en-US"/>
              </w:rPr>
              <w:t>4</w:t>
            </w:r>
          </w:p>
        </w:tc>
      </w:tr>
      <w:tr w:rsidR="007840DE" w:rsidRPr="00324B27" w14:paraId="2DABCFBF" w14:textId="77777777" w:rsidTr="007840DE">
        <w:trPr>
          <w:trHeight w:val="440"/>
          <w:jc w:val="center"/>
        </w:trPr>
        <w:tc>
          <w:tcPr>
            <w:tcW w:w="6377" w:type="dxa"/>
            <w:tcBorders>
              <w:top w:val="single" w:sz="4" w:space="0" w:color="auto"/>
              <w:bottom w:val="nil"/>
            </w:tcBorders>
            <w:shd w:val="clear" w:color="auto" w:fill="auto"/>
            <w:noWrap/>
            <w:vAlign w:val="center"/>
            <w:hideMark/>
          </w:tcPr>
          <w:p w14:paraId="7D200EA7" w14:textId="77777777" w:rsidR="007840DE" w:rsidRPr="00324B27" w:rsidRDefault="007840DE" w:rsidP="007840DE">
            <w:pPr>
              <w:spacing w:before="0" w:line="240" w:lineRule="auto"/>
              <w:ind w:right="111"/>
              <w:jc w:val="left"/>
              <w:rPr>
                <w:rFonts w:cs="Calibri"/>
                <w:color w:val="000000"/>
                <w:sz w:val="18"/>
                <w:szCs w:val="18"/>
                <w:lang w:val="hy-AM" w:eastAsia="en-US"/>
              </w:rPr>
            </w:pPr>
            <w:r w:rsidRPr="00324B27">
              <w:rPr>
                <w:rFonts w:cs="Calibri"/>
                <w:b w:val="0"/>
                <w:color w:val="000000"/>
                <w:sz w:val="18"/>
                <w:szCs w:val="18"/>
                <w:lang w:val="hy-AM" w:eastAsia="en-US"/>
              </w:rPr>
              <w:t>ՀՀ ֆինանսների նախարարություն</w:t>
            </w:r>
            <w:r w:rsidRPr="00324B27">
              <w:rPr>
                <w:rFonts w:cs="Calibri"/>
                <w:b w:val="0"/>
                <w:color w:val="000000"/>
                <w:sz w:val="18"/>
                <w:szCs w:val="18"/>
                <w:lang w:val="en-US" w:eastAsia="en-US"/>
              </w:rPr>
              <w:t xml:space="preserve"> (2023 </w:t>
            </w:r>
            <w:r w:rsidRPr="00324B27">
              <w:rPr>
                <w:rFonts w:cs="Calibri"/>
                <w:b w:val="0"/>
                <w:color w:val="000000"/>
                <w:sz w:val="18"/>
                <w:szCs w:val="18"/>
                <w:lang w:val="hy-AM" w:eastAsia="en-US"/>
              </w:rPr>
              <w:t>սեպտեմբեր</w:t>
            </w:r>
            <w:r w:rsidRPr="00324B27">
              <w:rPr>
                <w:rFonts w:cs="Calibri"/>
                <w:b w:val="0"/>
                <w:color w:val="000000"/>
                <w:sz w:val="18"/>
                <w:szCs w:val="18"/>
                <w:lang w:val="en-US" w:eastAsia="en-US"/>
              </w:rPr>
              <w:t>)</w:t>
            </w:r>
          </w:p>
        </w:tc>
        <w:tc>
          <w:tcPr>
            <w:tcW w:w="1549" w:type="dxa"/>
            <w:tcBorders>
              <w:top w:val="single" w:sz="4" w:space="0" w:color="auto"/>
              <w:bottom w:val="nil"/>
            </w:tcBorders>
            <w:shd w:val="clear" w:color="auto" w:fill="auto"/>
            <w:noWrap/>
            <w:vAlign w:val="center"/>
          </w:tcPr>
          <w:p w14:paraId="51DF2736" w14:textId="77777777" w:rsidR="007840DE" w:rsidRPr="00324B27" w:rsidRDefault="007840DE" w:rsidP="007840DE">
            <w:pPr>
              <w:spacing w:before="0" w:line="240" w:lineRule="auto"/>
              <w:ind w:right="111"/>
              <w:jc w:val="center"/>
              <w:rPr>
                <w:rFonts w:cs="Calibri"/>
                <w:color w:val="000000"/>
                <w:sz w:val="18"/>
                <w:szCs w:val="18"/>
                <w:lang w:val="hy-AM" w:eastAsia="en-US"/>
              </w:rPr>
            </w:pPr>
            <w:r w:rsidRPr="00324B27">
              <w:rPr>
                <w:rFonts w:cs="Calibri"/>
                <w:b w:val="0"/>
                <w:color w:val="000000"/>
                <w:sz w:val="18"/>
                <w:szCs w:val="18"/>
                <w:lang w:val="en-GB" w:eastAsia="en-US"/>
              </w:rPr>
              <w:t>7</w:t>
            </w:r>
            <w:r w:rsidRPr="00324B27">
              <w:rPr>
                <w:rFonts w:cs="Calibri"/>
                <w:b w:val="0"/>
                <w:color w:val="000000"/>
                <w:sz w:val="18"/>
                <w:szCs w:val="18"/>
                <w:lang w:val="hy-AM" w:eastAsia="en-US"/>
              </w:rPr>
              <w:t>.</w:t>
            </w:r>
            <w:r w:rsidRPr="00324B27">
              <w:rPr>
                <w:rFonts w:cs="Calibri"/>
                <w:b w:val="0"/>
                <w:color w:val="000000"/>
                <w:sz w:val="18"/>
                <w:szCs w:val="18"/>
                <w:lang w:val="en-GB" w:eastAsia="en-US"/>
              </w:rPr>
              <w:t>2</w:t>
            </w:r>
          </w:p>
        </w:tc>
        <w:tc>
          <w:tcPr>
            <w:tcW w:w="1580" w:type="dxa"/>
            <w:tcBorders>
              <w:top w:val="single" w:sz="4" w:space="0" w:color="auto"/>
              <w:bottom w:val="nil"/>
            </w:tcBorders>
            <w:shd w:val="clear" w:color="auto" w:fill="auto"/>
            <w:noWrap/>
            <w:vAlign w:val="center"/>
          </w:tcPr>
          <w:p w14:paraId="78F016E9" w14:textId="77777777" w:rsidR="007840DE" w:rsidRPr="00324B27" w:rsidRDefault="007840DE" w:rsidP="007840DE">
            <w:pPr>
              <w:spacing w:before="0" w:line="240" w:lineRule="auto"/>
              <w:ind w:right="111"/>
              <w:jc w:val="center"/>
              <w:rPr>
                <w:rFonts w:cs="Calibri"/>
                <w:color w:val="000000"/>
                <w:sz w:val="18"/>
                <w:szCs w:val="18"/>
                <w:lang w:val="en-US" w:eastAsia="en-US"/>
              </w:rPr>
            </w:pPr>
            <w:r w:rsidRPr="00324B27">
              <w:rPr>
                <w:rFonts w:cs="Calibri"/>
                <w:b w:val="0"/>
                <w:color w:val="000000"/>
                <w:sz w:val="18"/>
                <w:szCs w:val="18"/>
                <w:lang w:val="en-US" w:eastAsia="en-US"/>
              </w:rPr>
              <w:t>7</w:t>
            </w:r>
            <w:r w:rsidRPr="00324B27">
              <w:rPr>
                <w:rFonts w:cs="Calibri"/>
                <w:b w:val="0"/>
                <w:color w:val="000000"/>
                <w:sz w:val="18"/>
                <w:szCs w:val="18"/>
                <w:lang w:val="hy-AM" w:eastAsia="en-US"/>
              </w:rPr>
              <w:t>.</w:t>
            </w:r>
            <w:r w:rsidRPr="00324B27">
              <w:rPr>
                <w:rFonts w:cs="Calibri"/>
                <w:b w:val="0"/>
                <w:color w:val="000000"/>
                <w:sz w:val="18"/>
                <w:szCs w:val="18"/>
                <w:lang w:val="en-US" w:eastAsia="en-US"/>
              </w:rPr>
              <w:t>0</w:t>
            </w:r>
          </w:p>
        </w:tc>
      </w:tr>
      <w:tr w:rsidR="007840DE" w:rsidRPr="00324B27" w14:paraId="4782E23F" w14:textId="77777777" w:rsidTr="00D656FB">
        <w:trPr>
          <w:trHeight w:val="251"/>
          <w:jc w:val="center"/>
        </w:trPr>
        <w:tc>
          <w:tcPr>
            <w:tcW w:w="6377" w:type="dxa"/>
            <w:tcBorders>
              <w:bottom w:val="single" w:sz="4" w:space="0" w:color="auto"/>
            </w:tcBorders>
            <w:shd w:val="clear" w:color="auto" w:fill="auto"/>
            <w:noWrap/>
            <w:vAlign w:val="center"/>
          </w:tcPr>
          <w:p w14:paraId="334DA9D4" w14:textId="77777777" w:rsidR="007840DE" w:rsidRPr="00324B27" w:rsidRDefault="007840DE" w:rsidP="007840DE">
            <w:pPr>
              <w:spacing w:before="0" w:line="240" w:lineRule="auto"/>
              <w:ind w:right="111"/>
              <w:jc w:val="left"/>
              <w:rPr>
                <w:rFonts w:cs="Calibri"/>
                <w:color w:val="000000"/>
                <w:sz w:val="18"/>
                <w:szCs w:val="18"/>
                <w:lang w:val="hy-AM" w:eastAsia="en-US"/>
              </w:rPr>
            </w:pPr>
            <w:r w:rsidRPr="00324B27">
              <w:rPr>
                <w:rFonts w:cs="Calibri"/>
                <w:b w:val="0"/>
                <w:color w:val="000000"/>
                <w:sz w:val="18"/>
                <w:szCs w:val="18"/>
                <w:lang w:val="hy-AM" w:eastAsia="en-US"/>
              </w:rPr>
              <w:t>ՀՀ ֆինանսների նախարարություն (202</w:t>
            </w:r>
            <w:r w:rsidRPr="00324B27">
              <w:rPr>
                <w:rFonts w:cs="Calibri"/>
                <w:b w:val="0"/>
                <w:color w:val="000000"/>
                <w:sz w:val="18"/>
                <w:szCs w:val="18"/>
                <w:lang w:val="en-US" w:eastAsia="en-US"/>
              </w:rPr>
              <w:t>3</w:t>
            </w:r>
            <w:r w:rsidRPr="00324B27">
              <w:rPr>
                <w:rFonts w:cs="Calibri"/>
                <w:b w:val="0"/>
                <w:color w:val="000000"/>
                <w:sz w:val="18"/>
                <w:szCs w:val="18"/>
                <w:lang w:val="hy-AM" w:eastAsia="en-US"/>
              </w:rPr>
              <w:t xml:space="preserve"> </w:t>
            </w:r>
            <w:r w:rsidRPr="00324B27">
              <w:rPr>
                <w:rFonts w:cs="Calibri"/>
                <w:b w:val="0"/>
                <w:color w:val="000000"/>
                <w:sz w:val="18"/>
                <w:szCs w:val="18"/>
                <w:lang w:val="en-US" w:eastAsia="en-US"/>
              </w:rPr>
              <w:t>հուլիս</w:t>
            </w:r>
            <w:r w:rsidRPr="00324B27">
              <w:rPr>
                <w:rFonts w:cs="Calibri"/>
                <w:b w:val="0"/>
                <w:color w:val="000000"/>
                <w:sz w:val="18"/>
                <w:szCs w:val="18"/>
                <w:lang w:val="hy-AM" w:eastAsia="en-US"/>
              </w:rPr>
              <w:t>)</w:t>
            </w:r>
          </w:p>
        </w:tc>
        <w:tc>
          <w:tcPr>
            <w:tcW w:w="1549" w:type="dxa"/>
            <w:tcBorders>
              <w:bottom w:val="single" w:sz="4" w:space="0" w:color="auto"/>
            </w:tcBorders>
            <w:shd w:val="clear" w:color="auto" w:fill="auto"/>
            <w:noWrap/>
            <w:vAlign w:val="center"/>
          </w:tcPr>
          <w:p w14:paraId="457902E1" w14:textId="77777777" w:rsidR="007840DE" w:rsidRPr="00324B27" w:rsidRDefault="007840DE" w:rsidP="007840DE">
            <w:pPr>
              <w:spacing w:before="0" w:line="240" w:lineRule="auto"/>
              <w:ind w:right="111"/>
              <w:jc w:val="center"/>
              <w:rPr>
                <w:rFonts w:cs="Calibri"/>
                <w:color w:val="000000"/>
                <w:sz w:val="18"/>
                <w:szCs w:val="18"/>
                <w:lang w:val="en-US" w:eastAsia="en-US"/>
              </w:rPr>
            </w:pPr>
            <w:r w:rsidRPr="00324B27">
              <w:rPr>
                <w:rFonts w:cs="Calibri"/>
                <w:b w:val="0"/>
                <w:color w:val="000000"/>
                <w:sz w:val="18"/>
                <w:szCs w:val="18"/>
                <w:lang w:val="en-US" w:eastAsia="en-US"/>
              </w:rPr>
              <w:t>7.0</w:t>
            </w:r>
          </w:p>
        </w:tc>
        <w:tc>
          <w:tcPr>
            <w:tcW w:w="1580" w:type="dxa"/>
            <w:tcBorders>
              <w:bottom w:val="single" w:sz="4" w:space="0" w:color="auto"/>
            </w:tcBorders>
            <w:shd w:val="clear" w:color="auto" w:fill="auto"/>
            <w:noWrap/>
            <w:vAlign w:val="center"/>
          </w:tcPr>
          <w:p w14:paraId="4E705BE9" w14:textId="77777777" w:rsidR="007840DE" w:rsidRPr="00324B27" w:rsidRDefault="007840DE" w:rsidP="007840DE">
            <w:pPr>
              <w:spacing w:before="0" w:line="240" w:lineRule="auto"/>
              <w:ind w:right="111"/>
              <w:jc w:val="center"/>
              <w:rPr>
                <w:rFonts w:cs="Calibri"/>
                <w:color w:val="000000"/>
                <w:sz w:val="18"/>
                <w:szCs w:val="18"/>
                <w:lang w:val="en-US" w:eastAsia="en-US"/>
              </w:rPr>
            </w:pPr>
            <w:r w:rsidRPr="00324B27">
              <w:rPr>
                <w:rFonts w:cs="Calibri"/>
                <w:b w:val="0"/>
                <w:color w:val="000000"/>
                <w:sz w:val="18"/>
                <w:szCs w:val="18"/>
                <w:lang w:val="en-US" w:eastAsia="en-US"/>
              </w:rPr>
              <w:t>7.0</w:t>
            </w:r>
          </w:p>
        </w:tc>
      </w:tr>
      <w:tr w:rsidR="007840DE" w:rsidRPr="00324B27" w14:paraId="0C7FADA1" w14:textId="77777777" w:rsidTr="007840DE">
        <w:trPr>
          <w:trHeight w:val="152"/>
          <w:jc w:val="center"/>
        </w:trPr>
        <w:tc>
          <w:tcPr>
            <w:tcW w:w="6377" w:type="dxa"/>
            <w:tcBorders>
              <w:top w:val="single" w:sz="4" w:space="0" w:color="auto"/>
            </w:tcBorders>
            <w:shd w:val="clear" w:color="auto" w:fill="auto"/>
            <w:noWrap/>
            <w:vAlign w:val="center"/>
          </w:tcPr>
          <w:p w14:paraId="032E543F" w14:textId="77777777" w:rsidR="007840DE" w:rsidRPr="00324B27" w:rsidRDefault="007840DE" w:rsidP="007840DE">
            <w:pPr>
              <w:spacing w:before="0" w:line="240" w:lineRule="auto"/>
              <w:ind w:right="115"/>
              <w:jc w:val="left"/>
              <w:rPr>
                <w:rFonts w:cs="Calibri"/>
                <w:color w:val="000000"/>
                <w:sz w:val="18"/>
                <w:szCs w:val="18"/>
                <w:lang w:val="hy-AM" w:eastAsia="en-US"/>
              </w:rPr>
            </w:pPr>
          </w:p>
        </w:tc>
        <w:tc>
          <w:tcPr>
            <w:tcW w:w="1549" w:type="dxa"/>
            <w:tcBorders>
              <w:top w:val="single" w:sz="4" w:space="0" w:color="auto"/>
            </w:tcBorders>
            <w:shd w:val="clear" w:color="auto" w:fill="auto"/>
            <w:noWrap/>
            <w:vAlign w:val="center"/>
          </w:tcPr>
          <w:p w14:paraId="2362A1B2" w14:textId="77777777" w:rsidR="007840DE" w:rsidRPr="00324B27" w:rsidRDefault="007840DE" w:rsidP="007840DE">
            <w:pPr>
              <w:spacing w:before="0" w:line="240" w:lineRule="auto"/>
              <w:ind w:right="111"/>
              <w:jc w:val="center"/>
              <w:rPr>
                <w:rFonts w:cs="Calibri"/>
                <w:color w:val="000000"/>
                <w:sz w:val="18"/>
                <w:szCs w:val="18"/>
                <w:lang w:val="en-US" w:eastAsia="en-US"/>
              </w:rPr>
            </w:pPr>
          </w:p>
        </w:tc>
        <w:tc>
          <w:tcPr>
            <w:tcW w:w="1580" w:type="dxa"/>
            <w:tcBorders>
              <w:top w:val="single" w:sz="4" w:space="0" w:color="auto"/>
            </w:tcBorders>
            <w:shd w:val="clear" w:color="auto" w:fill="auto"/>
            <w:noWrap/>
            <w:vAlign w:val="center"/>
          </w:tcPr>
          <w:p w14:paraId="19E1F4F9" w14:textId="77777777" w:rsidR="007840DE" w:rsidRPr="00324B27" w:rsidRDefault="007840DE" w:rsidP="007840DE">
            <w:pPr>
              <w:spacing w:before="0" w:line="240" w:lineRule="auto"/>
              <w:ind w:right="111"/>
              <w:jc w:val="center"/>
              <w:rPr>
                <w:rFonts w:cs="Calibri"/>
                <w:color w:val="000000"/>
                <w:sz w:val="18"/>
                <w:szCs w:val="18"/>
                <w:lang w:val="en-US" w:eastAsia="en-US"/>
              </w:rPr>
            </w:pPr>
          </w:p>
        </w:tc>
      </w:tr>
      <w:tr w:rsidR="007840DE" w:rsidRPr="00324B27" w14:paraId="063D81DE" w14:textId="77777777" w:rsidTr="00D656FB">
        <w:trPr>
          <w:trHeight w:val="372"/>
          <w:jc w:val="center"/>
        </w:trPr>
        <w:tc>
          <w:tcPr>
            <w:tcW w:w="6377" w:type="dxa"/>
            <w:tcBorders>
              <w:bottom w:val="nil"/>
            </w:tcBorders>
            <w:shd w:val="clear" w:color="auto" w:fill="auto"/>
            <w:noWrap/>
            <w:vAlign w:val="center"/>
          </w:tcPr>
          <w:p w14:paraId="1934C3AC" w14:textId="77777777" w:rsidR="007840DE" w:rsidRPr="00324B27" w:rsidRDefault="007840DE" w:rsidP="007840DE">
            <w:pPr>
              <w:spacing w:before="0" w:line="240" w:lineRule="auto"/>
              <w:ind w:right="111"/>
              <w:jc w:val="left"/>
              <w:rPr>
                <w:rFonts w:cs="Calibri"/>
                <w:b w:val="0"/>
                <w:color w:val="000000"/>
                <w:sz w:val="18"/>
                <w:szCs w:val="18"/>
                <w:lang w:val="hy-AM" w:eastAsia="en-US"/>
              </w:rPr>
            </w:pPr>
            <w:r w:rsidRPr="00324B27">
              <w:rPr>
                <w:rFonts w:cs="Calibri"/>
                <w:b w:val="0"/>
                <w:color w:val="000000"/>
                <w:sz w:val="18"/>
                <w:szCs w:val="18"/>
                <w:lang w:val="hy-AM" w:eastAsia="en-US"/>
              </w:rPr>
              <w:t>ՀՀ կենտրոնական բանկ (202</w:t>
            </w:r>
            <w:r w:rsidRPr="00324B27">
              <w:rPr>
                <w:rFonts w:cs="Calibri"/>
                <w:b w:val="0"/>
                <w:color w:val="000000"/>
                <w:sz w:val="18"/>
                <w:szCs w:val="18"/>
                <w:lang w:val="en-US" w:eastAsia="en-US"/>
              </w:rPr>
              <w:t>3</w:t>
            </w:r>
            <w:r w:rsidRPr="00324B27">
              <w:rPr>
                <w:rFonts w:cs="Calibri"/>
                <w:b w:val="0"/>
                <w:color w:val="000000"/>
                <w:sz w:val="18"/>
                <w:szCs w:val="18"/>
                <w:lang w:val="hy-AM" w:eastAsia="en-US"/>
              </w:rPr>
              <w:t xml:space="preserve"> սեպտեմբեր)</w:t>
            </w:r>
          </w:p>
        </w:tc>
        <w:tc>
          <w:tcPr>
            <w:tcW w:w="1549" w:type="dxa"/>
            <w:tcBorders>
              <w:bottom w:val="nil"/>
            </w:tcBorders>
            <w:shd w:val="clear" w:color="auto" w:fill="auto"/>
            <w:noWrap/>
            <w:vAlign w:val="center"/>
          </w:tcPr>
          <w:p w14:paraId="18434A38" w14:textId="77777777" w:rsidR="007840DE" w:rsidRPr="00324B27" w:rsidRDefault="007840DE" w:rsidP="007840DE">
            <w:pPr>
              <w:spacing w:before="0" w:line="240" w:lineRule="auto"/>
              <w:ind w:right="111"/>
              <w:jc w:val="center"/>
              <w:rPr>
                <w:rFonts w:cs="Calibri"/>
                <w:b w:val="0"/>
                <w:color w:val="000000"/>
                <w:sz w:val="18"/>
                <w:szCs w:val="18"/>
                <w:lang w:val="hy-AM" w:eastAsia="en-US"/>
              </w:rPr>
            </w:pPr>
            <w:r w:rsidRPr="00324B27">
              <w:rPr>
                <w:rFonts w:cs="Calibri"/>
                <w:b w:val="0"/>
                <w:color w:val="000000"/>
                <w:sz w:val="18"/>
                <w:szCs w:val="18"/>
                <w:lang w:val="hy-AM" w:eastAsia="en-US"/>
              </w:rPr>
              <w:t>7.2</w:t>
            </w:r>
          </w:p>
        </w:tc>
        <w:tc>
          <w:tcPr>
            <w:tcW w:w="1580" w:type="dxa"/>
            <w:tcBorders>
              <w:bottom w:val="nil"/>
            </w:tcBorders>
            <w:shd w:val="clear" w:color="auto" w:fill="auto"/>
            <w:noWrap/>
            <w:vAlign w:val="center"/>
          </w:tcPr>
          <w:p w14:paraId="68830AAD" w14:textId="77777777" w:rsidR="007840DE" w:rsidRPr="00324B27" w:rsidRDefault="007840DE" w:rsidP="007840DE">
            <w:pPr>
              <w:spacing w:before="0" w:line="240" w:lineRule="auto"/>
              <w:ind w:right="111"/>
              <w:jc w:val="center"/>
              <w:rPr>
                <w:rFonts w:cs="Calibri"/>
                <w:b w:val="0"/>
                <w:color w:val="000000"/>
                <w:sz w:val="18"/>
                <w:szCs w:val="18"/>
                <w:lang w:val="hy-AM" w:eastAsia="en-US"/>
              </w:rPr>
            </w:pPr>
            <w:r w:rsidRPr="00324B27">
              <w:rPr>
                <w:rFonts w:cs="Calibri"/>
                <w:b w:val="0"/>
                <w:color w:val="000000"/>
                <w:sz w:val="18"/>
                <w:szCs w:val="18"/>
                <w:lang w:val="hy-AM" w:eastAsia="en-US"/>
              </w:rPr>
              <w:t>-</w:t>
            </w:r>
          </w:p>
        </w:tc>
      </w:tr>
      <w:tr w:rsidR="007840DE" w:rsidRPr="00324B27" w14:paraId="0EB04DD6" w14:textId="77777777" w:rsidTr="007840DE">
        <w:trPr>
          <w:trHeight w:val="80"/>
          <w:jc w:val="center"/>
        </w:trPr>
        <w:tc>
          <w:tcPr>
            <w:tcW w:w="6377" w:type="dxa"/>
            <w:tcBorders>
              <w:bottom w:val="single" w:sz="4" w:space="0" w:color="auto"/>
            </w:tcBorders>
            <w:shd w:val="clear" w:color="auto" w:fill="auto"/>
            <w:noWrap/>
            <w:vAlign w:val="center"/>
          </w:tcPr>
          <w:p w14:paraId="00ABCE29" w14:textId="77777777" w:rsidR="007840DE" w:rsidRPr="00324B27" w:rsidRDefault="007840DE" w:rsidP="007840DE">
            <w:pPr>
              <w:spacing w:before="0" w:line="240" w:lineRule="auto"/>
              <w:ind w:right="111"/>
              <w:jc w:val="left"/>
              <w:rPr>
                <w:rFonts w:cs="Calibri"/>
                <w:color w:val="000000"/>
                <w:sz w:val="18"/>
                <w:szCs w:val="18"/>
                <w:lang w:val="hy-AM" w:eastAsia="en-US"/>
              </w:rPr>
            </w:pPr>
            <w:r w:rsidRPr="00324B27">
              <w:rPr>
                <w:rFonts w:cs="Calibri"/>
                <w:b w:val="0"/>
                <w:color w:val="000000"/>
                <w:sz w:val="18"/>
                <w:szCs w:val="18"/>
                <w:lang w:val="hy-AM" w:eastAsia="en-US"/>
              </w:rPr>
              <w:t>ՀՀ կենտրոնական բանկ (202</w:t>
            </w:r>
            <w:r w:rsidRPr="00324B27">
              <w:rPr>
                <w:rFonts w:cs="Calibri"/>
                <w:b w:val="0"/>
                <w:color w:val="000000"/>
                <w:sz w:val="18"/>
                <w:szCs w:val="18"/>
                <w:lang w:val="en-US" w:eastAsia="en-US"/>
              </w:rPr>
              <w:t>3</w:t>
            </w:r>
            <w:r w:rsidRPr="00324B27">
              <w:rPr>
                <w:rFonts w:cs="Calibri"/>
                <w:b w:val="0"/>
                <w:color w:val="000000"/>
                <w:sz w:val="18"/>
                <w:szCs w:val="18"/>
                <w:lang w:val="hy-AM" w:eastAsia="en-US"/>
              </w:rPr>
              <w:t xml:space="preserve"> հունիս)</w:t>
            </w:r>
          </w:p>
        </w:tc>
        <w:tc>
          <w:tcPr>
            <w:tcW w:w="1549" w:type="dxa"/>
            <w:tcBorders>
              <w:bottom w:val="single" w:sz="4" w:space="0" w:color="auto"/>
            </w:tcBorders>
            <w:shd w:val="clear" w:color="auto" w:fill="auto"/>
            <w:noWrap/>
            <w:vAlign w:val="center"/>
          </w:tcPr>
          <w:p w14:paraId="5A10AA53" w14:textId="77777777" w:rsidR="007840DE" w:rsidRPr="00324B27" w:rsidRDefault="007840DE" w:rsidP="007840DE">
            <w:pPr>
              <w:spacing w:before="0" w:line="240" w:lineRule="auto"/>
              <w:ind w:right="111"/>
              <w:jc w:val="center"/>
              <w:rPr>
                <w:rFonts w:cs="Calibri"/>
                <w:color w:val="000000"/>
                <w:sz w:val="18"/>
                <w:szCs w:val="18"/>
                <w:lang w:val="en-US" w:eastAsia="en-US"/>
              </w:rPr>
            </w:pPr>
            <w:r w:rsidRPr="00324B27">
              <w:rPr>
                <w:rFonts w:cs="Calibri"/>
                <w:b w:val="0"/>
                <w:color w:val="000000"/>
                <w:sz w:val="18"/>
                <w:szCs w:val="18"/>
                <w:lang w:val="hy-AM" w:eastAsia="en-US"/>
              </w:rPr>
              <w:t>6</w:t>
            </w:r>
            <w:r w:rsidRPr="00324B27">
              <w:rPr>
                <w:rFonts w:cs="Calibri"/>
                <w:b w:val="0"/>
                <w:color w:val="000000"/>
                <w:sz w:val="18"/>
                <w:szCs w:val="18"/>
                <w:lang w:val="en-US" w:eastAsia="en-US"/>
              </w:rPr>
              <w:t>.9</w:t>
            </w:r>
          </w:p>
        </w:tc>
        <w:tc>
          <w:tcPr>
            <w:tcW w:w="1580" w:type="dxa"/>
            <w:tcBorders>
              <w:bottom w:val="single" w:sz="4" w:space="0" w:color="auto"/>
            </w:tcBorders>
            <w:shd w:val="clear" w:color="auto" w:fill="auto"/>
            <w:noWrap/>
            <w:vAlign w:val="center"/>
          </w:tcPr>
          <w:p w14:paraId="4C630B2B" w14:textId="77777777" w:rsidR="007840DE" w:rsidRPr="00324B27" w:rsidRDefault="007840DE" w:rsidP="007840DE">
            <w:pPr>
              <w:spacing w:before="0" w:line="240" w:lineRule="auto"/>
              <w:ind w:right="111"/>
              <w:jc w:val="center"/>
              <w:rPr>
                <w:rFonts w:cs="Calibri"/>
                <w:color w:val="000000"/>
                <w:sz w:val="18"/>
                <w:szCs w:val="18"/>
                <w:lang w:val="en-US" w:eastAsia="en-US"/>
              </w:rPr>
            </w:pPr>
            <w:r w:rsidRPr="00324B27">
              <w:rPr>
                <w:rFonts w:cs="Calibri"/>
                <w:b w:val="0"/>
                <w:color w:val="000000"/>
                <w:sz w:val="18"/>
                <w:szCs w:val="18"/>
                <w:lang w:val="hy-AM" w:eastAsia="en-US"/>
              </w:rPr>
              <w:t>-</w:t>
            </w:r>
          </w:p>
        </w:tc>
      </w:tr>
      <w:tr w:rsidR="007840DE" w:rsidRPr="00324B27" w14:paraId="503C6EA3" w14:textId="77777777" w:rsidTr="00D656FB">
        <w:trPr>
          <w:trHeight w:val="156"/>
          <w:jc w:val="center"/>
        </w:trPr>
        <w:tc>
          <w:tcPr>
            <w:tcW w:w="6377" w:type="dxa"/>
            <w:tcBorders>
              <w:top w:val="single" w:sz="4" w:space="0" w:color="auto"/>
            </w:tcBorders>
            <w:shd w:val="clear" w:color="auto" w:fill="auto"/>
            <w:noWrap/>
            <w:vAlign w:val="center"/>
          </w:tcPr>
          <w:p w14:paraId="1CA6BCB9" w14:textId="77777777" w:rsidR="007840DE" w:rsidRPr="00324B27" w:rsidRDefault="007840DE" w:rsidP="007840DE">
            <w:pPr>
              <w:spacing w:before="0" w:line="240" w:lineRule="auto"/>
              <w:ind w:right="115"/>
              <w:jc w:val="left"/>
              <w:rPr>
                <w:rFonts w:cs="Calibri"/>
                <w:b w:val="0"/>
                <w:color w:val="000000"/>
                <w:sz w:val="18"/>
                <w:szCs w:val="18"/>
                <w:lang w:val="en-US" w:eastAsia="en-US"/>
              </w:rPr>
            </w:pPr>
          </w:p>
        </w:tc>
        <w:tc>
          <w:tcPr>
            <w:tcW w:w="1549" w:type="dxa"/>
            <w:tcBorders>
              <w:top w:val="single" w:sz="4" w:space="0" w:color="auto"/>
            </w:tcBorders>
            <w:shd w:val="clear" w:color="auto" w:fill="auto"/>
            <w:noWrap/>
            <w:vAlign w:val="center"/>
          </w:tcPr>
          <w:p w14:paraId="43A2BE9A" w14:textId="77777777" w:rsidR="007840DE" w:rsidRPr="00324B27" w:rsidRDefault="007840DE" w:rsidP="007840DE">
            <w:pPr>
              <w:spacing w:before="0" w:line="240" w:lineRule="auto"/>
              <w:ind w:right="111"/>
              <w:jc w:val="center"/>
              <w:rPr>
                <w:rFonts w:cs="Calibri"/>
                <w:b w:val="0"/>
                <w:color w:val="000000"/>
                <w:sz w:val="18"/>
                <w:szCs w:val="18"/>
                <w:lang w:val="en-US" w:eastAsia="en-US"/>
              </w:rPr>
            </w:pPr>
          </w:p>
        </w:tc>
        <w:tc>
          <w:tcPr>
            <w:tcW w:w="1580" w:type="dxa"/>
            <w:tcBorders>
              <w:top w:val="single" w:sz="4" w:space="0" w:color="auto"/>
            </w:tcBorders>
            <w:shd w:val="clear" w:color="auto" w:fill="auto"/>
            <w:noWrap/>
            <w:vAlign w:val="center"/>
          </w:tcPr>
          <w:p w14:paraId="5576F907" w14:textId="77777777" w:rsidR="007840DE" w:rsidRPr="00324B27" w:rsidRDefault="007840DE" w:rsidP="007840DE">
            <w:pPr>
              <w:spacing w:before="0" w:line="240" w:lineRule="auto"/>
              <w:ind w:right="111"/>
              <w:jc w:val="center"/>
              <w:rPr>
                <w:rFonts w:cs="Calibri"/>
                <w:b w:val="0"/>
                <w:color w:val="000000"/>
                <w:sz w:val="18"/>
                <w:szCs w:val="18"/>
                <w:lang w:val="en-US" w:eastAsia="en-US"/>
              </w:rPr>
            </w:pPr>
          </w:p>
        </w:tc>
      </w:tr>
      <w:tr w:rsidR="007840DE" w:rsidRPr="00324B27" w14:paraId="5F178D89" w14:textId="77777777" w:rsidTr="00D656FB">
        <w:trPr>
          <w:trHeight w:val="156"/>
          <w:jc w:val="center"/>
        </w:trPr>
        <w:tc>
          <w:tcPr>
            <w:tcW w:w="6377" w:type="dxa"/>
            <w:tcBorders>
              <w:bottom w:val="nil"/>
            </w:tcBorders>
            <w:shd w:val="clear" w:color="auto" w:fill="auto"/>
            <w:noWrap/>
            <w:vAlign w:val="center"/>
          </w:tcPr>
          <w:p w14:paraId="396D4F0A" w14:textId="77777777" w:rsidR="007840DE" w:rsidRPr="00324B27" w:rsidRDefault="007840DE" w:rsidP="007840DE">
            <w:pPr>
              <w:spacing w:before="0" w:line="240" w:lineRule="auto"/>
              <w:ind w:right="115"/>
              <w:jc w:val="left"/>
              <w:rPr>
                <w:rFonts w:cs="Calibri"/>
                <w:b w:val="0"/>
                <w:bCs/>
                <w:color w:val="000000"/>
                <w:sz w:val="18"/>
                <w:szCs w:val="18"/>
                <w:lang w:val="hy-AM" w:eastAsia="en-US"/>
              </w:rPr>
            </w:pPr>
            <w:r w:rsidRPr="00324B27">
              <w:rPr>
                <w:rFonts w:cs="Calibri"/>
                <w:b w:val="0"/>
                <w:color w:val="000000"/>
                <w:sz w:val="18"/>
                <w:szCs w:val="18"/>
                <w:lang w:val="hy-AM" w:eastAsia="en-US"/>
              </w:rPr>
              <w:t>Արժույթի միջազգային հիմնադրամ (</w:t>
            </w:r>
            <w:r w:rsidRPr="00324B27">
              <w:rPr>
                <w:rFonts w:cs="Calibri"/>
                <w:b w:val="0"/>
                <w:color w:val="000000"/>
                <w:sz w:val="18"/>
                <w:szCs w:val="18"/>
                <w:lang w:val="en-US" w:eastAsia="en-US"/>
              </w:rPr>
              <w:t xml:space="preserve">2023 </w:t>
            </w:r>
            <w:r w:rsidRPr="00324B27">
              <w:rPr>
                <w:rFonts w:cs="Calibri"/>
                <w:b w:val="0"/>
                <w:color w:val="000000"/>
                <w:sz w:val="18"/>
                <w:szCs w:val="18"/>
                <w:lang w:val="hy-AM" w:eastAsia="en-US"/>
              </w:rPr>
              <w:t>հունիս)</w:t>
            </w:r>
          </w:p>
        </w:tc>
        <w:tc>
          <w:tcPr>
            <w:tcW w:w="1549" w:type="dxa"/>
            <w:tcBorders>
              <w:bottom w:val="nil"/>
            </w:tcBorders>
            <w:shd w:val="clear" w:color="auto" w:fill="auto"/>
            <w:noWrap/>
            <w:vAlign w:val="center"/>
          </w:tcPr>
          <w:p w14:paraId="317DF4B9"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en-US" w:eastAsia="en-US"/>
              </w:rPr>
              <w:t>5.5</w:t>
            </w:r>
          </w:p>
        </w:tc>
        <w:tc>
          <w:tcPr>
            <w:tcW w:w="1580" w:type="dxa"/>
            <w:tcBorders>
              <w:bottom w:val="nil"/>
            </w:tcBorders>
            <w:shd w:val="clear" w:color="auto" w:fill="auto"/>
            <w:noWrap/>
            <w:vAlign w:val="center"/>
          </w:tcPr>
          <w:p w14:paraId="482218A0"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en-US" w:eastAsia="en-US"/>
              </w:rPr>
              <w:t>5.0</w:t>
            </w:r>
          </w:p>
        </w:tc>
      </w:tr>
      <w:tr w:rsidR="007840DE" w:rsidRPr="00324B27" w14:paraId="696F9F19" w14:textId="77777777" w:rsidTr="00D656FB">
        <w:trPr>
          <w:trHeight w:val="156"/>
          <w:jc w:val="center"/>
        </w:trPr>
        <w:tc>
          <w:tcPr>
            <w:tcW w:w="6377" w:type="dxa"/>
            <w:tcBorders>
              <w:bottom w:val="single" w:sz="4" w:space="0" w:color="auto"/>
            </w:tcBorders>
            <w:shd w:val="clear" w:color="auto" w:fill="auto"/>
            <w:noWrap/>
            <w:vAlign w:val="center"/>
          </w:tcPr>
          <w:p w14:paraId="259DB1B0" w14:textId="77777777" w:rsidR="007840DE" w:rsidRPr="00324B27" w:rsidRDefault="007840DE" w:rsidP="007840DE">
            <w:pPr>
              <w:spacing w:before="0" w:line="240" w:lineRule="auto"/>
              <w:ind w:right="115"/>
              <w:jc w:val="left"/>
              <w:rPr>
                <w:rFonts w:cs="Calibri"/>
                <w:b w:val="0"/>
                <w:color w:val="000000"/>
                <w:sz w:val="18"/>
                <w:szCs w:val="18"/>
                <w:lang w:val="en-US" w:eastAsia="en-US"/>
              </w:rPr>
            </w:pPr>
            <w:r w:rsidRPr="00324B27">
              <w:rPr>
                <w:rFonts w:cs="Calibri"/>
                <w:b w:val="0"/>
                <w:color w:val="000000"/>
                <w:sz w:val="18"/>
                <w:szCs w:val="18"/>
                <w:lang w:val="hy-AM" w:eastAsia="en-US"/>
              </w:rPr>
              <w:t>Արժույթի միջազգային հիմնադրամ (</w:t>
            </w:r>
            <w:r w:rsidRPr="00324B27">
              <w:rPr>
                <w:rFonts w:cs="Calibri"/>
                <w:b w:val="0"/>
                <w:color w:val="000000"/>
                <w:sz w:val="18"/>
                <w:szCs w:val="18"/>
                <w:lang w:val="en-US" w:eastAsia="en-US"/>
              </w:rPr>
              <w:t xml:space="preserve">2023 </w:t>
            </w:r>
            <w:r w:rsidRPr="00324B27">
              <w:rPr>
                <w:rFonts w:cs="Calibri"/>
                <w:b w:val="0"/>
                <w:color w:val="000000"/>
                <w:sz w:val="18"/>
                <w:szCs w:val="18"/>
                <w:lang w:val="hy-AM" w:eastAsia="en-US"/>
              </w:rPr>
              <w:t>ապրիլ)</w:t>
            </w:r>
          </w:p>
        </w:tc>
        <w:tc>
          <w:tcPr>
            <w:tcW w:w="1549" w:type="dxa"/>
            <w:tcBorders>
              <w:bottom w:val="single" w:sz="4" w:space="0" w:color="auto"/>
            </w:tcBorders>
            <w:shd w:val="clear" w:color="auto" w:fill="auto"/>
            <w:noWrap/>
            <w:vAlign w:val="center"/>
          </w:tcPr>
          <w:p w14:paraId="2DB67C83"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en-US" w:eastAsia="en-US"/>
              </w:rPr>
              <w:t>5.5</w:t>
            </w:r>
          </w:p>
        </w:tc>
        <w:tc>
          <w:tcPr>
            <w:tcW w:w="1580" w:type="dxa"/>
            <w:tcBorders>
              <w:bottom w:val="single" w:sz="4" w:space="0" w:color="auto"/>
            </w:tcBorders>
            <w:shd w:val="clear" w:color="auto" w:fill="auto"/>
            <w:noWrap/>
            <w:vAlign w:val="center"/>
          </w:tcPr>
          <w:p w14:paraId="4CD383AF"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en-US" w:eastAsia="en-US"/>
              </w:rPr>
              <w:t>5.0</w:t>
            </w:r>
          </w:p>
        </w:tc>
      </w:tr>
      <w:tr w:rsidR="007840DE" w:rsidRPr="00324B27" w14:paraId="2B75CC43" w14:textId="77777777" w:rsidTr="00D656FB">
        <w:trPr>
          <w:trHeight w:val="156"/>
          <w:jc w:val="center"/>
        </w:trPr>
        <w:tc>
          <w:tcPr>
            <w:tcW w:w="6377" w:type="dxa"/>
            <w:tcBorders>
              <w:top w:val="single" w:sz="4" w:space="0" w:color="auto"/>
            </w:tcBorders>
            <w:shd w:val="clear" w:color="auto" w:fill="auto"/>
            <w:noWrap/>
            <w:vAlign w:val="center"/>
          </w:tcPr>
          <w:p w14:paraId="7A3769B4" w14:textId="77777777" w:rsidR="007840DE" w:rsidRPr="00324B27" w:rsidRDefault="007840DE" w:rsidP="007840DE">
            <w:pPr>
              <w:spacing w:before="0" w:line="240" w:lineRule="auto"/>
              <w:ind w:right="115"/>
              <w:jc w:val="left"/>
              <w:rPr>
                <w:rFonts w:cs="Calibri"/>
                <w:b w:val="0"/>
                <w:color w:val="000000"/>
                <w:sz w:val="18"/>
                <w:szCs w:val="18"/>
                <w:lang w:val="en-US" w:eastAsia="en-US"/>
              </w:rPr>
            </w:pPr>
          </w:p>
        </w:tc>
        <w:tc>
          <w:tcPr>
            <w:tcW w:w="1549" w:type="dxa"/>
            <w:tcBorders>
              <w:top w:val="single" w:sz="4" w:space="0" w:color="auto"/>
            </w:tcBorders>
            <w:shd w:val="clear" w:color="auto" w:fill="auto"/>
            <w:noWrap/>
            <w:vAlign w:val="center"/>
          </w:tcPr>
          <w:p w14:paraId="3ADF269C" w14:textId="77777777" w:rsidR="007840DE" w:rsidRPr="00324B27" w:rsidRDefault="007840DE" w:rsidP="007840DE">
            <w:pPr>
              <w:spacing w:before="0" w:line="240" w:lineRule="auto"/>
              <w:ind w:right="111"/>
              <w:jc w:val="center"/>
              <w:rPr>
                <w:rFonts w:cs="Calibri"/>
                <w:b w:val="0"/>
                <w:color w:val="000000"/>
                <w:sz w:val="18"/>
                <w:szCs w:val="18"/>
                <w:lang w:val="en-US" w:eastAsia="en-US"/>
              </w:rPr>
            </w:pPr>
          </w:p>
        </w:tc>
        <w:tc>
          <w:tcPr>
            <w:tcW w:w="1580" w:type="dxa"/>
            <w:tcBorders>
              <w:top w:val="single" w:sz="4" w:space="0" w:color="auto"/>
            </w:tcBorders>
            <w:shd w:val="clear" w:color="auto" w:fill="auto"/>
            <w:noWrap/>
            <w:vAlign w:val="center"/>
          </w:tcPr>
          <w:p w14:paraId="1DD91134" w14:textId="77777777" w:rsidR="007840DE" w:rsidRPr="00324B27" w:rsidRDefault="007840DE" w:rsidP="007840DE">
            <w:pPr>
              <w:spacing w:before="0" w:line="240" w:lineRule="auto"/>
              <w:ind w:right="111"/>
              <w:jc w:val="center"/>
              <w:rPr>
                <w:rFonts w:cs="Calibri"/>
                <w:b w:val="0"/>
                <w:color w:val="000000"/>
                <w:sz w:val="18"/>
                <w:szCs w:val="18"/>
                <w:lang w:val="en-US" w:eastAsia="en-US"/>
              </w:rPr>
            </w:pPr>
          </w:p>
        </w:tc>
      </w:tr>
      <w:tr w:rsidR="007840DE" w:rsidRPr="00324B27" w14:paraId="3BE95B6E" w14:textId="77777777" w:rsidTr="00D656FB">
        <w:trPr>
          <w:trHeight w:val="156"/>
          <w:jc w:val="center"/>
        </w:trPr>
        <w:tc>
          <w:tcPr>
            <w:tcW w:w="6377" w:type="dxa"/>
            <w:tcBorders>
              <w:bottom w:val="nil"/>
            </w:tcBorders>
            <w:shd w:val="clear" w:color="auto" w:fill="auto"/>
            <w:noWrap/>
            <w:vAlign w:val="center"/>
          </w:tcPr>
          <w:p w14:paraId="6129EE0B" w14:textId="77777777" w:rsidR="007840DE" w:rsidRPr="00324B27" w:rsidRDefault="007840DE" w:rsidP="007840DE">
            <w:pPr>
              <w:spacing w:before="0" w:line="240" w:lineRule="auto"/>
              <w:ind w:right="115"/>
              <w:jc w:val="left"/>
              <w:rPr>
                <w:rFonts w:cs="Calibri"/>
                <w:color w:val="000000"/>
                <w:sz w:val="18"/>
                <w:szCs w:val="18"/>
                <w:lang w:val="hy-AM" w:eastAsia="en-US"/>
              </w:rPr>
            </w:pPr>
            <w:r w:rsidRPr="00324B27">
              <w:rPr>
                <w:rFonts w:cs="Calibri"/>
                <w:b w:val="0"/>
                <w:color w:val="000000"/>
                <w:sz w:val="18"/>
                <w:szCs w:val="18"/>
                <w:lang w:val="en-US" w:eastAsia="en-US"/>
              </w:rPr>
              <w:lastRenderedPageBreak/>
              <w:t xml:space="preserve">Ֆիթչ (2023 </w:t>
            </w:r>
            <w:r w:rsidRPr="00324B27">
              <w:rPr>
                <w:rFonts w:cs="Calibri"/>
                <w:b w:val="0"/>
                <w:color w:val="000000"/>
                <w:sz w:val="18"/>
                <w:szCs w:val="18"/>
                <w:lang w:val="hy-AM" w:eastAsia="en-US"/>
              </w:rPr>
              <w:t>օգոստոս</w:t>
            </w:r>
            <w:r w:rsidRPr="00324B27">
              <w:rPr>
                <w:rFonts w:cs="Calibri"/>
                <w:b w:val="0"/>
                <w:color w:val="000000"/>
                <w:sz w:val="18"/>
                <w:szCs w:val="18"/>
                <w:lang w:val="en-US" w:eastAsia="en-US"/>
              </w:rPr>
              <w:t>)</w:t>
            </w:r>
          </w:p>
        </w:tc>
        <w:tc>
          <w:tcPr>
            <w:tcW w:w="1549" w:type="dxa"/>
            <w:tcBorders>
              <w:bottom w:val="nil"/>
            </w:tcBorders>
            <w:shd w:val="clear" w:color="auto" w:fill="auto"/>
            <w:noWrap/>
            <w:vAlign w:val="center"/>
          </w:tcPr>
          <w:p w14:paraId="209E15AF" w14:textId="77777777" w:rsidR="007840DE" w:rsidRPr="00324B27" w:rsidRDefault="007840DE" w:rsidP="007840DE">
            <w:pPr>
              <w:spacing w:before="0" w:line="240" w:lineRule="auto"/>
              <w:ind w:right="111"/>
              <w:jc w:val="center"/>
              <w:rPr>
                <w:rFonts w:cs="Calibri"/>
                <w:color w:val="000000"/>
                <w:sz w:val="18"/>
                <w:szCs w:val="18"/>
                <w:lang w:val="en-US" w:eastAsia="en-US"/>
              </w:rPr>
            </w:pPr>
            <w:r w:rsidRPr="00324B27">
              <w:rPr>
                <w:rFonts w:cs="Calibri"/>
                <w:b w:val="0"/>
                <w:color w:val="000000"/>
                <w:sz w:val="18"/>
                <w:szCs w:val="18"/>
                <w:lang w:val="en-US" w:eastAsia="en-US"/>
              </w:rPr>
              <w:t>7.2</w:t>
            </w:r>
          </w:p>
        </w:tc>
        <w:tc>
          <w:tcPr>
            <w:tcW w:w="1580" w:type="dxa"/>
            <w:tcBorders>
              <w:bottom w:val="nil"/>
            </w:tcBorders>
            <w:shd w:val="clear" w:color="auto" w:fill="auto"/>
            <w:noWrap/>
            <w:vAlign w:val="center"/>
          </w:tcPr>
          <w:p w14:paraId="6BB28D73" w14:textId="77777777" w:rsidR="007840DE" w:rsidRPr="00324B27" w:rsidRDefault="007840DE" w:rsidP="007840DE">
            <w:pPr>
              <w:spacing w:before="0" w:line="240" w:lineRule="auto"/>
              <w:ind w:right="111"/>
              <w:jc w:val="center"/>
              <w:rPr>
                <w:rFonts w:cs="Calibri"/>
                <w:color w:val="000000"/>
                <w:sz w:val="18"/>
                <w:szCs w:val="18"/>
                <w:lang w:val="en-US" w:eastAsia="en-US"/>
              </w:rPr>
            </w:pPr>
            <w:r w:rsidRPr="00324B27">
              <w:rPr>
                <w:rFonts w:cs="Calibri"/>
                <w:b w:val="0"/>
                <w:color w:val="000000"/>
                <w:sz w:val="18"/>
                <w:szCs w:val="18"/>
                <w:lang w:val="en-US" w:eastAsia="en-US"/>
              </w:rPr>
              <w:t>5.9</w:t>
            </w:r>
          </w:p>
        </w:tc>
      </w:tr>
      <w:tr w:rsidR="007840DE" w:rsidRPr="00324B27" w14:paraId="4F37A330" w14:textId="77777777" w:rsidTr="00D656FB">
        <w:trPr>
          <w:trHeight w:val="327"/>
          <w:jc w:val="center"/>
        </w:trPr>
        <w:tc>
          <w:tcPr>
            <w:tcW w:w="6377" w:type="dxa"/>
            <w:tcBorders>
              <w:bottom w:val="single" w:sz="4" w:space="0" w:color="auto"/>
            </w:tcBorders>
            <w:shd w:val="clear" w:color="auto" w:fill="auto"/>
            <w:noWrap/>
            <w:vAlign w:val="center"/>
          </w:tcPr>
          <w:p w14:paraId="02655F1C" w14:textId="77777777" w:rsidR="007840DE" w:rsidRPr="00324B27" w:rsidRDefault="007840DE" w:rsidP="007840DE">
            <w:pPr>
              <w:spacing w:before="0" w:line="240" w:lineRule="auto"/>
              <w:ind w:right="111"/>
              <w:jc w:val="left"/>
              <w:rPr>
                <w:rFonts w:cs="Calibri"/>
                <w:b w:val="0"/>
                <w:color w:val="000000"/>
                <w:sz w:val="18"/>
                <w:szCs w:val="18"/>
                <w:lang w:val="hy-AM" w:eastAsia="en-US"/>
              </w:rPr>
            </w:pPr>
            <w:r w:rsidRPr="00324B27">
              <w:rPr>
                <w:rFonts w:cs="Calibri"/>
                <w:b w:val="0"/>
                <w:color w:val="000000"/>
                <w:sz w:val="18"/>
                <w:szCs w:val="18"/>
                <w:lang w:val="en-US" w:eastAsia="en-US"/>
              </w:rPr>
              <w:t>Ֆիթչ (202</w:t>
            </w:r>
            <w:r w:rsidRPr="00324B27">
              <w:rPr>
                <w:rFonts w:cs="Calibri"/>
                <w:b w:val="0"/>
                <w:color w:val="000000"/>
                <w:sz w:val="18"/>
                <w:szCs w:val="18"/>
                <w:lang w:val="hy-AM" w:eastAsia="en-US"/>
              </w:rPr>
              <w:t>3</w:t>
            </w:r>
            <w:r w:rsidRPr="00324B27">
              <w:rPr>
                <w:rFonts w:cs="Calibri"/>
                <w:b w:val="0"/>
                <w:color w:val="000000"/>
                <w:sz w:val="18"/>
                <w:szCs w:val="18"/>
                <w:lang w:val="en-US" w:eastAsia="en-US"/>
              </w:rPr>
              <w:t xml:space="preserve"> </w:t>
            </w:r>
            <w:r w:rsidRPr="00324B27">
              <w:rPr>
                <w:rFonts w:cs="Calibri"/>
                <w:b w:val="0"/>
                <w:color w:val="000000"/>
                <w:sz w:val="18"/>
                <w:szCs w:val="18"/>
                <w:lang w:val="hy-AM" w:eastAsia="en-US"/>
              </w:rPr>
              <w:t>փետրվար</w:t>
            </w:r>
            <w:r w:rsidRPr="00324B27">
              <w:rPr>
                <w:rFonts w:cs="Calibri"/>
                <w:b w:val="0"/>
                <w:color w:val="000000"/>
                <w:sz w:val="18"/>
                <w:szCs w:val="18"/>
                <w:lang w:val="en-US" w:eastAsia="en-US"/>
              </w:rPr>
              <w:t>)</w:t>
            </w:r>
          </w:p>
        </w:tc>
        <w:tc>
          <w:tcPr>
            <w:tcW w:w="1549" w:type="dxa"/>
            <w:tcBorders>
              <w:bottom w:val="single" w:sz="4" w:space="0" w:color="auto"/>
            </w:tcBorders>
            <w:shd w:val="clear" w:color="auto" w:fill="auto"/>
            <w:noWrap/>
            <w:vAlign w:val="center"/>
          </w:tcPr>
          <w:p w14:paraId="05FE67FA"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hy-AM" w:eastAsia="en-US"/>
              </w:rPr>
              <w:t>6</w:t>
            </w:r>
            <w:r w:rsidRPr="00324B27">
              <w:rPr>
                <w:rFonts w:cs="Calibri"/>
                <w:b w:val="0"/>
                <w:color w:val="000000"/>
                <w:sz w:val="18"/>
                <w:szCs w:val="18"/>
                <w:lang w:val="en-US" w:eastAsia="en-US"/>
              </w:rPr>
              <w:t>.</w:t>
            </w:r>
            <w:r w:rsidRPr="00324B27">
              <w:rPr>
                <w:rFonts w:cs="Calibri"/>
                <w:b w:val="0"/>
                <w:color w:val="000000"/>
                <w:sz w:val="18"/>
                <w:szCs w:val="18"/>
                <w:lang w:val="hy-AM" w:eastAsia="en-US"/>
              </w:rPr>
              <w:t>1</w:t>
            </w:r>
          </w:p>
        </w:tc>
        <w:tc>
          <w:tcPr>
            <w:tcW w:w="1580" w:type="dxa"/>
            <w:tcBorders>
              <w:bottom w:val="single" w:sz="4" w:space="0" w:color="auto"/>
            </w:tcBorders>
            <w:shd w:val="clear" w:color="auto" w:fill="auto"/>
            <w:noWrap/>
            <w:vAlign w:val="center"/>
          </w:tcPr>
          <w:p w14:paraId="0BE79B25"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en-US" w:eastAsia="en-US"/>
              </w:rPr>
              <w:t>4.</w:t>
            </w:r>
            <w:r w:rsidRPr="00324B27">
              <w:rPr>
                <w:rFonts w:cs="Calibri"/>
                <w:b w:val="0"/>
                <w:color w:val="000000"/>
                <w:sz w:val="18"/>
                <w:szCs w:val="18"/>
                <w:lang w:val="hy-AM" w:eastAsia="en-US"/>
              </w:rPr>
              <w:t>7</w:t>
            </w:r>
          </w:p>
        </w:tc>
      </w:tr>
      <w:tr w:rsidR="007840DE" w:rsidRPr="00324B27" w14:paraId="690C57A9" w14:textId="77777777" w:rsidTr="00D656FB">
        <w:trPr>
          <w:trHeight w:val="327"/>
          <w:jc w:val="center"/>
        </w:trPr>
        <w:tc>
          <w:tcPr>
            <w:tcW w:w="6377" w:type="dxa"/>
            <w:tcBorders>
              <w:top w:val="single" w:sz="4" w:space="0" w:color="auto"/>
            </w:tcBorders>
            <w:shd w:val="clear" w:color="auto" w:fill="auto"/>
            <w:noWrap/>
            <w:vAlign w:val="center"/>
          </w:tcPr>
          <w:p w14:paraId="247C4155" w14:textId="77777777" w:rsidR="007840DE" w:rsidRPr="00324B27" w:rsidRDefault="007840DE" w:rsidP="007840DE">
            <w:pPr>
              <w:spacing w:before="0" w:line="240" w:lineRule="auto"/>
              <w:ind w:right="111"/>
              <w:jc w:val="left"/>
              <w:rPr>
                <w:rFonts w:cs="Calibri"/>
                <w:b w:val="0"/>
                <w:color w:val="000000"/>
                <w:sz w:val="18"/>
                <w:szCs w:val="18"/>
                <w:lang w:val="hy-AM" w:eastAsia="en-US"/>
              </w:rPr>
            </w:pPr>
          </w:p>
        </w:tc>
        <w:tc>
          <w:tcPr>
            <w:tcW w:w="1549" w:type="dxa"/>
            <w:tcBorders>
              <w:top w:val="single" w:sz="4" w:space="0" w:color="auto"/>
            </w:tcBorders>
            <w:shd w:val="clear" w:color="auto" w:fill="auto"/>
            <w:noWrap/>
            <w:vAlign w:val="center"/>
          </w:tcPr>
          <w:p w14:paraId="4DE3251B" w14:textId="77777777" w:rsidR="007840DE" w:rsidRPr="00324B27" w:rsidRDefault="007840DE" w:rsidP="007840DE">
            <w:pPr>
              <w:spacing w:before="0" w:line="240" w:lineRule="auto"/>
              <w:ind w:right="111"/>
              <w:jc w:val="center"/>
              <w:rPr>
                <w:rFonts w:cs="Calibri"/>
                <w:b w:val="0"/>
                <w:color w:val="000000"/>
                <w:sz w:val="18"/>
                <w:szCs w:val="18"/>
                <w:lang w:val="en-US" w:eastAsia="en-US"/>
              </w:rPr>
            </w:pPr>
          </w:p>
        </w:tc>
        <w:tc>
          <w:tcPr>
            <w:tcW w:w="1580" w:type="dxa"/>
            <w:tcBorders>
              <w:top w:val="single" w:sz="4" w:space="0" w:color="auto"/>
            </w:tcBorders>
            <w:shd w:val="clear" w:color="auto" w:fill="auto"/>
            <w:noWrap/>
            <w:vAlign w:val="center"/>
          </w:tcPr>
          <w:p w14:paraId="1E1364BD" w14:textId="77777777" w:rsidR="007840DE" w:rsidRPr="00324B27" w:rsidRDefault="007840DE" w:rsidP="007840DE">
            <w:pPr>
              <w:spacing w:before="0" w:line="240" w:lineRule="auto"/>
              <w:ind w:right="111"/>
              <w:jc w:val="center"/>
              <w:rPr>
                <w:rFonts w:cs="Calibri"/>
                <w:b w:val="0"/>
                <w:color w:val="000000"/>
                <w:sz w:val="18"/>
                <w:szCs w:val="18"/>
                <w:lang w:val="en-US" w:eastAsia="en-US"/>
              </w:rPr>
            </w:pPr>
          </w:p>
        </w:tc>
      </w:tr>
      <w:tr w:rsidR="007840DE" w:rsidRPr="00324B27" w14:paraId="1ED23719" w14:textId="77777777" w:rsidTr="00D656FB">
        <w:trPr>
          <w:trHeight w:val="327"/>
          <w:jc w:val="center"/>
        </w:trPr>
        <w:tc>
          <w:tcPr>
            <w:tcW w:w="6377" w:type="dxa"/>
            <w:tcBorders>
              <w:bottom w:val="nil"/>
            </w:tcBorders>
            <w:shd w:val="clear" w:color="auto" w:fill="auto"/>
            <w:noWrap/>
            <w:vAlign w:val="center"/>
          </w:tcPr>
          <w:p w14:paraId="198BE6A8" w14:textId="77777777" w:rsidR="007840DE" w:rsidRPr="00324B27" w:rsidRDefault="007840DE" w:rsidP="007840DE">
            <w:pPr>
              <w:spacing w:before="0" w:line="240" w:lineRule="auto"/>
              <w:ind w:right="111"/>
              <w:jc w:val="left"/>
              <w:rPr>
                <w:rFonts w:cs="Calibri"/>
                <w:b w:val="0"/>
                <w:color w:val="000000"/>
                <w:sz w:val="18"/>
                <w:szCs w:val="18"/>
                <w:lang w:val="hy-AM" w:eastAsia="en-US"/>
              </w:rPr>
            </w:pPr>
            <w:r w:rsidRPr="00324B27">
              <w:rPr>
                <w:rFonts w:cs="Calibri"/>
                <w:b w:val="0"/>
                <w:color w:val="000000"/>
                <w:sz w:val="18"/>
                <w:szCs w:val="18"/>
                <w:lang w:val="hy-AM" w:eastAsia="en-US"/>
              </w:rPr>
              <w:t>Համաշխարհային բանկ (</w:t>
            </w:r>
            <w:r w:rsidRPr="00324B27">
              <w:rPr>
                <w:rFonts w:cs="Calibri"/>
                <w:b w:val="0"/>
                <w:color w:val="000000"/>
                <w:sz w:val="18"/>
                <w:szCs w:val="18"/>
                <w:lang w:val="en-US" w:eastAsia="en-US"/>
              </w:rPr>
              <w:t xml:space="preserve">2023 </w:t>
            </w:r>
            <w:r w:rsidRPr="00324B27">
              <w:rPr>
                <w:rFonts w:cs="Calibri"/>
                <w:b w:val="0"/>
                <w:color w:val="000000"/>
                <w:sz w:val="18"/>
                <w:szCs w:val="18"/>
                <w:lang w:val="hy-AM" w:eastAsia="en-US"/>
              </w:rPr>
              <w:t>հունիս)</w:t>
            </w:r>
          </w:p>
        </w:tc>
        <w:tc>
          <w:tcPr>
            <w:tcW w:w="1549" w:type="dxa"/>
            <w:tcBorders>
              <w:bottom w:val="nil"/>
            </w:tcBorders>
            <w:shd w:val="clear" w:color="auto" w:fill="auto"/>
            <w:noWrap/>
          </w:tcPr>
          <w:p w14:paraId="271C82F7" w14:textId="77777777" w:rsidR="007840DE" w:rsidRPr="00324B27" w:rsidRDefault="007840DE" w:rsidP="007840DE">
            <w:pPr>
              <w:spacing w:before="0" w:line="240" w:lineRule="auto"/>
              <w:ind w:right="111"/>
              <w:jc w:val="center"/>
              <w:rPr>
                <w:rFonts w:cs="Calibri"/>
                <w:b w:val="0"/>
                <w:color w:val="000000"/>
                <w:sz w:val="18"/>
                <w:szCs w:val="18"/>
                <w:lang w:val="hy-AM" w:eastAsia="en-US"/>
              </w:rPr>
            </w:pPr>
            <w:r w:rsidRPr="00324B27">
              <w:rPr>
                <w:rFonts w:cs="Calibri"/>
                <w:b w:val="0"/>
                <w:color w:val="000000"/>
                <w:sz w:val="18"/>
                <w:szCs w:val="18"/>
                <w:lang w:val="en-US" w:eastAsia="en-US"/>
              </w:rPr>
              <w:t>4.4</w:t>
            </w:r>
          </w:p>
        </w:tc>
        <w:tc>
          <w:tcPr>
            <w:tcW w:w="1580" w:type="dxa"/>
            <w:tcBorders>
              <w:bottom w:val="nil"/>
            </w:tcBorders>
            <w:shd w:val="clear" w:color="auto" w:fill="auto"/>
            <w:noWrap/>
          </w:tcPr>
          <w:p w14:paraId="0BD8FF99"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en-US" w:eastAsia="en-US"/>
              </w:rPr>
              <w:t>4.8</w:t>
            </w:r>
          </w:p>
        </w:tc>
      </w:tr>
      <w:tr w:rsidR="007840DE" w:rsidRPr="00324B27" w14:paraId="5A0E6892" w14:textId="77777777" w:rsidTr="00D656FB">
        <w:trPr>
          <w:trHeight w:val="327"/>
          <w:jc w:val="center"/>
        </w:trPr>
        <w:tc>
          <w:tcPr>
            <w:tcW w:w="6377" w:type="dxa"/>
            <w:tcBorders>
              <w:bottom w:val="single" w:sz="4" w:space="0" w:color="auto"/>
            </w:tcBorders>
            <w:shd w:val="clear" w:color="auto" w:fill="auto"/>
            <w:noWrap/>
            <w:vAlign w:val="center"/>
          </w:tcPr>
          <w:p w14:paraId="01987B80" w14:textId="77777777" w:rsidR="007840DE" w:rsidRPr="00324B27" w:rsidRDefault="007840DE" w:rsidP="007840DE">
            <w:pPr>
              <w:spacing w:before="0" w:line="240" w:lineRule="auto"/>
              <w:ind w:right="111"/>
              <w:jc w:val="left"/>
              <w:rPr>
                <w:rFonts w:cs="Calibri"/>
                <w:b w:val="0"/>
                <w:color w:val="000000"/>
                <w:sz w:val="18"/>
                <w:szCs w:val="18"/>
                <w:lang w:val="hy-AM" w:eastAsia="en-US"/>
              </w:rPr>
            </w:pPr>
            <w:r w:rsidRPr="00324B27">
              <w:rPr>
                <w:rFonts w:cs="Calibri"/>
                <w:b w:val="0"/>
                <w:color w:val="000000"/>
                <w:sz w:val="18"/>
                <w:szCs w:val="18"/>
                <w:lang w:val="hy-AM" w:eastAsia="en-US"/>
              </w:rPr>
              <w:t>Համաշխարհային բանկ (</w:t>
            </w:r>
            <w:r w:rsidRPr="00324B27">
              <w:rPr>
                <w:rFonts w:cs="Calibri"/>
                <w:b w:val="0"/>
                <w:color w:val="000000"/>
                <w:sz w:val="18"/>
                <w:szCs w:val="18"/>
                <w:lang w:val="en-US" w:eastAsia="en-US"/>
              </w:rPr>
              <w:t xml:space="preserve">2023 </w:t>
            </w:r>
            <w:r w:rsidRPr="00324B27">
              <w:rPr>
                <w:rFonts w:cs="Calibri"/>
                <w:b w:val="0"/>
                <w:color w:val="000000"/>
                <w:sz w:val="18"/>
                <w:szCs w:val="18"/>
                <w:lang w:val="hy-AM" w:eastAsia="en-US"/>
              </w:rPr>
              <w:t>հուն</w:t>
            </w:r>
            <w:r w:rsidRPr="00324B27">
              <w:rPr>
                <w:rFonts w:cs="Calibri"/>
                <w:b w:val="0"/>
                <w:color w:val="000000"/>
                <w:sz w:val="18"/>
                <w:szCs w:val="18"/>
                <w:lang w:val="en-US" w:eastAsia="en-US"/>
              </w:rPr>
              <w:t>վար</w:t>
            </w:r>
            <w:r w:rsidRPr="00324B27">
              <w:rPr>
                <w:rFonts w:cs="Calibri"/>
                <w:b w:val="0"/>
                <w:color w:val="000000"/>
                <w:sz w:val="18"/>
                <w:szCs w:val="18"/>
                <w:lang w:val="hy-AM" w:eastAsia="en-US"/>
              </w:rPr>
              <w:t>)</w:t>
            </w:r>
          </w:p>
        </w:tc>
        <w:tc>
          <w:tcPr>
            <w:tcW w:w="1549" w:type="dxa"/>
            <w:tcBorders>
              <w:bottom w:val="single" w:sz="4" w:space="0" w:color="auto"/>
            </w:tcBorders>
            <w:shd w:val="clear" w:color="auto" w:fill="auto"/>
            <w:noWrap/>
            <w:vAlign w:val="center"/>
          </w:tcPr>
          <w:p w14:paraId="51C68091" w14:textId="77777777" w:rsidR="007840DE" w:rsidRPr="00324B27" w:rsidRDefault="007840DE" w:rsidP="007840DE">
            <w:pPr>
              <w:spacing w:before="0" w:line="240" w:lineRule="auto"/>
              <w:ind w:right="111"/>
              <w:jc w:val="center"/>
              <w:rPr>
                <w:rFonts w:cs="Calibri"/>
                <w:b w:val="0"/>
                <w:color w:val="000000"/>
                <w:sz w:val="18"/>
                <w:szCs w:val="18"/>
                <w:lang w:val="hy-AM" w:eastAsia="en-US"/>
              </w:rPr>
            </w:pPr>
            <w:r w:rsidRPr="00324B27">
              <w:rPr>
                <w:rFonts w:cs="Calibri"/>
                <w:b w:val="0"/>
                <w:color w:val="000000"/>
                <w:sz w:val="18"/>
                <w:szCs w:val="18"/>
                <w:lang w:val="en-US" w:eastAsia="en-US"/>
              </w:rPr>
              <w:t>4.1</w:t>
            </w:r>
          </w:p>
        </w:tc>
        <w:tc>
          <w:tcPr>
            <w:tcW w:w="1580" w:type="dxa"/>
            <w:tcBorders>
              <w:bottom w:val="single" w:sz="4" w:space="0" w:color="auto"/>
            </w:tcBorders>
            <w:shd w:val="clear" w:color="auto" w:fill="auto"/>
            <w:noWrap/>
            <w:vAlign w:val="center"/>
          </w:tcPr>
          <w:p w14:paraId="473F14D1"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en-US" w:eastAsia="en-US"/>
              </w:rPr>
              <w:t>4.8</w:t>
            </w:r>
          </w:p>
        </w:tc>
      </w:tr>
      <w:tr w:rsidR="007840DE" w:rsidRPr="00324B27" w14:paraId="33478629" w14:textId="77777777" w:rsidTr="00D656FB">
        <w:trPr>
          <w:trHeight w:val="327"/>
          <w:jc w:val="center"/>
        </w:trPr>
        <w:tc>
          <w:tcPr>
            <w:tcW w:w="6377" w:type="dxa"/>
            <w:tcBorders>
              <w:top w:val="single" w:sz="4" w:space="0" w:color="auto"/>
            </w:tcBorders>
            <w:shd w:val="clear" w:color="auto" w:fill="auto"/>
            <w:noWrap/>
            <w:vAlign w:val="center"/>
          </w:tcPr>
          <w:p w14:paraId="75CE904A" w14:textId="77777777" w:rsidR="007840DE" w:rsidRPr="00324B27" w:rsidRDefault="007840DE" w:rsidP="007840DE">
            <w:pPr>
              <w:spacing w:before="0" w:line="240" w:lineRule="auto"/>
              <w:ind w:right="111"/>
              <w:jc w:val="left"/>
              <w:rPr>
                <w:rFonts w:cs="Calibri"/>
                <w:b w:val="0"/>
                <w:color w:val="000000"/>
                <w:sz w:val="18"/>
                <w:szCs w:val="18"/>
                <w:lang w:val="hy-AM" w:eastAsia="en-US"/>
              </w:rPr>
            </w:pPr>
          </w:p>
        </w:tc>
        <w:tc>
          <w:tcPr>
            <w:tcW w:w="1549" w:type="dxa"/>
            <w:tcBorders>
              <w:top w:val="single" w:sz="4" w:space="0" w:color="auto"/>
            </w:tcBorders>
            <w:shd w:val="clear" w:color="auto" w:fill="auto"/>
            <w:noWrap/>
            <w:vAlign w:val="center"/>
          </w:tcPr>
          <w:p w14:paraId="10824C44" w14:textId="77777777" w:rsidR="007840DE" w:rsidRPr="00324B27" w:rsidRDefault="007840DE" w:rsidP="007840DE">
            <w:pPr>
              <w:spacing w:before="0" w:line="240" w:lineRule="auto"/>
              <w:ind w:right="111"/>
              <w:jc w:val="center"/>
              <w:rPr>
                <w:rFonts w:cs="Calibri"/>
                <w:b w:val="0"/>
                <w:color w:val="000000"/>
                <w:sz w:val="18"/>
                <w:szCs w:val="18"/>
                <w:lang w:val="hy-AM" w:eastAsia="en-US"/>
              </w:rPr>
            </w:pPr>
          </w:p>
        </w:tc>
        <w:tc>
          <w:tcPr>
            <w:tcW w:w="1580" w:type="dxa"/>
            <w:tcBorders>
              <w:top w:val="single" w:sz="4" w:space="0" w:color="auto"/>
            </w:tcBorders>
            <w:shd w:val="clear" w:color="auto" w:fill="auto"/>
            <w:noWrap/>
            <w:vAlign w:val="center"/>
          </w:tcPr>
          <w:p w14:paraId="71B47709" w14:textId="77777777" w:rsidR="007840DE" w:rsidRPr="00324B27" w:rsidRDefault="007840DE" w:rsidP="007840DE">
            <w:pPr>
              <w:spacing w:before="0" w:line="240" w:lineRule="auto"/>
              <w:ind w:right="111"/>
              <w:jc w:val="center"/>
              <w:rPr>
                <w:rFonts w:cs="Calibri"/>
                <w:b w:val="0"/>
                <w:color w:val="000000"/>
                <w:sz w:val="18"/>
                <w:szCs w:val="18"/>
                <w:lang w:val="en-US" w:eastAsia="en-US"/>
              </w:rPr>
            </w:pPr>
          </w:p>
        </w:tc>
      </w:tr>
      <w:tr w:rsidR="007840DE" w:rsidRPr="00324B27" w14:paraId="7C208500" w14:textId="77777777" w:rsidTr="00D656FB">
        <w:trPr>
          <w:trHeight w:val="327"/>
          <w:jc w:val="center"/>
        </w:trPr>
        <w:tc>
          <w:tcPr>
            <w:tcW w:w="6377" w:type="dxa"/>
            <w:shd w:val="clear" w:color="auto" w:fill="auto"/>
            <w:noWrap/>
            <w:vAlign w:val="center"/>
          </w:tcPr>
          <w:p w14:paraId="59F2B054" w14:textId="77777777" w:rsidR="007840DE" w:rsidRPr="00324B27" w:rsidRDefault="007840DE" w:rsidP="007840DE">
            <w:pPr>
              <w:spacing w:before="0" w:line="240" w:lineRule="auto"/>
              <w:ind w:right="111"/>
              <w:jc w:val="left"/>
              <w:rPr>
                <w:rFonts w:cs="Calibri"/>
                <w:b w:val="0"/>
                <w:color w:val="000000"/>
                <w:sz w:val="18"/>
                <w:szCs w:val="18"/>
                <w:lang w:val="hy-AM" w:eastAsia="en-US"/>
              </w:rPr>
            </w:pPr>
            <w:r w:rsidRPr="00324B27">
              <w:rPr>
                <w:rFonts w:cs="Calibri"/>
                <w:b w:val="0"/>
                <w:color w:val="000000"/>
                <w:sz w:val="18"/>
                <w:szCs w:val="18"/>
                <w:lang w:val="hy-AM" w:eastAsia="en-US"/>
              </w:rPr>
              <w:t>Մուդիս (202</w:t>
            </w:r>
            <w:r w:rsidRPr="00324B27">
              <w:rPr>
                <w:rFonts w:cs="Calibri"/>
                <w:b w:val="0"/>
                <w:color w:val="000000"/>
                <w:sz w:val="18"/>
                <w:szCs w:val="18"/>
                <w:lang w:eastAsia="en-US"/>
              </w:rPr>
              <w:t>3</w:t>
            </w:r>
            <w:r w:rsidRPr="00324B27">
              <w:rPr>
                <w:rFonts w:cs="Calibri"/>
                <w:b w:val="0"/>
                <w:color w:val="000000"/>
                <w:sz w:val="18"/>
                <w:szCs w:val="18"/>
                <w:lang w:val="hy-AM" w:eastAsia="en-US"/>
              </w:rPr>
              <w:t>թ. հունիս)</w:t>
            </w:r>
          </w:p>
        </w:tc>
        <w:tc>
          <w:tcPr>
            <w:tcW w:w="1549" w:type="dxa"/>
            <w:shd w:val="clear" w:color="auto" w:fill="auto"/>
            <w:noWrap/>
            <w:vAlign w:val="center"/>
          </w:tcPr>
          <w:p w14:paraId="4E6373C3"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hy-AM" w:eastAsia="en-US"/>
              </w:rPr>
              <w:t>7</w:t>
            </w:r>
            <w:r w:rsidRPr="00324B27">
              <w:rPr>
                <w:rFonts w:cs="Calibri"/>
                <w:b w:val="0"/>
                <w:color w:val="000000"/>
                <w:sz w:val="18"/>
                <w:szCs w:val="18"/>
                <w:lang w:eastAsia="en-US"/>
              </w:rPr>
              <w:t>.</w:t>
            </w:r>
            <w:r w:rsidRPr="00324B27">
              <w:rPr>
                <w:rFonts w:cs="Calibri"/>
                <w:b w:val="0"/>
                <w:color w:val="000000"/>
                <w:sz w:val="18"/>
                <w:szCs w:val="18"/>
                <w:lang w:val="hy-AM" w:eastAsia="en-US"/>
              </w:rPr>
              <w:t>0</w:t>
            </w:r>
          </w:p>
        </w:tc>
        <w:tc>
          <w:tcPr>
            <w:tcW w:w="1580" w:type="dxa"/>
            <w:shd w:val="clear" w:color="auto" w:fill="auto"/>
            <w:noWrap/>
            <w:vAlign w:val="center"/>
          </w:tcPr>
          <w:p w14:paraId="585CD33C"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hy-AM" w:eastAsia="en-US"/>
              </w:rPr>
              <w:t>5</w:t>
            </w:r>
            <w:r w:rsidRPr="00324B27">
              <w:rPr>
                <w:rFonts w:cs="Calibri"/>
                <w:b w:val="0"/>
                <w:color w:val="000000"/>
                <w:sz w:val="18"/>
                <w:szCs w:val="18"/>
                <w:lang w:eastAsia="en-US"/>
              </w:rPr>
              <w:t>.0</w:t>
            </w:r>
            <w:r w:rsidRPr="00324B27">
              <w:rPr>
                <w:rFonts w:cs="Calibri"/>
                <w:b w:val="0"/>
                <w:color w:val="000000"/>
                <w:sz w:val="18"/>
                <w:szCs w:val="18"/>
                <w:lang w:val="hy-AM" w:eastAsia="en-US"/>
              </w:rPr>
              <w:t>-6</w:t>
            </w:r>
            <w:r w:rsidRPr="00324B27">
              <w:rPr>
                <w:rFonts w:cs="Calibri"/>
                <w:b w:val="0"/>
                <w:color w:val="000000"/>
                <w:sz w:val="18"/>
                <w:szCs w:val="18"/>
                <w:lang w:val="en-GB" w:eastAsia="en-US"/>
              </w:rPr>
              <w:t>.</w:t>
            </w:r>
            <w:r w:rsidRPr="00324B27">
              <w:rPr>
                <w:rFonts w:cs="Calibri"/>
                <w:b w:val="0"/>
                <w:color w:val="000000"/>
                <w:sz w:val="18"/>
                <w:szCs w:val="18"/>
                <w:lang w:val="hy-AM" w:eastAsia="en-US"/>
              </w:rPr>
              <w:t>0</w:t>
            </w:r>
          </w:p>
        </w:tc>
      </w:tr>
      <w:tr w:rsidR="007840DE" w:rsidRPr="00324B27" w14:paraId="195D3308" w14:textId="77777777" w:rsidTr="00D656FB">
        <w:trPr>
          <w:trHeight w:val="327"/>
          <w:jc w:val="center"/>
        </w:trPr>
        <w:tc>
          <w:tcPr>
            <w:tcW w:w="6377" w:type="dxa"/>
            <w:shd w:val="clear" w:color="auto" w:fill="auto"/>
            <w:noWrap/>
            <w:vAlign w:val="center"/>
          </w:tcPr>
          <w:p w14:paraId="069B59E6" w14:textId="77777777" w:rsidR="007840DE" w:rsidRPr="00324B27" w:rsidRDefault="007840DE" w:rsidP="007840DE">
            <w:pPr>
              <w:spacing w:before="0" w:line="240" w:lineRule="auto"/>
              <w:ind w:right="111"/>
              <w:jc w:val="left"/>
              <w:rPr>
                <w:rFonts w:cs="Calibri"/>
                <w:b w:val="0"/>
                <w:color w:val="000000"/>
                <w:sz w:val="18"/>
                <w:szCs w:val="18"/>
                <w:lang w:val="hy-AM" w:eastAsia="en-US"/>
              </w:rPr>
            </w:pPr>
            <w:r w:rsidRPr="00324B27">
              <w:rPr>
                <w:rFonts w:cs="Calibri"/>
                <w:b w:val="0"/>
                <w:color w:val="000000"/>
                <w:sz w:val="18"/>
                <w:szCs w:val="18"/>
                <w:lang w:val="hy-AM" w:eastAsia="en-US"/>
              </w:rPr>
              <w:t>S&amp;P (2023թ. օգոստոս)</w:t>
            </w:r>
          </w:p>
        </w:tc>
        <w:tc>
          <w:tcPr>
            <w:tcW w:w="1549" w:type="dxa"/>
            <w:shd w:val="clear" w:color="auto" w:fill="auto"/>
            <w:noWrap/>
            <w:vAlign w:val="center"/>
          </w:tcPr>
          <w:p w14:paraId="10D47AA4"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hy-AM" w:eastAsia="en-US"/>
              </w:rPr>
              <w:t>7</w:t>
            </w:r>
            <w:r w:rsidRPr="00324B27">
              <w:rPr>
                <w:rFonts w:cs="Calibri"/>
                <w:b w:val="0"/>
                <w:color w:val="000000"/>
                <w:sz w:val="18"/>
                <w:szCs w:val="18"/>
                <w:lang w:eastAsia="en-US"/>
              </w:rPr>
              <w:t>.</w:t>
            </w:r>
            <w:r w:rsidRPr="00324B27">
              <w:rPr>
                <w:rFonts w:cs="Calibri"/>
                <w:b w:val="0"/>
                <w:color w:val="000000"/>
                <w:sz w:val="18"/>
                <w:szCs w:val="18"/>
                <w:lang w:val="hy-AM" w:eastAsia="en-US"/>
              </w:rPr>
              <w:t>5</w:t>
            </w:r>
          </w:p>
        </w:tc>
        <w:tc>
          <w:tcPr>
            <w:tcW w:w="1580" w:type="dxa"/>
            <w:shd w:val="clear" w:color="auto" w:fill="auto"/>
            <w:noWrap/>
            <w:vAlign w:val="center"/>
          </w:tcPr>
          <w:p w14:paraId="42718DE4" w14:textId="77777777" w:rsidR="007840DE" w:rsidRPr="00324B27" w:rsidRDefault="007840DE" w:rsidP="007840DE">
            <w:pPr>
              <w:spacing w:before="0" w:line="240" w:lineRule="auto"/>
              <w:ind w:right="111"/>
              <w:jc w:val="center"/>
              <w:rPr>
                <w:rFonts w:cs="Calibri"/>
                <w:b w:val="0"/>
                <w:color w:val="000000"/>
                <w:sz w:val="18"/>
                <w:szCs w:val="18"/>
                <w:lang w:val="en-US" w:eastAsia="en-US"/>
              </w:rPr>
            </w:pPr>
            <w:r w:rsidRPr="00324B27">
              <w:rPr>
                <w:rFonts w:cs="Calibri"/>
                <w:b w:val="0"/>
                <w:color w:val="000000"/>
                <w:sz w:val="18"/>
                <w:szCs w:val="18"/>
                <w:lang w:val="hy-AM" w:eastAsia="en-US"/>
              </w:rPr>
              <w:t>4</w:t>
            </w:r>
            <w:r w:rsidRPr="00324B27">
              <w:rPr>
                <w:rFonts w:cs="Calibri"/>
                <w:b w:val="0"/>
                <w:color w:val="000000"/>
                <w:sz w:val="18"/>
                <w:szCs w:val="18"/>
                <w:lang w:eastAsia="en-US"/>
              </w:rPr>
              <w:t>.</w:t>
            </w:r>
            <w:r w:rsidRPr="00324B27">
              <w:rPr>
                <w:rFonts w:cs="Calibri"/>
                <w:b w:val="0"/>
                <w:color w:val="000000"/>
                <w:sz w:val="18"/>
                <w:szCs w:val="18"/>
                <w:lang w:val="hy-AM" w:eastAsia="en-US"/>
              </w:rPr>
              <w:t>5</w:t>
            </w:r>
          </w:p>
        </w:tc>
      </w:tr>
    </w:tbl>
    <w:p w14:paraId="277B6D29" w14:textId="70D05064" w:rsidR="007840DE" w:rsidRDefault="007840DE" w:rsidP="007840DE">
      <w:pPr>
        <w:spacing w:before="40" w:after="60" w:line="240" w:lineRule="auto"/>
        <w:ind w:right="115"/>
        <w:rPr>
          <w:b w:val="0"/>
          <w:sz w:val="18"/>
          <w:szCs w:val="18"/>
          <w:lang w:val="hy-AM"/>
        </w:rPr>
      </w:pPr>
      <w:r w:rsidRPr="00CB5EA7">
        <w:rPr>
          <w:b w:val="0"/>
          <w:sz w:val="18"/>
          <w:szCs w:val="18"/>
          <w:lang w:val="hy-AM"/>
        </w:rPr>
        <w:t>Աղբյուրը՝ համապատասխան կառույցների հրապարակումներ</w:t>
      </w:r>
    </w:p>
    <w:p w14:paraId="02A8FA54" w14:textId="77777777" w:rsidR="00001B7F" w:rsidRPr="00A83C94" w:rsidRDefault="00001B7F" w:rsidP="007840DE">
      <w:pPr>
        <w:spacing w:before="40" w:after="60" w:line="240" w:lineRule="auto"/>
        <w:ind w:right="115"/>
        <w:rPr>
          <w:b w:val="0"/>
          <w:bCs/>
          <w:color w:val="1F497D"/>
          <w:sz w:val="28"/>
          <w:szCs w:val="28"/>
        </w:rPr>
      </w:pPr>
    </w:p>
    <w:p w14:paraId="4B168535" w14:textId="77777777" w:rsidR="0087134D" w:rsidRPr="00290696" w:rsidRDefault="0087134D" w:rsidP="0009272D">
      <w:pPr>
        <w:pStyle w:val="Heading1"/>
      </w:pPr>
      <w:bookmarkStart w:id="365" w:name="_Toc153184520"/>
      <w:r w:rsidRPr="00290696">
        <w:t xml:space="preserve">4. </w:t>
      </w:r>
      <w:bookmarkEnd w:id="353"/>
      <w:bookmarkEnd w:id="354"/>
      <w:r w:rsidR="004644E7" w:rsidRPr="00290696">
        <w:t>ԵՆԹԱԿԱՌՈՒՑՎԱԾՔԱՅԻՆ ԵՎ ԱՅԼ ՈԼՈՐՏՆԵՐՈՒՄ ԳՈՐԾՈՂ ԿԱԶՄԱԿԵՐՊՈՒԹՅՈՒՆՆԵՐԻ ԳՈՐԾՈՒՆԵՈՒԹՅԱՆՆ ԱՌՆՉՎՈՂ ՀԱՐԿԱԲՅՈՒՋԵՏԱՅԻՆ ՌԻՍԿԵՐԻ ԳՆԱՀԱՏԱԿԱՆԸ</w:t>
      </w:r>
      <w:bookmarkEnd w:id="365"/>
    </w:p>
    <w:p w14:paraId="5449E537" w14:textId="77777777" w:rsidR="0078250D" w:rsidRDefault="0078250D" w:rsidP="0078250D">
      <w:pPr>
        <w:tabs>
          <w:tab w:val="left" w:pos="0"/>
        </w:tabs>
        <w:jc w:val="center"/>
        <w:rPr>
          <w:b w:val="0"/>
          <w:lang w:val="hy-AM"/>
        </w:rPr>
      </w:pPr>
      <w:bookmarkStart w:id="366" w:name="_Toc45838554"/>
    </w:p>
    <w:p w14:paraId="31EB5FE6" w14:textId="77777777" w:rsidR="0078250D" w:rsidRPr="0078250D" w:rsidRDefault="0078250D" w:rsidP="0078250D">
      <w:pPr>
        <w:tabs>
          <w:tab w:val="left" w:pos="0"/>
        </w:tabs>
        <w:rPr>
          <w:b w:val="0"/>
          <w:bCs/>
          <w:lang w:val="hy-AM"/>
        </w:rPr>
      </w:pPr>
      <w:bookmarkStart w:id="367" w:name="_Hlk152262316"/>
      <w:r w:rsidRPr="0078250D">
        <w:rPr>
          <w:b w:val="0"/>
          <w:bCs/>
          <w:lang w:val="hy-AM"/>
        </w:rPr>
        <w:t xml:space="preserve">2023 թվականին Լաչինի միջանցքի ավելի քան 9-ամսյա արգելափակումը, ինչպես նաև 2023 թվականի սեպտեմբերի 19-ին Ադրբեջանի կողմից Լեռնային Ղարաբաղի ժողովրդի դեմ սանձազերծված ռազմական հարձակումը հանգեցրել են ԼՂ բնակչության զանգվածային բռնի տեղահանման: </w:t>
      </w:r>
    </w:p>
    <w:p w14:paraId="2DCACA21" w14:textId="77777777" w:rsidR="0078250D" w:rsidRPr="0078250D" w:rsidRDefault="0078250D" w:rsidP="0078250D">
      <w:pPr>
        <w:tabs>
          <w:tab w:val="left" w:pos="0"/>
        </w:tabs>
        <w:rPr>
          <w:b w:val="0"/>
          <w:bCs/>
          <w:lang w:val="hy-AM"/>
        </w:rPr>
      </w:pPr>
      <w:r w:rsidRPr="0078250D">
        <w:rPr>
          <w:b w:val="0"/>
          <w:bCs/>
          <w:lang w:val="hy-AM"/>
        </w:rPr>
        <w:t>Հաշվի առնելով վերջին ժամանակներում ստեղծված իրավիճակը և վերջինիս ազդեցությունը ֆիսկալ ռիսկերի գնահատման համատեքստում՝  դրամական արտահայտությամբ հասցված վնասների գնահատումն այժմ գտնվում է նախնական գործընթացում: Իսկ հաշվետու ժամանակահատվածի համար՝ ֆիսկալ կայունությունը վտանգող դիսկրետ բացահայտված ռիսկերը ներկայանում ենք ստորև։</w:t>
      </w:r>
    </w:p>
    <w:bookmarkEnd w:id="367"/>
    <w:p w14:paraId="57B92A14" w14:textId="77777777" w:rsidR="0078250D" w:rsidRPr="0078250D" w:rsidRDefault="0078250D" w:rsidP="0078250D">
      <w:pPr>
        <w:spacing w:before="0" w:after="160" w:line="259" w:lineRule="auto"/>
        <w:jc w:val="left"/>
        <w:rPr>
          <w:b w:val="0"/>
          <w:bCs/>
          <w:lang w:val="hy-AM"/>
        </w:rPr>
      </w:pPr>
      <w:r w:rsidRPr="0078250D">
        <w:rPr>
          <w:b w:val="0"/>
          <w:bCs/>
          <w:lang w:val="hy-AM"/>
        </w:rPr>
        <w:br w:type="page"/>
      </w:r>
    </w:p>
    <w:p w14:paraId="75903627" w14:textId="77777777" w:rsidR="0078250D" w:rsidRPr="0078250D" w:rsidRDefault="0078250D" w:rsidP="0078250D">
      <w:pPr>
        <w:tabs>
          <w:tab w:val="left" w:pos="0"/>
        </w:tabs>
        <w:jc w:val="center"/>
        <w:rPr>
          <w:b w:val="0"/>
          <w:bCs/>
          <w:lang w:val="hy-AM"/>
        </w:rPr>
        <w:sectPr w:rsidR="0078250D" w:rsidRPr="0078250D" w:rsidSect="0078250D">
          <w:headerReference w:type="default" r:id="rId90"/>
          <w:footerReference w:type="default" r:id="rId91"/>
          <w:pgSz w:w="11906" w:h="16838" w:code="9"/>
          <w:pgMar w:top="1440" w:right="1376" w:bottom="1440" w:left="1418" w:header="720" w:footer="720" w:gutter="0"/>
          <w:cols w:space="720"/>
          <w:docGrid w:linePitch="360"/>
        </w:sectPr>
      </w:pPr>
    </w:p>
    <w:p w14:paraId="387A5DCB" w14:textId="77777777" w:rsidR="0078250D" w:rsidRPr="0078250D" w:rsidRDefault="0078250D" w:rsidP="0078250D">
      <w:pPr>
        <w:tabs>
          <w:tab w:val="left" w:pos="0"/>
        </w:tabs>
        <w:jc w:val="center"/>
        <w:rPr>
          <w:b w:val="0"/>
          <w:bCs/>
          <w:lang w:val="hy-AM"/>
        </w:rPr>
      </w:pPr>
      <w:bookmarkStart w:id="368" w:name="_Hlk152262349"/>
      <w:r w:rsidRPr="0078250D">
        <w:rPr>
          <w:b w:val="0"/>
          <w:bCs/>
          <w:lang w:val="hy-AM"/>
        </w:rPr>
        <w:lastRenderedPageBreak/>
        <w:t>Հարկաբյուջետային ռիսկեր պարունակող պետական մասնակցությամբ ընկերությունների վերլուծություն</w:t>
      </w:r>
    </w:p>
    <w:p w14:paraId="496D16AD" w14:textId="77777777" w:rsidR="0078250D" w:rsidRPr="0078250D" w:rsidRDefault="0078250D" w:rsidP="0078250D">
      <w:pPr>
        <w:tabs>
          <w:tab w:val="left" w:pos="0"/>
        </w:tabs>
        <w:jc w:val="left"/>
        <w:rPr>
          <w:rFonts w:eastAsia="Calibri"/>
          <w:b w:val="0"/>
          <w:bCs/>
          <w:iCs/>
          <w:lang w:val="hy-AM"/>
        </w:rPr>
      </w:pPr>
      <w:r w:rsidRPr="0078250D">
        <w:rPr>
          <w:rFonts w:eastAsia="Calibri" w:cs="Sylfaen"/>
          <w:b w:val="0"/>
          <w:bCs/>
          <w:i/>
          <w:lang w:val="hy-AM"/>
        </w:rPr>
        <w:t xml:space="preserve">Աղյուսակ 5.4 </w:t>
      </w:r>
      <w:r w:rsidRPr="0078250D">
        <w:rPr>
          <w:rFonts w:eastAsia="Calibri" w:cs="Sylfaen"/>
          <w:b w:val="0"/>
          <w:bCs/>
          <w:lang w:val="hy-AM"/>
        </w:rPr>
        <w:t>Բյուջետային վարկեր և երաշխիքներ ունեցող ՊՄԸ ցուցանիշները, մլն դրամ</w:t>
      </w:r>
      <w:r w:rsidRPr="0078250D">
        <w:rPr>
          <w:rStyle w:val="FootnoteReference"/>
          <w:rFonts w:eastAsia="Calibri" w:cs="Sylfaen"/>
          <w:b w:val="0"/>
          <w:bCs/>
          <w:lang w:val="hy-AM"/>
        </w:rPr>
        <w:footnoteReference w:id="35"/>
      </w:r>
      <w:r w:rsidRPr="0078250D">
        <w:rPr>
          <w:rFonts w:eastAsia="Calibri"/>
          <w:b w:val="0"/>
          <w:bCs/>
          <w:iCs/>
          <w:lang w:val="hy-AM"/>
        </w:rPr>
        <w:t xml:space="preserve"> </w:t>
      </w:r>
    </w:p>
    <w:tbl>
      <w:tblPr>
        <w:tblW w:w="15010" w:type="dxa"/>
        <w:tblInd w:w="-640" w:type="dxa"/>
        <w:tblLook w:val="04A0" w:firstRow="1" w:lastRow="0" w:firstColumn="1" w:lastColumn="0" w:noHBand="0" w:noVBand="1"/>
      </w:tblPr>
      <w:tblGrid>
        <w:gridCol w:w="2710"/>
        <w:gridCol w:w="1814"/>
        <w:gridCol w:w="757"/>
        <w:gridCol w:w="831"/>
        <w:gridCol w:w="796"/>
        <w:gridCol w:w="824"/>
        <w:gridCol w:w="870"/>
        <w:gridCol w:w="808"/>
        <w:gridCol w:w="342"/>
        <w:gridCol w:w="435"/>
        <w:gridCol w:w="835"/>
        <w:gridCol w:w="676"/>
        <w:gridCol w:w="132"/>
        <w:gridCol w:w="980"/>
        <w:gridCol w:w="982"/>
        <w:gridCol w:w="132"/>
        <w:gridCol w:w="954"/>
        <w:gridCol w:w="132"/>
      </w:tblGrid>
      <w:tr w:rsidR="0078250D" w:rsidRPr="0078250D" w14:paraId="47370CD5" w14:textId="77777777" w:rsidTr="000F26BC">
        <w:trPr>
          <w:gridAfter w:val="1"/>
          <w:wAfter w:w="132" w:type="dxa"/>
          <w:trHeight w:val="967"/>
        </w:trPr>
        <w:tc>
          <w:tcPr>
            <w:tcW w:w="2710" w:type="dxa"/>
            <w:vMerge w:val="restart"/>
            <w:shd w:val="clear" w:color="auto" w:fill="auto"/>
            <w:noWrap/>
            <w:vAlign w:val="center"/>
            <w:hideMark/>
          </w:tcPr>
          <w:p w14:paraId="790BD432" w14:textId="77777777" w:rsidR="0078250D" w:rsidRPr="0078250D" w:rsidRDefault="0078250D" w:rsidP="000F26BC">
            <w:pPr>
              <w:tabs>
                <w:tab w:val="left" w:pos="0"/>
              </w:tabs>
              <w:spacing w:line="240" w:lineRule="auto"/>
              <w:jc w:val="center"/>
              <w:rPr>
                <w:rFonts w:cs="Calibri"/>
                <w:b w:val="0"/>
                <w:bCs/>
                <w:color w:val="000000" w:themeColor="text1"/>
                <w:sz w:val="18"/>
                <w:szCs w:val="18"/>
              </w:rPr>
            </w:pPr>
            <w:r w:rsidRPr="0078250D">
              <w:rPr>
                <w:rFonts w:cs="Calibri"/>
                <w:b w:val="0"/>
                <w:bCs/>
                <w:color w:val="000000" w:themeColor="text1"/>
                <w:sz w:val="18"/>
                <w:szCs w:val="18"/>
              </w:rPr>
              <w:t>Ընկերության անվանումը</w:t>
            </w:r>
          </w:p>
          <w:p w14:paraId="55D86AD6" w14:textId="77777777" w:rsidR="0078250D" w:rsidRPr="0078250D" w:rsidRDefault="0078250D" w:rsidP="000F26BC">
            <w:pPr>
              <w:tabs>
                <w:tab w:val="left" w:pos="0"/>
              </w:tabs>
              <w:spacing w:line="240" w:lineRule="auto"/>
              <w:rPr>
                <w:rFonts w:cs="Calibri"/>
                <w:b w:val="0"/>
                <w:bCs/>
                <w:color w:val="000000" w:themeColor="text1"/>
                <w:sz w:val="18"/>
                <w:szCs w:val="18"/>
              </w:rPr>
            </w:pPr>
            <w:r w:rsidRPr="0078250D">
              <w:rPr>
                <w:rFonts w:ascii="Calibri" w:hAnsi="Calibri" w:cs="Calibri"/>
                <w:b w:val="0"/>
                <w:bCs/>
                <w:color w:val="000000"/>
                <w:sz w:val="18"/>
                <w:szCs w:val="18"/>
              </w:rPr>
              <w:t> </w:t>
            </w:r>
          </w:p>
        </w:tc>
        <w:tc>
          <w:tcPr>
            <w:tcW w:w="1814" w:type="dxa"/>
            <w:tcBorders>
              <w:bottom w:val="single" w:sz="8" w:space="0" w:color="auto"/>
            </w:tcBorders>
            <w:shd w:val="clear" w:color="auto" w:fill="auto"/>
            <w:noWrap/>
            <w:vAlign w:val="center"/>
            <w:hideMark/>
          </w:tcPr>
          <w:p w14:paraId="6A878A80" w14:textId="77777777" w:rsidR="0078250D" w:rsidRPr="0078250D" w:rsidRDefault="0078250D" w:rsidP="000F26BC">
            <w:pPr>
              <w:tabs>
                <w:tab w:val="left" w:pos="0"/>
              </w:tabs>
              <w:spacing w:line="240" w:lineRule="auto"/>
              <w:jc w:val="center"/>
              <w:rPr>
                <w:rFonts w:cs="Calibri"/>
                <w:b w:val="0"/>
                <w:bCs/>
                <w:color w:val="000000" w:themeColor="text1"/>
                <w:sz w:val="18"/>
                <w:szCs w:val="18"/>
              </w:rPr>
            </w:pPr>
            <w:r w:rsidRPr="0078250D">
              <w:rPr>
                <w:rFonts w:cs="Calibri"/>
                <w:b w:val="0"/>
                <w:bCs/>
                <w:color w:val="000000" w:themeColor="text1"/>
                <w:sz w:val="18"/>
                <w:szCs w:val="18"/>
              </w:rPr>
              <w:t>Բյուջետային վարկեր</w:t>
            </w:r>
          </w:p>
          <w:p w14:paraId="6CD94CE1" w14:textId="77777777" w:rsidR="0078250D" w:rsidRPr="0078250D" w:rsidRDefault="0078250D" w:rsidP="000F26BC">
            <w:pPr>
              <w:tabs>
                <w:tab w:val="left" w:pos="0"/>
              </w:tabs>
              <w:spacing w:line="240" w:lineRule="auto"/>
              <w:jc w:val="center"/>
              <w:rPr>
                <w:rFonts w:cs="Calibri"/>
                <w:b w:val="0"/>
                <w:bCs/>
                <w:color w:val="000000" w:themeColor="text1"/>
                <w:sz w:val="18"/>
                <w:szCs w:val="18"/>
              </w:rPr>
            </w:pPr>
            <w:r w:rsidRPr="0078250D">
              <w:rPr>
                <w:rFonts w:cs="Calibri"/>
                <w:b w:val="0"/>
                <w:bCs/>
                <w:color w:val="000000" w:themeColor="text1"/>
                <w:sz w:val="18"/>
                <w:szCs w:val="18"/>
              </w:rPr>
              <w:t>և երաշխիքներ</w:t>
            </w:r>
          </w:p>
        </w:tc>
        <w:tc>
          <w:tcPr>
            <w:tcW w:w="2384" w:type="dxa"/>
            <w:gridSpan w:val="3"/>
            <w:tcBorders>
              <w:bottom w:val="single" w:sz="8" w:space="0" w:color="auto"/>
            </w:tcBorders>
            <w:shd w:val="clear" w:color="auto" w:fill="auto"/>
            <w:noWrap/>
            <w:vAlign w:val="center"/>
            <w:hideMark/>
          </w:tcPr>
          <w:p w14:paraId="676741A8" w14:textId="77777777" w:rsidR="0078250D" w:rsidRPr="0078250D" w:rsidRDefault="0078250D" w:rsidP="000F26BC">
            <w:pPr>
              <w:tabs>
                <w:tab w:val="left" w:pos="0"/>
              </w:tabs>
              <w:spacing w:line="240" w:lineRule="auto"/>
              <w:jc w:val="center"/>
              <w:rPr>
                <w:rFonts w:cs="Calibri"/>
                <w:b w:val="0"/>
                <w:bCs/>
                <w:color w:val="000000" w:themeColor="text1"/>
                <w:sz w:val="18"/>
                <w:szCs w:val="18"/>
              </w:rPr>
            </w:pPr>
            <w:r w:rsidRPr="0078250D">
              <w:rPr>
                <w:rFonts w:cs="Calibri"/>
                <w:b w:val="0"/>
                <w:bCs/>
                <w:color w:val="000000" w:themeColor="text1"/>
                <w:sz w:val="18"/>
                <w:szCs w:val="18"/>
              </w:rPr>
              <w:t>Իրացումից Հասույթ</w:t>
            </w:r>
          </w:p>
        </w:tc>
        <w:tc>
          <w:tcPr>
            <w:tcW w:w="2844" w:type="dxa"/>
            <w:gridSpan w:val="4"/>
            <w:tcBorders>
              <w:bottom w:val="single" w:sz="8" w:space="0" w:color="auto"/>
            </w:tcBorders>
            <w:shd w:val="clear" w:color="auto" w:fill="auto"/>
            <w:noWrap/>
            <w:vAlign w:val="center"/>
            <w:hideMark/>
          </w:tcPr>
          <w:p w14:paraId="7F4EB5D9" w14:textId="77777777" w:rsidR="0078250D" w:rsidRPr="0078250D" w:rsidRDefault="0078250D" w:rsidP="000F26BC">
            <w:pPr>
              <w:tabs>
                <w:tab w:val="left" w:pos="0"/>
              </w:tabs>
              <w:spacing w:line="240" w:lineRule="auto"/>
              <w:jc w:val="center"/>
              <w:rPr>
                <w:rFonts w:cs="Calibri"/>
                <w:b w:val="0"/>
                <w:bCs/>
                <w:color w:val="000000" w:themeColor="text1"/>
                <w:sz w:val="18"/>
                <w:szCs w:val="18"/>
              </w:rPr>
            </w:pPr>
            <w:r w:rsidRPr="0078250D">
              <w:rPr>
                <w:rFonts w:cs="Calibri"/>
                <w:b w:val="0"/>
                <w:bCs/>
                <w:color w:val="000000" w:themeColor="text1"/>
                <w:sz w:val="18"/>
                <w:szCs w:val="18"/>
              </w:rPr>
              <w:t>Զուտ շահույթ</w:t>
            </w:r>
          </w:p>
        </w:tc>
        <w:tc>
          <w:tcPr>
            <w:tcW w:w="1946" w:type="dxa"/>
            <w:gridSpan w:val="3"/>
            <w:tcBorders>
              <w:bottom w:val="single" w:sz="4" w:space="0" w:color="auto"/>
            </w:tcBorders>
            <w:shd w:val="clear" w:color="auto" w:fill="auto"/>
            <w:noWrap/>
            <w:vAlign w:val="center"/>
            <w:hideMark/>
          </w:tcPr>
          <w:p w14:paraId="09A354A6" w14:textId="77777777" w:rsidR="0078250D" w:rsidRPr="0078250D" w:rsidRDefault="0078250D" w:rsidP="000F26BC">
            <w:pPr>
              <w:tabs>
                <w:tab w:val="left" w:pos="0"/>
              </w:tabs>
              <w:spacing w:line="240" w:lineRule="auto"/>
              <w:jc w:val="left"/>
              <w:rPr>
                <w:rFonts w:cs="Calibri"/>
                <w:b w:val="0"/>
                <w:bCs/>
                <w:color w:val="000000" w:themeColor="text1"/>
                <w:sz w:val="18"/>
                <w:szCs w:val="18"/>
              </w:rPr>
            </w:pPr>
            <w:r w:rsidRPr="0078250D">
              <w:rPr>
                <w:rFonts w:cs="Calibri"/>
                <w:b w:val="0"/>
                <w:bCs/>
                <w:color w:val="000000" w:themeColor="text1"/>
                <w:sz w:val="18"/>
                <w:szCs w:val="18"/>
              </w:rPr>
              <w:t>Կուտակ-</w:t>
            </w:r>
          </w:p>
          <w:p w14:paraId="59F31FDF" w14:textId="77777777" w:rsidR="0078250D" w:rsidRPr="0078250D" w:rsidRDefault="0078250D" w:rsidP="000F26BC">
            <w:pPr>
              <w:tabs>
                <w:tab w:val="left" w:pos="0"/>
              </w:tabs>
              <w:spacing w:line="240" w:lineRule="auto"/>
              <w:jc w:val="left"/>
              <w:rPr>
                <w:rFonts w:cs="Calibri"/>
                <w:b w:val="0"/>
                <w:bCs/>
                <w:color w:val="000000" w:themeColor="text1"/>
                <w:sz w:val="18"/>
                <w:szCs w:val="18"/>
              </w:rPr>
            </w:pPr>
            <w:r w:rsidRPr="0078250D">
              <w:rPr>
                <w:rFonts w:cs="Calibri"/>
                <w:b w:val="0"/>
                <w:bCs/>
                <w:color w:val="000000" w:themeColor="text1"/>
                <w:sz w:val="18"/>
                <w:szCs w:val="18"/>
              </w:rPr>
              <w:t>ված շահույթ</w:t>
            </w:r>
          </w:p>
        </w:tc>
        <w:tc>
          <w:tcPr>
            <w:tcW w:w="2094" w:type="dxa"/>
            <w:gridSpan w:val="3"/>
            <w:tcBorders>
              <w:bottom w:val="single" w:sz="4" w:space="0" w:color="auto"/>
            </w:tcBorders>
            <w:shd w:val="clear" w:color="auto" w:fill="auto"/>
            <w:noWrap/>
            <w:vAlign w:val="center"/>
            <w:hideMark/>
          </w:tcPr>
          <w:p w14:paraId="5F1A975C" w14:textId="77777777" w:rsidR="0078250D" w:rsidRPr="0078250D" w:rsidRDefault="0078250D" w:rsidP="000F26BC">
            <w:pPr>
              <w:tabs>
                <w:tab w:val="left" w:pos="0"/>
              </w:tabs>
              <w:spacing w:line="240" w:lineRule="auto"/>
              <w:jc w:val="left"/>
              <w:rPr>
                <w:rFonts w:cs="Calibri"/>
                <w:b w:val="0"/>
                <w:bCs/>
                <w:color w:val="000000" w:themeColor="text1"/>
                <w:sz w:val="18"/>
                <w:szCs w:val="18"/>
              </w:rPr>
            </w:pPr>
            <w:r w:rsidRPr="0078250D">
              <w:rPr>
                <w:rFonts w:cs="Calibri"/>
                <w:b w:val="0"/>
                <w:bCs/>
                <w:color w:val="000000" w:themeColor="text1"/>
                <w:sz w:val="18"/>
                <w:szCs w:val="18"/>
              </w:rPr>
              <w:t>Պարտավորություններ</w:t>
            </w:r>
          </w:p>
        </w:tc>
        <w:tc>
          <w:tcPr>
            <w:tcW w:w="1086" w:type="dxa"/>
            <w:gridSpan w:val="2"/>
            <w:tcBorders>
              <w:bottom w:val="single" w:sz="8" w:space="0" w:color="000000"/>
            </w:tcBorders>
            <w:shd w:val="clear" w:color="auto" w:fill="auto"/>
            <w:noWrap/>
            <w:vAlign w:val="center"/>
            <w:hideMark/>
          </w:tcPr>
          <w:p w14:paraId="1A2D8D19" w14:textId="77777777" w:rsidR="0078250D" w:rsidRPr="0078250D" w:rsidRDefault="0078250D" w:rsidP="000F26BC">
            <w:pPr>
              <w:tabs>
                <w:tab w:val="left" w:pos="0"/>
              </w:tabs>
              <w:spacing w:line="240" w:lineRule="auto"/>
              <w:jc w:val="center"/>
              <w:rPr>
                <w:rFonts w:cs="Calibri"/>
                <w:b w:val="0"/>
                <w:bCs/>
                <w:color w:val="000000" w:themeColor="text1"/>
                <w:sz w:val="18"/>
                <w:szCs w:val="18"/>
              </w:rPr>
            </w:pPr>
            <w:r w:rsidRPr="0078250D">
              <w:rPr>
                <w:rFonts w:cs="Calibri"/>
                <w:b w:val="0"/>
                <w:bCs/>
                <w:color w:val="000000" w:themeColor="text1"/>
                <w:sz w:val="18"/>
                <w:szCs w:val="18"/>
              </w:rPr>
              <w:t>Ֆիսկալ ռիկսի կարգավի-</w:t>
            </w:r>
          </w:p>
          <w:p w14:paraId="608AC867" w14:textId="77777777" w:rsidR="0078250D" w:rsidRPr="0078250D" w:rsidRDefault="0078250D" w:rsidP="000F26BC">
            <w:pPr>
              <w:tabs>
                <w:tab w:val="left" w:pos="0"/>
              </w:tabs>
              <w:spacing w:line="240" w:lineRule="auto"/>
              <w:jc w:val="center"/>
              <w:rPr>
                <w:rFonts w:cs="Calibri"/>
                <w:b w:val="0"/>
                <w:bCs/>
                <w:color w:val="000000" w:themeColor="text1"/>
                <w:sz w:val="18"/>
                <w:szCs w:val="18"/>
              </w:rPr>
            </w:pPr>
            <w:r w:rsidRPr="0078250D">
              <w:rPr>
                <w:rFonts w:cs="Calibri"/>
                <w:b w:val="0"/>
                <w:bCs/>
                <w:color w:val="000000" w:themeColor="text1"/>
                <w:sz w:val="18"/>
                <w:szCs w:val="18"/>
              </w:rPr>
              <w:t>ճակ</w:t>
            </w:r>
          </w:p>
        </w:tc>
      </w:tr>
      <w:tr w:rsidR="0078250D" w:rsidRPr="0078250D" w14:paraId="2D224992" w14:textId="77777777" w:rsidTr="000F26BC">
        <w:trPr>
          <w:trHeight w:val="177"/>
        </w:trPr>
        <w:tc>
          <w:tcPr>
            <w:tcW w:w="2710" w:type="dxa"/>
            <w:vMerge/>
            <w:tcBorders>
              <w:bottom w:val="single" w:sz="8" w:space="0" w:color="auto"/>
            </w:tcBorders>
            <w:shd w:val="clear" w:color="auto" w:fill="auto"/>
            <w:noWrap/>
            <w:vAlign w:val="center"/>
            <w:hideMark/>
          </w:tcPr>
          <w:p w14:paraId="25F4130F" w14:textId="77777777" w:rsidR="0078250D" w:rsidRPr="0078250D" w:rsidRDefault="0078250D" w:rsidP="000F26BC">
            <w:pPr>
              <w:tabs>
                <w:tab w:val="left" w:pos="0"/>
              </w:tabs>
              <w:spacing w:line="240" w:lineRule="auto"/>
              <w:rPr>
                <w:rFonts w:cs="Calibri"/>
                <w:b w:val="0"/>
                <w:bCs/>
                <w:color w:val="000000"/>
                <w:sz w:val="18"/>
                <w:szCs w:val="18"/>
              </w:rPr>
            </w:pPr>
          </w:p>
        </w:tc>
        <w:tc>
          <w:tcPr>
            <w:tcW w:w="1814" w:type="dxa"/>
            <w:tcBorders>
              <w:top w:val="nil"/>
              <w:bottom w:val="single" w:sz="8" w:space="0" w:color="auto"/>
            </w:tcBorders>
            <w:shd w:val="clear" w:color="auto" w:fill="auto"/>
            <w:noWrap/>
            <w:vAlign w:val="center"/>
            <w:hideMark/>
          </w:tcPr>
          <w:p w14:paraId="1F8BEB76" w14:textId="77777777" w:rsidR="0078250D" w:rsidRPr="0078250D" w:rsidRDefault="0078250D" w:rsidP="000F26BC">
            <w:pPr>
              <w:tabs>
                <w:tab w:val="left" w:pos="0"/>
              </w:tabs>
              <w:spacing w:line="240" w:lineRule="auto"/>
              <w:jc w:val="center"/>
              <w:rPr>
                <w:rFonts w:cs="Calibri"/>
                <w:b w:val="0"/>
                <w:bCs/>
                <w:sz w:val="18"/>
                <w:szCs w:val="18"/>
              </w:rPr>
            </w:pPr>
            <w:r w:rsidRPr="0078250D">
              <w:rPr>
                <w:rFonts w:cs="Calibri"/>
                <w:b w:val="0"/>
                <w:bCs/>
                <w:sz w:val="18"/>
                <w:szCs w:val="18"/>
              </w:rPr>
              <w:t>2022թ.</w:t>
            </w:r>
          </w:p>
        </w:tc>
        <w:tc>
          <w:tcPr>
            <w:tcW w:w="757" w:type="dxa"/>
            <w:tcBorders>
              <w:top w:val="nil"/>
              <w:bottom w:val="single" w:sz="8" w:space="0" w:color="auto"/>
            </w:tcBorders>
            <w:shd w:val="clear" w:color="auto" w:fill="auto"/>
            <w:noWrap/>
            <w:vAlign w:val="center"/>
            <w:hideMark/>
          </w:tcPr>
          <w:p w14:paraId="55D4CC82"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2020</w:t>
            </w:r>
          </w:p>
        </w:tc>
        <w:tc>
          <w:tcPr>
            <w:tcW w:w="831" w:type="dxa"/>
            <w:tcBorders>
              <w:top w:val="nil"/>
              <w:bottom w:val="single" w:sz="8" w:space="0" w:color="auto"/>
            </w:tcBorders>
            <w:shd w:val="clear" w:color="auto" w:fill="auto"/>
            <w:noWrap/>
            <w:vAlign w:val="center"/>
            <w:hideMark/>
          </w:tcPr>
          <w:p w14:paraId="5FB66B5F"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2021</w:t>
            </w:r>
          </w:p>
        </w:tc>
        <w:tc>
          <w:tcPr>
            <w:tcW w:w="796" w:type="dxa"/>
            <w:tcBorders>
              <w:top w:val="single" w:sz="4" w:space="0" w:color="auto"/>
              <w:bottom w:val="single" w:sz="4" w:space="0" w:color="auto"/>
            </w:tcBorders>
            <w:shd w:val="clear" w:color="auto" w:fill="auto"/>
            <w:vAlign w:val="center"/>
          </w:tcPr>
          <w:p w14:paraId="7441F4AC"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2022</w:t>
            </w:r>
          </w:p>
        </w:tc>
        <w:tc>
          <w:tcPr>
            <w:tcW w:w="824" w:type="dxa"/>
            <w:tcBorders>
              <w:top w:val="single" w:sz="4" w:space="0" w:color="auto"/>
              <w:bottom w:val="single" w:sz="4" w:space="0" w:color="auto"/>
            </w:tcBorders>
            <w:shd w:val="clear" w:color="auto" w:fill="auto"/>
            <w:noWrap/>
            <w:vAlign w:val="center"/>
            <w:hideMark/>
          </w:tcPr>
          <w:p w14:paraId="21547089"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2019</w:t>
            </w:r>
          </w:p>
        </w:tc>
        <w:tc>
          <w:tcPr>
            <w:tcW w:w="870" w:type="dxa"/>
            <w:tcBorders>
              <w:top w:val="nil"/>
              <w:bottom w:val="single" w:sz="8" w:space="0" w:color="auto"/>
            </w:tcBorders>
            <w:shd w:val="clear" w:color="auto" w:fill="auto"/>
            <w:noWrap/>
            <w:vAlign w:val="center"/>
            <w:hideMark/>
          </w:tcPr>
          <w:p w14:paraId="3F6DE999"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2020</w:t>
            </w:r>
          </w:p>
        </w:tc>
        <w:tc>
          <w:tcPr>
            <w:tcW w:w="808" w:type="dxa"/>
            <w:tcBorders>
              <w:top w:val="nil"/>
              <w:bottom w:val="single" w:sz="8" w:space="0" w:color="auto"/>
            </w:tcBorders>
            <w:shd w:val="clear" w:color="auto" w:fill="auto"/>
            <w:noWrap/>
            <w:vAlign w:val="center"/>
            <w:hideMark/>
          </w:tcPr>
          <w:p w14:paraId="76A76467"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2021</w:t>
            </w:r>
          </w:p>
        </w:tc>
        <w:tc>
          <w:tcPr>
            <w:tcW w:w="777" w:type="dxa"/>
            <w:gridSpan w:val="2"/>
            <w:tcBorders>
              <w:top w:val="nil"/>
              <w:bottom w:val="single" w:sz="8" w:space="0" w:color="auto"/>
            </w:tcBorders>
            <w:shd w:val="clear" w:color="auto" w:fill="auto"/>
            <w:vAlign w:val="center"/>
          </w:tcPr>
          <w:p w14:paraId="0EC3AABF"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2022</w:t>
            </w:r>
          </w:p>
        </w:tc>
        <w:tc>
          <w:tcPr>
            <w:tcW w:w="835" w:type="dxa"/>
            <w:tcBorders>
              <w:top w:val="single" w:sz="4" w:space="0" w:color="auto"/>
              <w:bottom w:val="single" w:sz="8" w:space="0" w:color="auto"/>
            </w:tcBorders>
            <w:shd w:val="clear" w:color="auto" w:fill="auto"/>
            <w:noWrap/>
            <w:vAlign w:val="center"/>
            <w:hideMark/>
          </w:tcPr>
          <w:p w14:paraId="037A2773"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rPr>
              <w:t>2021</w:t>
            </w:r>
          </w:p>
        </w:tc>
        <w:tc>
          <w:tcPr>
            <w:tcW w:w="808" w:type="dxa"/>
            <w:gridSpan w:val="2"/>
            <w:tcBorders>
              <w:top w:val="single" w:sz="4" w:space="0" w:color="auto"/>
              <w:bottom w:val="single" w:sz="8" w:space="0" w:color="auto"/>
            </w:tcBorders>
            <w:shd w:val="clear" w:color="auto" w:fill="auto"/>
            <w:vAlign w:val="center"/>
          </w:tcPr>
          <w:p w14:paraId="004813E3"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2022</w:t>
            </w:r>
          </w:p>
        </w:tc>
        <w:tc>
          <w:tcPr>
            <w:tcW w:w="980" w:type="dxa"/>
            <w:tcBorders>
              <w:top w:val="single" w:sz="4" w:space="0" w:color="auto"/>
              <w:bottom w:val="single" w:sz="8" w:space="0" w:color="auto"/>
            </w:tcBorders>
            <w:shd w:val="clear" w:color="auto" w:fill="auto"/>
            <w:vAlign w:val="center"/>
          </w:tcPr>
          <w:p w14:paraId="682FAC47"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rPr>
              <w:t>2021</w:t>
            </w:r>
          </w:p>
        </w:tc>
        <w:tc>
          <w:tcPr>
            <w:tcW w:w="1114" w:type="dxa"/>
            <w:gridSpan w:val="2"/>
            <w:tcBorders>
              <w:top w:val="single" w:sz="4" w:space="0" w:color="auto"/>
              <w:bottom w:val="single" w:sz="8" w:space="0" w:color="auto"/>
            </w:tcBorders>
            <w:shd w:val="clear" w:color="auto" w:fill="auto"/>
            <w:noWrap/>
            <w:vAlign w:val="center"/>
          </w:tcPr>
          <w:p w14:paraId="07F0FE35"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2022</w:t>
            </w:r>
          </w:p>
        </w:tc>
        <w:tc>
          <w:tcPr>
            <w:tcW w:w="1086" w:type="dxa"/>
            <w:gridSpan w:val="2"/>
            <w:tcBorders>
              <w:top w:val="single" w:sz="8" w:space="0" w:color="auto"/>
              <w:bottom w:val="single" w:sz="8" w:space="0" w:color="000000"/>
            </w:tcBorders>
            <w:shd w:val="clear" w:color="auto" w:fill="auto"/>
            <w:vAlign w:val="center"/>
            <w:hideMark/>
          </w:tcPr>
          <w:p w14:paraId="4354F405" w14:textId="77777777" w:rsidR="0078250D" w:rsidRPr="0078250D" w:rsidRDefault="0078250D" w:rsidP="000F26BC">
            <w:pPr>
              <w:tabs>
                <w:tab w:val="left" w:pos="0"/>
              </w:tabs>
              <w:spacing w:line="240" w:lineRule="auto"/>
              <w:jc w:val="center"/>
              <w:rPr>
                <w:rFonts w:cs="Calibri"/>
                <w:b w:val="0"/>
                <w:bCs/>
                <w:color w:val="000000"/>
                <w:sz w:val="18"/>
                <w:szCs w:val="18"/>
              </w:rPr>
            </w:pPr>
          </w:p>
        </w:tc>
      </w:tr>
      <w:tr w:rsidR="0078250D" w:rsidRPr="0078250D" w14:paraId="330499A6" w14:textId="77777777" w:rsidTr="000F26BC">
        <w:trPr>
          <w:trHeight w:val="490"/>
        </w:trPr>
        <w:tc>
          <w:tcPr>
            <w:tcW w:w="2710" w:type="dxa"/>
            <w:tcBorders>
              <w:top w:val="nil"/>
              <w:bottom w:val="single" w:sz="8" w:space="0" w:color="auto"/>
            </w:tcBorders>
            <w:shd w:val="clear" w:color="auto" w:fill="auto"/>
            <w:noWrap/>
            <w:vAlign w:val="center"/>
            <w:hideMark/>
          </w:tcPr>
          <w:p w14:paraId="176D3325"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«Երևանի ջերմաէլեկտրակենտրոն ՓԲԸ</w:t>
            </w:r>
          </w:p>
        </w:tc>
        <w:tc>
          <w:tcPr>
            <w:tcW w:w="1814" w:type="dxa"/>
            <w:tcBorders>
              <w:top w:val="nil"/>
              <w:bottom w:val="single" w:sz="8" w:space="0" w:color="auto"/>
            </w:tcBorders>
            <w:shd w:val="clear" w:color="auto" w:fill="auto"/>
            <w:noWrap/>
            <w:vAlign w:val="center"/>
            <w:hideMark/>
          </w:tcPr>
          <w:p w14:paraId="534FC265" w14:textId="77777777" w:rsidR="0078250D" w:rsidRPr="0078250D" w:rsidRDefault="0078250D" w:rsidP="000F26BC">
            <w:pPr>
              <w:tabs>
                <w:tab w:val="left" w:pos="0"/>
              </w:tabs>
              <w:spacing w:line="240" w:lineRule="auto"/>
              <w:jc w:val="center"/>
              <w:rPr>
                <w:rFonts w:cs="Calibri"/>
                <w:b w:val="0"/>
                <w:bCs/>
                <w:sz w:val="18"/>
                <w:szCs w:val="18"/>
              </w:rPr>
            </w:pPr>
            <w:r w:rsidRPr="0078250D">
              <w:rPr>
                <w:rFonts w:cs="Calibri"/>
                <w:b w:val="0"/>
                <w:bCs/>
                <w:sz w:val="18"/>
                <w:szCs w:val="18"/>
              </w:rPr>
              <w:t>100,051</w:t>
            </w:r>
          </w:p>
        </w:tc>
        <w:tc>
          <w:tcPr>
            <w:tcW w:w="757" w:type="dxa"/>
            <w:tcBorders>
              <w:top w:val="nil"/>
              <w:bottom w:val="single" w:sz="8" w:space="0" w:color="auto"/>
            </w:tcBorders>
            <w:shd w:val="clear" w:color="auto" w:fill="auto"/>
            <w:noWrap/>
            <w:vAlign w:val="center"/>
            <w:hideMark/>
          </w:tcPr>
          <w:p w14:paraId="35E1801F"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77,310</w:t>
            </w:r>
          </w:p>
        </w:tc>
        <w:tc>
          <w:tcPr>
            <w:tcW w:w="831" w:type="dxa"/>
            <w:tcBorders>
              <w:top w:val="nil"/>
              <w:bottom w:val="single" w:sz="8" w:space="0" w:color="auto"/>
            </w:tcBorders>
            <w:shd w:val="clear" w:color="auto" w:fill="auto"/>
            <w:noWrap/>
            <w:vAlign w:val="center"/>
            <w:hideMark/>
          </w:tcPr>
          <w:p w14:paraId="26FD0087"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40,747</w:t>
            </w:r>
          </w:p>
        </w:tc>
        <w:tc>
          <w:tcPr>
            <w:tcW w:w="796" w:type="dxa"/>
            <w:tcBorders>
              <w:top w:val="single" w:sz="4" w:space="0" w:color="auto"/>
              <w:bottom w:val="single" w:sz="4" w:space="0" w:color="auto"/>
            </w:tcBorders>
            <w:shd w:val="clear" w:color="auto" w:fill="auto"/>
            <w:vAlign w:val="center"/>
          </w:tcPr>
          <w:p w14:paraId="5309F7A9" w14:textId="77777777" w:rsidR="0078250D" w:rsidRPr="0078250D" w:rsidDel="00F95920"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63,353</w:t>
            </w:r>
          </w:p>
        </w:tc>
        <w:tc>
          <w:tcPr>
            <w:tcW w:w="824" w:type="dxa"/>
            <w:tcBorders>
              <w:top w:val="single" w:sz="4" w:space="0" w:color="auto"/>
              <w:bottom w:val="single" w:sz="4" w:space="0" w:color="auto"/>
            </w:tcBorders>
            <w:shd w:val="clear" w:color="auto" w:fill="auto"/>
            <w:noWrap/>
            <w:vAlign w:val="center"/>
            <w:hideMark/>
          </w:tcPr>
          <w:p w14:paraId="406EE636"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1,508</w:t>
            </w:r>
          </w:p>
        </w:tc>
        <w:tc>
          <w:tcPr>
            <w:tcW w:w="870" w:type="dxa"/>
            <w:tcBorders>
              <w:top w:val="nil"/>
              <w:bottom w:val="single" w:sz="8" w:space="0" w:color="auto"/>
            </w:tcBorders>
            <w:shd w:val="clear" w:color="auto" w:fill="auto"/>
            <w:noWrap/>
            <w:vAlign w:val="center"/>
            <w:hideMark/>
          </w:tcPr>
          <w:p w14:paraId="79827AF5"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rPr>
              <w:t>(11,972)</w:t>
            </w:r>
          </w:p>
        </w:tc>
        <w:tc>
          <w:tcPr>
            <w:tcW w:w="808" w:type="dxa"/>
            <w:tcBorders>
              <w:top w:val="nil"/>
              <w:bottom w:val="single" w:sz="8" w:space="0" w:color="auto"/>
            </w:tcBorders>
            <w:shd w:val="clear" w:color="auto" w:fill="auto"/>
            <w:noWrap/>
            <w:vAlign w:val="center"/>
            <w:hideMark/>
          </w:tcPr>
          <w:p w14:paraId="1DB404F0"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18,567</w:t>
            </w:r>
          </w:p>
        </w:tc>
        <w:tc>
          <w:tcPr>
            <w:tcW w:w="777" w:type="dxa"/>
            <w:gridSpan w:val="2"/>
            <w:tcBorders>
              <w:top w:val="nil"/>
              <w:bottom w:val="single" w:sz="8" w:space="0" w:color="auto"/>
            </w:tcBorders>
            <w:shd w:val="clear" w:color="auto" w:fill="auto"/>
            <w:vAlign w:val="center"/>
          </w:tcPr>
          <w:p w14:paraId="1E2E2F73"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34,801</w:t>
            </w:r>
          </w:p>
        </w:tc>
        <w:tc>
          <w:tcPr>
            <w:tcW w:w="835" w:type="dxa"/>
            <w:tcBorders>
              <w:top w:val="nil"/>
              <w:bottom w:val="single" w:sz="8" w:space="0" w:color="auto"/>
            </w:tcBorders>
            <w:shd w:val="clear" w:color="auto" w:fill="auto"/>
            <w:noWrap/>
            <w:vAlign w:val="center"/>
            <w:hideMark/>
          </w:tcPr>
          <w:p w14:paraId="6CDF1475"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(9,007)</w:t>
            </w:r>
          </w:p>
        </w:tc>
        <w:tc>
          <w:tcPr>
            <w:tcW w:w="808" w:type="dxa"/>
            <w:gridSpan w:val="2"/>
            <w:tcBorders>
              <w:top w:val="nil"/>
              <w:bottom w:val="single" w:sz="8" w:space="0" w:color="auto"/>
            </w:tcBorders>
            <w:shd w:val="clear" w:color="auto" w:fill="auto"/>
            <w:vAlign w:val="center"/>
          </w:tcPr>
          <w:p w14:paraId="4520C9DC"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26,658</w:t>
            </w:r>
          </w:p>
        </w:tc>
        <w:tc>
          <w:tcPr>
            <w:tcW w:w="980" w:type="dxa"/>
            <w:tcBorders>
              <w:top w:val="nil"/>
              <w:bottom w:val="single" w:sz="8" w:space="0" w:color="auto"/>
            </w:tcBorders>
            <w:shd w:val="clear" w:color="auto" w:fill="auto"/>
            <w:vAlign w:val="center"/>
          </w:tcPr>
          <w:p w14:paraId="15ECD26B"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128,788</w:t>
            </w:r>
          </w:p>
        </w:tc>
        <w:tc>
          <w:tcPr>
            <w:tcW w:w="1114" w:type="dxa"/>
            <w:gridSpan w:val="2"/>
            <w:tcBorders>
              <w:top w:val="single" w:sz="8" w:space="0" w:color="auto"/>
              <w:bottom w:val="single" w:sz="8" w:space="0" w:color="auto"/>
            </w:tcBorders>
            <w:shd w:val="clear" w:color="auto" w:fill="auto"/>
            <w:noWrap/>
            <w:vAlign w:val="center"/>
          </w:tcPr>
          <w:p w14:paraId="39511003"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87,305</w:t>
            </w:r>
          </w:p>
        </w:tc>
        <w:tc>
          <w:tcPr>
            <w:tcW w:w="1086" w:type="dxa"/>
            <w:gridSpan w:val="2"/>
            <w:tcBorders>
              <w:top w:val="nil"/>
              <w:bottom w:val="single" w:sz="8" w:space="0" w:color="auto"/>
            </w:tcBorders>
            <w:shd w:val="clear" w:color="auto" w:fill="auto"/>
            <w:noWrap/>
            <w:vAlign w:val="center"/>
            <w:hideMark/>
          </w:tcPr>
          <w:p w14:paraId="75E02551"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Միջին</w:t>
            </w:r>
          </w:p>
        </w:tc>
      </w:tr>
      <w:tr w:rsidR="0078250D" w:rsidRPr="0078250D" w14:paraId="12968DBC" w14:textId="77777777" w:rsidTr="000F26BC">
        <w:trPr>
          <w:trHeight w:val="107"/>
        </w:trPr>
        <w:tc>
          <w:tcPr>
            <w:tcW w:w="2710" w:type="dxa"/>
            <w:tcBorders>
              <w:top w:val="nil"/>
              <w:bottom w:val="single" w:sz="8" w:space="0" w:color="auto"/>
            </w:tcBorders>
            <w:shd w:val="clear" w:color="auto" w:fill="auto"/>
            <w:noWrap/>
            <w:vAlign w:val="center"/>
            <w:hideMark/>
          </w:tcPr>
          <w:p w14:paraId="52874DA5"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«Հայկական ատոմային էլեկտրակայան ՓԲԸ</w:t>
            </w:r>
          </w:p>
        </w:tc>
        <w:tc>
          <w:tcPr>
            <w:tcW w:w="1814" w:type="dxa"/>
            <w:tcBorders>
              <w:top w:val="nil"/>
              <w:bottom w:val="single" w:sz="8" w:space="0" w:color="auto"/>
            </w:tcBorders>
            <w:shd w:val="clear" w:color="auto" w:fill="auto"/>
            <w:noWrap/>
            <w:vAlign w:val="center"/>
            <w:hideMark/>
          </w:tcPr>
          <w:p w14:paraId="2BBA92B4" w14:textId="77777777" w:rsidR="0078250D" w:rsidRPr="0078250D" w:rsidRDefault="0078250D" w:rsidP="000F26BC">
            <w:pPr>
              <w:tabs>
                <w:tab w:val="left" w:pos="0"/>
              </w:tabs>
              <w:spacing w:line="240" w:lineRule="auto"/>
              <w:jc w:val="center"/>
              <w:rPr>
                <w:rFonts w:cs="Calibri"/>
                <w:b w:val="0"/>
                <w:bCs/>
                <w:sz w:val="18"/>
                <w:szCs w:val="18"/>
              </w:rPr>
            </w:pPr>
            <w:r w:rsidRPr="0078250D">
              <w:rPr>
                <w:rFonts w:cs="Calibri"/>
                <w:b w:val="0"/>
                <w:bCs/>
                <w:sz w:val="18"/>
                <w:szCs w:val="18"/>
              </w:rPr>
              <w:t>122,017</w:t>
            </w:r>
          </w:p>
        </w:tc>
        <w:tc>
          <w:tcPr>
            <w:tcW w:w="757" w:type="dxa"/>
            <w:tcBorders>
              <w:top w:val="nil"/>
              <w:bottom w:val="single" w:sz="8" w:space="0" w:color="auto"/>
            </w:tcBorders>
            <w:shd w:val="clear" w:color="auto" w:fill="auto"/>
            <w:noWrap/>
            <w:vAlign w:val="center"/>
            <w:hideMark/>
          </w:tcPr>
          <w:p w14:paraId="2F9ABC1D"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29,410</w:t>
            </w:r>
          </w:p>
        </w:tc>
        <w:tc>
          <w:tcPr>
            <w:tcW w:w="831" w:type="dxa"/>
            <w:tcBorders>
              <w:top w:val="nil"/>
              <w:bottom w:val="single" w:sz="8" w:space="0" w:color="auto"/>
            </w:tcBorders>
            <w:shd w:val="clear" w:color="auto" w:fill="auto"/>
            <w:noWrap/>
            <w:vAlign w:val="center"/>
            <w:hideMark/>
          </w:tcPr>
          <w:p w14:paraId="5E2F6B44"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22,287</w:t>
            </w:r>
          </w:p>
        </w:tc>
        <w:tc>
          <w:tcPr>
            <w:tcW w:w="796" w:type="dxa"/>
            <w:tcBorders>
              <w:top w:val="single" w:sz="4" w:space="0" w:color="auto"/>
              <w:bottom w:val="single" w:sz="4" w:space="0" w:color="auto"/>
            </w:tcBorders>
            <w:shd w:val="clear" w:color="auto" w:fill="auto"/>
            <w:vAlign w:val="center"/>
          </w:tcPr>
          <w:p w14:paraId="5C32FB86" w14:textId="77777777" w:rsidR="0078250D" w:rsidRPr="0078250D" w:rsidDel="003558B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40,553</w:t>
            </w:r>
          </w:p>
        </w:tc>
        <w:tc>
          <w:tcPr>
            <w:tcW w:w="824" w:type="dxa"/>
            <w:tcBorders>
              <w:top w:val="single" w:sz="4" w:space="0" w:color="auto"/>
              <w:bottom w:val="single" w:sz="4" w:space="0" w:color="auto"/>
            </w:tcBorders>
            <w:shd w:val="clear" w:color="auto" w:fill="auto"/>
            <w:noWrap/>
            <w:vAlign w:val="center"/>
            <w:hideMark/>
          </w:tcPr>
          <w:p w14:paraId="2AE82C22"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w:t>
            </w:r>
            <w:r w:rsidRPr="0078250D">
              <w:rPr>
                <w:rFonts w:cs="Calibri"/>
                <w:b w:val="0"/>
                <w:bCs/>
                <w:color w:val="000000"/>
                <w:sz w:val="18"/>
                <w:szCs w:val="18"/>
                <w:lang w:val="hy-AM"/>
              </w:rPr>
              <w:t>1,742</w:t>
            </w:r>
            <w:r w:rsidRPr="0078250D">
              <w:rPr>
                <w:rFonts w:cs="Calibri"/>
                <w:b w:val="0"/>
                <w:bCs/>
                <w:color w:val="000000"/>
                <w:sz w:val="18"/>
                <w:szCs w:val="18"/>
              </w:rPr>
              <w:t>)</w:t>
            </w:r>
          </w:p>
        </w:tc>
        <w:tc>
          <w:tcPr>
            <w:tcW w:w="870" w:type="dxa"/>
            <w:tcBorders>
              <w:top w:val="nil"/>
              <w:bottom w:val="single" w:sz="8" w:space="0" w:color="auto"/>
            </w:tcBorders>
            <w:shd w:val="clear" w:color="auto" w:fill="auto"/>
            <w:noWrap/>
            <w:vAlign w:val="center"/>
            <w:hideMark/>
          </w:tcPr>
          <w:p w14:paraId="27F1CFC6"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w:t>
            </w:r>
            <w:r w:rsidRPr="0078250D">
              <w:rPr>
                <w:rFonts w:cs="Calibri"/>
                <w:b w:val="0"/>
                <w:bCs/>
                <w:color w:val="000000"/>
                <w:sz w:val="18"/>
                <w:szCs w:val="18"/>
                <w:lang w:val="hy-AM"/>
              </w:rPr>
              <w:t>12,797</w:t>
            </w:r>
            <w:r w:rsidRPr="0078250D">
              <w:rPr>
                <w:rFonts w:cs="Calibri"/>
                <w:b w:val="0"/>
                <w:bCs/>
                <w:color w:val="000000"/>
                <w:sz w:val="18"/>
                <w:szCs w:val="18"/>
              </w:rPr>
              <w:t>)</w:t>
            </w:r>
          </w:p>
        </w:tc>
        <w:tc>
          <w:tcPr>
            <w:tcW w:w="808" w:type="dxa"/>
            <w:tcBorders>
              <w:top w:val="nil"/>
              <w:bottom w:val="single" w:sz="8" w:space="0" w:color="auto"/>
            </w:tcBorders>
            <w:shd w:val="clear" w:color="auto" w:fill="auto"/>
            <w:noWrap/>
            <w:vAlign w:val="center"/>
            <w:hideMark/>
          </w:tcPr>
          <w:p w14:paraId="02BC93FC"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w:t>
            </w:r>
            <w:r w:rsidRPr="0078250D">
              <w:rPr>
                <w:rFonts w:cs="Calibri"/>
                <w:b w:val="0"/>
                <w:bCs/>
                <w:color w:val="000000"/>
                <w:sz w:val="18"/>
                <w:szCs w:val="18"/>
                <w:lang w:val="hy-AM"/>
              </w:rPr>
              <w:t>4,085</w:t>
            </w:r>
            <w:r w:rsidRPr="0078250D">
              <w:rPr>
                <w:rFonts w:cs="Calibri"/>
                <w:b w:val="0"/>
                <w:bCs/>
                <w:color w:val="000000"/>
                <w:sz w:val="18"/>
                <w:szCs w:val="18"/>
              </w:rPr>
              <w:t>)</w:t>
            </w:r>
          </w:p>
        </w:tc>
        <w:tc>
          <w:tcPr>
            <w:tcW w:w="777" w:type="dxa"/>
            <w:gridSpan w:val="2"/>
            <w:tcBorders>
              <w:top w:val="nil"/>
              <w:bottom w:val="single" w:sz="8" w:space="0" w:color="auto"/>
            </w:tcBorders>
            <w:shd w:val="clear" w:color="auto" w:fill="auto"/>
            <w:vAlign w:val="center"/>
          </w:tcPr>
          <w:p w14:paraId="1785CEBD" w14:textId="77777777" w:rsidR="0078250D" w:rsidRPr="0078250D" w:rsidDel="003558B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10,196</w:t>
            </w:r>
          </w:p>
        </w:tc>
        <w:tc>
          <w:tcPr>
            <w:tcW w:w="835" w:type="dxa"/>
            <w:tcBorders>
              <w:top w:val="nil"/>
              <w:bottom w:val="single" w:sz="8" w:space="0" w:color="auto"/>
            </w:tcBorders>
            <w:shd w:val="clear" w:color="auto" w:fill="auto"/>
            <w:noWrap/>
            <w:vAlign w:val="center"/>
            <w:hideMark/>
          </w:tcPr>
          <w:p w14:paraId="0358F83E"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13,409</w:t>
            </w:r>
          </w:p>
        </w:tc>
        <w:tc>
          <w:tcPr>
            <w:tcW w:w="808" w:type="dxa"/>
            <w:gridSpan w:val="2"/>
            <w:tcBorders>
              <w:top w:val="nil"/>
              <w:bottom w:val="single" w:sz="8" w:space="0" w:color="auto"/>
            </w:tcBorders>
            <w:shd w:val="clear" w:color="auto" w:fill="auto"/>
            <w:vAlign w:val="center"/>
          </w:tcPr>
          <w:p w14:paraId="073802E5"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23,605</w:t>
            </w:r>
          </w:p>
        </w:tc>
        <w:tc>
          <w:tcPr>
            <w:tcW w:w="980" w:type="dxa"/>
            <w:tcBorders>
              <w:top w:val="single" w:sz="8" w:space="0" w:color="auto"/>
              <w:bottom w:val="single" w:sz="8" w:space="0" w:color="auto"/>
            </w:tcBorders>
            <w:shd w:val="clear" w:color="auto" w:fill="auto"/>
            <w:vAlign w:val="center"/>
          </w:tcPr>
          <w:p w14:paraId="0AD3D0A7"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157,491</w:t>
            </w:r>
          </w:p>
        </w:tc>
        <w:tc>
          <w:tcPr>
            <w:tcW w:w="1114" w:type="dxa"/>
            <w:gridSpan w:val="2"/>
            <w:tcBorders>
              <w:top w:val="single" w:sz="8" w:space="0" w:color="auto"/>
              <w:bottom w:val="single" w:sz="8" w:space="0" w:color="auto"/>
            </w:tcBorders>
            <w:shd w:val="clear" w:color="auto" w:fill="auto"/>
            <w:noWrap/>
            <w:vAlign w:val="center"/>
          </w:tcPr>
          <w:p w14:paraId="7AF858C0"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131,731</w:t>
            </w:r>
          </w:p>
          <w:p w14:paraId="2471C5E6" w14:textId="77777777" w:rsidR="0078250D" w:rsidRPr="0078250D" w:rsidRDefault="0078250D" w:rsidP="000F26BC">
            <w:pPr>
              <w:tabs>
                <w:tab w:val="left" w:pos="0"/>
              </w:tabs>
              <w:spacing w:line="240" w:lineRule="auto"/>
              <w:jc w:val="center"/>
              <w:rPr>
                <w:rFonts w:cs="Calibri"/>
                <w:b w:val="0"/>
                <w:bCs/>
                <w:color w:val="000000"/>
                <w:sz w:val="18"/>
                <w:szCs w:val="18"/>
              </w:rPr>
            </w:pPr>
          </w:p>
        </w:tc>
        <w:tc>
          <w:tcPr>
            <w:tcW w:w="1086" w:type="dxa"/>
            <w:gridSpan w:val="2"/>
            <w:tcBorders>
              <w:top w:val="nil"/>
              <w:bottom w:val="single" w:sz="8" w:space="0" w:color="auto"/>
            </w:tcBorders>
            <w:shd w:val="clear" w:color="auto" w:fill="auto"/>
            <w:noWrap/>
            <w:vAlign w:val="center"/>
            <w:hideMark/>
          </w:tcPr>
          <w:p w14:paraId="3BC1BDAE"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Էական</w:t>
            </w:r>
          </w:p>
        </w:tc>
      </w:tr>
      <w:tr w:rsidR="0078250D" w:rsidRPr="0078250D" w14:paraId="1C9C82AC" w14:textId="77777777" w:rsidTr="000F26BC">
        <w:trPr>
          <w:trHeight w:val="492"/>
        </w:trPr>
        <w:tc>
          <w:tcPr>
            <w:tcW w:w="2710" w:type="dxa"/>
            <w:tcBorders>
              <w:top w:val="nil"/>
              <w:bottom w:val="single" w:sz="8" w:space="0" w:color="auto"/>
            </w:tcBorders>
            <w:shd w:val="clear" w:color="auto" w:fill="auto"/>
            <w:noWrap/>
            <w:vAlign w:val="center"/>
            <w:hideMark/>
          </w:tcPr>
          <w:p w14:paraId="34C830C0"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«Բարձրավոլտ էլեկտրական ցանցեր ՓԲԸ</w:t>
            </w:r>
          </w:p>
        </w:tc>
        <w:tc>
          <w:tcPr>
            <w:tcW w:w="1814" w:type="dxa"/>
            <w:tcBorders>
              <w:top w:val="nil"/>
              <w:bottom w:val="single" w:sz="8" w:space="0" w:color="auto"/>
            </w:tcBorders>
            <w:shd w:val="clear" w:color="auto" w:fill="auto"/>
            <w:noWrap/>
            <w:vAlign w:val="center"/>
            <w:hideMark/>
          </w:tcPr>
          <w:p w14:paraId="7F030C37" w14:textId="77777777" w:rsidR="0078250D" w:rsidRPr="0078250D" w:rsidRDefault="0078250D" w:rsidP="000F26BC">
            <w:pPr>
              <w:tabs>
                <w:tab w:val="left" w:pos="0"/>
              </w:tabs>
              <w:spacing w:line="240" w:lineRule="auto"/>
              <w:jc w:val="center"/>
              <w:rPr>
                <w:rFonts w:cs="Calibri"/>
                <w:b w:val="0"/>
                <w:bCs/>
                <w:sz w:val="18"/>
                <w:szCs w:val="18"/>
              </w:rPr>
            </w:pPr>
            <w:r w:rsidRPr="0078250D">
              <w:rPr>
                <w:rFonts w:cs="Calibri"/>
                <w:b w:val="0"/>
                <w:bCs/>
                <w:sz w:val="18"/>
                <w:szCs w:val="18"/>
              </w:rPr>
              <w:t>62,966</w:t>
            </w:r>
          </w:p>
        </w:tc>
        <w:tc>
          <w:tcPr>
            <w:tcW w:w="757" w:type="dxa"/>
            <w:tcBorders>
              <w:top w:val="nil"/>
              <w:bottom w:val="single" w:sz="8" w:space="0" w:color="auto"/>
            </w:tcBorders>
            <w:shd w:val="clear" w:color="auto" w:fill="auto"/>
            <w:noWrap/>
            <w:vAlign w:val="center"/>
            <w:hideMark/>
          </w:tcPr>
          <w:p w14:paraId="32F88B59"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7,505</w:t>
            </w:r>
          </w:p>
        </w:tc>
        <w:tc>
          <w:tcPr>
            <w:tcW w:w="831" w:type="dxa"/>
            <w:tcBorders>
              <w:top w:val="nil"/>
              <w:bottom w:val="single" w:sz="8" w:space="0" w:color="auto"/>
            </w:tcBorders>
            <w:shd w:val="clear" w:color="auto" w:fill="auto"/>
            <w:noWrap/>
            <w:vAlign w:val="center"/>
            <w:hideMark/>
          </w:tcPr>
          <w:p w14:paraId="0406A86E"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3,133</w:t>
            </w:r>
          </w:p>
        </w:tc>
        <w:tc>
          <w:tcPr>
            <w:tcW w:w="796" w:type="dxa"/>
            <w:tcBorders>
              <w:top w:val="single" w:sz="4" w:space="0" w:color="auto"/>
              <w:bottom w:val="single" w:sz="4" w:space="0" w:color="auto"/>
            </w:tcBorders>
            <w:shd w:val="clear" w:color="auto" w:fill="auto"/>
            <w:vAlign w:val="center"/>
          </w:tcPr>
          <w:p w14:paraId="0E78484D"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11,474</w:t>
            </w:r>
          </w:p>
        </w:tc>
        <w:tc>
          <w:tcPr>
            <w:tcW w:w="824" w:type="dxa"/>
            <w:tcBorders>
              <w:top w:val="single" w:sz="4" w:space="0" w:color="auto"/>
              <w:bottom w:val="single" w:sz="4" w:space="0" w:color="auto"/>
            </w:tcBorders>
            <w:shd w:val="clear" w:color="auto" w:fill="auto"/>
            <w:noWrap/>
            <w:vAlign w:val="center"/>
            <w:hideMark/>
          </w:tcPr>
          <w:p w14:paraId="377A5843"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2,439</w:t>
            </w:r>
          </w:p>
        </w:tc>
        <w:tc>
          <w:tcPr>
            <w:tcW w:w="870" w:type="dxa"/>
            <w:tcBorders>
              <w:top w:val="nil"/>
              <w:bottom w:val="single" w:sz="8" w:space="0" w:color="auto"/>
            </w:tcBorders>
            <w:shd w:val="clear" w:color="auto" w:fill="auto"/>
            <w:noWrap/>
            <w:vAlign w:val="center"/>
            <w:hideMark/>
          </w:tcPr>
          <w:p w14:paraId="6B98D535"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(10,575)</w:t>
            </w:r>
          </w:p>
        </w:tc>
        <w:tc>
          <w:tcPr>
            <w:tcW w:w="808" w:type="dxa"/>
            <w:tcBorders>
              <w:top w:val="nil"/>
              <w:bottom w:val="single" w:sz="8" w:space="0" w:color="auto"/>
            </w:tcBorders>
            <w:shd w:val="clear" w:color="auto" w:fill="auto"/>
            <w:noWrap/>
            <w:vAlign w:val="center"/>
            <w:hideMark/>
          </w:tcPr>
          <w:p w14:paraId="61384E69"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11,620</w:t>
            </w:r>
          </w:p>
        </w:tc>
        <w:tc>
          <w:tcPr>
            <w:tcW w:w="777" w:type="dxa"/>
            <w:gridSpan w:val="2"/>
            <w:tcBorders>
              <w:top w:val="nil"/>
              <w:bottom w:val="single" w:sz="8" w:space="0" w:color="auto"/>
            </w:tcBorders>
            <w:shd w:val="clear" w:color="auto" w:fill="auto"/>
            <w:vAlign w:val="center"/>
          </w:tcPr>
          <w:p w14:paraId="4824EB3C" w14:textId="77777777" w:rsidR="0078250D" w:rsidRPr="0078250D" w:rsidDel="003B6B3A"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lang w:val="hy-AM"/>
              </w:rPr>
              <w:t>21,173</w:t>
            </w:r>
          </w:p>
        </w:tc>
        <w:tc>
          <w:tcPr>
            <w:tcW w:w="835" w:type="dxa"/>
            <w:tcBorders>
              <w:top w:val="nil"/>
              <w:bottom w:val="single" w:sz="8" w:space="0" w:color="auto"/>
            </w:tcBorders>
            <w:shd w:val="clear" w:color="auto" w:fill="auto"/>
            <w:noWrap/>
            <w:vAlign w:val="center"/>
            <w:hideMark/>
          </w:tcPr>
          <w:p w14:paraId="4B613583"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lang w:val="hy-AM"/>
              </w:rPr>
              <w:t>14,303</w:t>
            </w:r>
          </w:p>
        </w:tc>
        <w:tc>
          <w:tcPr>
            <w:tcW w:w="808" w:type="dxa"/>
            <w:gridSpan w:val="2"/>
            <w:tcBorders>
              <w:top w:val="nil"/>
              <w:bottom w:val="single" w:sz="8" w:space="0" w:color="auto"/>
            </w:tcBorders>
            <w:shd w:val="clear" w:color="auto" w:fill="auto"/>
            <w:vAlign w:val="center"/>
          </w:tcPr>
          <w:p w14:paraId="6B4EBED3"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rPr>
              <w:t>29,080</w:t>
            </w:r>
          </w:p>
        </w:tc>
        <w:tc>
          <w:tcPr>
            <w:tcW w:w="980" w:type="dxa"/>
            <w:tcBorders>
              <w:top w:val="single" w:sz="8" w:space="0" w:color="auto"/>
              <w:bottom w:val="single" w:sz="8" w:space="0" w:color="auto"/>
            </w:tcBorders>
            <w:shd w:val="clear" w:color="auto" w:fill="auto"/>
            <w:vAlign w:val="center"/>
          </w:tcPr>
          <w:p w14:paraId="46FB957F"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rPr>
              <w:t>104,013</w:t>
            </w:r>
          </w:p>
        </w:tc>
        <w:tc>
          <w:tcPr>
            <w:tcW w:w="1114" w:type="dxa"/>
            <w:gridSpan w:val="2"/>
            <w:tcBorders>
              <w:top w:val="single" w:sz="8" w:space="0" w:color="auto"/>
              <w:bottom w:val="single" w:sz="8" w:space="0" w:color="auto"/>
            </w:tcBorders>
            <w:shd w:val="clear" w:color="auto" w:fill="auto"/>
            <w:noWrap/>
            <w:vAlign w:val="center"/>
          </w:tcPr>
          <w:p w14:paraId="3CA2F1E5" w14:textId="77777777" w:rsidR="0078250D" w:rsidRPr="0078250D" w:rsidRDefault="0078250D" w:rsidP="000F26BC">
            <w:pPr>
              <w:tabs>
                <w:tab w:val="left" w:pos="0"/>
              </w:tabs>
              <w:spacing w:line="240" w:lineRule="auto"/>
              <w:jc w:val="center"/>
              <w:rPr>
                <w:rFonts w:cs="Calibri"/>
                <w:b w:val="0"/>
                <w:bCs/>
                <w:color w:val="000000"/>
                <w:sz w:val="18"/>
                <w:szCs w:val="18"/>
                <w:lang w:val="hy-AM"/>
              </w:rPr>
            </w:pPr>
          </w:p>
          <w:p w14:paraId="52269FFA"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89,097</w:t>
            </w:r>
          </w:p>
          <w:p w14:paraId="2ED42618" w14:textId="77777777" w:rsidR="0078250D" w:rsidRPr="0078250D" w:rsidRDefault="0078250D" w:rsidP="000F26BC">
            <w:pPr>
              <w:tabs>
                <w:tab w:val="left" w:pos="0"/>
              </w:tabs>
              <w:spacing w:line="240" w:lineRule="auto"/>
              <w:jc w:val="center"/>
              <w:rPr>
                <w:rFonts w:cs="Calibri"/>
                <w:b w:val="0"/>
                <w:bCs/>
                <w:color w:val="000000"/>
                <w:sz w:val="18"/>
                <w:szCs w:val="18"/>
                <w:lang w:val="hy-AM"/>
              </w:rPr>
            </w:pPr>
          </w:p>
        </w:tc>
        <w:tc>
          <w:tcPr>
            <w:tcW w:w="1086" w:type="dxa"/>
            <w:gridSpan w:val="2"/>
            <w:tcBorders>
              <w:top w:val="nil"/>
              <w:bottom w:val="single" w:sz="8" w:space="0" w:color="auto"/>
            </w:tcBorders>
            <w:shd w:val="clear" w:color="auto" w:fill="auto"/>
            <w:noWrap/>
            <w:vAlign w:val="center"/>
            <w:hideMark/>
          </w:tcPr>
          <w:p w14:paraId="1BC62C41"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Ցածր</w:t>
            </w:r>
          </w:p>
        </w:tc>
      </w:tr>
      <w:tr w:rsidR="0078250D" w:rsidRPr="0078250D" w14:paraId="3FBCE4D7" w14:textId="77777777" w:rsidTr="000F26BC">
        <w:trPr>
          <w:trHeight w:val="688"/>
        </w:trPr>
        <w:tc>
          <w:tcPr>
            <w:tcW w:w="2710" w:type="dxa"/>
            <w:tcBorders>
              <w:top w:val="nil"/>
              <w:bottom w:val="single" w:sz="8" w:space="0" w:color="auto"/>
            </w:tcBorders>
            <w:shd w:val="clear" w:color="auto" w:fill="auto"/>
            <w:noWrap/>
            <w:vAlign w:val="center"/>
            <w:hideMark/>
          </w:tcPr>
          <w:p w14:paraId="3B4DB7C8"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«Էլեկտրաէներգետիկական համակարգի օպերատոր» ՓԲԸ</w:t>
            </w:r>
          </w:p>
        </w:tc>
        <w:tc>
          <w:tcPr>
            <w:tcW w:w="1814" w:type="dxa"/>
            <w:tcBorders>
              <w:top w:val="nil"/>
              <w:bottom w:val="single" w:sz="8" w:space="0" w:color="auto"/>
            </w:tcBorders>
            <w:shd w:val="clear" w:color="auto" w:fill="auto"/>
            <w:noWrap/>
            <w:vAlign w:val="center"/>
            <w:hideMark/>
          </w:tcPr>
          <w:p w14:paraId="2F904F72" w14:textId="77777777" w:rsidR="0078250D" w:rsidRPr="0078250D" w:rsidRDefault="0078250D" w:rsidP="000F26BC">
            <w:pPr>
              <w:tabs>
                <w:tab w:val="left" w:pos="0"/>
              </w:tabs>
              <w:spacing w:line="240" w:lineRule="auto"/>
              <w:jc w:val="center"/>
              <w:rPr>
                <w:rFonts w:cs="Calibri"/>
                <w:b w:val="0"/>
                <w:bCs/>
                <w:sz w:val="18"/>
                <w:szCs w:val="18"/>
              </w:rPr>
            </w:pPr>
            <w:r w:rsidRPr="0078250D">
              <w:rPr>
                <w:rFonts w:cs="Calibri"/>
                <w:b w:val="0"/>
                <w:bCs/>
                <w:sz w:val="18"/>
                <w:szCs w:val="18"/>
              </w:rPr>
              <w:t>8,873</w:t>
            </w:r>
          </w:p>
        </w:tc>
        <w:tc>
          <w:tcPr>
            <w:tcW w:w="757" w:type="dxa"/>
            <w:tcBorders>
              <w:top w:val="nil"/>
              <w:bottom w:val="single" w:sz="8" w:space="0" w:color="auto"/>
            </w:tcBorders>
            <w:shd w:val="clear" w:color="auto" w:fill="auto"/>
            <w:noWrap/>
            <w:vAlign w:val="center"/>
            <w:hideMark/>
          </w:tcPr>
          <w:p w14:paraId="4E448F72"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2,029</w:t>
            </w:r>
          </w:p>
        </w:tc>
        <w:tc>
          <w:tcPr>
            <w:tcW w:w="831" w:type="dxa"/>
            <w:tcBorders>
              <w:top w:val="nil"/>
              <w:bottom w:val="single" w:sz="8" w:space="0" w:color="auto"/>
            </w:tcBorders>
            <w:shd w:val="clear" w:color="auto" w:fill="auto"/>
            <w:noWrap/>
            <w:vAlign w:val="center"/>
            <w:hideMark/>
          </w:tcPr>
          <w:p w14:paraId="373FE9BF"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lang w:val="hy-AM"/>
              </w:rPr>
              <w:t>1,773</w:t>
            </w:r>
          </w:p>
        </w:tc>
        <w:tc>
          <w:tcPr>
            <w:tcW w:w="796" w:type="dxa"/>
            <w:tcBorders>
              <w:top w:val="single" w:sz="4" w:space="0" w:color="auto"/>
              <w:bottom w:val="single" w:sz="4" w:space="0" w:color="auto"/>
            </w:tcBorders>
            <w:shd w:val="clear" w:color="auto" w:fill="auto"/>
            <w:vAlign w:val="center"/>
          </w:tcPr>
          <w:p w14:paraId="29F71C5B"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2,007</w:t>
            </w:r>
          </w:p>
        </w:tc>
        <w:tc>
          <w:tcPr>
            <w:tcW w:w="824" w:type="dxa"/>
            <w:tcBorders>
              <w:top w:val="single" w:sz="4" w:space="0" w:color="auto"/>
              <w:bottom w:val="single" w:sz="4" w:space="0" w:color="auto"/>
            </w:tcBorders>
            <w:shd w:val="clear" w:color="auto" w:fill="auto"/>
            <w:noWrap/>
            <w:vAlign w:val="center"/>
            <w:hideMark/>
          </w:tcPr>
          <w:p w14:paraId="08078BFB"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18</w:t>
            </w:r>
          </w:p>
        </w:tc>
        <w:tc>
          <w:tcPr>
            <w:tcW w:w="870" w:type="dxa"/>
            <w:tcBorders>
              <w:top w:val="nil"/>
              <w:bottom w:val="single" w:sz="8" w:space="0" w:color="auto"/>
            </w:tcBorders>
            <w:shd w:val="clear" w:color="auto" w:fill="auto"/>
            <w:noWrap/>
            <w:vAlign w:val="center"/>
            <w:hideMark/>
          </w:tcPr>
          <w:p w14:paraId="2491C326"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-839</w:t>
            </w:r>
          </w:p>
        </w:tc>
        <w:tc>
          <w:tcPr>
            <w:tcW w:w="808" w:type="dxa"/>
            <w:tcBorders>
              <w:top w:val="nil"/>
              <w:bottom w:val="single" w:sz="8" w:space="0" w:color="auto"/>
            </w:tcBorders>
            <w:shd w:val="clear" w:color="auto" w:fill="auto"/>
            <w:noWrap/>
            <w:vAlign w:val="center"/>
            <w:hideMark/>
          </w:tcPr>
          <w:p w14:paraId="06F84DAB"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1,232</w:t>
            </w:r>
          </w:p>
        </w:tc>
        <w:tc>
          <w:tcPr>
            <w:tcW w:w="777" w:type="dxa"/>
            <w:gridSpan w:val="2"/>
            <w:tcBorders>
              <w:top w:val="nil"/>
              <w:bottom w:val="single" w:sz="8" w:space="0" w:color="auto"/>
            </w:tcBorders>
            <w:shd w:val="clear" w:color="auto" w:fill="auto"/>
            <w:vAlign w:val="center"/>
          </w:tcPr>
          <w:p w14:paraId="7EC849D2"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1888</w:t>
            </w:r>
          </w:p>
        </w:tc>
        <w:tc>
          <w:tcPr>
            <w:tcW w:w="835" w:type="dxa"/>
            <w:tcBorders>
              <w:top w:val="nil"/>
              <w:bottom w:val="single" w:sz="8" w:space="0" w:color="auto"/>
            </w:tcBorders>
            <w:shd w:val="clear" w:color="auto" w:fill="auto"/>
            <w:noWrap/>
            <w:vAlign w:val="center"/>
            <w:hideMark/>
          </w:tcPr>
          <w:p w14:paraId="64C50009"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2,674</w:t>
            </w:r>
          </w:p>
        </w:tc>
        <w:tc>
          <w:tcPr>
            <w:tcW w:w="808" w:type="dxa"/>
            <w:gridSpan w:val="2"/>
            <w:tcBorders>
              <w:top w:val="nil"/>
              <w:bottom w:val="single" w:sz="8" w:space="0" w:color="auto"/>
            </w:tcBorders>
            <w:shd w:val="clear" w:color="auto" w:fill="auto"/>
            <w:vAlign w:val="center"/>
          </w:tcPr>
          <w:p w14:paraId="749F581F"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4</w:t>
            </w:r>
            <w:r w:rsidRPr="0078250D">
              <w:rPr>
                <w:rFonts w:cs="Calibri"/>
                <w:b w:val="0"/>
                <w:bCs/>
                <w:color w:val="000000"/>
                <w:sz w:val="18"/>
                <w:szCs w:val="18"/>
              </w:rPr>
              <w:t>,</w:t>
            </w:r>
            <w:r w:rsidRPr="0078250D">
              <w:rPr>
                <w:rFonts w:cs="Calibri"/>
                <w:b w:val="0"/>
                <w:bCs/>
                <w:color w:val="000000"/>
                <w:sz w:val="18"/>
                <w:szCs w:val="18"/>
                <w:lang w:val="hy-AM"/>
              </w:rPr>
              <w:t>544</w:t>
            </w:r>
          </w:p>
        </w:tc>
        <w:tc>
          <w:tcPr>
            <w:tcW w:w="980" w:type="dxa"/>
            <w:tcBorders>
              <w:top w:val="single" w:sz="8" w:space="0" w:color="auto"/>
              <w:bottom w:val="single" w:sz="8" w:space="0" w:color="auto"/>
            </w:tcBorders>
            <w:shd w:val="clear" w:color="auto" w:fill="auto"/>
            <w:vAlign w:val="center"/>
          </w:tcPr>
          <w:p w14:paraId="20048AF6"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rPr>
              <w:t>9,173</w:t>
            </w:r>
          </w:p>
        </w:tc>
        <w:tc>
          <w:tcPr>
            <w:tcW w:w="1114" w:type="dxa"/>
            <w:gridSpan w:val="2"/>
            <w:tcBorders>
              <w:top w:val="single" w:sz="8" w:space="0" w:color="auto"/>
              <w:bottom w:val="single" w:sz="8" w:space="0" w:color="auto"/>
            </w:tcBorders>
            <w:shd w:val="clear" w:color="auto" w:fill="auto"/>
            <w:noWrap/>
            <w:vAlign w:val="center"/>
          </w:tcPr>
          <w:p w14:paraId="6953AFD8"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7,085</w:t>
            </w:r>
          </w:p>
        </w:tc>
        <w:tc>
          <w:tcPr>
            <w:tcW w:w="1086" w:type="dxa"/>
            <w:gridSpan w:val="2"/>
            <w:tcBorders>
              <w:top w:val="nil"/>
              <w:bottom w:val="single" w:sz="8" w:space="0" w:color="auto"/>
            </w:tcBorders>
            <w:shd w:val="clear" w:color="auto" w:fill="auto"/>
            <w:noWrap/>
            <w:vAlign w:val="center"/>
            <w:hideMark/>
          </w:tcPr>
          <w:p w14:paraId="4A8DDF50"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Ցածր</w:t>
            </w:r>
          </w:p>
        </w:tc>
      </w:tr>
      <w:tr w:rsidR="0078250D" w:rsidRPr="0078250D" w14:paraId="30020BA1" w14:textId="77777777" w:rsidTr="000F26BC">
        <w:trPr>
          <w:trHeight w:val="685"/>
        </w:trPr>
        <w:tc>
          <w:tcPr>
            <w:tcW w:w="2710" w:type="dxa"/>
            <w:tcBorders>
              <w:top w:val="nil"/>
              <w:bottom w:val="single" w:sz="8" w:space="0" w:color="auto"/>
            </w:tcBorders>
            <w:shd w:val="clear" w:color="auto" w:fill="auto"/>
            <w:noWrap/>
            <w:vAlign w:val="center"/>
            <w:hideMark/>
          </w:tcPr>
          <w:p w14:paraId="4CA3F1B5"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Կարեն Դեմիրճյանի անվան Երևանի մետրոպոլիտեն ՓԲԸ</w:t>
            </w:r>
          </w:p>
        </w:tc>
        <w:tc>
          <w:tcPr>
            <w:tcW w:w="1814" w:type="dxa"/>
            <w:tcBorders>
              <w:top w:val="nil"/>
              <w:bottom w:val="single" w:sz="8" w:space="0" w:color="auto"/>
            </w:tcBorders>
            <w:shd w:val="clear" w:color="auto" w:fill="auto"/>
            <w:noWrap/>
            <w:vAlign w:val="center"/>
            <w:hideMark/>
          </w:tcPr>
          <w:p w14:paraId="487C9248" w14:textId="77777777" w:rsidR="0078250D" w:rsidRPr="0078250D" w:rsidRDefault="0078250D" w:rsidP="000F26BC">
            <w:pPr>
              <w:tabs>
                <w:tab w:val="left" w:pos="0"/>
              </w:tabs>
              <w:spacing w:line="240" w:lineRule="auto"/>
              <w:jc w:val="center"/>
              <w:rPr>
                <w:rFonts w:cs="Calibri"/>
                <w:b w:val="0"/>
                <w:bCs/>
                <w:sz w:val="18"/>
                <w:szCs w:val="18"/>
              </w:rPr>
            </w:pPr>
            <w:r w:rsidRPr="0078250D">
              <w:rPr>
                <w:rFonts w:cs="Calibri"/>
                <w:b w:val="0"/>
                <w:bCs/>
                <w:sz w:val="18"/>
                <w:szCs w:val="18"/>
              </w:rPr>
              <w:t>4,485</w:t>
            </w:r>
          </w:p>
        </w:tc>
        <w:tc>
          <w:tcPr>
            <w:tcW w:w="757" w:type="dxa"/>
            <w:tcBorders>
              <w:top w:val="nil"/>
              <w:bottom w:val="single" w:sz="8" w:space="0" w:color="auto"/>
            </w:tcBorders>
            <w:shd w:val="clear" w:color="auto" w:fill="auto"/>
            <w:noWrap/>
            <w:vAlign w:val="center"/>
            <w:hideMark/>
          </w:tcPr>
          <w:p w14:paraId="6E04B2B7"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2,510</w:t>
            </w:r>
          </w:p>
        </w:tc>
        <w:tc>
          <w:tcPr>
            <w:tcW w:w="831" w:type="dxa"/>
            <w:tcBorders>
              <w:top w:val="nil"/>
              <w:bottom w:val="single" w:sz="8" w:space="0" w:color="auto"/>
            </w:tcBorders>
            <w:shd w:val="clear" w:color="auto" w:fill="auto"/>
            <w:noWrap/>
            <w:vAlign w:val="center"/>
            <w:hideMark/>
          </w:tcPr>
          <w:p w14:paraId="4548F929"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3,131</w:t>
            </w:r>
          </w:p>
        </w:tc>
        <w:tc>
          <w:tcPr>
            <w:tcW w:w="796" w:type="dxa"/>
            <w:tcBorders>
              <w:top w:val="single" w:sz="4" w:space="0" w:color="auto"/>
              <w:bottom w:val="single" w:sz="4" w:space="0" w:color="auto"/>
            </w:tcBorders>
            <w:shd w:val="clear" w:color="auto" w:fill="auto"/>
            <w:vAlign w:val="center"/>
          </w:tcPr>
          <w:p w14:paraId="1B8B7C47"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4,811</w:t>
            </w:r>
          </w:p>
        </w:tc>
        <w:tc>
          <w:tcPr>
            <w:tcW w:w="824" w:type="dxa"/>
            <w:tcBorders>
              <w:top w:val="single" w:sz="4" w:space="0" w:color="auto"/>
              <w:bottom w:val="single" w:sz="4" w:space="0" w:color="auto"/>
            </w:tcBorders>
            <w:shd w:val="clear" w:color="auto" w:fill="auto"/>
            <w:noWrap/>
            <w:vAlign w:val="center"/>
            <w:hideMark/>
          </w:tcPr>
          <w:p w14:paraId="512B763A"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790</w:t>
            </w:r>
          </w:p>
        </w:tc>
        <w:tc>
          <w:tcPr>
            <w:tcW w:w="870" w:type="dxa"/>
            <w:tcBorders>
              <w:top w:val="nil"/>
              <w:bottom w:val="single" w:sz="8" w:space="0" w:color="auto"/>
            </w:tcBorders>
            <w:shd w:val="clear" w:color="auto" w:fill="auto"/>
            <w:noWrap/>
            <w:vAlign w:val="center"/>
            <w:hideMark/>
          </w:tcPr>
          <w:p w14:paraId="0B635F06"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(1,220)</w:t>
            </w:r>
          </w:p>
        </w:tc>
        <w:tc>
          <w:tcPr>
            <w:tcW w:w="808" w:type="dxa"/>
            <w:tcBorders>
              <w:top w:val="nil"/>
              <w:bottom w:val="single" w:sz="8" w:space="0" w:color="auto"/>
            </w:tcBorders>
            <w:shd w:val="clear" w:color="auto" w:fill="auto"/>
            <w:noWrap/>
            <w:vAlign w:val="center"/>
            <w:hideMark/>
          </w:tcPr>
          <w:p w14:paraId="7E411562"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1,370</w:t>
            </w:r>
          </w:p>
        </w:tc>
        <w:tc>
          <w:tcPr>
            <w:tcW w:w="777" w:type="dxa"/>
            <w:gridSpan w:val="2"/>
            <w:tcBorders>
              <w:top w:val="nil"/>
              <w:bottom w:val="single" w:sz="8" w:space="0" w:color="auto"/>
            </w:tcBorders>
            <w:shd w:val="clear" w:color="auto" w:fill="auto"/>
            <w:vAlign w:val="center"/>
          </w:tcPr>
          <w:p w14:paraId="21DE5740"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1,515</w:t>
            </w:r>
          </w:p>
        </w:tc>
        <w:tc>
          <w:tcPr>
            <w:tcW w:w="835" w:type="dxa"/>
            <w:tcBorders>
              <w:top w:val="nil"/>
              <w:bottom w:val="single" w:sz="8" w:space="0" w:color="auto"/>
            </w:tcBorders>
            <w:shd w:val="clear" w:color="auto" w:fill="auto"/>
            <w:noWrap/>
            <w:vAlign w:val="center"/>
            <w:hideMark/>
          </w:tcPr>
          <w:p w14:paraId="69C5F575"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lang w:val="hy-AM"/>
              </w:rPr>
              <w:t>1,926</w:t>
            </w:r>
            <w:r w:rsidRPr="0078250D">
              <w:rPr>
                <w:rFonts w:cs="Calibri"/>
                <w:b w:val="0"/>
                <w:bCs/>
                <w:color w:val="000000"/>
                <w:sz w:val="18"/>
                <w:szCs w:val="18"/>
              </w:rPr>
              <w:t xml:space="preserve">             </w:t>
            </w:r>
          </w:p>
        </w:tc>
        <w:tc>
          <w:tcPr>
            <w:tcW w:w="808" w:type="dxa"/>
            <w:gridSpan w:val="2"/>
            <w:tcBorders>
              <w:top w:val="nil"/>
              <w:bottom w:val="single" w:sz="8" w:space="0" w:color="auto"/>
            </w:tcBorders>
            <w:shd w:val="clear" w:color="auto" w:fill="auto"/>
          </w:tcPr>
          <w:p w14:paraId="6A668715" w14:textId="77777777" w:rsidR="0078250D" w:rsidRPr="0078250D" w:rsidRDefault="0078250D" w:rsidP="000F26BC">
            <w:pPr>
              <w:tabs>
                <w:tab w:val="left" w:pos="0"/>
              </w:tabs>
              <w:spacing w:line="240" w:lineRule="auto"/>
              <w:jc w:val="center"/>
              <w:rPr>
                <w:rFonts w:cs="Calibri"/>
                <w:b w:val="0"/>
                <w:bCs/>
                <w:color w:val="000000"/>
                <w:sz w:val="18"/>
                <w:szCs w:val="18"/>
              </w:rPr>
            </w:pPr>
          </w:p>
          <w:p w14:paraId="7A591AF3"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3,441</w:t>
            </w:r>
          </w:p>
        </w:tc>
        <w:tc>
          <w:tcPr>
            <w:tcW w:w="980" w:type="dxa"/>
            <w:tcBorders>
              <w:top w:val="single" w:sz="8" w:space="0" w:color="auto"/>
              <w:bottom w:val="single" w:sz="8" w:space="0" w:color="auto"/>
            </w:tcBorders>
            <w:shd w:val="clear" w:color="auto" w:fill="auto"/>
            <w:vAlign w:val="center"/>
          </w:tcPr>
          <w:p w14:paraId="476BD2D0"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lang w:val="hy-AM"/>
              </w:rPr>
              <w:t>9,168</w:t>
            </w:r>
          </w:p>
        </w:tc>
        <w:tc>
          <w:tcPr>
            <w:tcW w:w="1114" w:type="dxa"/>
            <w:gridSpan w:val="2"/>
            <w:tcBorders>
              <w:top w:val="single" w:sz="8" w:space="0" w:color="auto"/>
              <w:bottom w:val="single" w:sz="8" w:space="0" w:color="auto"/>
            </w:tcBorders>
            <w:shd w:val="clear" w:color="auto" w:fill="auto"/>
            <w:noWrap/>
            <w:vAlign w:val="center"/>
          </w:tcPr>
          <w:p w14:paraId="0E835D31"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7,570</w:t>
            </w:r>
          </w:p>
        </w:tc>
        <w:tc>
          <w:tcPr>
            <w:tcW w:w="1086" w:type="dxa"/>
            <w:gridSpan w:val="2"/>
            <w:tcBorders>
              <w:top w:val="nil"/>
              <w:bottom w:val="single" w:sz="8" w:space="0" w:color="auto"/>
            </w:tcBorders>
            <w:shd w:val="clear" w:color="auto" w:fill="auto"/>
            <w:noWrap/>
            <w:vAlign w:val="center"/>
            <w:hideMark/>
          </w:tcPr>
          <w:p w14:paraId="609ADC4B"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Ցածր</w:t>
            </w:r>
          </w:p>
        </w:tc>
      </w:tr>
      <w:tr w:rsidR="0078250D" w:rsidRPr="0078250D" w14:paraId="13553FC6" w14:textId="77777777" w:rsidTr="000F26BC">
        <w:trPr>
          <w:trHeight w:val="688"/>
        </w:trPr>
        <w:tc>
          <w:tcPr>
            <w:tcW w:w="2710" w:type="dxa"/>
            <w:tcBorders>
              <w:top w:val="nil"/>
              <w:bottom w:val="single" w:sz="8" w:space="0" w:color="auto"/>
            </w:tcBorders>
            <w:shd w:val="clear" w:color="auto" w:fill="auto"/>
            <w:noWrap/>
            <w:vAlign w:val="center"/>
            <w:hideMark/>
          </w:tcPr>
          <w:p w14:paraId="5984E5EB"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Ռադիոիզոտոպների արտադրության կենտրոն ՓԲԸ</w:t>
            </w:r>
          </w:p>
        </w:tc>
        <w:tc>
          <w:tcPr>
            <w:tcW w:w="1814" w:type="dxa"/>
            <w:tcBorders>
              <w:top w:val="nil"/>
              <w:bottom w:val="single" w:sz="8" w:space="0" w:color="auto"/>
            </w:tcBorders>
            <w:shd w:val="clear" w:color="auto" w:fill="auto"/>
            <w:noWrap/>
            <w:vAlign w:val="center"/>
            <w:hideMark/>
          </w:tcPr>
          <w:p w14:paraId="5A755EAE" w14:textId="77777777" w:rsidR="0078250D" w:rsidRPr="0078250D" w:rsidRDefault="0078250D" w:rsidP="000F26BC">
            <w:pPr>
              <w:tabs>
                <w:tab w:val="left" w:pos="0"/>
              </w:tabs>
              <w:spacing w:line="240" w:lineRule="auto"/>
              <w:jc w:val="center"/>
              <w:rPr>
                <w:rFonts w:cs="Calibri"/>
                <w:b w:val="0"/>
                <w:bCs/>
                <w:sz w:val="18"/>
                <w:szCs w:val="18"/>
              </w:rPr>
            </w:pPr>
            <w:r w:rsidRPr="0078250D">
              <w:rPr>
                <w:rFonts w:cs="Calibri"/>
                <w:b w:val="0"/>
                <w:bCs/>
                <w:sz w:val="18"/>
                <w:szCs w:val="18"/>
              </w:rPr>
              <w:t>2,196</w:t>
            </w:r>
          </w:p>
        </w:tc>
        <w:tc>
          <w:tcPr>
            <w:tcW w:w="757" w:type="dxa"/>
            <w:tcBorders>
              <w:top w:val="nil"/>
              <w:bottom w:val="single" w:sz="8" w:space="0" w:color="auto"/>
            </w:tcBorders>
            <w:shd w:val="clear" w:color="auto" w:fill="auto"/>
            <w:noWrap/>
            <w:vAlign w:val="center"/>
            <w:hideMark/>
          </w:tcPr>
          <w:p w14:paraId="63BE3225"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89</w:t>
            </w:r>
          </w:p>
        </w:tc>
        <w:tc>
          <w:tcPr>
            <w:tcW w:w="831" w:type="dxa"/>
            <w:tcBorders>
              <w:top w:val="nil"/>
              <w:bottom w:val="single" w:sz="8" w:space="0" w:color="auto"/>
            </w:tcBorders>
            <w:shd w:val="clear" w:color="auto" w:fill="auto"/>
            <w:noWrap/>
            <w:vAlign w:val="center"/>
            <w:hideMark/>
          </w:tcPr>
          <w:p w14:paraId="129695BA"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lang w:val="hy-AM"/>
              </w:rPr>
              <w:t>14.3</w:t>
            </w:r>
          </w:p>
        </w:tc>
        <w:tc>
          <w:tcPr>
            <w:tcW w:w="796" w:type="dxa"/>
            <w:tcBorders>
              <w:top w:val="single" w:sz="4" w:space="0" w:color="auto"/>
              <w:bottom w:val="single" w:sz="4" w:space="0" w:color="auto"/>
            </w:tcBorders>
            <w:shd w:val="clear" w:color="auto" w:fill="auto"/>
            <w:vAlign w:val="center"/>
          </w:tcPr>
          <w:p w14:paraId="35FAC3B5" w14:textId="77777777" w:rsidR="0078250D" w:rsidRPr="0078250D" w:rsidRDefault="0078250D" w:rsidP="000F26BC">
            <w:pPr>
              <w:tabs>
                <w:tab w:val="left" w:pos="0"/>
              </w:tabs>
              <w:spacing w:line="240" w:lineRule="auto"/>
              <w:jc w:val="center"/>
              <w:rPr>
                <w:rFonts w:cs="Calibri"/>
                <w:b w:val="0"/>
                <w:bCs/>
                <w:color w:val="000000"/>
                <w:sz w:val="18"/>
                <w:szCs w:val="18"/>
                <w:lang w:val="hy-AM"/>
              </w:rPr>
            </w:pPr>
            <w:r w:rsidRPr="0078250D">
              <w:rPr>
                <w:rFonts w:cs="Calibri"/>
                <w:b w:val="0"/>
                <w:bCs/>
                <w:color w:val="000000"/>
                <w:sz w:val="18"/>
                <w:szCs w:val="18"/>
                <w:lang w:val="hy-AM"/>
              </w:rPr>
              <w:t>162</w:t>
            </w:r>
          </w:p>
        </w:tc>
        <w:tc>
          <w:tcPr>
            <w:tcW w:w="824" w:type="dxa"/>
            <w:tcBorders>
              <w:top w:val="single" w:sz="4" w:space="0" w:color="auto"/>
              <w:bottom w:val="single" w:sz="4" w:space="0" w:color="auto"/>
            </w:tcBorders>
            <w:shd w:val="clear" w:color="auto" w:fill="auto"/>
            <w:noWrap/>
            <w:vAlign w:val="center"/>
            <w:hideMark/>
          </w:tcPr>
          <w:p w14:paraId="7032C700"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(386)</w:t>
            </w:r>
          </w:p>
        </w:tc>
        <w:tc>
          <w:tcPr>
            <w:tcW w:w="870" w:type="dxa"/>
            <w:tcBorders>
              <w:top w:val="nil"/>
              <w:bottom w:val="single" w:sz="8" w:space="0" w:color="auto"/>
            </w:tcBorders>
            <w:shd w:val="clear" w:color="auto" w:fill="auto"/>
            <w:noWrap/>
            <w:vAlign w:val="center"/>
            <w:hideMark/>
          </w:tcPr>
          <w:p w14:paraId="67093971"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(272)</w:t>
            </w:r>
          </w:p>
        </w:tc>
        <w:tc>
          <w:tcPr>
            <w:tcW w:w="808" w:type="dxa"/>
            <w:tcBorders>
              <w:top w:val="nil"/>
              <w:bottom w:val="single" w:sz="8" w:space="0" w:color="auto"/>
            </w:tcBorders>
            <w:shd w:val="clear" w:color="auto" w:fill="auto"/>
            <w:noWrap/>
            <w:vAlign w:val="center"/>
            <w:hideMark/>
          </w:tcPr>
          <w:p w14:paraId="67ED9A5C"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w:t>
            </w:r>
            <w:r w:rsidRPr="0078250D">
              <w:rPr>
                <w:rFonts w:cs="Calibri"/>
                <w:b w:val="0"/>
                <w:bCs/>
                <w:color w:val="000000"/>
                <w:sz w:val="18"/>
                <w:szCs w:val="18"/>
                <w:lang w:val="hy-AM"/>
              </w:rPr>
              <w:t>269</w:t>
            </w:r>
            <w:r w:rsidRPr="0078250D">
              <w:rPr>
                <w:rFonts w:cs="Calibri"/>
                <w:b w:val="0"/>
                <w:bCs/>
                <w:color w:val="000000"/>
                <w:sz w:val="18"/>
                <w:szCs w:val="18"/>
              </w:rPr>
              <w:t>)</w:t>
            </w:r>
          </w:p>
        </w:tc>
        <w:tc>
          <w:tcPr>
            <w:tcW w:w="777" w:type="dxa"/>
            <w:gridSpan w:val="2"/>
            <w:tcBorders>
              <w:top w:val="nil"/>
              <w:bottom w:val="single" w:sz="8" w:space="0" w:color="auto"/>
            </w:tcBorders>
            <w:shd w:val="clear" w:color="auto" w:fill="auto"/>
            <w:vAlign w:val="center"/>
          </w:tcPr>
          <w:p w14:paraId="2147B45C"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w:t>
            </w:r>
            <w:r w:rsidRPr="0078250D">
              <w:rPr>
                <w:rFonts w:cs="Calibri"/>
                <w:b w:val="0"/>
                <w:bCs/>
                <w:color w:val="000000"/>
                <w:sz w:val="18"/>
                <w:szCs w:val="18"/>
                <w:lang w:val="hy-AM"/>
              </w:rPr>
              <w:t>231</w:t>
            </w:r>
            <w:r w:rsidRPr="0078250D">
              <w:rPr>
                <w:rFonts w:cs="Calibri"/>
                <w:b w:val="0"/>
                <w:bCs/>
                <w:color w:val="000000"/>
                <w:sz w:val="18"/>
                <w:szCs w:val="18"/>
              </w:rPr>
              <w:t>)</w:t>
            </w:r>
          </w:p>
        </w:tc>
        <w:tc>
          <w:tcPr>
            <w:tcW w:w="835" w:type="dxa"/>
            <w:tcBorders>
              <w:top w:val="nil"/>
              <w:bottom w:val="single" w:sz="8" w:space="0" w:color="auto"/>
            </w:tcBorders>
            <w:shd w:val="clear" w:color="auto" w:fill="auto"/>
            <w:noWrap/>
            <w:vAlign w:val="center"/>
            <w:hideMark/>
          </w:tcPr>
          <w:p w14:paraId="56DEE757"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 xml:space="preserve">(2,145)        </w:t>
            </w:r>
          </w:p>
        </w:tc>
        <w:tc>
          <w:tcPr>
            <w:tcW w:w="808" w:type="dxa"/>
            <w:gridSpan w:val="2"/>
            <w:tcBorders>
              <w:top w:val="nil"/>
              <w:bottom w:val="single" w:sz="8" w:space="0" w:color="auto"/>
            </w:tcBorders>
            <w:shd w:val="clear" w:color="auto" w:fill="auto"/>
          </w:tcPr>
          <w:p w14:paraId="405DDE1B" w14:textId="77777777" w:rsidR="0078250D" w:rsidRPr="0078250D" w:rsidRDefault="0078250D" w:rsidP="000F26BC">
            <w:pPr>
              <w:tabs>
                <w:tab w:val="left" w:pos="0"/>
              </w:tabs>
              <w:spacing w:line="240" w:lineRule="auto"/>
              <w:ind w:right="-255" w:hanging="279"/>
              <w:rPr>
                <w:rFonts w:cs="Calibri"/>
                <w:b w:val="0"/>
                <w:bCs/>
                <w:color w:val="000000"/>
                <w:sz w:val="18"/>
                <w:szCs w:val="18"/>
              </w:rPr>
            </w:pPr>
          </w:p>
          <w:p w14:paraId="6C1E820E" w14:textId="77777777" w:rsidR="0078250D" w:rsidRPr="0078250D" w:rsidRDefault="0078250D" w:rsidP="000F26BC">
            <w:pPr>
              <w:tabs>
                <w:tab w:val="left" w:pos="0"/>
              </w:tabs>
              <w:spacing w:line="240" w:lineRule="auto"/>
              <w:ind w:right="-255" w:hanging="279"/>
              <w:jc w:val="center"/>
              <w:rPr>
                <w:rFonts w:cs="Calibri"/>
                <w:b w:val="0"/>
                <w:bCs/>
                <w:color w:val="000000"/>
                <w:sz w:val="18"/>
                <w:szCs w:val="18"/>
              </w:rPr>
            </w:pPr>
            <w:r w:rsidRPr="0078250D">
              <w:rPr>
                <w:rFonts w:cs="Calibri"/>
                <w:b w:val="0"/>
                <w:bCs/>
                <w:color w:val="000000"/>
                <w:sz w:val="18"/>
                <w:szCs w:val="18"/>
              </w:rPr>
              <w:t>(2,376)</w:t>
            </w:r>
          </w:p>
        </w:tc>
        <w:tc>
          <w:tcPr>
            <w:tcW w:w="980" w:type="dxa"/>
            <w:tcBorders>
              <w:top w:val="single" w:sz="8" w:space="0" w:color="auto"/>
              <w:bottom w:val="single" w:sz="8" w:space="0" w:color="auto"/>
            </w:tcBorders>
            <w:shd w:val="clear" w:color="auto" w:fill="auto"/>
            <w:vAlign w:val="center"/>
          </w:tcPr>
          <w:p w14:paraId="69704187"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 xml:space="preserve">4,667        </w:t>
            </w:r>
          </w:p>
        </w:tc>
        <w:tc>
          <w:tcPr>
            <w:tcW w:w="1114" w:type="dxa"/>
            <w:gridSpan w:val="2"/>
            <w:tcBorders>
              <w:top w:val="single" w:sz="8" w:space="0" w:color="auto"/>
              <w:bottom w:val="single" w:sz="8" w:space="0" w:color="auto"/>
            </w:tcBorders>
            <w:shd w:val="clear" w:color="auto" w:fill="auto"/>
            <w:noWrap/>
            <w:vAlign w:val="center"/>
          </w:tcPr>
          <w:p w14:paraId="128ECE5C" w14:textId="77777777" w:rsidR="0078250D" w:rsidRPr="0078250D" w:rsidRDefault="0078250D" w:rsidP="000F26BC">
            <w:pPr>
              <w:tabs>
                <w:tab w:val="left" w:pos="0"/>
              </w:tabs>
              <w:spacing w:line="240" w:lineRule="auto"/>
              <w:jc w:val="left"/>
              <w:rPr>
                <w:rFonts w:cs="Calibri"/>
                <w:b w:val="0"/>
                <w:bCs/>
                <w:color w:val="000000"/>
                <w:sz w:val="18"/>
                <w:szCs w:val="18"/>
              </w:rPr>
            </w:pPr>
            <w:r w:rsidRPr="0078250D">
              <w:rPr>
                <w:rFonts w:cs="Calibri"/>
                <w:b w:val="0"/>
                <w:bCs/>
                <w:color w:val="000000"/>
                <w:sz w:val="18"/>
                <w:szCs w:val="18"/>
              </w:rPr>
              <w:t xml:space="preserve"> 4,751</w:t>
            </w:r>
          </w:p>
        </w:tc>
        <w:tc>
          <w:tcPr>
            <w:tcW w:w="1086" w:type="dxa"/>
            <w:gridSpan w:val="2"/>
            <w:tcBorders>
              <w:top w:val="nil"/>
              <w:bottom w:val="single" w:sz="8" w:space="0" w:color="auto"/>
            </w:tcBorders>
            <w:shd w:val="clear" w:color="auto" w:fill="auto"/>
            <w:noWrap/>
            <w:vAlign w:val="center"/>
            <w:hideMark/>
          </w:tcPr>
          <w:p w14:paraId="0B8F4BA2" w14:textId="77777777" w:rsidR="0078250D" w:rsidRPr="0078250D" w:rsidRDefault="0078250D" w:rsidP="000F26BC">
            <w:pPr>
              <w:tabs>
                <w:tab w:val="left" w:pos="0"/>
              </w:tabs>
              <w:spacing w:line="240" w:lineRule="auto"/>
              <w:jc w:val="center"/>
              <w:rPr>
                <w:rFonts w:cs="Calibri"/>
                <w:b w:val="0"/>
                <w:bCs/>
                <w:color w:val="000000"/>
                <w:sz w:val="18"/>
                <w:szCs w:val="18"/>
              </w:rPr>
            </w:pPr>
            <w:r w:rsidRPr="0078250D">
              <w:rPr>
                <w:rFonts w:cs="Calibri"/>
                <w:b w:val="0"/>
                <w:bCs/>
                <w:color w:val="000000"/>
                <w:sz w:val="18"/>
                <w:szCs w:val="18"/>
              </w:rPr>
              <w:t>Էական</w:t>
            </w:r>
          </w:p>
        </w:tc>
      </w:tr>
    </w:tbl>
    <w:p w14:paraId="487C5211" w14:textId="77777777" w:rsidR="0078250D" w:rsidRPr="0078250D" w:rsidRDefault="0078250D" w:rsidP="0078250D">
      <w:pPr>
        <w:tabs>
          <w:tab w:val="left" w:pos="0"/>
        </w:tabs>
        <w:rPr>
          <w:rFonts w:eastAsia="Calibri"/>
          <w:b w:val="0"/>
          <w:bCs/>
          <w:i/>
          <w:iCs/>
          <w:sz w:val="19"/>
          <w:szCs w:val="19"/>
        </w:rPr>
      </w:pPr>
    </w:p>
    <w:p w14:paraId="6465266C" w14:textId="77777777" w:rsidR="0078250D" w:rsidRPr="0078250D" w:rsidRDefault="0078250D" w:rsidP="0078250D">
      <w:pPr>
        <w:tabs>
          <w:tab w:val="left" w:pos="0"/>
        </w:tabs>
        <w:spacing w:line="240" w:lineRule="auto"/>
        <w:jc w:val="left"/>
        <w:rPr>
          <w:b w:val="0"/>
          <w:bCs/>
          <w:lang w:val="hy-AM"/>
        </w:rPr>
      </w:pPr>
      <w:r w:rsidRPr="0078250D">
        <w:rPr>
          <w:rFonts w:eastAsia="Calibri" w:cs="Sylfaen"/>
          <w:b w:val="0"/>
          <w:bCs/>
          <w:i/>
          <w:lang w:val="hy-AM"/>
        </w:rPr>
        <w:lastRenderedPageBreak/>
        <w:t xml:space="preserve">Աղյուսակ 5.5 </w:t>
      </w:r>
      <w:r w:rsidRPr="0078250D">
        <w:rPr>
          <w:rFonts w:eastAsia="Calibri" w:cs="Sylfaen"/>
          <w:b w:val="0"/>
          <w:bCs/>
          <w:lang w:val="hy-AM"/>
        </w:rPr>
        <w:t>Խոշոր պարտավորություններ ունեցող ընկերությունների ցուցակ</w:t>
      </w:r>
      <w:r w:rsidRPr="0078250D">
        <w:rPr>
          <w:rFonts w:eastAsia="Calibri" w:cs="Sylfaen"/>
          <w:b w:val="0"/>
          <w:bCs/>
          <w:vertAlign w:val="superscript"/>
          <w:lang w:val="hy-AM"/>
        </w:rPr>
        <w:footnoteReference w:id="36"/>
      </w:r>
      <w:r w:rsidRPr="0078250D">
        <w:rPr>
          <w:rFonts w:eastAsia="Calibri" w:cs="Sylfaen"/>
          <w:b w:val="0"/>
          <w:bCs/>
          <w:lang w:val="hy-AM"/>
        </w:rPr>
        <w:t>, մլն դրամ</w:t>
      </w:r>
    </w:p>
    <w:p w14:paraId="177FEBAE" w14:textId="77777777" w:rsidR="0078250D" w:rsidRPr="0078250D" w:rsidRDefault="0078250D" w:rsidP="0078250D">
      <w:pPr>
        <w:tabs>
          <w:tab w:val="left" w:pos="0"/>
        </w:tabs>
        <w:spacing w:line="240" w:lineRule="auto"/>
        <w:jc w:val="center"/>
        <w:rPr>
          <w:b w:val="0"/>
          <w:bCs/>
          <w:lang w:val="hy-AM"/>
        </w:rPr>
      </w:pPr>
    </w:p>
    <w:tbl>
      <w:tblPr>
        <w:tblStyle w:val="TableGrid"/>
        <w:tblW w:w="0" w:type="auto"/>
        <w:tblLook w:val="04A0" w:firstRow="1" w:lastRow="0" w:firstColumn="1" w:lastColumn="0" w:noHBand="0" w:noVBand="1"/>
      </w:tblPr>
      <w:tblGrid>
        <w:gridCol w:w="3476"/>
        <w:gridCol w:w="941"/>
        <w:gridCol w:w="860"/>
        <w:gridCol w:w="866"/>
        <w:gridCol w:w="858"/>
        <w:gridCol w:w="850"/>
        <w:gridCol w:w="860"/>
        <w:gridCol w:w="892"/>
        <w:gridCol w:w="877"/>
        <w:gridCol w:w="881"/>
        <w:gridCol w:w="868"/>
        <w:gridCol w:w="888"/>
        <w:gridCol w:w="841"/>
      </w:tblGrid>
      <w:tr w:rsidR="0078250D" w:rsidRPr="0078250D" w14:paraId="486EC4BC" w14:textId="77777777" w:rsidTr="000F26BC">
        <w:tc>
          <w:tcPr>
            <w:tcW w:w="4106" w:type="dxa"/>
            <w:vMerge w:val="restart"/>
            <w:tcBorders>
              <w:top w:val="nil"/>
              <w:left w:val="nil"/>
              <w:right w:val="nil"/>
            </w:tcBorders>
            <w:vAlign w:val="center"/>
          </w:tcPr>
          <w:p w14:paraId="21814203" w14:textId="77777777" w:rsidR="0078250D" w:rsidRPr="0078250D" w:rsidRDefault="0078250D" w:rsidP="000F26BC">
            <w:pPr>
              <w:tabs>
                <w:tab w:val="left" w:pos="0"/>
              </w:tabs>
              <w:spacing w:line="276" w:lineRule="auto"/>
              <w:jc w:val="center"/>
              <w:rPr>
                <w:rFonts w:eastAsia="Calibri"/>
                <w:b w:val="0"/>
                <w:bCs/>
                <w:i/>
                <w:iCs/>
                <w:sz w:val="18"/>
                <w:szCs w:val="18"/>
              </w:rPr>
            </w:pPr>
            <w:r w:rsidRPr="0078250D">
              <w:rPr>
                <w:rFonts w:eastAsia="Calibri"/>
                <w:b w:val="0"/>
                <w:bCs/>
                <w:iCs/>
                <w:color w:val="000000" w:themeColor="text1"/>
                <w:sz w:val="18"/>
                <w:szCs w:val="18"/>
              </w:rPr>
              <w:t>Անվանում</w:t>
            </w:r>
          </w:p>
        </w:tc>
        <w:tc>
          <w:tcPr>
            <w:tcW w:w="3516" w:type="dxa"/>
            <w:gridSpan w:val="4"/>
            <w:tcBorders>
              <w:top w:val="nil"/>
              <w:left w:val="nil"/>
              <w:bottom w:val="single" w:sz="4" w:space="0" w:color="auto"/>
              <w:right w:val="nil"/>
            </w:tcBorders>
            <w:vAlign w:val="center"/>
          </w:tcPr>
          <w:p w14:paraId="76CE31B9"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Պարտավորություններ</w:t>
            </w:r>
          </w:p>
        </w:tc>
        <w:tc>
          <w:tcPr>
            <w:tcW w:w="3475" w:type="dxa"/>
            <w:gridSpan w:val="4"/>
            <w:tcBorders>
              <w:top w:val="nil"/>
              <w:left w:val="nil"/>
              <w:bottom w:val="nil"/>
              <w:right w:val="nil"/>
            </w:tcBorders>
            <w:vAlign w:val="center"/>
          </w:tcPr>
          <w:p w14:paraId="5F566EBB" w14:textId="77777777" w:rsidR="0078250D" w:rsidRPr="0078250D" w:rsidRDefault="0078250D" w:rsidP="000F26BC">
            <w:pPr>
              <w:tabs>
                <w:tab w:val="left" w:pos="0"/>
              </w:tabs>
              <w:spacing w:line="276" w:lineRule="auto"/>
              <w:jc w:val="center"/>
              <w:rPr>
                <w:rFonts w:eastAsia="Calibri"/>
                <w:b w:val="0"/>
                <w:bCs/>
                <w:i/>
                <w:iCs/>
                <w:sz w:val="18"/>
                <w:szCs w:val="18"/>
              </w:rPr>
            </w:pPr>
            <w:r w:rsidRPr="0078250D">
              <w:rPr>
                <w:rFonts w:eastAsia="Calibri"/>
                <w:b w:val="0"/>
                <w:bCs/>
                <w:iCs/>
                <w:color w:val="000000" w:themeColor="text1"/>
                <w:sz w:val="18"/>
                <w:szCs w:val="18"/>
              </w:rPr>
              <w:t>Ակտիվներ</w:t>
            </w:r>
          </w:p>
        </w:tc>
        <w:tc>
          <w:tcPr>
            <w:tcW w:w="3406" w:type="dxa"/>
            <w:gridSpan w:val="4"/>
            <w:tcBorders>
              <w:top w:val="nil"/>
              <w:left w:val="nil"/>
              <w:bottom w:val="single" w:sz="4" w:space="0" w:color="auto"/>
              <w:right w:val="nil"/>
            </w:tcBorders>
            <w:vAlign w:val="center"/>
          </w:tcPr>
          <w:p w14:paraId="11E2E4C3" w14:textId="77777777" w:rsidR="0078250D" w:rsidRPr="0078250D" w:rsidRDefault="0078250D" w:rsidP="000F26BC">
            <w:pPr>
              <w:tabs>
                <w:tab w:val="left" w:pos="0"/>
              </w:tabs>
              <w:spacing w:line="276" w:lineRule="auto"/>
              <w:jc w:val="center"/>
              <w:rPr>
                <w:rFonts w:eastAsia="Calibri"/>
                <w:b w:val="0"/>
                <w:bCs/>
                <w:i/>
                <w:iCs/>
                <w:sz w:val="18"/>
                <w:szCs w:val="18"/>
              </w:rPr>
            </w:pPr>
            <w:r w:rsidRPr="0078250D">
              <w:rPr>
                <w:rFonts w:eastAsia="Calibri"/>
                <w:b w:val="0"/>
                <w:bCs/>
                <w:iCs/>
                <w:color w:val="000000" w:themeColor="text1"/>
                <w:sz w:val="18"/>
                <w:szCs w:val="18"/>
              </w:rPr>
              <w:t>Սեփական կապիտալ</w:t>
            </w:r>
          </w:p>
        </w:tc>
      </w:tr>
      <w:tr w:rsidR="0078250D" w:rsidRPr="0078250D" w14:paraId="6575E2ED" w14:textId="77777777" w:rsidTr="000F26BC">
        <w:trPr>
          <w:trHeight w:val="209"/>
        </w:trPr>
        <w:tc>
          <w:tcPr>
            <w:tcW w:w="4106" w:type="dxa"/>
            <w:vMerge/>
            <w:tcBorders>
              <w:left w:val="nil"/>
              <w:bottom w:val="single" w:sz="4" w:space="0" w:color="auto"/>
              <w:right w:val="nil"/>
            </w:tcBorders>
          </w:tcPr>
          <w:p w14:paraId="5C7E4D77" w14:textId="77777777" w:rsidR="0078250D" w:rsidRPr="0078250D" w:rsidRDefault="0078250D" w:rsidP="000F26BC">
            <w:pPr>
              <w:tabs>
                <w:tab w:val="left" w:pos="0"/>
              </w:tabs>
              <w:spacing w:line="276" w:lineRule="auto"/>
              <w:rPr>
                <w:rFonts w:eastAsia="Calibri"/>
                <w:b w:val="0"/>
                <w:bCs/>
                <w:i/>
                <w:iCs/>
                <w:sz w:val="18"/>
                <w:szCs w:val="18"/>
              </w:rPr>
            </w:pPr>
          </w:p>
        </w:tc>
        <w:tc>
          <w:tcPr>
            <w:tcW w:w="992" w:type="dxa"/>
            <w:tcBorders>
              <w:left w:val="nil"/>
              <w:bottom w:val="single" w:sz="4" w:space="0" w:color="auto"/>
              <w:right w:val="nil"/>
            </w:tcBorders>
          </w:tcPr>
          <w:p w14:paraId="746EC105"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2019</w:t>
            </w:r>
          </w:p>
        </w:tc>
        <w:tc>
          <w:tcPr>
            <w:tcW w:w="860" w:type="dxa"/>
            <w:tcBorders>
              <w:left w:val="nil"/>
              <w:bottom w:val="single" w:sz="4" w:space="0" w:color="auto"/>
              <w:right w:val="nil"/>
            </w:tcBorders>
          </w:tcPr>
          <w:p w14:paraId="57EFC125"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2020</w:t>
            </w:r>
          </w:p>
        </w:tc>
        <w:tc>
          <w:tcPr>
            <w:tcW w:w="869" w:type="dxa"/>
            <w:tcBorders>
              <w:left w:val="nil"/>
              <w:bottom w:val="single" w:sz="4" w:space="0" w:color="auto"/>
              <w:right w:val="nil"/>
            </w:tcBorders>
          </w:tcPr>
          <w:p w14:paraId="23D18AAD"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2021</w:t>
            </w:r>
          </w:p>
        </w:tc>
        <w:tc>
          <w:tcPr>
            <w:tcW w:w="795" w:type="dxa"/>
            <w:tcBorders>
              <w:left w:val="nil"/>
              <w:bottom w:val="single" w:sz="4" w:space="0" w:color="auto"/>
              <w:right w:val="nil"/>
            </w:tcBorders>
          </w:tcPr>
          <w:p w14:paraId="38C1C758"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2022</w:t>
            </w:r>
          </w:p>
        </w:tc>
        <w:tc>
          <w:tcPr>
            <w:tcW w:w="850" w:type="dxa"/>
            <w:tcBorders>
              <w:top w:val="nil"/>
              <w:left w:val="nil"/>
              <w:bottom w:val="single" w:sz="4" w:space="0" w:color="auto"/>
              <w:right w:val="nil"/>
            </w:tcBorders>
          </w:tcPr>
          <w:p w14:paraId="7D095328"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2019</w:t>
            </w:r>
          </w:p>
        </w:tc>
        <w:tc>
          <w:tcPr>
            <w:tcW w:w="860" w:type="dxa"/>
            <w:tcBorders>
              <w:top w:val="nil"/>
              <w:left w:val="nil"/>
              <w:bottom w:val="single" w:sz="4" w:space="0" w:color="auto"/>
              <w:right w:val="nil"/>
            </w:tcBorders>
          </w:tcPr>
          <w:p w14:paraId="69C81DB7"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2020</w:t>
            </w:r>
          </w:p>
        </w:tc>
        <w:tc>
          <w:tcPr>
            <w:tcW w:w="892" w:type="dxa"/>
            <w:tcBorders>
              <w:top w:val="nil"/>
              <w:left w:val="nil"/>
              <w:bottom w:val="single" w:sz="4" w:space="0" w:color="auto"/>
              <w:right w:val="nil"/>
            </w:tcBorders>
          </w:tcPr>
          <w:p w14:paraId="3D28DCCF"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2021</w:t>
            </w:r>
          </w:p>
        </w:tc>
        <w:tc>
          <w:tcPr>
            <w:tcW w:w="873" w:type="dxa"/>
            <w:tcBorders>
              <w:top w:val="nil"/>
              <w:left w:val="nil"/>
              <w:bottom w:val="single" w:sz="4" w:space="0" w:color="auto"/>
              <w:right w:val="nil"/>
            </w:tcBorders>
          </w:tcPr>
          <w:p w14:paraId="63ABB72E"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2022</w:t>
            </w:r>
          </w:p>
        </w:tc>
        <w:tc>
          <w:tcPr>
            <w:tcW w:w="881" w:type="dxa"/>
            <w:tcBorders>
              <w:left w:val="nil"/>
              <w:bottom w:val="single" w:sz="4" w:space="0" w:color="auto"/>
              <w:right w:val="nil"/>
            </w:tcBorders>
          </w:tcPr>
          <w:p w14:paraId="4D9F5293"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2019</w:t>
            </w:r>
          </w:p>
        </w:tc>
        <w:tc>
          <w:tcPr>
            <w:tcW w:w="842" w:type="dxa"/>
            <w:tcBorders>
              <w:left w:val="nil"/>
              <w:bottom w:val="single" w:sz="4" w:space="0" w:color="auto"/>
              <w:right w:val="nil"/>
            </w:tcBorders>
          </w:tcPr>
          <w:p w14:paraId="742FBCB2"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2020</w:t>
            </w:r>
          </w:p>
        </w:tc>
        <w:tc>
          <w:tcPr>
            <w:tcW w:w="888" w:type="dxa"/>
            <w:tcBorders>
              <w:left w:val="nil"/>
              <w:bottom w:val="single" w:sz="4" w:space="0" w:color="auto"/>
              <w:right w:val="nil"/>
            </w:tcBorders>
          </w:tcPr>
          <w:p w14:paraId="6666FD0F"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2021</w:t>
            </w:r>
          </w:p>
        </w:tc>
        <w:tc>
          <w:tcPr>
            <w:tcW w:w="795" w:type="dxa"/>
            <w:tcBorders>
              <w:left w:val="nil"/>
              <w:bottom w:val="single" w:sz="4" w:space="0" w:color="auto"/>
              <w:right w:val="nil"/>
            </w:tcBorders>
          </w:tcPr>
          <w:p w14:paraId="18072728" w14:textId="77777777" w:rsidR="0078250D" w:rsidRPr="0078250D" w:rsidRDefault="0078250D" w:rsidP="000F26BC">
            <w:pPr>
              <w:tabs>
                <w:tab w:val="left" w:pos="0"/>
              </w:tabs>
              <w:spacing w:line="240" w:lineRule="auto"/>
              <w:jc w:val="center"/>
              <w:rPr>
                <w:rFonts w:eastAsia="Calibri"/>
                <w:b w:val="0"/>
                <w:bCs/>
                <w:iCs/>
                <w:color w:val="000000" w:themeColor="text1"/>
                <w:sz w:val="18"/>
                <w:szCs w:val="18"/>
              </w:rPr>
            </w:pPr>
            <w:r w:rsidRPr="0078250D">
              <w:rPr>
                <w:rFonts w:eastAsia="Calibri"/>
                <w:b w:val="0"/>
                <w:bCs/>
                <w:iCs/>
                <w:color w:val="000000" w:themeColor="text1"/>
                <w:sz w:val="18"/>
                <w:szCs w:val="18"/>
              </w:rPr>
              <w:t>2022</w:t>
            </w:r>
          </w:p>
        </w:tc>
      </w:tr>
      <w:tr w:rsidR="0078250D" w:rsidRPr="0078250D" w14:paraId="589E9A60" w14:textId="77777777" w:rsidTr="000F26BC">
        <w:tc>
          <w:tcPr>
            <w:tcW w:w="4106" w:type="dxa"/>
            <w:tcBorders>
              <w:left w:val="nil"/>
              <w:right w:val="nil"/>
            </w:tcBorders>
          </w:tcPr>
          <w:p w14:paraId="768F7D2E" w14:textId="77777777" w:rsidR="0078250D" w:rsidRPr="0078250D" w:rsidRDefault="0078250D" w:rsidP="000F26BC">
            <w:pPr>
              <w:tabs>
                <w:tab w:val="left" w:pos="0"/>
              </w:tabs>
              <w:spacing w:line="240" w:lineRule="auto"/>
              <w:ind w:firstLine="37"/>
              <w:rPr>
                <w:rFonts w:eastAsia="Calibri"/>
                <w:b w:val="0"/>
                <w:bCs/>
                <w:iCs/>
                <w:sz w:val="18"/>
                <w:szCs w:val="18"/>
              </w:rPr>
            </w:pPr>
            <w:r w:rsidRPr="0078250D">
              <w:rPr>
                <w:rFonts w:eastAsia="Calibri"/>
                <w:b w:val="0"/>
                <w:bCs/>
                <w:iCs/>
                <w:sz w:val="18"/>
                <w:szCs w:val="18"/>
              </w:rPr>
              <w:t>«Հայկական ատոմային էլեկտրակայան ՓԲԸ</w:t>
            </w:r>
          </w:p>
        </w:tc>
        <w:tc>
          <w:tcPr>
            <w:tcW w:w="992" w:type="dxa"/>
            <w:tcBorders>
              <w:left w:val="nil"/>
              <w:right w:val="nil"/>
            </w:tcBorders>
            <w:vAlign w:val="center"/>
          </w:tcPr>
          <w:p w14:paraId="79C23ACE"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129,767</w:t>
            </w:r>
          </w:p>
        </w:tc>
        <w:tc>
          <w:tcPr>
            <w:tcW w:w="860" w:type="dxa"/>
            <w:tcBorders>
              <w:left w:val="nil"/>
              <w:right w:val="nil"/>
            </w:tcBorders>
            <w:vAlign w:val="center"/>
          </w:tcPr>
          <w:p w14:paraId="2B56DCA9"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138,842</w:t>
            </w:r>
          </w:p>
        </w:tc>
        <w:tc>
          <w:tcPr>
            <w:tcW w:w="869" w:type="dxa"/>
            <w:tcBorders>
              <w:left w:val="nil"/>
              <w:right w:val="nil"/>
            </w:tcBorders>
            <w:vAlign w:val="center"/>
          </w:tcPr>
          <w:p w14:paraId="3E5C018F"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157,490</w:t>
            </w:r>
          </w:p>
        </w:tc>
        <w:tc>
          <w:tcPr>
            <w:tcW w:w="795" w:type="dxa"/>
            <w:tcBorders>
              <w:left w:val="nil"/>
              <w:right w:val="nil"/>
            </w:tcBorders>
            <w:vAlign w:val="center"/>
          </w:tcPr>
          <w:p w14:paraId="6AB48D55"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131,731</w:t>
            </w:r>
          </w:p>
        </w:tc>
        <w:tc>
          <w:tcPr>
            <w:tcW w:w="850" w:type="dxa"/>
            <w:tcBorders>
              <w:left w:val="nil"/>
              <w:right w:val="nil"/>
            </w:tcBorders>
            <w:vAlign w:val="center"/>
          </w:tcPr>
          <w:p w14:paraId="2B9EF389"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177,642</w:t>
            </w:r>
          </w:p>
        </w:tc>
        <w:tc>
          <w:tcPr>
            <w:tcW w:w="860" w:type="dxa"/>
            <w:tcBorders>
              <w:left w:val="nil"/>
              <w:right w:val="nil"/>
            </w:tcBorders>
            <w:vAlign w:val="center"/>
          </w:tcPr>
          <w:p w14:paraId="0BF199B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173,541</w:t>
            </w:r>
          </w:p>
        </w:tc>
        <w:tc>
          <w:tcPr>
            <w:tcW w:w="892" w:type="dxa"/>
            <w:tcBorders>
              <w:left w:val="nil"/>
              <w:right w:val="nil"/>
            </w:tcBorders>
            <w:vAlign w:val="center"/>
          </w:tcPr>
          <w:p w14:paraId="4EA2341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190,102</w:t>
            </w:r>
          </w:p>
        </w:tc>
        <w:tc>
          <w:tcPr>
            <w:tcW w:w="873" w:type="dxa"/>
            <w:tcBorders>
              <w:left w:val="nil"/>
              <w:right w:val="nil"/>
            </w:tcBorders>
            <w:vAlign w:val="center"/>
          </w:tcPr>
          <w:p w14:paraId="3FB4CB1E"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174,539</w:t>
            </w:r>
          </w:p>
        </w:tc>
        <w:tc>
          <w:tcPr>
            <w:tcW w:w="881" w:type="dxa"/>
            <w:tcBorders>
              <w:left w:val="nil"/>
              <w:right w:val="nil"/>
            </w:tcBorders>
            <w:vAlign w:val="center"/>
          </w:tcPr>
          <w:p w14:paraId="15E10E4D"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47,875</w:t>
            </w:r>
          </w:p>
        </w:tc>
        <w:tc>
          <w:tcPr>
            <w:tcW w:w="842" w:type="dxa"/>
            <w:tcBorders>
              <w:left w:val="nil"/>
              <w:right w:val="nil"/>
            </w:tcBorders>
            <w:vAlign w:val="center"/>
          </w:tcPr>
          <w:p w14:paraId="75EE4FA0"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34,698</w:t>
            </w:r>
          </w:p>
        </w:tc>
        <w:tc>
          <w:tcPr>
            <w:tcW w:w="888" w:type="dxa"/>
            <w:tcBorders>
              <w:left w:val="nil"/>
              <w:right w:val="nil"/>
            </w:tcBorders>
            <w:vAlign w:val="center"/>
          </w:tcPr>
          <w:p w14:paraId="52719B0B"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32,612</w:t>
            </w:r>
          </w:p>
        </w:tc>
        <w:tc>
          <w:tcPr>
            <w:tcW w:w="795" w:type="dxa"/>
            <w:tcBorders>
              <w:left w:val="nil"/>
              <w:right w:val="nil"/>
            </w:tcBorders>
            <w:vAlign w:val="center"/>
          </w:tcPr>
          <w:p w14:paraId="6B55E0D1"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42,808</w:t>
            </w:r>
          </w:p>
        </w:tc>
      </w:tr>
      <w:tr w:rsidR="0078250D" w:rsidRPr="0078250D" w14:paraId="00425BD5" w14:textId="77777777" w:rsidTr="000F26BC">
        <w:tc>
          <w:tcPr>
            <w:tcW w:w="4106" w:type="dxa"/>
            <w:tcBorders>
              <w:left w:val="nil"/>
              <w:right w:val="nil"/>
            </w:tcBorders>
          </w:tcPr>
          <w:p w14:paraId="579536CE" w14:textId="77777777" w:rsidR="0078250D" w:rsidRPr="0078250D" w:rsidRDefault="0078250D" w:rsidP="000F26BC">
            <w:pPr>
              <w:tabs>
                <w:tab w:val="left" w:pos="0"/>
              </w:tabs>
              <w:spacing w:line="240" w:lineRule="auto"/>
              <w:ind w:firstLine="37"/>
              <w:rPr>
                <w:rFonts w:eastAsia="Calibri"/>
                <w:b w:val="0"/>
                <w:bCs/>
                <w:iCs/>
                <w:sz w:val="18"/>
                <w:szCs w:val="18"/>
              </w:rPr>
            </w:pPr>
            <w:r w:rsidRPr="0078250D">
              <w:rPr>
                <w:rFonts w:eastAsia="Calibri"/>
                <w:b w:val="0"/>
                <w:bCs/>
                <w:iCs/>
                <w:sz w:val="18"/>
                <w:szCs w:val="18"/>
              </w:rPr>
              <w:t>«Երևանի ջերմաէլեկտրակենտրոն» ՓԲԸ</w:t>
            </w:r>
          </w:p>
        </w:tc>
        <w:tc>
          <w:tcPr>
            <w:tcW w:w="992" w:type="dxa"/>
            <w:tcBorders>
              <w:left w:val="nil"/>
              <w:right w:val="nil"/>
            </w:tcBorders>
            <w:vAlign w:val="center"/>
          </w:tcPr>
          <w:p w14:paraId="12646630"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145,619</w:t>
            </w:r>
          </w:p>
        </w:tc>
        <w:tc>
          <w:tcPr>
            <w:tcW w:w="860" w:type="dxa"/>
            <w:tcBorders>
              <w:left w:val="nil"/>
              <w:right w:val="nil"/>
            </w:tcBorders>
            <w:vAlign w:val="center"/>
          </w:tcPr>
          <w:p w14:paraId="30B101C0"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154,154</w:t>
            </w:r>
          </w:p>
        </w:tc>
        <w:tc>
          <w:tcPr>
            <w:tcW w:w="869" w:type="dxa"/>
            <w:tcBorders>
              <w:left w:val="nil"/>
              <w:right w:val="nil"/>
            </w:tcBorders>
            <w:vAlign w:val="center"/>
          </w:tcPr>
          <w:p w14:paraId="119CF31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128,788</w:t>
            </w:r>
          </w:p>
        </w:tc>
        <w:tc>
          <w:tcPr>
            <w:tcW w:w="795" w:type="dxa"/>
            <w:tcBorders>
              <w:left w:val="nil"/>
              <w:right w:val="nil"/>
            </w:tcBorders>
            <w:vAlign w:val="center"/>
          </w:tcPr>
          <w:p w14:paraId="4D25EEF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87,305</w:t>
            </w:r>
          </w:p>
        </w:tc>
        <w:tc>
          <w:tcPr>
            <w:tcW w:w="850" w:type="dxa"/>
            <w:tcBorders>
              <w:left w:val="nil"/>
              <w:right w:val="nil"/>
            </w:tcBorders>
            <w:vAlign w:val="center"/>
          </w:tcPr>
          <w:p w14:paraId="434CD251"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148,776</w:t>
            </w:r>
          </w:p>
        </w:tc>
        <w:tc>
          <w:tcPr>
            <w:tcW w:w="860" w:type="dxa"/>
            <w:tcBorders>
              <w:left w:val="nil"/>
              <w:right w:val="nil"/>
            </w:tcBorders>
            <w:vAlign w:val="center"/>
          </w:tcPr>
          <w:p w14:paraId="752D58C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143,878</w:t>
            </w:r>
          </w:p>
        </w:tc>
        <w:tc>
          <w:tcPr>
            <w:tcW w:w="892" w:type="dxa"/>
            <w:tcBorders>
              <w:left w:val="nil"/>
              <w:right w:val="nil"/>
            </w:tcBorders>
            <w:vAlign w:val="center"/>
          </w:tcPr>
          <w:p w14:paraId="67B46F1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137,083</w:t>
            </w:r>
          </w:p>
        </w:tc>
        <w:tc>
          <w:tcPr>
            <w:tcW w:w="873" w:type="dxa"/>
            <w:tcBorders>
              <w:left w:val="nil"/>
              <w:right w:val="nil"/>
            </w:tcBorders>
            <w:vAlign w:val="center"/>
          </w:tcPr>
          <w:p w14:paraId="10177FAF"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138,466</w:t>
            </w:r>
          </w:p>
        </w:tc>
        <w:tc>
          <w:tcPr>
            <w:tcW w:w="881" w:type="dxa"/>
            <w:tcBorders>
              <w:left w:val="nil"/>
              <w:right w:val="nil"/>
            </w:tcBorders>
            <w:vAlign w:val="center"/>
          </w:tcPr>
          <w:p w14:paraId="708A0F5F"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3,157</w:t>
            </w:r>
          </w:p>
        </w:tc>
        <w:tc>
          <w:tcPr>
            <w:tcW w:w="842" w:type="dxa"/>
            <w:tcBorders>
              <w:left w:val="nil"/>
              <w:right w:val="nil"/>
            </w:tcBorders>
            <w:vAlign w:val="center"/>
          </w:tcPr>
          <w:p w14:paraId="7B7CB58E"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(10,276)</w:t>
            </w:r>
          </w:p>
        </w:tc>
        <w:tc>
          <w:tcPr>
            <w:tcW w:w="888" w:type="dxa"/>
            <w:tcBorders>
              <w:left w:val="nil"/>
              <w:right w:val="nil"/>
            </w:tcBorders>
            <w:vAlign w:val="center"/>
          </w:tcPr>
          <w:p w14:paraId="7A4E0723"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8,295</w:t>
            </w:r>
          </w:p>
        </w:tc>
        <w:tc>
          <w:tcPr>
            <w:tcW w:w="795" w:type="dxa"/>
            <w:tcBorders>
              <w:left w:val="nil"/>
              <w:right w:val="nil"/>
            </w:tcBorders>
            <w:vAlign w:val="center"/>
          </w:tcPr>
          <w:p w14:paraId="1E74C1FA"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51,161</w:t>
            </w:r>
          </w:p>
        </w:tc>
      </w:tr>
      <w:tr w:rsidR="0078250D" w:rsidRPr="0078250D" w14:paraId="52D3F36C" w14:textId="77777777" w:rsidTr="000F26BC">
        <w:tc>
          <w:tcPr>
            <w:tcW w:w="4106" w:type="dxa"/>
            <w:tcBorders>
              <w:left w:val="nil"/>
              <w:right w:val="nil"/>
            </w:tcBorders>
          </w:tcPr>
          <w:p w14:paraId="0CC99CD9" w14:textId="77777777" w:rsidR="0078250D" w:rsidRPr="0078250D" w:rsidRDefault="0078250D" w:rsidP="000F26BC">
            <w:pPr>
              <w:tabs>
                <w:tab w:val="left" w:pos="0"/>
              </w:tabs>
              <w:spacing w:line="240" w:lineRule="auto"/>
              <w:ind w:firstLine="37"/>
              <w:rPr>
                <w:rFonts w:eastAsia="Calibri"/>
                <w:b w:val="0"/>
                <w:bCs/>
                <w:iCs/>
                <w:sz w:val="18"/>
                <w:szCs w:val="18"/>
              </w:rPr>
            </w:pPr>
            <w:r w:rsidRPr="0078250D">
              <w:rPr>
                <w:rFonts w:eastAsia="Calibri"/>
                <w:b w:val="0"/>
                <w:bCs/>
                <w:iCs/>
                <w:sz w:val="18"/>
                <w:szCs w:val="18"/>
              </w:rPr>
              <w:t>«Բարձրավոլտ էլեկտրական ցանցեր ՓԲԸ</w:t>
            </w:r>
          </w:p>
        </w:tc>
        <w:tc>
          <w:tcPr>
            <w:tcW w:w="992" w:type="dxa"/>
            <w:tcBorders>
              <w:left w:val="nil"/>
              <w:right w:val="nil"/>
            </w:tcBorders>
            <w:vAlign w:val="center"/>
          </w:tcPr>
          <w:p w14:paraId="2D92F997"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93,894</w:t>
            </w:r>
          </w:p>
        </w:tc>
        <w:tc>
          <w:tcPr>
            <w:tcW w:w="860" w:type="dxa"/>
            <w:tcBorders>
              <w:left w:val="nil"/>
              <w:right w:val="nil"/>
            </w:tcBorders>
            <w:vAlign w:val="center"/>
          </w:tcPr>
          <w:p w14:paraId="7A7DE60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116,006</w:t>
            </w:r>
          </w:p>
        </w:tc>
        <w:tc>
          <w:tcPr>
            <w:tcW w:w="869" w:type="dxa"/>
            <w:tcBorders>
              <w:left w:val="nil"/>
              <w:right w:val="nil"/>
            </w:tcBorders>
            <w:vAlign w:val="center"/>
          </w:tcPr>
          <w:p w14:paraId="4AEE260B"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104,013</w:t>
            </w:r>
          </w:p>
        </w:tc>
        <w:tc>
          <w:tcPr>
            <w:tcW w:w="795" w:type="dxa"/>
            <w:tcBorders>
              <w:left w:val="nil"/>
              <w:right w:val="nil"/>
            </w:tcBorders>
            <w:vAlign w:val="center"/>
          </w:tcPr>
          <w:p w14:paraId="2D365C86"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89,097</w:t>
            </w:r>
          </w:p>
        </w:tc>
        <w:tc>
          <w:tcPr>
            <w:tcW w:w="850" w:type="dxa"/>
            <w:tcBorders>
              <w:left w:val="nil"/>
              <w:right w:val="nil"/>
            </w:tcBorders>
            <w:vAlign w:val="center"/>
          </w:tcPr>
          <w:p w14:paraId="19884312"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119,756</w:t>
            </w:r>
          </w:p>
        </w:tc>
        <w:tc>
          <w:tcPr>
            <w:tcW w:w="860" w:type="dxa"/>
            <w:tcBorders>
              <w:left w:val="nil"/>
              <w:right w:val="nil"/>
            </w:tcBorders>
            <w:vAlign w:val="center"/>
          </w:tcPr>
          <w:p w14:paraId="1B81BA78"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131,268</w:t>
            </w:r>
          </w:p>
        </w:tc>
        <w:tc>
          <w:tcPr>
            <w:tcW w:w="892" w:type="dxa"/>
            <w:tcBorders>
              <w:left w:val="nil"/>
              <w:right w:val="nil"/>
            </w:tcBorders>
            <w:vAlign w:val="center"/>
          </w:tcPr>
          <w:p w14:paraId="5ADB5885"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128,873</w:t>
            </w:r>
          </w:p>
        </w:tc>
        <w:tc>
          <w:tcPr>
            <w:tcW w:w="873" w:type="dxa"/>
            <w:tcBorders>
              <w:left w:val="nil"/>
              <w:right w:val="nil"/>
            </w:tcBorders>
            <w:vAlign w:val="center"/>
          </w:tcPr>
          <w:p w14:paraId="2BDFD8B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129,294</w:t>
            </w:r>
          </w:p>
        </w:tc>
        <w:tc>
          <w:tcPr>
            <w:tcW w:w="881" w:type="dxa"/>
            <w:tcBorders>
              <w:left w:val="nil"/>
              <w:right w:val="nil"/>
            </w:tcBorders>
            <w:vAlign w:val="center"/>
          </w:tcPr>
          <w:p w14:paraId="458A65C9"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25,862</w:t>
            </w:r>
          </w:p>
        </w:tc>
        <w:tc>
          <w:tcPr>
            <w:tcW w:w="842" w:type="dxa"/>
            <w:tcBorders>
              <w:left w:val="nil"/>
              <w:right w:val="nil"/>
            </w:tcBorders>
            <w:vAlign w:val="center"/>
          </w:tcPr>
          <w:p w14:paraId="696FA06A"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15,262</w:t>
            </w:r>
          </w:p>
        </w:tc>
        <w:tc>
          <w:tcPr>
            <w:tcW w:w="888" w:type="dxa"/>
            <w:tcBorders>
              <w:left w:val="nil"/>
              <w:right w:val="nil"/>
            </w:tcBorders>
            <w:vAlign w:val="center"/>
          </w:tcPr>
          <w:p w14:paraId="7A69FEE3"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24,860</w:t>
            </w:r>
          </w:p>
        </w:tc>
        <w:tc>
          <w:tcPr>
            <w:tcW w:w="795" w:type="dxa"/>
            <w:tcBorders>
              <w:left w:val="nil"/>
              <w:right w:val="nil"/>
            </w:tcBorders>
            <w:vAlign w:val="center"/>
          </w:tcPr>
          <w:p w14:paraId="4F643862"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40,198</w:t>
            </w:r>
          </w:p>
        </w:tc>
      </w:tr>
      <w:tr w:rsidR="0078250D" w:rsidRPr="0078250D" w14:paraId="5B849C55" w14:textId="77777777" w:rsidTr="000F26BC">
        <w:tc>
          <w:tcPr>
            <w:tcW w:w="4106" w:type="dxa"/>
            <w:tcBorders>
              <w:left w:val="nil"/>
              <w:right w:val="nil"/>
            </w:tcBorders>
          </w:tcPr>
          <w:p w14:paraId="282E5EB0" w14:textId="77777777" w:rsidR="0078250D" w:rsidRPr="0078250D" w:rsidRDefault="0078250D" w:rsidP="000F26BC">
            <w:pPr>
              <w:tabs>
                <w:tab w:val="left" w:pos="0"/>
              </w:tabs>
              <w:spacing w:line="240" w:lineRule="auto"/>
              <w:ind w:firstLine="37"/>
              <w:rPr>
                <w:rFonts w:eastAsia="Calibri"/>
                <w:b w:val="0"/>
                <w:bCs/>
                <w:iCs/>
                <w:sz w:val="18"/>
                <w:szCs w:val="18"/>
              </w:rPr>
            </w:pPr>
            <w:r w:rsidRPr="0078250D">
              <w:rPr>
                <w:rFonts w:eastAsia="Calibri"/>
                <w:b w:val="0"/>
                <w:bCs/>
                <w:iCs/>
                <w:sz w:val="18"/>
                <w:szCs w:val="18"/>
              </w:rPr>
              <w:t>«Էլեկտրաէներգետիկական համակարգի օպերատոր» ՓԲԸ</w:t>
            </w:r>
          </w:p>
        </w:tc>
        <w:tc>
          <w:tcPr>
            <w:tcW w:w="992" w:type="dxa"/>
            <w:tcBorders>
              <w:left w:val="nil"/>
              <w:right w:val="nil"/>
            </w:tcBorders>
            <w:vAlign w:val="center"/>
          </w:tcPr>
          <w:p w14:paraId="15F3415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9,107</w:t>
            </w:r>
          </w:p>
        </w:tc>
        <w:tc>
          <w:tcPr>
            <w:tcW w:w="860" w:type="dxa"/>
            <w:tcBorders>
              <w:left w:val="nil"/>
              <w:right w:val="nil"/>
            </w:tcBorders>
            <w:vAlign w:val="center"/>
          </w:tcPr>
          <w:p w14:paraId="301F1B79"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10,346</w:t>
            </w:r>
          </w:p>
        </w:tc>
        <w:tc>
          <w:tcPr>
            <w:tcW w:w="869" w:type="dxa"/>
            <w:tcBorders>
              <w:left w:val="nil"/>
              <w:right w:val="nil"/>
            </w:tcBorders>
            <w:vAlign w:val="center"/>
          </w:tcPr>
          <w:p w14:paraId="346DBB83"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9,173</w:t>
            </w:r>
          </w:p>
        </w:tc>
        <w:tc>
          <w:tcPr>
            <w:tcW w:w="795" w:type="dxa"/>
            <w:tcBorders>
              <w:left w:val="nil"/>
              <w:right w:val="nil"/>
            </w:tcBorders>
            <w:vAlign w:val="center"/>
          </w:tcPr>
          <w:p w14:paraId="70BF6029"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7,085</w:t>
            </w:r>
          </w:p>
        </w:tc>
        <w:tc>
          <w:tcPr>
            <w:tcW w:w="850" w:type="dxa"/>
            <w:tcBorders>
              <w:left w:val="nil"/>
              <w:right w:val="nil"/>
            </w:tcBorders>
            <w:vAlign w:val="center"/>
          </w:tcPr>
          <w:p w14:paraId="78D90159"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13,809</w:t>
            </w:r>
          </w:p>
        </w:tc>
        <w:tc>
          <w:tcPr>
            <w:tcW w:w="860" w:type="dxa"/>
            <w:tcBorders>
              <w:left w:val="nil"/>
              <w:right w:val="nil"/>
            </w:tcBorders>
            <w:vAlign w:val="center"/>
          </w:tcPr>
          <w:p w14:paraId="3815A84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14,190</w:t>
            </w:r>
          </w:p>
        </w:tc>
        <w:tc>
          <w:tcPr>
            <w:tcW w:w="892" w:type="dxa"/>
            <w:tcBorders>
              <w:left w:val="nil"/>
              <w:right w:val="nil"/>
            </w:tcBorders>
            <w:vAlign w:val="center"/>
          </w:tcPr>
          <w:p w14:paraId="31E633EB"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14,249</w:t>
            </w:r>
          </w:p>
        </w:tc>
        <w:tc>
          <w:tcPr>
            <w:tcW w:w="873" w:type="dxa"/>
            <w:tcBorders>
              <w:left w:val="nil"/>
              <w:right w:val="nil"/>
            </w:tcBorders>
            <w:vAlign w:val="center"/>
          </w:tcPr>
          <w:p w14:paraId="67627CB6"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14,031</w:t>
            </w:r>
          </w:p>
        </w:tc>
        <w:tc>
          <w:tcPr>
            <w:tcW w:w="881" w:type="dxa"/>
            <w:tcBorders>
              <w:left w:val="nil"/>
              <w:right w:val="nil"/>
            </w:tcBorders>
            <w:vAlign w:val="center"/>
          </w:tcPr>
          <w:p w14:paraId="485730C0"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4,702</w:t>
            </w:r>
          </w:p>
        </w:tc>
        <w:tc>
          <w:tcPr>
            <w:tcW w:w="842" w:type="dxa"/>
            <w:tcBorders>
              <w:left w:val="nil"/>
              <w:right w:val="nil"/>
            </w:tcBorders>
            <w:vAlign w:val="center"/>
          </w:tcPr>
          <w:p w14:paraId="53F61F66"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3,844</w:t>
            </w:r>
          </w:p>
        </w:tc>
        <w:tc>
          <w:tcPr>
            <w:tcW w:w="888" w:type="dxa"/>
            <w:tcBorders>
              <w:left w:val="nil"/>
              <w:right w:val="nil"/>
            </w:tcBorders>
            <w:vAlign w:val="center"/>
          </w:tcPr>
          <w:p w14:paraId="241F6A3E"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5,076</w:t>
            </w:r>
          </w:p>
        </w:tc>
        <w:tc>
          <w:tcPr>
            <w:tcW w:w="795" w:type="dxa"/>
            <w:tcBorders>
              <w:left w:val="nil"/>
              <w:right w:val="nil"/>
            </w:tcBorders>
            <w:vAlign w:val="center"/>
          </w:tcPr>
          <w:p w14:paraId="643B8C5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6,946</w:t>
            </w:r>
          </w:p>
        </w:tc>
      </w:tr>
      <w:tr w:rsidR="0078250D" w:rsidRPr="0078250D" w14:paraId="7D192B9A" w14:textId="77777777" w:rsidTr="000F26BC">
        <w:tc>
          <w:tcPr>
            <w:tcW w:w="4106" w:type="dxa"/>
            <w:tcBorders>
              <w:left w:val="nil"/>
              <w:right w:val="nil"/>
            </w:tcBorders>
          </w:tcPr>
          <w:p w14:paraId="096E4CD6" w14:textId="77777777" w:rsidR="0078250D" w:rsidRPr="0078250D" w:rsidRDefault="0078250D" w:rsidP="000F26BC">
            <w:pPr>
              <w:tabs>
                <w:tab w:val="left" w:pos="0"/>
              </w:tabs>
              <w:spacing w:line="240" w:lineRule="auto"/>
              <w:ind w:firstLine="37"/>
              <w:rPr>
                <w:rFonts w:eastAsia="Calibri"/>
                <w:b w:val="0"/>
                <w:bCs/>
                <w:iCs/>
                <w:sz w:val="18"/>
                <w:szCs w:val="18"/>
              </w:rPr>
            </w:pPr>
            <w:r w:rsidRPr="0078250D">
              <w:rPr>
                <w:rFonts w:eastAsia="Calibri"/>
                <w:b w:val="0"/>
                <w:bCs/>
                <w:iCs/>
                <w:sz w:val="18"/>
                <w:szCs w:val="18"/>
              </w:rPr>
              <w:t>Նաիրիտ-2» ՓԲԸ</w:t>
            </w:r>
          </w:p>
        </w:tc>
        <w:tc>
          <w:tcPr>
            <w:tcW w:w="992" w:type="dxa"/>
            <w:tcBorders>
              <w:left w:val="nil"/>
              <w:right w:val="nil"/>
            </w:tcBorders>
            <w:vAlign w:val="center"/>
          </w:tcPr>
          <w:p w14:paraId="67866D0E"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6,110</w:t>
            </w:r>
          </w:p>
        </w:tc>
        <w:tc>
          <w:tcPr>
            <w:tcW w:w="860" w:type="dxa"/>
            <w:tcBorders>
              <w:left w:val="nil"/>
              <w:right w:val="nil"/>
            </w:tcBorders>
            <w:vAlign w:val="center"/>
          </w:tcPr>
          <w:p w14:paraId="2B129E95"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6,117</w:t>
            </w:r>
          </w:p>
        </w:tc>
        <w:tc>
          <w:tcPr>
            <w:tcW w:w="869" w:type="dxa"/>
            <w:tcBorders>
              <w:left w:val="nil"/>
              <w:right w:val="nil"/>
            </w:tcBorders>
            <w:vAlign w:val="center"/>
          </w:tcPr>
          <w:p w14:paraId="045A9492"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6,166</w:t>
            </w:r>
          </w:p>
        </w:tc>
        <w:tc>
          <w:tcPr>
            <w:tcW w:w="795" w:type="dxa"/>
            <w:tcBorders>
              <w:left w:val="nil"/>
              <w:right w:val="nil"/>
            </w:tcBorders>
            <w:vAlign w:val="center"/>
          </w:tcPr>
          <w:p w14:paraId="220261B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6,072</w:t>
            </w:r>
          </w:p>
        </w:tc>
        <w:tc>
          <w:tcPr>
            <w:tcW w:w="850" w:type="dxa"/>
            <w:tcBorders>
              <w:left w:val="nil"/>
              <w:right w:val="nil"/>
            </w:tcBorders>
            <w:vAlign w:val="center"/>
          </w:tcPr>
          <w:p w14:paraId="506C21B8"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15,284</w:t>
            </w:r>
          </w:p>
        </w:tc>
        <w:tc>
          <w:tcPr>
            <w:tcW w:w="860" w:type="dxa"/>
            <w:tcBorders>
              <w:left w:val="nil"/>
              <w:right w:val="nil"/>
            </w:tcBorders>
            <w:vAlign w:val="center"/>
          </w:tcPr>
          <w:p w14:paraId="5F566110"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14,609</w:t>
            </w:r>
          </w:p>
        </w:tc>
        <w:tc>
          <w:tcPr>
            <w:tcW w:w="892" w:type="dxa"/>
            <w:tcBorders>
              <w:left w:val="nil"/>
              <w:right w:val="nil"/>
            </w:tcBorders>
            <w:vAlign w:val="center"/>
          </w:tcPr>
          <w:p w14:paraId="0FD69F1F"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13,580</w:t>
            </w:r>
          </w:p>
        </w:tc>
        <w:tc>
          <w:tcPr>
            <w:tcW w:w="873" w:type="dxa"/>
            <w:tcBorders>
              <w:left w:val="nil"/>
              <w:right w:val="nil"/>
            </w:tcBorders>
            <w:vAlign w:val="center"/>
          </w:tcPr>
          <w:p w14:paraId="37A328DA"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11,157</w:t>
            </w:r>
          </w:p>
        </w:tc>
        <w:tc>
          <w:tcPr>
            <w:tcW w:w="881" w:type="dxa"/>
            <w:tcBorders>
              <w:left w:val="nil"/>
              <w:right w:val="nil"/>
            </w:tcBorders>
            <w:vAlign w:val="center"/>
          </w:tcPr>
          <w:p w14:paraId="0962FCB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9,174</w:t>
            </w:r>
          </w:p>
        </w:tc>
        <w:tc>
          <w:tcPr>
            <w:tcW w:w="842" w:type="dxa"/>
            <w:tcBorders>
              <w:left w:val="nil"/>
              <w:right w:val="nil"/>
            </w:tcBorders>
            <w:vAlign w:val="center"/>
          </w:tcPr>
          <w:p w14:paraId="35854023"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8,492</w:t>
            </w:r>
          </w:p>
        </w:tc>
        <w:tc>
          <w:tcPr>
            <w:tcW w:w="888" w:type="dxa"/>
            <w:tcBorders>
              <w:left w:val="nil"/>
              <w:right w:val="nil"/>
            </w:tcBorders>
            <w:vAlign w:val="center"/>
          </w:tcPr>
          <w:p w14:paraId="53FA41C6"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7,414</w:t>
            </w:r>
          </w:p>
        </w:tc>
        <w:tc>
          <w:tcPr>
            <w:tcW w:w="795" w:type="dxa"/>
            <w:tcBorders>
              <w:left w:val="nil"/>
              <w:right w:val="nil"/>
            </w:tcBorders>
            <w:vAlign w:val="center"/>
          </w:tcPr>
          <w:p w14:paraId="42BA3893"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5,085</w:t>
            </w:r>
          </w:p>
        </w:tc>
      </w:tr>
      <w:tr w:rsidR="0078250D" w:rsidRPr="0078250D" w14:paraId="52F1B5E6" w14:textId="77777777" w:rsidTr="000F26BC">
        <w:tc>
          <w:tcPr>
            <w:tcW w:w="4106" w:type="dxa"/>
            <w:tcBorders>
              <w:left w:val="nil"/>
              <w:right w:val="nil"/>
            </w:tcBorders>
          </w:tcPr>
          <w:p w14:paraId="49AAA8BB" w14:textId="77777777" w:rsidR="0078250D" w:rsidRPr="0078250D" w:rsidRDefault="0078250D" w:rsidP="000F26BC">
            <w:pPr>
              <w:tabs>
                <w:tab w:val="left" w:pos="0"/>
              </w:tabs>
              <w:spacing w:line="240" w:lineRule="auto"/>
              <w:ind w:firstLine="37"/>
              <w:rPr>
                <w:rFonts w:eastAsia="Calibri"/>
                <w:b w:val="0"/>
                <w:bCs/>
                <w:iCs/>
                <w:sz w:val="18"/>
                <w:szCs w:val="18"/>
              </w:rPr>
            </w:pPr>
            <w:r w:rsidRPr="0078250D">
              <w:rPr>
                <w:rFonts w:eastAsia="Calibri"/>
                <w:b w:val="0"/>
                <w:bCs/>
                <w:iCs/>
                <w:sz w:val="18"/>
                <w:szCs w:val="18"/>
              </w:rPr>
              <w:t>Ընդամենը</w:t>
            </w:r>
          </w:p>
        </w:tc>
        <w:tc>
          <w:tcPr>
            <w:tcW w:w="992" w:type="dxa"/>
            <w:tcBorders>
              <w:left w:val="nil"/>
              <w:right w:val="nil"/>
            </w:tcBorders>
            <w:vAlign w:val="center"/>
          </w:tcPr>
          <w:p w14:paraId="3317FC7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504,149</w:t>
            </w:r>
          </w:p>
        </w:tc>
        <w:tc>
          <w:tcPr>
            <w:tcW w:w="860" w:type="dxa"/>
            <w:tcBorders>
              <w:left w:val="nil"/>
              <w:right w:val="nil"/>
            </w:tcBorders>
            <w:vAlign w:val="center"/>
          </w:tcPr>
          <w:p w14:paraId="3A3CC4E9"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541,037</w:t>
            </w:r>
          </w:p>
        </w:tc>
        <w:tc>
          <w:tcPr>
            <w:tcW w:w="869" w:type="dxa"/>
            <w:tcBorders>
              <w:left w:val="nil"/>
              <w:right w:val="nil"/>
            </w:tcBorders>
            <w:vAlign w:val="center"/>
          </w:tcPr>
          <w:p w14:paraId="485ADF28"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511,083</w:t>
            </w:r>
          </w:p>
        </w:tc>
        <w:tc>
          <w:tcPr>
            <w:tcW w:w="795" w:type="dxa"/>
            <w:tcBorders>
              <w:left w:val="nil"/>
              <w:right w:val="nil"/>
            </w:tcBorders>
            <w:vAlign w:val="center"/>
          </w:tcPr>
          <w:p w14:paraId="612FEA6E"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321,290</w:t>
            </w:r>
          </w:p>
        </w:tc>
        <w:tc>
          <w:tcPr>
            <w:tcW w:w="850" w:type="dxa"/>
            <w:tcBorders>
              <w:left w:val="nil"/>
              <w:right w:val="nil"/>
            </w:tcBorders>
            <w:vAlign w:val="center"/>
          </w:tcPr>
          <w:p w14:paraId="06416331"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818,641</w:t>
            </w:r>
          </w:p>
        </w:tc>
        <w:tc>
          <w:tcPr>
            <w:tcW w:w="860" w:type="dxa"/>
            <w:tcBorders>
              <w:left w:val="nil"/>
              <w:right w:val="nil"/>
            </w:tcBorders>
            <w:vAlign w:val="center"/>
          </w:tcPr>
          <w:p w14:paraId="1587117D"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781,455</w:t>
            </w:r>
          </w:p>
        </w:tc>
        <w:tc>
          <w:tcPr>
            <w:tcW w:w="892" w:type="dxa"/>
            <w:tcBorders>
              <w:left w:val="nil"/>
              <w:right w:val="nil"/>
            </w:tcBorders>
            <w:vAlign w:val="center"/>
          </w:tcPr>
          <w:p w14:paraId="79B6B535"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790,446</w:t>
            </w:r>
          </w:p>
        </w:tc>
        <w:tc>
          <w:tcPr>
            <w:tcW w:w="873" w:type="dxa"/>
            <w:tcBorders>
              <w:left w:val="nil"/>
              <w:right w:val="nil"/>
            </w:tcBorders>
            <w:vAlign w:val="center"/>
          </w:tcPr>
          <w:p w14:paraId="7152B96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467,487</w:t>
            </w:r>
          </w:p>
        </w:tc>
        <w:tc>
          <w:tcPr>
            <w:tcW w:w="881" w:type="dxa"/>
            <w:tcBorders>
              <w:left w:val="nil"/>
              <w:right w:val="nil"/>
            </w:tcBorders>
            <w:vAlign w:val="center"/>
          </w:tcPr>
          <w:p w14:paraId="0DA05827"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308,777</w:t>
            </w:r>
          </w:p>
        </w:tc>
        <w:tc>
          <w:tcPr>
            <w:tcW w:w="842" w:type="dxa"/>
            <w:tcBorders>
              <w:left w:val="nil"/>
              <w:right w:val="nil"/>
            </w:tcBorders>
            <w:vAlign w:val="center"/>
          </w:tcPr>
          <w:p w14:paraId="5B6283A4"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240,417</w:t>
            </w:r>
          </w:p>
        </w:tc>
        <w:tc>
          <w:tcPr>
            <w:tcW w:w="888" w:type="dxa"/>
            <w:tcBorders>
              <w:left w:val="nil"/>
              <w:right w:val="nil"/>
            </w:tcBorders>
            <w:vAlign w:val="center"/>
          </w:tcPr>
          <w:p w14:paraId="6D61229C"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279,363</w:t>
            </w:r>
          </w:p>
        </w:tc>
        <w:tc>
          <w:tcPr>
            <w:tcW w:w="795" w:type="dxa"/>
            <w:tcBorders>
              <w:left w:val="nil"/>
              <w:right w:val="nil"/>
            </w:tcBorders>
            <w:vAlign w:val="center"/>
          </w:tcPr>
          <w:p w14:paraId="4279BA6D"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146,198</w:t>
            </w:r>
          </w:p>
        </w:tc>
      </w:tr>
      <w:tr w:rsidR="0078250D" w:rsidRPr="0078250D" w14:paraId="56AE7662" w14:textId="77777777" w:rsidTr="000F26BC">
        <w:tc>
          <w:tcPr>
            <w:tcW w:w="4106" w:type="dxa"/>
            <w:tcBorders>
              <w:left w:val="nil"/>
              <w:right w:val="nil"/>
            </w:tcBorders>
          </w:tcPr>
          <w:p w14:paraId="1DDC0B47" w14:textId="77777777" w:rsidR="0078250D" w:rsidRPr="0078250D" w:rsidRDefault="0078250D" w:rsidP="000F26BC">
            <w:pPr>
              <w:tabs>
                <w:tab w:val="left" w:pos="0"/>
              </w:tabs>
              <w:spacing w:line="240" w:lineRule="auto"/>
              <w:jc w:val="left"/>
              <w:rPr>
                <w:rFonts w:eastAsia="Calibri"/>
                <w:b w:val="0"/>
                <w:bCs/>
                <w:iCs/>
                <w:sz w:val="18"/>
                <w:szCs w:val="18"/>
              </w:rPr>
            </w:pPr>
            <w:r w:rsidRPr="0078250D">
              <w:rPr>
                <w:rFonts w:eastAsia="Calibri"/>
                <w:b w:val="0"/>
                <w:bCs/>
                <w:iCs/>
                <w:sz w:val="18"/>
                <w:szCs w:val="18"/>
              </w:rPr>
              <w:t>Դիտարկված ընկերությունների քանակ</w:t>
            </w:r>
          </w:p>
        </w:tc>
        <w:tc>
          <w:tcPr>
            <w:tcW w:w="992" w:type="dxa"/>
            <w:tcBorders>
              <w:left w:val="nil"/>
              <w:right w:val="nil"/>
            </w:tcBorders>
            <w:vAlign w:val="center"/>
          </w:tcPr>
          <w:p w14:paraId="1DA96AA7"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221</w:t>
            </w:r>
          </w:p>
        </w:tc>
        <w:tc>
          <w:tcPr>
            <w:tcW w:w="860" w:type="dxa"/>
            <w:tcBorders>
              <w:left w:val="nil"/>
              <w:right w:val="nil"/>
            </w:tcBorders>
            <w:vAlign w:val="center"/>
          </w:tcPr>
          <w:p w14:paraId="076D4391"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204</w:t>
            </w:r>
          </w:p>
        </w:tc>
        <w:tc>
          <w:tcPr>
            <w:tcW w:w="869" w:type="dxa"/>
            <w:tcBorders>
              <w:left w:val="nil"/>
              <w:right w:val="nil"/>
            </w:tcBorders>
            <w:vAlign w:val="center"/>
          </w:tcPr>
          <w:p w14:paraId="05C5BC50"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168</w:t>
            </w:r>
          </w:p>
        </w:tc>
        <w:tc>
          <w:tcPr>
            <w:tcW w:w="795" w:type="dxa"/>
            <w:tcBorders>
              <w:left w:val="nil"/>
              <w:right w:val="nil"/>
            </w:tcBorders>
            <w:vAlign w:val="center"/>
          </w:tcPr>
          <w:p w14:paraId="0DD60A1B" w14:textId="77777777" w:rsidR="0078250D" w:rsidRPr="0078250D" w:rsidRDefault="0078250D" w:rsidP="000F26BC">
            <w:pPr>
              <w:tabs>
                <w:tab w:val="left" w:pos="0"/>
              </w:tabs>
              <w:spacing w:line="240" w:lineRule="auto"/>
              <w:jc w:val="center"/>
              <w:rPr>
                <w:rFonts w:eastAsia="Calibri"/>
                <w:b w:val="0"/>
                <w:bCs/>
                <w:iCs/>
                <w:sz w:val="18"/>
                <w:szCs w:val="18"/>
              </w:rPr>
            </w:pPr>
            <w:r w:rsidRPr="0078250D">
              <w:rPr>
                <w:rFonts w:eastAsia="Calibri"/>
                <w:b w:val="0"/>
                <w:bCs/>
                <w:iCs/>
                <w:sz w:val="18"/>
                <w:szCs w:val="18"/>
              </w:rPr>
              <w:t>168</w:t>
            </w:r>
          </w:p>
        </w:tc>
        <w:tc>
          <w:tcPr>
            <w:tcW w:w="850" w:type="dxa"/>
            <w:tcBorders>
              <w:left w:val="nil"/>
              <w:right w:val="nil"/>
            </w:tcBorders>
            <w:vAlign w:val="center"/>
          </w:tcPr>
          <w:p w14:paraId="674E5465" w14:textId="77777777" w:rsidR="0078250D" w:rsidRPr="0078250D" w:rsidRDefault="0078250D" w:rsidP="000F26BC">
            <w:pPr>
              <w:tabs>
                <w:tab w:val="left" w:pos="0"/>
              </w:tabs>
              <w:spacing w:line="240" w:lineRule="auto"/>
              <w:jc w:val="center"/>
              <w:rPr>
                <w:rFonts w:eastAsia="Calibri"/>
                <w:b w:val="0"/>
                <w:bCs/>
                <w:iCs/>
                <w:sz w:val="18"/>
                <w:szCs w:val="18"/>
              </w:rPr>
            </w:pPr>
          </w:p>
        </w:tc>
        <w:tc>
          <w:tcPr>
            <w:tcW w:w="860" w:type="dxa"/>
            <w:tcBorders>
              <w:left w:val="nil"/>
              <w:right w:val="nil"/>
            </w:tcBorders>
            <w:vAlign w:val="center"/>
          </w:tcPr>
          <w:p w14:paraId="43089570" w14:textId="77777777" w:rsidR="0078250D" w:rsidRPr="0078250D" w:rsidRDefault="0078250D" w:rsidP="000F26BC">
            <w:pPr>
              <w:tabs>
                <w:tab w:val="left" w:pos="0"/>
              </w:tabs>
              <w:spacing w:line="240" w:lineRule="auto"/>
              <w:jc w:val="center"/>
              <w:rPr>
                <w:rFonts w:eastAsia="Calibri"/>
                <w:b w:val="0"/>
                <w:bCs/>
                <w:iCs/>
                <w:sz w:val="18"/>
                <w:szCs w:val="18"/>
              </w:rPr>
            </w:pPr>
          </w:p>
        </w:tc>
        <w:tc>
          <w:tcPr>
            <w:tcW w:w="892" w:type="dxa"/>
            <w:tcBorders>
              <w:left w:val="nil"/>
              <w:right w:val="nil"/>
            </w:tcBorders>
            <w:vAlign w:val="center"/>
          </w:tcPr>
          <w:p w14:paraId="3B59AEFF" w14:textId="77777777" w:rsidR="0078250D" w:rsidRPr="0078250D" w:rsidRDefault="0078250D" w:rsidP="000F26BC">
            <w:pPr>
              <w:tabs>
                <w:tab w:val="left" w:pos="0"/>
              </w:tabs>
              <w:spacing w:line="240" w:lineRule="auto"/>
              <w:jc w:val="center"/>
              <w:rPr>
                <w:rFonts w:eastAsia="Calibri"/>
                <w:b w:val="0"/>
                <w:bCs/>
                <w:iCs/>
                <w:sz w:val="18"/>
                <w:szCs w:val="18"/>
              </w:rPr>
            </w:pPr>
          </w:p>
        </w:tc>
        <w:tc>
          <w:tcPr>
            <w:tcW w:w="873" w:type="dxa"/>
            <w:tcBorders>
              <w:left w:val="nil"/>
              <w:right w:val="nil"/>
            </w:tcBorders>
            <w:vAlign w:val="center"/>
          </w:tcPr>
          <w:p w14:paraId="7A9B4726" w14:textId="77777777" w:rsidR="0078250D" w:rsidRPr="0078250D" w:rsidRDefault="0078250D" w:rsidP="000F26BC">
            <w:pPr>
              <w:tabs>
                <w:tab w:val="left" w:pos="0"/>
              </w:tabs>
              <w:spacing w:line="240" w:lineRule="auto"/>
              <w:jc w:val="center"/>
              <w:rPr>
                <w:rFonts w:eastAsia="Calibri"/>
                <w:b w:val="0"/>
                <w:bCs/>
                <w:iCs/>
                <w:sz w:val="18"/>
                <w:szCs w:val="18"/>
              </w:rPr>
            </w:pPr>
          </w:p>
        </w:tc>
        <w:tc>
          <w:tcPr>
            <w:tcW w:w="881" w:type="dxa"/>
            <w:tcBorders>
              <w:left w:val="nil"/>
              <w:right w:val="nil"/>
            </w:tcBorders>
            <w:vAlign w:val="center"/>
          </w:tcPr>
          <w:p w14:paraId="320566D4" w14:textId="77777777" w:rsidR="0078250D" w:rsidRPr="0078250D" w:rsidRDefault="0078250D" w:rsidP="000F26BC">
            <w:pPr>
              <w:tabs>
                <w:tab w:val="left" w:pos="0"/>
              </w:tabs>
              <w:spacing w:line="240" w:lineRule="auto"/>
              <w:jc w:val="center"/>
              <w:rPr>
                <w:rFonts w:eastAsia="Calibri"/>
                <w:b w:val="0"/>
                <w:bCs/>
                <w:iCs/>
                <w:sz w:val="18"/>
                <w:szCs w:val="18"/>
              </w:rPr>
            </w:pPr>
          </w:p>
        </w:tc>
        <w:tc>
          <w:tcPr>
            <w:tcW w:w="842" w:type="dxa"/>
            <w:tcBorders>
              <w:left w:val="nil"/>
              <w:right w:val="nil"/>
            </w:tcBorders>
            <w:vAlign w:val="center"/>
          </w:tcPr>
          <w:p w14:paraId="1446ADC2" w14:textId="77777777" w:rsidR="0078250D" w:rsidRPr="0078250D" w:rsidRDefault="0078250D" w:rsidP="000F26BC">
            <w:pPr>
              <w:tabs>
                <w:tab w:val="left" w:pos="0"/>
              </w:tabs>
              <w:spacing w:line="240" w:lineRule="auto"/>
              <w:jc w:val="center"/>
              <w:rPr>
                <w:rFonts w:eastAsia="Calibri"/>
                <w:b w:val="0"/>
                <w:bCs/>
                <w:iCs/>
                <w:sz w:val="18"/>
                <w:szCs w:val="18"/>
              </w:rPr>
            </w:pPr>
          </w:p>
        </w:tc>
        <w:tc>
          <w:tcPr>
            <w:tcW w:w="888" w:type="dxa"/>
            <w:tcBorders>
              <w:left w:val="nil"/>
              <w:right w:val="nil"/>
            </w:tcBorders>
            <w:vAlign w:val="center"/>
          </w:tcPr>
          <w:p w14:paraId="76849DAD" w14:textId="77777777" w:rsidR="0078250D" w:rsidRPr="0078250D" w:rsidRDefault="0078250D" w:rsidP="000F26BC">
            <w:pPr>
              <w:tabs>
                <w:tab w:val="left" w:pos="0"/>
              </w:tabs>
              <w:spacing w:line="240" w:lineRule="auto"/>
              <w:jc w:val="center"/>
              <w:rPr>
                <w:rFonts w:eastAsia="Calibri"/>
                <w:b w:val="0"/>
                <w:bCs/>
                <w:iCs/>
                <w:sz w:val="18"/>
                <w:szCs w:val="18"/>
              </w:rPr>
            </w:pPr>
          </w:p>
        </w:tc>
        <w:tc>
          <w:tcPr>
            <w:tcW w:w="795" w:type="dxa"/>
            <w:tcBorders>
              <w:left w:val="nil"/>
              <w:right w:val="nil"/>
            </w:tcBorders>
            <w:vAlign w:val="center"/>
          </w:tcPr>
          <w:p w14:paraId="58A1EA83" w14:textId="77777777" w:rsidR="0078250D" w:rsidRPr="0078250D" w:rsidRDefault="0078250D" w:rsidP="000F26BC">
            <w:pPr>
              <w:keepNext/>
              <w:tabs>
                <w:tab w:val="left" w:pos="0"/>
              </w:tabs>
              <w:spacing w:line="240" w:lineRule="auto"/>
              <w:jc w:val="center"/>
              <w:rPr>
                <w:rFonts w:eastAsia="Calibri"/>
                <w:b w:val="0"/>
                <w:bCs/>
                <w:iCs/>
                <w:sz w:val="18"/>
                <w:szCs w:val="18"/>
              </w:rPr>
            </w:pPr>
          </w:p>
        </w:tc>
      </w:tr>
    </w:tbl>
    <w:p w14:paraId="7E0082C9" w14:textId="77777777" w:rsidR="0078250D" w:rsidRPr="0078250D" w:rsidRDefault="0078250D" w:rsidP="0078250D">
      <w:pPr>
        <w:tabs>
          <w:tab w:val="left" w:pos="0"/>
        </w:tabs>
        <w:rPr>
          <w:rFonts w:eastAsia="Calibri"/>
          <w:b w:val="0"/>
          <w:bCs/>
          <w:i/>
          <w:iCs/>
          <w:sz w:val="19"/>
          <w:szCs w:val="19"/>
        </w:rPr>
        <w:sectPr w:rsidR="0078250D" w:rsidRPr="0078250D" w:rsidSect="003A1644">
          <w:pgSz w:w="16838" w:h="11906" w:orient="landscape" w:code="9"/>
          <w:pgMar w:top="1418" w:right="1440" w:bottom="1440" w:left="1440" w:header="720" w:footer="720" w:gutter="0"/>
          <w:cols w:space="720"/>
          <w:docGrid w:linePitch="360"/>
        </w:sectPr>
      </w:pPr>
    </w:p>
    <w:bookmarkEnd w:id="368"/>
    <w:p w14:paraId="74A65C84" w14:textId="77777777" w:rsidR="0078250D" w:rsidRPr="0078250D" w:rsidRDefault="0078250D" w:rsidP="0078250D">
      <w:pPr>
        <w:tabs>
          <w:tab w:val="left" w:pos="0"/>
        </w:tabs>
        <w:rPr>
          <w:b w:val="0"/>
          <w:bCs/>
          <w:lang w:val="hy-AM"/>
        </w:rPr>
      </w:pPr>
      <w:r w:rsidRPr="0078250D">
        <w:rPr>
          <w:b w:val="0"/>
          <w:bCs/>
          <w:lang w:val="hy-AM"/>
        </w:rPr>
        <w:lastRenderedPageBreak/>
        <w:t>Արժույթի միջազգային հիմնադրամի` պետական մասնակցությամբ ընկերությունների վիճակի գնահատման “STATE-OWNED ENTERPRISE HEALTH CHECK TOOL”</w:t>
      </w:r>
      <w:r w:rsidRPr="0078250D">
        <w:rPr>
          <w:rStyle w:val="FootnoteReference"/>
          <w:b w:val="0"/>
          <w:bCs/>
        </w:rPr>
        <w:footnoteReference w:id="37"/>
      </w:r>
      <w:r w:rsidRPr="0078250D">
        <w:rPr>
          <w:b w:val="0"/>
          <w:bCs/>
          <w:lang w:val="hy-AM"/>
        </w:rPr>
        <w:t xml:space="preserve"> մոդելի կիրառմամբ ընտրվել է խոշոր պետական մասնակցությամբ ըներություններից Բարձրավոլտ էլեկտրացանցեր, Երևանի ՋԷԿ և «Հայփոստ» ՓԲԸ-ները և իրականացվել վերջիններիս ֆիսկալ ռիսկերի գնահատում։ Ընտրված 3 ընկերության ակտիվները կազմում են ընդհանուր պետական մասնակցությամբ ընկերությունների ակտիվների 36%-ը: Ֆիսկալ ռիսկերի գնահատումը կատարվել է շահութաբերության, իրացվելիության և վճարունակության ցուցանիշների հիման վրա: Մոդելը ներառում է ռիսկի հինգ կատեգորիա, որոնցից 1-ին կատեգորիան ներկայացնում է ռիսկի ավելի ցածր մակարդակ ունեցող, իսկ 5-րդ կատեգորիան՝ ռիսկի ավելի բարձր մակարդակ ունեցող ընկերությունները:</w:t>
      </w:r>
    </w:p>
    <w:p w14:paraId="2D382BC4" w14:textId="77777777" w:rsidR="0078250D" w:rsidRPr="0078250D" w:rsidRDefault="0078250D" w:rsidP="0078250D">
      <w:pPr>
        <w:tabs>
          <w:tab w:val="left" w:pos="0"/>
        </w:tabs>
        <w:rPr>
          <w:b w:val="0"/>
          <w:bCs/>
          <w:lang w:val="hy-AM"/>
        </w:rPr>
      </w:pPr>
      <w:r w:rsidRPr="0078250D">
        <w:rPr>
          <w:b w:val="0"/>
          <w:bCs/>
          <w:lang w:val="hy-AM"/>
        </w:rPr>
        <w:t>2022թ. մոդելի արդյունքներով Բարձրավոլտ էլեկտրացանցեր և Երևանի ՋԷԿ ՓԲԸ-ների ռիսկայնությունը կազմել է համապատասխանաբար՝ 3.08 և 2.62, իսկ «Հայփոստ» ՓԲԸ-ինը՝ 4</w:t>
      </w:r>
      <w:r w:rsidRPr="0078250D">
        <w:rPr>
          <w:rStyle w:val="FootnoteReference"/>
          <w:b w:val="0"/>
          <w:bCs/>
          <w:lang w:val="hy-AM"/>
        </w:rPr>
        <w:footnoteReference w:id="38"/>
      </w:r>
      <w:r w:rsidRPr="0078250D">
        <w:rPr>
          <w:b w:val="0"/>
          <w:bCs/>
          <w:lang w:val="hy-AM"/>
        </w:rPr>
        <w:t>:</w:t>
      </w:r>
    </w:p>
    <w:p w14:paraId="5EF3C2C3" w14:textId="77777777" w:rsidR="0078250D" w:rsidRPr="0078250D" w:rsidRDefault="0078250D" w:rsidP="0078250D">
      <w:pPr>
        <w:tabs>
          <w:tab w:val="left" w:pos="0"/>
        </w:tabs>
        <w:ind w:left="720"/>
        <w:rPr>
          <w:b w:val="0"/>
          <w:bCs/>
        </w:rPr>
      </w:pPr>
      <w:r w:rsidRPr="0078250D">
        <w:rPr>
          <w:b w:val="0"/>
          <w:bCs/>
          <w:noProof/>
          <w:lang w:val="en-US" w:eastAsia="en-US"/>
        </w:rPr>
        <w:drawing>
          <wp:inline distT="0" distB="0" distL="0" distR="0" wp14:anchorId="0930CFCC" wp14:editId="30A07597">
            <wp:extent cx="2310765" cy="10788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10765" cy="1078865"/>
                    </a:xfrm>
                    <a:prstGeom prst="rect">
                      <a:avLst/>
                    </a:prstGeom>
                    <a:noFill/>
                  </pic:spPr>
                </pic:pic>
              </a:graphicData>
            </a:graphic>
          </wp:inline>
        </w:drawing>
      </w:r>
    </w:p>
    <w:p w14:paraId="48839465" w14:textId="3D6E53D9" w:rsidR="0078250D" w:rsidRDefault="0078250D" w:rsidP="0078250D">
      <w:pPr>
        <w:tabs>
          <w:tab w:val="left" w:pos="0"/>
        </w:tabs>
        <w:rPr>
          <w:b w:val="0"/>
          <w:bCs/>
          <w:lang w:val="hy-AM"/>
        </w:rPr>
      </w:pPr>
      <w:r w:rsidRPr="0078250D">
        <w:rPr>
          <w:b w:val="0"/>
          <w:bCs/>
          <w:lang w:val="hy-AM"/>
        </w:rPr>
        <w:t>Ստորև ներկայացված են վերլուծված կազմակերպությունների հիմնական ֆինանսական ցուցանիշները։ Տվյալ կազմակերպությունների ակտիվների շահութաբերությունը 2022թ. կազմել է 19%, իսկ սեփական կապիտալի վերադարձը՝ 54%</w:t>
      </w:r>
    </w:p>
    <w:p w14:paraId="4C9387B2" w14:textId="77777777" w:rsidR="0078250D" w:rsidRPr="0078250D" w:rsidRDefault="0078250D" w:rsidP="0078250D">
      <w:pPr>
        <w:tabs>
          <w:tab w:val="left" w:pos="0"/>
        </w:tabs>
        <w:rPr>
          <w:b w:val="0"/>
          <w:bCs/>
          <w:lang w:val="hy-AM"/>
        </w:rPr>
      </w:pPr>
    </w:p>
    <w:p w14:paraId="7AE0D38F" w14:textId="77777777" w:rsidR="0078250D" w:rsidRPr="0078250D" w:rsidRDefault="0078250D" w:rsidP="0078250D">
      <w:pPr>
        <w:tabs>
          <w:tab w:val="left" w:pos="0"/>
        </w:tabs>
        <w:jc w:val="left"/>
        <w:rPr>
          <w:b w:val="0"/>
          <w:bCs/>
          <w:lang w:val="hy-AM"/>
        </w:rPr>
      </w:pPr>
      <w:r w:rsidRPr="0078250D">
        <w:rPr>
          <w:lang w:val="hy-AM"/>
        </w:rPr>
        <w:t>Գծապատկեր 5</w:t>
      </w:r>
      <w:r w:rsidRPr="0078250D">
        <w:rPr>
          <w:rFonts w:ascii="Cambria Math" w:hAnsi="Cambria Math" w:cs="Cambria Math"/>
          <w:lang w:val="hy-AM"/>
        </w:rPr>
        <w:t>․</w:t>
      </w:r>
      <w:r w:rsidRPr="0078250D">
        <w:rPr>
          <w:lang w:val="hy-AM"/>
        </w:rPr>
        <w:t>4</w:t>
      </w:r>
      <w:r w:rsidRPr="0078250D">
        <w:rPr>
          <w:rFonts w:cs="Segoe UI"/>
          <w:b w:val="0"/>
          <w:bCs/>
          <w:color w:val="0070C0"/>
          <w:kern w:val="24"/>
          <w:lang w:val="hy-AM"/>
        </w:rPr>
        <w:t xml:space="preserve"> </w:t>
      </w:r>
      <w:r w:rsidRPr="0078250D">
        <w:rPr>
          <w:b w:val="0"/>
          <w:bCs/>
          <w:lang w:val="hy-AM"/>
        </w:rPr>
        <w:t>Ակտիվների և ակտիվների շահութաբերությունը (աջ առանցք), հազար ՀՀ դրամ</w:t>
      </w:r>
    </w:p>
    <w:p w14:paraId="75C52FE1" w14:textId="77777777" w:rsidR="0078250D" w:rsidRPr="0078250D" w:rsidRDefault="0078250D" w:rsidP="0078250D">
      <w:pPr>
        <w:tabs>
          <w:tab w:val="left" w:pos="0"/>
        </w:tabs>
        <w:jc w:val="center"/>
        <w:rPr>
          <w:b w:val="0"/>
          <w:bCs/>
          <w:lang w:val="hy-AM"/>
        </w:rPr>
      </w:pPr>
      <w:r w:rsidRPr="0078250D">
        <w:rPr>
          <w:b w:val="0"/>
          <w:bCs/>
          <w:noProof/>
          <w:lang w:val="en-US" w:eastAsia="en-US"/>
        </w:rPr>
        <w:drawing>
          <wp:inline distT="0" distB="0" distL="0" distR="0" wp14:anchorId="16CBE957" wp14:editId="27C36D06">
            <wp:extent cx="5027930" cy="2078415"/>
            <wp:effectExtent l="0" t="0" r="1270" b="17145"/>
            <wp:docPr id="17" name="Chart 17">
              <a:extLst xmlns:a="http://schemas.openxmlformats.org/drawingml/2006/main">
                <a:ext uri="{FF2B5EF4-FFF2-40B4-BE49-F238E27FC236}">
                  <a16:creationId xmlns:a16="http://schemas.microsoft.com/office/drawing/2014/main" id="{00000000-0008-0000-0F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9844763" w14:textId="77777777" w:rsidR="0078250D" w:rsidRDefault="0078250D" w:rsidP="0078250D">
      <w:pPr>
        <w:tabs>
          <w:tab w:val="left" w:pos="0"/>
        </w:tabs>
        <w:jc w:val="left"/>
        <w:rPr>
          <w:b w:val="0"/>
          <w:bCs/>
          <w:lang w:val="hy-AM"/>
        </w:rPr>
      </w:pPr>
    </w:p>
    <w:p w14:paraId="73C46FFB" w14:textId="77777777" w:rsidR="0078250D" w:rsidRDefault="0078250D" w:rsidP="0078250D">
      <w:pPr>
        <w:tabs>
          <w:tab w:val="left" w:pos="0"/>
        </w:tabs>
        <w:jc w:val="left"/>
        <w:rPr>
          <w:b w:val="0"/>
          <w:bCs/>
          <w:lang w:val="hy-AM"/>
        </w:rPr>
      </w:pPr>
    </w:p>
    <w:p w14:paraId="3A62AA14" w14:textId="1CC3F9F1" w:rsidR="0078250D" w:rsidRDefault="0078250D" w:rsidP="0078250D">
      <w:pPr>
        <w:tabs>
          <w:tab w:val="left" w:pos="0"/>
        </w:tabs>
        <w:jc w:val="left"/>
        <w:rPr>
          <w:b w:val="0"/>
          <w:bCs/>
          <w:lang w:val="hy-AM"/>
        </w:rPr>
      </w:pPr>
    </w:p>
    <w:p w14:paraId="25584F9F" w14:textId="77777777" w:rsidR="0078250D" w:rsidRDefault="0078250D" w:rsidP="0078250D">
      <w:pPr>
        <w:tabs>
          <w:tab w:val="left" w:pos="0"/>
        </w:tabs>
        <w:jc w:val="left"/>
        <w:rPr>
          <w:b w:val="0"/>
          <w:bCs/>
          <w:lang w:val="hy-AM"/>
        </w:rPr>
      </w:pPr>
    </w:p>
    <w:p w14:paraId="3137B86D" w14:textId="77777777" w:rsidR="0078250D" w:rsidRDefault="0078250D" w:rsidP="0078250D">
      <w:pPr>
        <w:tabs>
          <w:tab w:val="left" w:pos="0"/>
        </w:tabs>
        <w:jc w:val="left"/>
        <w:rPr>
          <w:b w:val="0"/>
          <w:bCs/>
          <w:lang w:val="hy-AM"/>
        </w:rPr>
      </w:pPr>
    </w:p>
    <w:p w14:paraId="28CAD1C3" w14:textId="3DA655D6" w:rsidR="0078250D" w:rsidRPr="0078250D" w:rsidRDefault="0078250D" w:rsidP="0078250D">
      <w:pPr>
        <w:tabs>
          <w:tab w:val="left" w:pos="0"/>
        </w:tabs>
        <w:jc w:val="left"/>
        <w:rPr>
          <w:b w:val="0"/>
          <w:bCs/>
          <w:lang w:val="hy-AM"/>
        </w:rPr>
      </w:pPr>
      <w:r w:rsidRPr="0078250D">
        <w:rPr>
          <w:lang w:val="hy-AM"/>
        </w:rPr>
        <w:lastRenderedPageBreak/>
        <w:t>Գծապատկեր 5</w:t>
      </w:r>
      <w:r w:rsidRPr="0078250D">
        <w:rPr>
          <w:rFonts w:ascii="Cambria Math" w:hAnsi="Cambria Math" w:cs="Cambria Math"/>
          <w:lang w:val="hy-AM"/>
        </w:rPr>
        <w:t>․</w:t>
      </w:r>
      <w:r w:rsidRPr="0078250D">
        <w:rPr>
          <w:lang w:val="hy-AM"/>
        </w:rPr>
        <w:t>5</w:t>
      </w:r>
      <w:r w:rsidRPr="0078250D">
        <w:rPr>
          <w:b w:val="0"/>
          <w:bCs/>
          <w:lang w:val="hy-AM"/>
        </w:rPr>
        <w:t xml:space="preserve"> Սեփական կապիտալ և սեփական կապիտալի շահութաբերություն (աջ առանցք) հազար ՀՀ դրամ</w:t>
      </w:r>
    </w:p>
    <w:p w14:paraId="07DDE59C" w14:textId="77777777" w:rsidR="0078250D" w:rsidRPr="0078250D" w:rsidRDefault="0078250D" w:rsidP="0078250D">
      <w:pPr>
        <w:tabs>
          <w:tab w:val="left" w:pos="0"/>
        </w:tabs>
        <w:jc w:val="center"/>
        <w:rPr>
          <w:b w:val="0"/>
          <w:bCs/>
          <w:lang w:val="hy-AM"/>
        </w:rPr>
      </w:pPr>
    </w:p>
    <w:p w14:paraId="66BE34E3" w14:textId="77777777" w:rsidR="0078250D" w:rsidRPr="0078250D" w:rsidRDefault="0078250D" w:rsidP="0078250D">
      <w:pPr>
        <w:tabs>
          <w:tab w:val="left" w:pos="0"/>
        </w:tabs>
        <w:jc w:val="center"/>
        <w:rPr>
          <w:b w:val="0"/>
          <w:bCs/>
          <w:lang w:val="hy-AM"/>
        </w:rPr>
      </w:pPr>
      <w:r w:rsidRPr="0078250D">
        <w:rPr>
          <w:b w:val="0"/>
          <w:bCs/>
          <w:noProof/>
          <w:lang w:val="en-US" w:eastAsia="en-US"/>
        </w:rPr>
        <w:drawing>
          <wp:inline distT="0" distB="0" distL="0" distR="0" wp14:anchorId="0F3A3E6C" wp14:editId="48797466">
            <wp:extent cx="5020286" cy="2387732"/>
            <wp:effectExtent l="0" t="0" r="0" b="0"/>
            <wp:docPr id="19" name="Chart 19">
              <a:extLst xmlns:a="http://schemas.openxmlformats.org/drawingml/2006/main">
                <a:ext uri="{FF2B5EF4-FFF2-40B4-BE49-F238E27FC236}">
                  <a16:creationId xmlns:a16="http://schemas.microsoft.com/office/drawing/2014/main" id="{00000000-0008-0000-0F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9FFD08B" w14:textId="77777777" w:rsidR="0078250D" w:rsidRPr="0078250D" w:rsidRDefault="0078250D" w:rsidP="0078250D">
      <w:pPr>
        <w:tabs>
          <w:tab w:val="left" w:pos="0"/>
        </w:tabs>
        <w:jc w:val="left"/>
        <w:rPr>
          <w:b w:val="0"/>
          <w:bCs/>
          <w:lang w:val="hy-AM"/>
        </w:rPr>
      </w:pPr>
      <w:r w:rsidRPr="0078250D">
        <w:rPr>
          <w:lang w:val="hy-AM"/>
        </w:rPr>
        <w:t>Գծապատկեր 5</w:t>
      </w:r>
      <w:r w:rsidRPr="0078250D">
        <w:rPr>
          <w:rFonts w:ascii="Cambria Math" w:hAnsi="Cambria Math" w:cs="Cambria Math"/>
          <w:lang w:val="hy-AM"/>
        </w:rPr>
        <w:t>․</w:t>
      </w:r>
      <w:r w:rsidRPr="0078250D">
        <w:rPr>
          <w:lang w:val="hy-AM"/>
        </w:rPr>
        <w:t>6</w:t>
      </w:r>
      <w:r w:rsidRPr="0078250D">
        <w:rPr>
          <w:b w:val="0"/>
          <w:bCs/>
          <w:lang w:val="hy-AM"/>
        </w:rPr>
        <w:t xml:space="preserve"> Շահութաբերության մարժաներ</w:t>
      </w:r>
    </w:p>
    <w:p w14:paraId="55F0236F" w14:textId="77777777" w:rsidR="0078250D" w:rsidRPr="0078250D" w:rsidRDefault="0078250D" w:rsidP="0078250D">
      <w:pPr>
        <w:tabs>
          <w:tab w:val="left" w:pos="0"/>
        </w:tabs>
        <w:jc w:val="center"/>
        <w:rPr>
          <w:b w:val="0"/>
          <w:bCs/>
          <w:lang w:val="hy-AM"/>
        </w:rPr>
      </w:pPr>
      <w:r w:rsidRPr="0078250D">
        <w:rPr>
          <w:b w:val="0"/>
          <w:bCs/>
          <w:noProof/>
          <w:lang w:val="hy-AM"/>
        </w:rPr>
        <w:t xml:space="preserve"> </w:t>
      </w:r>
      <w:r w:rsidRPr="0078250D">
        <w:rPr>
          <w:b w:val="0"/>
          <w:bCs/>
          <w:noProof/>
          <w:lang w:val="en-US" w:eastAsia="en-US"/>
        </w:rPr>
        <w:drawing>
          <wp:inline distT="0" distB="0" distL="0" distR="0" wp14:anchorId="76734B9C" wp14:editId="4028A8B7">
            <wp:extent cx="4367892" cy="2094620"/>
            <wp:effectExtent l="0" t="0" r="13970" b="1270"/>
            <wp:docPr id="21" name="Chart 21">
              <a:extLst xmlns:a="http://schemas.openxmlformats.org/drawingml/2006/main">
                <a:ext uri="{FF2B5EF4-FFF2-40B4-BE49-F238E27FC236}">
                  <a16:creationId xmlns:a16="http://schemas.microsoft.com/office/drawing/2014/main" id="{00000000-0008-0000-0F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88C4957" w14:textId="77777777" w:rsidR="0078250D" w:rsidRPr="0078250D" w:rsidRDefault="0078250D" w:rsidP="0078250D">
      <w:pPr>
        <w:tabs>
          <w:tab w:val="left" w:pos="0"/>
        </w:tabs>
        <w:jc w:val="left"/>
        <w:rPr>
          <w:b w:val="0"/>
          <w:bCs/>
          <w:lang w:val="hy-AM"/>
        </w:rPr>
      </w:pPr>
      <w:r w:rsidRPr="0078250D">
        <w:rPr>
          <w:lang w:val="hy-AM"/>
        </w:rPr>
        <w:t>Գծապատկեր 5</w:t>
      </w:r>
      <w:r w:rsidRPr="0078250D">
        <w:rPr>
          <w:rFonts w:ascii="Cambria Math" w:hAnsi="Cambria Math" w:cs="Cambria Math"/>
          <w:lang w:val="hy-AM"/>
        </w:rPr>
        <w:t>․</w:t>
      </w:r>
      <w:r w:rsidRPr="0078250D">
        <w:rPr>
          <w:lang w:val="hy-AM"/>
        </w:rPr>
        <w:t>7</w:t>
      </w:r>
      <w:r w:rsidRPr="0078250D">
        <w:rPr>
          <w:b w:val="0"/>
          <w:bCs/>
          <w:color w:val="246DAD"/>
          <w:lang w:val="hy-AM"/>
        </w:rPr>
        <w:t xml:space="preserve"> </w:t>
      </w:r>
      <w:r w:rsidRPr="0078250D">
        <w:rPr>
          <w:b w:val="0"/>
          <w:bCs/>
          <w:lang w:val="hy-AM"/>
        </w:rPr>
        <w:t>Վճարունակություն</w:t>
      </w:r>
    </w:p>
    <w:p w14:paraId="38E67DA6" w14:textId="77777777" w:rsidR="0078250D" w:rsidRPr="0078250D" w:rsidRDefault="0078250D" w:rsidP="0078250D">
      <w:pPr>
        <w:tabs>
          <w:tab w:val="left" w:pos="0"/>
        </w:tabs>
        <w:jc w:val="center"/>
        <w:rPr>
          <w:b w:val="0"/>
          <w:bCs/>
          <w:lang w:val="hy-AM"/>
        </w:rPr>
      </w:pPr>
      <w:r w:rsidRPr="0078250D">
        <w:rPr>
          <w:b w:val="0"/>
          <w:bCs/>
          <w:noProof/>
          <w:lang w:val="en-US" w:eastAsia="en-US"/>
        </w:rPr>
        <w:drawing>
          <wp:inline distT="0" distB="0" distL="0" distR="0" wp14:anchorId="72DD56DC" wp14:editId="4BE55F40">
            <wp:extent cx="4857750" cy="1828800"/>
            <wp:effectExtent l="0" t="0" r="0" b="0"/>
            <wp:docPr id="24" name="Chart 24">
              <a:extLst xmlns:a="http://schemas.openxmlformats.org/drawingml/2006/main">
                <a:ext uri="{FF2B5EF4-FFF2-40B4-BE49-F238E27FC236}">
                  <a16:creationId xmlns:a16="http://schemas.microsoft.com/office/drawing/2014/main" id="{00000000-0008-0000-0F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452F4D6" w14:textId="77777777" w:rsidR="0078250D" w:rsidRDefault="0078250D" w:rsidP="0078250D">
      <w:pPr>
        <w:tabs>
          <w:tab w:val="left" w:pos="0"/>
        </w:tabs>
        <w:rPr>
          <w:b w:val="0"/>
          <w:bCs/>
          <w:lang w:val="hy-AM"/>
        </w:rPr>
      </w:pPr>
    </w:p>
    <w:p w14:paraId="7D6F2AA2" w14:textId="5D87B066" w:rsidR="0078250D" w:rsidRPr="0078250D" w:rsidRDefault="0078250D" w:rsidP="0078250D">
      <w:pPr>
        <w:tabs>
          <w:tab w:val="left" w:pos="0"/>
        </w:tabs>
        <w:rPr>
          <w:lang w:val="hy-AM"/>
        </w:rPr>
      </w:pPr>
      <w:r w:rsidRPr="0078250D">
        <w:rPr>
          <w:lang w:val="hy-AM"/>
        </w:rPr>
        <w:t>Էներգետիկ ոլորտի մասնավոր ընկերություններ</w:t>
      </w:r>
    </w:p>
    <w:p w14:paraId="2CC3872F" w14:textId="77777777" w:rsidR="0078250D" w:rsidRPr="0078250D" w:rsidRDefault="0078250D" w:rsidP="0078250D">
      <w:pPr>
        <w:tabs>
          <w:tab w:val="left" w:pos="0"/>
        </w:tabs>
        <w:rPr>
          <w:b w:val="0"/>
          <w:bCs/>
          <w:lang w:val="hy-AM"/>
        </w:rPr>
      </w:pPr>
      <w:r w:rsidRPr="0078250D">
        <w:rPr>
          <w:b w:val="0"/>
          <w:bCs/>
          <w:lang w:val="hy-AM"/>
        </w:rPr>
        <w:t xml:space="preserve">Էներգետիկայի ոլորտի դիտանցման ենթարկված մասնավոր ընկերությունների (թվով 4 ընկերություններ) հիմնական գործունեությունից ստացված հանրագումարային եկամուտները </w:t>
      </w:r>
      <w:r w:rsidRPr="0078250D">
        <w:rPr>
          <w:b w:val="0"/>
          <w:bCs/>
          <w:lang w:val="hy-AM"/>
        </w:rPr>
        <w:lastRenderedPageBreak/>
        <w:t xml:space="preserve">2021 թվականին նախորդ ժամանակաշրջանի նկատմամբ ավելացել են միջինում 15%-ով, միտումը շարունակվել է նաև 2022 թվականի ընթացքում և երկու ընկերությունների համար առկա տեղեկատվությունը վկայում է 8% եկամուտների աճի մասին։ Էական աճ է արձանագրվել նաև շահույթի ցուցանիշով։ </w:t>
      </w:r>
      <w:r w:rsidRPr="0078250D" w:rsidDel="00FD17C8">
        <w:rPr>
          <w:b w:val="0"/>
          <w:bCs/>
          <w:lang w:val="hy-AM"/>
        </w:rPr>
        <w:t xml:space="preserve"> </w:t>
      </w:r>
      <w:r w:rsidRPr="0078250D">
        <w:rPr>
          <w:b w:val="0"/>
          <w:bCs/>
          <w:lang w:val="hy-AM"/>
        </w:rPr>
        <w:t xml:space="preserve"> </w:t>
      </w:r>
    </w:p>
    <w:p w14:paraId="6425D324" w14:textId="77777777" w:rsidR="0078250D" w:rsidRPr="0078250D" w:rsidRDefault="0078250D" w:rsidP="0078250D">
      <w:pPr>
        <w:tabs>
          <w:tab w:val="left" w:pos="0"/>
        </w:tabs>
        <w:jc w:val="left"/>
        <w:rPr>
          <w:rFonts w:eastAsia="Calibri"/>
          <w:b w:val="0"/>
          <w:bCs/>
          <w:iCs/>
          <w:lang w:val="hy-AM"/>
        </w:rPr>
      </w:pPr>
      <w:r w:rsidRPr="0078250D">
        <w:rPr>
          <w:rFonts w:eastAsia="Calibri" w:cs="Sylfaen"/>
          <w:lang w:val="hy-AM"/>
        </w:rPr>
        <w:t>Աղյուսակ 5.6</w:t>
      </w:r>
      <w:r w:rsidRPr="0078250D">
        <w:rPr>
          <w:rFonts w:eastAsia="Calibri" w:cs="Sylfaen"/>
          <w:b w:val="0"/>
          <w:bCs/>
          <w:i/>
          <w:lang w:val="hy-AM"/>
        </w:rPr>
        <w:t xml:space="preserve"> </w:t>
      </w:r>
      <w:r w:rsidRPr="0078250D">
        <w:rPr>
          <w:rFonts w:eastAsia="Calibri" w:cs="Sylfaen"/>
          <w:b w:val="0"/>
          <w:bCs/>
          <w:lang w:val="hy-AM"/>
        </w:rPr>
        <w:t>Էներգետիկայի ոլորտի մասնավոր ընկերությունների հանրագումարային զուտ շահույթը/վնասն ըստ տարիների,</w:t>
      </w:r>
      <w:r w:rsidRPr="0078250D">
        <w:rPr>
          <w:rFonts w:eastAsia="Calibri"/>
          <w:b w:val="0"/>
          <w:bCs/>
          <w:iCs/>
          <w:lang w:val="hy-AM"/>
        </w:rPr>
        <w:t xml:space="preserve"> մլն. դրամ</w:t>
      </w:r>
    </w:p>
    <w:p w14:paraId="1A21E758" w14:textId="77777777" w:rsidR="0078250D" w:rsidRPr="0078250D" w:rsidRDefault="0078250D" w:rsidP="0078250D">
      <w:pPr>
        <w:tabs>
          <w:tab w:val="left" w:pos="0"/>
        </w:tabs>
        <w:spacing w:line="240" w:lineRule="auto"/>
        <w:jc w:val="left"/>
        <w:rPr>
          <w:rFonts w:eastAsia="Calibri"/>
          <w:b w:val="0"/>
          <w:bCs/>
          <w:iCs/>
          <w:lang w:val="hy-AM"/>
        </w:rPr>
      </w:pPr>
    </w:p>
    <w:tbl>
      <w:tblPr>
        <w:tblW w:w="9072" w:type="dxa"/>
        <w:tblLayout w:type="fixed"/>
        <w:tblLook w:val="04A0" w:firstRow="1" w:lastRow="0" w:firstColumn="1" w:lastColumn="0" w:noHBand="0" w:noVBand="1"/>
      </w:tblPr>
      <w:tblGrid>
        <w:gridCol w:w="4253"/>
        <w:gridCol w:w="1134"/>
        <w:gridCol w:w="1417"/>
        <w:gridCol w:w="1276"/>
        <w:gridCol w:w="992"/>
      </w:tblGrid>
      <w:tr w:rsidR="0078250D" w:rsidRPr="0078250D" w14:paraId="1D92AF22" w14:textId="77777777" w:rsidTr="000F26BC">
        <w:trPr>
          <w:trHeight w:val="431"/>
        </w:trPr>
        <w:tc>
          <w:tcPr>
            <w:tcW w:w="4253" w:type="dxa"/>
            <w:tcBorders>
              <w:top w:val="nil"/>
            </w:tcBorders>
          </w:tcPr>
          <w:p w14:paraId="21B4D797" w14:textId="77777777" w:rsidR="0078250D" w:rsidRPr="0078250D" w:rsidRDefault="0078250D" w:rsidP="000F26BC">
            <w:pPr>
              <w:tabs>
                <w:tab w:val="left" w:pos="0"/>
              </w:tabs>
              <w:jc w:val="center"/>
              <w:rPr>
                <w:sz w:val="18"/>
                <w:szCs w:val="18"/>
                <w:lang w:val="hy-AM"/>
              </w:rPr>
            </w:pPr>
            <w:r w:rsidRPr="0078250D">
              <w:rPr>
                <w:sz w:val="18"/>
                <w:szCs w:val="18"/>
                <w:lang w:val="hy-AM"/>
              </w:rPr>
              <w:t>Մասնավոր ընկերություններ</w:t>
            </w:r>
          </w:p>
        </w:tc>
        <w:tc>
          <w:tcPr>
            <w:tcW w:w="1134" w:type="dxa"/>
            <w:tcBorders>
              <w:top w:val="nil"/>
            </w:tcBorders>
          </w:tcPr>
          <w:p w14:paraId="31BF6D4F" w14:textId="77777777" w:rsidR="0078250D" w:rsidRPr="0078250D" w:rsidRDefault="0078250D" w:rsidP="000F26BC">
            <w:pPr>
              <w:tabs>
                <w:tab w:val="left" w:pos="0"/>
              </w:tabs>
              <w:jc w:val="center"/>
              <w:rPr>
                <w:sz w:val="18"/>
                <w:szCs w:val="18"/>
                <w:lang w:val="hy-AM"/>
              </w:rPr>
            </w:pPr>
            <w:r w:rsidRPr="0078250D">
              <w:rPr>
                <w:rFonts w:cs="Calibri"/>
                <w:sz w:val="18"/>
                <w:szCs w:val="18"/>
                <w:lang w:val="hy-AM"/>
              </w:rPr>
              <w:t>2019թ.</w:t>
            </w:r>
          </w:p>
        </w:tc>
        <w:tc>
          <w:tcPr>
            <w:tcW w:w="1417" w:type="dxa"/>
            <w:tcBorders>
              <w:top w:val="nil"/>
            </w:tcBorders>
          </w:tcPr>
          <w:p w14:paraId="17D1450C" w14:textId="77777777" w:rsidR="0078250D" w:rsidRPr="0078250D" w:rsidRDefault="0078250D" w:rsidP="000F26BC">
            <w:pPr>
              <w:tabs>
                <w:tab w:val="left" w:pos="0"/>
              </w:tabs>
              <w:jc w:val="center"/>
              <w:rPr>
                <w:sz w:val="18"/>
                <w:szCs w:val="18"/>
                <w:lang w:val="hy-AM"/>
              </w:rPr>
            </w:pPr>
            <w:r w:rsidRPr="0078250D">
              <w:rPr>
                <w:rFonts w:cs="Calibri"/>
                <w:sz w:val="18"/>
                <w:szCs w:val="18"/>
                <w:lang w:val="hy-AM"/>
              </w:rPr>
              <w:t>2020թ.</w:t>
            </w:r>
          </w:p>
        </w:tc>
        <w:tc>
          <w:tcPr>
            <w:tcW w:w="1276" w:type="dxa"/>
            <w:tcBorders>
              <w:top w:val="nil"/>
            </w:tcBorders>
          </w:tcPr>
          <w:p w14:paraId="52528C90" w14:textId="77777777" w:rsidR="0078250D" w:rsidRPr="0078250D" w:rsidRDefault="0078250D" w:rsidP="000F26BC">
            <w:pPr>
              <w:tabs>
                <w:tab w:val="left" w:pos="0"/>
              </w:tabs>
              <w:jc w:val="center"/>
              <w:rPr>
                <w:sz w:val="18"/>
                <w:szCs w:val="18"/>
                <w:lang w:val="hy-AM"/>
              </w:rPr>
            </w:pPr>
            <w:r w:rsidRPr="0078250D">
              <w:rPr>
                <w:rFonts w:cs="Calibri"/>
                <w:sz w:val="18"/>
                <w:szCs w:val="18"/>
                <w:lang w:val="hy-AM"/>
              </w:rPr>
              <w:t>2021թ.</w:t>
            </w:r>
          </w:p>
        </w:tc>
        <w:tc>
          <w:tcPr>
            <w:tcW w:w="992" w:type="dxa"/>
            <w:tcBorders>
              <w:top w:val="nil"/>
            </w:tcBorders>
          </w:tcPr>
          <w:p w14:paraId="43E75AC9" w14:textId="77777777" w:rsidR="0078250D" w:rsidRPr="0078250D" w:rsidRDefault="0078250D" w:rsidP="000F26BC">
            <w:pPr>
              <w:tabs>
                <w:tab w:val="left" w:pos="0"/>
              </w:tabs>
              <w:jc w:val="center"/>
              <w:rPr>
                <w:rFonts w:cs="Calibri"/>
                <w:sz w:val="18"/>
                <w:szCs w:val="18"/>
                <w:lang w:val="hy-AM"/>
              </w:rPr>
            </w:pPr>
            <w:r w:rsidRPr="0078250D">
              <w:rPr>
                <w:rFonts w:cs="Calibri"/>
                <w:sz w:val="18"/>
                <w:szCs w:val="18"/>
                <w:lang w:val="hy-AM"/>
              </w:rPr>
              <w:t>2022թ</w:t>
            </w:r>
            <w:r w:rsidRPr="0078250D">
              <w:rPr>
                <w:rFonts w:ascii="Cambria Math" w:hAnsi="Cambria Math" w:cs="Cambria Math"/>
                <w:sz w:val="18"/>
                <w:szCs w:val="18"/>
                <w:lang w:val="hy-AM"/>
              </w:rPr>
              <w:t>․</w:t>
            </w:r>
          </w:p>
        </w:tc>
      </w:tr>
      <w:tr w:rsidR="0078250D" w:rsidRPr="0078250D" w14:paraId="35E34089" w14:textId="77777777" w:rsidTr="000F26BC">
        <w:trPr>
          <w:trHeight w:val="307"/>
        </w:trPr>
        <w:tc>
          <w:tcPr>
            <w:tcW w:w="4253" w:type="dxa"/>
          </w:tcPr>
          <w:p w14:paraId="1F556439" w14:textId="77777777" w:rsidR="0078250D" w:rsidRPr="0078250D" w:rsidRDefault="0078250D" w:rsidP="000F26BC">
            <w:pPr>
              <w:tabs>
                <w:tab w:val="left" w:pos="0"/>
              </w:tabs>
              <w:rPr>
                <w:sz w:val="18"/>
                <w:szCs w:val="18"/>
                <w:lang w:val="hy-AM"/>
              </w:rPr>
            </w:pPr>
            <w:r w:rsidRPr="0078250D">
              <w:rPr>
                <w:sz w:val="18"/>
                <w:szCs w:val="18"/>
                <w:lang w:val="hy-AM"/>
              </w:rPr>
              <w:t>ԸՆԴԱՄԵՆԸ</w:t>
            </w:r>
          </w:p>
        </w:tc>
        <w:tc>
          <w:tcPr>
            <w:tcW w:w="1134" w:type="dxa"/>
          </w:tcPr>
          <w:p w14:paraId="29F2B361" w14:textId="77777777" w:rsidR="0078250D" w:rsidRPr="0078250D" w:rsidRDefault="0078250D" w:rsidP="000F26BC">
            <w:pPr>
              <w:tabs>
                <w:tab w:val="left" w:pos="0"/>
              </w:tabs>
              <w:jc w:val="center"/>
              <w:rPr>
                <w:b w:val="0"/>
                <w:bCs/>
                <w:sz w:val="18"/>
                <w:szCs w:val="18"/>
                <w:lang w:val="hy-AM"/>
              </w:rPr>
            </w:pPr>
            <w:r w:rsidRPr="0078250D">
              <w:rPr>
                <w:rFonts w:cs="Calibri"/>
                <w:b w:val="0"/>
                <w:bCs/>
                <w:sz w:val="18"/>
                <w:szCs w:val="18"/>
                <w:lang w:val="hy-AM"/>
              </w:rPr>
              <w:t>14,830</w:t>
            </w:r>
          </w:p>
        </w:tc>
        <w:tc>
          <w:tcPr>
            <w:tcW w:w="1417" w:type="dxa"/>
          </w:tcPr>
          <w:p w14:paraId="5ED84D74" w14:textId="77777777" w:rsidR="0078250D" w:rsidRPr="0078250D" w:rsidRDefault="0078250D" w:rsidP="000F26BC">
            <w:pPr>
              <w:tabs>
                <w:tab w:val="left" w:pos="0"/>
              </w:tabs>
              <w:jc w:val="center"/>
              <w:rPr>
                <w:b w:val="0"/>
                <w:bCs/>
                <w:sz w:val="18"/>
                <w:szCs w:val="18"/>
                <w:lang w:val="hy-AM"/>
              </w:rPr>
            </w:pPr>
            <w:r w:rsidRPr="0078250D">
              <w:rPr>
                <w:rFonts w:cs="Calibri"/>
                <w:b w:val="0"/>
                <w:bCs/>
                <w:sz w:val="18"/>
                <w:szCs w:val="18"/>
                <w:lang w:val="hy-AM"/>
              </w:rPr>
              <w:t>(9,130)</w:t>
            </w:r>
          </w:p>
        </w:tc>
        <w:tc>
          <w:tcPr>
            <w:tcW w:w="1276" w:type="dxa"/>
          </w:tcPr>
          <w:p w14:paraId="2B204457" w14:textId="77777777" w:rsidR="0078250D" w:rsidRPr="0078250D" w:rsidRDefault="0078250D" w:rsidP="000F26BC">
            <w:pPr>
              <w:tabs>
                <w:tab w:val="left" w:pos="0"/>
              </w:tabs>
              <w:jc w:val="center"/>
              <w:rPr>
                <w:b w:val="0"/>
                <w:bCs/>
                <w:sz w:val="18"/>
                <w:szCs w:val="18"/>
                <w:lang w:val="hy-AM"/>
              </w:rPr>
            </w:pPr>
            <w:r w:rsidRPr="0078250D">
              <w:rPr>
                <w:rFonts w:cs="Calibri"/>
                <w:b w:val="0"/>
                <w:bCs/>
                <w:sz w:val="18"/>
                <w:szCs w:val="18"/>
                <w:lang w:val="hy-AM"/>
              </w:rPr>
              <w:t>39,313</w:t>
            </w:r>
          </w:p>
        </w:tc>
        <w:tc>
          <w:tcPr>
            <w:tcW w:w="992" w:type="dxa"/>
          </w:tcPr>
          <w:p w14:paraId="0FEA9859" w14:textId="77777777" w:rsidR="0078250D" w:rsidRPr="0078250D" w:rsidRDefault="0078250D" w:rsidP="000F26BC">
            <w:pPr>
              <w:tabs>
                <w:tab w:val="left" w:pos="0"/>
              </w:tabs>
              <w:jc w:val="center"/>
              <w:rPr>
                <w:rFonts w:cs="Calibri"/>
                <w:b w:val="0"/>
                <w:bCs/>
                <w:sz w:val="18"/>
                <w:szCs w:val="18"/>
                <w:lang w:val="hy-AM"/>
              </w:rPr>
            </w:pPr>
            <w:r w:rsidRPr="0078250D">
              <w:rPr>
                <w:rFonts w:cs="Calibri"/>
                <w:b w:val="0"/>
                <w:bCs/>
                <w:sz w:val="18"/>
                <w:szCs w:val="18"/>
                <w:lang w:val="hy-AM"/>
              </w:rPr>
              <w:t>64,085</w:t>
            </w:r>
          </w:p>
        </w:tc>
      </w:tr>
      <w:tr w:rsidR="0078250D" w:rsidRPr="0078250D" w14:paraId="0CA6E2D7" w14:textId="77777777" w:rsidTr="000F26BC">
        <w:trPr>
          <w:trHeight w:val="360"/>
        </w:trPr>
        <w:tc>
          <w:tcPr>
            <w:tcW w:w="4253" w:type="dxa"/>
          </w:tcPr>
          <w:p w14:paraId="6A2F9611" w14:textId="77777777" w:rsidR="0078250D" w:rsidRPr="0078250D" w:rsidRDefault="0078250D" w:rsidP="000F26BC">
            <w:pPr>
              <w:tabs>
                <w:tab w:val="left" w:pos="0"/>
              </w:tabs>
              <w:rPr>
                <w:sz w:val="18"/>
                <w:szCs w:val="18"/>
                <w:lang w:val="hy-AM"/>
              </w:rPr>
            </w:pPr>
            <w:r w:rsidRPr="0078250D">
              <w:rPr>
                <w:sz w:val="18"/>
                <w:szCs w:val="18"/>
                <w:lang w:val="hy-AM"/>
              </w:rPr>
              <w:t>1. «Հրազդան</w:t>
            </w:r>
            <w:r w:rsidRPr="0078250D">
              <w:rPr>
                <w:rFonts w:ascii="Calibri" w:hAnsi="Calibri" w:cs="Calibri"/>
                <w:sz w:val="18"/>
                <w:szCs w:val="18"/>
                <w:lang w:val="hy-AM"/>
              </w:rPr>
              <w:t> </w:t>
            </w:r>
            <w:r w:rsidRPr="0078250D">
              <w:rPr>
                <w:sz w:val="18"/>
                <w:szCs w:val="18"/>
                <w:lang w:val="hy-AM"/>
              </w:rPr>
              <w:t>ՋԷԿ»</w:t>
            </w:r>
            <w:r w:rsidRPr="0078250D">
              <w:rPr>
                <w:rFonts w:ascii="Calibri" w:hAnsi="Calibri" w:cs="Calibri"/>
                <w:sz w:val="18"/>
                <w:szCs w:val="18"/>
                <w:lang w:val="hy-AM"/>
              </w:rPr>
              <w:t> </w:t>
            </w:r>
            <w:r w:rsidRPr="0078250D">
              <w:rPr>
                <w:sz w:val="18"/>
                <w:szCs w:val="18"/>
                <w:lang w:val="hy-AM"/>
              </w:rPr>
              <w:t>ԲԲԸ</w:t>
            </w:r>
          </w:p>
        </w:tc>
        <w:tc>
          <w:tcPr>
            <w:tcW w:w="1134" w:type="dxa"/>
          </w:tcPr>
          <w:p w14:paraId="3E9D0343" w14:textId="77777777" w:rsidR="0078250D" w:rsidRPr="0078250D" w:rsidRDefault="0078250D" w:rsidP="000F26BC">
            <w:pPr>
              <w:tabs>
                <w:tab w:val="left" w:pos="0"/>
              </w:tabs>
              <w:jc w:val="center"/>
              <w:rPr>
                <w:rFonts w:cs="Calibri"/>
                <w:b w:val="0"/>
                <w:bCs/>
                <w:sz w:val="18"/>
                <w:szCs w:val="18"/>
                <w:lang w:val="hy-AM"/>
              </w:rPr>
            </w:pPr>
            <w:r w:rsidRPr="0078250D">
              <w:rPr>
                <w:rFonts w:cs="Calibri"/>
                <w:b w:val="0"/>
                <w:bCs/>
                <w:sz w:val="18"/>
                <w:szCs w:val="18"/>
                <w:lang w:val="hy-AM"/>
              </w:rPr>
              <w:t>2,382</w:t>
            </w:r>
          </w:p>
        </w:tc>
        <w:tc>
          <w:tcPr>
            <w:tcW w:w="1417" w:type="dxa"/>
          </w:tcPr>
          <w:p w14:paraId="2892E933" w14:textId="77777777" w:rsidR="0078250D" w:rsidRPr="0078250D" w:rsidRDefault="0078250D" w:rsidP="000F26BC">
            <w:pPr>
              <w:tabs>
                <w:tab w:val="left" w:pos="0"/>
              </w:tabs>
              <w:jc w:val="center"/>
              <w:rPr>
                <w:rFonts w:cs="Calibri"/>
                <w:b w:val="0"/>
                <w:bCs/>
                <w:sz w:val="18"/>
                <w:szCs w:val="18"/>
                <w:lang w:val="hy-AM"/>
              </w:rPr>
            </w:pPr>
            <w:r w:rsidRPr="0078250D">
              <w:rPr>
                <w:rFonts w:cs="Calibri"/>
                <w:b w:val="0"/>
                <w:bCs/>
                <w:sz w:val="18"/>
                <w:szCs w:val="18"/>
                <w:lang w:val="hy-AM"/>
              </w:rPr>
              <w:t>(745)</w:t>
            </w:r>
          </w:p>
        </w:tc>
        <w:tc>
          <w:tcPr>
            <w:tcW w:w="1276" w:type="dxa"/>
          </w:tcPr>
          <w:p w14:paraId="2709046C"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6,659</w:t>
            </w:r>
          </w:p>
        </w:tc>
        <w:tc>
          <w:tcPr>
            <w:tcW w:w="992" w:type="dxa"/>
          </w:tcPr>
          <w:p w14:paraId="1FFB743C" w14:textId="77777777" w:rsidR="0078250D" w:rsidRPr="0078250D" w:rsidRDefault="0078250D" w:rsidP="000F26BC">
            <w:pPr>
              <w:tabs>
                <w:tab w:val="left" w:pos="0"/>
              </w:tabs>
              <w:jc w:val="center"/>
              <w:rPr>
                <w:rFonts w:cs="Calibri"/>
                <w:b w:val="0"/>
                <w:bCs/>
                <w:sz w:val="18"/>
                <w:szCs w:val="18"/>
                <w:lang w:val="hy-AM"/>
              </w:rPr>
            </w:pPr>
          </w:p>
        </w:tc>
      </w:tr>
      <w:tr w:rsidR="0078250D" w:rsidRPr="0078250D" w14:paraId="17093872" w14:textId="77777777" w:rsidTr="000F26BC">
        <w:trPr>
          <w:trHeight w:val="375"/>
        </w:trPr>
        <w:tc>
          <w:tcPr>
            <w:tcW w:w="4253" w:type="dxa"/>
          </w:tcPr>
          <w:p w14:paraId="7958F8B1" w14:textId="77777777" w:rsidR="0078250D" w:rsidRPr="0078250D" w:rsidRDefault="0078250D" w:rsidP="000F26BC">
            <w:pPr>
              <w:tabs>
                <w:tab w:val="left" w:pos="0"/>
              </w:tabs>
              <w:rPr>
                <w:sz w:val="18"/>
                <w:szCs w:val="18"/>
              </w:rPr>
            </w:pPr>
            <w:r w:rsidRPr="0078250D">
              <w:rPr>
                <w:sz w:val="18"/>
                <w:szCs w:val="18"/>
              </w:rPr>
              <w:t>2. «Գազպրոմ</w:t>
            </w:r>
            <w:r w:rsidRPr="0078250D">
              <w:rPr>
                <w:rFonts w:ascii="Calibri" w:hAnsi="Calibri" w:cs="Calibri"/>
                <w:sz w:val="18"/>
                <w:szCs w:val="18"/>
              </w:rPr>
              <w:t> </w:t>
            </w:r>
            <w:r w:rsidRPr="0078250D">
              <w:rPr>
                <w:sz w:val="18"/>
                <w:szCs w:val="18"/>
              </w:rPr>
              <w:t>Արմենիա»</w:t>
            </w:r>
            <w:r w:rsidRPr="0078250D">
              <w:rPr>
                <w:rFonts w:ascii="Calibri" w:hAnsi="Calibri" w:cs="Calibri"/>
                <w:sz w:val="18"/>
                <w:szCs w:val="18"/>
              </w:rPr>
              <w:t> </w:t>
            </w:r>
            <w:r w:rsidRPr="0078250D">
              <w:rPr>
                <w:sz w:val="18"/>
                <w:szCs w:val="18"/>
              </w:rPr>
              <w:t>ՓԲԸ</w:t>
            </w:r>
          </w:p>
        </w:tc>
        <w:tc>
          <w:tcPr>
            <w:tcW w:w="1134" w:type="dxa"/>
          </w:tcPr>
          <w:p w14:paraId="65498D0B"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524</w:t>
            </w:r>
          </w:p>
        </w:tc>
        <w:tc>
          <w:tcPr>
            <w:tcW w:w="1417" w:type="dxa"/>
          </w:tcPr>
          <w:p w14:paraId="51B4CAD1"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(701)</w:t>
            </w:r>
          </w:p>
        </w:tc>
        <w:tc>
          <w:tcPr>
            <w:tcW w:w="1276" w:type="dxa"/>
          </w:tcPr>
          <w:p w14:paraId="1FD59C61"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14,975</w:t>
            </w:r>
          </w:p>
        </w:tc>
        <w:tc>
          <w:tcPr>
            <w:tcW w:w="992" w:type="dxa"/>
          </w:tcPr>
          <w:p w14:paraId="60DCF0A8"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30,537</w:t>
            </w:r>
          </w:p>
        </w:tc>
      </w:tr>
      <w:tr w:rsidR="0078250D" w:rsidRPr="0078250D" w14:paraId="36DD5744" w14:textId="77777777" w:rsidTr="000F26BC">
        <w:trPr>
          <w:trHeight w:val="261"/>
        </w:trPr>
        <w:tc>
          <w:tcPr>
            <w:tcW w:w="4253" w:type="dxa"/>
          </w:tcPr>
          <w:p w14:paraId="57C737F7" w14:textId="77777777" w:rsidR="0078250D" w:rsidRPr="0078250D" w:rsidRDefault="0078250D" w:rsidP="000F26BC">
            <w:pPr>
              <w:tabs>
                <w:tab w:val="left" w:pos="0"/>
              </w:tabs>
              <w:rPr>
                <w:sz w:val="18"/>
                <w:szCs w:val="18"/>
              </w:rPr>
            </w:pPr>
            <w:r w:rsidRPr="0078250D">
              <w:rPr>
                <w:sz w:val="18"/>
                <w:szCs w:val="18"/>
              </w:rPr>
              <w:t>3.«Միջազգային</w:t>
            </w:r>
            <w:r w:rsidRPr="0078250D">
              <w:rPr>
                <w:rFonts w:ascii="Calibri" w:hAnsi="Calibri" w:cs="Calibri"/>
                <w:sz w:val="18"/>
                <w:szCs w:val="18"/>
              </w:rPr>
              <w:t> </w:t>
            </w:r>
            <w:r w:rsidRPr="0078250D">
              <w:rPr>
                <w:sz w:val="18"/>
                <w:szCs w:val="18"/>
              </w:rPr>
              <w:t>էներգետիկ</w:t>
            </w:r>
            <w:r w:rsidRPr="0078250D">
              <w:rPr>
                <w:rFonts w:ascii="Calibri" w:hAnsi="Calibri" w:cs="Calibri"/>
                <w:sz w:val="18"/>
                <w:szCs w:val="18"/>
              </w:rPr>
              <w:t> </w:t>
            </w:r>
            <w:r w:rsidRPr="0078250D">
              <w:rPr>
                <w:sz w:val="18"/>
                <w:szCs w:val="18"/>
              </w:rPr>
              <w:t>կորպորացիա» ՓԲԸ</w:t>
            </w:r>
          </w:p>
        </w:tc>
        <w:tc>
          <w:tcPr>
            <w:tcW w:w="1134" w:type="dxa"/>
          </w:tcPr>
          <w:p w14:paraId="10BAF4AC"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160</w:t>
            </w:r>
          </w:p>
        </w:tc>
        <w:tc>
          <w:tcPr>
            <w:tcW w:w="1417" w:type="dxa"/>
          </w:tcPr>
          <w:p w14:paraId="6F491A36"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(3,107)</w:t>
            </w:r>
          </w:p>
        </w:tc>
        <w:tc>
          <w:tcPr>
            <w:tcW w:w="1276" w:type="dxa"/>
          </w:tcPr>
          <w:p w14:paraId="627F7E81"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4,624</w:t>
            </w:r>
          </w:p>
        </w:tc>
        <w:tc>
          <w:tcPr>
            <w:tcW w:w="992" w:type="dxa"/>
          </w:tcPr>
          <w:p w14:paraId="5025027D" w14:textId="77777777" w:rsidR="0078250D" w:rsidRPr="0078250D" w:rsidRDefault="0078250D" w:rsidP="000F26BC">
            <w:pPr>
              <w:tabs>
                <w:tab w:val="left" w:pos="0"/>
              </w:tabs>
              <w:jc w:val="center"/>
              <w:rPr>
                <w:rFonts w:cs="Calibri"/>
                <w:b w:val="0"/>
                <w:bCs/>
                <w:sz w:val="18"/>
                <w:szCs w:val="18"/>
                <w:lang w:val="hy-AM"/>
              </w:rPr>
            </w:pPr>
          </w:p>
        </w:tc>
      </w:tr>
      <w:tr w:rsidR="0078250D" w:rsidRPr="0078250D" w14:paraId="75C0217C" w14:textId="77777777" w:rsidTr="000F26BC">
        <w:trPr>
          <w:trHeight w:val="285"/>
        </w:trPr>
        <w:tc>
          <w:tcPr>
            <w:tcW w:w="4253" w:type="dxa"/>
          </w:tcPr>
          <w:p w14:paraId="6469AE15" w14:textId="77777777" w:rsidR="0078250D" w:rsidRPr="0078250D" w:rsidRDefault="0078250D" w:rsidP="000F26BC">
            <w:pPr>
              <w:tabs>
                <w:tab w:val="left" w:pos="0"/>
              </w:tabs>
              <w:rPr>
                <w:sz w:val="18"/>
                <w:szCs w:val="18"/>
              </w:rPr>
            </w:pPr>
            <w:r w:rsidRPr="0078250D">
              <w:rPr>
                <w:sz w:val="18"/>
                <w:szCs w:val="18"/>
              </w:rPr>
              <w:t>4. «Հայաստանի</w:t>
            </w:r>
            <w:r w:rsidRPr="0078250D">
              <w:rPr>
                <w:rFonts w:ascii="Calibri" w:hAnsi="Calibri" w:cs="Calibri"/>
                <w:sz w:val="18"/>
                <w:szCs w:val="18"/>
              </w:rPr>
              <w:t> </w:t>
            </w:r>
            <w:r w:rsidRPr="0078250D">
              <w:rPr>
                <w:sz w:val="18"/>
                <w:szCs w:val="18"/>
              </w:rPr>
              <w:t>էլեկտրական</w:t>
            </w:r>
            <w:r w:rsidRPr="0078250D">
              <w:rPr>
                <w:rFonts w:ascii="Calibri" w:hAnsi="Calibri" w:cs="Calibri"/>
                <w:sz w:val="18"/>
                <w:szCs w:val="18"/>
              </w:rPr>
              <w:t> </w:t>
            </w:r>
            <w:r w:rsidRPr="0078250D">
              <w:rPr>
                <w:sz w:val="18"/>
                <w:szCs w:val="18"/>
              </w:rPr>
              <w:t>ցանցեր»</w:t>
            </w:r>
            <w:r w:rsidRPr="0078250D">
              <w:rPr>
                <w:rFonts w:ascii="Calibri" w:hAnsi="Calibri" w:cs="Calibri"/>
                <w:sz w:val="18"/>
                <w:szCs w:val="18"/>
              </w:rPr>
              <w:t> </w:t>
            </w:r>
            <w:r w:rsidRPr="0078250D">
              <w:rPr>
                <w:sz w:val="18"/>
                <w:szCs w:val="18"/>
              </w:rPr>
              <w:t>ՓԲԸ</w:t>
            </w:r>
          </w:p>
        </w:tc>
        <w:tc>
          <w:tcPr>
            <w:tcW w:w="1134" w:type="dxa"/>
          </w:tcPr>
          <w:p w14:paraId="4548486D"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11,764</w:t>
            </w:r>
          </w:p>
        </w:tc>
        <w:tc>
          <w:tcPr>
            <w:tcW w:w="1417" w:type="dxa"/>
          </w:tcPr>
          <w:p w14:paraId="010F4D8D"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(4,577)</w:t>
            </w:r>
          </w:p>
        </w:tc>
        <w:tc>
          <w:tcPr>
            <w:tcW w:w="1276" w:type="dxa"/>
          </w:tcPr>
          <w:p w14:paraId="431EC66E"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24,338</w:t>
            </w:r>
          </w:p>
        </w:tc>
        <w:tc>
          <w:tcPr>
            <w:tcW w:w="992" w:type="dxa"/>
          </w:tcPr>
          <w:p w14:paraId="0EAF4A40" w14:textId="77777777" w:rsidR="0078250D" w:rsidRPr="0078250D" w:rsidRDefault="0078250D" w:rsidP="000F26BC">
            <w:pPr>
              <w:tabs>
                <w:tab w:val="left" w:pos="0"/>
              </w:tabs>
              <w:jc w:val="center"/>
              <w:rPr>
                <w:rFonts w:cs="Calibri"/>
                <w:b w:val="0"/>
                <w:bCs/>
                <w:sz w:val="18"/>
                <w:szCs w:val="18"/>
              </w:rPr>
            </w:pPr>
            <w:r w:rsidRPr="0078250D">
              <w:rPr>
                <w:rFonts w:cs="Calibri"/>
                <w:b w:val="0"/>
                <w:bCs/>
                <w:sz w:val="18"/>
                <w:szCs w:val="18"/>
              </w:rPr>
              <w:t>33,548</w:t>
            </w:r>
          </w:p>
        </w:tc>
      </w:tr>
    </w:tbl>
    <w:p w14:paraId="66D180A4" w14:textId="77777777" w:rsidR="0078250D" w:rsidRPr="0078250D" w:rsidRDefault="0078250D" w:rsidP="0078250D">
      <w:pPr>
        <w:tabs>
          <w:tab w:val="left" w:pos="0"/>
        </w:tabs>
        <w:rPr>
          <w:b w:val="0"/>
          <w:bCs/>
        </w:rPr>
      </w:pPr>
    </w:p>
    <w:p w14:paraId="0E40F151" w14:textId="77777777" w:rsidR="0078250D" w:rsidRPr="0078250D" w:rsidRDefault="0078250D" w:rsidP="0078250D">
      <w:pPr>
        <w:tabs>
          <w:tab w:val="left" w:pos="0"/>
        </w:tabs>
        <w:rPr>
          <w:b w:val="0"/>
          <w:bCs/>
        </w:rPr>
      </w:pPr>
      <w:r w:rsidRPr="0078250D">
        <w:rPr>
          <w:b w:val="0"/>
          <w:bCs/>
        </w:rPr>
        <w:t>Անհրաժեշտ է նշել, որ ընկերություն</w:t>
      </w:r>
      <w:r w:rsidRPr="0078250D">
        <w:rPr>
          <w:b w:val="0"/>
          <w:bCs/>
        </w:rPr>
        <w:softHyphen/>
        <w:t>ները չունեն ժամկետանց վարկային պարտավորություններ։ Ընդ որում «Հայաստանի էլեկտրական ցանցեր» և «Միջազգային էներգետիկ կորպորացիա»</w:t>
      </w:r>
      <w:r w:rsidRPr="0078250D">
        <w:rPr>
          <w:rFonts w:ascii="Calibri" w:hAnsi="Calibri" w:cs="Calibri"/>
          <w:b w:val="0"/>
          <w:bCs/>
        </w:rPr>
        <w:t> </w:t>
      </w:r>
      <w:r w:rsidRPr="0078250D">
        <w:rPr>
          <w:b w:val="0"/>
          <w:bCs/>
        </w:rPr>
        <w:t>ՓԲԸ-ները հանդիսանում են միջազգային կազմակերպությունների և օտարերկրյա պետությունների աջակցությամբ իրականացվող նպատակային վարկային ծրագրերի շրջանակներում ենթավարկային պայմանագրերով ոլորտին տրամադրված վարկային միջոցների խոշորագույն ստացողներից:</w:t>
      </w:r>
    </w:p>
    <w:p w14:paraId="6C766CD1" w14:textId="77777777" w:rsidR="0078250D" w:rsidRPr="0078250D" w:rsidRDefault="0078250D" w:rsidP="0078250D">
      <w:pPr>
        <w:tabs>
          <w:tab w:val="left" w:pos="0"/>
        </w:tabs>
        <w:rPr>
          <w:b w:val="0"/>
          <w:bCs/>
        </w:rPr>
      </w:pPr>
      <w:r w:rsidRPr="0078250D">
        <w:rPr>
          <w:b w:val="0"/>
          <w:bCs/>
        </w:rPr>
        <w:t xml:space="preserve">Ընկերությունները ներգրավված չեն այնպիսի տեղական կամ միջազգային դատական վարույթներում, որոնք կարող են էական ազդեցություն ունենալ այդ ընկերությունների ֆինանսական վիճակի վրա: </w:t>
      </w:r>
    </w:p>
    <w:p w14:paraId="16397734" w14:textId="77777777" w:rsidR="0078250D" w:rsidRPr="0078250D" w:rsidRDefault="0078250D" w:rsidP="0078250D">
      <w:pPr>
        <w:tabs>
          <w:tab w:val="left" w:pos="0"/>
        </w:tabs>
        <w:rPr>
          <w:b w:val="0"/>
          <w:bCs/>
        </w:rPr>
      </w:pPr>
    </w:p>
    <w:p w14:paraId="359EC14F" w14:textId="77777777" w:rsidR="0078250D" w:rsidRPr="0078250D" w:rsidRDefault="0078250D" w:rsidP="0078250D">
      <w:pPr>
        <w:tabs>
          <w:tab w:val="left" w:pos="0"/>
        </w:tabs>
        <w:rPr>
          <w:lang w:val="hy-AM"/>
        </w:rPr>
      </w:pPr>
      <w:r w:rsidRPr="0078250D">
        <w:rPr>
          <w:lang w:val="hy-AM"/>
        </w:rPr>
        <w:t>ՀԱՄԱՌՈՏ ԱԿՆԱՐԿ</w:t>
      </w:r>
    </w:p>
    <w:p w14:paraId="266ACF1D" w14:textId="77777777" w:rsidR="0078250D" w:rsidRPr="0078250D" w:rsidRDefault="0078250D" w:rsidP="0078250D">
      <w:pPr>
        <w:tabs>
          <w:tab w:val="left" w:pos="0"/>
        </w:tabs>
        <w:rPr>
          <w:lang w:val="hy-AM"/>
        </w:rPr>
      </w:pPr>
      <w:r w:rsidRPr="0078250D">
        <w:rPr>
          <w:lang w:val="hy-AM"/>
        </w:rPr>
        <w:t>ՍՊԵՑԻՖԻԿ ՖԻՍԿԱԼ ՌԻՍԿԵՐԻ ՀԱՄԱՊԱՐՓԱԿ ՇՐՋԱՆԱԿԻ ՎԵՐԱԲԵՐՅԱԼ</w:t>
      </w:r>
    </w:p>
    <w:p w14:paraId="6A985616" w14:textId="77777777" w:rsidR="0078250D" w:rsidRPr="0078250D" w:rsidRDefault="0078250D" w:rsidP="0078250D">
      <w:pPr>
        <w:tabs>
          <w:tab w:val="left" w:pos="0"/>
        </w:tabs>
        <w:rPr>
          <w:b w:val="0"/>
          <w:bCs/>
          <w:lang w:val="hy-AM"/>
        </w:rPr>
      </w:pPr>
      <w:r w:rsidRPr="0078250D">
        <w:rPr>
          <w:b w:val="0"/>
          <w:bCs/>
          <w:lang w:val="hy-AM"/>
        </w:rPr>
        <w:t>Սպեցիֆիկ ֆիսկալ ռիսկերն առաջանում են պայմանական պարտավորությունների կամ այլ անորոշ իրադարձությունների նյութականացման արդյունքում: Այդ իրադարձություններից յուրաքանչյուրը կարող է ենթադրել անհապաղ և/կամ շարունակական ծախսեր՝ պայմանավորված ՀՀ կառավարության բացահայտ պարտավորություններով (պարտավորություններ, որոնք ունեն իրավական կամ պայմանագրային հիմք) կամ թաքնված պարտավորություններով, որոնք սահմանված չեն որևէ օրենքով կամ պայմանագրով:</w:t>
      </w:r>
    </w:p>
    <w:p w14:paraId="712B7FED" w14:textId="77777777" w:rsidR="0078250D" w:rsidRPr="0078250D" w:rsidRDefault="0078250D" w:rsidP="0078250D">
      <w:pPr>
        <w:tabs>
          <w:tab w:val="left" w:pos="0"/>
        </w:tabs>
        <w:rPr>
          <w:b w:val="0"/>
          <w:bCs/>
          <w:lang w:val="hy-AM"/>
        </w:rPr>
      </w:pPr>
    </w:p>
    <w:p w14:paraId="2CD7A38E" w14:textId="77777777" w:rsidR="0078250D" w:rsidRPr="0078250D" w:rsidRDefault="0078250D" w:rsidP="0078250D">
      <w:pPr>
        <w:tabs>
          <w:tab w:val="left" w:pos="0"/>
        </w:tabs>
        <w:rPr>
          <w:lang w:val="hy-AM"/>
        </w:rPr>
      </w:pPr>
      <w:r w:rsidRPr="0078250D">
        <w:rPr>
          <w:lang w:val="hy-AM"/>
        </w:rPr>
        <w:t>Բյուջետային վարկավորման ուսումնասիրություն</w:t>
      </w:r>
    </w:p>
    <w:p w14:paraId="67AA4D2F" w14:textId="77777777" w:rsidR="0078250D" w:rsidRPr="0078250D" w:rsidRDefault="0078250D" w:rsidP="0078250D">
      <w:pPr>
        <w:tabs>
          <w:tab w:val="left" w:pos="0"/>
        </w:tabs>
        <w:rPr>
          <w:b w:val="0"/>
          <w:bCs/>
          <w:lang w:val="hy-AM"/>
        </w:rPr>
      </w:pPr>
      <w:r w:rsidRPr="0078250D">
        <w:rPr>
          <w:b w:val="0"/>
          <w:bCs/>
          <w:lang w:val="hy-AM"/>
        </w:rPr>
        <w:t xml:space="preserve">ՀՀ պետական բյուջեից, միջազգային կազմակերպություններից և օտարերկրյա պետություններից ներգրաված վարկային միջոցների հաշվին 31.10.2023թ. դրությամբ </w:t>
      </w:r>
      <w:r w:rsidRPr="0078250D">
        <w:rPr>
          <w:b w:val="0"/>
          <w:bCs/>
          <w:lang w:val="hy-AM"/>
        </w:rPr>
        <w:lastRenderedPageBreak/>
        <w:t>տրամադրված բյուջետային վարկերի և ենթավարկերի չմարված մասի ընդհանուր գումարը կազմել է 303.6 մլրդ ՀՀ դրամ:</w:t>
      </w:r>
    </w:p>
    <w:p w14:paraId="0B5FF2AC" w14:textId="77777777" w:rsidR="0078250D" w:rsidRPr="0078250D" w:rsidRDefault="0078250D" w:rsidP="0078250D">
      <w:pPr>
        <w:tabs>
          <w:tab w:val="left" w:pos="0"/>
        </w:tabs>
        <w:rPr>
          <w:b w:val="0"/>
          <w:bCs/>
          <w:lang w:val="hy-AM"/>
        </w:rPr>
      </w:pPr>
      <w:r w:rsidRPr="0078250D">
        <w:rPr>
          <w:b w:val="0"/>
          <w:bCs/>
          <w:lang w:val="hy-AM"/>
        </w:rPr>
        <w:t>2023թ. հոկտեմբերի 31-ի դրությամբ ՀՀ կառավարության տրված վարկերի կառուցվածքում միջազգային կազմակերպությունների և օտարերկրյա պետությունների աջակցությամբ իրակա</w:t>
      </w:r>
      <w:r w:rsidRPr="0078250D">
        <w:rPr>
          <w:b w:val="0"/>
          <w:bCs/>
          <w:lang w:val="hy-AM"/>
        </w:rPr>
        <w:softHyphen/>
        <w:t>նաց</w:t>
      </w:r>
      <w:r w:rsidRPr="0078250D">
        <w:rPr>
          <w:b w:val="0"/>
          <w:bCs/>
          <w:lang w:val="hy-AM"/>
        </w:rPr>
        <w:softHyphen/>
        <w:t xml:space="preserve">վող նպատակային վարկային ծրագրերի շրջանակներում ենթավարկային պայմանագրերով կազմակերպություններին տրամադրված բյուջետային վարկերի չմարված մասը (մնացորդը) կազմել է մոտ  164.9 մլրդ ՀՀ դրամ կամ տրամադրված ընդհանուր վարկային պորտֆելի 54.31%-ը: </w:t>
      </w:r>
    </w:p>
    <w:p w14:paraId="7AED67DA" w14:textId="77777777" w:rsidR="0078250D" w:rsidRPr="0078250D" w:rsidRDefault="0078250D" w:rsidP="0078250D">
      <w:pPr>
        <w:tabs>
          <w:tab w:val="left" w:pos="0"/>
        </w:tabs>
        <w:rPr>
          <w:b w:val="0"/>
          <w:bCs/>
          <w:lang w:val="hy-AM"/>
        </w:rPr>
      </w:pPr>
      <w:r w:rsidRPr="0078250D">
        <w:rPr>
          <w:b w:val="0"/>
          <w:bCs/>
          <w:lang w:val="hy-AM"/>
        </w:rPr>
        <w:t xml:space="preserve">Ընդհանուր վարկային պորտֆելում ՀՀ դրամով տրամադրված վարկերը կազմել են  32.85% կամ 99.7 մլրդ ՀՀ դրամ, ԱՄՆ դոլարով`  101.6 մլրդ ՀՀ դրամ կամ 33.46%, Եվրոյով` 13.17% կամ  39.9 մլրդ ՀՀ դրամ, ճապոնական իենով` 17.92 .% կամ 54.4 մլրդ ՀՀ դրամ (տե՛ս գծապատկեր 5.8): </w:t>
      </w:r>
    </w:p>
    <w:p w14:paraId="00B61F51" w14:textId="77777777" w:rsidR="0078250D" w:rsidRPr="0078250D" w:rsidRDefault="0078250D" w:rsidP="0078250D">
      <w:pPr>
        <w:tabs>
          <w:tab w:val="left" w:pos="0"/>
        </w:tabs>
        <w:rPr>
          <w:rFonts w:cs="Times Unicode"/>
          <w:b w:val="0"/>
          <w:bCs/>
          <w:i/>
          <w:iCs/>
          <w:sz w:val="24"/>
          <w:szCs w:val="26"/>
          <w:lang w:val="hy-AM"/>
        </w:rPr>
      </w:pPr>
      <w:r w:rsidRPr="0078250D">
        <w:rPr>
          <w:b w:val="0"/>
          <w:bCs/>
          <w:lang w:val="hy-AM"/>
        </w:rPr>
        <w:t>Պորտֆելը պարունակում է փոխարժեքի էական ռիսկեր, քանի որ տրամադրված վարկերի գերակշիռ մասը՝ 67.15%, ներգրավված է արտարժույթով, իսկ վարկառուների եկամուտները հիմնականում ՀՀ դրամով են:</w:t>
      </w:r>
    </w:p>
    <w:p w14:paraId="65DC297C" w14:textId="77777777" w:rsidR="0078250D" w:rsidRPr="0078250D" w:rsidRDefault="0078250D" w:rsidP="0078250D">
      <w:pPr>
        <w:tabs>
          <w:tab w:val="left" w:pos="0"/>
        </w:tabs>
        <w:rPr>
          <w:rFonts w:cs="Times Unicode"/>
          <w:b w:val="0"/>
          <w:bCs/>
          <w:iCs/>
          <w:lang w:val="hy-AM"/>
        </w:rPr>
      </w:pPr>
      <w:r w:rsidRPr="0078250D">
        <w:rPr>
          <w:rFonts w:cs="Times Unicode"/>
          <w:iCs/>
          <w:lang w:val="hy-AM"/>
        </w:rPr>
        <w:t>Գծապատկեր 5.8</w:t>
      </w:r>
      <w:r w:rsidRPr="0078250D">
        <w:rPr>
          <w:rFonts w:cs="Times Unicode"/>
          <w:b w:val="0"/>
          <w:bCs/>
          <w:i/>
          <w:iCs/>
          <w:lang w:val="hy-AM"/>
        </w:rPr>
        <w:t xml:space="preserve"> </w:t>
      </w:r>
      <w:r w:rsidRPr="0078250D">
        <w:rPr>
          <w:rFonts w:cs="Times Unicode"/>
          <w:b w:val="0"/>
          <w:bCs/>
          <w:iCs/>
          <w:lang w:val="hy-AM"/>
        </w:rPr>
        <w:t>31.10.2023 դրությամբ վարկերի արժութային կազմը ըստ կշիռների</w:t>
      </w:r>
    </w:p>
    <w:p w14:paraId="4A3069B1" w14:textId="77777777" w:rsidR="0078250D" w:rsidRPr="0078250D" w:rsidRDefault="0078250D" w:rsidP="0078250D">
      <w:pPr>
        <w:tabs>
          <w:tab w:val="left" w:pos="0"/>
        </w:tabs>
        <w:rPr>
          <w:b w:val="0"/>
          <w:bCs/>
          <w:lang w:val="hy-AM"/>
        </w:rPr>
      </w:pPr>
      <w:r w:rsidRPr="0078250D">
        <w:rPr>
          <w:b w:val="0"/>
          <w:bCs/>
          <w:noProof/>
          <w:lang w:val="en-US" w:eastAsia="en-US"/>
        </w:rPr>
        <w:drawing>
          <wp:inline distT="0" distB="0" distL="0" distR="0" wp14:anchorId="0CF2BCCC" wp14:editId="57418A51">
            <wp:extent cx="5731510" cy="3140075"/>
            <wp:effectExtent l="0" t="0" r="2540" b="317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E5382F8" w14:textId="77777777" w:rsidR="0078250D" w:rsidRPr="0078250D" w:rsidRDefault="0078250D" w:rsidP="0078250D">
      <w:pPr>
        <w:tabs>
          <w:tab w:val="left" w:pos="0"/>
        </w:tabs>
        <w:rPr>
          <w:b w:val="0"/>
          <w:bCs/>
          <w:lang w:val="hy-AM"/>
        </w:rPr>
      </w:pPr>
      <w:r w:rsidRPr="0078250D">
        <w:rPr>
          <w:b w:val="0"/>
          <w:bCs/>
          <w:lang w:val="hy-AM"/>
        </w:rPr>
        <w:t xml:space="preserve">Ենթակառուցվածքային ոլորտում տրամադրված վարկերի չմարված մասի մեջ մեծ տեսակարար կշիռ ունեն էներգետիկայի ոլորտի վարկերը` 238.9 մլրդ ՀՀ դրամ (78.7%): </w:t>
      </w:r>
    </w:p>
    <w:p w14:paraId="24D42B81" w14:textId="6811E9F1" w:rsidR="0078250D" w:rsidRDefault="0078250D" w:rsidP="0078250D">
      <w:pPr>
        <w:tabs>
          <w:tab w:val="left" w:pos="0"/>
        </w:tabs>
        <w:rPr>
          <w:rFonts w:cs="Times Unicode"/>
          <w:b w:val="0"/>
          <w:bCs/>
          <w:i/>
          <w:iCs/>
          <w:lang w:val="hy-AM"/>
        </w:rPr>
      </w:pPr>
    </w:p>
    <w:p w14:paraId="1248B4D2" w14:textId="0A4D8FD8" w:rsidR="00F45808" w:rsidRDefault="00F45808" w:rsidP="0078250D">
      <w:pPr>
        <w:tabs>
          <w:tab w:val="left" w:pos="0"/>
        </w:tabs>
        <w:rPr>
          <w:rFonts w:cs="Times Unicode"/>
          <w:b w:val="0"/>
          <w:bCs/>
          <w:i/>
          <w:iCs/>
          <w:lang w:val="hy-AM"/>
        </w:rPr>
      </w:pPr>
    </w:p>
    <w:p w14:paraId="5C9403BF" w14:textId="35608BA8" w:rsidR="00F45808" w:rsidRDefault="00F45808" w:rsidP="0078250D">
      <w:pPr>
        <w:tabs>
          <w:tab w:val="left" w:pos="0"/>
        </w:tabs>
        <w:rPr>
          <w:rFonts w:cs="Times Unicode"/>
          <w:b w:val="0"/>
          <w:bCs/>
          <w:i/>
          <w:iCs/>
          <w:lang w:val="hy-AM"/>
        </w:rPr>
      </w:pPr>
    </w:p>
    <w:p w14:paraId="53DA7AA1" w14:textId="7F9F6114" w:rsidR="00F45808" w:rsidRDefault="00F45808" w:rsidP="0078250D">
      <w:pPr>
        <w:tabs>
          <w:tab w:val="left" w:pos="0"/>
        </w:tabs>
        <w:rPr>
          <w:rFonts w:cs="Times Unicode"/>
          <w:b w:val="0"/>
          <w:bCs/>
          <w:i/>
          <w:iCs/>
          <w:lang w:val="hy-AM"/>
        </w:rPr>
      </w:pPr>
    </w:p>
    <w:p w14:paraId="205C405E" w14:textId="0E1E129E" w:rsidR="00F45808" w:rsidRDefault="00F45808" w:rsidP="0078250D">
      <w:pPr>
        <w:tabs>
          <w:tab w:val="left" w:pos="0"/>
        </w:tabs>
        <w:rPr>
          <w:rFonts w:cs="Times Unicode"/>
          <w:b w:val="0"/>
          <w:bCs/>
          <w:i/>
          <w:iCs/>
          <w:lang w:val="hy-AM"/>
        </w:rPr>
      </w:pPr>
    </w:p>
    <w:p w14:paraId="32BD0147" w14:textId="77777777" w:rsidR="00F45808" w:rsidRPr="0078250D" w:rsidRDefault="00F45808" w:rsidP="0078250D">
      <w:pPr>
        <w:tabs>
          <w:tab w:val="left" w:pos="0"/>
        </w:tabs>
        <w:rPr>
          <w:rFonts w:cs="Times Unicode"/>
          <w:b w:val="0"/>
          <w:bCs/>
          <w:i/>
          <w:iCs/>
          <w:lang w:val="hy-AM"/>
        </w:rPr>
      </w:pPr>
    </w:p>
    <w:p w14:paraId="7A95AB4F" w14:textId="77777777" w:rsidR="0078250D" w:rsidRPr="0078250D" w:rsidRDefault="0078250D" w:rsidP="0078250D">
      <w:pPr>
        <w:tabs>
          <w:tab w:val="left" w:pos="0"/>
        </w:tabs>
        <w:jc w:val="left"/>
        <w:rPr>
          <w:rFonts w:cs="Times Unicode"/>
          <w:b w:val="0"/>
          <w:bCs/>
          <w:iCs/>
          <w:lang w:val="hy-AM"/>
        </w:rPr>
      </w:pPr>
      <w:r w:rsidRPr="0078250D">
        <w:rPr>
          <w:rFonts w:cs="Times Unicode"/>
          <w:iCs/>
          <w:lang w:val="hy-AM"/>
        </w:rPr>
        <w:lastRenderedPageBreak/>
        <w:t>Գծապատկեր 5.9</w:t>
      </w:r>
      <w:r w:rsidRPr="0078250D">
        <w:rPr>
          <w:rFonts w:cs="Times Unicode"/>
          <w:b w:val="0"/>
          <w:bCs/>
          <w:iCs/>
          <w:lang w:val="hy-AM"/>
        </w:rPr>
        <w:t xml:space="preserve"> Վարկերի բաշխվածությունն ըստ ոլորտների</w:t>
      </w:r>
    </w:p>
    <w:p w14:paraId="5AD9DF6C" w14:textId="77777777" w:rsidR="0078250D" w:rsidRPr="0078250D" w:rsidRDefault="0078250D" w:rsidP="0078250D">
      <w:pPr>
        <w:tabs>
          <w:tab w:val="left" w:pos="0"/>
        </w:tabs>
        <w:jc w:val="left"/>
        <w:rPr>
          <w:rFonts w:cs="Times Unicode"/>
          <w:b w:val="0"/>
          <w:bCs/>
          <w:iCs/>
          <w:lang w:val="hy-AM"/>
        </w:rPr>
      </w:pPr>
      <w:r w:rsidRPr="0078250D">
        <w:rPr>
          <w:b w:val="0"/>
          <w:bCs/>
          <w:noProof/>
          <w:lang w:val="en-US" w:eastAsia="en-US"/>
        </w:rPr>
        <w:drawing>
          <wp:inline distT="0" distB="0" distL="0" distR="0" wp14:anchorId="086425B6" wp14:editId="05077A42">
            <wp:extent cx="5731510" cy="3253740"/>
            <wp:effectExtent l="0" t="0" r="2540" b="381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35D1776" w14:textId="77777777" w:rsidR="0078250D" w:rsidRPr="0078250D" w:rsidRDefault="0078250D" w:rsidP="0078250D">
      <w:pPr>
        <w:rPr>
          <w:b w:val="0"/>
          <w:bCs/>
          <w:lang w:val="hy-AM"/>
        </w:rPr>
      </w:pPr>
      <w:r w:rsidRPr="0078250D">
        <w:rPr>
          <w:b w:val="0"/>
          <w:bCs/>
          <w:lang w:val="hy-AM"/>
        </w:rPr>
        <w:t xml:space="preserve">Տրամադրված վարկերից 72.38% ապահովված են գրավով (հող, շինություն և այլն), իսկ 27.62%-ը կազմում են գրավով չապահովված վարկերը։ Վերջիններս պետական ծրագրերի իրականացմանը կամ պետական մասնակցությամբ ընկերություններին ուղղված միջոցներն են։ </w:t>
      </w:r>
    </w:p>
    <w:p w14:paraId="76C8EE52" w14:textId="77777777" w:rsidR="0078250D" w:rsidRPr="0078250D" w:rsidRDefault="0078250D" w:rsidP="0078250D">
      <w:pPr>
        <w:tabs>
          <w:tab w:val="left" w:pos="0"/>
        </w:tabs>
        <w:rPr>
          <w:lang w:val="hy-AM"/>
        </w:rPr>
      </w:pPr>
      <w:r w:rsidRPr="0078250D">
        <w:rPr>
          <w:lang w:val="hy-AM"/>
        </w:rPr>
        <w:t>Պետություն-մասնավոր գործընկերության (ՊՄԳ) ձևաչափով գործող պայմանագրերից բխող պայմանական պարտավորությունների վերլուծություն</w:t>
      </w:r>
    </w:p>
    <w:p w14:paraId="156BAE89" w14:textId="77777777" w:rsidR="0078250D" w:rsidRPr="0078250D" w:rsidRDefault="0078250D" w:rsidP="0078250D">
      <w:pPr>
        <w:tabs>
          <w:tab w:val="left" w:pos="0"/>
        </w:tabs>
        <w:rPr>
          <w:b w:val="0"/>
          <w:bCs/>
          <w:lang w:val="hy-AM"/>
        </w:rPr>
      </w:pPr>
      <w:r w:rsidRPr="0078250D">
        <w:rPr>
          <w:b w:val="0"/>
          <w:bCs/>
          <w:lang w:val="hy-AM"/>
        </w:rPr>
        <w:t xml:space="preserve">Վերլուծության են ենթարկվել ստորև ներկայացված ՊՄԳ ձևաչափով գործող թվով երեք ընկերությունների պայմանագրերը, ինչպես նաև էլեկտրաէներգիայի գնման երեք խոշոր պայմանագրերը (որոնք նույնպես հանդիսանում են պայմանական պարտավորությունների աղբյուր, քանի որ պարունակում են երաշխավորած գնման պայմաններ): </w:t>
      </w:r>
    </w:p>
    <w:p w14:paraId="5F13833A" w14:textId="77777777" w:rsidR="0078250D" w:rsidRPr="0078250D" w:rsidRDefault="0078250D" w:rsidP="0078250D">
      <w:pPr>
        <w:tabs>
          <w:tab w:val="left" w:pos="0"/>
        </w:tabs>
        <w:rPr>
          <w:b w:val="0"/>
          <w:bCs/>
          <w:lang w:val="hy-AM"/>
        </w:rPr>
      </w:pPr>
      <w:r w:rsidRPr="0078250D">
        <w:rPr>
          <w:b w:val="0"/>
          <w:bCs/>
          <w:lang w:val="hy-AM"/>
        </w:rPr>
        <w:t>Ստորև ներկայացվում է նշված 6 ընկերությունների վերաբերյալ ամփոփ տեղեկատվություն:</w:t>
      </w:r>
    </w:p>
    <w:p w14:paraId="447FDA7F" w14:textId="77777777" w:rsidR="0078250D" w:rsidRPr="0078250D" w:rsidRDefault="0078250D" w:rsidP="0078250D">
      <w:pPr>
        <w:tabs>
          <w:tab w:val="left" w:pos="0"/>
        </w:tabs>
        <w:rPr>
          <w:b w:val="0"/>
          <w:bCs/>
          <w:lang w:val="hy-AM"/>
        </w:rPr>
      </w:pPr>
    </w:p>
    <w:p w14:paraId="77EE04B0" w14:textId="77777777" w:rsidR="0078250D" w:rsidRPr="0078250D" w:rsidRDefault="0078250D" w:rsidP="0078250D">
      <w:pPr>
        <w:tabs>
          <w:tab w:val="left" w:pos="0"/>
        </w:tabs>
        <w:jc w:val="left"/>
        <w:rPr>
          <w:rFonts w:eastAsia="Calibri" w:cs="Sylfaen"/>
          <w:b w:val="0"/>
          <w:bCs/>
          <w:lang w:val="hy-AM"/>
        </w:rPr>
      </w:pPr>
      <w:r w:rsidRPr="0078250D">
        <w:rPr>
          <w:rFonts w:eastAsia="Calibri" w:cs="Sylfaen"/>
          <w:lang w:val="hy-AM"/>
        </w:rPr>
        <w:t>Աղյուսակ 5.7</w:t>
      </w:r>
      <w:r w:rsidRPr="0078250D">
        <w:rPr>
          <w:rFonts w:eastAsia="Calibri" w:cs="Sylfaen"/>
          <w:b w:val="0"/>
          <w:bCs/>
          <w:lang w:val="hy-AM"/>
        </w:rPr>
        <w:t xml:space="preserve"> Գործող ՊՄԳ և ԷԳՊ պայմանագրերը</w:t>
      </w:r>
    </w:p>
    <w:tbl>
      <w:tblPr>
        <w:tblW w:w="9177" w:type="dxa"/>
        <w:tblInd w:w="-142"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689"/>
        <w:gridCol w:w="2273"/>
        <w:gridCol w:w="932"/>
        <w:gridCol w:w="1018"/>
        <w:gridCol w:w="2265"/>
      </w:tblGrid>
      <w:tr w:rsidR="0078250D" w:rsidRPr="00933CA4" w14:paraId="0322990B" w14:textId="77777777" w:rsidTr="000F26BC">
        <w:trPr>
          <w:trHeight w:val="1175"/>
        </w:trPr>
        <w:tc>
          <w:tcPr>
            <w:tcW w:w="2689" w:type="dxa"/>
            <w:tcBorders>
              <w:top w:val="nil"/>
            </w:tcBorders>
            <w:shd w:val="clear" w:color="auto" w:fill="auto"/>
            <w:vAlign w:val="center"/>
          </w:tcPr>
          <w:p w14:paraId="0136C9E1" w14:textId="77777777" w:rsidR="0078250D" w:rsidRPr="0078250D" w:rsidRDefault="0078250D" w:rsidP="000F26BC">
            <w:pPr>
              <w:tabs>
                <w:tab w:val="left" w:pos="0"/>
              </w:tabs>
              <w:spacing w:line="240" w:lineRule="auto"/>
              <w:jc w:val="center"/>
              <w:rPr>
                <w:b w:val="0"/>
                <w:bCs/>
                <w:color w:val="000000" w:themeColor="text1"/>
                <w:sz w:val="18"/>
                <w:szCs w:val="18"/>
                <w:lang w:val="hy-AM"/>
              </w:rPr>
            </w:pPr>
            <w:r w:rsidRPr="0078250D">
              <w:rPr>
                <w:b w:val="0"/>
                <w:bCs/>
                <w:color w:val="000000" w:themeColor="text1"/>
                <w:sz w:val="18"/>
                <w:szCs w:val="18"/>
                <w:lang w:val="hy-AM"/>
              </w:rPr>
              <w:t>Անվանում</w:t>
            </w:r>
          </w:p>
        </w:tc>
        <w:tc>
          <w:tcPr>
            <w:tcW w:w="2273" w:type="dxa"/>
            <w:tcBorders>
              <w:top w:val="nil"/>
            </w:tcBorders>
            <w:shd w:val="clear" w:color="auto" w:fill="auto"/>
            <w:vAlign w:val="center"/>
          </w:tcPr>
          <w:p w14:paraId="2DEB6C9E" w14:textId="77777777" w:rsidR="0078250D" w:rsidRPr="0078250D" w:rsidRDefault="0078250D" w:rsidP="000F26BC">
            <w:pPr>
              <w:tabs>
                <w:tab w:val="left" w:pos="0"/>
              </w:tabs>
              <w:spacing w:line="240" w:lineRule="auto"/>
              <w:jc w:val="center"/>
              <w:rPr>
                <w:b w:val="0"/>
                <w:bCs/>
                <w:color w:val="000000" w:themeColor="text1"/>
                <w:sz w:val="18"/>
                <w:szCs w:val="18"/>
                <w:lang w:val="hy-AM"/>
              </w:rPr>
            </w:pPr>
            <w:r w:rsidRPr="0078250D">
              <w:rPr>
                <w:b w:val="0"/>
                <w:bCs/>
                <w:color w:val="000000" w:themeColor="text1"/>
                <w:sz w:val="18"/>
                <w:szCs w:val="18"/>
                <w:lang w:val="hy-AM"/>
              </w:rPr>
              <w:t>Ոլորտ</w:t>
            </w:r>
          </w:p>
        </w:tc>
        <w:tc>
          <w:tcPr>
            <w:tcW w:w="932" w:type="dxa"/>
            <w:tcBorders>
              <w:top w:val="nil"/>
            </w:tcBorders>
            <w:shd w:val="clear" w:color="auto" w:fill="auto"/>
            <w:vAlign w:val="center"/>
          </w:tcPr>
          <w:p w14:paraId="3BB2C5DD" w14:textId="77777777" w:rsidR="0078250D" w:rsidRPr="0078250D" w:rsidRDefault="0078250D" w:rsidP="000F26BC">
            <w:pPr>
              <w:tabs>
                <w:tab w:val="left" w:pos="0"/>
              </w:tabs>
              <w:spacing w:line="240" w:lineRule="auto"/>
              <w:jc w:val="center"/>
              <w:rPr>
                <w:b w:val="0"/>
                <w:bCs/>
                <w:color w:val="000000" w:themeColor="text1"/>
                <w:sz w:val="18"/>
                <w:szCs w:val="18"/>
                <w:lang w:val="hy-AM"/>
              </w:rPr>
            </w:pPr>
            <w:r w:rsidRPr="0078250D">
              <w:rPr>
                <w:b w:val="0"/>
                <w:bCs/>
                <w:color w:val="000000" w:themeColor="text1"/>
                <w:sz w:val="18"/>
                <w:szCs w:val="18"/>
                <w:lang w:val="hy-AM"/>
              </w:rPr>
              <w:t>Սկիզբ</w:t>
            </w:r>
          </w:p>
        </w:tc>
        <w:tc>
          <w:tcPr>
            <w:tcW w:w="1018" w:type="dxa"/>
            <w:tcBorders>
              <w:top w:val="nil"/>
            </w:tcBorders>
            <w:shd w:val="clear" w:color="auto" w:fill="auto"/>
            <w:vAlign w:val="center"/>
          </w:tcPr>
          <w:p w14:paraId="545D73CE" w14:textId="77777777" w:rsidR="0078250D" w:rsidRPr="0078250D" w:rsidRDefault="0078250D" w:rsidP="000F26BC">
            <w:pPr>
              <w:tabs>
                <w:tab w:val="left" w:pos="0"/>
              </w:tabs>
              <w:spacing w:line="240" w:lineRule="auto"/>
              <w:jc w:val="center"/>
              <w:rPr>
                <w:b w:val="0"/>
                <w:bCs/>
                <w:color w:val="000000" w:themeColor="text1"/>
                <w:sz w:val="18"/>
                <w:szCs w:val="18"/>
                <w:lang w:val="hy-AM"/>
              </w:rPr>
            </w:pPr>
            <w:r w:rsidRPr="0078250D">
              <w:rPr>
                <w:b w:val="0"/>
                <w:bCs/>
                <w:color w:val="000000" w:themeColor="text1"/>
                <w:sz w:val="18"/>
                <w:szCs w:val="18"/>
                <w:lang w:val="hy-AM"/>
              </w:rPr>
              <w:t>Ավարտ</w:t>
            </w:r>
          </w:p>
        </w:tc>
        <w:tc>
          <w:tcPr>
            <w:tcW w:w="2265" w:type="dxa"/>
            <w:tcBorders>
              <w:top w:val="nil"/>
            </w:tcBorders>
            <w:shd w:val="clear" w:color="auto" w:fill="auto"/>
          </w:tcPr>
          <w:p w14:paraId="20309721" w14:textId="77777777" w:rsidR="0078250D" w:rsidRPr="0078250D" w:rsidRDefault="0078250D" w:rsidP="000F26BC">
            <w:pPr>
              <w:tabs>
                <w:tab w:val="left" w:pos="0"/>
              </w:tabs>
              <w:spacing w:line="240" w:lineRule="auto"/>
              <w:jc w:val="center"/>
              <w:rPr>
                <w:b w:val="0"/>
                <w:bCs/>
                <w:color w:val="000000" w:themeColor="text1"/>
                <w:sz w:val="18"/>
                <w:szCs w:val="18"/>
                <w:lang w:val="hy-AM"/>
              </w:rPr>
            </w:pPr>
            <w:r w:rsidRPr="0078250D">
              <w:rPr>
                <w:b w:val="0"/>
                <w:bCs/>
                <w:color w:val="000000" w:themeColor="text1"/>
                <w:sz w:val="18"/>
                <w:szCs w:val="18"/>
                <w:lang w:val="hy-AM"/>
              </w:rPr>
              <w:t>Պայմանական պարտավորությունների հարկաբյուջետային ռիսկի կարգավիճակի փոփոխությունները</w:t>
            </w:r>
          </w:p>
        </w:tc>
      </w:tr>
      <w:tr w:rsidR="0078250D" w:rsidRPr="0078250D" w14:paraId="3B7FA4C7" w14:textId="77777777" w:rsidTr="000F26BC">
        <w:trPr>
          <w:trHeight w:val="457"/>
        </w:trPr>
        <w:tc>
          <w:tcPr>
            <w:tcW w:w="2689" w:type="dxa"/>
            <w:shd w:val="clear" w:color="auto" w:fill="auto"/>
            <w:vAlign w:val="center"/>
          </w:tcPr>
          <w:p w14:paraId="6155FC7B"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t>«Հարավկովկասյան երկաթուղի» ՓԲԸ</w:t>
            </w:r>
          </w:p>
        </w:tc>
        <w:tc>
          <w:tcPr>
            <w:tcW w:w="2273" w:type="dxa"/>
            <w:shd w:val="clear" w:color="auto" w:fill="auto"/>
            <w:vAlign w:val="center"/>
          </w:tcPr>
          <w:p w14:paraId="3AC3F173"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 xml:space="preserve">Տրանսպորտ </w:t>
            </w:r>
          </w:p>
        </w:tc>
        <w:tc>
          <w:tcPr>
            <w:tcW w:w="932" w:type="dxa"/>
            <w:shd w:val="clear" w:color="auto" w:fill="auto"/>
            <w:vAlign w:val="center"/>
          </w:tcPr>
          <w:p w14:paraId="0A128F70"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2008թ.</w:t>
            </w:r>
          </w:p>
        </w:tc>
        <w:tc>
          <w:tcPr>
            <w:tcW w:w="1018" w:type="dxa"/>
            <w:shd w:val="clear" w:color="auto" w:fill="auto"/>
            <w:vAlign w:val="center"/>
          </w:tcPr>
          <w:p w14:paraId="05157A2E"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2038թ.</w:t>
            </w:r>
          </w:p>
        </w:tc>
        <w:tc>
          <w:tcPr>
            <w:tcW w:w="2265" w:type="dxa"/>
            <w:shd w:val="clear" w:color="auto" w:fill="auto"/>
            <w:vAlign w:val="center"/>
          </w:tcPr>
          <w:p w14:paraId="23FCFCEC" w14:textId="77777777" w:rsidR="0078250D" w:rsidRPr="0078250D" w:rsidRDefault="0078250D" w:rsidP="000F26BC">
            <w:pPr>
              <w:tabs>
                <w:tab w:val="left" w:pos="0"/>
              </w:tabs>
              <w:spacing w:line="240" w:lineRule="auto"/>
              <w:jc w:val="left"/>
              <w:rPr>
                <w:b w:val="0"/>
                <w:bCs/>
                <w:sz w:val="18"/>
                <w:szCs w:val="18"/>
              </w:rPr>
            </w:pPr>
            <w:r w:rsidRPr="0078250D">
              <w:rPr>
                <w:b w:val="0"/>
                <w:bCs/>
                <w:sz w:val="18"/>
                <w:szCs w:val="18"/>
                <w:lang w:val="hy-AM"/>
              </w:rPr>
              <w:t xml:space="preserve">Նշանակալի Անփոփոխ </w:t>
            </w:r>
          </w:p>
        </w:tc>
      </w:tr>
      <w:tr w:rsidR="0078250D" w:rsidRPr="0078250D" w14:paraId="6F431231" w14:textId="77777777" w:rsidTr="000F26BC">
        <w:trPr>
          <w:trHeight w:val="449"/>
        </w:trPr>
        <w:tc>
          <w:tcPr>
            <w:tcW w:w="2689" w:type="dxa"/>
            <w:shd w:val="clear" w:color="auto" w:fill="auto"/>
            <w:vAlign w:val="center"/>
          </w:tcPr>
          <w:p w14:paraId="2AE1453B" w14:textId="77777777" w:rsidR="0078250D" w:rsidRPr="0078250D" w:rsidRDefault="0078250D" w:rsidP="000F26BC">
            <w:pPr>
              <w:spacing w:line="240" w:lineRule="auto"/>
              <w:ind w:left="-12"/>
              <w:jc w:val="left"/>
              <w:rPr>
                <w:b w:val="0"/>
                <w:bCs/>
                <w:sz w:val="18"/>
                <w:szCs w:val="18"/>
                <w:lang w:val="hy-AM"/>
              </w:rPr>
            </w:pPr>
            <w:r w:rsidRPr="0078250D">
              <w:rPr>
                <w:b w:val="0"/>
                <w:bCs/>
                <w:sz w:val="18"/>
                <w:szCs w:val="18"/>
                <w:lang w:val="hy-AM"/>
              </w:rPr>
              <w:t>«Վեոլիա Ջուր» ՓԲԸ</w:t>
            </w:r>
          </w:p>
        </w:tc>
        <w:tc>
          <w:tcPr>
            <w:tcW w:w="2273" w:type="dxa"/>
            <w:shd w:val="clear" w:color="auto" w:fill="auto"/>
            <w:vAlign w:val="center"/>
          </w:tcPr>
          <w:p w14:paraId="1F29A13B"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Ջրամատակարարում և կեղտաջրերի հեռացում</w:t>
            </w:r>
          </w:p>
        </w:tc>
        <w:tc>
          <w:tcPr>
            <w:tcW w:w="932" w:type="dxa"/>
            <w:shd w:val="clear" w:color="auto" w:fill="auto"/>
            <w:vAlign w:val="center"/>
          </w:tcPr>
          <w:p w14:paraId="1B1B2223"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2016թ.</w:t>
            </w:r>
          </w:p>
        </w:tc>
        <w:tc>
          <w:tcPr>
            <w:tcW w:w="1018" w:type="dxa"/>
            <w:shd w:val="clear" w:color="auto" w:fill="auto"/>
            <w:vAlign w:val="center"/>
          </w:tcPr>
          <w:p w14:paraId="7AF95A0D"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2031թ.</w:t>
            </w:r>
          </w:p>
        </w:tc>
        <w:tc>
          <w:tcPr>
            <w:tcW w:w="2265" w:type="dxa"/>
            <w:shd w:val="clear" w:color="auto" w:fill="auto"/>
            <w:vAlign w:val="center"/>
          </w:tcPr>
          <w:p w14:paraId="4B008D8C"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t>Նշանակալի Անփոփոխ</w:t>
            </w:r>
          </w:p>
        </w:tc>
      </w:tr>
      <w:tr w:rsidR="0078250D" w:rsidRPr="0078250D" w14:paraId="2FEAD6EF" w14:textId="77777777" w:rsidTr="000F26BC">
        <w:trPr>
          <w:trHeight w:val="244"/>
        </w:trPr>
        <w:tc>
          <w:tcPr>
            <w:tcW w:w="2689" w:type="dxa"/>
            <w:shd w:val="clear" w:color="auto" w:fill="auto"/>
            <w:vAlign w:val="center"/>
          </w:tcPr>
          <w:p w14:paraId="7B1DD5F0"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t>«Արմենիա միջազգային օդանավակայաններ» ՓԲԸ</w:t>
            </w:r>
          </w:p>
        </w:tc>
        <w:tc>
          <w:tcPr>
            <w:tcW w:w="2273" w:type="dxa"/>
            <w:shd w:val="clear" w:color="auto" w:fill="auto"/>
            <w:vAlign w:val="center"/>
          </w:tcPr>
          <w:p w14:paraId="42A54702"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Տրանսպորտ</w:t>
            </w:r>
          </w:p>
        </w:tc>
        <w:tc>
          <w:tcPr>
            <w:tcW w:w="932" w:type="dxa"/>
            <w:shd w:val="clear" w:color="auto" w:fill="auto"/>
            <w:vAlign w:val="center"/>
          </w:tcPr>
          <w:p w14:paraId="59A1E414"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2002թ.</w:t>
            </w:r>
          </w:p>
        </w:tc>
        <w:tc>
          <w:tcPr>
            <w:tcW w:w="1018" w:type="dxa"/>
            <w:shd w:val="clear" w:color="auto" w:fill="auto"/>
            <w:vAlign w:val="center"/>
          </w:tcPr>
          <w:p w14:paraId="32B7B0A1"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2032թ.</w:t>
            </w:r>
          </w:p>
        </w:tc>
        <w:tc>
          <w:tcPr>
            <w:tcW w:w="2265" w:type="dxa"/>
            <w:shd w:val="clear" w:color="auto" w:fill="auto"/>
            <w:vAlign w:val="center"/>
          </w:tcPr>
          <w:p w14:paraId="4BFFD067"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t>Նշանակալի Վատթարացում</w:t>
            </w:r>
          </w:p>
        </w:tc>
      </w:tr>
      <w:tr w:rsidR="0078250D" w:rsidRPr="0078250D" w14:paraId="3A0EB1E8" w14:textId="77777777" w:rsidTr="000F26BC">
        <w:trPr>
          <w:trHeight w:val="791"/>
        </w:trPr>
        <w:tc>
          <w:tcPr>
            <w:tcW w:w="2689" w:type="dxa"/>
            <w:shd w:val="clear" w:color="auto" w:fill="auto"/>
            <w:vAlign w:val="center"/>
          </w:tcPr>
          <w:p w14:paraId="5F446EA8"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lastRenderedPageBreak/>
              <w:t>«Քոնթուր Գլոբալ հիդրո կասկադ» ՓԲԸ (Որոտան ՀԷԿ), ԷԳՊ</w:t>
            </w:r>
          </w:p>
        </w:tc>
        <w:tc>
          <w:tcPr>
            <w:tcW w:w="2273" w:type="dxa"/>
            <w:shd w:val="clear" w:color="auto" w:fill="auto"/>
            <w:vAlign w:val="center"/>
          </w:tcPr>
          <w:p w14:paraId="5F560915"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Էներգետիկա</w:t>
            </w:r>
          </w:p>
        </w:tc>
        <w:tc>
          <w:tcPr>
            <w:tcW w:w="932" w:type="dxa"/>
            <w:shd w:val="clear" w:color="auto" w:fill="auto"/>
            <w:vAlign w:val="center"/>
          </w:tcPr>
          <w:p w14:paraId="02A7539C"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2016թ.*</w:t>
            </w:r>
          </w:p>
        </w:tc>
        <w:tc>
          <w:tcPr>
            <w:tcW w:w="1018" w:type="dxa"/>
            <w:shd w:val="clear" w:color="auto" w:fill="auto"/>
            <w:vAlign w:val="center"/>
          </w:tcPr>
          <w:p w14:paraId="683F2724" w14:textId="77777777" w:rsidR="0078250D" w:rsidRPr="0078250D" w:rsidRDefault="0078250D" w:rsidP="000F26BC">
            <w:pPr>
              <w:tabs>
                <w:tab w:val="left" w:pos="0"/>
              </w:tabs>
              <w:spacing w:line="240" w:lineRule="auto"/>
              <w:jc w:val="center"/>
              <w:rPr>
                <w:b w:val="0"/>
                <w:bCs/>
                <w:sz w:val="18"/>
                <w:szCs w:val="18"/>
                <w:lang w:val="hy-AM"/>
              </w:rPr>
            </w:pPr>
            <w:r w:rsidRPr="0078250D">
              <w:rPr>
                <w:b w:val="0"/>
                <w:bCs/>
                <w:sz w:val="18"/>
                <w:szCs w:val="18"/>
                <w:lang w:val="hy-AM"/>
              </w:rPr>
              <w:t>2038թ.</w:t>
            </w:r>
          </w:p>
        </w:tc>
        <w:tc>
          <w:tcPr>
            <w:tcW w:w="2265" w:type="dxa"/>
            <w:shd w:val="clear" w:color="auto" w:fill="auto"/>
            <w:vAlign w:val="center"/>
          </w:tcPr>
          <w:p w14:paraId="59CD7502"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t>Միջին Անփոփոխ</w:t>
            </w:r>
          </w:p>
        </w:tc>
      </w:tr>
      <w:tr w:rsidR="0078250D" w:rsidRPr="0078250D" w14:paraId="32EBCAB9" w14:textId="77777777" w:rsidTr="000F26BC">
        <w:trPr>
          <w:trHeight w:val="415"/>
        </w:trPr>
        <w:tc>
          <w:tcPr>
            <w:tcW w:w="2689" w:type="dxa"/>
            <w:shd w:val="clear" w:color="auto" w:fill="auto"/>
            <w:vAlign w:val="center"/>
          </w:tcPr>
          <w:p w14:paraId="60CBE580"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t>«Արմփաուեր» ՓԲԸ, ԷԳՊ</w:t>
            </w:r>
          </w:p>
        </w:tc>
        <w:tc>
          <w:tcPr>
            <w:tcW w:w="2273" w:type="dxa"/>
            <w:shd w:val="clear" w:color="auto" w:fill="auto"/>
            <w:vAlign w:val="center"/>
          </w:tcPr>
          <w:p w14:paraId="09303FA3"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Էներգետիկա</w:t>
            </w:r>
          </w:p>
        </w:tc>
        <w:tc>
          <w:tcPr>
            <w:tcW w:w="932" w:type="dxa"/>
            <w:shd w:val="clear" w:color="auto" w:fill="auto"/>
            <w:vAlign w:val="center"/>
          </w:tcPr>
          <w:p w14:paraId="1B06056B"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2019թ.*</w:t>
            </w:r>
          </w:p>
        </w:tc>
        <w:tc>
          <w:tcPr>
            <w:tcW w:w="1018" w:type="dxa"/>
            <w:shd w:val="clear" w:color="auto" w:fill="auto"/>
            <w:vAlign w:val="center"/>
          </w:tcPr>
          <w:p w14:paraId="510A8BFF"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2041թ.</w:t>
            </w:r>
          </w:p>
        </w:tc>
        <w:tc>
          <w:tcPr>
            <w:tcW w:w="2265" w:type="dxa"/>
            <w:shd w:val="clear" w:color="auto" w:fill="auto"/>
            <w:vAlign w:val="center"/>
          </w:tcPr>
          <w:p w14:paraId="1CA9A356"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Միջին Անփոփոխ</w:t>
            </w:r>
          </w:p>
        </w:tc>
      </w:tr>
      <w:tr w:rsidR="0078250D" w:rsidRPr="0078250D" w14:paraId="0159990A" w14:textId="77777777" w:rsidTr="000F26BC">
        <w:trPr>
          <w:trHeight w:val="647"/>
        </w:trPr>
        <w:tc>
          <w:tcPr>
            <w:tcW w:w="2689" w:type="dxa"/>
            <w:shd w:val="clear" w:color="auto" w:fill="auto"/>
            <w:vAlign w:val="center"/>
          </w:tcPr>
          <w:p w14:paraId="1ACCE2B1" w14:textId="77777777" w:rsidR="0078250D" w:rsidRPr="0078250D" w:rsidRDefault="0078250D" w:rsidP="000F26BC">
            <w:pPr>
              <w:tabs>
                <w:tab w:val="left" w:pos="0"/>
              </w:tabs>
              <w:spacing w:line="240" w:lineRule="auto"/>
              <w:jc w:val="left"/>
              <w:rPr>
                <w:b w:val="0"/>
                <w:bCs/>
                <w:sz w:val="18"/>
                <w:szCs w:val="18"/>
                <w:lang w:val="hy-AM"/>
              </w:rPr>
            </w:pPr>
            <w:r w:rsidRPr="0078250D">
              <w:rPr>
                <w:b w:val="0"/>
                <w:bCs/>
                <w:sz w:val="18"/>
                <w:szCs w:val="18"/>
                <w:lang w:val="hy-AM"/>
              </w:rPr>
              <w:t>«Էֆարվի Մասրիկ» ՓԲԸ, Մասրիկ-1 արևային ֆոտովոլտային էլեկտրակայան, ԷԳՊ</w:t>
            </w:r>
          </w:p>
        </w:tc>
        <w:tc>
          <w:tcPr>
            <w:tcW w:w="2273" w:type="dxa"/>
            <w:shd w:val="clear" w:color="auto" w:fill="auto"/>
            <w:vAlign w:val="center"/>
          </w:tcPr>
          <w:p w14:paraId="41215EB7"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Էներգետիկա</w:t>
            </w:r>
          </w:p>
        </w:tc>
        <w:tc>
          <w:tcPr>
            <w:tcW w:w="932" w:type="dxa"/>
            <w:shd w:val="clear" w:color="auto" w:fill="auto"/>
            <w:vAlign w:val="center"/>
          </w:tcPr>
          <w:p w14:paraId="383B7816"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2021թ.*</w:t>
            </w:r>
          </w:p>
        </w:tc>
        <w:tc>
          <w:tcPr>
            <w:tcW w:w="1018" w:type="dxa"/>
            <w:shd w:val="clear" w:color="auto" w:fill="auto"/>
            <w:vAlign w:val="center"/>
          </w:tcPr>
          <w:p w14:paraId="5C7AA328"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2041թ.</w:t>
            </w:r>
          </w:p>
        </w:tc>
        <w:tc>
          <w:tcPr>
            <w:tcW w:w="2265" w:type="dxa"/>
            <w:shd w:val="clear" w:color="auto" w:fill="auto"/>
            <w:vAlign w:val="center"/>
          </w:tcPr>
          <w:p w14:paraId="67D21417" w14:textId="77777777" w:rsidR="0078250D" w:rsidRPr="0078250D" w:rsidRDefault="0078250D" w:rsidP="000F26BC">
            <w:pPr>
              <w:tabs>
                <w:tab w:val="left" w:pos="0"/>
              </w:tabs>
              <w:spacing w:line="240" w:lineRule="auto"/>
              <w:rPr>
                <w:b w:val="0"/>
                <w:bCs/>
                <w:sz w:val="18"/>
                <w:szCs w:val="18"/>
                <w:lang w:val="hy-AM"/>
              </w:rPr>
            </w:pPr>
            <w:r w:rsidRPr="0078250D">
              <w:rPr>
                <w:b w:val="0"/>
                <w:bCs/>
                <w:sz w:val="18"/>
                <w:szCs w:val="18"/>
                <w:lang w:val="hy-AM"/>
              </w:rPr>
              <w:t>Նշանակալի Անփոփոխ</w:t>
            </w:r>
          </w:p>
        </w:tc>
      </w:tr>
    </w:tbl>
    <w:p w14:paraId="6550D093" w14:textId="17E6DE62" w:rsidR="0078250D" w:rsidRDefault="0078250D" w:rsidP="0078250D">
      <w:pPr>
        <w:tabs>
          <w:tab w:val="left" w:pos="0"/>
        </w:tabs>
        <w:rPr>
          <w:b w:val="0"/>
          <w:bCs/>
          <w:sz w:val="16"/>
          <w:lang w:val="hy-AM"/>
        </w:rPr>
      </w:pPr>
      <w:r w:rsidRPr="0078250D">
        <w:rPr>
          <w:b w:val="0"/>
          <w:bCs/>
          <w:lang w:val="hy-AM"/>
        </w:rPr>
        <w:t xml:space="preserve"> *</w:t>
      </w:r>
      <w:r w:rsidRPr="0078250D">
        <w:rPr>
          <w:b w:val="0"/>
          <w:bCs/>
          <w:sz w:val="16"/>
          <w:lang w:val="hy-AM"/>
        </w:rPr>
        <w:t>գործարքի ֆինանսական պայմանների բավարարման տարի. ԷԳՊ պայմանագրերի փաստացի տևողությունը կազմում է մինչև 25 տարի՝ սկսած ստորագրման տարվանից:</w:t>
      </w:r>
    </w:p>
    <w:p w14:paraId="0EEE040F" w14:textId="77777777" w:rsidR="00F45808" w:rsidRPr="0078250D" w:rsidRDefault="00F45808" w:rsidP="0078250D">
      <w:pPr>
        <w:tabs>
          <w:tab w:val="left" w:pos="0"/>
        </w:tabs>
        <w:rPr>
          <w:b w:val="0"/>
          <w:bCs/>
          <w:lang w:val="hy-AM"/>
        </w:rPr>
      </w:pPr>
    </w:p>
    <w:p w14:paraId="685E7D3B" w14:textId="77777777" w:rsidR="0078250D" w:rsidRPr="0078250D" w:rsidRDefault="0078250D" w:rsidP="0078250D">
      <w:pPr>
        <w:tabs>
          <w:tab w:val="left" w:pos="0"/>
        </w:tabs>
        <w:rPr>
          <w:b w:val="0"/>
          <w:bCs/>
          <w:color w:val="222222"/>
          <w:shd w:val="clear" w:color="auto" w:fill="FFFFFF"/>
          <w:lang w:val="hy-AM"/>
        </w:rPr>
      </w:pPr>
      <w:r w:rsidRPr="0078250D">
        <w:rPr>
          <w:b w:val="0"/>
          <w:bCs/>
          <w:color w:val="222222"/>
          <w:shd w:val="clear" w:color="auto" w:fill="FFFFFF"/>
          <w:lang w:val="hy-AM"/>
        </w:rPr>
        <w:t>ՊՄԳ պայմանագրերի վերլուծության արդյունքում նյութականացման ռիսկի աստիճանը հիմնականում նշանակալի է համարվել ՊՄԳ բոլոր պայմանագրերի համար, հաշվի առնելով, որ իրար հաջորդող ճգնաժամերը տարբեր բնույթի ազդեցություն են ունեցել ընկերությունների դրամական հոսքերի վրա, ինչն իր հերթին մեծացնում է պայմանագրի վերաբանակցման (պայմանագրերում անհաղթահարելի ուժի ազդեցության և տնտեսական հավասարակշռության վերաբերյալ դրույթների հետևանքով) կամ պայմանագրի վաղաժամ դադարեցման ռիսկերը, ինչն իր հերթին կարող է ավելացնել ՀՀ կառավարության պայմանական պարտավորությունները: Շինարարության փուլում գտնվող ծրագրերի պարագայում ճգնաժամը հանգեցրել է էական ուշացումների, ինչն իր հերթին կարող է բարձրացնել գերածախսերի կամ վերաբանակցման ռիսկերը:</w:t>
      </w:r>
      <w:r w:rsidRPr="0078250D">
        <w:rPr>
          <w:rFonts w:ascii="Calibri" w:hAnsi="Calibri" w:cs="Calibri"/>
          <w:b w:val="0"/>
          <w:bCs/>
          <w:color w:val="222222"/>
          <w:shd w:val="clear" w:color="auto" w:fill="FFFFFF"/>
          <w:lang w:val="hy-AM"/>
        </w:rPr>
        <w:t> </w:t>
      </w:r>
      <w:r w:rsidRPr="0078250D">
        <w:rPr>
          <w:b w:val="0"/>
          <w:bCs/>
          <w:color w:val="222222"/>
          <w:shd w:val="clear" w:color="auto" w:fill="FFFFFF"/>
          <w:lang w:val="hy-AM"/>
        </w:rPr>
        <w:t xml:space="preserve"> Անցած ժամանակաշրջանի ընթացքում փոխվել է խմբի մակարդակում «Քոնթուր Գլոբալ հիդրո կասկադ» ՓԲԸ-ի սեփականատերը (այժմ՝ ԱՄՆ -ում գործող մասնավոր ներդրումային ֆոնդ KKR)։</w:t>
      </w:r>
    </w:p>
    <w:p w14:paraId="0BF71FF8" w14:textId="77777777" w:rsidR="0078250D" w:rsidRPr="0078250D" w:rsidRDefault="0078250D" w:rsidP="0078250D">
      <w:pPr>
        <w:tabs>
          <w:tab w:val="left" w:pos="0"/>
        </w:tabs>
        <w:rPr>
          <w:b w:val="0"/>
          <w:bCs/>
          <w:color w:val="222222"/>
          <w:shd w:val="clear" w:color="auto" w:fill="FFFFFF"/>
          <w:lang w:val="hy-AM"/>
        </w:rPr>
      </w:pPr>
    </w:p>
    <w:p w14:paraId="22923746" w14:textId="77777777" w:rsidR="0078250D" w:rsidRPr="0078250D" w:rsidRDefault="0078250D" w:rsidP="0078250D">
      <w:pPr>
        <w:tabs>
          <w:tab w:val="left" w:pos="0"/>
        </w:tabs>
        <w:rPr>
          <w:lang w:val="hy-AM"/>
        </w:rPr>
      </w:pPr>
      <w:bookmarkStart w:id="369" w:name="_Toc59655558"/>
      <w:r w:rsidRPr="0078250D">
        <w:rPr>
          <w:lang w:val="hy-AM"/>
        </w:rPr>
        <w:t>«Հարավկովկասյան երկաթուղի» ՓԲԸ</w:t>
      </w:r>
      <w:bookmarkEnd w:id="369"/>
    </w:p>
    <w:p w14:paraId="5E5F4B86" w14:textId="77777777" w:rsidR="0078250D" w:rsidRPr="0078250D" w:rsidRDefault="0078250D" w:rsidP="0078250D">
      <w:pPr>
        <w:tabs>
          <w:tab w:val="left" w:pos="0"/>
        </w:tabs>
        <w:rPr>
          <w:b w:val="0"/>
          <w:bCs/>
          <w:lang w:val="hy-AM"/>
        </w:rPr>
      </w:pPr>
      <w:r w:rsidRPr="0078250D">
        <w:rPr>
          <w:b w:val="0"/>
          <w:bCs/>
          <w:lang w:val="hy-AM"/>
        </w:rPr>
        <w:t>ՀՀ կառավարության 07.02.2008թ. N83-Ա որոշման հիման վրա Հայաստանի Հանրապետության, «Հարավկովկասյան երկաթուղի» ՓԲԸ-ի և «Ռուսական երկաթուղիներ» ԲԲԸ-ի միջև 13.02.2008թ. կնքվել է «Հայկական երկաթուղու համակարգը «Ռուսական երկաթուղիներ» ԲԲԸ կողմից ստեղծված «Հարավկովկասյան երկաթուղի» ՓԲԸ փոխանցելու մասին» կոնցեսիոն պայմանագիրը:</w:t>
      </w:r>
    </w:p>
    <w:p w14:paraId="08E13E62" w14:textId="77777777" w:rsidR="0078250D" w:rsidRPr="0078250D" w:rsidRDefault="0078250D" w:rsidP="0078250D">
      <w:pPr>
        <w:tabs>
          <w:tab w:val="left" w:pos="0"/>
        </w:tabs>
        <w:rPr>
          <w:b w:val="0"/>
          <w:bCs/>
          <w:lang w:val="hy-AM"/>
        </w:rPr>
      </w:pPr>
      <w:r w:rsidRPr="0078250D">
        <w:rPr>
          <w:b w:val="0"/>
          <w:bCs/>
          <w:lang w:val="hy-AM"/>
        </w:rPr>
        <w:t>Ծառայությունների ծավալները և երթուղիները համաձայնեցվում են յուրաքանչյուր տարի՝ հաջորդող տարվա համար, հետևաբար պայմանագրի ֆինանսական տարբեր բաղադրիչների ապագա մակարդակները բարդ է կանխատեսել:</w:t>
      </w:r>
    </w:p>
    <w:p w14:paraId="4422DBE4" w14:textId="77777777" w:rsidR="0078250D" w:rsidRPr="0078250D" w:rsidRDefault="0078250D" w:rsidP="0078250D">
      <w:pPr>
        <w:tabs>
          <w:tab w:val="left" w:pos="0"/>
        </w:tabs>
        <w:rPr>
          <w:b w:val="0"/>
          <w:bCs/>
          <w:lang w:val="hy-AM"/>
        </w:rPr>
      </w:pPr>
      <w:r w:rsidRPr="0078250D">
        <w:rPr>
          <w:b w:val="0"/>
          <w:bCs/>
          <w:lang w:val="hy-AM"/>
        </w:rPr>
        <w:t xml:space="preserve">Կոնցեսիոն պայմանագիրը ներառում է վնասի սուբսիդավորում որոշ անշահավետ ուղևորափոխադրումների երթուղիների համար, որոնք իրականացվել են պայմանագրի բոլոր տարիներին: Սակայն, ըստ պայմանագրի, վճարման ենթակա գումարների առավելագույն չափը սահմանափակվում է կոնցեսիոների կողմից վճարման ենթակա տարեկան կոնցեսիոն վճարի չափով: Համաձայն առկա պատմական տեղեկատվության, կոնցեսիոն պայմանագրի սկզբից ի վեր որևէ այլ պայմանական պարտավորության նյութականացում տեղի չի ունեցել։ </w:t>
      </w:r>
    </w:p>
    <w:p w14:paraId="085A8CB4" w14:textId="77777777" w:rsidR="0078250D" w:rsidRPr="0078250D" w:rsidRDefault="0078250D" w:rsidP="0078250D">
      <w:pPr>
        <w:tabs>
          <w:tab w:val="left" w:pos="0"/>
        </w:tabs>
        <w:rPr>
          <w:b w:val="0"/>
          <w:bCs/>
          <w:lang w:val="hy-AM"/>
        </w:rPr>
      </w:pPr>
      <w:r w:rsidRPr="0078250D">
        <w:rPr>
          <w:b w:val="0"/>
          <w:bCs/>
          <w:lang w:val="hy-AM"/>
        </w:rPr>
        <w:lastRenderedPageBreak/>
        <w:t>Կոնցեսիոն պայմանագիրը նախատեսում է նաև փոխհատուցումներ մի շարք դեպքերում, որոնց նյութականացման ռիսկի հավանականությունն ավելանում է՝ պայմանավորված համավարակի հետ կապված ճգնաժամով։ Այդպիսի դեպքերից են՝</w:t>
      </w:r>
    </w:p>
    <w:p w14:paraId="14D484D3" w14:textId="77777777" w:rsidR="0078250D" w:rsidRPr="0078250D" w:rsidRDefault="0078250D" w:rsidP="00F45808">
      <w:pPr>
        <w:numPr>
          <w:ilvl w:val="0"/>
          <w:numId w:val="24"/>
        </w:numPr>
        <w:tabs>
          <w:tab w:val="left" w:pos="180"/>
          <w:tab w:val="left" w:pos="284"/>
        </w:tabs>
        <w:ind w:left="0" w:firstLine="0"/>
        <w:rPr>
          <w:b w:val="0"/>
          <w:bCs/>
          <w:lang w:val="hy-AM"/>
        </w:rPr>
      </w:pPr>
      <w:r w:rsidRPr="0078250D">
        <w:rPr>
          <w:b w:val="0"/>
          <w:bCs/>
          <w:lang w:val="hy-AM"/>
        </w:rPr>
        <w:t>Օրենսդրության անբարենպաստ փոփոխություն,</w:t>
      </w:r>
    </w:p>
    <w:p w14:paraId="37F8454E" w14:textId="77777777" w:rsidR="0078250D" w:rsidRPr="0078250D" w:rsidRDefault="0078250D" w:rsidP="00F45808">
      <w:pPr>
        <w:numPr>
          <w:ilvl w:val="0"/>
          <w:numId w:val="24"/>
        </w:numPr>
        <w:tabs>
          <w:tab w:val="left" w:pos="180"/>
          <w:tab w:val="left" w:pos="284"/>
        </w:tabs>
        <w:ind w:left="0" w:firstLine="0"/>
        <w:rPr>
          <w:b w:val="0"/>
          <w:bCs/>
          <w:lang w:val="hy-AM"/>
        </w:rPr>
      </w:pPr>
      <w:r w:rsidRPr="0078250D">
        <w:rPr>
          <w:b w:val="0"/>
          <w:bCs/>
          <w:lang w:val="hy-AM"/>
        </w:rPr>
        <w:t>Անհաղթահարելի ուժի ազդեցության մեղմման ծախսեր,</w:t>
      </w:r>
    </w:p>
    <w:p w14:paraId="4A879315" w14:textId="77777777" w:rsidR="0078250D" w:rsidRPr="0078250D" w:rsidRDefault="0078250D" w:rsidP="00F45808">
      <w:pPr>
        <w:numPr>
          <w:ilvl w:val="0"/>
          <w:numId w:val="24"/>
        </w:numPr>
        <w:tabs>
          <w:tab w:val="left" w:pos="180"/>
          <w:tab w:val="left" w:pos="284"/>
        </w:tabs>
        <w:ind w:left="0" w:firstLine="0"/>
        <w:rPr>
          <w:b w:val="0"/>
          <w:bCs/>
          <w:lang w:val="hy-AM"/>
        </w:rPr>
      </w:pPr>
      <w:r w:rsidRPr="0078250D">
        <w:rPr>
          <w:b w:val="0"/>
          <w:bCs/>
          <w:lang w:val="hy-AM"/>
        </w:rPr>
        <w:t>Անհաղթահարելի ուժի ազդեցության հետևանքով պայմանագրի վաղաժամ դադարեցման հետ կապված վճարումներ,</w:t>
      </w:r>
    </w:p>
    <w:p w14:paraId="4E226CFC" w14:textId="77777777" w:rsidR="0078250D" w:rsidRPr="0078250D" w:rsidRDefault="0078250D" w:rsidP="00F45808">
      <w:pPr>
        <w:numPr>
          <w:ilvl w:val="0"/>
          <w:numId w:val="24"/>
        </w:numPr>
        <w:tabs>
          <w:tab w:val="left" w:pos="180"/>
          <w:tab w:val="left" w:pos="284"/>
        </w:tabs>
        <w:ind w:left="0" w:firstLine="0"/>
        <w:rPr>
          <w:b w:val="0"/>
          <w:bCs/>
          <w:lang w:val="hy-AM"/>
        </w:rPr>
      </w:pPr>
      <w:r w:rsidRPr="0078250D">
        <w:rPr>
          <w:b w:val="0"/>
          <w:bCs/>
          <w:lang w:val="hy-AM"/>
        </w:rPr>
        <w:t xml:space="preserve">Կոնցեդենտի կողմից պարտավորությունների չկատարման հիմքով պայմանագրի վաղաժամ դադարեցման վճարներ, </w:t>
      </w:r>
    </w:p>
    <w:p w14:paraId="19BBF004" w14:textId="77777777" w:rsidR="0078250D" w:rsidRPr="0078250D" w:rsidRDefault="0078250D" w:rsidP="00F45808">
      <w:pPr>
        <w:numPr>
          <w:ilvl w:val="0"/>
          <w:numId w:val="24"/>
        </w:numPr>
        <w:tabs>
          <w:tab w:val="left" w:pos="180"/>
          <w:tab w:val="left" w:pos="284"/>
        </w:tabs>
        <w:ind w:left="0" w:firstLine="0"/>
        <w:rPr>
          <w:b w:val="0"/>
          <w:bCs/>
          <w:lang w:val="hy-AM"/>
        </w:rPr>
      </w:pPr>
      <w:r w:rsidRPr="0078250D">
        <w:rPr>
          <w:b w:val="0"/>
          <w:bCs/>
          <w:lang w:val="hy-AM"/>
        </w:rPr>
        <w:t>Փոխադարձ համաձայնությամբ պայմանագրի վաղաժամ դադարեցման վճարներ:</w:t>
      </w:r>
    </w:p>
    <w:p w14:paraId="59F39594" w14:textId="77777777" w:rsidR="0078250D" w:rsidRPr="0078250D" w:rsidRDefault="0078250D" w:rsidP="0078250D">
      <w:pPr>
        <w:tabs>
          <w:tab w:val="left" w:pos="0"/>
        </w:tabs>
        <w:rPr>
          <w:b w:val="0"/>
          <w:bCs/>
          <w:lang w:val="hy-AM"/>
        </w:rPr>
      </w:pPr>
      <w:r w:rsidRPr="0078250D">
        <w:rPr>
          <w:b w:val="0"/>
          <w:bCs/>
          <w:lang w:val="hy-AM"/>
        </w:rPr>
        <w:t>Կոնցեսիոն պայմանագրի վաղաժամ դադարեցման մասով պայմանական պարտավորությունները հիմնականում չափելի են և դրանց առավելագույն ազդեցությունը վատագույն սցենարի դեպքում գնահատվում է 101.1 մլրդ ՀՀ դրամ</w:t>
      </w:r>
      <w:r w:rsidRPr="0078250D">
        <w:rPr>
          <w:rStyle w:val="FootnoteReference"/>
          <w:b w:val="0"/>
          <w:bCs/>
          <w:lang w:val="hy-AM"/>
        </w:rPr>
        <w:footnoteReference w:id="39"/>
      </w:r>
      <w:r w:rsidRPr="0078250D">
        <w:rPr>
          <w:b w:val="0"/>
          <w:bCs/>
          <w:lang w:val="hy-AM"/>
        </w:rPr>
        <w:t xml:space="preserve">, ընդ որում այդ գումարը կոնցեսիոն գործունեության ընթացքում աճում է՝ հաշվի առնելով պայմանագրի պայմանները: </w:t>
      </w:r>
    </w:p>
    <w:p w14:paraId="70BE3D95" w14:textId="77777777" w:rsidR="0078250D" w:rsidRPr="0078250D" w:rsidRDefault="0078250D" w:rsidP="0078250D">
      <w:pPr>
        <w:tabs>
          <w:tab w:val="left" w:pos="0"/>
        </w:tabs>
        <w:rPr>
          <w:b w:val="0"/>
          <w:bCs/>
          <w:lang w:val="hy-AM"/>
        </w:rPr>
      </w:pPr>
      <w:r w:rsidRPr="0078250D">
        <w:rPr>
          <w:b w:val="0"/>
          <w:bCs/>
          <w:lang w:val="hy-AM"/>
        </w:rPr>
        <w:t xml:space="preserve">Կոնցեսիոն պայմանագրի ֆիսկալ ռիսկայնության կարգավիճակը մինչև համավարակը գնահատվում էր միջին, իսկ համավարակի և պատերազմի ճգնաժամերով պայմանավորված՝ նշանակալի, և ներկայումս շարունակում է գնահատվել նշանակալի՝ պայմանավորված զարգացող աշխարհաքաղաքական և մակրոտնտեսական ճգնաժամով։ Միաժամանակ կարևոր է փաստել, որ ընկերության գործունեությունը 2022 թվականին եղել է շահութաբեր՝ 2.3 մլրդ դրամ շահույթով, արձանագրելով նախորդ տարվա նկատմամբ 82% աճ և ապահովելով զուտ շահույթի մարժայի 10%: 2022 թվականի ընթացքում բեռնափոխադրումների ֆիզիկական ծավալներն 2021 թվականի նկատմամբ ավելացել են մոտ 11 տոկոսով, իսկ ուղևորափոխադրումների ծավալն ավելացել է 15%-ով: </w:t>
      </w:r>
    </w:p>
    <w:p w14:paraId="4D4D6FC5" w14:textId="77777777" w:rsidR="0078250D" w:rsidRPr="0078250D" w:rsidRDefault="0078250D" w:rsidP="0078250D">
      <w:pPr>
        <w:tabs>
          <w:tab w:val="left" w:pos="0"/>
        </w:tabs>
        <w:rPr>
          <w:b w:val="0"/>
          <w:bCs/>
          <w:lang w:val="hy-AM"/>
        </w:rPr>
      </w:pPr>
      <w:r w:rsidRPr="0078250D">
        <w:rPr>
          <w:b w:val="0"/>
          <w:bCs/>
          <w:lang w:val="hy-AM"/>
        </w:rPr>
        <w:t xml:space="preserve">Ֆիսկալ ռիսկի կարգավիճակը նշանակալի է՝ նաև հաշվի առնելով տարածաշրջանային ճգնաժամը և ընթացող վերաբանակցությունները։ </w:t>
      </w:r>
    </w:p>
    <w:p w14:paraId="2EC5AF1C" w14:textId="77777777" w:rsidR="0078250D" w:rsidRPr="0078250D" w:rsidRDefault="0078250D" w:rsidP="0078250D">
      <w:pPr>
        <w:tabs>
          <w:tab w:val="left" w:pos="0"/>
        </w:tabs>
        <w:rPr>
          <w:b w:val="0"/>
          <w:bCs/>
          <w:lang w:val="hy-AM"/>
        </w:rPr>
      </w:pPr>
    </w:p>
    <w:p w14:paraId="70DB9724" w14:textId="77777777" w:rsidR="0078250D" w:rsidRPr="0078250D" w:rsidRDefault="0078250D" w:rsidP="0078250D">
      <w:pPr>
        <w:tabs>
          <w:tab w:val="left" w:pos="0"/>
        </w:tabs>
        <w:rPr>
          <w:lang w:val="hy-AM"/>
        </w:rPr>
      </w:pPr>
      <w:bookmarkStart w:id="370" w:name="_Toc59655561"/>
      <w:r w:rsidRPr="0078250D">
        <w:rPr>
          <w:lang w:val="hy-AM"/>
        </w:rPr>
        <w:t>«Վեոլիա ջուր» ՓԲԸ</w:t>
      </w:r>
      <w:bookmarkEnd w:id="370"/>
    </w:p>
    <w:p w14:paraId="33423558" w14:textId="77777777" w:rsidR="0078250D" w:rsidRPr="0078250D" w:rsidRDefault="0078250D" w:rsidP="0078250D">
      <w:pPr>
        <w:tabs>
          <w:tab w:val="left" w:pos="0"/>
        </w:tabs>
        <w:rPr>
          <w:b w:val="0"/>
          <w:bCs/>
          <w:lang w:val="hy-AM"/>
        </w:rPr>
      </w:pPr>
      <w:r w:rsidRPr="0078250D">
        <w:rPr>
          <w:b w:val="0"/>
          <w:bCs/>
          <w:lang w:val="hy-AM"/>
        </w:rPr>
        <w:t>21.11.2016թ. ՀՀ կառավարության, «Վեոլիա Օ Կոմպանի Ժեներալ Դեզ Օ» կոմանդիտային բաժնետիրական ընկերության և «Վեոլիա Ջուր» ՓԲԸ-ի (այսուհետ` Ընկերություն) միջև կնքվել է «Երևան Ջուր», «Հայջրմուղկոյուղի», «Լոռի-ջրմուղկոյուղի», «Շիրակ-ջրմուղկոյուղի» և «Նոր Ակունք» փակ բաժնետիրական ընկերությունների կողմից օգտագործվող ու պահպանվող ջրային համակարգերի և այլ գույքի վարձակալության պայմանագիր` 15 տարի ժամկետով (Վարձակալական պայմանագիր):</w:t>
      </w:r>
    </w:p>
    <w:p w14:paraId="0E052ECA" w14:textId="77777777" w:rsidR="0078250D" w:rsidRPr="0078250D" w:rsidRDefault="0078250D" w:rsidP="0078250D">
      <w:pPr>
        <w:tabs>
          <w:tab w:val="left" w:pos="0"/>
        </w:tabs>
        <w:rPr>
          <w:b w:val="0"/>
          <w:bCs/>
          <w:lang w:val="hy-AM"/>
        </w:rPr>
      </w:pPr>
      <w:r w:rsidRPr="0078250D">
        <w:rPr>
          <w:b w:val="0"/>
          <w:bCs/>
          <w:lang w:val="hy-AM"/>
        </w:rPr>
        <w:t>Վարձակալական պայմանագրի շրջանակներում առկա են մի շարք նշանակալի պայմանական պարտավորություններ, այդ թվում.</w:t>
      </w:r>
    </w:p>
    <w:p w14:paraId="77E0A93C" w14:textId="77777777" w:rsidR="0078250D" w:rsidRPr="0078250D" w:rsidRDefault="0078250D" w:rsidP="0078250D">
      <w:pPr>
        <w:numPr>
          <w:ilvl w:val="0"/>
          <w:numId w:val="24"/>
        </w:numPr>
        <w:tabs>
          <w:tab w:val="left" w:pos="0"/>
          <w:tab w:val="left" w:pos="284"/>
        </w:tabs>
        <w:ind w:left="0" w:firstLine="540"/>
        <w:rPr>
          <w:b w:val="0"/>
          <w:bCs/>
          <w:lang w:val="hy-AM"/>
        </w:rPr>
      </w:pPr>
      <w:r w:rsidRPr="0078250D">
        <w:rPr>
          <w:b w:val="0"/>
          <w:bCs/>
          <w:lang w:val="hy-AM"/>
        </w:rPr>
        <w:lastRenderedPageBreak/>
        <w:t xml:space="preserve">Վարձակալի կողմից պարտադիր կապիտալ աշխատանքների ծրագրի շրջանակից դուրս այլ աշխատանքների իրականացման դեպքում Վարձատուի կողմից համապատասխան գումարի փոխհատուցում, </w:t>
      </w:r>
    </w:p>
    <w:p w14:paraId="00C9694C" w14:textId="77777777" w:rsidR="0078250D" w:rsidRPr="0078250D" w:rsidRDefault="0078250D" w:rsidP="0078250D">
      <w:pPr>
        <w:numPr>
          <w:ilvl w:val="0"/>
          <w:numId w:val="24"/>
        </w:numPr>
        <w:tabs>
          <w:tab w:val="left" w:pos="0"/>
          <w:tab w:val="left" w:pos="284"/>
        </w:tabs>
        <w:ind w:left="0" w:firstLine="540"/>
        <w:rPr>
          <w:b w:val="0"/>
          <w:bCs/>
          <w:lang w:val="hy-AM"/>
        </w:rPr>
      </w:pPr>
      <w:r w:rsidRPr="0078250D">
        <w:rPr>
          <w:b w:val="0"/>
          <w:bCs/>
          <w:lang w:val="hy-AM"/>
        </w:rPr>
        <w:t xml:space="preserve">Բազային սակագնի երաշխիք, որն արդեն առնվազն երկու անգամ կիրառվել է՝ ներառյալ վարձակալական վճարի կրճատումը 2020 և 2021 թվականներին, </w:t>
      </w:r>
    </w:p>
    <w:p w14:paraId="49D93DE2" w14:textId="77777777" w:rsidR="0078250D" w:rsidRPr="0078250D" w:rsidRDefault="0078250D" w:rsidP="0078250D">
      <w:pPr>
        <w:numPr>
          <w:ilvl w:val="0"/>
          <w:numId w:val="24"/>
        </w:numPr>
        <w:tabs>
          <w:tab w:val="left" w:pos="0"/>
          <w:tab w:val="left" w:pos="284"/>
        </w:tabs>
        <w:ind w:left="0" w:firstLine="540"/>
        <w:rPr>
          <w:b w:val="0"/>
          <w:bCs/>
          <w:lang w:val="hy-AM"/>
        </w:rPr>
      </w:pPr>
      <w:r w:rsidRPr="0078250D">
        <w:rPr>
          <w:b w:val="0"/>
          <w:bCs/>
          <w:lang w:val="hy-AM"/>
        </w:rPr>
        <w:t>Վարձակալական պայմանագիրը պարունակում է վերաբանակցությունների և վաղաժամկետ դադարեցման բազմաթիվ դեպքեր։ Առաջիկայում Վարձակալական պայմանագրի վաղաժամկետ դադարեցման ռիսկը համարվել էր ցածր՝ առնվազն մինչև 2025թ</w:t>
      </w:r>
      <w:r w:rsidRPr="0078250D">
        <w:rPr>
          <w:rFonts w:ascii="Cambria Math" w:hAnsi="Cambria Math"/>
          <w:b w:val="0"/>
          <w:bCs/>
          <w:lang w:val="hy-AM"/>
        </w:rPr>
        <w:t>․</w:t>
      </w:r>
      <w:r w:rsidRPr="0078250D">
        <w:rPr>
          <w:b w:val="0"/>
          <w:bCs/>
          <w:lang w:val="hy-AM"/>
        </w:rPr>
        <w:t>։ Պայմանագրի վաղաժամ դադարեցման գծով պայմանական պարտավորությունը մասնակի չափելի է և վերագնահատվել է պայմանագրի վերջին փոփոխությունից հետո՝ 70 մլրդ դրամ՝ միջանկյալ սցենարի դեպքում, որտեղ նման վճարումը չի կարող գերազանցել ապագա վարձակալական վճարների հանրագումարը:</w:t>
      </w:r>
    </w:p>
    <w:p w14:paraId="2E27E690" w14:textId="77777777" w:rsidR="0078250D" w:rsidRPr="0078250D" w:rsidRDefault="0078250D" w:rsidP="0078250D">
      <w:pPr>
        <w:tabs>
          <w:tab w:val="left" w:pos="0"/>
        </w:tabs>
        <w:rPr>
          <w:b w:val="0"/>
          <w:bCs/>
          <w:lang w:val="hy-AM"/>
        </w:rPr>
      </w:pPr>
      <w:r w:rsidRPr="0078250D">
        <w:rPr>
          <w:b w:val="0"/>
          <w:bCs/>
          <w:lang w:val="hy-AM"/>
        </w:rPr>
        <w:t>Վերջին տարիներին ընթանում էին որոշակի բանակցություններ արդեն իսկ կառուցված ակտիվի, մասնավորապես ջրի մաքրման կայանի վերաբերյալ։ 2023 թվականի սկզբին որոշվեց, որ այդ ակտիվը կփոխանցվի և կվերականգնվի Հայկական տարածքային զարգացման հիմնադրամի կողմից, այսպիսով այս հարցն այլևս չի ստեղծելու ՀՀ կառավարության համար հավելյալ պայմանական պարտավորությունները (վերջին անգամ դրանք գնահատվել էին 13 միլիարդ դրամ): Սակայն նախագիծը  դառնալու է պետական բյուջեով ֆինանսավորվող ներդրումային ծրագիր։ Բացի այդ, ակնկալվում է, որ հաջորդ տարիներին էապես կավելանան նաև պետությանը փոխանցվելիք կոնցեսիոն ակտիվներին առնչվող պարտադիր կապիտալ աշխատանքները՝ հաշվի առնելով, որ միջին տարեկան գումարը 2022 թվականից հետո բարձրացել է (ըստ ընկերության գնահատականի դեռևս մոտ 55 մլն ԱՄՆ դոլարի չափով ներդրումներ)։ Այս աշխատանքները ֆինանսավորվելու են պետական բյուջեի միջոցներից, այդպիսով դրանք չեն հանդիսանում պայմանական պարտավորություններ, բայց այս տեղեկատվության առկայությունը ավելի ամբողջական պատկերացում է տալիս այս նախագծի իրական արժեքի մասին:</w:t>
      </w:r>
    </w:p>
    <w:p w14:paraId="4BC4F0FD" w14:textId="77777777" w:rsidR="0078250D" w:rsidRPr="0078250D" w:rsidRDefault="0078250D" w:rsidP="0078250D">
      <w:pPr>
        <w:tabs>
          <w:tab w:val="left" w:pos="0"/>
        </w:tabs>
        <w:rPr>
          <w:b w:val="0"/>
          <w:bCs/>
          <w:lang w:val="hy-AM"/>
        </w:rPr>
      </w:pPr>
      <w:r w:rsidRPr="0078250D">
        <w:rPr>
          <w:b w:val="0"/>
          <w:bCs/>
          <w:lang w:val="hy-AM"/>
        </w:rPr>
        <w:t>Այդպիսով, հարկաբյուջետային ռիսկի կարգավիճակը մնում է նշանակալի:</w:t>
      </w:r>
    </w:p>
    <w:p w14:paraId="5D5DE91C" w14:textId="77777777" w:rsidR="0078250D" w:rsidRPr="0078250D" w:rsidRDefault="0078250D" w:rsidP="0078250D">
      <w:pPr>
        <w:tabs>
          <w:tab w:val="left" w:pos="0"/>
        </w:tabs>
        <w:rPr>
          <w:b w:val="0"/>
          <w:bCs/>
          <w:lang w:val="hy-AM"/>
        </w:rPr>
      </w:pPr>
    </w:p>
    <w:p w14:paraId="76C4B0C8" w14:textId="77777777" w:rsidR="0078250D" w:rsidRPr="005A7BCD" w:rsidRDefault="0078250D" w:rsidP="0078250D">
      <w:pPr>
        <w:jc w:val="left"/>
        <w:rPr>
          <w:lang w:val="hy-AM"/>
        </w:rPr>
      </w:pPr>
      <w:bookmarkStart w:id="371" w:name="_Toc59655564"/>
      <w:r w:rsidRPr="005A7BCD">
        <w:rPr>
          <w:lang w:val="hy-AM"/>
        </w:rPr>
        <w:t>«Արմենիա Միջազգային Օդանավակայաններ» ՓԲԸ</w:t>
      </w:r>
      <w:bookmarkEnd w:id="371"/>
    </w:p>
    <w:p w14:paraId="72BEF226" w14:textId="77777777" w:rsidR="0078250D" w:rsidRPr="0078250D" w:rsidRDefault="0078250D" w:rsidP="0078250D">
      <w:pPr>
        <w:tabs>
          <w:tab w:val="left" w:pos="0"/>
        </w:tabs>
        <w:rPr>
          <w:b w:val="0"/>
          <w:bCs/>
          <w:lang w:val="hy-AM"/>
        </w:rPr>
      </w:pPr>
      <w:r w:rsidRPr="0078250D">
        <w:rPr>
          <w:b w:val="0"/>
          <w:bCs/>
          <w:lang w:val="hy-AM"/>
        </w:rPr>
        <w:t>Կոնցեսիոն պայմանագիրը գործում է 2002թ.-ից՝ Երևանի «Զվարթնոց» օդանավակայանի համար, իսկ 2007թ.-ից ներառում է նաև Գյումրու «Շիրակ» օդանավակայանը: Մայր ընկերությունը աշխարհի օդանավակայանների խոշորագույն օպերատորներից է՝ «Կորպորասիոն Ամերիկա Ս.Ա.» ընկերությունն, որը ցուցակված է Նյու Յորքի ֆոնդային բորսայում:</w:t>
      </w:r>
    </w:p>
    <w:p w14:paraId="225C81A2" w14:textId="77777777" w:rsidR="0078250D" w:rsidRPr="0078250D" w:rsidRDefault="0078250D" w:rsidP="0078250D">
      <w:pPr>
        <w:tabs>
          <w:tab w:val="left" w:pos="0"/>
        </w:tabs>
        <w:rPr>
          <w:b w:val="0"/>
          <w:bCs/>
          <w:color w:val="002033"/>
          <w:lang w:val="hy-AM"/>
        </w:rPr>
      </w:pPr>
      <w:r w:rsidRPr="0078250D">
        <w:rPr>
          <w:b w:val="0"/>
          <w:bCs/>
          <w:lang w:val="hy-AM"/>
        </w:rPr>
        <w:t xml:space="preserve">Խումբը մինչև 2019 թվականը արձանագրում էր շահութաբերության բարձր ցուցանիշներ, իսկ ՀՀ-ի դուստր ձեռնարկությունը եղել է ամենաշահութաբերներից մեկը: Համավարակի ճգնաժամից հետո ֆինանսական վիճակը վերականգնվեց և 2022 ին «ԱՄՕ»-ն արձանագրեց 2019 ի ցուցանիշները 50% գերազանցող զուտ շահույթի մակարդակ։ </w:t>
      </w:r>
    </w:p>
    <w:p w14:paraId="51E5F7FF" w14:textId="77777777" w:rsidR="0078250D" w:rsidRPr="0078250D" w:rsidRDefault="0078250D" w:rsidP="0078250D">
      <w:pPr>
        <w:tabs>
          <w:tab w:val="left" w:pos="0"/>
        </w:tabs>
        <w:rPr>
          <w:b w:val="0"/>
          <w:bCs/>
          <w:lang w:val="hy-AM"/>
        </w:rPr>
      </w:pPr>
      <w:r w:rsidRPr="0078250D">
        <w:rPr>
          <w:b w:val="0"/>
          <w:bCs/>
          <w:lang w:val="hy-AM"/>
        </w:rPr>
        <w:t>Պայմանագիրը Կոնցեսիոներին հնարավորություն է տալիս միակողմանիորեն երկարացնել կոնցեսիայի տևողությունը:</w:t>
      </w:r>
    </w:p>
    <w:p w14:paraId="7E67CACC" w14:textId="77777777" w:rsidR="0078250D" w:rsidRPr="0078250D" w:rsidRDefault="0078250D" w:rsidP="0078250D">
      <w:pPr>
        <w:tabs>
          <w:tab w:val="left" w:pos="0"/>
        </w:tabs>
        <w:rPr>
          <w:b w:val="0"/>
          <w:bCs/>
          <w:lang w:val="hy-AM"/>
        </w:rPr>
      </w:pPr>
      <w:r w:rsidRPr="0078250D">
        <w:rPr>
          <w:b w:val="0"/>
          <w:bCs/>
          <w:lang w:val="hy-AM"/>
        </w:rPr>
        <w:lastRenderedPageBreak/>
        <w:t xml:space="preserve">Ըստ պայմանագրի սահմանված է տարեկան 20% ֆինանսական ներքին շահութաբերության թիրախային մակարդակ, որը սահմանված է օդանավակայանում ներդրողի ընդհանուր ներդրումների (այդ թվում սեփական կապիտալի, դրա համարժեքների, ենթավարկերի և/կամ փոխարկելի վարկերի և միջազգային աուդիտորական ընկերության կողմից աուդիտ անցած Կառավարչի հաշվապահական հաշվետվություններում արտացոլված ցանկացած այլ կապիտալ ներդրման) տարեկան ներքին զուտ դոլարային շահութաբերությունը հարկվելուց հետո։  </w:t>
      </w:r>
    </w:p>
    <w:p w14:paraId="6EDBFA27" w14:textId="77777777" w:rsidR="0078250D" w:rsidRPr="0078250D" w:rsidRDefault="0078250D" w:rsidP="0078250D">
      <w:pPr>
        <w:tabs>
          <w:tab w:val="left" w:pos="0"/>
        </w:tabs>
        <w:rPr>
          <w:b w:val="0"/>
          <w:bCs/>
          <w:lang w:val="hy-AM"/>
        </w:rPr>
      </w:pPr>
      <w:r w:rsidRPr="0078250D">
        <w:rPr>
          <w:b w:val="0"/>
          <w:bCs/>
          <w:lang w:val="hy-AM"/>
        </w:rPr>
        <w:t xml:space="preserve">Համաձայնեցված ներքին շահութաբերության մակարդակը պահպանելու համար պայմանագրով նախատեսված է հետևյալ մեխանիզմը՝ մաստեր-պլանի վերանայում, որի արդյունքում փոխվում է կապիտալ ծախսերի կառուցվածքը և ժամանակացույցը, սակագնի բարձրացում և պայմանագրի ժամկետի երկարացում։ </w:t>
      </w:r>
    </w:p>
    <w:p w14:paraId="0818A8BA" w14:textId="77777777" w:rsidR="0078250D" w:rsidRPr="0078250D" w:rsidRDefault="0078250D" w:rsidP="0078250D">
      <w:pPr>
        <w:tabs>
          <w:tab w:val="left" w:pos="0"/>
        </w:tabs>
        <w:rPr>
          <w:b w:val="0"/>
          <w:bCs/>
          <w:lang w:val="hy-AM"/>
        </w:rPr>
      </w:pPr>
      <w:r w:rsidRPr="0078250D">
        <w:rPr>
          <w:b w:val="0"/>
          <w:bCs/>
          <w:lang w:val="hy-AM"/>
        </w:rPr>
        <w:t xml:space="preserve">Հաշվի առնելով ընկերության բարձր շահութաբերությունը՝ պայմանագրի վաղաժամ դադարեցման պայմանական պարտավորությունը և ընկերության բիզնես ռիսկը գնահատվում էին ցածր, սակայն օդանավակայանների ոլորտը համավարակով պայմանավորված ճգնաժամից առավել տուժածներից մեկն է, իսկ այժմ այն ևս դրսևորում է չափազանց վոլատիլ վարքագիծ աշխարհքաղաքական ճգնաժամով պայմանավորված։ </w:t>
      </w:r>
    </w:p>
    <w:p w14:paraId="350D931B" w14:textId="77777777" w:rsidR="0078250D" w:rsidRPr="0078250D" w:rsidRDefault="0078250D" w:rsidP="0078250D">
      <w:pPr>
        <w:tabs>
          <w:tab w:val="left" w:pos="0"/>
        </w:tabs>
        <w:rPr>
          <w:b w:val="0"/>
          <w:bCs/>
          <w:lang w:val="hy-AM"/>
        </w:rPr>
      </w:pPr>
      <w:r w:rsidRPr="0078250D">
        <w:rPr>
          <w:b w:val="0"/>
          <w:bCs/>
          <w:lang w:val="hy-AM"/>
        </w:rPr>
        <w:t>Համավարակի ժամանակաշրջանում ընկերությունը ստիպված եղավ հայցել վարկային պայմանագրի ֆինանսական քովենանթի չեղարկում, որը բավարարվեց ֆինանսավորողի կողմից և մարման ժամանակացույցը երկարաձգվեց մինչև 2024 թվականը:</w:t>
      </w:r>
    </w:p>
    <w:p w14:paraId="64D13ABD" w14:textId="77777777" w:rsidR="0078250D" w:rsidRPr="0078250D" w:rsidRDefault="0078250D" w:rsidP="0078250D">
      <w:pPr>
        <w:tabs>
          <w:tab w:val="left" w:pos="0"/>
        </w:tabs>
        <w:rPr>
          <w:b w:val="0"/>
          <w:bCs/>
          <w:lang w:val="hy-AM"/>
        </w:rPr>
      </w:pPr>
      <w:r w:rsidRPr="0078250D">
        <w:rPr>
          <w:b w:val="0"/>
          <w:bCs/>
          <w:lang w:val="hy-AM"/>
        </w:rPr>
        <w:t xml:space="preserve">2021-2022 թվականներին «Կորպորասիոն Ամերիկա Ս.Ա.» ընկերությունների խմբի ֆինանսական վիճակը զգալիորեն վերականգնվել է՝ պայմանավորված գործառնությունների վերսկսմամբ, ստացված մի շարք փոխհատուցումներով, վերակառուցված և նոր վարկերով, սակայն գործառնությունների մակարդակը զիջում է մինչև համավարակն առկա մակարդակին: Նշված վերականգնումը արտահայտվել է նաև Խմբի համախմբված դրամական մնացորդի ցուցանիշով, հետևաբար, անհրաժեշտության դեպքում Խումբը կրկին կկարողանա աջակցել «ԱՄՕ» ՓԲԸ-ին։ </w:t>
      </w:r>
    </w:p>
    <w:p w14:paraId="49C74CE3" w14:textId="77777777" w:rsidR="0078250D" w:rsidRPr="0078250D" w:rsidRDefault="0078250D" w:rsidP="0078250D">
      <w:pPr>
        <w:tabs>
          <w:tab w:val="left" w:pos="0"/>
        </w:tabs>
        <w:rPr>
          <w:b w:val="0"/>
          <w:bCs/>
          <w:lang w:val="hy-AM"/>
        </w:rPr>
      </w:pPr>
      <w:r w:rsidRPr="0078250D">
        <w:rPr>
          <w:b w:val="0"/>
          <w:bCs/>
          <w:lang w:val="hy-AM"/>
        </w:rPr>
        <w:t>Ինչպես երևում է ՀՀ ուղևորափոխադրումների վիճակագրությունից, ոլորտի վերականգնումը գրանցվել է 2021 թվականի ընթացքում և թափ է առել 2022 թվականին, ընդ որում 2023թ. առաջին եռամսյակում արձանագրված ծավալները գերազանցել են կորոնավիրուսային համավարակն արձանագրված մակարդակներին (80% աճ 2019 թվականի նույն ժամանակաշրջանի նկատմամբ):</w:t>
      </w:r>
    </w:p>
    <w:p w14:paraId="7DDD6D56" w14:textId="77777777" w:rsidR="0078250D" w:rsidRPr="0078250D" w:rsidRDefault="0078250D" w:rsidP="0078250D">
      <w:pPr>
        <w:tabs>
          <w:tab w:val="left" w:pos="0"/>
        </w:tabs>
        <w:rPr>
          <w:b w:val="0"/>
          <w:bCs/>
          <w:lang w:val="hy-AM"/>
        </w:rPr>
      </w:pPr>
      <w:r w:rsidRPr="0078250D">
        <w:rPr>
          <w:b w:val="0"/>
          <w:bCs/>
          <w:lang w:val="hy-AM"/>
        </w:rPr>
        <w:t xml:space="preserve">Բեռնափոխադրումների ծավալները ևս վերականգնվել են 2022թ.` գերազանցելով 2019թ. մակարդակը 16.3%-ով։ Այսպիսով բեռնափախադրումների ծավալները 2022 և 2023 թվականի սկզբին գերազանցում են նախաճգնաժամային ծավալները հիմնականում պայմանավորված Ռուսաստանի Դաշնության հետ առևտրաշրջանառության աճով։ </w:t>
      </w:r>
    </w:p>
    <w:p w14:paraId="32B88A62" w14:textId="77777777" w:rsidR="0078250D" w:rsidRPr="0078250D" w:rsidRDefault="0078250D" w:rsidP="0078250D">
      <w:pPr>
        <w:tabs>
          <w:tab w:val="left" w:pos="0"/>
        </w:tabs>
        <w:rPr>
          <w:b w:val="0"/>
          <w:bCs/>
          <w:lang w:val="hy-AM"/>
        </w:rPr>
      </w:pPr>
      <w:r w:rsidRPr="0078250D">
        <w:rPr>
          <w:b w:val="0"/>
          <w:bCs/>
          <w:lang w:val="hy-AM"/>
        </w:rPr>
        <w:t xml:space="preserve">Շարունակվել է շահույթի նախքան հարկումը, տոկոսավճարները և մաշվածությունը (EBITDA) զգալի վերականգնումը։ «ԱՄՕ» ՓԲԸ-ն լավ է դիմակայել 44-օրյա պատերազմի, նոր կորոնավիրուսային տարբերակների, Ռուսաստան-Ուկրաինա պատերազմի, 2022 թվականի սեպտեմբերյան ադրբեջանական ներխուժման հետևանքով ստեղծված մարտահրավերներին: 2022 թվականին վերականգնումը EBITDA եկամուտներ հարաբերակցությունը հասցրեց 33%-ի, ինչը  մնում է բավականին բարձր, թեև ոչ այնքան բարձր, որքան 2021 թվականին՝ հաշվի առնելով եկամուտների կառուցվածքում վառելիքի լիցքավորման ծառայություններից ստացված </w:t>
      </w:r>
      <w:r w:rsidRPr="0078250D">
        <w:rPr>
          <w:b w:val="0"/>
          <w:bCs/>
          <w:lang w:val="hy-AM"/>
        </w:rPr>
        <w:lastRenderedPageBreak/>
        <w:t xml:space="preserve">եկամուտների շատ ավելի մեծ տեսակարար կշիռը (աշխարհաքաղաքական ճգնաժամի պատճառով վառելիքի ավելի բարձր գները), որոնց պարագայում ավելի ցածր է մարժան: </w:t>
      </w:r>
    </w:p>
    <w:p w14:paraId="6CA19B1B" w14:textId="77777777" w:rsidR="0078250D" w:rsidRPr="0078250D" w:rsidRDefault="0078250D" w:rsidP="0078250D">
      <w:pPr>
        <w:tabs>
          <w:tab w:val="left" w:pos="0"/>
        </w:tabs>
        <w:rPr>
          <w:b w:val="0"/>
          <w:bCs/>
          <w:lang w:val="hy-AM"/>
        </w:rPr>
      </w:pPr>
      <w:r w:rsidRPr="0078250D">
        <w:rPr>
          <w:b w:val="0"/>
          <w:bCs/>
          <w:lang w:val="hy-AM"/>
        </w:rPr>
        <w:t xml:space="preserve">Կանխիկի մնացորդը 2022 թվականի տարեվերջին կազմել է 28.6 մլն ԱՄՆ դոլար, ինչից բացի տարվա ընթացքում իրականացվել է շահութաբաժինների վճարում 21.25 մլն ԱՄՆ դոլարի չափով (մոտ 0.5 մլն ԱՄՆ դոլարի չափով գերազանցելով 2021 թվականի զուտ շահույթի ծավալը)։ Կանխիկի մնացորդը ավելի բարձր է, քան 2023 թվականին պարտքի սպասարկման գծով սպասվող վճարումները՝ հաշվի առնելով, որ նախորդ վարկային պայմանագիրը փոխարինվել է մեկ տարով ավելի երկար ժամկետ ունեցող Ամերիա բանկի հետ վարկային համաձայնագրով։ </w:t>
      </w:r>
    </w:p>
    <w:p w14:paraId="0EC83BEB" w14:textId="77777777" w:rsidR="0078250D" w:rsidRPr="0078250D" w:rsidRDefault="0078250D" w:rsidP="0078250D">
      <w:pPr>
        <w:tabs>
          <w:tab w:val="left" w:pos="0"/>
        </w:tabs>
        <w:rPr>
          <w:b w:val="0"/>
          <w:bCs/>
          <w:lang w:val="hy-AM"/>
        </w:rPr>
      </w:pPr>
      <w:r w:rsidRPr="0078250D">
        <w:rPr>
          <w:b w:val="0"/>
          <w:bCs/>
          <w:lang w:val="hy-AM"/>
        </w:rPr>
        <w:t xml:space="preserve">Խումբը նաև հրապարակայնորեն հայտարարել է Զվարթնոց օդանավակայանի ընդլայնման մասին, որը ենթադրում է ՝ հզորությունների կրկնապատկում և ներդրումների ծավալը գնահատվում է  400 մլն ԱՄՆ դոլար։ </w:t>
      </w:r>
    </w:p>
    <w:p w14:paraId="32AF696F" w14:textId="77777777" w:rsidR="0078250D" w:rsidRPr="0078250D" w:rsidRDefault="0078250D" w:rsidP="0078250D">
      <w:pPr>
        <w:tabs>
          <w:tab w:val="left" w:pos="0"/>
        </w:tabs>
        <w:rPr>
          <w:b w:val="0"/>
          <w:bCs/>
          <w:lang w:val="hy-AM"/>
        </w:rPr>
      </w:pPr>
      <w:r w:rsidRPr="0078250D">
        <w:rPr>
          <w:b w:val="0"/>
          <w:bCs/>
          <w:lang w:val="hy-AM"/>
        </w:rPr>
        <w:t xml:space="preserve">Պայմանագրի վաղաժամ դադարեցման դեպքում առկա են զգալի ծավալով պարտավորություններ։ </w:t>
      </w:r>
    </w:p>
    <w:p w14:paraId="0E6C909C" w14:textId="77777777" w:rsidR="0078250D" w:rsidRPr="0078250D" w:rsidRDefault="0078250D" w:rsidP="0078250D">
      <w:pPr>
        <w:tabs>
          <w:tab w:val="left" w:pos="0"/>
        </w:tabs>
        <w:rPr>
          <w:b w:val="0"/>
          <w:bCs/>
          <w:lang w:val="hy-AM"/>
        </w:rPr>
      </w:pPr>
      <w:r w:rsidRPr="0078250D">
        <w:rPr>
          <w:b w:val="0"/>
          <w:bCs/>
          <w:lang w:val="hy-AM"/>
        </w:rPr>
        <w:t>Վերը նշված հանգամանքներից ելնելով, սույն ՊՄԳ պայմանագրի գծով պայմանական պարտավորությունների ֆիսկալ ռիսկի կարգավիճակը, որը փոխվել էր միջինի՝ չնայած նոր աշխարհաքաղաքական և մակրոտնտեսական ճգնաժամից բխող անորոշություններին, ներկայումս պետք է վերագնահատվի: Այժմ անորոշությունը ավելի բարձր է, քանի որ հայտնի չէ, թե երթևեկության ներկայիս կտրուկ աճը կայուն կլինի միջնաժամկետ և երկարաժամկետ հեռանկարում, և ՀՀ-ի համար պայմանական պարտավորությունները պետք է զգալիորեն ավելանան՝ հաշվի առնելով «Զվարթնոց» օդանավակայանի ընդլայնման հավակնոտ ծրագիրը: Մինչ ընդլայնման ծրագիրը, «ԱՄՕ» ՓԲԸ-ի ռիսկը զգալիորեն բարելավվել էր, սակայն այժմ այս ՊՄԳ-ի հարկաբյուջետային ռիսկի կարգավիճակը իջեցվել է մինչև «Էական»:</w:t>
      </w:r>
    </w:p>
    <w:p w14:paraId="75F45682" w14:textId="77777777" w:rsidR="0078250D" w:rsidRPr="0078250D" w:rsidRDefault="0078250D" w:rsidP="0078250D">
      <w:pPr>
        <w:tabs>
          <w:tab w:val="left" w:pos="0"/>
        </w:tabs>
        <w:rPr>
          <w:b w:val="0"/>
          <w:bCs/>
          <w:lang w:val="hy-AM"/>
        </w:rPr>
      </w:pPr>
    </w:p>
    <w:p w14:paraId="39A7AF04" w14:textId="77777777" w:rsidR="0078250D" w:rsidRPr="005A7BCD" w:rsidRDefault="0078250D" w:rsidP="0078250D">
      <w:pPr>
        <w:tabs>
          <w:tab w:val="left" w:pos="0"/>
        </w:tabs>
        <w:rPr>
          <w:lang w:val="hy-AM"/>
        </w:rPr>
      </w:pPr>
      <w:r w:rsidRPr="005A7BCD">
        <w:rPr>
          <w:lang w:val="hy-AM"/>
        </w:rPr>
        <w:t>«Քոնթուր Գլոբալ հիդրո կասկադ» ՓԲԸ</w:t>
      </w:r>
    </w:p>
    <w:p w14:paraId="70F1F49B" w14:textId="77777777" w:rsidR="0078250D" w:rsidRPr="0078250D" w:rsidRDefault="0078250D" w:rsidP="0078250D">
      <w:pPr>
        <w:tabs>
          <w:tab w:val="left" w:pos="0"/>
        </w:tabs>
        <w:rPr>
          <w:b w:val="0"/>
          <w:bCs/>
          <w:lang w:val="hy-AM"/>
        </w:rPr>
      </w:pPr>
      <w:r w:rsidRPr="0078250D">
        <w:rPr>
          <w:b w:val="0"/>
          <w:bCs/>
          <w:lang w:val="hy-AM"/>
        </w:rPr>
        <w:t>Ընկերությունը հանդիսանում է հիդրոէլեկտրաէներգիայի արտադրության առանցքային համալիր, նախկինում պետական մասնակցությամբ ընկերություն էր, որը մասնավորեցման արդյունքում վաճառվել է էլեկտրաէներգիայի արտադրությամբ զբաղվող «Քոնթուր Գլոբալ» խոշոր միջազգային խմբին: Ընկերությունն արտադրված էլեկտրաէներգիան վաճառում է «Հայաստանի էլեկտրական ցանցեր» ՓԲԸ-ին (ՀԷՑ)՝ ՀԾԿՀ կողմից հաստատված սակագներով: ՀԷՑ ընկերությունը պարտավոր է գնել արտադրված ամբողջ էլեկտրաէներգիան, իսկ չգնելու դեպքում՝ վճարել փոխհատուցում, որը մինչ այժմ չի կիրառվել: Ամենախոշոր պայմանական պարտավորությունը՝ պետության կողմից հիմնական միջոցների հետգնման պարտավորությունն է, որի արժեքը 2021թ. ավարտին կազմում է 102.1 մլրդ դրամ, սակայն ակնկալվում է դրա նվազում՝ պայմանավորված խոշոր ներդրումների պլանների բացակայությամբ և փախարժեքային տատանումով պայմանավորված վերագնահատումներով:</w:t>
      </w:r>
    </w:p>
    <w:p w14:paraId="0D41DB71" w14:textId="77777777" w:rsidR="0078250D" w:rsidRPr="0078250D" w:rsidRDefault="0078250D" w:rsidP="0078250D">
      <w:pPr>
        <w:tabs>
          <w:tab w:val="left" w:pos="0"/>
        </w:tabs>
        <w:rPr>
          <w:b w:val="0"/>
          <w:bCs/>
          <w:lang w:val="hy-AM"/>
        </w:rPr>
      </w:pPr>
      <w:r w:rsidRPr="0078250D">
        <w:rPr>
          <w:b w:val="0"/>
          <w:bCs/>
          <w:lang w:val="hy-AM"/>
        </w:rPr>
        <w:t>Նշենք նաև, որ ընկերությունը ներկայում մարում է Վերականգնման վարկերի</w:t>
      </w:r>
      <w:r w:rsidRPr="0078250D">
        <w:rPr>
          <w:rFonts w:ascii="Calibri" w:hAnsi="Calibri" w:cs="Calibri"/>
          <w:b w:val="0"/>
          <w:bCs/>
          <w:lang w:val="hy-AM"/>
        </w:rPr>
        <w:t> </w:t>
      </w:r>
      <w:r w:rsidRPr="0078250D">
        <w:rPr>
          <w:b w:val="0"/>
          <w:bCs/>
          <w:lang w:val="hy-AM"/>
        </w:rPr>
        <w:t>բանկից</w:t>
      </w:r>
      <w:r w:rsidRPr="0078250D">
        <w:rPr>
          <w:rFonts w:ascii="Calibri" w:hAnsi="Calibri" w:cs="Calibri"/>
          <w:b w:val="0"/>
          <w:bCs/>
          <w:lang w:val="hy-AM"/>
        </w:rPr>
        <w:t> </w:t>
      </w:r>
      <w:r w:rsidRPr="0078250D">
        <w:rPr>
          <w:b w:val="0"/>
          <w:bCs/>
          <w:lang w:val="hy-AM"/>
        </w:rPr>
        <w:t xml:space="preserve">(KfW) Եվրոյով ստացված վարկը, ինչպես նաև 3 այլ ՄՖՀ-ներից, այդ թվում՝ Միջազգային ֆինանսական կորպորացիայից, ԱՄՆ դոլարով ստացված վարկեր: Այս առնչության հարկ է նկատել, որ 2020թ. </w:t>
      </w:r>
      <w:r w:rsidRPr="0078250D">
        <w:rPr>
          <w:b w:val="0"/>
          <w:bCs/>
          <w:lang w:val="hy-AM"/>
        </w:rPr>
        <w:lastRenderedPageBreak/>
        <w:t xml:space="preserve">ԱՄՆ դոլարի և Եվրոյի փոխարժեքները դրամի նկատմամբ աճել էին, մինչդեռ 2021թ. և հատկապես 2022թ. դրամը արժևորվել է և կայուն պահպանում է այդ բարձր մակարդակը։ </w:t>
      </w:r>
    </w:p>
    <w:p w14:paraId="328C3EB7" w14:textId="77777777" w:rsidR="0078250D" w:rsidRPr="0078250D" w:rsidRDefault="0078250D" w:rsidP="0078250D">
      <w:pPr>
        <w:tabs>
          <w:tab w:val="left" w:pos="0"/>
        </w:tabs>
        <w:rPr>
          <w:b w:val="0"/>
          <w:bCs/>
          <w:lang w:val="hy-AM"/>
        </w:rPr>
      </w:pPr>
      <w:r w:rsidRPr="0078250D">
        <w:rPr>
          <w:b w:val="0"/>
          <w:bCs/>
          <w:lang w:val="hy-AM"/>
        </w:rPr>
        <w:t xml:space="preserve">2019թ. ընկերության գործունեությունը եղել է շահութաբեր, 2020թ. COVID-19 համավարակի հետևանքով տնտեսական ակտիվության կտրուկ նվազման հետ մեկտեղ, ընկերությունն արձանագրել է հասույթի մոտ 25 տոկոս կրճատում, ինչը խիստ ազդեցություն է ունեցել ընկերության գործունեության՝ առանց արտադրված ամբողջ էլեկտրաէներգիան գնելու կամ փոխհատուցում վճարելու պարտավորությունն ակտիվացնելու: Դրան ավելացան նաև արտարժույթի փոխարժեքի հետ կապված վնասները՝ ԱՄՆ դոլարի և Եվրոյի նկատմամբ արժեզրկման հետևանքով, ինչը հանգեցրեց պարտքի սպասարկման առավել մեծ ծախսերի: Արդյունքում, 2020թ. ընկերությունն արձանագրել է սեփական կապիտալի բացասական մակարդակ՝ չնայած բաժնետերերի կողմից հավելյալ սեփական կապիտալի ներարկմանը: Ընկերությունը շարունակում է սպասարկել իր վարկերը՝ շնորհիվ բաժնետերերի հավելյալ աջակցության, որոնք տրամադրել են ավելի քան 10 մլրդ դրամ ծավալով արտակարգ աջակցության վարկ (համարժեք է ընկերության 2020թ. հասույթին): 2021 ընթացքում բաժնետերերի կողմից նորից կատարվել է սեփական կապիտալի ավելացում։ </w:t>
      </w:r>
    </w:p>
    <w:p w14:paraId="494EC2F4" w14:textId="77777777" w:rsidR="0078250D" w:rsidRPr="0078250D" w:rsidRDefault="0078250D" w:rsidP="0078250D">
      <w:pPr>
        <w:tabs>
          <w:tab w:val="left" w:pos="0"/>
        </w:tabs>
        <w:rPr>
          <w:b w:val="0"/>
          <w:bCs/>
          <w:lang w:val="hy-AM"/>
        </w:rPr>
      </w:pPr>
      <w:r w:rsidRPr="0078250D">
        <w:rPr>
          <w:b w:val="0"/>
          <w:bCs/>
          <w:lang w:val="hy-AM"/>
        </w:rPr>
        <w:t>Հասույթի գեներացումը բարելավվել է 2021 թվականին, գերազանցելով 2019 մակարդակը և ապահովելով էականորեն ավելի բարձր շահույթ, դրական միտումը շարունակվել է 2022թ</w:t>
      </w:r>
      <w:r w:rsidRPr="0078250D">
        <w:rPr>
          <w:rFonts w:ascii="Cambria Math" w:hAnsi="Cambria Math"/>
          <w:b w:val="0"/>
          <w:bCs/>
          <w:lang w:val="hy-AM"/>
        </w:rPr>
        <w:t>․-</w:t>
      </w:r>
      <w:r w:rsidRPr="0078250D">
        <w:rPr>
          <w:rFonts w:cs="GHEA Grapalat"/>
          <w:b w:val="0"/>
          <w:bCs/>
          <w:lang w:val="hy-AM"/>
        </w:rPr>
        <w:t>ին,</w:t>
      </w:r>
      <w:r w:rsidRPr="0078250D">
        <w:rPr>
          <w:b w:val="0"/>
          <w:bCs/>
          <w:lang w:val="hy-AM"/>
        </w:rPr>
        <w:t xml:space="preserve"> </w:t>
      </w:r>
      <w:r w:rsidRPr="0078250D">
        <w:rPr>
          <w:rFonts w:cs="GHEA Grapalat"/>
          <w:b w:val="0"/>
          <w:bCs/>
          <w:lang w:val="hy-AM"/>
        </w:rPr>
        <w:t>երբ</w:t>
      </w:r>
      <w:r w:rsidRPr="0078250D">
        <w:rPr>
          <w:b w:val="0"/>
          <w:bCs/>
          <w:lang w:val="hy-AM"/>
        </w:rPr>
        <w:t xml:space="preserve"> </w:t>
      </w:r>
      <w:r w:rsidRPr="0078250D">
        <w:rPr>
          <w:rFonts w:cs="GHEA Grapalat"/>
          <w:b w:val="0"/>
          <w:bCs/>
          <w:lang w:val="hy-AM"/>
        </w:rPr>
        <w:t>ընկերությունները</w:t>
      </w:r>
      <w:r w:rsidRPr="0078250D">
        <w:rPr>
          <w:b w:val="0"/>
          <w:bCs/>
          <w:lang w:val="hy-AM"/>
        </w:rPr>
        <w:t xml:space="preserve"> </w:t>
      </w:r>
      <w:r w:rsidRPr="0078250D">
        <w:rPr>
          <w:rFonts w:cs="GHEA Grapalat"/>
          <w:b w:val="0"/>
          <w:bCs/>
          <w:lang w:val="hy-AM"/>
        </w:rPr>
        <w:t>արձա</w:t>
      </w:r>
      <w:r w:rsidRPr="0078250D">
        <w:rPr>
          <w:b w:val="0"/>
          <w:bCs/>
          <w:lang w:val="hy-AM"/>
        </w:rPr>
        <w:t xml:space="preserve">նագրել է 2019 թվականի շահույթը գերազանցող մակարդակ։ </w:t>
      </w:r>
    </w:p>
    <w:p w14:paraId="6D99E7A0" w14:textId="77777777" w:rsidR="0078250D" w:rsidRPr="0078250D" w:rsidRDefault="0078250D" w:rsidP="0078250D">
      <w:pPr>
        <w:tabs>
          <w:tab w:val="left" w:pos="0"/>
        </w:tabs>
        <w:rPr>
          <w:b w:val="0"/>
          <w:bCs/>
          <w:lang w:val="hy-AM"/>
        </w:rPr>
      </w:pPr>
      <w:r w:rsidRPr="0078250D">
        <w:rPr>
          <w:b w:val="0"/>
          <w:bCs/>
          <w:lang w:val="hy-AM"/>
        </w:rPr>
        <w:t>Մայր կազմակերպության կողմից աջակցությունը առկա էր նաև 2022 թվականին, սեփական կապիտալի մոտ 2 մլրդ դրամի չափով ներարկումով, որը մասամբ փոխհատուցել էր բաժնետերերի վարկի ավելի մեծ մարումները:</w:t>
      </w:r>
    </w:p>
    <w:p w14:paraId="4457CEEC" w14:textId="77777777" w:rsidR="0078250D" w:rsidRPr="0078250D" w:rsidRDefault="0078250D" w:rsidP="0078250D">
      <w:pPr>
        <w:tabs>
          <w:tab w:val="left" w:pos="0"/>
        </w:tabs>
        <w:rPr>
          <w:b w:val="0"/>
          <w:bCs/>
          <w:lang w:val="hy-AM"/>
        </w:rPr>
      </w:pPr>
      <w:r w:rsidRPr="0078250D">
        <w:rPr>
          <w:b w:val="0"/>
          <w:bCs/>
          <w:lang w:val="hy-AM"/>
        </w:rPr>
        <w:t xml:space="preserve">Ֆիսկալ ռիսկի կարգավիճակը շարունակում է մնալ  «էական»՝ հաշվի առնելով ընկերության ֆինանսական վիճակը և այն փաստը, որ ընկերությանը չեն բավարարում հաստատված սակագները: Սակայն շահույթի մակարդակի վերականգնումը և այն փաստը, որ բաժնետերերը հանդիսացել են և շարունակում են հանդիսանալ շահութաբեր ընկերությունների խումբ, որը աջակցել է ընկերությանը առանձնահատուկ դժվար 2020թ. ընթացքում և ներկայում շարունակում է իր աջակցությունը, հարկաբյուջետային ռիսկի կարգավիճակը փոխվել էր միջինի։ Միաժամանակ անորոշության մեկ այլ գործոն է մայր ընկերության ձեռքբերումը KKR խմբի կողմից, ինչի արդյունքում կարող է փոխվել Խմբի և որոշակի երկրներում դրա ներդրումների մասով քաղաքականությունը: Այս ձեռքբերման արդյունքում խմբի վարկային բեռն ավելացել է և Ֆիտչի կողմից խմբի վարկանիշը դասակարգվել է որպես «բացասական դիտարկում»։ </w:t>
      </w:r>
    </w:p>
    <w:p w14:paraId="77AA1FDA" w14:textId="77777777" w:rsidR="0078250D" w:rsidRPr="0078250D" w:rsidRDefault="0078250D" w:rsidP="0078250D">
      <w:pPr>
        <w:tabs>
          <w:tab w:val="left" w:pos="0"/>
        </w:tabs>
        <w:rPr>
          <w:b w:val="0"/>
          <w:bCs/>
          <w:lang w:val="hy-AM"/>
        </w:rPr>
      </w:pPr>
    </w:p>
    <w:p w14:paraId="5494F285" w14:textId="77777777" w:rsidR="0078250D" w:rsidRPr="005A7BCD" w:rsidRDefault="0078250D" w:rsidP="0078250D">
      <w:pPr>
        <w:tabs>
          <w:tab w:val="left" w:pos="0"/>
        </w:tabs>
        <w:rPr>
          <w:lang w:val="hy-AM"/>
        </w:rPr>
      </w:pPr>
      <w:r w:rsidRPr="005A7BCD">
        <w:rPr>
          <w:lang w:val="hy-AM"/>
        </w:rPr>
        <w:t xml:space="preserve"> «Արմփաուեր» ՓԲԸ (Երևանի նոր ՋԷԿ)</w:t>
      </w:r>
    </w:p>
    <w:p w14:paraId="7128A9C3" w14:textId="77777777" w:rsidR="0078250D" w:rsidRPr="0078250D" w:rsidRDefault="0078250D" w:rsidP="0078250D">
      <w:pPr>
        <w:tabs>
          <w:tab w:val="left" w:pos="0"/>
        </w:tabs>
        <w:rPr>
          <w:b w:val="0"/>
          <w:bCs/>
          <w:lang w:val="hy-AM"/>
        </w:rPr>
      </w:pPr>
      <w:r w:rsidRPr="0078250D">
        <w:rPr>
          <w:b w:val="0"/>
          <w:bCs/>
          <w:lang w:val="hy-AM"/>
        </w:rPr>
        <w:t xml:space="preserve">Ընկերությունը Երևան քաղաքում կառուցել և հանձնել է շահագործման ջերմային էլեկտրակայան, հանդիսանում է աշխարհում էլեկտրաէներգիայի արտադրության խոշոր գործունեություն իրականացնող իտալական Ռենկո էներգետիկական խմբի և գերմանական Սիմենս խմբի դուստր ընկերություն: Ծրագրի գնահատված արժեքը կազմել է 257.575 մլն ԱՄՆ դոլար, ինչը նվազեցնում է նախկինում հաշվարկված պայմանական պարտավորության ծավալը: Կոնցեսիայի ժամկետը կազմում է 20 տարի՝ սկսած առևտրային շահագործման մեկնարկից: Կայանը շահագործման է հանձնվել 2021թ. դեկտեմբերի 11-ին, 2022 թվականի ապրիլին կայանի շահագործումը </w:t>
      </w:r>
      <w:r w:rsidRPr="0078250D">
        <w:rPr>
          <w:b w:val="0"/>
          <w:bCs/>
          <w:lang w:val="hy-AM"/>
        </w:rPr>
        <w:lastRenderedPageBreak/>
        <w:t xml:space="preserve">խափանվել է շոգետուրբինի վնասման պատճառով, որը շտկվել է EPC կապալառուի կողմից 2022 թվականի օգոստոսին, և կայանը վերագործարկվել է 2022 թվականի սեպտեմբերի 10-ին։ Այսպիսով, կայանը չի աշխատել ամբողջ հզորությամբ 2022 թվականին։ </w:t>
      </w:r>
    </w:p>
    <w:p w14:paraId="400588B0" w14:textId="77777777" w:rsidR="0078250D" w:rsidRPr="0078250D" w:rsidRDefault="0078250D" w:rsidP="0078250D">
      <w:pPr>
        <w:tabs>
          <w:tab w:val="left" w:pos="0"/>
        </w:tabs>
        <w:rPr>
          <w:b w:val="0"/>
          <w:bCs/>
          <w:lang w:val="hy-AM"/>
        </w:rPr>
      </w:pPr>
      <w:r w:rsidRPr="0078250D">
        <w:rPr>
          <w:b w:val="0"/>
          <w:bCs/>
          <w:lang w:val="hy-AM"/>
        </w:rPr>
        <w:t>Հիմնական պայմանական պարտավորությունը ՀՀ կառավարության կողմից պարտավորությունների չկատարման հետևանքով պայմանագրի վաղաժամ դադարեցման դեպքում կայանի հետգնման պարտավորությունն է (նյութականացման դեպքերն են՝ օտարումը, բռնագրավումը, զավթումը, ՀՀ կառավարությանն առնչվող անվճարունակության դեպքի տեղի ունենալը, պայմանագրի շրջանակներում պետության կողմից տրված հավաստիացումների և երաշխիքների էական խախտումը, ծրագրի կառուցման կամ շահագործման՝ Կառուցապատողի կարողության վրա էականորեն և անբարենպաստ կերպով ազդող օրենսդրական փոփոխությունը): Շահագործման առաջին տարվանից հետո, որը դեռևս չի լրացել, պայմանական պարտավորության գումարին կավելանա 15 տոկոս հավելավճար՝ ի հավելումն ներդրման գումարի, իսկ այնուհետև գումարը կնվազի տարեկան 4 տոկոսով: Քանի որ կայանը ստիպված էր վերագործարկվել շահագործման մեջ մտնելուց անմիջապես հետո, հավելավճարը կիրառելի կլինի միայն 2023 թվականի սեպտեմբերին։ Վերագործարկման համար պահանջվել էր լրացուցիչ 3,2 մլն ԱՄՆ դոլար, որը ֆինանսավորվել է սեփական կապիտալի համալրման հաշվին։ Հիմնական միջոցների մնացորդը այժմ կազմում է 250</w:t>
      </w:r>
      <w:r w:rsidRPr="0078250D">
        <w:rPr>
          <w:rFonts w:ascii="Cambria Math" w:hAnsi="Cambria Math"/>
          <w:b w:val="0"/>
          <w:bCs/>
          <w:lang w:val="hy-AM"/>
        </w:rPr>
        <w:t>․</w:t>
      </w:r>
      <w:r w:rsidRPr="0078250D">
        <w:rPr>
          <w:b w:val="0"/>
          <w:bCs/>
          <w:lang w:val="hy-AM"/>
        </w:rPr>
        <w:t>2 մլն ԱՄՆ դոլար՝ մաշվածության նվազեցումից հետո հետո:</w:t>
      </w:r>
    </w:p>
    <w:p w14:paraId="2F59A2AD" w14:textId="77777777" w:rsidR="0078250D" w:rsidRPr="0078250D" w:rsidRDefault="0078250D" w:rsidP="0078250D">
      <w:pPr>
        <w:tabs>
          <w:tab w:val="left" w:pos="0"/>
        </w:tabs>
        <w:rPr>
          <w:b w:val="0"/>
          <w:bCs/>
          <w:lang w:val="hy-AM"/>
        </w:rPr>
      </w:pPr>
      <w:r w:rsidRPr="0078250D">
        <w:rPr>
          <w:b w:val="0"/>
          <w:bCs/>
          <w:lang w:val="hy-AM"/>
        </w:rPr>
        <w:t>Առկա է նաև պետության կողմից երաշխավորված՝ ՀԷՑ ընկերության պարտավորություն՝ արտադրված ամբողջ էլեկտրաէներգիան գնելու, իսկ չգնելու դեպքում՝ վճարել փոխհատուցում, սակայն այդ պայմանական պարտավորությունը դեռևս շարունակում է հանդիսանալ քիչ հավանական, քանի որ կայանն աշխատում է սահուն կերպով 2022 թվականի ապրիլյան խափանիմից հետո:</w:t>
      </w:r>
    </w:p>
    <w:p w14:paraId="1CC29F6A" w14:textId="77777777" w:rsidR="0078250D" w:rsidRPr="0078250D" w:rsidRDefault="0078250D" w:rsidP="0078250D">
      <w:pPr>
        <w:tabs>
          <w:tab w:val="left" w:pos="0"/>
        </w:tabs>
        <w:rPr>
          <w:b w:val="0"/>
          <w:bCs/>
          <w:lang w:val="hy-AM"/>
        </w:rPr>
      </w:pPr>
      <w:r w:rsidRPr="0078250D">
        <w:rPr>
          <w:b w:val="0"/>
          <w:bCs/>
          <w:lang w:val="hy-AM"/>
        </w:rPr>
        <w:t>Հաշվի առնելով կայանի հաջող շահագործման հանձնումը՝ չնայած կորոնավիրուսային համավարակի հետևանքով առաջացած ուշացումներին, ծրագրի հարկաբյուջետային ռիսկի կարգավիճակը կարող էր փոփոխվել ցածրի, սակայն ռուս-ուկրաինական նոր ճգնաժամի անորոշություններով և 2022 թվականի Ադրբեջական ագրեսիայով պայմանավորված ծրագրի հարկաբյուջետային ռիսկի կարգավիճակը պահպանվում է միջին մակարդակում:</w:t>
      </w:r>
    </w:p>
    <w:p w14:paraId="716A73CE" w14:textId="77777777" w:rsidR="0078250D" w:rsidRPr="0078250D" w:rsidRDefault="0078250D" w:rsidP="0078250D">
      <w:pPr>
        <w:tabs>
          <w:tab w:val="left" w:pos="0"/>
        </w:tabs>
        <w:rPr>
          <w:b w:val="0"/>
          <w:bCs/>
          <w:lang w:val="hy-AM"/>
        </w:rPr>
      </w:pPr>
    </w:p>
    <w:p w14:paraId="1BE99EEC" w14:textId="77777777" w:rsidR="0078250D" w:rsidRPr="005A7BCD" w:rsidRDefault="0078250D" w:rsidP="0078250D">
      <w:pPr>
        <w:tabs>
          <w:tab w:val="left" w:pos="0"/>
        </w:tabs>
        <w:rPr>
          <w:lang w:val="hy-AM"/>
        </w:rPr>
      </w:pPr>
      <w:r w:rsidRPr="005A7BCD">
        <w:rPr>
          <w:lang w:val="hy-AM"/>
        </w:rPr>
        <w:t xml:space="preserve"> «Մասրիկ-1» արևային ֆոտովոլտային կայան </w:t>
      </w:r>
    </w:p>
    <w:p w14:paraId="6C828B97" w14:textId="77777777" w:rsidR="0078250D" w:rsidRPr="0078250D" w:rsidRDefault="0078250D" w:rsidP="0078250D">
      <w:pPr>
        <w:tabs>
          <w:tab w:val="left" w:pos="0"/>
        </w:tabs>
        <w:rPr>
          <w:b w:val="0"/>
          <w:bCs/>
          <w:lang w:val="hy-AM"/>
        </w:rPr>
      </w:pPr>
      <w:r w:rsidRPr="0078250D">
        <w:rPr>
          <w:b w:val="0"/>
          <w:bCs/>
          <w:lang w:val="hy-AM"/>
        </w:rPr>
        <w:t xml:space="preserve">Այս նախագծի շրջանակներում կառուցվում է 55 Մվտ դրվածքային հզորությամբ արևային էլեկտրակայանը: Այն պատկանում է La Providencia և FRV իսպանական մասնագիտացված խմբերին և ֆինանսավորվում է IFC-ի, EBRD-ի և Ֆինլանդիայի ՀՀ կառավարության վարկային միջոցներով: Ծրագրի ընդհանուր արժեքը 50.2 մլն ԱՄՆ դոլար է: Պայմանագրի ֆինանսական կայացումը տեղի է ունեցել 2020թ. հուլիսին, իսկ աշխատանքները նախատեսվում էր ավարտել 2022թ-ին, սակայն 2022 թվականի հուլիսին կնքված լրացուցիչ համաձայնագրով այն հետաձգվել է մինչև 2023 թվականի սեպտեմբեր, քանի որ արձանագրվել էին էական ուշացումներ։ Ներկայումս ծրագրի ծախսերը գնահատվում են 45.5 մլն ԱՄՆ դոլար, սկզբնական գնահատականից ցածր։ </w:t>
      </w:r>
    </w:p>
    <w:p w14:paraId="6732011C" w14:textId="77777777" w:rsidR="0078250D" w:rsidRPr="0078250D" w:rsidRDefault="0078250D" w:rsidP="0078250D">
      <w:pPr>
        <w:tabs>
          <w:tab w:val="left" w:pos="0"/>
        </w:tabs>
        <w:rPr>
          <w:b w:val="0"/>
          <w:bCs/>
          <w:lang w:val="hy-AM"/>
        </w:rPr>
      </w:pPr>
      <w:r w:rsidRPr="0078250D">
        <w:rPr>
          <w:b w:val="0"/>
          <w:bCs/>
          <w:lang w:val="hy-AM"/>
        </w:rPr>
        <w:lastRenderedPageBreak/>
        <w:t>Նախագծի իրականացման արդյունքում շինարարության ավարտից մեկ տարվա ընթացքում առաջանում են մի շարք պայմանական պարտավորություններ, մասնավորապես արտադրվող էլեկտրաէներգիայի համար գնման երաշխիք ՀՀ կառավարության կողմից, և անբարենպաստ իրադարձությունների դիմաց լրացուցիչ հատուցման իրավունք:</w:t>
      </w:r>
    </w:p>
    <w:p w14:paraId="046186B0" w14:textId="77777777" w:rsidR="0078250D" w:rsidRPr="0078250D" w:rsidRDefault="0078250D" w:rsidP="0078250D">
      <w:pPr>
        <w:tabs>
          <w:tab w:val="left" w:pos="0"/>
        </w:tabs>
        <w:rPr>
          <w:b w:val="0"/>
          <w:bCs/>
          <w:lang w:val="hy-AM"/>
        </w:rPr>
      </w:pPr>
      <w:r w:rsidRPr="0078250D">
        <w:rPr>
          <w:b w:val="0"/>
          <w:bCs/>
          <w:lang w:val="hy-AM"/>
        </w:rPr>
        <w:t xml:space="preserve">Նախքան դա և գործարքի ֆինանսական կայացումից հետո հիմնական պայմանական պարտավորությունը վաղաժամ դադարեցումն է՝ ՀՀ կառավարության գործողությունների հետևանքով, տարբեր հիմքերով (ա) ՀՀ կառավարությունը չի կատարում իր կողմից պարտավորություն հանդիսացող որևէ վճար, (բ) որևէ պետական մարմնի կողմից էքսպրոպրիացիայի կամ հարկադիր ձեռքբերման է ենթարկվել ծրագրի տարածքը, կայանը, գ) ՀՀ կառավարությանը վերաբերող անվճարունակության դեպք, դ) Օրենքի փոփոխություն կամ անբարենպաստ պայմանի դեպք, որը վերացված կամ փոփոխված չէ 180 (մեկ հարյուր ութսուն) օրվա ընթացքում և անհնար է դարձնում կայանի կառուցումը կամ շահագործումը: Կառուցապատողի կողմից. ե) ՀՀ կառավարության կողմից Համաձայնագրի ցանկացած այլ էական խախտում, եթե այդ խախտումը չի վերացվել 180 օրվա ընթացքում: </w:t>
      </w:r>
    </w:p>
    <w:p w14:paraId="2C78B68D" w14:textId="77777777" w:rsidR="0078250D" w:rsidRPr="0078250D" w:rsidRDefault="0078250D" w:rsidP="0078250D">
      <w:pPr>
        <w:tabs>
          <w:tab w:val="left" w:pos="0"/>
        </w:tabs>
        <w:rPr>
          <w:b w:val="0"/>
          <w:bCs/>
          <w:lang w:val="hy-AM"/>
        </w:rPr>
      </w:pPr>
      <w:r w:rsidRPr="0078250D">
        <w:rPr>
          <w:b w:val="0"/>
          <w:bCs/>
          <w:lang w:val="hy-AM"/>
        </w:rPr>
        <w:t>Հաշվարկվել է առավելագույնը 19.4 մլրդ ՀՀ դրամի փոխհատուցում, որն շինարարության ավարտից հետո կնվազի՝ պայմանավորված պայմանագրով սահմանված վաղաժամ դադարեցման այլ դրույթի կիրառելիությամբ: Պայմանական պարտավորություններին կարող է ավելացվել ավելի քան 5 մլրդ ՀՀ դրամ՝ անբարենպաստ իրադարձություն հայտարարելու ռիսկի հիմքով, սակայն, հաշվի առնելով դրույթի մեկնաբանությունը, համաձայն որի փոխհատուցումը չի կարող պահանջվել, քանի դեռ շինարարական աշխատանքները չեն ավարտվել, այդ գումարը չի ներառվում: Արտադրված ամբողջ էլեկտրաէներգիան գնելու, կամ փոխհատուցելու հետ կապված պայմանական պարտավորությունը դեռ չի կարող չափվել:</w:t>
      </w:r>
    </w:p>
    <w:p w14:paraId="2E0003EF" w14:textId="77777777" w:rsidR="0078250D" w:rsidRPr="0078250D" w:rsidRDefault="0078250D" w:rsidP="0078250D">
      <w:pPr>
        <w:tabs>
          <w:tab w:val="left" w:pos="0"/>
        </w:tabs>
        <w:rPr>
          <w:b w:val="0"/>
          <w:bCs/>
          <w:lang w:val="hy-AM"/>
        </w:rPr>
      </w:pPr>
      <w:r w:rsidRPr="0078250D">
        <w:rPr>
          <w:b w:val="0"/>
          <w:bCs/>
          <w:lang w:val="hy-AM"/>
        </w:rPr>
        <w:t>Քանի դեռ արևային կայանը չի հանձնվել շահագործման հարկաբյուջետային ռիկսի կարգավիճակը պահպանվում է էական։</w:t>
      </w:r>
    </w:p>
    <w:p w14:paraId="51A3B0F4" w14:textId="77777777" w:rsidR="0078250D" w:rsidRPr="0078250D" w:rsidRDefault="0078250D" w:rsidP="0078250D">
      <w:pPr>
        <w:spacing w:before="0" w:after="160" w:line="259" w:lineRule="auto"/>
        <w:jc w:val="left"/>
        <w:rPr>
          <w:b w:val="0"/>
          <w:bCs/>
          <w:lang w:val="hy-AM"/>
        </w:rPr>
      </w:pPr>
      <w:r w:rsidRPr="0078250D">
        <w:rPr>
          <w:b w:val="0"/>
          <w:bCs/>
          <w:lang w:val="hy-AM"/>
        </w:rPr>
        <w:br w:type="page"/>
      </w:r>
    </w:p>
    <w:p w14:paraId="0FC86546" w14:textId="77777777" w:rsidR="0078250D" w:rsidRPr="005A7BCD" w:rsidRDefault="0078250D" w:rsidP="0078250D">
      <w:pPr>
        <w:jc w:val="center"/>
        <w:rPr>
          <w:lang w:val="hy-AM"/>
        </w:rPr>
      </w:pPr>
      <w:r w:rsidRPr="005A7BCD">
        <w:rPr>
          <w:lang w:val="hy-AM"/>
        </w:rPr>
        <w:lastRenderedPageBreak/>
        <w:t>2022թ. դեկտեմբերի դրությամբ ՊՄԳ ծրագրերի գծով պայմանական պարտավորությունների ամփոփ աղյուսակ</w:t>
      </w:r>
    </w:p>
    <w:p w14:paraId="15E1DFBC" w14:textId="111C791D" w:rsidR="0078250D" w:rsidRPr="0078250D" w:rsidRDefault="0078250D" w:rsidP="0078250D">
      <w:pPr>
        <w:spacing w:before="60" w:after="40" w:line="360" w:lineRule="auto"/>
        <w:rPr>
          <w:rFonts w:eastAsia="Calibri" w:cs="Sylfaen"/>
          <w:b w:val="0"/>
          <w:bCs/>
          <w:lang w:val="hy-AM"/>
        </w:rPr>
      </w:pPr>
      <w:r w:rsidRPr="005A7BCD">
        <w:rPr>
          <w:rFonts w:eastAsia="Calibri" w:cs="Sylfaen"/>
          <w:lang w:val="hy-AM"/>
        </w:rPr>
        <w:t>Աղյուսակ 5.8</w:t>
      </w:r>
      <w:r w:rsidRPr="0078250D">
        <w:rPr>
          <w:rFonts w:eastAsia="Calibri" w:cs="Sylfaen"/>
          <w:b w:val="0"/>
          <w:bCs/>
          <w:lang w:val="hy-AM"/>
        </w:rPr>
        <w:t xml:space="preserve"> Պայմանական պարտավորությունների ամփոփ հաշվարկ</w:t>
      </w:r>
      <w:r w:rsidR="005A7BCD">
        <w:rPr>
          <w:rFonts w:eastAsia="Calibri" w:cs="Sylfaen"/>
          <w:b w:val="0"/>
          <w:bCs/>
          <w:lang w:val="hy-AM"/>
        </w:rPr>
        <w:t xml:space="preserve">, </w:t>
      </w:r>
      <w:r w:rsidR="005A7BCD" w:rsidRPr="0078250D">
        <w:rPr>
          <w:rFonts w:eastAsia="Calibri"/>
          <w:b w:val="0"/>
          <w:bCs/>
          <w:i/>
          <w:iCs/>
          <w:sz w:val="19"/>
          <w:szCs w:val="19"/>
          <w:lang w:val="hy-AM"/>
        </w:rPr>
        <w:t>մլրդ դրամ</w:t>
      </w:r>
    </w:p>
    <w:p w14:paraId="1550F6B5" w14:textId="34D95052" w:rsidR="0078250D" w:rsidRPr="0078250D" w:rsidRDefault="0078250D" w:rsidP="0078250D">
      <w:pPr>
        <w:keepNext/>
        <w:spacing w:line="240" w:lineRule="auto"/>
        <w:jc w:val="right"/>
        <w:rPr>
          <w:rFonts w:eastAsia="Calibri"/>
          <w:b w:val="0"/>
          <w:bCs/>
          <w:i/>
          <w:iCs/>
          <w:sz w:val="19"/>
          <w:szCs w:val="19"/>
          <w:lang w:val="hy-AM"/>
        </w:rPr>
      </w:pPr>
    </w:p>
    <w:tbl>
      <w:tblPr>
        <w:tblStyle w:val="TableContemporary1"/>
        <w:tblW w:w="0" w:type="auto"/>
        <w:tblLook w:val="04A0" w:firstRow="1" w:lastRow="0" w:firstColumn="1" w:lastColumn="0" w:noHBand="0" w:noVBand="1"/>
      </w:tblPr>
      <w:tblGrid>
        <w:gridCol w:w="3186"/>
        <w:gridCol w:w="1575"/>
        <w:gridCol w:w="1942"/>
        <w:gridCol w:w="1786"/>
        <w:gridCol w:w="1268"/>
      </w:tblGrid>
      <w:tr w:rsidR="0078250D" w:rsidRPr="0078250D" w14:paraId="51F48A73" w14:textId="77777777" w:rsidTr="000F26BC">
        <w:trPr>
          <w:cnfStyle w:val="100000000000" w:firstRow="1" w:lastRow="0" w:firstColumn="0" w:lastColumn="0" w:oddVBand="0" w:evenVBand="0" w:oddHBand="0" w:evenHBand="0" w:firstRowFirstColumn="0" w:firstRowLastColumn="0" w:lastRowFirstColumn="0" w:lastRowLastColumn="0"/>
          <w:trHeight w:val="310"/>
        </w:trPr>
        <w:tc>
          <w:tcPr>
            <w:tcW w:w="3258" w:type="dxa"/>
            <w:tcBorders>
              <w:top w:val="nil"/>
              <w:bottom w:val="single" w:sz="4" w:space="0" w:color="auto"/>
            </w:tcBorders>
            <w:shd w:val="clear" w:color="auto" w:fill="auto"/>
            <w:vAlign w:val="center"/>
          </w:tcPr>
          <w:p w14:paraId="5E153533" w14:textId="77777777" w:rsidR="0078250D" w:rsidRPr="005A7BCD" w:rsidRDefault="0078250D" w:rsidP="000F26BC">
            <w:pPr>
              <w:jc w:val="center"/>
              <w:rPr>
                <w:sz w:val="20"/>
                <w:szCs w:val="20"/>
                <w:lang w:val="hy-AM"/>
              </w:rPr>
            </w:pPr>
            <w:r w:rsidRPr="005A7BCD">
              <w:rPr>
                <w:sz w:val="20"/>
                <w:szCs w:val="20"/>
                <w:lang w:val="hy-AM"/>
              </w:rPr>
              <w:t>Ծրագրի անվանում</w:t>
            </w:r>
          </w:p>
        </w:tc>
        <w:tc>
          <w:tcPr>
            <w:tcW w:w="1645" w:type="dxa"/>
            <w:tcBorders>
              <w:top w:val="nil"/>
              <w:bottom w:val="single" w:sz="4" w:space="0" w:color="auto"/>
            </w:tcBorders>
            <w:shd w:val="clear" w:color="auto" w:fill="auto"/>
            <w:vAlign w:val="center"/>
          </w:tcPr>
          <w:p w14:paraId="6EA6CF40" w14:textId="77777777" w:rsidR="0078250D" w:rsidRPr="005A7BCD" w:rsidRDefault="0078250D" w:rsidP="000F26BC">
            <w:pPr>
              <w:jc w:val="center"/>
              <w:rPr>
                <w:sz w:val="20"/>
                <w:szCs w:val="20"/>
                <w:lang w:val="hy-AM"/>
              </w:rPr>
            </w:pPr>
            <w:r w:rsidRPr="005A7BCD">
              <w:rPr>
                <w:sz w:val="20"/>
                <w:szCs w:val="20"/>
                <w:lang w:val="hy-AM"/>
              </w:rPr>
              <w:t>Այլ</w:t>
            </w:r>
            <w:r w:rsidRPr="005A7BCD">
              <w:rPr>
                <w:sz w:val="20"/>
                <w:szCs w:val="20"/>
              </w:rPr>
              <w:t xml:space="preserve"> </w:t>
            </w:r>
            <w:r w:rsidRPr="005A7BCD">
              <w:rPr>
                <w:sz w:val="20"/>
                <w:szCs w:val="20"/>
                <w:lang w:val="hy-AM"/>
              </w:rPr>
              <w:t>ՊՊ</w:t>
            </w:r>
          </w:p>
        </w:tc>
        <w:tc>
          <w:tcPr>
            <w:tcW w:w="1981" w:type="dxa"/>
            <w:tcBorders>
              <w:top w:val="nil"/>
              <w:bottom w:val="single" w:sz="4" w:space="0" w:color="auto"/>
            </w:tcBorders>
            <w:shd w:val="clear" w:color="auto" w:fill="auto"/>
            <w:vAlign w:val="center"/>
          </w:tcPr>
          <w:p w14:paraId="1069AF68" w14:textId="77777777" w:rsidR="0078250D" w:rsidRPr="005A7BCD" w:rsidRDefault="0078250D" w:rsidP="000F26BC">
            <w:pPr>
              <w:jc w:val="center"/>
              <w:rPr>
                <w:sz w:val="20"/>
                <w:szCs w:val="20"/>
                <w:lang w:val="hy-AM"/>
              </w:rPr>
            </w:pPr>
            <w:r w:rsidRPr="005A7BCD">
              <w:rPr>
                <w:sz w:val="20"/>
                <w:szCs w:val="20"/>
                <w:lang w:val="hy-AM"/>
              </w:rPr>
              <w:t>Վաղաժամ դադարեցում</w:t>
            </w:r>
          </w:p>
        </w:tc>
        <w:tc>
          <w:tcPr>
            <w:tcW w:w="1825" w:type="dxa"/>
            <w:tcBorders>
              <w:top w:val="nil"/>
              <w:bottom w:val="single" w:sz="4" w:space="0" w:color="auto"/>
            </w:tcBorders>
            <w:shd w:val="clear" w:color="auto" w:fill="auto"/>
            <w:vAlign w:val="center"/>
          </w:tcPr>
          <w:p w14:paraId="417AE4A6" w14:textId="77777777" w:rsidR="0078250D" w:rsidRPr="005A7BCD" w:rsidRDefault="0078250D" w:rsidP="000F26BC">
            <w:pPr>
              <w:jc w:val="center"/>
              <w:rPr>
                <w:sz w:val="20"/>
                <w:szCs w:val="20"/>
                <w:lang w:val="hy-AM"/>
              </w:rPr>
            </w:pPr>
            <w:r w:rsidRPr="005A7BCD">
              <w:rPr>
                <w:sz w:val="20"/>
                <w:szCs w:val="20"/>
                <w:lang w:val="hy-AM"/>
              </w:rPr>
              <w:t>Ընդհանուր ՊՊ</w:t>
            </w:r>
          </w:p>
        </w:tc>
        <w:tc>
          <w:tcPr>
            <w:tcW w:w="0" w:type="auto"/>
            <w:tcBorders>
              <w:top w:val="nil"/>
              <w:bottom w:val="single" w:sz="4" w:space="0" w:color="auto"/>
            </w:tcBorders>
            <w:shd w:val="clear" w:color="auto" w:fill="auto"/>
            <w:vAlign w:val="center"/>
          </w:tcPr>
          <w:p w14:paraId="22A2932B" w14:textId="77777777" w:rsidR="0078250D" w:rsidRPr="005A7BCD" w:rsidRDefault="0078250D" w:rsidP="000F26BC">
            <w:pPr>
              <w:jc w:val="center"/>
              <w:rPr>
                <w:sz w:val="20"/>
                <w:szCs w:val="20"/>
                <w:lang w:val="hy-AM"/>
              </w:rPr>
            </w:pPr>
            <w:r w:rsidRPr="005A7BCD">
              <w:rPr>
                <w:sz w:val="20"/>
                <w:szCs w:val="20"/>
                <w:lang w:val="hy-AM"/>
              </w:rPr>
              <w:t>ՀՆԱ նկատմամբ</w:t>
            </w:r>
          </w:p>
        </w:tc>
      </w:tr>
      <w:tr w:rsidR="0078250D" w:rsidRPr="0078250D" w14:paraId="7FBD8349" w14:textId="77777777" w:rsidTr="000F26BC">
        <w:trPr>
          <w:cnfStyle w:val="000000100000" w:firstRow="0" w:lastRow="0" w:firstColumn="0" w:lastColumn="0" w:oddVBand="0" w:evenVBand="0" w:oddHBand="1" w:evenHBand="0" w:firstRowFirstColumn="0" w:firstRowLastColumn="0" w:lastRowFirstColumn="0" w:lastRowLastColumn="0"/>
          <w:trHeight w:val="329"/>
        </w:trPr>
        <w:tc>
          <w:tcPr>
            <w:tcW w:w="3258" w:type="dxa"/>
            <w:tcBorders>
              <w:top w:val="single" w:sz="4" w:space="0" w:color="auto"/>
              <w:bottom w:val="single" w:sz="4" w:space="0" w:color="auto"/>
            </w:tcBorders>
            <w:shd w:val="clear" w:color="auto" w:fill="auto"/>
          </w:tcPr>
          <w:p w14:paraId="2D702F9A" w14:textId="77777777" w:rsidR="0078250D" w:rsidRPr="005A7BCD" w:rsidRDefault="0078250D" w:rsidP="000F26BC">
            <w:pPr>
              <w:spacing w:line="240" w:lineRule="auto"/>
              <w:rPr>
                <w:b w:val="0"/>
                <w:bCs/>
                <w:sz w:val="20"/>
                <w:szCs w:val="20"/>
                <w:lang w:val="hy-AM"/>
              </w:rPr>
            </w:pPr>
            <w:r w:rsidRPr="005A7BCD">
              <w:rPr>
                <w:b w:val="0"/>
                <w:bCs/>
                <w:sz w:val="20"/>
                <w:szCs w:val="20"/>
                <w:lang w:val="hy-AM"/>
              </w:rPr>
              <w:t>«Հարավկովկասյան երկաթուղի» ՓԲԸ</w:t>
            </w:r>
          </w:p>
        </w:tc>
        <w:tc>
          <w:tcPr>
            <w:tcW w:w="1645" w:type="dxa"/>
            <w:tcBorders>
              <w:top w:val="single" w:sz="4" w:space="0" w:color="auto"/>
              <w:bottom w:val="single" w:sz="4" w:space="0" w:color="auto"/>
            </w:tcBorders>
            <w:shd w:val="clear" w:color="auto" w:fill="auto"/>
          </w:tcPr>
          <w:p w14:paraId="43DEE7E9" w14:textId="77777777" w:rsidR="0078250D" w:rsidRPr="005A7BCD" w:rsidRDefault="0078250D" w:rsidP="000F26BC">
            <w:pPr>
              <w:rPr>
                <w:b w:val="0"/>
                <w:bCs/>
                <w:sz w:val="20"/>
                <w:szCs w:val="20"/>
                <w:lang w:val="hy-AM"/>
              </w:rPr>
            </w:pPr>
            <w:r w:rsidRPr="005A7BCD">
              <w:rPr>
                <w:rFonts w:ascii="Calibri" w:hAnsi="Calibri" w:cs="Calibri"/>
                <w:b w:val="0"/>
                <w:bCs/>
                <w:sz w:val="20"/>
                <w:szCs w:val="20"/>
                <w:lang w:val="en-GB"/>
              </w:rPr>
              <w:t> </w:t>
            </w:r>
          </w:p>
        </w:tc>
        <w:tc>
          <w:tcPr>
            <w:tcW w:w="1981" w:type="dxa"/>
            <w:tcBorders>
              <w:top w:val="single" w:sz="4" w:space="0" w:color="auto"/>
              <w:bottom w:val="single" w:sz="4" w:space="0" w:color="auto"/>
            </w:tcBorders>
            <w:shd w:val="clear" w:color="auto" w:fill="auto"/>
          </w:tcPr>
          <w:p w14:paraId="59739BA0" w14:textId="77777777" w:rsidR="0078250D" w:rsidRPr="005A7BCD" w:rsidRDefault="0078250D" w:rsidP="000F26BC">
            <w:pPr>
              <w:rPr>
                <w:b w:val="0"/>
                <w:bCs/>
                <w:sz w:val="20"/>
                <w:szCs w:val="20"/>
                <w:lang w:val="hy-AM"/>
              </w:rPr>
            </w:pPr>
            <w:r w:rsidRPr="005A7BCD">
              <w:rPr>
                <w:rFonts w:cs="Calibri"/>
                <w:b w:val="0"/>
                <w:bCs/>
                <w:sz w:val="20"/>
                <w:szCs w:val="20"/>
                <w:lang w:val="en-GB"/>
              </w:rPr>
              <w:t>10</w:t>
            </w:r>
            <w:r w:rsidRPr="005A7BCD">
              <w:rPr>
                <w:rFonts w:cs="Calibri"/>
                <w:b w:val="0"/>
                <w:bCs/>
                <w:sz w:val="20"/>
                <w:szCs w:val="20"/>
              </w:rPr>
              <w:t>1</w:t>
            </w:r>
            <w:r w:rsidRPr="005A7BCD">
              <w:rPr>
                <w:rFonts w:cs="Calibri"/>
                <w:b w:val="0"/>
                <w:bCs/>
                <w:sz w:val="20"/>
                <w:szCs w:val="20"/>
                <w:lang w:val="en-GB"/>
              </w:rPr>
              <w:t>.</w:t>
            </w:r>
            <w:r w:rsidRPr="005A7BCD">
              <w:rPr>
                <w:rFonts w:cs="Calibri"/>
                <w:b w:val="0"/>
                <w:bCs/>
                <w:sz w:val="20"/>
                <w:szCs w:val="20"/>
              </w:rPr>
              <w:t>1</w:t>
            </w:r>
          </w:p>
        </w:tc>
        <w:tc>
          <w:tcPr>
            <w:tcW w:w="1825" w:type="dxa"/>
            <w:tcBorders>
              <w:top w:val="single" w:sz="4" w:space="0" w:color="auto"/>
              <w:bottom w:val="single" w:sz="4" w:space="0" w:color="auto"/>
            </w:tcBorders>
            <w:shd w:val="clear" w:color="auto" w:fill="auto"/>
          </w:tcPr>
          <w:p w14:paraId="43263BFD" w14:textId="77777777" w:rsidR="0078250D" w:rsidRPr="005A7BCD" w:rsidRDefault="0078250D" w:rsidP="000F26BC">
            <w:pPr>
              <w:rPr>
                <w:b w:val="0"/>
                <w:bCs/>
                <w:sz w:val="20"/>
                <w:szCs w:val="20"/>
              </w:rPr>
            </w:pPr>
            <w:r w:rsidRPr="005A7BCD">
              <w:rPr>
                <w:rFonts w:cs="Calibri"/>
                <w:b w:val="0"/>
                <w:bCs/>
                <w:sz w:val="20"/>
                <w:szCs w:val="20"/>
              </w:rPr>
              <w:t>101.1</w:t>
            </w:r>
          </w:p>
        </w:tc>
        <w:tc>
          <w:tcPr>
            <w:tcW w:w="0" w:type="auto"/>
            <w:tcBorders>
              <w:top w:val="single" w:sz="4" w:space="0" w:color="auto"/>
              <w:bottom w:val="single" w:sz="4" w:space="0" w:color="auto"/>
            </w:tcBorders>
            <w:shd w:val="clear" w:color="auto" w:fill="auto"/>
          </w:tcPr>
          <w:p w14:paraId="2CD84435" w14:textId="77777777" w:rsidR="0078250D" w:rsidRPr="005A7BCD" w:rsidRDefault="0078250D" w:rsidP="000F26BC">
            <w:pPr>
              <w:rPr>
                <w:b w:val="0"/>
                <w:bCs/>
                <w:sz w:val="20"/>
                <w:szCs w:val="20"/>
              </w:rPr>
            </w:pPr>
            <w:r w:rsidRPr="005A7BCD">
              <w:rPr>
                <w:rFonts w:cs="Calibri"/>
                <w:b w:val="0"/>
                <w:bCs/>
                <w:sz w:val="20"/>
                <w:szCs w:val="20"/>
              </w:rPr>
              <w:t>1.19%</w:t>
            </w:r>
          </w:p>
        </w:tc>
      </w:tr>
      <w:tr w:rsidR="0078250D" w:rsidRPr="0078250D" w14:paraId="1A6B5CA2" w14:textId="77777777" w:rsidTr="000F26BC">
        <w:trPr>
          <w:cnfStyle w:val="000000010000" w:firstRow="0" w:lastRow="0" w:firstColumn="0" w:lastColumn="0" w:oddVBand="0" w:evenVBand="0" w:oddHBand="0" w:evenHBand="1" w:firstRowFirstColumn="0" w:firstRowLastColumn="0" w:lastRowFirstColumn="0" w:lastRowLastColumn="0"/>
          <w:trHeight w:val="419"/>
        </w:trPr>
        <w:tc>
          <w:tcPr>
            <w:tcW w:w="3258" w:type="dxa"/>
            <w:tcBorders>
              <w:top w:val="single" w:sz="4" w:space="0" w:color="auto"/>
              <w:bottom w:val="single" w:sz="4" w:space="0" w:color="auto"/>
            </w:tcBorders>
            <w:shd w:val="clear" w:color="auto" w:fill="auto"/>
          </w:tcPr>
          <w:p w14:paraId="24628626" w14:textId="77777777" w:rsidR="0078250D" w:rsidRPr="005A7BCD" w:rsidRDefault="0078250D" w:rsidP="000F26BC">
            <w:pPr>
              <w:spacing w:line="240" w:lineRule="auto"/>
              <w:rPr>
                <w:b w:val="0"/>
                <w:bCs/>
                <w:sz w:val="20"/>
                <w:szCs w:val="20"/>
                <w:lang w:val="hy-AM"/>
              </w:rPr>
            </w:pPr>
            <w:r w:rsidRPr="005A7BCD">
              <w:rPr>
                <w:b w:val="0"/>
                <w:bCs/>
                <w:sz w:val="20"/>
                <w:szCs w:val="20"/>
                <w:lang w:val="hy-AM"/>
              </w:rPr>
              <w:t>«Վեոլիա Ջուր» ՓԲԸ</w:t>
            </w:r>
          </w:p>
        </w:tc>
        <w:tc>
          <w:tcPr>
            <w:tcW w:w="1645" w:type="dxa"/>
            <w:tcBorders>
              <w:top w:val="single" w:sz="4" w:space="0" w:color="auto"/>
              <w:bottom w:val="single" w:sz="4" w:space="0" w:color="auto"/>
            </w:tcBorders>
            <w:shd w:val="clear" w:color="auto" w:fill="auto"/>
          </w:tcPr>
          <w:p w14:paraId="72C138BE" w14:textId="77777777" w:rsidR="0078250D" w:rsidRPr="005A7BCD" w:rsidRDefault="0078250D" w:rsidP="000F26BC">
            <w:pPr>
              <w:rPr>
                <w:b w:val="0"/>
                <w:bCs/>
                <w:sz w:val="20"/>
                <w:szCs w:val="20"/>
                <w:lang w:val="hy-AM"/>
              </w:rPr>
            </w:pPr>
            <w:r w:rsidRPr="005A7BCD">
              <w:rPr>
                <w:rFonts w:cs="Calibri"/>
                <w:b w:val="0"/>
                <w:bCs/>
                <w:sz w:val="20"/>
                <w:szCs w:val="20"/>
                <w:lang w:val="en-GB"/>
              </w:rPr>
              <w:t>13.0</w:t>
            </w:r>
          </w:p>
        </w:tc>
        <w:tc>
          <w:tcPr>
            <w:tcW w:w="1981" w:type="dxa"/>
            <w:tcBorders>
              <w:top w:val="single" w:sz="4" w:space="0" w:color="auto"/>
              <w:bottom w:val="single" w:sz="4" w:space="0" w:color="auto"/>
            </w:tcBorders>
            <w:shd w:val="clear" w:color="auto" w:fill="auto"/>
          </w:tcPr>
          <w:p w14:paraId="79AAC229" w14:textId="77777777" w:rsidR="0078250D" w:rsidRPr="005A7BCD" w:rsidRDefault="0078250D" w:rsidP="000F26BC">
            <w:pPr>
              <w:rPr>
                <w:b w:val="0"/>
                <w:bCs/>
                <w:sz w:val="20"/>
                <w:szCs w:val="20"/>
                <w:lang w:val="hy-AM"/>
              </w:rPr>
            </w:pPr>
            <w:r w:rsidRPr="005A7BCD">
              <w:rPr>
                <w:rFonts w:cs="Calibri"/>
                <w:b w:val="0"/>
                <w:bCs/>
                <w:sz w:val="20"/>
                <w:szCs w:val="20"/>
                <w:lang w:val="en-GB"/>
              </w:rPr>
              <w:t>7</w:t>
            </w:r>
            <w:r w:rsidRPr="005A7BCD">
              <w:rPr>
                <w:rFonts w:cs="Calibri"/>
                <w:b w:val="0"/>
                <w:bCs/>
                <w:sz w:val="20"/>
                <w:szCs w:val="20"/>
              </w:rPr>
              <w:t>0</w:t>
            </w:r>
          </w:p>
        </w:tc>
        <w:tc>
          <w:tcPr>
            <w:tcW w:w="1825" w:type="dxa"/>
            <w:tcBorders>
              <w:top w:val="single" w:sz="4" w:space="0" w:color="auto"/>
              <w:bottom w:val="single" w:sz="4" w:space="0" w:color="auto"/>
            </w:tcBorders>
            <w:shd w:val="clear" w:color="auto" w:fill="auto"/>
          </w:tcPr>
          <w:p w14:paraId="26E7A9E3" w14:textId="77777777" w:rsidR="0078250D" w:rsidRPr="005A7BCD" w:rsidRDefault="0078250D" w:rsidP="000F26BC">
            <w:pPr>
              <w:rPr>
                <w:b w:val="0"/>
                <w:bCs/>
                <w:sz w:val="20"/>
                <w:szCs w:val="20"/>
                <w:lang w:val="hy-AM"/>
              </w:rPr>
            </w:pPr>
            <w:r w:rsidRPr="005A7BCD">
              <w:rPr>
                <w:rFonts w:cs="Calibri"/>
                <w:b w:val="0"/>
                <w:bCs/>
                <w:sz w:val="20"/>
                <w:szCs w:val="20"/>
                <w:lang w:val="en-GB"/>
              </w:rPr>
              <w:t>8</w:t>
            </w:r>
            <w:r w:rsidRPr="005A7BCD">
              <w:rPr>
                <w:rFonts w:cs="Calibri"/>
                <w:b w:val="0"/>
                <w:bCs/>
                <w:sz w:val="20"/>
                <w:szCs w:val="20"/>
              </w:rPr>
              <w:t>3</w:t>
            </w:r>
          </w:p>
        </w:tc>
        <w:tc>
          <w:tcPr>
            <w:tcW w:w="0" w:type="auto"/>
            <w:tcBorders>
              <w:top w:val="single" w:sz="4" w:space="0" w:color="auto"/>
              <w:bottom w:val="single" w:sz="4" w:space="0" w:color="auto"/>
            </w:tcBorders>
            <w:shd w:val="clear" w:color="auto" w:fill="auto"/>
          </w:tcPr>
          <w:p w14:paraId="206D4135" w14:textId="77777777" w:rsidR="0078250D" w:rsidRPr="005A7BCD" w:rsidRDefault="0078250D" w:rsidP="000F26BC">
            <w:pPr>
              <w:rPr>
                <w:b w:val="0"/>
                <w:bCs/>
                <w:sz w:val="20"/>
                <w:szCs w:val="20"/>
              </w:rPr>
            </w:pPr>
            <w:r w:rsidRPr="005A7BCD">
              <w:rPr>
                <w:rFonts w:cs="Calibri"/>
                <w:b w:val="0"/>
                <w:bCs/>
                <w:sz w:val="20"/>
                <w:szCs w:val="20"/>
              </w:rPr>
              <w:t>0.98%</w:t>
            </w:r>
          </w:p>
        </w:tc>
      </w:tr>
      <w:tr w:rsidR="0078250D" w:rsidRPr="0078250D" w14:paraId="29F4DAF6" w14:textId="77777777" w:rsidTr="000F26BC">
        <w:trPr>
          <w:cnfStyle w:val="000000100000" w:firstRow="0" w:lastRow="0" w:firstColumn="0" w:lastColumn="0" w:oddVBand="0" w:evenVBand="0" w:oddHBand="1" w:evenHBand="0" w:firstRowFirstColumn="0" w:firstRowLastColumn="0" w:lastRowFirstColumn="0" w:lastRowLastColumn="0"/>
          <w:trHeight w:val="549"/>
        </w:trPr>
        <w:tc>
          <w:tcPr>
            <w:tcW w:w="3258" w:type="dxa"/>
            <w:tcBorders>
              <w:top w:val="single" w:sz="4" w:space="0" w:color="auto"/>
              <w:bottom w:val="single" w:sz="4" w:space="0" w:color="auto"/>
            </w:tcBorders>
            <w:shd w:val="clear" w:color="auto" w:fill="auto"/>
          </w:tcPr>
          <w:p w14:paraId="23CD662E" w14:textId="77777777" w:rsidR="0078250D" w:rsidRPr="005A7BCD" w:rsidRDefault="0078250D" w:rsidP="000F26BC">
            <w:pPr>
              <w:spacing w:line="240" w:lineRule="auto"/>
              <w:rPr>
                <w:b w:val="0"/>
                <w:bCs/>
                <w:sz w:val="20"/>
                <w:szCs w:val="20"/>
                <w:lang w:val="hy-AM"/>
              </w:rPr>
            </w:pPr>
            <w:r w:rsidRPr="005A7BCD">
              <w:rPr>
                <w:b w:val="0"/>
                <w:bCs/>
                <w:sz w:val="20"/>
                <w:szCs w:val="20"/>
                <w:lang w:val="hy-AM"/>
              </w:rPr>
              <w:t>«Արմենիա միջազգային օդանավակայաններ» ՓԲԸ</w:t>
            </w:r>
          </w:p>
        </w:tc>
        <w:tc>
          <w:tcPr>
            <w:tcW w:w="1645" w:type="dxa"/>
            <w:tcBorders>
              <w:top w:val="single" w:sz="4" w:space="0" w:color="auto"/>
              <w:bottom w:val="single" w:sz="4" w:space="0" w:color="auto"/>
            </w:tcBorders>
            <w:shd w:val="clear" w:color="auto" w:fill="auto"/>
          </w:tcPr>
          <w:p w14:paraId="19D5B673" w14:textId="77777777" w:rsidR="0078250D" w:rsidRPr="005A7BCD" w:rsidRDefault="0078250D" w:rsidP="000F26BC">
            <w:pPr>
              <w:rPr>
                <w:b w:val="0"/>
                <w:bCs/>
                <w:sz w:val="20"/>
                <w:szCs w:val="20"/>
              </w:rPr>
            </w:pPr>
            <w:r w:rsidRPr="005A7BCD">
              <w:rPr>
                <w:rFonts w:cs="Calibri"/>
                <w:b w:val="0"/>
                <w:bCs/>
                <w:sz w:val="20"/>
                <w:szCs w:val="20"/>
              </w:rPr>
              <w:t>16.4</w:t>
            </w:r>
          </w:p>
        </w:tc>
        <w:tc>
          <w:tcPr>
            <w:tcW w:w="1981" w:type="dxa"/>
            <w:tcBorders>
              <w:top w:val="single" w:sz="4" w:space="0" w:color="auto"/>
              <w:bottom w:val="single" w:sz="4" w:space="0" w:color="auto"/>
            </w:tcBorders>
            <w:shd w:val="clear" w:color="auto" w:fill="auto"/>
          </w:tcPr>
          <w:p w14:paraId="36C5150C" w14:textId="77777777" w:rsidR="0078250D" w:rsidRPr="005A7BCD" w:rsidRDefault="0078250D" w:rsidP="000F26BC">
            <w:pPr>
              <w:rPr>
                <w:b w:val="0"/>
                <w:bCs/>
                <w:sz w:val="20"/>
                <w:szCs w:val="20"/>
                <w:lang w:val="hy-AM"/>
              </w:rPr>
            </w:pPr>
            <w:r w:rsidRPr="005A7BCD">
              <w:rPr>
                <w:rFonts w:cs="Sylfaen"/>
                <w:b w:val="0"/>
                <w:bCs/>
                <w:sz w:val="20"/>
                <w:szCs w:val="20"/>
                <w:lang w:val="hy-AM"/>
              </w:rPr>
              <w:t>160</w:t>
            </w:r>
          </w:p>
        </w:tc>
        <w:tc>
          <w:tcPr>
            <w:tcW w:w="1825" w:type="dxa"/>
            <w:tcBorders>
              <w:top w:val="single" w:sz="4" w:space="0" w:color="auto"/>
              <w:bottom w:val="single" w:sz="4" w:space="0" w:color="auto"/>
            </w:tcBorders>
            <w:shd w:val="clear" w:color="auto" w:fill="auto"/>
          </w:tcPr>
          <w:p w14:paraId="41C53AD6" w14:textId="77777777" w:rsidR="0078250D" w:rsidRPr="005A7BCD" w:rsidRDefault="0078250D" w:rsidP="000F26BC">
            <w:pPr>
              <w:rPr>
                <w:b w:val="0"/>
                <w:bCs/>
                <w:sz w:val="20"/>
                <w:szCs w:val="20"/>
                <w:lang w:val="hy-AM"/>
              </w:rPr>
            </w:pPr>
            <w:r w:rsidRPr="005A7BCD">
              <w:rPr>
                <w:rFonts w:cs="Calibri"/>
                <w:b w:val="0"/>
                <w:bCs/>
                <w:sz w:val="20"/>
                <w:szCs w:val="20"/>
                <w:lang w:val="hy-AM"/>
              </w:rPr>
              <w:t>176.4</w:t>
            </w:r>
          </w:p>
        </w:tc>
        <w:tc>
          <w:tcPr>
            <w:tcW w:w="0" w:type="auto"/>
            <w:tcBorders>
              <w:top w:val="single" w:sz="4" w:space="0" w:color="auto"/>
              <w:bottom w:val="single" w:sz="4" w:space="0" w:color="auto"/>
            </w:tcBorders>
            <w:shd w:val="clear" w:color="auto" w:fill="auto"/>
          </w:tcPr>
          <w:p w14:paraId="466EF68A" w14:textId="77777777" w:rsidR="0078250D" w:rsidRPr="005A7BCD" w:rsidRDefault="0078250D" w:rsidP="000F26BC">
            <w:pPr>
              <w:rPr>
                <w:b w:val="0"/>
                <w:bCs/>
                <w:sz w:val="20"/>
                <w:szCs w:val="20"/>
              </w:rPr>
            </w:pPr>
            <w:r w:rsidRPr="005A7BCD">
              <w:rPr>
                <w:rFonts w:cs="Calibri"/>
                <w:b w:val="0"/>
                <w:bCs/>
                <w:sz w:val="20"/>
                <w:szCs w:val="20"/>
                <w:lang w:val="hy-AM"/>
              </w:rPr>
              <w:t>2.1</w:t>
            </w:r>
            <w:r w:rsidRPr="005A7BCD">
              <w:rPr>
                <w:rFonts w:cs="Calibri"/>
                <w:b w:val="0"/>
                <w:bCs/>
                <w:sz w:val="20"/>
                <w:szCs w:val="20"/>
              </w:rPr>
              <w:t>%</w:t>
            </w:r>
          </w:p>
        </w:tc>
      </w:tr>
      <w:tr w:rsidR="0078250D" w:rsidRPr="0078250D" w14:paraId="790A76DB" w14:textId="77777777" w:rsidTr="000F26BC">
        <w:trPr>
          <w:cnfStyle w:val="000000010000" w:firstRow="0" w:lastRow="0" w:firstColumn="0" w:lastColumn="0" w:oddVBand="0" w:evenVBand="0" w:oddHBand="0" w:evenHBand="1" w:firstRowFirstColumn="0" w:firstRowLastColumn="0" w:lastRowFirstColumn="0" w:lastRowLastColumn="0"/>
          <w:trHeight w:val="419"/>
        </w:trPr>
        <w:tc>
          <w:tcPr>
            <w:tcW w:w="3258" w:type="dxa"/>
            <w:tcBorders>
              <w:top w:val="single" w:sz="4" w:space="0" w:color="auto"/>
              <w:bottom w:val="single" w:sz="4" w:space="0" w:color="auto"/>
            </w:tcBorders>
            <w:shd w:val="clear" w:color="auto" w:fill="auto"/>
          </w:tcPr>
          <w:p w14:paraId="3180C624" w14:textId="77777777" w:rsidR="0078250D" w:rsidRPr="005A7BCD" w:rsidRDefault="0078250D" w:rsidP="000F26BC">
            <w:pPr>
              <w:spacing w:line="240" w:lineRule="auto"/>
              <w:rPr>
                <w:b w:val="0"/>
                <w:bCs/>
                <w:sz w:val="20"/>
                <w:szCs w:val="20"/>
                <w:lang w:val="hy-AM"/>
              </w:rPr>
            </w:pPr>
            <w:r w:rsidRPr="005A7BCD">
              <w:rPr>
                <w:b w:val="0"/>
                <w:bCs/>
                <w:sz w:val="20"/>
                <w:szCs w:val="20"/>
                <w:lang w:val="hy-AM"/>
              </w:rPr>
              <w:t>«Քոնթուր Գլոբալ հիդրո կասկադ» ՓԲԸ</w:t>
            </w:r>
          </w:p>
        </w:tc>
        <w:tc>
          <w:tcPr>
            <w:tcW w:w="1645" w:type="dxa"/>
            <w:tcBorders>
              <w:top w:val="single" w:sz="4" w:space="0" w:color="auto"/>
              <w:bottom w:val="single" w:sz="4" w:space="0" w:color="auto"/>
            </w:tcBorders>
            <w:shd w:val="clear" w:color="auto" w:fill="auto"/>
          </w:tcPr>
          <w:p w14:paraId="343E2474" w14:textId="77777777" w:rsidR="0078250D" w:rsidRPr="005A7BCD" w:rsidRDefault="0078250D" w:rsidP="000F26BC">
            <w:pPr>
              <w:rPr>
                <w:b w:val="0"/>
                <w:bCs/>
                <w:sz w:val="20"/>
                <w:szCs w:val="20"/>
                <w:lang w:val="hy-AM"/>
              </w:rPr>
            </w:pPr>
            <w:r w:rsidRPr="005A7BCD">
              <w:rPr>
                <w:rFonts w:ascii="Calibri" w:hAnsi="Calibri" w:cs="Calibri"/>
                <w:b w:val="0"/>
                <w:bCs/>
                <w:sz w:val="20"/>
                <w:szCs w:val="20"/>
                <w:lang w:val="en-GB"/>
              </w:rPr>
              <w:t> </w:t>
            </w:r>
          </w:p>
        </w:tc>
        <w:tc>
          <w:tcPr>
            <w:tcW w:w="1981" w:type="dxa"/>
            <w:tcBorders>
              <w:top w:val="single" w:sz="4" w:space="0" w:color="auto"/>
              <w:bottom w:val="single" w:sz="4" w:space="0" w:color="auto"/>
            </w:tcBorders>
            <w:shd w:val="clear" w:color="auto" w:fill="auto"/>
          </w:tcPr>
          <w:p w14:paraId="4F0933A8" w14:textId="77777777" w:rsidR="0078250D" w:rsidRPr="005A7BCD" w:rsidRDefault="0078250D" w:rsidP="000F26BC">
            <w:pPr>
              <w:rPr>
                <w:b w:val="0"/>
                <w:bCs/>
                <w:sz w:val="20"/>
                <w:szCs w:val="20"/>
                <w:lang w:val="hy-AM"/>
              </w:rPr>
            </w:pPr>
            <w:r w:rsidRPr="005A7BCD">
              <w:rPr>
                <w:rFonts w:cs="Calibri"/>
                <w:b w:val="0"/>
                <w:bCs/>
                <w:sz w:val="20"/>
                <w:szCs w:val="20"/>
                <w:lang w:val="en-GB"/>
              </w:rPr>
              <w:t>10</w:t>
            </w:r>
            <w:r w:rsidRPr="005A7BCD">
              <w:rPr>
                <w:rFonts w:cs="Calibri"/>
                <w:b w:val="0"/>
                <w:bCs/>
                <w:sz w:val="20"/>
                <w:szCs w:val="20"/>
              </w:rPr>
              <w:t>2.1</w:t>
            </w:r>
          </w:p>
        </w:tc>
        <w:tc>
          <w:tcPr>
            <w:tcW w:w="1825" w:type="dxa"/>
            <w:tcBorders>
              <w:top w:val="single" w:sz="4" w:space="0" w:color="auto"/>
              <w:bottom w:val="single" w:sz="4" w:space="0" w:color="auto"/>
            </w:tcBorders>
            <w:shd w:val="clear" w:color="auto" w:fill="auto"/>
          </w:tcPr>
          <w:p w14:paraId="2F0F92BE" w14:textId="77777777" w:rsidR="0078250D" w:rsidRPr="005A7BCD" w:rsidRDefault="0078250D" w:rsidP="000F26BC">
            <w:pPr>
              <w:rPr>
                <w:b w:val="0"/>
                <w:bCs/>
                <w:sz w:val="20"/>
                <w:szCs w:val="20"/>
                <w:lang w:val="hy-AM"/>
              </w:rPr>
            </w:pPr>
            <w:r w:rsidRPr="005A7BCD">
              <w:rPr>
                <w:rFonts w:cs="Calibri"/>
                <w:b w:val="0"/>
                <w:bCs/>
                <w:sz w:val="20"/>
                <w:szCs w:val="20"/>
              </w:rPr>
              <w:t>102.1</w:t>
            </w:r>
          </w:p>
        </w:tc>
        <w:tc>
          <w:tcPr>
            <w:tcW w:w="0" w:type="auto"/>
            <w:tcBorders>
              <w:top w:val="single" w:sz="4" w:space="0" w:color="auto"/>
              <w:bottom w:val="single" w:sz="4" w:space="0" w:color="auto"/>
            </w:tcBorders>
            <w:shd w:val="clear" w:color="auto" w:fill="auto"/>
          </w:tcPr>
          <w:p w14:paraId="037D4D48" w14:textId="77777777" w:rsidR="0078250D" w:rsidRPr="005A7BCD" w:rsidRDefault="0078250D" w:rsidP="000F26BC">
            <w:pPr>
              <w:rPr>
                <w:b w:val="0"/>
                <w:bCs/>
                <w:sz w:val="20"/>
                <w:szCs w:val="20"/>
              </w:rPr>
            </w:pPr>
            <w:r w:rsidRPr="005A7BCD">
              <w:rPr>
                <w:rFonts w:cs="Calibri"/>
                <w:b w:val="0"/>
                <w:bCs/>
                <w:sz w:val="20"/>
                <w:szCs w:val="20"/>
                <w:lang w:val="en-GB"/>
              </w:rPr>
              <w:t>1.</w:t>
            </w:r>
            <w:r w:rsidRPr="005A7BCD">
              <w:rPr>
                <w:rFonts w:cs="Calibri"/>
                <w:b w:val="0"/>
                <w:bCs/>
                <w:sz w:val="20"/>
                <w:szCs w:val="20"/>
              </w:rPr>
              <w:t>20%</w:t>
            </w:r>
          </w:p>
        </w:tc>
      </w:tr>
      <w:tr w:rsidR="0078250D" w:rsidRPr="0078250D" w14:paraId="3045560D" w14:textId="77777777" w:rsidTr="000F26BC">
        <w:trPr>
          <w:cnfStyle w:val="000000100000" w:firstRow="0" w:lastRow="0" w:firstColumn="0" w:lastColumn="0" w:oddVBand="0" w:evenVBand="0" w:oddHBand="1" w:evenHBand="0" w:firstRowFirstColumn="0" w:firstRowLastColumn="0" w:lastRowFirstColumn="0" w:lastRowLastColumn="0"/>
          <w:trHeight w:val="425"/>
        </w:trPr>
        <w:tc>
          <w:tcPr>
            <w:tcW w:w="3258" w:type="dxa"/>
            <w:tcBorders>
              <w:top w:val="single" w:sz="4" w:space="0" w:color="auto"/>
              <w:bottom w:val="single" w:sz="4" w:space="0" w:color="auto"/>
            </w:tcBorders>
            <w:shd w:val="clear" w:color="auto" w:fill="auto"/>
          </w:tcPr>
          <w:p w14:paraId="217E9623" w14:textId="77777777" w:rsidR="0078250D" w:rsidRPr="005A7BCD" w:rsidRDefault="0078250D" w:rsidP="000F26BC">
            <w:pPr>
              <w:spacing w:line="240" w:lineRule="auto"/>
              <w:rPr>
                <w:b w:val="0"/>
                <w:bCs/>
                <w:sz w:val="20"/>
                <w:szCs w:val="20"/>
                <w:lang w:val="hy-AM"/>
              </w:rPr>
            </w:pPr>
            <w:r w:rsidRPr="005A7BCD">
              <w:rPr>
                <w:b w:val="0"/>
                <w:bCs/>
                <w:sz w:val="20"/>
                <w:szCs w:val="20"/>
                <w:lang w:val="hy-AM"/>
              </w:rPr>
              <w:t>«Արմփաուեր» ՓԲԸ</w:t>
            </w:r>
          </w:p>
        </w:tc>
        <w:tc>
          <w:tcPr>
            <w:tcW w:w="1645" w:type="dxa"/>
            <w:tcBorders>
              <w:top w:val="single" w:sz="4" w:space="0" w:color="auto"/>
              <w:bottom w:val="single" w:sz="4" w:space="0" w:color="auto"/>
            </w:tcBorders>
            <w:shd w:val="clear" w:color="auto" w:fill="auto"/>
          </w:tcPr>
          <w:p w14:paraId="105289D2" w14:textId="77777777" w:rsidR="0078250D" w:rsidRPr="005A7BCD" w:rsidRDefault="0078250D" w:rsidP="000F26BC">
            <w:pPr>
              <w:rPr>
                <w:b w:val="0"/>
                <w:bCs/>
                <w:sz w:val="20"/>
                <w:szCs w:val="20"/>
                <w:lang w:val="hy-AM"/>
              </w:rPr>
            </w:pPr>
            <w:r w:rsidRPr="005A7BCD">
              <w:rPr>
                <w:rFonts w:ascii="Calibri" w:hAnsi="Calibri" w:cs="Calibri"/>
                <w:b w:val="0"/>
                <w:bCs/>
                <w:sz w:val="20"/>
                <w:szCs w:val="20"/>
                <w:lang w:val="en-GB"/>
              </w:rPr>
              <w:t> </w:t>
            </w:r>
          </w:p>
        </w:tc>
        <w:tc>
          <w:tcPr>
            <w:tcW w:w="1981" w:type="dxa"/>
            <w:tcBorders>
              <w:top w:val="single" w:sz="4" w:space="0" w:color="auto"/>
              <w:bottom w:val="single" w:sz="4" w:space="0" w:color="auto"/>
            </w:tcBorders>
            <w:shd w:val="clear" w:color="auto" w:fill="auto"/>
          </w:tcPr>
          <w:p w14:paraId="497DED3E" w14:textId="77777777" w:rsidR="0078250D" w:rsidRPr="005A7BCD" w:rsidRDefault="0078250D" w:rsidP="000F26BC">
            <w:pPr>
              <w:rPr>
                <w:b w:val="0"/>
                <w:bCs/>
                <w:sz w:val="20"/>
                <w:szCs w:val="20"/>
                <w:lang w:val="hy-AM"/>
              </w:rPr>
            </w:pPr>
            <w:r w:rsidRPr="005A7BCD">
              <w:rPr>
                <w:rFonts w:cs="Calibri"/>
                <w:b w:val="0"/>
                <w:bCs/>
                <w:sz w:val="20"/>
                <w:szCs w:val="20"/>
                <w:lang w:val="en-GB"/>
              </w:rPr>
              <w:t>10</w:t>
            </w:r>
            <w:r w:rsidRPr="005A7BCD">
              <w:rPr>
                <w:rFonts w:cs="Calibri"/>
                <w:b w:val="0"/>
                <w:bCs/>
                <w:sz w:val="20"/>
                <w:szCs w:val="20"/>
              </w:rPr>
              <w:t>3</w:t>
            </w:r>
            <w:r w:rsidRPr="005A7BCD">
              <w:rPr>
                <w:rFonts w:cs="Calibri"/>
                <w:b w:val="0"/>
                <w:bCs/>
                <w:sz w:val="20"/>
                <w:szCs w:val="20"/>
                <w:lang w:val="en-GB"/>
              </w:rPr>
              <w:t>.</w:t>
            </w:r>
            <w:r w:rsidRPr="005A7BCD">
              <w:rPr>
                <w:rFonts w:cs="Calibri"/>
                <w:b w:val="0"/>
                <w:bCs/>
                <w:sz w:val="20"/>
                <w:szCs w:val="20"/>
              </w:rPr>
              <w:t>3</w:t>
            </w:r>
          </w:p>
        </w:tc>
        <w:tc>
          <w:tcPr>
            <w:tcW w:w="1825" w:type="dxa"/>
            <w:tcBorders>
              <w:top w:val="single" w:sz="4" w:space="0" w:color="auto"/>
              <w:bottom w:val="single" w:sz="4" w:space="0" w:color="auto"/>
            </w:tcBorders>
            <w:shd w:val="clear" w:color="auto" w:fill="auto"/>
          </w:tcPr>
          <w:p w14:paraId="7F0346F3" w14:textId="77777777" w:rsidR="0078250D" w:rsidRPr="005A7BCD" w:rsidRDefault="0078250D" w:rsidP="000F26BC">
            <w:pPr>
              <w:rPr>
                <w:b w:val="0"/>
                <w:bCs/>
                <w:sz w:val="20"/>
                <w:szCs w:val="20"/>
                <w:lang w:val="hy-AM"/>
              </w:rPr>
            </w:pPr>
            <w:r w:rsidRPr="005A7BCD">
              <w:rPr>
                <w:rFonts w:cs="Calibri"/>
                <w:b w:val="0"/>
                <w:bCs/>
                <w:sz w:val="20"/>
                <w:szCs w:val="20"/>
                <w:lang w:val="en-GB"/>
              </w:rPr>
              <w:t>10</w:t>
            </w:r>
            <w:r w:rsidRPr="005A7BCD">
              <w:rPr>
                <w:rFonts w:cs="Calibri"/>
                <w:b w:val="0"/>
                <w:bCs/>
                <w:sz w:val="20"/>
                <w:szCs w:val="20"/>
              </w:rPr>
              <w:t>3</w:t>
            </w:r>
            <w:r w:rsidRPr="005A7BCD">
              <w:rPr>
                <w:rFonts w:cs="Calibri"/>
                <w:b w:val="0"/>
                <w:bCs/>
                <w:sz w:val="20"/>
                <w:szCs w:val="20"/>
                <w:lang w:val="en-GB"/>
              </w:rPr>
              <w:t>.</w:t>
            </w:r>
            <w:r w:rsidRPr="005A7BCD">
              <w:rPr>
                <w:rFonts w:cs="Calibri"/>
                <w:b w:val="0"/>
                <w:bCs/>
                <w:sz w:val="20"/>
                <w:szCs w:val="20"/>
              </w:rPr>
              <w:t>3</w:t>
            </w:r>
          </w:p>
        </w:tc>
        <w:tc>
          <w:tcPr>
            <w:tcW w:w="0" w:type="auto"/>
            <w:tcBorders>
              <w:top w:val="single" w:sz="4" w:space="0" w:color="auto"/>
              <w:bottom w:val="single" w:sz="4" w:space="0" w:color="auto"/>
            </w:tcBorders>
            <w:shd w:val="clear" w:color="auto" w:fill="auto"/>
          </w:tcPr>
          <w:p w14:paraId="3BC5D9E7" w14:textId="77777777" w:rsidR="0078250D" w:rsidRPr="005A7BCD" w:rsidRDefault="0078250D" w:rsidP="000F26BC">
            <w:pPr>
              <w:rPr>
                <w:b w:val="0"/>
                <w:bCs/>
                <w:sz w:val="20"/>
                <w:szCs w:val="20"/>
              </w:rPr>
            </w:pPr>
            <w:r w:rsidRPr="005A7BCD">
              <w:rPr>
                <w:rFonts w:cs="Calibri"/>
                <w:b w:val="0"/>
                <w:bCs/>
                <w:sz w:val="20"/>
                <w:szCs w:val="20"/>
                <w:lang w:val="en-GB"/>
              </w:rPr>
              <w:t>1.</w:t>
            </w:r>
            <w:r w:rsidRPr="005A7BCD">
              <w:rPr>
                <w:rFonts w:cs="Calibri"/>
                <w:b w:val="0"/>
                <w:bCs/>
                <w:sz w:val="20"/>
                <w:szCs w:val="20"/>
              </w:rPr>
              <w:t>22%</w:t>
            </w:r>
          </w:p>
        </w:tc>
      </w:tr>
      <w:tr w:rsidR="0078250D" w:rsidRPr="0078250D" w14:paraId="4B188A8C" w14:textId="77777777" w:rsidTr="000F26BC">
        <w:trPr>
          <w:cnfStyle w:val="000000010000" w:firstRow="0" w:lastRow="0" w:firstColumn="0" w:lastColumn="0" w:oddVBand="0" w:evenVBand="0" w:oddHBand="0" w:evenHBand="1" w:firstRowFirstColumn="0" w:firstRowLastColumn="0" w:lastRowFirstColumn="0" w:lastRowLastColumn="0"/>
          <w:trHeight w:val="404"/>
        </w:trPr>
        <w:tc>
          <w:tcPr>
            <w:tcW w:w="3258" w:type="dxa"/>
            <w:tcBorders>
              <w:top w:val="single" w:sz="4" w:space="0" w:color="auto"/>
              <w:bottom w:val="single" w:sz="4" w:space="0" w:color="auto"/>
            </w:tcBorders>
            <w:shd w:val="clear" w:color="auto" w:fill="auto"/>
          </w:tcPr>
          <w:p w14:paraId="6F02F01C" w14:textId="77777777" w:rsidR="0078250D" w:rsidRPr="005A7BCD" w:rsidRDefault="0078250D" w:rsidP="000F26BC">
            <w:pPr>
              <w:spacing w:line="240" w:lineRule="auto"/>
              <w:rPr>
                <w:b w:val="0"/>
                <w:bCs/>
                <w:sz w:val="20"/>
                <w:szCs w:val="20"/>
                <w:lang w:val="hy-AM"/>
              </w:rPr>
            </w:pPr>
            <w:r w:rsidRPr="005A7BCD">
              <w:rPr>
                <w:b w:val="0"/>
                <w:bCs/>
                <w:sz w:val="20"/>
                <w:szCs w:val="20"/>
                <w:lang w:val="hy-AM"/>
              </w:rPr>
              <w:t>«Էֆարվի Մասրիկ» ՓԲԸ</w:t>
            </w:r>
          </w:p>
        </w:tc>
        <w:tc>
          <w:tcPr>
            <w:tcW w:w="1645" w:type="dxa"/>
            <w:tcBorders>
              <w:top w:val="single" w:sz="4" w:space="0" w:color="auto"/>
              <w:bottom w:val="single" w:sz="4" w:space="0" w:color="auto"/>
            </w:tcBorders>
            <w:shd w:val="clear" w:color="auto" w:fill="auto"/>
          </w:tcPr>
          <w:p w14:paraId="5EC255A3" w14:textId="77777777" w:rsidR="0078250D" w:rsidRPr="005A7BCD" w:rsidRDefault="0078250D" w:rsidP="000F26BC">
            <w:pPr>
              <w:rPr>
                <w:b w:val="0"/>
                <w:bCs/>
                <w:sz w:val="20"/>
                <w:szCs w:val="20"/>
                <w:lang w:val="hy-AM"/>
              </w:rPr>
            </w:pPr>
            <w:r w:rsidRPr="005A7BCD">
              <w:rPr>
                <w:rFonts w:ascii="Calibri" w:hAnsi="Calibri" w:cs="Calibri"/>
                <w:b w:val="0"/>
                <w:bCs/>
                <w:sz w:val="20"/>
                <w:szCs w:val="20"/>
                <w:lang w:val="en-GB"/>
              </w:rPr>
              <w:t> </w:t>
            </w:r>
          </w:p>
        </w:tc>
        <w:tc>
          <w:tcPr>
            <w:tcW w:w="1981" w:type="dxa"/>
            <w:tcBorders>
              <w:top w:val="single" w:sz="4" w:space="0" w:color="auto"/>
              <w:bottom w:val="single" w:sz="4" w:space="0" w:color="auto"/>
            </w:tcBorders>
            <w:shd w:val="clear" w:color="auto" w:fill="auto"/>
          </w:tcPr>
          <w:p w14:paraId="605C249B" w14:textId="77777777" w:rsidR="0078250D" w:rsidRPr="005A7BCD" w:rsidRDefault="0078250D" w:rsidP="000F26BC">
            <w:pPr>
              <w:rPr>
                <w:b w:val="0"/>
                <w:bCs/>
                <w:sz w:val="20"/>
                <w:szCs w:val="20"/>
              </w:rPr>
            </w:pPr>
            <w:r w:rsidRPr="005A7BCD">
              <w:rPr>
                <w:rFonts w:cs="Calibri"/>
                <w:b w:val="0"/>
                <w:bCs/>
                <w:sz w:val="20"/>
                <w:szCs w:val="20"/>
              </w:rPr>
              <w:t>19.4</w:t>
            </w:r>
          </w:p>
        </w:tc>
        <w:tc>
          <w:tcPr>
            <w:tcW w:w="1825" w:type="dxa"/>
            <w:tcBorders>
              <w:top w:val="single" w:sz="4" w:space="0" w:color="auto"/>
              <w:bottom w:val="single" w:sz="4" w:space="0" w:color="auto"/>
            </w:tcBorders>
            <w:shd w:val="clear" w:color="auto" w:fill="auto"/>
          </w:tcPr>
          <w:p w14:paraId="49F538B5" w14:textId="77777777" w:rsidR="0078250D" w:rsidRPr="005A7BCD" w:rsidRDefault="0078250D" w:rsidP="000F26BC">
            <w:pPr>
              <w:rPr>
                <w:b w:val="0"/>
                <w:bCs/>
                <w:sz w:val="20"/>
                <w:szCs w:val="20"/>
              </w:rPr>
            </w:pPr>
            <w:r w:rsidRPr="005A7BCD">
              <w:rPr>
                <w:rFonts w:cs="Calibri"/>
                <w:b w:val="0"/>
                <w:bCs/>
                <w:sz w:val="20"/>
                <w:szCs w:val="20"/>
              </w:rPr>
              <w:t>19.4</w:t>
            </w:r>
          </w:p>
        </w:tc>
        <w:tc>
          <w:tcPr>
            <w:tcW w:w="0" w:type="auto"/>
            <w:tcBorders>
              <w:top w:val="single" w:sz="4" w:space="0" w:color="auto"/>
              <w:bottom w:val="single" w:sz="4" w:space="0" w:color="auto"/>
            </w:tcBorders>
            <w:shd w:val="clear" w:color="auto" w:fill="auto"/>
          </w:tcPr>
          <w:p w14:paraId="5F8D4EE5" w14:textId="77777777" w:rsidR="0078250D" w:rsidRPr="005A7BCD" w:rsidRDefault="0078250D" w:rsidP="000F26BC">
            <w:pPr>
              <w:rPr>
                <w:b w:val="0"/>
                <w:bCs/>
                <w:sz w:val="20"/>
                <w:szCs w:val="20"/>
              </w:rPr>
            </w:pPr>
            <w:r w:rsidRPr="005A7BCD">
              <w:rPr>
                <w:rFonts w:cs="Calibri"/>
                <w:b w:val="0"/>
                <w:bCs/>
                <w:sz w:val="20"/>
                <w:szCs w:val="20"/>
                <w:lang w:val="en-GB"/>
              </w:rPr>
              <w:t>0.</w:t>
            </w:r>
            <w:r w:rsidRPr="005A7BCD">
              <w:rPr>
                <w:rFonts w:cs="Calibri"/>
                <w:b w:val="0"/>
                <w:bCs/>
                <w:sz w:val="20"/>
                <w:szCs w:val="20"/>
              </w:rPr>
              <w:t>23%</w:t>
            </w:r>
          </w:p>
        </w:tc>
      </w:tr>
      <w:tr w:rsidR="0078250D" w:rsidRPr="0078250D" w14:paraId="628175B7" w14:textId="77777777" w:rsidTr="000F26BC">
        <w:trPr>
          <w:cnfStyle w:val="000000100000" w:firstRow="0" w:lastRow="0" w:firstColumn="0" w:lastColumn="0" w:oddVBand="0" w:evenVBand="0" w:oddHBand="1" w:evenHBand="0" w:firstRowFirstColumn="0" w:firstRowLastColumn="0" w:lastRowFirstColumn="0" w:lastRowLastColumn="0"/>
          <w:trHeight w:val="423"/>
        </w:trPr>
        <w:tc>
          <w:tcPr>
            <w:tcW w:w="3258" w:type="dxa"/>
            <w:tcBorders>
              <w:top w:val="single" w:sz="4" w:space="0" w:color="auto"/>
              <w:bottom w:val="single" w:sz="4" w:space="0" w:color="auto"/>
            </w:tcBorders>
            <w:shd w:val="clear" w:color="auto" w:fill="auto"/>
          </w:tcPr>
          <w:p w14:paraId="0787F128" w14:textId="77777777" w:rsidR="0078250D" w:rsidRPr="005A7BCD" w:rsidRDefault="0078250D" w:rsidP="000F26BC">
            <w:pPr>
              <w:spacing w:line="240" w:lineRule="auto"/>
              <w:rPr>
                <w:b w:val="0"/>
                <w:bCs/>
                <w:sz w:val="20"/>
                <w:szCs w:val="20"/>
                <w:lang w:val="hy-AM"/>
              </w:rPr>
            </w:pPr>
            <w:r w:rsidRPr="005A7BCD">
              <w:rPr>
                <w:b w:val="0"/>
                <w:bCs/>
                <w:sz w:val="20"/>
                <w:szCs w:val="20"/>
                <w:lang w:val="hy-AM"/>
              </w:rPr>
              <w:t>Ընդամենը</w:t>
            </w:r>
          </w:p>
        </w:tc>
        <w:tc>
          <w:tcPr>
            <w:tcW w:w="1645" w:type="dxa"/>
            <w:tcBorders>
              <w:top w:val="single" w:sz="4" w:space="0" w:color="auto"/>
              <w:bottom w:val="single" w:sz="4" w:space="0" w:color="auto"/>
            </w:tcBorders>
            <w:shd w:val="clear" w:color="auto" w:fill="auto"/>
          </w:tcPr>
          <w:p w14:paraId="053B4C46" w14:textId="77777777" w:rsidR="0078250D" w:rsidRPr="005A7BCD" w:rsidRDefault="0078250D" w:rsidP="000F26BC">
            <w:pPr>
              <w:rPr>
                <w:b w:val="0"/>
                <w:bCs/>
                <w:sz w:val="20"/>
                <w:szCs w:val="20"/>
              </w:rPr>
            </w:pPr>
            <w:r w:rsidRPr="005A7BCD">
              <w:rPr>
                <w:rFonts w:cs="Calibri"/>
                <w:b w:val="0"/>
                <w:bCs/>
                <w:sz w:val="20"/>
                <w:szCs w:val="20"/>
              </w:rPr>
              <w:t>29.4</w:t>
            </w:r>
          </w:p>
        </w:tc>
        <w:tc>
          <w:tcPr>
            <w:tcW w:w="1981" w:type="dxa"/>
            <w:tcBorders>
              <w:top w:val="single" w:sz="4" w:space="0" w:color="auto"/>
              <w:bottom w:val="single" w:sz="4" w:space="0" w:color="auto"/>
            </w:tcBorders>
            <w:shd w:val="clear" w:color="auto" w:fill="auto"/>
          </w:tcPr>
          <w:p w14:paraId="4EE9CA82" w14:textId="77777777" w:rsidR="0078250D" w:rsidRPr="005A7BCD" w:rsidRDefault="0078250D" w:rsidP="000F26BC">
            <w:pPr>
              <w:rPr>
                <w:b w:val="0"/>
                <w:bCs/>
                <w:sz w:val="20"/>
                <w:szCs w:val="20"/>
                <w:lang w:val="hy-AM"/>
              </w:rPr>
            </w:pPr>
            <w:r w:rsidRPr="005A7BCD">
              <w:rPr>
                <w:b w:val="0"/>
                <w:bCs/>
                <w:sz w:val="20"/>
                <w:szCs w:val="20"/>
                <w:lang w:val="hy-AM"/>
              </w:rPr>
              <w:t>555.9</w:t>
            </w:r>
          </w:p>
        </w:tc>
        <w:tc>
          <w:tcPr>
            <w:tcW w:w="1825" w:type="dxa"/>
            <w:tcBorders>
              <w:top w:val="single" w:sz="4" w:space="0" w:color="auto"/>
              <w:bottom w:val="single" w:sz="4" w:space="0" w:color="auto"/>
            </w:tcBorders>
            <w:shd w:val="clear" w:color="auto" w:fill="auto"/>
          </w:tcPr>
          <w:p w14:paraId="7A0AB617" w14:textId="77777777" w:rsidR="0078250D" w:rsidRPr="005A7BCD" w:rsidRDefault="0078250D" w:rsidP="000F26BC">
            <w:pPr>
              <w:rPr>
                <w:b w:val="0"/>
                <w:bCs/>
                <w:sz w:val="20"/>
                <w:szCs w:val="20"/>
                <w:lang w:val="hy-AM"/>
              </w:rPr>
            </w:pPr>
            <w:r w:rsidRPr="005A7BCD">
              <w:rPr>
                <w:b w:val="0"/>
                <w:bCs/>
                <w:sz w:val="20"/>
                <w:szCs w:val="20"/>
                <w:lang w:val="hy-AM"/>
              </w:rPr>
              <w:t>585.5</w:t>
            </w:r>
          </w:p>
        </w:tc>
        <w:tc>
          <w:tcPr>
            <w:tcW w:w="0" w:type="auto"/>
            <w:tcBorders>
              <w:top w:val="single" w:sz="4" w:space="0" w:color="auto"/>
              <w:bottom w:val="single" w:sz="4" w:space="0" w:color="auto"/>
            </w:tcBorders>
            <w:shd w:val="clear" w:color="auto" w:fill="auto"/>
          </w:tcPr>
          <w:p w14:paraId="07F87A88" w14:textId="77777777" w:rsidR="0078250D" w:rsidRPr="005A7BCD" w:rsidRDefault="0078250D" w:rsidP="000F26BC">
            <w:pPr>
              <w:rPr>
                <w:b w:val="0"/>
                <w:bCs/>
                <w:sz w:val="20"/>
                <w:szCs w:val="20"/>
              </w:rPr>
            </w:pPr>
            <w:r w:rsidRPr="005A7BCD">
              <w:rPr>
                <w:rFonts w:cs="Calibri"/>
                <w:b w:val="0"/>
                <w:bCs/>
                <w:sz w:val="20"/>
                <w:szCs w:val="20"/>
                <w:lang w:val="hy-AM"/>
              </w:rPr>
              <w:t>6.92</w:t>
            </w:r>
            <w:r w:rsidRPr="005A7BCD">
              <w:rPr>
                <w:rFonts w:cs="Calibri"/>
                <w:b w:val="0"/>
                <w:bCs/>
                <w:sz w:val="20"/>
                <w:szCs w:val="20"/>
              </w:rPr>
              <w:t>%</w:t>
            </w:r>
          </w:p>
        </w:tc>
      </w:tr>
    </w:tbl>
    <w:p w14:paraId="1B8DE42B" w14:textId="77777777" w:rsidR="0078250D" w:rsidRPr="0078250D" w:rsidRDefault="0078250D" w:rsidP="0078250D">
      <w:pPr>
        <w:rPr>
          <w:b w:val="0"/>
          <w:bCs/>
          <w:i/>
          <w:iCs/>
          <w:sz w:val="16"/>
          <w:szCs w:val="16"/>
          <w:lang w:val="hy-AM"/>
        </w:rPr>
      </w:pPr>
    </w:p>
    <w:p w14:paraId="2D7714AC" w14:textId="77777777" w:rsidR="0078250D" w:rsidRPr="0078250D" w:rsidRDefault="0078250D" w:rsidP="0078250D">
      <w:pPr>
        <w:rPr>
          <w:b w:val="0"/>
          <w:bCs/>
          <w:lang w:val="hy-AM"/>
        </w:rPr>
      </w:pPr>
      <w:r w:rsidRPr="0078250D">
        <w:rPr>
          <w:b w:val="0"/>
          <w:bCs/>
          <w:i/>
          <w:iCs/>
          <w:sz w:val="16"/>
          <w:szCs w:val="16"/>
          <w:lang w:val="hy-AM"/>
        </w:rPr>
        <w:t>Ծանոթագրություններ</w:t>
      </w:r>
      <w:r w:rsidRPr="0078250D">
        <w:rPr>
          <w:b w:val="0"/>
          <w:bCs/>
          <w:sz w:val="16"/>
          <w:szCs w:val="16"/>
          <w:lang w:val="hy-AM"/>
        </w:rPr>
        <w:t>. «Վեոլիա Ջուր» ՓԲԸ մասով «Այլ ՊՊ» սյունակում ներառված է Աէրացիայի կայանը  մինչև 13 մլրդ ՀՀ դրամ արժեքով: «Էֆարվի Մասրիկ» ՓԲԸ պարագայում հիմնվում ենք այն ենթադրության վրա, որ նախքան շինարարական աշխատանքների ավարտը հետ գնման դեպքում այլ փոխհատուցում չի կարող պահանջվել: «Արմփաուեր» ՓԲԸ դեպքում, որի շինարարական ծախսերն արդյունքում ավելի ցածր են եղել, 1 տարին լրանալուց հետո 15 տոկոսի չափով հավելավճարի հաշվարկը դեռևս չի իրականացվել, քանի որ կայանը վերագործարկվել է 2022 թվականի Սեպտեմբերին: ԱՄՆ դոլարով արտահայտված գումարների փոխարկման համար կիրառվել է 400 ՀՀ դրամ 1 ԱՄՆ դոլարի դիմաց փոխարժեքը: 2021թ. ՀՆԱ-ն՝ 8,500 մլրդ ՀՀ դրամ:</w:t>
      </w:r>
    </w:p>
    <w:p w14:paraId="4C60D629" w14:textId="77777777" w:rsidR="0078250D" w:rsidRPr="0078250D" w:rsidRDefault="0078250D" w:rsidP="0078250D">
      <w:pPr>
        <w:ind w:firstLine="720"/>
        <w:rPr>
          <w:b w:val="0"/>
          <w:bCs/>
          <w:lang w:val="hy-AM"/>
        </w:rPr>
      </w:pPr>
    </w:p>
    <w:p w14:paraId="3A04CE44" w14:textId="77777777" w:rsidR="0078250D" w:rsidRPr="0078250D" w:rsidRDefault="0078250D" w:rsidP="0078250D">
      <w:pPr>
        <w:rPr>
          <w:b w:val="0"/>
          <w:bCs/>
          <w:lang w:val="hy-AM"/>
        </w:rPr>
      </w:pPr>
      <w:r w:rsidRPr="0078250D">
        <w:rPr>
          <w:b w:val="0"/>
          <w:bCs/>
          <w:lang w:val="hy-AM"/>
        </w:rPr>
        <w:t>2020թ. վերջին պայմանական պարտավորությունների հանրագումարը ՀՆԱ-ի նկատմամբ կազմում էր ՀՆԱ 8.26%, որի նկատմամբ էական նվազումը բխում է «Արմփաուեր» ՓԲԸ և Մասրիկի ծրագրերի գնահատվածից ավելի ցածր արժեքից և 2021-2022 թթ</w:t>
      </w:r>
      <w:r w:rsidRPr="0078250D">
        <w:rPr>
          <w:rFonts w:ascii="Cambria Math" w:hAnsi="Cambria Math" w:cs="Cambria Math"/>
          <w:b w:val="0"/>
          <w:bCs/>
          <w:lang w:val="hy-AM"/>
        </w:rPr>
        <w:t>․</w:t>
      </w:r>
      <w:r w:rsidRPr="0078250D">
        <w:rPr>
          <w:b w:val="0"/>
          <w:bCs/>
          <w:lang w:val="hy-AM"/>
        </w:rPr>
        <w:t>-ներին արձանագրված ՀՆԱ նշանակալի վերականգնումից, ինչպես նաև դրամի արժեվորմամբ պայմանավորված վերագնահատումներով: Այսիսով ներկայումս ՊՄԳ-ներից ծագով պայմանական պարտավորությունները գնահատվում են ՀՆԱ-ի 6.52% չափով, նախորդ  զեկույցում այդ ցուցանիշը կազմում էր 6.38%</w:t>
      </w:r>
      <w:r w:rsidRPr="0078250D">
        <w:rPr>
          <w:rStyle w:val="FootnoteReference"/>
          <w:b w:val="0"/>
          <w:bCs/>
          <w:lang w:val="hy-AM"/>
        </w:rPr>
        <w:footnoteReference w:id="40"/>
      </w:r>
      <w:r w:rsidRPr="0078250D">
        <w:rPr>
          <w:b w:val="0"/>
          <w:bCs/>
          <w:lang w:val="hy-AM"/>
        </w:rPr>
        <w:t>:</w:t>
      </w:r>
    </w:p>
    <w:p w14:paraId="6569EBB4" w14:textId="77777777" w:rsidR="0078250D" w:rsidRPr="0078250D" w:rsidRDefault="0078250D" w:rsidP="0078250D">
      <w:pPr>
        <w:rPr>
          <w:b w:val="0"/>
          <w:bCs/>
          <w:lang w:val="hy-AM"/>
        </w:rPr>
      </w:pPr>
      <w:r w:rsidRPr="0078250D">
        <w:rPr>
          <w:b w:val="0"/>
          <w:bCs/>
          <w:lang w:val="hy-AM"/>
        </w:rPr>
        <w:t xml:space="preserve">2021 թվականի հունիսի 18-ի ՀՀ կառավարության որոշմամբ հաստատվել է Հայաստանում արդյունաբերական մասշտաբի «Այգ-1» արևային ֆոտովոլտային ծրագրի շրջանակում կազմակերպված մրցույթի ընթացակարգի արդյունքները՝ հաղթող ճանաչելով «Աբու Դաբի Ֆյուչեր Էներջի Քոմփանի» ՀԲԸ («Մասդար»)։ Ծրագրի իրականացման շուրջ կնքվել է կառավարության աջակցության համաձայնագիր, իսկ ֆինանսական կայացման համար նախապես սահմանված վերջնաժամկետը՝ 2022 թվականի դեկտեմբեր ամիսը, երկարաձգվել է մինչև 270 օրով: Ներկայում ծրագրի իրականացման համար նախատեսված հողամասերում </w:t>
      </w:r>
      <w:r w:rsidRPr="0078250D">
        <w:rPr>
          <w:b w:val="0"/>
          <w:bCs/>
          <w:lang w:val="hy-AM"/>
        </w:rPr>
        <w:lastRenderedPageBreak/>
        <w:t>իրականացվում են ուսումնասիրություններ, ինչպես նաև ծրագրի ֆինանսավորման շուրջ բանակցություններ են ընթանում: Նախատեսվում է իրականացնել ընդամենը մոտ 200 մլն ԱՄՆ դոլարի չափով ներդրում(ՀՆԱ-ի մոտ 0.94 %), որից 180 մլն ԱՄՆ դոլարը՝ 2024 թվականի ընթացքում: Ծրագրի նախապատրաստման փուլում կնքվել է համատեղ զարգացման համաձայնագիր «Աբու Դաբի Ֆյուչեր Էներջի Քոմփանի» ՀԲԸ և «Հայաստանի Հետաքրքրությունների ֆոնդ» պետական ՓԲԸ ի միջև, որում պարունակվող պարտավորությունների վերաբերյալ լիարժեք տեղեկատվություն առկա չէ։</w:t>
      </w:r>
    </w:p>
    <w:p w14:paraId="2B8452E6" w14:textId="77777777" w:rsidR="0078250D" w:rsidRPr="0078250D" w:rsidRDefault="0078250D" w:rsidP="0078250D">
      <w:pPr>
        <w:ind w:firstLine="720"/>
        <w:rPr>
          <w:b w:val="0"/>
          <w:bCs/>
          <w:lang w:val="hy-AM"/>
        </w:rPr>
      </w:pPr>
    </w:p>
    <w:p w14:paraId="0E6D1AB9" w14:textId="77777777" w:rsidR="0078250D" w:rsidRPr="005A7BCD" w:rsidRDefault="0078250D" w:rsidP="0078250D">
      <w:pPr>
        <w:rPr>
          <w:lang w:val="hy-AM"/>
        </w:rPr>
      </w:pPr>
      <w:r w:rsidRPr="005A7BCD">
        <w:rPr>
          <w:lang w:val="hy-AM"/>
        </w:rPr>
        <w:t>Բնական և մարդածին աղետներից առաջացող ֆիսկալ ռիսկեր</w:t>
      </w:r>
    </w:p>
    <w:p w14:paraId="0AA6E488" w14:textId="77777777" w:rsidR="0078250D" w:rsidRPr="0078250D" w:rsidRDefault="0078250D" w:rsidP="0078250D">
      <w:pPr>
        <w:rPr>
          <w:b w:val="0"/>
          <w:bCs/>
          <w:lang w:val="hy-AM"/>
        </w:rPr>
      </w:pPr>
      <w:r w:rsidRPr="0078250D">
        <w:rPr>
          <w:b w:val="0"/>
          <w:bCs/>
          <w:lang w:val="hy-AM"/>
        </w:rPr>
        <w:t>Բնական և մարդածին աղետներից առաջացող ֆիսկալ ռիսկերը հիմնականում ունեն առաջացման բնական պատճառներ, մասնավորապես՝ հիդրոօդերևութաբանական (ջրհեղեղներ, կարկտահարություն, ցրտահարություն, երաշտ, փոթորիկ), երկրաֆիզիկական (երկրաշարժ, հրաբխի ժայթքում, սողանք), կենսաբանական (համաճարակներ և պանդեմիաներ, սանիտարական այլ ճգնաժամեր), տիեզերական (հեռահաղորդակցության և էլեկտրաէներգետիկ խափանումների հանգեցնող արեգակնային փոթորիկներ): Միաժամանակ, կարող են լինել նաև տեխնոլոգիական, բնատեխնածին և այլ պատճառներ: 1994-2014թթ. բնական աղետների, մասնավորապես՝ ջրհեղեղների, երկրաշարժերի, երաշտի, կարկտահարության, գարնանային ցրտահարության և սելավահոսքերի հետևանքով Հայաստանում արձանագրված վնասները կազմել են ավելի քան 1.5 միլիարդ ԱՄՆ դոլար: Նշված պարբերական և ինտենսիվ շոկերը առաջացնում են վնասներ և կորուստներ՝ վատթարացնելով բնակչության կենսամակարդակը և տնտեսական վիճակը: Ըստ կլիմայական կանխատեսումների, մինչև 2100թ. երկրում միջին ջերմաստիճանը կարող է բարձրանալ 4.7 աստիճանով, իսկ տեղումների միջին տարեկան քանակը՝ կրճատվել 8.3 տոկոսով (համաձայն «2021-2025թթ. Հարմարվողականության ազգային ծրագրի»):</w:t>
      </w:r>
    </w:p>
    <w:p w14:paraId="3F99E729" w14:textId="77777777" w:rsidR="0078250D" w:rsidRPr="0078250D" w:rsidRDefault="0078250D" w:rsidP="0078250D">
      <w:pPr>
        <w:rPr>
          <w:b w:val="0"/>
          <w:bCs/>
          <w:lang w:val="hy-AM"/>
        </w:rPr>
      </w:pPr>
      <w:r w:rsidRPr="0078250D">
        <w:rPr>
          <w:b w:val="0"/>
          <w:bCs/>
          <w:lang w:val="hy-AM"/>
        </w:rPr>
        <w:t xml:space="preserve">Համաձայն ՀՀ կառավարության 2011 թվականի նոյեմբերի 10-ի №1582-Ն որոշմամբ ստեղծված մարզային հանձնաժողովների կողմից ներկայացված 54 ակտերի, որոնցից 43-ում բացակայում են կրած վնասների գումարների գնահատականները: </w:t>
      </w:r>
    </w:p>
    <w:p w14:paraId="0E45DAC0" w14:textId="77777777" w:rsidR="0078250D" w:rsidRPr="0078250D" w:rsidRDefault="0078250D" w:rsidP="0078250D">
      <w:pPr>
        <w:rPr>
          <w:b w:val="0"/>
          <w:bCs/>
          <w:lang w:val="hy-AM"/>
        </w:rPr>
      </w:pPr>
      <w:r w:rsidRPr="0078250D">
        <w:rPr>
          <w:b w:val="0"/>
          <w:bCs/>
          <w:lang w:val="hy-AM"/>
        </w:rPr>
        <w:t>Իրավիճակը կարող է վատթարանալ առավել խիստ և հաճախակի պատահարների, հատկապես՝ երաշտի հանգեցնող կլիմայական փոփոխությունների, ինչպես նաև վերջին տասնամյակներում տեղումների քանակի կայուն կրճատման հետևանքով (աղբյուր՝ Կլիմայի փոփոխության չորրորդ ազգային հաղորդագրություն ըստ ՄԱԿ-ի Կլիմայի փոփոխության շրջանակային կոնվենցիայի, 2020թ.): 50-100% տուժած հողօգտագործողներին 2019թ. տրամադրվել է 437.0 մլն դրամ գումարի փոխհատուցում: Հետագա տարիներին տեղի ունեցած բնական աղետների հետևանքով կրած վնասի փոխհատուցում չի նախատեսվել, քանի որ պետական աջակցության միջոցով իրականացվում է գյուղատնտեսության ոլորտում ապահովագրական համակարգի ներդրման փորձնական ծրագիր՝ համաձայն ՀՀ կառավարության 2019թ. հոկտեմբերի 24-ի թիվ 1485-Լ որոշման: Ծրագրի շրջանակում ներկայումս ապահովագրվում են ծիրան, խաղող, դեղձ, խնձոր, հացահատիկ (աշնանացան/գարնանացան ցորեն, գարի և վարսակ), կարտոֆիլ, սալոր, կեռաս, բալ, ձմերուկ և սեխ մշակաբույսերը՝ գարնանային ցրտահարություն, երաշտ, կարկուտ և հրդեհ ռիսկերից։</w:t>
      </w:r>
    </w:p>
    <w:p w14:paraId="108A235B" w14:textId="77777777" w:rsidR="0078250D" w:rsidRPr="0078250D" w:rsidRDefault="0078250D" w:rsidP="005A7BCD">
      <w:pPr>
        <w:spacing w:line="360" w:lineRule="auto"/>
        <w:jc w:val="left"/>
        <w:rPr>
          <w:rFonts w:ascii="Cambria Math" w:hAnsi="Cambria Math"/>
          <w:b w:val="0"/>
          <w:bCs/>
          <w:lang w:val="hy-AM"/>
        </w:rPr>
      </w:pPr>
      <w:r w:rsidRPr="00F45808">
        <w:rPr>
          <w:iCs/>
          <w:lang w:val="hy-AM"/>
        </w:rPr>
        <w:lastRenderedPageBreak/>
        <w:t>Աղյուսակ 5․9</w:t>
      </w:r>
      <w:r w:rsidRPr="0078250D">
        <w:rPr>
          <w:b w:val="0"/>
          <w:bCs/>
          <w:i/>
          <w:lang w:val="hy-AM"/>
        </w:rPr>
        <w:t xml:space="preserve"> </w:t>
      </w:r>
      <w:r w:rsidRPr="0078250D">
        <w:rPr>
          <w:b w:val="0"/>
          <w:bCs/>
          <w:lang w:val="hy-AM"/>
        </w:rPr>
        <w:t>Գյուղատնտեսական տարվա համար կնքված ապահովագրական պայմանագրերը, 2020-2023թթ</w:t>
      </w:r>
      <w:r w:rsidRPr="0078250D">
        <w:rPr>
          <w:rFonts w:ascii="Cambria Math" w:hAnsi="Cambria Math"/>
          <w:b w:val="0"/>
          <w:bCs/>
          <w:lang w:val="hy-AM"/>
        </w:rPr>
        <w:t>․</w:t>
      </w:r>
    </w:p>
    <w:tbl>
      <w:tblPr>
        <w:tblStyle w:val="GridTable4-Accent113"/>
        <w:tblW w:w="9643" w:type="dxa"/>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3402"/>
        <w:gridCol w:w="1583"/>
        <w:gridCol w:w="1455"/>
        <w:gridCol w:w="1487"/>
        <w:gridCol w:w="1716"/>
      </w:tblGrid>
      <w:tr w:rsidR="0078250D" w:rsidRPr="0078250D" w14:paraId="4E4740A2" w14:textId="77777777" w:rsidTr="000F26BC">
        <w:trPr>
          <w:cnfStyle w:val="100000000000" w:firstRow="1" w:lastRow="0" w:firstColumn="0" w:lastColumn="0" w:oddVBand="0" w:evenVBand="0" w:oddHBand="0"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3402" w:type="dxa"/>
            <w:tcBorders>
              <w:top w:val="nil"/>
              <w:left w:val="nil"/>
              <w:bottom w:val="single" w:sz="4" w:space="0" w:color="auto"/>
            </w:tcBorders>
            <w:shd w:val="clear" w:color="auto" w:fill="auto"/>
          </w:tcPr>
          <w:p w14:paraId="1E7B03B9" w14:textId="77777777" w:rsidR="0078250D" w:rsidRPr="0078250D" w:rsidRDefault="0078250D" w:rsidP="000F26BC">
            <w:pPr>
              <w:spacing w:line="360" w:lineRule="auto"/>
              <w:ind w:left="164"/>
              <w:rPr>
                <w:color w:val="auto"/>
                <w:sz w:val="20"/>
                <w:szCs w:val="20"/>
                <w:lang w:val="hy-AM"/>
              </w:rPr>
            </w:pPr>
          </w:p>
        </w:tc>
        <w:tc>
          <w:tcPr>
            <w:tcW w:w="1583" w:type="dxa"/>
            <w:tcBorders>
              <w:top w:val="nil"/>
              <w:bottom w:val="single" w:sz="4" w:space="0" w:color="auto"/>
            </w:tcBorders>
            <w:shd w:val="clear" w:color="auto" w:fill="auto"/>
            <w:vAlign w:val="center"/>
          </w:tcPr>
          <w:p w14:paraId="704A8361" w14:textId="77777777" w:rsidR="0078250D" w:rsidRPr="0078250D" w:rsidRDefault="0078250D" w:rsidP="000F26BC">
            <w:pPr>
              <w:spacing w:line="360" w:lineRule="auto"/>
              <w:ind w:left="164"/>
              <w:jc w:val="center"/>
              <w:cnfStyle w:val="100000000000" w:firstRow="1" w:lastRow="0" w:firstColumn="0" w:lastColumn="0" w:oddVBand="0" w:evenVBand="0" w:oddHBand="0" w:evenHBand="0" w:firstRowFirstColumn="0" w:firstRowLastColumn="0" w:lastRowFirstColumn="0" w:lastRowLastColumn="0"/>
              <w:rPr>
                <w:color w:val="auto"/>
                <w:sz w:val="20"/>
                <w:szCs w:val="20"/>
                <w:lang w:val="hy-AM"/>
              </w:rPr>
            </w:pPr>
            <w:r w:rsidRPr="0078250D">
              <w:rPr>
                <w:color w:val="auto"/>
                <w:sz w:val="20"/>
                <w:szCs w:val="20"/>
              </w:rPr>
              <w:t>2020</w:t>
            </w:r>
          </w:p>
        </w:tc>
        <w:tc>
          <w:tcPr>
            <w:tcW w:w="1455" w:type="dxa"/>
            <w:tcBorders>
              <w:top w:val="nil"/>
              <w:bottom w:val="single" w:sz="4" w:space="0" w:color="auto"/>
            </w:tcBorders>
            <w:shd w:val="clear" w:color="auto" w:fill="auto"/>
            <w:vAlign w:val="center"/>
          </w:tcPr>
          <w:p w14:paraId="759F22C3" w14:textId="77777777" w:rsidR="0078250D" w:rsidRPr="0078250D" w:rsidRDefault="0078250D" w:rsidP="000F26BC">
            <w:pPr>
              <w:spacing w:line="360" w:lineRule="auto"/>
              <w:ind w:left="164"/>
              <w:jc w:val="center"/>
              <w:cnfStyle w:val="100000000000" w:firstRow="1" w:lastRow="0" w:firstColumn="0" w:lastColumn="0" w:oddVBand="0" w:evenVBand="0" w:oddHBand="0" w:evenHBand="0" w:firstRowFirstColumn="0" w:firstRowLastColumn="0" w:lastRowFirstColumn="0" w:lastRowLastColumn="0"/>
              <w:rPr>
                <w:color w:val="auto"/>
                <w:sz w:val="20"/>
                <w:szCs w:val="20"/>
                <w:lang w:val="hy-AM"/>
              </w:rPr>
            </w:pPr>
            <w:r w:rsidRPr="0078250D">
              <w:rPr>
                <w:color w:val="auto"/>
                <w:sz w:val="20"/>
                <w:szCs w:val="20"/>
              </w:rPr>
              <w:t>2021</w:t>
            </w:r>
          </w:p>
        </w:tc>
        <w:tc>
          <w:tcPr>
            <w:tcW w:w="1487" w:type="dxa"/>
            <w:tcBorders>
              <w:top w:val="nil"/>
              <w:bottom w:val="single" w:sz="4" w:space="0" w:color="auto"/>
            </w:tcBorders>
            <w:shd w:val="clear" w:color="auto" w:fill="auto"/>
            <w:vAlign w:val="center"/>
          </w:tcPr>
          <w:p w14:paraId="75057CDC" w14:textId="77777777" w:rsidR="0078250D" w:rsidRPr="0078250D" w:rsidRDefault="0078250D" w:rsidP="000F26BC">
            <w:pPr>
              <w:spacing w:line="360" w:lineRule="auto"/>
              <w:ind w:left="164"/>
              <w:jc w:val="center"/>
              <w:cnfStyle w:val="100000000000" w:firstRow="1" w:lastRow="0" w:firstColumn="0" w:lastColumn="0" w:oddVBand="0" w:evenVBand="0" w:oddHBand="0" w:evenHBand="0" w:firstRowFirstColumn="0" w:firstRowLastColumn="0" w:lastRowFirstColumn="0" w:lastRowLastColumn="0"/>
              <w:rPr>
                <w:color w:val="auto"/>
                <w:sz w:val="20"/>
                <w:szCs w:val="20"/>
                <w:lang w:val="hy-AM"/>
              </w:rPr>
            </w:pPr>
            <w:r w:rsidRPr="0078250D">
              <w:rPr>
                <w:color w:val="auto"/>
                <w:sz w:val="20"/>
                <w:szCs w:val="20"/>
              </w:rPr>
              <w:t>2022</w:t>
            </w:r>
          </w:p>
        </w:tc>
        <w:tc>
          <w:tcPr>
            <w:tcW w:w="1716" w:type="dxa"/>
            <w:tcBorders>
              <w:top w:val="nil"/>
              <w:bottom w:val="single" w:sz="4" w:space="0" w:color="auto"/>
              <w:right w:val="nil"/>
            </w:tcBorders>
            <w:shd w:val="clear" w:color="auto" w:fill="auto"/>
            <w:vAlign w:val="center"/>
          </w:tcPr>
          <w:p w14:paraId="6E940505" w14:textId="77777777" w:rsidR="0078250D" w:rsidRPr="0078250D" w:rsidRDefault="0078250D" w:rsidP="000F26BC">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8250D">
              <w:rPr>
                <w:color w:val="auto"/>
                <w:sz w:val="20"/>
                <w:szCs w:val="20"/>
              </w:rPr>
              <w:t>2023</w:t>
            </w:r>
          </w:p>
          <w:p w14:paraId="3F918FD2" w14:textId="77777777" w:rsidR="0078250D" w:rsidRPr="0078250D" w:rsidRDefault="0078250D" w:rsidP="000F26BC">
            <w:pPr>
              <w:spacing w:line="240" w:lineRule="auto"/>
              <w:ind w:firstLine="58"/>
              <w:jc w:val="center"/>
              <w:cnfStyle w:val="100000000000" w:firstRow="1" w:lastRow="0" w:firstColumn="0" w:lastColumn="0" w:oddVBand="0" w:evenVBand="0" w:oddHBand="0" w:evenHBand="0" w:firstRowFirstColumn="0" w:firstRowLastColumn="0" w:lastRowFirstColumn="0" w:lastRowLastColumn="0"/>
              <w:rPr>
                <w:color w:val="auto"/>
                <w:sz w:val="20"/>
                <w:szCs w:val="20"/>
                <w:lang w:val="hy-AM"/>
              </w:rPr>
            </w:pPr>
            <w:r w:rsidRPr="0078250D">
              <w:rPr>
                <w:color w:val="auto"/>
                <w:sz w:val="20"/>
                <w:szCs w:val="20"/>
                <w:lang w:val="hy-AM"/>
              </w:rPr>
              <w:t>օգոստոսի 31-ի դրությամբ</w:t>
            </w:r>
          </w:p>
        </w:tc>
      </w:tr>
      <w:tr w:rsidR="0078250D" w:rsidRPr="0078250D" w14:paraId="163B8F5B" w14:textId="77777777" w:rsidTr="000F26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tcBorders>
            <w:shd w:val="clear" w:color="auto" w:fill="auto"/>
          </w:tcPr>
          <w:p w14:paraId="1E875C6C" w14:textId="77777777" w:rsidR="0078250D" w:rsidRPr="0078250D" w:rsidRDefault="0078250D" w:rsidP="000F26BC">
            <w:pPr>
              <w:spacing w:line="240" w:lineRule="auto"/>
              <w:ind w:firstLine="37"/>
              <w:jc w:val="left"/>
              <w:rPr>
                <w:sz w:val="20"/>
                <w:szCs w:val="20"/>
                <w:lang w:val="hy-AM"/>
              </w:rPr>
            </w:pPr>
            <w:r w:rsidRPr="0078250D">
              <w:rPr>
                <w:sz w:val="20"/>
                <w:szCs w:val="20"/>
                <w:lang w:val="hy-AM"/>
              </w:rPr>
              <w:t>Պայմանագրերի թիվ</w:t>
            </w:r>
          </w:p>
        </w:tc>
        <w:tc>
          <w:tcPr>
            <w:tcW w:w="1583" w:type="dxa"/>
            <w:tcBorders>
              <w:top w:val="single" w:sz="4" w:space="0" w:color="auto"/>
            </w:tcBorders>
            <w:shd w:val="clear" w:color="auto" w:fill="auto"/>
          </w:tcPr>
          <w:p w14:paraId="49F15F58"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b w:val="0"/>
                <w:bCs/>
                <w:sz w:val="20"/>
                <w:szCs w:val="20"/>
              </w:rPr>
              <w:t>1546</w:t>
            </w:r>
          </w:p>
        </w:tc>
        <w:tc>
          <w:tcPr>
            <w:tcW w:w="1455" w:type="dxa"/>
            <w:tcBorders>
              <w:top w:val="single" w:sz="4" w:space="0" w:color="auto"/>
            </w:tcBorders>
            <w:shd w:val="clear" w:color="auto" w:fill="auto"/>
          </w:tcPr>
          <w:p w14:paraId="4BE39114"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4279</w:t>
            </w:r>
          </w:p>
        </w:tc>
        <w:tc>
          <w:tcPr>
            <w:tcW w:w="1487" w:type="dxa"/>
            <w:tcBorders>
              <w:top w:val="single" w:sz="4" w:space="0" w:color="auto"/>
            </w:tcBorders>
            <w:shd w:val="clear" w:color="auto" w:fill="auto"/>
          </w:tcPr>
          <w:p w14:paraId="74418B7F"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b w:val="0"/>
                <w:bCs/>
                <w:sz w:val="20"/>
                <w:szCs w:val="20"/>
                <w:lang w:val="hy-AM"/>
              </w:rPr>
              <w:t>5091</w:t>
            </w:r>
          </w:p>
        </w:tc>
        <w:tc>
          <w:tcPr>
            <w:tcW w:w="1716" w:type="dxa"/>
            <w:tcBorders>
              <w:top w:val="single" w:sz="4" w:space="0" w:color="auto"/>
            </w:tcBorders>
            <w:shd w:val="clear" w:color="auto" w:fill="auto"/>
          </w:tcPr>
          <w:p w14:paraId="1191822C"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b w:val="0"/>
                <w:bCs/>
                <w:sz w:val="20"/>
                <w:szCs w:val="20"/>
                <w:lang w:val="hy-AM"/>
              </w:rPr>
              <w:t>10192</w:t>
            </w:r>
          </w:p>
        </w:tc>
      </w:tr>
      <w:tr w:rsidR="0078250D" w:rsidRPr="0078250D" w14:paraId="091410AA" w14:textId="77777777" w:rsidTr="000F26BC">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05F74079" w14:textId="77777777" w:rsidR="0078250D" w:rsidRPr="0078250D" w:rsidRDefault="0078250D" w:rsidP="000F26BC">
            <w:pPr>
              <w:spacing w:line="240" w:lineRule="auto"/>
              <w:ind w:firstLine="37"/>
              <w:jc w:val="left"/>
              <w:rPr>
                <w:sz w:val="20"/>
                <w:szCs w:val="20"/>
                <w:lang w:val="hy-AM"/>
              </w:rPr>
            </w:pPr>
            <w:r w:rsidRPr="0078250D">
              <w:rPr>
                <w:sz w:val="20"/>
                <w:szCs w:val="20"/>
                <w:lang w:val="hy-AM"/>
              </w:rPr>
              <w:t>Ապահովագրված տարածք, հա</w:t>
            </w:r>
          </w:p>
        </w:tc>
        <w:tc>
          <w:tcPr>
            <w:tcW w:w="1583" w:type="dxa"/>
            <w:shd w:val="clear" w:color="auto" w:fill="auto"/>
          </w:tcPr>
          <w:p w14:paraId="79710E16"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2363.3</w:t>
            </w:r>
          </w:p>
        </w:tc>
        <w:tc>
          <w:tcPr>
            <w:tcW w:w="1455" w:type="dxa"/>
            <w:shd w:val="clear" w:color="auto" w:fill="auto"/>
          </w:tcPr>
          <w:p w14:paraId="013661AD"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5832</w:t>
            </w:r>
          </w:p>
        </w:tc>
        <w:tc>
          <w:tcPr>
            <w:tcW w:w="1487" w:type="dxa"/>
            <w:shd w:val="clear" w:color="auto" w:fill="auto"/>
          </w:tcPr>
          <w:p w14:paraId="1E4DCABE"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b w:val="0"/>
                <w:bCs/>
                <w:sz w:val="20"/>
                <w:szCs w:val="20"/>
                <w:lang w:val="hy-AM"/>
              </w:rPr>
              <w:t>6444</w:t>
            </w:r>
          </w:p>
        </w:tc>
        <w:tc>
          <w:tcPr>
            <w:tcW w:w="1716" w:type="dxa"/>
            <w:shd w:val="clear" w:color="auto" w:fill="auto"/>
          </w:tcPr>
          <w:p w14:paraId="2967AAE6"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b w:val="0"/>
                <w:bCs/>
                <w:sz w:val="20"/>
                <w:szCs w:val="20"/>
                <w:lang w:val="hy-AM"/>
              </w:rPr>
              <w:t>11662</w:t>
            </w:r>
          </w:p>
        </w:tc>
      </w:tr>
      <w:tr w:rsidR="0078250D" w:rsidRPr="0078250D" w14:paraId="24EDFBAF" w14:textId="77777777" w:rsidTr="000F26BC">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61CFF015" w14:textId="77777777" w:rsidR="0078250D" w:rsidRPr="0078250D" w:rsidRDefault="0078250D" w:rsidP="000F26BC">
            <w:pPr>
              <w:spacing w:line="240" w:lineRule="auto"/>
              <w:ind w:firstLine="37"/>
              <w:jc w:val="left"/>
              <w:rPr>
                <w:sz w:val="20"/>
                <w:szCs w:val="20"/>
              </w:rPr>
            </w:pPr>
            <w:r w:rsidRPr="0078250D">
              <w:rPr>
                <w:sz w:val="20"/>
                <w:szCs w:val="20"/>
                <w:lang w:val="hy-AM"/>
              </w:rPr>
              <w:t>Համախառն ապահովագրավճար</w:t>
            </w:r>
            <w:r w:rsidRPr="0078250D">
              <w:rPr>
                <w:sz w:val="20"/>
                <w:szCs w:val="20"/>
              </w:rPr>
              <w:t xml:space="preserve">, </w:t>
            </w:r>
            <w:r w:rsidRPr="0078250D">
              <w:rPr>
                <w:sz w:val="20"/>
                <w:szCs w:val="20"/>
                <w:lang w:val="hy-AM"/>
              </w:rPr>
              <w:t>մլն դրամ</w:t>
            </w:r>
          </w:p>
        </w:tc>
        <w:tc>
          <w:tcPr>
            <w:tcW w:w="1583" w:type="dxa"/>
            <w:shd w:val="clear" w:color="auto" w:fill="auto"/>
          </w:tcPr>
          <w:p w14:paraId="013A3F2B"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130.5</w:t>
            </w:r>
          </w:p>
        </w:tc>
        <w:tc>
          <w:tcPr>
            <w:tcW w:w="1455" w:type="dxa"/>
            <w:shd w:val="clear" w:color="auto" w:fill="auto"/>
          </w:tcPr>
          <w:p w14:paraId="32961536"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474.6</w:t>
            </w:r>
          </w:p>
        </w:tc>
        <w:tc>
          <w:tcPr>
            <w:tcW w:w="1487" w:type="dxa"/>
            <w:shd w:val="clear" w:color="auto" w:fill="auto"/>
          </w:tcPr>
          <w:p w14:paraId="42B88220"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b w:val="0"/>
                <w:bCs/>
                <w:sz w:val="20"/>
                <w:szCs w:val="20"/>
                <w:lang w:val="hy-AM"/>
              </w:rPr>
              <w:t>866.3</w:t>
            </w:r>
          </w:p>
        </w:tc>
        <w:tc>
          <w:tcPr>
            <w:tcW w:w="1716" w:type="dxa"/>
            <w:shd w:val="clear" w:color="auto" w:fill="auto"/>
          </w:tcPr>
          <w:p w14:paraId="3B64CBDF"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rFonts w:ascii="Cambria Math" w:hAnsi="Cambria Math"/>
                <w:b w:val="0"/>
                <w:bCs/>
                <w:sz w:val="20"/>
                <w:szCs w:val="20"/>
                <w:lang w:val="hy-AM"/>
              </w:rPr>
            </w:pPr>
            <w:r w:rsidRPr="0078250D">
              <w:rPr>
                <w:b w:val="0"/>
                <w:bCs/>
                <w:sz w:val="20"/>
                <w:szCs w:val="20"/>
              </w:rPr>
              <w:t>1,</w:t>
            </w:r>
            <w:r w:rsidRPr="0078250D">
              <w:rPr>
                <w:b w:val="0"/>
                <w:bCs/>
                <w:sz w:val="20"/>
                <w:szCs w:val="20"/>
                <w:lang w:val="hy-AM"/>
              </w:rPr>
              <w:t>877</w:t>
            </w:r>
          </w:p>
        </w:tc>
      </w:tr>
      <w:tr w:rsidR="0078250D" w:rsidRPr="0078250D" w14:paraId="7AA47770" w14:textId="77777777" w:rsidTr="000F26BC">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58DD41F6" w14:textId="77777777" w:rsidR="0078250D" w:rsidRPr="0078250D" w:rsidRDefault="0078250D" w:rsidP="000F26BC">
            <w:pPr>
              <w:spacing w:line="240" w:lineRule="auto"/>
              <w:ind w:firstLine="37"/>
              <w:jc w:val="left"/>
              <w:rPr>
                <w:sz w:val="20"/>
                <w:szCs w:val="20"/>
                <w:lang w:val="hy-AM"/>
              </w:rPr>
            </w:pPr>
            <w:r w:rsidRPr="0078250D">
              <w:rPr>
                <w:sz w:val="20"/>
                <w:szCs w:val="20"/>
                <w:lang w:val="hy-AM"/>
              </w:rPr>
              <w:t>Սուբսիդիա, մլն դրամ</w:t>
            </w:r>
          </w:p>
        </w:tc>
        <w:tc>
          <w:tcPr>
            <w:tcW w:w="1583" w:type="dxa"/>
            <w:shd w:val="clear" w:color="auto" w:fill="auto"/>
          </w:tcPr>
          <w:p w14:paraId="3B386EF5"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69</w:t>
            </w:r>
          </w:p>
        </w:tc>
        <w:tc>
          <w:tcPr>
            <w:tcW w:w="1455" w:type="dxa"/>
            <w:shd w:val="clear" w:color="auto" w:fill="auto"/>
          </w:tcPr>
          <w:p w14:paraId="7F0578C1"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275.9</w:t>
            </w:r>
          </w:p>
        </w:tc>
        <w:tc>
          <w:tcPr>
            <w:tcW w:w="1487" w:type="dxa"/>
            <w:shd w:val="clear" w:color="auto" w:fill="auto"/>
          </w:tcPr>
          <w:p w14:paraId="0FF67675"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b w:val="0"/>
                <w:bCs/>
                <w:sz w:val="20"/>
                <w:szCs w:val="20"/>
                <w:lang w:val="hy-AM"/>
              </w:rPr>
              <w:t>513.6</w:t>
            </w:r>
          </w:p>
        </w:tc>
        <w:tc>
          <w:tcPr>
            <w:tcW w:w="1716" w:type="dxa"/>
            <w:shd w:val="clear" w:color="auto" w:fill="auto"/>
          </w:tcPr>
          <w:p w14:paraId="7D2B212B"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b w:val="0"/>
                <w:bCs/>
                <w:sz w:val="20"/>
                <w:szCs w:val="20"/>
                <w:lang w:val="hy-AM"/>
              </w:rPr>
              <w:t>1,108</w:t>
            </w:r>
          </w:p>
        </w:tc>
      </w:tr>
      <w:tr w:rsidR="0078250D" w:rsidRPr="0078250D" w14:paraId="594BF9CB" w14:textId="77777777" w:rsidTr="000F26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1286F79B" w14:textId="77777777" w:rsidR="0078250D" w:rsidRPr="0078250D" w:rsidRDefault="0078250D" w:rsidP="000F26BC">
            <w:pPr>
              <w:spacing w:line="240" w:lineRule="auto"/>
              <w:ind w:firstLine="37"/>
              <w:jc w:val="left"/>
              <w:rPr>
                <w:sz w:val="20"/>
                <w:szCs w:val="20"/>
                <w:lang w:val="hy-AM"/>
              </w:rPr>
            </w:pPr>
            <w:r w:rsidRPr="0078250D">
              <w:rPr>
                <w:sz w:val="20"/>
                <w:szCs w:val="20"/>
                <w:lang w:val="hy-AM"/>
              </w:rPr>
              <w:t>Հատուցումներ</w:t>
            </w:r>
            <w:r w:rsidRPr="0078250D">
              <w:rPr>
                <w:sz w:val="20"/>
                <w:szCs w:val="20"/>
              </w:rPr>
              <w:t xml:space="preserve">, </w:t>
            </w:r>
            <w:r w:rsidRPr="0078250D">
              <w:rPr>
                <w:sz w:val="20"/>
                <w:szCs w:val="20"/>
                <w:lang w:val="hy-AM"/>
              </w:rPr>
              <w:t>մլն դրամ</w:t>
            </w:r>
          </w:p>
        </w:tc>
        <w:tc>
          <w:tcPr>
            <w:tcW w:w="1583" w:type="dxa"/>
            <w:shd w:val="clear" w:color="auto" w:fill="auto"/>
          </w:tcPr>
          <w:p w14:paraId="5ED5A8C8"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151.3</w:t>
            </w:r>
          </w:p>
        </w:tc>
        <w:tc>
          <w:tcPr>
            <w:tcW w:w="1455" w:type="dxa"/>
            <w:shd w:val="clear" w:color="auto" w:fill="auto"/>
          </w:tcPr>
          <w:p w14:paraId="45B8F8B1"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319.1</w:t>
            </w:r>
          </w:p>
        </w:tc>
        <w:tc>
          <w:tcPr>
            <w:tcW w:w="1487" w:type="dxa"/>
            <w:shd w:val="clear" w:color="auto" w:fill="auto"/>
          </w:tcPr>
          <w:p w14:paraId="642977B0"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78250D">
              <w:rPr>
                <w:b w:val="0"/>
                <w:bCs/>
                <w:sz w:val="20"/>
                <w:szCs w:val="20"/>
                <w:lang w:val="hy-AM"/>
              </w:rPr>
              <w:t>1</w:t>
            </w:r>
            <w:r w:rsidRPr="0078250D">
              <w:rPr>
                <w:b w:val="0"/>
                <w:bCs/>
                <w:sz w:val="20"/>
                <w:szCs w:val="20"/>
              </w:rPr>
              <w:t>,</w:t>
            </w:r>
            <w:r w:rsidRPr="0078250D">
              <w:rPr>
                <w:b w:val="0"/>
                <w:bCs/>
                <w:sz w:val="20"/>
                <w:szCs w:val="20"/>
                <w:lang w:val="hy-AM"/>
              </w:rPr>
              <w:t>3</w:t>
            </w:r>
            <w:r w:rsidRPr="0078250D">
              <w:rPr>
                <w:b w:val="0"/>
                <w:bCs/>
                <w:sz w:val="20"/>
                <w:szCs w:val="20"/>
              </w:rPr>
              <w:t>00</w:t>
            </w:r>
          </w:p>
        </w:tc>
        <w:tc>
          <w:tcPr>
            <w:tcW w:w="1716" w:type="dxa"/>
            <w:shd w:val="clear" w:color="auto" w:fill="auto"/>
          </w:tcPr>
          <w:p w14:paraId="25E18F87" w14:textId="77777777" w:rsidR="0078250D" w:rsidRPr="0078250D" w:rsidRDefault="0078250D" w:rsidP="000F26BC">
            <w:pPr>
              <w:spacing w:line="360" w:lineRule="auto"/>
              <w:ind w:left="164"/>
              <w:jc w:val="center"/>
              <w:cnfStyle w:val="000000100000" w:firstRow="0" w:lastRow="0" w:firstColumn="0" w:lastColumn="0" w:oddVBand="0" w:evenVBand="0" w:oddHBand="1" w:evenHBand="0" w:firstRowFirstColumn="0" w:firstRowLastColumn="0" w:lastRowFirstColumn="0" w:lastRowLastColumn="0"/>
              <w:rPr>
                <w:b w:val="0"/>
                <w:bCs/>
                <w:sz w:val="20"/>
                <w:szCs w:val="20"/>
                <w:lang w:val="hy-AM"/>
              </w:rPr>
            </w:pPr>
            <w:r w:rsidRPr="0078250D">
              <w:rPr>
                <w:b w:val="0"/>
                <w:bCs/>
                <w:sz w:val="20"/>
                <w:szCs w:val="20"/>
                <w:lang w:val="hy-AM"/>
              </w:rPr>
              <w:t>1,803</w:t>
            </w:r>
          </w:p>
        </w:tc>
      </w:tr>
      <w:tr w:rsidR="0078250D" w:rsidRPr="0078250D" w14:paraId="77D45046" w14:textId="77777777" w:rsidTr="000F26BC">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52BAD316" w14:textId="77777777" w:rsidR="0078250D" w:rsidRPr="0078250D" w:rsidRDefault="0078250D" w:rsidP="000F26BC">
            <w:pPr>
              <w:spacing w:line="240" w:lineRule="auto"/>
              <w:rPr>
                <w:sz w:val="20"/>
                <w:szCs w:val="20"/>
                <w:lang w:val="hy-AM"/>
              </w:rPr>
            </w:pPr>
            <w:r w:rsidRPr="0078250D">
              <w:rPr>
                <w:sz w:val="20"/>
                <w:szCs w:val="20"/>
                <w:lang w:val="hy-AM"/>
              </w:rPr>
              <w:t>Հատուցումների քանակ</w:t>
            </w:r>
          </w:p>
        </w:tc>
        <w:tc>
          <w:tcPr>
            <w:tcW w:w="1583" w:type="dxa"/>
            <w:shd w:val="clear" w:color="auto" w:fill="auto"/>
          </w:tcPr>
          <w:p w14:paraId="6440D3DF"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rFonts w:eastAsia="Times New Roman"/>
                <w:b w:val="0"/>
                <w:bCs/>
                <w:sz w:val="20"/>
                <w:szCs w:val="20"/>
              </w:rPr>
            </w:pPr>
            <w:r w:rsidRPr="0078250D">
              <w:rPr>
                <w:rFonts w:eastAsia="Times New Roman"/>
                <w:b w:val="0"/>
                <w:bCs/>
                <w:sz w:val="20"/>
                <w:szCs w:val="20"/>
              </w:rPr>
              <w:t>300</w:t>
            </w:r>
          </w:p>
        </w:tc>
        <w:tc>
          <w:tcPr>
            <w:tcW w:w="1455" w:type="dxa"/>
            <w:shd w:val="clear" w:color="auto" w:fill="auto"/>
          </w:tcPr>
          <w:p w14:paraId="260D0CE5"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rFonts w:eastAsia="Times New Roman"/>
                <w:b w:val="0"/>
                <w:bCs/>
                <w:sz w:val="20"/>
                <w:szCs w:val="20"/>
                <w:lang w:val="hy-AM"/>
              </w:rPr>
              <w:t>1517</w:t>
            </w:r>
          </w:p>
        </w:tc>
        <w:tc>
          <w:tcPr>
            <w:tcW w:w="1487" w:type="dxa"/>
            <w:shd w:val="clear" w:color="auto" w:fill="auto"/>
          </w:tcPr>
          <w:p w14:paraId="5DB482D5"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b w:val="0"/>
                <w:bCs/>
                <w:sz w:val="20"/>
                <w:szCs w:val="20"/>
                <w:lang w:val="hy-AM"/>
              </w:rPr>
              <w:t>2167</w:t>
            </w:r>
          </w:p>
        </w:tc>
        <w:tc>
          <w:tcPr>
            <w:tcW w:w="1716" w:type="dxa"/>
            <w:shd w:val="clear" w:color="auto" w:fill="auto"/>
          </w:tcPr>
          <w:p w14:paraId="710C16D1" w14:textId="77777777" w:rsidR="0078250D" w:rsidRPr="0078250D" w:rsidRDefault="0078250D" w:rsidP="000F26BC">
            <w:pPr>
              <w:spacing w:line="360" w:lineRule="auto"/>
              <w:ind w:left="164"/>
              <w:jc w:val="center"/>
              <w:cnfStyle w:val="000000000000" w:firstRow="0" w:lastRow="0" w:firstColumn="0" w:lastColumn="0" w:oddVBand="0" w:evenVBand="0" w:oddHBand="0" w:evenHBand="0" w:firstRowFirstColumn="0" w:firstRowLastColumn="0" w:lastRowFirstColumn="0" w:lastRowLastColumn="0"/>
              <w:rPr>
                <w:b w:val="0"/>
                <w:bCs/>
                <w:sz w:val="20"/>
                <w:szCs w:val="20"/>
                <w:lang w:val="hy-AM"/>
              </w:rPr>
            </w:pPr>
            <w:r w:rsidRPr="0078250D">
              <w:rPr>
                <w:b w:val="0"/>
                <w:bCs/>
                <w:sz w:val="20"/>
                <w:szCs w:val="20"/>
                <w:lang w:val="hy-AM"/>
              </w:rPr>
              <w:t>1975</w:t>
            </w:r>
          </w:p>
        </w:tc>
      </w:tr>
    </w:tbl>
    <w:p w14:paraId="2718937A" w14:textId="77777777" w:rsidR="0078250D" w:rsidRPr="0078250D" w:rsidRDefault="0078250D" w:rsidP="0078250D">
      <w:pPr>
        <w:rPr>
          <w:b w:val="0"/>
          <w:bCs/>
          <w:lang w:val="hy-AM"/>
        </w:rPr>
      </w:pPr>
    </w:p>
    <w:p w14:paraId="74DE8782" w14:textId="77777777" w:rsidR="0078250D" w:rsidRPr="0078250D" w:rsidRDefault="0078250D" w:rsidP="0078250D">
      <w:pPr>
        <w:rPr>
          <w:b w:val="0"/>
          <w:bCs/>
          <w:lang w:val="hy-AM"/>
        </w:rPr>
      </w:pPr>
      <w:r w:rsidRPr="0078250D">
        <w:rPr>
          <w:b w:val="0"/>
          <w:bCs/>
          <w:lang w:val="hy-AM"/>
        </w:rPr>
        <w:t>Հաշվի առնելով, որ Հայաստանը մեծապես ենթարկվում է կլիմայի փոփոխության և երկրում, ինչպես և ամբողջ Հարավային Կովկասում, տեղի է ունենում տեղումների քանակի նվազում, ինչպես նաև հաշվի առնելով սահմանակից որոշ երկրների կողմից համատեղ օգտագործվող գետերի վրա ջրամբարների կառուցումը՝ բերքի ապահովագրությունը բավարար չէ: Անբարենպաստ եղանակային պատահարների ազդեցությունը նվազեցնելու համար անհրաժեշտ են հավելյալ միջոցառումներ, ինչպիսին են՝ միկրո-ոռոգման բարելավված ձևերը և անձրևաջրերի առավել արդյունավետ տեղայնացված հավաքման նպատակով փոքր ջրամբարների կառուցումը: Հայաստանում գյուղատնտեսությունը կլիմայի փոփոխության ամենամեծ ազդեցությունը կրող ոլորտներից մեկն է, ինչը նշված է ՀՀ կառավարության 2021 թ</w:t>
      </w:r>
      <w:r w:rsidRPr="0078250D">
        <w:rPr>
          <w:rFonts w:ascii="Cambria Math" w:hAnsi="Cambria Math" w:cs="Cambria Math"/>
          <w:b w:val="0"/>
          <w:bCs/>
          <w:lang w:val="hy-AM"/>
        </w:rPr>
        <w:t>․</w:t>
      </w:r>
      <w:r w:rsidRPr="0078250D">
        <w:rPr>
          <w:b w:val="0"/>
          <w:bCs/>
          <w:lang w:val="hy-AM"/>
        </w:rPr>
        <w:t xml:space="preserve"> մայիսի 13-ի թիվ 749-Լ որոշմամբ հաստատված «2021-2025թթ. Հարմարվողականության ազգային ծրագրում»: </w:t>
      </w:r>
    </w:p>
    <w:p w14:paraId="18017E6A" w14:textId="77777777" w:rsidR="0078250D" w:rsidRPr="0078250D" w:rsidRDefault="0078250D" w:rsidP="0078250D">
      <w:pPr>
        <w:rPr>
          <w:b w:val="0"/>
          <w:bCs/>
          <w:lang w:val="hy-AM"/>
        </w:rPr>
      </w:pPr>
      <w:r w:rsidRPr="0078250D">
        <w:rPr>
          <w:b w:val="0"/>
          <w:bCs/>
          <w:lang w:val="hy-AM"/>
        </w:rPr>
        <w:t>2017 թվականի ապրիլի 6-ի թիվ 14 արձանագրային որոշմամբ հավանության արժանացած Աղետների ռիսկի կառավարման ազգային ռազմավարությունը և դրա իրականացման գործողությունների ծրագիրը ՀՀ կառավարության 21.10.2021թ. թիվ 1728-Ն</w:t>
      </w:r>
      <w:r w:rsidRPr="0078250D">
        <w:rPr>
          <w:rFonts w:cs="Arian AMU"/>
          <w:b w:val="0"/>
          <w:bCs/>
          <w:shd w:val="clear" w:color="auto" w:fill="FFFFFF"/>
          <w:lang w:val="hy-AM"/>
        </w:rPr>
        <w:t xml:space="preserve"> </w:t>
      </w:r>
      <w:r w:rsidRPr="0078250D">
        <w:rPr>
          <w:b w:val="0"/>
          <w:bCs/>
          <w:lang w:val="hy-AM"/>
        </w:rPr>
        <w:t>որոշմամբ ճանաչվել է անվավեր: 2022 թվականին Արտակարգ իրավիճակների նախարարության կողմից «Աղետների ռիսկի կառավարման ազգային ռազմավարությունը և դրա իրականացման գործողությունների ծրագիրը հաստատելու մասին» ՀՀ կառավարության որոշման նախագիծը հաստատման փուլում է:</w:t>
      </w:r>
    </w:p>
    <w:p w14:paraId="0C5B6979" w14:textId="77777777" w:rsidR="0078250D" w:rsidRPr="0078250D" w:rsidRDefault="0078250D" w:rsidP="0078250D">
      <w:pPr>
        <w:rPr>
          <w:b w:val="0"/>
          <w:bCs/>
          <w:lang w:val="hy-AM"/>
        </w:rPr>
      </w:pPr>
      <w:r w:rsidRPr="0078250D">
        <w:rPr>
          <w:b w:val="0"/>
          <w:bCs/>
          <w:lang w:val="hy-AM"/>
        </w:rPr>
        <w:t xml:space="preserve">«Սեյսմիկ պաշտպանություն» ծրագրով «Սեյսմիկ պաշտպանության տարածքային ծառայության» ՊՈԱԿ-ի ֆինանսավորումը 2022 թվականին  կազմել է 675839,4 հազ. դրամ, իսկ 2023թ. առաջին եռամսյակում՝ 114892,7 հազ. դրամ: Նշված ծրագրից բացի՝ աղետների հետևանքների վերացման </w:t>
      </w:r>
      <w:r w:rsidRPr="0078250D">
        <w:rPr>
          <w:b w:val="0"/>
          <w:bCs/>
          <w:lang w:val="hy-AM"/>
        </w:rPr>
        <w:lastRenderedPageBreak/>
        <w:t xml:space="preserve">կամ աղետների ռիսկի նվազեցման գործողությունների ուղղությամբ «Սեյսմիկ պաշտպանության տարածքային ծառայության» ՊՈԱԿ-ը լրացուցիչ ծախսեր չի ունեցել:        </w:t>
      </w:r>
    </w:p>
    <w:p w14:paraId="29EA0CF1" w14:textId="77777777" w:rsidR="0078250D" w:rsidRPr="0078250D" w:rsidRDefault="0078250D" w:rsidP="0078250D">
      <w:pPr>
        <w:rPr>
          <w:b w:val="0"/>
          <w:bCs/>
          <w:lang w:val="hy-AM"/>
        </w:rPr>
      </w:pPr>
      <w:r w:rsidRPr="0078250D">
        <w:rPr>
          <w:b w:val="0"/>
          <w:bCs/>
          <w:lang w:val="hy-AM"/>
        </w:rPr>
        <w:t>Հայաստանը նաև մեծապես ենթարկվում է երկրաշարժի ռիսկի՝ ինչպես ցույց է տվել 1988թ. Սպիտակի երկրաշարժը: Երևանի տարածաշրջանը սեյսմագետների կողմից համարվում է բարձր ռիսկի գոտի, մասնավորապես՝ Գառնու խզվածքի պատճառով, և այստեղ առկա է խոշոր, ավերիչ երկրաշարժերի պատմություն: 1988թ. տեղի ունեցած վերջին ավերիչ երկրաշարժի հետևանքով երկրի հյուսիսային շրջաններում պատճառված տնտեսական վնասները կազմել են մոտավորապես 15-20 մլրդ ԱՄՆ դոլար: Նշված վնասները գերազանցում էին նախկին Հայկական ԽՍՀ ՀՆԱ-ն:</w:t>
      </w:r>
    </w:p>
    <w:p w14:paraId="12FF460E" w14:textId="77777777" w:rsidR="0078250D" w:rsidRPr="0078250D" w:rsidRDefault="0078250D" w:rsidP="0078250D">
      <w:pPr>
        <w:rPr>
          <w:b w:val="0"/>
          <w:bCs/>
          <w:lang w:val="hy-AM"/>
        </w:rPr>
      </w:pPr>
      <w:r w:rsidRPr="0078250D">
        <w:rPr>
          <w:b w:val="0"/>
          <w:bCs/>
          <w:lang w:val="hy-AM"/>
        </w:rPr>
        <w:t>Համաձայն աղետների ռիսկի կառավարման վերաբերյալ ԱԶԲ 2014թ. զեկույցի, Երևանում 7.0 բալ ուժգնությամբ երկրաշարժի հետևանքով կարող է զոհվել մինչև 300 հազար մարդ, ինչը պայմանավորված է ոչ համարժեք, խորհրդային ժամանակաշրջանի մեծաթիվ շենքերի, հատկապես՝ խոշոր բազմաբնակարան շենքերի առկայությամբ: Նախնական ուսումնասիրությունները ցույց են տալիս, որ տնտեսական վնասները կարող են կազմել մինչև ՀՆԱ 100 տոկոսը (Համաշխարհային Բանկ և ԱԶԲ):</w:t>
      </w:r>
    </w:p>
    <w:p w14:paraId="662F4C05" w14:textId="77777777" w:rsidR="0078250D" w:rsidRPr="0078250D" w:rsidRDefault="0078250D" w:rsidP="0078250D">
      <w:pPr>
        <w:rPr>
          <w:b w:val="0"/>
          <w:bCs/>
          <w:lang w:val="hy-AM"/>
        </w:rPr>
      </w:pPr>
      <w:r w:rsidRPr="0078250D">
        <w:rPr>
          <w:b w:val="0"/>
          <w:bCs/>
          <w:lang w:val="hy-AM"/>
        </w:rPr>
        <w:t xml:space="preserve">2017թ. ապրիլի 8-ին ուժի մեջ է մտել «Սեյսմիկ պաշտպանության մասին» ՀՀ օրենքի փոփոխությունը (ՀՀ ԱԺ, ՀՕ-53-Ն)՝ որպես Աղետների ռիսկի նվազեցման ազգային ռազմավարության ներքո 1-ին գործողությունների ծրագրի մաս: </w:t>
      </w:r>
    </w:p>
    <w:p w14:paraId="3F8439DA" w14:textId="77777777" w:rsidR="0078250D" w:rsidRPr="0078250D" w:rsidRDefault="0078250D" w:rsidP="0078250D">
      <w:pPr>
        <w:rPr>
          <w:b w:val="0"/>
          <w:bCs/>
          <w:lang w:val="hy-AM"/>
        </w:rPr>
      </w:pPr>
      <w:r w:rsidRPr="0078250D">
        <w:rPr>
          <w:b w:val="0"/>
          <w:bCs/>
          <w:lang w:val="hy-AM"/>
        </w:rPr>
        <w:t xml:space="preserve">2016թ. մեկնարկել է «Հանրակրթական դպրոցների սեյսմիկ անվտանգության բարելավման ծրագիրը», որը նախատեսված է ավարտել 2024 թվականի մայիս ամսին: Ծրագրին աջակցություն է տրամադրում Ասիական Զարգացման Բանկը: Ծրագրի շրջանակներում ընդգրկված են 46 դպրոցներ, որոնցից 26-ը ենթակա են առաջնահերթ ամրացման կամ փոխարինման նոր կառուցվող դպրոցներով: Ծրագրի շրջանակներում նախատեսվում է անվտանգ կրթական պայմաններ ստեղծել 19800 աշակերտների համար, ինչը կազմում է պետական դպրոցներում սովորող աշակերտների 5%։ ՀՀ 2021թ. պետական բյուջեով ծրագրի իրականացման համար նախատեսված է 4.1 մլրդ դրամ: 2022թ. ծրագրի իրականացման համար հատկացվել է 7.7 մլրդ դրամ 31 դպրոցների համար, իսկ 2023թ. 1ին եռամսյակում՝ 1.8 մլրդ դրամ, որտեղ  սովորում են ընդհանուր 18327 աշակերտներ:  </w:t>
      </w:r>
    </w:p>
    <w:p w14:paraId="4EAC3876" w14:textId="77777777" w:rsidR="0078250D" w:rsidRPr="0078250D" w:rsidRDefault="0078250D" w:rsidP="0078250D">
      <w:pPr>
        <w:pBdr>
          <w:top w:val="single" w:sz="4" w:space="1" w:color="auto"/>
          <w:left w:val="single" w:sz="4" w:space="4" w:color="auto"/>
          <w:bottom w:val="single" w:sz="4" w:space="1" w:color="auto"/>
          <w:right w:val="single" w:sz="4" w:space="4" w:color="auto"/>
        </w:pBdr>
        <w:shd w:val="clear" w:color="auto" w:fill="D9D9D9"/>
        <w:ind w:firstLine="720"/>
        <w:rPr>
          <w:b w:val="0"/>
          <w:bCs/>
          <w:lang w:val="hy-AM"/>
        </w:rPr>
      </w:pPr>
      <w:r w:rsidRPr="0078250D">
        <w:rPr>
          <w:b w:val="0"/>
          <w:bCs/>
          <w:lang w:val="hy-AM"/>
        </w:rPr>
        <w:t xml:space="preserve">Կարողությունների զարգացման առումով, համապատասխան նախարարների համատեղ հրամանների շրջանակներում ՀՀ ԱԻՆ Փրկարար ծառայության տարածքային ստորաբաժանումները աղետների ռիսկի կառավարման պլանների մշակման ուղղությամբ մեթադաբանական աջակցություն են ցուցաբերում հանրակրթական, նախադպրոցական ուսումնական հաստատություններին, նախնական, միջին և բարձրագույն մասնագիտական հաստատություններին և առողջապահական հաստատություններին: ՀՀ մարզերի և Երևան քաղաքի համար մշակվել են աշխարհագրական ոլորտային քարտեզներ, որոնցում ներկայացված է տեղեկատվություն հրշեջ-փրկարարական ջոկատների տեղակայման վայրերի, սպասարկման տարածքների, ճանապարհային ցանցի, ջրագրության, համայնքային բաժանումների և այլնի վերաբերյալ: </w:t>
      </w:r>
    </w:p>
    <w:p w14:paraId="3FFEDFA8" w14:textId="77777777" w:rsidR="0078250D" w:rsidRPr="0078250D" w:rsidRDefault="0078250D" w:rsidP="0078250D">
      <w:pPr>
        <w:rPr>
          <w:b w:val="0"/>
          <w:bCs/>
          <w:lang w:val="hy-AM"/>
        </w:rPr>
      </w:pPr>
      <w:r w:rsidRPr="0078250D">
        <w:rPr>
          <w:b w:val="0"/>
          <w:bCs/>
          <w:lang w:val="hy-AM"/>
        </w:rPr>
        <w:t xml:space="preserve">Կենսաբանական վտանգների առումով, ինչպես այլ երկրներում, այնպես էլ ՀՀ-ում, Covid-19 համավարակի տարածումը՝ չնայած վաղ ձեռնարկված միջոցառումներին, տարբեր կասկադային </w:t>
      </w:r>
      <w:r w:rsidRPr="0078250D">
        <w:rPr>
          <w:b w:val="0"/>
          <w:bCs/>
          <w:lang w:val="hy-AM"/>
        </w:rPr>
        <w:lastRenderedPageBreak/>
        <w:t xml:space="preserve">ազդեցությունների միջոցով վերածվեց տնտեսական և սոցիալական ճգնաժամի՝ 2020թ. տեղի ունեցած տնտեսական անկմամբ: Կորոնավիրուսային համավարակի տնտեսական ու սոցիալական հետևանքների չեզոքացման համար 2020թ. և 2021թ. Բյուջեից նախատեսվել էր համապատասխանաբար՝ 71.8 մլրդ ՀՀ դրամ և 23.7 մլրդ ՀՀ դրամ: </w:t>
      </w:r>
    </w:p>
    <w:p w14:paraId="2FD7133D" w14:textId="77777777" w:rsidR="0078250D" w:rsidRPr="0078250D" w:rsidRDefault="0078250D" w:rsidP="0078250D">
      <w:pPr>
        <w:ind w:firstLine="720"/>
        <w:rPr>
          <w:b w:val="0"/>
          <w:bCs/>
          <w:lang w:val="hy-AM"/>
        </w:rPr>
      </w:pPr>
    </w:p>
    <w:p w14:paraId="6909D184" w14:textId="77777777" w:rsidR="0078250D" w:rsidRPr="00347B32" w:rsidRDefault="0078250D" w:rsidP="0078250D">
      <w:pPr>
        <w:rPr>
          <w:lang w:val="hy-AM"/>
        </w:rPr>
      </w:pPr>
      <w:r w:rsidRPr="00347B32">
        <w:rPr>
          <w:lang w:val="hy-AM"/>
        </w:rPr>
        <w:t>Պետության դեմ իրականացվող դատական վարույթներից առաջացող ֆիսկալ ռիսկեր</w:t>
      </w:r>
    </w:p>
    <w:p w14:paraId="38B7A44C" w14:textId="77777777" w:rsidR="0078250D" w:rsidRPr="0078250D" w:rsidRDefault="0078250D" w:rsidP="0078250D">
      <w:pPr>
        <w:rPr>
          <w:b w:val="0"/>
          <w:bCs/>
          <w:lang w:val="hy-AM"/>
        </w:rPr>
      </w:pPr>
      <w:r w:rsidRPr="0078250D">
        <w:rPr>
          <w:b w:val="0"/>
          <w:bCs/>
          <w:lang w:val="hy-AM"/>
        </w:rPr>
        <w:t xml:space="preserve">ՀՀ դատարաններում ՀՀ ֆինանսների նախարարության մասնակցությամբ պետության դեմ քննվող հայցերի քանակը 2023թ. մայիսի դրությամբ կազմում է 1096, ընդհանուրը 4.508.336.479 ՀՀ դրամ, 6.631.200 ԱՄՆ դոլար, 3.600.000 չեխական կրոն, 606.5 եվրո և 450.000 ՌԴ ռուբլի հայցագնի չափով: </w:t>
      </w:r>
    </w:p>
    <w:p w14:paraId="7826CE4C" w14:textId="77777777" w:rsidR="0078250D" w:rsidRPr="0078250D" w:rsidRDefault="0078250D" w:rsidP="0078250D">
      <w:pPr>
        <w:rPr>
          <w:b w:val="0"/>
          <w:bCs/>
          <w:lang w:val="hy-AM"/>
        </w:rPr>
      </w:pPr>
      <w:r w:rsidRPr="0078250D">
        <w:rPr>
          <w:b w:val="0"/>
          <w:bCs/>
          <w:lang w:val="hy-AM"/>
        </w:rPr>
        <w:t>Բացի վերը նշված հայցերից, առկա են առավել նշանակալի այլ հայցեր՝ ընդդեմ ՀՀ Պետական եկամուտների կոմիտեի: Ներկայացված հայցերով 2023 թվականի հոկտեմբերի 1-ի դրությամբ ՀՀ դատարաններում վիճարկվում է  6176 դատական գործ՝ մոտ 159.1 մլրդ ՀՀ դրամ գումարի չափով։ 2022-2023թթ. միջազգային արբիտրաժային դատարաններում ընդդեմ Հայաստանի Հանրապետության ներկայացված հայցերի թիվը վեցն է՝ մոտ 177 մլրդ ՀՀ դրամ հայցագնով (գնահատված լինելու դեպքում գումարը ներառում է արբիտրաժային ծախսեր և տոկոսներ)։</w:t>
      </w:r>
    </w:p>
    <w:p w14:paraId="03C53FE3" w14:textId="77777777" w:rsidR="0078250D" w:rsidRPr="0078250D" w:rsidRDefault="0078250D" w:rsidP="0078250D">
      <w:pPr>
        <w:rPr>
          <w:b w:val="0"/>
          <w:bCs/>
          <w:lang w:val="hy-AM"/>
        </w:rPr>
      </w:pPr>
      <w:r w:rsidRPr="0078250D">
        <w:rPr>
          <w:b w:val="0"/>
          <w:bCs/>
          <w:lang w:val="hy-AM"/>
        </w:rPr>
        <w:t>2021-2023թթ. կոմունիկացված ՄԻԵԴ գործերով դիմումատուների թիվը կազմում է 64, իսկ պահանջած գումարները՝ մոտ 6.9 մլն եվրո, 2.9 մլրդ ՀՀ դրամ։</w:t>
      </w:r>
    </w:p>
    <w:p w14:paraId="413087C2" w14:textId="77777777" w:rsidR="0078250D" w:rsidRPr="0078250D" w:rsidRDefault="0078250D" w:rsidP="0078250D">
      <w:pPr>
        <w:rPr>
          <w:b w:val="0"/>
          <w:bCs/>
          <w:lang w:val="hy-AM"/>
        </w:rPr>
      </w:pPr>
      <w:r w:rsidRPr="0078250D">
        <w:rPr>
          <w:b w:val="0"/>
          <w:bCs/>
          <w:lang w:val="hy-AM"/>
        </w:rPr>
        <w:t>Բոլոր կառույցներում ներկայացված հայցերի հանրագումարը կազմում է մոտ 339 մլրդ ՀՀ դրամ: Նախորդ տարի այն կազմել է 349 մլրդ ՀՀ դրամ։</w:t>
      </w:r>
    </w:p>
    <w:p w14:paraId="7DD50254" w14:textId="77777777" w:rsidR="0078250D" w:rsidRPr="0078250D" w:rsidRDefault="0078250D" w:rsidP="0078250D">
      <w:pPr>
        <w:rPr>
          <w:b w:val="0"/>
          <w:bCs/>
          <w:lang w:val="hy-AM"/>
        </w:rPr>
      </w:pPr>
      <w:r w:rsidRPr="0078250D">
        <w:rPr>
          <w:b w:val="0"/>
          <w:bCs/>
          <w:lang w:val="hy-AM"/>
        </w:rPr>
        <w:t>Անհրաժեշտ է նշել, որ ռիսկի իրական մակարդակը շատ ավելի ցածր է, քանի որ հայցվորները ոչ բոլոր գործերն են հաղթում, իսկ հաղթելու պարագայում վճռով հաճախ սահմանվում են ավելի փոքր գումարներ:</w:t>
      </w:r>
    </w:p>
    <w:p w14:paraId="497F5679" w14:textId="77777777" w:rsidR="0078250D" w:rsidRPr="00347B32" w:rsidRDefault="0078250D" w:rsidP="0078250D">
      <w:pPr>
        <w:rPr>
          <w:lang w:val="hy-AM"/>
        </w:rPr>
      </w:pPr>
      <w:r w:rsidRPr="00347B32">
        <w:rPr>
          <w:lang w:val="hy-AM"/>
        </w:rPr>
        <w:t>Հնարավոր բնապահպանական ռիսկերի կառավարմանն ուղղված միջոցառումներ և պարտավորությունների գնահատման հետ կապված խնդիրներ</w:t>
      </w:r>
    </w:p>
    <w:p w14:paraId="352545EF" w14:textId="77777777" w:rsidR="0078250D" w:rsidRPr="0078250D" w:rsidRDefault="0078250D" w:rsidP="0078250D">
      <w:pPr>
        <w:rPr>
          <w:b w:val="0"/>
          <w:bCs/>
          <w:lang w:val="hy-AM"/>
        </w:rPr>
      </w:pPr>
      <w:r w:rsidRPr="0078250D">
        <w:rPr>
          <w:b w:val="0"/>
          <w:bCs/>
          <w:lang w:val="hy-AM"/>
        </w:rPr>
        <w:t xml:space="preserve">Ընդհանուր առմամբ, բնապահպանական ռիսկերի կառավարման նպատակով առկա չէ վերջիններիս իրականացման դեպքում հնարավոր տնտեսական և ֆիսկալ վնասների հաշվարկման մեթոդաբանություն։ Առանց վերջինիս առկայության ֆիսկալ ռիսկերի գնահատման շրջանակներում բնապահմանական ռիսկերին հնարավոր է անդրադառնալ միայն փաստերի (տվյալ դեպքում, ստորև նշված) արձանագրման միջոցով։ </w:t>
      </w:r>
    </w:p>
    <w:p w14:paraId="71F8C3D4" w14:textId="77777777" w:rsidR="0078250D" w:rsidRPr="0078250D" w:rsidRDefault="0078250D" w:rsidP="0078250D">
      <w:pPr>
        <w:rPr>
          <w:b w:val="0"/>
          <w:bCs/>
          <w:lang w:val="hy-AM"/>
        </w:rPr>
      </w:pPr>
      <w:r w:rsidRPr="0078250D">
        <w:rPr>
          <w:b w:val="0"/>
          <w:bCs/>
          <w:lang w:val="hy-AM"/>
        </w:rPr>
        <w:t xml:space="preserve">ՀՀ շրջակա միջավայրի նախարարության (ՇՄՆ) քարտեզագրման արդյունքում առկա է մոտ 2500 սողանքային տարածքներ և ներկայում խնդրի լուծման ֆինանսավորման աղբյուր դիտարկվում է ՀՀ կառավարության պահուստային ֆոնդը: Թունավոր թափոնների տեղամասերի հետ կապված ռիսկերից խուսափելու նպատակով նշված տարածքներում հանքարդյունաբերական գործունեության թույլտվություններ չեն տրամադրվում: </w:t>
      </w:r>
    </w:p>
    <w:p w14:paraId="6F7D8C55" w14:textId="77777777" w:rsidR="0078250D" w:rsidRPr="0078250D" w:rsidRDefault="0078250D" w:rsidP="0078250D">
      <w:pPr>
        <w:rPr>
          <w:b w:val="0"/>
          <w:bCs/>
          <w:lang w:val="hy-AM"/>
        </w:rPr>
      </w:pPr>
      <w:r w:rsidRPr="0078250D">
        <w:rPr>
          <w:b w:val="0"/>
          <w:bCs/>
          <w:lang w:val="hy-AM"/>
        </w:rPr>
        <w:t xml:space="preserve">ՇՄՆ նույնականացրել է հնարավոր բնապահպանական պարտավորություններ ենթադրող 44 տեղամասեր, որոնք առաջացել են դեռևս խորհրդային ժամանակաշրջանում, հիմնականում հանքարդյունաբերական ծագումով: Վերականգնման նպատակով ՇՄՆ կողմից առաջնահերթ են </w:t>
      </w:r>
      <w:r w:rsidRPr="0078250D">
        <w:rPr>
          <w:b w:val="0"/>
          <w:bCs/>
          <w:lang w:val="hy-AM"/>
        </w:rPr>
        <w:lastRenderedPageBreak/>
        <w:t>համարվել 10 վայրեր, որից 2019թ. վերականգնել է միայն մեկ տեղամաս, իսկ 2020թ. նման աշխատանքներ չեն իրականացվել: ՇՄՆ նաև իրականացնում է ջրի խորքային հորերի որակի ուսումնասիրություններ՝ հնարավոր ռիսկերը բացահայտելու նպատակով։</w:t>
      </w:r>
    </w:p>
    <w:p w14:paraId="3E7D7D82" w14:textId="77777777" w:rsidR="0078250D" w:rsidRPr="0078250D" w:rsidRDefault="0078250D" w:rsidP="0078250D">
      <w:pPr>
        <w:rPr>
          <w:b w:val="0"/>
          <w:bCs/>
          <w:lang w:val="hy-AM"/>
        </w:rPr>
      </w:pPr>
      <w:r w:rsidRPr="0078250D">
        <w:rPr>
          <w:b w:val="0"/>
          <w:bCs/>
          <w:lang w:val="hy-AM"/>
        </w:rPr>
        <w:t>Այսպիսի տեղամասերից ծագող հնարավոր պարտավորությունները չափազանց բարդ է նախապես հաշվարկել, սակայն կարևորագույն խնդիրը՝ վերականգնման կարիք ունեցող տեղամասերի նույնականացումն ու մանրակրկիտ ուսումնասիրությունն է՝ ծախսերի նախնական հաշվարկներ կատարելու նպատակով:</w:t>
      </w:r>
    </w:p>
    <w:p w14:paraId="6F44BBF7" w14:textId="77777777" w:rsidR="0078250D" w:rsidRPr="0078250D" w:rsidRDefault="0078250D" w:rsidP="0078250D">
      <w:pPr>
        <w:rPr>
          <w:b w:val="0"/>
          <w:bCs/>
          <w:lang w:val="hy-AM"/>
        </w:rPr>
      </w:pPr>
      <w:r w:rsidRPr="0078250D">
        <w:rPr>
          <w:b w:val="0"/>
          <w:bCs/>
          <w:lang w:val="hy-AM"/>
        </w:rPr>
        <w:t>Ներկայիս դրությամբ բնապահպանական վերականգման ծախսերի ընդհանուր գնահատված գումարը կազմում է մոտ է 7.8 մլրդ դրամ, սակայն ծախսերը կարող են էականորեն ավելի բարձր լինել ՝ կախված մոտակա տարիների համար պլանավորած փաստացի տարեկան հատկացումների համարժեքությունից։</w:t>
      </w:r>
    </w:p>
    <w:p w14:paraId="3AEBE778" w14:textId="77777777" w:rsidR="0078250D" w:rsidRPr="0078250D" w:rsidRDefault="0078250D" w:rsidP="0078250D">
      <w:pPr>
        <w:rPr>
          <w:b w:val="0"/>
          <w:bCs/>
          <w:lang w:val="hy-AM"/>
        </w:rPr>
      </w:pPr>
      <w:r w:rsidRPr="0078250D">
        <w:rPr>
          <w:b w:val="0"/>
          <w:bCs/>
          <w:lang w:val="hy-AM"/>
        </w:rPr>
        <w:t xml:space="preserve">Մասնավորապես՝ </w:t>
      </w:r>
    </w:p>
    <w:p w14:paraId="071BC070" w14:textId="77777777" w:rsidR="0078250D" w:rsidRPr="0078250D" w:rsidRDefault="0078250D" w:rsidP="0078250D">
      <w:pPr>
        <w:rPr>
          <w:b w:val="0"/>
          <w:bCs/>
          <w:lang w:val="hy-AM"/>
        </w:rPr>
      </w:pPr>
      <w:r w:rsidRPr="0078250D">
        <w:rPr>
          <w:b w:val="0"/>
          <w:bCs/>
          <w:lang w:val="hy-AM"/>
        </w:rPr>
        <w:t>- Սևանա լճի ջրածածկ և ճահճապատ անտառտնկարկների մաքրում: Մաքրման աշխատանքներն ընթանում են սկսած 2005թ.: ՇՄՆ հաշվարկների համաձայն 2021-2023թթ. ժամանակահատվածի համար պահանջվում է 706.0 մլն դրամ:</w:t>
      </w:r>
    </w:p>
    <w:p w14:paraId="4EB233FF" w14:textId="77777777" w:rsidR="0078250D" w:rsidRPr="0078250D" w:rsidRDefault="0078250D" w:rsidP="0078250D">
      <w:pPr>
        <w:rPr>
          <w:b w:val="0"/>
          <w:bCs/>
          <w:lang w:val="hy-AM"/>
        </w:rPr>
      </w:pPr>
      <w:r w:rsidRPr="0078250D">
        <w:rPr>
          <w:b w:val="0"/>
          <w:bCs/>
          <w:lang w:val="hy-AM"/>
        </w:rPr>
        <w:t xml:space="preserve">- Սևանա լճից մինչև 1901.5 մետր բացարձակ նիշում գտնվող շենքեր-շինությունների քանդման (ապամոնտաժման) աշխատանքներ: Սևանա լճի մակարդակի բարձրացման հետևանքով քանդման ենթակա են դարձել 68520 մ2 ընդհանուր մակերեսով 1697 շենքեր և շինություններ: </w:t>
      </w:r>
    </w:p>
    <w:p w14:paraId="25819707" w14:textId="77777777" w:rsidR="0078250D" w:rsidRPr="0078250D" w:rsidRDefault="0078250D" w:rsidP="0078250D">
      <w:pPr>
        <w:rPr>
          <w:b w:val="0"/>
          <w:bCs/>
          <w:lang w:val="hy-AM"/>
        </w:rPr>
      </w:pPr>
      <w:r w:rsidRPr="0078250D">
        <w:rPr>
          <w:b w:val="0"/>
          <w:bCs/>
          <w:lang w:val="hy-AM"/>
        </w:rPr>
        <w:t>- Ընդերքօգտագործման թափոնների լքված/տիրազուրկ տեղամասերի և օբյեկտների ռեկուլտիվացիայի նախագծային փաթեթների մշակման աշխատանքներ: Սա առնչվում է վերը նշված հին, շրջակա միջավայրն աղտոտող հանքարդյունաբերական և հարակից ոլորտների 44 տեղամասերին, որոնք ներառում են պոչամբարները: Վտանգավոր և առաջնահերթ համարվող 10 տեղամասերի ամբողջական մաքրման և ռեկուլտիվացիայի ծրագրի մոտավոր արժեքը գնահատվել է 2,216 մլն դրամ:</w:t>
      </w:r>
    </w:p>
    <w:p w14:paraId="778BB5C4" w14:textId="77777777" w:rsidR="0078250D" w:rsidRPr="0078250D" w:rsidRDefault="0078250D" w:rsidP="0078250D">
      <w:pPr>
        <w:rPr>
          <w:b w:val="0"/>
          <w:bCs/>
          <w:lang w:val="hy-AM"/>
        </w:rPr>
      </w:pPr>
      <w:r w:rsidRPr="0078250D">
        <w:rPr>
          <w:b w:val="0"/>
          <w:bCs/>
          <w:lang w:val="hy-AM"/>
        </w:rPr>
        <w:t xml:space="preserve">- Անտառվերականգնման և անտառապատման աշխատանքներ՝ անկախության ձեռքբերմանը հաջորդած ճգնաժամային տարիների ընթացքում անտառների մասշտաբային հատումների փոխհատուցմանն ու սողանքների ռիսկի կրճատմանն օժանդակելու նպատակով: Այս ուղղությամբ աշխատանքները մեկնարկել են դեռևս 2013թ., սակայն մասշտաբային բնույթ են ստացել 2020թ.՝ հաջորդող տարիների համար սահմանված հավակնոտ և աճող թիրախներով: 2021-2024թթ. ծրագրի համար հաշվարկվել է 3,368 մլն դրամ: Սահմանվել է վերջնական թիրախ՝ ՀՀ անտառածածկ տարածքը մինչև 2050թ. հասցնել ավելի քան 20 տոկոսի (ենթադրելի է, որ անհրաժեշտ կլինի ներգրավել լրացուցիչ միջազգային ֆինանսավորում)։ </w:t>
      </w:r>
    </w:p>
    <w:p w14:paraId="45C91252" w14:textId="58966ACF" w:rsidR="0078250D" w:rsidRDefault="0078250D" w:rsidP="0078250D">
      <w:pPr>
        <w:rPr>
          <w:b w:val="0"/>
          <w:bCs/>
          <w:lang w:val="hy-AM"/>
        </w:rPr>
      </w:pPr>
    </w:p>
    <w:p w14:paraId="4DD09FD7" w14:textId="77777777" w:rsidR="0078250D" w:rsidRPr="005A7BCD" w:rsidRDefault="0078250D" w:rsidP="0078250D">
      <w:pPr>
        <w:rPr>
          <w:lang w:val="hy-AM"/>
        </w:rPr>
      </w:pPr>
      <w:r w:rsidRPr="005A7BCD">
        <w:rPr>
          <w:lang w:val="hy-AM"/>
        </w:rPr>
        <w:t>Ֆինանսական համակարգից առաջացող ֆիսկալ ռիսկեր</w:t>
      </w:r>
    </w:p>
    <w:p w14:paraId="5790E2F4" w14:textId="77777777" w:rsidR="0078250D" w:rsidRPr="0078250D" w:rsidRDefault="0078250D" w:rsidP="0078250D">
      <w:pPr>
        <w:rPr>
          <w:b w:val="0"/>
          <w:bCs/>
          <w:lang w:val="hy-AM"/>
        </w:rPr>
      </w:pPr>
      <w:r w:rsidRPr="0078250D">
        <w:rPr>
          <w:b w:val="0"/>
          <w:bCs/>
          <w:lang w:val="hy-AM"/>
        </w:rPr>
        <w:t xml:space="preserve">2022 թվականին բանկային համակարգի գործունեության հիմական ցուցանիշները էապես բարելավվել են։ Շահութաբերության աճին հիմականում նպաստել է ոչ տոկոսային եկամուտների աճը՝ պայմանավորված նոր հաճախորդների մեծ ներհոսքի արդյունքում վճարահաշվարկային և արտարժութային գործառնությունների ծավալների աճով: Գրանցվել է նաև կապիտալի համարժեքության և համակարգի իրացվելիության ցուցանիշների աճ, որի արդյունքում </w:t>
      </w:r>
      <w:r w:rsidRPr="0078250D">
        <w:rPr>
          <w:b w:val="0"/>
          <w:bCs/>
          <w:lang w:val="hy-AM"/>
        </w:rPr>
        <w:lastRenderedPageBreak/>
        <w:t xml:space="preserve">զգալիորեն բարելավվել է նաև բանկային համակարգի կողմից կորուստների կլանման ունակությունը։ </w:t>
      </w:r>
    </w:p>
    <w:p w14:paraId="6C5FA166" w14:textId="77777777" w:rsidR="0078250D" w:rsidRPr="0078250D" w:rsidRDefault="0078250D" w:rsidP="0078250D">
      <w:pPr>
        <w:rPr>
          <w:b w:val="0"/>
          <w:bCs/>
          <w:lang w:val="hy-AM"/>
        </w:rPr>
      </w:pPr>
      <w:r w:rsidRPr="0078250D">
        <w:rPr>
          <w:b w:val="0"/>
          <w:bCs/>
          <w:lang w:val="hy-AM"/>
        </w:rPr>
        <w:t>Տարվա ընթացքում Կենտրոնական բանկի քաղաքականության, տոկոսադրույքի փաստացի բարձրացման, ինչպես նաև դրամավարկային պայմանների խստացման սպասումների պայմաններում դիտվել է ֆինանսական շուկայի գրեթե բոլոր գործիքների, այդ թվում՝ պետական պարտատոմսերի տոկոսադրույքների աճ և գների նվազում։ Այս զարգացումները հիմնականում տեղի են ունեցել աշխարհաքաղաքական ու տնտեսական անորոշությունների ավելացման և արտաքին գնաճի արագացման միջավայրում: Տարեսկզբից միջազգային այցելուների՝ ներքին ծառայությունների նկատմամբ մեծ պահանջարկի և արտերկրից ֆինանսական փոխանցումների զգալի ներհոսքի ազդեցությամբ դրսևորվել են նաև դրամի արժևորման ճնշումներ։</w:t>
      </w:r>
    </w:p>
    <w:p w14:paraId="2BBFC270" w14:textId="77777777" w:rsidR="0078250D" w:rsidRPr="0078250D" w:rsidRDefault="0078250D" w:rsidP="0078250D">
      <w:pPr>
        <w:rPr>
          <w:b w:val="0"/>
          <w:bCs/>
          <w:lang w:val="hy-AM"/>
        </w:rPr>
      </w:pPr>
      <w:r w:rsidRPr="0078250D">
        <w:rPr>
          <w:b w:val="0"/>
          <w:bCs/>
          <w:lang w:val="hy-AM"/>
        </w:rPr>
        <w:t>Հիպոտեկային վարկերի և անշարժ գույքի շուկայում առկա են գերտաքացման ռիսկեր: Վերջին տարիներին հիպոտեկային վարկերի բարձր աճի տեմպերն ու անշարժ գույքի գների աճը փոխլրացրել են միմյանց, և արձանագրվել են թե՛ հիպոտեկային վարկային պորտֆելի, թե անշարժ գույքի գների միջին տարեկան բարձր աճի տեմպեր: Այս հանգամանքը անշարժ գույքի շուկայում գերտաքացման ռիսկերի առկայության ազդակ է: Հիպոտեկային և անշարժ գույքի շուկայում գերտաքացման ռիսկերի մեղմելու նպատակով ՀՀ ԿԲ կողմից ներդրվել և 2022 թվականի ապրիլից ուժի մեջ է պահանջ/գրավի արժեք հարաբերակցության առավելագույն սահմանաչափի մակրոպրուդենցիալ գործիքը:</w:t>
      </w:r>
    </w:p>
    <w:p w14:paraId="76930A3E" w14:textId="77777777" w:rsidR="0078250D" w:rsidRPr="0078250D" w:rsidRDefault="0078250D" w:rsidP="0078250D">
      <w:pPr>
        <w:rPr>
          <w:b w:val="0"/>
          <w:bCs/>
          <w:lang w:val="hy-AM"/>
        </w:rPr>
      </w:pPr>
      <w:r w:rsidRPr="0078250D">
        <w:rPr>
          <w:b w:val="0"/>
          <w:bCs/>
          <w:lang w:val="hy-AM"/>
        </w:rPr>
        <w:t xml:space="preserve">Վարկային ռիսկի մակարդակը պահպանեվել է նույն մակարդակում: Բանկային համակարգն ապահովել է տնտեսության վարկավորման բնականոն աճի տեմպ, ինչը ուղեկցվել է տնտեսվարողների պարտքային բեռի և դրանից ածանցվող վարկային ռիսկի նվազմամբ: Տնտեսական բարձր ակտիվության պայմանններում վարկավորումը աճել է երկնիշ տեմպերով. հիմնական նպաստումը շարունակում են ունենալ հիպոտեկային  վարկերը: Բանկերի կողմից տրամադրված վարկերի աճը (ֆիքսված փոխարժեքով) կազմել է 15.5%, ՀՀ դրամի արժևորման արդյունքում վարկերի դրամային համարժեքն աճել է ընդամենը 5.5%-ով: 2022թ. վարկերի դոլարայնացումը շարունակել է նվազել, ընդ որում ցուցանիշը նվազող է անգամ ՀՀ դրամի արժևորման ազդեցությունը չեզոքացնելու դեպքում: </w:t>
      </w:r>
    </w:p>
    <w:p w14:paraId="01FCD846" w14:textId="77777777" w:rsidR="0078250D" w:rsidRPr="0078250D" w:rsidRDefault="0078250D" w:rsidP="0078250D">
      <w:pPr>
        <w:rPr>
          <w:b w:val="0"/>
          <w:bCs/>
          <w:lang w:val="hy-AM"/>
        </w:rPr>
      </w:pPr>
      <w:r w:rsidRPr="0078250D">
        <w:rPr>
          <w:b w:val="0"/>
          <w:bCs/>
          <w:lang w:val="hy-AM"/>
        </w:rPr>
        <w:t xml:space="preserve">Տնտեսական բարձր ակտիվության և եկամուտների աճի պայմաններում չաշխատող վարկերի կշիռը որոշակի տատանումներով հանդերձ, շարունակել է ցածր մնալ թե՛ երկարաժամկետ միջինից, թե՛ նախքան համավարակի տարածումը եղած մակարդակից: Չաշխատող վարկերի տեսակարար կշիռը 2022թ.-ի տարեվերջին կազմել է 2.8%: Ռեզիդենտներին տրամադրված հիմնական վարկատեսակների շարքում չաշխատող վարկերի տեսակարար կշիռն աճել է միայն բիզնես վարկերի գծով: </w:t>
      </w:r>
    </w:p>
    <w:p w14:paraId="5C01B0B2" w14:textId="77777777" w:rsidR="0078250D" w:rsidRPr="0078250D" w:rsidRDefault="0078250D" w:rsidP="0078250D">
      <w:pPr>
        <w:rPr>
          <w:b w:val="0"/>
          <w:bCs/>
          <w:lang w:val="hy-AM"/>
        </w:rPr>
      </w:pPr>
      <w:r w:rsidRPr="0078250D">
        <w:rPr>
          <w:b w:val="0"/>
          <w:bCs/>
          <w:lang w:val="hy-AM"/>
        </w:rPr>
        <w:t>Արձանագրվել է շուկայական ռիսկերի աճ՝ պայմանավորված առավելապես անշարժ գույքի գների և պետական պարտատոմսերի եկամտաբերության աճերով:</w:t>
      </w:r>
    </w:p>
    <w:p w14:paraId="47E49081" w14:textId="77777777" w:rsidR="0078250D" w:rsidRPr="0078250D" w:rsidRDefault="0078250D" w:rsidP="0078250D">
      <w:pPr>
        <w:rPr>
          <w:b w:val="0"/>
          <w:bCs/>
          <w:lang w:val="hy-AM"/>
        </w:rPr>
      </w:pPr>
      <w:r w:rsidRPr="0078250D">
        <w:rPr>
          <w:b w:val="0"/>
          <w:bCs/>
          <w:lang w:val="hy-AM"/>
        </w:rPr>
        <w:t>Իրացվելիության ռիսկի ամփոփ ցուցանիշը բարելավվել է՝ պայմանավորված բանկային համակարգի կողմից իրացվելիության պաշարների/բուֆերների կուտակմամբ։ Արձանագրվել է բանկային համակարգի իրացվելիության ցուցանիշների աճ, ինչը բնորոշ միտում է եղել ամբողջ տարվա ընթացքում:</w:t>
      </w:r>
    </w:p>
    <w:p w14:paraId="56331CB7" w14:textId="77777777" w:rsidR="0078250D" w:rsidRPr="0078250D" w:rsidRDefault="0078250D" w:rsidP="0078250D">
      <w:pPr>
        <w:spacing w:before="60" w:after="40" w:line="360" w:lineRule="auto"/>
        <w:rPr>
          <w:rFonts w:eastAsia="Calibri" w:cs="Sylfaen"/>
          <w:b w:val="0"/>
          <w:bCs/>
          <w:lang w:val="hy-AM"/>
        </w:rPr>
      </w:pPr>
    </w:p>
    <w:p w14:paraId="01E188BA" w14:textId="77777777" w:rsidR="0078250D" w:rsidRPr="0078250D" w:rsidRDefault="0078250D" w:rsidP="0078250D">
      <w:pPr>
        <w:spacing w:before="60" w:after="40" w:line="360" w:lineRule="auto"/>
        <w:rPr>
          <w:rFonts w:eastAsia="Calibri" w:cs="Sylfaen"/>
          <w:b w:val="0"/>
          <w:bCs/>
          <w:lang w:val="hy-AM"/>
        </w:rPr>
      </w:pPr>
      <w:r w:rsidRPr="00347B32">
        <w:rPr>
          <w:rFonts w:eastAsia="Calibri" w:cs="Sylfaen"/>
          <w:lang w:val="hy-AM"/>
        </w:rPr>
        <w:lastRenderedPageBreak/>
        <w:t>Աղյուսակ 5.10</w:t>
      </w:r>
      <w:r w:rsidRPr="0078250D">
        <w:rPr>
          <w:rFonts w:eastAsia="Calibri" w:cs="Sylfaen"/>
          <w:b w:val="0"/>
          <w:bCs/>
          <w:lang w:val="hy-AM"/>
        </w:rPr>
        <w:t xml:space="preserve"> Բանկային համակարգի ցուցանիշների դինամիկան (%)</w:t>
      </w:r>
    </w:p>
    <w:tbl>
      <w:tblPr>
        <w:tblStyle w:val="TableGrid1"/>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2213"/>
        <w:gridCol w:w="1808"/>
        <w:gridCol w:w="1795"/>
        <w:gridCol w:w="1820"/>
        <w:gridCol w:w="1390"/>
      </w:tblGrid>
      <w:tr w:rsidR="0078250D" w:rsidRPr="00347B32" w14:paraId="71C624DE" w14:textId="77777777" w:rsidTr="000F26BC">
        <w:trPr>
          <w:trHeight w:val="243"/>
        </w:trPr>
        <w:tc>
          <w:tcPr>
            <w:tcW w:w="2213" w:type="dxa"/>
            <w:shd w:val="clear" w:color="auto" w:fill="auto"/>
          </w:tcPr>
          <w:p w14:paraId="4446FECB" w14:textId="77777777" w:rsidR="0078250D" w:rsidRPr="00347B32" w:rsidRDefault="0078250D" w:rsidP="00347B32">
            <w:pPr>
              <w:spacing w:line="240" w:lineRule="auto"/>
              <w:rPr>
                <w:b w:val="0"/>
                <w:bCs/>
                <w:sz w:val="20"/>
                <w:szCs w:val="20"/>
                <w:lang w:val="hy-AM"/>
              </w:rPr>
            </w:pPr>
          </w:p>
        </w:tc>
        <w:tc>
          <w:tcPr>
            <w:tcW w:w="1808" w:type="dxa"/>
            <w:shd w:val="clear" w:color="auto" w:fill="auto"/>
          </w:tcPr>
          <w:p w14:paraId="72A98691" w14:textId="77777777" w:rsidR="0078250D" w:rsidRPr="00347B32" w:rsidRDefault="0078250D" w:rsidP="00347B32">
            <w:pPr>
              <w:spacing w:line="240" w:lineRule="auto"/>
              <w:jc w:val="center"/>
              <w:rPr>
                <w:b w:val="0"/>
                <w:bCs/>
                <w:sz w:val="20"/>
                <w:szCs w:val="20"/>
              </w:rPr>
            </w:pPr>
            <w:r w:rsidRPr="00347B32">
              <w:rPr>
                <w:b w:val="0"/>
                <w:bCs/>
                <w:sz w:val="20"/>
                <w:szCs w:val="20"/>
              </w:rPr>
              <w:t>2020</w:t>
            </w:r>
          </w:p>
        </w:tc>
        <w:tc>
          <w:tcPr>
            <w:tcW w:w="1795" w:type="dxa"/>
            <w:shd w:val="clear" w:color="auto" w:fill="auto"/>
          </w:tcPr>
          <w:p w14:paraId="6C9C4AD4" w14:textId="77777777" w:rsidR="0078250D" w:rsidRPr="00347B32" w:rsidRDefault="0078250D" w:rsidP="00347B32">
            <w:pPr>
              <w:spacing w:line="240" w:lineRule="auto"/>
              <w:jc w:val="center"/>
              <w:rPr>
                <w:b w:val="0"/>
                <w:bCs/>
                <w:sz w:val="20"/>
                <w:szCs w:val="20"/>
              </w:rPr>
            </w:pPr>
            <w:r w:rsidRPr="00347B32">
              <w:rPr>
                <w:b w:val="0"/>
                <w:bCs/>
                <w:sz w:val="20"/>
                <w:szCs w:val="20"/>
              </w:rPr>
              <w:t>2021</w:t>
            </w:r>
          </w:p>
        </w:tc>
        <w:tc>
          <w:tcPr>
            <w:tcW w:w="1820" w:type="dxa"/>
            <w:shd w:val="clear" w:color="auto" w:fill="auto"/>
          </w:tcPr>
          <w:p w14:paraId="42EFA56B" w14:textId="77777777" w:rsidR="0078250D" w:rsidRPr="00347B32" w:rsidRDefault="0078250D" w:rsidP="00347B32">
            <w:pPr>
              <w:spacing w:line="240" w:lineRule="auto"/>
              <w:jc w:val="center"/>
              <w:rPr>
                <w:b w:val="0"/>
                <w:bCs/>
                <w:sz w:val="20"/>
                <w:szCs w:val="20"/>
              </w:rPr>
            </w:pPr>
            <w:r w:rsidRPr="00347B32">
              <w:rPr>
                <w:b w:val="0"/>
                <w:bCs/>
                <w:sz w:val="20"/>
                <w:szCs w:val="20"/>
              </w:rPr>
              <w:t>2022</w:t>
            </w:r>
          </w:p>
        </w:tc>
        <w:tc>
          <w:tcPr>
            <w:tcW w:w="1390" w:type="dxa"/>
          </w:tcPr>
          <w:p w14:paraId="7EA9E431" w14:textId="77777777" w:rsidR="0078250D" w:rsidRPr="00347B32" w:rsidRDefault="0078250D" w:rsidP="00347B32">
            <w:pPr>
              <w:spacing w:line="240" w:lineRule="auto"/>
              <w:jc w:val="center"/>
              <w:rPr>
                <w:b w:val="0"/>
                <w:bCs/>
                <w:sz w:val="20"/>
                <w:szCs w:val="20"/>
              </w:rPr>
            </w:pPr>
            <w:r w:rsidRPr="00347B32">
              <w:rPr>
                <w:b w:val="0"/>
                <w:bCs/>
                <w:sz w:val="20"/>
                <w:szCs w:val="20"/>
              </w:rPr>
              <w:t>2023</w:t>
            </w:r>
          </w:p>
          <w:p w14:paraId="56A42256" w14:textId="77777777" w:rsidR="0078250D" w:rsidRPr="00347B32" w:rsidRDefault="0078250D" w:rsidP="00347B32">
            <w:pPr>
              <w:spacing w:line="240" w:lineRule="auto"/>
              <w:jc w:val="center"/>
              <w:rPr>
                <w:b w:val="0"/>
                <w:bCs/>
                <w:sz w:val="20"/>
                <w:szCs w:val="20"/>
                <w:lang w:val="hy-AM"/>
              </w:rPr>
            </w:pPr>
            <w:r w:rsidRPr="00347B32">
              <w:rPr>
                <w:b w:val="0"/>
                <w:bCs/>
                <w:sz w:val="20"/>
                <w:szCs w:val="20"/>
                <w:lang w:val="hy-AM"/>
              </w:rPr>
              <w:t xml:space="preserve"> սեպտեմբեր</w:t>
            </w:r>
          </w:p>
        </w:tc>
      </w:tr>
      <w:tr w:rsidR="0078250D" w:rsidRPr="00347B32" w14:paraId="79012474" w14:textId="77777777" w:rsidTr="000F26BC">
        <w:tc>
          <w:tcPr>
            <w:tcW w:w="2213" w:type="dxa"/>
            <w:shd w:val="clear" w:color="auto" w:fill="auto"/>
          </w:tcPr>
          <w:p w14:paraId="59813A81" w14:textId="77777777" w:rsidR="0078250D" w:rsidRPr="00347B32" w:rsidRDefault="0078250D" w:rsidP="00347B32">
            <w:pPr>
              <w:spacing w:line="240" w:lineRule="auto"/>
              <w:ind w:firstLine="37"/>
              <w:rPr>
                <w:b w:val="0"/>
                <w:bCs/>
                <w:sz w:val="20"/>
                <w:szCs w:val="20"/>
              </w:rPr>
            </w:pPr>
            <w:r w:rsidRPr="00347B32">
              <w:rPr>
                <w:b w:val="0"/>
                <w:bCs/>
                <w:sz w:val="20"/>
                <w:szCs w:val="20"/>
                <w:lang w:val="hy-AM"/>
              </w:rPr>
              <w:t>Կապիտալի համարժեքություն</w:t>
            </w:r>
            <w:r w:rsidRPr="00347B32">
              <w:rPr>
                <w:b w:val="0"/>
                <w:bCs/>
                <w:sz w:val="20"/>
                <w:szCs w:val="20"/>
              </w:rPr>
              <w:t xml:space="preserve"> (12%)</w:t>
            </w:r>
          </w:p>
        </w:tc>
        <w:tc>
          <w:tcPr>
            <w:tcW w:w="1808" w:type="dxa"/>
            <w:shd w:val="clear" w:color="auto" w:fill="auto"/>
          </w:tcPr>
          <w:p w14:paraId="4DAE4965" w14:textId="77777777" w:rsidR="0078250D" w:rsidRPr="00347B32" w:rsidRDefault="0078250D" w:rsidP="00347B32">
            <w:pPr>
              <w:spacing w:line="240" w:lineRule="auto"/>
              <w:jc w:val="center"/>
              <w:rPr>
                <w:b w:val="0"/>
                <w:bCs/>
                <w:sz w:val="20"/>
                <w:szCs w:val="20"/>
              </w:rPr>
            </w:pPr>
            <w:r w:rsidRPr="00347B32">
              <w:rPr>
                <w:b w:val="0"/>
                <w:bCs/>
                <w:sz w:val="20"/>
                <w:szCs w:val="20"/>
              </w:rPr>
              <w:t>16.9</w:t>
            </w:r>
          </w:p>
        </w:tc>
        <w:tc>
          <w:tcPr>
            <w:tcW w:w="1795" w:type="dxa"/>
            <w:shd w:val="clear" w:color="auto" w:fill="auto"/>
          </w:tcPr>
          <w:p w14:paraId="32427C10" w14:textId="77777777" w:rsidR="0078250D" w:rsidRPr="00347B32" w:rsidRDefault="0078250D" w:rsidP="00347B32">
            <w:pPr>
              <w:spacing w:line="240" w:lineRule="auto"/>
              <w:jc w:val="center"/>
              <w:rPr>
                <w:b w:val="0"/>
                <w:bCs/>
                <w:sz w:val="20"/>
                <w:szCs w:val="20"/>
              </w:rPr>
            </w:pPr>
            <w:r w:rsidRPr="00347B32">
              <w:rPr>
                <w:b w:val="0"/>
                <w:bCs/>
                <w:sz w:val="20"/>
                <w:szCs w:val="20"/>
              </w:rPr>
              <w:t>17.2</w:t>
            </w:r>
          </w:p>
        </w:tc>
        <w:tc>
          <w:tcPr>
            <w:tcW w:w="1820" w:type="dxa"/>
            <w:shd w:val="clear" w:color="auto" w:fill="auto"/>
          </w:tcPr>
          <w:p w14:paraId="3B9E3985" w14:textId="77777777" w:rsidR="0078250D" w:rsidRPr="00347B32" w:rsidRDefault="0078250D" w:rsidP="00347B32">
            <w:pPr>
              <w:spacing w:line="240" w:lineRule="auto"/>
              <w:jc w:val="center"/>
              <w:rPr>
                <w:b w:val="0"/>
                <w:bCs/>
                <w:sz w:val="20"/>
                <w:szCs w:val="20"/>
              </w:rPr>
            </w:pPr>
            <w:r w:rsidRPr="00347B32">
              <w:rPr>
                <w:b w:val="0"/>
                <w:bCs/>
                <w:sz w:val="20"/>
                <w:szCs w:val="20"/>
              </w:rPr>
              <w:t>20.3</w:t>
            </w:r>
          </w:p>
        </w:tc>
        <w:tc>
          <w:tcPr>
            <w:tcW w:w="1390" w:type="dxa"/>
          </w:tcPr>
          <w:p w14:paraId="401176A3" w14:textId="77777777" w:rsidR="0078250D" w:rsidRPr="00347B32" w:rsidRDefault="0078250D" w:rsidP="00347B32">
            <w:pPr>
              <w:spacing w:line="240" w:lineRule="auto"/>
              <w:jc w:val="center"/>
              <w:rPr>
                <w:b w:val="0"/>
                <w:bCs/>
                <w:sz w:val="20"/>
                <w:szCs w:val="20"/>
                <w:lang w:val="hy-AM"/>
              </w:rPr>
            </w:pPr>
            <w:r w:rsidRPr="00347B32">
              <w:rPr>
                <w:b w:val="0"/>
                <w:bCs/>
                <w:sz w:val="20"/>
                <w:szCs w:val="20"/>
                <w:lang w:val="hy-AM"/>
              </w:rPr>
              <w:t xml:space="preserve"> 18.17</w:t>
            </w:r>
          </w:p>
        </w:tc>
      </w:tr>
      <w:tr w:rsidR="0078250D" w:rsidRPr="00347B32" w14:paraId="07ECB41F" w14:textId="77777777" w:rsidTr="000F26BC">
        <w:tc>
          <w:tcPr>
            <w:tcW w:w="2213" w:type="dxa"/>
            <w:shd w:val="clear" w:color="auto" w:fill="auto"/>
          </w:tcPr>
          <w:p w14:paraId="3BE05CCB" w14:textId="77777777" w:rsidR="0078250D" w:rsidRPr="00347B32" w:rsidRDefault="0078250D" w:rsidP="00347B32">
            <w:pPr>
              <w:spacing w:line="240" w:lineRule="auto"/>
              <w:ind w:firstLine="37"/>
              <w:rPr>
                <w:b w:val="0"/>
                <w:bCs/>
                <w:sz w:val="20"/>
                <w:szCs w:val="20"/>
              </w:rPr>
            </w:pPr>
            <w:r w:rsidRPr="00347B32">
              <w:rPr>
                <w:b w:val="0"/>
                <w:bCs/>
                <w:sz w:val="20"/>
                <w:szCs w:val="20"/>
                <w:lang w:val="hy-AM"/>
              </w:rPr>
              <w:t>Ընդհանուր իրացվելիություն</w:t>
            </w:r>
            <w:r w:rsidRPr="00347B32">
              <w:rPr>
                <w:b w:val="0"/>
                <w:bCs/>
                <w:sz w:val="20"/>
                <w:szCs w:val="20"/>
              </w:rPr>
              <w:t xml:space="preserve"> (15%)</w:t>
            </w:r>
          </w:p>
        </w:tc>
        <w:tc>
          <w:tcPr>
            <w:tcW w:w="1808" w:type="dxa"/>
            <w:shd w:val="clear" w:color="auto" w:fill="auto"/>
          </w:tcPr>
          <w:p w14:paraId="2954ABE4" w14:textId="77777777" w:rsidR="0078250D" w:rsidRPr="00347B32" w:rsidRDefault="0078250D" w:rsidP="00347B32">
            <w:pPr>
              <w:spacing w:line="240" w:lineRule="auto"/>
              <w:jc w:val="center"/>
              <w:rPr>
                <w:b w:val="0"/>
                <w:bCs/>
                <w:sz w:val="20"/>
                <w:szCs w:val="20"/>
              </w:rPr>
            </w:pPr>
            <w:r w:rsidRPr="00347B32">
              <w:rPr>
                <w:b w:val="0"/>
                <w:bCs/>
                <w:sz w:val="20"/>
                <w:szCs w:val="20"/>
              </w:rPr>
              <w:t>25.6</w:t>
            </w:r>
          </w:p>
        </w:tc>
        <w:tc>
          <w:tcPr>
            <w:tcW w:w="1795" w:type="dxa"/>
            <w:shd w:val="clear" w:color="auto" w:fill="auto"/>
          </w:tcPr>
          <w:p w14:paraId="305322FE" w14:textId="77777777" w:rsidR="0078250D" w:rsidRPr="00347B32" w:rsidRDefault="0078250D" w:rsidP="00347B32">
            <w:pPr>
              <w:spacing w:line="240" w:lineRule="auto"/>
              <w:jc w:val="center"/>
              <w:rPr>
                <w:b w:val="0"/>
                <w:bCs/>
                <w:sz w:val="20"/>
                <w:szCs w:val="20"/>
              </w:rPr>
            </w:pPr>
            <w:r w:rsidRPr="00347B32">
              <w:rPr>
                <w:b w:val="0"/>
                <w:bCs/>
                <w:sz w:val="20"/>
                <w:szCs w:val="20"/>
              </w:rPr>
              <w:t>32</w:t>
            </w:r>
          </w:p>
        </w:tc>
        <w:tc>
          <w:tcPr>
            <w:tcW w:w="1820" w:type="dxa"/>
            <w:shd w:val="clear" w:color="auto" w:fill="auto"/>
          </w:tcPr>
          <w:p w14:paraId="007249F6" w14:textId="77777777" w:rsidR="0078250D" w:rsidRPr="00347B32" w:rsidRDefault="0078250D" w:rsidP="00347B32">
            <w:pPr>
              <w:spacing w:line="240" w:lineRule="auto"/>
              <w:jc w:val="center"/>
              <w:rPr>
                <w:b w:val="0"/>
                <w:bCs/>
                <w:sz w:val="20"/>
                <w:szCs w:val="20"/>
              </w:rPr>
            </w:pPr>
            <w:r w:rsidRPr="00347B32">
              <w:rPr>
                <w:b w:val="0"/>
                <w:bCs/>
                <w:sz w:val="20"/>
                <w:szCs w:val="20"/>
              </w:rPr>
              <w:t>36.9</w:t>
            </w:r>
          </w:p>
        </w:tc>
        <w:tc>
          <w:tcPr>
            <w:tcW w:w="1390" w:type="dxa"/>
          </w:tcPr>
          <w:p w14:paraId="3B8C141F" w14:textId="77777777" w:rsidR="0078250D" w:rsidRPr="00347B32" w:rsidRDefault="0078250D" w:rsidP="00347B32">
            <w:pPr>
              <w:spacing w:line="240" w:lineRule="auto"/>
              <w:jc w:val="center"/>
              <w:rPr>
                <w:b w:val="0"/>
                <w:bCs/>
                <w:sz w:val="20"/>
                <w:szCs w:val="20"/>
                <w:lang w:val="hy-AM"/>
              </w:rPr>
            </w:pPr>
            <w:r w:rsidRPr="00347B32">
              <w:rPr>
                <w:b w:val="0"/>
                <w:bCs/>
                <w:sz w:val="20"/>
                <w:szCs w:val="20"/>
                <w:lang w:val="hy-AM"/>
              </w:rPr>
              <w:t>35.71</w:t>
            </w:r>
          </w:p>
        </w:tc>
      </w:tr>
      <w:tr w:rsidR="0078250D" w:rsidRPr="00347B32" w14:paraId="01E11395" w14:textId="77777777" w:rsidTr="000F26BC">
        <w:tc>
          <w:tcPr>
            <w:tcW w:w="2213" w:type="dxa"/>
            <w:shd w:val="clear" w:color="auto" w:fill="auto"/>
          </w:tcPr>
          <w:p w14:paraId="1EC6B373" w14:textId="77777777" w:rsidR="0078250D" w:rsidRPr="00347B32" w:rsidRDefault="0078250D" w:rsidP="00347B32">
            <w:pPr>
              <w:spacing w:line="240" w:lineRule="auto"/>
              <w:ind w:firstLine="37"/>
              <w:rPr>
                <w:b w:val="0"/>
                <w:bCs/>
                <w:sz w:val="20"/>
                <w:szCs w:val="20"/>
              </w:rPr>
            </w:pPr>
            <w:r w:rsidRPr="00347B32">
              <w:rPr>
                <w:b w:val="0"/>
                <w:bCs/>
                <w:sz w:val="20"/>
                <w:szCs w:val="20"/>
              </w:rPr>
              <w:t xml:space="preserve"> </w:t>
            </w:r>
            <w:r w:rsidRPr="00347B32">
              <w:rPr>
                <w:b w:val="0"/>
                <w:bCs/>
                <w:sz w:val="20"/>
                <w:szCs w:val="20"/>
                <w:lang w:val="hy-AM"/>
              </w:rPr>
              <w:t xml:space="preserve">Ընթացիկ իրացվելիություն </w:t>
            </w:r>
            <w:r w:rsidRPr="00347B32">
              <w:rPr>
                <w:b w:val="0"/>
                <w:bCs/>
                <w:sz w:val="20"/>
                <w:szCs w:val="20"/>
              </w:rPr>
              <w:t>(60%)</w:t>
            </w:r>
          </w:p>
        </w:tc>
        <w:tc>
          <w:tcPr>
            <w:tcW w:w="1808" w:type="dxa"/>
            <w:shd w:val="clear" w:color="auto" w:fill="auto"/>
          </w:tcPr>
          <w:p w14:paraId="47DF005E" w14:textId="77777777" w:rsidR="0078250D" w:rsidRPr="00347B32" w:rsidRDefault="0078250D" w:rsidP="00347B32">
            <w:pPr>
              <w:spacing w:line="240" w:lineRule="auto"/>
              <w:jc w:val="center"/>
              <w:rPr>
                <w:b w:val="0"/>
                <w:bCs/>
                <w:sz w:val="20"/>
                <w:szCs w:val="20"/>
              </w:rPr>
            </w:pPr>
            <w:r w:rsidRPr="00347B32">
              <w:rPr>
                <w:b w:val="0"/>
                <w:bCs/>
                <w:sz w:val="20"/>
                <w:szCs w:val="20"/>
              </w:rPr>
              <w:t>108.8</w:t>
            </w:r>
          </w:p>
        </w:tc>
        <w:tc>
          <w:tcPr>
            <w:tcW w:w="1795" w:type="dxa"/>
            <w:shd w:val="clear" w:color="auto" w:fill="auto"/>
          </w:tcPr>
          <w:p w14:paraId="511DFBD3" w14:textId="77777777" w:rsidR="0078250D" w:rsidRPr="00347B32" w:rsidRDefault="0078250D" w:rsidP="00347B32">
            <w:pPr>
              <w:spacing w:line="240" w:lineRule="auto"/>
              <w:jc w:val="center"/>
              <w:rPr>
                <w:b w:val="0"/>
                <w:bCs/>
                <w:sz w:val="20"/>
                <w:szCs w:val="20"/>
              </w:rPr>
            </w:pPr>
            <w:r w:rsidRPr="00347B32">
              <w:rPr>
                <w:b w:val="0"/>
                <w:bCs/>
                <w:sz w:val="20"/>
                <w:szCs w:val="20"/>
              </w:rPr>
              <w:t>122.67</w:t>
            </w:r>
          </w:p>
        </w:tc>
        <w:tc>
          <w:tcPr>
            <w:tcW w:w="1820" w:type="dxa"/>
            <w:shd w:val="clear" w:color="auto" w:fill="auto"/>
          </w:tcPr>
          <w:p w14:paraId="0652BA27" w14:textId="77777777" w:rsidR="0078250D" w:rsidRPr="00347B32" w:rsidRDefault="0078250D" w:rsidP="00347B32">
            <w:pPr>
              <w:spacing w:line="240" w:lineRule="auto"/>
              <w:jc w:val="center"/>
              <w:rPr>
                <w:b w:val="0"/>
                <w:bCs/>
                <w:sz w:val="20"/>
                <w:szCs w:val="20"/>
                <w:lang w:val="hy-AM"/>
              </w:rPr>
            </w:pPr>
            <w:r w:rsidRPr="00347B32">
              <w:rPr>
                <w:b w:val="0"/>
                <w:bCs/>
                <w:sz w:val="20"/>
                <w:szCs w:val="20"/>
              </w:rPr>
              <w:t xml:space="preserve"> 102.25</w:t>
            </w:r>
          </w:p>
        </w:tc>
        <w:tc>
          <w:tcPr>
            <w:tcW w:w="1390" w:type="dxa"/>
          </w:tcPr>
          <w:p w14:paraId="2EBC1E3F" w14:textId="77777777" w:rsidR="0078250D" w:rsidRPr="00347B32" w:rsidRDefault="0078250D" w:rsidP="00347B32">
            <w:pPr>
              <w:spacing w:line="240" w:lineRule="auto"/>
              <w:jc w:val="center"/>
              <w:rPr>
                <w:b w:val="0"/>
                <w:bCs/>
                <w:sz w:val="20"/>
                <w:szCs w:val="20"/>
                <w:lang w:val="hy-AM"/>
              </w:rPr>
            </w:pPr>
            <w:r w:rsidRPr="00347B32">
              <w:rPr>
                <w:b w:val="0"/>
                <w:bCs/>
                <w:sz w:val="20"/>
                <w:szCs w:val="20"/>
                <w:lang w:val="hy-AM"/>
              </w:rPr>
              <w:t>102.93</w:t>
            </w:r>
          </w:p>
        </w:tc>
      </w:tr>
    </w:tbl>
    <w:p w14:paraId="32B8F38D" w14:textId="77777777" w:rsidR="0078250D" w:rsidRPr="00347B32" w:rsidRDefault="0078250D" w:rsidP="00347B32">
      <w:pPr>
        <w:spacing w:line="240" w:lineRule="auto"/>
        <w:ind w:firstLine="720"/>
        <w:rPr>
          <w:b w:val="0"/>
          <w:bCs/>
          <w:sz w:val="20"/>
          <w:szCs w:val="20"/>
          <w:lang w:val="hy-AM"/>
        </w:rPr>
      </w:pPr>
    </w:p>
    <w:p w14:paraId="7C643972" w14:textId="77777777" w:rsidR="0078250D" w:rsidRPr="0078250D" w:rsidRDefault="0078250D" w:rsidP="0078250D">
      <w:pPr>
        <w:rPr>
          <w:b w:val="0"/>
          <w:bCs/>
          <w:lang w:val="hy-AM"/>
        </w:rPr>
      </w:pPr>
      <w:r w:rsidRPr="0078250D">
        <w:rPr>
          <w:b w:val="0"/>
          <w:bCs/>
          <w:lang w:val="hy-AM"/>
        </w:rPr>
        <w:t>Ֆինանսական համակարգի կողմից հավանական ռիսկերը կլանելու ունակությունն ամրապնդվել է՝ պայմանավորված բանկային համակարգի բարձր շահութբերությամբ և բարձր կապիտալացվածությամբ: Շահութաբերության աճն ապահովվել է նոր հաճախորդների մեծ ներհոսքի և մատուցվող բանկային ծառայությունների ծավալի ընդլայնման արդյունքում ոչ տոկոսային եկամուտների աճով:</w:t>
      </w:r>
    </w:p>
    <w:p w14:paraId="2BFCB75D" w14:textId="77777777" w:rsidR="0078250D" w:rsidRPr="0078250D" w:rsidRDefault="0078250D" w:rsidP="0078250D">
      <w:pPr>
        <w:rPr>
          <w:b w:val="0"/>
          <w:bCs/>
          <w:lang w:val="hy-AM"/>
        </w:rPr>
      </w:pPr>
      <w:r w:rsidRPr="0078250D">
        <w:rPr>
          <w:b w:val="0"/>
          <w:bCs/>
          <w:lang w:val="hy-AM"/>
        </w:rPr>
        <w:t>Համաձայն, ՀՀ ԿԲ ֆինանսական կայունության հաշվետվության, 2022 թ. ընթացքում մակրոպրուդենցիալ քաղաքականությունը միտված է եղել վարկավորման շուկայի աշխուժացման և տնտեսության բնականոն վարկավորման դեռ 2021 թ. սկսված միտումերի պահպանմանը՝ միաժամանակ կապիտալի բուֆերների կուտակման միջոցով բարձրացնելով բանկային համակարգի կողմից ապագա հնարավոր շոկերին դիմակայելու ունակությունը</w:t>
      </w:r>
      <w:r w:rsidRPr="0078250D">
        <w:rPr>
          <w:b w:val="0"/>
          <w:bCs/>
        </w:rPr>
        <w:footnoteReference w:id="41"/>
      </w:r>
      <w:r w:rsidRPr="0078250D">
        <w:rPr>
          <w:b w:val="0"/>
          <w:bCs/>
          <w:lang w:val="hy-AM"/>
        </w:rPr>
        <w:t>:</w:t>
      </w:r>
    </w:p>
    <w:p w14:paraId="19132276" w14:textId="7E8E5394" w:rsidR="009F36E3" w:rsidRDefault="009F36E3">
      <w:pPr>
        <w:rPr>
          <w:b w:val="0"/>
          <w:bCs/>
          <w:lang w:val="hy-AM"/>
        </w:rPr>
      </w:pPr>
      <w:r>
        <w:rPr>
          <w:b w:val="0"/>
          <w:bCs/>
          <w:lang w:val="hy-AM"/>
        </w:rPr>
        <w:br w:type="page"/>
      </w:r>
    </w:p>
    <w:p w14:paraId="2EE31AD5" w14:textId="77777777" w:rsidR="00A00B8B" w:rsidRPr="00290696" w:rsidRDefault="003A5605" w:rsidP="0009272D">
      <w:pPr>
        <w:pStyle w:val="Heading1"/>
      </w:pPr>
      <w:bookmarkStart w:id="372" w:name="_Toc153184521"/>
      <w:bookmarkEnd w:id="366"/>
      <w:r w:rsidRPr="001F7A3C">
        <w:lastRenderedPageBreak/>
        <w:t xml:space="preserve">5. </w:t>
      </w:r>
      <w:r w:rsidR="00A00B8B" w:rsidRPr="001F7A3C">
        <w:t>202</w:t>
      </w:r>
      <w:r w:rsidR="002249C4" w:rsidRPr="001F7A3C">
        <w:t>4</w:t>
      </w:r>
      <w:r w:rsidR="00A00B8B" w:rsidRPr="001F7A3C">
        <w:t xml:space="preserve"> ԹՎԱԿԱՆԻ ՀԱՐԿԱՅԻՆ ԾԱԽՍԵՐԻ ԳՆԱՀԱՏԱԿԱՆԻ ՎԵՐԼՈՒԾՈՒԹՅՈՒՆ</w:t>
      </w:r>
      <w:bookmarkEnd w:id="372"/>
    </w:p>
    <w:p w14:paraId="5989174C" w14:textId="77777777" w:rsidR="00E84267" w:rsidRPr="007955BB" w:rsidRDefault="00E84267" w:rsidP="00155BCD">
      <w:pPr>
        <w:keepNext/>
        <w:keepLines/>
        <w:rPr>
          <w:szCs w:val="22"/>
          <w:lang w:val="hy-AM" w:eastAsia="en-US"/>
        </w:rPr>
      </w:pPr>
    </w:p>
    <w:p w14:paraId="7B4FA81B" w14:textId="77777777" w:rsidR="002F5E36" w:rsidRPr="00443554" w:rsidRDefault="002F5E36" w:rsidP="00347B32">
      <w:pPr>
        <w:rPr>
          <w:rFonts w:eastAsia="Calibri" w:cs="Calibri"/>
          <w:szCs w:val="22"/>
          <w:lang w:val="hy-AM" w:eastAsia="en-US"/>
        </w:rPr>
      </w:pPr>
      <w:r w:rsidRPr="00443554">
        <w:rPr>
          <w:rFonts w:eastAsia="Calibri" w:cs="Calibri"/>
          <w:szCs w:val="22"/>
          <w:lang w:val="hy-AM" w:eastAsia="en-US"/>
        </w:rPr>
        <w:t>Ն</w:t>
      </w:r>
      <w:r w:rsidRPr="002F5E36">
        <w:rPr>
          <w:rFonts w:eastAsia="Calibri" w:cs="Calibri"/>
          <w:szCs w:val="22"/>
          <w:lang w:val="hy-AM" w:eastAsia="en-US"/>
        </w:rPr>
        <w:t>ախաբան</w:t>
      </w:r>
      <w:r w:rsidRPr="00443554">
        <w:rPr>
          <w:rFonts w:eastAsia="Calibri" w:cs="Calibri"/>
          <w:szCs w:val="22"/>
          <w:lang w:val="hy-AM" w:eastAsia="en-US"/>
        </w:rPr>
        <w:t>.</w:t>
      </w:r>
    </w:p>
    <w:p w14:paraId="39F10A6C" w14:textId="77777777" w:rsidR="002F5E36" w:rsidRPr="00443554" w:rsidRDefault="002F5E36" w:rsidP="00347B32">
      <w:pPr>
        <w:shd w:val="clear" w:color="auto" w:fill="FFFFFF"/>
        <w:rPr>
          <w:rFonts w:cs="Sylfaen"/>
          <w:b w:val="0"/>
          <w:color w:val="000000"/>
          <w:szCs w:val="22"/>
          <w:lang w:val="hy-AM" w:eastAsia="x-none"/>
        </w:rPr>
      </w:pPr>
      <w:r w:rsidRPr="00443554">
        <w:rPr>
          <w:rFonts w:cs="Sylfaen"/>
          <w:b w:val="0"/>
          <w:color w:val="000000"/>
          <w:szCs w:val="22"/>
          <w:lang w:val="hy-AM" w:eastAsia="x-none"/>
        </w:rPr>
        <w:t>Արդյունավետ հարկաբյուջետային քաղաքականություն մշակելու և իրականացնելու տեսանկյունից հարկային ծախսերի գնահատականը խիստ կարևոր է, քանի որ հարկային ծախսերի գնահատմամբ ամբողջականացվում է պետության կողմից իրականացվող` եկամուտների վերաբաշխման գործառույթի շրջանակներն ու արդյունավետությունը:</w:t>
      </w:r>
    </w:p>
    <w:p w14:paraId="6F299963" w14:textId="77777777" w:rsidR="002F5E36" w:rsidRPr="00443554" w:rsidRDefault="002F5E36" w:rsidP="00347B32">
      <w:pPr>
        <w:shd w:val="clear" w:color="auto" w:fill="FFFFFF"/>
        <w:rPr>
          <w:rFonts w:cs="Sylfaen"/>
          <w:b w:val="0"/>
          <w:color w:val="000000"/>
          <w:szCs w:val="22"/>
          <w:lang w:val="hy-AM" w:eastAsia="x-none"/>
        </w:rPr>
      </w:pPr>
      <w:r w:rsidRPr="00443554">
        <w:rPr>
          <w:rFonts w:cs="Sylfaen"/>
          <w:b w:val="0"/>
          <w:color w:val="000000"/>
          <w:szCs w:val="22"/>
          <w:lang w:val="hy-AM" w:eastAsia="x-none"/>
        </w:rPr>
        <w:t>Հարկային ծախսերի գնահատականի վերաբերյալ տեղեկատվությունը թափանցիկ և շահառուների տարբեր խմբերի համար հասանելի դարձնելու նպատակով, որոշ երկրներ այդ տեղեկատվությունը ներառում են առաջիկա տարվա համար մշակվող բյուջեի բացատրագրում:</w:t>
      </w:r>
    </w:p>
    <w:p w14:paraId="5F1434B6" w14:textId="77777777" w:rsidR="0073392C" w:rsidRDefault="002F5E36" w:rsidP="00347B32">
      <w:pPr>
        <w:shd w:val="clear" w:color="auto" w:fill="FFFFFF"/>
        <w:rPr>
          <w:rFonts w:cs="Sylfaen"/>
          <w:b w:val="0"/>
          <w:color w:val="000000"/>
          <w:szCs w:val="22"/>
          <w:lang w:val="hy-AM" w:eastAsia="x-none"/>
        </w:rPr>
      </w:pPr>
      <w:r w:rsidRPr="00443554">
        <w:rPr>
          <w:rFonts w:cs="Sylfaen"/>
          <w:b w:val="0"/>
          <w:color w:val="000000"/>
          <w:szCs w:val="22"/>
          <w:lang w:val="hy-AM" w:eastAsia="x-none"/>
        </w:rPr>
        <w:t>Հայաստանի Հանրապետությունում առաջին անգամ հարկային ծախսերի մեծությունը գնահատվել է 2015թ. համար, որը ներառվել է 2015 թվականի պետական բյուջեի մասին ՀՀ օրենքի բացատրագրում` որպես առանձին հավելված:</w:t>
      </w:r>
    </w:p>
    <w:p w14:paraId="123F0074" w14:textId="0C477BB7" w:rsidR="0073392C" w:rsidRPr="0073392C" w:rsidRDefault="002F5E36" w:rsidP="0073392C">
      <w:pPr>
        <w:keepNext/>
        <w:keepLines/>
        <w:spacing w:before="0"/>
        <w:ind w:firstLine="284"/>
        <w:outlineLvl w:val="2"/>
        <w:rPr>
          <w:rFonts w:eastAsia="Calibri" w:cs="Arial"/>
          <w:b w:val="0"/>
          <w:bCs/>
          <w:iCs/>
          <w:szCs w:val="22"/>
          <w:lang w:val="hy-AM" w:eastAsia="en-US"/>
        </w:rPr>
      </w:pPr>
      <w:r w:rsidRPr="00443554">
        <w:rPr>
          <w:rFonts w:cs="Sylfaen"/>
          <w:b w:val="0"/>
          <w:color w:val="000000"/>
          <w:szCs w:val="22"/>
          <w:lang w:val="hy-AM" w:eastAsia="x-none"/>
        </w:rPr>
        <w:t xml:space="preserve"> </w:t>
      </w:r>
    </w:p>
    <w:p w14:paraId="29EE6819" w14:textId="160110F9" w:rsidR="002F5E36" w:rsidRPr="0073392C" w:rsidRDefault="002F5E36" w:rsidP="0073392C">
      <w:pPr>
        <w:keepNext/>
        <w:keepLines/>
        <w:spacing w:before="0"/>
        <w:ind w:firstLine="284"/>
        <w:outlineLvl w:val="2"/>
        <w:rPr>
          <w:rFonts w:eastAsia="Calibri" w:cs="Arial"/>
          <w:b w:val="0"/>
          <w:bCs/>
          <w:iCs/>
          <w:szCs w:val="22"/>
          <w:lang w:val="hy-AM" w:eastAsia="en-US"/>
        </w:rPr>
      </w:pPr>
    </w:p>
    <w:p w14:paraId="69F93ADC" w14:textId="77777777" w:rsidR="002F5E36" w:rsidRPr="00443554" w:rsidRDefault="002F5E36" w:rsidP="00347B32">
      <w:pPr>
        <w:shd w:val="clear" w:color="auto" w:fill="FFFFFF"/>
        <w:rPr>
          <w:rFonts w:cs="Sylfaen"/>
          <w:color w:val="000000"/>
          <w:szCs w:val="22"/>
          <w:lang w:val="hy-AM" w:eastAsia="x-none"/>
        </w:rPr>
      </w:pPr>
      <w:r w:rsidRPr="00443554">
        <w:rPr>
          <w:rFonts w:cs="Sylfaen"/>
          <w:color w:val="000000"/>
          <w:szCs w:val="22"/>
          <w:lang w:val="hy-AM" w:eastAsia="x-none"/>
        </w:rPr>
        <w:t>Հարկային ծախսերը.</w:t>
      </w:r>
    </w:p>
    <w:p w14:paraId="1953E6E9" w14:textId="77777777" w:rsidR="002F5E36" w:rsidRPr="002F5E36" w:rsidRDefault="002F5E36" w:rsidP="00347B32">
      <w:pPr>
        <w:shd w:val="clear" w:color="auto" w:fill="FFFFFF"/>
        <w:rPr>
          <w:rFonts w:cs="Sylfaen"/>
          <w:b w:val="0"/>
          <w:color w:val="000000"/>
          <w:szCs w:val="22"/>
          <w:lang w:val="hy-AM" w:eastAsia="x-none"/>
        </w:rPr>
      </w:pPr>
      <w:r w:rsidRPr="00443554">
        <w:rPr>
          <w:rFonts w:cs="Sylfaen"/>
          <w:b w:val="0"/>
          <w:color w:val="000000"/>
          <w:szCs w:val="22"/>
          <w:lang w:val="hy-AM" w:eastAsia="x-none"/>
        </w:rPr>
        <w:t>Հայաստանի Հանրապետության գործող օրենսդրությամբ Հարկային ծախս հասկացությունը սահմանված չէ: Բովանդակային առումով, հարկային ծախսերը գործող հարկային արտոնությունների հետևանքով պետական բյուջե չգանձվող (պակաս գանձվող) հարկային եկամուտներն են կամ այդ եկամուտների չափով պետության կրած այլընտրանքային ծախսերն են</w:t>
      </w:r>
      <w:r w:rsidRPr="002F5E36">
        <w:rPr>
          <w:rFonts w:cs="Sylfaen"/>
          <w:b w:val="0"/>
          <w:color w:val="000000"/>
          <w:szCs w:val="22"/>
          <w:lang w:val="hy-AM" w:eastAsia="x-none"/>
        </w:rPr>
        <w:t>, քանի որ հարկային ծախսերը հանգեցնում են համապատասխան գումարի չափով բյուջետային ծախսերի կրճատման: Ընդ որում, ի</w:t>
      </w:r>
      <w:r w:rsidRPr="002F5E36">
        <w:rPr>
          <w:rFonts w:eastAsia="Calibri" w:cs="Calibri"/>
          <w:b w:val="0"/>
          <w:szCs w:val="22"/>
          <w:lang w:val="x-none" w:eastAsia="x-none"/>
        </w:rPr>
        <w:t xml:space="preserve"> տարբերություն պետական բյուջեի ծախսերի, որոնք ենթակա են խորքային վերլուծության, մոնիտորինգի ու հսկողության, հարկային ծախսերը հաճախ </w:t>
      </w:r>
      <w:r w:rsidRPr="002F5E36">
        <w:rPr>
          <w:rFonts w:eastAsia="Calibri" w:cs="Calibri"/>
          <w:b w:val="0"/>
          <w:szCs w:val="22"/>
          <w:lang w:val="hy-AM" w:eastAsia="x-none"/>
        </w:rPr>
        <w:t>պատշաճ ձևով չեն վերահսկվում</w:t>
      </w:r>
      <w:r w:rsidRPr="002F5E36">
        <w:rPr>
          <w:rFonts w:eastAsia="Calibri" w:cs="Calibri"/>
          <w:b w:val="0"/>
          <w:szCs w:val="22"/>
          <w:lang w:val="x-none" w:eastAsia="x-none"/>
        </w:rPr>
        <w:t>:</w:t>
      </w:r>
      <w:r w:rsidRPr="002F5E36">
        <w:rPr>
          <w:rFonts w:eastAsia="Calibri" w:cs="Calibri"/>
          <w:b w:val="0"/>
          <w:szCs w:val="22"/>
          <w:lang w:val="hy-AM" w:eastAsia="x-none"/>
        </w:rPr>
        <w:t xml:space="preserve"> </w:t>
      </w:r>
      <w:r w:rsidRPr="002F5E36">
        <w:rPr>
          <w:rFonts w:cs="Sylfaen"/>
          <w:b w:val="0"/>
          <w:color w:val="000000"/>
          <w:szCs w:val="22"/>
          <w:lang w:val="hy-AM" w:eastAsia="x-none"/>
        </w:rPr>
        <w:t>Արդյունքում, նվազում է հանրային ֆինանսների կառավարման արդյունավետությունն ու թափանցիկությունը, սահմանափակվում են պետության վերաբաշխիչ գործառույթի շրջանակները:</w:t>
      </w:r>
      <w:r w:rsidRPr="002F5E36">
        <w:rPr>
          <w:rFonts w:eastAsia="Calibri" w:cs="Calibri"/>
          <w:b w:val="0"/>
          <w:szCs w:val="22"/>
          <w:lang w:val="hy-AM" w:eastAsia="x-none"/>
        </w:rPr>
        <w:t xml:space="preserve"> </w:t>
      </w:r>
      <w:r w:rsidRPr="00443554">
        <w:rPr>
          <w:rFonts w:cs="Sylfaen"/>
          <w:b w:val="0"/>
          <w:color w:val="000000"/>
          <w:szCs w:val="22"/>
          <w:lang w:val="hy-AM" w:eastAsia="x-none"/>
        </w:rPr>
        <w:t xml:space="preserve">Այդ իսկ պատճառով հարկային ծախսերի </w:t>
      </w:r>
      <w:r w:rsidRPr="002F5E36">
        <w:rPr>
          <w:rFonts w:cs="Sylfaen"/>
          <w:b w:val="0"/>
          <w:color w:val="000000"/>
          <w:szCs w:val="22"/>
          <w:lang w:val="hy-AM" w:eastAsia="x-none"/>
        </w:rPr>
        <w:t xml:space="preserve">պարբերաբար </w:t>
      </w:r>
      <w:r w:rsidRPr="00443554">
        <w:rPr>
          <w:rFonts w:cs="Sylfaen"/>
          <w:b w:val="0"/>
          <w:color w:val="000000"/>
          <w:szCs w:val="22"/>
          <w:lang w:val="hy-AM" w:eastAsia="x-none"/>
        </w:rPr>
        <w:t xml:space="preserve">գնահատումը հանգուցային նշանակություն ունի պետության հարկաբյուջետային քաղաքականության </w:t>
      </w:r>
      <w:r w:rsidRPr="002F5E36">
        <w:rPr>
          <w:rFonts w:cs="Sylfaen"/>
          <w:b w:val="0"/>
          <w:color w:val="000000"/>
          <w:szCs w:val="22"/>
          <w:lang w:val="hy-AM" w:eastAsia="x-none"/>
        </w:rPr>
        <w:t>տեսանկյունից</w:t>
      </w:r>
      <w:r w:rsidRPr="00443554">
        <w:rPr>
          <w:rFonts w:cs="Sylfaen"/>
          <w:b w:val="0"/>
          <w:color w:val="000000"/>
          <w:szCs w:val="22"/>
          <w:lang w:val="hy-AM" w:eastAsia="x-none"/>
        </w:rPr>
        <w:t>:</w:t>
      </w:r>
    </w:p>
    <w:p w14:paraId="42CE3C15" w14:textId="77777777" w:rsidR="002F5E36" w:rsidRPr="00443554" w:rsidRDefault="002F5E36" w:rsidP="00347B32">
      <w:pPr>
        <w:shd w:val="clear" w:color="auto" w:fill="FFFFFF"/>
        <w:ind w:left="567"/>
        <w:rPr>
          <w:rFonts w:cs="Sylfaen"/>
          <w:b w:val="0"/>
          <w:color w:val="000000"/>
          <w:szCs w:val="22"/>
          <w:u w:val="single"/>
          <w:lang w:val="hy-AM" w:eastAsia="x-none"/>
        </w:rPr>
      </w:pPr>
    </w:p>
    <w:p w14:paraId="7CE3B762" w14:textId="77777777" w:rsidR="002F5E36" w:rsidRPr="002F5E36" w:rsidRDefault="002F5E36" w:rsidP="00347B32">
      <w:pPr>
        <w:shd w:val="clear" w:color="auto" w:fill="FFFFFF"/>
        <w:rPr>
          <w:rFonts w:cs="Sylfaen"/>
          <w:color w:val="000000"/>
          <w:szCs w:val="22"/>
          <w:u w:val="single"/>
          <w:lang w:val="hy-AM" w:eastAsia="x-none"/>
        </w:rPr>
      </w:pPr>
      <w:r w:rsidRPr="002F5E36">
        <w:rPr>
          <w:rFonts w:cs="Sylfaen"/>
          <w:color w:val="000000"/>
          <w:szCs w:val="22"/>
          <w:u w:val="single"/>
          <w:lang w:val="hy-AM" w:eastAsia="x-none"/>
        </w:rPr>
        <w:t xml:space="preserve">Հաշվետվությամբ ընդգրկվող ժամանակահատվածը, </w:t>
      </w:r>
      <w:r w:rsidRPr="00443554">
        <w:rPr>
          <w:rFonts w:cs="Sylfaen"/>
          <w:color w:val="000000"/>
          <w:szCs w:val="22"/>
          <w:u w:val="single"/>
          <w:lang w:val="hy-AM" w:eastAsia="x-none"/>
        </w:rPr>
        <w:t xml:space="preserve">հարկային ծախսերի </w:t>
      </w:r>
      <w:r w:rsidRPr="002F5E36">
        <w:rPr>
          <w:rFonts w:cs="Sylfaen"/>
          <w:color w:val="000000"/>
          <w:szCs w:val="22"/>
          <w:u w:val="single"/>
          <w:lang w:val="hy-AM" w:eastAsia="x-none"/>
        </w:rPr>
        <w:t>գնահատման համար օգտագործված տեղեկատվ</w:t>
      </w:r>
      <w:r w:rsidRPr="00443554">
        <w:rPr>
          <w:rFonts w:cs="Sylfaen"/>
          <w:color w:val="000000"/>
          <w:szCs w:val="22"/>
          <w:u w:val="single"/>
          <w:lang w:val="hy-AM" w:eastAsia="x-none"/>
        </w:rPr>
        <w:t>ությունը</w:t>
      </w:r>
      <w:r w:rsidRPr="002F5E36">
        <w:rPr>
          <w:rFonts w:cs="Sylfaen"/>
          <w:color w:val="000000"/>
          <w:szCs w:val="22"/>
          <w:u w:val="single"/>
          <w:lang w:val="hy-AM" w:eastAsia="x-none"/>
        </w:rPr>
        <w:t xml:space="preserve"> և ընտրված</w:t>
      </w:r>
      <w:r w:rsidRPr="00443554">
        <w:rPr>
          <w:rFonts w:cs="Sylfaen"/>
          <w:color w:val="000000"/>
          <w:szCs w:val="22"/>
          <w:u w:val="single"/>
          <w:lang w:val="hy-AM" w:eastAsia="x-none"/>
        </w:rPr>
        <w:t xml:space="preserve"> </w:t>
      </w:r>
      <w:r w:rsidRPr="002F5E36">
        <w:rPr>
          <w:rFonts w:cs="Sylfaen"/>
          <w:color w:val="000000"/>
          <w:szCs w:val="22"/>
          <w:u w:val="single"/>
          <w:lang w:val="hy-AM" w:eastAsia="x-none"/>
        </w:rPr>
        <w:t>մեթոդաբանությունը.</w:t>
      </w:r>
    </w:p>
    <w:p w14:paraId="46FF2EED"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Սույն հաշվետվությամբ գնահատված են 2024 թվականի հաշվետու տարվա հարկային ծախսերը:</w:t>
      </w:r>
    </w:p>
    <w:p w14:paraId="46B80B8B"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Գնահատման համար տեղեկատվական հիմք են հանդիսացել 2022 թվականի հաշվետու տարվա համար ՀՀ վիճակագրական կոմիտեի կողմից հրապարակված հիմնական մակրոտնտեսական տվյալները, ինչպես նաև ՀՀ ՊԵԿ տեղեկատվական բազայում առկա` տնտեսավարող սուբյեկտների կողմից ներկայացված հաշվետվությունների տվյալները, որոնք ենթարկվել են որոշակի ճշգրտումների` կապված 2024 թվականի համար կանխատեսվող համապատասխան տվյալների հետ:</w:t>
      </w:r>
    </w:p>
    <w:p w14:paraId="1D9FBE59"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lastRenderedPageBreak/>
        <w:t>Հաշվետվության մեթոդաբանության հիմքում դրված են ՀՆԱ-ի ճյուղային կառուցվածքի (հարկունակ և ոչ հարկունակ մասերի) ուսումնասիրության մակրոտնտեսական մոտեցումները, 2022 թվականին վերաբերող ԱԱՀ-ի, շահութահարկի և շրջանառության հարկի հաշվարկներով՝ ԱԱՀ-ի, շահութահարկի և եկամտային հարկի արտոնությունների, ինչպես նաև ԱԱՀ-ով հարկվող շեմի ուսումնասիրության արդյունքները:</w:t>
      </w:r>
    </w:p>
    <w:p w14:paraId="1456108F" w14:textId="77777777" w:rsidR="002F5E36" w:rsidRPr="002F5E36" w:rsidRDefault="002F5E36" w:rsidP="00347B32">
      <w:pPr>
        <w:shd w:val="clear" w:color="auto" w:fill="FFFFFF"/>
        <w:rPr>
          <w:rFonts w:cs="Sylfaen"/>
          <w:b w:val="0"/>
          <w:iCs/>
          <w:color w:val="000000"/>
          <w:szCs w:val="22"/>
          <w:lang w:val="hy-AM" w:eastAsia="x-none"/>
        </w:rPr>
      </w:pPr>
      <w:r w:rsidRPr="002F5E36">
        <w:rPr>
          <w:rFonts w:cs="Sylfaen"/>
          <w:b w:val="0"/>
          <w:iCs/>
          <w:color w:val="000000"/>
          <w:szCs w:val="22"/>
          <w:lang w:val="hy-AM" w:eastAsia="x-none"/>
        </w:rPr>
        <w:t>Հաշվետվության կազմման համար ընտրվող մեթոդաբանության տեսանկյունից շատ կարևոր է նաև Հարկային ծախս հասկացության հստակ սահմանումը և հարկային ծախսերի շրջանակի ճիշտ որոշումը: Այս առումով, հատկանշական է այն, որ գործող հարկային օրենսդրությամբ նախատեսված` հարկման արտոնյալ պայմաններ ենթադրող ոչ բոլոր կարգավորումները կարելի է դիտարկել որպես հարկային ծախսեր (օրինակ` եկամտային հարկով հարկման նպատակով համախառն եկամտից նվազեցվող եկամուտները)` անգամ եթե դրանց կիրառության արդյունքում կրճատվում են տնտեսավարող սուբյեկտների կողմից վճարվող հարկերը: Հարկային ծախսերի շրջանակի որոշման համար հաշվի է առնվել Հենանիշային հարկ հասկացությունը, որն իրենից ներկայացնում է հարկերի այն հանրագումարը, որը կվճարվեր պետական բյուջե տնտեսության մեջ ձևավորվող ողջ հարկման բազան հարկելու պարագայում: Այս համատեքստում հարկային ծախսերը որոշվել են որպես հենանիշային հարկերի և փաստացի պետական բյուջե վճարվող հարկերի տարբերություն: Հարկային ծախսերի գնահատումը` որպես հենանիշային հարկերի ու պետական բյուջե փաստացի գանձվող հարկերի տարբերություն, ընդունված մոտեցում է նաև միջազգային պրակտիկայում: Ընդ որում, հատկանշական է այն, որ միջազգային պրակտիկայում հենանիշային հարկերի կամ այլ կերպ ասած` հարկային նշաձողի միասնական կամ սպառիչ սահմանում չկա: Երկրների մի մասում, օրինակ, հարկային ծախսերը սահմանվում են որպես օրենսդրությամբ նախատեսված դրույթներ, որոնց կիրառությունը հանգեցնում է պետական եկամուտների կրճատման հարկային նշաձողի կամ նորմի (այսինքն` հարկի հաշվարկման հիմնական սկզբունքի) կիրառության համեմատությամբ: Հարկային ծախսերի սահմանման ընդհանուր սկզբունքն այն է, որ դրանք ունեն սահմանափակ կիրառության շրջանակ: Օրենսդրության այնպիսի դրույթներ, որոնցից կարող է օգտվել հարկ վճարողների մեծամասնությունը, դիտվում են որպես ընդհանուր կանոնի` հարկային նորմի մաս և չեն որակվում որպես հարկային ծախսեր: Կան երկրներ, որտեղ ընդհանրապես հարկային ծախսերի կամ հենանիշային հարկի կամ հարկային նշաձողի սահմանումներ չկան: Այս երկրներում, օրենսդրության առանձնահատուկ դրույթները (օրինակ, ազատումներ կամ հարկման նվազեցված դրույքաչափեր) դիտվում են որպես բազային հարկային համակարգի մաս, այլ ոչ թե որպես հարկային ծախս: Ընդհանուր առմամբ, ձեռնարկատիրական գործունեության հետ կապված ազատումները երկրների այս խմբում չեն դիտարկվում որպես հարկային ծախսեր: Երրորդ խումբ երկրներում հարկային ծախսերը սահմանվում են որպես հարկային համակարգի առանձին դրույթներ, որոնք նվազեցնում են տնտեսական միավորի հարկային պարտավորությունները` որոշակի քաղաքականության նպատակներին հասնելու և ոչ թե առավել արդյունավետ և տնտեսապես չեզոք եղանակով եկամուտներ ստանալու նպատակով:</w:t>
      </w:r>
    </w:p>
    <w:p w14:paraId="44C60894" w14:textId="77777777" w:rsidR="002F5E36" w:rsidRPr="002F5E36" w:rsidRDefault="002F5E36" w:rsidP="00347B32">
      <w:pPr>
        <w:shd w:val="clear" w:color="auto" w:fill="FFFFFF"/>
        <w:rPr>
          <w:rFonts w:cs="Sylfaen"/>
          <w:b w:val="0"/>
          <w:iCs/>
          <w:color w:val="000000"/>
          <w:szCs w:val="22"/>
          <w:lang w:val="hy-AM" w:eastAsia="x-none"/>
        </w:rPr>
      </w:pPr>
      <w:r w:rsidRPr="002F5E36">
        <w:rPr>
          <w:rFonts w:cs="Sylfaen"/>
          <w:b w:val="0"/>
          <w:iCs/>
          <w:color w:val="000000"/>
          <w:szCs w:val="22"/>
          <w:lang w:val="hy-AM" w:eastAsia="x-none"/>
        </w:rPr>
        <w:t xml:space="preserve">Հաշվետվության շրջանակներում գնահատվել են ավելացված արժեքի հարկին, շահութահարկին և եկամտային հարկին վերաբերող հիմնական (ընդգրկուն) հարկային արտոնությունների, ավելացված արժեքի հարկի չհարկվող շեմի և միկրոբիզնեսի կիրառության հետևանքով պետական բյուջե չգանձվող (պակաս գանձվող) հարկային եկամուտները: Այսինքն` սույն </w:t>
      </w:r>
      <w:r w:rsidRPr="002F5E36">
        <w:rPr>
          <w:rFonts w:cs="Sylfaen"/>
          <w:b w:val="0"/>
          <w:iCs/>
          <w:color w:val="000000"/>
          <w:szCs w:val="22"/>
          <w:lang w:val="hy-AM" w:eastAsia="x-none"/>
        </w:rPr>
        <w:lastRenderedPageBreak/>
        <w:t>հաշվետվությամբ տրվել է արդյունավետ հարկաբյուեջատային քաղաքականության իրականացման համար անհրաժեշտ հարկային ծախսերի նվազագույն գնահատականը, որի ընդգրկման շրջանակների սահմանափակ լինելը հիմնականում պայմանավորված է հարկային ծախսերի առանձին տեսակների գնահատման համար անհրաժեշտ տվյալների բացակայությամբ:</w:t>
      </w:r>
    </w:p>
    <w:p w14:paraId="275E537A" w14:textId="77777777" w:rsidR="00544A8E" w:rsidRPr="002F5E36" w:rsidRDefault="00544A8E" w:rsidP="00347B32">
      <w:pPr>
        <w:shd w:val="clear" w:color="auto" w:fill="FFFFFF"/>
        <w:rPr>
          <w:rFonts w:cs="Sylfaen"/>
          <w:b w:val="0"/>
          <w:color w:val="000000"/>
          <w:szCs w:val="22"/>
          <w:u w:val="single"/>
          <w:lang w:val="hy-AM" w:eastAsia="x-none"/>
        </w:rPr>
      </w:pPr>
    </w:p>
    <w:p w14:paraId="54CD64AB" w14:textId="77777777" w:rsidR="002F5E36" w:rsidRPr="002F5E36" w:rsidRDefault="002F5E36" w:rsidP="00347B32">
      <w:pPr>
        <w:shd w:val="clear" w:color="auto" w:fill="FFFFFF"/>
        <w:rPr>
          <w:rFonts w:cs="Sylfaen"/>
          <w:color w:val="000000"/>
          <w:szCs w:val="22"/>
          <w:u w:val="single"/>
          <w:lang w:val="hy-AM" w:eastAsia="x-none"/>
        </w:rPr>
      </w:pPr>
      <w:r w:rsidRPr="002F5E36">
        <w:rPr>
          <w:rFonts w:cs="Sylfaen"/>
          <w:color w:val="000000"/>
          <w:szCs w:val="22"/>
          <w:u w:val="single"/>
          <w:lang w:val="hy-AM" w:eastAsia="x-none"/>
        </w:rPr>
        <w:t>Հարկային ծախսերի մասին հաշվետվություննների կազմման ու ներկայացման</w:t>
      </w:r>
    </w:p>
    <w:p w14:paraId="669BE988" w14:textId="77777777" w:rsidR="002F5E36" w:rsidRPr="002F5E36" w:rsidRDefault="002F5E36" w:rsidP="00347B32">
      <w:pPr>
        <w:shd w:val="clear" w:color="auto" w:fill="FFFFFF"/>
        <w:rPr>
          <w:rFonts w:cs="Sylfaen"/>
          <w:color w:val="000000"/>
          <w:szCs w:val="22"/>
          <w:u w:val="single"/>
          <w:lang w:val="hy-AM" w:eastAsia="x-none"/>
        </w:rPr>
      </w:pPr>
      <w:r w:rsidRPr="002F5E36">
        <w:rPr>
          <w:rFonts w:cs="Sylfaen"/>
          <w:color w:val="000000"/>
          <w:szCs w:val="22"/>
          <w:u w:val="single"/>
          <w:lang w:val="hy-AM" w:eastAsia="x-none"/>
        </w:rPr>
        <w:t>միջազգային փորձը.</w:t>
      </w:r>
    </w:p>
    <w:p w14:paraId="065AF873"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Հարկային ծախսերի մասին հաշվետվությունների կազմումն ու ներկայացումը ընդունված ու տարածված գործելակերպ է Եվրոպական Միության ու Տնտեսական համագործակցության և զարգացման կազմակերպության անդամ երկրների մեծ մասում:</w:t>
      </w:r>
    </w:p>
    <w:p w14:paraId="6AFA18C9"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Հարկային ծախսերի վերաբերյալ առաջին հաշվետվությունները կազմվել են 1960-ական թվականների վերջերին Գերմանիայում և Ամերիկայի Միացյալ Նահանգներում: 1970-ական թվականների վերջին հարկային ծախսերի մասին հաշվետվություններ սկսեցին կազմվել նաև Ավստրիայում, Կանադայում, Իսպանիայում և Միացյալ Թագավորությունում:</w:t>
      </w:r>
    </w:p>
    <w:p w14:paraId="1795BC07"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Հարկային ծախսերի տարեկան հաշվետվությունները կազմվում և հրապարակվում են հարկային արտոնությունների կիրառության արդյունքում չգանձվող հարկային եկամուտների մեծությունը ուշադրության կենտրոնում պահելու, հարկային արտոնությունների շրջանակի վերանայման վերաբերյալ քաղաքական որոշումներ կայացնելու, ինչպես նաև հարկաբյուջետային քաղաքականության թափանցիկությունն ու Կառավարության հաշվետվողականությունն ապահովելու նպատակով:</w:t>
      </w:r>
    </w:p>
    <w:p w14:paraId="665B0652"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Ավստրիայում, Բելգիայում, Ֆրանսիայում, Գերմանիայում, Պորտուգալիայում, Իսպանիայում և Միացյալ Թագավորությունում հարկային ծախսերի մասին հաշվետվությունների կազմումն ու հրապարակումը կարգավորվում է օրենքով: Նշյալ հաշվետվությունները ուղղակիորեն կապված են պետական բյուջեի հետ, իսկ դրանց կազմումը բյուջետային գործընթացի կարևոր բաղկացուցիչներից է:</w:t>
      </w:r>
    </w:p>
    <w:p w14:paraId="4D0E7751"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Հարկային ծախսերի մասին հաշվետվությունների կազմումն ու ներկայացումը հիմնականում կատարվում է տարեկան պարբերականությամբ, թեև կան երկրներ, որոնք այս հաշվետվությունները կազմում և ներկայացնում են երկու կամ երեք տարին մեկ անգամ:</w:t>
      </w:r>
    </w:p>
    <w:p w14:paraId="3F043E1C" w14:textId="77777777" w:rsidR="002F5E36" w:rsidRPr="002F5E36" w:rsidRDefault="002F5E36" w:rsidP="00347B32">
      <w:pPr>
        <w:shd w:val="clear" w:color="auto" w:fill="FFFFFF"/>
        <w:rPr>
          <w:rFonts w:cs="Sylfaen"/>
          <w:b w:val="0"/>
          <w:color w:val="000000"/>
          <w:szCs w:val="22"/>
          <w:lang w:val="hy-AM" w:eastAsia="x-none"/>
        </w:rPr>
      </w:pPr>
    </w:p>
    <w:p w14:paraId="20CF904A" w14:textId="77777777" w:rsidR="002F5E36" w:rsidRPr="002F5E36" w:rsidRDefault="002F5E36" w:rsidP="00347B32">
      <w:pPr>
        <w:shd w:val="clear" w:color="auto" w:fill="FFFFFF"/>
        <w:rPr>
          <w:rFonts w:cs="Sylfaen"/>
          <w:color w:val="000000"/>
          <w:szCs w:val="22"/>
          <w:u w:val="single"/>
          <w:lang w:val="hy-AM" w:eastAsia="x-none"/>
        </w:rPr>
      </w:pPr>
      <w:r w:rsidRPr="002F5E36">
        <w:rPr>
          <w:rFonts w:cs="Sylfaen"/>
          <w:color w:val="000000"/>
          <w:szCs w:val="22"/>
          <w:u w:val="single"/>
          <w:lang w:val="hy-AM" w:eastAsia="x-none"/>
        </w:rPr>
        <w:t>Հարկային ծախսերի մասին հաշվետվության կազմման ու ներկայացման</w:t>
      </w:r>
    </w:p>
    <w:p w14:paraId="55DF31BC" w14:textId="77777777" w:rsidR="002F5E36" w:rsidRPr="002F5E36" w:rsidRDefault="002F5E36" w:rsidP="00347B32">
      <w:pPr>
        <w:shd w:val="clear" w:color="auto" w:fill="FFFFFF"/>
        <w:rPr>
          <w:rFonts w:cs="Sylfaen"/>
          <w:color w:val="000000"/>
          <w:szCs w:val="22"/>
          <w:u w:val="single"/>
          <w:lang w:val="hy-AM" w:eastAsia="x-none"/>
        </w:rPr>
      </w:pPr>
      <w:r w:rsidRPr="002F5E36">
        <w:rPr>
          <w:rFonts w:cs="Sylfaen"/>
          <w:color w:val="000000"/>
          <w:szCs w:val="22"/>
          <w:u w:val="single"/>
          <w:lang w:val="hy-AM" w:eastAsia="x-none"/>
        </w:rPr>
        <w:t>անհրաժեշտությունը Հայաստանի Հանրապետությունում.</w:t>
      </w:r>
    </w:p>
    <w:p w14:paraId="6E83E4BE"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 xml:space="preserve">Սույն փաստաթուղթը Հայաստանի Հանրապետությունում իրականացվող բյուջետային գործընթացի շրջանակներում հարկային ծախսերի գնահատման տասներորդ հաշվետվությունն է: Թեև մեր երկրի օրենսդրությամբ հարկային ծախսերի մասին հաշվետվություն կազմելու և ներկայացնելու պահանջ նախատեսված չէ, այդուհանդերձ կարևորելով այսպիսի փաստաթղթերի դերը հանրային ֆինանսների կառավարման թափանցիկության անհրաժեշտ մակարդակի ապահովման գործում՝ Կառավարությունը մտադիր է հարկային ծախսերի մասին </w:t>
      </w:r>
      <w:r w:rsidRPr="002F5E36">
        <w:rPr>
          <w:rFonts w:cs="Sylfaen"/>
          <w:b w:val="0"/>
          <w:color w:val="000000"/>
          <w:szCs w:val="22"/>
          <w:lang w:val="hy-AM" w:eastAsia="x-none"/>
        </w:rPr>
        <w:lastRenderedPageBreak/>
        <w:t>ամենամյա հաշվետվությունների կազմումն ու ներկայացումը դարձնել բյուջետային գործընթացի կարևոր բաղկացուցիչ:</w:t>
      </w:r>
    </w:p>
    <w:p w14:paraId="54EB38FF"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Մյուս կողմից, հարկային ծախսերի մասին այսպիսի փաստաթղթի կազմումը հնարավորություն կընձեռի առավել համապարփակ ձևով գնահատել գործող հարկային արտոնությունների արդյունավետությունը, դրանց հետագա կիրառության նպատակահարմարությունը կամ հարկային արտոնությունները կրճատելու հնարավորություններն ու սահմանափակումները:</w:t>
      </w:r>
    </w:p>
    <w:p w14:paraId="5EF65EBC"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Բացի այդ, հարկային ծախսերի գնահատմամբ Կառավարությունը ընդհանրացնում է երկրի ռեսուրսային ներուժի վերաբերյալ պատկերացումները, ինչը շատ կարևոր է՝ գնահատելու համար Կառավարության առջև դրված համակարգային խնդիրների լուծման եղանակները:</w:t>
      </w:r>
    </w:p>
    <w:p w14:paraId="2C9D32CE" w14:textId="77777777" w:rsidR="002F5E36" w:rsidRPr="002F5E36" w:rsidRDefault="002F5E36" w:rsidP="00347B32">
      <w:pPr>
        <w:shd w:val="clear" w:color="auto" w:fill="FFFFFF"/>
        <w:rPr>
          <w:rFonts w:cs="Sylfaen"/>
          <w:b w:val="0"/>
          <w:i/>
          <w:iCs/>
          <w:color w:val="000000"/>
          <w:szCs w:val="22"/>
          <w:lang w:val="hy-AM" w:eastAsia="x-none"/>
        </w:rPr>
      </w:pPr>
    </w:p>
    <w:p w14:paraId="25B2E0E1" w14:textId="77777777" w:rsidR="002F5E36" w:rsidRPr="002F5E36" w:rsidRDefault="002F5E36" w:rsidP="00347B32">
      <w:pPr>
        <w:shd w:val="clear" w:color="auto" w:fill="FFFFFF"/>
        <w:rPr>
          <w:rFonts w:cs="Sylfaen"/>
          <w:color w:val="000000"/>
          <w:szCs w:val="22"/>
          <w:u w:val="single"/>
          <w:lang w:val="hy-AM" w:eastAsia="x-none"/>
        </w:rPr>
      </w:pPr>
      <w:r w:rsidRPr="002F5E36">
        <w:rPr>
          <w:rFonts w:cs="Sylfaen"/>
          <w:color w:val="000000"/>
          <w:szCs w:val="22"/>
          <w:u w:val="single"/>
          <w:lang w:val="hy-AM" w:eastAsia="x-none"/>
        </w:rPr>
        <w:t>Հարկային ծախսերի հաշվետվության ներկայացման կարևորությունը հարկային արտոնությունների շրջանակը վերանայելու տեսանկյունից.</w:t>
      </w:r>
    </w:p>
    <w:p w14:paraId="5A69DB9F"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Հայաստանյան հարկային համակարգի ձևավորման ու զարգացման ողջ ընթացքում հարկային օրենսդրությամբ նախատեսված են եղել տարբեր հարկային արտոնություններ, որոնց շրջանակը հարկային քաղաքականության իրականացման տարբեր փուլերում, կախված տնտեսության զարգացման տեմպերից, առաջնահերթություններից ու մարտահրավերներից, մշտապես վերանայվել է: Որոշ հարկային արտոնություններ ժամանակավոր բնույթ են ունեցել (օրինակ` օտարերկրյա ներդրումներով ռեզիդենտ կազմակերպությունների` շահութահարկի գումարի նվազեցման արտոնությունը) և կողմնորոշված են եղել քաղաքականության իրականացման որևէ ժամանակահատվածում կոնկրետ խնդիրների լուծմանը: Որոշ հարկային արտոնություններ, որոնք տրվել են դեռևս հարկային համակարգի ձևավորման ամենավաղ փուլերում, շարունակվում են կիրառվել մինչև այժմ, քանի որ դրանց կիրառության պատճառներն ու հիմնավորումները արդիական են նաև մեր օրերում (օրինակ` գյուղատնտեսական արտադրանքի իրացումից ստացվող եկամուտների համար նախատեսված` շահութահարկից ու եկամտային հարկից ազատման արտոնությունները):</w:t>
      </w:r>
    </w:p>
    <w:p w14:paraId="2A1B5255" w14:textId="77777777" w:rsidR="002F5E36" w:rsidRPr="002F5E36" w:rsidRDefault="002F5E36" w:rsidP="00347B32">
      <w:pPr>
        <w:shd w:val="clear" w:color="auto" w:fill="FFFFFF"/>
        <w:rPr>
          <w:rFonts w:cs="Sylfaen"/>
          <w:b w:val="0"/>
          <w:color w:val="000000"/>
          <w:szCs w:val="22"/>
          <w:lang w:val="hy-AM" w:eastAsia="x-none"/>
        </w:rPr>
      </w:pPr>
      <w:r w:rsidRPr="002F5E36">
        <w:rPr>
          <w:rFonts w:cs="Sylfaen"/>
          <w:b w:val="0"/>
          <w:color w:val="000000"/>
          <w:szCs w:val="22"/>
          <w:lang w:val="hy-AM" w:eastAsia="x-none"/>
        </w:rPr>
        <w:t>Ընդհանուր առմամբ, ինչպես նախկինում, այնպես էլ ներկայումս հարկային օրենսդրությամբ նախատեսված հարկային արտոնությունները կարելի է խմբավորել երեք հիմնական խմբերում`</w:t>
      </w:r>
    </w:p>
    <w:p w14:paraId="75324C1C" w14:textId="77777777" w:rsidR="002F5E36" w:rsidRPr="002F5E36" w:rsidRDefault="002F5E36" w:rsidP="00347B32">
      <w:pPr>
        <w:numPr>
          <w:ilvl w:val="0"/>
          <w:numId w:val="50"/>
        </w:numPr>
        <w:shd w:val="clear" w:color="auto" w:fill="FFFFFF"/>
        <w:tabs>
          <w:tab w:val="left" w:pos="567"/>
          <w:tab w:val="left" w:pos="851"/>
        </w:tabs>
        <w:ind w:left="0" w:firstLine="284"/>
        <w:rPr>
          <w:b w:val="0"/>
          <w:color w:val="000000"/>
          <w:szCs w:val="22"/>
          <w:lang w:val="x-none" w:eastAsia="x-none"/>
        </w:rPr>
      </w:pPr>
      <w:r w:rsidRPr="002F5E36">
        <w:rPr>
          <w:rFonts w:cs="Sylfaen"/>
          <w:b w:val="0"/>
          <w:color w:val="000000"/>
          <w:szCs w:val="22"/>
          <w:lang w:val="x-none" w:eastAsia="x-none"/>
        </w:rPr>
        <w:t>սոցիալական</w:t>
      </w:r>
      <w:r w:rsidRPr="002F5E36">
        <w:rPr>
          <w:b w:val="0"/>
          <w:color w:val="000000"/>
          <w:szCs w:val="22"/>
          <w:lang w:val="x-none" w:eastAsia="x-none"/>
        </w:rPr>
        <w:t xml:space="preserve"> </w:t>
      </w:r>
      <w:r w:rsidRPr="002F5E36">
        <w:rPr>
          <w:rFonts w:cs="Sylfaen"/>
          <w:b w:val="0"/>
          <w:color w:val="000000"/>
          <w:szCs w:val="22"/>
          <w:lang w:val="x-none" w:eastAsia="x-none"/>
        </w:rPr>
        <w:t>ուղղվածություն</w:t>
      </w:r>
      <w:r w:rsidRPr="002F5E36">
        <w:rPr>
          <w:b w:val="0"/>
          <w:color w:val="000000"/>
          <w:szCs w:val="22"/>
          <w:lang w:val="x-none" w:eastAsia="x-none"/>
        </w:rPr>
        <w:t xml:space="preserve"> </w:t>
      </w:r>
      <w:r w:rsidRPr="002F5E36">
        <w:rPr>
          <w:rFonts w:cs="Sylfaen"/>
          <w:b w:val="0"/>
          <w:color w:val="000000"/>
          <w:szCs w:val="22"/>
          <w:lang w:val="x-none" w:eastAsia="x-none"/>
        </w:rPr>
        <w:t>ունեցող</w:t>
      </w:r>
      <w:r w:rsidRPr="002F5E36">
        <w:rPr>
          <w:b w:val="0"/>
          <w:color w:val="000000"/>
          <w:szCs w:val="22"/>
          <w:lang w:val="x-none" w:eastAsia="x-none"/>
        </w:rPr>
        <w:t xml:space="preserve"> </w:t>
      </w:r>
      <w:r w:rsidRPr="002F5E36">
        <w:rPr>
          <w:rFonts w:cs="Sylfaen"/>
          <w:b w:val="0"/>
          <w:color w:val="000000"/>
          <w:szCs w:val="22"/>
          <w:lang w:val="x-none" w:eastAsia="x-none"/>
        </w:rPr>
        <w:t>հարկային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w:t>
      </w:r>
      <w:r w:rsidRPr="002F5E36">
        <w:rPr>
          <w:b w:val="0"/>
          <w:color w:val="000000"/>
          <w:szCs w:val="22"/>
          <w:lang w:val="x-none" w:eastAsia="x-none"/>
        </w:rPr>
        <w:t>,</w:t>
      </w:r>
    </w:p>
    <w:p w14:paraId="259EC815" w14:textId="77777777" w:rsidR="002F5E36" w:rsidRPr="002F5E36" w:rsidRDefault="002F5E36" w:rsidP="00347B32">
      <w:pPr>
        <w:numPr>
          <w:ilvl w:val="0"/>
          <w:numId w:val="50"/>
        </w:numPr>
        <w:shd w:val="clear" w:color="auto" w:fill="FFFFFF"/>
        <w:tabs>
          <w:tab w:val="left" w:pos="567"/>
          <w:tab w:val="left" w:pos="851"/>
        </w:tabs>
        <w:ind w:left="0" w:firstLine="284"/>
        <w:rPr>
          <w:b w:val="0"/>
          <w:color w:val="000000"/>
          <w:szCs w:val="22"/>
          <w:lang w:val="x-none" w:eastAsia="x-none"/>
        </w:rPr>
      </w:pPr>
      <w:r w:rsidRPr="002F5E36">
        <w:rPr>
          <w:rFonts w:cs="Sylfaen"/>
          <w:b w:val="0"/>
          <w:color w:val="000000"/>
          <w:szCs w:val="22"/>
          <w:lang w:val="x-none" w:eastAsia="x-none"/>
        </w:rPr>
        <w:t>ոլորտային</w:t>
      </w:r>
      <w:r w:rsidRPr="002F5E36">
        <w:rPr>
          <w:b w:val="0"/>
          <w:color w:val="000000"/>
          <w:szCs w:val="22"/>
          <w:lang w:val="x-none" w:eastAsia="x-none"/>
        </w:rPr>
        <w:t xml:space="preserve"> </w:t>
      </w:r>
      <w:r w:rsidRPr="002F5E36">
        <w:rPr>
          <w:rFonts w:cs="Sylfaen"/>
          <w:b w:val="0"/>
          <w:color w:val="000000"/>
          <w:szCs w:val="22"/>
          <w:lang w:val="x-none" w:eastAsia="x-none"/>
        </w:rPr>
        <w:t>հարկային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w:t>
      </w:r>
      <w:r w:rsidRPr="002F5E36">
        <w:rPr>
          <w:b w:val="0"/>
          <w:color w:val="000000"/>
          <w:szCs w:val="22"/>
          <w:lang w:val="x-none" w:eastAsia="x-none"/>
        </w:rPr>
        <w:t>,</w:t>
      </w:r>
    </w:p>
    <w:p w14:paraId="576E957C" w14:textId="77777777" w:rsidR="002F5E36" w:rsidRPr="002F5E36" w:rsidRDefault="002F5E36" w:rsidP="00347B32">
      <w:pPr>
        <w:numPr>
          <w:ilvl w:val="0"/>
          <w:numId w:val="50"/>
        </w:numPr>
        <w:shd w:val="clear" w:color="auto" w:fill="FFFFFF"/>
        <w:tabs>
          <w:tab w:val="left" w:pos="567"/>
          <w:tab w:val="left" w:pos="851"/>
        </w:tabs>
        <w:ind w:left="0" w:firstLine="284"/>
        <w:rPr>
          <w:b w:val="0"/>
          <w:color w:val="000000"/>
          <w:szCs w:val="22"/>
          <w:lang w:val="x-none" w:eastAsia="x-none"/>
        </w:rPr>
      </w:pPr>
      <w:r w:rsidRPr="002F5E36">
        <w:rPr>
          <w:rFonts w:cs="Sylfaen"/>
          <w:b w:val="0"/>
          <w:color w:val="000000"/>
          <w:szCs w:val="22"/>
          <w:lang w:val="x-none" w:eastAsia="x-none"/>
        </w:rPr>
        <w:t>գործարար</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ներդրումային</w:t>
      </w:r>
      <w:r w:rsidRPr="002F5E36">
        <w:rPr>
          <w:b w:val="0"/>
          <w:color w:val="000000"/>
          <w:szCs w:val="22"/>
          <w:lang w:val="x-none" w:eastAsia="x-none"/>
        </w:rPr>
        <w:t xml:space="preserve"> </w:t>
      </w:r>
      <w:r w:rsidRPr="002F5E36">
        <w:rPr>
          <w:rFonts w:cs="Sylfaen"/>
          <w:b w:val="0"/>
          <w:color w:val="000000"/>
          <w:szCs w:val="22"/>
          <w:lang w:val="x-none" w:eastAsia="x-none"/>
        </w:rPr>
        <w:t>միջավայրի</w:t>
      </w:r>
      <w:r w:rsidRPr="002F5E36">
        <w:rPr>
          <w:b w:val="0"/>
          <w:color w:val="000000"/>
          <w:szCs w:val="22"/>
          <w:lang w:val="x-none" w:eastAsia="x-none"/>
        </w:rPr>
        <w:t xml:space="preserve"> </w:t>
      </w:r>
      <w:r w:rsidRPr="002F5E36">
        <w:rPr>
          <w:rFonts w:cs="Sylfaen"/>
          <w:b w:val="0"/>
          <w:color w:val="000000"/>
          <w:szCs w:val="22"/>
          <w:lang w:val="x-none" w:eastAsia="x-none"/>
        </w:rPr>
        <w:t>բարելավմանն</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ակտիվության</w:t>
      </w:r>
      <w:r w:rsidRPr="002F5E36">
        <w:rPr>
          <w:b w:val="0"/>
          <w:color w:val="000000"/>
          <w:szCs w:val="22"/>
          <w:lang w:val="x-none" w:eastAsia="x-none"/>
        </w:rPr>
        <w:t xml:space="preserve"> </w:t>
      </w:r>
      <w:r w:rsidRPr="002F5E36">
        <w:rPr>
          <w:rFonts w:cs="Sylfaen"/>
          <w:b w:val="0"/>
          <w:color w:val="000000"/>
          <w:szCs w:val="22"/>
          <w:lang w:val="x-none" w:eastAsia="x-none"/>
        </w:rPr>
        <w:t>բարձրացմանն</w:t>
      </w:r>
      <w:r w:rsidRPr="002F5E36">
        <w:rPr>
          <w:b w:val="0"/>
          <w:color w:val="000000"/>
          <w:szCs w:val="22"/>
          <w:lang w:val="x-none" w:eastAsia="x-none"/>
        </w:rPr>
        <w:t xml:space="preserve"> </w:t>
      </w:r>
      <w:r w:rsidRPr="002F5E36">
        <w:rPr>
          <w:rFonts w:cs="Sylfaen"/>
          <w:b w:val="0"/>
          <w:color w:val="000000"/>
          <w:szCs w:val="22"/>
          <w:lang w:val="x-none" w:eastAsia="x-none"/>
        </w:rPr>
        <w:t>ուղղված</w:t>
      </w:r>
      <w:r w:rsidRPr="002F5E36">
        <w:rPr>
          <w:b w:val="0"/>
          <w:color w:val="000000"/>
          <w:szCs w:val="22"/>
          <w:lang w:val="x-none" w:eastAsia="x-none"/>
        </w:rPr>
        <w:t xml:space="preserve"> </w:t>
      </w:r>
      <w:r w:rsidRPr="002F5E36">
        <w:rPr>
          <w:rFonts w:cs="Sylfaen"/>
          <w:b w:val="0"/>
          <w:color w:val="000000"/>
          <w:szCs w:val="22"/>
          <w:lang w:val="x-none" w:eastAsia="x-none"/>
        </w:rPr>
        <w:t>հարկային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w:t>
      </w:r>
      <w:r w:rsidRPr="002F5E36">
        <w:rPr>
          <w:b w:val="0"/>
          <w:color w:val="000000"/>
          <w:szCs w:val="22"/>
          <w:lang w:val="x-none" w:eastAsia="x-none"/>
        </w:rPr>
        <w:t>:</w:t>
      </w:r>
    </w:p>
    <w:p w14:paraId="4869974E" w14:textId="77777777" w:rsidR="002F5E36" w:rsidRPr="002F5E36" w:rsidRDefault="002F5E36" w:rsidP="00347B32">
      <w:pPr>
        <w:shd w:val="clear" w:color="auto" w:fill="FFFFFF"/>
        <w:rPr>
          <w:b w:val="0"/>
          <w:color w:val="000000"/>
          <w:szCs w:val="22"/>
          <w:lang w:val="en-US" w:eastAsia="x-none"/>
        </w:rPr>
      </w:pPr>
      <w:r w:rsidRPr="002F5E36">
        <w:rPr>
          <w:rFonts w:cs="Sylfaen"/>
          <w:b w:val="0"/>
          <w:color w:val="000000"/>
          <w:szCs w:val="22"/>
          <w:lang w:val="x-none" w:eastAsia="x-none"/>
        </w:rPr>
        <w:t>Սոցիալական</w:t>
      </w:r>
      <w:r w:rsidRPr="002F5E36">
        <w:rPr>
          <w:b w:val="0"/>
          <w:color w:val="000000"/>
          <w:szCs w:val="22"/>
          <w:lang w:val="x-none" w:eastAsia="x-none"/>
        </w:rPr>
        <w:t xml:space="preserve"> </w:t>
      </w:r>
      <w:r w:rsidRPr="002F5E36">
        <w:rPr>
          <w:rFonts w:cs="Sylfaen"/>
          <w:b w:val="0"/>
          <w:color w:val="000000"/>
          <w:szCs w:val="22"/>
          <w:lang w:val="x-none" w:eastAsia="x-none"/>
        </w:rPr>
        <w:t>ուղղվածություն</w:t>
      </w:r>
      <w:r w:rsidRPr="002F5E36">
        <w:rPr>
          <w:b w:val="0"/>
          <w:color w:val="000000"/>
          <w:szCs w:val="22"/>
          <w:lang w:val="x-none" w:eastAsia="x-none"/>
        </w:rPr>
        <w:t xml:space="preserve"> </w:t>
      </w:r>
      <w:r w:rsidRPr="002F5E36">
        <w:rPr>
          <w:rFonts w:cs="Sylfaen"/>
          <w:b w:val="0"/>
          <w:color w:val="000000"/>
          <w:szCs w:val="22"/>
          <w:lang w:val="x-none" w:eastAsia="x-none"/>
        </w:rPr>
        <w:t>ունեցող</w:t>
      </w:r>
      <w:r w:rsidRPr="002F5E36">
        <w:rPr>
          <w:b w:val="0"/>
          <w:color w:val="000000"/>
          <w:szCs w:val="22"/>
          <w:lang w:val="x-none" w:eastAsia="x-none"/>
        </w:rPr>
        <w:t xml:space="preserve"> </w:t>
      </w:r>
      <w:r w:rsidRPr="002F5E36">
        <w:rPr>
          <w:rFonts w:cs="Sylfaen"/>
          <w:b w:val="0"/>
          <w:color w:val="000000"/>
          <w:szCs w:val="22"/>
          <w:lang w:val="x-none" w:eastAsia="x-none"/>
        </w:rPr>
        <w:t>հարկային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կիրառության</w:t>
      </w:r>
      <w:r w:rsidRPr="002F5E36">
        <w:rPr>
          <w:b w:val="0"/>
          <w:color w:val="000000"/>
          <w:szCs w:val="22"/>
          <w:lang w:val="x-none" w:eastAsia="x-none"/>
        </w:rPr>
        <w:t xml:space="preserve"> </w:t>
      </w:r>
      <w:r w:rsidRPr="002F5E36">
        <w:rPr>
          <w:rFonts w:cs="Sylfaen"/>
          <w:b w:val="0"/>
          <w:color w:val="000000"/>
          <w:szCs w:val="22"/>
          <w:lang w:val="x-none" w:eastAsia="x-none"/>
        </w:rPr>
        <w:t>հիմնական</w:t>
      </w:r>
      <w:r w:rsidRPr="002F5E36">
        <w:rPr>
          <w:b w:val="0"/>
          <w:color w:val="000000"/>
          <w:szCs w:val="22"/>
          <w:lang w:val="x-none" w:eastAsia="x-none"/>
        </w:rPr>
        <w:t xml:space="preserve"> </w:t>
      </w:r>
      <w:r w:rsidRPr="002F5E36">
        <w:rPr>
          <w:rFonts w:cs="Sylfaen"/>
          <w:b w:val="0"/>
          <w:color w:val="000000"/>
          <w:szCs w:val="22"/>
          <w:lang w:val="x-none" w:eastAsia="x-none"/>
        </w:rPr>
        <w:t>նպատակը</w:t>
      </w:r>
      <w:r w:rsidRPr="002F5E36">
        <w:rPr>
          <w:b w:val="0"/>
          <w:color w:val="000000"/>
          <w:szCs w:val="22"/>
          <w:lang w:val="x-none" w:eastAsia="x-none"/>
        </w:rPr>
        <w:t xml:space="preserve"> </w:t>
      </w:r>
      <w:r w:rsidRPr="002F5E36">
        <w:rPr>
          <w:rFonts w:cs="Sylfaen"/>
          <w:b w:val="0"/>
          <w:color w:val="000000"/>
          <w:szCs w:val="22"/>
          <w:lang w:val="x-none" w:eastAsia="x-none"/>
        </w:rPr>
        <w:t>առողջապահական</w:t>
      </w:r>
      <w:r w:rsidRPr="002F5E36">
        <w:rPr>
          <w:b w:val="0"/>
          <w:color w:val="000000"/>
          <w:szCs w:val="22"/>
          <w:lang w:val="x-none" w:eastAsia="x-none"/>
        </w:rPr>
        <w:t xml:space="preserve">, </w:t>
      </w:r>
      <w:r w:rsidRPr="002F5E36">
        <w:rPr>
          <w:rFonts w:cs="Sylfaen"/>
          <w:b w:val="0"/>
          <w:color w:val="000000"/>
          <w:szCs w:val="22"/>
          <w:lang w:val="x-none" w:eastAsia="x-none"/>
        </w:rPr>
        <w:t>կրթական</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գիտական</w:t>
      </w:r>
      <w:r w:rsidRPr="002F5E36">
        <w:rPr>
          <w:b w:val="0"/>
          <w:color w:val="000000"/>
          <w:szCs w:val="22"/>
          <w:lang w:val="x-none" w:eastAsia="x-none"/>
        </w:rPr>
        <w:t xml:space="preserve"> </w:t>
      </w:r>
      <w:r w:rsidRPr="002F5E36">
        <w:rPr>
          <w:rFonts w:cs="Sylfaen"/>
          <w:b w:val="0"/>
          <w:color w:val="000000"/>
          <w:szCs w:val="22"/>
          <w:lang w:val="x-none" w:eastAsia="x-none"/>
        </w:rPr>
        <w:t>նշանակության</w:t>
      </w:r>
      <w:r w:rsidRPr="002F5E36">
        <w:rPr>
          <w:b w:val="0"/>
          <w:color w:val="000000"/>
          <w:szCs w:val="22"/>
          <w:lang w:val="x-none" w:eastAsia="x-none"/>
        </w:rPr>
        <w:t xml:space="preserve"> </w:t>
      </w:r>
      <w:r w:rsidRPr="002F5E36">
        <w:rPr>
          <w:rFonts w:cs="Sylfaen"/>
          <w:b w:val="0"/>
          <w:color w:val="000000"/>
          <w:szCs w:val="22"/>
          <w:lang w:val="x-none" w:eastAsia="x-none"/>
        </w:rPr>
        <w:t>որոշ</w:t>
      </w:r>
      <w:r w:rsidRPr="002F5E36">
        <w:rPr>
          <w:b w:val="0"/>
          <w:color w:val="000000"/>
          <w:szCs w:val="22"/>
          <w:lang w:val="x-none" w:eastAsia="x-none"/>
        </w:rPr>
        <w:t xml:space="preserve"> </w:t>
      </w:r>
      <w:r w:rsidRPr="002F5E36">
        <w:rPr>
          <w:rFonts w:cs="Sylfaen"/>
          <w:b w:val="0"/>
          <w:color w:val="000000"/>
          <w:szCs w:val="22"/>
          <w:lang w:val="x-none" w:eastAsia="x-none"/>
        </w:rPr>
        <w:t>ծառայությունների</w:t>
      </w:r>
      <w:r w:rsidRPr="002F5E36">
        <w:rPr>
          <w:b w:val="0"/>
          <w:color w:val="000000"/>
          <w:szCs w:val="22"/>
          <w:lang w:val="x-none" w:eastAsia="x-none"/>
        </w:rPr>
        <w:t xml:space="preserve"> </w:t>
      </w:r>
      <w:r w:rsidRPr="002F5E36">
        <w:rPr>
          <w:rFonts w:cs="Sylfaen"/>
          <w:b w:val="0"/>
          <w:color w:val="000000"/>
          <w:szCs w:val="22"/>
          <w:lang w:val="x-none" w:eastAsia="x-none"/>
        </w:rPr>
        <w:t>մատուցումն</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ապրանքների</w:t>
      </w:r>
      <w:r w:rsidRPr="002F5E36">
        <w:rPr>
          <w:b w:val="0"/>
          <w:color w:val="000000"/>
          <w:szCs w:val="22"/>
          <w:lang w:val="x-none" w:eastAsia="x-none"/>
        </w:rPr>
        <w:t xml:space="preserve"> </w:t>
      </w:r>
      <w:r w:rsidRPr="002F5E36">
        <w:rPr>
          <w:rFonts w:cs="Sylfaen"/>
          <w:b w:val="0"/>
          <w:color w:val="000000"/>
          <w:szCs w:val="22"/>
          <w:lang w:val="x-none" w:eastAsia="x-none"/>
        </w:rPr>
        <w:t>մատակարարումը</w:t>
      </w:r>
      <w:r w:rsidRPr="002F5E36">
        <w:rPr>
          <w:b w:val="0"/>
          <w:color w:val="000000"/>
          <w:szCs w:val="22"/>
          <w:lang w:val="x-none" w:eastAsia="x-none"/>
        </w:rPr>
        <w:t xml:space="preserve"> </w:t>
      </w:r>
      <w:r w:rsidRPr="002F5E36">
        <w:rPr>
          <w:rFonts w:cs="Sylfaen"/>
          <w:b w:val="0"/>
          <w:color w:val="000000"/>
          <w:szCs w:val="22"/>
          <w:lang w:val="x-none" w:eastAsia="x-none"/>
        </w:rPr>
        <w:t>ավելացված</w:t>
      </w:r>
      <w:r w:rsidRPr="002F5E36">
        <w:rPr>
          <w:b w:val="0"/>
          <w:color w:val="000000"/>
          <w:szCs w:val="22"/>
          <w:lang w:val="x-none" w:eastAsia="x-none"/>
        </w:rPr>
        <w:t xml:space="preserve"> </w:t>
      </w:r>
      <w:r w:rsidRPr="002F5E36">
        <w:rPr>
          <w:rFonts w:cs="Sylfaen"/>
          <w:b w:val="0"/>
          <w:color w:val="000000"/>
          <w:szCs w:val="22"/>
          <w:lang w:val="x-none" w:eastAsia="x-none"/>
        </w:rPr>
        <w:t>արժեքի</w:t>
      </w:r>
      <w:r w:rsidRPr="002F5E36">
        <w:rPr>
          <w:b w:val="0"/>
          <w:color w:val="000000"/>
          <w:szCs w:val="22"/>
          <w:lang w:val="x-none" w:eastAsia="x-none"/>
        </w:rPr>
        <w:t xml:space="preserve"> </w:t>
      </w:r>
      <w:r w:rsidRPr="002F5E36">
        <w:rPr>
          <w:rFonts w:cs="Sylfaen"/>
          <w:b w:val="0"/>
          <w:color w:val="000000"/>
          <w:szCs w:val="22"/>
          <w:lang w:val="x-none" w:eastAsia="x-none"/>
        </w:rPr>
        <w:t>հարկից</w:t>
      </w:r>
      <w:r w:rsidRPr="002F5E36">
        <w:rPr>
          <w:b w:val="0"/>
          <w:color w:val="000000"/>
          <w:szCs w:val="22"/>
          <w:lang w:val="x-none" w:eastAsia="x-none"/>
        </w:rPr>
        <w:t xml:space="preserve"> </w:t>
      </w:r>
      <w:r w:rsidRPr="002F5E36">
        <w:rPr>
          <w:rFonts w:cs="Sylfaen"/>
          <w:b w:val="0"/>
          <w:color w:val="000000"/>
          <w:szCs w:val="22"/>
          <w:lang w:val="x-none" w:eastAsia="x-none"/>
        </w:rPr>
        <w:t>ազատելն</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ինչը</w:t>
      </w:r>
      <w:r w:rsidRPr="002F5E36">
        <w:rPr>
          <w:b w:val="0"/>
          <w:color w:val="000000"/>
          <w:szCs w:val="22"/>
          <w:lang w:val="x-none" w:eastAsia="x-none"/>
        </w:rPr>
        <w:t xml:space="preserve">, </w:t>
      </w:r>
      <w:r w:rsidRPr="002F5E36">
        <w:rPr>
          <w:rFonts w:cs="Sylfaen"/>
          <w:b w:val="0"/>
          <w:color w:val="000000"/>
          <w:szCs w:val="22"/>
          <w:lang w:val="x-none" w:eastAsia="x-none"/>
        </w:rPr>
        <w:t>այլ</w:t>
      </w:r>
      <w:r w:rsidRPr="002F5E36">
        <w:rPr>
          <w:b w:val="0"/>
          <w:color w:val="000000"/>
          <w:szCs w:val="22"/>
          <w:lang w:val="x-none" w:eastAsia="x-none"/>
        </w:rPr>
        <w:t xml:space="preserve"> </w:t>
      </w:r>
      <w:r w:rsidRPr="002F5E36">
        <w:rPr>
          <w:rFonts w:cs="Sylfaen"/>
          <w:b w:val="0"/>
          <w:color w:val="000000"/>
          <w:szCs w:val="22"/>
          <w:lang w:val="x-none" w:eastAsia="x-none"/>
        </w:rPr>
        <w:t>հավասար</w:t>
      </w:r>
      <w:r w:rsidRPr="002F5E36">
        <w:rPr>
          <w:b w:val="0"/>
          <w:color w:val="000000"/>
          <w:szCs w:val="22"/>
          <w:lang w:val="x-none" w:eastAsia="x-none"/>
        </w:rPr>
        <w:t xml:space="preserve"> </w:t>
      </w:r>
      <w:r w:rsidRPr="002F5E36">
        <w:rPr>
          <w:rFonts w:cs="Sylfaen"/>
          <w:b w:val="0"/>
          <w:color w:val="000000"/>
          <w:szCs w:val="22"/>
          <w:lang w:val="x-none" w:eastAsia="x-none"/>
        </w:rPr>
        <w:t>պայմաններում</w:t>
      </w:r>
      <w:r w:rsidRPr="002F5E36">
        <w:rPr>
          <w:b w:val="0"/>
          <w:color w:val="000000"/>
          <w:szCs w:val="22"/>
          <w:lang w:val="x-none" w:eastAsia="x-none"/>
        </w:rPr>
        <w:t xml:space="preserve"> </w:t>
      </w:r>
      <w:r w:rsidRPr="002F5E36">
        <w:rPr>
          <w:rFonts w:cs="Sylfaen"/>
          <w:b w:val="0"/>
          <w:color w:val="000000"/>
          <w:szCs w:val="22"/>
          <w:lang w:val="x-none" w:eastAsia="x-none"/>
        </w:rPr>
        <w:t>հնարավորություն</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ընձեռում</w:t>
      </w:r>
      <w:r w:rsidRPr="002F5E36">
        <w:rPr>
          <w:b w:val="0"/>
          <w:color w:val="000000"/>
          <w:szCs w:val="22"/>
          <w:lang w:val="x-none" w:eastAsia="x-none"/>
        </w:rPr>
        <w:t xml:space="preserve"> </w:t>
      </w:r>
      <w:r w:rsidRPr="002F5E36">
        <w:rPr>
          <w:rFonts w:cs="Sylfaen"/>
          <w:b w:val="0"/>
          <w:color w:val="000000"/>
          <w:szCs w:val="22"/>
          <w:lang w:val="x-none" w:eastAsia="x-none"/>
        </w:rPr>
        <w:t>նշյալ</w:t>
      </w:r>
      <w:r w:rsidRPr="002F5E36">
        <w:rPr>
          <w:b w:val="0"/>
          <w:color w:val="000000"/>
          <w:szCs w:val="22"/>
          <w:lang w:val="x-none" w:eastAsia="x-none"/>
        </w:rPr>
        <w:t xml:space="preserve"> </w:t>
      </w:r>
      <w:r w:rsidRPr="002F5E36">
        <w:rPr>
          <w:rFonts w:cs="Sylfaen"/>
          <w:b w:val="0"/>
          <w:color w:val="000000"/>
          <w:szCs w:val="22"/>
          <w:lang w:val="x-none" w:eastAsia="x-none"/>
        </w:rPr>
        <w:t>ապրանքներն</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ծառայությունները</w:t>
      </w:r>
      <w:r w:rsidRPr="002F5E36">
        <w:rPr>
          <w:b w:val="0"/>
          <w:color w:val="000000"/>
          <w:szCs w:val="22"/>
          <w:lang w:val="x-none" w:eastAsia="x-none"/>
        </w:rPr>
        <w:t xml:space="preserve"> </w:t>
      </w:r>
      <w:r w:rsidRPr="002F5E36">
        <w:rPr>
          <w:rFonts w:cs="Sylfaen"/>
          <w:b w:val="0"/>
          <w:color w:val="000000"/>
          <w:szCs w:val="22"/>
          <w:lang w:val="x-none" w:eastAsia="x-none"/>
        </w:rPr>
        <w:t>ձեռք</w:t>
      </w:r>
      <w:r w:rsidRPr="002F5E36">
        <w:rPr>
          <w:b w:val="0"/>
          <w:color w:val="000000"/>
          <w:szCs w:val="22"/>
          <w:lang w:val="x-none" w:eastAsia="x-none"/>
        </w:rPr>
        <w:t xml:space="preserve"> </w:t>
      </w:r>
      <w:r w:rsidRPr="002F5E36">
        <w:rPr>
          <w:rFonts w:cs="Sylfaen"/>
          <w:b w:val="0"/>
          <w:color w:val="000000"/>
          <w:szCs w:val="22"/>
          <w:lang w:val="x-none" w:eastAsia="x-none"/>
        </w:rPr>
        <w:t>բերել</w:t>
      </w:r>
      <w:r w:rsidRPr="002F5E36">
        <w:rPr>
          <w:b w:val="0"/>
          <w:color w:val="000000"/>
          <w:szCs w:val="22"/>
          <w:lang w:val="x-none" w:eastAsia="x-none"/>
        </w:rPr>
        <w:t xml:space="preserve"> </w:t>
      </w:r>
      <w:r w:rsidRPr="002F5E36">
        <w:rPr>
          <w:rFonts w:cs="Sylfaen"/>
          <w:b w:val="0"/>
          <w:color w:val="000000"/>
          <w:szCs w:val="22"/>
          <w:lang w:val="x-none" w:eastAsia="x-none"/>
        </w:rPr>
        <w:t>համեմատաբար</w:t>
      </w:r>
      <w:r w:rsidRPr="002F5E36">
        <w:rPr>
          <w:b w:val="0"/>
          <w:color w:val="000000"/>
          <w:szCs w:val="22"/>
          <w:lang w:val="x-none" w:eastAsia="x-none"/>
        </w:rPr>
        <w:t xml:space="preserve"> </w:t>
      </w:r>
      <w:r w:rsidRPr="002F5E36">
        <w:rPr>
          <w:rFonts w:cs="Sylfaen"/>
          <w:b w:val="0"/>
          <w:color w:val="000000"/>
          <w:szCs w:val="22"/>
          <w:lang w:val="x-none" w:eastAsia="x-none"/>
        </w:rPr>
        <w:t>ցածր</w:t>
      </w:r>
      <w:r w:rsidRPr="002F5E36">
        <w:rPr>
          <w:b w:val="0"/>
          <w:color w:val="000000"/>
          <w:szCs w:val="22"/>
          <w:lang w:val="x-none" w:eastAsia="x-none"/>
        </w:rPr>
        <w:t xml:space="preserve"> </w:t>
      </w:r>
      <w:r w:rsidRPr="002F5E36">
        <w:rPr>
          <w:rFonts w:cs="Sylfaen"/>
          <w:b w:val="0"/>
          <w:color w:val="000000"/>
          <w:szCs w:val="22"/>
          <w:lang w:val="x-none" w:eastAsia="x-none"/>
        </w:rPr>
        <w:t>գներով</w:t>
      </w:r>
      <w:r w:rsidRPr="002F5E36">
        <w:rPr>
          <w:b w:val="0"/>
          <w:color w:val="000000"/>
          <w:szCs w:val="22"/>
          <w:lang w:val="x-none" w:eastAsia="x-none"/>
        </w:rPr>
        <w:t>:</w:t>
      </w:r>
    </w:p>
    <w:p w14:paraId="15DE5C56" w14:textId="77777777" w:rsidR="002F5E36" w:rsidRPr="002F5E36" w:rsidRDefault="002F5E36" w:rsidP="00347B32">
      <w:pPr>
        <w:shd w:val="clear" w:color="auto" w:fill="FFFFFF"/>
        <w:rPr>
          <w:b w:val="0"/>
          <w:color w:val="000000"/>
          <w:szCs w:val="22"/>
          <w:lang w:val="en-US" w:eastAsia="x-none"/>
        </w:rPr>
      </w:pPr>
      <w:r w:rsidRPr="002F5E36">
        <w:rPr>
          <w:rFonts w:cs="Sylfaen"/>
          <w:b w:val="0"/>
          <w:color w:val="000000"/>
          <w:szCs w:val="22"/>
          <w:lang w:val="x-none" w:eastAsia="x-none"/>
        </w:rPr>
        <w:t>Ոլորտային</w:t>
      </w:r>
      <w:r w:rsidRPr="002F5E36">
        <w:rPr>
          <w:b w:val="0"/>
          <w:color w:val="000000"/>
          <w:szCs w:val="22"/>
          <w:lang w:val="x-none" w:eastAsia="x-none"/>
        </w:rPr>
        <w:t xml:space="preserve"> </w:t>
      </w:r>
      <w:r w:rsidRPr="002F5E36">
        <w:rPr>
          <w:rFonts w:cs="Sylfaen"/>
          <w:b w:val="0"/>
          <w:color w:val="000000"/>
          <w:szCs w:val="22"/>
          <w:lang w:val="x-none" w:eastAsia="x-none"/>
        </w:rPr>
        <w:t>հարկային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կիրառությունը</w:t>
      </w:r>
      <w:r w:rsidRPr="002F5E36">
        <w:rPr>
          <w:b w:val="0"/>
          <w:color w:val="000000"/>
          <w:szCs w:val="22"/>
          <w:lang w:val="x-none" w:eastAsia="x-none"/>
        </w:rPr>
        <w:t xml:space="preserve"> </w:t>
      </w:r>
      <w:r w:rsidRPr="002F5E36">
        <w:rPr>
          <w:rFonts w:cs="Sylfaen"/>
          <w:b w:val="0"/>
          <w:color w:val="000000"/>
          <w:szCs w:val="22"/>
          <w:lang w:val="x-none" w:eastAsia="x-none"/>
        </w:rPr>
        <w:t>պայմանավորված</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b w:val="0"/>
          <w:color w:val="000000"/>
          <w:szCs w:val="22"/>
          <w:lang w:val="en-US" w:eastAsia="x-none"/>
        </w:rPr>
        <w:t xml:space="preserve">հիմնականում </w:t>
      </w:r>
      <w:r w:rsidRPr="002F5E36">
        <w:rPr>
          <w:rFonts w:cs="Sylfaen"/>
          <w:b w:val="0"/>
          <w:color w:val="000000"/>
          <w:szCs w:val="22"/>
          <w:lang w:val="en-US" w:eastAsia="x-none"/>
        </w:rPr>
        <w:t>ա</w:t>
      </w:r>
      <w:r w:rsidRPr="002F5E36">
        <w:rPr>
          <w:rFonts w:cs="Sylfaen"/>
          <w:b w:val="0"/>
          <w:color w:val="000000"/>
          <w:szCs w:val="22"/>
          <w:lang w:val="x-none" w:eastAsia="x-none"/>
        </w:rPr>
        <w:t>զգային</w:t>
      </w:r>
      <w:r w:rsidRPr="002F5E36">
        <w:rPr>
          <w:b w:val="0"/>
          <w:color w:val="000000"/>
          <w:szCs w:val="22"/>
          <w:lang w:val="x-none" w:eastAsia="x-none"/>
        </w:rPr>
        <w:t xml:space="preserve"> </w:t>
      </w:r>
      <w:r w:rsidRPr="002F5E36">
        <w:rPr>
          <w:rFonts w:cs="Sylfaen"/>
          <w:b w:val="0"/>
          <w:color w:val="000000"/>
          <w:szCs w:val="22"/>
          <w:lang w:val="x-none" w:eastAsia="x-none"/>
        </w:rPr>
        <w:t>տնտեսության</w:t>
      </w:r>
      <w:r w:rsidRPr="002F5E36">
        <w:rPr>
          <w:b w:val="0"/>
          <w:color w:val="000000"/>
          <w:szCs w:val="22"/>
          <w:lang w:val="x-none" w:eastAsia="x-none"/>
        </w:rPr>
        <w:t xml:space="preserve"> </w:t>
      </w:r>
      <w:r w:rsidRPr="002F5E36">
        <w:rPr>
          <w:rFonts w:cs="Sylfaen"/>
          <w:b w:val="0"/>
          <w:color w:val="000000"/>
          <w:szCs w:val="22"/>
          <w:lang w:val="x-none" w:eastAsia="x-none"/>
        </w:rPr>
        <w:t>երկարաժամկետ</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կայուն</w:t>
      </w:r>
      <w:r w:rsidRPr="002F5E36">
        <w:rPr>
          <w:b w:val="0"/>
          <w:color w:val="000000"/>
          <w:szCs w:val="22"/>
          <w:lang w:val="x-none" w:eastAsia="x-none"/>
        </w:rPr>
        <w:t xml:space="preserve"> </w:t>
      </w:r>
      <w:r w:rsidRPr="002F5E36">
        <w:rPr>
          <w:rFonts w:cs="Sylfaen"/>
          <w:b w:val="0"/>
          <w:color w:val="000000"/>
          <w:szCs w:val="22"/>
          <w:lang w:val="x-none" w:eastAsia="x-none"/>
        </w:rPr>
        <w:t>զարգացման</w:t>
      </w:r>
      <w:r w:rsidRPr="002F5E36">
        <w:rPr>
          <w:b w:val="0"/>
          <w:color w:val="000000"/>
          <w:szCs w:val="22"/>
          <w:lang w:val="x-none" w:eastAsia="x-none"/>
        </w:rPr>
        <w:t xml:space="preserve"> </w:t>
      </w:r>
      <w:r w:rsidRPr="002F5E36">
        <w:rPr>
          <w:rFonts w:cs="Sylfaen"/>
          <w:b w:val="0"/>
          <w:color w:val="000000"/>
          <w:szCs w:val="22"/>
          <w:lang w:val="x-none" w:eastAsia="x-none"/>
        </w:rPr>
        <w:t>տեսանկյունից</w:t>
      </w:r>
      <w:r w:rsidRPr="002F5E36">
        <w:rPr>
          <w:b w:val="0"/>
          <w:color w:val="000000"/>
          <w:szCs w:val="22"/>
          <w:lang w:val="x-none" w:eastAsia="x-none"/>
        </w:rPr>
        <w:t xml:space="preserve"> </w:t>
      </w:r>
      <w:r w:rsidRPr="002F5E36">
        <w:rPr>
          <w:rFonts w:cs="Sylfaen"/>
          <w:b w:val="0"/>
          <w:color w:val="000000"/>
          <w:szCs w:val="22"/>
          <w:lang w:val="x-none" w:eastAsia="x-none"/>
        </w:rPr>
        <w:t>տնտեսության</w:t>
      </w:r>
      <w:r w:rsidRPr="002F5E36">
        <w:rPr>
          <w:b w:val="0"/>
          <w:color w:val="000000"/>
          <w:szCs w:val="22"/>
          <w:lang w:val="x-none" w:eastAsia="x-none"/>
        </w:rPr>
        <w:t xml:space="preserve"> </w:t>
      </w:r>
      <w:r w:rsidRPr="002F5E36">
        <w:rPr>
          <w:rFonts w:cs="Sylfaen"/>
          <w:b w:val="0"/>
          <w:color w:val="000000"/>
          <w:szCs w:val="22"/>
          <w:lang w:val="x-none" w:eastAsia="x-none"/>
        </w:rPr>
        <w:lastRenderedPageBreak/>
        <w:t>որոշ</w:t>
      </w:r>
      <w:r w:rsidRPr="002F5E36">
        <w:rPr>
          <w:b w:val="0"/>
          <w:color w:val="000000"/>
          <w:szCs w:val="22"/>
          <w:lang w:val="x-none" w:eastAsia="x-none"/>
        </w:rPr>
        <w:t xml:space="preserve"> </w:t>
      </w:r>
      <w:r w:rsidRPr="002F5E36">
        <w:rPr>
          <w:rFonts w:cs="Sylfaen"/>
          <w:b w:val="0"/>
          <w:color w:val="000000"/>
          <w:szCs w:val="22"/>
          <w:lang w:val="x-none" w:eastAsia="x-none"/>
        </w:rPr>
        <w:t>ոլորտների</w:t>
      </w:r>
      <w:r w:rsidRPr="002F5E36">
        <w:rPr>
          <w:b w:val="0"/>
          <w:color w:val="000000"/>
          <w:szCs w:val="22"/>
          <w:lang w:val="x-none" w:eastAsia="x-none"/>
        </w:rPr>
        <w:t xml:space="preserve"> </w:t>
      </w:r>
      <w:r w:rsidRPr="002F5E36">
        <w:rPr>
          <w:rFonts w:cs="Sylfaen"/>
          <w:b w:val="0"/>
          <w:color w:val="000000"/>
          <w:szCs w:val="22"/>
          <w:lang w:val="x-none" w:eastAsia="x-none"/>
        </w:rPr>
        <w:t>զարգաց</w:t>
      </w:r>
      <w:r w:rsidRPr="002F5E36">
        <w:rPr>
          <w:rFonts w:cs="Sylfaen"/>
          <w:b w:val="0"/>
          <w:color w:val="000000"/>
          <w:szCs w:val="22"/>
          <w:lang w:val="en-US" w:eastAsia="x-none"/>
        </w:rPr>
        <w:t>ման</w:t>
      </w:r>
      <w:r w:rsidRPr="002F5E36">
        <w:rPr>
          <w:b w:val="0"/>
          <w:color w:val="000000"/>
          <w:szCs w:val="22"/>
          <w:lang w:val="x-none" w:eastAsia="x-none"/>
        </w:rPr>
        <w:t xml:space="preserve"> </w:t>
      </w:r>
      <w:r w:rsidRPr="002F5E36">
        <w:rPr>
          <w:rFonts w:cs="Sylfaen"/>
          <w:b w:val="0"/>
          <w:color w:val="000000"/>
          <w:szCs w:val="22"/>
          <w:lang w:val="x-none" w:eastAsia="x-none"/>
        </w:rPr>
        <w:t>գերակայություն</w:t>
      </w:r>
      <w:r w:rsidRPr="002F5E36">
        <w:rPr>
          <w:rFonts w:cs="Sylfaen"/>
          <w:b w:val="0"/>
          <w:color w:val="000000"/>
          <w:szCs w:val="22"/>
          <w:lang w:val="en-US" w:eastAsia="x-none"/>
        </w:rPr>
        <w:t xml:space="preserve"> համարելը</w:t>
      </w:r>
      <w:r w:rsidRPr="002F5E36">
        <w:rPr>
          <w:b w:val="0"/>
          <w:color w:val="000000"/>
          <w:szCs w:val="22"/>
          <w:lang w:val="x-none" w:eastAsia="x-none"/>
        </w:rPr>
        <w:t xml:space="preserve">: </w:t>
      </w:r>
      <w:r w:rsidRPr="002F5E36">
        <w:rPr>
          <w:rFonts w:cs="Sylfaen"/>
          <w:b w:val="0"/>
          <w:color w:val="000000"/>
          <w:szCs w:val="22"/>
          <w:lang w:val="x-none" w:eastAsia="x-none"/>
        </w:rPr>
        <w:t>Դրանք</w:t>
      </w:r>
      <w:r w:rsidRPr="002F5E36">
        <w:rPr>
          <w:b w:val="0"/>
          <w:color w:val="000000"/>
          <w:szCs w:val="22"/>
          <w:lang w:val="x-none" w:eastAsia="x-none"/>
        </w:rPr>
        <w:t xml:space="preserve"> </w:t>
      </w:r>
      <w:r w:rsidRPr="002F5E36">
        <w:rPr>
          <w:rFonts w:cs="Sylfaen"/>
          <w:b w:val="0"/>
          <w:color w:val="000000"/>
          <w:szCs w:val="22"/>
          <w:lang w:val="x-none" w:eastAsia="x-none"/>
        </w:rPr>
        <w:t>հիմնականում</w:t>
      </w:r>
      <w:r w:rsidRPr="002F5E36">
        <w:rPr>
          <w:b w:val="0"/>
          <w:color w:val="000000"/>
          <w:szCs w:val="22"/>
          <w:lang w:val="x-none" w:eastAsia="x-none"/>
        </w:rPr>
        <w:t xml:space="preserve"> </w:t>
      </w:r>
      <w:r w:rsidRPr="002F5E36">
        <w:rPr>
          <w:rFonts w:cs="Sylfaen"/>
          <w:b w:val="0"/>
          <w:color w:val="000000"/>
          <w:szCs w:val="22"/>
          <w:lang w:val="x-none" w:eastAsia="x-none"/>
        </w:rPr>
        <w:t>այն</w:t>
      </w:r>
      <w:r w:rsidRPr="002F5E36">
        <w:rPr>
          <w:b w:val="0"/>
          <w:color w:val="000000"/>
          <w:szCs w:val="22"/>
          <w:lang w:val="x-none" w:eastAsia="x-none"/>
        </w:rPr>
        <w:t xml:space="preserve"> </w:t>
      </w:r>
      <w:r w:rsidRPr="002F5E36">
        <w:rPr>
          <w:rFonts w:cs="Sylfaen"/>
          <w:b w:val="0"/>
          <w:color w:val="000000"/>
          <w:szCs w:val="22"/>
          <w:lang w:val="x-none" w:eastAsia="x-none"/>
        </w:rPr>
        <w:t>ոլորտներն</w:t>
      </w:r>
      <w:r w:rsidRPr="002F5E36">
        <w:rPr>
          <w:b w:val="0"/>
          <w:color w:val="000000"/>
          <w:szCs w:val="22"/>
          <w:lang w:val="x-none" w:eastAsia="x-none"/>
        </w:rPr>
        <w:t xml:space="preserve"> </w:t>
      </w:r>
      <w:r w:rsidRPr="002F5E36">
        <w:rPr>
          <w:rFonts w:cs="Sylfaen"/>
          <w:b w:val="0"/>
          <w:color w:val="000000"/>
          <w:szCs w:val="22"/>
          <w:lang w:val="x-none" w:eastAsia="x-none"/>
        </w:rPr>
        <w:t>են</w:t>
      </w:r>
      <w:r w:rsidRPr="002F5E36">
        <w:rPr>
          <w:b w:val="0"/>
          <w:color w:val="000000"/>
          <w:szCs w:val="22"/>
          <w:lang w:val="x-none" w:eastAsia="x-none"/>
        </w:rPr>
        <w:t xml:space="preserve">, </w:t>
      </w:r>
      <w:r w:rsidRPr="002F5E36">
        <w:rPr>
          <w:rFonts w:cs="Sylfaen"/>
          <w:b w:val="0"/>
          <w:color w:val="000000"/>
          <w:szCs w:val="22"/>
          <w:lang w:val="x-none" w:eastAsia="x-none"/>
        </w:rPr>
        <w:t>որոնք</w:t>
      </w:r>
      <w:r w:rsidRPr="002F5E36">
        <w:rPr>
          <w:b w:val="0"/>
          <w:color w:val="000000"/>
          <w:szCs w:val="22"/>
          <w:lang w:val="x-none" w:eastAsia="x-none"/>
        </w:rPr>
        <w:t xml:space="preserve"> </w:t>
      </w:r>
      <w:r w:rsidRPr="002F5E36">
        <w:rPr>
          <w:rFonts w:cs="Sylfaen"/>
          <w:b w:val="0"/>
          <w:color w:val="000000"/>
          <w:szCs w:val="22"/>
          <w:lang w:val="x-none" w:eastAsia="x-none"/>
        </w:rPr>
        <w:t>ավանդաբար</w:t>
      </w:r>
      <w:r w:rsidRPr="002F5E36">
        <w:rPr>
          <w:b w:val="0"/>
          <w:color w:val="000000"/>
          <w:szCs w:val="22"/>
          <w:lang w:val="x-none" w:eastAsia="x-none"/>
        </w:rPr>
        <w:t xml:space="preserve"> </w:t>
      </w:r>
      <w:r w:rsidRPr="002F5E36">
        <w:rPr>
          <w:rFonts w:cs="Sylfaen"/>
          <w:b w:val="0"/>
          <w:color w:val="000000"/>
          <w:szCs w:val="22"/>
          <w:lang w:val="x-none" w:eastAsia="x-none"/>
        </w:rPr>
        <w:t>ձևավորել</w:t>
      </w:r>
      <w:r w:rsidRPr="002F5E36">
        <w:rPr>
          <w:b w:val="0"/>
          <w:color w:val="000000"/>
          <w:szCs w:val="22"/>
          <w:lang w:val="x-none" w:eastAsia="x-none"/>
        </w:rPr>
        <w:t xml:space="preserve"> </w:t>
      </w:r>
      <w:r w:rsidRPr="002F5E36">
        <w:rPr>
          <w:rFonts w:cs="Sylfaen"/>
          <w:b w:val="0"/>
          <w:color w:val="000000"/>
          <w:szCs w:val="22"/>
          <w:lang w:val="x-none" w:eastAsia="x-none"/>
        </w:rPr>
        <w:t>են</w:t>
      </w:r>
      <w:r w:rsidRPr="002F5E36">
        <w:rPr>
          <w:b w:val="0"/>
          <w:color w:val="000000"/>
          <w:szCs w:val="22"/>
          <w:lang w:val="x-none" w:eastAsia="x-none"/>
        </w:rPr>
        <w:t xml:space="preserve"> </w:t>
      </w:r>
      <w:r w:rsidRPr="002F5E36">
        <w:rPr>
          <w:rFonts w:cs="Sylfaen"/>
          <w:b w:val="0"/>
          <w:color w:val="000000"/>
          <w:szCs w:val="22"/>
          <w:lang w:val="x-none" w:eastAsia="x-none"/>
        </w:rPr>
        <w:t>ազգային</w:t>
      </w:r>
      <w:r w:rsidRPr="002F5E36">
        <w:rPr>
          <w:b w:val="0"/>
          <w:color w:val="000000"/>
          <w:szCs w:val="22"/>
          <w:lang w:val="x-none" w:eastAsia="x-none"/>
        </w:rPr>
        <w:t xml:space="preserve"> </w:t>
      </w:r>
      <w:r w:rsidRPr="002F5E36">
        <w:rPr>
          <w:rFonts w:cs="Sylfaen"/>
          <w:b w:val="0"/>
          <w:color w:val="000000"/>
          <w:szCs w:val="22"/>
          <w:lang w:val="x-none" w:eastAsia="x-none"/>
        </w:rPr>
        <w:t>տնտեսության</w:t>
      </w:r>
      <w:r w:rsidRPr="002F5E36">
        <w:rPr>
          <w:b w:val="0"/>
          <w:color w:val="000000"/>
          <w:szCs w:val="22"/>
          <w:lang w:val="x-none" w:eastAsia="x-none"/>
        </w:rPr>
        <w:t xml:space="preserve"> </w:t>
      </w:r>
      <w:r w:rsidRPr="002F5E36">
        <w:rPr>
          <w:rFonts w:cs="Sylfaen"/>
          <w:b w:val="0"/>
          <w:color w:val="000000"/>
          <w:szCs w:val="22"/>
          <w:lang w:val="x-none" w:eastAsia="x-none"/>
        </w:rPr>
        <w:t>նկարագիրը</w:t>
      </w:r>
      <w:r w:rsidRPr="002F5E36">
        <w:rPr>
          <w:b w:val="0"/>
          <w:color w:val="000000"/>
          <w:szCs w:val="22"/>
          <w:lang w:val="x-none" w:eastAsia="x-none"/>
        </w:rPr>
        <w:t xml:space="preserve"> (</w:t>
      </w:r>
      <w:r w:rsidRPr="002F5E36">
        <w:rPr>
          <w:rFonts w:cs="Sylfaen"/>
          <w:b w:val="0"/>
          <w:color w:val="000000"/>
          <w:szCs w:val="22"/>
          <w:lang w:val="x-none" w:eastAsia="x-none"/>
        </w:rPr>
        <w:t>ոսկերչություն</w:t>
      </w:r>
      <w:r w:rsidRPr="002F5E36">
        <w:rPr>
          <w:b w:val="0"/>
          <w:color w:val="000000"/>
          <w:szCs w:val="22"/>
          <w:lang w:val="x-none" w:eastAsia="x-none"/>
        </w:rPr>
        <w:t xml:space="preserve">, </w:t>
      </w:r>
      <w:r w:rsidRPr="002F5E36">
        <w:rPr>
          <w:rFonts w:cs="Sylfaen"/>
          <w:b w:val="0"/>
          <w:color w:val="000000"/>
          <w:szCs w:val="22"/>
          <w:lang w:val="x-none" w:eastAsia="x-none"/>
        </w:rPr>
        <w:t>զբոսաշրջություն</w:t>
      </w:r>
      <w:r w:rsidRPr="002F5E36">
        <w:rPr>
          <w:b w:val="0"/>
          <w:color w:val="000000"/>
          <w:szCs w:val="22"/>
          <w:lang w:val="x-none" w:eastAsia="x-none"/>
        </w:rPr>
        <w:t xml:space="preserve">, </w:t>
      </w:r>
      <w:r w:rsidRPr="002F5E36">
        <w:rPr>
          <w:rFonts w:cs="Sylfaen"/>
          <w:b w:val="0"/>
          <w:color w:val="000000"/>
          <w:szCs w:val="22"/>
          <w:lang w:val="x-none" w:eastAsia="x-none"/>
        </w:rPr>
        <w:t>գորգագործություն</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այլն</w:t>
      </w:r>
      <w:r w:rsidRPr="002F5E36">
        <w:rPr>
          <w:b w:val="0"/>
          <w:color w:val="000000"/>
          <w:szCs w:val="22"/>
          <w:lang w:val="x-none" w:eastAsia="x-none"/>
        </w:rPr>
        <w:t xml:space="preserve">): </w:t>
      </w:r>
      <w:r w:rsidRPr="002F5E36">
        <w:rPr>
          <w:rFonts w:cs="Sylfaen"/>
          <w:b w:val="0"/>
          <w:color w:val="000000"/>
          <w:szCs w:val="22"/>
          <w:lang w:val="x-none" w:eastAsia="x-none"/>
        </w:rPr>
        <w:t>Այս</w:t>
      </w:r>
      <w:r w:rsidRPr="002F5E36">
        <w:rPr>
          <w:b w:val="0"/>
          <w:color w:val="000000"/>
          <w:szCs w:val="22"/>
          <w:lang w:val="x-none" w:eastAsia="x-none"/>
        </w:rPr>
        <w:t xml:space="preserve"> </w:t>
      </w:r>
      <w:r w:rsidRPr="002F5E36">
        <w:rPr>
          <w:rFonts w:cs="Sylfaen"/>
          <w:b w:val="0"/>
          <w:color w:val="000000"/>
          <w:szCs w:val="22"/>
          <w:lang w:val="x-none" w:eastAsia="x-none"/>
        </w:rPr>
        <w:t>առումով</w:t>
      </w:r>
      <w:r w:rsidRPr="002F5E36">
        <w:rPr>
          <w:b w:val="0"/>
          <w:color w:val="000000"/>
          <w:szCs w:val="22"/>
          <w:lang w:val="x-none" w:eastAsia="x-none"/>
        </w:rPr>
        <w:t xml:space="preserve">, </w:t>
      </w:r>
      <w:r w:rsidRPr="002F5E36">
        <w:rPr>
          <w:rFonts w:cs="Sylfaen"/>
          <w:b w:val="0"/>
          <w:color w:val="000000"/>
          <w:szCs w:val="22"/>
          <w:lang w:val="x-none" w:eastAsia="x-none"/>
        </w:rPr>
        <w:t>Կառավարությունը</w:t>
      </w:r>
      <w:r w:rsidRPr="002F5E36">
        <w:rPr>
          <w:b w:val="0"/>
          <w:color w:val="000000"/>
          <w:szCs w:val="22"/>
          <w:lang w:val="x-none" w:eastAsia="x-none"/>
        </w:rPr>
        <w:t xml:space="preserve"> </w:t>
      </w:r>
      <w:r w:rsidRPr="002F5E36">
        <w:rPr>
          <w:rFonts w:cs="Sylfaen"/>
          <w:b w:val="0"/>
          <w:color w:val="000000"/>
          <w:szCs w:val="22"/>
          <w:lang w:val="x-none" w:eastAsia="x-none"/>
        </w:rPr>
        <w:t>տարբեր</w:t>
      </w:r>
      <w:r w:rsidRPr="002F5E36">
        <w:rPr>
          <w:b w:val="0"/>
          <w:color w:val="000000"/>
          <w:szCs w:val="22"/>
          <w:lang w:val="x-none" w:eastAsia="x-none"/>
        </w:rPr>
        <w:t xml:space="preserve"> </w:t>
      </w:r>
      <w:r w:rsidRPr="002F5E36">
        <w:rPr>
          <w:rFonts w:cs="Sylfaen"/>
          <w:b w:val="0"/>
          <w:color w:val="000000"/>
          <w:szCs w:val="22"/>
          <w:lang w:val="x-none" w:eastAsia="x-none"/>
        </w:rPr>
        <w:t>գործիքներով</w:t>
      </w:r>
      <w:r w:rsidRPr="002F5E36">
        <w:rPr>
          <w:b w:val="0"/>
          <w:color w:val="000000"/>
          <w:szCs w:val="22"/>
          <w:lang w:val="x-none" w:eastAsia="x-none"/>
        </w:rPr>
        <w:t xml:space="preserve"> (</w:t>
      </w:r>
      <w:r w:rsidRPr="002F5E36">
        <w:rPr>
          <w:rFonts w:cs="Sylfaen"/>
          <w:b w:val="0"/>
          <w:color w:val="000000"/>
          <w:szCs w:val="22"/>
          <w:lang w:val="x-none" w:eastAsia="x-none"/>
        </w:rPr>
        <w:t>այդ</w:t>
      </w:r>
      <w:r w:rsidRPr="002F5E36">
        <w:rPr>
          <w:b w:val="0"/>
          <w:color w:val="000000"/>
          <w:szCs w:val="22"/>
          <w:lang w:val="x-none" w:eastAsia="x-none"/>
        </w:rPr>
        <w:t xml:space="preserve"> </w:t>
      </w:r>
      <w:r w:rsidRPr="002F5E36">
        <w:rPr>
          <w:rFonts w:cs="Sylfaen"/>
          <w:b w:val="0"/>
          <w:color w:val="000000"/>
          <w:szCs w:val="22"/>
          <w:lang w:val="x-none" w:eastAsia="x-none"/>
        </w:rPr>
        <w:t>թվում</w:t>
      </w:r>
      <w:r w:rsidRPr="002F5E36">
        <w:rPr>
          <w:b w:val="0"/>
          <w:color w:val="000000"/>
          <w:szCs w:val="22"/>
          <w:lang w:val="x-none" w:eastAsia="x-none"/>
        </w:rPr>
        <w:t xml:space="preserve">` </w:t>
      </w:r>
      <w:r w:rsidRPr="002F5E36">
        <w:rPr>
          <w:rFonts w:cs="Sylfaen"/>
          <w:b w:val="0"/>
          <w:color w:val="000000"/>
          <w:szCs w:val="22"/>
          <w:lang w:val="x-none" w:eastAsia="x-none"/>
        </w:rPr>
        <w:t>հարկային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կիրա</w:t>
      </w:r>
      <w:r w:rsidRPr="002F5E36">
        <w:rPr>
          <w:rFonts w:cs="Sylfaen"/>
          <w:b w:val="0"/>
          <w:color w:val="000000"/>
          <w:szCs w:val="22"/>
          <w:lang w:val="en-US" w:eastAsia="x-none"/>
        </w:rPr>
        <w:softHyphen/>
      </w:r>
      <w:r w:rsidRPr="002F5E36">
        <w:rPr>
          <w:rFonts w:cs="Sylfaen"/>
          <w:b w:val="0"/>
          <w:color w:val="000000"/>
          <w:szCs w:val="22"/>
          <w:lang w:val="x-none" w:eastAsia="x-none"/>
        </w:rPr>
        <w:t>ռու</w:t>
      </w:r>
      <w:r w:rsidRPr="002F5E36">
        <w:rPr>
          <w:rFonts w:cs="Sylfaen"/>
          <w:b w:val="0"/>
          <w:color w:val="000000"/>
          <w:szCs w:val="22"/>
          <w:lang w:val="en-US" w:eastAsia="x-none"/>
        </w:rPr>
        <w:softHyphen/>
      </w:r>
      <w:r w:rsidRPr="002F5E36">
        <w:rPr>
          <w:rFonts w:cs="Sylfaen"/>
          <w:b w:val="0"/>
          <w:color w:val="000000"/>
          <w:szCs w:val="22"/>
          <w:lang w:val="x-none" w:eastAsia="x-none"/>
        </w:rPr>
        <w:t>թյամբ</w:t>
      </w:r>
      <w:r w:rsidRPr="002F5E36">
        <w:rPr>
          <w:b w:val="0"/>
          <w:color w:val="000000"/>
          <w:szCs w:val="22"/>
          <w:lang w:val="x-none" w:eastAsia="x-none"/>
        </w:rPr>
        <w:t xml:space="preserve">) </w:t>
      </w:r>
      <w:r w:rsidRPr="002F5E36">
        <w:rPr>
          <w:rFonts w:cs="Sylfaen"/>
          <w:b w:val="0"/>
          <w:color w:val="000000"/>
          <w:szCs w:val="22"/>
          <w:lang w:val="x-none" w:eastAsia="x-none"/>
        </w:rPr>
        <w:t>օժանդակում</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այդ</w:t>
      </w:r>
      <w:r w:rsidRPr="002F5E36">
        <w:rPr>
          <w:b w:val="0"/>
          <w:color w:val="000000"/>
          <w:szCs w:val="22"/>
          <w:lang w:val="x-none" w:eastAsia="x-none"/>
        </w:rPr>
        <w:t xml:space="preserve"> </w:t>
      </w:r>
      <w:r w:rsidRPr="002F5E36">
        <w:rPr>
          <w:rFonts w:cs="Sylfaen"/>
          <w:b w:val="0"/>
          <w:color w:val="000000"/>
          <w:szCs w:val="22"/>
          <w:lang w:val="x-none" w:eastAsia="x-none"/>
        </w:rPr>
        <w:t>ոլորտներում</w:t>
      </w:r>
      <w:r w:rsidRPr="002F5E36">
        <w:rPr>
          <w:b w:val="0"/>
          <w:color w:val="000000"/>
          <w:szCs w:val="22"/>
          <w:lang w:val="x-none" w:eastAsia="x-none"/>
        </w:rPr>
        <w:t xml:space="preserve"> </w:t>
      </w:r>
      <w:r w:rsidRPr="002F5E36">
        <w:rPr>
          <w:rFonts w:cs="Sylfaen"/>
          <w:b w:val="0"/>
          <w:color w:val="000000"/>
          <w:szCs w:val="22"/>
          <w:lang w:val="x-none" w:eastAsia="x-none"/>
        </w:rPr>
        <w:t>գործող</w:t>
      </w:r>
      <w:r w:rsidRPr="002F5E36">
        <w:rPr>
          <w:b w:val="0"/>
          <w:color w:val="000000"/>
          <w:szCs w:val="22"/>
          <w:lang w:val="x-none" w:eastAsia="x-none"/>
        </w:rPr>
        <w:t xml:space="preserve"> </w:t>
      </w:r>
      <w:r w:rsidRPr="002F5E36">
        <w:rPr>
          <w:rFonts w:cs="Sylfaen"/>
          <w:b w:val="0"/>
          <w:color w:val="000000"/>
          <w:szCs w:val="22"/>
          <w:lang w:val="x-none" w:eastAsia="x-none"/>
        </w:rPr>
        <w:t>տնտեսավարող</w:t>
      </w:r>
      <w:r w:rsidRPr="002F5E36">
        <w:rPr>
          <w:b w:val="0"/>
          <w:color w:val="000000"/>
          <w:szCs w:val="22"/>
          <w:lang w:val="x-none" w:eastAsia="x-none"/>
        </w:rPr>
        <w:t xml:space="preserve"> </w:t>
      </w:r>
      <w:r w:rsidRPr="002F5E36">
        <w:rPr>
          <w:rFonts w:cs="Sylfaen"/>
          <w:b w:val="0"/>
          <w:color w:val="000000"/>
          <w:szCs w:val="22"/>
          <w:lang w:val="x-none" w:eastAsia="x-none"/>
        </w:rPr>
        <w:t>սուբյեկտներին</w:t>
      </w:r>
      <w:r w:rsidRPr="002F5E36">
        <w:rPr>
          <w:b w:val="0"/>
          <w:color w:val="000000"/>
          <w:szCs w:val="22"/>
          <w:lang w:val="en-US" w:eastAsia="x-none"/>
        </w:rPr>
        <w:t>,</w:t>
      </w:r>
    </w:p>
    <w:p w14:paraId="0E891049" w14:textId="77777777" w:rsidR="002F5E36" w:rsidRPr="002F5E36" w:rsidRDefault="002F5E36" w:rsidP="00347B32">
      <w:pPr>
        <w:shd w:val="clear" w:color="auto" w:fill="FFFFFF"/>
        <w:rPr>
          <w:b w:val="0"/>
          <w:color w:val="000000"/>
          <w:szCs w:val="22"/>
          <w:lang w:val="en-US" w:eastAsia="x-none"/>
        </w:rPr>
      </w:pPr>
      <w:r w:rsidRPr="002F5E36">
        <w:rPr>
          <w:rFonts w:cs="Sylfaen"/>
          <w:b w:val="0"/>
          <w:color w:val="000000"/>
          <w:szCs w:val="22"/>
          <w:shd w:val="clear" w:color="auto" w:fill="FFFFFF"/>
          <w:lang w:val="x-none" w:eastAsia="x-none"/>
        </w:rPr>
        <w:t>Գործարար</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և</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ներդրումային</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միջավայրի</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բարելավմանն</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ու</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ակտիվության</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բարձրացմանն</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ուղղված</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հարկային</w:t>
      </w:r>
      <w:r w:rsidRPr="002F5E36">
        <w:rPr>
          <w:b w:val="0"/>
          <w:color w:val="000000"/>
          <w:szCs w:val="22"/>
          <w:shd w:val="clear" w:color="auto" w:fill="FFFFFF"/>
          <w:lang w:val="x-none" w:eastAsia="x-none"/>
        </w:rPr>
        <w:t xml:space="preserve"> </w:t>
      </w:r>
      <w:r w:rsidRPr="002F5E36">
        <w:rPr>
          <w:rFonts w:cs="Sylfaen"/>
          <w:b w:val="0"/>
          <w:color w:val="000000"/>
          <w:szCs w:val="22"/>
          <w:shd w:val="clear" w:color="auto" w:fill="FFFFFF"/>
          <w:lang w:val="x-none" w:eastAsia="x-none"/>
        </w:rPr>
        <w:t>արտոնությունների</w:t>
      </w:r>
      <w:r w:rsidRPr="002F5E36">
        <w:rPr>
          <w:rFonts w:cs="Sylfaen"/>
          <w:b w:val="0"/>
          <w:color w:val="000000"/>
          <w:szCs w:val="22"/>
          <w:shd w:val="clear" w:color="auto" w:fill="FFFFFF"/>
          <w:lang w:val="en-US" w:eastAsia="x-none"/>
        </w:rPr>
        <w:t xml:space="preserve"> կիրառության հիմնական նպատակը տնտեսավարող սուբյեկտների համար առավել նպաստավոր հարկային միջավայրի ձևավորումը և ազգային տնտեսության մրցունակության բարձրացումն է</w:t>
      </w:r>
      <w:r w:rsidRPr="002F5E36">
        <w:rPr>
          <w:b w:val="0"/>
          <w:color w:val="000000"/>
          <w:szCs w:val="22"/>
          <w:shd w:val="clear" w:color="auto" w:fill="FFFFFF"/>
          <w:lang w:val="x-none" w:eastAsia="x-none"/>
        </w:rPr>
        <w:t>:</w:t>
      </w:r>
    </w:p>
    <w:p w14:paraId="3B42671C" w14:textId="77777777" w:rsidR="002F5E36" w:rsidRPr="002F5E36" w:rsidRDefault="002F5E36" w:rsidP="00347B32">
      <w:pPr>
        <w:shd w:val="clear" w:color="auto" w:fill="FFFFFF"/>
        <w:rPr>
          <w:rFonts w:cs="Sylfaen"/>
          <w:b w:val="0"/>
          <w:color w:val="000000"/>
          <w:szCs w:val="22"/>
          <w:lang w:val="en-US" w:eastAsia="x-none"/>
        </w:rPr>
      </w:pPr>
      <w:r w:rsidRPr="002F5E36">
        <w:rPr>
          <w:rFonts w:cs="Sylfaen"/>
          <w:b w:val="0"/>
          <w:color w:val="000000"/>
          <w:szCs w:val="22"/>
          <w:lang w:val="en-US" w:eastAsia="x-none"/>
        </w:rPr>
        <w:t>Վերոնշյալ հարկային արտոնությունների կիրառության հետևանքով առաջացող` հարկային եկամուտների կորստի` հարկային ծախսերի գնահատման հաշվետվությունների կազմումը, ներկայացումը և գործադիր ու օրենսդիր իշխանության մարմիններում դրանց քննարկումը կարևոր քայլ է հարկային արտոնությունների շրջանակի հնարավոր վերանայման քաղաքականության իրականացման ճանապարհին:</w:t>
      </w:r>
    </w:p>
    <w:p w14:paraId="7D7A658D" w14:textId="77777777" w:rsidR="002F5E36" w:rsidRPr="002F5E36" w:rsidRDefault="002F5E36" w:rsidP="00347B32">
      <w:pPr>
        <w:shd w:val="clear" w:color="auto" w:fill="FFFFFF"/>
        <w:rPr>
          <w:b w:val="0"/>
          <w:color w:val="000000"/>
          <w:szCs w:val="22"/>
          <w:lang w:val="x-none" w:eastAsia="x-none"/>
        </w:rPr>
      </w:pPr>
      <w:r w:rsidRPr="002F5E36">
        <w:rPr>
          <w:rFonts w:cs="Sylfaen"/>
          <w:b w:val="0"/>
          <w:color w:val="000000"/>
          <w:szCs w:val="22"/>
          <w:lang w:val="en-US" w:eastAsia="x-none"/>
        </w:rPr>
        <w:t>Այս իմաստով, ա</w:t>
      </w:r>
      <w:r w:rsidRPr="002F5E36">
        <w:rPr>
          <w:rFonts w:cs="Sylfaen"/>
          <w:b w:val="0"/>
          <w:color w:val="000000"/>
          <w:szCs w:val="22"/>
          <w:lang w:val="x-none" w:eastAsia="x-none"/>
        </w:rPr>
        <w:t>ռաջիկա</w:t>
      </w:r>
      <w:r w:rsidRPr="002F5E36">
        <w:rPr>
          <w:b w:val="0"/>
          <w:color w:val="000000"/>
          <w:szCs w:val="22"/>
          <w:lang w:val="x-none" w:eastAsia="x-none"/>
        </w:rPr>
        <w:t xml:space="preserve"> </w:t>
      </w:r>
      <w:r w:rsidRPr="002F5E36">
        <w:rPr>
          <w:rFonts w:cs="Sylfaen"/>
          <w:b w:val="0"/>
          <w:color w:val="000000"/>
          <w:szCs w:val="22"/>
          <w:lang w:val="x-none" w:eastAsia="x-none"/>
        </w:rPr>
        <w:t>տարիներին</w:t>
      </w:r>
      <w:r w:rsidRPr="002F5E36">
        <w:rPr>
          <w:rFonts w:cs="Sylfaen"/>
          <w:b w:val="0"/>
          <w:color w:val="000000"/>
          <w:szCs w:val="22"/>
          <w:lang w:val="en-US" w:eastAsia="x-none"/>
        </w:rPr>
        <w:t xml:space="preserve"> </w:t>
      </w:r>
      <w:r w:rsidRPr="002F5E36">
        <w:rPr>
          <w:rFonts w:cs="Sylfaen"/>
          <w:b w:val="0"/>
          <w:color w:val="000000"/>
          <w:szCs w:val="22"/>
          <w:lang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eastAsia="x-none"/>
        </w:rPr>
        <w:t>ծախսերի</w:t>
      </w:r>
      <w:r w:rsidRPr="002F5E36">
        <w:rPr>
          <w:rFonts w:cs="Sylfaen"/>
          <w:b w:val="0"/>
          <w:color w:val="000000"/>
          <w:szCs w:val="22"/>
          <w:lang w:val="en-US" w:eastAsia="x-none"/>
        </w:rPr>
        <w:t xml:space="preserve"> </w:t>
      </w:r>
      <w:r w:rsidRPr="002F5E36">
        <w:rPr>
          <w:rFonts w:cs="Sylfaen"/>
          <w:b w:val="0"/>
          <w:color w:val="000000"/>
          <w:szCs w:val="22"/>
          <w:lang w:eastAsia="x-none"/>
        </w:rPr>
        <w:t>նման</w:t>
      </w:r>
      <w:r w:rsidRPr="002F5E36">
        <w:rPr>
          <w:rFonts w:cs="Sylfaen"/>
          <w:b w:val="0"/>
          <w:color w:val="000000"/>
          <w:szCs w:val="22"/>
          <w:lang w:val="en-US" w:eastAsia="x-none"/>
        </w:rPr>
        <w:t xml:space="preserve"> </w:t>
      </w:r>
      <w:r w:rsidRPr="002F5E36">
        <w:rPr>
          <w:rFonts w:cs="Sylfaen"/>
          <w:b w:val="0"/>
          <w:color w:val="000000"/>
          <w:szCs w:val="22"/>
          <w:lang w:eastAsia="x-none"/>
        </w:rPr>
        <w:t>գնահատականները</w:t>
      </w:r>
      <w:r w:rsidRPr="002F5E36">
        <w:rPr>
          <w:rFonts w:cs="Sylfaen"/>
          <w:b w:val="0"/>
          <w:color w:val="000000"/>
          <w:szCs w:val="22"/>
          <w:lang w:val="en-US" w:eastAsia="x-none"/>
        </w:rPr>
        <w:t xml:space="preserve"> </w:t>
      </w:r>
      <w:r w:rsidRPr="002F5E36">
        <w:rPr>
          <w:rFonts w:cs="Sylfaen"/>
          <w:b w:val="0"/>
          <w:color w:val="000000"/>
          <w:szCs w:val="22"/>
          <w:lang w:eastAsia="x-none"/>
        </w:rPr>
        <w:t>հիմք</w:t>
      </w:r>
      <w:r w:rsidRPr="002F5E36">
        <w:rPr>
          <w:rFonts w:cs="Sylfaen"/>
          <w:b w:val="0"/>
          <w:color w:val="000000"/>
          <w:szCs w:val="22"/>
          <w:lang w:val="en-US" w:eastAsia="x-none"/>
        </w:rPr>
        <w:t xml:space="preserve"> </w:t>
      </w:r>
      <w:r w:rsidRPr="002F5E36">
        <w:rPr>
          <w:rFonts w:cs="Sylfaen"/>
          <w:b w:val="0"/>
          <w:color w:val="000000"/>
          <w:szCs w:val="22"/>
          <w:lang w:eastAsia="x-none"/>
        </w:rPr>
        <w:t>են</w:t>
      </w:r>
      <w:r w:rsidRPr="002F5E36">
        <w:rPr>
          <w:rFonts w:cs="Sylfaen"/>
          <w:b w:val="0"/>
          <w:color w:val="000000"/>
          <w:szCs w:val="22"/>
          <w:lang w:val="en-US" w:eastAsia="x-none"/>
        </w:rPr>
        <w:t xml:space="preserve"> </w:t>
      </w:r>
      <w:r w:rsidRPr="002F5E36">
        <w:rPr>
          <w:rFonts w:cs="Sylfaen"/>
          <w:b w:val="0"/>
          <w:color w:val="000000"/>
          <w:szCs w:val="22"/>
          <w:lang w:eastAsia="x-none"/>
        </w:rPr>
        <w:t>հանդիսանալու</w:t>
      </w:r>
      <w:r w:rsidRPr="002F5E36">
        <w:rPr>
          <w:rFonts w:cs="Sylfaen"/>
          <w:b w:val="0"/>
          <w:color w:val="000000"/>
          <w:szCs w:val="22"/>
          <w:lang w:val="en-US" w:eastAsia="x-none"/>
        </w:rPr>
        <w:t xml:space="preserve"> </w:t>
      </w:r>
      <w:r w:rsidRPr="002F5E36">
        <w:rPr>
          <w:rFonts w:cs="Sylfaen"/>
          <w:b w:val="0"/>
          <w:color w:val="000000"/>
          <w:szCs w:val="22"/>
          <w:lang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eastAsia="x-none"/>
        </w:rPr>
        <w:t>արտոնությունների</w:t>
      </w:r>
      <w:r w:rsidRPr="002F5E36">
        <w:rPr>
          <w:rFonts w:cs="Sylfaen"/>
          <w:b w:val="0"/>
          <w:color w:val="000000"/>
          <w:szCs w:val="22"/>
          <w:lang w:val="en-US" w:eastAsia="x-none"/>
        </w:rPr>
        <w:t xml:space="preserve"> </w:t>
      </w:r>
      <w:r w:rsidRPr="002F5E36">
        <w:rPr>
          <w:rFonts w:cs="Sylfaen"/>
          <w:b w:val="0"/>
          <w:color w:val="000000"/>
          <w:szCs w:val="22"/>
          <w:lang w:eastAsia="x-none"/>
        </w:rPr>
        <w:t>շրջանակի</w:t>
      </w:r>
      <w:r w:rsidRPr="002F5E36">
        <w:rPr>
          <w:rFonts w:cs="Sylfaen"/>
          <w:b w:val="0"/>
          <w:color w:val="000000"/>
          <w:szCs w:val="22"/>
          <w:lang w:val="en-US" w:eastAsia="x-none"/>
        </w:rPr>
        <w:t xml:space="preserve"> </w:t>
      </w:r>
      <w:r w:rsidRPr="002F5E36">
        <w:rPr>
          <w:rFonts w:cs="Sylfaen"/>
          <w:b w:val="0"/>
          <w:color w:val="000000"/>
          <w:szCs w:val="22"/>
          <w:lang w:eastAsia="x-none"/>
        </w:rPr>
        <w:t>վերանայման</w:t>
      </w:r>
      <w:r w:rsidRPr="002F5E36">
        <w:rPr>
          <w:rFonts w:cs="Sylfaen"/>
          <w:b w:val="0"/>
          <w:color w:val="000000"/>
          <w:szCs w:val="22"/>
          <w:lang w:val="en-US" w:eastAsia="x-none"/>
        </w:rPr>
        <w:t>,</w:t>
      </w:r>
      <w:r w:rsidRPr="002F5E36">
        <w:rPr>
          <w:b w:val="0"/>
          <w:color w:val="000000"/>
          <w:szCs w:val="22"/>
          <w:lang w:val="x-none" w:eastAsia="x-none"/>
        </w:rPr>
        <w:t xml:space="preserve"> </w:t>
      </w:r>
      <w:r w:rsidRPr="002F5E36">
        <w:rPr>
          <w:rFonts w:cs="Sylfaen"/>
          <w:b w:val="0"/>
          <w:color w:val="000000"/>
          <w:szCs w:val="22"/>
          <w:lang w:val="x-none" w:eastAsia="x-none"/>
        </w:rPr>
        <w:t>հարկման</w:t>
      </w:r>
      <w:r w:rsidRPr="002F5E36">
        <w:rPr>
          <w:b w:val="0"/>
          <w:color w:val="000000"/>
          <w:szCs w:val="22"/>
          <w:lang w:val="x-none" w:eastAsia="x-none"/>
        </w:rPr>
        <w:t xml:space="preserve"> </w:t>
      </w:r>
      <w:r w:rsidRPr="002F5E36">
        <w:rPr>
          <w:rFonts w:cs="Sylfaen"/>
          <w:b w:val="0"/>
          <w:color w:val="000000"/>
          <w:szCs w:val="22"/>
          <w:lang w:val="x-none" w:eastAsia="x-none"/>
        </w:rPr>
        <w:t>բազայի</w:t>
      </w:r>
      <w:r w:rsidRPr="002F5E36">
        <w:rPr>
          <w:b w:val="0"/>
          <w:color w:val="000000"/>
          <w:szCs w:val="22"/>
          <w:lang w:val="x-none" w:eastAsia="x-none"/>
        </w:rPr>
        <w:t xml:space="preserve"> </w:t>
      </w:r>
      <w:r w:rsidRPr="002F5E36">
        <w:rPr>
          <w:rFonts w:cs="Sylfaen"/>
          <w:b w:val="0"/>
          <w:color w:val="000000"/>
          <w:szCs w:val="22"/>
          <w:lang w:val="x-none" w:eastAsia="x-none"/>
        </w:rPr>
        <w:t>ընդլայնմ</w:t>
      </w:r>
      <w:r w:rsidRPr="002F5E36">
        <w:rPr>
          <w:rFonts w:cs="Sylfaen"/>
          <w:b w:val="0"/>
          <w:color w:val="000000"/>
          <w:szCs w:val="22"/>
          <w:lang w:eastAsia="x-none"/>
        </w:rPr>
        <w:t>ան</w:t>
      </w:r>
      <w:r w:rsidRPr="002F5E36">
        <w:rPr>
          <w:b w:val="0"/>
          <w:color w:val="000000"/>
          <w:szCs w:val="22"/>
          <w:lang w:val="x-none" w:eastAsia="x-none"/>
        </w:rPr>
        <w:t xml:space="preserve"> </w:t>
      </w:r>
      <w:r w:rsidRPr="002F5E36">
        <w:rPr>
          <w:rFonts w:cs="Sylfaen"/>
          <w:b w:val="0"/>
          <w:color w:val="000000"/>
          <w:szCs w:val="22"/>
          <w:lang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ամրապնդ</w:t>
      </w:r>
      <w:r w:rsidRPr="002F5E36">
        <w:rPr>
          <w:rFonts w:cs="Sylfaen"/>
          <w:b w:val="0"/>
          <w:color w:val="000000"/>
          <w:szCs w:val="22"/>
          <w:lang w:eastAsia="x-none"/>
        </w:rPr>
        <w:t>ման</w:t>
      </w:r>
      <w:r w:rsidRPr="002F5E36">
        <w:rPr>
          <w:rFonts w:cs="Sylfaen"/>
          <w:b w:val="0"/>
          <w:color w:val="000000"/>
          <w:szCs w:val="22"/>
          <w:lang w:val="en-US" w:eastAsia="x-none"/>
        </w:rPr>
        <w:t xml:space="preserve"> </w:t>
      </w:r>
      <w:r w:rsidRPr="002F5E36">
        <w:rPr>
          <w:rFonts w:cs="Sylfaen"/>
          <w:b w:val="0"/>
          <w:color w:val="000000"/>
          <w:szCs w:val="22"/>
          <w:lang w:eastAsia="x-none"/>
        </w:rPr>
        <w:t>քաղաքականություն</w:t>
      </w:r>
      <w:r w:rsidRPr="002F5E36">
        <w:rPr>
          <w:rFonts w:cs="Sylfaen"/>
          <w:b w:val="0"/>
          <w:color w:val="000000"/>
          <w:szCs w:val="22"/>
          <w:lang w:val="en-US" w:eastAsia="x-none"/>
        </w:rPr>
        <w:t xml:space="preserve"> </w:t>
      </w:r>
      <w:r w:rsidRPr="002F5E36">
        <w:rPr>
          <w:rFonts w:cs="Sylfaen"/>
          <w:b w:val="0"/>
          <w:color w:val="000000"/>
          <w:szCs w:val="22"/>
          <w:lang w:eastAsia="x-none"/>
        </w:rPr>
        <w:t>իրականացնելու</w:t>
      </w:r>
      <w:r w:rsidRPr="002F5E36">
        <w:rPr>
          <w:rFonts w:cs="Sylfaen"/>
          <w:b w:val="0"/>
          <w:color w:val="000000"/>
          <w:szCs w:val="22"/>
          <w:lang w:val="en-US" w:eastAsia="x-none"/>
        </w:rPr>
        <w:t xml:space="preserve"> </w:t>
      </w:r>
      <w:r w:rsidRPr="002F5E36">
        <w:rPr>
          <w:rFonts w:cs="Sylfaen"/>
          <w:b w:val="0"/>
          <w:color w:val="000000"/>
          <w:szCs w:val="22"/>
          <w:lang w:eastAsia="x-none"/>
        </w:rPr>
        <w:t>համար</w:t>
      </w:r>
      <w:r w:rsidRPr="002F5E36">
        <w:rPr>
          <w:b w:val="0"/>
          <w:color w:val="000000"/>
          <w:szCs w:val="22"/>
          <w:lang w:val="x-none" w:eastAsia="x-none"/>
        </w:rPr>
        <w:t xml:space="preserve">, </w:t>
      </w:r>
      <w:r w:rsidRPr="002F5E36">
        <w:rPr>
          <w:rFonts w:cs="Sylfaen"/>
          <w:b w:val="0"/>
          <w:color w:val="000000"/>
          <w:szCs w:val="22"/>
          <w:lang w:val="x-none" w:eastAsia="x-none"/>
        </w:rPr>
        <w:t>ինչը</w:t>
      </w:r>
      <w:r w:rsidRPr="002F5E36">
        <w:rPr>
          <w:b w:val="0"/>
          <w:color w:val="000000"/>
          <w:szCs w:val="22"/>
          <w:lang w:val="x-none" w:eastAsia="x-none"/>
        </w:rPr>
        <w:t xml:space="preserve"> </w:t>
      </w:r>
      <w:r w:rsidRPr="002F5E36">
        <w:rPr>
          <w:rFonts w:cs="Sylfaen"/>
          <w:b w:val="0"/>
          <w:color w:val="000000"/>
          <w:szCs w:val="22"/>
          <w:lang w:val="x-none" w:eastAsia="x-none"/>
        </w:rPr>
        <w:t>հնարավորություն</w:t>
      </w:r>
      <w:r w:rsidRPr="002F5E36">
        <w:rPr>
          <w:b w:val="0"/>
          <w:color w:val="000000"/>
          <w:szCs w:val="22"/>
          <w:lang w:val="x-none" w:eastAsia="x-none"/>
        </w:rPr>
        <w:t xml:space="preserve"> </w:t>
      </w:r>
      <w:r w:rsidRPr="002F5E36">
        <w:rPr>
          <w:rFonts w:cs="Sylfaen"/>
          <w:b w:val="0"/>
          <w:color w:val="000000"/>
          <w:szCs w:val="22"/>
          <w:lang w:val="x-none" w:eastAsia="x-none"/>
        </w:rPr>
        <w:t>կընձեռի</w:t>
      </w:r>
      <w:r w:rsidRPr="002F5E36">
        <w:rPr>
          <w:b w:val="0"/>
          <w:color w:val="000000"/>
          <w:szCs w:val="22"/>
          <w:lang w:val="x-none" w:eastAsia="x-none"/>
        </w:rPr>
        <w:t xml:space="preserve"> </w:t>
      </w:r>
      <w:r w:rsidRPr="002F5E36">
        <w:rPr>
          <w:rFonts w:cs="Sylfaen"/>
          <w:b w:val="0"/>
          <w:color w:val="000000"/>
          <w:szCs w:val="22"/>
          <w:lang w:val="x-none" w:eastAsia="x-none"/>
        </w:rPr>
        <w:t>աստիճանաբար</w:t>
      </w:r>
      <w:r w:rsidRPr="002F5E36">
        <w:rPr>
          <w:b w:val="0"/>
          <w:color w:val="000000"/>
          <w:szCs w:val="22"/>
          <w:lang w:val="x-none" w:eastAsia="x-none"/>
        </w:rPr>
        <w:t xml:space="preserve"> </w:t>
      </w:r>
      <w:r w:rsidRPr="002F5E36">
        <w:rPr>
          <w:rFonts w:cs="Sylfaen"/>
          <w:b w:val="0"/>
          <w:color w:val="000000"/>
          <w:szCs w:val="22"/>
          <w:lang w:val="x-none" w:eastAsia="x-none"/>
        </w:rPr>
        <w:t>բարելավել</w:t>
      </w:r>
      <w:r w:rsidRPr="002F5E36">
        <w:rPr>
          <w:b w:val="0"/>
          <w:color w:val="000000"/>
          <w:szCs w:val="22"/>
          <w:lang w:val="x-none" w:eastAsia="x-none"/>
        </w:rPr>
        <w:t xml:space="preserve"> </w:t>
      </w:r>
      <w:r w:rsidRPr="002F5E36">
        <w:rPr>
          <w:rFonts w:cs="Sylfaen"/>
          <w:b w:val="0"/>
          <w:color w:val="000000"/>
          <w:szCs w:val="22"/>
          <w:lang w:val="x-none" w:eastAsia="x-none"/>
        </w:rPr>
        <w:t>հարկեր</w:t>
      </w:r>
      <w:r w:rsidRPr="002F5E36">
        <w:rPr>
          <w:b w:val="0"/>
          <w:color w:val="000000"/>
          <w:szCs w:val="22"/>
          <w:lang w:val="x-none" w:eastAsia="x-none"/>
        </w:rPr>
        <w:t>/</w:t>
      </w:r>
      <w:r w:rsidRPr="002F5E36">
        <w:rPr>
          <w:rFonts w:cs="Sylfaen"/>
          <w:b w:val="0"/>
          <w:color w:val="000000"/>
          <w:szCs w:val="22"/>
          <w:lang w:val="x-none" w:eastAsia="x-none"/>
        </w:rPr>
        <w:t>ՀՆԱ</w:t>
      </w:r>
      <w:r w:rsidRPr="002F5E36">
        <w:rPr>
          <w:b w:val="0"/>
          <w:color w:val="000000"/>
          <w:szCs w:val="22"/>
          <w:lang w:val="x-none" w:eastAsia="x-none"/>
        </w:rPr>
        <w:t xml:space="preserve"> </w:t>
      </w:r>
      <w:r w:rsidRPr="002F5E36">
        <w:rPr>
          <w:rFonts w:cs="Sylfaen"/>
          <w:b w:val="0"/>
          <w:color w:val="000000"/>
          <w:szCs w:val="22"/>
          <w:lang w:val="x-none" w:eastAsia="x-none"/>
        </w:rPr>
        <w:t>հարաբերակցությունը</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ամրապնդել</w:t>
      </w:r>
      <w:r w:rsidRPr="002F5E36">
        <w:rPr>
          <w:b w:val="0"/>
          <w:color w:val="000000"/>
          <w:szCs w:val="22"/>
          <w:lang w:val="x-none" w:eastAsia="x-none"/>
        </w:rPr>
        <w:t xml:space="preserve"> </w:t>
      </w:r>
      <w:r w:rsidRPr="002F5E36">
        <w:rPr>
          <w:rFonts w:cs="Sylfaen"/>
          <w:b w:val="0"/>
          <w:color w:val="000000"/>
          <w:szCs w:val="22"/>
          <w:lang w:val="x-none" w:eastAsia="x-none"/>
        </w:rPr>
        <w:t>հարկման</w:t>
      </w:r>
      <w:r w:rsidRPr="002F5E36">
        <w:rPr>
          <w:b w:val="0"/>
          <w:color w:val="000000"/>
          <w:szCs w:val="22"/>
          <w:lang w:val="x-none" w:eastAsia="x-none"/>
        </w:rPr>
        <w:t xml:space="preserve"> </w:t>
      </w:r>
      <w:r w:rsidRPr="002F5E36">
        <w:rPr>
          <w:rFonts w:cs="Sylfaen"/>
          <w:b w:val="0"/>
          <w:color w:val="000000"/>
          <w:szCs w:val="22"/>
          <w:lang w:val="x-none" w:eastAsia="x-none"/>
        </w:rPr>
        <w:t>հորիզոնական</w:t>
      </w:r>
      <w:r w:rsidRPr="002F5E36">
        <w:rPr>
          <w:b w:val="0"/>
          <w:color w:val="000000"/>
          <w:szCs w:val="22"/>
          <w:lang w:val="x-none" w:eastAsia="x-none"/>
        </w:rPr>
        <w:t xml:space="preserve"> </w:t>
      </w:r>
      <w:r w:rsidRPr="002F5E36">
        <w:rPr>
          <w:rFonts w:cs="Sylfaen"/>
          <w:b w:val="0"/>
          <w:color w:val="000000"/>
          <w:szCs w:val="22"/>
          <w:lang w:val="x-none" w:eastAsia="x-none"/>
        </w:rPr>
        <w:t>արդարության</w:t>
      </w:r>
      <w:r w:rsidRPr="002F5E36">
        <w:rPr>
          <w:b w:val="0"/>
          <w:color w:val="000000"/>
          <w:szCs w:val="22"/>
          <w:lang w:val="x-none" w:eastAsia="x-none"/>
        </w:rPr>
        <w:t xml:space="preserve"> </w:t>
      </w:r>
      <w:r w:rsidRPr="002F5E36">
        <w:rPr>
          <w:rFonts w:cs="Sylfaen"/>
          <w:b w:val="0"/>
          <w:color w:val="000000"/>
          <w:szCs w:val="22"/>
          <w:lang w:val="x-none" w:eastAsia="x-none"/>
        </w:rPr>
        <w:t>սկզբունքը</w:t>
      </w:r>
      <w:r w:rsidRPr="002F5E36">
        <w:rPr>
          <w:b w:val="0"/>
          <w:color w:val="000000"/>
          <w:szCs w:val="22"/>
          <w:lang w:val="x-none" w:eastAsia="x-none"/>
        </w:rPr>
        <w:t xml:space="preserve">: </w:t>
      </w:r>
      <w:r w:rsidRPr="002F5E36">
        <w:rPr>
          <w:b w:val="0"/>
          <w:color w:val="000000"/>
          <w:szCs w:val="22"/>
          <w:lang w:val="en-US" w:eastAsia="x-none"/>
        </w:rPr>
        <w:t xml:space="preserve">Հարկային քաղաքականության այս ուղղության </w:t>
      </w:r>
      <w:r w:rsidRPr="002F5E36">
        <w:rPr>
          <w:rFonts w:cs="Sylfaen"/>
          <w:b w:val="0"/>
          <w:color w:val="000000"/>
          <w:szCs w:val="22"/>
          <w:lang w:val="x-none" w:eastAsia="x-none"/>
        </w:rPr>
        <w:t>նպատակը</w:t>
      </w:r>
      <w:r w:rsidRPr="002F5E36">
        <w:rPr>
          <w:b w:val="0"/>
          <w:color w:val="000000"/>
          <w:szCs w:val="22"/>
          <w:lang w:val="x-none" w:eastAsia="x-none"/>
        </w:rPr>
        <w:t xml:space="preserve">, </w:t>
      </w:r>
      <w:r w:rsidRPr="002F5E36">
        <w:rPr>
          <w:rFonts w:cs="Sylfaen"/>
          <w:b w:val="0"/>
          <w:color w:val="000000"/>
          <w:szCs w:val="22"/>
          <w:lang w:val="x-none" w:eastAsia="x-none"/>
        </w:rPr>
        <w:t>ըստ</w:t>
      </w:r>
      <w:r w:rsidRPr="002F5E36">
        <w:rPr>
          <w:b w:val="0"/>
          <w:color w:val="000000"/>
          <w:szCs w:val="22"/>
          <w:lang w:val="x-none" w:eastAsia="x-none"/>
        </w:rPr>
        <w:t xml:space="preserve"> </w:t>
      </w:r>
      <w:r w:rsidRPr="002F5E36">
        <w:rPr>
          <w:rFonts w:cs="Sylfaen"/>
          <w:b w:val="0"/>
          <w:color w:val="000000"/>
          <w:szCs w:val="22"/>
          <w:lang w:val="x-none" w:eastAsia="x-none"/>
        </w:rPr>
        <w:t>էության</w:t>
      </w:r>
      <w:r w:rsidRPr="002F5E36">
        <w:rPr>
          <w:b w:val="0"/>
          <w:color w:val="000000"/>
          <w:szCs w:val="22"/>
          <w:lang w:val="x-none" w:eastAsia="x-none"/>
        </w:rPr>
        <w:t xml:space="preserve">, </w:t>
      </w:r>
      <w:r w:rsidRPr="002F5E36">
        <w:rPr>
          <w:rFonts w:cs="Sylfaen"/>
          <w:b w:val="0"/>
          <w:color w:val="000000"/>
          <w:szCs w:val="22"/>
          <w:lang w:val="x-none" w:eastAsia="x-none"/>
        </w:rPr>
        <w:t>հարկման</w:t>
      </w:r>
      <w:r w:rsidRPr="002F5E36">
        <w:rPr>
          <w:b w:val="0"/>
          <w:color w:val="000000"/>
          <w:szCs w:val="22"/>
          <w:lang w:val="x-none" w:eastAsia="x-none"/>
        </w:rPr>
        <w:t xml:space="preserve"> </w:t>
      </w:r>
      <w:r w:rsidRPr="002F5E36">
        <w:rPr>
          <w:rFonts w:cs="Sylfaen"/>
          <w:b w:val="0"/>
          <w:color w:val="000000"/>
          <w:szCs w:val="22"/>
          <w:lang w:val="x-none" w:eastAsia="x-none"/>
        </w:rPr>
        <w:t>ոլորտում</w:t>
      </w:r>
      <w:r w:rsidRPr="002F5E36">
        <w:rPr>
          <w:b w:val="0"/>
          <w:color w:val="000000"/>
          <w:szCs w:val="22"/>
          <w:lang w:val="x-none" w:eastAsia="x-none"/>
        </w:rPr>
        <w:t xml:space="preserve"> </w:t>
      </w:r>
      <w:r w:rsidRPr="002F5E36">
        <w:rPr>
          <w:rFonts w:cs="Sylfaen"/>
          <w:b w:val="0"/>
          <w:color w:val="000000"/>
          <w:szCs w:val="22"/>
          <w:lang w:val="x-none" w:eastAsia="x-none"/>
        </w:rPr>
        <w:t>խտրականությունը</w:t>
      </w:r>
      <w:r w:rsidRPr="002F5E36">
        <w:rPr>
          <w:b w:val="0"/>
          <w:color w:val="000000"/>
          <w:szCs w:val="22"/>
          <w:lang w:val="x-none" w:eastAsia="x-none"/>
        </w:rPr>
        <w:t xml:space="preserve"> </w:t>
      </w:r>
      <w:r w:rsidRPr="002F5E36">
        <w:rPr>
          <w:rFonts w:cs="Sylfaen"/>
          <w:b w:val="0"/>
          <w:color w:val="000000"/>
          <w:szCs w:val="22"/>
          <w:lang w:val="x-none" w:eastAsia="x-none"/>
        </w:rPr>
        <w:t>նվազագույնի</w:t>
      </w:r>
      <w:r w:rsidRPr="002F5E36">
        <w:rPr>
          <w:b w:val="0"/>
          <w:color w:val="000000"/>
          <w:szCs w:val="22"/>
          <w:lang w:val="x-none" w:eastAsia="x-none"/>
        </w:rPr>
        <w:t xml:space="preserve"> </w:t>
      </w:r>
      <w:r w:rsidRPr="002F5E36">
        <w:rPr>
          <w:rFonts w:cs="Sylfaen"/>
          <w:b w:val="0"/>
          <w:color w:val="000000"/>
          <w:szCs w:val="22"/>
          <w:lang w:val="x-none" w:eastAsia="x-none"/>
        </w:rPr>
        <w:t>հասցնելը</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պետական</w:t>
      </w:r>
      <w:r w:rsidRPr="002F5E36">
        <w:rPr>
          <w:b w:val="0"/>
          <w:color w:val="000000"/>
          <w:szCs w:val="22"/>
          <w:lang w:val="x-none" w:eastAsia="x-none"/>
        </w:rPr>
        <w:t xml:space="preserve"> </w:t>
      </w:r>
      <w:r w:rsidRPr="002F5E36">
        <w:rPr>
          <w:rFonts w:cs="Sylfaen"/>
          <w:b w:val="0"/>
          <w:color w:val="000000"/>
          <w:szCs w:val="22"/>
          <w:lang w:val="x-none" w:eastAsia="x-none"/>
        </w:rPr>
        <w:t>բյուջեի</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եկամուտների</w:t>
      </w:r>
      <w:r w:rsidRPr="002F5E36">
        <w:rPr>
          <w:b w:val="0"/>
          <w:color w:val="000000"/>
          <w:szCs w:val="22"/>
          <w:lang w:val="x-none" w:eastAsia="x-none"/>
        </w:rPr>
        <w:t xml:space="preserve"> </w:t>
      </w:r>
      <w:r w:rsidRPr="002F5E36">
        <w:rPr>
          <w:rFonts w:cs="Sylfaen"/>
          <w:b w:val="0"/>
          <w:color w:val="000000"/>
          <w:szCs w:val="22"/>
          <w:lang w:val="en-US" w:eastAsia="x-none"/>
        </w:rPr>
        <w:t>արդարացի վերաբաշխու</w:t>
      </w:r>
      <w:r w:rsidRPr="002F5E36">
        <w:rPr>
          <w:rFonts w:cs="Sylfaen"/>
          <w:b w:val="0"/>
          <w:color w:val="000000"/>
          <w:szCs w:val="22"/>
          <w:lang w:val="hy-AM" w:eastAsia="x-none"/>
        </w:rPr>
        <w:t>մ</w:t>
      </w:r>
      <w:r w:rsidRPr="002F5E36">
        <w:rPr>
          <w:b w:val="0"/>
          <w:color w:val="000000"/>
          <w:szCs w:val="22"/>
          <w:lang w:val="x-none" w:eastAsia="x-none"/>
        </w:rPr>
        <w:t xml:space="preserve"> </w:t>
      </w:r>
      <w:r w:rsidRPr="002F5E36">
        <w:rPr>
          <w:rFonts w:cs="Sylfaen"/>
          <w:b w:val="0"/>
          <w:color w:val="000000"/>
          <w:szCs w:val="22"/>
          <w:lang w:val="x-none" w:eastAsia="x-none"/>
        </w:rPr>
        <w:t>ապահով</w:t>
      </w:r>
      <w:r w:rsidRPr="002F5E36">
        <w:rPr>
          <w:rFonts w:cs="Sylfaen"/>
          <w:b w:val="0"/>
          <w:color w:val="000000"/>
          <w:szCs w:val="22"/>
          <w:lang w:val="en-US" w:eastAsia="x-none"/>
        </w:rPr>
        <w:t>ել</w:t>
      </w:r>
      <w:r w:rsidRPr="002F5E36">
        <w:rPr>
          <w:rFonts w:cs="Sylfaen"/>
          <w:b w:val="0"/>
          <w:color w:val="000000"/>
          <w:szCs w:val="22"/>
          <w:lang w:val="x-none" w:eastAsia="x-none"/>
        </w:rPr>
        <w:t>ն</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w:t>
      </w:r>
    </w:p>
    <w:p w14:paraId="5B96BDE5" w14:textId="77777777" w:rsidR="002F5E36" w:rsidRPr="002F5E36" w:rsidRDefault="002F5E36" w:rsidP="00347B32">
      <w:pPr>
        <w:shd w:val="clear" w:color="auto" w:fill="FFFFFF"/>
        <w:rPr>
          <w:b w:val="0"/>
          <w:color w:val="000000"/>
          <w:szCs w:val="22"/>
          <w:lang w:eastAsia="x-none"/>
        </w:rPr>
      </w:pPr>
      <w:r w:rsidRPr="002F5E36">
        <w:rPr>
          <w:rFonts w:cs="Sylfaen"/>
          <w:b w:val="0"/>
          <w:color w:val="000000"/>
          <w:szCs w:val="22"/>
          <w:lang w:val="en-US" w:eastAsia="x-none"/>
        </w:rPr>
        <w:t xml:space="preserve">Միաժամանակ, ակնհայտ է, որ </w:t>
      </w:r>
      <w:r w:rsidRPr="002F5E36">
        <w:rPr>
          <w:rFonts w:cs="Sylfaen"/>
          <w:b w:val="0"/>
          <w:color w:val="000000"/>
          <w:szCs w:val="22"/>
          <w:lang w:val="x-none" w:eastAsia="x-none"/>
        </w:rPr>
        <w:t>գործող</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b w:val="0"/>
          <w:color w:val="000000"/>
          <w:szCs w:val="22"/>
          <w:lang w:eastAsia="x-none"/>
        </w:rPr>
        <w:t xml:space="preserve">շրջանակի </w:t>
      </w:r>
      <w:r w:rsidRPr="002F5E36">
        <w:rPr>
          <w:rFonts w:cs="Sylfaen"/>
          <w:b w:val="0"/>
          <w:color w:val="000000"/>
          <w:szCs w:val="22"/>
          <w:lang w:val="x-none" w:eastAsia="x-none"/>
        </w:rPr>
        <w:t>վերա</w:t>
      </w:r>
      <w:r w:rsidRPr="002F5E36">
        <w:rPr>
          <w:rFonts w:cs="Sylfaen"/>
          <w:b w:val="0"/>
          <w:color w:val="000000"/>
          <w:szCs w:val="22"/>
          <w:lang w:eastAsia="x-none"/>
        </w:rPr>
        <w:t>նայումը</w:t>
      </w:r>
      <w:r w:rsidRPr="002F5E36">
        <w:rPr>
          <w:b w:val="0"/>
          <w:color w:val="000000"/>
          <w:szCs w:val="22"/>
          <w:lang w:val="x-none" w:eastAsia="x-none"/>
        </w:rPr>
        <w:t xml:space="preserve"> </w:t>
      </w:r>
      <w:r w:rsidRPr="002F5E36">
        <w:rPr>
          <w:rFonts w:cs="Sylfaen"/>
          <w:b w:val="0"/>
          <w:color w:val="000000"/>
          <w:szCs w:val="22"/>
          <w:lang w:val="x-none" w:eastAsia="x-none"/>
        </w:rPr>
        <w:t>կնշանակի</w:t>
      </w:r>
      <w:r w:rsidRPr="002F5E36">
        <w:rPr>
          <w:b w:val="0"/>
          <w:color w:val="000000"/>
          <w:szCs w:val="22"/>
          <w:lang w:val="x-none" w:eastAsia="x-none"/>
        </w:rPr>
        <w:t xml:space="preserve"> </w:t>
      </w:r>
      <w:r w:rsidRPr="002F5E36">
        <w:rPr>
          <w:rFonts w:cs="Sylfaen"/>
          <w:b w:val="0"/>
          <w:color w:val="000000"/>
          <w:szCs w:val="22"/>
          <w:lang w:val="x-none" w:eastAsia="x-none"/>
        </w:rPr>
        <w:t>կտրուկ</w:t>
      </w:r>
      <w:r w:rsidRPr="002F5E36">
        <w:rPr>
          <w:b w:val="0"/>
          <w:color w:val="000000"/>
          <w:szCs w:val="22"/>
          <w:lang w:val="x-none" w:eastAsia="x-none"/>
        </w:rPr>
        <w:t xml:space="preserve"> </w:t>
      </w:r>
      <w:r w:rsidRPr="002F5E36">
        <w:rPr>
          <w:rFonts w:cs="Sylfaen"/>
          <w:b w:val="0"/>
          <w:color w:val="000000"/>
          <w:szCs w:val="22"/>
          <w:lang w:val="x-none" w:eastAsia="x-none"/>
        </w:rPr>
        <w:t>փոփոխել</w:t>
      </w:r>
      <w:r w:rsidRPr="002F5E36">
        <w:rPr>
          <w:b w:val="0"/>
          <w:color w:val="000000"/>
          <w:szCs w:val="22"/>
          <w:lang w:val="x-none" w:eastAsia="x-none"/>
        </w:rPr>
        <w:t xml:space="preserve"> </w:t>
      </w:r>
      <w:r w:rsidRPr="002F5E36">
        <w:rPr>
          <w:rFonts w:cs="Sylfaen"/>
          <w:b w:val="0"/>
          <w:color w:val="000000"/>
          <w:szCs w:val="22"/>
          <w:lang w:val="x-none" w:eastAsia="x-none"/>
        </w:rPr>
        <w:t>այդ</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արտոնություններից</w:t>
      </w:r>
      <w:r w:rsidRPr="002F5E36">
        <w:rPr>
          <w:b w:val="0"/>
          <w:color w:val="000000"/>
          <w:szCs w:val="22"/>
          <w:lang w:val="x-none" w:eastAsia="x-none"/>
        </w:rPr>
        <w:t xml:space="preserve"> </w:t>
      </w:r>
      <w:r w:rsidRPr="002F5E36">
        <w:rPr>
          <w:rFonts w:cs="Sylfaen"/>
          <w:b w:val="0"/>
          <w:color w:val="000000"/>
          <w:szCs w:val="22"/>
          <w:lang w:val="x-none" w:eastAsia="x-none"/>
        </w:rPr>
        <w:t>օգտվողների</w:t>
      </w:r>
      <w:r w:rsidRPr="002F5E36">
        <w:rPr>
          <w:b w:val="0"/>
          <w:color w:val="000000"/>
          <w:szCs w:val="22"/>
          <w:lang w:val="x-none" w:eastAsia="x-none"/>
        </w:rPr>
        <w:t xml:space="preserve"> </w:t>
      </w:r>
      <w:r w:rsidRPr="002F5E36">
        <w:rPr>
          <w:rFonts w:cs="Sylfaen"/>
          <w:b w:val="0"/>
          <w:color w:val="000000"/>
          <w:szCs w:val="22"/>
          <w:lang w:val="x-none" w:eastAsia="x-none"/>
        </w:rPr>
        <w:t>ձեռնարկատիրական</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տնտեսական</w:t>
      </w:r>
      <w:r w:rsidRPr="002F5E36">
        <w:rPr>
          <w:b w:val="0"/>
          <w:color w:val="000000"/>
          <w:szCs w:val="22"/>
          <w:lang w:val="x-none" w:eastAsia="x-none"/>
        </w:rPr>
        <w:t xml:space="preserve"> </w:t>
      </w:r>
      <w:r w:rsidRPr="002F5E36">
        <w:rPr>
          <w:rFonts w:cs="Sylfaen"/>
          <w:b w:val="0"/>
          <w:color w:val="000000"/>
          <w:szCs w:val="22"/>
          <w:lang w:val="x-none" w:eastAsia="x-none"/>
        </w:rPr>
        <w:t>գործունեության</w:t>
      </w:r>
      <w:r w:rsidRPr="002F5E36">
        <w:rPr>
          <w:b w:val="0"/>
          <w:color w:val="000000"/>
          <w:szCs w:val="22"/>
          <w:lang w:val="x-none" w:eastAsia="x-none"/>
        </w:rPr>
        <w:t xml:space="preserve"> </w:t>
      </w:r>
      <w:r w:rsidRPr="002F5E36">
        <w:rPr>
          <w:rFonts w:cs="Sylfaen"/>
          <w:b w:val="0"/>
          <w:color w:val="000000"/>
          <w:szCs w:val="22"/>
          <w:lang w:val="x-none" w:eastAsia="x-none"/>
        </w:rPr>
        <w:t>պայմանները</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ազգային</w:t>
      </w:r>
      <w:r w:rsidRPr="002F5E36">
        <w:rPr>
          <w:b w:val="0"/>
          <w:color w:val="000000"/>
          <w:szCs w:val="22"/>
          <w:lang w:val="x-none" w:eastAsia="x-none"/>
        </w:rPr>
        <w:t xml:space="preserve"> </w:t>
      </w:r>
      <w:r w:rsidRPr="002F5E36">
        <w:rPr>
          <w:rFonts w:cs="Sylfaen"/>
          <w:b w:val="0"/>
          <w:color w:val="000000"/>
          <w:szCs w:val="22"/>
          <w:lang w:val="x-none" w:eastAsia="x-none"/>
        </w:rPr>
        <w:t>տնտեսության</w:t>
      </w:r>
      <w:r w:rsidRPr="002F5E36">
        <w:rPr>
          <w:b w:val="0"/>
          <w:color w:val="000000"/>
          <w:szCs w:val="22"/>
          <w:lang w:val="x-none" w:eastAsia="x-none"/>
        </w:rPr>
        <w:t xml:space="preserve"> </w:t>
      </w:r>
      <w:r w:rsidRPr="002F5E36">
        <w:rPr>
          <w:rFonts w:cs="Sylfaen"/>
          <w:b w:val="0"/>
          <w:color w:val="000000"/>
          <w:szCs w:val="22"/>
          <w:lang w:val="x-none" w:eastAsia="x-none"/>
        </w:rPr>
        <w:t>ներդրումային</w:t>
      </w:r>
      <w:r w:rsidRPr="002F5E36">
        <w:rPr>
          <w:b w:val="0"/>
          <w:color w:val="000000"/>
          <w:szCs w:val="22"/>
          <w:lang w:val="x-none" w:eastAsia="x-none"/>
        </w:rPr>
        <w:t xml:space="preserve"> </w:t>
      </w:r>
      <w:r w:rsidRPr="002F5E36">
        <w:rPr>
          <w:rFonts w:cs="Sylfaen"/>
          <w:b w:val="0"/>
          <w:color w:val="000000"/>
          <w:szCs w:val="22"/>
          <w:lang w:val="x-none" w:eastAsia="x-none"/>
        </w:rPr>
        <w:t>միջավայր</w:t>
      </w:r>
      <w:r w:rsidRPr="002F5E36">
        <w:rPr>
          <w:rFonts w:cs="Sylfaen"/>
          <w:b w:val="0"/>
          <w:color w:val="000000"/>
          <w:szCs w:val="22"/>
          <w:lang w:val="hy-AM" w:eastAsia="x-none"/>
        </w:rPr>
        <w:t>ն</w:t>
      </w:r>
      <w:r w:rsidRPr="002F5E36">
        <w:rPr>
          <w:b w:val="0"/>
          <w:color w:val="000000"/>
          <w:szCs w:val="22"/>
          <w:lang w:val="x-none" w:eastAsia="x-none"/>
        </w:rPr>
        <w:t xml:space="preserve"> </w:t>
      </w:r>
      <w:r w:rsidRPr="002F5E36">
        <w:rPr>
          <w:rFonts w:cs="Sylfaen"/>
          <w:b w:val="0"/>
          <w:color w:val="000000"/>
          <w:szCs w:val="22"/>
          <w:lang w:val="x-none" w:eastAsia="x-none"/>
        </w:rPr>
        <w:t>ընդհանրապես</w:t>
      </w:r>
      <w:r w:rsidRPr="002F5E36">
        <w:rPr>
          <w:b w:val="0"/>
          <w:color w:val="000000"/>
          <w:szCs w:val="22"/>
          <w:lang w:val="x-none" w:eastAsia="x-none"/>
        </w:rPr>
        <w:t xml:space="preserve">: </w:t>
      </w:r>
      <w:r w:rsidRPr="002F5E36">
        <w:rPr>
          <w:rFonts w:cs="Sylfaen"/>
          <w:b w:val="0"/>
          <w:color w:val="000000"/>
          <w:szCs w:val="22"/>
          <w:lang w:val="x-none" w:eastAsia="x-none"/>
        </w:rPr>
        <w:t>Այս</w:t>
      </w:r>
      <w:r w:rsidRPr="002F5E36">
        <w:rPr>
          <w:b w:val="0"/>
          <w:color w:val="000000"/>
          <w:szCs w:val="22"/>
          <w:lang w:val="x-none" w:eastAsia="x-none"/>
        </w:rPr>
        <w:t xml:space="preserve"> </w:t>
      </w:r>
      <w:r w:rsidRPr="002F5E36">
        <w:rPr>
          <w:rFonts w:cs="Sylfaen"/>
          <w:b w:val="0"/>
          <w:color w:val="000000"/>
          <w:szCs w:val="22"/>
          <w:lang w:val="x-none" w:eastAsia="x-none"/>
        </w:rPr>
        <w:t>առումով</w:t>
      </w:r>
      <w:r w:rsidRPr="002F5E36">
        <w:rPr>
          <w:b w:val="0"/>
          <w:color w:val="000000"/>
          <w:szCs w:val="22"/>
          <w:lang w:val="x-none" w:eastAsia="x-none"/>
        </w:rPr>
        <w:t>,</w:t>
      </w:r>
      <w:r w:rsidRPr="002F5E36">
        <w:rPr>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շրջանակի</w:t>
      </w:r>
      <w:r w:rsidRPr="002F5E36">
        <w:rPr>
          <w:b w:val="0"/>
          <w:color w:val="000000"/>
          <w:szCs w:val="22"/>
          <w:lang w:val="x-none" w:eastAsia="x-none"/>
        </w:rPr>
        <w:t xml:space="preserve"> </w:t>
      </w:r>
      <w:r w:rsidRPr="002F5E36">
        <w:rPr>
          <w:rFonts w:cs="Sylfaen"/>
          <w:b w:val="0"/>
          <w:color w:val="000000"/>
          <w:szCs w:val="22"/>
          <w:lang w:eastAsia="x-none"/>
        </w:rPr>
        <w:t>վերանայ</w:t>
      </w:r>
      <w:r w:rsidRPr="002F5E36">
        <w:rPr>
          <w:rFonts w:cs="Sylfaen"/>
          <w:b w:val="0"/>
          <w:color w:val="000000"/>
          <w:szCs w:val="22"/>
          <w:lang w:val="x-none" w:eastAsia="x-none"/>
        </w:rPr>
        <w:t>ումը</w:t>
      </w:r>
      <w:r w:rsidRPr="002F5E36">
        <w:rPr>
          <w:b w:val="0"/>
          <w:color w:val="000000"/>
          <w:szCs w:val="22"/>
          <w:lang w:val="x-none" w:eastAsia="x-none"/>
        </w:rPr>
        <w:t xml:space="preserve"> </w:t>
      </w:r>
      <w:r w:rsidRPr="002F5E36">
        <w:rPr>
          <w:rFonts w:cs="Sylfaen"/>
          <w:b w:val="0"/>
          <w:color w:val="000000"/>
          <w:szCs w:val="22"/>
          <w:lang w:val="x-none" w:eastAsia="x-none"/>
        </w:rPr>
        <w:t>պետք</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իրականացվի</w:t>
      </w:r>
      <w:r w:rsidRPr="002F5E36">
        <w:rPr>
          <w:b w:val="0"/>
          <w:color w:val="000000"/>
          <w:szCs w:val="22"/>
          <w:lang w:val="x-none" w:eastAsia="x-none"/>
        </w:rPr>
        <w:t xml:space="preserve"> </w:t>
      </w:r>
      <w:r w:rsidRPr="002F5E36">
        <w:rPr>
          <w:rFonts w:cs="Sylfaen"/>
          <w:b w:val="0"/>
          <w:color w:val="000000"/>
          <w:szCs w:val="22"/>
          <w:lang w:val="x-none" w:eastAsia="x-none"/>
        </w:rPr>
        <w:t>բավարար</w:t>
      </w:r>
      <w:r w:rsidRPr="002F5E36">
        <w:rPr>
          <w:b w:val="0"/>
          <w:color w:val="000000"/>
          <w:szCs w:val="22"/>
          <w:lang w:val="x-none" w:eastAsia="x-none"/>
        </w:rPr>
        <w:t xml:space="preserve"> </w:t>
      </w:r>
      <w:r w:rsidRPr="002F5E36">
        <w:rPr>
          <w:rFonts w:cs="Sylfaen"/>
          <w:b w:val="0"/>
          <w:color w:val="000000"/>
          <w:szCs w:val="22"/>
          <w:lang w:val="x-none" w:eastAsia="x-none"/>
        </w:rPr>
        <w:t>զգուշավորությամբ</w:t>
      </w:r>
      <w:r w:rsidRPr="002F5E36">
        <w:rPr>
          <w:b w:val="0"/>
          <w:color w:val="000000"/>
          <w:szCs w:val="22"/>
          <w:lang w:val="x-none" w:eastAsia="x-none"/>
        </w:rPr>
        <w:t xml:space="preserve">` </w:t>
      </w:r>
      <w:r w:rsidRPr="002F5E36">
        <w:rPr>
          <w:rFonts w:cs="Sylfaen"/>
          <w:b w:val="0"/>
          <w:color w:val="000000"/>
          <w:szCs w:val="22"/>
          <w:lang w:val="x-none" w:eastAsia="x-none"/>
        </w:rPr>
        <w:t>խուսափելու</w:t>
      </w:r>
      <w:r w:rsidRPr="002F5E36">
        <w:rPr>
          <w:rFonts w:cs="Sylfaen"/>
          <w:b w:val="0"/>
          <w:color w:val="000000"/>
          <w:szCs w:val="22"/>
          <w:lang w:val="en-US" w:eastAsia="x-none"/>
        </w:rPr>
        <w:t xml:space="preserve"> </w:t>
      </w:r>
      <w:r w:rsidRPr="002F5E36">
        <w:rPr>
          <w:rFonts w:cs="Sylfaen"/>
          <w:b w:val="0"/>
          <w:color w:val="000000"/>
          <w:szCs w:val="22"/>
          <w:lang w:val="x-none" w:eastAsia="x-none"/>
        </w:rPr>
        <w:t>համար</w:t>
      </w:r>
      <w:r w:rsidRPr="002F5E36">
        <w:rPr>
          <w:rFonts w:cs="Sylfaen"/>
          <w:b w:val="0"/>
          <w:color w:val="000000"/>
          <w:szCs w:val="22"/>
          <w:lang w:val="en-US" w:eastAsia="x-none"/>
        </w:rPr>
        <w:t xml:space="preserve"> </w:t>
      </w:r>
      <w:r w:rsidRPr="002F5E36">
        <w:rPr>
          <w:rFonts w:cs="Sylfaen"/>
          <w:b w:val="0"/>
          <w:color w:val="000000"/>
          <w:szCs w:val="22"/>
          <w:lang w:val="x-none" w:eastAsia="x-none"/>
        </w:rPr>
        <w:t>հնարավոր</w:t>
      </w:r>
      <w:r w:rsidRPr="002F5E36">
        <w:rPr>
          <w:b w:val="0"/>
          <w:color w:val="000000"/>
          <w:szCs w:val="22"/>
          <w:lang w:val="x-none" w:eastAsia="x-none"/>
        </w:rPr>
        <w:t xml:space="preserve"> </w:t>
      </w:r>
      <w:r w:rsidRPr="002F5E36">
        <w:rPr>
          <w:rFonts w:cs="Sylfaen"/>
          <w:b w:val="0"/>
          <w:color w:val="000000"/>
          <w:szCs w:val="22"/>
          <w:lang w:val="x-none" w:eastAsia="x-none"/>
        </w:rPr>
        <w:t>ցնցումներից</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տնտեսության</w:t>
      </w:r>
      <w:r w:rsidRPr="002F5E36">
        <w:rPr>
          <w:b w:val="0"/>
          <w:color w:val="000000"/>
          <w:szCs w:val="22"/>
          <w:lang w:val="x-none" w:eastAsia="x-none"/>
        </w:rPr>
        <w:t xml:space="preserve"> </w:t>
      </w:r>
      <w:r w:rsidRPr="002F5E36">
        <w:rPr>
          <w:rFonts w:cs="Sylfaen"/>
          <w:b w:val="0"/>
          <w:color w:val="000000"/>
          <w:szCs w:val="22"/>
          <w:lang w:val="x-none" w:eastAsia="x-none"/>
        </w:rPr>
        <w:t>վրա</w:t>
      </w:r>
      <w:r w:rsidRPr="002F5E36">
        <w:rPr>
          <w:b w:val="0"/>
          <w:color w:val="000000"/>
          <w:szCs w:val="22"/>
          <w:lang w:val="x-none" w:eastAsia="x-none"/>
        </w:rPr>
        <w:t xml:space="preserve"> </w:t>
      </w:r>
      <w:r w:rsidRPr="002F5E36">
        <w:rPr>
          <w:rFonts w:cs="Sylfaen"/>
          <w:b w:val="0"/>
          <w:color w:val="000000"/>
          <w:szCs w:val="22"/>
          <w:lang w:val="x-none" w:eastAsia="x-none"/>
        </w:rPr>
        <w:t>բացասական</w:t>
      </w:r>
      <w:r w:rsidRPr="002F5E36">
        <w:rPr>
          <w:b w:val="0"/>
          <w:color w:val="000000"/>
          <w:szCs w:val="22"/>
          <w:lang w:val="x-none" w:eastAsia="x-none"/>
        </w:rPr>
        <w:t xml:space="preserve"> </w:t>
      </w:r>
      <w:r w:rsidRPr="002F5E36">
        <w:rPr>
          <w:rFonts w:cs="Sylfaen"/>
          <w:b w:val="0"/>
          <w:color w:val="000000"/>
          <w:szCs w:val="22"/>
          <w:lang w:val="x-none" w:eastAsia="x-none"/>
        </w:rPr>
        <w:t>հետևանքներից</w:t>
      </w:r>
      <w:r w:rsidRPr="002F5E36">
        <w:rPr>
          <w:rFonts w:cs="Sylfaen"/>
          <w:b w:val="0"/>
          <w:color w:val="000000"/>
          <w:szCs w:val="22"/>
          <w:lang w:eastAsia="x-none"/>
        </w:rPr>
        <w:t>, և հետևողականությամբ, քանի որ հարկային արտոնությունների շրջանակի վերանայումը լրացուցիչ ռեսուրսներ կենտրոնացնելու և դրանք տնտեսության հետագա զարգացմանն ուղղելու հնարավորություն կընձեռի</w:t>
      </w:r>
      <w:r w:rsidRPr="002F5E36">
        <w:rPr>
          <w:b w:val="0"/>
          <w:color w:val="000000"/>
          <w:szCs w:val="22"/>
          <w:lang w:val="x-none" w:eastAsia="x-none"/>
        </w:rPr>
        <w:t xml:space="preserve">: </w:t>
      </w:r>
      <w:r w:rsidRPr="002F5E36">
        <w:rPr>
          <w:rFonts w:cs="Sylfaen"/>
          <w:b w:val="0"/>
          <w:color w:val="000000"/>
          <w:szCs w:val="22"/>
          <w:lang w:val="x-none" w:eastAsia="x-none"/>
        </w:rPr>
        <w:t>Մասնավորապես</w:t>
      </w:r>
      <w:r w:rsidRPr="002F5E36">
        <w:rPr>
          <w:b w:val="0"/>
          <w:color w:val="000000"/>
          <w:szCs w:val="22"/>
          <w:lang w:val="x-none" w:eastAsia="x-none"/>
        </w:rPr>
        <w:t xml:space="preserve">, </w:t>
      </w:r>
      <w:r w:rsidRPr="002F5E36">
        <w:rPr>
          <w:rFonts w:cs="Sylfaen"/>
          <w:b w:val="0"/>
          <w:color w:val="000000"/>
          <w:szCs w:val="22"/>
          <w:lang w:val="x-none" w:eastAsia="x-none"/>
        </w:rPr>
        <w:t>նախքան</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կրճատումը</w:t>
      </w:r>
      <w:r w:rsidRPr="002F5E36">
        <w:rPr>
          <w:b w:val="0"/>
          <w:color w:val="000000"/>
          <w:szCs w:val="22"/>
          <w:lang w:val="x-none" w:eastAsia="x-none"/>
        </w:rPr>
        <w:t xml:space="preserve"> </w:t>
      </w:r>
      <w:r w:rsidRPr="002F5E36">
        <w:rPr>
          <w:rFonts w:cs="Sylfaen"/>
          <w:b w:val="0"/>
          <w:color w:val="000000"/>
          <w:szCs w:val="22"/>
          <w:lang w:val="x-none" w:eastAsia="x-none"/>
        </w:rPr>
        <w:t>պետք</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մանրամասն</w:t>
      </w:r>
      <w:r w:rsidRPr="002F5E36">
        <w:rPr>
          <w:rFonts w:cs="Sylfaen"/>
          <w:b w:val="0"/>
          <w:color w:val="000000"/>
          <w:szCs w:val="22"/>
          <w:lang w:val="en-US" w:eastAsia="x-none"/>
        </w:rPr>
        <w:t xml:space="preserve"> </w:t>
      </w:r>
      <w:r w:rsidRPr="002F5E36">
        <w:rPr>
          <w:rFonts w:cs="Sylfaen"/>
          <w:b w:val="0"/>
          <w:color w:val="000000"/>
          <w:szCs w:val="22"/>
          <w:lang w:val="x-none" w:eastAsia="x-none"/>
        </w:rPr>
        <w:t>ուսումնասիրվեն</w:t>
      </w:r>
      <w:r w:rsidRPr="002F5E36">
        <w:rPr>
          <w:b w:val="0"/>
          <w:color w:val="000000"/>
          <w:szCs w:val="22"/>
          <w:lang w:val="x-none" w:eastAsia="x-none"/>
        </w:rPr>
        <w:t xml:space="preserve"> </w:t>
      </w:r>
      <w:r w:rsidRPr="002F5E36">
        <w:rPr>
          <w:rFonts w:cs="Sylfaen"/>
          <w:b w:val="0"/>
          <w:color w:val="000000"/>
          <w:szCs w:val="22"/>
          <w:lang w:val="x-none" w:eastAsia="x-none"/>
        </w:rPr>
        <w:t>գործող</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կիրառության</w:t>
      </w:r>
      <w:r w:rsidRPr="002F5E36">
        <w:rPr>
          <w:b w:val="0"/>
          <w:color w:val="000000"/>
          <w:szCs w:val="22"/>
          <w:lang w:val="x-none" w:eastAsia="x-none"/>
        </w:rPr>
        <w:t xml:space="preserve"> </w:t>
      </w:r>
      <w:r w:rsidRPr="002F5E36">
        <w:rPr>
          <w:rFonts w:cs="Sylfaen"/>
          <w:b w:val="0"/>
          <w:color w:val="000000"/>
          <w:szCs w:val="22"/>
          <w:lang w:val="x-none" w:eastAsia="x-none"/>
        </w:rPr>
        <w:t>բոլոր</w:t>
      </w:r>
      <w:r w:rsidRPr="002F5E36">
        <w:rPr>
          <w:b w:val="0"/>
          <w:color w:val="000000"/>
          <w:szCs w:val="22"/>
          <w:lang w:val="x-none" w:eastAsia="x-none"/>
        </w:rPr>
        <w:t xml:space="preserve"> </w:t>
      </w:r>
      <w:r w:rsidRPr="002F5E36">
        <w:rPr>
          <w:rFonts w:cs="Sylfaen"/>
          <w:b w:val="0"/>
          <w:color w:val="000000"/>
          <w:szCs w:val="22"/>
          <w:lang w:val="x-none" w:eastAsia="x-none"/>
        </w:rPr>
        <w:t>դրական</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բացասական</w:t>
      </w:r>
      <w:r w:rsidRPr="002F5E36">
        <w:rPr>
          <w:b w:val="0"/>
          <w:color w:val="000000"/>
          <w:szCs w:val="22"/>
          <w:lang w:val="x-none" w:eastAsia="x-none"/>
        </w:rPr>
        <w:t xml:space="preserve"> </w:t>
      </w:r>
      <w:r w:rsidRPr="002F5E36">
        <w:rPr>
          <w:rFonts w:cs="Sylfaen"/>
          <w:b w:val="0"/>
          <w:color w:val="000000"/>
          <w:szCs w:val="22"/>
          <w:lang w:val="x-none" w:eastAsia="x-none"/>
        </w:rPr>
        <w:t>կողմերը</w:t>
      </w:r>
      <w:r w:rsidRPr="002F5E36">
        <w:rPr>
          <w:b w:val="0"/>
          <w:color w:val="000000"/>
          <w:szCs w:val="22"/>
          <w:lang w:val="x-none" w:eastAsia="x-none"/>
        </w:rPr>
        <w:t xml:space="preserve">, </w:t>
      </w:r>
      <w:r w:rsidRPr="002F5E36">
        <w:rPr>
          <w:rFonts w:cs="Sylfaen"/>
          <w:b w:val="0"/>
          <w:color w:val="000000"/>
          <w:szCs w:val="22"/>
          <w:lang w:val="x-none" w:eastAsia="x-none"/>
        </w:rPr>
        <w:t>այդ</w:t>
      </w:r>
      <w:r w:rsidRPr="002F5E36">
        <w:rPr>
          <w:b w:val="0"/>
          <w:color w:val="000000"/>
          <w:szCs w:val="22"/>
          <w:lang w:val="x-none" w:eastAsia="x-none"/>
        </w:rPr>
        <w:t xml:space="preserve"> </w:t>
      </w:r>
      <w:r w:rsidRPr="002F5E36">
        <w:rPr>
          <w:rFonts w:cs="Sylfaen"/>
          <w:b w:val="0"/>
          <w:color w:val="000000"/>
          <w:szCs w:val="22"/>
          <w:lang w:val="x-none" w:eastAsia="x-none"/>
        </w:rPr>
        <w:t>թվում</w:t>
      </w:r>
      <w:r w:rsidRPr="002F5E36">
        <w:rPr>
          <w:b w:val="0"/>
          <w:color w:val="000000"/>
          <w:szCs w:val="22"/>
          <w:lang w:val="x-none" w:eastAsia="x-none"/>
        </w:rPr>
        <w:t xml:space="preserve">` </w:t>
      </w:r>
      <w:r w:rsidRPr="002F5E36">
        <w:rPr>
          <w:rFonts w:cs="Sylfaen"/>
          <w:b w:val="0"/>
          <w:color w:val="000000"/>
          <w:szCs w:val="22"/>
          <w:lang w:val="x-none" w:eastAsia="x-none"/>
        </w:rPr>
        <w:t>ինչպես</w:t>
      </w:r>
      <w:r w:rsidRPr="002F5E36">
        <w:rPr>
          <w:b w:val="0"/>
          <w:color w:val="000000"/>
          <w:szCs w:val="22"/>
          <w:lang w:val="x-none" w:eastAsia="x-none"/>
        </w:rPr>
        <w:t xml:space="preserve"> </w:t>
      </w:r>
      <w:r w:rsidRPr="002F5E36">
        <w:rPr>
          <w:rFonts w:cs="Sylfaen"/>
          <w:b w:val="0"/>
          <w:color w:val="000000"/>
          <w:szCs w:val="22"/>
          <w:lang w:val="x-none" w:eastAsia="x-none"/>
        </w:rPr>
        <w:t>պետության</w:t>
      </w:r>
      <w:r w:rsidRPr="002F5E36">
        <w:rPr>
          <w:b w:val="0"/>
          <w:color w:val="000000"/>
          <w:szCs w:val="22"/>
          <w:lang w:val="x-none" w:eastAsia="x-none"/>
        </w:rPr>
        <w:t xml:space="preserve">, </w:t>
      </w:r>
      <w:r w:rsidRPr="002F5E36">
        <w:rPr>
          <w:rFonts w:cs="Sylfaen"/>
          <w:b w:val="0"/>
          <w:color w:val="000000"/>
          <w:szCs w:val="22"/>
          <w:lang w:val="x-none" w:eastAsia="x-none"/>
        </w:rPr>
        <w:t>այնպես</w:t>
      </w:r>
      <w:r w:rsidRPr="002F5E36">
        <w:rPr>
          <w:b w:val="0"/>
          <w:color w:val="000000"/>
          <w:szCs w:val="22"/>
          <w:lang w:val="x-none" w:eastAsia="x-none"/>
        </w:rPr>
        <w:t xml:space="preserve"> </w:t>
      </w:r>
      <w:r w:rsidRPr="002F5E36">
        <w:rPr>
          <w:rFonts w:cs="Sylfaen"/>
          <w:b w:val="0"/>
          <w:color w:val="000000"/>
          <w:szCs w:val="22"/>
          <w:lang w:val="x-none" w:eastAsia="x-none"/>
        </w:rPr>
        <w:t>էլ</w:t>
      </w:r>
      <w:r w:rsidRPr="002F5E36">
        <w:rPr>
          <w:b w:val="0"/>
          <w:color w:val="000000"/>
          <w:szCs w:val="22"/>
          <w:lang w:val="x-none" w:eastAsia="x-none"/>
        </w:rPr>
        <w:t xml:space="preserve"> </w:t>
      </w:r>
      <w:r w:rsidRPr="002F5E36">
        <w:rPr>
          <w:rFonts w:cs="Sylfaen"/>
          <w:b w:val="0"/>
          <w:color w:val="000000"/>
          <w:szCs w:val="22"/>
          <w:lang w:val="x-none" w:eastAsia="x-none"/>
        </w:rPr>
        <w:t>այդ</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արտոնություններից</w:t>
      </w:r>
      <w:r w:rsidRPr="002F5E36">
        <w:rPr>
          <w:b w:val="0"/>
          <w:color w:val="000000"/>
          <w:szCs w:val="22"/>
          <w:lang w:val="x-none" w:eastAsia="x-none"/>
        </w:rPr>
        <w:t xml:space="preserve"> </w:t>
      </w:r>
      <w:r w:rsidRPr="002F5E36">
        <w:rPr>
          <w:rFonts w:cs="Sylfaen"/>
          <w:b w:val="0"/>
          <w:color w:val="000000"/>
          <w:szCs w:val="22"/>
          <w:lang w:val="x-none" w:eastAsia="x-none"/>
        </w:rPr>
        <w:t>օգտվողների</w:t>
      </w:r>
      <w:r w:rsidRPr="002F5E36">
        <w:rPr>
          <w:b w:val="0"/>
          <w:color w:val="000000"/>
          <w:szCs w:val="22"/>
          <w:lang w:val="x-none" w:eastAsia="x-none"/>
        </w:rPr>
        <w:t xml:space="preserve"> </w:t>
      </w:r>
      <w:r w:rsidRPr="002F5E36">
        <w:rPr>
          <w:rFonts w:cs="Sylfaen"/>
          <w:b w:val="0"/>
          <w:color w:val="000000"/>
          <w:szCs w:val="22"/>
          <w:lang w:val="x-none" w:eastAsia="x-none"/>
        </w:rPr>
        <w:t>տեսանկյունից</w:t>
      </w:r>
      <w:r w:rsidRPr="002F5E36">
        <w:rPr>
          <w:b w:val="0"/>
          <w:color w:val="000000"/>
          <w:szCs w:val="22"/>
          <w:lang w:val="x-none" w:eastAsia="x-none"/>
        </w:rPr>
        <w:t xml:space="preserve">, </w:t>
      </w:r>
      <w:r w:rsidRPr="002F5E36">
        <w:rPr>
          <w:rFonts w:cs="Sylfaen"/>
          <w:b w:val="0"/>
          <w:color w:val="000000"/>
          <w:szCs w:val="22"/>
          <w:lang w:val="x-none" w:eastAsia="x-none"/>
        </w:rPr>
        <w:t>համադրվեն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կիրառության</w:t>
      </w:r>
      <w:r w:rsidRPr="002F5E36">
        <w:rPr>
          <w:b w:val="0"/>
          <w:color w:val="000000"/>
          <w:szCs w:val="22"/>
          <w:lang w:val="x-none" w:eastAsia="x-none"/>
        </w:rPr>
        <w:t xml:space="preserve"> </w:t>
      </w:r>
      <w:r w:rsidRPr="002F5E36">
        <w:rPr>
          <w:rFonts w:cs="Sylfaen"/>
          <w:b w:val="0"/>
          <w:color w:val="000000"/>
          <w:szCs w:val="22"/>
          <w:lang w:val="x-none" w:eastAsia="x-none"/>
        </w:rPr>
        <w:t>օգուտներն</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վնասները</w:t>
      </w:r>
      <w:r w:rsidRPr="002F5E36">
        <w:rPr>
          <w:b w:val="0"/>
          <w:color w:val="000000"/>
          <w:szCs w:val="22"/>
          <w:lang w:val="x-none" w:eastAsia="x-none"/>
        </w:rPr>
        <w:t xml:space="preserve">, </w:t>
      </w:r>
      <w:r w:rsidRPr="002F5E36">
        <w:rPr>
          <w:rFonts w:cs="Sylfaen"/>
          <w:b w:val="0"/>
          <w:color w:val="000000"/>
          <w:szCs w:val="22"/>
          <w:lang w:val="x-none" w:eastAsia="x-none"/>
        </w:rPr>
        <w:t>բացահայտվեն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վերա</w:t>
      </w:r>
      <w:r w:rsidRPr="002F5E36">
        <w:rPr>
          <w:rFonts w:cs="Sylfaen"/>
          <w:b w:val="0"/>
          <w:color w:val="000000"/>
          <w:szCs w:val="22"/>
          <w:lang w:eastAsia="x-none"/>
        </w:rPr>
        <w:t>նայման</w:t>
      </w:r>
      <w:r w:rsidRPr="002F5E36">
        <w:rPr>
          <w:b w:val="0"/>
          <w:color w:val="000000"/>
          <w:szCs w:val="22"/>
          <w:lang w:val="x-none" w:eastAsia="x-none"/>
        </w:rPr>
        <w:t xml:space="preserve"> </w:t>
      </w:r>
      <w:r w:rsidRPr="002F5E36">
        <w:rPr>
          <w:rFonts w:cs="Sylfaen"/>
          <w:b w:val="0"/>
          <w:color w:val="000000"/>
          <w:szCs w:val="22"/>
          <w:lang w:val="x-none" w:eastAsia="x-none"/>
        </w:rPr>
        <w:t>հնարավոր</w:t>
      </w:r>
      <w:r w:rsidRPr="002F5E36">
        <w:rPr>
          <w:b w:val="0"/>
          <w:color w:val="000000"/>
          <w:szCs w:val="22"/>
          <w:lang w:val="x-none" w:eastAsia="x-none"/>
        </w:rPr>
        <w:t xml:space="preserve"> </w:t>
      </w:r>
      <w:r w:rsidRPr="002F5E36">
        <w:rPr>
          <w:rFonts w:cs="Sylfaen"/>
          <w:b w:val="0"/>
          <w:color w:val="000000"/>
          <w:szCs w:val="22"/>
          <w:lang w:val="x-none" w:eastAsia="x-none"/>
        </w:rPr>
        <w:t>ազդեցությունները</w:t>
      </w:r>
      <w:r w:rsidRPr="002F5E36">
        <w:rPr>
          <w:b w:val="0"/>
          <w:color w:val="000000"/>
          <w:szCs w:val="22"/>
          <w:lang w:val="x-none" w:eastAsia="x-none"/>
        </w:rPr>
        <w:t xml:space="preserve"> </w:t>
      </w:r>
      <w:r w:rsidRPr="002F5E36">
        <w:rPr>
          <w:rFonts w:cs="Sylfaen"/>
          <w:b w:val="0"/>
          <w:color w:val="000000"/>
          <w:szCs w:val="22"/>
          <w:lang w:val="x-none" w:eastAsia="x-none"/>
        </w:rPr>
        <w:t>պետական</w:t>
      </w:r>
      <w:r w:rsidRPr="002F5E36">
        <w:rPr>
          <w:b w:val="0"/>
          <w:color w:val="000000"/>
          <w:szCs w:val="22"/>
          <w:lang w:val="x-none" w:eastAsia="x-none"/>
        </w:rPr>
        <w:t xml:space="preserve"> </w:t>
      </w:r>
      <w:r w:rsidRPr="002F5E36">
        <w:rPr>
          <w:rFonts w:cs="Sylfaen"/>
          <w:b w:val="0"/>
          <w:color w:val="000000"/>
          <w:szCs w:val="22"/>
          <w:lang w:val="x-none" w:eastAsia="x-none"/>
        </w:rPr>
        <w:t>բյուջեի</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եկամուտների</w:t>
      </w:r>
      <w:r w:rsidRPr="002F5E36">
        <w:rPr>
          <w:b w:val="0"/>
          <w:color w:val="000000"/>
          <w:szCs w:val="22"/>
          <w:lang w:val="x-none" w:eastAsia="x-none"/>
        </w:rPr>
        <w:t xml:space="preserve">, </w:t>
      </w:r>
      <w:r w:rsidRPr="002F5E36">
        <w:rPr>
          <w:rFonts w:cs="Sylfaen"/>
          <w:b w:val="0"/>
          <w:color w:val="000000"/>
          <w:szCs w:val="22"/>
          <w:lang w:val="x-none" w:eastAsia="x-none"/>
        </w:rPr>
        <w:t>ազգային</w:t>
      </w:r>
      <w:r w:rsidRPr="002F5E36">
        <w:rPr>
          <w:b w:val="0"/>
          <w:color w:val="000000"/>
          <w:szCs w:val="22"/>
          <w:lang w:val="x-none" w:eastAsia="x-none"/>
        </w:rPr>
        <w:t xml:space="preserve"> </w:t>
      </w:r>
      <w:r w:rsidRPr="002F5E36">
        <w:rPr>
          <w:rFonts w:cs="Sylfaen"/>
          <w:b w:val="0"/>
          <w:color w:val="000000"/>
          <w:szCs w:val="22"/>
          <w:lang w:val="x-none" w:eastAsia="x-none"/>
        </w:rPr>
        <w:t>տնտեսության</w:t>
      </w:r>
      <w:r w:rsidRPr="002F5E36">
        <w:rPr>
          <w:b w:val="0"/>
          <w:color w:val="000000"/>
          <w:szCs w:val="22"/>
          <w:lang w:val="x-none" w:eastAsia="x-none"/>
        </w:rPr>
        <w:t xml:space="preserve"> </w:t>
      </w:r>
      <w:r w:rsidRPr="002F5E36">
        <w:rPr>
          <w:rFonts w:cs="Sylfaen"/>
          <w:b w:val="0"/>
          <w:color w:val="000000"/>
          <w:szCs w:val="22"/>
          <w:lang w:val="x-none" w:eastAsia="x-none"/>
        </w:rPr>
        <w:t>տնտեսական</w:t>
      </w:r>
      <w:r w:rsidRPr="002F5E36">
        <w:rPr>
          <w:b w:val="0"/>
          <w:color w:val="000000"/>
          <w:szCs w:val="22"/>
          <w:lang w:val="x-none" w:eastAsia="x-none"/>
        </w:rPr>
        <w:t xml:space="preserve"> </w:t>
      </w:r>
      <w:r w:rsidRPr="002F5E36">
        <w:rPr>
          <w:rFonts w:cs="Sylfaen"/>
          <w:b w:val="0"/>
          <w:color w:val="000000"/>
          <w:szCs w:val="22"/>
          <w:lang w:val="x-none" w:eastAsia="x-none"/>
        </w:rPr>
        <w:t>ակտիվության</w:t>
      </w:r>
      <w:r w:rsidRPr="002F5E36">
        <w:rPr>
          <w:b w:val="0"/>
          <w:color w:val="000000"/>
          <w:szCs w:val="22"/>
          <w:lang w:val="x-none" w:eastAsia="x-none"/>
        </w:rPr>
        <w:t xml:space="preserve">, </w:t>
      </w:r>
      <w:r w:rsidRPr="002F5E36">
        <w:rPr>
          <w:rFonts w:cs="Sylfaen"/>
          <w:b w:val="0"/>
          <w:color w:val="000000"/>
          <w:szCs w:val="22"/>
          <w:lang w:val="x-none" w:eastAsia="x-none"/>
        </w:rPr>
        <w:t>գործարար</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ներդրումային</w:t>
      </w:r>
      <w:r w:rsidRPr="002F5E36">
        <w:rPr>
          <w:b w:val="0"/>
          <w:color w:val="000000"/>
          <w:szCs w:val="22"/>
          <w:lang w:val="x-none" w:eastAsia="x-none"/>
        </w:rPr>
        <w:t xml:space="preserve"> </w:t>
      </w:r>
      <w:r w:rsidRPr="002F5E36">
        <w:rPr>
          <w:rFonts w:cs="Sylfaen"/>
          <w:b w:val="0"/>
          <w:color w:val="000000"/>
          <w:szCs w:val="22"/>
          <w:lang w:val="x-none" w:eastAsia="x-none"/>
        </w:rPr>
        <w:t>գրավչության</w:t>
      </w:r>
      <w:r w:rsidRPr="002F5E36">
        <w:rPr>
          <w:b w:val="0"/>
          <w:color w:val="000000"/>
          <w:szCs w:val="22"/>
          <w:lang w:val="x-none" w:eastAsia="x-none"/>
        </w:rPr>
        <w:t xml:space="preserve">, </w:t>
      </w:r>
      <w:r w:rsidRPr="002F5E36">
        <w:rPr>
          <w:rFonts w:cs="Sylfaen"/>
          <w:b w:val="0"/>
          <w:color w:val="000000"/>
          <w:szCs w:val="22"/>
          <w:lang w:val="x-none" w:eastAsia="x-none"/>
        </w:rPr>
        <w:t>երկրի</w:t>
      </w:r>
      <w:r w:rsidRPr="002F5E36">
        <w:rPr>
          <w:b w:val="0"/>
          <w:color w:val="000000"/>
          <w:szCs w:val="22"/>
          <w:lang w:val="x-none" w:eastAsia="x-none"/>
        </w:rPr>
        <w:t xml:space="preserve"> </w:t>
      </w:r>
      <w:r w:rsidRPr="002F5E36">
        <w:rPr>
          <w:rFonts w:cs="Sylfaen"/>
          <w:b w:val="0"/>
          <w:color w:val="000000"/>
          <w:szCs w:val="22"/>
          <w:lang w:val="x-none" w:eastAsia="x-none"/>
        </w:rPr>
        <w:t>սոցիալ</w:t>
      </w:r>
      <w:r w:rsidRPr="002F5E36">
        <w:rPr>
          <w:b w:val="0"/>
          <w:color w:val="000000"/>
          <w:szCs w:val="22"/>
          <w:lang w:val="x-none" w:eastAsia="x-none"/>
        </w:rPr>
        <w:t>-</w:t>
      </w:r>
      <w:r w:rsidRPr="002F5E36">
        <w:rPr>
          <w:rFonts w:cs="Sylfaen"/>
          <w:b w:val="0"/>
          <w:color w:val="000000"/>
          <w:szCs w:val="22"/>
          <w:lang w:val="x-none" w:eastAsia="x-none"/>
        </w:rPr>
        <w:t>տնտեսական</w:t>
      </w:r>
      <w:r w:rsidRPr="002F5E36">
        <w:rPr>
          <w:b w:val="0"/>
          <w:color w:val="000000"/>
          <w:szCs w:val="22"/>
          <w:lang w:val="x-none" w:eastAsia="x-none"/>
        </w:rPr>
        <w:t xml:space="preserve"> </w:t>
      </w:r>
      <w:r w:rsidRPr="002F5E36">
        <w:rPr>
          <w:rFonts w:cs="Sylfaen"/>
          <w:b w:val="0"/>
          <w:color w:val="000000"/>
          <w:szCs w:val="22"/>
          <w:lang w:val="x-none" w:eastAsia="x-none"/>
        </w:rPr>
        <w:t>վիճակի</w:t>
      </w:r>
      <w:r w:rsidRPr="002F5E36">
        <w:rPr>
          <w:b w:val="0"/>
          <w:color w:val="000000"/>
          <w:szCs w:val="22"/>
          <w:lang w:val="x-none" w:eastAsia="x-none"/>
        </w:rPr>
        <w:t xml:space="preserve">, </w:t>
      </w:r>
      <w:r w:rsidRPr="002F5E36">
        <w:rPr>
          <w:rFonts w:cs="Sylfaen"/>
          <w:b w:val="0"/>
          <w:color w:val="000000"/>
          <w:szCs w:val="22"/>
          <w:lang w:val="x-none" w:eastAsia="x-none"/>
        </w:rPr>
        <w:t>տնտեսական</w:t>
      </w:r>
      <w:r w:rsidRPr="002F5E36">
        <w:rPr>
          <w:b w:val="0"/>
          <w:color w:val="000000"/>
          <w:szCs w:val="22"/>
          <w:lang w:val="x-none" w:eastAsia="x-none"/>
        </w:rPr>
        <w:t xml:space="preserve"> </w:t>
      </w:r>
      <w:r w:rsidRPr="002F5E36">
        <w:rPr>
          <w:rFonts w:cs="Sylfaen"/>
          <w:b w:val="0"/>
          <w:color w:val="000000"/>
          <w:szCs w:val="22"/>
          <w:lang w:val="x-none" w:eastAsia="x-none"/>
        </w:rPr>
        <w:t>մրցակցության</w:t>
      </w:r>
      <w:r w:rsidRPr="002F5E36">
        <w:rPr>
          <w:b w:val="0"/>
          <w:color w:val="000000"/>
          <w:szCs w:val="22"/>
          <w:lang w:val="x-none" w:eastAsia="x-none"/>
        </w:rPr>
        <w:t xml:space="preserve">, </w:t>
      </w:r>
      <w:r w:rsidRPr="002F5E36">
        <w:rPr>
          <w:rFonts w:cs="Sylfaen"/>
          <w:b w:val="0"/>
          <w:color w:val="000000"/>
          <w:szCs w:val="22"/>
          <w:lang w:val="x-none" w:eastAsia="x-none"/>
        </w:rPr>
        <w:t>գնաճային</w:t>
      </w:r>
      <w:r w:rsidRPr="002F5E36">
        <w:rPr>
          <w:b w:val="0"/>
          <w:color w:val="000000"/>
          <w:szCs w:val="22"/>
          <w:lang w:val="x-none" w:eastAsia="x-none"/>
        </w:rPr>
        <w:t xml:space="preserve"> </w:t>
      </w:r>
      <w:r w:rsidRPr="002F5E36">
        <w:rPr>
          <w:rFonts w:cs="Sylfaen"/>
          <w:b w:val="0"/>
          <w:color w:val="000000"/>
          <w:szCs w:val="22"/>
          <w:lang w:val="x-none" w:eastAsia="x-none"/>
        </w:rPr>
        <w:t>ճնշումների</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այլ</w:t>
      </w:r>
      <w:r w:rsidRPr="002F5E36">
        <w:rPr>
          <w:b w:val="0"/>
          <w:color w:val="000000"/>
          <w:szCs w:val="22"/>
          <w:lang w:val="x-none" w:eastAsia="x-none"/>
        </w:rPr>
        <w:t xml:space="preserve"> </w:t>
      </w:r>
      <w:r w:rsidRPr="002F5E36">
        <w:rPr>
          <w:rFonts w:cs="Sylfaen"/>
          <w:b w:val="0"/>
          <w:color w:val="000000"/>
          <w:szCs w:val="22"/>
          <w:lang w:val="x-none" w:eastAsia="x-none"/>
        </w:rPr>
        <w:t>կարևոր</w:t>
      </w:r>
      <w:r w:rsidRPr="002F5E36">
        <w:rPr>
          <w:b w:val="0"/>
          <w:color w:val="000000"/>
          <w:szCs w:val="22"/>
          <w:lang w:val="x-none" w:eastAsia="x-none"/>
        </w:rPr>
        <w:t xml:space="preserve"> </w:t>
      </w:r>
      <w:r w:rsidRPr="002F5E36">
        <w:rPr>
          <w:rFonts w:cs="Sylfaen"/>
          <w:b w:val="0"/>
          <w:color w:val="000000"/>
          <w:szCs w:val="22"/>
          <w:lang w:val="x-none" w:eastAsia="x-none"/>
        </w:rPr>
        <w:t>ցուցանիշների</w:t>
      </w:r>
      <w:r w:rsidRPr="002F5E36">
        <w:rPr>
          <w:b w:val="0"/>
          <w:color w:val="000000"/>
          <w:szCs w:val="22"/>
          <w:lang w:val="x-none" w:eastAsia="x-none"/>
        </w:rPr>
        <w:t xml:space="preserve"> </w:t>
      </w:r>
      <w:r w:rsidRPr="002F5E36">
        <w:rPr>
          <w:rFonts w:cs="Sylfaen"/>
          <w:b w:val="0"/>
          <w:color w:val="000000"/>
          <w:szCs w:val="22"/>
          <w:lang w:val="x-none" w:eastAsia="x-none"/>
        </w:rPr>
        <w:t>վրա</w:t>
      </w:r>
      <w:r w:rsidRPr="002F5E36">
        <w:rPr>
          <w:b w:val="0"/>
          <w:color w:val="000000"/>
          <w:szCs w:val="22"/>
          <w:lang w:val="x-none" w:eastAsia="x-none"/>
        </w:rPr>
        <w:t>:</w:t>
      </w:r>
      <w:r w:rsidRPr="002F5E36">
        <w:rPr>
          <w:b w:val="0"/>
          <w:color w:val="000000"/>
          <w:szCs w:val="22"/>
          <w:lang w:val="en-US" w:eastAsia="x-none"/>
        </w:rPr>
        <w:t xml:space="preserve"> </w:t>
      </w:r>
      <w:r w:rsidRPr="002F5E36">
        <w:rPr>
          <w:rFonts w:cs="Sylfaen"/>
          <w:b w:val="0"/>
          <w:color w:val="000000"/>
          <w:szCs w:val="22"/>
          <w:lang w:val="x-none" w:eastAsia="x-none"/>
        </w:rPr>
        <w:t>Վերոնշյալը</w:t>
      </w:r>
      <w:r w:rsidRPr="002F5E36">
        <w:rPr>
          <w:b w:val="0"/>
          <w:color w:val="000000"/>
          <w:szCs w:val="22"/>
          <w:lang w:val="x-none" w:eastAsia="x-none"/>
        </w:rPr>
        <w:t xml:space="preserve"> </w:t>
      </w:r>
      <w:r w:rsidRPr="002F5E36">
        <w:rPr>
          <w:rFonts w:cs="Sylfaen"/>
          <w:b w:val="0"/>
          <w:color w:val="000000"/>
          <w:szCs w:val="22"/>
          <w:lang w:val="x-none" w:eastAsia="x-none"/>
        </w:rPr>
        <w:t>նաև</w:t>
      </w:r>
      <w:r w:rsidRPr="002F5E36">
        <w:rPr>
          <w:b w:val="0"/>
          <w:color w:val="000000"/>
          <w:szCs w:val="22"/>
          <w:lang w:val="x-none" w:eastAsia="x-none"/>
        </w:rPr>
        <w:t xml:space="preserve"> </w:t>
      </w:r>
      <w:r w:rsidRPr="002F5E36">
        <w:rPr>
          <w:rFonts w:cs="Sylfaen"/>
          <w:b w:val="0"/>
          <w:color w:val="000000"/>
          <w:szCs w:val="22"/>
          <w:lang w:val="x-none" w:eastAsia="x-none"/>
        </w:rPr>
        <w:t>նշանակում</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որ</w:t>
      </w:r>
      <w:r w:rsidRPr="002F5E36">
        <w:rPr>
          <w:b w:val="0"/>
          <w:color w:val="000000"/>
          <w:szCs w:val="22"/>
          <w:lang w:val="x-none" w:eastAsia="x-none"/>
        </w:rPr>
        <w:t xml:space="preserve"> </w:t>
      </w:r>
      <w:r w:rsidRPr="002F5E36">
        <w:rPr>
          <w:rFonts w:cs="Sylfaen"/>
          <w:b w:val="0"/>
          <w:color w:val="000000"/>
          <w:szCs w:val="22"/>
          <w:lang w:val="x-none" w:eastAsia="x-none"/>
        </w:rPr>
        <w:t>առաջիկա</w:t>
      </w:r>
      <w:r w:rsidRPr="002F5E36">
        <w:rPr>
          <w:b w:val="0"/>
          <w:color w:val="000000"/>
          <w:szCs w:val="22"/>
          <w:lang w:val="x-none" w:eastAsia="x-none"/>
        </w:rPr>
        <w:t xml:space="preserve"> </w:t>
      </w:r>
      <w:r w:rsidRPr="002F5E36">
        <w:rPr>
          <w:rFonts w:cs="Sylfaen"/>
          <w:b w:val="0"/>
          <w:color w:val="000000"/>
          <w:szCs w:val="22"/>
          <w:lang w:val="x-none" w:eastAsia="x-none"/>
        </w:rPr>
        <w:t>տարիներին</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քաղաքականության</w:t>
      </w:r>
      <w:r w:rsidRPr="002F5E36">
        <w:rPr>
          <w:rFonts w:cs="Sylfaen"/>
          <w:b w:val="0"/>
          <w:color w:val="000000"/>
          <w:szCs w:val="22"/>
          <w:lang w:val="en-US" w:eastAsia="x-none"/>
        </w:rPr>
        <w:t xml:space="preserve"> շրջանակներում </w:t>
      </w:r>
      <w:r w:rsidRPr="002F5E36">
        <w:rPr>
          <w:rFonts w:cs="Sylfaen"/>
          <w:b w:val="0"/>
          <w:color w:val="000000"/>
          <w:szCs w:val="22"/>
          <w:lang w:val="x-none" w:eastAsia="x-none"/>
        </w:rPr>
        <w:t>շեշտադրումը</w:t>
      </w:r>
      <w:r w:rsidRPr="002F5E36">
        <w:rPr>
          <w:b w:val="0"/>
          <w:color w:val="000000"/>
          <w:szCs w:val="22"/>
          <w:lang w:val="x-none" w:eastAsia="x-none"/>
        </w:rPr>
        <w:t xml:space="preserve"> </w:t>
      </w:r>
      <w:r w:rsidRPr="002F5E36">
        <w:rPr>
          <w:rFonts w:cs="Sylfaen"/>
          <w:b w:val="0"/>
          <w:color w:val="000000"/>
          <w:szCs w:val="22"/>
          <w:lang w:val="x-none" w:eastAsia="x-none"/>
        </w:rPr>
        <w:t>կատարվելու</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հատկապես</w:t>
      </w:r>
      <w:r w:rsidRPr="002F5E36">
        <w:rPr>
          <w:b w:val="0"/>
          <w:color w:val="000000"/>
          <w:szCs w:val="22"/>
          <w:lang w:val="x-none" w:eastAsia="x-none"/>
        </w:rPr>
        <w:t xml:space="preserve"> </w:t>
      </w:r>
      <w:r w:rsidRPr="002F5E36">
        <w:rPr>
          <w:rFonts w:cs="Sylfaen"/>
          <w:b w:val="0"/>
          <w:color w:val="000000"/>
          <w:szCs w:val="22"/>
          <w:lang w:val="x-none" w:eastAsia="x-none"/>
        </w:rPr>
        <w:t>այն</w:t>
      </w:r>
      <w:r w:rsidRPr="002F5E36">
        <w:rPr>
          <w:b w:val="0"/>
          <w:color w:val="000000"/>
          <w:szCs w:val="22"/>
          <w:lang w:val="x-none"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eastAsia="x-none"/>
        </w:rPr>
        <w:t>վերանայ</w:t>
      </w:r>
      <w:r w:rsidRPr="002F5E36">
        <w:rPr>
          <w:rFonts w:cs="Sylfaen"/>
          <w:b w:val="0"/>
          <w:color w:val="000000"/>
          <w:szCs w:val="22"/>
          <w:lang w:val="x-none" w:eastAsia="x-none"/>
        </w:rPr>
        <w:t>ման</w:t>
      </w:r>
      <w:r w:rsidRPr="002F5E36">
        <w:rPr>
          <w:b w:val="0"/>
          <w:color w:val="000000"/>
          <w:szCs w:val="22"/>
          <w:lang w:val="x-none" w:eastAsia="x-none"/>
        </w:rPr>
        <w:t xml:space="preserve"> </w:t>
      </w:r>
      <w:r w:rsidRPr="002F5E36">
        <w:rPr>
          <w:rFonts w:cs="Sylfaen"/>
          <w:b w:val="0"/>
          <w:color w:val="000000"/>
          <w:szCs w:val="22"/>
          <w:lang w:val="x-none" w:eastAsia="x-none"/>
        </w:rPr>
        <w:t>վրա</w:t>
      </w:r>
      <w:r w:rsidRPr="002F5E36">
        <w:rPr>
          <w:b w:val="0"/>
          <w:color w:val="000000"/>
          <w:szCs w:val="22"/>
          <w:lang w:val="x-none" w:eastAsia="x-none"/>
        </w:rPr>
        <w:t xml:space="preserve">, </w:t>
      </w:r>
      <w:r w:rsidRPr="002F5E36">
        <w:rPr>
          <w:rFonts w:cs="Sylfaen"/>
          <w:b w:val="0"/>
          <w:color w:val="000000"/>
          <w:szCs w:val="22"/>
          <w:lang w:val="x-none" w:eastAsia="x-none"/>
        </w:rPr>
        <w:t>որոնց</w:t>
      </w:r>
      <w:r w:rsidRPr="002F5E36">
        <w:rPr>
          <w:b w:val="0"/>
          <w:color w:val="000000"/>
          <w:szCs w:val="22"/>
          <w:lang w:val="x-none" w:eastAsia="x-none"/>
        </w:rPr>
        <w:t xml:space="preserve"> </w:t>
      </w:r>
      <w:r w:rsidRPr="002F5E36">
        <w:rPr>
          <w:rFonts w:cs="Sylfaen"/>
          <w:b w:val="0"/>
          <w:color w:val="000000"/>
          <w:szCs w:val="22"/>
          <w:lang w:val="x-none" w:eastAsia="x-none"/>
        </w:rPr>
        <w:t>ազդեցություն</w:t>
      </w:r>
      <w:r w:rsidRPr="002F5E36">
        <w:rPr>
          <w:rFonts w:cs="Sylfaen"/>
          <w:b w:val="0"/>
          <w:color w:val="000000"/>
          <w:szCs w:val="22"/>
          <w:lang w:val="hy-AM" w:eastAsia="x-none"/>
        </w:rPr>
        <w:t>ն</w:t>
      </w:r>
      <w:r w:rsidRPr="002F5E36">
        <w:rPr>
          <w:b w:val="0"/>
          <w:color w:val="000000"/>
          <w:szCs w:val="22"/>
          <w:lang w:val="x-none" w:eastAsia="x-none"/>
        </w:rPr>
        <w:t xml:space="preserve"> </w:t>
      </w:r>
      <w:r w:rsidRPr="002F5E36">
        <w:rPr>
          <w:rFonts w:cs="Sylfaen"/>
          <w:b w:val="0"/>
          <w:color w:val="000000"/>
          <w:szCs w:val="22"/>
          <w:lang w:val="x-none" w:eastAsia="x-none"/>
        </w:rPr>
        <w:t>ազգային</w:t>
      </w:r>
      <w:r w:rsidRPr="002F5E36">
        <w:rPr>
          <w:b w:val="0"/>
          <w:color w:val="000000"/>
          <w:szCs w:val="22"/>
          <w:lang w:val="x-none" w:eastAsia="x-none"/>
        </w:rPr>
        <w:t xml:space="preserve"> </w:t>
      </w:r>
      <w:r w:rsidRPr="002F5E36">
        <w:rPr>
          <w:rFonts w:cs="Sylfaen"/>
          <w:b w:val="0"/>
          <w:color w:val="000000"/>
          <w:szCs w:val="22"/>
          <w:lang w:val="x-none" w:eastAsia="x-none"/>
        </w:rPr>
        <w:t>տնտեսության</w:t>
      </w:r>
      <w:r w:rsidRPr="002F5E36">
        <w:rPr>
          <w:b w:val="0"/>
          <w:color w:val="000000"/>
          <w:szCs w:val="22"/>
          <w:lang w:val="x-none" w:eastAsia="x-none"/>
        </w:rPr>
        <w:t xml:space="preserve"> </w:t>
      </w:r>
      <w:r w:rsidRPr="002F5E36">
        <w:rPr>
          <w:rFonts w:cs="Sylfaen"/>
          <w:b w:val="0"/>
          <w:color w:val="000000"/>
          <w:szCs w:val="22"/>
          <w:lang w:val="x-none" w:eastAsia="x-none"/>
        </w:rPr>
        <w:t>զարգացման</w:t>
      </w:r>
      <w:r w:rsidRPr="002F5E36">
        <w:rPr>
          <w:b w:val="0"/>
          <w:color w:val="000000"/>
          <w:szCs w:val="22"/>
          <w:lang w:val="x-none" w:eastAsia="x-none"/>
        </w:rPr>
        <w:t xml:space="preserve"> </w:t>
      </w:r>
      <w:r w:rsidRPr="002F5E36">
        <w:rPr>
          <w:rFonts w:cs="Sylfaen"/>
          <w:b w:val="0"/>
          <w:color w:val="000000"/>
          <w:szCs w:val="22"/>
          <w:lang w:val="x-none" w:eastAsia="x-none"/>
        </w:rPr>
        <w:t>տեսանկյունից</w:t>
      </w:r>
      <w:r w:rsidRPr="002F5E36">
        <w:rPr>
          <w:b w:val="0"/>
          <w:color w:val="000000"/>
          <w:szCs w:val="22"/>
          <w:lang w:val="x-none" w:eastAsia="x-none"/>
        </w:rPr>
        <w:t xml:space="preserve"> </w:t>
      </w:r>
      <w:r w:rsidRPr="002F5E36">
        <w:rPr>
          <w:rFonts w:cs="Sylfaen"/>
          <w:b w:val="0"/>
          <w:color w:val="000000"/>
          <w:szCs w:val="22"/>
          <w:lang w:val="x-none" w:eastAsia="x-none"/>
        </w:rPr>
        <w:t>գնահատվում</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ցածր</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որոնց</w:t>
      </w:r>
      <w:r w:rsidRPr="002F5E36">
        <w:rPr>
          <w:b w:val="0"/>
          <w:color w:val="000000"/>
          <w:szCs w:val="22"/>
          <w:lang w:val="x-none" w:eastAsia="x-none"/>
        </w:rPr>
        <w:t xml:space="preserve"> </w:t>
      </w:r>
      <w:r w:rsidRPr="002F5E36">
        <w:rPr>
          <w:rFonts w:cs="Sylfaen"/>
          <w:b w:val="0"/>
          <w:color w:val="000000"/>
          <w:szCs w:val="22"/>
          <w:lang w:val="x-none" w:eastAsia="x-none"/>
        </w:rPr>
        <w:t>կիրառության</w:t>
      </w:r>
      <w:r w:rsidRPr="002F5E36">
        <w:rPr>
          <w:b w:val="0"/>
          <w:color w:val="000000"/>
          <w:szCs w:val="22"/>
          <w:lang w:val="x-none" w:eastAsia="x-none"/>
        </w:rPr>
        <w:t xml:space="preserve"> </w:t>
      </w:r>
      <w:r w:rsidRPr="002F5E36">
        <w:rPr>
          <w:rFonts w:cs="Sylfaen"/>
          <w:b w:val="0"/>
          <w:color w:val="000000"/>
          <w:szCs w:val="22"/>
          <w:lang w:val="x-none" w:eastAsia="x-none"/>
        </w:rPr>
        <w:lastRenderedPageBreak/>
        <w:t>նպատակահարմարությունը</w:t>
      </w:r>
      <w:r w:rsidRPr="002F5E36">
        <w:rPr>
          <w:b w:val="0"/>
          <w:color w:val="000000"/>
          <w:szCs w:val="22"/>
          <w:lang w:val="x-none" w:eastAsia="x-none"/>
        </w:rPr>
        <w:t xml:space="preserve"> </w:t>
      </w:r>
      <w:r w:rsidRPr="002F5E36">
        <w:rPr>
          <w:rFonts w:cs="Sylfaen"/>
          <w:b w:val="0"/>
          <w:color w:val="000000"/>
          <w:szCs w:val="22"/>
          <w:lang w:val="x-none" w:eastAsia="x-none"/>
        </w:rPr>
        <w:t>չի</w:t>
      </w:r>
      <w:r w:rsidRPr="002F5E36">
        <w:rPr>
          <w:b w:val="0"/>
          <w:color w:val="000000"/>
          <w:szCs w:val="22"/>
          <w:lang w:val="x-none" w:eastAsia="x-none"/>
        </w:rPr>
        <w:t xml:space="preserve"> </w:t>
      </w:r>
      <w:r w:rsidRPr="002F5E36">
        <w:rPr>
          <w:rFonts w:cs="Sylfaen"/>
          <w:b w:val="0"/>
          <w:color w:val="000000"/>
          <w:szCs w:val="22"/>
          <w:lang w:val="x-none" w:eastAsia="x-none"/>
        </w:rPr>
        <w:t>հիմնավորվում</w:t>
      </w:r>
      <w:r w:rsidRPr="002F5E36">
        <w:rPr>
          <w:b w:val="0"/>
          <w:color w:val="000000"/>
          <w:szCs w:val="22"/>
          <w:lang w:val="x-none" w:eastAsia="x-none"/>
        </w:rPr>
        <w:t xml:space="preserve"> «</w:t>
      </w:r>
      <w:r w:rsidRPr="002F5E36">
        <w:rPr>
          <w:rFonts w:cs="Sylfaen"/>
          <w:b w:val="0"/>
          <w:color w:val="000000"/>
          <w:szCs w:val="22"/>
          <w:lang w:val="x-none" w:eastAsia="x-none"/>
        </w:rPr>
        <w:t>ծախսեր</w:t>
      </w:r>
      <w:r w:rsidRPr="002F5E36">
        <w:rPr>
          <w:b w:val="0"/>
          <w:color w:val="000000"/>
          <w:szCs w:val="22"/>
          <w:lang w:val="x-none" w:eastAsia="x-none"/>
        </w:rPr>
        <w:t>-</w:t>
      </w:r>
      <w:r w:rsidRPr="002F5E36">
        <w:rPr>
          <w:rFonts w:cs="Sylfaen"/>
          <w:b w:val="0"/>
          <w:color w:val="000000"/>
          <w:szCs w:val="22"/>
          <w:lang w:val="x-none" w:eastAsia="x-none"/>
        </w:rPr>
        <w:t>օգուտներ</w:t>
      </w:r>
      <w:r w:rsidRPr="002F5E36">
        <w:rPr>
          <w:b w:val="0"/>
          <w:color w:val="000000"/>
          <w:szCs w:val="22"/>
          <w:lang w:val="x-none" w:eastAsia="x-none"/>
        </w:rPr>
        <w:t xml:space="preserve">» </w:t>
      </w:r>
      <w:r w:rsidRPr="002F5E36">
        <w:rPr>
          <w:rFonts w:cs="Sylfaen"/>
          <w:b w:val="0"/>
          <w:color w:val="000000"/>
          <w:szCs w:val="22"/>
          <w:lang w:val="x-none" w:eastAsia="x-none"/>
        </w:rPr>
        <w:t>վերլուծությունների</w:t>
      </w:r>
      <w:r w:rsidRPr="002F5E36">
        <w:rPr>
          <w:b w:val="0"/>
          <w:color w:val="000000"/>
          <w:szCs w:val="22"/>
          <w:lang w:val="x-none" w:eastAsia="x-none"/>
        </w:rPr>
        <w:t xml:space="preserve"> </w:t>
      </w:r>
      <w:r w:rsidRPr="002F5E36">
        <w:rPr>
          <w:rFonts w:cs="Sylfaen"/>
          <w:b w:val="0"/>
          <w:color w:val="000000"/>
          <w:szCs w:val="22"/>
          <w:lang w:val="x-none" w:eastAsia="x-none"/>
        </w:rPr>
        <w:t>արդյունքներով</w:t>
      </w:r>
      <w:r w:rsidRPr="002F5E36">
        <w:rPr>
          <w:b w:val="0"/>
          <w:color w:val="000000"/>
          <w:szCs w:val="22"/>
          <w:lang w:val="x-none" w:eastAsia="x-none"/>
        </w:rPr>
        <w:t xml:space="preserve">: </w:t>
      </w:r>
      <w:r w:rsidRPr="002F5E36">
        <w:rPr>
          <w:rFonts w:cs="Sylfaen"/>
          <w:b w:val="0"/>
          <w:color w:val="000000"/>
          <w:szCs w:val="22"/>
          <w:lang w:val="x-none" w:eastAsia="x-none"/>
        </w:rPr>
        <w:t>Այսինքն</w:t>
      </w:r>
      <w:r w:rsidRPr="002F5E36">
        <w:rPr>
          <w:b w:val="0"/>
          <w:color w:val="000000"/>
          <w:szCs w:val="22"/>
          <w:lang w:val="x-none" w:eastAsia="x-none"/>
        </w:rPr>
        <w:t xml:space="preserve">, </w:t>
      </w:r>
      <w:r w:rsidRPr="002F5E36">
        <w:rPr>
          <w:rFonts w:cs="Sylfaen"/>
          <w:b w:val="0"/>
          <w:color w:val="000000"/>
          <w:szCs w:val="22"/>
          <w:lang w:val="x-none" w:eastAsia="x-none"/>
        </w:rPr>
        <w:t>բոլոր</w:t>
      </w:r>
      <w:r w:rsidRPr="002F5E36">
        <w:rPr>
          <w:b w:val="0"/>
          <w:color w:val="000000"/>
          <w:szCs w:val="22"/>
          <w:lang w:val="x-none" w:eastAsia="x-none"/>
        </w:rPr>
        <w:t xml:space="preserve"> </w:t>
      </w:r>
      <w:r w:rsidRPr="002F5E36">
        <w:rPr>
          <w:rFonts w:cs="Sylfaen"/>
          <w:b w:val="0"/>
          <w:color w:val="000000"/>
          <w:szCs w:val="22"/>
          <w:lang w:val="x-none" w:eastAsia="x-none"/>
        </w:rPr>
        <w:t>այն</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արտոնությունները</w:t>
      </w:r>
      <w:r w:rsidRPr="002F5E36">
        <w:rPr>
          <w:b w:val="0"/>
          <w:color w:val="000000"/>
          <w:szCs w:val="22"/>
          <w:lang w:val="x-none" w:eastAsia="x-none"/>
        </w:rPr>
        <w:t xml:space="preserve">, </w:t>
      </w:r>
      <w:r w:rsidRPr="002F5E36">
        <w:rPr>
          <w:rFonts w:cs="Sylfaen"/>
          <w:b w:val="0"/>
          <w:color w:val="000000"/>
          <w:szCs w:val="22"/>
          <w:lang w:val="x-none" w:eastAsia="x-none"/>
        </w:rPr>
        <w:t>որոնց</w:t>
      </w:r>
      <w:r w:rsidRPr="002F5E36">
        <w:rPr>
          <w:b w:val="0"/>
          <w:color w:val="000000"/>
          <w:szCs w:val="22"/>
          <w:lang w:val="x-none" w:eastAsia="x-none"/>
        </w:rPr>
        <w:t xml:space="preserve"> </w:t>
      </w:r>
      <w:r w:rsidRPr="002F5E36">
        <w:rPr>
          <w:rFonts w:cs="Sylfaen"/>
          <w:b w:val="0"/>
          <w:color w:val="000000"/>
          <w:szCs w:val="22"/>
          <w:lang w:val="x-none" w:eastAsia="x-none"/>
        </w:rPr>
        <w:t>կիրառության</w:t>
      </w:r>
      <w:r w:rsidRPr="002F5E36">
        <w:rPr>
          <w:b w:val="0"/>
          <w:color w:val="000000"/>
          <w:szCs w:val="22"/>
          <w:lang w:val="x-none" w:eastAsia="x-none"/>
        </w:rPr>
        <w:t xml:space="preserve"> </w:t>
      </w:r>
      <w:r w:rsidRPr="002F5E36">
        <w:rPr>
          <w:rFonts w:cs="Sylfaen"/>
          <w:b w:val="0"/>
          <w:color w:val="000000"/>
          <w:szCs w:val="22"/>
          <w:lang w:val="x-none" w:eastAsia="x-none"/>
        </w:rPr>
        <w:t>արդյունքում</w:t>
      </w:r>
      <w:r w:rsidRPr="002F5E36">
        <w:rPr>
          <w:b w:val="0"/>
          <w:color w:val="000000"/>
          <w:szCs w:val="22"/>
          <w:lang w:val="x-none" w:eastAsia="x-none"/>
        </w:rPr>
        <w:t xml:space="preserve"> </w:t>
      </w:r>
      <w:r w:rsidRPr="002F5E36">
        <w:rPr>
          <w:rFonts w:cs="Sylfaen"/>
          <w:b w:val="0"/>
          <w:color w:val="000000"/>
          <w:szCs w:val="22"/>
          <w:lang w:val="x-none" w:eastAsia="x-none"/>
        </w:rPr>
        <w:t>սպառողների</w:t>
      </w:r>
      <w:r w:rsidRPr="002F5E36">
        <w:rPr>
          <w:b w:val="0"/>
          <w:color w:val="000000"/>
          <w:szCs w:val="22"/>
          <w:lang w:val="x-none" w:eastAsia="x-none"/>
        </w:rPr>
        <w:t xml:space="preserve"> </w:t>
      </w:r>
      <w:r w:rsidRPr="002F5E36">
        <w:rPr>
          <w:rFonts w:cs="Sylfaen"/>
          <w:b w:val="0"/>
          <w:color w:val="000000"/>
          <w:szCs w:val="22"/>
          <w:lang w:val="x-none" w:eastAsia="x-none"/>
        </w:rPr>
        <w:t>ու</w:t>
      </w:r>
      <w:r w:rsidRPr="002F5E36">
        <w:rPr>
          <w:b w:val="0"/>
          <w:color w:val="000000"/>
          <w:szCs w:val="22"/>
          <w:lang w:val="x-none" w:eastAsia="x-none"/>
        </w:rPr>
        <w:t xml:space="preserve"> </w:t>
      </w:r>
      <w:r w:rsidRPr="002F5E36">
        <w:rPr>
          <w:rFonts w:cs="Sylfaen"/>
          <w:b w:val="0"/>
          <w:color w:val="000000"/>
          <w:szCs w:val="22"/>
          <w:lang w:val="x-none" w:eastAsia="x-none"/>
        </w:rPr>
        <w:t>տնտեսավարող</w:t>
      </w:r>
      <w:r w:rsidRPr="002F5E36">
        <w:rPr>
          <w:b w:val="0"/>
          <w:color w:val="000000"/>
          <w:szCs w:val="22"/>
          <w:lang w:val="x-none" w:eastAsia="x-none"/>
        </w:rPr>
        <w:t xml:space="preserve"> </w:t>
      </w:r>
      <w:r w:rsidRPr="002F5E36">
        <w:rPr>
          <w:rFonts w:cs="Sylfaen"/>
          <w:b w:val="0"/>
          <w:color w:val="000000"/>
          <w:szCs w:val="22"/>
          <w:lang w:val="x-none" w:eastAsia="x-none"/>
        </w:rPr>
        <w:t>սուբյեկտների</w:t>
      </w:r>
      <w:r w:rsidRPr="002F5E36">
        <w:rPr>
          <w:b w:val="0"/>
          <w:color w:val="000000"/>
          <w:szCs w:val="22"/>
          <w:lang w:val="x-none" w:eastAsia="x-none"/>
        </w:rPr>
        <w:t xml:space="preserve"> </w:t>
      </w:r>
      <w:r w:rsidRPr="002F5E36">
        <w:rPr>
          <w:rFonts w:cs="Sylfaen"/>
          <w:b w:val="0"/>
          <w:color w:val="000000"/>
          <w:szCs w:val="22"/>
          <w:lang w:val="x-none" w:eastAsia="x-none"/>
        </w:rPr>
        <w:t>համար</w:t>
      </w:r>
      <w:r w:rsidRPr="002F5E36">
        <w:rPr>
          <w:b w:val="0"/>
          <w:color w:val="000000"/>
          <w:szCs w:val="22"/>
          <w:lang w:val="x-none" w:eastAsia="x-none"/>
        </w:rPr>
        <w:t xml:space="preserve"> </w:t>
      </w:r>
      <w:r w:rsidRPr="002F5E36">
        <w:rPr>
          <w:rFonts w:cs="Sylfaen"/>
          <w:b w:val="0"/>
          <w:color w:val="000000"/>
          <w:szCs w:val="22"/>
          <w:lang w:val="x-none" w:eastAsia="x-none"/>
        </w:rPr>
        <w:t>ստեղծվող</w:t>
      </w:r>
      <w:r w:rsidRPr="002F5E36">
        <w:rPr>
          <w:b w:val="0"/>
          <w:color w:val="000000"/>
          <w:szCs w:val="22"/>
          <w:lang w:val="x-none" w:eastAsia="x-none"/>
        </w:rPr>
        <w:t xml:space="preserve"> «</w:t>
      </w:r>
      <w:r w:rsidRPr="002F5E36">
        <w:rPr>
          <w:rFonts w:cs="Sylfaen"/>
          <w:b w:val="0"/>
          <w:color w:val="000000"/>
          <w:szCs w:val="22"/>
          <w:lang w:val="x-none" w:eastAsia="x-none"/>
        </w:rPr>
        <w:t>օգուտները</w:t>
      </w:r>
      <w:r w:rsidRPr="002F5E36">
        <w:rPr>
          <w:b w:val="0"/>
          <w:color w:val="000000"/>
          <w:szCs w:val="22"/>
          <w:lang w:val="x-none" w:eastAsia="x-none"/>
        </w:rPr>
        <w:t xml:space="preserve">» </w:t>
      </w:r>
      <w:r w:rsidRPr="002F5E36">
        <w:rPr>
          <w:rFonts w:cs="Sylfaen"/>
          <w:b w:val="0"/>
          <w:color w:val="000000"/>
          <w:szCs w:val="22"/>
          <w:lang w:val="x-none" w:eastAsia="x-none"/>
        </w:rPr>
        <w:t>համարժեք</w:t>
      </w:r>
      <w:r w:rsidRPr="002F5E36">
        <w:rPr>
          <w:b w:val="0"/>
          <w:color w:val="000000"/>
          <w:szCs w:val="22"/>
          <w:lang w:val="x-none" w:eastAsia="x-none"/>
        </w:rPr>
        <w:t xml:space="preserve"> </w:t>
      </w:r>
      <w:r w:rsidRPr="002F5E36">
        <w:rPr>
          <w:rFonts w:cs="Sylfaen"/>
          <w:b w:val="0"/>
          <w:color w:val="000000"/>
          <w:szCs w:val="22"/>
          <w:lang w:val="x-none" w:eastAsia="x-none"/>
        </w:rPr>
        <w:t>չեն</w:t>
      </w:r>
      <w:r w:rsidRPr="002F5E36">
        <w:rPr>
          <w:b w:val="0"/>
          <w:color w:val="000000"/>
          <w:szCs w:val="22"/>
          <w:lang w:val="x-none" w:eastAsia="x-none"/>
        </w:rPr>
        <w:t xml:space="preserve"> </w:t>
      </w:r>
      <w:r w:rsidRPr="002F5E36">
        <w:rPr>
          <w:rFonts w:cs="Sylfaen"/>
          <w:b w:val="0"/>
          <w:color w:val="000000"/>
          <w:szCs w:val="22"/>
          <w:lang w:val="x-none" w:eastAsia="x-none"/>
        </w:rPr>
        <w:t>պետության</w:t>
      </w:r>
      <w:r w:rsidRPr="002F5E36">
        <w:rPr>
          <w:b w:val="0"/>
          <w:color w:val="000000"/>
          <w:szCs w:val="22"/>
          <w:lang w:val="x-none" w:eastAsia="x-none"/>
        </w:rPr>
        <w:t xml:space="preserve"> </w:t>
      </w:r>
      <w:r w:rsidRPr="002F5E36">
        <w:rPr>
          <w:rFonts w:cs="Sylfaen"/>
          <w:b w:val="0"/>
          <w:color w:val="000000"/>
          <w:szCs w:val="22"/>
          <w:lang w:val="x-none" w:eastAsia="x-none"/>
        </w:rPr>
        <w:t>կրած</w:t>
      </w:r>
      <w:r w:rsidRPr="002F5E36">
        <w:rPr>
          <w:b w:val="0"/>
          <w:color w:val="000000"/>
          <w:szCs w:val="22"/>
          <w:lang w:val="x-none" w:eastAsia="x-none"/>
        </w:rPr>
        <w:t xml:space="preserve"> «</w:t>
      </w:r>
      <w:r w:rsidRPr="002F5E36">
        <w:rPr>
          <w:rFonts w:cs="Sylfaen"/>
          <w:b w:val="0"/>
          <w:color w:val="000000"/>
          <w:szCs w:val="22"/>
          <w:lang w:val="x-none" w:eastAsia="x-none"/>
        </w:rPr>
        <w:t>ծախսերին</w:t>
      </w:r>
      <w:r w:rsidRPr="002F5E36">
        <w:rPr>
          <w:b w:val="0"/>
          <w:color w:val="000000"/>
          <w:szCs w:val="22"/>
          <w:lang w:val="x-none" w:eastAsia="x-none"/>
        </w:rPr>
        <w:t>» (</w:t>
      </w:r>
      <w:r w:rsidRPr="002F5E36">
        <w:rPr>
          <w:rFonts w:cs="Sylfaen"/>
          <w:b w:val="0"/>
          <w:color w:val="000000"/>
          <w:szCs w:val="22"/>
          <w:lang w:val="x-none" w:eastAsia="x-none"/>
        </w:rPr>
        <w:t>պետության</w:t>
      </w:r>
      <w:r w:rsidRPr="002F5E36">
        <w:rPr>
          <w:b w:val="0"/>
          <w:color w:val="000000"/>
          <w:szCs w:val="22"/>
          <w:lang w:val="x-none" w:eastAsia="x-none"/>
        </w:rPr>
        <w:t xml:space="preserve"> </w:t>
      </w:r>
      <w:r w:rsidRPr="002F5E36">
        <w:rPr>
          <w:rFonts w:cs="Sylfaen"/>
          <w:b w:val="0"/>
          <w:color w:val="000000"/>
          <w:szCs w:val="22"/>
          <w:lang w:val="x-none" w:eastAsia="x-none"/>
        </w:rPr>
        <w:t>կորցրած</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եկամուտներին</w:t>
      </w:r>
      <w:r w:rsidRPr="002F5E36">
        <w:rPr>
          <w:b w:val="0"/>
          <w:color w:val="000000"/>
          <w:szCs w:val="22"/>
          <w:lang w:val="x-none" w:eastAsia="x-none"/>
        </w:rPr>
        <w:t xml:space="preserve">), </w:t>
      </w:r>
      <w:r w:rsidRPr="002F5E36">
        <w:rPr>
          <w:rFonts w:cs="Sylfaen"/>
          <w:b w:val="0"/>
          <w:color w:val="000000"/>
          <w:szCs w:val="22"/>
          <w:lang w:val="x-none" w:eastAsia="x-none"/>
        </w:rPr>
        <w:t>պետք</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աստիճանաբար</w:t>
      </w:r>
      <w:r w:rsidRPr="002F5E36">
        <w:rPr>
          <w:b w:val="0"/>
          <w:color w:val="000000"/>
          <w:szCs w:val="22"/>
          <w:lang w:val="x-none" w:eastAsia="x-none"/>
        </w:rPr>
        <w:t xml:space="preserve"> </w:t>
      </w:r>
      <w:r w:rsidRPr="002F5E36">
        <w:rPr>
          <w:rFonts w:cs="Sylfaen"/>
          <w:b w:val="0"/>
          <w:color w:val="000000"/>
          <w:szCs w:val="22"/>
          <w:lang w:val="x-none" w:eastAsia="x-none"/>
        </w:rPr>
        <w:t>կրճատվեն</w:t>
      </w:r>
      <w:r w:rsidRPr="002F5E36">
        <w:rPr>
          <w:b w:val="0"/>
          <w:color w:val="000000"/>
          <w:szCs w:val="22"/>
          <w:lang w:val="x-none" w:eastAsia="x-none"/>
        </w:rPr>
        <w:t xml:space="preserve">: </w:t>
      </w:r>
      <w:r w:rsidRPr="002F5E36">
        <w:rPr>
          <w:rFonts w:cs="Sylfaen"/>
          <w:b w:val="0"/>
          <w:color w:val="000000"/>
          <w:szCs w:val="22"/>
          <w:lang w:val="x-none" w:eastAsia="x-none"/>
        </w:rPr>
        <w:t>Քաղաքականության</w:t>
      </w:r>
      <w:r w:rsidRPr="002F5E36">
        <w:rPr>
          <w:b w:val="0"/>
          <w:color w:val="000000"/>
          <w:szCs w:val="22"/>
          <w:lang w:val="x-none" w:eastAsia="x-none"/>
        </w:rPr>
        <w:t xml:space="preserve"> </w:t>
      </w:r>
      <w:r w:rsidRPr="002F5E36">
        <w:rPr>
          <w:rFonts w:cs="Sylfaen"/>
          <w:b w:val="0"/>
          <w:color w:val="000000"/>
          <w:szCs w:val="22"/>
          <w:lang w:val="x-none" w:eastAsia="x-none"/>
        </w:rPr>
        <w:t>այսպիսի</w:t>
      </w:r>
      <w:r w:rsidRPr="002F5E36">
        <w:rPr>
          <w:b w:val="0"/>
          <w:color w:val="000000"/>
          <w:szCs w:val="22"/>
          <w:lang w:val="x-none" w:eastAsia="x-none"/>
        </w:rPr>
        <w:t xml:space="preserve"> </w:t>
      </w:r>
      <w:r w:rsidRPr="002F5E36">
        <w:rPr>
          <w:rFonts w:cs="Sylfaen"/>
          <w:b w:val="0"/>
          <w:color w:val="000000"/>
          <w:szCs w:val="22"/>
          <w:lang w:val="x-none" w:eastAsia="x-none"/>
        </w:rPr>
        <w:t>մոտեցումը</w:t>
      </w:r>
      <w:r w:rsidRPr="002F5E36">
        <w:rPr>
          <w:b w:val="0"/>
          <w:color w:val="000000"/>
          <w:szCs w:val="22"/>
          <w:lang w:val="x-none" w:eastAsia="x-none"/>
        </w:rPr>
        <w:t xml:space="preserve"> </w:t>
      </w:r>
      <w:r w:rsidRPr="002F5E36">
        <w:rPr>
          <w:rFonts w:cs="Sylfaen"/>
          <w:b w:val="0"/>
          <w:color w:val="000000"/>
          <w:szCs w:val="22"/>
          <w:lang w:val="x-none" w:eastAsia="x-none"/>
        </w:rPr>
        <w:t>հիմնավորվում</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ֆինանսական</w:t>
      </w:r>
      <w:r w:rsidRPr="002F5E36">
        <w:rPr>
          <w:b w:val="0"/>
          <w:color w:val="000000"/>
          <w:szCs w:val="22"/>
          <w:lang w:val="x-none" w:eastAsia="x-none"/>
        </w:rPr>
        <w:t xml:space="preserve"> </w:t>
      </w:r>
      <w:r w:rsidRPr="002F5E36">
        <w:rPr>
          <w:rFonts w:cs="Sylfaen"/>
          <w:b w:val="0"/>
          <w:color w:val="000000"/>
          <w:szCs w:val="22"/>
          <w:lang w:val="x-none" w:eastAsia="x-none"/>
        </w:rPr>
        <w:t>ռեսուրսներ</w:t>
      </w:r>
      <w:r w:rsidRPr="002F5E36">
        <w:rPr>
          <w:b w:val="0"/>
          <w:color w:val="000000"/>
          <w:szCs w:val="22"/>
          <w:lang w:val="x-none" w:eastAsia="x-none"/>
        </w:rPr>
        <w:t xml:space="preserve"> </w:t>
      </w:r>
      <w:r w:rsidRPr="002F5E36">
        <w:rPr>
          <w:rFonts w:cs="Sylfaen"/>
          <w:b w:val="0"/>
          <w:color w:val="000000"/>
          <w:szCs w:val="22"/>
          <w:lang w:val="x-none" w:eastAsia="x-none"/>
        </w:rPr>
        <w:t>կենտրոնացնելու՝</w:t>
      </w:r>
      <w:r w:rsidRPr="002F5E36">
        <w:rPr>
          <w:b w:val="0"/>
          <w:color w:val="000000"/>
          <w:szCs w:val="22"/>
          <w:lang w:val="x-none" w:eastAsia="x-none"/>
        </w:rPr>
        <w:t xml:space="preserve"> </w:t>
      </w:r>
      <w:r w:rsidRPr="002F5E36">
        <w:rPr>
          <w:rFonts w:cs="Sylfaen"/>
          <w:b w:val="0"/>
          <w:color w:val="000000"/>
          <w:szCs w:val="22"/>
          <w:lang w:val="x-none" w:eastAsia="x-none"/>
        </w:rPr>
        <w:t>պետության</w:t>
      </w:r>
      <w:r w:rsidRPr="002F5E36">
        <w:rPr>
          <w:b w:val="0"/>
          <w:color w:val="000000"/>
          <w:szCs w:val="22"/>
          <w:lang w:val="x-none" w:eastAsia="x-none"/>
        </w:rPr>
        <w:t xml:space="preserve"> </w:t>
      </w:r>
      <w:r w:rsidRPr="002F5E36">
        <w:rPr>
          <w:rFonts w:cs="Sylfaen"/>
          <w:b w:val="0"/>
          <w:color w:val="000000"/>
          <w:szCs w:val="22"/>
          <w:lang w:val="x-none" w:eastAsia="x-none"/>
        </w:rPr>
        <w:t>սահմանափակ</w:t>
      </w:r>
      <w:r w:rsidRPr="002F5E36">
        <w:rPr>
          <w:b w:val="0"/>
          <w:color w:val="000000"/>
          <w:szCs w:val="22"/>
          <w:lang w:val="x-none" w:eastAsia="x-none"/>
        </w:rPr>
        <w:t xml:space="preserve"> </w:t>
      </w:r>
      <w:r w:rsidRPr="002F5E36">
        <w:rPr>
          <w:rFonts w:cs="Sylfaen"/>
          <w:b w:val="0"/>
          <w:color w:val="000000"/>
          <w:szCs w:val="22"/>
          <w:lang w:val="x-none" w:eastAsia="x-none"/>
        </w:rPr>
        <w:t>ներուժ</w:t>
      </w:r>
      <w:r w:rsidRPr="002F5E36">
        <w:rPr>
          <w:rFonts w:cs="Sylfaen"/>
          <w:b w:val="0"/>
          <w:color w:val="000000"/>
          <w:szCs w:val="22"/>
          <w:lang w:val="hy-AM" w:eastAsia="x-none"/>
        </w:rPr>
        <w:t>ն</w:t>
      </w:r>
      <w:r w:rsidRPr="002F5E36">
        <w:rPr>
          <w:b w:val="0"/>
          <w:color w:val="000000"/>
          <w:szCs w:val="22"/>
          <w:lang w:val="x-none" w:eastAsia="x-none"/>
        </w:rPr>
        <w:t xml:space="preserve"> </w:t>
      </w:r>
      <w:r w:rsidRPr="002F5E36">
        <w:rPr>
          <w:rFonts w:cs="Sylfaen"/>
          <w:b w:val="0"/>
          <w:color w:val="000000"/>
          <w:szCs w:val="22"/>
          <w:lang w:val="x-none" w:eastAsia="x-none"/>
        </w:rPr>
        <w:t>առավել</w:t>
      </w:r>
      <w:r w:rsidRPr="002F5E36">
        <w:rPr>
          <w:b w:val="0"/>
          <w:color w:val="000000"/>
          <w:szCs w:val="22"/>
          <w:lang w:val="x-none" w:eastAsia="x-none"/>
        </w:rPr>
        <w:t xml:space="preserve"> </w:t>
      </w:r>
      <w:r w:rsidRPr="002F5E36">
        <w:rPr>
          <w:rFonts w:cs="Sylfaen"/>
          <w:b w:val="0"/>
          <w:color w:val="000000"/>
          <w:szCs w:val="22"/>
          <w:lang w:val="x-none" w:eastAsia="x-none"/>
        </w:rPr>
        <w:t>արդյունավետ</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առավել</w:t>
      </w:r>
      <w:r w:rsidRPr="002F5E36">
        <w:rPr>
          <w:b w:val="0"/>
          <w:color w:val="000000"/>
          <w:szCs w:val="22"/>
          <w:lang w:val="x-none" w:eastAsia="x-none"/>
        </w:rPr>
        <w:t xml:space="preserve"> </w:t>
      </w:r>
      <w:r w:rsidRPr="002F5E36">
        <w:rPr>
          <w:rFonts w:cs="Sylfaen"/>
          <w:b w:val="0"/>
          <w:color w:val="000000"/>
          <w:szCs w:val="22"/>
          <w:lang w:val="x-none" w:eastAsia="x-none"/>
        </w:rPr>
        <w:t>հասցեական</w:t>
      </w:r>
      <w:r w:rsidRPr="002F5E36">
        <w:rPr>
          <w:b w:val="0"/>
          <w:color w:val="000000"/>
          <w:szCs w:val="22"/>
          <w:lang w:val="x-none" w:eastAsia="x-none"/>
        </w:rPr>
        <w:t xml:space="preserve"> </w:t>
      </w:r>
      <w:r w:rsidRPr="002F5E36">
        <w:rPr>
          <w:rFonts w:cs="Sylfaen"/>
          <w:b w:val="0"/>
          <w:color w:val="000000"/>
          <w:szCs w:val="22"/>
          <w:lang w:val="x-none" w:eastAsia="x-none"/>
        </w:rPr>
        <w:t>ձևով</w:t>
      </w:r>
      <w:r w:rsidRPr="002F5E36">
        <w:rPr>
          <w:b w:val="0"/>
          <w:color w:val="000000"/>
          <w:szCs w:val="22"/>
          <w:lang w:val="x-none" w:eastAsia="x-none"/>
        </w:rPr>
        <w:t xml:space="preserve"> </w:t>
      </w:r>
      <w:r w:rsidRPr="002F5E36">
        <w:rPr>
          <w:rFonts w:cs="Sylfaen"/>
          <w:b w:val="0"/>
          <w:color w:val="000000"/>
          <w:szCs w:val="22"/>
          <w:lang w:val="x-none" w:eastAsia="x-none"/>
        </w:rPr>
        <w:t>օգտագործելու</w:t>
      </w:r>
      <w:r w:rsidRPr="002F5E36">
        <w:rPr>
          <w:b w:val="0"/>
          <w:color w:val="000000"/>
          <w:szCs w:val="22"/>
          <w:lang w:val="x-none" w:eastAsia="x-none"/>
        </w:rPr>
        <w:t xml:space="preserve"> </w:t>
      </w:r>
      <w:r w:rsidRPr="002F5E36">
        <w:rPr>
          <w:rFonts w:cs="Sylfaen"/>
          <w:b w:val="0"/>
          <w:color w:val="000000"/>
          <w:szCs w:val="22"/>
          <w:lang w:val="x-none" w:eastAsia="x-none"/>
        </w:rPr>
        <w:t>նպատակադրումով</w:t>
      </w:r>
      <w:r w:rsidRPr="002F5E36">
        <w:rPr>
          <w:b w:val="0"/>
          <w:color w:val="000000"/>
          <w:szCs w:val="22"/>
          <w:lang w:val="x-none" w:eastAsia="x-none"/>
        </w:rPr>
        <w:t xml:space="preserve">, </w:t>
      </w:r>
      <w:r w:rsidRPr="002F5E36">
        <w:rPr>
          <w:rFonts w:cs="Sylfaen"/>
          <w:b w:val="0"/>
          <w:color w:val="000000"/>
          <w:szCs w:val="22"/>
          <w:lang w:val="x-none" w:eastAsia="x-none"/>
        </w:rPr>
        <w:t>քանի</w:t>
      </w:r>
      <w:r w:rsidRPr="002F5E36">
        <w:rPr>
          <w:b w:val="0"/>
          <w:color w:val="000000"/>
          <w:szCs w:val="22"/>
          <w:lang w:val="x-none" w:eastAsia="x-none"/>
        </w:rPr>
        <w:t xml:space="preserve"> </w:t>
      </w:r>
      <w:r w:rsidRPr="002F5E36">
        <w:rPr>
          <w:rFonts w:cs="Sylfaen"/>
          <w:b w:val="0"/>
          <w:color w:val="000000"/>
          <w:szCs w:val="22"/>
          <w:lang w:val="x-none" w:eastAsia="x-none"/>
        </w:rPr>
        <w:t>որ</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արտոնությունների</w:t>
      </w:r>
      <w:r w:rsidRPr="002F5E36">
        <w:rPr>
          <w:b w:val="0"/>
          <w:color w:val="000000"/>
          <w:szCs w:val="22"/>
          <w:lang w:val="x-none" w:eastAsia="x-none"/>
        </w:rPr>
        <w:t xml:space="preserve"> </w:t>
      </w:r>
      <w:r w:rsidRPr="002F5E36">
        <w:rPr>
          <w:rFonts w:cs="Sylfaen"/>
          <w:b w:val="0"/>
          <w:color w:val="000000"/>
          <w:szCs w:val="22"/>
          <w:lang w:val="x-none" w:eastAsia="x-none"/>
        </w:rPr>
        <w:t>տրամադրմամբ</w:t>
      </w:r>
      <w:r w:rsidRPr="002F5E36">
        <w:rPr>
          <w:b w:val="0"/>
          <w:color w:val="000000"/>
          <w:szCs w:val="22"/>
          <w:lang w:val="x-none" w:eastAsia="x-none"/>
        </w:rPr>
        <w:t xml:space="preserve">, </w:t>
      </w:r>
      <w:r w:rsidRPr="002F5E36">
        <w:rPr>
          <w:rFonts w:cs="Sylfaen"/>
          <w:b w:val="0"/>
          <w:color w:val="000000"/>
          <w:szCs w:val="22"/>
          <w:lang w:val="x-none" w:eastAsia="x-none"/>
        </w:rPr>
        <w:t>պետությունը</w:t>
      </w:r>
      <w:r w:rsidRPr="002F5E36">
        <w:rPr>
          <w:b w:val="0"/>
          <w:color w:val="000000"/>
          <w:szCs w:val="22"/>
          <w:lang w:val="x-none" w:eastAsia="x-none"/>
        </w:rPr>
        <w:t xml:space="preserve">, </w:t>
      </w:r>
      <w:r w:rsidRPr="002F5E36">
        <w:rPr>
          <w:rFonts w:cs="Sylfaen"/>
          <w:b w:val="0"/>
          <w:color w:val="000000"/>
          <w:szCs w:val="22"/>
          <w:lang w:val="x-none" w:eastAsia="x-none"/>
        </w:rPr>
        <w:t>ըստ</w:t>
      </w:r>
      <w:r w:rsidRPr="002F5E36">
        <w:rPr>
          <w:b w:val="0"/>
          <w:color w:val="000000"/>
          <w:szCs w:val="22"/>
          <w:lang w:val="x-none" w:eastAsia="x-none"/>
        </w:rPr>
        <w:t xml:space="preserve"> </w:t>
      </w:r>
      <w:r w:rsidRPr="002F5E36">
        <w:rPr>
          <w:rFonts w:cs="Sylfaen"/>
          <w:b w:val="0"/>
          <w:color w:val="000000"/>
          <w:szCs w:val="22"/>
          <w:lang w:val="x-none" w:eastAsia="x-none"/>
        </w:rPr>
        <w:t>էության</w:t>
      </w:r>
      <w:r w:rsidRPr="002F5E36">
        <w:rPr>
          <w:b w:val="0"/>
          <w:color w:val="000000"/>
          <w:szCs w:val="22"/>
          <w:lang w:val="x-none" w:eastAsia="x-none"/>
        </w:rPr>
        <w:t xml:space="preserve">, </w:t>
      </w:r>
      <w:r w:rsidRPr="002F5E36">
        <w:rPr>
          <w:rFonts w:cs="Sylfaen"/>
          <w:b w:val="0"/>
          <w:color w:val="000000"/>
          <w:szCs w:val="22"/>
          <w:lang w:val="x-none" w:eastAsia="x-none"/>
        </w:rPr>
        <w:t>զրկվում</w:t>
      </w:r>
      <w:r w:rsidRPr="002F5E36">
        <w:rPr>
          <w:b w:val="0"/>
          <w:color w:val="000000"/>
          <w:szCs w:val="22"/>
          <w:lang w:val="x-none" w:eastAsia="x-none"/>
        </w:rPr>
        <w:t xml:space="preserve"> </w:t>
      </w:r>
      <w:r w:rsidRPr="002F5E36">
        <w:rPr>
          <w:rFonts w:cs="Sylfaen"/>
          <w:b w:val="0"/>
          <w:color w:val="000000"/>
          <w:szCs w:val="22"/>
          <w:lang w:val="x-none" w:eastAsia="x-none"/>
        </w:rPr>
        <w:t>է</w:t>
      </w:r>
      <w:r w:rsidRPr="002F5E36">
        <w:rPr>
          <w:b w:val="0"/>
          <w:color w:val="000000"/>
          <w:szCs w:val="22"/>
          <w:lang w:val="x-none" w:eastAsia="x-none"/>
        </w:rPr>
        <w:t xml:space="preserve"> </w:t>
      </w:r>
      <w:r w:rsidRPr="002F5E36">
        <w:rPr>
          <w:rFonts w:cs="Sylfaen"/>
          <w:b w:val="0"/>
          <w:color w:val="000000"/>
          <w:szCs w:val="22"/>
          <w:lang w:val="x-none" w:eastAsia="x-none"/>
        </w:rPr>
        <w:t>լրացուցիչ</w:t>
      </w:r>
      <w:r w:rsidRPr="002F5E36">
        <w:rPr>
          <w:rFonts w:cs="Sylfaen"/>
          <w:b w:val="0"/>
          <w:color w:val="000000"/>
          <w:szCs w:val="22"/>
          <w:lang w:val="en-US" w:eastAsia="x-none"/>
        </w:rPr>
        <w:t xml:space="preserve"> </w:t>
      </w:r>
      <w:r w:rsidRPr="002F5E36">
        <w:rPr>
          <w:rFonts w:cs="Sylfaen"/>
          <w:b w:val="0"/>
          <w:color w:val="000000"/>
          <w:szCs w:val="22"/>
          <w:lang w:val="x-none" w:eastAsia="x-none"/>
        </w:rPr>
        <w:t>հարկային</w:t>
      </w:r>
      <w:r w:rsidRPr="002F5E36">
        <w:rPr>
          <w:rFonts w:cs="Sylfaen"/>
          <w:b w:val="0"/>
          <w:color w:val="000000"/>
          <w:szCs w:val="22"/>
          <w:lang w:val="en-US" w:eastAsia="x-none"/>
        </w:rPr>
        <w:t xml:space="preserve"> </w:t>
      </w:r>
      <w:r w:rsidRPr="002F5E36">
        <w:rPr>
          <w:rFonts w:cs="Sylfaen"/>
          <w:b w:val="0"/>
          <w:color w:val="000000"/>
          <w:szCs w:val="22"/>
          <w:lang w:val="x-none" w:eastAsia="x-none"/>
        </w:rPr>
        <w:t>եկամուտներ</w:t>
      </w:r>
      <w:r w:rsidRPr="002F5E36">
        <w:rPr>
          <w:rFonts w:cs="Sylfaen"/>
          <w:b w:val="0"/>
          <w:color w:val="000000"/>
          <w:szCs w:val="22"/>
          <w:lang w:val="en-US" w:eastAsia="x-none"/>
        </w:rPr>
        <w:t xml:space="preserve"> </w:t>
      </w:r>
      <w:r w:rsidRPr="002F5E36">
        <w:rPr>
          <w:rFonts w:cs="Sylfaen"/>
          <w:b w:val="0"/>
          <w:color w:val="000000"/>
          <w:szCs w:val="22"/>
          <w:lang w:val="x-none" w:eastAsia="x-none"/>
        </w:rPr>
        <w:t>հավաքագրելու</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զարգացման</w:t>
      </w:r>
      <w:r w:rsidRPr="002F5E36">
        <w:rPr>
          <w:rFonts w:cs="Sylfaen"/>
          <w:b w:val="0"/>
          <w:color w:val="000000"/>
          <w:szCs w:val="22"/>
          <w:lang w:val="en-US" w:eastAsia="x-none"/>
        </w:rPr>
        <w:t>,</w:t>
      </w:r>
      <w:r w:rsidRPr="002F5E36">
        <w:rPr>
          <w:b w:val="0"/>
          <w:color w:val="000000"/>
          <w:szCs w:val="22"/>
          <w:lang w:val="x-none" w:eastAsia="x-none"/>
        </w:rPr>
        <w:t xml:space="preserve"> </w:t>
      </w:r>
      <w:r w:rsidRPr="002F5E36">
        <w:rPr>
          <w:rFonts w:cs="Sylfaen"/>
          <w:b w:val="0"/>
          <w:color w:val="000000"/>
          <w:szCs w:val="22"/>
          <w:lang w:val="x-none" w:eastAsia="x-none"/>
        </w:rPr>
        <w:t>սոցիալական</w:t>
      </w:r>
      <w:r w:rsidRPr="002F5E36">
        <w:rPr>
          <w:rFonts w:cs="Sylfaen"/>
          <w:b w:val="0"/>
          <w:color w:val="000000"/>
          <w:szCs w:val="22"/>
          <w:lang w:val="en-US" w:eastAsia="x-none"/>
        </w:rPr>
        <w:t>, բնապահպանական, առողջապահական կամ այլ հանրօգուտ նպատակներով</w:t>
      </w:r>
      <w:r w:rsidRPr="002F5E36">
        <w:rPr>
          <w:b w:val="0"/>
          <w:color w:val="000000"/>
          <w:szCs w:val="22"/>
          <w:lang w:val="x-none" w:eastAsia="x-none"/>
        </w:rPr>
        <w:t xml:space="preserve"> </w:t>
      </w:r>
      <w:r w:rsidRPr="002F5E36">
        <w:rPr>
          <w:rFonts w:cs="Sylfaen"/>
          <w:b w:val="0"/>
          <w:color w:val="000000"/>
          <w:szCs w:val="22"/>
          <w:lang w:val="x-none" w:eastAsia="x-none"/>
        </w:rPr>
        <w:t>լրացուցիչ</w:t>
      </w:r>
      <w:r w:rsidRPr="002F5E36">
        <w:rPr>
          <w:b w:val="0"/>
          <w:color w:val="000000"/>
          <w:szCs w:val="22"/>
          <w:lang w:val="x-none" w:eastAsia="x-none"/>
        </w:rPr>
        <w:t xml:space="preserve"> </w:t>
      </w:r>
      <w:r w:rsidRPr="002F5E36">
        <w:rPr>
          <w:rFonts w:cs="Sylfaen"/>
          <w:b w:val="0"/>
          <w:color w:val="000000"/>
          <w:szCs w:val="22"/>
          <w:lang w:val="x-none" w:eastAsia="x-none"/>
        </w:rPr>
        <w:t>ծրագրեր</w:t>
      </w:r>
      <w:r w:rsidRPr="002F5E36">
        <w:rPr>
          <w:b w:val="0"/>
          <w:color w:val="000000"/>
          <w:szCs w:val="22"/>
          <w:lang w:val="x-none" w:eastAsia="x-none"/>
        </w:rPr>
        <w:t xml:space="preserve"> </w:t>
      </w:r>
      <w:r w:rsidRPr="002F5E36">
        <w:rPr>
          <w:rFonts w:cs="Sylfaen"/>
          <w:b w:val="0"/>
          <w:color w:val="000000"/>
          <w:szCs w:val="22"/>
          <w:lang w:val="x-none" w:eastAsia="x-none"/>
        </w:rPr>
        <w:t>իրականացնելու</w:t>
      </w:r>
      <w:r w:rsidRPr="002F5E36">
        <w:rPr>
          <w:b w:val="0"/>
          <w:color w:val="000000"/>
          <w:szCs w:val="22"/>
          <w:lang w:val="x-none" w:eastAsia="x-none"/>
        </w:rPr>
        <w:t xml:space="preserve"> </w:t>
      </w:r>
      <w:r w:rsidRPr="002F5E36">
        <w:rPr>
          <w:rFonts w:cs="Sylfaen"/>
          <w:b w:val="0"/>
          <w:color w:val="000000"/>
          <w:szCs w:val="22"/>
          <w:lang w:val="x-none" w:eastAsia="x-none"/>
        </w:rPr>
        <w:t>հնարավորություններից</w:t>
      </w:r>
      <w:r w:rsidRPr="002F5E36">
        <w:rPr>
          <w:b w:val="0"/>
          <w:color w:val="000000"/>
          <w:szCs w:val="22"/>
          <w:lang w:val="x-none" w:eastAsia="x-none"/>
        </w:rPr>
        <w:t xml:space="preserve">: </w:t>
      </w:r>
      <w:r w:rsidRPr="002F5E36">
        <w:rPr>
          <w:rFonts w:cs="Sylfaen"/>
          <w:b w:val="0"/>
          <w:color w:val="000000"/>
          <w:szCs w:val="22"/>
          <w:lang w:val="x-none" w:eastAsia="x-none"/>
        </w:rPr>
        <w:t>Արդյունքում</w:t>
      </w:r>
      <w:r w:rsidRPr="002F5E36">
        <w:rPr>
          <w:b w:val="0"/>
          <w:color w:val="000000"/>
          <w:szCs w:val="22"/>
          <w:lang w:val="x-none" w:eastAsia="x-none"/>
        </w:rPr>
        <w:t xml:space="preserve"> </w:t>
      </w:r>
      <w:r w:rsidRPr="002F5E36">
        <w:rPr>
          <w:rFonts w:cs="Sylfaen"/>
          <w:b w:val="0"/>
          <w:color w:val="000000"/>
          <w:szCs w:val="22"/>
          <w:lang w:val="x-none" w:eastAsia="x-none"/>
        </w:rPr>
        <w:t>պետության</w:t>
      </w:r>
      <w:r w:rsidRPr="002F5E36">
        <w:rPr>
          <w:b w:val="0"/>
          <w:color w:val="000000"/>
          <w:szCs w:val="22"/>
          <w:lang w:val="x-none" w:eastAsia="x-none"/>
        </w:rPr>
        <w:t xml:space="preserve"> </w:t>
      </w:r>
      <w:r w:rsidRPr="002F5E36">
        <w:rPr>
          <w:rFonts w:cs="Sylfaen"/>
          <w:b w:val="0"/>
          <w:color w:val="000000"/>
          <w:szCs w:val="22"/>
          <w:lang w:val="x-none" w:eastAsia="x-none"/>
        </w:rPr>
        <w:t>կարևորագույն</w:t>
      </w:r>
      <w:r w:rsidRPr="002F5E36">
        <w:rPr>
          <w:b w:val="0"/>
          <w:color w:val="000000"/>
          <w:szCs w:val="22"/>
          <w:lang w:val="x-none" w:eastAsia="x-none"/>
        </w:rPr>
        <w:t xml:space="preserve"> </w:t>
      </w:r>
      <w:r w:rsidRPr="002F5E36">
        <w:rPr>
          <w:rFonts w:cs="Sylfaen"/>
          <w:b w:val="0"/>
          <w:color w:val="000000"/>
          <w:szCs w:val="22"/>
          <w:lang w:val="x-none" w:eastAsia="x-none"/>
        </w:rPr>
        <w:t>գործառույթներից</w:t>
      </w:r>
      <w:r w:rsidRPr="002F5E36">
        <w:rPr>
          <w:b w:val="0"/>
          <w:color w:val="000000"/>
          <w:szCs w:val="22"/>
          <w:lang w:val="x-none" w:eastAsia="x-none"/>
        </w:rPr>
        <w:t xml:space="preserve"> </w:t>
      </w:r>
      <w:r w:rsidRPr="002F5E36">
        <w:rPr>
          <w:rFonts w:cs="Sylfaen"/>
          <w:b w:val="0"/>
          <w:color w:val="000000"/>
          <w:szCs w:val="22"/>
          <w:lang w:val="x-none" w:eastAsia="x-none"/>
        </w:rPr>
        <w:t>մեկը՝</w:t>
      </w:r>
      <w:r w:rsidRPr="002F5E36">
        <w:rPr>
          <w:b w:val="0"/>
          <w:color w:val="000000"/>
          <w:szCs w:val="22"/>
          <w:lang w:val="x-none" w:eastAsia="x-none"/>
        </w:rPr>
        <w:t xml:space="preserve"> </w:t>
      </w:r>
      <w:r w:rsidRPr="002F5E36">
        <w:rPr>
          <w:rFonts w:cs="Sylfaen"/>
          <w:b w:val="0"/>
          <w:color w:val="000000"/>
          <w:szCs w:val="22"/>
          <w:lang w:val="x-none" w:eastAsia="x-none"/>
        </w:rPr>
        <w:t>եկամուտների</w:t>
      </w:r>
      <w:r w:rsidRPr="002F5E36">
        <w:rPr>
          <w:b w:val="0"/>
          <w:color w:val="000000"/>
          <w:szCs w:val="22"/>
          <w:lang w:val="x-none" w:eastAsia="x-none"/>
        </w:rPr>
        <w:t xml:space="preserve"> </w:t>
      </w:r>
      <w:r w:rsidRPr="002F5E36">
        <w:rPr>
          <w:rFonts w:cs="Sylfaen"/>
          <w:b w:val="0"/>
          <w:color w:val="000000"/>
          <w:szCs w:val="22"/>
          <w:lang w:val="x-none" w:eastAsia="x-none"/>
        </w:rPr>
        <w:t>վերաբաշխման</w:t>
      </w:r>
      <w:r w:rsidRPr="002F5E36">
        <w:rPr>
          <w:b w:val="0"/>
          <w:color w:val="000000"/>
          <w:szCs w:val="22"/>
          <w:lang w:val="en-US" w:eastAsia="x-none"/>
        </w:rPr>
        <w:t xml:space="preserve"> </w:t>
      </w:r>
      <w:r w:rsidRPr="002F5E36">
        <w:rPr>
          <w:rFonts w:cs="Sylfaen"/>
          <w:b w:val="0"/>
          <w:color w:val="000000"/>
          <w:szCs w:val="22"/>
          <w:lang w:val="x-none" w:eastAsia="x-none"/>
        </w:rPr>
        <w:t>գործառույթը</w:t>
      </w:r>
      <w:r w:rsidRPr="002F5E36">
        <w:rPr>
          <w:rFonts w:cs="Sylfaen"/>
          <w:b w:val="0"/>
          <w:color w:val="000000"/>
          <w:szCs w:val="22"/>
          <w:lang w:val="en-US" w:eastAsia="x-none"/>
        </w:rPr>
        <w:t>,</w:t>
      </w:r>
      <w:r w:rsidRPr="002F5E36">
        <w:rPr>
          <w:b w:val="0"/>
          <w:color w:val="000000"/>
          <w:szCs w:val="22"/>
          <w:lang w:val="x-none" w:eastAsia="x-none"/>
        </w:rPr>
        <w:t xml:space="preserve"> </w:t>
      </w:r>
      <w:r w:rsidRPr="002F5E36">
        <w:rPr>
          <w:rFonts w:cs="Sylfaen"/>
          <w:b w:val="0"/>
          <w:color w:val="000000"/>
          <w:szCs w:val="22"/>
          <w:lang w:val="x-none" w:eastAsia="x-none"/>
        </w:rPr>
        <w:t>ամբողջությամբ</w:t>
      </w:r>
      <w:r w:rsidRPr="002F5E36">
        <w:rPr>
          <w:b w:val="0"/>
          <w:color w:val="000000"/>
          <w:szCs w:val="22"/>
          <w:lang w:val="x-none" w:eastAsia="x-none"/>
        </w:rPr>
        <w:t xml:space="preserve"> </w:t>
      </w:r>
      <w:r w:rsidRPr="002F5E36">
        <w:rPr>
          <w:rFonts w:cs="Sylfaen"/>
          <w:b w:val="0"/>
          <w:color w:val="000000"/>
          <w:szCs w:val="22"/>
          <w:lang w:val="x-none" w:eastAsia="x-none"/>
        </w:rPr>
        <w:t>և</w:t>
      </w:r>
      <w:r w:rsidRPr="002F5E36">
        <w:rPr>
          <w:b w:val="0"/>
          <w:color w:val="000000"/>
          <w:szCs w:val="22"/>
          <w:lang w:val="x-none" w:eastAsia="x-none"/>
        </w:rPr>
        <w:t xml:space="preserve"> </w:t>
      </w:r>
      <w:r w:rsidRPr="002F5E36">
        <w:rPr>
          <w:rFonts w:cs="Sylfaen"/>
          <w:b w:val="0"/>
          <w:color w:val="000000"/>
          <w:szCs w:val="22"/>
          <w:lang w:val="x-none" w:eastAsia="x-none"/>
        </w:rPr>
        <w:t>հասցեական</w:t>
      </w:r>
      <w:r w:rsidRPr="002F5E36">
        <w:rPr>
          <w:b w:val="0"/>
          <w:color w:val="000000"/>
          <w:szCs w:val="22"/>
          <w:lang w:val="x-none" w:eastAsia="x-none"/>
        </w:rPr>
        <w:t xml:space="preserve"> </w:t>
      </w:r>
      <w:r w:rsidRPr="002F5E36">
        <w:rPr>
          <w:rFonts w:cs="Sylfaen"/>
          <w:b w:val="0"/>
          <w:color w:val="000000"/>
          <w:szCs w:val="22"/>
          <w:lang w:val="x-none" w:eastAsia="x-none"/>
        </w:rPr>
        <w:t>ձևով</w:t>
      </w:r>
      <w:r w:rsidRPr="002F5E36">
        <w:rPr>
          <w:b w:val="0"/>
          <w:color w:val="000000"/>
          <w:szCs w:val="22"/>
          <w:lang w:val="x-none" w:eastAsia="x-none"/>
        </w:rPr>
        <w:t xml:space="preserve"> </w:t>
      </w:r>
      <w:r w:rsidRPr="002F5E36">
        <w:rPr>
          <w:rFonts w:cs="Sylfaen"/>
          <w:b w:val="0"/>
          <w:color w:val="000000"/>
          <w:szCs w:val="22"/>
          <w:lang w:val="x-none" w:eastAsia="x-none"/>
        </w:rPr>
        <w:t>չի</w:t>
      </w:r>
      <w:r w:rsidRPr="002F5E36">
        <w:rPr>
          <w:b w:val="0"/>
          <w:color w:val="000000"/>
          <w:szCs w:val="22"/>
          <w:lang w:val="x-none" w:eastAsia="x-none"/>
        </w:rPr>
        <w:t xml:space="preserve"> </w:t>
      </w:r>
      <w:r w:rsidRPr="002F5E36">
        <w:rPr>
          <w:rFonts w:cs="Sylfaen"/>
          <w:b w:val="0"/>
          <w:color w:val="000000"/>
          <w:szCs w:val="22"/>
          <w:lang w:val="x-none" w:eastAsia="x-none"/>
        </w:rPr>
        <w:t>իրականացվում</w:t>
      </w:r>
      <w:r w:rsidRPr="002F5E36">
        <w:rPr>
          <w:b w:val="0"/>
          <w:color w:val="000000"/>
          <w:szCs w:val="22"/>
          <w:lang w:val="x-none" w:eastAsia="x-none"/>
        </w:rPr>
        <w:t>:</w:t>
      </w:r>
    </w:p>
    <w:p w14:paraId="40FFD4C8" w14:textId="77777777" w:rsidR="002F5E36" w:rsidRPr="002F5E36" w:rsidRDefault="002F5E36" w:rsidP="00347B32">
      <w:pPr>
        <w:shd w:val="clear" w:color="auto" w:fill="FFFFFF"/>
        <w:rPr>
          <w:color w:val="000000"/>
          <w:szCs w:val="22"/>
          <w:lang w:val="en-US" w:eastAsia="x-none"/>
        </w:rPr>
      </w:pPr>
    </w:p>
    <w:p w14:paraId="3192C749" w14:textId="77777777" w:rsidR="002F5E36" w:rsidRPr="002F5E36" w:rsidRDefault="002F5E36" w:rsidP="00347B32">
      <w:pPr>
        <w:shd w:val="clear" w:color="auto" w:fill="FFFFFF"/>
        <w:rPr>
          <w:color w:val="000000"/>
          <w:szCs w:val="22"/>
          <w:u w:val="single"/>
          <w:lang w:val="en-US" w:eastAsia="x-none"/>
        </w:rPr>
      </w:pPr>
      <w:r w:rsidRPr="002F5E36">
        <w:rPr>
          <w:color w:val="000000"/>
          <w:szCs w:val="22"/>
          <w:u w:val="single"/>
          <w:lang w:val="en-US" w:eastAsia="x-none"/>
        </w:rPr>
        <w:t>Հարկային ծախսերի գնահատականները ըստ հարկատեսակների ու արտոնությունների հիմնական տեսակների.</w:t>
      </w:r>
    </w:p>
    <w:p w14:paraId="66F4120F" w14:textId="77777777" w:rsidR="002F5E36" w:rsidRPr="002F5E36" w:rsidRDefault="002F5E36" w:rsidP="00347B32">
      <w:pPr>
        <w:rPr>
          <w:rFonts w:cs="Sylfaen"/>
          <w:b w:val="0"/>
          <w:iCs/>
          <w:color w:val="000000"/>
          <w:szCs w:val="22"/>
          <w:lang w:val="en-US" w:eastAsia="en-US"/>
        </w:rPr>
      </w:pPr>
      <w:r w:rsidRPr="002F5E36">
        <w:rPr>
          <w:rFonts w:cs="Sylfaen"/>
          <w:b w:val="0"/>
          <w:iCs/>
          <w:color w:val="000000"/>
          <w:szCs w:val="22"/>
          <w:lang w:eastAsia="en-US"/>
        </w:rPr>
        <w:t>Սույն</w:t>
      </w:r>
      <w:r w:rsidRPr="002F5E36">
        <w:rPr>
          <w:rFonts w:cs="Sylfaen"/>
          <w:b w:val="0"/>
          <w:iCs/>
          <w:color w:val="000000"/>
          <w:szCs w:val="22"/>
          <w:lang w:val="en-US" w:eastAsia="en-US"/>
        </w:rPr>
        <w:t xml:space="preserve"> </w:t>
      </w:r>
      <w:r w:rsidRPr="002F5E36">
        <w:rPr>
          <w:rFonts w:cs="Sylfaen"/>
          <w:b w:val="0"/>
          <w:iCs/>
          <w:color w:val="000000"/>
          <w:szCs w:val="22"/>
          <w:lang w:eastAsia="en-US"/>
        </w:rPr>
        <w:t>հաշվետվությամբ</w:t>
      </w:r>
      <w:r w:rsidRPr="002F5E36">
        <w:rPr>
          <w:rFonts w:cs="Sylfaen"/>
          <w:b w:val="0"/>
          <w:iCs/>
          <w:color w:val="000000"/>
          <w:szCs w:val="22"/>
          <w:lang w:val="en-US" w:eastAsia="en-US"/>
        </w:rPr>
        <w:t xml:space="preserve"> </w:t>
      </w:r>
      <w:r w:rsidRPr="002F5E36">
        <w:rPr>
          <w:rFonts w:cs="Sylfaen"/>
          <w:b w:val="0"/>
          <w:iCs/>
          <w:color w:val="000000"/>
          <w:szCs w:val="22"/>
          <w:lang w:eastAsia="en-US"/>
        </w:rPr>
        <w:t>ներկայացված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է</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արտոնությունների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հետևանքով</w:t>
      </w:r>
      <w:r w:rsidRPr="002F5E36">
        <w:rPr>
          <w:rFonts w:cs="Sylfaen"/>
          <w:b w:val="0"/>
          <w:iCs/>
          <w:color w:val="000000"/>
          <w:szCs w:val="22"/>
          <w:lang w:val="en-US" w:eastAsia="en-US"/>
        </w:rPr>
        <w:t xml:space="preserve"> </w:t>
      </w:r>
      <w:r w:rsidRPr="002F5E36">
        <w:rPr>
          <w:rFonts w:cs="Sylfaen"/>
          <w:b w:val="0"/>
          <w:iCs/>
          <w:color w:val="000000"/>
          <w:szCs w:val="22"/>
          <w:lang w:eastAsia="en-US"/>
        </w:rPr>
        <w:t>պետական</w:t>
      </w:r>
      <w:r w:rsidRPr="002F5E36">
        <w:rPr>
          <w:rFonts w:cs="Sylfaen"/>
          <w:b w:val="0"/>
          <w:iCs/>
          <w:color w:val="000000"/>
          <w:szCs w:val="22"/>
          <w:lang w:val="en-US" w:eastAsia="en-US"/>
        </w:rPr>
        <w:t xml:space="preserve"> </w:t>
      </w:r>
      <w:r w:rsidRPr="002F5E36">
        <w:rPr>
          <w:rFonts w:cs="Sylfaen"/>
          <w:b w:val="0"/>
          <w:iCs/>
          <w:color w:val="000000"/>
          <w:szCs w:val="22"/>
          <w:lang w:eastAsia="en-US"/>
        </w:rPr>
        <w:t>բյուջե</w:t>
      </w:r>
      <w:r w:rsidRPr="002F5E36">
        <w:rPr>
          <w:rFonts w:cs="Sylfaen"/>
          <w:b w:val="0"/>
          <w:iCs/>
          <w:color w:val="000000"/>
          <w:szCs w:val="22"/>
          <w:lang w:val="en-US" w:eastAsia="en-US"/>
        </w:rPr>
        <w:t xml:space="preserve"> </w:t>
      </w:r>
      <w:r w:rsidRPr="002F5E36">
        <w:rPr>
          <w:rFonts w:cs="Sylfaen"/>
          <w:b w:val="0"/>
          <w:iCs/>
          <w:color w:val="000000"/>
          <w:szCs w:val="22"/>
          <w:lang w:eastAsia="en-US"/>
        </w:rPr>
        <w:t>չգանձվող</w:t>
      </w:r>
      <w:r w:rsidRPr="002F5E36">
        <w:rPr>
          <w:rFonts w:cs="Sylfaen"/>
          <w:b w:val="0"/>
          <w:iCs/>
          <w:color w:val="000000"/>
          <w:szCs w:val="22"/>
          <w:lang w:val="en-US" w:eastAsia="en-US"/>
        </w:rPr>
        <w:t xml:space="preserve"> (</w:t>
      </w:r>
      <w:r w:rsidRPr="002F5E36">
        <w:rPr>
          <w:rFonts w:cs="Sylfaen"/>
          <w:b w:val="0"/>
          <w:iCs/>
          <w:color w:val="000000"/>
          <w:szCs w:val="22"/>
          <w:lang w:eastAsia="en-US"/>
        </w:rPr>
        <w:t>պակաս</w:t>
      </w:r>
      <w:r w:rsidRPr="002F5E36">
        <w:rPr>
          <w:rFonts w:cs="Sylfaen"/>
          <w:b w:val="0"/>
          <w:iCs/>
          <w:color w:val="000000"/>
          <w:szCs w:val="22"/>
          <w:lang w:val="en-US" w:eastAsia="en-US"/>
        </w:rPr>
        <w:t xml:space="preserve"> </w:t>
      </w:r>
      <w:r w:rsidRPr="002F5E36">
        <w:rPr>
          <w:rFonts w:cs="Sylfaen"/>
          <w:b w:val="0"/>
          <w:iCs/>
          <w:color w:val="000000"/>
          <w:szCs w:val="22"/>
          <w:lang w:eastAsia="en-US"/>
        </w:rPr>
        <w:t>գանձվող</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եկամուտների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մակրոտնտեսական</w:t>
      </w:r>
      <w:r w:rsidRPr="002F5E36">
        <w:rPr>
          <w:rFonts w:cs="Sylfaen"/>
          <w:b w:val="0"/>
          <w:iCs/>
          <w:color w:val="000000"/>
          <w:szCs w:val="22"/>
          <w:lang w:val="en-US" w:eastAsia="en-US"/>
        </w:rPr>
        <w:t xml:space="preserve"> </w:t>
      </w:r>
      <w:r w:rsidRPr="002F5E36">
        <w:rPr>
          <w:rFonts w:cs="Sylfaen"/>
          <w:b w:val="0"/>
          <w:iCs/>
          <w:color w:val="000000"/>
          <w:szCs w:val="22"/>
          <w:lang w:eastAsia="en-US"/>
        </w:rPr>
        <w:t>գնահատականը՝</w:t>
      </w:r>
      <w:r w:rsidRPr="002F5E36">
        <w:rPr>
          <w:rFonts w:cs="Sylfaen"/>
          <w:b w:val="0"/>
          <w:iCs/>
          <w:color w:val="000000"/>
          <w:szCs w:val="22"/>
          <w:lang w:val="en-US" w:eastAsia="en-US"/>
        </w:rPr>
        <w:t xml:space="preserve"> </w:t>
      </w:r>
      <w:r w:rsidRPr="002F5E36">
        <w:rPr>
          <w:rFonts w:cs="Sylfaen"/>
          <w:b w:val="0"/>
          <w:iCs/>
          <w:color w:val="000000"/>
          <w:szCs w:val="22"/>
          <w:lang w:eastAsia="en-US"/>
        </w:rPr>
        <w:t>տնտեսության</w:t>
      </w:r>
      <w:r w:rsidRPr="002F5E36">
        <w:rPr>
          <w:rFonts w:cs="Sylfaen"/>
          <w:b w:val="0"/>
          <w:iCs/>
          <w:color w:val="000000"/>
          <w:szCs w:val="22"/>
          <w:lang w:val="en-US" w:eastAsia="en-US"/>
        </w:rPr>
        <w:t xml:space="preserve"> </w:t>
      </w:r>
      <w:r w:rsidRPr="002F5E36">
        <w:rPr>
          <w:rFonts w:cs="Sylfaen"/>
          <w:b w:val="0"/>
          <w:iCs/>
          <w:color w:val="000000"/>
          <w:szCs w:val="22"/>
          <w:lang w:eastAsia="en-US"/>
        </w:rPr>
        <w:t>այն</w:t>
      </w:r>
      <w:r w:rsidRPr="002F5E36">
        <w:rPr>
          <w:rFonts w:cs="Sylfaen"/>
          <w:b w:val="0"/>
          <w:iCs/>
          <w:color w:val="000000"/>
          <w:szCs w:val="22"/>
          <w:lang w:val="en-US" w:eastAsia="en-US"/>
        </w:rPr>
        <w:t xml:space="preserve"> </w:t>
      </w:r>
      <w:r w:rsidRPr="002F5E36">
        <w:rPr>
          <w:rFonts w:cs="Sylfaen"/>
          <w:b w:val="0"/>
          <w:iCs/>
          <w:color w:val="000000"/>
          <w:szCs w:val="22"/>
          <w:lang w:eastAsia="en-US"/>
        </w:rPr>
        <w:t>ոլորտների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մասով</w:t>
      </w:r>
      <w:r w:rsidRPr="002F5E36">
        <w:rPr>
          <w:rFonts w:cs="Sylfaen"/>
          <w:b w:val="0"/>
          <w:iCs/>
          <w:color w:val="000000"/>
          <w:szCs w:val="22"/>
          <w:lang w:val="en-US" w:eastAsia="en-US"/>
        </w:rPr>
        <w:t xml:space="preserve">, </w:t>
      </w:r>
      <w:r w:rsidRPr="002F5E36">
        <w:rPr>
          <w:rFonts w:cs="Sylfaen"/>
          <w:b w:val="0"/>
          <w:iCs/>
          <w:color w:val="000000"/>
          <w:szCs w:val="22"/>
          <w:lang w:eastAsia="en-US"/>
        </w:rPr>
        <w:t>որոնք</w:t>
      </w:r>
      <w:r w:rsidRPr="002F5E36">
        <w:rPr>
          <w:rFonts w:cs="Sylfaen"/>
          <w:b w:val="0"/>
          <w:iCs/>
          <w:color w:val="000000"/>
          <w:szCs w:val="22"/>
          <w:lang w:val="en-US" w:eastAsia="en-US"/>
        </w:rPr>
        <w:t xml:space="preserve"> </w:t>
      </w:r>
      <w:r w:rsidRPr="002F5E36">
        <w:rPr>
          <w:rFonts w:cs="Sylfaen"/>
          <w:b w:val="0"/>
          <w:iCs/>
          <w:color w:val="000000"/>
          <w:szCs w:val="22"/>
          <w:lang w:eastAsia="en-US"/>
        </w:rPr>
        <w:t>օգտվում</w:t>
      </w:r>
      <w:r w:rsidRPr="002F5E36">
        <w:rPr>
          <w:rFonts w:cs="Sylfaen"/>
          <w:b w:val="0"/>
          <w:iCs/>
          <w:color w:val="000000"/>
          <w:szCs w:val="22"/>
          <w:lang w:val="en-US" w:eastAsia="en-US"/>
        </w:rPr>
        <w:t xml:space="preserve"> </w:t>
      </w:r>
      <w:r w:rsidRPr="002F5E36">
        <w:rPr>
          <w:rFonts w:cs="Sylfaen"/>
          <w:b w:val="0"/>
          <w:iCs/>
          <w:color w:val="000000"/>
          <w:szCs w:val="22"/>
          <w:lang w:eastAsia="en-US"/>
        </w:rPr>
        <w:t>են</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արտոնություններից</w:t>
      </w:r>
      <w:r w:rsidRPr="002F5E36">
        <w:rPr>
          <w:rFonts w:cs="Sylfaen"/>
          <w:b w:val="0"/>
          <w:iCs/>
          <w:color w:val="000000"/>
          <w:szCs w:val="22"/>
          <w:lang w:val="en-US" w:eastAsia="en-US"/>
        </w:rPr>
        <w:t xml:space="preserve">: Միաժամանակ, </w:t>
      </w:r>
      <w:r w:rsidRPr="002F5E36">
        <w:rPr>
          <w:rFonts w:cs="Sylfaen"/>
          <w:b w:val="0"/>
          <w:iCs/>
          <w:color w:val="000000"/>
          <w:szCs w:val="22"/>
          <w:lang w:eastAsia="en-US"/>
        </w:rPr>
        <w:t>գնահատվել</w:t>
      </w:r>
      <w:r w:rsidRPr="002F5E36">
        <w:rPr>
          <w:rFonts w:cs="Sylfaen"/>
          <w:b w:val="0"/>
          <w:iCs/>
          <w:color w:val="000000"/>
          <w:szCs w:val="22"/>
          <w:lang w:val="en-US" w:eastAsia="en-US"/>
        </w:rPr>
        <w:t xml:space="preserve"> </w:t>
      </w:r>
      <w:r w:rsidRPr="002F5E36">
        <w:rPr>
          <w:rFonts w:cs="Sylfaen"/>
          <w:b w:val="0"/>
          <w:iCs/>
          <w:color w:val="000000"/>
          <w:szCs w:val="22"/>
          <w:lang w:eastAsia="en-US"/>
        </w:rPr>
        <w:t>են</w:t>
      </w:r>
      <w:r w:rsidRPr="002F5E36">
        <w:rPr>
          <w:rFonts w:cs="Sylfaen"/>
          <w:b w:val="0"/>
          <w:iCs/>
          <w:color w:val="000000"/>
          <w:szCs w:val="22"/>
          <w:lang w:val="en-US" w:eastAsia="en-US"/>
        </w:rPr>
        <w:t xml:space="preserve"> </w:t>
      </w:r>
      <w:r w:rsidRPr="002F5E36">
        <w:rPr>
          <w:rFonts w:cs="Sylfaen"/>
          <w:b w:val="0"/>
          <w:iCs/>
          <w:color w:val="000000"/>
          <w:szCs w:val="22"/>
          <w:lang w:eastAsia="en-US"/>
        </w:rPr>
        <w:t>մի</w:t>
      </w:r>
      <w:r w:rsidRPr="002F5E36">
        <w:rPr>
          <w:rFonts w:cs="Sylfaen"/>
          <w:b w:val="0"/>
          <w:iCs/>
          <w:color w:val="000000"/>
          <w:szCs w:val="22"/>
          <w:lang w:val="en-US" w:eastAsia="en-US"/>
        </w:rPr>
        <w:t xml:space="preserve"> </w:t>
      </w:r>
      <w:r w:rsidRPr="002F5E36">
        <w:rPr>
          <w:rFonts w:cs="Sylfaen"/>
          <w:b w:val="0"/>
          <w:iCs/>
          <w:color w:val="000000"/>
          <w:szCs w:val="22"/>
          <w:lang w:eastAsia="en-US"/>
        </w:rPr>
        <w:t>քանի</w:t>
      </w:r>
      <w:r w:rsidRPr="002F5E36">
        <w:rPr>
          <w:rFonts w:cs="Sylfaen"/>
          <w:b w:val="0"/>
          <w:iCs/>
          <w:color w:val="000000"/>
          <w:szCs w:val="22"/>
          <w:lang w:val="en-US" w:eastAsia="en-US"/>
        </w:rPr>
        <w:t xml:space="preserve"> </w:t>
      </w:r>
      <w:r w:rsidRPr="002F5E36">
        <w:rPr>
          <w:rFonts w:cs="Sylfaen"/>
          <w:b w:val="0"/>
          <w:iCs/>
          <w:color w:val="000000"/>
          <w:szCs w:val="22"/>
          <w:lang w:eastAsia="en-US"/>
        </w:rPr>
        <w:t>այլ</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արտոնությունների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ոչ</w:t>
      </w:r>
      <w:r w:rsidRPr="002F5E36">
        <w:rPr>
          <w:rFonts w:cs="Sylfaen"/>
          <w:b w:val="0"/>
          <w:iCs/>
          <w:color w:val="000000"/>
          <w:szCs w:val="22"/>
          <w:lang w:val="en-US" w:eastAsia="en-US"/>
        </w:rPr>
        <w:t xml:space="preserve"> </w:t>
      </w:r>
      <w:r w:rsidRPr="002F5E36">
        <w:rPr>
          <w:rFonts w:cs="Sylfaen"/>
          <w:b w:val="0"/>
          <w:iCs/>
          <w:color w:val="000000"/>
          <w:szCs w:val="22"/>
          <w:lang w:eastAsia="en-US"/>
        </w:rPr>
        <w:t>ոլորտային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նշանակության</w:t>
      </w:r>
      <w:r w:rsidRPr="002F5E36">
        <w:rPr>
          <w:rFonts w:cs="Sylfaen"/>
          <w:b w:val="0"/>
          <w:iCs/>
          <w:color w:val="000000"/>
          <w:szCs w:val="22"/>
          <w:lang w:val="en-US" w:eastAsia="en-US"/>
        </w:rPr>
        <w:t xml:space="preserve">) </w:t>
      </w:r>
      <w:r w:rsidRPr="002F5E36">
        <w:rPr>
          <w:rFonts w:cs="Sylfaen"/>
          <w:b w:val="0"/>
          <w:iCs/>
          <w:color w:val="000000"/>
          <w:szCs w:val="22"/>
          <w:lang w:eastAsia="en-US"/>
        </w:rPr>
        <w:t>կիրառության</w:t>
      </w:r>
      <w:r w:rsidRPr="002F5E36">
        <w:rPr>
          <w:rFonts w:cs="Sylfaen"/>
          <w:b w:val="0"/>
          <w:iCs/>
          <w:color w:val="000000"/>
          <w:szCs w:val="22"/>
          <w:lang w:val="en-US" w:eastAsia="en-US"/>
        </w:rPr>
        <w:t xml:space="preserve"> </w:t>
      </w:r>
      <w:r w:rsidRPr="002F5E36">
        <w:rPr>
          <w:rFonts w:cs="Sylfaen"/>
          <w:b w:val="0"/>
          <w:iCs/>
          <w:color w:val="000000"/>
          <w:szCs w:val="22"/>
          <w:lang w:eastAsia="en-US"/>
        </w:rPr>
        <w:t>հետևանքով</w:t>
      </w:r>
      <w:r w:rsidRPr="002F5E36">
        <w:rPr>
          <w:rFonts w:cs="Sylfaen"/>
          <w:b w:val="0"/>
          <w:iCs/>
          <w:color w:val="000000"/>
          <w:szCs w:val="22"/>
          <w:lang w:val="en-US" w:eastAsia="en-US"/>
        </w:rPr>
        <w:t xml:space="preserve"> </w:t>
      </w:r>
      <w:r w:rsidRPr="002F5E36">
        <w:rPr>
          <w:rFonts w:cs="Sylfaen"/>
          <w:b w:val="0"/>
          <w:iCs/>
          <w:color w:val="000000"/>
          <w:szCs w:val="22"/>
          <w:lang w:eastAsia="en-US"/>
        </w:rPr>
        <w:t>պետական</w:t>
      </w:r>
      <w:r w:rsidRPr="002F5E36">
        <w:rPr>
          <w:rFonts w:cs="Sylfaen"/>
          <w:b w:val="0"/>
          <w:iCs/>
          <w:color w:val="000000"/>
          <w:szCs w:val="22"/>
          <w:lang w:val="en-US" w:eastAsia="en-US"/>
        </w:rPr>
        <w:t xml:space="preserve"> </w:t>
      </w:r>
      <w:r w:rsidRPr="002F5E36">
        <w:rPr>
          <w:rFonts w:cs="Sylfaen"/>
          <w:b w:val="0"/>
          <w:iCs/>
          <w:color w:val="000000"/>
          <w:szCs w:val="22"/>
          <w:lang w:eastAsia="en-US"/>
        </w:rPr>
        <w:t>բյուջեի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եկամուտների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կորուստները</w:t>
      </w:r>
      <w:r w:rsidRPr="002F5E36">
        <w:rPr>
          <w:rFonts w:cs="Sylfaen"/>
          <w:b w:val="0"/>
          <w:iCs/>
          <w:color w:val="000000"/>
          <w:szCs w:val="22"/>
          <w:lang w:val="en-US" w:eastAsia="en-US"/>
        </w:rPr>
        <w:t>: 202</w:t>
      </w:r>
      <w:r w:rsidRPr="002F5E36">
        <w:rPr>
          <w:rFonts w:cs="Sylfaen"/>
          <w:b w:val="0"/>
          <w:iCs/>
          <w:color w:val="000000"/>
          <w:szCs w:val="22"/>
          <w:lang w:val="hy-AM" w:eastAsia="en-US"/>
        </w:rPr>
        <w:t>4</w:t>
      </w:r>
      <w:r w:rsidRPr="002F5E36">
        <w:rPr>
          <w:rFonts w:cs="Sylfaen"/>
          <w:b w:val="0"/>
          <w:iCs/>
          <w:color w:val="000000"/>
          <w:szCs w:val="22"/>
          <w:lang w:val="en-US" w:eastAsia="en-US"/>
        </w:rPr>
        <w:t xml:space="preserve"> թվականի հարկային ծախսերի գնահատականը ներառում է նաև ԱԱՀ-ի հաշվարկով արտացոլված մի շարք այլ հարկային արտոնությունների գնահատականները:</w:t>
      </w:r>
    </w:p>
    <w:p w14:paraId="3C65C1C9" w14:textId="77777777" w:rsidR="002F5E36" w:rsidRPr="002F5E36" w:rsidRDefault="002F5E36" w:rsidP="00347B32">
      <w:pPr>
        <w:rPr>
          <w:rFonts w:cs="Sylfaen"/>
          <w:b w:val="0"/>
          <w:iCs/>
          <w:color w:val="000000"/>
          <w:szCs w:val="22"/>
          <w:lang w:val="hy-AM" w:eastAsia="en-US"/>
        </w:rPr>
      </w:pPr>
      <w:r w:rsidRPr="002F5E36">
        <w:rPr>
          <w:rFonts w:cs="Sylfaen"/>
          <w:b w:val="0"/>
          <w:iCs/>
          <w:color w:val="000000"/>
          <w:szCs w:val="22"/>
          <w:lang w:val="en-US" w:eastAsia="en-US"/>
        </w:rPr>
        <w:t xml:space="preserve">Գնահատման արդյունքների համաձայն, հարկային ծախսերի տարեկան մեծությունը կազմել է </w:t>
      </w:r>
      <w:r w:rsidRPr="002F5E36">
        <w:rPr>
          <w:rFonts w:cs="Sylfaen"/>
          <w:iCs/>
          <w:color w:val="000000"/>
          <w:szCs w:val="22"/>
          <w:lang w:val="en-US" w:eastAsia="en-US"/>
        </w:rPr>
        <w:t>681,339 մլն. դրամ</w:t>
      </w:r>
      <w:r w:rsidRPr="002F5E36">
        <w:rPr>
          <w:rFonts w:cs="Sylfaen"/>
          <w:b w:val="0"/>
          <w:iCs/>
          <w:color w:val="000000"/>
          <w:szCs w:val="22"/>
          <w:lang w:val="en-US" w:eastAsia="en-US"/>
        </w:rPr>
        <w:t xml:space="preserve">, </w:t>
      </w:r>
      <w:r w:rsidRPr="002F5E36">
        <w:rPr>
          <w:rFonts w:cs="Sylfaen"/>
          <w:b w:val="0"/>
          <w:iCs/>
          <w:color w:val="000000"/>
          <w:szCs w:val="22"/>
          <w:lang w:val="hy-AM" w:eastAsia="en-US"/>
        </w:rPr>
        <w:t xml:space="preserve">ինչը </w:t>
      </w:r>
      <w:r w:rsidRPr="002F5E36">
        <w:rPr>
          <w:rFonts w:cs="Sylfaen"/>
          <w:b w:val="0"/>
          <w:iCs/>
          <w:color w:val="000000"/>
          <w:szCs w:val="22"/>
          <w:lang w:val="en-US" w:eastAsia="en-US"/>
        </w:rPr>
        <w:t>96,576</w:t>
      </w:r>
      <w:r w:rsidRPr="002F5E36">
        <w:rPr>
          <w:rFonts w:cs="Sylfaen"/>
          <w:b w:val="0"/>
          <w:iCs/>
          <w:color w:val="000000"/>
          <w:szCs w:val="22"/>
          <w:lang w:val="hy-AM" w:eastAsia="en-US"/>
        </w:rPr>
        <w:t xml:space="preserve"> մլն. դրամով կամ </w:t>
      </w:r>
      <w:r w:rsidRPr="002F5E36">
        <w:rPr>
          <w:rFonts w:cs="Sylfaen"/>
          <w:b w:val="0"/>
          <w:iCs/>
          <w:color w:val="000000"/>
          <w:szCs w:val="22"/>
          <w:lang w:val="en-US" w:eastAsia="en-US"/>
        </w:rPr>
        <w:t>16.5</w:t>
      </w:r>
      <w:r w:rsidRPr="002F5E36">
        <w:rPr>
          <w:rFonts w:cs="Sylfaen"/>
          <w:b w:val="0"/>
          <w:iCs/>
          <w:color w:val="000000"/>
          <w:szCs w:val="22"/>
          <w:lang w:val="hy-AM" w:eastAsia="en-US"/>
        </w:rPr>
        <w:t xml:space="preserve"> տոկոսով ավելին է, քան նախորդ տարվա գնահատականը: Ա</w:t>
      </w:r>
      <w:r w:rsidRPr="002F5E36">
        <w:rPr>
          <w:rFonts w:cs="Sylfaen"/>
          <w:b w:val="0"/>
          <w:iCs/>
          <w:color w:val="000000"/>
          <w:szCs w:val="22"/>
          <w:lang w:val="en-US" w:eastAsia="en-US"/>
        </w:rPr>
        <w:t>վելացված արժեքի հարկի գծով</w:t>
      </w:r>
      <w:r w:rsidRPr="002F5E36">
        <w:rPr>
          <w:rFonts w:cs="Sylfaen"/>
          <w:b w:val="0"/>
          <w:iCs/>
          <w:color w:val="000000"/>
          <w:szCs w:val="22"/>
          <w:lang w:val="hy-AM" w:eastAsia="en-US"/>
        </w:rPr>
        <w:t xml:space="preserve"> հարկային ծախսերը գնահատվել են </w:t>
      </w:r>
      <w:r w:rsidRPr="002F5E36">
        <w:rPr>
          <w:rFonts w:cs="Sylfaen"/>
          <w:iCs/>
          <w:color w:val="000000"/>
          <w:szCs w:val="22"/>
          <w:lang w:val="en-US" w:eastAsia="en-US"/>
        </w:rPr>
        <w:t>486,442 մլն. դրամ</w:t>
      </w:r>
      <w:r w:rsidRPr="002F5E36">
        <w:rPr>
          <w:rFonts w:cs="Sylfaen"/>
          <w:b w:val="0"/>
          <w:iCs/>
          <w:color w:val="000000"/>
          <w:szCs w:val="22"/>
          <w:lang w:val="en-US" w:eastAsia="en-US"/>
        </w:rPr>
        <w:t xml:space="preserve">, </w:t>
      </w:r>
      <w:r w:rsidRPr="002F5E36">
        <w:rPr>
          <w:rFonts w:cs="Sylfaen"/>
          <w:b w:val="0"/>
          <w:iCs/>
          <w:color w:val="000000"/>
          <w:szCs w:val="22"/>
          <w:lang w:val="hy-AM" w:eastAsia="en-US"/>
        </w:rPr>
        <w:t xml:space="preserve">ինչը </w:t>
      </w:r>
      <w:r w:rsidRPr="002F5E36">
        <w:rPr>
          <w:rFonts w:cs="Sylfaen"/>
          <w:b w:val="0"/>
          <w:iCs/>
          <w:color w:val="000000"/>
          <w:szCs w:val="22"/>
          <w:lang w:val="en-US" w:eastAsia="en-US"/>
        </w:rPr>
        <w:t>76,509</w:t>
      </w:r>
      <w:r w:rsidRPr="002F5E36">
        <w:rPr>
          <w:rFonts w:cs="Sylfaen"/>
          <w:b w:val="0"/>
          <w:iCs/>
          <w:color w:val="000000"/>
          <w:szCs w:val="22"/>
          <w:lang w:val="hy-AM" w:eastAsia="en-US"/>
        </w:rPr>
        <w:t xml:space="preserve"> մլն. դրամով կամ </w:t>
      </w:r>
      <w:r w:rsidRPr="002F5E36">
        <w:rPr>
          <w:rFonts w:cs="Sylfaen"/>
          <w:b w:val="0"/>
          <w:iCs/>
          <w:color w:val="000000"/>
          <w:szCs w:val="22"/>
          <w:lang w:val="en-US" w:eastAsia="en-US"/>
        </w:rPr>
        <w:t>18.7</w:t>
      </w:r>
      <w:r w:rsidRPr="002F5E36">
        <w:rPr>
          <w:rFonts w:cs="Sylfaen"/>
          <w:b w:val="0"/>
          <w:iCs/>
          <w:color w:val="000000"/>
          <w:szCs w:val="22"/>
          <w:lang w:val="hy-AM" w:eastAsia="en-US"/>
        </w:rPr>
        <w:t xml:space="preserve"> տոկոսով ավելին է, քան նախորդ տարվա գնահատականը: Շ</w:t>
      </w:r>
      <w:r w:rsidRPr="002F5E36">
        <w:rPr>
          <w:rFonts w:cs="Sylfaen"/>
          <w:b w:val="0"/>
          <w:iCs/>
          <w:color w:val="000000"/>
          <w:szCs w:val="22"/>
          <w:lang w:val="en-US" w:eastAsia="en-US"/>
        </w:rPr>
        <w:t>ահութահարկի գծով</w:t>
      </w:r>
      <w:r w:rsidRPr="002F5E36">
        <w:rPr>
          <w:rFonts w:cs="Sylfaen"/>
          <w:b w:val="0"/>
          <w:iCs/>
          <w:color w:val="000000"/>
          <w:szCs w:val="22"/>
          <w:lang w:val="hy-AM" w:eastAsia="en-US"/>
        </w:rPr>
        <w:t xml:space="preserve"> հարկային ծախսերը գնահատվել են </w:t>
      </w:r>
      <w:r w:rsidRPr="002F5E36">
        <w:rPr>
          <w:color w:val="000000"/>
          <w:szCs w:val="22"/>
          <w:lang w:val="en-US" w:eastAsia="en-US"/>
        </w:rPr>
        <w:t>94,345</w:t>
      </w:r>
      <w:r w:rsidRPr="002F5E36">
        <w:rPr>
          <w:i/>
          <w:szCs w:val="22"/>
          <w:lang w:val="en-US" w:eastAsia="en-US"/>
        </w:rPr>
        <w:t xml:space="preserve"> </w:t>
      </w:r>
      <w:r w:rsidRPr="002F5E36">
        <w:rPr>
          <w:rFonts w:cs="Sylfaen"/>
          <w:iCs/>
          <w:color w:val="000000"/>
          <w:szCs w:val="22"/>
          <w:lang w:val="en-US" w:eastAsia="en-US"/>
        </w:rPr>
        <w:t>մլն. դրամ</w:t>
      </w:r>
      <w:r w:rsidRPr="002F5E36">
        <w:rPr>
          <w:rFonts w:cs="Sylfaen"/>
          <w:b w:val="0"/>
          <w:iCs/>
          <w:color w:val="000000"/>
          <w:szCs w:val="22"/>
          <w:lang w:val="en-US" w:eastAsia="en-US"/>
        </w:rPr>
        <w:t>,</w:t>
      </w:r>
      <w:r w:rsidRPr="002F5E36">
        <w:rPr>
          <w:rFonts w:cs="Sylfaen"/>
          <w:b w:val="0"/>
          <w:iCs/>
          <w:color w:val="000000"/>
          <w:szCs w:val="22"/>
          <w:lang w:val="hy-AM" w:eastAsia="en-US"/>
        </w:rPr>
        <w:t xml:space="preserve"> ինչը </w:t>
      </w:r>
      <w:r w:rsidRPr="002F5E36">
        <w:rPr>
          <w:rFonts w:cs="Sylfaen"/>
          <w:b w:val="0"/>
          <w:iCs/>
          <w:color w:val="000000"/>
          <w:szCs w:val="22"/>
          <w:lang w:val="en-US" w:eastAsia="en-US"/>
        </w:rPr>
        <w:t>12,881</w:t>
      </w:r>
      <w:r w:rsidRPr="002F5E36">
        <w:rPr>
          <w:rFonts w:cs="Sylfaen"/>
          <w:b w:val="0"/>
          <w:iCs/>
          <w:color w:val="000000"/>
          <w:szCs w:val="22"/>
          <w:lang w:val="hy-AM" w:eastAsia="en-US"/>
        </w:rPr>
        <w:t xml:space="preserve"> մլն. դրամով կամ </w:t>
      </w:r>
      <w:r w:rsidRPr="002F5E36">
        <w:rPr>
          <w:rFonts w:cs="Sylfaen"/>
          <w:b w:val="0"/>
          <w:iCs/>
          <w:color w:val="000000"/>
          <w:szCs w:val="22"/>
          <w:lang w:val="en-US" w:eastAsia="en-US"/>
        </w:rPr>
        <w:t>15.8</w:t>
      </w:r>
      <w:r w:rsidRPr="002F5E36">
        <w:rPr>
          <w:rFonts w:cs="Sylfaen"/>
          <w:b w:val="0"/>
          <w:iCs/>
          <w:color w:val="000000"/>
          <w:szCs w:val="22"/>
          <w:lang w:val="hy-AM" w:eastAsia="en-US"/>
        </w:rPr>
        <w:t xml:space="preserve"> տոկոսով ավելին է, քան նախորդ տարվա գնահատականը: Ե</w:t>
      </w:r>
      <w:r w:rsidRPr="002F5E36">
        <w:rPr>
          <w:rFonts w:cs="Sylfaen"/>
          <w:b w:val="0"/>
          <w:iCs/>
          <w:color w:val="000000"/>
          <w:szCs w:val="22"/>
          <w:lang w:val="en-US" w:eastAsia="en-US"/>
        </w:rPr>
        <w:t>կամտային հարկի գծով</w:t>
      </w:r>
      <w:r w:rsidRPr="002F5E36">
        <w:rPr>
          <w:rFonts w:cs="Sylfaen"/>
          <w:b w:val="0"/>
          <w:iCs/>
          <w:color w:val="000000"/>
          <w:szCs w:val="22"/>
          <w:lang w:val="hy-AM" w:eastAsia="en-US"/>
        </w:rPr>
        <w:t xml:space="preserve"> հարկային ծախսերը գնահատվել են</w:t>
      </w:r>
      <w:r w:rsidRPr="002F5E36">
        <w:rPr>
          <w:rFonts w:cs="Sylfaen"/>
          <w:b w:val="0"/>
          <w:iCs/>
          <w:color w:val="000000"/>
          <w:szCs w:val="22"/>
          <w:lang w:val="en-US" w:eastAsia="en-US"/>
        </w:rPr>
        <w:t xml:space="preserve"> </w:t>
      </w:r>
      <w:r w:rsidRPr="002F5E36">
        <w:rPr>
          <w:color w:val="000000"/>
          <w:szCs w:val="22"/>
          <w:lang w:val="en-US" w:eastAsia="en-US"/>
        </w:rPr>
        <w:t>100,551</w:t>
      </w:r>
      <w:r w:rsidRPr="002F5E36">
        <w:rPr>
          <w:i/>
          <w:color w:val="000000"/>
          <w:szCs w:val="22"/>
          <w:lang w:val="en-US" w:eastAsia="en-US"/>
        </w:rPr>
        <w:t xml:space="preserve"> </w:t>
      </w:r>
      <w:r w:rsidRPr="002F5E36">
        <w:rPr>
          <w:rFonts w:cs="Sylfaen"/>
          <w:iCs/>
          <w:color w:val="000000"/>
          <w:szCs w:val="22"/>
          <w:lang w:val="en-US" w:eastAsia="en-US"/>
        </w:rPr>
        <w:t xml:space="preserve">մլն. </w:t>
      </w:r>
      <w:r w:rsidRPr="002F5E36">
        <w:rPr>
          <w:rFonts w:cs="Sylfaen"/>
          <w:iCs/>
          <w:color w:val="000000"/>
          <w:szCs w:val="22"/>
          <w:lang w:val="hy-AM" w:eastAsia="en-US"/>
        </w:rPr>
        <w:t>դ</w:t>
      </w:r>
      <w:r w:rsidRPr="002F5E36">
        <w:rPr>
          <w:rFonts w:cs="Sylfaen"/>
          <w:iCs/>
          <w:color w:val="000000"/>
          <w:szCs w:val="22"/>
          <w:lang w:val="en-US" w:eastAsia="en-US"/>
        </w:rPr>
        <w:t>րամ</w:t>
      </w:r>
      <w:r w:rsidRPr="002F5E36">
        <w:rPr>
          <w:rFonts w:cs="Sylfaen"/>
          <w:b w:val="0"/>
          <w:iCs/>
          <w:color w:val="000000"/>
          <w:szCs w:val="22"/>
          <w:lang w:val="hy-AM" w:eastAsia="en-US"/>
        </w:rPr>
        <w:t xml:space="preserve">, ինչը </w:t>
      </w:r>
      <w:r w:rsidRPr="002F5E36">
        <w:rPr>
          <w:rFonts w:cs="Sylfaen"/>
          <w:b w:val="0"/>
          <w:iCs/>
          <w:color w:val="000000"/>
          <w:szCs w:val="22"/>
          <w:lang w:val="en-US" w:eastAsia="en-US"/>
        </w:rPr>
        <w:t>7,187</w:t>
      </w:r>
      <w:r w:rsidRPr="002F5E36">
        <w:rPr>
          <w:rFonts w:cs="Sylfaen"/>
          <w:b w:val="0"/>
          <w:iCs/>
          <w:color w:val="000000"/>
          <w:szCs w:val="22"/>
          <w:lang w:val="hy-AM" w:eastAsia="en-US"/>
        </w:rPr>
        <w:t xml:space="preserve"> մլն. դրամով կամ </w:t>
      </w:r>
      <w:r w:rsidRPr="002F5E36">
        <w:rPr>
          <w:rFonts w:cs="Sylfaen"/>
          <w:b w:val="0"/>
          <w:iCs/>
          <w:color w:val="000000"/>
          <w:szCs w:val="22"/>
          <w:lang w:val="en-US" w:eastAsia="en-US"/>
        </w:rPr>
        <w:t>7.7</w:t>
      </w:r>
      <w:r w:rsidRPr="002F5E36">
        <w:rPr>
          <w:rFonts w:cs="Sylfaen"/>
          <w:b w:val="0"/>
          <w:iCs/>
          <w:color w:val="000000"/>
          <w:szCs w:val="22"/>
          <w:lang w:val="hy-AM" w:eastAsia="en-US"/>
        </w:rPr>
        <w:t xml:space="preserve"> տոկոսով ավելին է, քան նախորդ տարվա գնահատականը: </w:t>
      </w:r>
    </w:p>
    <w:p w14:paraId="26C80AEC" w14:textId="77777777" w:rsidR="002F5E36" w:rsidRPr="002F5E36" w:rsidRDefault="002F5E36" w:rsidP="00347B32">
      <w:pPr>
        <w:numPr>
          <w:ilvl w:val="0"/>
          <w:numId w:val="46"/>
        </w:numPr>
        <w:tabs>
          <w:tab w:val="left" w:pos="567"/>
          <w:tab w:val="left" w:pos="851"/>
        </w:tabs>
        <w:ind w:left="0" w:firstLine="567"/>
        <w:rPr>
          <w:i/>
          <w:szCs w:val="22"/>
          <w:lang w:val="hy-AM" w:eastAsia="en-US"/>
        </w:rPr>
      </w:pPr>
      <w:r w:rsidRPr="002F5E36">
        <w:rPr>
          <w:rFonts w:cs="Sylfaen"/>
          <w:i/>
          <w:szCs w:val="22"/>
          <w:lang w:val="hy-AM" w:eastAsia="en-US"/>
        </w:rPr>
        <w:t>ԱԱՀ</w:t>
      </w:r>
      <w:r w:rsidRPr="002F5E36">
        <w:rPr>
          <w:i/>
          <w:szCs w:val="22"/>
          <w:lang w:val="hy-AM" w:eastAsia="en-US"/>
        </w:rPr>
        <w:t>-ի գծով հարկային ծախսերը.</w:t>
      </w:r>
    </w:p>
    <w:p w14:paraId="6357BD79" w14:textId="77777777" w:rsidR="002F5E36" w:rsidRPr="00443554" w:rsidRDefault="002F5E36" w:rsidP="00347B32">
      <w:pPr>
        <w:tabs>
          <w:tab w:val="left" w:pos="567"/>
        </w:tabs>
        <w:ind w:firstLine="284"/>
        <w:rPr>
          <w:rFonts w:cs="Sylfaen"/>
          <w:b w:val="0"/>
          <w:iCs/>
          <w:color w:val="000000"/>
          <w:szCs w:val="22"/>
          <w:lang w:val="hy-AM" w:eastAsia="en-US"/>
        </w:rPr>
      </w:pPr>
      <w:r w:rsidRPr="00443554">
        <w:rPr>
          <w:rFonts w:cs="Sylfaen"/>
          <w:b w:val="0"/>
          <w:iCs/>
          <w:color w:val="000000"/>
          <w:szCs w:val="22"/>
          <w:lang w:val="hy-AM" w:eastAsia="en-US"/>
        </w:rPr>
        <w:t>Ավելացված արժեքի հարկի գծով հարկային ծախսերի մեծությունը տնտեսության տարբեր ոլորտների ու առանձին հարկային արտոնությունների միջև բաշխվում է հետևյալ կերպ.</w:t>
      </w:r>
    </w:p>
    <w:p w14:paraId="380CBE92"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գյուղատնտեսություն` </w:t>
      </w:r>
      <w:r w:rsidRPr="002F5E36">
        <w:rPr>
          <w:i/>
          <w:szCs w:val="22"/>
          <w:lang w:val="en-US" w:eastAsia="en-US"/>
        </w:rPr>
        <w:t>18,902 մլն. դրամ</w:t>
      </w:r>
      <w:r w:rsidRPr="002F5E36">
        <w:rPr>
          <w:b w:val="0"/>
          <w:szCs w:val="22"/>
          <w:lang w:val="en-US" w:eastAsia="en-US"/>
        </w:rPr>
        <w:t>,</w:t>
      </w:r>
    </w:p>
    <w:p w14:paraId="5BF7CB4B"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առողջապահություն` </w:t>
      </w:r>
      <w:r w:rsidRPr="002F5E36">
        <w:rPr>
          <w:i/>
          <w:szCs w:val="22"/>
          <w:lang w:val="en-US" w:eastAsia="en-US"/>
        </w:rPr>
        <w:t>82,365 մլն. դրամ</w:t>
      </w:r>
      <w:r w:rsidRPr="002F5E36">
        <w:rPr>
          <w:b w:val="0"/>
          <w:szCs w:val="22"/>
          <w:lang w:val="en-US" w:eastAsia="en-US"/>
        </w:rPr>
        <w:t>,</w:t>
      </w:r>
    </w:p>
    <w:p w14:paraId="4C3ED76F"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կրթություն` </w:t>
      </w:r>
      <w:r w:rsidRPr="002F5E36">
        <w:rPr>
          <w:i/>
          <w:szCs w:val="22"/>
          <w:lang w:val="en-US" w:eastAsia="en-US"/>
        </w:rPr>
        <w:t>37,237 մլն. դրամ</w:t>
      </w:r>
      <w:r w:rsidRPr="002F5E36">
        <w:rPr>
          <w:b w:val="0"/>
          <w:szCs w:val="22"/>
          <w:lang w:val="en-US" w:eastAsia="en-US"/>
        </w:rPr>
        <w:t>,</w:t>
      </w:r>
    </w:p>
    <w:p w14:paraId="21DB9957"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ֆինանսներ և ապահովագրություն` </w:t>
      </w:r>
      <w:r w:rsidRPr="002F5E36">
        <w:rPr>
          <w:i/>
          <w:szCs w:val="22"/>
          <w:lang w:val="en-US" w:eastAsia="en-US"/>
        </w:rPr>
        <w:t>164,070 մլն. դրամ</w:t>
      </w:r>
      <w:r w:rsidRPr="002F5E36">
        <w:rPr>
          <w:b w:val="0"/>
          <w:szCs w:val="22"/>
          <w:lang w:val="en-US" w:eastAsia="en-US"/>
        </w:rPr>
        <w:t>,</w:t>
      </w:r>
    </w:p>
    <w:p w14:paraId="0096542F"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lastRenderedPageBreak/>
        <w:t xml:space="preserve">խաղատների գործունեություն, շահումով խաղերի (այդ թվում՝ ինտերնետ շահումով խաղերի), տոտալիզատորի և ինտերնետ տոտալիզատորի կազմակերպում՝ </w:t>
      </w:r>
      <w:r w:rsidRPr="002F5E36">
        <w:rPr>
          <w:i/>
          <w:szCs w:val="22"/>
          <w:lang w:val="en-US" w:eastAsia="en-US"/>
        </w:rPr>
        <w:t>42,548 մլն. դրամ</w:t>
      </w:r>
      <w:r w:rsidRPr="002F5E36">
        <w:rPr>
          <w:b w:val="0"/>
          <w:szCs w:val="22"/>
          <w:lang w:val="en-US" w:eastAsia="en-US"/>
        </w:rPr>
        <w:t>,</w:t>
      </w:r>
    </w:p>
    <w:p w14:paraId="22283DAF"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ոսկու և թանկարժեք քարերի իրացում՝ </w:t>
      </w:r>
      <w:r w:rsidRPr="002F5E36">
        <w:rPr>
          <w:i/>
          <w:szCs w:val="22"/>
          <w:lang w:val="en-US" w:eastAsia="en-US"/>
        </w:rPr>
        <w:t>4,208 մլն. դրամ</w:t>
      </w:r>
      <w:r w:rsidRPr="002F5E36">
        <w:rPr>
          <w:b w:val="0"/>
          <w:szCs w:val="22"/>
          <w:lang w:val="en-US" w:eastAsia="en-US"/>
        </w:rPr>
        <w:t>,</w:t>
      </w:r>
    </w:p>
    <w:p w14:paraId="7CD3154C"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մարդասիրական օգնություն՝ </w:t>
      </w:r>
      <w:r w:rsidRPr="002F5E36">
        <w:rPr>
          <w:i/>
          <w:szCs w:val="22"/>
          <w:lang w:val="en-US" w:eastAsia="en-US"/>
        </w:rPr>
        <w:t>7,068 մլն. դրամ</w:t>
      </w:r>
      <w:r w:rsidRPr="002F5E36">
        <w:rPr>
          <w:b w:val="0"/>
          <w:szCs w:val="22"/>
          <w:lang w:val="en-US" w:eastAsia="en-US"/>
        </w:rPr>
        <w:t>,</w:t>
      </w:r>
    </w:p>
    <w:p w14:paraId="48E50F30"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պարարտանյութերի իրացում՝ </w:t>
      </w:r>
      <w:r w:rsidRPr="002F5E36">
        <w:rPr>
          <w:i/>
          <w:szCs w:val="22"/>
          <w:lang w:val="en-US" w:eastAsia="en-US"/>
        </w:rPr>
        <w:t>6,253 մլն. դրամ</w:t>
      </w:r>
      <w:r w:rsidRPr="002F5E36">
        <w:rPr>
          <w:b w:val="0"/>
          <w:szCs w:val="22"/>
          <w:lang w:val="en-US" w:eastAsia="en-US"/>
        </w:rPr>
        <w:t>,</w:t>
      </w:r>
    </w:p>
    <w:p w14:paraId="16848F5D"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ջրօգտագործողների ընկերությունների կողմից ոռոգման ջրի օտարում՝ </w:t>
      </w:r>
      <w:r w:rsidRPr="002F5E36">
        <w:rPr>
          <w:i/>
          <w:szCs w:val="22"/>
          <w:lang w:val="en-US" w:eastAsia="en-US"/>
        </w:rPr>
        <w:t>1,257 մլն. դրամ</w:t>
      </w:r>
      <w:r w:rsidRPr="002F5E36">
        <w:rPr>
          <w:b w:val="0"/>
          <w:szCs w:val="22"/>
          <w:lang w:val="en-US" w:eastAsia="en-US"/>
        </w:rPr>
        <w:t>,</w:t>
      </w:r>
    </w:p>
    <w:p w14:paraId="767C9DFA"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սուբսիդիաների, սուբվենցիաների և դրամաշնորհային ծրագրերի շրջանակներում իրականացվող` ապրանքի մատակարարում, աշխատանքի կատարում և (կամ) ծառայության մատուցում՝ </w:t>
      </w:r>
      <w:r w:rsidRPr="002F5E36">
        <w:rPr>
          <w:i/>
          <w:szCs w:val="22"/>
          <w:lang w:val="en-US" w:eastAsia="en-US"/>
        </w:rPr>
        <w:t>504 մլն. դրամ</w:t>
      </w:r>
      <w:r w:rsidRPr="002F5E36">
        <w:rPr>
          <w:b w:val="0"/>
          <w:szCs w:val="22"/>
          <w:lang w:val="en-US" w:eastAsia="en-US"/>
        </w:rPr>
        <w:t>,</w:t>
      </w:r>
    </w:p>
    <w:p w14:paraId="25C56CB1"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en-US" w:eastAsia="en-US"/>
        </w:rPr>
        <w:t xml:space="preserve">ազատ տնտեսական գոտու կազմակերպչին և ազատ տնտեսական գոտու շահագործողին ծառայությունների մատուցում, ազատ տնտեսական գոտու կազմակերպչի և ազատ տնտեսական գոտու շահագործողի համար աշխատանքների կատարում, ազատ տնտեսական գոտու տարածքում ապրանքների մատակարարում՝ </w:t>
      </w:r>
      <w:r w:rsidRPr="002F5E36">
        <w:rPr>
          <w:i/>
          <w:szCs w:val="22"/>
          <w:lang w:val="en-US" w:eastAsia="en-US"/>
        </w:rPr>
        <w:t>665 մլն. դրամ</w:t>
      </w:r>
      <w:r w:rsidRPr="002F5E36">
        <w:rPr>
          <w:b w:val="0"/>
          <w:szCs w:val="22"/>
          <w:lang w:val="en-US" w:eastAsia="en-US"/>
        </w:rPr>
        <w:t>,</w:t>
      </w:r>
    </w:p>
    <w:p w14:paraId="21E7994B" w14:textId="77777777" w:rsidR="002F5E36" w:rsidRPr="002F5E36" w:rsidRDefault="002F5E36" w:rsidP="00347B32">
      <w:pPr>
        <w:numPr>
          <w:ilvl w:val="0"/>
          <w:numId w:val="45"/>
        </w:numPr>
        <w:tabs>
          <w:tab w:val="left" w:pos="567"/>
          <w:tab w:val="left" w:pos="851"/>
        </w:tabs>
        <w:ind w:left="0" w:firstLine="284"/>
        <w:rPr>
          <w:b w:val="0"/>
          <w:szCs w:val="22"/>
          <w:lang w:val="en-US" w:eastAsia="en-US"/>
        </w:rPr>
      </w:pPr>
      <w:r w:rsidRPr="002F5E36">
        <w:rPr>
          <w:b w:val="0"/>
          <w:szCs w:val="22"/>
          <w:lang w:val="hy-AM" w:eastAsia="en-US"/>
        </w:rPr>
        <w:t xml:space="preserve">օրենսգրքով սահմանված </w:t>
      </w:r>
      <w:r w:rsidRPr="002F5E36">
        <w:rPr>
          <w:b w:val="0"/>
          <w:szCs w:val="22"/>
          <w:lang w:val="en-US" w:eastAsia="en-US"/>
        </w:rPr>
        <w:t xml:space="preserve">վերը չնշված այլ արտոնություններ` </w:t>
      </w:r>
      <w:r w:rsidRPr="002F5E36">
        <w:rPr>
          <w:i/>
          <w:szCs w:val="22"/>
          <w:lang w:val="en-US" w:eastAsia="en-US"/>
        </w:rPr>
        <w:t>12,899 մլն. դրամ*</w:t>
      </w:r>
    </w:p>
    <w:p w14:paraId="4CF0A7AA" w14:textId="77777777" w:rsidR="002F5E36" w:rsidRPr="002F5E36" w:rsidRDefault="002F5E36" w:rsidP="00347B32">
      <w:pPr>
        <w:numPr>
          <w:ilvl w:val="0"/>
          <w:numId w:val="45"/>
        </w:numPr>
        <w:tabs>
          <w:tab w:val="left" w:pos="567"/>
          <w:tab w:val="left" w:pos="900"/>
        </w:tabs>
        <w:ind w:left="0" w:firstLine="284"/>
        <w:rPr>
          <w:b w:val="0"/>
          <w:szCs w:val="22"/>
          <w:lang w:val="en-US" w:eastAsia="en-US"/>
        </w:rPr>
      </w:pPr>
      <w:r w:rsidRPr="002F5E36">
        <w:rPr>
          <w:b w:val="0"/>
          <w:szCs w:val="22"/>
          <w:lang w:val="en-US" w:eastAsia="en-US"/>
        </w:rPr>
        <w:t xml:space="preserve">այլ օրենքներով տրված արտոնություններ՝ </w:t>
      </w:r>
      <w:r w:rsidRPr="002F5E36">
        <w:rPr>
          <w:i/>
          <w:szCs w:val="22"/>
          <w:lang w:val="en-US" w:eastAsia="en-US"/>
        </w:rPr>
        <w:t>3,708 մլն. դրամ:</w:t>
      </w:r>
    </w:p>
    <w:p w14:paraId="475D014B" w14:textId="77777777" w:rsidR="002F5E36" w:rsidRPr="002F5E36" w:rsidRDefault="002F5E36" w:rsidP="00347B32">
      <w:pPr>
        <w:tabs>
          <w:tab w:val="left" w:pos="567"/>
        </w:tabs>
        <w:ind w:firstLine="284"/>
        <w:rPr>
          <w:rFonts w:cs="Sylfaen"/>
          <w:i/>
          <w:iCs/>
          <w:color w:val="000000"/>
          <w:szCs w:val="22"/>
          <w:lang w:val="en-US" w:eastAsia="en-US"/>
        </w:rPr>
      </w:pPr>
      <w:r w:rsidRPr="002F5E36">
        <w:rPr>
          <w:rFonts w:cs="Sylfaen"/>
          <w:iCs/>
          <w:color w:val="000000"/>
          <w:szCs w:val="22"/>
          <w:lang w:val="en-US" w:eastAsia="en-US"/>
        </w:rPr>
        <w:t>*</w:t>
      </w:r>
      <w:r w:rsidRPr="002F5E36">
        <w:rPr>
          <w:rFonts w:cs="Sylfaen"/>
          <w:i/>
          <w:iCs/>
          <w:color w:val="000000"/>
          <w:szCs w:val="22"/>
          <w:lang w:val="en-US" w:eastAsia="en-US"/>
        </w:rPr>
        <w:t>ավելացված արժեքի հարկի գծով հ</w:t>
      </w:r>
      <w:r w:rsidRPr="002F5E36">
        <w:rPr>
          <w:rFonts w:cs="Sylfaen"/>
          <w:i/>
          <w:iCs/>
          <w:color w:val="000000"/>
          <w:szCs w:val="22"/>
          <w:lang w:eastAsia="en-US"/>
        </w:rPr>
        <w:t>արկային</w:t>
      </w:r>
      <w:r w:rsidRPr="002F5E36">
        <w:rPr>
          <w:rFonts w:cs="Sylfaen"/>
          <w:i/>
          <w:iCs/>
          <w:color w:val="000000"/>
          <w:szCs w:val="22"/>
          <w:lang w:val="en-US" w:eastAsia="en-US"/>
        </w:rPr>
        <w:t xml:space="preserve"> </w:t>
      </w:r>
      <w:r w:rsidRPr="002F5E36">
        <w:rPr>
          <w:rFonts w:cs="Sylfaen"/>
          <w:i/>
          <w:iCs/>
          <w:color w:val="000000"/>
          <w:szCs w:val="22"/>
          <w:lang w:eastAsia="en-US"/>
        </w:rPr>
        <w:t>ծախսերի</w:t>
      </w:r>
      <w:r w:rsidRPr="002F5E36">
        <w:rPr>
          <w:rFonts w:cs="Sylfaen"/>
          <w:i/>
          <w:iCs/>
          <w:color w:val="000000"/>
          <w:szCs w:val="22"/>
          <w:lang w:val="en-US" w:eastAsia="en-US"/>
        </w:rPr>
        <w:t xml:space="preserve"> </w:t>
      </w:r>
      <w:r w:rsidRPr="002F5E36">
        <w:rPr>
          <w:rFonts w:cs="Sylfaen"/>
          <w:i/>
          <w:iCs/>
          <w:color w:val="000000"/>
          <w:szCs w:val="22"/>
          <w:lang w:eastAsia="en-US"/>
        </w:rPr>
        <w:t>մեծությունը</w:t>
      </w:r>
      <w:r w:rsidRPr="002F5E36">
        <w:rPr>
          <w:rFonts w:cs="Sylfaen"/>
          <w:i/>
          <w:iCs/>
          <w:color w:val="000000"/>
          <w:szCs w:val="22"/>
          <w:lang w:val="en-US" w:eastAsia="en-US"/>
        </w:rPr>
        <w:t xml:space="preserve"> </w:t>
      </w:r>
      <w:r w:rsidRPr="002F5E36">
        <w:rPr>
          <w:rFonts w:cs="Sylfaen"/>
          <w:i/>
          <w:iCs/>
          <w:color w:val="000000"/>
          <w:szCs w:val="22"/>
          <w:lang w:eastAsia="en-US"/>
        </w:rPr>
        <w:t>գնահատելիս</w:t>
      </w:r>
      <w:r w:rsidRPr="002F5E36">
        <w:rPr>
          <w:rFonts w:cs="Sylfaen"/>
          <w:i/>
          <w:iCs/>
          <w:color w:val="000000"/>
          <w:szCs w:val="22"/>
          <w:lang w:val="en-US" w:eastAsia="en-US"/>
        </w:rPr>
        <w:t>՝</w:t>
      </w:r>
    </w:p>
    <w:p w14:paraId="56078099" w14:textId="77777777" w:rsidR="002F5E36" w:rsidRPr="002F5E36" w:rsidRDefault="002F5E36" w:rsidP="00347B32">
      <w:pPr>
        <w:numPr>
          <w:ilvl w:val="0"/>
          <w:numId w:val="48"/>
        </w:numPr>
        <w:tabs>
          <w:tab w:val="left" w:pos="567"/>
          <w:tab w:val="left" w:pos="851"/>
        </w:tabs>
        <w:ind w:left="0" w:firstLine="284"/>
        <w:rPr>
          <w:rFonts w:cs="Sylfaen"/>
          <w:b w:val="0"/>
          <w:iCs/>
          <w:color w:val="000000"/>
          <w:szCs w:val="22"/>
          <w:lang w:val="en-US" w:eastAsia="en-US"/>
        </w:rPr>
      </w:pP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հարկի</w:t>
      </w:r>
      <w:r w:rsidRPr="002F5E36">
        <w:rPr>
          <w:rFonts w:cs="Sylfaen"/>
          <w:b w:val="0"/>
          <w:iCs/>
          <w:color w:val="000000"/>
          <w:szCs w:val="22"/>
          <w:lang w:val="en-US" w:eastAsia="en-US"/>
        </w:rPr>
        <w:t xml:space="preserve"> </w:t>
      </w:r>
      <w:r w:rsidRPr="002F5E36">
        <w:rPr>
          <w:rFonts w:cs="Sylfaen"/>
          <w:b w:val="0"/>
          <w:iCs/>
          <w:color w:val="000000"/>
          <w:szCs w:val="22"/>
          <w:lang w:eastAsia="en-US"/>
        </w:rPr>
        <w:t>զրոյական</w:t>
      </w:r>
      <w:r w:rsidRPr="002F5E36">
        <w:rPr>
          <w:rFonts w:cs="Sylfaen"/>
          <w:b w:val="0"/>
          <w:iCs/>
          <w:color w:val="000000"/>
          <w:szCs w:val="22"/>
          <w:lang w:val="en-US" w:eastAsia="en-US"/>
        </w:rPr>
        <w:t xml:space="preserve"> </w:t>
      </w:r>
      <w:r w:rsidRPr="002F5E36">
        <w:rPr>
          <w:rFonts w:cs="Sylfaen"/>
          <w:b w:val="0"/>
          <w:iCs/>
          <w:color w:val="000000"/>
          <w:szCs w:val="22"/>
          <w:lang w:eastAsia="en-US"/>
        </w:rPr>
        <w:t>դրույքաչափի</w:t>
      </w:r>
      <w:r w:rsidRPr="002F5E36">
        <w:rPr>
          <w:rFonts w:cs="Sylfaen"/>
          <w:b w:val="0"/>
          <w:iCs/>
          <w:color w:val="000000"/>
          <w:szCs w:val="22"/>
          <w:lang w:val="en-US" w:eastAsia="en-US"/>
        </w:rPr>
        <w:t xml:space="preserve"> </w:t>
      </w:r>
      <w:r w:rsidRPr="002F5E36">
        <w:rPr>
          <w:rFonts w:cs="Sylfaen"/>
          <w:b w:val="0"/>
          <w:iCs/>
          <w:color w:val="000000"/>
          <w:szCs w:val="22"/>
          <w:lang w:eastAsia="en-US"/>
        </w:rPr>
        <w:t>կիրառությունը</w:t>
      </w:r>
      <w:r w:rsidRPr="002F5E36">
        <w:rPr>
          <w:rFonts w:cs="Sylfaen"/>
          <w:b w:val="0"/>
          <w:iCs/>
          <w:color w:val="000000"/>
          <w:szCs w:val="22"/>
          <w:lang w:val="en-US" w:eastAsia="en-US"/>
        </w:rPr>
        <w:t xml:space="preserve"> </w:t>
      </w:r>
      <w:r w:rsidRPr="002F5E36">
        <w:rPr>
          <w:rFonts w:cs="Sylfaen"/>
          <w:b w:val="0"/>
          <w:iCs/>
          <w:color w:val="000000"/>
          <w:szCs w:val="22"/>
          <w:lang w:eastAsia="en-US"/>
        </w:rPr>
        <w:t>չի</w:t>
      </w:r>
      <w:r w:rsidRPr="002F5E36">
        <w:rPr>
          <w:rFonts w:cs="Sylfaen"/>
          <w:b w:val="0"/>
          <w:iCs/>
          <w:color w:val="000000"/>
          <w:szCs w:val="22"/>
          <w:lang w:val="en-US" w:eastAsia="en-US"/>
        </w:rPr>
        <w:t xml:space="preserve"> </w:t>
      </w:r>
      <w:r w:rsidRPr="002F5E36">
        <w:rPr>
          <w:rFonts w:cs="Sylfaen"/>
          <w:b w:val="0"/>
          <w:iCs/>
          <w:color w:val="000000"/>
          <w:szCs w:val="22"/>
          <w:lang w:eastAsia="en-US"/>
        </w:rPr>
        <w:t>դիտվել</w:t>
      </w:r>
      <w:r w:rsidRPr="002F5E36">
        <w:rPr>
          <w:rFonts w:cs="Sylfaen"/>
          <w:b w:val="0"/>
          <w:iCs/>
          <w:color w:val="000000"/>
          <w:szCs w:val="22"/>
          <w:lang w:val="en-US" w:eastAsia="en-US"/>
        </w:rPr>
        <w:t xml:space="preserve"> </w:t>
      </w:r>
      <w:r w:rsidRPr="002F5E36">
        <w:rPr>
          <w:rFonts w:cs="Sylfaen"/>
          <w:b w:val="0"/>
          <w:iCs/>
          <w:color w:val="000000"/>
          <w:szCs w:val="22"/>
          <w:lang w:eastAsia="en-US"/>
        </w:rPr>
        <w:t>որպես</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ծախս</w:t>
      </w:r>
      <w:r w:rsidRPr="002F5E36">
        <w:rPr>
          <w:rFonts w:cs="Sylfaen"/>
          <w:b w:val="0"/>
          <w:iCs/>
          <w:color w:val="000000"/>
          <w:szCs w:val="22"/>
          <w:lang w:val="en-US" w:eastAsia="en-US"/>
        </w:rPr>
        <w:t xml:space="preserve">, </w:t>
      </w:r>
      <w:r w:rsidRPr="002F5E36">
        <w:rPr>
          <w:rFonts w:cs="Sylfaen"/>
          <w:b w:val="0"/>
          <w:iCs/>
          <w:color w:val="000000"/>
          <w:szCs w:val="22"/>
          <w:lang w:eastAsia="en-US"/>
        </w:rPr>
        <w:t>քանի</w:t>
      </w:r>
      <w:r w:rsidRPr="002F5E36">
        <w:rPr>
          <w:rFonts w:cs="Sylfaen"/>
          <w:b w:val="0"/>
          <w:iCs/>
          <w:color w:val="000000"/>
          <w:szCs w:val="22"/>
          <w:lang w:val="en-US" w:eastAsia="en-US"/>
        </w:rPr>
        <w:t xml:space="preserve"> </w:t>
      </w:r>
      <w:r w:rsidRPr="002F5E36">
        <w:rPr>
          <w:rFonts w:cs="Sylfaen"/>
          <w:b w:val="0"/>
          <w:iCs/>
          <w:color w:val="000000"/>
          <w:szCs w:val="22"/>
          <w:lang w:eastAsia="en-US"/>
        </w:rPr>
        <w:t>որ</w:t>
      </w:r>
      <w:r w:rsidRPr="002F5E36">
        <w:rPr>
          <w:rFonts w:cs="Sylfaen"/>
          <w:b w:val="0"/>
          <w:iCs/>
          <w:color w:val="000000"/>
          <w:szCs w:val="22"/>
          <w:lang w:val="en-US" w:eastAsia="en-US"/>
        </w:rPr>
        <w:t xml:space="preserve"> </w:t>
      </w:r>
      <w:r w:rsidRPr="002F5E36">
        <w:rPr>
          <w:rFonts w:cs="Sylfaen"/>
          <w:b w:val="0"/>
          <w:iCs/>
          <w:color w:val="000000"/>
          <w:szCs w:val="22"/>
          <w:lang w:eastAsia="en-US"/>
        </w:rPr>
        <w:t>այն</w:t>
      </w:r>
      <w:r w:rsidRPr="002F5E36">
        <w:rPr>
          <w:rFonts w:cs="Sylfaen"/>
          <w:b w:val="0"/>
          <w:iCs/>
          <w:color w:val="000000"/>
          <w:szCs w:val="22"/>
          <w:lang w:val="en-US" w:eastAsia="en-US"/>
        </w:rPr>
        <w:t xml:space="preserve"> </w:t>
      </w:r>
      <w:r w:rsidRPr="002F5E36">
        <w:rPr>
          <w:rFonts w:cs="Sylfaen"/>
          <w:b w:val="0"/>
          <w:iCs/>
          <w:color w:val="000000"/>
          <w:szCs w:val="22"/>
          <w:lang w:eastAsia="en-US"/>
        </w:rPr>
        <w:t>հիմնականում</w:t>
      </w:r>
      <w:r w:rsidRPr="002F5E36">
        <w:rPr>
          <w:rFonts w:cs="Sylfaen"/>
          <w:b w:val="0"/>
          <w:iCs/>
          <w:color w:val="000000"/>
          <w:szCs w:val="22"/>
          <w:lang w:val="en-US" w:eastAsia="en-US"/>
        </w:rPr>
        <w:t xml:space="preserve"> </w:t>
      </w:r>
      <w:r w:rsidRPr="002F5E36">
        <w:rPr>
          <w:rFonts w:cs="Sylfaen"/>
          <w:b w:val="0"/>
          <w:iCs/>
          <w:color w:val="000000"/>
          <w:szCs w:val="22"/>
          <w:lang w:eastAsia="en-US"/>
        </w:rPr>
        <w:t>կիրառվում</w:t>
      </w:r>
      <w:r w:rsidRPr="002F5E36">
        <w:rPr>
          <w:rFonts w:cs="Sylfaen"/>
          <w:b w:val="0"/>
          <w:iCs/>
          <w:color w:val="000000"/>
          <w:szCs w:val="22"/>
          <w:lang w:val="en-US" w:eastAsia="en-US"/>
        </w:rPr>
        <w:t xml:space="preserve"> </w:t>
      </w:r>
      <w:r w:rsidRPr="002F5E36">
        <w:rPr>
          <w:rFonts w:cs="Sylfaen"/>
          <w:b w:val="0"/>
          <w:iCs/>
          <w:color w:val="000000"/>
          <w:szCs w:val="22"/>
          <w:lang w:eastAsia="en-US"/>
        </w:rPr>
        <w:t>է</w:t>
      </w:r>
      <w:r w:rsidRPr="002F5E36">
        <w:rPr>
          <w:rFonts w:cs="Sylfaen"/>
          <w:b w:val="0"/>
          <w:iCs/>
          <w:color w:val="000000"/>
          <w:szCs w:val="22"/>
          <w:lang w:val="en-US" w:eastAsia="en-US"/>
        </w:rPr>
        <w:t xml:space="preserve"> </w:t>
      </w:r>
      <w:r w:rsidRPr="002F5E36">
        <w:rPr>
          <w:rFonts w:cs="Sylfaen"/>
          <w:b w:val="0"/>
          <w:iCs/>
          <w:color w:val="000000"/>
          <w:szCs w:val="22"/>
          <w:lang w:eastAsia="en-US"/>
        </w:rPr>
        <w:t>արտահանվող</w:t>
      </w:r>
      <w:r w:rsidRPr="002F5E36">
        <w:rPr>
          <w:rFonts w:cs="Sylfaen"/>
          <w:b w:val="0"/>
          <w:iCs/>
          <w:color w:val="000000"/>
          <w:szCs w:val="22"/>
          <w:lang w:val="en-US" w:eastAsia="en-US"/>
        </w:rPr>
        <w:t xml:space="preserve"> </w:t>
      </w:r>
      <w:r w:rsidRPr="002F5E36">
        <w:rPr>
          <w:rFonts w:cs="Sylfaen"/>
          <w:b w:val="0"/>
          <w:iCs/>
          <w:color w:val="000000"/>
          <w:szCs w:val="22"/>
          <w:lang w:eastAsia="en-US"/>
        </w:rPr>
        <w:t>ապրանքների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իրացման</w:t>
      </w:r>
      <w:r w:rsidRPr="002F5E36">
        <w:rPr>
          <w:rFonts w:cs="Sylfaen"/>
          <w:b w:val="0"/>
          <w:iCs/>
          <w:color w:val="000000"/>
          <w:szCs w:val="22"/>
          <w:lang w:val="en-US" w:eastAsia="en-US"/>
        </w:rPr>
        <w:t xml:space="preserve"> </w:t>
      </w:r>
      <w:r w:rsidRPr="002F5E36">
        <w:rPr>
          <w:rFonts w:cs="Sylfaen"/>
          <w:b w:val="0"/>
          <w:iCs/>
          <w:color w:val="000000"/>
          <w:szCs w:val="22"/>
          <w:lang w:eastAsia="en-US"/>
        </w:rPr>
        <w:t>գործարքների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համար</w:t>
      </w:r>
      <w:r w:rsidRPr="002F5E36">
        <w:rPr>
          <w:rFonts w:cs="Sylfaen"/>
          <w:b w:val="0"/>
          <w:iCs/>
          <w:color w:val="000000"/>
          <w:szCs w:val="22"/>
          <w:lang w:val="en-US" w:eastAsia="en-US"/>
        </w:rPr>
        <w:t xml:space="preserve">, </w:t>
      </w:r>
      <w:r w:rsidRPr="002F5E36">
        <w:rPr>
          <w:rFonts w:cs="Sylfaen"/>
          <w:b w:val="0"/>
          <w:iCs/>
          <w:color w:val="000000"/>
          <w:szCs w:val="22"/>
          <w:lang w:eastAsia="en-US"/>
        </w:rPr>
        <w:t>որոնց</w:t>
      </w:r>
      <w:r w:rsidRPr="002F5E36">
        <w:rPr>
          <w:rFonts w:cs="Sylfaen"/>
          <w:b w:val="0"/>
          <w:iCs/>
          <w:color w:val="000000"/>
          <w:szCs w:val="22"/>
          <w:lang w:val="en-US" w:eastAsia="en-US"/>
        </w:rPr>
        <w:t xml:space="preserve"> </w:t>
      </w:r>
      <w:r w:rsidRPr="002F5E36">
        <w:rPr>
          <w:rFonts w:cs="Sylfaen"/>
          <w:b w:val="0"/>
          <w:iCs/>
          <w:color w:val="000000"/>
          <w:szCs w:val="22"/>
          <w:lang w:eastAsia="en-US"/>
        </w:rPr>
        <w:t>մասով</w:t>
      </w:r>
      <w:r w:rsidRPr="002F5E36">
        <w:rPr>
          <w:rFonts w:cs="Sylfaen"/>
          <w:b w:val="0"/>
          <w:iCs/>
          <w:color w:val="000000"/>
          <w:szCs w:val="22"/>
          <w:lang w:val="en-US" w:eastAsia="en-US"/>
        </w:rPr>
        <w:t xml:space="preserve"> </w:t>
      </w: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հարկի</w:t>
      </w:r>
      <w:r w:rsidRPr="002F5E36">
        <w:rPr>
          <w:rFonts w:cs="Sylfaen"/>
          <w:b w:val="0"/>
          <w:iCs/>
          <w:color w:val="000000"/>
          <w:szCs w:val="22"/>
          <w:lang w:val="en-US" w:eastAsia="en-US"/>
        </w:rPr>
        <w:t xml:space="preserve"> </w:t>
      </w:r>
      <w:r w:rsidRPr="002F5E36">
        <w:rPr>
          <w:rFonts w:cs="Sylfaen"/>
          <w:b w:val="0"/>
          <w:iCs/>
          <w:color w:val="000000"/>
          <w:szCs w:val="22"/>
          <w:lang w:eastAsia="en-US"/>
        </w:rPr>
        <w:t>զրոյական</w:t>
      </w:r>
      <w:r w:rsidRPr="002F5E36">
        <w:rPr>
          <w:rFonts w:cs="Sylfaen"/>
          <w:b w:val="0"/>
          <w:iCs/>
          <w:color w:val="000000"/>
          <w:szCs w:val="22"/>
          <w:lang w:val="en-US" w:eastAsia="en-US"/>
        </w:rPr>
        <w:t xml:space="preserve"> </w:t>
      </w:r>
      <w:r w:rsidRPr="002F5E36">
        <w:rPr>
          <w:rFonts w:cs="Sylfaen"/>
          <w:b w:val="0"/>
          <w:iCs/>
          <w:color w:val="000000"/>
          <w:szCs w:val="22"/>
          <w:lang w:eastAsia="en-US"/>
        </w:rPr>
        <w:t>դրույքաչափի</w:t>
      </w:r>
      <w:r w:rsidRPr="002F5E36">
        <w:rPr>
          <w:rFonts w:cs="Sylfaen"/>
          <w:b w:val="0"/>
          <w:iCs/>
          <w:color w:val="000000"/>
          <w:szCs w:val="22"/>
          <w:lang w:val="en-US" w:eastAsia="en-US"/>
        </w:rPr>
        <w:t xml:space="preserve"> </w:t>
      </w:r>
      <w:r w:rsidRPr="002F5E36">
        <w:rPr>
          <w:rFonts w:cs="Sylfaen"/>
          <w:b w:val="0"/>
          <w:iCs/>
          <w:color w:val="000000"/>
          <w:szCs w:val="22"/>
          <w:lang w:eastAsia="en-US"/>
        </w:rPr>
        <w:t>կիրառությունը</w:t>
      </w:r>
      <w:r w:rsidRPr="002F5E36">
        <w:rPr>
          <w:rFonts w:cs="Sylfaen"/>
          <w:b w:val="0"/>
          <w:iCs/>
          <w:color w:val="000000"/>
          <w:szCs w:val="22"/>
          <w:lang w:val="en-US" w:eastAsia="en-US"/>
        </w:rPr>
        <w:t xml:space="preserve"> </w:t>
      </w:r>
      <w:r w:rsidRPr="002F5E36">
        <w:rPr>
          <w:rFonts w:cs="Sylfaen"/>
          <w:b w:val="0"/>
          <w:iCs/>
          <w:color w:val="000000"/>
          <w:szCs w:val="22"/>
          <w:lang w:eastAsia="en-US"/>
        </w:rPr>
        <w:t>միջազգային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պրակտիկայում</w:t>
      </w:r>
      <w:r w:rsidRPr="002F5E36">
        <w:rPr>
          <w:rFonts w:cs="Sylfaen"/>
          <w:b w:val="0"/>
          <w:iCs/>
          <w:color w:val="000000"/>
          <w:szCs w:val="22"/>
          <w:lang w:val="en-US" w:eastAsia="en-US"/>
        </w:rPr>
        <w:t xml:space="preserve"> </w:t>
      </w:r>
      <w:r w:rsidRPr="002F5E36">
        <w:rPr>
          <w:rFonts w:cs="Sylfaen"/>
          <w:b w:val="0"/>
          <w:iCs/>
          <w:color w:val="000000"/>
          <w:szCs w:val="22"/>
          <w:lang w:eastAsia="en-US"/>
        </w:rPr>
        <w:t>ընդունված</w:t>
      </w:r>
      <w:r w:rsidRPr="002F5E36">
        <w:rPr>
          <w:rFonts w:cs="Sylfaen"/>
          <w:b w:val="0"/>
          <w:iCs/>
          <w:color w:val="000000"/>
          <w:szCs w:val="22"/>
          <w:lang w:val="en-US" w:eastAsia="en-US"/>
        </w:rPr>
        <w:t xml:space="preserve"> </w:t>
      </w:r>
      <w:r w:rsidRPr="002F5E36">
        <w:rPr>
          <w:rFonts w:cs="Sylfaen"/>
          <w:b w:val="0"/>
          <w:iCs/>
          <w:color w:val="000000"/>
          <w:szCs w:val="22"/>
          <w:lang w:eastAsia="en-US"/>
        </w:rPr>
        <w:t>մոտեցում</w:t>
      </w:r>
      <w:r w:rsidRPr="002F5E36">
        <w:rPr>
          <w:rFonts w:cs="Sylfaen"/>
          <w:b w:val="0"/>
          <w:iCs/>
          <w:color w:val="000000"/>
          <w:szCs w:val="22"/>
          <w:lang w:val="en-US" w:eastAsia="en-US"/>
        </w:rPr>
        <w:t xml:space="preserve"> </w:t>
      </w:r>
      <w:r w:rsidRPr="002F5E36">
        <w:rPr>
          <w:rFonts w:cs="Sylfaen"/>
          <w:b w:val="0"/>
          <w:iCs/>
          <w:color w:val="000000"/>
          <w:szCs w:val="22"/>
          <w:lang w:eastAsia="en-US"/>
        </w:rPr>
        <w:t>է</w:t>
      </w:r>
      <w:r w:rsidRPr="002F5E36">
        <w:rPr>
          <w:rFonts w:cs="Sylfaen"/>
          <w:b w:val="0"/>
          <w:iCs/>
          <w:color w:val="000000"/>
          <w:szCs w:val="22"/>
          <w:lang w:val="en-US" w:eastAsia="en-US"/>
        </w:rPr>
        <w:t xml:space="preserve">, </w:t>
      </w:r>
      <w:r w:rsidRPr="002F5E36">
        <w:rPr>
          <w:rFonts w:cs="Sylfaen"/>
          <w:b w:val="0"/>
          <w:iCs/>
          <w:color w:val="000000"/>
          <w:szCs w:val="22"/>
          <w:lang w:eastAsia="en-US"/>
        </w:rPr>
        <w:t>և</w:t>
      </w:r>
      <w:r w:rsidRPr="002F5E36">
        <w:rPr>
          <w:rFonts w:cs="Sylfaen"/>
          <w:b w:val="0"/>
          <w:iCs/>
          <w:color w:val="000000"/>
          <w:szCs w:val="22"/>
          <w:lang w:val="en-US" w:eastAsia="en-US"/>
        </w:rPr>
        <w:t xml:space="preserve"> </w:t>
      </w:r>
      <w:r w:rsidRPr="002F5E36">
        <w:rPr>
          <w:rFonts w:cs="Sylfaen"/>
          <w:b w:val="0"/>
          <w:iCs/>
          <w:color w:val="000000"/>
          <w:szCs w:val="22"/>
          <w:lang w:eastAsia="en-US"/>
        </w:rPr>
        <w:t>հետևաբար</w:t>
      </w:r>
      <w:r w:rsidRPr="002F5E36">
        <w:rPr>
          <w:rFonts w:cs="Sylfaen"/>
          <w:b w:val="0"/>
          <w:iCs/>
          <w:color w:val="000000"/>
          <w:szCs w:val="22"/>
          <w:lang w:val="en-US" w:eastAsia="en-US"/>
        </w:rPr>
        <w:t xml:space="preserve">, </w:t>
      </w:r>
      <w:r w:rsidRPr="002F5E36">
        <w:rPr>
          <w:rFonts w:cs="Sylfaen"/>
          <w:b w:val="0"/>
          <w:iCs/>
          <w:color w:val="000000"/>
          <w:szCs w:val="22"/>
          <w:lang w:eastAsia="en-US"/>
        </w:rPr>
        <w:t>այդ</w:t>
      </w:r>
      <w:r w:rsidRPr="002F5E36">
        <w:rPr>
          <w:rFonts w:cs="Sylfaen"/>
          <w:b w:val="0"/>
          <w:iCs/>
          <w:color w:val="000000"/>
          <w:szCs w:val="22"/>
          <w:lang w:val="en-US" w:eastAsia="en-US"/>
        </w:rPr>
        <w:t xml:space="preserve"> </w:t>
      </w:r>
      <w:r w:rsidRPr="002F5E36">
        <w:rPr>
          <w:rFonts w:cs="Sylfaen"/>
          <w:b w:val="0"/>
          <w:iCs/>
          <w:color w:val="000000"/>
          <w:szCs w:val="22"/>
          <w:lang w:eastAsia="en-US"/>
        </w:rPr>
        <w:t>գործարքներից</w:t>
      </w:r>
      <w:r w:rsidRPr="002F5E36">
        <w:rPr>
          <w:rFonts w:cs="Sylfaen"/>
          <w:b w:val="0"/>
          <w:iCs/>
          <w:color w:val="000000"/>
          <w:szCs w:val="22"/>
          <w:lang w:val="en-US" w:eastAsia="en-US"/>
        </w:rPr>
        <w:t xml:space="preserve"> </w:t>
      </w: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հարկի</w:t>
      </w:r>
      <w:r w:rsidRPr="002F5E36">
        <w:rPr>
          <w:rFonts w:cs="Sylfaen"/>
          <w:b w:val="0"/>
          <w:iCs/>
          <w:color w:val="000000"/>
          <w:szCs w:val="22"/>
          <w:lang w:val="en-US" w:eastAsia="en-US"/>
        </w:rPr>
        <w:t xml:space="preserve"> </w:t>
      </w:r>
      <w:r w:rsidRPr="002F5E36">
        <w:rPr>
          <w:rFonts w:cs="Sylfaen"/>
          <w:b w:val="0"/>
          <w:iCs/>
          <w:color w:val="000000"/>
          <w:szCs w:val="22"/>
          <w:lang w:eastAsia="en-US"/>
        </w:rPr>
        <w:t>հաշվարկային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մեծությունը</w:t>
      </w:r>
      <w:r w:rsidRPr="002F5E36">
        <w:rPr>
          <w:rFonts w:cs="Sylfaen"/>
          <w:b w:val="0"/>
          <w:iCs/>
          <w:color w:val="000000"/>
          <w:szCs w:val="22"/>
          <w:lang w:val="en-US" w:eastAsia="en-US"/>
        </w:rPr>
        <w:t xml:space="preserve"> </w:t>
      </w:r>
      <w:r w:rsidRPr="002F5E36">
        <w:rPr>
          <w:rFonts w:cs="Sylfaen"/>
          <w:b w:val="0"/>
          <w:iCs/>
          <w:color w:val="000000"/>
          <w:szCs w:val="22"/>
          <w:lang w:eastAsia="en-US"/>
        </w:rPr>
        <w:t>չի</w:t>
      </w:r>
      <w:r w:rsidRPr="002F5E36">
        <w:rPr>
          <w:rFonts w:cs="Sylfaen"/>
          <w:b w:val="0"/>
          <w:iCs/>
          <w:color w:val="000000"/>
          <w:szCs w:val="22"/>
          <w:lang w:val="en-US" w:eastAsia="en-US"/>
        </w:rPr>
        <w:t xml:space="preserve"> </w:t>
      </w:r>
      <w:r w:rsidRPr="002F5E36">
        <w:rPr>
          <w:rFonts w:cs="Sylfaen"/>
          <w:b w:val="0"/>
          <w:iCs/>
          <w:color w:val="000000"/>
          <w:szCs w:val="22"/>
          <w:lang w:eastAsia="en-US"/>
        </w:rPr>
        <w:t>կարող</w:t>
      </w:r>
      <w:r w:rsidRPr="002F5E36">
        <w:rPr>
          <w:rFonts w:cs="Sylfaen"/>
          <w:b w:val="0"/>
          <w:iCs/>
          <w:color w:val="000000"/>
          <w:szCs w:val="22"/>
          <w:lang w:val="en-US" w:eastAsia="en-US"/>
        </w:rPr>
        <w:t xml:space="preserve"> </w:t>
      </w:r>
      <w:r w:rsidRPr="002F5E36">
        <w:rPr>
          <w:rFonts w:cs="Sylfaen"/>
          <w:b w:val="0"/>
          <w:iCs/>
          <w:color w:val="000000"/>
          <w:szCs w:val="22"/>
          <w:lang w:eastAsia="en-US"/>
        </w:rPr>
        <w:t>համարվել</w:t>
      </w:r>
      <w:r w:rsidRPr="002F5E36">
        <w:rPr>
          <w:rFonts w:cs="Sylfaen"/>
          <w:b w:val="0"/>
          <w:iCs/>
          <w:color w:val="000000"/>
          <w:szCs w:val="22"/>
          <w:lang w:val="en-US" w:eastAsia="en-US"/>
        </w:rPr>
        <w:t xml:space="preserve"> </w:t>
      </w:r>
      <w:r w:rsidRPr="002F5E36">
        <w:rPr>
          <w:rFonts w:cs="Sylfaen"/>
          <w:b w:val="0"/>
          <w:iCs/>
          <w:color w:val="000000"/>
          <w:szCs w:val="22"/>
          <w:lang w:eastAsia="en-US"/>
        </w:rPr>
        <w:t>հենանիշային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հարկ</w:t>
      </w:r>
      <w:r w:rsidRPr="002F5E36">
        <w:rPr>
          <w:rFonts w:cs="Sylfaen"/>
          <w:b w:val="0"/>
          <w:iCs/>
          <w:color w:val="000000"/>
          <w:szCs w:val="22"/>
          <w:lang w:val="en-US" w:eastAsia="en-US"/>
        </w:rPr>
        <w:t>,</w:t>
      </w:r>
    </w:p>
    <w:p w14:paraId="78DD4C10" w14:textId="77777777" w:rsidR="002F5E36" w:rsidRPr="002F5E36" w:rsidRDefault="002F5E36" w:rsidP="00347B32">
      <w:pPr>
        <w:numPr>
          <w:ilvl w:val="0"/>
          <w:numId w:val="48"/>
        </w:numPr>
        <w:tabs>
          <w:tab w:val="left" w:pos="567"/>
          <w:tab w:val="left" w:pos="851"/>
        </w:tabs>
        <w:ind w:left="0" w:firstLine="284"/>
        <w:rPr>
          <w:rFonts w:cs="Sylfaen"/>
          <w:b w:val="0"/>
          <w:iCs/>
          <w:color w:val="000000"/>
          <w:szCs w:val="22"/>
          <w:lang w:val="en-US" w:eastAsia="en-US"/>
        </w:rPr>
      </w:pPr>
      <w:r w:rsidRPr="002F5E36">
        <w:rPr>
          <w:rFonts w:cs="Sylfaen"/>
          <w:b w:val="0"/>
          <w:iCs/>
          <w:color w:val="000000"/>
          <w:szCs w:val="22"/>
          <w:lang w:eastAsia="en-US"/>
        </w:rPr>
        <w:t>հաշվարկներում</w:t>
      </w:r>
      <w:r w:rsidRPr="002F5E36">
        <w:rPr>
          <w:rFonts w:cs="Sylfaen"/>
          <w:b w:val="0"/>
          <w:iCs/>
          <w:color w:val="000000"/>
          <w:szCs w:val="22"/>
          <w:lang w:val="en-US" w:eastAsia="en-US"/>
        </w:rPr>
        <w:t xml:space="preserve"> չեն </w:t>
      </w:r>
      <w:r w:rsidRPr="002F5E36">
        <w:rPr>
          <w:rFonts w:cs="Sylfaen"/>
          <w:b w:val="0"/>
          <w:iCs/>
          <w:color w:val="000000"/>
          <w:szCs w:val="22"/>
          <w:lang w:eastAsia="en-US"/>
        </w:rPr>
        <w:t>ներառվ</w:t>
      </w:r>
      <w:r w:rsidRPr="002F5E36">
        <w:rPr>
          <w:rFonts w:cs="Sylfaen"/>
          <w:b w:val="0"/>
          <w:iCs/>
          <w:color w:val="000000"/>
          <w:szCs w:val="22"/>
          <w:lang w:val="en-US" w:eastAsia="en-US"/>
        </w:rPr>
        <w:t xml:space="preserve">ել </w:t>
      </w:r>
      <w:r w:rsidRPr="002F5E36">
        <w:rPr>
          <w:rFonts w:cs="Sylfaen"/>
          <w:b w:val="0"/>
          <w:iCs/>
          <w:color w:val="000000"/>
          <w:szCs w:val="22"/>
          <w:lang w:eastAsia="en-US"/>
        </w:rPr>
        <w:t>նաև</w:t>
      </w:r>
      <w:r w:rsidRPr="002F5E36">
        <w:rPr>
          <w:rFonts w:cs="Sylfaen"/>
          <w:b w:val="0"/>
          <w:iCs/>
          <w:color w:val="000000"/>
          <w:szCs w:val="22"/>
          <w:lang w:val="en-US" w:eastAsia="en-US"/>
        </w:rPr>
        <w:t xml:space="preserve"> </w:t>
      </w:r>
      <w:r w:rsidRPr="002F5E36">
        <w:rPr>
          <w:rFonts w:cs="Sylfaen"/>
          <w:b w:val="0"/>
          <w:iCs/>
          <w:color w:val="000000"/>
          <w:szCs w:val="22"/>
          <w:lang w:eastAsia="en-US"/>
        </w:rPr>
        <w:t>ներդրումային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ծրագրերի</w:t>
      </w:r>
      <w:r w:rsidRPr="002F5E36">
        <w:rPr>
          <w:rFonts w:cs="Sylfaen"/>
          <w:b w:val="0"/>
          <w:iCs/>
          <w:color w:val="000000"/>
          <w:szCs w:val="22"/>
          <w:lang w:val="en-US" w:eastAsia="en-US"/>
        </w:rPr>
        <w:t xml:space="preserve"> </w:t>
      </w:r>
      <w:r w:rsidRPr="002F5E36">
        <w:rPr>
          <w:rFonts w:cs="Sylfaen"/>
          <w:b w:val="0"/>
          <w:iCs/>
          <w:color w:val="000000"/>
          <w:szCs w:val="22"/>
          <w:lang w:eastAsia="en-US"/>
        </w:rPr>
        <w:t>շրջանակներում</w:t>
      </w:r>
      <w:r w:rsidRPr="002F5E36">
        <w:rPr>
          <w:rFonts w:cs="Sylfaen"/>
          <w:b w:val="0"/>
          <w:iCs/>
          <w:color w:val="000000"/>
          <w:szCs w:val="22"/>
          <w:lang w:val="en-US" w:eastAsia="en-US"/>
        </w:rPr>
        <w:t xml:space="preserve"> </w:t>
      </w:r>
      <w:r w:rsidRPr="002F5E36">
        <w:rPr>
          <w:rFonts w:cs="Sylfaen"/>
          <w:b w:val="0"/>
          <w:iCs/>
          <w:color w:val="000000"/>
          <w:szCs w:val="22"/>
          <w:lang w:eastAsia="en-US"/>
        </w:rPr>
        <w:t>ներմուծվող</w:t>
      </w:r>
      <w:r w:rsidRPr="002F5E36">
        <w:rPr>
          <w:rFonts w:cs="Sylfaen"/>
          <w:b w:val="0"/>
          <w:iCs/>
          <w:color w:val="000000"/>
          <w:szCs w:val="22"/>
          <w:lang w:val="en-US" w:eastAsia="en-US"/>
        </w:rPr>
        <w:t xml:space="preserve"> </w:t>
      </w:r>
      <w:r w:rsidRPr="002F5E36">
        <w:rPr>
          <w:rFonts w:cs="Sylfaen"/>
          <w:b w:val="0"/>
          <w:iCs/>
          <w:color w:val="000000"/>
          <w:szCs w:val="22"/>
          <w:lang w:eastAsia="en-US"/>
        </w:rPr>
        <w:t>ապրանքների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մասով</w:t>
      </w:r>
      <w:r w:rsidRPr="002F5E36">
        <w:rPr>
          <w:rFonts w:cs="Sylfaen"/>
          <w:b w:val="0"/>
          <w:iCs/>
          <w:color w:val="000000"/>
          <w:szCs w:val="22"/>
          <w:lang w:val="en-US" w:eastAsia="en-US"/>
        </w:rPr>
        <w:t xml:space="preserve"> </w:t>
      </w:r>
      <w:r w:rsidRPr="002F5E36">
        <w:rPr>
          <w:rFonts w:cs="Sylfaen"/>
          <w:b w:val="0"/>
          <w:iCs/>
          <w:color w:val="000000"/>
          <w:szCs w:val="22"/>
          <w:lang w:eastAsia="en-US"/>
        </w:rPr>
        <w:t>մաքսային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մարմինների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կողմից</w:t>
      </w:r>
      <w:r w:rsidRPr="002F5E36">
        <w:rPr>
          <w:rFonts w:cs="Sylfaen"/>
          <w:b w:val="0"/>
          <w:iCs/>
          <w:color w:val="000000"/>
          <w:szCs w:val="22"/>
          <w:lang w:val="en-US" w:eastAsia="en-US"/>
        </w:rPr>
        <w:t xml:space="preserve"> </w:t>
      </w:r>
      <w:r w:rsidRPr="002F5E36">
        <w:rPr>
          <w:rFonts w:cs="Sylfaen"/>
          <w:b w:val="0"/>
          <w:iCs/>
          <w:color w:val="000000"/>
          <w:szCs w:val="22"/>
          <w:lang w:eastAsia="en-US"/>
        </w:rPr>
        <w:t>հաշվարկվող</w:t>
      </w:r>
      <w:r w:rsidRPr="002F5E36">
        <w:rPr>
          <w:rFonts w:cs="Sylfaen"/>
          <w:b w:val="0"/>
          <w:iCs/>
          <w:color w:val="000000"/>
          <w:szCs w:val="22"/>
          <w:lang w:val="en-US" w:eastAsia="en-US"/>
        </w:rPr>
        <w:t xml:space="preserve"> </w:t>
      </w: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հարկի</w:t>
      </w:r>
      <w:r w:rsidRPr="002F5E36">
        <w:rPr>
          <w:rFonts w:cs="Sylfaen"/>
          <w:b w:val="0"/>
          <w:iCs/>
          <w:color w:val="000000"/>
          <w:szCs w:val="22"/>
          <w:lang w:val="en-US" w:eastAsia="en-US"/>
        </w:rPr>
        <w:t xml:space="preserve"> </w:t>
      </w:r>
      <w:r w:rsidRPr="002F5E36">
        <w:rPr>
          <w:rFonts w:cs="Sylfaen"/>
          <w:b w:val="0"/>
          <w:iCs/>
          <w:color w:val="000000"/>
          <w:szCs w:val="22"/>
          <w:lang w:eastAsia="en-US"/>
        </w:rPr>
        <w:t>գումարները</w:t>
      </w:r>
      <w:r w:rsidRPr="002F5E36">
        <w:rPr>
          <w:rFonts w:cs="Sylfaen"/>
          <w:b w:val="0"/>
          <w:iCs/>
          <w:color w:val="000000"/>
          <w:szCs w:val="22"/>
          <w:lang w:val="en-US" w:eastAsia="en-US"/>
        </w:rPr>
        <w:t xml:space="preserve">, </w:t>
      </w:r>
      <w:r w:rsidRPr="002F5E36">
        <w:rPr>
          <w:rFonts w:cs="Sylfaen"/>
          <w:b w:val="0"/>
          <w:iCs/>
          <w:color w:val="000000"/>
          <w:szCs w:val="22"/>
          <w:lang w:eastAsia="en-US"/>
        </w:rPr>
        <w:t>որոնց</w:t>
      </w:r>
      <w:r w:rsidRPr="002F5E36">
        <w:rPr>
          <w:rFonts w:cs="Sylfaen"/>
          <w:b w:val="0"/>
          <w:iCs/>
          <w:color w:val="000000"/>
          <w:szCs w:val="22"/>
          <w:lang w:val="en-US" w:eastAsia="en-US"/>
        </w:rPr>
        <w:t xml:space="preserve"> </w:t>
      </w:r>
      <w:r w:rsidRPr="002F5E36">
        <w:rPr>
          <w:rFonts w:cs="Sylfaen"/>
          <w:b w:val="0"/>
          <w:iCs/>
          <w:color w:val="000000"/>
          <w:szCs w:val="22"/>
          <w:lang w:eastAsia="en-US"/>
        </w:rPr>
        <w:t>վճարման</w:t>
      </w:r>
      <w:r w:rsidRPr="002F5E36">
        <w:rPr>
          <w:rFonts w:cs="Sylfaen"/>
          <w:b w:val="0"/>
          <w:iCs/>
          <w:color w:val="000000"/>
          <w:szCs w:val="22"/>
          <w:lang w:val="en-US" w:eastAsia="en-US"/>
        </w:rPr>
        <w:t xml:space="preserve"> </w:t>
      </w:r>
      <w:r w:rsidRPr="002F5E36">
        <w:rPr>
          <w:rFonts w:cs="Sylfaen"/>
          <w:b w:val="0"/>
          <w:iCs/>
          <w:color w:val="000000"/>
          <w:szCs w:val="22"/>
          <w:lang w:eastAsia="en-US"/>
        </w:rPr>
        <w:t>ժամկետը</w:t>
      </w:r>
      <w:r w:rsidRPr="002F5E36">
        <w:rPr>
          <w:rFonts w:cs="Sylfaen"/>
          <w:b w:val="0"/>
          <w:iCs/>
          <w:color w:val="000000"/>
          <w:szCs w:val="22"/>
          <w:lang w:val="en-US" w:eastAsia="en-US"/>
        </w:rPr>
        <w:t xml:space="preserve"> </w:t>
      </w:r>
      <w:r w:rsidRPr="002F5E36">
        <w:rPr>
          <w:rFonts w:cs="Sylfaen"/>
          <w:b w:val="0"/>
          <w:iCs/>
          <w:color w:val="000000"/>
          <w:szCs w:val="22"/>
          <w:lang w:eastAsia="en-US"/>
        </w:rPr>
        <w:t>հետաձգվում</w:t>
      </w:r>
      <w:r w:rsidRPr="002F5E36">
        <w:rPr>
          <w:rFonts w:cs="Sylfaen"/>
          <w:b w:val="0"/>
          <w:iCs/>
          <w:color w:val="000000"/>
          <w:szCs w:val="22"/>
          <w:lang w:val="en-US" w:eastAsia="en-US"/>
        </w:rPr>
        <w:t xml:space="preserve"> </w:t>
      </w:r>
      <w:r w:rsidRPr="002F5E36">
        <w:rPr>
          <w:rFonts w:cs="Sylfaen"/>
          <w:b w:val="0"/>
          <w:iCs/>
          <w:color w:val="000000"/>
          <w:szCs w:val="22"/>
          <w:lang w:eastAsia="en-US"/>
        </w:rPr>
        <w:t>է</w:t>
      </w:r>
      <w:r w:rsidRPr="002F5E36">
        <w:rPr>
          <w:rFonts w:cs="Sylfaen"/>
          <w:b w:val="0"/>
          <w:iCs/>
          <w:color w:val="000000"/>
          <w:szCs w:val="22"/>
          <w:lang w:val="en-US" w:eastAsia="en-US"/>
        </w:rPr>
        <w:t xml:space="preserve"> </w:t>
      </w:r>
      <w:r w:rsidRPr="002F5E36">
        <w:rPr>
          <w:rFonts w:cs="Sylfaen"/>
          <w:b w:val="0"/>
          <w:iCs/>
          <w:color w:val="000000"/>
          <w:szCs w:val="22"/>
          <w:lang w:eastAsia="en-US"/>
        </w:rPr>
        <w:t>օրենքով</w:t>
      </w:r>
      <w:r w:rsidRPr="002F5E36">
        <w:rPr>
          <w:rFonts w:cs="Sylfaen"/>
          <w:b w:val="0"/>
          <w:iCs/>
          <w:color w:val="000000"/>
          <w:szCs w:val="22"/>
          <w:lang w:val="en-US" w:eastAsia="en-US"/>
        </w:rPr>
        <w:t xml:space="preserve"> </w:t>
      </w:r>
      <w:r w:rsidRPr="002F5E36">
        <w:rPr>
          <w:rFonts w:cs="Sylfaen"/>
          <w:b w:val="0"/>
          <w:iCs/>
          <w:color w:val="000000"/>
          <w:szCs w:val="22"/>
          <w:lang w:eastAsia="en-US"/>
        </w:rPr>
        <w:t>սահմանված</w:t>
      </w:r>
      <w:r w:rsidRPr="002F5E36">
        <w:rPr>
          <w:rFonts w:cs="Sylfaen"/>
          <w:b w:val="0"/>
          <w:iCs/>
          <w:color w:val="000000"/>
          <w:szCs w:val="22"/>
          <w:lang w:val="en-US" w:eastAsia="en-US"/>
        </w:rPr>
        <w:t xml:space="preserve"> </w:t>
      </w:r>
      <w:r w:rsidRPr="002F5E36">
        <w:rPr>
          <w:rFonts w:cs="Sylfaen"/>
          <w:b w:val="0"/>
          <w:iCs/>
          <w:color w:val="000000"/>
          <w:szCs w:val="22"/>
          <w:lang w:eastAsia="en-US"/>
        </w:rPr>
        <w:t>համապատասխան</w:t>
      </w:r>
      <w:r w:rsidRPr="002F5E36">
        <w:rPr>
          <w:rFonts w:cs="Sylfaen"/>
          <w:b w:val="0"/>
          <w:iCs/>
          <w:color w:val="000000"/>
          <w:szCs w:val="22"/>
          <w:lang w:val="en-US" w:eastAsia="en-US"/>
        </w:rPr>
        <w:t xml:space="preserve"> </w:t>
      </w:r>
      <w:r w:rsidRPr="002F5E36">
        <w:rPr>
          <w:rFonts w:cs="Sylfaen"/>
          <w:b w:val="0"/>
          <w:iCs/>
          <w:color w:val="000000"/>
          <w:szCs w:val="22"/>
          <w:lang w:eastAsia="en-US"/>
        </w:rPr>
        <w:t>ժամկետներով՝</w:t>
      </w:r>
      <w:r w:rsidRPr="002F5E36">
        <w:rPr>
          <w:rFonts w:cs="Sylfaen"/>
          <w:b w:val="0"/>
          <w:iCs/>
          <w:color w:val="000000"/>
          <w:szCs w:val="22"/>
          <w:lang w:val="en-US" w:eastAsia="en-US"/>
        </w:rPr>
        <w:t xml:space="preserve"> </w:t>
      </w:r>
      <w:r w:rsidRPr="002F5E36">
        <w:rPr>
          <w:rFonts w:cs="Sylfaen"/>
          <w:b w:val="0"/>
          <w:iCs/>
          <w:color w:val="000000"/>
          <w:szCs w:val="22"/>
          <w:lang w:eastAsia="en-US"/>
        </w:rPr>
        <w:t>հաշվի</w:t>
      </w:r>
      <w:r w:rsidRPr="002F5E36">
        <w:rPr>
          <w:rFonts w:cs="Sylfaen"/>
          <w:b w:val="0"/>
          <w:iCs/>
          <w:color w:val="000000"/>
          <w:szCs w:val="22"/>
          <w:lang w:val="en-US" w:eastAsia="en-US"/>
        </w:rPr>
        <w:t xml:space="preserve"> </w:t>
      </w:r>
      <w:r w:rsidRPr="002F5E36">
        <w:rPr>
          <w:rFonts w:cs="Sylfaen"/>
          <w:b w:val="0"/>
          <w:iCs/>
          <w:color w:val="000000"/>
          <w:szCs w:val="22"/>
          <w:lang w:eastAsia="en-US"/>
        </w:rPr>
        <w:t>առնելով</w:t>
      </w:r>
      <w:r w:rsidRPr="002F5E36">
        <w:rPr>
          <w:rFonts w:cs="Sylfaen"/>
          <w:b w:val="0"/>
          <w:iCs/>
          <w:color w:val="000000"/>
          <w:szCs w:val="22"/>
          <w:lang w:val="en-US" w:eastAsia="en-US"/>
        </w:rPr>
        <w:t xml:space="preserve"> </w:t>
      </w:r>
      <w:r w:rsidRPr="002F5E36">
        <w:rPr>
          <w:rFonts w:cs="Sylfaen"/>
          <w:b w:val="0"/>
          <w:iCs/>
          <w:color w:val="000000"/>
          <w:szCs w:val="22"/>
          <w:lang w:eastAsia="en-US"/>
        </w:rPr>
        <w:t>այն</w:t>
      </w:r>
      <w:r w:rsidRPr="002F5E36">
        <w:rPr>
          <w:rFonts w:cs="Sylfaen"/>
          <w:b w:val="0"/>
          <w:iCs/>
          <w:color w:val="000000"/>
          <w:szCs w:val="22"/>
          <w:lang w:val="en-US" w:eastAsia="en-US"/>
        </w:rPr>
        <w:t xml:space="preserve">, </w:t>
      </w:r>
      <w:r w:rsidRPr="002F5E36">
        <w:rPr>
          <w:rFonts w:cs="Sylfaen"/>
          <w:b w:val="0"/>
          <w:iCs/>
          <w:color w:val="000000"/>
          <w:szCs w:val="22"/>
          <w:lang w:eastAsia="en-US"/>
        </w:rPr>
        <w:t>որ</w:t>
      </w:r>
      <w:r w:rsidRPr="002F5E36">
        <w:rPr>
          <w:rFonts w:cs="Sylfaen"/>
          <w:b w:val="0"/>
          <w:iCs/>
          <w:color w:val="000000"/>
          <w:szCs w:val="22"/>
          <w:lang w:val="en-US" w:eastAsia="en-US"/>
        </w:rPr>
        <w:t xml:space="preserve"> </w:t>
      </w: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հարկի</w:t>
      </w:r>
      <w:r w:rsidRPr="002F5E36">
        <w:rPr>
          <w:rFonts w:cs="Sylfaen"/>
          <w:b w:val="0"/>
          <w:iCs/>
          <w:color w:val="000000"/>
          <w:szCs w:val="22"/>
          <w:lang w:val="en-US" w:eastAsia="en-US"/>
        </w:rPr>
        <w:t xml:space="preserve"> </w:t>
      </w:r>
      <w:r w:rsidRPr="002F5E36">
        <w:rPr>
          <w:rFonts w:cs="Sylfaen"/>
          <w:b w:val="0"/>
          <w:iCs/>
          <w:color w:val="000000"/>
          <w:szCs w:val="22"/>
          <w:lang w:eastAsia="en-US"/>
        </w:rPr>
        <w:t>գումարների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վճարման</w:t>
      </w:r>
      <w:r w:rsidRPr="002F5E36">
        <w:rPr>
          <w:rFonts w:cs="Sylfaen"/>
          <w:b w:val="0"/>
          <w:iCs/>
          <w:color w:val="000000"/>
          <w:szCs w:val="22"/>
          <w:lang w:val="en-US" w:eastAsia="en-US"/>
        </w:rPr>
        <w:t xml:space="preserve"> </w:t>
      </w:r>
      <w:r w:rsidRPr="002F5E36">
        <w:rPr>
          <w:rFonts w:cs="Sylfaen"/>
          <w:b w:val="0"/>
          <w:iCs/>
          <w:color w:val="000000"/>
          <w:szCs w:val="22"/>
          <w:lang w:eastAsia="en-US"/>
        </w:rPr>
        <w:t>ժամկետի</w:t>
      </w:r>
      <w:r w:rsidRPr="002F5E36">
        <w:rPr>
          <w:rFonts w:cs="Sylfaen"/>
          <w:b w:val="0"/>
          <w:iCs/>
          <w:color w:val="000000"/>
          <w:szCs w:val="22"/>
          <w:lang w:val="en-US" w:eastAsia="en-US"/>
        </w:rPr>
        <w:t xml:space="preserve"> </w:t>
      </w:r>
      <w:r w:rsidRPr="002F5E36">
        <w:rPr>
          <w:rFonts w:cs="Sylfaen"/>
          <w:b w:val="0"/>
          <w:iCs/>
          <w:color w:val="000000"/>
          <w:szCs w:val="22"/>
          <w:lang w:eastAsia="en-US"/>
        </w:rPr>
        <w:t>հետաձգումը</w:t>
      </w:r>
      <w:r w:rsidRPr="002F5E36">
        <w:rPr>
          <w:rFonts w:cs="Sylfaen"/>
          <w:b w:val="0"/>
          <w:iCs/>
          <w:color w:val="000000"/>
          <w:szCs w:val="22"/>
          <w:lang w:val="en-US" w:eastAsia="en-US"/>
        </w:rPr>
        <w:t xml:space="preserve"> </w:t>
      </w:r>
      <w:r w:rsidRPr="002F5E36">
        <w:rPr>
          <w:rFonts w:cs="Sylfaen"/>
          <w:b w:val="0"/>
          <w:iCs/>
          <w:color w:val="000000"/>
          <w:szCs w:val="22"/>
          <w:lang w:eastAsia="en-US"/>
        </w:rPr>
        <w:t>միայն</w:t>
      </w:r>
      <w:r w:rsidRPr="002F5E36">
        <w:rPr>
          <w:rFonts w:cs="Sylfaen"/>
          <w:b w:val="0"/>
          <w:iCs/>
          <w:color w:val="000000"/>
          <w:szCs w:val="22"/>
          <w:lang w:val="en-US" w:eastAsia="en-US"/>
        </w:rPr>
        <w:t xml:space="preserve"> </w:t>
      </w:r>
      <w:r w:rsidRPr="002F5E36">
        <w:rPr>
          <w:rFonts w:cs="Sylfaen"/>
          <w:b w:val="0"/>
          <w:iCs/>
          <w:color w:val="000000"/>
          <w:szCs w:val="22"/>
          <w:lang w:eastAsia="en-US"/>
        </w:rPr>
        <w:t>ժամանակային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ազդեցություն</w:t>
      </w:r>
      <w:r w:rsidRPr="002F5E36">
        <w:rPr>
          <w:rFonts w:cs="Sylfaen"/>
          <w:b w:val="0"/>
          <w:iCs/>
          <w:color w:val="000000"/>
          <w:szCs w:val="22"/>
          <w:lang w:val="en-US" w:eastAsia="en-US"/>
        </w:rPr>
        <w:t xml:space="preserve"> </w:t>
      </w:r>
      <w:r w:rsidRPr="002F5E36">
        <w:rPr>
          <w:rFonts w:cs="Sylfaen"/>
          <w:b w:val="0"/>
          <w:iCs/>
          <w:color w:val="000000"/>
          <w:szCs w:val="22"/>
          <w:lang w:eastAsia="en-US"/>
        </w:rPr>
        <w:t>է</w:t>
      </w:r>
      <w:r w:rsidRPr="002F5E36">
        <w:rPr>
          <w:rFonts w:cs="Sylfaen"/>
          <w:b w:val="0"/>
          <w:iCs/>
          <w:color w:val="000000"/>
          <w:szCs w:val="22"/>
          <w:lang w:val="en-US" w:eastAsia="en-US"/>
        </w:rPr>
        <w:t xml:space="preserve"> </w:t>
      </w:r>
      <w:r w:rsidRPr="002F5E36">
        <w:rPr>
          <w:rFonts w:cs="Sylfaen"/>
          <w:b w:val="0"/>
          <w:iCs/>
          <w:color w:val="000000"/>
          <w:szCs w:val="22"/>
          <w:lang w:eastAsia="en-US"/>
        </w:rPr>
        <w:t>ունենում</w:t>
      </w:r>
      <w:r w:rsidRPr="002F5E36">
        <w:rPr>
          <w:rFonts w:cs="Sylfaen"/>
          <w:b w:val="0"/>
          <w:iCs/>
          <w:color w:val="000000"/>
          <w:szCs w:val="22"/>
          <w:lang w:val="en-US" w:eastAsia="en-US"/>
        </w:rPr>
        <w:t xml:space="preserve"> </w:t>
      </w:r>
      <w:r w:rsidRPr="002F5E36">
        <w:rPr>
          <w:rFonts w:cs="Sylfaen"/>
          <w:b w:val="0"/>
          <w:iCs/>
          <w:color w:val="000000"/>
          <w:szCs w:val="22"/>
          <w:lang w:eastAsia="en-US"/>
        </w:rPr>
        <w:t>պետական</w:t>
      </w:r>
      <w:r w:rsidRPr="002F5E36">
        <w:rPr>
          <w:rFonts w:cs="Sylfaen"/>
          <w:b w:val="0"/>
          <w:iCs/>
          <w:color w:val="000000"/>
          <w:szCs w:val="22"/>
          <w:lang w:val="en-US" w:eastAsia="en-US"/>
        </w:rPr>
        <w:t xml:space="preserve"> </w:t>
      </w:r>
      <w:r w:rsidRPr="002F5E36">
        <w:rPr>
          <w:rFonts w:cs="Sylfaen"/>
          <w:b w:val="0"/>
          <w:iCs/>
          <w:color w:val="000000"/>
          <w:szCs w:val="22"/>
          <w:lang w:eastAsia="en-US"/>
        </w:rPr>
        <w:t>բյուջեի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եկամուտների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մեծության</w:t>
      </w:r>
      <w:r w:rsidRPr="002F5E36">
        <w:rPr>
          <w:rFonts w:cs="Sylfaen"/>
          <w:b w:val="0"/>
          <w:iCs/>
          <w:color w:val="000000"/>
          <w:szCs w:val="22"/>
          <w:lang w:val="en-US" w:eastAsia="en-US"/>
        </w:rPr>
        <w:t xml:space="preserve"> </w:t>
      </w:r>
      <w:r w:rsidRPr="002F5E36">
        <w:rPr>
          <w:rFonts w:cs="Sylfaen"/>
          <w:b w:val="0"/>
          <w:iCs/>
          <w:color w:val="000000"/>
          <w:szCs w:val="22"/>
          <w:lang w:eastAsia="en-US"/>
        </w:rPr>
        <w:t>վրա</w:t>
      </w:r>
      <w:r w:rsidRPr="002F5E36">
        <w:rPr>
          <w:rFonts w:cs="Sylfaen"/>
          <w:b w:val="0"/>
          <w:iCs/>
          <w:color w:val="000000"/>
          <w:szCs w:val="22"/>
          <w:lang w:val="en-US" w:eastAsia="en-US"/>
        </w:rPr>
        <w:t>,</w:t>
      </w:r>
    </w:p>
    <w:p w14:paraId="5CBC03E3" w14:textId="77777777" w:rsidR="002F5E36" w:rsidRPr="002F5E36" w:rsidRDefault="002F5E36" w:rsidP="00347B32">
      <w:pPr>
        <w:numPr>
          <w:ilvl w:val="0"/>
          <w:numId w:val="48"/>
        </w:numPr>
        <w:tabs>
          <w:tab w:val="left" w:pos="567"/>
          <w:tab w:val="left" w:pos="851"/>
        </w:tabs>
        <w:ind w:left="0" w:firstLine="284"/>
        <w:rPr>
          <w:rFonts w:cs="Sylfaen"/>
          <w:b w:val="0"/>
          <w:iCs/>
          <w:color w:val="000000"/>
          <w:szCs w:val="22"/>
          <w:lang w:val="en-US" w:eastAsia="en-US"/>
        </w:rPr>
      </w:pPr>
      <w:r w:rsidRPr="002F5E36">
        <w:rPr>
          <w:rFonts w:cs="Sylfaen"/>
          <w:b w:val="0"/>
          <w:iCs/>
          <w:color w:val="000000"/>
          <w:szCs w:val="22"/>
          <w:lang w:eastAsia="en-US"/>
        </w:rPr>
        <w:t>հաշվարկներում</w:t>
      </w:r>
      <w:r w:rsidRPr="002F5E36">
        <w:rPr>
          <w:rFonts w:cs="Sylfaen"/>
          <w:b w:val="0"/>
          <w:iCs/>
          <w:color w:val="000000"/>
          <w:szCs w:val="22"/>
          <w:lang w:val="en-US" w:eastAsia="en-US"/>
        </w:rPr>
        <w:t xml:space="preserve"> </w:t>
      </w:r>
      <w:r w:rsidRPr="002F5E36">
        <w:rPr>
          <w:rFonts w:cs="Sylfaen"/>
          <w:b w:val="0"/>
          <w:iCs/>
          <w:color w:val="000000"/>
          <w:szCs w:val="22"/>
          <w:lang w:eastAsia="en-US"/>
        </w:rPr>
        <w:t>չեն</w:t>
      </w:r>
      <w:r w:rsidRPr="002F5E36">
        <w:rPr>
          <w:rFonts w:cs="Sylfaen"/>
          <w:b w:val="0"/>
          <w:iCs/>
          <w:color w:val="000000"/>
          <w:szCs w:val="22"/>
          <w:lang w:val="en-US" w:eastAsia="en-US"/>
        </w:rPr>
        <w:t xml:space="preserve"> </w:t>
      </w:r>
      <w:r w:rsidRPr="002F5E36">
        <w:rPr>
          <w:rFonts w:cs="Sylfaen"/>
          <w:b w:val="0"/>
          <w:iCs/>
          <w:color w:val="000000"/>
          <w:szCs w:val="22"/>
          <w:lang w:eastAsia="en-US"/>
        </w:rPr>
        <w:t>ներառվել</w:t>
      </w:r>
      <w:r w:rsidRPr="002F5E36">
        <w:rPr>
          <w:rFonts w:cs="Sylfaen"/>
          <w:b w:val="0"/>
          <w:iCs/>
          <w:color w:val="000000"/>
          <w:szCs w:val="22"/>
          <w:lang w:val="en-US" w:eastAsia="en-US"/>
        </w:rPr>
        <w:t xml:space="preserve"> </w:t>
      </w:r>
      <w:r w:rsidRPr="002F5E36">
        <w:rPr>
          <w:rFonts w:cs="Sylfaen"/>
          <w:b w:val="0"/>
          <w:iCs/>
          <w:color w:val="000000"/>
          <w:szCs w:val="22"/>
          <w:lang w:eastAsia="en-US"/>
        </w:rPr>
        <w:t>նաև</w:t>
      </w:r>
      <w:r w:rsidRPr="002F5E36">
        <w:rPr>
          <w:rFonts w:cs="Sylfaen"/>
          <w:b w:val="0"/>
          <w:iCs/>
          <w:color w:val="000000"/>
          <w:szCs w:val="22"/>
          <w:lang w:val="en-US" w:eastAsia="en-US"/>
        </w:rPr>
        <w:t xml:space="preserve"> </w:t>
      </w:r>
      <w:r w:rsidRPr="002F5E36">
        <w:rPr>
          <w:rFonts w:cs="Sylfaen"/>
          <w:b w:val="0"/>
          <w:iCs/>
          <w:color w:val="000000"/>
          <w:szCs w:val="22"/>
          <w:lang w:eastAsia="en-US"/>
        </w:rPr>
        <w:t>այն</w:t>
      </w:r>
      <w:r w:rsidRPr="002F5E36">
        <w:rPr>
          <w:rFonts w:cs="Sylfaen"/>
          <w:b w:val="0"/>
          <w:iCs/>
          <w:color w:val="000000"/>
          <w:szCs w:val="22"/>
          <w:lang w:val="en-US" w:eastAsia="en-US"/>
        </w:rPr>
        <w:t xml:space="preserve"> </w:t>
      </w:r>
      <w:r w:rsidRPr="002F5E36">
        <w:rPr>
          <w:rFonts w:cs="Sylfaen"/>
          <w:b w:val="0"/>
          <w:iCs/>
          <w:color w:val="000000"/>
          <w:szCs w:val="22"/>
          <w:lang w:eastAsia="en-US"/>
        </w:rPr>
        <w:t>ապրանքների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ներմուծման</w:t>
      </w:r>
      <w:r w:rsidRPr="002F5E36">
        <w:rPr>
          <w:rFonts w:cs="Sylfaen"/>
          <w:b w:val="0"/>
          <w:iCs/>
          <w:color w:val="000000"/>
          <w:szCs w:val="22"/>
          <w:lang w:val="en-US" w:eastAsia="en-US"/>
        </w:rPr>
        <w:t xml:space="preserve"> </w:t>
      </w:r>
      <w:r w:rsidRPr="002F5E36">
        <w:rPr>
          <w:rFonts w:cs="Sylfaen"/>
          <w:b w:val="0"/>
          <w:iCs/>
          <w:color w:val="000000"/>
          <w:szCs w:val="22"/>
          <w:lang w:eastAsia="en-US"/>
        </w:rPr>
        <w:t>համար</w:t>
      </w:r>
      <w:r w:rsidRPr="002F5E36">
        <w:rPr>
          <w:rFonts w:cs="Sylfaen"/>
          <w:b w:val="0"/>
          <w:iCs/>
          <w:color w:val="000000"/>
          <w:szCs w:val="22"/>
          <w:lang w:val="en-US" w:eastAsia="en-US"/>
        </w:rPr>
        <w:t xml:space="preserve"> </w:t>
      </w: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հարկի</w:t>
      </w:r>
      <w:r w:rsidRPr="002F5E36">
        <w:rPr>
          <w:rFonts w:cs="Sylfaen"/>
          <w:b w:val="0"/>
          <w:iCs/>
          <w:color w:val="000000"/>
          <w:szCs w:val="22"/>
          <w:lang w:val="en-US" w:eastAsia="en-US"/>
        </w:rPr>
        <w:t xml:space="preserve"> </w:t>
      </w:r>
      <w:r w:rsidRPr="002F5E36">
        <w:rPr>
          <w:rFonts w:cs="Sylfaen"/>
          <w:b w:val="0"/>
          <w:iCs/>
          <w:color w:val="000000"/>
          <w:szCs w:val="22"/>
          <w:lang w:eastAsia="en-US"/>
        </w:rPr>
        <w:t>հաշվարկային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գումարները</w:t>
      </w:r>
      <w:r w:rsidRPr="002F5E36">
        <w:rPr>
          <w:rFonts w:cs="Sylfaen"/>
          <w:b w:val="0"/>
          <w:iCs/>
          <w:color w:val="000000"/>
          <w:szCs w:val="22"/>
          <w:lang w:val="en-US" w:eastAsia="en-US"/>
        </w:rPr>
        <w:t xml:space="preserve">, </w:t>
      </w:r>
      <w:r w:rsidRPr="002F5E36">
        <w:rPr>
          <w:rFonts w:cs="Sylfaen"/>
          <w:b w:val="0"/>
          <w:iCs/>
          <w:color w:val="000000"/>
          <w:szCs w:val="22"/>
          <w:lang w:eastAsia="en-US"/>
        </w:rPr>
        <w:t>որոնք</w:t>
      </w:r>
      <w:r w:rsidRPr="002F5E36">
        <w:rPr>
          <w:rFonts w:cs="Sylfaen"/>
          <w:b w:val="0"/>
          <w:iCs/>
          <w:color w:val="000000"/>
          <w:szCs w:val="22"/>
          <w:lang w:val="en-US" w:eastAsia="en-US"/>
        </w:rPr>
        <w:t xml:space="preserve"> </w:t>
      </w:r>
      <w:r w:rsidRPr="002F5E36">
        <w:rPr>
          <w:rFonts w:cs="Sylfaen"/>
          <w:b w:val="0"/>
          <w:iCs/>
          <w:color w:val="000000"/>
          <w:szCs w:val="22"/>
          <w:lang w:eastAsia="en-US"/>
        </w:rPr>
        <w:t>ներառված</w:t>
      </w:r>
      <w:r w:rsidRPr="002F5E36">
        <w:rPr>
          <w:rFonts w:cs="Sylfaen"/>
          <w:b w:val="0"/>
          <w:iCs/>
          <w:color w:val="000000"/>
          <w:szCs w:val="22"/>
          <w:lang w:val="en-US" w:eastAsia="en-US"/>
        </w:rPr>
        <w:t xml:space="preserve"> </w:t>
      </w:r>
      <w:r w:rsidRPr="002F5E36">
        <w:rPr>
          <w:rFonts w:cs="Sylfaen"/>
          <w:b w:val="0"/>
          <w:iCs/>
          <w:color w:val="000000"/>
          <w:szCs w:val="22"/>
          <w:lang w:eastAsia="en-US"/>
        </w:rPr>
        <w:t>են</w:t>
      </w:r>
      <w:r w:rsidRPr="002F5E36">
        <w:rPr>
          <w:rFonts w:cs="Sylfaen"/>
          <w:b w:val="0"/>
          <w:iCs/>
          <w:color w:val="000000"/>
          <w:szCs w:val="22"/>
          <w:lang w:val="en-US" w:eastAsia="en-US"/>
        </w:rPr>
        <w:t xml:space="preserve"> «</w:t>
      </w:r>
      <w:r w:rsidRPr="002F5E36">
        <w:rPr>
          <w:rFonts w:cs="Sylfaen"/>
          <w:b w:val="0"/>
          <w:iCs/>
          <w:color w:val="000000"/>
          <w:szCs w:val="22"/>
          <w:lang w:eastAsia="en-US"/>
        </w:rPr>
        <w:t>Կազմակերպությունների</w:t>
      </w:r>
      <w:r w:rsidRPr="002F5E36">
        <w:rPr>
          <w:rFonts w:cs="Sylfaen"/>
          <w:b w:val="0"/>
          <w:iCs/>
          <w:color w:val="000000"/>
          <w:szCs w:val="22"/>
          <w:lang w:val="en-US" w:eastAsia="en-US"/>
        </w:rPr>
        <w:t xml:space="preserve"> </w:t>
      </w:r>
      <w:r w:rsidRPr="002F5E36">
        <w:rPr>
          <w:rFonts w:cs="Sylfaen"/>
          <w:b w:val="0"/>
          <w:iCs/>
          <w:color w:val="000000"/>
          <w:szCs w:val="22"/>
          <w:lang w:eastAsia="en-US"/>
        </w:rPr>
        <w:t>և</w:t>
      </w:r>
      <w:r w:rsidRPr="002F5E36">
        <w:rPr>
          <w:rFonts w:cs="Sylfaen"/>
          <w:b w:val="0"/>
          <w:iCs/>
          <w:color w:val="000000"/>
          <w:szCs w:val="22"/>
          <w:lang w:val="en-US" w:eastAsia="en-US"/>
        </w:rPr>
        <w:t xml:space="preserve"> </w:t>
      </w:r>
      <w:r w:rsidRPr="002F5E36">
        <w:rPr>
          <w:rFonts w:cs="Sylfaen"/>
          <w:b w:val="0"/>
          <w:iCs/>
          <w:color w:val="000000"/>
          <w:szCs w:val="22"/>
          <w:lang w:eastAsia="en-US"/>
        </w:rPr>
        <w:t>անհատ</w:t>
      </w:r>
      <w:r w:rsidRPr="002F5E36">
        <w:rPr>
          <w:rFonts w:cs="Sylfaen"/>
          <w:b w:val="0"/>
          <w:iCs/>
          <w:color w:val="000000"/>
          <w:szCs w:val="22"/>
          <w:lang w:val="en-US" w:eastAsia="en-US"/>
        </w:rPr>
        <w:t xml:space="preserve"> </w:t>
      </w:r>
      <w:r w:rsidRPr="002F5E36">
        <w:rPr>
          <w:rFonts w:cs="Sylfaen"/>
          <w:b w:val="0"/>
          <w:iCs/>
          <w:color w:val="000000"/>
          <w:szCs w:val="22"/>
          <w:lang w:eastAsia="en-US"/>
        </w:rPr>
        <w:t>ձեռնարկատերերի</w:t>
      </w:r>
      <w:r w:rsidRPr="002F5E36">
        <w:rPr>
          <w:rFonts w:cs="Sylfaen"/>
          <w:b w:val="0"/>
          <w:iCs/>
          <w:color w:val="000000"/>
          <w:szCs w:val="22"/>
          <w:lang w:val="en-US" w:eastAsia="en-US"/>
        </w:rPr>
        <w:t xml:space="preserve"> </w:t>
      </w:r>
      <w:r w:rsidRPr="002F5E36">
        <w:rPr>
          <w:rFonts w:cs="Sylfaen"/>
          <w:b w:val="0"/>
          <w:iCs/>
          <w:color w:val="000000"/>
          <w:szCs w:val="22"/>
          <w:lang w:eastAsia="en-US"/>
        </w:rPr>
        <w:t>կողմից</w:t>
      </w:r>
      <w:r w:rsidRPr="002F5E36">
        <w:rPr>
          <w:rFonts w:cs="Sylfaen"/>
          <w:b w:val="0"/>
          <w:iCs/>
          <w:color w:val="000000"/>
          <w:szCs w:val="22"/>
          <w:lang w:val="en-US" w:eastAsia="en-US"/>
        </w:rPr>
        <w:t xml:space="preserve"> </w:t>
      </w:r>
      <w:r w:rsidRPr="002F5E36">
        <w:rPr>
          <w:rFonts w:cs="Sylfaen"/>
          <w:b w:val="0"/>
          <w:iCs/>
          <w:color w:val="000000"/>
          <w:szCs w:val="22"/>
          <w:lang w:eastAsia="en-US"/>
        </w:rPr>
        <w:t>ներմուծվող՝</w:t>
      </w:r>
      <w:r w:rsidRPr="002F5E36">
        <w:rPr>
          <w:rFonts w:cs="Sylfaen"/>
          <w:b w:val="0"/>
          <w:iCs/>
          <w:color w:val="000000"/>
          <w:szCs w:val="22"/>
          <w:lang w:val="en-US" w:eastAsia="en-US"/>
        </w:rPr>
        <w:t xml:space="preserve"> </w:t>
      </w:r>
      <w:r w:rsidRPr="002F5E36">
        <w:rPr>
          <w:rFonts w:cs="Sylfaen"/>
          <w:b w:val="0"/>
          <w:iCs/>
          <w:color w:val="000000"/>
          <w:szCs w:val="22"/>
          <w:lang w:eastAsia="en-US"/>
        </w:rPr>
        <w:t>ակցիզային</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հարկով</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հարկման</w:t>
      </w:r>
      <w:r w:rsidRPr="002F5E36">
        <w:rPr>
          <w:rFonts w:cs="Sylfaen"/>
          <w:b w:val="0"/>
          <w:iCs/>
          <w:color w:val="000000"/>
          <w:szCs w:val="22"/>
          <w:lang w:val="en-US" w:eastAsia="en-US"/>
        </w:rPr>
        <w:t xml:space="preserve"> </w:t>
      </w:r>
      <w:r w:rsidRPr="002F5E36">
        <w:rPr>
          <w:rFonts w:cs="Sylfaen"/>
          <w:b w:val="0"/>
          <w:iCs/>
          <w:color w:val="000000"/>
          <w:szCs w:val="22"/>
          <w:lang w:eastAsia="en-US"/>
        </w:rPr>
        <w:t>ոչ</w:t>
      </w:r>
      <w:r w:rsidRPr="002F5E36">
        <w:rPr>
          <w:rFonts w:cs="Sylfaen"/>
          <w:b w:val="0"/>
          <w:iCs/>
          <w:color w:val="000000"/>
          <w:szCs w:val="22"/>
          <w:lang w:val="en-US" w:eastAsia="en-US"/>
        </w:rPr>
        <w:t xml:space="preserve"> </w:t>
      </w:r>
      <w:r w:rsidRPr="002F5E36">
        <w:rPr>
          <w:rFonts w:cs="Sylfaen"/>
          <w:b w:val="0"/>
          <w:iCs/>
          <w:color w:val="000000"/>
          <w:szCs w:val="22"/>
          <w:lang w:eastAsia="en-US"/>
        </w:rPr>
        <w:t>ենթակա</w:t>
      </w:r>
      <w:r w:rsidRPr="002F5E36">
        <w:rPr>
          <w:rFonts w:cs="Sylfaen"/>
          <w:b w:val="0"/>
          <w:iCs/>
          <w:color w:val="000000"/>
          <w:szCs w:val="22"/>
          <w:lang w:val="en-US" w:eastAsia="en-US"/>
        </w:rPr>
        <w:t xml:space="preserve"> </w:t>
      </w:r>
      <w:r w:rsidRPr="002F5E36">
        <w:rPr>
          <w:rFonts w:cs="Sylfaen"/>
          <w:b w:val="0"/>
          <w:iCs/>
          <w:color w:val="000000"/>
          <w:szCs w:val="22"/>
          <w:lang w:eastAsia="en-US"/>
        </w:rPr>
        <w:t>այն</w:t>
      </w:r>
      <w:r w:rsidRPr="002F5E36">
        <w:rPr>
          <w:rFonts w:cs="Sylfaen"/>
          <w:b w:val="0"/>
          <w:iCs/>
          <w:color w:val="000000"/>
          <w:szCs w:val="22"/>
          <w:lang w:val="en-US" w:eastAsia="en-US"/>
        </w:rPr>
        <w:t xml:space="preserve"> </w:t>
      </w:r>
      <w:r w:rsidRPr="002F5E36">
        <w:rPr>
          <w:rFonts w:cs="Sylfaen"/>
          <w:b w:val="0"/>
          <w:iCs/>
          <w:color w:val="000000"/>
          <w:szCs w:val="22"/>
          <w:lang w:eastAsia="en-US"/>
        </w:rPr>
        <w:t>ապրանքների</w:t>
      </w:r>
      <w:r w:rsidRPr="002F5E36">
        <w:rPr>
          <w:rFonts w:cs="Sylfaen"/>
          <w:b w:val="0"/>
          <w:iCs/>
          <w:color w:val="000000"/>
          <w:szCs w:val="22"/>
          <w:lang w:val="en-US" w:eastAsia="en-US"/>
        </w:rPr>
        <w:t xml:space="preserve"> </w:t>
      </w:r>
      <w:r w:rsidRPr="002F5E36">
        <w:rPr>
          <w:rFonts w:cs="Sylfaen"/>
          <w:b w:val="0"/>
          <w:iCs/>
          <w:color w:val="000000"/>
          <w:szCs w:val="22"/>
          <w:lang w:eastAsia="en-US"/>
        </w:rPr>
        <w:t>ցանկը</w:t>
      </w:r>
      <w:r w:rsidRPr="002F5E36">
        <w:rPr>
          <w:rFonts w:cs="Sylfaen"/>
          <w:b w:val="0"/>
          <w:iCs/>
          <w:color w:val="000000"/>
          <w:szCs w:val="22"/>
          <w:lang w:val="en-US" w:eastAsia="en-US"/>
        </w:rPr>
        <w:t xml:space="preserve"> հաստատելու մասին, </w:t>
      </w:r>
      <w:r w:rsidRPr="002F5E36">
        <w:rPr>
          <w:rFonts w:cs="Sylfaen"/>
          <w:b w:val="0"/>
          <w:iCs/>
          <w:color w:val="000000"/>
          <w:szCs w:val="22"/>
          <w:lang w:eastAsia="en-US"/>
        </w:rPr>
        <w:t>որոնց</w:t>
      </w:r>
      <w:r w:rsidRPr="002F5E36">
        <w:rPr>
          <w:rFonts w:cs="Sylfaen"/>
          <w:b w:val="0"/>
          <w:iCs/>
          <w:color w:val="000000"/>
          <w:szCs w:val="22"/>
          <w:lang w:val="en-US" w:eastAsia="en-US"/>
        </w:rPr>
        <w:t xml:space="preserve"> </w:t>
      </w:r>
      <w:r w:rsidRPr="002F5E36">
        <w:rPr>
          <w:rFonts w:cs="Sylfaen"/>
          <w:b w:val="0"/>
          <w:iCs/>
          <w:color w:val="000000"/>
          <w:szCs w:val="22"/>
          <w:lang w:eastAsia="en-US"/>
        </w:rPr>
        <w:t>ներմուծումն</w:t>
      </w:r>
      <w:r w:rsidRPr="002F5E36">
        <w:rPr>
          <w:rFonts w:cs="Sylfaen"/>
          <w:b w:val="0"/>
          <w:iCs/>
          <w:color w:val="000000"/>
          <w:szCs w:val="22"/>
          <w:lang w:val="en-US" w:eastAsia="en-US"/>
        </w:rPr>
        <w:t xml:space="preserve"> </w:t>
      </w:r>
      <w:r w:rsidRPr="002F5E36">
        <w:rPr>
          <w:rFonts w:cs="Sylfaen"/>
          <w:b w:val="0"/>
          <w:iCs/>
          <w:color w:val="000000"/>
          <w:szCs w:val="22"/>
          <w:lang w:eastAsia="en-US"/>
        </w:rPr>
        <w:t>ազատված</w:t>
      </w:r>
      <w:r w:rsidRPr="002F5E36">
        <w:rPr>
          <w:rFonts w:cs="Sylfaen"/>
          <w:b w:val="0"/>
          <w:iCs/>
          <w:color w:val="000000"/>
          <w:szCs w:val="22"/>
          <w:lang w:val="en-US" w:eastAsia="en-US"/>
        </w:rPr>
        <w:t xml:space="preserve"> </w:t>
      </w:r>
      <w:r w:rsidRPr="002F5E36">
        <w:rPr>
          <w:rFonts w:cs="Sylfaen"/>
          <w:b w:val="0"/>
          <w:iCs/>
          <w:color w:val="000000"/>
          <w:szCs w:val="22"/>
          <w:lang w:eastAsia="en-US"/>
        </w:rPr>
        <w:t>է</w:t>
      </w:r>
      <w:r w:rsidRPr="002F5E36">
        <w:rPr>
          <w:rFonts w:cs="Sylfaen"/>
          <w:b w:val="0"/>
          <w:iCs/>
          <w:color w:val="000000"/>
          <w:szCs w:val="22"/>
          <w:lang w:val="en-US" w:eastAsia="en-US"/>
        </w:rPr>
        <w:t xml:space="preserve"> </w:t>
      </w: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հարկից</w:t>
      </w:r>
      <w:r w:rsidRPr="002F5E36">
        <w:rPr>
          <w:rFonts w:cs="Sylfaen"/>
          <w:b w:val="0"/>
          <w:iCs/>
          <w:color w:val="000000"/>
          <w:szCs w:val="22"/>
          <w:lang w:val="en-US" w:eastAsia="en-US"/>
        </w:rPr>
        <w:t xml:space="preserve">» </w:t>
      </w:r>
      <w:r w:rsidRPr="002F5E36">
        <w:rPr>
          <w:rFonts w:cs="Sylfaen"/>
          <w:b w:val="0"/>
          <w:iCs/>
          <w:color w:val="000000"/>
          <w:szCs w:val="22"/>
          <w:lang w:eastAsia="en-US"/>
        </w:rPr>
        <w:t>ՀՀ</w:t>
      </w:r>
      <w:r w:rsidRPr="002F5E36">
        <w:rPr>
          <w:rFonts w:cs="Sylfaen"/>
          <w:b w:val="0"/>
          <w:iCs/>
          <w:color w:val="000000"/>
          <w:szCs w:val="22"/>
          <w:lang w:val="en-US" w:eastAsia="en-US"/>
        </w:rPr>
        <w:t xml:space="preserve"> </w:t>
      </w:r>
      <w:r w:rsidRPr="002F5E36">
        <w:rPr>
          <w:rFonts w:cs="Sylfaen"/>
          <w:b w:val="0"/>
          <w:iCs/>
          <w:color w:val="000000"/>
          <w:szCs w:val="22"/>
          <w:lang w:eastAsia="en-US"/>
        </w:rPr>
        <w:t>օրենքով</w:t>
      </w:r>
      <w:r w:rsidRPr="002F5E36">
        <w:rPr>
          <w:rFonts w:cs="Sylfaen"/>
          <w:b w:val="0"/>
          <w:iCs/>
          <w:color w:val="000000"/>
          <w:szCs w:val="22"/>
          <w:lang w:val="en-US" w:eastAsia="en-US"/>
        </w:rPr>
        <w:t xml:space="preserve"> </w:t>
      </w:r>
      <w:r w:rsidRPr="002F5E36">
        <w:rPr>
          <w:rFonts w:cs="Sylfaen"/>
          <w:b w:val="0"/>
          <w:iCs/>
          <w:color w:val="000000"/>
          <w:szCs w:val="22"/>
          <w:lang w:eastAsia="en-US"/>
        </w:rPr>
        <w:t>հաստատված</w:t>
      </w:r>
      <w:r w:rsidRPr="002F5E36">
        <w:rPr>
          <w:rFonts w:cs="Sylfaen"/>
          <w:b w:val="0"/>
          <w:iCs/>
          <w:color w:val="000000"/>
          <w:szCs w:val="22"/>
          <w:lang w:val="en-US" w:eastAsia="en-US"/>
        </w:rPr>
        <w:t xml:space="preserve"> </w:t>
      </w:r>
      <w:r w:rsidRPr="002F5E36">
        <w:rPr>
          <w:rFonts w:cs="Sylfaen"/>
          <w:b w:val="0"/>
          <w:iCs/>
          <w:color w:val="000000"/>
          <w:szCs w:val="22"/>
          <w:lang w:eastAsia="en-US"/>
        </w:rPr>
        <w:t>ցանկում</w:t>
      </w:r>
      <w:r w:rsidRPr="002F5E36">
        <w:rPr>
          <w:rFonts w:cs="Sylfaen"/>
          <w:b w:val="0"/>
          <w:iCs/>
          <w:color w:val="000000"/>
          <w:szCs w:val="22"/>
          <w:lang w:val="en-US" w:eastAsia="en-US"/>
        </w:rPr>
        <w:t xml:space="preserve">, </w:t>
      </w:r>
      <w:r w:rsidRPr="002F5E36">
        <w:rPr>
          <w:rFonts w:cs="Sylfaen"/>
          <w:b w:val="0"/>
          <w:iCs/>
          <w:color w:val="000000"/>
          <w:szCs w:val="22"/>
          <w:lang w:eastAsia="en-US"/>
        </w:rPr>
        <w:t>քանի</w:t>
      </w:r>
      <w:r w:rsidRPr="002F5E36">
        <w:rPr>
          <w:rFonts w:cs="Sylfaen"/>
          <w:b w:val="0"/>
          <w:iCs/>
          <w:color w:val="000000"/>
          <w:szCs w:val="22"/>
          <w:lang w:val="en-US" w:eastAsia="en-US"/>
        </w:rPr>
        <w:t xml:space="preserve"> </w:t>
      </w:r>
      <w:r w:rsidRPr="002F5E36">
        <w:rPr>
          <w:rFonts w:cs="Sylfaen"/>
          <w:b w:val="0"/>
          <w:iCs/>
          <w:color w:val="000000"/>
          <w:szCs w:val="22"/>
          <w:lang w:eastAsia="en-US"/>
        </w:rPr>
        <w:t>որ</w:t>
      </w:r>
      <w:r w:rsidRPr="002F5E36">
        <w:rPr>
          <w:rFonts w:cs="Sylfaen"/>
          <w:b w:val="0"/>
          <w:iCs/>
          <w:color w:val="000000"/>
          <w:szCs w:val="22"/>
          <w:lang w:val="en-US" w:eastAsia="en-US"/>
        </w:rPr>
        <w:t xml:space="preserve"> </w:t>
      </w:r>
      <w:r w:rsidRPr="002F5E36">
        <w:rPr>
          <w:rFonts w:cs="Sylfaen"/>
          <w:b w:val="0"/>
          <w:iCs/>
          <w:color w:val="000000"/>
          <w:szCs w:val="22"/>
          <w:lang w:eastAsia="en-US"/>
        </w:rPr>
        <w:t>այդ</w:t>
      </w:r>
      <w:r w:rsidRPr="002F5E36">
        <w:rPr>
          <w:rFonts w:cs="Sylfaen"/>
          <w:b w:val="0"/>
          <w:iCs/>
          <w:color w:val="000000"/>
          <w:szCs w:val="22"/>
          <w:lang w:val="en-US" w:eastAsia="en-US"/>
        </w:rPr>
        <w:t xml:space="preserve"> </w:t>
      </w:r>
      <w:r w:rsidRPr="002F5E36">
        <w:rPr>
          <w:rFonts w:cs="Sylfaen"/>
          <w:b w:val="0"/>
          <w:iCs/>
          <w:color w:val="000000"/>
          <w:szCs w:val="22"/>
          <w:lang w:eastAsia="en-US"/>
        </w:rPr>
        <w:t>ապրանքների</w:t>
      </w:r>
      <w:r w:rsidRPr="002F5E36">
        <w:rPr>
          <w:rFonts w:cs="Sylfaen"/>
          <w:b w:val="0"/>
          <w:iCs/>
          <w:color w:val="000000"/>
          <w:szCs w:val="22"/>
          <w:lang w:val="en-US" w:eastAsia="en-US"/>
        </w:rPr>
        <w:t xml:space="preserve"> </w:t>
      </w:r>
      <w:r w:rsidRPr="002F5E36">
        <w:rPr>
          <w:rFonts w:cs="Sylfaen"/>
          <w:b w:val="0"/>
          <w:iCs/>
          <w:color w:val="000000"/>
          <w:szCs w:val="22"/>
          <w:lang w:eastAsia="en-US"/>
        </w:rPr>
        <w:t>մասով</w:t>
      </w:r>
      <w:r w:rsidRPr="002F5E36">
        <w:rPr>
          <w:rFonts w:cs="Sylfaen"/>
          <w:b w:val="0"/>
          <w:iCs/>
          <w:color w:val="000000"/>
          <w:szCs w:val="22"/>
          <w:lang w:val="en-US" w:eastAsia="en-US"/>
        </w:rPr>
        <w:t xml:space="preserve">, </w:t>
      </w:r>
      <w:r w:rsidRPr="002F5E36">
        <w:rPr>
          <w:rFonts w:cs="Sylfaen"/>
          <w:b w:val="0"/>
          <w:iCs/>
          <w:color w:val="000000"/>
          <w:szCs w:val="22"/>
          <w:lang w:eastAsia="en-US"/>
        </w:rPr>
        <w:t>տնտեսական</w:t>
      </w:r>
      <w:r w:rsidRPr="002F5E36">
        <w:rPr>
          <w:rFonts w:cs="Sylfaen"/>
          <w:b w:val="0"/>
          <w:iCs/>
          <w:color w:val="000000"/>
          <w:szCs w:val="22"/>
          <w:lang w:val="en-US" w:eastAsia="en-US"/>
        </w:rPr>
        <w:t xml:space="preserve"> </w:t>
      </w:r>
      <w:r w:rsidRPr="002F5E36">
        <w:rPr>
          <w:rFonts w:cs="Sylfaen"/>
          <w:b w:val="0"/>
          <w:iCs/>
          <w:color w:val="000000"/>
          <w:szCs w:val="22"/>
          <w:lang w:eastAsia="en-US"/>
        </w:rPr>
        <w:t>գործունեության</w:t>
      </w:r>
      <w:r w:rsidRPr="002F5E36">
        <w:rPr>
          <w:rFonts w:cs="Sylfaen"/>
          <w:b w:val="0"/>
          <w:iCs/>
          <w:color w:val="000000"/>
          <w:szCs w:val="22"/>
          <w:lang w:val="en-US" w:eastAsia="en-US"/>
        </w:rPr>
        <w:t xml:space="preserve"> </w:t>
      </w:r>
      <w:r w:rsidRPr="002F5E36">
        <w:rPr>
          <w:rFonts w:cs="Sylfaen"/>
          <w:b w:val="0"/>
          <w:iCs/>
          <w:color w:val="000000"/>
          <w:szCs w:val="22"/>
          <w:lang w:eastAsia="en-US"/>
        </w:rPr>
        <w:t>հետագա</w:t>
      </w:r>
      <w:r w:rsidRPr="002F5E36">
        <w:rPr>
          <w:rFonts w:cs="Sylfaen"/>
          <w:b w:val="0"/>
          <w:iCs/>
          <w:color w:val="000000"/>
          <w:szCs w:val="22"/>
          <w:lang w:val="en-US" w:eastAsia="en-US"/>
        </w:rPr>
        <w:t xml:space="preserve"> փուլերում կարող են ձևավորվել ավելացված արժեքով հարկման բազաներ, որոնցից </w:t>
      </w:r>
      <w:r w:rsidRPr="002F5E36">
        <w:rPr>
          <w:rFonts w:cs="Sylfaen"/>
          <w:b w:val="0"/>
          <w:iCs/>
          <w:color w:val="000000"/>
          <w:szCs w:val="22"/>
          <w:lang w:eastAsia="en-US"/>
        </w:rPr>
        <w:t>ավելացված</w:t>
      </w:r>
      <w:r w:rsidRPr="002F5E36">
        <w:rPr>
          <w:rFonts w:cs="Sylfaen"/>
          <w:b w:val="0"/>
          <w:iCs/>
          <w:color w:val="000000"/>
          <w:szCs w:val="22"/>
          <w:lang w:val="en-US" w:eastAsia="en-US"/>
        </w:rPr>
        <w:t xml:space="preserve"> </w:t>
      </w:r>
      <w:r w:rsidRPr="002F5E36">
        <w:rPr>
          <w:rFonts w:cs="Sylfaen"/>
          <w:b w:val="0"/>
          <w:iCs/>
          <w:color w:val="000000"/>
          <w:szCs w:val="22"/>
          <w:lang w:eastAsia="en-US"/>
        </w:rPr>
        <w:t>արժեքի</w:t>
      </w:r>
      <w:r w:rsidRPr="002F5E36">
        <w:rPr>
          <w:rFonts w:cs="Sylfaen"/>
          <w:b w:val="0"/>
          <w:iCs/>
          <w:color w:val="000000"/>
          <w:szCs w:val="22"/>
          <w:lang w:val="en-US" w:eastAsia="en-US"/>
        </w:rPr>
        <w:t xml:space="preserve"> </w:t>
      </w:r>
      <w:r w:rsidRPr="002F5E36">
        <w:rPr>
          <w:rFonts w:cs="Sylfaen"/>
          <w:b w:val="0"/>
          <w:iCs/>
          <w:color w:val="000000"/>
          <w:szCs w:val="22"/>
          <w:lang w:eastAsia="en-US"/>
        </w:rPr>
        <w:t>հարկ</w:t>
      </w:r>
      <w:r w:rsidRPr="002F5E36">
        <w:rPr>
          <w:rFonts w:cs="Sylfaen"/>
          <w:b w:val="0"/>
          <w:iCs/>
          <w:color w:val="000000"/>
          <w:szCs w:val="22"/>
          <w:lang w:val="en-US" w:eastAsia="en-US"/>
        </w:rPr>
        <w:t xml:space="preserve">ը </w:t>
      </w:r>
      <w:r w:rsidRPr="002F5E36">
        <w:rPr>
          <w:rFonts w:cs="Sylfaen"/>
          <w:b w:val="0"/>
          <w:iCs/>
          <w:color w:val="000000"/>
          <w:szCs w:val="22"/>
          <w:lang w:eastAsia="en-US"/>
        </w:rPr>
        <w:t>հաշվարկվ</w:t>
      </w:r>
      <w:r w:rsidRPr="002F5E36">
        <w:rPr>
          <w:rFonts w:cs="Sylfaen"/>
          <w:b w:val="0"/>
          <w:iCs/>
          <w:color w:val="000000"/>
          <w:szCs w:val="22"/>
          <w:lang w:val="en-US" w:eastAsia="en-US"/>
        </w:rPr>
        <w:t xml:space="preserve">ում </w:t>
      </w:r>
      <w:r w:rsidRPr="002F5E36">
        <w:rPr>
          <w:rFonts w:cs="Sylfaen"/>
          <w:b w:val="0"/>
          <w:iCs/>
          <w:color w:val="000000"/>
          <w:szCs w:val="22"/>
          <w:lang w:eastAsia="en-US"/>
        </w:rPr>
        <w:t>և</w:t>
      </w:r>
      <w:r w:rsidRPr="002F5E36">
        <w:rPr>
          <w:rFonts w:cs="Sylfaen"/>
          <w:b w:val="0"/>
          <w:iCs/>
          <w:color w:val="000000"/>
          <w:szCs w:val="22"/>
          <w:lang w:val="en-US" w:eastAsia="en-US"/>
        </w:rPr>
        <w:t xml:space="preserve"> </w:t>
      </w:r>
      <w:r w:rsidRPr="002F5E36">
        <w:rPr>
          <w:rFonts w:cs="Sylfaen"/>
          <w:b w:val="0"/>
          <w:iCs/>
          <w:color w:val="000000"/>
          <w:szCs w:val="22"/>
          <w:lang w:eastAsia="en-US"/>
        </w:rPr>
        <w:t>վճարվ</w:t>
      </w:r>
      <w:r w:rsidRPr="002F5E36">
        <w:rPr>
          <w:rFonts w:cs="Sylfaen"/>
          <w:b w:val="0"/>
          <w:iCs/>
          <w:color w:val="000000"/>
          <w:szCs w:val="22"/>
          <w:lang w:val="en-US" w:eastAsia="en-US"/>
        </w:rPr>
        <w:t xml:space="preserve">ում է </w:t>
      </w:r>
      <w:r w:rsidRPr="002F5E36">
        <w:rPr>
          <w:rFonts w:cs="Sylfaen"/>
          <w:b w:val="0"/>
          <w:iCs/>
          <w:color w:val="000000"/>
          <w:szCs w:val="22"/>
          <w:lang w:eastAsia="en-US"/>
        </w:rPr>
        <w:t>օրենքով</w:t>
      </w:r>
      <w:r w:rsidRPr="002F5E36">
        <w:rPr>
          <w:rFonts w:cs="Sylfaen"/>
          <w:b w:val="0"/>
          <w:iCs/>
          <w:color w:val="000000"/>
          <w:szCs w:val="22"/>
          <w:lang w:val="en-US" w:eastAsia="en-US"/>
        </w:rPr>
        <w:t xml:space="preserve"> </w:t>
      </w:r>
      <w:r w:rsidRPr="002F5E36">
        <w:rPr>
          <w:rFonts w:cs="Sylfaen"/>
          <w:b w:val="0"/>
          <w:iCs/>
          <w:color w:val="000000"/>
          <w:szCs w:val="22"/>
          <w:lang w:eastAsia="en-US"/>
        </w:rPr>
        <w:t>սահմանված</w:t>
      </w:r>
      <w:r w:rsidRPr="002F5E36">
        <w:rPr>
          <w:rFonts w:cs="Sylfaen"/>
          <w:b w:val="0"/>
          <w:iCs/>
          <w:color w:val="000000"/>
          <w:szCs w:val="22"/>
          <w:lang w:val="en-US" w:eastAsia="en-US"/>
        </w:rPr>
        <w:t xml:space="preserve"> </w:t>
      </w:r>
      <w:r w:rsidRPr="002F5E36">
        <w:rPr>
          <w:rFonts w:cs="Sylfaen"/>
          <w:b w:val="0"/>
          <w:iCs/>
          <w:color w:val="000000"/>
          <w:szCs w:val="22"/>
          <w:lang w:eastAsia="en-US"/>
        </w:rPr>
        <w:t>կարգով</w:t>
      </w:r>
      <w:r w:rsidRPr="002F5E36">
        <w:rPr>
          <w:rFonts w:cs="Sylfaen"/>
          <w:b w:val="0"/>
          <w:iCs/>
          <w:color w:val="000000"/>
          <w:szCs w:val="22"/>
          <w:lang w:val="en-US" w:eastAsia="en-US"/>
        </w:rPr>
        <w:t>:</w:t>
      </w:r>
    </w:p>
    <w:p w14:paraId="33EE01E5" w14:textId="77777777" w:rsidR="002F5E36" w:rsidRPr="002F5E36" w:rsidRDefault="002F5E36" w:rsidP="00347B32">
      <w:pPr>
        <w:rPr>
          <w:b w:val="0"/>
          <w:szCs w:val="22"/>
          <w:lang w:val="en-US" w:eastAsia="en-US"/>
        </w:rPr>
      </w:pPr>
      <w:r w:rsidRPr="002F5E36">
        <w:rPr>
          <w:b w:val="0"/>
          <w:szCs w:val="22"/>
          <w:lang w:val="en-US" w:eastAsia="en-US"/>
        </w:rPr>
        <w:t xml:space="preserve">Այսպիսով, 2024 թվականի ԱԱՀ-ի գծով գնահատված հարկային ծախսերը կազմում են </w:t>
      </w:r>
      <w:r w:rsidRPr="002F5E36">
        <w:rPr>
          <w:rFonts w:cs="Sylfaen"/>
          <w:iCs/>
          <w:color w:val="000000"/>
          <w:szCs w:val="22"/>
          <w:lang w:val="en-US" w:eastAsia="en-US"/>
        </w:rPr>
        <w:t>486,442</w:t>
      </w:r>
      <w:r w:rsidRPr="002F5E36">
        <w:rPr>
          <w:rFonts w:cs="Sylfaen"/>
          <w:iCs/>
          <w:color w:val="000000"/>
          <w:szCs w:val="22"/>
          <w:lang w:val="hy-AM" w:eastAsia="en-US"/>
        </w:rPr>
        <w:t xml:space="preserve"> </w:t>
      </w:r>
      <w:r w:rsidRPr="002F5E36">
        <w:rPr>
          <w:i/>
          <w:szCs w:val="22"/>
          <w:lang w:val="en-US" w:eastAsia="en-US"/>
        </w:rPr>
        <w:t>մլն. դրամ</w:t>
      </w:r>
      <w:r w:rsidRPr="002F5E36">
        <w:rPr>
          <w:b w:val="0"/>
          <w:szCs w:val="22"/>
          <w:lang w:val="en-US" w:eastAsia="en-US"/>
        </w:rPr>
        <w:t xml:space="preserve">: </w:t>
      </w:r>
    </w:p>
    <w:p w14:paraId="4CCB6D48" w14:textId="77777777" w:rsidR="002F5E36" w:rsidRPr="002F5E36" w:rsidRDefault="002F5E36" w:rsidP="00347B32">
      <w:pPr>
        <w:rPr>
          <w:b w:val="0"/>
          <w:i/>
          <w:szCs w:val="22"/>
          <w:lang w:val="en-US" w:eastAsia="en-US"/>
        </w:rPr>
      </w:pPr>
      <w:r w:rsidRPr="002F5E36">
        <w:rPr>
          <w:b w:val="0"/>
          <w:i/>
          <w:szCs w:val="22"/>
          <w:lang w:val="en-US" w:eastAsia="en-US"/>
        </w:rPr>
        <w:lastRenderedPageBreak/>
        <w:t>Տրված գնահատականում ներառված է նաև ԱԱՀ-ի շեմի կիրառության հետևան</w:t>
      </w:r>
      <w:r w:rsidRPr="002F5E36">
        <w:rPr>
          <w:b w:val="0"/>
          <w:i/>
          <w:szCs w:val="22"/>
          <w:lang w:val="en-US" w:eastAsia="en-US"/>
        </w:rPr>
        <w:softHyphen/>
        <w:t>քով ԱԱՀ-ի գծով հարկային եկամուտների հաշվարկային կորուստը, որը սույն հաշվետ</w:t>
      </w:r>
      <w:r w:rsidRPr="002F5E36">
        <w:rPr>
          <w:b w:val="0"/>
          <w:i/>
          <w:szCs w:val="22"/>
          <w:lang w:val="en-US" w:eastAsia="en-US"/>
        </w:rPr>
        <w:softHyphen/>
        <w:t>վու</w:t>
      </w:r>
      <w:r w:rsidRPr="002F5E36">
        <w:rPr>
          <w:b w:val="0"/>
          <w:i/>
          <w:szCs w:val="22"/>
          <w:lang w:val="en-US" w:eastAsia="en-US"/>
        </w:rPr>
        <w:softHyphen/>
      </w:r>
      <w:r w:rsidRPr="002F5E36">
        <w:rPr>
          <w:b w:val="0"/>
          <w:i/>
          <w:szCs w:val="22"/>
          <w:lang w:val="en-US" w:eastAsia="en-US"/>
        </w:rPr>
        <w:softHyphen/>
        <w:t xml:space="preserve">թյունում ներկայացվում է առանձին գնահատմամբ և կազմում է </w:t>
      </w:r>
      <w:r w:rsidRPr="002F5E36">
        <w:rPr>
          <w:i/>
          <w:szCs w:val="22"/>
          <w:lang w:val="en-US" w:eastAsia="en-US"/>
        </w:rPr>
        <w:t xml:space="preserve">75,162 մլն. դրամ, </w:t>
      </w:r>
      <w:r w:rsidRPr="002F5E36">
        <w:rPr>
          <w:b w:val="0"/>
          <w:szCs w:val="22"/>
          <w:lang w:val="en-US" w:eastAsia="en-US"/>
        </w:rPr>
        <w:t xml:space="preserve">ինչպես նաև միկրոբիզնեսին տրված հարկային արտոնությունների մասով ԱԱՀ-ի գծով </w:t>
      </w:r>
      <w:r w:rsidRPr="002F5E36">
        <w:rPr>
          <w:b w:val="0"/>
          <w:i/>
          <w:szCs w:val="22"/>
          <w:lang w:val="en-US" w:eastAsia="en-US"/>
        </w:rPr>
        <w:t>հարկային եկամուտների հաշվարկային կորուստը, որը սույն հաշվետ</w:t>
      </w:r>
      <w:r w:rsidRPr="002F5E36">
        <w:rPr>
          <w:b w:val="0"/>
          <w:i/>
          <w:szCs w:val="22"/>
          <w:lang w:val="en-US" w:eastAsia="en-US"/>
        </w:rPr>
        <w:softHyphen/>
        <w:t>վու</w:t>
      </w:r>
      <w:r w:rsidRPr="002F5E36">
        <w:rPr>
          <w:b w:val="0"/>
          <w:i/>
          <w:szCs w:val="22"/>
          <w:lang w:val="en-US" w:eastAsia="en-US"/>
        </w:rPr>
        <w:softHyphen/>
      </w:r>
      <w:r w:rsidRPr="002F5E36">
        <w:rPr>
          <w:b w:val="0"/>
          <w:i/>
          <w:szCs w:val="22"/>
          <w:lang w:val="en-US" w:eastAsia="en-US"/>
        </w:rPr>
        <w:softHyphen/>
        <w:t xml:space="preserve">թյունում ներկայացվում է առանձին գնահատմամբ և կազմում է </w:t>
      </w:r>
      <w:r w:rsidRPr="002F5E36">
        <w:rPr>
          <w:i/>
          <w:szCs w:val="22"/>
          <w:lang w:val="en-US" w:eastAsia="en-US"/>
        </w:rPr>
        <w:t>29,596 մլն. դրամ</w:t>
      </w:r>
      <w:r w:rsidRPr="002F5E36">
        <w:rPr>
          <w:b w:val="0"/>
          <w:i/>
          <w:szCs w:val="22"/>
          <w:lang w:val="en-US" w:eastAsia="en-US"/>
        </w:rPr>
        <w:t>:</w:t>
      </w:r>
    </w:p>
    <w:p w14:paraId="332C3AC0" w14:textId="77777777" w:rsidR="002F5E36" w:rsidRPr="002F5E36" w:rsidRDefault="002F5E36" w:rsidP="00347B32">
      <w:pPr>
        <w:tabs>
          <w:tab w:val="left" w:pos="851"/>
        </w:tabs>
        <w:ind w:left="567"/>
        <w:rPr>
          <w:i/>
          <w:szCs w:val="22"/>
          <w:lang w:val="en-US" w:eastAsia="en-US"/>
        </w:rPr>
      </w:pPr>
    </w:p>
    <w:p w14:paraId="42D69830" w14:textId="77777777" w:rsidR="002F5E36" w:rsidRPr="002F5E36" w:rsidRDefault="002F5E36" w:rsidP="00347B32">
      <w:pPr>
        <w:numPr>
          <w:ilvl w:val="0"/>
          <w:numId w:val="46"/>
        </w:numPr>
        <w:tabs>
          <w:tab w:val="left" w:pos="851"/>
        </w:tabs>
        <w:ind w:left="0" w:firstLine="567"/>
        <w:rPr>
          <w:i/>
          <w:szCs w:val="22"/>
          <w:lang w:val="en-US" w:eastAsia="en-US"/>
        </w:rPr>
      </w:pPr>
      <w:r w:rsidRPr="002F5E36">
        <w:rPr>
          <w:rFonts w:cs="Sylfaen"/>
          <w:i/>
          <w:szCs w:val="22"/>
          <w:lang w:val="en-US" w:eastAsia="en-US"/>
        </w:rPr>
        <w:t>Շահութահարկի</w:t>
      </w:r>
      <w:r w:rsidRPr="002F5E36">
        <w:rPr>
          <w:i/>
          <w:szCs w:val="22"/>
          <w:lang w:val="en-US" w:eastAsia="en-US"/>
        </w:rPr>
        <w:t xml:space="preserve"> գծով հարկային ծախսեր.</w:t>
      </w:r>
    </w:p>
    <w:p w14:paraId="3D994B5F" w14:textId="77777777" w:rsidR="002F5E36" w:rsidRPr="002F5E36" w:rsidRDefault="002F5E36" w:rsidP="00347B32">
      <w:pPr>
        <w:rPr>
          <w:b w:val="0"/>
          <w:szCs w:val="22"/>
          <w:lang w:val="en-US" w:eastAsia="en-US"/>
        </w:rPr>
      </w:pPr>
      <w:r w:rsidRPr="002F5E36">
        <w:rPr>
          <w:b w:val="0"/>
          <w:szCs w:val="22"/>
          <w:lang w:val="en-US" w:eastAsia="en-US"/>
        </w:rPr>
        <w:t xml:space="preserve">Շահութահարկի գծով հարկային ծախսերը գնահատվել են </w:t>
      </w:r>
      <w:r w:rsidRPr="002F5E36">
        <w:rPr>
          <w:i/>
          <w:szCs w:val="22"/>
          <w:lang w:val="en-US" w:eastAsia="en-US"/>
        </w:rPr>
        <w:t>94,345 մլն. դրամի չափով*</w:t>
      </w:r>
      <w:r w:rsidRPr="002F5E36">
        <w:rPr>
          <w:b w:val="0"/>
          <w:szCs w:val="22"/>
          <w:lang w:val="en-US" w:eastAsia="en-US"/>
        </w:rPr>
        <w:t>: Շահութահարկի գծով հարկային արտոնությունները գնահատվել են հետևյալ հիմնական ուղղություններով.</w:t>
      </w:r>
    </w:p>
    <w:p w14:paraId="3CED3E80" w14:textId="77777777" w:rsidR="002F5E36" w:rsidRPr="002F5E36" w:rsidRDefault="002F5E36" w:rsidP="00347B32">
      <w:pPr>
        <w:numPr>
          <w:ilvl w:val="0"/>
          <w:numId w:val="47"/>
        </w:numPr>
        <w:tabs>
          <w:tab w:val="left" w:pos="567"/>
          <w:tab w:val="left" w:pos="851"/>
        </w:tabs>
        <w:ind w:left="0" w:firstLine="284"/>
        <w:rPr>
          <w:b w:val="0"/>
          <w:szCs w:val="22"/>
          <w:lang w:val="en-US" w:eastAsia="en-US"/>
        </w:rPr>
      </w:pPr>
      <w:r w:rsidRPr="002F5E36">
        <w:rPr>
          <w:b w:val="0"/>
          <w:szCs w:val="22"/>
          <w:lang w:val="en-US" w:eastAsia="en-US"/>
        </w:rPr>
        <w:t xml:space="preserve">գյուղատնտեսություն` </w:t>
      </w:r>
      <w:r w:rsidRPr="002F5E36">
        <w:rPr>
          <w:i/>
          <w:color w:val="000000"/>
          <w:szCs w:val="22"/>
          <w:lang w:val="en-US" w:eastAsia="en-US"/>
        </w:rPr>
        <w:t>39,845</w:t>
      </w:r>
      <w:r w:rsidRPr="002F5E36">
        <w:rPr>
          <w:i/>
          <w:szCs w:val="22"/>
          <w:lang w:val="en-US" w:eastAsia="en-US"/>
        </w:rPr>
        <w:t xml:space="preserve"> մլն. դրամ</w:t>
      </w:r>
      <w:r w:rsidRPr="002F5E36">
        <w:rPr>
          <w:b w:val="0"/>
          <w:szCs w:val="22"/>
          <w:lang w:val="en-US" w:eastAsia="en-US"/>
        </w:rPr>
        <w:t xml:space="preserve">, այդ թվում՝ կազմակերպությունների շահույթից՝ </w:t>
      </w:r>
      <w:r w:rsidRPr="002F5E36">
        <w:rPr>
          <w:i/>
          <w:color w:val="000000"/>
          <w:szCs w:val="22"/>
          <w:lang w:val="en-US" w:eastAsia="en-US"/>
        </w:rPr>
        <w:t>2,385</w:t>
      </w:r>
      <w:r w:rsidRPr="002F5E36">
        <w:rPr>
          <w:i/>
          <w:szCs w:val="22"/>
          <w:lang w:val="en-US" w:eastAsia="en-US"/>
        </w:rPr>
        <w:t xml:space="preserve"> մլն. դրամ</w:t>
      </w:r>
      <w:r w:rsidRPr="002F5E36">
        <w:rPr>
          <w:b w:val="0"/>
          <w:szCs w:val="22"/>
          <w:lang w:val="en-US" w:eastAsia="en-US"/>
        </w:rPr>
        <w:t xml:space="preserve">, և ԱՁ-ների (ֆիզիկական անձանց) շահույթից՝ </w:t>
      </w:r>
      <w:r w:rsidRPr="002F5E36">
        <w:rPr>
          <w:i/>
          <w:color w:val="000000"/>
          <w:szCs w:val="22"/>
          <w:lang w:val="en-US" w:eastAsia="en-US"/>
        </w:rPr>
        <w:t>37,460</w:t>
      </w:r>
      <w:r w:rsidRPr="002F5E36">
        <w:rPr>
          <w:i/>
          <w:szCs w:val="22"/>
          <w:lang w:val="en-US" w:eastAsia="en-US"/>
        </w:rPr>
        <w:t xml:space="preserve"> մլն. դրամ</w:t>
      </w:r>
      <w:r w:rsidRPr="002F5E36">
        <w:rPr>
          <w:b w:val="0"/>
          <w:szCs w:val="22"/>
          <w:lang w:val="en-US" w:eastAsia="en-US"/>
        </w:rPr>
        <w:t>,</w:t>
      </w:r>
    </w:p>
    <w:p w14:paraId="748376CF" w14:textId="77777777" w:rsidR="002F5E36" w:rsidRPr="002F5E36" w:rsidRDefault="002F5E36" w:rsidP="00347B32">
      <w:pPr>
        <w:numPr>
          <w:ilvl w:val="0"/>
          <w:numId w:val="47"/>
        </w:numPr>
        <w:tabs>
          <w:tab w:val="left" w:pos="567"/>
          <w:tab w:val="left" w:pos="851"/>
        </w:tabs>
        <w:ind w:left="0" w:firstLine="284"/>
        <w:rPr>
          <w:b w:val="0"/>
          <w:szCs w:val="22"/>
          <w:lang w:val="en-US" w:eastAsia="en-US"/>
        </w:rPr>
      </w:pPr>
      <w:r w:rsidRPr="002F5E36">
        <w:rPr>
          <w:b w:val="0"/>
          <w:szCs w:val="22"/>
          <w:lang w:val="en-US" w:eastAsia="en-US"/>
        </w:rPr>
        <w:t xml:space="preserve">հարկվող շահույթի նվազեցման արտոնություններ, բացառությամբ՝ գյուղատնտեսության՝ </w:t>
      </w:r>
      <w:r w:rsidRPr="002F5E36">
        <w:rPr>
          <w:i/>
          <w:color w:val="000000"/>
          <w:szCs w:val="22"/>
          <w:lang w:val="en-US" w:eastAsia="en-US"/>
        </w:rPr>
        <w:t>7,943</w:t>
      </w:r>
      <w:r w:rsidRPr="002F5E36">
        <w:rPr>
          <w:i/>
          <w:szCs w:val="22"/>
          <w:lang w:val="en-US" w:eastAsia="en-US"/>
        </w:rPr>
        <w:t xml:space="preserve"> մլն. դրամ</w:t>
      </w:r>
      <w:r w:rsidRPr="002F5E36">
        <w:rPr>
          <w:b w:val="0"/>
          <w:szCs w:val="22"/>
          <w:lang w:val="en-US" w:eastAsia="en-US"/>
        </w:rPr>
        <w:t>,</w:t>
      </w:r>
    </w:p>
    <w:p w14:paraId="7271D9E2" w14:textId="77777777" w:rsidR="002F5E36" w:rsidRPr="002F5E36" w:rsidRDefault="002F5E36" w:rsidP="00347B32">
      <w:pPr>
        <w:numPr>
          <w:ilvl w:val="0"/>
          <w:numId w:val="47"/>
        </w:numPr>
        <w:tabs>
          <w:tab w:val="left" w:pos="567"/>
          <w:tab w:val="left" w:pos="851"/>
        </w:tabs>
        <w:ind w:left="0" w:firstLine="284"/>
        <w:rPr>
          <w:b w:val="0"/>
          <w:szCs w:val="22"/>
          <w:lang w:val="en-US" w:eastAsia="en-US"/>
        </w:rPr>
      </w:pPr>
      <w:r w:rsidRPr="002F5E36">
        <w:rPr>
          <w:b w:val="0"/>
          <w:szCs w:val="22"/>
          <w:lang w:val="en-US" w:eastAsia="en-US"/>
        </w:rPr>
        <w:t xml:space="preserve">շահութահարկի նվազեցման արտոնություններ՝ </w:t>
      </w:r>
      <w:r w:rsidRPr="002F5E36">
        <w:rPr>
          <w:i/>
          <w:color w:val="000000"/>
          <w:szCs w:val="22"/>
          <w:lang w:val="en-US" w:eastAsia="en-US"/>
        </w:rPr>
        <w:t>613</w:t>
      </w:r>
      <w:r w:rsidRPr="002F5E36">
        <w:rPr>
          <w:i/>
          <w:szCs w:val="22"/>
          <w:lang w:val="en-US" w:eastAsia="en-US"/>
        </w:rPr>
        <w:t xml:space="preserve"> մլն. դրամ</w:t>
      </w:r>
      <w:r w:rsidRPr="002F5E36">
        <w:rPr>
          <w:b w:val="0"/>
          <w:szCs w:val="22"/>
          <w:lang w:val="en-US" w:eastAsia="en-US"/>
        </w:rPr>
        <w:t>,</w:t>
      </w:r>
    </w:p>
    <w:p w14:paraId="14C0A884" w14:textId="77777777" w:rsidR="002F5E36" w:rsidRPr="002F5E36" w:rsidRDefault="002F5E36" w:rsidP="00347B32">
      <w:pPr>
        <w:numPr>
          <w:ilvl w:val="0"/>
          <w:numId w:val="47"/>
        </w:numPr>
        <w:tabs>
          <w:tab w:val="left" w:pos="567"/>
          <w:tab w:val="left" w:pos="851"/>
        </w:tabs>
        <w:ind w:left="0" w:firstLine="284"/>
        <w:rPr>
          <w:b w:val="0"/>
          <w:szCs w:val="22"/>
          <w:lang w:val="en-US" w:eastAsia="en-US"/>
        </w:rPr>
      </w:pPr>
      <w:r w:rsidRPr="002F5E36">
        <w:rPr>
          <w:rFonts w:cs="Sylfaen"/>
          <w:b w:val="0"/>
          <w:szCs w:val="22"/>
          <w:lang w:val="en-US" w:eastAsia="en-US"/>
        </w:rPr>
        <w:t xml:space="preserve">ԱԱՀ-ի շեմ` </w:t>
      </w:r>
      <w:r w:rsidRPr="002F5E36">
        <w:rPr>
          <w:i/>
          <w:szCs w:val="22"/>
          <w:lang w:val="en-US" w:eastAsia="en-US"/>
        </w:rPr>
        <w:t>27,058 մլն. դրամ,</w:t>
      </w:r>
    </w:p>
    <w:p w14:paraId="3E0D9BB5" w14:textId="77777777" w:rsidR="002F5E36" w:rsidRPr="002F5E36" w:rsidRDefault="002F5E36" w:rsidP="00347B32">
      <w:pPr>
        <w:numPr>
          <w:ilvl w:val="0"/>
          <w:numId w:val="47"/>
        </w:numPr>
        <w:tabs>
          <w:tab w:val="left" w:pos="567"/>
          <w:tab w:val="left" w:pos="851"/>
        </w:tabs>
        <w:ind w:left="0" w:firstLine="284"/>
        <w:rPr>
          <w:b w:val="0"/>
          <w:szCs w:val="22"/>
          <w:lang w:val="en-US" w:eastAsia="en-US"/>
        </w:rPr>
      </w:pPr>
      <w:r w:rsidRPr="002F5E36">
        <w:rPr>
          <w:rFonts w:cs="Sylfaen"/>
          <w:b w:val="0"/>
          <w:szCs w:val="22"/>
          <w:lang w:val="en-US" w:eastAsia="en-US"/>
        </w:rPr>
        <w:t xml:space="preserve">միկրոբիզնես՝ </w:t>
      </w:r>
      <w:r w:rsidRPr="002F5E36">
        <w:rPr>
          <w:i/>
          <w:szCs w:val="22"/>
          <w:lang w:val="en-US" w:eastAsia="en-US"/>
        </w:rPr>
        <w:t xml:space="preserve">10,655 մլն. </w:t>
      </w:r>
      <w:r w:rsidRPr="002F5E36">
        <w:rPr>
          <w:i/>
          <w:szCs w:val="22"/>
          <w:lang w:val="hy-AM" w:eastAsia="en-US"/>
        </w:rPr>
        <w:t>դ</w:t>
      </w:r>
      <w:r w:rsidRPr="002F5E36">
        <w:rPr>
          <w:i/>
          <w:szCs w:val="22"/>
          <w:lang w:val="en-US" w:eastAsia="en-US"/>
        </w:rPr>
        <w:t>րամ</w:t>
      </w:r>
      <w:r w:rsidRPr="002F5E36">
        <w:rPr>
          <w:i/>
          <w:szCs w:val="22"/>
          <w:lang w:val="hy-AM" w:eastAsia="en-US"/>
        </w:rPr>
        <w:t>,</w:t>
      </w:r>
    </w:p>
    <w:p w14:paraId="2B1B3ABC" w14:textId="77777777" w:rsidR="002F5E36" w:rsidRPr="002F5E36" w:rsidRDefault="002F5E36" w:rsidP="00347B32">
      <w:pPr>
        <w:numPr>
          <w:ilvl w:val="0"/>
          <w:numId w:val="47"/>
        </w:numPr>
        <w:tabs>
          <w:tab w:val="left" w:pos="567"/>
          <w:tab w:val="left" w:pos="851"/>
        </w:tabs>
        <w:ind w:left="0" w:firstLine="284"/>
        <w:rPr>
          <w:b w:val="0"/>
          <w:szCs w:val="22"/>
          <w:lang w:val="en-US" w:eastAsia="en-US"/>
        </w:rPr>
      </w:pPr>
      <w:r w:rsidRPr="002F5E36">
        <w:rPr>
          <w:b w:val="0"/>
          <w:szCs w:val="22"/>
          <w:lang w:val="hy-AM" w:eastAsia="en-US"/>
        </w:rPr>
        <w:t>ՏՏ ոլորտի արտոնություններ`</w:t>
      </w:r>
      <w:r w:rsidRPr="002F5E36">
        <w:rPr>
          <w:i/>
          <w:szCs w:val="22"/>
          <w:lang w:val="hy-AM" w:eastAsia="en-US"/>
        </w:rPr>
        <w:t xml:space="preserve"> </w:t>
      </w:r>
      <w:r w:rsidRPr="002F5E36">
        <w:rPr>
          <w:i/>
          <w:szCs w:val="22"/>
          <w:lang w:val="en-US" w:eastAsia="en-US"/>
        </w:rPr>
        <w:t>8,232</w:t>
      </w:r>
      <w:r w:rsidRPr="002F5E36">
        <w:rPr>
          <w:i/>
          <w:szCs w:val="22"/>
          <w:lang w:val="hy-AM" w:eastAsia="en-US"/>
        </w:rPr>
        <w:t xml:space="preserve"> մլն. դրամ</w:t>
      </w:r>
      <w:r w:rsidRPr="002F5E36">
        <w:rPr>
          <w:i/>
          <w:szCs w:val="22"/>
          <w:lang w:val="en-US" w:eastAsia="en-US"/>
        </w:rPr>
        <w:t>:</w:t>
      </w:r>
    </w:p>
    <w:p w14:paraId="4EA8F8D1" w14:textId="77777777" w:rsidR="002F5E36" w:rsidRPr="002F5E36" w:rsidRDefault="002F5E36" w:rsidP="00347B32">
      <w:pPr>
        <w:rPr>
          <w:b w:val="0"/>
          <w:i/>
          <w:szCs w:val="22"/>
          <w:lang w:val="en-US" w:eastAsia="en-US"/>
        </w:rPr>
      </w:pPr>
      <w:r w:rsidRPr="002F5E36">
        <w:rPr>
          <w:b w:val="0"/>
          <w:i/>
          <w:szCs w:val="22"/>
          <w:lang w:val="en-US" w:eastAsia="en-US"/>
        </w:rPr>
        <w:t>*</w:t>
      </w:r>
      <w:r w:rsidRPr="002F5E36">
        <w:rPr>
          <w:b w:val="0"/>
          <w:i/>
          <w:szCs w:val="22"/>
          <w:lang w:val="hy-AM" w:eastAsia="en-US"/>
        </w:rPr>
        <w:t>Մինչև 2020 թվականը</w:t>
      </w:r>
      <w:r w:rsidRPr="002F5E36">
        <w:rPr>
          <w:b w:val="0"/>
          <w:i/>
          <w:szCs w:val="22"/>
          <w:lang w:val="en-US" w:eastAsia="en-US"/>
        </w:rPr>
        <w:t xml:space="preserve"> հարկային ծախսերի գնահատականներում ԱՁ-ների (ֆիզիկական անձանց) շահույթի գծով հարկային ծախսերը ներառված էին եկամտային հարկի բաժնում:</w:t>
      </w:r>
    </w:p>
    <w:p w14:paraId="435E3E72" w14:textId="77777777" w:rsidR="002F5E36" w:rsidRPr="002F5E36" w:rsidRDefault="002F5E36" w:rsidP="00347B32">
      <w:pPr>
        <w:ind w:left="720"/>
        <w:rPr>
          <w:i/>
          <w:szCs w:val="22"/>
          <w:lang w:val="en-US" w:eastAsia="en-US"/>
        </w:rPr>
      </w:pPr>
    </w:p>
    <w:p w14:paraId="118E710F" w14:textId="77777777" w:rsidR="002F5E36" w:rsidRPr="002F5E36" w:rsidRDefault="002F5E36" w:rsidP="00347B32">
      <w:pPr>
        <w:numPr>
          <w:ilvl w:val="0"/>
          <w:numId w:val="46"/>
        </w:numPr>
        <w:tabs>
          <w:tab w:val="left" w:pos="993"/>
        </w:tabs>
        <w:ind w:left="0" w:firstLine="567"/>
        <w:rPr>
          <w:rFonts w:cs="Sylfaen"/>
          <w:i/>
          <w:szCs w:val="22"/>
          <w:lang w:val="en-US" w:eastAsia="en-US"/>
        </w:rPr>
      </w:pPr>
      <w:r w:rsidRPr="002F5E36">
        <w:rPr>
          <w:rFonts w:cs="Sylfaen"/>
          <w:i/>
          <w:szCs w:val="22"/>
          <w:lang w:val="en-US" w:eastAsia="en-US"/>
        </w:rPr>
        <w:t>Եկամտային հարկի գծով հարկային ծախսեր</w:t>
      </w:r>
      <w:r w:rsidRPr="002F5E36">
        <w:rPr>
          <w:rFonts w:cs="Sylfaen"/>
          <w:i/>
          <w:szCs w:val="22"/>
          <w:lang w:val="hy-AM" w:eastAsia="en-US"/>
        </w:rPr>
        <w:t>*</w:t>
      </w:r>
      <w:r w:rsidRPr="002F5E36">
        <w:rPr>
          <w:rFonts w:cs="Sylfaen"/>
          <w:i/>
          <w:szCs w:val="22"/>
          <w:lang w:val="en-US" w:eastAsia="en-US"/>
        </w:rPr>
        <w:t>.</w:t>
      </w:r>
    </w:p>
    <w:p w14:paraId="20941788" w14:textId="77777777" w:rsidR="002F5E36" w:rsidRPr="002F5E36" w:rsidRDefault="002F5E36" w:rsidP="00347B32">
      <w:pPr>
        <w:rPr>
          <w:b w:val="0"/>
          <w:szCs w:val="22"/>
          <w:lang w:val="en-US" w:eastAsia="en-US"/>
        </w:rPr>
      </w:pPr>
      <w:r w:rsidRPr="002F5E36">
        <w:rPr>
          <w:b w:val="0"/>
          <w:szCs w:val="22"/>
          <w:lang w:val="en-US" w:eastAsia="en-US"/>
        </w:rPr>
        <w:t xml:space="preserve">Եկամտային հարկի գծով հարկային ծախսերը գնահատվել են </w:t>
      </w:r>
      <w:r w:rsidRPr="002F5E36">
        <w:rPr>
          <w:szCs w:val="22"/>
          <w:lang w:val="en-US" w:eastAsia="en-US"/>
        </w:rPr>
        <w:t xml:space="preserve">100,551 մլն. դրամի չափով: </w:t>
      </w:r>
      <w:r w:rsidRPr="002F5E36">
        <w:rPr>
          <w:b w:val="0"/>
          <w:szCs w:val="22"/>
          <w:lang w:val="hy-AM" w:eastAsia="en-US"/>
        </w:rPr>
        <w:t xml:space="preserve">Եկամտային </w:t>
      </w:r>
      <w:r w:rsidRPr="002F5E36">
        <w:rPr>
          <w:b w:val="0"/>
          <w:szCs w:val="22"/>
          <w:lang w:val="en-US" w:eastAsia="en-US"/>
        </w:rPr>
        <w:t>հարկի գծով հարկային արտոնությունները գնահատվել են հետևյալ հիմնական ուղղություններով.</w:t>
      </w:r>
    </w:p>
    <w:p w14:paraId="6C577008" w14:textId="77777777" w:rsidR="002F5E36" w:rsidRPr="002F5E36" w:rsidRDefault="002F5E36" w:rsidP="00347B32">
      <w:pPr>
        <w:numPr>
          <w:ilvl w:val="0"/>
          <w:numId w:val="49"/>
        </w:numPr>
        <w:tabs>
          <w:tab w:val="left" w:pos="0"/>
          <w:tab w:val="left" w:pos="567"/>
        </w:tabs>
        <w:ind w:left="0" w:firstLine="284"/>
        <w:rPr>
          <w:b w:val="0"/>
          <w:szCs w:val="22"/>
          <w:lang w:val="en-US" w:eastAsia="en-US"/>
        </w:rPr>
      </w:pPr>
      <w:r w:rsidRPr="002F5E36">
        <w:rPr>
          <w:b w:val="0"/>
          <w:szCs w:val="22"/>
          <w:lang w:val="en-US" w:eastAsia="en-US"/>
        </w:rPr>
        <w:t xml:space="preserve">գյուղատնտեսություն` </w:t>
      </w:r>
      <w:r w:rsidRPr="002F5E36">
        <w:rPr>
          <w:i/>
          <w:color w:val="000000"/>
          <w:szCs w:val="22"/>
          <w:lang w:val="en-US" w:eastAsia="en-US"/>
        </w:rPr>
        <w:t>13,889</w:t>
      </w:r>
      <w:r w:rsidRPr="002F5E36">
        <w:rPr>
          <w:i/>
          <w:szCs w:val="22"/>
          <w:lang w:val="en-US" w:eastAsia="en-US"/>
        </w:rPr>
        <w:t xml:space="preserve"> մլն. դրամ</w:t>
      </w:r>
      <w:r w:rsidRPr="002F5E36">
        <w:rPr>
          <w:b w:val="0"/>
          <w:szCs w:val="22"/>
          <w:lang w:val="en-US" w:eastAsia="en-US"/>
        </w:rPr>
        <w:t xml:space="preserve">, </w:t>
      </w:r>
    </w:p>
    <w:p w14:paraId="7171C283" w14:textId="77777777" w:rsidR="002F5E36" w:rsidRPr="002F5E36" w:rsidRDefault="002F5E36" w:rsidP="00347B32">
      <w:pPr>
        <w:numPr>
          <w:ilvl w:val="0"/>
          <w:numId w:val="49"/>
        </w:numPr>
        <w:tabs>
          <w:tab w:val="left" w:pos="0"/>
          <w:tab w:val="left" w:pos="567"/>
        </w:tabs>
        <w:ind w:left="0" w:firstLine="284"/>
        <w:rPr>
          <w:b w:val="0"/>
          <w:szCs w:val="22"/>
          <w:lang w:val="en-US" w:eastAsia="en-US"/>
        </w:rPr>
      </w:pPr>
      <w:r w:rsidRPr="002F5E36">
        <w:rPr>
          <w:b w:val="0"/>
          <w:szCs w:val="22"/>
          <w:lang w:val="hy-AM" w:eastAsia="en-US"/>
        </w:rPr>
        <w:t>ՏՏ ոլորտի արտոնություններ`</w:t>
      </w:r>
      <w:r w:rsidRPr="002F5E36">
        <w:rPr>
          <w:i/>
          <w:szCs w:val="22"/>
          <w:lang w:val="hy-AM" w:eastAsia="en-US"/>
        </w:rPr>
        <w:t xml:space="preserve"> </w:t>
      </w:r>
      <w:r w:rsidRPr="002F5E36">
        <w:rPr>
          <w:i/>
          <w:szCs w:val="22"/>
          <w:lang w:val="en-US" w:eastAsia="en-US"/>
        </w:rPr>
        <w:t>14,697</w:t>
      </w:r>
      <w:r w:rsidRPr="002F5E36">
        <w:rPr>
          <w:i/>
          <w:szCs w:val="22"/>
          <w:lang w:val="hy-AM" w:eastAsia="en-US"/>
        </w:rPr>
        <w:t xml:space="preserve"> մլն. դրամ,</w:t>
      </w:r>
    </w:p>
    <w:p w14:paraId="3440131A" w14:textId="77777777" w:rsidR="002F5E36" w:rsidRPr="002F5E36" w:rsidRDefault="002F5E36" w:rsidP="00347B32">
      <w:pPr>
        <w:numPr>
          <w:ilvl w:val="0"/>
          <w:numId w:val="49"/>
        </w:numPr>
        <w:tabs>
          <w:tab w:val="left" w:pos="0"/>
          <w:tab w:val="left" w:pos="567"/>
        </w:tabs>
        <w:ind w:left="0" w:firstLine="284"/>
        <w:rPr>
          <w:b w:val="0"/>
          <w:szCs w:val="22"/>
          <w:lang w:val="en-US" w:eastAsia="en-US"/>
        </w:rPr>
      </w:pPr>
      <w:r w:rsidRPr="002F5E36">
        <w:rPr>
          <w:b w:val="0"/>
          <w:szCs w:val="22"/>
          <w:lang w:val="hy-AM" w:eastAsia="en-US"/>
        </w:rPr>
        <w:t xml:space="preserve">Հիպոտեկային վարկերի տոկոսների սպասարկման համար վերադարձված եկամտային հարկ` </w:t>
      </w:r>
      <w:r w:rsidRPr="002F5E36">
        <w:rPr>
          <w:i/>
          <w:szCs w:val="22"/>
          <w:lang w:val="en-US" w:eastAsia="en-US"/>
        </w:rPr>
        <w:t>71,965</w:t>
      </w:r>
      <w:r w:rsidRPr="002F5E36">
        <w:rPr>
          <w:i/>
          <w:szCs w:val="22"/>
          <w:lang w:val="hy-AM" w:eastAsia="en-US"/>
        </w:rPr>
        <w:t xml:space="preserve"> մլն. դրամ</w:t>
      </w:r>
      <w:r w:rsidRPr="002F5E36">
        <w:rPr>
          <w:i/>
          <w:szCs w:val="22"/>
          <w:lang w:val="en-US" w:eastAsia="en-US"/>
        </w:rPr>
        <w:t>:</w:t>
      </w:r>
    </w:p>
    <w:p w14:paraId="19299B7F" w14:textId="77777777" w:rsidR="002F5E36" w:rsidRPr="002F5E36" w:rsidRDefault="002F5E36" w:rsidP="00347B32">
      <w:pPr>
        <w:rPr>
          <w:b w:val="0"/>
          <w:i/>
          <w:szCs w:val="22"/>
          <w:lang w:val="en-US" w:eastAsia="en-US"/>
        </w:rPr>
      </w:pPr>
      <w:r w:rsidRPr="002F5E36">
        <w:rPr>
          <w:b w:val="0"/>
          <w:i/>
          <w:szCs w:val="22"/>
          <w:lang w:val="en-US" w:eastAsia="en-US"/>
        </w:rPr>
        <w:t>*</w:t>
      </w:r>
      <w:r w:rsidRPr="002F5E36">
        <w:rPr>
          <w:b w:val="0"/>
          <w:i/>
          <w:szCs w:val="22"/>
          <w:lang w:val="hy-AM" w:eastAsia="en-US"/>
        </w:rPr>
        <w:t>2023թ. հուլիսի 1-ից միկրոբիզնեսի վարձու աշխատողների աշխատավարձերից եկամտային հարկով հարկումը ընդհանուր սահմանված կարգին անցում կատարելու հետևանքով այս և հետագա տարիների համար հարկային ծախս չի հաշվարկվելու</w:t>
      </w:r>
      <w:r w:rsidRPr="002F5E36">
        <w:rPr>
          <w:b w:val="0"/>
          <w:i/>
          <w:szCs w:val="22"/>
          <w:lang w:val="en-US" w:eastAsia="en-US"/>
        </w:rPr>
        <w:t>:</w:t>
      </w:r>
    </w:p>
    <w:p w14:paraId="6C3F22D0" w14:textId="77777777" w:rsidR="002F5E36" w:rsidRPr="002F5E36" w:rsidRDefault="002F5E36" w:rsidP="00347B32">
      <w:pPr>
        <w:rPr>
          <w:b w:val="0"/>
          <w:i/>
          <w:szCs w:val="22"/>
          <w:lang w:val="en-US" w:eastAsia="en-US"/>
        </w:rPr>
      </w:pPr>
    </w:p>
    <w:p w14:paraId="4D2770EF" w14:textId="77777777" w:rsidR="002F5E36" w:rsidRPr="002F5E36" w:rsidRDefault="002F5E36" w:rsidP="00347B32">
      <w:pPr>
        <w:numPr>
          <w:ilvl w:val="0"/>
          <w:numId w:val="46"/>
        </w:numPr>
        <w:tabs>
          <w:tab w:val="left" w:pos="993"/>
        </w:tabs>
        <w:ind w:left="0" w:firstLine="567"/>
        <w:rPr>
          <w:rFonts w:cs="Sylfaen"/>
          <w:i/>
          <w:szCs w:val="22"/>
          <w:lang w:val="en-US" w:eastAsia="en-US"/>
        </w:rPr>
      </w:pPr>
      <w:r w:rsidRPr="002F5E36">
        <w:rPr>
          <w:rFonts w:cs="Sylfaen"/>
          <w:i/>
          <w:szCs w:val="22"/>
          <w:lang w:val="en-US" w:eastAsia="en-US"/>
        </w:rPr>
        <w:t>ԱԱՀ-ի շեմի գծով հարկային ծախսերը.</w:t>
      </w:r>
    </w:p>
    <w:p w14:paraId="7D2465E6" w14:textId="77777777" w:rsidR="002F5E36" w:rsidRPr="002F5E36" w:rsidRDefault="002F5E36" w:rsidP="00347B32">
      <w:pPr>
        <w:rPr>
          <w:b w:val="0"/>
          <w:szCs w:val="22"/>
          <w:lang w:val="en-US" w:eastAsia="en-US"/>
        </w:rPr>
      </w:pPr>
      <w:r w:rsidRPr="002F5E36">
        <w:rPr>
          <w:b w:val="0"/>
          <w:szCs w:val="22"/>
          <w:lang w:val="en-US" w:eastAsia="en-US"/>
        </w:rPr>
        <w:lastRenderedPageBreak/>
        <w:t xml:space="preserve">ԱԱՀ-ի շեմի գծով հարկային ծախսերը գնահատվել են </w:t>
      </w:r>
      <w:r w:rsidRPr="002F5E36">
        <w:rPr>
          <w:i/>
          <w:szCs w:val="22"/>
          <w:lang w:val="en-US" w:eastAsia="en-US"/>
        </w:rPr>
        <w:t>102,221 մլն. դրամի չափով*,</w:t>
      </w:r>
      <w:r w:rsidRPr="002F5E36">
        <w:rPr>
          <w:b w:val="0"/>
          <w:szCs w:val="22"/>
          <w:lang w:val="en-US" w:eastAsia="en-US"/>
        </w:rPr>
        <w:t xml:space="preserve"> այդ թվում`</w:t>
      </w:r>
    </w:p>
    <w:p w14:paraId="78662A07" w14:textId="77777777" w:rsidR="002F5E36" w:rsidRPr="002F5E36" w:rsidRDefault="002F5E36" w:rsidP="00347B32">
      <w:pPr>
        <w:rPr>
          <w:b w:val="0"/>
          <w:szCs w:val="22"/>
          <w:lang w:val="en-US" w:eastAsia="en-US"/>
        </w:rPr>
      </w:pPr>
      <w:r w:rsidRPr="002F5E36">
        <w:rPr>
          <w:b w:val="0"/>
          <w:szCs w:val="22"/>
          <w:lang w:val="en-US" w:eastAsia="en-US"/>
        </w:rPr>
        <w:t xml:space="preserve">ԱԱՀ` </w:t>
      </w:r>
      <w:r w:rsidRPr="002F5E36">
        <w:rPr>
          <w:i/>
          <w:szCs w:val="22"/>
          <w:lang w:val="en-US" w:eastAsia="en-US"/>
        </w:rPr>
        <w:t>75,162 մլն. դրամ</w:t>
      </w:r>
      <w:r w:rsidRPr="002F5E36">
        <w:rPr>
          <w:b w:val="0"/>
          <w:szCs w:val="22"/>
          <w:lang w:val="en-US" w:eastAsia="en-US"/>
        </w:rPr>
        <w:t>,</w:t>
      </w:r>
    </w:p>
    <w:p w14:paraId="026749F4" w14:textId="77777777" w:rsidR="002F5E36" w:rsidRPr="002F5E36" w:rsidRDefault="002F5E36" w:rsidP="00347B32">
      <w:pPr>
        <w:shd w:val="clear" w:color="auto" w:fill="FFFFFF"/>
        <w:rPr>
          <w:b w:val="0"/>
          <w:szCs w:val="22"/>
          <w:lang w:val="en-US" w:eastAsia="x-none"/>
        </w:rPr>
      </w:pPr>
      <w:r w:rsidRPr="002F5E36">
        <w:rPr>
          <w:b w:val="0"/>
          <w:szCs w:val="22"/>
          <w:lang w:val="x-none" w:eastAsia="x-none"/>
        </w:rPr>
        <w:t xml:space="preserve">Շահութահարկ` </w:t>
      </w:r>
      <w:r w:rsidRPr="002F5E36">
        <w:rPr>
          <w:i/>
          <w:szCs w:val="22"/>
          <w:lang w:val="en-US" w:eastAsia="x-none"/>
        </w:rPr>
        <w:t>27,058 մլն. դրամ</w:t>
      </w:r>
      <w:r w:rsidRPr="002F5E36">
        <w:rPr>
          <w:b w:val="0"/>
          <w:szCs w:val="22"/>
          <w:lang w:val="x-none" w:eastAsia="x-none"/>
        </w:rPr>
        <w:t>:</w:t>
      </w:r>
    </w:p>
    <w:p w14:paraId="4F8CCF69" w14:textId="77777777" w:rsidR="002F5E36" w:rsidRPr="002F5E36" w:rsidRDefault="002F5E36" w:rsidP="00347B32">
      <w:pPr>
        <w:rPr>
          <w:b w:val="0"/>
          <w:i/>
          <w:szCs w:val="22"/>
          <w:lang w:val="en-US" w:eastAsia="en-US"/>
        </w:rPr>
      </w:pPr>
      <w:r w:rsidRPr="002F5E36">
        <w:rPr>
          <w:i/>
          <w:szCs w:val="22"/>
          <w:lang w:val="en-US" w:eastAsia="en-US"/>
        </w:rPr>
        <w:t>*</w:t>
      </w:r>
      <w:r w:rsidRPr="002F5E36">
        <w:rPr>
          <w:b w:val="0"/>
          <w:i/>
          <w:szCs w:val="22"/>
          <w:lang w:val="en-US" w:eastAsia="en-US"/>
        </w:rPr>
        <w:t>ԱԱՀ-ի շեմի գծով հարկային ծախսերի գնահատման համար ԱԱՀ-ի շեմն ընդունվել է 115.0 մլն. դրամ:</w:t>
      </w:r>
    </w:p>
    <w:p w14:paraId="67FDCAB5" w14:textId="77777777" w:rsidR="002F5E36" w:rsidRPr="002F5E36" w:rsidRDefault="002F5E36" w:rsidP="00347B32">
      <w:pPr>
        <w:rPr>
          <w:b w:val="0"/>
          <w:i/>
          <w:szCs w:val="22"/>
          <w:lang w:val="en-US" w:eastAsia="en-US"/>
        </w:rPr>
      </w:pPr>
    </w:p>
    <w:p w14:paraId="0E567140" w14:textId="77777777" w:rsidR="002F5E36" w:rsidRPr="002F5E36" w:rsidRDefault="002F5E36" w:rsidP="00347B32">
      <w:pPr>
        <w:numPr>
          <w:ilvl w:val="0"/>
          <w:numId w:val="46"/>
        </w:numPr>
        <w:tabs>
          <w:tab w:val="left" w:pos="993"/>
        </w:tabs>
        <w:ind w:left="0" w:firstLine="567"/>
        <w:rPr>
          <w:rFonts w:cs="Sylfaen"/>
          <w:i/>
          <w:szCs w:val="22"/>
          <w:lang w:val="en-US" w:eastAsia="en-US"/>
        </w:rPr>
      </w:pPr>
      <w:r w:rsidRPr="002F5E36">
        <w:rPr>
          <w:rFonts w:cs="Sylfaen"/>
          <w:i/>
          <w:szCs w:val="22"/>
          <w:lang w:val="en-US" w:eastAsia="en-US"/>
        </w:rPr>
        <w:t>Միկրոբիզնեսի գծով հարկային ծախսերը.</w:t>
      </w:r>
    </w:p>
    <w:p w14:paraId="25436284" w14:textId="77777777" w:rsidR="002F5E36" w:rsidRPr="002F5E36" w:rsidRDefault="002F5E36" w:rsidP="00347B32">
      <w:pPr>
        <w:rPr>
          <w:b w:val="0"/>
          <w:szCs w:val="22"/>
          <w:lang w:val="en-US" w:eastAsia="en-US"/>
        </w:rPr>
      </w:pPr>
      <w:r w:rsidRPr="002F5E36">
        <w:rPr>
          <w:b w:val="0"/>
          <w:szCs w:val="22"/>
          <w:lang w:val="hy-AM" w:eastAsia="en-US"/>
        </w:rPr>
        <w:t>Միկրոբիզնեսի</w:t>
      </w:r>
      <w:r w:rsidRPr="002F5E36">
        <w:rPr>
          <w:b w:val="0"/>
          <w:szCs w:val="22"/>
          <w:lang w:val="en-US" w:eastAsia="en-US"/>
        </w:rPr>
        <w:t xml:space="preserve"> գծով հարկային ծախսերը գնահատվել են </w:t>
      </w:r>
      <w:r w:rsidRPr="002F5E36">
        <w:rPr>
          <w:i/>
          <w:szCs w:val="22"/>
          <w:lang w:val="en-US" w:eastAsia="en-US"/>
        </w:rPr>
        <w:t>40,251 մլն. դրամի չափով,</w:t>
      </w:r>
      <w:r w:rsidRPr="002F5E36">
        <w:rPr>
          <w:b w:val="0"/>
          <w:szCs w:val="22"/>
          <w:lang w:val="en-US" w:eastAsia="en-US"/>
        </w:rPr>
        <w:t xml:space="preserve"> այդ թվում`</w:t>
      </w:r>
    </w:p>
    <w:p w14:paraId="2527399F" w14:textId="77777777" w:rsidR="002F5E36" w:rsidRPr="002F5E36" w:rsidRDefault="002F5E36" w:rsidP="00347B32">
      <w:pPr>
        <w:rPr>
          <w:b w:val="0"/>
          <w:szCs w:val="22"/>
          <w:lang w:val="en-US" w:eastAsia="en-US"/>
        </w:rPr>
      </w:pPr>
      <w:r w:rsidRPr="002F5E36">
        <w:rPr>
          <w:b w:val="0"/>
          <w:szCs w:val="22"/>
          <w:lang w:val="en-US" w:eastAsia="en-US"/>
        </w:rPr>
        <w:t xml:space="preserve">ԱԱՀ` </w:t>
      </w:r>
      <w:r w:rsidRPr="002F5E36">
        <w:rPr>
          <w:i/>
          <w:szCs w:val="22"/>
          <w:lang w:val="en-US" w:eastAsia="en-US"/>
        </w:rPr>
        <w:t>29,596 մլն. դրամ</w:t>
      </w:r>
      <w:r w:rsidRPr="002F5E36">
        <w:rPr>
          <w:b w:val="0"/>
          <w:szCs w:val="22"/>
          <w:lang w:val="en-US" w:eastAsia="en-US"/>
        </w:rPr>
        <w:t>,</w:t>
      </w:r>
    </w:p>
    <w:p w14:paraId="6CDA502A" w14:textId="77777777" w:rsidR="002F5E36" w:rsidRPr="002F5E36" w:rsidRDefault="002F5E36" w:rsidP="00347B32">
      <w:pPr>
        <w:rPr>
          <w:b w:val="0"/>
          <w:szCs w:val="22"/>
          <w:lang w:val="en-US" w:eastAsia="en-US"/>
        </w:rPr>
      </w:pPr>
      <w:r w:rsidRPr="002F5E36">
        <w:rPr>
          <w:b w:val="0"/>
          <w:szCs w:val="22"/>
          <w:lang w:val="en-US" w:eastAsia="en-US"/>
        </w:rPr>
        <w:t xml:space="preserve">Շահութահարկ` </w:t>
      </w:r>
      <w:r w:rsidRPr="002F5E36">
        <w:rPr>
          <w:i/>
          <w:szCs w:val="22"/>
          <w:lang w:val="en-US" w:eastAsia="en-US"/>
        </w:rPr>
        <w:t xml:space="preserve">10,655 մլն. </w:t>
      </w:r>
      <w:r w:rsidRPr="002F5E36">
        <w:rPr>
          <w:i/>
          <w:szCs w:val="22"/>
          <w:lang w:val="hy-AM" w:eastAsia="en-US"/>
        </w:rPr>
        <w:t>դ</w:t>
      </w:r>
      <w:r w:rsidRPr="002F5E36">
        <w:rPr>
          <w:i/>
          <w:szCs w:val="22"/>
          <w:lang w:val="en-US" w:eastAsia="en-US"/>
        </w:rPr>
        <w:t>րամ</w:t>
      </w:r>
      <w:r w:rsidRPr="002F5E36">
        <w:rPr>
          <w:b w:val="0"/>
          <w:szCs w:val="22"/>
          <w:lang w:val="en-US" w:eastAsia="en-US"/>
        </w:rPr>
        <w:t>:</w:t>
      </w:r>
    </w:p>
    <w:p w14:paraId="0E425F6F" w14:textId="77777777" w:rsidR="002F5E36" w:rsidRPr="002F5E36" w:rsidRDefault="002F5E36" w:rsidP="00347B32">
      <w:pPr>
        <w:rPr>
          <w:b w:val="0"/>
          <w:szCs w:val="22"/>
          <w:lang w:val="en-US" w:eastAsia="en-US"/>
        </w:rPr>
      </w:pPr>
      <w:r w:rsidRPr="002F5E36">
        <w:rPr>
          <w:b w:val="0"/>
          <w:szCs w:val="22"/>
          <w:lang w:val="en-US" w:eastAsia="en-US"/>
        </w:rPr>
        <w:t xml:space="preserve">Ընդհանուր հարկային ծախսը գնահատվել է </w:t>
      </w:r>
      <w:r w:rsidRPr="002F5E36">
        <w:rPr>
          <w:rFonts w:cs="Sylfaen"/>
          <w:i/>
          <w:iCs/>
          <w:szCs w:val="22"/>
          <w:lang w:val="en-US" w:eastAsia="en-US"/>
        </w:rPr>
        <w:t>681,339</w:t>
      </w:r>
      <w:r w:rsidRPr="002F5E36">
        <w:rPr>
          <w:rFonts w:cs="Sylfaen"/>
          <w:i/>
          <w:iCs/>
          <w:szCs w:val="22"/>
          <w:lang w:val="hy-AM" w:eastAsia="en-US"/>
        </w:rPr>
        <w:t xml:space="preserve"> </w:t>
      </w:r>
      <w:r w:rsidRPr="002F5E36">
        <w:rPr>
          <w:i/>
          <w:szCs w:val="22"/>
          <w:lang w:val="en-US" w:eastAsia="en-US"/>
        </w:rPr>
        <w:t>մլն. դրամի չափով</w:t>
      </w:r>
      <w:r w:rsidRPr="002F5E36">
        <w:rPr>
          <w:b w:val="0"/>
          <w:szCs w:val="22"/>
          <w:lang w:val="en-US" w:eastAsia="en-US"/>
        </w:rPr>
        <w:t xml:space="preserve">, ինչը 2024-2026 թվականների ՄԺԾԾ-ով 2024 թվականի համար կանխատեսված հարկային եկամուտների և ՀՆԱ-ի նկատմամբ կազմում է համապատասխանաբար` </w:t>
      </w:r>
      <w:r w:rsidRPr="002F5E36">
        <w:rPr>
          <w:i/>
          <w:szCs w:val="22"/>
          <w:lang w:val="hy-AM" w:eastAsia="en-US"/>
        </w:rPr>
        <w:t>26,</w:t>
      </w:r>
      <w:r w:rsidRPr="002F5E36">
        <w:rPr>
          <w:i/>
          <w:szCs w:val="22"/>
          <w:lang w:val="en-US" w:eastAsia="en-US"/>
        </w:rPr>
        <w:t>55 և 6.</w:t>
      </w:r>
      <w:r w:rsidRPr="002F5E36">
        <w:rPr>
          <w:i/>
          <w:szCs w:val="22"/>
          <w:lang w:val="hy-AM" w:eastAsia="en-US"/>
        </w:rPr>
        <w:t>4</w:t>
      </w:r>
      <w:r w:rsidRPr="002F5E36">
        <w:rPr>
          <w:i/>
          <w:szCs w:val="22"/>
          <w:lang w:val="en-US" w:eastAsia="en-US"/>
        </w:rPr>
        <w:t>2 տոկոս:</w:t>
      </w:r>
    </w:p>
    <w:p w14:paraId="2353E8B0" w14:textId="77777777" w:rsidR="002F5E36" w:rsidRPr="002F5E36" w:rsidRDefault="002F5E36" w:rsidP="00347B32">
      <w:pPr>
        <w:rPr>
          <w:b w:val="0"/>
          <w:szCs w:val="22"/>
          <w:lang w:val="en-US" w:eastAsia="en-US"/>
        </w:rPr>
      </w:pPr>
      <w:r w:rsidRPr="002F5E36">
        <w:rPr>
          <w:b w:val="0"/>
          <w:szCs w:val="22"/>
          <w:lang w:val="en-US" w:eastAsia="en-US"/>
        </w:rPr>
        <w:t>Վերլուծության ամփոփ արդյունքները ներկայացված են ստորև</w:t>
      </w:r>
    </w:p>
    <w:p w14:paraId="651266BA" w14:textId="77777777" w:rsidR="002F5E36" w:rsidRPr="002F5E36" w:rsidRDefault="002F5E36" w:rsidP="002F5E36">
      <w:pPr>
        <w:spacing w:before="0"/>
        <w:ind w:firstLine="720"/>
        <w:jc w:val="right"/>
        <w:rPr>
          <w:b w:val="0"/>
          <w:szCs w:val="22"/>
          <w:lang w:val="en-US" w:eastAsia="en-US"/>
        </w:rPr>
      </w:pPr>
      <w:r w:rsidRPr="002F5E36">
        <w:rPr>
          <w:b w:val="0"/>
          <w:szCs w:val="22"/>
          <w:lang w:val="en-US" w:eastAsia="en-US"/>
        </w:rPr>
        <w:t>մլն դրամ</w:t>
      </w:r>
      <w:r w:rsidRPr="002F5E36">
        <w:rPr>
          <w:b w:val="0"/>
          <w:szCs w:val="22"/>
          <w:lang w:val="en-US" w:eastAsia="en-US"/>
        </w:rPr>
        <w:tab/>
      </w:r>
    </w:p>
    <w:tbl>
      <w:tblPr>
        <w:tblW w:w="9409" w:type="dxa"/>
        <w:tblInd w:w="131" w:type="dxa"/>
        <w:tblLook w:val="04A0" w:firstRow="1" w:lastRow="0" w:firstColumn="1" w:lastColumn="0" w:noHBand="0" w:noVBand="1"/>
      </w:tblPr>
      <w:tblGrid>
        <w:gridCol w:w="960"/>
        <w:gridCol w:w="3247"/>
        <w:gridCol w:w="1980"/>
        <w:gridCol w:w="2000"/>
        <w:gridCol w:w="1222"/>
      </w:tblGrid>
      <w:tr w:rsidR="002F5E36" w:rsidRPr="002F5E36" w14:paraId="04336CED" w14:textId="77777777" w:rsidTr="00347B32">
        <w:trPr>
          <w:trHeight w:val="1410"/>
        </w:trPr>
        <w:tc>
          <w:tcPr>
            <w:tcW w:w="960" w:type="dxa"/>
            <w:tcBorders>
              <w:bottom w:val="single" w:sz="4" w:space="0" w:color="auto"/>
            </w:tcBorders>
            <w:shd w:val="clear" w:color="auto" w:fill="auto"/>
            <w:vAlign w:val="center"/>
            <w:hideMark/>
          </w:tcPr>
          <w:p w14:paraId="0DFBCFA8" w14:textId="77777777" w:rsidR="002F5E36" w:rsidRPr="00CA6A4E" w:rsidRDefault="002F5E36" w:rsidP="002F5E36">
            <w:pPr>
              <w:spacing w:before="0"/>
              <w:jc w:val="center"/>
              <w:rPr>
                <w:rFonts w:cs="Calibri"/>
                <w:b w:val="0"/>
                <w:bCs/>
                <w:color w:val="000000"/>
                <w:sz w:val="20"/>
                <w:szCs w:val="20"/>
                <w:lang w:val="en-US" w:eastAsia="en-US"/>
              </w:rPr>
            </w:pPr>
            <w:r w:rsidRPr="00CA6A4E">
              <w:rPr>
                <w:rFonts w:cs="Calibri"/>
                <w:b w:val="0"/>
                <w:bCs/>
                <w:color w:val="000000"/>
                <w:sz w:val="20"/>
                <w:szCs w:val="20"/>
                <w:lang w:val="en-US" w:eastAsia="en-US"/>
              </w:rPr>
              <w:t>Հ/Հ</w:t>
            </w:r>
          </w:p>
        </w:tc>
        <w:tc>
          <w:tcPr>
            <w:tcW w:w="3247" w:type="dxa"/>
            <w:shd w:val="clear" w:color="auto" w:fill="auto"/>
            <w:vAlign w:val="center"/>
            <w:hideMark/>
          </w:tcPr>
          <w:p w14:paraId="105A0A98"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Հարկային ծախսերի տեսակը</w:t>
            </w:r>
          </w:p>
        </w:tc>
        <w:tc>
          <w:tcPr>
            <w:tcW w:w="1980" w:type="dxa"/>
            <w:tcBorders>
              <w:bottom w:val="single" w:sz="4" w:space="0" w:color="auto"/>
            </w:tcBorders>
            <w:shd w:val="clear" w:color="auto" w:fill="auto"/>
            <w:vAlign w:val="center"/>
            <w:hideMark/>
          </w:tcPr>
          <w:p w14:paraId="69552349"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Հարկային ծախսերի չափը</w:t>
            </w:r>
          </w:p>
        </w:tc>
        <w:tc>
          <w:tcPr>
            <w:tcW w:w="2000" w:type="dxa"/>
            <w:shd w:val="clear" w:color="auto" w:fill="auto"/>
            <w:vAlign w:val="center"/>
            <w:hideMark/>
          </w:tcPr>
          <w:p w14:paraId="02379EF6"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Կշիռը հարկային եկամուտների մեջ</w:t>
            </w:r>
          </w:p>
        </w:tc>
        <w:tc>
          <w:tcPr>
            <w:tcW w:w="1222" w:type="dxa"/>
            <w:tcBorders>
              <w:bottom w:val="single" w:sz="4" w:space="0" w:color="auto"/>
            </w:tcBorders>
            <w:shd w:val="clear" w:color="auto" w:fill="auto"/>
            <w:vAlign w:val="center"/>
            <w:hideMark/>
          </w:tcPr>
          <w:p w14:paraId="2AD9E503"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Կշիռը ՀՆԱ-ի մեջ</w:t>
            </w:r>
          </w:p>
        </w:tc>
      </w:tr>
      <w:tr w:rsidR="002F5E36" w:rsidRPr="002F5E36" w14:paraId="2F0D8DB4" w14:textId="77777777" w:rsidTr="00347B32">
        <w:trPr>
          <w:trHeight w:val="375"/>
        </w:trPr>
        <w:tc>
          <w:tcPr>
            <w:tcW w:w="960" w:type="dxa"/>
            <w:tcBorders>
              <w:top w:val="single" w:sz="4" w:space="0" w:color="auto"/>
              <w:bottom w:val="single" w:sz="4" w:space="0" w:color="auto"/>
            </w:tcBorders>
            <w:shd w:val="clear" w:color="auto" w:fill="auto"/>
            <w:vAlign w:val="center"/>
            <w:hideMark/>
          </w:tcPr>
          <w:p w14:paraId="43E6797E" w14:textId="77777777" w:rsidR="002F5E36" w:rsidRPr="00CA6A4E" w:rsidRDefault="002F5E36" w:rsidP="002F5E36">
            <w:pPr>
              <w:spacing w:before="0"/>
              <w:jc w:val="center"/>
              <w:rPr>
                <w:rFonts w:cs="Calibri"/>
                <w:b w:val="0"/>
                <w:bCs/>
                <w:color w:val="000000"/>
                <w:sz w:val="20"/>
                <w:szCs w:val="20"/>
                <w:lang w:val="en-US" w:eastAsia="en-US"/>
              </w:rPr>
            </w:pPr>
            <w:r w:rsidRPr="00CA6A4E">
              <w:rPr>
                <w:rFonts w:cs="Calibri"/>
                <w:b w:val="0"/>
                <w:bCs/>
                <w:color w:val="000000"/>
                <w:sz w:val="20"/>
                <w:szCs w:val="20"/>
                <w:lang w:val="en-US" w:eastAsia="en-US"/>
              </w:rPr>
              <w:t>1</w:t>
            </w:r>
          </w:p>
        </w:tc>
        <w:tc>
          <w:tcPr>
            <w:tcW w:w="3247" w:type="dxa"/>
            <w:tcBorders>
              <w:bottom w:val="single" w:sz="4" w:space="0" w:color="auto"/>
            </w:tcBorders>
            <w:shd w:val="clear" w:color="auto" w:fill="auto"/>
            <w:vAlign w:val="center"/>
            <w:hideMark/>
          </w:tcPr>
          <w:p w14:paraId="7BCFB5DB" w14:textId="77777777" w:rsidR="002F5E36" w:rsidRPr="00CA6A4E" w:rsidRDefault="002F5E36" w:rsidP="00DA253F">
            <w:pPr>
              <w:spacing w:before="0" w:line="240" w:lineRule="auto"/>
              <w:jc w:val="left"/>
              <w:rPr>
                <w:rFonts w:cs="Calibri"/>
                <w:b w:val="0"/>
                <w:bCs/>
                <w:color w:val="000000"/>
                <w:sz w:val="20"/>
                <w:szCs w:val="20"/>
                <w:lang w:val="en-US" w:eastAsia="en-US"/>
              </w:rPr>
            </w:pPr>
            <w:r w:rsidRPr="00CA6A4E">
              <w:rPr>
                <w:rFonts w:cs="Calibri"/>
                <w:b w:val="0"/>
                <w:bCs/>
                <w:color w:val="000000"/>
                <w:sz w:val="20"/>
                <w:szCs w:val="20"/>
                <w:lang w:val="en-US" w:eastAsia="en-US"/>
              </w:rPr>
              <w:t>ԱԱՀ-ի գծով, այդ թվում`</w:t>
            </w:r>
          </w:p>
        </w:tc>
        <w:tc>
          <w:tcPr>
            <w:tcW w:w="1980" w:type="dxa"/>
            <w:tcBorders>
              <w:top w:val="single" w:sz="4" w:space="0" w:color="auto"/>
              <w:bottom w:val="single" w:sz="4" w:space="0" w:color="auto"/>
            </w:tcBorders>
            <w:shd w:val="clear" w:color="auto" w:fill="auto"/>
            <w:vAlign w:val="center"/>
            <w:hideMark/>
          </w:tcPr>
          <w:p w14:paraId="6A807FA7"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486,442</w:t>
            </w:r>
          </w:p>
        </w:tc>
        <w:tc>
          <w:tcPr>
            <w:tcW w:w="2000" w:type="dxa"/>
            <w:tcBorders>
              <w:bottom w:val="single" w:sz="4" w:space="0" w:color="auto"/>
            </w:tcBorders>
            <w:shd w:val="clear" w:color="auto" w:fill="auto"/>
            <w:vAlign w:val="center"/>
            <w:hideMark/>
          </w:tcPr>
          <w:p w14:paraId="5EAE157D" w14:textId="6FA063FA" w:rsidR="002F5E36" w:rsidRPr="00CA6A4E" w:rsidRDefault="00A32217"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18.61</w:t>
            </w:r>
            <w:r w:rsidR="002F5E36" w:rsidRPr="00CA6A4E">
              <w:rPr>
                <w:rFonts w:cs="Calibri"/>
                <w:b w:val="0"/>
                <w:bCs/>
                <w:color w:val="000000"/>
                <w:sz w:val="20"/>
                <w:szCs w:val="20"/>
                <w:lang w:val="en-US" w:eastAsia="en-US"/>
              </w:rPr>
              <w:t>%</w:t>
            </w:r>
          </w:p>
        </w:tc>
        <w:tc>
          <w:tcPr>
            <w:tcW w:w="1222" w:type="dxa"/>
            <w:tcBorders>
              <w:top w:val="single" w:sz="4" w:space="0" w:color="auto"/>
              <w:bottom w:val="single" w:sz="4" w:space="0" w:color="auto"/>
            </w:tcBorders>
            <w:shd w:val="clear" w:color="auto" w:fill="auto"/>
            <w:vAlign w:val="center"/>
            <w:hideMark/>
          </w:tcPr>
          <w:p w14:paraId="577B44DC"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4.63%</w:t>
            </w:r>
          </w:p>
        </w:tc>
      </w:tr>
      <w:tr w:rsidR="002F5E36" w:rsidRPr="002F5E36" w14:paraId="19BA18AA" w14:textId="77777777" w:rsidTr="00347B32">
        <w:trPr>
          <w:trHeight w:val="630"/>
        </w:trPr>
        <w:tc>
          <w:tcPr>
            <w:tcW w:w="960" w:type="dxa"/>
            <w:tcBorders>
              <w:top w:val="single" w:sz="4" w:space="0" w:color="auto"/>
            </w:tcBorders>
            <w:shd w:val="clear" w:color="auto" w:fill="auto"/>
            <w:vAlign w:val="center"/>
            <w:hideMark/>
          </w:tcPr>
          <w:p w14:paraId="36020DCE"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1.1.</w:t>
            </w:r>
          </w:p>
        </w:tc>
        <w:tc>
          <w:tcPr>
            <w:tcW w:w="3247" w:type="dxa"/>
            <w:tcBorders>
              <w:top w:val="single" w:sz="4" w:space="0" w:color="auto"/>
            </w:tcBorders>
            <w:shd w:val="clear" w:color="auto" w:fill="auto"/>
            <w:vAlign w:val="center"/>
            <w:hideMark/>
          </w:tcPr>
          <w:p w14:paraId="07D86265"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գյուղատնտեսություն</w:t>
            </w:r>
          </w:p>
        </w:tc>
        <w:tc>
          <w:tcPr>
            <w:tcW w:w="1980" w:type="dxa"/>
            <w:tcBorders>
              <w:top w:val="single" w:sz="4" w:space="0" w:color="auto"/>
            </w:tcBorders>
            <w:shd w:val="clear" w:color="auto" w:fill="auto"/>
            <w:vAlign w:val="center"/>
            <w:hideMark/>
          </w:tcPr>
          <w:p w14:paraId="134365E8"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18,902</w:t>
            </w:r>
          </w:p>
        </w:tc>
        <w:tc>
          <w:tcPr>
            <w:tcW w:w="2000" w:type="dxa"/>
            <w:tcBorders>
              <w:top w:val="single" w:sz="4" w:space="0" w:color="auto"/>
            </w:tcBorders>
            <w:shd w:val="clear" w:color="auto" w:fill="auto"/>
            <w:vAlign w:val="center"/>
            <w:hideMark/>
          </w:tcPr>
          <w:p w14:paraId="1BA92503" w14:textId="3B0D7612"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0.72</w:t>
            </w:r>
            <w:r w:rsidR="002F5E36" w:rsidRPr="00CA6A4E">
              <w:rPr>
                <w:rFonts w:cs="Calibri"/>
                <w:b w:val="0"/>
                <w:i/>
                <w:iCs/>
                <w:color w:val="000000"/>
                <w:sz w:val="20"/>
                <w:szCs w:val="20"/>
                <w:lang w:val="en-US" w:eastAsia="en-US"/>
              </w:rPr>
              <w:t>%</w:t>
            </w:r>
          </w:p>
        </w:tc>
        <w:tc>
          <w:tcPr>
            <w:tcW w:w="1222" w:type="dxa"/>
            <w:tcBorders>
              <w:top w:val="single" w:sz="4" w:space="0" w:color="auto"/>
            </w:tcBorders>
            <w:shd w:val="clear" w:color="auto" w:fill="auto"/>
            <w:vAlign w:val="center"/>
            <w:hideMark/>
          </w:tcPr>
          <w:p w14:paraId="42FDB29D"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0.18%</w:t>
            </w:r>
          </w:p>
        </w:tc>
      </w:tr>
      <w:tr w:rsidR="002F5E36" w:rsidRPr="002F5E36" w14:paraId="751E348A" w14:textId="77777777" w:rsidTr="00347B32">
        <w:trPr>
          <w:trHeight w:val="630"/>
        </w:trPr>
        <w:tc>
          <w:tcPr>
            <w:tcW w:w="960" w:type="dxa"/>
            <w:shd w:val="clear" w:color="auto" w:fill="auto"/>
            <w:vAlign w:val="center"/>
            <w:hideMark/>
          </w:tcPr>
          <w:p w14:paraId="1350ED41"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1.2.</w:t>
            </w:r>
          </w:p>
        </w:tc>
        <w:tc>
          <w:tcPr>
            <w:tcW w:w="3247" w:type="dxa"/>
            <w:shd w:val="clear" w:color="auto" w:fill="auto"/>
            <w:vAlign w:val="center"/>
            <w:hideMark/>
          </w:tcPr>
          <w:p w14:paraId="22AA92A2"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առողջապահություն</w:t>
            </w:r>
          </w:p>
        </w:tc>
        <w:tc>
          <w:tcPr>
            <w:tcW w:w="1980" w:type="dxa"/>
            <w:shd w:val="clear" w:color="auto" w:fill="auto"/>
            <w:vAlign w:val="center"/>
            <w:hideMark/>
          </w:tcPr>
          <w:p w14:paraId="04C8174A"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82,365</w:t>
            </w:r>
          </w:p>
        </w:tc>
        <w:tc>
          <w:tcPr>
            <w:tcW w:w="2000" w:type="dxa"/>
            <w:shd w:val="clear" w:color="auto" w:fill="auto"/>
            <w:vAlign w:val="center"/>
            <w:hideMark/>
          </w:tcPr>
          <w:p w14:paraId="0B321B79" w14:textId="46122435"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3.15</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1C549D2B"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0.78%</w:t>
            </w:r>
          </w:p>
        </w:tc>
      </w:tr>
      <w:tr w:rsidR="002F5E36" w:rsidRPr="002F5E36" w14:paraId="35BF19A0" w14:textId="77777777" w:rsidTr="00347B32">
        <w:trPr>
          <w:trHeight w:val="630"/>
        </w:trPr>
        <w:tc>
          <w:tcPr>
            <w:tcW w:w="960" w:type="dxa"/>
            <w:shd w:val="clear" w:color="auto" w:fill="auto"/>
            <w:vAlign w:val="center"/>
            <w:hideMark/>
          </w:tcPr>
          <w:p w14:paraId="22D27BA2"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1.3.</w:t>
            </w:r>
          </w:p>
        </w:tc>
        <w:tc>
          <w:tcPr>
            <w:tcW w:w="3247" w:type="dxa"/>
            <w:shd w:val="clear" w:color="auto" w:fill="auto"/>
            <w:vAlign w:val="center"/>
            <w:hideMark/>
          </w:tcPr>
          <w:p w14:paraId="7FDDC619"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կրթություն</w:t>
            </w:r>
          </w:p>
        </w:tc>
        <w:tc>
          <w:tcPr>
            <w:tcW w:w="1980" w:type="dxa"/>
            <w:shd w:val="clear" w:color="auto" w:fill="auto"/>
            <w:vAlign w:val="center"/>
            <w:hideMark/>
          </w:tcPr>
          <w:p w14:paraId="7A059B86"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37,237</w:t>
            </w:r>
          </w:p>
        </w:tc>
        <w:tc>
          <w:tcPr>
            <w:tcW w:w="2000" w:type="dxa"/>
            <w:shd w:val="clear" w:color="auto" w:fill="auto"/>
            <w:vAlign w:val="center"/>
            <w:hideMark/>
          </w:tcPr>
          <w:p w14:paraId="442C59FE" w14:textId="5C4712DB"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1.42</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748537EB"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0.35%</w:t>
            </w:r>
          </w:p>
        </w:tc>
      </w:tr>
      <w:tr w:rsidR="002F5E36" w:rsidRPr="002F5E36" w14:paraId="2C5C9B63" w14:textId="77777777" w:rsidTr="00347B32">
        <w:trPr>
          <w:trHeight w:val="630"/>
        </w:trPr>
        <w:tc>
          <w:tcPr>
            <w:tcW w:w="960" w:type="dxa"/>
            <w:shd w:val="clear" w:color="auto" w:fill="auto"/>
            <w:vAlign w:val="center"/>
            <w:hideMark/>
          </w:tcPr>
          <w:p w14:paraId="7F46CE49"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1.4.</w:t>
            </w:r>
          </w:p>
        </w:tc>
        <w:tc>
          <w:tcPr>
            <w:tcW w:w="3247" w:type="dxa"/>
            <w:shd w:val="clear" w:color="auto" w:fill="auto"/>
            <w:vAlign w:val="center"/>
            <w:hideMark/>
          </w:tcPr>
          <w:p w14:paraId="5A64CB71"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ֆինանսներ և ապահովագրություն</w:t>
            </w:r>
          </w:p>
        </w:tc>
        <w:tc>
          <w:tcPr>
            <w:tcW w:w="1980" w:type="dxa"/>
            <w:shd w:val="clear" w:color="auto" w:fill="auto"/>
            <w:vAlign w:val="center"/>
            <w:hideMark/>
          </w:tcPr>
          <w:p w14:paraId="67DD90E1"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164,070</w:t>
            </w:r>
          </w:p>
        </w:tc>
        <w:tc>
          <w:tcPr>
            <w:tcW w:w="2000" w:type="dxa"/>
            <w:shd w:val="clear" w:color="auto" w:fill="auto"/>
            <w:vAlign w:val="center"/>
            <w:hideMark/>
          </w:tcPr>
          <w:p w14:paraId="3A0BF7FB" w14:textId="1ACA8C27"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6.28</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783535C4"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1.56%</w:t>
            </w:r>
          </w:p>
        </w:tc>
      </w:tr>
      <w:tr w:rsidR="002F5E36" w:rsidRPr="002F5E36" w14:paraId="49658875" w14:textId="77777777" w:rsidTr="00347B32">
        <w:trPr>
          <w:trHeight w:val="630"/>
        </w:trPr>
        <w:tc>
          <w:tcPr>
            <w:tcW w:w="960" w:type="dxa"/>
            <w:shd w:val="clear" w:color="auto" w:fill="auto"/>
            <w:vAlign w:val="center"/>
            <w:hideMark/>
          </w:tcPr>
          <w:p w14:paraId="77C1F01D"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1.5.</w:t>
            </w:r>
          </w:p>
        </w:tc>
        <w:tc>
          <w:tcPr>
            <w:tcW w:w="3247" w:type="dxa"/>
            <w:shd w:val="clear" w:color="auto" w:fill="auto"/>
            <w:vAlign w:val="center"/>
            <w:hideMark/>
          </w:tcPr>
          <w:p w14:paraId="66258FDB"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ԱԱՀ-ի շեմ</w:t>
            </w:r>
          </w:p>
        </w:tc>
        <w:tc>
          <w:tcPr>
            <w:tcW w:w="1980" w:type="dxa"/>
            <w:shd w:val="clear" w:color="auto" w:fill="auto"/>
            <w:vAlign w:val="center"/>
            <w:hideMark/>
          </w:tcPr>
          <w:p w14:paraId="4A0CA032"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75,162</w:t>
            </w:r>
          </w:p>
        </w:tc>
        <w:tc>
          <w:tcPr>
            <w:tcW w:w="2000" w:type="dxa"/>
            <w:shd w:val="clear" w:color="auto" w:fill="auto"/>
            <w:vAlign w:val="center"/>
            <w:hideMark/>
          </w:tcPr>
          <w:p w14:paraId="616A7D9F" w14:textId="1ECF8DCA"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2.88</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4D622656" w14:textId="0DB9CC91"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0.71</w:t>
            </w:r>
            <w:r w:rsidR="002F5E36" w:rsidRPr="00CA6A4E">
              <w:rPr>
                <w:rFonts w:cs="Calibri"/>
                <w:b w:val="0"/>
                <w:i/>
                <w:iCs/>
                <w:color w:val="000000"/>
                <w:sz w:val="20"/>
                <w:szCs w:val="20"/>
                <w:lang w:val="en-US" w:eastAsia="en-US"/>
              </w:rPr>
              <w:t>%</w:t>
            </w:r>
          </w:p>
        </w:tc>
      </w:tr>
      <w:tr w:rsidR="002F5E36" w:rsidRPr="002F5E36" w14:paraId="01D167E5" w14:textId="77777777" w:rsidTr="00347B32">
        <w:trPr>
          <w:trHeight w:val="1170"/>
        </w:trPr>
        <w:tc>
          <w:tcPr>
            <w:tcW w:w="960" w:type="dxa"/>
            <w:shd w:val="clear" w:color="auto" w:fill="auto"/>
            <w:vAlign w:val="center"/>
            <w:hideMark/>
          </w:tcPr>
          <w:p w14:paraId="5730DAD3"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1.6.</w:t>
            </w:r>
          </w:p>
        </w:tc>
        <w:tc>
          <w:tcPr>
            <w:tcW w:w="3247" w:type="dxa"/>
            <w:shd w:val="clear" w:color="auto" w:fill="auto"/>
            <w:vAlign w:val="center"/>
            <w:hideMark/>
          </w:tcPr>
          <w:p w14:paraId="0847C731"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խաղատների գործունեություն, շահումով խաղերի (այդ թվում՝ ինտերնետ շահումով խաղերի), տոտալիզատորի և ինտերնետ տոտալիզատորի կազմակերպում</w:t>
            </w:r>
          </w:p>
        </w:tc>
        <w:tc>
          <w:tcPr>
            <w:tcW w:w="1980" w:type="dxa"/>
            <w:shd w:val="clear" w:color="auto" w:fill="auto"/>
            <w:vAlign w:val="center"/>
            <w:hideMark/>
          </w:tcPr>
          <w:p w14:paraId="44B163EA"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42,548</w:t>
            </w:r>
          </w:p>
        </w:tc>
        <w:tc>
          <w:tcPr>
            <w:tcW w:w="2000" w:type="dxa"/>
            <w:shd w:val="clear" w:color="auto" w:fill="auto"/>
            <w:vAlign w:val="center"/>
            <w:hideMark/>
          </w:tcPr>
          <w:p w14:paraId="6452DBED" w14:textId="206466B3"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1.63</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59CBFDB8" w14:textId="7A260D8C"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0.40</w:t>
            </w:r>
            <w:r w:rsidR="002F5E36" w:rsidRPr="00CA6A4E">
              <w:rPr>
                <w:rFonts w:cs="Calibri"/>
                <w:b w:val="0"/>
                <w:i/>
                <w:iCs/>
                <w:color w:val="000000"/>
                <w:sz w:val="20"/>
                <w:szCs w:val="20"/>
                <w:lang w:val="en-US" w:eastAsia="en-US"/>
              </w:rPr>
              <w:t>%</w:t>
            </w:r>
          </w:p>
        </w:tc>
      </w:tr>
      <w:tr w:rsidR="002F5E36" w:rsidRPr="002F5E36" w14:paraId="30042A1E" w14:textId="77777777" w:rsidTr="00347B32">
        <w:trPr>
          <w:trHeight w:val="630"/>
        </w:trPr>
        <w:tc>
          <w:tcPr>
            <w:tcW w:w="960" w:type="dxa"/>
            <w:shd w:val="clear" w:color="auto" w:fill="auto"/>
            <w:vAlign w:val="center"/>
            <w:hideMark/>
          </w:tcPr>
          <w:p w14:paraId="598B6CD2"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1.7.</w:t>
            </w:r>
          </w:p>
        </w:tc>
        <w:tc>
          <w:tcPr>
            <w:tcW w:w="3247" w:type="dxa"/>
            <w:shd w:val="clear" w:color="auto" w:fill="auto"/>
            <w:vAlign w:val="center"/>
            <w:hideMark/>
          </w:tcPr>
          <w:p w14:paraId="54DA89B5"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ոսկու և թանկարժեք քարերի իրացում</w:t>
            </w:r>
          </w:p>
        </w:tc>
        <w:tc>
          <w:tcPr>
            <w:tcW w:w="1980" w:type="dxa"/>
            <w:shd w:val="clear" w:color="auto" w:fill="auto"/>
            <w:vAlign w:val="center"/>
            <w:hideMark/>
          </w:tcPr>
          <w:p w14:paraId="5EE1D84B"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4,208</w:t>
            </w:r>
          </w:p>
        </w:tc>
        <w:tc>
          <w:tcPr>
            <w:tcW w:w="2000" w:type="dxa"/>
            <w:shd w:val="clear" w:color="auto" w:fill="auto"/>
            <w:vAlign w:val="center"/>
            <w:hideMark/>
          </w:tcPr>
          <w:p w14:paraId="19339289"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0.16%</w:t>
            </w:r>
          </w:p>
        </w:tc>
        <w:tc>
          <w:tcPr>
            <w:tcW w:w="1222" w:type="dxa"/>
            <w:shd w:val="clear" w:color="auto" w:fill="auto"/>
            <w:vAlign w:val="center"/>
            <w:hideMark/>
          </w:tcPr>
          <w:p w14:paraId="6A894AB6"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0.04%</w:t>
            </w:r>
          </w:p>
        </w:tc>
      </w:tr>
      <w:tr w:rsidR="002F5E36" w:rsidRPr="002F5E36" w14:paraId="11899BF7" w14:textId="77777777" w:rsidTr="00347B32">
        <w:trPr>
          <w:trHeight w:val="630"/>
        </w:trPr>
        <w:tc>
          <w:tcPr>
            <w:tcW w:w="960" w:type="dxa"/>
            <w:shd w:val="clear" w:color="auto" w:fill="auto"/>
            <w:vAlign w:val="center"/>
            <w:hideMark/>
          </w:tcPr>
          <w:p w14:paraId="2AD0A05C"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1.8.</w:t>
            </w:r>
          </w:p>
        </w:tc>
        <w:tc>
          <w:tcPr>
            <w:tcW w:w="3247" w:type="dxa"/>
            <w:shd w:val="clear" w:color="auto" w:fill="auto"/>
            <w:vAlign w:val="center"/>
            <w:hideMark/>
          </w:tcPr>
          <w:p w14:paraId="20A4ACA3"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մարդասիրական օգնություն</w:t>
            </w:r>
          </w:p>
        </w:tc>
        <w:tc>
          <w:tcPr>
            <w:tcW w:w="1980" w:type="dxa"/>
            <w:shd w:val="clear" w:color="auto" w:fill="auto"/>
            <w:vAlign w:val="center"/>
            <w:hideMark/>
          </w:tcPr>
          <w:p w14:paraId="687F9A11"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7,068</w:t>
            </w:r>
          </w:p>
        </w:tc>
        <w:tc>
          <w:tcPr>
            <w:tcW w:w="2000" w:type="dxa"/>
            <w:shd w:val="clear" w:color="auto" w:fill="auto"/>
            <w:vAlign w:val="center"/>
            <w:hideMark/>
          </w:tcPr>
          <w:p w14:paraId="02466881" w14:textId="1D92AF93"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0.27</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6223C6AC"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0.07%</w:t>
            </w:r>
          </w:p>
        </w:tc>
      </w:tr>
      <w:tr w:rsidR="002F5E36" w:rsidRPr="002F5E36" w14:paraId="0E6736BE" w14:textId="77777777" w:rsidTr="00347B32">
        <w:trPr>
          <w:trHeight w:val="630"/>
        </w:trPr>
        <w:tc>
          <w:tcPr>
            <w:tcW w:w="960" w:type="dxa"/>
            <w:shd w:val="clear" w:color="auto" w:fill="auto"/>
            <w:vAlign w:val="center"/>
            <w:hideMark/>
          </w:tcPr>
          <w:p w14:paraId="6731174A"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lastRenderedPageBreak/>
              <w:t>1.9.</w:t>
            </w:r>
          </w:p>
        </w:tc>
        <w:tc>
          <w:tcPr>
            <w:tcW w:w="3247" w:type="dxa"/>
            <w:shd w:val="clear" w:color="auto" w:fill="auto"/>
            <w:vAlign w:val="center"/>
            <w:hideMark/>
          </w:tcPr>
          <w:p w14:paraId="61575370"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պարարտանյութերի իրացում</w:t>
            </w:r>
          </w:p>
        </w:tc>
        <w:tc>
          <w:tcPr>
            <w:tcW w:w="1980" w:type="dxa"/>
            <w:shd w:val="clear" w:color="auto" w:fill="auto"/>
            <w:vAlign w:val="center"/>
            <w:hideMark/>
          </w:tcPr>
          <w:p w14:paraId="6E28DC8E"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6,253</w:t>
            </w:r>
          </w:p>
        </w:tc>
        <w:tc>
          <w:tcPr>
            <w:tcW w:w="2000" w:type="dxa"/>
            <w:shd w:val="clear" w:color="auto" w:fill="auto"/>
            <w:vAlign w:val="center"/>
            <w:hideMark/>
          </w:tcPr>
          <w:p w14:paraId="30A230DE"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0.24%</w:t>
            </w:r>
          </w:p>
        </w:tc>
        <w:tc>
          <w:tcPr>
            <w:tcW w:w="1222" w:type="dxa"/>
            <w:shd w:val="clear" w:color="auto" w:fill="auto"/>
            <w:vAlign w:val="center"/>
            <w:hideMark/>
          </w:tcPr>
          <w:p w14:paraId="59398319"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0.06%</w:t>
            </w:r>
          </w:p>
        </w:tc>
      </w:tr>
      <w:tr w:rsidR="002F5E36" w:rsidRPr="002F5E36" w14:paraId="20D88417" w14:textId="77777777" w:rsidTr="00347B32">
        <w:trPr>
          <w:trHeight w:val="630"/>
        </w:trPr>
        <w:tc>
          <w:tcPr>
            <w:tcW w:w="960" w:type="dxa"/>
            <w:shd w:val="clear" w:color="auto" w:fill="auto"/>
            <w:vAlign w:val="center"/>
            <w:hideMark/>
          </w:tcPr>
          <w:p w14:paraId="28ABD6A4"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1.10.</w:t>
            </w:r>
          </w:p>
        </w:tc>
        <w:tc>
          <w:tcPr>
            <w:tcW w:w="3247" w:type="dxa"/>
            <w:shd w:val="clear" w:color="auto" w:fill="auto"/>
            <w:vAlign w:val="center"/>
            <w:hideMark/>
          </w:tcPr>
          <w:p w14:paraId="63560D38"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ջրօգտագործողների ընկերությունների կողմից ոռոգման ջրի օտարում</w:t>
            </w:r>
          </w:p>
        </w:tc>
        <w:tc>
          <w:tcPr>
            <w:tcW w:w="1980" w:type="dxa"/>
            <w:shd w:val="clear" w:color="auto" w:fill="auto"/>
            <w:vAlign w:val="center"/>
            <w:hideMark/>
          </w:tcPr>
          <w:p w14:paraId="77460DA9"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1,257</w:t>
            </w:r>
          </w:p>
        </w:tc>
        <w:tc>
          <w:tcPr>
            <w:tcW w:w="2000" w:type="dxa"/>
            <w:shd w:val="clear" w:color="auto" w:fill="auto"/>
            <w:vAlign w:val="center"/>
            <w:hideMark/>
          </w:tcPr>
          <w:p w14:paraId="5586F0F3"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0.05%</w:t>
            </w:r>
          </w:p>
        </w:tc>
        <w:tc>
          <w:tcPr>
            <w:tcW w:w="1222" w:type="dxa"/>
            <w:shd w:val="clear" w:color="auto" w:fill="auto"/>
            <w:vAlign w:val="center"/>
            <w:hideMark/>
          </w:tcPr>
          <w:p w14:paraId="34D66B20"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0.01%</w:t>
            </w:r>
          </w:p>
        </w:tc>
      </w:tr>
      <w:tr w:rsidR="002F5E36" w:rsidRPr="002F5E36" w14:paraId="794A50FB" w14:textId="77777777" w:rsidTr="00347B32">
        <w:trPr>
          <w:trHeight w:val="1335"/>
        </w:trPr>
        <w:tc>
          <w:tcPr>
            <w:tcW w:w="960" w:type="dxa"/>
            <w:shd w:val="clear" w:color="auto" w:fill="auto"/>
            <w:vAlign w:val="center"/>
            <w:hideMark/>
          </w:tcPr>
          <w:p w14:paraId="2D503B8D"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1.11.</w:t>
            </w:r>
          </w:p>
        </w:tc>
        <w:tc>
          <w:tcPr>
            <w:tcW w:w="3247" w:type="dxa"/>
            <w:shd w:val="clear" w:color="auto" w:fill="auto"/>
            <w:vAlign w:val="center"/>
            <w:hideMark/>
          </w:tcPr>
          <w:p w14:paraId="7A0957DA"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սուբսիդիաների, սուբվենցիաների և դրամաշնորհային ծրագրերի շրջանակներում իրականացվող` ապրանքի մատակարարում, աշխատանքի կատարում և (կամ) ծառայության մատուցում</w:t>
            </w:r>
          </w:p>
        </w:tc>
        <w:tc>
          <w:tcPr>
            <w:tcW w:w="1980" w:type="dxa"/>
            <w:shd w:val="clear" w:color="auto" w:fill="auto"/>
            <w:vAlign w:val="center"/>
            <w:hideMark/>
          </w:tcPr>
          <w:p w14:paraId="537C38E9"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504</w:t>
            </w:r>
          </w:p>
        </w:tc>
        <w:tc>
          <w:tcPr>
            <w:tcW w:w="2000" w:type="dxa"/>
            <w:shd w:val="clear" w:color="auto" w:fill="auto"/>
            <w:vAlign w:val="center"/>
            <w:hideMark/>
          </w:tcPr>
          <w:p w14:paraId="5FA02014"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0.02%</w:t>
            </w:r>
          </w:p>
        </w:tc>
        <w:tc>
          <w:tcPr>
            <w:tcW w:w="1222" w:type="dxa"/>
            <w:shd w:val="clear" w:color="auto" w:fill="auto"/>
            <w:vAlign w:val="center"/>
            <w:hideMark/>
          </w:tcPr>
          <w:p w14:paraId="1CFB8C83"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0.00%</w:t>
            </w:r>
          </w:p>
        </w:tc>
      </w:tr>
      <w:tr w:rsidR="002F5E36" w:rsidRPr="002F5E36" w14:paraId="264C64B5" w14:textId="77777777" w:rsidTr="00347B32">
        <w:trPr>
          <w:trHeight w:val="1935"/>
        </w:trPr>
        <w:tc>
          <w:tcPr>
            <w:tcW w:w="960" w:type="dxa"/>
            <w:shd w:val="clear" w:color="auto" w:fill="auto"/>
            <w:vAlign w:val="center"/>
            <w:hideMark/>
          </w:tcPr>
          <w:p w14:paraId="3311B3C2"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1.12.</w:t>
            </w:r>
          </w:p>
        </w:tc>
        <w:tc>
          <w:tcPr>
            <w:tcW w:w="3247" w:type="dxa"/>
            <w:shd w:val="clear" w:color="auto" w:fill="auto"/>
            <w:vAlign w:val="center"/>
            <w:hideMark/>
          </w:tcPr>
          <w:p w14:paraId="4929D5A5"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ազատ տնտեսական գոտու կազմակերպչին և ազատ տնտեսական գոտու շահագործողին ծառայությունների մատուցումը, ազատ տնտեսական գոտու կազմակերպչի և ազատ տնտեսական գոտու շահագործողի համար աշխատանքների կատարումը, ազատ տնտեսական գոտու տարածքում ապրանքների մատակարարում</w:t>
            </w:r>
          </w:p>
        </w:tc>
        <w:tc>
          <w:tcPr>
            <w:tcW w:w="1980" w:type="dxa"/>
            <w:shd w:val="clear" w:color="auto" w:fill="auto"/>
            <w:vAlign w:val="center"/>
            <w:hideMark/>
          </w:tcPr>
          <w:p w14:paraId="64F5EF4F"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665</w:t>
            </w:r>
          </w:p>
        </w:tc>
        <w:tc>
          <w:tcPr>
            <w:tcW w:w="2000" w:type="dxa"/>
            <w:shd w:val="clear" w:color="auto" w:fill="auto"/>
            <w:vAlign w:val="center"/>
            <w:hideMark/>
          </w:tcPr>
          <w:p w14:paraId="49EA97C5"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0.03%</w:t>
            </w:r>
          </w:p>
        </w:tc>
        <w:tc>
          <w:tcPr>
            <w:tcW w:w="1222" w:type="dxa"/>
            <w:shd w:val="clear" w:color="auto" w:fill="auto"/>
            <w:vAlign w:val="center"/>
            <w:hideMark/>
          </w:tcPr>
          <w:p w14:paraId="47CD33E3"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0.01%</w:t>
            </w:r>
          </w:p>
        </w:tc>
      </w:tr>
      <w:tr w:rsidR="002F5E36" w:rsidRPr="002F5E36" w14:paraId="6C784BA0" w14:textId="77777777" w:rsidTr="00347B32">
        <w:trPr>
          <w:trHeight w:val="630"/>
        </w:trPr>
        <w:tc>
          <w:tcPr>
            <w:tcW w:w="960" w:type="dxa"/>
            <w:shd w:val="clear" w:color="auto" w:fill="auto"/>
            <w:vAlign w:val="center"/>
            <w:hideMark/>
          </w:tcPr>
          <w:p w14:paraId="5BC0340A"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1.13.</w:t>
            </w:r>
          </w:p>
        </w:tc>
        <w:tc>
          <w:tcPr>
            <w:tcW w:w="3247" w:type="dxa"/>
            <w:shd w:val="clear" w:color="auto" w:fill="auto"/>
            <w:vAlign w:val="center"/>
            <w:hideMark/>
          </w:tcPr>
          <w:p w14:paraId="77995DFD"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Օրենսգրքով սահմանված վերը չնշված այլ արտոնություններ</w:t>
            </w:r>
          </w:p>
        </w:tc>
        <w:tc>
          <w:tcPr>
            <w:tcW w:w="1980" w:type="dxa"/>
            <w:shd w:val="clear" w:color="auto" w:fill="auto"/>
            <w:vAlign w:val="center"/>
            <w:hideMark/>
          </w:tcPr>
          <w:p w14:paraId="51B7A480"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12,899</w:t>
            </w:r>
          </w:p>
        </w:tc>
        <w:tc>
          <w:tcPr>
            <w:tcW w:w="2000" w:type="dxa"/>
            <w:shd w:val="clear" w:color="auto" w:fill="auto"/>
            <w:vAlign w:val="center"/>
            <w:hideMark/>
          </w:tcPr>
          <w:p w14:paraId="0D2EAA6E" w14:textId="58386670"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0.49</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524CEEF7"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0.12%</w:t>
            </w:r>
          </w:p>
        </w:tc>
      </w:tr>
      <w:tr w:rsidR="002F5E36" w:rsidRPr="002F5E36" w14:paraId="53BC4121" w14:textId="77777777" w:rsidTr="00347B32">
        <w:trPr>
          <w:trHeight w:val="630"/>
        </w:trPr>
        <w:tc>
          <w:tcPr>
            <w:tcW w:w="960" w:type="dxa"/>
            <w:shd w:val="clear" w:color="auto" w:fill="auto"/>
            <w:vAlign w:val="center"/>
            <w:hideMark/>
          </w:tcPr>
          <w:p w14:paraId="5DFA276B"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1.14.</w:t>
            </w:r>
          </w:p>
        </w:tc>
        <w:tc>
          <w:tcPr>
            <w:tcW w:w="3247" w:type="dxa"/>
            <w:shd w:val="clear" w:color="auto" w:fill="auto"/>
            <w:vAlign w:val="center"/>
            <w:hideMark/>
          </w:tcPr>
          <w:p w14:paraId="60C71C18"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այլ օրենքներով տրված արտանություններ</w:t>
            </w:r>
          </w:p>
        </w:tc>
        <w:tc>
          <w:tcPr>
            <w:tcW w:w="1980" w:type="dxa"/>
            <w:shd w:val="clear" w:color="auto" w:fill="auto"/>
            <w:vAlign w:val="center"/>
            <w:hideMark/>
          </w:tcPr>
          <w:p w14:paraId="518DB7F5"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3,708</w:t>
            </w:r>
          </w:p>
        </w:tc>
        <w:tc>
          <w:tcPr>
            <w:tcW w:w="2000" w:type="dxa"/>
            <w:shd w:val="clear" w:color="auto" w:fill="auto"/>
            <w:vAlign w:val="center"/>
            <w:hideMark/>
          </w:tcPr>
          <w:p w14:paraId="44D719C8" w14:textId="782EAB13" w:rsidR="002F5E36" w:rsidRPr="00CA6A4E" w:rsidRDefault="002F5E36" w:rsidP="00A32217">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0.1</w:t>
            </w:r>
            <w:r w:rsidR="00A32217" w:rsidRPr="00CA6A4E">
              <w:rPr>
                <w:rFonts w:cs="Calibri"/>
                <w:b w:val="0"/>
                <w:i/>
                <w:iCs/>
                <w:color w:val="000000"/>
                <w:sz w:val="20"/>
                <w:szCs w:val="20"/>
                <w:lang w:val="en-US" w:eastAsia="en-US"/>
              </w:rPr>
              <w:t>4</w:t>
            </w:r>
            <w:r w:rsidRPr="00CA6A4E">
              <w:rPr>
                <w:rFonts w:cs="Calibri"/>
                <w:b w:val="0"/>
                <w:i/>
                <w:iCs/>
                <w:color w:val="000000"/>
                <w:sz w:val="20"/>
                <w:szCs w:val="20"/>
                <w:lang w:val="en-US" w:eastAsia="en-US"/>
              </w:rPr>
              <w:t>%</w:t>
            </w:r>
          </w:p>
        </w:tc>
        <w:tc>
          <w:tcPr>
            <w:tcW w:w="1222" w:type="dxa"/>
            <w:shd w:val="clear" w:color="auto" w:fill="auto"/>
            <w:vAlign w:val="center"/>
            <w:hideMark/>
          </w:tcPr>
          <w:p w14:paraId="0B04D717"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0.04%</w:t>
            </w:r>
          </w:p>
        </w:tc>
      </w:tr>
      <w:tr w:rsidR="002F5E36" w:rsidRPr="002F5E36" w14:paraId="282ABDDE" w14:textId="77777777" w:rsidTr="00347B32">
        <w:trPr>
          <w:trHeight w:val="630"/>
        </w:trPr>
        <w:tc>
          <w:tcPr>
            <w:tcW w:w="960" w:type="dxa"/>
            <w:tcBorders>
              <w:bottom w:val="single" w:sz="4" w:space="0" w:color="auto"/>
            </w:tcBorders>
            <w:shd w:val="clear" w:color="auto" w:fill="auto"/>
            <w:vAlign w:val="center"/>
            <w:hideMark/>
          </w:tcPr>
          <w:p w14:paraId="781B7C88"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1.15.</w:t>
            </w:r>
          </w:p>
        </w:tc>
        <w:tc>
          <w:tcPr>
            <w:tcW w:w="3247" w:type="dxa"/>
            <w:tcBorders>
              <w:bottom w:val="single" w:sz="4" w:space="0" w:color="auto"/>
            </w:tcBorders>
            <w:shd w:val="clear" w:color="auto" w:fill="auto"/>
            <w:vAlign w:val="center"/>
            <w:hideMark/>
          </w:tcPr>
          <w:p w14:paraId="51855CAD"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Միկրոբիզնես</w:t>
            </w:r>
          </w:p>
        </w:tc>
        <w:tc>
          <w:tcPr>
            <w:tcW w:w="1980" w:type="dxa"/>
            <w:tcBorders>
              <w:bottom w:val="single" w:sz="4" w:space="0" w:color="auto"/>
            </w:tcBorders>
            <w:shd w:val="clear" w:color="auto" w:fill="auto"/>
            <w:vAlign w:val="center"/>
            <w:hideMark/>
          </w:tcPr>
          <w:p w14:paraId="044128A6"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29,596</w:t>
            </w:r>
          </w:p>
        </w:tc>
        <w:tc>
          <w:tcPr>
            <w:tcW w:w="2000" w:type="dxa"/>
            <w:tcBorders>
              <w:bottom w:val="single" w:sz="4" w:space="0" w:color="auto"/>
            </w:tcBorders>
            <w:shd w:val="clear" w:color="auto" w:fill="auto"/>
            <w:vAlign w:val="center"/>
            <w:hideMark/>
          </w:tcPr>
          <w:p w14:paraId="52C12CF0" w14:textId="7B364F04"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1.13</w:t>
            </w:r>
            <w:r w:rsidR="002F5E36" w:rsidRPr="00CA6A4E">
              <w:rPr>
                <w:rFonts w:cs="Calibri"/>
                <w:b w:val="0"/>
                <w:i/>
                <w:iCs/>
                <w:color w:val="000000"/>
                <w:sz w:val="20"/>
                <w:szCs w:val="20"/>
                <w:lang w:val="en-US" w:eastAsia="en-US"/>
              </w:rPr>
              <w:t>%</w:t>
            </w:r>
          </w:p>
        </w:tc>
        <w:tc>
          <w:tcPr>
            <w:tcW w:w="1222" w:type="dxa"/>
            <w:tcBorders>
              <w:bottom w:val="single" w:sz="4" w:space="0" w:color="auto"/>
            </w:tcBorders>
            <w:shd w:val="clear" w:color="auto" w:fill="auto"/>
            <w:vAlign w:val="center"/>
            <w:hideMark/>
          </w:tcPr>
          <w:p w14:paraId="57E5DBB6"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0.28%</w:t>
            </w:r>
          </w:p>
        </w:tc>
      </w:tr>
      <w:tr w:rsidR="002F5E36" w:rsidRPr="002F5E36" w14:paraId="02D5F6CE" w14:textId="77777777" w:rsidTr="00347B32">
        <w:trPr>
          <w:trHeight w:val="630"/>
        </w:trPr>
        <w:tc>
          <w:tcPr>
            <w:tcW w:w="960" w:type="dxa"/>
            <w:tcBorders>
              <w:top w:val="single" w:sz="4" w:space="0" w:color="auto"/>
              <w:bottom w:val="single" w:sz="4" w:space="0" w:color="auto"/>
            </w:tcBorders>
            <w:shd w:val="clear" w:color="auto" w:fill="auto"/>
            <w:vAlign w:val="center"/>
            <w:hideMark/>
          </w:tcPr>
          <w:p w14:paraId="0AC2C4F2" w14:textId="77777777" w:rsidR="002F5E36" w:rsidRPr="00CA6A4E" w:rsidRDefault="002F5E36" w:rsidP="002F5E36">
            <w:pPr>
              <w:spacing w:before="0"/>
              <w:jc w:val="center"/>
              <w:rPr>
                <w:rFonts w:cs="Calibri"/>
                <w:b w:val="0"/>
                <w:bCs/>
                <w:color w:val="000000"/>
                <w:sz w:val="20"/>
                <w:szCs w:val="20"/>
                <w:lang w:val="en-US" w:eastAsia="en-US"/>
              </w:rPr>
            </w:pPr>
            <w:r w:rsidRPr="00CA6A4E">
              <w:rPr>
                <w:rFonts w:cs="Calibri"/>
                <w:b w:val="0"/>
                <w:bCs/>
                <w:color w:val="000000"/>
                <w:sz w:val="20"/>
                <w:szCs w:val="20"/>
                <w:lang w:val="en-US" w:eastAsia="en-US"/>
              </w:rPr>
              <w:t>2</w:t>
            </w:r>
          </w:p>
        </w:tc>
        <w:tc>
          <w:tcPr>
            <w:tcW w:w="3247" w:type="dxa"/>
            <w:tcBorders>
              <w:top w:val="single" w:sz="4" w:space="0" w:color="auto"/>
              <w:bottom w:val="single" w:sz="4" w:space="0" w:color="auto"/>
            </w:tcBorders>
            <w:shd w:val="clear" w:color="auto" w:fill="auto"/>
            <w:vAlign w:val="center"/>
            <w:hideMark/>
          </w:tcPr>
          <w:p w14:paraId="6D0A1C7A" w14:textId="77777777" w:rsidR="002F5E36" w:rsidRPr="00CA6A4E" w:rsidRDefault="002F5E36" w:rsidP="00DA253F">
            <w:pPr>
              <w:spacing w:before="0" w:line="240" w:lineRule="auto"/>
              <w:jc w:val="left"/>
              <w:rPr>
                <w:rFonts w:cs="Calibri"/>
                <w:b w:val="0"/>
                <w:bCs/>
                <w:color w:val="000000"/>
                <w:sz w:val="20"/>
                <w:szCs w:val="20"/>
                <w:lang w:val="en-US" w:eastAsia="en-US"/>
              </w:rPr>
            </w:pPr>
            <w:r w:rsidRPr="00CA6A4E">
              <w:rPr>
                <w:rFonts w:cs="Calibri"/>
                <w:b w:val="0"/>
                <w:bCs/>
                <w:color w:val="000000"/>
                <w:sz w:val="20"/>
                <w:szCs w:val="20"/>
                <w:lang w:val="en-US" w:eastAsia="en-US"/>
              </w:rPr>
              <w:t>Շահութահարկի գծով, այդ թվում`</w:t>
            </w:r>
          </w:p>
        </w:tc>
        <w:tc>
          <w:tcPr>
            <w:tcW w:w="1980" w:type="dxa"/>
            <w:tcBorders>
              <w:top w:val="single" w:sz="4" w:space="0" w:color="auto"/>
              <w:bottom w:val="single" w:sz="4" w:space="0" w:color="auto"/>
            </w:tcBorders>
            <w:shd w:val="clear" w:color="auto" w:fill="auto"/>
            <w:vAlign w:val="center"/>
            <w:hideMark/>
          </w:tcPr>
          <w:p w14:paraId="37F366BD"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94,345</w:t>
            </w:r>
          </w:p>
        </w:tc>
        <w:tc>
          <w:tcPr>
            <w:tcW w:w="2000" w:type="dxa"/>
            <w:tcBorders>
              <w:top w:val="single" w:sz="4" w:space="0" w:color="auto"/>
              <w:bottom w:val="single" w:sz="4" w:space="0" w:color="auto"/>
            </w:tcBorders>
            <w:shd w:val="clear" w:color="auto" w:fill="auto"/>
            <w:vAlign w:val="center"/>
            <w:hideMark/>
          </w:tcPr>
          <w:p w14:paraId="0FB9223A" w14:textId="68340603" w:rsidR="002F5E36" w:rsidRPr="00CA6A4E" w:rsidRDefault="00A32217"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3.61</w:t>
            </w:r>
            <w:r w:rsidR="002F5E36" w:rsidRPr="00CA6A4E">
              <w:rPr>
                <w:rFonts w:cs="Calibri"/>
                <w:b w:val="0"/>
                <w:bCs/>
                <w:color w:val="000000"/>
                <w:sz w:val="20"/>
                <w:szCs w:val="20"/>
                <w:lang w:val="en-US" w:eastAsia="en-US"/>
              </w:rPr>
              <w:t>%</w:t>
            </w:r>
          </w:p>
        </w:tc>
        <w:tc>
          <w:tcPr>
            <w:tcW w:w="1222" w:type="dxa"/>
            <w:tcBorders>
              <w:top w:val="single" w:sz="4" w:space="0" w:color="auto"/>
              <w:bottom w:val="single" w:sz="4" w:space="0" w:color="auto"/>
            </w:tcBorders>
            <w:shd w:val="clear" w:color="auto" w:fill="auto"/>
            <w:vAlign w:val="center"/>
            <w:hideMark/>
          </w:tcPr>
          <w:p w14:paraId="4C62BC13" w14:textId="77777777" w:rsidR="002F5E36" w:rsidRPr="00CA6A4E" w:rsidRDefault="002F5E36" w:rsidP="00DA253F">
            <w:pPr>
              <w:spacing w:before="0" w:line="240" w:lineRule="auto"/>
              <w:jc w:val="center"/>
              <w:rPr>
                <w:rFonts w:cs="Calibri"/>
                <w:b w:val="0"/>
                <w:bCs/>
                <w:color w:val="000000"/>
                <w:sz w:val="20"/>
                <w:szCs w:val="20"/>
                <w:lang w:val="en-US" w:eastAsia="en-US"/>
              </w:rPr>
            </w:pPr>
            <w:r w:rsidRPr="00CA6A4E">
              <w:rPr>
                <w:rFonts w:cs="Calibri"/>
                <w:b w:val="0"/>
                <w:bCs/>
                <w:color w:val="000000"/>
                <w:sz w:val="20"/>
                <w:szCs w:val="20"/>
                <w:lang w:val="en-US" w:eastAsia="en-US"/>
              </w:rPr>
              <w:t>0.90%</w:t>
            </w:r>
          </w:p>
        </w:tc>
      </w:tr>
      <w:tr w:rsidR="002F5E36" w:rsidRPr="002F5E36" w14:paraId="1055E6AE" w14:textId="77777777" w:rsidTr="00347B32">
        <w:trPr>
          <w:trHeight w:val="630"/>
        </w:trPr>
        <w:tc>
          <w:tcPr>
            <w:tcW w:w="960" w:type="dxa"/>
            <w:tcBorders>
              <w:top w:val="single" w:sz="4" w:space="0" w:color="auto"/>
            </w:tcBorders>
            <w:shd w:val="clear" w:color="000000" w:fill="FFFFFF"/>
            <w:vAlign w:val="center"/>
            <w:hideMark/>
          </w:tcPr>
          <w:p w14:paraId="6569DE67"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2.1.</w:t>
            </w:r>
          </w:p>
        </w:tc>
        <w:tc>
          <w:tcPr>
            <w:tcW w:w="3247" w:type="dxa"/>
            <w:tcBorders>
              <w:top w:val="single" w:sz="4" w:space="0" w:color="auto"/>
            </w:tcBorders>
            <w:shd w:val="clear" w:color="000000" w:fill="FFFFFF"/>
            <w:vAlign w:val="center"/>
            <w:hideMark/>
          </w:tcPr>
          <w:p w14:paraId="2985FDA6"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գյուղատնտեսություն, այդ թվում՝</w:t>
            </w:r>
          </w:p>
        </w:tc>
        <w:tc>
          <w:tcPr>
            <w:tcW w:w="1980" w:type="dxa"/>
            <w:tcBorders>
              <w:top w:val="single" w:sz="4" w:space="0" w:color="auto"/>
            </w:tcBorders>
            <w:shd w:val="clear" w:color="000000" w:fill="FFFFFF"/>
            <w:vAlign w:val="center"/>
            <w:hideMark/>
          </w:tcPr>
          <w:p w14:paraId="146086D3"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39,845</w:t>
            </w:r>
          </w:p>
        </w:tc>
        <w:tc>
          <w:tcPr>
            <w:tcW w:w="2000" w:type="dxa"/>
            <w:tcBorders>
              <w:top w:val="single" w:sz="4" w:space="0" w:color="auto"/>
            </w:tcBorders>
            <w:shd w:val="clear" w:color="auto" w:fill="auto"/>
            <w:vAlign w:val="center"/>
            <w:hideMark/>
          </w:tcPr>
          <w:p w14:paraId="562104FF" w14:textId="451A9297"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1.52</w:t>
            </w:r>
            <w:r w:rsidR="002F5E36" w:rsidRPr="00CA6A4E">
              <w:rPr>
                <w:rFonts w:cs="Calibri"/>
                <w:b w:val="0"/>
                <w:i/>
                <w:iCs/>
                <w:color w:val="000000"/>
                <w:sz w:val="20"/>
                <w:szCs w:val="20"/>
                <w:lang w:val="en-US" w:eastAsia="en-US"/>
              </w:rPr>
              <w:t>%</w:t>
            </w:r>
          </w:p>
        </w:tc>
        <w:tc>
          <w:tcPr>
            <w:tcW w:w="1222" w:type="dxa"/>
            <w:tcBorders>
              <w:top w:val="single" w:sz="4" w:space="0" w:color="auto"/>
            </w:tcBorders>
            <w:shd w:val="clear" w:color="auto" w:fill="auto"/>
            <w:vAlign w:val="center"/>
            <w:hideMark/>
          </w:tcPr>
          <w:p w14:paraId="4BC99B41"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0.38%</w:t>
            </w:r>
          </w:p>
        </w:tc>
      </w:tr>
      <w:tr w:rsidR="002F5E36" w:rsidRPr="002F5E36" w14:paraId="2AF70A0A" w14:textId="77777777" w:rsidTr="00347B32">
        <w:trPr>
          <w:trHeight w:val="630"/>
        </w:trPr>
        <w:tc>
          <w:tcPr>
            <w:tcW w:w="960" w:type="dxa"/>
            <w:shd w:val="clear" w:color="000000" w:fill="FFFFFF"/>
            <w:vAlign w:val="center"/>
            <w:hideMark/>
          </w:tcPr>
          <w:p w14:paraId="4A7F616D"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2.1.1.</w:t>
            </w:r>
          </w:p>
        </w:tc>
        <w:tc>
          <w:tcPr>
            <w:tcW w:w="3247" w:type="dxa"/>
            <w:shd w:val="clear" w:color="000000" w:fill="FFFFFF"/>
            <w:vAlign w:val="center"/>
            <w:hideMark/>
          </w:tcPr>
          <w:p w14:paraId="13C95FA1"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կազմակերպությունների շահույթից</w:t>
            </w:r>
          </w:p>
        </w:tc>
        <w:tc>
          <w:tcPr>
            <w:tcW w:w="1980" w:type="dxa"/>
            <w:shd w:val="clear" w:color="000000" w:fill="FFFFFF"/>
            <w:vAlign w:val="center"/>
            <w:hideMark/>
          </w:tcPr>
          <w:p w14:paraId="2F664C7A"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2,385</w:t>
            </w:r>
          </w:p>
        </w:tc>
        <w:tc>
          <w:tcPr>
            <w:tcW w:w="2000" w:type="dxa"/>
            <w:shd w:val="clear" w:color="auto" w:fill="auto"/>
            <w:vAlign w:val="center"/>
            <w:hideMark/>
          </w:tcPr>
          <w:p w14:paraId="0290A583"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0.09%</w:t>
            </w:r>
          </w:p>
        </w:tc>
        <w:tc>
          <w:tcPr>
            <w:tcW w:w="1222" w:type="dxa"/>
            <w:shd w:val="clear" w:color="auto" w:fill="auto"/>
            <w:vAlign w:val="center"/>
            <w:hideMark/>
          </w:tcPr>
          <w:p w14:paraId="022A471E"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0.02%</w:t>
            </w:r>
          </w:p>
        </w:tc>
      </w:tr>
      <w:tr w:rsidR="002F5E36" w:rsidRPr="002F5E36" w14:paraId="5C405070" w14:textId="77777777" w:rsidTr="00347B32">
        <w:trPr>
          <w:trHeight w:val="630"/>
        </w:trPr>
        <w:tc>
          <w:tcPr>
            <w:tcW w:w="960" w:type="dxa"/>
            <w:shd w:val="clear" w:color="000000" w:fill="FFFFFF"/>
            <w:vAlign w:val="center"/>
            <w:hideMark/>
          </w:tcPr>
          <w:p w14:paraId="6248FEB0"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2.1.2.</w:t>
            </w:r>
          </w:p>
        </w:tc>
        <w:tc>
          <w:tcPr>
            <w:tcW w:w="3247" w:type="dxa"/>
            <w:shd w:val="clear" w:color="000000" w:fill="FFFFFF"/>
            <w:vAlign w:val="center"/>
            <w:hideMark/>
          </w:tcPr>
          <w:p w14:paraId="255F8F10"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ֆիզիկական անձանց (Ա/Ձ-ների) շահույթից</w:t>
            </w:r>
          </w:p>
        </w:tc>
        <w:tc>
          <w:tcPr>
            <w:tcW w:w="1980" w:type="dxa"/>
            <w:shd w:val="clear" w:color="000000" w:fill="FFFFFF"/>
            <w:vAlign w:val="center"/>
            <w:hideMark/>
          </w:tcPr>
          <w:p w14:paraId="5E002C95"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37,460</w:t>
            </w:r>
          </w:p>
        </w:tc>
        <w:tc>
          <w:tcPr>
            <w:tcW w:w="2000" w:type="dxa"/>
            <w:shd w:val="clear" w:color="auto" w:fill="auto"/>
            <w:vAlign w:val="center"/>
            <w:hideMark/>
          </w:tcPr>
          <w:p w14:paraId="47BB2CD1" w14:textId="3391E800" w:rsidR="002F5E36" w:rsidRPr="00CA6A4E" w:rsidRDefault="002F5E36" w:rsidP="00A32217">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1.4</w:t>
            </w:r>
            <w:r w:rsidR="00A32217" w:rsidRPr="00CA6A4E">
              <w:rPr>
                <w:rFonts w:cs="Calibri"/>
                <w:b w:val="0"/>
                <w:i/>
                <w:iCs/>
                <w:color w:val="000000"/>
                <w:sz w:val="20"/>
                <w:szCs w:val="20"/>
                <w:lang w:val="en-US" w:eastAsia="en-US"/>
              </w:rPr>
              <w:t>3</w:t>
            </w:r>
            <w:r w:rsidRPr="00CA6A4E">
              <w:rPr>
                <w:rFonts w:cs="Calibri"/>
                <w:b w:val="0"/>
                <w:i/>
                <w:iCs/>
                <w:color w:val="000000"/>
                <w:sz w:val="20"/>
                <w:szCs w:val="20"/>
                <w:lang w:val="en-US" w:eastAsia="en-US"/>
              </w:rPr>
              <w:t>%</w:t>
            </w:r>
          </w:p>
        </w:tc>
        <w:tc>
          <w:tcPr>
            <w:tcW w:w="1222" w:type="dxa"/>
            <w:shd w:val="clear" w:color="auto" w:fill="auto"/>
            <w:vAlign w:val="center"/>
            <w:hideMark/>
          </w:tcPr>
          <w:p w14:paraId="72B31BD9"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0.36%</w:t>
            </w:r>
          </w:p>
        </w:tc>
      </w:tr>
      <w:tr w:rsidR="002F5E36" w:rsidRPr="002F5E36" w14:paraId="69D83281" w14:textId="77777777" w:rsidTr="00347B32">
        <w:trPr>
          <w:trHeight w:val="810"/>
        </w:trPr>
        <w:tc>
          <w:tcPr>
            <w:tcW w:w="960" w:type="dxa"/>
            <w:shd w:val="clear" w:color="000000" w:fill="FFFFFF"/>
            <w:vAlign w:val="center"/>
            <w:hideMark/>
          </w:tcPr>
          <w:p w14:paraId="2A5AB53A"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2.2.</w:t>
            </w:r>
          </w:p>
        </w:tc>
        <w:tc>
          <w:tcPr>
            <w:tcW w:w="3247" w:type="dxa"/>
            <w:shd w:val="clear" w:color="000000" w:fill="FFFFFF"/>
            <w:vAlign w:val="center"/>
            <w:hideMark/>
          </w:tcPr>
          <w:p w14:paraId="74E7320E"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հարկվող շահույթի նվազեցման արտոնություններ, բացառությամբ՝ գյուղատնտեսության</w:t>
            </w:r>
          </w:p>
        </w:tc>
        <w:tc>
          <w:tcPr>
            <w:tcW w:w="1980" w:type="dxa"/>
            <w:shd w:val="clear" w:color="000000" w:fill="FFFFFF"/>
            <w:vAlign w:val="center"/>
            <w:hideMark/>
          </w:tcPr>
          <w:p w14:paraId="647847EF"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7,943</w:t>
            </w:r>
          </w:p>
        </w:tc>
        <w:tc>
          <w:tcPr>
            <w:tcW w:w="2000" w:type="dxa"/>
            <w:shd w:val="clear" w:color="auto" w:fill="auto"/>
            <w:vAlign w:val="center"/>
            <w:hideMark/>
          </w:tcPr>
          <w:p w14:paraId="756C779C" w14:textId="1058DA8D"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0.30</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5D358911"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0.08%</w:t>
            </w:r>
          </w:p>
        </w:tc>
      </w:tr>
      <w:tr w:rsidR="002F5E36" w:rsidRPr="002F5E36" w14:paraId="42118B15" w14:textId="77777777" w:rsidTr="00347B32">
        <w:trPr>
          <w:trHeight w:val="630"/>
        </w:trPr>
        <w:tc>
          <w:tcPr>
            <w:tcW w:w="960" w:type="dxa"/>
            <w:shd w:val="clear" w:color="000000" w:fill="FFFFFF"/>
            <w:vAlign w:val="center"/>
            <w:hideMark/>
          </w:tcPr>
          <w:p w14:paraId="26167D32"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2.3.</w:t>
            </w:r>
          </w:p>
        </w:tc>
        <w:tc>
          <w:tcPr>
            <w:tcW w:w="3247" w:type="dxa"/>
            <w:shd w:val="clear" w:color="000000" w:fill="FFFFFF"/>
            <w:vAlign w:val="center"/>
            <w:hideMark/>
          </w:tcPr>
          <w:p w14:paraId="47CDA415"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շահութահարկի նվազեցման արտոնություններ</w:t>
            </w:r>
          </w:p>
        </w:tc>
        <w:tc>
          <w:tcPr>
            <w:tcW w:w="1980" w:type="dxa"/>
            <w:shd w:val="clear" w:color="000000" w:fill="FFFFFF"/>
            <w:vAlign w:val="center"/>
            <w:hideMark/>
          </w:tcPr>
          <w:p w14:paraId="371C86F5"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613</w:t>
            </w:r>
          </w:p>
        </w:tc>
        <w:tc>
          <w:tcPr>
            <w:tcW w:w="2000" w:type="dxa"/>
            <w:shd w:val="clear" w:color="auto" w:fill="auto"/>
            <w:vAlign w:val="center"/>
            <w:hideMark/>
          </w:tcPr>
          <w:p w14:paraId="5C7229DD"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0.02%</w:t>
            </w:r>
          </w:p>
        </w:tc>
        <w:tc>
          <w:tcPr>
            <w:tcW w:w="1222" w:type="dxa"/>
            <w:shd w:val="clear" w:color="auto" w:fill="auto"/>
            <w:vAlign w:val="center"/>
            <w:hideMark/>
          </w:tcPr>
          <w:p w14:paraId="22BCDA5B"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0.01%</w:t>
            </w:r>
          </w:p>
        </w:tc>
      </w:tr>
      <w:tr w:rsidR="002F5E36" w:rsidRPr="002F5E36" w14:paraId="526732E0" w14:textId="77777777" w:rsidTr="00347B32">
        <w:trPr>
          <w:trHeight w:val="630"/>
        </w:trPr>
        <w:tc>
          <w:tcPr>
            <w:tcW w:w="960" w:type="dxa"/>
            <w:shd w:val="clear" w:color="auto" w:fill="auto"/>
            <w:vAlign w:val="center"/>
            <w:hideMark/>
          </w:tcPr>
          <w:p w14:paraId="36117D0C"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2.4.</w:t>
            </w:r>
          </w:p>
        </w:tc>
        <w:tc>
          <w:tcPr>
            <w:tcW w:w="3247" w:type="dxa"/>
            <w:shd w:val="clear" w:color="auto" w:fill="auto"/>
            <w:vAlign w:val="center"/>
            <w:hideMark/>
          </w:tcPr>
          <w:p w14:paraId="57F6F5B9"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ԱԱՀ-ի շեմ</w:t>
            </w:r>
          </w:p>
        </w:tc>
        <w:tc>
          <w:tcPr>
            <w:tcW w:w="1980" w:type="dxa"/>
            <w:shd w:val="clear" w:color="auto" w:fill="auto"/>
            <w:vAlign w:val="center"/>
            <w:hideMark/>
          </w:tcPr>
          <w:p w14:paraId="383D952C"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27,058</w:t>
            </w:r>
          </w:p>
        </w:tc>
        <w:tc>
          <w:tcPr>
            <w:tcW w:w="2000" w:type="dxa"/>
            <w:shd w:val="clear" w:color="auto" w:fill="auto"/>
            <w:vAlign w:val="center"/>
            <w:hideMark/>
          </w:tcPr>
          <w:p w14:paraId="2D908018" w14:textId="3B1BF2AF"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1.04</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1B8EDAA8"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0.26%</w:t>
            </w:r>
          </w:p>
        </w:tc>
      </w:tr>
      <w:tr w:rsidR="002F5E36" w:rsidRPr="002F5E36" w14:paraId="5F7BB9AA" w14:textId="77777777" w:rsidTr="00347B32">
        <w:trPr>
          <w:trHeight w:val="630"/>
        </w:trPr>
        <w:tc>
          <w:tcPr>
            <w:tcW w:w="960" w:type="dxa"/>
            <w:shd w:val="clear" w:color="auto" w:fill="auto"/>
            <w:vAlign w:val="center"/>
            <w:hideMark/>
          </w:tcPr>
          <w:p w14:paraId="5C179F07" w14:textId="77777777" w:rsidR="002F5E36" w:rsidRPr="00CA6A4E" w:rsidRDefault="002F5E36" w:rsidP="002F5E36">
            <w:pPr>
              <w:spacing w:before="0"/>
              <w:jc w:val="center"/>
              <w:rPr>
                <w:rFonts w:cs="Calibri"/>
                <w:b w:val="0"/>
                <w:i/>
                <w:iCs/>
                <w:color w:val="000000"/>
                <w:sz w:val="20"/>
                <w:szCs w:val="20"/>
                <w:lang w:val="en-US" w:eastAsia="en-US"/>
              </w:rPr>
            </w:pPr>
            <w:r w:rsidRPr="00CA6A4E">
              <w:rPr>
                <w:rFonts w:cs="Calibri"/>
                <w:b w:val="0"/>
                <w:i/>
                <w:iCs/>
                <w:color w:val="000000"/>
                <w:sz w:val="20"/>
                <w:szCs w:val="20"/>
                <w:lang w:val="en-US" w:eastAsia="en-US"/>
              </w:rPr>
              <w:t>2.5.</w:t>
            </w:r>
          </w:p>
        </w:tc>
        <w:tc>
          <w:tcPr>
            <w:tcW w:w="3247" w:type="dxa"/>
            <w:shd w:val="clear" w:color="auto" w:fill="auto"/>
            <w:vAlign w:val="center"/>
            <w:hideMark/>
          </w:tcPr>
          <w:p w14:paraId="113CBFB7" w14:textId="77777777" w:rsidR="002F5E36" w:rsidRPr="00CA6A4E" w:rsidRDefault="002F5E36" w:rsidP="00DA253F">
            <w:pPr>
              <w:spacing w:before="0" w:line="240" w:lineRule="auto"/>
              <w:jc w:val="left"/>
              <w:rPr>
                <w:rFonts w:cs="Calibri"/>
                <w:b w:val="0"/>
                <w:i/>
                <w:iCs/>
                <w:color w:val="000000"/>
                <w:sz w:val="20"/>
                <w:szCs w:val="20"/>
                <w:lang w:val="en-US" w:eastAsia="en-US"/>
              </w:rPr>
            </w:pPr>
            <w:r w:rsidRPr="00CA6A4E">
              <w:rPr>
                <w:rFonts w:cs="Calibri"/>
                <w:b w:val="0"/>
                <w:i/>
                <w:iCs/>
                <w:color w:val="000000"/>
                <w:sz w:val="20"/>
                <w:szCs w:val="20"/>
                <w:lang w:val="en-US" w:eastAsia="en-US"/>
              </w:rPr>
              <w:t>միկրոբիզնես</w:t>
            </w:r>
          </w:p>
        </w:tc>
        <w:tc>
          <w:tcPr>
            <w:tcW w:w="1980" w:type="dxa"/>
            <w:shd w:val="clear" w:color="auto" w:fill="auto"/>
            <w:vAlign w:val="center"/>
            <w:hideMark/>
          </w:tcPr>
          <w:p w14:paraId="62937FBC" w14:textId="77777777" w:rsidR="002F5E36" w:rsidRPr="00CA6A4E" w:rsidRDefault="002F5E36" w:rsidP="00DA253F">
            <w:pPr>
              <w:spacing w:before="0" w:line="240" w:lineRule="auto"/>
              <w:jc w:val="center"/>
              <w:rPr>
                <w:rFonts w:cs="Calibri"/>
                <w:b w:val="0"/>
                <w:color w:val="000000"/>
                <w:sz w:val="20"/>
                <w:szCs w:val="20"/>
                <w:lang w:val="en-US" w:eastAsia="en-US"/>
              </w:rPr>
            </w:pPr>
            <w:r w:rsidRPr="00CA6A4E">
              <w:rPr>
                <w:rFonts w:cs="Calibri"/>
                <w:b w:val="0"/>
                <w:color w:val="000000"/>
                <w:sz w:val="20"/>
                <w:szCs w:val="20"/>
                <w:lang w:val="en-US" w:eastAsia="en-US"/>
              </w:rPr>
              <w:t>10,655</w:t>
            </w:r>
          </w:p>
        </w:tc>
        <w:tc>
          <w:tcPr>
            <w:tcW w:w="2000" w:type="dxa"/>
            <w:shd w:val="clear" w:color="auto" w:fill="auto"/>
            <w:vAlign w:val="center"/>
            <w:hideMark/>
          </w:tcPr>
          <w:p w14:paraId="4F98283C" w14:textId="3D556553" w:rsidR="002F5E36" w:rsidRPr="00CA6A4E" w:rsidRDefault="00A32217"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0.41</w:t>
            </w:r>
            <w:r w:rsidR="002F5E36" w:rsidRPr="00CA6A4E">
              <w:rPr>
                <w:rFonts w:cs="Calibri"/>
                <w:b w:val="0"/>
                <w:i/>
                <w:iCs/>
                <w:color w:val="000000"/>
                <w:sz w:val="20"/>
                <w:szCs w:val="20"/>
                <w:lang w:val="en-US" w:eastAsia="en-US"/>
              </w:rPr>
              <w:t>%</w:t>
            </w:r>
          </w:p>
        </w:tc>
        <w:tc>
          <w:tcPr>
            <w:tcW w:w="1222" w:type="dxa"/>
            <w:shd w:val="clear" w:color="auto" w:fill="auto"/>
            <w:vAlign w:val="center"/>
            <w:hideMark/>
          </w:tcPr>
          <w:p w14:paraId="1B4C76F1" w14:textId="77777777" w:rsidR="002F5E36" w:rsidRPr="00CA6A4E" w:rsidRDefault="002F5E36" w:rsidP="00DA253F">
            <w:pPr>
              <w:spacing w:before="0" w:line="240" w:lineRule="auto"/>
              <w:jc w:val="center"/>
              <w:rPr>
                <w:rFonts w:cs="Calibri"/>
                <w:b w:val="0"/>
                <w:i/>
                <w:iCs/>
                <w:color w:val="000000"/>
                <w:sz w:val="20"/>
                <w:szCs w:val="20"/>
                <w:lang w:val="en-US" w:eastAsia="en-US"/>
              </w:rPr>
            </w:pPr>
            <w:r w:rsidRPr="00CA6A4E">
              <w:rPr>
                <w:rFonts w:cs="Calibri"/>
                <w:b w:val="0"/>
                <w:i/>
                <w:iCs/>
                <w:color w:val="000000"/>
                <w:sz w:val="20"/>
                <w:szCs w:val="20"/>
                <w:lang w:val="en-US" w:eastAsia="en-US"/>
              </w:rPr>
              <w:t>0.10%</w:t>
            </w:r>
          </w:p>
        </w:tc>
      </w:tr>
      <w:tr w:rsidR="002F5E36" w:rsidRPr="002F5E36" w14:paraId="48B4DE29" w14:textId="77777777" w:rsidTr="00347B32">
        <w:trPr>
          <w:trHeight w:val="630"/>
        </w:trPr>
        <w:tc>
          <w:tcPr>
            <w:tcW w:w="960" w:type="dxa"/>
            <w:tcBorders>
              <w:bottom w:val="single" w:sz="4" w:space="0" w:color="auto"/>
            </w:tcBorders>
            <w:shd w:val="clear" w:color="auto" w:fill="auto"/>
            <w:vAlign w:val="center"/>
            <w:hideMark/>
          </w:tcPr>
          <w:p w14:paraId="288E9EDA" w14:textId="77777777" w:rsidR="002F5E36" w:rsidRPr="00347B32" w:rsidRDefault="002F5E36" w:rsidP="002F5E36">
            <w:pPr>
              <w:spacing w:before="0"/>
              <w:jc w:val="center"/>
              <w:rPr>
                <w:rFonts w:cs="Calibri"/>
                <w:b w:val="0"/>
                <w:i/>
                <w:iCs/>
                <w:color w:val="000000"/>
                <w:sz w:val="20"/>
                <w:szCs w:val="20"/>
                <w:lang w:val="en-US" w:eastAsia="en-US"/>
              </w:rPr>
            </w:pPr>
            <w:r w:rsidRPr="00347B32">
              <w:rPr>
                <w:rFonts w:cs="Calibri"/>
                <w:b w:val="0"/>
                <w:i/>
                <w:iCs/>
                <w:color w:val="000000"/>
                <w:sz w:val="20"/>
                <w:szCs w:val="20"/>
                <w:lang w:val="en-US" w:eastAsia="en-US"/>
              </w:rPr>
              <w:lastRenderedPageBreak/>
              <w:t>2.6.</w:t>
            </w:r>
          </w:p>
        </w:tc>
        <w:tc>
          <w:tcPr>
            <w:tcW w:w="3247" w:type="dxa"/>
            <w:tcBorders>
              <w:bottom w:val="single" w:sz="4" w:space="0" w:color="auto"/>
            </w:tcBorders>
            <w:shd w:val="clear" w:color="auto" w:fill="auto"/>
            <w:vAlign w:val="center"/>
            <w:hideMark/>
          </w:tcPr>
          <w:p w14:paraId="0270E0D9" w14:textId="77777777" w:rsidR="002F5E36" w:rsidRPr="00347B32" w:rsidRDefault="002F5E36" w:rsidP="00DA253F">
            <w:pPr>
              <w:spacing w:before="0" w:line="240" w:lineRule="auto"/>
              <w:jc w:val="left"/>
              <w:rPr>
                <w:rFonts w:cs="Calibri"/>
                <w:b w:val="0"/>
                <w:i/>
                <w:iCs/>
                <w:color w:val="000000"/>
                <w:sz w:val="20"/>
                <w:szCs w:val="20"/>
                <w:lang w:val="en-US" w:eastAsia="en-US"/>
              </w:rPr>
            </w:pPr>
            <w:r w:rsidRPr="00347B32">
              <w:rPr>
                <w:rFonts w:cs="Calibri"/>
                <w:b w:val="0"/>
                <w:i/>
                <w:iCs/>
                <w:color w:val="000000"/>
                <w:sz w:val="20"/>
                <w:szCs w:val="20"/>
                <w:lang w:val="en-US" w:eastAsia="en-US"/>
              </w:rPr>
              <w:t>ՏՏ ոլորտի արտոնություններ</w:t>
            </w:r>
          </w:p>
        </w:tc>
        <w:tc>
          <w:tcPr>
            <w:tcW w:w="1980" w:type="dxa"/>
            <w:tcBorders>
              <w:bottom w:val="single" w:sz="4" w:space="0" w:color="auto"/>
            </w:tcBorders>
            <w:shd w:val="clear" w:color="auto" w:fill="auto"/>
            <w:vAlign w:val="center"/>
            <w:hideMark/>
          </w:tcPr>
          <w:p w14:paraId="3F6E9B88" w14:textId="77777777" w:rsidR="002F5E36" w:rsidRPr="00347B32" w:rsidRDefault="002F5E36" w:rsidP="00DA253F">
            <w:pPr>
              <w:spacing w:before="0" w:line="240" w:lineRule="auto"/>
              <w:jc w:val="center"/>
              <w:rPr>
                <w:rFonts w:cs="Calibri"/>
                <w:b w:val="0"/>
                <w:color w:val="000000"/>
                <w:sz w:val="20"/>
                <w:szCs w:val="20"/>
                <w:lang w:val="en-US" w:eastAsia="en-US"/>
              </w:rPr>
            </w:pPr>
            <w:r w:rsidRPr="00347B32">
              <w:rPr>
                <w:rFonts w:cs="Calibri"/>
                <w:b w:val="0"/>
                <w:color w:val="000000"/>
                <w:sz w:val="20"/>
                <w:szCs w:val="20"/>
                <w:lang w:val="en-US" w:eastAsia="en-US"/>
              </w:rPr>
              <w:t>8,232</w:t>
            </w:r>
          </w:p>
        </w:tc>
        <w:tc>
          <w:tcPr>
            <w:tcW w:w="2000" w:type="dxa"/>
            <w:tcBorders>
              <w:bottom w:val="single" w:sz="4" w:space="0" w:color="auto"/>
            </w:tcBorders>
            <w:shd w:val="clear" w:color="auto" w:fill="auto"/>
            <w:vAlign w:val="center"/>
            <w:hideMark/>
          </w:tcPr>
          <w:p w14:paraId="11517AD1" w14:textId="3FA71806" w:rsidR="002F5E36" w:rsidRPr="00347B32" w:rsidRDefault="00A32217" w:rsidP="00DA253F">
            <w:pPr>
              <w:spacing w:before="0" w:line="240" w:lineRule="auto"/>
              <w:jc w:val="center"/>
              <w:rPr>
                <w:rFonts w:cs="Calibri"/>
                <w:b w:val="0"/>
                <w:i/>
                <w:iCs/>
                <w:color w:val="000000"/>
                <w:sz w:val="20"/>
                <w:szCs w:val="20"/>
                <w:lang w:val="en-US" w:eastAsia="en-US"/>
              </w:rPr>
            </w:pPr>
            <w:r w:rsidRPr="00347B32">
              <w:rPr>
                <w:rFonts w:cs="Calibri"/>
                <w:b w:val="0"/>
                <w:i/>
                <w:iCs/>
                <w:color w:val="000000"/>
                <w:sz w:val="20"/>
                <w:szCs w:val="20"/>
                <w:lang w:val="en-US" w:eastAsia="en-US"/>
              </w:rPr>
              <w:t>0.31</w:t>
            </w:r>
            <w:r w:rsidR="002F5E36" w:rsidRPr="00347B32">
              <w:rPr>
                <w:rFonts w:cs="Calibri"/>
                <w:b w:val="0"/>
                <w:i/>
                <w:iCs/>
                <w:color w:val="000000"/>
                <w:sz w:val="20"/>
                <w:szCs w:val="20"/>
                <w:lang w:val="en-US" w:eastAsia="en-US"/>
              </w:rPr>
              <w:t>%</w:t>
            </w:r>
          </w:p>
        </w:tc>
        <w:tc>
          <w:tcPr>
            <w:tcW w:w="1222" w:type="dxa"/>
            <w:tcBorders>
              <w:bottom w:val="single" w:sz="4" w:space="0" w:color="auto"/>
            </w:tcBorders>
            <w:shd w:val="clear" w:color="auto" w:fill="auto"/>
            <w:vAlign w:val="center"/>
            <w:hideMark/>
          </w:tcPr>
          <w:p w14:paraId="7DE15633" w14:textId="77777777" w:rsidR="002F5E36" w:rsidRPr="00347B32" w:rsidRDefault="002F5E36" w:rsidP="00DA253F">
            <w:pPr>
              <w:spacing w:before="0" w:line="240" w:lineRule="auto"/>
              <w:jc w:val="center"/>
              <w:rPr>
                <w:rFonts w:cs="Calibri"/>
                <w:b w:val="0"/>
                <w:i/>
                <w:iCs/>
                <w:color w:val="000000"/>
                <w:sz w:val="20"/>
                <w:szCs w:val="20"/>
                <w:lang w:val="en-US" w:eastAsia="en-US"/>
              </w:rPr>
            </w:pPr>
            <w:r w:rsidRPr="00347B32">
              <w:rPr>
                <w:rFonts w:cs="Calibri"/>
                <w:b w:val="0"/>
                <w:i/>
                <w:iCs/>
                <w:color w:val="000000"/>
                <w:sz w:val="20"/>
                <w:szCs w:val="20"/>
                <w:lang w:val="en-US" w:eastAsia="en-US"/>
              </w:rPr>
              <w:t>0.08%</w:t>
            </w:r>
          </w:p>
        </w:tc>
      </w:tr>
      <w:tr w:rsidR="002F5E36" w:rsidRPr="002F5E36" w14:paraId="4B6EA51C" w14:textId="77777777" w:rsidTr="00347B32">
        <w:trPr>
          <w:trHeight w:val="630"/>
        </w:trPr>
        <w:tc>
          <w:tcPr>
            <w:tcW w:w="960" w:type="dxa"/>
            <w:tcBorders>
              <w:top w:val="single" w:sz="4" w:space="0" w:color="auto"/>
              <w:bottom w:val="single" w:sz="4" w:space="0" w:color="auto"/>
            </w:tcBorders>
            <w:shd w:val="clear" w:color="auto" w:fill="auto"/>
            <w:vAlign w:val="center"/>
            <w:hideMark/>
          </w:tcPr>
          <w:p w14:paraId="5DBB99A5" w14:textId="77777777" w:rsidR="002F5E36" w:rsidRPr="00347B32" w:rsidRDefault="002F5E36" w:rsidP="002F5E36">
            <w:pPr>
              <w:spacing w:before="0"/>
              <w:jc w:val="center"/>
              <w:rPr>
                <w:rFonts w:cs="Calibri"/>
                <w:b w:val="0"/>
                <w:bCs/>
                <w:color w:val="000000"/>
                <w:sz w:val="20"/>
                <w:szCs w:val="20"/>
                <w:lang w:val="en-US" w:eastAsia="en-US"/>
              </w:rPr>
            </w:pPr>
            <w:r w:rsidRPr="00347B32">
              <w:rPr>
                <w:rFonts w:cs="Calibri"/>
                <w:b w:val="0"/>
                <w:bCs/>
                <w:color w:val="000000"/>
                <w:sz w:val="20"/>
                <w:szCs w:val="20"/>
                <w:lang w:val="en-US" w:eastAsia="en-US"/>
              </w:rPr>
              <w:t>3</w:t>
            </w:r>
          </w:p>
        </w:tc>
        <w:tc>
          <w:tcPr>
            <w:tcW w:w="3247" w:type="dxa"/>
            <w:tcBorders>
              <w:top w:val="single" w:sz="4" w:space="0" w:color="auto"/>
              <w:bottom w:val="single" w:sz="4" w:space="0" w:color="auto"/>
            </w:tcBorders>
            <w:shd w:val="clear" w:color="auto" w:fill="auto"/>
            <w:vAlign w:val="center"/>
            <w:hideMark/>
          </w:tcPr>
          <w:p w14:paraId="0102251D" w14:textId="77777777" w:rsidR="002F5E36" w:rsidRPr="00347B32" w:rsidRDefault="002F5E36" w:rsidP="00DA253F">
            <w:pPr>
              <w:spacing w:before="0" w:line="240" w:lineRule="auto"/>
              <w:jc w:val="left"/>
              <w:rPr>
                <w:rFonts w:cs="Calibri"/>
                <w:b w:val="0"/>
                <w:bCs/>
                <w:color w:val="000000"/>
                <w:sz w:val="20"/>
                <w:szCs w:val="20"/>
                <w:lang w:val="en-US" w:eastAsia="en-US"/>
              </w:rPr>
            </w:pPr>
            <w:r w:rsidRPr="00347B32">
              <w:rPr>
                <w:rFonts w:cs="Calibri"/>
                <w:b w:val="0"/>
                <w:bCs/>
                <w:color w:val="000000"/>
                <w:sz w:val="20"/>
                <w:szCs w:val="20"/>
                <w:lang w:val="en-US" w:eastAsia="en-US"/>
              </w:rPr>
              <w:t>Եկամտային հարկի գծով, այդ թվում`</w:t>
            </w:r>
          </w:p>
        </w:tc>
        <w:tc>
          <w:tcPr>
            <w:tcW w:w="1980" w:type="dxa"/>
            <w:tcBorders>
              <w:top w:val="single" w:sz="4" w:space="0" w:color="auto"/>
              <w:bottom w:val="single" w:sz="4" w:space="0" w:color="auto"/>
            </w:tcBorders>
            <w:shd w:val="clear" w:color="auto" w:fill="auto"/>
            <w:vAlign w:val="center"/>
            <w:hideMark/>
          </w:tcPr>
          <w:p w14:paraId="4A5678AA" w14:textId="77777777" w:rsidR="002F5E36" w:rsidRPr="00347B32" w:rsidRDefault="002F5E36" w:rsidP="00DA253F">
            <w:pPr>
              <w:spacing w:before="0" w:line="240" w:lineRule="auto"/>
              <w:jc w:val="center"/>
              <w:rPr>
                <w:rFonts w:cs="Calibri"/>
                <w:b w:val="0"/>
                <w:bCs/>
                <w:color w:val="000000"/>
                <w:sz w:val="20"/>
                <w:szCs w:val="20"/>
                <w:lang w:val="en-US" w:eastAsia="en-US"/>
              </w:rPr>
            </w:pPr>
            <w:r w:rsidRPr="00347B32">
              <w:rPr>
                <w:rFonts w:cs="Calibri"/>
                <w:b w:val="0"/>
                <w:bCs/>
                <w:color w:val="000000"/>
                <w:sz w:val="20"/>
                <w:szCs w:val="20"/>
                <w:lang w:val="en-US" w:eastAsia="en-US"/>
              </w:rPr>
              <w:t>100,551</w:t>
            </w:r>
          </w:p>
        </w:tc>
        <w:tc>
          <w:tcPr>
            <w:tcW w:w="2000" w:type="dxa"/>
            <w:tcBorders>
              <w:top w:val="single" w:sz="4" w:space="0" w:color="auto"/>
              <w:bottom w:val="single" w:sz="4" w:space="0" w:color="auto"/>
            </w:tcBorders>
            <w:shd w:val="clear" w:color="auto" w:fill="auto"/>
            <w:vAlign w:val="center"/>
            <w:hideMark/>
          </w:tcPr>
          <w:p w14:paraId="725FF543" w14:textId="661B7F3F" w:rsidR="002F5E36" w:rsidRPr="00347B32" w:rsidRDefault="00A32217" w:rsidP="00DA253F">
            <w:pPr>
              <w:spacing w:before="0" w:line="240" w:lineRule="auto"/>
              <w:jc w:val="center"/>
              <w:rPr>
                <w:rFonts w:cs="Calibri"/>
                <w:b w:val="0"/>
                <w:bCs/>
                <w:color w:val="000000"/>
                <w:sz w:val="20"/>
                <w:szCs w:val="20"/>
                <w:lang w:val="en-US" w:eastAsia="en-US"/>
              </w:rPr>
            </w:pPr>
            <w:r w:rsidRPr="00347B32">
              <w:rPr>
                <w:rFonts w:cs="Calibri"/>
                <w:b w:val="0"/>
                <w:bCs/>
                <w:color w:val="000000"/>
                <w:sz w:val="20"/>
                <w:szCs w:val="20"/>
                <w:lang w:val="en-US" w:eastAsia="en-US"/>
              </w:rPr>
              <w:t>3.85</w:t>
            </w:r>
            <w:r w:rsidR="002F5E36" w:rsidRPr="00347B32">
              <w:rPr>
                <w:rFonts w:cs="Calibri"/>
                <w:b w:val="0"/>
                <w:bCs/>
                <w:color w:val="000000"/>
                <w:sz w:val="20"/>
                <w:szCs w:val="20"/>
                <w:lang w:val="en-US" w:eastAsia="en-US"/>
              </w:rPr>
              <w:t>%</w:t>
            </w:r>
          </w:p>
        </w:tc>
        <w:tc>
          <w:tcPr>
            <w:tcW w:w="1222" w:type="dxa"/>
            <w:tcBorders>
              <w:top w:val="single" w:sz="4" w:space="0" w:color="auto"/>
              <w:bottom w:val="single" w:sz="4" w:space="0" w:color="auto"/>
            </w:tcBorders>
            <w:shd w:val="clear" w:color="auto" w:fill="auto"/>
            <w:vAlign w:val="center"/>
            <w:hideMark/>
          </w:tcPr>
          <w:p w14:paraId="6650F908" w14:textId="77777777" w:rsidR="002F5E36" w:rsidRPr="00347B32" w:rsidRDefault="002F5E36" w:rsidP="00DA253F">
            <w:pPr>
              <w:spacing w:before="0" w:line="240" w:lineRule="auto"/>
              <w:jc w:val="center"/>
              <w:rPr>
                <w:rFonts w:cs="Calibri"/>
                <w:b w:val="0"/>
                <w:bCs/>
                <w:color w:val="000000"/>
                <w:sz w:val="20"/>
                <w:szCs w:val="20"/>
                <w:lang w:val="en-US" w:eastAsia="en-US"/>
              </w:rPr>
            </w:pPr>
            <w:r w:rsidRPr="00347B32">
              <w:rPr>
                <w:rFonts w:cs="Calibri"/>
                <w:b w:val="0"/>
                <w:bCs/>
                <w:color w:val="000000"/>
                <w:sz w:val="20"/>
                <w:szCs w:val="20"/>
                <w:lang w:val="en-US" w:eastAsia="en-US"/>
              </w:rPr>
              <w:t>0.96%</w:t>
            </w:r>
          </w:p>
        </w:tc>
      </w:tr>
      <w:tr w:rsidR="002F5E36" w:rsidRPr="002F5E36" w14:paraId="4F18E6E5" w14:textId="77777777" w:rsidTr="00347B32">
        <w:trPr>
          <w:trHeight w:val="630"/>
        </w:trPr>
        <w:tc>
          <w:tcPr>
            <w:tcW w:w="960" w:type="dxa"/>
            <w:tcBorders>
              <w:top w:val="single" w:sz="4" w:space="0" w:color="auto"/>
            </w:tcBorders>
            <w:shd w:val="clear" w:color="000000" w:fill="FFFFFF"/>
            <w:vAlign w:val="center"/>
            <w:hideMark/>
          </w:tcPr>
          <w:p w14:paraId="6EC11104" w14:textId="77777777" w:rsidR="002F5E36" w:rsidRPr="00347B32" w:rsidRDefault="002F5E36" w:rsidP="002F5E36">
            <w:pPr>
              <w:spacing w:before="0"/>
              <w:jc w:val="center"/>
              <w:rPr>
                <w:rFonts w:cs="Calibri"/>
                <w:b w:val="0"/>
                <w:i/>
                <w:iCs/>
                <w:color w:val="000000"/>
                <w:sz w:val="20"/>
                <w:szCs w:val="20"/>
                <w:lang w:val="en-US" w:eastAsia="en-US"/>
              </w:rPr>
            </w:pPr>
            <w:r w:rsidRPr="00347B32">
              <w:rPr>
                <w:rFonts w:cs="Calibri"/>
                <w:b w:val="0"/>
                <w:i/>
                <w:iCs/>
                <w:color w:val="000000"/>
                <w:sz w:val="20"/>
                <w:szCs w:val="20"/>
                <w:lang w:val="en-US" w:eastAsia="en-US"/>
              </w:rPr>
              <w:t>3.1.</w:t>
            </w:r>
          </w:p>
        </w:tc>
        <w:tc>
          <w:tcPr>
            <w:tcW w:w="3247" w:type="dxa"/>
            <w:tcBorders>
              <w:top w:val="single" w:sz="4" w:space="0" w:color="auto"/>
            </w:tcBorders>
            <w:shd w:val="clear" w:color="000000" w:fill="FFFFFF"/>
            <w:vAlign w:val="center"/>
            <w:hideMark/>
          </w:tcPr>
          <w:p w14:paraId="7FB6AB3A" w14:textId="77777777" w:rsidR="002F5E36" w:rsidRPr="00347B32" w:rsidRDefault="002F5E36" w:rsidP="00DA253F">
            <w:pPr>
              <w:spacing w:before="0" w:line="240" w:lineRule="auto"/>
              <w:jc w:val="left"/>
              <w:rPr>
                <w:rFonts w:cs="Calibri"/>
                <w:b w:val="0"/>
                <w:i/>
                <w:iCs/>
                <w:color w:val="000000"/>
                <w:sz w:val="20"/>
                <w:szCs w:val="20"/>
                <w:lang w:val="en-US" w:eastAsia="en-US"/>
              </w:rPr>
            </w:pPr>
            <w:r w:rsidRPr="00347B32">
              <w:rPr>
                <w:rFonts w:cs="Calibri"/>
                <w:b w:val="0"/>
                <w:i/>
                <w:iCs/>
                <w:color w:val="000000"/>
                <w:sz w:val="20"/>
                <w:szCs w:val="20"/>
                <w:lang w:val="en-US" w:eastAsia="en-US"/>
              </w:rPr>
              <w:t>գյուղատնտեսության ոլորտի աշխատողների աշխատավարձ</w:t>
            </w:r>
          </w:p>
        </w:tc>
        <w:tc>
          <w:tcPr>
            <w:tcW w:w="1980" w:type="dxa"/>
            <w:tcBorders>
              <w:top w:val="single" w:sz="4" w:space="0" w:color="auto"/>
            </w:tcBorders>
            <w:shd w:val="clear" w:color="000000" w:fill="FFFFFF"/>
            <w:vAlign w:val="center"/>
            <w:hideMark/>
          </w:tcPr>
          <w:p w14:paraId="1DD3DC1D" w14:textId="77777777" w:rsidR="002F5E36" w:rsidRPr="00347B32" w:rsidRDefault="002F5E36" w:rsidP="00DA253F">
            <w:pPr>
              <w:spacing w:before="0" w:line="240" w:lineRule="auto"/>
              <w:jc w:val="center"/>
              <w:rPr>
                <w:rFonts w:cs="Calibri"/>
                <w:b w:val="0"/>
                <w:color w:val="000000"/>
                <w:sz w:val="20"/>
                <w:szCs w:val="20"/>
                <w:lang w:val="en-US" w:eastAsia="en-US"/>
              </w:rPr>
            </w:pPr>
            <w:r w:rsidRPr="00347B32">
              <w:rPr>
                <w:rFonts w:cs="Calibri"/>
                <w:b w:val="0"/>
                <w:color w:val="000000"/>
                <w:sz w:val="20"/>
                <w:szCs w:val="20"/>
                <w:lang w:val="en-US" w:eastAsia="en-US"/>
              </w:rPr>
              <w:t>13,889</w:t>
            </w:r>
          </w:p>
        </w:tc>
        <w:tc>
          <w:tcPr>
            <w:tcW w:w="2000" w:type="dxa"/>
            <w:tcBorders>
              <w:top w:val="single" w:sz="4" w:space="0" w:color="auto"/>
            </w:tcBorders>
            <w:shd w:val="clear" w:color="auto" w:fill="auto"/>
            <w:vAlign w:val="center"/>
            <w:hideMark/>
          </w:tcPr>
          <w:p w14:paraId="63B00ABE" w14:textId="5662D882" w:rsidR="002F5E36" w:rsidRPr="00347B32" w:rsidRDefault="002F5E36" w:rsidP="00A32217">
            <w:pPr>
              <w:spacing w:before="0" w:line="240" w:lineRule="auto"/>
              <w:jc w:val="center"/>
              <w:rPr>
                <w:rFonts w:cs="Calibri"/>
                <w:b w:val="0"/>
                <w:i/>
                <w:iCs/>
                <w:color w:val="000000"/>
                <w:sz w:val="20"/>
                <w:szCs w:val="20"/>
                <w:lang w:val="en-US" w:eastAsia="en-US"/>
              </w:rPr>
            </w:pPr>
            <w:r w:rsidRPr="00347B32">
              <w:rPr>
                <w:rFonts w:cs="Calibri"/>
                <w:b w:val="0"/>
                <w:i/>
                <w:iCs/>
                <w:color w:val="000000"/>
                <w:sz w:val="20"/>
                <w:szCs w:val="20"/>
                <w:lang w:val="en-US" w:eastAsia="en-US"/>
              </w:rPr>
              <w:t>0.5</w:t>
            </w:r>
            <w:r w:rsidR="00A32217" w:rsidRPr="00347B32">
              <w:rPr>
                <w:rFonts w:cs="Calibri"/>
                <w:b w:val="0"/>
                <w:i/>
                <w:iCs/>
                <w:color w:val="000000"/>
                <w:sz w:val="20"/>
                <w:szCs w:val="20"/>
                <w:lang w:val="en-US" w:eastAsia="en-US"/>
              </w:rPr>
              <w:t>3</w:t>
            </w:r>
            <w:r w:rsidRPr="00347B32">
              <w:rPr>
                <w:rFonts w:cs="Calibri"/>
                <w:b w:val="0"/>
                <w:i/>
                <w:iCs/>
                <w:color w:val="000000"/>
                <w:sz w:val="20"/>
                <w:szCs w:val="20"/>
                <w:lang w:val="en-US" w:eastAsia="en-US"/>
              </w:rPr>
              <w:t>%</w:t>
            </w:r>
          </w:p>
        </w:tc>
        <w:tc>
          <w:tcPr>
            <w:tcW w:w="1222" w:type="dxa"/>
            <w:tcBorders>
              <w:top w:val="single" w:sz="4" w:space="0" w:color="auto"/>
            </w:tcBorders>
            <w:shd w:val="clear" w:color="auto" w:fill="auto"/>
            <w:vAlign w:val="center"/>
            <w:hideMark/>
          </w:tcPr>
          <w:p w14:paraId="7398FC6D" w14:textId="77777777" w:rsidR="002F5E36" w:rsidRPr="00347B32" w:rsidRDefault="002F5E36" w:rsidP="00DA253F">
            <w:pPr>
              <w:spacing w:before="0" w:line="240" w:lineRule="auto"/>
              <w:jc w:val="center"/>
              <w:rPr>
                <w:rFonts w:cs="Calibri"/>
                <w:b w:val="0"/>
                <w:i/>
                <w:iCs/>
                <w:color w:val="000000"/>
                <w:sz w:val="20"/>
                <w:szCs w:val="20"/>
                <w:lang w:val="en-US" w:eastAsia="en-US"/>
              </w:rPr>
            </w:pPr>
            <w:r w:rsidRPr="00347B32">
              <w:rPr>
                <w:rFonts w:cs="Calibri"/>
                <w:b w:val="0"/>
                <w:i/>
                <w:iCs/>
                <w:color w:val="000000"/>
                <w:sz w:val="20"/>
                <w:szCs w:val="20"/>
                <w:lang w:val="en-US" w:eastAsia="en-US"/>
              </w:rPr>
              <w:t>0.13%</w:t>
            </w:r>
          </w:p>
        </w:tc>
      </w:tr>
      <w:tr w:rsidR="002F5E36" w:rsidRPr="002F5E36" w14:paraId="4221F2AD" w14:textId="77777777" w:rsidTr="00347B32">
        <w:trPr>
          <w:trHeight w:val="870"/>
        </w:trPr>
        <w:tc>
          <w:tcPr>
            <w:tcW w:w="960" w:type="dxa"/>
            <w:shd w:val="clear" w:color="000000" w:fill="FFFFFF"/>
            <w:vAlign w:val="center"/>
            <w:hideMark/>
          </w:tcPr>
          <w:p w14:paraId="095EBE6E" w14:textId="77777777" w:rsidR="002F5E36" w:rsidRPr="00347B32" w:rsidRDefault="002F5E36" w:rsidP="002F5E36">
            <w:pPr>
              <w:spacing w:before="0"/>
              <w:jc w:val="center"/>
              <w:rPr>
                <w:rFonts w:cs="Calibri"/>
                <w:b w:val="0"/>
                <w:i/>
                <w:iCs/>
                <w:color w:val="000000"/>
                <w:sz w:val="20"/>
                <w:szCs w:val="20"/>
                <w:lang w:val="en-US" w:eastAsia="en-US"/>
              </w:rPr>
            </w:pPr>
            <w:r w:rsidRPr="00347B32">
              <w:rPr>
                <w:rFonts w:cs="Calibri"/>
                <w:b w:val="0"/>
                <w:i/>
                <w:iCs/>
                <w:color w:val="000000"/>
                <w:sz w:val="20"/>
                <w:szCs w:val="20"/>
                <w:lang w:val="en-US" w:eastAsia="en-US"/>
              </w:rPr>
              <w:t>3.2.</w:t>
            </w:r>
          </w:p>
        </w:tc>
        <w:tc>
          <w:tcPr>
            <w:tcW w:w="3247" w:type="dxa"/>
            <w:shd w:val="clear" w:color="000000" w:fill="FFFFFF"/>
            <w:vAlign w:val="center"/>
            <w:hideMark/>
          </w:tcPr>
          <w:p w14:paraId="12BC3045" w14:textId="77777777" w:rsidR="002F5E36" w:rsidRPr="00347B32" w:rsidRDefault="002F5E36" w:rsidP="00DA253F">
            <w:pPr>
              <w:spacing w:before="0" w:line="240" w:lineRule="auto"/>
              <w:jc w:val="left"/>
              <w:rPr>
                <w:rFonts w:cs="Calibri"/>
                <w:b w:val="0"/>
                <w:i/>
                <w:iCs/>
                <w:color w:val="000000"/>
                <w:sz w:val="20"/>
                <w:szCs w:val="20"/>
                <w:lang w:val="en-US" w:eastAsia="en-US"/>
              </w:rPr>
            </w:pPr>
            <w:r w:rsidRPr="00347B32">
              <w:rPr>
                <w:rFonts w:cs="Calibri"/>
                <w:b w:val="0"/>
                <w:i/>
                <w:iCs/>
                <w:color w:val="000000"/>
                <w:sz w:val="20"/>
                <w:szCs w:val="20"/>
                <w:lang w:val="en-US" w:eastAsia="en-US"/>
              </w:rPr>
              <w:t xml:space="preserve">Հիպոտեկային վարկերի տոկոսների սպասարկման համար վերադարձված եկամտային հարկ </w:t>
            </w:r>
          </w:p>
        </w:tc>
        <w:tc>
          <w:tcPr>
            <w:tcW w:w="1980" w:type="dxa"/>
            <w:shd w:val="clear" w:color="000000" w:fill="FFFFFF"/>
            <w:vAlign w:val="center"/>
            <w:hideMark/>
          </w:tcPr>
          <w:p w14:paraId="58948448" w14:textId="77777777" w:rsidR="002F5E36" w:rsidRPr="00347B32" w:rsidRDefault="002F5E36" w:rsidP="00DA253F">
            <w:pPr>
              <w:spacing w:before="0" w:line="240" w:lineRule="auto"/>
              <w:jc w:val="center"/>
              <w:rPr>
                <w:rFonts w:cs="Calibri"/>
                <w:b w:val="0"/>
                <w:color w:val="000000"/>
                <w:sz w:val="20"/>
                <w:szCs w:val="20"/>
                <w:lang w:val="en-US" w:eastAsia="en-US"/>
              </w:rPr>
            </w:pPr>
            <w:r w:rsidRPr="00347B32">
              <w:rPr>
                <w:rFonts w:cs="Calibri"/>
                <w:b w:val="0"/>
                <w:color w:val="000000"/>
                <w:sz w:val="20"/>
                <w:szCs w:val="20"/>
                <w:lang w:val="en-US" w:eastAsia="en-US"/>
              </w:rPr>
              <w:t>71,965</w:t>
            </w:r>
          </w:p>
        </w:tc>
        <w:tc>
          <w:tcPr>
            <w:tcW w:w="2000" w:type="dxa"/>
            <w:shd w:val="clear" w:color="auto" w:fill="auto"/>
            <w:vAlign w:val="center"/>
            <w:hideMark/>
          </w:tcPr>
          <w:p w14:paraId="54A3A75B" w14:textId="10382790" w:rsidR="002F5E36" w:rsidRPr="00347B32" w:rsidRDefault="00A32217" w:rsidP="00DA253F">
            <w:pPr>
              <w:spacing w:before="0" w:line="240" w:lineRule="auto"/>
              <w:jc w:val="center"/>
              <w:rPr>
                <w:rFonts w:cs="Calibri"/>
                <w:b w:val="0"/>
                <w:i/>
                <w:iCs/>
                <w:color w:val="000000"/>
                <w:sz w:val="20"/>
                <w:szCs w:val="20"/>
                <w:lang w:val="en-US" w:eastAsia="en-US"/>
              </w:rPr>
            </w:pPr>
            <w:r w:rsidRPr="00347B32">
              <w:rPr>
                <w:rFonts w:cs="Calibri"/>
                <w:b w:val="0"/>
                <w:i/>
                <w:iCs/>
                <w:color w:val="000000"/>
                <w:sz w:val="20"/>
                <w:szCs w:val="20"/>
                <w:lang w:val="en-US" w:eastAsia="en-US"/>
              </w:rPr>
              <w:t>2.75</w:t>
            </w:r>
            <w:r w:rsidR="002F5E36" w:rsidRPr="00347B32">
              <w:rPr>
                <w:rFonts w:cs="Calibri"/>
                <w:b w:val="0"/>
                <w:i/>
                <w:iCs/>
                <w:color w:val="000000"/>
                <w:sz w:val="20"/>
                <w:szCs w:val="20"/>
                <w:lang w:val="en-US" w:eastAsia="en-US"/>
              </w:rPr>
              <w:t>%</w:t>
            </w:r>
          </w:p>
        </w:tc>
        <w:tc>
          <w:tcPr>
            <w:tcW w:w="1222" w:type="dxa"/>
            <w:shd w:val="clear" w:color="auto" w:fill="auto"/>
            <w:vAlign w:val="center"/>
            <w:hideMark/>
          </w:tcPr>
          <w:p w14:paraId="255828CC" w14:textId="6D4094A4" w:rsidR="002F5E36" w:rsidRPr="00347B32" w:rsidRDefault="00A32217" w:rsidP="00DA253F">
            <w:pPr>
              <w:spacing w:before="0" w:line="240" w:lineRule="auto"/>
              <w:jc w:val="center"/>
              <w:rPr>
                <w:rFonts w:cs="Calibri"/>
                <w:b w:val="0"/>
                <w:i/>
                <w:iCs/>
                <w:color w:val="000000"/>
                <w:sz w:val="20"/>
                <w:szCs w:val="20"/>
                <w:lang w:val="en-US" w:eastAsia="en-US"/>
              </w:rPr>
            </w:pPr>
            <w:r w:rsidRPr="00347B32">
              <w:rPr>
                <w:rFonts w:cs="Calibri"/>
                <w:b w:val="0"/>
                <w:i/>
                <w:iCs/>
                <w:color w:val="000000"/>
                <w:sz w:val="20"/>
                <w:szCs w:val="20"/>
                <w:lang w:val="en-US" w:eastAsia="en-US"/>
              </w:rPr>
              <w:t>0.68</w:t>
            </w:r>
            <w:r w:rsidR="002F5E36" w:rsidRPr="00347B32">
              <w:rPr>
                <w:rFonts w:cs="Calibri"/>
                <w:b w:val="0"/>
                <w:i/>
                <w:iCs/>
                <w:color w:val="000000"/>
                <w:sz w:val="20"/>
                <w:szCs w:val="20"/>
                <w:lang w:val="en-US" w:eastAsia="en-US"/>
              </w:rPr>
              <w:t>%</w:t>
            </w:r>
          </w:p>
        </w:tc>
      </w:tr>
      <w:tr w:rsidR="002F5E36" w:rsidRPr="002F5E36" w14:paraId="6C378859" w14:textId="77777777" w:rsidTr="00347B32">
        <w:trPr>
          <w:trHeight w:val="630"/>
        </w:trPr>
        <w:tc>
          <w:tcPr>
            <w:tcW w:w="960" w:type="dxa"/>
            <w:tcBorders>
              <w:bottom w:val="single" w:sz="4" w:space="0" w:color="auto"/>
            </w:tcBorders>
            <w:shd w:val="clear" w:color="auto" w:fill="auto"/>
            <w:vAlign w:val="center"/>
            <w:hideMark/>
          </w:tcPr>
          <w:p w14:paraId="2B67A526" w14:textId="77777777" w:rsidR="002F5E36" w:rsidRPr="00347B32" w:rsidRDefault="002F5E36" w:rsidP="002F5E36">
            <w:pPr>
              <w:spacing w:before="0"/>
              <w:jc w:val="center"/>
              <w:rPr>
                <w:rFonts w:cs="Calibri"/>
                <w:b w:val="0"/>
                <w:i/>
                <w:iCs/>
                <w:color w:val="000000"/>
                <w:sz w:val="20"/>
                <w:szCs w:val="20"/>
                <w:lang w:val="en-US" w:eastAsia="en-US"/>
              </w:rPr>
            </w:pPr>
            <w:r w:rsidRPr="00347B32">
              <w:rPr>
                <w:rFonts w:cs="Calibri"/>
                <w:b w:val="0"/>
                <w:i/>
                <w:iCs/>
                <w:color w:val="000000"/>
                <w:sz w:val="20"/>
                <w:szCs w:val="20"/>
                <w:lang w:val="en-US" w:eastAsia="en-US"/>
              </w:rPr>
              <w:t>3.3.</w:t>
            </w:r>
          </w:p>
        </w:tc>
        <w:tc>
          <w:tcPr>
            <w:tcW w:w="3247" w:type="dxa"/>
            <w:tcBorders>
              <w:bottom w:val="single" w:sz="4" w:space="0" w:color="auto"/>
            </w:tcBorders>
            <w:shd w:val="clear" w:color="auto" w:fill="auto"/>
            <w:vAlign w:val="center"/>
            <w:hideMark/>
          </w:tcPr>
          <w:p w14:paraId="42377587" w14:textId="77777777" w:rsidR="002F5E36" w:rsidRPr="00347B32" w:rsidRDefault="002F5E36" w:rsidP="002F5E36">
            <w:pPr>
              <w:spacing w:before="0"/>
              <w:jc w:val="left"/>
              <w:rPr>
                <w:rFonts w:cs="Calibri"/>
                <w:b w:val="0"/>
                <w:i/>
                <w:iCs/>
                <w:color w:val="000000"/>
                <w:sz w:val="20"/>
                <w:szCs w:val="20"/>
                <w:lang w:val="en-US" w:eastAsia="en-US"/>
              </w:rPr>
            </w:pPr>
            <w:r w:rsidRPr="00347B32">
              <w:rPr>
                <w:rFonts w:cs="Calibri"/>
                <w:b w:val="0"/>
                <w:i/>
                <w:iCs/>
                <w:color w:val="000000"/>
                <w:sz w:val="20"/>
                <w:szCs w:val="20"/>
                <w:lang w:val="en-US" w:eastAsia="en-US"/>
              </w:rPr>
              <w:t>ՏՏ ոլորտի արտոնություններ</w:t>
            </w:r>
          </w:p>
        </w:tc>
        <w:tc>
          <w:tcPr>
            <w:tcW w:w="1980" w:type="dxa"/>
            <w:tcBorders>
              <w:bottom w:val="single" w:sz="4" w:space="0" w:color="auto"/>
            </w:tcBorders>
            <w:shd w:val="clear" w:color="auto" w:fill="auto"/>
            <w:vAlign w:val="center"/>
            <w:hideMark/>
          </w:tcPr>
          <w:p w14:paraId="64A483E6" w14:textId="77777777" w:rsidR="002F5E36" w:rsidRPr="00347B32" w:rsidRDefault="002F5E36" w:rsidP="002F5E36">
            <w:pPr>
              <w:spacing w:before="0"/>
              <w:jc w:val="center"/>
              <w:rPr>
                <w:rFonts w:cs="Calibri"/>
                <w:b w:val="0"/>
                <w:color w:val="000000"/>
                <w:sz w:val="20"/>
                <w:szCs w:val="20"/>
                <w:lang w:val="en-US" w:eastAsia="en-US"/>
              </w:rPr>
            </w:pPr>
            <w:r w:rsidRPr="00347B32">
              <w:rPr>
                <w:rFonts w:cs="Calibri"/>
                <w:b w:val="0"/>
                <w:color w:val="000000"/>
                <w:sz w:val="20"/>
                <w:szCs w:val="20"/>
                <w:lang w:val="en-US" w:eastAsia="en-US"/>
              </w:rPr>
              <w:t>14,697</w:t>
            </w:r>
          </w:p>
        </w:tc>
        <w:tc>
          <w:tcPr>
            <w:tcW w:w="2000" w:type="dxa"/>
            <w:tcBorders>
              <w:bottom w:val="single" w:sz="4" w:space="0" w:color="auto"/>
            </w:tcBorders>
            <w:shd w:val="clear" w:color="auto" w:fill="auto"/>
            <w:vAlign w:val="center"/>
            <w:hideMark/>
          </w:tcPr>
          <w:p w14:paraId="1664EFD1" w14:textId="630556D9" w:rsidR="002F5E36" w:rsidRPr="00347B32" w:rsidRDefault="00A32217" w:rsidP="002F5E36">
            <w:pPr>
              <w:spacing w:before="0"/>
              <w:jc w:val="center"/>
              <w:rPr>
                <w:rFonts w:cs="Calibri"/>
                <w:b w:val="0"/>
                <w:i/>
                <w:iCs/>
                <w:color w:val="000000"/>
                <w:sz w:val="20"/>
                <w:szCs w:val="20"/>
                <w:lang w:val="en-US" w:eastAsia="en-US"/>
              </w:rPr>
            </w:pPr>
            <w:r w:rsidRPr="00347B32">
              <w:rPr>
                <w:rFonts w:cs="Calibri"/>
                <w:b w:val="0"/>
                <w:i/>
                <w:iCs/>
                <w:color w:val="000000"/>
                <w:sz w:val="20"/>
                <w:szCs w:val="20"/>
                <w:lang w:val="en-US" w:eastAsia="en-US"/>
              </w:rPr>
              <w:t>0.56</w:t>
            </w:r>
            <w:r w:rsidR="002F5E36" w:rsidRPr="00347B32">
              <w:rPr>
                <w:rFonts w:cs="Calibri"/>
                <w:b w:val="0"/>
                <w:i/>
                <w:iCs/>
                <w:color w:val="000000"/>
                <w:sz w:val="20"/>
                <w:szCs w:val="20"/>
                <w:lang w:val="en-US" w:eastAsia="en-US"/>
              </w:rPr>
              <w:t>%</w:t>
            </w:r>
          </w:p>
        </w:tc>
        <w:tc>
          <w:tcPr>
            <w:tcW w:w="1222" w:type="dxa"/>
            <w:tcBorders>
              <w:bottom w:val="single" w:sz="4" w:space="0" w:color="auto"/>
            </w:tcBorders>
            <w:shd w:val="clear" w:color="auto" w:fill="auto"/>
            <w:vAlign w:val="center"/>
            <w:hideMark/>
          </w:tcPr>
          <w:p w14:paraId="3950CF90" w14:textId="77777777" w:rsidR="002F5E36" w:rsidRPr="00347B32" w:rsidRDefault="002F5E36" w:rsidP="002F5E36">
            <w:pPr>
              <w:spacing w:before="0"/>
              <w:jc w:val="center"/>
              <w:rPr>
                <w:rFonts w:cs="Calibri"/>
                <w:b w:val="0"/>
                <w:i/>
                <w:iCs/>
                <w:color w:val="000000"/>
                <w:sz w:val="20"/>
                <w:szCs w:val="20"/>
                <w:lang w:val="en-US" w:eastAsia="en-US"/>
              </w:rPr>
            </w:pPr>
            <w:r w:rsidRPr="00347B32">
              <w:rPr>
                <w:rFonts w:cs="Calibri"/>
                <w:b w:val="0"/>
                <w:i/>
                <w:iCs/>
                <w:color w:val="000000"/>
                <w:sz w:val="20"/>
                <w:szCs w:val="20"/>
                <w:lang w:val="en-US" w:eastAsia="en-US"/>
              </w:rPr>
              <w:t>0.14%</w:t>
            </w:r>
          </w:p>
        </w:tc>
      </w:tr>
      <w:tr w:rsidR="002F5E36" w:rsidRPr="002F5E36" w14:paraId="3DCA9848" w14:textId="77777777" w:rsidTr="00347B32">
        <w:trPr>
          <w:trHeight w:val="375"/>
        </w:trPr>
        <w:tc>
          <w:tcPr>
            <w:tcW w:w="4207" w:type="dxa"/>
            <w:gridSpan w:val="2"/>
            <w:tcBorders>
              <w:top w:val="single" w:sz="4" w:space="0" w:color="auto"/>
            </w:tcBorders>
            <w:shd w:val="clear" w:color="auto" w:fill="auto"/>
            <w:vAlign w:val="center"/>
            <w:hideMark/>
          </w:tcPr>
          <w:p w14:paraId="2976B1A6" w14:textId="77777777" w:rsidR="002F5E36" w:rsidRPr="00347B32" w:rsidRDefault="002F5E36" w:rsidP="002F5E36">
            <w:pPr>
              <w:spacing w:before="0"/>
              <w:jc w:val="center"/>
              <w:rPr>
                <w:rFonts w:cs="Calibri"/>
                <w:b w:val="0"/>
                <w:bCs/>
                <w:color w:val="000000"/>
                <w:sz w:val="20"/>
                <w:szCs w:val="20"/>
                <w:lang w:val="en-US" w:eastAsia="en-US"/>
              </w:rPr>
            </w:pPr>
            <w:r w:rsidRPr="00347B32">
              <w:rPr>
                <w:rFonts w:cs="Calibri"/>
                <w:b w:val="0"/>
                <w:bCs/>
                <w:color w:val="000000"/>
                <w:sz w:val="20"/>
                <w:szCs w:val="20"/>
                <w:lang w:val="en-US" w:eastAsia="en-US"/>
              </w:rPr>
              <w:t>Ընդամենը</w:t>
            </w:r>
          </w:p>
        </w:tc>
        <w:tc>
          <w:tcPr>
            <w:tcW w:w="1980" w:type="dxa"/>
            <w:tcBorders>
              <w:top w:val="single" w:sz="4" w:space="0" w:color="auto"/>
            </w:tcBorders>
            <w:shd w:val="clear" w:color="auto" w:fill="auto"/>
            <w:vAlign w:val="center"/>
            <w:hideMark/>
          </w:tcPr>
          <w:p w14:paraId="4989F5C3" w14:textId="77777777" w:rsidR="002F5E36" w:rsidRPr="00347B32" w:rsidRDefault="002F5E36" w:rsidP="002F5E36">
            <w:pPr>
              <w:spacing w:before="0"/>
              <w:jc w:val="center"/>
              <w:rPr>
                <w:rFonts w:cs="Calibri"/>
                <w:b w:val="0"/>
                <w:bCs/>
                <w:color w:val="000000"/>
                <w:sz w:val="20"/>
                <w:szCs w:val="20"/>
                <w:lang w:val="en-US" w:eastAsia="en-US"/>
              </w:rPr>
            </w:pPr>
            <w:r w:rsidRPr="00347B32">
              <w:rPr>
                <w:rFonts w:cs="Calibri"/>
                <w:b w:val="0"/>
                <w:bCs/>
                <w:color w:val="000000"/>
                <w:sz w:val="20"/>
                <w:szCs w:val="20"/>
                <w:lang w:val="en-US" w:eastAsia="en-US"/>
              </w:rPr>
              <w:t>681,339</w:t>
            </w:r>
          </w:p>
        </w:tc>
        <w:tc>
          <w:tcPr>
            <w:tcW w:w="2000" w:type="dxa"/>
            <w:tcBorders>
              <w:top w:val="single" w:sz="4" w:space="0" w:color="auto"/>
            </w:tcBorders>
            <w:shd w:val="clear" w:color="auto" w:fill="auto"/>
            <w:vAlign w:val="center"/>
            <w:hideMark/>
          </w:tcPr>
          <w:p w14:paraId="4CA6061E" w14:textId="2094F3F1" w:rsidR="002F5E36" w:rsidRPr="00347B32" w:rsidRDefault="00A32217" w:rsidP="002F5E36">
            <w:pPr>
              <w:spacing w:before="0"/>
              <w:jc w:val="center"/>
              <w:rPr>
                <w:rFonts w:cs="Calibri"/>
                <w:b w:val="0"/>
                <w:bCs/>
                <w:color w:val="000000"/>
                <w:sz w:val="20"/>
                <w:szCs w:val="20"/>
                <w:lang w:val="en-US" w:eastAsia="en-US"/>
              </w:rPr>
            </w:pPr>
            <w:r w:rsidRPr="00347B32">
              <w:rPr>
                <w:rFonts w:cs="Calibri"/>
                <w:b w:val="0"/>
                <w:bCs/>
                <w:color w:val="000000"/>
                <w:sz w:val="20"/>
                <w:szCs w:val="20"/>
                <w:lang w:val="en-US" w:eastAsia="en-US"/>
              </w:rPr>
              <w:t>26.07</w:t>
            </w:r>
            <w:r w:rsidR="002F5E36" w:rsidRPr="00347B32">
              <w:rPr>
                <w:rFonts w:cs="Calibri"/>
                <w:b w:val="0"/>
                <w:bCs/>
                <w:color w:val="000000"/>
                <w:sz w:val="20"/>
                <w:szCs w:val="20"/>
                <w:lang w:val="en-US" w:eastAsia="en-US"/>
              </w:rPr>
              <w:t>%</w:t>
            </w:r>
          </w:p>
        </w:tc>
        <w:tc>
          <w:tcPr>
            <w:tcW w:w="1222" w:type="dxa"/>
            <w:tcBorders>
              <w:top w:val="single" w:sz="4" w:space="0" w:color="auto"/>
            </w:tcBorders>
            <w:shd w:val="clear" w:color="auto" w:fill="auto"/>
            <w:vAlign w:val="center"/>
            <w:hideMark/>
          </w:tcPr>
          <w:p w14:paraId="1845834B" w14:textId="42D06AEC" w:rsidR="002F5E36" w:rsidRPr="00347B32" w:rsidRDefault="00A32217" w:rsidP="002F5E36">
            <w:pPr>
              <w:spacing w:before="0"/>
              <w:jc w:val="center"/>
              <w:rPr>
                <w:rFonts w:cs="Calibri"/>
                <w:b w:val="0"/>
                <w:bCs/>
                <w:color w:val="000000"/>
                <w:sz w:val="20"/>
                <w:szCs w:val="20"/>
                <w:lang w:val="en-US" w:eastAsia="en-US"/>
              </w:rPr>
            </w:pPr>
            <w:r w:rsidRPr="00347B32">
              <w:rPr>
                <w:rFonts w:cs="Calibri"/>
                <w:b w:val="0"/>
                <w:bCs/>
                <w:color w:val="000000"/>
                <w:sz w:val="20"/>
                <w:szCs w:val="20"/>
                <w:lang w:val="en-US" w:eastAsia="en-US"/>
              </w:rPr>
              <w:t>6.48</w:t>
            </w:r>
            <w:r w:rsidR="002F5E36" w:rsidRPr="00347B32">
              <w:rPr>
                <w:rFonts w:cs="Calibri"/>
                <w:b w:val="0"/>
                <w:bCs/>
                <w:color w:val="000000"/>
                <w:sz w:val="20"/>
                <w:szCs w:val="20"/>
                <w:lang w:val="en-US" w:eastAsia="en-US"/>
              </w:rPr>
              <w:t>%</w:t>
            </w:r>
          </w:p>
        </w:tc>
      </w:tr>
    </w:tbl>
    <w:p w14:paraId="2040D94D" w14:textId="77777777" w:rsidR="002F5E36" w:rsidRPr="002F5E36" w:rsidRDefault="002F5E36" w:rsidP="002F5E36">
      <w:pPr>
        <w:spacing w:before="0"/>
        <w:rPr>
          <w:b w:val="0"/>
          <w:szCs w:val="22"/>
          <w:lang w:val="en-US" w:eastAsia="en-US"/>
        </w:rPr>
      </w:pPr>
    </w:p>
    <w:p w14:paraId="72DD1BF6" w14:textId="2EF03375" w:rsidR="002F5E36" w:rsidRPr="002F5E36" w:rsidRDefault="002F5E36" w:rsidP="002F5E36">
      <w:pPr>
        <w:spacing w:before="0"/>
        <w:rPr>
          <w:b w:val="0"/>
          <w:szCs w:val="22"/>
          <w:lang w:val="en-US" w:eastAsia="en-US"/>
        </w:rPr>
      </w:pPr>
      <w:r w:rsidRPr="002F5E36">
        <w:rPr>
          <w:b w:val="0"/>
          <w:szCs w:val="22"/>
          <w:lang w:val="en-US" w:eastAsia="en-US"/>
        </w:rPr>
        <w:t>*2023</w:t>
      </w:r>
      <w:r w:rsidRPr="002F5E36">
        <w:rPr>
          <w:b w:val="0"/>
          <w:szCs w:val="22"/>
          <w:lang w:val="hy-AM" w:eastAsia="en-US"/>
        </w:rPr>
        <w:t xml:space="preserve">թ. գնահատված հարկային ծախսերը կազմել են </w:t>
      </w:r>
      <w:r w:rsidRPr="002F5E36">
        <w:rPr>
          <w:b w:val="0"/>
          <w:szCs w:val="22"/>
          <w:lang w:val="en-US" w:eastAsia="en-US"/>
        </w:rPr>
        <w:t>584,763</w:t>
      </w:r>
      <w:r w:rsidRPr="002F5E36">
        <w:rPr>
          <w:b w:val="0"/>
          <w:szCs w:val="22"/>
          <w:lang w:val="hy-AM" w:eastAsia="en-US"/>
        </w:rPr>
        <w:t xml:space="preserve"> մլն. դրամ, ինչը 202</w:t>
      </w:r>
      <w:r w:rsidRPr="002F5E36">
        <w:rPr>
          <w:b w:val="0"/>
          <w:szCs w:val="22"/>
          <w:lang w:val="en-US" w:eastAsia="en-US"/>
        </w:rPr>
        <w:t>3</w:t>
      </w:r>
      <w:r w:rsidRPr="002F5E36">
        <w:rPr>
          <w:b w:val="0"/>
          <w:szCs w:val="22"/>
          <w:lang w:val="hy-AM" w:eastAsia="en-US"/>
        </w:rPr>
        <w:t xml:space="preserve">թ. պետական բյուջեի հիմքում դրված հարկային եկամուտների </w:t>
      </w:r>
      <w:r w:rsidRPr="002F5E36">
        <w:rPr>
          <w:b w:val="0"/>
          <w:szCs w:val="22"/>
          <w:lang w:val="en-US" w:eastAsia="en-US"/>
        </w:rPr>
        <w:t>(</w:t>
      </w:r>
      <w:r w:rsidRPr="002F5E36">
        <w:rPr>
          <w:b w:val="0"/>
          <w:szCs w:val="22"/>
          <w:lang w:val="hy-AM" w:eastAsia="en-US"/>
        </w:rPr>
        <w:t>2,203.7 մլրդ դրամ</w:t>
      </w:r>
      <w:r w:rsidRPr="002F5E36">
        <w:rPr>
          <w:b w:val="0"/>
          <w:szCs w:val="22"/>
          <w:lang w:val="en-US" w:eastAsia="en-US"/>
        </w:rPr>
        <w:t xml:space="preserve">) </w:t>
      </w:r>
      <w:r w:rsidRPr="002F5E36">
        <w:rPr>
          <w:b w:val="0"/>
          <w:szCs w:val="22"/>
          <w:lang w:val="hy-AM" w:eastAsia="en-US"/>
        </w:rPr>
        <w:t xml:space="preserve">և անվանական ՀՆԱ-ի նկատմամբ </w:t>
      </w:r>
      <w:r w:rsidRPr="002F5E36">
        <w:rPr>
          <w:b w:val="0"/>
          <w:szCs w:val="22"/>
          <w:lang w:val="en-US" w:eastAsia="en-US"/>
        </w:rPr>
        <w:t>(</w:t>
      </w:r>
      <w:r w:rsidRPr="002F5E36">
        <w:rPr>
          <w:b w:val="0"/>
          <w:szCs w:val="22"/>
          <w:lang w:val="hy-AM" w:eastAsia="en-US"/>
        </w:rPr>
        <w:t>9,317.9 մլրդ դրամ</w:t>
      </w:r>
      <w:r w:rsidRPr="002F5E36">
        <w:rPr>
          <w:b w:val="0"/>
          <w:szCs w:val="22"/>
          <w:lang w:val="en-US" w:eastAsia="en-US"/>
        </w:rPr>
        <w:t>)</w:t>
      </w:r>
      <w:r w:rsidRPr="002F5E36">
        <w:rPr>
          <w:b w:val="0"/>
          <w:szCs w:val="22"/>
          <w:lang w:val="hy-AM" w:eastAsia="en-US"/>
        </w:rPr>
        <w:t xml:space="preserve"> կազմել է համապատասխանաբար` 26.54 և 6.28 տոկոս: Վերոգրյալը նշանակում է, որ նախորդ տարվա գնահատականի համեմատ հարկային եկամուտների մեջ 2024թ. հարկային ծախսերի կշիռը </w:t>
      </w:r>
      <w:r w:rsidR="00A32217">
        <w:rPr>
          <w:b w:val="0"/>
          <w:szCs w:val="22"/>
          <w:lang w:val="en-US" w:eastAsia="en-US"/>
        </w:rPr>
        <w:t xml:space="preserve">նվազել </w:t>
      </w:r>
      <w:r w:rsidR="00A32217">
        <w:rPr>
          <w:b w:val="0"/>
          <w:szCs w:val="22"/>
          <w:lang w:val="hy-AM" w:eastAsia="en-US"/>
        </w:rPr>
        <w:t>է 0.</w:t>
      </w:r>
      <w:r w:rsidR="00A32217">
        <w:rPr>
          <w:b w:val="0"/>
          <w:szCs w:val="22"/>
          <w:lang w:val="en-US" w:eastAsia="en-US"/>
        </w:rPr>
        <w:t>47</w:t>
      </w:r>
      <w:r w:rsidRPr="002F5E36">
        <w:rPr>
          <w:b w:val="0"/>
          <w:szCs w:val="22"/>
          <w:lang w:val="hy-AM" w:eastAsia="en-US"/>
        </w:rPr>
        <w:t xml:space="preserve"> տոկոսային կետով, իսկ անվանական ՀՆԱ-ի մ</w:t>
      </w:r>
      <w:r w:rsidRPr="002F5E36">
        <w:rPr>
          <w:b w:val="0"/>
          <w:szCs w:val="22"/>
          <w:lang w:val="en-US" w:eastAsia="en-US"/>
        </w:rPr>
        <w:t>եջ</w:t>
      </w:r>
      <w:r w:rsidR="00A32217">
        <w:rPr>
          <w:b w:val="0"/>
          <w:szCs w:val="22"/>
          <w:lang w:val="en-US" w:eastAsia="en-US"/>
        </w:rPr>
        <w:t xml:space="preserve"> աճել է </w:t>
      </w:r>
      <w:r w:rsidRPr="002F5E36">
        <w:rPr>
          <w:b w:val="0"/>
          <w:szCs w:val="22"/>
          <w:lang w:val="hy-AM" w:eastAsia="en-US"/>
        </w:rPr>
        <w:t xml:space="preserve"> 0.</w:t>
      </w:r>
      <w:r w:rsidRPr="002F5E36">
        <w:rPr>
          <w:b w:val="0"/>
          <w:szCs w:val="22"/>
          <w:lang w:val="en-US" w:eastAsia="en-US"/>
        </w:rPr>
        <w:t>2</w:t>
      </w:r>
      <w:r w:rsidR="00A32217">
        <w:rPr>
          <w:b w:val="0"/>
          <w:szCs w:val="22"/>
          <w:lang w:val="en-US" w:eastAsia="en-US"/>
        </w:rPr>
        <w:t>0</w:t>
      </w:r>
      <w:r w:rsidRPr="002F5E36">
        <w:rPr>
          <w:b w:val="0"/>
          <w:szCs w:val="22"/>
          <w:lang w:val="hy-AM" w:eastAsia="en-US"/>
        </w:rPr>
        <w:t xml:space="preserve"> տոկոսային կետով:</w:t>
      </w:r>
    </w:p>
    <w:p w14:paraId="2786A707" w14:textId="77777777" w:rsidR="00EE3251" w:rsidRPr="00443554" w:rsidRDefault="00EE3251" w:rsidP="00EE3251">
      <w:pPr>
        <w:spacing w:before="0"/>
        <w:rPr>
          <w:b w:val="0"/>
          <w:szCs w:val="22"/>
          <w:lang w:val="en-US"/>
        </w:rPr>
      </w:pPr>
    </w:p>
    <w:p w14:paraId="73C2785A" w14:textId="77777777" w:rsidR="00EB778F" w:rsidRPr="001F7A3C" w:rsidRDefault="00EB778F" w:rsidP="0009272D">
      <w:pPr>
        <w:pStyle w:val="Heading1"/>
      </w:pPr>
      <w:bookmarkStart w:id="373" w:name="_Toc153184522"/>
      <w:r w:rsidRPr="001F7A3C">
        <w:t>Մեթոդաբանություն</w:t>
      </w:r>
      <w:bookmarkEnd w:id="373"/>
    </w:p>
    <w:p w14:paraId="06901979" w14:textId="77777777" w:rsidR="00EB778F" w:rsidRPr="00187D59" w:rsidRDefault="00EB778F" w:rsidP="0009272D">
      <w:pPr>
        <w:pStyle w:val="Heading1"/>
      </w:pPr>
      <w:bookmarkStart w:id="374" w:name="_Toc153184523"/>
      <w:r w:rsidRPr="001F7A3C">
        <w:t>202</w:t>
      </w:r>
      <w:r w:rsidR="00397AB1" w:rsidRPr="001F7A3C">
        <w:rPr>
          <w:lang w:val="en-US"/>
        </w:rPr>
        <w:t>4</w:t>
      </w:r>
      <w:r w:rsidRPr="001F7A3C">
        <w:t xml:space="preserve"> թվականի հարկային ծախսերի գնահատման</w:t>
      </w:r>
      <w:bookmarkEnd w:id="374"/>
    </w:p>
    <w:p w14:paraId="612DE556" w14:textId="77777777" w:rsidR="00EB778F" w:rsidRPr="00A32217" w:rsidRDefault="00EB778F" w:rsidP="00155BCD">
      <w:pPr>
        <w:rPr>
          <w:b w:val="0"/>
          <w:szCs w:val="22"/>
          <w:lang w:val="en-US" w:eastAsia="en-US"/>
        </w:rPr>
      </w:pPr>
    </w:p>
    <w:p w14:paraId="52127076" w14:textId="77777777" w:rsidR="002F5E36" w:rsidRPr="00443554" w:rsidRDefault="002F5E36" w:rsidP="00544A8E">
      <w:pPr>
        <w:numPr>
          <w:ilvl w:val="0"/>
          <w:numId w:val="23"/>
        </w:numPr>
        <w:tabs>
          <w:tab w:val="left" w:pos="567"/>
          <w:tab w:val="left" w:pos="851"/>
        </w:tabs>
        <w:ind w:left="0" w:firstLine="0"/>
        <w:rPr>
          <w:i/>
          <w:szCs w:val="22"/>
          <w:lang w:val="en-US" w:eastAsia="en-US"/>
        </w:rPr>
      </w:pPr>
      <w:r w:rsidRPr="002F5E36">
        <w:rPr>
          <w:rFonts w:cs="Sylfaen"/>
          <w:i/>
          <w:szCs w:val="22"/>
          <w:lang w:val="en-US" w:eastAsia="en-US"/>
        </w:rPr>
        <w:t>ԱԱՀ</w:t>
      </w:r>
      <w:r w:rsidRPr="00443554">
        <w:rPr>
          <w:i/>
          <w:szCs w:val="22"/>
          <w:lang w:val="en-US" w:eastAsia="en-US"/>
        </w:rPr>
        <w:t>-</w:t>
      </w:r>
      <w:r w:rsidRPr="002F5E36">
        <w:rPr>
          <w:i/>
          <w:szCs w:val="22"/>
          <w:lang w:val="en-US" w:eastAsia="en-US"/>
        </w:rPr>
        <w:t>ի</w:t>
      </w:r>
      <w:r w:rsidRPr="00443554">
        <w:rPr>
          <w:i/>
          <w:szCs w:val="22"/>
          <w:lang w:val="en-US" w:eastAsia="en-US"/>
        </w:rPr>
        <w:t xml:space="preserve"> </w:t>
      </w:r>
      <w:r w:rsidRPr="002F5E36">
        <w:rPr>
          <w:i/>
          <w:szCs w:val="22"/>
          <w:lang w:val="en-US" w:eastAsia="en-US"/>
        </w:rPr>
        <w:t>գծով</w:t>
      </w:r>
      <w:r w:rsidRPr="00443554">
        <w:rPr>
          <w:i/>
          <w:szCs w:val="22"/>
          <w:lang w:val="en-US" w:eastAsia="en-US"/>
        </w:rPr>
        <w:t xml:space="preserve"> </w:t>
      </w:r>
      <w:r w:rsidRPr="002F5E36">
        <w:rPr>
          <w:i/>
          <w:szCs w:val="22"/>
          <w:lang w:val="en-US" w:eastAsia="en-US"/>
        </w:rPr>
        <w:t>հարկային</w:t>
      </w:r>
      <w:r w:rsidRPr="00443554">
        <w:rPr>
          <w:i/>
          <w:szCs w:val="22"/>
          <w:lang w:val="en-US" w:eastAsia="en-US"/>
        </w:rPr>
        <w:t xml:space="preserve"> </w:t>
      </w:r>
      <w:r w:rsidRPr="002F5E36">
        <w:rPr>
          <w:i/>
          <w:szCs w:val="22"/>
          <w:lang w:val="en-US" w:eastAsia="en-US"/>
        </w:rPr>
        <w:t>ծախսերը</w:t>
      </w:r>
      <w:r w:rsidRPr="00443554">
        <w:rPr>
          <w:i/>
          <w:szCs w:val="22"/>
          <w:lang w:val="en-US" w:eastAsia="en-US"/>
        </w:rPr>
        <w:t>.</w:t>
      </w:r>
    </w:p>
    <w:p w14:paraId="287139FB" w14:textId="77777777" w:rsidR="002F5E36" w:rsidRPr="00443554" w:rsidRDefault="002F5E36" w:rsidP="00544A8E">
      <w:pPr>
        <w:tabs>
          <w:tab w:val="left" w:pos="567"/>
        </w:tabs>
        <w:rPr>
          <w:b w:val="0"/>
          <w:szCs w:val="22"/>
          <w:lang w:val="en-US" w:eastAsia="en-US"/>
        </w:rPr>
      </w:pPr>
      <w:r w:rsidRPr="002F5E36">
        <w:rPr>
          <w:b w:val="0"/>
          <w:szCs w:val="22"/>
          <w:lang w:val="en-US" w:eastAsia="en-US"/>
        </w:rPr>
        <w:t>ԱԱՀ</w:t>
      </w:r>
      <w:r w:rsidRPr="00443554">
        <w:rPr>
          <w:b w:val="0"/>
          <w:szCs w:val="22"/>
          <w:lang w:val="en-US" w:eastAsia="en-US"/>
        </w:rPr>
        <w:t>-</w:t>
      </w:r>
      <w:r w:rsidRPr="002F5E36">
        <w:rPr>
          <w:b w:val="0"/>
          <w:szCs w:val="22"/>
          <w:lang w:val="en-US" w:eastAsia="en-US"/>
        </w:rPr>
        <w:t>ի</w:t>
      </w:r>
      <w:r w:rsidRPr="00443554">
        <w:rPr>
          <w:b w:val="0"/>
          <w:szCs w:val="22"/>
          <w:lang w:val="en-US" w:eastAsia="en-US"/>
        </w:rPr>
        <w:t xml:space="preserve"> </w:t>
      </w:r>
      <w:r w:rsidRPr="002F5E36">
        <w:rPr>
          <w:b w:val="0"/>
          <w:szCs w:val="22"/>
          <w:lang w:val="en-US" w:eastAsia="en-US"/>
        </w:rPr>
        <w:t>գծով</w:t>
      </w:r>
      <w:r w:rsidRPr="00443554">
        <w:rPr>
          <w:b w:val="0"/>
          <w:szCs w:val="22"/>
          <w:lang w:val="en-US" w:eastAsia="en-US"/>
        </w:rPr>
        <w:t xml:space="preserve"> </w:t>
      </w:r>
      <w:r w:rsidRPr="002F5E36">
        <w:rPr>
          <w:b w:val="0"/>
          <w:szCs w:val="22"/>
          <w:lang w:val="en-US" w:eastAsia="en-US"/>
        </w:rPr>
        <w:t>հարկային</w:t>
      </w:r>
      <w:r w:rsidRPr="00443554">
        <w:rPr>
          <w:b w:val="0"/>
          <w:szCs w:val="22"/>
          <w:lang w:val="en-US" w:eastAsia="en-US"/>
        </w:rPr>
        <w:t xml:space="preserve"> </w:t>
      </w:r>
      <w:r w:rsidRPr="002F5E36">
        <w:rPr>
          <w:b w:val="0"/>
          <w:szCs w:val="22"/>
          <w:lang w:val="en-US" w:eastAsia="en-US"/>
        </w:rPr>
        <w:t>ծախսերը</w:t>
      </w:r>
      <w:r w:rsidRPr="00443554">
        <w:rPr>
          <w:b w:val="0"/>
          <w:szCs w:val="22"/>
          <w:lang w:val="en-US" w:eastAsia="en-US"/>
        </w:rPr>
        <w:t xml:space="preserve"> </w:t>
      </w:r>
      <w:r w:rsidRPr="002F5E36">
        <w:rPr>
          <w:b w:val="0"/>
          <w:szCs w:val="22"/>
          <w:lang w:val="en-US" w:eastAsia="en-US"/>
        </w:rPr>
        <w:t>գնահատվել</w:t>
      </w:r>
      <w:r w:rsidRPr="00443554">
        <w:rPr>
          <w:b w:val="0"/>
          <w:szCs w:val="22"/>
          <w:lang w:val="en-US" w:eastAsia="en-US"/>
        </w:rPr>
        <w:t xml:space="preserve"> </w:t>
      </w:r>
      <w:r w:rsidRPr="002F5E36">
        <w:rPr>
          <w:b w:val="0"/>
          <w:szCs w:val="22"/>
          <w:lang w:val="en-US" w:eastAsia="en-US"/>
        </w:rPr>
        <w:t>են</w:t>
      </w:r>
      <w:r w:rsidRPr="00443554">
        <w:rPr>
          <w:b w:val="0"/>
          <w:szCs w:val="22"/>
          <w:lang w:val="en-US" w:eastAsia="en-US"/>
        </w:rPr>
        <w:t xml:space="preserve"> </w:t>
      </w:r>
      <w:r w:rsidRPr="002F5E36">
        <w:rPr>
          <w:b w:val="0"/>
          <w:szCs w:val="22"/>
          <w:lang w:val="en-US" w:eastAsia="en-US"/>
        </w:rPr>
        <w:t>հետևյալ</w:t>
      </w:r>
      <w:r w:rsidRPr="00443554">
        <w:rPr>
          <w:b w:val="0"/>
          <w:szCs w:val="22"/>
          <w:lang w:val="en-US" w:eastAsia="en-US"/>
        </w:rPr>
        <w:t xml:space="preserve"> </w:t>
      </w:r>
      <w:r w:rsidRPr="002F5E36">
        <w:rPr>
          <w:b w:val="0"/>
          <w:szCs w:val="22"/>
          <w:lang w:val="en-US" w:eastAsia="en-US"/>
        </w:rPr>
        <w:t>հիմնական</w:t>
      </w:r>
      <w:r w:rsidRPr="00443554">
        <w:rPr>
          <w:b w:val="0"/>
          <w:szCs w:val="22"/>
          <w:lang w:val="en-US" w:eastAsia="en-US"/>
        </w:rPr>
        <w:t xml:space="preserve"> </w:t>
      </w:r>
      <w:r w:rsidRPr="002F5E36">
        <w:rPr>
          <w:b w:val="0"/>
          <w:szCs w:val="22"/>
          <w:lang w:val="en-US" w:eastAsia="en-US"/>
        </w:rPr>
        <w:t>ուղղություններով</w:t>
      </w:r>
      <w:r w:rsidRPr="00443554">
        <w:rPr>
          <w:b w:val="0"/>
          <w:szCs w:val="22"/>
          <w:lang w:val="en-US" w:eastAsia="en-US"/>
        </w:rPr>
        <w:t>.</w:t>
      </w:r>
    </w:p>
    <w:p w14:paraId="1ACA273B" w14:textId="77777777" w:rsidR="002F5E36" w:rsidRPr="002F5E36" w:rsidRDefault="002F5E36" w:rsidP="00544A8E">
      <w:pPr>
        <w:numPr>
          <w:ilvl w:val="0"/>
          <w:numId w:val="22"/>
        </w:numPr>
        <w:tabs>
          <w:tab w:val="left" w:pos="567"/>
        </w:tabs>
        <w:ind w:left="0" w:firstLine="0"/>
        <w:rPr>
          <w:b w:val="0"/>
          <w:szCs w:val="22"/>
          <w:lang w:val="en-US" w:eastAsia="en-US"/>
        </w:rPr>
      </w:pPr>
      <w:r w:rsidRPr="002F5E36">
        <w:rPr>
          <w:b w:val="0"/>
          <w:szCs w:val="22"/>
          <w:lang w:val="en-US" w:eastAsia="en-US"/>
        </w:rPr>
        <w:t>գյուղատնտեսություն,</w:t>
      </w:r>
    </w:p>
    <w:p w14:paraId="584FBC21" w14:textId="77777777" w:rsidR="002F5E36" w:rsidRPr="002F5E36" w:rsidRDefault="002F5E36" w:rsidP="00544A8E">
      <w:pPr>
        <w:numPr>
          <w:ilvl w:val="0"/>
          <w:numId w:val="22"/>
        </w:numPr>
        <w:tabs>
          <w:tab w:val="left" w:pos="567"/>
        </w:tabs>
        <w:ind w:left="0" w:firstLine="0"/>
        <w:rPr>
          <w:b w:val="0"/>
          <w:szCs w:val="22"/>
          <w:lang w:val="en-US" w:eastAsia="en-US"/>
        </w:rPr>
      </w:pPr>
      <w:r w:rsidRPr="002F5E36">
        <w:rPr>
          <w:b w:val="0"/>
          <w:szCs w:val="22"/>
          <w:lang w:val="en-US" w:eastAsia="en-US"/>
        </w:rPr>
        <w:t>առողջապահություն,</w:t>
      </w:r>
    </w:p>
    <w:p w14:paraId="05F11296" w14:textId="77777777" w:rsidR="002F5E36" w:rsidRPr="002F5E36" w:rsidRDefault="002F5E36" w:rsidP="00544A8E">
      <w:pPr>
        <w:numPr>
          <w:ilvl w:val="0"/>
          <w:numId w:val="22"/>
        </w:numPr>
        <w:tabs>
          <w:tab w:val="left" w:pos="567"/>
        </w:tabs>
        <w:ind w:left="0" w:firstLine="0"/>
        <w:rPr>
          <w:b w:val="0"/>
          <w:szCs w:val="22"/>
          <w:lang w:val="en-US" w:eastAsia="en-US"/>
        </w:rPr>
      </w:pPr>
      <w:r w:rsidRPr="002F5E36">
        <w:rPr>
          <w:b w:val="0"/>
          <w:szCs w:val="22"/>
          <w:lang w:val="en-US" w:eastAsia="en-US"/>
        </w:rPr>
        <w:t>կրթություն,</w:t>
      </w:r>
    </w:p>
    <w:p w14:paraId="0C62BABE" w14:textId="77777777" w:rsidR="002F5E36" w:rsidRPr="002F5E36" w:rsidRDefault="002F5E36" w:rsidP="00544A8E">
      <w:pPr>
        <w:numPr>
          <w:ilvl w:val="0"/>
          <w:numId w:val="22"/>
        </w:numPr>
        <w:tabs>
          <w:tab w:val="left" w:pos="567"/>
        </w:tabs>
        <w:ind w:left="0" w:firstLine="0"/>
        <w:rPr>
          <w:b w:val="0"/>
          <w:szCs w:val="22"/>
          <w:lang w:val="en-US" w:eastAsia="en-US"/>
        </w:rPr>
      </w:pPr>
      <w:r w:rsidRPr="002F5E36">
        <w:rPr>
          <w:b w:val="0"/>
          <w:szCs w:val="22"/>
          <w:lang w:val="en-US" w:eastAsia="en-US"/>
        </w:rPr>
        <w:t>ֆինանսներ և ապահովագրություն,</w:t>
      </w:r>
    </w:p>
    <w:p w14:paraId="42A2D1FB"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t>խաղատների գործունեություն, շահումով խաղերի (այդ թվում՝ ինտերնետ շահումով խաղերի), տոտալիզատորի և ինտերնետ տոտալիզատորի կազմակերպում,</w:t>
      </w:r>
    </w:p>
    <w:p w14:paraId="7B5E648B"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t>ոսկու և թանկարժեք քարերի իրացում,</w:t>
      </w:r>
    </w:p>
    <w:p w14:paraId="6F442AF2"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t>մարդասիրական օգնություն,</w:t>
      </w:r>
    </w:p>
    <w:p w14:paraId="253068E5"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t>պարարտանյութերի իրացում,</w:t>
      </w:r>
    </w:p>
    <w:p w14:paraId="4D34F115"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t>ջրօգտագործողների ընկերությունների կողմից ոռոգման ջրի օտարում,</w:t>
      </w:r>
    </w:p>
    <w:p w14:paraId="03118EF2"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lastRenderedPageBreak/>
        <w:t>սուբսիդիաների, սուբվենցիաների և դրամաշնորհային ծրագրերի շրջանակներում իրականացվող` ապրանքի մատակարարում, աշխատանքի կատարում և (կամ) ծառայության մատուցում,</w:t>
      </w:r>
    </w:p>
    <w:p w14:paraId="53A584FF"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t>ազատ տնտեսական գոտու կազմակերպչին և ազատ տնտեսական գոտու շահագործողին ծառայությունների մատուցում, ազատ տնտեսական գոտու կազմակերպչի և ազատ տնտեսական գոտու շահագործողի համար աշխատանքների կատարում, ազատ տնտեսական գոտու տարածքում ապրանքների մատակարարում,</w:t>
      </w:r>
    </w:p>
    <w:p w14:paraId="0FEC157D"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hy-AM" w:eastAsia="en-US"/>
        </w:rPr>
        <w:t xml:space="preserve">օրենսգրքով սահմանված </w:t>
      </w:r>
      <w:r w:rsidRPr="002F5E36">
        <w:rPr>
          <w:b w:val="0"/>
          <w:szCs w:val="22"/>
          <w:lang w:val="en-US" w:eastAsia="en-US"/>
        </w:rPr>
        <w:t>վերը չնշված այլ արտոնություններ</w:t>
      </w:r>
      <w:r w:rsidRPr="002F5E36">
        <w:rPr>
          <w:b w:val="0"/>
          <w:szCs w:val="22"/>
          <w:lang w:val="hy-AM" w:eastAsia="en-US"/>
        </w:rPr>
        <w:t>,</w:t>
      </w:r>
    </w:p>
    <w:p w14:paraId="6F0127A3" w14:textId="77777777" w:rsidR="002F5E36" w:rsidRPr="002F5E36" w:rsidRDefault="002F5E36" w:rsidP="00544A8E">
      <w:pPr>
        <w:numPr>
          <w:ilvl w:val="0"/>
          <w:numId w:val="22"/>
        </w:numPr>
        <w:tabs>
          <w:tab w:val="left" w:pos="567"/>
          <w:tab w:val="left" w:pos="851"/>
        </w:tabs>
        <w:ind w:left="0" w:firstLine="0"/>
        <w:rPr>
          <w:b w:val="0"/>
          <w:szCs w:val="22"/>
          <w:lang w:val="en-US" w:eastAsia="en-US"/>
        </w:rPr>
      </w:pPr>
      <w:r w:rsidRPr="002F5E36">
        <w:rPr>
          <w:b w:val="0"/>
          <w:szCs w:val="22"/>
          <w:lang w:val="en-US" w:eastAsia="en-US"/>
        </w:rPr>
        <w:t>այլ օրենքներով տրված արտոնություններ</w:t>
      </w:r>
      <w:r w:rsidRPr="002F5E36">
        <w:rPr>
          <w:b w:val="0"/>
          <w:szCs w:val="22"/>
          <w:lang w:val="hy-AM" w:eastAsia="en-US"/>
        </w:rPr>
        <w:t>:</w:t>
      </w:r>
    </w:p>
    <w:p w14:paraId="1A5A8025" w14:textId="77777777" w:rsidR="002F5E36" w:rsidRPr="002F5E36" w:rsidRDefault="002F5E36" w:rsidP="00544A8E">
      <w:pPr>
        <w:rPr>
          <w:b w:val="0"/>
          <w:szCs w:val="22"/>
          <w:lang w:val="en-US" w:eastAsia="en-US"/>
        </w:rPr>
      </w:pPr>
      <w:r w:rsidRPr="002F5E36">
        <w:rPr>
          <w:b w:val="0"/>
          <w:szCs w:val="22"/>
          <w:lang w:val="en-US" w:eastAsia="en-US"/>
        </w:rPr>
        <w:t>ՀՀ ՎԿ տվյալների բազայից որոշվել են 202</w:t>
      </w:r>
      <w:r w:rsidRPr="002F5E36">
        <w:rPr>
          <w:b w:val="0"/>
          <w:szCs w:val="22"/>
          <w:lang w:val="hy-AM" w:eastAsia="en-US"/>
        </w:rPr>
        <w:t>2</w:t>
      </w:r>
      <w:r w:rsidRPr="002F5E36">
        <w:rPr>
          <w:b w:val="0"/>
          <w:szCs w:val="22"/>
          <w:lang w:val="en-US" w:eastAsia="en-US"/>
        </w:rPr>
        <w:t xml:space="preserve"> թվականի համար տնտեսության յուրաքանչյուր ոլորտի ավելացված արժեքները, որոնք նախապես ճշգրտվել են ֆինանսական միջնորդությունների անուղղակի չափվող ծառայությունների արժեքի չափով:</w:t>
      </w:r>
    </w:p>
    <w:p w14:paraId="1CF2BC86" w14:textId="77777777" w:rsidR="002F5E36" w:rsidRPr="002F5E36" w:rsidRDefault="002F5E36" w:rsidP="00544A8E">
      <w:pPr>
        <w:rPr>
          <w:b w:val="0"/>
          <w:szCs w:val="22"/>
          <w:lang w:val="en-US" w:eastAsia="en-US"/>
        </w:rPr>
      </w:pPr>
      <w:r w:rsidRPr="002F5E36">
        <w:rPr>
          <w:b w:val="0"/>
          <w:szCs w:val="22"/>
          <w:lang w:val="en-US" w:eastAsia="en-US"/>
        </w:rPr>
        <w:t>Տնտեսության յուրաքանչյուր ոլորտի ավելացված արժեքները նվազեցվել են չդիտարկվող (չհաշվառվող) տնտեսության ավելացված արժեքների մասնաբաժնի չափով:</w:t>
      </w:r>
    </w:p>
    <w:p w14:paraId="2737132F" w14:textId="77777777" w:rsidR="002F5E36" w:rsidRPr="002F5E36" w:rsidRDefault="002F5E36" w:rsidP="00544A8E">
      <w:pPr>
        <w:rPr>
          <w:b w:val="0"/>
          <w:szCs w:val="22"/>
          <w:lang w:val="en-US" w:eastAsia="en-US"/>
        </w:rPr>
      </w:pPr>
      <w:r w:rsidRPr="002F5E36">
        <w:rPr>
          <w:b w:val="0"/>
          <w:szCs w:val="22"/>
          <w:lang w:val="en-US" w:eastAsia="en-US"/>
        </w:rPr>
        <w:t xml:space="preserve">Տնտեսության արտահանելի ճյուղերի ավելացված արժեքները նվազեցվել են արտահանման արժեքների չափով` արտահանմանն ուղղված ճյուղերի (գյուղատնտեսություն, հանքարդյունաբերություն, մշակող արդյունաբերություն, էլեկտրաէներգետիկա, </w:t>
      </w:r>
      <w:r w:rsidRPr="002F5E36">
        <w:rPr>
          <w:b w:val="0"/>
          <w:szCs w:val="22"/>
          <w:lang w:val="hy-AM" w:eastAsia="en-US"/>
        </w:rPr>
        <w:t xml:space="preserve">առևտուր, </w:t>
      </w:r>
      <w:r w:rsidRPr="002F5E36">
        <w:rPr>
          <w:b w:val="0"/>
          <w:szCs w:val="22"/>
          <w:lang w:val="en-US" w:eastAsia="en-US"/>
        </w:rPr>
        <w:t>փոխադրումներ և պահեստային տնտեսություն, տեղեկատվություն և կապ)` ընդհանուր ավելացված արժեքի մեջ ունեցած տեսակարար կշիռներին համապատասխան:</w:t>
      </w:r>
    </w:p>
    <w:p w14:paraId="06E7B5E3" w14:textId="77777777" w:rsidR="002F5E36" w:rsidRPr="002F5E36" w:rsidRDefault="002F5E36" w:rsidP="00544A8E">
      <w:pPr>
        <w:rPr>
          <w:b w:val="0"/>
          <w:szCs w:val="22"/>
          <w:lang w:val="en-US" w:eastAsia="en-US"/>
        </w:rPr>
      </w:pPr>
      <w:r w:rsidRPr="002F5E36">
        <w:rPr>
          <w:b w:val="0"/>
          <w:szCs w:val="22"/>
          <w:lang w:val="en-US" w:eastAsia="en-US"/>
        </w:rPr>
        <w:t>Գյուղատնտեսության ոլորտի ստացված արդյունքը ճշգրտվել է գյուղատնտեսության մասնաբաժնում ապրանքայնության մակարդակով (ապրանքայնության մակարդակը ցույց է տալիս գյուղատնտեսական արտադրանքի այն մասը, որը գնացել է իրացման կամ այլ ձևով օտարման կամ ապրանքափոխանակման):</w:t>
      </w:r>
    </w:p>
    <w:p w14:paraId="023987B5" w14:textId="77777777" w:rsidR="002F5E36" w:rsidRPr="002F5E36" w:rsidRDefault="002F5E36" w:rsidP="00544A8E">
      <w:pPr>
        <w:rPr>
          <w:b w:val="0"/>
          <w:szCs w:val="22"/>
          <w:lang w:val="en-US" w:eastAsia="en-US"/>
        </w:rPr>
      </w:pPr>
      <w:r w:rsidRPr="002F5E36">
        <w:rPr>
          <w:b w:val="0"/>
          <w:szCs w:val="22"/>
          <w:lang w:val="en-US" w:eastAsia="en-US"/>
        </w:rPr>
        <w:t>Այնուհետև ստացված բազայի նկատմամբ կիրառվել է ԱԱՀ-ի 20% դրույքաչափը և հաշվարկվել է ԱԱՀ-ի գծով եկամտային ներուժը: Ստացված արդյունքը ճշգրտվել է 202</w:t>
      </w:r>
      <w:r w:rsidRPr="002F5E36">
        <w:rPr>
          <w:b w:val="0"/>
          <w:szCs w:val="22"/>
          <w:lang w:val="hy-AM" w:eastAsia="en-US"/>
        </w:rPr>
        <w:t>4</w:t>
      </w:r>
      <w:r w:rsidRPr="002F5E36">
        <w:rPr>
          <w:b w:val="0"/>
          <w:szCs w:val="22"/>
          <w:lang w:val="en-US" w:eastAsia="en-US"/>
        </w:rPr>
        <w:t xml:space="preserve"> թվականի տնտեսության ճյուղերի կանխատեսվող ծավալների աճով:</w:t>
      </w:r>
    </w:p>
    <w:p w14:paraId="7417CDBE" w14:textId="77777777" w:rsidR="002F5E36" w:rsidRPr="002F5E36" w:rsidRDefault="002F5E36" w:rsidP="00544A8E">
      <w:pPr>
        <w:rPr>
          <w:b w:val="0"/>
          <w:szCs w:val="22"/>
          <w:lang w:val="en-US" w:eastAsia="en-US"/>
        </w:rPr>
      </w:pPr>
      <w:r w:rsidRPr="002F5E36">
        <w:rPr>
          <w:b w:val="0"/>
          <w:szCs w:val="22"/>
          <w:lang w:val="en-US" w:eastAsia="en-US"/>
        </w:rPr>
        <w:t xml:space="preserve">Ստացված արդյունքների հիման վրա առանձնացվել են գյուղատնտեսության, կրթության, առողջապահության, ֆինանսական և ապահովագրության ոլորտների համապատասխան ԱԱՀ-ի մասնաբաժինները, որոնք իրենցից ներկայացնում են այդ ոլորտների համար ԱԱՀ-ի գծով հարկային ծախսերը: </w:t>
      </w:r>
    </w:p>
    <w:p w14:paraId="503CEB8F" w14:textId="77777777" w:rsidR="002F5E36" w:rsidRPr="002F5E36" w:rsidRDefault="002F5E36" w:rsidP="00544A8E">
      <w:pPr>
        <w:rPr>
          <w:b w:val="0"/>
          <w:szCs w:val="22"/>
          <w:lang w:val="en-US" w:eastAsia="en-US"/>
        </w:rPr>
      </w:pPr>
      <w:r w:rsidRPr="002F5E36">
        <w:rPr>
          <w:b w:val="0"/>
          <w:szCs w:val="22"/>
          <w:lang w:val="en-US" w:eastAsia="en-US"/>
        </w:rPr>
        <w:t>Միաժամանակ, ԱԱՀ-ի հաշվարկներից արտածվել են խաղատների, շահումով խաղերի (այդ թվում՝ ինտերնետ շահումով խաղերի), տոտալիզատորի և ինտերնետ տոտալիզատորի կազմակերպ</w:t>
      </w:r>
      <w:r w:rsidRPr="002F5E36">
        <w:rPr>
          <w:b w:val="0"/>
          <w:szCs w:val="22"/>
          <w:lang w:val="hy-AM" w:eastAsia="en-US"/>
        </w:rPr>
        <w:t>ման</w:t>
      </w:r>
      <w:r w:rsidRPr="002F5E36">
        <w:rPr>
          <w:b w:val="0"/>
          <w:szCs w:val="22"/>
          <w:lang w:val="en-US" w:eastAsia="en-US"/>
        </w:rPr>
        <w:t xml:space="preserve">, ոսկու և թանկարժեք քարերի իրացման, մարդասիրական օգնության, պարարտանյութերի իրացման, ջրօգտագործողների ընկերությունների կողմից ոռոգման ջրի օտարում, սուբսիդիաների, սուբվենցիաների և դրամաշնորհային ծրագրերի շրջանակներում իրականացվող` ապրանքի մատակարարում, աշխատանքի կատարում և (կամ) ծառայության մատուցում, ազատ տնտեսական գոտու կազմակերպչին և ազատ տնտեսական գոտու շահագործողին ծառայությունների մատուցում, ազատ տնտեսական գոտու կազմակերպչի և ազատ տնտեսական գոտու շահագործողի համար աշխատանքների կատարում, ազատ </w:t>
      </w:r>
      <w:r w:rsidRPr="002F5E36">
        <w:rPr>
          <w:b w:val="0"/>
          <w:szCs w:val="22"/>
          <w:lang w:val="en-US" w:eastAsia="en-US"/>
        </w:rPr>
        <w:lastRenderedPageBreak/>
        <w:t>տնտեսական գոտու տարածքում ապրանքների մատակարարում և այլ օրենքներով տրված ԱԱՀ-ից ազատման արտոնությունների մասով շրջանառությունները, որոնց նկատմամբ կիարառելով համապատասխան գործունեության տեսակների ավելացված արժեք/թողարկում հարաբերակցության ցուցանիշը, այնուհետև՝ ԱԱՀ-ի 20% դրույքաչափը, հաշվարկվել է նշված գործունեության տեսակների համար ԱԱՀ-ի գծով եկամտային ներուժը: Ստացված արդյունքը ճշգրտվել է 202</w:t>
      </w:r>
      <w:r w:rsidRPr="002F5E36">
        <w:rPr>
          <w:b w:val="0"/>
          <w:szCs w:val="22"/>
          <w:lang w:val="hy-AM" w:eastAsia="en-US"/>
        </w:rPr>
        <w:t>4</w:t>
      </w:r>
      <w:r w:rsidRPr="002F5E36">
        <w:rPr>
          <w:b w:val="0"/>
          <w:szCs w:val="22"/>
          <w:lang w:val="en-US" w:eastAsia="en-US"/>
        </w:rPr>
        <w:t xml:space="preserve"> թվականի նշված գործունեության տեսակների կանխատեսվող ծավալների աճով: </w:t>
      </w:r>
    </w:p>
    <w:p w14:paraId="4C25AF54" w14:textId="77777777" w:rsidR="002F5E36" w:rsidRPr="002F5E36" w:rsidRDefault="002F5E36" w:rsidP="00544A8E">
      <w:pPr>
        <w:rPr>
          <w:b w:val="0"/>
          <w:szCs w:val="22"/>
          <w:lang w:val="en-US" w:eastAsia="en-US"/>
        </w:rPr>
      </w:pPr>
      <w:r w:rsidRPr="002F5E36">
        <w:rPr>
          <w:b w:val="0"/>
          <w:szCs w:val="22"/>
          <w:lang w:val="en-US" w:eastAsia="en-US"/>
        </w:rPr>
        <w:t xml:space="preserve">Բացի այդ, որոշվել են ԱԱՀ-ի գծով վերը չնշված այլ հարկային ծախսերը` որպես ԱԱՀ-ի գծով եկամտային ներուժի և ներքին տնտեսությունից փաստացի հավաքագրված ԱԱՀ-ի, վերոնշյալ ոլորտների, գործունեության տեսակների, ԱԱՀ-ի շեմի ու միկրոբիզնեսի գծով գնահատված` ԱԱՀ-ի հարկային ծախսերի հանրագումարի տարբերություն: </w:t>
      </w:r>
    </w:p>
    <w:p w14:paraId="5CC4164F" w14:textId="77777777" w:rsidR="002F5E36" w:rsidRPr="002F5E36" w:rsidRDefault="002F5E36" w:rsidP="00544A8E">
      <w:pPr>
        <w:rPr>
          <w:b w:val="0"/>
          <w:szCs w:val="22"/>
          <w:lang w:val="en-US" w:eastAsia="en-US"/>
        </w:rPr>
      </w:pPr>
    </w:p>
    <w:p w14:paraId="6998CB02" w14:textId="77777777" w:rsidR="002F5E36" w:rsidRPr="002F5E36" w:rsidRDefault="002F5E36" w:rsidP="00544A8E">
      <w:pPr>
        <w:numPr>
          <w:ilvl w:val="0"/>
          <w:numId w:val="23"/>
        </w:numPr>
        <w:tabs>
          <w:tab w:val="left" w:pos="851"/>
        </w:tabs>
        <w:ind w:left="0" w:firstLine="0"/>
        <w:rPr>
          <w:i/>
          <w:szCs w:val="22"/>
          <w:lang w:val="en-US" w:eastAsia="en-US"/>
        </w:rPr>
      </w:pPr>
      <w:r w:rsidRPr="002F5E36">
        <w:rPr>
          <w:rFonts w:cs="Sylfaen"/>
          <w:i/>
          <w:szCs w:val="22"/>
          <w:lang w:val="en-US" w:eastAsia="en-US"/>
        </w:rPr>
        <w:t>Շահութահարկի</w:t>
      </w:r>
      <w:r w:rsidRPr="002F5E36">
        <w:rPr>
          <w:i/>
          <w:szCs w:val="22"/>
          <w:lang w:val="en-US" w:eastAsia="en-US"/>
        </w:rPr>
        <w:t xml:space="preserve"> գծով հարկային ծախսեր.</w:t>
      </w:r>
    </w:p>
    <w:p w14:paraId="25B104AA" w14:textId="77777777" w:rsidR="002F5E36" w:rsidRPr="002F5E36" w:rsidRDefault="002F5E36" w:rsidP="00544A8E">
      <w:pPr>
        <w:rPr>
          <w:b w:val="0"/>
          <w:szCs w:val="22"/>
          <w:lang w:val="hy-AM" w:eastAsia="en-US"/>
        </w:rPr>
      </w:pPr>
      <w:r w:rsidRPr="002F5E36">
        <w:rPr>
          <w:b w:val="0"/>
          <w:szCs w:val="22"/>
          <w:lang w:val="en-US" w:eastAsia="en-US"/>
        </w:rPr>
        <w:t>Շահութահարկի գծով հարկային ծախսերի գնահատականը ներառում է գյուղատնտեսության արտոնությունները, շահութահարկի նվազեցման արտոնությունները, ՏՏ ոլորտի արտոնությունները,</w:t>
      </w:r>
      <w:r w:rsidR="008A2D37" w:rsidRPr="008A2D37">
        <w:rPr>
          <w:b w:val="0"/>
          <w:szCs w:val="22"/>
          <w:lang w:val="en-US" w:eastAsia="en-US"/>
        </w:rPr>
        <w:t xml:space="preserve"> </w:t>
      </w:r>
      <w:r w:rsidRPr="002F5E36">
        <w:rPr>
          <w:b w:val="0"/>
          <w:szCs w:val="22"/>
          <w:lang w:val="en-US" w:eastAsia="en-US"/>
        </w:rPr>
        <w:t>ինչպես նաև շահութահարկի հաշվարկներով արտացոլված հարկվող շահույթի նվազեցման արտոնությունները, բացառությամբ՝ գյուղատնտեսության արտոնությունների</w:t>
      </w:r>
      <w:r w:rsidRPr="002F5E36">
        <w:rPr>
          <w:b w:val="0"/>
          <w:szCs w:val="22"/>
          <w:lang w:val="hy-AM" w:eastAsia="en-US"/>
        </w:rPr>
        <w:t>:</w:t>
      </w:r>
      <w:r w:rsidRPr="002F5E36">
        <w:rPr>
          <w:b w:val="0"/>
          <w:szCs w:val="22"/>
          <w:lang w:val="en-US" w:eastAsia="en-US"/>
        </w:rPr>
        <w:t xml:space="preserve"> </w:t>
      </w:r>
      <w:r w:rsidRPr="002F5E36">
        <w:rPr>
          <w:b w:val="0"/>
          <w:szCs w:val="22"/>
          <w:lang w:val="hy-AM" w:eastAsia="en-US"/>
        </w:rPr>
        <w:t>Միաժամանակ, առանձին գնահատվել են միկրոբիզնեսի և ԱԱՀ-ի շեմի գծով հարկային ծախսերը</w:t>
      </w:r>
      <w:r w:rsidRPr="002F5E36">
        <w:rPr>
          <w:b w:val="0"/>
          <w:szCs w:val="22"/>
          <w:lang w:val="en-US" w:eastAsia="en-US"/>
        </w:rPr>
        <w:t>:</w:t>
      </w:r>
    </w:p>
    <w:p w14:paraId="130CA7AE" w14:textId="77777777" w:rsidR="002F5E36" w:rsidRPr="002F5E36" w:rsidRDefault="002F5E36" w:rsidP="00544A8E">
      <w:pPr>
        <w:rPr>
          <w:b w:val="0"/>
          <w:szCs w:val="22"/>
          <w:lang w:val="hy-AM" w:eastAsia="en-US"/>
        </w:rPr>
      </w:pPr>
    </w:p>
    <w:p w14:paraId="67898158" w14:textId="77777777" w:rsidR="002F5E36" w:rsidRPr="00443554" w:rsidRDefault="002F5E36" w:rsidP="00544A8E">
      <w:pPr>
        <w:rPr>
          <w:szCs w:val="22"/>
          <w:lang w:val="hy-AM" w:eastAsia="en-US"/>
        </w:rPr>
      </w:pPr>
      <w:r w:rsidRPr="00443554">
        <w:rPr>
          <w:szCs w:val="22"/>
          <w:lang w:val="hy-AM" w:eastAsia="en-US"/>
        </w:rPr>
        <w:t>Գյուղատնտեսություն.</w:t>
      </w:r>
    </w:p>
    <w:p w14:paraId="21340395" w14:textId="77777777" w:rsidR="002F5E36" w:rsidRPr="00443554" w:rsidRDefault="002F5E36" w:rsidP="00544A8E">
      <w:pPr>
        <w:rPr>
          <w:b w:val="0"/>
          <w:szCs w:val="22"/>
          <w:lang w:val="hy-AM" w:eastAsia="en-US"/>
        </w:rPr>
      </w:pPr>
      <w:r w:rsidRPr="00443554">
        <w:rPr>
          <w:b w:val="0"/>
          <w:szCs w:val="22"/>
          <w:lang w:val="hy-AM" w:eastAsia="en-US"/>
        </w:rPr>
        <w:t>Որոշվել են 202</w:t>
      </w:r>
      <w:r w:rsidRPr="002F5E36">
        <w:rPr>
          <w:b w:val="0"/>
          <w:szCs w:val="22"/>
          <w:lang w:val="hy-AM" w:eastAsia="en-US"/>
        </w:rPr>
        <w:t>2</w:t>
      </w:r>
      <w:r w:rsidRPr="00443554">
        <w:rPr>
          <w:b w:val="0"/>
          <w:szCs w:val="22"/>
          <w:lang w:val="hy-AM" w:eastAsia="en-US"/>
        </w:rPr>
        <w:t xml:space="preserve"> թվականի համար գյուղատնտեսության ոլորտի զուտ շահույթը և զուտ խառը եկամուտները` հիմք ընդունելով եկամուտների ձևավորման եղանակով 202</w:t>
      </w:r>
      <w:r w:rsidRPr="002F5E36">
        <w:rPr>
          <w:b w:val="0"/>
          <w:szCs w:val="22"/>
          <w:lang w:val="hy-AM" w:eastAsia="en-US"/>
        </w:rPr>
        <w:t>1</w:t>
      </w:r>
      <w:r w:rsidRPr="00443554">
        <w:rPr>
          <w:b w:val="0"/>
          <w:szCs w:val="22"/>
          <w:lang w:val="hy-AM" w:eastAsia="en-US"/>
        </w:rPr>
        <w:t xml:space="preserve"> թվականի համար հաշվարկված գյուղատնտեսության ոլորտի զուտ շահույթը և զուտ խառը եկամուտները, որոնց նկատմամբ կիրառվել է գյուղատնտեսության ոլորտի 202</w:t>
      </w:r>
      <w:r w:rsidRPr="002F5E36">
        <w:rPr>
          <w:b w:val="0"/>
          <w:szCs w:val="22"/>
          <w:lang w:val="hy-AM" w:eastAsia="en-US"/>
        </w:rPr>
        <w:t>2</w:t>
      </w:r>
      <w:r w:rsidRPr="00443554">
        <w:rPr>
          <w:b w:val="0"/>
          <w:szCs w:val="22"/>
          <w:lang w:val="hy-AM" w:eastAsia="en-US"/>
        </w:rPr>
        <w:t xml:space="preserve"> թվականի` արտադրական եղանակով որոշված ավելացված արժեքների աճի տեմպը:</w:t>
      </w:r>
    </w:p>
    <w:p w14:paraId="637A3335" w14:textId="77777777" w:rsidR="002F5E36" w:rsidRPr="00443554" w:rsidRDefault="002F5E36" w:rsidP="00544A8E">
      <w:pPr>
        <w:rPr>
          <w:b w:val="0"/>
          <w:szCs w:val="22"/>
          <w:lang w:val="hy-AM" w:eastAsia="en-US"/>
        </w:rPr>
      </w:pPr>
      <w:r w:rsidRPr="00443554">
        <w:rPr>
          <w:b w:val="0"/>
          <w:szCs w:val="22"/>
          <w:lang w:val="hy-AM" w:eastAsia="en-US"/>
        </w:rPr>
        <w:t>Ստացված արդյունքը ճշգրտվել է գյուղատնտեսության մասնաբաժնում չդիտարկվող (չհաշվառվող) տնտեսության և ապրանքայնության մակարդակով:</w:t>
      </w:r>
    </w:p>
    <w:p w14:paraId="620B6E6A" w14:textId="77777777" w:rsidR="002F5E36" w:rsidRPr="00443554" w:rsidRDefault="002F5E36" w:rsidP="00544A8E">
      <w:pPr>
        <w:rPr>
          <w:b w:val="0"/>
          <w:szCs w:val="22"/>
          <w:lang w:val="hy-AM" w:eastAsia="en-US"/>
        </w:rPr>
      </w:pPr>
      <w:r w:rsidRPr="00443554">
        <w:rPr>
          <w:b w:val="0"/>
          <w:szCs w:val="22"/>
          <w:lang w:val="hy-AM" w:eastAsia="en-US"/>
        </w:rPr>
        <w:t>Այնուհետև որոշվել է ստացված արդյունքի մեջ առևտրային կազմակերպությունների և անհատ ձեռնարկատերերի մասնաբաժինը` համաձայն ՀՀ ՎԿ տվյալների: Այնուհետև կիրառվել է շահութահարկի 18% դրույքաչափը և հաշվարկվել է շահութահարկի գծով եկամտային ներուժը: Ստացված արդյունքը ճշգրտվել է 202</w:t>
      </w:r>
      <w:r w:rsidRPr="002F5E36">
        <w:rPr>
          <w:b w:val="0"/>
          <w:szCs w:val="22"/>
          <w:lang w:val="hy-AM" w:eastAsia="en-US"/>
        </w:rPr>
        <w:t>4</w:t>
      </w:r>
      <w:r w:rsidRPr="00443554">
        <w:rPr>
          <w:b w:val="0"/>
          <w:szCs w:val="22"/>
          <w:lang w:val="hy-AM" w:eastAsia="en-US"/>
        </w:rPr>
        <w:t xml:space="preserve"> թվականի գյուղատնտեսության ճյուղի կանխատեսվող ծավալների աճով:</w:t>
      </w:r>
    </w:p>
    <w:p w14:paraId="6B97C381" w14:textId="77777777" w:rsidR="002F5E36" w:rsidRPr="00443554" w:rsidRDefault="002F5E36" w:rsidP="00544A8E">
      <w:pPr>
        <w:rPr>
          <w:szCs w:val="22"/>
          <w:lang w:val="hy-AM" w:eastAsia="en-US"/>
        </w:rPr>
      </w:pPr>
    </w:p>
    <w:p w14:paraId="38341464" w14:textId="77777777" w:rsidR="002F5E36" w:rsidRPr="00443554" w:rsidRDefault="002F5E36" w:rsidP="00544A8E">
      <w:pPr>
        <w:rPr>
          <w:szCs w:val="22"/>
          <w:lang w:val="hy-AM" w:eastAsia="en-US"/>
        </w:rPr>
      </w:pPr>
      <w:r w:rsidRPr="00443554">
        <w:rPr>
          <w:szCs w:val="22"/>
          <w:lang w:val="hy-AM" w:eastAsia="en-US"/>
        </w:rPr>
        <w:t>Հարկվող շահույթի նվազեցման արտոնությունները, բացառությամբ՝ գյուղատնտեսության.</w:t>
      </w:r>
    </w:p>
    <w:p w14:paraId="40FF02CA" w14:textId="77777777" w:rsidR="002F5E36" w:rsidRPr="00443554" w:rsidRDefault="002F5E36" w:rsidP="00544A8E">
      <w:pPr>
        <w:rPr>
          <w:b w:val="0"/>
          <w:szCs w:val="22"/>
          <w:lang w:val="hy-AM" w:eastAsia="en-US"/>
        </w:rPr>
      </w:pPr>
      <w:r w:rsidRPr="00443554">
        <w:rPr>
          <w:b w:val="0"/>
          <w:szCs w:val="22"/>
          <w:lang w:val="hy-AM" w:eastAsia="en-US"/>
        </w:rPr>
        <w:t xml:space="preserve">Շահութահարկի հաշվարկներից արտածվել են հարկվող շահույթի նվազեցման արտոնությունները, բացառությամբ՝ գյուղատնտեսության արտոնությունների, որոնց նկատմամբ կիրառվել է շահութահարկի 18% դրույքաչափը՝ արդյունքում հաշվարկվել է նշված ուղղության </w:t>
      </w:r>
      <w:r w:rsidRPr="00443554">
        <w:rPr>
          <w:b w:val="0"/>
          <w:szCs w:val="22"/>
          <w:lang w:val="hy-AM" w:eastAsia="en-US"/>
        </w:rPr>
        <w:lastRenderedPageBreak/>
        <w:t>համար շահութահարկի գծով եկամտային ներուժը: Ստացված արդյունքը ճշգրտվել է 202</w:t>
      </w:r>
      <w:r w:rsidRPr="002F5E36">
        <w:rPr>
          <w:b w:val="0"/>
          <w:szCs w:val="22"/>
          <w:lang w:val="hy-AM" w:eastAsia="en-US"/>
        </w:rPr>
        <w:t>4</w:t>
      </w:r>
      <w:r w:rsidRPr="00443554">
        <w:rPr>
          <w:b w:val="0"/>
          <w:szCs w:val="22"/>
          <w:lang w:val="hy-AM" w:eastAsia="en-US"/>
        </w:rPr>
        <w:t xml:space="preserve"> թվականի նշված ուղղության կանխատեսվող ծավալների աճով:</w:t>
      </w:r>
    </w:p>
    <w:p w14:paraId="121ADDA5" w14:textId="77777777" w:rsidR="002F5E36" w:rsidRPr="00443554" w:rsidRDefault="002F5E36" w:rsidP="00544A8E">
      <w:pPr>
        <w:rPr>
          <w:b w:val="0"/>
          <w:szCs w:val="22"/>
          <w:lang w:val="hy-AM" w:eastAsia="en-US"/>
        </w:rPr>
      </w:pPr>
    </w:p>
    <w:p w14:paraId="2BB5C9C0" w14:textId="77777777" w:rsidR="002F5E36" w:rsidRPr="00443554" w:rsidRDefault="002F5E36" w:rsidP="00544A8E">
      <w:pPr>
        <w:rPr>
          <w:szCs w:val="22"/>
          <w:lang w:val="hy-AM" w:eastAsia="en-US"/>
        </w:rPr>
      </w:pPr>
      <w:r w:rsidRPr="00443554">
        <w:rPr>
          <w:szCs w:val="22"/>
          <w:lang w:val="hy-AM" w:eastAsia="en-US"/>
        </w:rPr>
        <w:t>Շահութահարկի նվազեցման արտոնությունները.</w:t>
      </w:r>
    </w:p>
    <w:p w14:paraId="7809972C" w14:textId="77777777" w:rsidR="002F5E36" w:rsidRPr="00443554" w:rsidRDefault="002F5E36" w:rsidP="00544A8E">
      <w:pPr>
        <w:rPr>
          <w:b w:val="0"/>
          <w:szCs w:val="22"/>
          <w:lang w:val="hy-AM" w:eastAsia="en-US"/>
        </w:rPr>
      </w:pPr>
      <w:r w:rsidRPr="00443554">
        <w:rPr>
          <w:b w:val="0"/>
          <w:szCs w:val="22"/>
          <w:lang w:val="hy-AM" w:eastAsia="en-US"/>
        </w:rPr>
        <w:t>Շահութահարկի հաշվարկներից արտածվել են շահութահարկի նվազեցման արտոնությունները, որն իրենից ներկայացնում է նշված ուղղության համար շահութահարկի գծով եկամտային ներուժը: Ստացված արդյունքը ճշգրտվել է 202</w:t>
      </w:r>
      <w:r w:rsidRPr="002F5E36">
        <w:rPr>
          <w:b w:val="0"/>
          <w:szCs w:val="22"/>
          <w:lang w:val="hy-AM" w:eastAsia="en-US"/>
        </w:rPr>
        <w:t>4</w:t>
      </w:r>
      <w:r w:rsidRPr="00443554">
        <w:rPr>
          <w:b w:val="0"/>
          <w:szCs w:val="22"/>
          <w:lang w:val="hy-AM" w:eastAsia="en-US"/>
        </w:rPr>
        <w:t xml:space="preserve"> թվականի նշված ուղղության կանխատեսվող ծավալների աճով:</w:t>
      </w:r>
    </w:p>
    <w:p w14:paraId="22F97DAE" w14:textId="77777777" w:rsidR="002F5E36" w:rsidRPr="002F5E36" w:rsidRDefault="002F5E36" w:rsidP="00544A8E">
      <w:pPr>
        <w:rPr>
          <w:b w:val="0"/>
          <w:szCs w:val="22"/>
          <w:lang w:val="hy-AM" w:eastAsia="en-US"/>
        </w:rPr>
      </w:pPr>
    </w:p>
    <w:p w14:paraId="58573814" w14:textId="77777777" w:rsidR="002F5E36" w:rsidRPr="002F5E36" w:rsidRDefault="002F5E36" w:rsidP="00544A8E">
      <w:pPr>
        <w:rPr>
          <w:szCs w:val="22"/>
          <w:lang w:val="hy-AM" w:eastAsia="en-US"/>
        </w:rPr>
      </w:pPr>
      <w:r w:rsidRPr="002F5E36">
        <w:rPr>
          <w:szCs w:val="22"/>
          <w:lang w:val="hy-AM" w:eastAsia="en-US"/>
        </w:rPr>
        <w:t>ՏՏ ոլորտի արտոնությունները.</w:t>
      </w:r>
    </w:p>
    <w:p w14:paraId="250F3620" w14:textId="77777777" w:rsidR="002F5E36" w:rsidRPr="002F5E36" w:rsidRDefault="002F5E36" w:rsidP="00544A8E">
      <w:pPr>
        <w:rPr>
          <w:b w:val="0"/>
          <w:szCs w:val="22"/>
          <w:lang w:val="hy-AM" w:eastAsia="en-US"/>
        </w:rPr>
      </w:pPr>
      <w:r w:rsidRPr="002F5E36">
        <w:rPr>
          <w:b w:val="0"/>
          <w:szCs w:val="22"/>
          <w:lang w:val="hy-AM" w:eastAsia="en-US"/>
        </w:rPr>
        <w:t>2022թ. ԱԱՀ-ի հաշվարկներից արտածվել են ՏՏ ոլորտի հավաստագրված հարկ վճարողների իրացման շրջանառությունները, որի նկատմամբ կիրառվել է փորձագիտական եղանակով գնաահտված ՏՏ ոլորտի համախառն եկամտի մեջ հարկվող շահույթի կշիռը և շահութահարկի 18 տոկոս դրույքաչափը, ինչն իրենից ներկայացնում է նշված ոլորտի համար շահութահարկի գծով եկամտային ներուժը: Ստացված արդյունքը ճշգրտվել է 2024 թվականի նշված ոլորտի կանխատեսվող ծավալների աճով:</w:t>
      </w:r>
    </w:p>
    <w:p w14:paraId="539C41D1" w14:textId="77777777" w:rsidR="002F5E36" w:rsidRPr="002F5E36" w:rsidRDefault="002F5E36" w:rsidP="00544A8E">
      <w:pPr>
        <w:rPr>
          <w:szCs w:val="22"/>
          <w:lang w:val="hy-AM" w:eastAsia="en-US"/>
        </w:rPr>
      </w:pPr>
    </w:p>
    <w:p w14:paraId="2C95C0C0" w14:textId="77777777" w:rsidR="002F5E36" w:rsidRPr="00443554" w:rsidRDefault="002F5E36" w:rsidP="00544A8E">
      <w:pPr>
        <w:numPr>
          <w:ilvl w:val="0"/>
          <w:numId w:val="23"/>
        </w:numPr>
        <w:tabs>
          <w:tab w:val="left" w:pos="993"/>
        </w:tabs>
        <w:ind w:left="0" w:firstLine="0"/>
        <w:rPr>
          <w:rFonts w:cs="Sylfaen"/>
          <w:i/>
          <w:szCs w:val="22"/>
          <w:lang w:val="hy-AM" w:eastAsia="en-US"/>
        </w:rPr>
      </w:pPr>
      <w:r w:rsidRPr="00443554">
        <w:rPr>
          <w:rFonts w:cs="Sylfaen"/>
          <w:i/>
          <w:szCs w:val="22"/>
          <w:lang w:val="hy-AM" w:eastAsia="en-US"/>
        </w:rPr>
        <w:t>Եկամտային հարկի գծով հարկային ծախսեր.</w:t>
      </w:r>
    </w:p>
    <w:p w14:paraId="081046B7" w14:textId="77777777" w:rsidR="002F5E36" w:rsidRDefault="002F5E36" w:rsidP="00544A8E">
      <w:pPr>
        <w:rPr>
          <w:b w:val="0"/>
          <w:szCs w:val="22"/>
          <w:lang w:val="hy-AM" w:eastAsia="en-US"/>
        </w:rPr>
      </w:pPr>
      <w:r w:rsidRPr="00443554">
        <w:rPr>
          <w:b w:val="0"/>
          <w:szCs w:val="22"/>
          <w:lang w:val="hy-AM" w:eastAsia="en-US"/>
        </w:rPr>
        <w:t>Եկամտային հարկի գծով հարկային ծախսերի մասով գնահատվել է գյուղատնտեսության արտոնությունները</w:t>
      </w:r>
      <w:r w:rsidRPr="002F5E36">
        <w:rPr>
          <w:b w:val="0"/>
          <w:szCs w:val="22"/>
          <w:lang w:val="hy-AM" w:eastAsia="en-US"/>
        </w:rPr>
        <w:t>, ՏՏ ոլորտի արտոնությունները, հիպոտեկային վարկերի տոկոսների սպասարկման համար վարկառուներին և համավարկառուներին վերադարձված եկամտային հարկի գումարները:</w:t>
      </w:r>
    </w:p>
    <w:p w14:paraId="7375A076" w14:textId="77777777" w:rsidR="002F5E36" w:rsidRPr="002F5E36" w:rsidRDefault="002F5E36" w:rsidP="00544A8E">
      <w:pPr>
        <w:rPr>
          <w:b w:val="0"/>
          <w:szCs w:val="22"/>
          <w:lang w:val="hy-AM" w:eastAsia="en-US"/>
        </w:rPr>
      </w:pPr>
    </w:p>
    <w:p w14:paraId="0299C1BD" w14:textId="77777777" w:rsidR="002F5E36" w:rsidRPr="00443554" w:rsidRDefault="002F5E36" w:rsidP="00544A8E">
      <w:pPr>
        <w:rPr>
          <w:szCs w:val="22"/>
          <w:lang w:val="hy-AM" w:eastAsia="en-US"/>
        </w:rPr>
      </w:pPr>
      <w:r w:rsidRPr="00443554">
        <w:rPr>
          <w:szCs w:val="22"/>
          <w:lang w:val="hy-AM" w:eastAsia="en-US"/>
        </w:rPr>
        <w:t>Գյուղատնտեսություն.</w:t>
      </w:r>
    </w:p>
    <w:p w14:paraId="5FAA0E4E" w14:textId="77777777" w:rsidR="002F5E36" w:rsidRPr="00443554" w:rsidRDefault="002F5E36" w:rsidP="00544A8E">
      <w:pPr>
        <w:rPr>
          <w:b w:val="0"/>
          <w:szCs w:val="22"/>
          <w:lang w:val="hy-AM" w:eastAsia="en-US"/>
        </w:rPr>
      </w:pPr>
      <w:r w:rsidRPr="00443554">
        <w:rPr>
          <w:b w:val="0"/>
          <w:szCs w:val="22"/>
          <w:lang w:val="hy-AM" w:eastAsia="en-US"/>
        </w:rPr>
        <w:t>Որոշվել են 202</w:t>
      </w:r>
      <w:r w:rsidRPr="002F5E36">
        <w:rPr>
          <w:b w:val="0"/>
          <w:szCs w:val="22"/>
          <w:lang w:val="hy-AM" w:eastAsia="en-US"/>
        </w:rPr>
        <w:t>2</w:t>
      </w:r>
      <w:r w:rsidRPr="00443554">
        <w:rPr>
          <w:b w:val="0"/>
          <w:szCs w:val="22"/>
          <w:lang w:val="hy-AM" w:eastAsia="en-US"/>
        </w:rPr>
        <w:t xml:space="preserve"> թվականի համար գյուղատնտեսության ոլորտի վարձու աշխատողների աշխատանքի վարձատրության գծով եկամուտները` հիմք ընդունելով եկամուտների ձևավորման եղանակով 202</w:t>
      </w:r>
      <w:r w:rsidRPr="002F5E36">
        <w:rPr>
          <w:b w:val="0"/>
          <w:szCs w:val="22"/>
          <w:lang w:val="hy-AM" w:eastAsia="en-US"/>
        </w:rPr>
        <w:t>1</w:t>
      </w:r>
      <w:r w:rsidRPr="00443554">
        <w:rPr>
          <w:b w:val="0"/>
          <w:szCs w:val="22"/>
          <w:lang w:val="hy-AM" w:eastAsia="en-US"/>
        </w:rPr>
        <w:t xml:space="preserve"> թվականի համար հաշվարկված գյուղատնտեսության ոլորտի վարձու աշխատողների աշխատանքի վարձատրության գծով եկամուտները, որոնց նկատմամբ կիրառվել է գյուղատնտեսության ոլորտի 202</w:t>
      </w:r>
      <w:r w:rsidRPr="002F5E36">
        <w:rPr>
          <w:b w:val="0"/>
          <w:szCs w:val="22"/>
          <w:lang w:val="hy-AM" w:eastAsia="en-US"/>
        </w:rPr>
        <w:t>2</w:t>
      </w:r>
      <w:r w:rsidRPr="00443554">
        <w:rPr>
          <w:b w:val="0"/>
          <w:szCs w:val="22"/>
          <w:lang w:val="hy-AM" w:eastAsia="en-US"/>
        </w:rPr>
        <w:t xml:space="preserve"> թվականի` արտադրական եղանակով որոշված ավելացված արժեքների աճի տեմպը:</w:t>
      </w:r>
    </w:p>
    <w:p w14:paraId="19F3AB58" w14:textId="77777777" w:rsidR="002F5E36" w:rsidRPr="00443554" w:rsidRDefault="002F5E36" w:rsidP="00544A8E">
      <w:pPr>
        <w:rPr>
          <w:b w:val="0"/>
          <w:szCs w:val="22"/>
          <w:lang w:val="hy-AM" w:eastAsia="en-US"/>
        </w:rPr>
      </w:pPr>
      <w:r w:rsidRPr="00443554">
        <w:rPr>
          <w:b w:val="0"/>
          <w:szCs w:val="22"/>
          <w:lang w:val="hy-AM" w:eastAsia="en-US"/>
        </w:rPr>
        <w:t>Ստացված արդյունքը ճշգրտվել է գյուղատնտեսության մասնաբաժնում ապրանքայնության մակարդակով:</w:t>
      </w:r>
    </w:p>
    <w:p w14:paraId="340113C1" w14:textId="77777777" w:rsidR="002F5E36" w:rsidRPr="00443554" w:rsidRDefault="002F5E36" w:rsidP="00544A8E">
      <w:pPr>
        <w:rPr>
          <w:b w:val="0"/>
          <w:szCs w:val="22"/>
          <w:lang w:val="hy-AM" w:eastAsia="en-US"/>
        </w:rPr>
      </w:pPr>
      <w:r w:rsidRPr="00443554">
        <w:rPr>
          <w:b w:val="0"/>
          <w:szCs w:val="22"/>
          <w:lang w:val="hy-AM" w:eastAsia="en-US"/>
        </w:rPr>
        <w:t>Որոշվել է ճշգրտված արդյունքի մեջ անհատ ձեռնարկատեր չհանդիսացող ֆիզիկական անձանց</w:t>
      </w:r>
      <w:r w:rsidRPr="002F5E36">
        <w:rPr>
          <w:b w:val="0"/>
          <w:szCs w:val="22"/>
          <w:lang w:val="hy-AM" w:eastAsia="en-US"/>
        </w:rPr>
        <w:t xml:space="preserve"> </w:t>
      </w:r>
      <w:r w:rsidRPr="00443554">
        <w:rPr>
          <w:b w:val="0"/>
          <w:szCs w:val="22"/>
          <w:lang w:val="hy-AM" w:eastAsia="en-US"/>
        </w:rPr>
        <w:t>մասնաբաժինը` համաձայն ՀՀ ՎԿ տվյալների: Ստացված արդյունքը ճշգրտվել է 202</w:t>
      </w:r>
      <w:r w:rsidRPr="002F5E36">
        <w:rPr>
          <w:b w:val="0"/>
          <w:szCs w:val="22"/>
          <w:lang w:val="hy-AM" w:eastAsia="en-US"/>
        </w:rPr>
        <w:t>4</w:t>
      </w:r>
      <w:r w:rsidRPr="00443554">
        <w:rPr>
          <w:b w:val="0"/>
          <w:szCs w:val="22"/>
          <w:lang w:val="hy-AM" w:eastAsia="en-US"/>
        </w:rPr>
        <w:t xml:space="preserve"> թվականի գյուղատնտեսության ճյուղի կանխատեսվող ծավալների աճով:</w:t>
      </w:r>
    </w:p>
    <w:p w14:paraId="285FA337" w14:textId="77777777" w:rsidR="002F5E36" w:rsidRPr="00443554" w:rsidRDefault="002F5E36" w:rsidP="00544A8E">
      <w:pPr>
        <w:rPr>
          <w:b w:val="0"/>
          <w:szCs w:val="22"/>
          <w:lang w:val="hy-AM" w:eastAsia="en-US"/>
        </w:rPr>
      </w:pPr>
      <w:r w:rsidRPr="00443554">
        <w:rPr>
          <w:b w:val="0"/>
          <w:szCs w:val="22"/>
          <w:lang w:val="hy-AM" w:eastAsia="en-US"/>
        </w:rPr>
        <w:t xml:space="preserve">Հաշվարկվել է ստացված արդյունքին համապատասխանող եկամտային հարկի գումարը` </w:t>
      </w:r>
      <w:r w:rsidRPr="002F5E36">
        <w:rPr>
          <w:b w:val="0"/>
          <w:szCs w:val="22"/>
          <w:lang w:val="hy-AM" w:eastAsia="en-US"/>
        </w:rPr>
        <w:t>հաշվի առնելով եկամտային հարկի դրույքաչափի փոփոխության արդյունքները</w:t>
      </w:r>
      <w:r w:rsidRPr="00443554">
        <w:rPr>
          <w:b w:val="0"/>
          <w:szCs w:val="22"/>
          <w:lang w:val="hy-AM" w:eastAsia="en-US"/>
        </w:rPr>
        <w:t>:</w:t>
      </w:r>
    </w:p>
    <w:p w14:paraId="78052F1F" w14:textId="77777777" w:rsidR="002F5E36" w:rsidRPr="00443554" w:rsidRDefault="002F5E36" w:rsidP="00544A8E">
      <w:pPr>
        <w:rPr>
          <w:b w:val="0"/>
          <w:szCs w:val="22"/>
          <w:lang w:val="hy-AM" w:eastAsia="en-US"/>
        </w:rPr>
      </w:pPr>
    </w:p>
    <w:p w14:paraId="79EDB6AA" w14:textId="77777777" w:rsidR="002F5E36" w:rsidRPr="00443554" w:rsidRDefault="002F5E36" w:rsidP="00544A8E">
      <w:pPr>
        <w:rPr>
          <w:szCs w:val="22"/>
          <w:lang w:val="hy-AM" w:eastAsia="en-US"/>
        </w:rPr>
      </w:pPr>
      <w:r w:rsidRPr="002F5E36">
        <w:rPr>
          <w:szCs w:val="22"/>
          <w:lang w:val="hy-AM" w:eastAsia="en-US"/>
        </w:rPr>
        <w:t>Հիպոտեկային վարկերի տոկոսների սպասարկման համար վարկառուներին և համավարկառուներին վերադարձված եկամտային հարկի գումարները</w:t>
      </w:r>
      <w:r w:rsidRPr="00443554">
        <w:rPr>
          <w:szCs w:val="22"/>
          <w:lang w:val="hy-AM" w:eastAsia="en-US"/>
        </w:rPr>
        <w:t>.</w:t>
      </w:r>
    </w:p>
    <w:p w14:paraId="2F858215" w14:textId="77777777" w:rsidR="002F5E36" w:rsidRDefault="002F5E36" w:rsidP="00544A8E">
      <w:pPr>
        <w:rPr>
          <w:b w:val="0"/>
          <w:szCs w:val="22"/>
          <w:lang w:val="hy-AM" w:eastAsia="en-US"/>
        </w:rPr>
      </w:pPr>
      <w:r w:rsidRPr="002F5E36">
        <w:rPr>
          <w:b w:val="0"/>
          <w:szCs w:val="22"/>
          <w:lang w:val="hy-AM" w:eastAsia="en-US"/>
        </w:rPr>
        <w:t>Հաշվարկ</w:t>
      </w:r>
      <w:r w:rsidRPr="00443554">
        <w:rPr>
          <w:b w:val="0"/>
          <w:szCs w:val="22"/>
          <w:lang w:val="hy-AM" w:eastAsia="en-US"/>
        </w:rPr>
        <w:t>վել են 202</w:t>
      </w:r>
      <w:r w:rsidRPr="002F5E36">
        <w:rPr>
          <w:b w:val="0"/>
          <w:szCs w:val="22"/>
          <w:lang w:val="hy-AM" w:eastAsia="en-US"/>
        </w:rPr>
        <w:t>2</w:t>
      </w:r>
      <w:r w:rsidRPr="00443554">
        <w:rPr>
          <w:b w:val="0"/>
          <w:szCs w:val="22"/>
          <w:lang w:val="hy-AM" w:eastAsia="en-US"/>
        </w:rPr>
        <w:t xml:space="preserve"> թվականի </w:t>
      </w:r>
      <w:r w:rsidRPr="002F5E36">
        <w:rPr>
          <w:b w:val="0"/>
          <w:szCs w:val="22"/>
          <w:lang w:val="hy-AM" w:eastAsia="en-US"/>
        </w:rPr>
        <w:t>արդյունքներով հիպոտեկային վարկերի տոկոսների սպասարկման համար վարկառուներին և համավարկառուներին վերադարձված եկամտային հարկի գումարները: Ստացված արդյունքը ճշգրտվել է 2024 թվականի համար վերադարձվող գումարների կանխատեսվող ծավալների աճով` հիմք ընդունելով նախորդ տարվա նկատմամբ վերադարձված գումարների աճի տեմպը:</w:t>
      </w:r>
    </w:p>
    <w:p w14:paraId="2FDC2FE1" w14:textId="77777777" w:rsidR="002F5E36" w:rsidRPr="00443554" w:rsidRDefault="002F5E36" w:rsidP="00544A8E">
      <w:pPr>
        <w:rPr>
          <w:b w:val="0"/>
          <w:szCs w:val="22"/>
          <w:lang w:val="hy-AM" w:eastAsia="en-US"/>
        </w:rPr>
      </w:pPr>
    </w:p>
    <w:p w14:paraId="2D2592D2" w14:textId="77777777" w:rsidR="002F5E36" w:rsidRPr="002F5E36" w:rsidRDefault="002F5E36" w:rsidP="00544A8E">
      <w:pPr>
        <w:rPr>
          <w:szCs w:val="22"/>
          <w:lang w:val="hy-AM" w:eastAsia="en-US"/>
        </w:rPr>
      </w:pPr>
      <w:r w:rsidRPr="002F5E36">
        <w:rPr>
          <w:szCs w:val="22"/>
          <w:lang w:val="hy-AM" w:eastAsia="en-US"/>
        </w:rPr>
        <w:t>ՏՏ ոլորտի արտոնություններ.</w:t>
      </w:r>
    </w:p>
    <w:p w14:paraId="157E5217" w14:textId="77777777" w:rsidR="002F5E36" w:rsidRPr="002F5E36" w:rsidRDefault="002F5E36" w:rsidP="00544A8E">
      <w:pPr>
        <w:rPr>
          <w:b w:val="0"/>
          <w:szCs w:val="22"/>
          <w:lang w:val="hy-AM" w:eastAsia="en-US"/>
        </w:rPr>
      </w:pPr>
      <w:r w:rsidRPr="002F5E36">
        <w:rPr>
          <w:b w:val="0"/>
          <w:szCs w:val="22"/>
          <w:lang w:val="hy-AM" w:eastAsia="en-US"/>
        </w:rPr>
        <w:t>Որոշվել են 2022 թվականի համար ՏՏ ոլորտի վարձու աշխատողների աշխատանքի վարձատրությանն ուղղված գումարները: Ստացված արդյունքը ճշգրտվել է 2024 թվականի համար կանխատեսվող ծավալների աճով` հիմք ընդունելով ՎԿ կողմից հրապարակած տվյալներով նախորդ տարվա նկատմամբ ոլորտի աճի տեմպը: Այնուհետև հաշվարկվել է հարկային ծախսը` ստացված արդյունքի նկատմամբ կիրառելով եկամտային հարկի ընդհանուր և արտոնյալ դրույքաչափերի տարբերությունը (10%=20%-10%):</w:t>
      </w:r>
    </w:p>
    <w:p w14:paraId="2A2000FE" w14:textId="77777777" w:rsidR="002F5E36" w:rsidRPr="002F5E36" w:rsidRDefault="002F5E36" w:rsidP="00544A8E">
      <w:pPr>
        <w:rPr>
          <w:b w:val="0"/>
          <w:szCs w:val="22"/>
          <w:lang w:val="hy-AM" w:eastAsia="en-US"/>
        </w:rPr>
      </w:pPr>
    </w:p>
    <w:p w14:paraId="28D2D270" w14:textId="77777777" w:rsidR="002F5E36" w:rsidRPr="002F5E36" w:rsidRDefault="002F5E36" w:rsidP="00544A8E">
      <w:pPr>
        <w:numPr>
          <w:ilvl w:val="0"/>
          <w:numId w:val="23"/>
        </w:numPr>
        <w:tabs>
          <w:tab w:val="left" w:pos="993"/>
        </w:tabs>
        <w:ind w:left="0" w:firstLine="0"/>
        <w:rPr>
          <w:rFonts w:cs="Sylfaen"/>
          <w:i/>
          <w:szCs w:val="22"/>
          <w:lang w:val="hy-AM" w:eastAsia="en-US"/>
        </w:rPr>
      </w:pPr>
      <w:r w:rsidRPr="002F5E36">
        <w:rPr>
          <w:rFonts w:cs="Sylfaen"/>
          <w:i/>
          <w:szCs w:val="22"/>
          <w:lang w:val="hy-AM" w:eastAsia="en-US"/>
        </w:rPr>
        <w:t>ԱԱՀ-ի շեմի գծով հարկային ծախսերը.</w:t>
      </w:r>
    </w:p>
    <w:p w14:paraId="3ADFD513" w14:textId="77777777" w:rsidR="002F5E36" w:rsidRPr="002F5E36" w:rsidRDefault="002F5E36" w:rsidP="00544A8E">
      <w:pPr>
        <w:rPr>
          <w:b w:val="0"/>
          <w:szCs w:val="22"/>
          <w:lang w:val="hy-AM" w:eastAsia="en-US"/>
        </w:rPr>
      </w:pPr>
      <w:r w:rsidRPr="002F5E36">
        <w:rPr>
          <w:b w:val="0"/>
          <w:szCs w:val="22"/>
          <w:lang w:val="hy-AM" w:eastAsia="en-US"/>
        </w:rPr>
        <w:t>Որոշվել է 2022 թվականի շրջանառության հարկ վճարողների շրջանառությունը` համաձայն հարկ վճարողների կողմից ներկայացված շրջանառության հարկի հաշվարկների:</w:t>
      </w:r>
    </w:p>
    <w:p w14:paraId="37FE1132" w14:textId="77777777" w:rsidR="002F5E36" w:rsidRPr="00443554" w:rsidRDefault="002F5E36" w:rsidP="00544A8E">
      <w:pPr>
        <w:rPr>
          <w:b w:val="0"/>
          <w:szCs w:val="22"/>
          <w:lang w:val="hy-AM" w:eastAsia="en-US"/>
        </w:rPr>
      </w:pPr>
      <w:r w:rsidRPr="00443554">
        <w:rPr>
          <w:b w:val="0"/>
          <w:szCs w:val="22"/>
          <w:lang w:val="hy-AM" w:eastAsia="en-US"/>
        </w:rPr>
        <w:t>Հաշվարկվել է շահութահարկի բազան` հիմք ընդունելով շահութաբերության միջինացված մակարդակները:</w:t>
      </w:r>
    </w:p>
    <w:p w14:paraId="28E67618" w14:textId="77777777" w:rsidR="002F5E36" w:rsidRPr="00443554" w:rsidRDefault="002F5E36" w:rsidP="00544A8E">
      <w:pPr>
        <w:rPr>
          <w:b w:val="0"/>
          <w:szCs w:val="22"/>
          <w:lang w:val="hy-AM" w:eastAsia="en-US"/>
        </w:rPr>
      </w:pPr>
      <w:r w:rsidRPr="00443554">
        <w:rPr>
          <w:b w:val="0"/>
          <w:szCs w:val="22"/>
          <w:lang w:val="hy-AM" w:eastAsia="en-US"/>
        </w:rPr>
        <w:t>Ստացված բազայի նկատմամբ կիրառվել է շահութահարկի 18% դրույքաչափ և հաշվարկվել է շահութահարկի գծով արդյունքը:</w:t>
      </w:r>
    </w:p>
    <w:p w14:paraId="2C4D42C6" w14:textId="77777777" w:rsidR="002F5E36" w:rsidRPr="00443554" w:rsidRDefault="002F5E36" w:rsidP="00544A8E">
      <w:pPr>
        <w:rPr>
          <w:b w:val="0"/>
          <w:szCs w:val="22"/>
          <w:lang w:val="hy-AM" w:eastAsia="en-US"/>
        </w:rPr>
      </w:pPr>
      <w:r w:rsidRPr="00443554">
        <w:rPr>
          <w:b w:val="0"/>
          <w:szCs w:val="22"/>
          <w:lang w:val="hy-AM" w:eastAsia="en-US"/>
        </w:rPr>
        <w:t>Հաշվարկվել է ԱԱՀ-ի բազան` հիմք ընդունելով շահութաբերության և աշխատավարձերի միջինացված մակարդակները:</w:t>
      </w:r>
    </w:p>
    <w:p w14:paraId="2B07676B" w14:textId="77777777" w:rsidR="002F5E36" w:rsidRPr="00443554" w:rsidRDefault="002F5E36" w:rsidP="00544A8E">
      <w:pPr>
        <w:rPr>
          <w:b w:val="0"/>
          <w:szCs w:val="22"/>
          <w:lang w:val="hy-AM" w:eastAsia="en-US"/>
        </w:rPr>
      </w:pPr>
      <w:r w:rsidRPr="00443554">
        <w:rPr>
          <w:b w:val="0"/>
          <w:szCs w:val="22"/>
          <w:lang w:val="hy-AM" w:eastAsia="en-US"/>
        </w:rPr>
        <w:t xml:space="preserve">Ստացված բազայի նկատմամբ կիրառվել է ԱԱՀ-ի 20% դրույքաչափ և հաշվարկվել է ԱԱՀ-ի գծով արդյունքը: </w:t>
      </w:r>
    </w:p>
    <w:p w14:paraId="56174445" w14:textId="77777777" w:rsidR="002F5E36" w:rsidRPr="00443554" w:rsidRDefault="002F5E36" w:rsidP="00544A8E">
      <w:pPr>
        <w:rPr>
          <w:b w:val="0"/>
          <w:szCs w:val="22"/>
          <w:lang w:val="hy-AM" w:eastAsia="en-US"/>
        </w:rPr>
      </w:pPr>
      <w:r w:rsidRPr="00443554">
        <w:rPr>
          <w:b w:val="0"/>
          <w:szCs w:val="22"/>
          <w:lang w:val="hy-AM" w:eastAsia="en-US"/>
        </w:rPr>
        <w:t>Շահութահարկի ու ԱԱՀ-ի գծով ստացված եկամտային ներուժի և փաստացի վճարված շրջանառության հարկի տարբերությունը` ճշգրտված 202</w:t>
      </w:r>
      <w:r w:rsidRPr="002F5E36">
        <w:rPr>
          <w:b w:val="0"/>
          <w:szCs w:val="22"/>
          <w:lang w:val="hy-AM" w:eastAsia="en-US"/>
        </w:rPr>
        <w:t>4</w:t>
      </w:r>
      <w:r w:rsidRPr="00443554">
        <w:rPr>
          <w:b w:val="0"/>
          <w:szCs w:val="22"/>
          <w:lang w:val="hy-AM" w:eastAsia="en-US"/>
        </w:rPr>
        <w:t xml:space="preserve"> թվականի տնտեսության ճյուղերի կանխատեսվող ծավալների աճով, իրենից ներկայացնում է ԱԱՀ-ի շեմի գծով շահութահարկի ու ԱԱՀ-ի հարկային ծախսը:</w:t>
      </w:r>
    </w:p>
    <w:p w14:paraId="55A2E115" w14:textId="77777777" w:rsidR="002F5E36" w:rsidRPr="00443554" w:rsidRDefault="002F5E36" w:rsidP="00544A8E">
      <w:pPr>
        <w:rPr>
          <w:b w:val="0"/>
          <w:szCs w:val="22"/>
          <w:lang w:val="hy-AM" w:eastAsia="en-US"/>
        </w:rPr>
      </w:pPr>
    </w:p>
    <w:p w14:paraId="64A1D08C" w14:textId="77777777" w:rsidR="002F5E36" w:rsidRPr="002F5E36" w:rsidRDefault="002F5E36" w:rsidP="00544A8E">
      <w:pPr>
        <w:numPr>
          <w:ilvl w:val="0"/>
          <w:numId w:val="23"/>
        </w:numPr>
        <w:tabs>
          <w:tab w:val="left" w:pos="993"/>
        </w:tabs>
        <w:ind w:left="0" w:firstLine="0"/>
        <w:rPr>
          <w:rFonts w:cs="Sylfaen"/>
          <w:i/>
          <w:szCs w:val="22"/>
          <w:lang w:val="en-US" w:eastAsia="en-US"/>
        </w:rPr>
      </w:pPr>
      <w:r w:rsidRPr="002F5E36">
        <w:rPr>
          <w:rFonts w:cs="Sylfaen"/>
          <w:i/>
          <w:szCs w:val="22"/>
          <w:lang w:val="en-US" w:eastAsia="en-US"/>
        </w:rPr>
        <w:t>Միկրոբիզնեսի գծով հարկային ծախսերը.</w:t>
      </w:r>
    </w:p>
    <w:p w14:paraId="2ECA769C" w14:textId="77777777" w:rsidR="002F5E36" w:rsidRPr="002F5E36" w:rsidRDefault="002F5E36" w:rsidP="00544A8E">
      <w:pPr>
        <w:rPr>
          <w:b w:val="0"/>
          <w:szCs w:val="22"/>
          <w:lang w:val="en-US" w:eastAsia="en-US"/>
        </w:rPr>
      </w:pPr>
      <w:r w:rsidRPr="002F5E36">
        <w:rPr>
          <w:b w:val="0"/>
          <w:szCs w:val="22"/>
          <w:lang w:val="en-US" w:eastAsia="en-US"/>
        </w:rPr>
        <w:t>Որոշվել է 202</w:t>
      </w:r>
      <w:r w:rsidRPr="002F5E36">
        <w:rPr>
          <w:b w:val="0"/>
          <w:szCs w:val="22"/>
          <w:lang w:val="hy-AM" w:eastAsia="en-US"/>
        </w:rPr>
        <w:t>2</w:t>
      </w:r>
      <w:r w:rsidRPr="002F5E36">
        <w:rPr>
          <w:b w:val="0"/>
          <w:szCs w:val="22"/>
          <w:lang w:val="en-US" w:eastAsia="en-US"/>
        </w:rPr>
        <w:t xml:space="preserve"> թվականի </w:t>
      </w:r>
      <w:r w:rsidRPr="002F5E36">
        <w:rPr>
          <w:b w:val="0"/>
          <w:szCs w:val="22"/>
          <w:lang w:val="hy-AM" w:eastAsia="en-US"/>
        </w:rPr>
        <w:t>միկրոբիզնեսի հարկման համակարգում գործող հարկ վճարողների իրացման շրջանառությունը</w:t>
      </w:r>
      <w:r w:rsidRPr="002F5E36">
        <w:rPr>
          <w:b w:val="0"/>
          <w:szCs w:val="22"/>
          <w:lang w:val="en-US" w:eastAsia="en-US"/>
        </w:rPr>
        <w:t xml:space="preserve">` համաձայն </w:t>
      </w:r>
      <w:r w:rsidRPr="002F5E36">
        <w:rPr>
          <w:b w:val="0"/>
          <w:szCs w:val="22"/>
          <w:lang w:val="hy-AM" w:eastAsia="en-US"/>
        </w:rPr>
        <w:t>միկրոձեռնարկատիրության սուբյեկտի իրացման շրջանառությունների վերաբերյալ հաշվետվության տվյալների</w:t>
      </w:r>
      <w:r w:rsidRPr="002F5E36">
        <w:rPr>
          <w:b w:val="0"/>
          <w:szCs w:val="22"/>
          <w:lang w:val="en-US" w:eastAsia="en-US"/>
        </w:rPr>
        <w:t>:</w:t>
      </w:r>
    </w:p>
    <w:p w14:paraId="2834F9CB" w14:textId="77777777" w:rsidR="002F5E36" w:rsidRPr="002F5E36" w:rsidRDefault="002F5E36" w:rsidP="00544A8E">
      <w:pPr>
        <w:rPr>
          <w:b w:val="0"/>
          <w:szCs w:val="22"/>
          <w:lang w:val="en-US" w:eastAsia="en-US"/>
        </w:rPr>
      </w:pPr>
      <w:r w:rsidRPr="002F5E36">
        <w:rPr>
          <w:b w:val="0"/>
          <w:szCs w:val="22"/>
          <w:lang w:val="en-US" w:eastAsia="en-US"/>
        </w:rPr>
        <w:lastRenderedPageBreak/>
        <w:t>Հաշվարկվել է շահութահարկի բազան` հիմք ընդունելով շահութաբերության միջինացված մակարդակները:</w:t>
      </w:r>
    </w:p>
    <w:p w14:paraId="135FA04A" w14:textId="77777777" w:rsidR="002F5E36" w:rsidRPr="002F5E36" w:rsidRDefault="002F5E36" w:rsidP="00544A8E">
      <w:pPr>
        <w:rPr>
          <w:b w:val="0"/>
          <w:szCs w:val="22"/>
          <w:lang w:val="en-US" w:eastAsia="en-US"/>
        </w:rPr>
      </w:pPr>
      <w:r w:rsidRPr="002F5E36">
        <w:rPr>
          <w:b w:val="0"/>
          <w:szCs w:val="22"/>
          <w:lang w:val="en-US" w:eastAsia="en-US"/>
        </w:rPr>
        <w:t>Ստացված բազայի նկատմամբ կիրառվել է շահութահարկի 18% դրույքաչափ և հաշվարկվել է շահութահարկի գծով արդյունքը:</w:t>
      </w:r>
    </w:p>
    <w:p w14:paraId="5694EB8E" w14:textId="77777777" w:rsidR="002F5E36" w:rsidRPr="002F5E36" w:rsidRDefault="002F5E36" w:rsidP="00544A8E">
      <w:pPr>
        <w:rPr>
          <w:b w:val="0"/>
          <w:szCs w:val="22"/>
          <w:lang w:val="en-US" w:eastAsia="en-US"/>
        </w:rPr>
      </w:pPr>
      <w:r w:rsidRPr="002F5E36">
        <w:rPr>
          <w:b w:val="0"/>
          <w:szCs w:val="22"/>
          <w:lang w:val="en-US" w:eastAsia="en-US"/>
        </w:rPr>
        <w:t>Հաշվարկվել է ԱԱՀ-ի բազան` հիմք ընդունելով շահութաբերության և աշխատավարձերի միջինացված մակարդակները:</w:t>
      </w:r>
    </w:p>
    <w:p w14:paraId="2A1D9B07" w14:textId="77777777" w:rsidR="002F5E36" w:rsidRPr="002F5E36" w:rsidRDefault="002F5E36" w:rsidP="00544A8E">
      <w:pPr>
        <w:rPr>
          <w:b w:val="0"/>
          <w:szCs w:val="22"/>
          <w:lang w:val="en-US" w:eastAsia="en-US"/>
        </w:rPr>
      </w:pPr>
      <w:r w:rsidRPr="002F5E36">
        <w:rPr>
          <w:b w:val="0"/>
          <w:szCs w:val="22"/>
          <w:lang w:val="en-US" w:eastAsia="en-US"/>
        </w:rPr>
        <w:t>Ստացված բազայի նկատմամբ կիրառվել է ԱԱՀ-ի 20% դրույքաչափ և հաշվարկվել է ԱԱՀ-ի գծով արդյունքը:</w:t>
      </w:r>
    </w:p>
    <w:p w14:paraId="4CD1195C" w14:textId="77777777" w:rsidR="00EB778F" w:rsidRPr="007955BB" w:rsidRDefault="002F5E36" w:rsidP="00544A8E">
      <w:pPr>
        <w:rPr>
          <w:b w:val="0"/>
          <w:szCs w:val="22"/>
          <w:lang w:val="hy-AM" w:eastAsia="en-US"/>
        </w:rPr>
      </w:pPr>
      <w:r w:rsidRPr="002F5E36">
        <w:rPr>
          <w:b w:val="0"/>
          <w:szCs w:val="22"/>
          <w:lang w:val="en-US" w:eastAsia="en-US"/>
        </w:rPr>
        <w:t xml:space="preserve">Շահութահարկի ու ԱԱՀ-ի գծով ստացված եկամտային ներուժի` ճշգրտված 2023 թվականի տնտեսության ճյուղերի կանխատեսվող ծավալների աճով, իրենից ներկայացնում է </w:t>
      </w:r>
      <w:r w:rsidRPr="002F5E36">
        <w:rPr>
          <w:b w:val="0"/>
          <w:szCs w:val="22"/>
          <w:lang w:val="hy-AM" w:eastAsia="en-US"/>
        </w:rPr>
        <w:t>միկրոձեռնարկատիրության</w:t>
      </w:r>
      <w:r w:rsidRPr="002F5E36">
        <w:rPr>
          <w:b w:val="0"/>
          <w:szCs w:val="22"/>
          <w:lang w:val="en-US" w:eastAsia="en-US"/>
        </w:rPr>
        <w:t xml:space="preserve"> գծով շահութահարկի ու ԱԱՀ-ի հարկային ծախսը:</w:t>
      </w:r>
    </w:p>
    <w:p w14:paraId="0CC6B2A5" w14:textId="77777777" w:rsidR="00EB778F" w:rsidRPr="007955BB" w:rsidRDefault="00EB778F" w:rsidP="00544A8E">
      <w:pPr>
        <w:rPr>
          <w:b w:val="0"/>
          <w:i/>
          <w:szCs w:val="22"/>
          <w:lang w:val="hy-AM" w:eastAsia="en-US"/>
        </w:rPr>
      </w:pPr>
    </w:p>
    <w:p w14:paraId="3DC01DB6" w14:textId="77777777" w:rsidR="00EB778F" w:rsidRPr="007955BB" w:rsidRDefault="00EB778F" w:rsidP="00347B32">
      <w:pPr>
        <w:rPr>
          <w:b w:val="0"/>
          <w:szCs w:val="22"/>
          <w:lang w:val="hy-AM"/>
        </w:rPr>
      </w:pPr>
    </w:p>
    <w:p w14:paraId="0E40AAAF" w14:textId="6705573C" w:rsidR="008B76F4" w:rsidRPr="002F169C" w:rsidRDefault="00E84267" w:rsidP="00347B32">
      <w:pPr>
        <w:rPr>
          <w:b w:val="0"/>
          <w:kern w:val="28"/>
          <w:sz w:val="28"/>
          <w:szCs w:val="28"/>
        </w:rPr>
      </w:pPr>
      <w:r w:rsidRPr="007955BB">
        <w:rPr>
          <w:b w:val="0"/>
          <w:szCs w:val="22"/>
          <w:lang w:val="en-US" w:eastAsia="en-US"/>
        </w:rPr>
        <w:br w:type="page"/>
      </w:r>
      <w:bookmarkStart w:id="375" w:name="_Toc499827216"/>
      <w:bookmarkStart w:id="376" w:name="_Toc26174959"/>
      <w:r w:rsidR="008B76F4" w:rsidRPr="007955BB">
        <w:rPr>
          <w:bCs/>
          <w:kern w:val="28"/>
          <w:sz w:val="28"/>
          <w:szCs w:val="28"/>
        </w:rPr>
        <w:lastRenderedPageBreak/>
        <w:t>ԱՂՅՈՒՍԱԿՆԵՐ</w:t>
      </w:r>
      <w:bookmarkEnd w:id="375"/>
      <w:bookmarkEnd w:id="376"/>
    </w:p>
    <w:p w14:paraId="61E0ADB3" w14:textId="77777777" w:rsidR="00E379BD" w:rsidRPr="00544A8E" w:rsidRDefault="00E379BD" w:rsidP="00155BCD">
      <w:pPr>
        <w:rPr>
          <w:b w:val="0"/>
          <w:kern w:val="28"/>
          <w:szCs w:val="22"/>
        </w:rPr>
      </w:pPr>
    </w:p>
    <w:p w14:paraId="0AE36B70" w14:textId="10C20C08" w:rsidR="00544A8E" w:rsidRPr="00544A8E" w:rsidRDefault="003C3925">
      <w:pPr>
        <w:pStyle w:val="TableofFigures"/>
        <w:rPr>
          <w:rFonts w:eastAsiaTheme="minorEastAsia" w:cstheme="minorBidi"/>
          <w:b w:val="0"/>
          <w:bCs/>
          <w:noProof/>
          <w:szCs w:val="22"/>
          <w:lang w:val="en-US" w:eastAsia="en-US"/>
        </w:rPr>
      </w:pPr>
      <w:r w:rsidRPr="00544A8E">
        <w:rPr>
          <w:rStyle w:val="Hyperlink"/>
          <w:rFonts w:eastAsia="Calibri" w:cs="Sylfaen"/>
          <w:b w:val="0"/>
          <w:noProof/>
          <w:szCs w:val="22"/>
        </w:rPr>
        <w:fldChar w:fldCharType="begin"/>
      </w:r>
      <w:r w:rsidR="008B76F4" w:rsidRPr="00544A8E">
        <w:rPr>
          <w:rStyle w:val="Hyperlink"/>
          <w:rFonts w:eastAsia="Calibri" w:cs="Sylfaen"/>
          <w:b w:val="0"/>
          <w:noProof/>
          <w:szCs w:val="22"/>
        </w:rPr>
        <w:instrText xml:space="preserve"> TOC \h \z \c "Աղյուսակ" </w:instrText>
      </w:r>
      <w:r w:rsidRPr="00544A8E">
        <w:rPr>
          <w:rStyle w:val="Hyperlink"/>
          <w:rFonts w:eastAsia="Calibri" w:cs="Sylfaen"/>
          <w:b w:val="0"/>
          <w:noProof/>
          <w:szCs w:val="22"/>
        </w:rPr>
        <w:fldChar w:fldCharType="separate"/>
      </w:r>
      <w:hyperlink w:anchor="_Toc152324763" w:history="1">
        <w:r w:rsidR="00544A8E" w:rsidRPr="00544A8E">
          <w:rPr>
            <w:rStyle w:val="Hyperlink"/>
            <w:b w:val="0"/>
            <w:bCs/>
            <w:noProof/>
            <w:szCs w:val="22"/>
            <w:lang w:val="hy-AM"/>
          </w:rPr>
          <w:t>Աղյուսակ 1. 2020-2024թթ պետական բյուջեի ամփոփ ցուցանիշները,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_Toc152324763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110</w:t>
        </w:r>
        <w:r w:rsidR="00544A8E" w:rsidRPr="00544A8E">
          <w:rPr>
            <w:b w:val="0"/>
            <w:bCs/>
            <w:noProof/>
            <w:webHidden/>
            <w:szCs w:val="22"/>
          </w:rPr>
          <w:fldChar w:fldCharType="end"/>
        </w:r>
      </w:hyperlink>
    </w:p>
    <w:p w14:paraId="519D6E0B" w14:textId="5F5271F6" w:rsidR="00544A8E" w:rsidRPr="00544A8E" w:rsidRDefault="009E5BB0">
      <w:pPr>
        <w:pStyle w:val="TableofFigures"/>
        <w:rPr>
          <w:rFonts w:eastAsiaTheme="minorEastAsia" w:cstheme="minorBidi"/>
          <w:b w:val="0"/>
          <w:bCs/>
          <w:noProof/>
          <w:szCs w:val="22"/>
          <w:lang w:val="en-US" w:eastAsia="en-US"/>
        </w:rPr>
      </w:pPr>
      <w:hyperlink w:anchor="_Toc152324764" w:history="1">
        <w:r w:rsidR="00544A8E" w:rsidRPr="00544A8E">
          <w:rPr>
            <w:rStyle w:val="Hyperlink"/>
            <w:b w:val="0"/>
            <w:bCs/>
            <w:noProof/>
            <w:szCs w:val="22"/>
            <w:lang w:val="hy-AM"/>
          </w:rPr>
          <w:t>Աղյուսակ 2</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2024թ ակնկալվող արտաքին օժանդակությունն ըստ բնույթի</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_Toc152324764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112</w:t>
        </w:r>
        <w:r w:rsidR="00544A8E" w:rsidRPr="00544A8E">
          <w:rPr>
            <w:b w:val="0"/>
            <w:bCs/>
            <w:noProof/>
            <w:webHidden/>
            <w:szCs w:val="22"/>
          </w:rPr>
          <w:fldChar w:fldCharType="end"/>
        </w:r>
      </w:hyperlink>
    </w:p>
    <w:p w14:paraId="1F938B58" w14:textId="62F165DA" w:rsidR="00544A8E" w:rsidRPr="00544A8E" w:rsidRDefault="009E5BB0">
      <w:pPr>
        <w:pStyle w:val="TableofFigures"/>
        <w:rPr>
          <w:rFonts w:eastAsiaTheme="minorEastAsia" w:cstheme="minorBidi"/>
          <w:b w:val="0"/>
          <w:bCs/>
          <w:noProof/>
          <w:szCs w:val="22"/>
          <w:lang w:val="en-US" w:eastAsia="en-US"/>
        </w:rPr>
      </w:pPr>
      <w:hyperlink w:anchor="_Toc152324765" w:history="1">
        <w:r w:rsidR="00544A8E" w:rsidRPr="00544A8E">
          <w:rPr>
            <w:rStyle w:val="Hyperlink"/>
            <w:b w:val="0"/>
            <w:bCs/>
            <w:noProof/>
            <w:szCs w:val="22"/>
            <w:lang w:val="hy-AM"/>
          </w:rPr>
          <w:t>Աղյուսակ 3</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ՀՀ 2020-2024թթ. պետական բյուջեների դեֆիցիտի ֆինանսավորման աղբյուրները,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_Toc152324765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114</w:t>
        </w:r>
        <w:r w:rsidR="00544A8E" w:rsidRPr="00544A8E">
          <w:rPr>
            <w:b w:val="0"/>
            <w:bCs/>
            <w:noProof/>
            <w:webHidden/>
            <w:szCs w:val="22"/>
          </w:rPr>
          <w:fldChar w:fldCharType="end"/>
        </w:r>
      </w:hyperlink>
    </w:p>
    <w:p w14:paraId="7A555F4B" w14:textId="031A9325" w:rsidR="00544A8E" w:rsidRPr="00544A8E" w:rsidRDefault="009E5BB0">
      <w:pPr>
        <w:pStyle w:val="TableofFigures"/>
        <w:rPr>
          <w:rFonts w:eastAsiaTheme="minorEastAsia" w:cstheme="minorBidi"/>
          <w:b w:val="0"/>
          <w:bCs/>
          <w:noProof/>
          <w:szCs w:val="22"/>
          <w:lang w:val="en-US" w:eastAsia="en-US"/>
        </w:rPr>
      </w:pPr>
      <w:hyperlink w:anchor="_Toc152324766" w:history="1">
        <w:r w:rsidR="00544A8E" w:rsidRPr="00544A8E">
          <w:rPr>
            <w:rStyle w:val="Hyperlink"/>
            <w:b w:val="0"/>
            <w:bCs/>
            <w:noProof/>
            <w:szCs w:val="22"/>
            <w:lang w:val="hy-AM"/>
          </w:rPr>
          <w:t>Աղյուսակ 4</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Ընդհանուր և առաջնային դեֆիցիտները, %-ով ՀՆԱ-ի նկատմամբ</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_Toc152324766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114</w:t>
        </w:r>
        <w:r w:rsidR="00544A8E" w:rsidRPr="00544A8E">
          <w:rPr>
            <w:b w:val="0"/>
            <w:bCs/>
            <w:noProof/>
            <w:webHidden/>
            <w:szCs w:val="22"/>
          </w:rPr>
          <w:fldChar w:fldCharType="end"/>
        </w:r>
      </w:hyperlink>
    </w:p>
    <w:p w14:paraId="3835C685" w14:textId="6323A621" w:rsidR="00544A8E" w:rsidRPr="00544A8E" w:rsidRDefault="009E5BB0">
      <w:pPr>
        <w:pStyle w:val="TableofFigures"/>
        <w:rPr>
          <w:rFonts w:eastAsiaTheme="minorEastAsia" w:cstheme="minorBidi"/>
          <w:b w:val="0"/>
          <w:bCs/>
          <w:noProof/>
          <w:szCs w:val="22"/>
          <w:lang w:val="en-US" w:eastAsia="en-US"/>
        </w:rPr>
      </w:pPr>
      <w:hyperlink w:anchor="_Toc152324767" w:history="1">
        <w:r w:rsidR="00544A8E" w:rsidRPr="00544A8E">
          <w:rPr>
            <w:rStyle w:val="Hyperlink"/>
            <w:b w:val="0"/>
            <w:bCs/>
            <w:noProof/>
            <w:szCs w:val="22"/>
            <w:lang w:val="hy-AM"/>
          </w:rPr>
          <w:t>Աղյուսակ 5</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2020-2024թթ փաստացի/կանխատեսումային բյուջետային եկամուտները,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_Toc152324767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116</w:t>
        </w:r>
        <w:r w:rsidR="00544A8E" w:rsidRPr="00544A8E">
          <w:rPr>
            <w:b w:val="0"/>
            <w:bCs/>
            <w:noProof/>
            <w:webHidden/>
            <w:szCs w:val="22"/>
          </w:rPr>
          <w:fldChar w:fldCharType="end"/>
        </w:r>
      </w:hyperlink>
    </w:p>
    <w:p w14:paraId="020DA2FA" w14:textId="1792C8B7" w:rsidR="00544A8E" w:rsidRPr="00544A8E" w:rsidRDefault="009E5BB0">
      <w:pPr>
        <w:pStyle w:val="TableofFigures"/>
        <w:rPr>
          <w:rFonts w:eastAsiaTheme="minorEastAsia" w:cstheme="minorBidi"/>
          <w:b w:val="0"/>
          <w:bCs/>
          <w:noProof/>
          <w:szCs w:val="22"/>
          <w:lang w:val="en-US" w:eastAsia="en-US"/>
        </w:rPr>
      </w:pPr>
      <w:hyperlink w:anchor="_Toc152324768" w:history="1">
        <w:r w:rsidR="00544A8E" w:rsidRPr="00544A8E">
          <w:rPr>
            <w:rStyle w:val="Hyperlink"/>
            <w:b w:val="0"/>
            <w:bCs/>
            <w:noProof/>
            <w:szCs w:val="22"/>
            <w:lang w:val="hy-AM"/>
          </w:rPr>
          <w:t>Աղյուսակ 6. Պետական տուրքերի կազմում հաշվառվող եկամտատեսակների գծով ՀՀ 2020-2024թթ փաստացի/կանխատեսումային ցուցանիշները,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_Toc152324768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119</w:t>
        </w:r>
        <w:r w:rsidR="00544A8E" w:rsidRPr="00544A8E">
          <w:rPr>
            <w:b w:val="0"/>
            <w:bCs/>
            <w:noProof/>
            <w:webHidden/>
            <w:szCs w:val="22"/>
          </w:rPr>
          <w:fldChar w:fldCharType="end"/>
        </w:r>
      </w:hyperlink>
    </w:p>
    <w:p w14:paraId="60320F4F" w14:textId="083F9168" w:rsidR="00544A8E" w:rsidRPr="00544A8E" w:rsidRDefault="009E5BB0">
      <w:pPr>
        <w:pStyle w:val="TableofFigures"/>
        <w:rPr>
          <w:rFonts w:eastAsiaTheme="minorEastAsia" w:cstheme="minorBidi"/>
          <w:b w:val="0"/>
          <w:bCs/>
          <w:noProof/>
          <w:szCs w:val="22"/>
          <w:lang w:val="en-US" w:eastAsia="en-US"/>
        </w:rPr>
      </w:pPr>
      <w:hyperlink w:anchor="_Toc152324769" w:history="1">
        <w:r w:rsidR="00544A8E" w:rsidRPr="00544A8E">
          <w:rPr>
            <w:rStyle w:val="Hyperlink"/>
            <w:b w:val="0"/>
            <w:bCs/>
            <w:noProof/>
            <w:szCs w:val="22"/>
            <w:lang w:val="hy-AM"/>
          </w:rPr>
          <w:t>Աղյուսակ 7. 2020-2024թթ փաստացի/կանխատեսումային պաշտոնական դրամաշնորհները,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_Toc152324769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123</w:t>
        </w:r>
        <w:r w:rsidR="00544A8E" w:rsidRPr="00544A8E">
          <w:rPr>
            <w:b w:val="0"/>
            <w:bCs/>
            <w:noProof/>
            <w:webHidden/>
            <w:szCs w:val="22"/>
          </w:rPr>
          <w:fldChar w:fldCharType="end"/>
        </w:r>
      </w:hyperlink>
    </w:p>
    <w:p w14:paraId="7B823645" w14:textId="412B70FD" w:rsidR="00544A8E" w:rsidRPr="00544A8E" w:rsidRDefault="009E5BB0">
      <w:pPr>
        <w:pStyle w:val="TableofFigures"/>
        <w:rPr>
          <w:rFonts w:eastAsiaTheme="minorEastAsia" w:cstheme="minorBidi"/>
          <w:b w:val="0"/>
          <w:bCs/>
          <w:noProof/>
          <w:szCs w:val="22"/>
          <w:lang w:val="en-US" w:eastAsia="en-US"/>
        </w:rPr>
      </w:pPr>
      <w:hyperlink w:anchor="_Toc152324770" w:history="1">
        <w:r w:rsidR="00544A8E" w:rsidRPr="00544A8E">
          <w:rPr>
            <w:rStyle w:val="Hyperlink"/>
            <w:b w:val="0"/>
            <w:bCs/>
            <w:noProof/>
            <w:szCs w:val="22"/>
            <w:lang w:val="hy-AM"/>
          </w:rPr>
          <w:t>Աղյուսակ 8. Այլ եկամուտների կազմում հաշվառվող եկամտատեսակների գծով ՀՀ 2020-2024թթ փաստացի/կանխատեսումային ցուցանիշները,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_Toc152324770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124</w:t>
        </w:r>
        <w:r w:rsidR="00544A8E" w:rsidRPr="00544A8E">
          <w:rPr>
            <w:b w:val="0"/>
            <w:bCs/>
            <w:noProof/>
            <w:webHidden/>
            <w:szCs w:val="22"/>
          </w:rPr>
          <w:fldChar w:fldCharType="end"/>
        </w:r>
      </w:hyperlink>
    </w:p>
    <w:p w14:paraId="4D68ED7A" w14:textId="537C913B" w:rsidR="00544A8E" w:rsidRPr="00544A8E" w:rsidRDefault="009E5BB0">
      <w:pPr>
        <w:pStyle w:val="TableofFigures"/>
        <w:rPr>
          <w:rFonts w:eastAsiaTheme="minorEastAsia" w:cstheme="minorBidi"/>
          <w:b w:val="0"/>
          <w:bCs/>
          <w:noProof/>
          <w:szCs w:val="22"/>
          <w:lang w:val="en-US" w:eastAsia="en-US"/>
        </w:rPr>
      </w:pPr>
      <w:hyperlink w:anchor="_Toc152324771" w:history="1">
        <w:r w:rsidR="00544A8E" w:rsidRPr="00544A8E">
          <w:rPr>
            <w:rStyle w:val="Hyperlink"/>
            <w:b w:val="0"/>
            <w:bCs/>
            <w:noProof/>
            <w:szCs w:val="22"/>
            <w:lang w:val="hy-AM"/>
          </w:rPr>
          <w:t>Աղյուսակ 9</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af-ZA"/>
          </w:rPr>
          <w:t xml:space="preserve"> 2020-2024</w:t>
        </w:r>
        <w:r w:rsidR="00544A8E" w:rsidRPr="00544A8E">
          <w:rPr>
            <w:rStyle w:val="Hyperlink"/>
            <w:b w:val="0"/>
            <w:bCs/>
            <w:noProof/>
            <w:szCs w:val="22"/>
            <w:lang w:val="hy-AM"/>
          </w:rPr>
          <w:t>թթ</w:t>
        </w:r>
        <w:r w:rsidR="00544A8E" w:rsidRPr="00544A8E">
          <w:rPr>
            <w:rStyle w:val="Hyperlink"/>
            <w:b w:val="0"/>
            <w:bCs/>
            <w:noProof/>
            <w:szCs w:val="22"/>
            <w:lang w:val="af-ZA"/>
          </w:rPr>
          <w:t xml:space="preserve"> </w:t>
        </w:r>
        <w:r w:rsidR="00544A8E" w:rsidRPr="00544A8E">
          <w:rPr>
            <w:rStyle w:val="Hyperlink"/>
            <w:b w:val="0"/>
            <w:bCs/>
            <w:noProof/>
            <w:szCs w:val="22"/>
            <w:lang w:val="hy-AM"/>
          </w:rPr>
          <w:t>ընթացիկ</w:t>
        </w:r>
        <w:r w:rsidR="00544A8E" w:rsidRPr="00544A8E">
          <w:rPr>
            <w:rStyle w:val="Hyperlink"/>
            <w:b w:val="0"/>
            <w:bCs/>
            <w:noProof/>
            <w:szCs w:val="22"/>
            <w:lang w:val="af-ZA"/>
          </w:rPr>
          <w:t xml:space="preserve"> </w:t>
        </w:r>
        <w:r w:rsidR="00544A8E" w:rsidRPr="00544A8E">
          <w:rPr>
            <w:rStyle w:val="Hyperlink"/>
            <w:b w:val="0"/>
            <w:bCs/>
            <w:noProof/>
            <w:szCs w:val="22"/>
            <w:lang w:val="hy-AM"/>
          </w:rPr>
          <w:t>և</w:t>
        </w:r>
        <w:r w:rsidR="00544A8E" w:rsidRPr="00544A8E">
          <w:rPr>
            <w:rStyle w:val="Hyperlink"/>
            <w:b w:val="0"/>
            <w:bCs/>
            <w:noProof/>
            <w:szCs w:val="22"/>
            <w:lang w:val="af-ZA"/>
          </w:rPr>
          <w:t xml:space="preserve"> </w:t>
        </w:r>
        <w:r w:rsidR="00544A8E" w:rsidRPr="00544A8E">
          <w:rPr>
            <w:rStyle w:val="Hyperlink"/>
            <w:b w:val="0"/>
            <w:bCs/>
            <w:noProof/>
            <w:szCs w:val="22"/>
            <w:lang w:val="hy-AM"/>
          </w:rPr>
          <w:t>ոչ</w:t>
        </w:r>
        <w:r w:rsidR="00544A8E" w:rsidRPr="00544A8E">
          <w:rPr>
            <w:rStyle w:val="Hyperlink"/>
            <w:b w:val="0"/>
            <w:bCs/>
            <w:noProof/>
            <w:szCs w:val="22"/>
            <w:lang w:val="af-ZA"/>
          </w:rPr>
          <w:t xml:space="preserve"> </w:t>
        </w:r>
        <w:r w:rsidR="00544A8E" w:rsidRPr="00544A8E">
          <w:rPr>
            <w:rStyle w:val="Hyperlink"/>
            <w:b w:val="0"/>
            <w:bCs/>
            <w:noProof/>
            <w:szCs w:val="22"/>
            <w:lang w:val="hy-AM"/>
          </w:rPr>
          <w:t>ֆինանսական</w:t>
        </w:r>
        <w:r w:rsidR="00544A8E" w:rsidRPr="00544A8E">
          <w:rPr>
            <w:rStyle w:val="Hyperlink"/>
            <w:b w:val="0"/>
            <w:bCs/>
            <w:noProof/>
            <w:szCs w:val="22"/>
            <w:lang w:val="af-ZA"/>
          </w:rPr>
          <w:t xml:space="preserve"> </w:t>
        </w:r>
        <w:r w:rsidR="00544A8E" w:rsidRPr="00544A8E">
          <w:rPr>
            <w:rStyle w:val="Hyperlink"/>
            <w:b w:val="0"/>
            <w:bCs/>
            <w:noProof/>
            <w:szCs w:val="22"/>
            <w:lang w:val="hy-AM"/>
          </w:rPr>
          <w:t>ակտիվների</w:t>
        </w:r>
        <w:r w:rsidR="00544A8E" w:rsidRPr="00544A8E">
          <w:rPr>
            <w:rStyle w:val="Hyperlink"/>
            <w:b w:val="0"/>
            <w:bCs/>
            <w:noProof/>
            <w:szCs w:val="22"/>
            <w:lang w:val="af-ZA"/>
          </w:rPr>
          <w:t xml:space="preserve"> </w:t>
        </w:r>
        <w:r w:rsidR="00544A8E" w:rsidRPr="00544A8E">
          <w:rPr>
            <w:rStyle w:val="Hyperlink"/>
            <w:b w:val="0"/>
            <w:bCs/>
            <w:noProof/>
            <w:szCs w:val="22"/>
            <w:lang w:val="hy-AM"/>
          </w:rPr>
          <w:t>գծով</w:t>
        </w:r>
        <w:r w:rsidR="00544A8E" w:rsidRPr="00544A8E">
          <w:rPr>
            <w:rStyle w:val="Hyperlink"/>
            <w:b w:val="0"/>
            <w:bCs/>
            <w:noProof/>
            <w:szCs w:val="22"/>
            <w:lang w:val="af-ZA"/>
          </w:rPr>
          <w:t xml:space="preserve"> </w:t>
        </w:r>
        <w:r w:rsidR="00544A8E" w:rsidRPr="00544A8E">
          <w:rPr>
            <w:rStyle w:val="Hyperlink"/>
            <w:b w:val="0"/>
            <w:bCs/>
            <w:noProof/>
            <w:szCs w:val="22"/>
            <w:lang w:val="hy-AM"/>
          </w:rPr>
          <w:t>ծախսերի</w:t>
        </w:r>
        <w:r w:rsidR="00544A8E" w:rsidRPr="00544A8E">
          <w:rPr>
            <w:rStyle w:val="Hyperlink"/>
            <w:b w:val="0"/>
            <w:bCs/>
            <w:noProof/>
            <w:szCs w:val="22"/>
            <w:lang w:val="af-ZA"/>
          </w:rPr>
          <w:t xml:space="preserve"> </w:t>
        </w:r>
        <w:r w:rsidR="00544A8E" w:rsidRPr="00544A8E">
          <w:rPr>
            <w:rStyle w:val="Hyperlink"/>
            <w:b w:val="0"/>
            <w:bCs/>
            <w:noProof/>
            <w:szCs w:val="22"/>
            <w:lang w:val="hy-AM"/>
          </w:rPr>
          <w:t>փոփոխության</w:t>
        </w:r>
        <w:r w:rsidR="00544A8E" w:rsidRPr="00544A8E">
          <w:rPr>
            <w:rStyle w:val="Hyperlink"/>
            <w:b w:val="0"/>
            <w:bCs/>
            <w:noProof/>
            <w:szCs w:val="22"/>
            <w:lang w:val="af-ZA"/>
          </w:rPr>
          <w:t xml:space="preserve"> </w:t>
        </w:r>
        <w:r w:rsidR="00544A8E" w:rsidRPr="00544A8E">
          <w:rPr>
            <w:rStyle w:val="Hyperlink"/>
            <w:b w:val="0"/>
            <w:bCs/>
            <w:noProof/>
            <w:szCs w:val="22"/>
            <w:lang w:val="hy-AM"/>
          </w:rPr>
          <w:t>և</w:t>
        </w:r>
        <w:r w:rsidR="00544A8E" w:rsidRPr="00544A8E">
          <w:rPr>
            <w:rStyle w:val="Hyperlink"/>
            <w:b w:val="0"/>
            <w:bCs/>
            <w:noProof/>
            <w:szCs w:val="22"/>
            <w:lang w:val="af-ZA"/>
          </w:rPr>
          <w:t xml:space="preserve"> </w:t>
        </w:r>
        <w:r w:rsidR="00544A8E" w:rsidRPr="00544A8E">
          <w:rPr>
            <w:rStyle w:val="Hyperlink"/>
            <w:b w:val="0"/>
            <w:bCs/>
            <w:noProof/>
            <w:szCs w:val="22"/>
            <w:lang w:val="hy-AM"/>
          </w:rPr>
          <w:t>հարաբերակցության</w:t>
        </w:r>
        <w:r w:rsidR="00544A8E" w:rsidRPr="00544A8E">
          <w:rPr>
            <w:rStyle w:val="Hyperlink"/>
            <w:b w:val="0"/>
            <w:bCs/>
            <w:noProof/>
            <w:szCs w:val="22"/>
            <w:lang w:val="af-ZA"/>
          </w:rPr>
          <w:t xml:space="preserve"> </w:t>
        </w:r>
        <w:r w:rsidR="00544A8E" w:rsidRPr="00544A8E">
          <w:rPr>
            <w:rStyle w:val="Hyperlink"/>
            <w:b w:val="0"/>
            <w:bCs/>
            <w:noProof/>
            <w:szCs w:val="22"/>
            <w:lang w:val="hy-AM"/>
          </w:rPr>
          <w:t>միտումները,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_Toc152324771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128</w:t>
        </w:r>
        <w:r w:rsidR="00544A8E" w:rsidRPr="00544A8E">
          <w:rPr>
            <w:b w:val="0"/>
            <w:bCs/>
            <w:noProof/>
            <w:webHidden/>
            <w:szCs w:val="22"/>
          </w:rPr>
          <w:fldChar w:fldCharType="end"/>
        </w:r>
      </w:hyperlink>
    </w:p>
    <w:p w14:paraId="4D6B3743" w14:textId="5D477308" w:rsidR="00544A8E" w:rsidRPr="00544A8E" w:rsidRDefault="009E5BB0">
      <w:pPr>
        <w:pStyle w:val="TableofFigures"/>
        <w:rPr>
          <w:rFonts w:eastAsiaTheme="minorEastAsia" w:cstheme="minorBidi"/>
          <w:b w:val="0"/>
          <w:bCs/>
          <w:noProof/>
          <w:szCs w:val="22"/>
          <w:lang w:val="en-US" w:eastAsia="en-US"/>
        </w:rPr>
      </w:pPr>
      <w:hyperlink w:anchor="_Toc152324772" w:history="1">
        <w:r w:rsidR="00544A8E" w:rsidRPr="00544A8E">
          <w:rPr>
            <w:rStyle w:val="Hyperlink"/>
            <w:b w:val="0"/>
            <w:bCs/>
            <w:noProof/>
            <w:szCs w:val="22"/>
            <w:lang w:val="hy-AM"/>
          </w:rPr>
          <w:t>Աղյուսակ 10</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2019-2023թթ ընթացիկ ծախսերի ֆինանսավորման կառուցվածը ըստ տնտեսագիտական դասակարգման,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_Toc152324772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130</w:t>
        </w:r>
        <w:r w:rsidR="00544A8E" w:rsidRPr="00544A8E">
          <w:rPr>
            <w:b w:val="0"/>
            <w:bCs/>
            <w:noProof/>
            <w:webHidden/>
            <w:szCs w:val="22"/>
          </w:rPr>
          <w:fldChar w:fldCharType="end"/>
        </w:r>
      </w:hyperlink>
    </w:p>
    <w:p w14:paraId="2533EC4B" w14:textId="509E85F4" w:rsidR="00544A8E" w:rsidRPr="00544A8E" w:rsidRDefault="009E5BB0">
      <w:pPr>
        <w:pStyle w:val="TableofFigures"/>
        <w:rPr>
          <w:rFonts w:eastAsiaTheme="minorEastAsia" w:cstheme="minorBidi"/>
          <w:b w:val="0"/>
          <w:bCs/>
          <w:noProof/>
          <w:szCs w:val="22"/>
          <w:lang w:val="en-US" w:eastAsia="en-US"/>
        </w:rPr>
      </w:pPr>
      <w:hyperlink w:anchor="_Toc152324773" w:history="1">
        <w:r w:rsidR="00544A8E" w:rsidRPr="00544A8E">
          <w:rPr>
            <w:rStyle w:val="Hyperlink"/>
            <w:b w:val="0"/>
            <w:bCs/>
            <w:noProof/>
            <w:szCs w:val="22"/>
            <w:lang w:val="hy-AM"/>
          </w:rPr>
          <w:t>Աղյուսակ 11. Աղյուսակ 10. 2020-2024թթ. ոչ ֆինանսական ակտիվների գծով ծախսերի ֆինանսավորման կառուցվածը ըստ արտաքին և ներքին աղբյուրների,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_Toc152324773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132</w:t>
        </w:r>
        <w:r w:rsidR="00544A8E" w:rsidRPr="00544A8E">
          <w:rPr>
            <w:b w:val="0"/>
            <w:bCs/>
            <w:noProof/>
            <w:webHidden/>
            <w:szCs w:val="22"/>
          </w:rPr>
          <w:fldChar w:fldCharType="end"/>
        </w:r>
      </w:hyperlink>
    </w:p>
    <w:p w14:paraId="53FCC2C0" w14:textId="612B72B7" w:rsidR="00544A8E" w:rsidRPr="00544A8E" w:rsidRDefault="009E5BB0">
      <w:pPr>
        <w:pStyle w:val="TableofFigures"/>
        <w:rPr>
          <w:rFonts w:eastAsiaTheme="minorEastAsia" w:cstheme="minorBidi"/>
          <w:b w:val="0"/>
          <w:bCs/>
          <w:noProof/>
          <w:szCs w:val="22"/>
          <w:lang w:val="en-US" w:eastAsia="en-US"/>
        </w:rPr>
      </w:pPr>
      <w:hyperlink w:anchor="_Toc152324774" w:history="1">
        <w:r w:rsidR="00544A8E" w:rsidRPr="00544A8E">
          <w:rPr>
            <w:rStyle w:val="Hyperlink"/>
            <w:b w:val="0"/>
            <w:bCs/>
            <w:noProof/>
            <w:szCs w:val="22"/>
            <w:lang w:val="hy-AM"/>
          </w:rPr>
          <w:t>Աղյուսակ 12</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ՀՀ 2020-2024թթ. պետական բյուջեների ծախսերը՝ ըստ ոլորտների (մրդ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_Toc152324774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133</w:t>
        </w:r>
        <w:r w:rsidR="00544A8E" w:rsidRPr="00544A8E">
          <w:rPr>
            <w:b w:val="0"/>
            <w:bCs/>
            <w:noProof/>
            <w:webHidden/>
            <w:szCs w:val="22"/>
          </w:rPr>
          <w:fldChar w:fldCharType="end"/>
        </w:r>
      </w:hyperlink>
    </w:p>
    <w:p w14:paraId="22C820DC" w14:textId="63E2D7BB" w:rsidR="00544A8E" w:rsidRPr="00544A8E" w:rsidRDefault="009E5BB0">
      <w:pPr>
        <w:pStyle w:val="TableofFigures"/>
        <w:rPr>
          <w:rFonts w:eastAsiaTheme="minorEastAsia" w:cstheme="minorBidi"/>
          <w:b w:val="0"/>
          <w:bCs/>
          <w:noProof/>
          <w:szCs w:val="22"/>
          <w:lang w:val="en-US" w:eastAsia="en-US"/>
        </w:rPr>
      </w:pPr>
      <w:hyperlink w:anchor="_Toc152324775" w:history="1">
        <w:r w:rsidR="00544A8E" w:rsidRPr="00544A8E">
          <w:rPr>
            <w:rStyle w:val="Hyperlink"/>
            <w:b w:val="0"/>
            <w:bCs/>
            <w:noProof/>
            <w:szCs w:val="22"/>
            <w:lang w:val="hy-AM"/>
          </w:rPr>
          <w:t>Աղյուսակ 13</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Տնտեսական ոլորտի 2020-2024թթ</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բյուջետային ծախսերը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_Toc152324775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135</w:t>
        </w:r>
        <w:r w:rsidR="00544A8E" w:rsidRPr="00544A8E">
          <w:rPr>
            <w:b w:val="0"/>
            <w:bCs/>
            <w:noProof/>
            <w:webHidden/>
            <w:szCs w:val="22"/>
          </w:rPr>
          <w:fldChar w:fldCharType="end"/>
        </w:r>
      </w:hyperlink>
    </w:p>
    <w:p w14:paraId="72A15AFB" w14:textId="59100E4F" w:rsidR="00544A8E" w:rsidRPr="00544A8E" w:rsidRDefault="009E5BB0">
      <w:pPr>
        <w:pStyle w:val="TableofFigures"/>
        <w:rPr>
          <w:rFonts w:eastAsiaTheme="minorEastAsia" w:cstheme="minorBidi"/>
          <w:b w:val="0"/>
          <w:bCs/>
          <w:noProof/>
          <w:szCs w:val="22"/>
          <w:lang w:val="en-US" w:eastAsia="en-US"/>
        </w:rPr>
      </w:pPr>
      <w:hyperlink w:anchor="_Toc152324776" w:history="1">
        <w:r w:rsidR="00544A8E" w:rsidRPr="00544A8E">
          <w:rPr>
            <w:rStyle w:val="Hyperlink"/>
            <w:b w:val="0"/>
            <w:bCs/>
            <w:noProof/>
            <w:szCs w:val="22"/>
            <w:lang w:val="hy-AM"/>
          </w:rPr>
          <w:t>Աղյուսակ 14</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Սոցիալական ոլորտի 2020-2024թթ</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բյուջետային ծախսերը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_Toc152324776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136</w:t>
        </w:r>
        <w:r w:rsidR="00544A8E" w:rsidRPr="00544A8E">
          <w:rPr>
            <w:b w:val="0"/>
            <w:bCs/>
            <w:noProof/>
            <w:webHidden/>
            <w:szCs w:val="22"/>
          </w:rPr>
          <w:fldChar w:fldCharType="end"/>
        </w:r>
      </w:hyperlink>
    </w:p>
    <w:p w14:paraId="332C3ED4" w14:textId="56ABF37E" w:rsidR="00544A8E" w:rsidRPr="00544A8E" w:rsidRDefault="009E5BB0">
      <w:pPr>
        <w:pStyle w:val="TableofFigures"/>
        <w:rPr>
          <w:rFonts w:eastAsiaTheme="minorEastAsia" w:cstheme="minorBidi"/>
          <w:b w:val="0"/>
          <w:bCs/>
          <w:noProof/>
          <w:szCs w:val="22"/>
          <w:lang w:val="en-US" w:eastAsia="en-US"/>
        </w:rPr>
      </w:pPr>
      <w:hyperlink w:anchor="_Toc152324777" w:history="1">
        <w:r w:rsidR="00544A8E" w:rsidRPr="00544A8E">
          <w:rPr>
            <w:rStyle w:val="Hyperlink"/>
            <w:b w:val="0"/>
            <w:bCs/>
            <w:noProof/>
            <w:szCs w:val="22"/>
            <w:lang w:val="hy-AM"/>
          </w:rPr>
          <w:t>Աղյուսակ 15. Արտաքին աղբյուրներից 2024թ. ստացվելիք միջոցների (վարկերի և պաշտոնական դրամաշնորհներ) հաշվին ֆինանսավորվող ծախսերը</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_Toc152324777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137</w:t>
        </w:r>
        <w:r w:rsidR="00544A8E" w:rsidRPr="00544A8E">
          <w:rPr>
            <w:b w:val="0"/>
            <w:bCs/>
            <w:noProof/>
            <w:webHidden/>
            <w:szCs w:val="22"/>
          </w:rPr>
          <w:fldChar w:fldCharType="end"/>
        </w:r>
      </w:hyperlink>
    </w:p>
    <w:p w14:paraId="4373175E" w14:textId="7BF2235F" w:rsidR="00544A8E" w:rsidRPr="00544A8E" w:rsidRDefault="009E5BB0">
      <w:pPr>
        <w:pStyle w:val="TableofFigures"/>
        <w:rPr>
          <w:rFonts w:eastAsiaTheme="minorEastAsia" w:cstheme="minorBidi"/>
          <w:b w:val="0"/>
          <w:bCs/>
          <w:noProof/>
          <w:szCs w:val="22"/>
          <w:lang w:val="en-US" w:eastAsia="en-US"/>
        </w:rPr>
      </w:pPr>
      <w:hyperlink w:anchor="_Toc152324778" w:history="1">
        <w:r w:rsidR="00544A8E" w:rsidRPr="00544A8E">
          <w:rPr>
            <w:rStyle w:val="Hyperlink"/>
            <w:b w:val="0"/>
            <w:bCs/>
            <w:noProof/>
            <w:szCs w:val="22"/>
            <w:lang w:val="hy-AM"/>
          </w:rPr>
          <w:t>Աղյուսակ 16.</w:t>
        </w:r>
        <w:r w:rsidR="00544A8E" w:rsidRPr="00544A8E">
          <w:rPr>
            <w:rStyle w:val="Hyperlink"/>
            <w:b w:val="0"/>
            <w:bCs/>
            <w:caps/>
            <w:noProof/>
            <w:spacing w:val="10"/>
            <w:szCs w:val="22"/>
            <w:lang w:val="af-ZA"/>
          </w:rPr>
          <w:t xml:space="preserve"> </w:t>
        </w:r>
        <w:r w:rsidR="00544A8E" w:rsidRPr="00544A8E">
          <w:rPr>
            <w:rStyle w:val="Hyperlink"/>
            <w:b w:val="0"/>
            <w:bCs/>
            <w:caps/>
            <w:noProof/>
            <w:spacing w:val="10"/>
            <w:szCs w:val="22"/>
            <w:lang w:val="hy-AM"/>
          </w:rPr>
          <w:t xml:space="preserve"> </w:t>
        </w:r>
        <w:r w:rsidR="00544A8E" w:rsidRPr="00544A8E">
          <w:rPr>
            <w:rStyle w:val="Hyperlink"/>
            <w:b w:val="0"/>
            <w:bCs/>
            <w:noProof/>
            <w:szCs w:val="22"/>
            <w:lang w:val="af-ZA"/>
          </w:rPr>
          <w:t xml:space="preserve">ՀՀ պետական բյուջեից ՀՀ համայնքների բյուջեներին տրվող հատկացումները, </w:t>
        </w:r>
        <w:r w:rsidR="00544A8E" w:rsidRPr="00544A8E">
          <w:rPr>
            <w:rStyle w:val="Hyperlink"/>
            <w:b w:val="0"/>
            <w:bCs/>
            <w:noProof/>
            <w:szCs w:val="22"/>
            <w:lang w:val="hy-AM"/>
          </w:rPr>
          <w:t>մլրդ</w:t>
        </w:r>
        <w:r w:rsidR="00544A8E" w:rsidRPr="00544A8E">
          <w:rPr>
            <w:rStyle w:val="Hyperlink"/>
            <w:b w:val="0"/>
            <w:bCs/>
            <w:noProof/>
            <w:szCs w:val="22"/>
            <w:lang w:val="af-ZA"/>
          </w:rPr>
          <w:t xml:space="preserve"> դրամ</w:t>
        </w:r>
        <w:r w:rsidR="00544A8E" w:rsidRPr="00544A8E">
          <w:rPr>
            <w:rStyle w:val="Hyperlink"/>
            <w:b w:val="0"/>
            <w:bCs/>
            <w:noProof/>
            <w:szCs w:val="22"/>
            <w:lang w:val="hy-AM"/>
          </w:rPr>
          <w:t>...............</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_Toc152324778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139</w:t>
        </w:r>
        <w:r w:rsidR="00544A8E" w:rsidRPr="00544A8E">
          <w:rPr>
            <w:b w:val="0"/>
            <w:bCs/>
            <w:noProof/>
            <w:webHidden/>
            <w:szCs w:val="22"/>
          </w:rPr>
          <w:fldChar w:fldCharType="end"/>
        </w:r>
      </w:hyperlink>
    </w:p>
    <w:p w14:paraId="31544E83" w14:textId="2F069AF5" w:rsidR="00544A8E" w:rsidRPr="00544A8E" w:rsidRDefault="009E5BB0">
      <w:pPr>
        <w:pStyle w:val="TableofFigures"/>
        <w:rPr>
          <w:rFonts w:eastAsiaTheme="minorEastAsia" w:cstheme="minorBidi"/>
          <w:b w:val="0"/>
          <w:bCs/>
          <w:noProof/>
          <w:szCs w:val="22"/>
          <w:lang w:val="en-US" w:eastAsia="en-US"/>
        </w:rPr>
      </w:pPr>
      <w:hyperlink w:anchor="_Toc152324779" w:history="1">
        <w:r w:rsidR="00544A8E" w:rsidRPr="00544A8E">
          <w:rPr>
            <w:rStyle w:val="Hyperlink"/>
            <w:rFonts w:cs="Sylfaen"/>
            <w:b w:val="0"/>
            <w:bCs/>
            <w:noProof/>
            <w:szCs w:val="22"/>
            <w:lang w:val="hy-AM"/>
          </w:rPr>
          <w:t>Աղյուսակ 17. Պետական պարտքի կառուցվածքը</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_Toc152324779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202</w:t>
        </w:r>
        <w:r w:rsidR="00544A8E" w:rsidRPr="00544A8E">
          <w:rPr>
            <w:b w:val="0"/>
            <w:bCs/>
            <w:noProof/>
            <w:webHidden/>
            <w:szCs w:val="22"/>
          </w:rPr>
          <w:fldChar w:fldCharType="end"/>
        </w:r>
      </w:hyperlink>
    </w:p>
    <w:p w14:paraId="0A54B782" w14:textId="04EEBE01" w:rsidR="00544A8E" w:rsidRPr="00544A8E" w:rsidRDefault="009E5BB0">
      <w:pPr>
        <w:pStyle w:val="TableofFigures"/>
        <w:rPr>
          <w:rFonts w:eastAsiaTheme="minorEastAsia" w:cstheme="minorBidi"/>
          <w:b w:val="0"/>
          <w:bCs/>
          <w:noProof/>
          <w:szCs w:val="22"/>
          <w:lang w:val="en-US" w:eastAsia="en-US"/>
        </w:rPr>
      </w:pPr>
      <w:hyperlink w:anchor="_Toc152324780" w:history="1">
        <w:r w:rsidR="00544A8E" w:rsidRPr="00544A8E">
          <w:rPr>
            <w:rStyle w:val="Hyperlink"/>
            <w:rFonts w:cs="Sylfaen"/>
            <w:b w:val="0"/>
            <w:bCs/>
            <w:noProof/>
            <w:szCs w:val="22"/>
            <w:lang w:val="hy-AM"/>
          </w:rPr>
          <w:t>Աղյուսակ 18</w:t>
        </w:r>
        <w:r w:rsidR="00544A8E" w:rsidRPr="00544A8E">
          <w:rPr>
            <w:rStyle w:val="Hyperlink"/>
            <w:rFonts w:cs="Sylfaen"/>
            <w:b w:val="0"/>
            <w:bCs/>
            <w:noProof/>
            <w:szCs w:val="22"/>
            <w:lang w:val="en-US"/>
          </w:rPr>
          <w:t>.</w:t>
        </w:r>
        <w:r w:rsidR="00544A8E" w:rsidRPr="00544A8E">
          <w:rPr>
            <w:rStyle w:val="Hyperlink"/>
            <w:rFonts w:cs="Sylfaen"/>
            <w:b w:val="0"/>
            <w:bCs/>
            <w:noProof/>
            <w:szCs w:val="22"/>
            <w:lang w:val="hy-AM"/>
          </w:rPr>
          <w:t xml:space="preserve"> Կառավարության պարտքը</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_Toc152324780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203</w:t>
        </w:r>
        <w:r w:rsidR="00544A8E" w:rsidRPr="00544A8E">
          <w:rPr>
            <w:b w:val="0"/>
            <w:bCs/>
            <w:noProof/>
            <w:webHidden/>
            <w:szCs w:val="22"/>
          </w:rPr>
          <w:fldChar w:fldCharType="end"/>
        </w:r>
      </w:hyperlink>
    </w:p>
    <w:p w14:paraId="6F10A761" w14:textId="3B25E883" w:rsidR="00544A8E" w:rsidRPr="00544A8E" w:rsidRDefault="009E5BB0">
      <w:pPr>
        <w:pStyle w:val="TableofFigures"/>
        <w:rPr>
          <w:rFonts w:eastAsiaTheme="minorEastAsia" w:cstheme="minorBidi"/>
          <w:b w:val="0"/>
          <w:bCs/>
          <w:noProof/>
          <w:szCs w:val="22"/>
          <w:lang w:val="en-US" w:eastAsia="en-US"/>
        </w:rPr>
      </w:pPr>
      <w:hyperlink w:anchor="_Toc152324781" w:history="1">
        <w:r w:rsidR="00544A8E" w:rsidRPr="00544A8E">
          <w:rPr>
            <w:rStyle w:val="Hyperlink"/>
            <w:rFonts w:cs="Sylfaen"/>
            <w:b w:val="0"/>
            <w:bCs/>
            <w:noProof/>
            <w:szCs w:val="22"/>
            <w:lang w:val="hy-AM"/>
          </w:rPr>
          <w:t>Աղյուսակ 19. Կառավարության պարտքի կառուցվածքը</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_Toc152324781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204</w:t>
        </w:r>
        <w:r w:rsidR="00544A8E" w:rsidRPr="00544A8E">
          <w:rPr>
            <w:b w:val="0"/>
            <w:bCs/>
            <w:noProof/>
            <w:webHidden/>
            <w:szCs w:val="22"/>
          </w:rPr>
          <w:fldChar w:fldCharType="end"/>
        </w:r>
      </w:hyperlink>
    </w:p>
    <w:p w14:paraId="6CF21412" w14:textId="4A03E97E" w:rsidR="00544A8E" w:rsidRPr="00544A8E" w:rsidRDefault="009E5BB0">
      <w:pPr>
        <w:pStyle w:val="TableofFigures"/>
        <w:rPr>
          <w:rFonts w:eastAsiaTheme="minorEastAsia" w:cstheme="minorBidi"/>
          <w:b w:val="0"/>
          <w:bCs/>
          <w:noProof/>
          <w:szCs w:val="22"/>
          <w:lang w:val="en-US" w:eastAsia="en-US"/>
        </w:rPr>
      </w:pPr>
      <w:hyperlink w:anchor="_Toc152324782" w:history="1">
        <w:r w:rsidR="00544A8E" w:rsidRPr="00544A8E">
          <w:rPr>
            <w:rStyle w:val="Hyperlink"/>
            <w:rFonts w:cs="Sylfaen"/>
            <w:b w:val="0"/>
            <w:bCs/>
            <w:noProof/>
            <w:szCs w:val="22"/>
            <w:lang w:val="hy-AM"/>
          </w:rPr>
          <w:t>Աղյուսակ 20. ՀՀ կառավարության պարտքի կառավարման 2024-2026 թվականների ռազմավարական ծրագրով ամրագրված ուղենշային ցուցանիշները 2024թ. տարեվերջին</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_Toc152324782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206</w:t>
        </w:r>
        <w:r w:rsidR="00544A8E" w:rsidRPr="00544A8E">
          <w:rPr>
            <w:b w:val="0"/>
            <w:bCs/>
            <w:noProof/>
            <w:webHidden/>
            <w:szCs w:val="22"/>
          </w:rPr>
          <w:fldChar w:fldCharType="end"/>
        </w:r>
      </w:hyperlink>
    </w:p>
    <w:p w14:paraId="1DF8DCAB" w14:textId="003CB2F7" w:rsidR="00544A8E" w:rsidRPr="00544A8E" w:rsidRDefault="009E5BB0">
      <w:pPr>
        <w:pStyle w:val="TableofFigures"/>
        <w:rPr>
          <w:rFonts w:eastAsiaTheme="minorEastAsia" w:cstheme="minorBidi"/>
          <w:b w:val="0"/>
          <w:bCs/>
          <w:noProof/>
          <w:szCs w:val="22"/>
          <w:lang w:val="en-US" w:eastAsia="en-US"/>
        </w:rPr>
      </w:pPr>
      <w:hyperlink w:anchor="_Toc152324783" w:history="1">
        <w:r w:rsidR="00544A8E" w:rsidRPr="00544A8E">
          <w:rPr>
            <w:rStyle w:val="Hyperlink"/>
            <w:rFonts w:cs="Sylfaen"/>
            <w:b w:val="0"/>
            <w:bCs/>
            <w:noProof/>
            <w:szCs w:val="22"/>
            <w:lang w:val="hy-AM"/>
          </w:rPr>
          <w:t>Աղյուսակ 21. Կառավարության պարտքի սպասարկման ծախսերը (տոկոսավճարներ)</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_Toc152324783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207</w:t>
        </w:r>
        <w:r w:rsidR="00544A8E" w:rsidRPr="00544A8E">
          <w:rPr>
            <w:b w:val="0"/>
            <w:bCs/>
            <w:noProof/>
            <w:webHidden/>
            <w:szCs w:val="22"/>
          </w:rPr>
          <w:fldChar w:fldCharType="end"/>
        </w:r>
      </w:hyperlink>
    </w:p>
    <w:p w14:paraId="6F3655C6" w14:textId="29322D82" w:rsidR="00544A8E" w:rsidRPr="00544A8E" w:rsidRDefault="009E5BB0">
      <w:pPr>
        <w:pStyle w:val="TableofFigures"/>
        <w:rPr>
          <w:rFonts w:eastAsiaTheme="minorEastAsia" w:cstheme="minorBidi"/>
          <w:b w:val="0"/>
          <w:bCs/>
          <w:noProof/>
          <w:szCs w:val="22"/>
          <w:lang w:val="en-US" w:eastAsia="en-US"/>
        </w:rPr>
      </w:pPr>
      <w:hyperlink w:anchor="_Toc152324784" w:history="1">
        <w:r w:rsidR="00544A8E" w:rsidRPr="00544A8E">
          <w:rPr>
            <w:rStyle w:val="Hyperlink"/>
            <w:rFonts w:cs="Sylfaen"/>
            <w:b w:val="0"/>
            <w:bCs/>
            <w:noProof/>
            <w:szCs w:val="22"/>
            <w:lang w:val="hy-AM"/>
          </w:rPr>
          <w:t>Աղյուսակ 22. Կառավարության պարտքի մարման և սպասարկման ծախսերը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_Toc152324784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210</w:t>
        </w:r>
        <w:r w:rsidR="00544A8E" w:rsidRPr="00544A8E">
          <w:rPr>
            <w:b w:val="0"/>
            <w:bCs/>
            <w:noProof/>
            <w:webHidden/>
            <w:szCs w:val="22"/>
          </w:rPr>
          <w:fldChar w:fldCharType="end"/>
        </w:r>
      </w:hyperlink>
    </w:p>
    <w:p w14:paraId="12857BFA" w14:textId="36FC8B84" w:rsidR="00544A8E" w:rsidRPr="00544A8E" w:rsidRDefault="009E5BB0">
      <w:pPr>
        <w:pStyle w:val="TableofFigures"/>
        <w:rPr>
          <w:rFonts w:eastAsiaTheme="minorEastAsia" w:cstheme="minorBidi"/>
          <w:b w:val="0"/>
          <w:bCs/>
          <w:noProof/>
          <w:szCs w:val="22"/>
          <w:lang w:val="en-US" w:eastAsia="en-US"/>
        </w:rPr>
      </w:pPr>
      <w:hyperlink w:anchor="_Toc152324785" w:history="1">
        <w:r w:rsidR="00544A8E" w:rsidRPr="00544A8E">
          <w:rPr>
            <w:rStyle w:val="Hyperlink"/>
            <w:rFonts w:cs="Sylfaen"/>
            <w:b w:val="0"/>
            <w:bCs/>
            <w:noProof/>
            <w:szCs w:val="22"/>
            <w:lang w:val="hy-AM"/>
          </w:rPr>
          <w:t>Աղյուսակ 23. Արտաքին վարկերի մարման և սպասարկման գծով նախատեսվող վճարումների կառուցվածքն ըստ վարկատուների (մլն ԱՄՆ դոլար)</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_Toc152324785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211</w:t>
        </w:r>
        <w:r w:rsidR="00544A8E" w:rsidRPr="00544A8E">
          <w:rPr>
            <w:b w:val="0"/>
            <w:bCs/>
            <w:noProof/>
            <w:webHidden/>
            <w:szCs w:val="22"/>
          </w:rPr>
          <w:fldChar w:fldCharType="end"/>
        </w:r>
      </w:hyperlink>
    </w:p>
    <w:p w14:paraId="25F1E0CA" w14:textId="1FCB94D4" w:rsidR="00544A8E" w:rsidRPr="00544A8E" w:rsidRDefault="009E5BB0">
      <w:pPr>
        <w:pStyle w:val="TableofFigures"/>
        <w:rPr>
          <w:rFonts w:eastAsiaTheme="minorEastAsia" w:cstheme="minorBidi"/>
          <w:b w:val="0"/>
          <w:bCs/>
          <w:noProof/>
          <w:szCs w:val="22"/>
          <w:lang w:val="en-US" w:eastAsia="en-US"/>
        </w:rPr>
      </w:pPr>
      <w:hyperlink w:anchor="_Toc152324786" w:history="1">
        <w:r w:rsidR="00544A8E" w:rsidRPr="00544A8E">
          <w:rPr>
            <w:rStyle w:val="Hyperlink"/>
            <w:b w:val="0"/>
            <w:bCs/>
            <w:noProof/>
            <w:szCs w:val="22"/>
            <w:lang w:val="hy-AM"/>
          </w:rPr>
          <w:t xml:space="preserve">Աղյուսակ 24. </w:t>
        </w:r>
        <w:r w:rsidR="00544A8E" w:rsidRPr="00544A8E">
          <w:rPr>
            <w:rStyle w:val="Hyperlink"/>
            <w:rFonts w:eastAsia="Calibri"/>
            <w:b w:val="0"/>
            <w:bCs/>
            <w:noProof/>
            <w:szCs w:val="22"/>
            <w:lang w:val="hy-AM" w:eastAsia="en-US"/>
          </w:rPr>
          <w:t>ՀՀ ՖՆ և այլ կառույցների կողմից ՀՀ տնտեսական աճի կանխատեսումները (%)..............................</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_Toc152324786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219</w:t>
        </w:r>
        <w:r w:rsidR="00544A8E" w:rsidRPr="00544A8E">
          <w:rPr>
            <w:b w:val="0"/>
            <w:bCs/>
            <w:noProof/>
            <w:webHidden/>
            <w:szCs w:val="22"/>
          </w:rPr>
          <w:fldChar w:fldCharType="end"/>
        </w:r>
      </w:hyperlink>
    </w:p>
    <w:p w14:paraId="1A94EAEF" w14:textId="4B497D59" w:rsidR="002F169C" w:rsidRPr="00544A8E" w:rsidRDefault="003C3925" w:rsidP="002F169C">
      <w:pPr>
        <w:pStyle w:val="TableofFigures"/>
        <w:rPr>
          <w:rStyle w:val="Hyperlink"/>
          <w:rFonts w:eastAsia="Calibri" w:cs="Sylfaen"/>
          <w:b w:val="0"/>
          <w:noProof/>
          <w:sz w:val="20"/>
          <w:szCs w:val="20"/>
        </w:rPr>
      </w:pPr>
      <w:r w:rsidRPr="00544A8E">
        <w:rPr>
          <w:rStyle w:val="Hyperlink"/>
          <w:rFonts w:eastAsia="Calibri" w:cs="Sylfaen"/>
          <w:b w:val="0"/>
          <w:noProof/>
          <w:szCs w:val="22"/>
        </w:rPr>
        <w:fldChar w:fldCharType="end"/>
      </w:r>
      <w:bookmarkStart w:id="377" w:name="_Toc499827217"/>
      <w:bookmarkStart w:id="378" w:name="_Toc26174960"/>
    </w:p>
    <w:p w14:paraId="16D57470" w14:textId="2F8E0008" w:rsidR="002F169C" w:rsidRDefault="002F169C" w:rsidP="008C58E8">
      <w:pPr>
        <w:tabs>
          <w:tab w:val="left" w:pos="1260"/>
        </w:tabs>
        <w:rPr>
          <w:rFonts w:eastAsia="Calibri" w:cs="Times Armenian"/>
          <w:b w:val="0"/>
          <w:szCs w:val="22"/>
          <w:lang w:val="hy-AM" w:eastAsia="en-US"/>
        </w:rPr>
      </w:pPr>
    </w:p>
    <w:p w14:paraId="6B812571" w14:textId="5E059296" w:rsidR="008B76F4" w:rsidRPr="007955BB" w:rsidRDefault="008B76F4" w:rsidP="008C58E8">
      <w:pPr>
        <w:tabs>
          <w:tab w:val="left" w:pos="1260"/>
        </w:tabs>
        <w:rPr>
          <w:bCs/>
          <w:kern w:val="28"/>
          <w:sz w:val="28"/>
          <w:szCs w:val="28"/>
        </w:rPr>
      </w:pPr>
      <w:r w:rsidRPr="007955BB">
        <w:rPr>
          <w:bCs/>
          <w:kern w:val="28"/>
          <w:sz w:val="28"/>
          <w:szCs w:val="28"/>
        </w:rPr>
        <w:lastRenderedPageBreak/>
        <w:t>ԳԾԱՊԱՏԿԵՐՆԵՐ</w:t>
      </w:r>
      <w:bookmarkEnd w:id="377"/>
      <w:bookmarkEnd w:id="378"/>
    </w:p>
    <w:p w14:paraId="54864E45" w14:textId="77777777" w:rsidR="00E64B10" w:rsidRPr="007955BB" w:rsidRDefault="00E64B10" w:rsidP="00155BCD">
      <w:pPr>
        <w:rPr>
          <w:bCs/>
          <w:kern w:val="28"/>
          <w:sz w:val="28"/>
          <w:szCs w:val="28"/>
        </w:rPr>
      </w:pPr>
    </w:p>
    <w:p w14:paraId="4AB92E68" w14:textId="14101A4B" w:rsidR="00544A8E" w:rsidRPr="00544A8E" w:rsidRDefault="003C3925">
      <w:pPr>
        <w:pStyle w:val="TableofFigures"/>
        <w:rPr>
          <w:rFonts w:eastAsiaTheme="minorEastAsia" w:cstheme="minorBidi"/>
          <w:b w:val="0"/>
          <w:bCs/>
          <w:noProof/>
          <w:szCs w:val="22"/>
          <w:lang w:val="en-US" w:eastAsia="en-US"/>
        </w:rPr>
      </w:pPr>
      <w:r w:rsidRPr="00544A8E">
        <w:rPr>
          <w:rFonts w:eastAsia="Calibri" w:cs="Times Armenian"/>
          <w:b w:val="0"/>
          <w:bCs/>
          <w:szCs w:val="22"/>
          <w:lang w:val="hy-AM" w:eastAsia="en-US"/>
        </w:rPr>
        <w:fldChar w:fldCharType="begin"/>
      </w:r>
      <w:r w:rsidR="00987A1B" w:rsidRPr="00544A8E">
        <w:rPr>
          <w:rFonts w:eastAsia="Calibri" w:cs="Times Armenian"/>
          <w:b w:val="0"/>
          <w:bCs/>
          <w:szCs w:val="22"/>
          <w:lang w:val="hy-AM" w:eastAsia="en-US"/>
        </w:rPr>
        <w:instrText xml:space="preserve"> TOC \h \z \c "Գծապատկեր" </w:instrText>
      </w:r>
      <w:r w:rsidRPr="00544A8E">
        <w:rPr>
          <w:rFonts w:eastAsia="Calibri" w:cs="Times Armenian"/>
          <w:b w:val="0"/>
          <w:bCs/>
          <w:szCs w:val="22"/>
          <w:lang w:val="hy-AM" w:eastAsia="en-US"/>
        </w:rPr>
        <w:fldChar w:fldCharType="separate"/>
      </w:r>
      <w:hyperlink w:anchor="_Toc152324822" w:history="1">
        <w:r w:rsidR="00544A8E" w:rsidRPr="00544A8E">
          <w:rPr>
            <w:rStyle w:val="Hyperlink"/>
            <w:b w:val="0"/>
            <w:bCs/>
            <w:noProof/>
            <w:szCs w:val="22"/>
            <w:lang w:val="hy-AM"/>
          </w:rPr>
          <w:t>Գծապատկեր 1</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ՀՀ 2020-2024թթ հարկային եկամուտները և պետական տուրքերը (մլրդ դրամով) և կշիռը ՀՆԱ-ի նկատմամբ</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_Toc152324822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117</w:t>
        </w:r>
        <w:r w:rsidR="00544A8E" w:rsidRPr="00544A8E">
          <w:rPr>
            <w:b w:val="0"/>
            <w:bCs/>
            <w:noProof/>
            <w:webHidden/>
            <w:szCs w:val="22"/>
          </w:rPr>
          <w:fldChar w:fldCharType="end"/>
        </w:r>
      </w:hyperlink>
    </w:p>
    <w:p w14:paraId="3D3616EF" w14:textId="0CEEE6C0" w:rsidR="00544A8E" w:rsidRPr="00544A8E" w:rsidRDefault="009E5BB0">
      <w:pPr>
        <w:pStyle w:val="TableofFigures"/>
        <w:rPr>
          <w:rFonts w:eastAsiaTheme="minorEastAsia" w:cstheme="minorBidi"/>
          <w:b w:val="0"/>
          <w:bCs/>
          <w:noProof/>
          <w:szCs w:val="22"/>
          <w:lang w:val="en-US" w:eastAsia="en-US"/>
        </w:rPr>
      </w:pPr>
      <w:hyperlink w:anchor="_Toc152324823" w:history="1">
        <w:r w:rsidR="00544A8E" w:rsidRPr="00544A8E">
          <w:rPr>
            <w:rStyle w:val="Hyperlink"/>
            <w:b w:val="0"/>
            <w:bCs/>
            <w:noProof/>
            <w:szCs w:val="22"/>
            <w:lang w:val="hy-AM"/>
          </w:rPr>
          <w:t>Գծապատկեր 2</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2020-2024թթ</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ընթացիկ և ոչ ֆինանսական ակտիվների գծով գործառնությունների փոփոխության և հարաբերակցության միտումները, մլրդ դրամ</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_Toc152324823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128</w:t>
        </w:r>
        <w:r w:rsidR="00544A8E" w:rsidRPr="00544A8E">
          <w:rPr>
            <w:b w:val="0"/>
            <w:bCs/>
            <w:noProof/>
            <w:webHidden/>
            <w:szCs w:val="22"/>
          </w:rPr>
          <w:fldChar w:fldCharType="end"/>
        </w:r>
      </w:hyperlink>
    </w:p>
    <w:p w14:paraId="5F1AAFC8" w14:textId="4240B075" w:rsidR="00544A8E" w:rsidRPr="00544A8E" w:rsidRDefault="009E5BB0">
      <w:pPr>
        <w:pStyle w:val="TableofFigures"/>
        <w:rPr>
          <w:rFonts w:eastAsiaTheme="minorEastAsia" w:cstheme="minorBidi"/>
          <w:b w:val="0"/>
          <w:bCs/>
          <w:noProof/>
          <w:szCs w:val="22"/>
          <w:lang w:val="en-US" w:eastAsia="en-US"/>
        </w:rPr>
      </w:pPr>
      <w:hyperlink w:anchor="_Toc152324824" w:history="1">
        <w:r w:rsidR="00544A8E" w:rsidRPr="00544A8E">
          <w:rPr>
            <w:rStyle w:val="Hyperlink"/>
            <w:b w:val="0"/>
            <w:bCs/>
            <w:noProof/>
            <w:szCs w:val="22"/>
            <w:lang w:val="hy-AM"/>
          </w:rPr>
          <w:t>Գծապատկեր 3</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2020-2024թթ</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ընթացիկ ծախսերի ֆինանսավորման ըստ տնտեսագիտական դասակարգման կառուցվածքի ծախսերի հարաբերակցությունը ՀՆԱ-ի նկատմամբ, </w:t>
        </w:r>
        <w:r w:rsidR="00544A8E" w:rsidRPr="00544A8E">
          <w:rPr>
            <w:rStyle w:val="Hyperlink"/>
            <w:rFonts w:cs="Sylfaen"/>
            <w:b w:val="0"/>
            <w:bCs/>
            <w:noProof/>
            <w:szCs w:val="22"/>
            <w:lang w:val="hy-AM"/>
          </w:rPr>
          <w:t>%</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_Toc152324824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129</w:t>
        </w:r>
        <w:r w:rsidR="00544A8E" w:rsidRPr="00544A8E">
          <w:rPr>
            <w:b w:val="0"/>
            <w:bCs/>
            <w:noProof/>
            <w:webHidden/>
            <w:szCs w:val="22"/>
          </w:rPr>
          <w:fldChar w:fldCharType="end"/>
        </w:r>
      </w:hyperlink>
    </w:p>
    <w:p w14:paraId="1DD66725" w14:textId="0FD11B7A" w:rsidR="00544A8E" w:rsidRPr="00544A8E" w:rsidRDefault="009E5BB0">
      <w:pPr>
        <w:pStyle w:val="TableofFigures"/>
        <w:rPr>
          <w:rFonts w:eastAsiaTheme="minorEastAsia" w:cstheme="minorBidi"/>
          <w:b w:val="0"/>
          <w:bCs/>
          <w:noProof/>
          <w:szCs w:val="22"/>
          <w:lang w:val="en-US" w:eastAsia="en-US"/>
        </w:rPr>
      </w:pPr>
      <w:hyperlink w:anchor="_Toc152324825" w:history="1">
        <w:r w:rsidR="00544A8E" w:rsidRPr="00544A8E">
          <w:rPr>
            <w:rStyle w:val="Hyperlink"/>
            <w:b w:val="0"/>
            <w:bCs/>
            <w:noProof/>
            <w:szCs w:val="22"/>
            <w:lang w:val="hy-AM"/>
          </w:rPr>
          <w:t>Գծապատկեր 4. 2020-2024թթ</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ոչ ֆինանսական ակտիվների գծով ծախսերի ֆինանսավորման կառուցվածքը</w:t>
        </w:r>
        <w:r w:rsidR="00544A8E">
          <w:rPr>
            <w:rStyle w:val="Hyperlink"/>
            <w:b w:val="0"/>
            <w:bCs/>
            <w:noProof/>
            <w:szCs w:val="22"/>
            <w:lang w:val="hy-AM"/>
          </w:rPr>
          <w:t>..............</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_Toc152324825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131</w:t>
        </w:r>
        <w:r w:rsidR="00544A8E" w:rsidRPr="00544A8E">
          <w:rPr>
            <w:b w:val="0"/>
            <w:bCs/>
            <w:noProof/>
            <w:webHidden/>
            <w:szCs w:val="22"/>
          </w:rPr>
          <w:fldChar w:fldCharType="end"/>
        </w:r>
      </w:hyperlink>
    </w:p>
    <w:p w14:paraId="453FC7F7" w14:textId="0304C0AB" w:rsidR="00544A8E" w:rsidRPr="00544A8E" w:rsidRDefault="009E5BB0">
      <w:pPr>
        <w:pStyle w:val="TableofFigures"/>
        <w:rPr>
          <w:rFonts w:eastAsiaTheme="minorEastAsia" w:cstheme="minorBidi"/>
          <w:b w:val="0"/>
          <w:bCs/>
          <w:noProof/>
          <w:szCs w:val="22"/>
          <w:lang w:val="en-US" w:eastAsia="en-US"/>
        </w:rPr>
      </w:pPr>
      <w:hyperlink w:anchor="_Toc152324826" w:history="1">
        <w:r w:rsidR="00544A8E" w:rsidRPr="00544A8E">
          <w:rPr>
            <w:rStyle w:val="Hyperlink"/>
            <w:b w:val="0"/>
            <w:bCs/>
            <w:noProof/>
            <w:szCs w:val="22"/>
            <w:lang w:val="hy-AM"/>
          </w:rPr>
          <w:t>Գծապատկեր 5. 2021-2024թթ</w:t>
        </w:r>
        <w:r w:rsidR="00544A8E" w:rsidRPr="00544A8E">
          <w:rPr>
            <w:rStyle w:val="Hyperlink"/>
            <w:rFonts w:ascii="Cambria Math" w:hAnsi="Cambria Math" w:cs="Cambria Math"/>
            <w:b w:val="0"/>
            <w:bCs/>
            <w:noProof/>
            <w:szCs w:val="22"/>
            <w:lang w:val="hy-AM"/>
          </w:rPr>
          <w:t>․</w:t>
        </w:r>
        <w:r w:rsidR="00544A8E" w:rsidRPr="00544A8E">
          <w:rPr>
            <w:rStyle w:val="Hyperlink"/>
            <w:b w:val="0"/>
            <w:bCs/>
            <w:noProof/>
            <w:szCs w:val="22"/>
            <w:lang w:val="hy-AM"/>
          </w:rPr>
          <w:t xml:space="preserve"> ծախսերի համեմատականը</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_Toc152324826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133</w:t>
        </w:r>
        <w:r w:rsidR="00544A8E" w:rsidRPr="00544A8E">
          <w:rPr>
            <w:b w:val="0"/>
            <w:bCs/>
            <w:noProof/>
            <w:webHidden/>
            <w:szCs w:val="22"/>
          </w:rPr>
          <w:fldChar w:fldCharType="end"/>
        </w:r>
      </w:hyperlink>
    </w:p>
    <w:p w14:paraId="3AE71A2F" w14:textId="49C57BC8" w:rsidR="00544A8E" w:rsidRPr="00544A8E" w:rsidRDefault="009E5BB0">
      <w:pPr>
        <w:pStyle w:val="TableofFigures"/>
        <w:rPr>
          <w:rFonts w:eastAsiaTheme="minorEastAsia" w:cstheme="minorBidi"/>
          <w:b w:val="0"/>
          <w:bCs/>
          <w:noProof/>
          <w:szCs w:val="22"/>
          <w:lang w:val="en-US" w:eastAsia="en-US"/>
        </w:rPr>
      </w:pPr>
      <w:hyperlink w:anchor="_Toc152324827" w:history="1">
        <w:r w:rsidR="00544A8E" w:rsidRPr="00544A8E">
          <w:rPr>
            <w:rStyle w:val="Hyperlink"/>
            <w:rFonts w:cs="Sylfaen"/>
            <w:b w:val="0"/>
            <w:bCs/>
            <w:noProof/>
            <w:szCs w:val="22"/>
            <w:lang w:val="hy-AM"/>
          </w:rPr>
          <w:t>Գծապատկեր 6. Կառավարության պարտքի կառուցվածքն ըստ տարբեր դասակարգումների</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_Toc152324827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205</w:t>
        </w:r>
        <w:r w:rsidR="00544A8E" w:rsidRPr="00544A8E">
          <w:rPr>
            <w:b w:val="0"/>
            <w:bCs/>
            <w:noProof/>
            <w:webHidden/>
            <w:szCs w:val="22"/>
          </w:rPr>
          <w:fldChar w:fldCharType="end"/>
        </w:r>
      </w:hyperlink>
    </w:p>
    <w:p w14:paraId="4EE4538A" w14:textId="510FFE4F" w:rsidR="00544A8E" w:rsidRPr="00544A8E" w:rsidRDefault="009E5BB0">
      <w:pPr>
        <w:pStyle w:val="TableofFigures"/>
        <w:rPr>
          <w:rFonts w:eastAsiaTheme="minorEastAsia" w:cstheme="minorBidi"/>
          <w:b w:val="0"/>
          <w:bCs/>
          <w:noProof/>
          <w:szCs w:val="22"/>
          <w:lang w:val="en-US" w:eastAsia="en-US"/>
        </w:rPr>
      </w:pPr>
      <w:hyperlink w:anchor="_Toc152324828" w:history="1">
        <w:r w:rsidR="00544A8E" w:rsidRPr="00544A8E">
          <w:rPr>
            <w:rStyle w:val="Hyperlink"/>
            <w:rFonts w:cs="Sylfaen"/>
            <w:b w:val="0"/>
            <w:bCs/>
            <w:noProof/>
            <w:szCs w:val="22"/>
            <w:lang w:val="hy-AM"/>
          </w:rPr>
          <w:t>Գծապատկեր 7. Կառավարության արտաքին վարկերի գծով պարտքի կառուցվածքն ըստ վարկատուների</w:t>
        </w:r>
        <w:r w:rsidR="00544A8E">
          <w:rPr>
            <w:rStyle w:val="Hyperlink"/>
            <w:rFonts w:cs="Sylfaen"/>
            <w:b w:val="0"/>
            <w:bCs/>
            <w:noProof/>
            <w:szCs w:val="22"/>
            <w:lang w:val="hy-AM"/>
          </w:rPr>
          <w:t>............</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_Toc152324828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206</w:t>
        </w:r>
        <w:r w:rsidR="00544A8E" w:rsidRPr="00544A8E">
          <w:rPr>
            <w:b w:val="0"/>
            <w:bCs/>
            <w:noProof/>
            <w:webHidden/>
            <w:szCs w:val="22"/>
          </w:rPr>
          <w:fldChar w:fldCharType="end"/>
        </w:r>
      </w:hyperlink>
    </w:p>
    <w:p w14:paraId="2865C680" w14:textId="148FCF53" w:rsidR="00544A8E" w:rsidRPr="00544A8E" w:rsidRDefault="009E5BB0">
      <w:pPr>
        <w:pStyle w:val="TableofFigures"/>
        <w:rPr>
          <w:rFonts w:eastAsiaTheme="minorEastAsia" w:cstheme="minorBidi"/>
          <w:b w:val="0"/>
          <w:bCs/>
          <w:noProof/>
          <w:szCs w:val="22"/>
          <w:lang w:val="en-US" w:eastAsia="en-US"/>
        </w:rPr>
      </w:pPr>
      <w:hyperlink w:anchor="_Toc152324829" w:history="1">
        <w:r w:rsidR="00544A8E" w:rsidRPr="00544A8E">
          <w:rPr>
            <w:rStyle w:val="Hyperlink"/>
            <w:rFonts w:cs="Sylfaen"/>
            <w:b w:val="0"/>
            <w:bCs/>
            <w:noProof/>
            <w:szCs w:val="22"/>
            <w:lang w:val="hy-AM"/>
          </w:rPr>
          <w:t>Գծապատկեր 8. Կառավարության պարտքի մարման ժամանակացույցը 31.12.2024թ. դրությամբ (մլրդ դրամ)</w:t>
        </w:r>
        <w:r w:rsidR="00544A8E">
          <w:rPr>
            <w:rStyle w:val="Hyperlink"/>
            <w:rFonts w:cs="Sylfaen"/>
            <w:b w:val="0"/>
            <w:bCs/>
            <w:noProof/>
            <w:szCs w:val="22"/>
            <w:lang w:val="hy-AM"/>
          </w:rPr>
          <w:t>...............</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_Toc152324829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207</w:t>
        </w:r>
        <w:r w:rsidR="00544A8E" w:rsidRPr="00544A8E">
          <w:rPr>
            <w:b w:val="0"/>
            <w:bCs/>
            <w:noProof/>
            <w:webHidden/>
            <w:szCs w:val="22"/>
          </w:rPr>
          <w:fldChar w:fldCharType="end"/>
        </w:r>
      </w:hyperlink>
    </w:p>
    <w:p w14:paraId="637CEF85" w14:textId="6FFBB2BE" w:rsidR="00544A8E" w:rsidRPr="00544A8E" w:rsidRDefault="009E5BB0">
      <w:pPr>
        <w:pStyle w:val="TableofFigures"/>
        <w:rPr>
          <w:rFonts w:eastAsiaTheme="minorEastAsia" w:cstheme="minorBidi"/>
          <w:b w:val="0"/>
          <w:bCs/>
          <w:noProof/>
          <w:szCs w:val="22"/>
          <w:lang w:val="en-US" w:eastAsia="en-US"/>
        </w:rPr>
      </w:pPr>
      <w:hyperlink w:anchor="_Toc152324830" w:history="1">
        <w:r w:rsidR="00544A8E" w:rsidRPr="00544A8E">
          <w:rPr>
            <w:rStyle w:val="Hyperlink"/>
            <w:rFonts w:cs="Sylfaen"/>
            <w:b w:val="0"/>
            <w:bCs/>
            <w:noProof/>
            <w:szCs w:val="22"/>
            <w:lang w:val="hy-AM"/>
          </w:rPr>
          <w:t>Գծապատկեր 9. Մասհանումների կառուցվածքն ըստ վարկատուների (%)</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_Toc152324830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209</w:t>
        </w:r>
        <w:r w:rsidR="00544A8E" w:rsidRPr="00544A8E">
          <w:rPr>
            <w:b w:val="0"/>
            <w:bCs/>
            <w:noProof/>
            <w:webHidden/>
            <w:szCs w:val="22"/>
          </w:rPr>
          <w:fldChar w:fldCharType="end"/>
        </w:r>
      </w:hyperlink>
    </w:p>
    <w:p w14:paraId="4AFDA50C" w14:textId="2EF43082" w:rsidR="00544A8E" w:rsidRPr="00544A8E" w:rsidRDefault="009E5BB0">
      <w:pPr>
        <w:pStyle w:val="TableofFigures"/>
        <w:rPr>
          <w:rFonts w:eastAsiaTheme="minorEastAsia" w:cstheme="minorBidi"/>
          <w:b w:val="0"/>
          <w:bCs/>
          <w:noProof/>
          <w:szCs w:val="22"/>
          <w:lang w:val="en-US" w:eastAsia="en-US"/>
        </w:rPr>
      </w:pPr>
      <w:hyperlink w:anchor="_Toc152324831" w:history="1">
        <w:r w:rsidR="00544A8E" w:rsidRPr="00544A8E">
          <w:rPr>
            <w:rStyle w:val="Hyperlink"/>
            <w:b w:val="0"/>
            <w:bCs/>
            <w:noProof/>
            <w:szCs w:val="22"/>
            <w:lang w:val="hy-AM"/>
          </w:rPr>
          <w:t>Գծապատկեր 10. Մասհանումների կառուցվածքն ըստ ոլորտների  (մլն ԱՄՆ դոլար)</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_Toc152324831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209</w:t>
        </w:r>
        <w:r w:rsidR="00544A8E" w:rsidRPr="00544A8E">
          <w:rPr>
            <w:b w:val="0"/>
            <w:bCs/>
            <w:noProof/>
            <w:webHidden/>
            <w:szCs w:val="22"/>
          </w:rPr>
          <w:fldChar w:fldCharType="end"/>
        </w:r>
      </w:hyperlink>
    </w:p>
    <w:p w14:paraId="7FB18E21" w14:textId="34573439" w:rsidR="00544A8E" w:rsidRPr="00544A8E" w:rsidRDefault="009E5BB0">
      <w:pPr>
        <w:pStyle w:val="TableofFigures"/>
        <w:rPr>
          <w:rFonts w:eastAsiaTheme="minorEastAsia" w:cstheme="minorBidi"/>
          <w:b w:val="0"/>
          <w:bCs/>
          <w:noProof/>
          <w:szCs w:val="22"/>
          <w:lang w:val="en-US" w:eastAsia="en-US"/>
        </w:rPr>
      </w:pPr>
      <w:hyperlink w:anchor="_Toc152324832" w:history="1">
        <w:r w:rsidR="00544A8E" w:rsidRPr="00544A8E">
          <w:rPr>
            <w:rStyle w:val="Hyperlink"/>
            <w:b w:val="0"/>
            <w:bCs/>
            <w:noProof/>
            <w:szCs w:val="22"/>
            <w:lang w:val="hy-AM"/>
          </w:rPr>
          <w:t>Գծապատկեր 11. Մասհանումների կառուցվածքն ըստ ըստ վարկի արժույթի (%)</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_Toc152324832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209</w:t>
        </w:r>
        <w:r w:rsidR="00544A8E" w:rsidRPr="00544A8E">
          <w:rPr>
            <w:b w:val="0"/>
            <w:bCs/>
            <w:noProof/>
            <w:webHidden/>
            <w:szCs w:val="22"/>
          </w:rPr>
          <w:fldChar w:fldCharType="end"/>
        </w:r>
      </w:hyperlink>
    </w:p>
    <w:p w14:paraId="59A680D9" w14:textId="64CBD255" w:rsidR="00544A8E" w:rsidRPr="00544A8E" w:rsidRDefault="009E5BB0">
      <w:pPr>
        <w:pStyle w:val="TableofFigures"/>
        <w:rPr>
          <w:rFonts w:eastAsiaTheme="minorEastAsia" w:cstheme="minorBidi"/>
          <w:b w:val="0"/>
          <w:bCs/>
          <w:noProof/>
          <w:szCs w:val="22"/>
          <w:lang w:val="en-US" w:eastAsia="en-US"/>
        </w:rPr>
      </w:pPr>
      <w:hyperlink w:anchor="_Toc152324833" w:history="1">
        <w:r w:rsidR="00544A8E" w:rsidRPr="00544A8E">
          <w:rPr>
            <w:rStyle w:val="Hyperlink"/>
            <w:rFonts w:cs="Sylfaen"/>
            <w:b w:val="0"/>
            <w:bCs/>
            <w:noProof/>
            <w:szCs w:val="22"/>
            <w:lang w:val="hy-AM"/>
          </w:rPr>
          <w:t>Գծապատկեր 12. Սպասարկման ծախսերի կառուցվածքը (%)</w:t>
        </w:r>
        <w:r w:rsidR="00544A8E" w:rsidRPr="00544A8E">
          <w:rPr>
            <w:b w:val="0"/>
            <w:bCs/>
            <w:noProof/>
            <w:webHidden/>
            <w:szCs w:val="22"/>
          </w:rPr>
          <w:tab/>
        </w:r>
        <w:r w:rsidR="00544A8E" w:rsidRPr="00544A8E">
          <w:rPr>
            <w:b w:val="0"/>
            <w:bCs/>
            <w:noProof/>
            <w:webHidden/>
            <w:szCs w:val="22"/>
          </w:rPr>
          <w:fldChar w:fldCharType="begin"/>
        </w:r>
        <w:r w:rsidR="00544A8E" w:rsidRPr="00544A8E">
          <w:rPr>
            <w:b w:val="0"/>
            <w:bCs/>
            <w:noProof/>
            <w:webHidden/>
            <w:szCs w:val="22"/>
          </w:rPr>
          <w:instrText xml:space="preserve"> PAGEREF _Toc152324833 \h </w:instrText>
        </w:r>
        <w:r w:rsidR="00544A8E" w:rsidRPr="00544A8E">
          <w:rPr>
            <w:b w:val="0"/>
            <w:bCs/>
            <w:noProof/>
            <w:webHidden/>
            <w:szCs w:val="22"/>
          </w:rPr>
        </w:r>
        <w:r w:rsidR="00544A8E" w:rsidRPr="00544A8E">
          <w:rPr>
            <w:b w:val="0"/>
            <w:bCs/>
            <w:noProof/>
            <w:webHidden/>
            <w:szCs w:val="22"/>
          </w:rPr>
          <w:fldChar w:fldCharType="separate"/>
        </w:r>
        <w:r w:rsidR="00DB4E68">
          <w:rPr>
            <w:b w:val="0"/>
            <w:bCs/>
            <w:noProof/>
            <w:webHidden/>
            <w:szCs w:val="22"/>
          </w:rPr>
          <w:t>210</w:t>
        </w:r>
        <w:r w:rsidR="00544A8E" w:rsidRPr="00544A8E">
          <w:rPr>
            <w:b w:val="0"/>
            <w:bCs/>
            <w:noProof/>
            <w:webHidden/>
            <w:szCs w:val="22"/>
          </w:rPr>
          <w:fldChar w:fldCharType="end"/>
        </w:r>
      </w:hyperlink>
    </w:p>
    <w:p w14:paraId="4DDE5C6E" w14:textId="63A9DE38" w:rsidR="008B76F4" w:rsidRPr="00544A8E" w:rsidRDefault="003C3925" w:rsidP="00155BCD">
      <w:pPr>
        <w:tabs>
          <w:tab w:val="left" w:pos="1710"/>
        </w:tabs>
        <w:rPr>
          <w:rFonts w:eastAsia="Calibri" w:cs="Times Armenian"/>
          <w:b w:val="0"/>
          <w:bCs/>
          <w:szCs w:val="22"/>
          <w:lang w:val="en-US" w:eastAsia="en-US"/>
        </w:rPr>
      </w:pPr>
      <w:r w:rsidRPr="00544A8E">
        <w:rPr>
          <w:rFonts w:eastAsia="Calibri" w:cs="Times Armenian"/>
          <w:b w:val="0"/>
          <w:bCs/>
          <w:szCs w:val="22"/>
          <w:lang w:val="hy-AM" w:eastAsia="en-US"/>
        </w:rPr>
        <w:fldChar w:fldCharType="end"/>
      </w:r>
    </w:p>
    <w:sectPr w:rsidR="008B76F4" w:rsidRPr="00544A8E" w:rsidSect="0078250D">
      <w:footerReference w:type="default" r:id="rId99"/>
      <w:pgSz w:w="11906" w:h="16838" w:code="9"/>
      <w:pgMar w:top="1134" w:right="1015" w:bottom="425" w:left="1134"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BC9B22" w14:textId="77777777" w:rsidR="009F6FBB" w:rsidRDefault="009F6FBB" w:rsidP="00F52B25">
      <w:r>
        <w:separator/>
      </w:r>
    </w:p>
  </w:endnote>
  <w:endnote w:type="continuationSeparator" w:id="0">
    <w:p w14:paraId="7BCAE056" w14:textId="77777777" w:rsidR="009F6FBB" w:rsidRDefault="009F6FBB" w:rsidP="00F52B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HEA Grapalat">
    <w:panose1 w:val="02000506050000020003"/>
    <w:charset w:val="00"/>
    <w:family w:val="modern"/>
    <w:notTrueType/>
    <w:pitch w:val="variable"/>
    <w:sig w:usb0="A00006AF" w:usb1="5000204B" w:usb2="00000000" w:usb3="00000000" w:csb0="0000009F"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Times Armenian">
    <w:panose1 w:val="020206030504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Times LatArm">
    <w:panose1 w:val="000000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Armeni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AMU">
    <w:charset w:val="00"/>
    <w:family w:val="swiss"/>
    <w:pitch w:val="variable"/>
    <w:sig w:usb0="800006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AM">
    <w:panose1 w:val="020B0604020202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LatArm">
    <w:panose1 w:val="020B0604020202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Gill Sans">
    <w:charset w:val="00"/>
    <w:family w:val="auto"/>
    <w:pitch w:val="variable"/>
    <w:sig w:usb0="80000267" w:usb1="00000000" w:usb2="00000000" w:usb3="00000000" w:csb0="000001F7" w:csb1="00000000"/>
  </w:font>
  <w:font w:name="MS Mincho">
    <w:altName w:val="ＭＳ 明朝"/>
    <w:panose1 w:val="02020609040205080304"/>
    <w:charset w:val="80"/>
    <w:family w:val="modern"/>
    <w:pitch w:val="fixed"/>
    <w:sig w:usb0="E00002FF" w:usb1="6AC7FDFB" w:usb2="08000012" w:usb3="00000000" w:csb0="0002009F" w:csb1="00000000"/>
  </w:font>
  <w:font w:name="Baltica">
    <w:panose1 w:val="00000000000000000000"/>
    <w:charset w:val="00"/>
    <w:family w:val="auto"/>
    <w:pitch w:val="variable"/>
    <w:sig w:usb0="00000003" w:usb1="00000000" w:usb2="00000000" w:usb3="00000000" w:csb0="00000001" w:csb1="00000000"/>
  </w:font>
  <w:font w:name="Univers">
    <w:charset w:val="00"/>
    <w:family w:val="swiss"/>
    <w:pitch w:val="variable"/>
    <w:sig w:usb0="80000287" w:usb1="00000000" w:usb2="00000000" w:usb3="00000000" w:csb0="0000000F" w:csb1="00000000"/>
  </w:font>
  <w:font w:name="Russian Baltica">
    <w:charset w:val="00"/>
    <w:family w:val="roman"/>
    <w:pitch w:val="variable"/>
    <w:sig w:usb0="00000003" w:usb1="00000000" w:usb2="00000000" w:usb3="00000000" w:csb0="00000001" w:csb1="00000000"/>
  </w:font>
  <w:font w:name="Dallak Helv">
    <w:charset w:val="00"/>
    <w:family w:val="swiss"/>
    <w:pitch w:val="variable"/>
    <w:sig w:usb0="00000003" w:usb1="00000000" w:usb2="00000000" w:usb3="00000000" w:csb0="00000001" w:csb1="00000000"/>
  </w:font>
  <w:font w:name="Arial Unicode">
    <w:panose1 w:val="020B0604020202020204"/>
    <w:charset w:val="00"/>
    <w:family w:val="swiss"/>
    <w:pitch w:val="variable"/>
    <w:sig w:usb0="00000287" w:usb1="00000000" w:usb2="00000000" w:usb3="00000000" w:csb0="0000009F" w:csb1="00000000"/>
  </w:font>
  <w:font w:name="GHEA Mariam">
    <w:panose1 w:val="02000503080000020003"/>
    <w:charset w:val="00"/>
    <w:family w:val="modern"/>
    <w:notTrueType/>
    <w:pitch w:val="variable"/>
    <w:sig w:usb0="A00006AF" w:usb1="5000204B" w:usb2="00000000" w:usb3="00000000" w:csb0="0000009F" w:csb1="00000000"/>
  </w:font>
  <w:font w:name="Liberation Sans">
    <w:altName w:val="Arial"/>
    <w:charset w:val="01"/>
    <w:family w:val="roman"/>
    <w:pitch w:val="variable"/>
  </w:font>
  <w:font w:name="ヒラギノ角ゴ Pro W3">
    <w:altName w:val="Yu Gothic UI"/>
    <w:panose1 w:val="00000000000000000000"/>
    <w:charset w:val="80"/>
    <w:family w:val="auto"/>
    <w:notTrueType/>
    <w:pitch w:val="variable"/>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Unicode">
    <w:panose1 w:val="02020603050405020304"/>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GHEAGrapalat-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Browallia New">
    <w:charset w:val="DE"/>
    <w:family w:val="swiss"/>
    <w:pitch w:val="variable"/>
    <w:sig w:usb0="81000003" w:usb1="00000000" w:usb2="00000000" w:usb3="00000000" w:csb0="00010001" w:csb1="00000000"/>
  </w:font>
  <w:font w:name="Merriweather">
    <w:charset w:val="00"/>
    <w:family w:val="auto"/>
    <w:pitch w:val="variable"/>
    <w:sig w:usb0="20000207" w:usb1="00000002"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IRTEK Courier">
    <w:charset w:val="00"/>
    <w:family w:val="roman"/>
    <w:pitch w:val="fixed"/>
    <w:sig w:usb0="00000003" w:usb1="00000000" w:usb2="00000000" w:usb3="00000000" w:csb0="00000001" w:csb1="00000000"/>
  </w:font>
  <w:font w:name="GHEAGrapalat">
    <w:altName w:val="Yu Gothic UI"/>
    <w:panose1 w:val="00000000000000000000"/>
    <w:charset w:val="80"/>
    <w:family w:val="auto"/>
    <w:notTrueType/>
    <w:pitch w:val="default"/>
    <w:sig w:usb0="00000001" w:usb1="08070000" w:usb2="00000010" w:usb3="00000000" w:csb0="00020000" w:csb1="00000000"/>
  </w:font>
  <w:font w:name="Arian AMU">
    <w:charset w:val="00"/>
    <w:family w:val="auto"/>
    <w:pitch w:val="variable"/>
    <w:sig w:usb0="A1002E8F" w:usb1="10000008" w:usb2="00000000"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5852144"/>
      <w:docPartObj>
        <w:docPartGallery w:val="Page Numbers (Bottom of Page)"/>
        <w:docPartUnique/>
      </w:docPartObj>
    </w:sdtPr>
    <w:sdtEndPr>
      <w:rPr>
        <w:noProof/>
        <w:sz w:val="16"/>
        <w:szCs w:val="16"/>
      </w:rPr>
    </w:sdtEndPr>
    <w:sdtContent>
      <w:p w14:paraId="050D536E" w14:textId="16487505" w:rsidR="0078250D" w:rsidRPr="007830E5" w:rsidRDefault="0078250D">
        <w:pPr>
          <w:pStyle w:val="Footer"/>
          <w:jc w:val="right"/>
          <w:rPr>
            <w:sz w:val="16"/>
            <w:szCs w:val="16"/>
          </w:rPr>
        </w:pPr>
        <w:r w:rsidRPr="007830E5">
          <w:rPr>
            <w:sz w:val="16"/>
            <w:szCs w:val="16"/>
          </w:rPr>
          <w:fldChar w:fldCharType="begin"/>
        </w:r>
        <w:r w:rsidRPr="007830E5">
          <w:rPr>
            <w:sz w:val="16"/>
            <w:szCs w:val="16"/>
          </w:rPr>
          <w:instrText xml:space="preserve"> PAGE   \* MERGEFORMAT </w:instrText>
        </w:r>
        <w:r w:rsidRPr="007830E5">
          <w:rPr>
            <w:sz w:val="16"/>
            <w:szCs w:val="16"/>
          </w:rPr>
          <w:fldChar w:fldCharType="separate"/>
        </w:r>
        <w:r w:rsidR="009F36E3">
          <w:rPr>
            <w:noProof/>
            <w:sz w:val="16"/>
            <w:szCs w:val="16"/>
          </w:rPr>
          <w:t>130</w:t>
        </w:r>
        <w:r w:rsidRPr="007830E5">
          <w:rPr>
            <w:noProof/>
            <w:sz w:val="16"/>
            <w:szCs w:val="16"/>
          </w:rPr>
          <w:fldChar w:fldCharType="end"/>
        </w:r>
      </w:p>
    </w:sdtContent>
  </w:sdt>
  <w:p w14:paraId="6B4654F0" w14:textId="77777777" w:rsidR="0078250D" w:rsidRDefault="007825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3810316"/>
      <w:docPartObj>
        <w:docPartGallery w:val="Page Numbers (Bottom of Page)"/>
        <w:docPartUnique/>
      </w:docPartObj>
    </w:sdtPr>
    <w:sdtEndPr>
      <w:rPr>
        <w:b w:val="0"/>
        <w:bCs/>
        <w:noProof/>
        <w:sz w:val="20"/>
        <w:szCs w:val="20"/>
      </w:rPr>
    </w:sdtEndPr>
    <w:sdtContent>
      <w:p w14:paraId="520AED34" w14:textId="4EB6C54D" w:rsidR="005A7BCD" w:rsidRPr="005A7BCD" w:rsidRDefault="005A7BCD">
        <w:pPr>
          <w:pStyle w:val="Footer"/>
          <w:jc w:val="right"/>
          <w:rPr>
            <w:b w:val="0"/>
            <w:bCs/>
            <w:sz w:val="20"/>
            <w:szCs w:val="20"/>
          </w:rPr>
        </w:pPr>
        <w:r w:rsidRPr="005A7BCD">
          <w:rPr>
            <w:b w:val="0"/>
            <w:bCs/>
            <w:sz w:val="20"/>
            <w:szCs w:val="20"/>
          </w:rPr>
          <w:fldChar w:fldCharType="begin"/>
        </w:r>
        <w:r w:rsidRPr="005A7BCD">
          <w:rPr>
            <w:b w:val="0"/>
            <w:bCs/>
            <w:sz w:val="20"/>
            <w:szCs w:val="20"/>
          </w:rPr>
          <w:instrText xml:space="preserve"> PAGE   \* MERGEFORMAT </w:instrText>
        </w:r>
        <w:r w:rsidRPr="005A7BCD">
          <w:rPr>
            <w:b w:val="0"/>
            <w:bCs/>
            <w:sz w:val="20"/>
            <w:szCs w:val="20"/>
          </w:rPr>
          <w:fldChar w:fldCharType="separate"/>
        </w:r>
        <w:r w:rsidR="009F36E3">
          <w:rPr>
            <w:b w:val="0"/>
            <w:bCs/>
            <w:noProof/>
            <w:sz w:val="20"/>
            <w:szCs w:val="20"/>
          </w:rPr>
          <w:t>236</w:t>
        </w:r>
        <w:r w:rsidRPr="005A7BCD">
          <w:rPr>
            <w:b w:val="0"/>
            <w:bCs/>
            <w:noProof/>
            <w:sz w:val="20"/>
            <w:szCs w:val="20"/>
          </w:rPr>
          <w:fldChar w:fldCharType="end"/>
        </w:r>
      </w:p>
    </w:sdtContent>
  </w:sdt>
  <w:p w14:paraId="04266363" w14:textId="77777777" w:rsidR="004F3CA3" w:rsidRDefault="004F3CA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B275E" w14:textId="77777777" w:rsidR="009F6FBB" w:rsidRDefault="009F6FBB" w:rsidP="00F52B25">
      <w:r>
        <w:separator/>
      </w:r>
    </w:p>
  </w:footnote>
  <w:footnote w:type="continuationSeparator" w:id="0">
    <w:p w14:paraId="5807B769" w14:textId="77777777" w:rsidR="009F6FBB" w:rsidRDefault="009F6FBB" w:rsidP="00F52B25">
      <w:r>
        <w:continuationSeparator/>
      </w:r>
    </w:p>
  </w:footnote>
  <w:footnote w:id="1">
    <w:p w14:paraId="5DB8780D" w14:textId="77777777" w:rsidR="005D1807" w:rsidRPr="002D6400" w:rsidRDefault="005D1807" w:rsidP="005D1807">
      <w:pPr>
        <w:rPr>
          <w:b w:val="0"/>
          <w:bCs/>
          <w:sz w:val="16"/>
          <w:szCs w:val="16"/>
        </w:rPr>
      </w:pPr>
      <w:r w:rsidRPr="002D6400">
        <w:rPr>
          <w:b w:val="0"/>
          <w:bCs/>
          <w:sz w:val="16"/>
          <w:szCs w:val="16"/>
        </w:rPr>
        <w:footnoteRef/>
      </w:r>
      <w:r w:rsidRPr="002D6400">
        <w:rPr>
          <w:b w:val="0"/>
          <w:bCs/>
          <w:sz w:val="16"/>
          <w:szCs w:val="16"/>
        </w:rPr>
        <w:t xml:space="preserve">Կապիտալ ներդրումներում ներառված չէ պաշարների փոփոխությունը, ներկայացված են միայն հիմնական միջոցներում կատարված կապիտալ ներդրումները, քանի որ 2019թ.-ից ՀՀ ՎԿ կողմից պաշարների փոփոխությունը հաշվառվում է որպես հաշվեկշռող գործոն կամ այլ կերպ՝ վիճակագրական սխալները ներառվում են դրա մեջ: </w:t>
      </w:r>
    </w:p>
  </w:footnote>
  <w:footnote w:id="2">
    <w:p w14:paraId="08E278CC" w14:textId="77777777" w:rsidR="005D1807" w:rsidRPr="005D1807" w:rsidRDefault="005D1807" w:rsidP="005D1807">
      <w:pPr>
        <w:rPr>
          <w:b w:val="0"/>
          <w:bCs/>
          <w:sz w:val="16"/>
          <w:szCs w:val="16"/>
          <w:lang w:val="en-US"/>
        </w:rPr>
      </w:pPr>
      <w:r w:rsidRPr="005D1807">
        <w:rPr>
          <w:b w:val="0"/>
          <w:bCs/>
          <w:sz w:val="16"/>
          <w:szCs w:val="16"/>
        </w:rPr>
        <w:footnoteRef/>
      </w:r>
      <w:r w:rsidRPr="005D1807">
        <w:rPr>
          <w:b w:val="0"/>
          <w:bCs/>
          <w:sz w:val="16"/>
          <w:szCs w:val="16"/>
          <w:lang w:val="en-US"/>
        </w:rPr>
        <w:t xml:space="preserve"> </w:t>
      </w:r>
      <w:r w:rsidRPr="005D1807">
        <w:rPr>
          <w:b w:val="0"/>
          <w:bCs/>
          <w:sz w:val="16"/>
          <w:szCs w:val="16"/>
        </w:rPr>
        <w:t>Աղբյուրը՝</w:t>
      </w:r>
      <w:r w:rsidRPr="005D1807">
        <w:rPr>
          <w:b w:val="0"/>
          <w:bCs/>
          <w:sz w:val="16"/>
          <w:szCs w:val="16"/>
          <w:lang w:val="en-US"/>
        </w:rPr>
        <w:t xml:space="preserve"> PMI by S&amp;P Global, </w:t>
      </w:r>
      <w:hyperlink r:id="rId1" w:history="1">
        <w:r w:rsidRPr="005D1807">
          <w:rPr>
            <w:b w:val="0"/>
            <w:bCs/>
            <w:sz w:val="16"/>
            <w:szCs w:val="16"/>
            <w:lang w:val="en-US"/>
          </w:rPr>
          <w:t>https://www.pmi.spglobal.com/Public/Release/PressReleases?language=en</w:t>
        </w:r>
      </w:hyperlink>
      <w:r w:rsidRPr="005D1807">
        <w:rPr>
          <w:b w:val="0"/>
          <w:bCs/>
          <w:sz w:val="16"/>
          <w:szCs w:val="16"/>
          <w:lang w:val="en-US"/>
        </w:rPr>
        <w:t xml:space="preserve"> </w:t>
      </w:r>
    </w:p>
  </w:footnote>
  <w:footnote w:id="3">
    <w:p w14:paraId="7340D710" w14:textId="77777777" w:rsidR="005D1807" w:rsidRPr="005D1807" w:rsidRDefault="005D1807" w:rsidP="005D1807">
      <w:pPr>
        <w:rPr>
          <w:b w:val="0"/>
          <w:bCs/>
          <w:sz w:val="16"/>
          <w:szCs w:val="16"/>
          <w:lang w:val="en-US"/>
        </w:rPr>
      </w:pPr>
      <w:r w:rsidRPr="005D1807">
        <w:rPr>
          <w:b w:val="0"/>
          <w:bCs/>
          <w:sz w:val="16"/>
          <w:szCs w:val="16"/>
        </w:rPr>
        <w:footnoteRef/>
      </w:r>
      <w:r w:rsidRPr="005D1807">
        <w:rPr>
          <w:b w:val="0"/>
          <w:bCs/>
          <w:sz w:val="16"/>
          <w:szCs w:val="16"/>
          <w:lang w:val="en-US"/>
        </w:rPr>
        <w:t xml:space="preserve"> </w:t>
      </w:r>
      <w:r w:rsidRPr="005D1807">
        <w:rPr>
          <w:b w:val="0"/>
          <w:bCs/>
          <w:sz w:val="16"/>
          <w:szCs w:val="16"/>
        </w:rPr>
        <w:t>Աղբյուրը՝</w:t>
      </w:r>
      <w:r w:rsidRPr="005D1807">
        <w:rPr>
          <w:b w:val="0"/>
          <w:bCs/>
          <w:sz w:val="16"/>
          <w:szCs w:val="16"/>
          <w:lang w:val="en-US"/>
        </w:rPr>
        <w:t xml:space="preserve"> </w:t>
      </w:r>
      <w:r w:rsidRPr="005D1807">
        <w:rPr>
          <w:b w:val="0"/>
          <w:bCs/>
          <w:sz w:val="16"/>
          <w:szCs w:val="16"/>
        </w:rPr>
        <w:t>Տնտեսական</w:t>
      </w:r>
      <w:r w:rsidRPr="005D1807">
        <w:rPr>
          <w:b w:val="0"/>
          <w:bCs/>
          <w:sz w:val="16"/>
          <w:szCs w:val="16"/>
          <w:lang w:val="en-US"/>
        </w:rPr>
        <w:t xml:space="preserve"> </w:t>
      </w:r>
      <w:r w:rsidRPr="005D1807">
        <w:rPr>
          <w:b w:val="0"/>
          <w:bCs/>
          <w:sz w:val="16"/>
          <w:szCs w:val="16"/>
        </w:rPr>
        <w:t>վերլուծությունների</w:t>
      </w:r>
      <w:r w:rsidRPr="005D1807">
        <w:rPr>
          <w:b w:val="0"/>
          <w:bCs/>
          <w:sz w:val="16"/>
          <w:szCs w:val="16"/>
          <w:lang w:val="en-US"/>
        </w:rPr>
        <w:t xml:space="preserve"> </w:t>
      </w:r>
      <w:r w:rsidRPr="005D1807">
        <w:rPr>
          <w:b w:val="0"/>
          <w:bCs/>
          <w:sz w:val="16"/>
          <w:szCs w:val="16"/>
        </w:rPr>
        <w:t>բյուրո</w:t>
      </w:r>
      <w:r w:rsidRPr="005D1807">
        <w:rPr>
          <w:b w:val="0"/>
          <w:bCs/>
          <w:sz w:val="16"/>
          <w:szCs w:val="16"/>
          <w:lang w:val="en-US"/>
        </w:rPr>
        <w:t xml:space="preserve">, </w:t>
      </w:r>
      <w:hyperlink r:id="rId2" w:history="1">
        <w:r w:rsidRPr="005D1807">
          <w:rPr>
            <w:b w:val="0"/>
            <w:bCs/>
            <w:sz w:val="16"/>
            <w:szCs w:val="16"/>
            <w:lang w:val="en-US"/>
          </w:rPr>
          <w:t>https://www.bea.gov/</w:t>
        </w:r>
      </w:hyperlink>
      <w:r w:rsidRPr="005D1807">
        <w:rPr>
          <w:b w:val="0"/>
          <w:bCs/>
          <w:sz w:val="16"/>
          <w:szCs w:val="16"/>
          <w:lang w:val="en-US"/>
        </w:rPr>
        <w:t xml:space="preserve"> </w:t>
      </w:r>
    </w:p>
  </w:footnote>
  <w:footnote w:id="4">
    <w:p w14:paraId="1987806B" w14:textId="77777777" w:rsidR="005D1807" w:rsidRPr="005D1807" w:rsidRDefault="005D1807" w:rsidP="005D1807">
      <w:pPr>
        <w:rPr>
          <w:b w:val="0"/>
          <w:bCs/>
          <w:sz w:val="16"/>
          <w:szCs w:val="16"/>
          <w:lang w:val="en-US"/>
        </w:rPr>
      </w:pPr>
      <w:r w:rsidRPr="005D1807">
        <w:rPr>
          <w:b w:val="0"/>
          <w:bCs/>
          <w:sz w:val="16"/>
          <w:szCs w:val="16"/>
        </w:rPr>
        <w:footnoteRef/>
      </w:r>
      <w:r w:rsidRPr="005D1807">
        <w:rPr>
          <w:b w:val="0"/>
          <w:bCs/>
          <w:sz w:val="16"/>
          <w:szCs w:val="16"/>
          <w:lang w:val="en-US"/>
        </w:rPr>
        <w:t xml:space="preserve"> </w:t>
      </w:r>
      <w:r w:rsidRPr="005D1807">
        <w:rPr>
          <w:b w:val="0"/>
          <w:bCs/>
          <w:sz w:val="16"/>
          <w:szCs w:val="16"/>
        </w:rPr>
        <w:t>Աղբյուրը՝</w:t>
      </w:r>
      <w:r w:rsidRPr="005D1807">
        <w:rPr>
          <w:b w:val="0"/>
          <w:bCs/>
          <w:sz w:val="16"/>
          <w:szCs w:val="16"/>
          <w:lang w:val="en-US"/>
        </w:rPr>
        <w:t xml:space="preserve"> </w:t>
      </w:r>
      <w:r w:rsidRPr="005D1807">
        <w:rPr>
          <w:b w:val="0"/>
          <w:bCs/>
          <w:sz w:val="16"/>
          <w:szCs w:val="16"/>
        </w:rPr>
        <w:t>Եվրոստատ</w:t>
      </w:r>
      <w:r w:rsidRPr="005D1807">
        <w:rPr>
          <w:b w:val="0"/>
          <w:bCs/>
          <w:sz w:val="16"/>
          <w:szCs w:val="16"/>
          <w:lang w:val="en-US"/>
        </w:rPr>
        <w:t xml:space="preserve">, </w:t>
      </w:r>
      <w:hyperlink r:id="rId3" w:history="1">
        <w:r w:rsidRPr="005D1807">
          <w:rPr>
            <w:b w:val="0"/>
            <w:bCs/>
            <w:sz w:val="16"/>
            <w:szCs w:val="16"/>
            <w:lang w:val="en-US"/>
          </w:rPr>
          <w:t>https://ec.europa.eu/eurostat/</w:t>
        </w:r>
      </w:hyperlink>
      <w:r w:rsidRPr="005D1807">
        <w:rPr>
          <w:b w:val="0"/>
          <w:bCs/>
          <w:sz w:val="16"/>
          <w:szCs w:val="16"/>
          <w:lang w:val="en-US"/>
        </w:rPr>
        <w:t xml:space="preserve"> </w:t>
      </w:r>
    </w:p>
  </w:footnote>
  <w:footnote w:id="5">
    <w:p w14:paraId="7E56493B" w14:textId="77777777" w:rsidR="005D1807" w:rsidRPr="005D1807" w:rsidRDefault="005D1807" w:rsidP="005D1807">
      <w:pPr>
        <w:rPr>
          <w:b w:val="0"/>
          <w:bCs/>
          <w:sz w:val="16"/>
          <w:szCs w:val="16"/>
          <w:lang w:val="en-US"/>
        </w:rPr>
      </w:pPr>
      <w:r w:rsidRPr="005D1807">
        <w:rPr>
          <w:b w:val="0"/>
          <w:bCs/>
          <w:sz w:val="16"/>
          <w:szCs w:val="16"/>
        </w:rPr>
        <w:footnoteRef/>
      </w:r>
      <w:r w:rsidRPr="005D1807">
        <w:rPr>
          <w:b w:val="0"/>
          <w:bCs/>
          <w:sz w:val="16"/>
          <w:szCs w:val="16"/>
          <w:lang w:val="en-US"/>
        </w:rPr>
        <w:t xml:space="preserve"> </w:t>
      </w:r>
      <w:r w:rsidRPr="005D1807">
        <w:rPr>
          <w:b w:val="0"/>
          <w:bCs/>
          <w:sz w:val="16"/>
          <w:szCs w:val="16"/>
        </w:rPr>
        <w:t>Աղբյուրը՝</w:t>
      </w:r>
      <w:r w:rsidRPr="005D1807">
        <w:rPr>
          <w:b w:val="0"/>
          <w:bCs/>
          <w:sz w:val="16"/>
          <w:szCs w:val="16"/>
          <w:lang w:val="en-US"/>
        </w:rPr>
        <w:t xml:space="preserve"> </w:t>
      </w:r>
      <w:r w:rsidRPr="005D1807">
        <w:rPr>
          <w:b w:val="0"/>
          <w:bCs/>
          <w:sz w:val="16"/>
          <w:szCs w:val="16"/>
        </w:rPr>
        <w:t>Չինաստանի</w:t>
      </w:r>
      <w:r w:rsidRPr="005D1807">
        <w:rPr>
          <w:b w:val="0"/>
          <w:bCs/>
          <w:sz w:val="16"/>
          <w:szCs w:val="16"/>
          <w:lang w:val="en-US"/>
        </w:rPr>
        <w:t xml:space="preserve"> </w:t>
      </w:r>
      <w:r w:rsidRPr="005D1807">
        <w:rPr>
          <w:b w:val="0"/>
          <w:bCs/>
          <w:sz w:val="16"/>
          <w:szCs w:val="16"/>
        </w:rPr>
        <w:t>վիճակագրության</w:t>
      </w:r>
      <w:r w:rsidRPr="005D1807">
        <w:rPr>
          <w:b w:val="0"/>
          <w:bCs/>
          <w:sz w:val="16"/>
          <w:szCs w:val="16"/>
          <w:lang w:val="en-US"/>
        </w:rPr>
        <w:t xml:space="preserve"> </w:t>
      </w:r>
      <w:r w:rsidRPr="005D1807">
        <w:rPr>
          <w:b w:val="0"/>
          <w:bCs/>
          <w:sz w:val="16"/>
          <w:szCs w:val="16"/>
        </w:rPr>
        <w:t>ազգային</w:t>
      </w:r>
      <w:r w:rsidRPr="005D1807">
        <w:rPr>
          <w:b w:val="0"/>
          <w:bCs/>
          <w:sz w:val="16"/>
          <w:szCs w:val="16"/>
          <w:lang w:val="en-US"/>
        </w:rPr>
        <w:t xml:space="preserve"> </w:t>
      </w:r>
      <w:r w:rsidRPr="005D1807">
        <w:rPr>
          <w:b w:val="0"/>
          <w:bCs/>
          <w:sz w:val="16"/>
          <w:szCs w:val="16"/>
        </w:rPr>
        <w:t>բյուրո</w:t>
      </w:r>
      <w:r w:rsidRPr="005D1807">
        <w:rPr>
          <w:b w:val="0"/>
          <w:bCs/>
          <w:sz w:val="16"/>
          <w:szCs w:val="16"/>
          <w:lang w:val="en-US"/>
        </w:rPr>
        <w:t xml:space="preserve">, </w:t>
      </w:r>
      <w:hyperlink r:id="rId4" w:history="1">
        <w:r w:rsidRPr="005D1807">
          <w:rPr>
            <w:b w:val="0"/>
            <w:bCs/>
            <w:sz w:val="16"/>
            <w:szCs w:val="16"/>
            <w:lang w:val="en-US"/>
          </w:rPr>
          <w:t>http://www.stats.gov.cn/</w:t>
        </w:r>
      </w:hyperlink>
      <w:r w:rsidRPr="005D1807">
        <w:rPr>
          <w:b w:val="0"/>
          <w:bCs/>
          <w:sz w:val="16"/>
          <w:szCs w:val="16"/>
          <w:lang w:val="en-US"/>
        </w:rPr>
        <w:t xml:space="preserve"> </w:t>
      </w:r>
    </w:p>
  </w:footnote>
  <w:footnote w:id="6">
    <w:p w14:paraId="4F445DC2" w14:textId="77777777" w:rsidR="005D1807" w:rsidRPr="005D1807" w:rsidRDefault="005D1807" w:rsidP="005D1807">
      <w:pPr>
        <w:rPr>
          <w:b w:val="0"/>
          <w:bCs/>
          <w:sz w:val="16"/>
          <w:szCs w:val="16"/>
          <w:lang w:val="en-US"/>
        </w:rPr>
      </w:pPr>
      <w:r w:rsidRPr="005D1807">
        <w:rPr>
          <w:b w:val="0"/>
          <w:bCs/>
          <w:sz w:val="16"/>
          <w:szCs w:val="16"/>
        </w:rPr>
        <w:footnoteRef/>
      </w:r>
      <w:r w:rsidRPr="005D1807">
        <w:rPr>
          <w:b w:val="0"/>
          <w:bCs/>
          <w:sz w:val="16"/>
          <w:szCs w:val="16"/>
          <w:lang w:val="en-US"/>
        </w:rPr>
        <w:t xml:space="preserve"> </w:t>
      </w:r>
      <w:r w:rsidRPr="005D1807">
        <w:rPr>
          <w:b w:val="0"/>
          <w:bCs/>
          <w:sz w:val="16"/>
          <w:szCs w:val="16"/>
        </w:rPr>
        <w:t>Աղբյուրը՝</w:t>
      </w:r>
      <w:r w:rsidRPr="005D1807">
        <w:rPr>
          <w:b w:val="0"/>
          <w:bCs/>
          <w:sz w:val="16"/>
          <w:szCs w:val="16"/>
          <w:lang w:val="en-US"/>
        </w:rPr>
        <w:t xml:space="preserve"> </w:t>
      </w:r>
      <w:r w:rsidRPr="005D1807">
        <w:rPr>
          <w:b w:val="0"/>
          <w:bCs/>
          <w:sz w:val="16"/>
          <w:szCs w:val="16"/>
        </w:rPr>
        <w:t>ՌԴ</w:t>
      </w:r>
      <w:r w:rsidRPr="005D1807">
        <w:rPr>
          <w:b w:val="0"/>
          <w:bCs/>
          <w:sz w:val="16"/>
          <w:szCs w:val="16"/>
          <w:lang w:val="en-US"/>
        </w:rPr>
        <w:t xml:space="preserve"> </w:t>
      </w:r>
      <w:r w:rsidRPr="005D1807">
        <w:rPr>
          <w:b w:val="0"/>
          <w:bCs/>
          <w:sz w:val="16"/>
          <w:szCs w:val="16"/>
        </w:rPr>
        <w:t>տնտեսական</w:t>
      </w:r>
      <w:r w:rsidRPr="005D1807">
        <w:rPr>
          <w:b w:val="0"/>
          <w:bCs/>
          <w:sz w:val="16"/>
          <w:szCs w:val="16"/>
          <w:lang w:val="en-US"/>
        </w:rPr>
        <w:t xml:space="preserve"> </w:t>
      </w:r>
      <w:r w:rsidRPr="005D1807">
        <w:rPr>
          <w:b w:val="0"/>
          <w:bCs/>
          <w:sz w:val="16"/>
          <w:szCs w:val="16"/>
        </w:rPr>
        <w:t>զարգացման</w:t>
      </w:r>
      <w:r w:rsidRPr="005D1807">
        <w:rPr>
          <w:b w:val="0"/>
          <w:bCs/>
          <w:sz w:val="16"/>
          <w:szCs w:val="16"/>
          <w:lang w:val="en-US"/>
        </w:rPr>
        <w:t xml:space="preserve"> </w:t>
      </w:r>
      <w:r w:rsidRPr="005D1807">
        <w:rPr>
          <w:b w:val="0"/>
          <w:bCs/>
          <w:sz w:val="16"/>
          <w:szCs w:val="16"/>
        </w:rPr>
        <w:t>նախարարություն</w:t>
      </w:r>
      <w:r w:rsidRPr="005D1807">
        <w:rPr>
          <w:b w:val="0"/>
          <w:bCs/>
          <w:sz w:val="16"/>
          <w:szCs w:val="16"/>
          <w:lang w:val="en-US"/>
        </w:rPr>
        <w:t xml:space="preserve">, </w:t>
      </w:r>
      <w:hyperlink r:id="rId5" w:history="1">
        <w:r w:rsidRPr="005D1807">
          <w:rPr>
            <w:b w:val="0"/>
            <w:bCs/>
            <w:sz w:val="16"/>
            <w:szCs w:val="16"/>
            <w:lang w:val="en-US"/>
          </w:rPr>
          <w:t>https://economy.gov.ru/</w:t>
        </w:r>
      </w:hyperlink>
    </w:p>
  </w:footnote>
  <w:footnote w:id="7">
    <w:p w14:paraId="0CCDC91A" w14:textId="77777777" w:rsidR="005D1807" w:rsidRPr="005D1807" w:rsidRDefault="005D1807" w:rsidP="005D1807">
      <w:pPr>
        <w:rPr>
          <w:lang w:val="en-US"/>
        </w:rPr>
      </w:pPr>
      <w:r w:rsidRPr="005D1807">
        <w:rPr>
          <w:b w:val="0"/>
          <w:bCs/>
          <w:sz w:val="16"/>
          <w:szCs w:val="16"/>
        </w:rPr>
        <w:footnoteRef/>
      </w:r>
      <w:r w:rsidRPr="005D1807">
        <w:rPr>
          <w:b w:val="0"/>
          <w:bCs/>
          <w:sz w:val="16"/>
          <w:szCs w:val="16"/>
          <w:lang w:val="en-US"/>
        </w:rPr>
        <w:t xml:space="preserve"> </w:t>
      </w:r>
      <w:r w:rsidRPr="005D1807">
        <w:rPr>
          <w:b w:val="0"/>
          <w:bCs/>
          <w:sz w:val="16"/>
          <w:szCs w:val="16"/>
        </w:rPr>
        <w:t>ՌԴ</w:t>
      </w:r>
      <w:r w:rsidRPr="005D1807">
        <w:rPr>
          <w:b w:val="0"/>
          <w:bCs/>
          <w:sz w:val="16"/>
          <w:szCs w:val="16"/>
          <w:lang w:val="en-US"/>
        </w:rPr>
        <w:t xml:space="preserve"> 2023 </w:t>
      </w:r>
      <w:r w:rsidRPr="005D1807">
        <w:rPr>
          <w:b w:val="0"/>
          <w:bCs/>
          <w:sz w:val="16"/>
          <w:szCs w:val="16"/>
        </w:rPr>
        <w:t>թ</w:t>
      </w:r>
      <w:r w:rsidRPr="005D1807">
        <w:rPr>
          <w:b w:val="0"/>
          <w:bCs/>
          <w:sz w:val="16"/>
          <w:szCs w:val="16"/>
          <w:lang w:val="en-US"/>
        </w:rPr>
        <w:t xml:space="preserve">. </w:t>
      </w:r>
      <w:r w:rsidRPr="005D1807">
        <w:rPr>
          <w:b w:val="0"/>
          <w:bCs/>
          <w:sz w:val="16"/>
          <w:szCs w:val="16"/>
        </w:rPr>
        <w:t>երկրորդ</w:t>
      </w:r>
      <w:r w:rsidRPr="005D1807">
        <w:rPr>
          <w:b w:val="0"/>
          <w:bCs/>
          <w:sz w:val="16"/>
          <w:szCs w:val="16"/>
          <w:lang w:val="en-US"/>
        </w:rPr>
        <w:t xml:space="preserve"> </w:t>
      </w:r>
      <w:r w:rsidRPr="005D1807">
        <w:rPr>
          <w:b w:val="0"/>
          <w:bCs/>
          <w:sz w:val="16"/>
          <w:szCs w:val="16"/>
        </w:rPr>
        <w:t>եռամսյակի</w:t>
      </w:r>
      <w:r w:rsidRPr="005D1807">
        <w:rPr>
          <w:b w:val="0"/>
          <w:bCs/>
          <w:sz w:val="16"/>
          <w:szCs w:val="16"/>
          <w:lang w:val="en-US"/>
        </w:rPr>
        <w:t xml:space="preserve"> </w:t>
      </w:r>
      <w:r w:rsidRPr="005D1807">
        <w:rPr>
          <w:b w:val="0"/>
          <w:bCs/>
          <w:sz w:val="16"/>
          <w:szCs w:val="16"/>
        </w:rPr>
        <w:t>տնտեսական</w:t>
      </w:r>
      <w:r w:rsidRPr="005D1807">
        <w:rPr>
          <w:b w:val="0"/>
          <w:bCs/>
          <w:sz w:val="16"/>
          <w:szCs w:val="16"/>
          <w:lang w:val="en-US"/>
        </w:rPr>
        <w:t xml:space="preserve"> </w:t>
      </w:r>
      <w:r w:rsidRPr="005D1807">
        <w:rPr>
          <w:b w:val="0"/>
          <w:bCs/>
          <w:sz w:val="16"/>
          <w:szCs w:val="16"/>
        </w:rPr>
        <w:t>աճի</w:t>
      </w:r>
      <w:r w:rsidRPr="005D1807">
        <w:rPr>
          <w:b w:val="0"/>
          <w:bCs/>
          <w:sz w:val="16"/>
          <w:szCs w:val="16"/>
          <w:lang w:val="en-US"/>
        </w:rPr>
        <w:t xml:space="preserve"> </w:t>
      </w:r>
      <w:r w:rsidRPr="005D1807">
        <w:rPr>
          <w:b w:val="0"/>
          <w:bCs/>
          <w:sz w:val="16"/>
          <w:szCs w:val="16"/>
        </w:rPr>
        <w:t>ցուցանիշը</w:t>
      </w:r>
      <w:r w:rsidRPr="005D1807">
        <w:rPr>
          <w:b w:val="0"/>
          <w:bCs/>
          <w:sz w:val="16"/>
          <w:szCs w:val="16"/>
          <w:lang w:val="en-US"/>
        </w:rPr>
        <w:t xml:space="preserve"> </w:t>
      </w:r>
      <w:r w:rsidRPr="005D1807">
        <w:rPr>
          <w:b w:val="0"/>
          <w:bCs/>
          <w:sz w:val="16"/>
          <w:szCs w:val="16"/>
        </w:rPr>
        <w:t>նախնական</w:t>
      </w:r>
      <w:r w:rsidRPr="005D1807">
        <w:rPr>
          <w:b w:val="0"/>
          <w:bCs/>
          <w:sz w:val="16"/>
          <w:szCs w:val="16"/>
          <w:lang w:val="en-US"/>
        </w:rPr>
        <w:t xml:space="preserve"> </w:t>
      </w:r>
      <w:r w:rsidRPr="005D1807">
        <w:rPr>
          <w:b w:val="0"/>
          <w:bCs/>
          <w:sz w:val="16"/>
          <w:szCs w:val="16"/>
        </w:rPr>
        <w:t>գնահատական</w:t>
      </w:r>
      <w:r w:rsidRPr="005D1807">
        <w:rPr>
          <w:b w:val="0"/>
          <w:bCs/>
          <w:sz w:val="16"/>
          <w:szCs w:val="16"/>
          <w:lang w:val="en-US"/>
        </w:rPr>
        <w:t xml:space="preserve"> </w:t>
      </w:r>
      <w:r w:rsidRPr="005D1807">
        <w:rPr>
          <w:b w:val="0"/>
          <w:bCs/>
          <w:sz w:val="16"/>
          <w:szCs w:val="16"/>
        </w:rPr>
        <w:t>է՝</w:t>
      </w:r>
      <w:r w:rsidRPr="005D1807">
        <w:rPr>
          <w:b w:val="0"/>
          <w:bCs/>
          <w:sz w:val="16"/>
          <w:szCs w:val="16"/>
          <w:lang w:val="en-US"/>
        </w:rPr>
        <w:t xml:space="preserve"> </w:t>
      </w:r>
      <w:r w:rsidRPr="005D1807">
        <w:rPr>
          <w:b w:val="0"/>
          <w:bCs/>
          <w:sz w:val="16"/>
          <w:szCs w:val="16"/>
        </w:rPr>
        <w:t>հիմնված</w:t>
      </w:r>
      <w:r w:rsidRPr="005D1807">
        <w:rPr>
          <w:b w:val="0"/>
          <w:bCs/>
          <w:sz w:val="16"/>
          <w:szCs w:val="16"/>
          <w:lang w:val="en-US"/>
        </w:rPr>
        <w:t xml:space="preserve"> </w:t>
      </w:r>
      <w:r w:rsidRPr="005D1807">
        <w:rPr>
          <w:b w:val="0"/>
          <w:bCs/>
          <w:sz w:val="16"/>
          <w:szCs w:val="16"/>
        </w:rPr>
        <w:t>տնտեսական</w:t>
      </w:r>
      <w:r w:rsidRPr="005D1807">
        <w:rPr>
          <w:b w:val="0"/>
          <w:bCs/>
          <w:sz w:val="16"/>
          <w:szCs w:val="16"/>
          <w:lang w:val="en-US"/>
        </w:rPr>
        <w:t xml:space="preserve"> </w:t>
      </w:r>
      <w:r w:rsidRPr="005D1807">
        <w:rPr>
          <w:b w:val="0"/>
          <w:bCs/>
          <w:sz w:val="16"/>
          <w:szCs w:val="16"/>
        </w:rPr>
        <w:t>ակտիվության</w:t>
      </w:r>
      <w:r w:rsidRPr="005D1807">
        <w:rPr>
          <w:b w:val="0"/>
          <w:bCs/>
          <w:sz w:val="16"/>
          <w:szCs w:val="16"/>
          <w:lang w:val="en-US"/>
        </w:rPr>
        <w:t xml:space="preserve"> </w:t>
      </w:r>
      <w:r w:rsidRPr="005D1807">
        <w:rPr>
          <w:b w:val="0"/>
          <w:bCs/>
          <w:sz w:val="16"/>
          <w:szCs w:val="16"/>
        </w:rPr>
        <w:t>ցուցանիշի</w:t>
      </w:r>
      <w:r w:rsidRPr="005D1807">
        <w:rPr>
          <w:b w:val="0"/>
          <w:bCs/>
          <w:sz w:val="16"/>
          <w:szCs w:val="16"/>
          <w:lang w:val="en-US"/>
        </w:rPr>
        <w:t xml:space="preserve"> </w:t>
      </w:r>
      <w:r w:rsidRPr="005D1807">
        <w:rPr>
          <w:b w:val="0"/>
          <w:bCs/>
          <w:sz w:val="16"/>
          <w:szCs w:val="16"/>
        </w:rPr>
        <w:t>վրա</w:t>
      </w:r>
      <w:r w:rsidRPr="005D1807">
        <w:rPr>
          <w:b w:val="0"/>
          <w:bCs/>
          <w:sz w:val="16"/>
          <w:szCs w:val="16"/>
          <w:lang w:val="en-US"/>
        </w:rPr>
        <w:t>:</w:t>
      </w:r>
    </w:p>
  </w:footnote>
  <w:footnote w:id="8">
    <w:p w14:paraId="4DA893F5" w14:textId="77777777" w:rsidR="005D1807" w:rsidRPr="00CC7087" w:rsidRDefault="005D1807" w:rsidP="005D1807">
      <w:pPr>
        <w:rPr>
          <w:b w:val="0"/>
          <w:bCs/>
          <w:sz w:val="16"/>
          <w:szCs w:val="16"/>
          <w:lang w:val="en-US"/>
        </w:rPr>
      </w:pPr>
      <w:r w:rsidRPr="00CC7087">
        <w:rPr>
          <w:b w:val="0"/>
          <w:bCs/>
          <w:sz w:val="16"/>
          <w:szCs w:val="16"/>
        </w:rPr>
        <w:footnoteRef/>
      </w:r>
      <w:r w:rsidRPr="00CC7087">
        <w:rPr>
          <w:b w:val="0"/>
          <w:bCs/>
          <w:sz w:val="16"/>
          <w:szCs w:val="16"/>
          <w:lang w:val="en-US"/>
        </w:rPr>
        <w:t xml:space="preserve"> </w:t>
      </w:r>
      <w:r w:rsidRPr="00CC7087">
        <w:rPr>
          <w:b w:val="0"/>
          <w:bCs/>
          <w:sz w:val="16"/>
          <w:szCs w:val="16"/>
        </w:rPr>
        <w:t>ԱՄՆ</w:t>
      </w:r>
      <w:r w:rsidRPr="00CC7087">
        <w:rPr>
          <w:b w:val="0"/>
          <w:bCs/>
          <w:sz w:val="16"/>
          <w:szCs w:val="16"/>
          <w:lang w:val="en-US"/>
        </w:rPr>
        <w:t xml:space="preserve"> </w:t>
      </w:r>
      <w:r w:rsidRPr="00CC7087">
        <w:rPr>
          <w:b w:val="0"/>
          <w:bCs/>
          <w:sz w:val="16"/>
          <w:szCs w:val="16"/>
        </w:rPr>
        <w:t>համար</w:t>
      </w:r>
      <w:r w:rsidRPr="00CC7087">
        <w:rPr>
          <w:b w:val="0"/>
          <w:bCs/>
          <w:sz w:val="16"/>
          <w:szCs w:val="16"/>
          <w:lang w:val="en-US"/>
        </w:rPr>
        <w:t xml:space="preserve"> </w:t>
      </w:r>
      <w:r w:rsidRPr="00CC7087">
        <w:rPr>
          <w:b w:val="0"/>
          <w:bCs/>
          <w:sz w:val="16"/>
          <w:szCs w:val="16"/>
        </w:rPr>
        <w:t>դիտարկվել</w:t>
      </w:r>
      <w:r w:rsidRPr="00CC7087">
        <w:rPr>
          <w:b w:val="0"/>
          <w:bCs/>
          <w:sz w:val="16"/>
          <w:szCs w:val="16"/>
          <w:lang w:val="en-US"/>
        </w:rPr>
        <w:t xml:space="preserve"> </w:t>
      </w:r>
      <w:r w:rsidRPr="00CC7087">
        <w:rPr>
          <w:b w:val="0"/>
          <w:bCs/>
          <w:sz w:val="16"/>
          <w:szCs w:val="16"/>
        </w:rPr>
        <w:t>է</w:t>
      </w:r>
      <w:r w:rsidRPr="00CC7087">
        <w:rPr>
          <w:b w:val="0"/>
          <w:bCs/>
          <w:sz w:val="16"/>
          <w:szCs w:val="16"/>
          <w:lang w:val="en-US"/>
        </w:rPr>
        <w:t xml:space="preserve"> </w:t>
      </w:r>
      <w:r w:rsidRPr="00CC7087">
        <w:rPr>
          <w:b w:val="0"/>
          <w:bCs/>
          <w:sz w:val="16"/>
          <w:szCs w:val="16"/>
        </w:rPr>
        <w:t>դաշնային</w:t>
      </w:r>
      <w:r w:rsidRPr="00CC7087">
        <w:rPr>
          <w:b w:val="0"/>
          <w:bCs/>
          <w:sz w:val="16"/>
          <w:szCs w:val="16"/>
          <w:lang w:val="en-US"/>
        </w:rPr>
        <w:t xml:space="preserve"> </w:t>
      </w:r>
      <w:r w:rsidRPr="00CC7087">
        <w:rPr>
          <w:b w:val="0"/>
          <w:bCs/>
          <w:sz w:val="16"/>
          <w:szCs w:val="16"/>
        </w:rPr>
        <w:t>ֆոնդերի</w:t>
      </w:r>
      <w:r w:rsidRPr="00CC7087">
        <w:rPr>
          <w:b w:val="0"/>
          <w:bCs/>
          <w:sz w:val="16"/>
          <w:szCs w:val="16"/>
          <w:lang w:val="en-US"/>
        </w:rPr>
        <w:t xml:space="preserve"> </w:t>
      </w:r>
      <w:r w:rsidRPr="00CC7087">
        <w:rPr>
          <w:b w:val="0"/>
          <w:bCs/>
          <w:sz w:val="16"/>
          <w:szCs w:val="16"/>
        </w:rPr>
        <w:t>արդյունավետ</w:t>
      </w:r>
      <w:r w:rsidRPr="00CC7087">
        <w:rPr>
          <w:b w:val="0"/>
          <w:bCs/>
          <w:sz w:val="16"/>
          <w:szCs w:val="16"/>
          <w:lang w:val="en-US"/>
        </w:rPr>
        <w:t xml:space="preserve"> </w:t>
      </w:r>
      <w:r w:rsidRPr="00CC7087">
        <w:rPr>
          <w:b w:val="0"/>
          <w:bCs/>
          <w:sz w:val="16"/>
          <w:szCs w:val="16"/>
        </w:rPr>
        <w:t>տոկոսադրույքը</w:t>
      </w:r>
      <w:r w:rsidRPr="00CC7087">
        <w:rPr>
          <w:b w:val="0"/>
          <w:bCs/>
          <w:sz w:val="16"/>
          <w:szCs w:val="16"/>
          <w:lang w:val="en-US"/>
        </w:rPr>
        <w:t xml:space="preserve">, </w:t>
      </w:r>
      <w:r w:rsidRPr="00CC7087">
        <w:rPr>
          <w:b w:val="0"/>
          <w:bCs/>
          <w:sz w:val="16"/>
          <w:szCs w:val="16"/>
        </w:rPr>
        <w:t>ԵԳ՝</w:t>
      </w:r>
      <w:r w:rsidRPr="00CC7087">
        <w:rPr>
          <w:b w:val="0"/>
          <w:bCs/>
          <w:sz w:val="16"/>
          <w:szCs w:val="16"/>
          <w:lang w:val="en-US"/>
        </w:rPr>
        <w:t xml:space="preserve"> </w:t>
      </w:r>
      <w:r w:rsidRPr="00CC7087">
        <w:rPr>
          <w:b w:val="0"/>
          <w:bCs/>
          <w:sz w:val="16"/>
          <w:szCs w:val="16"/>
        </w:rPr>
        <w:t>հիմնական</w:t>
      </w:r>
      <w:r w:rsidRPr="00CC7087">
        <w:rPr>
          <w:b w:val="0"/>
          <w:bCs/>
          <w:sz w:val="16"/>
          <w:szCs w:val="16"/>
          <w:lang w:val="en-US"/>
        </w:rPr>
        <w:t xml:space="preserve"> </w:t>
      </w:r>
      <w:r w:rsidRPr="00CC7087">
        <w:rPr>
          <w:b w:val="0"/>
          <w:bCs/>
          <w:sz w:val="16"/>
          <w:szCs w:val="16"/>
        </w:rPr>
        <w:t>վերաֆինանսավորման</w:t>
      </w:r>
      <w:r w:rsidRPr="00CC7087">
        <w:rPr>
          <w:b w:val="0"/>
          <w:bCs/>
          <w:sz w:val="16"/>
          <w:szCs w:val="16"/>
          <w:lang w:val="en-US"/>
        </w:rPr>
        <w:t xml:space="preserve"> </w:t>
      </w:r>
      <w:r w:rsidRPr="00CC7087">
        <w:rPr>
          <w:b w:val="0"/>
          <w:bCs/>
          <w:sz w:val="16"/>
          <w:szCs w:val="16"/>
        </w:rPr>
        <w:t>տոկոսադրույքը</w:t>
      </w:r>
      <w:r w:rsidRPr="00CC7087">
        <w:rPr>
          <w:b w:val="0"/>
          <w:bCs/>
          <w:sz w:val="16"/>
          <w:szCs w:val="16"/>
          <w:lang w:val="en-US"/>
        </w:rPr>
        <w:t xml:space="preserve">, </w:t>
      </w:r>
      <w:r w:rsidRPr="00CC7087">
        <w:rPr>
          <w:b w:val="0"/>
          <w:bCs/>
          <w:sz w:val="16"/>
          <w:szCs w:val="16"/>
        </w:rPr>
        <w:t>Չինաստան՝</w:t>
      </w:r>
      <w:r w:rsidRPr="00CC7087">
        <w:rPr>
          <w:b w:val="0"/>
          <w:bCs/>
          <w:sz w:val="16"/>
          <w:szCs w:val="16"/>
          <w:lang w:val="en-US"/>
        </w:rPr>
        <w:t xml:space="preserve"> </w:t>
      </w:r>
      <w:r w:rsidRPr="00CC7087">
        <w:rPr>
          <w:b w:val="0"/>
          <w:bCs/>
          <w:sz w:val="16"/>
          <w:szCs w:val="16"/>
        </w:rPr>
        <w:t>վարկավորման</w:t>
      </w:r>
      <w:r w:rsidRPr="00CC7087">
        <w:rPr>
          <w:b w:val="0"/>
          <w:bCs/>
          <w:sz w:val="16"/>
          <w:szCs w:val="16"/>
          <w:lang w:val="en-US"/>
        </w:rPr>
        <w:t xml:space="preserve"> </w:t>
      </w:r>
      <w:r w:rsidRPr="00CC7087">
        <w:rPr>
          <w:b w:val="0"/>
          <w:bCs/>
          <w:sz w:val="16"/>
          <w:szCs w:val="16"/>
        </w:rPr>
        <w:t>մեկ</w:t>
      </w:r>
      <w:r w:rsidRPr="00CC7087">
        <w:rPr>
          <w:b w:val="0"/>
          <w:bCs/>
          <w:sz w:val="16"/>
          <w:szCs w:val="16"/>
          <w:lang w:val="en-US"/>
        </w:rPr>
        <w:t xml:space="preserve"> </w:t>
      </w:r>
      <w:r w:rsidRPr="00CC7087">
        <w:rPr>
          <w:b w:val="0"/>
          <w:bCs/>
          <w:sz w:val="16"/>
          <w:szCs w:val="16"/>
        </w:rPr>
        <w:t>տարվա</w:t>
      </w:r>
      <w:r w:rsidRPr="00CC7087">
        <w:rPr>
          <w:b w:val="0"/>
          <w:bCs/>
          <w:sz w:val="16"/>
          <w:szCs w:val="16"/>
          <w:lang w:val="en-US"/>
        </w:rPr>
        <w:t xml:space="preserve"> </w:t>
      </w:r>
      <w:r w:rsidRPr="00CC7087">
        <w:rPr>
          <w:b w:val="0"/>
          <w:bCs/>
          <w:sz w:val="16"/>
          <w:szCs w:val="16"/>
        </w:rPr>
        <w:t>տոկոսադրույք</w:t>
      </w:r>
      <w:r w:rsidRPr="00CC7087">
        <w:rPr>
          <w:b w:val="0"/>
          <w:bCs/>
          <w:sz w:val="16"/>
          <w:szCs w:val="16"/>
          <w:lang w:val="en-US"/>
        </w:rPr>
        <w:t xml:space="preserve"> (one-year loan prime rate), </w:t>
      </w:r>
      <w:r w:rsidRPr="00CC7087">
        <w:rPr>
          <w:b w:val="0"/>
          <w:bCs/>
          <w:sz w:val="16"/>
          <w:szCs w:val="16"/>
        </w:rPr>
        <w:t>ՌԴ՝</w:t>
      </w:r>
      <w:r w:rsidRPr="00CC7087">
        <w:rPr>
          <w:b w:val="0"/>
          <w:bCs/>
          <w:sz w:val="16"/>
          <w:szCs w:val="16"/>
          <w:lang w:val="en-US"/>
        </w:rPr>
        <w:t xml:space="preserve"> </w:t>
      </w:r>
      <w:r w:rsidRPr="00CC7087">
        <w:rPr>
          <w:b w:val="0"/>
          <w:bCs/>
          <w:sz w:val="16"/>
          <w:szCs w:val="16"/>
        </w:rPr>
        <w:t>հիմնական</w:t>
      </w:r>
      <w:r w:rsidRPr="00CC7087">
        <w:rPr>
          <w:b w:val="0"/>
          <w:bCs/>
          <w:sz w:val="16"/>
          <w:szCs w:val="16"/>
          <w:lang w:val="en-US"/>
        </w:rPr>
        <w:t xml:space="preserve"> </w:t>
      </w:r>
      <w:r w:rsidRPr="00CC7087">
        <w:rPr>
          <w:b w:val="0"/>
          <w:bCs/>
          <w:sz w:val="16"/>
          <w:szCs w:val="16"/>
        </w:rPr>
        <w:t>տոկոսադրույքը</w:t>
      </w:r>
      <w:r w:rsidRPr="00CC7087">
        <w:rPr>
          <w:b w:val="0"/>
          <w:bCs/>
          <w:sz w:val="16"/>
          <w:szCs w:val="16"/>
          <w:lang w:val="en-US"/>
        </w:rPr>
        <w:t>:</w:t>
      </w:r>
    </w:p>
  </w:footnote>
  <w:footnote w:id="9">
    <w:p w14:paraId="5740E99B" w14:textId="77777777" w:rsidR="005D1807" w:rsidRPr="00CC7087" w:rsidRDefault="005D1807" w:rsidP="005D1807">
      <w:pPr>
        <w:rPr>
          <w:b w:val="0"/>
          <w:bCs/>
          <w:sz w:val="16"/>
          <w:szCs w:val="16"/>
          <w:lang w:val="en-US"/>
        </w:rPr>
      </w:pPr>
      <w:r w:rsidRPr="00CC7087">
        <w:rPr>
          <w:b w:val="0"/>
          <w:bCs/>
          <w:sz w:val="16"/>
          <w:szCs w:val="16"/>
        </w:rPr>
        <w:footnoteRef/>
      </w:r>
      <w:r w:rsidRPr="00CC7087">
        <w:rPr>
          <w:b w:val="0"/>
          <w:bCs/>
          <w:sz w:val="16"/>
          <w:szCs w:val="16"/>
          <w:lang w:val="en-US"/>
        </w:rPr>
        <w:t xml:space="preserve"> </w:t>
      </w:r>
      <w:r w:rsidRPr="00CC7087">
        <w:rPr>
          <w:b w:val="0"/>
          <w:bCs/>
          <w:sz w:val="16"/>
          <w:szCs w:val="16"/>
        </w:rPr>
        <w:t>Աղբյուրը՝</w:t>
      </w:r>
      <w:r w:rsidRPr="00CC7087">
        <w:rPr>
          <w:b w:val="0"/>
          <w:bCs/>
          <w:sz w:val="16"/>
          <w:szCs w:val="16"/>
          <w:lang w:val="en-US"/>
        </w:rPr>
        <w:t xml:space="preserve"> </w:t>
      </w:r>
      <w:r w:rsidRPr="00CC7087">
        <w:rPr>
          <w:b w:val="0"/>
          <w:bCs/>
          <w:sz w:val="16"/>
          <w:szCs w:val="16"/>
        </w:rPr>
        <w:t>Համաշխարհային</w:t>
      </w:r>
      <w:r w:rsidRPr="00CC7087">
        <w:rPr>
          <w:b w:val="0"/>
          <w:bCs/>
          <w:sz w:val="16"/>
          <w:szCs w:val="16"/>
          <w:lang w:val="en-US"/>
        </w:rPr>
        <w:t xml:space="preserve"> </w:t>
      </w:r>
      <w:r w:rsidRPr="00CC7087">
        <w:rPr>
          <w:b w:val="0"/>
          <w:bCs/>
          <w:sz w:val="16"/>
          <w:szCs w:val="16"/>
        </w:rPr>
        <w:t>բանկ</w:t>
      </w:r>
      <w:r w:rsidRPr="00CC7087">
        <w:rPr>
          <w:b w:val="0"/>
          <w:bCs/>
          <w:sz w:val="16"/>
          <w:szCs w:val="16"/>
          <w:lang w:val="en-US"/>
        </w:rPr>
        <w:t xml:space="preserve">, </w:t>
      </w:r>
      <w:hyperlink r:id="rId6" w:history="1">
        <w:r w:rsidRPr="00CC7087">
          <w:rPr>
            <w:b w:val="0"/>
            <w:bCs/>
            <w:sz w:val="16"/>
            <w:szCs w:val="16"/>
            <w:lang w:val="en-US"/>
          </w:rPr>
          <w:t>https://www.worldbank.org/en/research/commodity-markets</w:t>
        </w:r>
      </w:hyperlink>
      <w:r w:rsidRPr="00CC7087">
        <w:rPr>
          <w:b w:val="0"/>
          <w:bCs/>
          <w:sz w:val="16"/>
          <w:szCs w:val="16"/>
          <w:lang w:val="en-US"/>
        </w:rPr>
        <w:t xml:space="preserve"> </w:t>
      </w:r>
    </w:p>
  </w:footnote>
  <w:footnote w:id="10">
    <w:p w14:paraId="704EC3B6" w14:textId="77777777" w:rsidR="005D1807" w:rsidRPr="00CC7087" w:rsidRDefault="005D1807" w:rsidP="005D1807">
      <w:pPr>
        <w:rPr>
          <w:b w:val="0"/>
          <w:bCs/>
          <w:sz w:val="16"/>
          <w:szCs w:val="16"/>
          <w:lang w:val="en-US"/>
        </w:rPr>
      </w:pPr>
      <w:r w:rsidRPr="00CC7087">
        <w:rPr>
          <w:b w:val="0"/>
          <w:bCs/>
          <w:sz w:val="16"/>
          <w:szCs w:val="16"/>
        </w:rPr>
        <w:footnoteRef/>
      </w:r>
      <w:r w:rsidRPr="00CC7087">
        <w:rPr>
          <w:b w:val="0"/>
          <w:bCs/>
          <w:sz w:val="16"/>
          <w:szCs w:val="16"/>
          <w:lang w:val="en-US"/>
        </w:rPr>
        <w:t xml:space="preserve"> </w:t>
      </w:r>
      <w:r w:rsidRPr="00CC7087">
        <w:rPr>
          <w:b w:val="0"/>
          <w:bCs/>
          <w:sz w:val="16"/>
          <w:szCs w:val="16"/>
        </w:rPr>
        <w:t>Աղբյուրը՝</w:t>
      </w:r>
      <w:r w:rsidRPr="00CC7087">
        <w:rPr>
          <w:b w:val="0"/>
          <w:bCs/>
          <w:sz w:val="16"/>
          <w:szCs w:val="16"/>
          <w:lang w:val="en-US"/>
        </w:rPr>
        <w:t xml:space="preserve"> </w:t>
      </w:r>
      <w:r w:rsidRPr="00CC7087">
        <w:rPr>
          <w:b w:val="0"/>
          <w:bCs/>
          <w:sz w:val="16"/>
          <w:szCs w:val="16"/>
        </w:rPr>
        <w:t>ՄԱԿ</w:t>
      </w:r>
      <w:r w:rsidRPr="00CC7087">
        <w:rPr>
          <w:b w:val="0"/>
          <w:bCs/>
          <w:sz w:val="16"/>
          <w:szCs w:val="16"/>
          <w:lang w:val="en-US"/>
        </w:rPr>
        <w:t xml:space="preserve"> – </w:t>
      </w:r>
      <w:r w:rsidRPr="00CC7087">
        <w:rPr>
          <w:b w:val="0"/>
          <w:bCs/>
          <w:sz w:val="16"/>
          <w:szCs w:val="16"/>
        </w:rPr>
        <w:t>ի</w:t>
      </w:r>
      <w:r w:rsidRPr="00CC7087">
        <w:rPr>
          <w:b w:val="0"/>
          <w:bCs/>
          <w:sz w:val="16"/>
          <w:szCs w:val="16"/>
          <w:lang w:val="en-US"/>
        </w:rPr>
        <w:t xml:space="preserve"> </w:t>
      </w:r>
      <w:r w:rsidRPr="00CC7087">
        <w:rPr>
          <w:b w:val="0"/>
          <w:bCs/>
          <w:sz w:val="16"/>
          <w:szCs w:val="16"/>
        </w:rPr>
        <w:t>պարենի</w:t>
      </w:r>
      <w:r w:rsidRPr="00CC7087">
        <w:rPr>
          <w:b w:val="0"/>
          <w:bCs/>
          <w:sz w:val="16"/>
          <w:szCs w:val="16"/>
          <w:lang w:val="en-US"/>
        </w:rPr>
        <w:t xml:space="preserve"> </w:t>
      </w:r>
      <w:r w:rsidRPr="00CC7087">
        <w:rPr>
          <w:b w:val="0"/>
          <w:bCs/>
          <w:sz w:val="16"/>
          <w:szCs w:val="16"/>
        </w:rPr>
        <w:t>և</w:t>
      </w:r>
      <w:r w:rsidRPr="00CC7087">
        <w:rPr>
          <w:b w:val="0"/>
          <w:bCs/>
          <w:sz w:val="16"/>
          <w:szCs w:val="16"/>
          <w:lang w:val="en-US"/>
        </w:rPr>
        <w:t xml:space="preserve"> </w:t>
      </w:r>
      <w:r w:rsidRPr="00CC7087">
        <w:rPr>
          <w:b w:val="0"/>
          <w:bCs/>
          <w:sz w:val="16"/>
          <w:szCs w:val="16"/>
        </w:rPr>
        <w:t>գյուղատնտեսության</w:t>
      </w:r>
      <w:r w:rsidRPr="00CC7087">
        <w:rPr>
          <w:b w:val="0"/>
          <w:bCs/>
          <w:sz w:val="16"/>
          <w:szCs w:val="16"/>
          <w:lang w:val="en-US"/>
        </w:rPr>
        <w:t xml:space="preserve"> </w:t>
      </w:r>
      <w:r w:rsidRPr="00CC7087">
        <w:rPr>
          <w:b w:val="0"/>
          <w:bCs/>
          <w:sz w:val="16"/>
          <w:szCs w:val="16"/>
        </w:rPr>
        <w:t>կազմակերպություն</w:t>
      </w:r>
      <w:r w:rsidRPr="00CC7087">
        <w:rPr>
          <w:b w:val="0"/>
          <w:bCs/>
          <w:sz w:val="16"/>
          <w:szCs w:val="16"/>
          <w:lang w:val="en-US"/>
        </w:rPr>
        <w:t xml:space="preserve"> </w:t>
      </w:r>
      <w:hyperlink r:id="rId7" w:history="1">
        <w:r w:rsidRPr="00CC7087">
          <w:rPr>
            <w:b w:val="0"/>
            <w:bCs/>
            <w:sz w:val="16"/>
            <w:szCs w:val="16"/>
            <w:lang w:val="en-US"/>
          </w:rPr>
          <w:t>https://www.fao.org/worldfoodsituation/foodpricesindex/en/</w:t>
        </w:r>
      </w:hyperlink>
      <w:r w:rsidRPr="00CC7087">
        <w:rPr>
          <w:b w:val="0"/>
          <w:bCs/>
          <w:sz w:val="16"/>
          <w:szCs w:val="16"/>
          <w:lang w:val="en-US"/>
        </w:rPr>
        <w:t xml:space="preserve"> </w:t>
      </w:r>
    </w:p>
  </w:footnote>
  <w:footnote w:id="11">
    <w:p w14:paraId="18B7063F" w14:textId="77777777" w:rsidR="005D1807" w:rsidRPr="00CC7087" w:rsidRDefault="005D1807" w:rsidP="005D1807">
      <w:pPr>
        <w:rPr>
          <w:b w:val="0"/>
          <w:bCs/>
          <w:sz w:val="16"/>
          <w:szCs w:val="16"/>
          <w:lang w:val="en-US"/>
        </w:rPr>
      </w:pPr>
      <w:r w:rsidRPr="00CC7087">
        <w:rPr>
          <w:b w:val="0"/>
          <w:bCs/>
          <w:sz w:val="16"/>
          <w:szCs w:val="16"/>
        </w:rPr>
        <w:footnoteRef/>
      </w:r>
      <w:r w:rsidRPr="00CC7087">
        <w:rPr>
          <w:b w:val="0"/>
          <w:bCs/>
          <w:sz w:val="16"/>
          <w:szCs w:val="16"/>
          <w:lang w:val="en-US"/>
        </w:rPr>
        <w:t xml:space="preserve"> </w:t>
      </w:r>
      <w:r w:rsidRPr="00CC7087">
        <w:rPr>
          <w:b w:val="0"/>
          <w:bCs/>
          <w:sz w:val="16"/>
          <w:szCs w:val="16"/>
        </w:rPr>
        <w:t>Դոլարի</w:t>
      </w:r>
      <w:r w:rsidRPr="00CC7087">
        <w:rPr>
          <w:b w:val="0"/>
          <w:bCs/>
          <w:sz w:val="16"/>
          <w:szCs w:val="16"/>
          <w:lang w:val="en-US"/>
        </w:rPr>
        <w:t xml:space="preserve"> </w:t>
      </w:r>
      <w:r w:rsidRPr="00CC7087">
        <w:rPr>
          <w:b w:val="0"/>
          <w:bCs/>
          <w:sz w:val="16"/>
          <w:szCs w:val="16"/>
        </w:rPr>
        <w:t>ինդեքսը</w:t>
      </w:r>
      <w:r w:rsidRPr="00CC7087">
        <w:rPr>
          <w:b w:val="0"/>
          <w:bCs/>
          <w:sz w:val="16"/>
          <w:szCs w:val="16"/>
          <w:lang w:val="en-US"/>
        </w:rPr>
        <w:t xml:space="preserve"> </w:t>
      </w:r>
      <w:r w:rsidRPr="00CC7087">
        <w:rPr>
          <w:b w:val="0"/>
          <w:bCs/>
          <w:sz w:val="16"/>
          <w:szCs w:val="16"/>
        </w:rPr>
        <w:t>հաշվարկվում</w:t>
      </w:r>
      <w:r w:rsidRPr="00CC7087">
        <w:rPr>
          <w:b w:val="0"/>
          <w:bCs/>
          <w:sz w:val="16"/>
          <w:szCs w:val="16"/>
          <w:lang w:val="en-US"/>
        </w:rPr>
        <w:t xml:space="preserve"> </w:t>
      </w:r>
      <w:r w:rsidRPr="00CC7087">
        <w:rPr>
          <w:b w:val="0"/>
          <w:bCs/>
          <w:sz w:val="16"/>
          <w:szCs w:val="16"/>
        </w:rPr>
        <w:t>է</w:t>
      </w:r>
      <w:r w:rsidRPr="00CC7087">
        <w:rPr>
          <w:b w:val="0"/>
          <w:bCs/>
          <w:sz w:val="16"/>
          <w:szCs w:val="16"/>
          <w:lang w:val="en-US"/>
        </w:rPr>
        <w:t xml:space="preserve"> </w:t>
      </w:r>
      <w:r w:rsidRPr="00CC7087">
        <w:rPr>
          <w:b w:val="0"/>
          <w:bCs/>
          <w:sz w:val="16"/>
          <w:szCs w:val="16"/>
        </w:rPr>
        <w:t>որպես</w:t>
      </w:r>
      <w:r w:rsidRPr="00CC7087">
        <w:rPr>
          <w:b w:val="0"/>
          <w:bCs/>
          <w:sz w:val="16"/>
          <w:szCs w:val="16"/>
          <w:lang w:val="en-US"/>
        </w:rPr>
        <w:t xml:space="preserve"> </w:t>
      </w:r>
      <w:r w:rsidRPr="00CC7087">
        <w:rPr>
          <w:b w:val="0"/>
          <w:bCs/>
          <w:sz w:val="16"/>
          <w:szCs w:val="16"/>
        </w:rPr>
        <w:t>կշռված</w:t>
      </w:r>
      <w:r w:rsidRPr="00CC7087">
        <w:rPr>
          <w:b w:val="0"/>
          <w:bCs/>
          <w:sz w:val="16"/>
          <w:szCs w:val="16"/>
          <w:lang w:val="en-US"/>
        </w:rPr>
        <w:t xml:space="preserve"> </w:t>
      </w:r>
      <w:r w:rsidRPr="00CC7087">
        <w:rPr>
          <w:b w:val="0"/>
          <w:bCs/>
          <w:sz w:val="16"/>
          <w:szCs w:val="16"/>
        </w:rPr>
        <w:t>երկրաչափական</w:t>
      </w:r>
      <w:r w:rsidRPr="00CC7087">
        <w:rPr>
          <w:b w:val="0"/>
          <w:bCs/>
          <w:sz w:val="16"/>
          <w:szCs w:val="16"/>
          <w:lang w:val="en-US"/>
        </w:rPr>
        <w:t xml:space="preserve"> </w:t>
      </w:r>
      <w:r w:rsidRPr="00CC7087">
        <w:rPr>
          <w:b w:val="0"/>
          <w:bCs/>
          <w:sz w:val="16"/>
          <w:szCs w:val="16"/>
        </w:rPr>
        <w:t>միջին՝</w:t>
      </w:r>
      <w:r w:rsidRPr="00CC7087">
        <w:rPr>
          <w:b w:val="0"/>
          <w:bCs/>
          <w:sz w:val="16"/>
          <w:szCs w:val="16"/>
          <w:lang w:val="en-US"/>
        </w:rPr>
        <w:t xml:space="preserve"> </w:t>
      </w:r>
      <w:r w:rsidRPr="00CC7087">
        <w:rPr>
          <w:b w:val="0"/>
          <w:bCs/>
          <w:sz w:val="16"/>
          <w:szCs w:val="16"/>
        </w:rPr>
        <w:t>հետևյալ</w:t>
      </w:r>
      <w:r w:rsidRPr="00CC7087">
        <w:rPr>
          <w:b w:val="0"/>
          <w:bCs/>
          <w:sz w:val="16"/>
          <w:szCs w:val="16"/>
          <w:lang w:val="en-US"/>
        </w:rPr>
        <w:t xml:space="preserve"> </w:t>
      </w:r>
      <w:r w:rsidRPr="00CC7087">
        <w:rPr>
          <w:b w:val="0"/>
          <w:bCs/>
          <w:sz w:val="16"/>
          <w:szCs w:val="16"/>
        </w:rPr>
        <w:t>արժույթների</w:t>
      </w:r>
      <w:r w:rsidRPr="00CC7087">
        <w:rPr>
          <w:b w:val="0"/>
          <w:bCs/>
          <w:sz w:val="16"/>
          <w:szCs w:val="16"/>
          <w:lang w:val="en-US"/>
        </w:rPr>
        <w:t xml:space="preserve"> </w:t>
      </w:r>
      <w:r w:rsidRPr="00CC7087">
        <w:rPr>
          <w:b w:val="0"/>
          <w:bCs/>
          <w:sz w:val="16"/>
          <w:szCs w:val="16"/>
        </w:rPr>
        <w:t>նկատմամբ</w:t>
      </w:r>
      <w:r w:rsidRPr="00CC7087">
        <w:rPr>
          <w:b w:val="0"/>
          <w:bCs/>
          <w:sz w:val="16"/>
          <w:szCs w:val="16"/>
          <w:lang w:val="en-US"/>
        </w:rPr>
        <w:t xml:space="preserve">. </w:t>
      </w:r>
      <w:r w:rsidRPr="00CC7087">
        <w:rPr>
          <w:b w:val="0"/>
          <w:bCs/>
          <w:sz w:val="16"/>
          <w:szCs w:val="16"/>
        </w:rPr>
        <w:t>Եվրո</w:t>
      </w:r>
      <w:r w:rsidRPr="00CC7087">
        <w:rPr>
          <w:b w:val="0"/>
          <w:bCs/>
          <w:sz w:val="16"/>
          <w:szCs w:val="16"/>
          <w:lang w:val="en-US"/>
        </w:rPr>
        <w:t xml:space="preserve">, </w:t>
      </w:r>
      <w:r w:rsidRPr="00CC7087">
        <w:rPr>
          <w:b w:val="0"/>
          <w:bCs/>
          <w:sz w:val="16"/>
          <w:szCs w:val="16"/>
        </w:rPr>
        <w:t>Ճապոնական</w:t>
      </w:r>
      <w:r w:rsidRPr="00CC7087">
        <w:rPr>
          <w:b w:val="0"/>
          <w:bCs/>
          <w:sz w:val="16"/>
          <w:szCs w:val="16"/>
          <w:lang w:val="en-US"/>
        </w:rPr>
        <w:t xml:space="preserve"> </w:t>
      </w:r>
      <w:r w:rsidRPr="00CC7087">
        <w:rPr>
          <w:b w:val="0"/>
          <w:bCs/>
          <w:sz w:val="16"/>
          <w:szCs w:val="16"/>
        </w:rPr>
        <w:t>յեն</w:t>
      </w:r>
      <w:r w:rsidRPr="00CC7087">
        <w:rPr>
          <w:b w:val="0"/>
          <w:bCs/>
          <w:sz w:val="16"/>
          <w:szCs w:val="16"/>
          <w:lang w:val="en-US"/>
        </w:rPr>
        <w:t xml:space="preserve">, </w:t>
      </w:r>
      <w:r w:rsidRPr="00CC7087">
        <w:rPr>
          <w:b w:val="0"/>
          <w:bCs/>
          <w:sz w:val="16"/>
          <w:szCs w:val="16"/>
        </w:rPr>
        <w:t>Բրիտանական</w:t>
      </w:r>
      <w:r w:rsidRPr="00CC7087">
        <w:rPr>
          <w:b w:val="0"/>
          <w:bCs/>
          <w:sz w:val="16"/>
          <w:szCs w:val="16"/>
          <w:lang w:val="en-US"/>
        </w:rPr>
        <w:t xml:space="preserve"> </w:t>
      </w:r>
      <w:r w:rsidRPr="00CC7087">
        <w:rPr>
          <w:b w:val="0"/>
          <w:bCs/>
          <w:sz w:val="16"/>
          <w:szCs w:val="16"/>
        </w:rPr>
        <w:t>ֆունտ</w:t>
      </w:r>
      <w:r w:rsidRPr="00CC7087">
        <w:rPr>
          <w:b w:val="0"/>
          <w:bCs/>
          <w:sz w:val="16"/>
          <w:szCs w:val="16"/>
          <w:lang w:val="en-US"/>
        </w:rPr>
        <w:t xml:space="preserve">, </w:t>
      </w:r>
      <w:r w:rsidRPr="00CC7087">
        <w:rPr>
          <w:b w:val="0"/>
          <w:bCs/>
          <w:sz w:val="16"/>
          <w:szCs w:val="16"/>
        </w:rPr>
        <w:t>Կանադական</w:t>
      </w:r>
      <w:r w:rsidRPr="00CC7087">
        <w:rPr>
          <w:b w:val="0"/>
          <w:bCs/>
          <w:sz w:val="16"/>
          <w:szCs w:val="16"/>
          <w:lang w:val="en-US"/>
        </w:rPr>
        <w:t xml:space="preserve"> </w:t>
      </w:r>
      <w:r w:rsidRPr="00CC7087">
        <w:rPr>
          <w:b w:val="0"/>
          <w:bCs/>
          <w:sz w:val="16"/>
          <w:szCs w:val="16"/>
        </w:rPr>
        <w:t>դոլար</w:t>
      </w:r>
      <w:r w:rsidRPr="00CC7087">
        <w:rPr>
          <w:b w:val="0"/>
          <w:bCs/>
          <w:sz w:val="16"/>
          <w:szCs w:val="16"/>
          <w:lang w:val="en-US"/>
        </w:rPr>
        <w:t xml:space="preserve">, </w:t>
      </w:r>
      <w:r w:rsidRPr="00CC7087">
        <w:rPr>
          <w:b w:val="0"/>
          <w:bCs/>
          <w:sz w:val="16"/>
          <w:szCs w:val="16"/>
        </w:rPr>
        <w:t>Շվեդական</w:t>
      </w:r>
      <w:r w:rsidRPr="00CC7087">
        <w:rPr>
          <w:b w:val="0"/>
          <w:bCs/>
          <w:sz w:val="16"/>
          <w:szCs w:val="16"/>
          <w:lang w:val="en-US"/>
        </w:rPr>
        <w:t xml:space="preserve"> </w:t>
      </w:r>
      <w:r w:rsidRPr="00CC7087">
        <w:rPr>
          <w:b w:val="0"/>
          <w:bCs/>
          <w:sz w:val="16"/>
          <w:szCs w:val="16"/>
        </w:rPr>
        <w:t>կրոն</w:t>
      </w:r>
      <w:r w:rsidRPr="00CC7087">
        <w:rPr>
          <w:b w:val="0"/>
          <w:bCs/>
          <w:sz w:val="16"/>
          <w:szCs w:val="16"/>
          <w:lang w:val="en-US"/>
        </w:rPr>
        <w:t xml:space="preserve">, </w:t>
      </w:r>
      <w:r w:rsidRPr="00CC7087">
        <w:rPr>
          <w:b w:val="0"/>
          <w:bCs/>
          <w:sz w:val="16"/>
          <w:szCs w:val="16"/>
        </w:rPr>
        <w:t>Շվեյցարական</w:t>
      </w:r>
      <w:r w:rsidRPr="00CC7087">
        <w:rPr>
          <w:b w:val="0"/>
          <w:bCs/>
          <w:sz w:val="16"/>
          <w:szCs w:val="16"/>
          <w:lang w:val="en-US"/>
        </w:rPr>
        <w:t xml:space="preserve"> </w:t>
      </w:r>
      <w:r w:rsidRPr="00CC7087">
        <w:rPr>
          <w:b w:val="0"/>
          <w:bCs/>
          <w:sz w:val="16"/>
          <w:szCs w:val="16"/>
        </w:rPr>
        <w:t>ֆրանկ։</w:t>
      </w:r>
    </w:p>
  </w:footnote>
  <w:footnote w:id="12">
    <w:p w14:paraId="40774C5E" w14:textId="77777777" w:rsidR="005D1807" w:rsidRPr="00CC7087" w:rsidRDefault="005D1807" w:rsidP="005D1807">
      <w:pPr>
        <w:rPr>
          <w:b w:val="0"/>
          <w:bCs/>
          <w:sz w:val="16"/>
          <w:szCs w:val="16"/>
          <w:lang w:val="en-US"/>
        </w:rPr>
      </w:pPr>
      <w:r w:rsidRPr="00CC7087">
        <w:rPr>
          <w:b w:val="0"/>
          <w:bCs/>
          <w:sz w:val="16"/>
          <w:szCs w:val="16"/>
        </w:rPr>
        <w:footnoteRef/>
      </w:r>
      <w:r w:rsidRPr="00CC7087">
        <w:rPr>
          <w:b w:val="0"/>
          <w:bCs/>
          <w:sz w:val="16"/>
          <w:szCs w:val="16"/>
          <w:lang w:val="en-US"/>
        </w:rPr>
        <w:t xml:space="preserve"> </w:t>
      </w:r>
      <w:r w:rsidRPr="00CC7087">
        <w:rPr>
          <w:b w:val="0"/>
          <w:bCs/>
          <w:sz w:val="16"/>
          <w:szCs w:val="16"/>
        </w:rPr>
        <w:t>Երկրի</w:t>
      </w:r>
      <w:r w:rsidRPr="00CC7087">
        <w:rPr>
          <w:b w:val="0"/>
          <w:bCs/>
          <w:sz w:val="16"/>
          <w:szCs w:val="16"/>
          <w:lang w:val="en-US"/>
        </w:rPr>
        <w:t xml:space="preserve"> </w:t>
      </w:r>
      <w:r w:rsidRPr="00CC7087">
        <w:rPr>
          <w:b w:val="0"/>
          <w:bCs/>
          <w:sz w:val="16"/>
          <w:szCs w:val="16"/>
        </w:rPr>
        <w:t>ռիսկի</w:t>
      </w:r>
      <w:r w:rsidRPr="00CC7087">
        <w:rPr>
          <w:b w:val="0"/>
          <w:bCs/>
          <w:sz w:val="16"/>
          <w:szCs w:val="16"/>
          <w:lang w:val="en-US"/>
        </w:rPr>
        <w:t xml:space="preserve"> </w:t>
      </w:r>
      <w:r w:rsidRPr="00CC7087">
        <w:rPr>
          <w:b w:val="0"/>
          <w:bCs/>
          <w:sz w:val="16"/>
          <w:szCs w:val="16"/>
        </w:rPr>
        <w:t>հավելավճարները</w:t>
      </w:r>
      <w:r w:rsidRPr="00CC7087">
        <w:rPr>
          <w:b w:val="0"/>
          <w:bCs/>
          <w:sz w:val="16"/>
          <w:szCs w:val="16"/>
          <w:lang w:val="en-US"/>
        </w:rPr>
        <w:t xml:space="preserve"> </w:t>
      </w:r>
      <w:r w:rsidRPr="00CC7087">
        <w:rPr>
          <w:b w:val="0"/>
          <w:bCs/>
          <w:sz w:val="16"/>
          <w:szCs w:val="16"/>
        </w:rPr>
        <w:t>հաշվարկված</w:t>
      </w:r>
      <w:r w:rsidRPr="00CC7087">
        <w:rPr>
          <w:b w:val="0"/>
          <w:bCs/>
          <w:sz w:val="16"/>
          <w:szCs w:val="16"/>
          <w:lang w:val="en-US"/>
        </w:rPr>
        <w:t xml:space="preserve"> </w:t>
      </w:r>
      <w:r w:rsidRPr="00CC7087">
        <w:rPr>
          <w:b w:val="0"/>
          <w:bCs/>
          <w:sz w:val="16"/>
          <w:szCs w:val="16"/>
        </w:rPr>
        <w:t>են</w:t>
      </w:r>
      <w:r w:rsidRPr="00CC7087">
        <w:rPr>
          <w:b w:val="0"/>
          <w:bCs/>
          <w:sz w:val="16"/>
          <w:szCs w:val="16"/>
          <w:lang w:val="en-US"/>
        </w:rPr>
        <w:t xml:space="preserve"> </w:t>
      </w:r>
      <w:r w:rsidRPr="00CC7087">
        <w:rPr>
          <w:b w:val="0"/>
          <w:bCs/>
          <w:sz w:val="16"/>
          <w:szCs w:val="16"/>
        </w:rPr>
        <w:t>որպես</w:t>
      </w:r>
      <w:r w:rsidRPr="00CC7087">
        <w:rPr>
          <w:b w:val="0"/>
          <w:bCs/>
          <w:sz w:val="16"/>
          <w:szCs w:val="16"/>
          <w:lang w:val="en-US"/>
        </w:rPr>
        <w:t xml:space="preserve"> </w:t>
      </w:r>
      <w:r w:rsidRPr="00CC7087">
        <w:rPr>
          <w:b w:val="0"/>
          <w:bCs/>
          <w:sz w:val="16"/>
          <w:szCs w:val="16"/>
        </w:rPr>
        <w:t>տվյալ</w:t>
      </w:r>
      <w:r w:rsidRPr="00CC7087">
        <w:rPr>
          <w:b w:val="0"/>
          <w:bCs/>
          <w:sz w:val="16"/>
          <w:szCs w:val="16"/>
          <w:lang w:val="en-US"/>
        </w:rPr>
        <w:t xml:space="preserve"> </w:t>
      </w:r>
      <w:r w:rsidRPr="00CC7087">
        <w:rPr>
          <w:b w:val="0"/>
          <w:bCs/>
          <w:sz w:val="16"/>
          <w:szCs w:val="16"/>
        </w:rPr>
        <w:t>երկրի</w:t>
      </w:r>
      <w:r w:rsidRPr="00CC7087">
        <w:rPr>
          <w:b w:val="0"/>
          <w:bCs/>
          <w:sz w:val="16"/>
          <w:szCs w:val="16"/>
          <w:lang w:val="en-US"/>
        </w:rPr>
        <w:t xml:space="preserve"> </w:t>
      </w:r>
      <w:r w:rsidRPr="00CC7087">
        <w:rPr>
          <w:b w:val="0"/>
          <w:bCs/>
          <w:sz w:val="16"/>
          <w:szCs w:val="16"/>
        </w:rPr>
        <w:t>եվրոպարտատոմսերի</w:t>
      </w:r>
      <w:r w:rsidRPr="00CC7087">
        <w:rPr>
          <w:b w:val="0"/>
          <w:bCs/>
          <w:sz w:val="16"/>
          <w:szCs w:val="16"/>
          <w:lang w:val="en-US"/>
        </w:rPr>
        <w:t xml:space="preserve"> (</w:t>
      </w:r>
      <w:r w:rsidRPr="00CC7087">
        <w:rPr>
          <w:b w:val="0"/>
          <w:bCs/>
          <w:sz w:val="16"/>
          <w:szCs w:val="16"/>
        </w:rPr>
        <w:t>դոլարային</w:t>
      </w:r>
      <w:r w:rsidRPr="00CC7087">
        <w:rPr>
          <w:b w:val="0"/>
          <w:bCs/>
          <w:sz w:val="16"/>
          <w:szCs w:val="16"/>
          <w:lang w:val="en-US"/>
        </w:rPr>
        <w:t xml:space="preserve"> </w:t>
      </w:r>
      <w:r w:rsidRPr="00CC7087">
        <w:rPr>
          <w:b w:val="0"/>
          <w:bCs/>
          <w:sz w:val="16"/>
          <w:szCs w:val="16"/>
        </w:rPr>
        <w:t>արժույթով</w:t>
      </w:r>
      <w:r w:rsidRPr="00CC7087">
        <w:rPr>
          <w:b w:val="0"/>
          <w:bCs/>
          <w:sz w:val="16"/>
          <w:szCs w:val="16"/>
          <w:lang w:val="en-US"/>
        </w:rPr>
        <w:t xml:space="preserve">) </w:t>
      </w:r>
      <w:r w:rsidRPr="00CC7087">
        <w:rPr>
          <w:b w:val="0"/>
          <w:bCs/>
          <w:sz w:val="16"/>
          <w:szCs w:val="16"/>
        </w:rPr>
        <w:t>և</w:t>
      </w:r>
      <w:r w:rsidRPr="00CC7087">
        <w:rPr>
          <w:b w:val="0"/>
          <w:bCs/>
          <w:sz w:val="16"/>
          <w:szCs w:val="16"/>
          <w:lang w:val="en-US"/>
        </w:rPr>
        <w:t xml:space="preserve"> </w:t>
      </w:r>
      <w:r w:rsidRPr="00CC7087">
        <w:rPr>
          <w:b w:val="0"/>
          <w:bCs/>
          <w:sz w:val="16"/>
          <w:szCs w:val="16"/>
        </w:rPr>
        <w:t>ԱՄՆ</w:t>
      </w:r>
      <w:r w:rsidRPr="00CC7087">
        <w:rPr>
          <w:b w:val="0"/>
          <w:bCs/>
          <w:sz w:val="16"/>
          <w:szCs w:val="16"/>
          <w:lang w:val="en-US"/>
        </w:rPr>
        <w:t xml:space="preserve"> </w:t>
      </w:r>
      <w:r w:rsidRPr="00CC7087">
        <w:rPr>
          <w:b w:val="0"/>
          <w:bCs/>
          <w:sz w:val="16"/>
          <w:szCs w:val="16"/>
        </w:rPr>
        <w:t>համապատասխան</w:t>
      </w:r>
      <w:r w:rsidRPr="00CC7087">
        <w:rPr>
          <w:b w:val="0"/>
          <w:bCs/>
          <w:sz w:val="16"/>
          <w:szCs w:val="16"/>
          <w:lang w:val="en-US"/>
        </w:rPr>
        <w:t xml:space="preserve"> </w:t>
      </w:r>
      <w:r w:rsidRPr="00CC7087">
        <w:rPr>
          <w:b w:val="0"/>
          <w:bCs/>
          <w:sz w:val="16"/>
          <w:szCs w:val="16"/>
        </w:rPr>
        <w:t>ժամկետայնությամբ</w:t>
      </w:r>
      <w:r w:rsidRPr="00CC7087">
        <w:rPr>
          <w:b w:val="0"/>
          <w:bCs/>
          <w:sz w:val="16"/>
          <w:szCs w:val="16"/>
          <w:lang w:val="en-US"/>
        </w:rPr>
        <w:t xml:space="preserve"> </w:t>
      </w:r>
      <w:r w:rsidRPr="00CC7087">
        <w:rPr>
          <w:b w:val="0"/>
          <w:bCs/>
          <w:sz w:val="16"/>
          <w:szCs w:val="16"/>
        </w:rPr>
        <w:t>գանձապետական</w:t>
      </w:r>
      <w:r w:rsidRPr="00CC7087">
        <w:rPr>
          <w:b w:val="0"/>
          <w:bCs/>
          <w:sz w:val="16"/>
          <w:szCs w:val="16"/>
          <w:lang w:val="en-US"/>
        </w:rPr>
        <w:t xml:space="preserve"> </w:t>
      </w:r>
      <w:r w:rsidRPr="00CC7087">
        <w:rPr>
          <w:b w:val="0"/>
          <w:bCs/>
          <w:sz w:val="16"/>
          <w:szCs w:val="16"/>
        </w:rPr>
        <w:t>պարտատոմսերի</w:t>
      </w:r>
      <w:r w:rsidRPr="00CC7087">
        <w:rPr>
          <w:b w:val="0"/>
          <w:bCs/>
          <w:sz w:val="16"/>
          <w:szCs w:val="16"/>
          <w:lang w:val="en-US"/>
        </w:rPr>
        <w:t xml:space="preserve"> </w:t>
      </w:r>
      <w:r w:rsidRPr="00CC7087">
        <w:rPr>
          <w:b w:val="0"/>
          <w:bCs/>
          <w:sz w:val="16"/>
          <w:szCs w:val="16"/>
        </w:rPr>
        <w:t>եկամտաբերությունների</w:t>
      </w:r>
      <w:r w:rsidRPr="00CC7087">
        <w:rPr>
          <w:b w:val="0"/>
          <w:bCs/>
          <w:sz w:val="16"/>
          <w:szCs w:val="16"/>
          <w:lang w:val="en-US"/>
        </w:rPr>
        <w:t xml:space="preserve"> </w:t>
      </w:r>
      <w:r w:rsidRPr="00CC7087">
        <w:rPr>
          <w:b w:val="0"/>
          <w:bCs/>
          <w:sz w:val="16"/>
          <w:szCs w:val="16"/>
        </w:rPr>
        <w:t>տարբերություն</w:t>
      </w:r>
      <w:r w:rsidRPr="00CC7087">
        <w:rPr>
          <w:b w:val="0"/>
          <w:bCs/>
          <w:sz w:val="16"/>
          <w:szCs w:val="16"/>
          <w:lang w:val="en-US"/>
        </w:rPr>
        <w:t xml:space="preserve"> (</w:t>
      </w:r>
      <w:r w:rsidRPr="00CC7087">
        <w:rPr>
          <w:b w:val="0"/>
          <w:bCs/>
          <w:sz w:val="16"/>
          <w:szCs w:val="16"/>
        </w:rPr>
        <w:t>պարտատոմսերի</w:t>
      </w:r>
      <w:r w:rsidRPr="00CC7087">
        <w:rPr>
          <w:b w:val="0"/>
          <w:bCs/>
          <w:sz w:val="16"/>
          <w:szCs w:val="16"/>
          <w:lang w:val="en-US"/>
        </w:rPr>
        <w:t xml:space="preserve"> </w:t>
      </w:r>
      <w:r w:rsidRPr="00CC7087">
        <w:rPr>
          <w:b w:val="0"/>
          <w:bCs/>
          <w:sz w:val="16"/>
          <w:szCs w:val="16"/>
        </w:rPr>
        <w:t>մարման</w:t>
      </w:r>
      <w:r w:rsidRPr="00CC7087">
        <w:rPr>
          <w:b w:val="0"/>
          <w:bCs/>
          <w:sz w:val="16"/>
          <w:szCs w:val="16"/>
          <w:lang w:val="en-US"/>
        </w:rPr>
        <w:t xml:space="preserve"> </w:t>
      </w:r>
      <w:r w:rsidRPr="00CC7087">
        <w:rPr>
          <w:b w:val="0"/>
          <w:bCs/>
          <w:sz w:val="16"/>
          <w:szCs w:val="16"/>
        </w:rPr>
        <w:t>ժամկետները</w:t>
      </w:r>
      <w:r w:rsidRPr="00CC7087">
        <w:rPr>
          <w:b w:val="0"/>
          <w:bCs/>
          <w:sz w:val="16"/>
          <w:szCs w:val="16"/>
          <w:lang w:val="en-US"/>
        </w:rPr>
        <w:t xml:space="preserve"> </w:t>
      </w:r>
      <w:r w:rsidRPr="00CC7087">
        <w:rPr>
          <w:b w:val="0"/>
          <w:bCs/>
          <w:sz w:val="16"/>
          <w:szCs w:val="16"/>
        </w:rPr>
        <w:t>նշված</w:t>
      </w:r>
      <w:r w:rsidRPr="00CC7087">
        <w:rPr>
          <w:b w:val="0"/>
          <w:bCs/>
          <w:sz w:val="16"/>
          <w:szCs w:val="16"/>
          <w:lang w:val="en-US"/>
        </w:rPr>
        <w:t xml:space="preserve"> </w:t>
      </w:r>
      <w:r w:rsidRPr="00CC7087">
        <w:rPr>
          <w:b w:val="0"/>
          <w:bCs/>
          <w:sz w:val="16"/>
          <w:szCs w:val="16"/>
        </w:rPr>
        <w:t>են</w:t>
      </w:r>
      <w:r w:rsidRPr="00CC7087">
        <w:rPr>
          <w:b w:val="0"/>
          <w:bCs/>
          <w:sz w:val="16"/>
          <w:szCs w:val="16"/>
          <w:lang w:val="en-US"/>
        </w:rPr>
        <w:t xml:space="preserve"> </w:t>
      </w:r>
      <w:r w:rsidRPr="00CC7087">
        <w:rPr>
          <w:b w:val="0"/>
          <w:bCs/>
          <w:sz w:val="16"/>
          <w:szCs w:val="16"/>
        </w:rPr>
        <w:t>երկրների</w:t>
      </w:r>
      <w:r w:rsidRPr="00CC7087">
        <w:rPr>
          <w:b w:val="0"/>
          <w:bCs/>
          <w:sz w:val="16"/>
          <w:szCs w:val="16"/>
          <w:lang w:val="en-US"/>
        </w:rPr>
        <w:t xml:space="preserve"> </w:t>
      </w:r>
      <w:r w:rsidRPr="00CC7087">
        <w:rPr>
          <w:b w:val="0"/>
          <w:bCs/>
          <w:sz w:val="16"/>
          <w:szCs w:val="16"/>
        </w:rPr>
        <w:t>անվանումների</w:t>
      </w:r>
      <w:r w:rsidRPr="00CC7087">
        <w:rPr>
          <w:b w:val="0"/>
          <w:bCs/>
          <w:sz w:val="16"/>
          <w:szCs w:val="16"/>
          <w:lang w:val="en-US"/>
        </w:rPr>
        <w:t xml:space="preserve"> </w:t>
      </w:r>
      <w:r w:rsidRPr="00CC7087">
        <w:rPr>
          <w:b w:val="0"/>
          <w:bCs/>
          <w:sz w:val="16"/>
          <w:szCs w:val="16"/>
        </w:rPr>
        <w:t>կողքը՝</w:t>
      </w:r>
      <w:r w:rsidRPr="00CC7087">
        <w:rPr>
          <w:b w:val="0"/>
          <w:bCs/>
          <w:sz w:val="16"/>
          <w:szCs w:val="16"/>
          <w:lang w:val="en-US"/>
        </w:rPr>
        <w:t xml:space="preserve"> </w:t>
      </w:r>
      <w:r w:rsidRPr="00CC7087">
        <w:rPr>
          <w:b w:val="0"/>
          <w:bCs/>
          <w:sz w:val="16"/>
          <w:szCs w:val="16"/>
        </w:rPr>
        <w:t>փակագծերում</w:t>
      </w:r>
      <w:r w:rsidRPr="00CC7087">
        <w:rPr>
          <w:b w:val="0"/>
          <w:bCs/>
          <w:sz w:val="16"/>
          <w:szCs w:val="16"/>
          <w:lang w:val="en-US"/>
        </w:rPr>
        <w:t xml:space="preserve">): </w:t>
      </w:r>
    </w:p>
  </w:footnote>
  <w:footnote w:id="13">
    <w:p w14:paraId="3BB995CE" w14:textId="77777777" w:rsidR="005D1807" w:rsidRPr="00CC7087" w:rsidRDefault="005D1807" w:rsidP="005D1807">
      <w:pPr>
        <w:rPr>
          <w:b w:val="0"/>
          <w:bCs/>
          <w:sz w:val="16"/>
          <w:szCs w:val="16"/>
          <w:lang w:val="en-US"/>
        </w:rPr>
      </w:pPr>
      <w:r w:rsidRPr="00CC7087">
        <w:rPr>
          <w:b w:val="0"/>
          <w:bCs/>
          <w:sz w:val="16"/>
          <w:szCs w:val="16"/>
        </w:rPr>
        <w:footnoteRef/>
      </w:r>
      <w:r w:rsidRPr="00CC7087">
        <w:rPr>
          <w:b w:val="0"/>
          <w:bCs/>
          <w:sz w:val="16"/>
          <w:szCs w:val="16"/>
        </w:rPr>
        <w:t>ՏԱՑ</w:t>
      </w:r>
      <w:r w:rsidRPr="00CC7087">
        <w:rPr>
          <w:b w:val="0"/>
          <w:bCs/>
          <w:sz w:val="16"/>
          <w:szCs w:val="16"/>
          <w:lang w:val="en-US"/>
        </w:rPr>
        <w:t>-</w:t>
      </w:r>
      <w:r w:rsidRPr="00CC7087">
        <w:rPr>
          <w:b w:val="0"/>
          <w:bCs/>
          <w:sz w:val="16"/>
          <w:szCs w:val="16"/>
        </w:rPr>
        <w:t>ի</w:t>
      </w:r>
      <w:r w:rsidRPr="00CC7087">
        <w:rPr>
          <w:b w:val="0"/>
          <w:bCs/>
          <w:sz w:val="16"/>
          <w:szCs w:val="16"/>
          <w:lang w:val="en-US"/>
        </w:rPr>
        <w:t xml:space="preserve"> </w:t>
      </w:r>
      <w:r w:rsidRPr="00CC7087">
        <w:rPr>
          <w:b w:val="0"/>
          <w:bCs/>
          <w:sz w:val="16"/>
          <w:szCs w:val="16"/>
        </w:rPr>
        <w:t>աճին</w:t>
      </w:r>
      <w:r w:rsidRPr="00CC7087">
        <w:rPr>
          <w:b w:val="0"/>
          <w:bCs/>
          <w:sz w:val="16"/>
          <w:szCs w:val="16"/>
          <w:lang w:val="en-US"/>
        </w:rPr>
        <w:t xml:space="preserve"> </w:t>
      </w:r>
      <w:r w:rsidRPr="00CC7087">
        <w:rPr>
          <w:b w:val="0"/>
          <w:bCs/>
          <w:sz w:val="16"/>
          <w:szCs w:val="16"/>
        </w:rPr>
        <w:t>ճյուղերի</w:t>
      </w:r>
      <w:r w:rsidRPr="00CC7087">
        <w:rPr>
          <w:b w:val="0"/>
          <w:bCs/>
          <w:sz w:val="16"/>
          <w:szCs w:val="16"/>
          <w:lang w:val="en-US"/>
        </w:rPr>
        <w:t xml:space="preserve"> </w:t>
      </w:r>
      <w:r w:rsidRPr="00CC7087">
        <w:rPr>
          <w:b w:val="0"/>
          <w:bCs/>
          <w:sz w:val="16"/>
          <w:szCs w:val="16"/>
        </w:rPr>
        <w:t>նպաստումները</w:t>
      </w:r>
      <w:r w:rsidRPr="00CC7087">
        <w:rPr>
          <w:b w:val="0"/>
          <w:bCs/>
          <w:sz w:val="16"/>
          <w:szCs w:val="16"/>
          <w:lang w:val="en-US"/>
        </w:rPr>
        <w:t xml:space="preserve"> </w:t>
      </w:r>
      <w:r w:rsidRPr="00CC7087">
        <w:rPr>
          <w:b w:val="0"/>
          <w:bCs/>
          <w:sz w:val="16"/>
          <w:szCs w:val="16"/>
        </w:rPr>
        <w:t>ՀՀ</w:t>
      </w:r>
      <w:r w:rsidRPr="00CC7087">
        <w:rPr>
          <w:b w:val="0"/>
          <w:bCs/>
          <w:sz w:val="16"/>
          <w:szCs w:val="16"/>
          <w:lang w:val="en-US"/>
        </w:rPr>
        <w:t xml:space="preserve"> </w:t>
      </w:r>
      <w:r w:rsidRPr="00CC7087">
        <w:rPr>
          <w:b w:val="0"/>
          <w:bCs/>
          <w:sz w:val="16"/>
          <w:szCs w:val="16"/>
        </w:rPr>
        <w:t>ֆինանսների</w:t>
      </w:r>
      <w:r w:rsidRPr="00CC7087">
        <w:rPr>
          <w:b w:val="0"/>
          <w:bCs/>
          <w:sz w:val="16"/>
          <w:szCs w:val="16"/>
          <w:lang w:val="en-US"/>
        </w:rPr>
        <w:t xml:space="preserve"> </w:t>
      </w:r>
      <w:r w:rsidRPr="00CC7087">
        <w:rPr>
          <w:b w:val="0"/>
          <w:bCs/>
          <w:sz w:val="16"/>
          <w:szCs w:val="16"/>
        </w:rPr>
        <w:t>նախարարության</w:t>
      </w:r>
      <w:r w:rsidRPr="00CC7087">
        <w:rPr>
          <w:b w:val="0"/>
          <w:bCs/>
          <w:sz w:val="16"/>
          <w:szCs w:val="16"/>
          <w:lang w:val="en-US"/>
        </w:rPr>
        <w:t xml:space="preserve"> </w:t>
      </w:r>
      <w:r w:rsidRPr="00CC7087">
        <w:rPr>
          <w:b w:val="0"/>
          <w:bCs/>
          <w:sz w:val="16"/>
          <w:szCs w:val="16"/>
        </w:rPr>
        <w:t>գնահատականներն</w:t>
      </w:r>
      <w:r w:rsidRPr="00CC7087">
        <w:rPr>
          <w:b w:val="0"/>
          <w:bCs/>
          <w:sz w:val="16"/>
          <w:szCs w:val="16"/>
          <w:lang w:val="en-US"/>
        </w:rPr>
        <w:t xml:space="preserve"> </w:t>
      </w:r>
      <w:r w:rsidRPr="00CC7087">
        <w:rPr>
          <w:b w:val="0"/>
          <w:bCs/>
          <w:sz w:val="16"/>
          <w:szCs w:val="16"/>
        </w:rPr>
        <w:t>են</w:t>
      </w:r>
      <w:r w:rsidRPr="00CC7087">
        <w:rPr>
          <w:b w:val="0"/>
          <w:bCs/>
          <w:sz w:val="16"/>
          <w:szCs w:val="16"/>
          <w:lang w:val="en-US"/>
        </w:rPr>
        <w:t xml:space="preserve">: </w:t>
      </w:r>
      <w:r w:rsidRPr="00CC7087">
        <w:rPr>
          <w:b w:val="0"/>
          <w:bCs/>
          <w:sz w:val="16"/>
          <w:szCs w:val="16"/>
        </w:rPr>
        <w:t>Գյուղատնտեսության</w:t>
      </w:r>
      <w:r w:rsidRPr="00CC7087">
        <w:rPr>
          <w:b w:val="0"/>
          <w:bCs/>
          <w:sz w:val="16"/>
          <w:szCs w:val="16"/>
          <w:lang w:val="en-US"/>
        </w:rPr>
        <w:t xml:space="preserve"> </w:t>
      </w:r>
      <w:r w:rsidRPr="00CC7087">
        <w:rPr>
          <w:b w:val="0"/>
          <w:bCs/>
          <w:sz w:val="16"/>
          <w:szCs w:val="16"/>
        </w:rPr>
        <w:t>ցուցանիշը</w:t>
      </w:r>
      <w:r w:rsidRPr="00CC7087">
        <w:rPr>
          <w:b w:val="0"/>
          <w:bCs/>
          <w:sz w:val="16"/>
          <w:szCs w:val="16"/>
          <w:lang w:val="en-US"/>
        </w:rPr>
        <w:t xml:space="preserve"> </w:t>
      </w:r>
      <w:r w:rsidRPr="00CC7087">
        <w:rPr>
          <w:b w:val="0"/>
          <w:bCs/>
          <w:sz w:val="16"/>
          <w:szCs w:val="16"/>
        </w:rPr>
        <w:t>ոչ</w:t>
      </w:r>
      <w:r w:rsidRPr="00CC7087">
        <w:rPr>
          <w:b w:val="0"/>
          <w:bCs/>
          <w:sz w:val="16"/>
          <w:szCs w:val="16"/>
          <w:lang w:val="en-US"/>
        </w:rPr>
        <w:t xml:space="preserve"> </w:t>
      </w:r>
      <w:r w:rsidRPr="00CC7087">
        <w:rPr>
          <w:b w:val="0"/>
          <w:bCs/>
          <w:sz w:val="16"/>
          <w:szCs w:val="16"/>
        </w:rPr>
        <w:t>բոլոր</w:t>
      </w:r>
      <w:r w:rsidRPr="00CC7087">
        <w:rPr>
          <w:b w:val="0"/>
          <w:bCs/>
          <w:sz w:val="16"/>
          <w:szCs w:val="16"/>
          <w:lang w:val="en-US"/>
        </w:rPr>
        <w:t xml:space="preserve"> </w:t>
      </w:r>
      <w:r w:rsidRPr="00CC7087">
        <w:rPr>
          <w:b w:val="0"/>
          <w:bCs/>
          <w:sz w:val="16"/>
          <w:szCs w:val="16"/>
        </w:rPr>
        <w:t>տեղերում</w:t>
      </w:r>
      <w:r w:rsidRPr="00CC7087">
        <w:rPr>
          <w:b w:val="0"/>
          <w:bCs/>
          <w:sz w:val="16"/>
          <w:szCs w:val="16"/>
          <w:lang w:val="en-US"/>
        </w:rPr>
        <w:t xml:space="preserve"> </w:t>
      </w:r>
      <w:r w:rsidRPr="00CC7087">
        <w:rPr>
          <w:b w:val="0"/>
          <w:bCs/>
          <w:sz w:val="16"/>
          <w:szCs w:val="16"/>
        </w:rPr>
        <w:t>է</w:t>
      </w:r>
      <w:r w:rsidRPr="00CC7087">
        <w:rPr>
          <w:b w:val="0"/>
          <w:bCs/>
          <w:sz w:val="16"/>
          <w:szCs w:val="16"/>
          <w:lang w:val="en-US"/>
        </w:rPr>
        <w:t xml:space="preserve"> </w:t>
      </w:r>
      <w:r w:rsidRPr="00CC7087">
        <w:rPr>
          <w:b w:val="0"/>
          <w:bCs/>
          <w:sz w:val="16"/>
          <w:szCs w:val="16"/>
        </w:rPr>
        <w:t>ներառված</w:t>
      </w:r>
      <w:r w:rsidRPr="00CC7087">
        <w:rPr>
          <w:b w:val="0"/>
          <w:bCs/>
          <w:sz w:val="16"/>
          <w:szCs w:val="16"/>
          <w:lang w:val="en-US"/>
        </w:rPr>
        <w:t xml:space="preserve"> </w:t>
      </w:r>
      <w:r w:rsidRPr="00CC7087">
        <w:rPr>
          <w:b w:val="0"/>
          <w:bCs/>
          <w:sz w:val="16"/>
          <w:szCs w:val="16"/>
        </w:rPr>
        <w:t>հաշվարկներում</w:t>
      </w:r>
      <w:r w:rsidRPr="00CC7087">
        <w:rPr>
          <w:b w:val="0"/>
          <w:bCs/>
          <w:sz w:val="16"/>
          <w:szCs w:val="16"/>
          <w:lang w:val="en-US"/>
        </w:rPr>
        <w:t xml:space="preserve">, </w:t>
      </w:r>
      <w:r w:rsidRPr="00CC7087">
        <w:rPr>
          <w:b w:val="0"/>
          <w:bCs/>
          <w:sz w:val="16"/>
          <w:szCs w:val="16"/>
        </w:rPr>
        <w:t>քանի</w:t>
      </w:r>
      <w:r w:rsidRPr="00CC7087">
        <w:rPr>
          <w:b w:val="0"/>
          <w:bCs/>
          <w:sz w:val="16"/>
          <w:szCs w:val="16"/>
          <w:lang w:val="en-US"/>
        </w:rPr>
        <w:t xml:space="preserve"> </w:t>
      </w:r>
      <w:r w:rsidRPr="00CC7087">
        <w:rPr>
          <w:b w:val="0"/>
          <w:bCs/>
          <w:sz w:val="16"/>
          <w:szCs w:val="16"/>
        </w:rPr>
        <w:t>որ</w:t>
      </w:r>
      <w:r w:rsidRPr="00CC7087">
        <w:rPr>
          <w:b w:val="0"/>
          <w:bCs/>
          <w:sz w:val="16"/>
          <w:szCs w:val="16"/>
          <w:lang w:val="en-US"/>
        </w:rPr>
        <w:t xml:space="preserve"> </w:t>
      </w:r>
      <w:r w:rsidRPr="00CC7087">
        <w:rPr>
          <w:b w:val="0"/>
          <w:bCs/>
          <w:sz w:val="16"/>
          <w:szCs w:val="16"/>
        </w:rPr>
        <w:t>հրապարակվում</w:t>
      </w:r>
      <w:r w:rsidRPr="00CC7087">
        <w:rPr>
          <w:b w:val="0"/>
          <w:bCs/>
          <w:sz w:val="16"/>
          <w:szCs w:val="16"/>
          <w:lang w:val="en-US"/>
        </w:rPr>
        <w:t xml:space="preserve"> </w:t>
      </w:r>
      <w:r w:rsidRPr="00CC7087">
        <w:rPr>
          <w:b w:val="0"/>
          <w:bCs/>
          <w:sz w:val="16"/>
          <w:szCs w:val="16"/>
        </w:rPr>
        <w:t>է</w:t>
      </w:r>
      <w:r w:rsidRPr="00CC7087">
        <w:rPr>
          <w:b w:val="0"/>
          <w:bCs/>
          <w:sz w:val="16"/>
          <w:szCs w:val="16"/>
          <w:lang w:val="en-US"/>
        </w:rPr>
        <w:t xml:space="preserve"> </w:t>
      </w:r>
      <w:r w:rsidRPr="00CC7087">
        <w:rPr>
          <w:b w:val="0"/>
          <w:bCs/>
          <w:sz w:val="16"/>
          <w:szCs w:val="16"/>
        </w:rPr>
        <w:t>եռամսյակային</w:t>
      </w:r>
      <w:r w:rsidRPr="00CC7087">
        <w:rPr>
          <w:b w:val="0"/>
          <w:bCs/>
          <w:sz w:val="16"/>
          <w:szCs w:val="16"/>
          <w:lang w:val="en-US"/>
        </w:rPr>
        <w:t xml:space="preserve"> </w:t>
      </w:r>
      <w:r w:rsidRPr="00CC7087">
        <w:rPr>
          <w:b w:val="0"/>
          <w:bCs/>
          <w:sz w:val="16"/>
          <w:szCs w:val="16"/>
        </w:rPr>
        <w:t>պարբերականությամբ՝</w:t>
      </w:r>
      <w:r w:rsidRPr="00CC7087">
        <w:rPr>
          <w:b w:val="0"/>
          <w:bCs/>
          <w:sz w:val="16"/>
          <w:szCs w:val="16"/>
          <w:lang w:val="en-US"/>
        </w:rPr>
        <w:t xml:space="preserve"> </w:t>
      </w:r>
      <w:r w:rsidRPr="00CC7087">
        <w:rPr>
          <w:b w:val="0"/>
          <w:bCs/>
          <w:sz w:val="16"/>
          <w:szCs w:val="16"/>
        </w:rPr>
        <w:t>պայմանավորված</w:t>
      </w:r>
      <w:r w:rsidRPr="00CC7087">
        <w:rPr>
          <w:b w:val="0"/>
          <w:bCs/>
          <w:sz w:val="16"/>
          <w:szCs w:val="16"/>
          <w:lang w:val="en-US"/>
        </w:rPr>
        <w:t xml:space="preserve"> </w:t>
      </w:r>
      <w:r w:rsidRPr="00CC7087">
        <w:rPr>
          <w:b w:val="0"/>
          <w:bCs/>
          <w:sz w:val="16"/>
          <w:szCs w:val="16"/>
        </w:rPr>
        <w:t>գյուղատնտեսության</w:t>
      </w:r>
      <w:r w:rsidRPr="00CC7087">
        <w:rPr>
          <w:b w:val="0"/>
          <w:bCs/>
          <w:sz w:val="16"/>
          <w:szCs w:val="16"/>
          <w:lang w:val="en-US"/>
        </w:rPr>
        <w:t xml:space="preserve"> </w:t>
      </w:r>
      <w:r w:rsidRPr="00CC7087">
        <w:rPr>
          <w:b w:val="0"/>
          <w:bCs/>
          <w:sz w:val="16"/>
          <w:szCs w:val="16"/>
        </w:rPr>
        <w:t>սեզոնայնությամբ</w:t>
      </w:r>
      <w:r w:rsidRPr="00CC7087">
        <w:rPr>
          <w:b w:val="0"/>
          <w:bCs/>
          <w:sz w:val="16"/>
          <w:szCs w:val="16"/>
          <w:lang w:val="en-US"/>
        </w:rPr>
        <w:t xml:space="preserve"> </w:t>
      </w:r>
      <w:r w:rsidRPr="00CC7087">
        <w:rPr>
          <w:b w:val="0"/>
          <w:bCs/>
          <w:sz w:val="16"/>
          <w:szCs w:val="16"/>
        </w:rPr>
        <w:t>և</w:t>
      </w:r>
      <w:r w:rsidRPr="00CC7087">
        <w:rPr>
          <w:b w:val="0"/>
          <w:bCs/>
          <w:sz w:val="16"/>
          <w:szCs w:val="16"/>
          <w:lang w:val="en-US"/>
        </w:rPr>
        <w:t xml:space="preserve"> </w:t>
      </w:r>
      <w:r w:rsidRPr="00CC7087">
        <w:rPr>
          <w:b w:val="0"/>
          <w:bCs/>
          <w:sz w:val="16"/>
          <w:szCs w:val="16"/>
        </w:rPr>
        <w:t>բնակլիմայական</w:t>
      </w:r>
      <w:r w:rsidRPr="00CC7087">
        <w:rPr>
          <w:b w:val="0"/>
          <w:bCs/>
          <w:sz w:val="16"/>
          <w:szCs w:val="16"/>
          <w:lang w:val="en-US"/>
        </w:rPr>
        <w:t xml:space="preserve"> </w:t>
      </w:r>
      <w:r w:rsidRPr="00CC7087">
        <w:rPr>
          <w:b w:val="0"/>
          <w:bCs/>
          <w:sz w:val="16"/>
          <w:szCs w:val="16"/>
        </w:rPr>
        <w:t>ոչ</w:t>
      </w:r>
      <w:r w:rsidRPr="00CC7087">
        <w:rPr>
          <w:b w:val="0"/>
          <w:bCs/>
          <w:sz w:val="16"/>
          <w:szCs w:val="16"/>
          <w:lang w:val="en-US"/>
        </w:rPr>
        <w:t xml:space="preserve"> </w:t>
      </w:r>
      <w:r w:rsidRPr="00CC7087">
        <w:rPr>
          <w:b w:val="0"/>
          <w:bCs/>
          <w:sz w:val="16"/>
          <w:szCs w:val="16"/>
        </w:rPr>
        <w:t>կայուն</w:t>
      </w:r>
      <w:r w:rsidRPr="00CC7087">
        <w:rPr>
          <w:b w:val="0"/>
          <w:bCs/>
          <w:sz w:val="16"/>
          <w:szCs w:val="16"/>
          <w:lang w:val="en-US"/>
        </w:rPr>
        <w:t xml:space="preserve"> </w:t>
      </w:r>
      <w:r w:rsidRPr="00CC7087">
        <w:rPr>
          <w:b w:val="0"/>
          <w:bCs/>
          <w:sz w:val="16"/>
          <w:szCs w:val="16"/>
        </w:rPr>
        <w:t>պայմաններից</w:t>
      </w:r>
      <w:r w:rsidRPr="00CC7087">
        <w:rPr>
          <w:b w:val="0"/>
          <w:bCs/>
          <w:sz w:val="16"/>
          <w:szCs w:val="16"/>
          <w:lang w:val="en-US"/>
        </w:rPr>
        <w:t xml:space="preserve"> </w:t>
      </w:r>
      <w:r w:rsidRPr="00CC7087">
        <w:rPr>
          <w:b w:val="0"/>
          <w:bCs/>
          <w:sz w:val="16"/>
          <w:szCs w:val="16"/>
        </w:rPr>
        <w:t>կախված</w:t>
      </w:r>
      <w:r w:rsidRPr="00CC7087">
        <w:rPr>
          <w:b w:val="0"/>
          <w:bCs/>
          <w:sz w:val="16"/>
          <w:szCs w:val="16"/>
          <w:lang w:val="en-US"/>
        </w:rPr>
        <w:t xml:space="preserve"> </w:t>
      </w:r>
      <w:r w:rsidRPr="00CC7087">
        <w:rPr>
          <w:b w:val="0"/>
          <w:bCs/>
          <w:sz w:val="16"/>
          <w:szCs w:val="16"/>
        </w:rPr>
        <w:t>ամսական</w:t>
      </w:r>
      <w:r w:rsidRPr="00CC7087">
        <w:rPr>
          <w:b w:val="0"/>
          <w:bCs/>
          <w:sz w:val="16"/>
          <w:szCs w:val="16"/>
          <w:lang w:val="en-US"/>
        </w:rPr>
        <w:t xml:space="preserve"> </w:t>
      </w:r>
      <w:r w:rsidRPr="00CC7087">
        <w:rPr>
          <w:b w:val="0"/>
          <w:bCs/>
          <w:sz w:val="16"/>
          <w:szCs w:val="16"/>
        </w:rPr>
        <w:t>արտադրության</w:t>
      </w:r>
      <w:r w:rsidRPr="00CC7087">
        <w:rPr>
          <w:b w:val="0"/>
          <w:bCs/>
          <w:sz w:val="16"/>
          <w:szCs w:val="16"/>
          <w:lang w:val="en-US"/>
        </w:rPr>
        <w:t xml:space="preserve"> </w:t>
      </w:r>
      <w:r w:rsidRPr="00CC7087">
        <w:rPr>
          <w:b w:val="0"/>
          <w:bCs/>
          <w:sz w:val="16"/>
          <w:szCs w:val="16"/>
        </w:rPr>
        <w:t>տատանողականության</w:t>
      </w:r>
      <w:r w:rsidRPr="00CC7087">
        <w:rPr>
          <w:b w:val="0"/>
          <w:bCs/>
          <w:sz w:val="16"/>
          <w:szCs w:val="16"/>
          <w:lang w:val="en-US"/>
        </w:rPr>
        <w:t xml:space="preserve"> </w:t>
      </w:r>
      <w:r w:rsidRPr="00CC7087">
        <w:rPr>
          <w:b w:val="0"/>
          <w:bCs/>
          <w:sz w:val="16"/>
          <w:szCs w:val="16"/>
        </w:rPr>
        <w:t>հարթեցման</w:t>
      </w:r>
      <w:r w:rsidRPr="00CC7087">
        <w:rPr>
          <w:b w:val="0"/>
          <w:bCs/>
          <w:sz w:val="16"/>
          <w:szCs w:val="16"/>
          <w:lang w:val="en-US"/>
        </w:rPr>
        <w:t xml:space="preserve"> </w:t>
      </w:r>
      <w:r w:rsidRPr="00CC7087">
        <w:rPr>
          <w:b w:val="0"/>
          <w:bCs/>
          <w:sz w:val="16"/>
          <w:szCs w:val="16"/>
        </w:rPr>
        <w:t>անհրաժեշտությամբ</w:t>
      </w:r>
      <w:r w:rsidRPr="00CC7087">
        <w:rPr>
          <w:b w:val="0"/>
          <w:bCs/>
          <w:sz w:val="16"/>
          <w:szCs w:val="16"/>
          <w:lang w:val="en-US"/>
        </w:rPr>
        <w:t>:</w:t>
      </w:r>
    </w:p>
  </w:footnote>
  <w:footnote w:id="14">
    <w:p w14:paraId="59B4C9A4" w14:textId="77777777" w:rsidR="005D1807" w:rsidRPr="00CC7087" w:rsidRDefault="005D1807" w:rsidP="005D1807">
      <w:pPr>
        <w:rPr>
          <w:b w:val="0"/>
          <w:bCs/>
          <w:sz w:val="16"/>
          <w:szCs w:val="16"/>
          <w:lang w:val="en-US"/>
        </w:rPr>
      </w:pPr>
      <w:r w:rsidRPr="00CC7087">
        <w:rPr>
          <w:b w:val="0"/>
          <w:bCs/>
          <w:sz w:val="16"/>
          <w:szCs w:val="16"/>
        </w:rPr>
        <w:footnoteRef/>
      </w:r>
      <w:r w:rsidRPr="00CC7087">
        <w:rPr>
          <w:b w:val="0"/>
          <w:bCs/>
          <w:sz w:val="16"/>
          <w:szCs w:val="16"/>
        </w:rPr>
        <w:t>ՏԱՑ</w:t>
      </w:r>
      <w:r w:rsidRPr="00CC7087">
        <w:rPr>
          <w:b w:val="0"/>
          <w:bCs/>
          <w:sz w:val="16"/>
          <w:szCs w:val="16"/>
          <w:lang w:val="en-US"/>
        </w:rPr>
        <w:t>-</w:t>
      </w:r>
      <w:r w:rsidRPr="00CC7087">
        <w:rPr>
          <w:b w:val="0"/>
          <w:bCs/>
          <w:sz w:val="16"/>
          <w:szCs w:val="16"/>
        </w:rPr>
        <w:t>ի</w:t>
      </w:r>
      <w:r w:rsidRPr="00CC7087">
        <w:rPr>
          <w:b w:val="0"/>
          <w:bCs/>
          <w:sz w:val="16"/>
          <w:szCs w:val="16"/>
          <w:lang w:val="en-US"/>
        </w:rPr>
        <w:t xml:space="preserve"> </w:t>
      </w:r>
      <w:r w:rsidRPr="00CC7087">
        <w:rPr>
          <w:b w:val="0"/>
          <w:bCs/>
          <w:sz w:val="16"/>
          <w:szCs w:val="16"/>
        </w:rPr>
        <w:t>նպաստումների</w:t>
      </w:r>
      <w:r w:rsidRPr="00CC7087">
        <w:rPr>
          <w:b w:val="0"/>
          <w:bCs/>
          <w:sz w:val="16"/>
          <w:szCs w:val="16"/>
          <w:lang w:val="en-US"/>
        </w:rPr>
        <w:t xml:space="preserve"> «</w:t>
      </w:r>
      <w:r w:rsidRPr="00CC7087">
        <w:rPr>
          <w:b w:val="0"/>
          <w:bCs/>
          <w:sz w:val="16"/>
          <w:szCs w:val="16"/>
        </w:rPr>
        <w:t>այլ</w:t>
      </w:r>
      <w:r w:rsidRPr="00CC7087">
        <w:rPr>
          <w:b w:val="0"/>
          <w:bCs/>
          <w:sz w:val="16"/>
          <w:szCs w:val="16"/>
          <w:lang w:val="en-US"/>
        </w:rPr>
        <w:t xml:space="preserve">» </w:t>
      </w:r>
      <w:r w:rsidRPr="00CC7087">
        <w:rPr>
          <w:b w:val="0"/>
          <w:bCs/>
          <w:sz w:val="16"/>
          <w:szCs w:val="16"/>
        </w:rPr>
        <w:t>բաղադրիչի</w:t>
      </w:r>
      <w:r w:rsidRPr="00CC7087">
        <w:rPr>
          <w:b w:val="0"/>
          <w:bCs/>
          <w:sz w:val="16"/>
          <w:szCs w:val="16"/>
          <w:lang w:val="en-US"/>
        </w:rPr>
        <w:t xml:space="preserve"> </w:t>
      </w:r>
      <w:r w:rsidRPr="00CC7087">
        <w:rPr>
          <w:b w:val="0"/>
          <w:bCs/>
          <w:sz w:val="16"/>
          <w:szCs w:val="16"/>
        </w:rPr>
        <w:t>մեջ</w:t>
      </w:r>
      <w:r w:rsidRPr="00CC7087">
        <w:rPr>
          <w:b w:val="0"/>
          <w:bCs/>
          <w:sz w:val="16"/>
          <w:szCs w:val="16"/>
          <w:lang w:val="en-US"/>
        </w:rPr>
        <w:t xml:space="preserve"> </w:t>
      </w:r>
      <w:r w:rsidRPr="00CC7087">
        <w:rPr>
          <w:b w:val="0"/>
          <w:bCs/>
          <w:sz w:val="16"/>
          <w:szCs w:val="16"/>
        </w:rPr>
        <w:t>ներառված</w:t>
      </w:r>
      <w:r w:rsidRPr="00CC7087">
        <w:rPr>
          <w:b w:val="0"/>
          <w:bCs/>
          <w:sz w:val="16"/>
          <w:szCs w:val="16"/>
          <w:lang w:val="en-US"/>
        </w:rPr>
        <w:t xml:space="preserve"> </w:t>
      </w:r>
      <w:r w:rsidRPr="00CC7087">
        <w:rPr>
          <w:b w:val="0"/>
          <w:bCs/>
          <w:sz w:val="16"/>
          <w:szCs w:val="16"/>
        </w:rPr>
        <w:t>են</w:t>
      </w:r>
      <w:r w:rsidRPr="00CC7087">
        <w:rPr>
          <w:b w:val="0"/>
          <w:bCs/>
          <w:sz w:val="16"/>
          <w:szCs w:val="16"/>
          <w:lang w:val="en-US"/>
        </w:rPr>
        <w:t xml:space="preserve"> </w:t>
      </w:r>
      <w:r w:rsidRPr="00CC7087">
        <w:rPr>
          <w:b w:val="0"/>
          <w:bCs/>
          <w:sz w:val="16"/>
          <w:szCs w:val="16"/>
        </w:rPr>
        <w:t>գյուղատնտեսության</w:t>
      </w:r>
      <w:r w:rsidRPr="00CC7087">
        <w:rPr>
          <w:b w:val="0"/>
          <w:bCs/>
          <w:sz w:val="16"/>
          <w:szCs w:val="16"/>
          <w:lang w:val="en-US"/>
        </w:rPr>
        <w:t xml:space="preserve"> (</w:t>
      </w:r>
      <w:r w:rsidRPr="00CC7087">
        <w:rPr>
          <w:b w:val="0"/>
          <w:bCs/>
          <w:sz w:val="16"/>
          <w:szCs w:val="16"/>
        </w:rPr>
        <w:t>բացառությամբ՝</w:t>
      </w:r>
      <w:r w:rsidRPr="00CC7087">
        <w:rPr>
          <w:b w:val="0"/>
          <w:bCs/>
          <w:sz w:val="16"/>
          <w:szCs w:val="16"/>
          <w:lang w:val="en-US"/>
        </w:rPr>
        <w:t xml:space="preserve"> </w:t>
      </w:r>
      <w:r w:rsidRPr="00CC7087">
        <w:rPr>
          <w:b w:val="0"/>
          <w:bCs/>
          <w:sz w:val="16"/>
          <w:szCs w:val="16"/>
        </w:rPr>
        <w:t>հունվար</w:t>
      </w:r>
      <w:r w:rsidRPr="00CC7087">
        <w:rPr>
          <w:b w:val="0"/>
          <w:bCs/>
          <w:sz w:val="16"/>
          <w:szCs w:val="16"/>
          <w:lang w:val="en-US"/>
        </w:rPr>
        <w:t>-</w:t>
      </w:r>
      <w:r w:rsidRPr="00CC7087">
        <w:rPr>
          <w:b w:val="0"/>
          <w:bCs/>
          <w:sz w:val="16"/>
          <w:szCs w:val="16"/>
        </w:rPr>
        <w:t>մարտի</w:t>
      </w:r>
      <w:r w:rsidRPr="00CC7087">
        <w:rPr>
          <w:b w:val="0"/>
          <w:bCs/>
          <w:sz w:val="16"/>
          <w:szCs w:val="16"/>
          <w:lang w:val="en-US"/>
        </w:rPr>
        <w:t xml:space="preserve">) </w:t>
      </w:r>
      <w:r w:rsidRPr="00CC7087">
        <w:rPr>
          <w:b w:val="0"/>
          <w:bCs/>
          <w:sz w:val="16"/>
          <w:szCs w:val="16"/>
        </w:rPr>
        <w:t>և</w:t>
      </w:r>
      <w:r w:rsidRPr="00CC7087">
        <w:rPr>
          <w:b w:val="0"/>
          <w:bCs/>
          <w:sz w:val="16"/>
          <w:szCs w:val="16"/>
          <w:lang w:val="en-US"/>
        </w:rPr>
        <w:t xml:space="preserve"> </w:t>
      </w:r>
      <w:r w:rsidRPr="00CC7087">
        <w:rPr>
          <w:b w:val="0"/>
          <w:bCs/>
          <w:sz w:val="16"/>
          <w:szCs w:val="16"/>
        </w:rPr>
        <w:t>ոչ</w:t>
      </w:r>
      <w:r w:rsidRPr="00CC7087">
        <w:rPr>
          <w:b w:val="0"/>
          <w:bCs/>
          <w:sz w:val="16"/>
          <w:szCs w:val="16"/>
          <w:lang w:val="en-US"/>
        </w:rPr>
        <w:t xml:space="preserve"> </w:t>
      </w:r>
      <w:r w:rsidRPr="00CC7087">
        <w:rPr>
          <w:b w:val="0"/>
          <w:bCs/>
          <w:sz w:val="16"/>
          <w:szCs w:val="16"/>
        </w:rPr>
        <w:t>շուկայական</w:t>
      </w:r>
      <w:r w:rsidRPr="00CC7087">
        <w:rPr>
          <w:b w:val="0"/>
          <w:bCs/>
          <w:sz w:val="16"/>
          <w:szCs w:val="16"/>
          <w:lang w:val="en-US"/>
        </w:rPr>
        <w:t xml:space="preserve"> </w:t>
      </w:r>
      <w:r w:rsidRPr="00CC7087">
        <w:rPr>
          <w:b w:val="0"/>
          <w:bCs/>
          <w:sz w:val="16"/>
          <w:szCs w:val="16"/>
        </w:rPr>
        <w:t>ծառայությունների</w:t>
      </w:r>
      <w:r w:rsidRPr="00CC7087">
        <w:rPr>
          <w:b w:val="0"/>
          <w:bCs/>
          <w:sz w:val="16"/>
          <w:szCs w:val="16"/>
          <w:lang w:val="en-US"/>
        </w:rPr>
        <w:t xml:space="preserve"> </w:t>
      </w:r>
      <w:r w:rsidRPr="00CC7087">
        <w:rPr>
          <w:b w:val="0"/>
          <w:bCs/>
          <w:sz w:val="16"/>
          <w:szCs w:val="16"/>
        </w:rPr>
        <w:t>նպաստումները</w:t>
      </w:r>
      <w:r w:rsidRPr="00CC7087">
        <w:rPr>
          <w:b w:val="0"/>
          <w:bCs/>
          <w:sz w:val="16"/>
          <w:szCs w:val="16"/>
          <w:lang w:val="en-US"/>
        </w:rPr>
        <w:t>:</w:t>
      </w:r>
    </w:p>
  </w:footnote>
  <w:footnote w:id="15">
    <w:p w14:paraId="07A86F33" w14:textId="77777777" w:rsidR="005D1807" w:rsidRPr="005E6B5D" w:rsidRDefault="005D1807" w:rsidP="005D1807">
      <w:pPr>
        <w:rPr>
          <w:rFonts w:eastAsia="Merriweather"/>
          <w:b w:val="0"/>
          <w:bCs/>
          <w:sz w:val="16"/>
          <w:szCs w:val="16"/>
          <w:lang w:val="en-US"/>
        </w:rPr>
      </w:pPr>
      <w:r w:rsidRPr="005E6B5D">
        <w:rPr>
          <w:b w:val="0"/>
          <w:bCs/>
          <w:sz w:val="16"/>
          <w:szCs w:val="16"/>
        </w:rPr>
        <w:footnoteRef/>
      </w:r>
      <w:r w:rsidRPr="005E6B5D">
        <w:rPr>
          <w:b w:val="0"/>
          <w:bCs/>
          <w:sz w:val="16"/>
          <w:szCs w:val="16"/>
          <w:lang w:val="en-US"/>
        </w:rPr>
        <w:t xml:space="preserve"> </w:t>
      </w:r>
      <w:r w:rsidRPr="005E6B5D">
        <w:rPr>
          <w:b w:val="0"/>
          <w:bCs/>
          <w:sz w:val="16"/>
          <w:szCs w:val="16"/>
        </w:rPr>
        <w:t>ՀՀ</w:t>
      </w:r>
      <w:r w:rsidRPr="005E6B5D">
        <w:rPr>
          <w:b w:val="0"/>
          <w:bCs/>
          <w:sz w:val="16"/>
          <w:szCs w:val="16"/>
          <w:lang w:val="en-US"/>
        </w:rPr>
        <w:t xml:space="preserve"> </w:t>
      </w:r>
      <w:r w:rsidRPr="005E6B5D">
        <w:rPr>
          <w:b w:val="0"/>
          <w:bCs/>
          <w:sz w:val="16"/>
          <w:szCs w:val="16"/>
        </w:rPr>
        <w:t>ֆինանսների</w:t>
      </w:r>
      <w:r w:rsidRPr="005E6B5D">
        <w:rPr>
          <w:b w:val="0"/>
          <w:bCs/>
          <w:sz w:val="16"/>
          <w:szCs w:val="16"/>
          <w:lang w:val="en-US"/>
        </w:rPr>
        <w:t xml:space="preserve"> </w:t>
      </w:r>
      <w:r w:rsidRPr="005E6B5D">
        <w:rPr>
          <w:b w:val="0"/>
          <w:bCs/>
          <w:sz w:val="16"/>
          <w:szCs w:val="16"/>
        </w:rPr>
        <w:t>նախարարության</w:t>
      </w:r>
      <w:r w:rsidRPr="005E6B5D">
        <w:rPr>
          <w:b w:val="0"/>
          <w:bCs/>
          <w:sz w:val="16"/>
          <w:szCs w:val="16"/>
          <w:lang w:val="en-US"/>
        </w:rPr>
        <w:t xml:space="preserve"> </w:t>
      </w:r>
      <w:r w:rsidRPr="005E6B5D">
        <w:rPr>
          <w:b w:val="0"/>
          <w:bCs/>
          <w:sz w:val="16"/>
          <w:szCs w:val="16"/>
        </w:rPr>
        <w:t>Արարատ</w:t>
      </w:r>
      <w:r w:rsidRPr="005E6B5D">
        <w:rPr>
          <w:b w:val="0"/>
          <w:bCs/>
          <w:sz w:val="16"/>
          <w:szCs w:val="16"/>
          <w:lang w:val="en-US"/>
        </w:rPr>
        <w:t xml:space="preserve"> </w:t>
      </w:r>
      <w:r w:rsidRPr="005E6B5D">
        <w:rPr>
          <w:b w:val="0"/>
          <w:bCs/>
          <w:sz w:val="16"/>
          <w:szCs w:val="16"/>
        </w:rPr>
        <w:t>հարկաբյուջետային</w:t>
      </w:r>
      <w:r w:rsidRPr="005E6B5D">
        <w:rPr>
          <w:b w:val="0"/>
          <w:bCs/>
          <w:sz w:val="16"/>
          <w:szCs w:val="16"/>
          <w:lang w:val="en-US"/>
        </w:rPr>
        <w:t xml:space="preserve"> </w:t>
      </w:r>
      <w:r w:rsidRPr="005E6B5D">
        <w:rPr>
          <w:b w:val="0"/>
          <w:bCs/>
          <w:sz w:val="16"/>
          <w:szCs w:val="16"/>
        </w:rPr>
        <w:t>ռազմավարության</w:t>
      </w:r>
      <w:r w:rsidRPr="005E6B5D">
        <w:rPr>
          <w:b w:val="0"/>
          <w:bCs/>
          <w:sz w:val="16"/>
          <w:szCs w:val="16"/>
          <w:lang w:val="en-US"/>
        </w:rPr>
        <w:t xml:space="preserve"> </w:t>
      </w:r>
      <w:r w:rsidRPr="005E6B5D">
        <w:rPr>
          <w:b w:val="0"/>
          <w:bCs/>
          <w:sz w:val="16"/>
          <w:szCs w:val="16"/>
        </w:rPr>
        <w:t>դինամիկ</w:t>
      </w:r>
      <w:r w:rsidRPr="005E6B5D">
        <w:rPr>
          <w:b w:val="0"/>
          <w:bCs/>
          <w:sz w:val="16"/>
          <w:szCs w:val="16"/>
          <w:lang w:val="en-US"/>
        </w:rPr>
        <w:t xml:space="preserve"> </w:t>
      </w:r>
      <w:r w:rsidRPr="005E6B5D">
        <w:rPr>
          <w:b w:val="0"/>
          <w:bCs/>
          <w:sz w:val="16"/>
          <w:szCs w:val="16"/>
        </w:rPr>
        <w:t>ստոխաստիկ</w:t>
      </w:r>
      <w:r w:rsidRPr="005E6B5D">
        <w:rPr>
          <w:b w:val="0"/>
          <w:bCs/>
          <w:sz w:val="16"/>
          <w:szCs w:val="16"/>
          <w:lang w:val="en-US"/>
        </w:rPr>
        <w:t xml:space="preserve"> </w:t>
      </w:r>
      <w:r w:rsidRPr="005E6B5D">
        <w:rPr>
          <w:b w:val="0"/>
          <w:bCs/>
          <w:sz w:val="16"/>
          <w:szCs w:val="16"/>
        </w:rPr>
        <w:t>ընդհանուր</w:t>
      </w:r>
      <w:r w:rsidRPr="005E6B5D">
        <w:rPr>
          <w:b w:val="0"/>
          <w:bCs/>
          <w:sz w:val="16"/>
          <w:szCs w:val="16"/>
          <w:lang w:val="en-US"/>
        </w:rPr>
        <w:t xml:space="preserve"> </w:t>
      </w:r>
      <w:r w:rsidRPr="005E6B5D">
        <w:rPr>
          <w:b w:val="0"/>
          <w:bCs/>
          <w:sz w:val="16"/>
          <w:szCs w:val="16"/>
        </w:rPr>
        <w:t>հավասարակշռության</w:t>
      </w:r>
      <w:r w:rsidRPr="005E6B5D">
        <w:rPr>
          <w:b w:val="0"/>
          <w:bCs/>
          <w:sz w:val="16"/>
          <w:szCs w:val="16"/>
          <w:lang w:val="en-US"/>
        </w:rPr>
        <w:t xml:space="preserve"> </w:t>
      </w:r>
      <w:r w:rsidRPr="005E6B5D">
        <w:rPr>
          <w:b w:val="0"/>
          <w:bCs/>
          <w:sz w:val="16"/>
          <w:szCs w:val="16"/>
        </w:rPr>
        <w:t>մոդելը</w:t>
      </w:r>
      <w:r w:rsidRPr="005E6B5D">
        <w:rPr>
          <w:b w:val="0"/>
          <w:bCs/>
          <w:sz w:val="16"/>
          <w:szCs w:val="16"/>
          <w:lang w:val="en-US"/>
        </w:rPr>
        <w:t xml:space="preserve"> </w:t>
      </w:r>
      <w:r w:rsidRPr="005E6B5D">
        <w:rPr>
          <w:b w:val="0"/>
          <w:bCs/>
          <w:sz w:val="16"/>
          <w:szCs w:val="16"/>
        </w:rPr>
        <w:t>մշակվել</w:t>
      </w:r>
      <w:r w:rsidRPr="005E6B5D">
        <w:rPr>
          <w:b w:val="0"/>
          <w:bCs/>
          <w:sz w:val="16"/>
          <w:szCs w:val="16"/>
          <w:lang w:val="en-US"/>
        </w:rPr>
        <w:t xml:space="preserve"> </w:t>
      </w:r>
      <w:r w:rsidRPr="005E6B5D">
        <w:rPr>
          <w:b w:val="0"/>
          <w:bCs/>
          <w:sz w:val="16"/>
          <w:szCs w:val="16"/>
        </w:rPr>
        <w:t>է</w:t>
      </w:r>
      <w:r w:rsidRPr="005E6B5D">
        <w:rPr>
          <w:b w:val="0"/>
          <w:bCs/>
          <w:sz w:val="16"/>
          <w:szCs w:val="16"/>
          <w:lang w:val="en-US"/>
        </w:rPr>
        <w:t xml:space="preserve"> 2018-2020</w:t>
      </w:r>
      <w:r w:rsidRPr="005E6B5D">
        <w:rPr>
          <w:b w:val="0"/>
          <w:bCs/>
          <w:sz w:val="16"/>
          <w:szCs w:val="16"/>
        </w:rPr>
        <w:t>թթ</w:t>
      </w:r>
      <w:r w:rsidRPr="005E6B5D">
        <w:rPr>
          <w:b w:val="0"/>
          <w:bCs/>
          <w:sz w:val="16"/>
          <w:szCs w:val="16"/>
          <w:lang w:val="en-US"/>
        </w:rPr>
        <w:t xml:space="preserve">. </w:t>
      </w:r>
      <w:r w:rsidRPr="005E6B5D">
        <w:rPr>
          <w:b w:val="0"/>
          <w:bCs/>
          <w:sz w:val="16"/>
          <w:szCs w:val="16"/>
        </w:rPr>
        <w:t>ընթացքում՝</w:t>
      </w:r>
      <w:r w:rsidRPr="005E6B5D">
        <w:rPr>
          <w:b w:val="0"/>
          <w:bCs/>
          <w:sz w:val="16"/>
          <w:szCs w:val="16"/>
          <w:lang w:val="en-US"/>
        </w:rPr>
        <w:t xml:space="preserve"> </w:t>
      </w:r>
      <w:r w:rsidRPr="005E6B5D">
        <w:rPr>
          <w:b w:val="0"/>
          <w:bCs/>
          <w:sz w:val="16"/>
          <w:szCs w:val="16"/>
        </w:rPr>
        <w:t>ԱՄՀ</w:t>
      </w:r>
      <w:r w:rsidRPr="005E6B5D">
        <w:rPr>
          <w:b w:val="0"/>
          <w:bCs/>
          <w:sz w:val="16"/>
          <w:szCs w:val="16"/>
          <w:lang w:val="en-US"/>
        </w:rPr>
        <w:t xml:space="preserve"> </w:t>
      </w:r>
      <w:r w:rsidRPr="005E6B5D">
        <w:rPr>
          <w:b w:val="0"/>
          <w:bCs/>
          <w:sz w:val="16"/>
          <w:szCs w:val="16"/>
        </w:rPr>
        <w:t>կողմից</w:t>
      </w:r>
      <w:r w:rsidRPr="005E6B5D">
        <w:rPr>
          <w:b w:val="0"/>
          <w:bCs/>
          <w:sz w:val="16"/>
          <w:szCs w:val="16"/>
          <w:lang w:val="en-US"/>
        </w:rPr>
        <w:t xml:space="preserve"> </w:t>
      </w:r>
      <w:r w:rsidRPr="005E6B5D">
        <w:rPr>
          <w:b w:val="0"/>
          <w:bCs/>
          <w:sz w:val="16"/>
          <w:szCs w:val="16"/>
        </w:rPr>
        <w:t>տրամադրված</w:t>
      </w:r>
      <w:r w:rsidRPr="005E6B5D">
        <w:rPr>
          <w:b w:val="0"/>
          <w:bCs/>
          <w:sz w:val="16"/>
          <w:szCs w:val="16"/>
          <w:lang w:val="en-US"/>
        </w:rPr>
        <w:t xml:space="preserve"> </w:t>
      </w:r>
      <w:r w:rsidRPr="005E6B5D">
        <w:rPr>
          <w:b w:val="0"/>
          <w:bCs/>
          <w:sz w:val="16"/>
          <w:szCs w:val="16"/>
        </w:rPr>
        <w:t>տեխնիկական</w:t>
      </w:r>
      <w:r w:rsidRPr="005E6B5D">
        <w:rPr>
          <w:b w:val="0"/>
          <w:bCs/>
          <w:sz w:val="16"/>
          <w:szCs w:val="16"/>
          <w:lang w:val="en-US"/>
        </w:rPr>
        <w:t xml:space="preserve"> </w:t>
      </w:r>
      <w:r w:rsidRPr="005E6B5D">
        <w:rPr>
          <w:b w:val="0"/>
          <w:bCs/>
          <w:sz w:val="16"/>
          <w:szCs w:val="16"/>
        </w:rPr>
        <w:t>աջակցության</w:t>
      </w:r>
      <w:r w:rsidRPr="005E6B5D">
        <w:rPr>
          <w:b w:val="0"/>
          <w:bCs/>
          <w:sz w:val="16"/>
          <w:szCs w:val="16"/>
          <w:lang w:val="en-US"/>
        </w:rPr>
        <w:t xml:space="preserve"> </w:t>
      </w:r>
      <w:r w:rsidRPr="005E6B5D">
        <w:rPr>
          <w:b w:val="0"/>
          <w:bCs/>
          <w:sz w:val="16"/>
          <w:szCs w:val="16"/>
        </w:rPr>
        <w:t>շրջանակներում</w:t>
      </w:r>
      <w:r w:rsidRPr="005E6B5D">
        <w:rPr>
          <w:b w:val="0"/>
          <w:bCs/>
          <w:sz w:val="16"/>
          <w:szCs w:val="16"/>
          <w:lang w:val="en-US"/>
        </w:rPr>
        <w:t xml:space="preserve">: </w:t>
      </w:r>
      <w:r w:rsidRPr="005E6B5D">
        <w:rPr>
          <w:b w:val="0"/>
          <w:bCs/>
          <w:sz w:val="16"/>
          <w:szCs w:val="16"/>
        </w:rPr>
        <w:t>Առավել</w:t>
      </w:r>
      <w:r w:rsidRPr="005E6B5D">
        <w:rPr>
          <w:b w:val="0"/>
          <w:bCs/>
          <w:sz w:val="16"/>
          <w:szCs w:val="16"/>
          <w:lang w:val="en-US"/>
        </w:rPr>
        <w:t xml:space="preserve"> </w:t>
      </w:r>
      <w:r w:rsidRPr="005E6B5D">
        <w:rPr>
          <w:b w:val="0"/>
          <w:bCs/>
          <w:sz w:val="16"/>
          <w:szCs w:val="16"/>
        </w:rPr>
        <w:t>մանրամասն</w:t>
      </w:r>
      <w:r w:rsidRPr="005E6B5D">
        <w:rPr>
          <w:b w:val="0"/>
          <w:bCs/>
          <w:sz w:val="16"/>
          <w:szCs w:val="16"/>
          <w:lang w:val="en-US"/>
        </w:rPr>
        <w:t xml:space="preserve"> </w:t>
      </w:r>
      <w:r w:rsidRPr="005E6B5D">
        <w:rPr>
          <w:b w:val="0"/>
          <w:bCs/>
          <w:sz w:val="16"/>
          <w:szCs w:val="16"/>
        </w:rPr>
        <w:t>տե՛ս</w:t>
      </w:r>
      <w:r w:rsidRPr="005E6B5D">
        <w:rPr>
          <w:b w:val="0"/>
          <w:bCs/>
          <w:sz w:val="16"/>
          <w:szCs w:val="16"/>
          <w:lang w:val="en-US"/>
        </w:rPr>
        <w:t xml:space="preserve"> </w:t>
      </w:r>
      <w:r w:rsidRPr="005E6B5D">
        <w:rPr>
          <w:b w:val="0"/>
          <w:bCs/>
          <w:sz w:val="16"/>
          <w:szCs w:val="16"/>
        </w:rPr>
        <w:t>ՀՀ</w:t>
      </w:r>
      <w:r w:rsidRPr="005E6B5D">
        <w:rPr>
          <w:b w:val="0"/>
          <w:bCs/>
          <w:sz w:val="16"/>
          <w:szCs w:val="16"/>
          <w:lang w:val="en-US"/>
        </w:rPr>
        <w:t xml:space="preserve"> </w:t>
      </w:r>
      <w:r w:rsidRPr="005E6B5D">
        <w:rPr>
          <w:b w:val="0"/>
          <w:bCs/>
          <w:sz w:val="16"/>
          <w:szCs w:val="16"/>
        </w:rPr>
        <w:t>կառավարության</w:t>
      </w:r>
      <w:r w:rsidRPr="005E6B5D">
        <w:rPr>
          <w:b w:val="0"/>
          <w:bCs/>
          <w:sz w:val="16"/>
          <w:szCs w:val="16"/>
          <w:lang w:val="en-US"/>
        </w:rPr>
        <w:t xml:space="preserve"> 2021</w:t>
      </w:r>
      <w:r w:rsidRPr="005E6B5D">
        <w:rPr>
          <w:b w:val="0"/>
          <w:bCs/>
          <w:sz w:val="16"/>
          <w:szCs w:val="16"/>
        </w:rPr>
        <w:t>թ</w:t>
      </w:r>
      <w:r w:rsidRPr="005E6B5D">
        <w:rPr>
          <w:b w:val="0"/>
          <w:bCs/>
          <w:sz w:val="16"/>
          <w:szCs w:val="16"/>
          <w:lang w:val="en-US"/>
        </w:rPr>
        <w:t xml:space="preserve">. </w:t>
      </w:r>
      <w:r w:rsidRPr="005E6B5D">
        <w:rPr>
          <w:b w:val="0"/>
          <w:bCs/>
          <w:sz w:val="16"/>
          <w:szCs w:val="16"/>
        </w:rPr>
        <w:t>բյուջետային</w:t>
      </w:r>
      <w:r w:rsidRPr="005E6B5D">
        <w:rPr>
          <w:b w:val="0"/>
          <w:bCs/>
          <w:sz w:val="16"/>
          <w:szCs w:val="16"/>
          <w:lang w:val="en-US"/>
        </w:rPr>
        <w:t xml:space="preserve"> </w:t>
      </w:r>
      <w:r w:rsidRPr="005E6B5D">
        <w:rPr>
          <w:b w:val="0"/>
          <w:bCs/>
          <w:sz w:val="16"/>
          <w:szCs w:val="16"/>
        </w:rPr>
        <w:t>ուղերձ</w:t>
      </w:r>
      <w:r w:rsidRPr="005E6B5D">
        <w:rPr>
          <w:b w:val="0"/>
          <w:bCs/>
          <w:sz w:val="16"/>
          <w:szCs w:val="16"/>
          <w:lang w:val="en-US"/>
        </w:rPr>
        <w:t xml:space="preserve">, </w:t>
      </w:r>
      <w:r w:rsidRPr="005E6B5D">
        <w:rPr>
          <w:b w:val="0"/>
          <w:bCs/>
          <w:sz w:val="16"/>
          <w:szCs w:val="16"/>
        </w:rPr>
        <w:t>Երևան</w:t>
      </w:r>
      <w:r w:rsidRPr="005E6B5D">
        <w:rPr>
          <w:b w:val="0"/>
          <w:bCs/>
          <w:sz w:val="16"/>
          <w:szCs w:val="16"/>
          <w:lang w:val="en-US"/>
        </w:rPr>
        <w:t xml:space="preserve"> 2020, </w:t>
      </w:r>
      <w:r w:rsidRPr="005E6B5D">
        <w:rPr>
          <w:b w:val="0"/>
          <w:bCs/>
          <w:sz w:val="16"/>
          <w:szCs w:val="16"/>
        </w:rPr>
        <w:t>էջ՝</w:t>
      </w:r>
      <w:r w:rsidRPr="005E6B5D">
        <w:rPr>
          <w:b w:val="0"/>
          <w:bCs/>
          <w:sz w:val="16"/>
          <w:szCs w:val="16"/>
          <w:lang w:val="en-US"/>
        </w:rPr>
        <w:t xml:space="preserve"> 84,  </w:t>
      </w:r>
      <w:r w:rsidRPr="005E6B5D">
        <w:rPr>
          <w:b w:val="0"/>
          <w:bCs/>
          <w:sz w:val="16"/>
          <w:szCs w:val="16"/>
        </w:rPr>
        <w:t>ներդիր</w:t>
      </w:r>
      <w:r w:rsidRPr="005E6B5D">
        <w:rPr>
          <w:b w:val="0"/>
          <w:bCs/>
          <w:sz w:val="16"/>
          <w:szCs w:val="16"/>
          <w:lang w:val="en-US"/>
        </w:rPr>
        <w:t xml:space="preserve"> 2: </w:t>
      </w:r>
      <w:r w:rsidRPr="005E6B5D">
        <w:rPr>
          <w:b w:val="0"/>
          <w:bCs/>
          <w:sz w:val="16"/>
          <w:szCs w:val="16"/>
        </w:rPr>
        <w:t>Մոդելը</w:t>
      </w:r>
      <w:r w:rsidRPr="005E6B5D">
        <w:rPr>
          <w:b w:val="0"/>
          <w:bCs/>
          <w:sz w:val="16"/>
          <w:szCs w:val="16"/>
          <w:lang w:val="en-US"/>
        </w:rPr>
        <w:t xml:space="preserve"> </w:t>
      </w:r>
      <w:r w:rsidRPr="005E6B5D">
        <w:rPr>
          <w:b w:val="0"/>
          <w:bCs/>
          <w:sz w:val="16"/>
          <w:szCs w:val="16"/>
        </w:rPr>
        <w:t>և</w:t>
      </w:r>
      <w:r w:rsidRPr="005E6B5D">
        <w:rPr>
          <w:b w:val="0"/>
          <w:bCs/>
          <w:sz w:val="16"/>
          <w:szCs w:val="16"/>
          <w:lang w:val="en-US"/>
        </w:rPr>
        <w:t xml:space="preserve"> </w:t>
      </w:r>
      <w:r w:rsidRPr="005E6B5D">
        <w:rPr>
          <w:b w:val="0"/>
          <w:bCs/>
          <w:sz w:val="16"/>
          <w:szCs w:val="16"/>
        </w:rPr>
        <w:t>կիրառությունները</w:t>
      </w:r>
      <w:r w:rsidRPr="005E6B5D">
        <w:rPr>
          <w:b w:val="0"/>
          <w:bCs/>
          <w:sz w:val="16"/>
          <w:szCs w:val="16"/>
          <w:lang w:val="en-US"/>
        </w:rPr>
        <w:t xml:space="preserve"> </w:t>
      </w:r>
      <w:r w:rsidRPr="005E6B5D">
        <w:rPr>
          <w:b w:val="0"/>
          <w:bCs/>
          <w:sz w:val="16"/>
          <w:szCs w:val="16"/>
        </w:rPr>
        <w:t>նկարագրող</w:t>
      </w:r>
      <w:r w:rsidRPr="005E6B5D">
        <w:rPr>
          <w:b w:val="0"/>
          <w:bCs/>
          <w:sz w:val="16"/>
          <w:szCs w:val="16"/>
          <w:lang w:val="en-US"/>
        </w:rPr>
        <w:t xml:space="preserve"> </w:t>
      </w:r>
      <w:r w:rsidRPr="005E6B5D">
        <w:rPr>
          <w:b w:val="0"/>
          <w:bCs/>
          <w:sz w:val="16"/>
          <w:szCs w:val="16"/>
        </w:rPr>
        <w:t>ամբողջական</w:t>
      </w:r>
      <w:r w:rsidRPr="005E6B5D">
        <w:rPr>
          <w:b w:val="0"/>
          <w:bCs/>
          <w:sz w:val="16"/>
          <w:szCs w:val="16"/>
          <w:lang w:val="en-US"/>
        </w:rPr>
        <w:t xml:space="preserve"> </w:t>
      </w:r>
      <w:r w:rsidRPr="005E6B5D">
        <w:rPr>
          <w:b w:val="0"/>
          <w:bCs/>
          <w:sz w:val="16"/>
          <w:szCs w:val="16"/>
        </w:rPr>
        <w:t>աշխատանքային</w:t>
      </w:r>
      <w:r w:rsidRPr="005E6B5D">
        <w:rPr>
          <w:b w:val="0"/>
          <w:bCs/>
          <w:sz w:val="16"/>
          <w:szCs w:val="16"/>
          <w:lang w:val="en-US"/>
        </w:rPr>
        <w:t xml:space="preserve"> </w:t>
      </w:r>
      <w:r w:rsidRPr="005E6B5D">
        <w:rPr>
          <w:b w:val="0"/>
          <w:bCs/>
          <w:sz w:val="16"/>
          <w:szCs w:val="16"/>
        </w:rPr>
        <w:t>փաստաթուղթը</w:t>
      </w:r>
      <w:r w:rsidRPr="005E6B5D">
        <w:rPr>
          <w:b w:val="0"/>
          <w:bCs/>
          <w:sz w:val="16"/>
          <w:szCs w:val="16"/>
          <w:lang w:val="en-US"/>
        </w:rPr>
        <w:t xml:space="preserve"> </w:t>
      </w:r>
      <w:r w:rsidRPr="005E6B5D">
        <w:rPr>
          <w:b w:val="0"/>
          <w:bCs/>
          <w:sz w:val="16"/>
          <w:szCs w:val="16"/>
        </w:rPr>
        <w:t>տե՛ս</w:t>
      </w:r>
      <w:r w:rsidRPr="005E6B5D">
        <w:rPr>
          <w:b w:val="0"/>
          <w:bCs/>
          <w:sz w:val="16"/>
          <w:szCs w:val="16"/>
          <w:lang w:val="en-US"/>
        </w:rPr>
        <w:t xml:space="preserve"> </w:t>
      </w:r>
      <w:r w:rsidRPr="005E6B5D">
        <w:rPr>
          <w:b w:val="0"/>
          <w:bCs/>
          <w:sz w:val="16"/>
          <w:szCs w:val="16"/>
        </w:rPr>
        <w:t>հետևյալ</w:t>
      </w:r>
      <w:r w:rsidRPr="005E6B5D">
        <w:rPr>
          <w:b w:val="0"/>
          <w:bCs/>
          <w:sz w:val="16"/>
          <w:szCs w:val="16"/>
          <w:lang w:val="en-US"/>
        </w:rPr>
        <w:t xml:space="preserve"> </w:t>
      </w:r>
      <w:r w:rsidRPr="005E6B5D">
        <w:rPr>
          <w:b w:val="0"/>
          <w:bCs/>
          <w:sz w:val="16"/>
          <w:szCs w:val="16"/>
        </w:rPr>
        <w:t>հղմամբ՝</w:t>
      </w:r>
      <w:r w:rsidRPr="005E6B5D">
        <w:rPr>
          <w:b w:val="0"/>
          <w:bCs/>
          <w:sz w:val="16"/>
          <w:szCs w:val="16"/>
          <w:lang w:val="en-US"/>
        </w:rPr>
        <w:t xml:space="preserve"> https://www.imf.org/en/Publications/WP/Issues/2022/06/10/The-Ararat-Fiscal-Strategy-Model-A-Structural-Framework-for-Fiscal-Policy-Analysis-in-519522:</w:t>
      </w:r>
    </w:p>
  </w:footnote>
  <w:footnote w:id="16">
    <w:p w14:paraId="63BEAA1A" w14:textId="77777777" w:rsidR="005D1807" w:rsidRPr="005D1807" w:rsidRDefault="005D1807" w:rsidP="005D1807">
      <w:r w:rsidRPr="005E6B5D">
        <w:rPr>
          <w:b w:val="0"/>
          <w:bCs/>
          <w:sz w:val="16"/>
          <w:szCs w:val="16"/>
        </w:rPr>
        <w:footnoteRef/>
      </w:r>
      <w:r w:rsidRPr="005E6B5D">
        <w:rPr>
          <w:b w:val="0"/>
          <w:bCs/>
          <w:sz w:val="16"/>
          <w:szCs w:val="16"/>
          <w:lang w:val="en-US"/>
        </w:rPr>
        <w:t xml:space="preserve"> </w:t>
      </w:r>
      <w:r w:rsidRPr="005E6B5D">
        <w:rPr>
          <w:b w:val="0"/>
          <w:bCs/>
          <w:sz w:val="16"/>
          <w:szCs w:val="16"/>
        </w:rPr>
        <w:t>Կառուցվածքային</w:t>
      </w:r>
      <w:r w:rsidRPr="005E6B5D">
        <w:rPr>
          <w:b w:val="0"/>
          <w:bCs/>
          <w:sz w:val="16"/>
          <w:szCs w:val="16"/>
          <w:lang w:val="en-US"/>
        </w:rPr>
        <w:t xml:space="preserve"> </w:t>
      </w:r>
      <w:r w:rsidRPr="005E6B5D">
        <w:rPr>
          <w:b w:val="0"/>
          <w:bCs/>
          <w:sz w:val="16"/>
          <w:szCs w:val="16"/>
        </w:rPr>
        <w:t>բարեփոխումների</w:t>
      </w:r>
      <w:r w:rsidRPr="005E6B5D">
        <w:rPr>
          <w:b w:val="0"/>
          <w:bCs/>
          <w:sz w:val="16"/>
          <w:szCs w:val="16"/>
          <w:lang w:val="en-US"/>
        </w:rPr>
        <w:t xml:space="preserve"> </w:t>
      </w:r>
      <w:r w:rsidRPr="005E6B5D">
        <w:rPr>
          <w:b w:val="0"/>
          <w:bCs/>
          <w:sz w:val="16"/>
          <w:szCs w:val="16"/>
        </w:rPr>
        <w:t>ազդեցության</w:t>
      </w:r>
      <w:r w:rsidRPr="005E6B5D">
        <w:rPr>
          <w:b w:val="0"/>
          <w:bCs/>
          <w:sz w:val="16"/>
          <w:szCs w:val="16"/>
          <w:lang w:val="en-US"/>
        </w:rPr>
        <w:t xml:space="preserve"> </w:t>
      </w:r>
      <w:r w:rsidRPr="005E6B5D">
        <w:rPr>
          <w:b w:val="0"/>
          <w:bCs/>
          <w:sz w:val="16"/>
          <w:szCs w:val="16"/>
        </w:rPr>
        <w:t>չափի</w:t>
      </w:r>
      <w:r w:rsidRPr="005E6B5D">
        <w:rPr>
          <w:b w:val="0"/>
          <w:bCs/>
          <w:sz w:val="16"/>
          <w:szCs w:val="16"/>
          <w:lang w:val="en-US"/>
        </w:rPr>
        <w:t xml:space="preserve"> </w:t>
      </w:r>
      <w:r w:rsidRPr="005E6B5D">
        <w:rPr>
          <w:b w:val="0"/>
          <w:bCs/>
          <w:sz w:val="16"/>
          <w:szCs w:val="16"/>
        </w:rPr>
        <w:t>գնահատման</w:t>
      </w:r>
      <w:r w:rsidRPr="005E6B5D">
        <w:rPr>
          <w:b w:val="0"/>
          <w:bCs/>
          <w:sz w:val="16"/>
          <w:szCs w:val="16"/>
          <w:lang w:val="en-US"/>
        </w:rPr>
        <w:t xml:space="preserve"> </w:t>
      </w:r>
      <w:r w:rsidRPr="005E6B5D">
        <w:rPr>
          <w:b w:val="0"/>
          <w:bCs/>
          <w:sz w:val="16"/>
          <w:szCs w:val="16"/>
        </w:rPr>
        <w:t>համար</w:t>
      </w:r>
      <w:r w:rsidRPr="005E6B5D">
        <w:rPr>
          <w:b w:val="0"/>
          <w:bCs/>
          <w:sz w:val="16"/>
          <w:szCs w:val="16"/>
          <w:lang w:val="en-US"/>
        </w:rPr>
        <w:t xml:space="preserve"> </w:t>
      </w:r>
      <w:r w:rsidRPr="005E6B5D">
        <w:rPr>
          <w:b w:val="0"/>
          <w:bCs/>
          <w:sz w:val="16"/>
          <w:szCs w:val="16"/>
        </w:rPr>
        <w:t>հիմք</w:t>
      </w:r>
      <w:r w:rsidRPr="005E6B5D">
        <w:rPr>
          <w:b w:val="0"/>
          <w:bCs/>
          <w:sz w:val="16"/>
          <w:szCs w:val="16"/>
          <w:lang w:val="en-US"/>
        </w:rPr>
        <w:t xml:space="preserve"> </w:t>
      </w:r>
      <w:r w:rsidRPr="005E6B5D">
        <w:rPr>
          <w:b w:val="0"/>
          <w:bCs/>
          <w:sz w:val="16"/>
          <w:szCs w:val="16"/>
        </w:rPr>
        <w:t>է</w:t>
      </w:r>
      <w:r w:rsidRPr="005E6B5D">
        <w:rPr>
          <w:b w:val="0"/>
          <w:bCs/>
          <w:sz w:val="16"/>
          <w:szCs w:val="16"/>
          <w:lang w:val="en-US"/>
        </w:rPr>
        <w:t xml:space="preserve"> </w:t>
      </w:r>
      <w:r w:rsidRPr="005E6B5D">
        <w:rPr>
          <w:b w:val="0"/>
          <w:bCs/>
          <w:sz w:val="16"/>
          <w:szCs w:val="16"/>
        </w:rPr>
        <w:t>հանդիսացել</w:t>
      </w:r>
      <w:r w:rsidRPr="005E6B5D">
        <w:rPr>
          <w:b w:val="0"/>
          <w:bCs/>
          <w:sz w:val="16"/>
          <w:szCs w:val="16"/>
          <w:lang w:val="en-US"/>
        </w:rPr>
        <w:t xml:space="preserve"> </w:t>
      </w:r>
      <w:r w:rsidRPr="005E6B5D">
        <w:rPr>
          <w:b w:val="0"/>
          <w:bCs/>
          <w:sz w:val="16"/>
          <w:szCs w:val="16"/>
        </w:rPr>
        <w:t>աշխարհի</w:t>
      </w:r>
      <w:r w:rsidRPr="005E6B5D">
        <w:rPr>
          <w:b w:val="0"/>
          <w:bCs/>
          <w:sz w:val="16"/>
          <w:szCs w:val="16"/>
          <w:lang w:val="en-US"/>
        </w:rPr>
        <w:t xml:space="preserve"> 90 </w:t>
      </w:r>
      <w:r w:rsidRPr="005E6B5D">
        <w:rPr>
          <w:b w:val="0"/>
          <w:bCs/>
          <w:sz w:val="16"/>
          <w:szCs w:val="16"/>
        </w:rPr>
        <w:t>երկրների</w:t>
      </w:r>
      <w:r w:rsidRPr="005E6B5D">
        <w:rPr>
          <w:b w:val="0"/>
          <w:bCs/>
          <w:sz w:val="16"/>
          <w:szCs w:val="16"/>
          <w:lang w:val="en-US"/>
        </w:rPr>
        <w:t xml:space="preserve"> </w:t>
      </w:r>
      <w:r w:rsidRPr="005E6B5D">
        <w:rPr>
          <w:b w:val="0"/>
          <w:bCs/>
          <w:sz w:val="16"/>
          <w:szCs w:val="16"/>
        </w:rPr>
        <w:t>պանելային</w:t>
      </w:r>
      <w:r w:rsidRPr="005E6B5D">
        <w:rPr>
          <w:b w:val="0"/>
          <w:bCs/>
          <w:sz w:val="16"/>
          <w:szCs w:val="16"/>
          <w:lang w:val="en-US"/>
        </w:rPr>
        <w:t xml:space="preserve"> </w:t>
      </w:r>
      <w:r w:rsidRPr="005E6B5D">
        <w:rPr>
          <w:b w:val="0"/>
          <w:bCs/>
          <w:sz w:val="16"/>
          <w:szCs w:val="16"/>
        </w:rPr>
        <w:t>տվյալների</w:t>
      </w:r>
      <w:r w:rsidRPr="005E6B5D">
        <w:rPr>
          <w:b w:val="0"/>
          <w:bCs/>
          <w:sz w:val="16"/>
          <w:szCs w:val="16"/>
          <w:lang w:val="en-US"/>
        </w:rPr>
        <w:t xml:space="preserve"> </w:t>
      </w:r>
      <w:r w:rsidRPr="005E6B5D">
        <w:rPr>
          <w:b w:val="0"/>
          <w:bCs/>
          <w:sz w:val="16"/>
          <w:szCs w:val="16"/>
        </w:rPr>
        <w:t>հիման</w:t>
      </w:r>
      <w:r w:rsidRPr="005E6B5D">
        <w:rPr>
          <w:b w:val="0"/>
          <w:bCs/>
          <w:sz w:val="16"/>
          <w:szCs w:val="16"/>
          <w:lang w:val="en-US"/>
        </w:rPr>
        <w:t xml:space="preserve"> </w:t>
      </w:r>
      <w:r w:rsidRPr="005E6B5D">
        <w:rPr>
          <w:b w:val="0"/>
          <w:bCs/>
          <w:sz w:val="16"/>
          <w:szCs w:val="16"/>
        </w:rPr>
        <w:t>վրա</w:t>
      </w:r>
      <w:r w:rsidRPr="005E6B5D">
        <w:rPr>
          <w:b w:val="0"/>
          <w:bCs/>
          <w:sz w:val="16"/>
          <w:szCs w:val="16"/>
          <w:lang w:val="en-US"/>
        </w:rPr>
        <w:t xml:space="preserve"> </w:t>
      </w:r>
      <w:r w:rsidRPr="005E6B5D">
        <w:rPr>
          <w:b w:val="0"/>
          <w:bCs/>
          <w:sz w:val="16"/>
          <w:szCs w:val="16"/>
        </w:rPr>
        <w:t>Արժույթի</w:t>
      </w:r>
      <w:r w:rsidRPr="005E6B5D">
        <w:rPr>
          <w:b w:val="0"/>
          <w:bCs/>
          <w:sz w:val="16"/>
          <w:szCs w:val="16"/>
          <w:lang w:val="en-US"/>
        </w:rPr>
        <w:t xml:space="preserve"> </w:t>
      </w:r>
      <w:r w:rsidRPr="005E6B5D">
        <w:rPr>
          <w:b w:val="0"/>
          <w:bCs/>
          <w:sz w:val="16"/>
          <w:szCs w:val="16"/>
        </w:rPr>
        <w:t>միջազգային</w:t>
      </w:r>
      <w:r w:rsidRPr="005E6B5D">
        <w:rPr>
          <w:b w:val="0"/>
          <w:bCs/>
          <w:sz w:val="16"/>
          <w:szCs w:val="16"/>
          <w:lang w:val="en-US"/>
        </w:rPr>
        <w:t xml:space="preserve"> </w:t>
      </w:r>
      <w:r w:rsidRPr="005E6B5D">
        <w:rPr>
          <w:b w:val="0"/>
          <w:bCs/>
          <w:sz w:val="16"/>
          <w:szCs w:val="16"/>
        </w:rPr>
        <w:t>հիմնադրամի</w:t>
      </w:r>
      <w:r w:rsidRPr="005E6B5D">
        <w:rPr>
          <w:b w:val="0"/>
          <w:bCs/>
          <w:sz w:val="16"/>
          <w:szCs w:val="16"/>
          <w:lang w:val="en-US"/>
        </w:rPr>
        <w:t xml:space="preserve"> </w:t>
      </w:r>
      <w:r w:rsidRPr="005E6B5D">
        <w:rPr>
          <w:b w:val="0"/>
          <w:bCs/>
          <w:sz w:val="16"/>
          <w:szCs w:val="16"/>
        </w:rPr>
        <w:t>կատարած</w:t>
      </w:r>
      <w:r w:rsidRPr="005E6B5D">
        <w:rPr>
          <w:b w:val="0"/>
          <w:bCs/>
          <w:sz w:val="16"/>
          <w:szCs w:val="16"/>
          <w:lang w:val="en-US"/>
        </w:rPr>
        <w:t xml:space="preserve"> </w:t>
      </w:r>
      <w:r w:rsidRPr="005E6B5D">
        <w:rPr>
          <w:b w:val="0"/>
          <w:bCs/>
          <w:sz w:val="16"/>
          <w:szCs w:val="16"/>
        </w:rPr>
        <w:t>գնահատականները</w:t>
      </w:r>
      <w:r w:rsidRPr="005E6B5D">
        <w:rPr>
          <w:b w:val="0"/>
          <w:bCs/>
          <w:sz w:val="16"/>
          <w:szCs w:val="16"/>
          <w:lang w:val="en-US"/>
        </w:rPr>
        <w:t xml:space="preserve">, </w:t>
      </w:r>
      <w:r w:rsidRPr="005E6B5D">
        <w:rPr>
          <w:b w:val="0"/>
          <w:bCs/>
          <w:sz w:val="16"/>
          <w:szCs w:val="16"/>
        </w:rPr>
        <w:t>որոնք</w:t>
      </w:r>
      <w:r w:rsidRPr="005E6B5D">
        <w:rPr>
          <w:b w:val="0"/>
          <w:bCs/>
          <w:sz w:val="16"/>
          <w:szCs w:val="16"/>
          <w:lang w:val="en-US"/>
        </w:rPr>
        <w:t xml:space="preserve"> </w:t>
      </w:r>
      <w:r w:rsidRPr="005E6B5D">
        <w:rPr>
          <w:b w:val="0"/>
          <w:bCs/>
          <w:sz w:val="16"/>
          <w:szCs w:val="16"/>
        </w:rPr>
        <w:t>հուշում</w:t>
      </w:r>
      <w:r w:rsidRPr="005E6B5D">
        <w:rPr>
          <w:b w:val="0"/>
          <w:bCs/>
          <w:sz w:val="16"/>
          <w:szCs w:val="16"/>
          <w:lang w:val="en-US"/>
        </w:rPr>
        <w:t xml:space="preserve"> </w:t>
      </w:r>
      <w:r w:rsidRPr="005E6B5D">
        <w:rPr>
          <w:b w:val="0"/>
          <w:bCs/>
          <w:sz w:val="16"/>
          <w:szCs w:val="16"/>
        </w:rPr>
        <w:t>են</w:t>
      </w:r>
      <w:r w:rsidRPr="005E6B5D">
        <w:rPr>
          <w:b w:val="0"/>
          <w:bCs/>
          <w:sz w:val="16"/>
          <w:szCs w:val="16"/>
          <w:lang w:val="en-US"/>
        </w:rPr>
        <w:t xml:space="preserve">, </w:t>
      </w:r>
      <w:r w:rsidRPr="005E6B5D">
        <w:rPr>
          <w:b w:val="0"/>
          <w:bCs/>
          <w:sz w:val="16"/>
          <w:szCs w:val="16"/>
        </w:rPr>
        <w:t>որ</w:t>
      </w:r>
      <w:r w:rsidRPr="005E6B5D">
        <w:rPr>
          <w:b w:val="0"/>
          <w:bCs/>
          <w:sz w:val="16"/>
          <w:szCs w:val="16"/>
          <w:lang w:val="en-US"/>
        </w:rPr>
        <w:t xml:space="preserve"> </w:t>
      </w:r>
      <w:r w:rsidRPr="005E6B5D">
        <w:rPr>
          <w:b w:val="0"/>
          <w:bCs/>
          <w:sz w:val="16"/>
          <w:szCs w:val="16"/>
        </w:rPr>
        <w:t>կառուցվածքային</w:t>
      </w:r>
      <w:r w:rsidRPr="005E6B5D">
        <w:rPr>
          <w:b w:val="0"/>
          <w:bCs/>
          <w:sz w:val="16"/>
          <w:szCs w:val="16"/>
          <w:lang w:val="en-US"/>
        </w:rPr>
        <w:t xml:space="preserve"> </w:t>
      </w:r>
      <w:r w:rsidRPr="005E6B5D">
        <w:rPr>
          <w:b w:val="0"/>
          <w:bCs/>
          <w:sz w:val="16"/>
          <w:szCs w:val="16"/>
        </w:rPr>
        <w:t>բարեփոխումների</w:t>
      </w:r>
      <w:r w:rsidRPr="005E6B5D">
        <w:rPr>
          <w:b w:val="0"/>
          <w:bCs/>
          <w:sz w:val="16"/>
          <w:szCs w:val="16"/>
          <w:lang w:val="en-US"/>
        </w:rPr>
        <w:t xml:space="preserve"> (</w:t>
      </w:r>
      <w:r w:rsidRPr="005E6B5D">
        <w:rPr>
          <w:b w:val="0"/>
          <w:bCs/>
          <w:sz w:val="16"/>
          <w:szCs w:val="16"/>
        </w:rPr>
        <w:t>աշխատանքի</w:t>
      </w:r>
      <w:r w:rsidRPr="005E6B5D">
        <w:rPr>
          <w:b w:val="0"/>
          <w:bCs/>
          <w:sz w:val="16"/>
          <w:szCs w:val="16"/>
          <w:lang w:val="en-US"/>
        </w:rPr>
        <w:t xml:space="preserve"> </w:t>
      </w:r>
      <w:r w:rsidRPr="005E6B5D">
        <w:rPr>
          <w:b w:val="0"/>
          <w:bCs/>
          <w:sz w:val="16"/>
          <w:szCs w:val="16"/>
        </w:rPr>
        <w:t>շուկա</w:t>
      </w:r>
      <w:r w:rsidRPr="005E6B5D">
        <w:rPr>
          <w:b w:val="0"/>
          <w:bCs/>
          <w:sz w:val="16"/>
          <w:szCs w:val="16"/>
          <w:lang w:val="en-US"/>
        </w:rPr>
        <w:t xml:space="preserve">, </w:t>
      </w:r>
      <w:r w:rsidRPr="005E6B5D">
        <w:rPr>
          <w:b w:val="0"/>
          <w:bCs/>
          <w:sz w:val="16"/>
          <w:szCs w:val="16"/>
        </w:rPr>
        <w:t>ֆինանսական</w:t>
      </w:r>
      <w:r w:rsidRPr="005E6B5D">
        <w:rPr>
          <w:b w:val="0"/>
          <w:bCs/>
          <w:sz w:val="16"/>
          <w:szCs w:val="16"/>
          <w:lang w:val="en-US"/>
        </w:rPr>
        <w:t xml:space="preserve"> </w:t>
      </w:r>
      <w:r w:rsidRPr="005E6B5D">
        <w:rPr>
          <w:b w:val="0"/>
          <w:bCs/>
          <w:sz w:val="16"/>
          <w:szCs w:val="16"/>
        </w:rPr>
        <w:t>համակարգ</w:t>
      </w:r>
      <w:r w:rsidRPr="005E6B5D">
        <w:rPr>
          <w:b w:val="0"/>
          <w:bCs/>
          <w:sz w:val="16"/>
          <w:szCs w:val="16"/>
          <w:lang w:val="en-US"/>
        </w:rPr>
        <w:t xml:space="preserve">, </w:t>
      </w:r>
      <w:r w:rsidRPr="005E6B5D">
        <w:rPr>
          <w:b w:val="0"/>
          <w:bCs/>
          <w:sz w:val="16"/>
          <w:szCs w:val="16"/>
        </w:rPr>
        <w:t>կապիտալի</w:t>
      </w:r>
      <w:r w:rsidRPr="005E6B5D">
        <w:rPr>
          <w:b w:val="0"/>
          <w:bCs/>
          <w:sz w:val="16"/>
          <w:szCs w:val="16"/>
          <w:lang w:val="en-US"/>
        </w:rPr>
        <w:t xml:space="preserve"> </w:t>
      </w:r>
      <w:r w:rsidRPr="005E6B5D">
        <w:rPr>
          <w:b w:val="0"/>
          <w:bCs/>
          <w:sz w:val="16"/>
          <w:szCs w:val="16"/>
        </w:rPr>
        <w:t>հաշվի</w:t>
      </w:r>
      <w:r w:rsidRPr="005E6B5D">
        <w:rPr>
          <w:b w:val="0"/>
          <w:bCs/>
          <w:sz w:val="16"/>
          <w:szCs w:val="16"/>
          <w:lang w:val="en-US"/>
        </w:rPr>
        <w:t xml:space="preserve"> </w:t>
      </w:r>
      <w:r w:rsidRPr="005E6B5D">
        <w:rPr>
          <w:b w:val="0"/>
          <w:bCs/>
          <w:sz w:val="16"/>
          <w:szCs w:val="16"/>
        </w:rPr>
        <w:t>բացություն</w:t>
      </w:r>
      <w:r w:rsidRPr="005E6B5D">
        <w:rPr>
          <w:b w:val="0"/>
          <w:bCs/>
          <w:sz w:val="16"/>
          <w:szCs w:val="16"/>
          <w:lang w:val="en-US"/>
        </w:rPr>
        <w:t xml:space="preserve">, </w:t>
      </w:r>
      <w:r w:rsidRPr="005E6B5D">
        <w:rPr>
          <w:b w:val="0"/>
          <w:bCs/>
          <w:sz w:val="16"/>
          <w:szCs w:val="16"/>
        </w:rPr>
        <w:t>արտաքին</w:t>
      </w:r>
      <w:r w:rsidRPr="005E6B5D">
        <w:rPr>
          <w:b w:val="0"/>
          <w:bCs/>
          <w:sz w:val="16"/>
          <w:szCs w:val="16"/>
          <w:lang w:val="en-US"/>
        </w:rPr>
        <w:t xml:space="preserve"> </w:t>
      </w:r>
      <w:r w:rsidRPr="005E6B5D">
        <w:rPr>
          <w:b w:val="0"/>
          <w:bCs/>
          <w:sz w:val="16"/>
          <w:szCs w:val="16"/>
        </w:rPr>
        <w:t>առևտրի</w:t>
      </w:r>
      <w:r w:rsidRPr="005E6B5D">
        <w:rPr>
          <w:b w:val="0"/>
          <w:bCs/>
          <w:sz w:val="16"/>
          <w:szCs w:val="16"/>
          <w:lang w:val="en-US"/>
        </w:rPr>
        <w:t xml:space="preserve"> </w:t>
      </w:r>
      <w:r w:rsidRPr="005E6B5D">
        <w:rPr>
          <w:b w:val="0"/>
          <w:bCs/>
          <w:sz w:val="16"/>
          <w:szCs w:val="16"/>
        </w:rPr>
        <w:t>բացություն</w:t>
      </w:r>
      <w:r w:rsidRPr="005E6B5D">
        <w:rPr>
          <w:b w:val="0"/>
          <w:bCs/>
          <w:sz w:val="16"/>
          <w:szCs w:val="16"/>
          <w:lang w:val="en-US"/>
        </w:rPr>
        <w:t xml:space="preserve">, </w:t>
      </w:r>
      <w:r w:rsidRPr="005E6B5D">
        <w:rPr>
          <w:b w:val="0"/>
          <w:bCs/>
          <w:sz w:val="16"/>
          <w:szCs w:val="16"/>
        </w:rPr>
        <w:t>ապրանքային</w:t>
      </w:r>
      <w:r w:rsidRPr="005E6B5D">
        <w:rPr>
          <w:b w:val="0"/>
          <w:bCs/>
          <w:sz w:val="16"/>
          <w:szCs w:val="16"/>
          <w:lang w:val="en-US"/>
        </w:rPr>
        <w:t xml:space="preserve"> </w:t>
      </w:r>
      <w:r w:rsidRPr="005E6B5D">
        <w:rPr>
          <w:b w:val="0"/>
          <w:bCs/>
          <w:sz w:val="16"/>
          <w:szCs w:val="16"/>
        </w:rPr>
        <w:t>շուկաներ</w:t>
      </w:r>
      <w:r w:rsidRPr="005E6B5D">
        <w:rPr>
          <w:b w:val="0"/>
          <w:bCs/>
          <w:sz w:val="16"/>
          <w:szCs w:val="16"/>
          <w:lang w:val="en-US"/>
        </w:rPr>
        <w:t xml:space="preserve"> </w:t>
      </w:r>
      <w:r w:rsidRPr="005E6B5D">
        <w:rPr>
          <w:b w:val="0"/>
          <w:bCs/>
          <w:sz w:val="16"/>
          <w:szCs w:val="16"/>
        </w:rPr>
        <w:t>և</w:t>
      </w:r>
      <w:r w:rsidRPr="005E6B5D">
        <w:rPr>
          <w:b w:val="0"/>
          <w:bCs/>
          <w:sz w:val="16"/>
          <w:szCs w:val="16"/>
          <w:lang w:val="en-US"/>
        </w:rPr>
        <w:t xml:space="preserve"> </w:t>
      </w:r>
      <w:r w:rsidRPr="005E6B5D">
        <w:rPr>
          <w:b w:val="0"/>
          <w:bCs/>
          <w:sz w:val="16"/>
          <w:szCs w:val="16"/>
        </w:rPr>
        <w:t>պետական</w:t>
      </w:r>
      <w:r w:rsidRPr="005E6B5D">
        <w:rPr>
          <w:b w:val="0"/>
          <w:bCs/>
          <w:sz w:val="16"/>
          <w:szCs w:val="16"/>
          <w:lang w:val="en-US"/>
        </w:rPr>
        <w:t xml:space="preserve"> </w:t>
      </w:r>
      <w:r w:rsidRPr="005E6B5D">
        <w:rPr>
          <w:b w:val="0"/>
          <w:bCs/>
          <w:sz w:val="16"/>
          <w:szCs w:val="16"/>
        </w:rPr>
        <w:t>կառավարում</w:t>
      </w:r>
      <w:r w:rsidRPr="005E6B5D">
        <w:rPr>
          <w:b w:val="0"/>
          <w:bCs/>
          <w:sz w:val="16"/>
          <w:szCs w:val="16"/>
          <w:lang w:val="en-US"/>
        </w:rPr>
        <w:t xml:space="preserve">) </w:t>
      </w:r>
      <w:r w:rsidRPr="005E6B5D">
        <w:rPr>
          <w:b w:val="0"/>
          <w:bCs/>
          <w:sz w:val="16"/>
          <w:szCs w:val="16"/>
        </w:rPr>
        <w:t>էական</w:t>
      </w:r>
      <w:r w:rsidRPr="005E6B5D">
        <w:rPr>
          <w:b w:val="0"/>
          <w:bCs/>
          <w:sz w:val="16"/>
          <w:szCs w:val="16"/>
          <w:lang w:val="en-US"/>
        </w:rPr>
        <w:t xml:space="preserve"> </w:t>
      </w:r>
      <w:r w:rsidRPr="005E6B5D">
        <w:rPr>
          <w:b w:val="0"/>
          <w:bCs/>
          <w:sz w:val="16"/>
          <w:szCs w:val="16"/>
        </w:rPr>
        <w:t>ջանքը</w:t>
      </w:r>
      <w:r w:rsidRPr="005E6B5D">
        <w:rPr>
          <w:b w:val="0"/>
          <w:bCs/>
          <w:sz w:val="16"/>
          <w:szCs w:val="16"/>
          <w:lang w:val="en-US"/>
        </w:rPr>
        <w:t xml:space="preserve"> </w:t>
      </w:r>
      <w:r w:rsidRPr="005E6B5D">
        <w:rPr>
          <w:b w:val="0"/>
          <w:bCs/>
          <w:sz w:val="16"/>
          <w:szCs w:val="16"/>
        </w:rPr>
        <w:t>կարող</w:t>
      </w:r>
      <w:r w:rsidRPr="005E6B5D">
        <w:rPr>
          <w:b w:val="0"/>
          <w:bCs/>
          <w:sz w:val="16"/>
          <w:szCs w:val="16"/>
          <w:lang w:val="en-US"/>
        </w:rPr>
        <w:t xml:space="preserve"> </w:t>
      </w:r>
      <w:r w:rsidRPr="005E6B5D">
        <w:rPr>
          <w:b w:val="0"/>
          <w:bCs/>
          <w:sz w:val="16"/>
          <w:szCs w:val="16"/>
        </w:rPr>
        <w:t>է</w:t>
      </w:r>
      <w:r w:rsidRPr="005E6B5D">
        <w:rPr>
          <w:b w:val="0"/>
          <w:bCs/>
          <w:sz w:val="16"/>
          <w:szCs w:val="16"/>
          <w:lang w:val="en-US"/>
        </w:rPr>
        <w:t xml:space="preserve"> 6 </w:t>
      </w:r>
      <w:r w:rsidRPr="005E6B5D">
        <w:rPr>
          <w:b w:val="0"/>
          <w:bCs/>
          <w:sz w:val="16"/>
          <w:szCs w:val="16"/>
        </w:rPr>
        <w:t>տարում</w:t>
      </w:r>
      <w:r w:rsidRPr="005E6B5D">
        <w:rPr>
          <w:b w:val="0"/>
          <w:bCs/>
          <w:sz w:val="16"/>
          <w:szCs w:val="16"/>
          <w:lang w:val="en-US"/>
        </w:rPr>
        <w:t xml:space="preserve"> </w:t>
      </w:r>
      <w:r w:rsidRPr="005E6B5D">
        <w:rPr>
          <w:b w:val="0"/>
          <w:bCs/>
          <w:sz w:val="16"/>
          <w:szCs w:val="16"/>
        </w:rPr>
        <w:t>ՀՆԱ</w:t>
      </w:r>
      <w:r w:rsidRPr="005E6B5D">
        <w:rPr>
          <w:b w:val="0"/>
          <w:bCs/>
          <w:sz w:val="16"/>
          <w:szCs w:val="16"/>
          <w:lang w:val="en-US"/>
        </w:rPr>
        <w:t>-</w:t>
      </w:r>
      <w:r w:rsidRPr="005E6B5D">
        <w:rPr>
          <w:b w:val="0"/>
          <w:bCs/>
          <w:sz w:val="16"/>
          <w:szCs w:val="16"/>
        </w:rPr>
        <w:t>ի</w:t>
      </w:r>
      <w:r w:rsidRPr="005E6B5D">
        <w:rPr>
          <w:b w:val="0"/>
          <w:bCs/>
          <w:sz w:val="16"/>
          <w:szCs w:val="16"/>
          <w:lang w:val="en-US"/>
        </w:rPr>
        <w:t xml:space="preserve"> </w:t>
      </w:r>
      <w:r w:rsidRPr="005E6B5D">
        <w:rPr>
          <w:b w:val="0"/>
          <w:bCs/>
          <w:sz w:val="16"/>
          <w:szCs w:val="16"/>
        </w:rPr>
        <w:t>շուրջ</w:t>
      </w:r>
      <w:r w:rsidRPr="005E6B5D">
        <w:rPr>
          <w:b w:val="0"/>
          <w:bCs/>
          <w:sz w:val="16"/>
          <w:szCs w:val="16"/>
          <w:lang w:val="en-US"/>
        </w:rPr>
        <w:t xml:space="preserve"> 7% </w:t>
      </w:r>
      <w:r w:rsidRPr="005E6B5D">
        <w:rPr>
          <w:b w:val="0"/>
          <w:bCs/>
          <w:sz w:val="16"/>
          <w:szCs w:val="16"/>
        </w:rPr>
        <w:t>աճ</w:t>
      </w:r>
      <w:r w:rsidRPr="005E6B5D">
        <w:rPr>
          <w:b w:val="0"/>
          <w:bCs/>
          <w:sz w:val="16"/>
          <w:szCs w:val="16"/>
          <w:lang w:val="en-US"/>
        </w:rPr>
        <w:t xml:space="preserve"> </w:t>
      </w:r>
      <w:r w:rsidRPr="005E6B5D">
        <w:rPr>
          <w:b w:val="0"/>
          <w:bCs/>
          <w:sz w:val="16"/>
          <w:szCs w:val="16"/>
        </w:rPr>
        <w:t>ապահովել</w:t>
      </w:r>
      <w:r w:rsidRPr="005E6B5D">
        <w:rPr>
          <w:b w:val="0"/>
          <w:bCs/>
          <w:sz w:val="16"/>
          <w:szCs w:val="16"/>
          <w:lang w:val="en-US"/>
        </w:rPr>
        <w:t xml:space="preserve"> (</w:t>
      </w:r>
      <w:r w:rsidRPr="005E6B5D">
        <w:rPr>
          <w:b w:val="0"/>
          <w:bCs/>
          <w:sz w:val="16"/>
          <w:szCs w:val="16"/>
        </w:rPr>
        <w:t>տե՛ս</w:t>
      </w:r>
      <w:r w:rsidRPr="005E6B5D">
        <w:rPr>
          <w:b w:val="0"/>
          <w:bCs/>
          <w:sz w:val="16"/>
          <w:szCs w:val="16"/>
          <w:lang w:val="en-US"/>
        </w:rPr>
        <w:t xml:space="preserve"> IMF (2019). WEO October 2019, Chapter 3: Reigniting Growth in Emerging Market and Low-Income Economies: What Role for Structural Reforms?</w:t>
      </w:r>
      <w:r w:rsidRPr="005D1807">
        <w:rPr>
          <w:lang w:val="en-US"/>
        </w:rPr>
        <w:t xml:space="preserve"> </w:t>
      </w:r>
      <w:hyperlink r:id="rId8" w:history="1">
        <w:r w:rsidRPr="005E6B5D">
          <w:rPr>
            <w:b w:val="0"/>
            <w:bCs/>
            <w:sz w:val="16"/>
            <w:szCs w:val="16"/>
          </w:rPr>
          <w:t>https://www.imf.org/en/Publications/WEO/Issues/2019/10/01/world-economic-outlook-october-2019</w:t>
        </w:r>
      </w:hyperlink>
      <w:r w:rsidRPr="005E6B5D">
        <w:rPr>
          <w:b w:val="0"/>
          <w:bCs/>
          <w:sz w:val="16"/>
          <w:szCs w:val="16"/>
        </w:rPr>
        <w:t xml:space="preserve">  )։ Համադրելով ԱՄՀ գնահատականներում կիրառված կառուցվածքային բարեփոխումների ուղղությունները, և ՀՀ կառավարության ծրագրով ուղենշված՝ գործարար միջավայրը և պետական կառավարման արդյունավետությունը բարելավող միջոցառումները, ՀՀ համար կառուցվածքային բարեփոխումների հնարավոր ազդեցությունը գնահատվել է տարեկան 0․5%-ային կետ միջնաժամկետ հատվածի համար։</w:t>
      </w:r>
    </w:p>
  </w:footnote>
  <w:footnote w:id="17">
    <w:p w14:paraId="24909897" w14:textId="77777777" w:rsidR="005D1807" w:rsidRPr="005E6B5D" w:rsidRDefault="005D1807" w:rsidP="005D1807">
      <w:pPr>
        <w:rPr>
          <w:b w:val="0"/>
          <w:bCs/>
          <w:sz w:val="16"/>
          <w:szCs w:val="16"/>
        </w:rPr>
      </w:pPr>
      <w:r w:rsidRPr="005E6B5D">
        <w:rPr>
          <w:b w:val="0"/>
          <w:bCs/>
          <w:sz w:val="16"/>
          <w:szCs w:val="16"/>
        </w:rPr>
        <w:footnoteRef/>
      </w:r>
      <w:r w:rsidRPr="005E6B5D">
        <w:rPr>
          <w:b w:val="0"/>
          <w:bCs/>
          <w:sz w:val="16"/>
          <w:szCs w:val="16"/>
        </w:rPr>
        <w:t xml:space="preserve"> Աղբյուրը՝ ՀՀ ԿԲ, «ՀՀ բանկերի միջոցով ֆիզիկական անձանց անունով արտերկրից ստացված և ՀՀ-ից ֆիզիկական անձանց կողմից արտերկիր իրականացված փոխանցումներ», զուտ ներհոսք (https://www.cba.am/am/SitePages/statexternalsector.aspx)։</w:t>
      </w:r>
    </w:p>
  </w:footnote>
  <w:footnote w:id="18">
    <w:p w14:paraId="5A3A96F8" w14:textId="77777777" w:rsidR="005D1807" w:rsidRPr="00A64D05" w:rsidRDefault="005D1807" w:rsidP="005D1807">
      <w:pPr>
        <w:rPr>
          <w:b w:val="0"/>
          <w:bCs/>
          <w:sz w:val="16"/>
          <w:szCs w:val="16"/>
        </w:rPr>
      </w:pPr>
      <w:r w:rsidRPr="00A64D05">
        <w:rPr>
          <w:b w:val="0"/>
          <w:bCs/>
          <w:sz w:val="16"/>
          <w:szCs w:val="16"/>
        </w:rPr>
        <w:footnoteRef/>
      </w:r>
      <w:r w:rsidRPr="00A64D05">
        <w:rPr>
          <w:b w:val="0"/>
          <w:bCs/>
          <w:sz w:val="16"/>
          <w:szCs w:val="16"/>
        </w:rPr>
        <w:t xml:space="preserve"> Աղբյուրը՝ ՀՀ ԿԲ, Գնաճի հաշվետվություն (Դրամավարկային քաղաքականության ծրագիր II եռամսյակ 2023թ. Դրամավարկային քաղաքականության 2023թ. I եռամսյակի ծրագրի կատարման հաշվետվություն)​։</w:t>
      </w:r>
    </w:p>
  </w:footnote>
  <w:footnote w:id="19">
    <w:p w14:paraId="14BE9830" w14:textId="77777777" w:rsidR="005D1807" w:rsidRPr="00EC591E" w:rsidRDefault="005D1807" w:rsidP="005D1807">
      <w:pPr>
        <w:rPr>
          <w:b w:val="0"/>
          <w:bCs/>
          <w:sz w:val="16"/>
          <w:szCs w:val="16"/>
        </w:rPr>
      </w:pPr>
      <w:r w:rsidRPr="00EC591E">
        <w:rPr>
          <w:b w:val="0"/>
          <w:bCs/>
          <w:sz w:val="16"/>
          <w:szCs w:val="16"/>
        </w:rPr>
        <w:footnoteRef/>
      </w:r>
      <w:r w:rsidRPr="00EC591E">
        <w:rPr>
          <w:b w:val="0"/>
          <w:bCs/>
          <w:sz w:val="16"/>
          <w:szCs w:val="16"/>
        </w:rPr>
        <w:t xml:space="preserve"> Առավել մանրամասն տ՛ես Աղյուսակ 1.4-ում:</w:t>
      </w:r>
    </w:p>
  </w:footnote>
  <w:footnote w:id="20">
    <w:p w14:paraId="6EE13915" w14:textId="77777777" w:rsidR="005D1807" w:rsidRPr="000739AC" w:rsidRDefault="005D1807" w:rsidP="005D1807">
      <w:pPr>
        <w:rPr>
          <w:b w:val="0"/>
          <w:bCs/>
          <w:sz w:val="16"/>
          <w:szCs w:val="16"/>
        </w:rPr>
      </w:pPr>
      <w:r w:rsidRPr="000739AC">
        <w:rPr>
          <w:b w:val="0"/>
          <w:bCs/>
          <w:sz w:val="16"/>
          <w:szCs w:val="16"/>
        </w:rPr>
        <w:footnoteRef/>
      </w:r>
      <w:r w:rsidRPr="000739AC">
        <w:rPr>
          <w:b w:val="0"/>
          <w:bCs/>
          <w:sz w:val="16"/>
          <w:szCs w:val="16"/>
        </w:rPr>
        <w:t xml:space="preserve"> Տե՛ս «Տնտեսական արձագանքման ծրագիրը և գործողությունների պլանը հաստատելու մասին» ՀՀ կառավարության 2021թ. փետրվարի 4-ի թիվ 142-Լ որոշում, հավելված 1:</w:t>
      </w:r>
    </w:p>
  </w:footnote>
  <w:footnote w:id="21">
    <w:p w14:paraId="5157DE0D" w14:textId="77777777" w:rsidR="005D1807" w:rsidRPr="000739AC" w:rsidRDefault="005D1807" w:rsidP="005D1807">
      <w:pPr>
        <w:rPr>
          <w:b w:val="0"/>
          <w:bCs/>
          <w:sz w:val="16"/>
          <w:szCs w:val="16"/>
        </w:rPr>
      </w:pPr>
      <w:r w:rsidRPr="000739AC">
        <w:rPr>
          <w:b w:val="0"/>
          <w:bCs/>
          <w:sz w:val="16"/>
          <w:szCs w:val="16"/>
        </w:rPr>
        <w:footnoteRef/>
      </w:r>
      <w:r w:rsidRPr="000739AC">
        <w:rPr>
          <w:b w:val="0"/>
          <w:bCs/>
          <w:sz w:val="16"/>
          <w:szCs w:val="16"/>
        </w:rPr>
        <w:t xml:space="preserve"> Աղյուսակի 1-ին սյունը իրենից ներկայացնում է տնտեսական աճի հնարավոր միջա</w:t>
      </w:r>
      <w:r w:rsidRPr="000739AC">
        <w:rPr>
          <w:b w:val="0"/>
          <w:bCs/>
          <w:sz w:val="16"/>
          <w:szCs w:val="16"/>
        </w:rPr>
        <w:softHyphen/>
        <w:t>կայքերը, իսկ 2-ից 5-րդ սյուները` համապատասխան միջակայքերում տնտեսական աճի գտնվելու հավանականությունները։ Աղյուսակում ներկայացվել են տնտեսական աճի ամենահավանական միջակայքերը, որոնք միասին ծածկում են բաշխման ընդհանուր հավանականության շուրջ 88%-ը, այսինքն` հավանականությունը, որ տնտեսական աճը կգտնվի 2%-ից 10%  միջակայքում, կազմում է շուրջ 82%:</w:t>
      </w:r>
    </w:p>
  </w:footnote>
  <w:footnote w:id="22">
    <w:p w14:paraId="456840AA" w14:textId="77777777" w:rsidR="00730639" w:rsidRPr="008E5A31" w:rsidRDefault="00730639" w:rsidP="00730639">
      <w:pPr>
        <w:pStyle w:val="FootnoteText"/>
        <w:rPr>
          <w:lang w:val="hy-AM"/>
        </w:rPr>
      </w:pPr>
      <w:r>
        <w:rPr>
          <w:rStyle w:val="FootnoteReference"/>
        </w:rPr>
        <w:footnoteRef/>
      </w:r>
      <w:r w:rsidRPr="008E5A31">
        <w:rPr>
          <w:lang w:val="hy-AM"/>
        </w:rPr>
        <w:t xml:space="preserve"> </w:t>
      </w:r>
      <w:r>
        <w:rPr>
          <w:lang w:val="hy-AM"/>
        </w:rPr>
        <w:t xml:space="preserve">Առանձին հարկատեսակների գծով ներկայացված են ուղենշային կանխատեսումները (հիմնված մակրոտնտեսական ցուցանիշների կանխատեսումների վրա), որոնք պլանային ցուցանիշներ չեն հանդիսանում: </w:t>
      </w:r>
    </w:p>
    <w:p w14:paraId="4B858A9B" w14:textId="77777777" w:rsidR="00730639" w:rsidRPr="008E5A31" w:rsidRDefault="00730639" w:rsidP="00730639">
      <w:pPr>
        <w:pStyle w:val="FootnoteText"/>
        <w:rPr>
          <w:lang w:val="hy-AM"/>
        </w:rPr>
      </w:pPr>
    </w:p>
  </w:footnote>
  <w:footnote w:id="23">
    <w:p w14:paraId="5D2335C6" w14:textId="77777777" w:rsidR="00730639" w:rsidRPr="00123A46" w:rsidRDefault="00730639" w:rsidP="00730639">
      <w:pPr>
        <w:pStyle w:val="FootnoteText"/>
        <w:rPr>
          <w:lang w:val="hy-AM"/>
        </w:rPr>
      </w:pPr>
      <w:r>
        <w:rPr>
          <w:rStyle w:val="FootnoteReference"/>
        </w:rPr>
        <w:footnoteRef/>
      </w:r>
      <w:r>
        <w:rPr>
          <w:lang w:val="hy-AM"/>
        </w:rPr>
        <w:t xml:space="preserve"> Ի տարբերություն հարկաբյուջետային իրավիճակի վրա դեպի բյուջեի ծախսեր ԼՂ վարկավորման տեղափոխման ամբողջությամբ չեզոք ազդեցության, այս գործառնությունը որոշակի սահմանափակ լրացուցիչ ազդեցությունը կունենա ամբողջական պահանջարկի վրա, սակայն՝ միայն ԼՂ-ում կատարվող ծախսումների՝ ՀՀ տնտեսություն չփոխանցվող չափով, ինչն էլ արտացոլվել է հարկաբյուջետային ազդակի գնահատականներում։ </w:t>
      </w:r>
    </w:p>
  </w:footnote>
  <w:footnote w:id="24">
    <w:p w14:paraId="2AD2C220" w14:textId="77777777" w:rsidR="00730639" w:rsidRPr="001C5EA5" w:rsidRDefault="00730639" w:rsidP="00730639">
      <w:pPr>
        <w:pStyle w:val="FootnoteText"/>
        <w:rPr>
          <w:lang w:val="hy-AM"/>
        </w:rPr>
      </w:pPr>
      <w:r>
        <w:rPr>
          <w:rStyle w:val="FootnoteReference"/>
        </w:rPr>
        <w:footnoteRef/>
      </w:r>
      <w:r w:rsidRPr="001C5EA5">
        <w:rPr>
          <w:lang w:val="hy-AM"/>
        </w:rPr>
        <w:t xml:space="preserve"> Կանխատեսվող տարիների համար կառավարության պարտք/ՀՆԱ ցուցանիշի փոփոխությանը նպաստող գործոններից փոխարժեքի ենթադրությունների ազդեցությունն արտահայտված է մնացորդի բաղադրիչի մեջ։ </w:t>
      </w:r>
    </w:p>
  </w:footnote>
  <w:footnote w:id="25">
    <w:p w14:paraId="43DFC10F" w14:textId="77777777" w:rsidR="00730639" w:rsidRPr="001C5EA5" w:rsidRDefault="00730639" w:rsidP="00730639">
      <w:pPr>
        <w:pStyle w:val="FootnoteText"/>
        <w:rPr>
          <w:lang w:val="hy-AM"/>
        </w:rPr>
      </w:pPr>
      <w:r w:rsidRPr="0038225D">
        <w:rPr>
          <w:rStyle w:val="FootnoteReference"/>
          <w:sz w:val="18"/>
          <w:szCs w:val="18"/>
        </w:rPr>
        <w:footnoteRef/>
      </w:r>
      <w:r w:rsidRPr="001C5EA5">
        <w:rPr>
          <w:lang w:val="hy-AM"/>
        </w:rPr>
        <w:t xml:space="preserve"> Հարկաբյուջետային կանխատեսումների համար հիմք է հանդիսացել 2023թ.-ի օգոստոսի վերջի դրությամբ առկա տեղեկատվությունը՝ ռուս-ուկրաինական հակամարտության, Լեռնային Ղարաբաղի շուրջ իրավիճակի, ՀՀ տնտեսության զարգացումների վերաբերյալ միջազգային կազմակերպությունների կանխատեսումների, ինչպես նաև հարկաբյուջետային քաղաքականության ուղությունների վերաբերյալ:</w:t>
      </w:r>
    </w:p>
  </w:footnote>
  <w:footnote w:id="26">
    <w:p w14:paraId="79FE378F" w14:textId="77777777" w:rsidR="00730639" w:rsidRPr="00B0166D" w:rsidRDefault="00730639" w:rsidP="00730639">
      <w:pPr>
        <w:pStyle w:val="FootnoteText"/>
        <w:rPr>
          <w:lang w:val="hy-AM"/>
        </w:rPr>
      </w:pPr>
      <w:r w:rsidRPr="00E2325B">
        <w:rPr>
          <w:rStyle w:val="FootnoteReference"/>
        </w:rPr>
        <w:footnoteRef/>
      </w:r>
      <w:r w:rsidRPr="00B0166D">
        <w:rPr>
          <w:lang w:val="hy-AM"/>
        </w:rPr>
        <w:t xml:space="preserve"> Այս հատվածում նկարագրված ռիսկերի առավել մանրամասն վերլուծությունը ներկայացված է այս փաստաթղթի ՄԱՍ IV-ի «Պետական բյուջեի վրա մակրոտնտեսական կանխատեսված ցուցանիշներից շեղման ռիսկերի ազդեցության քանակական գնահատում» և «ՀՀ կառավարության պարտքի կայունության վերլուծություն» բաժիններում։ </w:t>
      </w:r>
    </w:p>
  </w:footnote>
  <w:footnote w:id="27">
    <w:p w14:paraId="4E7C5519" w14:textId="77777777" w:rsidR="004F3CA3" w:rsidRPr="00EE1C9F" w:rsidRDefault="004F3CA3" w:rsidP="003337B9">
      <w:pPr>
        <w:pStyle w:val="FootnoteText"/>
        <w:rPr>
          <w:lang w:val="hy-AM"/>
        </w:rPr>
      </w:pPr>
      <w:r>
        <w:rPr>
          <w:rStyle w:val="FootnoteReference"/>
          <w:rFonts w:cs="GHEA Grapalat"/>
        </w:rPr>
        <w:footnoteRef/>
      </w:r>
      <w:r w:rsidRPr="00EE1C9F">
        <w:rPr>
          <w:lang w:val="hy-AM"/>
        </w:rPr>
        <w:t xml:space="preserve"> Այս բաժնում որպես ՀՀ 20</w:t>
      </w:r>
      <w:r>
        <w:rPr>
          <w:lang w:val="ro-RO"/>
        </w:rPr>
        <w:t>23</w:t>
      </w:r>
      <w:r w:rsidRPr="00EE1C9F">
        <w:rPr>
          <w:lang w:val="hy-AM"/>
        </w:rPr>
        <w:t xml:space="preserve"> թվականի պետական բյուջեի պետական տուրքի համար հաստատված ցու</w:t>
      </w:r>
      <w:r w:rsidRPr="00EE1C9F">
        <w:rPr>
          <w:lang w:val="hy-AM"/>
        </w:rPr>
        <w:softHyphen/>
        <w:t>ցա</w:t>
      </w:r>
      <w:r w:rsidRPr="00EE1C9F">
        <w:rPr>
          <w:lang w:val="hy-AM"/>
        </w:rPr>
        <w:softHyphen/>
        <w:t>նիշ</w:t>
      </w:r>
      <w:r w:rsidRPr="00EE1C9F">
        <w:rPr>
          <w:lang w:val="hy-AM"/>
        </w:rPr>
        <w:softHyphen/>
        <w:t>ներ դիտարկվել են ՀՀ կառավարության 202</w:t>
      </w:r>
      <w:r w:rsidRPr="00E960A7">
        <w:rPr>
          <w:lang w:val="hy-AM"/>
        </w:rPr>
        <w:t>2</w:t>
      </w:r>
      <w:r w:rsidRPr="00EE1C9F">
        <w:rPr>
          <w:lang w:val="hy-AM"/>
        </w:rPr>
        <w:t xml:space="preserve"> թվականի դեկտեմբերի </w:t>
      </w:r>
      <w:r w:rsidRPr="00804A79">
        <w:rPr>
          <w:lang w:val="hy-AM"/>
        </w:rPr>
        <w:t>2</w:t>
      </w:r>
      <w:r w:rsidRPr="00E960A7">
        <w:rPr>
          <w:lang w:val="hy-AM"/>
        </w:rPr>
        <w:t>9</w:t>
      </w:r>
      <w:r w:rsidRPr="00EE1C9F">
        <w:rPr>
          <w:lang w:val="hy-AM"/>
        </w:rPr>
        <w:t>-ի N 2</w:t>
      </w:r>
      <w:r w:rsidRPr="00804A79">
        <w:rPr>
          <w:lang w:val="hy-AM"/>
        </w:rPr>
        <w:t>1</w:t>
      </w:r>
      <w:r w:rsidRPr="00E960A7">
        <w:rPr>
          <w:lang w:val="hy-AM"/>
        </w:rPr>
        <w:t>1</w:t>
      </w:r>
      <w:r w:rsidRPr="00804A79">
        <w:rPr>
          <w:lang w:val="hy-AM"/>
        </w:rPr>
        <w:t>1</w:t>
      </w:r>
      <w:r w:rsidRPr="00EE1C9F">
        <w:rPr>
          <w:lang w:val="hy-AM"/>
        </w:rPr>
        <w:t>-Ն որոշման N 6 հավելվածով ՀՀ 20</w:t>
      </w:r>
      <w:r>
        <w:rPr>
          <w:lang w:val="ro-RO"/>
        </w:rPr>
        <w:t>23</w:t>
      </w:r>
      <w:r w:rsidRPr="00EE1C9F">
        <w:rPr>
          <w:lang w:val="hy-AM"/>
        </w:rPr>
        <w:t xml:space="preserve"> թվականի պետական բյուջեի պետական տուրքի գծով հաս</w:t>
      </w:r>
      <w:r w:rsidRPr="00EE1C9F">
        <w:rPr>
          <w:lang w:val="hy-AM"/>
        </w:rPr>
        <w:softHyphen/>
        <w:t>տատ</w:t>
      </w:r>
      <w:r w:rsidRPr="00EE1C9F">
        <w:rPr>
          <w:lang w:val="hy-AM"/>
        </w:rPr>
        <w:softHyphen/>
        <w:t>ված ցուցանիշները:</w:t>
      </w:r>
    </w:p>
  </w:footnote>
  <w:footnote w:id="28">
    <w:p w14:paraId="12D97787" w14:textId="77777777" w:rsidR="004F3CA3" w:rsidRPr="00EE1C9F" w:rsidRDefault="004F3CA3" w:rsidP="003337B9">
      <w:pPr>
        <w:pStyle w:val="FootnoteText"/>
        <w:rPr>
          <w:lang w:val="hy-AM"/>
        </w:rPr>
      </w:pPr>
      <w:r>
        <w:rPr>
          <w:rStyle w:val="FootnoteReference"/>
          <w:rFonts w:cs="GHEA Grapalat"/>
        </w:rPr>
        <w:footnoteRef/>
      </w:r>
      <w:r>
        <w:rPr>
          <w:rStyle w:val="FootnoteReference"/>
          <w:lang w:val="hy-AM"/>
        </w:rPr>
        <w:t xml:space="preserve"> </w:t>
      </w:r>
      <w:r w:rsidRPr="00EE1C9F">
        <w:rPr>
          <w:lang w:val="hy-AM"/>
        </w:rPr>
        <w:t>Առանց ՀՀ 202</w:t>
      </w:r>
      <w:r w:rsidRPr="009447CF">
        <w:rPr>
          <w:lang w:val="hy-AM"/>
        </w:rPr>
        <w:t>2</w:t>
      </w:r>
      <w:r w:rsidRPr="00EE1C9F">
        <w:rPr>
          <w:lang w:val="hy-AM"/>
        </w:rPr>
        <w:t xml:space="preserve"> թվականի պետական բյուջեից ծախս-եկամուտ գործառույթի եղանակով </w:t>
      </w:r>
      <w:r>
        <w:rPr>
          <w:color w:val="000000"/>
          <w:lang w:val="hy-AM"/>
        </w:rPr>
        <w:t>ստացված 381.5</w:t>
      </w:r>
      <w:r w:rsidRPr="00804A79">
        <w:rPr>
          <w:color w:val="000000"/>
          <w:lang w:val="hy-AM"/>
        </w:rPr>
        <w:t xml:space="preserve"> </w:t>
      </w:r>
      <w:r w:rsidRPr="00EE1C9F">
        <w:rPr>
          <w:lang w:val="hy-AM"/>
        </w:rPr>
        <w:t xml:space="preserve">մլն </w:t>
      </w:r>
      <w:r w:rsidRPr="00804A79">
        <w:rPr>
          <w:color w:val="000000"/>
          <w:lang w:val="hy-AM"/>
        </w:rPr>
        <w:t xml:space="preserve">դրամի </w:t>
      </w:r>
      <w:r w:rsidRPr="00EE1C9F">
        <w:rPr>
          <w:lang w:val="hy-AM"/>
        </w:rPr>
        <w:t>չափով այն եկամուտների, որոնք հաշվառվում են պետական տուրքերի կազմում:</w:t>
      </w:r>
    </w:p>
    <w:p w14:paraId="3BCB288C" w14:textId="77777777" w:rsidR="004F3CA3" w:rsidRPr="00EE1C9F" w:rsidRDefault="004F3CA3" w:rsidP="003337B9">
      <w:pPr>
        <w:pStyle w:val="FootnoteText"/>
        <w:rPr>
          <w:lang w:val="hy-AM"/>
        </w:rPr>
      </w:pPr>
      <w:r w:rsidRPr="00EE1C9F">
        <w:rPr>
          <w:lang w:val="hy-AM"/>
        </w:rPr>
        <w:t xml:space="preserve">   </w:t>
      </w:r>
    </w:p>
  </w:footnote>
  <w:footnote w:id="29">
    <w:p w14:paraId="7BDF46AB" w14:textId="77777777" w:rsidR="00DF2873" w:rsidRPr="00DE50C8" w:rsidRDefault="00DF2873" w:rsidP="001466DC">
      <w:pPr>
        <w:spacing w:before="0" w:line="240" w:lineRule="auto"/>
        <w:rPr>
          <w:b w:val="0"/>
          <w:bCs/>
          <w:sz w:val="16"/>
          <w:szCs w:val="16"/>
          <w:lang w:val="af-ZA"/>
        </w:rPr>
      </w:pPr>
      <w:r w:rsidRPr="00DE50C8">
        <w:rPr>
          <w:rStyle w:val="FootnoteReference"/>
          <w:b w:val="0"/>
          <w:bCs/>
          <w:sz w:val="16"/>
          <w:szCs w:val="16"/>
        </w:rPr>
        <w:footnoteRef/>
      </w:r>
      <w:r w:rsidRPr="00DE50C8">
        <w:rPr>
          <w:b w:val="0"/>
          <w:bCs/>
          <w:sz w:val="16"/>
          <w:szCs w:val="16"/>
          <w:lang w:val="hy-AM"/>
        </w:rPr>
        <w:t xml:space="preserve"> ոչ</w:t>
      </w:r>
      <w:r w:rsidRPr="00DE50C8">
        <w:rPr>
          <w:b w:val="0"/>
          <w:bCs/>
          <w:sz w:val="16"/>
          <w:szCs w:val="16"/>
          <w:lang w:val="af-ZA"/>
        </w:rPr>
        <w:t xml:space="preserve"> </w:t>
      </w:r>
      <w:r w:rsidRPr="00DE50C8">
        <w:rPr>
          <w:b w:val="0"/>
          <w:bCs/>
          <w:sz w:val="16"/>
          <w:szCs w:val="16"/>
          <w:lang w:val="hy-AM"/>
        </w:rPr>
        <w:t>ֆինանսական</w:t>
      </w:r>
      <w:r w:rsidRPr="00DE50C8">
        <w:rPr>
          <w:b w:val="0"/>
          <w:bCs/>
          <w:sz w:val="16"/>
          <w:szCs w:val="16"/>
          <w:lang w:val="af-ZA"/>
        </w:rPr>
        <w:t xml:space="preserve"> </w:t>
      </w:r>
      <w:r w:rsidRPr="00DE50C8">
        <w:rPr>
          <w:b w:val="0"/>
          <w:bCs/>
          <w:sz w:val="16"/>
          <w:szCs w:val="16"/>
          <w:lang w:val="hy-AM"/>
        </w:rPr>
        <w:t>ակտիվների</w:t>
      </w:r>
      <w:r w:rsidRPr="00DE50C8">
        <w:rPr>
          <w:b w:val="0"/>
          <w:bCs/>
          <w:sz w:val="16"/>
          <w:szCs w:val="16"/>
          <w:lang w:val="af-ZA"/>
        </w:rPr>
        <w:t xml:space="preserve"> </w:t>
      </w:r>
      <w:r w:rsidRPr="00DE50C8">
        <w:rPr>
          <w:b w:val="0"/>
          <w:bCs/>
          <w:sz w:val="16"/>
          <w:szCs w:val="16"/>
          <w:lang w:val="hy-AM"/>
        </w:rPr>
        <w:t>գծով</w:t>
      </w:r>
      <w:r w:rsidRPr="00DE50C8">
        <w:rPr>
          <w:b w:val="0"/>
          <w:bCs/>
          <w:sz w:val="16"/>
          <w:szCs w:val="16"/>
          <w:lang w:val="af-ZA"/>
        </w:rPr>
        <w:t xml:space="preserve"> </w:t>
      </w:r>
      <w:r w:rsidRPr="00DE50C8">
        <w:rPr>
          <w:b w:val="0"/>
          <w:bCs/>
          <w:sz w:val="16"/>
          <w:szCs w:val="16"/>
          <w:lang w:val="hy-AM"/>
        </w:rPr>
        <w:t>2024թ ծախսերում ներառված</w:t>
      </w:r>
      <w:r w:rsidRPr="00DE50C8">
        <w:rPr>
          <w:b w:val="0"/>
          <w:bCs/>
          <w:sz w:val="16"/>
          <w:szCs w:val="16"/>
          <w:lang w:val="af-ZA"/>
        </w:rPr>
        <w:t xml:space="preserve"> </w:t>
      </w:r>
      <w:r w:rsidRPr="00DE50C8">
        <w:rPr>
          <w:b w:val="0"/>
          <w:bCs/>
          <w:sz w:val="16"/>
          <w:szCs w:val="16"/>
          <w:lang w:val="hy-AM"/>
        </w:rPr>
        <w:t>են նաև</w:t>
      </w:r>
      <w:r w:rsidRPr="00DE50C8">
        <w:rPr>
          <w:b w:val="0"/>
          <w:bCs/>
          <w:sz w:val="16"/>
          <w:szCs w:val="16"/>
          <w:lang w:val="af-ZA"/>
        </w:rPr>
        <w:t xml:space="preserve"> </w:t>
      </w:r>
      <w:r w:rsidRPr="00DE50C8">
        <w:rPr>
          <w:b w:val="0"/>
          <w:bCs/>
          <w:sz w:val="16"/>
          <w:szCs w:val="16"/>
          <w:lang w:val="hy-AM"/>
        </w:rPr>
        <w:t>ոչ</w:t>
      </w:r>
      <w:r w:rsidRPr="00DE50C8">
        <w:rPr>
          <w:b w:val="0"/>
          <w:bCs/>
          <w:sz w:val="16"/>
          <w:szCs w:val="16"/>
          <w:lang w:val="af-ZA"/>
        </w:rPr>
        <w:t xml:space="preserve"> </w:t>
      </w:r>
      <w:r w:rsidRPr="00DE50C8">
        <w:rPr>
          <w:b w:val="0"/>
          <w:bCs/>
          <w:sz w:val="16"/>
          <w:szCs w:val="16"/>
          <w:lang w:val="hy-AM"/>
        </w:rPr>
        <w:t>ֆինանսական</w:t>
      </w:r>
      <w:r w:rsidRPr="00DE50C8">
        <w:rPr>
          <w:b w:val="0"/>
          <w:bCs/>
          <w:sz w:val="16"/>
          <w:szCs w:val="16"/>
          <w:lang w:val="af-ZA"/>
        </w:rPr>
        <w:t xml:space="preserve"> </w:t>
      </w:r>
      <w:r w:rsidRPr="00DE50C8">
        <w:rPr>
          <w:b w:val="0"/>
          <w:bCs/>
          <w:sz w:val="16"/>
          <w:szCs w:val="16"/>
          <w:lang w:val="hy-AM"/>
        </w:rPr>
        <w:t>ակտիվների</w:t>
      </w:r>
      <w:r w:rsidRPr="00DE50C8">
        <w:rPr>
          <w:b w:val="0"/>
          <w:bCs/>
          <w:sz w:val="16"/>
          <w:szCs w:val="16"/>
          <w:lang w:val="af-ZA"/>
        </w:rPr>
        <w:t xml:space="preserve"> </w:t>
      </w:r>
      <w:r w:rsidRPr="00DE50C8">
        <w:rPr>
          <w:b w:val="0"/>
          <w:bCs/>
          <w:sz w:val="16"/>
          <w:szCs w:val="16"/>
          <w:lang w:val="hy-AM"/>
        </w:rPr>
        <w:t>օտարումից</w:t>
      </w:r>
      <w:r w:rsidRPr="00DE50C8">
        <w:rPr>
          <w:b w:val="0"/>
          <w:bCs/>
          <w:sz w:val="16"/>
          <w:szCs w:val="16"/>
          <w:lang w:val="af-ZA"/>
        </w:rPr>
        <w:t xml:space="preserve"> </w:t>
      </w:r>
      <w:r w:rsidRPr="00DE50C8">
        <w:rPr>
          <w:b w:val="0"/>
          <w:bCs/>
          <w:sz w:val="16"/>
          <w:szCs w:val="16"/>
          <w:lang w:val="hy-AM"/>
        </w:rPr>
        <w:t>մուտքեր`</w:t>
      </w:r>
      <w:r w:rsidRPr="00DE50C8">
        <w:rPr>
          <w:b w:val="0"/>
          <w:bCs/>
          <w:sz w:val="16"/>
          <w:szCs w:val="16"/>
          <w:lang w:val="af-ZA"/>
        </w:rPr>
        <w:t xml:space="preserve">  15.0 </w:t>
      </w:r>
      <w:r w:rsidRPr="00DE50C8">
        <w:rPr>
          <w:b w:val="0"/>
          <w:bCs/>
          <w:sz w:val="16"/>
          <w:szCs w:val="16"/>
          <w:lang w:val="hy-AM"/>
        </w:rPr>
        <w:t>մլրդ դրամ</w:t>
      </w:r>
      <w:r w:rsidRPr="00DE50C8">
        <w:rPr>
          <w:b w:val="0"/>
          <w:bCs/>
          <w:sz w:val="16"/>
          <w:szCs w:val="16"/>
          <w:lang w:val="af-ZA"/>
        </w:rPr>
        <w:t xml:space="preserve">, </w:t>
      </w:r>
      <w:r w:rsidRPr="00DE50C8">
        <w:rPr>
          <w:b w:val="0"/>
          <w:bCs/>
          <w:sz w:val="16"/>
          <w:szCs w:val="16"/>
          <w:lang w:val="hy-AM"/>
        </w:rPr>
        <w:t>իսկ</w:t>
      </w:r>
      <w:r w:rsidRPr="00DE50C8">
        <w:rPr>
          <w:b w:val="0"/>
          <w:bCs/>
          <w:sz w:val="16"/>
          <w:szCs w:val="16"/>
          <w:lang w:val="af-ZA"/>
        </w:rPr>
        <w:t xml:space="preserve"> </w:t>
      </w:r>
      <w:r w:rsidRPr="00DE50C8">
        <w:rPr>
          <w:b w:val="0"/>
          <w:bCs/>
          <w:sz w:val="16"/>
          <w:szCs w:val="16"/>
          <w:lang w:val="hy-AM"/>
        </w:rPr>
        <w:t>ՀՀ</w:t>
      </w:r>
      <w:r w:rsidRPr="00DE50C8">
        <w:rPr>
          <w:b w:val="0"/>
          <w:bCs/>
          <w:sz w:val="16"/>
          <w:szCs w:val="16"/>
          <w:lang w:val="af-ZA"/>
        </w:rPr>
        <w:t xml:space="preserve"> </w:t>
      </w:r>
      <w:r w:rsidRPr="00DE50C8">
        <w:rPr>
          <w:b w:val="0"/>
          <w:bCs/>
          <w:sz w:val="16"/>
          <w:szCs w:val="16"/>
          <w:lang w:val="hy-AM"/>
        </w:rPr>
        <w:t>2020-</w:t>
      </w:r>
      <w:r w:rsidRPr="00DE50C8">
        <w:rPr>
          <w:b w:val="0"/>
          <w:bCs/>
          <w:sz w:val="16"/>
          <w:szCs w:val="16"/>
          <w:lang w:val="af-ZA"/>
        </w:rPr>
        <w:t>2023</w:t>
      </w:r>
      <w:r w:rsidRPr="00DE50C8">
        <w:rPr>
          <w:b w:val="0"/>
          <w:bCs/>
          <w:sz w:val="16"/>
          <w:szCs w:val="16"/>
          <w:lang w:val="hy-AM"/>
        </w:rPr>
        <w:t>թթ</w:t>
      </w:r>
      <w:r w:rsidRPr="00DE50C8">
        <w:rPr>
          <w:b w:val="0"/>
          <w:bCs/>
          <w:sz w:val="16"/>
          <w:szCs w:val="16"/>
          <w:lang w:val="af-ZA"/>
        </w:rPr>
        <w:t xml:space="preserve">. </w:t>
      </w:r>
      <w:r w:rsidRPr="00DE50C8">
        <w:rPr>
          <w:b w:val="0"/>
          <w:bCs/>
          <w:sz w:val="16"/>
          <w:szCs w:val="16"/>
          <w:lang w:val="hy-AM"/>
        </w:rPr>
        <w:t>պետական</w:t>
      </w:r>
      <w:r w:rsidRPr="00DE50C8">
        <w:rPr>
          <w:b w:val="0"/>
          <w:bCs/>
          <w:sz w:val="16"/>
          <w:szCs w:val="16"/>
          <w:lang w:val="af-ZA"/>
        </w:rPr>
        <w:t xml:space="preserve"> </w:t>
      </w:r>
      <w:r w:rsidRPr="00DE50C8">
        <w:rPr>
          <w:b w:val="0"/>
          <w:bCs/>
          <w:sz w:val="16"/>
          <w:szCs w:val="16"/>
          <w:lang w:val="hy-AM"/>
        </w:rPr>
        <w:t>բյուջեով համապատասխանաբար՝</w:t>
      </w:r>
      <w:r w:rsidRPr="00DE50C8">
        <w:rPr>
          <w:b w:val="0"/>
          <w:bCs/>
          <w:sz w:val="16"/>
          <w:szCs w:val="16"/>
          <w:lang w:val="af-ZA"/>
        </w:rPr>
        <w:t xml:space="preserve"> </w:t>
      </w:r>
      <w:r w:rsidRPr="00DE50C8">
        <w:rPr>
          <w:b w:val="0"/>
          <w:bCs/>
          <w:sz w:val="16"/>
          <w:szCs w:val="16"/>
          <w:lang w:val="hy-AM"/>
        </w:rPr>
        <w:t>1.5 մլրդ դրամ, 2.1 մլրդ դրամ, 8.7 մլրդ դրամ և 10.0 մլրդ դրամ</w:t>
      </w:r>
      <w:r w:rsidRPr="00DE50C8">
        <w:rPr>
          <w:b w:val="0"/>
          <w:bCs/>
          <w:sz w:val="16"/>
          <w:szCs w:val="16"/>
          <w:lang w:val="af-ZA"/>
        </w:rPr>
        <w:t>:</w:t>
      </w:r>
    </w:p>
    <w:p w14:paraId="3FA6F6B9" w14:textId="77777777" w:rsidR="00DF2873" w:rsidRPr="009E37B9" w:rsidRDefault="00DF2873" w:rsidP="001466DC">
      <w:pPr>
        <w:pStyle w:val="FootnoteText"/>
        <w:rPr>
          <w:lang w:val="hy-AM"/>
        </w:rPr>
      </w:pPr>
    </w:p>
  </w:footnote>
  <w:footnote w:id="30">
    <w:p w14:paraId="4C1B851D" w14:textId="77777777" w:rsidR="00EB28B4" w:rsidRPr="00117D85" w:rsidRDefault="00EB28B4" w:rsidP="00EB28B4">
      <w:pPr>
        <w:pStyle w:val="FootnoteText"/>
        <w:rPr>
          <w:sz w:val="14"/>
          <w:lang w:val="sk-SK"/>
        </w:rPr>
      </w:pPr>
      <w:r w:rsidRPr="00117D85">
        <w:rPr>
          <w:rStyle w:val="FootnoteReference"/>
          <w:rFonts w:eastAsiaTheme="majorEastAsia"/>
          <w:sz w:val="18"/>
        </w:rPr>
        <w:footnoteRef/>
      </w:r>
      <w:r w:rsidRPr="00117D85">
        <w:rPr>
          <w:sz w:val="18"/>
          <w:lang w:val="hy-AM"/>
        </w:rPr>
        <w:t>Սա</w:t>
      </w:r>
      <w:r w:rsidRPr="00117D85">
        <w:rPr>
          <w:sz w:val="18"/>
          <w:lang w:val="sk-SK"/>
        </w:rPr>
        <w:t xml:space="preserve"> </w:t>
      </w:r>
      <w:r w:rsidRPr="00117D85">
        <w:rPr>
          <w:sz w:val="18"/>
          <w:lang w:val="hy-AM"/>
        </w:rPr>
        <w:t>որոշակիորեն</w:t>
      </w:r>
      <w:r w:rsidRPr="00117D85">
        <w:rPr>
          <w:sz w:val="18"/>
          <w:lang w:val="sk-SK"/>
        </w:rPr>
        <w:t xml:space="preserve"> </w:t>
      </w:r>
      <w:r w:rsidRPr="00117D85">
        <w:rPr>
          <w:sz w:val="18"/>
          <w:lang w:val="hy-AM"/>
        </w:rPr>
        <w:t>կապված</w:t>
      </w:r>
      <w:r w:rsidRPr="00117D85">
        <w:rPr>
          <w:sz w:val="18"/>
          <w:lang w:val="sk-SK"/>
        </w:rPr>
        <w:t xml:space="preserve"> </w:t>
      </w:r>
      <w:r w:rsidRPr="00117D85">
        <w:rPr>
          <w:sz w:val="18"/>
          <w:lang w:val="hy-AM"/>
        </w:rPr>
        <w:t>է</w:t>
      </w:r>
      <w:r w:rsidRPr="00117D85">
        <w:rPr>
          <w:sz w:val="18"/>
          <w:lang w:val="sk-SK"/>
        </w:rPr>
        <w:t xml:space="preserve"> </w:t>
      </w:r>
      <w:r w:rsidRPr="00117D85">
        <w:rPr>
          <w:sz w:val="18"/>
          <w:lang w:val="hy-AM"/>
        </w:rPr>
        <w:t>նաև</w:t>
      </w:r>
      <w:r w:rsidRPr="00117D85">
        <w:rPr>
          <w:sz w:val="18"/>
          <w:lang w:val="sk-SK"/>
        </w:rPr>
        <w:t xml:space="preserve"> </w:t>
      </w:r>
      <w:r w:rsidRPr="00117D85">
        <w:rPr>
          <w:sz w:val="18"/>
          <w:lang w:val="hy-AM"/>
        </w:rPr>
        <w:t>մոդելների</w:t>
      </w:r>
      <w:r w:rsidRPr="00117D85">
        <w:rPr>
          <w:sz w:val="18"/>
          <w:lang w:val="sk-SK"/>
        </w:rPr>
        <w:t xml:space="preserve"> </w:t>
      </w:r>
      <w:r w:rsidRPr="00117D85">
        <w:rPr>
          <w:sz w:val="18"/>
          <w:lang w:val="hy-AM"/>
        </w:rPr>
        <w:t>սպեցիֆիկացիաների</w:t>
      </w:r>
      <w:r w:rsidRPr="00117D85">
        <w:rPr>
          <w:sz w:val="18"/>
          <w:lang w:val="sk-SK"/>
        </w:rPr>
        <w:t xml:space="preserve"> </w:t>
      </w:r>
      <w:r w:rsidRPr="00117D85">
        <w:rPr>
          <w:sz w:val="18"/>
          <w:lang w:val="hy-AM"/>
        </w:rPr>
        <w:t>հետ</w:t>
      </w:r>
      <w:r w:rsidRPr="00117D85">
        <w:rPr>
          <w:sz w:val="18"/>
          <w:lang w:val="sk-SK"/>
        </w:rPr>
        <w:t xml:space="preserve">, </w:t>
      </w:r>
      <w:r w:rsidRPr="00117D85">
        <w:rPr>
          <w:sz w:val="18"/>
          <w:lang w:val="hy-AM"/>
        </w:rPr>
        <w:t>քանի</w:t>
      </w:r>
      <w:r w:rsidRPr="00117D85">
        <w:rPr>
          <w:sz w:val="18"/>
          <w:lang w:val="sk-SK"/>
        </w:rPr>
        <w:t xml:space="preserve"> </w:t>
      </w:r>
      <w:r w:rsidRPr="00117D85">
        <w:rPr>
          <w:sz w:val="18"/>
          <w:lang w:val="hy-AM"/>
        </w:rPr>
        <w:t>որ</w:t>
      </w:r>
      <w:r w:rsidRPr="00117D85">
        <w:rPr>
          <w:sz w:val="18"/>
          <w:lang w:val="sk-SK"/>
        </w:rPr>
        <w:t xml:space="preserve"> </w:t>
      </w:r>
      <w:r w:rsidRPr="00117D85">
        <w:rPr>
          <w:sz w:val="18"/>
          <w:lang w:val="hy-AM"/>
        </w:rPr>
        <w:t>ժամանակային</w:t>
      </w:r>
      <w:r w:rsidRPr="00117D85">
        <w:rPr>
          <w:sz w:val="18"/>
          <w:lang w:val="sk-SK"/>
        </w:rPr>
        <w:t xml:space="preserve"> </w:t>
      </w:r>
      <w:r w:rsidRPr="00117D85">
        <w:rPr>
          <w:sz w:val="18"/>
          <w:lang w:val="hy-AM"/>
        </w:rPr>
        <w:t>շարքերի</w:t>
      </w:r>
      <w:r w:rsidRPr="00117D85">
        <w:rPr>
          <w:sz w:val="18"/>
          <w:lang w:val="sk-SK"/>
        </w:rPr>
        <w:t xml:space="preserve"> </w:t>
      </w:r>
      <w:r w:rsidRPr="00117D85">
        <w:rPr>
          <w:sz w:val="18"/>
          <w:lang w:val="hy-AM"/>
        </w:rPr>
        <w:t>վրա</w:t>
      </w:r>
      <w:r w:rsidRPr="00117D85">
        <w:rPr>
          <w:sz w:val="18"/>
          <w:lang w:val="sk-SK"/>
        </w:rPr>
        <w:t xml:space="preserve"> </w:t>
      </w:r>
      <w:r w:rsidRPr="00117D85">
        <w:rPr>
          <w:sz w:val="18"/>
          <w:lang w:val="hy-AM"/>
        </w:rPr>
        <w:t>հիմնված</w:t>
      </w:r>
      <w:r w:rsidRPr="00117D85">
        <w:rPr>
          <w:sz w:val="18"/>
          <w:lang w:val="sk-SK"/>
        </w:rPr>
        <w:t xml:space="preserve"> </w:t>
      </w:r>
      <w:r w:rsidRPr="00117D85">
        <w:rPr>
          <w:sz w:val="18"/>
          <w:lang w:val="hy-AM"/>
        </w:rPr>
        <w:t>մոդելներն</w:t>
      </w:r>
      <w:r w:rsidRPr="00117D85">
        <w:rPr>
          <w:sz w:val="18"/>
          <w:lang w:val="sk-SK"/>
        </w:rPr>
        <w:t xml:space="preserve"> </w:t>
      </w:r>
      <w:r w:rsidRPr="00117D85">
        <w:rPr>
          <w:sz w:val="18"/>
          <w:lang w:val="hy-AM"/>
        </w:rPr>
        <w:t>իրենց</w:t>
      </w:r>
      <w:r w:rsidRPr="00117D85">
        <w:rPr>
          <w:sz w:val="18"/>
          <w:lang w:val="sk-SK"/>
        </w:rPr>
        <w:t xml:space="preserve"> </w:t>
      </w:r>
      <w:r w:rsidRPr="00117D85">
        <w:rPr>
          <w:sz w:val="18"/>
          <w:lang w:val="hy-AM"/>
        </w:rPr>
        <w:t>մեջ</w:t>
      </w:r>
      <w:r w:rsidRPr="00117D85">
        <w:rPr>
          <w:sz w:val="18"/>
          <w:lang w:val="sk-SK"/>
        </w:rPr>
        <w:t xml:space="preserve"> </w:t>
      </w:r>
      <w:r w:rsidRPr="00117D85">
        <w:rPr>
          <w:sz w:val="18"/>
          <w:lang w:val="hy-AM"/>
        </w:rPr>
        <w:t>ներառում</w:t>
      </w:r>
      <w:r w:rsidRPr="00117D85">
        <w:rPr>
          <w:sz w:val="18"/>
          <w:lang w:val="sk-SK"/>
        </w:rPr>
        <w:t xml:space="preserve"> </w:t>
      </w:r>
      <w:r w:rsidRPr="00117D85">
        <w:rPr>
          <w:sz w:val="18"/>
          <w:lang w:val="hy-AM"/>
        </w:rPr>
        <w:t>են</w:t>
      </w:r>
      <w:r w:rsidRPr="00117D85">
        <w:rPr>
          <w:sz w:val="18"/>
          <w:lang w:val="sk-SK"/>
        </w:rPr>
        <w:t xml:space="preserve"> </w:t>
      </w:r>
      <w:r w:rsidRPr="00117D85">
        <w:rPr>
          <w:sz w:val="18"/>
          <w:lang w:val="hy-AM"/>
        </w:rPr>
        <w:t>տնտեսության</w:t>
      </w:r>
      <w:r w:rsidRPr="00117D85">
        <w:rPr>
          <w:sz w:val="18"/>
          <w:lang w:val="sk-SK"/>
        </w:rPr>
        <w:t xml:space="preserve"> </w:t>
      </w:r>
      <w:r w:rsidRPr="00117D85">
        <w:rPr>
          <w:sz w:val="18"/>
          <w:lang w:val="hy-AM"/>
        </w:rPr>
        <w:t>նախորդ</w:t>
      </w:r>
      <w:r w:rsidRPr="00117D85">
        <w:rPr>
          <w:sz w:val="18"/>
          <w:lang w:val="sk-SK"/>
        </w:rPr>
        <w:t xml:space="preserve"> </w:t>
      </w:r>
      <w:r w:rsidRPr="00117D85">
        <w:rPr>
          <w:sz w:val="18"/>
          <w:lang w:val="hy-AM"/>
        </w:rPr>
        <w:t>ժամանակահատվածի</w:t>
      </w:r>
      <w:r w:rsidRPr="00117D85">
        <w:rPr>
          <w:sz w:val="18"/>
          <w:lang w:val="sk-SK"/>
        </w:rPr>
        <w:t xml:space="preserve"> </w:t>
      </w:r>
      <w:r w:rsidRPr="00117D85">
        <w:rPr>
          <w:sz w:val="18"/>
          <w:lang w:val="hy-AM"/>
        </w:rPr>
        <w:t>զարգացումների</w:t>
      </w:r>
      <w:r w:rsidRPr="00117D85">
        <w:rPr>
          <w:sz w:val="18"/>
          <w:lang w:val="sk-SK"/>
        </w:rPr>
        <w:t xml:space="preserve"> </w:t>
      </w:r>
      <w:r w:rsidRPr="00117D85">
        <w:rPr>
          <w:sz w:val="18"/>
          <w:lang w:val="hy-AM"/>
        </w:rPr>
        <w:t>տեղեկատվությունը</w:t>
      </w:r>
      <w:r w:rsidRPr="00117D85">
        <w:rPr>
          <w:sz w:val="18"/>
          <w:lang w:val="sk-SK"/>
        </w:rPr>
        <w:t xml:space="preserve">, </w:t>
      </w:r>
      <w:r w:rsidRPr="00117D85">
        <w:rPr>
          <w:sz w:val="18"/>
          <w:lang w:val="hy-AM"/>
        </w:rPr>
        <w:t>իսկ</w:t>
      </w:r>
      <w:r w:rsidRPr="00117D85">
        <w:rPr>
          <w:sz w:val="18"/>
          <w:lang w:val="sk-SK"/>
        </w:rPr>
        <w:t xml:space="preserve"> </w:t>
      </w:r>
      <w:r w:rsidRPr="00117D85">
        <w:rPr>
          <w:sz w:val="18"/>
          <w:lang w:val="hy-AM"/>
        </w:rPr>
        <w:t>կանխատեսվող</w:t>
      </w:r>
      <w:r w:rsidRPr="00117D85">
        <w:rPr>
          <w:sz w:val="18"/>
          <w:lang w:val="sk-SK"/>
        </w:rPr>
        <w:t xml:space="preserve"> </w:t>
      </w:r>
      <w:r w:rsidRPr="00117D85">
        <w:rPr>
          <w:sz w:val="18"/>
          <w:lang w:val="hy-AM"/>
        </w:rPr>
        <w:t>տարում</w:t>
      </w:r>
      <w:r w:rsidRPr="00117D85">
        <w:rPr>
          <w:sz w:val="18"/>
          <w:lang w:val="sk-SK"/>
        </w:rPr>
        <w:t xml:space="preserve"> </w:t>
      </w:r>
      <w:r w:rsidRPr="00117D85">
        <w:rPr>
          <w:sz w:val="18"/>
          <w:lang w:val="hy-AM"/>
        </w:rPr>
        <w:t>ի</w:t>
      </w:r>
      <w:r w:rsidRPr="00117D85">
        <w:rPr>
          <w:sz w:val="18"/>
          <w:lang w:val="sk-SK"/>
        </w:rPr>
        <w:t xml:space="preserve"> </w:t>
      </w:r>
      <w:r w:rsidRPr="00117D85">
        <w:rPr>
          <w:sz w:val="18"/>
          <w:lang w:val="hy-AM"/>
        </w:rPr>
        <w:t>հայտ</w:t>
      </w:r>
      <w:r w:rsidRPr="00117D85">
        <w:rPr>
          <w:sz w:val="18"/>
          <w:lang w:val="sk-SK"/>
        </w:rPr>
        <w:t xml:space="preserve"> </w:t>
      </w:r>
      <w:r w:rsidRPr="00117D85">
        <w:rPr>
          <w:sz w:val="18"/>
          <w:lang w:val="hy-AM"/>
        </w:rPr>
        <w:t>եկող</w:t>
      </w:r>
      <w:r w:rsidRPr="00117D85">
        <w:rPr>
          <w:sz w:val="18"/>
          <w:lang w:val="sk-SK"/>
        </w:rPr>
        <w:t xml:space="preserve"> </w:t>
      </w:r>
      <w:r w:rsidRPr="00117D85">
        <w:rPr>
          <w:sz w:val="18"/>
          <w:lang w:val="hy-AM"/>
        </w:rPr>
        <w:t>տնտեսության</w:t>
      </w:r>
      <w:r w:rsidRPr="00117D85">
        <w:rPr>
          <w:sz w:val="18"/>
          <w:lang w:val="sk-SK"/>
        </w:rPr>
        <w:t xml:space="preserve"> </w:t>
      </w:r>
      <w:r w:rsidRPr="00117D85">
        <w:rPr>
          <w:sz w:val="18"/>
          <w:lang w:val="hy-AM"/>
        </w:rPr>
        <w:t>կառուցվածքային</w:t>
      </w:r>
      <w:r w:rsidRPr="00117D85">
        <w:rPr>
          <w:sz w:val="18"/>
          <w:lang w:val="sk-SK"/>
        </w:rPr>
        <w:t xml:space="preserve"> </w:t>
      </w:r>
      <w:r w:rsidRPr="00117D85">
        <w:rPr>
          <w:sz w:val="18"/>
          <w:lang w:val="hy-AM"/>
        </w:rPr>
        <w:t>տեղաշարժը</w:t>
      </w:r>
      <w:r w:rsidRPr="00117D85">
        <w:rPr>
          <w:sz w:val="18"/>
          <w:lang w:val="sk-SK"/>
        </w:rPr>
        <w:t xml:space="preserve"> </w:t>
      </w:r>
      <w:r w:rsidRPr="00117D85">
        <w:rPr>
          <w:sz w:val="18"/>
          <w:lang w:val="hy-AM"/>
        </w:rPr>
        <w:t>միայն</w:t>
      </w:r>
      <w:r w:rsidRPr="00117D85">
        <w:rPr>
          <w:sz w:val="18"/>
          <w:lang w:val="sk-SK"/>
        </w:rPr>
        <w:t xml:space="preserve"> </w:t>
      </w:r>
      <w:r w:rsidRPr="00117D85">
        <w:rPr>
          <w:sz w:val="18"/>
          <w:lang w:val="hy-AM"/>
        </w:rPr>
        <w:t>կարող</w:t>
      </w:r>
      <w:r w:rsidRPr="00117D85">
        <w:rPr>
          <w:sz w:val="18"/>
          <w:lang w:val="sk-SK"/>
        </w:rPr>
        <w:t xml:space="preserve"> </w:t>
      </w:r>
      <w:r w:rsidRPr="00117D85">
        <w:rPr>
          <w:sz w:val="18"/>
          <w:lang w:val="hy-AM"/>
        </w:rPr>
        <w:t>է</w:t>
      </w:r>
      <w:r w:rsidRPr="00117D85">
        <w:rPr>
          <w:sz w:val="18"/>
          <w:lang w:val="sk-SK"/>
        </w:rPr>
        <w:t xml:space="preserve"> </w:t>
      </w:r>
      <w:r w:rsidRPr="00117D85">
        <w:rPr>
          <w:sz w:val="18"/>
          <w:lang w:val="hy-AM"/>
        </w:rPr>
        <w:t>ներառվել</w:t>
      </w:r>
      <w:r w:rsidRPr="00117D85">
        <w:rPr>
          <w:sz w:val="18"/>
          <w:lang w:val="sk-SK"/>
        </w:rPr>
        <w:t xml:space="preserve"> </w:t>
      </w:r>
      <w:r w:rsidRPr="00117D85">
        <w:rPr>
          <w:sz w:val="18"/>
          <w:lang w:val="hy-AM"/>
        </w:rPr>
        <w:t>հաջորդ</w:t>
      </w:r>
      <w:r w:rsidRPr="00117D85">
        <w:rPr>
          <w:sz w:val="18"/>
          <w:lang w:val="sk-SK"/>
        </w:rPr>
        <w:t xml:space="preserve"> </w:t>
      </w:r>
      <w:r w:rsidRPr="00117D85">
        <w:rPr>
          <w:sz w:val="18"/>
          <w:lang w:val="hy-AM"/>
        </w:rPr>
        <w:t>տարվա</w:t>
      </w:r>
      <w:r w:rsidRPr="00117D85">
        <w:rPr>
          <w:sz w:val="18"/>
          <w:lang w:val="sk-SK"/>
        </w:rPr>
        <w:t xml:space="preserve"> </w:t>
      </w:r>
      <w:r w:rsidRPr="00117D85">
        <w:rPr>
          <w:sz w:val="18"/>
          <w:lang w:val="hy-AM"/>
        </w:rPr>
        <w:t>կանխատեսումների</w:t>
      </w:r>
      <w:r w:rsidRPr="00117D85">
        <w:rPr>
          <w:sz w:val="18"/>
          <w:lang w:val="sk-SK"/>
        </w:rPr>
        <w:t xml:space="preserve"> </w:t>
      </w:r>
      <w:r w:rsidRPr="00117D85">
        <w:rPr>
          <w:sz w:val="18"/>
          <w:lang w:val="hy-AM"/>
        </w:rPr>
        <w:t>մոդելներում</w:t>
      </w:r>
      <w:r w:rsidRPr="00117D85">
        <w:rPr>
          <w:sz w:val="18"/>
          <w:lang w:val="sk-SK"/>
        </w:rPr>
        <w:t xml:space="preserve">: </w:t>
      </w:r>
    </w:p>
  </w:footnote>
  <w:footnote w:id="31">
    <w:p w14:paraId="56CE87F2" w14:textId="77777777" w:rsidR="00EB28B4" w:rsidRPr="006E672D" w:rsidRDefault="00EB28B4" w:rsidP="00EB28B4">
      <w:pPr>
        <w:pStyle w:val="FootnoteText"/>
        <w:rPr>
          <w:lang w:val="hy-AM"/>
        </w:rPr>
      </w:pPr>
      <w:r>
        <w:rPr>
          <w:rStyle w:val="FootnoteReference"/>
        </w:rPr>
        <w:footnoteRef/>
      </w:r>
      <w:r w:rsidRPr="006E672D">
        <w:rPr>
          <w:lang w:val="sk-SK"/>
        </w:rPr>
        <w:t xml:space="preserve"> </w:t>
      </w:r>
      <w:r w:rsidRPr="006C0D3A">
        <w:rPr>
          <w:sz w:val="18"/>
          <w:lang w:val="hy-AM"/>
        </w:rPr>
        <w:t xml:space="preserve">Պետք է նշել, որ հաշվարկում են ներառված են նաև ճգնաժամային տարիները, երբ կանխատեսումները շեղվել են հիմնականում պայմանավորված արտածին գործոնների  համար կիրառված ենթադրություններից շեղումներով։ Հաշվի առնելով համաշխարհային տնտեսությունում և տարածաշրջանում ներկայումս առկա </w:t>
      </w:r>
      <w:r w:rsidRPr="006C0D3A">
        <w:rPr>
          <w:sz w:val="18"/>
          <w:szCs w:val="18"/>
          <w:lang w:val="hy-AM"/>
        </w:rPr>
        <w:t>տնտեսական և աշխարհքաղաքական ռիսկերը (տե՛ս փաստաթղթի այլ համապատասխան բաժինները), որպես կանխատեսումներից շեղումներ հաշվի է առնվել նաև շոկերի տարիները ներառող շեղման չափը։</w:t>
      </w:r>
      <w:r>
        <w:rPr>
          <w:lang w:val="hy-AM"/>
        </w:rPr>
        <w:t xml:space="preserve"> </w:t>
      </w:r>
    </w:p>
  </w:footnote>
  <w:footnote w:id="32">
    <w:p w14:paraId="4C4223A8" w14:textId="77777777" w:rsidR="00EB28B4" w:rsidRDefault="00EB28B4" w:rsidP="00EB28B4">
      <w:pPr>
        <w:pStyle w:val="FootnoteText"/>
        <w:spacing w:line="276" w:lineRule="auto"/>
        <w:rPr>
          <w:lang w:val="ro-RO"/>
        </w:rPr>
      </w:pPr>
      <w:r w:rsidRPr="00EB15E4">
        <w:rPr>
          <w:rStyle w:val="FootnoteReference"/>
          <w:rFonts w:eastAsiaTheme="majorEastAsia"/>
          <w:sz w:val="18"/>
        </w:rPr>
        <w:footnoteRef/>
      </w:r>
      <w:r w:rsidRPr="00EB15E4">
        <w:rPr>
          <w:sz w:val="18"/>
          <w:lang w:val="hy-AM"/>
        </w:rPr>
        <w:t>ՀՆԱ</w:t>
      </w:r>
      <w:r w:rsidRPr="00EB15E4">
        <w:rPr>
          <w:sz w:val="18"/>
          <w:lang w:val="ro-RO"/>
        </w:rPr>
        <w:t xml:space="preserve">, </w:t>
      </w:r>
      <w:r w:rsidRPr="00EB15E4">
        <w:rPr>
          <w:sz w:val="18"/>
          <w:lang w:val="hy-AM"/>
        </w:rPr>
        <w:t>ներմուծման</w:t>
      </w:r>
      <w:r w:rsidRPr="00EB15E4">
        <w:rPr>
          <w:sz w:val="18"/>
          <w:lang w:val="ro-RO"/>
        </w:rPr>
        <w:t xml:space="preserve">, </w:t>
      </w:r>
      <w:r w:rsidRPr="00EB15E4">
        <w:rPr>
          <w:sz w:val="18"/>
          <w:lang w:val="hy-AM"/>
        </w:rPr>
        <w:t>փոխարժեքի</w:t>
      </w:r>
      <w:r w:rsidRPr="00EB15E4">
        <w:rPr>
          <w:sz w:val="18"/>
          <w:lang w:val="sk-SK"/>
        </w:rPr>
        <w:t xml:space="preserve"> </w:t>
      </w:r>
      <w:r w:rsidRPr="00EB15E4">
        <w:rPr>
          <w:sz w:val="18"/>
          <w:lang w:val="hy-AM"/>
        </w:rPr>
        <w:t>և</w:t>
      </w:r>
      <w:r w:rsidRPr="00EB15E4">
        <w:rPr>
          <w:sz w:val="18"/>
          <w:lang w:val="sk-SK"/>
        </w:rPr>
        <w:t xml:space="preserve"> </w:t>
      </w:r>
      <w:r w:rsidRPr="00EB15E4">
        <w:rPr>
          <w:sz w:val="18"/>
          <w:lang w:val="hy-AM"/>
        </w:rPr>
        <w:t>գների</w:t>
      </w:r>
      <w:r w:rsidRPr="00EB15E4">
        <w:rPr>
          <w:sz w:val="18"/>
          <w:lang w:val="sk-SK"/>
        </w:rPr>
        <w:t xml:space="preserve"> </w:t>
      </w:r>
      <w:r w:rsidRPr="00EB15E4">
        <w:rPr>
          <w:sz w:val="18"/>
          <w:lang w:val="hy-AM"/>
        </w:rPr>
        <w:t>գծով</w:t>
      </w:r>
      <w:r w:rsidRPr="00EB15E4">
        <w:rPr>
          <w:sz w:val="18"/>
          <w:lang w:val="sk-SK"/>
        </w:rPr>
        <w:t xml:space="preserve"> </w:t>
      </w:r>
      <w:r w:rsidRPr="00EB15E4">
        <w:rPr>
          <w:sz w:val="18"/>
          <w:lang w:val="hy-AM"/>
        </w:rPr>
        <w:t>հավանական</w:t>
      </w:r>
      <w:r w:rsidRPr="00EB15E4">
        <w:rPr>
          <w:sz w:val="18"/>
          <w:lang w:val="sk-SK"/>
        </w:rPr>
        <w:t xml:space="preserve"> </w:t>
      </w:r>
      <w:r w:rsidRPr="00EB15E4">
        <w:rPr>
          <w:sz w:val="18"/>
          <w:lang w:val="hy-AM"/>
        </w:rPr>
        <w:t>ռիսկերի</w:t>
      </w:r>
      <w:r w:rsidRPr="00EB15E4">
        <w:rPr>
          <w:sz w:val="18"/>
          <w:lang w:val="sk-SK"/>
        </w:rPr>
        <w:t xml:space="preserve"> </w:t>
      </w:r>
      <w:r w:rsidRPr="00EB15E4">
        <w:rPr>
          <w:sz w:val="18"/>
          <w:lang w:val="hy-AM"/>
        </w:rPr>
        <w:t>քանակային</w:t>
      </w:r>
      <w:r w:rsidRPr="00EB15E4">
        <w:rPr>
          <w:sz w:val="18"/>
          <w:lang w:val="sk-SK"/>
        </w:rPr>
        <w:t xml:space="preserve"> </w:t>
      </w:r>
      <w:r w:rsidRPr="00EB15E4">
        <w:rPr>
          <w:sz w:val="18"/>
          <w:lang w:val="hy-AM"/>
        </w:rPr>
        <w:t>գնահատականը</w:t>
      </w:r>
      <w:r w:rsidRPr="00EB15E4">
        <w:rPr>
          <w:sz w:val="18"/>
          <w:lang w:val="sk-SK"/>
        </w:rPr>
        <w:t xml:space="preserve"> </w:t>
      </w:r>
      <w:r w:rsidRPr="00EB15E4">
        <w:rPr>
          <w:sz w:val="18"/>
          <w:lang w:val="hy-AM"/>
        </w:rPr>
        <w:t>ստացվել</w:t>
      </w:r>
      <w:r w:rsidRPr="00EB15E4">
        <w:rPr>
          <w:sz w:val="18"/>
          <w:lang w:val="sk-SK"/>
        </w:rPr>
        <w:t xml:space="preserve"> </w:t>
      </w:r>
      <w:r w:rsidRPr="00EB15E4">
        <w:rPr>
          <w:sz w:val="18"/>
          <w:lang w:val="hy-AM"/>
        </w:rPr>
        <w:t>է</w:t>
      </w:r>
      <w:r w:rsidRPr="00EB15E4">
        <w:rPr>
          <w:sz w:val="18"/>
          <w:lang w:val="sk-SK"/>
        </w:rPr>
        <w:t xml:space="preserve">` </w:t>
      </w:r>
      <w:r w:rsidRPr="00EB15E4">
        <w:rPr>
          <w:sz w:val="18"/>
          <w:lang w:val="hy-AM"/>
        </w:rPr>
        <w:t>հիմք</w:t>
      </w:r>
      <w:r w:rsidRPr="00EB15E4">
        <w:rPr>
          <w:sz w:val="18"/>
          <w:lang w:val="sk-SK"/>
        </w:rPr>
        <w:t xml:space="preserve"> ըն</w:t>
      </w:r>
      <w:r w:rsidRPr="00EB15E4">
        <w:rPr>
          <w:sz w:val="18"/>
          <w:lang w:val="hy-AM"/>
        </w:rPr>
        <w:t>դունելով</w:t>
      </w:r>
      <w:r w:rsidRPr="00EB15E4">
        <w:rPr>
          <w:sz w:val="18"/>
          <w:lang w:val="sk-SK"/>
        </w:rPr>
        <w:t xml:space="preserve"> </w:t>
      </w:r>
      <w:r w:rsidRPr="00EB15E4">
        <w:rPr>
          <w:sz w:val="18"/>
          <w:lang w:val="hy-AM"/>
        </w:rPr>
        <w:t>այս</w:t>
      </w:r>
      <w:r w:rsidRPr="00EB15E4">
        <w:rPr>
          <w:sz w:val="18"/>
          <w:lang w:val="sk-SK"/>
        </w:rPr>
        <w:t xml:space="preserve"> </w:t>
      </w:r>
      <w:r w:rsidRPr="00EB15E4">
        <w:rPr>
          <w:sz w:val="18"/>
          <w:lang w:val="hy-AM"/>
        </w:rPr>
        <w:t>գործոնների</w:t>
      </w:r>
      <w:r w:rsidRPr="00EB15E4">
        <w:rPr>
          <w:sz w:val="18"/>
          <w:lang w:val="sk-SK"/>
        </w:rPr>
        <w:t xml:space="preserve"> </w:t>
      </w:r>
      <w:r w:rsidRPr="00EB15E4">
        <w:rPr>
          <w:sz w:val="18"/>
          <w:lang w:val="hy-AM"/>
        </w:rPr>
        <w:t>պատմական</w:t>
      </w:r>
      <w:r w:rsidRPr="00EB15E4">
        <w:rPr>
          <w:sz w:val="18"/>
          <w:lang w:val="sk-SK"/>
        </w:rPr>
        <w:t xml:space="preserve"> </w:t>
      </w:r>
      <w:r w:rsidRPr="00EB15E4">
        <w:rPr>
          <w:sz w:val="18"/>
          <w:lang w:val="hy-AM"/>
        </w:rPr>
        <w:t>շարժի</w:t>
      </w:r>
      <w:r w:rsidRPr="00EB15E4">
        <w:rPr>
          <w:sz w:val="18"/>
          <w:lang w:val="sk-SK"/>
        </w:rPr>
        <w:t xml:space="preserve"> </w:t>
      </w:r>
      <w:r w:rsidRPr="00EB15E4">
        <w:rPr>
          <w:sz w:val="18"/>
          <w:lang w:val="hy-AM"/>
        </w:rPr>
        <w:t>բացարձակ</w:t>
      </w:r>
      <w:r w:rsidRPr="00EB15E4">
        <w:rPr>
          <w:sz w:val="18"/>
          <w:lang w:val="sk-SK"/>
        </w:rPr>
        <w:t xml:space="preserve"> </w:t>
      </w:r>
      <w:r w:rsidRPr="00EB15E4">
        <w:rPr>
          <w:sz w:val="18"/>
          <w:lang w:val="hy-AM"/>
        </w:rPr>
        <w:t>միջին</w:t>
      </w:r>
      <w:r w:rsidRPr="00EB15E4">
        <w:rPr>
          <w:sz w:val="18"/>
          <w:lang w:val="sk-SK"/>
        </w:rPr>
        <w:t xml:space="preserve"> </w:t>
      </w:r>
      <w:r w:rsidRPr="00EB15E4">
        <w:rPr>
          <w:sz w:val="18"/>
          <w:lang w:val="hy-AM"/>
        </w:rPr>
        <w:t>սխալը</w:t>
      </w:r>
      <w:r w:rsidRPr="00EB15E4">
        <w:rPr>
          <w:sz w:val="18"/>
          <w:lang w:val="ro-RO"/>
        </w:rPr>
        <w:t>:</w:t>
      </w:r>
    </w:p>
  </w:footnote>
  <w:footnote w:id="33">
    <w:p w14:paraId="205ECE95" w14:textId="77777777" w:rsidR="00EB28B4" w:rsidRDefault="00EB28B4" w:rsidP="00EB28B4">
      <w:pPr>
        <w:spacing w:line="240" w:lineRule="auto"/>
        <w:rPr>
          <w:rFonts w:cs="Sylfaen"/>
          <w:i/>
          <w:sz w:val="16"/>
          <w:szCs w:val="16"/>
          <w:lang w:val="ro-RO"/>
        </w:rPr>
      </w:pPr>
      <w:r>
        <w:rPr>
          <w:rStyle w:val="FootnoteReference"/>
          <w:sz w:val="16"/>
          <w:szCs w:val="16"/>
        </w:rPr>
        <w:footnoteRef/>
      </w:r>
      <w:r>
        <w:rPr>
          <w:rFonts w:cs="Sylfaen"/>
          <w:sz w:val="16"/>
          <w:szCs w:val="16"/>
        </w:rPr>
        <w:t>Հարկային</w:t>
      </w:r>
      <w:r>
        <w:rPr>
          <w:rFonts w:cs="Sylfaen"/>
          <w:sz w:val="16"/>
          <w:szCs w:val="16"/>
          <w:lang w:val="ro-RO"/>
        </w:rPr>
        <w:t xml:space="preserve"> </w:t>
      </w:r>
      <w:r>
        <w:rPr>
          <w:rFonts w:cs="Sylfaen"/>
          <w:sz w:val="16"/>
          <w:szCs w:val="16"/>
        </w:rPr>
        <w:t>եկամուտների</w:t>
      </w:r>
      <w:r>
        <w:rPr>
          <w:rFonts w:cs="Sylfaen"/>
          <w:sz w:val="16"/>
          <w:szCs w:val="16"/>
          <w:lang w:val="ro-RO"/>
        </w:rPr>
        <w:t xml:space="preserve"> </w:t>
      </w:r>
      <w:r>
        <w:rPr>
          <w:rFonts w:cs="Sylfaen"/>
          <w:sz w:val="16"/>
          <w:szCs w:val="16"/>
        </w:rPr>
        <w:t>գծով</w:t>
      </w:r>
      <w:r>
        <w:rPr>
          <w:rFonts w:cs="Sylfaen"/>
          <w:sz w:val="16"/>
          <w:szCs w:val="16"/>
          <w:lang w:val="ro-RO"/>
        </w:rPr>
        <w:t xml:space="preserve"> </w:t>
      </w:r>
      <w:r>
        <w:rPr>
          <w:rFonts w:cs="Sylfaen"/>
          <w:sz w:val="16"/>
          <w:szCs w:val="16"/>
        </w:rPr>
        <w:t>ռիսկերի</w:t>
      </w:r>
      <w:r>
        <w:rPr>
          <w:rFonts w:cs="Sylfaen"/>
          <w:sz w:val="16"/>
          <w:szCs w:val="16"/>
          <w:lang w:val="ro-RO"/>
        </w:rPr>
        <w:t xml:space="preserve"> ազդեցության </w:t>
      </w:r>
      <w:r>
        <w:rPr>
          <w:rFonts w:cs="Sylfaen"/>
          <w:sz w:val="16"/>
          <w:szCs w:val="16"/>
        </w:rPr>
        <w:t>գնահատականը</w:t>
      </w:r>
      <w:r>
        <w:rPr>
          <w:rFonts w:cs="Sylfaen"/>
          <w:sz w:val="16"/>
          <w:szCs w:val="16"/>
          <w:lang w:val="ro-RO"/>
        </w:rPr>
        <w:t xml:space="preserve"> </w:t>
      </w:r>
      <w:r>
        <w:rPr>
          <w:rFonts w:cs="Sylfaen"/>
          <w:sz w:val="16"/>
          <w:szCs w:val="16"/>
        </w:rPr>
        <w:t>կառուցվել</w:t>
      </w:r>
      <w:r>
        <w:rPr>
          <w:rFonts w:cs="Sylfaen"/>
          <w:sz w:val="16"/>
          <w:szCs w:val="16"/>
          <w:lang w:val="ro-RO"/>
        </w:rPr>
        <w:t xml:space="preserve"> </w:t>
      </w:r>
      <w:r>
        <w:rPr>
          <w:rFonts w:cs="Sylfaen"/>
          <w:sz w:val="16"/>
          <w:szCs w:val="16"/>
        </w:rPr>
        <w:t>է</w:t>
      </w:r>
      <w:r>
        <w:rPr>
          <w:rFonts w:cs="Sylfaen"/>
          <w:sz w:val="16"/>
          <w:szCs w:val="16"/>
          <w:lang w:val="ro-RO"/>
        </w:rPr>
        <w:t xml:space="preserve"> </w:t>
      </w:r>
      <w:r>
        <w:rPr>
          <w:rFonts w:cs="Sylfaen"/>
          <w:sz w:val="16"/>
          <w:szCs w:val="16"/>
        </w:rPr>
        <w:t>ՀՀ</w:t>
      </w:r>
      <w:r>
        <w:rPr>
          <w:rFonts w:cs="Sylfaen"/>
          <w:sz w:val="16"/>
          <w:szCs w:val="16"/>
          <w:lang w:val="ro-RO"/>
        </w:rPr>
        <w:t xml:space="preserve"> ֆ</w:t>
      </w:r>
      <w:r>
        <w:rPr>
          <w:rFonts w:cs="Sylfaen"/>
          <w:sz w:val="16"/>
          <w:szCs w:val="16"/>
        </w:rPr>
        <w:t>ինանսների</w:t>
      </w:r>
      <w:r>
        <w:rPr>
          <w:rFonts w:cs="Sylfaen"/>
          <w:sz w:val="16"/>
          <w:szCs w:val="16"/>
          <w:lang w:val="ro-RO"/>
        </w:rPr>
        <w:t xml:space="preserve"> </w:t>
      </w:r>
      <w:r>
        <w:rPr>
          <w:rFonts w:cs="Sylfaen"/>
          <w:sz w:val="16"/>
          <w:szCs w:val="16"/>
        </w:rPr>
        <w:t>նախարարության</w:t>
      </w:r>
      <w:r>
        <w:rPr>
          <w:rFonts w:cs="Sylfaen"/>
          <w:sz w:val="16"/>
          <w:szCs w:val="16"/>
          <w:lang w:val="ro-RO"/>
        </w:rPr>
        <w:t xml:space="preserve"> </w:t>
      </w:r>
      <w:r>
        <w:rPr>
          <w:rFonts w:cs="Sylfaen"/>
          <w:sz w:val="16"/>
          <w:szCs w:val="16"/>
        </w:rPr>
        <w:t>ռիսկերի</w:t>
      </w:r>
      <w:r>
        <w:rPr>
          <w:rFonts w:cs="Sylfaen"/>
          <w:sz w:val="16"/>
          <w:szCs w:val="16"/>
          <w:lang w:val="ro-RO"/>
        </w:rPr>
        <w:t xml:space="preserve"> </w:t>
      </w:r>
      <w:r>
        <w:rPr>
          <w:rFonts w:cs="Sylfaen"/>
          <w:sz w:val="16"/>
          <w:szCs w:val="16"/>
        </w:rPr>
        <w:t>գնահատման</w:t>
      </w:r>
      <w:r>
        <w:rPr>
          <w:rFonts w:cs="Sylfaen"/>
          <w:sz w:val="16"/>
          <w:szCs w:val="16"/>
          <w:lang w:val="ro-RO"/>
        </w:rPr>
        <w:t xml:space="preserve"> </w:t>
      </w:r>
      <w:r>
        <w:rPr>
          <w:rFonts w:cs="Sylfaen"/>
          <w:sz w:val="16"/>
          <w:szCs w:val="16"/>
        </w:rPr>
        <w:t>համակարգի</w:t>
      </w:r>
      <w:r>
        <w:rPr>
          <w:rFonts w:cs="Sylfaen"/>
          <w:sz w:val="16"/>
          <w:szCs w:val="16"/>
          <w:lang w:val="ro-RO"/>
        </w:rPr>
        <w:t xml:space="preserve"> </w:t>
      </w:r>
      <w:r>
        <w:rPr>
          <w:rFonts w:cs="Sylfaen"/>
          <w:sz w:val="16"/>
          <w:szCs w:val="16"/>
        </w:rPr>
        <w:t>ներքո</w:t>
      </w:r>
      <w:r>
        <w:rPr>
          <w:rFonts w:cs="Sylfaen"/>
          <w:sz w:val="16"/>
          <w:szCs w:val="16"/>
          <w:lang w:val="ro-RO"/>
        </w:rPr>
        <w:t xml:space="preserve"> </w:t>
      </w:r>
      <w:r>
        <w:rPr>
          <w:rFonts w:cs="Sylfaen"/>
          <w:sz w:val="16"/>
          <w:szCs w:val="16"/>
        </w:rPr>
        <w:t>կառուցված</w:t>
      </w:r>
      <w:r>
        <w:rPr>
          <w:rFonts w:cs="Sylfaen"/>
          <w:sz w:val="16"/>
          <w:szCs w:val="16"/>
          <w:lang w:val="ro-RO"/>
        </w:rPr>
        <w:t xml:space="preserve"> </w:t>
      </w:r>
      <w:r>
        <w:rPr>
          <w:rFonts w:cs="Sylfaen"/>
          <w:sz w:val="16"/>
          <w:szCs w:val="16"/>
        </w:rPr>
        <w:t>մոդելի</w:t>
      </w:r>
      <w:r>
        <w:rPr>
          <w:rFonts w:cs="Sylfaen"/>
          <w:sz w:val="16"/>
          <w:szCs w:val="16"/>
          <w:lang w:val="ro-RO"/>
        </w:rPr>
        <w:t xml:space="preserve"> </w:t>
      </w:r>
      <w:r>
        <w:rPr>
          <w:rFonts w:cs="Sylfaen"/>
          <w:sz w:val="16"/>
          <w:szCs w:val="16"/>
        </w:rPr>
        <w:t>հիման</w:t>
      </w:r>
      <w:r>
        <w:rPr>
          <w:rFonts w:cs="Sylfaen"/>
          <w:sz w:val="16"/>
          <w:szCs w:val="16"/>
          <w:lang w:val="ro-RO"/>
        </w:rPr>
        <w:t xml:space="preserve"> </w:t>
      </w:r>
      <w:r>
        <w:rPr>
          <w:rFonts w:cs="Sylfaen"/>
          <w:sz w:val="16"/>
          <w:szCs w:val="16"/>
        </w:rPr>
        <w:t>վրա</w:t>
      </w:r>
      <w:r>
        <w:rPr>
          <w:rFonts w:cs="Sylfaen"/>
          <w:sz w:val="16"/>
          <w:szCs w:val="16"/>
          <w:lang w:val="ro-RO"/>
        </w:rPr>
        <w:t>:</w:t>
      </w:r>
      <w:r>
        <w:rPr>
          <w:rFonts w:cs="Sylfaen"/>
          <w:i/>
          <w:sz w:val="16"/>
          <w:szCs w:val="16"/>
          <w:lang w:val="ro-RO"/>
        </w:rPr>
        <w:t xml:space="preserve"> </w:t>
      </w:r>
    </w:p>
  </w:footnote>
  <w:footnote w:id="34">
    <w:p w14:paraId="7027E8D7" w14:textId="77777777" w:rsidR="00EB28B4" w:rsidRPr="00010E8E" w:rsidRDefault="00EB28B4" w:rsidP="00EB28B4">
      <w:pPr>
        <w:pStyle w:val="FootnoteText"/>
        <w:rPr>
          <w:lang w:val="ro-RO"/>
        </w:rPr>
      </w:pPr>
      <w:r w:rsidRPr="00010E8E">
        <w:rPr>
          <w:rStyle w:val="FootnoteReference"/>
        </w:rPr>
        <w:footnoteRef/>
      </w:r>
      <w:r>
        <w:rPr>
          <w:lang w:val="ro-RO"/>
        </w:rPr>
        <w:t xml:space="preserve"> </w:t>
      </w:r>
      <w:r w:rsidRPr="00010E8E">
        <w:rPr>
          <w:lang w:val="ro-RO"/>
        </w:rPr>
        <w:t>Ընդհանուր ազդեցության գնահատականը հիմնված է մակրոտնտեսական ռիսկերի առանձին հանդես գալու ենթադրության վրա:</w:t>
      </w:r>
    </w:p>
  </w:footnote>
  <w:footnote w:id="35">
    <w:p w14:paraId="0AE9DFDD" w14:textId="77777777" w:rsidR="0078250D" w:rsidRPr="00221E23" w:rsidRDefault="0078250D" w:rsidP="0078250D">
      <w:pPr>
        <w:pStyle w:val="FootnoteText"/>
        <w:rPr>
          <w:lang w:val="hy-AM"/>
        </w:rPr>
      </w:pPr>
      <w:r>
        <w:rPr>
          <w:rStyle w:val="FootnoteReference"/>
        </w:rPr>
        <w:footnoteRef/>
      </w:r>
      <w:r w:rsidRPr="00221E23">
        <w:rPr>
          <w:lang w:val="hy-AM"/>
        </w:rPr>
        <w:t xml:space="preserve"> </w:t>
      </w:r>
      <w:r>
        <w:rPr>
          <w:lang w:val="hy-AM"/>
        </w:rPr>
        <w:t xml:space="preserve">Ներկայացված է հաշվետվության հրապարակման պահին հասանելի տեղեկատվությունը: </w:t>
      </w:r>
    </w:p>
  </w:footnote>
  <w:footnote w:id="36">
    <w:p w14:paraId="493DE95E" w14:textId="77777777" w:rsidR="0078250D" w:rsidRPr="000F7D65" w:rsidRDefault="0078250D" w:rsidP="0078250D">
      <w:pPr>
        <w:pStyle w:val="FootnoteText"/>
        <w:rPr>
          <w:lang w:val="hy-AM"/>
        </w:rPr>
      </w:pPr>
      <w:r>
        <w:rPr>
          <w:rStyle w:val="FootnoteReference"/>
        </w:rPr>
        <w:footnoteRef/>
      </w:r>
      <w:r w:rsidRPr="000F7D65">
        <w:rPr>
          <w:lang w:val="hy-AM"/>
        </w:rPr>
        <w:t xml:space="preserve"> </w:t>
      </w:r>
      <w:r>
        <w:rPr>
          <w:lang w:val="hy-AM"/>
        </w:rPr>
        <w:t>Ներկայացված է հաշվետվության հրապարակման պահին հասանելի տեղեկատվությունը:</w:t>
      </w:r>
    </w:p>
  </w:footnote>
  <w:footnote w:id="37">
    <w:p w14:paraId="672E8AF2" w14:textId="77777777" w:rsidR="0078250D" w:rsidRPr="008D564D" w:rsidRDefault="0078250D" w:rsidP="0078250D">
      <w:pPr>
        <w:pStyle w:val="FootnoteText"/>
        <w:rPr>
          <w:lang w:val="hy-AM"/>
        </w:rPr>
      </w:pPr>
      <w:r w:rsidRPr="008D564D">
        <w:rPr>
          <w:rStyle w:val="FootnoteReference"/>
        </w:rPr>
        <w:footnoteRef/>
      </w:r>
      <w:r w:rsidRPr="008D564D">
        <w:rPr>
          <w:lang w:val="hy-AM"/>
        </w:rPr>
        <w:t xml:space="preserve"> </w:t>
      </w:r>
      <w:r w:rsidRPr="00406F22">
        <w:rPr>
          <w:lang w:val="hy-AM"/>
        </w:rPr>
        <w:t>https://www.imf.org/en/Topics/fiscal-policies/Fiscal-Risks/Fiscal-Risks-Toolkit/Fiscal-Risks-Toolkit-SOE-HCT</w:t>
      </w:r>
      <w:r w:rsidRPr="008D564D">
        <w:rPr>
          <w:lang w:val="hy-AM"/>
        </w:rPr>
        <w:t xml:space="preserve"> </w:t>
      </w:r>
    </w:p>
  </w:footnote>
  <w:footnote w:id="38">
    <w:p w14:paraId="7F9550E8" w14:textId="77777777" w:rsidR="0078250D" w:rsidRPr="008D564D" w:rsidRDefault="0078250D" w:rsidP="0078250D">
      <w:pPr>
        <w:pStyle w:val="FootnoteText"/>
        <w:rPr>
          <w:lang w:val="hy-AM"/>
        </w:rPr>
      </w:pPr>
      <w:r w:rsidRPr="008D564D">
        <w:rPr>
          <w:rStyle w:val="FootnoteReference"/>
        </w:rPr>
        <w:footnoteRef/>
      </w:r>
      <w:r w:rsidRPr="008D564D">
        <w:rPr>
          <w:lang w:val="ro-RO"/>
        </w:rPr>
        <w:t xml:space="preserve"> </w:t>
      </w:r>
      <w:r w:rsidRPr="008D564D">
        <w:rPr>
          <w:lang w:val="hy-AM"/>
        </w:rPr>
        <w:t xml:space="preserve">Նշենք, որ 2017 թվականին Հայփոստ ՓԲԸ-ն չի համարվել պետական մասնակցությամբ ընկերություն </w:t>
      </w:r>
    </w:p>
  </w:footnote>
  <w:footnote w:id="39">
    <w:p w14:paraId="1E4DE32C" w14:textId="77777777" w:rsidR="0078250D" w:rsidRPr="0078250D" w:rsidRDefault="0078250D" w:rsidP="0078250D">
      <w:pPr>
        <w:spacing w:line="240" w:lineRule="auto"/>
        <w:rPr>
          <w:b w:val="0"/>
          <w:bCs/>
          <w:sz w:val="16"/>
          <w:szCs w:val="16"/>
          <w:lang w:val="hy-AM"/>
        </w:rPr>
      </w:pPr>
      <w:r w:rsidRPr="0078250D">
        <w:rPr>
          <w:rStyle w:val="FootnoteReference"/>
          <w:b w:val="0"/>
          <w:bCs/>
        </w:rPr>
        <w:footnoteRef/>
      </w:r>
      <w:r w:rsidRPr="0078250D">
        <w:rPr>
          <w:b w:val="0"/>
          <w:bCs/>
          <w:lang w:val="hy-AM"/>
        </w:rPr>
        <w:t xml:space="preserve"> </w:t>
      </w:r>
      <w:r w:rsidRPr="0078250D">
        <w:rPr>
          <w:b w:val="0"/>
          <w:bCs/>
          <w:sz w:val="16"/>
          <w:szCs w:val="16"/>
          <w:lang w:val="hy-AM"/>
        </w:rPr>
        <w:t>Կիրառվել է Ասիական Զարգացման Բանկի կողմից մշակված մեթոդաբանությունը՝ ինչպես և սույն փաստաթղթում ներկայացվող այլ հաշվարկների դեպքում:</w:t>
      </w:r>
    </w:p>
  </w:footnote>
  <w:footnote w:id="40">
    <w:p w14:paraId="2D10D172" w14:textId="77777777" w:rsidR="0078250D" w:rsidRPr="008B270E" w:rsidRDefault="0078250D" w:rsidP="0078250D">
      <w:pPr>
        <w:pStyle w:val="FootnoteText"/>
        <w:rPr>
          <w:lang w:val="hy-AM"/>
        </w:rPr>
      </w:pPr>
      <w:r>
        <w:rPr>
          <w:rStyle w:val="FootnoteReference"/>
        </w:rPr>
        <w:footnoteRef/>
      </w:r>
      <w:r w:rsidRPr="008B270E">
        <w:rPr>
          <w:lang w:val="hy-AM"/>
        </w:rPr>
        <w:t xml:space="preserve"> </w:t>
      </w:r>
      <w:r>
        <w:rPr>
          <w:lang w:val="hy-AM"/>
        </w:rPr>
        <w:t xml:space="preserve">Ի տարբերություն նախորդ զեկույցների, այս զեկույցում գնահատվել է նաև «ԱՄՕ» վաղաժամ դադարեցման պարտավորությունը: </w:t>
      </w:r>
    </w:p>
  </w:footnote>
  <w:footnote w:id="41">
    <w:p w14:paraId="793FE0AC" w14:textId="77777777" w:rsidR="0078250D" w:rsidRPr="008D564D" w:rsidRDefault="0078250D" w:rsidP="0078250D">
      <w:pPr>
        <w:pStyle w:val="FootnoteText"/>
        <w:rPr>
          <w:lang w:val="hy-AM"/>
        </w:rPr>
      </w:pPr>
      <w:r w:rsidRPr="008D564D">
        <w:rPr>
          <w:rStyle w:val="FootnoteReference"/>
        </w:rPr>
        <w:footnoteRef/>
      </w:r>
      <w:r w:rsidRPr="008D564D">
        <w:t xml:space="preserve"> </w:t>
      </w:r>
      <w:hyperlink r:id="rId9" w:history="1">
        <w:r w:rsidRPr="008D564D">
          <w:rPr>
            <w:rStyle w:val="Hyperlink"/>
          </w:rPr>
          <w:t>ՀՀ ԿԲ ՖԻՆԱՆՍԱԿԱՆ ԿԱՅՈՒՆՈՒԹՅԱՆ ՀԱՇՎԵՏՎՈՒԹՅՈՒՆ 2022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B13A8" w14:textId="77777777" w:rsidR="0078250D" w:rsidRPr="007830E5" w:rsidRDefault="0078250D" w:rsidP="0056221D">
    <w:pPr>
      <w:jc w:val="right"/>
      <w:rPr>
        <w:sz w:val="16"/>
        <w:szCs w:val="16"/>
      </w:rPr>
    </w:pPr>
  </w:p>
  <w:p w14:paraId="324DE089" w14:textId="77777777" w:rsidR="0078250D" w:rsidRDefault="007825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9AC5A72"/>
    <w:lvl w:ilvl="0">
      <w:start w:val="1"/>
      <w:numFmt w:val="decimal"/>
      <w:pStyle w:val="ListNumber"/>
      <w:lvlText w:val="%1."/>
      <w:lvlJc w:val="left"/>
      <w:pPr>
        <w:tabs>
          <w:tab w:val="num" w:pos="-762"/>
        </w:tabs>
        <w:ind w:left="-762" w:hanging="360"/>
      </w:pPr>
    </w:lvl>
  </w:abstractNum>
  <w:abstractNum w:abstractNumId="1" w15:restartNumberingAfterBreak="0">
    <w:nsid w:val="03F033D1"/>
    <w:multiLevelType w:val="hybridMultilevel"/>
    <w:tmpl w:val="28F0DDFE"/>
    <w:lvl w:ilvl="0" w:tplc="FFFFFFFF">
      <w:start w:val="1"/>
      <w:numFmt w:val="bullet"/>
      <w:pStyle w:val="num02"/>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606A62"/>
    <w:multiLevelType w:val="hybridMultilevel"/>
    <w:tmpl w:val="EBD26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677763"/>
    <w:multiLevelType w:val="hybridMultilevel"/>
    <w:tmpl w:val="D4D6B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75450"/>
    <w:multiLevelType w:val="hybridMultilevel"/>
    <w:tmpl w:val="9C665E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6CF5B18"/>
    <w:multiLevelType w:val="hybridMultilevel"/>
    <w:tmpl w:val="CF349E18"/>
    <w:lvl w:ilvl="0" w:tplc="04090011">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E82D78"/>
    <w:multiLevelType w:val="hybridMultilevel"/>
    <w:tmpl w:val="0734C1CC"/>
    <w:lvl w:ilvl="0" w:tplc="78B647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EF44BE"/>
    <w:multiLevelType w:val="hybridMultilevel"/>
    <w:tmpl w:val="620A90A4"/>
    <w:lvl w:ilvl="0" w:tplc="4BB0F528">
      <w:start w:val="1"/>
      <w:numFmt w:val="bullet"/>
      <w:lvlText w:val=""/>
      <w:lvlJc w:val="left"/>
      <w:pPr>
        <w:ind w:left="8100" w:hanging="360"/>
      </w:pPr>
      <w:rPr>
        <w:rFonts w:ascii="Symbol" w:hAnsi="Symbol" w:hint="default"/>
        <w:lang w:val="hy-AM"/>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04090001">
      <w:start w:val="1"/>
      <w:numFmt w:val="bullet"/>
      <w:lvlText w:val=""/>
      <w:lvlJc w:val="left"/>
      <w:pPr>
        <w:ind w:left="3420" w:hanging="360"/>
      </w:pPr>
      <w:rPr>
        <w:rFonts w:ascii="Symbol" w:hAnsi="Symbol" w:hint="default"/>
      </w:rPr>
    </w:lvl>
    <w:lvl w:ilvl="4" w:tplc="04090003">
      <w:start w:val="1"/>
      <w:numFmt w:val="bullet"/>
      <w:lvlText w:val="o"/>
      <w:lvlJc w:val="left"/>
      <w:pPr>
        <w:ind w:left="4140" w:hanging="360"/>
      </w:pPr>
      <w:rPr>
        <w:rFonts w:ascii="Courier New" w:hAnsi="Courier New" w:cs="Courier New" w:hint="default"/>
      </w:rPr>
    </w:lvl>
    <w:lvl w:ilvl="5" w:tplc="04090005">
      <w:start w:val="1"/>
      <w:numFmt w:val="bullet"/>
      <w:lvlText w:val=""/>
      <w:lvlJc w:val="left"/>
      <w:pPr>
        <w:ind w:left="4860" w:hanging="360"/>
      </w:pPr>
      <w:rPr>
        <w:rFonts w:ascii="Wingdings" w:hAnsi="Wingdings" w:hint="default"/>
      </w:rPr>
    </w:lvl>
    <w:lvl w:ilvl="6" w:tplc="04090001">
      <w:start w:val="1"/>
      <w:numFmt w:val="bullet"/>
      <w:lvlText w:val=""/>
      <w:lvlJc w:val="left"/>
      <w:pPr>
        <w:ind w:left="5580" w:hanging="360"/>
      </w:pPr>
      <w:rPr>
        <w:rFonts w:ascii="Symbol" w:hAnsi="Symbol" w:hint="default"/>
      </w:rPr>
    </w:lvl>
    <w:lvl w:ilvl="7" w:tplc="04090003">
      <w:start w:val="1"/>
      <w:numFmt w:val="bullet"/>
      <w:lvlText w:val="o"/>
      <w:lvlJc w:val="left"/>
      <w:pPr>
        <w:ind w:left="6300" w:hanging="360"/>
      </w:pPr>
      <w:rPr>
        <w:rFonts w:ascii="Courier New" w:hAnsi="Courier New" w:cs="Courier New" w:hint="default"/>
      </w:rPr>
    </w:lvl>
    <w:lvl w:ilvl="8" w:tplc="04090005">
      <w:start w:val="1"/>
      <w:numFmt w:val="bullet"/>
      <w:lvlText w:val=""/>
      <w:lvlJc w:val="left"/>
      <w:pPr>
        <w:ind w:left="7020" w:hanging="360"/>
      </w:pPr>
      <w:rPr>
        <w:rFonts w:ascii="Wingdings" w:hAnsi="Wingdings" w:hint="default"/>
      </w:rPr>
    </w:lvl>
  </w:abstractNum>
  <w:abstractNum w:abstractNumId="8" w15:restartNumberingAfterBreak="0">
    <w:nsid w:val="0A89690A"/>
    <w:multiLevelType w:val="hybridMultilevel"/>
    <w:tmpl w:val="53BE3A02"/>
    <w:lvl w:ilvl="0" w:tplc="04090011">
      <w:start w:val="1"/>
      <w:numFmt w:val="decimal"/>
      <w:lvlText w:val="%1)"/>
      <w:lvlJc w:val="left"/>
      <w:pPr>
        <w:ind w:left="1069" w:hanging="360"/>
      </w:pPr>
      <w:rPr>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 w15:restartNumberingAfterBreak="0">
    <w:nsid w:val="0D3432B4"/>
    <w:multiLevelType w:val="hybridMultilevel"/>
    <w:tmpl w:val="DAF20BD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0EF45B06"/>
    <w:multiLevelType w:val="hybridMultilevel"/>
    <w:tmpl w:val="59766380"/>
    <w:lvl w:ilvl="0" w:tplc="37A874F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085362"/>
    <w:multiLevelType w:val="hybridMultilevel"/>
    <w:tmpl w:val="16D66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36391B"/>
    <w:multiLevelType w:val="hybridMultilevel"/>
    <w:tmpl w:val="5BC89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AF5979"/>
    <w:multiLevelType w:val="hybridMultilevel"/>
    <w:tmpl w:val="F01265F0"/>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4" w15:restartNumberingAfterBreak="0">
    <w:nsid w:val="129E7A5A"/>
    <w:multiLevelType w:val="singleLevel"/>
    <w:tmpl w:val="4EDA947C"/>
    <w:lvl w:ilvl="0">
      <w:start w:val="1"/>
      <w:numFmt w:val="decimal"/>
      <w:pStyle w:val="a"/>
      <w:lvlText w:val="%1."/>
      <w:lvlJc w:val="left"/>
      <w:pPr>
        <w:tabs>
          <w:tab w:val="num" w:pos="360"/>
        </w:tabs>
        <w:ind w:left="360" w:hanging="360"/>
      </w:pPr>
      <w:rPr>
        <w:rFonts w:hint="default"/>
      </w:rPr>
    </w:lvl>
  </w:abstractNum>
  <w:abstractNum w:abstractNumId="15" w15:restartNumberingAfterBreak="0">
    <w:nsid w:val="14105CA9"/>
    <w:multiLevelType w:val="hybridMultilevel"/>
    <w:tmpl w:val="14A42308"/>
    <w:lvl w:ilvl="0" w:tplc="3CF28AFA">
      <w:start w:val="1"/>
      <w:numFmt w:val="decimal"/>
      <w:pStyle w:val="ParagraphNumbering"/>
      <w:lvlText w:val="%1.     "/>
      <w:lvlJc w:val="left"/>
      <w:pPr>
        <w:tabs>
          <w:tab w:val="num" w:pos="72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56C11E8"/>
    <w:multiLevelType w:val="hybridMultilevel"/>
    <w:tmpl w:val="6EAA1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8C4D6A"/>
    <w:multiLevelType w:val="hybridMultilevel"/>
    <w:tmpl w:val="5D26F9CC"/>
    <w:lvl w:ilvl="0" w:tplc="379CAA9A">
      <w:start w:val="2024"/>
      <w:numFmt w:val="bullet"/>
      <w:lvlText w:val="-"/>
      <w:lvlJc w:val="left"/>
      <w:pPr>
        <w:ind w:left="1170" w:hanging="360"/>
      </w:pPr>
      <w:rPr>
        <w:rFonts w:ascii="GHEA Grapalat" w:eastAsiaTheme="minorHAnsi" w:hAnsi="GHEA Grapalat" w:cs="Sylfaen" w:hint="default"/>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start w:val="1"/>
      <w:numFmt w:val="bullet"/>
      <w:lvlText w:val=""/>
      <w:lvlJc w:val="left"/>
      <w:pPr>
        <w:ind w:left="3330" w:hanging="360"/>
      </w:pPr>
      <w:rPr>
        <w:rFonts w:ascii="Symbol" w:hAnsi="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hint="default"/>
      </w:rPr>
    </w:lvl>
    <w:lvl w:ilvl="6" w:tplc="04090001">
      <w:start w:val="1"/>
      <w:numFmt w:val="bullet"/>
      <w:lvlText w:val=""/>
      <w:lvlJc w:val="left"/>
      <w:pPr>
        <w:ind w:left="5490" w:hanging="360"/>
      </w:pPr>
      <w:rPr>
        <w:rFonts w:ascii="Symbol" w:hAnsi="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hint="default"/>
      </w:rPr>
    </w:lvl>
  </w:abstractNum>
  <w:abstractNum w:abstractNumId="18" w15:restartNumberingAfterBreak="0">
    <w:nsid w:val="21B262EB"/>
    <w:multiLevelType w:val="hybridMultilevel"/>
    <w:tmpl w:val="27925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A707DA"/>
    <w:multiLevelType w:val="hybridMultilevel"/>
    <w:tmpl w:val="E7566F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FF5743"/>
    <w:multiLevelType w:val="hybridMultilevel"/>
    <w:tmpl w:val="31AA9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3D5F7A"/>
    <w:multiLevelType w:val="hybridMultilevel"/>
    <w:tmpl w:val="30208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A624FB"/>
    <w:multiLevelType w:val="hybridMultilevel"/>
    <w:tmpl w:val="B4C8024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0D17E8"/>
    <w:multiLevelType w:val="hybridMultilevel"/>
    <w:tmpl w:val="E8280606"/>
    <w:name w:val="WW8Num43"/>
    <w:lvl w:ilvl="0" w:tplc="FFFFFFFF">
      <w:start w:val="110"/>
      <w:numFmt w:val="bullet"/>
      <w:lvlText w:val="-"/>
      <w:lvlJc w:val="left"/>
      <w:pPr>
        <w:tabs>
          <w:tab w:val="num" w:pos="1575"/>
        </w:tabs>
        <w:ind w:left="1575" w:hanging="975"/>
      </w:pPr>
      <w:rPr>
        <w:rFonts w:ascii="Times Armenian" w:eastAsia="Times New Roman" w:hAnsi="Times Armenian" w:cs="Times New Roman" w:hint="default"/>
      </w:rPr>
    </w:lvl>
    <w:lvl w:ilvl="1" w:tplc="FFFFFFFF" w:tentative="1">
      <w:start w:val="1"/>
      <w:numFmt w:val="bullet"/>
      <w:lvlText w:val="o"/>
      <w:lvlJc w:val="left"/>
      <w:pPr>
        <w:tabs>
          <w:tab w:val="num" w:pos="1680"/>
        </w:tabs>
        <w:ind w:left="1680" w:hanging="360"/>
      </w:pPr>
      <w:rPr>
        <w:rFonts w:ascii="Courier New" w:hAnsi="Courier New" w:cs="Courier New" w:hint="default"/>
      </w:rPr>
    </w:lvl>
    <w:lvl w:ilvl="2" w:tplc="FFFFFFFF" w:tentative="1">
      <w:start w:val="1"/>
      <w:numFmt w:val="bullet"/>
      <w:lvlText w:val=""/>
      <w:lvlJc w:val="left"/>
      <w:pPr>
        <w:tabs>
          <w:tab w:val="num" w:pos="2400"/>
        </w:tabs>
        <w:ind w:left="2400" w:hanging="360"/>
      </w:pPr>
      <w:rPr>
        <w:rFonts w:ascii="Wingdings" w:hAnsi="Wingdings" w:hint="default"/>
      </w:rPr>
    </w:lvl>
    <w:lvl w:ilvl="3" w:tplc="FFFFFFFF" w:tentative="1">
      <w:start w:val="1"/>
      <w:numFmt w:val="bullet"/>
      <w:lvlText w:val=""/>
      <w:lvlJc w:val="left"/>
      <w:pPr>
        <w:tabs>
          <w:tab w:val="num" w:pos="3120"/>
        </w:tabs>
        <w:ind w:left="3120" w:hanging="360"/>
      </w:pPr>
      <w:rPr>
        <w:rFonts w:ascii="Symbol" w:hAnsi="Symbol" w:hint="default"/>
      </w:rPr>
    </w:lvl>
    <w:lvl w:ilvl="4" w:tplc="FFFFFFFF" w:tentative="1">
      <w:start w:val="1"/>
      <w:numFmt w:val="bullet"/>
      <w:lvlText w:val="o"/>
      <w:lvlJc w:val="left"/>
      <w:pPr>
        <w:tabs>
          <w:tab w:val="num" w:pos="3840"/>
        </w:tabs>
        <w:ind w:left="3840" w:hanging="360"/>
      </w:pPr>
      <w:rPr>
        <w:rFonts w:ascii="Courier New" w:hAnsi="Courier New" w:cs="Courier New" w:hint="default"/>
      </w:rPr>
    </w:lvl>
    <w:lvl w:ilvl="5" w:tplc="FFFFFFFF" w:tentative="1">
      <w:start w:val="1"/>
      <w:numFmt w:val="bullet"/>
      <w:lvlText w:val=""/>
      <w:lvlJc w:val="left"/>
      <w:pPr>
        <w:tabs>
          <w:tab w:val="num" w:pos="4560"/>
        </w:tabs>
        <w:ind w:left="4560" w:hanging="360"/>
      </w:pPr>
      <w:rPr>
        <w:rFonts w:ascii="Wingdings" w:hAnsi="Wingdings" w:hint="default"/>
      </w:rPr>
    </w:lvl>
    <w:lvl w:ilvl="6" w:tplc="FFFFFFFF" w:tentative="1">
      <w:start w:val="1"/>
      <w:numFmt w:val="bullet"/>
      <w:lvlText w:val=""/>
      <w:lvlJc w:val="left"/>
      <w:pPr>
        <w:tabs>
          <w:tab w:val="num" w:pos="5280"/>
        </w:tabs>
        <w:ind w:left="5280" w:hanging="360"/>
      </w:pPr>
      <w:rPr>
        <w:rFonts w:ascii="Symbol" w:hAnsi="Symbol" w:hint="default"/>
      </w:rPr>
    </w:lvl>
    <w:lvl w:ilvl="7" w:tplc="FFFFFFFF" w:tentative="1">
      <w:start w:val="1"/>
      <w:numFmt w:val="bullet"/>
      <w:lvlText w:val="o"/>
      <w:lvlJc w:val="left"/>
      <w:pPr>
        <w:tabs>
          <w:tab w:val="num" w:pos="6000"/>
        </w:tabs>
        <w:ind w:left="6000" w:hanging="360"/>
      </w:pPr>
      <w:rPr>
        <w:rFonts w:ascii="Courier New" w:hAnsi="Courier New" w:cs="Courier New" w:hint="default"/>
      </w:rPr>
    </w:lvl>
    <w:lvl w:ilvl="8" w:tplc="FFFFFFFF" w:tentative="1">
      <w:start w:val="1"/>
      <w:numFmt w:val="bullet"/>
      <w:lvlText w:val=""/>
      <w:lvlJc w:val="left"/>
      <w:pPr>
        <w:tabs>
          <w:tab w:val="num" w:pos="6720"/>
        </w:tabs>
        <w:ind w:left="6720" w:hanging="360"/>
      </w:pPr>
      <w:rPr>
        <w:rFonts w:ascii="Wingdings" w:hAnsi="Wingdings" w:hint="default"/>
      </w:rPr>
    </w:lvl>
  </w:abstractNum>
  <w:abstractNum w:abstractNumId="24" w15:restartNumberingAfterBreak="0">
    <w:nsid w:val="2D4D3018"/>
    <w:multiLevelType w:val="hybridMultilevel"/>
    <w:tmpl w:val="ABFC5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E7D3B99"/>
    <w:multiLevelType w:val="hybridMultilevel"/>
    <w:tmpl w:val="51C8F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B30B7"/>
    <w:multiLevelType w:val="hybridMultilevel"/>
    <w:tmpl w:val="7F14B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46B29FA"/>
    <w:multiLevelType w:val="hybridMultilevel"/>
    <w:tmpl w:val="675CA8A4"/>
    <w:lvl w:ilvl="0" w:tplc="04090001">
      <w:start w:val="1"/>
      <w:numFmt w:val="bullet"/>
      <w:lvlText w:val=""/>
      <w:lvlJc w:val="left"/>
      <w:pPr>
        <w:ind w:left="720" w:hanging="360"/>
      </w:pPr>
      <w:rPr>
        <w:rFonts w:ascii="Symbol" w:hAnsi="Symbol" w:hint="default"/>
      </w:rPr>
    </w:lvl>
    <w:lvl w:ilvl="1" w:tplc="0C74023A">
      <w:numFmt w:val="bullet"/>
      <w:lvlText w:val="-"/>
      <w:lvlJc w:val="left"/>
      <w:pPr>
        <w:ind w:left="1440" w:hanging="360"/>
      </w:pPr>
      <w:rPr>
        <w:rFonts w:ascii="GHEA Grapalat" w:eastAsia="Times New Roman" w:hAnsi="GHEA Grapalat" w:cs="Times New Roman" w:hint="default"/>
        <w:b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6842E24"/>
    <w:multiLevelType w:val="hybridMultilevel"/>
    <w:tmpl w:val="AE8E1CD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8B70647"/>
    <w:multiLevelType w:val="hybridMultilevel"/>
    <w:tmpl w:val="F044F36C"/>
    <w:lvl w:ilvl="0" w:tplc="79D8E8D2">
      <w:start w:val="1"/>
      <w:numFmt w:val="decimal"/>
      <w:pStyle w:val="StyleGHEAGrapalatJustifiedBefore12pt"/>
      <w:lvlText w:val="%1."/>
      <w:lvlJc w:val="left"/>
      <w:pPr>
        <w:ind w:left="720" w:hanging="360"/>
      </w:pPr>
    </w:lvl>
    <w:lvl w:ilvl="1" w:tplc="04090019">
      <w:start w:val="1"/>
      <w:numFmt w:val="lowerLetter"/>
      <w:pStyle w:val="KLegalHeading2"/>
      <w:lvlText w:val="%2."/>
      <w:lvlJc w:val="left"/>
      <w:pPr>
        <w:ind w:left="1440" w:hanging="360"/>
      </w:pPr>
    </w:lvl>
    <w:lvl w:ilvl="2" w:tplc="0409001B">
      <w:start w:val="1"/>
      <w:numFmt w:val="lowerRoman"/>
      <w:pStyle w:val="KLegalHeading3"/>
      <w:lvlText w:val="%3."/>
      <w:lvlJc w:val="right"/>
      <w:pPr>
        <w:ind w:left="2160" w:hanging="180"/>
      </w:pPr>
    </w:lvl>
    <w:lvl w:ilvl="3" w:tplc="0409000F">
      <w:start w:val="1"/>
      <w:numFmt w:val="decimal"/>
      <w:pStyle w:val="KLegalHeading4"/>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3A07674E"/>
    <w:multiLevelType w:val="hybridMultilevel"/>
    <w:tmpl w:val="D2D61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0B4538"/>
    <w:multiLevelType w:val="hybridMultilevel"/>
    <w:tmpl w:val="65C46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C461B8D"/>
    <w:multiLevelType w:val="hybridMultilevel"/>
    <w:tmpl w:val="2F7C06BE"/>
    <w:lvl w:ilvl="0" w:tplc="04090011">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CC3328E"/>
    <w:multiLevelType w:val="hybridMultilevel"/>
    <w:tmpl w:val="A34AB9D4"/>
    <w:lvl w:ilvl="0" w:tplc="0409000F">
      <w:start w:val="1"/>
      <w:numFmt w:val="decimal"/>
      <w:lvlText w:val="%1."/>
      <w:lvlJc w:val="left"/>
      <w:pPr>
        <w:ind w:left="1070" w:hanging="360"/>
      </w:pPr>
      <w:rPr>
        <w:strike w:val="0"/>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34" w15:restartNumberingAfterBreak="0">
    <w:nsid w:val="3F4C0DEC"/>
    <w:multiLevelType w:val="hybridMultilevel"/>
    <w:tmpl w:val="9B2C4B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422C49C0"/>
    <w:multiLevelType w:val="hybridMultilevel"/>
    <w:tmpl w:val="3E5CDB08"/>
    <w:lvl w:ilvl="0" w:tplc="78B647A6">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6" w15:restartNumberingAfterBreak="0">
    <w:nsid w:val="42A329F3"/>
    <w:multiLevelType w:val="hybridMultilevel"/>
    <w:tmpl w:val="789210FC"/>
    <w:lvl w:ilvl="0" w:tplc="7BF03C28">
      <w:start w:val="1"/>
      <w:numFmt w:val="decimal"/>
      <w:pStyle w:val="StyleGHEAGrapalatJustifiedAfter6ptLinespacingMultip"/>
      <w:lvlText w:val="%1)"/>
      <w:lvlJc w:val="left"/>
      <w:pPr>
        <w:ind w:left="1008" w:hanging="360"/>
      </w:pPr>
    </w:lvl>
    <w:lvl w:ilvl="1" w:tplc="EFE234DE">
      <w:start w:val="7"/>
      <w:numFmt w:val="decimal"/>
      <w:lvlText w:val="%2."/>
      <w:lvlJc w:val="left"/>
      <w:pPr>
        <w:tabs>
          <w:tab w:val="num" w:pos="1728"/>
        </w:tabs>
        <w:ind w:left="1728" w:hanging="360"/>
      </w:pPr>
      <w:rPr>
        <w:rFonts w:hint="default"/>
      </w:r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37" w15:restartNumberingAfterBreak="0">
    <w:nsid w:val="43C765F3"/>
    <w:multiLevelType w:val="hybridMultilevel"/>
    <w:tmpl w:val="6290C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F3D0A70"/>
    <w:multiLevelType w:val="hybridMultilevel"/>
    <w:tmpl w:val="3984F492"/>
    <w:lvl w:ilvl="0" w:tplc="33047A92">
      <w:start w:val="1"/>
      <w:numFmt w:val="bullet"/>
      <w:pStyle w:val="Bullet1"/>
      <w:lvlText w:val=""/>
      <w:lvlJc w:val="left"/>
      <w:pPr>
        <w:ind w:left="1287" w:hanging="360"/>
      </w:pPr>
      <w:rPr>
        <w:rFonts w:ascii="Symbol" w:hAnsi="Symbol" w:hint="default"/>
      </w:rPr>
    </w:lvl>
    <w:lvl w:ilvl="1" w:tplc="F2682400">
      <w:numFmt w:val="bullet"/>
      <w:lvlText w:val="•"/>
      <w:lvlJc w:val="left"/>
      <w:pPr>
        <w:ind w:left="2007" w:hanging="360"/>
      </w:pPr>
      <w:rPr>
        <w:rFonts w:ascii="GHEA Grapalat" w:eastAsia="Times New Roman" w:hAnsi="GHEA Grapalat" w:cs="Aria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9" w15:restartNumberingAfterBreak="0">
    <w:nsid w:val="4F8F5F2B"/>
    <w:multiLevelType w:val="hybridMultilevel"/>
    <w:tmpl w:val="5A8C44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FC17745"/>
    <w:multiLevelType w:val="hybridMultilevel"/>
    <w:tmpl w:val="3BCA215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50A05D30"/>
    <w:multiLevelType w:val="hybridMultilevel"/>
    <w:tmpl w:val="81D69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1154DB5"/>
    <w:multiLevelType w:val="hybridMultilevel"/>
    <w:tmpl w:val="2FC854C2"/>
    <w:lvl w:ilvl="0" w:tplc="16E6CDD0">
      <w:start w:val="1"/>
      <w:numFmt w:val="decimal"/>
      <w:pStyle w:val="Charts"/>
      <w:lvlText w:val="Գծապատկեր %1."/>
      <w:lvlJc w:val="left"/>
      <w:pPr>
        <w:ind w:left="1170" w:hanging="360"/>
      </w:pPr>
      <w:rPr>
        <w:rFonts w:ascii="GHEA Grapalat" w:hAnsi="GHEA Grapalat" w:hint="default"/>
        <w:sz w:val="22"/>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3" w15:restartNumberingAfterBreak="0">
    <w:nsid w:val="523F7908"/>
    <w:multiLevelType w:val="hybridMultilevel"/>
    <w:tmpl w:val="0F9E9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5892489"/>
    <w:multiLevelType w:val="multilevel"/>
    <w:tmpl w:val="240C2A08"/>
    <w:lvl w:ilvl="0">
      <w:start w:val="1"/>
      <w:numFmt w:val="bullet"/>
      <w:lvlText w:val=""/>
      <w:lvlJc w:val="left"/>
      <w:pPr>
        <w:ind w:left="810" w:hanging="360"/>
      </w:pPr>
      <w:rPr>
        <w:rFonts w:ascii="Symbol" w:hAnsi="Symbol" w:hint="default"/>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45" w15:restartNumberingAfterBreak="0">
    <w:nsid w:val="56247228"/>
    <w:multiLevelType w:val="hybridMultilevel"/>
    <w:tmpl w:val="69C88C5A"/>
    <w:lvl w:ilvl="0" w:tplc="04190001">
      <w:numFmt w:val="bullet"/>
      <w:pStyle w:val="BodyText1"/>
      <w:lvlText w:val="-"/>
      <w:lvlJc w:val="left"/>
      <w:pPr>
        <w:tabs>
          <w:tab w:val="num" w:pos="360"/>
        </w:tabs>
        <w:ind w:left="0" w:firstLine="0"/>
      </w:pPr>
      <w:rPr>
        <w:rFonts w:ascii="Times Armenian" w:eastAsia="Times New Roman" w:hAnsi="Times Armeni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7E11251"/>
    <w:multiLevelType w:val="hybridMultilevel"/>
    <w:tmpl w:val="40C8AE06"/>
    <w:lvl w:ilvl="0" w:tplc="04090001">
      <w:start w:val="1"/>
      <w:numFmt w:val="bullet"/>
      <w:lvlText w:val=""/>
      <w:lvlJc w:val="left"/>
      <w:pPr>
        <w:ind w:left="19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82A0742"/>
    <w:multiLevelType w:val="hybridMultilevel"/>
    <w:tmpl w:val="5C244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8981591"/>
    <w:multiLevelType w:val="hybridMultilevel"/>
    <w:tmpl w:val="09A43E3A"/>
    <w:lvl w:ilvl="0" w:tplc="04190001">
      <w:start w:val="1"/>
      <w:numFmt w:val="bullet"/>
      <w:pStyle w:val="ListDash"/>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904267E"/>
    <w:multiLevelType w:val="hybridMultilevel"/>
    <w:tmpl w:val="59766380"/>
    <w:lvl w:ilvl="0" w:tplc="37A874F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957624"/>
    <w:multiLevelType w:val="hybridMultilevel"/>
    <w:tmpl w:val="28022E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59A42C27"/>
    <w:multiLevelType w:val="hybridMultilevel"/>
    <w:tmpl w:val="4140979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2" w15:restartNumberingAfterBreak="0">
    <w:nsid w:val="5A761E34"/>
    <w:multiLevelType w:val="hybridMultilevel"/>
    <w:tmpl w:val="03C02330"/>
    <w:lvl w:ilvl="0" w:tplc="49D6164E">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3" w15:restartNumberingAfterBreak="0">
    <w:nsid w:val="5B0F2997"/>
    <w:multiLevelType w:val="hybridMultilevel"/>
    <w:tmpl w:val="704E02BE"/>
    <w:lvl w:ilvl="0" w:tplc="8FC4D916">
      <w:start w:val="1"/>
      <w:numFmt w:val="bullet"/>
      <w:pStyle w:val="CM31"/>
      <w:lvlText w:val=""/>
      <w:lvlJc w:val="left"/>
      <w:pPr>
        <w:tabs>
          <w:tab w:val="num" w:pos="1429"/>
        </w:tabs>
        <w:ind w:left="1429" w:hanging="360"/>
      </w:pPr>
      <w:rPr>
        <w:rFonts w:ascii="Symbol" w:hAnsi="Symbol" w:hint="default"/>
      </w:rPr>
    </w:lvl>
    <w:lvl w:ilvl="1" w:tplc="04090019" w:tentative="1">
      <w:start w:val="1"/>
      <w:numFmt w:val="bullet"/>
      <w:lvlText w:val="o"/>
      <w:lvlJc w:val="left"/>
      <w:pPr>
        <w:tabs>
          <w:tab w:val="num" w:pos="2149"/>
        </w:tabs>
        <w:ind w:left="2149" w:hanging="360"/>
      </w:pPr>
      <w:rPr>
        <w:rFonts w:ascii="Courier New" w:hAnsi="Courier New" w:cs="Courier New" w:hint="default"/>
      </w:rPr>
    </w:lvl>
    <w:lvl w:ilvl="2" w:tplc="0409001B" w:tentative="1">
      <w:start w:val="1"/>
      <w:numFmt w:val="bullet"/>
      <w:lvlText w:val=""/>
      <w:lvlJc w:val="left"/>
      <w:pPr>
        <w:tabs>
          <w:tab w:val="num" w:pos="2869"/>
        </w:tabs>
        <w:ind w:left="2869" w:hanging="360"/>
      </w:pPr>
      <w:rPr>
        <w:rFonts w:ascii="Wingdings" w:hAnsi="Wingdings" w:hint="default"/>
      </w:rPr>
    </w:lvl>
    <w:lvl w:ilvl="3" w:tplc="0409000F" w:tentative="1">
      <w:start w:val="1"/>
      <w:numFmt w:val="bullet"/>
      <w:lvlText w:val=""/>
      <w:lvlJc w:val="left"/>
      <w:pPr>
        <w:tabs>
          <w:tab w:val="num" w:pos="3589"/>
        </w:tabs>
        <w:ind w:left="3589" w:hanging="360"/>
      </w:pPr>
      <w:rPr>
        <w:rFonts w:ascii="Symbol" w:hAnsi="Symbol" w:hint="default"/>
      </w:rPr>
    </w:lvl>
    <w:lvl w:ilvl="4" w:tplc="04090019" w:tentative="1">
      <w:start w:val="1"/>
      <w:numFmt w:val="bullet"/>
      <w:lvlText w:val="o"/>
      <w:lvlJc w:val="left"/>
      <w:pPr>
        <w:tabs>
          <w:tab w:val="num" w:pos="4309"/>
        </w:tabs>
        <w:ind w:left="4309" w:hanging="360"/>
      </w:pPr>
      <w:rPr>
        <w:rFonts w:ascii="Courier New" w:hAnsi="Courier New" w:cs="Courier New" w:hint="default"/>
      </w:rPr>
    </w:lvl>
    <w:lvl w:ilvl="5" w:tplc="0409001B" w:tentative="1">
      <w:start w:val="1"/>
      <w:numFmt w:val="bullet"/>
      <w:lvlText w:val=""/>
      <w:lvlJc w:val="left"/>
      <w:pPr>
        <w:tabs>
          <w:tab w:val="num" w:pos="5029"/>
        </w:tabs>
        <w:ind w:left="5029" w:hanging="360"/>
      </w:pPr>
      <w:rPr>
        <w:rFonts w:ascii="Wingdings" w:hAnsi="Wingdings" w:hint="default"/>
      </w:rPr>
    </w:lvl>
    <w:lvl w:ilvl="6" w:tplc="0409000F" w:tentative="1">
      <w:start w:val="1"/>
      <w:numFmt w:val="bullet"/>
      <w:lvlText w:val=""/>
      <w:lvlJc w:val="left"/>
      <w:pPr>
        <w:tabs>
          <w:tab w:val="num" w:pos="5749"/>
        </w:tabs>
        <w:ind w:left="5749" w:hanging="360"/>
      </w:pPr>
      <w:rPr>
        <w:rFonts w:ascii="Symbol" w:hAnsi="Symbol" w:hint="default"/>
      </w:rPr>
    </w:lvl>
    <w:lvl w:ilvl="7" w:tplc="04090019" w:tentative="1">
      <w:start w:val="1"/>
      <w:numFmt w:val="bullet"/>
      <w:lvlText w:val="o"/>
      <w:lvlJc w:val="left"/>
      <w:pPr>
        <w:tabs>
          <w:tab w:val="num" w:pos="6469"/>
        </w:tabs>
        <w:ind w:left="6469" w:hanging="360"/>
      </w:pPr>
      <w:rPr>
        <w:rFonts w:ascii="Courier New" w:hAnsi="Courier New" w:cs="Courier New" w:hint="default"/>
      </w:rPr>
    </w:lvl>
    <w:lvl w:ilvl="8" w:tplc="0409001B" w:tentative="1">
      <w:start w:val="1"/>
      <w:numFmt w:val="bullet"/>
      <w:lvlText w:val=""/>
      <w:lvlJc w:val="left"/>
      <w:pPr>
        <w:tabs>
          <w:tab w:val="num" w:pos="7189"/>
        </w:tabs>
        <w:ind w:left="7189" w:hanging="360"/>
      </w:pPr>
      <w:rPr>
        <w:rFonts w:ascii="Wingdings" w:hAnsi="Wingdings" w:hint="default"/>
      </w:rPr>
    </w:lvl>
  </w:abstractNum>
  <w:abstractNum w:abstractNumId="54" w15:restartNumberingAfterBreak="0">
    <w:nsid w:val="5B4A6EA8"/>
    <w:multiLevelType w:val="multilevel"/>
    <w:tmpl w:val="4BB02B4E"/>
    <w:lvl w:ilvl="0">
      <w:start w:val="1"/>
      <w:numFmt w:val="decimal"/>
      <w:pStyle w:val="Numberedtext"/>
      <w:lvlText w:val="%1."/>
      <w:lvlJc w:val="left"/>
      <w:pPr>
        <w:tabs>
          <w:tab w:val="num" w:pos="1004"/>
        </w:tabs>
        <w:ind w:left="1004" w:hanging="284"/>
      </w:pPr>
      <w:rPr>
        <w:rFonts w:cs="Times New Roman" w:hint="default"/>
      </w:rPr>
    </w:lvl>
    <w:lvl w:ilvl="1">
      <w:start w:val="1"/>
      <w:numFmt w:val="lowerLetter"/>
      <w:lvlText w:val="%2."/>
      <w:lvlJc w:val="left"/>
      <w:pPr>
        <w:tabs>
          <w:tab w:val="num" w:pos="1287"/>
        </w:tabs>
        <w:ind w:left="1287" w:hanging="283"/>
      </w:pPr>
      <w:rPr>
        <w:rFonts w:cs="Times New Roman" w:hint="default"/>
      </w:rPr>
    </w:lvl>
    <w:lvl w:ilvl="2">
      <w:start w:val="1"/>
      <w:numFmt w:val="lowerRoman"/>
      <w:lvlText w:val="%3."/>
      <w:lvlJc w:val="left"/>
      <w:pPr>
        <w:tabs>
          <w:tab w:val="num" w:pos="1571"/>
        </w:tabs>
        <w:ind w:left="1571" w:hanging="284"/>
      </w:pPr>
      <w:rPr>
        <w:rFonts w:cs="Times New Roman" w:hint="default"/>
      </w:rPr>
    </w:lvl>
    <w:lvl w:ilvl="3">
      <w:start w:val="1"/>
      <w:numFmt w:val="none"/>
      <w:lvlText w:val=""/>
      <w:lvlJc w:val="left"/>
      <w:pPr>
        <w:tabs>
          <w:tab w:val="num" w:pos="1571"/>
        </w:tabs>
        <w:ind w:left="1571"/>
      </w:pPr>
      <w:rPr>
        <w:rFonts w:cs="Times New Roman" w:hint="default"/>
      </w:rPr>
    </w:lvl>
    <w:lvl w:ilvl="4">
      <w:start w:val="1"/>
      <w:numFmt w:val="none"/>
      <w:lvlText w:val=""/>
      <w:lvlJc w:val="left"/>
      <w:pPr>
        <w:tabs>
          <w:tab w:val="num" w:pos="1571"/>
        </w:tabs>
        <w:ind w:left="1571"/>
      </w:pPr>
      <w:rPr>
        <w:rFonts w:cs="Times New Roman" w:hint="default"/>
      </w:rPr>
    </w:lvl>
    <w:lvl w:ilvl="5">
      <w:start w:val="1"/>
      <w:numFmt w:val="none"/>
      <w:lvlText w:val=""/>
      <w:lvlJc w:val="left"/>
      <w:pPr>
        <w:tabs>
          <w:tab w:val="num" w:pos="1571"/>
        </w:tabs>
        <w:ind w:left="1571"/>
      </w:pPr>
      <w:rPr>
        <w:rFonts w:cs="Times New Roman" w:hint="default"/>
      </w:rPr>
    </w:lvl>
    <w:lvl w:ilvl="6">
      <w:start w:val="1"/>
      <w:numFmt w:val="none"/>
      <w:lvlText w:val=""/>
      <w:lvlJc w:val="left"/>
      <w:pPr>
        <w:tabs>
          <w:tab w:val="num" w:pos="1571"/>
        </w:tabs>
        <w:ind w:left="1571"/>
      </w:pPr>
      <w:rPr>
        <w:rFonts w:cs="Times New Roman" w:hint="default"/>
      </w:rPr>
    </w:lvl>
    <w:lvl w:ilvl="7">
      <w:start w:val="1"/>
      <w:numFmt w:val="none"/>
      <w:lvlText w:val=""/>
      <w:lvlJc w:val="left"/>
      <w:pPr>
        <w:tabs>
          <w:tab w:val="num" w:pos="1571"/>
        </w:tabs>
        <w:ind w:left="1571"/>
      </w:pPr>
      <w:rPr>
        <w:rFonts w:cs="Times New Roman" w:hint="default"/>
      </w:rPr>
    </w:lvl>
    <w:lvl w:ilvl="8">
      <w:start w:val="1"/>
      <w:numFmt w:val="none"/>
      <w:lvlRestart w:val="0"/>
      <w:lvlText w:val=""/>
      <w:lvlJc w:val="left"/>
      <w:pPr>
        <w:tabs>
          <w:tab w:val="num" w:pos="1571"/>
        </w:tabs>
        <w:ind w:left="1571"/>
      </w:pPr>
      <w:rPr>
        <w:rFonts w:cs="Times New Roman" w:hint="default"/>
      </w:rPr>
    </w:lvl>
  </w:abstractNum>
  <w:abstractNum w:abstractNumId="55" w15:restartNumberingAfterBreak="0">
    <w:nsid w:val="5DB7045E"/>
    <w:multiLevelType w:val="hybridMultilevel"/>
    <w:tmpl w:val="90A82254"/>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56" w15:restartNumberingAfterBreak="0">
    <w:nsid w:val="5DF95BF5"/>
    <w:multiLevelType w:val="hybridMultilevel"/>
    <w:tmpl w:val="A50C6106"/>
    <w:lvl w:ilvl="0" w:tplc="B57E5448">
      <w:numFmt w:val="bullet"/>
      <w:lvlText w:val="-"/>
      <w:lvlJc w:val="left"/>
      <w:pPr>
        <w:ind w:left="1170" w:hanging="360"/>
      </w:pPr>
      <w:rPr>
        <w:rFonts w:ascii="GHEA Grapalat" w:eastAsiaTheme="minorHAnsi" w:hAnsi="GHEA Grapalat" w:cs="Sylfaen" w:hint="default"/>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start w:val="1"/>
      <w:numFmt w:val="bullet"/>
      <w:lvlText w:val=""/>
      <w:lvlJc w:val="left"/>
      <w:pPr>
        <w:ind w:left="3330" w:hanging="360"/>
      </w:pPr>
      <w:rPr>
        <w:rFonts w:ascii="Symbol" w:hAnsi="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hint="default"/>
      </w:rPr>
    </w:lvl>
    <w:lvl w:ilvl="6" w:tplc="04090001">
      <w:start w:val="1"/>
      <w:numFmt w:val="bullet"/>
      <w:lvlText w:val=""/>
      <w:lvlJc w:val="left"/>
      <w:pPr>
        <w:ind w:left="5490" w:hanging="360"/>
      </w:pPr>
      <w:rPr>
        <w:rFonts w:ascii="Symbol" w:hAnsi="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hint="default"/>
      </w:rPr>
    </w:lvl>
  </w:abstractNum>
  <w:abstractNum w:abstractNumId="57" w15:restartNumberingAfterBreak="0">
    <w:nsid w:val="5EB916B2"/>
    <w:multiLevelType w:val="hybridMultilevel"/>
    <w:tmpl w:val="7DF0CBB2"/>
    <w:lvl w:ilvl="0" w:tplc="04090001">
      <w:start w:val="1"/>
      <w:numFmt w:val="bullet"/>
      <w:lvlText w:val=""/>
      <w:lvlJc w:val="left"/>
      <w:pPr>
        <w:ind w:left="720" w:hanging="360"/>
      </w:pPr>
      <w:rPr>
        <w:rFonts w:ascii="Symbol" w:hAnsi="Symbol" w:hint="default"/>
        <w:lang w:val="hy-AM"/>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FEB7284"/>
    <w:multiLevelType w:val="hybridMultilevel"/>
    <w:tmpl w:val="97C87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0171044"/>
    <w:multiLevelType w:val="hybridMultilevel"/>
    <w:tmpl w:val="7A905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49E436A"/>
    <w:multiLevelType w:val="hybridMultilevel"/>
    <w:tmpl w:val="51B28F1A"/>
    <w:lvl w:ilvl="0" w:tplc="78B647A6">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61" w15:restartNumberingAfterBreak="0">
    <w:nsid w:val="658D1367"/>
    <w:multiLevelType w:val="hybridMultilevel"/>
    <w:tmpl w:val="87FEA1AA"/>
    <w:lvl w:ilvl="0" w:tplc="A588E60C">
      <w:start w:val="1"/>
      <w:numFmt w:val="decimal"/>
      <w:pStyle w:val="Tables"/>
      <w:lvlText w:val="Աղյուսակ %1."/>
      <w:lvlJc w:val="left"/>
      <w:pPr>
        <w:ind w:left="1710" w:hanging="360"/>
      </w:pPr>
      <w:rPr>
        <w:rFonts w:ascii="GHEA Grapalat" w:hAnsi="GHEA Grapalat" w:hint="default"/>
        <w:b/>
        <w:i w:val="0"/>
        <w:sz w:val="22"/>
      </w:rPr>
    </w:lvl>
    <w:lvl w:ilvl="1" w:tplc="04090019">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2" w15:restartNumberingAfterBreak="0">
    <w:nsid w:val="69215923"/>
    <w:multiLevelType w:val="hybridMultilevel"/>
    <w:tmpl w:val="9E92D408"/>
    <w:lvl w:ilvl="0" w:tplc="FFFFFFFF">
      <w:start w:val="110"/>
      <w:numFmt w:val="bullet"/>
      <w:pStyle w:val="PlainText"/>
      <w:lvlText w:val="-"/>
      <w:lvlJc w:val="left"/>
      <w:pPr>
        <w:tabs>
          <w:tab w:val="num" w:pos="540"/>
        </w:tabs>
        <w:ind w:left="540" w:hanging="360"/>
      </w:pPr>
      <w:rPr>
        <w:rFonts w:ascii="Times Armenian" w:eastAsia="Times New Roman" w:hAnsi="Times Armenian" w:cs="Times New Roman" w:hint="default"/>
      </w:rPr>
    </w:lvl>
    <w:lvl w:ilvl="1" w:tplc="0419000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ABB4524"/>
    <w:multiLevelType w:val="hybridMultilevel"/>
    <w:tmpl w:val="831688D4"/>
    <w:lvl w:ilvl="0" w:tplc="0419000F">
      <w:start w:val="1"/>
      <w:numFmt w:val="bullet"/>
      <w:pStyle w:val="StyleHeading2ParanumTextLef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BE04110"/>
    <w:multiLevelType w:val="hybridMultilevel"/>
    <w:tmpl w:val="7F80D9D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BE86F86"/>
    <w:multiLevelType w:val="hybridMultilevel"/>
    <w:tmpl w:val="7C38DE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6DF945E1"/>
    <w:multiLevelType w:val="hybridMultilevel"/>
    <w:tmpl w:val="3FEA7236"/>
    <w:lvl w:ilvl="0" w:tplc="5ED8FEF2">
      <w:start w:val="1"/>
      <w:numFmt w:val="bullet"/>
      <w:pStyle w:val="ListBullet2"/>
      <w:lvlText w:val="-"/>
      <w:lvlJc w:val="left"/>
      <w:pPr>
        <w:ind w:left="720" w:hanging="360"/>
      </w:pPr>
      <w:rPr>
        <w:rFonts w:ascii="Times Armenian" w:eastAsia="Times New Roman" w:hAnsi="Times Armeni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0B46C5B"/>
    <w:multiLevelType w:val="hybridMultilevel"/>
    <w:tmpl w:val="E46A4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6D474B3"/>
    <w:multiLevelType w:val="hybridMultilevel"/>
    <w:tmpl w:val="13028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A042C27"/>
    <w:multiLevelType w:val="hybridMultilevel"/>
    <w:tmpl w:val="1F30DB82"/>
    <w:lvl w:ilvl="0" w:tplc="0A5229AC">
      <w:start w:val="1"/>
      <w:numFmt w:val="decimal"/>
      <w:pStyle w:val="Tex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A6427FB"/>
    <w:multiLevelType w:val="hybridMultilevel"/>
    <w:tmpl w:val="1A44030A"/>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1" w15:restartNumberingAfterBreak="0">
    <w:nsid w:val="7AA55D17"/>
    <w:multiLevelType w:val="hybridMultilevel"/>
    <w:tmpl w:val="E700770C"/>
    <w:lvl w:ilvl="0" w:tplc="48B8526C">
      <w:start w:val="2024"/>
      <w:numFmt w:val="bullet"/>
      <w:lvlText w:val="-"/>
      <w:lvlJc w:val="left"/>
      <w:pPr>
        <w:ind w:left="1146" w:hanging="360"/>
      </w:pPr>
      <w:rPr>
        <w:rFonts w:ascii="GHEA Grapalat" w:eastAsia="Times New Roman" w:hAnsi="GHEA Grapalat" w:cs="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2" w15:restartNumberingAfterBreak="0">
    <w:nsid w:val="7BD85B81"/>
    <w:multiLevelType w:val="hybridMultilevel"/>
    <w:tmpl w:val="3DC41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E6A78B5"/>
    <w:multiLevelType w:val="hybridMultilevel"/>
    <w:tmpl w:val="27C63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F775933"/>
    <w:multiLevelType w:val="hybridMultilevel"/>
    <w:tmpl w:val="A78ACD00"/>
    <w:lvl w:ilvl="0" w:tplc="78B647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6"/>
  </w:num>
  <w:num w:numId="3">
    <w:abstractNumId w:val="69"/>
  </w:num>
  <w:num w:numId="4">
    <w:abstractNumId w:val="63"/>
  </w:num>
  <w:num w:numId="5">
    <w:abstractNumId w:val="53"/>
  </w:num>
  <w:num w:numId="6">
    <w:abstractNumId w:val="48"/>
  </w:num>
  <w:num w:numId="7">
    <w:abstractNumId w:val="45"/>
  </w:num>
  <w:num w:numId="8">
    <w:abstractNumId w:val="1"/>
  </w:num>
  <w:num w:numId="9">
    <w:abstractNumId w:val="0"/>
  </w:num>
  <w:num w:numId="10">
    <w:abstractNumId w:val="54"/>
  </w:num>
  <w:num w:numId="11">
    <w:abstractNumId w:val="36"/>
  </w:num>
  <w:num w:numId="12">
    <w:abstractNumId w:val="62"/>
  </w:num>
  <w:num w:numId="13">
    <w:abstractNumId w:val="38"/>
  </w:num>
  <w:num w:numId="14">
    <w:abstractNumId w:val="37"/>
  </w:num>
  <w:num w:numId="15">
    <w:abstractNumId w:val="15"/>
  </w:num>
  <w:num w:numId="16">
    <w:abstractNumId w:val="61"/>
  </w:num>
  <w:num w:numId="17">
    <w:abstractNumId w:val="42"/>
  </w:num>
  <w:num w:numId="18">
    <w:abstractNumId w:val="14"/>
  </w:num>
  <w:num w:numId="19">
    <w:abstractNumId w:val="47"/>
  </w:num>
  <w:num w:numId="20">
    <w:abstractNumId w:val="19"/>
  </w:num>
  <w:num w:numId="21">
    <w:abstractNumId w:val="60"/>
  </w:num>
  <w:num w:numId="22">
    <w:abstractNumId w:val="52"/>
  </w:num>
  <w:num w:numId="23">
    <w:abstractNumId w:val="10"/>
  </w:num>
  <w:num w:numId="24">
    <w:abstractNumId w:val="59"/>
  </w:num>
  <w:num w:numId="25">
    <w:abstractNumId w:val="30"/>
  </w:num>
  <w:num w:numId="26">
    <w:abstractNumId w:val="33"/>
  </w:num>
  <w:num w:numId="27">
    <w:abstractNumId w:val="25"/>
  </w:num>
  <w:num w:numId="28">
    <w:abstractNumId w:val="51"/>
  </w:num>
  <w:num w:numId="29">
    <w:abstractNumId w:val="11"/>
  </w:num>
  <w:num w:numId="30">
    <w:abstractNumId w:val="3"/>
  </w:num>
  <w:num w:numId="31">
    <w:abstractNumId w:val="20"/>
  </w:num>
  <w:num w:numId="32">
    <w:abstractNumId w:val="67"/>
  </w:num>
  <w:num w:numId="33">
    <w:abstractNumId w:val="68"/>
  </w:num>
  <w:num w:numId="34">
    <w:abstractNumId w:val="57"/>
  </w:num>
  <w:num w:numId="35">
    <w:abstractNumId w:val="44"/>
  </w:num>
  <w:num w:numId="36">
    <w:abstractNumId w:val="4"/>
  </w:num>
  <w:num w:numId="37">
    <w:abstractNumId w:val="7"/>
  </w:num>
  <w:num w:numId="38">
    <w:abstractNumId w:val="17"/>
  </w:num>
  <w:num w:numId="39">
    <w:abstractNumId w:val="56"/>
  </w:num>
  <w:num w:numId="40">
    <w:abstractNumId w:val="70"/>
  </w:num>
  <w:num w:numId="41">
    <w:abstractNumId w:val="46"/>
  </w:num>
  <w:num w:numId="42">
    <w:abstractNumId w:val="24"/>
  </w:num>
  <w:num w:numId="43">
    <w:abstractNumId w:val="13"/>
  </w:num>
  <w:num w:numId="44">
    <w:abstractNumId w:val="27"/>
  </w:num>
  <w:num w:numId="45">
    <w:abstractNumId w:val="8"/>
  </w:num>
  <w:num w:numId="46">
    <w:abstractNumId w:val="49"/>
  </w:num>
  <w:num w:numId="47">
    <w:abstractNumId w:val="32"/>
  </w:num>
  <w:num w:numId="48">
    <w:abstractNumId w:val="50"/>
  </w:num>
  <w:num w:numId="49">
    <w:abstractNumId w:val="5"/>
  </w:num>
  <w:num w:numId="50">
    <w:abstractNumId w:val="64"/>
  </w:num>
  <w:num w:numId="51">
    <w:abstractNumId w:val="9"/>
  </w:num>
  <w:num w:numId="52">
    <w:abstractNumId w:val="26"/>
  </w:num>
  <w:num w:numId="53">
    <w:abstractNumId w:val="55"/>
  </w:num>
  <w:num w:numId="54">
    <w:abstractNumId w:val="22"/>
  </w:num>
  <w:num w:numId="55">
    <w:abstractNumId w:val="41"/>
  </w:num>
  <w:num w:numId="56">
    <w:abstractNumId w:val="71"/>
  </w:num>
  <w:num w:numId="57">
    <w:abstractNumId w:val="34"/>
  </w:num>
  <w:num w:numId="58">
    <w:abstractNumId w:val="65"/>
  </w:num>
  <w:num w:numId="59">
    <w:abstractNumId w:val="39"/>
  </w:num>
  <w:num w:numId="60">
    <w:abstractNumId w:val="73"/>
  </w:num>
  <w:num w:numId="61">
    <w:abstractNumId w:val="12"/>
  </w:num>
  <w:num w:numId="62">
    <w:abstractNumId w:val="2"/>
  </w:num>
  <w:num w:numId="63">
    <w:abstractNumId w:val="58"/>
  </w:num>
  <w:num w:numId="64">
    <w:abstractNumId w:val="31"/>
  </w:num>
  <w:num w:numId="65">
    <w:abstractNumId w:val="40"/>
  </w:num>
  <w:num w:numId="66">
    <w:abstractNumId w:val="35"/>
  </w:num>
  <w:num w:numId="67">
    <w:abstractNumId w:val="74"/>
  </w:num>
  <w:num w:numId="68">
    <w:abstractNumId w:val="28"/>
  </w:num>
  <w:num w:numId="69">
    <w:abstractNumId w:val="6"/>
  </w:num>
  <w:num w:numId="70">
    <w:abstractNumId w:val="18"/>
  </w:num>
  <w:num w:numId="71">
    <w:abstractNumId w:val="21"/>
  </w:num>
  <w:num w:numId="72">
    <w:abstractNumId w:val="43"/>
  </w:num>
  <w:num w:numId="73">
    <w:abstractNumId w:val="72"/>
  </w:num>
  <w:num w:numId="74">
    <w:abstractNumId w:val="1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activeWritingStyle w:appName="MSWord" w:lang="fr-FR"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ru-RU"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en-GB" w:vendorID="64" w:dllVersion="4096" w:nlCheck="1" w:checkStyle="0"/>
  <w:activeWritingStyle w:appName="MSWord" w:lang="it-IT" w:vendorID="64" w:dllVersion="4096" w:nlCheck="1" w:checkStyle="0"/>
  <w:activeWritingStyle w:appName="MSWord" w:lang="en-PH"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7712"/>
    <w:rsid w:val="00000C04"/>
    <w:rsid w:val="00000E2D"/>
    <w:rsid w:val="0000131E"/>
    <w:rsid w:val="00001792"/>
    <w:rsid w:val="00001B7F"/>
    <w:rsid w:val="00001D60"/>
    <w:rsid w:val="00001EB0"/>
    <w:rsid w:val="00002163"/>
    <w:rsid w:val="00002289"/>
    <w:rsid w:val="0000241B"/>
    <w:rsid w:val="00002BFC"/>
    <w:rsid w:val="000030DA"/>
    <w:rsid w:val="00003327"/>
    <w:rsid w:val="00003812"/>
    <w:rsid w:val="00003D9B"/>
    <w:rsid w:val="000045D9"/>
    <w:rsid w:val="00004807"/>
    <w:rsid w:val="000048AC"/>
    <w:rsid w:val="00004A4C"/>
    <w:rsid w:val="00004B36"/>
    <w:rsid w:val="00004B4A"/>
    <w:rsid w:val="000056C3"/>
    <w:rsid w:val="00005BEA"/>
    <w:rsid w:val="00005DA7"/>
    <w:rsid w:val="00006265"/>
    <w:rsid w:val="000068F4"/>
    <w:rsid w:val="00006BCE"/>
    <w:rsid w:val="00006FF5"/>
    <w:rsid w:val="0000757E"/>
    <w:rsid w:val="000076AD"/>
    <w:rsid w:val="0000784F"/>
    <w:rsid w:val="0000787C"/>
    <w:rsid w:val="00007A08"/>
    <w:rsid w:val="00007BB6"/>
    <w:rsid w:val="000102B4"/>
    <w:rsid w:val="00010660"/>
    <w:rsid w:val="000108DE"/>
    <w:rsid w:val="00010C9F"/>
    <w:rsid w:val="0001133C"/>
    <w:rsid w:val="00011747"/>
    <w:rsid w:val="00011C4D"/>
    <w:rsid w:val="00011E49"/>
    <w:rsid w:val="00012290"/>
    <w:rsid w:val="000123D5"/>
    <w:rsid w:val="0001311A"/>
    <w:rsid w:val="0001324E"/>
    <w:rsid w:val="00013413"/>
    <w:rsid w:val="00013809"/>
    <w:rsid w:val="000139F0"/>
    <w:rsid w:val="00013DB1"/>
    <w:rsid w:val="00013F46"/>
    <w:rsid w:val="0001449F"/>
    <w:rsid w:val="000144D6"/>
    <w:rsid w:val="000147A7"/>
    <w:rsid w:val="000147B9"/>
    <w:rsid w:val="000148FC"/>
    <w:rsid w:val="00014A35"/>
    <w:rsid w:val="00014FD2"/>
    <w:rsid w:val="00015416"/>
    <w:rsid w:val="00015655"/>
    <w:rsid w:val="00015B69"/>
    <w:rsid w:val="00015BFA"/>
    <w:rsid w:val="0001623D"/>
    <w:rsid w:val="000163F7"/>
    <w:rsid w:val="00016731"/>
    <w:rsid w:val="000169D1"/>
    <w:rsid w:val="00016AEC"/>
    <w:rsid w:val="000173AD"/>
    <w:rsid w:val="0001753D"/>
    <w:rsid w:val="000177C6"/>
    <w:rsid w:val="0002016C"/>
    <w:rsid w:val="00020693"/>
    <w:rsid w:val="00020CD6"/>
    <w:rsid w:val="00020E3C"/>
    <w:rsid w:val="0002109A"/>
    <w:rsid w:val="00021391"/>
    <w:rsid w:val="000213D2"/>
    <w:rsid w:val="0002170C"/>
    <w:rsid w:val="000220DA"/>
    <w:rsid w:val="00022603"/>
    <w:rsid w:val="00023171"/>
    <w:rsid w:val="00023246"/>
    <w:rsid w:val="0002346F"/>
    <w:rsid w:val="0002358C"/>
    <w:rsid w:val="0002364A"/>
    <w:rsid w:val="00023799"/>
    <w:rsid w:val="000237F2"/>
    <w:rsid w:val="00023911"/>
    <w:rsid w:val="000243EB"/>
    <w:rsid w:val="000243F4"/>
    <w:rsid w:val="00024F24"/>
    <w:rsid w:val="000252EA"/>
    <w:rsid w:val="0002572A"/>
    <w:rsid w:val="000257D7"/>
    <w:rsid w:val="00025871"/>
    <w:rsid w:val="00025BE2"/>
    <w:rsid w:val="00025DF2"/>
    <w:rsid w:val="00025E82"/>
    <w:rsid w:val="000266F4"/>
    <w:rsid w:val="00026AFA"/>
    <w:rsid w:val="0002700E"/>
    <w:rsid w:val="000271C2"/>
    <w:rsid w:val="00027FBF"/>
    <w:rsid w:val="00030161"/>
    <w:rsid w:val="00030424"/>
    <w:rsid w:val="00030DB1"/>
    <w:rsid w:val="0003153D"/>
    <w:rsid w:val="00031D3A"/>
    <w:rsid w:val="000321E8"/>
    <w:rsid w:val="000322A5"/>
    <w:rsid w:val="00032581"/>
    <w:rsid w:val="00032B9B"/>
    <w:rsid w:val="00033356"/>
    <w:rsid w:val="00033370"/>
    <w:rsid w:val="00033572"/>
    <w:rsid w:val="00033587"/>
    <w:rsid w:val="0003375D"/>
    <w:rsid w:val="00033984"/>
    <w:rsid w:val="00033C8B"/>
    <w:rsid w:val="00033D44"/>
    <w:rsid w:val="0003413E"/>
    <w:rsid w:val="00034178"/>
    <w:rsid w:val="00034648"/>
    <w:rsid w:val="000346B3"/>
    <w:rsid w:val="000347CE"/>
    <w:rsid w:val="000347E3"/>
    <w:rsid w:val="00034A9D"/>
    <w:rsid w:val="0003558C"/>
    <w:rsid w:val="000355C9"/>
    <w:rsid w:val="00035D1C"/>
    <w:rsid w:val="0003612A"/>
    <w:rsid w:val="0003683A"/>
    <w:rsid w:val="00036E13"/>
    <w:rsid w:val="00037081"/>
    <w:rsid w:val="000371D5"/>
    <w:rsid w:val="000372BA"/>
    <w:rsid w:val="00037AB5"/>
    <w:rsid w:val="00037AFC"/>
    <w:rsid w:val="00037B1F"/>
    <w:rsid w:val="00037D17"/>
    <w:rsid w:val="00037F8A"/>
    <w:rsid w:val="00040371"/>
    <w:rsid w:val="000410F9"/>
    <w:rsid w:val="000414CA"/>
    <w:rsid w:val="000414CC"/>
    <w:rsid w:val="00041F9E"/>
    <w:rsid w:val="00042787"/>
    <w:rsid w:val="000427F7"/>
    <w:rsid w:val="00042B2E"/>
    <w:rsid w:val="00042C07"/>
    <w:rsid w:val="00042CD9"/>
    <w:rsid w:val="00042D9E"/>
    <w:rsid w:val="00043388"/>
    <w:rsid w:val="00043421"/>
    <w:rsid w:val="000434B1"/>
    <w:rsid w:val="00043E90"/>
    <w:rsid w:val="00043F36"/>
    <w:rsid w:val="000440A3"/>
    <w:rsid w:val="0004480B"/>
    <w:rsid w:val="00045E3A"/>
    <w:rsid w:val="0004603A"/>
    <w:rsid w:val="0004655D"/>
    <w:rsid w:val="000466B1"/>
    <w:rsid w:val="00046959"/>
    <w:rsid w:val="000473D4"/>
    <w:rsid w:val="00047B46"/>
    <w:rsid w:val="00047C7F"/>
    <w:rsid w:val="00047E4C"/>
    <w:rsid w:val="000500D2"/>
    <w:rsid w:val="000501A7"/>
    <w:rsid w:val="000501C2"/>
    <w:rsid w:val="000505B4"/>
    <w:rsid w:val="00050EFF"/>
    <w:rsid w:val="000515D9"/>
    <w:rsid w:val="000516CC"/>
    <w:rsid w:val="0005176E"/>
    <w:rsid w:val="0005179C"/>
    <w:rsid w:val="000520D0"/>
    <w:rsid w:val="00052380"/>
    <w:rsid w:val="0005274F"/>
    <w:rsid w:val="00052C8D"/>
    <w:rsid w:val="00052F87"/>
    <w:rsid w:val="00053116"/>
    <w:rsid w:val="00053709"/>
    <w:rsid w:val="00053CF6"/>
    <w:rsid w:val="0005404C"/>
    <w:rsid w:val="000540D6"/>
    <w:rsid w:val="0005461A"/>
    <w:rsid w:val="00054D48"/>
    <w:rsid w:val="00055783"/>
    <w:rsid w:val="00055F53"/>
    <w:rsid w:val="00056009"/>
    <w:rsid w:val="00056182"/>
    <w:rsid w:val="0005665D"/>
    <w:rsid w:val="00056866"/>
    <w:rsid w:val="00056F87"/>
    <w:rsid w:val="000572A2"/>
    <w:rsid w:val="000573ED"/>
    <w:rsid w:val="00057632"/>
    <w:rsid w:val="0005780F"/>
    <w:rsid w:val="00057BA9"/>
    <w:rsid w:val="000601EE"/>
    <w:rsid w:val="00060470"/>
    <w:rsid w:val="0006050F"/>
    <w:rsid w:val="00061422"/>
    <w:rsid w:val="000616C1"/>
    <w:rsid w:val="0006181E"/>
    <w:rsid w:val="00061877"/>
    <w:rsid w:val="0006190C"/>
    <w:rsid w:val="00061BFA"/>
    <w:rsid w:val="00061E00"/>
    <w:rsid w:val="00061EB6"/>
    <w:rsid w:val="000621D1"/>
    <w:rsid w:val="000630C0"/>
    <w:rsid w:val="00063142"/>
    <w:rsid w:val="00063485"/>
    <w:rsid w:val="000635F8"/>
    <w:rsid w:val="00063D12"/>
    <w:rsid w:val="00063F7A"/>
    <w:rsid w:val="000648E7"/>
    <w:rsid w:val="000652C0"/>
    <w:rsid w:val="0006559C"/>
    <w:rsid w:val="000656F0"/>
    <w:rsid w:val="00065E90"/>
    <w:rsid w:val="00066B40"/>
    <w:rsid w:val="0006727C"/>
    <w:rsid w:val="00067311"/>
    <w:rsid w:val="000674A2"/>
    <w:rsid w:val="0006757C"/>
    <w:rsid w:val="000707D9"/>
    <w:rsid w:val="00070CAE"/>
    <w:rsid w:val="00070FC3"/>
    <w:rsid w:val="0007137A"/>
    <w:rsid w:val="000715B2"/>
    <w:rsid w:val="0007188C"/>
    <w:rsid w:val="00071A75"/>
    <w:rsid w:val="00071C2A"/>
    <w:rsid w:val="000725F0"/>
    <w:rsid w:val="00072BEF"/>
    <w:rsid w:val="00072C98"/>
    <w:rsid w:val="000731F7"/>
    <w:rsid w:val="000739AC"/>
    <w:rsid w:val="00073A85"/>
    <w:rsid w:val="00073EE2"/>
    <w:rsid w:val="0007423A"/>
    <w:rsid w:val="00074D79"/>
    <w:rsid w:val="00074F9B"/>
    <w:rsid w:val="00075040"/>
    <w:rsid w:val="000750BE"/>
    <w:rsid w:val="00075431"/>
    <w:rsid w:val="000760B6"/>
    <w:rsid w:val="000761B0"/>
    <w:rsid w:val="0007665D"/>
    <w:rsid w:val="0007672E"/>
    <w:rsid w:val="00076CE9"/>
    <w:rsid w:val="00076FEA"/>
    <w:rsid w:val="000771B3"/>
    <w:rsid w:val="000776D9"/>
    <w:rsid w:val="000777B6"/>
    <w:rsid w:val="000777E1"/>
    <w:rsid w:val="00080951"/>
    <w:rsid w:val="00080FF0"/>
    <w:rsid w:val="00081260"/>
    <w:rsid w:val="000813B9"/>
    <w:rsid w:val="00081BF0"/>
    <w:rsid w:val="00082071"/>
    <w:rsid w:val="00082280"/>
    <w:rsid w:val="000822AA"/>
    <w:rsid w:val="000825DA"/>
    <w:rsid w:val="00082A04"/>
    <w:rsid w:val="000834DF"/>
    <w:rsid w:val="000836FC"/>
    <w:rsid w:val="000838D8"/>
    <w:rsid w:val="00083C3E"/>
    <w:rsid w:val="00083F38"/>
    <w:rsid w:val="00083F9C"/>
    <w:rsid w:val="00084A46"/>
    <w:rsid w:val="00085490"/>
    <w:rsid w:val="00085674"/>
    <w:rsid w:val="00085A0D"/>
    <w:rsid w:val="00085C56"/>
    <w:rsid w:val="00085D43"/>
    <w:rsid w:val="0008602E"/>
    <w:rsid w:val="000864E5"/>
    <w:rsid w:val="00086994"/>
    <w:rsid w:val="00086B99"/>
    <w:rsid w:val="00086E52"/>
    <w:rsid w:val="00086F85"/>
    <w:rsid w:val="000873BC"/>
    <w:rsid w:val="00087A4B"/>
    <w:rsid w:val="00087BCF"/>
    <w:rsid w:val="00087CB3"/>
    <w:rsid w:val="00087E63"/>
    <w:rsid w:val="000901E7"/>
    <w:rsid w:val="000902F4"/>
    <w:rsid w:val="000904DB"/>
    <w:rsid w:val="00090937"/>
    <w:rsid w:val="00090D23"/>
    <w:rsid w:val="00090E74"/>
    <w:rsid w:val="00091448"/>
    <w:rsid w:val="000915B0"/>
    <w:rsid w:val="00091973"/>
    <w:rsid w:val="00091F97"/>
    <w:rsid w:val="0009242E"/>
    <w:rsid w:val="00092701"/>
    <w:rsid w:val="0009272D"/>
    <w:rsid w:val="00092C8E"/>
    <w:rsid w:val="000930EC"/>
    <w:rsid w:val="00093193"/>
    <w:rsid w:val="0009342F"/>
    <w:rsid w:val="00093B3A"/>
    <w:rsid w:val="00093B64"/>
    <w:rsid w:val="00093BE6"/>
    <w:rsid w:val="00094160"/>
    <w:rsid w:val="00094711"/>
    <w:rsid w:val="00095686"/>
    <w:rsid w:val="00095699"/>
    <w:rsid w:val="000956EC"/>
    <w:rsid w:val="000957ED"/>
    <w:rsid w:val="00095F7E"/>
    <w:rsid w:val="00096AEA"/>
    <w:rsid w:val="00097368"/>
    <w:rsid w:val="00097DA7"/>
    <w:rsid w:val="000A00B0"/>
    <w:rsid w:val="000A04D5"/>
    <w:rsid w:val="000A04E6"/>
    <w:rsid w:val="000A0FD9"/>
    <w:rsid w:val="000A10A8"/>
    <w:rsid w:val="000A1112"/>
    <w:rsid w:val="000A12D0"/>
    <w:rsid w:val="000A16DA"/>
    <w:rsid w:val="000A1ACB"/>
    <w:rsid w:val="000A1ED4"/>
    <w:rsid w:val="000A24F1"/>
    <w:rsid w:val="000A2D88"/>
    <w:rsid w:val="000A2F61"/>
    <w:rsid w:val="000A311D"/>
    <w:rsid w:val="000A357A"/>
    <w:rsid w:val="000A40F8"/>
    <w:rsid w:val="000A452F"/>
    <w:rsid w:val="000A48B4"/>
    <w:rsid w:val="000A48F4"/>
    <w:rsid w:val="000A4CA2"/>
    <w:rsid w:val="000A4ED8"/>
    <w:rsid w:val="000A590C"/>
    <w:rsid w:val="000A5CC9"/>
    <w:rsid w:val="000A5D25"/>
    <w:rsid w:val="000A5F92"/>
    <w:rsid w:val="000A601C"/>
    <w:rsid w:val="000A61AD"/>
    <w:rsid w:val="000A6BA3"/>
    <w:rsid w:val="000A7082"/>
    <w:rsid w:val="000A71E3"/>
    <w:rsid w:val="000A724B"/>
    <w:rsid w:val="000A7435"/>
    <w:rsid w:val="000A7B14"/>
    <w:rsid w:val="000A7D65"/>
    <w:rsid w:val="000B003A"/>
    <w:rsid w:val="000B0108"/>
    <w:rsid w:val="000B0278"/>
    <w:rsid w:val="000B0329"/>
    <w:rsid w:val="000B03B5"/>
    <w:rsid w:val="000B0C32"/>
    <w:rsid w:val="000B0FAC"/>
    <w:rsid w:val="000B158C"/>
    <w:rsid w:val="000B15F2"/>
    <w:rsid w:val="000B25DD"/>
    <w:rsid w:val="000B289D"/>
    <w:rsid w:val="000B3179"/>
    <w:rsid w:val="000B32C2"/>
    <w:rsid w:val="000B3300"/>
    <w:rsid w:val="000B3E21"/>
    <w:rsid w:val="000B3F74"/>
    <w:rsid w:val="000B4927"/>
    <w:rsid w:val="000B4BCE"/>
    <w:rsid w:val="000B509C"/>
    <w:rsid w:val="000B52C3"/>
    <w:rsid w:val="000B58F0"/>
    <w:rsid w:val="000B5CD7"/>
    <w:rsid w:val="000B5DB4"/>
    <w:rsid w:val="000B6107"/>
    <w:rsid w:val="000B63EA"/>
    <w:rsid w:val="000B6441"/>
    <w:rsid w:val="000B65F1"/>
    <w:rsid w:val="000B6D9D"/>
    <w:rsid w:val="000B75BE"/>
    <w:rsid w:val="000B794F"/>
    <w:rsid w:val="000B7FF5"/>
    <w:rsid w:val="000C0823"/>
    <w:rsid w:val="000C08F1"/>
    <w:rsid w:val="000C09D2"/>
    <w:rsid w:val="000C17D5"/>
    <w:rsid w:val="000C192F"/>
    <w:rsid w:val="000C1D88"/>
    <w:rsid w:val="000C2585"/>
    <w:rsid w:val="000C298C"/>
    <w:rsid w:val="000C2B0B"/>
    <w:rsid w:val="000C2B15"/>
    <w:rsid w:val="000C2DB0"/>
    <w:rsid w:val="000C2E00"/>
    <w:rsid w:val="000C2FAA"/>
    <w:rsid w:val="000C3320"/>
    <w:rsid w:val="000C3FE3"/>
    <w:rsid w:val="000C41A9"/>
    <w:rsid w:val="000C4318"/>
    <w:rsid w:val="000C45CA"/>
    <w:rsid w:val="000C4759"/>
    <w:rsid w:val="000C48F0"/>
    <w:rsid w:val="000C4DD5"/>
    <w:rsid w:val="000C52B6"/>
    <w:rsid w:val="000C59A3"/>
    <w:rsid w:val="000C5B3C"/>
    <w:rsid w:val="000C5EB8"/>
    <w:rsid w:val="000C6882"/>
    <w:rsid w:val="000C6AA3"/>
    <w:rsid w:val="000C6B4C"/>
    <w:rsid w:val="000C6C6A"/>
    <w:rsid w:val="000C6F33"/>
    <w:rsid w:val="000C70BB"/>
    <w:rsid w:val="000C7250"/>
    <w:rsid w:val="000C75CA"/>
    <w:rsid w:val="000D0270"/>
    <w:rsid w:val="000D0B4B"/>
    <w:rsid w:val="000D0C18"/>
    <w:rsid w:val="000D0D59"/>
    <w:rsid w:val="000D1829"/>
    <w:rsid w:val="000D18CE"/>
    <w:rsid w:val="000D1CA7"/>
    <w:rsid w:val="000D1FAE"/>
    <w:rsid w:val="000D2248"/>
    <w:rsid w:val="000D242E"/>
    <w:rsid w:val="000D289E"/>
    <w:rsid w:val="000D2FDF"/>
    <w:rsid w:val="000D36C9"/>
    <w:rsid w:val="000D3DE3"/>
    <w:rsid w:val="000D4082"/>
    <w:rsid w:val="000D427D"/>
    <w:rsid w:val="000D4925"/>
    <w:rsid w:val="000D492A"/>
    <w:rsid w:val="000D4B3C"/>
    <w:rsid w:val="000D529E"/>
    <w:rsid w:val="000D57AF"/>
    <w:rsid w:val="000D57C2"/>
    <w:rsid w:val="000D5FF3"/>
    <w:rsid w:val="000D6082"/>
    <w:rsid w:val="000D6631"/>
    <w:rsid w:val="000D6650"/>
    <w:rsid w:val="000D6A06"/>
    <w:rsid w:val="000E01FF"/>
    <w:rsid w:val="000E047D"/>
    <w:rsid w:val="000E11D7"/>
    <w:rsid w:val="000E124F"/>
    <w:rsid w:val="000E1796"/>
    <w:rsid w:val="000E1ACF"/>
    <w:rsid w:val="000E1B09"/>
    <w:rsid w:val="000E266A"/>
    <w:rsid w:val="000E2AFD"/>
    <w:rsid w:val="000E2B8D"/>
    <w:rsid w:val="000E2C2E"/>
    <w:rsid w:val="000E2C52"/>
    <w:rsid w:val="000E2D3F"/>
    <w:rsid w:val="000E304E"/>
    <w:rsid w:val="000E3398"/>
    <w:rsid w:val="000E364E"/>
    <w:rsid w:val="000E4178"/>
    <w:rsid w:val="000E42B3"/>
    <w:rsid w:val="000E45A1"/>
    <w:rsid w:val="000E4FB1"/>
    <w:rsid w:val="000E5840"/>
    <w:rsid w:val="000E5B74"/>
    <w:rsid w:val="000E5D71"/>
    <w:rsid w:val="000E61BB"/>
    <w:rsid w:val="000E628B"/>
    <w:rsid w:val="000E65CF"/>
    <w:rsid w:val="000E6666"/>
    <w:rsid w:val="000E68DD"/>
    <w:rsid w:val="000E742F"/>
    <w:rsid w:val="000E74D0"/>
    <w:rsid w:val="000E76D9"/>
    <w:rsid w:val="000E7B84"/>
    <w:rsid w:val="000E7C99"/>
    <w:rsid w:val="000E7C9B"/>
    <w:rsid w:val="000F0860"/>
    <w:rsid w:val="000F0A95"/>
    <w:rsid w:val="000F0E34"/>
    <w:rsid w:val="000F11D1"/>
    <w:rsid w:val="000F13F6"/>
    <w:rsid w:val="000F1567"/>
    <w:rsid w:val="000F1571"/>
    <w:rsid w:val="000F16EF"/>
    <w:rsid w:val="000F170B"/>
    <w:rsid w:val="000F18AB"/>
    <w:rsid w:val="000F1B14"/>
    <w:rsid w:val="000F261B"/>
    <w:rsid w:val="000F279F"/>
    <w:rsid w:val="000F2BE9"/>
    <w:rsid w:val="000F2EC9"/>
    <w:rsid w:val="000F2EF7"/>
    <w:rsid w:val="000F30ED"/>
    <w:rsid w:val="000F35D3"/>
    <w:rsid w:val="000F38D0"/>
    <w:rsid w:val="000F3F9C"/>
    <w:rsid w:val="000F426E"/>
    <w:rsid w:val="000F449D"/>
    <w:rsid w:val="000F464F"/>
    <w:rsid w:val="000F4657"/>
    <w:rsid w:val="000F509C"/>
    <w:rsid w:val="000F5235"/>
    <w:rsid w:val="000F54F8"/>
    <w:rsid w:val="000F5883"/>
    <w:rsid w:val="000F5B01"/>
    <w:rsid w:val="000F61C2"/>
    <w:rsid w:val="000F64C4"/>
    <w:rsid w:val="000F6825"/>
    <w:rsid w:val="000F6AC4"/>
    <w:rsid w:val="000F6D3E"/>
    <w:rsid w:val="000F6D9A"/>
    <w:rsid w:val="000F6FF9"/>
    <w:rsid w:val="000F70B6"/>
    <w:rsid w:val="000F719C"/>
    <w:rsid w:val="000F7200"/>
    <w:rsid w:val="000F7512"/>
    <w:rsid w:val="000F75FC"/>
    <w:rsid w:val="000F7976"/>
    <w:rsid w:val="000F7DDA"/>
    <w:rsid w:val="00100580"/>
    <w:rsid w:val="001008FA"/>
    <w:rsid w:val="00100A6A"/>
    <w:rsid w:val="00100C82"/>
    <w:rsid w:val="001012CC"/>
    <w:rsid w:val="00101E4C"/>
    <w:rsid w:val="00101E68"/>
    <w:rsid w:val="00102199"/>
    <w:rsid w:val="0010284D"/>
    <w:rsid w:val="00102CDE"/>
    <w:rsid w:val="001030CD"/>
    <w:rsid w:val="00103791"/>
    <w:rsid w:val="00103C56"/>
    <w:rsid w:val="00103C9F"/>
    <w:rsid w:val="0010468C"/>
    <w:rsid w:val="001048A0"/>
    <w:rsid w:val="00104AA3"/>
    <w:rsid w:val="00105401"/>
    <w:rsid w:val="00105608"/>
    <w:rsid w:val="0010572B"/>
    <w:rsid w:val="00105784"/>
    <w:rsid w:val="00105BD3"/>
    <w:rsid w:val="00105D71"/>
    <w:rsid w:val="00105E7D"/>
    <w:rsid w:val="0010619F"/>
    <w:rsid w:val="0010649A"/>
    <w:rsid w:val="00106992"/>
    <w:rsid w:val="00106B70"/>
    <w:rsid w:val="00106C90"/>
    <w:rsid w:val="00107185"/>
    <w:rsid w:val="001071BD"/>
    <w:rsid w:val="001075C3"/>
    <w:rsid w:val="00107D3A"/>
    <w:rsid w:val="001103B6"/>
    <w:rsid w:val="00110C45"/>
    <w:rsid w:val="00110CA3"/>
    <w:rsid w:val="00110D7D"/>
    <w:rsid w:val="0011115D"/>
    <w:rsid w:val="00111284"/>
    <w:rsid w:val="001112F4"/>
    <w:rsid w:val="001113EE"/>
    <w:rsid w:val="00111420"/>
    <w:rsid w:val="0011175E"/>
    <w:rsid w:val="00111D6D"/>
    <w:rsid w:val="00111DD9"/>
    <w:rsid w:val="00111F20"/>
    <w:rsid w:val="00112578"/>
    <w:rsid w:val="001127C9"/>
    <w:rsid w:val="00112976"/>
    <w:rsid w:val="00112D7E"/>
    <w:rsid w:val="00112E2F"/>
    <w:rsid w:val="00112FFA"/>
    <w:rsid w:val="0011340D"/>
    <w:rsid w:val="00113925"/>
    <w:rsid w:val="0011394D"/>
    <w:rsid w:val="00113982"/>
    <w:rsid w:val="00114403"/>
    <w:rsid w:val="0011441B"/>
    <w:rsid w:val="00114D7E"/>
    <w:rsid w:val="0011542B"/>
    <w:rsid w:val="0011549E"/>
    <w:rsid w:val="0011558E"/>
    <w:rsid w:val="00115637"/>
    <w:rsid w:val="00115664"/>
    <w:rsid w:val="00115728"/>
    <w:rsid w:val="001159DC"/>
    <w:rsid w:val="00115AFA"/>
    <w:rsid w:val="00115E01"/>
    <w:rsid w:val="00116136"/>
    <w:rsid w:val="00116524"/>
    <w:rsid w:val="0011656D"/>
    <w:rsid w:val="0011689D"/>
    <w:rsid w:val="00116E97"/>
    <w:rsid w:val="00117380"/>
    <w:rsid w:val="001203B6"/>
    <w:rsid w:val="0012088D"/>
    <w:rsid w:val="00120BC8"/>
    <w:rsid w:val="00120F10"/>
    <w:rsid w:val="00121255"/>
    <w:rsid w:val="00121268"/>
    <w:rsid w:val="0012288D"/>
    <w:rsid w:val="001232C6"/>
    <w:rsid w:val="001233BD"/>
    <w:rsid w:val="0012366A"/>
    <w:rsid w:val="00123F2C"/>
    <w:rsid w:val="00124431"/>
    <w:rsid w:val="00124894"/>
    <w:rsid w:val="00124D7E"/>
    <w:rsid w:val="00124E5B"/>
    <w:rsid w:val="00124FAE"/>
    <w:rsid w:val="0012581D"/>
    <w:rsid w:val="001259BD"/>
    <w:rsid w:val="00125CE6"/>
    <w:rsid w:val="00125DBD"/>
    <w:rsid w:val="00126071"/>
    <w:rsid w:val="0012607D"/>
    <w:rsid w:val="0012680E"/>
    <w:rsid w:val="0012683B"/>
    <w:rsid w:val="001268F2"/>
    <w:rsid w:val="00126929"/>
    <w:rsid w:val="00127BFD"/>
    <w:rsid w:val="00127C39"/>
    <w:rsid w:val="00130070"/>
    <w:rsid w:val="00130243"/>
    <w:rsid w:val="0013106F"/>
    <w:rsid w:val="001311F4"/>
    <w:rsid w:val="00131492"/>
    <w:rsid w:val="00131BF9"/>
    <w:rsid w:val="00131E98"/>
    <w:rsid w:val="00132111"/>
    <w:rsid w:val="00132299"/>
    <w:rsid w:val="0013281A"/>
    <w:rsid w:val="00132DFF"/>
    <w:rsid w:val="00132EB6"/>
    <w:rsid w:val="001336A5"/>
    <w:rsid w:val="001336E7"/>
    <w:rsid w:val="00133B15"/>
    <w:rsid w:val="00133E5A"/>
    <w:rsid w:val="00134360"/>
    <w:rsid w:val="001348D3"/>
    <w:rsid w:val="00134A7A"/>
    <w:rsid w:val="00134AC3"/>
    <w:rsid w:val="00135663"/>
    <w:rsid w:val="00135A72"/>
    <w:rsid w:val="00135FF8"/>
    <w:rsid w:val="00136146"/>
    <w:rsid w:val="001367AD"/>
    <w:rsid w:val="001368C7"/>
    <w:rsid w:val="00136A0B"/>
    <w:rsid w:val="00136A8C"/>
    <w:rsid w:val="00136E24"/>
    <w:rsid w:val="0013717F"/>
    <w:rsid w:val="0013789F"/>
    <w:rsid w:val="001378BB"/>
    <w:rsid w:val="00137B5C"/>
    <w:rsid w:val="00137B74"/>
    <w:rsid w:val="00140251"/>
    <w:rsid w:val="0014042E"/>
    <w:rsid w:val="00140A93"/>
    <w:rsid w:val="00141785"/>
    <w:rsid w:val="00141C69"/>
    <w:rsid w:val="00141D6E"/>
    <w:rsid w:val="00141F7E"/>
    <w:rsid w:val="001429A5"/>
    <w:rsid w:val="00142AC3"/>
    <w:rsid w:val="00142FFC"/>
    <w:rsid w:val="00143822"/>
    <w:rsid w:val="0014388D"/>
    <w:rsid w:val="00143F46"/>
    <w:rsid w:val="0014478B"/>
    <w:rsid w:val="00144B46"/>
    <w:rsid w:val="00145A8A"/>
    <w:rsid w:val="00145BAD"/>
    <w:rsid w:val="00145D78"/>
    <w:rsid w:val="0014632C"/>
    <w:rsid w:val="001466DC"/>
    <w:rsid w:val="00146920"/>
    <w:rsid w:val="00146CE8"/>
    <w:rsid w:val="00147119"/>
    <w:rsid w:val="001473BB"/>
    <w:rsid w:val="00147C59"/>
    <w:rsid w:val="00150088"/>
    <w:rsid w:val="00150740"/>
    <w:rsid w:val="0015105B"/>
    <w:rsid w:val="00151218"/>
    <w:rsid w:val="001514D2"/>
    <w:rsid w:val="00151C57"/>
    <w:rsid w:val="001524DB"/>
    <w:rsid w:val="0015274B"/>
    <w:rsid w:val="00152838"/>
    <w:rsid w:val="00152974"/>
    <w:rsid w:val="00152A51"/>
    <w:rsid w:val="00152A78"/>
    <w:rsid w:val="0015327B"/>
    <w:rsid w:val="001532CF"/>
    <w:rsid w:val="00153334"/>
    <w:rsid w:val="0015392B"/>
    <w:rsid w:val="00153CC5"/>
    <w:rsid w:val="00153EE6"/>
    <w:rsid w:val="00154F3D"/>
    <w:rsid w:val="00155004"/>
    <w:rsid w:val="001550EC"/>
    <w:rsid w:val="00155302"/>
    <w:rsid w:val="001554FA"/>
    <w:rsid w:val="00155864"/>
    <w:rsid w:val="00155BC3"/>
    <w:rsid w:val="00155BCD"/>
    <w:rsid w:val="00155C9D"/>
    <w:rsid w:val="00156327"/>
    <w:rsid w:val="001569BE"/>
    <w:rsid w:val="00156B66"/>
    <w:rsid w:val="00156C26"/>
    <w:rsid w:val="00156D52"/>
    <w:rsid w:val="00160162"/>
    <w:rsid w:val="001604B0"/>
    <w:rsid w:val="00160C41"/>
    <w:rsid w:val="00161CBE"/>
    <w:rsid w:val="00161D5E"/>
    <w:rsid w:val="00162306"/>
    <w:rsid w:val="00162512"/>
    <w:rsid w:val="0016274B"/>
    <w:rsid w:val="00162A72"/>
    <w:rsid w:val="00162C29"/>
    <w:rsid w:val="00162C8B"/>
    <w:rsid w:val="00162D6A"/>
    <w:rsid w:val="00162F40"/>
    <w:rsid w:val="00162F6B"/>
    <w:rsid w:val="00162F8D"/>
    <w:rsid w:val="00163034"/>
    <w:rsid w:val="00163138"/>
    <w:rsid w:val="0016318A"/>
    <w:rsid w:val="001632C3"/>
    <w:rsid w:val="00163CE1"/>
    <w:rsid w:val="00163ECF"/>
    <w:rsid w:val="00163FF4"/>
    <w:rsid w:val="00165198"/>
    <w:rsid w:val="00166272"/>
    <w:rsid w:val="00166379"/>
    <w:rsid w:val="001664B1"/>
    <w:rsid w:val="001665DF"/>
    <w:rsid w:val="0016667C"/>
    <w:rsid w:val="00167130"/>
    <w:rsid w:val="001672A7"/>
    <w:rsid w:val="00167E80"/>
    <w:rsid w:val="00167FD2"/>
    <w:rsid w:val="00170014"/>
    <w:rsid w:val="00170230"/>
    <w:rsid w:val="00170619"/>
    <w:rsid w:val="001706DF"/>
    <w:rsid w:val="00170ABF"/>
    <w:rsid w:val="001711CF"/>
    <w:rsid w:val="001713E8"/>
    <w:rsid w:val="00171833"/>
    <w:rsid w:val="00171BF7"/>
    <w:rsid w:val="0017201C"/>
    <w:rsid w:val="001721D8"/>
    <w:rsid w:val="00172338"/>
    <w:rsid w:val="001725C5"/>
    <w:rsid w:val="001726AE"/>
    <w:rsid w:val="00172871"/>
    <w:rsid w:val="00172E4B"/>
    <w:rsid w:val="001731BB"/>
    <w:rsid w:val="00173D07"/>
    <w:rsid w:val="00173DCF"/>
    <w:rsid w:val="00173EF6"/>
    <w:rsid w:val="001744BF"/>
    <w:rsid w:val="00174812"/>
    <w:rsid w:val="00174970"/>
    <w:rsid w:val="001752CC"/>
    <w:rsid w:val="001752DE"/>
    <w:rsid w:val="00175819"/>
    <w:rsid w:val="00175E2C"/>
    <w:rsid w:val="001764EE"/>
    <w:rsid w:val="00176541"/>
    <w:rsid w:val="00176F37"/>
    <w:rsid w:val="0017730C"/>
    <w:rsid w:val="001774AD"/>
    <w:rsid w:val="00177506"/>
    <w:rsid w:val="0017773C"/>
    <w:rsid w:val="0017782F"/>
    <w:rsid w:val="00177907"/>
    <w:rsid w:val="00177AC5"/>
    <w:rsid w:val="00177B99"/>
    <w:rsid w:val="00177C2A"/>
    <w:rsid w:val="001800E1"/>
    <w:rsid w:val="001802CC"/>
    <w:rsid w:val="00180703"/>
    <w:rsid w:val="0018094E"/>
    <w:rsid w:val="001816A6"/>
    <w:rsid w:val="00181B50"/>
    <w:rsid w:val="001820D2"/>
    <w:rsid w:val="001825BF"/>
    <w:rsid w:val="00182F20"/>
    <w:rsid w:val="001830A7"/>
    <w:rsid w:val="0018345B"/>
    <w:rsid w:val="00183CF8"/>
    <w:rsid w:val="00184733"/>
    <w:rsid w:val="00184A50"/>
    <w:rsid w:val="00184B53"/>
    <w:rsid w:val="00184D37"/>
    <w:rsid w:val="00184D71"/>
    <w:rsid w:val="00184E2A"/>
    <w:rsid w:val="00184E41"/>
    <w:rsid w:val="0018604C"/>
    <w:rsid w:val="001865AB"/>
    <w:rsid w:val="00186639"/>
    <w:rsid w:val="0018689C"/>
    <w:rsid w:val="00186AD7"/>
    <w:rsid w:val="00186C1D"/>
    <w:rsid w:val="001873ED"/>
    <w:rsid w:val="001878B0"/>
    <w:rsid w:val="00187D59"/>
    <w:rsid w:val="00190476"/>
    <w:rsid w:val="00190624"/>
    <w:rsid w:val="00190889"/>
    <w:rsid w:val="00191350"/>
    <w:rsid w:val="001914CE"/>
    <w:rsid w:val="00191748"/>
    <w:rsid w:val="0019238A"/>
    <w:rsid w:val="001923CD"/>
    <w:rsid w:val="001928AC"/>
    <w:rsid w:val="00192C46"/>
    <w:rsid w:val="00193220"/>
    <w:rsid w:val="00193290"/>
    <w:rsid w:val="001939B2"/>
    <w:rsid w:val="00193EFF"/>
    <w:rsid w:val="001945B5"/>
    <w:rsid w:val="001945DE"/>
    <w:rsid w:val="00194984"/>
    <w:rsid w:val="001949DC"/>
    <w:rsid w:val="00194EA6"/>
    <w:rsid w:val="00194EC7"/>
    <w:rsid w:val="00195BE3"/>
    <w:rsid w:val="00195EE4"/>
    <w:rsid w:val="001960C3"/>
    <w:rsid w:val="0019638A"/>
    <w:rsid w:val="001964C0"/>
    <w:rsid w:val="00196F75"/>
    <w:rsid w:val="00197081"/>
    <w:rsid w:val="001970BB"/>
    <w:rsid w:val="001971B9"/>
    <w:rsid w:val="0019732E"/>
    <w:rsid w:val="00197E16"/>
    <w:rsid w:val="001A0083"/>
    <w:rsid w:val="001A0815"/>
    <w:rsid w:val="001A0BDA"/>
    <w:rsid w:val="001A0BE7"/>
    <w:rsid w:val="001A0C44"/>
    <w:rsid w:val="001A0F0D"/>
    <w:rsid w:val="001A1138"/>
    <w:rsid w:val="001A1210"/>
    <w:rsid w:val="001A149E"/>
    <w:rsid w:val="001A14EF"/>
    <w:rsid w:val="001A1527"/>
    <w:rsid w:val="001A2112"/>
    <w:rsid w:val="001A21D2"/>
    <w:rsid w:val="001A22B8"/>
    <w:rsid w:val="001A2353"/>
    <w:rsid w:val="001A2872"/>
    <w:rsid w:val="001A2997"/>
    <w:rsid w:val="001A2CC1"/>
    <w:rsid w:val="001A2DDD"/>
    <w:rsid w:val="001A2FF7"/>
    <w:rsid w:val="001A34F3"/>
    <w:rsid w:val="001A3676"/>
    <w:rsid w:val="001A3784"/>
    <w:rsid w:val="001A3916"/>
    <w:rsid w:val="001A3C83"/>
    <w:rsid w:val="001A3CF8"/>
    <w:rsid w:val="001A48CC"/>
    <w:rsid w:val="001A4D8E"/>
    <w:rsid w:val="001A4DD3"/>
    <w:rsid w:val="001A5273"/>
    <w:rsid w:val="001A54EF"/>
    <w:rsid w:val="001A577F"/>
    <w:rsid w:val="001A5CD0"/>
    <w:rsid w:val="001A6E7C"/>
    <w:rsid w:val="001A758B"/>
    <w:rsid w:val="001A75DA"/>
    <w:rsid w:val="001B011D"/>
    <w:rsid w:val="001B0948"/>
    <w:rsid w:val="001B0A03"/>
    <w:rsid w:val="001B0FCA"/>
    <w:rsid w:val="001B1137"/>
    <w:rsid w:val="001B130B"/>
    <w:rsid w:val="001B2074"/>
    <w:rsid w:val="001B22F8"/>
    <w:rsid w:val="001B2947"/>
    <w:rsid w:val="001B35A1"/>
    <w:rsid w:val="001B35E5"/>
    <w:rsid w:val="001B36A8"/>
    <w:rsid w:val="001B3A52"/>
    <w:rsid w:val="001B3CC7"/>
    <w:rsid w:val="001B3E1F"/>
    <w:rsid w:val="001B3E36"/>
    <w:rsid w:val="001B40CA"/>
    <w:rsid w:val="001B41F5"/>
    <w:rsid w:val="001B445D"/>
    <w:rsid w:val="001B485B"/>
    <w:rsid w:val="001B496F"/>
    <w:rsid w:val="001B4A6D"/>
    <w:rsid w:val="001B514B"/>
    <w:rsid w:val="001B5347"/>
    <w:rsid w:val="001B5E5E"/>
    <w:rsid w:val="001B6201"/>
    <w:rsid w:val="001B683D"/>
    <w:rsid w:val="001B68C9"/>
    <w:rsid w:val="001B743B"/>
    <w:rsid w:val="001B7564"/>
    <w:rsid w:val="001B78F8"/>
    <w:rsid w:val="001B7B6C"/>
    <w:rsid w:val="001B7BB2"/>
    <w:rsid w:val="001B7E49"/>
    <w:rsid w:val="001B7EF5"/>
    <w:rsid w:val="001C02EC"/>
    <w:rsid w:val="001C0583"/>
    <w:rsid w:val="001C066F"/>
    <w:rsid w:val="001C0A3C"/>
    <w:rsid w:val="001C0C59"/>
    <w:rsid w:val="001C1211"/>
    <w:rsid w:val="001C17F0"/>
    <w:rsid w:val="001C1854"/>
    <w:rsid w:val="001C1CD8"/>
    <w:rsid w:val="001C23B2"/>
    <w:rsid w:val="001C2410"/>
    <w:rsid w:val="001C2610"/>
    <w:rsid w:val="001C2B17"/>
    <w:rsid w:val="001C30A7"/>
    <w:rsid w:val="001C3747"/>
    <w:rsid w:val="001C3E0B"/>
    <w:rsid w:val="001C46DF"/>
    <w:rsid w:val="001C55EA"/>
    <w:rsid w:val="001C56C9"/>
    <w:rsid w:val="001C6416"/>
    <w:rsid w:val="001C643D"/>
    <w:rsid w:val="001C65EE"/>
    <w:rsid w:val="001C66FD"/>
    <w:rsid w:val="001C6822"/>
    <w:rsid w:val="001C6A30"/>
    <w:rsid w:val="001C6A4E"/>
    <w:rsid w:val="001C6FFB"/>
    <w:rsid w:val="001C72DB"/>
    <w:rsid w:val="001C7714"/>
    <w:rsid w:val="001C7A69"/>
    <w:rsid w:val="001C7A9B"/>
    <w:rsid w:val="001C7BEE"/>
    <w:rsid w:val="001C7F64"/>
    <w:rsid w:val="001C7F6A"/>
    <w:rsid w:val="001D0691"/>
    <w:rsid w:val="001D0B65"/>
    <w:rsid w:val="001D11E7"/>
    <w:rsid w:val="001D11EB"/>
    <w:rsid w:val="001D1B6B"/>
    <w:rsid w:val="001D1EC6"/>
    <w:rsid w:val="001D1F24"/>
    <w:rsid w:val="001D1F2F"/>
    <w:rsid w:val="001D2351"/>
    <w:rsid w:val="001D24A1"/>
    <w:rsid w:val="001D24E3"/>
    <w:rsid w:val="001D2554"/>
    <w:rsid w:val="001D26FC"/>
    <w:rsid w:val="001D270B"/>
    <w:rsid w:val="001D299A"/>
    <w:rsid w:val="001D2A28"/>
    <w:rsid w:val="001D2D6A"/>
    <w:rsid w:val="001D3173"/>
    <w:rsid w:val="001D31AC"/>
    <w:rsid w:val="001D35B8"/>
    <w:rsid w:val="001D39D8"/>
    <w:rsid w:val="001D3BA8"/>
    <w:rsid w:val="001D3CEB"/>
    <w:rsid w:val="001D43DB"/>
    <w:rsid w:val="001D4B96"/>
    <w:rsid w:val="001D4CC8"/>
    <w:rsid w:val="001D5638"/>
    <w:rsid w:val="001D5698"/>
    <w:rsid w:val="001D5BCC"/>
    <w:rsid w:val="001D6154"/>
    <w:rsid w:val="001D6DC3"/>
    <w:rsid w:val="001D72B3"/>
    <w:rsid w:val="001D7BC1"/>
    <w:rsid w:val="001D7E5B"/>
    <w:rsid w:val="001E0582"/>
    <w:rsid w:val="001E0D08"/>
    <w:rsid w:val="001E1472"/>
    <w:rsid w:val="001E17A2"/>
    <w:rsid w:val="001E1C18"/>
    <w:rsid w:val="001E249B"/>
    <w:rsid w:val="001E2D33"/>
    <w:rsid w:val="001E2DAC"/>
    <w:rsid w:val="001E2F32"/>
    <w:rsid w:val="001E3067"/>
    <w:rsid w:val="001E3307"/>
    <w:rsid w:val="001E33DE"/>
    <w:rsid w:val="001E3572"/>
    <w:rsid w:val="001E3933"/>
    <w:rsid w:val="001E428B"/>
    <w:rsid w:val="001E4584"/>
    <w:rsid w:val="001E4745"/>
    <w:rsid w:val="001E4747"/>
    <w:rsid w:val="001E4BCE"/>
    <w:rsid w:val="001E4C35"/>
    <w:rsid w:val="001E54B9"/>
    <w:rsid w:val="001E5B24"/>
    <w:rsid w:val="001E66FA"/>
    <w:rsid w:val="001E6956"/>
    <w:rsid w:val="001E6978"/>
    <w:rsid w:val="001E7613"/>
    <w:rsid w:val="001E796A"/>
    <w:rsid w:val="001E7D5A"/>
    <w:rsid w:val="001E7F98"/>
    <w:rsid w:val="001F022E"/>
    <w:rsid w:val="001F02B2"/>
    <w:rsid w:val="001F0332"/>
    <w:rsid w:val="001F0A7F"/>
    <w:rsid w:val="001F12F7"/>
    <w:rsid w:val="001F1356"/>
    <w:rsid w:val="001F198C"/>
    <w:rsid w:val="001F1A6F"/>
    <w:rsid w:val="001F212F"/>
    <w:rsid w:val="001F2781"/>
    <w:rsid w:val="001F2800"/>
    <w:rsid w:val="001F2D2D"/>
    <w:rsid w:val="001F32BC"/>
    <w:rsid w:val="001F386C"/>
    <w:rsid w:val="001F3CBE"/>
    <w:rsid w:val="001F40A8"/>
    <w:rsid w:val="001F437C"/>
    <w:rsid w:val="001F4939"/>
    <w:rsid w:val="001F4A10"/>
    <w:rsid w:val="001F4D61"/>
    <w:rsid w:val="001F5277"/>
    <w:rsid w:val="001F52FB"/>
    <w:rsid w:val="001F5923"/>
    <w:rsid w:val="001F627F"/>
    <w:rsid w:val="001F6A37"/>
    <w:rsid w:val="001F6AE9"/>
    <w:rsid w:val="001F6B1D"/>
    <w:rsid w:val="001F6C95"/>
    <w:rsid w:val="001F6D9F"/>
    <w:rsid w:val="001F7090"/>
    <w:rsid w:val="001F7173"/>
    <w:rsid w:val="001F771B"/>
    <w:rsid w:val="001F7A3C"/>
    <w:rsid w:val="00200023"/>
    <w:rsid w:val="002005A7"/>
    <w:rsid w:val="002007E2"/>
    <w:rsid w:val="0020092B"/>
    <w:rsid w:val="002009B4"/>
    <w:rsid w:val="00200AA8"/>
    <w:rsid w:val="00200D05"/>
    <w:rsid w:val="00200DEF"/>
    <w:rsid w:val="00200E0C"/>
    <w:rsid w:val="00201B66"/>
    <w:rsid w:val="00201E7F"/>
    <w:rsid w:val="00201F42"/>
    <w:rsid w:val="00201FE1"/>
    <w:rsid w:val="002020DC"/>
    <w:rsid w:val="002025BB"/>
    <w:rsid w:val="002026A8"/>
    <w:rsid w:val="00203537"/>
    <w:rsid w:val="002038E3"/>
    <w:rsid w:val="002042F1"/>
    <w:rsid w:val="002045FB"/>
    <w:rsid w:val="002048F4"/>
    <w:rsid w:val="002049F3"/>
    <w:rsid w:val="00204C2B"/>
    <w:rsid w:val="00204CF7"/>
    <w:rsid w:val="00204FE0"/>
    <w:rsid w:val="0020537B"/>
    <w:rsid w:val="002055B2"/>
    <w:rsid w:val="002059ED"/>
    <w:rsid w:val="0020651E"/>
    <w:rsid w:val="00206921"/>
    <w:rsid w:val="00206F70"/>
    <w:rsid w:val="0020706B"/>
    <w:rsid w:val="00207220"/>
    <w:rsid w:val="002073A2"/>
    <w:rsid w:val="00207474"/>
    <w:rsid w:val="002074FA"/>
    <w:rsid w:val="00207CD2"/>
    <w:rsid w:val="0021005F"/>
    <w:rsid w:val="0021023A"/>
    <w:rsid w:val="0021089F"/>
    <w:rsid w:val="00210CBB"/>
    <w:rsid w:val="00210D02"/>
    <w:rsid w:val="00210EBE"/>
    <w:rsid w:val="0021126A"/>
    <w:rsid w:val="00211965"/>
    <w:rsid w:val="00211B71"/>
    <w:rsid w:val="0021231F"/>
    <w:rsid w:val="00212BB4"/>
    <w:rsid w:val="00212BDE"/>
    <w:rsid w:val="00212C86"/>
    <w:rsid w:val="002137ED"/>
    <w:rsid w:val="00213A81"/>
    <w:rsid w:val="002146B8"/>
    <w:rsid w:val="002156E6"/>
    <w:rsid w:val="00215B44"/>
    <w:rsid w:val="00215B82"/>
    <w:rsid w:val="002163FE"/>
    <w:rsid w:val="002169B7"/>
    <w:rsid w:val="00216D23"/>
    <w:rsid w:val="0021758F"/>
    <w:rsid w:val="0021770F"/>
    <w:rsid w:val="002178C1"/>
    <w:rsid w:val="00217A73"/>
    <w:rsid w:val="00217BEE"/>
    <w:rsid w:val="002202FE"/>
    <w:rsid w:val="0022080F"/>
    <w:rsid w:val="0022103E"/>
    <w:rsid w:val="00221B73"/>
    <w:rsid w:val="00221F52"/>
    <w:rsid w:val="00221F87"/>
    <w:rsid w:val="00221F9A"/>
    <w:rsid w:val="0022284E"/>
    <w:rsid w:val="0022365C"/>
    <w:rsid w:val="00223B83"/>
    <w:rsid w:val="0022425C"/>
    <w:rsid w:val="00224384"/>
    <w:rsid w:val="002244D1"/>
    <w:rsid w:val="00224509"/>
    <w:rsid w:val="0022465E"/>
    <w:rsid w:val="002249C4"/>
    <w:rsid w:val="00224B56"/>
    <w:rsid w:val="00224E3F"/>
    <w:rsid w:val="00225E3A"/>
    <w:rsid w:val="00226230"/>
    <w:rsid w:val="0022631D"/>
    <w:rsid w:val="0022665E"/>
    <w:rsid w:val="00226F26"/>
    <w:rsid w:val="00227775"/>
    <w:rsid w:val="00227B98"/>
    <w:rsid w:val="00227F1C"/>
    <w:rsid w:val="002301AE"/>
    <w:rsid w:val="00230342"/>
    <w:rsid w:val="002304F9"/>
    <w:rsid w:val="00230713"/>
    <w:rsid w:val="002307B8"/>
    <w:rsid w:val="00231265"/>
    <w:rsid w:val="0023176E"/>
    <w:rsid w:val="00231A27"/>
    <w:rsid w:val="00232970"/>
    <w:rsid w:val="00232D75"/>
    <w:rsid w:val="00232DA0"/>
    <w:rsid w:val="00232EAF"/>
    <w:rsid w:val="0023356E"/>
    <w:rsid w:val="002338DE"/>
    <w:rsid w:val="0023395F"/>
    <w:rsid w:val="002339ED"/>
    <w:rsid w:val="00233CAE"/>
    <w:rsid w:val="002346EF"/>
    <w:rsid w:val="0023474B"/>
    <w:rsid w:val="002347BC"/>
    <w:rsid w:val="002349F5"/>
    <w:rsid w:val="00234C84"/>
    <w:rsid w:val="00234CE7"/>
    <w:rsid w:val="0023511B"/>
    <w:rsid w:val="0023516A"/>
    <w:rsid w:val="0023557F"/>
    <w:rsid w:val="002355DE"/>
    <w:rsid w:val="00235A12"/>
    <w:rsid w:val="00235E4F"/>
    <w:rsid w:val="00236B20"/>
    <w:rsid w:val="00236CD8"/>
    <w:rsid w:val="00236CE8"/>
    <w:rsid w:val="002373A5"/>
    <w:rsid w:val="002374F3"/>
    <w:rsid w:val="00237570"/>
    <w:rsid w:val="002379EF"/>
    <w:rsid w:val="0024006C"/>
    <w:rsid w:val="0024045A"/>
    <w:rsid w:val="00240582"/>
    <w:rsid w:val="002410C7"/>
    <w:rsid w:val="00241306"/>
    <w:rsid w:val="00241D37"/>
    <w:rsid w:val="00241D6C"/>
    <w:rsid w:val="00241D78"/>
    <w:rsid w:val="00242117"/>
    <w:rsid w:val="00242CCC"/>
    <w:rsid w:val="00242EE8"/>
    <w:rsid w:val="002439DF"/>
    <w:rsid w:val="00243A0B"/>
    <w:rsid w:val="00243B52"/>
    <w:rsid w:val="00243D2C"/>
    <w:rsid w:val="00243DE8"/>
    <w:rsid w:val="00244760"/>
    <w:rsid w:val="0024496F"/>
    <w:rsid w:val="00244B02"/>
    <w:rsid w:val="00244CD1"/>
    <w:rsid w:val="00244EBE"/>
    <w:rsid w:val="00244FB6"/>
    <w:rsid w:val="00245027"/>
    <w:rsid w:val="002456B8"/>
    <w:rsid w:val="0024584C"/>
    <w:rsid w:val="00245EA9"/>
    <w:rsid w:val="00245F6B"/>
    <w:rsid w:val="002464FE"/>
    <w:rsid w:val="00246EFE"/>
    <w:rsid w:val="00247119"/>
    <w:rsid w:val="002471CB"/>
    <w:rsid w:val="002476A0"/>
    <w:rsid w:val="00247907"/>
    <w:rsid w:val="00247BF5"/>
    <w:rsid w:val="00247CE1"/>
    <w:rsid w:val="00250404"/>
    <w:rsid w:val="002506B6"/>
    <w:rsid w:val="00250E4C"/>
    <w:rsid w:val="00250E4E"/>
    <w:rsid w:val="00251048"/>
    <w:rsid w:val="002510B9"/>
    <w:rsid w:val="00251999"/>
    <w:rsid w:val="002519E6"/>
    <w:rsid w:val="00251D71"/>
    <w:rsid w:val="00252070"/>
    <w:rsid w:val="002525C6"/>
    <w:rsid w:val="002526E9"/>
    <w:rsid w:val="0025299D"/>
    <w:rsid w:val="00253FF1"/>
    <w:rsid w:val="00254094"/>
    <w:rsid w:val="00254A25"/>
    <w:rsid w:val="00254F7C"/>
    <w:rsid w:val="00255482"/>
    <w:rsid w:val="00255904"/>
    <w:rsid w:val="002569E4"/>
    <w:rsid w:val="00257149"/>
    <w:rsid w:val="002576F3"/>
    <w:rsid w:val="002577A6"/>
    <w:rsid w:val="0025796E"/>
    <w:rsid w:val="00257B95"/>
    <w:rsid w:val="002602E3"/>
    <w:rsid w:val="002603CC"/>
    <w:rsid w:val="00260C8B"/>
    <w:rsid w:val="00260CB4"/>
    <w:rsid w:val="00260EB6"/>
    <w:rsid w:val="002612A3"/>
    <w:rsid w:val="002619C5"/>
    <w:rsid w:val="002620C0"/>
    <w:rsid w:val="00262201"/>
    <w:rsid w:val="0026235D"/>
    <w:rsid w:val="002624FE"/>
    <w:rsid w:val="002627A0"/>
    <w:rsid w:val="00262870"/>
    <w:rsid w:val="002629E3"/>
    <w:rsid w:val="00262CA8"/>
    <w:rsid w:val="002634E1"/>
    <w:rsid w:val="0026369B"/>
    <w:rsid w:val="00263AA1"/>
    <w:rsid w:val="00263C0B"/>
    <w:rsid w:val="00263EE6"/>
    <w:rsid w:val="002641BD"/>
    <w:rsid w:val="0026439D"/>
    <w:rsid w:val="00264B73"/>
    <w:rsid w:val="00264CBE"/>
    <w:rsid w:val="00264F54"/>
    <w:rsid w:val="0026503C"/>
    <w:rsid w:val="00265551"/>
    <w:rsid w:val="002655D2"/>
    <w:rsid w:val="00265FDD"/>
    <w:rsid w:val="002669B9"/>
    <w:rsid w:val="00266B3B"/>
    <w:rsid w:val="00266DF4"/>
    <w:rsid w:val="00266FDF"/>
    <w:rsid w:val="00267029"/>
    <w:rsid w:val="002672FE"/>
    <w:rsid w:val="00267E00"/>
    <w:rsid w:val="002707C1"/>
    <w:rsid w:val="00270883"/>
    <w:rsid w:val="002708B0"/>
    <w:rsid w:val="00270C3A"/>
    <w:rsid w:val="00271180"/>
    <w:rsid w:val="00271312"/>
    <w:rsid w:val="00271612"/>
    <w:rsid w:val="00271763"/>
    <w:rsid w:val="002717E9"/>
    <w:rsid w:val="00271978"/>
    <w:rsid w:val="00271C83"/>
    <w:rsid w:val="0027241E"/>
    <w:rsid w:val="002724FD"/>
    <w:rsid w:val="002727C9"/>
    <w:rsid w:val="00272AF9"/>
    <w:rsid w:val="00272B3F"/>
    <w:rsid w:val="00272B9D"/>
    <w:rsid w:val="00272F2F"/>
    <w:rsid w:val="0027348F"/>
    <w:rsid w:val="00274986"/>
    <w:rsid w:val="00274A80"/>
    <w:rsid w:val="00274B85"/>
    <w:rsid w:val="0027509E"/>
    <w:rsid w:val="002752AD"/>
    <w:rsid w:val="00275406"/>
    <w:rsid w:val="0027542D"/>
    <w:rsid w:val="00275669"/>
    <w:rsid w:val="00275722"/>
    <w:rsid w:val="0027587F"/>
    <w:rsid w:val="00275883"/>
    <w:rsid w:val="00275A2B"/>
    <w:rsid w:val="00275AEB"/>
    <w:rsid w:val="0027623A"/>
    <w:rsid w:val="00276825"/>
    <w:rsid w:val="0027693B"/>
    <w:rsid w:val="00276C1D"/>
    <w:rsid w:val="0027710C"/>
    <w:rsid w:val="0027712E"/>
    <w:rsid w:val="002771A4"/>
    <w:rsid w:val="00277648"/>
    <w:rsid w:val="00277C56"/>
    <w:rsid w:val="00280343"/>
    <w:rsid w:val="00280924"/>
    <w:rsid w:val="00280C7D"/>
    <w:rsid w:val="00280E50"/>
    <w:rsid w:val="00281618"/>
    <w:rsid w:val="00281A5D"/>
    <w:rsid w:val="00281C00"/>
    <w:rsid w:val="00281F1C"/>
    <w:rsid w:val="00281F68"/>
    <w:rsid w:val="00282038"/>
    <w:rsid w:val="0028254F"/>
    <w:rsid w:val="00282BB4"/>
    <w:rsid w:val="00282BED"/>
    <w:rsid w:val="00282ECB"/>
    <w:rsid w:val="00282FE0"/>
    <w:rsid w:val="002833BE"/>
    <w:rsid w:val="00283590"/>
    <w:rsid w:val="00283A77"/>
    <w:rsid w:val="00284395"/>
    <w:rsid w:val="00284631"/>
    <w:rsid w:val="0028499B"/>
    <w:rsid w:val="00284C38"/>
    <w:rsid w:val="00285180"/>
    <w:rsid w:val="0028559A"/>
    <w:rsid w:val="00285C87"/>
    <w:rsid w:val="00285CBA"/>
    <w:rsid w:val="00285DBC"/>
    <w:rsid w:val="00285DD5"/>
    <w:rsid w:val="00285EB5"/>
    <w:rsid w:val="0028625F"/>
    <w:rsid w:val="0028679A"/>
    <w:rsid w:val="00286C30"/>
    <w:rsid w:val="00286DD7"/>
    <w:rsid w:val="0028762E"/>
    <w:rsid w:val="00287EBE"/>
    <w:rsid w:val="00290696"/>
    <w:rsid w:val="00290A99"/>
    <w:rsid w:val="00290C75"/>
    <w:rsid w:val="00290EFB"/>
    <w:rsid w:val="002916D8"/>
    <w:rsid w:val="0029179A"/>
    <w:rsid w:val="002918E2"/>
    <w:rsid w:val="00291C2D"/>
    <w:rsid w:val="00291D7C"/>
    <w:rsid w:val="00291F83"/>
    <w:rsid w:val="002924A6"/>
    <w:rsid w:val="002926EC"/>
    <w:rsid w:val="00292E7F"/>
    <w:rsid w:val="00292F5A"/>
    <w:rsid w:val="002933EF"/>
    <w:rsid w:val="0029352A"/>
    <w:rsid w:val="00293790"/>
    <w:rsid w:val="00293FAC"/>
    <w:rsid w:val="00294E1B"/>
    <w:rsid w:val="00294FB3"/>
    <w:rsid w:val="002953B5"/>
    <w:rsid w:val="002958DC"/>
    <w:rsid w:val="0029630E"/>
    <w:rsid w:val="00296448"/>
    <w:rsid w:val="00296883"/>
    <w:rsid w:val="00296C42"/>
    <w:rsid w:val="00296CDB"/>
    <w:rsid w:val="002970A8"/>
    <w:rsid w:val="00297423"/>
    <w:rsid w:val="00297743"/>
    <w:rsid w:val="002977B8"/>
    <w:rsid w:val="002979B9"/>
    <w:rsid w:val="00297B90"/>
    <w:rsid w:val="00297F7D"/>
    <w:rsid w:val="002A0374"/>
    <w:rsid w:val="002A046C"/>
    <w:rsid w:val="002A0608"/>
    <w:rsid w:val="002A0709"/>
    <w:rsid w:val="002A0A12"/>
    <w:rsid w:val="002A0E28"/>
    <w:rsid w:val="002A0F20"/>
    <w:rsid w:val="002A15C4"/>
    <w:rsid w:val="002A1C7B"/>
    <w:rsid w:val="002A201B"/>
    <w:rsid w:val="002A203C"/>
    <w:rsid w:val="002A233E"/>
    <w:rsid w:val="002A287F"/>
    <w:rsid w:val="002A2A62"/>
    <w:rsid w:val="002A2B64"/>
    <w:rsid w:val="002A303B"/>
    <w:rsid w:val="002A3101"/>
    <w:rsid w:val="002A38A0"/>
    <w:rsid w:val="002A38EB"/>
    <w:rsid w:val="002A3A23"/>
    <w:rsid w:val="002A3E77"/>
    <w:rsid w:val="002A42C6"/>
    <w:rsid w:val="002A42FD"/>
    <w:rsid w:val="002A4390"/>
    <w:rsid w:val="002A456D"/>
    <w:rsid w:val="002A47A5"/>
    <w:rsid w:val="002A4B5D"/>
    <w:rsid w:val="002A51A9"/>
    <w:rsid w:val="002A545D"/>
    <w:rsid w:val="002A54DA"/>
    <w:rsid w:val="002A5B7D"/>
    <w:rsid w:val="002A5C84"/>
    <w:rsid w:val="002A5E3C"/>
    <w:rsid w:val="002A5E9A"/>
    <w:rsid w:val="002A67A8"/>
    <w:rsid w:val="002A6ADF"/>
    <w:rsid w:val="002A716C"/>
    <w:rsid w:val="002A7E83"/>
    <w:rsid w:val="002B0163"/>
    <w:rsid w:val="002B0592"/>
    <w:rsid w:val="002B0937"/>
    <w:rsid w:val="002B0C15"/>
    <w:rsid w:val="002B0EF3"/>
    <w:rsid w:val="002B10FF"/>
    <w:rsid w:val="002B1926"/>
    <w:rsid w:val="002B20F1"/>
    <w:rsid w:val="002B2839"/>
    <w:rsid w:val="002B2DA8"/>
    <w:rsid w:val="002B3A54"/>
    <w:rsid w:val="002B3AC2"/>
    <w:rsid w:val="002B457C"/>
    <w:rsid w:val="002B4810"/>
    <w:rsid w:val="002B4A2D"/>
    <w:rsid w:val="002B4D6F"/>
    <w:rsid w:val="002B507C"/>
    <w:rsid w:val="002B50E2"/>
    <w:rsid w:val="002B53D4"/>
    <w:rsid w:val="002B545C"/>
    <w:rsid w:val="002B577D"/>
    <w:rsid w:val="002B59F8"/>
    <w:rsid w:val="002B5B0C"/>
    <w:rsid w:val="002B5BC2"/>
    <w:rsid w:val="002B5C38"/>
    <w:rsid w:val="002B61C3"/>
    <w:rsid w:val="002B69CB"/>
    <w:rsid w:val="002B6EAC"/>
    <w:rsid w:val="002B72F9"/>
    <w:rsid w:val="002B76E7"/>
    <w:rsid w:val="002B7752"/>
    <w:rsid w:val="002B7C68"/>
    <w:rsid w:val="002C0A36"/>
    <w:rsid w:val="002C0E1B"/>
    <w:rsid w:val="002C1382"/>
    <w:rsid w:val="002C1464"/>
    <w:rsid w:val="002C18AA"/>
    <w:rsid w:val="002C1BFA"/>
    <w:rsid w:val="002C22B2"/>
    <w:rsid w:val="002C26F9"/>
    <w:rsid w:val="002C301C"/>
    <w:rsid w:val="002C3EE1"/>
    <w:rsid w:val="002C3FE0"/>
    <w:rsid w:val="002C40EE"/>
    <w:rsid w:val="002C4249"/>
    <w:rsid w:val="002C44C0"/>
    <w:rsid w:val="002C4B85"/>
    <w:rsid w:val="002C4C5E"/>
    <w:rsid w:val="002C50F0"/>
    <w:rsid w:val="002C51C0"/>
    <w:rsid w:val="002C5287"/>
    <w:rsid w:val="002C6873"/>
    <w:rsid w:val="002C6C9A"/>
    <w:rsid w:val="002C6E1D"/>
    <w:rsid w:val="002C6E46"/>
    <w:rsid w:val="002C725E"/>
    <w:rsid w:val="002C77F4"/>
    <w:rsid w:val="002C7ACC"/>
    <w:rsid w:val="002C7C54"/>
    <w:rsid w:val="002C7D52"/>
    <w:rsid w:val="002D0458"/>
    <w:rsid w:val="002D0583"/>
    <w:rsid w:val="002D06BB"/>
    <w:rsid w:val="002D0DA8"/>
    <w:rsid w:val="002D1349"/>
    <w:rsid w:val="002D1A70"/>
    <w:rsid w:val="002D1D77"/>
    <w:rsid w:val="002D26D0"/>
    <w:rsid w:val="002D2B7C"/>
    <w:rsid w:val="002D2E24"/>
    <w:rsid w:val="002D2E75"/>
    <w:rsid w:val="002D3584"/>
    <w:rsid w:val="002D3E49"/>
    <w:rsid w:val="002D42F1"/>
    <w:rsid w:val="002D4587"/>
    <w:rsid w:val="002D48B9"/>
    <w:rsid w:val="002D4A96"/>
    <w:rsid w:val="002D4E9C"/>
    <w:rsid w:val="002D52AD"/>
    <w:rsid w:val="002D5518"/>
    <w:rsid w:val="002D56BD"/>
    <w:rsid w:val="002D578A"/>
    <w:rsid w:val="002D6400"/>
    <w:rsid w:val="002D68A2"/>
    <w:rsid w:val="002D6F9A"/>
    <w:rsid w:val="002D70C9"/>
    <w:rsid w:val="002D7116"/>
    <w:rsid w:val="002D7273"/>
    <w:rsid w:val="002D7AC1"/>
    <w:rsid w:val="002D7FB2"/>
    <w:rsid w:val="002E02D6"/>
    <w:rsid w:val="002E0320"/>
    <w:rsid w:val="002E039C"/>
    <w:rsid w:val="002E0DCB"/>
    <w:rsid w:val="002E17DC"/>
    <w:rsid w:val="002E1E40"/>
    <w:rsid w:val="002E2142"/>
    <w:rsid w:val="002E2273"/>
    <w:rsid w:val="002E280F"/>
    <w:rsid w:val="002E290B"/>
    <w:rsid w:val="002E304A"/>
    <w:rsid w:val="002E31C8"/>
    <w:rsid w:val="002E341E"/>
    <w:rsid w:val="002E387F"/>
    <w:rsid w:val="002E4191"/>
    <w:rsid w:val="002E424C"/>
    <w:rsid w:val="002E45DF"/>
    <w:rsid w:val="002E4CFF"/>
    <w:rsid w:val="002E4F68"/>
    <w:rsid w:val="002E5379"/>
    <w:rsid w:val="002E585F"/>
    <w:rsid w:val="002E5DDC"/>
    <w:rsid w:val="002E5F08"/>
    <w:rsid w:val="002E5F91"/>
    <w:rsid w:val="002E6019"/>
    <w:rsid w:val="002E6064"/>
    <w:rsid w:val="002E614C"/>
    <w:rsid w:val="002E634B"/>
    <w:rsid w:val="002E63DD"/>
    <w:rsid w:val="002E63E2"/>
    <w:rsid w:val="002E63EA"/>
    <w:rsid w:val="002E6724"/>
    <w:rsid w:val="002E6DBA"/>
    <w:rsid w:val="002E6EC3"/>
    <w:rsid w:val="002E7089"/>
    <w:rsid w:val="002E7284"/>
    <w:rsid w:val="002E780F"/>
    <w:rsid w:val="002E7CC8"/>
    <w:rsid w:val="002E7EDF"/>
    <w:rsid w:val="002E7F7A"/>
    <w:rsid w:val="002F01B8"/>
    <w:rsid w:val="002F02BD"/>
    <w:rsid w:val="002F0339"/>
    <w:rsid w:val="002F08B0"/>
    <w:rsid w:val="002F0B6D"/>
    <w:rsid w:val="002F11FE"/>
    <w:rsid w:val="002F169C"/>
    <w:rsid w:val="002F17C7"/>
    <w:rsid w:val="002F193A"/>
    <w:rsid w:val="002F19FD"/>
    <w:rsid w:val="002F1AF4"/>
    <w:rsid w:val="002F2965"/>
    <w:rsid w:val="002F2D4B"/>
    <w:rsid w:val="002F2ED2"/>
    <w:rsid w:val="002F3176"/>
    <w:rsid w:val="002F35FE"/>
    <w:rsid w:val="002F3AE0"/>
    <w:rsid w:val="002F3DD1"/>
    <w:rsid w:val="002F3EAE"/>
    <w:rsid w:val="002F3F31"/>
    <w:rsid w:val="002F45D3"/>
    <w:rsid w:val="002F485D"/>
    <w:rsid w:val="002F4B29"/>
    <w:rsid w:val="002F4C1A"/>
    <w:rsid w:val="002F4D21"/>
    <w:rsid w:val="002F5005"/>
    <w:rsid w:val="002F5141"/>
    <w:rsid w:val="002F5A0A"/>
    <w:rsid w:val="002F5E26"/>
    <w:rsid w:val="002F5E36"/>
    <w:rsid w:val="002F61CD"/>
    <w:rsid w:val="002F64B3"/>
    <w:rsid w:val="002F66EF"/>
    <w:rsid w:val="002F68EE"/>
    <w:rsid w:val="002F6E2E"/>
    <w:rsid w:val="002F6F66"/>
    <w:rsid w:val="002F7255"/>
    <w:rsid w:val="002F733D"/>
    <w:rsid w:val="002F744B"/>
    <w:rsid w:val="002F74BB"/>
    <w:rsid w:val="002F78C0"/>
    <w:rsid w:val="003002B1"/>
    <w:rsid w:val="00300CD7"/>
    <w:rsid w:val="00300E0F"/>
    <w:rsid w:val="003013F4"/>
    <w:rsid w:val="0030140D"/>
    <w:rsid w:val="0030166F"/>
    <w:rsid w:val="00301D49"/>
    <w:rsid w:val="0030213D"/>
    <w:rsid w:val="00302494"/>
    <w:rsid w:val="00303162"/>
    <w:rsid w:val="003038D3"/>
    <w:rsid w:val="00303BB0"/>
    <w:rsid w:val="00303C44"/>
    <w:rsid w:val="0030413B"/>
    <w:rsid w:val="003041A4"/>
    <w:rsid w:val="003043A1"/>
    <w:rsid w:val="0030457C"/>
    <w:rsid w:val="00304C08"/>
    <w:rsid w:val="00305006"/>
    <w:rsid w:val="00305248"/>
    <w:rsid w:val="003054B4"/>
    <w:rsid w:val="00305787"/>
    <w:rsid w:val="0030587D"/>
    <w:rsid w:val="00305C19"/>
    <w:rsid w:val="00305EEA"/>
    <w:rsid w:val="003061D2"/>
    <w:rsid w:val="003068D3"/>
    <w:rsid w:val="00306D71"/>
    <w:rsid w:val="0030703F"/>
    <w:rsid w:val="00307B4B"/>
    <w:rsid w:val="00307EBF"/>
    <w:rsid w:val="0031023D"/>
    <w:rsid w:val="00310354"/>
    <w:rsid w:val="003104AF"/>
    <w:rsid w:val="0031055D"/>
    <w:rsid w:val="00310925"/>
    <w:rsid w:val="00310A7E"/>
    <w:rsid w:val="00311476"/>
    <w:rsid w:val="00311C8E"/>
    <w:rsid w:val="00311F2E"/>
    <w:rsid w:val="003121ED"/>
    <w:rsid w:val="003122A2"/>
    <w:rsid w:val="003129B4"/>
    <w:rsid w:val="003129C7"/>
    <w:rsid w:val="0031319D"/>
    <w:rsid w:val="00313428"/>
    <w:rsid w:val="0031369C"/>
    <w:rsid w:val="00313921"/>
    <w:rsid w:val="00313D85"/>
    <w:rsid w:val="00313D9B"/>
    <w:rsid w:val="00314006"/>
    <w:rsid w:val="00314D94"/>
    <w:rsid w:val="00314EF0"/>
    <w:rsid w:val="00314F13"/>
    <w:rsid w:val="0031578D"/>
    <w:rsid w:val="00315E9D"/>
    <w:rsid w:val="003160DE"/>
    <w:rsid w:val="00316C53"/>
    <w:rsid w:val="0031707E"/>
    <w:rsid w:val="0031781D"/>
    <w:rsid w:val="00317967"/>
    <w:rsid w:val="003200A0"/>
    <w:rsid w:val="0032024F"/>
    <w:rsid w:val="0032034F"/>
    <w:rsid w:val="003205FD"/>
    <w:rsid w:val="003208FC"/>
    <w:rsid w:val="003209E0"/>
    <w:rsid w:val="00321190"/>
    <w:rsid w:val="00321830"/>
    <w:rsid w:val="00321961"/>
    <w:rsid w:val="00322803"/>
    <w:rsid w:val="003229D4"/>
    <w:rsid w:val="003235BC"/>
    <w:rsid w:val="00323B0A"/>
    <w:rsid w:val="00323D40"/>
    <w:rsid w:val="00323D9E"/>
    <w:rsid w:val="00324357"/>
    <w:rsid w:val="0032485F"/>
    <w:rsid w:val="003249B0"/>
    <w:rsid w:val="00324B27"/>
    <w:rsid w:val="00325307"/>
    <w:rsid w:val="00325B4C"/>
    <w:rsid w:val="00325D1D"/>
    <w:rsid w:val="0032693C"/>
    <w:rsid w:val="00327749"/>
    <w:rsid w:val="003278EA"/>
    <w:rsid w:val="00327924"/>
    <w:rsid w:val="00327B25"/>
    <w:rsid w:val="00330669"/>
    <w:rsid w:val="0033079D"/>
    <w:rsid w:val="003309FF"/>
    <w:rsid w:val="003310B6"/>
    <w:rsid w:val="00331776"/>
    <w:rsid w:val="003318D4"/>
    <w:rsid w:val="00331A80"/>
    <w:rsid w:val="00331CB6"/>
    <w:rsid w:val="00331F4F"/>
    <w:rsid w:val="00331FAD"/>
    <w:rsid w:val="0033204F"/>
    <w:rsid w:val="003320DB"/>
    <w:rsid w:val="0033213A"/>
    <w:rsid w:val="003327BC"/>
    <w:rsid w:val="003328FD"/>
    <w:rsid w:val="00332988"/>
    <w:rsid w:val="0033347E"/>
    <w:rsid w:val="003337B9"/>
    <w:rsid w:val="00333A1E"/>
    <w:rsid w:val="00333A3B"/>
    <w:rsid w:val="00333A4A"/>
    <w:rsid w:val="00333B4B"/>
    <w:rsid w:val="00333C43"/>
    <w:rsid w:val="003342DF"/>
    <w:rsid w:val="00334BDD"/>
    <w:rsid w:val="00334CC3"/>
    <w:rsid w:val="00335D64"/>
    <w:rsid w:val="00335E0E"/>
    <w:rsid w:val="00335FB8"/>
    <w:rsid w:val="00335FBB"/>
    <w:rsid w:val="00335FEC"/>
    <w:rsid w:val="00336326"/>
    <w:rsid w:val="00336692"/>
    <w:rsid w:val="0033683F"/>
    <w:rsid w:val="00336BCB"/>
    <w:rsid w:val="00336DC9"/>
    <w:rsid w:val="00336FA9"/>
    <w:rsid w:val="00337CA7"/>
    <w:rsid w:val="00337D00"/>
    <w:rsid w:val="00337EE8"/>
    <w:rsid w:val="00340504"/>
    <w:rsid w:val="00340B52"/>
    <w:rsid w:val="00340C59"/>
    <w:rsid w:val="00341847"/>
    <w:rsid w:val="00341DA4"/>
    <w:rsid w:val="00342243"/>
    <w:rsid w:val="003428DE"/>
    <w:rsid w:val="0034298C"/>
    <w:rsid w:val="00342E7D"/>
    <w:rsid w:val="00343776"/>
    <w:rsid w:val="00343999"/>
    <w:rsid w:val="00343A16"/>
    <w:rsid w:val="00343ABB"/>
    <w:rsid w:val="003443E1"/>
    <w:rsid w:val="00344429"/>
    <w:rsid w:val="00344506"/>
    <w:rsid w:val="00344A66"/>
    <w:rsid w:val="00344AA3"/>
    <w:rsid w:val="00344D44"/>
    <w:rsid w:val="00344F62"/>
    <w:rsid w:val="00344F81"/>
    <w:rsid w:val="00345288"/>
    <w:rsid w:val="003454FB"/>
    <w:rsid w:val="00345DBA"/>
    <w:rsid w:val="00346615"/>
    <w:rsid w:val="00346636"/>
    <w:rsid w:val="00346F89"/>
    <w:rsid w:val="00347B32"/>
    <w:rsid w:val="00347CCA"/>
    <w:rsid w:val="00347E96"/>
    <w:rsid w:val="003507A7"/>
    <w:rsid w:val="00350A76"/>
    <w:rsid w:val="00350BC4"/>
    <w:rsid w:val="00351448"/>
    <w:rsid w:val="003519C7"/>
    <w:rsid w:val="00351A9F"/>
    <w:rsid w:val="0035264B"/>
    <w:rsid w:val="00352694"/>
    <w:rsid w:val="00352D46"/>
    <w:rsid w:val="00352DBB"/>
    <w:rsid w:val="003538BD"/>
    <w:rsid w:val="00353E6C"/>
    <w:rsid w:val="00353E92"/>
    <w:rsid w:val="00353F48"/>
    <w:rsid w:val="00354046"/>
    <w:rsid w:val="0035406E"/>
    <w:rsid w:val="003540E0"/>
    <w:rsid w:val="003544A2"/>
    <w:rsid w:val="00355573"/>
    <w:rsid w:val="00355AE7"/>
    <w:rsid w:val="00356099"/>
    <w:rsid w:val="003560DD"/>
    <w:rsid w:val="00356541"/>
    <w:rsid w:val="0035664C"/>
    <w:rsid w:val="003574DA"/>
    <w:rsid w:val="00357704"/>
    <w:rsid w:val="00357788"/>
    <w:rsid w:val="003577EA"/>
    <w:rsid w:val="00357AA7"/>
    <w:rsid w:val="00357AB9"/>
    <w:rsid w:val="0036032C"/>
    <w:rsid w:val="00360385"/>
    <w:rsid w:val="003604D4"/>
    <w:rsid w:val="00360620"/>
    <w:rsid w:val="00360809"/>
    <w:rsid w:val="0036082B"/>
    <w:rsid w:val="00360EEC"/>
    <w:rsid w:val="0036103F"/>
    <w:rsid w:val="003611A9"/>
    <w:rsid w:val="00361264"/>
    <w:rsid w:val="00361AEA"/>
    <w:rsid w:val="00361B04"/>
    <w:rsid w:val="00361F62"/>
    <w:rsid w:val="00362158"/>
    <w:rsid w:val="00362263"/>
    <w:rsid w:val="00362383"/>
    <w:rsid w:val="00363133"/>
    <w:rsid w:val="0036350D"/>
    <w:rsid w:val="00363586"/>
    <w:rsid w:val="0036381A"/>
    <w:rsid w:val="00363C5C"/>
    <w:rsid w:val="0036434B"/>
    <w:rsid w:val="00364E15"/>
    <w:rsid w:val="00365098"/>
    <w:rsid w:val="00365395"/>
    <w:rsid w:val="003653C2"/>
    <w:rsid w:val="0036582A"/>
    <w:rsid w:val="003659A3"/>
    <w:rsid w:val="00365A88"/>
    <w:rsid w:val="00366262"/>
    <w:rsid w:val="0036683A"/>
    <w:rsid w:val="00366B0D"/>
    <w:rsid w:val="00367064"/>
    <w:rsid w:val="0036732D"/>
    <w:rsid w:val="00367FEB"/>
    <w:rsid w:val="00370552"/>
    <w:rsid w:val="00370583"/>
    <w:rsid w:val="0037061D"/>
    <w:rsid w:val="00370F12"/>
    <w:rsid w:val="00371270"/>
    <w:rsid w:val="003715ED"/>
    <w:rsid w:val="003717D9"/>
    <w:rsid w:val="0037191B"/>
    <w:rsid w:val="00371E8C"/>
    <w:rsid w:val="00371FDB"/>
    <w:rsid w:val="00372280"/>
    <w:rsid w:val="003724EE"/>
    <w:rsid w:val="003725C2"/>
    <w:rsid w:val="00372C0E"/>
    <w:rsid w:val="00372DA0"/>
    <w:rsid w:val="00372F27"/>
    <w:rsid w:val="00372F5A"/>
    <w:rsid w:val="0037336F"/>
    <w:rsid w:val="00373550"/>
    <w:rsid w:val="00373658"/>
    <w:rsid w:val="00373751"/>
    <w:rsid w:val="00373EA1"/>
    <w:rsid w:val="00374210"/>
    <w:rsid w:val="003749CF"/>
    <w:rsid w:val="00374E0D"/>
    <w:rsid w:val="00374E17"/>
    <w:rsid w:val="00374F50"/>
    <w:rsid w:val="003752EA"/>
    <w:rsid w:val="00375597"/>
    <w:rsid w:val="003756C3"/>
    <w:rsid w:val="003758BB"/>
    <w:rsid w:val="00375A5E"/>
    <w:rsid w:val="00375AF5"/>
    <w:rsid w:val="00376058"/>
    <w:rsid w:val="00376BD1"/>
    <w:rsid w:val="00376FC7"/>
    <w:rsid w:val="0037727D"/>
    <w:rsid w:val="003774CD"/>
    <w:rsid w:val="0038034F"/>
    <w:rsid w:val="003804DB"/>
    <w:rsid w:val="00380B2E"/>
    <w:rsid w:val="0038123A"/>
    <w:rsid w:val="00381A98"/>
    <w:rsid w:val="00381AB9"/>
    <w:rsid w:val="00381D19"/>
    <w:rsid w:val="00381DE4"/>
    <w:rsid w:val="00382355"/>
    <w:rsid w:val="003824B8"/>
    <w:rsid w:val="00382D52"/>
    <w:rsid w:val="00382FB8"/>
    <w:rsid w:val="003831A5"/>
    <w:rsid w:val="0038324A"/>
    <w:rsid w:val="0038337B"/>
    <w:rsid w:val="00383988"/>
    <w:rsid w:val="00383BAD"/>
    <w:rsid w:val="003840A2"/>
    <w:rsid w:val="00384CEB"/>
    <w:rsid w:val="00384E5E"/>
    <w:rsid w:val="00384EC5"/>
    <w:rsid w:val="003851FA"/>
    <w:rsid w:val="00385583"/>
    <w:rsid w:val="0038558B"/>
    <w:rsid w:val="00386697"/>
    <w:rsid w:val="00386C26"/>
    <w:rsid w:val="00386E0F"/>
    <w:rsid w:val="00386F44"/>
    <w:rsid w:val="003871F7"/>
    <w:rsid w:val="00387486"/>
    <w:rsid w:val="0038797D"/>
    <w:rsid w:val="003879A5"/>
    <w:rsid w:val="00387B4C"/>
    <w:rsid w:val="00387D6C"/>
    <w:rsid w:val="00387E06"/>
    <w:rsid w:val="0039003E"/>
    <w:rsid w:val="0039021F"/>
    <w:rsid w:val="00390705"/>
    <w:rsid w:val="00390A1C"/>
    <w:rsid w:val="00390BDA"/>
    <w:rsid w:val="00390E26"/>
    <w:rsid w:val="00390EEC"/>
    <w:rsid w:val="0039140F"/>
    <w:rsid w:val="0039161E"/>
    <w:rsid w:val="003918F4"/>
    <w:rsid w:val="00391ED2"/>
    <w:rsid w:val="00391FEB"/>
    <w:rsid w:val="00392059"/>
    <w:rsid w:val="003922B0"/>
    <w:rsid w:val="0039268F"/>
    <w:rsid w:val="0039361C"/>
    <w:rsid w:val="00393C67"/>
    <w:rsid w:val="0039408F"/>
    <w:rsid w:val="0039418B"/>
    <w:rsid w:val="00394290"/>
    <w:rsid w:val="0039457F"/>
    <w:rsid w:val="003947A5"/>
    <w:rsid w:val="00394D57"/>
    <w:rsid w:val="00394F70"/>
    <w:rsid w:val="00395C24"/>
    <w:rsid w:val="00395CC5"/>
    <w:rsid w:val="00395EE2"/>
    <w:rsid w:val="00396506"/>
    <w:rsid w:val="00396815"/>
    <w:rsid w:val="00396D6B"/>
    <w:rsid w:val="00396DE3"/>
    <w:rsid w:val="0039719A"/>
    <w:rsid w:val="003974ED"/>
    <w:rsid w:val="003976E6"/>
    <w:rsid w:val="00397AB1"/>
    <w:rsid w:val="00397C50"/>
    <w:rsid w:val="00397C8A"/>
    <w:rsid w:val="00397D39"/>
    <w:rsid w:val="003A0434"/>
    <w:rsid w:val="003A04D6"/>
    <w:rsid w:val="003A04FE"/>
    <w:rsid w:val="003A080A"/>
    <w:rsid w:val="003A199A"/>
    <w:rsid w:val="003A2E22"/>
    <w:rsid w:val="003A2F0B"/>
    <w:rsid w:val="003A2F15"/>
    <w:rsid w:val="003A35A4"/>
    <w:rsid w:val="003A35A6"/>
    <w:rsid w:val="003A375C"/>
    <w:rsid w:val="003A3927"/>
    <w:rsid w:val="003A3C3D"/>
    <w:rsid w:val="003A427F"/>
    <w:rsid w:val="003A49EB"/>
    <w:rsid w:val="003A4C67"/>
    <w:rsid w:val="003A5605"/>
    <w:rsid w:val="003A5721"/>
    <w:rsid w:val="003A5789"/>
    <w:rsid w:val="003A596B"/>
    <w:rsid w:val="003A5A6F"/>
    <w:rsid w:val="003A5B54"/>
    <w:rsid w:val="003A5BC4"/>
    <w:rsid w:val="003A5D07"/>
    <w:rsid w:val="003A6645"/>
    <w:rsid w:val="003A6841"/>
    <w:rsid w:val="003A6909"/>
    <w:rsid w:val="003A6B3C"/>
    <w:rsid w:val="003A6DC3"/>
    <w:rsid w:val="003A713E"/>
    <w:rsid w:val="003A72B2"/>
    <w:rsid w:val="003B0D1D"/>
    <w:rsid w:val="003B14BD"/>
    <w:rsid w:val="003B16C9"/>
    <w:rsid w:val="003B1762"/>
    <w:rsid w:val="003B1822"/>
    <w:rsid w:val="003B19DD"/>
    <w:rsid w:val="003B2428"/>
    <w:rsid w:val="003B24C0"/>
    <w:rsid w:val="003B27F0"/>
    <w:rsid w:val="003B2B20"/>
    <w:rsid w:val="003B2C15"/>
    <w:rsid w:val="003B2DB7"/>
    <w:rsid w:val="003B302B"/>
    <w:rsid w:val="003B33DD"/>
    <w:rsid w:val="003B3630"/>
    <w:rsid w:val="003B3730"/>
    <w:rsid w:val="003B373F"/>
    <w:rsid w:val="003B3775"/>
    <w:rsid w:val="003B3EC4"/>
    <w:rsid w:val="003B415F"/>
    <w:rsid w:val="003B4252"/>
    <w:rsid w:val="003B4395"/>
    <w:rsid w:val="003B469B"/>
    <w:rsid w:val="003B47B1"/>
    <w:rsid w:val="003B4A44"/>
    <w:rsid w:val="003B4AED"/>
    <w:rsid w:val="003B4E58"/>
    <w:rsid w:val="003B5280"/>
    <w:rsid w:val="003B5547"/>
    <w:rsid w:val="003B5D00"/>
    <w:rsid w:val="003B5F66"/>
    <w:rsid w:val="003B6641"/>
    <w:rsid w:val="003B66C2"/>
    <w:rsid w:val="003B69B3"/>
    <w:rsid w:val="003B6B24"/>
    <w:rsid w:val="003B6CFA"/>
    <w:rsid w:val="003B72C4"/>
    <w:rsid w:val="003B7313"/>
    <w:rsid w:val="003B75BE"/>
    <w:rsid w:val="003B7A77"/>
    <w:rsid w:val="003C0BC9"/>
    <w:rsid w:val="003C0C22"/>
    <w:rsid w:val="003C0C2C"/>
    <w:rsid w:val="003C0E20"/>
    <w:rsid w:val="003C1268"/>
    <w:rsid w:val="003C189A"/>
    <w:rsid w:val="003C1950"/>
    <w:rsid w:val="003C199E"/>
    <w:rsid w:val="003C1BBA"/>
    <w:rsid w:val="003C1DC3"/>
    <w:rsid w:val="003C1E75"/>
    <w:rsid w:val="003C2414"/>
    <w:rsid w:val="003C278D"/>
    <w:rsid w:val="003C3333"/>
    <w:rsid w:val="003C370E"/>
    <w:rsid w:val="003C38A3"/>
    <w:rsid w:val="003C3925"/>
    <w:rsid w:val="003C3DBF"/>
    <w:rsid w:val="003C46BB"/>
    <w:rsid w:val="003C46FF"/>
    <w:rsid w:val="003C4847"/>
    <w:rsid w:val="003C4AD3"/>
    <w:rsid w:val="003C4BB9"/>
    <w:rsid w:val="003C4C31"/>
    <w:rsid w:val="003C4D57"/>
    <w:rsid w:val="003C4DE1"/>
    <w:rsid w:val="003C4E13"/>
    <w:rsid w:val="003C5774"/>
    <w:rsid w:val="003C5877"/>
    <w:rsid w:val="003C60C0"/>
    <w:rsid w:val="003C631A"/>
    <w:rsid w:val="003C6736"/>
    <w:rsid w:val="003C6949"/>
    <w:rsid w:val="003C6A92"/>
    <w:rsid w:val="003C6D47"/>
    <w:rsid w:val="003C6DD6"/>
    <w:rsid w:val="003C7317"/>
    <w:rsid w:val="003C77DA"/>
    <w:rsid w:val="003C7A10"/>
    <w:rsid w:val="003C7FCA"/>
    <w:rsid w:val="003D0018"/>
    <w:rsid w:val="003D0097"/>
    <w:rsid w:val="003D00DF"/>
    <w:rsid w:val="003D0251"/>
    <w:rsid w:val="003D07C3"/>
    <w:rsid w:val="003D0C28"/>
    <w:rsid w:val="003D0DE4"/>
    <w:rsid w:val="003D1705"/>
    <w:rsid w:val="003D1888"/>
    <w:rsid w:val="003D1DCA"/>
    <w:rsid w:val="003D21E2"/>
    <w:rsid w:val="003D23F8"/>
    <w:rsid w:val="003D2564"/>
    <w:rsid w:val="003D2645"/>
    <w:rsid w:val="003D2A00"/>
    <w:rsid w:val="003D2AA0"/>
    <w:rsid w:val="003D2CDF"/>
    <w:rsid w:val="003D30F9"/>
    <w:rsid w:val="003D3195"/>
    <w:rsid w:val="003D3317"/>
    <w:rsid w:val="003D3B96"/>
    <w:rsid w:val="003D3C19"/>
    <w:rsid w:val="003D3C8B"/>
    <w:rsid w:val="003D422A"/>
    <w:rsid w:val="003D4B03"/>
    <w:rsid w:val="003D53C4"/>
    <w:rsid w:val="003D54C3"/>
    <w:rsid w:val="003D5661"/>
    <w:rsid w:val="003D5839"/>
    <w:rsid w:val="003D5936"/>
    <w:rsid w:val="003D5B03"/>
    <w:rsid w:val="003D5D4C"/>
    <w:rsid w:val="003D67D2"/>
    <w:rsid w:val="003D6BD4"/>
    <w:rsid w:val="003D6EC7"/>
    <w:rsid w:val="003D719D"/>
    <w:rsid w:val="003D771F"/>
    <w:rsid w:val="003D7EBA"/>
    <w:rsid w:val="003E00FA"/>
    <w:rsid w:val="003E0895"/>
    <w:rsid w:val="003E0C40"/>
    <w:rsid w:val="003E0F13"/>
    <w:rsid w:val="003E1011"/>
    <w:rsid w:val="003E10B9"/>
    <w:rsid w:val="003E22A2"/>
    <w:rsid w:val="003E2AAB"/>
    <w:rsid w:val="003E2BC2"/>
    <w:rsid w:val="003E32B2"/>
    <w:rsid w:val="003E36D0"/>
    <w:rsid w:val="003E3953"/>
    <w:rsid w:val="003E4173"/>
    <w:rsid w:val="003E44D0"/>
    <w:rsid w:val="003E47F8"/>
    <w:rsid w:val="003E5798"/>
    <w:rsid w:val="003E5909"/>
    <w:rsid w:val="003E5BC9"/>
    <w:rsid w:val="003E613E"/>
    <w:rsid w:val="003E64F3"/>
    <w:rsid w:val="003E6818"/>
    <w:rsid w:val="003E68E8"/>
    <w:rsid w:val="003E71C9"/>
    <w:rsid w:val="003E7504"/>
    <w:rsid w:val="003E756F"/>
    <w:rsid w:val="003E7664"/>
    <w:rsid w:val="003E7979"/>
    <w:rsid w:val="003E7A03"/>
    <w:rsid w:val="003E7D1A"/>
    <w:rsid w:val="003E7D5A"/>
    <w:rsid w:val="003E7FA5"/>
    <w:rsid w:val="003F0255"/>
    <w:rsid w:val="003F04B8"/>
    <w:rsid w:val="003F0BCE"/>
    <w:rsid w:val="003F0D60"/>
    <w:rsid w:val="003F0FD0"/>
    <w:rsid w:val="003F18FB"/>
    <w:rsid w:val="003F1DED"/>
    <w:rsid w:val="003F1E13"/>
    <w:rsid w:val="003F1E88"/>
    <w:rsid w:val="003F238B"/>
    <w:rsid w:val="003F23A3"/>
    <w:rsid w:val="003F31B5"/>
    <w:rsid w:val="003F379E"/>
    <w:rsid w:val="003F382C"/>
    <w:rsid w:val="003F3E0E"/>
    <w:rsid w:val="003F3FBB"/>
    <w:rsid w:val="003F410A"/>
    <w:rsid w:val="003F4F19"/>
    <w:rsid w:val="003F52FE"/>
    <w:rsid w:val="003F5960"/>
    <w:rsid w:val="003F626A"/>
    <w:rsid w:val="003F68A9"/>
    <w:rsid w:val="003F6933"/>
    <w:rsid w:val="003F6DCB"/>
    <w:rsid w:val="003F6F3A"/>
    <w:rsid w:val="003F74AC"/>
    <w:rsid w:val="003F76D6"/>
    <w:rsid w:val="003F7A75"/>
    <w:rsid w:val="003F7B9B"/>
    <w:rsid w:val="003F7DDA"/>
    <w:rsid w:val="0040029F"/>
    <w:rsid w:val="0040039A"/>
    <w:rsid w:val="004003C0"/>
    <w:rsid w:val="004006BC"/>
    <w:rsid w:val="00400A08"/>
    <w:rsid w:val="004010C7"/>
    <w:rsid w:val="00401468"/>
    <w:rsid w:val="0040162F"/>
    <w:rsid w:val="00401833"/>
    <w:rsid w:val="0040195E"/>
    <w:rsid w:val="00401A79"/>
    <w:rsid w:val="00401AC9"/>
    <w:rsid w:val="00402144"/>
    <w:rsid w:val="00402570"/>
    <w:rsid w:val="00402B76"/>
    <w:rsid w:val="00402D19"/>
    <w:rsid w:val="004030A5"/>
    <w:rsid w:val="004032DF"/>
    <w:rsid w:val="00403BB0"/>
    <w:rsid w:val="00403CBB"/>
    <w:rsid w:val="00404097"/>
    <w:rsid w:val="00404363"/>
    <w:rsid w:val="00404444"/>
    <w:rsid w:val="00404810"/>
    <w:rsid w:val="004048E3"/>
    <w:rsid w:val="00404BE6"/>
    <w:rsid w:val="00404C34"/>
    <w:rsid w:val="00404EEE"/>
    <w:rsid w:val="004051EE"/>
    <w:rsid w:val="004052C4"/>
    <w:rsid w:val="004052C6"/>
    <w:rsid w:val="0040599D"/>
    <w:rsid w:val="004059F9"/>
    <w:rsid w:val="00405AAE"/>
    <w:rsid w:val="004061ED"/>
    <w:rsid w:val="00406820"/>
    <w:rsid w:val="00407119"/>
    <w:rsid w:val="00407A4F"/>
    <w:rsid w:val="00407D31"/>
    <w:rsid w:val="00410240"/>
    <w:rsid w:val="0041048F"/>
    <w:rsid w:val="00410AF5"/>
    <w:rsid w:val="00410C78"/>
    <w:rsid w:val="00411131"/>
    <w:rsid w:val="004114AA"/>
    <w:rsid w:val="004118EA"/>
    <w:rsid w:val="00411C8F"/>
    <w:rsid w:val="00411FA9"/>
    <w:rsid w:val="004120FA"/>
    <w:rsid w:val="00412142"/>
    <w:rsid w:val="0041224E"/>
    <w:rsid w:val="0041269A"/>
    <w:rsid w:val="00412783"/>
    <w:rsid w:val="00412D40"/>
    <w:rsid w:val="00412DCC"/>
    <w:rsid w:val="004134C9"/>
    <w:rsid w:val="004136C8"/>
    <w:rsid w:val="0041374A"/>
    <w:rsid w:val="004138DA"/>
    <w:rsid w:val="00413BA6"/>
    <w:rsid w:val="00413BC4"/>
    <w:rsid w:val="00413FD4"/>
    <w:rsid w:val="00413FFC"/>
    <w:rsid w:val="00414443"/>
    <w:rsid w:val="00414B25"/>
    <w:rsid w:val="00414D8F"/>
    <w:rsid w:val="00414E79"/>
    <w:rsid w:val="004155B2"/>
    <w:rsid w:val="004157D2"/>
    <w:rsid w:val="0041592B"/>
    <w:rsid w:val="004161F0"/>
    <w:rsid w:val="004163F2"/>
    <w:rsid w:val="00416431"/>
    <w:rsid w:val="004167BE"/>
    <w:rsid w:val="00417270"/>
    <w:rsid w:val="00417679"/>
    <w:rsid w:val="00417890"/>
    <w:rsid w:val="00417903"/>
    <w:rsid w:val="004179F1"/>
    <w:rsid w:val="00417A01"/>
    <w:rsid w:val="00417C2C"/>
    <w:rsid w:val="00417CC4"/>
    <w:rsid w:val="00417EA9"/>
    <w:rsid w:val="00420245"/>
    <w:rsid w:val="0042040A"/>
    <w:rsid w:val="00420417"/>
    <w:rsid w:val="0042053E"/>
    <w:rsid w:val="00421163"/>
    <w:rsid w:val="004211E6"/>
    <w:rsid w:val="00421C4F"/>
    <w:rsid w:val="00421E69"/>
    <w:rsid w:val="00422097"/>
    <w:rsid w:val="00422191"/>
    <w:rsid w:val="00422677"/>
    <w:rsid w:val="00422E02"/>
    <w:rsid w:val="0042377A"/>
    <w:rsid w:val="00423AA4"/>
    <w:rsid w:val="00423D07"/>
    <w:rsid w:val="00423DAC"/>
    <w:rsid w:val="004242E9"/>
    <w:rsid w:val="00424A4B"/>
    <w:rsid w:val="004258E1"/>
    <w:rsid w:val="00425E64"/>
    <w:rsid w:val="00425ED8"/>
    <w:rsid w:val="0042695E"/>
    <w:rsid w:val="00426B9F"/>
    <w:rsid w:val="00426D4B"/>
    <w:rsid w:val="00426ECB"/>
    <w:rsid w:val="0042741B"/>
    <w:rsid w:val="004275DF"/>
    <w:rsid w:val="004277CC"/>
    <w:rsid w:val="00427A4F"/>
    <w:rsid w:val="00427D1F"/>
    <w:rsid w:val="004306DE"/>
    <w:rsid w:val="00430B82"/>
    <w:rsid w:val="00430D4B"/>
    <w:rsid w:val="00430DF7"/>
    <w:rsid w:val="004314FC"/>
    <w:rsid w:val="00431A86"/>
    <w:rsid w:val="00431B29"/>
    <w:rsid w:val="00431C18"/>
    <w:rsid w:val="00431E7A"/>
    <w:rsid w:val="00432192"/>
    <w:rsid w:val="0043233E"/>
    <w:rsid w:val="00432515"/>
    <w:rsid w:val="004326A1"/>
    <w:rsid w:val="00432865"/>
    <w:rsid w:val="00432AD3"/>
    <w:rsid w:val="00432B9D"/>
    <w:rsid w:val="004336E5"/>
    <w:rsid w:val="00433F09"/>
    <w:rsid w:val="00433FD0"/>
    <w:rsid w:val="004340D4"/>
    <w:rsid w:val="00434536"/>
    <w:rsid w:val="004349F3"/>
    <w:rsid w:val="00434F34"/>
    <w:rsid w:val="0043500B"/>
    <w:rsid w:val="004355C7"/>
    <w:rsid w:val="004358D9"/>
    <w:rsid w:val="00435BBE"/>
    <w:rsid w:val="00435EEF"/>
    <w:rsid w:val="00435F53"/>
    <w:rsid w:val="00436047"/>
    <w:rsid w:val="004361A1"/>
    <w:rsid w:val="004362B6"/>
    <w:rsid w:val="0043632A"/>
    <w:rsid w:val="004363A2"/>
    <w:rsid w:val="0043661E"/>
    <w:rsid w:val="00436635"/>
    <w:rsid w:val="004366AE"/>
    <w:rsid w:val="00436CA8"/>
    <w:rsid w:val="00436F1F"/>
    <w:rsid w:val="004376A1"/>
    <w:rsid w:val="004376BE"/>
    <w:rsid w:val="0043793A"/>
    <w:rsid w:val="004379DB"/>
    <w:rsid w:val="00437ACE"/>
    <w:rsid w:val="00437B66"/>
    <w:rsid w:val="00437B7A"/>
    <w:rsid w:val="00440511"/>
    <w:rsid w:val="0044060F"/>
    <w:rsid w:val="004408AD"/>
    <w:rsid w:val="00440944"/>
    <w:rsid w:val="0044097E"/>
    <w:rsid w:val="004411D1"/>
    <w:rsid w:val="0044180B"/>
    <w:rsid w:val="0044183D"/>
    <w:rsid w:val="004418F2"/>
    <w:rsid w:val="004418F7"/>
    <w:rsid w:val="00441D5C"/>
    <w:rsid w:val="00441E62"/>
    <w:rsid w:val="004420EA"/>
    <w:rsid w:val="004421C6"/>
    <w:rsid w:val="004422A9"/>
    <w:rsid w:val="0044269C"/>
    <w:rsid w:val="00442735"/>
    <w:rsid w:val="004429E8"/>
    <w:rsid w:val="00442B9E"/>
    <w:rsid w:val="00442C1C"/>
    <w:rsid w:val="00442DED"/>
    <w:rsid w:val="00443014"/>
    <w:rsid w:val="00443450"/>
    <w:rsid w:val="00443554"/>
    <w:rsid w:val="004436C9"/>
    <w:rsid w:val="0044376F"/>
    <w:rsid w:val="0044396A"/>
    <w:rsid w:val="0044444B"/>
    <w:rsid w:val="004444B3"/>
    <w:rsid w:val="00444576"/>
    <w:rsid w:val="0044463F"/>
    <w:rsid w:val="00444873"/>
    <w:rsid w:val="004448D2"/>
    <w:rsid w:val="00444FE4"/>
    <w:rsid w:val="00445884"/>
    <w:rsid w:val="00445B94"/>
    <w:rsid w:val="00445C1F"/>
    <w:rsid w:val="00445CAD"/>
    <w:rsid w:val="00445E66"/>
    <w:rsid w:val="00445EFC"/>
    <w:rsid w:val="00446509"/>
    <w:rsid w:val="004475FA"/>
    <w:rsid w:val="0044789A"/>
    <w:rsid w:val="00447FE3"/>
    <w:rsid w:val="004505D0"/>
    <w:rsid w:val="0045069B"/>
    <w:rsid w:val="004507E8"/>
    <w:rsid w:val="00450A2B"/>
    <w:rsid w:val="00450C90"/>
    <w:rsid w:val="00451062"/>
    <w:rsid w:val="00451422"/>
    <w:rsid w:val="00451C9D"/>
    <w:rsid w:val="00451EAC"/>
    <w:rsid w:val="004528E6"/>
    <w:rsid w:val="00452A0B"/>
    <w:rsid w:val="00452B1F"/>
    <w:rsid w:val="00452B68"/>
    <w:rsid w:val="00452F95"/>
    <w:rsid w:val="0045330D"/>
    <w:rsid w:val="004534BE"/>
    <w:rsid w:val="0045383B"/>
    <w:rsid w:val="00453A6A"/>
    <w:rsid w:val="00453AB0"/>
    <w:rsid w:val="00453C96"/>
    <w:rsid w:val="00453D56"/>
    <w:rsid w:val="00453EB9"/>
    <w:rsid w:val="00454241"/>
    <w:rsid w:val="004549D0"/>
    <w:rsid w:val="00454D52"/>
    <w:rsid w:val="004550D6"/>
    <w:rsid w:val="00455842"/>
    <w:rsid w:val="00455A19"/>
    <w:rsid w:val="00456A5C"/>
    <w:rsid w:val="00457531"/>
    <w:rsid w:val="00457711"/>
    <w:rsid w:val="004579A5"/>
    <w:rsid w:val="00457A58"/>
    <w:rsid w:val="0046026B"/>
    <w:rsid w:val="0046026E"/>
    <w:rsid w:val="004606BD"/>
    <w:rsid w:val="00460ADC"/>
    <w:rsid w:val="00460D7A"/>
    <w:rsid w:val="00460E4A"/>
    <w:rsid w:val="00461345"/>
    <w:rsid w:val="00461390"/>
    <w:rsid w:val="004614A8"/>
    <w:rsid w:val="004617A0"/>
    <w:rsid w:val="00461A55"/>
    <w:rsid w:val="004621C9"/>
    <w:rsid w:val="00462B40"/>
    <w:rsid w:val="00462FA0"/>
    <w:rsid w:val="004630AC"/>
    <w:rsid w:val="00463647"/>
    <w:rsid w:val="004637DE"/>
    <w:rsid w:val="004638ED"/>
    <w:rsid w:val="00463BE2"/>
    <w:rsid w:val="00463C97"/>
    <w:rsid w:val="004640FF"/>
    <w:rsid w:val="00464172"/>
    <w:rsid w:val="00464390"/>
    <w:rsid w:val="004644E7"/>
    <w:rsid w:val="00464695"/>
    <w:rsid w:val="004647A2"/>
    <w:rsid w:val="00464B7E"/>
    <w:rsid w:val="004653BD"/>
    <w:rsid w:val="00465430"/>
    <w:rsid w:val="00465A67"/>
    <w:rsid w:val="00465ED9"/>
    <w:rsid w:val="00466DB3"/>
    <w:rsid w:val="00467026"/>
    <w:rsid w:val="00467762"/>
    <w:rsid w:val="00467D1C"/>
    <w:rsid w:val="00467ECF"/>
    <w:rsid w:val="004700B1"/>
    <w:rsid w:val="004707F0"/>
    <w:rsid w:val="00470CBC"/>
    <w:rsid w:val="00470EE5"/>
    <w:rsid w:val="0047142C"/>
    <w:rsid w:val="0047188F"/>
    <w:rsid w:val="00471BB8"/>
    <w:rsid w:val="00471FD6"/>
    <w:rsid w:val="00472162"/>
    <w:rsid w:val="0047224A"/>
    <w:rsid w:val="004722D9"/>
    <w:rsid w:val="00472562"/>
    <w:rsid w:val="00472C29"/>
    <w:rsid w:val="00472C7F"/>
    <w:rsid w:val="00472E58"/>
    <w:rsid w:val="00472F1D"/>
    <w:rsid w:val="00473302"/>
    <w:rsid w:val="00473304"/>
    <w:rsid w:val="00473393"/>
    <w:rsid w:val="004735F4"/>
    <w:rsid w:val="004739F9"/>
    <w:rsid w:val="004742FE"/>
    <w:rsid w:val="00474D12"/>
    <w:rsid w:val="00474E61"/>
    <w:rsid w:val="00474FCC"/>
    <w:rsid w:val="004755C9"/>
    <w:rsid w:val="004755D4"/>
    <w:rsid w:val="00475958"/>
    <w:rsid w:val="00475E70"/>
    <w:rsid w:val="00475FA7"/>
    <w:rsid w:val="00475FC7"/>
    <w:rsid w:val="004761A7"/>
    <w:rsid w:val="004764C5"/>
    <w:rsid w:val="00476E7B"/>
    <w:rsid w:val="0047727E"/>
    <w:rsid w:val="004774CD"/>
    <w:rsid w:val="00477888"/>
    <w:rsid w:val="004779EC"/>
    <w:rsid w:val="00477AFD"/>
    <w:rsid w:val="00477DEB"/>
    <w:rsid w:val="004801A7"/>
    <w:rsid w:val="00480290"/>
    <w:rsid w:val="00480417"/>
    <w:rsid w:val="00480B2A"/>
    <w:rsid w:val="00481211"/>
    <w:rsid w:val="00481590"/>
    <w:rsid w:val="00481A34"/>
    <w:rsid w:val="00482141"/>
    <w:rsid w:val="004825C0"/>
    <w:rsid w:val="0048299A"/>
    <w:rsid w:val="004832ED"/>
    <w:rsid w:val="0048330F"/>
    <w:rsid w:val="0048339B"/>
    <w:rsid w:val="00483AEC"/>
    <w:rsid w:val="00483B28"/>
    <w:rsid w:val="00483DD1"/>
    <w:rsid w:val="00483DD2"/>
    <w:rsid w:val="00483FB4"/>
    <w:rsid w:val="00484748"/>
    <w:rsid w:val="00484839"/>
    <w:rsid w:val="00484846"/>
    <w:rsid w:val="0048499C"/>
    <w:rsid w:val="00484C81"/>
    <w:rsid w:val="00485995"/>
    <w:rsid w:val="00485B2C"/>
    <w:rsid w:val="00485C0B"/>
    <w:rsid w:val="004861B2"/>
    <w:rsid w:val="00486393"/>
    <w:rsid w:val="0048676D"/>
    <w:rsid w:val="00486E49"/>
    <w:rsid w:val="0048751D"/>
    <w:rsid w:val="00487E7A"/>
    <w:rsid w:val="00490032"/>
    <w:rsid w:val="004900E7"/>
    <w:rsid w:val="0049029D"/>
    <w:rsid w:val="004904D5"/>
    <w:rsid w:val="00490754"/>
    <w:rsid w:val="0049081D"/>
    <w:rsid w:val="00490CE1"/>
    <w:rsid w:val="0049126B"/>
    <w:rsid w:val="004919AD"/>
    <w:rsid w:val="004919DD"/>
    <w:rsid w:val="00491D48"/>
    <w:rsid w:val="004920AC"/>
    <w:rsid w:val="004921F4"/>
    <w:rsid w:val="0049233C"/>
    <w:rsid w:val="004926B4"/>
    <w:rsid w:val="00492A92"/>
    <w:rsid w:val="00492F8A"/>
    <w:rsid w:val="004933C8"/>
    <w:rsid w:val="00493542"/>
    <w:rsid w:val="00493A6C"/>
    <w:rsid w:val="00493A7B"/>
    <w:rsid w:val="00493AC0"/>
    <w:rsid w:val="00493B7E"/>
    <w:rsid w:val="00493D53"/>
    <w:rsid w:val="004943BE"/>
    <w:rsid w:val="00494A58"/>
    <w:rsid w:val="00494AAB"/>
    <w:rsid w:val="00494D7F"/>
    <w:rsid w:val="004967C3"/>
    <w:rsid w:val="004968C6"/>
    <w:rsid w:val="004970E3"/>
    <w:rsid w:val="00497681"/>
    <w:rsid w:val="0049797D"/>
    <w:rsid w:val="00497A64"/>
    <w:rsid w:val="00497D26"/>
    <w:rsid w:val="00497FD4"/>
    <w:rsid w:val="004A00B9"/>
    <w:rsid w:val="004A0258"/>
    <w:rsid w:val="004A08DF"/>
    <w:rsid w:val="004A0939"/>
    <w:rsid w:val="004A0CA9"/>
    <w:rsid w:val="004A1484"/>
    <w:rsid w:val="004A1DAF"/>
    <w:rsid w:val="004A2024"/>
    <w:rsid w:val="004A2026"/>
    <w:rsid w:val="004A214D"/>
    <w:rsid w:val="004A21AC"/>
    <w:rsid w:val="004A2450"/>
    <w:rsid w:val="004A2783"/>
    <w:rsid w:val="004A28DC"/>
    <w:rsid w:val="004A2DBF"/>
    <w:rsid w:val="004A2EA6"/>
    <w:rsid w:val="004A33C7"/>
    <w:rsid w:val="004A3509"/>
    <w:rsid w:val="004A359D"/>
    <w:rsid w:val="004A39B9"/>
    <w:rsid w:val="004A3D19"/>
    <w:rsid w:val="004A4189"/>
    <w:rsid w:val="004A51C4"/>
    <w:rsid w:val="004A534C"/>
    <w:rsid w:val="004A53E8"/>
    <w:rsid w:val="004A566C"/>
    <w:rsid w:val="004A585E"/>
    <w:rsid w:val="004A62FC"/>
    <w:rsid w:val="004A65F3"/>
    <w:rsid w:val="004A6960"/>
    <w:rsid w:val="004A6F35"/>
    <w:rsid w:val="004A7264"/>
    <w:rsid w:val="004A727C"/>
    <w:rsid w:val="004A7529"/>
    <w:rsid w:val="004B072C"/>
    <w:rsid w:val="004B081A"/>
    <w:rsid w:val="004B0936"/>
    <w:rsid w:val="004B0AD7"/>
    <w:rsid w:val="004B0D95"/>
    <w:rsid w:val="004B0E71"/>
    <w:rsid w:val="004B0F76"/>
    <w:rsid w:val="004B16C6"/>
    <w:rsid w:val="004B1B68"/>
    <w:rsid w:val="004B2286"/>
    <w:rsid w:val="004B237E"/>
    <w:rsid w:val="004B2417"/>
    <w:rsid w:val="004B255B"/>
    <w:rsid w:val="004B27EB"/>
    <w:rsid w:val="004B2A3A"/>
    <w:rsid w:val="004B303B"/>
    <w:rsid w:val="004B32D6"/>
    <w:rsid w:val="004B345B"/>
    <w:rsid w:val="004B3828"/>
    <w:rsid w:val="004B3A6E"/>
    <w:rsid w:val="004B3CB8"/>
    <w:rsid w:val="004B410F"/>
    <w:rsid w:val="004B432B"/>
    <w:rsid w:val="004B44E2"/>
    <w:rsid w:val="004B4F9E"/>
    <w:rsid w:val="004B5546"/>
    <w:rsid w:val="004B56B5"/>
    <w:rsid w:val="004B579A"/>
    <w:rsid w:val="004B59DD"/>
    <w:rsid w:val="004B5FEE"/>
    <w:rsid w:val="004B63C9"/>
    <w:rsid w:val="004B65F1"/>
    <w:rsid w:val="004B6791"/>
    <w:rsid w:val="004B67EC"/>
    <w:rsid w:val="004B69AB"/>
    <w:rsid w:val="004B6C25"/>
    <w:rsid w:val="004B6E1A"/>
    <w:rsid w:val="004B7738"/>
    <w:rsid w:val="004B78C8"/>
    <w:rsid w:val="004B7A45"/>
    <w:rsid w:val="004B7DE5"/>
    <w:rsid w:val="004C00D9"/>
    <w:rsid w:val="004C08FD"/>
    <w:rsid w:val="004C09EF"/>
    <w:rsid w:val="004C1034"/>
    <w:rsid w:val="004C1094"/>
    <w:rsid w:val="004C1114"/>
    <w:rsid w:val="004C12B2"/>
    <w:rsid w:val="004C1A06"/>
    <w:rsid w:val="004C23B0"/>
    <w:rsid w:val="004C2438"/>
    <w:rsid w:val="004C2863"/>
    <w:rsid w:val="004C2EE0"/>
    <w:rsid w:val="004C30A5"/>
    <w:rsid w:val="004C3338"/>
    <w:rsid w:val="004C3558"/>
    <w:rsid w:val="004C36E3"/>
    <w:rsid w:val="004C403A"/>
    <w:rsid w:val="004C4043"/>
    <w:rsid w:val="004C4095"/>
    <w:rsid w:val="004C5196"/>
    <w:rsid w:val="004C534C"/>
    <w:rsid w:val="004C5626"/>
    <w:rsid w:val="004C5659"/>
    <w:rsid w:val="004C58DB"/>
    <w:rsid w:val="004C5996"/>
    <w:rsid w:val="004C5B06"/>
    <w:rsid w:val="004C5D4B"/>
    <w:rsid w:val="004C5E8C"/>
    <w:rsid w:val="004C6710"/>
    <w:rsid w:val="004C69BB"/>
    <w:rsid w:val="004C6A24"/>
    <w:rsid w:val="004C6CA4"/>
    <w:rsid w:val="004C700D"/>
    <w:rsid w:val="004C7911"/>
    <w:rsid w:val="004C7C45"/>
    <w:rsid w:val="004D0006"/>
    <w:rsid w:val="004D0137"/>
    <w:rsid w:val="004D0346"/>
    <w:rsid w:val="004D035B"/>
    <w:rsid w:val="004D052A"/>
    <w:rsid w:val="004D06A0"/>
    <w:rsid w:val="004D0D36"/>
    <w:rsid w:val="004D0DAD"/>
    <w:rsid w:val="004D2181"/>
    <w:rsid w:val="004D2408"/>
    <w:rsid w:val="004D241C"/>
    <w:rsid w:val="004D2841"/>
    <w:rsid w:val="004D2CB0"/>
    <w:rsid w:val="004D3861"/>
    <w:rsid w:val="004D3D48"/>
    <w:rsid w:val="004D3F03"/>
    <w:rsid w:val="004D3FAC"/>
    <w:rsid w:val="004D4019"/>
    <w:rsid w:val="004D4146"/>
    <w:rsid w:val="004D41E3"/>
    <w:rsid w:val="004D42F6"/>
    <w:rsid w:val="004D443B"/>
    <w:rsid w:val="004D44EA"/>
    <w:rsid w:val="004D4627"/>
    <w:rsid w:val="004D48CF"/>
    <w:rsid w:val="004D49AF"/>
    <w:rsid w:val="004D4BD5"/>
    <w:rsid w:val="004D4C68"/>
    <w:rsid w:val="004D4E66"/>
    <w:rsid w:val="004D4E92"/>
    <w:rsid w:val="004D4EC5"/>
    <w:rsid w:val="004D4EF8"/>
    <w:rsid w:val="004D4FD3"/>
    <w:rsid w:val="004D50CA"/>
    <w:rsid w:val="004D52D1"/>
    <w:rsid w:val="004D58A0"/>
    <w:rsid w:val="004D58E3"/>
    <w:rsid w:val="004D640B"/>
    <w:rsid w:val="004D6BCD"/>
    <w:rsid w:val="004D6DBE"/>
    <w:rsid w:val="004D6E4C"/>
    <w:rsid w:val="004D721F"/>
    <w:rsid w:val="004D72A9"/>
    <w:rsid w:val="004D739D"/>
    <w:rsid w:val="004D74E6"/>
    <w:rsid w:val="004D7F68"/>
    <w:rsid w:val="004E056E"/>
    <w:rsid w:val="004E0BC5"/>
    <w:rsid w:val="004E0CFA"/>
    <w:rsid w:val="004E1048"/>
    <w:rsid w:val="004E126C"/>
    <w:rsid w:val="004E12E8"/>
    <w:rsid w:val="004E12F9"/>
    <w:rsid w:val="004E19A1"/>
    <w:rsid w:val="004E19E0"/>
    <w:rsid w:val="004E24A6"/>
    <w:rsid w:val="004E25DA"/>
    <w:rsid w:val="004E3188"/>
    <w:rsid w:val="004E3204"/>
    <w:rsid w:val="004E3356"/>
    <w:rsid w:val="004E3D40"/>
    <w:rsid w:val="004E46F2"/>
    <w:rsid w:val="004E4E65"/>
    <w:rsid w:val="004E6953"/>
    <w:rsid w:val="004E69F8"/>
    <w:rsid w:val="004E6E00"/>
    <w:rsid w:val="004E7012"/>
    <w:rsid w:val="004E7591"/>
    <w:rsid w:val="004E7662"/>
    <w:rsid w:val="004E77CB"/>
    <w:rsid w:val="004E7950"/>
    <w:rsid w:val="004E7C08"/>
    <w:rsid w:val="004E7CE1"/>
    <w:rsid w:val="004F016A"/>
    <w:rsid w:val="004F0188"/>
    <w:rsid w:val="004F0254"/>
    <w:rsid w:val="004F0434"/>
    <w:rsid w:val="004F05A4"/>
    <w:rsid w:val="004F05AF"/>
    <w:rsid w:val="004F0682"/>
    <w:rsid w:val="004F0CE9"/>
    <w:rsid w:val="004F0D32"/>
    <w:rsid w:val="004F0DBC"/>
    <w:rsid w:val="004F1565"/>
    <w:rsid w:val="004F2BC1"/>
    <w:rsid w:val="004F2C5D"/>
    <w:rsid w:val="004F3439"/>
    <w:rsid w:val="004F3CA3"/>
    <w:rsid w:val="004F498C"/>
    <w:rsid w:val="004F4AF7"/>
    <w:rsid w:val="004F4C2B"/>
    <w:rsid w:val="004F5524"/>
    <w:rsid w:val="004F610E"/>
    <w:rsid w:val="004F6948"/>
    <w:rsid w:val="004F6CFF"/>
    <w:rsid w:val="004F79FF"/>
    <w:rsid w:val="004F7A03"/>
    <w:rsid w:val="004F7C4B"/>
    <w:rsid w:val="004F7D69"/>
    <w:rsid w:val="004F7EC2"/>
    <w:rsid w:val="00500235"/>
    <w:rsid w:val="005003F8"/>
    <w:rsid w:val="0050059A"/>
    <w:rsid w:val="00500D02"/>
    <w:rsid w:val="00501304"/>
    <w:rsid w:val="00501353"/>
    <w:rsid w:val="00501610"/>
    <w:rsid w:val="005019E8"/>
    <w:rsid w:val="00501DD2"/>
    <w:rsid w:val="005021E9"/>
    <w:rsid w:val="0050235D"/>
    <w:rsid w:val="005023A7"/>
    <w:rsid w:val="005023FB"/>
    <w:rsid w:val="00502473"/>
    <w:rsid w:val="0050291B"/>
    <w:rsid w:val="00502941"/>
    <w:rsid w:val="00502A79"/>
    <w:rsid w:val="00502F47"/>
    <w:rsid w:val="005037D0"/>
    <w:rsid w:val="00503918"/>
    <w:rsid w:val="00503A4A"/>
    <w:rsid w:val="00504637"/>
    <w:rsid w:val="0050471B"/>
    <w:rsid w:val="00504ACD"/>
    <w:rsid w:val="00504B62"/>
    <w:rsid w:val="005051C9"/>
    <w:rsid w:val="005052A4"/>
    <w:rsid w:val="00505318"/>
    <w:rsid w:val="0050551C"/>
    <w:rsid w:val="0050552E"/>
    <w:rsid w:val="0050568C"/>
    <w:rsid w:val="00505766"/>
    <w:rsid w:val="00505E86"/>
    <w:rsid w:val="00506A15"/>
    <w:rsid w:val="00506A60"/>
    <w:rsid w:val="00506B6F"/>
    <w:rsid w:val="00506E52"/>
    <w:rsid w:val="00507259"/>
    <w:rsid w:val="0050770B"/>
    <w:rsid w:val="00507E44"/>
    <w:rsid w:val="00507EFE"/>
    <w:rsid w:val="0051077F"/>
    <w:rsid w:val="005109E1"/>
    <w:rsid w:val="00510C3F"/>
    <w:rsid w:val="00510F37"/>
    <w:rsid w:val="005110DE"/>
    <w:rsid w:val="00511180"/>
    <w:rsid w:val="00511F60"/>
    <w:rsid w:val="00512631"/>
    <w:rsid w:val="00512AC7"/>
    <w:rsid w:val="00512C5A"/>
    <w:rsid w:val="00512ED2"/>
    <w:rsid w:val="00513314"/>
    <w:rsid w:val="00513C97"/>
    <w:rsid w:val="00513DF0"/>
    <w:rsid w:val="00513F63"/>
    <w:rsid w:val="00514349"/>
    <w:rsid w:val="0051438E"/>
    <w:rsid w:val="00514700"/>
    <w:rsid w:val="00514786"/>
    <w:rsid w:val="005147F8"/>
    <w:rsid w:val="0051486C"/>
    <w:rsid w:val="00514E94"/>
    <w:rsid w:val="005150E5"/>
    <w:rsid w:val="0051518B"/>
    <w:rsid w:val="005153B6"/>
    <w:rsid w:val="00515592"/>
    <w:rsid w:val="005157E1"/>
    <w:rsid w:val="00515A24"/>
    <w:rsid w:val="00515D44"/>
    <w:rsid w:val="00515EFD"/>
    <w:rsid w:val="00516973"/>
    <w:rsid w:val="005172E3"/>
    <w:rsid w:val="00517894"/>
    <w:rsid w:val="00517C75"/>
    <w:rsid w:val="00517DAC"/>
    <w:rsid w:val="00517E1B"/>
    <w:rsid w:val="0052062B"/>
    <w:rsid w:val="00520651"/>
    <w:rsid w:val="005206A7"/>
    <w:rsid w:val="00520790"/>
    <w:rsid w:val="005208E3"/>
    <w:rsid w:val="005210D1"/>
    <w:rsid w:val="005219A5"/>
    <w:rsid w:val="00521D5B"/>
    <w:rsid w:val="0052254A"/>
    <w:rsid w:val="0052294F"/>
    <w:rsid w:val="0052299C"/>
    <w:rsid w:val="005232B8"/>
    <w:rsid w:val="005235A1"/>
    <w:rsid w:val="00523612"/>
    <w:rsid w:val="005243F7"/>
    <w:rsid w:val="00524639"/>
    <w:rsid w:val="00524F3F"/>
    <w:rsid w:val="00525032"/>
    <w:rsid w:val="00525709"/>
    <w:rsid w:val="0052588F"/>
    <w:rsid w:val="00525CE5"/>
    <w:rsid w:val="00526190"/>
    <w:rsid w:val="005262A8"/>
    <w:rsid w:val="00526375"/>
    <w:rsid w:val="00526443"/>
    <w:rsid w:val="00526461"/>
    <w:rsid w:val="00526612"/>
    <w:rsid w:val="00526749"/>
    <w:rsid w:val="0052698F"/>
    <w:rsid w:val="00526A4E"/>
    <w:rsid w:val="00526C0D"/>
    <w:rsid w:val="00526FB3"/>
    <w:rsid w:val="00526FCC"/>
    <w:rsid w:val="0052721C"/>
    <w:rsid w:val="00527354"/>
    <w:rsid w:val="005276F4"/>
    <w:rsid w:val="00527726"/>
    <w:rsid w:val="00530463"/>
    <w:rsid w:val="00530721"/>
    <w:rsid w:val="005309C4"/>
    <w:rsid w:val="00530B17"/>
    <w:rsid w:val="00530C8D"/>
    <w:rsid w:val="0053124E"/>
    <w:rsid w:val="0053165C"/>
    <w:rsid w:val="00531762"/>
    <w:rsid w:val="00531D4A"/>
    <w:rsid w:val="00531F0B"/>
    <w:rsid w:val="00532895"/>
    <w:rsid w:val="005329B5"/>
    <w:rsid w:val="00532FED"/>
    <w:rsid w:val="00533654"/>
    <w:rsid w:val="00533B40"/>
    <w:rsid w:val="00533C6B"/>
    <w:rsid w:val="00533EF2"/>
    <w:rsid w:val="0053431A"/>
    <w:rsid w:val="00534A50"/>
    <w:rsid w:val="00534CE4"/>
    <w:rsid w:val="00534DB3"/>
    <w:rsid w:val="00535686"/>
    <w:rsid w:val="00535E30"/>
    <w:rsid w:val="00535EF3"/>
    <w:rsid w:val="0053628D"/>
    <w:rsid w:val="00536510"/>
    <w:rsid w:val="00536EDA"/>
    <w:rsid w:val="00537842"/>
    <w:rsid w:val="00537A1A"/>
    <w:rsid w:val="00537A9E"/>
    <w:rsid w:val="00540156"/>
    <w:rsid w:val="005402C0"/>
    <w:rsid w:val="00540D28"/>
    <w:rsid w:val="00540DAA"/>
    <w:rsid w:val="00540EFE"/>
    <w:rsid w:val="00540FFA"/>
    <w:rsid w:val="00541CED"/>
    <w:rsid w:val="005423C6"/>
    <w:rsid w:val="005427C8"/>
    <w:rsid w:val="00542A77"/>
    <w:rsid w:val="00542A9F"/>
    <w:rsid w:val="00543451"/>
    <w:rsid w:val="0054382C"/>
    <w:rsid w:val="005441B4"/>
    <w:rsid w:val="0054496F"/>
    <w:rsid w:val="00544A8E"/>
    <w:rsid w:val="00545BB0"/>
    <w:rsid w:val="0054671F"/>
    <w:rsid w:val="00546D02"/>
    <w:rsid w:val="00547180"/>
    <w:rsid w:val="00547295"/>
    <w:rsid w:val="005472AB"/>
    <w:rsid w:val="005474E7"/>
    <w:rsid w:val="00547542"/>
    <w:rsid w:val="005476C4"/>
    <w:rsid w:val="00547D41"/>
    <w:rsid w:val="0055078E"/>
    <w:rsid w:val="00550AE7"/>
    <w:rsid w:val="00550CF9"/>
    <w:rsid w:val="00550F48"/>
    <w:rsid w:val="005514DD"/>
    <w:rsid w:val="00551865"/>
    <w:rsid w:val="00551BF5"/>
    <w:rsid w:val="00552024"/>
    <w:rsid w:val="0055220B"/>
    <w:rsid w:val="00552554"/>
    <w:rsid w:val="005525A4"/>
    <w:rsid w:val="00552631"/>
    <w:rsid w:val="00552944"/>
    <w:rsid w:val="00553C7A"/>
    <w:rsid w:val="0055409D"/>
    <w:rsid w:val="00554212"/>
    <w:rsid w:val="0055441B"/>
    <w:rsid w:val="00554438"/>
    <w:rsid w:val="00554A21"/>
    <w:rsid w:val="00554B46"/>
    <w:rsid w:val="00554FBE"/>
    <w:rsid w:val="00555EC9"/>
    <w:rsid w:val="0055617A"/>
    <w:rsid w:val="00556C90"/>
    <w:rsid w:val="00556D8C"/>
    <w:rsid w:val="005572BF"/>
    <w:rsid w:val="00557891"/>
    <w:rsid w:val="005578F9"/>
    <w:rsid w:val="005579BB"/>
    <w:rsid w:val="00557C19"/>
    <w:rsid w:val="00560279"/>
    <w:rsid w:val="005603BB"/>
    <w:rsid w:val="00560A31"/>
    <w:rsid w:val="00560CEC"/>
    <w:rsid w:val="005612F5"/>
    <w:rsid w:val="00561DBE"/>
    <w:rsid w:val="0056241D"/>
    <w:rsid w:val="00562DD8"/>
    <w:rsid w:val="00562EE7"/>
    <w:rsid w:val="00562F9D"/>
    <w:rsid w:val="00563470"/>
    <w:rsid w:val="0056361F"/>
    <w:rsid w:val="005639DF"/>
    <w:rsid w:val="00563B19"/>
    <w:rsid w:val="00563D38"/>
    <w:rsid w:val="00563D76"/>
    <w:rsid w:val="00564083"/>
    <w:rsid w:val="005641FB"/>
    <w:rsid w:val="00564C40"/>
    <w:rsid w:val="0056502A"/>
    <w:rsid w:val="0056518E"/>
    <w:rsid w:val="00565264"/>
    <w:rsid w:val="00565647"/>
    <w:rsid w:val="00565DF7"/>
    <w:rsid w:val="005661AC"/>
    <w:rsid w:val="00566252"/>
    <w:rsid w:val="00566315"/>
    <w:rsid w:val="00566BBB"/>
    <w:rsid w:val="00566D75"/>
    <w:rsid w:val="00567581"/>
    <w:rsid w:val="00567617"/>
    <w:rsid w:val="00567A7B"/>
    <w:rsid w:val="00567B89"/>
    <w:rsid w:val="00567F1D"/>
    <w:rsid w:val="00570247"/>
    <w:rsid w:val="00570952"/>
    <w:rsid w:val="00570A47"/>
    <w:rsid w:val="00570F27"/>
    <w:rsid w:val="00570FD1"/>
    <w:rsid w:val="005712C6"/>
    <w:rsid w:val="005715B3"/>
    <w:rsid w:val="005716DB"/>
    <w:rsid w:val="0057173F"/>
    <w:rsid w:val="00571CB5"/>
    <w:rsid w:val="00572141"/>
    <w:rsid w:val="00572622"/>
    <w:rsid w:val="005727CB"/>
    <w:rsid w:val="005727DD"/>
    <w:rsid w:val="00572B79"/>
    <w:rsid w:val="005733B2"/>
    <w:rsid w:val="005736F5"/>
    <w:rsid w:val="0057451B"/>
    <w:rsid w:val="00574924"/>
    <w:rsid w:val="00574DD5"/>
    <w:rsid w:val="00574F8B"/>
    <w:rsid w:val="00575273"/>
    <w:rsid w:val="00575405"/>
    <w:rsid w:val="00575E30"/>
    <w:rsid w:val="00575E9E"/>
    <w:rsid w:val="005769C1"/>
    <w:rsid w:val="00576F04"/>
    <w:rsid w:val="00576F98"/>
    <w:rsid w:val="0057746C"/>
    <w:rsid w:val="00577484"/>
    <w:rsid w:val="00577A98"/>
    <w:rsid w:val="00577AF6"/>
    <w:rsid w:val="00577C5A"/>
    <w:rsid w:val="00577CFA"/>
    <w:rsid w:val="00577F55"/>
    <w:rsid w:val="005803DD"/>
    <w:rsid w:val="00580974"/>
    <w:rsid w:val="00580ECC"/>
    <w:rsid w:val="005811DF"/>
    <w:rsid w:val="00581BBE"/>
    <w:rsid w:val="00581F74"/>
    <w:rsid w:val="005822F4"/>
    <w:rsid w:val="00582ADE"/>
    <w:rsid w:val="00582DEF"/>
    <w:rsid w:val="0058318B"/>
    <w:rsid w:val="0058335B"/>
    <w:rsid w:val="00583768"/>
    <w:rsid w:val="005837A4"/>
    <w:rsid w:val="00583904"/>
    <w:rsid w:val="00583948"/>
    <w:rsid w:val="00583C6E"/>
    <w:rsid w:val="00583D27"/>
    <w:rsid w:val="00583D65"/>
    <w:rsid w:val="005841BD"/>
    <w:rsid w:val="0058422F"/>
    <w:rsid w:val="0058479D"/>
    <w:rsid w:val="00584A0F"/>
    <w:rsid w:val="00584CD0"/>
    <w:rsid w:val="005850C1"/>
    <w:rsid w:val="00585947"/>
    <w:rsid w:val="00585B4E"/>
    <w:rsid w:val="00585D59"/>
    <w:rsid w:val="00585EAA"/>
    <w:rsid w:val="00587938"/>
    <w:rsid w:val="00590241"/>
    <w:rsid w:val="00590AC8"/>
    <w:rsid w:val="0059116C"/>
    <w:rsid w:val="005911B8"/>
    <w:rsid w:val="00591D72"/>
    <w:rsid w:val="00593D28"/>
    <w:rsid w:val="00593E06"/>
    <w:rsid w:val="00593EE3"/>
    <w:rsid w:val="0059468E"/>
    <w:rsid w:val="00595453"/>
    <w:rsid w:val="005957A4"/>
    <w:rsid w:val="0059682F"/>
    <w:rsid w:val="00596E66"/>
    <w:rsid w:val="0059701B"/>
    <w:rsid w:val="005970A6"/>
    <w:rsid w:val="005972E4"/>
    <w:rsid w:val="00597CCB"/>
    <w:rsid w:val="00597F50"/>
    <w:rsid w:val="005A07E3"/>
    <w:rsid w:val="005A09C3"/>
    <w:rsid w:val="005A0F58"/>
    <w:rsid w:val="005A10FC"/>
    <w:rsid w:val="005A15E2"/>
    <w:rsid w:val="005A16FC"/>
    <w:rsid w:val="005A1EBC"/>
    <w:rsid w:val="005A1F4E"/>
    <w:rsid w:val="005A209E"/>
    <w:rsid w:val="005A2924"/>
    <w:rsid w:val="005A2B9C"/>
    <w:rsid w:val="005A3169"/>
    <w:rsid w:val="005A319E"/>
    <w:rsid w:val="005A3A83"/>
    <w:rsid w:val="005A3B8A"/>
    <w:rsid w:val="005A3D70"/>
    <w:rsid w:val="005A3F0B"/>
    <w:rsid w:val="005A3F8B"/>
    <w:rsid w:val="005A528C"/>
    <w:rsid w:val="005A53D2"/>
    <w:rsid w:val="005A5832"/>
    <w:rsid w:val="005A59D0"/>
    <w:rsid w:val="005A5B77"/>
    <w:rsid w:val="005A5C22"/>
    <w:rsid w:val="005A5FA8"/>
    <w:rsid w:val="005A5FF0"/>
    <w:rsid w:val="005A63D5"/>
    <w:rsid w:val="005A696B"/>
    <w:rsid w:val="005A6CD4"/>
    <w:rsid w:val="005A6EB5"/>
    <w:rsid w:val="005A7525"/>
    <w:rsid w:val="005A7A0B"/>
    <w:rsid w:val="005A7A6B"/>
    <w:rsid w:val="005A7BCD"/>
    <w:rsid w:val="005A7E7A"/>
    <w:rsid w:val="005B0317"/>
    <w:rsid w:val="005B0795"/>
    <w:rsid w:val="005B1143"/>
    <w:rsid w:val="005B1359"/>
    <w:rsid w:val="005B23BD"/>
    <w:rsid w:val="005B2800"/>
    <w:rsid w:val="005B28C4"/>
    <w:rsid w:val="005B2BEB"/>
    <w:rsid w:val="005B2DF9"/>
    <w:rsid w:val="005B3419"/>
    <w:rsid w:val="005B3497"/>
    <w:rsid w:val="005B3526"/>
    <w:rsid w:val="005B35C6"/>
    <w:rsid w:val="005B3D57"/>
    <w:rsid w:val="005B41B3"/>
    <w:rsid w:val="005B4467"/>
    <w:rsid w:val="005B4A2A"/>
    <w:rsid w:val="005B4DA3"/>
    <w:rsid w:val="005B556E"/>
    <w:rsid w:val="005B5803"/>
    <w:rsid w:val="005B5891"/>
    <w:rsid w:val="005B58DF"/>
    <w:rsid w:val="005B6323"/>
    <w:rsid w:val="005B63D0"/>
    <w:rsid w:val="005B656E"/>
    <w:rsid w:val="005B7050"/>
    <w:rsid w:val="005B7218"/>
    <w:rsid w:val="005B73F7"/>
    <w:rsid w:val="005B750E"/>
    <w:rsid w:val="005B7858"/>
    <w:rsid w:val="005B7C71"/>
    <w:rsid w:val="005B7D8E"/>
    <w:rsid w:val="005C0624"/>
    <w:rsid w:val="005C06FA"/>
    <w:rsid w:val="005C0D9A"/>
    <w:rsid w:val="005C173E"/>
    <w:rsid w:val="005C1763"/>
    <w:rsid w:val="005C1A08"/>
    <w:rsid w:val="005C1B9C"/>
    <w:rsid w:val="005C2181"/>
    <w:rsid w:val="005C29C5"/>
    <w:rsid w:val="005C35A0"/>
    <w:rsid w:val="005C35AB"/>
    <w:rsid w:val="005C3F9E"/>
    <w:rsid w:val="005C46A4"/>
    <w:rsid w:val="005C4A7F"/>
    <w:rsid w:val="005C4EBE"/>
    <w:rsid w:val="005C506A"/>
    <w:rsid w:val="005C5099"/>
    <w:rsid w:val="005C50BE"/>
    <w:rsid w:val="005C5161"/>
    <w:rsid w:val="005C54B9"/>
    <w:rsid w:val="005C5576"/>
    <w:rsid w:val="005C559F"/>
    <w:rsid w:val="005C5A01"/>
    <w:rsid w:val="005C5EB6"/>
    <w:rsid w:val="005C5FAF"/>
    <w:rsid w:val="005C6069"/>
    <w:rsid w:val="005C624A"/>
    <w:rsid w:val="005C686B"/>
    <w:rsid w:val="005C6C72"/>
    <w:rsid w:val="005C6E1E"/>
    <w:rsid w:val="005C6E75"/>
    <w:rsid w:val="005C6F8F"/>
    <w:rsid w:val="005C724A"/>
    <w:rsid w:val="005C783F"/>
    <w:rsid w:val="005C7E87"/>
    <w:rsid w:val="005D0030"/>
    <w:rsid w:val="005D0528"/>
    <w:rsid w:val="005D0750"/>
    <w:rsid w:val="005D09ED"/>
    <w:rsid w:val="005D0AC3"/>
    <w:rsid w:val="005D0B42"/>
    <w:rsid w:val="005D14BE"/>
    <w:rsid w:val="005D1508"/>
    <w:rsid w:val="005D164E"/>
    <w:rsid w:val="005D17B1"/>
    <w:rsid w:val="005D1807"/>
    <w:rsid w:val="005D1B61"/>
    <w:rsid w:val="005D1E5A"/>
    <w:rsid w:val="005D2424"/>
    <w:rsid w:val="005D2546"/>
    <w:rsid w:val="005D2928"/>
    <w:rsid w:val="005D2C25"/>
    <w:rsid w:val="005D2C99"/>
    <w:rsid w:val="005D311D"/>
    <w:rsid w:val="005D36B1"/>
    <w:rsid w:val="005D36B9"/>
    <w:rsid w:val="005D3AF5"/>
    <w:rsid w:val="005D3B62"/>
    <w:rsid w:val="005D3EF4"/>
    <w:rsid w:val="005D422E"/>
    <w:rsid w:val="005D4CA2"/>
    <w:rsid w:val="005D4D3C"/>
    <w:rsid w:val="005D58AC"/>
    <w:rsid w:val="005D640B"/>
    <w:rsid w:val="005D65E4"/>
    <w:rsid w:val="005D6B52"/>
    <w:rsid w:val="005D70C0"/>
    <w:rsid w:val="005D7740"/>
    <w:rsid w:val="005D7844"/>
    <w:rsid w:val="005D7939"/>
    <w:rsid w:val="005E02D0"/>
    <w:rsid w:val="005E051D"/>
    <w:rsid w:val="005E077B"/>
    <w:rsid w:val="005E0D97"/>
    <w:rsid w:val="005E0F9E"/>
    <w:rsid w:val="005E139E"/>
    <w:rsid w:val="005E2632"/>
    <w:rsid w:val="005E2A8C"/>
    <w:rsid w:val="005E2CC5"/>
    <w:rsid w:val="005E3065"/>
    <w:rsid w:val="005E322A"/>
    <w:rsid w:val="005E37D6"/>
    <w:rsid w:val="005E3FE8"/>
    <w:rsid w:val="005E4042"/>
    <w:rsid w:val="005E40B4"/>
    <w:rsid w:val="005E4424"/>
    <w:rsid w:val="005E4527"/>
    <w:rsid w:val="005E4659"/>
    <w:rsid w:val="005E5AD4"/>
    <w:rsid w:val="005E5E48"/>
    <w:rsid w:val="005E6B5D"/>
    <w:rsid w:val="005E735C"/>
    <w:rsid w:val="005E765C"/>
    <w:rsid w:val="005E78D2"/>
    <w:rsid w:val="005E79EF"/>
    <w:rsid w:val="005F01C0"/>
    <w:rsid w:val="005F03EE"/>
    <w:rsid w:val="005F0686"/>
    <w:rsid w:val="005F093D"/>
    <w:rsid w:val="005F097F"/>
    <w:rsid w:val="005F0E55"/>
    <w:rsid w:val="005F13DB"/>
    <w:rsid w:val="005F226A"/>
    <w:rsid w:val="005F26E8"/>
    <w:rsid w:val="005F279D"/>
    <w:rsid w:val="005F3915"/>
    <w:rsid w:val="005F3DAE"/>
    <w:rsid w:val="005F3F20"/>
    <w:rsid w:val="005F3FEB"/>
    <w:rsid w:val="005F40EF"/>
    <w:rsid w:val="005F4601"/>
    <w:rsid w:val="005F464E"/>
    <w:rsid w:val="005F48F3"/>
    <w:rsid w:val="005F4AA6"/>
    <w:rsid w:val="005F4B0E"/>
    <w:rsid w:val="005F4B76"/>
    <w:rsid w:val="005F4C73"/>
    <w:rsid w:val="005F514B"/>
    <w:rsid w:val="005F516C"/>
    <w:rsid w:val="005F5C4A"/>
    <w:rsid w:val="005F6468"/>
    <w:rsid w:val="005F65A4"/>
    <w:rsid w:val="005F65BC"/>
    <w:rsid w:val="005F6C4D"/>
    <w:rsid w:val="005F7120"/>
    <w:rsid w:val="005F77C2"/>
    <w:rsid w:val="005F7AA0"/>
    <w:rsid w:val="00600646"/>
    <w:rsid w:val="00600728"/>
    <w:rsid w:val="0060079E"/>
    <w:rsid w:val="00600A34"/>
    <w:rsid w:val="00600AEB"/>
    <w:rsid w:val="00601307"/>
    <w:rsid w:val="006015BE"/>
    <w:rsid w:val="0060175E"/>
    <w:rsid w:val="006019EF"/>
    <w:rsid w:val="00601A83"/>
    <w:rsid w:val="00601F0F"/>
    <w:rsid w:val="00602650"/>
    <w:rsid w:val="00602D31"/>
    <w:rsid w:val="00602E9B"/>
    <w:rsid w:val="00603257"/>
    <w:rsid w:val="00603957"/>
    <w:rsid w:val="006039C5"/>
    <w:rsid w:val="00603A1C"/>
    <w:rsid w:val="00603B06"/>
    <w:rsid w:val="00604185"/>
    <w:rsid w:val="00604329"/>
    <w:rsid w:val="00604538"/>
    <w:rsid w:val="0060458C"/>
    <w:rsid w:val="00604FC5"/>
    <w:rsid w:val="0060525A"/>
    <w:rsid w:val="0060619A"/>
    <w:rsid w:val="00606720"/>
    <w:rsid w:val="00606DEB"/>
    <w:rsid w:val="006070D6"/>
    <w:rsid w:val="0060746B"/>
    <w:rsid w:val="00607D7F"/>
    <w:rsid w:val="006101D7"/>
    <w:rsid w:val="006103C2"/>
    <w:rsid w:val="006109AA"/>
    <w:rsid w:val="00610A16"/>
    <w:rsid w:val="00610DAE"/>
    <w:rsid w:val="00610E1E"/>
    <w:rsid w:val="0061113D"/>
    <w:rsid w:val="006114B9"/>
    <w:rsid w:val="00612163"/>
    <w:rsid w:val="00612742"/>
    <w:rsid w:val="0061328B"/>
    <w:rsid w:val="00613587"/>
    <w:rsid w:val="0061381D"/>
    <w:rsid w:val="00613BF7"/>
    <w:rsid w:val="00613FAB"/>
    <w:rsid w:val="0061419F"/>
    <w:rsid w:val="006141F5"/>
    <w:rsid w:val="00614619"/>
    <w:rsid w:val="00614865"/>
    <w:rsid w:val="00614B17"/>
    <w:rsid w:val="00614CED"/>
    <w:rsid w:val="00615445"/>
    <w:rsid w:val="00615556"/>
    <w:rsid w:val="006155F1"/>
    <w:rsid w:val="00615A87"/>
    <w:rsid w:val="00615D37"/>
    <w:rsid w:val="006166A1"/>
    <w:rsid w:val="00616B4D"/>
    <w:rsid w:val="006179C4"/>
    <w:rsid w:val="00617EC9"/>
    <w:rsid w:val="006204E2"/>
    <w:rsid w:val="006206C9"/>
    <w:rsid w:val="0062077F"/>
    <w:rsid w:val="00620839"/>
    <w:rsid w:val="00620A79"/>
    <w:rsid w:val="00620B5C"/>
    <w:rsid w:val="00620CC5"/>
    <w:rsid w:val="00620D0D"/>
    <w:rsid w:val="00621031"/>
    <w:rsid w:val="00621046"/>
    <w:rsid w:val="00621BA8"/>
    <w:rsid w:val="00621CB4"/>
    <w:rsid w:val="00621E3F"/>
    <w:rsid w:val="0062287A"/>
    <w:rsid w:val="006230E3"/>
    <w:rsid w:val="0062380E"/>
    <w:rsid w:val="006238DA"/>
    <w:rsid w:val="006239AF"/>
    <w:rsid w:val="00623AA7"/>
    <w:rsid w:val="006243DC"/>
    <w:rsid w:val="00624FB7"/>
    <w:rsid w:val="00625095"/>
    <w:rsid w:val="0062522F"/>
    <w:rsid w:val="00625305"/>
    <w:rsid w:val="006254D8"/>
    <w:rsid w:val="006254F3"/>
    <w:rsid w:val="00625C09"/>
    <w:rsid w:val="006264DF"/>
    <w:rsid w:val="00626976"/>
    <w:rsid w:val="00626D9F"/>
    <w:rsid w:val="0062721A"/>
    <w:rsid w:val="0062762A"/>
    <w:rsid w:val="0062793A"/>
    <w:rsid w:val="00627ADA"/>
    <w:rsid w:val="00627DFA"/>
    <w:rsid w:val="00627E79"/>
    <w:rsid w:val="00630125"/>
    <w:rsid w:val="00630335"/>
    <w:rsid w:val="00630DB3"/>
    <w:rsid w:val="00631A2B"/>
    <w:rsid w:val="0063256E"/>
    <w:rsid w:val="00632A05"/>
    <w:rsid w:val="00632A9E"/>
    <w:rsid w:val="00632E76"/>
    <w:rsid w:val="00633169"/>
    <w:rsid w:val="0063330E"/>
    <w:rsid w:val="0063338D"/>
    <w:rsid w:val="00633C6E"/>
    <w:rsid w:val="00633FAE"/>
    <w:rsid w:val="00634110"/>
    <w:rsid w:val="0063412F"/>
    <w:rsid w:val="006344C3"/>
    <w:rsid w:val="0063455B"/>
    <w:rsid w:val="0063485D"/>
    <w:rsid w:val="00634F4B"/>
    <w:rsid w:val="006350AA"/>
    <w:rsid w:val="006350AC"/>
    <w:rsid w:val="006358FA"/>
    <w:rsid w:val="006359B2"/>
    <w:rsid w:val="00635DE8"/>
    <w:rsid w:val="00636166"/>
    <w:rsid w:val="00636AB7"/>
    <w:rsid w:val="006378E5"/>
    <w:rsid w:val="00637E0B"/>
    <w:rsid w:val="00640206"/>
    <w:rsid w:val="0064037A"/>
    <w:rsid w:val="00640470"/>
    <w:rsid w:val="00640ECA"/>
    <w:rsid w:val="006422D2"/>
    <w:rsid w:val="0064261C"/>
    <w:rsid w:val="006427FF"/>
    <w:rsid w:val="00642BCC"/>
    <w:rsid w:val="0064311C"/>
    <w:rsid w:val="00643149"/>
    <w:rsid w:val="006431AC"/>
    <w:rsid w:val="00643778"/>
    <w:rsid w:val="00643CCF"/>
    <w:rsid w:val="00643CD4"/>
    <w:rsid w:val="006440B1"/>
    <w:rsid w:val="0064418F"/>
    <w:rsid w:val="006443F4"/>
    <w:rsid w:val="00644B7D"/>
    <w:rsid w:val="006450C3"/>
    <w:rsid w:val="0064516E"/>
    <w:rsid w:val="00645243"/>
    <w:rsid w:val="006452D8"/>
    <w:rsid w:val="0064555C"/>
    <w:rsid w:val="00645AC3"/>
    <w:rsid w:val="00645D90"/>
    <w:rsid w:val="006460D8"/>
    <w:rsid w:val="006460FD"/>
    <w:rsid w:val="00646472"/>
    <w:rsid w:val="0064687E"/>
    <w:rsid w:val="00646BCB"/>
    <w:rsid w:val="00646C65"/>
    <w:rsid w:val="00646F58"/>
    <w:rsid w:val="00647092"/>
    <w:rsid w:val="006471C9"/>
    <w:rsid w:val="006475E9"/>
    <w:rsid w:val="00647B32"/>
    <w:rsid w:val="00647B60"/>
    <w:rsid w:val="006503AF"/>
    <w:rsid w:val="00650B4A"/>
    <w:rsid w:val="00650C81"/>
    <w:rsid w:val="006516B8"/>
    <w:rsid w:val="0065176A"/>
    <w:rsid w:val="006521F0"/>
    <w:rsid w:val="0065246C"/>
    <w:rsid w:val="00652479"/>
    <w:rsid w:val="00652AF4"/>
    <w:rsid w:val="0065322E"/>
    <w:rsid w:val="006533BE"/>
    <w:rsid w:val="0065352B"/>
    <w:rsid w:val="006535BA"/>
    <w:rsid w:val="00653872"/>
    <w:rsid w:val="00653FAC"/>
    <w:rsid w:val="006541E1"/>
    <w:rsid w:val="0065459A"/>
    <w:rsid w:val="00654F28"/>
    <w:rsid w:val="0065527C"/>
    <w:rsid w:val="00655948"/>
    <w:rsid w:val="00655AFE"/>
    <w:rsid w:val="00655DC5"/>
    <w:rsid w:val="00656094"/>
    <w:rsid w:val="006571C2"/>
    <w:rsid w:val="00657D18"/>
    <w:rsid w:val="00657DAE"/>
    <w:rsid w:val="00657E14"/>
    <w:rsid w:val="00657E59"/>
    <w:rsid w:val="00657F47"/>
    <w:rsid w:val="00660048"/>
    <w:rsid w:val="00660B21"/>
    <w:rsid w:val="00660EEA"/>
    <w:rsid w:val="006616DF"/>
    <w:rsid w:val="006619FC"/>
    <w:rsid w:val="00661ADA"/>
    <w:rsid w:val="00661B82"/>
    <w:rsid w:val="00661F3D"/>
    <w:rsid w:val="00661FE1"/>
    <w:rsid w:val="0066226E"/>
    <w:rsid w:val="006622A5"/>
    <w:rsid w:val="0066271B"/>
    <w:rsid w:val="006627B6"/>
    <w:rsid w:val="00662F78"/>
    <w:rsid w:val="00663041"/>
    <w:rsid w:val="006633B4"/>
    <w:rsid w:val="006637B8"/>
    <w:rsid w:val="006637BA"/>
    <w:rsid w:val="006637C2"/>
    <w:rsid w:val="00663975"/>
    <w:rsid w:val="006639F8"/>
    <w:rsid w:val="00663FA5"/>
    <w:rsid w:val="00663FC8"/>
    <w:rsid w:val="00664516"/>
    <w:rsid w:val="00664744"/>
    <w:rsid w:val="006648BF"/>
    <w:rsid w:val="00665103"/>
    <w:rsid w:val="0066532D"/>
    <w:rsid w:val="0066585C"/>
    <w:rsid w:val="0066632F"/>
    <w:rsid w:val="006665E1"/>
    <w:rsid w:val="00666765"/>
    <w:rsid w:val="006667C0"/>
    <w:rsid w:val="00666E8A"/>
    <w:rsid w:val="00667224"/>
    <w:rsid w:val="0066725E"/>
    <w:rsid w:val="0066731A"/>
    <w:rsid w:val="00667613"/>
    <w:rsid w:val="006679A6"/>
    <w:rsid w:val="00670662"/>
    <w:rsid w:val="00670812"/>
    <w:rsid w:val="00670985"/>
    <w:rsid w:val="00670B50"/>
    <w:rsid w:val="00670D18"/>
    <w:rsid w:val="00671681"/>
    <w:rsid w:val="00671693"/>
    <w:rsid w:val="00671869"/>
    <w:rsid w:val="00671925"/>
    <w:rsid w:val="00671949"/>
    <w:rsid w:val="00671DB7"/>
    <w:rsid w:val="006722CE"/>
    <w:rsid w:val="00672326"/>
    <w:rsid w:val="00672606"/>
    <w:rsid w:val="00672C77"/>
    <w:rsid w:val="00672F2F"/>
    <w:rsid w:val="006732C8"/>
    <w:rsid w:val="006735B4"/>
    <w:rsid w:val="00673CBF"/>
    <w:rsid w:val="00673E75"/>
    <w:rsid w:val="00674003"/>
    <w:rsid w:val="00674269"/>
    <w:rsid w:val="00674E04"/>
    <w:rsid w:val="0067501D"/>
    <w:rsid w:val="006756A5"/>
    <w:rsid w:val="00675BCC"/>
    <w:rsid w:val="00675E5A"/>
    <w:rsid w:val="00675F16"/>
    <w:rsid w:val="00676164"/>
    <w:rsid w:val="006761BC"/>
    <w:rsid w:val="006767A0"/>
    <w:rsid w:val="006767AE"/>
    <w:rsid w:val="006769EE"/>
    <w:rsid w:val="00676B39"/>
    <w:rsid w:val="006771B7"/>
    <w:rsid w:val="006777A1"/>
    <w:rsid w:val="006778BE"/>
    <w:rsid w:val="00677C2F"/>
    <w:rsid w:val="00677CF4"/>
    <w:rsid w:val="00677EB0"/>
    <w:rsid w:val="00680BA5"/>
    <w:rsid w:val="00680C30"/>
    <w:rsid w:val="00680C86"/>
    <w:rsid w:val="0068125A"/>
    <w:rsid w:val="006815D6"/>
    <w:rsid w:val="00681773"/>
    <w:rsid w:val="00681A26"/>
    <w:rsid w:val="00681B4C"/>
    <w:rsid w:val="00681D39"/>
    <w:rsid w:val="00681E11"/>
    <w:rsid w:val="00681E45"/>
    <w:rsid w:val="00681E80"/>
    <w:rsid w:val="00682053"/>
    <w:rsid w:val="00682085"/>
    <w:rsid w:val="00682233"/>
    <w:rsid w:val="006825E7"/>
    <w:rsid w:val="00682849"/>
    <w:rsid w:val="00682BCC"/>
    <w:rsid w:val="00682DEF"/>
    <w:rsid w:val="006832A7"/>
    <w:rsid w:val="0068341F"/>
    <w:rsid w:val="00683BE0"/>
    <w:rsid w:val="00683DA8"/>
    <w:rsid w:val="00683DF5"/>
    <w:rsid w:val="00683FD6"/>
    <w:rsid w:val="0068470D"/>
    <w:rsid w:val="00685627"/>
    <w:rsid w:val="006857DB"/>
    <w:rsid w:val="00685A84"/>
    <w:rsid w:val="00685EA8"/>
    <w:rsid w:val="00685FB6"/>
    <w:rsid w:val="0068711B"/>
    <w:rsid w:val="0068712A"/>
    <w:rsid w:val="0068712E"/>
    <w:rsid w:val="006879AA"/>
    <w:rsid w:val="00687A30"/>
    <w:rsid w:val="00687A9B"/>
    <w:rsid w:val="00690787"/>
    <w:rsid w:val="00690E64"/>
    <w:rsid w:val="006913CA"/>
    <w:rsid w:val="006915EE"/>
    <w:rsid w:val="0069161A"/>
    <w:rsid w:val="00691AFE"/>
    <w:rsid w:val="00692D2D"/>
    <w:rsid w:val="00693262"/>
    <w:rsid w:val="0069396C"/>
    <w:rsid w:val="00693B3B"/>
    <w:rsid w:val="00693BFC"/>
    <w:rsid w:val="00693C8C"/>
    <w:rsid w:val="00693FC2"/>
    <w:rsid w:val="00694073"/>
    <w:rsid w:val="00694574"/>
    <w:rsid w:val="006945DD"/>
    <w:rsid w:val="00694F9A"/>
    <w:rsid w:val="0069533F"/>
    <w:rsid w:val="00695720"/>
    <w:rsid w:val="006957C0"/>
    <w:rsid w:val="006958A1"/>
    <w:rsid w:val="00695F48"/>
    <w:rsid w:val="00696158"/>
    <w:rsid w:val="00696AF0"/>
    <w:rsid w:val="006972F0"/>
    <w:rsid w:val="00697391"/>
    <w:rsid w:val="0069756F"/>
    <w:rsid w:val="00697BF5"/>
    <w:rsid w:val="006A0096"/>
    <w:rsid w:val="006A066A"/>
    <w:rsid w:val="006A0680"/>
    <w:rsid w:val="006A07AF"/>
    <w:rsid w:val="006A092A"/>
    <w:rsid w:val="006A0BDD"/>
    <w:rsid w:val="006A0F5C"/>
    <w:rsid w:val="006A1067"/>
    <w:rsid w:val="006A11E8"/>
    <w:rsid w:val="006A12EE"/>
    <w:rsid w:val="006A19E6"/>
    <w:rsid w:val="006A1A48"/>
    <w:rsid w:val="006A1D0E"/>
    <w:rsid w:val="006A2386"/>
    <w:rsid w:val="006A240F"/>
    <w:rsid w:val="006A25D8"/>
    <w:rsid w:val="006A296B"/>
    <w:rsid w:val="006A2A91"/>
    <w:rsid w:val="006A2C19"/>
    <w:rsid w:val="006A2F3A"/>
    <w:rsid w:val="006A3483"/>
    <w:rsid w:val="006A37D4"/>
    <w:rsid w:val="006A387E"/>
    <w:rsid w:val="006A3F6B"/>
    <w:rsid w:val="006A4078"/>
    <w:rsid w:val="006A42C2"/>
    <w:rsid w:val="006A5267"/>
    <w:rsid w:val="006A551A"/>
    <w:rsid w:val="006A554A"/>
    <w:rsid w:val="006A5589"/>
    <w:rsid w:val="006A5790"/>
    <w:rsid w:val="006A5D34"/>
    <w:rsid w:val="006A5DB5"/>
    <w:rsid w:val="006A5E3E"/>
    <w:rsid w:val="006A5F57"/>
    <w:rsid w:val="006A6116"/>
    <w:rsid w:val="006A635C"/>
    <w:rsid w:val="006A63D8"/>
    <w:rsid w:val="006A6553"/>
    <w:rsid w:val="006A662A"/>
    <w:rsid w:val="006A6668"/>
    <w:rsid w:val="006A6D57"/>
    <w:rsid w:val="006A6EEA"/>
    <w:rsid w:val="006A6F7F"/>
    <w:rsid w:val="006A7542"/>
    <w:rsid w:val="006A7AFC"/>
    <w:rsid w:val="006B010C"/>
    <w:rsid w:val="006B0507"/>
    <w:rsid w:val="006B05A7"/>
    <w:rsid w:val="006B0ABA"/>
    <w:rsid w:val="006B0C25"/>
    <w:rsid w:val="006B0FA8"/>
    <w:rsid w:val="006B1281"/>
    <w:rsid w:val="006B1401"/>
    <w:rsid w:val="006B144A"/>
    <w:rsid w:val="006B167B"/>
    <w:rsid w:val="006B1688"/>
    <w:rsid w:val="006B1A70"/>
    <w:rsid w:val="006B1A86"/>
    <w:rsid w:val="006B270D"/>
    <w:rsid w:val="006B28BF"/>
    <w:rsid w:val="006B28FB"/>
    <w:rsid w:val="006B2B74"/>
    <w:rsid w:val="006B3118"/>
    <w:rsid w:val="006B3A3F"/>
    <w:rsid w:val="006B44AD"/>
    <w:rsid w:val="006B4D30"/>
    <w:rsid w:val="006B52F0"/>
    <w:rsid w:val="006B55A7"/>
    <w:rsid w:val="006B58E0"/>
    <w:rsid w:val="006B599B"/>
    <w:rsid w:val="006B5C04"/>
    <w:rsid w:val="006B63E2"/>
    <w:rsid w:val="006B6929"/>
    <w:rsid w:val="006B6E50"/>
    <w:rsid w:val="006B73CC"/>
    <w:rsid w:val="006B753A"/>
    <w:rsid w:val="006B7ED0"/>
    <w:rsid w:val="006C033B"/>
    <w:rsid w:val="006C03C2"/>
    <w:rsid w:val="006C0999"/>
    <w:rsid w:val="006C0CF3"/>
    <w:rsid w:val="006C11AC"/>
    <w:rsid w:val="006C1529"/>
    <w:rsid w:val="006C160C"/>
    <w:rsid w:val="006C1623"/>
    <w:rsid w:val="006C1791"/>
    <w:rsid w:val="006C2DA2"/>
    <w:rsid w:val="006C2E87"/>
    <w:rsid w:val="006C35C0"/>
    <w:rsid w:val="006C3768"/>
    <w:rsid w:val="006C390E"/>
    <w:rsid w:val="006C3A1C"/>
    <w:rsid w:val="006C4079"/>
    <w:rsid w:val="006C422D"/>
    <w:rsid w:val="006C479D"/>
    <w:rsid w:val="006C57FE"/>
    <w:rsid w:val="006C58E9"/>
    <w:rsid w:val="006C599D"/>
    <w:rsid w:val="006C5FEF"/>
    <w:rsid w:val="006C6231"/>
    <w:rsid w:val="006C6338"/>
    <w:rsid w:val="006C66D2"/>
    <w:rsid w:val="006C6CD8"/>
    <w:rsid w:val="006C6E30"/>
    <w:rsid w:val="006C72C7"/>
    <w:rsid w:val="006C7627"/>
    <w:rsid w:val="006C76BB"/>
    <w:rsid w:val="006C7760"/>
    <w:rsid w:val="006C7C18"/>
    <w:rsid w:val="006C7F21"/>
    <w:rsid w:val="006D0522"/>
    <w:rsid w:val="006D05C4"/>
    <w:rsid w:val="006D0AD8"/>
    <w:rsid w:val="006D0B83"/>
    <w:rsid w:val="006D1361"/>
    <w:rsid w:val="006D1885"/>
    <w:rsid w:val="006D18D2"/>
    <w:rsid w:val="006D18F1"/>
    <w:rsid w:val="006D19B4"/>
    <w:rsid w:val="006D1B1C"/>
    <w:rsid w:val="006D21E4"/>
    <w:rsid w:val="006D22D4"/>
    <w:rsid w:val="006D24C5"/>
    <w:rsid w:val="006D2856"/>
    <w:rsid w:val="006D29A2"/>
    <w:rsid w:val="006D2B5B"/>
    <w:rsid w:val="006D2BCF"/>
    <w:rsid w:val="006D389E"/>
    <w:rsid w:val="006D3A10"/>
    <w:rsid w:val="006D3F3C"/>
    <w:rsid w:val="006D4037"/>
    <w:rsid w:val="006D4887"/>
    <w:rsid w:val="006D48F8"/>
    <w:rsid w:val="006D4B9A"/>
    <w:rsid w:val="006D4D72"/>
    <w:rsid w:val="006D4E4D"/>
    <w:rsid w:val="006D52BA"/>
    <w:rsid w:val="006D5842"/>
    <w:rsid w:val="006D5D0F"/>
    <w:rsid w:val="006D5E06"/>
    <w:rsid w:val="006D6610"/>
    <w:rsid w:val="006D67FA"/>
    <w:rsid w:val="006D6F04"/>
    <w:rsid w:val="006D7230"/>
    <w:rsid w:val="006D7583"/>
    <w:rsid w:val="006D76DC"/>
    <w:rsid w:val="006E0113"/>
    <w:rsid w:val="006E01A4"/>
    <w:rsid w:val="006E038E"/>
    <w:rsid w:val="006E0AE4"/>
    <w:rsid w:val="006E0B4E"/>
    <w:rsid w:val="006E12CF"/>
    <w:rsid w:val="006E1373"/>
    <w:rsid w:val="006E18E1"/>
    <w:rsid w:val="006E205A"/>
    <w:rsid w:val="006E210A"/>
    <w:rsid w:val="006E2163"/>
    <w:rsid w:val="006E264D"/>
    <w:rsid w:val="006E28FE"/>
    <w:rsid w:val="006E2925"/>
    <w:rsid w:val="006E2AAA"/>
    <w:rsid w:val="006E2BDC"/>
    <w:rsid w:val="006E2C05"/>
    <w:rsid w:val="006E2F94"/>
    <w:rsid w:val="006E377B"/>
    <w:rsid w:val="006E3D20"/>
    <w:rsid w:val="006E3D34"/>
    <w:rsid w:val="006E3DB8"/>
    <w:rsid w:val="006E4405"/>
    <w:rsid w:val="006E4577"/>
    <w:rsid w:val="006E5492"/>
    <w:rsid w:val="006E5509"/>
    <w:rsid w:val="006E5939"/>
    <w:rsid w:val="006E5B2F"/>
    <w:rsid w:val="006E613A"/>
    <w:rsid w:val="006E6208"/>
    <w:rsid w:val="006E6471"/>
    <w:rsid w:val="006E6C03"/>
    <w:rsid w:val="006E7CE6"/>
    <w:rsid w:val="006E7E1F"/>
    <w:rsid w:val="006F02BB"/>
    <w:rsid w:val="006F05DD"/>
    <w:rsid w:val="006F06C4"/>
    <w:rsid w:val="006F08BF"/>
    <w:rsid w:val="006F09F8"/>
    <w:rsid w:val="006F0ABF"/>
    <w:rsid w:val="006F1495"/>
    <w:rsid w:val="006F16AF"/>
    <w:rsid w:val="006F28BB"/>
    <w:rsid w:val="006F3019"/>
    <w:rsid w:val="006F329C"/>
    <w:rsid w:val="006F3A8B"/>
    <w:rsid w:val="006F3E3D"/>
    <w:rsid w:val="006F406E"/>
    <w:rsid w:val="006F4095"/>
    <w:rsid w:val="006F4500"/>
    <w:rsid w:val="006F4644"/>
    <w:rsid w:val="006F4808"/>
    <w:rsid w:val="006F4DC8"/>
    <w:rsid w:val="006F504A"/>
    <w:rsid w:val="006F5687"/>
    <w:rsid w:val="006F5F49"/>
    <w:rsid w:val="006F629C"/>
    <w:rsid w:val="006F6704"/>
    <w:rsid w:val="006F6806"/>
    <w:rsid w:val="006F6AE3"/>
    <w:rsid w:val="006F6C6C"/>
    <w:rsid w:val="006F7165"/>
    <w:rsid w:val="006F7634"/>
    <w:rsid w:val="006F7653"/>
    <w:rsid w:val="006F7CDD"/>
    <w:rsid w:val="006F7EC2"/>
    <w:rsid w:val="006F7FE2"/>
    <w:rsid w:val="007000F7"/>
    <w:rsid w:val="007003E4"/>
    <w:rsid w:val="00700614"/>
    <w:rsid w:val="00701411"/>
    <w:rsid w:val="00701F87"/>
    <w:rsid w:val="00701FC4"/>
    <w:rsid w:val="00702002"/>
    <w:rsid w:val="007023E1"/>
    <w:rsid w:val="0070265E"/>
    <w:rsid w:val="00702D0D"/>
    <w:rsid w:val="0070408C"/>
    <w:rsid w:val="007042D1"/>
    <w:rsid w:val="00704A5E"/>
    <w:rsid w:val="00704B94"/>
    <w:rsid w:val="00705192"/>
    <w:rsid w:val="007051E9"/>
    <w:rsid w:val="00705506"/>
    <w:rsid w:val="00705B6D"/>
    <w:rsid w:val="0070704C"/>
    <w:rsid w:val="0070739F"/>
    <w:rsid w:val="0070755B"/>
    <w:rsid w:val="007075D9"/>
    <w:rsid w:val="007076C6"/>
    <w:rsid w:val="007101A4"/>
    <w:rsid w:val="007104A2"/>
    <w:rsid w:val="0071069C"/>
    <w:rsid w:val="00710FCA"/>
    <w:rsid w:val="00711282"/>
    <w:rsid w:val="00711840"/>
    <w:rsid w:val="0071195B"/>
    <w:rsid w:val="00711A5C"/>
    <w:rsid w:val="00711B3B"/>
    <w:rsid w:val="00711EF0"/>
    <w:rsid w:val="00711F60"/>
    <w:rsid w:val="007127E7"/>
    <w:rsid w:val="007128FB"/>
    <w:rsid w:val="00712B79"/>
    <w:rsid w:val="007131D5"/>
    <w:rsid w:val="007134FA"/>
    <w:rsid w:val="0071360F"/>
    <w:rsid w:val="00713FF9"/>
    <w:rsid w:val="00714067"/>
    <w:rsid w:val="0071407D"/>
    <w:rsid w:val="00714AA9"/>
    <w:rsid w:val="00714D52"/>
    <w:rsid w:val="00714E72"/>
    <w:rsid w:val="007154E7"/>
    <w:rsid w:val="007159FC"/>
    <w:rsid w:val="00715A2F"/>
    <w:rsid w:val="00715B3E"/>
    <w:rsid w:val="00715E66"/>
    <w:rsid w:val="0071677B"/>
    <w:rsid w:val="00717387"/>
    <w:rsid w:val="00717AB0"/>
    <w:rsid w:val="00717AB2"/>
    <w:rsid w:val="00717B43"/>
    <w:rsid w:val="00717D05"/>
    <w:rsid w:val="00717DE8"/>
    <w:rsid w:val="00717E10"/>
    <w:rsid w:val="00717EA1"/>
    <w:rsid w:val="00717EAC"/>
    <w:rsid w:val="007204A7"/>
    <w:rsid w:val="00720A58"/>
    <w:rsid w:val="00720A86"/>
    <w:rsid w:val="00720C36"/>
    <w:rsid w:val="00720E2C"/>
    <w:rsid w:val="0072114D"/>
    <w:rsid w:val="00721910"/>
    <w:rsid w:val="00722037"/>
    <w:rsid w:val="00722721"/>
    <w:rsid w:val="00722D7A"/>
    <w:rsid w:val="00722FC7"/>
    <w:rsid w:val="00723124"/>
    <w:rsid w:val="0072364C"/>
    <w:rsid w:val="007236E8"/>
    <w:rsid w:val="00724307"/>
    <w:rsid w:val="0072438B"/>
    <w:rsid w:val="00724408"/>
    <w:rsid w:val="007249E2"/>
    <w:rsid w:val="00724AD2"/>
    <w:rsid w:val="00724BBF"/>
    <w:rsid w:val="00726037"/>
    <w:rsid w:val="0072688D"/>
    <w:rsid w:val="00726895"/>
    <w:rsid w:val="00726D53"/>
    <w:rsid w:val="00727711"/>
    <w:rsid w:val="0072775A"/>
    <w:rsid w:val="00727810"/>
    <w:rsid w:val="00727A31"/>
    <w:rsid w:val="00730639"/>
    <w:rsid w:val="007306F5"/>
    <w:rsid w:val="0073080F"/>
    <w:rsid w:val="00730A1D"/>
    <w:rsid w:val="00730B04"/>
    <w:rsid w:val="00730C5A"/>
    <w:rsid w:val="00730CB7"/>
    <w:rsid w:val="00730CE1"/>
    <w:rsid w:val="00730FAD"/>
    <w:rsid w:val="007315A1"/>
    <w:rsid w:val="00731963"/>
    <w:rsid w:val="00731F45"/>
    <w:rsid w:val="00732003"/>
    <w:rsid w:val="0073204E"/>
    <w:rsid w:val="007325C7"/>
    <w:rsid w:val="00733211"/>
    <w:rsid w:val="0073392C"/>
    <w:rsid w:val="00733935"/>
    <w:rsid w:val="00733D1E"/>
    <w:rsid w:val="00734224"/>
    <w:rsid w:val="00734308"/>
    <w:rsid w:val="00734596"/>
    <w:rsid w:val="00734D27"/>
    <w:rsid w:val="00735055"/>
    <w:rsid w:val="0073509B"/>
    <w:rsid w:val="0073597E"/>
    <w:rsid w:val="00735DDA"/>
    <w:rsid w:val="00736D0A"/>
    <w:rsid w:val="0073711F"/>
    <w:rsid w:val="00737172"/>
    <w:rsid w:val="007373BD"/>
    <w:rsid w:val="0073783B"/>
    <w:rsid w:val="00737A9E"/>
    <w:rsid w:val="00737F69"/>
    <w:rsid w:val="00740685"/>
    <w:rsid w:val="00740706"/>
    <w:rsid w:val="00740A59"/>
    <w:rsid w:val="00740BCB"/>
    <w:rsid w:val="00740D0C"/>
    <w:rsid w:val="00740D78"/>
    <w:rsid w:val="00740FEF"/>
    <w:rsid w:val="00741123"/>
    <w:rsid w:val="007414C5"/>
    <w:rsid w:val="00741A86"/>
    <w:rsid w:val="00742042"/>
    <w:rsid w:val="00742100"/>
    <w:rsid w:val="007425B1"/>
    <w:rsid w:val="0074278E"/>
    <w:rsid w:val="00742940"/>
    <w:rsid w:val="00742B40"/>
    <w:rsid w:val="00742C07"/>
    <w:rsid w:val="00742D90"/>
    <w:rsid w:val="00743527"/>
    <w:rsid w:val="007440BE"/>
    <w:rsid w:val="007443BC"/>
    <w:rsid w:val="007449E1"/>
    <w:rsid w:val="00744D45"/>
    <w:rsid w:val="00744DB3"/>
    <w:rsid w:val="00745222"/>
    <w:rsid w:val="007452F8"/>
    <w:rsid w:val="007454C4"/>
    <w:rsid w:val="007462E0"/>
    <w:rsid w:val="00746597"/>
    <w:rsid w:val="007468DB"/>
    <w:rsid w:val="00746C0F"/>
    <w:rsid w:val="00746E07"/>
    <w:rsid w:val="00746F98"/>
    <w:rsid w:val="00746F9F"/>
    <w:rsid w:val="007472F9"/>
    <w:rsid w:val="007476C5"/>
    <w:rsid w:val="00747958"/>
    <w:rsid w:val="0075062E"/>
    <w:rsid w:val="00750AC1"/>
    <w:rsid w:val="0075101B"/>
    <w:rsid w:val="007513D5"/>
    <w:rsid w:val="0075145A"/>
    <w:rsid w:val="007516EB"/>
    <w:rsid w:val="00751A80"/>
    <w:rsid w:val="00751A8B"/>
    <w:rsid w:val="0075265B"/>
    <w:rsid w:val="00752669"/>
    <w:rsid w:val="00753144"/>
    <w:rsid w:val="007535B5"/>
    <w:rsid w:val="00753A7F"/>
    <w:rsid w:val="00753AE0"/>
    <w:rsid w:val="00754278"/>
    <w:rsid w:val="007545A4"/>
    <w:rsid w:val="007546B8"/>
    <w:rsid w:val="00754947"/>
    <w:rsid w:val="00755057"/>
    <w:rsid w:val="00755155"/>
    <w:rsid w:val="0075599B"/>
    <w:rsid w:val="00756120"/>
    <w:rsid w:val="00756D8F"/>
    <w:rsid w:val="00756E46"/>
    <w:rsid w:val="007570A8"/>
    <w:rsid w:val="007574F9"/>
    <w:rsid w:val="00757FBA"/>
    <w:rsid w:val="00760526"/>
    <w:rsid w:val="0076089F"/>
    <w:rsid w:val="00761193"/>
    <w:rsid w:val="007620DE"/>
    <w:rsid w:val="0076257B"/>
    <w:rsid w:val="0076264F"/>
    <w:rsid w:val="00762904"/>
    <w:rsid w:val="00762EFA"/>
    <w:rsid w:val="00763351"/>
    <w:rsid w:val="0076388B"/>
    <w:rsid w:val="007639C0"/>
    <w:rsid w:val="00763AAA"/>
    <w:rsid w:val="00763B5F"/>
    <w:rsid w:val="00763F6C"/>
    <w:rsid w:val="00763FD0"/>
    <w:rsid w:val="0076429C"/>
    <w:rsid w:val="00764708"/>
    <w:rsid w:val="00764C1F"/>
    <w:rsid w:val="00764DB5"/>
    <w:rsid w:val="0076537E"/>
    <w:rsid w:val="007656C9"/>
    <w:rsid w:val="007656F6"/>
    <w:rsid w:val="0076574E"/>
    <w:rsid w:val="007657DA"/>
    <w:rsid w:val="00765E34"/>
    <w:rsid w:val="007660E4"/>
    <w:rsid w:val="007662FE"/>
    <w:rsid w:val="00766551"/>
    <w:rsid w:val="0076670F"/>
    <w:rsid w:val="00767C12"/>
    <w:rsid w:val="00767D8B"/>
    <w:rsid w:val="00767EF6"/>
    <w:rsid w:val="007701BF"/>
    <w:rsid w:val="0077040C"/>
    <w:rsid w:val="007705D1"/>
    <w:rsid w:val="00770E92"/>
    <w:rsid w:val="00771734"/>
    <w:rsid w:val="007721DB"/>
    <w:rsid w:val="0077275D"/>
    <w:rsid w:val="007728D3"/>
    <w:rsid w:val="00772DCD"/>
    <w:rsid w:val="00772E1D"/>
    <w:rsid w:val="007730AA"/>
    <w:rsid w:val="0077327B"/>
    <w:rsid w:val="0077345C"/>
    <w:rsid w:val="0077355D"/>
    <w:rsid w:val="00773D5E"/>
    <w:rsid w:val="00773EF8"/>
    <w:rsid w:val="00773F1D"/>
    <w:rsid w:val="00774781"/>
    <w:rsid w:val="007749D1"/>
    <w:rsid w:val="0077520F"/>
    <w:rsid w:val="00775330"/>
    <w:rsid w:val="007753E1"/>
    <w:rsid w:val="007762E3"/>
    <w:rsid w:val="007762E5"/>
    <w:rsid w:val="00776560"/>
    <w:rsid w:val="0077672E"/>
    <w:rsid w:val="0077683C"/>
    <w:rsid w:val="00776A09"/>
    <w:rsid w:val="00776A5D"/>
    <w:rsid w:val="00776CD8"/>
    <w:rsid w:val="00776CF0"/>
    <w:rsid w:val="00776D17"/>
    <w:rsid w:val="00777015"/>
    <w:rsid w:val="00777061"/>
    <w:rsid w:val="007771B6"/>
    <w:rsid w:val="00777AB7"/>
    <w:rsid w:val="007801A8"/>
    <w:rsid w:val="00780369"/>
    <w:rsid w:val="007805F6"/>
    <w:rsid w:val="0078078C"/>
    <w:rsid w:val="007812AA"/>
    <w:rsid w:val="0078139C"/>
    <w:rsid w:val="007814FE"/>
    <w:rsid w:val="0078250D"/>
    <w:rsid w:val="0078263C"/>
    <w:rsid w:val="00782AAE"/>
    <w:rsid w:val="00783594"/>
    <w:rsid w:val="007836B0"/>
    <w:rsid w:val="0078381A"/>
    <w:rsid w:val="00783E29"/>
    <w:rsid w:val="00783F5A"/>
    <w:rsid w:val="007840DE"/>
    <w:rsid w:val="00784802"/>
    <w:rsid w:val="00784AC7"/>
    <w:rsid w:val="0078530B"/>
    <w:rsid w:val="00785394"/>
    <w:rsid w:val="00785623"/>
    <w:rsid w:val="00785686"/>
    <w:rsid w:val="00785828"/>
    <w:rsid w:val="007859BF"/>
    <w:rsid w:val="00785ABE"/>
    <w:rsid w:val="00785C42"/>
    <w:rsid w:val="00785E93"/>
    <w:rsid w:val="00786462"/>
    <w:rsid w:val="0078695B"/>
    <w:rsid w:val="0078718A"/>
    <w:rsid w:val="007873CA"/>
    <w:rsid w:val="00787739"/>
    <w:rsid w:val="00787BD8"/>
    <w:rsid w:val="00787F73"/>
    <w:rsid w:val="0079037A"/>
    <w:rsid w:val="0079061F"/>
    <w:rsid w:val="00790F21"/>
    <w:rsid w:val="00790F49"/>
    <w:rsid w:val="00790FBA"/>
    <w:rsid w:val="007913B8"/>
    <w:rsid w:val="0079158F"/>
    <w:rsid w:val="0079172E"/>
    <w:rsid w:val="00791D3F"/>
    <w:rsid w:val="00791E4C"/>
    <w:rsid w:val="00792095"/>
    <w:rsid w:val="007921A2"/>
    <w:rsid w:val="00792590"/>
    <w:rsid w:val="00792EB5"/>
    <w:rsid w:val="00793099"/>
    <w:rsid w:val="007938F6"/>
    <w:rsid w:val="00793D3C"/>
    <w:rsid w:val="00793F7A"/>
    <w:rsid w:val="0079404B"/>
    <w:rsid w:val="007943E3"/>
    <w:rsid w:val="00794AC2"/>
    <w:rsid w:val="00794C65"/>
    <w:rsid w:val="00794EA4"/>
    <w:rsid w:val="00795205"/>
    <w:rsid w:val="00795525"/>
    <w:rsid w:val="007955BB"/>
    <w:rsid w:val="00795714"/>
    <w:rsid w:val="00795737"/>
    <w:rsid w:val="00795AC1"/>
    <w:rsid w:val="00795E13"/>
    <w:rsid w:val="00796125"/>
    <w:rsid w:val="00796B16"/>
    <w:rsid w:val="00796C0B"/>
    <w:rsid w:val="007973F8"/>
    <w:rsid w:val="007A0019"/>
    <w:rsid w:val="007A0119"/>
    <w:rsid w:val="007A07A1"/>
    <w:rsid w:val="007A0DCD"/>
    <w:rsid w:val="007A1459"/>
    <w:rsid w:val="007A1E81"/>
    <w:rsid w:val="007A2206"/>
    <w:rsid w:val="007A2576"/>
    <w:rsid w:val="007A3170"/>
    <w:rsid w:val="007A3991"/>
    <w:rsid w:val="007A3B72"/>
    <w:rsid w:val="007A3DE3"/>
    <w:rsid w:val="007A4136"/>
    <w:rsid w:val="007A41DF"/>
    <w:rsid w:val="007A4281"/>
    <w:rsid w:val="007A46BD"/>
    <w:rsid w:val="007A4C33"/>
    <w:rsid w:val="007A4C3E"/>
    <w:rsid w:val="007A4E24"/>
    <w:rsid w:val="007A4EC3"/>
    <w:rsid w:val="007A5371"/>
    <w:rsid w:val="007A5392"/>
    <w:rsid w:val="007A5C0C"/>
    <w:rsid w:val="007A5DDE"/>
    <w:rsid w:val="007A5F0F"/>
    <w:rsid w:val="007A6021"/>
    <w:rsid w:val="007A64FD"/>
    <w:rsid w:val="007A6688"/>
    <w:rsid w:val="007A67EF"/>
    <w:rsid w:val="007A68B6"/>
    <w:rsid w:val="007A6C92"/>
    <w:rsid w:val="007A6CCF"/>
    <w:rsid w:val="007A6D55"/>
    <w:rsid w:val="007A7147"/>
    <w:rsid w:val="007A74D2"/>
    <w:rsid w:val="007A7599"/>
    <w:rsid w:val="007A7E47"/>
    <w:rsid w:val="007B0182"/>
    <w:rsid w:val="007B0235"/>
    <w:rsid w:val="007B0B14"/>
    <w:rsid w:val="007B120D"/>
    <w:rsid w:val="007B1577"/>
    <w:rsid w:val="007B19C8"/>
    <w:rsid w:val="007B222F"/>
    <w:rsid w:val="007B23F2"/>
    <w:rsid w:val="007B2A46"/>
    <w:rsid w:val="007B2ADC"/>
    <w:rsid w:val="007B2B5B"/>
    <w:rsid w:val="007B2CB4"/>
    <w:rsid w:val="007B41DF"/>
    <w:rsid w:val="007B45E0"/>
    <w:rsid w:val="007B45F3"/>
    <w:rsid w:val="007B4B38"/>
    <w:rsid w:val="007B4CC7"/>
    <w:rsid w:val="007B5022"/>
    <w:rsid w:val="007B51B1"/>
    <w:rsid w:val="007B539C"/>
    <w:rsid w:val="007B580D"/>
    <w:rsid w:val="007B581C"/>
    <w:rsid w:val="007B5A07"/>
    <w:rsid w:val="007B5BF4"/>
    <w:rsid w:val="007B61DC"/>
    <w:rsid w:val="007B636A"/>
    <w:rsid w:val="007B6C64"/>
    <w:rsid w:val="007B6C9A"/>
    <w:rsid w:val="007B70A7"/>
    <w:rsid w:val="007B7942"/>
    <w:rsid w:val="007B7C28"/>
    <w:rsid w:val="007B7C71"/>
    <w:rsid w:val="007C0022"/>
    <w:rsid w:val="007C01B0"/>
    <w:rsid w:val="007C02ED"/>
    <w:rsid w:val="007C0623"/>
    <w:rsid w:val="007C063B"/>
    <w:rsid w:val="007C06A7"/>
    <w:rsid w:val="007C08AC"/>
    <w:rsid w:val="007C0959"/>
    <w:rsid w:val="007C097D"/>
    <w:rsid w:val="007C0C35"/>
    <w:rsid w:val="007C1037"/>
    <w:rsid w:val="007C13AC"/>
    <w:rsid w:val="007C14F4"/>
    <w:rsid w:val="007C1530"/>
    <w:rsid w:val="007C1B96"/>
    <w:rsid w:val="007C2376"/>
    <w:rsid w:val="007C243D"/>
    <w:rsid w:val="007C26B4"/>
    <w:rsid w:val="007C2830"/>
    <w:rsid w:val="007C29D3"/>
    <w:rsid w:val="007C2D2A"/>
    <w:rsid w:val="007C315F"/>
    <w:rsid w:val="007C3743"/>
    <w:rsid w:val="007C3751"/>
    <w:rsid w:val="007C3A9C"/>
    <w:rsid w:val="007C42A9"/>
    <w:rsid w:val="007C4574"/>
    <w:rsid w:val="007C48F6"/>
    <w:rsid w:val="007C4D41"/>
    <w:rsid w:val="007C4DA8"/>
    <w:rsid w:val="007C4E2F"/>
    <w:rsid w:val="007C51C0"/>
    <w:rsid w:val="007C52D9"/>
    <w:rsid w:val="007C53D8"/>
    <w:rsid w:val="007C58A5"/>
    <w:rsid w:val="007C5BDD"/>
    <w:rsid w:val="007C5F65"/>
    <w:rsid w:val="007C60A9"/>
    <w:rsid w:val="007C6268"/>
    <w:rsid w:val="007C650D"/>
    <w:rsid w:val="007C65A5"/>
    <w:rsid w:val="007C66E5"/>
    <w:rsid w:val="007C6996"/>
    <w:rsid w:val="007C6A2A"/>
    <w:rsid w:val="007C6CB5"/>
    <w:rsid w:val="007C6E53"/>
    <w:rsid w:val="007C70C7"/>
    <w:rsid w:val="007C7D19"/>
    <w:rsid w:val="007C7D1E"/>
    <w:rsid w:val="007C7EB0"/>
    <w:rsid w:val="007C7EB2"/>
    <w:rsid w:val="007C7FD0"/>
    <w:rsid w:val="007D01FA"/>
    <w:rsid w:val="007D0F12"/>
    <w:rsid w:val="007D11AF"/>
    <w:rsid w:val="007D1591"/>
    <w:rsid w:val="007D163B"/>
    <w:rsid w:val="007D16E6"/>
    <w:rsid w:val="007D1801"/>
    <w:rsid w:val="007D1B9F"/>
    <w:rsid w:val="007D1ED6"/>
    <w:rsid w:val="007D2196"/>
    <w:rsid w:val="007D2ACE"/>
    <w:rsid w:val="007D2D79"/>
    <w:rsid w:val="007D3357"/>
    <w:rsid w:val="007D3C0A"/>
    <w:rsid w:val="007D4501"/>
    <w:rsid w:val="007D49B4"/>
    <w:rsid w:val="007D4D91"/>
    <w:rsid w:val="007D511F"/>
    <w:rsid w:val="007D54AB"/>
    <w:rsid w:val="007D55FB"/>
    <w:rsid w:val="007D596C"/>
    <w:rsid w:val="007D5EAE"/>
    <w:rsid w:val="007D61EB"/>
    <w:rsid w:val="007D670A"/>
    <w:rsid w:val="007D69AE"/>
    <w:rsid w:val="007D6BB5"/>
    <w:rsid w:val="007D6D15"/>
    <w:rsid w:val="007D7248"/>
    <w:rsid w:val="007D7298"/>
    <w:rsid w:val="007D7966"/>
    <w:rsid w:val="007E0441"/>
    <w:rsid w:val="007E047B"/>
    <w:rsid w:val="007E0866"/>
    <w:rsid w:val="007E0A41"/>
    <w:rsid w:val="007E1361"/>
    <w:rsid w:val="007E1821"/>
    <w:rsid w:val="007E18DB"/>
    <w:rsid w:val="007E1AA5"/>
    <w:rsid w:val="007E1DA8"/>
    <w:rsid w:val="007E22D5"/>
    <w:rsid w:val="007E258D"/>
    <w:rsid w:val="007E26CB"/>
    <w:rsid w:val="007E2B43"/>
    <w:rsid w:val="007E34AD"/>
    <w:rsid w:val="007E3549"/>
    <w:rsid w:val="007E386A"/>
    <w:rsid w:val="007E3C6E"/>
    <w:rsid w:val="007E3E4E"/>
    <w:rsid w:val="007E430F"/>
    <w:rsid w:val="007E4719"/>
    <w:rsid w:val="007E474B"/>
    <w:rsid w:val="007E4800"/>
    <w:rsid w:val="007E4A53"/>
    <w:rsid w:val="007E4C6D"/>
    <w:rsid w:val="007E4E83"/>
    <w:rsid w:val="007E51A4"/>
    <w:rsid w:val="007E5FB7"/>
    <w:rsid w:val="007E61D3"/>
    <w:rsid w:val="007E6284"/>
    <w:rsid w:val="007E680E"/>
    <w:rsid w:val="007E690E"/>
    <w:rsid w:val="007E6A67"/>
    <w:rsid w:val="007E6D3A"/>
    <w:rsid w:val="007E6DD0"/>
    <w:rsid w:val="007E742D"/>
    <w:rsid w:val="007E790B"/>
    <w:rsid w:val="007E7951"/>
    <w:rsid w:val="007F0683"/>
    <w:rsid w:val="007F13D5"/>
    <w:rsid w:val="007F15AB"/>
    <w:rsid w:val="007F1942"/>
    <w:rsid w:val="007F1A4A"/>
    <w:rsid w:val="007F1AEE"/>
    <w:rsid w:val="007F21D5"/>
    <w:rsid w:val="007F28F7"/>
    <w:rsid w:val="007F2ED2"/>
    <w:rsid w:val="007F31AF"/>
    <w:rsid w:val="007F4171"/>
    <w:rsid w:val="007F4243"/>
    <w:rsid w:val="007F43DB"/>
    <w:rsid w:val="007F48F3"/>
    <w:rsid w:val="007F4DBC"/>
    <w:rsid w:val="007F5120"/>
    <w:rsid w:val="007F51C7"/>
    <w:rsid w:val="007F564E"/>
    <w:rsid w:val="007F5F7A"/>
    <w:rsid w:val="007F6227"/>
    <w:rsid w:val="007F6A4C"/>
    <w:rsid w:val="007F6B6E"/>
    <w:rsid w:val="007F776B"/>
    <w:rsid w:val="007F7C44"/>
    <w:rsid w:val="007F7CEB"/>
    <w:rsid w:val="00800011"/>
    <w:rsid w:val="0080082C"/>
    <w:rsid w:val="00800940"/>
    <w:rsid w:val="00800C86"/>
    <w:rsid w:val="0080106A"/>
    <w:rsid w:val="00801AC1"/>
    <w:rsid w:val="00801ADD"/>
    <w:rsid w:val="00801F9D"/>
    <w:rsid w:val="00802285"/>
    <w:rsid w:val="008022C4"/>
    <w:rsid w:val="0080249D"/>
    <w:rsid w:val="008024DE"/>
    <w:rsid w:val="00802B1C"/>
    <w:rsid w:val="00802E75"/>
    <w:rsid w:val="00802FB1"/>
    <w:rsid w:val="008035AD"/>
    <w:rsid w:val="00803793"/>
    <w:rsid w:val="00803E36"/>
    <w:rsid w:val="00804794"/>
    <w:rsid w:val="0080498D"/>
    <w:rsid w:val="00804A79"/>
    <w:rsid w:val="00804B35"/>
    <w:rsid w:val="00804BEB"/>
    <w:rsid w:val="0080500E"/>
    <w:rsid w:val="00805207"/>
    <w:rsid w:val="00805E5C"/>
    <w:rsid w:val="00805FF2"/>
    <w:rsid w:val="0080619A"/>
    <w:rsid w:val="0080622A"/>
    <w:rsid w:val="00806270"/>
    <w:rsid w:val="008071C6"/>
    <w:rsid w:val="00807C06"/>
    <w:rsid w:val="00807C5C"/>
    <w:rsid w:val="00807DB3"/>
    <w:rsid w:val="0081028B"/>
    <w:rsid w:val="008109F9"/>
    <w:rsid w:val="0081133C"/>
    <w:rsid w:val="0081142F"/>
    <w:rsid w:val="008114DD"/>
    <w:rsid w:val="00811B8D"/>
    <w:rsid w:val="00812173"/>
    <w:rsid w:val="008121B5"/>
    <w:rsid w:val="0081237B"/>
    <w:rsid w:val="008127CF"/>
    <w:rsid w:val="008127F0"/>
    <w:rsid w:val="00812809"/>
    <w:rsid w:val="0081296F"/>
    <w:rsid w:val="00812D6E"/>
    <w:rsid w:val="00813328"/>
    <w:rsid w:val="0081332F"/>
    <w:rsid w:val="00813A99"/>
    <w:rsid w:val="00813C80"/>
    <w:rsid w:val="00813F88"/>
    <w:rsid w:val="00813FE7"/>
    <w:rsid w:val="00814564"/>
    <w:rsid w:val="008146A8"/>
    <w:rsid w:val="00814C55"/>
    <w:rsid w:val="00814DC3"/>
    <w:rsid w:val="008150A1"/>
    <w:rsid w:val="008152DD"/>
    <w:rsid w:val="008153EA"/>
    <w:rsid w:val="00815619"/>
    <w:rsid w:val="008156B6"/>
    <w:rsid w:val="00815835"/>
    <w:rsid w:val="00815858"/>
    <w:rsid w:val="00815FC3"/>
    <w:rsid w:val="00816C9E"/>
    <w:rsid w:val="00816DAF"/>
    <w:rsid w:val="00817472"/>
    <w:rsid w:val="008176D0"/>
    <w:rsid w:val="008177DF"/>
    <w:rsid w:val="00817CE6"/>
    <w:rsid w:val="008203E2"/>
    <w:rsid w:val="008203EE"/>
    <w:rsid w:val="00820DEA"/>
    <w:rsid w:val="00820FBE"/>
    <w:rsid w:val="00821455"/>
    <w:rsid w:val="00821BC6"/>
    <w:rsid w:val="00822075"/>
    <w:rsid w:val="0082274E"/>
    <w:rsid w:val="0082274F"/>
    <w:rsid w:val="00822D2B"/>
    <w:rsid w:val="00823002"/>
    <w:rsid w:val="008239DE"/>
    <w:rsid w:val="00823AD6"/>
    <w:rsid w:val="00823D17"/>
    <w:rsid w:val="00823DD2"/>
    <w:rsid w:val="00824525"/>
    <w:rsid w:val="008245E1"/>
    <w:rsid w:val="008248A6"/>
    <w:rsid w:val="00824A8D"/>
    <w:rsid w:val="00824F16"/>
    <w:rsid w:val="00824F42"/>
    <w:rsid w:val="00825371"/>
    <w:rsid w:val="008256F5"/>
    <w:rsid w:val="008258C8"/>
    <w:rsid w:val="00825DCB"/>
    <w:rsid w:val="00826134"/>
    <w:rsid w:val="00826563"/>
    <w:rsid w:val="00826A39"/>
    <w:rsid w:val="00826CF4"/>
    <w:rsid w:val="00827355"/>
    <w:rsid w:val="0082786F"/>
    <w:rsid w:val="00827B2D"/>
    <w:rsid w:val="00827BF2"/>
    <w:rsid w:val="00827EC2"/>
    <w:rsid w:val="008300B3"/>
    <w:rsid w:val="00830614"/>
    <w:rsid w:val="00830814"/>
    <w:rsid w:val="0083096F"/>
    <w:rsid w:val="008309A1"/>
    <w:rsid w:val="00830AF7"/>
    <w:rsid w:val="008312AF"/>
    <w:rsid w:val="0083141D"/>
    <w:rsid w:val="008322BF"/>
    <w:rsid w:val="00832373"/>
    <w:rsid w:val="00832409"/>
    <w:rsid w:val="00832729"/>
    <w:rsid w:val="00832819"/>
    <w:rsid w:val="00832856"/>
    <w:rsid w:val="00832A79"/>
    <w:rsid w:val="00832F28"/>
    <w:rsid w:val="0083330F"/>
    <w:rsid w:val="008335F7"/>
    <w:rsid w:val="00833919"/>
    <w:rsid w:val="00833A5A"/>
    <w:rsid w:val="00833B06"/>
    <w:rsid w:val="00833D38"/>
    <w:rsid w:val="00833D74"/>
    <w:rsid w:val="008341AC"/>
    <w:rsid w:val="008345CF"/>
    <w:rsid w:val="00834823"/>
    <w:rsid w:val="00834A9C"/>
    <w:rsid w:val="00834C4A"/>
    <w:rsid w:val="00835200"/>
    <w:rsid w:val="00835569"/>
    <w:rsid w:val="00835653"/>
    <w:rsid w:val="00835DBE"/>
    <w:rsid w:val="00835F50"/>
    <w:rsid w:val="00836530"/>
    <w:rsid w:val="00836619"/>
    <w:rsid w:val="008368EB"/>
    <w:rsid w:val="00836A58"/>
    <w:rsid w:val="00836B0B"/>
    <w:rsid w:val="00836C0B"/>
    <w:rsid w:val="00837650"/>
    <w:rsid w:val="008378CA"/>
    <w:rsid w:val="00840463"/>
    <w:rsid w:val="0084046F"/>
    <w:rsid w:val="00840543"/>
    <w:rsid w:val="008408B0"/>
    <w:rsid w:val="00840A23"/>
    <w:rsid w:val="00840AE8"/>
    <w:rsid w:val="00840BB3"/>
    <w:rsid w:val="00840BEC"/>
    <w:rsid w:val="008411F9"/>
    <w:rsid w:val="008414EE"/>
    <w:rsid w:val="008417C0"/>
    <w:rsid w:val="008418CD"/>
    <w:rsid w:val="00841A02"/>
    <w:rsid w:val="00841CB0"/>
    <w:rsid w:val="008423A3"/>
    <w:rsid w:val="00842511"/>
    <w:rsid w:val="00842607"/>
    <w:rsid w:val="00842772"/>
    <w:rsid w:val="00842A26"/>
    <w:rsid w:val="00842D01"/>
    <w:rsid w:val="00842D7B"/>
    <w:rsid w:val="00842DD9"/>
    <w:rsid w:val="0084328A"/>
    <w:rsid w:val="0084358D"/>
    <w:rsid w:val="00843ADF"/>
    <w:rsid w:val="00843EB9"/>
    <w:rsid w:val="00844C7F"/>
    <w:rsid w:val="00844D80"/>
    <w:rsid w:val="00844FB4"/>
    <w:rsid w:val="0084503A"/>
    <w:rsid w:val="0084568C"/>
    <w:rsid w:val="00845960"/>
    <w:rsid w:val="00845A09"/>
    <w:rsid w:val="00845C55"/>
    <w:rsid w:val="00845FD8"/>
    <w:rsid w:val="0084619E"/>
    <w:rsid w:val="0084681D"/>
    <w:rsid w:val="00846A30"/>
    <w:rsid w:val="00846F8E"/>
    <w:rsid w:val="00847165"/>
    <w:rsid w:val="0084731A"/>
    <w:rsid w:val="0084738C"/>
    <w:rsid w:val="008475C9"/>
    <w:rsid w:val="00847949"/>
    <w:rsid w:val="00847AC9"/>
    <w:rsid w:val="00847BA2"/>
    <w:rsid w:val="00847CDC"/>
    <w:rsid w:val="00847D3B"/>
    <w:rsid w:val="00847D57"/>
    <w:rsid w:val="00847E66"/>
    <w:rsid w:val="00847EE3"/>
    <w:rsid w:val="008512B6"/>
    <w:rsid w:val="008527E7"/>
    <w:rsid w:val="008535A3"/>
    <w:rsid w:val="008537AB"/>
    <w:rsid w:val="00853C56"/>
    <w:rsid w:val="008543A3"/>
    <w:rsid w:val="00854453"/>
    <w:rsid w:val="0085469B"/>
    <w:rsid w:val="00854B26"/>
    <w:rsid w:val="00854DDE"/>
    <w:rsid w:val="00855195"/>
    <w:rsid w:val="00855247"/>
    <w:rsid w:val="008556D0"/>
    <w:rsid w:val="00856159"/>
    <w:rsid w:val="0085621A"/>
    <w:rsid w:val="008563A7"/>
    <w:rsid w:val="008564FF"/>
    <w:rsid w:val="008565BD"/>
    <w:rsid w:val="00856CC6"/>
    <w:rsid w:val="00857A46"/>
    <w:rsid w:val="00857ED6"/>
    <w:rsid w:val="008604C4"/>
    <w:rsid w:val="008608D1"/>
    <w:rsid w:val="00860C3D"/>
    <w:rsid w:val="00860FEA"/>
    <w:rsid w:val="0086119F"/>
    <w:rsid w:val="00861716"/>
    <w:rsid w:val="008619A2"/>
    <w:rsid w:val="008619B9"/>
    <w:rsid w:val="00861C57"/>
    <w:rsid w:val="00861CA3"/>
    <w:rsid w:val="00861E0F"/>
    <w:rsid w:val="008624F6"/>
    <w:rsid w:val="00862FDF"/>
    <w:rsid w:val="008632BD"/>
    <w:rsid w:val="0086339F"/>
    <w:rsid w:val="008639D7"/>
    <w:rsid w:val="008643A3"/>
    <w:rsid w:val="0086441C"/>
    <w:rsid w:val="008645FC"/>
    <w:rsid w:val="00864681"/>
    <w:rsid w:val="00864B6B"/>
    <w:rsid w:val="008651ED"/>
    <w:rsid w:val="0086545B"/>
    <w:rsid w:val="00865714"/>
    <w:rsid w:val="00865BCD"/>
    <w:rsid w:val="00865D5C"/>
    <w:rsid w:val="008661B8"/>
    <w:rsid w:val="008662BC"/>
    <w:rsid w:val="0086698B"/>
    <w:rsid w:val="00866D47"/>
    <w:rsid w:val="00866D50"/>
    <w:rsid w:val="00866F8F"/>
    <w:rsid w:val="008672B7"/>
    <w:rsid w:val="008703BD"/>
    <w:rsid w:val="00870AA1"/>
    <w:rsid w:val="0087134D"/>
    <w:rsid w:val="00871F7D"/>
    <w:rsid w:val="00871FE2"/>
    <w:rsid w:val="00872014"/>
    <w:rsid w:val="0087270A"/>
    <w:rsid w:val="0087273A"/>
    <w:rsid w:val="00872C2F"/>
    <w:rsid w:val="0087362F"/>
    <w:rsid w:val="00873CC8"/>
    <w:rsid w:val="00873DB2"/>
    <w:rsid w:val="00873F46"/>
    <w:rsid w:val="00875831"/>
    <w:rsid w:val="00875D10"/>
    <w:rsid w:val="00875E26"/>
    <w:rsid w:val="0087609C"/>
    <w:rsid w:val="008760D2"/>
    <w:rsid w:val="008763EE"/>
    <w:rsid w:val="00876979"/>
    <w:rsid w:val="008778FC"/>
    <w:rsid w:val="00877DA2"/>
    <w:rsid w:val="00880392"/>
    <w:rsid w:val="0088088B"/>
    <w:rsid w:val="00880EC4"/>
    <w:rsid w:val="008810FC"/>
    <w:rsid w:val="00881298"/>
    <w:rsid w:val="00881527"/>
    <w:rsid w:val="00881647"/>
    <w:rsid w:val="00881C5B"/>
    <w:rsid w:val="0088232E"/>
    <w:rsid w:val="00882881"/>
    <w:rsid w:val="00882A67"/>
    <w:rsid w:val="00883181"/>
    <w:rsid w:val="00883A33"/>
    <w:rsid w:val="00883CD9"/>
    <w:rsid w:val="00883E93"/>
    <w:rsid w:val="00884350"/>
    <w:rsid w:val="00884385"/>
    <w:rsid w:val="0088445B"/>
    <w:rsid w:val="00884B98"/>
    <w:rsid w:val="00884D97"/>
    <w:rsid w:val="00885240"/>
    <w:rsid w:val="00885973"/>
    <w:rsid w:val="00885B84"/>
    <w:rsid w:val="00885BBA"/>
    <w:rsid w:val="00885D1A"/>
    <w:rsid w:val="00886106"/>
    <w:rsid w:val="008873EE"/>
    <w:rsid w:val="0088762F"/>
    <w:rsid w:val="00887C7A"/>
    <w:rsid w:val="00887FCA"/>
    <w:rsid w:val="00887FDA"/>
    <w:rsid w:val="00890221"/>
    <w:rsid w:val="00890388"/>
    <w:rsid w:val="00890730"/>
    <w:rsid w:val="00891355"/>
    <w:rsid w:val="00891392"/>
    <w:rsid w:val="008915C6"/>
    <w:rsid w:val="00891833"/>
    <w:rsid w:val="00891B2F"/>
    <w:rsid w:val="00891EF3"/>
    <w:rsid w:val="008922B1"/>
    <w:rsid w:val="0089267E"/>
    <w:rsid w:val="00892AE2"/>
    <w:rsid w:val="00892B40"/>
    <w:rsid w:val="00893128"/>
    <w:rsid w:val="0089348C"/>
    <w:rsid w:val="00893740"/>
    <w:rsid w:val="0089451E"/>
    <w:rsid w:val="00894601"/>
    <w:rsid w:val="0089475A"/>
    <w:rsid w:val="00894AB7"/>
    <w:rsid w:val="00894B93"/>
    <w:rsid w:val="00894C62"/>
    <w:rsid w:val="00894D5F"/>
    <w:rsid w:val="008950EE"/>
    <w:rsid w:val="0089541F"/>
    <w:rsid w:val="0089578D"/>
    <w:rsid w:val="008959B9"/>
    <w:rsid w:val="00895B5E"/>
    <w:rsid w:val="00896173"/>
    <w:rsid w:val="008964EE"/>
    <w:rsid w:val="0089656A"/>
    <w:rsid w:val="00896B5B"/>
    <w:rsid w:val="0089754F"/>
    <w:rsid w:val="00897C51"/>
    <w:rsid w:val="008A0005"/>
    <w:rsid w:val="008A0341"/>
    <w:rsid w:val="008A06B1"/>
    <w:rsid w:val="008A07C4"/>
    <w:rsid w:val="008A0DF3"/>
    <w:rsid w:val="008A0E09"/>
    <w:rsid w:val="008A1192"/>
    <w:rsid w:val="008A1339"/>
    <w:rsid w:val="008A1520"/>
    <w:rsid w:val="008A178C"/>
    <w:rsid w:val="008A211B"/>
    <w:rsid w:val="008A21AF"/>
    <w:rsid w:val="008A22CA"/>
    <w:rsid w:val="008A23F0"/>
    <w:rsid w:val="008A2988"/>
    <w:rsid w:val="008A2AE7"/>
    <w:rsid w:val="008A2D37"/>
    <w:rsid w:val="008A2E2C"/>
    <w:rsid w:val="008A2FF2"/>
    <w:rsid w:val="008A37BD"/>
    <w:rsid w:val="008A3DE9"/>
    <w:rsid w:val="008A3E66"/>
    <w:rsid w:val="008A3F89"/>
    <w:rsid w:val="008A4036"/>
    <w:rsid w:val="008A40E7"/>
    <w:rsid w:val="008A41DC"/>
    <w:rsid w:val="008A4438"/>
    <w:rsid w:val="008A462F"/>
    <w:rsid w:val="008A5267"/>
    <w:rsid w:val="008A5268"/>
    <w:rsid w:val="008A5656"/>
    <w:rsid w:val="008A5A95"/>
    <w:rsid w:val="008A5B38"/>
    <w:rsid w:val="008A6057"/>
    <w:rsid w:val="008A7228"/>
    <w:rsid w:val="008A7549"/>
    <w:rsid w:val="008A7648"/>
    <w:rsid w:val="008A76EA"/>
    <w:rsid w:val="008A77D6"/>
    <w:rsid w:val="008A7B29"/>
    <w:rsid w:val="008A7CBB"/>
    <w:rsid w:val="008A7D45"/>
    <w:rsid w:val="008B0A2F"/>
    <w:rsid w:val="008B0BA4"/>
    <w:rsid w:val="008B10CB"/>
    <w:rsid w:val="008B1219"/>
    <w:rsid w:val="008B127E"/>
    <w:rsid w:val="008B198F"/>
    <w:rsid w:val="008B19AA"/>
    <w:rsid w:val="008B1D49"/>
    <w:rsid w:val="008B2130"/>
    <w:rsid w:val="008B2220"/>
    <w:rsid w:val="008B2660"/>
    <w:rsid w:val="008B2B73"/>
    <w:rsid w:val="008B2C7A"/>
    <w:rsid w:val="008B3208"/>
    <w:rsid w:val="008B4293"/>
    <w:rsid w:val="008B45F9"/>
    <w:rsid w:val="008B4A69"/>
    <w:rsid w:val="008B4CA4"/>
    <w:rsid w:val="008B4CD5"/>
    <w:rsid w:val="008B5551"/>
    <w:rsid w:val="008B5603"/>
    <w:rsid w:val="008B5706"/>
    <w:rsid w:val="008B5A72"/>
    <w:rsid w:val="008B5B1D"/>
    <w:rsid w:val="008B5BD5"/>
    <w:rsid w:val="008B5F4E"/>
    <w:rsid w:val="008B602D"/>
    <w:rsid w:val="008B6825"/>
    <w:rsid w:val="008B6852"/>
    <w:rsid w:val="008B6B3C"/>
    <w:rsid w:val="008B6F4F"/>
    <w:rsid w:val="008B70C2"/>
    <w:rsid w:val="008B71CE"/>
    <w:rsid w:val="008B76F4"/>
    <w:rsid w:val="008B7909"/>
    <w:rsid w:val="008B7C96"/>
    <w:rsid w:val="008B7F6E"/>
    <w:rsid w:val="008C00B8"/>
    <w:rsid w:val="008C06A1"/>
    <w:rsid w:val="008C0AE3"/>
    <w:rsid w:val="008C148A"/>
    <w:rsid w:val="008C1789"/>
    <w:rsid w:val="008C1AFB"/>
    <w:rsid w:val="008C1D97"/>
    <w:rsid w:val="008C1EA4"/>
    <w:rsid w:val="008C22B4"/>
    <w:rsid w:val="008C27FF"/>
    <w:rsid w:val="008C2B58"/>
    <w:rsid w:val="008C2BAD"/>
    <w:rsid w:val="008C2F84"/>
    <w:rsid w:val="008C3038"/>
    <w:rsid w:val="008C313A"/>
    <w:rsid w:val="008C31B9"/>
    <w:rsid w:val="008C350B"/>
    <w:rsid w:val="008C3BDB"/>
    <w:rsid w:val="008C3D85"/>
    <w:rsid w:val="008C44DD"/>
    <w:rsid w:val="008C485C"/>
    <w:rsid w:val="008C49D6"/>
    <w:rsid w:val="008C4BE7"/>
    <w:rsid w:val="008C58E8"/>
    <w:rsid w:val="008C62F3"/>
    <w:rsid w:val="008C66B0"/>
    <w:rsid w:val="008C694F"/>
    <w:rsid w:val="008C6A4B"/>
    <w:rsid w:val="008C6BC8"/>
    <w:rsid w:val="008C6BE8"/>
    <w:rsid w:val="008C6BF5"/>
    <w:rsid w:val="008C6CFD"/>
    <w:rsid w:val="008C79A3"/>
    <w:rsid w:val="008C7AFD"/>
    <w:rsid w:val="008C7C10"/>
    <w:rsid w:val="008C7D55"/>
    <w:rsid w:val="008C7F97"/>
    <w:rsid w:val="008D0165"/>
    <w:rsid w:val="008D0686"/>
    <w:rsid w:val="008D0E3F"/>
    <w:rsid w:val="008D1671"/>
    <w:rsid w:val="008D1B11"/>
    <w:rsid w:val="008D1CCC"/>
    <w:rsid w:val="008D1DDF"/>
    <w:rsid w:val="008D246B"/>
    <w:rsid w:val="008D2DDA"/>
    <w:rsid w:val="008D2E8B"/>
    <w:rsid w:val="008D3366"/>
    <w:rsid w:val="008D3FA9"/>
    <w:rsid w:val="008D419D"/>
    <w:rsid w:val="008D4201"/>
    <w:rsid w:val="008D4430"/>
    <w:rsid w:val="008D4487"/>
    <w:rsid w:val="008D4850"/>
    <w:rsid w:val="008D56AD"/>
    <w:rsid w:val="008D5F16"/>
    <w:rsid w:val="008D64ED"/>
    <w:rsid w:val="008D6780"/>
    <w:rsid w:val="008D6AED"/>
    <w:rsid w:val="008D7739"/>
    <w:rsid w:val="008D7790"/>
    <w:rsid w:val="008D782E"/>
    <w:rsid w:val="008D79DD"/>
    <w:rsid w:val="008D7FDC"/>
    <w:rsid w:val="008E01B6"/>
    <w:rsid w:val="008E0BCD"/>
    <w:rsid w:val="008E0C5F"/>
    <w:rsid w:val="008E14FD"/>
    <w:rsid w:val="008E1700"/>
    <w:rsid w:val="008E19C3"/>
    <w:rsid w:val="008E1C6E"/>
    <w:rsid w:val="008E1DB9"/>
    <w:rsid w:val="008E2381"/>
    <w:rsid w:val="008E2453"/>
    <w:rsid w:val="008E24C4"/>
    <w:rsid w:val="008E2536"/>
    <w:rsid w:val="008E2B44"/>
    <w:rsid w:val="008E2D57"/>
    <w:rsid w:val="008E2D96"/>
    <w:rsid w:val="008E349A"/>
    <w:rsid w:val="008E37FC"/>
    <w:rsid w:val="008E3994"/>
    <w:rsid w:val="008E3CEB"/>
    <w:rsid w:val="008E3DEF"/>
    <w:rsid w:val="008E459B"/>
    <w:rsid w:val="008E483E"/>
    <w:rsid w:val="008E4885"/>
    <w:rsid w:val="008E50BF"/>
    <w:rsid w:val="008E51A2"/>
    <w:rsid w:val="008E54BF"/>
    <w:rsid w:val="008E5BC4"/>
    <w:rsid w:val="008E600E"/>
    <w:rsid w:val="008E619B"/>
    <w:rsid w:val="008E6D56"/>
    <w:rsid w:val="008E6F4A"/>
    <w:rsid w:val="008F0208"/>
    <w:rsid w:val="008F032C"/>
    <w:rsid w:val="008F0D40"/>
    <w:rsid w:val="008F0EEF"/>
    <w:rsid w:val="008F0FCF"/>
    <w:rsid w:val="008F105D"/>
    <w:rsid w:val="008F120B"/>
    <w:rsid w:val="008F17CE"/>
    <w:rsid w:val="008F1944"/>
    <w:rsid w:val="008F1B14"/>
    <w:rsid w:val="008F33A3"/>
    <w:rsid w:val="008F33D0"/>
    <w:rsid w:val="008F33F3"/>
    <w:rsid w:val="008F37A1"/>
    <w:rsid w:val="008F38A2"/>
    <w:rsid w:val="008F3987"/>
    <w:rsid w:val="008F3A05"/>
    <w:rsid w:val="008F3AE2"/>
    <w:rsid w:val="008F3B9C"/>
    <w:rsid w:val="008F3BCA"/>
    <w:rsid w:val="008F4181"/>
    <w:rsid w:val="008F46D3"/>
    <w:rsid w:val="008F4A8F"/>
    <w:rsid w:val="008F4B75"/>
    <w:rsid w:val="008F4E0A"/>
    <w:rsid w:val="008F5072"/>
    <w:rsid w:val="008F52AF"/>
    <w:rsid w:val="008F5335"/>
    <w:rsid w:val="008F5CA2"/>
    <w:rsid w:val="008F5D62"/>
    <w:rsid w:val="008F6527"/>
    <w:rsid w:val="008F68E4"/>
    <w:rsid w:val="008F68FC"/>
    <w:rsid w:val="008F6C12"/>
    <w:rsid w:val="008F6D96"/>
    <w:rsid w:val="008F6E78"/>
    <w:rsid w:val="008F7233"/>
    <w:rsid w:val="008F72B5"/>
    <w:rsid w:val="008F7A9E"/>
    <w:rsid w:val="008F7B23"/>
    <w:rsid w:val="008F7BD5"/>
    <w:rsid w:val="008F7CC0"/>
    <w:rsid w:val="008F7CD1"/>
    <w:rsid w:val="008F7DB9"/>
    <w:rsid w:val="00900636"/>
    <w:rsid w:val="00900998"/>
    <w:rsid w:val="00900CEA"/>
    <w:rsid w:val="00900D17"/>
    <w:rsid w:val="00900D6B"/>
    <w:rsid w:val="009011D1"/>
    <w:rsid w:val="009012A6"/>
    <w:rsid w:val="00902204"/>
    <w:rsid w:val="0090247B"/>
    <w:rsid w:val="009026F3"/>
    <w:rsid w:val="00902824"/>
    <w:rsid w:val="0090295F"/>
    <w:rsid w:val="00902FAF"/>
    <w:rsid w:val="00903212"/>
    <w:rsid w:val="009032E3"/>
    <w:rsid w:val="009034A9"/>
    <w:rsid w:val="0090359A"/>
    <w:rsid w:val="00903723"/>
    <w:rsid w:val="0090408A"/>
    <w:rsid w:val="00904689"/>
    <w:rsid w:val="009046D9"/>
    <w:rsid w:val="00904CDF"/>
    <w:rsid w:val="00905945"/>
    <w:rsid w:val="00905EF6"/>
    <w:rsid w:val="0090601A"/>
    <w:rsid w:val="00906151"/>
    <w:rsid w:val="0090618E"/>
    <w:rsid w:val="009061B5"/>
    <w:rsid w:val="00906743"/>
    <w:rsid w:val="00906B22"/>
    <w:rsid w:val="00906EEE"/>
    <w:rsid w:val="00906FFE"/>
    <w:rsid w:val="009070BD"/>
    <w:rsid w:val="00907111"/>
    <w:rsid w:val="00907596"/>
    <w:rsid w:val="009075D3"/>
    <w:rsid w:val="009075E6"/>
    <w:rsid w:val="00907E98"/>
    <w:rsid w:val="0091099D"/>
    <w:rsid w:val="00910AA5"/>
    <w:rsid w:val="00910FF6"/>
    <w:rsid w:val="0091173A"/>
    <w:rsid w:val="00911AE3"/>
    <w:rsid w:val="00911CC2"/>
    <w:rsid w:val="00912049"/>
    <w:rsid w:val="00912182"/>
    <w:rsid w:val="0091227A"/>
    <w:rsid w:val="009122D6"/>
    <w:rsid w:val="00913571"/>
    <w:rsid w:val="00913660"/>
    <w:rsid w:val="009139FC"/>
    <w:rsid w:val="00914620"/>
    <w:rsid w:val="00915151"/>
    <w:rsid w:val="0091541C"/>
    <w:rsid w:val="009156EA"/>
    <w:rsid w:val="00915AF0"/>
    <w:rsid w:val="00915E88"/>
    <w:rsid w:val="00916037"/>
    <w:rsid w:val="00916195"/>
    <w:rsid w:val="009169E7"/>
    <w:rsid w:val="009170A9"/>
    <w:rsid w:val="0091725B"/>
    <w:rsid w:val="0091765A"/>
    <w:rsid w:val="00917B21"/>
    <w:rsid w:val="00917E2B"/>
    <w:rsid w:val="00917EA1"/>
    <w:rsid w:val="009206BE"/>
    <w:rsid w:val="00920DE9"/>
    <w:rsid w:val="00921443"/>
    <w:rsid w:val="009214FB"/>
    <w:rsid w:val="009215EC"/>
    <w:rsid w:val="0092168E"/>
    <w:rsid w:val="00921CC1"/>
    <w:rsid w:val="00921F05"/>
    <w:rsid w:val="00922161"/>
    <w:rsid w:val="00922479"/>
    <w:rsid w:val="009224A8"/>
    <w:rsid w:val="009228F2"/>
    <w:rsid w:val="00922CF5"/>
    <w:rsid w:val="00923016"/>
    <w:rsid w:val="00923073"/>
    <w:rsid w:val="00923096"/>
    <w:rsid w:val="0092339A"/>
    <w:rsid w:val="0092342F"/>
    <w:rsid w:val="00923481"/>
    <w:rsid w:val="00923D07"/>
    <w:rsid w:val="00923F9C"/>
    <w:rsid w:val="00924667"/>
    <w:rsid w:val="00924858"/>
    <w:rsid w:val="00924C5E"/>
    <w:rsid w:val="00924E27"/>
    <w:rsid w:val="0092509F"/>
    <w:rsid w:val="009251DF"/>
    <w:rsid w:val="009252F3"/>
    <w:rsid w:val="009255DF"/>
    <w:rsid w:val="00925642"/>
    <w:rsid w:val="00925694"/>
    <w:rsid w:val="00925FDB"/>
    <w:rsid w:val="0092655B"/>
    <w:rsid w:val="009265F3"/>
    <w:rsid w:val="00926E4D"/>
    <w:rsid w:val="009272E0"/>
    <w:rsid w:val="0092745C"/>
    <w:rsid w:val="00927586"/>
    <w:rsid w:val="009302D8"/>
    <w:rsid w:val="00930860"/>
    <w:rsid w:val="009308A1"/>
    <w:rsid w:val="00930BB2"/>
    <w:rsid w:val="00930DDE"/>
    <w:rsid w:val="0093129C"/>
    <w:rsid w:val="0093148B"/>
    <w:rsid w:val="00931D06"/>
    <w:rsid w:val="00931D14"/>
    <w:rsid w:val="00932158"/>
    <w:rsid w:val="00932A00"/>
    <w:rsid w:val="00932F48"/>
    <w:rsid w:val="00933049"/>
    <w:rsid w:val="00933091"/>
    <w:rsid w:val="00933216"/>
    <w:rsid w:val="009332DE"/>
    <w:rsid w:val="0093331A"/>
    <w:rsid w:val="009333E9"/>
    <w:rsid w:val="00933B4A"/>
    <w:rsid w:val="00933B51"/>
    <w:rsid w:val="00933CA4"/>
    <w:rsid w:val="00933E8C"/>
    <w:rsid w:val="00934125"/>
    <w:rsid w:val="00934442"/>
    <w:rsid w:val="00934695"/>
    <w:rsid w:val="009347BF"/>
    <w:rsid w:val="00934827"/>
    <w:rsid w:val="00934880"/>
    <w:rsid w:val="00934CDC"/>
    <w:rsid w:val="00934F82"/>
    <w:rsid w:val="0093559E"/>
    <w:rsid w:val="00935D35"/>
    <w:rsid w:val="009360C4"/>
    <w:rsid w:val="0093631F"/>
    <w:rsid w:val="0093658F"/>
    <w:rsid w:val="0093728A"/>
    <w:rsid w:val="009375FB"/>
    <w:rsid w:val="00937C75"/>
    <w:rsid w:val="00940241"/>
    <w:rsid w:val="0094025C"/>
    <w:rsid w:val="00940526"/>
    <w:rsid w:val="00940CDE"/>
    <w:rsid w:val="00940E95"/>
    <w:rsid w:val="00940EB3"/>
    <w:rsid w:val="00940FA1"/>
    <w:rsid w:val="00941455"/>
    <w:rsid w:val="0094176E"/>
    <w:rsid w:val="00941819"/>
    <w:rsid w:val="00942C7D"/>
    <w:rsid w:val="00943135"/>
    <w:rsid w:val="00943255"/>
    <w:rsid w:val="00943487"/>
    <w:rsid w:val="00943E08"/>
    <w:rsid w:val="00944499"/>
    <w:rsid w:val="009444FD"/>
    <w:rsid w:val="00944511"/>
    <w:rsid w:val="00944693"/>
    <w:rsid w:val="00944BAA"/>
    <w:rsid w:val="00944F55"/>
    <w:rsid w:val="00945870"/>
    <w:rsid w:val="00945AAA"/>
    <w:rsid w:val="00945F05"/>
    <w:rsid w:val="0094620E"/>
    <w:rsid w:val="00946942"/>
    <w:rsid w:val="00946CF6"/>
    <w:rsid w:val="00947025"/>
    <w:rsid w:val="0094725D"/>
    <w:rsid w:val="009473A9"/>
    <w:rsid w:val="00947406"/>
    <w:rsid w:val="009475C0"/>
    <w:rsid w:val="009478AB"/>
    <w:rsid w:val="00947974"/>
    <w:rsid w:val="00947EF1"/>
    <w:rsid w:val="00947F68"/>
    <w:rsid w:val="009501AD"/>
    <w:rsid w:val="009506DE"/>
    <w:rsid w:val="009509D2"/>
    <w:rsid w:val="00950E9A"/>
    <w:rsid w:val="009512F7"/>
    <w:rsid w:val="00951376"/>
    <w:rsid w:val="00951EB3"/>
    <w:rsid w:val="00951F44"/>
    <w:rsid w:val="0095250E"/>
    <w:rsid w:val="00952539"/>
    <w:rsid w:val="009526B6"/>
    <w:rsid w:val="00952A01"/>
    <w:rsid w:val="00952B32"/>
    <w:rsid w:val="00953496"/>
    <w:rsid w:val="00953EC2"/>
    <w:rsid w:val="00954656"/>
    <w:rsid w:val="009548A4"/>
    <w:rsid w:val="00954983"/>
    <w:rsid w:val="00954B84"/>
    <w:rsid w:val="00954DA7"/>
    <w:rsid w:val="0095510F"/>
    <w:rsid w:val="00955483"/>
    <w:rsid w:val="0095550E"/>
    <w:rsid w:val="00955562"/>
    <w:rsid w:val="0095587F"/>
    <w:rsid w:val="009559BF"/>
    <w:rsid w:val="00955B7C"/>
    <w:rsid w:val="00955F9E"/>
    <w:rsid w:val="009560E4"/>
    <w:rsid w:val="00956324"/>
    <w:rsid w:val="00956B30"/>
    <w:rsid w:val="00957BB3"/>
    <w:rsid w:val="00957FD7"/>
    <w:rsid w:val="009601A4"/>
    <w:rsid w:val="00960451"/>
    <w:rsid w:val="00960B32"/>
    <w:rsid w:val="00960CA5"/>
    <w:rsid w:val="00960EEC"/>
    <w:rsid w:val="00961127"/>
    <w:rsid w:val="00961150"/>
    <w:rsid w:val="0096122A"/>
    <w:rsid w:val="0096133D"/>
    <w:rsid w:val="00961398"/>
    <w:rsid w:val="00961432"/>
    <w:rsid w:val="00961602"/>
    <w:rsid w:val="00961700"/>
    <w:rsid w:val="009617FB"/>
    <w:rsid w:val="00961B35"/>
    <w:rsid w:val="00961CAE"/>
    <w:rsid w:val="0096230E"/>
    <w:rsid w:val="00962EEE"/>
    <w:rsid w:val="00962F00"/>
    <w:rsid w:val="00963088"/>
    <w:rsid w:val="00963592"/>
    <w:rsid w:val="00963E9E"/>
    <w:rsid w:val="00963EB8"/>
    <w:rsid w:val="009640D6"/>
    <w:rsid w:val="0096443A"/>
    <w:rsid w:val="00964659"/>
    <w:rsid w:val="00964C55"/>
    <w:rsid w:val="009652C7"/>
    <w:rsid w:val="009654D4"/>
    <w:rsid w:val="00965856"/>
    <w:rsid w:val="00965CDC"/>
    <w:rsid w:val="0096686F"/>
    <w:rsid w:val="00966F0A"/>
    <w:rsid w:val="009672D0"/>
    <w:rsid w:val="00967355"/>
    <w:rsid w:val="0096788D"/>
    <w:rsid w:val="00967A21"/>
    <w:rsid w:val="00967C37"/>
    <w:rsid w:val="00967C99"/>
    <w:rsid w:val="00967D81"/>
    <w:rsid w:val="00967F2D"/>
    <w:rsid w:val="009700A0"/>
    <w:rsid w:val="009700FB"/>
    <w:rsid w:val="009703E6"/>
    <w:rsid w:val="00970721"/>
    <w:rsid w:val="00970D80"/>
    <w:rsid w:val="00970DA1"/>
    <w:rsid w:val="009712D0"/>
    <w:rsid w:val="0097153B"/>
    <w:rsid w:val="00971726"/>
    <w:rsid w:val="00971861"/>
    <w:rsid w:val="0097199E"/>
    <w:rsid w:val="00971A2C"/>
    <w:rsid w:val="00971E65"/>
    <w:rsid w:val="00971EB0"/>
    <w:rsid w:val="00971EBA"/>
    <w:rsid w:val="00971F88"/>
    <w:rsid w:val="0097236C"/>
    <w:rsid w:val="009723D3"/>
    <w:rsid w:val="0097270C"/>
    <w:rsid w:val="00972729"/>
    <w:rsid w:val="00972B5E"/>
    <w:rsid w:val="009732A0"/>
    <w:rsid w:val="00973455"/>
    <w:rsid w:val="00973B71"/>
    <w:rsid w:val="00973EE2"/>
    <w:rsid w:val="00974589"/>
    <w:rsid w:val="00974663"/>
    <w:rsid w:val="00975273"/>
    <w:rsid w:val="00975502"/>
    <w:rsid w:val="0097597A"/>
    <w:rsid w:val="00975ABC"/>
    <w:rsid w:val="00975BC0"/>
    <w:rsid w:val="0097606C"/>
    <w:rsid w:val="0097666A"/>
    <w:rsid w:val="00976687"/>
    <w:rsid w:val="00976695"/>
    <w:rsid w:val="00976DEF"/>
    <w:rsid w:val="009770C1"/>
    <w:rsid w:val="009774A5"/>
    <w:rsid w:val="0097780A"/>
    <w:rsid w:val="00977AD2"/>
    <w:rsid w:val="009801F0"/>
    <w:rsid w:val="0098023C"/>
    <w:rsid w:val="00980531"/>
    <w:rsid w:val="00980796"/>
    <w:rsid w:val="00980A02"/>
    <w:rsid w:val="00980A17"/>
    <w:rsid w:val="00980AC8"/>
    <w:rsid w:val="00980E93"/>
    <w:rsid w:val="009810B1"/>
    <w:rsid w:val="009813D2"/>
    <w:rsid w:val="00981662"/>
    <w:rsid w:val="009819BE"/>
    <w:rsid w:val="00981D12"/>
    <w:rsid w:val="00982119"/>
    <w:rsid w:val="009826E3"/>
    <w:rsid w:val="0098295D"/>
    <w:rsid w:val="0098296D"/>
    <w:rsid w:val="00982E78"/>
    <w:rsid w:val="009838A3"/>
    <w:rsid w:val="009841E9"/>
    <w:rsid w:val="00984426"/>
    <w:rsid w:val="009847B2"/>
    <w:rsid w:val="00984D64"/>
    <w:rsid w:val="00985221"/>
    <w:rsid w:val="00985CDD"/>
    <w:rsid w:val="00985CEF"/>
    <w:rsid w:val="00986012"/>
    <w:rsid w:val="009861FD"/>
    <w:rsid w:val="0098688A"/>
    <w:rsid w:val="00986C9A"/>
    <w:rsid w:val="00986CAA"/>
    <w:rsid w:val="00986E72"/>
    <w:rsid w:val="00986ECB"/>
    <w:rsid w:val="009870FE"/>
    <w:rsid w:val="00987A1B"/>
    <w:rsid w:val="00987AF5"/>
    <w:rsid w:val="00987E02"/>
    <w:rsid w:val="0099003B"/>
    <w:rsid w:val="009904FB"/>
    <w:rsid w:val="009908C1"/>
    <w:rsid w:val="00991055"/>
    <w:rsid w:val="0099111E"/>
    <w:rsid w:val="00991194"/>
    <w:rsid w:val="00991C5C"/>
    <w:rsid w:val="00992669"/>
    <w:rsid w:val="0099275E"/>
    <w:rsid w:val="009928D2"/>
    <w:rsid w:val="00992BDA"/>
    <w:rsid w:val="0099338C"/>
    <w:rsid w:val="009934A5"/>
    <w:rsid w:val="00993526"/>
    <w:rsid w:val="00993753"/>
    <w:rsid w:val="009937EF"/>
    <w:rsid w:val="00993A22"/>
    <w:rsid w:val="00993AED"/>
    <w:rsid w:val="00993CB9"/>
    <w:rsid w:val="00994399"/>
    <w:rsid w:val="009953B3"/>
    <w:rsid w:val="00995667"/>
    <w:rsid w:val="0099569A"/>
    <w:rsid w:val="009958F0"/>
    <w:rsid w:val="00995CDC"/>
    <w:rsid w:val="00995F9F"/>
    <w:rsid w:val="009962DD"/>
    <w:rsid w:val="009966B8"/>
    <w:rsid w:val="00996A49"/>
    <w:rsid w:val="00996D30"/>
    <w:rsid w:val="00997154"/>
    <w:rsid w:val="009971D9"/>
    <w:rsid w:val="009975BE"/>
    <w:rsid w:val="009978D7"/>
    <w:rsid w:val="00997D05"/>
    <w:rsid w:val="009A0189"/>
    <w:rsid w:val="009A0283"/>
    <w:rsid w:val="009A0832"/>
    <w:rsid w:val="009A0A6D"/>
    <w:rsid w:val="009A0A80"/>
    <w:rsid w:val="009A0F65"/>
    <w:rsid w:val="009A1774"/>
    <w:rsid w:val="009A197C"/>
    <w:rsid w:val="009A1A32"/>
    <w:rsid w:val="009A1A86"/>
    <w:rsid w:val="009A1AB9"/>
    <w:rsid w:val="009A2283"/>
    <w:rsid w:val="009A27A2"/>
    <w:rsid w:val="009A2A0D"/>
    <w:rsid w:val="009A37DB"/>
    <w:rsid w:val="009A3A8C"/>
    <w:rsid w:val="009A3C6A"/>
    <w:rsid w:val="009A405F"/>
    <w:rsid w:val="009A4518"/>
    <w:rsid w:val="009A456B"/>
    <w:rsid w:val="009A4756"/>
    <w:rsid w:val="009A490B"/>
    <w:rsid w:val="009A4D05"/>
    <w:rsid w:val="009A5165"/>
    <w:rsid w:val="009A5777"/>
    <w:rsid w:val="009A59AC"/>
    <w:rsid w:val="009A5AAF"/>
    <w:rsid w:val="009A5E17"/>
    <w:rsid w:val="009A615D"/>
    <w:rsid w:val="009A68FD"/>
    <w:rsid w:val="009A6929"/>
    <w:rsid w:val="009A6B43"/>
    <w:rsid w:val="009A6B45"/>
    <w:rsid w:val="009A72E4"/>
    <w:rsid w:val="009A7677"/>
    <w:rsid w:val="009A779D"/>
    <w:rsid w:val="009A7816"/>
    <w:rsid w:val="009A7B1E"/>
    <w:rsid w:val="009B02D8"/>
    <w:rsid w:val="009B128F"/>
    <w:rsid w:val="009B13A8"/>
    <w:rsid w:val="009B1523"/>
    <w:rsid w:val="009B1618"/>
    <w:rsid w:val="009B1EA8"/>
    <w:rsid w:val="009B23B6"/>
    <w:rsid w:val="009B2791"/>
    <w:rsid w:val="009B29EC"/>
    <w:rsid w:val="009B2A8A"/>
    <w:rsid w:val="009B2F15"/>
    <w:rsid w:val="009B3505"/>
    <w:rsid w:val="009B35E6"/>
    <w:rsid w:val="009B363A"/>
    <w:rsid w:val="009B3790"/>
    <w:rsid w:val="009B3D7A"/>
    <w:rsid w:val="009B3F20"/>
    <w:rsid w:val="009B459D"/>
    <w:rsid w:val="009B4A8F"/>
    <w:rsid w:val="009B57B7"/>
    <w:rsid w:val="009B5A21"/>
    <w:rsid w:val="009B5E00"/>
    <w:rsid w:val="009B5EAD"/>
    <w:rsid w:val="009B62D7"/>
    <w:rsid w:val="009B63FF"/>
    <w:rsid w:val="009B67F2"/>
    <w:rsid w:val="009B6BFD"/>
    <w:rsid w:val="009B6D68"/>
    <w:rsid w:val="009B6F24"/>
    <w:rsid w:val="009B7194"/>
    <w:rsid w:val="009B72CB"/>
    <w:rsid w:val="009B733F"/>
    <w:rsid w:val="009B773C"/>
    <w:rsid w:val="009B7839"/>
    <w:rsid w:val="009B7868"/>
    <w:rsid w:val="009B7F1B"/>
    <w:rsid w:val="009C0028"/>
    <w:rsid w:val="009C08BE"/>
    <w:rsid w:val="009C0AA0"/>
    <w:rsid w:val="009C0E1E"/>
    <w:rsid w:val="009C12ED"/>
    <w:rsid w:val="009C1495"/>
    <w:rsid w:val="009C1900"/>
    <w:rsid w:val="009C1B75"/>
    <w:rsid w:val="009C1BFA"/>
    <w:rsid w:val="009C1C1A"/>
    <w:rsid w:val="009C1D34"/>
    <w:rsid w:val="009C2097"/>
    <w:rsid w:val="009C218A"/>
    <w:rsid w:val="009C24E6"/>
    <w:rsid w:val="009C2FC3"/>
    <w:rsid w:val="009C3259"/>
    <w:rsid w:val="009C3EA0"/>
    <w:rsid w:val="009C3EC4"/>
    <w:rsid w:val="009C4310"/>
    <w:rsid w:val="009C4480"/>
    <w:rsid w:val="009C45C0"/>
    <w:rsid w:val="009C46EE"/>
    <w:rsid w:val="009C47B0"/>
    <w:rsid w:val="009C4836"/>
    <w:rsid w:val="009C497D"/>
    <w:rsid w:val="009C4CF3"/>
    <w:rsid w:val="009C4D45"/>
    <w:rsid w:val="009C520F"/>
    <w:rsid w:val="009C5D2A"/>
    <w:rsid w:val="009C5F26"/>
    <w:rsid w:val="009C60C8"/>
    <w:rsid w:val="009C6D3D"/>
    <w:rsid w:val="009C7050"/>
    <w:rsid w:val="009C7076"/>
    <w:rsid w:val="009C72D3"/>
    <w:rsid w:val="009D0058"/>
    <w:rsid w:val="009D00D1"/>
    <w:rsid w:val="009D0875"/>
    <w:rsid w:val="009D0AB0"/>
    <w:rsid w:val="009D0B24"/>
    <w:rsid w:val="009D0DA8"/>
    <w:rsid w:val="009D0EF5"/>
    <w:rsid w:val="009D1222"/>
    <w:rsid w:val="009D1463"/>
    <w:rsid w:val="009D14B7"/>
    <w:rsid w:val="009D1F77"/>
    <w:rsid w:val="009D263C"/>
    <w:rsid w:val="009D2753"/>
    <w:rsid w:val="009D2783"/>
    <w:rsid w:val="009D2872"/>
    <w:rsid w:val="009D2BE9"/>
    <w:rsid w:val="009D2C0A"/>
    <w:rsid w:val="009D2C35"/>
    <w:rsid w:val="009D2D2E"/>
    <w:rsid w:val="009D400F"/>
    <w:rsid w:val="009D4092"/>
    <w:rsid w:val="009D4204"/>
    <w:rsid w:val="009D4487"/>
    <w:rsid w:val="009D4595"/>
    <w:rsid w:val="009D46AA"/>
    <w:rsid w:val="009D490E"/>
    <w:rsid w:val="009D4C7A"/>
    <w:rsid w:val="009D4D88"/>
    <w:rsid w:val="009D50C6"/>
    <w:rsid w:val="009D5247"/>
    <w:rsid w:val="009D5678"/>
    <w:rsid w:val="009D573D"/>
    <w:rsid w:val="009D587C"/>
    <w:rsid w:val="009D594A"/>
    <w:rsid w:val="009D5A88"/>
    <w:rsid w:val="009D5C88"/>
    <w:rsid w:val="009D60F8"/>
    <w:rsid w:val="009D61DE"/>
    <w:rsid w:val="009D62C0"/>
    <w:rsid w:val="009D64AE"/>
    <w:rsid w:val="009D6A9A"/>
    <w:rsid w:val="009D7203"/>
    <w:rsid w:val="009D72B4"/>
    <w:rsid w:val="009D74C7"/>
    <w:rsid w:val="009D77B5"/>
    <w:rsid w:val="009E015A"/>
    <w:rsid w:val="009E0655"/>
    <w:rsid w:val="009E0DDC"/>
    <w:rsid w:val="009E1D8D"/>
    <w:rsid w:val="009E20B5"/>
    <w:rsid w:val="009E2C78"/>
    <w:rsid w:val="009E2D24"/>
    <w:rsid w:val="009E3156"/>
    <w:rsid w:val="009E31C5"/>
    <w:rsid w:val="009E3263"/>
    <w:rsid w:val="009E356F"/>
    <w:rsid w:val="009E3878"/>
    <w:rsid w:val="009E39AF"/>
    <w:rsid w:val="009E3E27"/>
    <w:rsid w:val="009E3F29"/>
    <w:rsid w:val="009E433C"/>
    <w:rsid w:val="009E4C0F"/>
    <w:rsid w:val="009E534A"/>
    <w:rsid w:val="009E535D"/>
    <w:rsid w:val="009E59AA"/>
    <w:rsid w:val="009E5BB0"/>
    <w:rsid w:val="009E5E16"/>
    <w:rsid w:val="009E60C0"/>
    <w:rsid w:val="009E64AD"/>
    <w:rsid w:val="009E6BBC"/>
    <w:rsid w:val="009E6DF4"/>
    <w:rsid w:val="009E6FC2"/>
    <w:rsid w:val="009E706B"/>
    <w:rsid w:val="009E760B"/>
    <w:rsid w:val="009E77EC"/>
    <w:rsid w:val="009E7EB9"/>
    <w:rsid w:val="009F028C"/>
    <w:rsid w:val="009F04B6"/>
    <w:rsid w:val="009F04C0"/>
    <w:rsid w:val="009F0A25"/>
    <w:rsid w:val="009F0B00"/>
    <w:rsid w:val="009F1047"/>
    <w:rsid w:val="009F1241"/>
    <w:rsid w:val="009F1388"/>
    <w:rsid w:val="009F1582"/>
    <w:rsid w:val="009F1BE6"/>
    <w:rsid w:val="009F23AD"/>
    <w:rsid w:val="009F264D"/>
    <w:rsid w:val="009F2792"/>
    <w:rsid w:val="009F2882"/>
    <w:rsid w:val="009F2C44"/>
    <w:rsid w:val="009F3152"/>
    <w:rsid w:val="009F346F"/>
    <w:rsid w:val="009F36E3"/>
    <w:rsid w:val="009F3715"/>
    <w:rsid w:val="009F3C47"/>
    <w:rsid w:val="009F3C84"/>
    <w:rsid w:val="009F3F57"/>
    <w:rsid w:val="009F402A"/>
    <w:rsid w:val="009F4121"/>
    <w:rsid w:val="009F4194"/>
    <w:rsid w:val="009F44CC"/>
    <w:rsid w:val="009F4A0C"/>
    <w:rsid w:val="009F5579"/>
    <w:rsid w:val="009F5A7A"/>
    <w:rsid w:val="009F5BDC"/>
    <w:rsid w:val="009F5E54"/>
    <w:rsid w:val="009F5F37"/>
    <w:rsid w:val="009F6ED5"/>
    <w:rsid w:val="009F6FBB"/>
    <w:rsid w:val="009F7645"/>
    <w:rsid w:val="009F7662"/>
    <w:rsid w:val="009F7A37"/>
    <w:rsid w:val="00A00023"/>
    <w:rsid w:val="00A00029"/>
    <w:rsid w:val="00A004F9"/>
    <w:rsid w:val="00A009B6"/>
    <w:rsid w:val="00A00B8B"/>
    <w:rsid w:val="00A00D66"/>
    <w:rsid w:val="00A01170"/>
    <w:rsid w:val="00A012AA"/>
    <w:rsid w:val="00A01559"/>
    <w:rsid w:val="00A01ED8"/>
    <w:rsid w:val="00A02036"/>
    <w:rsid w:val="00A023EA"/>
    <w:rsid w:val="00A02F03"/>
    <w:rsid w:val="00A031CA"/>
    <w:rsid w:val="00A036E1"/>
    <w:rsid w:val="00A038BB"/>
    <w:rsid w:val="00A03DB5"/>
    <w:rsid w:val="00A03FB4"/>
    <w:rsid w:val="00A0423C"/>
    <w:rsid w:val="00A0445F"/>
    <w:rsid w:val="00A04517"/>
    <w:rsid w:val="00A049A1"/>
    <w:rsid w:val="00A04A43"/>
    <w:rsid w:val="00A0504E"/>
    <w:rsid w:val="00A0529B"/>
    <w:rsid w:val="00A055A8"/>
    <w:rsid w:val="00A066BB"/>
    <w:rsid w:val="00A068AA"/>
    <w:rsid w:val="00A069CC"/>
    <w:rsid w:val="00A069E1"/>
    <w:rsid w:val="00A06AA9"/>
    <w:rsid w:val="00A06DB4"/>
    <w:rsid w:val="00A06DD6"/>
    <w:rsid w:val="00A07444"/>
    <w:rsid w:val="00A075FC"/>
    <w:rsid w:val="00A07DE4"/>
    <w:rsid w:val="00A1007D"/>
    <w:rsid w:val="00A10BCD"/>
    <w:rsid w:val="00A10D4F"/>
    <w:rsid w:val="00A1115D"/>
    <w:rsid w:val="00A1134E"/>
    <w:rsid w:val="00A1190C"/>
    <w:rsid w:val="00A11D7D"/>
    <w:rsid w:val="00A11E36"/>
    <w:rsid w:val="00A120FA"/>
    <w:rsid w:val="00A127E4"/>
    <w:rsid w:val="00A13018"/>
    <w:rsid w:val="00A13033"/>
    <w:rsid w:val="00A138C7"/>
    <w:rsid w:val="00A13BC6"/>
    <w:rsid w:val="00A13CE6"/>
    <w:rsid w:val="00A14621"/>
    <w:rsid w:val="00A146C4"/>
    <w:rsid w:val="00A14B53"/>
    <w:rsid w:val="00A14B59"/>
    <w:rsid w:val="00A14B5B"/>
    <w:rsid w:val="00A14E54"/>
    <w:rsid w:val="00A1521C"/>
    <w:rsid w:val="00A15448"/>
    <w:rsid w:val="00A162FE"/>
    <w:rsid w:val="00A16426"/>
    <w:rsid w:val="00A16623"/>
    <w:rsid w:val="00A16795"/>
    <w:rsid w:val="00A175B5"/>
    <w:rsid w:val="00A17671"/>
    <w:rsid w:val="00A17D19"/>
    <w:rsid w:val="00A20267"/>
    <w:rsid w:val="00A204F1"/>
    <w:rsid w:val="00A20C0E"/>
    <w:rsid w:val="00A20CD8"/>
    <w:rsid w:val="00A21045"/>
    <w:rsid w:val="00A2113F"/>
    <w:rsid w:val="00A21A24"/>
    <w:rsid w:val="00A21ED7"/>
    <w:rsid w:val="00A22793"/>
    <w:rsid w:val="00A229F1"/>
    <w:rsid w:val="00A22BBD"/>
    <w:rsid w:val="00A22D05"/>
    <w:rsid w:val="00A22F3A"/>
    <w:rsid w:val="00A23DD4"/>
    <w:rsid w:val="00A23F1B"/>
    <w:rsid w:val="00A242F7"/>
    <w:rsid w:val="00A2436E"/>
    <w:rsid w:val="00A24573"/>
    <w:rsid w:val="00A245DC"/>
    <w:rsid w:val="00A2480A"/>
    <w:rsid w:val="00A2491B"/>
    <w:rsid w:val="00A2499C"/>
    <w:rsid w:val="00A2507B"/>
    <w:rsid w:val="00A25FD1"/>
    <w:rsid w:val="00A261F1"/>
    <w:rsid w:val="00A263C8"/>
    <w:rsid w:val="00A2658D"/>
    <w:rsid w:val="00A267C2"/>
    <w:rsid w:val="00A26A26"/>
    <w:rsid w:val="00A2725E"/>
    <w:rsid w:val="00A272A4"/>
    <w:rsid w:val="00A2746C"/>
    <w:rsid w:val="00A274C6"/>
    <w:rsid w:val="00A27C01"/>
    <w:rsid w:val="00A27EAF"/>
    <w:rsid w:val="00A30679"/>
    <w:rsid w:val="00A30B27"/>
    <w:rsid w:val="00A30D6C"/>
    <w:rsid w:val="00A30EDC"/>
    <w:rsid w:val="00A317DB"/>
    <w:rsid w:val="00A31A1F"/>
    <w:rsid w:val="00A31F90"/>
    <w:rsid w:val="00A32068"/>
    <w:rsid w:val="00A32217"/>
    <w:rsid w:val="00A32610"/>
    <w:rsid w:val="00A3274E"/>
    <w:rsid w:val="00A32B20"/>
    <w:rsid w:val="00A33004"/>
    <w:rsid w:val="00A3309A"/>
    <w:rsid w:val="00A33969"/>
    <w:rsid w:val="00A33BAF"/>
    <w:rsid w:val="00A33DAF"/>
    <w:rsid w:val="00A340A0"/>
    <w:rsid w:val="00A34375"/>
    <w:rsid w:val="00A344BF"/>
    <w:rsid w:val="00A3496E"/>
    <w:rsid w:val="00A35286"/>
    <w:rsid w:val="00A35740"/>
    <w:rsid w:val="00A3581B"/>
    <w:rsid w:val="00A35C30"/>
    <w:rsid w:val="00A36274"/>
    <w:rsid w:val="00A3690C"/>
    <w:rsid w:val="00A3708B"/>
    <w:rsid w:val="00A377A2"/>
    <w:rsid w:val="00A37D08"/>
    <w:rsid w:val="00A37F7C"/>
    <w:rsid w:val="00A40708"/>
    <w:rsid w:val="00A40AFF"/>
    <w:rsid w:val="00A40BC3"/>
    <w:rsid w:val="00A41131"/>
    <w:rsid w:val="00A41621"/>
    <w:rsid w:val="00A419BF"/>
    <w:rsid w:val="00A41A2D"/>
    <w:rsid w:val="00A41A44"/>
    <w:rsid w:val="00A41AB4"/>
    <w:rsid w:val="00A41C76"/>
    <w:rsid w:val="00A41DDF"/>
    <w:rsid w:val="00A42330"/>
    <w:rsid w:val="00A42590"/>
    <w:rsid w:val="00A4292A"/>
    <w:rsid w:val="00A42954"/>
    <w:rsid w:val="00A42B5E"/>
    <w:rsid w:val="00A42CD6"/>
    <w:rsid w:val="00A42D8A"/>
    <w:rsid w:val="00A42F71"/>
    <w:rsid w:val="00A43254"/>
    <w:rsid w:val="00A43509"/>
    <w:rsid w:val="00A444A6"/>
    <w:rsid w:val="00A4471C"/>
    <w:rsid w:val="00A44806"/>
    <w:rsid w:val="00A449F1"/>
    <w:rsid w:val="00A44D18"/>
    <w:rsid w:val="00A44DC8"/>
    <w:rsid w:val="00A4527D"/>
    <w:rsid w:val="00A45317"/>
    <w:rsid w:val="00A45BD7"/>
    <w:rsid w:val="00A45C1C"/>
    <w:rsid w:val="00A4600C"/>
    <w:rsid w:val="00A46702"/>
    <w:rsid w:val="00A46817"/>
    <w:rsid w:val="00A46AD0"/>
    <w:rsid w:val="00A46ADD"/>
    <w:rsid w:val="00A46D13"/>
    <w:rsid w:val="00A472C9"/>
    <w:rsid w:val="00A503B0"/>
    <w:rsid w:val="00A503EB"/>
    <w:rsid w:val="00A50534"/>
    <w:rsid w:val="00A50A3E"/>
    <w:rsid w:val="00A50CA2"/>
    <w:rsid w:val="00A50F0A"/>
    <w:rsid w:val="00A51152"/>
    <w:rsid w:val="00A513F9"/>
    <w:rsid w:val="00A51476"/>
    <w:rsid w:val="00A5199F"/>
    <w:rsid w:val="00A51A2F"/>
    <w:rsid w:val="00A525A6"/>
    <w:rsid w:val="00A5266F"/>
    <w:rsid w:val="00A527DC"/>
    <w:rsid w:val="00A528A6"/>
    <w:rsid w:val="00A52E20"/>
    <w:rsid w:val="00A52FCB"/>
    <w:rsid w:val="00A5305D"/>
    <w:rsid w:val="00A53A91"/>
    <w:rsid w:val="00A53F09"/>
    <w:rsid w:val="00A54189"/>
    <w:rsid w:val="00A54798"/>
    <w:rsid w:val="00A54D5D"/>
    <w:rsid w:val="00A54DCE"/>
    <w:rsid w:val="00A5526B"/>
    <w:rsid w:val="00A5536B"/>
    <w:rsid w:val="00A5558B"/>
    <w:rsid w:val="00A556C2"/>
    <w:rsid w:val="00A5580E"/>
    <w:rsid w:val="00A55890"/>
    <w:rsid w:val="00A55996"/>
    <w:rsid w:val="00A56052"/>
    <w:rsid w:val="00A56124"/>
    <w:rsid w:val="00A56250"/>
    <w:rsid w:val="00A5654A"/>
    <w:rsid w:val="00A565E7"/>
    <w:rsid w:val="00A56937"/>
    <w:rsid w:val="00A56FA2"/>
    <w:rsid w:val="00A5739F"/>
    <w:rsid w:val="00A575E1"/>
    <w:rsid w:val="00A57893"/>
    <w:rsid w:val="00A60B0A"/>
    <w:rsid w:val="00A6149F"/>
    <w:rsid w:val="00A61B5E"/>
    <w:rsid w:val="00A62C17"/>
    <w:rsid w:val="00A63006"/>
    <w:rsid w:val="00A63177"/>
    <w:rsid w:val="00A632EB"/>
    <w:rsid w:val="00A637A2"/>
    <w:rsid w:val="00A639E8"/>
    <w:rsid w:val="00A639F0"/>
    <w:rsid w:val="00A641F2"/>
    <w:rsid w:val="00A64429"/>
    <w:rsid w:val="00A647AD"/>
    <w:rsid w:val="00A64D05"/>
    <w:rsid w:val="00A64D14"/>
    <w:rsid w:val="00A64F33"/>
    <w:rsid w:val="00A65186"/>
    <w:rsid w:val="00A655E1"/>
    <w:rsid w:val="00A656C7"/>
    <w:rsid w:val="00A656D1"/>
    <w:rsid w:val="00A6581D"/>
    <w:rsid w:val="00A65A36"/>
    <w:rsid w:val="00A65BC2"/>
    <w:rsid w:val="00A6600A"/>
    <w:rsid w:val="00A6608F"/>
    <w:rsid w:val="00A662AD"/>
    <w:rsid w:val="00A663C2"/>
    <w:rsid w:val="00A6641C"/>
    <w:rsid w:val="00A666B1"/>
    <w:rsid w:val="00A66926"/>
    <w:rsid w:val="00A66BA2"/>
    <w:rsid w:val="00A66DFC"/>
    <w:rsid w:val="00A67293"/>
    <w:rsid w:val="00A673AC"/>
    <w:rsid w:val="00A6761D"/>
    <w:rsid w:val="00A67B58"/>
    <w:rsid w:val="00A70F5C"/>
    <w:rsid w:val="00A71B31"/>
    <w:rsid w:val="00A71C23"/>
    <w:rsid w:val="00A727C8"/>
    <w:rsid w:val="00A7384D"/>
    <w:rsid w:val="00A73B17"/>
    <w:rsid w:val="00A73EDC"/>
    <w:rsid w:val="00A74227"/>
    <w:rsid w:val="00A747D5"/>
    <w:rsid w:val="00A74AE1"/>
    <w:rsid w:val="00A74CAA"/>
    <w:rsid w:val="00A752A7"/>
    <w:rsid w:val="00A75370"/>
    <w:rsid w:val="00A764E5"/>
    <w:rsid w:val="00A76A17"/>
    <w:rsid w:val="00A76D56"/>
    <w:rsid w:val="00A77529"/>
    <w:rsid w:val="00A81025"/>
    <w:rsid w:val="00A8149B"/>
    <w:rsid w:val="00A816D0"/>
    <w:rsid w:val="00A819EA"/>
    <w:rsid w:val="00A81C32"/>
    <w:rsid w:val="00A81D68"/>
    <w:rsid w:val="00A82659"/>
    <w:rsid w:val="00A826BC"/>
    <w:rsid w:val="00A82A6A"/>
    <w:rsid w:val="00A82AC5"/>
    <w:rsid w:val="00A82E09"/>
    <w:rsid w:val="00A82F7A"/>
    <w:rsid w:val="00A8339A"/>
    <w:rsid w:val="00A83410"/>
    <w:rsid w:val="00A836A5"/>
    <w:rsid w:val="00A836D7"/>
    <w:rsid w:val="00A83B03"/>
    <w:rsid w:val="00A83B3B"/>
    <w:rsid w:val="00A83C94"/>
    <w:rsid w:val="00A83E97"/>
    <w:rsid w:val="00A84186"/>
    <w:rsid w:val="00A84783"/>
    <w:rsid w:val="00A84A8B"/>
    <w:rsid w:val="00A852DA"/>
    <w:rsid w:val="00A856B5"/>
    <w:rsid w:val="00A857D3"/>
    <w:rsid w:val="00A85BA2"/>
    <w:rsid w:val="00A85D35"/>
    <w:rsid w:val="00A862E8"/>
    <w:rsid w:val="00A867B4"/>
    <w:rsid w:val="00A867D3"/>
    <w:rsid w:val="00A86A42"/>
    <w:rsid w:val="00A87076"/>
    <w:rsid w:val="00A87221"/>
    <w:rsid w:val="00A87251"/>
    <w:rsid w:val="00A87A8C"/>
    <w:rsid w:val="00A87AC0"/>
    <w:rsid w:val="00A87D76"/>
    <w:rsid w:val="00A87DEE"/>
    <w:rsid w:val="00A90732"/>
    <w:rsid w:val="00A90844"/>
    <w:rsid w:val="00A90884"/>
    <w:rsid w:val="00A908F8"/>
    <w:rsid w:val="00A908F9"/>
    <w:rsid w:val="00A9118C"/>
    <w:rsid w:val="00A913A2"/>
    <w:rsid w:val="00A913AB"/>
    <w:rsid w:val="00A9145D"/>
    <w:rsid w:val="00A914D2"/>
    <w:rsid w:val="00A9164D"/>
    <w:rsid w:val="00A91AAF"/>
    <w:rsid w:val="00A92244"/>
    <w:rsid w:val="00A922CA"/>
    <w:rsid w:val="00A922D3"/>
    <w:rsid w:val="00A92702"/>
    <w:rsid w:val="00A92DF0"/>
    <w:rsid w:val="00A93483"/>
    <w:rsid w:val="00A93735"/>
    <w:rsid w:val="00A93A45"/>
    <w:rsid w:val="00A93A6C"/>
    <w:rsid w:val="00A94018"/>
    <w:rsid w:val="00A94210"/>
    <w:rsid w:val="00A94AEF"/>
    <w:rsid w:val="00A94EB1"/>
    <w:rsid w:val="00A9535E"/>
    <w:rsid w:val="00A95C6F"/>
    <w:rsid w:val="00A95E22"/>
    <w:rsid w:val="00A963B7"/>
    <w:rsid w:val="00A963D3"/>
    <w:rsid w:val="00A966C0"/>
    <w:rsid w:val="00A96785"/>
    <w:rsid w:val="00A967A9"/>
    <w:rsid w:val="00A96A2C"/>
    <w:rsid w:val="00A976F3"/>
    <w:rsid w:val="00A97763"/>
    <w:rsid w:val="00A97E8D"/>
    <w:rsid w:val="00AA0599"/>
    <w:rsid w:val="00AA077D"/>
    <w:rsid w:val="00AA07E2"/>
    <w:rsid w:val="00AA090E"/>
    <w:rsid w:val="00AA0B44"/>
    <w:rsid w:val="00AA1061"/>
    <w:rsid w:val="00AA1753"/>
    <w:rsid w:val="00AA1993"/>
    <w:rsid w:val="00AA2052"/>
    <w:rsid w:val="00AA23AA"/>
    <w:rsid w:val="00AA2588"/>
    <w:rsid w:val="00AA26A7"/>
    <w:rsid w:val="00AA2ADD"/>
    <w:rsid w:val="00AA2B00"/>
    <w:rsid w:val="00AA2B34"/>
    <w:rsid w:val="00AA2BAF"/>
    <w:rsid w:val="00AA2E57"/>
    <w:rsid w:val="00AA356D"/>
    <w:rsid w:val="00AA38ED"/>
    <w:rsid w:val="00AA419A"/>
    <w:rsid w:val="00AA433A"/>
    <w:rsid w:val="00AA4507"/>
    <w:rsid w:val="00AA4872"/>
    <w:rsid w:val="00AA6019"/>
    <w:rsid w:val="00AA625A"/>
    <w:rsid w:val="00AA68C2"/>
    <w:rsid w:val="00AA6D4A"/>
    <w:rsid w:val="00AA6E3F"/>
    <w:rsid w:val="00AA77C8"/>
    <w:rsid w:val="00AA785B"/>
    <w:rsid w:val="00AA7BDA"/>
    <w:rsid w:val="00AA7CE6"/>
    <w:rsid w:val="00AB016D"/>
    <w:rsid w:val="00AB033E"/>
    <w:rsid w:val="00AB1172"/>
    <w:rsid w:val="00AB1891"/>
    <w:rsid w:val="00AB23B9"/>
    <w:rsid w:val="00AB2466"/>
    <w:rsid w:val="00AB2A1C"/>
    <w:rsid w:val="00AB3122"/>
    <w:rsid w:val="00AB361E"/>
    <w:rsid w:val="00AB372F"/>
    <w:rsid w:val="00AB3B01"/>
    <w:rsid w:val="00AB3EFB"/>
    <w:rsid w:val="00AB4436"/>
    <w:rsid w:val="00AB47BC"/>
    <w:rsid w:val="00AB4CC1"/>
    <w:rsid w:val="00AB56B7"/>
    <w:rsid w:val="00AB5979"/>
    <w:rsid w:val="00AB5A61"/>
    <w:rsid w:val="00AB5E25"/>
    <w:rsid w:val="00AB5FC2"/>
    <w:rsid w:val="00AB630D"/>
    <w:rsid w:val="00AB6C54"/>
    <w:rsid w:val="00AB6F54"/>
    <w:rsid w:val="00AB7355"/>
    <w:rsid w:val="00AB73B3"/>
    <w:rsid w:val="00AB745D"/>
    <w:rsid w:val="00AB7ADF"/>
    <w:rsid w:val="00AB7D47"/>
    <w:rsid w:val="00AB7F8E"/>
    <w:rsid w:val="00AC00E7"/>
    <w:rsid w:val="00AC03F8"/>
    <w:rsid w:val="00AC0979"/>
    <w:rsid w:val="00AC1088"/>
    <w:rsid w:val="00AC141F"/>
    <w:rsid w:val="00AC1662"/>
    <w:rsid w:val="00AC17A6"/>
    <w:rsid w:val="00AC1BE7"/>
    <w:rsid w:val="00AC1E1E"/>
    <w:rsid w:val="00AC27DD"/>
    <w:rsid w:val="00AC3502"/>
    <w:rsid w:val="00AC3643"/>
    <w:rsid w:val="00AC3945"/>
    <w:rsid w:val="00AC39ED"/>
    <w:rsid w:val="00AC3BAD"/>
    <w:rsid w:val="00AC3DC2"/>
    <w:rsid w:val="00AC3DD1"/>
    <w:rsid w:val="00AC43F6"/>
    <w:rsid w:val="00AC4592"/>
    <w:rsid w:val="00AC4C17"/>
    <w:rsid w:val="00AC52D5"/>
    <w:rsid w:val="00AC655E"/>
    <w:rsid w:val="00AC6B2F"/>
    <w:rsid w:val="00AC709D"/>
    <w:rsid w:val="00AC711F"/>
    <w:rsid w:val="00AC72B1"/>
    <w:rsid w:val="00AD03E5"/>
    <w:rsid w:val="00AD04FC"/>
    <w:rsid w:val="00AD062C"/>
    <w:rsid w:val="00AD08B5"/>
    <w:rsid w:val="00AD12D7"/>
    <w:rsid w:val="00AD172E"/>
    <w:rsid w:val="00AD174B"/>
    <w:rsid w:val="00AD1B1A"/>
    <w:rsid w:val="00AD1C99"/>
    <w:rsid w:val="00AD22F7"/>
    <w:rsid w:val="00AD2499"/>
    <w:rsid w:val="00AD262A"/>
    <w:rsid w:val="00AD27CB"/>
    <w:rsid w:val="00AD2E53"/>
    <w:rsid w:val="00AD3826"/>
    <w:rsid w:val="00AD3A99"/>
    <w:rsid w:val="00AD432B"/>
    <w:rsid w:val="00AD43EC"/>
    <w:rsid w:val="00AD4564"/>
    <w:rsid w:val="00AD50B5"/>
    <w:rsid w:val="00AD54BA"/>
    <w:rsid w:val="00AD5C12"/>
    <w:rsid w:val="00AD5F3C"/>
    <w:rsid w:val="00AD643E"/>
    <w:rsid w:val="00AD653F"/>
    <w:rsid w:val="00AD6AD0"/>
    <w:rsid w:val="00AD6B28"/>
    <w:rsid w:val="00AD6B82"/>
    <w:rsid w:val="00AD6B9C"/>
    <w:rsid w:val="00AD6C5F"/>
    <w:rsid w:val="00AD6F3E"/>
    <w:rsid w:val="00AD6FC8"/>
    <w:rsid w:val="00AD7078"/>
    <w:rsid w:val="00AD76C0"/>
    <w:rsid w:val="00AD7A03"/>
    <w:rsid w:val="00AE030E"/>
    <w:rsid w:val="00AE066D"/>
    <w:rsid w:val="00AE088E"/>
    <w:rsid w:val="00AE0E3F"/>
    <w:rsid w:val="00AE0E75"/>
    <w:rsid w:val="00AE0F80"/>
    <w:rsid w:val="00AE0F94"/>
    <w:rsid w:val="00AE1193"/>
    <w:rsid w:val="00AE1295"/>
    <w:rsid w:val="00AE17D5"/>
    <w:rsid w:val="00AE1F37"/>
    <w:rsid w:val="00AE2194"/>
    <w:rsid w:val="00AE2318"/>
    <w:rsid w:val="00AE232F"/>
    <w:rsid w:val="00AE267F"/>
    <w:rsid w:val="00AE2A75"/>
    <w:rsid w:val="00AE2CFA"/>
    <w:rsid w:val="00AE2F72"/>
    <w:rsid w:val="00AE328D"/>
    <w:rsid w:val="00AE32B2"/>
    <w:rsid w:val="00AE371A"/>
    <w:rsid w:val="00AE3DCB"/>
    <w:rsid w:val="00AE460D"/>
    <w:rsid w:val="00AE497C"/>
    <w:rsid w:val="00AE541A"/>
    <w:rsid w:val="00AE5CC7"/>
    <w:rsid w:val="00AE5E7A"/>
    <w:rsid w:val="00AE6718"/>
    <w:rsid w:val="00AE6930"/>
    <w:rsid w:val="00AE6A84"/>
    <w:rsid w:val="00AE6DE4"/>
    <w:rsid w:val="00AE7CFE"/>
    <w:rsid w:val="00AF0111"/>
    <w:rsid w:val="00AF017D"/>
    <w:rsid w:val="00AF03DF"/>
    <w:rsid w:val="00AF0AB5"/>
    <w:rsid w:val="00AF0CBF"/>
    <w:rsid w:val="00AF11C9"/>
    <w:rsid w:val="00AF1ACE"/>
    <w:rsid w:val="00AF1CC4"/>
    <w:rsid w:val="00AF1F75"/>
    <w:rsid w:val="00AF2421"/>
    <w:rsid w:val="00AF2436"/>
    <w:rsid w:val="00AF2446"/>
    <w:rsid w:val="00AF2807"/>
    <w:rsid w:val="00AF2A37"/>
    <w:rsid w:val="00AF2B7B"/>
    <w:rsid w:val="00AF2ED1"/>
    <w:rsid w:val="00AF3659"/>
    <w:rsid w:val="00AF3C6A"/>
    <w:rsid w:val="00AF3DE8"/>
    <w:rsid w:val="00AF3FC2"/>
    <w:rsid w:val="00AF457A"/>
    <w:rsid w:val="00AF4847"/>
    <w:rsid w:val="00AF53E8"/>
    <w:rsid w:val="00AF5431"/>
    <w:rsid w:val="00AF5815"/>
    <w:rsid w:val="00AF5BBA"/>
    <w:rsid w:val="00AF5C5A"/>
    <w:rsid w:val="00AF631D"/>
    <w:rsid w:val="00AF6538"/>
    <w:rsid w:val="00AF6C04"/>
    <w:rsid w:val="00AF6C8F"/>
    <w:rsid w:val="00AF6E26"/>
    <w:rsid w:val="00AF6FF3"/>
    <w:rsid w:val="00AF7161"/>
    <w:rsid w:val="00AF7413"/>
    <w:rsid w:val="00AF74D3"/>
    <w:rsid w:val="00AF778F"/>
    <w:rsid w:val="00AF7855"/>
    <w:rsid w:val="00AF7BBF"/>
    <w:rsid w:val="00AF7D1F"/>
    <w:rsid w:val="00B0034E"/>
    <w:rsid w:val="00B00731"/>
    <w:rsid w:val="00B00C58"/>
    <w:rsid w:val="00B00CFF"/>
    <w:rsid w:val="00B00D53"/>
    <w:rsid w:val="00B011F6"/>
    <w:rsid w:val="00B01999"/>
    <w:rsid w:val="00B01F87"/>
    <w:rsid w:val="00B027AF"/>
    <w:rsid w:val="00B02883"/>
    <w:rsid w:val="00B028FD"/>
    <w:rsid w:val="00B02F74"/>
    <w:rsid w:val="00B030DE"/>
    <w:rsid w:val="00B03380"/>
    <w:rsid w:val="00B03419"/>
    <w:rsid w:val="00B0356C"/>
    <w:rsid w:val="00B0373B"/>
    <w:rsid w:val="00B03A6A"/>
    <w:rsid w:val="00B04425"/>
    <w:rsid w:val="00B04A45"/>
    <w:rsid w:val="00B04CD3"/>
    <w:rsid w:val="00B05181"/>
    <w:rsid w:val="00B051FD"/>
    <w:rsid w:val="00B053CE"/>
    <w:rsid w:val="00B058EA"/>
    <w:rsid w:val="00B05BC3"/>
    <w:rsid w:val="00B0631A"/>
    <w:rsid w:val="00B06BF8"/>
    <w:rsid w:val="00B06CE7"/>
    <w:rsid w:val="00B06FAC"/>
    <w:rsid w:val="00B075C4"/>
    <w:rsid w:val="00B07A6F"/>
    <w:rsid w:val="00B1061A"/>
    <w:rsid w:val="00B10B41"/>
    <w:rsid w:val="00B10C7C"/>
    <w:rsid w:val="00B10FF6"/>
    <w:rsid w:val="00B1109A"/>
    <w:rsid w:val="00B111A8"/>
    <w:rsid w:val="00B114A1"/>
    <w:rsid w:val="00B11621"/>
    <w:rsid w:val="00B11A4F"/>
    <w:rsid w:val="00B12CF6"/>
    <w:rsid w:val="00B12D62"/>
    <w:rsid w:val="00B12D7D"/>
    <w:rsid w:val="00B134CD"/>
    <w:rsid w:val="00B138C5"/>
    <w:rsid w:val="00B138F8"/>
    <w:rsid w:val="00B13F83"/>
    <w:rsid w:val="00B13FAA"/>
    <w:rsid w:val="00B142F9"/>
    <w:rsid w:val="00B14935"/>
    <w:rsid w:val="00B14A67"/>
    <w:rsid w:val="00B14AA3"/>
    <w:rsid w:val="00B1531E"/>
    <w:rsid w:val="00B16699"/>
    <w:rsid w:val="00B166D8"/>
    <w:rsid w:val="00B169BA"/>
    <w:rsid w:val="00B16AD2"/>
    <w:rsid w:val="00B16CAB"/>
    <w:rsid w:val="00B16D6E"/>
    <w:rsid w:val="00B172BB"/>
    <w:rsid w:val="00B17571"/>
    <w:rsid w:val="00B175D8"/>
    <w:rsid w:val="00B177D1"/>
    <w:rsid w:val="00B17E7A"/>
    <w:rsid w:val="00B2026F"/>
    <w:rsid w:val="00B206AB"/>
    <w:rsid w:val="00B20840"/>
    <w:rsid w:val="00B215A4"/>
    <w:rsid w:val="00B219E5"/>
    <w:rsid w:val="00B21A6B"/>
    <w:rsid w:val="00B21D6A"/>
    <w:rsid w:val="00B22754"/>
    <w:rsid w:val="00B22816"/>
    <w:rsid w:val="00B229A6"/>
    <w:rsid w:val="00B22B64"/>
    <w:rsid w:val="00B22BAC"/>
    <w:rsid w:val="00B22BD3"/>
    <w:rsid w:val="00B22FB9"/>
    <w:rsid w:val="00B2368C"/>
    <w:rsid w:val="00B237AC"/>
    <w:rsid w:val="00B23DB6"/>
    <w:rsid w:val="00B240CB"/>
    <w:rsid w:val="00B244C2"/>
    <w:rsid w:val="00B246D1"/>
    <w:rsid w:val="00B24C6E"/>
    <w:rsid w:val="00B24C87"/>
    <w:rsid w:val="00B25205"/>
    <w:rsid w:val="00B25604"/>
    <w:rsid w:val="00B25652"/>
    <w:rsid w:val="00B26764"/>
    <w:rsid w:val="00B2694F"/>
    <w:rsid w:val="00B26CC4"/>
    <w:rsid w:val="00B27712"/>
    <w:rsid w:val="00B3034A"/>
    <w:rsid w:val="00B30580"/>
    <w:rsid w:val="00B30581"/>
    <w:rsid w:val="00B3076E"/>
    <w:rsid w:val="00B30C66"/>
    <w:rsid w:val="00B30FEB"/>
    <w:rsid w:val="00B31101"/>
    <w:rsid w:val="00B31142"/>
    <w:rsid w:val="00B322BD"/>
    <w:rsid w:val="00B3251E"/>
    <w:rsid w:val="00B32789"/>
    <w:rsid w:val="00B330BE"/>
    <w:rsid w:val="00B33238"/>
    <w:rsid w:val="00B33986"/>
    <w:rsid w:val="00B33C75"/>
    <w:rsid w:val="00B348F0"/>
    <w:rsid w:val="00B34DB1"/>
    <w:rsid w:val="00B35127"/>
    <w:rsid w:val="00B35E53"/>
    <w:rsid w:val="00B35E57"/>
    <w:rsid w:val="00B35F5D"/>
    <w:rsid w:val="00B35F62"/>
    <w:rsid w:val="00B368CE"/>
    <w:rsid w:val="00B36947"/>
    <w:rsid w:val="00B36A46"/>
    <w:rsid w:val="00B36DB0"/>
    <w:rsid w:val="00B3738B"/>
    <w:rsid w:val="00B375B8"/>
    <w:rsid w:val="00B37C20"/>
    <w:rsid w:val="00B37FA5"/>
    <w:rsid w:val="00B37FAD"/>
    <w:rsid w:val="00B40225"/>
    <w:rsid w:val="00B405D2"/>
    <w:rsid w:val="00B4067E"/>
    <w:rsid w:val="00B4141B"/>
    <w:rsid w:val="00B41BB3"/>
    <w:rsid w:val="00B41E45"/>
    <w:rsid w:val="00B41E67"/>
    <w:rsid w:val="00B42041"/>
    <w:rsid w:val="00B42DEE"/>
    <w:rsid w:val="00B43084"/>
    <w:rsid w:val="00B445BD"/>
    <w:rsid w:val="00B447CC"/>
    <w:rsid w:val="00B44ABE"/>
    <w:rsid w:val="00B44E16"/>
    <w:rsid w:val="00B44E2C"/>
    <w:rsid w:val="00B44F76"/>
    <w:rsid w:val="00B45765"/>
    <w:rsid w:val="00B457C9"/>
    <w:rsid w:val="00B45B70"/>
    <w:rsid w:val="00B45C05"/>
    <w:rsid w:val="00B45C5B"/>
    <w:rsid w:val="00B462C1"/>
    <w:rsid w:val="00B4692E"/>
    <w:rsid w:val="00B46AEC"/>
    <w:rsid w:val="00B46BF0"/>
    <w:rsid w:val="00B47495"/>
    <w:rsid w:val="00B479F3"/>
    <w:rsid w:val="00B501B6"/>
    <w:rsid w:val="00B50D92"/>
    <w:rsid w:val="00B50EC7"/>
    <w:rsid w:val="00B50F0D"/>
    <w:rsid w:val="00B50F50"/>
    <w:rsid w:val="00B51BBA"/>
    <w:rsid w:val="00B52188"/>
    <w:rsid w:val="00B5229C"/>
    <w:rsid w:val="00B52402"/>
    <w:rsid w:val="00B5255A"/>
    <w:rsid w:val="00B52802"/>
    <w:rsid w:val="00B52FFC"/>
    <w:rsid w:val="00B53048"/>
    <w:rsid w:val="00B534E5"/>
    <w:rsid w:val="00B5372F"/>
    <w:rsid w:val="00B53B08"/>
    <w:rsid w:val="00B53F63"/>
    <w:rsid w:val="00B53F71"/>
    <w:rsid w:val="00B541B4"/>
    <w:rsid w:val="00B54356"/>
    <w:rsid w:val="00B546A3"/>
    <w:rsid w:val="00B54E6D"/>
    <w:rsid w:val="00B54EE1"/>
    <w:rsid w:val="00B551F8"/>
    <w:rsid w:val="00B556EC"/>
    <w:rsid w:val="00B55E68"/>
    <w:rsid w:val="00B56284"/>
    <w:rsid w:val="00B56A7D"/>
    <w:rsid w:val="00B56BEC"/>
    <w:rsid w:val="00B56E55"/>
    <w:rsid w:val="00B57243"/>
    <w:rsid w:val="00B5736E"/>
    <w:rsid w:val="00B5740E"/>
    <w:rsid w:val="00B57889"/>
    <w:rsid w:val="00B57FF3"/>
    <w:rsid w:val="00B6007E"/>
    <w:rsid w:val="00B600A2"/>
    <w:rsid w:val="00B60358"/>
    <w:rsid w:val="00B6056F"/>
    <w:rsid w:val="00B60669"/>
    <w:rsid w:val="00B60BDB"/>
    <w:rsid w:val="00B60F35"/>
    <w:rsid w:val="00B61260"/>
    <w:rsid w:val="00B614CE"/>
    <w:rsid w:val="00B615C7"/>
    <w:rsid w:val="00B61A4D"/>
    <w:rsid w:val="00B61D7D"/>
    <w:rsid w:val="00B61F40"/>
    <w:rsid w:val="00B61F90"/>
    <w:rsid w:val="00B621DA"/>
    <w:rsid w:val="00B62797"/>
    <w:rsid w:val="00B62AB0"/>
    <w:rsid w:val="00B62E01"/>
    <w:rsid w:val="00B62E79"/>
    <w:rsid w:val="00B63629"/>
    <w:rsid w:val="00B63B9D"/>
    <w:rsid w:val="00B63F78"/>
    <w:rsid w:val="00B63FFD"/>
    <w:rsid w:val="00B6431A"/>
    <w:rsid w:val="00B64543"/>
    <w:rsid w:val="00B646D6"/>
    <w:rsid w:val="00B64746"/>
    <w:rsid w:val="00B648A5"/>
    <w:rsid w:val="00B648C2"/>
    <w:rsid w:val="00B64F55"/>
    <w:rsid w:val="00B6634F"/>
    <w:rsid w:val="00B66381"/>
    <w:rsid w:val="00B669C7"/>
    <w:rsid w:val="00B670E6"/>
    <w:rsid w:val="00B6734D"/>
    <w:rsid w:val="00B67569"/>
    <w:rsid w:val="00B70184"/>
    <w:rsid w:val="00B70211"/>
    <w:rsid w:val="00B70D89"/>
    <w:rsid w:val="00B718AF"/>
    <w:rsid w:val="00B71B91"/>
    <w:rsid w:val="00B71C6F"/>
    <w:rsid w:val="00B71EAD"/>
    <w:rsid w:val="00B7271E"/>
    <w:rsid w:val="00B72EC7"/>
    <w:rsid w:val="00B72F53"/>
    <w:rsid w:val="00B73769"/>
    <w:rsid w:val="00B742FF"/>
    <w:rsid w:val="00B7447E"/>
    <w:rsid w:val="00B74E8C"/>
    <w:rsid w:val="00B75018"/>
    <w:rsid w:val="00B751AC"/>
    <w:rsid w:val="00B7527A"/>
    <w:rsid w:val="00B752BE"/>
    <w:rsid w:val="00B7536A"/>
    <w:rsid w:val="00B7545E"/>
    <w:rsid w:val="00B75622"/>
    <w:rsid w:val="00B75A37"/>
    <w:rsid w:val="00B75DBA"/>
    <w:rsid w:val="00B7601B"/>
    <w:rsid w:val="00B7698A"/>
    <w:rsid w:val="00B76F30"/>
    <w:rsid w:val="00B7715F"/>
    <w:rsid w:val="00B771AD"/>
    <w:rsid w:val="00B77498"/>
    <w:rsid w:val="00B778E9"/>
    <w:rsid w:val="00B77E0B"/>
    <w:rsid w:val="00B77F2D"/>
    <w:rsid w:val="00B80152"/>
    <w:rsid w:val="00B801F2"/>
    <w:rsid w:val="00B8062C"/>
    <w:rsid w:val="00B814B9"/>
    <w:rsid w:val="00B81A6F"/>
    <w:rsid w:val="00B81AF6"/>
    <w:rsid w:val="00B81D11"/>
    <w:rsid w:val="00B81D44"/>
    <w:rsid w:val="00B81E6B"/>
    <w:rsid w:val="00B82023"/>
    <w:rsid w:val="00B82791"/>
    <w:rsid w:val="00B8279F"/>
    <w:rsid w:val="00B8295E"/>
    <w:rsid w:val="00B829DD"/>
    <w:rsid w:val="00B829EB"/>
    <w:rsid w:val="00B82B0C"/>
    <w:rsid w:val="00B82D71"/>
    <w:rsid w:val="00B82D7F"/>
    <w:rsid w:val="00B8385D"/>
    <w:rsid w:val="00B84182"/>
    <w:rsid w:val="00B842DB"/>
    <w:rsid w:val="00B84434"/>
    <w:rsid w:val="00B84A5C"/>
    <w:rsid w:val="00B84B4D"/>
    <w:rsid w:val="00B84BAA"/>
    <w:rsid w:val="00B84C50"/>
    <w:rsid w:val="00B85005"/>
    <w:rsid w:val="00B857F9"/>
    <w:rsid w:val="00B85980"/>
    <w:rsid w:val="00B85B7E"/>
    <w:rsid w:val="00B85CCC"/>
    <w:rsid w:val="00B85D6C"/>
    <w:rsid w:val="00B85E0F"/>
    <w:rsid w:val="00B85FE6"/>
    <w:rsid w:val="00B86237"/>
    <w:rsid w:val="00B86644"/>
    <w:rsid w:val="00B86962"/>
    <w:rsid w:val="00B86D4C"/>
    <w:rsid w:val="00B86D85"/>
    <w:rsid w:val="00B86DEA"/>
    <w:rsid w:val="00B86F49"/>
    <w:rsid w:val="00B87357"/>
    <w:rsid w:val="00B877F7"/>
    <w:rsid w:val="00B878CA"/>
    <w:rsid w:val="00B8792F"/>
    <w:rsid w:val="00B87C85"/>
    <w:rsid w:val="00B87D67"/>
    <w:rsid w:val="00B87E40"/>
    <w:rsid w:val="00B902B2"/>
    <w:rsid w:val="00B9113A"/>
    <w:rsid w:val="00B91157"/>
    <w:rsid w:val="00B91451"/>
    <w:rsid w:val="00B91846"/>
    <w:rsid w:val="00B92113"/>
    <w:rsid w:val="00B92394"/>
    <w:rsid w:val="00B929E8"/>
    <w:rsid w:val="00B92F8C"/>
    <w:rsid w:val="00B93384"/>
    <w:rsid w:val="00B936EF"/>
    <w:rsid w:val="00B93AC5"/>
    <w:rsid w:val="00B93B87"/>
    <w:rsid w:val="00B93BD3"/>
    <w:rsid w:val="00B93D88"/>
    <w:rsid w:val="00B93ECA"/>
    <w:rsid w:val="00B94180"/>
    <w:rsid w:val="00B94FC5"/>
    <w:rsid w:val="00B95116"/>
    <w:rsid w:val="00B9524B"/>
    <w:rsid w:val="00B95315"/>
    <w:rsid w:val="00B9545F"/>
    <w:rsid w:val="00B95926"/>
    <w:rsid w:val="00B95A4A"/>
    <w:rsid w:val="00B95B44"/>
    <w:rsid w:val="00B95EB3"/>
    <w:rsid w:val="00B961B2"/>
    <w:rsid w:val="00B96607"/>
    <w:rsid w:val="00B9661D"/>
    <w:rsid w:val="00B96733"/>
    <w:rsid w:val="00B96812"/>
    <w:rsid w:val="00B96D88"/>
    <w:rsid w:val="00B96E49"/>
    <w:rsid w:val="00B971C5"/>
    <w:rsid w:val="00B972DD"/>
    <w:rsid w:val="00B9798D"/>
    <w:rsid w:val="00B979C4"/>
    <w:rsid w:val="00B97A1F"/>
    <w:rsid w:val="00B97DE5"/>
    <w:rsid w:val="00BA061B"/>
    <w:rsid w:val="00BA09C3"/>
    <w:rsid w:val="00BA0D4D"/>
    <w:rsid w:val="00BA0EF3"/>
    <w:rsid w:val="00BA1041"/>
    <w:rsid w:val="00BA14F7"/>
    <w:rsid w:val="00BA1C21"/>
    <w:rsid w:val="00BA2072"/>
    <w:rsid w:val="00BA2127"/>
    <w:rsid w:val="00BA21E8"/>
    <w:rsid w:val="00BA2216"/>
    <w:rsid w:val="00BA25B9"/>
    <w:rsid w:val="00BA2B46"/>
    <w:rsid w:val="00BA2D53"/>
    <w:rsid w:val="00BA2E96"/>
    <w:rsid w:val="00BA3327"/>
    <w:rsid w:val="00BA3B05"/>
    <w:rsid w:val="00BA4C37"/>
    <w:rsid w:val="00BA4DD0"/>
    <w:rsid w:val="00BA5118"/>
    <w:rsid w:val="00BA572A"/>
    <w:rsid w:val="00BA5843"/>
    <w:rsid w:val="00BA5913"/>
    <w:rsid w:val="00BA5EC2"/>
    <w:rsid w:val="00BA62FE"/>
    <w:rsid w:val="00BA638A"/>
    <w:rsid w:val="00BA6B08"/>
    <w:rsid w:val="00BA6EF9"/>
    <w:rsid w:val="00BA70A3"/>
    <w:rsid w:val="00BA7CA8"/>
    <w:rsid w:val="00BB06C4"/>
    <w:rsid w:val="00BB0C02"/>
    <w:rsid w:val="00BB0C8F"/>
    <w:rsid w:val="00BB1200"/>
    <w:rsid w:val="00BB132E"/>
    <w:rsid w:val="00BB1F69"/>
    <w:rsid w:val="00BB24BE"/>
    <w:rsid w:val="00BB24FB"/>
    <w:rsid w:val="00BB2677"/>
    <w:rsid w:val="00BB2A55"/>
    <w:rsid w:val="00BB2D69"/>
    <w:rsid w:val="00BB3044"/>
    <w:rsid w:val="00BB3288"/>
    <w:rsid w:val="00BB3289"/>
    <w:rsid w:val="00BB3382"/>
    <w:rsid w:val="00BB3729"/>
    <w:rsid w:val="00BB3F01"/>
    <w:rsid w:val="00BB416E"/>
    <w:rsid w:val="00BB4651"/>
    <w:rsid w:val="00BB46B9"/>
    <w:rsid w:val="00BB489E"/>
    <w:rsid w:val="00BB5156"/>
    <w:rsid w:val="00BB551B"/>
    <w:rsid w:val="00BB575F"/>
    <w:rsid w:val="00BB57CD"/>
    <w:rsid w:val="00BB6118"/>
    <w:rsid w:val="00BB6667"/>
    <w:rsid w:val="00BB6A69"/>
    <w:rsid w:val="00BB6CFB"/>
    <w:rsid w:val="00BB7550"/>
    <w:rsid w:val="00BB766B"/>
    <w:rsid w:val="00BC00A5"/>
    <w:rsid w:val="00BC021E"/>
    <w:rsid w:val="00BC089B"/>
    <w:rsid w:val="00BC0A80"/>
    <w:rsid w:val="00BC1654"/>
    <w:rsid w:val="00BC167A"/>
    <w:rsid w:val="00BC1730"/>
    <w:rsid w:val="00BC1C38"/>
    <w:rsid w:val="00BC1D0C"/>
    <w:rsid w:val="00BC2447"/>
    <w:rsid w:val="00BC245A"/>
    <w:rsid w:val="00BC2EAF"/>
    <w:rsid w:val="00BC2EF8"/>
    <w:rsid w:val="00BC49C8"/>
    <w:rsid w:val="00BC4AA7"/>
    <w:rsid w:val="00BC5583"/>
    <w:rsid w:val="00BC55D6"/>
    <w:rsid w:val="00BC565E"/>
    <w:rsid w:val="00BC574F"/>
    <w:rsid w:val="00BC5928"/>
    <w:rsid w:val="00BC5F70"/>
    <w:rsid w:val="00BC5FA6"/>
    <w:rsid w:val="00BC6028"/>
    <w:rsid w:val="00BC6063"/>
    <w:rsid w:val="00BC61AF"/>
    <w:rsid w:val="00BC6297"/>
    <w:rsid w:val="00BC63C0"/>
    <w:rsid w:val="00BC6520"/>
    <w:rsid w:val="00BC722E"/>
    <w:rsid w:val="00BC72CB"/>
    <w:rsid w:val="00BC770C"/>
    <w:rsid w:val="00BC7F00"/>
    <w:rsid w:val="00BD00A9"/>
    <w:rsid w:val="00BD032A"/>
    <w:rsid w:val="00BD043A"/>
    <w:rsid w:val="00BD0AA6"/>
    <w:rsid w:val="00BD0C63"/>
    <w:rsid w:val="00BD11E2"/>
    <w:rsid w:val="00BD127E"/>
    <w:rsid w:val="00BD14F5"/>
    <w:rsid w:val="00BD1E44"/>
    <w:rsid w:val="00BD2453"/>
    <w:rsid w:val="00BD2822"/>
    <w:rsid w:val="00BD3813"/>
    <w:rsid w:val="00BD3874"/>
    <w:rsid w:val="00BD3D19"/>
    <w:rsid w:val="00BD3F6A"/>
    <w:rsid w:val="00BD41F9"/>
    <w:rsid w:val="00BD4619"/>
    <w:rsid w:val="00BD4698"/>
    <w:rsid w:val="00BD48A9"/>
    <w:rsid w:val="00BD4E26"/>
    <w:rsid w:val="00BD4F98"/>
    <w:rsid w:val="00BD535E"/>
    <w:rsid w:val="00BD54D1"/>
    <w:rsid w:val="00BD55F7"/>
    <w:rsid w:val="00BD68B1"/>
    <w:rsid w:val="00BD6999"/>
    <w:rsid w:val="00BD69B1"/>
    <w:rsid w:val="00BD6F7E"/>
    <w:rsid w:val="00BD781E"/>
    <w:rsid w:val="00BD7AA2"/>
    <w:rsid w:val="00BE0538"/>
    <w:rsid w:val="00BE0873"/>
    <w:rsid w:val="00BE0F97"/>
    <w:rsid w:val="00BE0FAD"/>
    <w:rsid w:val="00BE142B"/>
    <w:rsid w:val="00BE150C"/>
    <w:rsid w:val="00BE1516"/>
    <w:rsid w:val="00BE1786"/>
    <w:rsid w:val="00BE18E5"/>
    <w:rsid w:val="00BE1CF6"/>
    <w:rsid w:val="00BE2941"/>
    <w:rsid w:val="00BE297E"/>
    <w:rsid w:val="00BE2A84"/>
    <w:rsid w:val="00BE2EFC"/>
    <w:rsid w:val="00BE2F9F"/>
    <w:rsid w:val="00BE34C6"/>
    <w:rsid w:val="00BE35F8"/>
    <w:rsid w:val="00BE3819"/>
    <w:rsid w:val="00BE3AAF"/>
    <w:rsid w:val="00BE3F05"/>
    <w:rsid w:val="00BE4009"/>
    <w:rsid w:val="00BE41B4"/>
    <w:rsid w:val="00BE45D6"/>
    <w:rsid w:val="00BE54B7"/>
    <w:rsid w:val="00BE58AD"/>
    <w:rsid w:val="00BE5FF9"/>
    <w:rsid w:val="00BE619B"/>
    <w:rsid w:val="00BE6664"/>
    <w:rsid w:val="00BE6959"/>
    <w:rsid w:val="00BE6C44"/>
    <w:rsid w:val="00BE6CCB"/>
    <w:rsid w:val="00BE6EE2"/>
    <w:rsid w:val="00BE6FD0"/>
    <w:rsid w:val="00BE708B"/>
    <w:rsid w:val="00BE7F7D"/>
    <w:rsid w:val="00BF0380"/>
    <w:rsid w:val="00BF0429"/>
    <w:rsid w:val="00BF08B1"/>
    <w:rsid w:val="00BF1163"/>
    <w:rsid w:val="00BF139B"/>
    <w:rsid w:val="00BF18C1"/>
    <w:rsid w:val="00BF1E0A"/>
    <w:rsid w:val="00BF2292"/>
    <w:rsid w:val="00BF2605"/>
    <w:rsid w:val="00BF27E2"/>
    <w:rsid w:val="00BF27F7"/>
    <w:rsid w:val="00BF28A5"/>
    <w:rsid w:val="00BF28E1"/>
    <w:rsid w:val="00BF2934"/>
    <w:rsid w:val="00BF2D25"/>
    <w:rsid w:val="00BF2E2B"/>
    <w:rsid w:val="00BF3049"/>
    <w:rsid w:val="00BF3209"/>
    <w:rsid w:val="00BF36A2"/>
    <w:rsid w:val="00BF3AB7"/>
    <w:rsid w:val="00BF4115"/>
    <w:rsid w:val="00BF4744"/>
    <w:rsid w:val="00BF47A0"/>
    <w:rsid w:val="00BF4AC0"/>
    <w:rsid w:val="00BF4BA1"/>
    <w:rsid w:val="00BF4DB8"/>
    <w:rsid w:val="00BF59AC"/>
    <w:rsid w:val="00BF5AED"/>
    <w:rsid w:val="00BF5CE6"/>
    <w:rsid w:val="00BF5D96"/>
    <w:rsid w:val="00BF5F2D"/>
    <w:rsid w:val="00BF5F43"/>
    <w:rsid w:val="00BF65D2"/>
    <w:rsid w:val="00BF6715"/>
    <w:rsid w:val="00BF6802"/>
    <w:rsid w:val="00BF6994"/>
    <w:rsid w:val="00BF714C"/>
    <w:rsid w:val="00BF769B"/>
    <w:rsid w:val="00BF7827"/>
    <w:rsid w:val="00BF7ACD"/>
    <w:rsid w:val="00BF7BB5"/>
    <w:rsid w:val="00BF7C8D"/>
    <w:rsid w:val="00BF7CB6"/>
    <w:rsid w:val="00BF7D25"/>
    <w:rsid w:val="00C00653"/>
    <w:rsid w:val="00C00744"/>
    <w:rsid w:val="00C0094D"/>
    <w:rsid w:val="00C00953"/>
    <w:rsid w:val="00C00E3D"/>
    <w:rsid w:val="00C0116C"/>
    <w:rsid w:val="00C01447"/>
    <w:rsid w:val="00C014EA"/>
    <w:rsid w:val="00C0169F"/>
    <w:rsid w:val="00C0193D"/>
    <w:rsid w:val="00C01E75"/>
    <w:rsid w:val="00C023A8"/>
    <w:rsid w:val="00C02568"/>
    <w:rsid w:val="00C02919"/>
    <w:rsid w:val="00C02E28"/>
    <w:rsid w:val="00C02F60"/>
    <w:rsid w:val="00C0312F"/>
    <w:rsid w:val="00C03648"/>
    <w:rsid w:val="00C03734"/>
    <w:rsid w:val="00C04498"/>
    <w:rsid w:val="00C04607"/>
    <w:rsid w:val="00C04708"/>
    <w:rsid w:val="00C04F42"/>
    <w:rsid w:val="00C05226"/>
    <w:rsid w:val="00C05295"/>
    <w:rsid w:val="00C05929"/>
    <w:rsid w:val="00C0596F"/>
    <w:rsid w:val="00C05AF6"/>
    <w:rsid w:val="00C05C20"/>
    <w:rsid w:val="00C05F96"/>
    <w:rsid w:val="00C06A64"/>
    <w:rsid w:val="00C06FFE"/>
    <w:rsid w:val="00C071F6"/>
    <w:rsid w:val="00C079F2"/>
    <w:rsid w:val="00C07AEA"/>
    <w:rsid w:val="00C07F76"/>
    <w:rsid w:val="00C10199"/>
    <w:rsid w:val="00C10590"/>
    <w:rsid w:val="00C105C9"/>
    <w:rsid w:val="00C107FA"/>
    <w:rsid w:val="00C1090D"/>
    <w:rsid w:val="00C10939"/>
    <w:rsid w:val="00C10AA6"/>
    <w:rsid w:val="00C10AD3"/>
    <w:rsid w:val="00C10BC6"/>
    <w:rsid w:val="00C11061"/>
    <w:rsid w:val="00C112A0"/>
    <w:rsid w:val="00C11424"/>
    <w:rsid w:val="00C11790"/>
    <w:rsid w:val="00C11EC3"/>
    <w:rsid w:val="00C120C5"/>
    <w:rsid w:val="00C1223D"/>
    <w:rsid w:val="00C122D3"/>
    <w:rsid w:val="00C123AE"/>
    <w:rsid w:val="00C12ABF"/>
    <w:rsid w:val="00C12CB6"/>
    <w:rsid w:val="00C12D58"/>
    <w:rsid w:val="00C1304B"/>
    <w:rsid w:val="00C134D4"/>
    <w:rsid w:val="00C13762"/>
    <w:rsid w:val="00C1389D"/>
    <w:rsid w:val="00C138A8"/>
    <w:rsid w:val="00C13B9A"/>
    <w:rsid w:val="00C1408D"/>
    <w:rsid w:val="00C1414E"/>
    <w:rsid w:val="00C14985"/>
    <w:rsid w:val="00C14EAF"/>
    <w:rsid w:val="00C15221"/>
    <w:rsid w:val="00C1562E"/>
    <w:rsid w:val="00C157EE"/>
    <w:rsid w:val="00C15E32"/>
    <w:rsid w:val="00C15EA0"/>
    <w:rsid w:val="00C163DB"/>
    <w:rsid w:val="00C1673D"/>
    <w:rsid w:val="00C1684C"/>
    <w:rsid w:val="00C1686D"/>
    <w:rsid w:val="00C17325"/>
    <w:rsid w:val="00C1734D"/>
    <w:rsid w:val="00C175A0"/>
    <w:rsid w:val="00C175AD"/>
    <w:rsid w:val="00C17D83"/>
    <w:rsid w:val="00C2026B"/>
    <w:rsid w:val="00C205DB"/>
    <w:rsid w:val="00C20A3E"/>
    <w:rsid w:val="00C20D3F"/>
    <w:rsid w:val="00C20FA5"/>
    <w:rsid w:val="00C213D3"/>
    <w:rsid w:val="00C2158E"/>
    <w:rsid w:val="00C2182C"/>
    <w:rsid w:val="00C21EA5"/>
    <w:rsid w:val="00C21ECF"/>
    <w:rsid w:val="00C22455"/>
    <w:rsid w:val="00C224E6"/>
    <w:rsid w:val="00C2298D"/>
    <w:rsid w:val="00C22A7D"/>
    <w:rsid w:val="00C22F49"/>
    <w:rsid w:val="00C23030"/>
    <w:rsid w:val="00C232FB"/>
    <w:rsid w:val="00C23561"/>
    <w:rsid w:val="00C2378D"/>
    <w:rsid w:val="00C23A84"/>
    <w:rsid w:val="00C23B19"/>
    <w:rsid w:val="00C23CB4"/>
    <w:rsid w:val="00C23FF4"/>
    <w:rsid w:val="00C24549"/>
    <w:rsid w:val="00C24628"/>
    <w:rsid w:val="00C24ABE"/>
    <w:rsid w:val="00C24BA2"/>
    <w:rsid w:val="00C253FE"/>
    <w:rsid w:val="00C25448"/>
    <w:rsid w:val="00C25576"/>
    <w:rsid w:val="00C25807"/>
    <w:rsid w:val="00C25808"/>
    <w:rsid w:val="00C25C42"/>
    <w:rsid w:val="00C25FC9"/>
    <w:rsid w:val="00C2622D"/>
    <w:rsid w:val="00C264B6"/>
    <w:rsid w:val="00C26541"/>
    <w:rsid w:val="00C2670C"/>
    <w:rsid w:val="00C26C03"/>
    <w:rsid w:val="00C27105"/>
    <w:rsid w:val="00C2714B"/>
    <w:rsid w:val="00C27459"/>
    <w:rsid w:val="00C2752D"/>
    <w:rsid w:val="00C27FC1"/>
    <w:rsid w:val="00C300DF"/>
    <w:rsid w:val="00C301C8"/>
    <w:rsid w:val="00C30340"/>
    <w:rsid w:val="00C3042B"/>
    <w:rsid w:val="00C30671"/>
    <w:rsid w:val="00C30D1E"/>
    <w:rsid w:val="00C31461"/>
    <w:rsid w:val="00C31589"/>
    <w:rsid w:val="00C3178A"/>
    <w:rsid w:val="00C317A5"/>
    <w:rsid w:val="00C31BDB"/>
    <w:rsid w:val="00C31D3A"/>
    <w:rsid w:val="00C325CE"/>
    <w:rsid w:val="00C32759"/>
    <w:rsid w:val="00C328F0"/>
    <w:rsid w:val="00C32C28"/>
    <w:rsid w:val="00C32D2F"/>
    <w:rsid w:val="00C33313"/>
    <w:rsid w:val="00C333D1"/>
    <w:rsid w:val="00C3343D"/>
    <w:rsid w:val="00C3358E"/>
    <w:rsid w:val="00C3365C"/>
    <w:rsid w:val="00C33890"/>
    <w:rsid w:val="00C33D9E"/>
    <w:rsid w:val="00C34503"/>
    <w:rsid w:val="00C346AA"/>
    <w:rsid w:val="00C3480F"/>
    <w:rsid w:val="00C34895"/>
    <w:rsid w:val="00C34945"/>
    <w:rsid w:val="00C34A4E"/>
    <w:rsid w:val="00C34A99"/>
    <w:rsid w:val="00C34EE6"/>
    <w:rsid w:val="00C34FE1"/>
    <w:rsid w:val="00C356AF"/>
    <w:rsid w:val="00C36196"/>
    <w:rsid w:val="00C364F0"/>
    <w:rsid w:val="00C36B49"/>
    <w:rsid w:val="00C36F1B"/>
    <w:rsid w:val="00C3777C"/>
    <w:rsid w:val="00C377C1"/>
    <w:rsid w:val="00C40201"/>
    <w:rsid w:val="00C406F1"/>
    <w:rsid w:val="00C4096A"/>
    <w:rsid w:val="00C409D6"/>
    <w:rsid w:val="00C40BD1"/>
    <w:rsid w:val="00C40E0F"/>
    <w:rsid w:val="00C40E19"/>
    <w:rsid w:val="00C40F0D"/>
    <w:rsid w:val="00C4102F"/>
    <w:rsid w:val="00C4131D"/>
    <w:rsid w:val="00C41AA8"/>
    <w:rsid w:val="00C41D0C"/>
    <w:rsid w:val="00C41EFA"/>
    <w:rsid w:val="00C428BA"/>
    <w:rsid w:val="00C42D34"/>
    <w:rsid w:val="00C4330A"/>
    <w:rsid w:val="00C43537"/>
    <w:rsid w:val="00C436AB"/>
    <w:rsid w:val="00C43712"/>
    <w:rsid w:val="00C43BF7"/>
    <w:rsid w:val="00C4409E"/>
    <w:rsid w:val="00C4421C"/>
    <w:rsid w:val="00C445F9"/>
    <w:rsid w:val="00C4471B"/>
    <w:rsid w:val="00C44B16"/>
    <w:rsid w:val="00C4529E"/>
    <w:rsid w:val="00C4552E"/>
    <w:rsid w:val="00C45753"/>
    <w:rsid w:val="00C457B5"/>
    <w:rsid w:val="00C46141"/>
    <w:rsid w:val="00C461B6"/>
    <w:rsid w:val="00C4623A"/>
    <w:rsid w:val="00C4641F"/>
    <w:rsid w:val="00C46AFA"/>
    <w:rsid w:val="00C476FB"/>
    <w:rsid w:val="00C50305"/>
    <w:rsid w:val="00C503D3"/>
    <w:rsid w:val="00C5058D"/>
    <w:rsid w:val="00C50779"/>
    <w:rsid w:val="00C50DE0"/>
    <w:rsid w:val="00C51185"/>
    <w:rsid w:val="00C51D87"/>
    <w:rsid w:val="00C51F43"/>
    <w:rsid w:val="00C51FCC"/>
    <w:rsid w:val="00C52095"/>
    <w:rsid w:val="00C5237D"/>
    <w:rsid w:val="00C52445"/>
    <w:rsid w:val="00C5252C"/>
    <w:rsid w:val="00C526FE"/>
    <w:rsid w:val="00C52913"/>
    <w:rsid w:val="00C52B8D"/>
    <w:rsid w:val="00C52D6C"/>
    <w:rsid w:val="00C52E31"/>
    <w:rsid w:val="00C5345E"/>
    <w:rsid w:val="00C537C7"/>
    <w:rsid w:val="00C53A7A"/>
    <w:rsid w:val="00C53CB4"/>
    <w:rsid w:val="00C53E84"/>
    <w:rsid w:val="00C53FEE"/>
    <w:rsid w:val="00C54ADF"/>
    <w:rsid w:val="00C54EB2"/>
    <w:rsid w:val="00C54FDB"/>
    <w:rsid w:val="00C55640"/>
    <w:rsid w:val="00C55818"/>
    <w:rsid w:val="00C55EAC"/>
    <w:rsid w:val="00C56AE5"/>
    <w:rsid w:val="00C56BA5"/>
    <w:rsid w:val="00C56F47"/>
    <w:rsid w:val="00C57359"/>
    <w:rsid w:val="00C57C1C"/>
    <w:rsid w:val="00C57CAF"/>
    <w:rsid w:val="00C57CF9"/>
    <w:rsid w:val="00C57D7B"/>
    <w:rsid w:val="00C57EAE"/>
    <w:rsid w:val="00C6068A"/>
    <w:rsid w:val="00C60787"/>
    <w:rsid w:val="00C616B6"/>
    <w:rsid w:val="00C61CD8"/>
    <w:rsid w:val="00C624F9"/>
    <w:rsid w:val="00C625BA"/>
    <w:rsid w:val="00C62629"/>
    <w:rsid w:val="00C6275D"/>
    <w:rsid w:val="00C6276C"/>
    <w:rsid w:val="00C62EBB"/>
    <w:rsid w:val="00C63015"/>
    <w:rsid w:val="00C63155"/>
    <w:rsid w:val="00C63261"/>
    <w:rsid w:val="00C634ED"/>
    <w:rsid w:val="00C635B3"/>
    <w:rsid w:val="00C639DE"/>
    <w:rsid w:val="00C63A9B"/>
    <w:rsid w:val="00C63B4F"/>
    <w:rsid w:val="00C63DB1"/>
    <w:rsid w:val="00C64036"/>
    <w:rsid w:val="00C6417C"/>
    <w:rsid w:val="00C6431E"/>
    <w:rsid w:val="00C64493"/>
    <w:rsid w:val="00C64938"/>
    <w:rsid w:val="00C6546A"/>
    <w:rsid w:val="00C65563"/>
    <w:rsid w:val="00C65795"/>
    <w:rsid w:val="00C65A09"/>
    <w:rsid w:val="00C65DC2"/>
    <w:rsid w:val="00C661DB"/>
    <w:rsid w:val="00C662D0"/>
    <w:rsid w:val="00C66E80"/>
    <w:rsid w:val="00C670C6"/>
    <w:rsid w:val="00C67C18"/>
    <w:rsid w:val="00C67F1C"/>
    <w:rsid w:val="00C70C0F"/>
    <w:rsid w:val="00C70EE4"/>
    <w:rsid w:val="00C711DB"/>
    <w:rsid w:val="00C71352"/>
    <w:rsid w:val="00C714D4"/>
    <w:rsid w:val="00C71640"/>
    <w:rsid w:val="00C719CB"/>
    <w:rsid w:val="00C71AE2"/>
    <w:rsid w:val="00C71DB9"/>
    <w:rsid w:val="00C72188"/>
    <w:rsid w:val="00C7274D"/>
    <w:rsid w:val="00C72F2F"/>
    <w:rsid w:val="00C7312D"/>
    <w:rsid w:val="00C735CA"/>
    <w:rsid w:val="00C73E2F"/>
    <w:rsid w:val="00C74B45"/>
    <w:rsid w:val="00C74BDD"/>
    <w:rsid w:val="00C74D8B"/>
    <w:rsid w:val="00C74DE0"/>
    <w:rsid w:val="00C75108"/>
    <w:rsid w:val="00C7531B"/>
    <w:rsid w:val="00C75370"/>
    <w:rsid w:val="00C7540A"/>
    <w:rsid w:val="00C75BE3"/>
    <w:rsid w:val="00C76420"/>
    <w:rsid w:val="00C7671B"/>
    <w:rsid w:val="00C767CE"/>
    <w:rsid w:val="00C76814"/>
    <w:rsid w:val="00C769AF"/>
    <w:rsid w:val="00C76AEB"/>
    <w:rsid w:val="00C76B17"/>
    <w:rsid w:val="00C76BF0"/>
    <w:rsid w:val="00C76D91"/>
    <w:rsid w:val="00C7711A"/>
    <w:rsid w:val="00C77580"/>
    <w:rsid w:val="00C77D1B"/>
    <w:rsid w:val="00C80233"/>
    <w:rsid w:val="00C8038C"/>
    <w:rsid w:val="00C8088D"/>
    <w:rsid w:val="00C81089"/>
    <w:rsid w:val="00C812A3"/>
    <w:rsid w:val="00C816BA"/>
    <w:rsid w:val="00C81924"/>
    <w:rsid w:val="00C8217B"/>
    <w:rsid w:val="00C823FC"/>
    <w:rsid w:val="00C82E6E"/>
    <w:rsid w:val="00C8314D"/>
    <w:rsid w:val="00C831BC"/>
    <w:rsid w:val="00C833B8"/>
    <w:rsid w:val="00C83E44"/>
    <w:rsid w:val="00C83FAD"/>
    <w:rsid w:val="00C8407D"/>
    <w:rsid w:val="00C8488C"/>
    <w:rsid w:val="00C848A9"/>
    <w:rsid w:val="00C85125"/>
    <w:rsid w:val="00C85997"/>
    <w:rsid w:val="00C85B13"/>
    <w:rsid w:val="00C85B7F"/>
    <w:rsid w:val="00C85F10"/>
    <w:rsid w:val="00C86455"/>
    <w:rsid w:val="00C8647F"/>
    <w:rsid w:val="00C86AD7"/>
    <w:rsid w:val="00C87063"/>
    <w:rsid w:val="00C87101"/>
    <w:rsid w:val="00C871DD"/>
    <w:rsid w:val="00C8750E"/>
    <w:rsid w:val="00C87BE8"/>
    <w:rsid w:val="00C87CB2"/>
    <w:rsid w:val="00C87DB9"/>
    <w:rsid w:val="00C906F6"/>
    <w:rsid w:val="00C90A6E"/>
    <w:rsid w:val="00C90E2E"/>
    <w:rsid w:val="00C910F1"/>
    <w:rsid w:val="00C92220"/>
    <w:rsid w:val="00C92F7D"/>
    <w:rsid w:val="00C93040"/>
    <w:rsid w:val="00C932FB"/>
    <w:rsid w:val="00C93BE4"/>
    <w:rsid w:val="00C93E79"/>
    <w:rsid w:val="00C93FF2"/>
    <w:rsid w:val="00C9433A"/>
    <w:rsid w:val="00C9440D"/>
    <w:rsid w:val="00C947B2"/>
    <w:rsid w:val="00C94F03"/>
    <w:rsid w:val="00C95115"/>
    <w:rsid w:val="00C95245"/>
    <w:rsid w:val="00C954F8"/>
    <w:rsid w:val="00C95916"/>
    <w:rsid w:val="00C95A29"/>
    <w:rsid w:val="00C9600C"/>
    <w:rsid w:val="00C9604F"/>
    <w:rsid w:val="00C96057"/>
    <w:rsid w:val="00C9631A"/>
    <w:rsid w:val="00C96B9E"/>
    <w:rsid w:val="00C9743C"/>
    <w:rsid w:val="00C976DC"/>
    <w:rsid w:val="00C97DA9"/>
    <w:rsid w:val="00CA0781"/>
    <w:rsid w:val="00CA07B7"/>
    <w:rsid w:val="00CA0B43"/>
    <w:rsid w:val="00CA0C81"/>
    <w:rsid w:val="00CA0FE9"/>
    <w:rsid w:val="00CA1032"/>
    <w:rsid w:val="00CA1790"/>
    <w:rsid w:val="00CA1FB8"/>
    <w:rsid w:val="00CA207C"/>
    <w:rsid w:val="00CA2133"/>
    <w:rsid w:val="00CA215C"/>
    <w:rsid w:val="00CA21F0"/>
    <w:rsid w:val="00CA24DF"/>
    <w:rsid w:val="00CA2643"/>
    <w:rsid w:val="00CA2BE3"/>
    <w:rsid w:val="00CA368D"/>
    <w:rsid w:val="00CA36A2"/>
    <w:rsid w:val="00CA3B63"/>
    <w:rsid w:val="00CA3BB3"/>
    <w:rsid w:val="00CA3CD0"/>
    <w:rsid w:val="00CA4228"/>
    <w:rsid w:val="00CA42A2"/>
    <w:rsid w:val="00CA4424"/>
    <w:rsid w:val="00CA4646"/>
    <w:rsid w:val="00CA4697"/>
    <w:rsid w:val="00CA4BC1"/>
    <w:rsid w:val="00CA5ADB"/>
    <w:rsid w:val="00CA5CAB"/>
    <w:rsid w:val="00CA606A"/>
    <w:rsid w:val="00CA663D"/>
    <w:rsid w:val="00CA66A3"/>
    <w:rsid w:val="00CA6A4E"/>
    <w:rsid w:val="00CA7851"/>
    <w:rsid w:val="00CA7901"/>
    <w:rsid w:val="00CA7A6D"/>
    <w:rsid w:val="00CA7B0A"/>
    <w:rsid w:val="00CA7D73"/>
    <w:rsid w:val="00CB032B"/>
    <w:rsid w:val="00CB03E0"/>
    <w:rsid w:val="00CB0584"/>
    <w:rsid w:val="00CB05DA"/>
    <w:rsid w:val="00CB0797"/>
    <w:rsid w:val="00CB09BF"/>
    <w:rsid w:val="00CB0D6C"/>
    <w:rsid w:val="00CB1C52"/>
    <w:rsid w:val="00CB203F"/>
    <w:rsid w:val="00CB221C"/>
    <w:rsid w:val="00CB235A"/>
    <w:rsid w:val="00CB261E"/>
    <w:rsid w:val="00CB2A62"/>
    <w:rsid w:val="00CB3A6C"/>
    <w:rsid w:val="00CB3AD6"/>
    <w:rsid w:val="00CB3DB9"/>
    <w:rsid w:val="00CB3EAF"/>
    <w:rsid w:val="00CB4288"/>
    <w:rsid w:val="00CB42AE"/>
    <w:rsid w:val="00CB42C1"/>
    <w:rsid w:val="00CB432B"/>
    <w:rsid w:val="00CB47D8"/>
    <w:rsid w:val="00CB60CF"/>
    <w:rsid w:val="00CB6471"/>
    <w:rsid w:val="00CB64F0"/>
    <w:rsid w:val="00CB6784"/>
    <w:rsid w:val="00CB6CBD"/>
    <w:rsid w:val="00CB73F3"/>
    <w:rsid w:val="00CB7485"/>
    <w:rsid w:val="00CB76EC"/>
    <w:rsid w:val="00CB7EE3"/>
    <w:rsid w:val="00CB7F06"/>
    <w:rsid w:val="00CB7F37"/>
    <w:rsid w:val="00CC061F"/>
    <w:rsid w:val="00CC0825"/>
    <w:rsid w:val="00CC0E76"/>
    <w:rsid w:val="00CC12BE"/>
    <w:rsid w:val="00CC140D"/>
    <w:rsid w:val="00CC15D2"/>
    <w:rsid w:val="00CC1C8D"/>
    <w:rsid w:val="00CC1D7B"/>
    <w:rsid w:val="00CC1EF6"/>
    <w:rsid w:val="00CC2205"/>
    <w:rsid w:val="00CC22F7"/>
    <w:rsid w:val="00CC2C3D"/>
    <w:rsid w:val="00CC34DB"/>
    <w:rsid w:val="00CC3F0E"/>
    <w:rsid w:val="00CC3F93"/>
    <w:rsid w:val="00CC4567"/>
    <w:rsid w:val="00CC4B4F"/>
    <w:rsid w:val="00CC5045"/>
    <w:rsid w:val="00CC526B"/>
    <w:rsid w:val="00CC5373"/>
    <w:rsid w:val="00CC62EA"/>
    <w:rsid w:val="00CC67CE"/>
    <w:rsid w:val="00CC69DA"/>
    <w:rsid w:val="00CC6F9F"/>
    <w:rsid w:val="00CC7087"/>
    <w:rsid w:val="00CC749F"/>
    <w:rsid w:val="00CC7EDC"/>
    <w:rsid w:val="00CC7FEE"/>
    <w:rsid w:val="00CD01A2"/>
    <w:rsid w:val="00CD029E"/>
    <w:rsid w:val="00CD0624"/>
    <w:rsid w:val="00CD073B"/>
    <w:rsid w:val="00CD08C0"/>
    <w:rsid w:val="00CD098E"/>
    <w:rsid w:val="00CD0A92"/>
    <w:rsid w:val="00CD0E1B"/>
    <w:rsid w:val="00CD0F32"/>
    <w:rsid w:val="00CD10C2"/>
    <w:rsid w:val="00CD1403"/>
    <w:rsid w:val="00CD1469"/>
    <w:rsid w:val="00CD1847"/>
    <w:rsid w:val="00CD1BA0"/>
    <w:rsid w:val="00CD2425"/>
    <w:rsid w:val="00CD2463"/>
    <w:rsid w:val="00CD2C79"/>
    <w:rsid w:val="00CD39F1"/>
    <w:rsid w:val="00CD3E9D"/>
    <w:rsid w:val="00CD4256"/>
    <w:rsid w:val="00CD4A51"/>
    <w:rsid w:val="00CD4F7C"/>
    <w:rsid w:val="00CD51B8"/>
    <w:rsid w:val="00CD52D4"/>
    <w:rsid w:val="00CD567C"/>
    <w:rsid w:val="00CD5BFB"/>
    <w:rsid w:val="00CD66AC"/>
    <w:rsid w:val="00CD6921"/>
    <w:rsid w:val="00CD6C5F"/>
    <w:rsid w:val="00CD7119"/>
    <w:rsid w:val="00CD73A1"/>
    <w:rsid w:val="00CD7463"/>
    <w:rsid w:val="00CD76A7"/>
    <w:rsid w:val="00CD7817"/>
    <w:rsid w:val="00CD789D"/>
    <w:rsid w:val="00CD7D53"/>
    <w:rsid w:val="00CD7DE8"/>
    <w:rsid w:val="00CE07D2"/>
    <w:rsid w:val="00CE0B5D"/>
    <w:rsid w:val="00CE0B78"/>
    <w:rsid w:val="00CE0C54"/>
    <w:rsid w:val="00CE0E00"/>
    <w:rsid w:val="00CE1547"/>
    <w:rsid w:val="00CE1696"/>
    <w:rsid w:val="00CE1B59"/>
    <w:rsid w:val="00CE1BF0"/>
    <w:rsid w:val="00CE213C"/>
    <w:rsid w:val="00CE2344"/>
    <w:rsid w:val="00CE2897"/>
    <w:rsid w:val="00CE2A87"/>
    <w:rsid w:val="00CE2C5A"/>
    <w:rsid w:val="00CE2CAC"/>
    <w:rsid w:val="00CE30E9"/>
    <w:rsid w:val="00CE3275"/>
    <w:rsid w:val="00CE334B"/>
    <w:rsid w:val="00CE39AD"/>
    <w:rsid w:val="00CE3A84"/>
    <w:rsid w:val="00CE3CC7"/>
    <w:rsid w:val="00CE3D09"/>
    <w:rsid w:val="00CE400D"/>
    <w:rsid w:val="00CE4716"/>
    <w:rsid w:val="00CE471B"/>
    <w:rsid w:val="00CE47BF"/>
    <w:rsid w:val="00CE51FF"/>
    <w:rsid w:val="00CE6285"/>
    <w:rsid w:val="00CE662E"/>
    <w:rsid w:val="00CE6B66"/>
    <w:rsid w:val="00CE6CA9"/>
    <w:rsid w:val="00CE72A5"/>
    <w:rsid w:val="00CE73EB"/>
    <w:rsid w:val="00CE75C8"/>
    <w:rsid w:val="00CE7C12"/>
    <w:rsid w:val="00CF00A7"/>
    <w:rsid w:val="00CF00F7"/>
    <w:rsid w:val="00CF01F9"/>
    <w:rsid w:val="00CF027D"/>
    <w:rsid w:val="00CF03C3"/>
    <w:rsid w:val="00CF08F8"/>
    <w:rsid w:val="00CF0AE7"/>
    <w:rsid w:val="00CF0AE9"/>
    <w:rsid w:val="00CF0CF1"/>
    <w:rsid w:val="00CF0E00"/>
    <w:rsid w:val="00CF14E4"/>
    <w:rsid w:val="00CF16FA"/>
    <w:rsid w:val="00CF1934"/>
    <w:rsid w:val="00CF2524"/>
    <w:rsid w:val="00CF2B2C"/>
    <w:rsid w:val="00CF2E05"/>
    <w:rsid w:val="00CF2FF1"/>
    <w:rsid w:val="00CF33DE"/>
    <w:rsid w:val="00CF3B3B"/>
    <w:rsid w:val="00CF3C7B"/>
    <w:rsid w:val="00CF3C99"/>
    <w:rsid w:val="00CF428A"/>
    <w:rsid w:val="00CF4CD1"/>
    <w:rsid w:val="00CF4F6C"/>
    <w:rsid w:val="00CF53E6"/>
    <w:rsid w:val="00CF5C91"/>
    <w:rsid w:val="00CF5CF2"/>
    <w:rsid w:val="00CF61FB"/>
    <w:rsid w:val="00CF6299"/>
    <w:rsid w:val="00CF6746"/>
    <w:rsid w:val="00CF67B3"/>
    <w:rsid w:val="00CF6FF9"/>
    <w:rsid w:val="00CF70D8"/>
    <w:rsid w:val="00CF740B"/>
    <w:rsid w:val="00CF7470"/>
    <w:rsid w:val="00CF7820"/>
    <w:rsid w:val="00CF7915"/>
    <w:rsid w:val="00CF7AB4"/>
    <w:rsid w:val="00CF7FC4"/>
    <w:rsid w:val="00D0021B"/>
    <w:rsid w:val="00D004B1"/>
    <w:rsid w:val="00D008DD"/>
    <w:rsid w:val="00D011E8"/>
    <w:rsid w:val="00D01228"/>
    <w:rsid w:val="00D0142B"/>
    <w:rsid w:val="00D02335"/>
    <w:rsid w:val="00D0243C"/>
    <w:rsid w:val="00D02A2D"/>
    <w:rsid w:val="00D02C3E"/>
    <w:rsid w:val="00D02D71"/>
    <w:rsid w:val="00D032F5"/>
    <w:rsid w:val="00D038BD"/>
    <w:rsid w:val="00D03A63"/>
    <w:rsid w:val="00D03B29"/>
    <w:rsid w:val="00D03C63"/>
    <w:rsid w:val="00D041AA"/>
    <w:rsid w:val="00D04636"/>
    <w:rsid w:val="00D0485A"/>
    <w:rsid w:val="00D04A24"/>
    <w:rsid w:val="00D04AFF"/>
    <w:rsid w:val="00D04F3F"/>
    <w:rsid w:val="00D05162"/>
    <w:rsid w:val="00D0519F"/>
    <w:rsid w:val="00D05401"/>
    <w:rsid w:val="00D0543E"/>
    <w:rsid w:val="00D05D53"/>
    <w:rsid w:val="00D064C8"/>
    <w:rsid w:val="00D064E2"/>
    <w:rsid w:val="00D0654E"/>
    <w:rsid w:val="00D0681A"/>
    <w:rsid w:val="00D06AD5"/>
    <w:rsid w:val="00D07602"/>
    <w:rsid w:val="00D07E61"/>
    <w:rsid w:val="00D07F12"/>
    <w:rsid w:val="00D1025D"/>
    <w:rsid w:val="00D108E5"/>
    <w:rsid w:val="00D1132E"/>
    <w:rsid w:val="00D11608"/>
    <w:rsid w:val="00D119B9"/>
    <w:rsid w:val="00D11AF7"/>
    <w:rsid w:val="00D11CCF"/>
    <w:rsid w:val="00D11E79"/>
    <w:rsid w:val="00D1245D"/>
    <w:rsid w:val="00D1298F"/>
    <w:rsid w:val="00D12C39"/>
    <w:rsid w:val="00D130EA"/>
    <w:rsid w:val="00D132CA"/>
    <w:rsid w:val="00D13E53"/>
    <w:rsid w:val="00D13F38"/>
    <w:rsid w:val="00D140A4"/>
    <w:rsid w:val="00D14211"/>
    <w:rsid w:val="00D15094"/>
    <w:rsid w:val="00D154DF"/>
    <w:rsid w:val="00D15759"/>
    <w:rsid w:val="00D158C9"/>
    <w:rsid w:val="00D15930"/>
    <w:rsid w:val="00D15A25"/>
    <w:rsid w:val="00D15B16"/>
    <w:rsid w:val="00D15C27"/>
    <w:rsid w:val="00D15E0D"/>
    <w:rsid w:val="00D16050"/>
    <w:rsid w:val="00D1643E"/>
    <w:rsid w:val="00D16564"/>
    <w:rsid w:val="00D16945"/>
    <w:rsid w:val="00D16DC2"/>
    <w:rsid w:val="00D16EC7"/>
    <w:rsid w:val="00D172CB"/>
    <w:rsid w:val="00D1771B"/>
    <w:rsid w:val="00D178DD"/>
    <w:rsid w:val="00D17ACE"/>
    <w:rsid w:val="00D17B85"/>
    <w:rsid w:val="00D17CF5"/>
    <w:rsid w:val="00D2074D"/>
    <w:rsid w:val="00D20EF8"/>
    <w:rsid w:val="00D21346"/>
    <w:rsid w:val="00D21544"/>
    <w:rsid w:val="00D219C7"/>
    <w:rsid w:val="00D21BE3"/>
    <w:rsid w:val="00D21E7D"/>
    <w:rsid w:val="00D21FF1"/>
    <w:rsid w:val="00D2254F"/>
    <w:rsid w:val="00D2267B"/>
    <w:rsid w:val="00D226D1"/>
    <w:rsid w:val="00D22749"/>
    <w:rsid w:val="00D227C6"/>
    <w:rsid w:val="00D22F1F"/>
    <w:rsid w:val="00D23031"/>
    <w:rsid w:val="00D232DB"/>
    <w:rsid w:val="00D232DC"/>
    <w:rsid w:val="00D233C3"/>
    <w:rsid w:val="00D237C1"/>
    <w:rsid w:val="00D24128"/>
    <w:rsid w:val="00D2426A"/>
    <w:rsid w:val="00D250A6"/>
    <w:rsid w:val="00D2512D"/>
    <w:rsid w:val="00D25196"/>
    <w:rsid w:val="00D252CA"/>
    <w:rsid w:val="00D25594"/>
    <w:rsid w:val="00D258B3"/>
    <w:rsid w:val="00D25BFD"/>
    <w:rsid w:val="00D25E73"/>
    <w:rsid w:val="00D25FE8"/>
    <w:rsid w:val="00D269EA"/>
    <w:rsid w:val="00D26A9D"/>
    <w:rsid w:val="00D26B13"/>
    <w:rsid w:val="00D272B6"/>
    <w:rsid w:val="00D274C1"/>
    <w:rsid w:val="00D30B27"/>
    <w:rsid w:val="00D30B30"/>
    <w:rsid w:val="00D3136A"/>
    <w:rsid w:val="00D31C45"/>
    <w:rsid w:val="00D31ECB"/>
    <w:rsid w:val="00D3287D"/>
    <w:rsid w:val="00D32A03"/>
    <w:rsid w:val="00D337FF"/>
    <w:rsid w:val="00D3396E"/>
    <w:rsid w:val="00D33ACF"/>
    <w:rsid w:val="00D33B44"/>
    <w:rsid w:val="00D33BA6"/>
    <w:rsid w:val="00D33C70"/>
    <w:rsid w:val="00D33CD3"/>
    <w:rsid w:val="00D33F3B"/>
    <w:rsid w:val="00D34226"/>
    <w:rsid w:val="00D34892"/>
    <w:rsid w:val="00D34CA7"/>
    <w:rsid w:val="00D34CF7"/>
    <w:rsid w:val="00D34D87"/>
    <w:rsid w:val="00D356C9"/>
    <w:rsid w:val="00D35DB7"/>
    <w:rsid w:val="00D35F72"/>
    <w:rsid w:val="00D362DA"/>
    <w:rsid w:val="00D367E0"/>
    <w:rsid w:val="00D36C65"/>
    <w:rsid w:val="00D36F4D"/>
    <w:rsid w:val="00D3744B"/>
    <w:rsid w:val="00D37562"/>
    <w:rsid w:val="00D378F8"/>
    <w:rsid w:val="00D379EC"/>
    <w:rsid w:val="00D37B16"/>
    <w:rsid w:val="00D37BA0"/>
    <w:rsid w:val="00D4076C"/>
    <w:rsid w:val="00D4089E"/>
    <w:rsid w:val="00D40B93"/>
    <w:rsid w:val="00D40DB0"/>
    <w:rsid w:val="00D4109F"/>
    <w:rsid w:val="00D411D4"/>
    <w:rsid w:val="00D41C5E"/>
    <w:rsid w:val="00D42444"/>
    <w:rsid w:val="00D42515"/>
    <w:rsid w:val="00D426D3"/>
    <w:rsid w:val="00D428F7"/>
    <w:rsid w:val="00D42BD9"/>
    <w:rsid w:val="00D4327D"/>
    <w:rsid w:val="00D43459"/>
    <w:rsid w:val="00D43712"/>
    <w:rsid w:val="00D43892"/>
    <w:rsid w:val="00D43F6D"/>
    <w:rsid w:val="00D443BB"/>
    <w:rsid w:val="00D44D71"/>
    <w:rsid w:val="00D45DAB"/>
    <w:rsid w:val="00D45F3E"/>
    <w:rsid w:val="00D4645A"/>
    <w:rsid w:val="00D46462"/>
    <w:rsid w:val="00D467C9"/>
    <w:rsid w:val="00D46A87"/>
    <w:rsid w:val="00D46B1D"/>
    <w:rsid w:val="00D46ECE"/>
    <w:rsid w:val="00D471FC"/>
    <w:rsid w:val="00D47749"/>
    <w:rsid w:val="00D47B8E"/>
    <w:rsid w:val="00D47BDF"/>
    <w:rsid w:val="00D50C31"/>
    <w:rsid w:val="00D50DF4"/>
    <w:rsid w:val="00D51409"/>
    <w:rsid w:val="00D51A8D"/>
    <w:rsid w:val="00D51B90"/>
    <w:rsid w:val="00D522D2"/>
    <w:rsid w:val="00D524A3"/>
    <w:rsid w:val="00D526E7"/>
    <w:rsid w:val="00D5321C"/>
    <w:rsid w:val="00D53723"/>
    <w:rsid w:val="00D5376C"/>
    <w:rsid w:val="00D5389B"/>
    <w:rsid w:val="00D53C4F"/>
    <w:rsid w:val="00D5487B"/>
    <w:rsid w:val="00D552B2"/>
    <w:rsid w:val="00D5531B"/>
    <w:rsid w:val="00D557F6"/>
    <w:rsid w:val="00D55B8F"/>
    <w:rsid w:val="00D55F0C"/>
    <w:rsid w:val="00D561CD"/>
    <w:rsid w:val="00D5663D"/>
    <w:rsid w:val="00D5708C"/>
    <w:rsid w:val="00D57592"/>
    <w:rsid w:val="00D57F7B"/>
    <w:rsid w:val="00D6013E"/>
    <w:rsid w:val="00D603EA"/>
    <w:rsid w:val="00D60418"/>
    <w:rsid w:val="00D60693"/>
    <w:rsid w:val="00D60A95"/>
    <w:rsid w:val="00D60FEB"/>
    <w:rsid w:val="00D61336"/>
    <w:rsid w:val="00D6236A"/>
    <w:rsid w:val="00D62473"/>
    <w:rsid w:val="00D62BBA"/>
    <w:rsid w:val="00D62E51"/>
    <w:rsid w:val="00D63202"/>
    <w:rsid w:val="00D6329B"/>
    <w:rsid w:val="00D637F3"/>
    <w:rsid w:val="00D6388A"/>
    <w:rsid w:val="00D63A2E"/>
    <w:rsid w:val="00D63FD7"/>
    <w:rsid w:val="00D647CE"/>
    <w:rsid w:val="00D649A0"/>
    <w:rsid w:val="00D64A06"/>
    <w:rsid w:val="00D64F14"/>
    <w:rsid w:val="00D65234"/>
    <w:rsid w:val="00D657F1"/>
    <w:rsid w:val="00D659E0"/>
    <w:rsid w:val="00D65A23"/>
    <w:rsid w:val="00D66158"/>
    <w:rsid w:val="00D661E6"/>
    <w:rsid w:val="00D664AB"/>
    <w:rsid w:val="00D666EA"/>
    <w:rsid w:val="00D66BFC"/>
    <w:rsid w:val="00D66F05"/>
    <w:rsid w:val="00D6722B"/>
    <w:rsid w:val="00D673B3"/>
    <w:rsid w:val="00D67E34"/>
    <w:rsid w:val="00D701CC"/>
    <w:rsid w:val="00D7022D"/>
    <w:rsid w:val="00D707EA"/>
    <w:rsid w:val="00D709DB"/>
    <w:rsid w:val="00D70B31"/>
    <w:rsid w:val="00D70D5B"/>
    <w:rsid w:val="00D70E46"/>
    <w:rsid w:val="00D71023"/>
    <w:rsid w:val="00D715EE"/>
    <w:rsid w:val="00D718B8"/>
    <w:rsid w:val="00D71D11"/>
    <w:rsid w:val="00D72022"/>
    <w:rsid w:val="00D7233A"/>
    <w:rsid w:val="00D72773"/>
    <w:rsid w:val="00D73ABB"/>
    <w:rsid w:val="00D73D18"/>
    <w:rsid w:val="00D73D77"/>
    <w:rsid w:val="00D73D7C"/>
    <w:rsid w:val="00D73DA9"/>
    <w:rsid w:val="00D73E43"/>
    <w:rsid w:val="00D73E68"/>
    <w:rsid w:val="00D73EDF"/>
    <w:rsid w:val="00D745F9"/>
    <w:rsid w:val="00D747F3"/>
    <w:rsid w:val="00D7483E"/>
    <w:rsid w:val="00D74DC6"/>
    <w:rsid w:val="00D7555D"/>
    <w:rsid w:val="00D7562B"/>
    <w:rsid w:val="00D75BB5"/>
    <w:rsid w:val="00D75E51"/>
    <w:rsid w:val="00D75F4D"/>
    <w:rsid w:val="00D760D7"/>
    <w:rsid w:val="00D761E5"/>
    <w:rsid w:val="00D7695B"/>
    <w:rsid w:val="00D76A63"/>
    <w:rsid w:val="00D76B30"/>
    <w:rsid w:val="00D76F61"/>
    <w:rsid w:val="00D771EC"/>
    <w:rsid w:val="00D772B6"/>
    <w:rsid w:val="00D7760C"/>
    <w:rsid w:val="00D77632"/>
    <w:rsid w:val="00D776CA"/>
    <w:rsid w:val="00D77BD1"/>
    <w:rsid w:val="00D77D12"/>
    <w:rsid w:val="00D80105"/>
    <w:rsid w:val="00D8071F"/>
    <w:rsid w:val="00D80E66"/>
    <w:rsid w:val="00D8100D"/>
    <w:rsid w:val="00D81589"/>
    <w:rsid w:val="00D815F5"/>
    <w:rsid w:val="00D8183F"/>
    <w:rsid w:val="00D81A4A"/>
    <w:rsid w:val="00D81DDF"/>
    <w:rsid w:val="00D826A4"/>
    <w:rsid w:val="00D827F0"/>
    <w:rsid w:val="00D828A9"/>
    <w:rsid w:val="00D82AD1"/>
    <w:rsid w:val="00D83215"/>
    <w:rsid w:val="00D83985"/>
    <w:rsid w:val="00D83CD7"/>
    <w:rsid w:val="00D84388"/>
    <w:rsid w:val="00D845CE"/>
    <w:rsid w:val="00D8461C"/>
    <w:rsid w:val="00D8483F"/>
    <w:rsid w:val="00D853D8"/>
    <w:rsid w:val="00D854D1"/>
    <w:rsid w:val="00D8565F"/>
    <w:rsid w:val="00D859F3"/>
    <w:rsid w:val="00D85B6F"/>
    <w:rsid w:val="00D85BAA"/>
    <w:rsid w:val="00D85CA2"/>
    <w:rsid w:val="00D85CB6"/>
    <w:rsid w:val="00D862D5"/>
    <w:rsid w:val="00D86383"/>
    <w:rsid w:val="00D8652A"/>
    <w:rsid w:val="00D86F66"/>
    <w:rsid w:val="00D8708A"/>
    <w:rsid w:val="00D871C5"/>
    <w:rsid w:val="00D8769F"/>
    <w:rsid w:val="00D87728"/>
    <w:rsid w:val="00D87DE9"/>
    <w:rsid w:val="00D90464"/>
    <w:rsid w:val="00D907FB"/>
    <w:rsid w:val="00D90B11"/>
    <w:rsid w:val="00D90BFF"/>
    <w:rsid w:val="00D90C9B"/>
    <w:rsid w:val="00D90CCA"/>
    <w:rsid w:val="00D90F1B"/>
    <w:rsid w:val="00D9163C"/>
    <w:rsid w:val="00D91C62"/>
    <w:rsid w:val="00D92956"/>
    <w:rsid w:val="00D92F49"/>
    <w:rsid w:val="00D92F88"/>
    <w:rsid w:val="00D93381"/>
    <w:rsid w:val="00D93400"/>
    <w:rsid w:val="00D9362E"/>
    <w:rsid w:val="00D93B54"/>
    <w:rsid w:val="00D9412B"/>
    <w:rsid w:val="00D94602"/>
    <w:rsid w:val="00D9486A"/>
    <w:rsid w:val="00D949CF"/>
    <w:rsid w:val="00D94C1E"/>
    <w:rsid w:val="00D94D7A"/>
    <w:rsid w:val="00D95356"/>
    <w:rsid w:val="00D95366"/>
    <w:rsid w:val="00D95587"/>
    <w:rsid w:val="00D956B2"/>
    <w:rsid w:val="00D956DA"/>
    <w:rsid w:val="00D957A0"/>
    <w:rsid w:val="00D95806"/>
    <w:rsid w:val="00D95950"/>
    <w:rsid w:val="00D968B4"/>
    <w:rsid w:val="00D96CBB"/>
    <w:rsid w:val="00D96E41"/>
    <w:rsid w:val="00D97435"/>
    <w:rsid w:val="00D9795A"/>
    <w:rsid w:val="00D97ADC"/>
    <w:rsid w:val="00DA0335"/>
    <w:rsid w:val="00DA0A65"/>
    <w:rsid w:val="00DA1B75"/>
    <w:rsid w:val="00DA1BC6"/>
    <w:rsid w:val="00DA24C6"/>
    <w:rsid w:val="00DA250D"/>
    <w:rsid w:val="00DA253F"/>
    <w:rsid w:val="00DA2AA1"/>
    <w:rsid w:val="00DA32AE"/>
    <w:rsid w:val="00DA34B4"/>
    <w:rsid w:val="00DA3913"/>
    <w:rsid w:val="00DA39DA"/>
    <w:rsid w:val="00DA3EA0"/>
    <w:rsid w:val="00DA52A4"/>
    <w:rsid w:val="00DA52F2"/>
    <w:rsid w:val="00DA54A9"/>
    <w:rsid w:val="00DA587A"/>
    <w:rsid w:val="00DA58DE"/>
    <w:rsid w:val="00DA5AFF"/>
    <w:rsid w:val="00DA5DA5"/>
    <w:rsid w:val="00DA68D5"/>
    <w:rsid w:val="00DA6EA2"/>
    <w:rsid w:val="00DA6F74"/>
    <w:rsid w:val="00DA6FAF"/>
    <w:rsid w:val="00DA70E5"/>
    <w:rsid w:val="00DA7209"/>
    <w:rsid w:val="00DA73BA"/>
    <w:rsid w:val="00DA73ED"/>
    <w:rsid w:val="00DA7525"/>
    <w:rsid w:val="00DA7C3D"/>
    <w:rsid w:val="00DB0DC0"/>
    <w:rsid w:val="00DB0E6A"/>
    <w:rsid w:val="00DB0E70"/>
    <w:rsid w:val="00DB0F78"/>
    <w:rsid w:val="00DB1083"/>
    <w:rsid w:val="00DB1411"/>
    <w:rsid w:val="00DB14F1"/>
    <w:rsid w:val="00DB179A"/>
    <w:rsid w:val="00DB1BD4"/>
    <w:rsid w:val="00DB1D9B"/>
    <w:rsid w:val="00DB1FB2"/>
    <w:rsid w:val="00DB22CD"/>
    <w:rsid w:val="00DB27B0"/>
    <w:rsid w:val="00DB2904"/>
    <w:rsid w:val="00DB2D33"/>
    <w:rsid w:val="00DB2DB3"/>
    <w:rsid w:val="00DB2F94"/>
    <w:rsid w:val="00DB301C"/>
    <w:rsid w:val="00DB34BD"/>
    <w:rsid w:val="00DB47C8"/>
    <w:rsid w:val="00DB483F"/>
    <w:rsid w:val="00DB49F1"/>
    <w:rsid w:val="00DB4AEC"/>
    <w:rsid w:val="00DB4E68"/>
    <w:rsid w:val="00DB4EA0"/>
    <w:rsid w:val="00DB53F0"/>
    <w:rsid w:val="00DB5886"/>
    <w:rsid w:val="00DB5B38"/>
    <w:rsid w:val="00DB5CDE"/>
    <w:rsid w:val="00DB606B"/>
    <w:rsid w:val="00DB618F"/>
    <w:rsid w:val="00DB6662"/>
    <w:rsid w:val="00DB6921"/>
    <w:rsid w:val="00DB69EB"/>
    <w:rsid w:val="00DB6A4E"/>
    <w:rsid w:val="00DB6BBD"/>
    <w:rsid w:val="00DB7001"/>
    <w:rsid w:val="00DB7543"/>
    <w:rsid w:val="00DB7621"/>
    <w:rsid w:val="00DB78B1"/>
    <w:rsid w:val="00DB7ADF"/>
    <w:rsid w:val="00DB7C3D"/>
    <w:rsid w:val="00DC05AA"/>
    <w:rsid w:val="00DC062F"/>
    <w:rsid w:val="00DC0F55"/>
    <w:rsid w:val="00DC100D"/>
    <w:rsid w:val="00DC150F"/>
    <w:rsid w:val="00DC159C"/>
    <w:rsid w:val="00DC15AC"/>
    <w:rsid w:val="00DC16E1"/>
    <w:rsid w:val="00DC2137"/>
    <w:rsid w:val="00DC2823"/>
    <w:rsid w:val="00DC2A8C"/>
    <w:rsid w:val="00DC2BE5"/>
    <w:rsid w:val="00DC2ED9"/>
    <w:rsid w:val="00DC2F62"/>
    <w:rsid w:val="00DC30C1"/>
    <w:rsid w:val="00DC312E"/>
    <w:rsid w:val="00DC3450"/>
    <w:rsid w:val="00DC3494"/>
    <w:rsid w:val="00DC3508"/>
    <w:rsid w:val="00DC35CC"/>
    <w:rsid w:val="00DC39DE"/>
    <w:rsid w:val="00DC3B87"/>
    <w:rsid w:val="00DC3F44"/>
    <w:rsid w:val="00DC48E3"/>
    <w:rsid w:val="00DC5579"/>
    <w:rsid w:val="00DC55B6"/>
    <w:rsid w:val="00DC5ADD"/>
    <w:rsid w:val="00DC5C4D"/>
    <w:rsid w:val="00DC6C4E"/>
    <w:rsid w:val="00DC7365"/>
    <w:rsid w:val="00DC772C"/>
    <w:rsid w:val="00DC7B2B"/>
    <w:rsid w:val="00DC7EED"/>
    <w:rsid w:val="00DD009A"/>
    <w:rsid w:val="00DD019C"/>
    <w:rsid w:val="00DD0A10"/>
    <w:rsid w:val="00DD0A60"/>
    <w:rsid w:val="00DD14EE"/>
    <w:rsid w:val="00DD17FC"/>
    <w:rsid w:val="00DD1989"/>
    <w:rsid w:val="00DD19E6"/>
    <w:rsid w:val="00DD1B33"/>
    <w:rsid w:val="00DD256E"/>
    <w:rsid w:val="00DD2648"/>
    <w:rsid w:val="00DD2C81"/>
    <w:rsid w:val="00DD3367"/>
    <w:rsid w:val="00DD33AF"/>
    <w:rsid w:val="00DD33B1"/>
    <w:rsid w:val="00DD3732"/>
    <w:rsid w:val="00DD3B4A"/>
    <w:rsid w:val="00DD421A"/>
    <w:rsid w:val="00DD427F"/>
    <w:rsid w:val="00DD43BD"/>
    <w:rsid w:val="00DD49E2"/>
    <w:rsid w:val="00DD49EF"/>
    <w:rsid w:val="00DD4A52"/>
    <w:rsid w:val="00DD4D30"/>
    <w:rsid w:val="00DD50C9"/>
    <w:rsid w:val="00DD51A8"/>
    <w:rsid w:val="00DD5781"/>
    <w:rsid w:val="00DD58A0"/>
    <w:rsid w:val="00DD5CB1"/>
    <w:rsid w:val="00DD5FDB"/>
    <w:rsid w:val="00DD60A4"/>
    <w:rsid w:val="00DD63F2"/>
    <w:rsid w:val="00DD64A9"/>
    <w:rsid w:val="00DD6D02"/>
    <w:rsid w:val="00DD6D76"/>
    <w:rsid w:val="00DD7298"/>
    <w:rsid w:val="00DD7761"/>
    <w:rsid w:val="00DD780F"/>
    <w:rsid w:val="00DD7A0F"/>
    <w:rsid w:val="00DD7F34"/>
    <w:rsid w:val="00DE0457"/>
    <w:rsid w:val="00DE0633"/>
    <w:rsid w:val="00DE0A91"/>
    <w:rsid w:val="00DE0B5F"/>
    <w:rsid w:val="00DE0C5A"/>
    <w:rsid w:val="00DE0D20"/>
    <w:rsid w:val="00DE116E"/>
    <w:rsid w:val="00DE1536"/>
    <w:rsid w:val="00DE1703"/>
    <w:rsid w:val="00DE1BBC"/>
    <w:rsid w:val="00DE1C3C"/>
    <w:rsid w:val="00DE1D01"/>
    <w:rsid w:val="00DE1D37"/>
    <w:rsid w:val="00DE2344"/>
    <w:rsid w:val="00DE2392"/>
    <w:rsid w:val="00DE23F3"/>
    <w:rsid w:val="00DE2933"/>
    <w:rsid w:val="00DE2A11"/>
    <w:rsid w:val="00DE2EB8"/>
    <w:rsid w:val="00DE2FEC"/>
    <w:rsid w:val="00DE36EF"/>
    <w:rsid w:val="00DE3730"/>
    <w:rsid w:val="00DE3A5E"/>
    <w:rsid w:val="00DE3D1B"/>
    <w:rsid w:val="00DE3EF8"/>
    <w:rsid w:val="00DE4218"/>
    <w:rsid w:val="00DE4347"/>
    <w:rsid w:val="00DE44FB"/>
    <w:rsid w:val="00DE4521"/>
    <w:rsid w:val="00DE47A7"/>
    <w:rsid w:val="00DE47EC"/>
    <w:rsid w:val="00DE4889"/>
    <w:rsid w:val="00DE50C8"/>
    <w:rsid w:val="00DE50DB"/>
    <w:rsid w:val="00DE5B9D"/>
    <w:rsid w:val="00DE5E4B"/>
    <w:rsid w:val="00DE5FA5"/>
    <w:rsid w:val="00DE6B15"/>
    <w:rsid w:val="00DE6C7D"/>
    <w:rsid w:val="00DE6F86"/>
    <w:rsid w:val="00DE76B2"/>
    <w:rsid w:val="00DE76C3"/>
    <w:rsid w:val="00DE79E8"/>
    <w:rsid w:val="00DE7B73"/>
    <w:rsid w:val="00DF032F"/>
    <w:rsid w:val="00DF08A3"/>
    <w:rsid w:val="00DF0A41"/>
    <w:rsid w:val="00DF106F"/>
    <w:rsid w:val="00DF109A"/>
    <w:rsid w:val="00DF2873"/>
    <w:rsid w:val="00DF2B94"/>
    <w:rsid w:val="00DF2C64"/>
    <w:rsid w:val="00DF3013"/>
    <w:rsid w:val="00DF3125"/>
    <w:rsid w:val="00DF3391"/>
    <w:rsid w:val="00DF3529"/>
    <w:rsid w:val="00DF3AE1"/>
    <w:rsid w:val="00DF3D3C"/>
    <w:rsid w:val="00DF4230"/>
    <w:rsid w:val="00DF450B"/>
    <w:rsid w:val="00DF4B3C"/>
    <w:rsid w:val="00DF4F1B"/>
    <w:rsid w:val="00DF5BE8"/>
    <w:rsid w:val="00DF5EBF"/>
    <w:rsid w:val="00DF6138"/>
    <w:rsid w:val="00DF6238"/>
    <w:rsid w:val="00DF631B"/>
    <w:rsid w:val="00DF63B4"/>
    <w:rsid w:val="00DF65A8"/>
    <w:rsid w:val="00DF66F7"/>
    <w:rsid w:val="00DF6BD9"/>
    <w:rsid w:val="00DF6C0C"/>
    <w:rsid w:val="00DF7348"/>
    <w:rsid w:val="00DF769F"/>
    <w:rsid w:val="00DF774F"/>
    <w:rsid w:val="00DF7A3A"/>
    <w:rsid w:val="00DF7EE9"/>
    <w:rsid w:val="00E000EC"/>
    <w:rsid w:val="00E0072F"/>
    <w:rsid w:val="00E00C35"/>
    <w:rsid w:val="00E00E21"/>
    <w:rsid w:val="00E01097"/>
    <w:rsid w:val="00E011D0"/>
    <w:rsid w:val="00E01353"/>
    <w:rsid w:val="00E01C6E"/>
    <w:rsid w:val="00E01E87"/>
    <w:rsid w:val="00E01F99"/>
    <w:rsid w:val="00E02121"/>
    <w:rsid w:val="00E0291A"/>
    <w:rsid w:val="00E02B52"/>
    <w:rsid w:val="00E02CC2"/>
    <w:rsid w:val="00E03A4F"/>
    <w:rsid w:val="00E03D12"/>
    <w:rsid w:val="00E03DDF"/>
    <w:rsid w:val="00E03E22"/>
    <w:rsid w:val="00E042BA"/>
    <w:rsid w:val="00E04BF8"/>
    <w:rsid w:val="00E0510E"/>
    <w:rsid w:val="00E05D47"/>
    <w:rsid w:val="00E05DD8"/>
    <w:rsid w:val="00E061C6"/>
    <w:rsid w:val="00E06AA5"/>
    <w:rsid w:val="00E06AB2"/>
    <w:rsid w:val="00E06DF8"/>
    <w:rsid w:val="00E06FF8"/>
    <w:rsid w:val="00E07312"/>
    <w:rsid w:val="00E075D1"/>
    <w:rsid w:val="00E104E9"/>
    <w:rsid w:val="00E1079A"/>
    <w:rsid w:val="00E10ADC"/>
    <w:rsid w:val="00E10C87"/>
    <w:rsid w:val="00E10E25"/>
    <w:rsid w:val="00E10F5E"/>
    <w:rsid w:val="00E1124E"/>
    <w:rsid w:val="00E11584"/>
    <w:rsid w:val="00E11B4F"/>
    <w:rsid w:val="00E11B86"/>
    <w:rsid w:val="00E120DE"/>
    <w:rsid w:val="00E13682"/>
    <w:rsid w:val="00E1418D"/>
    <w:rsid w:val="00E14614"/>
    <w:rsid w:val="00E14C87"/>
    <w:rsid w:val="00E14D70"/>
    <w:rsid w:val="00E14DDE"/>
    <w:rsid w:val="00E14FEC"/>
    <w:rsid w:val="00E15797"/>
    <w:rsid w:val="00E160D6"/>
    <w:rsid w:val="00E16807"/>
    <w:rsid w:val="00E16A4E"/>
    <w:rsid w:val="00E16B7A"/>
    <w:rsid w:val="00E2034D"/>
    <w:rsid w:val="00E206A5"/>
    <w:rsid w:val="00E2071A"/>
    <w:rsid w:val="00E20F5B"/>
    <w:rsid w:val="00E2113A"/>
    <w:rsid w:val="00E21340"/>
    <w:rsid w:val="00E21371"/>
    <w:rsid w:val="00E2180C"/>
    <w:rsid w:val="00E2325A"/>
    <w:rsid w:val="00E235F7"/>
    <w:rsid w:val="00E238AD"/>
    <w:rsid w:val="00E23C79"/>
    <w:rsid w:val="00E240C2"/>
    <w:rsid w:val="00E245E1"/>
    <w:rsid w:val="00E25101"/>
    <w:rsid w:val="00E253F6"/>
    <w:rsid w:val="00E25402"/>
    <w:rsid w:val="00E254BF"/>
    <w:rsid w:val="00E25591"/>
    <w:rsid w:val="00E25F6E"/>
    <w:rsid w:val="00E25F94"/>
    <w:rsid w:val="00E26A49"/>
    <w:rsid w:val="00E26C4F"/>
    <w:rsid w:val="00E26FF5"/>
    <w:rsid w:val="00E27341"/>
    <w:rsid w:val="00E273FA"/>
    <w:rsid w:val="00E27941"/>
    <w:rsid w:val="00E27F1D"/>
    <w:rsid w:val="00E30157"/>
    <w:rsid w:val="00E307A1"/>
    <w:rsid w:val="00E307F1"/>
    <w:rsid w:val="00E30DDE"/>
    <w:rsid w:val="00E310AD"/>
    <w:rsid w:val="00E314D1"/>
    <w:rsid w:val="00E31794"/>
    <w:rsid w:val="00E3192C"/>
    <w:rsid w:val="00E31ACC"/>
    <w:rsid w:val="00E31E26"/>
    <w:rsid w:val="00E321ED"/>
    <w:rsid w:val="00E327C2"/>
    <w:rsid w:val="00E3291F"/>
    <w:rsid w:val="00E32950"/>
    <w:rsid w:val="00E33209"/>
    <w:rsid w:val="00E3399D"/>
    <w:rsid w:val="00E343F9"/>
    <w:rsid w:val="00E34C7D"/>
    <w:rsid w:val="00E34E04"/>
    <w:rsid w:val="00E353F2"/>
    <w:rsid w:val="00E35474"/>
    <w:rsid w:val="00E354BC"/>
    <w:rsid w:val="00E3576C"/>
    <w:rsid w:val="00E35BBF"/>
    <w:rsid w:val="00E35DAC"/>
    <w:rsid w:val="00E36BD9"/>
    <w:rsid w:val="00E36C17"/>
    <w:rsid w:val="00E37014"/>
    <w:rsid w:val="00E379BD"/>
    <w:rsid w:val="00E37D33"/>
    <w:rsid w:val="00E4055F"/>
    <w:rsid w:val="00E40977"/>
    <w:rsid w:val="00E409E2"/>
    <w:rsid w:val="00E4110B"/>
    <w:rsid w:val="00E41629"/>
    <w:rsid w:val="00E41779"/>
    <w:rsid w:val="00E42335"/>
    <w:rsid w:val="00E42994"/>
    <w:rsid w:val="00E42A17"/>
    <w:rsid w:val="00E42A8A"/>
    <w:rsid w:val="00E4306F"/>
    <w:rsid w:val="00E43196"/>
    <w:rsid w:val="00E437E5"/>
    <w:rsid w:val="00E43813"/>
    <w:rsid w:val="00E441DC"/>
    <w:rsid w:val="00E444AA"/>
    <w:rsid w:val="00E44544"/>
    <w:rsid w:val="00E445D5"/>
    <w:rsid w:val="00E44BD0"/>
    <w:rsid w:val="00E454E9"/>
    <w:rsid w:val="00E455FC"/>
    <w:rsid w:val="00E45A95"/>
    <w:rsid w:val="00E45B1F"/>
    <w:rsid w:val="00E4639A"/>
    <w:rsid w:val="00E46BF2"/>
    <w:rsid w:val="00E47000"/>
    <w:rsid w:val="00E471B5"/>
    <w:rsid w:val="00E472EB"/>
    <w:rsid w:val="00E47B23"/>
    <w:rsid w:val="00E47B31"/>
    <w:rsid w:val="00E47BAC"/>
    <w:rsid w:val="00E50595"/>
    <w:rsid w:val="00E506DB"/>
    <w:rsid w:val="00E50886"/>
    <w:rsid w:val="00E50C6D"/>
    <w:rsid w:val="00E512E1"/>
    <w:rsid w:val="00E513E7"/>
    <w:rsid w:val="00E51681"/>
    <w:rsid w:val="00E5200E"/>
    <w:rsid w:val="00E525DE"/>
    <w:rsid w:val="00E52742"/>
    <w:rsid w:val="00E52A20"/>
    <w:rsid w:val="00E52D4A"/>
    <w:rsid w:val="00E530DF"/>
    <w:rsid w:val="00E5336E"/>
    <w:rsid w:val="00E5396F"/>
    <w:rsid w:val="00E53F9E"/>
    <w:rsid w:val="00E543BC"/>
    <w:rsid w:val="00E54662"/>
    <w:rsid w:val="00E54C03"/>
    <w:rsid w:val="00E54EFC"/>
    <w:rsid w:val="00E54F60"/>
    <w:rsid w:val="00E551F6"/>
    <w:rsid w:val="00E552B2"/>
    <w:rsid w:val="00E5596C"/>
    <w:rsid w:val="00E564FD"/>
    <w:rsid w:val="00E565EC"/>
    <w:rsid w:val="00E56D57"/>
    <w:rsid w:val="00E56FFF"/>
    <w:rsid w:val="00E5792E"/>
    <w:rsid w:val="00E57A36"/>
    <w:rsid w:val="00E57CA4"/>
    <w:rsid w:val="00E600B2"/>
    <w:rsid w:val="00E60259"/>
    <w:rsid w:val="00E60486"/>
    <w:rsid w:val="00E6095D"/>
    <w:rsid w:val="00E60BDE"/>
    <w:rsid w:val="00E60E9D"/>
    <w:rsid w:val="00E6116F"/>
    <w:rsid w:val="00E61789"/>
    <w:rsid w:val="00E61905"/>
    <w:rsid w:val="00E619C6"/>
    <w:rsid w:val="00E61D02"/>
    <w:rsid w:val="00E62150"/>
    <w:rsid w:val="00E622DF"/>
    <w:rsid w:val="00E622FF"/>
    <w:rsid w:val="00E624F5"/>
    <w:rsid w:val="00E626D0"/>
    <w:rsid w:val="00E626E8"/>
    <w:rsid w:val="00E62A8D"/>
    <w:rsid w:val="00E631EE"/>
    <w:rsid w:val="00E6323E"/>
    <w:rsid w:val="00E63472"/>
    <w:rsid w:val="00E63988"/>
    <w:rsid w:val="00E63D41"/>
    <w:rsid w:val="00E63D97"/>
    <w:rsid w:val="00E63FF8"/>
    <w:rsid w:val="00E64051"/>
    <w:rsid w:val="00E64B10"/>
    <w:rsid w:val="00E64DF5"/>
    <w:rsid w:val="00E651EB"/>
    <w:rsid w:val="00E65769"/>
    <w:rsid w:val="00E657B7"/>
    <w:rsid w:val="00E65892"/>
    <w:rsid w:val="00E65AB8"/>
    <w:rsid w:val="00E65BE6"/>
    <w:rsid w:val="00E65CFF"/>
    <w:rsid w:val="00E660A7"/>
    <w:rsid w:val="00E6614B"/>
    <w:rsid w:val="00E66675"/>
    <w:rsid w:val="00E6684B"/>
    <w:rsid w:val="00E66928"/>
    <w:rsid w:val="00E66B09"/>
    <w:rsid w:val="00E6724B"/>
    <w:rsid w:val="00E67918"/>
    <w:rsid w:val="00E67CF0"/>
    <w:rsid w:val="00E7041B"/>
    <w:rsid w:val="00E70622"/>
    <w:rsid w:val="00E70A1C"/>
    <w:rsid w:val="00E70D34"/>
    <w:rsid w:val="00E70DCC"/>
    <w:rsid w:val="00E70F6D"/>
    <w:rsid w:val="00E70FE7"/>
    <w:rsid w:val="00E71596"/>
    <w:rsid w:val="00E71684"/>
    <w:rsid w:val="00E7182F"/>
    <w:rsid w:val="00E71BB4"/>
    <w:rsid w:val="00E7255D"/>
    <w:rsid w:val="00E72F72"/>
    <w:rsid w:val="00E72F9A"/>
    <w:rsid w:val="00E73B48"/>
    <w:rsid w:val="00E74295"/>
    <w:rsid w:val="00E743AB"/>
    <w:rsid w:val="00E743C8"/>
    <w:rsid w:val="00E74881"/>
    <w:rsid w:val="00E74ECD"/>
    <w:rsid w:val="00E75290"/>
    <w:rsid w:val="00E759BC"/>
    <w:rsid w:val="00E75A18"/>
    <w:rsid w:val="00E75DF3"/>
    <w:rsid w:val="00E76006"/>
    <w:rsid w:val="00E76050"/>
    <w:rsid w:val="00E76156"/>
    <w:rsid w:val="00E769C1"/>
    <w:rsid w:val="00E77160"/>
    <w:rsid w:val="00E772CA"/>
    <w:rsid w:val="00E775F5"/>
    <w:rsid w:val="00E77748"/>
    <w:rsid w:val="00E778FD"/>
    <w:rsid w:val="00E77B34"/>
    <w:rsid w:val="00E77BC0"/>
    <w:rsid w:val="00E77F99"/>
    <w:rsid w:val="00E80261"/>
    <w:rsid w:val="00E80A7C"/>
    <w:rsid w:val="00E80B31"/>
    <w:rsid w:val="00E80C56"/>
    <w:rsid w:val="00E8115B"/>
    <w:rsid w:val="00E8167C"/>
    <w:rsid w:val="00E81AEF"/>
    <w:rsid w:val="00E81B58"/>
    <w:rsid w:val="00E8282C"/>
    <w:rsid w:val="00E83359"/>
    <w:rsid w:val="00E839A5"/>
    <w:rsid w:val="00E83AA9"/>
    <w:rsid w:val="00E83FD8"/>
    <w:rsid w:val="00E84267"/>
    <w:rsid w:val="00E845B3"/>
    <w:rsid w:val="00E84D99"/>
    <w:rsid w:val="00E84EFF"/>
    <w:rsid w:val="00E8507D"/>
    <w:rsid w:val="00E85441"/>
    <w:rsid w:val="00E85612"/>
    <w:rsid w:val="00E85963"/>
    <w:rsid w:val="00E85F5D"/>
    <w:rsid w:val="00E863AF"/>
    <w:rsid w:val="00E86707"/>
    <w:rsid w:val="00E867F5"/>
    <w:rsid w:val="00E86A21"/>
    <w:rsid w:val="00E86D75"/>
    <w:rsid w:val="00E87F7B"/>
    <w:rsid w:val="00E901B6"/>
    <w:rsid w:val="00E903B3"/>
    <w:rsid w:val="00E904D1"/>
    <w:rsid w:val="00E90956"/>
    <w:rsid w:val="00E90AF0"/>
    <w:rsid w:val="00E90E02"/>
    <w:rsid w:val="00E911DB"/>
    <w:rsid w:val="00E913F4"/>
    <w:rsid w:val="00E91AA3"/>
    <w:rsid w:val="00E91E42"/>
    <w:rsid w:val="00E91EC5"/>
    <w:rsid w:val="00E92054"/>
    <w:rsid w:val="00E92097"/>
    <w:rsid w:val="00E92111"/>
    <w:rsid w:val="00E92AB2"/>
    <w:rsid w:val="00E9369A"/>
    <w:rsid w:val="00E9387F"/>
    <w:rsid w:val="00E93945"/>
    <w:rsid w:val="00E939F5"/>
    <w:rsid w:val="00E93CC4"/>
    <w:rsid w:val="00E93F75"/>
    <w:rsid w:val="00E94049"/>
    <w:rsid w:val="00E944CA"/>
    <w:rsid w:val="00E948BD"/>
    <w:rsid w:val="00E9530A"/>
    <w:rsid w:val="00E95E34"/>
    <w:rsid w:val="00E95F6F"/>
    <w:rsid w:val="00E960A7"/>
    <w:rsid w:val="00E961F1"/>
    <w:rsid w:val="00E96C96"/>
    <w:rsid w:val="00E972C7"/>
    <w:rsid w:val="00E97875"/>
    <w:rsid w:val="00E979BF"/>
    <w:rsid w:val="00E97C3B"/>
    <w:rsid w:val="00E97D88"/>
    <w:rsid w:val="00EA058F"/>
    <w:rsid w:val="00EA066B"/>
    <w:rsid w:val="00EA08C6"/>
    <w:rsid w:val="00EA0A92"/>
    <w:rsid w:val="00EA0BFB"/>
    <w:rsid w:val="00EA0DE1"/>
    <w:rsid w:val="00EA1644"/>
    <w:rsid w:val="00EA17F9"/>
    <w:rsid w:val="00EA1A8B"/>
    <w:rsid w:val="00EA2106"/>
    <w:rsid w:val="00EA33A3"/>
    <w:rsid w:val="00EA3679"/>
    <w:rsid w:val="00EA3887"/>
    <w:rsid w:val="00EA4088"/>
    <w:rsid w:val="00EA447A"/>
    <w:rsid w:val="00EA468A"/>
    <w:rsid w:val="00EA4F83"/>
    <w:rsid w:val="00EA525C"/>
    <w:rsid w:val="00EA53A3"/>
    <w:rsid w:val="00EA5563"/>
    <w:rsid w:val="00EA62BB"/>
    <w:rsid w:val="00EA7341"/>
    <w:rsid w:val="00EA7842"/>
    <w:rsid w:val="00EA7A71"/>
    <w:rsid w:val="00EA7CC1"/>
    <w:rsid w:val="00EA7F39"/>
    <w:rsid w:val="00EB0A85"/>
    <w:rsid w:val="00EB0C91"/>
    <w:rsid w:val="00EB0CC9"/>
    <w:rsid w:val="00EB1039"/>
    <w:rsid w:val="00EB151C"/>
    <w:rsid w:val="00EB1666"/>
    <w:rsid w:val="00EB1788"/>
    <w:rsid w:val="00EB1870"/>
    <w:rsid w:val="00EB1BA5"/>
    <w:rsid w:val="00EB1CA9"/>
    <w:rsid w:val="00EB28B4"/>
    <w:rsid w:val="00EB29F1"/>
    <w:rsid w:val="00EB3520"/>
    <w:rsid w:val="00EB3EB5"/>
    <w:rsid w:val="00EB3F91"/>
    <w:rsid w:val="00EB40D6"/>
    <w:rsid w:val="00EB4352"/>
    <w:rsid w:val="00EB54E0"/>
    <w:rsid w:val="00EB5829"/>
    <w:rsid w:val="00EB6183"/>
    <w:rsid w:val="00EB6B08"/>
    <w:rsid w:val="00EB6D14"/>
    <w:rsid w:val="00EB6F6B"/>
    <w:rsid w:val="00EB73A3"/>
    <w:rsid w:val="00EB7423"/>
    <w:rsid w:val="00EB76F5"/>
    <w:rsid w:val="00EB774C"/>
    <w:rsid w:val="00EB778F"/>
    <w:rsid w:val="00EB7E99"/>
    <w:rsid w:val="00EC020A"/>
    <w:rsid w:val="00EC0544"/>
    <w:rsid w:val="00EC0816"/>
    <w:rsid w:val="00EC094B"/>
    <w:rsid w:val="00EC0CD0"/>
    <w:rsid w:val="00EC0EB7"/>
    <w:rsid w:val="00EC1A49"/>
    <w:rsid w:val="00EC1A4F"/>
    <w:rsid w:val="00EC1E72"/>
    <w:rsid w:val="00EC2554"/>
    <w:rsid w:val="00EC2929"/>
    <w:rsid w:val="00EC2ACF"/>
    <w:rsid w:val="00EC2E68"/>
    <w:rsid w:val="00EC2FC2"/>
    <w:rsid w:val="00EC39B8"/>
    <w:rsid w:val="00EC4086"/>
    <w:rsid w:val="00EC5492"/>
    <w:rsid w:val="00EC56BC"/>
    <w:rsid w:val="00EC591E"/>
    <w:rsid w:val="00EC5A6D"/>
    <w:rsid w:val="00EC5B9D"/>
    <w:rsid w:val="00EC5D61"/>
    <w:rsid w:val="00EC5FB6"/>
    <w:rsid w:val="00EC60AF"/>
    <w:rsid w:val="00EC626C"/>
    <w:rsid w:val="00EC626F"/>
    <w:rsid w:val="00EC64EA"/>
    <w:rsid w:val="00EC6AD0"/>
    <w:rsid w:val="00EC6C1C"/>
    <w:rsid w:val="00EC6DBF"/>
    <w:rsid w:val="00EC6F75"/>
    <w:rsid w:val="00EC73EF"/>
    <w:rsid w:val="00EC74F9"/>
    <w:rsid w:val="00EC7900"/>
    <w:rsid w:val="00EC7F41"/>
    <w:rsid w:val="00ED0FEB"/>
    <w:rsid w:val="00ED1024"/>
    <w:rsid w:val="00ED1426"/>
    <w:rsid w:val="00ED19C4"/>
    <w:rsid w:val="00ED2028"/>
    <w:rsid w:val="00ED2AFB"/>
    <w:rsid w:val="00ED2E47"/>
    <w:rsid w:val="00ED2E81"/>
    <w:rsid w:val="00ED2E9F"/>
    <w:rsid w:val="00ED3452"/>
    <w:rsid w:val="00ED395B"/>
    <w:rsid w:val="00ED3A60"/>
    <w:rsid w:val="00ED4063"/>
    <w:rsid w:val="00ED4175"/>
    <w:rsid w:val="00ED4252"/>
    <w:rsid w:val="00ED43E5"/>
    <w:rsid w:val="00ED454F"/>
    <w:rsid w:val="00ED4822"/>
    <w:rsid w:val="00ED4923"/>
    <w:rsid w:val="00ED51D4"/>
    <w:rsid w:val="00ED537F"/>
    <w:rsid w:val="00ED53A1"/>
    <w:rsid w:val="00ED56A7"/>
    <w:rsid w:val="00ED5CE2"/>
    <w:rsid w:val="00ED6072"/>
    <w:rsid w:val="00ED6AD3"/>
    <w:rsid w:val="00ED6B3C"/>
    <w:rsid w:val="00ED6C3A"/>
    <w:rsid w:val="00ED6E3D"/>
    <w:rsid w:val="00ED6F98"/>
    <w:rsid w:val="00ED785B"/>
    <w:rsid w:val="00ED7D7F"/>
    <w:rsid w:val="00EE0403"/>
    <w:rsid w:val="00EE081C"/>
    <w:rsid w:val="00EE0BEF"/>
    <w:rsid w:val="00EE1295"/>
    <w:rsid w:val="00EE1807"/>
    <w:rsid w:val="00EE1A3D"/>
    <w:rsid w:val="00EE1C9F"/>
    <w:rsid w:val="00EE26A0"/>
    <w:rsid w:val="00EE2716"/>
    <w:rsid w:val="00EE2921"/>
    <w:rsid w:val="00EE2DD2"/>
    <w:rsid w:val="00EE2F49"/>
    <w:rsid w:val="00EE2FA9"/>
    <w:rsid w:val="00EE303C"/>
    <w:rsid w:val="00EE30D1"/>
    <w:rsid w:val="00EE3251"/>
    <w:rsid w:val="00EE3294"/>
    <w:rsid w:val="00EE3383"/>
    <w:rsid w:val="00EE3876"/>
    <w:rsid w:val="00EE3B08"/>
    <w:rsid w:val="00EE408E"/>
    <w:rsid w:val="00EE4129"/>
    <w:rsid w:val="00EE442C"/>
    <w:rsid w:val="00EE46DD"/>
    <w:rsid w:val="00EE4903"/>
    <w:rsid w:val="00EE5612"/>
    <w:rsid w:val="00EE5A74"/>
    <w:rsid w:val="00EE636E"/>
    <w:rsid w:val="00EE648C"/>
    <w:rsid w:val="00EE669F"/>
    <w:rsid w:val="00EE6BD8"/>
    <w:rsid w:val="00EE7134"/>
    <w:rsid w:val="00EE73C5"/>
    <w:rsid w:val="00EE7603"/>
    <w:rsid w:val="00EE766D"/>
    <w:rsid w:val="00EE7687"/>
    <w:rsid w:val="00EE78B4"/>
    <w:rsid w:val="00EE79E5"/>
    <w:rsid w:val="00EF00D4"/>
    <w:rsid w:val="00EF0B64"/>
    <w:rsid w:val="00EF1123"/>
    <w:rsid w:val="00EF192D"/>
    <w:rsid w:val="00EF2EC9"/>
    <w:rsid w:val="00EF3245"/>
    <w:rsid w:val="00EF3B8C"/>
    <w:rsid w:val="00EF40DC"/>
    <w:rsid w:val="00EF41E1"/>
    <w:rsid w:val="00EF44AF"/>
    <w:rsid w:val="00EF4699"/>
    <w:rsid w:val="00EF477B"/>
    <w:rsid w:val="00EF5009"/>
    <w:rsid w:val="00EF51A2"/>
    <w:rsid w:val="00EF51B3"/>
    <w:rsid w:val="00EF58CF"/>
    <w:rsid w:val="00EF5C2F"/>
    <w:rsid w:val="00EF6421"/>
    <w:rsid w:val="00EF6476"/>
    <w:rsid w:val="00EF6605"/>
    <w:rsid w:val="00EF6C9F"/>
    <w:rsid w:val="00EF6D51"/>
    <w:rsid w:val="00EF6ED6"/>
    <w:rsid w:val="00EF6F81"/>
    <w:rsid w:val="00EF7344"/>
    <w:rsid w:val="00EF7966"/>
    <w:rsid w:val="00EF7D24"/>
    <w:rsid w:val="00F001C2"/>
    <w:rsid w:val="00F002CC"/>
    <w:rsid w:val="00F00748"/>
    <w:rsid w:val="00F00826"/>
    <w:rsid w:val="00F00EC4"/>
    <w:rsid w:val="00F00FFC"/>
    <w:rsid w:val="00F018CD"/>
    <w:rsid w:val="00F02275"/>
    <w:rsid w:val="00F0247D"/>
    <w:rsid w:val="00F0259A"/>
    <w:rsid w:val="00F02A08"/>
    <w:rsid w:val="00F02CE0"/>
    <w:rsid w:val="00F02FC6"/>
    <w:rsid w:val="00F031E8"/>
    <w:rsid w:val="00F03455"/>
    <w:rsid w:val="00F03555"/>
    <w:rsid w:val="00F036B1"/>
    <w:rsid w:val="00F04010"/>
    <w:rsid w:val="00F04217"/>
    <w:rsid w:val="00F04289"/>
    <w:rsid w:val="00F04DA1"/>
    <w:rsid w:val="00F051B6"/>
    <w:rsid w:val="00F05292"/>
    <w:rsid w:val="00F054E5"/>
    <w:rsid w:val="00F054ED"/>
    <w:rsid w:val="00F05CA0"/>
    <w:rsid w:val="00F0615A"/>
    <w:rsid w:val="00F06232"/>
    <w:rsid w:val="00F06371"/>
    <w:rsid w:val="00F06C8E"/>
    <w:rsid w:val="00F06F73"/>
    <w:rsid w:val="00F07072"/>
    <w:rsid w:val="00F0734C"/>
    <w:rsid w:val="00F076C1"/>
    <w:rsid w:val="00F07C7C"/>
    <w:rsid w:val="00F07FFE"/>
    <w:rsid w:val="00F108C0"/>
    <w:rsid w:val="00F10A2A"/>
    <w:rsid w:val="00F10DD2"/>
    <w:rsid w:val="00F11063"/>
    <w:rsid w:val="00F1114D"/>
    <w:rsid w:val="00F114FA"/>
    <w:rsid w:val="00F1150E"/>
    <w:rsid w:val="00F11607"/>
    <w:rsid w:val="00F11C0E"/>
    <w:rsid w:val="00F12538"/>
    <w:rsid w:val="00F12641"/>
    <w:rsid w:val="00F1267C"/>
    <w:rsid w:val="00F12CD4"/>
    <w:rsid w:val="00F1351F"/>
    <w:rsid w:val="00F13D69"/>
    <w:rsid w:val="00F14033"/>
    <w:rsid w:val="00F1409B"/>
    <w:rsid w:val="00F14116"/>
    <w:rsid w:val="00F14340"/>
    <w:rsid w:val="00F146F7"/>
    <w:rsid w:val="00F147BF"/>
    <w:rsid w:val="00F14A8D"/>
    <w:rsid w:val="00F14F5A"/>
    <w:rsid w:val="00F151E5"/>
    <w:rsid w:val="00F15320"/>
    <w:rsid w:val="00F15439"/>
    <w:rsid w:val="00F1591D"/>
    <w:rsid w:val="00F15A65"/>
    <w:rsid w:val="00F15ECB"/>
    <w:rsid w:val="00F16145"/>
    <w:rsid w:val="00F1634E"/>
    <w:rsid w:val="00F16411"/>
    <w:rsid w:val="00F164FC"/>
    <w:rsid w:val="00F16670"/>
    <w:rsid w:val="00F168AB"/>
    <w:rsid w:val="00F16A7E"/>
    <w:rsid w:val="00F16EC7"/>
    <w:rsid w:val="00F16F8B"/>
    <w:rsid w:val="00F17170"/>
    <w:rsid w:val="00F174E4"/>
    <w:rsid w:val="00F176D2"/>
    <w:rsid w:val="00F17A4A"/>
    <w:rsid w:val="00F17FF8"/>
    <w:rsid w:val="00F2007B"/>
    <w:rsid w:val="00F205EF"/>
    <w:rsid w:val="00F207BD"/>
    <w:rsid w:val="00F208B4"/>
    <w:rsid w:val="00F20BEB"/>
    <w:rsid w:val="00F20C6E"/>
    <w:rsid w:val="00F212AC"/>
    <w:rsid w:val="00F215DD"/>
    <w:rsid w:val="00F21EC6"/>
    <w:rsid w:val="00F21F45"/>
    <w:rsid w:val="00F22067"/>
    <w:rsid w:val="00F225FB"/>
    <w:rsid w:val="00F229D3"/>
    <w:rsid w:val="00F22F46"/>
    <w:rsid w:val="00F22FA5"/>
    <w:rsid w:val="00F2379C"/>
    <w:rsid w:val="00F23ED6"/>
    <w:rsid w:val="00F24A4D"/>
    <w:rsid w:val="00F24E32"/>
    <w:rsid w:val="00F25971"/>
    <w:rsid w:val="00F25F35"/>
    <w:rsid w:val="00F263BD"/>
    <w:rsid w:val="00F265D4"/>
    <w:rsid w:val="00F26BC7"/>
    <w:rsid w:val="00F26F1D"/>
    <w:rsid w:val="00F271AF"/>
    <w:rsid w:val="00F2753A"/>
    <w:rsid w:val="00F2760B"/>
    <w:rsid w:val="00F278C8"/>
    <w:rsid w:val="00F27C7A"/>
    <w:rsid w:val="00F27F66"/>
    <w:rsid w:val="00F304D5"/>
    <w:rsid w:val="00F3160C"/>
    <w:rsid w:val="00F31BCB"/>
    <w:rsid w:val="00F31E19"/>
    <w:rsid w:val="00F31EE3"/>
    <w:rsid w:val="00F32067"/>
    <w:rsid w:val="00F321C5"/>
    <w:rsid w:val="00F32C46"/>
    <w:rsid w:val="00F33C36"/>
    <w:rsid w:val="00F342C1"/>
    <w:rsid w:val="00F34B05"/>
    <w:rsid w:val="00F34FEA"/>
    <w:rsid w:val="00F3543F"/>
    <w:rsid w:val="00F355DD"/>
    <w:rsid w:val="00F35FC6"/>
    <w:rsid w:val="00F360B8"/>
    <w:rsid w:val="00F360D2"/>
    <w:rsid w:val="00F36263"/>
    <w:rsid w:val="00F363B7"/>
    <w:rsid w:val="00F36708"/>
    <w:rsid w:val="00F3694E"/>
    <w:rsid w:val="00F36BF8"/>
    <w:rsid w:val="00F36E04"/>
    <w:rsid w:val="00F37545"/>
    <w:rsid w:val="00F37694"/>
    <w:rsid w:val="00F37878"/>
    <w:rsid w:val="00F379C0"/>
    <w:rsid w:val="00F37A73"/>
    <w:rsid w:val="00F37D25"/>
    <w:rsid w:val="00F40041"/>
    <w:rsid w:val="00F40868"/>
    <w:rsid w:val="00F40CFE"/>
    <w:rsid w:val="00F40DCF"/>
    <w:rsid w:val="00F41887"/>
    <w:rsid w:val="00F41901"/>
    <w:rsid w:val="00F41A2F"/>
    <w:rsid w:val="00F42189"/>
    <w:rsid w:val="00F42305"/>
    <w:rsid w:val="00F425F9"/>
    <w:rsid w:val="00F429D6"/>
    <w:rsid w:val="00F432CC"/>
    <w:rsid w:val="00F434A7"/>
    <w:rsid w:val="00F43702"/>
    <w:rsid w:val="00F43C84"/>
    <w:rsid w:val="00F4482A"/>
    <w:rsid w:val="00F44B45"/>
    <w:rsid w:val="00F451E7"/>
    <w:rsid w:val="00F454F7"/>
    <w:rsid w:val="00F45808"/>
    <w:rsid w:val="00F45BC8"/>
    <w:rsid w:val="00F46012"/>
    <w:rsid w:val="00F46255"/>
    <w:rsid w:val="00F46258"/>
    <w:rsid w:val="00F463D7"/>
    <w:rsid w:val="00F464BD"/>
    <w:rsid w:val="00F46522"/>
    <w:rsid w:val="00F46689"/>
    <w:rsid w:val="00F468DC"/>
    <w:rsid w:val="00F46D67"/>
    <w:rsid w:val="00F46FBA"/>
    <w:rsid w:val="00F47346"/>
    <w:rsid w:val="00F473DA"/>
    <w:rsid w:val="00F47796"/>
    <w:rsid w:val="00F478CB"/>
    <w:rsid w:val="00F47AA5"/>
    <w:rsid w:val="00F47B79"/>
    <w:rsid w:val="00F50727"/>
    <w:rsid w:val="00F5074B"/>
    <w:rsid w:val="00F509BE"/>
    <w:rsid w:val="00F50FC2"/>
    <w:rsid w:val="00F515CB"/>
    <w:rsid w:val="00F523A4"/>
    <w:rsid w:val="00F52486"/>
    <w:rsid w:val="00F524A7"/>
    <w:rsid w:val="00F52733"/>
    <w:rsid w:val="00F52946"/>
    <w:rsid w:val="00F52A7C"/>
    <w:rsid w:val="00F52B25"/>
    <w:rsid w:val="00F53C07"/>
    <w:rsid w:val="00F544CA"/>
    <w:rsid w:val="00F54877"/>
    <w:rsid w:val="00F5497B"/>
    <w:rsid w:val="00F54B49"/>
    <w:rsid w:val="00F54D26"/>
    <w:rsid w:val="00F54D73"/>
    <w:rsid w:val="00F55323"/>
    <w:rsid w:val="00F55661"/>
    <w:rsid w:val="00F55A97"/>
    <w:rsid w:val="00F55BE2"/>
    <w:rsid w:val="00F56787"/>
    <w:rsid w:val="00F567B5"/>
    <w:rsid w:val="00F567EF"/>
    <w:rsid w:val="00F56A92"/>
    <w:rsid w:val="00F56CD4"/>
    <w:rsid w:val="00F60002"/>
    <w:rsid w:val="00F61980"/>
    <w:rsid w:val="00F623E0"/>
    <w:rsid w:val="00F62592"/>
    <w:rsid w:val="00F62E01"/>
    <w:rsid w:val="00F62E1C"/>
    <w:rsid w:val="00F6368E"/>
    <w:rsid w:val="00F6389B"/>
    <w:rsid w:val="00F638C7"/>
    <w:rsid w:val="00F639F2"/>
    <w:rsid w:val="00F64EFE"/>
    <w:rsid w:val="00F65577"/>
    <w:rsid w:val="00F65585"/>
    <w:rsid w:val="00F656B2"/>
    <w:rsid w:val="00F65CE9"/>
    <w:rsid w:val="00F65DA6"/>
    <w:rsid w:val="00F65F0C"/>
    <w:rsid w:val="00F65FA4"/>
    <w:rsid w:val="00F6645C"/>
    <w:rsid w:val="00F66461"/>
    <w:rsid w:val="00F66726"/>
    <w:rsid w:val="00F676B9"/>
    <w:rsid w:val="00F67D03"/>
    <w:rsid w:val="00F707F8"/>
    <w:rsid w:val="00F714FF"/>
    <w:rsid w:val="00F71983"/>
    <w:rsid w:val="00F72BD0"/>
    <w:rsid w:val="00F737AF"/>
    <w:rsid w:val="00F739B0"/>
    <w:rsid w:val="00F74222"/>
    <w:rsid w:val="00F744E0"/>
    <w:rsid w:val="00F74596"/>
    <w:rsid w:val="00F745A9"/>
    <w:rsid w:val="00F74819"/>
    <w:rsid w:val="00F74847"/>
    <w:rsid w:val="00F74CAE"/>
    <w:rsid w:val="00F74EFB"/>
    <w:rsid w:val="00F758E0"/>
    <w:rsid w:val="00F768BF"/>
    <w:rsid w:val="00F76CD8"/>
    <w:rsid w:val="00F76DF0"/>
    <w:rsid w:val="00F76E85"/>
    <w:rsid w:val="00F772D4"/>
    <w:rsid w:val="00F77CAF"/>
    <w:rsid w:val="00F77CCE"/>
    <w:rsid w:val="00F80642"/>
    <w:rsid w:val="00F80C86"/>
    <w:rsid w:val="00F80F93"/>
    <w:rsid w:val="00F81082"/>
    <w:rsid w:val="00F8113B"/>
    <w:rsid w:val="00F81171"/>
    <w:rsid w:val="00F816D9"/>
    <w:rsid w:val="00F817E3"/>
    <w:rsid w:val="00F81ACA"/>
    <w:rsid w:val="00F81BB2"/>
    <w:rsid w:val="00F81F14"/>
    <w:rsid w:val="00F82562"/>
    <w:rsid w:val="00F82D0E"/>
    <w:rsid w:val="00F82D13"/>
    <w:rsid w:val="00F82D5B"/>
    <w:rsid w:val="00F82E46"/>
    <w:rsid w:val="00F834A1"/>
    <w:rsid w:val="00F838DA"/>
    <w:rsid w:val="00F84EB3"/>
    <w:rsid w:val="00F8511F"/>
    <w:rsid w:val="00F85228"/>
    <w:rsid w:val="00F85A7D"/>
    <w:rsid w:val="00F85FF9"/>
    <w:rsid w:val="00F86366"/>
    <w:rsid w:val="00F8646B"/>
    <w:rsid w:val="00F86670"/>
    <w:rsid w:val="00F8675E"/>
    <w:rsid w:val="00F869E4"/>
    <w:rsid w:val="00F870DB"/>
    <w:rsid w:val="00F874E0"/>
    <w:rsid w:val="00F874E9"/>
    <w:rsid w:val="00F87650"/>
    <w:rsid w:val="00F87A0A"/>
    <w:rsid w:val="00F9035D"/>
    <w:rsid w:val="00F90B3C"/>
    <w:rsid w:val="00F90BF0"/>
    <w:rsid w:val="00F90F85"/>
    <w:rsid w:val="00F90F94"/>
    <w:rsid w:val="00F910CC"/>
    <w:rsid w:val="00F912C0"/>
    <w:rsid w:val="00F91617"/>
    <w:rsid w:val="00F916B7"/>
    <w:rsid w:val="00F919C4"/>
    <w:rsid w:val="00F91E5E"/>
    <w:rsid w:val="00F921FF"/>
    <w:rsid w:val="00F92715"/>
    <w:rsid w:val="00F92D91"/>
    <w:rsid w:val="00F92DB6"/>
    <w:rsid w:val="00F930B4"/>
    <w:rsid w:val="00F936A8"/>
    <w:rsid w:val="00F9384A"/>
    <w:rsid w:val="00F939DE"/>
    <w:rsid w:val="00F93B1B"/>
    <w:rsid w:val="00F9486A"/>
    <w:rsid w:val="00F949B9"/>
    <w:rsid w:val="00F94A9F"/>
    <w:rsid w:val="00F94B65"/>
    <w:rsid w:val="00F94DAE"/>
    <w:rsid w:val="00F94EE9"/>
    <w:rsid w:val="00F95010"/>
    <w:rsid w:val="00F95286"/>
    <w:rsid w:val="00F95CAD"/>
    <w:rsid w:val="00F96E02"/>
    <w:rsid w:val="00F97411"/>
    <w:rsid w:val="00F97581"/>
    <w:rsid w:val="00F9797A"/>
    <w:rsid w:val="00F97F39"/>
    <w:rsid w:val="00FA02DB"/>
    <w:rsid w:val="00FA04CE"/>
    <w:rsid w:val="00FA05AB"/>
    <w:rsid w:val="00FA099C"/>
    <w:rsid w:val="00FA0A6D"/>
    <w:rsid w:val="00FA0C2D"/>
    <w:rsid w:val="00FA0FC3"/>
    <w:rsid w:val="00FA10B9"/>
    <w:rsid w:val="00FA123B"/>
    <w:rsid w:val="00FA1720"/>
    <w:rsid w:val="00FA1A3B"/>
    <w:rsid w:val="00FA1ECA"/>
    <w:rsid w:val="00FA1F5B"/>
    <w:rsid w:val="00FA2193"/>
    <w:rsid w:val="00FA2199"/>
    <w:rsid w:val="00FA2DDF"/>
    <w:rsid w:val="00FA3134"/>
    <w:rsid w:val="00FA339D"/>
    <w:rsid w:val="00FA358A"/>
    <w:rsid w:val="00FA3808"/>
    <w:rsid w:val="00FA4271"/>
    <w:rsid w:val="00FA456F"/>
    <w:rsid w:val="00FA482C"/>
    <w:rsid w:val="00FA4983"/>
    <w:rsid w:val="00FA498E"/>
    <w:rsid w:val="00FA55C6"/>
    <w:rsid w:val="00FA5E2C"/>
    <w:rsid w:val="00FA620D"/>
    <w:rsid w:val="00FA639D"/>
    <w:rsid w:val="00FA67A9"/>
    <w:rsid w:val="00FA68AD"/>
    <w:rsid w:val="00FA69D0"/>
    <w:rsid w:val="00FA719D"/>
    <w:rsid w:val="00FA7A76"/>
    <w:rsid w:val="00FA7BEF"/>
    <w:rsid w:val="00FB0142"/>
    <w:rsid w:val="00FB01BD"/>
    <w:rsid w:val="00FB0289"/>
    <w:rsid w:val="00FB04F3"/>
    <w:rsid w:val="00FB0970"/>
    <w:rsid w:val="00FB0A7D"/>
    <w:rsid w:val="00FB0D46"/>
    <w:rsid w:val="00FB1AF9"/>
    <w:rsid w:val="00FB1D6B"/>
    <w:rsid w:val="00FB2A7F"/>
    <w:rsid w:val="00FB2AE8"/>
    <w:rsid w:val="00FB2D62"/>
    <w:rsid w:val="00FB304E"/>
    <w:rsid w:val="00FB319A"/>
    <w:rsid w:val="00FB391A"/>
    <w:rsid w:val="00FB3CBB"/>
    <w:rsid w:val="00FB4119"/>
    <w:rsid w:val="00FB44C8"/>
    <w:rsid w:val="00FB4520"/>
    <w:rsid w:val="00FB4640"/>
    <w:rsid w:val="00FB4B92"/>
    <w:rsid w:val="00FB4F68"/>
    <w:rsid w:val="00FB509F"/>
    <w:rsid w:val="00FB546F"/>
    <w:rsid w:val="00FB5620"/>
    <w:rsid w:val="00FB569E"/>
    <w:rsid w:val="00FB5F97"/>
    <w:rsid w:val="00FB619C"/>
    <w:rsid w:val="00FB6959"/>
    <w:rsid w:val="00FB6995"/>
    <w:rsid w:val="00FB6F90"/>
    <w:rsid w:val="00FB709C"/>
    <w:rsid w:val="00FB7788"/>
    <w:rsid w:val="00FC00CC"/>
    <w:rsid w:val="00FC04D4"/>
    <w:rsid w:val="00FC0616"/>
    <w:rsid w:val="00FC07FB"/>
    <w:rsid w:val="00FC0B20"/>
    <w:rsid w:val="00FC0EA0"/>
    <w:rsid w:val="00FC1634"/>
    <w:rsid w:val="00FC18CF"/>
    <w:rsid w:val="00FC21E0"/>
    <w:rsid w:val="00FC2BAB"/>
    <w:rsid w:val="00FC2C40"/>
    <w:rsid w:val="00FC312A"/>
    <w:rsid w:val="00FC3C19"/>
    <w:rsid w:val="00FC4161"/>
    <w:rsid w:val="00FC44D9"/>
    <w:rsid w:val="00FC4A1E"/>
    <w:rsid w:val="00FC4B76"/>
    <w:rsid w:val="00FC4F22"/>
    <w:rsid w:val="00FC524D"/>
    <w:rsid w:val="00FC544C"/>
    <w:rsid w:val="00FC5A66"/>
    <w:rsid w:val="00FC5AB8"/>
    <w:rsid w:val="00FC5B0B"/>
    <w:rsid w:val="00FC5C0F"/>
    <w:rsid w:val="00FC5C2F"/>
    <w:rsid w:val="00FC5EA0"/>
    <w:rsid w:val="00FC5F45"/>
    <w:rsid w:val="00FC6062"/>
    <w:rsid w:val="00FC6197"/>
    <w:rsid w:val="00FC6393"/>
    <w:rsid w:val="00FC6395"/>
    <w:rsid w:val="00FC690A"/>
    <w:rsid w:val="00FC6A35"/>
    <w:rsid w:val="00FC6B8A"/>
    <w:rsid w:val="00FC7625"/>
    <w:rsid w:val="00FC7784"/>
    <w:rsid w:val="00FC7885"/>
    <w:rsid w:val="00FC7CDF"/>
    <w:rsid w:val="00FC7DB9"/>
    <w:rsid w:val="00FD071F"/>
    <w:rsid w:val="00FD0BFD"/>
    <w:rsid w:val="00FD0D4E"/>
    <w:rsid w:val="00FD1676"/>
    <w:rsid w:val="00FD1924"/>
    <w:rsid w:val="00FD1AD5"/>
    <w:rsid w:val="00FD204E"/>
    <w:rsid w:val="00FD3282"/>
    <w:rsid w:val="00FD37C1"/>
    <w:rsid w:val="00FD3D3F"/>
    <w:rsid w:val="00FD4074"/>
    <w:rsid w:val="00FD425D"/>
    <w:rsid w:val="00FD45BD"/>
    <w:rsid w:val="00FD4B0D"/>
    <w:rsid w:val="00FD4C04"/>
    <w:rsid w:val="00FD4C22"/>
    <w:rsid w:val="00FD4DC3"/>
    <w:rsid w:val="00FD4FB2"/>
    <w:rsid w:val="00FD510E"/>
    <w:rsid w:val="00FD5274"/>
    <w:rsid w:val="00FD537E"/>
    <w:rsid w:val="00FD53A2"/>
    <w:rsid w:val="00FD54F6"/>
    <w:rsid w:val="00FD5BFD"/>
    <w:rsid w:val="00FD642D"/>
    <w:rsid w:val="00FD675E"/>
    <w:rsid w:val="00FD6B10"/>
    <w:rsid w:val="00FD6FAB"/>
    <w:rsid w:val="00FD71EE"/>
    <w:rsid w:val="00FD74CB"/>
    <w:rsid w:val="00FD7C98"/>
    <w:rsid w:val="00FD7CC7"/>
    <w:rsid w:val="00FD7D5C"/>
    <w:rsid w:val="00FE03F9"/>
    <w:rsid w:val="00FE04D6"/>
    <w:rsid w:val="00FE0781"/>
    <w:rsid w:val="00FE11C2"/>
    <w:rsid w:val="00FE1677"/>
    <w:rsid w:val="00FE1932"/>
    <w:rsid w:val="00FE19BB"/>
    <w:rsid w:val="00FE1C1B"/>
    <w:rsid w:val="00FE202E"/>
    <w:rsid w:val="00FE221D"/>
    <w:rsid w:val="00FE22E0"/>
    <w:rsid w:val="00FE23A8"/>
    <w:rsid w:val="00FE2543"/>
    <w:rsid w:val="00FE2EED"/>
    <w:rsid w:val="00FE2F2E"/>
    <w:rsid w:val="00FE3109"/>
    <w:rsid w:val="00FE3339"/>
    <w:rsid w:val="00FE3C31"/>
    <w:rsid w:val="00FE3E01"/>
    <w:rsid w:val="00FE490C"/>
    <w:rsid w:val="00FE492D"/>
    <w:rsid w:val="00FE4981"/>
    <w:rsid w:val="00FE4ABA"/>
    <w:rsid w:val="00FE5341"/>
    <w:rsid w:val="00FE564D"/>
    <w:rsid w:val="00FE56ED"/>
    <w:rsid w:val="00FE5814"/>
    <w:rsid w:val="00FE5A2F"/>
    <w:rsid w:val="00FE5BF1"/>
    <w:rsid w:val="00FE5C86"/>
    <w:rsid w:val="00FE5D67"/>
    <w:rsid w:val="00FE5E0E"/>
    <w:rsid w:val="00FE601A"/>
    <w:rsid w:val="00FE6075"/>
    <w:rsid w:val="00FE6291"/>
    <w:rsid w:val="00FE64C8"/>
    <w:rsid w:val="00FE6588"/>
    <w:rsid w:val="00FE673E"/>
    <w:rsid w:val="00FE6CD1"/>
    <w:rsid w:val="00FE6EF4"/>
    <w:rsid w:val="00FE7271"/>
    <w:rsid w:val="00FE7AB0"/>
    <w:rsid w:val="00FE7AE9"/>
    <w:rsid w:val="00FE7BC6"/>
    <w:rsid w:val="00FE7CD2"/>
    <w:rsid w:val="00FF0091"/>
    <w:rsid w:val="00FF0425"/>
    <w:rsid w:val="00FF05AE"/>
    <w:rsid w:val="00FF0CB6"/>
    <w:rsid w:val="00FF0DEF"/>
    <w:rsid w:val="00FF12A1"/>
    <w:rsid w:val="00FF1741"/>
    <w:rsid w:val="00FF19B2"/>
    <w:rsid w:val="00FF2032"/>
    <w:rsid w:val="00FF26E5"/>
    <w:rsid w:val="00FF291F"/>
    <w:rsid w:val="00FF2AB3"/>
    <w:rsid w:val="00FF2BFC"/>
    <w:rsid w:val="00FF2CB0"/>
    <w:rsid w:val="00FF3059"/>
    <w:rsid w:val="00FF3247"/>
    <w:rsid w:val="00FF327E"/>
    <w:rsid w:val="00FF362A"/>
    <w:rsid w:val="00FF37C1"/>
    <w:rsid w:val="00FF4387"/>
    <w:rsid w:val="00FF46E8"/>
    <w:rsid w:val="00FF48EA"/>
    <w:rsid w:val="00FF4CE5"/>
    <w:rsid w:val="00FF4EAE"/>
    <w:rsid w:val="00FF5630"/>
    <w:rsid w:val="00FF56EA"/>
    <w:rsid w:val="00FF5912"/>
    <w:rsid w:val="00FF5955"/>
    <w:rsid w:val="00FF5A0E"/>
    <w:rsid w:val="00FF5DC1"/>
    <w:rsid w:val="00FF64CE"/>
    <w:rsid w:val="00FF6B3A"/>
    <w:rsid w:val="00FF6D70"/>
    <w:rsid w:val="00FF70AC"/>
    <w:rsid w:val="00FF79EA"/>
    <w:rsid w:val="00FF7A2F"/>
    <w:rsid w:val="00FF7EB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F1A365B"/>
  <w15:docId w15:val="{81115AAD-1F6A-407A-B7BC-FCA74AA02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spacing w:before="120" w:line="276" w:lineRule="auto"/>
        <w:jc w:val="both"/>
      </w:pPr>
    </w:pPrDefault>
  </w:docDefaults>
  <w:latentStyles w:defLockedState="0" w:defUIPriority="0" w:defSemiHidden="0" w:defUnhideWhenUsed="0" w:defQFormat="0" w:count="376">
    <w:lsdException w:name="Normal" w:qFormat="1"/>
    <w:lsdException w:name="heading 1" w:uiPriority="99" w:qFormat="1"/>
    <w:lsdException w:name="heading 2" w:uiPriority="9"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99"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99" w:unhideWhenUsed="1"/>
    <w:lsdException w:name="Table Grid 1" w:semiHidden="1" w:uiPriority="99" w:unhideWhenUsed="1"/>
    <w:lsdException w:name="Table Grid 2" w:semiHidden="1" w:unhideWhenUsed="1"/>
    <w:lsdException w:name="Table Grid 3" w:semiHidden="1" w:uiPriority="99" w:unhideWhenUsed="1"/>
    <w:lsdException w:name="Table Grid 4" w:semiHidden="1" w:unhideWhenUsed="1"/>
    <w:lsdException w:name="Table Grid 5" w:semiHidden="1" w:uiPriority="99" w:unhideWhenUsed="1"/>
    <w:lsdException w:name="Table Grid 6" w:semiHidden="1" w:unhideWhenUsed="1"/>
    <w:lsdException w:name="Table Grid 7" w:semiHidden="1" w:uiPriority="99" w:unhideWhenUsed="1"/>
    <w:lsdException w:name="Table Grid 8" w:semiHidden="1" w:uiPriority="99"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99" w:unhideWhenUsed="1"/>
    <w:lsdException w:name="Table List 8" w:semiHidden="1" w:unhideWhenUsed="1"/>
    <w:lsdException w:name="Table 3D effects 1" w:semiHidden="1" w:unhideWhenUsed="1"/>
    <w:lsdException w:name="Table 3D effects 2" w:semiHidden="1"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nhideWhenUsed="1"/>
    <w:lsdException w:name="Table Subtle 1" w:semiHidden="1" w:unhideWhenUsed="1"/>
    <w:lsdException w:name="Table Subtle 2" w:semiHidden="1"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1Normal"/>
    <w:qFormat/>
    <w:rsid w:val="007C7EB0"/>
    <w:rPr>
      <w:rFonts w:ascii="GHEA Grapalat" w:hAnsi="GHEA Grapalat"/>
      <w:b/>
      <w:sz w:val="22"/>
      <w:szCs w:val="24"/>
      <w:lang w:val="ru-RU" w:eastAsia="ru-RU"/>
    </w:rPr>
  </w:style>
  <w:style w:type="paragraph" w:styleId="Heading1">
    <w:name w:val="heading 1"/>
    <w:aliases w:val="(Text),(Section),Section Heading,1, 1,Chapter,head3"/>
    <w:basedOn w:val="Normal"/>
    <w:next w:val="Normal"/>
    <w:link w:val="Heading1Char"/>
    <w:autoRedefine/>
    <w:uiPriority w:val="99"/>
    <w:qFormat/>
    <w:rsid w:val="0009272D"/>
    <w:pPr>
      <w:tabs>
        <w:tab w:val="left" w:pos="0"/>
      </w:tabs>
      <w:outlineLvl w:val="0"/>
    </w:pPr>
    <w:rPr>
      <w:rFonts w:eastAsiaTheme="majorEastAsia" w:cstheme="majorBidi"/>
      <w:bCs/>
      <w:color w:val="1F497D" w:themeColor="text2"/>
      <w:sz w:val="24"/>
      <w:lang w:val="hy-AM" w:eastAsia="en-US"/>
    </w:rPr>
  </w:style>
  <w:style w:type="paragraph" w:styleId="Heading2">
    <w:name w:val="heading 2"/>
    <w:aliases w:val="(Chapter),Paranum,Body"/>
    <w:basedOn w:val="Normal"/>
    <w:next w:val="Normal"/>
    <w:link w:val="Heading2Char"/>
    <w:autoRedefine/>
    <w:uiPriority w:val="9"/>
    <w:qFormat/>
    <w:rsid w:val="002F7255"/>
    <w:pPr>
      <w:keepNext/>
      <w:spacing w:before="0"/>
      <w:jc w:val="center"/>
      <w:outlineLvl w:val="1"/>
    </w:pPr>
    <w:rPr>
      <w:rFonts w:eastAsia="Calibri" w:cs="Times LatArm"/>
      <w:sz w:val="24"/>
      <w:lang w:val="hy-AM" w:eastAsia="en-US"/>
    </w:rPr>
  </w:style>
  <w:style w:type="paragraph" w:styleId="Heading3">
    <w:name w:val="heading 3"/>
    <w:aliases w:val="Centered,(text),(Sub-Chapter),Heading 3 Char Char Char Char Char Char"/>
    <w:basedOn w:val="Normal"/>
    <w:next w:val="Normal"/>
    <w:link w:val="Heading3Char"/>
    <w:autoRedefine/>
    <w:qFormat/>
    <w:rsid w:val="004F5524"/>
    <w:pPr>
      <w:keepNext/>
      <w:tabs>
        <w:tab w:val="left" w:pos="709"/>
      </w:tabs>
      <w:spacing w:before="0"/>
      <w:outlineLvl w:val="2"/>
    </w:pPr>
    <w:rPr>
      <w:rFonts w:eastAsia="Calibri" w:cs="GHEA Grapalat"/>
      <w:bCs/>
      <w:noProof/>
      <w:sz w:val="24"/>
      <w:szCs w:val="26"/>
      <w:lang w:val="af-ZA" w:eastAsia="en-US"/>
    </w:rPr>
  </w:style>
  <w:style w:type="paragraph" w:styleId="Heading4">
    <w:name w:val="heading 4"/>
    <w:aliases w:val="Centred"/>
    <w:basedOn w:val="Normal"/>
    <w:next w:val="Normal"/>
    <w:link w:val="Heading4Char"/>
    <w:autoRedefine/>
    <w:qFormat/>
    <w:rsid w:val="004D4C68"/>
    <w:pPr>
      <w:keepNext/>
      <w:spacing w:before="360" w:after="120"/>
      <w:ind w:left="397"/>
      <w:outlineLvl w:val="3"/>
    </w:pPr>
    <w:rPr>
      <w:szCs w:val="20"/>
      <w:lang w:val="en-GB" w:eastAsia="en-US"/>
    </w:rPr>
  </w:style>
  <w:style w:type="paragraph" w:styleId="Heading5">
    <w:name w:val="heading 5"/>
    <w:aliases w:val="Side"/>
    <w:basedOn w:val="Normal"/>
    <w:next w:val="Normal"/>
    <w:link w:val="Heading5Char"/>
    <w:autoRedefine/>
    <w:qFormat/>
    <w:rsid w:val="00785686"/>
    <w:pPr>
      <w:tabs>
        <w:tab w:val="left" w:pos="720"/>
      </w:tabs>
      <w:spacing w:before="240" w:after="360" w:line="240" w:lineRule="auto"/>
      <w:ind w:left="851"/>
      <w:jc w:val="center"/>
      <w:outlineLvl w:val="4"/>
    </w:pPr>
    <w:rPr>
      <w:b w:val="0"/>
      <w:bCs/>
      <w:i/>
      <w:spacing w:val="60"/>
      <w:szCs w:val="20"/>
      <w:lang w:val="hy-AM" w:eastAsia="en-US"/>
    </w:rPr>
  </w:style>
  <w:style w:type="paragraph" w:styleId="Heading6">
    <w:name w:val="heading 6"/>
    <w:basedOn w:val="Normal"/>
    <w:next w:val="Normal"/>
    <w:link w:val="Heading6Char"/>
    <w:qFormat/>
    <w:rsid w:val="003B72C4"/>
    <w:pPr>
      <w:spacing w:before="240"/>
      <w:outlineLvl w:val="5"/>
    </w:pPr>
    <w:rPr>
      <w:b w:val="0"/>
      <w:bCs/>
      <w:szCs w:val="22"/>
      <w:lang w:val="en-GB" w:eastAsia="en-US"/>
    </w:rPr>
  </w:style>
  <w:style w:type="paragraph" w:styleId="Heading7">
    <w:name w:val="heading 7"/>
    <w:basedOn w:val="Normal"/>
    <w:next w:val="BodyText"/>
    <w:link w:val="Heading7Char"/>
    <w:qFormat/>
    <w:rsid w:val="008E54BF"/>
    <w:pPr>
      <w:framePr w:w="3780" w:hSpace="240" w:wrap="auto" w:vAnchor="text" w:hAnchor="page" w:x="1489" w:y="1"/>
      <w:widowControl w:val="0"/>
      <w:pBdr>
        <w:top w:val="single" w:sz="6" w:space="12" w:color="FFFFFF"/>
        <w:left w:val="single" w:sz="6" w:space="12" w:color="FFFFFF"/>
        <w:bottom w:val="single" w:sz="6" w:space="12" w:color="FFFFFF"/>
        <w:right w:val="single" w:sz="6" w:space="12" w:color="FFFFFF"/>
      </w:pBdr>
      <w:shd w:val="pct5" w:color="auto" w:fill="auto"/>
      <w:spacing w:before="60"/>
      <w:outlineLvl w:val="6"/>
    </w:pPr>
    <w:rPr>
      <w:rFonts w:ascii="Times Armenian" w:hAnsi="Times Armenian"/>
      <w:spacing w:val="-5"/>
      <w:sz w:val="24"/>
      <w:szCs w:val="20"/>
      <w:lang w:val="en-GB" w:eastAsia="en-US"/>
    </w:rPr>
  </w:style>
  <w:style w:type="paragraph" w:styleId="Heading8">
    <w:name w:val="heading 8"/>
    <w:basedOn w:val="Normal"/>
    <w:next w:val="BodyText"/>
    <w:link w:val="Heading8Char"/>
    <w:qFormat/>
    <w:rsid w:val="00060470"/>
    <w:pPr>
      <w:keepNext/>
      <w:framePr w:w="1860" w:wrap="auto" w:vAnchor="text" w:hAnchor="page" w:x="1201" w:y="1"/>
      <w:widowControl w:val="0"/>
      <w:pBdr>
        <w:top w:val="single" w:sz="24" w:space="0" w:color="auto"/>
        <w:bottom w:val="single" w:sz="6" w:space="0" w:color="auto"/>
      </w:pBdr>
      <w:tabs>
        <w:tab w:val="left" w:pos="720"/>
      </w:tabs>
      <w:spacing w:before="60" w:line="320" w:lineRule="exact"/>
      <w:ind w:left="720" w:hanging="720"/>
      <w:jc w:val="center"/>
      <w:outlineLvl w:val="7"/>
    </w:pPr>
    <w:rPr>
      <w:rFonts w:ascii="Arial Black" w:hAnsi="Arial Black"/>
      <w:caps/>
      <w:spacing w:val="60"/>
      <w:position w:val="4"/>
      <w:sz w:val="14"/>
      <w:szCs w:val="20"/>
      <w:lang w:val="en-GB"/>
    </w:rPr>
  </w:style>
  <w:style w:type="paragraph" w:styleId="Heading9">
    <w:name w:val="heading 9"/>
    <w:basedOn w:val="Normal"/>
    <w:next w:val="BodyText"/>
    <w:link w:val="Heading9Char"/>
    <w:qFormat/>
    <w:rsid w:val="00060470"/>
    <w:pPr>
      <w:keepNext/>
      <w:widowControl w:val="0"/>
      <w:tabs>
        <w:tab w:val="left" w:pos="720"/>
      </w:tabs>
      <w:spacing w:before="80" w:line="240" w:lineRule="auto"/>
      <w:ind w:left="720" w:hanging="720"/>
      <w:jc w:val="left"/>
      <w:outlineLvl w:val="8"/>
    </w:pPr>
    <w:rPr>
      <w:rFonts w:ascii="Garamond" w:hAnsi="Garamond"/>
      <w:b w:val="0"/>
      <w:i/>
      <w:kern w:val="28"/>
      <w:sz w:val="16"/>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
    <w:name w:val="Char Char"/>
    <w:basedOn w:val="Normal"/>
    <w:uiPriority w:val="99"/>
    <w:rsid w:val="00C52D6C"/>
    <w:pPr>
      <w:spacing w:after="160" w:line="240" w:lineRule="exact"/>
    </w:pPr>
    <w:rPr>
      <w:rFonts w:ascii="Arial" w:hAnsi="Arial" w:cs="Arial"/>
      <w:sz w:val="20"/>
      <w:szCs w:val="20"/>
      <w:lang w:val="en-US" w:eastAsia="en-US"/>
    </w:rPr>
  </w:style>
  <w:style w:type="paragraph" w:styleId="BodyText">
    <w:name w:val="Body Text"/>
    <w:aliases w:val="(Main Text),date,Body Text (Main text)"/>
    <w:basedOn w:val="Normal"/>
    <w:link w:val="BodyTextChar"/>
    <w:rsid w:val="005F5C4A"/>
    <w:pPr>
      <w:jc w:val="center"/>
    </w:pPr>
    <w:rPr>
      <w:rFonts w:ascii="Times Armenian" w:hAnsi="Times Armenian"/>
      <w:sz w:val="52"/>
      <w:szCs w:val="20"/>
    </w:rPr>
  </w:style>
  <w:style w:type="paragraph" w:styleId="NormalWeb">
    <w:name w:val="Normal (Web)"/>
    <w:aliases w:val="Обычный (веб) Знак Знак,Знак Знак Знак Знак,Обычный (веб) Знак Знак Знак,Знак Знак Знак1 Знак Знак Знак Знак Знак,Знак1,Знак,webb, webb"/>
    <w:basedOn w:val="Normal"/>
    <w:link w:val="NormalWebChar"/>
    <w:qFormat/>
    <w:rsid w:val="00425E64"/>
    <w:pPr>
      <w:spacing w:before="100" w:beforeAutospacing="1" w:after="100" w:afterAutospacing="1"/>
    </w:pPr>
  </w:style>
  <w:style w:type="paragraph" w:styleId="Footer">
    <w:name w:val="footer"/>
    <w:basedOn w:val="Normal"/>
    <w:link w:val="FooterChar"/>
    <w:uiPriority w:val="99"/>
    <w:rsid w:val="00335FBB"/>
    <w:pPr>
      <w:tabs>
        <w:tab w:val="center" w:pos="4677"/>
        <w:tab w:val="right" w:pos="9355"/>
      </w:tabs>
    </w:pPr>
  </w:style>
  <w:style w:type="character" w:styleId="PageNumber">
    <w:name w:val="page number"/>
    <w:basedOn w:val="DefaultParagraphFont"/>
    <w:rsid w:val="00335FBB"/>
  </w:style>
  <w:style w:type="paragraph" w:styleId="BodyTextIndent">
    <w:name w:val="Body Text Indent"/>
    <w:aliases w:val=" (Table Source),(Table Source),(Table Source)1,(Table Source)11,Body Text 21"/>
    <w:basedOn w:val="Normal"/>
    <w:link w:val="BodyTextIndentChar"/>
    <w:rsid w:val="00335FBB"/>
    <w:pPr>
      <w:ind w:firstLine="708"/>
    </w:pPr>
    <w:rPr>
      <w:rFonts w:ascii="Arial Armenian" w:hAnsi="Arial Armenian"/>
    </w:rPr>
  </w:style>
  <w:style w:type="paragraph" w:styleId="Header">
    <w:name w:val="header"/>
    <w:aliases w:val="Header Char Char Char Char Char Char Char Char Char Char,Header Char Char Char Char Char Char Char Char Char Char Char Char,h"/>
    <w:basedOn w:val="Normal"/>
    <w:link w:val="HeaderChar"/>
    <w:uiPriority w:val="99"/>
    <w:rsid w:val="00D008DD"/>
    <w:pPr>
      <w:tabs>
        <w:tab w:val="center" w:pos="4677"/>
        <w:tab w:val="right" w:pos="9355"/>
      </w:tabs>
    </w:pPr>
    <w:rPr>
      <w:sz w:val="20"/>
      <w:szCs w:val="20"/>
      <w:lang w:val="en-AU" w:eastAsia="en-US"/>
    </w:rPr>
  </w:style>
  <w:style w:type="character" w:styleId="Hyperlink">
    <w:name w:val="Hyperlink"/>
    <w:uiPriority w:val="99"/>
    <w:rsid w:val="00D008DD"/>
    <w:rPr>
      <w:color w:val="0000FF"/>
      <w:u w:val="single"/>
    </w:rPr>
  </w:style>
  <w:style w:type="paragraph" w:styleId="BodyText2">
    <w:name w:val="Body Text 2"/>
    <w:aliases w:val="1Text"/>
    <w:basedOn w:val="Normal"/>
    <w:link w:val="BodyText2Char"/>
    <w:autoRedefine/>
    <w:qFormat/>
    <w:rsid w:val="00E960A7"/>
    <w:pPr>
      <w:spacing w:before="0" w:after="120"/>
    </w:pPr>
    <w:rPr>
      <w:rFonts w:eastAsia="Calibri"/>
      <w:b w:val="0"/>
      <w:szCs w:val="22"/>
      <w:lang w:val="hy-AM" w:eastAsia="en-US"/>
    </w:rPr>
  </w:style>
  <w:style w:type="paragraph" w:styleId="BodyTextIndent2">
    <w:name w:val="Body Text Indent 2"/>
    <w:basedOn w:val="Normal"/>
    <w:link w:val="BodyTextIndent2Char"/>
    <w:rsid w:val="00473302"/>
    <w:pPr>
      <w:ind w:firstLine="720"/>
    </w:pPr>
    <w:rPr>
      <w:rFonts w:ascii="Arial Armenian" w:hAnsi="Arial Armenian"/>
      <w:bCs/>
      <w:szCs w:val="20"/>
      <w:lang w:val="en-US" w:eastAsia="en-US"/>
    </w:rPr>
  </w:style>
  <w:style w:type="paragraph" w:styleId="BlockText">
    <w:name w:val="Block Text"/>
    <w:basedOn w:val="Normal"/>
    <w:rsid w:val="00473302"/>
    <w:pPr>
      <w:ind w:left="360" w:right="-810"/>
    </w:pPr>
    <w:rPr>
      <w:rFonts w:ascii="Times Armenian" w:hAnsi="Times Armenian"/>
      <w:bCs/>
      <w:szCs w:val="20"/>
      <w:lang w:val="en-US" w:eastAsia="en-US"/>
    </w:rPr>
  </w:style>
  <w:style w:type="paragraph" w:styleId="BodyText3">
    <w:name w:val="Body Text 3"/>
    <w:basedOn w:val="Normal"/>
    <w:link w:val="BodyText3Char"/>
    <w:rsid w:val="00473302"/>
    <w:rPr>
      <w:rFonts w:ascii="Times Armenian" w:hAnsi="Times Armenian"/>
      <w:bCs/>
      <w:szCs w:val="20"/>
      <w:lang w:val="en-US" w:eastAsia="en-US"/>
    </w:rPr>
  </w:style>
  <w:style w:type="paragraph" w:customStyle="1" w:styleId="CharCharCharCharCharCharCharCharCharCharCharChar">
    <w:name w:val="Char Char Char Char Char Char Char Char Char Char Char Char"/>
    <w:basedOn w:val="Normal"/>
    <w:rsid w:val="00473302"/>
    <w:pPr>
      <w:spacing w:after="160" w:line="240" w:lineRule="exact"/>
    </w:pPr>
    <w:rPr>
      <w:rFonts w:ascii="Arial" w:hAnsi="Arial" w:cs="Arial"/>
      <w:sz w:val="20"/>
      <w:szCs w:val="20"/>
      <w:lang w:val="en-US" w:eastAsia="en-US"/>
    </w:rPr>
  </w:style>
  <w:style w:type="paragraph" w:customStyle="1" w:styleId="Char">
    <w:name w:val="Char"/>
    <w:basedOn w:val="Normal"/>
    <w:rsid w:val="00473302"/>
    <w:pPr>
      <w:spacing w:after="160" w:line="240" w:lineRule="exact"/>
    </w:pPr>
    <w:rPr>
      <w:rFonts w:ascii="Arial" w:hAnsi="Arial" w:cs="Arial"/>
      <w:sz w:val="20"/>
      <w:szCs w:val="20"/>
      <w:lang w:val="en-US" w:eastAsia="en-US"/>
    </w:rPr>
  </w:style>
  <w:style w:type="paragraph" w:styleId="Subtitle">
    <w:name w:val="Subtitle"/>
    <w:basedOn w:val="Normal"/>
    <w:link w:val="SubtitleChar"/>
    <w:qFormat/>
    <w:rsid w:val="003B72C4"/>
    <w:pPr>
      <w:jc w:val="center"/>
    </w:pPr>
    <w:rPr>
      <w:rFonts w:ascii="Times Armenian" w:hAnsi="Times Armenian"/>
      <w:bCs/>
      <w:i/>
      <w:sz w:val="26"/>
      <w:szCs w:val="20"/>
      <w:lang w:val="en-US" w:eastAsia="en-US"/>
    </w:rPr>
  </w:style>
  <w:style w:type="paragraph" w:customStyle="1" w:styleId="CharCharCharCharCharChar1CharCharCharCharCharCharCharCharChar">
    <w:name w:val="Char Char Char Char Char Char1 Char Char Char Char Char Char Char Char Char Знак Знак"/>
    <w:basedOn w:val="Normal"/>
    <w:rsid w:val="003B72C4"/>
    <w:pPr>
      <w:spacing w:after="160" w:line="240" w:lineRule="exact"/>
    </w:pPr>
    <w:rPr>
      <w:rFonts w:ascii="Arial" w:hAnsi="Arial" w:cs="Arial"/>
      <w:sz w:val="20"/>
      <w:szCs w:val="20"/>
      <w:lang w:val="en-US" w:eastAsia="en-US"/>
    </w:rPr>
  </w:style>
  <w:style w:type="paragraph" w:customStyle="1" w:styleId="a0">
    <w:name w:val="Знак Знак"/>
    <w:basedOn w:val="Normal"/>
    <w:link w:val="Char0"/>
    <w:rsid w:val="003B72C4"/>
    <w:pPr>
      <w:spacing w:after="160" w:line="240" w:lineRule="exact"/>
    </w:pPr>
    <w:rPr>
      <w:rFonts w:ascii="Arial" w:hAnsi="Arial" w:cs="Arial"/>
      <w:sz w:val="20"/>
      <w:szCs w:val="20"/>
      <w:lang w:val="en-US" w:eastAsia="en-US"/>
    </w:rPr>
  </w:style>
  <w:style w:type="paragraph" w:customStyle="1" w:styleId="Char9">
    <w:name w:val="Char9"/>
    <w:basedOn w:val="Normal"/>
    <w:rsid w:val="003B72C4"/>
    <w:pPr>
      <w:spacing w:after="160" w:line="240" w:lineRule="exact"/>
    </w:pPr>
    <w:rPr>
      <w:rFonts w:ascii="Arial" w:hAnsi="Arial" w:cs="Arial"/>
      <w:sz w:val="20"/>
      <w:szCs w:val="20"/>
      <w:lang w:val="en-US" w:eastAsia="en-US"/>
    </w:rPr>
  </w:style>
  <w:style w:type="paragraph" w:customStyle="1" w:styleId="Style1">
    <w:name w:val="Style1"/>
    <w:basedOn w:val="Normal"/>
    <w:link w:val="Style1Char"/>
    <w:qFormat/>
    <w:rsid w:val="003B72C4"/>
    <w:pPr>
      <w:widowControl w:val="0"/>
      <w:autoSpaceDE w:val="0"/>
      <w:autoSpaceDN w:val="0"/>
      <w:adjustRightInd w:val="0"/>
    </w:pPr>
    <w:rPr>
      <w:rFonts w:ascii="Sylfaen" w:hAnsi="Sylfaen"/>
      <w:lang w:val="en-US" w:eastAsia="en-US"/>
    </w:rPr>
  </w:style>
  <w:style w:type="paragraph" w:customStyle="1" w:styleId="Style2">
    <w:name w:val="Style2"/>
    <w:basedOn w:val="Normal"/>
    <w:rsid w:val="003B72C4"/>
    <w:pPr>
      <w:widowControl w:val="0"/>
      <w:autoSpaceDE w:val="0"/>
      <w:autoSpaceDN w:val="0"/>
      <w:adjustRightInd w:val="0"/>
    </w:pPr>
    <w:rPr>
      <w:rFonts w:ascii="Sylfaen" w:hAnsi="Sylfaen"/>
      <w:lang w:val="en-US" w:eastAsia="en-US"/>
    </w:rPr>
  </w:style>
  <w:style w:type="paragraph" w:customStyle="1" w:styleId="Style3">
    <w:name w:val="Style3"/>
    <w:basedOn w:val="Normal"/>
    <w:rsid w:val="003B72C4"/>
    <w:pPr>
      <w:widowControl w:val="0"/>
      <w:autoSpaceDE w:val="0"/>
      <w:autoSpaceDN w:val="0"/>
      <w:adjustRightInd w:val="0"/>
    </w:pPr>
    <w:rPr>
      <w:rFonts w:ascii="Sylfaen" w:hAnsi="Sylfaen"/>
      <w:lang w:val="en-US" w:eastAsia="en-US"/>
    </w:rPr>
  </w:style>
  <w:style w:type="paragraph" w:customStyle="1" w:styleId="Style4">
    <w:name w:val="Style4"/>
    <w:basedOn w:val="Normal"/>
    <w:rsid w:val="003B72C4"/>
    <w:pPr>
      <w:widowControl w:val="0"/>
      <w:autoSpaceDE w:val="0"/>
      <w:autoSpaceDN w:val="0"/>
      <w:adjustRightInd w:val="0"/>
    </w:pPr>
    <w:rPr>
      <w:rFonts w:ascii="Sylfaen" w:hAnsi="Sylfaen"/>
      <w:lang w:val="en-US" w:eastAsia="en-US"/>
    </w:rPr>
  </w:style>
  <w:style w:type="paragraph" w:customStyle="1" w:styleId="CharCharCharChar">
    <w:name w:val="Char Char Char Char"/>
    <w:basedOn w:val="Normal"/>
    <w:rsid w:val="003B72C4"/>
    <w:pPr>
      <w:spacing w:after="160" w:line="240" w:lineRule="exact"/>
    </w:pPr>
    <w:rPr>
      <w:rFonts w:ascii="Arial" w:hAnsi="Arial" w:cs="Arial"/>
      <w:sz w:val="20"/>
      <w:szCs w:val="20"/>
      <w:lang w:val="en-US" w:eastAsia="en-US"/>
    </w:rPr>
  </w:style>
  <w:style w:type="paragraph" w:customStyle="1" w:styleId="Text">
    <w:name w:val="Text"/>
    <w:basedOn w:val="Normal"/>
    <w:link w:val="TextChar"/>
    <w:autoRedefine/>
    <w:rsid w:val="0002358C"/>
    <w:pPr>
      <w:numPr>
        <w:numId w:val="3"/>
      </w:numPr>
      <w:overflowPunct w:val="0"/>
      <w:autoSpaceDE w:val="0"/>
      <w:autoSpaceDN w:val="0"/>
      <w:adjustRightInd w:val="0"/>
      <w:spacing w:after="220"/>
    </w:pPr>
    <w:rPr>
      <w:szCs w:val="20"/>
      <w:lang w:val="en-GB" w:eastAsia="en-US"/>
    </w:rPr>
  </w:style>
  <w:style w:type="character" w:customStyle="1" w:styleId="FontStyle11">
    <w:name w:val="Font Style11"/>
    <w:rsid w:val="003B72C4"/>
    <w:rPr>
      <w:rFonts w:ascii="Sylfaen" w:hAnsi="Sylfaen" w:cs="Sylfaen" w:hint="default"/>
      <w:b/>
      <w:bCs/>
      <w:sz w:val="26"/>
      <w:szCs w:val="26"/>
    </w:rPr>
  </w:style>
  <w:style w:type="character" w:customStyle="1" w:styleId="FontStyle12">
    <w:name w:val="Font Style12"/>
    <w:rsid w:val="003B72C4"/>
    <w:rPr>
      <w:rFonts w:ascii="Sylfaen" w:hAnsi="Sylfaen" w:cs="Sylfaen" w:hint="default"/>
      <w:b/>
      <w:bCs/>
      <w:spacing w:val="10"/>
      <w:sz w:val="32"/>
      <w:szCs w:val="32"/>
    </w:rPr>
  </w:style>
  <w:style w:type="character" w:customStyle="1" w:styleId="FontStyle13">
    <w:name w:val="Font Style13"/>
    <w:rsid w:val="003B72C4"/>
    <w:rPr>
      <w:rFonts w:ascii="Sylfaen" w:hAnsi="Sylfaen" w:cs="Sylfaen" w:hint="default"/>
      <w:b/>
      <w:bCs/>
      <w:sz w:val="14"/>
      <w:szCs w:val="14"/>
    </w:rPr>
  </w:style>
  <w:style w:type="character" w:customStyle="1" w:styleId="FontStyle14">
    <w:name w:val="Font Style14"/>
    <w:rsid w:val="003B72C4"/>
    <w:rPr>
      <w:rFonts w:ascii="Sylfaen" w:hAnsi="Sylfaen" w:cs="Sylfaen" w:hint="default"/>
      <w:b/>
      <w:bCs/>
      <w:sz w:val="16"/>
      <w:szCs w:val="16"/>
    </w:rPr>
  </w:style>
  <w:style w:type="character" w:customStyle="1" w:styleId="Heading3CharCharCharCharCharCharChar">
    <w:name w:val="Heading 3 Char Char Char Char Char Char Char"/>
    <w:rsid w:val="003B72C4"/>
    <w:rPr>
      <w:rFonts w:ascii="Times Armenian" w:hAnsi="Times Armenian" w:hint="default"/>
      <w:b/>
      <w:bCs/>
      <w:sz w:val="24"/>
      <w:szCs w:val="24"/>
      <w:lang w:val="en-GB" w:eastAsia="en-US" w:bidi="ar-SA"/>
    </w:rPr>
  </w:style>
  <w:style w:type="character" w:styleId="FollowedHyperlink">
    <w:name w:val="FollowedHyperlink"/>
    <w:rsid w:val="003B72C4"/>
    <w:rPr>
      <w:color w:val="0000FF"/>
      <w:u w:val="single"/>
    </w:rPr>
  </w:style>
  <w:style w:type="paragraph" w:styleId="BalloonText">
    <w:name w:val="Balloon Text"/>
    <w:basedOn w:val="Normal"/>
    <w:link w:val="BalloonTextChar"/>
    <w:rsid w:val="000776D9"/>
    <w:rPr>
      <w:rFonts w:ascii="Tahoma" w:hAnsi="Tahoma" w:cs="Tahoma"/>
      <w:sz w:val="16"/>
      <w:szCs w:val="16"/>
    </w:rPr>
  </w:style>
  <w:style w:type="paragraph" w:styleId="ListParagraph">
    <w:name w:val="List Paragraph"/>
    <w:aliases w:val="List_Paragraph,Multilevel para_II,List Paragraph1,Akapit z listą BS,Bullet1,Bullets,List Paragraph 1,References,List Paragraph (numbered (a)),IBL List Paragraph,List Paragraph nowy,Numbered List Paragraph,List Paragraph11,Ha,OBC Bullet,lp"/>
    <w:basedOn w:val="Normal"/>
    <w:link w:val="ListParagraphChar"/>
    <w:uiPriority w:val="34"/>
    <w:qFormat/>
    <w:rsid w:val="00DA54A9"/>
    <w:pPr>
      <w:ind w:left="720"/>
    </w:pPr>
  </w:style>
  <w:style w:type="paragraph" w:customStyle="1" w:styleId="CM2">
    <w:name w:val="CM2"/>
    <w:basedOn w:val="Normal"/>
    <w:next w:val="Normal"/>
    <w:rsid w:val="00093193"/>
    <w:pPr>
      <w:widowControl w:val="0"/>
      <w:autoSpaceDE w:val="0"/>
      <w:autoSpaceDN w:val="0"/>
      <w:adjustRightInd w:val="0"/>
      <w:spacing w:line="356" w:lineRule="atLeast"/>
    </w:pPr>
    <w:rPr>
      <w:rFonts w:ascii="Arial Armenian" w:hAnsi="Arial Armenian"/>
      <w:lang w:val="en-US" w:eastAsia="en-US"/>
    </w:rPr>
  </w:style>
  <w:style w:type="paragraph" w:customStyle="1" w:styleId="Default">
    <w:name w:val="Default"/>
    <w:link w:val="DefaultChar"/>
    <w:rsid w:val="00193290"/>
    <w:pPr>
      <w:widowControl w:val="0"/>
      <w:autoSpaceDE w:val="0"/>
      <w:autoSpaceDN w:val="0"/>
      <w:adjustRightInd w:val="0"/>
    </w:pPr>
    <w:rPr>
      <w:rFonts w:ascii="Sylfaen" w:hAnsi="Sylfaen" w:cs="Sylfaen"/>
      <w:color w:val="000000"/>
      <w:sz w:val="24"/>
      <w:szCs w:val="24"/>
    </w:rPr>
  </w:style>
  <w:style w:type="paragraph" w:customStyle="1" w:styleId="CM32">
    <w:name w:val="CM32"/>
    <w:basedOn w:val="Normal"/>
    <w:next w:val="Normal"/>
    <w:rsid w:val="00B16699"/>
    <w:pPr>
      <w:widowControl w:val="0"/>
      <w:autoSpaceDE w:val="0"/>
      <w:autoSpaceDN w:val="0"/>
      <w:adjustRightInd w:val="0"/>
      <w:spacing w:after="233"/>
    </w:pPr>
    <w:rPr>
      <w:rFonts w:ascii="Arial Armenian" w:hAnsi="Arial Armenian"/>
      <w:lang w:val="en-US" w:eastAsia="en-US"/>
    </w:rPr>
  </w:style>
  <w:style w:type="paragraph" w:customStyle="1" w:styleId="CM4">
    <w:name w:val="CM4"/>
    <w:basedOn w:val="Default"/>
    <w:next w:val="Default"/>
    <w:uiPriority w:val="99"/>
    <w:rsid w:val="00627DFA"/>
    <w:pPr>
      <w:spacing w:line="248" w:lineRule="atLeast"/>
    </w:pPr>
    <w:rPr>
      <w:rFonts w:ascii="Arial Armenian" w:hAnsi="Arial Armenian" w:cs="Times New Roman"/>
      <w:color w:val="auto"/>
    </w:rPr>
  </w:style>
  <w:style w:type="paragraph" w:customStyle="1" w:styleId="1">
    <w:name w:val="Знак Знак1"/>
    <w:basedOn w:val="Normal"/>
    <w:rsid w:val="005769C1"/>
    <w:pPr>
      <w:spacing w:after="160" w:line="240" w:lineRule="exact"/>
    </w:pPr>
    <w:rPr>
      <w:rFonts w:ascii="Arial" w:hAnsi="Arial" w:cs="Arial"/>
      <w:sz w:val="20"/>
      <w:szCs w:val="20"/>
      <w:lang w:val="en-GB" w:eastAsia="en-US"/>
    </w:rPr>
  </w:style>
  <w:style w:type="paragraph" w:customStyle="1" w:styleId="2">
    <w:name w:val="Знак Знак2"/>
    <w:basedOn w:val="Normal"/>
    <w:rsid w:val="00A836D7"/>
    <w:pPr>
      <w:spacing w:after="160"/>
      <w:ind w:firstLine="709"/>
    </w:pPr>
    <w:rPr>
      <w:rFonts w:ascii="Arial AMU" w:hAnsi="Arial AMU" w:cs="Arial"/>
      <w:szCs w:val="20"/>
      <w:lang w:val="en-US" w:eastAsia="en-US"/>
    </w:rPr>
  </w:style>
  <w:style w:type="paragraph" w:customStyle="1" w:styleId="14">
    <w:name w:val="Знак Знак14"/>
    <w:basedOn w:val="Normal"/>
    <w:rsid w:val="00513314"/>
    <w:pPr>
      <w:spacing w:after="160" w:line="240" w:lineRule="exact"/>
    </w:pPr>
    <w:rPr>
      <w:rFonts w:ascii="Arial" w:hAnsi="Arial" w:cs="Arial"/>
      <w:sz w:val="20"/>
      <w:szCs w:val="20"/>
      <w:lang w:val="en-GB" w:eastAsia="en-US"/>
    </w:rPr>
  </w:style>
  <w:style w:type="paragraph" w:customStyle="1" w:styleId="CharCharCharCharCharCharCharCharCharCharChar">
    <w:name w:val="Char Char Char Знак Char Char Char Char Char Знак Char Char Char"/>
    <w:basedOn w:val="Normal"/>
    <w:rsid w:val="004900E7"/>
    <w:pPr>
      <w:spacing w:after="160" w:line="240" w:lineRule="exact"/>
    </w:pPr>
    <w:rPr>
      <w:rFonts w:ascii="Arial" w:hAnsi="Arial" w:cs="Arial"/>
      <w:sz w:val="20"/>
      <w:szCs w:val="20"/>
      <w:lang w:val="en-US" w:eastAsia="en-US"/>
    </w:rPr>
  </w:style>
  <w:style w:type="paragraph" w:customStyle="1" w:styleId="mechtex">
    <w:name w:val="mechtex"/>
    <w:basedOn w:val="Normal"/>
    <w:link w:val="mechtexChar"/>
    <w:rsid w:val="00C719CB"/>
    <w:pPr>
      <w:jc w:val="center"/>
    </w:pPr>
    <w:rPr>
      <w:rFonts w:ascii="Arial Armenian" w:hAnsi="Arial Armenian"/>
      <w:szCs w:val="20"/>
      <w:lang w:val="en-US"/>
    </w:rPr>
  </w:style>
  <w:style w:type="character" w:customStyle="1" w:styleId="mechtexChar">
    <w:name w:val="mechtex Char"/>
    <w:link w:val="mechtex"/>
    <w:rsid w:val="00C719CB"/>
    <w:rPr>
      <w:rFonts w:ascii="Arial Armenian" w:hAnsi="Arial Armenian"/>
      <w:sz w:val="22"/>
      <w:lang w:val="en-US" w:eastAsia="ru-RU" w:bidi="ar-SA"/>
    </w:rPr>
  </w:style>
  <w:style w:type="character" w:styleId="Strong">
    <w:name w:val="Strong"/>
    <w:qFormat/>
    <w:rsid w:val="003A5A6F"/>
    <w:rPr>
      <w:b/>
      <w:bCs/>
    </w:rPr>
  </w:style>
  <w:style w:type="character" w:customStyle="1" w:styleId="apple-converted-space">
    <w:name w:val="apple-converted-space"/>
    <w:rsid w:val="00680C30"/>
  </w:style>
  <w:style w:type="paragraph" w:styleId="DocumentMap">
    <w:name w:val="Document Map"/>
    <w:basedOn w:val="Normal"/>
    <w:link w:val="DocumentMapChar"/>
    <w:uiPriority w:val="99"/>
    <w:rsid w:val="00A503EB"/>
    <w:pPr>
      <w:shd w:val="clear" w:color="auto" w:fill="000080"/>
    </w:pPr>
    <w:rPr>
      <w:rFonts w:ascii="Tahoma" w:hAnsi="Tahoma" w:cs="Tahoma"/>
      <w:sz w:val="20"/>
      <w:szCs w:val="20"/>
    </w:rPr>
  </w:style>
  <w:style w:type="paragraph" w:customStyle="1" w:styleId="CharCharChar">
    <w:name w:val="Char Char Char Знак"/>
    <w:basedOn w:val="Normal"/>
    <w:next w:val="Normal"/>
    <w:rsid w:val="002A51A9"/>
    <w:pPr>
      <w:spacing w:after="160" w:line="240" w:lineRule="exact"/>
    </w:pPr>
    <w:rPr>
      <w:rFonts w:ascii="Tahoma" w:hAnsi="Tahoma"/>
      <w:szCs w:val="20"/>
      <w:lang w:val="en-US" w:eastAsia="en-US"/>
    </w:rPr>
  </w:style>
  <w:style w:type="paragraph" w:customStyle="1" w:styleId="Graphic">
    <w:name w:val="Graphic"/>
    <w:basedOn w:val="Normal"/>
    <w:rsid w:val="00C947B2"/>
    <w:pPr>
      <w:keepNext/>
      <w:overflowPunct w:val="0"/>
      <w:autoSpaceDE w:val="0"/>
      <w:autoSpaceDN w:val="0"/>
      <w:adjustRightInd w:val="0"/>
      <w:spacing w:after="130"/>
      <w:jc w:val="center"/>
      <w:textAlignment w:val="baseline"/>
    </w:pPr>
    <w:rPr>
      <w:szCs w:val="20"/>
      <w:lang w:val="en-GB" w:eastAsia="en-US"/>
    </w:rPr>
  </w:style>
  <w:style w:type="character" w:customStyle="1" w:styleId="StyleGHEAGrapalatJustifiedBefore12ptChar">
    <w:name w:val="Style GHEA Grapalat Justified Before:  12 pt Char"/>
    <w:link w:val="StyleGHEAGrapalatJustifiedBefore12pt"/>
    <w:locked/>
    <w:rsid w:val="00E472EB"/>
    <w:rPr>
      <w:rFonts w:ascii="GHEA Grapalat" w:hAnsi="GHEA Grapalat"/>
      <w:b/>
      <w:noProof/>
      <w:sz w:val="22"/>
      <w:lang w:val="ru-RU" w:eastAsia="ru-RU"/>
    </w:rPr>
  </w:style>
  <w:style w:type="paragraph" w:customStyle="1" w:styleId="StyleGHEAGrapalatJustifiedBefore12pt">
    <w:name w:val="Style GHEA Grapalat Justified Before:  12 pt"/>
    <w:basedOn w:val="Normal"/>
    <w:link w:val="StyleGHEAGrapalatJustifiedBefore12ptChar"/>
    <w:rsid w:val="00E472EB"/>
    <w:pPr>
      <w:numPr>
        <w:numId w:val="1"/>
      </w:numPr>
      <w:spacing w:before="240" w:after="240"/>
    </w:pPr>
    <w:rPr>
      <w:noProof/>
      <w:szCs w:val="20"/>
    </w:rPr>
  </w:style>
  <w:style w:type="paragraph" w:customStyle="1" w:styleId="Bullet1">
    <w:name w:val="Bullet 1"/>
    <w:basedOn w:val="Normal"/>
    <w:autoRedefine/>
    <w:qFormat/>
    <w:rsid w:val="004D4C68"/>
    <w:pPr>
      <w:numPr>
        <w:numId w:val="13"/>
      </w:numPr>
      <w:tabs>
        <w:tab w:val="left" w:pos="851"/>
      </w:tabs>
      <w:overflowPunct w:val="0"/>
      <w:autoSpaceDE w:val="0"/>
      <w:autoSpaceDN w:val="0"/>
      <w:adjustRightInd w:val="0"/>
      <w:spacing w:before="0"/>
      <w:ind w:left="1248" w:hanging="397"/>
      <w:textAlignment w:val="baseline"/>
    </w:pPr>
    <w:rPr>
      <w:b w:val="0"/>
      <w:szCs w:val="20"/>
      <w:lang w:val="en-GB" w:eastAsia="en-US"/>
    </w:rPr>
  </w:style>
  <w:style w:type="character" w:customStyle="1" w:styleId="longtext">
    <w:name w:val="long_text"/>
    <w:basedOn w:val="DefaultParagraphFont"/>
    <w:rsid w:val="00115664"/>
  </w:style>
  <w:style w:type="character" w:customStyle="1" w:styleId="CharChar6">
    <w:name w:val="Char Char6"/>
    <w:uiPriority w:val="99"/>
    <w:rsid w:val="00B5740E"/>
    <w:rPr>
      <w:rFonts w:ascii="Arial Armenian" w:hAnsi="Arial Armenian" w:cs="Arial Armenian"/>
      <w:b/>
      <w:bCs/>
      <w:sz w:val="18"/>
      <w:szCs w:val="18"/>
      <w:lang w:eastAsia="ru-RU"/>
    </w:rPr>
  </w:style>
  <w:style w:type="character" w:customStyle="1" w:styleId="BodyTextIndentChar">
    <w:name w:val="Body Text Indent Char"/>
    <w:aliases w:val=" (Table Source) Char,(Table Source) Char,(Table Source)1 Char,(Table Source)11 Char,Body Text 21 Char"/>
    <w:link w:val="BodyTextIndent"/>
    <w:rsid w:val="00275883"/>
    <w:rPr>
      <w:rFonts w:ascii="Arial Armenian" w:hAnsi="Arial Armenian"/>
      <w:sz w:val="24"/>
      <w:szCs w:val="24"/>
      <w:lang w:eastAsia="ru-RU"/>
    </w:rPr>
  </w:style>
  <w:style w:type="character" w:customStyle="1" w:styleId="BodyTextChar">
    <w:name w:val="Body Text Char"/>
    <w:aliases w:val="(Main Text) Char,date Char,Body Text (Main text) Char"/>
    <w:link w:val="BodyText"/>
    <w:locked/>
    <w:rsid w:val="007F6A4C"/>
    <w:rPr>
      <w:rFonts w:ascii="Times Armenian" w:hAnsi="Times Armenian"/>
      <w:sz w:val="52"/>
      <w:lang w:eastAsia="ru-RU"/>
    </w:rPr>
  </w:style>
  <w:style w:type="character" w:customStyle="1" w:styleId="FooterChar">
    <w:name w:val="Footer Char"/>
    <w:link w:val="Footer"/>
    <w:uiPriority w:val="99"/>
    <w:rsid w:val="00F52B25"/>
    <w:rPr>
      <w:sz w:val="24"/>
      <w:szCs w:val="24"/>
      <w:lang w:val="ru-RU" w:eastAsia="ru-RU"/>
    </w:rPr>
  </w:style>
  <w:style w:type="character" w:customStyle="1" w:styleId="ListParagraphChar">
    <w:name w:val="List Paragraph Char"/>
    <w:aliases w:val="List_Paragraph Char,Multilevel para_II Char,List Paragraph1 Char,Akapit z listą BS Char,Bullet1 Char,Bullets Char,List Paragraph 1 Char,References Char,List Paragraph (numbered (a)) Char,IBL List Paragraph Char,List Paragraph11 Char"/>
    <w:link w:val="ListParagraph"/>
    <w:uiPriority w:val="34"/>
    <w:qFormat/>
    <w:locked/>
    <w:rsid w:val="00C3777C"/>
    <w:rPr>
      <w:sz w:val="24"/>
      <w:szCs w:val="24"/>
    </w:rPr>
  </w:style>
  <w:style w:type="paragraph" w:styleId="BodyTextIndent3">
    <w:name w:val="Body Text Indent 3"/>
    <w:basedOn w:val="Normal"/>
    <w:link w:val="BodyTextIndent3Char"/>
    <w:rsid w:val="00101E4C"/>
    <w:pPr>
      <w:spacing w:after="120"/>
      <w:ind w:left="360"/>
    </w:pPr>
    <w:rPr>
      <w:sz w:val="16"/>
      <w:szCs w:val="16"/>
    </w:rPr>
  </w:style>
  <w:style w:type="character" w:customStyle="1" w:styleId="BodyTextIndent3Char">
    <w:name w:val="Body Text Indent 3 Char"/>
    <w:link w:val="BodyTextIndent3"/>
    <w:rsid w:val="00101E4C"/>
    <w:rPr>
      <w:sz w:val="16"/>
      <w:szCs w:val="16"/>
      <w:lang w:val="ru-RU" w:eastAsia="ru-RU"/>
    </w:rPr>
  </w:style>
  <w:style w:type="paragraph" w:styleId="Title">
    <w:name w:val="Title"/>
    <w:basedOn w:val="Normal"/>
    <w:next w:val="Normal"/>
    <w:link w:val="TitleChar"/>
    <w:autoRedefine/>
    <w:qFormat/>
    <w:rsid w:val="00D6329B"/>
    <w:pPr>
      <w:spacing w:before="720" w:after="720"/>
      <w:jc w:val="center"/>
      <w:outlineLvl w:val="0"/>
    </w:pPr>
    <w:rPr>
      <w:b w:val="0"/>
      <w:bCs/>
      <w:kern w:val="28"/>
      <w:sz w:val="32"/>
      <w:szCs w:val="32"/>
    </w:rPr>
  </w:style>
  <w:style w:type="character" w:customStyle="1" w:styleId="TitleChar">
    <w:name w:val="Title Char"/>
    <w:link w:val="Title"/>
    <w:rsid w:val="00D6329B"/>
    <w:rPr>
      <w:rFonts w:ascii="GHEA Grapalat" w:hAnsi="GHEA Grapalat"/>
      <w:b/>
      <w:bCs/>
      <w:kern w:val="28"/>
      <w:sz w:val="32"/>
      <w:szCs w:val="32"/>
      <w:lang w:val="ru-RU" w:eastAsia="ru-RU"/>
    </w:rPr>
  </w:style>
  <w:style w:type="paragraph" w:styleId="TOC2">
    <w:name w:val="toc 2"/>
    <w:basedOn w:val="Normal"/>
    <w:next w:val="Normal"/>
    <w:autoRedefine/>
    <w:uiPriority w:val="39"/>
    <w:qFormat/>
    <w:rsid w:val="007F21D5"/>
    <w:pPr>
      <w:tabs>
        <w:tab w:val="left" w:pos="1134"/>
        <w:tab w:val="left" w:pos="1276"/>
        <w:tab w:val="right" w:leader="dot" w:pos="10065"/>
      </w:tabs>
      <w:spacing w:after="100"/>
      <w:ind w:left="284"/>
      <w:jc w:val="left"/>
    </w:pPr>
  </w:style>
  <w:style w:type="paragraph" w:styleId="TOC1">
    <w:name w:val="toc 1"/>
    <w:basedOn w:val="Normal"/>
    <w:next w:val="Normal"/>
    <w:autoRedefine/>
    <w:uiPriority w:val="39"/>
    <w:qFormat/>
    <w:rsid w:val="003F3E0E"/>
    <w:pPr>
      <w:tabs>
        <w:tab w:val="right" w:leader="dot" w:pos="10065"/>
      </w:tabs>
      <w:spacing w:after="100"/>
    </w:pPr>
  </w:style>
  <w:style w:type="paragraph" w:styleId="TOC3">
    <w:name w:val="toc 3"/>
    <w:basedOn w:val="Normal"/>
    <w:next w:val="Normal"/>
    <w:autoRedefine/>
    <w:uiPriority w:val="39"/>
    <w:qFormat/>
    <w:rsid w:val="009F1388"/>
    <w:pPr>
      <w:tabs>
        <w:tab w:val="left" w:pos="1276"/>
        <w:tab w:val="right" w:leader="dot" w:pos="10055"/>
      </w:tabs>
      <w:spacing w:after="100"/>
      <w:ind w:left="567"/>
      <w:jc w:val="left"/>
    </w:pPr>
  </w:style>
  <w:style w:type="paragraph" w:customStyle="1" w:styleId="Tables">
    <w:name w:val="Tables"/>
    <w:basedOn w:val="Normal"/>
    <w:autoRedefine/>
    <w:qFormat/>
    <w:rsid w:val="00866D50"/>
    <w:pPr>
      <w:keepNext/>
      <w:numPr>
        <w:numId w:val="16"/>
      </w:numPr>
      <w:spacing w:before="0"/>
      <w:ind w:hanging="1350"/>
      <w:jc w:val="left"/>
    </w:pPr>
    <w:rPr>
      <w:rFonts w:cs="Sylfaen"/>
      <w:szCs w:val="22"/>
      <w:lang w:val="af-ZA"/>
    </w:rPr>
  </w:style>
  <w:style w:type="paragraph" w:customStyle="1" w:styleId="Charts">
    <w:name w:val="Charts"/>
    <w:basedOn w:val="Normal"/>
    <w:autoRedefine/>
    <w:qFormat/>
    <w:rsid w:val="00263EE6"/>
    <w:pPr>
      <w:keepNext/>
      <w:numPr>
        <w:numId w:val="17"/>
      </w:numPr>
      <w:tabs>
        <w:tab w:val="left" w:pos="795"/>
      </w:tabs>
      <w:spacing w:before="360" w:after="120" w:line="240" w:lineRule="auto"/>
    </w:pPr>
    <w:rPr>
      <w:rFonts w:cs="Sylfaen"/>
      <w:szCs w:val="22"/>
      <w:u w:val="single"/>
      <w:lang w:val="it-IT"/>
    </w:rPr>
  </w:style>
  <w:style w:type="paragraph" w:styleId="Caption">
    <w:name w:val="caption"/>
    <w:aliases w:val="(Table Title),(Table Title) Char Char Char Char Char Char Char Char Char Char, (Table Title), (Table Title) Char Char Char Char Char Char Char Char Char Char"/>
    <w:basedOn w:val="Normal"/>
    <w:next w:val="Normal"/>
    <w:uiPriority w:val="35"/>
    <w:unhideWhenUsed/>
    <w:qFormat/>
    <w:rsid w:val="00C93040"/>
    <w:pPr>
      <w:spacing w:after="200"/>
    </w:pPr>
    <w:rPr>
      <w:b w:val="0"/>
      <w:bCs/>
      <w:color w:val="4F81BD" w:themeColor="accent1"/>
      <w:sz w:val="18"/>
      <w:szCs w:val="18"/>
    </w:rPr>
  </w:style>
  <w:style w:type="character" w:styleId="FootnoteReference">
    <w:name w:val="footnote reference"/>
    <w:aliases w:val="ftref,Footnote Reference Number,Footnote Reference_LVL6,Footnote Reference_LVL61,Footnote Reference_LVL62,Footnote Reference_LVL63,Footnote Reference_LVL64,16 Point,Superscript 6 Point,Знак сноски-FN,SUPERS,BVI fnr Char Char Char"/>
    <w:uiPriority w:val="99"/>
    <w:qFormat/>
    <w:rsid w:val="00BB1F69"/>
    <w:rPr>
      <w:rFonts w:ascii="Arial Armenian" w:hAnsi="Arial Armenian"/>
      <w:sz w:val="20"/>
      <w:szCs w:val="20"/>
      <w:vertAlign w:val="superscript"/>
    </w:rPr>
  </w:style>
  <w:style w:type="paragraph" w:styleId="FootnoteText">
    <w:name w:val="footnote text"/>
    <w:aliases w:val="fn,ADB,single space,footnote text Char,fn Char,ADB Char,single space Char Char,footnote text,FOOTNOTES Char,FOOTNOTES Char Char Char,FOOTNOTES,Footnote Text Char Char Char,Footnote Text Char Char Char Char Char,f,Footnote Text Char2 Char"/>
    <w:basedOn w:val="Normal"/>
    <w:link w:val="FootnoteTextChar1"/>
    <w:autoRedefine/>
    <w:qFormat/>
    <w:rsid w:val="00DE6C7D"/>
    <w:pPr>
      <w:spacing w:before="0" w:line="240" w:lineRule="auto"/>
    </w:pPr>
    <w:rPr>
      <w:b w:val="0"/>
      <w:iCs/>
      <w:sz w:val="16"/>
      <w:szCs w:val="16"/>
      <w:lang w:val="en-GB" w:eastAsia="en-US"/>
    </w:rPr>
  </w:style>
  <w:style w:type="character" w:customStyle="1" w:styleId="FootnoteTextChar">
    <w:name w:val="Footnote Text Char"/>
    <w:aliases w:val="footnote text Char3,FOOTNOTES Char Char1,FOOTNOTES Char Char Char Char1,FOOTNOTES Char2,Footnote Text Char2 Char Char,fn Char2,ADB Char2,single space Char1,footnote text Char Char1,fn Char Char1,ADB Char Char1,footnote text Char2"/>
    <w:basedOn w:val="DefaultParagraphFont"/>
    <w:uiPriority w:val="99"/>
    <w:rsid w:val="00BB1F69"/>
    <w:rPr>
      <w:lang w:val="ru-RU" w:eastAsia="ru-RU"/>
    </w:rPr>
  </w:style>
  <w:style w:type="character" w:customStyle="1" w:styleId="FootnoteTextChar1">
    <w:name w:val="Footnote Text Char1"/>
    <w:aliases w:val="fn Char1,ADB Char1,single space Char,footnote text Char Char,fn Char Char,ADB Char Char,single space Char Char Char,footnote text Char1,FOOTNOTES Char Char,FOOTNOTES Char Char Char Char,FOOTNOTES Char1,f Char"/>
    <w:link w:val="FootnoteText"/>
    <w:rsid w:val="00DE6C7D"/>
    <w:rPr>
      <w:rFonts w:ascii="GHEA Grapalat" w:hAnsi="GHEA Grapalat"/>
      <w:iCs/>
      <w:sz w:val="16"/>
      <w:szCs w:val="16"/>
      <w:lang w:val="en-GB"/>
    </w:rPr>
  </w:style>
  <w:style w:type="paragraph" w:styleId="Revision">
    <w:name w:val="Revision"/>
    <w:hidden/>
    <w:uiPriority w:val="99"/>
    <w:semiHidden/>
    <w:rsid w:val="00E759BC"/>
    <w:rPr>
      <w:sz w:val="24"/>
      <w:szCs w:val="24"/>
      <w:lang w:val="ru-RU" w:eastAsia="ru-RU"/>
    </w:rPr>
  </w:style>
  <w:style w:type="paragraph" w:customStyle="1" w:styleId="Bullet2">
    <w:name w:val="Bullet 2"/>
    <w:basedOn w:val="Normal"/>
    <w:autoRedefine/>
    <w:qFormat/>
    <w:rsid w:val="00530B17"/>
    <w:pPr>
      <w:widowControl w:val="0"/>
      <w:spacing w:before="0"/>
      <w:ind w:firstLine="630"/>
    </w:pPr>
    <w:rPr>
      <w:rFonts w:eastAsia="Calibri" w:cs="Sylfaen"/>
      <w:b w:val="0"/>
      <w:szCs w:val="22"/>
      <w:lang w:val="af-ZA"/>
    </w:rPr>
  </w:style>
  <w:style w:type="paragraph" w:customStyle="1" w:styleId="StyleLeft1cmFirstline0cmRight032cm">
    <w:name w:val="Style Left:  1 cm First line:  0 cm Right:  0.32 cm"/>
    <w:basedOn w:val="Normal"/>
    <w:autoRedefine/>
    <w:rsid w:val="00735DDA"/>
    <w:pPr>
      <w:ind w:left="567" w:right="180"/>
    </w:pPr>
    <w:rPr>
      <w:szCs w:val="20"/>
    </w:rPr>
  </w:style>
  <w:style w:type="character" w:styleId="CommentReference">
    <w:name w:val="annotation reference"/>
    <w:basedOn w:val="DefaultParagraphFont"/>
    <w:uiPriority w:val="99"/>
    <w:rsid w:val="00FA0FC3"/>
    <w:rPr>
      <w:sz w:val="16"/>
      <w:szCs w:val="16"/>
    </w:rPr>
  </w:style>
  <w:style w:type="paragraph" w:styleId="CommentText">
    <w:name w:val="annotation text"/>
    <w:basedOn w:val="Normal"/>
    <w:link w:val="CommentTextChar"/>
    <w:uiPriority w:val="99"/>
    <w:rsid w:val="00FA0FC3"/>
    <w:pPr>
      <w:spacing w:line="240" w:lineRule="auto"/>
    </w:pPr>
    <w:rPr>
      <w:sz w:val="20"/>
      <w:szCs w:val="20"/>
    </w:rPr>
  </w:style>
  <w:style w:type="character" w:customStyle="1" w:styleId="CommentTextChar">
    <w:name w:val="Comment Text Char"/>
    <w:basedOn w:val="DefaultParagraphFont"/>
    <w:link w:val="CommentText"/>
    <w:uiPriority w:val="99"/>
    <w:rsid w:val="00FA0FC3"/>
    <w:rPr>
      <w:rFonts w:ascii="GHEA Grapalat" w:hAnsi="GHEA Grapalat"/>
      <w:lang w:val="ru-RU" w:eastAsia="ru-RU"/>
    </w:rPr>
  </w:style>
  <w:style w:type="paragraph" w:styleId="CommentSubject">
    <w:name w:val="annotation subject"/>
    <w:basedOn w:val="CommentText"/>
    <w:next w:val="CommentText"/>
    <w:link w:val="CommentSubjectChar"/>
    <w:uiPriority w:val="99"/>
    <w:rsid w:val="00FA0FC3"/>
    <w:rPr>
      <w:b w:val="0"/>
      <w:bCs/>
    </w:rPr>
  </w:style>
  <w:style w:type="character" w:customStyle="1" w:styleId="CommentSubjectChar">
    <w:name w:val="Comment Subject Char"/>
    <w:basedOn w:val="CommentTextChar"/>
    <w:link w:val="CommentSubject"/>
    <w:uiPriority w:val="99"/>
    <w:rsid w:val="00FA0FC3"/>
    <w:rPr>
      <w:rFonts w:ascii="GHEA Grapalat" w:hAnsi="GHEA Grapalat"/>
      <w:b/>
      <w:bCs/>
      <w:lang w:val="ru-RU" w:eastAsia="ru-RU"/>
    </w:rPr>
  </w:style>
  <w:style w:type="character" w:customStyle="1" w:styleId="Heading5Char">
    <w:name w:val="Heading 5 Char"/>
    <w:aliases w:val="Side Char"/>
    <w:basedOn w:val="DefaultParagraphFont"/>
    <w:link w:val="Heading5"/>
    <w:rsid w:val="00785686"/>
    <w:rPr>
      <w:rFonts w:ascii="GHEA Grapalat" w:hAnsi="GHEA Grapalat"/>
      <w:b/>
      <w:bCs/>
      <w:i/>
      <w:spacing w:val="60"/>
      <w:sz w:val="22"/>
      <w:lang w:val="hy-AM"/>
    </w:rPr>
  </w:style>
  <w:style w:type="character" w:customStyle="1" w:styleId="Heading7Char">
    <w:name w:val="Heading 7 Char"/>
    <w:basedOn w:val="DefaultParagraphFont"/>
    <w:link w:val="Heading7"/>
    <w:rsid w:val="008E54BF"/>
    <w:rPr>
      <w:rFonts w:ascii="Times Armenian" w:hAnsi="Times Armenian"/>
      <w:spacing w:val="-5"/>
      <w:sz w:val="24"/>
      <w:shd w:val="pct5" w:color="auto" w:fill="auto"/>
      <w:lang w:val="en-GB"/>
    </w:rPr>
  </w:style>
  <w:style w:type="paragraph" w:styleId="NormalIndent">
    <w:name w:val="Normal Indent"/>
    <w:basedOn w:val="Normal"/>
    <w:rsid w:val="008E54BF"/>
    <w:pPr>
      <w:spacing w:before="0"/>
      <w:ind w:left="720"/>
    </w:pPr>
    <w:rPr>
      <w:rFonts w:ascii="Times Armenian" w:hAnsi="Times Armenian"/>
      <w:sz w:val="24"/>
      <w:lang w:val="en-US" w:eastAsia="en-US"/>
    </w:rPr>
  </w:style>
  <w:style w:type="paragraph" w:styleId="TOC4">
    <w:name w:val="toc 4"/>
    <w:basedOn w:val="Normal"/>
    <w:next w:val="Normal"/>
    <w:autoRedefine/>
    <w:uiPriority w:val="39"/>
    <w:rsid w:val="00BA2D53"/>
    <w:pPr>
      <w:tabs>
        <w:tab w:val="left" w:pos="540"/>
        <w:tab w:val="left" w:pos="960"/>
        <w:tab w:val="right" w:leader="dot" w:pos="10065"/>
      </w:tabs>
      <w:spacing w:before="0"/>
      <w:ind w:left="1134"/>
      <w:jc w:val="left"/>
    </w:pPr>
    <w:rPr>
      <w:noProof/>
      <w:sz w:val="21"/>
      <w:szCs w:val="22"/>
      <w:lang w:val="hy-AM" w:eastAsia="en-US"/>
    </w:rPr>
  </w:style>
  <w:style w:type="paragraph" w:styleId="Index1">
    <w:name w:val="index 1"/>
    <w:basedOn w:val="Normal"/>
    <w:next w:val="Normal"/>
    <w:autoRedefine/>
    <w:rsid w:val="008E54BF"/>
    <w:pPr>
      <w:spacing w:before="0" w:line="240" w:lineRule="auto"/>
      <w:ind w:left="220" w:hanging="220"/>
    </w:pPr>
  </w:style>
  <w:style w:type="paragraph" w:styleId="IndexHeading">
    <w:name w:val="index heading"/>
    <w:basedOn w:val="Normal"/>
    <w:next w:val="Index1"/>
    <w:rsid w:val="008E54BF"/>
    <w:pPr>
      <w:tabs>
        <w:tab w:val="left" w:pos="720"/>
      </w:tabs>
      <w:spacing w:before="0"/>
      <w:ind w:left="9"/>
    </w:pPr>
    <w:rPr>
      <w:rFonts w:ascii="Times Armenian" w:hAnsi="Times Armenian"/>
      <w:szCs w:val="20"/>
      <w:lang w:val="hy-AM" w:eastAsia="en-US"/>
    </w:rPr>
  </w:style>
  <w:style w:type="paragraph" w:customStyle="1" w:styleId="xl43">
    <w:name w:val="xl43"/>
    <w:basedOn w:val="Normal"/>
    <w:rsid w:val="008E54BF"/>
    <w:pPr>
      <w:pBdr>
        <w:bottom w:val="single" w:sz="4" w:space="0" w:color="auto"/>
        <w:right w:val="single" w:sz="4" w:space="0" w:color="auto"/>
      </w:pBdr>
      <w:spacing w:before="100" w:beforeAutospacing="1" w:after="100" w:afterAutospacing="1" w:line="240" w:lineRule="auto"/>
      <w:jc w:val="left"/>
      <w:textAlignment w:val="center"/>
    </w:pPr>
    <w:rPr>
      <w:rFonts w:ascii="Times Armenian" w:eastAsia="Arial Unicode MS" w:hAnsi="Times Armenian" w:cs="Arial Unicode MS"/>
      <w:szCs w:val="22"/>
      <w:lang w:val="en-US" w:eastAsia="en-US"/>
    </w:rPr>
  </w:style>
  <w:style w:type="paragraph" w:customStyle="1" w:styleId="xl44">
    <w:name w:val="xl44"/>
    <w:basedOn w:val="Normal"/>
    <w:rsid w:val="008E54BF"/>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Times Armenian" w:eastAsia="Arial Unicode MS" w:hAnsi="Times Armenian" w:cs="Arial Unicode MS"/>
      <w:szCs w:val="22"/>
      <w:lang w:val="en-US" w:eastAsia="en-US"/>
    </w:rPr>
  </w:style>
  <w:style w:type="character" w:styleId="EndnoteReference">
    <w:name w:val="endnote reference"/>
    <w:rsid w:val="008E54BF"/>
    <w:rPr>
      <w:vertAlign w:val="superscript"/>
    </w:rPr>
  </w:style>
  <w:style w:type="table" w:styleId="TableGrid">
    <w:name w:val="Table Grid"/>
    <w:basedOn w:val="TableNormal"/>
    <w:uiPriority w:val="39"/>
    <w:qFormat/>
    <w:rsid w:val="008E54BF"/>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8">
    <w:name w:val="Char8"/>
    <w:basedOn w:val="Normal"/>
    <w:rsid w:val="008E54BF"/>
    <w:pPr>
      <w:spacing w:before="0" w:line="240" w:lineRule="auto"/>
      <w:jc w:val="left"/>
    </w:pPr>
    <w:rPr>
      <w:rFonts w:ascii="Times New Roman" w:hAnsi="Times New Roman"/>
      <w:sz w:val="24"/>
      <w:lang w:val="pl-PL" w:eastAsia="pl-PL"/>
    </w:rPr>
  </w:style>
  <w:style w:type="character" w:customStyle="1" w:styleId="NormalWebChar">
    <w:name w:val="Normal (Web) Char"/>
    <w:aliases w:val="Обычный (веб) Знак Знак Char,Знак Знак Знак Знак Char,Обычный (веб) Знак Знак Знак Char,Знак Знак Знак1 Знак Знак Знак Знак Знак Char,Знак1 Char,Знак Char,webb Char, webb Char"/>
    <w:link w:val="NormalWeb"/>
    <w:locked/>
    <w:rsid w:val="008E54BF"/>
    <w:rPr>
      <w:rFonts w:ascii="GHEA Grapalat" w:hAnsi="GHEA Grapalat"/>
      <w:sz w:val="22"/>
      <w:szCs w:val="24"/>
      <w:lang w:val="ru-RU" w:eastAsia="ru-RU"/>
    </w:rPr>
  </w:style>
  <w:style w:type="numbering" w:customStyle="1" w:styleId="NoList1">
    <w:name w:val="No List1"/>
    <w:next w:val="NoList"/>
    <w:uiPriority w:val="99"/>
    <w:semiHidden/>
    <w:unhideWhenUsed/>
    <w:rsid w:val="008E54BF"/>
  </w:style>
  <w:style w:type="character" w:customStyle="1" w:styleId="Heading1Char">
    <w:name w:val="Heading 1 Char"/>
    <w:aliases w:val="(Text) Char,(Section) Char,Section Heading Char,1 Char, 1 Char,Chapter Char,head3 Char"/>
    <w:link w:val="Heading1"/>
    <w:uiPriority w:val="99"/>
    <w:rsid w:val="0009272D"/>
    <w:rPr>
      <w:rFonts w:ascii="GHEA Grapalat" w:eastAsiaTheme="majorEastAsia" w:hAnsi="GHEA Grapalat" w:cstheme="majorBidi"/>
      <w:b/>
      <w:bCs/>
      <w:color w:val="1F497D" w:themeColor="text2"/>
      <w:sz w:val="24"/>
      <w:szCs w:val="24"/>
      <w:lang w:val="hy-AM"/>
    </w:rPr>
  </w:style>
  <w:style w:type="character" w:customStyle="1" w:styleId="Heading2Char">
    <w:name w:val="Heading 2 Char"/>
    <w:aliases w:val="(Chapter) Char,Paranum Char,Body Char"/>
    <w:link w:val="Heading2"/>
    <w:uiPriority w:val="9"/>
    <w:rsid w:val="002F7255"/>
    <w:rPr>
      <w:rFonts w:ascii="GHEA Grapalat" w:eastAsia="Calibri" w:hAnsi="GHEA Grapalat" w:cs="Times LatArm"/>
      <w:b/>
      <w:sz w:val="24"/>
      <w:szCs w:val="24"/>
      <w:lang w:val="hy-AM"/>
    </w:rPr>
  </w:style>
  <w:style w:type="character" w:customStyle="1" w:styleId="Heading3Char">
    <w:name w:val="Heading 3 Char"/>
    <w:aliases w:val="Centered Char2,(text) Char2,(Sub-Chapter) Char2,Heading 3 Char Char Char Char Char Char Char2"/>
    <w:link w:val="Heading3"/>
    <w:rsid w:val="004F5524"/>
    <w:rPr>
      <w:rFonts w:ascii="GHEA Grapalat" w:eastAsia="Calibri" w:hAnsi="GHEA Grapalat" w:cs="GHEA Grapalat"/>
      <w:b/>
      <w:bCs/>
      <w:noProof/>
      <w:sz w:val="24"/>
      <w:szCs w:val="26"/>
      <w:lang w:val="af-ZA"/>
    </w:rPr>
  </w:style>
  <w:style w:type="character" w:customStyle="1" w:styleId="Heading4Char">
    <w:name w:val="Heading 4 Char"/>
    <w:aliases w:val="Centred Char"/>
    <w:link w:val="Heading4"/>
    <w:rsid w:val="004D4C68"/>
    <w:rPr>
      <w:rFonts w:ascii="GHEA Grapalat" w:hAnsi="GHEA Grapalat"/>
      <w:b/>
      <w:sz w:val="22"/>
      <w:lang w:val="en-GB"/>
    </w:rPr>
  </w:style>
  <w:style w:type="character" w:customStyle="1" w:styleId="Heading6Char">
    <w:name w:val="Heading 6 Char"/>
    <w:link w:val="Heading6"/>
    <w:rsid w:val="008E54BF"/>
    <w:rPr>
      <w:rFonts w:ascii="GHEA Grapalat" w:hAnsi="GHEA Grapalat"/>
      <w:b/>
      <w:bCs/>
      <w:sz w:val="22"/>
      <w:szCs w:val="22"/>
      <w:lang w:val="en-GB"/>
    </w:rPr>
  </w:style>
  <w:style w:type="numbering" w:customStyle="1" w:styleId="NoList11">
    <w:name w:val="No List11"/>
    <w:next w:val="NoList"/>
    <w:semiHidden/>
    <w:rsid w:val="008E54BF"/>
  </w:style>
  <w:style w:type="character" w:customStyle="1" w:styleId="BodyText2Char">
    <w:name w:val="Body Text 2 Char"/>
    <w:aliases w:val="1Text Char"/>
    <w:link w:val="BodyText2"/>
    <w:rsid w:val="00E960A7"/>
    <w:rPr>
      <w:rFonts w:ascii="GHEA Grapalat" w:eastAsia="Calibri" w:hAnsi="GHEA Grapalat"/>
      <w:sz w:val="22"/>
      <w:szCs w:val="22"/>
      <w:lang w:val="hy-AM"/>
    </w:rPr>
  </w:style>
  <w:style w:type="character" w:customStyle="1" w:styleId="BodyText3Char">
    <w:name w:val="Body Text 3 Char"/>
    <w:link w:val="BodyText3"/>
    <w:rsid w:val="008E54BF"/>
    <w:rPr>
      <w:rFonts w:ascii="Times Armenian" w:hAnsi="Times Armenian"/>
      <w:bCs/>
      <w:sz w:val="22"/>
    </w:rPr>
  </w:style>
  <w:style w:type="character" w:customStyle="1" w:styleId="HeaderChar">
    <w:name w:val="Header Char"/>
    <w:aliases w:val="Header Char Char Char Char Char Char Char Char Char Char Char1,Header Char Char Char Char Char Char Char Char Char Char Char Char Char1,h Char1"/>
    <w:link w:val="Header"/>
    <w:uiPriority w:val="99"/>
    <w:rsid w:val="008E54BF"/>
    <w:rPr>
      <w:rFonts w:ascii="GHEA Grapalat" w:hAnsi="GHEA Grapalat"/>
      <w:lang w:val="en-AU"/>
    </w:rPr>
  </w:style>
  <w:style w:type="character" w:customStyle="1" w:styleId="BodyTextIndent2Char">
    <w:name w:val="Body Text Indent 2 Char"/>
    <w:link w:val="BodyTextIndent2"/>
    <w:rsid w:val="008E54BF"/>
    <w:rPr>
      <w:rFonts w:ascii="Arial Armenian" w:hAnsi="Arial Armenian"/>
      <w:bCs/>
      <w:sz w:val="22"/>
    </w:rPr>
  </w:style>
  <w:style w:type="character" w:customStyle="1" w:styleId="BalloonTextChar">
    <w:name w:val="Balloon Text Char"/>
    <w:link w:val="BalloonText"/>
    <w:uiPriority w:val="99"/>
    <w:rsid w:val="008E54BF"/>
    <w:rPr>
      <w:rFonts w:ascii="Tahoma" w:hAnsi="Tahoma" w:cs="Tahoma"/>
      <w:sz w:val="16"/>
      <w:szCs w:val="16"/>
      <w:lang w:val="ru-RU" w:eastAsia="ru-RU"/>
    </w:rPr>
  </w:style>
  <w:style w:type="table" w:customStyle="1" w:styleId="TableGrid1">
    <w:name w:val="Table Grid1"/>
    <w:basedOn w:val="TableNormal"/>
    <w:next w:val="TableGrid"/>
    <w:qFormat/>
    <w:rsid w:val="008E54BF"/>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semiHidden/>
    <w:rsid w:val="008E54BF"/>
  </w:style>
  <w:style w:type="paragraph" w:styleId="TableofFigures">
    <w:name w:val="table of figures"/>
    <w:basedOn w:val="Normal"/>
    <w:next w:val="Normal"/>
    <w:autoRedefine/>
    <w:uiPriority w:val="99"/>
    <w:rsid w:val="00E54C03"/>
    <w:pPr>
      <w:tabs>
        <w:tab w:val="left" w:pos="1843"/>
        <w:tab w:val="right" w:leader="dot" w:pos="9923"/>
      </w:tabs>
      <w:spacing w:before="0"/>
      <w:jc w:val="left"/>
    </w:pPr>
  </w:style>
  <w:style w:type="character" w:styleId="PlaceholderText">
    <w:name w:val="Placeholder Text"/>
    <w:basedOn w:val="DefaultParagraphFont"/>
    <w:uiPriority w:val="99"/>
    <w:semiHidden/>
    <w:rsid w:val="00D43712"/>
    <w:rPr>
      <w:color w:val="808080"/>
    </w:rPr>
  </w:style>
  <w:style w:type="character" w:customStyle="1" w:styleId="Heading8Char">
    <w:name w:val="Heading 8 Char"/>
    <w:basedOn w:val="DefaultParagraphFont"/>
    <w:link w:val="Heading8"/>
    <w:rsid w:val="00060470"/>
    <w:rPr>
      <w:rFonts w:ascii="Arial Black" w:hAnsi="Arial Black"/>
      <w:caps/>
      <w:spacing w:val="60"/>
      <w:position w:val="4"/>
      <w:sz w:val="14"/>
      <w:lang w:val="en-GB"/>
    </w:rPr>
  </w:style>
  <w:style w:type="character" w:customStyle="1" w:styleId="Heading9Char">
    <w:name w:val="Heading 9 Char"/>
    <w:basedOn w:val="DefaultParagraphFont"/>
    <w:link w:val="Heading9"/>
    <w:rsid w:val="00060470"/>
    <w:rPr>
      <w:rFonts w:ascii="Garamond" w:hAnsi="Garamond"/>
      <w:b/>
      <w:i/>
      <w:kern w:val="28"/>
      <w:sz w:val="16"/>
      <w:lang w:val="en-GB"/>
    </w:rPr>
  </w:style>
  <w:style w:type="character" w:customStyle="1" w:styleId="FooterChar1">
    <w:name w:val="Footer Char1"/>
    <w:locked/>
    <w:rsid w:val="00060470"/>
    <w:rPr>
      <w:lang w:val="en-GB" w:eastAsia="en-US" w:bidi="ar-SA"/>
    </w:rPr>
  </w:style>
  <w:style w:type="paragraph" w:customStyle="1" w:styleId="CharChar7">
    <w:name w:val="Char Char7"/>
    <w:basedOn w:val="Normal"/>
    <w:rsid w:val="00060470"/>
    <w:pPr>
      <w:spacing w:before="0" w:after="160" w:line="240" w:lineRule="exact"/>
      <w:jc w:val="left"/>
    </w:pPr>
    <w:rPr>
      <w:rFonts w:ascii="Arial" w:hAnsi="Arial" w:cs="Arial"/>
      <w:sz w:val="20"/>
      <w:szCs w:val="20"/>
      <w:lang w:val="en-US" w:eastAsia="en-US"/>
    </w:rPr>
  </w:style>
  <w:style w:type="paragraph" w:customStyle="1" w:styleId="CoverSubTitle">
    <w:name w:val="Cover SubTitle"/>
    <w:basedOn w:val="Normal"/>
    <w:rsid w:val="00060470"/>
    <w:pPr>
      <w:spacing w:before="0" w:line="440" w:lineRule="exact"/>
      <w:jc w:val="center"/>
    </w:pPr>
    <w:rPr>
      <w:rFonts w:ascii="Times New Roman" w:hAnsi="Times New Roman"/>
      <w:sz w:val="32"/>
      <w:szCs w:val="20"/>
      <w:lang w:val="en-US" w:eastAsia="en-US"/>
    </w:rPr>
  </w:style>
  <w:style w:type="paragraph" w:customStyle="1" w:styleId="xl25">
    <w:name w:val="xl25"/>
    <w:basedOn w:val="Normal"/>
    <w:rsid w:val="00060470"/>
    <w:pPr>
      <w:spacing w:before="100" w:after="100" w:line="240" w:lineRule="auto"/>
      <w:jc w:val="center"/>
    </w:pPr>
    <w:rPr>
      <w:rFonts w:ascii="Times Armenian" w:hAnsi="Times Armenian"/>
      <w:sz w:val="24"/>
      <w:szCs w:val="20"/>
      <w:lang w:val="en-US" w:eastAsia="en-US"/>
    </w:rPr>
  </w:style>
  <w:style w:type="paragraph" w:customStyle="1" w:styleId="ModelSingleNoIndent">
    <w:name w:val="ModelSingleNoIndent"/>
    <w:basedOn w:val="Normal"/>
    <w:rsid w:val="00060470"/>
    <w:pPr>
      <w:spacing w:before="0" w:after="240" w:line="240" w:lineRule="auto"/>
    </w:pPr>
    <w:rPr>
      <w:rFonts w:ascii="Times New Roman" w:hAnsi="Times New Roman"/>
      <w:szCs w:val="20"/>
      <w:lang w:val="en-US" w:eastAsia="en-US"/>
    </w:rPr>
  </w:style>
  <w:style w:type="paragraph" w:customStyle="1" w:styleId="Head4">
    <w:name w:val="Head 4"/>
    <w:basedOn w:val="Heading4"/>
    <w:rsid w:val="00060470"/>
    <w:pPr>
      <w:widowControl w:val="0"/>
      <w:tabs>
        <w:tab w:val="left" w:pos="624"/>
      </w:tabs>
      <w:spacing w:before="0"/>
      <w:ind w:left="0" w:firstLine="624"/>
      <w:jc w:val="left"/>
    </w:pPr>
    <w:rPr>
      <w:rFonts w:ascii="Arial Armenian" w:hAnsi="Arial Armenian"/>
      <w:i/>
      <w:spacing w:val="-5"/>
      <w:sz w:val="24"/>
      <w:u w:val="single"/>
      <w:lang w:val="fr-FR"/>
    </w:rPr>
  </w:style>
  <w:style w:type="paragraph" w:customStyle="1" w:styleId="BodyTextMainTextdate">
    <w:name w:val="Body Text.(Main Text).date"/>
    <w:basedOn w:val="Normal"/>
    <w:rsid w:val="00060470"/>
    <w:pPr>
      <w:spacing w:before="0" w:line="240" w:lineRule="auto"/>
      <w:jc w:val="center"/>
    </w:pPr>
    <w:rPr>
      <w:rFonts w:ascii="Times LatArm" w:hAnsi="Times LatArm"/>
      <w:b w:val="0"/>
      <w:i/>
      <w:sz w:val="28"/>
      <w:szCs w:val="20"/>
      <w:lang w:val="en-US" w:eastAsia="en-US"/>
    </w:rPr>
  </w:style>
  <w:style w:type="paragraph" w:customStyle="1" w:styleId="Char7">
    <w:name w:val="Char7"/>
    <w:basedOn w:val="Normal"/>
    <w:next w:val="Normal"/>
    <w:rsid w:val="00060470"/>
    <w:pPr>
      <w:spacing w:before="0" w:after="160" w:line="240" w:lineRule="exact"/>
      <w:jc w:val="left"/>
    </w:pPr>
    <w:rPr>
      <w:rFonts w:ascii="Tahoma" w:hAnsi="Tahoma"/>
      <w:sz w:val="24"/>
      <w:szCs w:val="20"/>
      <w:lang w:val="en-US" w:eastAsia="en-US"/>
    </w:rPr>
  </w:style>
  <w:style w:type="paragraph" w:customStyle="1" w:styleId="a1">
    <w:name w:val="???????"/>
    <w:link w:val="Char1"/>
    <w:rsid w:val="00060470"/>
    <w:rPr>
      <w:lang w:val="ru-RU" w:eastAsia="ru-RU"/>
    </w:rPr>
  </w:style>
  <w:style w:type="paragraph" w:customStyle="1" w:styleId="Char1CharCharCharCharCharCharCharCharCharCharCharChar">
    <w:name w:val="Char1 Char Char Char Char Char Char Char Char Char Char Char Char"/>
    <w:basedOn w:val="Normal"/>
    <w:uiPriority w:val="99"/>
    <w:rsid w:val="00060470"/>
    <w:pPr>
      <w:spacing w:before="0" w:after="160" w:line="240" w:lineRule="exact"/>
      <w:jc w:val="left"/>
    </w:pPr>
    <w:rPr>
      <w:rFonts w:ascii="Arial" w:hAnsi="Arial" w:cs="Arial"/>
      <w:sz w:val="20"/>
      <w:szCs w:val="20"/>
      <w:lang w:val="en-US" w:eastAsia="en-US"/>
    </w:rPr>
  </w:style>
  <w:style w:type="paragraph" w:customStyle="1" w:styleId="Armenian">
    <w:name w:val="Armenian"/>
    <w:basedOn w:val="Normal"/>
    <w:rsid w:val="00060470"/>
    <w:pPr>
      <w:spacing w:before="0" w:line="240" w:lineRule="auto"/>
      <w:jc w:val="left"/>
    </w:pPr>
    <w:rPr>
      <w:rFonts w:ascii="Times LatArm" w:hAnsi="Times LatArm"/>
      <w:sz w:val="24"/>
      <w:lang w:val="en-US"/>
    </w:rPr>
  </w:style>
  <w:style w:type="paragraph" w:customStyle="1" w:styleId="CharCharChar0">
    <w:name w:val="Char Char Char"/>
    <w:basedOn w:val="Normal"/>
    <w:uiPriority w:val="99"/>
    <w:rsid w:val="00060470"/>
    <w:pPr>
      <w:spacing w:before="0" w:after="160" w:line="240" w:lineRule="exact"/>
      <w:jc w:val="left"/>
    </w:pPr>
    <w:rPr>
      <w:rFonts w:ascii="Arial" w:hAnsi="Arial" w:cs="Arial"/>
      <w:sz w:val="20"/>
      <w:szCs w:val="20"/>
      <w:lang w:val="en-US" w:eastAsia="en-US"/>
    </w:rPr>
  </w:style>
  <w:style w:type="paragraph" w:customStyle="1" w:styleId="ModelNrmlDouble">
    <w:name w:val="ModelNrmlDouble"/>
    <w:basedOn w:val="Normal"/>
    <w:rsid w:val="00060470"/>
    <w:pPr>
      <w:overflowPunct w:val="0"/>
      <w:autoSpaceDE w:val="0"/>
      <w:autoSpaceDN w:val="0"/>
      <w:adjustRightInd w:val="0"/>
      <w:spacing w:before="0" w:after="360" w:line="480" w:lineRule="auto"/>
      <w:ind w:firstLine="720"/>
      <w:textAlignment w:val="baseline"/>
    </w:pPr>
    <w:rPr>
      <w:rFonts w:ascii="Times New Roman" w:hAnsi="Times New Roman"/>
      <w:szCs w:val="20"/>
      <w:lang w:val="en-US" w:eastAsia="en-US"/>
    </w:rPr>
  </w:style>
  <w:style w:type="paragraph" w:customStyle="1" w:styleId="norm">
    <w:name w:val="norm"/>
    <w:basedOn w:val="Normal"/>
    <w:link w:val="normChar"/>
    <w:rsid w:val="00060470"/>
    <w:pPr>
      <w:spacing w:before="0" w:line="480" w:lineRule="auto"/>
      <w:ind w:firstLine="709"/>
    </w:pPr>
    <w:rPr>
      <w:rFonts w:ascii="Arial Armenian" w:hAnsi="Arial Armenian"/>
      <w:szCs w:val="20"/>
      <w:lang w:val="en-US"/>
    </w:rPr>
  </w:style>
  <w:style w:type="paragraph" w:styleId="ListBullet">
    <w:name w:val="List Bullet"/>
    <w:basedOn w:val="Normal"/>
    <w:autoRedefine/>
    <w:qFormat/>
    <w:rsid w:val="00060470"/>
    <w:pPr>
      <w:overflowPunct w:val="0"/>
      <w:autoSpaceDE w:val="0"/>
      <w:autoSpaceDN w:val="0"/>
      <w:adjustRightInd w:val="0"/>
      <w:spacing w:before="130" w:line="240" w:lineRule="auto"/>
      <w:ind w:left="928" w:hanging="360"/>
      <w:textAlignment w:val="baseline"/>
    </w:pPr>
    <w:rPr>
      <w:rFonts w:ascii="Times New Roman" w:hAnsi="Times New Roman"/>
      <w:szCs w:val="20"/>
      <w:lang w:val="en-GB" w:eastAsia="en-US"/>
    </w:rPr>
  </w:style>
  <w:style w:type="paragraph" w:styleId="PlainText">
    <w:name w:val="Plain Text"/>
    <w:basedOn w:val="Normal"/>
    <w:link w:val="PlainTextChar"/>
    <w:rsid w:val="00060470"/>
    <w:pPr>
      <w:numPr>
        <w:numId w:val="12"/>
      </w:numPr>
      <w:tabs>
        <w:tab w:val="clear" w:pos="540"/>
      </w:tabs>
      <w:spacing w:before="0" w:line="240" w:lineRule="auto"/>
      <w:ind w:left="0" w:firstLine="0"/>
      <w:jc w:val="left"/>
    </w:pPr>
    <w:rPr>
      <w:rFonts w:ascii="Courier New" w:hAnsi="Courier New"/>
      <w:sz w:val="20"/>
      <w:szCs w:val="20"/>
    </w:rPr>
  </w:style>
  <w:style w:type="character" w:customStyle="1" w:styleId="PlainTextChar">
    <w:name w:val="Plain Text Char"/>
    <w:basedOn w:val="DefaultParagraphFont"/>
    <w:link w:val="PlainText"/>
    <w:rsid w:val="00060470"/>
    <w:rPr>
      <w:rFonts w:ascii="Courier New" w:hAnsi="Courier New"/>
      <w:b/>
      <w:lang w:val="ru-RU" w:eastAsia="ru-RU"/>
    </w:rPr>
  </w:style>
  <w:style w:type="paragraph" w:customStyle="1" w:styleId="Tabletext">
    <w:name w:val="Tabletext"/>
    <w:basedOn w:val="Normal"/>
    <w:rsid w:val="00060470"/>
    <w:pPr>
      <w:overflowPunct w:val="0"/>
      <w:autoSpaceDE w:val="0"/>
      <w:autoSpaceDN w:val="0"/>
      <w:adjustRightInd w:val="0"/>
      <w:spacing w:before="0" w:line="240" w:lineRule="auto"/>
      <w:ind w:left="153" w:hanging="153"/>
      <w:jc w:val="left"/>
      <w:textAlignment w:val="baseline"/>
    </w:pPr>
    <w:rPr>
      <w:rFonts w:ascii="Times New Roman" w:hAnsi="Times New Roman"/>
      <w:sz w:val="18"/>
      <w:szCs w:val="20"/>
      <w:lang w:val="en-GB" w:eastAsia="en-US"/>
    </w:rPr>
  </w:style>
  <w:style w:type="paragraph" w:styleId="ListBullet2">
    <w:name w:val="List Bullet 2"/>
    <w:basedOn w:val="Normal"/>
    <w:autoRedefine/>
    <w:rsid w:val="00060470"/>
    <w:pPr>
      <w:numPr>
        <w:numId w:val="2"/>
      </w:numPr>
      <w:spacing w:before="0" w:line="240" w:lineRule="auto"/>
      <w:jc w:val="left"/>
    </w:pPr>
    <w:rPr>
      <w:rFonts w:ascii="Times New Roman" w:hAnsi="Times New Roman"/>
      <w:sz w:val="24"/>
      <w:lang w:val="en-US" w:eastAsia="en-US"/>
    </w:rPr>
  </w:style>
  <w:style w:type="paragraph" w:styleId="ListContinue2">
    <w:name w:val="List Continue 2"/>
    <w:basedOn w:val="Normal"/>
    <w:rsid w:val="00060470"/>
    <w:pPr>
      <w:spacing w:before="0" w:after="120" w:line="240" w:lineRule="auto"/>
      <w:ind w:left="720"/>
      <w:jc w:val="left"/>
    </w:pPr>
    <w:rPr>
      <w:rFonts w:ascii="Times New Roman" w:hAnsi="Times New Roman"/>
      <w:sz w:val="24"/>
      <w:lang w:val="en-US" w:eastAsia="en-US"/>
    </w:rPr>
  </w:style>
  <w:style w:type="paragraph" w:customStyle="1" w:styleId="GlossaryHeader">
    <w:name w:val="Glossary Header"/>
    <w:next w:val="Normal"/>
    <w:rsid w:val="00060470"/>
    <w:pPr>
      <w:pageBreakBefore/>
      <w:overflowPunct w:val="0"/>
      <w:autoSpaceDE w:val="0"/>
      <w:autoSpaceDN w:val="0"/>
      <w:adjustRightInd w:val="0"/>
      <w:textAlignment w:val="baseline"/>
    </w:pPr>
    <w:rPr>
      <w:noProof/>
      <w:sz w:val="36"/>
      <w:lang w:val="en-GB"/>
    </w:rPr>
  </w:style>
  <w:style w:type="paragraph" w:customStyle="1" w:styleId="CaptionSubtitle">
    <w:name w:val="Caption: Subtitle"/>
    <w:rsid w:val="00060470"/>
    <w:rPr>
      <w:rFonts w:ascii="Arial" w:hAnsi="Arial"/>
      <w:noProof/>
      <w:sz w:val="18"/>
    </w:rPr>
  </w:style>
  <w:style w:type="paragraph" w:customStyle="1" w:styleId="KLegalHeading3">
    <w:name w:val="KLegal Heading 3"/>
    <w:basedOn w:val="Normal"/>
    <w:next w:val="Text"/>
    <w:rsid w:val="00060470"/>
    <w:pPr>
      <w:keepNext/>
      <w:numPr>
        <w:ilvl w:val="2"/>
        <w:numId w:val="1"/>
      </w:numPr>
      <w:overflowPunct w:val="0"/>
      <w:autoSpaceDE w:val="0"/>
      <w:autoSpaceDN w:val="0"/>
      <w:adjustRightInd w:val="0"/>
      <w:spacing w:before="0" w:after="220" w:line="240" w:lineRule="auto"/>
      <w:ind w:left="1440" w:hanging="720"/>
      <w:textAlignment w:val="baseline"/>
    </w:pPr>
    <w:rPr>
      <w:rFonts w:ascii="Times New Roman" w:hAnsi="Times New Roman"/>
      <w:b w:val="0"/>
      <w:szCs w:val="20"/>
      <w:lang w:val="en-GB" w:eastAsia="en-US"/>
    </w:rPr>
  </w:style>
  <w:style w:type="paragraph" w:customStyle="1" w:styleId="KLegalHeading4">
    <w:name w:val="KLegal Heading 4"/>
    <w:basedOn w:val="Normal"/>
    <w:next w:val="Text"/>
    <w:rsid w:val="00060470"/>
    <w:pPr>
      <w:keepNext/>
      <w:numPr>
        <w:ilvl w:val="3"/>
        <w:numId w:val="1"/>
      </w:numPr>
      <w:overflowPunct w:val="0"/>
      <w:autoSpaceDE w:val="0"/>
      <w:autoSpaceDN w:val="0"/>
      <w:adjustRightInd w:val="0"/>
      <w:spacing w:before="0" w:after="220" w:line="240" w:lineRule="auto"/>
      <w:ind w:left="2160" w:hanging="720"/>
      <w:textAlignment w:val="baseline"/>
    </w:pPr>
    <w:rPr>
      <w:rFonts w:ascii="Times New Roman" w:hAnsi="Times New Roman"/>
      <w:b w:val="0"/>
      <w:i/>
      <w:szCs w:val="20"/>
      <w:lang w:val="en-GB" w:eastAsia="en-US"/>
    </w:rPr>
  </w:style>
  <w:style w:type="paragraph" w:customStyle="1" w:styleId="KLegalHeading1">
    <w:name w:val="KLegal Heading 1"/>
    <w:basedOn w:val="Normal"/>
    <w:next w:val="KLegalHeading2"/>
    <w:rsid w:val="00060470"/>
    <w:pPr>
      <w:keepNext/>
      <w:pageBreakBefore/>
      <w:overflowPunct w:val="0"/>
      <w:autoSpaceDE w:val="0"/>
      <w:autoSpaceDN w:val="0"/>
      <w:adjustRightInd w:val="0"/>
      <w:spacing w:before="0" w:after="440" w:line="240" w:lineRule="auto"/>
      <w:ind w:left="851" w:hanging="851"/>
      <w:textAlignment w:val="baseline"/>
      <w:outlineLvl w:val="0"/>
    </w:pPr>
    <w:rPr>
      <w:rFonts w:ascii="Times New Roman" w:hAnsi="Times New Roman"/>
      <w:b w:val="0"/>
      <w:sz w:val="32"/>
      <w:szCs w:val="20"/>
      <w:lang w:val="en-GB" w:eastAsia="en-US"/>
    </w:rPr>
  </w:style>
  <w:style w:type="paragraph" w:customStyle="1" w:styleId="KLegalHeading2">
    <w:name w:val="KLegal Heading 2"/>
    <w:basedOn w:val="Normal"/>
    <w:next w:val="KLegalHeading3"/>
    <w:rsid w:val="00060470"/>
    <w:pPr>
      <w:keepNext/>
      <w:numPr>
        <w:ilvl w:val="1"/>
        <w:numId w:val="1"/>
      </w:numPr>
      <w:overflowPunct w:val="0"/>
      <w:autoSpaceDE w:val="0"/>
      <w:autoSpaceDN w:val="0"/>
      <w:adjustRightInd w:val="0"/>
      <w:spacing w:before="0" w:after="220" w:line="240" w:lineRule="auto"/>
      <w:ind w:left="851" w:hanging="851"/>
      <w:textAlignment w:val="baseline"/>
      <w:outlineLvl w:val="1"/>
    </w:pPr>
    <w:rPr>
      <w:rFonts w:ascii="Times New Roman" w:hAnsi="Times New Roman"/>
      <w:b w:val="0"/>
      <w:sz w:val="28"/>
      <w:szCs w:val="20"/>
      <w:lang w:val="en-GB" w:eastAsia="en-US"/>
    </w:rPr>
  </w:style>
  <w:style w:type="paragraph" w:customStyle="1" w:styleId="font5">
    <w:name w:val="font5"/>
    <w:basedOn w:val="Normal"/>
    <w:rsid w:val="00060470"/>
    <w:pPr>
      <w:spacing w:before="100" w:beforeAutospacing="1" w:after="100" w:afterAutospacing="1" w:line="240" w:lineRule="auto"/>
      <w:jc w:val="left"/>
    </w:pPr>
    <w:rPr>
      <w:rFonts w:ascii="Times Armenian" w:hAnsi="Times Armenian"/>
      <w:color w:val="000000"/>
      <w:sz w:val="16"/>
      <w:szCs w:val="16"/>
      <w:lang w:val="en-US" w:eastAsia="en-US"/>
    </w:rPr>
  </w:style>
  <w:style w:type="paragraph" w:customStyle="1" w:styleId="font6">
    <w:name w:val="font6"/>
    <w:basedOn w:val="Normal"/>
    <w:rsid w:val="00060470"/>
    <w:pPr>
      <w:spacing w:before="100" w:beforeAutospacing="1" w:after="100" w:afterAutospacing="1" w:line="240" w:lineRule="auto"/>
      <w:jc w:val="left"/>
    </w:pPr>
    <w:rPr>
      <w:rFonts w:ascii="Times Armenian" w:hAnsi="Times Armenian"/>
      <w:b w:val="0"/>
      <w:bCs/>
      <w:color w:val="000000"/>
      <w:sz w:val="16"/>
      <w:szCs w:val="16"/>
      <w:lang w:val="en-US" w:eastAsia="en-US"/>
    </w:rPr>
  </w:style>
  <w:style w:type="paragraph" w:customStyle="1" w:styleId="font7">
    <w:name w:val="font7"/>
    <w:basedOn w:val="Normal"/>
    <w:rsid w:val="00060470"/>
    <w:pPr>
      <w:spacing w:before="100" w:beforeAutospacing="1" w:after="100" w:afterAutospacing="1" w:line="240" w:lineRule="auto"/>
      <w:jc w:val="left"/>
    </w:pPr>
    <w:rPr>
      <w:rFonts w:ascii="Times Armenian" w:hAnsi="Times Armenian"/>
      <w:color w:val="000000"/>
      <w:sz w:val="20"/>
      <w:szCs w:val="20"/>
      <w:lang w:val="en-US" w:eastAsia="en-US"/>
    </w:rPr>
  </w:style>
  <w:style w:type="paragraph" w:customStyle="1" w:styleId="font8">
    <w:name w:val="font8"/>
    <w:basedOn w:val="Normal"/>
    <w:rsid w:val="00060470"/>
    <w:pPr>
      <w:spacing w:before="100" w:beforeAutospacing="1" w:after="100" w:afterAutospacing="1" w:line="240" w:lineRule="auto"/>
      <w:jc w:val="left"/>
    </w:pPr>
    <w:rPr>
      <w:rFonts w:ascii="Times Armenian" w:hAnsi="Times Armenian"/>
      <w:color w:val="000000"/>
      <w:sz w:val="16"/>
      <w:szCs w:val="16"/>
      <w:lang w:val="en-US" w:eastAsia="en-US"/>
    </w:rPr>
  </w:style>
  <w:style w:type="paragraph" w:customStyle="1" w:styleId="font9">
    <w:name w:val="font9"/>
    <w:basedOn w:val="Normal"/>
    <w:rsid w:val="00060470"/>
    <w:pPr>
      <w:spacing w:before="100" w:beforeAutospacing="1" w:after="100" w:afterAutospacing="1" w:line="240" w:lineRule="auto"/>
      <w:jc w:val="left"/>
    </w:pPr>
    <w:rPr>
      <w:rFonts w:ascii="Times Armenian" w:hAnsi="Times Armenian"/>
      <w:color w:val="000000"/>
      <w:szCs w:val="22"/>
      <w:lang w:val="en-US" w:eastAsia="en-US"/>
    </w:rPr>
  </w:style>
  <w:style w:type="paragraph" w:customStyle="1" w:styleId="font10">
    <w:name w:val="font10"/>
    <w:basedOn w:val="Normal"/>
    <w:rsid w:val="00060470"/>
    <w:pPr>
      <w:spacing w:before="100" w:beforeAutospacing="1" w:after="100" w:afterAutospacing="1" w:line="240" w:lineRule="auto"/>
      <w:jc w:val="left"/>
    </w:pPr>
    <w:rPr>
      <w:rFonts w:ascii="Times Armenian" w:hAnsi="Times Armenian"/>
      <w:b w:val="0"/>
      <w:bCs/>
      <w:color w:val="000000"/>
      <w:sz w:val="16"/>
      <w:szCs w:val="16"/>
      <w:lang w:val="en-US" w:eastAsia="en-US"/>
    </w:rPr>
  </w:style>
  <w:style w:type="paragraph" w:customStyle="1" w:styleId="xl65">
    <w:name w:val="xl65"/>
    <w:basedOn w:val="Normal"/>
    <w:rsid w:val="00060470"/>
    <w:pPr>
      <w:spacing w:before="100" w:beforeAutospacing="1" w:after="100" w:afterAutospacing="1" w:line="240" w:lineRule="auto"/>
      <w:jc w:val="left"/>
      <w:textAlignment w:val="center"/>
    </w:pPr>
    <w:rPr>
      <w:rFonts w:ascii="Times New Roman" w:hAnsi="Times New Roman"/>
      <w:sz w:val="24"/>
      <w:lang w:val="en-US" w:eastAsia="en-US"/>
    </w:rPr>
  </w:style>
  <w:style w:type="paragraph" w:customStyle="1" w:styleId="xl66">
    <w:name w:val="xl66"/>
    <w:basedOn w:val="Normal"/>
    <w:rsid w:val="00060470"/>
    <w:pPr>
      <w:pBdr>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67">
    <w:name w:val="xl67"/>
    <w:basedOn w:val="Normal"/>
    <w:rsid w:val="00060470"/>
    <w:pPr>
      <w:spacing w:before="100" w:beforeAutospacing="1" w:after="100" w:afterAutospacing="1" w:line="240" w:lineRule="auto"/>
      <w:jc w:val="center"/>
      <w:textAlignment w:val="center"/>
    </w:pPr>
    <w:rPr>
      <w:rFonts w:ascii="Times New Roman" w:hAnsi="Times New Roman"/>
      <w:sz w:val="24"/>
      <w:lang w:val="en-US" w:eastAsia="en-US"/>
    </w:rPr>
  </w:style>
  <w:style w:type="paragraph" w:customStyle="1" w:styleId="xl68">
    <w:name w:val="xl68"/>
    <w:basedOn w:val="Normal"/>
    <w:rsid w:val="00060470"/>
    <w:pPr>
      <w:spacing w:before="100" w:beforeAutospacing="1" w:after="100" w:afterAutospacing="1" w:line="240" w:lineRule="auto"/>
      <w:jc w:val="right"/>
      <w:textAlignment w:val="top"/>
    </w:pPr>
    <w:rPr>
      <w:rFonts w:ascii="Times Armenian" w:hAnsi="Times Armenian"/>
      <w:sz w:val="18"/>
      <w:szCs w:val="18"/>
      <w:lang w:val="en-US" w:eastAsia="en-US"/>
    </w:rPr>
  </w:style>
  <w:style w:type="paragraph" w:customStyle="1" w:styleId="xl69">
    <w:name w:val="xl69"/>
    <w:basedOn w:val="Normal"/>
    <w:rsid w:val="00060470"/>
    <w:pPr>
      <w:spacing w:before="100" w:beforeAutospacing="1" w:after="100" w:afterAutospacing="1" w:line="240" w:lineRule="auto"/>
      <w:textAlignment w:val="top"/>
    </w:pPr>
    <w:rPr>
      <w:rFonts w:ascii="Times Armenian" w:hAnsi="Times Armenian"/>
      <w:sz w:val="18"/>
      <w:szCs w:val="18"/>
      <w:lang w:val="en-US" w:eastAsia="en-US"/>
    </w:rPr>
  </w:style>
  <w:style w:type="paragraph" w:customStyle="1" w:styleId="xl70">
    <w:name w:val="xl70"/>
    <w:basedOn w:val="Normal"/>
    <w:rsid w:val="00060470"/>
    <w:pPr>
      <w:pBdr>
        <w:top w:val="double" w:sz="6" w:space="0" w:color="auto"/>
        <w:left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1">
    <w:name w:val="xl71"/>
    <w:basedOn w:val="Normal"/>
    <w:rsid w:val="00060470"/>
    <w:pPr>
      <w:pBdr>
        <w:top w:val="double" w:sz="6" w:space="0" w:color="auto"/>
        <w:left w:val="single" w:sz="8"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2">
    <w:name w:val="xl72"/>
    <w:basedOn w:val="Normal"/>
    <w:rsid w:val="00060470"/>
    <w:pPr>
      <w:pBdr>
        <w:top w:val="double" w:sz="6" w:space="0" w:color="auto"/>
        <w:lef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3">
    <w:name w:val="xl73"/>
    <w:basedOn w:val="Normal"/>
    <w:rsid w:val="00060470"/>
    <w:pPr>
      <w:pBdr>
        <w:top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4">
    <w:name w:val="xl74"/>
    <w:basedOn w:val="Normal"/>
    <w:rsid w:val="00060470"/>
    <w:pPr>
      <w:pBdr>
        <w:top w:val="double" w:sz="6" w:space="0" w:color="auto"/>
        <w:left w:val="single" w:sz="8" w:space="0" w:color="auto"/>
        <w:bottom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5">
    <w:name w:val="xl75"/>
    <w:basedOn w:val="Normal"/>
    <w:rsid w:val="00060470"/>
    <w:pPr>
      <w:pBdr>
        <w:top w:val="double" w:sz="6" w:space="0" w:color="auto"/>
        <w:bottom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6">
    <w:name w:val="xl76"/>
    <w:basedOn w:val="Normal"/>
    <w:rsid w:val="00060470"/>
    <w:pPr>
      <w:pBdr>
        <w:top w:val="double" w:sz="6" w:space="0" w:color="auto"/>
        <w:bottom w:val="single" w:sz="8"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7">
    <w:name w:val="xl77"/>
    <w:basedOn w:val="Normal"/>
    <w:rsid w:val="00060470"/>
    <w:pPr>
      <w:pBdr>
        <w:left w:val="double" w:sz="6" w:space="0" w:color="auto"/>
        <w:bottom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8">
    <w:name w:val="xl78"/>
    <w:basedOn w:val="Normal"/>
    <w:rsid w:val="00060470"/>
    <w:pPr>
      <w:pBdr>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79">
    <w:name w:val="xl79"/>
    <w:basedOn w:val="Normal"/>
    <w:rsid w:val="00060470"/>
    <w:pPr>
      <w:pBdr>
        <w:left w:val="single" w:sz="8" w:space="0" w:color="auto"/>
        <w:bottom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80">
    <w:name w:val="xl80"/>
    <w:basedOn w:val="Normal"/>
    <w:rsid w:val="00060470"/>
    <w:pPr>
      <w:pBdr>
        <w:bottom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81">
    <w:name w:val="xl81"/>
    <w:basedOn w:val="Normal"/>
    <w:rsid w:val="00060470"/>
    <w:pPr>
      <w:pBdr>
        <w:top w:val="double" w:sz="6" w:space="0" w:color="auto"/>
        <w:left w:val="single" w:sz="8" w:space="0" w:color="auto"/>
      </w:pBdr>
      <w:spacing w:before="100" w:beforeAutospacing="1" w:after="100" w:afterAutospacing="1" w:line="240" w:lineRule="auto"/>
      <w:jc w:val="left"/>
      <w:textAlignment w:val="center"/>
    </w:pPr>
    <w:rPr>
      <w:rFonts w:ascii="Times Armenian" w:hAnsi="Times Armenian"/>
      <w:b w:val="0"/>
      <w:bCs/>
      <w:sz w:val="16"/>
      <w:szCs w:val="16"/>
      <w:lang w:val="en-US" w:eastAsia="en-US"/>
    </w:rPr>
  </w:style>
  <w:style w:type="paragraph" w:customStyle="1" w:styleId="xl82">
    <w:name w:val="xl82"/>
    <w:basedOn w:val="Normal"/>
    <w:rsid w:val="00060470"/>
    <w:pPr>
      <w:pBdr>
        <w:top w:val="double" w:sz="6" w:space="0" w:color="auto"/>
        <w:right w:val="single" w:sz="8" w:space="0" w:color="auto"/>
      </w:pBdr>
      <w:spacing w:before="100" w:beforeAutospacing="1" w:after="100" w:afterAutospacing="1" w:line="240" w:lineRule="auto"/>
      <w:jc w:val="left"/>
      <w:textAlignment w:val="center"/>
    </w:pPr>
    <w:rPr>
      <w:rFonts w:ascii="Times Armenian" w:hAnsi="Times Armenian"/>
      <w:b w:val="0"/>
      <w:bCs/>
      <w:sz w:val="16"/>
      <w:szCs w:val="16"/>
      <w:lang w:val="en-US" w:eastAsia="en-US"/>
    </w:rPr>
  </w:style>
  <w:style w:type="paragraph" w:customStyle="1" w:styleId="xl83">
    <w:name w:val="xl83"/>
    <w:basedOn w:val="Normal"/>
    <w:rsid w:val="00060470"/>
    <w:pPr>
      <w:pBdr>
        <w:left w:val="single" w:sz="8" w:space="0" w:color="auto"/>
        <w:bottom w:val="double" w:sz="6" w:space="0" w:color="auto"/>
      </w:pBdr>
      <w:spacing w:before="100" w:beforeAutospacing="1" w:after="100" w:afterAutospacing="1" w:line="240" w:lineRule="auto"/>
      <w:jc w:val="left"/>
      <w:textAlignment w:val="center"/>
    </w:pPr>
    <w:rPr>
      <w:rFonts w:ascii="Times Armenian" w:hAnsi="Times Armenian"/>
      <w:color w:val="FF0000"/>
      <w:sz w:val="16"/>
      <w:szCs w:val="16"/>
      <w:lang w:val="en-US" w:eastAsia="en-US"/>
    </w:rPr>
  </w:style>
  <w:style w:type="paragraph" w:customStyle="1" w:styleId="xl84">
    <w:name w:val="xl84"/>
    <w:basedOn w:val="Normal"/>
    <w:rsid w:val="00060470"/>
    <w:pPr>
      <w:pBdr>
        <w:bottom w:val="double" w:sz="6" w:space="0" w:color="auto"/>
        <w:right w:val="single" w:sz="8" w:space="0" w:color="auto"/>
      </w:pBdr>
      <w:spacing w:before="100" w:beforeAutospacing="1" w:after="100" w:afterAutospacing="1" w:line="240" w:lineRule="auto"/>
      <w:jc w:val="left"/>
      <w:textAlignment w:val="center"/>
    </w:pPr>
    <w:rPr>
      <w:rFonts w:ascii="Times Armenian" w:hAnsi="Times Armenian"/>
      <w:color w:val="FF0000"/>
      <w:sz w:val="16"/>
      <w:szCs w:val="16"/>
      <w:lang w:val="en-US" w:eastAsia="en-US"/>
    </w:rPr>
  </w:style>
  <w:style w:type="paragraph" w:customStyle="1" w:styleId="xl85">
    <w:name w:val="xl85"/>
    <w:basedOn w:val="Normal"/>
    <w:rsid w:val="00060470"/>
    <w:pPr>
      <w:pBdr>
        <w:top w:val="double" w:sz="6" w:space="0" w:color="auto"/>
        <w:lef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86">
    <w:name w:val="xl86"/>
    <w:basedOn w:val="Normal"/>
    <w:rsid w:val="00060470"/>
    <w:pPr>
      <w:pBdr>
        <w:top w:val="double" w:sz="6" w:space="0" w:color="auto"/>
        <w:righ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87">
    <w:name w:val="xl87"/>
    <w:basedOn w:val="Normal"/>
    <w:rsid w:val="00060470"/>
    <w:pPr>
      <w:pBdr>
        <w:left w:val="single" w:sz="8" w:space="0" w:color="auto"/>
      </w:pBdr>
      <w:spacing w:before="100" w:beforeAutospacing="1" w:after="100" w:afterAutospacing="1" w:line="240" w:lineRule="auto"/>
      <w:jc w:val="left"/>
      <w:textAlignment w:val="center"/>
    </w:pPr>
    <w:rPr>
      <w:rFonts w:ascii="Times Armenian" w:hAnsi="Times Armenian"/>
      <w:color w:val="FF0000"/>
      <w:sz w:val="16"/>
      <w:szCs w:val="16"/>
      <w:lang w:val="en-US" w:eastAsia="en-US"/>
    </w:rPr>
  </w:style>
  <w:style w:type="paragraph" w:customStyle="1" w:styleId="xl88">
    <w:name w:val="xl88"/>
    <w:basedOn w:val="Normal"/>
    <w:rsid w:val="00060470"/>
    <w:pPr>
      <w:pBdr>
        <w:right w:val="single" w:sz="8" w:space="0" w:color="auto"/>
      </w:pBdr>
      <w:spacing w:before="100" w:beforeAutospacing="1" w:after="100" w:afterAutospacing="1" w:line="240" w:lineRule="auto"/>
      <w:jc w:val="left"/>
      <w:textAlignment w:val="center"/>
    </w:pPr>
    <w:rPr>
      <w:rFonts w:ascii="Times Armenian" w:hAnsi="Times Armenian"/>
      <w:color w:val="FF0000"/>
      <w:sz w:val="16"/>
      <w:szCs w:val="16"/>
      <w:lang w:val="en-US" w:eastAsia="en-US"/>
    </w:rPr>
  </w:style>
  <w:style w:type="paragraph" w:customStyle="1" w:styleId="xl89">
    <w:name w:val="xl89"/>
    <w:basedOn w:val="Normal"/>
    <w:rsid w:val="00060470"/>
    <w:pPr>
      <w:pBdr>
        <w:left w:val="single" w:sz="8" w:space="0" w:color="auto"/>
        <w:bottom w:val="double" w:sz="6"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90">
    <w:name w:val="xl90"/>
    <w:basedOn w:val="Normal"/>
    <w:rsid w:val="00060470"/>
    <w:pPr>
      <w:pBdr>
        <w:bottom w:val="double" w:sz="6" w:space="0" w:color="auto"/>
        <w:right w:val="single" w:sz="8"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91">
    <w:name w:val="xl91"/>
    <w:basedOn w:val="Normal"/>
    <w:rsid w:val="00060470"/>
    <w:pPr>
      <w:pBdr>
        <w:bottom w:val="double" w:sz="6"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92">
    <w:name w:val="xl92"/>
    <w:basedOn w:val="Normal"/>
    <w:rsid w:val="00060470"/>
    <w:pPr>
      <w:pBdr>
        <w:left w:val="single" w:sz="8" w:space="0" w:color="auto"/>
        <w:bottom w:val="single" w:sz="8" w:space="0" w:color="auto"/>
      </w:pBdr>
      <w:spacing w:before="100" w:beforeAutospacing="1" w:after="100" w:afterAutospacing="1" w:line="240" w:lineRule="auto"/>
      <w:textAlignment w:val="center"/>
    </w:pPr>
    <w:rPr>
      <w:rFonts w:ascii="Times Armenian" w:hAnsi="Times Armenian"/>
      <w:color w:val="FF0000"/>
      <w:sz w:val="16"/>
      <w:szCs w:val="16"/>
      <w:lang w:val="en-US" w:eastAsia="en-US"/>
    </w:rPr>
  </w:style>
  <w:style w:type="paragraph" w:customStyle="1" w:styleId="xl93">
    <w:name w:val="xl93"/>
    <w:basedOn w:val="Normal"/>
    <w:rsid w:val="00060470"/>
    <w:pPr>
      <w:pBdr>
        <w:bottom w:val="single" w:sz="8" w:space="0" w:color="auto"/>
        <w:right w:val="single" w:sz="8" w:space="0" w:color="auto"/>
      </w:pBdr>
      <w:spacing w:before="100" w:beforeAutospacing="1" w:after="100" w:afterAutospacing="1" w:line="240" w:lineRule="auto"/>
      <w:textAlignment w:val="center"/>
    </w:pPr>
    <w:rPr>
      <w:rFonts w:ascii="Times Armenian" w:hAnsi="Times Armenian"/>
      <w:color w:val="FF0000"/>
      <w:sz w:val="16"/>
      <w:szCs w:val="16"/>
      <w:lang w:val="en-US" w:eastAsia="en-US"/>
    </w:rPr>
  </w:style>
  <w:style w:type="paragraph" w:customStyle="1" w:styleId="xl94">
    <w:name w:val="xl94"/>
    <w:basedOn w:val="Normal"/>
    <w:rsid w:val="00060470"/>
    <w:pPr>
      <w:pBdr>
        <w:top w:val="single" w:sz="8" w:space="0" w:color="auto"/>
        <w:lef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95">
    <w:name w:val="xl95"/>
    <w:basedOn w:val="Normal"/>
    <w:rsid w:val="00060470"/>
    <w:pPr>
      <w:pBdr>
        <w:top w:val="single" w:sz="8" w:space="0" w:color="auto"/>
        <w:righ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96">
    <w:name w:val="xl96"/>
    <w:basedOn w:val="Normal"/>
    <w:rsid w:val="00060470"/>
    <w:pPr>
      <w:pBdr>
        <w:left w:val="single" w:sz="8"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97">
    <w:name w:val="xl97"/>
    <w:basedOn w:val="Normal"/>
    <w:rsid w:val="00060470"/>
    <w:pPr>
      <w:pBdr>
        <w:right w:val="single" w:sz="8"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98">
    <w:name w:val="xl98"/>
    <w:basedOn w:val="Normal"/>
    <w:rsid w:val="00060470"/>
    <w:pPr>
      <w:pBdr>
        <w:righ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99">
    <w:name w:val="xl99"/>
    <w:basedOn w:val="Normal"/>
    <w:rsid w:val="00060470"/>
    <w:pPr>
      <w:pBdr>
        <w:bottom w:val="single" w:sz="8" w:space="0" w:color="auto"/>
        <w:right w:val="single" w:sz="8"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100">
    <w:name w:val="xl100"/>
    <w:basedOn w:val="Normal"/>
    <w:rsid w:val="00060470"/>
    <w:pPr>
      <w:pBdr>
        <w:bottom w:val="single" w:sz="8" w:space="0" w:color="auto"/>
        <w:righ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01">
    <w:name w:val="xl101"/>
    <w:basedOn w:val="Normal"/>
    <w:rsid w:val="00060470"/>
    <w:pPr>
      <w:pBdr>
        <w:left w:val="single" w:sz="8" w:space="0" w:color="auto"/>
      </w:pBdr>
      <w:spacing w:before="100" w:beforeAutospacing="1" w:after="100" w:afterAutospacing="1" w:line="240" w:lineRule="auto"/>
      <w:textAlignment w:val="center"/>
    </w:pPr>
    <w:rPr>
      <w:rFonts w:ascii="Times Armenian" w:hAnsi="Times Armenian"/>
      <w:color w:val="FF0000"/>
      <w:sz w:val="16"/>
      <w:szCs w:val="16"/>
      <w:lang w:val="en-US" w:eastAsia="en-US"/>
    </w:rPr>
  </w:style>
  <w:style w:type="paragraph" w:customStyle="1" w:styleId="xl102">
    <w:name w:val="xl102"/>
    <w:basedOn w:val="Normal"/>
    <w:rsid w:val="00060470"/>
    <w:pPr>
      <w:pBdr>
        <w:right w:val="single" w:sz="8" w:space="0" w:color="auto"/>
      </w:pBdr>
      <w:spacing w:before="100" w:beforeAutospacing="1" w:after="100" w:afterAutospacing="1" w:line="240" w:lineRule="auto"/>
      <w:textAlignment w:val="center"/>
    </w:pPr>
    <w:rPr>
      <w:rFonts w:ascii="Times Armenian" w:hAnsi="Times Armenian"/>
      <w:color w:val="FF0000"/>
      <w:sz w:val="16"/>
      <w:szCs w:val="16"/>
      <w:lang w:val="en-US" w:eastAsia="en-US"/>
    </w:rPr>
  </w:style>
  <w:style w:type="paragraph" w:customStyle="1" w:styleId="xl103">
    <w:name w:val="xl103"/>
    <w:basedOn w:val="Normal"/>
    <w:rsid w:val="00060470"/>
    <w:pPr>
      <w:pBdr>
        <w:bottom w:val="double" w:sz="6"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04">
    <w:name w:val="xl104"/>
    <w:basedOn w:val="Normal"/>
    <w:rsid w:val="00060470"/>
    <w:pPr>
      <w:spacing w:before="100" w:beforeAutospacing="1" w:after="100" w:afterAutospacing="1" w:line="240" w:lineRule="auto"/>
      <w:jc w:val="left"/>
      <w:textAlignment w:val="center"/>
    </w:pPr>
    <w:rPr>
      <w:rFonts w:ascii="Calibri" w:hAnsi="Calibri"/>
      <w:sz w:val="24"/>
      <w:lang w:val="en-US" w:eastAsia="en-US"/>
    </w:rPr>
  </w:style>
  <w:style w:type="paragraph" w:customStyle="1" w:styleId="xl105">
    <w:name w:val="xl105"/>
    <w:basedOn w:val="Normal"/>
    <w:rsid w:val="00060470"/>
    <w:pPr>
      <w:pBdr>
        <w:top w:val="single" w:sz="8" w:space="0" w:color="auto"/>
        <w:left w:val="single" w:sz="8" w:space="0" w:color="auto"/>
        <w:bottom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06">
    <w:name w:val="xl106"/>
    <w:basedOn w:val="Normal"/>
    <w:rsid w:val="00060470"/>
    <w:pPr>
      <w:pBdr>
        <w:top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07">
    <w:name w:val="xl107"/>
    <w:basedOn w:val="Normal"/>
    <w:rsid w:val="00060470"/>
    <w:pPr>
      <w:pBdr>
        <w:top w:val="single" w:sz="8" w:space="0" w:color="auto"/>
        <w:bottom w:val="double" w:sz="6"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08">
    <w:name w:val="xl108"/>
    <w:basedOn w:val="Normal"/>
    <w:rsid w:val="00060470"/>
    <w:pPr>
      <w:pBdr>
        <w:top w:val="double" w:sz="6" w:space="0" w:color="auto"/>
        <w:left w:val="single" w:sz="8" w:space="0" w:color="auto"/>
        <w:righ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09">
    <w:name w:val="xl109"/>
    <w:basedOn w:val="Normal"/>
    <w:rsid w:val="00060470"/>
    <w:pPr>
      <w:pBdr>
        <w:top w:val="double" w:sz="6" w:space="0" w:color="auto"/>
        <w:left w:val="single" w:sz="8"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0">
    <w:name w:val="xl110"/>
    <w:basedOn w:val="Normal"/>
    <w:rsid w:val="00060470"/>
    <w:pPr>
      <w:pBdr>
        <w:top w:val="double" w:sz="6" w:space="0" w:color="auto"/>
        <w:lef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1">
    <w:name w:val="xl111"/>
    <w:basedOn w:val="Normal"/>
    <w:rsid w:val="00060470"/>
    <w:pPr>
      <w:pBdr>
        <w:top w:val="double" w:sz="6"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2">
    <w:name w:val="xl112"/>
    <w:basedOn w:val="Normal"/>
    <w:rsid w:val="00060470"/>
    <w:pPr>
      <w:pBdr>
        <w:top w:val="double" w:sz="6"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3">
    <w:name w:val="xl113"/>
    <w:basedOn w:val="Normal"/>
    <w:rsid w:val="00060470"/>
    <w:pPr>
      <w:pBdr>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4">
    <w:name w:val="xl114"/>
    <w:basedOn w:val="Normal"/>
    <w:rsid w:val="00060470"/>
    <w:pPr>
      <w:pBdr>
        <w:left w:val="single" w:sz="8" w:space="0" w:color="auto"/>
        <w:bottom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5">
    <w:name w:val="xl115"/>
    <w:basedOn w:val="Normal"/>
    <w:rsid w:val="00060470"/>
    <w:pPr>
      <w:pBdr>
        <w:left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16">
    <w:name w:val="xl116"/>
    <w:basedOn w:val="Normal"/>
    <w:rsid w:val="00060470"/>
    <w:pPr>
      <w:pBdr>
        <w:left w:val="single" w:sz="8"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7">
    <w:name w:val="xl117"/>
    <w:basedOn w:val="Normal"/>
    <w:rsid w:val="00060470"/>
    <w:pPr>
      <w:pBdr>
        <w:lef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8">
    <w:name w:val="xl118"/>
    <w:basedOn w:val="Normal"/>
    <w:rsid w:val="00060470"/>
    <w:pPr>
      <w:pBdr>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19">
    <w:name w:val="xl119"/>
    <w:basedOn w:val="Normal"/>
    <w:rsid w:val="00060470"/>
    <w:pPr>
      <w:pBdr>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20">
    <w:name w:val="xl120"/>
    <w:basedOn w:val="Normal"/>
    <w:rsid w:val="00060470"/>
    <w:pPr>
      <w:pBdr>
        <w:left w:val="double" w:sz="6" w:space="0" w:color="auto"/>
        <w:bottom w:val="single" w:sz="8"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21">
    <w:name w:val="xl121"/>
    <w:basedOn w:val="Normal"/>
    <w:rsid w:val="0006047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22">
    <w:name w:val="xl122"/>
    <w:basedOn w:val="Normal"/>
    <w:rsid w:val="00060470"/>
    <w:pPr>
      <w:pBdr>
        <w:left w:val="single" w:sz="8" w:space="0" w:color="auto"/>
        <w:bottom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23">
    <w:name w:val="xl123"/>
    <w:basedOn w:val="Normal"/>
    <w:rsid w:val="00060470"/>
    <w:pPr>
      <w:pBdr>
        <w:bottom w:val="single" w:sz="8"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24">
    <w:name w:val="xl124"/>
    <w:basedOn w:val="Normal"/>
    <w:rsid w:val="00060470"/>
    <w:pPr>
      <w:pBdr>
        <w:bottom w:val="single" w:sz="8"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25">
    <w:name w:val="xl125"/>
    <w:basedOn w:val="Normal"/>
    <w:rsid w:val="00060470"/>
    <w:pPr>
      <w:pBdr>
        <w:top w:val="single" w:sz="8" w:space="0" w:color="auto"/>
        <w:left w:val="double" w:sz="6"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26">
    <w:name w:val="xl126"/>
    <w:basedOn w:val="Normal"/>
    <w:rsid w:val="00060470"/>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27">
    <w:name w:val="xl127"/>
    <w:basedOn w:val="Normal"/>
    <w:rsid w:val="0006047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28">
    <w:name w:val="xl128"/>
    <w:basedOn w:val="Normal"/>
    <w:rsid w:val="00060470"/>
    <w:pPr>
      <w:pBdr>
        <w:top w:val="single" w:sz="8" w:space="0" w:color="auto"/>
        <w:lef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29">
    <w:name w:val="xl129"/>
    <w:basedOn w:val="Normal"/>
    <w:rsid w:val="00060470"/>
    <w:pPr>
      <w:pBdr>
        <w:top w:val="single" w:sz="8" w:space="0" w:color="auto"/>
        <w:right w:val="single" w:sz="8"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30">
    <w:name w:val="xl130"/>
    <w:basedOn w:val="Normal"/>
    <w:rsid w:val="00060470"/>
    <w:pPr>
      <w:pBdr>
        <w:top w:val="single" w:sz="8"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31">
    <w:name w:val="xl131"/>
    <w:basedOn w:val="Normal"/>
    <w:rsid w:val="00060470"/>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32">
    <w:name w:val="xl132"/>
    <w:basedOn w:val="Normal"/>
    <w:rsid w:val="00060470"/>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133">
    <w:name w:val="xl133"/>
    <w:basedOn w:val="Normal"/>
    <w:rsid w:val="0006047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34">
    <w:name w:val="xl134"/>
    <w:basedOn w:val="Normal"/>
    <w:rsid w:val="00060470"/>
    <w:pPr>
      <w:pBdr>
        <w:top w:val="single" w:sz="8" w:space="0" w:color="auto"/>
        <w:lef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35">
    <w:name w:val="xl135"/>
    <w:basedOn w:val="Normal"/>
    <w:rsid w:val="00060470"/>
    <w:pPr>
      <w:pBdr>
        <w:top w:val="single" w:sz="8"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36">
    <w:name w:val="xl136"/>
    <w:basedOn w:val="Normal"/>
    <w:rsid w:val="00060470"/>
    <w:pPr>
      <w:pBdr>
        <w:top w:val="single" w:sz="8"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37">
    <w:name w:val="xl137"/>
    <w:basedOn w:val="Normal"/>
    <w:rsid w:val="00060470"/>
    <w:pPr>
      <w:pBdr>
        <w:left w:val="single" w:sz="8" w:space="0" w:color="auto"/>
        <w:right w:val="single" w:sz="8"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138">
    <w:name w:val="xl138"/>
    <w:basedOn w:val="Normal"/>
    <w:rsid w:val="00060470"/>
    <w:pPr>
      <w:pBdr>
        <w:left w:val="single" w:sz="8"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39">
    <w:name w:val="xl139"/>
    <w:basedOn w:val="Normal"/>
    <w:rsid w:val="00060470"/>
    <w:pPr>
      <w:pBdr>
        <w:lef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0">
    <w:name w:val="xl140"/>
    <w:basedOn w:val="Normal"/>
    <w:rsid w:val="00060470"/>
    <w:pPr>
      <w:pBdr>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1">
    <w:name w:val="xl141"/>
    <w:basedOn w:val="Normal"/>
    <w:rsid w:val="00060470"/>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Armenian" w:hAnsi="Times Armenian"/>
      <w:sz w:val="16"/>
      <w:szCs w:val="16"/>
      <w:lang w:val="en-US" w:eastAsia="en-US"/>
    </w:rPr>
  </w:style>
  <w:style w:type="paragraph" w:customStyle="1" w:styleId="xl142">
    <w:name w:val="xl142"/>
    <w:basedOn w:val="Normal"/>
    <w:rsid w:val="0006047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3">
    <w:name w:val="xl143"/>
    <w:basedOn w:val="Normal"/>
    <w:rsid w:val="00060470"/>
    <w:pPr>
      <w:pBdr>
        <w:left w:val="single" w:sz="8" w:space="0" w:color="auto"/>
        <w:bottom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4">
    <w:name w:val="xl144"/>
    <w:basedOn w:val="Normal"/>
    <w:rsid w:val="00060470"/>
    <w:pPr>
      <w:pBdr>
        <w:bottom w:val="single" w:sz="8" w:space="0" w:color="auto"/>
        <w:right w:val="single" w:sz="8"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5">
    <w:name w:val="xl145"/>
    <w:basedOn w:val="Normal"/>
    <w:rsid w:val="00060470"/>
    <w:pPr>
      <w:pBdr>
        <w:bottom w:val="single" w:sz="8"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6">
    <w:name w:val="xl146"/>
    <w:basedOn w:val="Normal"/>
    <w:rsid w:val="00060470"/>
    <w:pPr>
      <w:pBdr>
        <w:left w:val="single" w:sz="8" w:space="0" w:color="auto"/>
        <w:bottom w:val="single" w:sz="8"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47">
    <w:name w:val="xl147"/>
    <w:basedOn w:val="Normal"/>
    <w:rsid w:val="00060470"/>
    <w:pPr>
      <w:pBdr>
        <w:top w:val="single" w:sz="8" w:space="0" w:color="auto"/>
        <w:left w:val="single" w:sz="8"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8">
    <w:name w:val="xl148"/>
    <w:basedOn w:val="Normal"/>
    <w:rsid w:val="00060470"/>
    <w:pPr>
      <w:pBdr>
        <w:left w:val="single" w:sz="8"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49">
    <w:name w:val="xl149"/>
    <w:basedOn w:val="Normal"/>
    <w:rsid w:val="00060470"/>
    <w:pPr>
      <w:pBdr>
        <w:left w:val="single" w:sz="8" w:space="0" w:color="auto"/>
        <w:bottom w:val="single" w:sz="8"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50">
    <w:name w:val="xl150"/>
    <w:basedOn w:val="Normal"/>
    <w:rsid w:val="00060470"/>
    <w:pPr>
      <w:pBdr>
        <w:top w:val="double" w:sz="6" w:space="0" w:color="auto"/>
        <w:left w:val="single" w:sz="8"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51">
    <w:name w:val="xl151"/>
    <w:basedOn w:val="Normal"/>
    <w:rsid w:val="00060470"/>
    <w:pPr>
      <w:pBdr>
        <w:left w:val="single" w:sz="8"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52">
    <w:name w:val="xl152"/>
    <w:basedOn w:val="Normal"/>
    <w:rsid w:val="00060470"/>
    <w:pPr>
      <w:pBdr>
        <w:left w:val="single" w:sz="8" w:space="0" w:color="auto"/>
        <w:bottom w:val="single" w:sz="8"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53">
    <w:name w:val="xl153"/>
    <w:basedOn w:val="Normal"/>
    <w:rsid w:val="00060470"/>
    <w:pPr>
      <w:pBdr>
        <w:top w:val="single" w:sz="8" w:space="0" w:color="auto"/>
        <w:left w:val="single" w:sz="8"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54">
    <w:name w:val="xl154"/>
    <w:basedOn w:val="Normal"/>
    <w:rsid w:val="00060470"/>
    <w:pPr>
      <w:spacing w:before="100" w:beforeAutospacing="1" w:after="100" w:afterAutospacing="1" w:line="240" w:lineRule="auto"/>
      <w:jc w:val="center"/>
      <w:textAlignment w:val="center"/>
    </w:pPr>
    <w:rPr>
      <w:rFonts w:ascii="Calibri" w:hAnsi="Calibri"/>
      <w:sz w:val="24"/>
      <w:lang w:val="en-US" w:eastAsia="en-US"/>
    </w:rPr>
  </w:style>
  <w:style w:type="paragraph" w:customStyle="1" w:styleId="xl155">
    <w:name w:val="xl155"/>
    <w:basedOn w:val="Normal"/>
    <w:rsid w:val="00060470"/>
    <w:pPr>
      <w:spacing w:before="100" w:beforeAutospacing="1" w:after="100" w:afterAutospacing="1" w:line="240" w:lineRule="auto"/>
      <w:jc w:val="left"/>
      <w:textAlignment w:val="center"/>
    </w:pPr>
    <w:rPr>
      <w:rFonts w:ascii="Times Armenian" w:hAnsi="Times Armenian"/>
      <w:b w:val="0"/>
      <w:bCs/>
      <w:sz w:val="18"/>
      <w:szCs w:val="18"/>
      <w:lang w:val="en-US" w:eastAsia="en-US"/>
    </w:rPr>
  </w:style>
  <w:style w:type="paragraph" w:customStyle="1" w:styleId="xl156">
    <w:name w:val="xl156"/>
    <w:basedOn w:val="Normal"/>
    <w:rsid w:val="00060470"/>
    <w:pPr>
      <w:pBdr>
        <w:top w:val="single" w:sz="8" w:space="0" w:color="auto"/>
        <w:left w:val="single" w:sz="8" w:space="0" w:color="auto"/>
        <w:bottom w:val="double" w:sz="6" w:space="0" w:color="auto"/>
        <w:right w:val="double" w:sz="6" w:space="0" w:color="auto"/>
      </w:pBdr>
      <w:spacing w:before="100" w:beforeAutospacing="1" w:after="100" w:afterAutospacing="1" w:line="240" w:lineRule="auto"/>
      <w:jc w:val="center"/>
      <w:textAlignment w:val="center"/>
    </w:pPr>
    <w:rPr>
      <w:rFonts w:ascii="Times Armenian" w:hAnsi="Times Armenian"/>
      <w:sz w:val="16"/>
      <w:szCs w:val="16"/>
      <w:lang w:val="en-US" w:eastAsia="en-US"/>
    </w:rPr>
  </w:style>
  <w:style w:type="paragraph" w:customStyle="1" w:styleId="xl157">
    <w:name w:val="xl157"/>
    <w:basedOn w:val="Normal"/>
    <w:rsid w:val="00060470"/>
    <w:pPr>
      <w:pBdr>
        <w:left w:val="single" w:sz="8" w:space="0" w:color="auto"/>
        <w:bottom w:val="double" w:sz="6" w:space="0" w:color="auto"/>
        <w:right w:val="double" w:sz="6" w:space="0" w:color="auto"/>
      </w:pBdr>
      <w:spacing w:before="100" w:beforeAutospacing="1" w:after="100" w:afterAutospacing="1" w:line="240" w:lineRule="auto"/>
      <w:jc w:val="center"/>
      <w:textAlignment w:val="center"/>
    </w:pPr>
    <w:rPr>
      <w:rFonts w:ascii="Times Armenian" w:hAnsi="Times Armenian"/>
      <w:b w:val="0"/>
      <w:bCs/>
      <w:sz w:val="16"/>
      <w:szCs w:val="16"/>
      <w:lang w:val="en-US" w:eastAsia="en-US"/>
    </w:rPr>
  </w:style>
  <w:style w:type="paragraph" w:customStyle="1" w:styleId="xl158">
    <w:name w:val="xl158"/>
    <w:basedOn w:val="Normal"/>
    <w:rsid w:val="00060470"/>
    <w:pPr>
      <w:pBdr>
        <w:top w:val="double" w:sz="6" w:space="0" w:color="auto"/>
        <w:left w:val="single" w:sz="8" w:space="0" w:color="auto"/>
        <w:right w:val="double" w:sz="6"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59">
    <w:name w:val="xl159"/>
    <w:basedOn w:val="Normal"/>
    <w:rsid w:val="00060470"/>
    <w:pPr>
      <w:pBdr>
        <w:left w:val="single" w:sz="8" w:space="0" w:color="auto"/>
        <w:bottom w:val="single" w:sz="8" w:space="0" w:color="auto"/>
        <w:right w:val="double" w:sz="6"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60">
    <w:name w:val="xl160"/>
    <w:basedOn w:val="Normal"/>
    <w:rsid w:val="00060470"/>
    <w:pPr>
      <w:pBdr>
        <w:top w:val="single" w:sz="8" w:space="0" w:color="auto"/>
        <w:left w:val="single" w:sz="8" w:space="0" w:color="auto"/>
        <w:right w:val="double" w:sz="6" w:space="0" w:color="auto"/>
      </w:pBdr>
      <w:spacing w:before="100" w:beforeAutospacing="1" w:after="100" w:afterAutospacing="1" w:line="240" w:lineRule="auto"/>
      <w:textAlignment w:val="center"/>
    </w:pPr>
    <w:rPr>
      <w:rFonts w:ascii="Times Armenian" w:hAnsi="Times Armenian"/>
      <w:b w:val="0"/>
      <w:bCs/>
      <w:sz w:val="16"/>
      <w:szCs w:val="16"/>
      <w:lang w:val="en-US" w:eastAsia="en-US"/>
    </w:rPr>
  </w:style>
  <w:style w:type="paragraph" w:customStyle="1" w:styleId="xl161">
    <w:name w:val="xl161"/>
    <w:basedOn w:val="Normal"/>
    <w:rsid w:val="00060470"/>
    <w:pPr>
      <w:spacing w:before="100" w:beforeAutospacing="1" w:after="100" w:afterAutospacing="1" w:line="240" w:lineRule="auto"/>
      <w:jc w:val="left"/>
      <w:textAlignment w:val="center"/>
    </w:pPr>
    <w:rPr>
      <w:rFonts w:ascii="Times Armenian" w:hAnsi="Times Armenian"/>
      <w:b w:val="0"/>
      <w:bCs/>
      <w:sz w:val="18"/>
      <w:szCs w:val="18"/>
      <w:u w:val="single"/>
      <w:lang w:val="en-US" w:eastAsia="en-US"/>
    </w:rPr>
  </w:style>
  <w:style w:type="paragraph" w:customStyle="1" w:styleId="xl24">
    <w:name w:val="xl24"/>
    <w:basedOn w:val="Normal"/>
    <w:rsid w:val="00060470"/>
    <w:pPr>
      <w:spacing w:before="100" w:beforeAutospacing="1" w:after="100" w:afterAutospacing="1" w:line="240" w:lineRule="auto"/>
      <w:jc w:val="left"/>
      <w:textAlignment w:val="top"/>
    </w:pPr>
    <w:rPr>
      <w:rFonts w:ascii="Times Armenian" w:eastAsia="Arial Unicode MS" w:hAnsi="Times Armenian" w:cs="Arial Unicode MS"/>
      <w:b w:val="0"/>
      <w:bCs/>
      <w:szCs w:val="22"/>
      <w:lang w:val="en-US" w:eastAsia="en-US"/>
    </w:rPr>
  </w:style>
  <w:style w:type="paragraph" w:customStyle="1" w:styleId="xl26">
    <w:name w:val="xl26"/>
    <w:basedOn w:val="Normal"/>
    <w:rsid w:val="00060470"/>
    <w:pPr>
      <w:pBdr>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Armenian" w:eastAsia="Arial Unicode MS" w:hAnsi="Times Armenian" w:cs="Arial Unicode MS"/>
      <w:b w:val="0"/>
      <w:bCs/>
      <w:szCs w:val="22"/>
      <w:lang w:val="en-US" w:eastAsia="en-US"/>
    </w:rPr>
  </w:style>
  <w:style w:type="paragraph" w:customStyle="1" w:styleId="xl27">
    <w:name w:val="xl27"/>
    <w:basedOn w:val="Normal"/>
    <w:rsid w:val="00060470"/>
    <w:pPr>
      <w:pBdr>
        <w:bottom w:val="single" w:sz="4" w:space="0" w:color="auto"/>
      </w:pBdr>
      <w:spacing w:before="100" w:beforeAutospacing="1" w:after="100" w:afterAutospacing="1" w:line="240" w:lineRule="auto"/>
      <w:jc w:val="left"/>
      <w:textAlignment w:val="top"/>
    </w:pPr>
    <w:rPr>
      <w:rFonts w:ascii="Times Armenian" w:eastAsia="Arial Unicode MS" w:hAnsi="Times Armenian" w:cs="Arial Unicode MS"/>
      <w:szCs w:val="22"/>
      <w:lang w:val="en-US" w:eastAsia="en-US"/>
    </w:rPr>
  </w:style>
  <w:style w:type="paragraph" w:customStyle="1" w:styleId="xl28">
    <w:name w:val="xl28"/>
    <w:basedOn w:val="Normal"/>
    <w:rsid w:val="00060470"/>
    <w:pPr>
      <w:pBdr>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Armenian" w:eastAsia="Arial Unicode MS" w:hAnsi="Times Armenian" w:cs="Arial Unicode MS"/>
      <w:szCs w:val="22"/>
      <w:lang w:val="en-US" w:eastAsia="en-US"/>
    </w:rPr>
  </w:style>
  <w:style w:type="paragraph" w:customStyle="1" w:styleId="xl29">
    <w:name w:val="xl29"/>
    <w:basedOn w:val="Normal"/>
    <w:rsid w:val="00060470"/>
    <w:pPr>
      <w:pBdr>
        <w:bottom w:val="single" w:sz="4" w:space="0" w:color="auto"/>
        <w:right w:val="single" w:sz="4" w:space="0" w:color="auto"/>
      </w:pBdr>
      <w:spacing w:before="100" w:beforeAutospacing="1" w:after="100" w:afterAutospacing="1" w:line="240" w:lineRule="auto"/>
      <w:jc w:val="left"/>
      <w:textAlignment w:val="top"/>
    </w:pPr>
    <w:rPr>
      <w:rFonts w:ascii="Times Armenian" w:eastAsia="Arial Unicode MS" w:hAnsi="Times Armenian" w:cs="Arial Unicode MS"/>
      <w:b w:val="0"/>
      <w:bCs/>
      <w:szCs w:val="22"/>
      <w:lang w:val="en-US" w:eastAsia="en-US"/>
    </w:rPr>
  </w:style>
  <w:style w:type="paragraph" w:customStyle="1" w:styleId="xl30">
    <w:name w:val="xl30"/>
    <w:basedOn w:val="Normal"/>
    <w:rsid w:val="00060470"/>
    <w:pPr>
      <w:pBdr>
        <w:bottom w:val="single" w:sz="4" w:space="0" w:color="auto"/>
      </w:pBdr>
      <w:spacing w:before="100" w:beforeAutospacing="1" w:after="100" w:afterAutospacing="1" w:line="240" w:lineRule="auto"/>
      <w:jc w:val="center"/>
      <w:textAlignment w:val="top"/>
    </w:pPr>
    <w:rPr>
      <w:rFonts w:ascii="Times Armenian" w:eastAsia="Arial Unicode MS" w:hAnsi="Times Armenian" w:cs="Arial Unicode MS"/>
      <w:b w:val="0"/>
      <w:bCs/>
      <w:szCs w:val="22"/>
      <w:lang w:val="en-US" w:eastAsia="en-US"/>
    </w:rPr>
  </w:style>
  <w:style w:type="paragraph" w:customStyle="1" w:styleId="xl31">
    <w:name w:val="xl31"/>
    <w:basedOn w:val="Normal"/>
    <w:rsid w:val="00060470"/>
    <w:pPr>
      <w:pBdr>
        <w:left w:val="single" w:sz="4" w:space="0" w:color="auto"/>
        <w:bottom w:val="single" w:sz="4" w:space="0" w:color="auto"/>
      </w:pBdr>
      <w:spacing w:before="100" w:beforeAutospacing="1" w:after="100" w:afterAutospacing="1" w:line="240" w:lineRule="auto"/>
      <w:jc w:val="center"/>
      <w:textAlignment w:val="top"/>
    </w:pPr>
    <w:rPr>
      <w:rFonts w:ascii="Times Armenian" w:eastAsia="Arial Unicode MS" w:hAnsi="Times Armenian" w:cs="Arial Unicode MS"/>
      <w:b w:val="0"/>
      <w:bCs/>
      <w:sz w:val="24"/>
      <w:lang w:val="en-US" w:eastAsia="en-US"/>
    </w:rPr>
  </w:style>
  <w:style w:type="paragraph" w:customStyle="1" w:styleId="xl32">
    <w:name w:val="xl32"/>
    <w:basedOn w:val="Normal"/>
    <w:rsid w:val="000604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Armenian" w:eastAsia="Arial Unicode MS" w:hAnsi="Times Armenian" w:cs="Arial Unicode MS"/>
      <w:sz w:val="24"/>
      <w:lang w:val="en-US" w:eastAsia="en-US"/>
    </w:rPr>
  </w:style>
  <w:style w:type="paragraph" w:customStyle="1" w:styleId="xl33">
    <w:name w:val="xl33"/>
    <w:basedOn w:val="Normal"/>
    <w:rsid w:val="00060470"/>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ascii="Times Armenian" w:eastAsia="Arial Unicode MS" w:hAnsi="Times Armenian" w:cs="Arial Unicode MS"/>
      <w:sz w:val="24"/>
      <w:lang w:val="en-US" w:eastAsia="en-US"/>
    </w:rPr>
  </w:style>
  <w:style w:type="paragraph" w:customStyle="1" w:styleId="xl34">
    <w:name w:val="xl34"/>
    <w:basedOn w:val="Normal"/>
    <w:rsid w:val="000604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Armenian" w:eastAsia="Arial Unicode MS" w:hAnsi="Times Armenian" w:cs="Arial Unicode MS"/>
      <w:b w:val="0"/>
      <w:bCs/>
      <w:sz w:val="24"/>
      <w:lang w:val="en-US" w:eastAsia="en-US"/>
    </w:rPr>
  </w:style>
  <w:style w:type="paragraph" w:customStyle="1" w:styleId="xl35">
    <w:name w:val="xl35"/>
    <w:basedOn w:val="Normal"/>
    <w:rsid w:val="00060470"/>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ascii="Times Armenian" w:eastAsia="Arial Unicode MS" w:hAnsi="Times Armenian" w:cs="Arial Unicode MS"/>
      <w:b w:val="0"/>
      <w:bCs/>
      <w:sz w:val="24"/>
      <w:lang w:val="en-US" w:eastAsia="en-US"/>
    </w:rPr>
  </w:style>
  <w:style w:type="paragraph" w:customStyle="1" w:styleId="xl36">
    <w:name w:val="xl36"/>
    <w:basedOn w:val="Normal"/>
    <w:rsid w:val="00060470"/>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ascii="Times Armenian" w:eastAsia="Arial Unicode MS" w:hAnsi="Times Armenian" w:cs="Arial Unicode MS"/>
      <w:sz w:val="24"/>
      <w:lang w:val="en-US" w:eastAsia="en-US"/>
    </w:rPr>
  </w:style>
  <w:style w:type="paragraph" w:customStyle="1" w:styleId="xl23">
    <w:name w:val="xl23"/>
    <w:basedOn w:val="Normal"/>
    <w:rsid w:val="00060470"/>
    <w:pPr>
      <w:spacing w:before="100" w:beforeAutospacing="1" w:after="100" w:afterAutospacing="1" w:line="240" w:lineRule="auto"/>
      <w:jc w:val="center"/>
      <w:textAlignment w:val="center"/>
    </w:pPr>
    <w:rPr>
      <w:rFonts w:ascii="Times Armenian" w:hAnsi="Times Armenian"/>
      <w:sz w:val="24"/>
      <w:lang w:val="en-US" w:eastAsia="en-US"/>
    </w:rPr>
  </w:style>
  <w:style w:type="paragraph" w:customStyle="1" w:styleId="xl37">
    <w:name w:val="xl37"/>
    <w:basedOn w:val="Normal"/>
    <w:rsid w:val="00060470"/>
    <w:pPr>
      <w:spacing w:before="100" w:beforeAutospacing="1" w:after="100" w:afterAutospacing="1" w:line="240" w:lineRule="auto"/>
      <w:jc w:val="right"/>
      <w:textAlignment w:val="center"/>
    </w:pPr>
    <w:rPr>
      <w:rFonts w:ascii="Times Armenian" w:eastAsia="Arial Unicode MS" w:hAnsi="Times Armenian" w:cs="Arial Unicode MS"/>
      <w:szCs w:val="22"/>
      <w:lang w:val="en-US" w:eastAsia="en-US"/>
    </w:rPr>
  </w:style>
  <w:style w:type="paragraph" w:customStyle="1" w:styleId="xl38">
    <w:name w:val="xl38"/>
    <w:basedOn w:val="Normal"/>
    <w:rsid w:val="000604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Armenian" w:eastAsia="Arial Unicode MS" w:hAnsi="Times Armenian" w:cs="Arial Unicode MS"/>
      <w:sz w:val="24"/>
      <w:lang w:val="en-US" w:eastAsia="en-US"/>
    </w:rPr>
  </w:style>
  <w:style w:type="paragraph" w:customStyle="1" w:styleId="xl39">
    <w:name w:val="xl39"/>
    <w:basedOn w:val="Normal"/>
    <w:rsid w:val="0006047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Armenian" w:eastAsia="Arial Unicode MS" w:hAnsi="Times Armenian" w:cs="Arial Unicode MS"/>
      <w:sz w:val="24"/>
      <w:lang w:val="en-US" w:eastAsia="en-US"/>
    </w:rPr>
  </w:style>
  <w:style w:type="paragraph" w:customStyle="1" w:styleId="xl40">
    <w:name w:val="xl40"/>
    <w:basedOn w:val="Normal"/>
    <w:rsid w:val="00060470"/>
    <w:pPr>
      <w:pBdr>
        <w:bottom w:val="single" w:sz="4" w:space="0" w:color="auto"/>
        <w:right w:val="single" w:sz="4" w:space="0" w:color="auto"/>
      </w:pBdr>
      <w:spacing w:before="100" w:beforeAutospacing="1" w:after="100" w:afterAutospacing="1" w:line="240" w:lineRule="auto"/>
      <w:jc w:val="left"/>
      <w:textAlignment w:val="center"/>
    </w:pPr>
    <w:rPr>
      <w:rFonts w:ascii="Times Armenian" w:eastAsia="Arial Unicode MS" w:hAnsi="Times Armenian" w:cs="Arial Unicode MS"/>
      <w:sz w:val="24"/>
      <w:lang w:val="en-US" w:eastAsia="en-US"/>
    </w:rPr>
  </w:style>
  <w:style w:type="paragraph" w:customStyle="1" w:styleId="xl41">
    <w:name w:val="xl41"/>
    <w:basedOn w:val="Normal"/>
    <w:rsid w:val="0006047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Times Armenian" w:eastAsia="Arial Unicode MS" w:hAnsi="Times Armenian" w:cs="Arial Unicode MS"/>
      <w:sz w:val="24"/>
      <w:lang w:val="en-US" w:eastAsia="en-US"/>
    </w:rPr>
  </w:style>
  <w:style w:type="paragraph" w:customStyle="1" w:styleId="xl42">
    <w:name w:val="xl42"/>
    <w:basedOn w:val="Normal"/>
    <w:rsid w:val="00060470"/>
    <w:pPr>
      <w:pBdr>
        <w:left w:val="single" w:sz="4" w:space="0" w:color="auto"/>
        <w:right w:val="single" w:sz="4" w:space="0" w:color="auto"/>
      </w:pBdr>
      <w:spacing w:before="100" w:beforeAutospacing="1" w:after="100" w:afterAutospacing="1" w:line="240" w:lineRule="auto"/>
      <w:jc w:val="left"/>
      <w:textAlignment w:val="center"/>
    </w:pPr>
    <w:rPr>
      <w:rFonts w:ascii="Times Armenian" w:eastAsia="Arial Unicode MS" w:hAnsi="Times Armenian" w:cs="Arial Unicode MS"/>
      <w:sz w:val="24"/>
      <w:lang w:val="en-US" w:eastAsia="en-US"/>
    </w:rPr>
  </w:style>
  <w:style w:type="paragraph" w:customStyle="1" w:styleId="xl45">
    <w:name w:val="xl45"/>
    <w:basedOn w:val="Normal"/>
    <w:rsid w:val="000604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Armenian" w:eastAsia="Arial Unicode MS" w:hAnsi="Times Armenian" w:cs="Arial Unicode MS"/>
      <w:b w:val="0"/>
      <w:bCs/>
      <w:sz w:val="24"/>
      <w:lang w:val="en-US" w:eastAsia="en-US"/>
    </w:rPr>
  </w:style>
  <w:style w:type="paragraph" w:customStyle="1" w:styleId="xl46">
    <w:name w:val="xl46"/>
    <w:basedOn w:val="Normal"/>
    <w:rsid w:val="00060470"/>
    <w:pPr>
      <w:spacing w:before="100" w:beforeAutospacing="1" w:after="100" w:afterAutospacing="1" w:line="240" w:lineRule="auto"/>
      <w:jc w:val="center"/>
      <w:textAlignment w:val="center"/>
    </w:pPr>
    <w:rPr>
      <w:rFonts w:ascii="Times Armenian" w:eastAsia="Arial Unicode MS" w:hAnsi="Times Armenian" w:cs="Arial Unicode MS"/>
      <w:b w:val="0"/>
      <w:bCs/>
      <w:szCs w:val="22"/>
      <w:u w:val="single"/>
      <w:lang w:val="en-US" w:eastAsia="en-US"/>
    </w:rPr>
  </w:style>
  <w:style w:type="paragraph" w:customStyle="1" w:styleId="xl47">
    <w:name w:val="xl47"/>
    <w:basedOn w:val="Normal"/>
    <w:rsid w:val="000604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Armenian" w:eastAsia="Arial Unicode MS" w:hAnsi="Times Armenian" w:cs="Arial Unicode MS"/>
      <w:sz w:val="24"/>
      <w:lang w:val="en-US" w:eastAsia="en-US"/>
    </w:rPr>
  </w:style>
  <w:style w:type="paragraph" w:customStyle="1" w:styleId="xl48">
    <w:name w:val="xl48"/>
    <w:basedOn w:val="Normal"/>
    <w:rsid w:val="00060470"/>
    <w:pPr>
      <w:spacing w:before="100" w:beforeAutospacing="1" w:after="100" w:afterAutospacing="1" w:line="240" w:lineRule="auto"/>
      <w:jc w:val="right"/>
      <w:textAlignment w:val="center"/>
    </w:pPr>
    <w:rPr>
      <w:rFonts w:ascii="Times Armenian" w:eastAsia="Arial Unicode MS" w:hAnsi="Times Armenian" w:cs="Arial Unicode MS"/>
      <w:szCs w:val="22"/>
      <w:lang w:val="en-US" w:eastAsia="en-US"/>
    </w:rPr>
  </w:style>
  <w:style w:type="paragraph" w:customStyle="1" w:styleId="StyleBodyTextArialAMChar">
    <w:name w:val="Style Body Text + Arial AM Char"/>
    <w:basedOn w:val="BodyText"/>
    <w:rsid w:val="00060470"/>
    <w:pPr>
      <w:spacing w:before="0" w:after="240" w:line="240" w:lineRule="auto"/>
      <w:jc w:val="both"/>
    </w:pPr>
    <w:rPr>
      <w:rFonts w:ascii="Arial AM" w:hAnsi="Arial AM"/>
      <w:spacing w:val="-5"/>
      <w:sz w:val="24"/>
      <w:lang w:val="en-GB" w:eastAsia="en-US"/>
    </w:rPr>
  </w:style>
  <w:style w:type="paragraph" w:customStyle="1" w:styleId="CharCharChar1">
    <w:name w:val="Char Char Char Знак Знак"/>
    <w:basedOn w:val="Normal"/>
    <w:uiPriority w:val="99"/>
    <w:rsid w:val="00060470"/>
    <w:pPr>
      <w:spacing w:before="0" w:after="160" w:line="240" w:lineRule="exact"/>
      <w:jc w:val="left"/>
    </w:pPr>
    <w:rPr>
      <w:rFonts w:ascii="Arial" w:hAnsi="Arial" w:cs="Arial"/>
      <w:sz w:val="20"/>
      <w:szCs w:val="20"/>
      <w:lang w:val="en-US" w:eastAsia="en-US"/>
    </w:rPr>
  </w:style>
  <w:style w:type="paragraph" w:customStyle="1" w:styleId="CharCharCharCharChar">
    <w:name w:val="Char Char Char Char Char Знак Знак"/>
    <w:basedOn w:val="Normal"/>
    <w:uiPriority w:val="99"/>
    <w:rsid w:val="00060470"/>
    <w:pPr>
      <w:spacing w:before="0" w:after="160" w:line="240" w:lineRule="exact"/>
      <w:jc w:val="left"/>
    </w:pPr>
    <w:rPr>
      <w:rFonts w:ascii="Arial" w:hAnsi="Arial" w:cs="Arial"/>
      <w:sz w:val="20"/>
      <w:szCs w:val="20"/>
      <w:lang w:val="en-US" w:eastAsia="en-US"/>
    </w:rPr>
  </w:style>
  <w:style w:type="paragraph" w:customStyle="1" w:styleId="10">
    <w:name w:val="Абзац списка1"/>
    <w:basedOn w:val="Normal"/>
    <w:uiPriority w:val="99"/>
    <w:qFormat/>
    <w:rsid w:val="00060470"/>
    <w:pPr>
      <w:spacing w:before="0" w:after="200"/>
      <w:ind w:left="720"/>
      <w:jc w:val="left"/>
    </w:pPr>
    <w:rPr>
      <w:rFonts w:ascii="Calibri" w:eastAsia="Calibri" w:hAnsi="Calibri"/>
      <w:szCs w:val="22"/>
      <w:lang w:eastAsia="en-US"/>
    </w:rPr>
  </w:style>
  <w:style w:type="paragraph" w:styleId="NoSpacing">
    <w:name w:val="No Spacing"/>
    <w:link w:val="NoSpacingChar"/>
    <w:uiPriority w:val="1"/>
    <w:qFormat/>
    <w:rsid w:val="00060470"/>
    <w:rPr>
      <w:rFonts w:ascii="Calibri" w:eastAsia="Calibri" w:hAnsi="Calibri"/>
      <w:sz w:val="22"/>
      <w:szCs w:val="22"/>
    </w:rPr>
  </w:style>
  <w:style w:type="paragraph" w:customStyle="1" w:styleId="5">
    <w:name w:val="Знак Знак5"/>
    <w:basedOn w:val="Normal"/>
    <w:link w:val="Char2"/>
    <w:rsid w:val="00060470"/>
    <w:pPr>
      <w:spacing w:before="0" w:after="160" w:line="240" w:lineRule="exact"/>
      <w:jc w:val="left"/>
    </w:pPr>
    <w:rPr>
      <w:rFonts w:ascii="Arial" w:hAnsi="Arial" w:cs="Arial"/>
      <w:sz w:val="20"/>
      <w:szCs w:val="20"/>
      <w:lang w:val="en-US" w:eastAsia="en-US"/>
    </w:rPr>
  </w:style>
  <w:style w:type="paragraph" w:customStyle="1" w:styleId="subhead3">
    <w:name w:val="sub_head3"/>
    <w:basedOn w:val="Normal"/>
    <w:rsid w:val="00060470"/>
    <w:pPr>
      <w:spacing w:before="0" w:after="120"/>
    </w:pPr>
    <w:rPr>
      <w:rFonts w:ascii="Times Armenian" w:hAnsi="Times Armenian"/>
      <w:i/>
      <w:szCs w:val="22"/>
      <w:u w:val="single"/>
      <w:lang w:val="en-US"/>
    </w:rPr>
  </w:style>
  <w:style w:type="paragraph" w:customStyle="1" w:styleId="StyleHeading2ParanumTextLeft">
    <w:name w:val="Style Heading 2ParanumText + Left"/>
    <w:basedOn w:val="Heading2"/>
    <w:rsid w:val="00060470"/>
    <w:pPr>
      <w:widowControl w:val="0"/>
      <w:numPr>
        <w:numId w:val="4"/>
      </w:numPr>
      <w:tabs>
        <w:tab w:val="clear" w:pos="720"/>
        <w:tab w:val="num" w:pos="1440"/>
      </w:tabs>
      <w:spacing w:before="120" w:after="120" w:line="240" w:lineRule="auto"/>
      <w:ind w:left="1440"/>
      <w:jc w:val="left"/>
    </w:pPr>
    <w:rPr>
      <w:rFonts w:ascii="Times Armenian" w:hAnsi="Times Armenian"/>
      <w:bCs/>
      <w:kern w:val="28"/>
      <w:szCs w:val="20"/>
      <w:lang w:val="en-GB"/>
    </w:rPr>
  </w:style>
  <w:style w:type="paragraph" w:customStyle="1" w:styleId="annexedhead">
    <w:name w:val="annexed head"/>
    <w:basedOn w:val="Heading2"/>
    <w:rsid w:val="00060470"/>
    <w:pPr>
      <w:widowControl w:val="0"/>
      <w:spacing w:before="120" w:after="120" w:line="240" w:lineRule="auto"/>
      <w:ind w:left="928" w:hanging="360"/>
      <w:jc w:val="left"/>
    </w:pPr>
    <w:rPr>
      <w:rFonts w:ascii="Times Armenian" w:hAnsi="Times Armenian"/>
      <w:kern w:val="28"/>
      <w:szCs w:val="20"/>
      <w:lang w:val="en-GB"/>
    </w:rPr>
  </w:style>
  <w:style w:type="paragraph" w:customStyle="1" w:styleId="Tabletitle">
    <w:name w:val="Table_title"/>
    <w:basedOn w:val="Normal"/>
    <w:rsid w:val="00060470"/>
    <w:pPr>
      <w:tabs>
        <w:tab w:val="left" w:pos="9626"/>
        <w:tab w:val="left" w:pos="10916"/>
        <w:tab w:val="left" w:pos="12206"/>
        <w:tab w:val="left" w:pos="13496"/>
      </w:tabs>
      <w:spacing w:before="0" w:line="240" w:lineRule="auto"/>
      <w:ind w:left="108"/>
      <w:jc w:val="left"/>
    </w:pPr>
    <w:rPr>
      <w:rFonts w:ascii="Times Armenian" w:hAnsi="Times Armenian" w:cs="Arial"/>
      <w:b w:val="0"/>
      <w:bCs/>
      <w:szCs w:val="22"/>
      <w:lang w:val="en-US"/>
    </w:rPr>
  </w:style>
  <w:style w:type="paragraph" w:customStyle="1" w:styleId="StyleHeading3CenteredtextLinespacingsingle">
    <w:name w:val="Style Heading 3Centered(text) + Line spacing:  single"/>
    <w:basedOn w:val="Heading3"/>
    <w:rsid w:val="00060470"/>
    <w:pPr>
      <w:widowControl w:val="0"/>
      <w:ind w:left="928" w:hanging="360"/>
    </w:pPr>
    <w:rPr>
      <w:rFonts w:ascii="Times Armenian" w:hAnsi="Times Armenian" w:cs="Times New Roman"/>
      <w:bCs w:val="0"/>
      <w:i/>
      <w:iCs/>
      <w:spacing w:val="-5"/>
      <w:szCs w:val="20"/>
    </w:rPr>
  </w:style>
  <w:style w:type="paragraph" w:customStyle="1" w:styleId="Titlefigure">
    <w:name w:val="Title_figure"/>
    <w:basedOn w:val="Caption"/>
    <w:next w:val="Normal"/>
    <w:rsid w:val="00060470"/>
    <w:pPr>
      <w:keepNext/>
      <w:spacing w:before="0" w:after="60" w:line="240" w:lineRule="auto"/>
      <w:jc w:val="left"/>
    </w:pPr>
    <w:rPr>
      <w:rFonts w:ascii="Times Armenian" w:hAnsi="Times Armenian"/>
      <w:color w:val="auto"/>
      <w:sz w:val="22"/>
      <w:szCs w:val="20"/>
      <w:lang w:val="en-US"/>
    </w:rPr>
  </w:style>
  <w:style w:type="paragraph" w:customStyle="1" w:styleId="ModelNrmlSingle">
    <w:name w:val="ModelNrmlSingle"/>
    <w:basedOn w:val="Normal"/>
    <w:rsid w:val="00060470"/>
    <w:pPr>
      <w:spacing w:before="0" w:after="240" w:line="240" w:lineRule="auto"/>
      <w:ind w:firstLine="720"/>
    </w:pPr>
    <w:rPr>
      <w:rFonts w:ascii="Times New Roman" w:hAnsi="Times New Roman"/>
      <w:szCs w:val="20"/>
      <w:lang w:val="en-US" w:eastAsia="en-US"/>
    </w:rPr>
  </w:style>
  <w:style w:type="paragraph" w:customStyle="1" w:styleId="CharCharCharCharCharCharCharCharCharCharCharCharCharCharChar">
    <w:name w:val="Char Char Char Char Знак Char Знак Char Char Char Char Char Char Char Char Char Char"/>
    <w:basedOn w:val="Normal"/>
    <w:uiPriority w:val="99"/>
    <w:rsid w:val="00060470"/>
    <w:pPr>
      <w:tabs>
        <w:tab w:val="left" w:pos="709"/>
      </w:tabs>
      <w:spacing w:before="0" w:line="240" w:lineRule="auto"/>
      <w:jc w:val="left"/>
    </w:pPr>
    <w:rPr>
      <w:rFonts w:ascii="Tahoma" w:hAnsi="Tahoma"/>
      <w:sz w:val="24"/>
      <w:lang w:val="pl-PL" w:eastAsia="pl-PL"/>
    </w:rPr>
  </w:style>
  <w:style w:type="character" w:customStyle="1" w:styleId="hps">
    <w:name w:val="hps"/>
    <w:basedOn w:val="DefaultParagraphFont"/>
    <w:rsid w:val="00060470"/>
  </w:style>
  <w:style w:type="character" w:customStyle="1" w:styleId="CharChar4">
    <w:name w:val="Char Char4"/>
    <w:locked/>
    <w:rsid w:val="00060470"/>
    <w:rPr>
      <w:rFonts w:ascii="Times Armenian" w:hAnsi="Times Armenian"/>
      <w:lang w:val="hy-AM" w:eastAsia="en-US" w:bidi="ar-SA"/>
    </w:rPr>
  </w:style>
  <w:style w:type="character" w:customStyle="1" w:styleId="normChar">
    <w:name w:val="norm Char"/>
    <w:link w:val="norm"/>
    <w:locked/>
    <w:rsid w:val="00060470"/>
    <w:rPr>
      <w:rFonts w:ascii="Arial Armenian" w:hAnsi="Arial Armenian"/>
      <w:sz w:val="22"/>
      <w:lang w:eastAsia="ru-RU"/>
    </w:rPr>
  </w:style>
  <w:style w:type="character" w:customStyle="1" w:styleId="Heading3Char1">
    <w:name w:val="Heading 3 Char1"/>
    <w:aliases w:val="Centered Char,(text) Char,(Sub-Chapter) Char,Heading 3 Char Char Char Char Char Char Char1,Centered Char1,(text) Char1,(Sub-Chapter) Char1,Heading 3 Char2"/>
    <w:rsid w:val="00060470"/>
    <w:rPr>
      <w:rFonts w:ascii="Times Armenian" w:hAnsi="Times Armenian"/>
      <w:sz w:val="24"/>
      <w:lang w:val="fr-FR" w:eastAsia="en-US" w:bidi="ar-SA"/>
    </w:rPr>
  </w:style>
  <w:style w:type="character" w:customStyle="1" w:styleId="CharChar16">
    <w:name w:val="Char Char16"/>
    <w:uiPriority w:val="99"/>
    <w:rsid w:val="00060470"/>
    <w:rPr>
      <w:b/>
      <w:sz w:val="32"/>
      <w:lang w:val="en-GB" w:eastAsia="en-US" w:bidi="ar-SA"/>
    </w:rPr>
  </w:style>
  <w:style w:type="character" w:customStyle="1" w:styleId="CharChar14">
    <w:name w:val="Char Char14"/>
    <w:uiPriority w:val="99"/>
    <w:rsid w:val="00060470"/>
    <w:rPr>
      <w:sz w:val="22"/>
      <w:lang w:val="en-GB" w:eastAsia="en-US" w:bidi="ar-SA"/>
    </w:rPr>
  </w:style>
  <w:style w:type="character" w:customStyle="1" w:styleId="CharChar15">
    <w:name w:val="Char Char15"/>
    <w:uiPriority w:val="99"/>
    <w:rsid w:val="00060470"/>
    <w:rPr>
      <w:sz w:val="36"/>
      <w:lang w:val="en-GB" w:eastAsia="en-US" w:bidi="ar-SA"/>
    </w:rPr>
  </w:style>
  <w:style w:type="character" w:customStyle="1" w:styleId="CharChar13">
    <w:name w:val="Char Char13"/>
    <w:uiPriority w:val="99"/>
    <w:rsid w:val="00060470"/>
    <w:rPr>
      <w:sz w:val="22"/>
      <w:lang w:val="en-GB" w:eastAsia="en-US" w:bidi="ar-SA"/>
    </w:rPr>
  </w:style>
  <w:style w:type="character" w:customStyle="1" w:styleId="CharChar12">
    <w:name w:val="Char Char12"/>
    <w:uiPriority w:val="99"/>
    <w:rsid w:val="00060470"/>
    <w:rPr>
      <w:sz w:val="22"/>
      <w:lang w:val="en-GB" w:eastAsia="en-US" w:bidi="ar-SA"/>
    </w:rPr>
  </w:style>
  <w:style w:type="character" w:customStyle="1" w:styleId="CharChar11">
    <w:name w:val="Char Char11"/>
    <w:uiPriority w:val="99"/>
    <w:rsid w:val="00060470"/>
    <w:rPr>
      <w:rFonts w:ascii="Times Armenian" w:hAnsi="Times Armenian"/>
      <w:b/>
      <w:bCs/>
      <w:sz w:val="32"/>
      <w:szCs w:val="24"/>
      <w:lang w:val="fr-FR" w:eastAsia="en-US" w:bidi="ar-SA"/>
    </w:rPr>
  </w:style>
  <w:style w:type="character" w:customStyle="1" w:styleId="CharChar10">
    <w:name w:val="Char Char10"/>
    <w:uiPriority w:val="99"/>
    <w:rsid w:val="00060470"/>
    <w:rPr>
      <w:rFonts w:ascii="Times Armenian" w:hAnsi="Times Armenian"/>
      <w:color w:val="993300"/>
      <w:sz w:val="22"/>
      <w:szCs w:val="24"/>
      <w:lang w:val="hy-AM" w:eastAsia="en-US" w:bidi="ar-SA"/>
    </w:rPr>
  </w:style>
  <w:style w:type="character" w:styleId="Emphasis">
    <w:name w:val="Emphasis"/>
    <w:qFormat/>
    <w:rsid w:val="00060470"/>
    <w:rPr>
      <w:i/>
      <w:iCs/>
    </w:rPr>
  </w:style>
  <w:style w:type="character" w:customStyle="1" w:styleId="CharChar9">
    <w:name w:val="Char Char9"/>
    <w:uiPriority w:val="99"/>
    <w:rsid w:val="00060470"/>
    <w:rPr>
      <w:rFonts w:ascii="Times Armenian" w:hAnsi="Times Armenian"/>
      <w:b/>
      <w:i/>
      <w:sz w:val="24"/>
      <w:u w:val="single"/>
      <w:lang w:val="hy-AM" w:eastAsia="en-US" w:bidi="ar-SA"/>
    </w:rPr>
  </w:style>
  <w:style w:type="character" w:customStyle="1" w:styleId="BodyTextChar1">
    <w:name w:val="Body Text Char1"/>
    <w:aliases w:val="(Main Text) Char1,date Char1,Body Text (Main text) Char1,Body Text Char4,Body Text (Main text) Char4"/>
    <w:uiPriority w:val="99"/>
    <w:rsid w:val="00060470"/>
    <w:rPr>
      <w:rFonts w:eastAsia="Batang"/>
      <w:sz w:val="24"/>
      <w:szCs w:val="24"/>
    </w:rPr>
  </w:style>
  <w:style w:type="character" w:customStyle="1" w:styleId="NoSpacingChar">
    <w:name w:val="No Spacing Char"/>
    <w:link w:val="NoSpacing"/>
    <w:rsid w:val="00060470"/>
    <w:rPr>
      <w:rFonts w:ascii="Calibri" w:eastAsia="Calibri" w:hAnsi="Calibri"/>
      <w:sz w:val="22"/>
      <w:szCs w:val="22"/>
    </w:rPr>
  </w:style>
  <w:style w:type="character" w:customStyle="1" w:styleId="Heading4Char1">
    <w:name w:val="Heading 4 Char1"/>
    <w:aliases w:val="Centred Char1,Heading 4 Char2"/>
    <w:rsid w:val="00060470"/>
    <w:rPr>
      <w:rFonts w:ascii="Cambria" w:eastAsia="Times New Roman" w:hAnsi="Cambria" w:cs="Times New Roman"/>
      <w:b/>
      <w:bCs/>
      <w:i/>
      <w:iCs/>
      <w:color w:val="4F81BD"/>
      <w:sz w:val="24"/>
      <w:szCs w:val="24"/>
    </w:rPr>
  </w:style>
  <w:style w:type="character" w:customStyle="1" w:styleId="Heading5Char1">
    <w:name w:val="Heading 5 Char1"/>
    <w:aliases w:val="Side Char1"/>
    <w:rsid w:val="00060470"/>
    <w:rPr>
      <w:rFonts w:ascii="Cambria" w:eastAsia="Times New Roman" w:hAnsi="Cambria" w:cs="Times New Roman"/>
      <w:color w:val="243F60"/>
      <w:sz w:val="24"/>
      <w:szCs w:val="24"/>
    </w:rPr>
  </w:style>
  <w:style w:type="character" w:customStyle="1" w:styleId="SubtitleChar">
    <w:name w:val="Subtitle Char"/>
    <w:link w:val="Subtitle"/>
    <w:rsid w:val="00060470"/>
    <w:rPr>
      <w:rFonts w:ascii="Times Armenian" w:hAnsi="Times Armenian"/>
      <w:bCs/>
      <w:i/>
      <w:sz w:val="26"/>
    </w:rPr>
  </w:style>
  <w:style w:type="character" w:customStyle="1" w:styleId="BodyTextIndentChar2">
    <w:name w:val="Body Text Indent Char2"/>
    <w:aliases w:val="(Table Source)1 Char1"/>
    <w:locked/>
    <w:rsid w:val="00060470"/>
    <w:rPr>
      <w:rFonts w:ascii="Times New Roman" w:hAnsi="Times New Roman" w:cs="Times New Roman"/>
      <w:sz w:val="20"/>
      <w:szCs w:val="20"/>
      <w:lang w:val="en-GB"/>
    </w:rPr>
  </w:style>
  <w:style w:type="paragraph" w:customStyle="1" w:styleId="Char1CharCharCharCharCharCharCharCharCharCharCharChar2">
    <w:name w:val="Char1 Char Char Char Char Char Char Char Char Char Char Char Char2"/>
    <w:basedOn w:val="Normal"/>
    <w:rsid w:val="00060470"/>
    <w:pPr>
      <w:spacing w:before="0" w:after="160" w:line="240" w:lineRule="exact"/>
      <w:jc w:val="left"/>
    </w:pPr>
    <w:rPr>
      <w:rFonts w:ascii="Arial" w:hAnsi="Arial" w:cs="Arial"/>
      <w:sz w:val="20"/>
      <w:szCs w:val="20"/>
      <w:lang w:val="en-US" w:eastAsia="en-US"/>
    </w:rPr>
  </w:style>
  <w:style w:type="paragraph" w:customStyle="1" w:styleId="Char10">
    <w:name w:val="Char1"/>
    <w:basedOn w:val="Normal"/>
    <w:uiPriority w:val="99"/>
    <w:locked/>
    <w:rsid w:val="00060470"/>
    <w:pPr>
      <w:spacing w:before="0" w:after="160" w:line="240" w:lineRule="auto"/>
      <w:jc w:val="left"/>
    </w:pPr>
    <w:rPr>
      <w:rFonts w:ascii="Verdana" w:eastAsia="Batang" w:hAnsi="Verdana" w:cs="Verdana"/>
      <w:sz w:val="24"/>
      <w:lang w:val="en-US" w:eastAsia="en-US"/>
    </w:rPr>
  </w:style>
  <w:style w:type="paragraph" w:customStyle="1" w:styleId="CharCharChar2">
    <w:name w:val="Char Char Char2"/>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20">
    <w:name w:val="Char Char Char Знак Знак2"/>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CharChar2">
    <w:name w:val="Char Char Char Char Char Знак Знак2"/>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CharCharCharCharCharCharCharCharCharCharCharChar3">
    <w:name w:val="Char Char Char Char Знак Char Знак Char Char Char Char Char Char Char Char Char Char3"/>
    <w:basedOn w:val="Normal"/>
    <w:rsid w:val="00060470"/>
    <w:pPr>
      <w:tabs>
        <w:tab w:val="left" w:pos="709"/>
      </w:tabs>
      <w:spacing w:before="0" w:line="240" w:lineRule="auto"/>
      <w:jc w:val="left"/>
    </w:pPr>
    <w:rPr>
      <w:rFonts w:ascii="Tahoma" w:hAnsi="Tahoma"/>
      <w:sz w:val="24"/>
      <w:lang w:val="pl-PL" w:eastAsia="pl-PL"/>
    </w:rPr>
  </w:style>
  <w:style w:type="character" w:customStyle="1" w:styleId="CharChar162">
    <w:name w:val="Char Char162"/>
    <w:rsid w:val="00060470"/>
    <w:rPr>
      <w:b/>
      <w:sz w:val="32"/>
      <w:lang w:val="en-GB" w:eastAsia="en-US"/>
    </w:rPr>
  </w:style>
  <w:style w:type="character" w:customStyle="1" w:styleId="CharChar142">
    <w:name w:val="Char Char142"/>
    <w:uiPriority w:val="99"/>
    <w:rsid w:val="00060470"/>
    <w:rPr>
      <w:sz w:val="22"/>
      <w:lang w:val="en-GB" w:eastAsia="en-US"/>
    </w:rPr>
  </w:style>
  <w:style w:type="character" w:customStyle="1" w:styleId="CharChar152">
    <w:name w:val="Char Char152"/>
    <w:rsid w:val="00060470"/>
    <w:rPr>
      <w:sz w:val="36"/>
      <w:lang w:val="en-GB" w:eastAsia="en-US"/>
    </w:rPr>
  </w:style>
  <w:style w:type="character" w:customStyle="1" w:styleId="CharChar132">
    <w:name w:val="Char Char132"/>
    <w:rsid w:val="00060470"/>
    <w:rPr>
      <w:sz w:val="22"/>
      <w:lang w:val="en-GB" w:eastAsia="en-US"/>
    </w:rPr>
  </w:style>
  <w:style w:type="character" w:customStyle="1" w:styleId="CharChar122">
    <w:name w:val="Char Char122"/>
    <w:rsid w:val="00060470"/>
    <w:rPr>
      <w:sz w:val="22"/>
      <w:lang w:val="en-GB" w:eastAsia="en-US"/>
    </w:rPr>
  </w:style>
  <w:style w:type="character" w:customStyle="1" w:styleId="CharChar112">
    <w:name w:val="Char Char112"/>
    <w:uiPriority w:val="99"/>
    <w:rsid w:val="00060470"/>
    <w:rPr>
      <w:rFonts w:ascii="Times Armenian" w:hAnsi="Times Armenian"/>
      <w:b/>
      <w:sz w:val="24"/>
      <w:lang w:val="fr-FR" w:eastAsia="en-US"/>
    </w:rPr>
  </w:style>
  <w:style w:type="character" w:customStyle="1" w:styleId="CharChar102">
    <w:name w:val="Char Char102"/>
    <w:rsid w:val="00060470"/>
    <w:rPr>
      <w:rFonts w:ascii="Times Armenian" w:hAnsi="Times Armenian"/>
      <w:color w:val="993300"/>
      <w:sz w:val="24"/>
      <w:lang w:val="hy-AM" w:eastAsia="en-US"/>
    </w:rPr>
  </w:style>
  <w:style w:type="character" w:customStyle="1" w:styleId="CharChar92">
    <w:name w:val="Char Char92"/>
    <w:rsid w:val="00060470"/>
    <w:rPr>
      <w:rFonts w:ascii="Times Armenian" w:hAnsi="Times Armenian"/>
      <w:b/>
      <w:i/>
      <w:sz w:val="24"/>
      <w:u w:val="single"/>
      <w:lang w:val="hy-AM" w:eastAsia="en-US"/>
    </w:rPr>
  </w:style>
  <w:style w:type="character" w:customStyle="1" w:styleId="BodyText2Char1">
    <w:name w:val="Body Text 2 Char1"/>
    <w:aliases w:val="1Text Char1"/>
    <w:link w:val="1Text1"/>
    <w:locked/>
    <w:rsid w:val="00060470"/>
    <w:rPr>
      <w:rFonts w:cs="Times New Roman"/>
    </w:rPr>
  </w:style>
  <w:style w:type="paragraph" w:customStyle="1" w:styleId="11">
    <w:name w:val="Рецензия1"/>
    <w:hidden/>
    <w:uiPriority w:val="99"/>
    <w:semiHidden/>
    <w:rsid w:val="00060470"/>
    <w:rPr>
      <w:rFonts w:ascii="Arial Armenian" w:hAnsi="Arial Armenian"/>
      <w:sz w:val="22"/>
      <w:szCs w:val="22"/>
      <w:lang w:eastAsia="ru-RU"/>
    </w:rPr>
  </w:style>
  <w:style w:type="character" w:customStyle="1" w:styleId="DocumentMapChar">
    <w:name w:val="Document Map Char"/>
    <w:link w:val="DocumentMap"/>
    <w:uiPriority w:val="99"/>
    <w:rsid w:val="00060470"/>
    <w:rPr>
      <w:rFonts w:ascii="Tahoma" w:hAnsi="Tahoma" w:cs="Tahoma"/>
      <w:shd w:val="clear" w:color="auto" w:fill="000080"/>
      <w:lang w:val="ru-RU" w:eastAsia="ru-RU"/>
    </w:rPr>
  </w:style>
  <w:style w:type="paragraph" w:customStyle="1" w:styleId="font11">
    <w:name w:val="font11"/>
    <w:basedOn w:val="Normal"/>
    <w:rsid w:val="00060470"/>
    <w:pPr>
      <w:spacing w:before="100" w:after="100" w:line="240" w:lineRule="auto"/>
      <w:jc w:val="left"/>
    </w:pPr>
    <w:rPr>
      <w:rFonts w:ascii="Times New Roman" w:eastAsia="SimSun" w:hAnsi="Times New Roman"/>
      <w:color w:val="000000"/>
      <w:sz w:val="16"/>
      <w:szCs w:val="16"/>
      <w:lang w:val="en-US" w:eastAsia="en-US"/>
    </w:rPr>
  </w:style>
  <w:style w:type="paragraph" w:customStyle="1" w:styleId="font12">
    <w:name w:val="font12"/>
    <w:basedOn w:val="Normal"/>
    <w:rsid w:val="00060470"/>
    <w:pPr>
      <w:spacing w:before="100" w:after="100" w:line="240" w:lineRule="auto"/>
      <w:jc w:val="left"/>
    </w:pPr>
    <w:rPr>
      <w:rFonts w:ascii="Times New Roman" w:eastAsia="SimSun" w:hAnsi="Times New Roman"/>
      <w:color w:val="000000"/>
      <w:sz w:val="16"/>
      <w:szCs w:val="16"/>
      <w:lang w:val="en-US" w:eastAsia="en-US"/>
    </w:rPr>
  </w:style>
  <w:style w:type="paragraph" w:customStyle="1" w:styleId="font13">
    <w:name w:val="font13"/>
    <w:basedOn w:val="Normal"/>
    <w:rsid w:val="00060470"/>
    <w:pPr>
      <w:spacing w:before="100" w:after="100" w:line="240" w:lineRule="auto"/>
      <w:jc w:val="left"/>
    </w:pPr>
    <w:rPr>
      <w:rFonts w:ascii="Times New Roman" w:eastAsia="SimSun" w:hAnsi="Times New Roman"/>
      <w:b w:val="0"/>
      <w:bCs/>
      <w:color w:val="000000"/>
      <w:sz w:val="16"/>
      <w:szCs w:val="16"/>
      <w:lang w:val="en-US" w:eastAsia="en-US"/>
    </w:rPr>
  </w:style>
  <w:style w:type="paragraph" w:customStyle="1" w:styleId="font14">
    <w:name w:val="font14"/>
    <w:basedOn w:val="Normal"/>
    <w:rsid w:val="00060470"/>
    <w:pPr>
      <w:spacing w:before="100" w:after="100" w:line="240" w:lineRule="auto"/>
      <w:jc w:val="left"/>
    </w:pPr>
    <w:rPr>
      <w:rFonts w:ascii="Times New Roman" w:eastAsia="SimSun" w:hAnsi="Times New Roman"/>
      <w:i/>
      <w:iCs/>
      <w:sz w:val="20"/>
      <w:szCs w:val="20"/>
      <w:lang w:val="en-US" w:eastAsia="en-US"/>
    </w:rPr>
  </w:style>
  <w:style w:type="paragraph" w:customStyle="1" w:styleId="font15">
    <w:name w:val="font15"/>
    <w:basedOn w:val="Normal"/>
    <w:rsid w:val="00060470"/>
    <w:pPr>
      <w:spacing w:before="100" w:after="100" w:line="240" w:lineRule="auto"/>
      <w:jc w:val="left"/>
    </w:pPr>
    <w:rPr>
      <w:rFonts w:ascii="Times New Roman" w:eastAsia="SimSun" w:hAnsi="Times New Roman"/>
      <w:i/>
      <w:iCs/>
      <w:sz w:val="28"/>
      <w:szCs w:val="28"/>
      <w:lang w:val="en-US" w:eastAsia="en-US"/>
    </w:rPr>
  </w:style>
  <w:style w:type="paragraph" w:customStyle="1" w:styleId="xl49">
    <w:name w:val="xl49"/>
    <w:basedOn w:val="Normal"/>
    <w:rsid w:val="00060470"/>
    <w:pPr>
      <w:pBdr>
        <w:top w:val="single" w:sz="4" w:space="0" w:color="auto"/>
        <w:left w:val="single" w:sz="8" w:space="21" w:color="auto"/>
        <w:bottom w:val="single" w:sz="4" w:space="0" w:color="auto"/>
        <w:right w:val="single" w:sz="4" w:space="0" w:color="auto"/>
      </w:pBdr>
      <w:spacing w:before="100" w:after="100" w:line="240" w:lineRule="auto"/>
      <w:jc w:val="left"/>
    </w:pPr>
    <w:rPr>
      <w:rFonts w:ascii="Times New Roman" w:eastAsia="SimSun" w:hAnsi="Times New Roman"/>
      <w:sz w:val="24"/>
      <w:lang w:val="en-US" w:eastAsia="en-US"/>
    </w:rPr>
  </w:style>
  <w:style w:type="paragraph" w:customStyle="1" w:styleId="xl50">
    <w:name w:val="xl50"/>
    <w:basedOn w:val="Normal"/>
    <w:rsid w:val="00060470"/>
    <w:pPr>
      <w:pBdr>
        <w:top w:val="single" w:sz="4" w:space="0" w:color="auto"/>
        <w:left w:val="single" w:sz="8" w:space="2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i/>
      <w:iCs/>
      <w:sz w:val="24"/>
      <w:lang w:val="en-US" w:eastAsia="en-US"/>
    </w:rPr>
  </w:style>
  <w:style w:type="paragraph" w:customStyle="1" w:styleId="xl51">
    <w:name w:val="xl51"/>
    <w:basedOn w:val="Normal"/>
    <w:rsid w:val="00060470"/>
    <w:pPr>
      <w:pBdr>
        <w:top w:val="single" w:sz="4" w:space="0" w:color="auto"/>
        <w:left w:val="single" w:sz="8" w:space="2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i/>
      <w:iCs/>
      <w:sz w:val="24"/>
      <w:lang w:val="en-US" w:eastAsia="en-US"/>
    </w:rPr>
  </w:style>
  <w:style w:type="paragraph" w:customStyle="1" w:styleId="xl52">
    <w:name w:val="xl52"/>
    <w:basedOn w:val="Normal"/>
    <w:rsid w:val="00060470"/>
    <w:pPr>
      <w:pBdr>
        <w:top w:val="single" w:sz="4" w:space="0" w:color="auto"/>
        <w:left w:val="single" w:sz="8" w:space="21" w:color="auto"/>
        <w:bottom w:val="single" w:sz="4" w:space="0" w:color="auto"/>
        <w:right w:val="single" w:sz="4" w:space="0" w:color="auto"/>
      </w:pBdr>
      <w:shd w:val="clear" w:color="auto" w:fill="FFFFFF"/>
      <w:spacing w:before="100" w:after="100" w:line="240" w:lineRule="auto"/>
      <w:jc w:val="left"/>
    </w:pPr>
    <w:rPr>
      <w:rFonts w:ascii="Times New Roman" w:eastAsia="SimSun" w:hAnsi="Times New Roman"/>
      <w:b w:val="0"/>
      <w:bCs/>
      <w:sz w:val="24"/>
      <w:lang w:val="en-US" w:eastAsia="en-US"/>
    </w:rPr>
  </w:style>
  <w:style w:type="paragraph" w:customStyle="1" w:styleId="xl53">
    <w:name w:val="xl53"/>
    <w:basedOn w:val="Normal"/>
    <w:rsid w:val="00060470"/>
    <w:pPr>
      <w:pBdr>
        <w:top w:val="single" w:sz="4" w:space="0" w:color="auto"/>
        <w:left w:val="single" w:sz="8" w:space="31" w:color="auto"/>
        <w:bottom w:val="single" w:sz="4" w:space="0" w:color="auto"/>
        <w:right w:val="single" w:sz="4" w:space="0" w:color="auto"/>
      </w:pBdr>
      <w:shd w:val="clear" w:color="auto" w:fill="FFFFFF"/>
      <w:spacing w:before="100" w:after="100" w:line="240" w:lineRule="auto"/>
      <w:jc w:val="left"/>
    </w:pPr>
    <w:rPr>
      <w:rFonts w:ascii="Times New Roman" w:eastAsia="SimSun" w:hAnsi="Times New Roman"/>
      <w:sz w:val="24"/>
      <w:lang w:val="en-US" w:eastAsia="en-US"/>
    </w:rPr>
  </w:style>
  <w:style w:type="paragraph" w:customStyle="1" w:styleId="xl54">
    <w:name w:val="xl54"/>
    <w:basedOn w:val="Normal"/>
    <w:rsid w:val="00060470"/>
    <w:pPr>
      <w:pBdr>
        <w:top w:val="single" w:sz="4" w:space="0" w:color="auto"/>
        <w:left w:val="single" w:sz="8" w:space="3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sz w:val="24"/>
      <w:lang w:val="en-US" w:eastAsia="en-US"/>
    </w:rPr>
  </w:style>
  <w:style w:type="paragraph" w:customStyle="1" w:styleId="xl55">
    <w:name w:val="xl55"/>
    <w:basedOn w:val="Normal"/>
    <w:rsid w:val="00060470"/>
    <w:pPr>
      <w:pBdr>
        <w:top w:val="single" w:sz="4" w:space="0" w:color="auto"/>
        <w:left w:val="single" w:sz="8" w:space="3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sz w:val="24"/>
      <w:lang w:val="en-US" w:eastAsia="en-US"/>
    </w:rPr>
  </w:style>
  <w:style w:type="paragraph" w:customStyle="1" w:styleId="xl56">
    <w:name w:val="xl56"/>
    <w:basedOn w:val="Normal"/>
    <w:rsid w:val="00060470"/>
    <w:pPr>
      <w:pBdr>
        <w:top w:val="single" w:sz="4" w:space="0" w:color="auto"/>
        <w:left w:val="single" w:sz="8" w:space="31" w:color="auto"/>
        <w:bottom w:val="single" w:sz="4" w:space="0" w:color="auto"/>
        <w:right w:val="single" w:sz="4" w:space="0" w:color="auto"/>
      </w:pBdr>
      <w:spacing w:before="100" w:after="100" w:line="240" w:lineRule="auto"/>
      <w:jc w:val="left"/>
    </w:pPr>
    <w:rPr>
      <w:rFonts w:ascii="Times New Roman" w:eastAsia="SimSun" w:hAnsi="Times New Roman"/>
      <w:sz w:val="24"/>
      <w:lang w:val="en-US" w:eastAsia="en-US"/>
    </w:rPr>
  </w:style>
  <w:style w:type="paragraph" w:customStyle="1" w:styleId="xl57">
    <w:name w:val="xl57"/>
    <w:basedOn w:val="Normal"/>
    <w:rsid w:val="00060470"/>
    <w:pPr>
      <w:pBdr>
        <w:top w:val="single" w:sz="4" w:space="0" w:color="auto"/>
        <w:left w:val="single" w:sz="8" w:space="3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sz w:val="24"/>
      <w:lang w:val="en-US" w:eastAsia="en-US"/>
    </w:rPr>
  </w:style>
  <w:style w:type="paragraph" w:customStyle="1" w:styleId="xl58">
    <w:name w:val="xl58"/>
    <w:basedOn w:val="Normal"/>
    <w:rsid w:val="00060470"/>
    <w:pPr>
      <w:pBdr>
        <w:top w:val="single" w:sz="4" w:space="0" w:color="auto"/>
        <w:left w:val="single" w:sz="8" w:space="3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sz w:val="24"/>
      <w:lang w:val="en-US" w:eastAsia="en-US"/>
    </w:rPr>
  </w:style>
  <w:style w:type="paragraph" w:customStyle="1" w:styleId="xl59">
    <w:name w:val="xl59"/>
    <w:basedOn w:val="Normal"/>
    <w:rsid w:val="00060470"/>
    <w:pPr>
      <w:pBdr>
        <w:top w:val="single" w:sz="4" w:space="0" w:color="auto"/>
        <w:left w:val="single" w:sz="8" w:space="3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sz w:val="24"/>
      <w:lang w:val="en-US" w:eastAsia="en-US"/>
    </w:rPr>
  </w:style>
  <w:style w:type="paragraph" w:customStyle="1" w:styleId="xl60">
    <w:name w:val="xl60"/>
    <w:basedOn w:val="Normal"/>
    <w:rsid w:val="00060470"/>
    <w:pPr>
      <w:pBdr>
        <w:top w:val="single" w:sz="4" w:space="0" w:color="auto"/>
        <w:left w:val="single" w:sz="8" w:space="3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sz w:val="24"/>
      <w:lang w:val="en-US" w:eastAsia="en-US"/>
    </w:rPr>
  </w:style>
  <w:style w:type="paragraph" w:customStyle="1" w:styleId="xl61">
    <w:name w:val="xl61"/>
    <w:basedOn w:val="Normal"/>
    <w:rsid w:val="00060470"/>
    <w:pPr>
      <w:pBdr>
        <w:top w:val="single" w:sz="4" w:space="0" w:color="auto"/>
        <w:left w:val="single" w:sz="8" w:space="11" w:color="auto"/>
        <w:bottom w:val="single" w:sz="4" w:space="0" w:color="auto"/>
        <w:right w:val="single" w:sz="4" w:space="0" w:color="auto"/>
      </w:pBdr>
      <w:spacing w:before="100" w:after="100" w:line="240" w:lineRule="auto"/>
      <w:jc w:val="left"/>
    </w:pPr>
    <w:rPr>
      <w:rFonts w:ascii="Times New Roman" w:eastAsia="SimSun" w:hAnsi="Times New Roman"/>
      <w:b w:val="0"/>
      <w:bCs/>
      <w:i/>
      <w:iCs/>
      <w:sz w:val="24"/>
      <w:lang w:val="en-US" w:eastAsia="en-US"/>
    </w:rPr>
  </w:style>
  <w:style w:type="paragraph" w:customStyle="1" w:styleId="xl62">
    <w:name w:val="xl62"/>
    <w:basedOn w:val="Normal"/>
    <w:rsid w:val="00060470"/>
    <w:pPr>
      <w:pBdr>
        <w:top w:val="single" w:sz="4" w:space="0" w:color="auto"/>
        <w:left w:val="single" w:sz="8" w:space="11" w:color="auto"/>
        <w:bottom w:val="single" w:sz="4" w:space="0" w:color="auto"/>
        <w:right w:val="single" w:sz="4" w:space="0" w:color="auto"/>
      </w:pBdr>
      <w:spacing w:before="100" w:after="100" w:line="240" w:lineRule="auto"/>
      <w:jc w:val="left"/>
    </w:pPr>
    <w:rPr>
      <w:rFonts w:ascii="Times New Roman" w:eastAsia="SimSun" w:hAnsi="Times New Roman"/>
      <w:b w:val="0"/>
      <w:bCs/>
      <w:sz w:val="24"/>
      <w:lang w:val="en-US" w:eastAsia="en-US"/>
    </w:rPr>
  </w:style>
  <w:style w:type="paragraph" w:customStyle="1" w:styleId="xl63">
    <w:name w:val="xl63"/>
    <w:basedOn w:val="Normal"/>
    <w:rsid w:val="00060470"/>
    <w:pPr>
      <w:pBdr>
        <w:top w:val="single" w:sz="4" w:space="0" w:color="auto"/>
        <w:left w:val="single" w:sz="8" w:space="0" w:color="auto"/>
        <w:bottom w:val="single" w:sz="4" w:space="0" w:color="auto"/>
        <w:right w:val="single" w:sz="4" w:space="0" w:color="auto"/>
      </w:pBdr>
      <w:spacing w:before="100" w:after="100" w:line="240" w:lineRule="auto"/>
      <w:jc w:val="left"/>
    </w:pPr>
    <w:rPr>
      <w:rFonts w:ascii="Times New Roman" w:eastAsia="SimSun" w:hAnsi="Times New Roman"/>
      <w:sz w:val="24"/>
      <w:lang w:val="en-US" w:eastAsia="en-US"/>
    </w:rPr>
  </w:style>
  <w:style w:type="paragraph" w:customStyle="1" w:styleId="xl64">
    <w:name w:val="xl64"/>
    <w:basedOn w:val="Normal"/>
    <w:rsid w:val="00060470"/>
    <w:pPr>
      <w:pBdr>
        <w:top w:val="single" w:sz="4" w:space="0" w:color="auto"/>
        <w:left w:val="single" w:sz="8" w:space="11" w:color="auto"/>
        <w:bottom w:val="single" w:sz="4" w:space="0" w:color="auto"/>
        <w:right w:val="single" w:sz="4" w:space="0" w:color="auto"/>
      </w:pBdr>
      <w:shd w:val="clear" w:color="auto" w:fill="C0C0C0"/>
      <w:spacing w:before="100" w:after="100" w:line="240" w:lineRule="auto"/>
      <w:jc w:val="left"/>
    </w:pPr>
    <w:rPr>
      <w:rFonts w:ascii="Times New Roman" w:eastAsia="SimSun" w:hAnsi="Times New Roman"/>
      <w:i/>
      <w:iCs/>
      <w:sz w:val="24"/>
      <w:lang w:val="en-US" w:eastAsia="en-US"/>
    </w:rPr>
  </w:style>
  <w:style w:type="paragraph" w:customStyle="1" w:styleId="paragraph">
    <w:name w:val="paragraph"/>
    <w:basedOn w:val="Normal"/>
    <w:rsid w:val="00060470"/>
    <w:pPr>
      <w:spacing w:before="100" w:beforeAutospacing="1" w:after="100" w:afterAutospacing="1" w:line="240" w:lineRule="auto"/>
      <w:jc w:val="left"/>
    </w:pPr>
    <w:rPr>
      <w:rFonts w:ascii="Times New Roman" w:hAnsi="Times New Roman"/>
      <w:sz w:val="24"/>
      <w:lang w:val="en-US" w:eastAsia="en-US"/>
    </w:rPr>
  </w:style>
  <w:style w:type="character" w:customStyle="1" w:styleId="normaltextrun">
    <w:name w:val="normaltextrun"/>
    <w:rsid w:val="00060470"/>
  </w:style>
  <w:style w:type="character" w:customStyle="1" w:styleId="BodyText2Char2">
    <w:name w:val="Body Text 2 Char2"/>
    <w:aliases w:val="1Text Char2"/>
    <w:uiPriority w:val="99"/>
    <w:rsid w:val="00060470"/>
    <w:rPr>
      <w:sz w:val="24"/>
      <w:szCs w:val="24"/>
    </w:rPr>
  </w:style>
  <w:style w:type="numbering" w:customStyle="1" w:styleId="NoList2">
    <w:name w:val="No List2"/>
    <w:next w:val="NoList"/>
    <w:semiHidden/>
    <w:rsid w:val="00060470"/>
  </w:style>
  <w:style w:type="paragraph" w:customStyle="1" w:styleId="110">
    <w:name w:val="Рецензия11"/>
    <w:hidden/>
    <w:uiPriority w:val="99"/>
    <w:semiHidden/>
    <w:rsid w:val="00060470"/>
    <w:rPr>
      <w:rFonts w:ascii="Arial Armenian" w:hAnsi="Arial Armenian"/>
      <w:sz w:val="22"/>
      <w:szCs w:val="22"/>
      <w:lang w:eastAsia="ru-RU"/>
    </w:rPr>
  </w:style>
  <w:style w:type="character" w:customStyle="1" w:styleId="showhide1">
    <w:name w:val="showhide1"/>
    <w:rsid w:val="00060470"/>
    <w:rPr>
      <w:b/>
      <w:bCs/>
      <w:color w:val="000000"/>
      <w:sz w:val="21"/>
      <w:szCs w:val="21"/>
      <w:u w:val="single"/>
    </w:rPr>
  </w:style>
  <w:style w:type="paragraph" w:customStyle="1" w:styleId="alignright">
    <w:name w:val="alignright"/>
    <w:basedOn w:val="Normal"/>
    <w:rsid w:val="00060470"/>
    <w:pPr>
      <w:spacing w:before="100" w:beforeAutospacing="1" w:after="100" w:afterAutospacing="1" w:line="240" w:lineRule="auto"/>
      <w:jc w:val="left"/>
    </w:pPr>
    <w:rPr>
      <w:rFonts w:ascii="Times New Roman" w:hAnsi="Times New Roman"/>
      <w:sz w:val="24"/>
      <w:lang w:val="en-US" w:eastAsia="en-US"/>
    </w:rPr>
  </w:style>
  <w:style w:type="character" w:customStyle="1" w:styleId="BodyTextIndentChar3">
    <w:name w:val="Body Text Indent Char3"/>
    <w:aliases w:val="(Table Source)1 Char2,(Table Source)11 Char1"/>
    <w:uiPriority w:val="99"/>
    <w:locked/>
    <w:rsid w:val="00060470"/>
    <w:rPr>
      <w:rFonts w:ascii="Times New Roman" w:hAnsi="Times New Roman" w:cs="Times New Roman"/>
      <w:sz w:val="20"/>
      <w:szCs w:val="20"/>
      <w:lang w:val="en-GB" w:eastAsia="en-US"/>
    </w:rPr>
  </w:style>
  <w:style w:type="paragraph" w:customStyle="1" w:styleId="Char20">
    <w:name w:val="Char2"/>
    <w:basedOn w:val="Normal"/>
    <w:locked/>
    <w:rsid w:val="00060470"/>
    <w:pPr>
      <w:spacing w:before="0" w:after="160" w:line="240" w:lineRule="auto"/>
      <w:jc w:val="left"/>
    </w:pPr>
    <w:rPr>
      <w:rFonts w:ascii="Verdana" w:eastAsia="Batang" w:hAnsi="Verdana" w:cs="Verdana"/>
      <w:sz w:val="24"/>
      <w:lang w:val="en-US" w:eastAsia="en-US"/>
    </w:rPr>
  </w:style>
  <w:style w:type="paragraph" w:customStyle="1" w:styleId="CharChar1">
    <w:name w:val="Char Char1"/>
    <w:basedOn w:val="Normal"/>
    <w:uiPriority w:val="99"/>
    <w:rsid w:val="00060470"/>
    <w:pPr>
      <w:spacing w:before="0" w:after="160" w:line="240" w:lineRule="exact"/>
      <w:jc w:val="left"/>
    </w:pPr>
    <w:rPr>
      <w:rFonts w:ascii="Arial" w:hAnsi="Arial" w:cs="Arial"/>
      <w:sz w:val="20"/>
      <w:szCs w:val="20"/>
      <w:lang w:val="en-US" w:eastAsia="en-US"/>
    </w:rPr>
  </w:style>
  <w:style w:type="paragraph" w:customStyle="1" w:styleId="Char1CharCharCharCharCharCharCharCharCharCharCharChar1">
    <w:name w:val="Char1 Char Char Char Char Char Char Char Char Char Char Char Char1"/>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10">
    <w:name w:val="Char Char Char1"/>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11">
    <w:name w:val="Char Char Char Знак Знак1"/>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CharChar1">
    <w:name w:val="Char Char Char Char Char Знак Знак1"/>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CharCharCharCharCharCharCharCharCharCharCharChar1">
    <w:name w:val="Char Char Char Char Знак Char Знак Char Char Char Char Char Char Char Char Char Char1"/>
    <w:basedOn w:val="Normal"/>
    <w:rsid w:val="00060470"/>
    <w:pPr>
      <w:tabs>
        <w:tab w:val="left" w:pos="709"/>
      </w:tabs>
      <w:spacing w:before="0" w:line="240" w:lineRule="auto"/>
      <w:jc w:val="left"/>
    </w:pPr>
    <w:rPr>
      <w:rFonts w:ascii="Tahoma" w:hAnsi="Tahoma"/>
      <w:sz w:val="24"/>
      <w:lang w:val="pl-PL" w:eastAsia="pl-PL"/>
    </w:rPr>
  </w:style>
  <w:style w:type="character" w:customStyle="1" w:styleId="CharChar161">
    <w:name w:val="Char Char161"/>
    <w:rsid w:val="00060470"/>
    <w:rPr>
      <w:b/>
      <w:sz w:val="32"/>
      <w:lang w:val="en-GB" w:eastAsia="en-US"/>
    </w:rPr>
  </w:style>
  <w:style w:type="character" w:customStyle="1" w:styleId="CharChar141">
    <w:name w:val="Char Char141"/>
    <w:rsid w:val="00060470"/>
    <w:rPr>
      <w:sz w:val="22"/>
      <w:lang w:val="en-GB" w:eastAsia="en-US"/>
    </w:rPr>
  </w:style>
  <w:style w:type="character" w:customStyle="1" w:styleId="CharChar151">
    <w:name w:val="Char Char151"/>
    <w:rsid w:val="00060470"/>
    <w:rPr>
      <w:sz w:val="36"/>
      <w:lang w:val="en-GB" w:eastAsia="en-US"/>
    </w:rPr>
  </w:style>
  <w:style w:type="character" w:customStyle="1" w:styleId="CharChar131">
    <w:name w:val="Char Char131"/>
    <w:rsid w:val="00060470"/>
    <w:rPr>
      <w:sz w:val="22"/>
      <w:lang w:val="en-GB" w:eastAsia="en-US"/>
    </w:rPr>
  </w:style>
  <w:style w:type="character" w:customStyle="1" w:styleId="CharChar121">
    <w:name w:val="Char Char121"/>
    <w:rsid w:val="00060470"/>
    <w:rPr>
      <w:sz w:val="22"/>
      <w:lang w:val="en-GB" w:eastAsia="en-US"/>
    </w:rPr>
  </w:style>
  <w:style w:type="character" w:customStyle="1" w:styleId="CharChar111">
    <w:name w:val="Char Char111"/>
    <w:rsid w:val="00060470"/>
    <w:rPr>
      <w:rFonts w:ascii="Times Armenian" w:hAnsi="Times Armenian"/>
      <w:b/>
      <w:sz w:val="24"/>
      <w:lang w:val="fr-FR" w:eastAsia="en-US"/>
    </w:rPr>
  </w:style>
  <w:style w:type="character" w:customStyle="1" w:styleId="CharChar101">
    <w:name w:val="Char Char101"/>
    <w:rsid w:val="00060470"/>
    <w:rPr>
      <w:rFonts w:ascii="Times Armenian" w:hAnsi="Times Armenian"/>
      <w:color w:val="993300"/>
      <w:sz w:val="24"/>
      <w:lang w:val="hy-AM" w:eastAsia="en-US"/>
    </w:rPr>
  </w:style>
  <w:style w:type="character" w:customStyle="1" w:styleId="CharChar91">
    <w:name w:val="Char Char91"/>
    <w:rsid w:val="00060470"/>
    <w:rPr>
      <w:rFonts w:ascii="Times Armenian" w:hAnsi="Times Armenian"/>
      <w:b/>
      <w:i/>
      <w:sz w:val="24"/>
      <w:u w:val="single"/>
      <w:lang w:val="hy-AM" w:eastAsia="en-US"/>
    </w:rPr>
  </w:style>
  <w:style w:type="character" w:customStyle="1" w:styleId="BodyText2Char3">
    <w:name w:val="Body Text 2 Char3"/>
    <w:uiPriority w:val="99"/>
    <w:semiHidden/>
    <w:rsid w:val="00060470"/>
  </w:style>
  <w:style w:type="character" w:customStyle="1" w:styleId="CharChar24">
    <w:name w:val="Char Char24"/>
    <w:rsid w:val="00060470"/>
    <w:rPr>
      <w:rFonts w:ascii="Garamond" w:hAnsi="Garamond"/>
      <w:sz w:val="16"/>
      <w:lang w:val="en-GB"/>
    </w:rPr>
  </w:style>
  <w:style w:type="character" w:customStyle="1" w:styleId="CharChar23">
    <w:name w:val="Char Char23"/>
    <w:rsid w:val="00060470"/>
    <w:rPr>
      <w:rFonts w:ascii="Garamond" w:hAnsi="Garamond"/>
      <w:i/>
      <w:spacing w:val="-5"/>
      <w:sz w:val="28"/>
      <w:shd w:val="pct5" w:color="auto" w:fill="auto"/>
      <w:lang w:val="en-GB"/>
    </w:rPr>
  </w:style>
  <w:style w:type="character" w:customStyle="1" w:styleId="CharChar22">
    <w:name w:val="Char Char22"/>
    <w:rsid w:val="00060470"/>
    <w:rPr>
      <w:rFonts w:ascii="Arial Black" w:hAnsi="Arial Black"/>
      <w:caps/>
      <w:spacing w:val="60"/>
      <w:position w:val="4"/>
      <w:sz w:val="14"/>
      <w:lang w:val="en-GB"/>
    </w:rPr>
  </w:style>
  <w:style w:type="character" w:customStyle="1" w:styleId="CharChar21">
    <w:name w:val="Char Char21"/>
    <w:rsid w:val="00060470"/>
    <w:rPr>
      <w:rFonts w:ascii="Garamond" w:hAnsi="Garamond"/>
      <w:b/>
      <w:i/>
      <w:kern w:val="28"/>
      <w:sz w:val="16"/>
      <w:lang w:val="en-GB"/>
    </w:rPr>
  </w:style>
  <w:style w:type="character" w:customStyle="1" w:styleId="CharChar17">
    <w:name w:val="Char Char17"/>
    <w:rsid w:val="00060470"/>
    <w:rPr>
      <w:lang w:val="en-GB" w:eastAsia="en-US" w:bidi="ar-SA"/>
    </w:rPr>
  </w:style>
  <w:style w:type="character" w:customStyle="1" w:styleId="CharChar20">
    <w:name w:val="Char Char20"/>
    <w:rsid w:val="00060470"/>
    <w:rPr>
      <w:rFonts w:ascii="Times Armenian" w:hAnsi="Times Armenian"/>
      <w:i/>
      <w:sz w:val="24"/>
      <w:lang w:val="hy-AM"/>
    </w:rPr>
  </w:style>
  <w:style w:type="character" w:customStyle="1" w:styleId="CharChar19">
    <w:name w:val="Char Char19"/>
    <w:locked/>
    <w:rsid w:val="00060470"/>
    <w:rPr>
      <w:rFonts w:ascii="Times Armenian" w:hAnsi="Times Armenian"/>
      <w:sz w:val="24"/>
      <w:u w:val="single"/>
    </w:rPr>
  </w:style>
  <w:style w:type="character" w:customStyle="1" w:styleId="CharChar18">
    <w:name w:val="Char Char18"/>
    <w:rsid w:val="00060470"/>
    <w:rPr>
      <w:sz w:val="16"/>
      <w:szCs w:val="16"/>
      <w:lang w:val="en-GB"/>
    </w:rPr>
  </w:style>
  <w:style w:type="numbering" w:customStyle="1" w:styleId="NoList3">
    <w:name w:val="No List3"/>
    <w:next w:val="NoList"/>
    <w:semiHidden/>
    <w:unhideWhenUsed/>
    <w:rsid w:val="00060470"/>
  </w:style>
  <w:style w:type="paragraph" w:customStyle="1" w:styleId="CharCharCharCharCharCharCharCharCharCharCharCharCharCharCharCharChar">
    <w:name w:val="Char Char Char Знак Char Char Char Char Char Знак Char Char Char Char Char Char Char Char Char"/>
    <w:basedOn w:val="Normal"/>
    <w:rsid w:val="00060470"/>
    <w:pPr>
      <w:spacing w:before="0" w:after="160" w:line="240" w:lineRule="exact"/>
      <w:jc w:val="left"/>
    </w:pPr>
    <w:rPr>
      <w:rFonts w:ascii="Arial" w:hAnsi="Arial" w:cs="Arial"/>
      <w:sz w:val="20"/>
      <w:szCs w:val="20"/>
      <w:lang w:val="en-US" w:eastAsia="en-US"/>
    </w:rPr>
  </w:style>
  <w:style w:type="character" w:customStyle="1" w:styleId="apple-style-span">
    <w:name w:val="apple-style-span"/>
    <w:rsid w:val="00060470"/>
    <w:rPr>
      <w:rFonts w:cs="Times New Roman"/>
    </w:rPr>
  </w:style>
  <w:style w:type="character" w:customStyle="1" w:styleId="Style1Char">
    <w:name w:val="Style1 Char"/>
    <w:link w:val="Style1"/>
    <w:rsid w:val="00060470"/>
    <w:rPr>
      <w:rFonts w:ascii="Sylfaen" w:hAnsi="Sylfaen"/>
      <w:sz w:val="22"/>
      <w:szCs w:val="24"/>
    </w:rPr>
  </w:style>
  <w:style w:type="character" w:customStyle="1" w:styleId="FontStyle17">
    <w:name w:val="Font Style17"/>
    <w:rsid w:val="00060470"/>
    <w:rPr>
      <w:rFonts w:ascii="Arial Unicode MS" w:eastAsia="Arial Unicode MS" w:cs="Arial Unicode MS"/>
      <w:b/>
      <w:bCs/>
      <w:sz w:val="24"/>
      <w:szCs w:val="24"/>
    </w:rPr>
  </w:style>
  <w:style w:type="character" w:customStyle="1" w:styleId="Heading6Char1">
    <w:name w:val="Heading 6 Char1"/>
    <w:rsid w:val="00060470"/>
    <w:rPr>
      <w:rFonts w:ascii="Arial Armenian" w:eastAsia="Times New Roman" w:hAnsi="Arial Armenian" w:cs="Times New Roman"/>
      <w:i/>
      <w:szCs w:val="20"/>
      <w:u w:val="single"/>
      <w:lang w:val="en-GB"/>
    </w:rPr>
  </w:style>
  <w:style w:type="character" w:customStyle="1" w:styleId="Heading7Char1">
    <w:name w:val="Heading 7 Char1"/>
    <w:rsid w:val="00060470"/>
    <w:rPr>
      <w:rFonts w:ascii="Garamond" w:eastAsia="Times New Roman" w:hAnsi="Garamond" w:cs="Times New Roman"/>
      <w:i/>
      <w:spacing w:val="-5"/>
      <w:sz w:val="28"/>
      <w:szCs w:val="20"/>
      <w:shd w:val="pct5" w:color="auto" w:fill="auto"/>
      <w:lang w:val="en-GB"/>
    </w:rPr>
  </w:style>
  <w:style w:type="character" w:customStyle="1" w:styleId="Heading8Char1">
    <w:name w:val="Heading 8 Char1"/>
    <w:rsid w:val="00060470"/>
    <w:rPr>
      <w:rFonts w:ascii="Arial Black" w:eastAsia="Times New Roman" w:hAnsi="Arial Black" w:cs="Times New Roman"/>
      <w:caps/>
      <w:spacing w:val="60"/>
      <w:position w:val="4"/>
      <w:sz w:val="14"/>
      <w:szCs w:val="20"/>
      <w:lang w:val="en-GB"/>
    </w:rPr>
  </w:style>
  <w:style w:type="character" w:customStyle="1" w:styleId="Heading9Char1">
    <w:name w:val="Heading 9 Char1"/>
    <w:rsid w:val="00060470"/>
    <w:rPr>
      <w:rFonts w:ascii="Garamond" w:eastAsia="Times New Roman" w:hAnsi="Garamond" w:cs="Times New Roman"/>
      <w:b/>
      <w:i/>
      <w:kern w:val="28"/>
      <w:sz w:val="20"/>
      <w:szCs w:val="20"/>
      <w:lang w:val="en-GB"/>
    </w:rPr>
  </w:style>
  <w:style w:type="paragraph" w:customStyle="1" w:styleId="Tablefigure">
    <w:name w:val="Table_figure"/>
    <w:basedOn w:val="Normal"/>
    <w:rsid w:val="00060470"/>
    <w:pPr>
      <w:spacing w:before="60" w:line="240" w:lineRule="auto"/>
      <w:jc w:val="right"/>
    </w:pPr>
    <w:rPr>
      <w:rFonts w:ascii="Arial Armenian" w:hAnsi="Arial Armenian"/>
      <w:sz w:val="16"/>
      <w:szCs w:val="20"/>
      <w:lang w:val="en-GB" w:eastAsia="en-US"/>
    </w:rPr>
  </w:style>
  <w:style w:type="character" w:customStyle="1" w:styleId="BodyTextIndent2Char1">
    <w:name w:val="Body Text Indent 2 Char1"/>
    <w:link w:val="BodyTextIndent21"/>
    <w:rsid w:val="00060470"/>
    <w:rPr>
      <w:rFonts w:ascii="Arial Armenian" w:eastAsia="Times New Roman" w:hAnsi="Arial Armenian" w:cs="Times New Roman"/>
      <w:sz w:val="20"/>
      <w:szCs w:val="20"/>
      <w:lang w:val="en-GB"/>
    </w:rPr>
  </w:style>
  <w:style w:type="paragraph" w:customStyle="1" w:styleId="Specialnormal">
    <w:name w:val="Special normal"/>
    <w:basedOn w:val="Normal"/>
    <w:rsid w:val="00060470"/>
    <w:pPr>
      <w:overflowPunct w:val="0"/>
      <w:autoSpaceDE w:val="0"/>
      <w:autoSpaceDN w:val="0"/>
      <w:adjustRightInd w:val="0"/>
      <w:spacing w:before="0" w:line="240" w:lineRule="auto"/>
      <w:jc w:val="center"/>
      <w:textAlignment w:val="baseline"/>
    </w:pPr>
    <w:rPr>
      <w:rFonts w:ascii="Times New Roman" w:hAnsi="Times New Roman"/>
      <w:sz w:val="20"/>
      <w:szCs w:val="20"/>
      <w:lang w:val="en-GB" w:eastAsia="en-US"/>
    </w:rPr>
  </w:style>
  <w:style w:type="paragraph" w:customStyle="1" w:styleId="a2">
    <w:name w:val="???????? ????? ? ????????"/>
    <w:basedOn w:val="Normal"/>
    <w:rsid w:val="00060470"/>
    <w:pPr>
      <w:spacing w:before="0" w:line="240" w:lineRule="auto"/>
      <w:ind w:left="360" w:hanging="360"/>
    </w:pPr>
    <w:rPr>
      <w:rFonts w:ascii="Times Armenian" w:hAnsi="Times Armenian"/>
      <w:sz w:val="24"/>
      <w:szCs w:val="20"/>
      <w:lang w:val="en-US"/>
    </w:rPr>
  </w:style>
  <w:style w:type="character" w:customStyle="1" w:styleId="Char1">
    <w:name w:val="??????? Char"/>
    <w:link w:val="a1"/>
    <w:rsid w:val="00060470"/>
    <w:rPr>
      <w:lang w:val="ru-RU" w:eastAsia="ru-RU"/>
    </w:rPr>
  </w:style>
  <w:style w:type="paragraph" w:customStyle="1" w:styleId="20">
    <w:name w:val="???????2"/>
    <w:rsid w:val="00060470"/>
    <w:rPr>
      <w:rFonts w:ascii="Times Armenian" w:hAnsi="Times Armenian"/>
      <w:sz w:val="24"/>
      <w:lang w:eastAsia="ru-RU"/>
    </w:rPr>
  </w:style>
  <w:style w:type="paragraph" w:customStyle="1" w:styleId="a3">
    <w:name w:val="???????? ?????"/>
    <w:basedOn w:val="a1"/>
    <w:rsid w:val="00060470"/>
    <w:pPr>
      <w:jc w:val="center"/>
    </w:pPr>
    <w:rPr>
      <w:rFonts w:ascii="Times Armenian" w:hAnsi="Times Armenian"/>
      <w:i/>
      <w:sz w:val="32"/>
      <w:lang w:val="en-US"/>
    </w:rPr>
  </w:style>
  <w:style w:type="paragraph" w:customStyle="1" w:styleId="31">
    <w:name w:val="???????? ????? ? ???????? 31"/>
    <w:basedOn w:val="20"/>
    <w:rsid w:val="00060470"/>
    <w:pPr>
      <w:spacing w:line="360" w:lineRule="auto"/>
      <w:ind w:firstLine="360"/>
    </w:pPr>
  </w:style>
  <w:style w:type="paragraph" w:customStyle="1" w:styleId="a4">
    <w:name w:val="??????"/>
    <w:basedOn w:val="20"/>
    <w:rsid w:val="00060470"/>
    <w:pPr>
      <w:spacing w:line="360" w:lineRule="auto"/>
      <w:ind w:left="-426" w:right="-619" w:firstLine="710"/>
    </w:pPr>
    <w:rPr>
      <w:rFonts w:ascii="Arial LatArm" w:hAnsi="Arial LatArm"/>
      <w:i/>
      <w:lang w:val="en-AU"/>
    </w:rPr>
  </w:style>
  <w:style w:type="paragraph" w:customStyle="1" w:styleId="3">
    <w:name w:val="???????? ????? 3"/>
    <w:basedOn w:val="Normal"/>
    <w:rsid w:val="00060470"/>
    <w:pPr>
      <w:spacing w:before="0" w:line="240" w:lineRule="auto"/>
    </w:pPr>
    <w:rPr>
      <w:rFonts w:ascii="Times Armenian" w:hAnsi="Times Armenian"/>
      <w:sz w:val="24"/>
      <w:szCs w:val="20"/>
    </w:rPr>
  </w:style>
  <w:style w:type="paragraph" w:customStyle="1" w:styleId="21">
    <w:name w:val="???????? ????? ? ????????2"/>
    <w:basedOn w:val="20"/>
    <w:rsid w:val="00060470"/>
    <w:pPr>
      <w:spacing w:line="360" w:lineRule="auto"/>
      <w:ind w:firstLine="720"/>
    </w:pPr>
    <w:rPr>
      <w:sz w:val="28"/>
    </w:rPr>
  </w:style>
  <w:style w:type="paragraph" w:customStyle="1" w:styleId="111">
    <w:name w:val="????????? 11"/>
    <w:basedOn w:val="20"/>
    <w:next w:val="20"/>
    <w:rsid w:val="00060470"/>
    <w:pPr>
      <w:keepNext/>
      <w:spacing w:line="360" w:lineRule="auto"/>
      <w:outlineLvl w:val="0"/>
    </w:pPr>
    <w:rPr>
      <w:rFonts w:ascii="Times LatArm" w:hAnsi="Times LatArm"/>
    </w:rPr>
  </w:style>
  <w:style w:type="paragraph" w:customStyle="1" w:styleId="12">
    <w:name w:val="????????1"/>
    <w:basedOn w:val="a1"/>
    <w:rsid w:val="00060470"/>
    <w:pPr>
      <w:jc w:val="center"/>
    </w:pPr>
    <w:rPr>
      <w:rFonts w:ascii="Times Armenian" w:hAnsi="Times Armenian"/>
      <w:i/>
      <w:sz w:val="28"/>
      <w:lang w:val="en-US"/>
    </w:rPr>
  </w:style>
  <w:style w:type="paragraph" w:customStyle="1" w:styleId="22">
    <w:name w:val="???????? ????? ? ???????? 2"/>
    <w:basedOn w:val="a1"/>
    <w:rsid w:val="00060470"/>
    <w:pPr>
      <w:ind w:right="-141" w:firstLine="567"/>
    </w:pPr>
    <w:rPr>
      <w:rFonts w:ascii="Times Armenian" w:hAnsi="Times Armenian"/>
      <w:sz w:val="24"/>
    </w:rPr>
  </w:style>
  <w:style w:type="paragraph" w:customStyle="1" w:styleId="23">
    <w:name w:val="???????? ????? 2"/>
    <w:basedOn w:val="a1"/>
    <w:rsid w:val="00060470"/>
    <w:pPr>
      <w:spacing w:line="360" w:lineRule="auto"/>
    </w:pPr>
    <w:rPr>
      <w:rFonts w:ascii="Times LatArm" w:hAnsi="Times LatArm"/>
      <w:b/>
      <w:i/>
      <w:sz w:val="28"/>
      <w:lang w:val="en-US"/>
    </w:rPr>
  </w:style>
  <w:style w:type="paragraph" w:customStyle="1" w:styleId="13">
    <w:name w:val="???????1"/>
    <w:rsid w:val="00060470"/>
    <w:rPr>
      <w:lang w:val="ru-RU" w:eastAsia="ru-RU"/>
    </w:rPr>
  </w:style>
  <w:style w:type="paragraph" w:customStyle="1" w:styleId="30">
    <w:name w:val="???????? ????? ? ????????3"/>
    <w:basedOn w:val="a1"/>
    <w:rsid w:val="00060470"/>
    <w:pPr>
      <w:ind w:left="360" w:hanging="360"/>
    </w:pPr>
    <w:rPr>
      <w:rFonts w:ascii="Times Armenian" w:hAnsi="Times Armenian"/>
      <w:sz w:val="24"/>
      <w:lang w:val="en-US"/>
    </w:rPr>
  </w:style>
  <w:style w:type="paragraph" w:customStyle="1" w:styleId="StyleHeading2ChapterParanumTextSylfaen1">
    <w:name w:val="Style Heading 2.(Chapter).Paranum.Text + Sylfaen1"/>
    <w:basedOn w:val="Heading2ChapterParanumText"/>
    <w:link w:val="StyleHeading2ChapterParanumTextSylfaen1Char"/>
    <w:autoRedefine/>
    <w:rsid w:val="00060470"/>
    <w:pPr>
      <w:spacing w:before="240" w:after="120" w:line="240" w:lineRule="auto"/>
      <w:ind w:firstLine="567"/>
      <w:jc w:val="both"/>
    </w:pPr>
    <w:rPr>
      <w:rFonts w:ascii="GHEA Grapalat" w:hAnsi="GHEA Grapalat"/>
      <w:sz w:val="22"/>
      <w:szCs w:val="22"/>
      <w:lang w:val="pt-BR"/>
    </w:rPr>
  </w:style>
  <w:style w:type="paragraph" w:customStyle="1" w:styleId="Heading2ChapterParanumText">
    <w:name w:val="Heading 2.(Chapter).Paranum.Text"/>
    <w:basedOn w:val="Normal"/>
    <w:next w:val="BodyTextMainTextdateBodyTextMaintext"/>
    <w:link w:val="Heading2ChapterParanumTextChar"/>
    <w:rsid w:val="00060470"/>
    <w:pPr>
      <w:keepNext/>
      <w:widowControl w:val="0"/>
      <w:spacing w:before="0" w:after="240"/>
      <w:jc w:val="left"/>
      <w:outlineLvl w:val="1"/>
    </w:pPr>
    <w:rPr>
      <w:rFonts w:ascii="Times Armenian" w:hAnsi="Times Armenian"/>
      <w:b w:val="0"/>
      <w:spacing w:val="24"/>
      <w:kern w:val="28"/>
      <w:sz w:val="24"/>
      <w:lang w:val="it-IT" w:eastAsia="en-US"/>
    </w:rPr>
  </w:style>
  <w:style w:type="paragraph" w:customStyle="1" w:styleId="BodyTextMainTextdateBodyTextMaintext">
    <w:name w:val="Body Text.(Main Text).date.Body Text (Main text)"/>
    <w:basedOn w:val="Normal"/>
    <w:rsid w:val="00060470"/>
    <w:pPr>
      <w:widowControl w:val="0"/>
      <w:spacing w:before="0" w:after="120"/>
      <w:ind w:firstLine="652"/>
    </w:pPr>
    <w:rPr>
      <w:rFonts w:ascii="Arial Armenian" w:hAnsi="Arial Armenian"/>
      <w:sz w:val="20"/>
      <w:lang w:val="en-GB" w:eastAsia="en-US"/>
    </w:rPr>
  </w:style>
  <w:style w:type="character" w:customStyle="1" w:styleId="Heading2ChapterParanumTextChar">
    <w:name w:val="Heading 2.(Chapter).Paranum.Text Char"/>
    <w:link w:val="Heading2ChapterParanumText"/>
    <w:rsid w:val="00060470"/>
    <w:rPr>
      <w:rFonts w:ascii="Times Armenian" w:hAnsi="Times Armenian"/>
      <w:b/>
      <w:spacing w:val="24"/>
      <w:kern w:val="28"/>
      <w:sz w:val="24"/>
      <w:szCs w:val="24"/>
      <w:lang w:val="it-IT"/>
    </w:rPr>
  </w:style>
  <w:style w:type="character" w:customStyle="1" w:styleId="StyleHeading2ChapterParanumTextSylfaen1Char">
    <w:name w:val="Style Heading 2.(Chapter).Paranum.Text + Sylfaen1 Char"/>
    <w:link w:val="StyleHeading2ChapterParanumTextSylfaen1"/>
    <w:rsid w:val="00060470"/>
    <w:rPr>
      <w:rFonts w:ascii="GHEA Grapalat" w:hAnsi="GHEA Grapalat"/>
      <w:b/>
      <w:spacing w:val="24"/>
      <w:kern w:val="28"/>
      <w:sz w:val="22"/>
      <w:szCs w:val="22"/>
      <w:lang w:val="pt-BR"/>
    </w:rPr>
  </w:style>
  <w:style w:type="paragraph" w:customStyle="1" w:styleId="8">
    <w:name w:val="????????? 8"/>
    <w:basedOn w:val="a1"/>
    <w:next w:val="a1"/>
    <w:rsid w:val="00060470"/>
    <w:pPr>
      <w:keepNext/>
      <w:ind w:firstLine="426"/>
      <w:outlineLvl w:val="7"/>
    </w:pPr>
    <w:rPr>
      <w:rFonts w:ascii="Times Armenian" w:hAnsi="Times Armenian"/>
      <w:b/>
      <w:sz w:val="24"/>
      <w:lang w:val="en-US"/>
    </w:rPr>
  </w:style>
  <w:style w:type="paragraph" w:customStyle="1" w:styleId="210">
    <w:name w:val="???????? ????? ? ???????? 21"/>
    <w:basedOn w:val="20"/>
    <w:rsid w:val="00060470"/>
    <w:pPr>
      <w:spacing w:line="360" w:lineRule="auto"/>
      <w:ind w:firstLine="840"/>
    </w:pPr>
    <w:rPr>
      <w:rFonts w:ascii="Arial LatArm" w:hAnsi="Arial LatArm"/>
    </w:rPr>
  </w:style>
  <w:style w:type="character" w:customStyle="1" w:styleId="BodyText3Char1">
    <w:name w:val="Body Text 3 Char1"/>
    <w:link w:val="BodyText31"/>
    <w:rsid w:val="00060470"/>
    <w:rPr>
      <w:rFonts w:ascii="Times New Roman" w:eastAsia="Times New Roman" w:hAnsi="Times New Roman" w:cs="Times New Roman"/>
      <w:sz w:val="16"/>
      <w:szCs w:val="16"/>
      <w:lang w:val="ru-RU" w:eastAsia="ru-RU"/>
    </w:rPr>
  </w:style>
  <w:style w:type="paragraph" w:customStyle="1" w:styleId="BSAPtext">
    <w:name w:val="BSAP text"/>
    <w:basedOn w:val="Normal"/>
    <w:rsid w:val="00060470"/>
    <w:pPr>
      <w:spacing w:before="0" w:line="312" w:lineRule="auto"/>
    </w:pPr>
    <w:rPr>
      <w:rFonts w:ascii="Bookman Old Style" w:hAnsi="Bookman Old Style"/>
      <w:szCs w:val="22"/>
      <w:lang w:val="en-US" w:eastAsia="en-US"/>
    </w:rPr>
  </w:style>
  <w:style w:type="paragraph" w:styleId="EndnoteText">
    <w:name w:val="endnote text"/>
    <w:basedOn w:val="Normal"/>
    <w:link w:val="EndnoteTextChar"/>
    <w:rsid w:val="00060470"/>
    <w:pPr>
      <w:spacing w:before="0" w:line="240" w:lineRule="auto"/>
      <w:jc w:val="left"/>
    </w:pPr>
    <w:rPr>
      <w:rFonts w:ascii="Times New Roman" w:hAnsi="Times New Roman"/>
      <w:sz w:val="20"/>
      <w:szCs w:val="20"/>
      <w:lang w:val="en-GB" w:eastAsia="en-US"/>
    </w:rPr>
  </w:style>
  <w:style w:type="character" w:customStyle="1" w:styleId="EndnoteTextChar">
    <w:name w:val="Endnote Text Char"/>
    <w:basedOn w:val="DefaultParagraphFont"/>
    <w:link w:val="EndnoteText"/>
    <w:rsid w:val="00060470"/>
    <w:rPr>
      <w:lang w:val="en-GB"/>
    </w:rPr>
  </w:style>
  <w:style w:type="character" w:customStyle="1" w:styleId="FooterChar2">
    <w:name w:val="Footer Char2"/>
    <w:uiPriority w:val="99"/>
    <w:rsid w:val="00060470"/>
    <w:rPr>
      <w:rFonts w:ascii="Times New Roman" w:eastAsia="Times New Roman" w:hAnsi="Times New Roman" w:cs="Times New Roman"/>
      <w:lang w:val="en-GB"/>
    </w:rPr>
  </w:style>
  <w:style w:type="paragraph" w:customStyle="1" w:styleId="CaptionTable">
    <w:name w:val="Caption_Table"/>
    <w:basedOn w:val="Caption"/>
    <w:qFormat/>
    <w:rsid w:val="00060470"/>
    <w:pPr>
      <w:keepNext/>
      <w:widowControl w:val="0"/>
      <w:spacing w:before="0" w:after="0" w:line="240" w:lineRule="auto"/>
      <w:ind w:left="1325" w:hanging="1325"/>
      <w:jc w:val="left"/>
    </w:pPr>
    <w:rPr>
      <w:rFonts w:ascii="Arial Armenian" w:hAnsi="Arial Armenian" w:cs="Sylfaen"/>
      <w:color w:val="auto"/>
      <w:sz w:val="20"/>
      <w:szCs w:val="20"/>
      <w:lang w:val="en-GB" w:eastAsia="en-US"/>
    </w:rPr>
  </w:style>
  <w:style w:type="paragraph" w:customStyle="1" w:styleId="Tablefirstcolumn">
    <w:name w:val="Table_first column"/>
    <w:basedOn w:val="Normal"/>
    <w:rsid w:val="00060470"/>
    <w:pPr>
      <w:spacing w:before="60" w:line="240" w:lineRule="auto"/>
      <w:jc w:val="left"/>
    </w:pPr>
    <w:rPr>
      <w:rFonts w:ascii="Arial Armenian" w:hAnsi="Arial Armenian"/>
      <w:sz w:val="16"/>
      <w:szCs w:val="20"/>
      <w:lang w:val="en-GB" w:eastAsia="en-US"/>
    </w:rPr>
  </w:style>
  <w:style w:type="paragraph" w:customStyle="1" w:styleId="BodyTextIndentTableSourceTableSourceCharBodyTextIndentChar">
    <w:name w:val="Body Text Indent.(Table Source).(Table Source) Char.Body Text Indent Char"/>
    <w:basedOn w:val="BodyTextMainTextdateBodyTextMaintext"/>
    <w:next w:val="Normal"/>
    <w:rsid w:val="00060470"/>
    <w:pPr>
      <w:spacing w:before="60" w:after="60" w:line="240" w:lineRule="auto"/>
    </w:pPr>
    <w:rPr>
      <w:i/>
      <w:sz w:val="16"/>
    </w:rPr>
  </w:style>
  <w:style w:type="paragraph" w:customStyle="1" w:styleId="Tablefirstrow">
    <w:name w:val="Table_first row"/>
    <w:basedOn w:val="Normal"/>
    <w:rsid w:val="00060470"/>
    <w:pPr>
      <w:widowControl w:val="0"/>
      <w:spacing w:before="60" w:line="240" w:lineRule="auto"/>
      <w:jc w:val="right"/>
    </w:pPr>
    <w:rPr>
      <w:rFonts w:ascii="Arial Armenian" w:hAnsi="Arial Armenian"/>
      <w:b w:val="0"/>
      <w:sz w:val="16"/>
      <w:szCs w:val="20"/>
      <w:lang w:val="en-GB" w:eastAsia="en-US"/>
    </w:rPr>
  </w:style>
  <w:style w:type="paragraph" w:customStyle="1" w:styleId="FootnoteTextfnADBsinglespacefootnotetextCharFootnoteTextCharfnCharADBCharsinglespaceCharChar">
    <w:name w:val="Footnote Text.fn.ADB.single space.footnote text Char.Footnote Text Char.fn Char.ADB Char.single space Char Char"/>
    <w:basedOn w:val="Normal"/>
    <w:rsid w:val="00060470"/>
    <w:pPr>
      <w:spacing w:before="0" w:line="240" w:lineRule="auto"/>
    </w:pPr>
    <w:rPr>
      <w:rFonts w:ascii="Arial Armenian" w:hAnsi="Arial Armenian"/>
      <w:i/>
      <w:sz w:val="18"/>
      <w:lang w:val="en-GB" w:eastAsia="en-US"/>
    </w:rPr>
  </w:style>
  <w:style w:type="character" w:customStyle="1" w:styleId="HeaderChar1">
    <w:name w:val="Header Char1"/>
    <w:aliases w:val="Header Char Char Char Char Char Char Char Char Char Char Char,Header Char Char Char Char Char Char Char Char Char Char Char Char Char,h Char"/>
    <w:uiPriority w:val="99"/>
    <w:rsid w:val="00060470"/>
    <w:rPr>
      <w:rFonts w:ascii="Times New Roman" w:eastAsia="Times New Roman" w:hAnsi="Times New Roman" w:cs="Times New Roman"/>
      <w:sz w:val="24"/>
      <w:szCs w:val="24"/>
    </w:rPr>
  </w:style>
  <w:style w:type="paragraph" w:styleId="TOC5">
    <w:name w:val="toc 5"/>
    <w:basedOn w:val="Normal"/>
    <w:next w:val="Normal"/>
    <w:autoRedefine/>
    <w:uiPriority w:val="39"/>
    <w:rsid w:val="00060470"/>
    <w:pPr>
      <w:tabs>
        <w:tab w:val="right" w:leader="dot" w:pos="9072"/>
      </w:tabs>
      <w:spacing w:before="0" w:after="100" w:line="240" w:lineRule="auto"/>
      <w:ind w:left="851"/>
      <w:jc w:val="left"/>
    </w:pPr>
    <w:rPr>
      <w:rFonts w:ascii="Times Armenian" w:hAnsi="Times Armenian"/>
      <w:b w:val="0"/>
      <w:sz w:val="18"/>
      <w:lang w:val="en-US" w:eastAsia="en-US"/>
    </w:rPr>
  </w:style>
  <w:style w:type="paragraph" w:customStyle="1" w:styleId="H1-intro">
    <w:name w:val="H1-intro"/>
    <w:basedOn w:val="Heading1"/>
    <w:autoRedefine/>
    <w:rsid w:val="00060470"/>
    <w:pPr>
      <w:widowControl w:val="0"/>
      <w:tabs>
        <w:tab w:val="left" w:pos="-284"/>
      </w:tabs>
      <w:spacing w:line="240" w:lineRule="auto"/>
      <w:ind w:right="-51"/>
    </w:pPr>
    <w:rPr>
      <w:rFonts w:ascii="Times Armenian" w:hAnsi="Times Armenian"/>
      <w:iCs/>
      <w:spacing w:val="60"/>
      <w:kern w:val="28"/>
      <w:szCs w:val="28"/>
      <w:lang w:val="es-ES"/>
    </w:rPr>
  </w:style>
  <w:style w:type="character" w:customStyle="1" w:styleId="TitleChar1">
    <w:name w:val="Title Char1"/>
    <w:rsid w:val="00060470"/>
    <w:rPr>
      <w:rFonts w:ascii="Arial Armenian" w:eastAsia="Times New Roman" w:hAnsi="Arial Armenian" w:cs="Times New Roman"/>
      <w:b/>
      <w:bCs/>
      <w:sz w:val="24"/>
      <w:szCs w:val="24"/>
      <w:lang w:val="fr-FR"/>
    </w:rPr>
  </w:style>
  <w:style w:type="paragraph" w:customStyle="1" w:styleId="CaptionGraph">
    <w:name w:val="Caption_Graph"/>
    <w:basedOn w:val="Caption"/>
    <w:rsid w:val="00060470"/>
    <w:pPr>
      <w:keepNext/>
      <w:keepLines/>
      <w:widowControl w:val="0"/>
      <w:spacing w:after="0" w:line="240" w:lineRule="auto"/>
      <w:ind w:left="1325" w:hanging="1325"/>
    </w:pPr>
    <w:rPr>
      <w:rFonts w:cs="Sylfaen"/>
      <w:bCs w:val="0"/>
      <w:color w:val="auto"/>
      <w:sz w:val="20"/>
      <w:szCs w:val="20"/>
      <w:lang w:val="it-IT" w:eastAsia="en-US"/>
    </w:rPr>
  </w:style>
  <w:style w:type="paragraph" w:customStyle="1" w:styleId="graphtable">
    <w:name w:val="graph&amp;table"/>
    <w:basedOn w:val="BodyText"/>
    <w:next w:val="BodyTextIndent"/>
    <w:rsid w:val="00060470"/>
    <w:pPr>
      <w:widowControl w:val="0"/>
      <w:spacing w:before="60" w:line="240" w:lineRule="auto"/>
      <w:jc w:val="both"/>
    </w:pPr>
    <w:rPr>
      <w:rFonts w:ascii="Arial Armenian" w:hAnsi="Arial Armenian"/>
      <w:sz w:val="20"/>
      <w:lang w:val="en-GB"/>
    </w:rPr>
  </w:style>
  <w:style w:type="paragraph" w:customStyle="1" w:styleId="BodyTextdate">
    <w:name w:val="Body Text.date"/>
    <w:basedOn w:val="Normal"/>
    <w:rsid w:val="00060470"/>
    <w:pPr>
      <w:widowControl w:val="0"/>
      <w:spacing w:before="0" w:after="120"/>
    </w:pPr>
    <w:rPr>
      <w:rFonts w:ascii="Arial Armenian" w:hAnsi="Arial Armenian"/>
      <w:spacing w:val="-5"/>
      <w:sz w:val="20"/>
      <w:szCs w:val="20"/>
      <w:lang w:val="en-GB" w:eastAsia="en-US"/>
    </w:rPr>
  </w:style>
  <w:style w:type="character" w:customStyle="1" w:styleId="CaptionGraphChar">
    <w:name w:val="Caption_Graph Char"/>
    <w:rsid w:val="00060470"/>
    <w:rPr>
      <w:rFonts w:ascii="Arial Armenian" w:hAnsi="Arial Armenian"/>
      <w:b/>
      <w:sz w:val="20"/>
    </w:rPr>
  </w:style>
  <w:style w:type="paragraph" w:customStyle="1" w:styleId="Heading5Side">
    <w:name w:val="Heading 5.Side"/>
    <w:basedOn w:val="Normal"/>
    <w:next w:val="Normal"/>
    <w:rsid w:val="00060470"/>
    <w:pPr>
      <w:keepNext/>
      <w:spacing w:before="0"/>
      <w:outlineLvl w:val="4"/>
    </w:pPr>
    <w:rPr>
      <w:rFonts w:ascii="Times LatArm" w:hAnsi="Times LatArm"/>
      <w:sz w:val="24"/>
      <w:szCs w:val="20"/>
      <w:lang w:val="en-NZ" w:eastAsia="en-US"/>
    </w:rPr>
  </w:style>
  <w:style w:type="paragraph" w:customStyle="1" w:styleId="24">
    <w:name w:val="çàãîëîâîê 2"/>
    <w:basedOn w:val="Normal"/>
    <w:next w:val="Normal"/>
    <w:rsid w:val="00060470"/>
    <w:pPr>
      <w:keepNext/>
      <w:overflowPunct w:val="0"/>
      <w:autoSpaceDE w:val="0"/>
      <w:autoSpaceDN w:val="0"/>
      <w:adjustRightInd w:val="0"/>
      <w:spacing w:before="0" w:line="240" w:lineRule="auto"/>
    </w:pPr>
    <w:rPr>
      <w:rFonts w:ascii="Arial Armenian" w:hAnsi="Arial Armenian"/>
      <w:sz w:val="24"/>
      <w:szCs w:val="20"/>
      <w:lang w:val="en-US" w:eastAsia="en-US"/>
    </w:rPr>
  </w:style>
  <w:style w:type="paragraph" w:customStyle="1" w:styleId="CaptionAnnexedTable">
    <w:name w:val="Caption_Annexed Table"/>
    <w:basedOn w:val="Caption"/>
    <w:rsid w:val="00060470"/>
    <w:pPr>
      <w:keepNext/>
      <w:keepLines/>
      <w:widowControl w:val="0"/>
      <w:spacing w:after="0" w:line="240" w:lineRule="auto"/>
      <w:ind w:left="1325" w:hanging="1325"/>
    </w:pPr>
    <w:rPr>
      <w:rFonts w:cs="Sylfaen"/>
      <w:bCs w:val="0"/>
      <w:color w:val="auto"/>
      <w:sz w:val="20"/>
      <w:szCs w:val="20"/>
      <w:lang w:val="en-US" w:eastAsia="en-US"/>
    </w:rPr>
  </w:style>
  <w:style w:type="paragraph" w:customStyle="1" w:styleId="Vernagir">
    <w:name w:val="Vernagir"/>
    <w:basedOn w:val="Normal"/>
    <w:next w:val="Normal"/>
    <w:rsid w:val="00060470"/>
    <w:pPr>
      <w:autoSpaceDE w:val="0"/>
      <w:autoSpaceDN w:val="0"/>
      <w:spacing w:before="240" w:after="120" w:line="240" w:lineRule="auto"/>
      <w:jc w:val="center"/>
    </w:pPr>
    <w:rPr>
      <w:rFonts w:ascii="Times Armenian" w:hAnsi="Times Armenian"/>
      <w:b w:val="0"/>
      <w:bCs/>
      <w:sz w:val="20"/>
      <w:lang w:val="en-US" w:eastAsia="en-US"/>
    </w:rPr>
  </w:style>
  <w:style w:type="paragraph" w:customStyle="1" w:styleId="Heading3Sub-ChapterCenteredtext">
    <w:name w:val="Heading 3.(Sub-Chapter).Centered.(text)"/>
    <w:basedOn w:val="Normal"/>
    <w:next w:val="BodyTextMainTextdateBodyTextMaintext"/>
    <w:rsid w:val="00060470"/>
    <w:pPr>
      <w:keepNext/>
      <w:widowControl w:val="0"/>
      <w:tabs>
        <w:tab w:val="left" w:pos="624"/>
      </w:tabs>
      <w:spacing w:before="240" w:after="240" w:line="240" w:lineRule="auto"/>
      <w:jc w:val="left"/>
      <w:outlineLvl w:val="2"/>
    </w:pPr>
    <w:rPr>
      <w:rFonts w:ascii="Times Armenian" w:hAnsi="Times Armenian"/>
      <w:b w:val="0"/>
      <w:lang w:val="af-ZA" w:eastAsia="en-US"/>
    </w:rPr>
  </w:style>
  <w:style w:type="paragraph" w:customStyle="1" w:styleId="BoxTitle">
    <w:name w:val="Box_Title"/>
    <w:basedOn w:val="Caption"/>
    <w:rsid w:val="00060470"/>
    <w:pPr>
      <w:keepNext/>
      <w:keepLines/>
      <w:widowControl w:val="0"/>
      <w:spacing w:before="60" w:after="120" w:line="240" w:lineRule="auto"/>
      <w:ind w:left="1325" w:hanging="1325"/>
    </w:pPr>
    <w:rPr>
      <w:rFonts w:cs="Sylfaen"/>
      <w:bCs w:val="0"/>
      <w:color w:val="auto"/>
      <w:sz w:val="20"/>
      <w:szCs w:val="20"/>
      <w:lang w:val="fr-FR" w:eastAsia="en-US"/>
    </w:rPr>
  </w:style>
  <w:style w:type="paragraph" w:styleId="TOC6">
    <w:name w:val="toc 6"/>
    <w:basedOn w:val="Normal"/>
    <w:next w:val="Normal"/>
    <w:autoRedefine/>
    <w:uiPriority w:val="39"/>
    <w:rsid w:val="00060470"/>
    <w:pPr>
      <w:spacing w:before="0" w:line="240" w:lineRule="auto"/>
      <w:ind w:left="1200"/>
      <w:jc w:val="left"/>
    </w:pPr>
    <w:rPr>
      <w:rFonts w:ascii="Times New Roman" w:hAnsi="Times New Roman"/>
      <w:sz w:val="24"/>
      <w:lang w:val="en-US" w:eastAsia="en-US"/>
    </w:rPr>
  </w:style>
  <w:style w:type="paragraph" w:styleId="TOC7">
    <w:name w:val="toc 7"/>
    <w:basedOn w:val="Normal"/>
    <w:next w:val="Normal"/>
    <w:autoRedefine/>
    <w:uiPriority w:val="39"/>
    <w:rsid w:val="00060470"/>
    <w:pPr>
      <w:spacing w:before="0" w:line="240" w:lineRule="auto"/>
      <w:ind w:left="1440"/>
      <w:jc w:val="left"/>
    </w:pPr>
    <w:rPr>
      <w:rFonts w:ascii="Times New Roman" w:hAnsi="Times New Roman"/>
      <w:sz w:val="24"/>
      <w:lang w:val="en-US" w:eastAsia="en-US"/>
    </w:rPr>
  </w:style>
  <w:style w:type="paragraph" w:styleId="TOC8">
    <w:name w:val="toc 8"/>
    <w:basedOn w:val="Normal"/>
    <w:next w:val="Normal"/>
    <w:autoRedefine/>
    <w:uiPriority w:val="39"/>
    <w:rsid w:val="00060470"/>
    <w:pPr>
      <w:spacing w:before="0" w:line="240" w:lineRule="auto"/>
      <w:ind w:left="1680"/>
      <w:jc w:val="left"/>
    </w:pPr>
    <w:rPr>
      <w:rFonts w:ascii="Times New Roman" w:hAnsi="Times New Roman"/>
      <w:sz w:val="24"/>
      <w:lang w:val="en-US" w:eastAsia="en-US"/>
    </w:rPr>
  </w:style>
  <w:style w:type="paragraph" w:styleId="TOC9">
    <w:name w:val="toc 9"/>
    <w:basedOn w:val="Normal"/>
    <w:next w:val="Normal"/>
    <w:autoRedefine/>
    <w:uiPriority w:val="39"/>
    <w:rsid w:val="00060470"/>
    <w:pPr>
      <w:spacing w:before="0" w:line="240" w:lineRule="auto"/>
      <w:ind w:left="1920"/>
      <w:jc w:val="left"/>
    </w:pPr>
    <w:rPr>
      <w:rFonts w:ascii="Times New Roman" w:hAnsi="Times New Roman"/>
      <w:sz w:val="24"/>
      <w:lang w:val="en-US" w:eastAsia="en-US"/>
    </w:rPr>
  </w:style>
  <w:style w:type="table" w:styleId="TableList7">
    <w:name w:val="Table List 7"/>
    <w:basedOn w:val="TableNormal"/>
    <w:uiPriority w:val="99"/>
    <w:rsid w:val="0006047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Web3">
    <w:name w:val="Table Web 3"/>
    <w:basedOn w:val="TableNormal"/>
    <w:uiPriority w:val="99"/>
    <w:rsid w:val="0006047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Elegant">
    <w:name w:val="Table Elegant"/>
    <w:basedOn w:val="TableNormal"/>
    <w:uiPriority w:val="99"/>
    <w:rsid w:val="0006047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OCBase">
    <w:name w:val="TOC Base"/>
    <w:basedOn w:val="Normal"/>
    <w:rsid w:val="00060470"/>
    <w:pPr>
      <w:tabs>
        <w:tab w:val="right" w:leader="dot" w:pos="8505"/>
      </w:tabs>
      <w:overflowPunct w:val="0"/>
      <w:autoSpaceDE w:val="0"/>
      <w:autoSpaceDN w:val="0"/>
      <w:adjustRightInd w:val="0"/>
      <w:spacing w:before="0" w:line="240" w:lineRule="auto"/>
      <w:jc w:val="left"/>
      <w:textAlignment w:val="baseline"/>
    </w:pPr>
    <w:rPr>
      <w:rFonts w:ascii="Gill Sans" w:hAnsi="Gill Sans"/>
      <w:sz w:val="24"/>
      <w:szCs w:val="20"/>
      <w:lang w:val="en-US" w:eastAsia="en-US"/>
    </w:rPr>
  </w:style>
  <w:style w:type="paragraph" w:customStyle="1" w:styleId="Bulets">
    <w:name w:val="Bulets"/>
    <w:basedOn w:val="Normal"/>
    <w:next w:val="Normal"/>
    <w:rsid w:val="00060470"/>
    <w:pPr>
      <w:tabs>
        <w:tab w:val="num" w:pos="360"/>
      </w:tabs>
      <w:spacing w:before="0" w:line="240" w:lineRule="auto"/>
      <w:ind w:left="357" w:hanging="357"/>
    </w:pPr>
    <w:rPr>
      <w:rFonts w:ascii="Times Armenian" w:hAnsi="Times Armenian"/>
      <w:sz w:val="20"/>
      <w:szCs w:val="20"/>
      <w:lang w:val="en-US" w:eastAsia="en-US"/>
    </w:rPr>
  </w:style>
  <w:style w:type="paragraph" w:customStyle="1" w:styleId="Numbering1">
    <w:name w:val="Numbering 1"/>
    <w:basedOn w:val="Normal"/>
    <w:next w:val="Normal"/>
    <w:autoRedefine/>
    <w:qFormat/>
    <w:rsid w:val="003C4BB9"/>
    <w:pPr>
      <w:keepNext/>
      <w:spacing w:after="120" w:line="240" w:lineRule="auto"/>
      <w:ind w:left="567"/>
      <w:jc w:val="left"/>
    </w:pPr>
    <w:rPr>
      <w:b w:val="0"/>
      <w:i/>
      <w:szCs w:val="20"/>
      <w:lang w:val="en-US" w:eastAsia="en-US"/>
    </w:rPr>
  </w:style>
  <w:style w:type="paragraph" w:customStyle="1" w:styleId="Bulet-2">
    <w:name w:val="Bulet-2"/>
    <w:basedOn w:val="Normal"/>
    <w:rsid w:val="00060470"/>
    <w:pPr>
      <w:tabs>
        <w:tab w:val="num" w:pos="454"/>
      </w:tabs>
      <w:spacing w:before="0" w:line="240" w:lineRule="auto"/>
      <w:ind w:left="454" w:hanging="454"/>
      <w:jc w:val="left"/>
    </w:pPr>
    <w:rPr>
      <w:rFonts w:ascii="Times Armenian" w:hAnsi="Times Armenian"/>
      <w:sz w:val="24"/>
      <w:lang w:val="en-US" w:eastAsia="en-US"/>
    </w:rPr>
  </w:style>
  <w:style w:type="paragraph" w:customStyle="1" w:styleId="BodyTextIndentTableSourceTableSourceCharBodyTextIndentCharCharTableSourceCharCharCharCharCharCharCharCharCharCharCharCharCharCharCharChar">
    <w:name w:val="Body Text Indent.(Table Source).(Table Source) Char.Body Text Indent Char Char.(Table Source) Char Char Char Char Char Char Char Char Char Char Char Char Char Char Char Char"/>
    <w:basedOn w:val="Normal"/>
    <w:rsid w:val="00060470"/>
    <w:pPr>
      <w:spacing w:before="0" w:after="120" w:line="240" w:lineRule="auto"/>
      <w:ind w:left="360"/>
      <w:jc w:val="left"/>
    </w:pPr>
    <w:rPr>
      <w:rFonts w:ascii="Times New Roman" w:hAnsi="Times New Roman"/>
      <w:sz w:val="20"/>
      <w:lang w:val="en-US" w:eastAsia="en-US"/>
    </w:rPr>
  </w:style>
  <w:style w:type="paragraph" w:customStyle="1" w:styleId="StyleHeading120pt">
    <w:name w:val="Style Heading 1 + 20 pt"/>
    <w:basedOn w:val="Heading1"/>
    <w:rsid w:val="00060470"/>
    <w:pPr>
      <w:spacing w:line="240" w:lineRule="auto"/>
    </w:pPr>
    <w:rPr>
      <w:rFonts w:ascii="Times Armenian" w:hAnsi="Times Armenian"/>
      <w:b w:val="0"/>
      <w:sz w:val="40"/>
    </w:rPr>
  </w:style>
  <w:style w:type="paragraph" w:customStyle="1" w:styleId="StyleHeading216ptBoldLightBlueLeft025">
    <w:name w:val="Style Heading 2 + 16 pt Bold Light Blue Left:  0.25&quot;"/>
    <w:basedOn w:val="Heading2"/>
    <w:rsid w:val="00060470"/>
    <w:pPr>
      <w:tabs>
        <w:tab w:val="num" w:pos="0"/>
        <w:tab w:val="left" w:pos="993"/>
        <w:tab w:val="num" w:pos="1080"/>
        <w:tab w:val="right" w:pos="10208"/>
      </w:tabs>
      <w:ind w:left="360" w:firstLine="540"/>
      <w:jc w:val="left"/>
    </w:pPr>
    <w:rPr>
      <w:color w:val="3366FF"/>
      <w:spacing w:val="24"/>
      <w:kern w:val="16"/>
      <w:sz w:val="32"/>
      <w:lang w:val="en-US"/>
    </w:rPr>
  </w:style>
  <w:style w:type="paragraph" w:styleId="Index2">
    <w:name w:val="index 2"/>
    <w:basedOn w:val="Normal"/>
    <w:next w:val="Normal"/>
    <w:autoRedefine/>
    <w:rsid w:val="00060470"/>
    <w:pPr>
      <w:spacing w:before="0" w:line="240" w:lineRule="auto"/>
      <w:ind w:left="480" w:hanging="240"/>
      <w:jc w:val="left"/>
    </w:pPr>
    <w:rPr>
      <w:rFonts w:ascii="Times New Roman" w:hAnsi="Times New Roman"/>
      <w:sz w:val="24"/>
      <w:lang w:val="en-US" w:eastAsia="en-US"/>
    </w:rPr>
  </w:style>
  <w:style w:type="paragraph" w:styleId="Index3">
    <w:name w:val="index 3"/>
    <w:basedOn w:val="Normal"/>
    <w:next w:val="Normal"/>
    <w:autoRedefine/>
    <w:rsid w:val="00060470"/>
    <w:pPr>
      <w:spacing w:before="0" w:line="240" w:lineRule="auto"/>
      <w:ind w:left="720" w:hanging="240"/>
      <w:jc w:val="left"/>
    </w:pPr>
    <w:rPr>
      <w:rFonts w:ascii="Times New Roman" w:hAnsi="Times New Roman"/>
      <w:sz w:val="24"/>
      <w:lang w:val="en-US" w:eastAsia="en-US"/>
    </w:rPr>
  </w:style>
  <w:style w:type="paragraph" w:styleId="Index4">
    <w:name w:val="index 4"/>
    <w:basedOn w:val="Normal"/>
    <w:next w:val="Normal"/>
    <w:autoRedefine/>
    <w:rsid w:val="00060470"/>
    <w:pPr>
      <w:spacing w:before="0" w:line="240" w:lineRule="auto"/>
      <w:ind w:left="960" w:hanging="240"/>
      <w:jc w:val="left"/>
    </w:pPr>
    <w:rPr>
      <w:rFonts w:ascii="Times New Roman" w:hAnsi="Times New Roman"/>
      <w:sz w:val="24"/>
      <w:lang w:val="en-US" w:eastAsia="en-US"/>
    </w:rPr>
  </w:style>
  <w:style w:type="paragraph" w:styleId="Index5">
    <w:name w:val="index 5"/>
    <w:basedOn w:val="Normal"/>
    <w:next w:val="Normal"/>
    <w:autoRedefine/>
    <w:rsid w:val="00060470"/>
    <w:pPr>
      <w:spacing w:before="0" w:line="240" w:lineRule="auto"/>
      <w:ind w:left="1200" w:hanging="240"/>
      <w:jc w:val="left"/>
    </w:pPr>
    <w:rPr>
      <w:rFonts w:ascii="Times New Roman" w:hAnsi="Times New Roman"/>
      <w:sz w:val="24"/>
      <w:lang w:val="en-US" w:eastAsia="en-US"/>
    </w:rPr>
  </w:style>
  <w:style w:type="paragraph" w:styleId="Index6">
    <w:name w:val="index 6"/>
    <w:basedOn w:val="Normal"/>
    <w:next w:val="Normal"/>
    <w:autoRedefine/>
    <w:rsid w:val="00060470"/>
    <w:pPr>
      <w:spacing w:before="0" w:line="240" w:lineRule="auto"/>
      <w:ind w:left="1440" w:hanging="240"/>
      <w:jc w:val="left"/>
    </w:pPr>
    <w:rPr>
      <w:rFonts w:ascii="Times New Roman" w:hAnsi="Times New Roman"/>
      <w:sz w:val="24"/>
      <w:lang w:val="en-US" w:eastAsia="en-US"/>
    </w:rPr>
  </w:style>
  <w:style w:type="paragraph" w:styleId="Index7">
    <w:name w:val="index 7"/>
    <w:basedOn w:val="Normal"/>
    <w:next w:val="Normal"/>
    <w:autoRedefine/>
    <w:rsid w:val="00060470"/>
    <w:pPr>
      <w:spacing w:before="0" w:line="240" w:lineRule="auto"/>
      <w:ind w:left="1680" w:hanging="240"/>
      <w:jc w:val="left"/>
    </w:pPr>
    <w:rPr>
      <w:rFonts w:ascii="Times New Roman" w:hAnsi="Times New Roman"/>
      <w:sz w:val="24"/>
      <w:lang w:val="en-US" w:eastAsia="en-US"/>
    </w:rPr>
  </w:style>
  <w:style w:type="paragraph" w:styleId="Index8">
    <w:name w:val="index 8"/>
    <w:basedOn w:val="Normal"/>
    <w:next w:val="Normal"/>
    <w:autoRedefine/>
    <w:rsid w:val="00060470"/>
    <w:pPr>
      <w:spacing w:before="0" w:line="240" w:lineRule="auto"/>
      <w:ind w:left="1920" w:hanging="240"/>
      <w:jc w:val="left"/>
    </w:pPr>
    <w:rPr>
      <w:rFonts w:ascii="Times New Roman" w:hAnsi="Times New Roman"/>
      <w:sz w:val="24"/>
      <w:lang w:val="en-US" w:eastAsia="en-US"/>
    </w:rPr>
  </w:style>
  <w:style w:type="paragraph" w:styleId="Index9">
    <w:name w:val="index 9"/>
    <w:basedOn w:val="Normal"/>
    <w:next w:val="Normal"/>
    <w:autoRedefine/>
    <w:rsid w:val="00060470"/>
    <w:pPr>
      <w:spacing w:before="0" w:line="240" w:lineRule="auto"/>
      <w:ind w:left="2160" w:hanging="240"/>
      <w:jc w:val="left"/>
    </w:pPr>
    <w:rPr>
      <w:rFonts w:ascii="Times New Roman" w:hAnsi="Times New Roman"/>
      <w:sz w:val="24"/>
      <w:lang w:val="en-US" w:eastAsia="en-US"/>
    </w:rPr>
  </w:style>
  <w:style w:type="paragraph" w:customStyle="1" w:styleId="BodyTextIndentTableSource">
    <w:name w:val="Body Text Indent.(Table Source)"/>
    <w:basedOn w:val="Normal"/>
    <w:rsid w:val="00060470"/>
    <w:pPr>
      <w:spacing w:before="0"/>
      <w:ind w:firstLine="540"/>
      <w:jc w:val="left"/>
    </w:pPr>
    <w:rPr>
      <w:rFonts w:ascii="Times LatArm" w:hAnsi="Times LatArm"/>
      <w:szCs w:val="20"/>
      <w:lang w:val="en-US" w:eastAsia="en-US"/>
    </w:rPr>
  </w:style>
  <w:style w:type="character" w:customStyle="1" w:styleId="TableTitleCharCharCharCharCharCharCharCharCharCharChar">
    <w:name w:val="(Table Title) Char Char Char Char Char Char Char Char Char Char Char"/>
    <w:aliases w:val="Caption1,(Table Title)1"/>
    <w:rsid w:val="00060470"/>
    <w:rPr>
      <w:rFonts w:ascii="Arial Armenian" w:hAnsi="Arial Armenian"/>
      <w:b/>
      <w:noProof w:val="0"/>
      <w:lang w:val="en-GB" w:eastAsia="en-US" w:bidi="ar-SA"/>
    </w:rPr>
  </w:style>
  <w:style w:type="paragraph" w:customStyle="1" w:styleId="BoxText">
    <w:name w:val="Box Text"/>
    <w:basedOn w:val="BodyText"/>
    <w:rsid w:val="00060470"/>
    <w:pPr>
      <w:framePr w:w="9639" w:h="6855" w:hRule="exact" w:hSpace="181" w:wrap="notBeside" w:vAnchor="text" w:hAnchor="page" w:x="1124" w:y="7"/>
      <w:widowControl w:val="0"/>
      <w:pBdr>
        <w:top w:val="single" w:sz="12" w:space="7" w:color="auto"/>
        <w:left w:val="single" w:sz="12" w:space="7" w:color="auto"/>
        <w:bottom w:val="single" w:sz="12" w:space="7" w:color="auto"/>
        <w:right w:val="single" w:sz="12" w:space="7" w:color="auto"/>
      </w:pBdr>
      <w:spacing w:before="0" w:after="120"/>
      <w:ind w:firstLine="652"/>
      <w:suppressOverlap/>
      <w:jc w:val="both"/>
    </w:pPr>
    <w:rPr>
      <w:rFonts w:ascii="Arial Armenian" w:hAnsi="Arial Armenian"/>
      <w:noProof/>
      <w:sz w:val="20"/>
      <w:lang w:val="it-IT"/>
    </w:rPr>
  </w:style>
  <w:style w:type="paragraph" w:customStyle="1" w:styleId="BulletAB1">
    <w:name w:val="Bullet AB1"/>
    <w:basedOn w:val="Normal"/>
    <w:rsid w:val="00060470"/>
    <w:pPr>
      <w:tabs>
        <w:tab w:val="num" w:pos="360"/>
        <w:tab w:val="left" w:pos="1008"/>
      </w:tabs>
      <w:spacing w:before="0" w:line="240" w:lineRule="auto"/>
      <w:ind w:left="360" w:hanging="360"/>
    </w:pPr>
    <w:rPr>
      <w:rFonts w:ascii="Times New Roman" w:hAnsi="Times New Roman"/>
      <w:sz w:val="21"/>
      <w:szCs w:val="20"/>
      <w:lang w:val="en-GB" w:eastAsia="en-US"/>
    </w:rPr>
  </w:style>
  <w:style w:type="paragraph" w:customStyle="1" w:styleId="wolort">
    <w:name w:val="wolort"/>
    <w:basedOn w:val="Normal"/>
    <w:rsid w:val="00060470"/>
    <w:pPr>
      <w:spacing w:before="0" w:line="240" w:lineRule="auto"/>
      <w:jc w:val="center"/>
    </w:pPr>
    <w:rPr>
      <w:rFonts w:ascii="Arial Armenian" w:hAnsi="Arial Armenian"/>
      <w:b w:val="0"/>
      <w:sz w:val="24"/>
      <w:lang w:val="en-US" w:eastAsia="en-US"/>
    </w:rPr>
  </w:style>
  <w:style w:type="paragraph" w:customStyle="1" w:styleId="Tabletext0">
    <w:name w:val="Table text"/>
    <w:basedOn w:val="Normal"/>
    <w:rsid w:val="00060470"/>
    <w:pPr>
      <w:overflowPunct w:val="0"/>
      <w:autoSpaceDE w:val="0"/>
      <w:autoSpaceDN w:val="0"/>
      <w:adjustRightInd w:val="0"/>
      <w:spacing w:before="60" w:line="240" w:lineRule="atLeast"/>
      <w:jc w:val="left"/>
      <w:textAlignment w:val="baseline"/>
    </w:pPr>
    <w:rPr>
      <w:rFonts w:ascii="Times New Roman" w:hAnsi="Times New Roman"/>
      <w:sz w:val="18"/>
      <w:szCs w:val="20"/>
      <w:lang w:val="en-GB" w:eastAsia="en-US"/>
    </w:rPr>
  </w:style>
  <w:style w:type="paragraph" w:customStyle="1" w:styleId="MessageText">
    <w:name w:val="Message Text"/>
    <w:basedOn w:val="BodyText"/>
    <w:rsid w:val="00060470"/>
    <w:pPr>
      <w:widowControl w:val="0"/>
      <w:spacing w:before="0" w:after="120"/>
      <w:ind w:firstLine="652"/>
      <w:jc w:val="both"/>
    </w:pPr>
    <w:rPr>
      <w:rFonts w:ascii="Arial Armenian" w:hAnsi="Arial Armenian"/>
      <w:sz w:val="22"/>
      <w:lang w:val="en-GB"/>
    </w:rPr>
  </w:style>
  <w:style w:type="paragraph" w:customStyle="1" w:styleId="Heading41">
    <w:name w:val="Heading 41"/>
    <w:aliases w:val="Centred1"/>
    <w:basedOn w:val="Normal"/>
    <w:rsid w:val="00060470"/>
    <w:pPr>
      <w:widowControl w:val="0"/>
      <w:tabs>
        <w:tab w:val="num" w:pos="1080"/>
      </w:tabs>
      <w:spacing w:before="0" w:line="240" w:lineRule="auto"/>
      <w:ind w:left="737" w:hanging="737"/>
      <w:jc w:val="left"/>
    </w:pPr>
    <w:rPr>
      <w:rFonts w:ascii="Arial Armenian" w:hAnsi="Arial Armenian"/>
      <w:sz w:val="20"/>
      <w:szCs w:val="20"/>
      <w:lang w:val="en-GB" w:eastAsia="en-US"/>
    </w:rPr>
  </w:style>
  <w:style w:type="paragraph" w:customStyle="1" w:styleId="PRAMO">
    <w:name w:val="PRAMO"/>
    <w:basedOn w:val="Normal"/>
    <w:rsid w:val="00060470"/>
    <w:pPr>
      <w:tabs>
        <w:tab w:val="left" w:pos="216"/>
        <w:tab w:val="left" w:pos="360"/>
        <w:tab w:val="left" w:pos="1418"/>
        <w:tab w:val="left" w:pos="1800"/>
        <w:tab w:val="left" w:pos="2835"/>
        <w:tab w:val="left" w:pos="3240"/>
        <w:tab w:val="left" w:pos="3960"/>
        <w:tab w:val="left" w:pos="4680"/>
        <w:tab w:val="left" w:pos="5400"/>
        <w:tab w:val="left" w:pos="6120"/>
        <w:tab w:val="left" w:pos="6840"/>
        <w:tab w:val="left" w:pos="7560"/>
        <w:tab w:val="left" w:pos="8280"/>
      </w:tabs>
      <w:spacing w:before="0" w:line="240" w:lineRule="auto"/>
    </w:pPr>
    <w:rPr>
      <w:rFonts w:ascii="Arial" w:hAnsi="Arial"/>
      <w:sz w:val="24"/>
      <w:lang w:val="en-GB" w:eastAsia="en-US"/>
    </w:rPr>
  </w:style>
  <w:style w:type="paragraph" w:customStyle="1" w:styleId="bullet10">
    <w:name w:val="bullet1"/>
    <w:basedOn w:val="NormalIndent"/>
    <w:rsid w:val="00060470"/>
    <w:pPr>
      <w:tabs>
        <w:tab w:val="left" w:pos="1418"/>
        <w:tab w:val="left" w:pos="2835"/>
        <w:tab w:val="left" w:pos="5103"/>
        <w:tab w:val="left" w:pos="7371"/>
        <w:tab w:val="right" w:pos="9639"/>
      </w:tabs>
      <w:spacing w:line="240" w:lineRule="auto"/>
      <w:ind w:left="0"/>
      <w:jc w:val="left"/>
    </w:pPr>
    <w:rPr>
      <w:rFonts w:ascii="Times New Roman" w:hAnsi="Times New Roman"/>
      <w:sz w:val="22"/>
      <w:lang w:val="en-GB"/>
    </w:rPr>
  </w:style>
  <w:style w:type="paragraph" w:customStyle="1" w:styleId="a5">
    <w:name w:val="????????"/>
    <w:basedOn w:val="Normal"/>
    <w:rsid w:val="00060470"/>
    <w:pPr>
      <w:spacing w:before="0" w:line="240" w:lineRule="auto"/>
      <w:jc w:val="center"/>
    </w:pPr>
    <w:rPr>
      <w:rFonts w:ascii="Times Armenian" w:hAnsi="Times Armenian"/>
      <w:i/>
      <w:sz w:val="28"/>
      <w:szCs w:val="20"/>
      <w:lang w:val="en-US"/>
    </w:rPr>
  </w:style>
  <w:style w:type="paragraph" w:customStyle="1" w:styleId="15">
    <w:name w:val="???????? ????? ? ????????1"/>
    <w:basedOn w:val="20"/>
    <w:rsid w:val="00060470"/>
    <w:pPr>
      <w:spacing w:line="360" w:lineRule="auto"/>
      <w:ind w:firstLine="720"/>
    </w:pPr>
    <w:rPr>
      <w:sz w:val="28"/>
    </w:rPr>
  </w:style>
  <w:style w:type="paragraph" w:customStyle="1" w:styleId="BodyTextIndentTableSource1">
    <w:name w:val="Body Text Indent.(Table Source)1"/>
    <w:basedOn w:val="Normal"/>
    <w:rsid w:val="00060470"/>
    <w:pPr>
      <w:spacing w:before="0" w:line="240" w:lineRule="auto"/>
      <w:ind w:firstLine="3"/>
    </w:pPr>
    <w:rPr>
      <w:rFonts w:ascii="Times Armenian" w:hAnsi="Times Armenian"/>
      <w:szCs w:val="20"/>
      <w:lang w:val="fr-FR" w:eastAsia="en-US"/>
    </w:rPr>
  </w:style>
  <w:style w:type="character" w:customStyle="1" w:styleId="Normal1">
    <w:name w:val="Normal1"/>
    <w:rsid w:val="00060470"/>
    <w:rPr>
      <w:rFonts w:ascii="Arial" w:hAnsi="Arial"/>
      <w:sz w:val="24"/>
      <w:szCs w:val="24"/>
    </w:rPr>
  </w:style>
  <w:style w:type="paragraph" w:customStyle="1" w:styleId="BulletblBulletL1bl1">
    <w:name w:val="Bullet.bl.Bullet L1.bl1"/>
    <w:basedOn w:val="Normal"/>
    <w:rsid w:val="00060470"/>
    <w:pPr>
      <w:tabs>
        <w:tab w:val="num" w:pos="360"/>
      </w:tabs>
      <w:autoSpaceDE w:val="0"/>
      <w:autoSpaceDN w:val="0"/>
      <w:spacing w:before="0" w:after="130" w:line="240" w:lineRule="auto"/>
      <w:ind w:left="360" w:hanging="360"/>
    </w:pPr>
    <w:rPr>
      <w:rFonts w:ascii="Times Armenian" w:hAnsi="Times Armenian"/>
      <w:szCs w:val="22"/>
      <w:lang w:val="en-GB"/>
    </w:rPr>
  </w:style>
  <w:style w:type="paragraph" w:customStyle="1" w:styleId="Heading3Centeredtext">
    <w:name w:val="Heading 3.Centered.(text)"/>
    <w:basedOn w:val="Normal"/>
    <w:next w:val="Heading2"/>
    <w:rsid w:val="00060470"/>
    <w:pPr>
      <w:keepNext/>
      <w:autoSpaceDE w:val="0"/>
      <w:autoSpaceDN w:val="0"/>
      <w:spacing w:before="0" w:after="220" w:line="240" w:lineRule="auto"/>
      <w:jc w:val="left"/>
      <w:outlineLvl w:val="2"/>
    </w:pPr>
    <w:rPr>
      <w:rFonts w:ascii="Times Armenian" w:hAnsi="Times Armenian"/>
      <w:b w:val="0"/>
      <w:bCs/>
      <w:sz w:val="24"/>
      <w:lang w:val="en-GB"/>
    </w:rPr>
  </w:style>
  <w:style w:type="paragraph" w:customStyle="1" w:styleId="16">
    <w:name w:val="çàãîëîâîê 1"/>
    <w:basedOn w:val="Normal"/>
    <w:next w:val="Normal"/>
    <w:rsid w:val="00060470"/>
    <w:pPr>
      <w:keepNext/>
      <w:overflowPunct w:val="0"/>
      <w:autoSpaceDE w:val="0"/>
      <w:autoSpaceDN w:val="0"/>
      <w:adjustRightInd w:val="0"/>
      <w:spacing w:before="0" w:line="240" w:lineRule="auto"/>
      <w:jc w:val="center"/>
    </w:pPr>
    <w:rPr>
      <w:rFonts w:ascii="Arial Armenian" w:hAnsi="Arial Armenian"/>
      <w:sz w:val="24"/>
      <w:szCs w:val="20"/>
      <w:lang w:val="en-US" w:eastAsia="en-US"/>
    </w:rPr>
  </w:style>
  <w:style w:type="paragraph" w:customStyle="1" w:styleId="BalloonText2">
    <w:name w:val="Balloon Text2"/>
    <w:basedOn w:val="Normal"/>
    <w:semiHidden/>
    <w:rsid w:val="00060470"/>
    <w:pPr>
      <w:spacing w:before="0" w:line="240" w:lineRule="auto"/>
      <w:ind w:left="2157" w:hanging="180"/>
      <w:jc w:val="left"/>
    </w:pPr>
    <w:rPr>
      <w:rFonts w:ascii="Tahoma" w:hAnsi="Tahoma" w:cs="Tahoma"/>
      <w:sz w:val="16"/>
      <w:szCs w:val="16"/>
      <w:lang w:val="en-US" w:eastAsia="en-US"/>
    </w:rPr>
  </w:style>
  <w:style w:type="paragraph" w:customStyle="1" w:styleId="WW-BodyText3">
    <w:name w:val="WW-Body Text 3"/>
    <w:basedOn w:val="Normal"/>
    <w:rsid w:val="00060470"/>
    <w:pPr>
      <w:suppressAutoHyphens/>
      <w:spacing w:before="0" w:line="240" w:lineRule="auto"/>
    </w:pPr>
    <w:rPr>
      <w:rFonts w:ascii="Times Armenian" w:hAnsi="Times Armenian"/>
      <w:sz w:val="24"/>
      <w:lang w:val="en-US" w:eastAsia="ar-SA"/>
    </w:rPr>
  </w:style>
  <w:style w:type="paragraph" w:customStyle="1" w:styleId="WW-BodyTextIndent2">
    <w:name w:val="WW-Body Text Indent 2"/>
    <w:basedOn w:val="Normal"/>
    <w:rsid w:val="00060470"/>
    <w:pPr>
      <w:suppressAutoHyphens/>
      <w:spacing w:before="0" w:line="240" w:lineRule="auto"/>
      <w:ind w:firstLine="720"/>
      <w:jc w:val="left"/>
    </w:pPr>
    <w:rPr>
      <w:rFonts w:ascii="Times LatArm" w:hAnsi="Times LatArm"/>
      <w:i/>
      <w:iCs/>
      <w:sz w:val="24"/>
      <w:lang w:val="en-US" w:eastAsia="ar-SA"/>
    </w:rPr>
  </w:style>
  <w:style w:type="paragraph" w:customStyle="1" w:styleId="BalloonText1">
    <w:name w:val="Balloon Text1"/>
    <w:basedOn w:val="Normal"/>
    <w:semiHidden/>
    <w:rsid w:val="00060470"/>
    <w:pPr>
      <w:spacing w:before="0" w:line="240" w:lineRule="auto"/>
      <w:jc w:val="left"/>
    </w:pPr>
    <w:rPr>
      <w:rFonts w:ascii="Tahoma" w:hAnsi="Tahoma" w:cs="Tahoma"/>
      <w:sz w:val="16"/>
      <w:szCs w:val="16"/>
      <w:lang w:val="en-US" w:eastAsia="en-US"/>
    </w:rPr>
  </w:style>
  <w:style w:type="paragraph" w:customStyle="1" w:styleId="BalloonText3">
    <w:name w:val="Balloon Text3"/>
    <w:basedOn w:val="Normal"/>
    <w:semiHidden/>
    <w:rsid w:val="00060470"/>
    <w:pPr>
      <w:spacing w:before="0" w:line="240" w:lineRule="auto"/>
      <w:jc w:val="left"/>
    </w:pPr>
    <w:rPr>
      <w:rFonts w:ascii="Tahoma" w:hAnsi="Tahoma" w:cs="Tahoma"/>
      <w:sz w:val="16"/>
      <w:szCs w:val="16"/>
      <w:lang w:val="en-US" w:eastAsia="en-US"/>
    </w:rPr>
  </w:style>
  <w:style w:type="paragraph" w:customStyle="1" w:styleId="StyleHeading5SideItalic">
    <w:name w:val="Style Heading 5Side + Italic"/>
    <w:basedOn w:val="Heading5"/>
    <w:rsid w:val="00060470"/>
    <w:pPr>
      <w:keepNext/>
      <w:widowControl w:val="0"/>
      <w:tabs>
        <w:tab w:val="clear" w:pos="720"/>
        <w:tab w:val="left" w:pos="1021"/>
      </w:tabs>
      <w:spacing w:after="120"/>
      <w:jc w:val="left"/>
    </w:pPr>
    <w:rPr>
      <w:bCs w:val="0"/>
      <w:i w:val="0"/>
      <w:iCs/>
      <w:spacing w:val="0"/>
      <w:sz w:val="20"/>
      <w:u w:val="single"/>
      <w:lang w:val="en-GB"/>
    </w:rPr>
  </w:style>
  <w:style w:type="paragraph" w:customStyle="1" w:styleId="CaptionTableTitle">
    <w:name w:val="Caption.(Table Title)"/>
    <w:basedOn w:val="Normal"/>
    <w:next w:val="Normal"/>
    <w:rsid w:val="00060470"/>
    <w:pPr>
      <w:keepNext/>
      <w:keepLines/>
      <w:spacing w:before="130" w:after="130" w:line="240" w:lineRule="auto"/>
      <w:jc w:val="left"/>
    </w:pPr>
    <w:rPr>
      <w:rFonts w:ascii="Times New Roman" w:hAnsi="Times New Roman"/>
      <w:b w:val="0"/>
      <w:szCs w:val="20"/>
      <w:lang w:val="en-GB" w:eastAsia="en-US"/>
    </w:rPr>
  </w:style>
  <w:style w:type="paragraph" w:customStyle="1" w:styleId="StyleHeading2ChapterParanumText10pt">
    <w:name w:val="Style Heading 2(Chapter)ParanumText + 10 pt"/>
    <w:basedOn w:val="Heading2"/>
    <w:rsid w:val="00060470"/>
    <w:pPr>
      <w:widowControl w:val="0"/>
      <w:tabs>
        <w:tab w:val="num" w:pos="0"/>
        <w:tab w:val="left" w:pos="993"/>
        <w:tab w:val="num" w:pos="1080"/>
        <w:tab w:val="right" w:pos="10208"/>
      </w:tabs>
      <w:ind w:firstLine="540"/>
    </w:pPr>
    <w:rPr>
      <w:kern w:val="16"/>
      <w:lang w:val="af-ZA"/>
    </w:rPr>
  </w:style>
  <w:style w:type="paragraph" w:customStyle="1" w:styleId="BodyText1">
    <w:name w:val="Body Text1"/>
    <w:basedOn w:val="Normal"/>
    <w:rsid w:val="00060470"/>
    <w:pPr>
      <w:numPr>
        <w:numId w:val="7"/>
      </w:numPr>
      <w:tabs>
        <w:tab w:val="clear" w:pos="360"/>
        <w:tab w:val="num" w:pos="0"/>
      </w:tabs>
      <w:spacing w:before="0" w:after="240" w:line="240" w:lineRule="auto"/>
    </w:pPr>
    <w:rPr>
      <w:rFonts w:ascii="Times Armenian" w:hAnsi="Times Armenian"/>
      <w:sz w:val="24"/>
      <w:lang w:val="en-US"/>
    </w:rPr>
  </w:style>
  <w:style w:type="table" w:styleId="TableWeb2">
    <w:name w:val="Table Web 2"/>
    <w:basedOn w:val="TableNormal"/>
    <w:uiPriority w:val="99"/>
    <w:rsid w:val="0006047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1">
    <w:name w:val="Table Web 1"/>
    <w:basedOn w:val="TableNormal"/>
    <w:uiPriority w:val="99"/>
    <w:rsid w:val="0006047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letable">
    <w:name w:val="Title_table"/>
    <w:basedOn w:val="Caption"/>
    <w:rsid w:val="00060470"/>
    <w:pPr>
      <w:keepNext/>
      <w:spacing w:before="0" w:after="60" w:line="240" w:lineRule="auto"/>
      <w:jc w:val="left"/>
    </w:pPr>
    <w:rPr>
      <w:rFonts w:cs="Sylfaen"/>
      <w:color w:val="auto"/>
      <w:sz w:val="22"/>
      <w:szCs w:val="20"/>
      <w:lang w:val="en-US"/>
    </w:rPr>
  </w:style>
  <w:style w:type="paragraph" w:customStyle="1" w:styleId="ConsNonformat">
    <w:name w:val="ConsNonformat"/>
    <w:rsid w:val="00060470"/>
    <w:pPr>
      <w:widowControl w:val="0"/>
      <w:autoSpaceDE w:val="0"/>
      <w:autoSpaceDN w:val="0"/>
      <w:adjustRightInd w:val="0"/>
    </w:pPr>
    <w:rPr>
      <w:rFonts w:ascii="Courier New" w:hAnsi="Courier New"/>
      <w:lang w:val="ru-RU"/>
    </w:rPr>
  </w:style>
  <w:style w:type="paragraph" w:customStyle="1" w:styleId="Znak">
    <w:name w:val="Znak"/>
    <w:basedOn w:val="Normal"/>
    <w:rsid w:val="00060470"/>
    <w:pPr>
      <w:tabs>
        <w:tab w:val="left" w:pos="709"/>
      </w:tabs>
      <w:spacing w:before="0" w:line="240" w:lineRule="auto"/>
      <w:jc w:val="left"/>
    </w:pPr>
    <w:rPr>
      <w:rFonts w:ascii="Tahoma" w:hAnsi="Tahoma"/>
      <w:sz w:val="24"/>
      <w:lang w:val="pl-PL" w:eastAsia="pl-PL"/>
    </w:rPr>
  </w:style>
  <w:style w:type="character" w:customStyle="1" w:styleId="Char0">
    <w:name w:val="Знак Знак Char"/>
    <w:link w:val="a0"/>
    <w:locked/>
    <w:rsid w:val="00060470"/>
    <w:rPr>
      <w:rFonts w:ascii="Arial" w:hAnsi="Arial" w:cs="Arial"/>
    </w:rPr>
  </w:style>
  <w:style w:type="character" w:customStyle="1" w:styleId="ParanumCharChar">
    <w:name w:val="Paranum Char Char"/>
    <w:rsid w:val="00060470"/>
    <w:rPr>
      <w:rFonts w:ascii="Arial" w:hAnsi="Arial" w:cs="Arial"/>
      <w:b/>
      <w:bCs/>
      <w:i/>
      <w:iCs/>
      <w:sz w:val="28"/>
      <w:szCs w:val="28"/>
      <w:lang w:val="en-US" w:eastAsia="en-US" w:bidi="ar-SA"/>
    </w:rPr>
  </w:style>
  <w:style w:type="character" w:customStyle="1" w:styleId="textinfo1">
    <w:name w:val="textinfo1"/>
    <w:rsid w:val="00060470"/>
    <w:rPr>
      <w:rFonts w:ascii="Arial AM" w:hAnsi="Arial AM" w:hint="default"/>
      <w:color w:val="000000"/>
      <w:sz w:val="18"/>
      <w:szCs w:val="18"/>
    </w:rPr>
  </w:style>
  <w:style w:type="paragraph" w:customStyle="1" w:styleId="CharCharCharCharCharCharCharChar">
    <w:name w:val="Char Char Char Char Char Char Char Char"/>
    <w:basedOn w:val="Normal"/>
    <w:rsid w:val="00060470"/>
    <w:pPr>
      <w:spacing w:before="0" w:after="160" w:line="240" w:lineRule="exact"/>
      <w:jc w:val="left"/>
    </w:pPr>
    <w:rPr>
      <w:rFonts w:ascii="Arial" w:hAnsi="Arial" w:cs="Arial"/>
      <w:sz w:val="20"/>
      <w:szCs w:val="20"/>
      <w:lang w:val="en-US" w:eastAsia="en-US"/>
    </w:rPr>
  </w:style>
  <w:style w:type="paragraph" w:customStyle="1" w:styleId="Report-Title">
    <w:name w:val="Report-Title"/>
    <w:rsid w:val="00060470"/>
    <w:pPr>
      <w:spacing w:after="240"/>
    </w:pPr>
    <w:rPr>
      <w:rFonts w:ascii="Arial" w:eastAsia="MS Mincho" w:hAnsi="Arial" w:cs="Arial"/>
      <w:b/>
      <w:bCs/>
      <w:sz w:val="36"/>
      <w:szCs w:val="36"/>
    </w:rPr>
  </w:style>
  <w:style w:type="paragraph" w:customStyle="1" w:styleId="msonormalcxspmiddle">
    <w:name w:val="msonormalcxspmiddle"/>
    <w:basedOn w:val="Normal"/>
    <w:rsid w:val="00060470"/>
    <w:pPr>
      <w:spacing w:before="100" w:beforeAutospacing="1" w:after="100" w:afterAutospacing="1" w:line="240" w:lineRule="auto"/>
      <w:jc w:val="left"/>
    </w:pPr>
    <w:rPr>
      <w:rFonts w:ascii="Times New Roman" w:hAnsi="Times New Roman"/>
      <w:sz w:val="24"/>
      <w:lang w:val="en-US" w:eastAsia="en-US"/>
    </w:rPr>
  </w:style>
  <w:style w:type="paragraph" w:customStyle="1" w:styleId="a6">
    <w:name w:val="Стиль"/>
    <w:rsid w:val="00060470"/>
    <w:rPr>
      <w:rFonts w:ascii="Baltica" w:hAnsi="Baltica"/>
      <w:lang w:eastAsia="ru-RU"/>
    </w:rPr>
  </w:style>
  <w:style w:type="paragraph" w:customStyle="1" w:styleId="ConsNormal">
    <w:name w:val="ConsNormal"/>
    <w:rsid w:val="00060470"/>
    <w:pPr>
      <w:widowControl w:val="0"/>
      <w:autoSpaceDE w:val="0"/>
      <w:autoSpaceDN w:val="0"/>
      <w:adjustRightInd w:val="0"/>
      <w:ind w:firstLine="720"/>
    </w:pPr>
    <w:rPr>
      <w:rFonts w:ascii="Arial" w:hAnsi="Arial"/>
      <w:lang w:val="ru-RU"/>
    </w:rPr>
  </w:style>
  <w:style w:type="paragraph" w:customStyle="1" w:styleId="ListDash">
    <w:name w:val="List Dash"/>
    <w:basedOn w:val="Normal"/>
    <w:rsid w:val="00060470"/>
    <w:pPr>
      <w:numPr>
        <w:numId w:val="6"/>
      </w:numPr>
      <w:spacing w:after="120" w:line="240" w:lineRule="auto"/>
    </w:pPr>
    <w:rPr>
      <w:rFonts w:ascii="Times New Roman" w:hAnsi="Times New Roman"/>
      <w:sz w:val="24"/>
      <w:szCs w:val="20"/>
      <w:lang w:val="en-GB" w:eastAsia="en-US"/>
    </w:rPr>
  </w:style>
  <w:style w:type="paragraph" w:customStyle="1" w:styleId="CharCharCharCharCharCharChar">
    <w:name w:val="Char Char Char Char Char Char Char"/>
    <w:basedOn w:val="Normal"/>
    <w:rsid w:val="00060470"/>
    <w:pPr>
      <w:spacing w:before="0" w:after="160" w:line="240" w:lineRule="exact"/>
      <w:jc w:val="left"/>
    </w:pPr>
    <w:rPr>
      <w:rFonts w:ascii="Arial" w:hAnsi="Arial" w:cs="Arial"/>
      <w:sz w:val="20"/>
      <w:szCs w:val="20"/>
      <w:lang w:val="en-US" w:eastAsia="en-US"/>
    </w:rPr>
  </w:style>
  <w:style w:type="paragraph" w:customStyle="1" w:styleId="2ndheading">
    <w:name w:val="2nd heading"/>
    <w:basedOn w:val="Normal"/>
    <w:next w:val="Normal"/>
    <w:rsid w:val="00060470"/>
    <w:pPr>
      <w:spacing w:before="0" w:line="240" w:lineRule="auto"/>
      <w:jc w:val="left"/>
    </w:pPr>
    <w:rPr>
      <w:rFonts w:ascii="Univers" w:hAnsi="Univers"/>
      <w:bCs/>
      <w:sz w:val="28"/>
      <w:szCs w:val="20"/>
      <w:lang w:val="en-GB" w:eastAsia="en-US"/>
    </w:rPr>
  </w:style>
  <w:style w:type="paragraph" w:styleId="BodyTextFirstIndent">
    <w:name w:val="Body Text First Indent"/>
    <w:basedOn w:val="BodyText"/>
    <w:link w:val="BodyTextFirstIndentChar2"/>
    <w:rsid w:val="00060470"/>
    <w:pPr>
      <w:spacing w:before="0" w:after="120" w:line="240" w:lineRule="auto"/>
      <w:ind w:firstLine="210"/>
      <w:jc w:val="left"/>
    </w:pPr>
    <w:rPr>
      <w:rFonts w:ascii="Times New Roman" w:hAnsi="Times New Roman"/>
      <w:sz w:val="24"/>
      <w:szCs w:val="24"/>
    </w:rPr>
  </w:style>
  <w:style w:type="character" w:customStyle="1" w:styleId="BodyTextFirstIndentChar">
    <w:name w:val="Body Text First Indent Char"/>
    <w:basedOn w:val="BodyTextChar"/>
    <w:rsid w:val="00060470"/>
    <w:rPr>
      <w:rFonts w:ascii="GHEA Grapalat" w:hAnsi="GHEA Grapalat"/>
      <w:sz w:val="22"/>
      <w:szCs w:val="24"/>
      <w:lang w:val="ru-RU" w:eastAsia="ru-RU"/>
    </w:rPr>
  </w:style>
  <w:style w:type="character" w:customStyle="1" w:styleId="BodyTextFirstIndentChar2">
    <w:name w:val="Body Text First Indent Char2"/>
    <w:link w:val="BodyTextFirstIndent"/>
    <w:rsid w:val="00060470"/>
    <w:rPr>
      <w:sz w:val="24"/>
      <w:szCs w:val="24"/>
      <w:lang w:val="ru-RU" w:eastAsia="ru-RU"/>
    </w:rPr>
  </w:style>
  <w:style w:type="character" w:customStyle="1" w:styleId="CommentSubjectChar2">
    <w:name w:val="Comment Subject Char2"/>
    <w:uiPriority w:val="99"/>
    <w:rsid w:val="00060470"/>
    <w:rPr>
      <w:rFonts w:ascii="Courier New" w:hAnsi="Courier New"/>
      <w:b/>
      <w:bCs/>
    </w:rPr>
  </w:style>
  <w:style w:type="table" w:styleId="TableGrid8">
    <w:name w:val="Table Grid 8"/>
    <w:basedOn w:val="TableNormal"/>
    <w:uiPriority w:val="99"/>
    <w:rsid w:val="0006047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ntemporary">
    <w:name w:val="Table Contemporary"/>
    <w:basedOn w:val="TableNormal"/>
    <w:uiPriority w:val="99"/>
    <w:rsid w:val="0006047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LineNumber">
    <w:name w:val="line number"/>
    <w:rsid w:val="00060470"/>
  </w:style>
  <w:style w:type="paragraph" w:customStyle="1" w:styleId="a7">
    <w:name w:val="Заголовок таблицы"/>
    <w:basedOn w:val="a8"/>
    <w:rsid w:val="00060470"/>
  </w:style>
  <w:style w:type="paragraph" w:customStyle="1" w:styleId="a8">
    <w:name w:val="Содержимое таблицы"/>
    <w:basedOn w:val="Normal"/>
    <w:rsid w:val="00060470"/>
    <w:pPr>
      <w:suppressLineNumbers/>
      <w:suppressAutoHyphens/>
      <w:spacing w:before="0" w:line="240" w:lineRule="auto"/>
      <w:jc w:val="left"/>
    </w:pPr>
    <w:rPr>
      <w:rFonts w:ascii="Times New Roman" w:hAnsi="Times New Roman"/>
      <w:sz w:val="24"/>
      <w:szCs w:val="20"/>
      <w:lang w:val="en-US" w:eastAsia="en-US"/>
    </w:rPr>
  </w:style>
  <w:style w:type="paragraph" w:customStyle="1" w:styleId="a9">
    <w:name w:val="??????? ??????????"/>
    <w:basedOn w:val="a1"/>
    <w:rsid w:val="00060470"/>
    <w:pPr>
      <w:tabs>
        <w:tab w:val="center" w:pos="4320"/>
        <w:tab w:val="right" w:pos="8640"/>
      </w:tabs>
    </w:pPr>
    <w:rPr>
      <w:rFonts w:ascii="Times Armenian" w:hAnsi="Times Armenian"/>
      <w:sz w:val="24"/>
      <w:lang w:val="en-US"/>
    </w:rPr>
  </w:style>
  <w:style w:type="paragraph" w:customStyle="1" w:styleId="BodyText22">
    <w:name w:val="Body Text 22"/>
    <w:basedOn w:val="Normal"/>
    <w:rsid w:val="00060470"/>
    <w:pPr>
      <w:overflowPunct w:val="0"/>
      <w:autoSpaceDE w:val="0"/>
      <w:autoSpaceDN w:val="0"/>
      <w:adjustRightInd w:val="0"/>
      <w:spacing w:before="0" w:line="240" w:lineRule="auto"/>
      <w:textAlignment w:val="baseline"/>
    </w:pPr>
    <w:rPr>
      <w:rFonts w:ascii="Times LatArm" w:hAnsi="Times LatArm"/>
      <w:szCs w:val="20"/>
      <w:lang w:val="en-GB"/>
    </w:rPr>
  </w:style>
  <w:style w:type="paragraph" w:customStyle="1" w:styleId="CM31">
    <w:name w:val="CM31"/>
    <w:basedOn w:val="Default"/>
    <w:next w:val="Default"/>
    <w:rsid w:val="00060470"/>
    <w:pPr>
      <w:widowControl/>
      <w:numPr>
        <w:numId w:val="5"/>
      </w:numPr>
      <w:tabs>
        <w:tab w:val="clear" w:pos="1429"/>
      </w:tabs>
      <w:ind w:left="0" w:firstLine="0"/>
    </w:pPr>
    <w:rPr>
      <w:rFonts w:ascii="GHEA Grapalat" w:hAnsi="GHEA Grapalat" w:cs="GHEA Grapalat"/>
      <w:lang w:val="ru-RU" w:eastAsia="ru-RU"/>
    </w:rPr>
  </w:style>
  <w:style w:type="paragraph" w:customStyle="1" w:styleId="StyleCaptionTimesArmenian11pt">
    <w:name w:val="Style Caption + Times Armenian 11 pt"/>
    <w:basedOn w:val="Caption"/>
    <w:link w:val="StyleCaptionTimesArmenian11ptChar"/>
    <w:rsid w:val="00060470"/>
    <w:pPr>
      <w:overflowPunct w:val="0"/>
      <w:autoSpaceDE w:val="0"/>
      <w:autoSpaceDN w:val="0"/>
      <w:adjustRightInd w:val="0"/>
      <w:spacing w:before="0" w:after="120" w:line="240" w:lineRule="auto"/>
      <w:jc w:val="left"/>
      <w:textAlignment w:val="baseline"/>
    </w:pPr>
    <w:rPr>
      <w:rFonts w:ascii="Arial Armenian" w:hAnsi="Arial Armenian"/>
      <w:color w:val="auto"/>
      <w:sz w:val="26"/>
      <w:szCs w:val="26"/>
      <w:lang w:val="en-US" w:eastAsia="en-US"/>
    </w:rPr>
  </w:style>
  <w:style w:type="character" w:customStyle="1" w:styleId="StyleCaptionTimesArmenian11ptChar">
    <w:name w:val="Style Caption + Times Armenian 11 pt Char"/>
    <w:link w:val="StyleCaptionTimesArmenian11pt"/>
    <w:rsid w:val="00060470"/>
    <w:rPr>
      <w:rFonts w:ascii="Arial Armenian" w:hAnsi="Arial Armenian"/>
      <w:b/>
      <w:bCs/>
      <w:sz w:val="26"/>
      <w:szCs w:val="26"/>
    </w:rPr>
  </w:style>
  <w:style w:type="paragraph" w:customStyle="1" w:styleId="StyleHeading120ptBlue">
    <w:name w:val="Style Heading 1 + 20 pt Blue"/>
    <w:basedOn w:val="Heading1"/>
    <w:rsid w:val="00060470"/>
    <w:pPr>
      <w:spacing w:before="240" w:after="60"/>
      <w:ind w:firstLine="720"/>
    </w:pPr>
    <w:rPr>
      <w:rFonts w:ascii="Arial" w:hAnsi="Arial" w:cs="Arial"/>
      <w:bCs w:val="0"/>
      <w:kern w:val="32"/>
      <w:sz w:val="40"/>
      <w:szCs w:val="40"/>
      <w:lang w:val="en-GB"/>
    </w:rPr>
  </w:style>
  <w:style w:type="paragraph" w:customStyle="1" w:styleId="StyleHeading1TimesArmenian10ptNotBoldUnderline1">
    <w:name w:val="Style Heading 1 + Times Armenian 10 pt Not Bold Underline1"/>
    <w:basedOn w:val="Heading1"/>
    <w:autoRedefine/>
    <w:rsid w:val="00060470"/>
    <w:pPr>
      <w:tabs>
        <w:tab w:val="center" w:pos="-180"/>
        <w:tab w:val="left" w:pos="450"/>
      </w:tabs>
      <w:spacing w:before="240" w:after="60"/>
    </w:pPr>
    <w:rPr>
      <w:rFonts w:cs="Sylfaen"/>
      <w:b w:val="0"/>
    </w:rPr>
  </w:style>
  <w:style w:type="paragraph" w:customStyle="1" w:styleId="CharCharCharCharCharCharCharCharCharChar">
    <w:name w:val="Char Char Char Char Char Char Char Char Char Char"/>
    <w:basedOn w:val="Normal"/>
    <w:rsid w:val="00060470"/>
    <w:pPr>
      <w:spacing w:before="0" w:after="160" w:line="240" w:lineRule="exact"/>
      <w:jc w:val="left"/>
    </w:pPr>
    <w:rPr>
      <w:rFonts w:ascii="Arial" w:hAnsi="Arial" w:cs="Arial"/>
      <w:sz w:val="20"/>
      <w:szCs w:val="20"/>
      <w:lang w:val="en-US" w:eastAsia="en-US"/>
    </w:rPr>
  </w:style>
  <w:style w:type="paragraph" w:customStyle="1" w:styleId="Titlechart">
    <w:name w:val="Title_chart"/>
    <w:basedOn w:val="Caption"/>
    <w:rsid w:val="00060470"/>
    <w:pPr>
      <w:keepNext/>
      <w:spacing w:before="0" w:after="60" w:line="240" w:lineRule="auto"/>
      <w:jc w:val="left"/>
    </w:pPr>
    <w:rPr>
      <w:rFonts w:cs="Sylfaen"/>
      <w:color w:val="auto"/>
      <w:sz w:val="22"/>
      <w:szCs w:val="20"/>
      <w:lang w:val="en-US"/>
    </w:rPr>
  </w:style>
  <w:style w:type="paragraph" w:customStyle="1" w:styleId="CharCharCharCharCharCharCharCharCharCharCharCharChar">
    <w:name w:val="Char Char Char Char Char Char Char Char Char Char Char Char Char"/>
    <w:basedOn w:val="Normal"/>
    <w:rsid w:val="00060470"/>
    <w:pPr>
      <w:spacing w:before="0" w:after="160" w:line="240" w:lineRule="exact"/>
      <w:jc w:val="left"/>
    </w:pPr>
    <w:rPr>
      <w:rFonts w:ascii="Arial" w:hAnsi="Arial" w:cs="Arial"/>
      <w:sz w:val="20"/>
      <w:szCs w:val="20"/>
      <w:lang w:val="en-US" w:eastAsia="en-US"/>
    </w:rPr>
  </w:style>
  <w:style w:type="paragraph" w:customStyle="1" w:styleId="StyleHeading1SectionSectionHeadingText11Chapterhead3">
    <w:name w:val="Style Heading 1(Section)Section Heading(Text)1 1Chapterhead3..."/>
    <w:basedOn w:val="Heading1"/>
    <w:link w:val="StyleHeading1SectionSectionHeadingText11Chapterhead3Char"/>
    <w:autoRedefine/>
    <w:rsid w:val="00060470"/>
    <w:rPr>
      <w:bCs w:val="0"/>
      <w:kern w:val="32"/>
      <w:szCs w:val="28"/>
      <w:lang w:val="es-ES"/>
    </w:rPr>
  </w:style>
  <w:style w:type="character" w:customStyle="1" w:styleId="StyleHeading1SectionSectionHeadingText11Chapterhead3Char">
    <w:name w:val="Style Heading 1(Section)Section Heading(Text)1 1Chapterhead3... Char"/>
    <w:link w:val="StyleHeading1SectionSectionHeadingText11Chapterhead3"/>
    <w:rsid w:val="00060470"/>
    <w:rPr>
      <w:rFonts w:ascii="GHEA Grapalat" w:hAnsi="GHEA Grapalat"/>
      <w:b/>
      <w:bCs/>
      <w:kern w:val="32"/>
      <w:sz w:val="28"/>
      <w:szCs w:val="28"/>
      <w:lang w:val="es-ES"/>
    </w:rPr>
  </w:style>
  <w:style w:type="paragraph" w:customStyle="1" w:styleId="StyleHeading2ChapterParanumTextSylfaen">
    <w:name w:val="Style Heading 2.(Chapter).Paranum.Text + Sylfaen"/>
    <w:basedOn w:val="Heading2ChapterParanumText"/>
    <w:link w:val="StyleHeading2ChapterParanumTextSylfaenChar"/>
    <w:autoRedefine/>
    <w:rsid w:val="00060470"/>
    <w:pPr>
      <w:spacing w:before="120" w:after="120"/>
      <w:ind w:left="576" w:hanging="576"/>
    </w:pPr>
    <w:rPr>
      <w:rFonts w:ascii="Sylfaen" w:hAnsi="Sylfaen"/>
      <w:bCs/>
    </w:rPr>
  </w:style>
  <w:style w:type="character" w:customStyle="1" w:styleId="StyleHeading2ChapterParanumTextSylfaenChar">
    <w:name w:val="Style Heading 2.(Chapter).Paranum.Text + Sylfaen Char"/>
    <w:link w:val="StyleHeading2ChapterParanumTextSylfaen"/>
    <w:rsid w:val="00060470"/>
    <w:rPr>
      <w:rFonts w:ascii="Sylfaen" w:hAnsi="Sylfaen"/>
      <w:b/>
      <w:bCs/>
      <w:spacing w:val="24"/>
      <w:kern w:val="28"/>
      <w:sz w:val="24"/>
      <w:szCs w:val="24"/>
      <w:lang w:val="it-IT"/>
    </w:rPr>
  </w:style>
  <w:style w:type="paragraph" w:customStyle="1" w:styleId="StyleHeading3Sub-ChapterCenteredtextHeading3CharCharC">
    <w:name w:val="Style Heading 3(Sub-Chapter)Centered(text)Heading 3 Char Char C..."/>
    <w:basedOn w:val="Heading3"/>
    <w:autoRedefine/>
    <w:rsid w:val="00060470"/>
    <w:pPr>
      <w:widowControl w:val="0"/>
      <w:tabs>
        <w:tab w:val="left" w:pos="624"/>
      </w:tabs>
      <w:spacing w:before="120"/>
      <w:ind w:right="302"/>
    </w:pPr>
    <w:rPr>
      <w:rFonts w:cs="Times New Roman"/>
      <w:color w:val="000000"/>
      <w:szCs w:val="24"/>
      <w:lang w:val="es-ES"/>
    </w:rPr>
  </w:style>
  <w:style w:type="paragraph" w:customStyle="1" w:styleId="StyleStyleHeading1SectionSectionHeadingText11Chapterhead3">
    <w:name w:val="Style Style Heading 1(Section)Section Heading(Text)1 1Chapterhead3...."/>
    <w:basedOn w:val="StyleHeading1SectionSectionHeadingText11Chapterhead3"/>
    <w:link w:val="StyleStyleHeading1SectionSectionHeadingText11Chapterhead3Char"/>
    <w:autoRedefine/>
    <w:rsid w:val="00060470"/>
  </w:style>
  <w:style w:type="character" w:customStyle="1" w:styleId="StyleStyleHeading1SectionSectionHeadingText11Chapterhead3Char">
    <w:name w:val="Style Style Heading 1(Section)Section Heading(Text)1 1Chapterhead3.... Char"/>
    <w:link w:val="StyleStyleHeading1SectionSectionHeadingText11Chapterhead3"/>
    <w:rsid w:val="00060470"/>
    <w:rPr>
      <w:rFonts w:ascii="GHEA Grapalat" w:hAnsi="GHEA Grapalat"/>
      <w:b/>
      <w:bCs/>
      <w:kern w:val="32"/>
      <w:sz w:val="28"/>
      <w:szCs w:val="28"/>
      <w:lang w:val="es-ES"/>
    </w:rPr>
  </w:style>
  <w:style w:type="paragraph" w:customStyle="1" w:styleId="211">
    <w:name w:val="???????? ????? 21"/>
    <w:basedOn w:val="20"/>
    <w:rsid w:val="00060470"/>
    <w:pPr>
      <w:jc w:val="center"/>
    </w:pPr>
    <w:rPr>
      <w:b/>
      <w:sz w:val="28"/>
    </w:rPr>
  </w:style>
  <w:style w:type="paragraph" w:customStyle="1" w:styleId="Style15">
    <w:name w:val="Style1.5"/>
    <w:basedOn w:val="Normal"/>
    <w:rsid w:val="00060470"/>
    <w:pPr>
      <w:spacing w:before="0"/>
      <w:ind w:firstLine="709"/>
    </w:pPr>
    <w:rPr>
      <w:rFonts w:ascii="Arial Armenian" w:hAnsi="Arial Armenian"/>
      <w:lang w:val="en-US" w:eastAsia="en-US"/>
    </w:rPr>
  </w:style>
  <w:style w:type="paragraph" w:customStyle="1" w:styleId="russtyle">
    <w:name w:val="russtyle"/>
    <w:basedOn w:val="Normal"/>
    <w:rsid w:val="00060470"/>
    <w:pPr>
      <w:spacing w:before="0" w:line="240" w:lineRule="auto"/>
      <w:jc w:val="left"/>
    </w:pPr>
    <w:rPr>
      <w:rFonts w:ascii="Russian Baltica" w:hAnsi="Russian Baltica"/>
      <w:lang w:val="en-US" w:eastAsia="en-US"/>
    </w:rPr>
  </w:style>
  <w:style w:type="paragraph" w:customStyle="1" w:styleId="Style6">
    <w:name w:val="Style6"/>
    <w:basedOn w:val="mechtex"/>
    <w:rsid w:val="00060470"/>
    <w:pPr>
      <w:spacing w:before="0" w:line="240" w:lineRule="auto"/>
    </w:pPr>
    <w:rPr>
      <w:rFonts w:ascii="Times New Roman" w:hAnsi="Times New Roman"/>
      <w:szCs w:val="24"/>
      <w:lang w:eastAsia="en-US"/>
    </w:rPr>
  </w:style>
  <w:style w:type="paragraph" w:customStyle="1" w:styleId="1CharChar">
    <w:name w:val="Знак Знак1 Char Char Знак Знак"/>
    <w:basedOn w:val="Normal"/>
    <w:rsid w:val="00060470"/>
    <w:pPr>
      <w:tabs>
        <w:tab w:val="num" w:pos="840"/>
      </w:tabs>
      <w:spacing w:before="0" w:after="160" w:line="240" w:lineRule="exact"/>
      <w:ind w:left="840" w:hanging="360"/>
    </w:pPr>
    <w:rPr>
      <w:rFonts w:ascii="Verdana" w:hAnsi="Verdana"/>
      <w:sz w:val="20"/>
      <w:szCs w:val="20"/>
      <w:lang w:eastAsia="en-US"/>
    </w:rPr>
  </w:style>
  <w:style w:type="paragraph" w:customStyle="1" w:styleId="CharCharCharChar0">
    <w:name w:val="Знак Знак Char Char Знак Знак Char Char Знак Знак"/>
    <w:basedOn w:val="Normal"/>
    <w:autoRedefine/>
    <w:rsid w:val="00060470"/>
    <w:pPr>
      <w:spacing w:before="0" w:after="160" w:line="240" w:lineRule="exact"/>
      <w:jc w:val="left"/>
    </w:pPr>
    <w:rPr>
      <w:rFonts w:ascii="Times New Roman" w:hAnsi="Times New Roman"/>
      <w:sz w:val="28"/>
      <w:szCs w:val="20"/>
      <w:lang w:val="en-US" w:eastAsia="en-US"/>
    </w:rPr>
  </w:style>
  <w:style w:type="paragraph" w:customStyle="1" w:styleId="17">
    <w:name w:val="Обычный1"/>
    <w:rsid w:val="00060470"/>
    <w:pPr>
      <w:autoSpaceDE w:val="0"/>
      <w:autoSpaceDN w:val="0"/>
    </w:pPr>
    <w:rPr>
      <w:lang w:val="ru-RU" w:eastAsia="ru-RU"/>
    </w:rPr>
  </w:style>
  <w:style w:type="paragraph" w:customStyle="1" w:styleId="Char3">
    <w:name w:val="Знак Знак Знак Знак Знак Знак Знак Знак Знак Знак Знак Знак Знак Знак Знак Знак Знак Знак Char Знак Знак"/>
    <w:basedOn w:val="Normal"/>
    <w:autoRedefine/>
    <w:rsid w:val="00060470"/>
    <w:pPr>
      <w:spacing w:before="0" w:after="160" w:line="240" w:lineRule="exact"/>
      <w:jc w:val="left"/>
    </w:pPr>
    <w:rPr>
      <w:rFonts w:ascii="Times New Roman" w:hAnsi="Times New Roman"/>
      <w:sz w:val="28"/>
      <w:szCs w:val="20"/>
      <w:lang w:val="en-US" w:eastAsia="en-US"/>
    </w:rPr>
  </w:style>
  <w:style w:type="paragraph" w:customStyle="1" w:styleId="TitlePageHeader">
    <w:name w:val="TitlePage_Header"/>
    <w:basedOn w:val="Normal"/>
    <w:rsid w:val="00060470"/>
    <w:pPr>
      <w:spacing w:before="240" w:after="240" w:line="288" w:lineRule="auto"/>
      <w:ind w:left="3240"/>
      <w:jc w:val="left"/>
    </w:pPr>
    <w:rPr>
      <w:rFonts w:ascii="Verdana" w:hAnsi="Verdana"/>
      <w:b w:val="0"/>
      <w:sz w:val="32"/>
      <w:szCs w:val="20"/>
      <w:lang w:val="en-US" w:eastAsia="fr-FR"/>
    </w:rPr>
  </w:style>
  <w:style w:type="character" w:customStyle="1" w:styleId="t101">
    <w:name w:val="t101"/>
    <w:rsid w:val="00060470"/>
    <w:rPr>
      <w:b/>
      <w:bCs/>
      <w:color w:val="0000FF"/>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Normal"/>
    <w:rsid w:val="00060470"/>
    <w:pPr>
      <w:spacing w:before="0" w:after="160" w:line="240" w:lineRule="exact"/>
      <w:jc w:val="left"/>
    </w:pPr>
    <w:rPr>
      <w:rFonts w:ascii="Arial" w:hAnsi="Arial" w:cs="Arial"/>
      <w:sz w:val="20"/>
      <w:szCs w:val="20"/>
      <w:lang w:val="en-US" w:eastAsia="en-US"/>
    </w:rPr>
  </w:style>
  <w:style w:type="paragraph" w:customStyle="1" w:styleId="Style40">
    <w:name w:val="Style 4"/>
    <w:basedOn w:val="Normal"/>
    <w:rsid w:val="00060470"/>
    <w:pPr>
      <w:tabs>
        <w:tab w:val="num" w:pos="1531"/>
      </w:tabs>
      <w:spacing w:before="0" w:after="240" w:line="240" w:lineRule="atLeast"/>
      <w:ind w:left="1531" w:hanging="1531"/>
      <w:jc w:val="left"/>
    </w:pPr>
    <w:rPr>
      <w:rFonts w:ascii="Garamond" w:hAnsi="Garamond"/>
      <w:szCs w:val="20"/>
      <w:lang w:val="en-US" w:eastAsia="en-US"/>
    </w:rPr>
  </w:style>
  <w:style w:type="paragraph" w:customStyle="1" w:styleId="NormalWeb1">
    <w:name w:val="Normal (Web)1"/>
    <w:basedOn w:val="Normal"/>
    <w:rsid w:val="00060470"/>
    <w:pPr>
      <w:spacing w:before="100" w:beforeAutospacing="1" w:after="100" w:afterAutospacing="1" w:line="240" w:lineRule="auto"/>
      <w:jc w:val="left"/>
    </w:pPr>
    <w:rPr>
      <w:rFonts w:ascii="Times New Roman" w:hAnsi="Times New Roman"/>
      <w:sz w:val="24"/>
    </w:rPr>
  </w:style>
  <w:style w:type="paragraph" w:customStyle="1" w:styleId="CharCharChar1Char">
    <w:name w:val="Char Char Char1 Char"/>
    <w:basedOn w:val="Normal"/>
    <w:rsid w:val="00060470"/>
    <w:pPr>
      <w:spacing w:before="0" w:after="160" w:line="240" w:lineRule="exact"/>
      <w:jc w:val="left"/>
    </w:pPr>
    <w:rPr>
      <w:rFonts w:ascii="Arial" w:hAnsi="Arial" w:cs="Arial"/>
      <w:sz w:val="20"/>
      <w:szCs w:val="20"/>
      <w:lang w:val="en-US" w:eastAsia="en-US"/>
    </w:rPr>
  </w:style>
  <w:style w:type="paragraph" w:customStyle="1" w:styleId="CharChar1CharCharChar1Char">
    <w:name w:val="Char Char1 Char Char Char1 Char"/>
    <w:basedOn w:val="Normal"/>
    <w:autoRedefine/>
    <w:rsid w:val="00060470"/>
    <w:pPr>
      <w:spacing w:before="0" w:line="240" w:lineRule="auto"/>
      <w:jc w:val="left"/>
    </w:pPr>
    <w:rPr>
      <w:rFonts w:ascii="Times New Roman" w:eastAsia="SimSun" w:hAnsi="Times New Roman"/>
      <w:sz w:val="20"/>
      <w:szCs w:val="20"/>
      <w:lang w:val="en-US"/>
    </w:rPr>
  </w:style>
  <w:style w:type="paragraph" w:customStyle="1" w:styleId="4">
    <w:name w:val="Знак Знак4"/>
    <w:basedOn w:val="Normal"/>
    <w:rsid w:val="00060470"/>
    <w:pPr>
      <w:tabs>
        <w:tab w:val="left" w:pos="709"/>
      </w:tabs>
      <w:spacing w:before="0" w:line="240" w:lineRule="auto"/>
      <w:jc w:val="left"/>
    </w:pPr>
    <w:rPr>
      <w:rFonts w:ascii="Tahoma" w:hAnsi="Tahoma"/>
      <w:sz w:val="24"/>
      <w:lang w:val="pl-PL" w:eastAsia="pl-PL"/>
    </w:rPr>
  </w:style>
  <w:style w:type="paragraph" w:customStyle="1" w:styleId="Char4">
    <w:name w:val="Знак Char Знак"/>
    <w:basedOn w:val="Normal"/>
    <w:rsid w:val="00060470"/>
    <w:pPr>
      <w:spacing w:before="0" w:after="160" w:line="240" w:lineRule="exact"/>
      <w:jc w:val="left"/>
    </w:pPr>
    <w:rPr>
      <w:rFonts w:ascii="Arial" w:eastAsia="Batang" w:hAnsi="Arial" w:cs="Arial"/>
      <w:sz w:val="20"/>
      <w:szCs w:val="20"/>
      <w:lang w:val="en-US" w:eastAsia="en-US"/>
    </w:rPr>
  </w:style>
  <w:style w:type="paragraph" w:customStyle="1" w:styleId="CharCharCharCharCharChar">
    <w:name w:val="Знак Знак Char Char Знак Знак Char Char Знак Знак Char Char"/>
    <w:basedOn w:val="Normal"/>
    <w:autoRedefine/>
    <w:rsid w:val="00060470"/>
    <w:pPr>
      <w:spacing w:before="0" w:after="160" w:line="240" w:lineRule="exact"/>
      <w:jc w:val="left"/>
    </w:pPr>
    <w:rPr>
      <w:rFonts w:ascii="Times New Roman" w:hAnsi="Times New Roman"/>
      <w:sz w:val="28"/>
      <w:szCs w:val="20"/>
      <w:lang w:val="en-US" w:eastAsia="en-US"/>
    </w:rPr>
  </w:style>
  <w:style w:type="paragraph" w:customStyle="1" w:styleId="hodvats">
    <w:name w:val="hodvats"/>
    <w:basedOn w:val="Normal"/>
    <w:rsid w:val="00060470"/>
    <w:pPr>
      <w:tabs>
        <w:tab w:val="left" w:pos="993"/>
        <w:tab w:val="left" w:pos="1985"/>
      </w:tabs>
      <w:spacing w:before="113" w:after="57" w:line="220" w:lineRule="exact"/>
    </w:pPr>
    <w:rPr>
      <w:rFonts w:ascii="Dallak Helv" w:hAnsi="Dallak Helv"/>
      <w:b w:val="0"/>
      <w:noProof/>
      <w:sz w:val="18"/>
      <w:szCs w:val="20"/>
      <w:lang w:val="en-US" w:eastAsia="en-US"/>
    </w:rPr>
  </w:style>
  <w:style w:type="paragraph" w:customStyle="1" w:styleId="CharCharCharCharChar0">
    <w:name w:val="Char Char Char Char Char"/>
    <w:basedOn w:val="Normal"/>
    <w:rsid w:val="00060470"/>
    <w:pPr>
      <w:spacing w:before="0" w:after="160" w:line="240" w:lineRule="exact"/>
      <w:jc w:val="left"/>
    </w:pPr>
    <w:rPr>
      <w:rFonts w:ascii="Arial" w:hAnsi="Arial" w:cs="Arial"/>
      <w:sz w:val="20"/>
      <w:szCs w:val="20"/>
      <w:lang w:val="en-US" w:eastAsia="en-US"/>
    </w:rPr>
  </w:style>
  <w:style w:type="paragraph" w:customStyle="1" w:styleId="StyleHeading4CentredArialUnicode105pt">
    <w:name w:val="Style Heading 4Centred + Arial Unicode 10.5 pt"/>
    <w:basedOn w:val="Heading4"/>
    <w:link w:val="StyleHeading4CentredArialUnicode105ptChar"/>
    <w:autoRedefine/>
    <w:rsid w:val="00060470"/>
    <w:pPr>
      <w:spacing w:before="120"/>
      <w:ind w:left="0"/>
    </w:pPr>
    <w:rPr>
      <w:rFonts w:ascii="Arial Unicode" w:hAnsi="Arial Unicode"/>
      <w:bCs/>
      <w:szCs w:val="22"/>
      <w:lang w:val="af-ZA"/>
    </w:rPr>
  </w:style>
  <w:style w:type="character" w:customStyle="1" w:styleId="StyleHeading4CentredArialUnicode105ptChar">
    <w:name w:val="Style Heading 4Centred + Arial Unicode 10.5 pt Char"/>
    <w:link w:val="StyleHeading4CentredArialUnicode105pt"/>
    <w:rsid w:val="00060470"/>
    <w:rPr>
      <w:rFonts w:ascii="Arial Unicode" w:hAnsi="Arial Unicode"/>
      <w:b/>
      <w:bCs/>
      <w:sz w:val="22"/>
      <w:szCs w:val="22"/>
      <w:lang w:val="af-ZA"/>
    </w:rPr>
  </w:style>
  <w:style w:type="paragraph" w:customStyle="1" w:styleId="StyleStyleHeading3Sub-ChapterCenteredtextHeading3CharChar">
    <w:name w:val="Style Style Heading 3(Sub-Chapter)Centered(text)Heading 3 Char Char..."/>
    <w:basedOn w:val="StyleHeading3Sub-ChapterCenteredtextHeading3CharCharC"/>
    <w:autoRedefine/>
    <w:rsid w:val="00060470"/>
    <w:pPr>
      <w:tabs>
        <w:tab w:val="clear" w:pos="624"/>
        <w:tab w:val="left" w:pos="360"/>
      </w:tabs>
      <w:spacing w:before="240" w:after="240"/>
      <w:ind w:right="0"/>
    </w:pPr>
    <w:rPr>
      <w:caps/>
    </w:rPr>
  </w:style>
  <w:style w:type="paragraph" w:customStyle="1" w:styleId="StyleStyleHeading2ChapterParanumTextSylfaen1ArialUni">
    <w:name w:val="Style Style Heading 2.(Chapter).Paranum.Text + Sylfaen1 + Arial Uni..."/>
    <w:basedOn w:val="StyleHeading2ChapterParanumTextSylfaen1"/>
    <w:link w:val="StyleStyleHeading2ChapterParanumTextSylfaen1ArialUniChar"/>
    <w:autoRedefine/>
    <w:rsid w:val="00060470"/>
    <w:pPr>
      <w:spacing w:before="120"/>
    </w:pPr>
    <w:rPr>
      <w:bCs/>
      <w:sz w:val="24"/>
      <w:szCs w:val="24"/>
      <w:lang w:val="af-ZA"/>
    </w:rPr>
  </w:style>
  <w:style w:type="character" w:customStyle="1" w:styleId="StyleStyleHeading2ChapterParanumTextSylfaen1ArialUniChar">
    <w:name w:val="Style Style Heading 2.(Chapter).Paranum.Text + Sylfaen1 + Arial Uni... Char"/>
    <w:link w:val="StyleStyleHeading2ChapterParanumTextSylfaen1ArialUni"/>
    <w:rsid w:val="00060470"/>
    <w:rPr>
      <w:rFonts w:ascii="GHEA Grapalat" w:hAnsi="GHEA Grapalat"/>
      <w:b/>
      <w:bCs/>
      <w:spacing w:val="24"/>
      <w:kern w:val="28"/>
      <w:sz w:val="24"/>
      <w:szCs w:val="24"/>
      <w:lang w:val="af-ZA"/>
    </w:rPr>
  </w:style>
  <w:style w:type="paragraph" w:customStyle="1" w:styleId="StyleBodyTextMainTextdateBodyTextMaintextGHEAGrapa">
    <w:name w:val="Style Body Text(Main Text)dateBody Text (Main text) + GHEA Grapa..."/>
    <w:basedOn w:val="BodyText"/>
    <w:autoRedefine/>
    <w:rsid w:val="00060470"/>
    <w:pPr>
      <w:spacing w:before="0" w:after="120"/>
      <w:jc w:val="both"/>
    </w:pPr>
    <w:rPr>
      <w:rFonts w:ascii="GHEA Grapalat" w:hAnsi="GHEA Grapalat"/>
      <w:sz w:val="22"/>
      <w:szCs w:val="22"/>
    </w:rPr>
  </w:style>
  <w:style w:type="paragraph" w:customStyle="1" w:styleId="StyleStyleHeading2ChapterParanumTextSylfaen1ArialUni1">
    <w:name w:val="Style Style Heading 2.(Chapter).Paranum.Text + Sylfaen1 + Arial Uni...1"/>
    <w:basedOn w:val="StyleHeading2ChapterParanumTextSylfaen1"/>
    <w:autoRedefine/>
    <w:rsid w:val="00060470"/>
    <w:rPr>
      <w:bCs/>
      <w:sz w:val="24"/>
    </w:rPr>
  </w:style>
  <w:style w:type="paragraph" w:customStyle="1" w:styleId="StyleStyleHeading1SectionSectionHeadingText11Chapterhead31">
    <w:name w:val="Style Style Heading 1(Section)Section Heading(Text)1 1Chapterhead3....1"/>
    <w:basedOn w:val="StyleHeading1SectionSectionHeadingText11Chapterhead3"/>
    <w:rsid w:val="00060470"/>
    <w:rPr>
      <w:b w:val="0"/>
      <w:bCs/>
      <w:spacing w:val="40"/>
    </w:rPr>
  </w:style>
  <w:style w:type="paragraph" w:customStyle="1" w:styleId="StyleStyleHeading2ChapterParanumTextSylfaen1GHEAGrap">
    <w:name w:val="Style Style Heading 2.(Chapter).Paranum.Text + Sylfaen1 + GHEA Grap..."/>
    <w:basedOn w:val="StyleHeading2ChapterParanumTextSylfaen1"/>
    <w:link w:val="StyleStyleHeading2ChapterParanumTextSylfaen1GHEAGrapChar"/>
    <w:rsid w:val="00060470"/>
    <w:rPr>
      <w:bCs/>
    </w:rPr>
  </w:style>
  <w:style w:type="character" w:customStyle="1" w:styleId="StyleStyleHeading2ChapterParanumTextSylfaen1GHEAGrapChar">
    <w:name w:val="Style Style Heading 2.(Chapter).Paranum.Text + Sylfaen1 + GHEA Grap... Char"/>
    <w:link w:val="StyleStyleHeading2ChapterParanumTextSylfaen1GHEAGrap"/>
    <w:rsid w:val="00060470"/>
    <w:rPr>
      <w:rFonts w:ascii="GHEA Grapalat" w:hAnsi="GHEA Grapalat"/>
      <w:b/>
      <w:bCs/>
      <w:spacing w:val="24"/>
      <w:kern w:val="28"/>
      <w:sz w:val="22"/>
      <w:szCs w:val="22"/>
      <w:lang w:val="pt-BR"/>
    </w:rPr>
  </w:style>
  <w:style w:type="character" w:customStyle="1" w:styleId="CharChar181">
    <w:name w:val="Char Char181"/>
    <w:rsid w:val="00060470"/>
    <w:rPr>
      <w:rFonts w:ascii="Arial Armenian" w:eastAsia="Times New Roman" w:hAnsi="Arial Armenian"/>
      <w:i/>
      <w:sz w:val="22"/>
      <w:u w:val="single"/>
      <w:lang w:val="en-GB"/>
    </w:rPr>
  </w:style>
  <w:style w:type="character" w:customStyle="1" w:styleId="FontStyle29">
    <w:name w:val="Font Style29"/>
    <w:rsid w:val="00060470"/>
    <w:rPr>
      <w:rFonts w:ascii="Tahoma" w:hAnsi="Tahoma" w:cs="Tahoma"/>
      <w:color w:val="000000"/>
      <w:sz w:val="16"/>
      <w:szCs w:val="16"/>
    </w:rPr>
  </w:style>
  <w:style w:type="character" w:customStyle="1" w:styleId="CharChar191">
    <w:name w:val="Char Char191"/>
    <w:rsid w:val="00060470"/>
    <w:rPr>
      <w:b/>
      <w:sz w:val="32"/>
      <w:lang w:val="en-GB" w:eastAsia="en-US" w:bidi="ar-SA"/>
    </w:rPr>
  </w:style>
  <w:style w:type="paragraph" w:customStyle="1" w:styleId="rmcptlkhmsonormal">
    <w:name w:val="rmcptlkh msonormal"/>
    <w:basedOn w:val="Normal"/>
    <w:rsid w:val="00060470"/>
    <w:pPr>
      <w:spacing w:before="100" w:beforeAutospacing="1" w:after="100" w:afterAutospacing="1" w:line="240" w:lineRule="auto"/>
      <w:jc w:val="left"/>
    </w:pPr>
    <w:rPr>
      <w:rFonts w:ascii="Times New Roman" w:eastAsia="Batang" w:hAnsi="Times New Roman"/>
      <w:sz w:val="24"/>
      <w:lang w:eastAsia="ko-KR"/>
    </w:rPr>
  </w:style>
  <w:style w:type="character" w:customStyle="1" w:styleId="CharChar211">
    <w:name w:val="Char Char211"/>
    <w:rsid w:val="00060470"/>
    <w:rPr>
      <w:rFonts w:ascii="Arial Armenian" w:hAnsi="Arial Armenian"/>
      <w:i/>
      <w:sz w:val="22"/>
      <w:u w:val="single"/>
      <w:lang w:val="en-GB" w:eastAsia="en-US" w:bidi="ar-SA"/>
    </w:rPr>
  </w:style>
  <w:style w:type="character" w:customStyle="1" w:styleId="CharChar201">
    <w:name w:val="Char Char201"/>
    <w:rsid w:val="00060470"/>
    <w:rPr>
      <w:rFonts w:ascii="Garamond" w:hAnsi="Garamond"/>
      <w:i/>
      <w:spacing w:val="-5"/>
      <w:sz w:val="28"/>
      <w:lang w:val="en-GB" w:eastAsia="en-US" w:bidi="ar-SA"/>
    </w:rPr>
  </w:style>
  <w:style w:type="paragraph" w:customStyle="1" w:styleId="CM33">
    <w:name w:val="CM33"/>
    <w:basedOn w:val="Normal"/>
    <w:next w:val="Normal"/>
    <w:rsid w:val="00060470"/>
    <w:pPr>
      <w:widowControl w:val="0"/>
      <w:autoSpaceDE w:val="0"/>
      <w:autoSpaceDN w:val="0"/>
      <w:adjustRightInd w:val="0"/>
      <w:spacing w:before="0" w:after="343" w:line="240" w:lineRule="auto"/>
      <w:jc w:val="left"/>
    </w:pPr>
    <w:rPr>
      <w:rFonts w:ascii="Arial Armenian" w:hAnsi="Arial Armenian" w:cs="Arial Armenian"/>
      <w:sz w:val="24"/>
      <w:lang w:val="en-US" w:eastAsia="en-US"/>
    </w:rPr>
  </w:style>
  <w:style w:type="paragraph" w:customStyle="1" w:styleId="listparagraphcxspmiddle">
    <w:name w:val="listparagraphcxspmiddle"/>
    <w:basedOn w:val="Normal"/>
    <w:rsid w:val="00060470"/>
    <w:pPr>
      <w:spacing w:before="100" w:beforeAutospacing="1" w:after="100" w:afterAutospacing="1" w:line="240" w:lineRule="auto"/>
      <w:jc w:val="left"/>
    </w:pPr>
    <w:rPr>
      <w:rFonts w:ascii="Times New Roman" w:hAnsi="Times New Roman"/>
      <w:sz w:val="24"/>
      <w:lang w:val="en-US" w:eastAsia="en-US"/>
    </w:rPr>
  </w:style>
  <w:style w:type="paragraph" w:customStyle="1" w:styleId="listparagraphcxsplast">
    <w:name w:val="listparagraphcxsplast"/>
    <w:basedOn w:val="Normal"/>
    <w:rsid w:val="00060470"/>
    <w:pPr>
      <w:spacing w:before="100" w:beforeAutospacing="1" w:after="100" w:afterAutospacing="1" w:line="240" w:lineRule="auto"/>
      <w:jc w:val="left"/>
    </w:pPr>
    <w:rPr>
      <w:rFonts w:ascii="Times New Roman" w:hAnsi="Times New Roman"/>
      <w:sz w:val="24"/>
      <w:lang w:val="en-US" w:eastAsia="en-US"/>
    </w:rPr>
  </w:style>
  <w:style w:type="paragraph" w:customStyle="1" w:styleId="CharCharCharCharChar3">
    <w:name w:val="Знак Char Char Знак Char Char Char"/>
    <w:aliases w:val=" Знак Char Char Знак Char Char1 Знак,Знак Char Char Знак Char Char1 Знак, Знак Char Char Знак Char Char Char,Знак Char Char Знак Char Char Char1"/>
    <w:basedOn w:val="Normal"/>
    <w:next w:val="Normal"/>
    <w:semiHidden/>
    <w:rsid w:val="00060470"/>
    <w:pPr>
      <w:spacing w:before="0" w:after="160" w:line="240" w:lineRule="exact"/>
    </w:pPr>
    <w:rPr>
      <w:rFonts w:ascii="Arial" w:hAnsi="Arial" w:cs="Arial"/>
      <w:b w:val="0"/>
      <w:sz w:val="20"/>
      <w:szCs w:val="20"/>
      <w:lang w:val="en-GB" w:eastAsia="en-US"/>
    </w:rPr>
  </w:style>
  <w:style w:type="character" w:customStyle="1" w:styleId="BodyTextFirstIndentChar1">
    <w:name w:val="Body Text First Indent Char1"/>
    <w:rsid w:val="00060470"/>
    <w:rPr>
      <w:rFonts w:ascii="Times Armenian" w:hAnsi="Times Armenian"/>
      <w:sz w:val="24"/>
      <w:szCs w:val="24"/>
      <w:lang w:val="ru-RU" w:eastAsia="ru-RU" w:bidi="ar-SA"/>
    </w:rPr>
  </w:style>
  <w:style w:type="character" w:customStyle="1" w:styleId="CommentSubjectChar1">
    <w:name w:val="Comment Subject Char1"/>
    <w:rsid w:val="00060470"/>
    <w:rPr>
      <w:rFonts w:ascii="Courier New" w:hAnsi="Courier New"/>
      <w:b/>
      <w:bCs/>
      <w:lang w:val="en-US" w:eastAsia="en-US" w:bidi="ar-SA"/>
    </w:rPr>
  </w:style>
  <w:style w:type="paragraph" w:customStyle="1" w:styleId="CharCharChar1CharCharCharCharCharCharCharCharCharCharCharCharCharCharChar">
    <w:name w:val="Char Char Char1 Char Char Char Char Char Char Char Char Char Char Char Char Char Char Char"/>
    <w:basedOn w:val="Normal"/>
    <w:rsid w:val="00060470"/>
    <w:pPr>
      <w:spacing w:before="0" w:after="160" w:line="240" w:lineRule="exact"/>
      <w:jc w:val="left"/>
    </w:pPr>
    <w:rPr>
      <w:rFonts w:ascii="Verdana" w:eastAsia="MS Mincho" w:hAnsi="Verdana"/>
      <w:sz w:val="20"/>
      <w:szCs w:val="20"/>
      <w:lang w:val="en-GB" w:eastAsia="en-US"/>
    </w:rPr>
  </w:style>
  <w:style w:type="character" w:customStyle="1" w:styleId="textexposedshow">
    <w:name w:val="text_exposed_show"/>
    <w:rsid w:val="00060470"/>
    <w:rPr>
      <w:rFonts w:cs="Times New Roman"/>
    </w:rPr>
  </w:style>
  <w:style w:type="paragraph" w:customStyle="1" w:styleId="formtext">
    <w:name w:val="formtext"/>
    <w:basedOn w:val="Normal"/>
    <w:rsid w:val="00060470"/>
    <w:pPr>
      <w:spacing w:after="120" w:line="240" w:lineRule="exact"/>
      <w:jc w:val="left"/>
    </w:pPr>
    <w:rPr>
      <w:rFonts w:ascii="Arial" w:eastAsia="SimSun" w:hAnsi="Arial"/>
      <w:szCs w:val="22"/>
      <w:lang w:val="en-US" w:eastAsia="fr-FR"/>
    </w:rPr>
  </w:style>
  <w:style w:type="paragraph" w:customStyle="1" w:styleId="italic">
    <w:name w:val="italic"/>
    <w:basedOn w:val="Normal"/>
    <w:rsid w:val="00060470"/>
    <w:pPr>
      <w:spacing w:before="100" w:beforeAutospacing="1" w:after="100" w:afterAutospacing="1" w:line="240" w:lineRule="auto"/>
      <w:jc w:val="left"/>
    </w:pPr>
    <w:rPr>
      <w:rFonts w:ascii="Calibri" w:hAnsi="Calibri" w:cs="Calibri"/>
      <w:sz w:val="24"/>
      <w:lang w:val="en-US" w:eastAsia="en-US"/>
    </w:rPr>
  </w:style>
  <w:style w:type="paragraph" w:customStyle="1" w:styleId="ecxmsonormal">
    <w:name w:val="ecxmsonormal"/>
    <w:basedOn w:val="Normal"/>
    <w:rsid w:val="00060470"/>
    <w:pPr>
      <w:spacing w:before="100" w:beforeAutospacing="1" w:after="100" w:afterAutospacing="1" w:line="240" w:lineRule="auto"/>
      <w:jc w:val="left"/>
    </w:pPr>
    <w:rPr>
      <w:rFonts w:ascii="Calibri" w:hAnsi="Calibri" w:cs="Calibri"/>
      <w:sz w:val="24"/>
      <w:lang w:val="en-US" w:eastAsia="en-US"/>
    </w:rPr>
  </w:style>
  <w:style w:type="paragraph" w:customStyle="1" w:styleId="CharCharChar3">
    <w:name w:val="Char Char Char Знак Знак Знак Знак Знак"/>
    <w:basedOn w:val="Normal"/>
    <w:rsid w:val="00060470"/>
    <w:pPr>
      <w:spacing w:before="0" w:after="160" w:line="240" w:lineRule="exact"/>
      <w:jc w:val="left"/>
    </w:pPr>
    <w:rPr>
      <w:rFonts w:ascii="Arial" w:hAnsi="Arial" w:cs="Arial"/>
      <w:color w:val="000000"/>
      <w:sz w:val="20"/>
      <w:szCs w:val="20"/>
      <w:lang w:val="en-GB" w:eastAsia="en-US"/>
    </w:rPr>
  </w:style>
  <w:style w:type="character" w:customStyle="1" w:styleId="title1">
    <w:name w:val="title1"/>
    <w:rsid w:val="00060470"/>
    <w:rPr>
      <w:rFonts w:ascii="Verdana" w:hAnsi="Verdana"/>
      <w:b/>
      <w:color w:val="000000"/>
      <w:sz w:val="12"/>
      <w:u w:val="none"/>
      <w:effect w:val="none"/>
    </w:rPr>
  </w:style>
  <w:style w:type="character" w:customStyle="1" w:styleId="st">
    <w:name w:val="st"/>
    <w:rsid w:val="00060470"/>
    <w:rPr>
      <w:rFonts w:cs="Times New Roman"/>
    </w:rPr>
  </w:style>
  <w:style w:type="paragraph" w:customStyle="1" w:styleId="bodytext0">
    <w:name w:val="bodytext"/>
    <w:basedOn w:val="Normal"/>
    <w:rsid w:val="00060470"/>
    <w:pPr>
      <w:spacing w:before="100" w:beforeAutospacing="1" w:after="100" w:afterAutospacing="1" w:line="240" w:lineRule="auto"/>
      <w:jc w:val="left"/>
    </w:pPr>
    <w:rPr>
      <w:rFonts w:ascii="Calibri" w:hAnsi="Calibri" w:cs="Calibri"/>
      <w:sz w:val="24"/>
      <w:lang w:val="en-US" w:eastAsia="en-US"/>
    </w:rPr>
  </w:style>
  <w:style w:type="character" w:customStyle="1" w:styleId="CharChar2">
    <w:name w:val="Char Char2"/>
    <w:rsid w:val="00060470"/>
    <w:rPr>
      <w:rFonts w:ascii="Calibri" w:hAnsi="Calibri" w:cs="Calibri"/>
      <w:sz w:val="22"/>
      <w:szCs w:val="22"/>
      <w:lang w:val="en-US" w:eastAsia="en-US"/>
    </w:rPr>
  </w:style>
  <w:style w:type="paragraph" w:customStyle="1" w:styleId="num02">
    <w:name w:val="Énum02"/>
    <w:basedOn w:val="Normal"/>
    <w:rsid w:val="00060470"/>
    <w:pPr>
      <w:numPr>
        <w:numId w:val="8"/>
      </w:numPr>
      <w:spacing w:before="0" w:after="120" w:line="260" w:lineRule="exact"/>
    </w:pPr>
    <w:rPr>
      <w:rFonts w:ascii="Arial" w:hAnsi="Arial" w:cs="Arial"/>
      <w:szCs w:val="22"/>
      <w:lang w:val="en-US" w:eastAsia="fr-FR"/>
    </w:rPr>
  </w:style>
  <w:style w:type="character" w:customStyle="1" w:styleId="arg">
    <w:name w:val="arg"/>
    <w:rsid w:val="00060470"/>
    <w:rPr>
      <w:rFonts w:cs="Times New Roman"/>
    </w:rPr>
  </w:style>
  <w:style w:type="character" w:customStyle="1" w:styleId="fulltext">
    <w:name w:val="fulltext"/>
    <w:rsid w:val="00060470"/>
    <w:rPr>
      <w:rFonts w:cs="Times New Roman"/>
    </w:rPr>
  </w:style>
  <w:style w:type="paragraph" w:customStyle="1" w:styleId="innewsdate">
    <w:name w:val="in_news_date"/>
    <w:basedOn w:val="Normal"/>
    <w:rsid w:val="00060470"/>
    <w:pPr>
      <w:spacing w:before="100" w:beforeAutospacing="1" w:after="100" w:afterAutospacing="1" w:line="240" w:lineRule="auto"/>
      <w:jc w:val="left"/>
    </w:pPr>
    <w:rPr>
      <w:rFonts w:ascii="Times New Roman" w:hAnsi="Times New Roman"/>
      <w:sz w:val="24"/>
      <w:lang w:val="en-US" w:eastAsia="en-US"/>
    </w:rPr>
  </w:style>
  <w:style w:type="character" w:customStyle="1" w:styleId="gr">
    <w:name w:val="gr"/>
    <w:rsid w:val="00060470"/>
    <w:rPr>
      <w:rFonts w:cs="Times New Roman"/>
    </w:rPr>
  </w:style>
  <w:style w:type="character" w:customStyle="1" w:styleId="opennewstext">
    <w:name w:val="opennewstext"/>
    <w:rsid w:val="00060470"/>
    <w:rPr>
      <w:rFonts w:cs="Times New Roman"/>
    </w:rPr>
  </w:style>
  <w:style w:type="character" w:customStyle="1" w:styleId="fulltext0">
    <w:name w:val="full_text"/>
    <w:rsid w:val="00060470"/>
    <w:rPr>
      <w:rFonts w:cs="Times New Roman"/>
    </w:rPr>
  </w:style>
  <w:style w:type="character" w:customStyle="1" w:styleId="wrc116">
    <w:name w:val="wrc116"/>
    <w:rsid w:val="00060470"/>
    <w:rPr>
      <w:rFonts w:cs="Times New Roman"/>
      <w:vanish/>
    </w:rPr>
  </w:style>
  <w:style w:type="character" w:customStyle="1" w:styleId="editsection">
    <w:name w:val="editsection"/>
    <w:rsid w:val="00060470"/>
    <w:rPr>
      <w:rFonts w:cs="Times New Roman"/>
    </w:rPr>
  </w:style>
  <w:style w:type="character" w:customStyle="1" w:styleId="mw-headline">
    <w:name w:val="mw-headline"/>
    <w:rsid w:val="00060470"/>
    <w:rPr>
      <w:rFonts w:cs="Times New Roman"/>
    </w:rPr>
  </w:style>
  <w:style w:type="paragraph" w:styleId="ListNumber">
    <w:name w:val="List Number"/>
    <w:basedOn w:val="Normal"/>
    <w:rsid w:val="00060470"/>
    <w:pPr>
      <w:numPr>
        <w:numId w:val="9"/>
      </w:numPr>
      <w:spacing w:before="0" w:line="240" w:lineRule="auto"/>
      <w:jc w:val="left"/>
    </w:pPr>
    <w:rPr>
      <w:rFonts w:ascii="Times New Roman" w:hAnsi="Times New Roman"/>
      <w:sz w:val="24"/>
      <w:lang w:val="en-US" w:eastAsia="en-US"/>
    </w:rPr>
  </w:style>
  <w:style w:type="character" w:customStyle="1" w:styleId="il">
    <w:name w:val="il"/>
    <w:rsid w:val="00060470"/>
  </w:style>
  <w:style w:type="paragraph" w:customStyle="1" w:styleId="Listenabsatz">
    <w:name w:val="Listenabsatz"/>
    <w:basedOn w:val="Normal"/>
    <w:rsid w:val="00060470"/>
    <w:pPr>
      <w:spacing w:before="0" w:line="240" w:lineRule="auto"/>
      <w:ind w:left="720"/>
      <w:jc w:val="left"/>
    </w:pPr>
    <w:rPr>
      <w:rFonts w:ascii="Cambria" w:hAnsi="Cambria"/>
      <w:sz w:val="24"/>
      <w:lang w:val="de-DE" w:eastAsia="en-US"/>
    </w:rPr>
  </w:style>
  <w:style w:type="paragraph" w:customStyle="1" w:styleId="Style5">
    <w:name w:val="Style5"/>
    <w:basedOn w:val="TOC3"/>
    <w:autoRedefine/>
    <w:rsid w:val="00060470"/>
    <w:pPr>
      <w:tabs>
        <w:tab w:val="right" w:leader="dot" w:pos="10200"/>
      </w:tabs>
      <w:spacing w:before="0" w:line="240" w:lineRule="auto"/>
      <w:ind w:left="142"/>
    </w:pPr>
    <w:rPr>
      <w:rFonts w:cs="Sylfaen"/>
      <w:b w:val="0"/>
      <w:noProof/>
      <w:sz w:val="20"/>
      <w:lang w:val="en-US" w:eastAsia="en-US"/>
    </w:rPr>
  </w:style>
  <w:style w:type="paragraph" w:customStyle="1" w:styleId="Style7">
    <w:name w:val="Style7"/>
    <w:basedOn w:val="TOC3"/>
    <w:autoRedefine/>
    <w:rsid w:val="00060470"/>
    <w:pPr>
      <w:tabs>
        <w:tab w:val="right" w:leader="dot" w:pos="10200"/>
      </w:tabs>
      <w:spacing w:before="0" w:line="240" w:lineRule="auto"/>
      <w:ind w:left="142"/>
    </w:pPr>
    <w:rPr>
      <w:rFonts w:cs="Sylfaen"/>
      <w:b w:val="0"/>
      <w:noProof/>
      <w:sz w:val="20"/>
      <w:lang w:val="en-US" w:eastAsia="en-US"/>
    </w:rPr>
  </w:style>
  <w:style w:type="paragraph" w:customStyle="1" w:styleId="Style8">
    <w:name w:val="Style8"/>
    <w:basedOn w:val="TOC1"/>
    <w:autoRedefine/>
    <w:rsid w:val="00060470"/>
    <w:pPr>
      <w:tabs>
        <w:tab w:val="right" w:leader="dot" w:pos="10200"/>
      </w:tabs>
      <w:spacing w:before="240" w:after="120" w:line="240" w:lineRule="auto"/>
      <w:jc w:val="left"/>
    </w:pPr>
    <w:rPr>
      <w:b w:val="0"/>
      <w:i/>
      <w:noProof/>
      <w:sz w:val="24"/>
      <w:lang w:val="en-US" w:eastAsia="en-US"/>
    </w:rPr>
  </w:style>
  <w:style w:type="paragraph" w:customStyle="1" w:styleId="Style9">
    <w:name w:val="Style9"/>
    <w:basedOn w:val="TOC1"/>
    <w:autoRedefine/>
    <w:rsid w:val="00060470"/>
    <w:pPr>
      <w:tabs>
        <w:tab w:val="right" w:leader="dot" w:pos="10200"/>
      </w:tabs>
      <w:spacing w:before="240" w:after="120" w:line="240" w:lineRule="auto"/>
      <w:jc w:val="left"/>
    </w:pPr>
    <w:rPr>
      <w:b w:val="0"/>
      <w:noProof/>
      <w:sz w:val="24"/>
      <w:lang w:val="en-US" w:eastAsia="en-US"/>
    </w:rPr>
  </w:style>
  <w:style w:type="character" w:customStyle="1" w:styleId="CharChar5">
    <w:name w:val="Char Char5"/>
    <w:rsid w:val="00060470"/>
    <w:rPr>
      <w:rFonts w:ascii="Arial Armenian" w:hAnsi="Arial Armenian" w:cs="Sylfaen"/>
      <w:sz w:val="24"/>
      <w:szCs w:val="24"/>
      <w:lang w:val="ru-RU" w:eastAsia="ru-RU"/>
    </w:rPr>
  </w:style>
  <w:style w:type="character" w:customStyle="1" w:styleId="CharChar171">
    <w:name w:val="Char Char171"/>
    <w:rsid w:val="00060470"/>
    <w:rPr>
      <w:rFonts w:ascii="Arial Armenian" w:hAnsi="Arial Armenian"/>
      <w:i/>
      <w:sz w:val="22"/>
      <w:u w:val="single"/>
      <w:lang w:val="en-GB" w:eastAsia="en-US" w:bidi="ar-SA"/>
    </w:rPr>
  </w:style>
  <w:style w:type="paragraph" w:customStyle="1" w:styleId="text0">
    <w:name w:val="text"/>
    <w:basedOn w:val="Normal"/>
    <w:link w:val="textChar0"/>
    <w:rsid w:val="00060470"/>
    <w:pPr>
      <w:spacing w:before="0" w:line="240" w:lineRule="auto"/>
      <w:ind w:firstLine="454"/>
    </w:pPr>
    <w:rPr>
      <w:rFonts w:ascii="GHEA Mariam" w:hAnsi="GHEA Mariam"/>
      <w:sz w:val="20"/>
      <w:szCs w:val="20"/>
      <w:lang w:val="en-GB"/>
    </w:rPr>
  </w:style>
  <w:style w:type="character" w:customStyle="1" w:styleId="textChar0">
    <w:name w:val="text Char"/>
    <w:link w:val="text0"/>
    <w:rsid w:val="00060470"/>
    <w:rPr>
      <w:rFonts w:ascii="GHEA Mariam" w:hAnsi="GHEA Mariam"/>
      <w:lang w:val="en-GB" w:eastAsia="ru-RU"/>
    </w:rPr>
  </w:style>
  <w:style w:type="paragraph" w:customStyle="1" w:styleId="Char40">
    <w:name w:val="Char4"/>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p2">
    <w:name w:val="p2"/>
    <w:basedOn w:val="Normal"/>
    <w:rsid w:val="00060470"/>
    <w:pPr>
      <w:spacing w:before="100" w:beforeAutospacing="1" w:after="100" w:afterAutospacing="1" w:line="240" w:lineRule="auto"/>
      <w:jc w:val="left"/>
    </w:pPr>
    <w:rPr>
      <w:rFonts w:ascii="Times New Roman" w:eastAsia="Calibri" w:hAnsi="Times New Roman"/>
      <w:sz w:val="24"/>
      <w:lang w:val="en-US" w:eastAsia="en-US"/>
    </w:rPr>
  </w:style>
  <w:style w:type="paragraph" w:customStyle="1" w:styleId="Char30">
    <w:name w:val="Char3"/>
    <w:basedOn w:val="Normal"/>
    <w:rsid w:val="00060470"/>
    <w:pPr>
      <w:spacing w:before="0" w:after="160" w:line="240" w:lineRule="exact"/>
      <w:jc w:val="left"/>
    </w:pPr>
    <w:rPr>
      <w:rFonts w:ascii="Arial" w:eastAsia="Calibri" w:hAnsi="Arial" w:cs="Arial"/>
      <w:sz w:val="20"/>
      <w:szCs w:val="20"/>
      <w:lang w:val="en-US" w:eastAsia="en-US"/>
    </w:rPr>
  </w:style>
  <w:style w:type="character" w:customStyle="1" w:styleId="32ptExact">
    <w:name w:val="Основной текст (3) + Интервал 2 pt Exact"/>
    <w:rsid w:val="00060470"/>
    <w:rPr>
      <w:rFonts w:ascii="Sylfaen" w:hAnsi="Sylfaen" w:cs="Sylfaen"/>
      <w:spacing w:val="40"/>
      <w:sz w:val="20"/>
      <w:szCs w:val="20"/>
      <w:u w:val="none"/>
      <w:lang w:val="ru-RU" w:eastAsia="ru-RU"/>
    </w:rPr>
  </w:style>
  <w:style w:type="paragraph" w:customStyle="1" w:styleId="CharCharCharCharChar4">
    <w:name w:val="Char Char Char Знак Знак Char Char Знак Знак"/>
    <w:basedOn w:val="Normal"/>
    <w:rsid w:val="00060470"/>
    <w:pPr>
      <w:spacing w:before="0" w:after="160" w:line="240" w:lineRule="exact"/>
      <w:jc w:val="left"/>
    </w:pPr>
    <w:rPr>
      <w:rFonts w:ascii="Arial" w:hAnsi="Arial" w:cs="Arial"/>
      <w:sz w:val="20"/>
      <w:szCs w:val="20"/>
      <w:lang w:val="en-US" w:eastAsia="en-US"/>
    </w:rPr>
  </w:style>
  <w:style w:type="paragraph" w:customStyle="1" w:styleId="CharCharCharCharCharChar0">
    <w:name w:val="Char Char Char Char Char Char"/>
    <w:basedOn w:val="Normal"/>
    <w:rsid w:val="00060470"/>
    <w:pPr>
      <w:spacing w:before="0" w:after="160" w:line="240" w:lineRule="exact"/>
      <w:jc w:val="left"/>
    </w:pPr>
    <w:rPr>
      <w:rFonts w:ascii="Arial" w:hAnsi="Arial" w:cs="Arial"/>
      <w:sz w:val="20"/>
      <w:szCs w:val="20"/>
      <w:lang w:val="en-US" w:eastAsia="en-US"/>
    </w:rPr>
  </w:style>
  <w:style w:type="character" w:customStyle="1" w:styleId="BodyTextIndent3Char1">
    <w:name w:val="Body Text Indent 3 Char1"/>
    <w:uiPriority w:val="99"/>
    <w:locked/>
    <w:rsid w:val="00060470"/>
    <w:rPr>
      <w:rFonts w:ascii="Times New Roman" w:hAnsi="Times New Roman"/>
      <w:sz w:val="16"/>
    </w:rPr>
  </w:style>
  <w:style w:type="character" w:customStyle="1" w:styleId="PlainTextChar1">
    <w:name w:val="Plain Text Char1"/>
    <w:uiPriority w:val="99"/>
    <w:locked/>
    <w:rsid w:val="00060470"/>
    <w:rPr>
      <w:rFonts w:ascii="Courier New" w:hAnsi="Courier New"/>
      <w:sz w:val="20"/>
    </w:rPr>
  </w:style>
  <w:style w:type="character" w:customStyle="1" w:styleId="CommentTextChar1">
    <w:name w:val="Comment Text Char1"/>
    <w:uiPriority w:val="99"/>
    <w:locked/>
    <w:rsid w:val="00060470"/>
    <w:rPr>
      <w:rFonts w:ascii="Times New Roman" w:hAnsi="Times New Roman"/>
      <w:sz w:val="20"/>
      <w:lang w:val="en-GB"/>
    </w:rPr>
  </w:style>
  <w:style w:type="character" w:customStyle="1" w:styleId="SubtitleChar1">
    <w:name w:val="Subtitle Char1"/>
    <w:uiPriority w:val="99"/>
    <w:locked/>
    <w:rsid w:val="00060470"/>
    <w:rPr>
      <w:rFonts w:ascii="Times LatArm" w:hAnsi="Times LatArm"/>
      <w:b/>
      <w:sz w:val="24"/>
    </w:rPr>
  </w:style>
  <w:style w:type="character" w:customStyle="1" w:styleId="BalloonTextChar1">
    <w:name w:val="Balloon Text Char1"/>
    <w:uiPriority w:val="99"/>
    <w:locked/>
    <w:rsid w:val="00060470"/>
    <w:rPr>
      <w:rFonts w:ascii="Tahoma" w:hAnsi="Tahoma"/>
      <w:sz w:val="16"/>
    </w:rPr>
  </w:style>
  <w:style w:type="character" w:customStyle="1" w:styleId="EndnoteTextChar1">
    <w:name w:val="Endnote Text Char1"/>
    <w:uiPriority w:val="99"/>
    <w:semiHidden/>
    <w:locked/>
    <w:rsid w:val="00060470"/>
    <w:rPr>
      <w:rFonts w:ascii="Times New Roman" w:hAnsi="Times New Roman"/>
      <w:sz w:val="20"/>
      <w:lang w:val="en-GB"/>
    </w:rPr>
  </w:style>
  <w:style w:type="character" w:customStyle="1" w:styleId="estilo2">
    <w:name w:val="estilo2"/>
    <w:uiPriority w:val="99"/>
    <w:rsid w:val="00060470"/>
  </w:style>
  <w:style w:type="character" w:customStyle="1" w:styleId="CharChar3">
    <w:name w:val="Char Char3"/>
    <w:uiPriority w:val="99"/>
    <w:locked/>
    <w:rsid w:val="00060470"/>
    <w:rPr>
      <w:rFonts w:cs="Times New Roman"/>
      <w:sz w:val="22"/>
      <w:lang w:val="en-GB" w:eastAsia="en-US" w:bidi="ar-SA"/>
    </w:rPr>
  </w:style>
  <w:style w:type="character" w:customStyle="1" w:styleId="CharChar51">
    <w:name w:val="Char Char51"/>
    <w:uiPriority w:val="99"/>
    <w:locked/>
    <w:rsid w:val="00060470"/>
    <w:rPr>
      <w:sz w:val="22"/>
      <w:lang w:val="en-GB" w:eastAsia="en-US"/>
    </w:rPr>
  </w:style>
  <w:style w:type="paragraph" w:customStyle="1" w:styleId="Numberedtext">
    <w:name w:val="Numbered text"/>
    <w:basedOn w:val="BodyText"/>
    <w:uiPriority w:val="99"/>
    <w:rsid w:val="00060470"/>
    <w:pPr>
      <w:numPr>
        <w:numId w:val="10"/>
      </w:numPr>
      <w:tabs>
        <w:tab w:val="clear" w:pos="1004"/>
        <w:tab w:val="num" w:pos="360"/>
      </w:tabs>
      <w:spacing w:before="0" w:after="120" w:line="240" w:lineRule="auto"/>
      <w:ind w:left="0" w:firstLine="0"/>
      <w:jc w:val="both"/>
    </w:pPr>
    <w:rPr>
      <w:rFonts w:ascii="Calibri" w:hAnsi="Calibri" w:cs="Calibri"/>
      <w:sz w:val="24"/>
      <w:szCs w:val="24"/>
      <w:lang w:eastAsia="en-NZ"/>
    </w:rPr>
  </w:style>
  <w:style w:type="character" w:customStyle="1" w:styleId="DocumentMapChar1">
    <w:name w:val="Document Map Char1"/>
    <w:link w:val="DocumentMap1"/>
    <w:uiPriority w:val="99"/>
    <w:locked/>
    <w:rsid w:val="00060470"/>
    <w:rPr>
      <w:rFonts w:ascii="Tahoma" w:eastAsia="Times New Roman" w:hAnsi="Tahoma" w:cs="Times New Roman"/>
      <w:sz w:val="24"/>
      <w:szCs w:val="20"/>
      <w:shd w:val="clear" w:color="auto" w:fill="000080"/>
      <w:lang w:val="en-GB" w:eastAsia="ru-RU"/>
    </w:rPr>
  </w:style>
  <w:style w:type="paragraph" w:styleId="TOCHeading">
    <w:name w:val="TOC Heading"/>
    <w:basedOn w:val="Heading1"/>
    <w:next w:val="Normal"/>
    <w:uiPriority w:val="39"/>
    <w:qFormat/>
    <w:rsid w:val="00060470"/>
    <w:pPr>
      <w:keepLines/>
      <w:spacing w:before="480"/>
      <w:outlineLvl w:val="9"/>
    </w:pPr>
    <w:rPr>
      <w:rFonts w:ascii="Cambria" w:hAnsi="Cambria"/>
      <w:bCs w:val="0"/>
      <w:color w:val="365F91"/>
      <w:szCs w:val="28"/>
    </w:rPr>
  </w:style>
  <w:style w:type="character" w:customStyle="1" w:styleId="FontStyle32">
    <w:name w:val="Font Style32"/>
    <w:uiPriority w:val="99"/>
    <w:rsid w:val="00060470"/>
    <w:rPr>
      <w:rFonts w:ascii="Tahoma" w:hAnsi="Tahoma" w:cs="Tahoma"/>
      <w:sz w:val="20"/>
      <w:szCs w:val="20"/>
    </w:rPr>
  </w:style>
  <w:style w:type="paragraph" w:customStyle="1" w:styleId="Text2">
    <w:name w:val="Text 2"/>
    <w:basedOn w:val="Normal"/>
    <w:rsid w:val="00060470"/>
    <w:pPr>
      <w:spacing w:after="120" w:line="240" w:lineRule="auto"/>
      <w:ind w:left="850"/>
    </w:pPr>
    <w:rPr>
      <w:rFonts w:ascii="Times New Roman" w:hAnsi="Times New Roman"/>
      <w:sz w:val="24"/>
      <w:lang w:val="en-GB" w:eastAsia="zh-CN"/>
    </w:rPr>
  </w:style>
  <w:style w:type="paragraph" w:customStyle="1" w:styleId="article-type">
    <w:name w:val="article-type"/>
    <w:basedOn w:val="Normal"/>
    <w:rsid w:val="00060470"/>
    <w:pPr>
      <w:spacing w:before="100" w:beforeAutospacing="1" w:after="100" w:afterAutospacing="1" w:line="240" w:lineRule="auto"/>
      <w:jc w:val="left"/>
    </w:pPr>
    <w:rPr>
      <w:rFonts w:ascii="Times New Roman" w:hAnsi="Times New Roman"/>
      <w:sz w:val="24"/>
    </w:rPr>
  </w:style>
  <w:style w:type="paragraph" w:customStyle="1" w:styleId="wpn-byline">
    <w:name w:val="wpn-byline"/>
    <w:basedOn w:val="Normal"/>
    <w:rsid w:val="00060470"/>
    <w:pPr>
      <w:spacing w:before="100" w:beforeAutospacing="1" w:after="100" w:afterAutospacing="1" w:line="240" w:lineRule="auto"/>
      <w:jc w:val="left"/>
    </w:pPr>
    <w:rPr>
      <w:rFonts w:ascii="Times New Roman" w:hAnsi="Times New Roman"/>
      <w:sz w:val="24"/>
    </w:rPr>
  </w:style>
  <w:style w:type="paragraph" w:customStyle="1" w:styleId="headline10margin-bottom-20">
    <w:name w:val="headline10 margin-bottom-20"/>
    <w:basedOn w:val="Normal"/>
    <w:rsid w:val="00060470"/>
    <w:pPr>
      <w:spacing w:before="100" w:beforeAutospacing="1" w:after="100" w:afterAutospacing="1" w:line="240" w:lineRule="auto"/>
      <w:jc w:val="left"/>
    </w:pPr>
    <w:rPr>
      <w:rFonts w:ascii="Times New Roman" w:hAnsi="Times New Roman"/>
      <w:sz w:val="24"/>
    </w:rPr>
  </w:style>
  <w:style w:type="character" w:customStyle="1" w:styleId="published">
    <w:name w:val="published"/>
    <w:rsid w:val="00060470"/>
  </w:style>
  <w:style w:type="character" w:customStyle="1" w:styleId="divider">
    <w:name w:val="divider"/>
    <w:rsid w:val="00060470"/>
  </w:style>
  <w:style w:type="character" w:customStyle="1" w:styleId="authorvcard">
    <w:name w:val="author vcard"/>
    <w:rsid w:val="00060470"/>
  </w:style>
  <w:style w:type="character" w:customStyle="1" w:styleId="category">
    <w:name w:val="category"/>
    <w:rsid w:val="00060470"/>
  </w:style>
  <w:style w:type="character" w:customStyle="1" w:styleId="before">
    <w:name w:val="before"/>
    <w:rsid w:val="00060470"/>
  </w:style>
  <w:style w:type="character" w:customStyle="1" w:styleId="aqj">
    <w:name w:val="aqj"/>
    <w:rsid w:val="00060470"/>
  </w:style>
  <w:style w:type="character" w:customStyle="1" w:styleId="gd">
    <w:name w:val="gd"/>
    <w:rsid w:val="00060470"/>
  </w:style>
  <w:style w:type="character" w:customStyle="1" w:styleId="g3">
    <w:name w:val="g3"/>
    <w:rsid w:val="00060470"/>
  </w:style>
  <w:style w:type="character" w:customStyle="1" w:styleId="goa1h">
    <w:name w:val="go a1h"/>
    <w:rsid w:val="00060470"/>
  </w:style>
  <w:style w:type="character" w:customStyle="1" w:styleId="hb">
    <w:name w:val="hb"/>
    <w:rsid w:val="00060470"/>
  </w:style>
  <w:style w:type="character" w:customStyle="1" w:styleId="g2">
    <w:name w:val="g2"/>
    <w:rsid w:val="00060470"/>
  </w:style>
  <w:style w:type="character" w:customStyle="1" w:styleId="sizzle">
    <w:name w:val="sizzle"/>
    <w:rsid w:val="00060470"/>
  </w:style>
  <w:style w:type="paragraph" w:customStyle="1" w:styleId="112">
    <w:name w:val="Абзац списка11"/>
    <w:basedOn w:val="Normal"/>
    <w:uiPriority w:val="99"/>
    <w:qFormat/>
    <w:rsid w:val="00060470"/>
    <w:pPr>
      <w:spacing w:before="0" w:line="240" w:lineRule="auto"/>
      <w:ind w:left="720"/>
      <w:jc w:val="left"/>
    </w:pPr>
    <w:rPr>
      <w:rFonts w:ascii="Times New Roman" w:hAnsi="Times New Roman"/>
      <w:sz w:val="24"/>
      <w:lang w:val="en-US" w:eastAsia="en-US"/>
    </w:rPr>
  </w:style>
  <w:style w:type="paragraph" w:customStyle="1" w:styleId="StyleGHEAGrapalatJustifiedAfter6ptLinespacingMultip">
    <w:name w:val="Style GHEA Grapalat Justified After:  6 pt Line spacing:  Multip..."/>
    <w:basedOn w:val="Normal"/>
    <w:rsid w:val="00060470"/>
    <w:pPr>
      <w:numPr>
        <w:numId w:val="11"/>
      </w:numPr>
      <w:spacing w:before="240" w:after="240" w:line="240" w:lineRule="auto"/>
    </w:pPr>
    <w:rPr>
      <w:sz w:val="24"/>
      <w:szCs w:val="20"/>
      <w:lang w:val="hy-AM"/>
    </w:rPr>
  </w:style>
  <w:style w:type="paragraph" w:customStyle="1" w:styleId="StyleStyleHeading2ChapterParanumTextSylfaenGHEAGrapa">
    <w:name w:val="Style Style Heading 2.(Chapter).Paranum.Text + Sylfaen + GHEA Grapa..."/>
    <w:basedOn w:val="StyleHeading2ChapterParanumTextSylfaen"/>
    <w:qFormat/>
    <w:rsid w:val="00060470"/>
    <w:rPr>
      <w:rFonts w:ascii="GHEA Grapalat" w:hAnsi="GHEA Grapalat"/>
      <w:sz w:val="22"/>
    </w:rPr>
  </w:style>
  <w:style w:type="paragraph" w:customStyle="1" w:styleId="18">
    <w:name w:val="Без интервала1"/>
    <w:link w:val="aa"/>
    <w:uiPriority w:val="1"/>
    <w:qFormat/>
    <w:rsid w:val="00060470"/>
    <w:rPr>
      <w:rFonts w:ascii="Calibri" w:hAnsi="Calibri"/>
      <w:sz w:val="22"/>
      <w:szCs w:val="22"/>
    </w:rPr>
  </w:style>
  <w:style w:type="character" w:customStyle="1" w:styleId="aa">
    <w:name w:val="Без интервала Знак"/>
    <w:link w:val="18"/>
    <w:rsid w:val="00060470"/>
    <w:rPr>
      <w:rFonts w:ascii="Calibri" w:hAnsi="Calibri"/>
      <w:sz w:val="22"/>
      <w:szCs w:val="22"/>
    </w:rPr>
  </w:style>
  <w:style w:type="paragraph" w:customStyle="1" w:styleId="113">
    <w:name w:val="Обычный11"/>
    <w:rsid w:val="00060470"/>
    <w:pPr>
      <w:autoSpaceDE w:val="0"/>
      <w:autoSpaceDN w:val="0"/>
    </w:pPr>
    <w:rPr>
      <w:lang w:val="ru-RU" w:eastAsia="ru-RU"/>
    </w:rPr>
  </w:style>
  <w:style w:type="paragraph" w:customStyle="1" w:styleId="32">
    <w:name w:val="???????? ????? ? ???????? 3"/>
    <w:basedOn w:val="a1"/>
    <w:uiPriority w:val="99"/>
    <w:rsid w:val="00060470"/>
    <w:pPr>
      <w:ind w:firstLine="360"/>
    </w:pPr>
    <w:rPr>
      <w:rFonts w:ascii="Times Armenian" w:hAnsi="Times Armenian"/>
      <w:sz w:val="24"/>
      <w:lang w:val="af-ZA"/>
    </w:rPr>
  </w:style>
  <w:style w:type="paragraph" w:customStyle="1" w:styleId="6">
    <w:name w:val="????????? 6"/>
    <w:basedOn w:val="a1"/>
    <w:next w:val="a1"/>
    <w:uiPriority w:val="99"/>
    <w:rsid w:val="00060470"/>
    <w:pPr>
      <w:keepNext/>
      <w:jc w:val="center"/>
      <w:outlineLvl w:val="5"/>
    </w:pPr>
    <w:rPr>
      <w:rFonts w:ascii="Times Armenian" w:hAnsi="Times Armenian"/>
      <w:i/>
      <w:lang w:val="en-US"/>
    </w:rPr>
  </w:style>
  <w:style w:type="paragraph" w:customStyle="1" w:styleId="310">
    <w:name w:val="???????? ????? 31"/>
    <w:basedOn w:val="a1"/>
    <w:uiPriority w:val="99"/>
    <w:rsid w:val="00060470"/>
    <w:pPr>
      <w:jc w:val="center"/>
    </w:pPr>
    <w:rPr>
      <w:rFonts w:ascii="Arial Armenian" w:hAnsi="Arial Armenian"/>
      <w:sz w:val="24"/>
      <w:lang w:val="en-AU"/>
    </w:rPr>
  </w:style>
  <w:style w:type="paragraph" w:customStyle="1" w:styleId="25">
    <w:name w:val="????????? 2"/>
    <w:basedOn w:val="a1"/>
    <w:next w:val="a1"/>
    <w:uiPriority w:val="99"/>
    <w:rsid w:val="00060470"/>
    <w:pPr>
      <w:keepNext/>
      <w:ind w:firstLine="720"/>
      <w:outlineLvl w:val="1"/>
    </w:pPr>
    <w:rPr>
      <w:rFonts w:ascii="Times LatArm" w:hAnsi="Times LatArm"/>
      <w:b/>
      <w:i/>
      <w:sz w:val="28"/>
      <w:lang w:val="en-US"/>
    </w:rPr>
  </w:style>
  <w:style w:type="paragraph" w:customStyle="1" w:styleId="40">
    <w:name w:val="????????? 4"/>
    <w:basedOn w:val="a1"/>
    <w:next w:val="a1"/>
    <w:uiPriority w:val="99"/>
    <w:rsid w:val="00060470"/>
    <w:pPr>
      <w:keepNext/>
      <w:spacing w:line="360" w:lineRule="auto"/>
      <w:ind w:firstLine="360"/>
      <w:outlineLvl w:val="3"/>
    </w:pPr>
    <w:rPr>
      <w:rFonts w:ascii="Times LatArm" w:hAnsi="Times LatArm"/>
      <w:i/>
      <w:noProof/>
      <w:sz w:val="24"/>
    </w:rPr>
  </w:style>
  <w:style w:type="paragraph" w:customStyle="1" w:styleId="19">
    <w:name w:val="????????? 1"/>
    <w:basedOn w:val="Normal"/>
    <w:next w:val="Normal"/>
    <w:rsid w:val="00060470"/>
    <w:pPr>
      <w:keepNext/>
      <w:spacing w:before="0" w:line="240" w:lineRule="auto"/>
      <w:outlineLvl w:val="0"/>
    </w:pPr>
    <w:rPr>
      <w:rFonts w:ascii="Times Armenian" w:hAnsi="Times Armenian"/>
      <w:i/>
      <w:sz w:val="24"/>
      <w:szCs w:val="20"/>
      <w:lang w:val="en-US"/>
    </w:rPr>
  </w:style>
  <w:style w:type="paragraph" w:customStyle="1" w:styleId="CharChar0">
    <w:name w:val="Знак Знак Char Char"/>
    <w:basedOn w:val="Normal"/>
    <w:rsid w:val="00060470"/>
    <w:pPr>
      <w:spacing w:before="0" w:after="160" w:line="240" w:lineRule="exact"/>
      <w:jc w:val="left"/>
    </w:pPr>
    <w:rPr>
      <w:rFonts w:ascii="Arial" w:hAnsi="Arial" w:cs="Arial"/>
      <w:sz w:val="20"/>
      <w:szCs w:val="20"/>
      <w:lang w:val="en-US" w:eastAsia="en-US"/>
    </w:rPr>
  </w:style>
  <w:style w:type="paragraph" w:customStyle="1" w:styleId="CharChar8">
    <w:name w:val="Знак Знак Char Char Знак Знак"/>
    <w:basedOn w:val="Normal"/>
    <w:rsid w:val="00060470"/>
    <w:pPr>
      <w:spacing w:before="0" w:after="160" w:line="240" w:lineRule="exact"/>
      <w:jc w:val="left"/>
    </w:pPr>
    <w:rPr>
      <w:rFonts w:ascii="Arial" w:hAnsi="Arial" w:cs="Arial"/>
      <w:sz w:val="20"/>
      <w:szCs w:val="20"/>
      <w:lang w:val="en-US" w:eastAsia="en-US"/>
    </w:rPr>
  </w:style>
  <w:style w:type="paragraph" w:customStyle="1" w:styleId="Para">
    <w:name w:val="Para"/>
    <w:basedOn w:val="Normal"/>
    <w:autoRedefine/>
    <w:rsid w:val="00060470"/>
    <w:pPr>
      <w:suppressAutoHyphens/>
      <w:spacing w:before="0" w:line="240" w:lineRule="auto"/>
    </w:pPr>
    <w:rPr>
      <w:rFonts w:eastAsia="Calibri" w:cs="Sylfaen"/>
      <w:bCs/>
      <w:kern w:val="1"/>
      <w:sz w:val="24"/>
      <w:lang w:val="hy-AM" w:eastAsia="en-US"/>
    </w:rPr>
  </w:style>
  <w:style w:type="paragraph" w:customStyle="1" w:styleId="Char5">
    <w:name w:val="Char5"/>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33">
    <w:name w:val="Знак Знак3"/>
    <w:basedOn w:val="Normal"/>
    <w:link w:val="Char11"/>
    <w:rsid w:val="00060470"/>
    <w:pPr>
      <w:spacing w:before="0" w:after="160" w:line="240" w:lineRule="exact"/>
      <w:jc w:val="left"/>
    </w:pPr>
    <w:rPr>
      <w:rFonts w:ascii="Arial" w:eastAsia="Calibri" w:hAnsi="Arial"/>
      <w:sz w:val="20"/>
      <w:szCs w:val="20"/>
      <w:lang w:val="en-GB"/>
    </w:rPr>
  </w:style>
  <w:style w:type="character" w:customStyle="1" w:styleId="Char11">
    <w:name w:val="Знак Знак Char1"/>
    <w:link w:val="33"/>
    <w:locked/>
    <w:rsid w:val="00060470"/>
    <w:rPr>
      <w:rFonts w:ascii="Arial" w:eastAsia="Calibri" w:hAnsi="Arial"/>
      <w:lang w:val="en-GB"/>
    </w:rPr>
  </w:style>
  <w:style w:type="paragraph" w:customStyle="1" w:styleId="Znak1">
    <w:name w:val="Znak1"/>
    <w:basedOn w:val="Normal"/>
    <w:rsid w:val="00060470"/>
    <w:pPr>
      <w:tabs>
        <w:tab w:val="left" w:pos="709"/>
      </w:tabs>
      <w:spacing w:before="0" w:line="240" w:lineRule="auto"/>
      <w:jc w:val="left"/>
    </w:pPr>
    <w:rPr>
      <w:rFonts w:ascii="Tahoma" w:eastAsia="Calibri" w:hAnsi="Tahoma"/>
      <w:sz w:val="24"/>
      <w:lang w:val="pl-PL" w:eastAsia="pl-PL"/>
    </w:rPr>
  </w:style>
  <w:style w:type="paragraph" w:customStyle="1" w:styleId="CharCharCharCharCharCharCharCharCharCharCharCharChar1">
    <w:name w:val="Char Char Char Char Char Char Char Char Char Char Char Char Char1"/>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Char12">
    <w:name w:val="Знак Знак Знак Знак Знак Знак Знак Знак Знак Знак Знак Знак Знак Знак Знак Знак Знак Знак Char Знак Знак1"/>
    <w:basedOn w:val="Normal"/>
    <w:autoRedefine/>
    <w:rsid w:val="00060470"/>
    <w:pPr>
      <w:spacing w:before="0" w:after="160" w:line="240" w:lineRule="exact"/>
      <w:jc w:val="left"/>
    </w:pPr>
    <w:rPr>
      <w:rFonts w:ascii="Times New Roman" w:eastAsia="Calibri" w:hAnsi="Times New Roman"/>
      <w:sz w:val="28"/>
      <w:szCs w:val="20"/>
      <w:lang w:val="en-US" w:eastAsia="en-US"/>
    </w:rPr>
  </w:style>
  <w:style w:type="paragraph" w:customStyle="1" w:styleId="CharCharChar12">
    <w:name w:val="Char Char Char Знак1"/>
    <w:basedOn w:val="Normal"/>
    <w:next w:val="Normal"/>
    <w:rsid w:val="00060470"/>
    <w:pPr>
      <w:spacing w:before="0" w:after="160" w:line="240" w:lineRule="exact"/>
      <w:jc w:val="left"/>
    </w:pPr>
    <w:rPr>
      <w:rFonts w:ascii="Tahoma" w:eastAsia="Calibri" w:hAnsi="Tahoma"/>
      <w:sz w:val="24"/>
      <w:szCs w:val="20"/>
      <w:lang w:val="en-US" w:eastAsia="en-US"/>
    </w:rPr>
  </w:style>
  <w:style w:type="paragraph" w:customStyle="1" w:styleId="CharCharCharCharCharCharCharChar1">
    <w:name w:val="Char Char Char Char Char Char Char Char1"/>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CharCharCharCharCharCharCharCharCharCharCharCharCharCharChar2">
    <w:name w:val="Char Char Char Char Знак Char Знак Char Char Char Char Char Char Char Char Char Char2"/>
    <w:basedOn w:val="Normal"/>
    <w:rsid w:val="00060470"/>
    <w:pPr>
      <w:tabs>
        <w:tab w:val="left" w:pos="709"/>
      </w:tabs>
      <w:spacing w:before="0" w:line="240" w:lineRule="auto"/>
      <w:jc w:val="left"/>
    </w:pPr>
    <w:rPr>
      <w:rFonts w:ascii="Tahoma" w:eastAsia="Calibri" w:hAnsi="Tahoma"/>
      <w:sz w:val="24"/>
      <w:lang w:val="pl-PL" w:eastAsia="pl-PL"/>
    </w:rPr>
  </w:style>
  <w:style w:type="paragraph" w:customStyle="1" w:styleId="CharCharCharCharCharCharChar1">
    <w:name w:val="Char Char Char Char Char Char Char1"/>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CharCharCharCharCharCharCharCharCharChar1">
    <w:name w:val="Char Char Char Char Char Char Char Char Char Char1"/>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1CharChar1">
    <w:name w:val="Знак Знак1 Char Char Знак Знак1"/>
    <w:basedOn w:val="Normal"/>
    <w:rsid w:val="00060470"/>
    <w:pPr>
      <w:tabs>
        <w:tab w:val="num" w:pos="840"/>
      </w:tabs>
      <w:spacing w:before="0" w:after="160" w:line="240" w:lineRule="exact"/>
      <w:ind w:left="840" w:hanging="360"/>
    </w:pPr>
    <w:rPr>
      <w:rFonts w:ascii="Verdana" w:eastAsia="Calibri" w:hAnsi="Verdana"/>
      <w:sz w:val="20"/>
      <w:szCs w:val="20"/>
      <w:lang w:eastAsia="en-US"/>
    </w:rPr>
  </w:style>
  <w:style w:type="paragraph" w:customStyle="1" w:styleId="CharCharCharChar1">
    <w:name w:val="Знак Знак Char Char Знак Знак Char Char Знак Знак1"/>
    <w:basedOn w:val="Normal"/>
    <w:autoRedefine/>
    <w:rsid w:val="00060470"/>
    <w:pPr>
      <w:spacing w:before="0" w:after="160" w:line="240" w:lineRule="exact"/>
      <w:jc w:val="left"/>
    </w:pPr>
    <w:rPr>
      <w:rFonts w:ascii="Times New Roman" w:eastAsia="Calibri" w:hAnsi="Times New Roman"/>
      <w:sz w:val="28"/>
      <w:szCs w:val="20"/>
      <w:lang w:val="en-US" w:eastAsia="en-US"/>
    </w:rPr>
  </w:style>
  <w:style w:type="paragraph" w:customStyle="1" w:styleId="CharCharChar1Char1">
    <w:name w:val="Char Char Char1 Char1"/>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114">
    <w:name w:val="Знак Знак11"/>
    <w:basedOn w:val="Normal"/>
    <w:rsid w:val="00060470"/>
    <w:pPr>
      <w:spacing w:before="0" w:after="160" w:line="240" w:lineRule="exact"/>
      <w:jc w:val="left"/>
    </w:pPr>
    <w:rPr>
      <w:rFonts w:ascii="Arial" w:eastAsia="MS Mincho" w:hAnsi="Arial" w:cs="Arial"/>
      <w:sz w:val="20"/>
      <w:szCs w:val="20"/>
      <w:lang w:val="en-US" w:eastAsia="en-US"/>
    </w:rPr>
  </w:style>
  <w:style w:type="paragraph" w:customStyle="1" w:styleId="CharChar1CharCharChar1Char1">
    <w:name w:val="Char Char1 Char Char Char1 Char1"/>
    <w:basedOn w:val="Normal"/>
    <w:autoRedefine/>
    <w:rsid w:val="00060470"/>
    <w:pPr>
      <w:spacing w:before="0" w:line="240" w:lineRule="auto"/>
      <w:jc w:val="left"/>
    </w:pPr>
    <w:rPr>
      <w:rFonts w:ascii="Times New Roman" w:eastAsia="SimSun" w:hAnsi="Times New Roman"/>
      <w:sz w:val="20"/>
      <w:szCs w:val="20"/>
      <w:lang w:val="en-US"/>
    </w:rPr>
  </w:style>
  <w:style w:type="paragraph" w:customStyle="1" w:styleId="41">
    <w:name w:val="Знак Знак41"/>
    <w:basedOn w:val="Normal"/>
    <w:rsid w:val="00060470"/>
    <w:pPr>
      <w:tabs>
        <w:tab w:val="left" w:pos="709"/>
      </w:tabs>
      <w:spacing w:before="0" w:line="240" w:lineRule="auto"/>
      <w:jc w:val="left"/>
    </w:pPr>
    <w:rPr>
      <w:rFonts w:ascii="Tahoma" w:eastAsia="Calibri" w:hAnsi="Tahoma"/>
      <w:sz w:val="24"/>
      <w:lang w:val="pl-PL" w:eastAsia="pl-PL"/>
    </w:rPr>
  </w:style>
  <w:style w:type="paragraph" w:customStyle="1" w:styleId="Char13">
    <w:name w:val="Знак Char Знак1"/>
    <w:basedOn w:val="Normal"/>
    <w:rsid w:val="00060470"/>
    <w:pPr>
      <w:spacing w:before="0" w:after="160" w:line="240" w:lineRule="exact"/>
      <w:jc w:val="left"/>
    </w:pPr>
    <w:rPr>
      <w:rFonts w:ascii="Arial" w:eastAsia="Batang" w:hAnsi="Arial" w:cs="Arial"/>
      <w:sz w:val="20"/>
      <w:szCs w:val="20"/>
      <w:lang w:val="en-US" w:eastAsia="en-US"/>
    </w:rPr>
  </w:style>
  <w:style w:type="paragraph" w:customStyle="1" w:styleId="CharCharCharCharCharChar1">
    <w:name w:val="Знак Знак Char Char Знак Знак Char Char Знак Знак Char Char1"/>
    <w:basedOn w:val="Normal"/>
    <w:autoRedefine/>
    <w:rsid w:val="00060470"/>
    <w:pPr>
      <w:spacing w:before="0" w:after="160" w:line="240" w:lineRule="exact"/>
      <w:jc w:val="left"/>
    </w:pPr>
    <w:rPr>
      <w:rFonts w:ascii="Times New Roman" w:eastAsia="Calibri" w:hAnsi="Times New Roman"/>
      <w:sz w:val="28"/>
      <w:szCs w:val="20"/>
      <w:lang w:val="en-US" w:eastAsia="en-US"/>
    </w:rPr>
  </w:style>
  <w:style w:type="paragraph" w:customStyle="1" w:styleId="212">
    <w:name w:val="Знак Знак21"/>
    <w:basedOn w:val="Normal"/>
    <w:rsid w:val="00060470"/>
    <w:pPr>
      <w:spacing w:before="0" w:after="160" w:line="240" w:lineRule="exact"/>
      <w:jc w:val="left"/>
    </w:pPr>
    <w:rPr>
      <w:rFonts w:ascii="Arial" w:eastAsia="Calibri" w:hAnsi="Arial" w:cs="Arial"/>
      <w:sz w:val="20"/>
      <w:szCs w:val="20"/>
      <w:lang w:val="en-US" w:eastAsia="en-US"/>
    </w:rPr>
  </w:style>
  <w:style w:type="paragraph" w:customStyle="1" w:styleId="CharCharCharCharChar10">
    <w:name w:val="Char Char Char Char Char1"/>
    <w:basedOn w:val="Normal"/>
    <w:rsid w:val="00060470"/>
    <w:pPr>
      <w:spacing w:before="0" w:after="160" w:line="240" w:lineRule="exact"/>
      <w:jc w:val="left"/>
    </w:pPr>
    <w:rPr>
      <w:rFonts w:ascii="Arial" w:eastAsia="Calibri" w:hAnsi="Arial" w:cs="Arial"/>
      <w:sz w:val="20"/>
      <w:szCs w:val="20"/>
      <w:lang w:val="en-US" w:eastAsia="en-US"/>
    </w:rPr>
  </w:style>
  <w:style w:type="paragraph" w:styleId="Quote">
    <w:name w:val="Quote"/>
    <w:basedOn w:val="Normal"/>
    <w:next w:val="Normal"/>
    <w:link w:val="QuoteChar"/>
    <w:uiPriority w:val="29"/>
    <w:qFormat/>
    <w:rsid w:val="00060470"/>
    <w:pPr>
      <w:spacing w:before="0" w:line="240" w:lineRule="auto"/>
      <w:jc w:val="left"/>
    </w:pPr>
    <w:rPr>
      <w:rFonts w:ascii="Times New Roman" w:hAnsi="Times New Roman"/>
      <w:i/>
      <w:iCs/>
      <w:color w:val="000000"/>
      <w:sz w:val="24"/>
    </w:rPr>
  </w:style>
  <w:style w:type="character" w:customStyle="1" w:styleId="QuoteChar">
    <w:name w:val="Quote Char"/>
    <w:basedOn w:val="DefaultParagraphFont"/>
    <w:link w:val="Quote"/>
    <w:uiPriority w:val="29"/>
    <w:rsid w:val="00060470"/>
    <w:rPr>
      <w:i/>
      <w:iCs/>
      <w:color w:val="000000"/>
      <w:sz w:val="24"/>
      <w:szCs w:val="24"/>
    </w:rPr>
  </w:style>
  <w:style w:type="character" w:styleId="IntenseEmphasis">
    <w:name w:val="Intense Emphasis"/>
    <w:uiPriority w:val="21"/>
    <w:qFormat/>
    <w:rsid w:val="00060470"/>
    <w:rPr>
      <w:b/>
      <w:bCs/>
      <w:i/>
      <w:iCs/>
      <w:color w:val="4F81BD"/>
    </w:rPr>
  </w:style>
  <w:style w:type="table" w:styleId="LightList-Accent1">
    <w:name w:val="Light List Accent 1"/>
    <w:basedOn w:val="TableNormal"/>
    <w:uiPriority w:val="61"/>
    <w:rsid w:val="0006047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leGrid7">
    <w:name w:val="Table Grid 7"/>
    <w:basedOn w:val="TableNormal"/>
    <w:uiPriority w:val="99"/>
    <w:rsid w:val="0006047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ColorfulGrid-Accent1">
    <w:name w:val="Colorful Grid Accent 1"/>
    <w:basedOn w:val="TableNormal"/>
    <w:uiPriority w:val="73"/>
    <w:rsid w:val="00060470"/>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LightList-Accent5">
    <w:name w:val="Light List Accent 5"/>
    <w:basedOn w:val="TableNormal"/>
    <w:uiPriority w:val="61"/>
    <w:rsid w:val="00060470"/>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TableSimple3">
    <w:name w:val="Table Simple 3"/>
    <w:basedOn w:val="TableNormal"/>
    <w:uiPriority w:val="99"/>
    <w:rsid w:val="0006047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Grid5">
    <w:name w:val="Table Grid 5"/>
    <w:basedOn w:val="TableNormal"/>
    <w:uiPriority w:val="99"/>
    <w:rsid w:val="0006047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3">
    <w:name w:val="Table Grid 3"/>
    <w:basedOn w:val="TableNormal"/>
    <w:uiPriority w:val="99"/>
    <w:rsid w:val="0006047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0">
    <w:name w:val="Table Grid 1"/>
    <w:basedOn w:val="TableNormal"/>
    <w:uiPriority w:val="99"/>
    <w:rsid w:val="000604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olumns5">
    <w:name w:val="Table Columns 5"/>
    <w:basedOn w:val="TableNormal"/>
    <w:uiPriority w:val="99"/>
    <w:rsid w:val="0006047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ListParagraph2">
    <w:name w:val="List Paragraph2"/>
    <w:basedOn w:val="Normal"/>
    <w:qFormat/>
    <w:rsid w:val="00060470"/>
    <w:pPr>
      <w:spacing w:before="0" w:line="240" w:lineRule="auto"/>
      <w:ind w:left="720"/>
      <w:jc w:val="left"/>
    </w:pPr>
    <w:rPr>
      <w:rFonts w:ascii="Times New Roman" w:hAnsi="Times New Roman"/>
      <w:sz w:val="24"/>
    </w:rPr>
  </w:style>
  <w:style w:type="character" w:customStyle="1" w:styleId="A00">
    <w:name w:val="A0"/>
    <w:rsid w:val="00060470"/>
    <w:rPr>
      <w:color w:val="000000"/>
      <w:sz w:val="56"/>
      <w:szCs w:val="56"/>
    </w:rPr>
  </w:style>
  <w:style w:type="character" w:customStyle="1" w:styleId="1a">
    <w:name w:val="Текст сноски Знак1"/>
    <w:semiHidden/>
    <w:rsid w:val="00060470"/>
    <w:rPr>
      <w:sz w:val="20"/>
      <w:szCs w:val="20"/>
    </w:rPr>
  </w:style>
  <w:style w:type="character" w:customStyle="1" w:styleId="CharChar28">
    <w:name w:val="Char Char28"/>
    <w:rsid w:val="00060470"/>
    <w:rPr>
      <w:rFonts w:ascii="Arial Armenian" w:hAnsi="Arial Armenian"/>
      <w:i/>
      <w:sz w:val="22"/>
      <w:u w:val="single"/>
      <w:lang w:val="en-GB"/>
    </w:rPr>
  </w:style>
  <w:style w:type="character" w:customStyle="1" w:styleId="CharChar27">
    <w:name w:val="Char Char27"/>
    <w:rsid w:val="00060470"/>
    <w:rPr>
      <w:rFonts w:ascii="Garamond" w:hAnsi="Garamond"/>
      <w:i/>
      <w:spacing w:val="-5"/>
      <w:sz w:val="28"/>
      <w:shd w:val="pct5" w:color="auto" w:fill="auto"/>
      <w:lang w:val="en-GB"/>
    </w:rPr>
  </w:style>
  <w:style w:type="character" w:customStyle="1" w:styleId="CharChar26">
    <w:name w:val="Char Char26"/>
    <w:rsid w:val="00060470"/>
    <w:rPr>
      <w:rFonts w:ascii="Arial Black" w:hAnsi="Arial Black"/>
      <w:caps/>
      <w:spacing w:val="60"/>
      <w:position w:val="4"/>
      <w:sz w:val="14"/>
      <w:lang w:val="en-GB"/>
    </w:rPr>
  </w:style>
  <w:style w:type="character" w:customStyle="1" w:styleId="CharChar25">
    <w:name w:val="Char Char25"/>
    <w:rsid w:val="00060470"/>
    <w:rPr>
      <w:rFonts w:ascii="Garamond" w:hAnsi="Garamond"/>
      <w:b/>
      <w:i/>
      <w:kern w:val="28"/>
      <w:lang w:val="en-GB"/>
    </w:rPr>
  </w:style>
  <w:style w:type="character" w:customStyle="1" w:styleId="CharChar241">
    <w:name w:val="Char Char241"/>
    <w:rsid w:val="00060470"/>
    <w:rPr>
      <w:rFonts w:ascii="Arial Armenian" w:hAnsi="Arial Armenian"/>
      <w:noProof/>
      <w:lang w:val="en-US" w:eastAsia="en-US" w:bidi="ar-SA"/>
    </w:rPr>
  </w:style>
  <w:style w:type="character" w:customStyle="1" w:styleId="CharChar231">
    <w:name w:val="Char Char231"/>
    <w:rsid w:val="00060470"/>
    <w:rPr>
      <w:rFonts w:ascii="Arial Armenian" w:hAnsi="Arial Armenian"/>
      <w:lang w:val="en-GB" w:eastAsia="en-US" w:bidi="ar-SA"/>
    </w:rPr>
  </w:style>
  <w:style w:type="character" w:customStyle="1" w:styleId="CharChar221">
    <w:name w:val="Char Char221"/>
    <w:rsid w:val="00060470"/>
    <w:rPr>
      <w:rFonts w:ascii="Arial Armenian" w:hAnsi="Arial Armenian"/>
      <w:lang w:val="ru-RU" w:eastAsia="ru-RU" w:bidi="ar-SA"/>
    </w:rPr>
  </w:style>
  <w:style w:type="paragraph" w:customStyle="1" w:styleId="Outline">
    <w:name w:val="Outline"/>
    <w:basedOn w:val="Normal"/>
    <w:rsid w:val="00060470"/>
    <w:pPr>
      <w:spacing w:before="240" w:line="240" w:lineRule="auto"/>
      <w:jc w:val="left"/>
    </w:pPr>
    <w:rPr>
      <w:rFonts w:ascii="Times New Roman" w:hAnsi="Times New Roman"/>
      <w:kern w:val="28"/>
      <w:sz w:val="24"/>
      <w:szCs w:val="20"/>
      <w:lang w:val="en-US" w:eastAsia="en-US"/>
    </w:rPr>
  </w:style>
  <w:style w:type="paragraph" w:customStyle="1" w:styleId="ab">
    <w:name w:val="Îáû÷íûé"/>
    <w:rsid w:val="00060470"/>
    <w:rPr>
      <w:rFonts w:ascii="Times Armenian" w:hAnsi="Times Armenian"/>
      <w:sz w:val="24"/>
    </w:rPr>
  </w:style>
  <w:style w:type="paragraph" w:customStyle="1" w:styleId="Style13">
    <w:name w:val="Style13"/>
    <w:basedOn w:val="Normal"/>
    <w:rsid w:val="00060470"/>
    <w:pPr>
      <w:widowControl w:val="0"/>
      <w:autoSpaceDE w:val="0"/>
      <w:autoSpaceDN w:val="0"/>
      <w:adjustRightInd w:val="0"/>
      <w:spacing w:before="0" w:line="240" w:lineRule="auto"/>
      <w:jc w:val="left"/>
    </w:pPr>
    <w:rPr>
      <w:rFonts w:ascii="Tahoma" w:eastAsia="SimSun" w:hAnsi="Tahoma" w:cs="Tahoma"/>
      <w:sz w:val="24"/>
      <w:lang w:val="en-US" w:eastAsia="en-US"/>
    </w:rPr>
  </w:style>
  <w:style w:type="character" w:customStyle="1" w:styleId="FontStyle27">
    <w:name w:val="Font Style27"/>
    <w:rsid w:val="00060470"/>
    <w:rPr>
      <w:rFonts w:ascii="Tahoma" w:hAnsi="Tahoma" w:cs="Tahoma" w:hint="default"/>
      <w:sz w:val="14"/>
      <w:szCs w:val="14"/>
    </w:rPr>
  </w:style>
  <w:style w:type="paragraph" w:customStyle="1" w:styleId="Style14">
    <w:name w:val="Style14"/>
    <w:basedOn w:val="Normal"/>
    <w:rsid w:val="00060470"/>
    <w:pPr>
      <w:widowControl w:val="0"/>
      <w:autoSpaceDE w:val="0"/>
      <w:autoSpaceDN w:val="0"/>
      <w:adjustRightInd w:val="0"/>
      <w:spacing w:before="0" w:line="211" w:lineRule="exact"/>
      <w:jc w:val="left"/>
    </w:pPr>
    <w:rPr>
      <w:rFonts w:ascii="Tahoma" w:eastAsia="SimSun" w:hAnsi="Tahoma" w:cs="Tahoma"/>
      <w:sz w:val="24"/>
      <w:lang w:val="en-US" w:eastAsia="en-US"/>
    </w:rPr>
  </w:style>
  <w:style w:type="character" w:customStyle="1" w:styleId="FontStyle26">
    <w:name w:val="Font Style26"/>
    <w:rsid w:val="00060470"/>
    <w:rPr>
      <w:rFonts w:ascii="Tahoma" w:hAnsi="Tahoma" w:cs="Tahoma" w:hint="default"/>
      <w:i/>
      <w:iCs/>
      <w:spacing w:val="10"/>
      <w:sz w:val="16"/>
      <w:szCs w:val="16"/>
    </w:rPr>
  </w:style>
  <w:style w:type="character" w:customStyle="1" w:styleId="FontStyle53">
    <w:name w:val="Font Style53"/>
    <w:rsid w:val="00060470"/>
    <w:rPr>
      <w:rFonts w:ascii="Sylfaen" w:hAnsi="Sylfaen"/>
      <w:sz w:val="18"/>
    </w:rPr>
  </w:style>
  <w:style w:type="character" w:customStyle="1" w:styleId="shorttext">
    <w:name w:val="short_text"/>
    <w:rsid w:val="00060470"/>
    <w:rPr>
      <w:rFonts w:cs="Times New Roman"/>
    </w:rPr>
  </w:style>
  <w:style w:type="table" w:customStyle="1" w:styleId="LightList-Accent11">
    <w:name w:val="Light List - Accent 11"/>
    <w:basedOn w:val="TableNormal"/>
    <w:uiPriority w:val="61"/>
    <w:rsid w:val="0006047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b">
    <w:name w:val="Нет списка1"/>
    <w:next w:val="NoList"/>
    <w:semiHidden/>
    <w:unhideWhenUsed/>
    <w:rsid w:val="00060470"/>
  </w:style>
  <w:style w:type="paragraph" w:customStyle="1" w:styleId="NoSpacing1">
    <w:name w:val="No Spacing1"/>
    <w:qFormat/>
    <w:rsid w:val="00060470"/>
    <w:rPr>
      <w:rFonts w:ascii="Calibri" w:hAnsi="Calibri"/>
      <w:sz w:val="22"/>
      <w:szCs w:val="22"/>
    </w:rPr>
  </w:style>
  <w:style w:type="paragraph" w:customStyle="1" w:styleId="26">
    <w:name w:val="Обычный2"/>
    <w:rsid w:val="00060470"/>
    <w:pPr>
      <w:autoSpaceDE w:val="0"/>
      <w:autoSpaceDN w:val="0"/>
    </w:pPr>
    <w:rPr>
      <w:lang w:val="ru-RU" w:eastAsia="ru-RU"/>
    </w:rPr>
  </w:style>
  <w:style w:type="paragraph" w:customStyle="1" w:styleId="Revision1">
    <w:name w:val="Revision1"/>
    <w:hidden/>
    <w:semiHidden/>
    <w:rsid w:val="00060470"/>
    <w:rPr>
      <w:rFonts w:ascii="Arial Armenian" w:hAnsi="Arial Armenian" w:cs="Sylfaen"/>
      <w:sz w:val="24"/>
      <w:szCs w:val="24"/>
      <w:lang w:val="ru-RU" w:eastAsia="ru-RU"/>
    </w:rPr>
  </w:style>
  <w:style w:type="paragraph" w:customStyle="1" w:styleId="TOCHeading1">
    <w:name w:val="TOC Heading1"/>
    <w:basedOn w:val="Heading1"/>
    <w:next w:val="Normal"/>
    <w:qFormat/>
    <w:rsid w:val="00060470"/>
    <w:pPr>
      <w:keepLines/>
      <w:spacing w:before="480"/>
      <w:outlineLvl w:val="9"/>
    </w:pPr>
    <w:rPr>
      <w:rFonts w:ascii="Cambria" w:hAnsi="Cambria"/>
      <w:bCs w:val="0"/>
      <w:color w:val="365F91"/>
      <w:szCs w:val="28"/>
    </w:rPr>
  </w:style>
  <w:style w:type="character" w:customStyle="1" w:styleId="NoSpacingChar1">
    <w:name w:val="No Spacing Char1"/>
    <w:rsid w:val="00060470"/>
    <w:rPr>
      <w:rFonts w:ascii="Calibri" w:eastAsia="Times New Roman" w:hAnsi="Calibri" w:cs="Times New Roman"/>
      <w:lang w:val="en-US"/>
    </w:rPr>
  </w:style>
  <w:style w:type="paragraph" w:customStyle="1" w:styleId="Quote1">
    <w:name w:val="Quote1"/>
    <w:basedOn w:val="Normal"/>
    <w:next w:val="Normal"/>
    <w:qFormat/>
    <w:rsid w:val="00060470"/>
    <w:pPr>
      <w:spacing w:before="0" w:line="240" w:lineRule="auto"/>
      <w:jc w:val="left"/>
    </w:pPr>
    <w:rPr>
      <w:rFonts w:ascii="Times New Roman" w:hAnsi="Times New Roman"/>
      <w:i/>
      <w:iCs/>
      <w:color w:val="000000"/>
      <w:sz w:val="24"/>
    </w:rPr>
  </w:style>
  <w:style w:type="character" w:customStyle="1" w:styleId="IntenseEmphasis1">
    <w:name w:val="Intense Emphasis1"/>
    <w:qFormat/>
    <w:rsid w:val="00060470"/>
    <w:rPr>
      <w:b/>
      <w:bCs/>
      <w:i/>
      <w:iCs/>
      <w:color w:val="4F81BD"/>
    </w:rPr>
  </w:style>
  <w:style w:type="table" w:customStyle="1" w:styleId="ColorfulGrid-Accent11">
    <w:name w:val="Colorful Grid - Accent 11"/>
    <w:basedOn w:val="TableNormal"/>
    <w:rsid w:val="00060470"/>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
    <w:name w:val="Light List - Accent 51"/>
    <w:basedOn w:val="TableNormal"/>
    <w:rsid w:val="00060470"/>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tandard">
    <w:name w:val="Standard"/>
    <w:rsid w:val="00060470"/>
    <w:pPr>
      <w:widowControl w:val="0"/>
      <w:suppressAutoHyphens/>
      <w:autoSpaceDN w:val="0"/>
      <w:textAlignment w:val="baseline"/>
    </w:pPr>
    <w:rPr>
      <w:rFonts w:ascii="Calibri" w:hAnsi="Calibri"/>
      <w:kern w:val="3"/>
      <w:sz w:val="24"/>
      <w:szCs w:val="24"/>
    </w:rPr>
  </w:style>
  <w:style w:type="character" w:customStyle="1" w:styleId="PageNumber1">
    <w:name w:val="Page Number1"/>
    <w:rsid w:val="00060470"/>
    <w:rPr>
      <w:rFonts w:cs="Times New Roman"/>
    </w:rPr>
  </w:style>
  <w:style w:type="character" w:customStyle="1" w:styleId="ac">
    <w:name w:val="Основной текст_"/>
    <w:link w:val="50"/>
    <w:rsid w:val="00060470"/>
    <w:rPr>
      <w:rFonts w:ascii="Sylfaen" w:hAnsi="Sylfaen" w:cs="Sylfaen"/>
      <w:spacing w:val="20"/>
      <w:w w:val="80"/>
      <w:shd w:val="clear" w:color="auto" w:fill="FFFFFF"/>
    </w:rPr>
  </w:style>
  <w:style w:type="character" w:customStyle="1" w:styleId="27">
    <w:name w:val="Основной текст (2)_"/>
    <w:rsid w:val="00060470"/>
    <w:rPr>
      <w:rFonts w:ascii="Sylfaen" w:hAnsi="Sylfaen" w:cs="Sylfaen"/>
      <w:i/>
      <w:iCs/>
      <w:shd w:val="clear" w:color="auto" w:fill="FFFFFF"/>
    </w:rPr>
  </w:style>
  <w:style w:type="character" w:customStyle="1" w:styleId="34">
    <w:name w:val="Основной текст (3)_"/>
    <w:rsid w:val="00060470"/>
    <w:rPr>
      <w:rFonts w:ascii="Sylfaen" w:hAnsi="Sylfaen" w:cs="Sylfaen"/>
      <w:spacing w:val="20"/>
      <w:w w:val="80"/>
      <w:sz w:val="21"/>
      <w:szCs w:val="21"/>
      <w:shd w:val="clear" w:color="auto" w:fill="FFFFFF"/>
    </w:rPr>
  </w:style>
  <w:style w:type="character" w:customStyle="1" w:styleId="311pt">
    <w:name w:val="Основной текст (3) + 11 pt"/>
    <w:rsid w:val="00060470"/>
    <w:rPr>
      <w:rFonts w:ascii="Sylfaen" w:hAnsi="Sylfaen" w:cs="Sylfaen"/>
      <w:i/>
      <w:iCs/>
      <w:spacing w:val="0"/>
      <w:w w:val="100"/>
      <w:sz w:val="22"/>
      <w:szCs w:val="22"/>
      <w:shd w:val="clear" w:color="auto" w:fill="FFFFFF"/>
    </w:rPr>
  </w:style>
  <w:style w:type="character" w:customStyle="1" w:styleId="311pt1">
    <w:name w:val="Основной текст (3) + 11 pt1"/>
    <w:rsid w:val="00060470"/>
    <w:rPr>
      <w:rFonts w:ascii="Sylfaen" w:hAnsi="Sylfaen" w:cs="Sylfaen"/>
      <w:spacing w:val="0"/>
      <w:w w:val="100"/>
      <w:sz w:val="22"/>
      <w:szCs w:val="22"/>
      <w:shd w:val="clear" w:color="auto" w:fill="FFFFFF"/>
    </w:rPr>
  </w:style>
  <w:style w:type="character" w:customStyle="1" w:styleId="28">
    <w:name w:val="Основной текст2"/>
    <w:rsid w:val="00060470"/>
  </w:style>
  <w:style w:type="character" w:customStyle="1" w:styleId="42">
    <w:name w:val="Основной текст (4)_"/>
    <w:rsid w:val="00060470"/>
    <w:rPr>
      <w:rFonts w:ascii="Sylfaen" w:hAnsi="Sylfaen" w:cs="Sylfaen"/>
      <w:spacing w:val="20"/>
      <w:w w:val="80"/>
      <w:shd w:val="clear" w:color="auto" w:fill="FFFFFF"/>
    </w:rPr>
  </w:style>
  <w:style w:type="character" w:customStyle="1" w:styleId="4pt">
    <w:name w:val="Основной текст + 4 pt"/>
    <w:rsid w:val="00060470"/>
    <w:rPr>
      <w:rFonts w:ascii="Sylfaen" w:hAnsi="Sylfaen" w:cs="Sylfaen"/>
      <w:i/>
      <w:iCs/>
      <w:spacing w:val="0"/>
      <w:w w:val="100"/>
      <w:sz w:val="8"/>
      <w:szCs w:val="8"/>
      <w:shd w:val="clear" w:color="auto" w:fill="FFFFFF"/>
    </w:rPr>
  </w:style>
  <w:style w:type="character" w:customStyle="1" w:styleId="1c">
    <w:name w:val="Заголовок №1_"/>
    <w:rsid w:val="00060470"/>
    <w:rPr>
      <w:rFonts w:ascii="Sylfaen" w:hAnsi="Sylfaen" w:cs="Sylfaen"/>
      <w:i/>
      <w:iCs/>
      <w:spacing w:val="-30"/>
      <w:sz w:val="31"/>
      <w:szCs w:val="31"/>
      <w:shd w:val="clear" w:color="auto" w:fill="FFFFFF"/>
    </w:rPr>
  </w:style>
  <w:style w:type="character" w:customStyle="1" w:styleId="1110">
    <w:name w:val="Заголовок №1 + 11"/>
    <w:rsid w:val="00060470"/>
    <w:rPr>
      <w:rFonts w:ascii="Sylfaen" w:hAnsi="Sylfaen" w:cs="Sylfaen"/>
      <w:i/>
      <w:iCs/>
      <w:spacing w:val="-20"/>
      <w:sz w:val="23"/>
      <w:szCs w:val="23"/>
      <w:shd w:val="clear" w:color="auto" w:fill="FFFFFF"/>
    </w:rPr>
  </w:style>
  <w:style w:type="character" w:customStyle="1" w:styleId="Sylfaen2">
    <w:name w:val="Основной текст + Sylfaen2"/>
    <w:rsid w:val="00060470"/>
    <w:rPr>
      <w:rFonts w:ascii="Sylfaen" w:hAnsi="Sylfaen" w:cs="Sylfaen"/>
      <w:spacing w:val="20"/>
      <w:w w:val="80"/>
      <w:sz w:val="22"/>
      <w:szCs w:val="22"/>
      <w:u w:val="none"/>
      <w:shd w:val="clear" w:color="auto" w:fill="FFFFFF"/>
    </w:rPr>
  </w:style>
  <w:style w:type="character" w:customStyle="1" w:styleId="Sylfaen1">
    <w:name w:val="Основной текст + Sylfaen1"/>
    <w:rsid w:val="00060470"/>
    <w:rPr>
      <w:rFonts w:ascii="Sylfaen" w:hAnsi="Sylfaen" w:cs="Sylfaen"/>
      <w:spacing w:val="20"/>
      <w:w w:val="80"/>
      <w:sz w:val="20"/>
      <w:szCs w:val="20"/>
      <w:u w:val="none"/>
      <w:shd w:val="clear" w:color="auto" w:fill="FFFFFF"/>
    </w:rPr>
  </w:style>
  <w:style w:type="character" w:customStyle="1" w:styleId="ad">
    <w:name w:val="Основной текст + Полужирный"/>
    <w:rsid w:val="00060470"/>
    <w:rPr>
      <w:rFonts w:ascii="Sylfaen" w:hAnsi="Sylfaen" w:cs="Sylfaen"/>
      <w:b/>
      <w:bCs/>
      <w:spacing w:val="20"/>
      <w:w w:val="80"/>
      <w:sz w:val="21"/>
      <w:szCs w:val="21"/>
      <w:u w:val="none"/>
      <w:shd w:val="clear" w:color="auto" w:fill="FFFFFF"/>
    </w:rPr>
  </w:style>
  <w:style w:type="character" w:customStyle="1" w:styleId="ListLabel1">
    <w:name w:val="ListLabel 1"/>
    <w:rsid w:val="00060470"/>
    <w:rPr>
      <w:rFonts w:eastAsia="Times New Roman"/>
      <w:color w:val="000000"/>
    </w:rPr>
  </w:style>
  <w:style w:type="character" w:customStyle="1" w:styleId="ListLabel2">
    <w:name w:val="ListLabel 2"/>
    <w:rsid w:val="00060470"/>
  </w:style>
  <w:style w:type="character" w:customStyle="1" w:styleId="ListLabel3">
    <w:name w:val="ListLabel 3"/>
    <w:rsid w:val="00060470"/>
  </w:style>
  <w:style w:type="character" w:customStyle="1" w:styleId="ListLabel4">
    <w:name w:val="ListLabel 4"/>
    <w:rsid w:val="00060470"/>
  </w:style>
  <w:style w:type="character" w:customStyle="1" w:styleId="ListLabel5">
    <w:name w:val="ListLabel 5"/>
    <w:rsid w:val="00060470"/>
    <w:rPr>
      <w:color w:val="auto"/>
    </w:rPr>
  </w:style>
  <w:style w:type="character" w:customStyle="1" w:styleId="ListLabel6">
    <w:name w:val="ListLabel 6"/>
    <w:rsid w:val="00060470"/>
    <w:rPr>
      <w:b/>
      <w:i/>
    </w:rPr>
  </w:style>
  <w:style w:type="character" w:customStyle="1" w:styleId="ListLabel7">
    <w:name w:val="ListLabel 7"/>
    <w:rsid w:val="00060470"/>
    <w:rPr>
      <w:sz w:val="24"/>
    </w:rPr>
  </w:style>
  <w:style w:type="character" w:customStyle="1" w:styleId="ListLabel8">
    <w:name w:val="ListLabel 8"/>
    <w:rsid w:val="00060470"/>
    <w:rPr>
      <w:rFonts w:eastAsia="Times New Roman"/>
    </w:rPr>
  </w:style>
  <w:style w:type="paragraph" w:customStyle="1" w:styleId="Heading">
    <w:name w:val="Heading"/>
    <w:basedOn w:val="Normal"/>
    <w:next w:val="BodyText"/>
    <w:rsid w:val="00060470"/>
    <w:pPr>
      <w:keepNext/>
      <w:suppressAutoHyphens/>
      <w:spacing w:before="240" w:after="120"/>
      <w:jc w:val="left"/>
    </w:pPr>
    <w:rPr>
      <w:rFonts w:ascii="Liberation Sans" w:hAnsi="Liberation Sans" w:cs="Liberation Sans"/>
      <w:kern w:val="1"/>
      <w:sz w:val="28"/>
      <w:szCs w:val="28"/>
      <w:lang w:val="en-US" w:eastAsia="en-US"/>
    </w:rPr>
  </w:style>
  <w:style w:type="paragraph" w:styleId="List">
    <w:name w:val="List"/>
    <w:basedOn w:val="BodyText"/>
    <w:rsid w:val="00060470"/>
    <w:pPr>
      <w:suppressAutoHyphens/>
      <w:spacing w:before="0" w:after="120" w:line="288" w:lineRule="auto"/>
      <w:jc w:val="left"/>
    </w:pPr>
    <w:rPr>
      <w:rFonts w:ascii="GHEA Grapalat" w:hAnsi="GHEA Grapalat" w:cs="GHEA Grapalat"/>
      <w:kern w:val="1"/>
      <w:sz w:val="22"/>
      <w:szCs w:val="22"/>
    </w:rPr>
  </w:style>
  <w:style w:type="paragraph" w:customStyle="1" w:styleId="Index">
    <w:name w:val="Index"/>
    <w:basedOn w:val="Normal"/>
    <w:rsid w:val="00060470"/>
    <w:pPr>
      <w:suppressLineNumbers/>
      <w:suppressAutoHyphens/>
      <w:spacing w:before="0" w:after="200"/>
      <w:jc w:val="left"/>
    </w:pPr>
    <w:rPr>
      <w:rFonts w:ascii="Calibri" w:hAnsi="Calibri" w:cs="Calibri"/>
      <w:kern w:val="1"/>
      <w:szCs w:val="22"/>
      <w:lang w:val="en-US" w:eastAsia="en-US"/>
    </w:rPr>
  </w:style>
  <w:style w:type="paragraph" w:customStyle="1" w:styleId="ae">
    <w:name w:val="Стиль Знак"/>
    <w:basedOn w:val="Normal"/>
    <w:rsid w:val="00060470"/>
    <w:pPr>
      <w:suppressAutoHyphens/>
      <w:spacing w:before="0" w:after="160" w:line="240" w:lineRule="exact"/>
      <w:jc w:val="left"/>
    </w:pPr>
    <w:rPr>
      <w:rFonts w:ascii="Arial" w:hAnsi="Arial" w:cs="Arial"/>
      <w:kern w:val="1"/>
      <w:sz w:val="20"/>
      <w:szCs w:val="20"/>
      <w:lang w:val="en-US" w:eastAsia="en-US"/>
    </w:rPr>
  </w:style>
  <w:style w:type="paragraph" w:customStyle="1" w:styleId="115">
    <w:name w:val="Без интервала11"/>
    <w:uiPriority w:val="1"/>
    <w:qFormat/>
    <w:rsid w:val="00060470"/>
    <w:pPr>
      <w:suppressAutoHyphens/>
    </w:pPr>
    <w:rPr>
      <w:rFonts w:ascii="GHEA Grapalat" w:hAnsi="GHEA Grapalat" w:cs="GHEA Grapalat"/>
      <w:kern w:val="1"/>
      <w:sz w:val="22"/>
      <w:szCs w:val="22"/>
    </w:rPr>
  </w:style>
  <w:style w:type="paragraph" w:customStyle="1" w:styleId="Iacaaiea">
    <w:name w:val="Iacaaiea"/>
    <w:basedOn w:val="Normal"/>
    <w:rsid w:val="00060470"/>
    <w:pPr>
      <w:widowControl w:val="0"/>
      <w:suppressAutoHyphens/>
      <w:spacing w:before="0" w:line="240" w:lineRule="auto"/>
      <w:jc w:val="center"/>
    </w:pPr>
    <w:rPr>
      <w:rFonts w:ascii="Times LatArm" w:hAnsi="Times LatArm" w:cs="Times LatArm"/>
      <w:kern w:val="1"/>
      <w:sz w:val="24"/>
      <w:lang w:val="en-US" w:eastAsia="en-US"/>
    </w:rPr>
  </w:style>
  <w:style w:type="paragraph" w:customStyle="1" w:styleId="1d">
    <w:name w:val="Основной текст1"/>
    <w:basedOn w:val="Normal"/>
    <w:rsid w:val="00060470"/>
    <w:pPr>
      <w:suppressAutoHyphens/>
      <w:spacing w:before="0" w:after="200"/>
      <w:jc w:val="left"/>
    </w:pPr>
    <w:rPr>
      <w:rFonts w:ascii="Sylfaen" w:hAnsi="Sylfaen" w:cs="Sylfaen"/>
      <w:spacing w:val="20"/>
      <w:w w:val="80"/>
      <w:kern w:val="1"/>
      <w:sz w:val="20"/>
      <w:szCs w:val="20"/>
      <w:shd w:val="clear" w:color="auto" w:fill="FFFFFF"/>
    </w:rPr>
  </w:style>
  <w:style w:type="paragraph" w:customStyle="1" w:styleId="29">
    <w:name w:val="Основной текст (2)"/>
    <w:basedOn w:val="Normal"/>
    <w:rsid w:val="00060470"/>
    <w:pPr>
      <w:suppressAutoHyphens/>
      <w:spacing w:before="0" w:after="200"/>
      <w:jc w:val="left"/>
    </w:pPr>
    <w:rPr>
      <w:rFonts w:ascii="Sylfaen" w:hAnsi="Sylfaen" w:cs="Sylfaen"/>
      <w:i/>
      <w:iCs/>
      <w:kern w:val="1"/>
      <w:sz w:val="20"/>
      <w:szCs w:val="20"/>
      <w:shd w:val="clear" w:color="auto" w:fill="FFFFFF"/>
    </w:rPr>
  </w:style>
  <w:style w:type="paragraph" w:customStyle="1" w:styleId="35">
    <w:name w:val="Основной текст (3)"/>
    <w:basedOn w:val="Normal"/>
    <w:rsid w:val="00060470"/>
    <w:pPr>
      <w:suppressAutoHyphens/>
      <w:spacing w:before="0" w:after="200"/>
      <w:jc w:val="left"/>
    </w:pPr>
    <w:rPr>
      <w:rFonts w:ascii="Sylfaen" w:hAnsi="Sylfaen" w:cs="Sylfaen"/>
      <w:spacing w:val="20"/>
      <w:w w:val="80"/>
      <w:kern w:val="1"/>
      <w:sz w:val="21"/>
      <w:szCs w:val="21"/>
      <w:shd w:val="clear" w:color="auto" w:fill="FFFFFF"/>
    </w:rPr>
  </w:style>
  <w:style w:type="paragraph" w:customStyle="1" w:styleId="43">
    <w:name w:val="Основной текст (4)"/>
    <w:basedOn w:val="Normal"/>
    <w:rsid w:val="00060470"/>
    <w:pPr>
      <w:suppressAutoHyphens/>
      <w:spacing w:before="0" w:after="200"/>
      <w:jc w:val="left"/>
    </w:pPr>
    <w:rPr>
      <w:rFonts w:ascii="Sylfaen" w:hAnsi="Sylfaen" w:cs="Sylfaen"/>
      <w:spacing w:val="20"/>
      <w:w w:val="80"/>
      <w:kern w:val="1"/>
      <w:sz w:val="20"/>
      <w:szCs w:val="20"/>
      <w:shd w:val="clear" w:color="auto" w:fill="FFFFFF"/>
    </w:rPr>
  </w:style>
  <w:style w:type="paragraph" w:customStyle="1" w:styleId="1e">
    <w:name w:val="Заголовок №1"/>
    <w:basedOn w:val="Normal"/>
    <w:rsid w:val="00060470"/>
    <w:pPr>
      <w:suppressAutoHyphens/>
      <w:spacing w:before="0" w:after="200"/>
      <w:jc w:val="left"/>
    </w:pPr>
    <w:rPr>
      <w:rFonts w:ascii="Sylfaen" w:hAnsi="Sylfaen" w:cs="Sylfaen"/>
      <w:i/>
      <w:iCs/>
      <w:spacing w:val="-30"/>
      <w:kern w:val="1"/>
      <w:sz w:val="31"/>
      <w:szCs w:val="31"/>
      <w:shd w:val="clear" w:color="auto" w:fill="FFFFFF"/>
    </w:rPr>
  </w:style>
  <w:style w:type="paragraph" w:customStyle="1" w:styleId="CharCharCharCharChar11">
    <w:name w:val="Char Char Char Знак Знак Char Char Знак Знак1"/>
    <w:basedOn w:val="Normal"/>
    <w:rsid w:val="00060470"/>
    <w:pPr>
      <w:suppressAutoHyphens/>
      <w:spacing w:before="0" w:after="160" w:line="240" w:lineRule="exact"/>
      <w:jc w:val="left"/>
    </w:pPr>
    <w:rPr>
      <w:rFonts w:ascii="Arial" w:hAnsi="Arial" w:cs="Arial"/>
      <w:kern w:val="1"/>
      <w:sz w:val="20"/>
      <w:szCs w:val="20"/>
      <w:lang w:val="en-US" w:eastAsia="en-US"/>
    </w:rPr>
  </w:style>
  <w:style w:type="paragraph" w:customStyle="1" w:styleId="FrameContents">
    <w:name w:val="Frame Contents"/>
    <w:basedOn w:val="Normal"/>
    <w:rsid w:val="00060470"/>
    <w:pPr>
      <w:suppressAutoHyphens/>
      <w:spacing w:before="0" w:after="200"/>
      <w:jc w:val="left"/>
    </w:pPr>
    <w:rPr>
      <w:rFonts w:ascii="Calibri" w:hAnsi="Calibri" w:cs="Calibri"/>
      <w:kern w:val="1"/>
      <w:szCs w:val="22"/>
      <w:lang w:val="en-US" w:eastAsia="en-US"/>
    </w:rPr>
  </w:style>
  <w:style w:type="paragraph" w:customStyle="1" w:styleId="NoSpacing2">
    <w:name w:val="No Spacing2"/>
    <w:rsid w:val="00060470"/>
    <w:rPr>
      <w:rFonts w:ascii="Arial Armenian" w:hAnsi="Arial Armenian" w:cs="Arial Armenian"/>
      <w:sz w:val="24"/>
      <w:szCs w:val="24"/>
      <w:lang w:val="ru-RU"/>
    </w:rPr>
  </w:style>
  <w:style w:type="character" w:customStyle="1" w:styleId="user-name">
    <w:name w:val="user-name"/>
    <w:rsid w:val="00060470"/>
    <w:rPr>
      <w:rFonts w:cs="Times New Roman"/>
    </w:rPr>
  </w:style>
  <w:style w:type="character" w:customStyle="1" w:styleId="Heading2Char2">
    <w:name w:val="Heading 2 Char2"/>
    <w:aliases w:val="Paranum Char2,(Chapter) Char2,(Chapter) Char Char"/>
    <w:locked/>
    <w:rsid w:val="00060470"/>
    <w:rPr>
      <w:rFonts w:ascii="Cambria" w:hAnsi="Cambria" w:cs="Times New Roman"/>
      <w:b/>
      <w:color w:val="4F81BD"/>
      <w:sz w:val="26"/>
    </w:rPr>
  </w:style>
  <w:style w:type="character" w:customStyle="1" w:styleId="BodyTextChar3">
    <w:name w:val="Body Text Char3"/>
    <w:aliases w:val="(Main Text) Char3,date Char3,Body Text (Main text) Char3,Body Text (Main text) Char Char"/>
    <w:semiHidden/>
    <w:locked/>
    <w:rsid w:val="00060470"/>
    <w:rPr>
      <w:rFonts w:ascii="Times New Roman" w:hAnsi="Times New Roman" w:cs="Times New Roman"/>
      <w:sz w:val="24"/>
      <w:szCs w:val="24"/>
    </w:rPr>
  </w:style>
  <w:style w:type="character" w:customStyle="1" w:styleId="BodyTextChar2">
    <w:name w:val="Body Text Char2"/>
    <w:aliases w:val="(Main Text) Char2,date Char2,Body Text (Main text) Char2"/>
    <w:locked/>
    <w:rsid w:val="00060470"/>
    <w:rPr>
      <w:rFonts w:ascii="Times New Roman" w:hAnsi="Times New Roman" w:cs="Times New Roman"/>
      <w:sz w:val="24"/>
    </w:rPr>
  </w:style>
  <w:style w:type="character" w:customStyle="1" w:styleId="fsl">
    <w:name w:val="fsl"/>
    <w:rsid w:val="00060470"/>
  </w:style>
  <w:style w:type="paragraph" w:styleId="IntenseQuote">
    <w:name w:val="Intense Quote"/>
    <w:basedOn w:val="Normal"/>
    <w:next w:val="Normal"/>
    <w:link w:val="IntenseQuoteChar"/>
    <w:qFormat/>
    <w:rsid w:val="00060470"/>
    <w:pPr>
      <w:pBdr>
        <w:bottom w:val="single" w:sz="4" w:space="4" w:color="4F81BD"/>
      </w:pBdr>
      <w:spacing w:before="200" w:after="280" w:line="240" w:lineRule="auto"/>
      <w:ind w:left="936" w:right="936"/>
      <w:jc w:val="left"/>
    </w:pPr>
    <w:rPr>
      <w:rFonts w:ascii="Times New Roman" w:hAnsi="Times New Roman"/>
      <w:b w:val="0"/>
      <w:bCs/>
      <w:i/>
      <w:iCs/>
      <w:color w:val="4F81BD"/>
      <w:sz w:val="24"/>
    </w:rPr>
  </w:style>
  <w:style w:type="character" w:customStyle="1" w:styleId="IntenseQuoteChar">
    <w:name w:val="Intense Quote Char"/>
    <w:basedOn w:val="DefaultParagraphFont"/>
    <w:link w:val="IntenseQuote"/>
    <w:rsid w:val="00060470"/>
    <w:rPr>
      <w:b/>
      <w:bCs/>
      <w:i/>
      <w:iCs/>
      <w:color w:val="4F81BD"/>
      <w:sz w:val="24"/>
      <w:szCs w:val="24"/>
    </w:rPr>
  </w:style>
  <w:style w:type="character" w:styleId="SubtleEmphasis">
    <w:name w:val="Subtle Emphasis"/>
    <w:qFormat/>
    <w:rsid w:val="00060470"/>
    <w:rPr>
      <w:rFonts w:cs="Times New Roman"/>
      <w:i/>
      <w:iCs/>
      <w:color w:val="808080"/>
    </w:rPr>
  </w:style>
  <w:style w:type="character" w:styleId="SubtleReference">
    <w:name w:val="Subtle Reference"/>
    <w:qFormat/>
    <w:rsid w:val="00060470"/>
    <w:rPr>
      <w:rFonts w:cs="Times New Roman"/>
      <w:smallCaps/>
      <w:color w:val="C0504D"/>
      <w:u w:val="single"/>
    </w:rPr>
  </w:style>
  <w:style w:type="character" w:styleId="IntenseReference">
    <w:name w:val="Intense Reference"/>
    <w:qFormat/>
    <w:rsid w:val="00060470"/>
    <w:rPr>
      <w:rFonts w:cs="Times New Roman"/>
      <w:b/>
      <w:bCs/>
      <w:smallCaps/>
      <w:color w:val="C0504D"/>
      <w:spacing w:val="5"/>
      <w:u w:val="single"/>
    </w:rPr>
  </w:style>
  <w:style w:type="character" w:styleId="BookTitle">
    <w:name w:val="Book Title"/>
    <w:qFormat/>
    <w:rsid w:val="00060470"/>
    <w:rPr>
      <w:rFonts w:cs="Times New Roman"/>
      <w:b/>
      <w:bCs/>
      <w:smallCaps/>
      <w:spacing w:val="5"/>
    </w:rPr>
  </w:style>
  <w:style w:type="paragraph" w:customStyle="1" w:styleId="ColorfulList-Accent11">
    <w:name w:val="Colorful List - Accent 11"/>
    <w:basedOn w:val="Normal"/>
    <w:qFormat/>
    <w:rsid w:val="00060470"/>
    <w:pPr>
      <w:spacing w:before="0" w:after="200"/>
      <w:ind w:left="720"/>
      <w:jc w:val="left"/>
    </w:pPr>
    <w:rPr>
      <w:rFonts w:ascii="Calibri" w:eastAsia="Calibri" w:hAnsi="Calibri"/>
      <w:szCs w:val="22"/>
      <w:lang w:eastAsia="en-US"/>
    </w:rPr>
  </w:style>
  <w:style w:type="character" w:customStyle="1" w:styleId="spellingerror">
    <w:name w:val="spellingerror"/>
    <w:rsid w:val="00060470"/>
  </w:style>
  <w:style w:type="character" w:customStyle="1" w:styleId="CharChar31">
    <w:name w:val="Char Char31"/>
    <w:locked/>
    <w:rsid w:val="00060470"/>
    <w:rPr>
      <w:sz w:val="22"/>
      <w:lang w:val="en-GB" w:eastAsia="en-US"/>
    </w:rPr>
  </w:style>
  <w:style w:type="character" w:customStyle="1" w:styleId="red-block">
    <w:name w:val="red-block"/>
    <w:rsid w:val="00060470"/>
    <w:rPr>
      <w:rFonts w:cs="Times New Roman"/>
    </w:rPr>
  </w:style>
  <w:style w:type="character" w:customStyle="1" w:styleId="accent">
    <w:name w:val="accent"/>
    <w:rsid w:val="00060470"/>
    <w:rPr>
      <w:rFonts w:cs="Times New Roman"/>
    </w:rPr>
  </w:style>
  <w:style w:type="character" w:customStyle="1" w:styleId="FontStyle37">
    <w:name w:val="Font Style37"/>
    <w:rsid w:val="00060470"/>
    <w:rPr>
      <w:rFonts w:ascii="Sylfaen" w:hAnsi="Sylfaen"/>
      <w:sz w:val="22"/>
    </w:rPr>
  </w:style>
  <w:style w:type="numbering" w:customStyle="1" w:styleId="NoList4">
    <w:name w:val="No List4"/>
    <w:next w:val="NoList"/>
    <w:semiHidden/>
    <w:rsid w:val="00060470"/>
  </w:style>
  <w:style w:type="paragraph" w:customStyle="1" w:styleId="StyleHeading3Sub-ChapterCenteredtextHeading3CharCharC1">
    <w:name w:val="Style Heading 3(Sub-Chapter)Centered(text)Heading 3 Char Char C...1"/>
    <w:basedOn w:val="Heading3"/>
    <w:rsid w:val="00060470"/>
    <w:pPr>
      <w:widowControl w:val="0"/>
      <w:tabs>
        <w:tab w:val="left" w:pos="624"/>
      </w:tabs>
      <w:spacing w:before="120"/>
      <w:ind w:right="301"/>
    </w:pPr>
    <w:rPr>
      <w:rFonts w:cs="Times New Roman"/>
      <w:color w:val="000000"/>
      <w:szCs w:val="22"/>
      <w:u w:val="single"/>
      <w:lang w:val="es-ES"/>
    </w:rPr>
  </w:style>
  <w:style w:type="paragraph" w:customStyle="1" w:styleId="1MTEF">
    <w:name w:val="1. MTEF"/>
    <w:basedOn w:val="StyleStyleHeading1SectionSectionHeadingText11Chapterhead31"/>
    <w:rsid w:val="00060470"/>
    <w:rPr>
      <w:b/>
      <w:bCs w:val="0"/>
    </w:rPr>
  </w:style>
  <w:style w:type="character" w:customStyle="1" w:styleId="CharChar35">
    <w:name w:val="Char Char35"/>
    <w:rsid w:val="00060470"/>
    <w:rPr>
      <w:rFonts w:ascii="Arial Armenian" w:hAnsi="Arial Armenian"/>
      <w:i/>
      <w:sz w:val="22"/>
      <w:u w:val="single"/>
      <w:lang w:val="en-GB"/>
    </w:rPr>
  </w:style>
  <w:style w:type="character" w:customStyle="1" w:styleId="CharChar34">
    <w:name w:val="Char Char34"/>
    <w:rsid w:val="00060470"/>
    <w:rPr>
      <w:rFonts w:ascii="Garamond" w:hAnsi="Garamond"/>
      <w:i/>
      <w:spacing w:val="-5"/>
      <w:sz w:val="28"/>
      <w:shd w:val="pct5" w:color="auto" w:fill="auto"/>
      <w:lang w:val="en-GB"/>
    </w:rPr>
  </w:style>
  <w:style w:type="character" w:customStyle="1" w:styleId="CharChar33">
    <w:name w:val="Char Char33"/>
    <w:rsid w:val="00060470"/>
    <w:rPr>
      <w:rFonts w:ascii="Arial Black" w:hAnsi="Arial Black"/>
      <w:caps/>
      <w:spacing w:val="60"/>
      <w:position w:val="4"/>
      <w:sz w:val="14"/>
      <w:lang w:val="en-GB"/>
    </w:rPr>
  </w:style>
  <w:style w:type="character" w:customStyle="1" w:styleId="CharChar32">
    <w:name w:val="Char Char32"/>
    <w:rsid w:val="00060470"/>
    <w:rPr>
      <w:rFonts w:ascii="Garamond" w:hAnsi="Garamond"/>
      <w:b/>
      <w:i/>
      <w:kern w:val="28"/>
      <w:lang w:val="en-GB"/>
    </w:rPr>
  </w:style>
  <w:style w:type="character" w:customStyle="1" w:styleId="CharChar30">
    <w:name w:val="Char Char30"/>
    <w:rsid w:val="00060470"/>
    <w:rPr>
      <w:rFonts w:ascii="Arial Armenian" w:hAnsi="Arial Armenian"/>
      <w:lang w:val="en-GB" w:eastAsia="en-US" w:bidi="ar-SA"/>
    </w:rPr>
  </w:style>
  <w:style w:type="character" w:customStyle="1" w:styleId="CharChar29">
    <w:name w:val="Char Char29"/>
    <w:rsid w:val="00060470"/>
    <w:rPr>
      <w:rFonts w:ascii="Arial Armenian" w:hAnsi="Arial Armenian"/>
      <w:lang w:val="ru-RU" w:eastAsia="ru-RU" w:bidi="ar-SA"/>
    </w:rPr>
  </w:style>
  <w:style w:type="paragraph" w:customStyle="1" w:styleId="CharChar5CharCharCharCharCharChar">
    <w:name w:val="Char Char5 Char Char Char Char Char Char"/>
    <w:basedOn w:val="Normal"/>
    <w:rsid w:val="00060470"/>
    <w:pPr>
      <w:tabs>
        <w:tab w:val="left" w:pos="709"/>
      </w:tabs>
      <w:spacing w:before="0" w:line="240" w:lineRule="auto"/>
      <w:jc w:val="left"/>
    </w:pPr>
    <w:rPr>
      <w:rFonts w:ascii="Tahoma" w:hAnsi="Tahoma"/>
      <w:sz w:val="24"/>
      <w:lang w:val="pl-PL" w:eastAsia="pl-PL"/>
    </w:rPr>
  </w:style>
  <w:style w:type="paragraph" w:customStyle="1" w:styleId="CharChar5CharCharCharChar">
    <w:name w:val="Char Char5 Char Char Char Char"/>
    <w:basedOn w:val="Normal"/>
    <w:rsid w:val="00060470"/>
    <w:pPr>
      <w:tabs>
        <w:tab w:val="left" w:pos="709"/>
      </w:tabs>
      <w:spacing w:before="0" w:line="240" w:lineRule="auto"/>
      <w:jc w:val="left"/>
    </w:pPr>
    <w:rPr>
      <w:rFonts w:ascii="Tahoma" w:hAnsi="Tahoma"/>
      <w:sz w:val="24"/>
      <w:lang w:val="pl-PL" w:eastAsia="pl-PL"/>
    </w:rPr>
  </w:style>
  <w:style w:type="table" w:styleId="Table3Deffects3">
    <w:name w:val="Table 3D effects 3"/>
    <w:basedOn w:val="TableNormal"/>
    <w:uiPriority w:val="99"/>
    <w:rsid w:val="0006047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harChar5CharChar">
    <w:name w:val="Char Char5 Char Char"/>
    <w:basedOn w:val="Normal"/>
    <w:rsid w:val="00060470"/>
    <w:pPr>
      <w:tabs>
        <w:tab w:val="left" w:pos="709"/>
      </w:tabs>
      <w:spacing w:before="0" w:line="240" w:lineRule="auto"/>
      <w:jc w:val="left"/>
    </w:pPr>
    <w:rPr>
      <w:rFonts w:ascii="Tahoma" w:hAnsi="Tahoma"/>
      <w:sz w:val="24"/>
      <w:lang w:val="pl-PL" w:eastAsia="pl-PL"/>
    </w:rPr>
  </w:style>
  <w:style w:type="character" w:customStyle="1" w:styleId="tocnumber">
    <w:name w:val="tocnumber"/>
    <w:rsid w:val="00060470"/>
  </w:style>
  <w:style w:type="character" w:customStyle="1" w:styleId="toctext">
    <w:name w:val="toctext"/>
    <w:rsid w:val="00060470"/>
  </w:style>
  <w:style w:type="character" w:customStyle="1" w:styleId="mw-editsection">
    <w:name w:val="mw-editsection"/>
    <w:rsid w:val="00060470"/>
  </w:style>
  <w:style w:type="character" w:customStyle="1" w:styleId="mw-editsection-bracket">
    <w:name w:val="mw-editsection-bracket"/>
    <w:rsid w:val="00060470"/>
  </w:style>
  <w:style w:type="character" w:customStyle="1" w:styleId="mw-editsection-divider">
    <w:name w:val="mw-editsection-divider"/>
    <w:rsid w:val="00060470"/>
  </w:style>
  <w:style w:type="character" w:customStyle="1" w:styleId="reference-text">
    <w:name w:val="reference-text"/>
    <w:rsid w:val="00060470"/>
  </w:style>
  <w:style w:type="paragraph" w:styleId="z-TopofForm">
    <w:name w:val="HTML Top of Form"/>
    <w:basedOn w:val="Normal"/>
    <w:next w:val="Normal"/>
    <w:link w:val="z-TopofFormChar"/>
    <w:hidden/>
    <w:uiPriority w:val="99"/>
    <w:unhideWhenUsed/>
    <w:rsid w:val="00060470"/>
    <w:pPr>
      <w:pBdr>
        <w:bottom w:val="single" w:sz="6" w:space="1" w:color="auto"/>
      </w:pBdr>
      <w:spacing w:before="0" w:line="240" w:lineRule="auto"/>
      <w:jc w:val="center"/>
    </w:pPr>
    <w:rPr>
      <w:rFonts w:ascii="Arial" w:hAnsi="Arial"/>
      <w:vanish/>
      <w:sz w:val="16"/>
      <w:szCs w:val="16"/>
    </w:rPr>
  </w:style>
  <w:style w:type="character" w:customStyle="1" w:styleId="z-TopofFormChar">
    <w:name w:val="z-Top of Form Char"/>
    <w:basedOn w:val="DefaultParagraphFont"/>
    <w:link w:val="z-TopofForm"/>
    <w:uiPriority w:val="99"/>
    <w:rsid w:val="00060470"/>
    <w:rPr>
      <w:rFonts w:ascii="Arial" w:hAnsi="Arial"/>
      <w:vanish/>
      <w:sz w:val="16"/>
      <w:szCs w:val="16"/>
    </w:rPr>
  </w:style>
  <w:style w:type="paragraph" w:styleId="z-BottomofForm">
    <w:name w:val="HTML Bottom of Form"/>
    <w:basedOn w:val="Normal"/>
    <w:next w:val="Normal"/>
    <w:link w:val="z-BottomofFormChar"/>
    <w:hidden/>
    <w:uiPriority w:val="99"/>
    <w:unhideWhenUsed/>
    <w:rsid w:val="00060470"/>
    <w:pPr>
      <w:pBdr>
        <w:top w:val="single" w:sz="6" w:space="1" w:color="auto"/>
      </w:pBdr>
      <w:spacing w:before="0" w:line="240" w:lineRule="auto"/>
      <w:jc w:val="center"/>
    </w:pPr>
    <w:rPr>
      <w:rFonts w:ascii="Arial" w:hAnsi="Arial"/>
      <w:vanish/>
      <w:sz w:val="16"/>
      <w:szCs w:val="16"/>
    </w:rPr>
  </w:style>
  <w:style w:type="character" w:customStyle="1" w:styleId="z-BottomofFormChar">
    <w:name w:val="z-Bottom of Form Char"/>
    <w:basedOn w:val="DefaultParagraphFont"/>
    <w:link w:val="z-BottomofForm"/>
    <w:uiPriority w:val="99"/>
    <w:rsid w:val="00060470"/>
    <w:rPr>
      <w:rFonts w:ascii="Arial" w:hAnsi="Arial"/>
      <w:vanish/>
      <w:sz w:val="16"/>
      <w:szCs w:val="16"/>
    </w:rPr>
  </w:style>
  <w:style w:type="character" w:customStyle="1" w:styleId="wb-langlinks-edit">
    <w:name w:val="wb-langlinks-edit"/>
    <w:rsid w:val="00060470"/>
  </w:style>
  <w:style w:type="character" w:customStyle="1" w:styleId="noprint">
    <w:name w:val="noprint"/>
    <w:rsid w:val="00060470"/>
  </w:style>
  <w:style w:type="character" w:customStyle="1" w:styleId="pg">
    <w:name w:val="pg"/>
    <w:rsid w:val="00060470"/>
  </w:style>
  <w:style w:type="paragraph" w:customStyle="1" w:styleId="DecimalAligned">
    <w:name w:val="Decimal Aligned"/>
    <w:basedOn w:val="Normal"/>
    <w:uiPriority w:val="40"/>
    <w:qFormat/>
    <w:rsid w:val="00060470"/>
    <w:pPr>
      <w:tabs>
        <w:tab w:val="decimal" w:pos="360"/>
      </w:tabs>
      <w:spacing w:before="0" w:after="200"/>
      <w:jc w:val="left"/>
    </w:pPr>
    <w:rPr>
      <w:rFonts w:ascii="Calibri" w:eastAsia="Calibri" w:hAnsi="Calibri"/>
      <w:szCs w:val="22"/>
      <w:lang w:val="en-US" w:eastAsia="ja-JP"/>
    </w:rPr>
  </w:style>
  <w:style w:type="paragraph" w:styleId="HTMLPreformatted">
    <w:name w:val="HTML Preformatted"/>
    <w:basedOn w:val="Normal"/>
    <w:link w:val="HTMLPreformattedChar"/>
    <w:uiPriority w:val="99"/>
    <w:unhideWhenUsed/>
    <w:rsid w:val="000604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Arial Unicode" w:hAnsi="Arial Unicode"/>
      <w:sz w:val="20"/>
      <w:szCs w:val="20"/>
    </w:rPr>
  </w:style>
  <w:style w:type="character" w:customStyle="1" w:styleId="HTMLPreformattedChar">
    <w:name w:val="HTML Preformatted Char"/>
    <w:basedOn w:val="DefaultParagraphFont"/>
    <w:link w:val="HTMLPreformatted"/>
    <w:uiPriority w:val="99"/>
    <w:rsid w:val="00060470"/>
    <w:rPr>
      <w:rFonts w:ascii="Arial Unicode" w:hAnsi="Arial Unicode"/>
    </w:rPr>
  </w:style>
  <w:style w:type="paragraph" w:customStyle="1" w:styleId="StyleCaption11pt">
    <w:name w:val="Style Caption + 11 pt"/>
    <w:basedOn w:val="Caption"/>
    <w:link w:val="StyleCaption11ptChar"/>
    <w:rsid w:val="00060470"/>
    <w:pPr>
      <w:spacing w:before="360" w:after="120" w:line="240" w:lineRule="auto"/>
      <w:ind w:left="1350" w:hanging="1350"/>
      <w:jc w:val="left"/>
    </w:pPr>
    <w:rPr>
      <w:color w:val="auto"/>
      <w:sz w:val="20"/>
      <w:szCs w:val="20"/>
    </w:rPr>
  </w:style>
  <w:style w:type="character" w:customStyle="1" w:styleId="StyleCaption11ptChar">
    <w:name w:val="Style Caption + 11 pt Char"/>
    <w:link w:val="StyleCaption11pt"/>
    <w:rsid w:val="00060470"/>
    <w:rPr>
      <w:rFonts w:ascii="GHEA Grapalat" w:hAnsi="GHEA Grapalat"/>
      <w:b/>
      <w:bCs/>
      <w:lang w:eastAsia="ru-RU"/>
    </w:rPr>
  </w:style>
  <w:style w:type="paragraph" w:customStyle="1" w:styleId="StyleHeading3GHEAGrapalatJustified">
    <w:name w:val="Style Heading 3 + GHEA Grapalat Justified"/>
    <w:basedOn w:val="Heading3"/>
    <w:rsid w:val="00060470"/>
    <w:pPr>
      <w:tabs>
        <w:tab w:val="num" w:pos="384"/>
        <w:tab w:val="num" w:pos="737"/>
      </w:tabs>
      <w:spacing w:after="240"/>
      <w:ind w:left="1248" w:hanging="708"/>
    </w:pPr>
    <w:rPr>
      <w:rFonts w:cs="Times New Roman"/>
      <w:szCs w:val="22"/>
      <w:lang w:eastAsia="ru-RU"/>
    </w:rPr>
  </w:style>
  <w:style w:type="paragraph" w:customStyle="1" w:styleId="TitleNew">
    <w:name w:val="Title New"/>
    <w:basedOn w:val="Normal"/>
    <w:rsid w:val="00060470"/>
    <w:pPr>
      <w:widowControl w:val="0"/>
      <w:spacing w:before="0" w:line="360" w:lineRule="atLeast"/>
    </w:pPr>
    <w:rPr>
      <w:rFonts w:ascii="Times New Roman" w:eastAsia="ヒラギノ角ゴ Pro W3" w:hAnsi="Times New Roman"/>
      <w:b w:val="0"/>
      <w:color w:val="000000"/>
      <w:sz w:val="44"/>
      <w:lang w:val="en-US" w:eastAsia="en-US"/>
    </w:rPr>
  </w:style>
  <w:style w:type="paragraph" w:customStyle="1" w:styleId="36">
    <w:name w:val="Абзац списка3"/>
    <w:basedOn w:val="Normal"/>
    <w:uiPriority w:val="99"/>
    <w:qFormat/>
    <w:rsid w:val="00060470"/>
    <w:pPr>
      <w:spacing w:before="0" w:line="240" w:lineRule="auto"/>
      <w:ind w:left="720"/>
      <w:jc w:val="left"/>
    </w:pPr>
    <w:rPr>
      <w:rFonts w:ascii="Times New Roman" w:hAnsi="Times New Roman"/>
      <w:sz w:val="24"/>
    </w:rPr>
  </w:style>
  <w:style w:type="character" w:customStyle="1" w:styleId="37">
    <w:name w:val="Основной текст3"/>
    <w:rsid w:val="00060470"/>
    <w:rPr>
      <w:rFonts w:ascii="Arial Unicode MS" w:eastAsia="Arial Unicode MS" w:hAnsi="Arial Unicode MS" w:cs="Arial Unicode MS"/>
      <w:b w:val="0"/>
      <w:bCs w:val="0"/>
      <w:i w:val="0"/>
      <w:iCs w:val="0"/>
      <w:smallCaps w:val="0"/>
      <w:strike w:val="0"/>
      <w:color w:val="000000"/>
      <w:spacing w:val="0"/>
      <w:w w:val="100"/>
      <w:position w:val="0"/>
      <w:sz w:val="30"/>
      <w:szCs w:val="30"/>
      <w:u w:val="none"/>
      <w:lang w:val="hy-AM"/>
    </w:rPr>
  </w:style>
  <w:style w:type="paragraph" w:customStyle="1" w:styleId="NormalGHEAGrapalat">
    <w:name w:val="Normal + GHEA Grapalat"/>
    <w:aliases w:val="11 pt,Bold,Italic"/>
    <w:basedOn w:val="Normal"/>
    <w:rsid w:val="00060470"/>
    <w:pPr>
      <w:autoSpaceDE w:val="0"/>
      <w:autoSpaceDN w:val="0"/>
      <w:adjustRightInd w:val="0"/>
      <w:spacing w:before="0" w:line="240" w:lineRule="auto"/>
      <w:ind w:firstLine="180"/>
    </w:pPr>
    <w:rPr>
      <w:b w:val="0"/>
      <w:i/>
      <w:szCs w:val="22"/>
      <w:lang w:val="hy-AM"/>
    </w:rPr>
  </w:style>
  <w:style w:type="character" w:customStyle="1" w:styleId="CommentTextChar2">
    <w:name w:val="Comment Text Char2"/>
    <w:rsid w:val="00060470"/>
    <w:rPr>
      <w:rFonts w:ascii="Arial Armenian" w:hAnsi="Arial Armenian"/>
      <w:lang w:val="ru-RU" w:eastAsia="ru-RU" w:bidi="ar-SA"/>
    </w:rPr>
  </w:style>
  <w:style w:type="character" w:customStyle="1" w:styleId="BalloonTextChar2">
    <w:name w:val="Balloon Text Char2"/>
    <w:rsid w:val="00060470"/>
    <w:rPr>
      <w:rFonts w:ascii="Tahoma" w:hAnsi="Tahoma"/>
      <w:sz w:val="16"/>
      <w:szCs w:val="16"/>
      <w:lang w:bidi="ar-SA"/>
    </w:rPr>
  </w:style>
  <w:style w:type="character" w:customStyle="1" w:styleId="Bodytext20">
    <w:name w:val="Body text (2)_"/>
    <w:link w:val="Bodytext21"/>
    <w:uiPriority w:val="99"/>
    <w:locked/>
    <w:rsid w:val="00060470"/>
    <w:rPr>
      <w:rFonts w:ascii="Tahoma" w:hAnsi="Tahoma" w:cs="Tahoma"/>
      <w:sz w:val="21"/>
      <w:szCs w:val="21"/>
      <w:shd w:val="clear" w:color="auto" w:fill="FFFFFF"/>
    </w:rPr>
  </w:style>
  <w:style w:type="paragraph" w:customStyle="1" w:styleId="Bodytext21">
    <w:name w:val="Body text (2)"/>
    <w:basedOn w:val="Normal"/>
    <w:link w:val="Bodytext20"/>
    <w:uiPriority w:val="99"/>
    <w:rsid w:val="00060470"/>
    <w:pPr>
      <w:widowControl w:val="0"/>
      <w:shd w:val="clear" w:color="auto" w:fill="FFFFFF"/>
      <w:spacing w:before="720" w:line="485" w:lineRule="exact"/>
    </w:pPr>
    <w:rPr>
      <w:rFonts w:ascii="Tahoma" w:hAnsi="Tahoma" w:cs="Tahoma"/>
      <w:sz w:val="21"/>
      <w:szCs w:val="21"/>
      <w:lang w:val="en-US" w:eastAsia="en-US"/>
    </w:rPr>
  </w:style>
  <w:style w:type="paragraph" w:customStyle="1" w:styleId="Appendix">
    <w:name w:val="Appendix"/>
    <w:basedOn w:val="Normal"/>
    <w:next w:val="Normal"/>
    <w:uiPriority w:val="6"/>
    <w:qFormat/>
    <w:rsid w:val="00060470"/>
    <w:pPr>
      <w:spacing w:before="0" w:after="240" w:line="264" w:lineRule="auto"/>
      <w:jc w:val="center"/>
    </w:pPr>
    <w:rPr>
      <w:rFonts w:ascii="Segoe UI" w:eastAsia="SimSun" w:hAnsi="Segoe UI"/>
      <w:b w:val="0"/>
      <w:color w:val="C45911"/>
      <w:sz w:val="32"/>
      <w:szCs w:val="20"/>
      <w:lang w:val="en-US" w:eastAsia="en-US"/>
    </w:rPr>
  </w:style>
  <w:style w:type="paragraph" w:customStyle="1" w:styleId="dec-date">
    <w:name w:val="dec-date"/>
    <w:basedOn w:val="Normal"/>
    <w:uiPriority w:val="99"/>
    <w:rsid w:val="00060470"/>
    <w:pPr>
      <w:spacing w:before="100" w:beforeAutospacing="1" w:after="100" w:afterAutospacing="1" w:line="240" w:lineRule="auto"/>
      <w:jc w:val="left"/>
    </w:pPr>
    <w:rPr>
      <w:rFonts w:ascii="Times New Roman" w:hAnsi="Times New Roman"/>
      <w:sz w:val="24"/>
      <w:lang w:val="en-US" w:eastAsia="en-US"/>
    </w:rPr>
  </w:style>
  <w:style w:type="paragraph" w:customStyle="1" w:styleId="38">
    <w:name w:val="Обычный3"/>
    <w:rsid w:val="00060470"/>
    <w:pPr>
      <w:autoSpaceDE w:val="0"/>
      <w:autoSpaceDN w:val="0"/>
    </w:pPr>
    <w:rPr>
      <w:lang w:val="ru-RU" w:eastAsia="ru-RU"/>
    </w:rPr>
  </w:style>
  <w:style w:type="paragraph" w:customStyle="1" w:styleId="1f">
    <w:name w:val="Заголовок оглавления1"/>
    <w:basedOn w:val="Heading1"/>
    <w:next w:val="Normal"/>
    <w:uiPriority w:val="39"/>
    <w:unhideWhenUsed/>
    <w:qFormat/>
    <w:rsid w:val="00060470"/>
    <w:pPr>
      <w:keepLines/>
      <w:spacing w:before="480"/>
      <w:outlineLvl w:val="9"/>
    </w:pPr>
    <w:rPr>
      <w:rFonts w:ascii="Cambria" w:hAnsi="Cambria"/>
      <w:bCs w:val="0"/>
      <w:color w:val="365F91"/>
      <w:szCs w:val="28"/>
    </w:rPr>
  </w:style>
  <w:style w:type="paragraph" w:customStyle="1" w:styleId="213">
    <w:name w:val="Цитата 21"/>
    <w:basedOn w:val="Normal"/>
    <w:next w:val="Normal"/>
    <w:uiPriority w:val="29"/>
    <w:qFormat/>
    <w:rsid w:val="00060470"/>
    <w:pPr>
      <w:spacing w:before="0" w:line="240" w:lineRule="auto"/>
      <w:jc w:val="left"/>
    </w:pPr>
    <w:rPr>
      <w:rFonts w:ascii="Times New Roman" w:hAnsi="Times New Roman"/>
      <w:i/>
      <w:iCs/>
      <w:color w:val="000000"/>
      <w:sz w:val="24"/>
    </w:rPr>
  </w:style>
  <w:style w:type="character" w:customStyle="1" w:styleId="1f0">
    <w:name w:val="Сильное выделение1"/>
    <w:uiPriority w:val="21"/>
    <w:qFormat/>
    <w:rsid w:val="00060470"/>
    <w:rPr>
      <w:b/>
      <w:bCs/>
      <w:i/>
      <w:iCs/>
      <w:color w:val="4F81BD"/>
    </w:rPr>
  </w:style>
  <w:style w:type="numbering" w:customStyle="1" w:styleId="116">
    <w:name w:val="Нет списка11"/>
    <w:next w:val="NoList"/>
    <w:semiHidden/>
    <w:unhideWhenUsed/>
    <w:rsid w:val="00060470"/>
  </w:style>
  <w:style w:type="paragraph" w:customStyle="1" w:styleId="1f1">
    <w:name w:val="Выделенная цитата1"/>
    <w:basedOn w:val="Normal"/>
    <w:next w:val="Normal"/>
    <w:qFormat/>
    <w:rsid w:val="00060470"/>
    <w:pPr>
      <w:pBdr>
        <w:bottom w:val="single" w:sz="4" w:space="4" w:color="4F81BD"/>
      </w:pBdr>
      <w:spacing w:before="200" w:after="280" w:line="240" w:lineRule="auto"/>
      <w:ind w:left="936" w:right="936"/>
      <w:jc w:val="left"/>
    </w:pPr>
    <w:rPr>
      <w:rFonts w:ascii="Times New Roman" w:hAnsi="Times New Roman"/>
      <w:b w:val="0"/>
      <w:bCs/>
      <w:i/>
      <w:iCs/>
      <w:color w:val="4F81BD"/>
      <w:sz w:val="24"/>
    </w:rPr>
  </w:style>
  <w:style w:type="character" w:customStyle="1" w:styleId="1f2">
    <w:name w:val="Слабое выделение1"/>
    <w:qFormat/>
    <w:rsid w:val="00060470"/>
    <w:rPr>
      <w:rFonts w:cs="Times New Roman"/>
      <w:i/>
      <w:iCs/>
      <w:color w:val="808080"/>
    </w:rPr>
  </w:style>
  <w:style w:type="character" w:customStyle="1" w:styleId="1f3">
    <w:name w:val="Слабая ссылка1"/>
    <w:qFormat/>
    <w:rsid w:val="00060470"/>
    <w:rPr>
      <w:rFonts w:cs="Times New Roman"/>
      <w:smallCaps/>
      <w:color w:val="C0504D"/>
      <w:u w:val="single"/>
    </w:rPr>
  </w:style>
  <w:style w:type="character" w:customStyle="1" w:styleId="1f4">
    <w:name w:val="Сильная ссылка1"/>
    <w:qFormat/>
    <w:rsid w:val="00060470"/>
    <w:rPr>
      <w:rFonts w:cs="Times New Roman"/>
      <w:b/>
      <w:bCs/>
      <w:smallCaps/>
      <w:color w:val="C0504D"/>
      <w:spacing w:val="5"/>
      <w:u w:val="single"/>
    </w:rPr>
  </w:style>
  <w:style w:type="character" w:customStyle="1" w:styleId="1f5">
    <w:name w:val="Название книги1"/>
    <w:qFormat/>
    <w:rsid w:val="00060470"/>
    <w:rPr>
      <w:rFonts w:cs="Times New Roman"/>
      <w:b/>
      <w:bCs/>
      <w:smallCaps/>
      <w:spacing w:val="5"/>
    </w:rPr>
  </w:style>
  <w:style w:type="character" w:customStyle="1" w:styleId="SubtitleChar2">
    <w:name w:val="Subtitle Char2"/>
    <w:rsid w:val="00060470"/>
    <w:rPr>
      <w:rFonts w:ascii="Times Armenian" w:hAnsi="Times Armenian"/>
      <w:b/>
      <w:sz w:val="28"/>
      <w:szCs w:val="24"/>
      <w:lang w:eastAsia="ru-RU"/>
    </w:rPr>
  </w:style>
  <w:style w:type="paragraph" w:customStyle="1" w:styleId="2a">
    <w:name w:val="Рецензия2"/>
    <w:hidden/>
    <w:semiHidden/>
    <w:rsid w:val="00060470"/>
    <w:rPr>
      <w:rFonts w:ascii="Arial Armenian" w:hAnsi="Arial Armenian"/>
      <w:sz w:val="22"/>
      <w:szCs w:val="22"/>
      <w:lang w:eastAsia="ru-RU"/>
    </w:rPr>
  </w:style>
  <w:style w:type="character" w:customStyle="1" w:styleId="TextChar">
    <w:name w:val="Text Char"/>
    <w:link w:val="Text"/>
    <w:locked/>
    <w:rsid w:val="00060470"/>
    <w:rPr>
      <w:rFonts w:ascii="GHEA Grapalat" w:hAnsi="GHEA Grapalat"/>
      <w:b/>
      <w:sz w:val="22"/>
      <w:lang w:val="en-GB"/>
    </w:rPr>
  </w:style>
  <w:style w:type="numbering" w:customStyle="1" w:styleId="NoList5">
    <w:name w:val="No List5"/>
    <w:next w:val="NoList"/>
    <w:uiPriority w:val="99"/>
    <w:semiHidden/>
    <w:unhideWhenUsed/>
    <w:rsid w:val="004D6E4C"/>
  </w:style>
  <w:style w:type="numbering" w:customStyle="1" w:styleId="NoList12">
    <w:name w:val="No List12"/>
    <w:next w:val="NoList"/>
    <w:uiPriority w:val="99"/>
    <w:semiHidden/>
    <w:rsid w:val="004D6E4C"/>
  </w:style>
  <w:style w:type="paragraph" w:customStyle="1" w:styleId="Bullet">
    <w:name w:val="Bullet"/>
    <w:aliases w:val="bl,Bullet L1,bl1"/>
    <w:basedOn w:val="Normal"/>
    <w:rsid w:val="004D6E4C"/>
    <w:pPr>
      <w:overflowPunct w:val="0"/>
      <w:autoSpaceDE w:val="0"/>
      <w:autoSpaceDN w:val="0"/>
      <w:adjustRightInd w:val="0"/>
      <w:spacing w:before="0" w:after="130" w:line="240" w:lineRule="auto"/>
      <w:ind w:left="283" w:hanging="283"/>
      <w:textAlignment w:val="baseline"/>
    </w:pPr>
    <w:rPr>
      <w:rFonts w:ascii="Times New Roman" w:hAnsi="Times New Roman"/>
      <w:szCs w:val="20"/>
      <w:lang w:val="en-GB" w:eastAsia="en-US"/>
    </w:rPr>
  </w:style>
  <w:style w:type="numbering" w:customStyle="1" w:styleId="NoList112">
    <w:name w:val="No List112"/>
    <w:next w:val="NoList"/>
    <w:semiHidden/>
    <w:rsid w:val="004D6E4C"/>
  </w:style>
  <w:style w:type="numbering" w:customStyle="1" w:styleId="NoList1111">
    <w:name w:val="No List1111"/>
    <w:next w:val="NoList"/>
    <w:semiHidden/>
    <w:rsid w:val="004D6E4C"/>
  </w:style>
  <w:style w:type="numbering" w:customStyle="1" w:styleId="NoList21">
    <w:name w:val="No List21"/>
    <w:next w:val="NoList"/>
    <w:semiHidden/>
    <w:rsid w:val="004D6E4C"/>
  </w:style>
  <w:style w:type="table" w:customStyle="1" w:styleId="TableGrid2">
    <w:name w:val="Table Grid2"/>
    <w:basedOn w:val="TableNormal"/>
    <w:next w:val="TableGrid"/>
    <w:rsid w:val="004D6E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semiHidden/>
    <w:unhideWhenUsed/>
    <w:rsid w:val="004D6E4C"/>
  </w:style>
  <w:style w:type="paragraph" w:customStyle="1" w:styleId="Char6">
    <w:name w:val="Char6"/>
    <w:basedOn w:val="Normal"/>
    <w:rsid w:val="008F52AF"/>
    <w:pPr>
      <w:spacing w:before="0" w:after="160" w:line="240" w:lineRule="exact"/>
      <w:jc w:val="left"/>
    </w:pPr>
    <w:rPr>
      <w:rFonts w:ascii="Arial" w:hAnsi="Arial" w:cs="Arial"/>
      <w:sz w:val="20"/>
      <w:szCs w:val="20"/>
      <w:lang w:val="en-US" w:eastAsia="en-US"/>
    </w:rPr>
  </w:style>
  <w:style w:type="paragraph" w:customStyle="1" w:styleId="1f6">
    <w:name w:val="1.Աղյուսակ Տեքստ"/>
    <w:basedOn w:val="Normal"/>
    <w:link w:val="1Char"/>
    <w:qFormat/>
    <w:rsid w:val="00681E45"/>
    <w:pPr>
      <w:spacing w:before="0" w:line="240" w:lineRule="auto"/>
      <w:jc w:val="center"/>
    </w:pPr>
    <w:rPr>
      <w:rFonts w:cs="Courier New"/>
      <w:b w:val="0"/>
      <w:color w:val="000000"/>
      <w:sz w:val="20"/>
      <w:szCs w:val="22"/>
      <w:lang w:val="en-US"/>
    </w:rPr>
  </w:style>
  <w:style w:type="character" w:customStyle="1" w:styleId="1Char">
    <w:name w:val="1.Աղյուսակ Տեքստ Char"/>
    <w:basedOn w:val="DefaultParagraphFont"/>
    <w:link w:val="1f6"/>
    <w:rsid w:val="00681E45"/>
    <w:rPr>
      <w:rFonts w:ascii="GHEA Grapalat" w:hAnsi="GHEA Grapalat" w:cs="Courier New"/>
      <w:color w:val="000000"/>
      <w:szCs w:val="22"/>
      <w:lang w:eastAsia="ru-RU"/>
    </w:rPr>
  </w:style>
  <w:style w:type="paragraph" w:customStyle="1" w:styleId="N">
    <w:name w:val="Աղյուսակ N"/>
    <w:basedOn w:val="BodyText2"/>
    <w:link w:val="NChar"/>
    <w:qFormat/>
    <w:rsid w:val="00FF291F"/>
  </w:style>
  <w:style w:type="character" w:customStyle="1" w:styleId="NChar">
    <w:name w:val="Աղյուսակ N Char"/>
    <w:basedOn w:val="BodyText2Char"/>
    <w:link w:val="N"/>
    <w:rsid w:val="00FF291F"/>
    <w:rPr>
      <w:rFonts w:ascii="GHEA Grapalat" w:eastAsia="Calibri" w:hAnsi="GHEA Grapalat"/>
      <w:sz w:val="22"/>
      <w:szCs w:val="22"/>
      <w:lang w:val="hy-AM"/>
    </w:rPr>
  </w:style>
  <w:style w:type="numbering" w:customStyle="1" w:styleId="NoList6">
    <w:name w:val="No List6"/>
    <w:next w:val="NoList"/>
    <w:uiPriority w:val="99"/>
    <w:semiHidden/>
    <w:unhideWhenUsed/>
    <w:rsid w:val="004163F2"/>
  </w:style>
  <w:style w:type="character" w:customStyle="1" w:styleId="BodyTextIndentChar1">
    <w:name w:val="Body Text Indent Char1"/>
    <w:aliases w:val="(Table Source) Char1,(Table Source) Char Char"/>
    <w:rsid w:val="004163F2"/>
    <w:rPr>
      <w:rFonts w:eastAsia="Batang"/>
      <w:sz w:val="24"/>
    </w:rPr>
  </w:style>
  <w:style w:type="numbering" w:customStyle="1" w:styleId="NoList7">
    <w:name w:val="No List7"/>
    <w:next w:val="NoList"/>
    <w:uiPriority w:val="99"/>
    <w:semiHidden/>
    <w:unhideWhenUsed/>
    <w:rsid w:val="003E71C9"/>
  </w:style>
  <w:style w:type="table" w:customStyle="1" w:styleId="TableGrid30">
    <w:name w:val="Table Grid3"/>
    <w:basedOn w:val="TableNormal"/>
    <w:next w:val="TableGrid"/>
    <w:rsid w:val="003E71C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semiHidden/>
    <w:unhideWhenUsed/>
    <w:rsid w:val="003E71C9"/>
  </w:style>
  <w:style w:type="numbering" w:customStyle="1" w:styleId="NoList113">
    <w:name w:val="No List113"/>
    <w:next w:val="NoList"/>
    <w:semiHidden/>
    <w:rsid w:val="003E71C9"/>
  </w:style>
  <w:style w:type="table" w:customStyle="1" w:styleId="TableGrid11">
    <w:name w:val="Table Grid11"/>
    <w:basedOn w:val="TableNormal"/>
    <w:next w:val="TableGrid"/>
    <w:rsid w:val="003E71C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semiHidden/>
    <w:rsid w:val="003E71C9"/>
  </w:style>
  <w:style w:type="numbering" w:customStyle="1" w:styleId="NoList22">
    <w:name w:val="No List22"/>
    <w:next w:val="NoList"/>
    <w:semiHidden/>
    <w:rsid w:val="003E71C9"/>
  </w:style>
  <w:style w:type="numbering" w:customStyle="1" w:styleId="NoList32">
    <w:name w:val="No List32"/>
    <w:next w:val="NoList"/>
    <w:semiHidden/>
    <w:unhideWhenUsed/>
    <w:rsid w:val="003E71C9"/>
  </w:style>
  <w:style w:type="table" w:customStyle="1" w:styleId="TableList71">
    <w:name w:val="Table List 71"/>
    <w:basedOn w:val="TableNormal"/>
    <w:next w:val="TableList7"/>
    <w:rsid w:val="003E71C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
    <w:name w:val="Table Web 31"/>
    <w:basedOn w:val="TableNormal"/>
    <w:next w:val="TableWeb3"/>
    <w:rsid w:val="003E71C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
    <w:name w:val="Table Elegant1"/>
    <w:basedOn w:val="TableNormal"/>
    <w:next w:val="TableElegant"/>
    <w:rsid w:val="003E71C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3E71C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
    <w:name w:val="Table Web 11"/>
    <w:basedOn w:val="TableNormal"/>
    <w:next w:val="TableWeb1"/>
    <w:rsid w:val="003E71C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
    <w:name w:val="Table Grid 81"/>
    <w:basedOn w:val="TableNormal"/>
    <w:next w:val="TableGrid8"/>
    <w:rsid w:val="003E71C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
    <w:name w:val="Table Contemporary1"/>
    <w:basedOn w:val="TableNormal"/>
    <w:next w:val="TableContemporary"/>
    <w:rsid w:val="003E71C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
    <w:name w:val="Light List - Accent 12"/>
    <w:basedOn w:val="TableNormal"/>
    <w:next w:val="LightList-Accent1"/>
    <w:uiPriority w:val="61"/>
    <w:rsid w:val="003E71C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
    <w:name w:val="Table Grid 71"/>
    <w:basedOn w:val="TableNormal"/>
    <w:next w:val="TableGrid7"/>
    <w:rsid w:val="003E71C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
    <w:name w:val="Colorful Grid - Accent 12"/>
    <w:basedOn w:val="TableNormal"/>
    <w:next w:val="ColorfulGrid-Accent1"/>
    <w:rsid w:val="003E71C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
    <w:name w:val="Light List - Accent 52"/>
    <w:basedOn w:val="TableNormal"/>
    <w:next w:val="LightList-Accent5"/>
    <w:rsid w:val="003E71C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
    <w:name w:val="Table Simple 31"/>
    <w:basedOn w:val="TableNormal"/>
    <w:next w:val="TableSimple3"/>
    <w:rsid w:val="003E71C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
    <w:name w:val="Table Grid 51"/>
    <w:basedOn w:val="TableNormal"/>
    <w:next w:val="TableGrid5"/>
    <w:rsid w:val="003E71C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
    <w:name w:val="Table Grid 31"/>
    <w:basedOn w:val="TableNormal"/>
    <w:next w:val="TableGrid3"/>
    <w:rsid w:val="003E71C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0">
    <w:name w:val="Table Grid 11"/>
    <w:basedOn w:val="TableNormal"/>
    <w:next w:val="TableGrid10"/>
    <w:rsid w:val="003E71C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
    <w:name w:val="Table Columns 51"/>
    <w:basedOn w:val="TableNormal"/>
    <w:next w:val="TableColumns5"/>
    <w:rsid w:val="003E71C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
    <w:name w:val="Light List - Accent 111"/>
    <w:basedOn w:val="TableNormal"/>
    <w:uiPriority w:val="61"/>
    <w:rsid w:val="003E71C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0">
    <w:name w:val="Нет списка12"/>
    <w:next w:val="NoList"/>
    <w:uiPriority w:val="99"/>
    <w:semiHidden/>
    <w:unhideWhenUsed/>
    <w:rsid w:val="003E71C9"/>
  </w:style>
  <w:style w:type="table" w:customStyle="1" w:styleId="ColorfulGrid-Accent111">
    <w:name w:val="Colorful Grid - Accent 111"/>
    <w:basedOn w:val="TableNormal"/>
    <w:rsid w:val="003E71C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
    <w:name w:val="Light List - Accent 511"/>
    <w:basedOn w:val="TableNormal"/>
    <w:rsid w:val="003E71C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
    <w:name w:val="No List41"/>
    <w:next w:val="NoList"/>
    <w:semiHidden/>
    <w:rsid w:val="003E71C9"/>
  </w:style>
  <w:style w:type="table" w:customStyle="1" w:styleId="Table3Deffects31">
    <w:name w:val="Table 3D effects 31"/>
    <w:basedOn w:val="TableNormal"/>
    <w:next w:val="Table3Deffects3"/>
    <w:rsid w:val="003E71C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
    <w:name w:val="Нет списка111"/>
    <w:next w:val="NoList"/>
    <w:semiHidden/>
    <w:unhideWhenUsed/>
    <w:rsid w:val="003E71C9"/>
  </w:style>
  <w:style w:type="numbering" w:customStyle="1" w:styleId="NoList51">
    <w:name w:val="No List51"/>
    <w:next w:val="NoList"/>
    <w:uiPriority w:val="99"/>
    <w:semiHidden/>
    <w:unhideWhenUsed/>
    <w:rsid w:val="003E71C9"/>
  </w:style>
  <w:style w:type="numbering" w:customStyle="1" w:styleId="NoList121">
    <w:name w:val="No List121"/>
    <w:next w:val="NoList"/>
    <w:uiPriority w:val="99"/>
    <w:semiHidden/>
    <w:rsid w:val="003E71C9"/>
  </w:style>
  <w:style w:type="numbering" w:customStyle="1" w:styleId="NoList1121">
    <w:name w:val="No List1121"/>
    <w:next w:val="NoList"/>
    <w:semiHidden/>
    <w:rsid w:val="003E71C9"/>
  </w:style>
  <w:style w:type="numbering" w:customStyle="1" w:styleId="NoList11111">
    <w:name w:val="No List11111"/>
    <w:next w:val="NoList"/>
    <w:semiHidden/>
    <w:rsid w:val="003E71C9"/>
  </w:style>
  <w:style w:type="numbering" w:customStyle="1" w:styleId="NoList211">
    <w:name w:val="No List211"/>
    <w:next w:val="NoList"/>
    <w:semiHidden/>
    <w:rsid w:val="003E71C9"/>
  </w:style>
  <w:style w:type="table" w:customStyle="1" w:styleId="TableGrid21">
    <w:name w:val="Table Grid21"/>
    <w:basedOn w:val="TableNormal"/>
    <w:next w:val="TableGrid"/>
    <w:rsid w:val="003E71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semiHidden/>
    <w:unhideWhenUsed/>
    <w:rsid w:val="003E71C9"/>
  </w:style>
  <w:style w:type="numbering" w:customStyle="1" w:styleId="NoList8">
    <w:name w:val="No List8"/>
    <w:next w:val="NoList"/>
    <w:uiPriority w:val="99"/>
    <w:semiHidden/>
    <w:unhideWhenUsed/>
    <w:rsid w:val="00243A0B"/>
  </w:style>
  <w:style w:type="numbering" w:customStyle="1" w:styleId="NoList9">
    <w:name w:val="No List9"/>
    <w:next w:val="NoList"/>
    <w:uiPriority w:val="99"/>
    <w:semiHidden/>
    <w:unhideWhenUsed/>
    <w:rsid w:val="000E5840"/>
  </w:style>
  <w:style w:type="table" w:customStyle="1" w:styleId="TableGrid4">
    <w:name w:val="Table Grid4"/>
    <w:basedOn w:val="TableNormal"/>
    <w:next w:val="TableGrid"/>
    <w:uiPriority w:val="39"/>
    <w:rsid w:val="000E58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
    <w:name w:val="Table List 72"/>
    <w:basedOn w:val="TableNormal"/>
    <w:next w:val="TableList7"/>
    <w:rsid w:val="000E584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
    <w:name w:val="Table Web 32"/>
    <w:basedOn w:val="TableNormal"/>
    <w:next w:val="TableWeb3"/>
    <w:rsid w:val="000E584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
    <w:name w:val="Table Elegant2"/>
    <w:basedOn w:val="TableNormal"/>
    <w:next w:val="TableElegant"/>
    <w:rsid w:val="000E584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Numbering">
    <w:name w:val="Numbering"/>
    <w:basedOn w:val="Normal"/>
    <w:next w:val="Normal"/>
    <w:rsid w:val="000E5840"/>
    <w:pPr>
      <w:tabs>
        <w:tab w:val="num" w:pos="360"/>
      </w:tabs>
      <w:spacing w:before="0" w:line="240" w:lineRule="auto"/>
      <w:ind w:left="360" w:hanging="360"/>
      <w:jc w:val="left"/>
    </w:pPr>
    <w:rPr>
      <w:rFonts w:ascii="Times Armenian" w:hAnsi="Times Armenian"/>
      <w:b w:val="0"/>
      <w:sz w:val="20"/>
      <w:szCs w:val="20"/>
      <w:lang w:val="en-US" w:eastAsia="en-US"/>
    </w:rPr>
  </w:style>
  <w:style w:type="table" w:customStyle="1" w:styleId="TableWeb22">
    <w:name w:val="Table Web 22"/>
    <w:basedOn w:val="TableNormal"/>
    <w:next w:val="TableWeb2"/>
    <w:rsid w:val="000E584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
    <w:name w:val="Table Web 12"/>
    <w:basedOn w:val="TableNormal"/>
    <w:next w:val="TableWeb1"/>
    <w:rsid w:val="000E584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
    <w:name w:val="Table Grid 82"/>
    <w:basedOn w:val="TableNormal"/>
    <w:next w:val="TableGrid8"/>
    <w:rsid w:val="000E584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
    <w:name w:val="Table Contemporary2"/>
    <w:basedOn w:val="TableNormal"/>
    <w:next w:val="TableContemporary"/>
    <w:rsid w:val="000E584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
    <w:name w:val="No List14"/>
    <w:next w:val="NoList"/>
    <w:semiHidden/>
    <w:unhideWhenUsed/>
    <w:rsid w:val="000E5840"/>
  </w:style>
  <w:style w:type="numbering" w:customStyle="1" w:styleId="NoList23">
    <w:name w:val="No List23"/>
    <w:next w:val="NoList"/>
    <w:semiHidden/>
    <w:unhideWhenUsed/>
    <w:rsid w:val="000E5840"/>
  </w:style>
  <w:style w:type="numbering" w:customStyle="1" w:styleId="NoList33">
    <w:name w:val="No List33"/>
    <w:next w:val="NoList"/>
    <w:semiHidden/>
    <w:unhideWhenUsed/>
    <w:rsid w:val="000E5840"/>
  </w:style>
  <w:style w:type="character" w:customStyle="1" w:styleId="Heading1Char1">
    <w:name w:val="Heading 1 Char1"/>
    <w:aliases w:val="(Section) Char1,Section Heading Char1,(Text) Char1,1 Char1,Chapter Char1,head3 Char1"/>
    <w:uiPriority w:val="99"/>
    <w:locked/>
    <w:rsid w:val="000E5840"/>
    <w:rPr>
      <w:rFonts w:ascii="Arial" w:hAnsi="Arial"/>
      <w:b/>
      <w:kern w:val="32"/>
      <w:sz w:val="32"/>
    </w:rPr>
  </w:style>
  <w:style w:type="table" w:customStyle="1" w:styleId="LightList-Accent13">
    <w:name w:val="Light List - Accent 13"/>
    <w:basedOn w:val="TableNormal"/>
    <w:next w:val="LightList-Accent1"/>
    <w:uiPriority w:val="61"/>
    <w:rsid w:val="000E584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
    <w:name w:val="Table Grid 72"/>
    <w:basedOn w:val="TableNormal"/>
    <w:next w:val="TableGrid7"/>
    <w:rsid w:val="000E584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
    <w:name w:val="Colorful Grid - Accent 13"/>
    <w:basedOn w:val="TableNormal"/>
    <w:next w:val="ColorfulGrid-Accent1"/>
    <w:uiPriority w:val="73"/>
    <w:rsid w:val="000E5840"/>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
    <w:name w:val="Light List - Accent 53"/>
    <w:basedOn w:val="TableNormal"/>
    <w:next w:val="LightList-Accent5"/>
    <w:uiPriority w:val="61"/>
    <w:rsid w:val="000E5840"/>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
    <w:name w:val="Table Simple 32"/>
    <w:basedOn w:val="TableNormal"/>
    <w:next w:val="TableSimple3"/>
    <w:rsid w:val="000E584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
    <w:name w:val="Table Grid 52"/>
    <w:basedOn w:val="TableNormal"/>
    <w:next w:val="TableGrid5"/>
    <w:rsid w:val="000E584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
    <w:name w:val="Table Grid 32"/>
    <w:basedOn w:val="TableNormal"/>
    <w:next w:val="TableGrid3"/>
    <w:rsid w:val="000E584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
    <w:name w:val="Table Grid 12"/>
    <w:basedOn w:val="TableNormal"/>
    <w:next w:val="TableGrid10"/>
    <w:rsid w:val="000E584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
    <w:name w:val="Table Columns 52"/>
    <w:basedOn w:val="TableNormal"/>
    <w:next w:val="TableColumns5"/>
    <w:rsid w:val="000E584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
    <w:name w:val="Light List - Accent 112"/>
    <w:basedOn w:val="TableNormal"/>
    <w:uiPriority w:val="61"/>
    <w:rsid w:val="000E584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0">
    <w:name w:val="Нет списка13"/>
    <w:next w:val="NoList"/>
    <w:semiHidden/>
    <w:unhideWhenUsed/>
    <w:rsid w:val="000E5840"/>
  </w:style>
  <w:style w:type="table" w:customStyle="1" w:styleId="ColorfulGrid-Accent112">
    <w:name w:val="Colorful Grid - Accent 112"/>
    <w:basedOn w:val="TableNormal"/>
    <w:rsid w:val="000E5840"/>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
    <w:name w:val="Light List - Accent 512"/>
    <w:basedOn w:val="TableNormal"/>
    <w:rsid w:val="000E5840"/>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
    <w:name w:val="No List42"/>
    <w:next w:val="NoList"/>
    <w:semiHidden/>
    <w:rsid w:val="000E5840"/>
  </w:style>
  <w:style w:type="numbering" w:customStyle="1" w:styleId="NoList114">
    <w:name w:val="No List114"/>
    <w:next w:val="NoList"/>
    <w:semiHidden/>
    <w:unhideWhenUsed/>
    <w:rsid w:val="000E5840"/>
  </w:style>
  <w:style w:type="table" w:customStyle="1" w:styleId="Table3Deffects32">
    <w:name w:val="Table 3D effects 32"/>
    <w:basedOn w:val="TableNormal"/>
    <w:next w:val="Table3Deffects3"/>
    <w:rsid w:val="000E584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0">
    <w:name w:val="Нет списка112"/>
    <w:next w:val="NoList"/>
    <w:semiHidden/>
    <w:unhideWhenUsed/>
    <w:rsid w:val="000E5840"/>
  </w:style>
  <w:style w:type="numbering" w:customStyle="1" w:styleId="NoList10">
    <w:name w:val="No List10"/>
    <w:next w:val="NoList"/>
    <w:uiPriority w:val="99"/>
    <w:semiHidden/>
    <w:unhideWhenUsed/>
    <w:rsid w:val="00BD032A"/>
  </w:style>
  <w:style w:type="table" w:customStyle="1" w:styleId="TableGrid50">
    <w:name w:val="Table Grid5"/>
    <w:basedOn w:val="TableNormal"/>
    <w:next w:val="TableGrid"/>
    <w:uiPriority w:val="39"/>
    <w:rsid w:val="00BD032A"/>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BD032A"/>
  </w:style>
  <w:style w:type="numbering" w:customStyle="1" w:styleId="NoList115">
    <w:name w:val="No List115"/>
    <w:next w:val="NoList"/>
    <w:semiHidden/>
    <w:rsid w:val="00BD032A"/>
  </w:style>
  <w:style w:type="table" w:customStyle="1" w:styleId="TableGrid120">
    <w:name w:val="Table Grid12"/>
    <w:basedOn w:val="TableNormal"/>
    <w:next w:val="TableGrid"/>
    <w:uiPriority w:val="39"/>
    <w:rsid w:val="00BD032A"/>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semiHidden/>
    <w:rsid w:val="00BD032A"/>
  </w:style>
  <w:style w:type="numbering" w:customStyle="1" w:styleId="NoList24">
    <w:name w:val="No List24"/>
    <w:next w:val="NoList"/>
    <w:semiHidden/>
    <w:rsid w:val="00BD032A"/>
  </w:style>
  <w:style w:type="numbering" w:customStyle="1" w:styleId="NoList34">
    <w:name w:val="No List34"/>
    <w:next w:val="NoList"/>
    <w:semiHidden/>
    <w:unhideWhenUsed/>
    <w:rsid w:val="00BD032A"/>
  </w:style>
  <w:style w:type="table" w:customStyle="1" w:styleId="TableList73">
    <w:name w:val="Table List 73"/>
    <w:basedOn w:val="TableNormal"/>
    <w:next w:val="TableList7"/>
    <w:rsid w:val="00BD032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
    <w:name w:val="Table Web 33"/>
    <w:basedOn w:val="TableNormal"/>
    <w:next w:val="TableWeb3"/>
    <w:rsid w:val="00BD032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
    <w:name w:val="Table Elegant3"/>
    <w:basedOn w:val="TableNormal"/>
    <w:next w:val="TableElegant"/>
    <w:rsid w:val="00BD032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BD032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
    <w:name w:val="Table Web 13"/>
    <w:basedOn w:val="TableNormal"/>
    <w:next w:val="TableWeb1"/>
    <w:rsid w:val="00BD032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
    <w:name w:val="Table Grid 83"/>
    <w:basedOn w:val="TableNormal"/>
    <w:next w:val="TableGrid8"/>
    <w:rsid w:val="00BD032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rsid w:val="00BD03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
    <w:name w:val="Light List - Accent 14"/>
    <w:basedOn w:val="TableNormal"/>
    <w:next w:val="LightList-Accent1"/>
    <w:uiPriority w:val="61"/>
    <w:rsid w:val="00BD032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
    <w:name w:val="Table Grid 73"/>
    <w:basedOn w:val="TableNormal"/>
    <w:next w:val="TableGrid7"/>
    <w:rsid w:val="00BD032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
    <w:name w:val="Colorful Grid - Accent 14"/>
    <w:basedOn w:val="TableNormal"/>
    <w:next w:val="ColorfulGrid-Accent1"/>
    <w:uiPriority w:val="73"/>
    <w:rsid w:val="00BD032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
    <w:name w:val="Light List - Accent 54"/>
    <w:basedOn w:val="TableNormal"/>
    <w:next w:val="LightList-Accent5"/>
    <w:uiPriority w:val="61"/>
    <w:rsid w:val="00BD032A"/>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
    <w:name w:val="Table Simple 33"/>
    <w:basedOn w:val="TableNormal"/>
    <w:next w:val="TableSimple3"/>
    <w:rsid w:val="00BD032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
    <w:name w:val="Table Grid 53"/>
    <w:basedOn w:val="TableNormal"/>
    <w:next w:val="TableGrid5"/>
    <w:rsid w:val="00BD032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
    <w:name w:val="Table Grid 33"/>
    <w:basedOn w:val="TableNormal"/>
    <w:next w:val="TableGrid3"/>
    <w:rsid w:val="00BD032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
    <w:name w:val="Table Grid 13"/>
    <w:basedOn w:val="TableNormal"/>
    <w:next w:val="TableGrid10"/>
    <w:rsid w:val="00BD032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
    <w:name w:val="Table Columns 53"/>
    <w:basedOn w:val="TableNormal"/>
    <w:next w:val="TableColumns5"/>
    <w:rsid w:val="00BD032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
    <w:name w:val="Light List - Accent 113"/>
    <w:basedOn w:val="TableNormal"/>
    <w:uiPriority w:val="61"/>
    <w:rsid w:val="00BD032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0">
    <w:name w:val="Нет списка14"/>
    <w:next w:val="NoList"/>
    <w:semiHidden/>
    <w:unhideWhenUsed/>
    <w:rsid w:val="00BD032A"/>
  </w:style>
  <w:style w:type="table" w:customStyle="1" w:styleId="ColorfulGrid-Accent113">
    <w:name w:val="Colorful Grid - Accent 113"/>
    <w:basedOn w:val="TableNormal"/>
    <w:rsid w:val="00BD032A"/>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
    <w:name w:val="Light List - Accent 513"/>
    <w:basedOn w:val="TableNormal"/>
    <w:rsid w:val="00BD032A"/>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
    <w:name w:val="No List43"/>
    <w:next w:val="NoList"/>
    <w:semiHidden/>
    <w:rsid w:val="00BD032A"/>
  </w:style>
  <w:style w:type="table" w:customStyle="1" w:styleId="Table3Deffects33">
    <w:name w:val="Table 3D effects 33"/>
    <w:basedOn w:val="TableNormal"/>
    <w:next w:val="Table3Deffects3"/>
    <w:rsid w:val="00BD032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0">
    <w:name w:val="Нет списка113"/>
    <w:next w:val="NoList"/>
    <w:semiHidden/>
    <w:unhideWhenUsed/>
    <w:rsid w:val="00BD032A"/>
  </w:style>
  <w:style w:type="numbering" w:customStyle="1" w:styleId="NoList52">
    <w:name w:val="No List52"/>
    <w:next w:val="NoList"/>
    <w:uiPriority w:val="99"/>
    <w:semiHidden/>
    <w:unhideWhenUsed/>
    <w:rsid w:val="00BD032A"/>
  </w:style>
  <w:style w:type="numbering" w:customStyle="1" w:styleId="NoList122">
    <w:name w:val="No List122"/>
    <w:next w:val="NoList"/>
    <w:uiPriority w:val="99"/>
    <w:semiHidden/>
    <w:rsid w:val="00BD032A"/>
  </w:style>
  <w:style w:type="numbering" w:customStyle="1" w:styleId="NoList1122">
    <w:name w:val="No List1122"/>
    <w:next w:val="NoList"/>
    <w:semiHidden/>
    <w:rsid w:val="00BD032A"/>
  </w:style>
  <w:style w:type="numbering" w:customStyle="1" w:styleId="NoList11112">
    <w:name w:val="No List11112"/>
    <w:next w:val="NoList"/>
    <w:semiHidden/>
    <w:rsid w:val="00BD032A"/>
  </w:style>
  <w:style w:type="numbering" w:customStyle="1" w:styleId="NoList212">
    <w:name w:val="No List212"/>
    <w:next w:val="NoList"/>
    <w:semiHidden/>
    <w:rsid w:val="00BD032A"/>
  </w:style>
  <w:style w:type="table" w:customStyle="1" w:styleId="TableGrid22">
    <w:name w:val="Table Grid22"/>
    <w:basedOn w:val="TableNormal"/>
    <w:next w:val="TableGrid"/>
    <w:uiPriority w:val="39"/>
    <w:rsid w:val="00BD03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semiHidden/>
    <w:unhideWhenUsed/>
    <w:rsid w:val="00BD032A"/>
  </w:style>
  <w:style w:type="table" w:styleId="LightShading-Accent1">
    <w:name w:val="Light Shading Accent 1"/>
    <w:basedOn w:val="TableNormal"/>
    <w:uiPriority w:val="60"/>
    <w:rsid w:val="007660E4"/>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2-Accent1">
    <w:name w:val="Medium Grid 2 Accent 1"/>
    <w:basedOn w:val="TableNormal"/>
    <w:uiPriority w:val="68"/>
    <w:rsid w:val="007660E4"/>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List2-Accent5">
    <w:name w:val="Medium List 2 Accent 5"/>
    <w:basedOn w:val="TableNormal"/>
    <w:uiPriority w:val="66"/>
    <w:rsid w:val="007660E4"/>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5">
    <w:name w:val="Light List - Accent 15"/>
    <w:basedOn w:val="TableNormal"/>
    <w:next w:val="LightList-Accent1"/>
    <w:uiPriority w:val="61"/>
    <w:rsid w:val="007660E4"/>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3-Accent5">
    <w:name w:val="Medium Grid 3 Accent 5"/>
    <w:basedOn w:val="TableNormal"/>
    <w:uiPriority w:val="69"/>
    <w:rsid w:val="007660E4"/>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Shading-Accent5">
    <w:name w:val="Light Shading Accent 5"/>
    <w:basedOn w:val="TableNormal"/>
    <w:uiPriority w:val="60"/>
    <w:rsid w:val="007660E4"/>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Grid2-Accent5">
    <w:name w:val="Medium Grid 2 Accent 5"/>
    <w:basedOn w:val="TableNormal"/>
    <w:uiPriority w:val="68"/>
    <w:rsid w:val="007660E4"/>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LightGrid-Accent1">
    <w:name w:val="Light Grid Accent 1"/>
    <w:basedOn w:val="TableNormal"/>
    <w:uiPriority w:val="62"/>
    <w:rsid w:val="007660E4"/>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TableList4">
    <w:name w:val="Table List 4"/>
    <w:basedOn w:val="TableNormal"/>
    <w:rsid w:val="0086441C"/>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ParagraphNumbering">
    <w:name w:val="Paragraph Numbering"/>
    <w:basedOn w:val="Normal"/>
    <w:link w:val="ParagraphNumberingChar"/>
    <w:qFormat/>
    <w:rsid w:val="0086441C"/>
    <w:pPr>
      <w:numPr>
        <w:numId w:val="15"/>
      </w:numPr>
      <w:spacing w:before="0" w:after="240" w:line="240" w:lineRule="auto"/>
      <w:jc w:val="left"/>
    </w:pPr>
    <w:rPr>
      <w:rFonts w:ascii="Segoe UI" w:eastAsia="MS Mincho" w:hAnsi="Segoe UI"/>
      <w:b w:val="0"/>
      <w:sz w:val="21"/>
      <w:lang w:val="en-US" w:eastAsia="en-US"/>
    </w:rPr>
  </w:style>
  <w:style w:type="character" w:customStyle="1" w:styleId="ParagraphNumberingChar">
    <w:name w:val="Paragraph Numbering Char"/>
    <w:link w:val="ParagraphNumbering"/>
    <w:rsid w:val="0086441C"/>
    <w:rPr>
      <w:rFonts w:ascii="Segoe UI" w:eastAsia="MS Mincho" w:hAnsi="Segoe UI"/>
      <w:sz w:val="21"/>
      <w:szCs w:val="24"/>
    </w:rPr>
  </w:style>
  <w:style w:type="table" w:customStyle="1" w:styleId="TableList41">
    <w:name w:val="Table List 41"/>
    <w:basedOn w:val="TableNormal"/>
    <w:next w:val="TableList4"/>
    <w:rsid w:val="0086441C"/>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Theme">
    <w:name w:val="Table Theme"/>
    <w:basedOn w:val="TableNormal"/>
    <w:rsid w:val="008644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Professional">
    <w:name w:val="Table Professional"/>
    <w:basedOn w:val="TableNormal"/>
    <w:rsid w:val="0086441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6">
    <w:name w:val="Table Grid 6"/>
    <w:basedOn w:val="TableNormal"/>
    <w:rsid w:val="0086441C"/>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
    <w:name w:val="Table List 42"/>
    <w:basedOn w:val="TableNormal"/>
    <w:next w:val="TableList4"/>
    <w:rsid w:val="0086441C"/>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
    <w:name w:val="Table List 411"/>
    <w:basedOn w:val="TableNormal"/>
    <w:next w:val="TableList4"/>
    <w:rsid w:val="0086441C"/>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
    <w:name w:val="Style11"/>
    <w:basedOn w:val="TableElegant"/>
    <w:uiPriority w:val="99"/>
    <w:rsid w:val="0086441C"/>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
    <w:name w:val="Style21"/>
    <w:basedOn w:val="TableGrid5"/>
    <w:uiPriority w:val="99"/>
    <w:rsid w:val="0086441C"/>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
    <w:name w:val="Style211"/>
    <w:basedOn w:val="TableGrid5"/>
    <w:uiPriority w:val="99"/>
    <w:rsid w:val="0086441C"/>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
    <w:name w:val="No List16"/>
    <w:next w:val="NoList"/>
    <w:semiHidden/>
    <w:unhideWhenUsed/>
    <w:rsid w:val="0006050F"/>
  </w:style>
  <w:style w:type="table" w:customStyle="1" w:styleId="TableGrid60">
    <w:name w:val="Table Grid6"/>
    <w:basedOn w:val="TableNormal"/>
    <w:next w:val="TableGrid"/>
    <w:uiPriority w:val="39"/>
    <w:rsid w:val="000605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06050F"/>
  </w:style>
  <w:style w:type="numbering" w:customStyle="1" w:styleId="NoList116">
    <w:name w:val="No List116"/>
    <w:next w:val="NoList"/>
    <w:semiHidden/>
    <w:rsid w:val="0006050F"/>
  </w:style>
  <w:style w:type="table" w:customStyle="1" w:styleId="TableGrid130">
    <w:name w:val="Table Grid13"/>
    <w:basedOn w:val="TableNormal"/>
    <w:next w:val="TableGrid"/>
    <w:rsid w:val="000605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next w:val="LightShading-Accent1"/>
    <w:uiPriority w:val="60"/>
    <w:rsid w:val="0010572B"/>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11">
    <w:name w:val="Medium Grid 2 - Accent 11"/>
    <w:basedOn w:val="TableNormal"/>
    <w:next w:val="MediumGrid2-Accent1"/>
    <w:uiPriority w:val="68"/>
    <w:rsid w:val="0010572B"/>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2-Accent51">
    <w:name w:val="Medium List 2 - Accent 51"/>
    <w:basedOn w:val="TableNormal"/>
    <w:next w:val="MediumList2-Accent5"/>
    <w:uiPriority w:val="66"/>
    <w:rsid w:val="0010572B"/>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6">
    <w:name w:val="Light List - Accent 16"/>
    <w:basedOn w:val="TableNormal"/>
    <w:next w:val="LightList-Accent1"/>
    <w:uiPriority w:val="61"/>
    <w:rsid w:val="0010572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Grid3-Accent51">
    <w:name w:val="Medium Grid 3 - Accent 51"/>
    <w:basedOn w:val="TableNormal"/>
    <w:next w:val="MediumGrid3-Accent5"/>
    <w:uiPriority w:val="69"/>
    <w:rsid w:val="0010572B"/>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1">
    <w:name w:val="Light Shading - Accent 51"/>
    <w:basedOn w:val="TableNormal"/>
    <w:next w:val="LightShading-Accent5"/>
    <w:uiPriority w:val="60"/>
    <w:rsid w:val="0010572B"/>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1">
    <w:name w:val="Medium Grid 2 - Accent 51"/>
    <w:basedOn w:val="TableNormal"/>
    <w:next w:val="MediumGrid2-Accent5"/>
    <w:uiPriority w:val="68"/>
    <w:rsid w:val="0010572B"/>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1">
    <w:name w:val="Light Grid - Accent 11"/>
    <w:basedOn w:val="TableNormal"/>
    <w:next w:val="LightGrid-Accent1"/>
    <w:uiPriority w:val="62"/>
    <w:rsid w:val="0010572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Accent12">
    <w:name w:val="Light Shading - Accent 12"/>
    <w:basedOn w:val="TableNormal"/>
    <w:next w:val="LightShading-Accent1"/>
    <w:uiPriority w:val="60"/>
    <w:rsid w:val="00360620"/>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12">
    <w:name w:val="Medium Grid 2 - Accent 12"/>
    <w:basedOn w:val="TableNormal"/>
    <w:next w:val="MediumGrid2-Accent1"/>
    <w:uiPriority w:val="68"/>
    <w:rsid w:val="00360620"/>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2-Accent52">
    <w:name w:val="Medium List 2 - Accent 52"/>
    <w:basedOn w:val="TableNormal"/>
    <w:next w:val="MediumList2-Accent5"/>
    <w:uiPriority w:val="66"/>
    <w:rsid w:val="00360620"/>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7">
    <w:name w:val="Light List - Accent 17"/>
    <w:basedOn w:val="TableNormal"/>
    <w:next w:val="LightList-Accent1"/>
    <w:uiPriority w:val="61"/>
    <w:rsid w:val="00360620"/>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Grid3-Accent52">
    <w:name w:val="Medium Grid 3 - Accent 52"/>
    <w:basedOn w:val="TableNormal"/>
    <w:next w:val="MediumGrid3-Accent5"/>
    <w:uiPriority w:val="69"/>
    <w:rsid w:val="00360620"/>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2">
    <w:name w:val="Light Shading - Accent 52"/>
    <w:basedOn w:val="TableNormal"/>
    <w:next w:val="LightShading-Accent5"/>
    <w:uiPriority w:val="60"/>
    <w:rsid w:val="00360620"/>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2">
    <w:name w:val="Medium Grid 2 - Accent 52"/>
    <w:basedOn w:val="TableNormal"/>
    <w:next w:val="MediumGrid2-Accent5"/>
    <w:uiPriority w:val="68"/>
    <w:rsid w:val="00360620"/>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2">
    <w:name w:val="Light Grid - Accent 12"/>
    <w:basedOn w:val="TableNormal"/>
    <w:next w:val="LightGrid-Accent1"/>
    <w:uiPriority w:val="62"/>
    <w:rsid w:val="00360620"/>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18">
    <w:name w:val="No List18"/>
    <w:next w:val="NoList"/>
    <w:semiHidden/>
    <w:unhideWhenUsed/>
    <w:rsid w:val="00006BCE"/>
  </w:style>
  <w:style w:type="table" w:customStyle="1" w:styleId="TableGrid70">
    <w:name w:val="Table Grid7"/>
    <w:basedOn w:val="TableNormal"/>
    <w:next w:val="TableGrid"/>
    <w:uiPriority w:val="39"/>
    <w:rsid w:val="00006B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4">
    <w:name w:val="Table List 74"/>
    <w:basedOn w:val="TableNormal"/>
    <w:next w:val="TableList7"/>
    <w:rsid w:val="00006BCE"/>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4">
    <w:name w:val="Table Web 34"/>
    <w:basedOn w:val="TableNormal"/>
    <w:next w:val="TableWeb3"/>
    <w:rsid w:val="00006BCE"/>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4">
    <w:name w:val="Table Elegant4"/>
    <w:basedOn w:val="TableNormal"/>
    <w:next w:val="TableElegant"/>
    <w:rsid w:val="00006BCE"/>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rsid w:val="00006BCE"/>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4">
    <w:name w:val="Table Web 14"/>
    <w:basedOn w:val="TableNormal"/>
    <w:next w:val="TableWeb1"/>
    <w:rsid w:val="00006BCE"/>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4">
    <w:name w:val="Table Grid 84"/>
    <w:basedOn w:val="TableNormal"/>
    <w:next w:val="TableGrid8"/>
    <w:rsid w:val="00006BC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rsid w:val="00006B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9">
    <w:name w:val="No List19"/>
    <w:next w:val="NoList"/>
    <w:semiHidden/>
    <w:unhideWhenUsed/>
    <w:rsid w:val="00006BCE"/>
  </w:style>
  <w:style w:type="numbering" w:customStyle="1" w:styleId="NoList25">
    <w:name w:val="No List25"/>
    <w:next w:val="NoList"/>
    <w:semiHidden/>
    <w:unhideWhenUsed/>
    <w:rsid w:val="00006BCE"/>
  </w:style>
  <w:style w:type="numbering" w:customStyle="1" w:styleId="NoList35">
    <w:name w:val="No List35"/>
    <w:next w:val="NoList"/>
    <w:semiHidden/>
    <w:unhideWhenUsed/>
    <w:rsid w:val="00006BCE"/>
  </w:style>
  <w:style w:type="table" w:customStyle="1" w:styleId="LightList-Accent18">
    <w:name w:val="Light List - Accent 18"/>
    <w:basedOn w:val="TableNormal"/>
    <w:next w:val="LightList-Accent1"/>
    <w:uiPriority w:val="61"/>
    <w:rsid w:val="00006BCE"/>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4">
    <w:name w:val="Table Grid 74"/>
    <w:basedOn w:val="TableNormal"/>
    <w:next w:val="TableGrid7"/>
    <w:rsid w:val="00006BCE"/>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5">
    <w:name w:val="Colorful Grid - Accent 15"/>
    <w:basedOn w:val="TableNormal"/>
    <w:next w:val="ColorfulGrid-Accent1"/>
    <w:uiPriority w:val="73"/>
    <w:rsid w:val="00006BCE"/>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5">
    <w:name w:val="Light List - Accent 55"/>
    <w:basedOn w:val="TableNormal"/>
    <w:next w:val="LightList-Accent5"/>
    <w:uiPriority w:val="61"/>
    <w:rsid w:val="00006BCE"/>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4">
    <w:name w:val="Table Simple 34"/>
    <w:basedOn w:val="TableNormal"/>
    <w:next w:val="TableSimple3"/>
    <w:rsid w:val="00006BCE"/>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4">
    <w:name w:val="Table Grid 54"/>
    <w:basedOn w:val="TableNormal"/>
    <w:next w:val="TableGrid5"/>
    <w:rsid w:val="00006BCE"/>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4">
    <w:name w:val="Table Grid 34"/>
    <w:basedOn w:val="TableNormal"/>
    <w:next w:val="TableGrid3"/>
    <w:rsid w:val="00006BCE"/>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4">
    <w:name w:val="Table Grid 14"/>
    <w:basedOn w:val="TableNormal"/>
    <w:next w:val="TableGrid10"/>
    <w:rsid w:val="00006BC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4">
    <w:name w:val="Table Columns 54"/>
    <w:basedOn w:val="TableNormal"/>
    <w:next w:val="TableColumns5"/>
    <w:rsid w:val="00006BCE"/>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4">
    <w:name w:val="Light List - Accent 114"/>
    <w:basedOn w:val="TableNormal"/>
    <w:uiPriority w:val="61"/>
    <w:rsid w:val="00006BCE"/>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50">
    <w:name w:val="Нет списка15"/>
    <w:next w:val="NoList"/>
    <w:semiHidden/>
    <w:unhideWhenUsed/>
    <w:rsid w:val="00006BCE"/>
  </w:style>
  <w:style w:type="table" w:customStyle="1" w:styleId="ColorfulGrid-Accent114">
    <w:name w:val="Colorful Grid - Accent 114"/>
    <w:basedOn w:val="TableNormal"/>
    <w:rsid w:val="00006BCE"/>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4">
    <w:name w:val="Light List - Accent 514"/>
    <w:basedOn w:val="TableNormal"/>
    <w:rsid w:val="00006BCE"/>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4">
    <w:name w:val="No List44"/>
    <w:next w:val="NoList"/>
    <w:semiHidden/>
    <w:rsid w:val="00006BCE"/>
  </w:style>
  <w:style w:type="numbering" w:customStyle="1" w:styleId="NoList117">
    <w:name w:val="No List117"/>
    <w:next w:val="NoList"/>
    <w:semiHidden/>
    <w:unhideWhenUsed/>
    <w:rsid w:val="00006BCE"/>
  </w:style>
  <w:style w:type="table" w:customStyle="1" w:styleId="Table3Deffects34">
    <w:name w:val="Table 3D effects 34"/>
    <w:basedOn w:val="TableNormal"/>
    <w:next w:val="Table3Deffects3"/>
    <w:rsid w:val="00006BCE"/>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40">
    <w:name w:val="Нет списка114"/>
    <w:next w:val="NoList"/>
    <w:semiHidden/>
    <w:unhideWhenUsed/>
    <w:rsid w:val="00006BCE"/>
  </w:style>
  <w:style w:type="table" w:customStyle="1" w:styleId="Style111">
    <w:name w:val="Style111"/>
    <w:basedOn w:val="TableElegant"/>
    <w:uiPriority w:val="99"/>
    <w:rsid w:val="00BC5928"/>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2">
    <w:name w:val="Style212"/>
    <w:basedOn w:val="TableGrid5"/>
    <w:uiPriority w:val="99"/>
    <w:rsid w:val="00BC5928"/>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1">
    <w:name w:val="Style2111"/>
    <w:basedOn w:val="TableGrid5"/>
    <w:uiPriority w:val="99"/>
    <w:rsid w:val="00BC5928"/>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112">
    <w:name w:val="Style112"/>
    <w:basedOn w:val="TableElegant"/>
    <w:uiPriority w:val="99"/>
    <w:rsid w:val="00D70E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3">
    <w:name w:val="Style213"/>
    <w:basedOn w:val="TableGrid5"/>
    <w:uiPriority w:val="99"/>
    <w:rsid w:val="00D70E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2">
    <w:name w:val="Style2112"/>
    <w:basedOn w:val="TableGrid5"/>
    <w:uiPriority w:val="99"/>
    <w:rsid w:val="00D70E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20">
    <w:name w:val="No List20"/>
    <w:next w:val="NoList"/>
    <w:uiPriority w:val="99"/>
    <w:semiHidden/>
    <w:unhideWhenUsed/>
    <w:rsid w:val="009526B6"/>
  </w:style>
  <w:style w:type="numbering" w:customStyle="1" w:styleId="NoList110">
    <w:name w:val="No List110"/>
    <w:next w:val="NoList"/>
    <w:uiPriority w:val="99"/>
    <w:semiHidden/>
    <w:unhideWhenUsed/>
    <w:rsid w:val="009526B6"/>
  </w:style>
  <w:style w:type="paragraph" w:customStyle="1" w:styleId="TableTitleCharCharCharCharCharCharCharCharCharChar1">
    <w:name w:val="(Table Title) Char Char Char Char Char Char Char Char Char Char1"/>
    <w:basedOn w:val="Normal"/>
    <w:next w:val="Normal"/>
    <w:unhideWhenUsed/>
    <w:qFormat/>
    <w:rsid w:val="009526B6"/>
    <w:pPr>
      <w:spacing w:after="200"/>
    </w:pPr>
    <w:rPr>
      <w:b w:val="0"/>
      <w:bCs/>
      <w:color w:val="4F81BD"/>
      <w:sz w:val="18"/>
      <w:szCs w:val="18"/>
    </w:rPr>
  </w:style>
  <w:style w:type="table" w:customStyle="1" w:styleId="TableGrid80">
    <w:name w:val="Table Grid8"/>
    <w:basedOn w:val="TableNormal"/>
    <w:next w:val="TableGrid"/>
    <w:uiPriority w:val="39"/>
    <w:rsid w:val="009526B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semiHidden/>
    <w:unhideWhenUsed/>
    <w:rsid w:val="009526B6"/>
  </w:style>
  <w:style w:type="numbering" w:customStyle="1" w:styleId="NoList1114">
    <w:name w:val="No List1114"/>
    <w:next w:val="NoList"/>
    <w:semiHidden/>
    <w:rsid w:val="009526B6"/>
  </w:style>
  <w:style w:type="table" w:customStyle="1" w:styleId="TableGrid140">
    <w:name w:val="Table Grid14"/>
    <w:basedOn w:val="TableNormal"/>
    <w:next w:val="TableGrid"/>
    <w:uiPriority w:val="39"/>
    <w:rsid w:val="009526B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semiHidden/>
    <w:rsid w:val="009526B6"/>
  </w:style>
  <w:style w:type="numbering" w:customStyle="1" w:styleId="NoList26">
    <w:name w:val="No List26"/>
    <w:next w:val="NoList"/>
    <w:semiHidden/>
    <w:rsid w:val="009526B6"/>
  </w:style>
  <w:style w:type="numbering" w:customStyle="1" w:styleId="NoList36">
    <w:name w:val="No List36"/>
    <w:next w:val="NoList"/>
    <w:semiHidden/>
    <w:unhideWhenUsed/>
    <w:rsid w:val="009526B6"/>
  </w:style>
  <w:style w:type="table" w:customStyle="1" w:styleId="TableList75">
    <w:name w:val="Table List 75"/>
    <w:basedOn w:val="TableNormal"/>
    <w:next w:val="TableList7"/>
    <w:rsid w:val="009526B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5">
    <w:name w:val="Table Web 35"/>
    <w:basedOn w:val="TableNormal"/>
    <w:next w:val="TableWeb3"/>
    <w:rsid w:val="009526B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5">
    <w:name w:val="Table Elegant5"/>
    <w:basedOn w:val="TableNormal"/>
    <w:next w:val="TableElegant"/>
    <w:rsid w:val="009526B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5">
    <w:name w:val="Table Web 25"/>
    <w:basedOn w:val="TableNormal"/>
    <w:next w:val="TableWeb2"/>
    <w:rsid w:val="009526B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5">
    <w:name w:val="Table Web 15"/>
    <w:basedOn w:val="TableNormal"/>
    <w:next w:val="TableWeb1"/>
    <w:rsid w:val="009526B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5">
    <w:name w:val="Table Grid 85"/>
    <w:basedOn w:val="TableNormal"/>
    <w:next w:val="TableGrid8"/>
    <w:rsid w:val="009526B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5">
    <w:name w:val="Table Contemporary5"/>
    <w:basedOn w:val="TableNormal"/>
    <w:next w:val="TableContemporary"/>
    <w:rsid w:val="009526B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9">
    <w:name w:val="Light List - Accent 19"/>
    <w:basedOn w:val="TableNormal"/>
    <w:next w:val="LightList-Accent1"/>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5">
    <w:name w:val="Table Grid 75"/>
    <w:basedOn w:val="TableNormal"/>
    <w:next w:val="TableGrid7"/>
    <w:rsid w:val="009526B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6">
    <w:name w:val="Colorful Grid - Accent 16"/>
    <w:basedOn w:val="TableNormal"/>
    <w:next w:val="ColorfulGrid-Accent1"/>
    <w:uiPriority w:val="73"/>
    <w:rsid w:val="009526B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6">
    <w:name w:val="Light List - Accent 56"/>
    <w:basedOn w:val="TableNormal"/>
    <w:next w:val="LightList-Accent5"/>
    <w:uiPriority w:val="61"/>
    <w:rsid w:val="009526B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5">
    <w:name w:val="Table Simple 35"/>
    <w:basedOn w:val="TableNormal"/>
    <w:next w:val="TableSimple3"/>
    <w:rsid w:val="009526B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5">
    <w:name w:val="Table Grid 55"/>
    <w:basedOn w:val="TableNormal"/>
    <w:next w:val="TableGrid5"/>
    <w:rsid w:val="009526B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5">
    <w:name w:val="Table Grid 35"/>
    <w:basedOn w:val="TableNormal"/>
    <w:next w:val="TableGrid3"/>
    <w:rsid w:val="009526B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5">
    <w:name w:val="Table Grid 15"/>
    <w:basedOn w:val="TableNormal"/>
    <w:next w:val="TableGrid10"/>
    <w:rsid w:val="009526B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5">
    <w:name w:val="Table Columns 55"/>
    <w:basedOn w:val="TableNormal"/>
    <w:next w:val="TableColumns5"/>
    <w:rsid w:val="009526B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5">
    <w:name w:val="Light List - Accent 115"/>
    <w:basedOn w:val="TableNormal"/>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60">
    <w:name w:val="Нет списка16"/>
    <w:next w:val="NoList"/>
    <w:semiHidden/>
    <w:unhideWhenUsed/>
    <w:rsid w:val="009526B6"/>
  </w:style>
  <w:style w:type="table" w:customStyle="1" w:styleId="ColorfulGrid-Accent115">
    <w:name w:val="Colorful Grid - Accent 115"/>
    <w:basedOn w:val="TableNormal"/>
    <w:rsid w:val="009526B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5">
    <w:name w:val="Light List - Accent 515"/>
    <w:basedOn w:val="TableNormal"/>
    <w:rsid w:val="009526B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5">
    <w:name w:val="No List45"/>
    <w:next w:val="NoList"/>
    <w:semiHidden/>
    <w:rsid w:val="009526B6"/>
  </w:style>
  <w:style w:type="table" w:customStyle="1" w:styleId="Table3Deffects35">
    <w:name w:val="Table 3D effects 35"/>
    <w:basedOn w:val="TableNormal"/>
    <w:next w:val="Table3Deffects3"/>
    <w:rsid w:val="009526B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50">
    <w:name w:val="Нет списка115"/>
    <w:next w:val="NoList"/>
    <w:semiHidden/>
    <w:unhideWhenUsed/>
    <w:rsid w:val="009526B6"/>
  </w:style>
  <w:style w:type="numbering" w:customStyle="1" w:styleId="NoList53">
    <w:name w:val="No List53"/>
    <w:next w:val="NoList"/>
    <w:uiPriority w:val="99"/>
    <w:semiHidden/>
    <w:unhideWhenUsed/>
    <w:rsid w:val="009526B6"/>
  </w:style>
  <w:style w:type="numbering" w:customStyle="1" w:styleId="NoList123">
    <w:name w:val="No List123"/>
    <w:next w:val="NoList"/>
    <w:semiHidden/>
    <w:rsid w:val="009526B6"/>
  </w:style>
  <w:style w:type="numbering" w:customStyle="1" w:styleId="NoList1123">
    <w:name w:val="No List1123"/>
    <w:next w:val="NoList"/>
    <w:semiHidden/>
    <w:rsid w:val="009526B6"/>
  </w:style>
  <w:style w:type="numbering" w:customStyle="1" w:styleId="NoList111111">
    <w:name w:val="No List111111"/>
    <w:next w:val="NoList"/>
    <w:semiHidden/>
    <w:rsid w:val="009526B6"/>
  </w:style>
  <w:style w:type="numbering" w:customStyle="1" w:styleId="NoList213">
    <w:name w:val="No List213"/>
    <w:next w:val="NoList"/>
    <w:semiHidden/>
    <w:rsid w:val="009526B6"/>
  </w:style>
  <w:style w:type="table" w:customStyle="1" w:styleId="TableGrid23">
    <w:name w:val="Table Grid23"/>
    <w:basedOn w:val="TableNormal"/>
    <w:next w:val="TableGrid"/>
    <w:rsid w:val="00952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9526B6"/>
  </w:style>
  <w:style w:type="numbering" w:customStyle="1" w:styleId="NoList61">
    <w:name w:val="No List61"/>
    <w:next w:val="NoList"/>
    <w:uiPriority w:val="99"/>
    <w:semiHidden/>
    <w:unhideWhenUsed/>
    <w:rsid w:val="009526B6"/>
  </w:style>
  <w:style w:type="numbering" w:customStyle="1" w:styleId="NoList71">
    <w:name w:val="No List71"/>
    <w:next w:val="NoList"/>
    <w:uiPriority w:val="99"/>
    <w:semiHidden/>
    <w:unhideWhenUsed/>
    <w:rsid w:val="009526B6"/>
  </w:style>
  <w:style w:type="table" w:customStyle="1" w:styleId="TableGrid310">
    <w:name w:val="Table Grid31"/>
    <w:basedOn w:val="TableNormal"/>
    <w:next w:val="TableGrid"/>
    <w:rsid w:val="009526B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semiHidden/>
    <w:unhideWhenUsed/>
    <w:rsid w:val="009526B6"/>
  </w:style>
  <w:style w:type="numbering" w:customStyle="1" w:styleId="NoList1131">
    <w:name w:val="No List1131"/>
    <w:next w:val="NoList"/>
    <w:semiHidden/>
    <w:rsid w:val="009526B6"/>
  </w:style>
  <w:style w:type="table" w:customStyle="1" w:styleId="TableGrid111">
    <w:name w:val="Table Grid111"/>
    <w:basedOn w:val="TableNormal"/>
    <w:next w:val="TableGrid"/>
    <w:rsid w:val="009526B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
    <w:name w:val="No List11121"/>
    <w:next w:val="NoList"/>
    <w:semiHidden/>
    <w:rsid w:val="009526B6"/>
  </w:style>
  <w:style w:type="numbering" w:customStyle="1" w:styleId="NoList221">
    <w:name w:val="No List221"/>
    <w:next w:val="NoList"/>
    <w:semiHidden/>
    <w:rsid w:val="009526B6"/>
  </w:style>
  <w:style w:type="numbering" w:customStyle="1" w:styleId="NoList321">
    <w:name w:val="No List321"/>
    <w:next w:val="NoList"/>
    <w:semiHidden/>
    <w:unhideWhenUsed/>
    <w:rsid w:val="009526B6"/>
  </w:style>
  <w:style w:type="table" w:customStyle="1" w:styleId="TableList711">
    <w:name w:val="Table List 711"/>
    <w:basedOn w:val="TableNormal"/>
    <w:next w:val="TableList7"/>
    <w:rsid w:val="009526B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
    <w:name w:val="Table Web 311"/>
    <w:basedOn w:val="TableNormal"/>
    <w:next w:val="TableWeb3"/>
    <w:rsid w:val="009526B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
    <w:name w:val="Table Elegant11"/>
    <w:basedOn w:val="TableNormal"/>
    <w:next w:val="TableElegant"/>
    <w:rsid w:val="009526B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9526B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
    <w:name w:val="Table Web 111"/>
    <w:basedOn w:val="TableNormal"/>
    <w:next w:val="TableWeb1"/>
    <w:rsid w:val="009526B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
    <w:name w:val="Table Grid 811"/>
    <w:basedOn w:val="TableNormal"/>
    <w:next w:val="TableGrid8"/>
    <w:rsid w:val="009526B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
    <w:name w:val="Table Contemporary11"/>
    <w:basedOn w:val="TableNormal"/>
    <w:next w:val="TableContemporary"/>
    <w:rsid w:val="009526B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1">
    <w:name w:val="Light List - Accent 121"/>
    <w:basedOn w:val="TableNormal"/>
    <w:next w:val="LightList-Accent1"/>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1">
    <w:name w:val="Table Grid 711"/>
    <w:basedOn w:val="TableNormal"/>
    <w:next w:val="TableGrid7"/>
    <w:rsid w:val="009526B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1">
    <w:name w:val="Colorful Grid - Accent 121"/>
    <w:basedOn w:val="TableNormal"/>
    <w:next w:val="ColorfulGrid-Accent1"/>
    <w:rsid w:val="009526B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
    <w:name w:val="Light List - Accent 521"/>
    <w:basedOn w:val="TableNormal"/>
    <w:next w:val="LightList-Accent5"/>
    <w:rsid w:val="009526B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1">
    <w:name w:val="Table Simple 311"/>
    <w:basedOn w:val="TableNormal"/>
    <w:next w:val="TableSimple3"/>
    <w:rsid w:val="009526B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
    <w:name w:val="Table Grid 511"/>
    <w:basedOn w:val="TableNormal"/>
    <w:next w:val="TableGrid5"/>
    <w:rsid w:val="009526B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
    <w:name w:val="Table Grid 311"/>
    <w:basedOn w:val="TableNormal"/>
    <w:next w:val="TableGrid3"/>
    <w:rsid w:val="009526B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0">
    <w:name w:val="Table Grid 111"/>
    <w:basedOn w:val="TableNormal"/>
    <w:next w:val="TableGrid10"/>
    <w:rsid w:val="009526B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
    <w:name w:val="Table Columns 511"/>
    <w:basedOn w:val="TableNormal"/>
    <w:next w:val="TableColumns5"/>
    <w:rsid w:val="009526B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
    <w:name w:val="Light List - Accent 1111"/>
    <w:basedOn w:val="TableNormal"/>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1">
    <w:name w:val="Нет списка121"/>
    <w:next w:val="NoList"/>
    <w:uiPriority w:val="99"/>
    <w:semiHidden/>
    <w:unhideWhenUsed/>
    <w:rsid w:val="009526B6"/>
  </w:style>
  <w:style w:type="table" w:customStyle="1" w:styleId="ColorfulGrid-Accent1111">
    <w:name w:val="Colorful Grid - Accent 1111"/>
    <w:basedOn w:val="TableNormal"/>
    <w:rsid w:val="009526B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1">
    <w:name w:val="Light List - Accent 5111"/>
    <w:basedOn w:val="TableNormal"/>
    <w:rsid w:val="009526B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1">
    <w:name w:val="No List411"/>
    <w:next w:val="NoList"/>
    <w:semiHidden/>
    <w:rsid w:val="009526B6"/>
  </w:style>
  <w:style w:type="table" w:customStyle="1" w:styleId="Table3Deffects311">
    <w:name w:val="Table 3D effects 311"/>
    <w:basedOn w:val="TableNormal"/>
    <w:next w:val="Table3Deffects3"/>
    <w:rsid w:val="009526B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0">
    <w:name w:val="Нет списка1111"/>
    <w:next w:val="NoList"/>
    <w:semiHidden/>
    <w:unhideWhenUsed/>
    <w:rsid w:val="009526B6"/>
  </w:style>
  <w:style w:type="numbering" w:customStyle="1" w:styleId="NoList511">
    <w:name w:val="No List511"/>
    <w:next w:val="NoList"/>
    <w:uiPriority w:val="99"/>
    <w:semiHidden/>
    <w:unhideWhenUsed/>
    <w:rsid w:val="009526B6"/>
  </w:style>
  <w:style w:type="numbering" w:customStyle="1" w:styleId="NoList1211">
    <w:name w:val="No List1211"/>
    <w:next w:val="NoList"/>
    <w:uiPriority w:val="99"/>
    <w:semiHidden/>
    <w:rsid w:val="009526B6"/>
  </w:style>
  <w:style w:type="numbering" w:customStyle="1" w:styleId="NoList11211">
    <w:name w:val="No List11211"/>
    <w:next w:val="NoList"/>
    <w:semiHidden/>
    <w:rsid w:val="009526B6"/>
  </w:style>
  <w:style w:type="numbering" w:customStyle="1" w:styleId="NoList1111111">
    <w:name w:val="No List1111111"/>
    <w:next w:val="NoList"/>
    <w:semiHidden/>
    <w:rsid w:val="009526B6"/>
  </w:style>
  <w:style w:type="numbering" w:customStyle="1" w:styleId="NoList2111">
    <w:name w:val="No List2111"/>
    <w:next w:val="NoList"/>
    <w:semiHidden/>
    <w:rsid w:val="009526B6"/>
  </w:style>
  <w:style w:type="table" w:customStyle="1" w:styleId="TableGrid211">
    <w:name w:val="Table Grid211"/>
    <w:basedOn w:val="TableNormal"/>
    <w:next w:val="TableGrid"/>
    <w:rsid w:val="00952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
    <w:name w:val="No List3111"/>
    <w:next w:val="NoList"/>
    <w:semiHidden/>
    <w:unhideWhenUsed/>
    <w:rsid w:val="009526B6"/>
  </w:style>
  <w:style w:type="numbering" w:customStyle="1" w:styleId="NoList81">
    <w:name w:val="No List81"/>
    <w:next w:val="NoList"/>
    <w:uiPriority w:val="99"/>
    <w:semiHidden/>
    <w:unhideWhenUsed/>
    <w:rsid w:val="009526B6"/>
  </w:style>
  <w:style w:type="numbering" w:customStyle="1" w:styleId="NoList91">
    <w:name w:val="No List91"/>
    <w:next w:val="NoList"/>
    <w:uiPriority w:val="99"/>
    <w:semiHidden/>
    <w:unhideWhenUsed/>
    <w:rsid w:val="009526B6"/>
  </w:style>
  <w:style w:type="table" w:customStyle="1" w:styleId="TableGrid41">
    <w:name w:val="Table Grid41"/>
    <w:basedOn w:val="TableNormal"/>
    <w:next w:val="TableGrid"/>
    <w:uiPriority w:val="39"/>
    <w:rsid w:val="00952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1">
    <w:name w:val="Table List 721"/>
    <w:basedOn w:val="TableNormal"/>
    <w:next w:val="TableList7"/>
    <w:rsid w:val="009526B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1">
    <w:name w:val="Table Web 321"/>
    <w:basedOn w:val="TableNormal"/>
    <w:next w:val="TableWeb3"/>
    <w:rsid w:val="009526B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1">
    <w:name w:val="Table Elegant21"/>
    <w:basedOn w:val="TableNormal"/>
    <w:next w:val="TableElegant"/>
    <w:rsid w:val="009526B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rsid w:val="009526B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1">
    <w:name w:val="Table Web 121"/>
    <w:basedOn w:val="TableNormal"/>
    <w:next w:val="TableWeb1"/>
    <w:rsid w:val="009526B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1">
    <w:name w:val="Table Grid 821"/>
    <w:basedOn w:val="TableNormal"/>
    <w:next w:val="TableGrid8"/>
    <w:rsid w:val="009526B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1">
    <w:name w:val="Table Contemporary21"/>
    <w:basedOn w:val="TableNormal"/>
    <w:next w:val="TableContemporary"/>
    <w:rsid w:val="009526B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1">
    <w:name w:val="No List141"/>
    <w:next w:val="NoList"/>
    <w:semiHidden/>
    <w:unhideWhenUsed/>
    <w:rsid w:val="009526B6"/>
  </w:style>
  <w:style w:type="numbering" w:customStyle="1" w:styleId="NoList231">
    <w:name w:val="No List231"/>
    <w:next w:val="NoList"/>
    <w:semiHidden/>
    <w:unhideWhenUsed/>
    <w:rsid w:val="009526B6"/>
  </w:style>
  <w:style w:type="numbering" w:customStyle="1" w:styleId="NoList331">
    <w:name w:val="No List331"/>
    <w:next w:val="NoList"/>
    <w:semiHidden/>
    <w:unhideWhenUsed/>
    <w:rsid w:val="009526B6"/>
  </w:style>
  <w:style w:type="table" w:customStyle="1" w:styleId="LightList-Accent131">
    <w:name w:val="Light List - Accent 131"/>
    <w:basedOn w:val="TableNormal"/>
    <w:next w:val="LightList-Accent1"/>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1">
    <w:name w:val="Table Grid 721"/>
    <w:basedOn w:val="TableNormal"/>
    <w:next w:val="TableGrid7"/>
    <w:rsid w:val="009526B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1">
    <w:name w:val="Colorful Grid - Accent 131"/>
    <w:basedOn w:val="TableNormal"/>
    <w:next w:val="ColorfulGrid-Accent1"/>
    <w:uiPriority w:val="73"/>
    <w:rsid w:val="009526B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1">
    <w:name w:val="Light List - Accent 531"/>
    <w:basedOn w:val="TableNormal"/>
    <w:next w:val="LightList-Accent5"/>
    <w:uiPriority w:val="61"/>
    <w:rsid w:val="009526B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1">
    <w:name w:val="Table Simple 321"/>
    <w:basedOn w:val="TableNormal"/>
    <w:next w:val="TableSimple3"/>
    <w:rsid w:val="009526B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1">
    <w:name w:val="Table Grid 521"/>
    <w:basedOn w:val="TableNormal"/>
    <w:next w:val="TableGrid5"/>
    <w:rsid w:val="009526B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1">
    <w:name w:val="Table Grid 321"/>
    <w:basedOn w:val="TableNormal"/>
    <w:next w:val="TableGrid3"/>
    <w:rsid w:val="009526B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1">
    <w:name w:val="Table Grid 121"/>
    <w:basedOn w:val="TableNormal"/>
    <w:next w:val="TableGrid10"/>
    <w:rsid w:val="009526B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1">
    <w:name w:val="Table Columns 521"/>
    <w:basedOn w:val="TableNormal"/>
    <w:next w:val="TableColumns5"/>
    <w:rsid w:val="009526B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1">
    <w:name w:val="Light List - Accent 1121"/>
    <w:basedOn w:val="TableNormal"/>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1">
    <w:name w:val="Нет списка131"/>
    <w:next w:val="NoList"/>
    <w:semiHidden/>
    <w:unhideWhenUsed/>
    <w:rsid w:val="009526B6"/>
  </w:style>
  <w:style w:type="table" w:customStyle="1" w:styleId="ColorfulGrid-Accent1121">
    <w:name w:val="Colorful Grid - Accent 1121"/>
    <w:basedOn w:val="TableNormal"/>
    <w:rsid w:val="009526B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1">
    <w:name w:val="Light List - Accent 5121"/>
    <w:basedOn w:val="TableNormal"/>
    <w:rsid w:val="009526B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1">
    <w:name w:val="No List421"/>
    <w:next w:val="NoList"/>
    <w:semiHidden/>
    <w:rsid w:val="009526B6"/>
  </w:style>
  <w:style w:type="numbering" w:customStyle="1" w:styleId="NoList1141">
    <w:name w:val="No List1141"/>
    <w:next w:val="NoList"/>
    <w:semiHidden/>
    <w:unhideWhenUsed/>
    <w:rsid w:val="009526B6"/>
  </w:style>
  <w:style w:type="table" w:customStyle="1" w:styleId="Table3Deffects321">
    <w:name w:val="Table 3D effects 321"/>
    <w:basedOn w:val="TableNormal"/>
    <w:next w:val="Table3Deffects3"/>
    <w:rsid w:val="009526B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1">
    <w:name w:val="Нет списка1121"/>
    <w:next w:val="NoList"/>
    <w:semiHidden/>
    <w:unhideWhenUsed/>
    <w:rsid w:val="009526B6"/>
  </w:style>
  <w:style w:type="numbering" w:customStyle="1" w:styleId="NoList101">
    <w:name w:val="No List101"/>
    <w:next w:val="NoList"/>
    <w:uiPriority w:val="99"/>
    <w:semiHidden/>
    <w:unhideWhenUsed/>
    <w:rsid w:val="009526B6"/>
  </w:style>
  <w:style w:type="table" w:customStyle="1" w:styleId="TableGrid510">
    <w:name w:val="Table Grid51"/>
    <w:basedOn w:val="TableNormal"/>
    <w:next w:val="TableGrid"/>
    <w:uiPriority w:val="39"/>
    <w:rsid w:val="009526B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semiHidden/>
    <w:unhideWhenUsed/>
    <w:rsid w:val="009526B6"/>
  </w:style>
  <w:style w:type="numbering" w:customStyle="1" w:styleId="NoList1151">
    <w:name w:val="No List1151"/>
    <w:next w:val="NoList"/>
    <w:semiHidden/>
    <w:rsid w:val="009526B6"/>
  </w:style>
  <w:style w:type="table" w:customStyle="1" w:styleId="TableGrid1210">
    <w:name w:val="Table Grid121"/>
    <w:basedOn w:val="TableNormal"/>
    <w:next w:val="TableGrid"/>
    <w:uiPriority w:val="39"/>
    <w:rsid w:val="009526B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semiHidden/>
    <w:rsid w:val="009526B6"/>
  </w:style>
  <w:style w:type="numbering" w:customStyle="1" w:styleId="NoList241">
    <w:name w:val="No List241"/>
    <w:next w:val="NoList"/>
    <w:semiHidden/>
    <w:rsid w:val="009526B6"/>
  </w:style>
  <w:style w:type="numbering" w:customStyle="1" w:styleId="NoList341">
    <w:name w:val="No List341"/>
    <w:next w:val="NoList"/>
    <w:semiHidden/>
    <w:unhideWhenUsed/>
    <w:rsid w:val="009526B6"/>
  </w:style>
  <w:style w:type="table" w:customStyle="1" w:styleId="TableList731">
    <w:name w:val="Table List 731"/>
    <w:basedOn w:val="TableNormal"/>
    <w:next w:val="TableList7"/>
    <w:rsid w:val="009526B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1">
    <w:name w:val="Table Web 331"/>
    <w:basedOn w:val="TableNormal"/>
    <w:next w:val="TableWeb3"/>
    <w:rsid w:val="009526B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1">
    <w:name w:val="Table Elegant31"/>
    <w:basedOn w:val="TableNormal"/>
    <w:next w:val="TableElegant"/>
    <w:rsid w:val="009526B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1">
    <w:name w:val="Table Web 231"/>
    <w:basedOn w:val="TableNormal"/>
    <w:next w:val="TableWeb2"/>
    <w:rsid w:val="009526B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1">
    <w:name w:val="Table Web 131"/>
    <w:basedOn w:val="TableNormal"/>
    <w:next w:val="TableWeb1"/>
    <w:rsid w:val="009526B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1">
    <w:name w:val="Table Grid 831"/>
    <w:basedOn w:val="TableNormal"/>
    <w:next w:val="TableGrid8"/>
    <w:rsid w:val="009526B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1">
    <w:name w:val="Table Contemporary31"/>
    <w:basedOn w:val="TableNormal"/>
    <w:next w:val="TableContemporary"/>
    <w:rsid w:val="009526B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1">
    <w:name w:val="Light List - Accent 141"/>
    <w:basedOn w:val="TableNormal"/>
    <w:next w:val="LightList-Accent1"/>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1">
    <w:name w:val="Table Grid 731"/>
    <w:basedOn w:val="TableNormal"/>
    <w:next w:val="TableGrid7"/>
    <w:rsid w:val="009526B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1">
    <w:name w:val="Colorful Grid - Accent 141"/>
    <w:basedOn w:val="TableNormal"/>
    <w:next w:val="ColorfulGrid-Accent1"/>
    <w:uiPriority w:val="73"/>
    <w:rsid w:val="009526B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1">
    <w:name w:val="Light List - Accent 541"/>
    <w:basedOn w:val="TableNormal"/>
    <w:next w:val="LightList-Accent5"/>
    <w:uiPriority w:val="61"/>
    <w:rsid w:val="009526B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1">
    <w:name w:val="Table Simple 331"/>
    <w:basedOn w:val="TableNormal"/>
    <w:next w:val="TableSimple3"/>
    <w:rsid w:val="009526B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1">
    <w:name w:val="Table Grid 531"/>
    <w:basedOn w:val="TableNormal"/>
    <w:next w:val="TableGrid5"/>
    <w:rsid w:val="009526B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1">
    <w:name w:val="Table Grid 331"/>
    <w:basedOn w:val="TableNormal"/>
    <w:next w:val="TableGrid3"/>
    <w:rsid w:val="009526B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1">
    <w:name w:val="Table Grid 131"/>
    <w:basedOn w:val="TableNormal"/>
    <w:next w:val="TableGrid10"/>
    <w:rsid w:val="009526B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1">
    <w:name w:val="Table Columns 531"/>
    <w:basedOn w:val="TableNormal"/>
    <w:next w:val="TableColumns5"/>
    <w:rsid w:val="009526B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1">
    <w:name w:val="Light List - Accent 1131"/>
    <w:basedOn w:val="TableNormal"/>
    <w:uiPriority w:val="61"/>
    <w:rsid w:val="009526B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1">
    <w:name w:val="Нет списка141"/>
    <w:next w:val="NoList"/>
    <w:semiHidden/>
    <w:unhideWhenUsed/>
    <w:rsid w:val="009526B6"/>
  </w:style>
  <w:style w:type="table" w:customStyle="1" w:styleId="ColorfulGrid-Accent1131">
    <w:name w:val="Colorful Grid - Accent 1131"/>
    <w:basedOn w:val="TableNormal"/>
    <w:rsid w:val="009526B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1">
    <w:name w:val="Light List - Accent 5131"/>
    <w:basedOn w:val="TableNormal"/>
    <w:rsid w:val="009526B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1">
    <w:name w:val="No List431"/>
    <w:next w:val="NoList"/>
    <w:semiHidden/>
    <w:rsid w:val="009526B6"/>
  </w:style>
  <w:style w:type="table" w:customStyle="1" w:styleId="Table3Deffects331">
    <w:name w:val="Table 3D effects 331"/>
    <w:basedOn w:val="TableNormal"/>
    <w:next w:val="Table3Deffects3"/>
    <w:rsid w:val="009526B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1">
    <w:name w:val="Нет списка1131"/>
    <w:next w:val="NoList"/>
    <w:semiHidden/>
    <w:unhideWhenUsed/>
    <w:rsid w:val="009526B6"/>
  </w:style>
  <w:style w:type="numbering" w:customStyle="1" w:styleId="NoList521">
    <w:name w:val="No List521"/>
    <w:next w:val="NoList"/>
    <w:uiPriority w:val="99"/>
    <w:semiHidden/>
    <w:unhideWhenUsed/>
    <w:rsid w:val="009526B6"/>
  </w:style>
  <w:style w:type="numbering" w:customStyle="1" w:styleId="NoList1221">
    <w:name w:val="No List1221"/>
    <w:next w:val="NoList"/>
    <w:semiHidden/>
    <w:rsid w:val="009526B6"/>
  </w:style>
  <w:style w:type="numbering" w:customStyle="1" w:styleId="NoList11221">
    <w:name w:val="No List11221"/>
    <w:next w:val="NoList"/>
    <w:semiHidden/>
    <w:rsid w:val="009526B6"/>
  </w:style>
  <w:style w:type="numbering" w:customStyle="1" w:styleId="NoList111121">
    <w:name w:val="No List111121"/>
    <w:next w:val="NoList"/>
    <w:semiHidden/>
    <w:rsid w:val="009526B6"/>
  </w:style>
  <w:style w:type="numbering" w:customStyle="1" w:styleId="NoList2121">
    <w:name w:val="No List2121"/>
    <w:next w:val="NoList"/>
    <w:semiHidden/>
    <w:rsid w:val="009526B6"/>
  </w:style>
  <w:style w:type="table" w:customStyle="1" w:styleId="TableGrid221">
    <w:name w:val="Table Grid221"/>
    <w:basedOn w:val="TableNormal"/>
    <w:next w:val="TableGrid"/>
    <w:uiPriority w:val="39"/>
    <w:rsid w:val="00952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
    <w:name w:val="No List3121"/>
    <w:next w:val="NoList"/>
    <w:uiPriority w:val="99"/>
    <w:semiHidden/>
    <w:unhideWhenUsed/>
    <w:rsid w:val="009526B6"/>
  </w:style>
  <w:style w:type="table" w:customStyle="1" w:styleId="LightShading-Accent111">
    <w:name w:val="Light Shading - Accent 111"/>
    <w:basedOn w:val="TableNormal"/>
    <w:next w:val="LightShading-Accent1"/>
    <w:uiPriority w:val="60"/>
    <w:rsid w:val="009526B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1">
    <w:name w:val="Medium Grid 2 - Accent 111"/>
    <w:basedOn w:val="TableNormal"/>
    <w:next w:val="MediumGrid2-Accent1"/>
    <w:uiPriority w:val="68"/>
    <w:rsid w:val="009526B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1">
    <w:name w:val="Medium List 2 - Accent 511"/>
    <w:basedOn w:val="TableNormal"/>
    <w:next w:val="MediumList2-Accent5"/>
    <w:uiPriority w:val="66"/>
    <w:rsid w:val="009526B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1">
    <w:name w:val="Light List - Accent 151"/>
    <w:basedOn w:val="TableNormal"/>
    <w:next w:val="LightList-Accent1"/>
    <w:uiPriority w:val="61"/>
    <w:rsid w:val="009526B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1">
    <w:name w:val="Medium Grid 3 - Accent 511"/>
    <w:basedOn w:val="TableNormal"/>
    <w:next w:val="MediumGrid3-Accent5"/>
    <w:uiPriority w:val="69"/>
    <w:rsid w:val="009526B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1">
    <w:name w:val="Light Shading - Accent 511"/>
    <w:basedOn w:val="TableNormal"/>
    <w:next w:val="LightShading-Accent5"/>
    <w:uiPriority w:val="60"/>
    <w:rsid w:val="009526B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1">
    <w:name w:val="Medium Grid 2 - Accent 511"/>
    <w:basedOn w:val="TableNormal"/>
    <w:next w:val="MediumGrid2-Accent5"/>
    <w:uiPriority w:val="68"/>
    <w:rsid w:val="009526B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1">
    <w:name w:val="Light Grid - Accent 111"/>
    <w:basedOn w:val="TableNormal"/>
    <w:next w:val="LightGrid-Accent1"/>
    <w:uiPriority w:val="62"/>
    <w:rsid w:val="009526B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List43">
    <w:name w:val="Table List 43"/>
    <w:basedOn w:val="TableNormal"/>
    <w:next w:val="TableList4"/>
    <w:rsid w:val="009526B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2">
    <w:name w:val="Table List 412"/>
    <w:basedOn w:val="TableNormal"/>
    <w:next w:val="TableList4"/>
    <w:rsid w:val="009526B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Theme1">
    <w:name w:val="Table Theme1"/>
    <w:basedOn w:val="TableNormal"/>
    <w:next w:val="TableTheme"/>
    <w:rsid w:val="00952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1">
    <w:name w:val="Table Professional1"/>
    <w:basedOn w:val="TableNormal"/>
    <w:next w:val="TableProfessional"/>
    <w:rsid w:val="009526B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1">
    <w:name w:val="Table Grid 61"/>
    <w:basedOn w:val="TableNormal"/>
    <w:next w:val="TableGrid6"/>
    <w:rsid w:val="009526B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1">
    <w:name w:val="Table List 421"/>
    <w:basedOn w:val="TableNormal"/>
    <w:next w:val="TableList4"/>
    <w:rsid w:val="009526B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1">
    <w:name w:val="Table List 4111"/>
    <w:basedOn w:val="TableNormal"/>
    <w:next w:val="TableList4"/>
    <w:rsid w:val="009526B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3">
    <w:name w:val="Style113"/>
    <w:basedOn w:val="TableElegant"/>
    <w:uiPriority w:val="99"/>
    <w:rsid w:val="009526B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4">
    <w:name w:val="Style214"/>
    <w:basedOn w:val="TableGrid5"/>
    <w:uiPriority w:val="99"/>
    <w:rsid w:val="009526B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3">
    <w:name w:val="Style2113"/>
    <w:basedOn w:val="TableGrid5"/>
    <w:uiPriority w:val="99"/>
    <w:rsid w:val="009526B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1">
    <w:name w:val="No List161"/>
    <w:next w:val="NoList"/>
    <w:uiPriority w:val="99"/>
    <w:semiHidden/>
    <w:unhideWhenUsed/>
    <w:rsid w:val="009526B6"/>
  </w:style>
  <w:style w:type="table" w:customStyle="1" w:styleId="TableGrid610">
    <w:name w:val="Table Grid61"/>
    <w:basedOn w:val="TableNormal"/>
    <w:next w:val="TableGrid"/>
    <w:uiPriority w:val="39"/>
    <w:rsid w:val="00952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
    <w:name w:val="No List171"/>
    <w:next w:val="NoList"/>
    <w:uiPriority w:val="99"/>
    <w:semiHidden/>
    <w:unhideWhenUsed/>
    <w:rsid w:val="009526B6"/>
  </w:style>
  <w:style w:type="numbering" w:customStyle="1" w:styleId="NoList1161">
    <w:name w:val="No List1161"/>
    <w:next w:val="NoList"/>
    <w:semiHidden/>
    <w:rsid w:val="009526B6"/>
  </w:style>
  <w:style w:type="table" w:customStyle="1" w:styleId="TableGrid1310">
    <w:name w:val="Table Grid131"/>
    <w:basedOn w:val="TableNormal"/>
    <w:next w:val="TableGrid"/>
    <w:uiPriority w:val="59"/>
    <w:rsid w:val="00952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61">
    <w:name w:val="Light List - Accent 161"/>
    <w:basedOn w:val="TableNormal"/>
    <w:next w:val="LightList-Accent1"/>
    <w:uiPriority w:val="61"/>
    <w:rsid w:val="009526B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3">
    <w:name w:val="Light Shading - Accent 13"/>
    <w:basedOn w:val="TableNormal"/>
    <w:next w:val="LightShading-Accent1"/>
    <w:uiPriority w:val="60"/>
    <w:semiHidden/>
    <w:unhideWhenUsed/>
    <w:rsid w:val="009526B6"/>
    <w:rPr>
      <w:rFonts w:ascii="Calibri" w:eastAsia="Calibri" w:hAnsi="Calibri"/>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ediumGrid2-Accent13">
    <w:name w:val="Medium Grid 2 - Accent 13"/>
    <w:basedOn w:val="TableNormal"/>
    <w:next w:val="MediumGrid2-Accent1"/>
    <w:uiPriority w:val="68"/>
    <w:semiHidden/>
    <w:unhideWhenUsed/>
    <w:rsid w:val="009526B6"/>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List2-Accent53">
    <w:name w:val="Medium List 2 - Accent 53"/>
    <w:basedOn w:val="TableNormal"/>
    <w:next w:val="MediumList2-Accent5"/>
    <w:uiPriority w:val="66"/>
    <w:semiHidden/>
    <w:unhideWhenUsed/>
    <w:rsid w:val="009526B6"/>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Grid3-Accent53">
    <w:name w:val="Medium Grid 3 - Accent 53"/>
    <w:basedOn w:val="TableNormal"/>
    <w:next w:val="MediumGrid3-Accent5"/>
    <w:uiPriority w:val="69"/>
    <w:semiHidden/>
    <w:unhideWhenUsed/>
    <w:rsid w:val="009526B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LightShading-Accent53">
    <w:name w:val="Light Shading - Accent 53"/>
    <w:basedOn w:val="TableNormal"/>
    <w:next w:val="LightShading-Accent5"/>
    <w:uiPriority w:val="60"/>
    <w:semiHidden/>
    <w:unhideWhenUsed/>
    <w:rsid w:val="009526B6"/>
    <w:rPr>
      <w:rFonts w:ascii="Calibri" w:eastAsia="Calibri" w:hAnsi="Calibri"/>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Grid2-Accent53">
    <w:name w:val="Medium Grid 2 - Accent 53"/>
    <w:basedOn w:val="TableNormal"/>
    <w:next w:val="MediumGrid2-Accent5"/>
    <w:uiPriority w:val="68"/>
    <w:semiHidden/>
    <w:unhideWhenUsed/>
    <w:rsid w:val="009526B6"/>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LightGrid-Accent13">
    <w:name w:val="Light Grid - Accent 13"/>
    <w:basedOn w:val="TableNormal"/>
    <w:next w:val="LightGrid-Accent1"/>
    <w:uiPriority w:val="62"/>
    <w:semiHidden/>
    <w:unhideWhenUsed/>
    <w:rsid w:val="009526B6"/>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Shading-Accent14">
    <w:name w:val="Light Shading - Accent 14"/>
    <w:basedOn w:val="TableNormal"/>
    <w:next w:val="LightShading-Accent1"/>
    <w:uiPriority w:val="60"/>
    <w:rsid w:val="002D7AC1"/>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14">
    <w:name w:val="Medium Grid 2 - Accent 14"/>
    <w:basedOn w:val="TableNormal"/>
    <w:next w:val="MediumGrid2-Accent1"/>
    <w:uiPriority w:val="68"/>
    <w:rsid w:val="002D7AC1"/>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2-Accent54">
    <w:name w:val="Medium List 2 - Accent 54"/>
    <w:basedOn w:val="TableNormal"/>
    <w:next w:val="MediumList2-Accent5"/>
    <w:uiPriority w:val="66"/>
    <w:rsid w:val="002D7AC1"/>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10">
    <w:name w:val="Light List - Accent 110"/>
    <w:basedOn w:val="TableNormal"/>
    <w:next w:val="LightList-Accent1"/>
    <w:uiPriority w:val="61"/>
    <w:rsid w:val="002D7AC1"/>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Grid3-Accent54">
    <w:name w:val="Medium Grid 3 - Accent 54"/>
    <w:basedOn w:val="TableNormal"/>
    <w:next w:val="MediumGrid3-Accent5"/>
    <w:uiPriority w:val="69"/>
    <w:rsid w:val="002D7AC1"/>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4">
    <w:name w:val="Light Shading - Accent 54"/>
    <w:basedOn w:val="TableNormal"/>
    <w:next w:val="LightShading-Accent5"/>
    <w:uiPriority w:val="60"/>
    <w:rsid w:val="002D7AC1"/>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4">
    <w:name w:val="Medium Grid 2 - Accent 54"/>
    <w:basedOn w:val="TableNormal"/>
    <w:next w:val="MediumGrid2-Accent5"/>
    <w:uiPriority w:val="68"/>
    <w:rsid w:val="002D7AC1"/>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4">
    <w:name w:val="Light Grid - Accent 14"/>
    <w:basedOn w:val="TableNormal"/>
    <w:next w:val="LightGrid-Accent1"/>
    <w:uiPriority w:val="62"/>
    <w:rsid w:val="002D7AC1"/>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Accent15">
    <w:name w:val="Light Shading - Accent 15"/>
    <w:basedOn w:val="TableNormal"/>
    <w:next w:val="LightShading-Accent1"/>
    <w:uiPriority w:val="60"/>
    <w:rsid w:val="00EF5C2F"/>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15">
    <w:name w:val="Medium Grid 2 - Accent 15"/>
    <w:basedOn w:val="TableNormal"/>
    <w:next w:val="MediumGrid2-Accent1"/>
    <w:uiPriority w:val="68"/>
    <w:rsid w:val="00EF5C2F"/>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2-Accent55">
    <w:name w:val="Medium List 2 - Accent 55"/>
    <w:basedOn w:val="TableNormal"/>
    <w:next w:val="MediumList2-Accent5"/>
    <w:uiPriority w:val="66"/>
    <w:rsid w:val="00EF5C2F"/>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16">
    <w:name w:val="Light List - Accent 116"/>
    <w:basedOn w:val="TableNormal"/>
    <w:next w:val="LightList-Accent1"/>
    <w:uiPriority w:val="61"/>
    <w:rsid w:val="00EF5C2F"/>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Grid3-Accent55">
    <w:name w:val="Medium Grid 3 - Accent 55"/>
    <w:basedOn w:val="TableNormal"/>
    <w:next w:val="MediumGrid3-Accent5"/>
    <w:uiPriority w:val="69"/>
    <w:rsid w:val="00EF5C2F"/>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5">
    <w:name w:val="Light Shading - Accent 55"/>
    <w:basedOn w:val="TableNormal"/>
    <w:next w:val="LightShading-Accent5"/>
    <w:uiPriority w:val="60"/>
    <w:rsid w:val="00EF5C2F"/>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5">
    <w:name w:val="Medium Grid 2 - Accent 55"/>
    <w:basedOn w:val="TableNormal"/>
    <w:next w:val="MediumGrid2-Accent5"/>
    <w:uiPriority w:val="68"/>
    <w:rsid w:val="00EF5C2F"/>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5">
    <w:name w:val="Light Grid - Accent 15"/>
    <w:basedOn w:val="TableNormal"/>
    <w:next w:val="LightGrid-Accent1"/>
    <w:uiPriority w:val="62"/>
    <w:rsid w:val="00EF5C2F"/>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7">
    <w:name w:val="No List27"/>
    <w:next w:val="NoList"/>
    <w:uiPriority w:val="99"/>
    <w:semiHidden/>
    <w:unhideWhenUsed/>
    <w:rsid w:val="00CD7119"/>
  </w:style>
  <w:style w:type="table" w:customStyle="1" w:styleId="TableGrid9">
    <w:name w:val="Table Grid9"/>
    <w:basedOn w:val="TableNormal"/>
    <w:next w:val="TableGrid"/>
    <w:uiPriority w:val="39"/>
    <w:rsid w:val="00CD7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6">
    <w:name w:val="Table List 76"/>
    <w:basedOn w:val="TableNormal"/>
    <w:next w:val="TableList7"/>
    <w:rsid w:val="00CD711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6">
    <w:name w:val="Table Web 36"/>
    <w:basedOn w:val="TableNormal"/>
    <w:next w:val="TableWeb3"/>
    <w:rsid w:val="00CD711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6">
    <w:name w:val="Table Elegant6"/>
    <w:basedOn w:val="TableNormal"/>
    <w:next w:val="TableElegant"/>
    <w:rsid w:val="00CD711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6">
    <w:name w:val="Table Web 26"/>
    <w:basedOn w:val="TableNormal"/>
    <w:next w:val="TableWeb2"/>
    <w:rsid w:val="00CD711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6">
    <w:name w:val="Table Web 16"/>
    <w:basedOn w:val="TableNormal"/>
    <w:next w:val="TableWeb1"/>
    <w:rsid w:val="00CD711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6">
    <w:name w:val="Table Grid 86"/>
    <w:basedOn w:val="TableNormal"/>
    <w:next w:val="TableGrid8"/>
    <w:rsid w:val="00CD711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6">
    <w:name w:val="Table Contemporary6"/>
    <w:basedOn w:val="TableNormal"/>
    <w:next w:val="TableContemporary"/>
    <w:rsid w:val="00CD711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9">
    <w:name w:val="No List119"/>
    <w:next w:val="NoList"/>
    <w:semiHidden/>
    <w:unhideWhenUsed/>
    <w:rsid w:val="00CD7119"/>
  </w:style>
  <w:style w:type="numbering" w:customStyle="1" w:styleId="NoList28">
    <w:name w:val="No List28"/>
    <w:next w:val="NoList"/>
    <w:semiHidden/>
    <w:unhideWhenUsed/>
    <w:rsid w:val="00CD7119"/>
  </w:style>
  <w:style w:type="numbering" w:customStyle="1" w:styleId="NoList37">
    <w:name w:val="No List37"/>
    <w:next w:val="NoList"/>
    <w:semiHidden/>
    <w:unhideWhenUsed/>
    <w:rsid w:val="00CD7119"/>
  </w:style>
  <w:style w:type="table" w:customStyle="1" w:styleId="LightList-Accent117">
    <w:name w:val="Light List - Accent 117"/>
    <w:basedOn w:val="TableNormal"/>
    <w:next w:val="LightList-Accent1"/>
    <w:uiPriority w:val="61"/>
    <w:rsid w:val="00CD711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6">
    <w:name w:val="Table Grid 76"/>
    <w:basedOn w:val="TableNormal"/>
    <w:next w:val="TableGrid7"/>
    <w:rsid w:val="00CD711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7">
    <w:name w:val="Colorful Grid - Accent 17"/>
    <w:basedOn w:val="TableNormal"/>
    <w:next w:val="ColorfulGrid-Accent1"/>
    <w:uiPriority w:val="73"/>
    <w:rsid w:val="00CD711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7">
    <w:name w:val="Light List - Accent 57"/>
    <w:basedOn w:val="TableNormal"/>
    <w:next w:val="LightList-Accent5"/>
    <w:uiPriority w:val="61"/>
    <w:rsid w:val="00CD711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6">
    <w:name w:val="Table Simple 36"/>
    <w:basedOn w:val="TableNormal"/>
    <w:next w:val="TableSimple3"/>
    <w:rsid w:val="00CD711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6">
    <w:name w:val="Table Grid 56"/>
    <w:basedOn w:val="TableNormal"/>
    <w:next w:val="TableGrid5"/>
    <w:rsid w:val="00CD711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6">
    <w:name w:val="Table Grid 36"/>
    <w:basedOn w:val="TableNormal"/>
    <w:next w:val="TableGrid3"/>
    <w:rsid w:val="00CD711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6">
    <w:name w:val="Table Grid 16"/>
    <w:basedOn w:val="TableNormal"/>
    <w:next w:val="TableGrid10"/>
    <w:rsid w:val="00CD711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6">
    <w:name w:val="Table Columns 56"/>
    <w:basedOn w:val="TableNormal"/>
    <w:next w:val="TableColumns5"/>
    <w:rsid w:val="00CD711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8">
    <w:name w:val="Light List - Accent 118"/>
    <w:basedOn w:val="TableNormal"/>
    <w:uiPriority w:val="61"/>
    <w:rsid w:val="00CD711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70">
    <w:name w:val="Нет списка17"/>
    <w:next w:val="NoList"/>
    <w:semiHidden/>
    <w:unhideWhenUsed/>
    <w:rsid w:val="00CD7119"/>
  </w:style>
  <w:style w:type="table" w:customStyle="1" w:styleId="ColorfulGrid-Accent116">
    <w:name w:val="Colorful Grid - Accent 116"/>
    <w:basedOn w:val="TableNormal"/>
    <w:rsid w:val="00CD711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6">
    <w:name w:val="Light List - Accent 516"/>
    <w:basedOn w:val="TableNormal"/>
    <w:rsid w:val="00CD711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6">
    <w:name w:val="No List46"/>
    <w:next w:val="NoList"/>
    <w:semiHidden/>
    <w:rsid w:val="00CD7119"/>
  </w:style>
  <w:style w:type="numbering" w:customStyle="1" w:styleId="NoList1110">
    <w:name w:val="No List1110"/>
    <w:next w:val="NoList"/>
    <w:semiHidden/>
    <w:unhideWhenUsed/>
    <w:rsid w:val="00CD7119"/>
  </w:style>
  <w:style w:type="table" w:customStyle="1" w:styleId="Table3Deffects36">
    <w:name w:val="Table 3D effects 36"/>
    <w:basedOn w:val="TableNormal"/>
    <w:next w:val="Table3Deffects3"/>
    <w:rsid w:val="00CD711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60">
    <w:name w:val="Нет списка116"/>
    <w:next w:val="NoList"/>
    <w:semiHidden/>
    <w:unhideWhenUsed/>
    <w:rsid w:val="00CD7119"/>
  </w:style>
  <w:style w:type="character" w:customStyle="1" w:styleId="311">
    <w:name w:val="Основной текст31"/>
    <w:rsid w:val="00291C2D"/>
    <w:rPr>
      <w:rFonts w:ascii="Arial Unicode MS" w:eastAsia="Arial Unicode MS" w:hAnsi="Arial Unicode MS" w:cs="Arial Unicode MS"/>
      <w:b w:val="0"/>
      <w:bCs w:val="0"/>
      <w:i w:val="0"/>
      <w:iCs w:val="0"/>
      <w:smallCaps w:val="0"/>
      <w:strike w:val="0"/>
      <w:color w:val="000000"/>
      <w:spacing w:val="0"/>
      <w:w w:val="100"/>
      <w:position w:val="0"/>
      <w:sz w:val="30"/>
      <w:szCs w:val="30"/>
      <w:u w:val="none"/>
      <w:lang w:val="hy-AM"/>
    </w:rPr>
  </w:style>
  <w:style w:type="paragraph" w:customStyle="1" w:styleId="msonormal0">
    <w:name w:val="msonormal"/>
    <w:basedOn w:val="Normal"/>
    <w:rsid w:val="00291C2D"/>
    <w:pPr>
      <w:spacing w:before="100" w:beforeAutospacing="1" w:after="100" w:afterAutospacing="1" w:line="240" w:lineRule="auto"/>
      <w:jc w:val="left"/>
    </w:pPr>
    <w:rPr>
      <w:rFonts w:ascii="Times New Roman" w:hAnsi="Times New Roman"/>
      <w:b w:val="0"/>
      <w:sz w:val="24"/>
      <w:lang w:val="en-US" w:eastAsia="en-US"/>
    </w:rPr>
  </w:style>
  <w:style w:type="paragraph" w:customStyle="1" w:styleId="2b">
    <w:name w:val="Абзац списка2"/>
    <w:basedOn w:val="Normal"/>
    <w:uiPriority w:val="99"/>
    <w:qFormat/>
    <w:rsid w:val="00291C2D"/>
    <w:pPr>
      <w:spacing w:before="0" w:after="200"/>
      <w:ind w:left="720"/>
      <w:jc w:val="left"/>
    </w:pPr>
    <w:rPr>
      <w:rFonts w:ascii="Calibri" w:eastAsia="Calibri" w:hAnsi="Calibri"/>
      <w:szCs w:val="22"/>
      <w:lang w:eastAsia="en-US"/>
    </w:rPr>
  </w:style>
  <w:style w:type="paragraph" w:customStyle="1" w:styleId="39">
    <w:name w:val="Рецензия3"/>
    <w:hidden/>
    <w:uiPriority w:val="99"/>
    <w:semiHidden/>
    <w:rsid w:val="00291C2D"/>
    <w:rPr>
      <w:rFonts w:ascii="Arial Armenian" w:hAnsi="Arial Armenian"/>
      <w:sz w:val="22"/>
      <w:szCs w:val="22"/>
      <w:lang w:eastAsia="ru-RU"/>
    </w:rPr>
  </w:style>
  <w:style w:type="paragraph" w:customStyle="1" w:styleId="44">
    <w:name w:val="Обычный4"/>
    <w:rsid w:val="00291C2D"/>
    <w:pPr>
      <w:autoSpaceDE w:val="0"/>
      <w:autoSpaceDN w:val="0"/>
    </w:pPr>
    <w:rPr>
      <w:lang w:val="ru-RU" w:eastAsia="ru-RU"/>
    </w:rPr>
  </w:style>
  <w:style w:type="paragraph" w:customStyle="1" w:styleId="2c">
    <w:name w:val="Без интервала2"/>
    <w:uiPriority w:val="1"/>
    <w:qFormat/>
    <w:rsid w:val="00291C2D"/>
    <w:rPr>
      <w:rFonts w:ascii="Calibri" w:hAnsi="Calibri"/>
      <w:sz w:val="22"/>
      <w:szCs w:val="22"/>
    </w:rPr>
  </w:style>
  <w:style w:type="character" w:customStyle="1" w:styleId="45">
    <w:name w:val="Основной текст4"/>
    <w:rsid w:val="00291C2D"/>
    <w:rPr>
      <w:rFonts w:ascii="Arial Unicode MS" w:eastAsia="Arial Unicode MS" w:hAnsi="Arial Unicode MS" w:cs="Arial Unicode MS"/>
      <w:b w:val="0"/>
      <w:bCs w:val="0"/>
      <w:i w:val="0"/>
      <w:iCs w:val="0"/>
      <w:smallCaps w:val="0"/>
      <w:strike w:val="0"/>
      <w:color w:val="000000"/>
      <w:spacing w:val="0"/>
      <w:w w:val="100"/>
      <w:position w:val="0"/>
      <w:sz w:val="30"/>
      <w:szCs w:val="30"/>
      <w:u w:val="none"/>
      <w:lang w:val="hy-AM"/>
    </w:rPr>
  </w:style>
  <w:style w:type="table" w:customStyle="1" w:styleId="LightShading-Accent16">
    <w:name w:val="Light Shading - Accent 16"/>
    <w:basedOn w:val="TableNormal"/>
    <w:next w:val="LightShading-Accent1"/>
    <w:uiPriority w:val="60"/>
    <w:rsid w:val="00291C2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6">
    <w:name w:val="Medium Grid 2 - Accent 16"/>
    <w:basedOn w:val="TableNormal"/>
    <w:next w:val="MediumGrid2-Accent1"/>
    <w:uiPriority w:val="68"/>
    <w:rsid w:val="00291C2D"/>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6">
    <w:name w:val="Medium List 2 - Accent 56"/>
    <w:basedOn w:val="TableNormal"/>
    <w:next w:val="MediumList2-Accent5"/>
    <w:uiPriority w:val="66"/>
    <w:rsid w:val="00291C2D"/>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2">
    <w:name w:val="Light List - Accent 152"/>
    <w:basedOn w:val="TableNormal"/>
    <w:next w:val="LightList-Accent1"/>
    <w:uiPriority w:val="61"/>
    <w:rsid w:val="00291C2D"/>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6">
    <w:name w:val="Medium Grid 3 - Accent 56"/>
    <w:basedOn w:val="TableNormal"/>
    <w:next w:val="MediumGrid3-Accent5"/>
    <w:uiPriority w:val="69"/>
    <w:rsid w:val="00291C2D"/>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6">
    <w:name w:val="Light Shading - Accent 56"/>
    <w:basedOn w:val="TableNormal"/>
    <w:next w:val="LightShading-Accent5"/>
    <w:uiPriority w:val="60"/>
    <w:rsid w:val="00291C2D"/>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6">
    <w:name w:val="Medium Grid 2 - Accent 56"/>
    <w:basedOn w:val="TableNormal"/>
    <w:next w:val="MediumGrid2-Accent5"/>
    <w:uiPriority w:val="68"/>
    <w:rsid w:val="00291C2D"/>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6">
    <w:name w:val="Light Grid - Accent 16"/>
    <w:basedOn w:val="TableNormal"/>
    <w:next w:val="LightGrid-Accent1"/>
    <w:uiPriority w:val="62"/>
    <w:rsid w:val="00291C2D"/>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tyle114">
    <w:name w:val="Style114"/>
    <w:basedOn w:val="TableElegant"/>
    <w:uiPriority w:val="99"/>
    <w:rsid w:val="00291C2D"/>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5">
    <w:name w:val="Style215"/>
    <w:basedOn w:val="TableGrid5"/>
    <w:uiPriority w:val="99"/>
    <w:rsid w:val="00291C2D"/>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4">
    <w:name w:val="Style2114"/>
    <w:basedOn w:val="TableGrid5"/>
    <w:uiPriority w:val="99"/>
    <w:rsid w:val="00291C2D"/>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Shading-Accent112">
    <w:name w:val="Light Shading - Accent 112"/>
    <w:basedOn w:val="TableNormal"/>
    <w:next w:val="LightShading-Accent1"/>
    <w:uiPriority w:val="60"/>
    <w:rsid w:val="00291C2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2">
    <w:name w:val="Medium Grid 2 - Accent 112"/>
    <w:basedOn w:val="TableNormal"/>
    <w:next w:val="MediumGrid2-Accent1"/>
    <w:uiPriority w:val="68"/>
    <w:rsid w:val="00291C2D"/>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2">
    <w:name w:val="Medium List 2 - Accent 512"/>
    <w:basedOn w:val="TableNormal"/>
    <w:next w:val="MediumList2-Accent5"/>
    <w:uiPriority w:val="66"/>
    <w:rsid w:val="00291C2D"/>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62">
    <w:name w:val="Light List - Accent 162"/>
    <w:basedOn w:val="TableNormal"/>
    <w:next w:val="LightList-Accent1"/>
    <w:uiPriority w:val="61"/>
    <w:rsid w:val="00291C2D"/>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2">
    <w:name w:val="Medium Grid 3 - Accent 512"/>
    <w:basedOn w:val="TableNormal"/>
    <w:next w:val="MediumGrid3-Accent5"/>
    <w:uiPriority w:val="69"/>
    <w:rsid w:val="00291C2D"/>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2">
    <w:name w:val="Light Shading - Accent 512"/>
    <w:basedOn w:val="TableNormal"/>
    <w:next w:val="LightShading-Accent5"/>
    <w:uiPriority w:val="60"/>
    <w:rsid w:val="00291C2D"/>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2">
    <w:name w:val="Medium Grid 2 - Accent 512"/>
    <w:basedOn w:val="TableNormal"/>
    <w:next w:val="MediumGrid2-Accent5"/>
    <w:uiPriority w:val="68"/>
    <w:rsid w:val="00291C2D"/>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2">
    <w:name w:val="Light Grid - Accent 112"/>
    <w:basedOn w:val="TableNormal"/>
    <w:next w:val="LightGrid-Accent1"/>
    <w:uiPriority w:val="62"/>
    <w:rsid w:val="00291C2D"/>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9">
    <w:name w:val="No List29"/>
    <w:next w:val="NoList"/>
    <w:uiPriority w:val="99"/>
    <w:semiHidden/>
    <w:unhideWhenUsed/>
    <w:rsid w:val="00CC15D2"/>
  </w:style>
  <w:style w:type="table" w:customStyle="1" w:styleId="TableGrid100">
    <w:name w:val="Table Grid10"/>
    <w:basedOn w:val="TableNormal"/>
    <w:next w:val="TableGrid"/>
    <w:uiPriority w:val="39"/>
    <w:rsid w:val="00CC15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uiPriority w:val="99"/>
    <w:semiHidden/>
    <w:unhideWhenUsed/>
    <w:rsid w:val="00CC15D2"/>
  </w:style>
  <w:style w:type="numbering" w:customStyle="1" w:styleId="NoList1115">
    <w:name w:val="No List1115"/>
    <w:next w:val="NoList"/>
    <w:semiHidden/>
    <w:rsid w:val="00CC15D2"/>
  </w:style>
  <w:style w:type="table" w:customStyle="1" w:styleId="TableGrid150">
    <w:name w:val="Table Grid15"/>
    <w:basedOn w:val="TableNormal"/>
    <w:next w:val="TableGrid"/>
    <w:uiPriority w:val="39"/>
    <w:rsid w:val="00CC15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NoList"/>
    <w:uiPriority w:val="99"/>
    <w:semiHidden/>
    <w:unhideWhenUsed/>
    <w:rsid w:val="00941455"/>
  </w:style>
  <w:style w:type="table" w:customStyle="1" w:styleId="LightShading-Accent17">
    <w:name w:val="Light Shading - Accent 17"/>
    <w:basedOn w:val="TableNormal"/>
    <w:next w:val="LightShading-Accent1"/>
    <w:uiPriority w:val="60"/>
    <w:rsid w:val="00372F27"/>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17">
    <w:name w:val="Medium Grid 2 - Accent 17"/>
    <w:basedOn w:val="TableNormal"/>
    <w:next w:val="MediumGrid2-Accent1"/>
    <w:uiPriority w:val="68"/>
    <w:rsid w:val="00372F27"/>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2-Accent57">
    <w:name w:val="Medium List 2 - Accent 57"/>
    <w:basedOn w:val="TableNormal"/>
    <w:next w:val="MediumList2-Accent5"/>
    <w:uiPriority w:val="66"/>
    <w:rsid w:val="00372F27"/>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19">
    <w:name w:val="Light List - Accent 119"/>
    <w:basedOn w:val="TableNormal"/>
    <w:next w:val="LightList-Accent1"/>
    <w:uiPriority w:val="61"/>
    <w:rsid w:val="00372F2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Grid3-Accent57">
    <w:name w:val="Medium Grid 3 - Accent 57"/>
    <w:basedOn w:val="TableNormal"/>
    <w:next w:val="MediumGrid3-Accent5"/>
    <w:uiPriority w:val="69"/>
    <w:rsid w:val="00372F27"/>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7">
    <w:name w:val="Light Shading - Accent 57"/>
    <w:basedOn w:val="TableNormal"/>
    <w:next w:val="LightShading-Accent5"/>
    <w:uiPriority w:val="60"/>
    <w:rsid w:val="00372F27"/>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7">
    <w:name w:val="Medium Grid 2 - Accent 57"/>
    <w:basedOn w:val="TableNormal"/>
    <w:next w:val="MediumGrid2-Accent5"/>
    <w:uiPriority w:val="68"/>
    <w:rsid w:val="00372F27"/>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7">
    <w:name w:val="Light Grid - Accent 17"/>
    <w:basedOn w:val="TableNormal"/>
    <w:next w:val="LightGrid-Accent1"/>
    <w:uiPriority w:val="62"/>
    <w:rsid w:val="00372F2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38">
    <w:name w:val="No List38"/>
    <w:next w:val="NoList"/>
    <w:uiPriority w:val="99"/>
    <w:semiHidden/>
    <w:unhideWhenUsed/>
    <w:rsid w:val="00CD51B8"/>
  </w:style>
  <w:style w:type="table" w:customStyle="1" w:styleId="TableGrid160">
    <w:name w:val="Table Grid16"/>
    <w:basedOn w:val="TableNormal"/>
    <w:next w:val="TableGrid"/>
    <w:rsid w:val="00CD51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CD51B8"/>
  </w:style>
  <w:style w:type="numbering" w:customStyle="1" w:styleId="NoList1116">
    <w:name w:val="No List1116"/>
    <w:next w:val="NoList"/>
    <w:semiHidden/>
    <w:rsid w:val="00CD51B8"/>
  </w:style>
  <w:style w:type="table" w:customStyle="1" w:styleId="TableGrid17">
    <w:name w:val="Table Grid17"/>
    <w:basedOn w:val="TableNormal"/>
    <w:next w:val="TableGrid"/>
    <w:uiPriority w:val="59"/>
    <w:rsid w:val="00CD51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8">
    <w:name w:val="Light Shading - Accent 18"/>
    <w:basedOn w:val="TableNormal"/>
    <w:next w:val="LightShading-Accent1"/>
    <w:uiPriority w:val="60"/>
    <w:rsid w:val="00434536"/>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18">
    <w:name w:val="Medium Grid 2 - Accent 18"/>
    <w:basedOn w:val="TableNormal"/>
    <w:next w:val="MediumGrid2-Accent1"/>
    <w:uiPriority w:val="68"/>
    <w:rsid w:val="00434536"/>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2-Accent58">
    <w:name w:val="Medium List 2 - Accent 58"/>
    <w:basedOn w:val="TableNormal"/>
    <w:next w:val="MediumList2-Accent5"/>
    <w:uiPriority w:val="66"/>
    <w:rsid w:val="00434536"/>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20">
    <w:name w:val="Light List - Accent 120"/>
    <w:basedOn w:val="TableNormal"/>
    <w:next w:val="LightList-Accent1"/>
    <w:uiPriority w:val="61"/>
    <w:rsid w:val="00434536"/>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Grid3-Accent58">
    <w:name w:val="Medium Grid 3 - Accent 58"/>
    <w:basedOn w:val="TableNormal"/>
    <w:next w:val="MediumGrid3-Accent5"/>
    <w:uiPriority w:val="69"/>
    <w:rsid w:val="00434536"/>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8">
    <w:name w:val="Light Shading - Accent 58"/>
    <w:basedOn w:val="TableNormal"/>
    <w:next w:val="LightShading-Accent5"/>
    <w:uiPriority w:val="60"/>
    <w:rsid w:val="00434536"/>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8">
    <w:name w:val="Medium Grid 2 - Accent 58"/>
    <w:basedOn w:val="TableNormal"/>
    <w:next w:val="MediumGrid2-Accent5"/>
    <w:uiPriority w:val="68"/>
    <w:rsid w:val="00434536"/>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8">
    <w:name w:val="Light Grid - Accent 18"/>
    <w:basedOn w:val="TableNormal"/>
    <w:next w:val="LightGrid-Accent1"/>
    <w:uiPriority w:val="62"/>
    <w:rsid w:val="00434536"/>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Accent19">
    <w:name w:val="Light Shading - Accent 19"/>
    <w:basedOn w:val="TableNormal"/>
    <w:next w:val="LightShading-Accent1"/>
    <w:uiPriority w:val="60"/>
    <w:rsid w:val="00E81B58"/>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19">
    <w:name w:val="Medium Grid 2 - Accent 19"/>
    <w:basedOn w:val="TableNormal"/>
    <w:next w:val="MediumGrid2-Accent1"/>
    <w:uiPriority w:val="68"/>
    <w:rsid w:val="00E81B58"/>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2-Accent59">
    <w:name w:val="Medium List 2 - Accent 59"/>
    <w:basedOn w:val="TableNormal"/>
    <w:next w:val="MediumList2-Accent5"/>
    <w:uiPriority w:val="66"/>
    <w:rsid w:val="00E81B58"/>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22">
    <w:name w:val="Light List - Accent 122"/>
    <w:basedOn w:val="TableNormal"/>
    <w:next w:val="LightList-Accent1"/>
    <w:uiPriority w:val="61"/>
    <w:rsid w:val="00E81B58"/>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Grid3-Accent59">
    <w:name w:val="Medium Grid 3 - Accent 59"/>
    <w:basedOn w:val="TableNormal"/>
    <w:next w:val="MediumGrid3-Accent5"/>
    <w:uiPriority w:val="69"/>
    <w:rsid w:val="00E81B58"/>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9">
    <w:name w:val="Light Shading - Accent 59"/>
    <w:basedOn w:val="TableNormal"/>
    <w:next w:val="LightShading-Accent5"/>
    <w:uiPriority w:val="60"/>
    <w:rsid w:val="00E81B58"/>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9">
    <w:name w:val="Medium Grid 2 - Accent 59"/>
    <w:basedOn w:val="TableNormal"/>
    <w:next w:val="MediumGrid2-Accent5"/>
    <w:uiPriority w:val="68"/>
    <w:rsid w:val="00E81B58"/>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9">
    <w:name w:val="Light Grid - Accent 19"/>
    <w:basedOn w:val="TableNormal"/>
    <w:next w:val="LightGrid-Accent1"/>
    <w:uiPriority w:val="62"/>
    <w:rsid w:val="00E81B58"/>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tyle115">
    <w:name w:val="Style115"/>
    <w:basedOn w:val="TableElegant"/>
    <w:uiPriority w:val="99"/>
    <w:rsid w:val="00CF7470"/>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15">
    <w:name w:val="Style2115"/>
    <w:basedOn w:val="TableGrid5"/>
    <w:uiPriority w:val="99"/>
    <w:rsid w:val="00CF7470"/>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39">
    <w:name w:val="No List39"/>
    <w:next w:val="NoList"/>
    <w:uiPriority w:val="99"/>
    <w:semiHidden/>
    <w:unhideWhenUsed/>
    <w:rsid w:val="008B1219"/>
  </w:style>
  <w:style w:type="table" w:customStyle="1" w:styleId="TableGrid18">
    <w:name w:val="Table Grid18"/>
    <w:basedOn w:val="TableNormal"/>
    <w:next w:val="TableGrid"/>
    <w:uiPriority w:val="39"/>
    <w:rsid w:val="008B12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8B1219"/>
  </w:style>
  <w:style w:type="numbering" w:customStyle="1" w:styleId="NoList1117">
    <w:name w:val="No List1117"/>
    <w:next w:val="NoList"/>
    <w:semiHidden/>
    <w:rsid w:val="008B1219"/>
  </w:style>
  <w:style w:type="table" w:customStyle="1" w:styleId="TableGrid19">
    <w:name w:val="Table Grid19"/>
    <w:basedOn w:val="TableNormal"/>
    <w:next w:val="TableGrid"/>
    <w:uiPriority w:val="59"/>
    <w:rsid w:val="008B12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151">
    <w:name w:val="Style1151"/>
    <w:basedOn w:val="TableElegant"/>
    <w:uiPriority w:val="99"/>
    <w:rsid w:val="008B121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6">
    <w:name w:val="Style216"/>
    <w:basedOn w:val="TableGrid5"/>
    <w:uiPriority w:val="99"/>
    <w:rsid w:val="008B121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40">
    <w:name w:val="No List40"/>
    <w:next w:val="NoList"/>
    <w:uiPriority w:val="99"/>
    <w:semiHidden/>
    <w:unhideWhenUsed/>
    <w:rsid w:val="008B1219"/>
  </w:style>
  <w:style w:type="table" w:customStyle="1" w:styleId="TableGrid20">
    <w:name w:val="Table Grid20"/>
    <w:basedOn w:val="TableNormal"/>
    <w:next w:val="TableGrid"/>
    <w:uiPriority w:val="59"/>
    <w:rsid w:val="008B121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0">
    <w:name w:val="Light Shading - Accent 110"/>
    <w:basedOn w:val="TableNormal"/>
    <w:next w:val="LightShading-Accent1"/>
    <w:uiPriority w:val="60"/>
    <w:rsid w:val="008B1219"/>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58">
    <w:name w:val="Light List - Accent 58"/>
    <w:basedOn w:val="TableNormal"/>
    <w:next w:val="LightList-Accent5"/>
    <w:uiPriority w:val="61"/>
    <w:rsid w:val="008B1219"/>
    <w:rPr>
      <w:rFonts w:asciiTheme="minorHAnsi" w:eastAsiaTheme="minorHAnsi" w:hAnsiTheme="minorHAnsi" w:cstheme="minorBid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List2-Accent1">
    <w:name w:val="Medium List 2 Accent 1"/>
    <w:basedOn w:val="TableNormal"/>
    <w:uiPriority w:val="66"/>
    <w:rsid w:val="008B1219"/>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2-Accent110">
    <w:name w:val="Medium Grid 2 - Accent 110"/>
    <w:basedOn w:val="TableNormal"/>
    <w:next w:val="MediumGrid2-Accent1"/>
    <w:uiPriority w:val="68"/>
    <w:rsid w:val="008B1219"/>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3-Accent6">
    <w:name w:val="Medium Grid 3 Accent 6"/>
    <w:basedOn w:val="TableNormal"/>
    <w:uiPriority w:val="69"/>
    <w:rsid w:val="008B1219"/>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MediumList2-Accent510">
    <w:name w:val="Medium List 2 - Accent 510"/>
    <w:basedOn w:val="TableNormal"/>
    <w:next w:val="MediumList2-Accent5"/>
    <w:uiPriority w:val="66"/>
    <w:rsid w:val="008B1219"/>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23">
    <w:name w:val="Light List - Accent 123"/>
    <w:basedOn w:val="TableNormal"/>
    <w:next w:val="LightList-Accent1"/>
    <w:uiPriority w:val="61"/>
    <w:rsid w:val="008B121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List1-Accent5">
    <w:name w:val="Medium List 1 Accent 5"/>
    <w:basedOn w:val="TableNormal"/>
    <w:uiPriority w:val="65"/>
    <w:rsid w:val="008B1219"/>
    <w:rPr>
      <w:rFonts w:asciiTheme="minorHAnsi" w:eastAsiaTheme="minorHAnsi" w:hAnsiTheme="minorHAnsi" w:cstheme="minorBidi"/>
      <w:color w:val="000000" w:themeColor="text1"/>
      <w:sz w:val="22"/>
      <w:szCs w:val="22"/>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Grid3-Accent510">
    <w:name w:val="Medium Grid 3 - Accent 510"/>
    <w:basedOn w:val="TableNormal"/>
    <w:next w:val="MediumGrid3-Accent5"/>
    <w:uiPriority w:val="69"/>
    <w:rsid w:val="008B1219"/>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Shading-Accent510">
    <w:name w:val="Light Shading - Accent 510"/>
    <w:basedOn w:val="TableNormal"/>
    <w:next w:val="LightShading-Accent5"/>
    <w:uiPriority w:val="60"/>
    <w:rsid w:val="008B1219"/>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2-Accent510">
    <w:name w:val="Medium Grid 2 - Accent 510"/>
    <w:basedOn w:val="TableNormal"/>
    <w:next w:val="MediumGrid2-Accent5"/>
    <w:uiPriority w:val="68"/>
    <w:rsid w:val="008B1219"/>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LightList-Accent3">
    <w:name w:val="Light List Accent 3"/>
    <w:basedOn w:val="TableNormal"/>
    <w:uiPriority w:val="61"/>
    <w:rsid w:val="008B1219"/>
    <w:rPr>
      <w:rFonts w:asciiTheme="minorHAnsi" w:eastAsiaTheme="minorHAnsi"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List2-Accent3">
    <w:name w:val="Medium List 2 Accent 3"/>
    <w:basedOn w:val="TableNormal"/>
    <w:uiPriority w:val="66"/>
    <w:rsid w:val="008B1219"/>
    <w:rPr>
      <w:rFonts w:asciiTheme="majorHAnsi" w:eastAsiaTheme="majorEastAsia" w:hAnsiTheme="majorHAnsi" w:cstheme="majorBidi"/>
      <w:color w:val="000000" w:themeColor="text1"/>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8B1219"/>
    <w:rPr>
      <w:rFonts w:asciiTheme="majorHAnsi" w:eastAsiaTheme="majorEastAsia" w:hAnsiTheme="majorHAnsi" w:cstheme="majorBidi"/>
      <w:color w:val="000000" w:themeColor="text1"/>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Grid-Accent110">
    <w:name w:val="Light Grid - Accent 110"/>
    <w:basedOn w:val="TableNormal"/>
    <w:next w:val="LightGrid-Accent1"/>
    <w:uiPriority w:val="62"/>
    <w:rsid w:val="008B121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47">
    <w:name w:val="No List47"/>
    <w:next w:val="NoList"/>
    <w:uiPriority w:val="99"/>
    <w:semiHidden/>
    <w:unhideWhenUsed/>
    <w:rsid w:val="00961B35"/>
  </w:style>
  <w:style w:type="table" w:customStyle="1" w:styleId="TableGrid24">
    <w:name w:val="Table Grid24"/>
    <w:basedOn w:val="TableNormal"/>
    <w:next w:val="TableGrid"/>
    <w:uiPriority w:val="39"/>
    <w:rsid w:val="00961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NoList"/>
    <w:uiPriority w:val="99"/>
    <w:semiHidden/>
    <w:unhideWhenUsed/>
    <w:rsid w:val="00961B35"/>
  </w:style>
  <w:style w:type="numbering" w:customStyle="1" w:styleId="NoList1118">
    <w:name w:val="No List1118"/>
    <w:next w:val="NoList"/>
    <w:semiHidden/>
    <w:rsid w:val="00961B35"/>
  </w:style>
  <w:style w:type="table" w:customStyle="1" w:styleId="TableGrid1100">
    <w:name w:val="Table Grid110"/>
    <w:basedOn w:val="TableNormal"/>
    <w:next w:val="TableGrid"/>
    <w:uiPriority w:val="59"/>
    <w:rsid w:val="00961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semiHidden/>
    <w:rsid w:val="001725C5"/>
  </w:style>
  <w:style w:type="paragraph" w:customStyle="1" w:styleId="CharChar40">
    <w:name w:val="Char Char40"/>
    <w:basedOn w:val="Normal"/>
    <w:uiPriority w:val="99"/>
    <w:rsid w:val="001725C5"/>
    <w:pPr>
      <w:spacing w:before="0" w:after="160" w:line="240" w:lineRule="exact"/>
      <w:jc w:val="left"/>
    </w:pPr>
    <w:rPr>
      <w:rFonts w:ascii="Arial" w:hAnsi="Arial" w:cs="Arial"/>
      <w:b w:val="0"/>
      <w:sz w:val="20"/>
      <w:szCs w:val="20"/>
      <w:lang w:val="en-US" w:eastAsia="en-US"/>
    </w:rPr>
  </w:style>
  <w:style w:type="paragraph" w:customStyle="1" w:styleId="Char120">
    <w:name w:val="Char12"/>
    <w:basedOn w:val="Normal"/>
    <w:next w:val="Normal"/>
    <w:rsid w:val="001725C5"/>
    <w:pPr>
      <w:spacing w:before="0" w:after="160" w:line="240" w:lineRule="exact"/>
      <w:jc w:val="left"/>
    </w:pPr>
    <w:rPr>
      <w:rFonts w:ascii="Tahoma" w:hAnsi="Tahoma"/>
      <w:b w:val="0"/>
      <w:sz w:val="24"/>
      <w:szCs w:val="20"/>
      <w:lang w:val="en-US" w:eastAsia="en-US"/>
    </w:rPr>
  </w:style>
  <w:style w:type="paragraph" w:customStyle="1" w:styleId="Char1CharCharCharCharCharCharCharCharCharCharCharChar3">
    <w:name w:val="Char1 Char Char Char Char Char Char Char Char Char Char Char Char3"/>
    <w:basedOn w:val="Normal"/>
    <w:uiPriority w:val="99"/>
    <w:rsid w:val="001725C5"/>
    <w:pPr>
      <w:spacing w:before="0" w:after="160" w:line="240" w:lineRule="exact"/>
      <w:jc w:val="left"/>
    </w:pPr>
    <w:rPr>
      <w:rFonts w:ascii="Arial" w:hAnsi="Arial" w:cs="Arial"/>
      <w:b w:val="0"/>
      <w:sz w:val="20"/>
      <w:szCs w:val="20"/>
      <w:lang w:val="en-US" w:eastAsia="en-US"/>
    </w:rPr>
  </w:style>
  <w:style w:type="paragraph" w:customStyle="1" w:styleId="CharCharChar4">
    <w:name w:val="Char Char Char4"/>
    <w:basedOn w:val="Normal"/>
    <w:uiPriority w:val="99"/>
    <w:rsid w:val="001725C5"/>
    <w:pPr>
      <w:spacing w:before="0" w:after="160" w:line="240" w:lineRule="exact"/>
      <w:jc w:val="left"/>
    </w:pPr>
    <w:rPr>
      <w:rFonts w:ascii="Arial" w:hAnsi="Arial" w:cs="Arial"/>
      <w:b w:val="0"/>
      <w:sz w:val="20"/>
      <w:szCs w:val="20"/>
      <w:lang w:val="en-US" w:eastAsia="en-US"/>
    </w:rPr>
  </w:style>
  <w:style w:type="paragraph" w:customStyle="1" w:styleId="CharCharChar40">
    <w:name w:val="Char Char Char Знак Знак4"/>
    <w:basedOn w:val="Normal"/>
    <w:uiPriority w:val="99"/>
    <w:rsid w:val="001725C5"/>
    <w:pPr>
      <w:spacing w:before="0" w:after="160" w:line="240" w:lineRule="exact"/>
      <w:jc w:val="left"/>
    </w:pPr>
    <w:rPr>
      <w:rFonts w:ascii="Arial" w:hAnsi="Arial" w:cs="Arial"/>
      <w:b w:val="0"/>
      <w:sz w:val="20"/>
      <w:szCs w:val="20"/>
      <w:lang w:val="en-US" w:eastAsia="en-US"/>
    </w:rPr>
  </w:style>
  <w:style w:type="paragraph" w:customStyle="1" w:styleId="CharCharCharCharChar40">
    <w:name w:val="Char Char Char Char Char Знак Знак4"/>
    <w:basedOn w:val="Normal"/>
    <w:uiPriority w:val="99"/>
    <w:rsid w:val="001725C5"/>
    <w:pPr>
      <w:spacing w:before="0" w:after="160" w:line="240" w:lineRule="exact"/>
      <w:jc w:val="left"/>
    </w:pPr>
    <w:rPr>
      <w:rFonts w:ascii="Arial" w:hAnsi="Arial" w:cs="Arial"/>
      <w:b w:val="0"/>
      <w:sz w:val="20"/>
      <w:szCs w:val="20"/>
      <w:lang w:val="en-US" w:eastAsia="en-US"/>
    </w:rPr>
  </w:style>
  <w:style w:type="paragraph" w:customStyle="1" w:styleId="7">
    <w:name w:val="Знак Знак7"/>
    <w:basedOn w:val="Normal"/>
    <w:rsid w:val="001725C5"/>
    <w:pPr>
      <w:spacing w:before="0" w:after="160" w:line="240" w:lineRule="exact"/>
      <w:jc w:val="left"/>
    </w:pPr>
    <w:rPr>
      <w:rFonts w:ascii="Arial" w:hAnsi="Arial" w:cs="Arial"/>
      <w:b w:val="0"/>
      <w:sz w:val="20"/>
      <w:szCs w:val="20"/>
      <w:lang w:val="en-US" w:eastAsia="en-US"/>
    </w:rPr>
  </w:style>
  <w:style w:type="numbering" w:customStyle="1" w:styleId="NoList127">
    <w:name w:val="No List127"/>
    <w:next w:val="NoList"/>
    <w:semiHidden/>
    <w:rsid w:val="001725C5"/>
  </w:style>
  <w:style w:type="paragraph" w:customStyle="1" w:styleId="CharCharCharCharCharCharCharCharCharCharCharCharCharCharChar7">
    <w:name w:val="Char Char Char Char Знак Char Знак Char Char Char Char Char Char Char Char Char Char7"/>
    <w:basedOn w:val="Normal"/>
    <w:uiPriority w:val="99"/>
    <w:rsid w:val="001725C5"/>
    <w:pPr>
      <w:tabs>
        <w:tab w:val="left" w:pos="709"/>
      </w:tabs>
      <w:spacing w:before="0" w:line="240" w:lineRule="auto"/>
      <w:jc w:val="left"/>
    </w:pPr>
    <w:rPr>
      <w:rFonts w:ascii="Tahoma" w:hAnsi="Tahoma"/>
      <w:b w:val="0"/>
      <w:sz w:val="24"/>
      <w:lang w:val="pl-PL" w:eastAsia="pl-PL"/>
    </w:rPr>
  </w:style>
  <w:style w:type="character" w:customStyle="1" w:styleId="CharChar164">
    <w:name w:val="Char Char164"/>
    <w:uiPriority w:val="99"/>
    <w:rsid w:val="001725C5"/>
    <w:rPr>
      <w:b/>
      <w:sz w:val="32"/>
      <w:lang w:val="en-GB" w:eastAsia="en-US" w:bidi="ar-SA"/>
    </w:rPr>
  </w:style>
  <w:style w:type="character" w:customStyle="1" w:styleId="CharChar143">
    <w:name w:val="Char Char143"/>
    <w:uiPriority w:val="99"/>
    <w:rsid w:val="001725C5"/>
    <w:rPr>
      <w:sz w:val="22"/>
      <w:lang w:val="en-GB" w:eastAsia="en-US" w:bidi="ar-SA"/>
    </w:rPr>
  </w:style>
  <w:style w:type="character" w:customStyle="1" w:styleId="CharChar153">
    <w:name w:val="Char Char153"/>
    <w:uiPriority w:val="99"/>
    <w:rsid w:val="001725C5"/>
    <w:rPr>
      <w:sz w:val="36"/>
      <w:lang w:val="en-GB" w:eastAsia="en-US" w:bidi="ar-SA"/>
    </w:rPr>
  </w:style>
  <w:style w:type="character" w:customStyle="1" w:styleId="CharChar133">
    <w:name w:val="Char Char133"/>
    <w:uiPriority w:val="99"/>
    <w:rsid w:val="001725C5"/>
    <w:rPr>
      <w:sz w:val="22"/>
      <w:lang w:val="en-GB" w:eastAsia="en-US" w:bidi="ar-SA"/>
    </w:rPr>
  </w:style>
  <w:style w:type="character" w:customStyle="1" w:styleId="CharChar124">
    <w:name w:val="Char Char124"/>
    <w:uiPriority w:val="99"/>
    <w:rsid w:val="001725C5"/>
    <w:rPr>
      <w:sz w:val="22"/>
      <w:lang w:val="en-GB" w:eastAsia="en-US" w:bidi="ar-SA"/>
    </w:rPr>
  </w:style>
  <w:style w:type="character" w:customStyle="1" w:styleId="CharChar114">
    <w:name w:val="Char Char114"/>
    <w:uiPriority w:val="99"/>
    <w:rsid w:val="001725C5"/>
    <w:rPr>
      <w:rFonts w:ascii="Times Armenian" w:hAnsi="Times Armenian"/>
      <w:b/>
      <w:bCs/>
      <w:sz w:val="32"/>
      <w:szCs w:val="24"/>
      <w:lang w:val="fr-FR" w:eastAsia="en-US" w:bidi="ar-SA"/>
    </w:rPr>
  </w:style>
  <w:style w:type="character" w:customStyle="1" w:styleId="CharChar103">
    <w:name w:val="Char Char103"/>
    <w:uiPriority w:val="99"/>
    <w:rsid w:val="001725C5"/>
    <w:rPr>
      <w:rFonts w:ascii="Times Armenian" w:hAnsi="Times Armenian"/>
      <w:color w:val="993300"/>
      <w:sz w:val="22"/>
      <w:szCs w:val="24"/>
      <w:lang w:val="hy-AM" w:eastAsia="en-US" w:bidi="ar-SA"/>
    </w:rPr>
  </w:style>
  <w:style w:type="character" w:customStyle="1" w:styleId="CharChar93">
    <w:name w:val="Char Char93"/>
    <w:uiPriority w:val="99"/>
    <w:rsid w:val="001725C5"/>
    <w:rPr>
      <w:rFonts w:ascii="Times Armenian" w:hAnsi="Times Armenian"/>
      <w:b/>
      <w:i/>
      <w:sz w:val="24"/>
      <w:u w:val="single"/>
      <w:lang w:val="hy-AM" w:eastAsia="en-US" w:bidi="ar-SA"/>
    </w:rPr>
  </w:style>
  <w:style w:type="numbering" w:customStyle="1" w:styleId="NoList210">
    <w:name w:val="No List210"/>
    <w:next w:val="NoList"/>
    <w:semiHidden/>
    <w:rsid w:val="001725C5"/>
  </w:style>
  <w:style w:type="numbering" w:customStyle="1" w:styleId="NoList49">
    <w:name w:val="No List49"/>
    <w:next w:val="NoList"/>
    <w:uiPriority w:val="99"/>
    <w:semiHidden/>
    <w:unhideWhenUsed/>
    <w:rsid w:val="002C0A36"/>
  </w:style>
  <w:style w:type="table" w:customStyle="1" w:styleId="TableGrid25">
    <w:name w:val="Table Grid25"/>
    <w:basedOn w:val="TableNormal"/>
    <w:next w:val="TableGrid"/>
    <w:uiPriority w:val="39"/>
    <w:rsid w:val="002C0A36"/>
    <w:rPr>
      <w:rFonts w:ascii="Calibri" w:eastAsia="Calibri" w:hAnsi="Calibri"/>
      <w:sz w:val="22"/>
      <w:szCs w:val="22"/>
      <w:lang w:val="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2C0A36"/>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26">
    <w:name w:val="Table Grid26"/>
    <w:basedOn w:val="TableNormal"/>
    <w:next w:val="TableGrid"/>
    <w:uiPriority w:val="39"/>
    <w:rsid w:val="00BA6B0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0">
    <w:name w:val="No List50"/>
    <w:next w:val="NoList"/>
    <w:uiPriority w:val="99"/>
    <w:semiHidden/>
    <w:unhideWhenUsed/>
    <w:rsid w:val="00B36A46"/>
  </w:style>
  <w:style w:type="numbering" w:customStyle="1" w:styleId="NoList128">
    <w:name w:val="No List128"/>
    <w:next w:val="NoList"/>
    <w:uiPriority w:val="99"/>
    <w:semiHidden/>
    <w:unhideWhenUsed/>
    <w:rsid w:val="00B36A46"/>
  </w:style>
  <w:style w:type="table" w:customStyle="1" w:styleId="TableGrid27">
    <w:name w:val="Table Grid27"/>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
    <w:name w:val="No List1119"/>
    <w:next w:val="NoList"/>
    <w:semiHidden/>
    <w:unhideWhenUsed/>
    <w:rsid w:val="00B36A46"/>
  </w:style>
  <w:style w:type="numbering" w:customStyle="1" w:styleId="NoList11110">
    <w:name w:val="No List11110"/>
    <w:next w:val="NoList"/>
    <w:semiHidden/>
    <w:rsid w:val="00B36A46"/>
  </w:style>
  <w:style w:type="table" w:customStyle="1" w:styleId="TableGrid112">
    <w:name w:val="Table Grid112"/>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NoList"/>
    <w:semiHidden/>
    <w:rsid w:val="00B36A46"/>
  </w:style>
  <w:style w:type="numbering" w:customStyle="1" w:styleId="NoList214">
    <w:name w:val="No List214"/>
    <w:next w:val="NoList"/>
    <w:semiHidden/>
    <w:rsid w:val="00B36A46"/>
  </w:style>
  <w:style w:type="numbering" w:customStyle="1" w:styleId="NoList310">
    <w:name w:val="No List310"/>
    <w:next w:val="NoList"/>
    <w:semiHidden/>
    <w:unhideWhenUsed/>
    <w:rsid w:val="00B36A46"/>
  </w:style>
  <w:style w:type="table" w:customStyle="1" w:styleId="TableList77">
    <w:name w:val="Table List 77"/>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7">
    <w:name w:val="Table Web 37"/>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7">
    <w:name w:val="Table Elegant7"/>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7">
    <w:name w:val="Table Web 27"/>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7">
    <w:name w:val="Table Web 17"/>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7">
    <w:name w:val="Table Grid 87"/>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7">
    <w:name w:val="Table Contemporary7"/>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4">
    <w:name w:val="Light List - Accent 124"/>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7">
    <w:name w:val="Table Grid 77"/>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8">
    <w:name w:val="Colorful Grid - Accent 18"/>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9">
    <w:name w:val="Light List - Accent 59"/>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7">
    <w:name w:val="Table Simple 37"/>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7">
    <w:name w:val="Table Grid 57"/>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7">
    <w:name w:val="Table Grid 37"/>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70">
    <w:name w:val="Table Grid 17"/>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7">
    <w:name w:val="Table Columns 57"/>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0">
    <w:name w:val="Light List - Accent 1110"/>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80">
    <w:name w:val="Нет списка18"/>
    <w:next w:val="NoList"/>
    <w:semiHidden/>
    <w:unhideWhenUsed/>
    <w:rsid w:val="00B36A46"/>
  </w:style>
  <w:style w:type="table" w:customStyle="1" w:styleId="ColorfulGrid-Accent117">
    <w:name w:val="Colorful Grid - Accent 117"/>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7">
    <w:name w:val="Light List - Accent 517"/>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0">
    <w:name w:val="No List410"/>
    <w:next w:val="NoList"/>
    <w:semiHidden/>
    <w:rsid w:val="00B36A46"/>
  </w:style>
  <w:style w:type="table" w:customStyle="1" w:styleId="Table3Deffects37">
    <w:name w:val="Table 3D effects 37"/>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7">
    <w:name w:val="Нет списка117"/>
    <w:next w:val="NoList"/>
    <w:semiHidden/>
    <w:unhideWhenUsed/>
    <w:rsid w:val="00B36A46"/>
  </w:style>
  <w:style w:type="numbering" w:customStyle="1" w:styleId="NoList54">
    <w:name w:val="No List54"/>
    <w:next w:val="NoList"/>
    <w:uiPriority w:val="99"/>
    <w:semiHidden/>
    <w:unhideWhenUsed/>
    <w:rsid w:val="00B36A46"/>
  </w:style>
  <w:style w:type="numbering" w:customStyle="1" w:styleId="NoList129">
    <w:name w:val="No List129"/>
    <w:next w:val="NoList"/>
    <w:semiHidden/>
    <w:rsid w:val="00B36A46"/>
  </w:style>
  <w:style w:type="numbering" w:customStyle="1" w:styleId="NoList1124">
    <w:name w:val="No List1124"/>
    <w:next w:val="NoList"/>
    <w:semiHidden/>
    <w:rsid w:val="00B36A46"/>
  </w:style>
  <w:style w:type="numbering" w:customStyle="1" w:styleId="NoList111112">
    <w:name w:val="No List111112"/>
    <w:next w:val="NoList"/>
    <w:semiHidden/>
    <w:rsid w:val="00B36A46"/>
  </w:style>
  <w:style w:type="numbering" w:customStyle="1" w:styleId="NoList215">
    <w:name w:val="No List215"/>
    <w:next w:val="NoList"/>
    <w:semiHidden/>
    <w:rsid w:val="00B36A46"/>
  </w:style>
  <w:style w:type="table" w:customStyle="1" w:styleId="TableGrid28">
    <w:name w:val="Table Grid28"/>
    <w:basedOn w:val="TableNormal"/>
    <w:next w:val="TableGrid"/>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B36A46"/>
  </w:style>
  <w:style w:type="numbering" w:customStyle="1" w:styleId="NoList62">
    <w:name w:val="No List62"/>
    <w:next w:val="NoList"/>
    <w:uiPriority w:val="99"/>
    <w:semiHidden/>
    <w:unhideWhenUsed/>
    <w:rsid w:val="00B36A46"/>
  </w:style>
  <w:style w:type="numbering" w:customStyle="1" w:styleId="NoList72">
    <w:name w:val="No List72"/>
    <w:next w:val="NoList"/>
    <w:uiPriority w:val="99"/>
    <w:semiHidden/>
    <w:unhideWhenUsed/>
    <w:rsid w:val="00B36A46"/>
  </w:style>
  <w:style w:type="table" w:customStyle="1" w:styleId="TableGrid320">
    <w:name w:val="Table Grid32"/>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semiHidden/>
    <w:unhideWhenUsed/>
    <w:rsid w:val="00B36A46"/>
  </w:style>
  <w:style w:type="numbering" w:customStyle="1" w:styleId="NoList1132">
    <w:name w:val="No List1132"/>
    <w:next w:val="NoList"/>
    <w:semiHidden/>
    <w:rsid w:val="00B36A46"/>
  </w:style>
  <w:style w:type="table" w:customStyle="1" w:styleId="TableGrid113">
    <w:name w:val="Table Grid113"/>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
    <w:name w:val="No List11122"/>
    <w:next w:val="NoList"/>
    <w:semiHidden/>
    <w:rsid w:val="00B36A46"/>
  </w:style>
  <w:style w:type="numbering" w:customStyle="1" w:styleId="NoList222">
    <w:name w:val="No List222"/>
    <w:next w:val="NoList"/>
    <w:semiHidden/>
    <w:rsid w:val="00B36A46"/>
  </w:style>
  <w:style w:type="numbering" w:customStyle="1" w:styleId="NoList322">
    <w:name w:val="No List322"/>
    <w:next w:val="NoList"/>
    <w:semiHidden/>
    <w:unhideWhenUsed/>
    <w:rsid w:val="00B36A46"/>
  </w:style>
  <w:style w:type="table" w:customStyle="1" w:styleId="TableList712">
    <w:name w:val="Table List 712"/>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2">
    <w:name w:val="Table Web 312"/>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2">
    <w:name w:val="Table Elegant12"/>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2">
    <w:name w:val="Table Web 212"/>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2">
    <w:name w:val="Table Web 112"/>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2">
    <w:name w:val="Table Grid 812"/>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2">
    <w:name w:val="Table Contemporary12"/>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5">
    <w:name w:val="Light List - Accent 125"/>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2">
    <w:name w:val="Table Grid 712"/>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2">
    <w:name w:val="Colorful Grid - Accent 122"/>
    <w:basedOn w:val="TableNormal"/>
    <w:next w:val="ColorfulGrid-Accent1"/>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2">
    <w:name w:val="Light List - Accent 522"/>
    <w:basedOn w:val="TableNormal"/>
    <w:next w:val="LightList-Accent5"/>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2">
    <w:name w:val="Table Simple 312"/>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2">
    <w:name w:val="Table Grid 512"/>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2">
    <w:name w:val="Table Grid 312"/>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20">
    <w:name w:val="Table Grid 112"/>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2">
    <w:name w:val="Table Columns 512"/>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2">
    <w:name w:val="Light List - Accent 1112"/>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2">
    <w:name w:val="Нет списка122"/>
    <w:next w:val="NoList"/>
    <w:uiPriority w:val="99"/>
    <w:semiHidden/>
    <w:unhideWhenUsed/>
    <w:rsid w:val="00B36A46"/>
  </w:style>
  <w:style w:type="table" w:customStyle="1" w:styleId="ColorfulGrid-Accent1112">
    <w:name w:val="Colorful Grid - Accent 1112"/>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2">
    <w:name w:val="Light List - Accent 5112"/>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2">
    <w:name w:val="No List412"/>
    <w:next w:val="NoList"/>
    <w:semiHidden/>
    <w:rsid w:val="00B36A46"/>
  </w:style>
  <w:style w:type="table" w:customStyle="1" w:styleId="Table3Deffects312">
    <w:name w:val="Table 3D effects 312"/>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2">
    <w:name w:val="Нет списка1112"/>
    <w:next w:val="NoList"/>
    <w:semiHidden/>
    <w:unhideWhenUsed/>
    <w:rsid w:val="00B36A46"/>
  </w:style>
  <w:style w:type="numbering" w:customStyle="1" w:styleId="NoList512">
    <w:name w:val="No List512"/>
    <w:next w:val="NoList"/>
    <w:uiPriority w:val="99"/>
    <w:semiHidden/>
    <w:unhideWhenUsed/>
    <w:rsid w:val="00B36A46"/>
  </w:style>
  <w:style w:type="numbering" w:customStyle="1" w:styleId="NoList1212">
    <w:name w:val="No List1212"/>
    <w:next w:val="NoList"/>
    <w:semiHidden/>
    <w:rsid w:val="00B36A46"/>
  </w:style>
  <w:style w:type="numbering" w:customStyle="1" w:styleId="NoList11212">
    <w:name w:val="No List11212"/>
    <w:next w:val="NoList"/>
    <w:semiHidden/>
    <w:rsid w:val="00B36A46"/>
  </w:style>
  <w:style w:type="numbering" w:customStyle="1" w:styleId="NoList1111112">
    <w:name w:val="No List1111112"/>
    <w:next w:val="NoList"/>
    <w:semiHidden/>
    <w:rsid w:val="00B36A46"/>
  </w:style>
  <w:style w:type="numbering" w:customStyle="1" w:styleId="NoList2112">
    <w:name w:val="No List2112"/>
    <w:next w:val="NoList"/>
    <w:semiHidden/>
    <w:rsid w:val="00B36A46"/>
  </w:style>
  <w:style w:type="table" w:customStyle="1" w:styleId="TableGrid212">
    <w:name w:val="Table Grid212"/>
    <w:basedOn w:val="TableNormal"/>
    <w:next w:val="TableGrid"/>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2">
    <w:name w:val="No List3112"/>
    <w:next w:val="NoList"/>
    <w:uiPriority w:val="99"/>
    <w:semiHidden/>
    <w:unhideWhenUsed/>
    <w:rsid w:val="00B36A46"/>
  </w:style>
  <w:style w:type="numbering" w:customStyle="1" w:styleId="NoList82">
    <w:name w:val="No List82"/>
    <w:next w:val="NoList"/>
    <w:uiPriority w:val="99"/>
    <w:semiHidden/>
    <w:unhideWhenUsed/>
    <w:rsid w:val="00B36A46"/>
  </w:style>
  <w:style w:type="numbering" w:customStyle="1" w:styleId="NoList92">
    <w:name w:val="No List92"/>
    <w:next w:val="NoList"/>
    <w:uiPriority w:val="99"/>
    <w:semiHidden/>
    <w:unhideWhenUsed/>
    <w:rsid w:val="00B36A46"/>
  </w:style>
  <w:style w:type="table" w:customStyle="1" w:styleId="TableGrid42">
    <w:name w:val="Table Grid42"/>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2">
    <w:name w:val="Table List 722"/>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2">
    <w:name w:val="Table Web 322"/>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2">
    <w:name w:val="Table Elegant22"/>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2">
    <w:name w:val="Table Web 222"/>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2">
    <w:name w:val="Table Web 122"/>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2">
    <w:name w:val="Table Grid 822"/>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2">
    <w:name w:val="Table Contemporary22"/>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2">
    <w:name w:val="No List142"/>
    <w:next w:val="NoList"/>
    <w:semiHidden/>
    <w:unhideWhenUsed/>
    <w:rsid w:val="00B36A46"/>
  </w:style>
  <w:style w:type="numbering" w:customStyle="1" w:styleId="NoList232">
    <w:name w:val="No List232"/>
    <w:next w:val="NoList"/>
    <w:semiHidden/>
    <w:unhideWhenUsed/>
    <w:rsid w:val="00B36A46"/>
  </w:style>
  <w:style w:type="numbering" w:customStyle="1" w:styleId="NoList332">
    <w:name w:val="No List332"/>
    <w:next w:val="NoList"/>
    <w:semiHidden/>
    <w:unhideWhenUsed/>
    <w:rsid w:val="00B36A46"/>
  </w:style>
  <w:style w:type="table" w:customStyle="1" w:styleId="LightList-Accent132">
    <w:name w:val="Light List - Accent 132"/>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2">
    <w:name w:val="Table Grid 722"/>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2">
    <w:name w:val="Colorful Grid - Accent 132"/>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2">
    <w:name w:val="Light List - Accent 532"/>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2">
    <w:name w:val="Table Simple 322"/>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2">
    <w:name w:val="Table Grid 522"/>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2">
    <w:name w:val="Table Grid 322"/>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2">
    <w:name w:val="Table Grid 122"/>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2">
    <w:name w:val="Table Columns 522"/>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2">
    <w:name w:val="Light List - Accent 1122"/>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2">
    <w:name w:val="Нет списка132"/>
    <w:next w:val="NoList"/>
    <w:semiHidden/>
    <w:unhideWhenUsed/>
    <w:rsid w:val="00B36A46"/>
  </w:style>
  <w:style w:type="table" w:customStyle="1" w:styleId="ColorfulGrid-Accent1122">
    <w:name w:val="Colorful Grid - Accent 1122"/>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2">
    <w:name w:val="Light List - Accent 5122"/>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2">
    <w:name w:val="No List422"/>
    <w:next w:val="NoList"/>
    <w:semiHidden/>
    <w:rsid w:val="00B36A46"/>
  </w:style>
  <w:style w:type="numbering" w:customStyle="1" w:styleId="NoList1142">
    <w:name w:val="No List1142"/>
    <w:next w:val="NoList"/>
    <w:semiHidden/>
    <w:unhideWhenUsed/>
    <w:rsid w:val="00B36A46"/>
  </w:style>
  <w:style w:type="table" w:customStyle="1" w:styleId="Table3Deffects322">
    <w:name w:val="Table 3D effects 322"/>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2">
    <w:name w:val="Нет списка1122"/>
    <w:next w:val="NoList"/>
    <w:semiHidden/>
    <w:unhideWhenUsed/>
    <w:rsid w:val="00B36A46"/>
  </w:style>
  <w:style w:type="numbering" w:customStyle="1" w:styleId="NoList102">
    <w:name w:val="No List102"/>
    <w:next w:val="NoList"/>
    <w:uiPriority w:val="99"/>
    <w:semiHidden/>
    <w:unhideWhenUsed/>
    <w:rsid w:val="00B36A46"/>
  </w:style>
  <w:style w:type="table" w:customStyle="1" w:styleId="TableGrid520">
    <w:name w:val="Table Grid52"/>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semiHidden/>
    <w:unhideWhenUsed/>
    <w:rsid w:val="00B36A46"/>
  </w:style>
  <w:style w:type="numbering" w:customStyle="1" w:styleId="NoList1152">
    <w:name w:val="No List1152"/>
    <w:next w:val="NoList"/>
    <w:semiHidden/>
    <w:rsid w:val="00B36A46"/>
  </w:style>
  <w:style w:type="table" w:customStyle="1" w:styleId="TableGrid1220">
    <w:name w:val="Table Grid122"/>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semiHidden/>
    <w:rsid w:val="00B36A46"/>
  </w:style>
  <w:style w:type="numbering" w:customStyle="1" w:styleId="NoList242">
    <w:name w:val="No List242"/>
    <w:next w:val="NoList"/>
    <w:semiHidden/>
    <w:rsid w:val="00B36A46"/>
  </w:style>
  <w:style w:type="numbering" w:customStyle="1" w:styleId="NoList342">
    <w:name w:val="No List342"/>
    <w:next w:val="NoList"/>
    <w:semiHidden/>
    <w:unhideWhenUsed/>
    <w:rsid w:val="00B36A46"/>
  </w:style>
  <w:style w:type="table" w:customStyle="1" w:styleId="TableList732">
    <w:name w:val="Table List 732"/>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2">
    <w:name w:val="Table Web 332"/>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2">
    <w:name w:val="Table Elegant32"/>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2">
    <w:name w:val="Table Web 232"/>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2">
    <w:name w:val="Table Web 132"/>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2">
    <w:name w:val="Table Grid 832"/>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2">
    <w:name w:val="Table Contemporary32"/>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2">
    <w:name w:val="Light List - Accent 142"/>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2">
    <w:name w:val="Table Grid 732"/>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2">
    <w:name w:val="Colorful Grid - Accent 142"/>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2">
    <w:name w:val="Light List - Accent 542"/>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2">
    <w:name w:val="Table Simple 332"/>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2">
    <w:name w:val="Table Grid 532"/>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2">
    <w:name w:val="Table Grid 332"/>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2">
    <w:name w:val="Table Grid 132"/>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2">
    <w:name w:val="Table Columns 532"/>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2">
    <w:name w:val="Light List - Accent 1132"/>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2">
    <w:name w:val="Нет списка142"/>
    <w:next w:val="NoList"/>
    <w:semiHidden/>
    <w:unhideWhenUsed/>
    <w:rsid w:val="00B36A46"/>
  </w:style>
  <w:style w:type="table" w:customStyle="1" w:styleId="ColorfulGrid-Accent1132">
    <w:name w:val="Colorful Grid - Accent 1132"/>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2">
    <w:name w:val="Light List - Accent 5132"/>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2">
    <w:name w:val="No List432"/>
    <w:next w:val="NoList"/>
    <w:semiHidden/>
    <w:rsid w:val="00B36A46"/>
  </w:style>
  <w:style w:type="table" w:customStyle="1" w:styleId="Table3Deffects332">
    <w:name w:val="Table 3D effects 332"/>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2">
    <w:name w:val="Нет списка1132"/>
    <w:next w:val="NoList"/>
    <w:semiHidden/>
    <w:unhideWhenUsed/>
    <w:rsid w:val="00B36A46"/>
  </w:style>
  <w:style w:type="numbering" w:customStyle="1" w:styleId="NoList522">
    <w:name w:val="No List522"/>
    <w:next w:val="NoList"/>
    <w:uiPriority w:val="99"/>
    <w:semiHidden/>
    <w:unhideWhenUsed/>
    <w:rsid w:val="00B36A46"/>
  </w:style>
  <w:style w:type="numbering" w:customStyle="1" w:styleId="NoList1222">
    <w:name w:val="No List1222"/>
    <w:next w:val="NoList"/>
    <w:semiHidden/>
    <w:rsid w:val="00B36A46"/>
  </w:style>
  <w:style w:type="numbering" w:customStyle="1" w:styleId="NoList11222">
    <w:name w:val="No List11222"/>
    <w:next w:val="NoList"/>
    <w:semiHidden/>
    <w:rsid w:val="00B36A46"/>
  </w:style>
  <w:style w:type="numbering" w:customStyle="1" w:styleId="NoList111122">
    <w:name w:val="No List111122"/>
    <w:next w:val="NoList"/>
    <w:semiHidden/>
    <w:rsid w:val="00B36A46"/>
  </w:style>
  <w:style w:type="numbering" w:customStyle="1" w:styleId="NoList2122">
    <w:name w:val="No List2122"/>
    <w:next w:val="NoList"/>
    <w:semiHidden/>
    <w:rsid w:val="00B36A46"/>
  </w:style>
  <w:style w:type="table" w:customStyle="1" w:styleId="TableGrid222">
    <w:name w:val="Table Grid222"/>
    <w:basedOn w:val="TableNormal"/>
    <w:next w:val="TableGrid"/>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2">
    <w:name w:val="No List3122"/>
    <w:next w:val="NoList"/>
    <w:uiPriority w:val="99"/>
    <w:semiHidden/>
    <w:unhideWhenUsed/>
    <w:rsid w:val="00B36A46"/>
  </w:style>
  <w:style w:type="table" w:customStyle="1" w:styleId="LightShading-Accent113">
    <w:name w:val="Light Shading - Accent 113"/>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3">
    <w:name w:val="Medium Grid 2 - Accent 113"/>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3">
    <w:name w:val="Medium List 2 - Accent 513"/>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3">
    <w:name w:val="Light List - Accent 153"/>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3">
    <w:name w:val="Medium Grid 3 - Accent 513"/>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3">
    <w:name w:val="Light Shading - Accent 513"/>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3">
    <w:name w:val="Medium Grid 2 - Accent 513"/>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3">
    <w:name w:val="Light Grid - Accent 113"/>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List44">
    <w:name w:val="Table List 44"/>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3">
    <w:name w:val="Table List 413"/>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Theme2">
    <w:name w:val="Table Theme2"/>
    <w:basedOn w:val="TableNormal"/>
    <w:next w:val="TableTheme"/>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2">
    <w:name w:val="Table Professional2"/>
    <w:basedOn w:val="TableNormal"/>
    <w:next w:val="TableProfessional"/>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2">
    <w:name w:val="Table Grid 62"/>
    <w:basedOn w:val="TableNormal"/>
    <w:next w:val="TableGrid6"/>
    <w:rsid w:val="00B36A4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2">
    <w:name w:val="Table List 422"/>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2">
    <w:name w:val="Table List 4112"/>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6">
    <w:name w:val="Style116"/>
    <w:basedOn w:val="TableElegant"/>
    <w:uiPriority w:val="99"/>
    <w:rsid w:val="00B36A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7">
    <w:name w:val="Style217"/>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6">
    <w:name w:val="Style2116"/>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2">
    <w:name w:val="No List162"/>
    <w:next w:val="NoList"/>
    <w:uiPriority w:val="99"/>
    <w:semiHidden/>
    <w:unhideWhenUsed/>
    <w:rsid w:val="00B36A46"/>
  </w:style>
  <w:style w:type="table" w:customStyle="1" w:styleId="TableGrid620">
    <w:name w:val="Table Grid62"/>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B36A46"/>
  </w:style>
  <w:style w:type="numbering" w:customStyle="1" w:styleId="NoList1162">
    <w:name w:val="No List1162"/>
    <w:next w:val="NoList"/>
    <w:semiHidden/>
    <w:rsid w:val="00B36A46"/>
  </w:style>
  <w:style w:type="table" w:customStyle="1" w:styleId="TableGrid1320">
    <w:name w:val="Table Grid132"/>
    <w:basedOn w:val="TableNormal"/>
    <w:next w:val="TableGrid"/>
    <w:uiPriority w:val="5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63">
    <w:name w:val="Light List - Accent 163"/>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21">
    <w:name w:val="Medium Grid 2 - Accent 12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21">
    <w:name w:val="Medium List 2 - Accent 52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71">
    <w:name w:val="Light List - Accent 17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21">
    <w:name w:val="Medium Grid 3 - Accent 52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21">
    <w:name w:val="Light Shading - Accent 52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21">
    <w:name w:val="Medium Grid 2 - Accent 52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21">
    <w:name w:val="Light Grid - Accent 12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181">
    <w:name w:val="No List181"/>
    <w:next w:val="NoList"/>
    <w:uiPriority w:val="99"/>
    <w:semiHidden/>
    <w:unhideWhenUsed/>
    <w:rsid w:val="00B36A46"/>
  </w:style>
  <w:style w:type="table" w:customStyle="1" w:styleId="TableGrid710">
    <w:name w:val="Table Grid7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41">
    <w:name w:val="Table List 741"/>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41">
    <w:name w:val="Table Web 341"/>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41">
    <w:name w:val="Table Elegant41"/>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1">
    <w:name w:val="Table Web 241"/>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41">
    <w:name w:val="Table Web 141"/>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41">
    <w:name w:val="Table Grid 841"/>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41">
    <w:name w:val="Table Contemporary41"/>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91">
    <w:name w:val="No List191"/>
    <w:next w:val="NoList"/>
    <w:semiHidden/>
    <w:unhideWhenUsed/>
    <w:rsid w:val="00B36A46"/>
  </w:style>
  <w:style w:type="numbering" w:customStyle="1" w:styleId="NoList251">
    <w:name w:val="No List251"/>
    <w:next w:val="NoList"/>
    <w:semiHidden/>
    <w:unhideWhenUsed/>
    <w:rsid w:val="00B36A46"/>
  </w:style>
  <w:style w:type="numbering" w:customStyle="1" w:styleId="NoList351">
    <w:name w:val="No List351"/>
    <w:next w:val="NoList"/>
    <w:semiHidden/>
    <w:unhideWhenUsed/>
    <w:rsid w:val="00B36A46"/>
  </w:style>
  <w:style w:type="table" w:customStyle="1" w:styleId="LightList-Accent181">
    <w:name w:val="Light List - Accent 181"/>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41">
    <w:name w:val="Table Grid 741"/>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51">
    <w:name w:val="Colorful Grid - Accent 151"/>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51">
    <w:name w:val="Light List - Accent 551"/>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41">
    <w:name w:val="Table Simple 341"/>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41">
    <w:name w:val="Table Grid 541"/>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41">
    <w:name w:val="Table Grid 341"/>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41">
    <w:name w:val="Table Grid 141"/>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41">
    <w:name w:val="Table Columns 541"/>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41">
    <w:name w:val="Light List - Accent 1141"/>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51">
    <w:name w:val="Нет списка151"/>
    <w:next w:val="NoList"/>
    <w:semiHidden/>
    <w:unhideWhenUsed/>
    <w:rsid w:val="00B36A46"/>
  </w:style>
  <w:style w:type="table" w:customStyle="1" w:styleId="ColorfulGrid-Accent1141">
    <w:name w:val="Colorful Grid - Accent 1141"/>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41">
    <w:name w:val="Light List - Accent 5141"/>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41">
    <w:name w:val="No List441"/>
    <w:next w:val="NoList"/>
    <w:semiHidden/>
    <w:rsid w:val="00B36A46"/>
  </w:style>
  <w:style w:type="numbering" w:customStyle="1" w:styleId="NoList1171">
    <w:name w:val="No List1171"/>
    <w:next w:val="NoList"/>
    <w:semiHidden/>
    <w:unhideWhenUsed/>
    <w:rsid w:val="00B36A46"/>
  </w:style>
  <w:style w:type="table" w:customStyle="1" w:styleId="Table3Deffects341">
    <w:name w:val="Table 3D effects 341"/>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41">
    <w:name w:val="Нет списка1141"/>
    <w:next w:val="NoList"/>
    <w:semiHidden/>
    <w:unhideWhenUsed/>
    <w:rsid w:val="00B36A46"/>
  </w:style>
  <w:style w:type="table" w:customStyle="1" w:styleId="Style1111">
    <w:name w:val="Style1111"/>
    <w:basedOn w:val="TableElegant"/>
    <w:uiPriority w:val="99"/>
    <w:rsid w:val="00B36A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21">
    <w:name w:val="Style212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11">
    <w:name w:val="Style2111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1121">
    <w:name w:val="Style1121"/>
    <w:basedOn w:val="TableElegant"/>
    <w:uiPriority w:val="99"/>
    <w:rsid w:val="00B36A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31">
    <w:name w:val="Style213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21">
    <w:name w:val="Style2112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201">
    <w:name w:val="No List201"/>
    <w:next w:val="NoList"/>
    <w:uiPriority w:val="99"/>
    <w:semiHidden/>
    <w:unhideWhenUsed/>
    <w:rsid w:val="00B36A46"/>
  </w:style>
  <w:style w:type="numbering" w:customStyle="1" w:styleId="NoList1101">
    <w:name w:val="No List1101"/>
    <w:next w:val="NoList"/>
    <w:uiPriority w:val="99"/>
    <w:semiHidden/>
    <w:unhideWhenUsed/>
    <w:rsid w:val="00B36A46"/>
  </w:style>
  <w:style w:type="table" w:customStyle="1" w:styleId="TableGrid810">
    <w:name w:val="Table Grid81"/>
    <w:basedOn w:val="TableNormal"/>
    <w:next w:val="TableGrid"/>
    <w:uiPriority w:val="39"/>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1">
    <w:name w:val="No List1181"/>
    <w:next w:val="NoList"/>
    <w:semiHidden/>
    <w:unhideWhenUsed/>
    <w:rsid w:val="00B36A46"/>
  </w:style>
  <w:style w:type="numbering" w:customStyle="1" w:styleId="NoList11141">
    <w:name w:val="No List11141"/>
    <w:next w:val="NoList"/>
    <w:semiHidden/>
    <w:rsid w:val="00B36A46"/>
  </w:style>
  <w:style w:type="table" w:customStyle="1" w:styleId="TableGrid1410">
    <w:name w:val="Table Grid141"/>
    <w:basedOn w:val="TableNormal"/>
    <w:next w:val="TableGrid"/>
    <w:uiPriority w:val="39"/>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
    <w:name w:val="No List111131"/>
    <w:next w:val="NoList"/>
    <w:semiHidden/>
    <w:rsid w:val="00B36A46"/>
  </w:style>
  <w:style w:type="numbering" w:customStyle="1" w:styleId="NoList261">
    <w:name w:val="No List261"/>
    <w:next w:val="NoList"/>
    <w:semiHidden/>
    <w:rsid w:val="00B36A46"/>
  </w:style>
  <w:style w:type="numbering" w:customStyle="1" w:styleId="NoList361">
    <w:name w:val="No List361"/>
    <w:next w:val="NoList"/>
    <w:semiHidden/>
    <w:unhideWhenUsed/>
    <w:rsid w:val="00B36A46"/>
  </w:style>
  <w:style w:type="table" w:customStyle="1" w:styleId="TableList751">
    <w:name w:val="Table List 751"/>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51">
    <w:name w:val="Table Web 351"/>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51">
    <w:name w:val="Table Elegant51"/>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51">
    <w:name w:val="Table Web 251"/>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51">
    <w:name w:val="Table Web 151"/>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51">
    <w:name w:val="Table Grid 851"/>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51">
    <w:name w:val="Table Contemporary51"/>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91">
    <w:name w:val="Light List - Accent 191"/>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51">
    <w:name w:val="Table Grid 751"/>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61">
    <w:name w:val="Colorful Grid - Accent 161"/>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61">
    <w:name w:val="Light List - Accent 561"/>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51">
    <w:name w:val="Table Simple 351"/>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51">
    <w:name w:val="Table Grid 551"/>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51">
    <w:name w:val="Table Grid 351"/>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51">
    <w:name w:val="Table Grid 151"/>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51">
    <w:name w:val="Table Columns 551"/>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51">
    <w:name w:val="Light List - Accent 1151"/>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61">
    <w:name w:val="Нет списка161"/>
    <w:next w:val="NoList"/>
    <w:semiHidden/>
    <w:unhideWhenUsed/>
    <w:rsid w:val="00B36A46"/>
  </w:style>
  <w:style w:type="table" w:customStyle="1" w:styleId="ColorfulGrid-Accent1151">
    <w:name w:val="Colorful Grid - Accent 1151"/>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51">
    <w:name w:val="Light List - Accent 5151"/>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51">
    <w:name w:val="No List451"/>
    <w:next w:val="NoList"/>
    <w:semiHidden/>
    <w:rsid w:val="00B36A46"/>
  </w:style>
  <w:style w:type="table" w:customStyle="1" w:styleId="Table3Deffects351">
    <w:name w:val="Table 3D effects 351"/>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51">
    <w:name w:val="Нет списка1151"/>
    <w:next w:val="NoList"/>
    <w:semiHidden/>
    <w:unhideWhenUsed/>
    <w:rsid w:val="00B36A46"/>
  </w:style>
  <w:style w:type="numbering" w:customStyle="1" w:styleId="NoList531">
    <w:name w:val="No List531"/>
    <w:next w:val="NoList"/>
    <w:uiPriority w:val="99"/>
    <w:semiHidden/>
    <w:unhideWhenUsed/>
    <w:rsid w:val="00B36A46"/>
  </w:style>
  <w:style w:type="numbering" w:customStyle="1" w:styleId="NoList1231">
    <w:name w:val="No List1231"/>
    <w:next w:val="NoList"/>
    <w:semiHidden/>
    <w:rsid w:val="00B36A46"/>
  </w:style>
  <w:style w:type="numbering" w:customStyle="1" w:styleId="NoList11231">
    <w:name w:val="No List11231"/>
    <w:next w:val="NoList"/>
    <w:semiHidden/>
    <w:rsid w:val="00B36A46"/>
  </w:style>
  <w:style w:type="numbering" w:customStyle="1" w:styleId="NoList11111111">
    <w:name w:val="No List11111111"/>
    <w:next w:val="NoList"/>
    <w:semiHidden/>
    <w:rsid w:val="00B36A46"/>
  </w:style>
  <w:style w:type="numbering" w:customStyle="1" w:styleId="NoList2131">
    <w:name w:val="No List2131"/>
    <w:next w:val="NoList"/>
    <w:semiHidden/>
    <w:rsid w:val="00B36A46"/>
  </w:style>
  <w:style w:type="table" w:customStyle="1" w:styleId="TableGrid231">
    <w:name w:val="Table Grid231"/>
    <w:basedOn w:val="TableNormal"/>
    <w:next w:val="TableGrid"/>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1">
    <w:name w:val="No List3131"/>
    <w:next w:val="NoList"/>
    <w:uiPriority w:val="99"/>
    <w:semiHidden/>
    <w:unhideWhenUsed/>
    <w:rsid w:val="00B36A46"/>
  </w:style>
  <w:style w:type="numbering" w:customStyle="1" w:styleId="NoList611">
    <w:name w:val="No List611"/>
    <w:next w:val="NoList"/>
    <w:uiPriority w:val="99"/>
    <w:semiHidden/>
    <w:unhideWhenUsed/>
    <w:rsid w:val="00B36A46"/>
  </w:style>
  <w:style w:type="numbering" w:customStyle="1" w:styleId="NoList711">
    <w:name w:val="No List711"/>
    <w:next w:val="NoList"/>
    <w:uiPriority w:val="99"/>
    <w:semiHidden/>
    <w:unhideWhenUsed/>
    <w:rsid w:val="00B36A46"/>
  </w:style>
  <w:style w:type="table" w:customStyle="1" w:styleId="TableGrid3110">
    <w:name w:val="Table Grid311"/>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semiHidden/>
    <w:unhideWhenUsed/>
    <w:rsid w:val="00B36A46"/>
  </w:style>
  <w:style w:type="numbering" w:customStyle="1" w:styleId="NoList11311">
    <w:name w:val="No List11311"/>
    <w:next w:val="NoList"/>
    <w:semiHidden/>
    <w:rsid w:val="00B36A46"/>
  </w:style>
  <w:style w:type="table" w:customStyle="1" w:styleId="TableGrid1111">
    <w:name w:val="Table Grid1111"/>
    <w:basedOn w:val="TableNormal"/>
    <w:next w:val="TableGrid"/>
    <w:uiPriority w:val="39"/>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
    <w:name w:val="No List111211"/>
    <w:next w:val="NoList"/>
    <w:semiHidden/>
    <w:rsid w:val="00B36A46"/>
  </w:style>
  <w:style w:type="numbering" w:customStyle="1" w:styleId="NoList2211">
    <w:name w:val="No List2211"/>
    <w:next w:val="NoList"/>
    <w:semiHidden/>
    <w:rsid w:val="00B36A46"/>
  </w:style>
  <w:style w:type="numbering" w:customStyle="1" w:styleId="NoList3211">
    <w:name w:val="No List3211"/>
    <w:next w:val="NoList"/>
    <w:semiHidden/>
    <w:unhideWhenUsed/>
    <w:rsid w:val="00B36A46"/>
  </w:style>
  <w:style w:type="table" w:customStyle="1" w:styleId="TableList7111">
    <w:name w:val="Table List 7111"/>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1">
    <w:name w:val="Table Web 3111"/>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1">
    <w:name w:val="Table Elegant111"/>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1">
    <w:name w:val="Table Web 2111"/>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1">
    <w:name w:val="Table Web 1111"/>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1">
    <w:name w:val="Table Grid 8111"/>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1">
    <w:name w:val="Table Contemporary111"/>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11">
    <w:name w:val="Light List - Accent 1211"/>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11">
    <w:name w:val="Table Grid 7111"/>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11">
    <w:name w:val="Colorful Grid - Accent 1211"/>
    <w:basedOn w:val="TableNormal"/>
    <w:next w:val="ColorfulGrid-Accent1"/>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1">
    <w:name w:val="Light List - Accent 5211"/>
    <w:basedOn w:val="TableNormal"/>
    <w:next w:val="LightList-Accent5"/>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11">
    <w:name w:val="Table Simple 3111"/>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1">
    <w:name w:val="Table Grid 5111"/>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1">
    <w:name w:val="Table Grid 3111"/>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10">
    <w:name w:val="Table Grid 1111"/>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1">
    <w:name w:val="Table Columns 5111"/>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1">
    <w:name w:val="Light List - Accent 11111"/>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11">
    <w:name w:val="Нет списка1211"/>
    <w:next w:val="NoList"/>
    <w:uiPriority w:val="99"/>
    <w:semiHidden/>
    <w:unhideWhenUsed/>
    <w:rsid w:val="00B36A46"/>
  </w:style>
  <w:style w:type="table" w:customStyle="1" w:styleId="ColorfulGrid-Accent11111">
    <w:name w:val="Colorful Grid - Accent 11111"/>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11">
    <w:name w:val="Light List - Accent 51111"/>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11">
    <w:name w:val="No List4111"/>
    <w:next w:val="NoList"/>
    <w:semiHidden/>
    <w:rsid w:val="00B36A46"/>
  </w:style>
  <w:style w:type="table" w:customStyle="1" w:styleId="Table3Deffects3111">
    <w:name w:val="Table 3D effects 3111"/>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
    <w:name w:val="Нет списка11111"/>
    <w:next w:val="NoList"/>
    <w:semiHidden/>
    <w:unhideWhenUsed/>
    <w:rsid w:val="00B36A46"/>
  </w:style>
  <w:style w:type="numbering" w:customStyle="1" w:styleId="NoList5111">
    <w:name w:val="No List5111"/>
    <w:next w:val="NoList"/>
    <w:uiPriority w:val="99"/>
    <w:semiHidden/>
    <w:unhideWhenUsed/>
    <w:rsid w:val="00B36A46"/>
  </w:style>
  <w:style w:type="numbering" w:customStyle="1" w:styleId="NoList12111">
    <w:name w:val="No List12111"/>
    <w:next w:val="NoList"/>
    <w:semiHidden/>
    <w:rsid w:val="00B36A46"/>
  </w:style>
  <w:style w:type="numbering" w:customStyle="1" w:styleId="NoList112111">
    <w:name w:val="No List112111"/>
    <w:next w:val="NoList"/>
    <w:semiHidden/>
    <w:rsid w:val="00B36A46"/>
  </w:style>
  <w:style w:type="numbering" w:customStyle="1" w:styleId="NoList111111111">
    <w:name w:val="No List111111111"/>
    <w:next w:val="NoList"/>
    <w:semiHidden/>
    <w:rsid w:val="00B36A46"/>
  </w:style>
  <w:style w:type="numbering" w:customStyle="1" w:styleId="NoList21111">
    <w:name w:val="No List21111"/>
    <w:next w:val="NoList"/>
    <w:semiHidden/>
    <w:rsid w:val="00B36A46"/>
  </w:style>
  <w:style w:type="table" w:customStyle="1" w:styleId="TableGrid2111">
    <w:name w:val="Table Grid2111"/>
    <w:basedOn w:val="TableNormal"/>
    <w:next w:val="TableGrid"/>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1">
    <w:name w:val="No List31111"/>
    <w:next w:val="NoList"/>
    <w:uiPriority w:val="99"/>
    <w:semiHidden/>
    <w:unhideWhenUsed/>
    <w:rsid w:val="00B36A46"/>
  </w:style>
  <w:style w:type="numbering" w:customStyle="1" w:styleId="NoList811">
    <w:name w:val="No List811"/>
    <w:next w:val="NoList"/>
    <w:uiPriority w:val="99"/>
    <w:semiHidden/>
    <w:unhideWhenUsed/>
    <w:rsid w:val="00B36A46"/>
  </w:style>
  <w:style w:type="numbering" w:customStyle="1" w:styleId="NoList911">
    <w:name w:val="No List911"/>
    <w:next w:val="NoList"/>
    <w:uiPriority w:val="99"/>
    <w:semiHidden/>
    <w:unhideWhenUsed/>
    <w:rsid w:val="00B36A46"/>
  </w:style>
  <w:style w:type="table" w:customStyle="1" w:styleId="TableGrid411">
    <w:name w:val="Table Grid41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11">
    <w:name w:val="Table List 7211"/>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11">
    <w:name w:val="Table Web 3211"/>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11">
    <w:name w:val="Table Elegant211"/>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11">
    <w:name w:val="Table Web 2211"/>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11">
    <w:name w:val="Table Web 1211"/>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11">
    <w:name w:val="Table Grid 8211"/>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11">
    <w:name w:val="Table Contemporary211"/>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11">
    <w:name w:val="No List1411"/>
    <w:next w:val="NoList"/>
    <w:semiHidden/>
    <w:unhideWhenUsed/>
    <w:rsid w:val="00B36A46"/>
  </w:style>
  <w:style w:type="numbering" w:customStyle="1" w:styleId="NoList2311">
    <w:name w:val="No List2311"/>
    <w:next w:val="NoList"/>
    <w:semiHidden/>
    <w:unhideWhenUsed/>
    <w:rsid w:val="00B36A46"/>
  </w:style>
  <w:style w:type="numbering" w:customStyle="1" w:styleId="NoList3311">
    <w:name w:val="No List3311"/>
    <w:next w:val="NoList"/>
    <w:semiHidden/>
    <w:unhideWhenUsed/>
    <w:rsid w:val="00B36A46"/>
  </w:style>
  <w:style w:type="table" w:customStyle="1" w:styleId="LightList-Accent1311">
    <w:name w:val="Light List - Accent 1311"/>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11">
    <w:name w:val="Table Grid 7211"/>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11">
    <w:name w:val="Colorful Grid - Accent 1311"/>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11">
    <w:name w:val="Light List - Accent 5311"/>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11">
    <w:name w:val="Table Simple 3211"/>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11">
    <w:name w:val="Table Grid 5211"/>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11">
    <w:name w:val="Table Grid 3211"/>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11">
    <w:name w:val="Table Grid 1211"/>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11">
    <w:name w:val="Table Columns 5211"/>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11">
    <w:name w:val="Light List - Accent 11211"/>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11">
    <w:name w:val="Нет списка1311"/>
    <w:next w:val="NoList"/>
    <w:semiHidden/>
    <w:unhideWhenUsed/>
    <w:rsid w:val="00B36A46"/>
  </w:style>
  <w:style w:type="table" w:customStyle="1" w:styleId="ColorfulGrid-Accent11211">
    <w:name w:val="Colorful Grid - Accent 11211"/>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11">
    <w:name w:val="Light List - Accent 51211"/>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11">
    <w:name w:val="No List4211"/>
    <w:next w:val="NoList"/>
    <w:semiHidden/>
    <w:rsid w:val="00B36A46"/>
  </w:style>
  <w:style w:type="numbering" w:customStyle="1" w:styleId="NoList11411">
    <w:name w:val="No List11411"/>
    <w:next w:val="NoList"/>
    <w:semiHidden/>
    <w:unhideWhenUsed/>
    <w:rsid w:val="00B36A46"/>
  </w:style>
  <w:style w:type="table" w:customStyle="1" w:styleId="Table3Deffects3211">
    <w:name w:val="Table 3D effects 3211"/>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11">
    <w:name w:val="Нет списка11211"/>
    <w:next w:val="NoList"/>
    <w:semiHidden/>
    <w:unhideWhenUsed/>
    <w:rsid w:val="00B36A46"/>
  </w:style>
  <w:style w:type="numbering" w:customStyle="1" w:styleId="NoList1011">
    <w:name w:val="No List1011"/>
    <w:next w:val="NoList"/>
    <w:uiPriority w:val="99"/>
    <w:semiHidden/>
    <w:unhideWhenUsed/>
    <w:rsid w:val="00B36A46"/>
  </w:style>
  <w:style w:type="table" w:customStyle="1" w:styleId="TableGrid5110">
    <w:name w:val="Table Grid511"/>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semiHidden/>
    <w:unhideWhenUsed/>
    <w:rsid w:val="00B36A46"/>
  </w:style>
  <w:style w:type="numbering" w:customStyle="1" w:styleId="NoList11511">
    <w:name w:val="No List11511"/>
    <w:next w:val="NoList"/>
    <w:semiHidden/>
    <w:rsid w:val="00B36A46"/>
  </w:style>
  <w:style w:type="table" w:customStyle="1" w:styleId="TableGrid12110">
    <w:name w:val="Table Grid1211"/>
    <w:basedOn w:val="TableNormal"/>
    <w:next w:val="TableGrid"/>
    <w:rsid w:val="00B36A46"/>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1">
    <w:name w:val="No List111311"/>
    <w:next w:val="NoList"/>
    <w:semiHidden/>
    <w:rsid w:val="00B36A46"/>
  </w:style>
  <w:style w:type="numbering" w:customStyle="1" w:styleId="NoList2411">
    <w:name w:val="No List2411"/>
    <w:next w:val="NoList"/>
    <w:semiHidden/>
    <w:rsid w:val="00B36A46"/>
  </w:style>
  <w:style w:type="numbering" w:customStyle="1" w:styleId="NoList3411">
    <w:name w:val="No List3411"/>
    <w:next w:val="NoList"/>
    <w:semiHidden/>
    <w:unhideWhenUsed/>
    <w:rsid w:val="00B36A46"/>
  </w:style>
  <w:style w:type="table" w:customStyle="1" w:styleId="TableList7311">
    <w:name w:val="Table List 7311"/>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11">
    <w:name w:val="Table Web 3311"/>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11">
    <w:name w:val="Table Elegant311"/>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11">
    <w:name w:val="Table Web 2311"/>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11">
    <w:name w:val="Table Web 1311"/>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11">
    <w:name w:val="Table Grid 8311"/>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11">
    <w:name w:val="Table Contemporary311"/>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11">
    <w:name w:val="Light List - Accent 1411"/>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11">
    <w:name w:val="Table Grid 7311"/>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11">
    <w:name w:val="Colorful Grid - Accent 1411"/>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11">
    <w:name w:val="Light List - Accent 5411"/>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11">
    <w:name w:val="Table Simple 3311"/>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11">
    <w:name w:val="Table Grid 5311"/>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11">
    <w:name w:val="Table Grid 3311"/>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11">
    <w:name w:val="Table Grid 1311"/>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11">
    <w:name w:val="Table Columns 5311"/>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11">
    <w:name w:val="Light List - Accent 11311"/>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11">
    <w:name w:val="Нет списка1411"/>
    <w:next w:val="NoList"/>
    <w:semiHidden/>
    <w:unhideWhenUsed/>
    <w:rsid w:val="00B36A46"/>
  </w:style>
  <w:style w:type="table" w:customStyle="1" w:styleId="ColorfulGrid-Accent11311">
    <w:name w:val="Colorful Grid - Accent 11311"/>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11">
    <w:name w:val="Light List - Accent 51311"/>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11">
    <w:name w:val="No List4311"/>
    <w:next w:val="NoList"/>
    <w:semiHidden/>
    <w:rsid w:val="00B36A46"/>
  </w:style>
  <w:style w:type="table" w:customStyle="1" w:styleId="Table3Deffects3311">
    <w:name w:val="Table 3D effects 3311"/>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11">
    <w:name w:val="Нет списка11311"/>
    <w:next w:val="NoList"/>
    <w:semiHidden/>
    <w:unhideWhenUsed/>
    <w:rsid w:val="00B36A46"/>
  </w:style>
  <w:style w:type="numbering" w:customStyle="1" w:styleId="NoList5211">
    <w:name w:val="No List5211"/>
    <w:next w:val="NoList"/>
    <w:uiPriority w:val="99"/>
    <w:semiHidden/>
    <w:unhideWhenUsed/>
    <w:rsid w:val="00B36A46"/>
  </w:style>
  <w:style w:type="numbering" w:customStyle="1" w:styleId="NoList12211">
    <w:name w:val="No List12211"/>
    <w:next w:val="NoList"/>
    <w:semiHidden/>
    <w:rsid w:val="00B36A46"/>
  </w:style>
  <w:style w:type="numbering" w:customStyle="1" w:styleId="NoList112211">
    <w:name w:val="No List112211"/>
    <w:next w:val="NoList"/>
    <w:semiHidden/>
    <w:rsid w:val="00B36A46"/>
  </w:style>
  <w:style w:type="numbering" w:customStyle="1" w:styleId="NoList1111211">
    <w:name w:val="No List1111211"/>
    <w:next w:val="NoList"/>
    <w:semiHidden/>
    <w:rsid w:val="00B36A46"/>
  </w:style>
  <w:style w:type="numbering" w:customStyle="1" w:styleId="NoList21211">
    <w:name w:val="No List21211"/>
    <w:next w:val="NoList"/>
    <w:semiHidden/>
    <w:rsid w:val="00B36A46"/>
  </w:style>
  <w:style w:type="table" w:customStyle="1" w:styleId="TableGrid2211">
    <w:name w:val="Table Grid2211"/>
    <w:basedOn w:val="TableNormal"/>
    <w:next w:val="TableGrid"/>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1">
    <w:name w:val="No List31211"/>
    <w:next w:val="NoList"/>
    <w:uiPriority w:val="99"/>
    <w:semiHidden/>
    <w:unhideWhenUsed/>
    <w:rsid w:val="00B36A46"/>
  </w:style>
  <w:style w:type="table" w:customStyle="1" w:styleId="LightShading-Accent1111">
    <w:name w:val="Light Shading - Accent 111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11">
    <w:name w:val="Medium Grid 2 - Accent 111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11">
    <w:name w:val="Medium List 2 - Accent 511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11">
    <w:name w:val="Light List - Accent 151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11">
    <w:name w:val="Medium Grid 3 - Accent 511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11">
    <w:name w:val="Light Shading - Accent 511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11">
    <w:name w:val="Medium Grid 2 - Accent 511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11">
    <w:name w:val="Light Grid - Accent 111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List431">
    <w:name w:val="Table List 431"/>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21">
    <w:name w:val="Table List 4121"/>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Theme11">
    <w:name w:val="Table Theme11"/>
    <w:basedOn w:val="TableNormal"/>
    <w:next w:val="TableTheme"/>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11">
    <w:name w:val="Table Professional11"/>
    <w:basedOn w:val="TableNormal"/>
    <w:next w:val="TableProfessional"/>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11">
    <w:name w:val="Table Grid 611"/>
    <w:basedOn w:val="TableNormal"/>
    <w:next w:val="TableGrid6"/>
    <w:rsid w:val="00B36A4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11">
    <w:name w:val="Table List 4211"/>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11">
    <w:name w:val="Table List 41111"/>
    <w:basedOn w:val="TableNormal"/>
    <w:next w:val="TableList4"/>
    <w:rsid w:val="00B36A46"/>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31">
    <w:name w:val="Style1131"/>
    <w:basedOn w:val="TableElegant"/>
    <w:uiPriority w:val="99"/>
    <w:rsid w:val="00B36A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41">
    <w:name w:val="Style214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31">
    <w:name w:val="Style2113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11">
    <w:name w:val="No List1611"/>
    <w:next w:val="NoList"/>
    <w:uiPriority w:val="99"/>
    <w:semiHidden/>
    <w:unhideWhenUsed/>
    <w:rsid w:val="00B36A46"/>
  </w:style>
  <w:style w:type="table" w:customStyle="1" w:styleId="TableGrid6110">
    <w:name w:val="Table Grid61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1">
    <w:name w:val="No List1711"/>
    <w:next w:val="NoList"/>
    <w:uiPriority w:val="99"/>
    <w:semiHidden/>
    <w:unhideWhenUsed/>
    <w:rsid w:val="00B36A46"/>
  </w:style>
  <w:style w:type="numbering" w:customStyle="1" w:styleId="NoList11611">
    <w:name w:val="No List11611"/>
    <w:next w:val="NoList"/>
    <w:semiHidden/>
    <w:rsid w:val="00B36A46"/>
  </w:style>
  <w:style w:type="table" w:customStyle="1" w:styleId="TableGrid13110">
    <w:name w:val="Table Grid1311"/>
    <w:basedOn w:val="TableNormal"/>
    <w:next w:val="TableGrid"/>
    <w:uiPriority w:val="5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611">
    <w:name w:val="Light List - Accent 161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31">
    <w:name w:val="Light Shading - Accent 131"/>
    <w:basedOn w:val="TableNormal"/>
    <w:next w:val="LightShading-Accent1"/>
    <w:uiPriority w:val="60"/>
    <w:semiHidden/>
    <w:unhideWhenUsed/>
    <w:rsid w:val="00B36A46"/>
    <w:rPr>
      <w:rFonts w:ascii="Calibri" w:eastAsia="Calibri" w:hAnsi="Calibri"/>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ediumGrid2-Accent131">
    <w:name w:val="Medium Grid 2 - Accent 131"/>
    <w:basedOn w:val="TableNormal"/>
    <w:next w:val="MediumGrid2-Accent1"/>
    <w:uiPriority w:val="68"/>
    <w:semiHidden/>
    <w:unhideWhenUsed/>
    <w:rsid w:val="00B36A46"/>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List2-Accent531">
    <w:name w:val="Medium List 2 - Accent 531"/>
    <w:basedOn w:val="TableNormal"/>
    <w:next w:val="MediumList2-Accent5"/>
    <w:uiPriority w:val="66"/>
    <w:semiHidden/>
    <w:unhideWhenUsed/>
    <w:rsid w:val="00B36A46"/>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Grid3-Accent531">
    <w:name w:val="Medium Grid 3 - Accent 531"/>
    <w:basedOn w:val="TableNormal"/>
    <w:next w:val="MediumGrid3-Accent5"/>
    <w:uiPriority w:val="69"/>
    <w:semiHidden/>
    <w:unhideWhenUsed/>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LightShading-Accent531">
    <w:name w:val="Light Shading - Accent 531"/>
    <w:basedOn w:val="TableNormal"/>
    <w:next w:val="LightShading-Accent5"/>
    <w:uiPriority w:val="60"/>
    <w:semiHidden/>
    <w:unhideWhenUsed/>
    <w:rsid w:val="00B36A46"/>
    <w:rPr>
      <w:rFonts w:ascii="Calibri" w:eastAsia="Calibri" w:hAnsi="Calibri"/>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Grid2-Accent531">
    <w:name w:val="Medium Grid 2 - Accent 531"/>
    <w:basedOn w:val="TableNormal"/>
    <w:next w:val="MediumGrid2-Accent5"/>
    <w:uiPriority w:val="68"/>
    <w:semiHidden/>
    <w:unhideWhenUsed/>
    <w:rsid w:val="00B36A46"/>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LightGrid-Accent131">
    <w:name w:val="Light Grid - Accent 131"/>
    <w:basedOn w:val="TableNormal"/>
    <w:next w:val="LightGrid-Accent1"/>
    <w:uiPriority w:val="62"/>
    <w:semiHidden/>
    <w:unhideWhenUsed/>
    <w:rsid w:val="00B36A46"/>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Shading-Accent141">
    <w:name w:val="Light Shading - Accent 14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41">
    <w:name w:val="Medium Grid 2 - Accent 14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41">
    <w:name w:val="Medium List 2 - Accent 54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01">
    <w:name w:val="Light List - Accent 110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41">
    <w:name w:val="Medium Grid 3 - Accent 54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41">
    <w:name w:val="Light Shading - Accent 54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41">
    <w:name w:val="Medium Grid 2 - Accent 54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41">
    <w:name w:val="Light Grid - Accent 14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51">
    <w:name w:val="Light Shading - Accent 15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51">
    <w:name w:val="Medium Grid 2 - Accent 15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51">
    <w:name w:val="Medium List 2 - Accent 55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61">
    <w:name w:val="Light List - Accent 116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51">
    <w:name w:val="Medium Grid 3 - Accent 55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51">
    <w:name w:val="Light Shading - Accent 55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51">
    <w:name w:val="Medium Grid 2 - Accent 55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51">
    <w:name w:val="Light Grid - Accent 15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71">
    <w:name w:val="No List271"/>
    <w:next w:val="NoList"/>
    <w:uiPriority w:val="99"/>
    <w:semiHidden/>
    <w:unhideWhenUsed/>
    <w:rsid w:val="00B36A46"/>
  </w:style>
  <w:style w:type="table" w:customStyle="1" w:styleId="TableGrid91">
    <w:name w:val="Table Grid9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61">
    <w:name w:val="Table List 761"/>
    <w:basedOn w:val="TableNormal"/>
    <w:next w:val="TableList7"/>
    <w:rsid w:val="00B36A4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61">
    <w:name w:val="Table Web 361"/>
    <w:basedOn w:val="TableNormal"/>
    <w:next w:val="TableWeb3"/>
    <w:rsid w:val="00B36A4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61">
    <w:name w:val="Table Elegant61"/>
    <w:basedOn w:val="TableNormal"/>
    <w:next w:val="TableElegant"/>
    <w:rsid w:val="00B36A4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61">
    <w:name w:val="Table Web 261"/>
    <w:basedOn w:val="TableNormal"/>
    <w:next w:val="TableWeb2"/>
    <w:rsid w:val="00B36A4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61">
    <w:name w:val="Table Web 161"/>
    <w:basedOn w:val="TableNormal"/>
    <w:next w:val="TableWeb1"/>
    <w:rsid w:val="00B36A4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61">
    <w:name w:val="Table Grid 861"/>
    <w:basedOn w:val="TableNormal"/>
    <w:next w:val="TableGrid8"/>
    <w:rsid w:val="00B36A4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61">
    <w:name w:val="Table Contemporary61"/>
    <w:basedOn w:val="TableNormal"/>
    <w:next w:val="TableContemporary"/>
    <w:rsid w:val="00B36A4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91">
    <w:name w:val="No List1191"/>
    <w:next w:val="NoList"/>
    <w:semiHidden/>
    <w:unhideWhenUsed/>
    <w:rsid w:val="00B36A46"/>
  </w:style>
  <w:style w:type="numbering" w:customStyle="1" w:styleId="NoList281">
    <w:name w:val="No List281"/>
    <w:next w:val="NoList"/>
    <w:semiHidden/>
    <w:unhideWhenUsed/>
    <w:rsid w:val="00B36A46"/>
  </w:style>
  <w:style w:type="numbering" w:customStyle="1" w:styleId="NoList371">
    <w:name w:val="No List371"/>
    <w:next w:val="NoList"/>
    <w:semiHidden/>
    <w:unhideWhenUsed/>
    <w:rsid w:val="00B36A46"/>
  </w:style>
  <w:style w:type="table" w:customStyle="1" w:styleId="LightList-Accent1171">
    <w:name w:val="Light List - Accent 1171"/>
    <w:basedOn w:val="TableNormal"/>
    <w:next w:val="LightList-Accent1"/>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61">
    <w:name w:val="Table Grid 761"/>
    <w:basedOn w:val="TableNormal"/>
    <w:next w:val="TableGrid7"/>
    <w:rsid w:val="00B36A4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71">
    <w:name w:val="Colorful Grid - Accent 171"/>
    <w:basedOn w:val="TableNormal"/>
    <w:next w:val="ColorfulGrid-Accent1"/>
    <w:uiPriority w:val="73"/>
    <w:rsid w:val="00B36A46"/>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71">
    <w:name w:val="Light List - Accent 571"/>
    <w:basedOn w:val="TableNormal"/>
    <w:next w:val="LightList-Accent5"/>
    <w:uiPriority w:val="61"/>
    <w:rsid w:val="00B36A4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61">
    <w:name w:val="Table Simple 361"/>
    <w:basedOn w:val="TableNormal"/>
    <w:next w:val="TableSimple3"/>
    <w:rsid w:val="00B36A4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61">
    <w:name w:val="Table Grid 561"/>
    <w:basedOn w:val="TableNormal"/>
    <w:next w:val="TableGrid5"/>
    <w:rsid w:val="00B36A4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61">
    <w:name w:val="Table Grid 361"/>
    <w:basedOn w:val="TableNormal"/>
    <w:next w:val="TableGrid3"/>
    <w:rsid w:val="00B36A4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61">
    <w:name w:val="Table Grid 161"/>
    <w:basedOn w:val="TableNormal"/>
    <w:next w:val="TableGrid10"/>
    <w:rsid w:val="00B36A4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61">
    <w:name w:val="Table Columns 561"/>
    <w:basedOn w:val="TableNormal"/>
    <w:next w:val="TableColumns5"/>
    <w:rsid w:val="00B36A4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81">
    <w:name w:val="Light List - Accent 1181"/>
    <w:basedOn w:val="TableNormal"/>
    <w:uiPriority w:val="61"/>
    <w:rsid w:val="00B36A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71">
    <w:name w:val="Нет списка171"/>
    <w:next w:val="NoList"/>
    <w:semiHidden/>
    <w:unhideWhenUsed/>
    <w:rsid w:val="00B36A46"/>
  </w:style>
  <w:style w:type="table" w:customStyle="1" w:styleId="ColorfulGrid-Accent1161">
    <w:name w:val="Colorful Grid - Accent 1161"/>
    <w:basedOn w:val="TableNormal"/>
    <w:rsid w:val="00B36A46"/>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61">
    <w:name w:val="Light List - Accent 5161"/>
    <w:basedOn w:val="TableNormal"/>
    <w:rsid w:val="00B36A46"/>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61">
    <w:name w:val="No List461"/>
    <w:next w:val="NoList"/>
    <w:semiHidden/>
    <w:rsid w:val="00B36A46"/>
  </w:style>
  <w:style w:type="numbering" w:customStyle="1" w:styleId="NoList11101">
    <w:name w:val="No List11101"/>
    <w:next w:val="NoList"/>
    <w:semiHidden/>
    <w:unhideWhenUsed/>
    <w:rsid w:val="00B36A46"/>
  </w:style>
  <w:style w:type="table" w:customStyle="1" w:styleId="Table3Deffects361">
    <w:name w:val="Table 3D effects 361"/>
    <w:basedOn w:val="TableNormal"/>
    <w:next w:val="Table3Deffects3"/>
    <w:rsid w:val="00B36A4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61">
    <w:name w:val="Нет списка1161"/>
    <w:next w:val="NoList"/>
    <w:semiHidden/>
    <w:unhideWhenUsed/>
    <w:rsid w:val="00B36A46"/>
  </w:style>
  <w:style w:type="table" w:customStyle="1" w:styleId="LightShading-Accent161">
    <w:name w:val="Light Shading - Accent 16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61">
    <w:name w:val="Medium Grid 2 - Accent 16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61">
    <w:name w:val="Medium List 2 - Accent 56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21">
    <w:name w:val="Light List - Accent 152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61">
    <w:name w:val="Medium Grid 3 - Accent 56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61">
    <w:name w:val="Light Shading - Accent 56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61">
    <w:name w:val="Medium Grid 2 - Accent 56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61">
    <w:name w:val="Light Grid - Accent 16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tyle1141">
    <w:name w:val="Style1141"/>
    <w:basedOn w:val="TableElegant"/>
    <w:uiPriority w:val="99"/>
    <w:rsid w:val="00B36A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51">
    <w:name w:val="Style215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41">
    <w:name w:val="Style2114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Shading-Accent1121">
    <w:name w:val="Light Shading - Accent 112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21">
    <w:name w:val="Medium Grid 2 - Accent 112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21">
    <w:name w:val="Medium List 2 - Accent 512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621">
    <w:name w:val="Light List - Accent 162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21">
    <w:name w:val="Medium Grid 3 - Accent 512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21">
    <w:name w:val="Light Shading - Accent 512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21">
    <w:name w:val="Medium Grid 2 - Accent 512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21">
    <w:name w:val="Light Grid - Accent 112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91">
    <w:name w:val="No List291"/>
    <w:next w:val="NoList"/>
    <w:uiPriority w:val="99"/>
    <w:semiHidden/>
    <w:unhideWhenUsed/>
    <w:rsid w:val="00B36A46"/>
  </w:style>
  <w:style w:type="table" w:customStyle="1" w:styleId="TableGrid101">
    <w:name w:val="Table Grid10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1">
    <w:name w:val="No List1201"/>
    <w:next w:val="NoList"/>
    <w:uiPriority w:val="99"/>
    <w:semiHidden/>
    <w:unhideWhenUsed/>
    <w:rsid w:val="00B36A46"/>
  </w:style>
  <w:style w:type="numbering" w:customStyle="1" w:styleId="NoList11151">
    <w:name w:val="No List11151"/>
    <w:next w:val="NoList"/>
    <w:semiHidden/>
    <w:rsid w:val="00B36A46"/>
  </w:style>
  <w:style w:type="table" w:customStyle="1" w:styleId="TableGrid1510">
    <w:name w:val="Table Grid151"/>
    <w:basedOn w:val="TableNormal"/>
    <w:next w:val="TableGrid"/>
    <w:uiPriority w:val="5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1">
    <w:name w:val="No List301"/>
    <w:next w:val="NoList"/>
    <w:uiPriority w:val="99"/>
    <w:semiHidden/>
    <w:unhideWhenUsed/>
    <w:rsid w:val="00B36A46"/>
  </w:style>
  <w:style w:type="table" w:customStyle="1" w:styleId="LightShading-Accent171">
    <w:name w:val="Light Shading - Accent 17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71">
    <w:name w:val="Medium Grid 2 - Accent 17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71">
    <w:name w:val="Medium List 2 - Accent 57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91">
    <w:name w:val="Light List - Accent 119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71">
    <w:name w:val="Medium Grid 3 - Accent 57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71">
    <w:name w:val="Light Shading - Accent 57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71">
    <w:name w:val="Medium Grid 2 - Accent 57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71">
    <w:name w:val="Light Grid - Accent 17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381">
    <w:name w:val="No List381"/>
    <w:next w:val="NoList"/>
    <w:uiPriority w:val="99"/>
    <w:semiHidden/>
    <w:unhideWhenUsed/>
    <w:rsid w:val="00B36A46"/>
  </w:style>
  <w:style w:type="table" w:customStyle="1" w:styleId="TableGrid1610">
    <w:name w:val="Table Grid16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
    <w:name w:val="No List1241"/>
    <w:next w:val="NoList"/>
    <w:uiPriority w:val="99"/>
    <w:semiHidden/>
    <w:unhideWhenUsed/>
    <w:rsid w:val="00B36A46"/>
  </w:style>
  <w:style w:type="numbering" w:customStyle="1" w:styleId="NoList11161">
    <w:name w:val="No List11161"/>
    <w:next w:val="NoList"/>
    <w:semiHidden/>
    <w:rsid w:val="00B36A46"/>
  </w:style>
  <w:style w:type="table" w:customStyle="1" w:styleId="TableGrid171">
    <w:name w:val="Table Grid171"/>
    <w:basedOn w:val="TableNormal"/>
    <w:next w:val="TableGrid"/>
    <w:uiPriority w:val="5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81">
    <w:name w:val="Light Shading - Accent 18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81">
    <w:name w:val="Medium Grid 2 - Accent 18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81">
    <w:name w:val="Medium List 2 - Accent 58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01">
    <w:name w:val="Light List - Accent 120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81">
    <w:name w:val="Medium Grid 3 - Accent 58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81">
    <w:name w:val="Light Shading - Accent 58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81">
    <w:name w:val="Medium Grid 2 - Accent 58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81">
    <w:name w:val="Light Grid - Accent 18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91">
    <w:name w:val="Light Shading - Accent 19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91">
    <w:name w:val="Medium Grid 2 - Accent 19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91">
    <w:name w:val="Medium List 2 - Accent 59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21">
    <w:name w:val="Light List - Accent 122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91">
    <w:name w:val="Medium Grid 3 - Accent 59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91">
    <w:name w:val="Light Shading - Accent 59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91">
    <w:name w:val="Medium Grid 2 - Accent 59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91">
    <w:name w:val="Light Grid - Accent 19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tyle1152">
    <w:name w:val="Style1152"/>
    <w:basedOn w:val="TableElegant"/>
    <w:uiPriority w:val="99"/>
    <w:rsid w:val="00B36A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151">
    <w:name w:val="Style2115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391">
    <w:name w:val="No List391"/>
    <w:next w:val="NoList"/>
    <w:uiPriority w:val="99"/>
    <w:semiHidden/>
    <w:unhideWhenUsed/>
    <w:rsid w:val="00B36A46"/>
  </w:style>
  <w:style w:type="table" w:customStyle="1" w:styleId="TableGrid181">
    <w:name w:val="Table Grid18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
    <w:name w:val="No List1251"/>
    <w:next w:val="NoList"/>
    <w:uiPriority w:val="99"/>
    <w:semiHidden/>
    <w:unhideWhenUsed/>
    <w:rsid w:val="00B36A46"/>
  </w:style>
  <w:style w:type="numbering" w:customStyle="1" w:styleId="NoList11171">
    <w:name w:val="No List11171"/>
    <w:next w:val="NoList"/>
    <w:semiHidden/>
    <w:rsid w:val="00B36A46"/>
  </w:style>
  <w:style w:type="table" w:customStyle="1" w:styleId="TableGrid191">
    <w:name w:val="Table Grid191"/>
    <w:basedOn w:val="TableNormal"/>
    <w:next w:val="TableGrid"/>
    <w:uiPriority w:val="5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1511">
    <w:name w:val="Style11511"/>
    <w:basedOn w:val="TableElegant"/>
    <w:uiPriority w:val="99"/>
    <w:rsid w:val="00B36A46"/>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61">
    <w:name w:val="Style2161"/>
    <w:basedOn w:val="TableGrid5"/>
    <w:uiPriority w:val="99"/>
    <w:rsid w:val="00B36A46"/>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401">
    <w:name w:val="No List401"/>
    <w:next w:val="NoList"/>
    <w:uiPriority w:val="99"/>
    <w:semiHidden/>
    <w:unhideWhenUsed/>
    <w:rsid w:val="00B36A46"/>
  </w:style>
  <w:style w:type="table" w:customStyle="1" w:styleId="TableGrid201">
    <w:name w:val="Table Grid201"/>
    <w:basedOn w:val="TableNormal"/>
    <w:next w:val="TableGrid"/>
    <w:uiPriority w:val="59"/>
    <w:rsid w:val="00B36A4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01">
    <w:name w:val="Light Shading - Accent 1101"/>
    <w:basedOn w:val="TableNormal"/>
    <w:next w:val="LightShading-Accent1"/>
    <w:uiPriority w:val="60"/>
    <w:rsid w:val="00B36A46"/>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581">
    <w:name w:val="Light List - Accent 581"/>
    <w:basedOn w:val="TableNormal"/>
    <w:next w:val="LightList-Accent5"/>
    <w:uiPriority w:val="61"/>
    <w:rsid w:val="00B36A46"/>
    <w:rPr>
      <w:rFonts w:ascii="Calibri" w:eastAsia="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List2-Accent11">
    <w:name w:val="Medium List 2 - Accent 11"/>
    <w:basedOn w:val="TableNormal"/>
    <w:next w:val="MediumList2-Accent1"/>
    <w:uiPriority w:val="66"/>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Grid2-Accent1101">
    <w:name w:val="Medium Grid 2 - Accent 1101"/>
    <w:basedOn w:val="TableNormal"/>
    <w:next w:val="MediumGrid2-Accent1"/>
    <w:uiPriority w:val="68"/>
    <w:rsid w:val="00B36A46"/>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3-Accent61">
    <w:name w:val="Medium Grid 3 - Accent 61"/>
    <w:basedOn w:val="TableNormal"/>
    <w:next w:val="MediumGrid3-Accent6"/>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2-Accent5101">
    <w:name w:val="Medium List 2 - Accent 5101"/>
    <w:basedOn w:val="TableNormal"/>
    <w:next w:val="MediumList2-Accent5"/>
    <w:uiPriority w:val="66"/>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31">
    <w:name w:val="Light List - Accent 1231"/>
    <w:basedOn w:val="TableNormal"/>
    <w:next w:val="LightList-Accent1"/>
    <w:uiPriority w:val="61"/>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1-Accent51">
    <w:name w:val="Medium List 1 - Accent 51"/>
    <w:basedOn w:val="TableNormal"/>
    <w:next w:val="MediumList1-Accent5"/>
    <w:uiPriority w:val="65"/>
    <w:rsid w:val="00B36A46"/>
    <w:rPr>
      <w:rFonts w:ascii="Calibri" w:eastAsia="Calibri" w:hAnsi="Calibri"/>
      <w:color w:val="000000"/>
      <w:sz w:val="22"/>
      <w:szCs w:val="22"/>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Grid3-Accent5101">
    <w:name w:val="Medium Grid 3 - Accent 5101"/>
    <w:basedOn w:val="TableNormal"/>
    <w:next w:val="MediumGrid3-Accent5"/>
    <w:uiPriority w:val="69"/>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01">
    <w:name w:val="Light Shading - Accent 5101"/>
    <w:basedOn w:val="TableNormal"/>
    <w:next w:val="LightShading-Accent5"/>
    <w:uiPriority w:val="60"/>
    <w:rsid w:val="00B36A46"/>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01">
    <w:name w:val="Medium Grid 2 - Accent 5101"/>
    <w:basedOn w:val="TableNormal"/>
    <w:next w:val="MediumGrid2-Accent5"/>
    <w:uiPriority w:val="68"/>
    <w:rsid w:val="00B36A4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List-Accent31">
    <w:name w:val="Light List - Accent 31"/>
    <w:basedOn w:val="TableNormal"/>
    <w:next w:val="LightList-Accent3"/>
    <w:uiPriority w:val="61"/>
    <w:rsid w:val="00B36A46"/>
    <w:rPr>
      <w:rFonts w:ascii="Calibri" w:eastAsia="Calibri"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List2-Accent31">
    <w:name w:val="Medium List 2 - Accent 31"/>
    <w:basedOn w:val="TableNormal"/>
    <w:next w:val="MediumList2-Accent3"/>
    <w:uiPriority w:val="66"/>
    <w:rsid w:val="00B36A46"/>
    <w:rPr>
      <w:rFonts w:ascii="Cambria"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66"/>
    <w:rsid w:val="00B36A46"/>
    <w:rPr>
      <w:rFonts w:ascii="Cambria" w:hAnsi="Cambria"/>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LightGrid-Accent1101">
    <w:name w:val="Light Grid - Accent 1101"/>
    <w:basedOn w:val="TableNormal"/>
    <w:next w:val="LightGrid-Accent1"/>
    <w:uiPriority w:val="62"/>
    <w:rsid w:val="00B36A46"/>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471">
    <w:name w:val="No List471"/>
    <w:next w:val="NoList"/>
    <w:uiPriority w:val="99"/>
    <w:semiHidden/>
    <w:unhideWhenUsed/>
    <w:rsid w:val="00B36A46"/>
  </w:style>
  <w:style w:type="table" w:customStyle="1" w:styleId="TableGrid241">
    <w:name w:val="Table Grid241"/>
    <w:basedOn w:val="TableNormal"/>
    <w:next w:val="TableGrid"/>
    <w:uiPriority w:val="3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1">
    <w:name w:val="No List1261"/>
    <w:next w:val="NoList"/>
    <w:uiPriority w:val="99"/>
    <w:semiHidden/>
    <w:unhideWhenUsed/>
    <w:rsid w:val="00B36A46"/>
  </w:style>
  <w:style w:type="numbering" w:customStyle="1" w:styleId="NoList11181">
    <w:name w:val="No List11181"/>
    <w:next w:val="NoList"/>
    <w:semiHidden/>
    <w:rsid w:val="00B36A46"/>
  </w:style>
  <w:style w:type="table" w:customStyle="1" w:styleId="TableGrid1101">
    <w:name w:val="Table Grid1101"/>
    <w:basedOn w:val="TableNormal"/>
    <w:next w:val="TableGrid"/>
    <w:uiPriority w:val="59"/>
    <w:rsid w:val="00B36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4">
    <w:name w:val="Light Shading - Accent 114"/>
    <w:basedOn w:val="TableNormal"/>
    <w:next w:val="LightShading-Accent1"/>
    <w:uiPriority w:val="60"/>
    <w:semiHidden/>
    <w:unhideWhenUsed/>
    <w:rsid w:val="00B36A46"/>
    <w:rPr>
      <w:rFonts w:ascii="Calibri" w:eastAsia="Calibri" w:hAnsi="Calibri"/>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ediumGrid2-Accent114">
    <w:name w:val="Medium Grid 2 - Accent 114"/>
    <w:basedOn w:val="TableNormal"/>
    <w:next w:val="MediumGrid2-Accent1"/>
    <w:uiPriority w:val="68"/>
    <w:semiHidden/>
    <w:unhideWhenUsed/>
    <w:rsid w:val="00B36A46"/>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List2-Accent514">
    <w:name w:val="Medium List 2 - Accent 514"/>
    <w:basedOn w:val="TableNormal"/>
    <w:next w:val="MediumList2-Accent5"/>
    <w:uiPriority w:val="66"/>
    <w:semiHidden/>
    <w:unhideWhenUsed/>
    <w:rsid w:val="00B36A46"/>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Grid3-Accent514">
    <w:name w:val="Medium Grid 3 - Accent 514"/>
    <w:basedOn w:val="TableNormal"/>
    <w:next w:val="MediumGrid3-Accent5"/>
    <w:uiPriority w:val="69"/>
    <w:semiHidden/>
    <w:unhideWhenUsed/>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LightShading-Accent514">
    <w:name w:val="Light Shading - Accent 514"/>
    <w:basedOn w:val="TableNormal"/>
    <w:next w:val="LightShading-Accent5"/>
    <w:uiPriority w:val="60"/>
    <w:semiHidden/>
    <w:unhideWhenUsed/>
    <w:rsid w:val="00B36A46"/>
    <w:rPr>
      <w:rFonts w:ascii="Calibri" w:eastAsia="Calibri" w:hAnsi="Calibri"/>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Grid2-Accent514">
    <w:name w:val="Medium Grid 2 - Accent 514"/>
    <w:basedOn w:val="TableNormal"/>
    <w:next w:val="MediumGrid2-Accent5"/>
    <w:uiPriority w:val="68"/>
    <w:semiHidden/>
    <w:unhideWhenUsed/>
    <w:rsid w:val="00B36A46"/>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LightGrid-Accent114">
    <w:name w:val="Light Grid - Accent 114"/>
    <w:basedOn w:val="TableNormal"/>
    <w:next w:val="LightGrid-Accent1"/>
    <w:uiPriority w:val="62"/>
    <w:semiHidden/>
    <w:unhideWhenUsed/>
    <w:rsid w:val="00B36A46"/>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MediumList2-Accent12">
    <w:name w:val="Medium List 2 - Accent 12"/>
    <w:basedOn w:val="TableNormal"/>
    <w:next w:val="MediumList2-Accent1"/>
    <w:uiPriority w:val="66"/>
    <w:semiHidden/>
    <w:unhideWhenUsed/>
    <w:rsid w:val="00B36A46"/>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Grid3-Accent62">
    <w:name w:val="Medium Grid 3 - Accent 62"/>
    <w:basedOn w:val="TableNormal"/>
    <w:next w:val="MediumGrid3-Accent6"/>
    <w:uiPriority w:val="69"/>
    <w:semiHidden/>
    <w:unhideWhenUsed/>
    <w:rsid w:val="00B36A46"/>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MediumList1-Accent52">
    <w:name w:val="Medium List 1 - Accent 52"/>
    <w:basedOn w:val="TableNormal"/>
    <w:next w:val="MediumList1-Accent5"/>
    <w:uiPriority w:val="65"/>
    <w:semiHidden/>
    <w:unhideWhenUsed/>
    <w:rsid w:val="00B36A46"/>
    <w:rPr>
      <w:rFonts w:ascii="Calibri" w:eastAsia="Calibri" w:hAnsi="Calibri"/>
      <w:color w:val="000000"/>
      <w:sz w:val="22"/>
      <w:szCs w:val="22"/>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LightList-Accent32">
    <w:name w:val="Light List - Accent 32"/>
    <w:basedOn w:val="TableNormal"/>
    <w:next w:val="LightList-Accent3"/>
    <w:uiPriority w:val="61"/>
    <w:semiHidden/>
    <w:unhideWhenUsed/>
    <w:rsid w:val="00B36A46"/>
    <w:rPr>
      <w:rFonts w:ascii="Calibri" w:eastAsia="Calibri" w:hAnsi="Calibri"/>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List2-Accent32">
    <w:name w:val="Medium List 2 - Accent 32"/>
    <w:basedOn w:val="TableNormal"/>
    <w:next w:val="MediumList2-Accent3"/>
    <w:uiPriority w:val="66"/>
    <w:semiHidden/>
    <w:unhideWhenUsed/>
    <w:rsid w:val="00B36A46"/>
    <w:rPr>
      <w:rFonts w:ascii="Calibri Light" w:hAnsi="Calibri Light"/>
      <w:color w:val="000000"/>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eNormal"/>
    <w:next w:val="MediumList2-Accent4"/>
    <w:uiPriority w:val="66"/>
    <w:semiHidden/>
    <w:unhideWhenUsed/>
    <w:rsid w:val="00B36A46"/>
    <w:rPr>
      <w:rFonts w:ascii="Calibri Light" w:hAnsi="Calibri Light"/>
      <w:color w:val="000000"/>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numbering" w:customStyle="1" w:styleId="NoList55">
    <w:name w:val="No List55"/>
    <w:next w:val="NoList"/>
    <w:uiPriority w:val="99"/>
    <w:semiHidden/>
    <w:unhideWhenUsed/>
    <w:rsid w:val="005150E5"/>
  </w:style>
  <w:style w:type="table" w:customStyle="1" w:styleId="TableGrid29">
    <w:name w:val="Table Grid29"/>
    <w:basedOn w:val="TableNormal"/>
    <w:next w:val="TableGrid"/>
    <w:uiPriority w:val="39"/>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5150E5"/>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paragraph" w:customStyle="1" w:styleId="Side1">
    <w:name w:val="Side1"/>
    <w:basedOn w:val="Normal"/>
    <w:next w:val="Normal"/>
    <w:unhideWhenUsed/>
    <w:qFormat/>
    <w:rsid w:val="005150E5"/>
    <w:pPr>
      <w:spacing w:before="200" w:line="312" w:lineRule="auto"/>
      <w:outlineLvl w:val="4"/>
    </w:pPr>
    <w:rPr>
      <w:rFonts w:ascii="Cambria" w:hAnsi="Cambria"/>
      <w:bCs/>
      <w:color w:val="7F7F7F"/>
      <w:szCs w:val="22"/>
      <w:lang w:val="en-US" w:eastAsia="en-US"/>
    </w:rPr>
  </w:style>
  <w:style w:type="paragraph" w:customStyle="1" w:styleId="Heading61">
    <w:name w:val="Heading 61"/>
    <w:basedOn w:val="Normal"/>
    <w:next w:val="Normal"/>
    <w:unhideWhenUsed/>
    <w:qFormat/>
    <w:rsid w:val="005150E5"/>
    <w:pPr>
      <w:spacing w:before="40" w:line="271" w:lineRule="auto"/>
      <w:outlineLvl w:val="5"/>
    </w:pPr>
    <w:rPr>
      <w:rFonts w:ascii="Cambria" w:hAnsi="Cambria"/>
      <w:bCs/>
      <w:i/>
      <w:iCs/>
      <w:color w:val="7F7F7F"/>
      <w:szCs w:val="22"/>
      <w:lang w:val="en-US" w:eastAsia="en-US"/>
    </w:rPr>
  </w:style>
  <w:style w:type="paragraph" w:customStyle="1" w:styleId="Heading71">
    <w:name w:val="Heading 71"/>
    <w:basedOn w:val="Normal"/>
    <w:next w:val="Normal"/>
    <w:unhideWhenUsed/>
    <w:qFormat/>
    <w:rsid w:val="005150E5"/>
    <w:pPr>
      <w:spacing w:before="40" w:line="312" w:lineRule="auto"/>
      <w:outlineLvl w:val="6"/>
    </w:pPr>
    <w:rPr>
      <w:rFonts w:ascii="Cambria" w:hAnsi="Cambria"/>
      <w:b w:val="0"/>
      <w:i/>
      <w:iCs/>
      <w:szCs w:val="22"/>
      <w:lang w:val="en-US" w:eastAsia="en-US"/>
    </w:rPr>
  </w:style>
  <w:style w:type="paragraph" w:customStyle="1" w:styleId="Heading81">
    <w:name w:val="Heading 81"/>
    <w:basedOn w:val="Normal"/>
    <w:next w:val="Normal"/>
    <w:unhideWhenUsed/>
    <w:qFormat/>
    <w:rsid w:val="005150E5"/>
    <w:pPr>
      <w:spacing w:before="40" w:line="312" w:lineRule="auto"/>
      <w:outlineLvl w:val="7"/>
    </w:pPr>
    <w:rPr>
      <w:rFonts w:ascii="Cambria" w:hAnsi="Cambria"/>
      <w:b w:val="0"/>
      <w:sz w:val="20"/>
      <w:szCs w:val="20"/>
      <w:lang w:val="en-US" w:eastAsia="en-US"/>
    </w:rPr>
  </w:style>
  <w:style w:type="paragraph" w:customStyle="1" w:styleId="Heading91">
    <w:name w:val="Heading 91"/>
    <w:basedOn w:val="Normal"/>
    <w:next w:val="Normal"/>
    <w:unhideWhenUsed/>
    <w:qFormat/>
    <w:rsid w:val="005150E5"/>
    <w:pPr>
      <w:spacing w:before="40" w:line="312" w:lineRule="auto"/>
      <w:outlineLvl w:val="8"/>
    </w:pPr>
    <w:rPr>
      <w:rFonts w:ascii="Cambria" w:hAnsi="Cambria"/>
      <w:b w:val="0"/>
      <w:i/>
      <w:iCs/>
      <w:spacing w:val="5"/>
      <w:sz w:val="20"/>
      <w:szCs w:val="20"/>
      <w:lang w:val="en-US" w:eastAsia="en-US"/>
    </w:rPr>
  </w:style>
  <w:style w:type="numbering" w:customStyle="1" w:styleId="NoList130">
    <w:name w:val="No List130"/>
    <w:next w:val="NoList"/>
    <w:uiPriority w:val="99"/>
    <w:semiHidden/>
    <w:unhideWhenUsed/>
    <w:rsid w:val="005150E5"/>
  </w:style>
  <w:style w:type="paragraph" w:customStyle="1" w:styleId="BodyTextMaintext1">
    <w:name w:val="Body Text (Main text)1"/>
    <w:basedOn w:val="Normal"/>
    <w:next w:val="BodyText"/>
    <w:rsid w:val="005150E5"/>
    <w:pPr>
      <w:spacing w:before="40" w:after="120" w:line="312" w:lineRule="auto"/>
    </w:pPr>
    <w:rPr>
      <w:rFonts w:eastAsia="Calibri"/>
      <w:b w:val="0"/>
      <w:szCs w:val="22"/>
      <w:lang w:val="en-US" w:eastAsia="en-US"/>
    </w:rPr>
  </w:style>
  <w:style w:type="paragraph" w:customStyle="1" w:styleId="BodyTextIndent31">
    <w:name w:val="Body Text Indent 31"/>
    <w:basedOn w:val="Normal"/>
    <w:next w:val="BodyTextIndent3"/>
    <w:rsid w:val="005150E5"/>
    <w:pPr>
      <w:spacing w:before="40" w:after="60" w:line="312" w:lineRule="auto"/>
    </w:pPr>
    <w:rPr>
      <w:rFonts w:ascii="Arial Armenian" w:eastAsia="Calibri" w:hAnsi="Arial Armenian"/>
      <w:b w:val="0"/>
      <w:noProof/>
      <w:sz w:val="20"/>
      <w:szCs w:val="20"/>
      <w:lang w:val="en-US" w:eastAsia="en-US"/>
    </w:rPr>
  </w:style>
  <w:style w:type="paragraph" w:customStyle="1" w:styleId="BodyTextIndent21">
    <w:name w:val="Body Text Indent 21"/>
    <w:basedOn w:val="Normal"/>
    <w:next w:val="BodyTextIndent2"/>
    <w:link w:val="BodyTextIndent2Char1"/>
    <w:rsid w:val="005150E5"/>
    <w:pPr>
      <w:widowControl w:val="0"/>
      <w:spacing w:before="40" w:after="120" w:line="312" w:lineRule="auto"/>
      <w:ind w:left="720" w:firstLine="720"/>
    </w:pPr>
    <w:rPr>
      <w:rFonts w:ascii="Arial Armenian" w:hAnsi="Arial Armenian"/>
      <w:b w:val="0"/>
      <w:sz w:val="20"/>
      <w:szCs w:val="20"/>
      <w:lang w:val="en-GB" w:eastAsia="en-US"/>
    </w:rPr>
  </w:style>
  <w:style w:type="paragraph" w:customStyle="1" w:styleId="1Text1">
    <w:name w:val="1Text1"/>
    <w:basedOn w:val="Normal"/>
    <w:next w:val="BodyText2"/>
    <w:link w:val="BodyText2Char1"/>
    <w:qFormat/>
    <w:rsid w:val="005150E5"/>
    <w:pPr>
      <w:spacing w:before="40" w:after="120" w:line="480" w:lineRule="auto"/>
    </w:pPr>
    <w:rPr>
      <w:rFonts w:ascii="Times New Roman" w:hAnsi="Times New Roman"/>
      <w:b w:val="0"/>
      <w:sz w:val="20"/>
      <w:szCs w:val="20"/>
      <w:lang w:val="en-US" w:eastAsia="en-US"/>
    </w:rPr>
  </w:style>
  <w:style w:type="paragraph" w:customStyle="1" w:styleId="BodyText31">
    <w:name w:val="Body Text 31"/>
    <w:basedOn w:val="Normal"/>
    <w:next w:val="BodyText3"/>
    <w:link w:val="BodyText3Char1"/>
    <w:rsid w:val="005150E5"/>
    <w:pPr>
      <w:spacing w:before="40" w:after="120" w:line="312" w:lineRule="auto"/>
    </w:pPr>
    <w:rPr>
      <w:rFonts w:ascii="Times New Roman" w:hAnsi="Times New Roman"/>
      <w:b w:val="0"/>
      <w:sz w:val="16"/>
      <w:szCs w:val="16"/>
    </w:rPr>
  </w:style>
  <w:style w:type="paragraph" w:customStyle="1" w:styleId="ListBullet1">
    <w:name w:val="List Bullet1"/>
    <w:basedOn w:val="Normal"/>
    <w:next w:val="ListBullet"/>
    <w:autoRedefine/>
    <w:qFormat/>
    <w:rsid w:val="005150E5"/>
    <w:pPr>
      <w:tabs>
        <w:tab w:val="num" w:pos="360"/>
      </w:tabs>
      <w:overflowPunct w:val="0"/>
      <w:autoSpaceDE w:val="0"/>
      <w:autoSpaceDN w:val="0"/>
      <w:adjustRightInd w:val="0"/>
      <w:spacing w:before="130" w:after="60" w:line="312" w:lineRule="auto"/>
      <w:ind w:left="360" w:hanging="360"/>
      <w:textAlignment w:val="baseline"/>
    </w:pPr>
    <w:rPr>
      <w:b w:val="0"/>
      <w:szCs w:val="22"/>
      <w:lang w:val="en-GB" w:eastAsia="en-US"/>
    </w:rPr>
  </w:style>
  <w:style w:type="paragraph" w:customStyle="1" w:styleId="EndnoteText1">
    <w:name w:val="Endnote Text1"/>
    <w:basedOn w:val="Normal"/>
    <w:next w:val="EndnoteText"/>
    <w:rsid w:val="005150E5"/>
    <w:pPr>
      <w:spacing w:before="40" w:after="60" w:line="312" w:lineRule="auto"/>
    </w:pPr>
    <w:rPr>
      <w:rFonts w:eastAsia="Calibri"/>
      <w:b w:val="0"/>
      <w:sz w:val="20"/>
      <w:szCs w:val="20"/>
      <w:lang w:val="en-GB" w:eastAsia="en-US"/>
    </w:rPr>
  </w:style>
  <w:style w:type="table" w:customStyle="1" w:styleId="TableGrid114">
    <w:name w:val="Table Grid114"/>
    <w:basedOn w:val="TableNormal"/>
    <w:next w:val="TableGrid"/>
    <w:uiPriority w:val="39"/>
    <w:rsid w:val="005150E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ockText1">
    <w:name w:val="Block Text1"/>
    <w:basedOn w:val="Normal"/>
    <w:next w:val="BlockText"/>
    <w:rsid w:val="005150E5"/>
    <w:pPr>
      <w:spacing w:before="40" w:after="60"/>
      <w:ind w:left="-709" w:right="-483"/>
    </w:pPr>
    <w:rPr>
      <w:rFonts w:ascii="Times Armenian" w:hAnsi="Times Armenian"/>
      <w:b w:val="0"/>
      <w:szCs w:val="20"/>
      <w:lang w:val="en-US" w:eastAsia="en-US"/>
    </w:rPr>
  </w:style>
  <w:style w:type="paragraph" w:customStyle="1" w:styleId="TOC41">
    <w:name w:val="TOC 41"/>
    <w:basedOn w:val="Normal"/>
    <w:next w:val="Normal"/>
    <w:autoRedefine/>
    <w:uiPriority w:val="39"/>
    <w:rsid w:val="005150E5"/>
    <w:pPr>
      <w:spacing w:before="0" w:line="312" w:lineRule="auto"/>
      <w:ind w:left="660"/>
      <w:jc w:val="left"/>
    </w:pPr>
    <w:rPr>
      <w:rFonts w:ascii="Calibri" w:hAnsi="Calibri" w:cs="Calibri"/>
      <w:b w:val="0"/>
      <w:sz w:val="20"/>
      <w:szCs w:val="20"/>
      <w:lang w:val="en-US" w:eastAsia="en-US"/>
    </w:rPr>
  </w:style>
  <w:style w:type="paragraph" w:customStyle="1" w:styleId="TOC51">
    <w:name w:val="TOC 51"/>
    <w:basedOn w:val="Normal"/>
    <w:next w:val="Normal"/>
    <w:autoRedefine/>
    <w:uiPriority w:val="39"/>
    <w:rsid w:val="005150E5"/>
    <w:pPr>
      <w:spacing w:before="0" w:line="312" w:lineRule="auto"/>
      <w:ind w:left="880"/>
      <w:jc w:val="left"/>
    </w:pPr>
    <w:rPr>
      <w:rFonts w:ascii="Calibri" w:hAnsi="Calibri" w:cs="Calibri"/>
      <w:b w:val="0"/>
      <w:sz w:val="20"/>
      <w:szCs w:val="20"/>
      <w:lang w:val="en-US" w:eastAsia="en-US"/>
    </w:rPr>
  </w:style>
  <w:style w:type="paragraph" w:customStyle="1" w:styleId="Title10">
    <w:name w:val="Title1"/>
    <w:basedOn w:val="Normal"/>
    <w:next w:val="Normal"/>
    <w:qFormat/>
    <w:rsid w:val="005150E5"/>
    <w:pPr>
      <w:pBdr>
        <w:bottom w:val="single" w:sz="4" w:space="1" w:color="auto"/>
      </w:pBdr>
      <w:spacing w:before="40" w:after="60" w:line="240" w:lineRule="auto"/>
    </w:pPr>
    <w:rPr>
      <w:rFonts w:ascii="Cambria" w:hAnsi="Cambria"/>
      <w:b w:val="0"/>
      <w:spacing w:val="5"/>
      <w:sz w:val="52"/>
      <w:szCs w:val="52"/>
      <w:lang w:val="en-US" w:eastAsia="en-US"/>
    </w:rPr>
  </w:style>
  <w:style w:type="paragraph" w:customStyle="1" w:styleId="PlainText1">
    <w:name w:val="Plain Text1"/>
    <w:basedOn w:val="Normal"/>
    <w:next w:val="PlainText"/>
    <w:rsid w:val="005150E5"/>
    <w:pPr>
      <w:spacing w:after="60" w:line="312" w:lineRule="auto"/>
    </w:pPr>
    <w:rPr>
      <w:rFonts w:ascii="Courier New" w:eastAsia="Calibri" w:hAnsi="Courier New"/>
      <w:b w:val="0"/>
      <w:sz w:val="20"/>
      <w:szCs w:val="20"/>
      <w:lang w:val="en-US" w:eastAsia="en-US"/>
    </w:rPr>
  </w:style>
  <w:style w:type="paragraph" w:customStyle="1" w:styleId="TOC61">
    <w:name w:val="TOC 61"/>
    <w:basedOn w:val="Normal"/>
    <w:next w:val="Normal"/>
    <w:autoRedefine/>
    <w:uiPriority w:val="39"/>
    <w:rsid w:val="005150E5"/>
    <w:pPr>
      <w:spacing w:before="0" w:line="312" w:lineRule="auto"/>
      <w:ind w:left="1100"/>
      <w:jc w:val="left"/>
    </w:pPr>
    <w:rPr>
      <w:rFonts w:ascii="Calibri" w:hAnsi="Calibri" w:cs="Calibri"/>
      <w:b w:val="0"/>
      <w:sz w:val="20"/>
      <w:szCs w:val="20"/>
      <w:lang w:val="en-US" w:eastAsia="en-US"/>
    </w:rPr>
  </w:style>
  <w:style w:type="paragraph" w:customStyle="1" w:styleId="TOC71">
    <w:name w:val="TOC 71"/>
    <w:basedOn w:val="Normal"/>
    <w:next w:val="Normal"/>
    <w:autoRedefine/>
    <w:uiPriority w:val="39"/>
    <w:rsid w:val="005150E5"/>
    <w:pPr>
      <w:spacing w:before="0" w:line="312" w:lineRule="auto"/>
      <w:ind w:left="1320"/>
      <w:jc w:val="left"/>
    </w:pPr>
    <w:rPr>
      <w:rFonts w:ascii="Calibri" w:hAnsi="Calibri" w:cs="Calibri"/>
      <w:b w:val="0"/>
      <w:sz w:val="20"/>
      <w:szCs w:val="20"/>
      <w:lang w:val="en-US" w:eastAsia="en-US"/>
    </w:rPr>
  </w:style>
  <w:style w:type="paragraph" w:customStyle="1" w:styleId="TOC81">
    <w:name w:val="TOC 81"/>
    <w:basedOn w:val="Normal"/>
    <w:next w:val="Normal"/>
    <w:autoRedefine/>
    <w:uiPriority w:val="39"/>
    <w:rsid w:val="005150E5"/>
    <w:pPr>
      <w:spacing w:before="0" w:line="312" w:lineRule="auto"/>
      <w:ind w:left="1540"/>
      <w:jc w:val="left"/>
    </w:pPr>
    <w:rPr>
      <w:rFonts w:ascii="Calibri" w:hAnsi="Calibri" w:cs="Calibri"/>
      <w:b w:val="0"/>
      <w:sz w:val="20"/>
      <w:szCs w:val="20"/>
      <w:lang w:val="en-US" w:eastAsia="en-US"/>
    </w:rPr>
  </w:style>
  <w:style w:type="paragraph" w:customStyle="1" w:styleId="TOC91">
    <w:name w:val="TOC 91"/>
    <w:basedOn w:val="Normal"/>
    <w:next w:val="Normal"/>
    <w:autoRedefine/>
    <w:uiPriority w:val="39"/>
    <w:rsid w:val="005150E5"/>
    <w:pPr>
      <w:spacing w:before="0" w:line="312" w:lineRule="auto"/>
      <w:ind w:left="1760"/>
      <w:jc w:val="left"/>
    </w:pPr>
    <w:rPr>
      <w:rFonts w:ascii="Calibri" w:hAnsi="Calibri" w:cs="Calibri"/>
      <w:b w:val="0"/>
      <w:sz w:val="20"/>
      <w:szCs w:val="20"/>
      <w:lang w:val="en-US" w:eastAsia="en-US"/>
    </w:rPr>
  </w:style>
  <w:style w:type="table" w:customStyle="1" w:styleId="TableList713">
    <w:name w:val="Table List 713"/>
    <w:basedOn w:val="TableNormal"/>
    <w:next w:val="TableList7"/>
    <w:rsid w:val="005150E5"/>
    <w:pPr>
      <w:spacing w:after="200"/>
    </w:pPr>
    <w:rPr>
      <w:rFonts w:ascii="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3">
    <w:name w:val="Table Web 313"/>
    <w:basedOn w:val="TableNormal"/>
    <w:next w:val="TableWeb3"/>
    <w:rsid w:val="005150E5"/>
    <w:pPr>
      <w:spacing w:after="200"/>
    </w:pPr>
    <w:rPr>
      <w:rFonts w:ascii="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3">
    <w:name w:val="Table Elegant13"/>
    <w:basedOn w:val="TableNormal"/>
    <w:next w:val="TableElegant"/>
    <w:rsid w:val="005150E5"/>
    <w:pPr>
      <w:spacing w:after="200"/>
    </w:pPr>
    <w:rPr>
      <w:rFonts w:ascii="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ableofFigures1">
    <w:name w:val="Table of Figures1"/>
    <w:basedOn w:val="Normal"/>
    <w:next w:val="Normal"/>
    <w:rsid w:val="005150E5"/>
    <w:pPr>
      <w:spacing w:before="40" w:after="60" w:line="312" w:lineRule="auto"/>
      <w:ind w:left="480" w:hanging="480"/>
    </w:pPr>
    <w:rPr>
      <w:b w:val="0"/>
      <w:sz w:val="20"/>
      <w:szCs w:val="22"/>
      <w:lang w:val="en-US" w:eastAsia="en-US"/>
    </w:rPr>
  </w:style>
  <w:style w:type="paragraph" w:customStyle="1" w:styleId="Subtitle1">
    <w:name w:val="Subtitle1"/>
    <w:basedOn w:val="Normal"/>
    <w:next w:val="Normal"/>
    <w:qFormat/>
    <w:rsid w:val="005150E5"/>
    <w:pPr>
      <w:spacing w:before="40" w:after="600" w:line="312" w:lineRule="auto"/>
    </w:pPr>
    <w:rPr>
      <w:rFonts w:ascii="Cambria" w:hAnsi="Cambria"/>
      <w:b w:val="0"/>
      <w:i/>
      <w:iCs/>
      <w:spacing w:val="13"/>
      <w:sz w:val="24"/>
      <w:lang w:val="en-US" w:eastAsia="en-US"/>
    </w:rPr>
  </w:style>
  <w:style w:type="paragraph" w:customStyle="1" w:styleId="Index11">
    <w:name w:val="Index 11"/>
    <w:basedOn w:val="Normal"/>
    <w:next w:val="Normal"/>
    <w:autoRedefine/>
    <w:rsid w:val="005150E5"/>
    <w:pPr>
      <w:spacing w:before="40" w:after="60" w:line="312" w:lineRule="auto"/>
      <w:ind w:left="240" w:hanging="240"/>
    </w:pPr>
    <w:rPr>
      <w:b w:val="0"/>
      <w:szCs w:val="22"/>
      <w:lang w:val="en-US" w:eastAsia="en-US"/>
    </w:rPr>
  </w:style>
  <w:style w:type="paragraph" w:customStyle="1" w:styleId="Index21">
    <w:name w:val="Index 21"/>
    <w:basedOn w:val="Normal"/>
    <w:next w:val="Normal"/>
    <w:autoRedefine/>
    <w:rsid w:val="005150E5"/>
    <w:pPr>
      <w:spacing w:before="40" w:after="60" w:line="312" w:lineRule="auto"/>
      <w:ind w:left="480" w:hanging="240"/>
    </w:pPr>
    <w:rPr>
      <w:b w:val="0"/>
      <w:szCs w:val="22"/>
      <w:lang w:val="en-US" w:eastAsia="en-US"/>
    </w:rPr>
  </w:style>
  <w:style w:type="paragraph" w:customStyle="1" w:styleId="Index31">
    <w:name w:val="Index 31"/>
    <w:basedOn w:val="Normal"/>
    <w:next w:val="Normal"/>
    <w:autoRedefine/>
    <w:rsid w:val="005150E5"/>
    <w:pPr>
      <w:spacing w:before="40" w:after="60" w:line="312" w:lineRule="auto"/>
      <w:ind w:left="720" w:hanging="240"/>
    </w:pPr>
    <w:rPr>
      <w:b w:val="0"/>
      <w:szCs w:val="22"/>
      <w:lang w:val="en-US" w:eastAsia="en-US"/>
    </w:rPr>
  </w:style>
  <w:style w:type="paragraph" w:customStyle="1" w:styleId="Index41">
    <w:name w:val="Index 41"/>
    <w:basedOn w:val="Normal"/>
    <w:next w:val="Normal"/>
    <w:autoRedefine/>
    <w:rsid w:val="005150E5"/>
    <w:pPr>
      <w:spacing w:before="40" w:after="60" w:line="312" w:lineRule="auto"/>
      <w:ind w:left="960" w:hanging="240"/>
    </w:pPr>
    <w:rPr>
      <w:b w:val="0"/>
      <w:szCs w:val="22"/>
      <w:lang w:val="en-US" w:eastAsia="en-US"/>
    </w:rPr>
  </w:style>
  <w:style w:type="paragraph" w:customStyle="1" w:styleId="Index51">
    <w:name w:val="Index 51"/>
    <w:basedOn w:val="Normal"/>
    <w:next w:val="Normal"/>
    <w:autoRedefine/>
    <w:rsid w:val="005150E5"/>
    <w:pPr>
      <w:spacing w:before="40" w:after="60" w:line="312" w:lineRule="auto"/>
      <w:ind w:left="1200" w:hanging="240"/>
    </w:pPr>
    <w:rPr>
      <w:b w:val="0"/>
      <w:szCs w:val="22"/>
      <w:lang w:val="en-US" w:eastAsia="en-US"/>
    </w:rPr>
  </w:style>
  <w:style w:type="paragraph" w:customStyle="1" w:styleId="Index61">
    <w:name w:val="Index 61"/>
    <w:basedOn w:val="Normal"/>
    <w:next w:val="Normal"/>
    <w:autoRedefine/>
    <w:rsid w:val="005150E5"/>
    <w:pPr>
      <w:spacing w:before="40" w:after="60" w:line="312" w:lineRule="auto"/>
      <w:ind w:left="1440" w:hanging="240"/>
    </w:pPr>
    <w:rPr>
      <w:b w:val="0"/>
      <w:szCs w:val="22"/>
      <w:lang w:val="en-US" w:eastAsia="en-US"/>
    </w:rPr>
  </w:style>
  <w:style w:type="paragraph" w:customStyle="1" w:styleId="Index71">
    <w:name w:val="Index 71"/>
    <w:basedOn w:val="Normal"/>
    <w:next w:val="Normal"/>
    <w:autoRedefine/>
    <w:rsid w:val="005150E5"/>
    <w:pPr>
      <w:spacing w:before="40" w:after="60" w:line="312" w:lineRule="auto"/>
      <w:ind w:left="1680" w:hanging="240"/>
    </w:pPr>
    <w:rPr>
      <w:b w:val="0"/>
      <w:szCs w:val="22"/>
      <w:lang w:val="en-US" w:eastAsia="en-US"/>
    </w:rPr>
  </w:style>
  <w:style w:type="paragraph" w:customStyle="1" w:styleId="Index81">
    <w:name w:val="Index 81"/>
    <w:basedOn w:val="Normal"/>
    <w:next w:val="Normal"/>
    <w:autoRedefine/>
    <w:rsid w:val="005150E5"/>
    <w:pPr>
      <w:spacing w:before="40" w:after="60" w:line="312" w:lineRule="auto"/>
      <w:ind w:left="1920" w:hanging="240"/>
    </w:pPr>
    <w:rPr>
      <w:b w:val="0"/>
      <w:szCs w:val="22"/>
      <w:lang w:val="en-US" w:eastAsia="en-US"/>
    </w:rPr>
  </w:style>
  <w:style w:type="paragraph" w:customStyle="1" w:styleId="Index91">
    <w:name w:val="Index 91"/>
    <w:basedOn w:val="Normal"/>
    <w:next w:val="Normal"/>
    <w:autoRedefine/>
    <w:rsid w:val="005150E5"/>
    <w:pPr>
      <w:spacing w:before="40" w:after="60" w:line="312" w:lineRule="auto"/>
      <w:ind w:left="2160" w:hanging="240"/>
    </w:pPr>
    <w:rPr>
      <w:b w:val="0"/>
      <w:szCs w:val="22"/>
      <w:lang w:val="en-US" w:eastAsia="en-US"/>
    </w:rPr>
  </w:style>
  <w:style w:type="paragraph" w:customStyle="1" w:styleId="IndexHeading1">
    <w:name w:val="Index Heading1"/>
    <w:basedOn w:val="Normal"/>
    <w:next w:val="Index1"/>
    <w:rsid w:val="005150E5"/>
    <w:pPr>
      <w:spacing w:before="40" w:after="60" w:line="312" w:lineRule="auto"/>
    </w:pPr>
    <w:rPr>
      <w:b w:val="0"/>
      <w:szCs w:val="22"/>
      <w:lang w:val="en-US" w:eastAsia="en-US"/>
    </w:rPr>
  </w:style>
  <w:style w:type="paragraph" w:customStyle="1" w:styleId="NormalIndent1">
    <w:name w:val="Normal Indent1"/>
    <w:basedOn w:val="Normal"/>
    <w:next w:val="NormalIndent"/>
    <w:rsid w:val="005150E5"/>
    <w:pPr>
      <w:tabs>
        <w:tab w:val="left" w:pos="1134"/>
        <w:tab w:val="left" w:pos="1701"/>
        <w:tab w:val="left" w:pos="2835"/>
        <w:tab w:val="left" w:pos="5103"/>
        <w:tab w:val="left" w:pos="7371"/>
        <w:tab w:val="right" w:pos="9639"/>
      </w:tabs>
      <w:spacing w:before="40" w:after="60" w:line="312" w:lineRule="auto"/>
      <w:ind w:left="1134"/>
    </w:pPr>
    <w:rPr>
      <w:b w:val="0"/>
      <w:szCs w:val="22"/>
      <w:lang w:val="en-GB" w:eastAsia="en-US"/>
    </w:rPr>
  </w:style>
  <w:style w:type="paragraph" w:customStyle="1" w:styleId="webb1">
    <w:name w:val="webb1"/>
    <w:basedOn w:val="Normal"/>
    <w:next w:val="NormalWeb"/>
    <w:uiPriority w:val="99"/>
    <w:qFormat/>
    <w:rsid w:val="005150E5"/>
    <w:pPr>
      <w:spacing w:before="100" w:after="100" w:line="312" w:lineRule="auto"/>
    </w:pPr>
    <w:rPr>
      <w:b w:val="0"/>
      <w:szCs w:val="20"/>
      <w:lang w:val="en-US" w:eastAsia="en-US"/>
    </w:rPr>
  </w:style>
  <w:style w:type="table" w:customStyle="1" w:styleId="TableWeb213">
    <w:name w:val="Table Web 213"/>
    <w:basedOn w:val="TableNormal"/>
    <w:next w:val="TableWeb2"/>
    <w:rsid w:val="005150E5"/>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3">
    <w:name w:val="Table Web 113"/>
    <w:basedOn w:val="TableNormal"/>
    <w:next w:val="TableWeb1"/>
    <w:rsid w:val="005150E5"/>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istBullet21">
    <w:name w:val="List Bullet 21"/>
    <w:basedOn w:val="Normal"/>
    <w:next w:val="ListBullet2"/>
    <w:autoRedefine/>
    <w:rsid w:val="005150E5"/>
    <w:pPr>
      <w:spacing w:before="40" w:after="60" w:line="312" w:lineRule="auto"/>
      <w:ind w:left="720" w:hanging="360"/>
    </w:pPr>
    <w:rPr>
      <w:b w:val="0"/>
      <w:szCs w:val="22"/>
      <w:lang w:val="en-US" w:eastAsia="en-US"/>
    </w:rPr>
  </w:style>
  <w:style w:type="paragraph" w:customStyle="1" w:styleId="BodyTextFirstIndent1">
    <w:name w:val="Body Text First Indent1"/>
    <w:basedOn w:val="BodyText"/>
    <w:next w:val="BodyTextFirstIndent"/>
    <w:rsid w:val="005150E5"/>
    <w:pPr>
      <w:spacing w:before="40" w:after="120" w:line="312" w:lineRule="auto"/>
      <w:ind w:firstLine="210"/>
      <w:jc w:val="both"/>
    </w:pPr>
    <w:rPr>
      <w:rFonts w:ascii="GHEA Grapalat" w:eastAsia="Calibri" w:hAnsi="GHEA Grapalat"/>
      <w:b w:val="0"/>
      <w:sz w:val="22"/>
      <w:szCs w:val="22"/>
    </w:rPr>
  </w:style>
  <w:style w:type="table" w:customStyle="1" w:styleId="TableGrid813">
    <w:name w:val="Table Grid 813"/>
    <w:basedOn w:val="TableNormal"/>
    <w:next w:val="TableGrid8"/>
    <w:rsid w:val="005150E5"/>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3">
    <w:name w:val="Table Contemporary13"/>
    <w:basedOn w:val="TableNormal"/>
    <w:next w:val="TableContemporary"/>
    <w:rsid w:val="005150E5"/>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60">
    <w:name w:val="Знак Знак6"/>
    <w:basedOn w:val="Normal"/>
    <w:link w:val="Char31"/>
    <w:rsid w:val="005150E5"/>
    <w:pPr>
      <w:spacing w:before="40" w:after="60" w:line="240" w:lineRule="exact"/>
    </w:pPr>
    <w:rPr>
      <w:rFonts w:ascii="Arial" w:hAnsi="Arial" w:cs="Arial"/>
      <w:b w:val="0"/>
      <w:sz w:val="20"/>
      <w:szCs w:val="20"/>
      <w:lang w:val="en-GB" w:eastAsia="en-US"/>
    </w:rPr>
  </w:style>
  <w:style w:type="character" w:customStyle="1" w:styleId="Char31">
    <w:name w:val="Знак Знак Char3"/>
    <w:link w:val="60"/>
    <w:rsid w:val="005150E5"/>
    <w:rPr>
      <w:rFonts w:ascii="Arial" w:hAnsi="Arial" w:cs="Arial"/>
      <w:lang w:val="en-GB"/>
    </w:rPr>
  </w:style>
  <w:style w:type="paragraph" w:customStyle="1" w:styleId="DocumentMap1">
    <w:name w:val="Document Map1"/>
    <w:basedOn w:val="Normal"/>
    <w:next w:val="DocumentMap"/>
    <w:link w:val="DocumentMapChar1"/>
    <w:uiPriority w:val="99"/>
    <w:rsid w:val="005150E5"/>
    <w:pPr>
      <w:shd w:val="clear" w:color="auto" w:fill="000080"/>
      <w:overflowPunct w:val="0"/>
      <w:autoSpaceDE w:val="0"/>
      <w:autoSpaceDN w:val="0"/>
      <w:adjustRightInd w:val="0"/>
      <w:spacing w:before="40" w:after="60" w:line="312" w:lineRule="auto"/>
      <w:textAlignment w:val="baseline"/>
    </w:pPr>
    <w:rPr>
      <w:rFonts w:ascii="Tahoma" w:hAnsi="Tahoma"/>
      <w:b w:val="0"/>
      <w:sz w:val="24"/>
      <w:szCs w:val="20"/>
      <w:lang w:val="en-GB"/>
    </w:rPr>
  </w:style>
  <w:style w:type="paragraph" w:customStyle="1" w:styleId="CharChar39">
    <w:name w:val="Char Char39"/>
    <w:basedOn w:val="Normal"/>
    <w:rsid w:val="005150E5"/>
    <w:pPr>
      <w:spacing w:before="40" w:after="60" w:line="240" w:lineRule="exact"/>
    </w:pPr>
    <w:rPr>
      <w:rFonts w:ascii="Arial" w:hAnsi="Arial" w:cs="Arial"/>
      <w:b w:val="0"/>
      <w:sz w:val="20"/>
      <w:szCs w:val="20"/>
      <w:lang w:val="en-US" w:eastAsia="en-US"/>
    </w:rPr>
  </w:style>
  <w:style w:type="paragraph" w:customStyle="1" w:styleId="CharCharChar30">
    <w:name w:val="Char Char Char3"/>
    <w:basedOn w:val="Normal"/>
    <w:rsid w:val="005150E5"/>
    <w:pPr>
      <w:spacing w:before="40" w:after="60" w:line="240" w:lineRule="exact"/>
    </w:pPr>
    <w:rPr>
      <w:rFonts w:ascii="Arial" w:hAnsi="Arial" w:cs="Arial"/>
      <w:b w:val="0"/>
      <w:sz w:val="20"/>
      <w:szCs w:val="20"/>
      <w:lang w:val="en-US" w:eastAsia="en-US"/>
    </w:rPr>
  </w:style>
  <w:style w:type="paragraph" w:customStyle="1" w:styleId="Znak3">
    <w:name w:val="Znak3"/>
    <w:basedOn w:val="Normal"/>
    <w:rsid w:val="005150E5"/>
    <w:pPr>
      <w:tabs>
        <w:tab w:val="left" w:pos="709"/>
      </w:tabs>
      <w:spacing w:before="40" w:after="60" w:line="312" w:lineRule="auto"/>
    </w:pPr>
    <w:rPr>
      <w:rFonts w:ascii="Tahoma" w:hAnsi="Tahoma"/>
      <w:b w:val="0"/>
      <w:szCs w:val="22"/>
      <w:lang w:val="pl-PL" w:eastAsia="pl-PL"/>
    </w:rPr>
  </w:style>
  <w:style w:type="paragraph" w:customStyle="1" w:styleId="CharCharCharCharCharCharCharCharCharCharCharCharChar3">
    <w:name w:val="Char Char Char Char Char Char Char Char Char Char Char Char Char3"/>
    <w:basedOn w:val="Normal"/>
    <w:rsid w:val="005150E5"/>
    <w:pPr>
      <w:spacing w:before="40" w:after="60" w:line="240" w:lineRule="exact"/>
    </w:pPr>
    <w:rPr>
      <w:rFonts w:ascii="Arial" w:hAnsi="Arial" w:cs="Arial"/>
      <w:b w:val="0"/>
      <w:sz w:val="20"/>
      <w:szCs w:val="20"/>
      <w:lang w:val="en-US" w:eastAsia="en-US"/>
    </w:rPr>
  </w:style>
  <w:style w:type="paragraph" w:customStyle="1" w:styleId="Char32">
    <w:name w:val="Знак Знак Знак Знак Знак Знак Знак Знак Знак Знак Знак Знак Знак Знак Знак Знак Знак Знак Char Знак Знак3"/>
    <w:basedOn w:val="Normal"/>
    <w:autoRedefine/>
    <w:rsid w:val="005150E5"/>
    <w:pPr>
      <w:spacing w:before="40" w:after="60" w:line="240" w:lineRule="exact"/>
    </w:pPr>
    <w:rPr>
      <w:b w:val="0"/>
      <w:sz w:val="28"/>
      <w:szCs w:val="20"/>
      <w:lang w:val="en-US" w:eastAsia="en-US"/>
    </w:rPr>
  </w:style>
  <w:style w:type="paragraph" w:customStyle="1" w:styleId="CharCharChar31">
    <w:name w:val="Char Char Char Знак3"/>
    <w:basedOn w:val="Normal"/>
    <w:next w:val="Normal"/>
    <w:rsid w:val="005150E5"/>
    <w:pPr>
      <w:spacing w:before="40" w:after="60" w:line="240" w:lineRule="exact"/>
    </w:pPr>
    <w:rPr>
      <w:rFonts w:ascii="Tahoma" w:hAnsi="Tahoma"/>
      <w:b w:val="0"/>
      <w:szCs w:val="20"/>
      <w:lang w:val="en-US" w:eastAsia="en-US"/>
    </w:rPr>
  </w:style>
  <w:style w:type="paragraph" w:customStyle="1" w:styleId="ListContinue21">
    <w:name w:val="List Continue 21"/>
    <w:basedOn w:val="Normal"/>
    <w:next w:val="ListContinue2"/>
    <w:rsid w:val="005150E5"/>
    <w:pPr>
      <w:spacing w:before="40" w:after="120" w:line="312" w:lineRule="auto"/>
      <w:ind w:left="720"/>
    </w:pPr>
    <w:rPr>
      <w:b w:val="0"/>
      <w:szCs w:val="22"/>
      <w:lang w:val="en-US" w:eastAsia="en-US"/>
    </w:rPr>
  </w:style>
  <w:style w:type="paragraph" w:customStyle="1" w:styleId="CharCharCharCharCharCharCharChar3">
    <w:name w:val="Char Char Char Char Char Char Char Char3"/>
    <w:basedOn w:val="Normal"/>
    <w:rsid w:val="005150E5"/>
    <w:pPr>
      <w:spacing w:before="40" w:after="60" w:line="240" w:lineRule="exact"/>
    </w:pPr>
    <w:rPr>
      <w:rFonts w:ascii="Arial" w:hAnsi="Arial" w:cs="Arial"/>
      <w:b w:val="0"/>
      <w:sz w:val="20"/>
      <w:szCs w:val="20"/>
      <w:lang w:val="en-US" w:eastAsia="en-US"/>
    </w:rPr>
  </w:style>
  <w:style w:type="paragraph" w:customStyle="1" w:styleId="CharCharCharCharCharCharCharCharCharCharCharCharCharCharChar6">
    <w:name w:val="Char Char Char Char Знак Char Знак Char Char Char Char Char Char Char Char Char Char6"/>
    <w:basedOn w:val="Normal"/>
    <w:rsid w:val="005150E5"/>
    <w:pPr>
      <w:tabs>
        <w:tab w:val="left" w:pos="709"/>
      </w:tabs>
      <w:spacing w:before="40" w:after="60" w:line="312" w:lineRule="auto"/>
    </w:pPr>
    <w:rPr>
      <w:rFonts w:ascii="Tahoma" w:hAnsi="Tahoma"/>
      <w:b w:val="0"/>
      <w:szCs w:val="22"/>
      <w:lang w:val="pl-PL" w:eastAsia="pl-PL"/>
    </w:rPr>
  </w:style>
  <w:style w:type="paragraph" w:customStyle="1" w:styleId="CharCharCharCharCharCharChar3">
    <w:name w:val="Char Char Char Char Char Char Char3"/>
    <w:basedOn w:val="Normal"/>
    <w:rsid w:val="005150E5"/>
    <w:pPr>
      <w:spacing w:before="40" w:after="60" w:line="240" w:lineRule="exact"/>
    </w:pPr>
    <w:rPr>
      <w:rFonts w:ascii="Arial" w:hAnsi="Arial" w:cs="Arial"/>
      <w:b w:val="0"/>
      <w:sz w:val="20"/>
      <w:szCs w:val="20"/>
      <w:lang w:val="en-US" w:eastAsia="en-US"/>
    </w:rPr>
  </w:style>
  <w:style w:type="paragraph" w:customStyle="1" w:styleId="CharCharChar32">
    <w:name w:val="Char Char Char Знак Знак3"/>
    <w:basedOn w:val="Normal"/>
    <w:rsid w:val="005150E5"/>
    <w:pPr>
      <w:spacing w:before="40" w:after="60" w:line="240" w:lineRule="exact"/>
    </w:pPr>
    <w:rPr>
      <w:rFonts w:ascii="Arial" w:hAnsi="Arial" w:cs="Arial"/>
      <w:b w:val="0"/>
      <w:sz w:val="20"/>
      <w:szCs w:val="20"/>
      <w:lang w:val="en-US" w:eastAsia="en-US"/>
    </w:rPr>
  </w:style>
  <w:style w:type="paragraph" w:customStyle="1" w:styleId="CharCharCharCharCharCharCharCharCharChar3">
    <w:name w:val="Char Char Char Char Char Char Char Char Char Char3"/>
    <w:basedOn w:val="Normal"/>
    <w:rsid w:val="005150E5"/>
    <w:pPr>
      <w:spacing w:before="40" w:after="60" w:line="240" w:lineRule="exact"/>
    </w:pPr>
    <w:rPr>
      <w:rFonts w:ascii="Arial" w:hAnsi="Arial" w:cs="Arial"/>
      <w:b w:val="0"/>
      <w:sz w:val="20"/>
      <w:szCs w:val="20"/>
      <w:lang w:val="en-US" w:eastAsia="en-US"/>
    </w:rPr>
  </w:style>
  <w:style w:type="paragraph" w:customStyle="1" w:styleId="1CharChar3">
    <w:name w:val="Знак Знак1 Char Char Знак Знак3"/>
    <w:basedOn w:val="Normal"/>
    <w:rsid w:val="005150E5"/>
    <w:pPr>
      <w:tabs>
        <w:tab w:val="num" w:pos="840"/>
      </w:tabs>
      <w:spacing w:before="40" w:after="60" w:line="240" w:lineRule="exact"/>
      <w:ind w:left="840" w:hanging="360"/>
    </w:pPr>
    <w:rPr>
      <w:rFonts w:ascii="Verdana" w:hAnsi="Verdana"/>
      <w:b w:val="0"/>
      <w:sz w:val="20"/>
      <w:szCs w:val="20"/>
      <w:lang w:eastAsia="en-US"/>
    </w:rPr>
  </w:style>
  <w:style w:type="paragraph" w:customStyle="1" w:styleId="CharCharCharChar3">
    <w:name w:val="Знак Знак Char Char Знак Знак Char Char Знак Знак3"/>
    <w:basedOn w:val="Normal"/>
    <w:autoRedefine/>
    <w:rsid w:val="005150E5"/>
    <w:pPr>
      <w:spacing w:before="40" w:after="60" w:line="240" w:lineRule="exact"/>
    </w:pPr>
    <w:rPr>
      <w:b w:val="0"/>
      <w:sz w:val="28"/>
      <w:szCs w:val="20"/>
      <w:lang w:val="en-US" w:eastAsia="en-US"/>
    </w:rPr>
  </w:style>
  <w:style w:type="paragraph" w:customStyle="1" w:styleId="CharCharChar1Char3">
    <w:name w:val="Char Char Char1 Char3"/>
    <w:basedOn w:val="Normal"/>
    <w:rsid w:val="005150E5"/>
    <w:pPr>
      <w:spacing w:before="40" w:after="60" w:line="240" w:lineRule="exact"/>
    </w:pPr>
    <w:rPr>
      <w:rFonts w:ascii="Arial" w:hAnsi="Arial" w:cs="Arial"/>
      <w:b w:val="0"/>
      <w:sz w:val="20"/>
      <w:szCs w:val="20"/>
      <w:lang w:val="en-US" w:eastAsia="en-US"/>
    </w:rPr>
  </w:style>
  <w:style w:type="paragraph" w:customStyle="1" w:styleId="133">
    <w:name w:val="Знак Знак13"/>
    <w:basedOn w:val="Normal"/>
    <w:rsid w:val="005150E5"/>
    <w:pPr>
      <w:spacing w:before="40" w:after="60" w:line="240" w:lineRule="exact"/>
    </w:pPr>
    <w:rPr>
      <w:rFonts w:ascii="Arial" w:eastAsia="MS Mincho" w:hAnsi="Arial" w:cs="Arial"/>
      <w:b w:val="0"/>
      <w:sz w:val="20"/>
      <w:szCs w:val="20"/>
      <w:lang w:val="en-US" w:eastAsia="en-US"/>
    </w:rPr>
  </w:style>
  <w:style w:type="paragraph" w:customStyle="1" w:styleId="CharCharCharCharChar30">
    <w:name w:val="Char Char Char Char Char Знак Знак3"/>
    <w:basedOn w:val="Normal"/>
    <w:rsid w:val="005150E5"/>
    <w:pPr>
      <w:spacing w:before="40" w:after="60" w:line="240" w:lineRule="exact"/>
    </w:pPr>
    <w:rPr>
      <w:rFonts w:ascii="Arial" w:hAnsi="Arial" w:cs="Arial"/>
      <w:b w:val="0"/>
      <w:sz w:val="20"/>
      <w:szCs w:val="20"/>
      <w:lang w:val="en-US" w:eastAsia="en-US"/>
    </w:rPr>
  </w:style>
  <w:style w:type="paragraph" w:customStyle="1" w:styleId="CharChar1CharCharChar1Char3">
    <w:name w:val="Char Char1 Char Char Char1 Char3"/>
    <w:basedOn w:val="Normal"/>
    <w:autoRedefine/>
    <w:rsid w:val="005150E5"/>
    <w:pPr>
      <w:spacing w:before="40" w:after="60" w:line="312" w:lineRule="auto"/>
    </w:pPr>
    <w:rPr>
      <w:rFonts w:eastAsia="SimSun"/>
      <w:b w:val="0"/>
      <w:sz w:val="20"/>
      <w:szCs w:val="20"/>
      <w:lang w:val="en-US"/>
    </w:rPr>
  </w:style>
  <w:style w:type="paragraph" w:customStyle="1" w:styleId="430">
    <w:name w:val="Знак Знак43"/>
    <w:basedOn w:val="Normal"/>
    <w:rsid w:val="005150E5"/>
    <w:pPr>
      <w:tabs>
        <w:tab w:val="left" w:pos="709"/>
      </w:tabs>
      <w:spacing w:before="40" w:after="60" w:line="312" w:lineRule="auto"/>
    </w:pPr>
    <w:rPr>
      <w:rFonts w:ascii="Tahoma" w:hAnsi="Tahoma"/>
      <w:b w:val="0"/>
      <w:szCs w:val="22"/>
      <w:lang w:val="pl-PL" w:eastAsia="pl-PL"/>
    </w:rPr>
  </w:style>
  <w:style w:type="paragraph" w:customStyle="1" w:styleId="Char33">
    <w:name w:val="Знак Char Знак3"/>
    <w:basedOn w:val="Normal"/>
    <w:rsid w:val="005150E5"/>
    <w:pPr>
      <w:spacing w:before="40" w:after="60" w:line="240" w:lineRule="exact"/>
    </w:pPr>
    <w:rPr>
      <w:rFonts w:ascii="Arial" w:eastAsia="Batang" w:hAnsi="Arial" w:cs="Arial"/>
      <w:b w:val="0"/>
      <w:sz w:val="20"/>
      <w:szCs w:val="20"/>
      <w:lang w:val="en-US" w:eastAsia="en-US"/>
    </w:rPr>
  </w:style>
  <w:style w:type="paragraph" w:customStyle="1" w:styleId="CharCharCharCharCharChar3">
    <w:name w:val="Знак Знак Char Char Знак Знак Char Char Знак Знак Char Char3"/>
    <w:basedOn w:val="Normal"/>
    <w:autoRedefine/>
    <w:rsid w:val="005150E5"/>
    <w:pPr>
      <w:spacing w:before="40" w:after="60" w:line="240" w:lineRule="exact"/>
    </w:pPr>
    <w:rPr>
      <w:b w:val="0"/>
      <w:sz w:val="28"/>
      <w:szCs w:val="20"/>
      <w:lang w:val="en-US" w:eastAsia="en-US"/>
    </w:rPr>
  </w:style>
  <w:style w:type="paragraph" w:customStyle="1" w:styleId="230">
    <w:name w:val="Знак Знак23"/>
    <w:basedOn w:val="Normal"/>
    <w:rsid w:val="005150E5"/>
    <w:pPr>
      <w:spacing w:before="40" w:after="60" w:line="240" w:lineRule="exact"/>
    </w:pPr>
    <w:rPr>
      <w:rFonts w:ascii="Arial" w:hAnsi="Arial" w:cs="Arial"/>
      <w:b w:val="0"/>
      <w:sz w:val="20"/>
      <w:szCs w:val="20"/>
      <w:lang w:val="en-US" w:eastAsia="en-US"/>
    </w:rPr>
  </w:style>
  <w:style w:type="paragraph" w:customStyle="1" w:styleId="CharCharCharCharChar31">
    <w:name w:val="Char Char Char Char Char3"/>
    <w:basedOn w:val="Normal"/>
    <w:rsid w:val="005150E5"/>
    <w:pPr>
      <w:spacing w:before="40" w:after="60" w:line="240" w:lineRule="exact"/>
    </w:pPr>
    <w:rPr>
      <w:rFonts w:ascii="Arial" w:hAnsi="Arial" w:cs="Arial"/>
      <w:b w:val="0"/>
      <w:sz w:val="20"/>
      <w:szCs w:val="20"/>
      <w:lang w:val="en-US" w:eastAsia="en-US"/>
    </w:rPr>
  </w:style>
  <w:style w:type="numbering" w:customStyle="1" w:styleId="NoList1120">
    <w:name w:val="No List1120"/>
    <w:next w:val="NoList"/>
    <w:semiHidden/>
    <w:unhideWhenUsed/>
    <w:rsid w:val="005150E5"/>
  </w:style>
  <w:style w:type="numbering" w:customStyle="1" w:styleId="NoList216">
    <w:name w:val="No List216"/>
    <w:next w:val="NoList"/>
    <w:semiHidden/>
    <w:unhideWhenUsed/>
    <w:rsid w:val="005150E5"/>
  </w:style>
  <w:style w:type="numbering" w:customStyle="1" w:styleId="NoList315">
    <w:name w:val="No List315"/>
    <w:next w:val="NoList"/>
    <w:semiHidden/>
    <w:unhideWhenUsed/>
    <w:rsid w:val="005150E5"/>
  </w:style>
  <w:style w:type="paragraph" w:customStyle="1" w:styleId="ListNumber1">
    <w:name w:val="List Number1"/>
    <w:basedOn w:val="Normal"/>
    <w:next w:val="ListNumber"/>
    <w:rsid w:val="005150E5"/>
    <w:pPr>
      <w:spacing w:before="40" w:after="60" w:line="312" w:lineRule="auto"/>
      <w:ind w:left="720" w:hanging="360"/>
    </w:pPr>
    <w:rPr>
      <w:b w:val="0"/>
      <w:szCs w:val="22"/>
      <w:lang w:val="en-US" w:eastAsia="en-US"/>
    </w:rPr>
  </w:style>
  <w:style w:type="paragraph" w:customStyle="1" w:styleId="CharChar113">
    <w:name w:val="Char Char113"/>
    <w:basedOn w:val="Normal"/>
    <w:rsid w:val="005150E5"/>
    <w:pPr>
      <w:spacing w:before="40" w:after="60" w:line="240" w:lineRule="exact"/>
    </w:pPr>
    <w:rPr>
      <w:rFonts w:ascii="Arial" w:hAnsi="Arial" w:cs="Arial"/>
      <w:b w:val="0"/>
      <w:sz w:val="20"/>
      <w:szCs w:val="20"/>
      <w:lang w:val="en-US" w:eastAsia="en-US"/>
    </w:rPr>
  </w:style>
  <w:style w:type="character" w:customStyle="1" w:styleId="CharChar163">
    <w:name w:val="Char Char163"/>
    <w:uiPriority w:val="99"/>
    <w:rsid w:val="005150E5"/>
    <w:rPr>
      <w:rFonts w:ascii="Times New Roman" w:hAnsi="Times New Roman"/>
      <w:b/>
      <w:sz w:val="20"/>
      <w:lang w:val="en-GB"/>
    </w:rPr>
  </w:style>
  <w:style w:type="character" w:customStyle="1" w:styleId="CharChar53">
    <w:name w:val="Char Char53"/>
    <w:uiPriority w:val="99"/>
    <w:rsid w:val="005150E5"/>
    <w:rPr>
      <w:rFonts w:ascii="Times New Roman" w:hAnsi="Times New Roman"/>
      <w:sz w:val="20"/>
      <w:lang w:val="en-GB"/>
    </w:rPr>
  </w:style>
  <w:style w:type="paragraph" w:customStyle="1" w:styleId="CharCharCharCharCharChar2">
    <w:name w:val="Char Char Char Char Char Char2"/>
    <w:basedOn w:val="Normal"/>
    <w:rsid w:val="005150E5"/>
    <w:pPr>
      <w:spacing w:before="40" w:after="60" w:line="240" w:lineRule="exact"/>
    </w:pPr>
    <w:rPr>
      <w:rFonts w:ascii="Arial" w:eastAsia="Calibri" w:hAnsi="Arial" w:cs="Arial"/>
      <w:b w:val="0"/>
      <w:sz w:val="20"/>
      <w:szCs w:val="20"/>
      <w:lang w:val="en-US" w:eastAsia="en-US"/>
    </w:rPr>
  </w:style>
  <w:style w:type="paragraph" w:customStyle="1" w:styleId="3a">
    <w:name w:val="Знак3"/>
    <w:basedOn w:val="Normal"/>
    <w:rsid w:val="005150E5"/>
    <w:pPr>
      <w:spacing w:before="40" w:after="60" w:line="240" w:lineRule="exact"/>
    </w:pPr>
    <w:rPr>
      <w:rFonts w:ascii="Arial" w:eastAsia="Calibri" w:hAnsi="Arial" w:cs="Arial"/>
      <w:b w:val="0"/>
      <w:sz w:val="20"/>
      <w:szCs w:val="20"/>
      <w:lang w:val="en-GB" w:eastAsia="en-US"/>
    </w:rPr>
  </w:style>
  <w:style w:type="paragraph" w:customStyle="1" w:styleId="BodyText11">
    <w:name w:val="Body Text11"/>
    <w:basedOn w:val="Normal"/>
    <w:rsid w:val="005150E5"/>
    <w:pPr>
      <w:tabs>
        <w:tab w:val="num" w:pos="0"/>
      </w:tabs>
      <w:spacing w:before="40" w:after="240" w:line="312" w:lineRule="auto"/>
    </w:pPr>
    <w:rPr>
      <w:rFonts w:ascii="Times Armenian" w:hAnsi="Times Armenian"/>
      <w:b w:val="0"/>
      <w:szCs w:val="22"/>
      <w:lang w:val="en-US"/>
    </w:rPr>
  </w:style>
  <w:style w:type="table" w:customStyle="1" w:styleId="LightList-Accent1113">
    <w:name w:val="Light List - Accent 1113"/>
    <w:basedOn w:val="TableNormal"/>
    <w:next w:val="LightList-Accent1"/>
    <w:uiPriority w:val="61"/>
    <w:rsid w:val="005150E5"/>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3">
    <w:name w:val="Table Grid 713"/>
    <w:basedOn w:val="TableNormal"/>
    <w:next w:val="TableGrid7"/>
    <w:rsid w:val="005150E5"/>
    <w:pPr>
      <w:spacing w:after="200"/>
    </w:pPr>
    <w:rPr>
      <w:rFonts w:ascii="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18">
    <w:name w:val="Colorful Grid - Accent 118"/>
    <w:basedOn w:val="TableNormal"/>
    <w:next w:val="ColorfulGrid-Accent1"/>
    <w:rsid w:val="005150E5"/>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8">
    <w:name w:val="Light List - Accent 518"/>
    <w:basedOn w:val="TableNormal"/>
    <w:next w:val="LightList-Accent5"/>
    <w:rsid w:val="005150E5"/>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3">
    <w:name w:val="Table Simple 313"/>
    <w:basedOn w:val="TableNormal"/>
    <w:next w:val="TableSimple3"/>
    <w:rsid w:val="005150E5"/>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3">
    <w:name w:val="Table Grid 513"/>
    <w:basedOn w:val="TableNormal"/>
    <w:next w:val="TableGrid5"/>
    <w:rsid w:val="005150E5"/>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3">
    <w:name w:val="Table Grid 313"/>
    <w:basedOn w:val="TableNormal"/>
    <w:next w:val="TableGrid3"/>
    <w:rsid w:val="005150E5"/>
    <w:pPr>
      <w:spacing w:after="200"/>
    </w:pPr>
    <w:rPr>
      <w:rFonts w:ascii="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30">
    <w:name w:val="Table Grid 113"/>
    <w:basedOn w:val="TableNormal"/>
    <w:next w:val="TableGrid10"/>
    <w:rsid w:val="005150E5"/>
    <w:pPr>
      <w:spacing w:after="200"/>
    </w:pPr>
    <w:rPr>
      <w:rFonts w:ascii="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3">
    <w:name w:val="Table Columns 513"/>
    <w:basedOn w:val="TableNormal"/>
    <w:next w:val="TableColumns5"/>
    <w:rsid w:val="005150E5"/>
    <w:pPr>
      <w:spacing w:after="200"/>
    </w:pPr>
    <w:rPr>
      <w:rFonts w:ascii="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numbering" w:customStyle="1" w:styleId="190">
    <w:name w:val="Нет списка19"/>
    <w:next w:val="NoList"/>
    <w:semiHidden/>
    <w:unhideWhenUsed/>
    <w:rsid w:val="005150E5"/>
  </w:style>
  <w:style w:type="paragraph" w:customStyle="1" w:styleId="List1">
    <w:name w:val="List1"/>
    <w:basedOn w:val="BodyText"/>
    <w:next w:val="List"/>
    <w:rsid w:val="005150E5"/>
    <w:pPr>
      <w:suppressAutoHyphens/>
      <w:spacing w:before="40" w:after="120" w:line="288" w:lineRule="auto"/>
      <w:jc w:val="both"/>
    </w:pPr>
    <w:rPr>
      <w:rFonts w:ascii="GHEA Grapalat" w:hAnsi="GHEA Grapalat" w:cs="GHEA Grapalat"/>
      <w:b w:val="0"/>
      <w:kern w:val="1"/>
      <w:sz w:val="22"/>
      <w:szCs w:val="22"/>
      <w:lang w:val="en-US" w:eastAsia="en-US"/>
    </w:rPr>
  </w:style>
  <w:style w:type="character" w:customStyle="1" w:styleId="CharChar123">
    <w:name w:val="Char Char123"/>
    <w:rsid w:val="005150E5"/>
    <w:rPr>
      <w:sz w:val="22"/>
      <w:lang w:val="en-GB" w:eastAsia="en-US" w:bidi="ar-SA"/>
    </w:rPr>
  </w:style>
  <w:style w:type="paragraph" w:customStyle="1" w:styleId="IntenseQuote1">
    <w:name w:val="Intense Quote1"/>
    <w:basedOn w:val="Normal"/>
    <w:next w:val="Normal"/>
    <w:qFormat/>
    <w:rsid w:val="005150E5"/>
    <w:pPr>
      <w:pBdr>
        <w:bottom w:val="single" w:sz="4" w:space="1" w:color="auto"/>
      </w:pBdr>
      <w:spacing w:before="200" w:after="280" w:line="312" w:lineRule="auto"/>
      <w:ind w:left="1008" w:right="1152"/>
    </w:pPr>
    <w:rPr>
      <w:bCs/>
      <w:i/>
      <w:iCs/>
      <w:szCs w:val="22"/>
      <w:lang w:val="en-US" w:eastAsia="en-US"/>
    </w:rPr>
  </w:style>
  <w:style w:type="character" w:customStyle="1" w:styleId="CharChar213">
    <w:name w:val="Char Char213"/>
    <w:locked/>
    <w:rsid w:val="005150E5"/>
    <w:rPr>
      <w:sz w:val="22"/>
      <w:lang w:val="en-GB" w:eastAsia="en-US"/>
    </w:rPr>
  </w:style>
  <w:style w:type="character" w:customStyle="1" w:styleId="CharChar222">
    <w:name w:val="Char Char222"/>
    <w:rsid w:val="005150E5"/>
    <w:rPr>
      <w:rFonts w:cs="Times New Roman"/>
      <w:lang w:val="ru-RU" w:eastAsia="ru-RU" w:bidi="ar-SA"/>
    </w:rPr>
  </w:style>
  <w:style w:type="numbering" w:customStyle="1" w:styleId="NoList413">
    <w:name w:val="No List413"/>
    <w:next w:val="NoList"/>
    <w:semiHidden/>
    <w:rsid w:val="005150E5"/>
  </w:style>
  <w:style w:type="character" w:customStyle="1" w:styleId="CharChar182">
    <w:name w:val="Char Char182"/>
    <w:rsid w:val="005150E5"/>
    <w:rPr>
      <w:rFonts w:ascii="Arial Armenian" w:eastAsia="Times New Roman" w:hAnsi="Arial Armenian"/>
      <w:i/>
      <w:sz w:val="22"/>
      <w:u w:val="single"/>
      <w:lang w:val="en-GB"/>
    </w:rPr>
  </w:style>
  <w:style w:type="character" w:customStyle="1" w:styleId="CharChar192">
    <w:name w:val="Char Char192"/>
    <w:rsid w:val="005150E5"/>
    <w:rPr>
      <w:b/>
      <w:sz w:val="32"/>
      <w:lang w:val="en-GB" w:eastAsia="en-US" w:bidi="ar-SA"/>
    </w:rPr>
  </w:style>
  <w:style w:type="character" w:customStyle="1" w:styleId="CharChar202">
    <w:name w:val="Char Char202"/>
    <w:rsid w:val="005150E5"/>
    <w:rPr>
      <w:rFonts w:ascii="Garamond" w:hAnsi="Garamond"/>
      <w:i/>
      <w:spacing w:val="-5"/>
      <w:sz w:val="28"/>
      <w:lang w:val="en-GB" w:eastAsia="en-US" w:bidi="ar-SA"/>
    </w:rPr>
  </w:style>
  <w:style w:type="numbering" w:customStyle="1" w:styleId="NoList11115">
    <w:name w:val="No List11115"/>
    <w:next w:val="NoList"/>
    <w:semiHidden/>
    <w:unhideWhenUsed/>
    <w:rsid w:val="005150E5"/>
  </w:style>
  <w:style w:type="character" w:customStyle="1" w:styleId="CharChar172">
    <w:name w:val="Char Char172"/>
    <w:rsid w:val="005150E5"/>
    <w:rPr>
      <w:rFonts w:ascii="Arial Armenian" w:hAnsi="Arial Armenian"/>
      <w:i/>
      <w:sz w:val="22"/>
      <w:u w:val="single"/>
      <w:lang w:val="en-GB" w:eastAsia="en-US" w:bidi="ar-SA"/>
    </w:rPr>
  </w:style>
  <w:style w:type="character" w:customStyle="1" w:styleId="CharChar282">
    <w:name w:val="Char Char282"/>
    <w:rsid w:val="005150E5"/>
    <w:rPr>
      <w:rFonts w:ascii="Arial Armenian" w:hAnsi="Arial Armenian"/>
      <w:i/>
      <w:sz w:val="22"/>
      <w:u w:val="single"/>
      <w:lang w:val="en-GB"/>
    </w:rPr>
  </w:style>
  <w:style w:type="character" w:customStyle="1" w:styleId="CharChar272">
    <w:name w:val="Char Char272"/>
    <w:rsid w:val="005150E5"/>
    <w:rPr>
      <w:rFonts w:ascii="Garamond" w:hAnsi="Garamond"/>
      <w:i/>
      <w:spacing w:val="-5"/>
      <w:sz w:val="28"/>
      <w:shd w:val="pct5" w:color="auto" w:fill="auto"/>
      <w:lang w:val="en-GB"/>
    </w:rPr>
  </w:style>
  <w:style w:type="character" w:customStyle="1" w:styleId="CharChar262">
    <w:name w:val="Char Char262"/>
    <w:rsid w:val="005150E5"/>
    <w:rPr>
      <w:rFonts w:ascii="Arial Black" w:hAnsi="Arial Black"/>
      <w:caps/>
      <w:spacing w:val="60"/>
      <w:position w:val="4"/>
      <w:sz w:val="14"/>
      <w:lang w:val="en-GB"/>
    </w:rPr>
  </w:style>
  <w:style w:type="character" w:customStyle="1" w:styleId="CharChar252">
    <w:name w:val="Char Char252"/>
    <w:rsid w:val="005150E5"/>
    <w:rPr>
      <w:rFonts w:ascii="Garamond" w:hAnsi="Garamond"/>
      <w:b/>
      <w:i/>
      <w:kern w:val="28"/>
      <w:lang w:val="en-GB"/>
    </w:rPr>
  </w:style>
  <w:style w:type="character" w:customStyle="1" w:styleId="CharChar242">
    <w:name w:val="Char Char242"/>
    <w:rsid w:val="005150E5"/>
    <w:rPr>
      <w:rFonts w:ascii="Arial Armenian" w:hAnsi="Arial Armenian"/>
      <w:noProof/>
      <w:lang w:val="en-US" w:eastAsia="en-US" w:bidi="ar-SA"/>
    </w:rPr>
  </w:style>
  <w:style w:type="character" w:customStyle="1" w:styleId="CharChar232">
    <w:name w:val="Char Char232"/>
    <w:rsid w:val="005150E5"/>
    <w:rPr>
      <w:rFonts w:ascii="Arial Armenian" w:hAnsi="Arial Armenian"/>
      <w:lang w:val="en-GB" w:eastAsia="en-US" w:bidi="ar-SA"/>
    </w:rPr>
  </w:style>
  <w:style w:type="character" w:customStyle="1" w:styleId="CharChar312">
    <w:name w:val="Char Char312"/>
    <w:rsid w:val="005150E5"/>
    <w:rPr>
      <w:rFonts w:ascii="Arial Armenian" w:hAnsi="Arial Armenian"/>
      <w:noProof/>
      <w:lang w:val="en-US" w:eastAsia="en-US" w:bidi="ar-SA"/>
    </w:rPr>
  </w:style>
  <w:style w:type="table" w:customStyle="1" w:styleId="Table3Deffects313">
    <w:name w:val="Table 3D effects 313"/>
    <w:basedOn w:val="TableNormal"/>
    <w:next w:val="Table3Deffects3"/>
    <w:rsid w:val="005150E5"/>
    <w:pPr>
      <w:spacing w:after="200"/>
    </w:pPr>
    <w:rPr>
      <w:rFonts w:ascii="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z-TopofForm1">
    <w:name w:val="z-Top of Form1"/>
    <w:basedOn w:val="Normal"/>
    <w:next w:val="Normal"/>
    <w:hidden/>
    <w:uiPriority w:val="99"/>
    <w:unhideWhenUsed/>
    <w:rsid w:val="005150E5"/>
    <w:pPr>
      <w:pBdr>
        <w:bottom w:val="single" w:sz="6" w:space="1" w:color="auto"/>
      </w:pBdr>
      <w:spacing w:before="40" w:after="60" w:line="312" w:lineRule="auto"/>
      <w:jc w:val="center"/>
    </w:pPr>
    <w:rPr>
      <w:rFonts w:ascii="Arial" w:hAnsi="Arial"/>
      <w:b w:val="0"/>
      <w:vanish/>
      <w:sz w:val="16"/>
      <w:szCs w:val="16"/>
      <w:lang w:val="en-US" w:eastAsia="en-US"/>
    </w:rPr>
  </w:style>
  <w:style w:type="paragraph" w:customStyle="1" w:styleId="z-BottomofForm1">
    <w:name w:val="z-Bottom of Form1"/>
    <w:basedOn w:val="Normal"/>
    <w:next w:val="Normal"/>
    <w:hidden/>
    <w:uiPriority w:val="99"/>
    <w:unhideWhenUsed/>
    <w:rsid w:val="005150E5"/>
    <w:pPr>
      <w:pBdr>
        <w:top w:val="single" w:sz="6" w:space="1" w:color="auto"/>
      </w:pBdr>
      <w:spacing w:before="40" w:after="60" w:line="312" w:lineRule="auto"/>
      <w:jc w:val="center"/>
    </w:pPr>
    <w:rPr>
      <w:rFonts w:ascii="Arial" w:hAnsi="Arial"/>
      <w:b w:val="0"/>
      <w:vanish/>
      <w:sz w:val="16"/>
      <w:szCs w:val="16"/>
      <w:lang w:val="en-US" w:eastAsia="en-US"/>
    </w:rPr>
  </w:style>
  <w:style w:type="paragraph" w:customStyle="1" w:styleId="HTMLPreformatted1">
    <w:name w:val="HTML Preformatted1"/>
    <w:basedOn w:val="Normal"/>
    <w:next w:val="HTMLPreformatted"/>
    <w:uiPriority w:val="99"/>
    <w:unhideWhenUsed/>
    <w:rsid w:val="005150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40" w:after="60" w:line="312" w:lineRule="auto"/>
    </w:pPr>
    <w:rPr>
      <w:rFonts w:ascii="Arial Unicode" w:eastAsia="Calibri" w:hAnsi="Arial Unicode"/>
      <w:b w:val="0"/>
      <w:sz w:val="20"/>
      <w:szCs w:val="20"/>
      <w:lang w:val="en-US" w:eastAsia="en-US"/>
    </w:rPr>
  </w:style>
  <w:style w:type="numbering" w:customStyle="1" w:styleId="118">
    <w:name w:val="Нет списка118"/>
    <w:next w:val="NoList"/>
    <w:semiHidden/>
    <w:unhideWhenUsed/>
    <w:rsid w:val="005150E5"/>
  </w:style>
  <w:style w:type="character" w:customStyle="1" w:styleId="CharChar352">
    <w:name w:val="Char Char352"/>
    <w:rsid w:val="005150E5"/>
    <w:rPr>
      <w:rFonts w:ascii="Arial Armenian" w:hAnsi="Arial Armenian"/>
      <w:i/>
      <w:sz w:val="22"/>
      <w:u w:val="single"/>
      <w:lang w:val="en-GB"/>
    </w:rPr>
  </w:style>
  <w:style w:type="character" w:customStyle="1" w:styleId="CharChar342">
    <w:name w:val="Char Char342"/>
    <w:rsid w:val="005150E5"/>
    <w:rPr>
      <w:rFonts w:ascii="Garamond" w:hAnsi="Garamond"/>
      <w:i/>
      <w:spacing w:val="-5"/>
      <w:sz w:val="28"/>
      <w:shd w:val="pct5" w:color="auto" w:fill="auto"/>
      <w:lang w:val="en-GB"/>
    </w:rPr>
  </w:style>
  <w:style w:type="character" w:customStyle="1" w:styleId="CharChar332">
    <w:name w:val="Char Char332"/>
    <w:rsid w:val="005150E5"/>
    <w:rPr>
      <w:rFonts w:ascii="Arial Black" w:hAnsi="Arial Black"/>
      <w:caps/>
      <w:spacing w:val="60"/>
      <w:position w:val="4"/>
      <w:sz w:val="14"/>
      <w:lang w:val="en-GB"/>
    </w:rPr>
  </w:style>
  <w:style w:type="character" w:customStyle="1" w:styleId="CharChar322">
    <w:name w:val="Char Char322"/>
    <w:rsid w:val="005150E5"/>
    <w:rPr>
      <w:rFonts w:ascii="Garamond" w:hAnsi="Garamond"/>
      <w:b/>
      <w:i/>
      <w:kern w:val="28"/>
      <w:lang w:val="en-GB"/>
    </w:rPr>
  </w:style>
  <w:style w:type="character" w:customStyle="1" w:styleId="CharChar302">
    <w:name w:val="Char Char302"/>
    <w:rsid w:val="005150E5"/>
    <w:rPr>
      <w:rFonts w:ascii="Arial Armenian" w:hAnsi="Arial Armenian"/>
      <w:lang w:val="en-GB" w:eastAsia="en-US" w:bidi="ar-SA"/>
    </w:rPr>
  </w:style>
  <w:style w:type="character" w:customStyle="1" w:styleId="CharChar292">
    <w:name w:val="Char Char292"/>
    <w:rsid w:val="005150E5"/>
    <w:rPr>
      <w:rFonts w:ascii="Arial Armenian" w:hAnsi="Arial Armenian"/>
      <w:lang w:val="ru-RU" w:eastAsia="ru-RU" w:bidi="ar-SA"/>
    </w:rPr>
  </w:style>
  <w:style w:type="paragraph" w:customStyle="1" w:styleId="textbox">
    <w:name w:val="textbox"/>
    <w:basedOn w:val="Normal"/>
    <w:rsid w:val="005150E5"/>
    <w:pPr>
      <w:spacing w:before="40" w:after="60" w:line="160" w:lineRule="exact"/>
    </w:pPr>
    <w:rPr>
      <w:b w:val="0"/>
      <w:smallCaps/>
      <w:sz w:val="16"/>
      <w:szCs w:val="20"/>
      <w:lang w:val="hy-AM" w:eastAsia="en-US"/>
    </w:rPr>
  </w:style>
  <w:style w:type="character" w:customStyle="1" w:styleId="t121">
    <w:name w:val="t121"/>
    <w:rsid w:val="005150E5"/>
    <w:rPr>
      <w:b/>
      <w:bCs/>
      <w:color w:val="191970"/>
    </w:rPr>
  </w:style>
  <w:style w:type="character" w:customStyle="1" w:styleId="t61">
    <w:name w:val="t61"/>
    <w:rsid w:val="005150E5"/>
    <w:rPr>
      <w:b/>
      <w:bCs/>
      <w:color w:val="191970"/>
    </w:rPr>
  </w:style>
  <w:style w:type="table" w:customStyle="1" w:styleId="TableGrid115">
    <w:name w:val="Table Grid115"/>
    <w:basedOn w:val="TableNormal"/>
    <w:next w:val="TableGrid"/>
    <w:rsid w:val="005150E5"/>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CharCharCharCharCharCharCharCharCharCharCharCharCharChar4">
    <w:name w:val="Char Char Char Char Знак Char Знак Char Char Char Char Char Char Char Char Char Char4"/>
    <w:basedOn w:val="Normal"/>
    <w:rsid w:val="005150E5"/>
    <w:pPr>
      <w:tabs>
        <w:tab w:val="left" w:pos="709"/>
      </w:tabs>
      <w:spacing w:before="40" w:after="60" w:line="312" w:lineRule="auto"/>
    </w:pPr>
    <w:rPr>
      <w:rFonts w:ascii="Tahoma" w:hAnsi="Tahoma" w:cs="Tahoma"/>
      <w:b w:val="0"/>
      <w:szCs w:val="22"/>
      <w:lang w:val="pl-PL" w:eastAsia="pl-PL"/>
    </w:rPr>
  </w:style>
  <w:style w:type="character" w:customStyle="1" w:styleId="CharChar62">
    <w:name w:val="Char Char62"/>
    <w:locked/>
    <w:rsid w:val="005150E5"/>
    <w:rPr>
      <w:rFonts w:ascii="Times LatArm" w:eastAsia="Calibri" w:hAnsi="Times LatArm" w:cs="Times LatArm"/>
      <w:sz w:val="22"/>
      <w:szCs w:val="22"/>
      <w:lang w:val="en-GB" w:eastAsia="en-US" w:bidi="ar-SA"/>
    </w:rPr>
  </w:style>
  <w:style w:type="character" w:customStyle="1" w:styleId="CentredCharChar">
    <w:name w:val="Centred Char Char"/>
    <w:locked/>
    <w:rsid w:val="005150E5"/>
    <w:rPr>
      <w:rFonts w:eastAsia="Calibri"/>
      <w:b/>
      <w:bCs/>
      <w:i/>
      <w:iCs/>
      <w:sz w:val="24"/>
      <w:szCs w:val="24"/>
      <w:lang w:val="en-GB" w:eastAsia="en-US" w:bidi="ar-SA"/>
    </w:rPr>
  </w:style>
  <w:style w:type="character" w:customStyle="1" w:styleId="SideCharChar">
    <w:name w:val="Side Char Char"/>
    <w:locked/>
    <w:rsid w:val="005150E5"/>
    <w:rPr>
      <w:rFonts w:eastAsia="Calibri"/>
      <w:sz w:val="22"/>
      <w:szCs w:val="22"/>
      <w:lang w:val="en-GB" w:eastAsia="en-US" w:bidi="ar-SA"/>
    </w:rPr>
  </w:style>
  <w:style w:type="character" w:customStyle="1" w:styleId="CharChar80">
    <w:name w:val="Char Char8"/>
    <w:locked/>
    <w:rsid w:val="005150E5"/>
    <w:rPr>
      <w:rFonts w:ascii="Times Armenian" w:eastAsia="Calibri" w:hAnsi="Times Armenian" w:cs="Times Armenian"/>
      <w:color w:val="993300"/>
      <w:sz w:val="22"/>
      <w:szCs w:val="22"/>
      <w:lang w:val="hy-AM" w:eastAsia="en-US" w:bidi="ar-SA"/>
    </w:rPr>
  </w:style>
  <w:style w:type="character" w:customStyle="1" w:styleId="CharChar42">
    <w:name w:val="Char Char42"/>
    <w:locked/>
    <w:rsid w:val="005150E5"/>
    <w:rPr>
      <w:rFonts w:eastAsia="Calibri"/>
      <w:sz w:val="22"/>
      <w:szCs w:val="22"/>
      <w:lang w:val="en-GB" w:eastAsia="en-US" w:bidi="ar-SA"/>
    </w:rPr>
  </w:style>
  <w:style w:type="character" w:customStyle="1" w:styleId="CharChar38">
    <w:name w:val="Char Char38"/>
    <w:uiPriority w:val="99"/>
    <w:locked/>
    <w:rsid w:val="005150E5"/>
    <w:rPr>
      <w:rFonts w:eastAsia="Calibri"/>
      <w:sz w:val="22"/>
      <w:szCs w:val="22"/>
      <w:lang w:val="en-GB" w:eastAsia="en-US" w:bidi="ar-SA"/>
    </w:rPr>
  </w:style>
  <w:style w:type="character" w:customStyle="1" w:styleId="CharChar212">
    <w:name w:val="Char Char212"/>
    <w:locked/>
    <w:rsid w:val="005150E5"/>
    <w:rPr>
      <w:rFonts w:ascii="Times Armenian" w:eastAsia="Calibri" w:hAnsi="Times Armenian" w:cs="Times Armenian"/>
      <w:b/>
      <w:bCs/>
      <w:sz w:val="22"/>
      <w:szCs w:val="22"/>
      <w:lang w:val="en-US" w:eastAsia="en-US" w:bidi="ar-SA"/>
    </w:rPr>
  </w:style>
  <w:style w:type="numbering" w:customStyle="1" w:styleId="NoList56">
    <w:name w:val="No List56"/>
    <w:next w:val="NoList"/>
    <w:uiPriority w:val="99"/>
    <w:semiHidden/>
    <w:rsid w:val="005150E5"/>
  </w:style>
  <w:style w:type="numbering" w:customStyle="1" w:styleId="NoList63">
    <w:name w:val="No List63"/>
    <w:next w:val="NoList"/>
    <w:uiPriority w:val="99"/>
    <w:semiHidden/>
    <w:unhideWhenUsed/>
    <w:rsid w:val="005150E5"/>
  </w:style>
  <w:style w:type="table" w:customStyle="1" w:styleId="TableGrid210">
    <w:name w:val="Table Grid210"/>
    <w:basedOn w:val="TableNormal"/>
    <w:next w:val="TableGrid"/>
    <w:rsid w:val="005150E5"/>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amak">
    <w:name w:val="namak Знак"/>
    <w:link w:val="namak0"/>
    <w:locked/>
    <w:rsid w:val="005150E5"/>
    <w:rPr>
      <w:rFonts w:ascii="GHEA Grapalat" w:hAnsi="GHEA Grapalat"/>
      <w:spacing w:val="-4"/>
      <w:sz w:val="24"/>
      <w:szCs w:val="24"/>
    </w:rPr>
  </w:style>
  <w:style w:type="paragraph" w:customStyle="1" w:styleId="namak0">
    <w:name w:val="namak"/>
    <w:basedOn w:val="Normal"/>
    <w:link w:val="namak"/>
    <w:rsid w:val="005150E5"/>
    <w:pPr>
      <w:spacing w:before="40" w:after="60" w:line="400" w:lineRule="exact"/>
      <w:ind w:firstLine="397"/>
    </w:pPr>
    <w:rPr>
      <w:b w:val="0"/>
      <w:spacing w:val="-4"/>
      <w:sz w:val="24"/>
      <w:lang w:val="en-US" w:eastAsia="en-US"/>
    </w:rPr>
  </w:style>
  <w:style w:type="numbering" w:customStyle="1" w:styleId="NoList73">
    <w:name w:val="No List73"/>
    <w:next w:val="NoList"/>
    <w:uiPriority w:val="99"/>
    <w:semiHidden/>
    <w:unhideWhenUsed/>
    <w:rsid w:val="005150E5"/>
  </w:style>
  <w:style w:type="numbering" w:customStyle="1" w:styleId="NoList1210">
    <w:name w:val="No List1210"/>
    <w:next w:val="NoList"/>
    <w:uiPriority w:val="99"/>
    <w:semiHidden/>
    <w:unhideWhenUsed/>
    <w:rsid w:val="005150E5"/>
  </w:style>
  <w:style w:type="table" w:customStyle="1" w:styleId="TableGrid330">
    <w:name w:val="Table Grid33"/>
    <w:basedOn w:val="TableNormal"/>
    <w:next w:val="TableGrid"/>
    <w:rsid w:val="005150E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3">
    <w:name w:val="Colorful Grid - Accent 123"/>
    <w:basedOn w:val="TableNormal"/>
    <w:next w:val="ColorfulGrid-Accent1"/>
    <w:uiPriority w:val="73"/>
    <w:rsid w:val="005150E5"/>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3">
    <w:name w:val="Light List - Accent 523"/>
    <w:basedOn w:val="TableNormal"/>
    <w:next w:val="LightList-Accent5"/>
    <w:uiPriority w:val="61"/>
    <w:rsid w:val="005150E5"/>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CharChar5CharCharCharCharCharChar2">
    <w:name w:val="Char Char5 Char Char Char Char Char Char2"/>
    <w:basedOn w:val="Normal"/>
    <w:rsid w:val="005150E5"/>
    <w:pPr>
      <w:tabs>
        <w:tab w:val="left" w:pos="709"/>
      </w:tabs>
      <w:spacing w:before="40" w:after="60" w:line="312" w:lineRule="auto"/>
    </w:pPr>
    <w:rPr>
      <w:rFonts w:ascii="Tahoma" w:hAnsi="Tahoma"/>
      <w:b w:val="0"/>
      <w:szCs w:val="22"/>
      <w:lang w:val="pl-PL" w:eastAsia="pl-PL"/>
    </w:rPr>
  </w:style>
  <w:style w:type="paragraph" w:customStyle="1" w:styleId="CharChar5CharCharCharChar2">
    <w:name w:val="Char Char5 Char Char Char Char2"/>
    <w:basedOn w:val="Normal"/>
    <w:rsid w:val="005150E5"/>
    <w:pPr>
      <w:tabs>
        <w:tab w:val="left" w:pos="709"/>
      </w:tabs>
      <w:spacing w:before="40" w:after="60" w:line="312" w:lineRule="auto"/>
    </w:pPr>
    <w:rPr>
      <w:rFonts w:ascii="Tahoma" w:hAnsi="Tahoma"/>
      <w:b w:val="0"/>
      <w:szCs w:val="22"/>
      <w:lang w:val="pl-PL" w:eastAsia="pl-PL"/>
    </w:rPr>
  </w:style>
  <w:style w:type="paragraph" w:customStyle="1" w:styleId="CharChar5CharChar2">
    <w:name w:val="Char Char5 Char Char2"/>
    <w:basedOn w:val="Normal"/>
    <w:rsid w:val="005150E5"/>
    <w:pPr>
      <w:tabs>
        <w:tab w:val="left" w:pos="709"/>
      </w:tabs>
      <w:spacing w:before="40" w:after="60" w:line="312" w:lineRule="auto"/>
    </w:pPr>
    <w:rPr>
      <w:rFonts w:ascii="Tahoma" w:hAnsi="Tahoma"/>
      <w:b w:val="0"/>
      <w:szCs w:val="22"/>
      <w:lang w:val="pl-PL" w:eastAsia="pl-PL"/>
    </w:rPr>
  </w:style>
  <w:style w:type="numbering" w:customStyle="1" w:styleId="NoList83">
    <w:name w:val="No List83"/>
    <w:next w:val="NoList"/>
    <w:uiPriority w:val="99"/>
    <w:semiHidden/>
    <w:unhideWhenUsed/>
    <w:rsid w:val="005150E5"/>
  </w:style>
  <w:style w:type="numbering" w:customStyle="1" w:styleId="123">
    <w:name w:val="Нет списка123"/>
    <w:next w:val="NoList"/>
    <w:semiHidden/>
    <w:unhideWhenUsed/>
    <w:rsid w:val="005150E5"/>
  </w:style>
  <w:style w:type="numbering" w:customStyle="1" w:styleId="NoList133">
    <w:name w:val="No List133"/>
    <w:next w:val="NoList"/>
    <w:semiHidden/>
    <w:unhideWhenUsed/>
    <w:rsid w:val="005150E5"/>
  </w:style>
  <w:style w:type="numbering" w:customStyle="1" w:styleId="NoList217">
    <w:name w:val="No List217"/>
    <w:next w:val="NoList"/>
    <w:semiHidden/>
    <w:unhideWhenUsed/>
    <w:rsid w:val="005150E5"/>
  </w:style>
  <w:style w:type="numbering" w:customStyle="1" w:styleId="NoList316">
    <w:name w:val="No List316"/>
    <w:next w:val="NoList"/>
    <w:semiHidden/>
    <w:unhideWhenUsed/>
    <w:rsid w:val="005150E5"/>
  </w:style>
  <w:style w:type="numbering" w:customStyle="1" w:styleId="1113">
    <w:name w:val="Нет списка1113"/>
    <w:next w:val="NoList"/>
    <w:semiHidden/>
    <w:unhideWhenUsed/>
    <w:rsid w:val="005150E5"/>
  </w:style>
  <w:style w:type="numbering" w:customStyle="1" w:styleId="NoList414">
    <w:name w:val="No List414"/>
    <w:next w:val="NoList"/>
    <w:semiHidden/>
    <w:rsid w:val="005150E5"/>
  </w:style>
  <w:style w:type="numbering" w:customStyle="1" w:styleId="NoList11116">
    <w:name w:val="No List11116"/>
    <w:next w:val="NoList"/>
    <w:semiHidden/>
    <w:unhideWhenUsed/>
    <w:rsid w:val="005150E5"/>
  </w:style>
  <w:style w:type="numbering" w:customStyle="1" w:styleId="11112">
    <w:name w:val="Нет списка11112"/>
    <w:next w:val="NoList"/>
    <w:semiHidden/>
    <w:unhideWhenUsed/>
    <w:rsid w:val="005150E5"/>
  </w:style>
  <w:style w:type="numbering" w:customStyle="1" w:styleId="NoList93">
    <w:name w:val="No List93"/>
    <w:next w:val="NoList"/>
    <w:uiPriority w:val="99"/>
    <w:semiHidden/>
    <w:unhideWhenUsed/>
    <w:rsid w:val="005150E5"/>
  </w:style>
  <w:style w:type="character" w:customStyle="1" w:styleId="newstext">
    <w:name w:val="news_text"/>
    <w:rsid w:val="005150E5"/>
  </w:style>
  <w:style w:type="table" w:customStyle="1" w:styleId="TableGrid43">
    <w:name w:val="Table Grid43"/>
    <w:basedOn w:val="TableNormal"/>
    <w:next w:val="TableGrid"/>
    <w:rsid w:val="005150E5"/>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
    <w:name w:val="Default Char"/>
    <w:link w:val="Default"/>
    <w:locked/>
    <w:rsid w:val="005150E5"/>
    <w:rPr>
      <w:rFonts w:ascii="Sylfaen" w:hAnsi="Sylfaen" w:cs="Sylfaen"/>
      <w:color w:val="000000"/>
      <w:sz w:val="24"/>
      <w:szCs w:val="24"/>
    </w:rPr>
  </w:style>
  <w:style w:type="table" w:customStyle="1" w:styleId="GridTable1Light-Accent51">
    <w:name w:val="Grid Table 1 Light - Accent 51"/>
    <w:basedOn w:val="TableNormal"/>
    <w:uiPriority w:val="46"/>
    <w:rsid w:val="005150E5"/>
    <w:pPr>
      <w:spacing w:after="200"/>
    </w:pPr>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5150E5"/>
    <w:pPr>
      <w:spacing w:after="200"/>
    </w:pPr>
    <w:rPr>
      <w:rFonts w:ascii="Calibri" w:eastAsia="Calibri" w:hAnsi="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1">
    <w:name w:val="Grid Table 4 - Accent 111"/>
    <w:basedOn w:val="TableNormal"/>
    <w:uiPriority w:val="49"/>
    <w:rsid w:val="005150E5"/>
    <w:pPr>
      <w:spacing w:after="200"/>
    </w:pPr>
    <w:rPr>
      <w:rFonts w:ascii="Calibri" w:eastAsia="Calibri" w:hAnsi="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tlid-translation">
    <w:name w:val="tlid-translation"/>
    <w:rsid w:val="005150E5"/>
  </w:style>
  <w:style w:type="numbering" w:customStyle="1" w:styleId="NoList103">
    <w:name w:val="No List103"/>
    <w:next w:val="NoList"/>
    <w:uiPriority w:val="99"/>
    <w:semiHidden/>
    <w:unhideWhenUsed/>
    <w:rsid w:val="005150E5"/>
  </w:style>
  <w:style w:type="table" w:customStyle="1" w:styleId="TableGrid530">
    <w:name w:val="Table Grid53"/>
    <w:basedOn w:val="TableNormal"/>
    <w:next w:val="TableGrid"/>
    <w:uiPriority w:val="39"/>
    <w:rsid w:val="005150E5"/>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12">
    <w:name w:val="Table List 7112"/>
    <w:basedOn w:val="TableNormal"/>
    <w:next w:val="TableList7"/>
    <w:rsid w:val="005150E5"/>
    <w:pPr>
      <w:spacing w:after="200"/>
    </w:pPr>
    <w:rPr>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2">
    <w:name w:val="Table Web 3112"/>
    <w:basedOn w:val="TableNormal"/>
    <w:next w:val="TableWeb3"/>
    <w:rsid w:val="005150E5"/>
    <w:pPr>
      <w:spacing w:after="200"/>
    </w:pPr>
    <w:rPr>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2">
    <w:name w:val="Table Elegant112"/>
    <w:basedOn w:val="TableNormal"/>
    <w:next w:val="TableElegant"/>
    <w:rsid w:val="005150E5"/>
    <w:pPr>
      <w:spacing w:after="200"/>
    </w:pPr>
    <w:rPr>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3">
    <w:name w:val="Table Web 223"/>
    <w:basedOn w:val="TableNormal"/>
    <w:next w:val="TableWeb2"/>
    <w:rsid w:val="005150E5"/>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3">
    <w:name w:val="Table Web 123"/>
    <w:basedOn w:val="TableNormal"/>
    <w:next w:val="TableWeb1"/>
    <w:rsid w:val="005150E5"/>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3">
    <w:name w:val="Table Grid 823"/>
    <w:basedOn w:val="TableNormal"/>
    <w:next w:val="TableGrid8"/>
    <w:rsid w:val="005150E5"/>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3">
    <w:name w:val="Table Contemporary23"/>
    <w:basedOn w:val="TableNormal"/>
    <w:next w:val="TableContemporary"/>
    <w:rsid w:val="005150E5"/>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3">
    <w:name w:val="No List143"/>
    <w:next w:val="NoList"/>
    <w:semiHidden/>
    <w:unhideWhenUsed/>
    <w:rsid w:val="005150E5"/>
  </w:style>
  <w:style w:type="numbering" w:customStyle="1" w:styleId="NoList223">
    <w:name w:val="No List223"/>
    <w:next w:val="NoList"/>
    <w:semiHidden/>
    <w:unhideWhenUsed/>
    <w:rsid w:val="005150E5"/>
  </w:style>
  <w:style w:type="numbering" w:customStyle="1" w:styleId="NoList323">
    <w:name w:val="No List323"/>
    <w:next w:val="NoList"/>
    <w:semiHidden/>
    <w:unhideWhenUsed/>
    <w:rsid w:val="005150E5"/>
  </w:style>
  <w:style w:type="table" w:customStyle="1" w:styleId="LightList-Accent126">
    <w:name w:val="Light List - Accent 126"/>
    <w:basedOn w:val="TableNormal"/>
    <w:uiPriority w:val="61"/>
    <w:rsid w:val="005150E5"/>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12">
    <w:name w:val="Table Grid 7112"/>
    <w:basedOn w:val="TableNormal"/>
    <w:next w:val="TableGrid7"/>
    <w:rsid w:val="005150E5"/>
    <w:pPr>
      <w:spacing w:after="200"/>
    </w:pPr>
    <w:rPr>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3">
    <w:name w:val="Colorful Grid - Accent 133"/>
    <w:basedOn w:val="TableNormal"/>
    <w:next w:val="ColorfulGrid-Accent1"/>
    <w:uiPriority w:val="73"/>
    <w:rsid w:val="005150E5"/>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3">
    <w:name w:val="Light List - Accent 533"/>
    <w:basedOn w:val="TableNormal"/>
    <w:next w:val="LightList-Accent5"/>
    <w:uiPriority w:val="61"/>
    <w:rsid w:val="005150E5"/>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12">
    <w:name w:val="Table Simple 3112"/>
    <w:basedOn w:val="TableNormal"/>
    <w:next w:val="TableSimple3"/>
    <w:rsid w:val="005150E5"/>
    <w:pPr>
      <w:spacing w:after="200"/>
    </w:pPr>
    <w:rPr>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2">
    <w:name w:val="Table Grid 5112"/>
    <w:basedOn w:val="TableNormal"/>
    <w:next w:val="TableGrid5"/>
    <w:rsid w:val="005150E5"/>
    <w:pPr>
      <w:spacing w:after="200"/>
    </w:pPr>
    <w:rPr>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2">
    <w:name w:val="Table Grid 3112"/>
    <w:basedOn w:val="TableNormal"/>
    <w:next w:val="TableGrid3"/>
    <w:rsid w:val="005150E5"/>
    <w:pPr>
      <w:spacing w:after="200"/>
    </w:pPr>
    <w:rPr>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2">
    <w:name w:val="Table Grid 1112"/>
    <w:basedOn w:val="TableNormal"/>
    <w:next w:val="TableGrid10"/>
    <w:rsid w:val="005150E5"/>
    <w:pPr>
      <w:spacing w:after="200"/>
    </w:pPr>
    <w:rPr>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2">
    <w:name w:val="Table Columns 5112"/>
    <w:basedOn w:val="TableNormal"/>
    <w:next w:val="TableColumns5"/>
    <w:rsid w:val="005150E5"/>
    <w:pPr>
      <w:spacing w:after="200"/>
    </w:pPr>
    <w:rPr>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4">
    <w:name w:val="Light List - Accent 1114"/>
    <w:basedOn w:val="TableNormal"/>
    <w:uiPriority w:val="61"/>
    <w:rsid w:val="005150E5"/>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30">
    <w:name w:val="Нет списка133"/>
    <w:next w:val="NoList"/>
    <w:semiHidden/>
    <w:unhideWhenUsed/>
    <w:rsid w:val="005150E5"/>
  </w:style>
  <w:style w:type="table" w:customStyle="1" w:styleId="ColorfulGrid-Accent1113">
    <w:name w:val="Colorful Grid - Accent 1113"/>
    <w:basedOn w:val="TableNormal"/>
    <w:rsid w:val="005150E5"/>
    <w:pPr>
      <w:spacing w:after="200"/>
    </w:pPr>
    <w:rPr>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3">
    <w:name w:val="Light List - Accent 5113"/>
    <w:basedOn w:val="TableNormal"/>
    <w:rsid w:val="005150E5"/>
    <w:pPr>
      <w:spacing w:after="200"/>
    </w:pPr>
    <w:rPr>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3">
    <w:name w:val="No List423"/>
    <w:next w:val="NoList"/>
    <w:semiHidden/>
    <w:rsid w:val="005150E5"/>
  </w:style>
  <w:style w:type="numbering" w:customStyle="1" w:styleId="NoList1125">
    <w:name w:val="No List1125"/>
    <w:next w:val="NoList"/>
    <w:semiHidden/>
    <w:unhideWhenUsed/>
    <w:rsid w:val="005150E5"/>
  </w:style>
  <w:style w:type="table" w:customStyle="1" w:styleId="Table3Deffects3112">
    <w:name w:val="Table 3D effects 3112"/>
    <w:basedOn w:val="TableNormal"/>
    <w:next w:val="Table3Deffects3"/>
    <w:rsid w:val="005150E5"/>
    <w:pPr>
      <w:spacing w:after="200"/>
    </w:pPr>
    <w:rPr>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3">
    <w:name w:val="Нет списка1123"/>
    <w:next w:val="NoList"/>
    <w:semiHidden/>
    <w:unhideWhenUsed/>
    <w:rsid w:val="005150E5"/>
  </w:style>
  <w:style w:type="table" w:customStyle="1" w:styleId="TableGrid11120">
    <w:name w:val="Table Grid1112"/>
    <w:basedOn w:val="TableNormal"/>
    <w:next w:val="TableGrid"/>
    <w:uiPriority w:val="39"/>
    <w:rsid w:val="005150E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3">
    <w:name w:val="No List513"/>
    <w:next w:val="NoList"/>
    <w:uiPriority w:val="99"/>
    <w:semiHidden/>
    <w:rsid w:val="005150E5"/>
  </w:style>
  <w:style w:type="numbering" w:customStyle="1" w:styleId="NoList612">
    <w:name w:val="No List612"/>
    <w:next w:val="NoList"/>
    <w:uiPriority w:val="99"/>
    <w:semiHidden/>
    <w:unhideWhenUsed/>
    <w:rsid w:val="005150E5"/>
  </w:style>
  <w:style w:type="table" w:customStyle="1" w:styleId="TableGrid213">
    <w:name w:val="Table Grid213"/>
    <w:basedOn w:val="TableNormal"/>
    <w:next w:val="TableGrid"/>
    <w:rsid w:val="005150E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2">
    <w:name w:val="No List712"/>
    <w:next w:val="NoList"/>
    <w:uiPriority w:val="99"/>
    <w:semiHidden/>
    <w:unhideWhenUsed/>
    <w:rsid w:val="005150E5"/>
  </w:style>
  <w:style w:type="numbering" w:customStyle="1" w:styleId="NoList1213">
    <w:name w:val="No List1213"/>
    <w:next w:val="NoList"/>
    <w:uiPriority w:val="99"/>
    <w:semiHidden/>
    <w:unhideWhenUsed/>
    <w:rsid w:val="005150E5"/>
  </w:style>
  <w:style w:type="table" w:customStyle="1" w:styleId="TableGrid3120">
    <w:name w:val="Table Grid312"/>
    <w:basedOn w:val="TableNormal"/>
    <w:next w:val="TableGrid"/>
    <w:rsid w:val="005150E5"/>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2">
    <w:name w:val="Table Web 2112"/>
    <w:basedOn w:val="TableNormal"/>
    <w:next w:val="TableWeb2"/>
    <w:rsid w:val="005150E5"/>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2">
    <w:name w:val="Table Web 1112"/>
    <w:basedOn w:val="TableNormal"/>
    <w:next w:val="TableWeb1"/>
    <w:rsid w:val="005150E5"/>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2">
    <w:name w:val="Table Grid 8112"/>
    <w:basedOn w:val="TableNormal"/>
    <w:next w:val="TableGrid8"/>
    <w:rsid w:val="005150E5"/>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2">
    <w:name w:val="Table Contemporary112"/>
    <w:basedOn w:val="TableNormal"/>
    <w:next w:val="TableContemporary"/>
    <w:rsid w:val="005150E5"/>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2">
    <w:name w:val="Colorful Grid - Accent 1212"/>
    <w:basedOn w:val="TableNormal"/>
    <w:next w:val="ColorfulGrid-Accent1"/>
    <w:uiPriority w:val="73"/>
    <w:rsid w:val="005150E5"/>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2">
    <w:name w:val="Light List - Accent 5212"/>
    <w:basedOn w:val="TableNormal"/>
    <w:next w:val="LightList-Accent5"/>
    <w:uiPriority w:val="61"/>
    <w:rsid w:val="005150E5"/>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2">
    <w:name w:val="No List812"/>
    <w:next w:val="NoList"/>
    <w:uiPriority w:val="99"/>
    <w:semiHidden/>
    <w:unhideWhenUsed/>
    <w:rsid w:val="005150E5"/>
  </w:style>
  <w:style w:type="numbering" w:customStyle="1" w:styleId="1212">
    <w:name w:val="Нет списка1212"/>
    <w:next w:val="NoList"/>
    <w:semiHidden/>
    <w:unhideWhenUsed/>
    <w:rsid w:val="005150E5"/>
  </w:style>
  <w:style w:type="numbering" w:customStyle="1" w:styleId="NoList1312">
    <w:name w:val="No List1312"/>
    <w:next w:val="NoList"/>
    <w:semiHidden/>
    <w:unhideWhenUsed/>
    <w:rsid w:val="005150E5"/>
  </w:style>
  <w:style w:type="numbering" w:customStyle="1" w:styleId="NoList2113">
    <w:name w:val="No List2113"/>
    <w:next w:val="NoList"/>
    <w:semiHidden/>
    <w:unhideWhenUsed/>
    <w:rsid w:val="005150E5"/>
  </w:style>
  <w:style w:type="numbering" w:customStyle="1" w:styleId="NoList3113">
    <w:name w:val="No List3113"/>
    <w:next w:val="NoList"/>
    <w:semiHidden/>
    <w:unhideWhenUsed/>
    <w:rsid w:val="005150E5"/>
  </w:style>
  <w:style w:type="numbering" w:customStyle="1" w:styleId="11121">
    <w:name w:val="Нет списка11121"/>
    <w:next w:val="NoList"/>
    <w:semiHidden/>
    <w:unhideWhenUsed/>
    <w:rsid w:val="005150E5"/>
  </w:style>
  <w:style w:type="numbering" w:customStyle="1" w:styleId="NoList4112">
    <w:name w:val="No List4112"/>
    <w:next w:val="NoList"/>
    <w:semiHidden/>
    <w:rsid w:val="005150E5"/>
  </w:style>
  <w:style w:type="numbering" w:customStyle="1" w:styleId="NoList111113">
    <w:name w:val="No List111113"/>
    <w:next w:val="NoList"/>
    <w:semiHidden/>
    <w:unhideWhenUsed/>
    <w:rsid w:val="005150E5"/>
  </w:style>
  <w:style w:type="numbering" w:customStyle="1" w:styleId="111111">
    <w:name w:val="Нет списка111111"/>
    <w:next w:val="NoList"/>
    <w:semiHidden/>
    <w:unhideWhenUsed/>
    <w:rsid w:val="005150E5"/>
  </w:style>
  <w:style w:type="paragraph" w:customStyle="1" w:styleId="CharChar37">
    <w:name w:val="Char Char37"/>
    <w:basedOn w:val="Normal"/>
    <w:rsid w:val="005150E5"/>
    <w:pPr>
      <w:spacing w:before="0" w:after="160" w:line="240" w:lineRule="exact"/>
      <w:jc w:val="left"/>
    </w:pPr>
    <w:rPr>
      <w:rFonts w:ascii="Arial" w:hAnsi="Arial" w:cs="Arial"/>
      <w:b w:val="0"/>
      <w:sz w:val="20"/>
      <w:szCs w:val="20"/>
      <w:lang w:val="en-US" w:eastAsia="en-US"/>
    </w:rPr>
  </w:style>
  <w:style w:type="paragraph" w:customStyle="1" w:styleId="BodyText23">
    <w:name w:val="Body Text2"/>
    <w:basedOn w:val="Normal"/>
    <w:rsid w:val="005150E5"/>
    <w:pPr>
      <w:tabs>
        <w:tab w:val="num" w:pos="0"/>
      </w:tabs>
      <w:spacing w:before="0" w:after="240" w:line="240" w:lineRule="auto"/>
    </w:pPr>
    <w:rPr>
      <w:rFonts w:ascii="Times Armenian" w:hAnsi="Times Armenian"/>
      <w:b w:val="0"/>
      <w:sz w:val="24"/>
      <w:lang w:val="en-US"/>
    </w:rPr>
  </w:style>
  <w:style w:type="paragraph" w:customStyle="1" w:styleId="Znak2">
    <w:name w:val="Znak2"/>
    <w:basedOn w:val="Normal"/>
    <w:rsid w:val="005150E5"/>
    <w:pPr>
      <w:tabs>
        <w:tab w:val="left" w:pos="709"/>
      </w:tabs>
      <w:spacing w:before="0" w:line="240" w:lineRule="auto"/>
      <w:jc w:val="left"/>
    </w:pPr>
    <w:rPr>
      <w:rFonts w:ascii="Tahoma" w:hAnsi="Tahoma"/>
      <w:b w:val="0"/>
      <w:sz w:val="24"/>
      <w:lang w:val="pl-PL" w:eastAsia="pl-PL"/>
    </w:rPr>
  </w:style>
  <w:style w:type="paragraph" w:customStyle="1" w:styleId="CharCharCharCharCharCharCharChar2">
    <w:name w:val="Char Char Char Char Char Char Char Char2"/>
    <w:basedOn w:val="Normal"/>
    <w:rsid w:val="005150E5"/>
    <w:pPr>
      <w:spacing w:before="0" w:after="160" w:line="240" w:lineRule="exact"/>
      <w:jc w:val="left"/>
    </w:pPr>
    <w:rPr>
      <w:rFonts w:ascii="Arial" w:hAnsi="Arial" w:cs="Arial"/>
      <w:b w:val="0"/>
      <w:sz w:val="20"/>
      <w:szCs w:val="20"/>
      <w:lang w:val="en-US" w:eastAsia="en-US"/>
    </w:rPr>
  </w:style>
  <w:style w:type="paragraph" w:customStyle="1" w:styleId="CharCharCharCharCharCharCharCharCharCharCharCharCharCharChar5">
    <w:name w:val="Char Char Char Char Знак Char Знак Char Char Char Char Char Char Char Char Char Char5"/>
    <w:basedOn w:val="Normal"/>
    <w:rsid w:val="005150E5"/>
    <w:pPr>
      <w:tabs>
        <w:tab w:val="left" w:pos="709"/>
      </w:tabs>
      <w:spacing w:before="0" w:line="240" w:lineRule="auto"/>
      <w:jc w:val="left"/>
    </w:pPr>
    <w:rPr>
      <w:rFonts w:ascii="Tahoma" w:hAnsi="Tahoma"/>
      <w:b w:val="0"/>
      <w:sz w:val="24"/>
      <w:lang w:val="pl-PL" w:eastAsia="pl-PL"/>
    </w:rPr>
  </w:style>
  <w:style w:type="paragraph" w:customStyle="1" w:styleId="CharCharCharCharCharCharChar2">
    <w:name w:val="Char Char Char Char Char Char Char2"/>
    <w:basedOn w:val="Normal"/>
    <w:rsid w:val="005150E5"/>
    <w:pPr>
      <w:spacing w:before="0" w:after="160" w:line="240" w:lineRule="exact"/>
      <w:jc w:val="left"/>
    </w:pPr>
    <w:rPr>
      <w:rFonts w:ascii="Arial" w:hAnsi="Arial" w:cs="Arial"/>
      <w:b w:val="0"/>
      <w:sz w:val="20"/>
      <w:szCs w:val="20"/>
      <w:lang w:val="en-US" w:eastAsia="en-US"/>
    </w:rPr>
  </w:style>
  <w:style w:type="character" w:customStyle="1" w:styleId="Char2">
    <w:name w:val="Знак Знак Char2"/>
    <w:link w:val="5"/>
    <w:rsid w:val="005150E5"/>
    <w:rPr>
      <w:rFonts w:ascii="Arial" w:hAnsi="Arial" w:cs="Arial"/>
      <w:b/>
    </w:rPr>
  </w:style>
  <w:style w:type="paragraph" w:customStyle="1" w:styleId="CharCharCharCharCharCharCharCharCharChar2">
    <w:name w:val="Char Char Char Char Char Char Char Char Char Char2"/>
    <w:basedOn w:val="Normal"/>
    <w:rsid w:val="005150E5"/>
    <w:pPr>
      <w:spacing w:before="0" w:after="160" w:line="240" w:lineRule="exact"/>
      <w:jc w:val="left"/>
    </w:pPr>
    <w:rPr>
      <w:rFonts w:ascii="Arial" w:hAnsi="Arial" w:cs="Arial"/>
      <w:b w:val="0"/>
      <w:sz w:val="20"/>
      <w:szCs w:val="20"/>
      <w:lang w:val="en-US" w:eastAsia="en-US"/>
    </w:rPr>
  </w:style>
  <w:style w:type="paragraph" w:customStyle="1" w:styleId="CharCharCharCharCharCharCharCharCharCharCharCharChar2">
    <w:name w:val="Char Char Char Char Char Char Char Char Char Char Char Char Char2"/>
    <w:basedOn w:val="Normal"/>
    <w:rsid w:val="005150E5"/>
    <w:pPr>
      <w:spacing w:before="0" w:after="160" w:line="240" w:lineRule="exact"/>
      <w:jc w:val="left"/>
    </w:pPr>
    <w:rPr>
      <w:rFonts w:ascii="Arial" w:hAnsi="Arial" w:cs="Arial"/>
      <w:b w:val="0"/>
      <w:sz w:val="20"/>
      <w:szCs w:val="20"/>
      <w:lang w:val="en-US" w:eastAsia="en-US"/>
    </w:rPr>
  </w:style>
  <w:style w:type="paragraph" w:customStyle="1" w:styleId="1CharChar2">
    <w:name w:val="Знак Знак1 Char Char Знак Знак2"/>
    <w:basedOn w:val="Normal"/>
    <w:rsid w:val="005150E5"/>
    <w:pPr>
      <w:tabs>
        <w:tab w:val="num" w:pos="840"/>
      </w:tabs>
      <w:spacing w:before="0" w:after="160" w:line="240" w:lineRule="exact"/>
      <w:ind w:left="840" w:hanging="360"/>
    </w:pPr>
    <w:rPr>
      <w:rFonts w:ascii="Verdana" w:hAnsi="Verdana"/>
      <w:b w:val="0"/>
      <w:sz w:val="20"/>
      <w:szCs w:val="20"/>
      <w:lang w:eastAsia="en-US"/>
    </w:rPr>
  </w:style>
  <w:style w:type="paragraph" w:customStyle="1" w:styleId="CharCharCharChar2">
    <w:name w:val="Знак Знак Char Char Знак Знак Char Char Знак Знак2"/>
    <w:basedOn w:val="Normal"/>
    <w:autoRedefine/>
    <w:rsid w:val="005150E5"/>
    <w:pPr>
      <w:spacing w:before="0" w:after="160" w:line="240" w:lineRule="exact"/>
      <w:jc w:val="left"/>
    </w:pPr>
    <w:rPr>
      <w:rFonts w:ascii="Times New Roman" w:hAnsi="Times New Roman"/>
      <w:b w:val="0"/>
      <w:sz w:val="28"/>
      <w:szCs w:val="20"/>
      <w:lang w:val="en-US" w:eastAsia="en-US"/>
    </w:rPr>
  </w:style>
  <w:style w:type="paragraph" w:customStyle="1" w:styleId="Char21">
    <w:name w:val="Знак Знак Знак Знак Знак Знак Знак Знак Знак Знак Знак Знак Знак Знак Знак Знак Знак Знак Char Знак Знак2"/>
    <w:basedOn w:val="Normal"/>
    <w:autoRedefine/>
    <w:rsid w:val="005150E5"/>
    <w:pPr>
      <w:spacing w:before="0" w:after="160" w:line="240" w:lineRule="exact"/>
      <w:jc w:val="left"/>
    </w:pPr>
    <w:rPr>
      <w:rFonts w:ascii="Times New Roman" w:hAnsi="Times New Roman"/>
      <w:b w:val="0"/>
      <w:sz w:val="28"/>
      <w:szCs w:val="20"/>
      <w:lang w:val="en-US" w:eastAsia="en-US"/>
    </w:rPr>
  </w:style>
  <w:style w:type="paragraph" w:customStyle="1" w:styleId="CharCharChar21">
    <w:name w:val="Char Char Char Знак2"/>
    <w:basedOn w:val="Normal"/>
    <w:next w:val="Normal"/>
    <w:rsid w:val="005150E5"/>
    <w:pPr>
      <w:spacing w:before="0" w:after="160" w:line="240" w:lineRule="exact"/>
      <w:jc w:val="left"/>
    </w:pPr>
    <w:rPr>
      <w:rFonts w:ascii="Tahoma" w:hAnsi="Tahoma"/>
      <w:b w:val="0"/>
      <w:sz w:val="24"/>
      <w:szCs w:val="20"/>
      <w:lang w:val="en-US" w:eastAsia="en-US"/>
    </w:rPr>
  </w:style>
  <w:style w:type="paragraph" w:customStyle="1" w:styleId="CharCharChar1Char2">
    <w:name w:val="Char Char Char1 Char2"/>
    <w:basedOn w:val="Normal"/>
    <w:rsid w:val="005150E5"/>
    <w:pPr>
      <w:spacing w:before="0" w:after="160" w:line="240" w:lineRule="exact"/>
      <w:jc w:val="left"/>
    </w:pPr>
    <w:rPr>
      <w:rFonts w:ascii="Arial" w:hAnsi="Arial" w:cs="Arial"/>
      <w:b w:val="0"/>
      <w:sz w:val="20"/>
      <w:szCs w:val="20"/>
      <w:lang w:val="en-US" w:eastAsia="en-US"/>
    </w:rPr>
  </w:style>
  <w:style w:type="paragraph" w:customStyle="1" w:styleId="124">
    <w:name w:val="Знак Знак12"/>
    <w:basedOn w:val="Normal"/>
    <w:rsid w:val="005150E5"/>
    <w:pPr>
      <w:spacing w:before="0" w:after="160" w:line="240" w:lineRule="exact"/>
      <w:jc w:val="left"/>
    </w:pPr>
    <w:rPr>
      <w:rFonts w:ascii="Arial" w:eastAsia="MS Mincho" w:hAnsi="Arial" w:cs="Arial"/>
      <w:b w:val="0"/>
      <w:sz w:val="20"/>
      <w:szCs w:val="20"/>
      <w:lang w:val="en-US" w:eastAsia="en-US"/>
    </w:rPr>
  </w:style>
  <w:style w:type="paragraph" w:customStyle="1" w:styleId="CharChar1CharCharChar1Char2">
    <w:name w:val="Char Char1 Char Char Char1 Char2"/>
    <w:basedOn w:val="Normal"/>
    <w:autoRedefine/>
    <w:rsid w:val="005150E5"/>
    <w:pPr>
      <w:spacing w:before="0" w:line="240" w:lineRule="auto"/>
      <w:jc w:val="left"/>
    </w:pPr>
    <w:rPr>
      <w:rFonts w:ascii="Times New Roman" w:eastAsia="SimSun" w:hAnsi="Times New Roman"/>
      <w:b w:val="0"/>
      <w:sz w:val="20"/>
      <w:szCs w:val="20"/>
      <w:lang w:val="en-US"/>
    </w:rPr>
  </w:style>
  <w:style w:type="paragraph" w:customStyle="1" w:styleId="420">
    <w:name w:val="Знак Знак42"/>
    <w:basedOn w:val="Normal"/>
    <w:rsid w:val="005150E5"/>
    <w:pPr>
      <w:tabs>
        <w:tab w:val="left" w:pos="709"/>
      </w:tabs>
      <w:spacing w:before="0" w:line="240" w:lineRule="auto"/>
      <w:jc w:val="left"/>
    </w:pPr>
    <w:rPr>
      <w:rFonts w:ascii="Tahoma" w:hAnsi="Tahoma"/>
      <w:b w:val="0"/>
      <w:sz w:val="24"/>
      <w:lang w:val="pl-PL" w:eastAsia="pl-PL"/>
    </w:rPr>
  </w:style>
  <w:style w:type="paragraph" w:customStyle="1" w:styleId="Char22">
    <w:name w:val="Знак Char Знак2"/>
    <w:basedOn w:val="Normal"/>
    <w:rsid w:val="005150E5"/>
    <w:pPr>
      <w:spacing w:before="0" w:after="160" w:line="240" w:lineRule="exact"/>
      <w:jc w:val="left"/>
    </w:pPr>
    <w:rPr>
      <w:rFonts w:ascii="Arial" w:eastAsia="Batang" w:hAnsi="Arial" w:cs="Arial"/>
      <w:b w:val="0"/>
      <w:sz w:val="20"/>
      <w:szCs w:val="20"/>
      <w:lang w:val="en-US" w:eastAsia="en-US"/>
    </w:rPr>
  </w:style>
  <w:style w:type="paragraph" w:customStyle="1" w:styleId="CharCharCharCharCharChar20">
    <w:name w:val="Знак Знак Char Char Знак Знак Char Char Знак Знак Char Char2"/>
    <w:basedOn w:val="Normal"/>
    <w:autoRedefine/>
    <w:rsid w:val="005150E5"/>
    <w:pPr>
      <w:spacing w:before="0" w:after="160" w:line="240" w:lineRule="exact"/>
      <w:jc w:val="left"/>
    </w:pPr>
    <w:rPr>
      <w:rFonts w:ascii="Times New Roman" w:hAnsi="Times New Roman"/>
      <w:b w:val="0"/>
      <w:sz w:val="28"/>
      <w:szCs w:val="20"/>
      <w:lang w:val="en-US" w:eastAsia="en-US"/>
    </w:rPr>
  </w:style>
  <w:style w:type="paragraph" w:customStyle="1" w:styleId="220">
    <w:name w:val="Знак Знак22"/>
    <w:basedOn w:val="Normal"/>
    <w:rsid w:val="005150E5"/>
    <w:pPr>
      <w:spacing w:before="0" w:after="160" w:line="240" w:lineRule="exact"/>
      <w:jc w:val="left"/>
    </w:pPr>
    <w:rPr>
      <w:rFonts w:ascii="Arial" w:hAnsi="Arial" w:cs="Arial"/>
      <w:b w:val="0"/>
      <w:sz w:val="20"/>
      <w:szCs w:val="20"/>
      <w:lang w:val="en-US" w:eastAsia="en-US"/>
    </w:rPr>
  </w:style>
  <w:style w:type="paragraph" w:customStyle="1" w:styleId="CharCharCharCharChar20">
    <w:name w:val="Char Char Char Char Char2"/>
    <w:basedOn w:val="Normal"/>
    <w:rsid w:val="005150E5"/>
    <w:pPr>
      <w:spacing w:before="0" w:after="160" w:line="240" w:lineRule="exact"/>
      <w:jc w:val="left"/>
    </w:pPr>
    <w:rPr>
      <w:rFonts w:ascii="Arial" w:hAnsi="Arial" w:cs="Arial"/>
      <w:b w:val="0"/>
      <w:sz w:val="20"/>
      <w:szCs w:val="20"/>
      <w:lang w:val="en-US" w:eastAsia="en-US"/>
    </w:rPr>
  </w:style>
  <w:style w:type="character" w:customStyle="1" w:styleId="CharChar52">
    <w:name w:val="Char Char52"/>
    <w:rsid w:val="005150E5"/>
    <w:rPr>
      <w:rFonts w:ascii="Arial Armenian" w:hAnsi="Arial Armenian" w:cs="Sylfaen"/>
      <w:sz w:val="24"/>
      <w:szCs w:val="24"/>
      <w:lang w:val="ru-RU" w:eastAsia="ru-RU"/>
    </w:rPr>
  </w:style>
  <w:style w:type="paragraph" w:customStyle="1" w:styleId="CharCharCharCharCharChar10">
    <w:name w:val="Char Char Char Char Char Char1"/>
    <w:basedOn w:val="Normal"/>
    <w:rsid w:val="005150E5"/>
    <w:pPr>
      <w:spacing w:before="0" w:after="160" w:line="240" w:lineRule="exact"/>
      <w:jc w:val="left"/>
    </w:pPr>
    <w:rPr>
      <w:rFonts w:ascii="Arial" w:hAnsi="Arial" w:cs="Arial"/>
      <w:b w:val="0"/>
      <w:sz w:val="20"/>
      <w:szCs w:val="20"/>
      <w:lang w:val="en-US" w:eastAsia="en-US"/>
    </w:rPr>
  </w:style>
  <w:style w:type="paragraph" w:customStyle="1" w:styleId="CharChar110">
    <w:name w:val="Char Char110"/>
    <w:basedOn w:val="Normal"/>
    <w:rsid w:val="005150E5"/>
    <w:pPr>
      <w:spacing w:before="0" w:after="160" w:line="240" w:lineRule="exact"/>
      <w:jc w:val="left"/>
    </w:pPr>
    <w:rPr>
      <w:rFonts w:ascii="Arial" w:hAnsi="Arial" w:cs="Arial"/>
      <w:b w:val="0"/>
      <w:sz w:val="20"/>
      <w:szCs w:val="20"/>
      <w:lang w:val="en-US" w:eastAsia="en-US"/>
    </w:rPr>
  </w:style>
  <w:style w:type="paragraph" w:customStyle="1" w:styleId="2d">
    <w:name w:val="Знак2"/>
    <w:basedOn w:val="Normal"/>
    <w:rsid w:val="005150E5"/>
    <w:pPr>
      <w:spacing w:before="0" w:after="160" w:line="240" w:lineRule="exact"/>
      <w:jc w:val="left"/>
    </w:pPr>
    <w:rPr>
      <w:rFonts w:ascii="Arial" w:hAnsi="Arial" w:cs="Arial"/>
      <w:b w:val="0"/>
      <w:sz w:val="20"/>
      <w:szCs w:val="20"/>
      <w:lang w:val="en-GB" w:eastAsia="en-US"/>
    </w:rPr>
  </w:style>
  <w:style w:type="character" w:customStyle="1" w:styleId="CharChar281">
    <w:name w:val="Char Char281"/>
    <w:rsid w:val="005150E5"/>
    <w:rPr>
      <w:rFonts w:ascii="Arial Armenian" w:hAnsi="Arial Armenian"/>
      <w:i/>
      <w:sz w:val="22"/>
      <w:u w:val="single"/>
      <w:lang w:val="en-GB"/>
    </w:rPr>
  </w:style>
  <w:style w:type="character" w:customStyle="1" w:styleId="CharChar271">
    <w:name w:val="Char Char271"/>
    <w:rsid w:val="005150E5"/>
    <w:rPr>
      <w:rFonts w:ascii="Garamond" w:hAnsi="Garamond"/>
      <w:i/>
      <w:spacing w:val="-5"/>
      <w:sz w:val="28"/>
      <w:shd w:val="pct5" w:color="auto" w:fill="auto"/>
      <w:lang w:val="en-GB"/>
    </w:rPr>
  </w:style>
  <w:style w:type="character" w:customStyle="1" w:styleId="CharChar261">
    <w:name w:val="Char Char261"/>
    <w:rsid w:val="005150E5"/>
    <w:rPr>
      <w:rFonts w:ascii="Arial Black" w:hAnsi="Arial Black"/>
      <w:caps/>
      <w:spacing w:val="60"/>
      <w:position w:val="4"/>
      <w:sz w:val="14"/>
      <w:lang w:val="en-GB"/>
    </w:rPr>
  </w:style>
  <w:style w:type="character" w:customStyle="1" w:styleId="CharChar251">
    <w:name w:val="Char Char251"/>
    <w:rsid w:val="005150E5"/>
    <w:rPr>
      <w:rFonts w:ascii="Garamond" w:hAnsi="Garamond"/>
      <w:b/>
      <w:i/>
      <w:kern w:val="28"/>
      <w:lang w:val="en-GB"/>
    </w:rPr>
  </w:style>
  <w:style w:type="character" w:customStyle="1" w:styleId="CharChar351">
    <w:name w:val="Char Char351"/>
    <w:rsid w:val="005150E5"/>
    <w:rPr>
      <w:rFonts w:ascii="Arial Armenian" w:hAnsi="Arial Armenian"/>
      <w:i/>
      <w:sz w:val="22"/>
      <w:u w:val="single"/>
      <w:lang w:val="en-GB"/>
    </w:rPr>
  </w:style>
  <w:style w:type="character" w:customStyle="1" w:styleId="CharChar341">
    <w:name w:val="Char Char341"/>
    <w:rsid w:val="005150E5"/>
    <w:rPr>
      <w:rFonts w:ascii="Garamond" w:hAnsi="Garamond"/>
      <w:i/>
      <w:spacing w:val="-5"/>
      <w:sz w:val="28"/>
      <w:shd w:val="pct5" w:color="auto" w:fill="auto"/>
      <w:lang w:val="en-GB"/>
    </w:rPr>
  </w:style>
  <w:style w:type="character" w:customStyle="1" w:styleId="CharChar331">
    <w:name w:val="Char Char331"/>
    <w:rsid w:val="005150E5"/>
    <w:rPr>
      <w:rFonts w:ascii="Arial Black" w:hAnsi="Arial Black"/>
      <w:caps/>
      <w:spacing w:val="60"/>
      <w:position w:val="4"/>
      <w:sz w:val="14"/>
      <w:lang w:val="en-GB"/>
    </w:rPr>
  </w:style>
  <w:style w:type="character" w:customStyle="1" w:styleId="CharChar321">
    <w:name w:val="Char Char321"/>
    <w:rsid w:val="005150E5"/>
    <w:rPr>
      <w:rFonts w:ascii="Garamond" w:hAnsi="Garamond"/>
      <w:b/>
      <w:i/>
      <w:kern w:val="28"/>
      <w:lang w:val="en-GB"/>
    </w:rPr>
  </w:style>
  <w:style w:type="character" w:customStyle="1" w:styleId="CharChar311">
    <w:name w:val="Char Char311"/>
    <w:rsid w:val="005150E5"/>
    <w:rPr>
      <w:rFonts w:ascii="Arial Armenian" w:hAnsi="Arial Armenian"/>
      <w:noProof/>
      <w:lang w:val="en-US" w:eastAsia="en-US" w:bidi="ar-SA"/>
    </w:rPr>
  </w:style>
  <w:style w:type="character" w:customStyle="1" w:styleId="CharChar301">
    <w:name w:val="Char Char301"/>
    <w:rsid w:val="005150E5"/>
    <w:rPr>
      <w:rFonts w:ascii="Arial Armenian" w:hAnsi="Arial Armenian"/>
      <w:lang w:val="en-GB" w:eastAsia="en-US" w:bidi="ar-SA"/>
    </w:rPr>
  </w:style>
  <w:style w:type="character" w:customStyle="1" w:styleId="CharChar291">
    <w:name w:val="Char Char291"/>
    <w:rsid w:val="005150E5"/>
    <w:rPr>
      <w:rFonts w:ascii="Arial Armenian" w:hAnsi="Arial Armenian"/>
      <w:lang w:val="ru-RU" w:eastAsia="ru-RU" w:bidi="ar-SA"/>
    </w:rPr>
  </w:style>
  <w:style w:type="paragraph" w:customStyle="1" w:styleId="CharChar5CharCharCharCharCharChar1">
    <w:name w:val="Char Char5 Char Char Char Char Char Char1"/>
    <w:basedOn w:val="Normal"/>
    <w:rsid w:val="005150E5"/>
    <w:pPr>
      <w:tabs>
        <w:tab w:val="left" w:pos="709"/>
      </w:tabs>
      <w:spacing w:before="0" w:line="240" w:lineRule="auto"/>
      <w:jc w:val="left"/>
    </w:pPr>
    <w:rPr>
      <w:rFonts w:ascii="Tahoma" w:hAnsi="Tahoma"/>
      <w:b w:val="0"/>
      <w:sz w:val="24"/>
      <w:lang w:val="pl-PL" w:eastAsia="pl-PL"/>
    </w:rPr>
  </w:style>
  <w:style w:type="paragraph" w:customStyle="1" w:styleId="CharChar5CharCharCharChar1">
    <w:name w:val="Char Char5 Char Char Char Char1"/>
    <w:basedOn w:val="Normal"/>
    <w:rsid w:val="005150E5"/>
    <w:pPr>
      <w:tabs>
        <w:tab w:val="left" w:pos="709"/>
      </w:tabs>
      <w:spacing w:before="0" w:line="240" w:lineRule="auto"/>
      <w:jc w:val="left"/>
    </w:pPr>
    <w:rPr>
      <w:rFonts w:ascii="Tahoma" w:hAnsi="Tahoma"/>
      <w:b w:val="0"/>
      <w:sz w:val="24"/>
      <w:lang w:val="pl-PL" w:eastAsia="pl-PL"/>
    </w:rPr>
  </w:style>
  <w:style w:type="paragraph" w:customStyle="1" w:styleId="CharChar5CharChar1">
    <w:name w:val="Char Char5 Char Char1"/>
    <w:basedOn w:val="Normal"/>
    <w:rsid w:val="005150E5"/>
    <w:pPr>
      <w:tabs>
        <w:tab w:val="left" w:pos="709"/>
      </w:tabs>
      <w:spacing w:before="0" w:line="240" w:lineRule="auto"/>
      <w:jc w:val="left"/>
    </w:pPr>
    <w:rPr>
      <w:rFonts w:ascii="Tahoma" w:hAnsi="Tahoma"/>
      <w:b w:val="0"/>
      <w:sz w:val="24"/>
      <w:lang w:val="pl-PL" w:eastAsia="pl-PL"/>
    </w:rPr>
  </w:style>
  <w:style w:type="character" w:customStyle="1" w:styleId="CharChar61">
    <w:name w:val="Char Char61"/>
    <w:locked/>
    <w:rsid w:val="005150E5"/>
    <w:rPr>
      <w:rFonts w:ascii="Times LatArm" w:eastAsia="Calibri" w:hAnsi="Times LatArm" w:cs="Times LatArm"/>
      <w:sz w:val="22"/>
      <w:szCs w:val="22"/>
      <w:lang w:val="en-GB" w:eastAsia="en-US" w:bidi="ar-SA"/>
    </w:rPr>
  </w:style>
  <w:style w:type="character" w:customStyle="1" w:styleId="CharChar81">
    <w:name w:val="Char Char81"/>
    <w:locked/>
    <w:rsid w:val="005150E5"/>
    <w:rPr>
      <w:rFonts w:ascii="Times Armenian" w:eastAsia="Calibri" w:hAnsi="Times Armenian" w:cs="Times Armenian"/>
      <w:color w:val="993300"/>
      <w:sz w:val="22"/>
      <w:szCs w:val="22"/>
      <w:lang w:val="hy-AM" w:eastAsia="en-US" w:bidi="ar-SA"/>
    </w:rPr>
  </w:style>
  <w:style w:type="character" w:customStyle="1" w:styleId="CharChar71">
    <w:name w:val="Char Char71"/>
    <w:locked/>
    <w:rsid w:val="005150E5"/>
    <w:rPr>
      <w:rFonts w:ascii="Courier New" w:eastAsia="Calibri" w:hAnsi="Courier New" w:cs="Courier New"/>
      <w:lang w:val="en-US" w:eastAsia="en-US" w:bidi="ar-SA"/>
    </w:rPr>
  </w:style>
  <w:style w:type="character" w:customStyle="1" w:styleId="CharChar41">
    <w:name w:val="Char Char41"/>
    <w:locked/>
    <w:rsid w:val="005150E5"/>
    <w:rPr>
      <w:rFonts w:eastAsia="Calibri"/>
      <w:sz w:val="22"/>
      <w:szCs w:val="22"/>
      <w:lang w:val="en-GB" w:eastAsia="en-US" w:bidi="ar-SA"/>
    </w:rPr>
  </w:style>
  <w:style w:type="character" w:customStyle="1" w:styleId="CharChar36">
    <w:name w:val="Char Char36"/>
    <w:locked/>
    <w:rsid w:val="005150E5"/>
    <w:rPr>
      <w:rFonts w:eastAsia="Calibri"/>
      <w:sz w:val="22"/>
      <w:szCs w:val="22"/>
      <w:lang w:val="en-GB" w:eastAsia="en-US" w:bidi="ar-SA"/>
    </w:rPr>
  </w:style>
  <w:style w:type="character" w:customStyle="1" w:styleId="CharChar210">
    <w:name w:val="Char Char210"/>
    <w:locked/>
    <w:rsid w:val="005150E5"/>
    <w:rPr>
      <w:rFonts w:ascii="Times Armenian" w:eastAsia="Calibri" w:hAnsi="Times Armenian" w:cs="Times Armenian"/>
      <w:b/>
      <w:bCs/>
      <w:sz w:val="22"/>
      <w:szCs w:val="22"/>
      <w:lang w:val="en-US" w:eastAsia="en-US" w:bidi="ar-SA"/>
    </w:rPr>
  </w:style>
  <w:style w:type="table" w:customStyle="1" w:styleId="TableGrid63">
    <w:name w:val="Table Grid63"/>
    <w:basedOn w:val="TableNormal"/>
    <w:next w:val="TableGrid"/>
    <w:uiPriority w:val="39"/>
    <w:rsid w:val="005150E5"/>
    <w:pPr>
      <w:jc w:val="center"/>
    </w:pPr>
    <w:rPr>
      <w:rFonts w:ascii="Sylfaen" w:eastAsia="Calibri" w:hAnsi="Sylfaen"/>
      <w:sz w:val="24"/>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
    <w:name w:val="Grid Table 1 Light - Accent 511"/>
    <w:basedOn w:val="TableNormal"/>
    <w:uiPriority w:val="46"/>
    <w:rsid w:val="005150E5"/>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3">
    <w:name w:val="Table Grid223"/>
    <w:basedOn w:val="TableNormal"/>
    <w:next w:val="TableGrid"/>
    <w:uiPriority w:val="39"/>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
    <w:basedOn w:val="TableNormal"/>
    <w:next w:val="TableGrid"/>
    <w:uiPriority w:val="39"/>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 Grid82"/>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150E5"/>
    <w:rPr>
      <w:color w:val="605E5C"/>
      <w:shd w:val="clear" w:color="auto" w:fill="E1DFDD"/>
    </w:rPr>
  </w:style>
  <w:style w:type="table" w:customStyle="1" w:styleId="GridTable1Light-Accent11">
    <w:name w:val="Grid Table 1 Light - Accent 11"/>
    <w:basedOn w:val="TableNormal"/>
    <w:uiPriority w:val="46"/>
    <w:rsid w:val="005150E5"/>
    <w:rPr>
      <w:rFonts w:ascii="Calibri" w:eastAsia="Calibri" w:hAnsi="Calibri"/>
      <w:sz w:val="22"/>
      <w:szCs w:val="22"/>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character" w:customStyle="1" w:styleId="Heading5Char2">
    <w:name w:val="Heading 5 Char2"/>
    <w:basedOn w:val="DefaultParagraphFont"/>
    <w:uiPriority w:val="9"/>
    <w:semiHidden/>
    <w:rsid w:val="005150E5"/>
    <w:rPr>
      <w:rFonts w:ascii="Calibri Light" w:eastAsia="Times New Roman" w:hAnsi="Calibri Light" w:cs="Times New Roman"/>
      <w:color w:val="2E74B5"/>
      <w:sz w:val="24"/>
      <w:szCs w:val="24"/>
    </w:rPr>
  </w:style>
  <w:style w:type="character" w:customStyle="1" w:styleId="Heading6Char2">
    <w:name w:val="Heading 6 Char2"/>
    <w:basedOn w:val="DefaultParagraphFont"/>
    <w:uiPriority w:val="9"/>
    <w:semiHidden/>
    <w:rsid w:val="005150E5"/>
    <w:rPr>
      <w:rFonts w:ascii="Calibri Light" w:eastAsia="Times New Roman" w:hAnsi="Calibri Light" w:cs="Times New Roman"/>
      <w:color w:val="1F4D78"/>
      <w:sz w:val="24"/>
      <w:szCs w:val="24"/>
    </w:rPr>
  </w:style>
  <w:style w:type="character" w:customStyle="1" w:styleId="Heading7Char2">
    <w:name w:val="Heading 7 Char2"/>
    <w:basedOn w:val="DefaultParagraphFont"/>
    <w:uiPriority w:val="9"/>
    <w:semiHidden/>
    <w:rsid w:val="005150E5"/>
    <w:rPr>
      <w:rFonts w:ascii="Calibri Light" w:eastAsia="Times New Roman" w:hAnsi="Calibri Light" w:cs="Times New Roman"/>
      <w:i/>
      <w:iCs/>
      <w:color w:val="1F4D78"/>
      <w:sz w:val="24"/>
      <w:szCs w:val="24"/>
    </w:rPr>
  </w:style>
  <w:style w:type="character" w:customStyle="1" w:styleId="Heading8Char2">
    <w:name w:val="Heading 8 Char2"/>
    <w:basedOn w:val="DefaultParagraphFont"/>
    <w:uiPriority w:val="9"/>
    <w:semiHidden/>
    <w:rsid w:val="005150E5"/>
    <w:rPr>
      <w:rFonts w:ascii="Calibri Light" w:eastAsia="Times New Roman" w:hAnsi="Calibri Light" w:cs="Times New Roman"/>
      <w:color w:val="272727"/>
      <w:sz w:val="21"/>
      <w:szCs w:val="21"/>
    </w:rPr>
  </w:style>
  <w:style w:type="character" w:customStyle="1" w:styleId="Heading9Char2">
    <w:name w:val="Heading 9 Char2"/>
    <w:basedOn w:val="DefaultParagraphFont"/>
    <w:uiPriority w:val="9"/>
    <w:semiHidden/>
    <w:rsid w:val="005150E5"/>
    <w:rPr>
      <w:rFonts w:ascii="Calibri Light" w:eastAsia="Times New Roman" w:hAnsi="Calibri Light" w:cs="Times New Roman"/>
      <w:i/>
      <w:iCs/>
      <w:color w:val="272727"/>
      <w:sz w:val="21"/>
      <w:szCs w:val="21"/>
    </w:rPr>
  </w:style>
  <w:style w:type="character" w:customStyle="1" w:styleId="BodyTextIndent3Char2">
    <w:name w:val="Body Text Indent 3 Char2"/>
    <w:basedOn w:val="DefaultParagraphFont"/>
    <w:uiPriority w:val="99"/>
    <w:rsid w:val="005150E5"/>
    <w:rPr>
      <w:rFonts w:ascii="Times New Roman" w:eastAsia="Times New Roman" w:hAnsi="Times New Roman" w:cs="Times New Roman"/>
      <w:sz w:val="16"/>
      <w:szCs w:val="16"/>
    </w:rPr>
  </w:style>
  <w:style w:type="character" w:customStyle="1" w:styleId="BodyTextIndent2Char2">
    <w:name w:val="Body Text Indent 2 Char2"/>
    <w:basedOn w:val="DefaultParagraphFont"/>
    <w:uiPriority w:val="99"/>
    <w:rsid w:val="005150E5"/>
    <w:rPr>
      <w:rFonts w:ascii="Times New Roman" w:eastAsia="Times New Roman" w:hAnsi="Times New Roman" w:cs="Times New Roman"/>
      <w:sz w:val="24"/>
      <w:szCs w:val="24"/>
    </w:rPr>
  </w:style>
  <w:style w:type="character" w:customStyle="1" w:styleId="BodyText3Char2">
    <w:name w:val="Body Text 3 Char2"/>
    <w:basedOn w:val="DefaultParagraphFont"/>
    <w:uiPriority w:val="99"/>
    <w:rsid w:val="005150E5"/>
    <w:rPr>
      <w:rFonts w:ascii="Times New Roman" w:eastAsia="Times New Roman" w:hAnsi="Times New Roman" w:cs="Times New Roman"/>
      <w:sz w:val="16"/>
      <w:szCs w:val="16"/>
    </w:rPr>
  </w:style>
  <w:style w:type="character" w:customStyle="1" w:styleId="EndnoteTextChar2">
    <w:name w:val="Endnote Text Char2"/>
    <w:basedOn w:val="DefaultParagraphFont"/>
    <w:uiPriority w:val="99"/>
    <w:rsid w:val="005150E5"/>
    <w:rPr>
      <w:rFonts w:ascii="Times New Roman" w:eastAsia="Times New Roman" w:hAnsi="Times New Roman" w:cs="Times New Roman"/>
      <w:sz w:val="20"/>
      <w:szCs w:val="20"/>
    </w:rPr>
  </w:style>
  <w:style w:type="character" w:customStyle="1" w:styleId="TitleChar2">
    <w:name w:val="Title Char2"/>
    <w:basedOn w:val="DefaultParagraphFont"/>
    <w:uiPriority w:val="10"/>
    <w:rsid w:val="005150E5"/>
    <w:rPr>
      <w:rFonts w:ascii="Calibri Light" w:eastAsia="Times New Roman" w:hAnsi="Calibri Light" w:cs="Times New Roman"/>
      <w:spacing w:val="-10"/>
      <w:kern w:val="28"/>
      <w:sz w:val="56"/>
      <w:szCs w:val="56"/>
    </w:rPr>
  </w:style>
  <w:style w:type="character" w:customStyle="1" w:styleId="PlainTextChar2">
    <w:name w:val="Plain Text Char2"/>
    <w:basedOn w:val="DefaultParagraphFont"/>
    <w:uiPriority w:val="99"/>
    <w:rsid w:val="005150E5"/>
    <w:rPr>
      <w:rFonts w:ascii="Consolas" w:eastAsia="Times New Roman" w:hAnsi="Consolas" w:cs="Times New Roman"/>
      <w:sz w:val="21"/>
      <w:szCs w:val="21"/>
    </w:rPr>
  </w:style>
  <w:style w:type="table" w:customStyle="1" w:styleId="TableList78">
    <w:name w:val="Table List 78"/>
    <w:basedOn w:val="TableNormal"/>
    <w:next w:val="TableList7"/>
    <w:uiPriority w:val="99"/>
    <w:semiHidden/>
    <w:unhideWhenUsed/>
    <w:rsid w:val="005150E5"/>
    <w:rPr>
      <w:rFonts w:ascii="Calibri" w:eastAsia="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8">
    <w:name w:val="Table Web 38"/>
    <w:basedOn w:val="TableNormal"/>
    <w:next w:val="TableWeb3"/>
    <w:uiPriority w:val="99"/>
    <w:semiHidden/>
    <w:unhideWhenUsed/>
    <w:rsid w:val="005150E5"/>
    <w:rPr>
      <w:rFonts w:ascii="Calibri" w:eastAsia="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8">
    <w:name w:val="Table Elegant8"/>
    <w:basedOn w:val="TableNormal"/>
    <w:next w:val="TableElegant"/>
    <w:uiPriority w:val="99"/>
    <w:semiHidden/>
    <w:unhideWhenUsed/>
    <w:rsid w:val="005150E5"/>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SubtitleChar3">
    <w:name w:val="Subtitle Char3"/>
    <w:basedOn w:val="DefaultParagraphFont"/>
    <w:uiPriority w:val="11"/>
    <w:rsid w:val="005150E5"/>
    <w:rPr>
      <w:rFonts w:eastAsia="Times New Roman"/>
      <w:color w:val="5A5A5A"/>
      <w:spacing w:val="15"/>
    </w:rPr>
  </w:style>
  <w:style w:type="table" w:customStyle="1" w:styleId="TableWeb28">
    <w:name w:val="Table Web 28"/>
    <w:basedOn w:val="TableNormal"/>
    <w:next w:val="TableWeb2"/>
    <w:uiPriority w:val="99"/>
    <w:semiHidden/>
    <w:unhideWhenUsed/>
    <w:rsid w:val="005150E5"/>
    <w:rPr>
      <w:rFonts w:ascii="Calibri" w:eastAsia="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8">
    <w:name w:val="Table Web 18"/>
    <w:basedOn w:val="TableNormal"/>
    <w:next w:val="TableWeb1"/>
    <w:uiPriority w:val="99"/>
    <w:semiHidden/>
    <w:unhideWhenUsed/>
    <w:rsid w:val="005150E5"/>
    <w:rPr>
      <w:rFonts w:ascii="Calibri" w:eastAsia="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BodyTextFirstIndentChar3">
    <w:name w:val="Body Text First Indent Char3"/>
    <w:basedOn w:val="BodyTextChar1"/>
    <w:uiPriority w:val="99"/>
    <w:rsid w:val="005150E5"/>
    <w:rPr>
      <w:rFonts w:ascii="Times New Roman" w:eastAsia="Times New Roman" w:hAnsi="Times New Roman" w:cs="Times New Roman"/>
      <w:sz w:val="24"/>
      <w:szCs w:val="24"/>
    </w:rPr>
  </w:style>
  <w:style w:type="table" w:customStyle="1" w:styleId="TableGrid88">
    <w:name w:val="Table Grid 88"/>
    <w:basedOn w:val="TableNormal"/>
    <w:next w:val="TableGrid8"/>
    <w:uiPriority w:val="99"/>
    <w:semiHidden/>
    <w:unhideWhenUsed/>
    <w:rsid w:val="005150E5"/>
    <w:rPr>
      <w:rFonts w:ascii="Calibri" w:eastAsia="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8">
    <w:name w:val="Table Contemporary8"/>
    <w:basedOn w:val="TableNormal"/>
    <w:next w:val="TableContemporary"/>
    <w:uiPriority w:val="99"/>
    <w:semiHidden/>
    <w:unhideWhenUsed/>
    <w:rsid w:val="005150E5"/>
    <w:rPr>
      <w:rFonts w:ascii="Calibri" w:eastAsia="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DocumentMapChar2">
    <w:name w:val="Document Map Char2"/>
    <w:basedOn w:val="DefaultParagraphFont"/>
    <w:uiPriority w:val="99"/>
    <w:rsid w:val="005150E5"/>
    <w:rPr>
      <w:rFonts w:ascii="Segoe UI" w:eastAsia="Times New Roman" w:hAnsi="Segoe UI" w:cs="Segoe UI"/>
      <w:sz w:val="16"/>
      <w:szCs w:val="16"/>
    </w:rPr>
  </w:style>
  <w:style w:type="character" w:customStyle="1" w:styleId="QuoteChar1">
    <w:name w:val="Quote Char1"/>
    <w:basedOn w:val="DefaultParagraphFont"/>
    <w:uiPriority w:val="29"/>
    <w:rsid w:val="005150E5"/>
    <w:rPr>
      <w:rFonts w:ascii="Times New Roman" w:eastAsia="Times New Roman" w:hAnsi="Times New Roman" w:cs="Times New Roman"/>
      <w:i/>
      <w:iCs/>
      <w:color w:val="404040"/>
      <w:sz w:val="24"/>
      <w:szCs w:val="24"/>
    </w:rPr>
  </w:style>
  <w:style w:type="table" w:customStyle="1" w:styleId="LightList-Accent127">
    <w:name w:val="Light List - Accent 127"/>
    <w:basedOn w:val="TableNormal"/>
    <w:next w:val="LightList-Accent1"/>
    <w:uiPriority w:val="61"/>
    <w:semiHidden/>
    <w:unhideWhenUsed/>
    <w:rsid w:val="005150E5"/>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78">
    <w:name w:val="Table Grid 78"/>
    <w:basedOn w:val="TableNormal"/>
    <w:next w:val="TableGrid7"/>
    <w:uiPriority w:val="99"/>
    <w:semiHidden/>
    <w:unhideWhenUsed/>
    <w:rsid w:val="005150E5"/>
    <w:rPr>
      <w:rFonts w:ascii="Calibri" w:eastAsia="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9">
    <w:name w:val="Colorful Grid - Accent 19"/>
    <w:basedOn w:val="TableNormal"/>
    <w:next w:val="ColorfulGrid-Accent1"/>
    <w:uiPriority w:val="73"/>
    <w:semiHidden/>
    <w:unhideWhenUsed/>
    <w:rsid w:val="005150E5"/>
    <w:rPr>
      <w:rFonts w:ascii="Calibri" w:eastAsia="Calibri" w:hAnsi="Calibri"/>
      <w:color w:val="000000"/>
      <w:sz w:val="22"/>
      <w:szCs w:val="22"/>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LightList-Accent510">
    <w:name w:val="Light List - Accent 510"/>
    <w:basedOn w:val="TableNormal"/>
    <w:next w:val="LightList-Accent5"/>
    <w:uiPriority w:val="61"/>
    <w:semiHidden/>
    <w:unhideWhenUsed/>
    <w:rsid w:val="005150E5"/>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eSimple38">
    <w:name w:val="Table Simple 38"/>
    <w:basedOn w:val="TableNormal"/>
    <w:next w:val="TableSimple3"/>
    <w:uiPriority w:val="99"/>
    <w:semiHidden/>
    <w:unhideWhenUsed/>
    <w:rsid w:val="005150E5"/>
    <w:rPr>
      <w:rFonts w:ascii="Calibri" w:eastAsia="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8">
    <w:name w:val="Table Grid 58"/>
    <w:basedOn w:val="TableNormal"/>
    <w:next w:val="TableGrid5"/>
    <w:uiPriority w:val="99"/>
    <w:semiHidden/>
    <w:unhideWhenUsed/>
    <w:rsid w:val="005150E5"/>
    <w:rPr>
      <w:rFonts w:ascii="Calibri" w:eastAsia="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8">
    <w:name w:val="Table Grid 38"/>
    <w:basedOn w:val="TableNormal"/>
    <w:next w:val="TableGrid3"/>
    <w:uiPriority w:val="99"/>
    <w:semiHidden/>
    <w:unhideWhenUsed/>
    <w:rsid w:val="005150E5"/>
    <w:rPr>
      <w:rFonts w:ascii="Calibri" w:eastAsia="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80">
    <w:name w:val="Table Grid 18"/>
    <w:basedOn w:val="TableNormal"/>
    <w:next w:val="TableGrid10"/>
    <w:uiPriority w:val="99"/>
    <w:semiHidden/>
    <w:unhideWhenUsed/>
    <w:rsid w:val="005150E5"/>
    <w:rPr>
      <w:rFonts w:ascii="Calibri" w:eastAsia="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8">
    <w:name w:val="Table Columns 58"/>
    <w:basedOn w:val="TableNormal"/>
    <w:next w:val="TableColumns5"/>
    <w:uiPriority w:val="99"/>
    <w:semiHidden/>
    <w:unhideWhenUsed/>
    <w:rsid w:val="005150E5"/>
    <w:rPr>
      <w:rFonts w:ascii="Calibri" w:eastAsia="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customStyle="1" w:styleId="IntenseQuoteChar1">
    <w:name w:val="Intense Quote Char1"/>
    <w:basedOn w:val="DefaultParagraphFont"/>
    <w:uiPriority w:val="30"/>
    <w:rsid w:val="005150E5"/>
    <w:rPr>
      <w:rFonts w:ascii="Times New Roman" w:eastAsia="Times New Roman" w:hAnsi="Times New Roman" w:cs="Times New Roman"/>
      <w:i/>
      <w:iCs/>
      <w:color w:val="5B9BD5"/>
      <w:sz w:val="24"/>
      <w:szCs w:val="24"/>
    </w:rPr>
  </w:style>
  <w:style w:type="table" w:customStyle="1" w:styleId="Table3Deffects38">
    <w:name w:val="Table 3D effects 38"/>
    <w:basedOn w:val="TableNormal"/>
    <w:next w:val="Table3Deffects3"/>
    <w:uiPriority w:val="99"/>
    <w:semiHidden/>
    <w:unhideWhenUsed/>
    <w:rsid w:val="005150E5"/>
    <w:rPr>
      <w:rFonts w:ascii="Calibri" w:eastAsia="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z-TopofFormChar1">
    <w:name w:val="z-Top of Form Char1"/>
    <w:basedOn w:val="DefaultParagraphFont"/>
    <w:uiPriority w:val="99"/>
    <w:semiHidden/>
    <w:rsid w:val="005150E5"/>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5150E5"/>
    <w:rPr>
      <w:rFonts w:ascii="Arial" w:eastAsia="Times New Roman" w:hAnsi="Arial" w:cs="Arial"/>
      <w:vanish/>
      <w:sz w:val="16"/>
      <w:szCs w:val="16"/>
    </w:rPr>
  </w:style>
  <w:style w:type="character" w:customStyle="1" w:styleId="HTMLPreformattedChar1">
    <w:name w:val="HTML Preformatted Char1"/>
    <w:basedOn w:val="DefaultParagraphFont"/>
    <w:uiPriority w:val="99"/>
    <w:rsid w:val="005150E5"/>
    <w:rPr>
      <w:rFonts w:ascii="Consolas" w:eastAsia="Times New Roman" w:hAnsi="Consolas" w:cs="Times New Roman"/>
      <w:sz w:val="20"/>
      <w:szCs w:val="20"/>
    </w:rPr>
  </w:style>
  <w:style w:type="numbering" w:customStyle="1" w:styleId="NoList153">
    <w:name w:val="No List153"/>
    <w:next w:val="NoList"/>
    <w:uiPriority w:val="99"/>
    <w:semiHidden/>
    <w:unhideWhenUsed/>
    <w:rsid w:val="005150E5"/>
  </w:style>
  <w:style w:type="table" w:customStyle="1" w:styleId="TableGrid123">
    <w:name w:val="Table Grid123"/>
    <w:basedOn w:val="TableNormal"/>
    <w:next w:val="TableGrid"/>
    <w:uiPriority w:val="39"/>
    <w:rsid w:val="005150E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42">
    <w:name w:val="TOC 42"/>
    <w:basedOn w:val="Normal"/>
    <w:next w:val="Normal"/>
    <w:autoRedefine/>
    <w:uiPriority w:val="39"/>
    <w:rsid w:val="005150E5"/>
    <w:pPr>
      <w:spacing w:before="0" w:line="312" w:lineRule="auto"/>
      <w:ind w:left="660"/>
      <w:jc w:val="left"/>
    </w:pPr>
    <w:rPr>
      <w:rFonts w:ascii="Calibri" w:hAnsi="Calibri" w:cs="Calibri"/>
      <w:b w:val="0"/>
      <w:sz w:val="20"/>
      <w:szCs w:val="20"/>
      <w:lang w:val="en-US" w:eastAsia="en-US"/>
    </w:rPr>
  </w:style>
  <w:style w:type="paragraph" w:customStyle="1" w:styleId="TOC52">
    <w:name w:val="TOC 52"/>
    <w:basedOn w:val="Normal"/>
    <w:next w:val="Normal"/>
    <w:autoRedefine/>
    <w:uiPriority w:val="39"/>
    <w:rsid w:val="005150E5"/>
    <w:pPr>
      <w:spacing w:before="0" w:line="312" w:lineRule="auto"/>
      <w:ind w:left="880"/>
      <w:jc w:val="left"/>
    </w:pPr>
    <w:rPr>
      <w:rFonts w:ascii="Calibri" w:hAnsi="Calibri" w:cs="Calibri"/>
      <w:b w:val="0"/>
      <w:sz w:val="20"/>
      <w:szCs w:val="20"/>
      <w:lang w:val="en-US" w:eastAsia="en-US"/>
    </w:rPr>
  </w:style>
  <w:style w:type="paragraph" w:customStyle="1" w:styleId="TOC62">
    <w:name w:val="TOC 62"/>
    <w:basedOn w:val="Normal"/>
    <w:next w:val="Normal"/>
    <w:autoRedefine/>
    <w:uiPriority w:val="39"/>
    <w:rsid w:val="005150E5"/>
    <w:pPr>
      <w:spacing w:before="0" w:line="312" w:lineRule="auto"/>
      <w:ind w:left="1100"/>
      <w:jc w:val="left"/>
    </w:pPr>
    <w:rPr>
      <w:rFonts w:ascii="Calibri" w:hAnsi="Calibri" w:cs="Calibri"/>
      <w:b w:val="0"/>
      <w:sz w:val="20"/>
      <w:szCs w:val="20"/>
      <w:lang w:val="en-US" w:eastAsia="en-US"/>
    </w:rPr>
  </w:style>
  <w:style w:type="paragraph" w:customStyle="1" w:styleId="TOC72">
    <w:name w:val="TOC 72"/>
    <w:basedOn w:val="Normal"/>
    <w:next w:val="Normal"/>
    <w:autoRedefine/>
    <w:uiPriority w:val="39"/>
    <w:rsid w:val="005150E5"/>
    <w:pPr>
      <w:spacing w:before="0" w:line="312" w:lineRule="auto"/>
      <w:ind w:left="1320"/>
      <w:jc w:val="left"/>
    </w:pPr>
    <w:rPr>
      <w:rFonts w:ascii="Calibri" w:hAnsi="Calibri" w:cs="Calibri"/>
      <w:b w:val="0"/>
      <w:sz w:val="20"/>
      <w:szCs w:val="20"/>
      <w:lang w:val="en-US" w:eastAsia="en-US"/>
    </w:rPr>
  </w:style>
  <w:style w:type="paragraph" w:customStyle="1" w:styleId="TOC82">
    <w:name w:val="TOC 82"/>
    <w:basedOn w:val="Normal"/>
    <w:next w:val="Normal"/>
    <w:autoRedefine/>
    <w:uiPriority w:val="39"/>
    <w:rsid w:val="005150E5"/>
    <w:pPr>
      <w:spacing w:before="0" w:line="312" w:lineRule="auto"/>
      <w:ind w:left="1540"/>
      <w:jc w:val="left"/>
    </w:pPr>
    <w:rPr>
      <w:rFonts w:ascii="Calibri" w:hAnsi="Calibri" w:cs="Calibri"/>
      <w:b w:val="0"/>
      <w:sz w:val="20"/>
      <w:szCs w:val="20"/>
      <w:lang w:val="en-US" w:eastAsia="en-US"/>
    </w:rPr>
  </w:style>
  <w:style w:type="paragraph" w:customStyle="1" w:styleId="TOC92">
    <w:name w:val="TOC 92"/>
    <w:basedOn w:val="Normal"/>
    <w:next w:val="Normal"/>
    <w:autoRedefine/>
    <w:uiPriority w:val="39"/>
    <w:rsid w:val="005150E5"/>
    <w:pPr>
      <w:spacing w:before="0" w:line="312" w:lineRule="auto"/>
      <w:ind w:left="1760"/>
      <w:jc w:val="left"/>
    </w:pPr>
    <w:rPr>
      <w:rFonts w:ascii="Calibri" w:hAnsi="Calibri" w:cs="Calibri"/>
      <w:b w:val="0"/>
      <w:sz w:val="20"/>
      <w:szCs w:val="20"/>
      <w:lang w:val="en-US" w:eastAsia="en-US"/>
    </w:rPr>
  </w:style>
  <w:style w:type="table" w:customStyle="1" w:styleId="TableList723">
    <w:name w:val="Table List 723"/>
    <w:basedOn w:val="TableNormal"/>
    <w:next w:val="TableList7"/>
    <w:rsid w:val="005150E5"/>
    <w:pPr>
      <w:spacing w:after="200"/>
    </w:pPr>
    <w:rPr>
      <w:rFonts w:ascii="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3">
    <w:name w:val="Table Web 323"/>
    <w:basedOn w:val="TableNormal"/>
    <w:next w:val="TableWeb3"/>
    <w:rsid w:val="005150E5"/>
    <w:pPr>
      <w:spacing w:after="200"/>
    </w:pPr>
    <w:rPr>
      <w:rFonts w:ascii="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3">
    <w:name w:val="Table Elegant23"/>
    <w:basedOn w:val="TableNormal"/>
    <w:next w:val="TableElegant"/>
    <w:rsid w:val="005150E5"/>
    <w:pPr>
      <w:spacing w:after="200"/>
    </w:pPr>
    <w:rPr>
      <w:rFonts w:ascii="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3">
    <w:name w:val="Table Web 233"/>
    <w:basedOn w:val="TableNormal"/>
    <w:next w:val="TableWeb2"/>
    <w:rsid w:val="005150E5"/>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3">
    <w:name w:val="Table Web 133"/>
    <w:basedOn w:val="TableNormal"/>
    <w:next w:val="TableWeb1"/>
    <w:rsid w:val="005150E5"/>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3">
    <w:name w:val="Table Grid 833"/>
    <w:basedOn w:val="TableNormal"/>
    <w:next w:val="TableGrid8"/>
    <w:rsid w:val="005150E5"/>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3">
    <w:name w:val="Table Contemporary33"/>
    <w:basedOn w:val="TableNormal"/>
    <w:next w:val="TableContemporary"/>
    <w:rsid w:val="005150E5"/>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63">
    <w:name w:val="No List163"/>
    <w:next w:val="NoList"/>
    <w:semiHidden/>
    <w:unhideWhenUsed/>
    <w:rsid w:val="005150E5"/>
  </w:style>
  <w:style w:type="numbering" w:customStyle="1" w:styleId="NoList233">
    <w:name w:val="No List233"/>
    <w:next w:val="NoList"/>
    <w:semiHidden/>
    <w:unhideWhenUsed/>
    <w:rsid w:val="005150E5"/>
  </w:style>
  <w:style w:type="numbering" w:customStyle="1" w:styleId="NoList333">
    <w:name w:val="No List333"/>
    <w:next w:val="NoList"/>
    <w:semiHidden/>
    <w:unhideWhenUsed/>
    <w:rsid w:val="005150E5"/>
  </w:style>
  <w:style w:type="table" w:customStyle="1" w:styleId="LightList-Accent133">
    <w:name w:val="Light List - Accent 133"/>
    <w:basedOn w:val="TableNormal"/>
    <w:next w:val="LightList-Accent1"/>
    <w:uiPriority w:val="61"/>
    <w:rsid w:val="005150E5"/>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3">
    <w:name w:val="Table Grid 723"/>
    <w:basedOn w:val="TableNormal"/>
    <w:next w:val="TableGrid7"/>
    <w:rsid w:val="005150E5"/>
    <w:pPr>
      <w:spacing w:after="200"/>
    </w:pPr>
    <w:rPr>
      <w:rFonts w:ascii="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3">
    <w:name w:val="Colorful Grid - Accent 143"/>
    <w:basedOn w:val="TableNormal"/>
    <w:next w:val="ColorfulGrid-Accent1"/>
    <w:uiPriority w:val="73"/>
    <w:rsid w:val="005150E5"/>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3">
    <w:name w:val="Light List - Accent 543"/>
    <w:basedOn w:val="TableNormal"/>
    <w:next w:val="LightList-Accent5"/>
    <w:uiPriority w:val="61"/>
    <w:rsid w:val="005150E5"/>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3">
    <w:name w:val="Table Simple 323"/>
    <w:basedOn w:val="TableNormal"/>
    <w:next w:val="TableSimple3"/>
    <w:rsid w:val="005150E5"/>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3">
    <w:name w:val="Table Grid 523"/>
    <w:basedOn w:val="TableNormal"/>
    <w:next w:val="TableGrid5"/>
    <w:rsid w:val="005150E5"/>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3">
    <w:name w:val="Table Grid 323"/>
    <w:basedOn w:val="TableNormal"/>
    <w:next w:val="TableGrid3"/>
    <w:rsid w:val="005150E5"/>
    <w:pPr>
      <w:spacing w:after="200"/>
    </w:pPr>
    <w:rPr>
      <w:rFonts w:ascii="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30">
    <w:name w:val="Table Grid 123"/>
    <w:basedOn w:val="TableNormal"/>
    <w:next w:val="TableGrid10"/>
    <w:rsid w:val="005150E5"/>
    <w:pPr>
      <w:spacing w:after="200"/>
    </w:pPr>
    <w:rPr>
      <w:rFonts w:ascii="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3">
    <w:name w:val="Table Columns 523"/>
    <w:basedOn w:val="TableNormal"/>
    <w:next w:val="TableColumns5"/>
    <w:rsid w:val="005150E5"/>
    <w:pPr>
      <w:spacing w:after="200"/>
    </w:pPr>
    <w:rPr>
      <w:rFonts w:ascii="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3">
    <w:name w:val="Light List - Accent 1123"/>
    <w:basedOn w:val="TableNormal"/>
    <w:uiPriority w:val="61"/>
    <w:rsid w:val="005150E5"/>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3">
    <w:name w:val="Нет списка143"/>
    <w:next w:val="NoList"/>
    <w:semiHidden/>
    <w:unhideWhenUsed/>
    <w:rsid w:val="005150E5"/>
  </w:style>
  <w:style w:type="table" w:customStyle="1" w:styleId="ColorfulGrid-Accent1123">
    <w:name w:val="Colorful Grid - Accent 1123"/>
    <w:basedOn w:val="TableNormal"/>
    <w:rsid w:val="005150E5"/>
    <w:pPr>
      <w:spacing w:after="200"/>
    </w:pPr>
    <w:rPr>
      <w:rFonts w:ascii="Calibri" w:hAnsi="Calibri"/>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3">
    <w:name w:val="Light List - Accent 5123"/>
    <w:basedOn w:val="TableNormal"/>
    <w:rsid w:val="005150E5"/>
    <w:pPr>
      <w:spacing w:after="200"/>
    </w:pPr>
    <w:rPr>
      <w:rFonts w:ascii="Calibri" w:hAnsi="Calibri"/>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3">
    <w:name w:val="No List433"/>
    <w:next w:val="NoList"/>
    <w:semiHidden/>
    <w:rsid w:val="005150E5"/>
  </w:style>
  <w:style w:type="numbering" w:customStyle="1" w:styleId="NoList1133">
    <w:name w:val="No List1133"/>
    <w:next w:val="NoList"/>
    <w:semiHidden/>
    <w:unhideWhenUsed/>
    <w:rsid w:val="005150E5"/>
  </w:style>
  <w:style w:type="table" w:customStyle="1" w:styleId="Table3Deffects323">
    <w:name w:val="Table 3D effects 323"/>
    <w:basedOn w:val="TableNormal"/>
    <w:next w:val="Table3Deffects3"/>
    <w:rsid w:val="005150E5"/>
    <w:pPr>
      <w:spacing w:after="200"/>
    </w:pPr>
    <w:rPr>
      <w:rFonts w:ascii="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3">
    <w:name w:val="Нет списка1133"/>
    <w:next w:val="NoList"/>
    <w:semiHidden/>
    <w:unhideWhenUsed/>
    <w:rsid w:val="005150E5"/>
  </w:style>
  <w:style w:type="table" w:customStyle="1" w:styleId="TableGrid133">
    <w:name w:val="Table Grid133"/>
    <w:basedOn w:val="TableNormal"/>
    <w:next w:val="TableGrid"/>
    <w:rsid w:val="005150E5"/>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23">
    <w:name w:val="No List523"/>
    <w:next w:val="NoList"/>
    <w:uiPriority w:val="99"/>
    <w:semiHidden/>
    <w:rsid w:val="005150E5"/>
  </w:style>
  <w:style w:type="numbering" w:customStyle="1" w:styleId="NoList621">
    <w:name w:val="No List621"/>
    <w:next w:val="NoList"/>
    <w:uiPriority w:val="99"/>
    <w:semiHidden/>
    <w:unhideWhenUsed/>
    <w:rsid w:val="005150E5"/>
  </w:style>
  <w:style w:type="table" w:customStyle="1" w:styleId="TableGrid232">
    <w:name w:val="Table Grid232"/>
    <w:basedOn w:val="TableNormal"/>
    <w:next w:val="TableGrid"/>
    <w:rsid w:val="005150E5"/>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21">
    <w:name w:val="No List721"/>
    <w:next w:val="NoList"/>
    <w:uiPriority w:val="99"/>
    <w:semiHidden/>
    <w:unhideWhenUsed/>
    <w:rsid w:val="005150E5"/>
  </w:style>
  <w:style w:type="numbering" w:customStyle="1" w:styleId="NoList1223">
    <w:name w:val="No List1223"/>
    <w:next w:val="NoList"/>
    <w:uiPriority w:val="99"/>
    <w:semiHidden/>
    <w:unhideWhenUsed/>
    <w:rsid w:val="005150E5"/>
  </w:style>
  <w:style w:type="table" w:customStyle="1" w:styleId="TableGrid3210">
    <w:name w:val="Table Grid321"/>
    <w:basedOn w:val="TableNormal"/>
    <w:next w:val="TableGrid"/>
    <w:rsid w:val="005150E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21">
    <w:name w:val="Table Web 2121"/>
    <w:basedOn w:val="TableNormal"/>
    <w:next w:val="TableWeb2"/>
    <w:rsid w:val="005150E5"/>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21">
    <w:name w:val="Table Web 1121"/>
    <w:basedOn w:val="TableNormal"/>
    <w:next w:val="TableWeb1"/>
    <w:rsid w:val="005150E5"/>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21">
    <w:name w:val="Table Grid 8121"/>
    <w:basedOn w:val="TableNormal"/>
    <w:next w:val="TableGrid8"/>
    <w:rsid w:val="005150E5"/>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21">
    <w:name w:val="Table Contemporary121"/>
    <w:basedOn w:val="TableNormal"/>
    <w:next w:val="TableContemporary"/>
    <w:rsid w:val="005150E5"/>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21">
    <w:name w:val="Colorful Grid - Accent 1221"/>
    <w:basedOn w:val="TableNormal"/>
    <w:next w:val="ColorfulGrid-Accent1"/>
    <w:uiPriority w:val="73"/>
    <w:rsid w:val="005150E5"/>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21">
    <w:name w:val="Light List - Accent 5221"/>
    <w:basedOn w:val="TableNormal"/>
    <w:next w:val="LightList-Accent5"/>
    <w:uiPriority w:val="61"/>
    <w:rsid w:val="005150E5"/>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21">
    <w:name w:val="No List821"/>
    <w:next w:val="NoList"/>
    <w:uiPriority w:val="99"/>
    <w:semiHidden/>
    <w:unhideWhenUsed/>
    <w:rsid w:val="005150E5"/>
  </w:style>
  <w:style w:type="numbering" w:customStyle="1" w:styleId="1221">
    <w:name w:val="Нет списка1221"/>
    <w:next w:val="NoList"/>
    <w:semiHidden/>
    <w:unhideWhenUsed/>
    <w:rsid w:val="005150E5"/>
  </w:style>
  <w:style w:type="numbering" w:customStyle="1" w:styleId="NoList1321">
    <w:name w:val="No List1321"/>
    <w:next w:val="NoList"/>
    <w:semiHidden/>
    <w:unhideWhenUsed/>
    <w:rsid w:val="005150E5"/>
  </w:style>
  <w:style w:type="numbering" w:customStyle="1" w:styleId="NoList2123">
    <w:name w:val="No List2123"/>
    <w:next w:val="NoList"/>
    <w:semiHidden/>
    <w:unhideWhenUsed/>
    <w:rsid w:val="005150E5"/>
  </w:style>
  <w:style w:type="numbering" w:customStyle="1" w:styleId="NoList3123">
    <w:name w:val="No List3123"/>
    <w:next w:val="NoList"/>
    <w:semiHidden/>
    <w:unhideWhenUsed/>
    <w:rsid w:val="005150E5"/>
  </w:style>
  <w:style w:type="numbering" w:customStyle="1" w:styleId="11131">
    <w:name w:val="Нет списка11131"/>
    <w:next w:val="NoList"/>
    <w:semiHidden/>
    <w:unhideWhenUsed/>
    <w:rsid w:val="005150E5"/>
  </w:style>
  <w:style w:type="numbering" w:customStyle="1" w:styleId="NoList4121">
    <w:name w:val="No List4121"/>
    <w:next w:val="NoList"/>
    <w:semiHidden/>
    <w:rsid w:val="005150E5"/>
  </w:style>
  <w:style w:type="numbering" w:customStyle="1" w:styleId="NoList11123">
    <w:name w:val="No List11123"/>
    <w:next w:val="NoList"/>
    <w:semiHidden/>
    <w:unhideWhenUsed/>
    <w:rsid w:val="005150E5"/>
  </w:style>
  <w:style w:type="numbering" w:customStyle="1" w:styleId="111121">
    <w:name w:val="Нет списка111121"/>
    <w:next w:val="NoList"/>
    <w:semiHidden/>
    <w:unhideWhenUsed/>
    <w:rsid w:val="005150E5"/>
  </w:style>
  <w:style w:type="numbering" w:customStyle="1" w:styleId="NoList912">
    <w:name w:val="No List912"/>
    <w:next w:val="NoList"/>
    <w:uiPriority w:val="99"/>
    <w:semiHidden/>
    <w:unhideWhenUsed/>
    <w:rsid w:val="005150E5"/>
  </w:style>
  <w:style w:type="table" w:customStyle="1" w:styleId="TableGrid421">
    <w:name w:val="Table Grid421"/>
    <w:basedOn w:val="TableNormal"/>
    <w:next w:val="TableGrid"/>
    <w:rsid w:val="005150E5"/>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2">
    <w:name w:val="Grid Table 1 Light - Accent 512"/>
    <w:basedOn w:val="TableNormal"/>
    <w:uiPriority w:val="46"/>
    <w:rsid w:val="005150E5"/>
    <w:pPr>
      <w:spacing w:after="200"/>
    </w:pPr>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1">
    <w:name w:val="Plain Table 311"/>
    <w:basedOn w:val="TableNormal"/>
    <w:uiPriority w:val="43"/>
    <w:rsid w:val="005150E5"/>
    <w:pPr>
      <w:spacing w:after="200"/>
    </w:pPr>
    <w:rPr>
      <w:rFonts w:ascii="Calibri" w:eastAsia="Calibri" w:hAnsi="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numbering" w:customStyle="1" w:styleId="NoList1012">
    <w:name w:val="No List1012"/>
    <w:next w:val="NoList"/>
    <w:uiPriority w:val="99"/>
    <w:semiHidden/>
    <w:unhideWhenUsed/>
    <w:rsid w:val="005150E5"/>
  </w:style>
  <w:style w:type="table" w:customStyle="1" w:styleId="TableGrid5120">
    <w:name w:val="Table Grid512"/>
    <w:basedOn w:val="TableNormal"/>
    <w:next w:val="TableGrid"/>
    <w:uiPriority w:val="39"/>
    <w:rsid w:val="005150E5"/>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21">
    <w:name w:val="Table List 7121"/>
    <w:basedOn w:val="TableNormal"/>
    <w:next w:val="TableList7"/>
    <w:rsid w:val="005150E5"/>
    <w:pPr>
      <w:spacing w:after="200"/>
    </w:pPr>
    <w:rPr>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21">
    <w:name w:val="Table Web 3121"/>
    <w:basedOn w:val="TableNormal"/>
    <w:next w:val="TableWeb3"/>
    <w:rsid w:val="005150E5"/>
    <w:pPr>
      <w:spacing w:after="200"/>
    </w:pPr>
    <w:rPr>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21">
    <w:name w:val="Table Elegant121"/>
    <w:basedOn w:val="TableNormal"/>
    <w:next w:val="TableElegant"/>
    <w:rsid w:val="005150E5"/>
    <w:pPr>
      <w:spacing w:after="200"/>
    </w:pPr>
    <w:rPr>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12">
    <w:name w:val="Table Web 2212"/>
    <w:basedOn w:val="TableNormal"/>
    <w:next w:val="TableWeb2"/>
    <w:rsid w:val="005150E5"/>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12">
    <w:name w:val="Table Web 1212"/>
    <w:basedOn w:val="TableNormal"/>
    <w:next w:val="TableWeb1"/>
    <w:rsid w:val="005150E5"/>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12">
    <w:name w:val="Table Grid 8212"/>
    <w:basedOn w:val="TableNormal"/>
    <w:next w:val="TableGrid8"/>
    <w:rsid w:val="005150E5"/>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12">
    <w:name w:val="Table Contemporary212"/>
    <w:basedOn w:val="TableNormal"/>
    <w:next w:val="TableContemporary"/>
    <w:rsid w:val="005150E5"/>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12">
    <w:name w:val="No List1412"/>
    <w:next w:val="NoList"/>
    <w:semiHidden/>
    <w:unhideWhenUsed/>
    <w:rsid w:val="005150E5"/>
  </w:style>
  <w:style w:type="numbering" w:customStyle="1" w:styleId="NoList2212">
    <w:name w:val="No List2212"/>
    <w:next w:val="NoList"/>
    <w:semiHidden/>
    <w:unhideWhenUsed/>
    <w:rsid w:val="005150E5"/>
  </w:style>
  <w:style w:type="numbering" w:customStyle="1" w:styleId="NoList3212">
    <w:name w:val="No List3212"/>
    <w:next w:val="NoList"/>
    <w:semiHidden/>
    <w:unhideWhenUsed/>
    <w:rsid w:val="005150E5"/>
  </w:style>
  <w:style w:type="table" w:customStyle="1" w:styleId="LightList-Accent1212">
    <w:name w:val="Light List - Accent 1212"/>
    <w:basedOn w:val="TableNormal"/>
    <w:uiPriority w:val="61"/>
    <w:rsid w:val="005150E5"/>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21">
    <w:name w:val="Table Grid 7121"/>
    <w:basedOn w:val="TableNormal"/>
    <w:next w:val="TableGrid7"/>
    <w:rsid w:val="005150E5"/>
    <w:pPr>
      <w:spacing w:after="200"/>
    </w:pPr>
    <w:rPr>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12">
    <w:name w:val="Colorful Grid - Accent 1312"/>
    <w:basedOn w:val="TableNormal"/>
    <w:next w:val="ColorfulGrid-Accent1"/>
    <w:uiPriority w:val="73"/>
    <w:rsid w:val="005150E5"/>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12">
    <w:name w:val="Light List - Accent 5312"/>
    <w:basedOn w:val="TableNormal"/>
    <w:next w:val="LightList-Accent5"/>
    <w:uiPriority w:val="61"/>
    <w:rsid w:val="005150E5"/>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21">
    <w:name w:val="Table Simple 3121"/>
    <w:basedOn w:val="TableNormal"/>
    <w:next w:val="TableSimple3"/>
    <w:rsid w:val="005150E5"/>
    <w:pPr>
      <w:spacing w:after="200"/>
    </w:pPr>
    <w:rPr>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21">
    <w:name w:val="Table Grid 5121"/>
    <w:basedOn w:val="TableNormal"/>
    <w:next w:val="TableGrid5"/>
    <w:rsid w:val="005150E5"/>
    <w:pPr>
      <w:spacing w:after="200"/>
    </w:pPr>
    <w:rPr>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21">
    <w:name w:val="Table Grid 3121"/>
    <w:basedOn w:val="TableNormal"/>
    <w:next w:val="TableGrid3"/>
    <w:rsid w:val="005150E5"/>
    <w:pPr>
      <w:spacing w:after="200"/>
    </w:pPr>
    <w:rPr>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21">
    <w:name w:val="Table Grid 1121"/>
    <w:basedOn w:val="TableNormal"/>
    <w:next w:val="TableGrid10"/>
    <w:rsid w:val="005150E5"/>
    <w:pPr>
      <w:spacing w:after="200"/>
    </w:pPr>
    <w:rPr>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21">
    <w:name w:val="Table Columns 5121"/>
    <w:basedOn w:val="TableNormal"/>
    <w:next w:val="TableColumns5"/>
    <w:rsid w:val="005150E5"/>
    <w:pPr>
      <w:spacing w:after="200"/>
    </w:pPr>
    <w:rPr>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2">
    <w:name w:val="Light List - Accent 11112"/>
    <w:basedOn w:val="TableNormal"/>
    <w:uiPriority w:val="61"/>
    <w:rsid w:val="005150E5"/>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12">
    <w:name w:val="Нет списка1312"/>
    <w:next w:val="NoList"/>
    <w:semiHidden/>
    <w:unhideWhenUsed/>
    <w:rsid w:val="005150E5"/>
  </w:style>
  <w:style w:type="table" w:customStyle="1" w:styleId="ColorfulGrid-Accent11112">
    <w:name w:val="Colorful Grid - Accent 11112"/>
    <w:basedOn w:val="TableNormal"/>
    <w:rsid w:val="005150E5"/>
    <w:pPr>
      <w:spacing w:after="200"/>
    </w:pPr>
    <w:rPr>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12">
    <w:name w:val="Light List - Accent 51112"/>
    <w:basedOn w:val="TableNormal"/>
    <w:rsid w:val="005150E5"/>
    <w:pPr>
      <w:spacing w:after="200"/>
    </w:pPr>
    <w:rPr>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12">
    <w:name w:val="No List4212"/>
    <w:next w:val="NoList"/>
    <w:semiHidden/>
    <w:rsid w:val="005150E5"/>
  </w:style>
  <w:style w:type="numbering" w:customStyle="1" w:styleId="NoList11213">
    <w:name w:val="No List11213"/>
    <w:next w:val="NoList"/>
    <w:semiHidden/>
    <w:unhideWhenUsed/>
    <w:rsid w:val="005150E5"/>
  </w:style>
  <w:style w:type="table" w:customStyle="1" w:styleId="Table3Deffects3121">
    <w:name w:val="Table 3D effects 3121"/>
    <w:basedOn w:val="TableNormal"/>
    <w:next w:val="Table3Deffects3"/>
    <w:rsid w:val="005150E5"/>
    <w:pPr>
      <w:spacing w:after="200"/>
    </w:pPr>
    <w:rPr>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12">
    <w:name w:val="Нет списка11212"/>
    <w:next w:val="NoList"/>
    <w:semiHidden/>
    <w:unhideWhenUsed/>
    <w:rsid w:val="005150E5"/>
  </w:style>
  <w:style w:type="table" w:customStyle="1" w:styleId="TableGrid11210">
    <w:name w:val="Table Grid1121"/>
    <w:basedOn w:val="TableNormal"/>
    <w:next w:val="TableGrid"/>
    <w:rsid w:val="005150E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12">
    <w:name w:val="No List5112"/>
    <w:next w:val="NoList"/>
    <w:uiPriority w:val="99"/>
    <w:semiHidden/>
    <w:rsid w:val="005150E5"/>
  </w:style>
  <w:style w:type="numbering" w:customStyle="1" w:styleId="NoList6111">
    <w:name w:val="No List6111"/>
    <w:next w:val="NoList"/>
    <w:uiPriority w:val="99"/>
    <w:semiHidden/>
    <w:unhideWhenUsed/>
    <w:rsid w:val="005150E5"/>
  </w:style>
  <w:style w:type="table" w:customStyle="1" w:styleId="TableGrid2112">
    <w:name w:val="Table Grid2112"/>
    <w:basedOn w:val="TableNormal"/>
    <w:next w:val="TableGrid"/>
    <w:rsid w:val="005150E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1">
    <w:name w:val="No List7111"/>
    <w:next w:val="NoList"/>
    <w:uiPriority w:val="99"/>
    <w:semiHidden/>
    <w:unhideWhenUsed/>
    <w:rsid w:val="005150E5"/>
  </w:style>
  <w:style w:type="numbering" w:customStyle="1" w:styleId="NoList12112">
    <w:name w:val="No List12112"/>
    <w:next w:val="NoList"/>
    <w:uiPriority w:val="99"/>
    <w:semiHidden/>
    <w:unhideWhenUsed/>
    <w:rsid w:val="005150E5"/>
  </w:style>
  <w:style w:type="table" w:customStyle="1" w:styleId="TableGrid31110">
    <w:name w:val="Table Grid3111"/>
    <w:basedOn w:val="TableNormal"/>
    <w:next w:val="TableGrid"/>
    <w:rsid w:val="005150E5"/>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11">
    <w:name w:val="Table Web 21111"/>
    <w:basedOn w:val="TableNormal"/>
    <w:next w:val="TableWeb2"/>
    <w:rsid w:val="005150E5"/>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11">
    <w:name w:val="Table Web 11111"/>
    <w:basedOn w:val="TableNormal"/>
    <w:next w:val="TableWeb1"/>
    <w:rsid w:val="005150E5"/>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11">
    <w:name w:val="Table Grid 81111"/>
    <w:basedOn w:val="TableNormal"/>
    <w:next w:val="TableGrid8"/>
    <w:rsid w:val="005150E5"/>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11">
    <w:name w:val="Table Contemporary1111"/>
    <w:basedOn w:val="TableNormal"/>
    <w:next w:val="TableContemporary"/>
    <w:rsid w:val="005150E5"/>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11">
    <w:name w:val="Colorful Grid - Accent 12111"/>
    <w:basedOn w:val="TableNormal"/>
    <w:next w:val="ColorfulGrid-Accent1"/>
    <w:uiPriority w:val="73"/>
    <w:rsid w:val="005150E5"/>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11">
    <w:name w:val="Light List - Accent 52111"/>
    <w:basedOn w:val="TableNormal"/>
    <w:next w:val="LightList-Accent5"/>
    <w:uiPriority w:val="61"/>
    <w:rsid w:val="005150E5"/>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11">
    <w:name w:val="No List8111"/>
    <w:next w:val="NoList"/>
    <w:uiPriority w:val="99"/>
    <w:semiHidden/>
    <w:unhideWhenUsed/>
    <w:rsid w:val="005150E5"/>
  </w:style>
  <w:style w:type="numbering" w:customStyle="1" w:styleId="12111">
    <w:name w:val="Нет списка12111"/>
    <w:next w:val="NoList"/>
    <w:semiHidden/>
    <w:unhideWhenUsed/>
    <w:rsid w:val="005150E5"/>
  </w:style>
  <w:style w:type="numbering" w:customStyle="1" w:styleId="NoList13111">
    <w:name w:val="No List13111"/>
    <w:next w:val="NoList"/>
    <w:semiHidden/>
    <w:unhideWhenUsed/>
    <w:rsid w:val="005150E5"/>
  </w:style>
  <w:style w:type="numbering" w:customStyle="1" w:styleId="NoList21112">
    <w:name w:val="No List21112"/>
    <w:next w:val="NoList"/>
    <w:semiHidden/>
    <w:unhideWhenUsed/>
    <w:rsid w:val="005150E5"/>
  </w:style>
  <w:style w:type="numbering" w:customStyle="1" w:styleId="NoList31112">
    <w:name w:val="No List31112"/>
    <w:next w:val="NoList"/>
    <w:semiHidden/>
    <w:unhideWhenUsed/>
    <w:rsid w:val="005150E5"/>
  </w:style>
  <w:style w:type="numbering" w:customStyle="1" w:styleId="111211">
    <w:name w:val="Нет списка111211"/>
    <w:next w:val="NoList"/>
    <w:semiHidden/>
    <w:unhideWhenUsed/>
    <w:rsid w:val="005150E5"/>
  </w:style>
  <w:style w:type="numbering" w:customStyle="1" w:styleId="NoList41111">
    <w:name w:val="No List41111"/>
    <w:next w:val="NoList"/>
    <w:semiHidden/>
    <w:rsid w:val="005150E5"/>
  </w:style>
  <w:style w:type="numbering" w:customStyle="1" w:styleId="NoList111123">
    <w:name w:val="No List111123"/>
    <w:next w:val="NoList"/>
    <w:semiHidden/>
    <w:unhideWhenUsed/>
    <w:rsid w:val="005150E5"/>
  </w:style>
  <w:style w:type="numbering" w:customStyle="1" w:styleId="1111111">
    <w:name w:val="Нет списка1111111"/>
    <w:next w:val="NoList"/>
    <w:semiHidden/>
    <w:unhideWhenUsed/>
    <w:rsid w:val="005150E5"/>
  </w:style>
  <w:style w:type="table" w:customStyle="1" w:styleId="TableGrid612">
    <w:name w:val="Table Grid612"/>
    <w:basedOn w:val="TableNormal"/>
    <w:next w:val="TableGrid"/>
    <w:uiPriority w:val="39"/>
    <w:rsid w:val="005150E5"/>
    <w:pPr>
      <w:jc w:val="center"/>
    </w:pPr>
    <w:rPr>
      <w:rFonts w:ascii="Sylfaen" w:eastAsia="Calibri" w:hAnsi="Sylfaen"/>
      <w:sz w:val="24"/>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1">
    <w:name w:val="Grid Table 1 Light - Accent 5111"/>
    <w:basedOn w:val="TableNormal"/>
    <w:uiPriority w:val="46"/>
    <w:rsid w:val="005150E5"/>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12">
    <w:name w:val="Table Grid2212"/>
    <w:basedOn w:val="TableNormal"/>
    <w:next w:val="TableGrid"/>
    <w:uiPriority w:val="39"/>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 Grid811"/>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39"/>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5150E5"/>
    <w:rPr>
      <w:rFonts w:ascii="Calibri" w:eastAsia="Calibri" w:hAnsi="Calibri"/>
      <w:sz w:val="22"/>
      <w:szCs w:val="22"/>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eGrid142">
    <w:name w:val="Table Grid142"/>
    <w:basedOn w:val="TableNormal"/>
    <w:next w:val="TableGrid"/>
    <w:uiPriority w:val="39"/>
    <w:rsid w:val="005150E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rsid w:val="005150E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0">
    <w:name w:val="Table Grid73"/>
    <w:basedOn w:val="TableNormal"/>
    <w:next w:val="TableGrid"/>
    <w:uiPriority w:val="39"/>
    <w:rsid w:val="005150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5150E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5150E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1">
    <w:name w:val="Table Grid11131"/>
    <w:basedOn w:val="TableNormal"/>
    <w:next w:val="TableGrid"/>
    <w:uiPriority w:val="39"/>
    <w:rsid w:val="005150E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ediumGrid3-Accent1">
    <w:name w:val="Medium Grid 3 Accent 1"/>
    <w:basedOn w:val="TableNormal"/>
    <w:uiPriority w:val="69"/>
    <w:unhideWhenUsed/>
    <w:rsid w:val="005150E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ListTable7Colorful-Accent11">
    <w:name w:val="List Table 7 Colorful - Accent 11"/>
    <w:basedOn w:val="TableNormal"/>
    <w:uiPriority w:val="52"/>
    <w:rsid w:val="001E3933"/>
    <w:rPr>
      <w:rFonts w:asciiTheme="minorHAnsi" w:eastAsiaTheme="minorHAnsi" w:hAnsiTheme="minorHAnsi" w:cstheme="minorBidi"/>
      <w:color w:val="365F91" w:themeColor="accent1" w:themeShade="BF"/>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57">
    <w:name w:val="No List57"/>
    <w:next w:val="NoList"/>
    <w:semiHidden/>
    <w:rsid w:val="00A00B8B"/>
  </w:style>
  <w:style w:type="paragraph" w:customStyle="1" w:styleId="DefaultParagraphFontParaChar">
    <w:name w:val="Default Paragraph Font Para Char"/>
    <w:basedOn w:val="Normal"/>
    <w:locked/>
    <w:rsid w:val="00A00B8B"/>
    <w:pPr>
      <w:spacing w:before="0" w:after="160" w:line="240" w:lineRule="auto"/>
      <w:jc w:val="left"/>
    </w:pPr>
    <w:rPr>
      <w:rFonts w:ascii="Verdana" w:eastAsia="Batang" w:hAnsi="Verdana" w:cs="Verdana"/>
      <w:b w:val="0"/>
      <w:sz w:val="24"/>
      <w:lang w:val="en-GB" w:eastAsia="en-US"/>
    </w:rPr>
  </w:style>
  <w:style w:type="table" w:customStyle="1" w:styleId="TableGrid300">
    <w:name w:val="Table Grid30"/>
    <w:basedOn w:val="TableNormal"/>
    <w:next w:val="TableGrid"/>
    <w:rsid w:val="00A00B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Ամփոփոթերթ"/>
    <w:basedOn w:val="Normal"/>
    <w:rsid w:val="00A00B8B"/>
    <w:pPr>
      <w:framePr w:wrap="around" w:vAnchor="text" w:hAnchor="text" w:y="1"/>
      <w:numPr>
        <w:numId w:val="18"/>
      </w:numPr>
      <w:spacing w:before="0" w:line="240" w:lineRule="auto"/>
      <w:jc w:val="left"/>
    </w:pPr>
    <w:rPr>
      <w:rFonts w:ascii="Sylfaen" w:hAnsi="Sylfaen" w:cs="Sylfaen"/>
      <w:b w:val="0"/>
      <w:szCs w:val="22"/>
      <w:lang w:val="en-US" w:eastAsia="en-US"/>
    </w:rPr>
  </w:style>
  <w:style w:type="paragraph" w:customStyle="1" w:styleId="GHM">
    <w:name w:val="GHM"/>
    <w:rsid w:val="00A00B8B"/>
    <w:rPr>
      <w:rFonts w:ascii="GHEA Mariam" w:hAnsi="GHEA Mariam"/>
      <w:sz w:val="24"/>
      <w:szCs w:val="24"/>
      <w:lang w:val="hy-AM"/>
    </w:rPr>
  </w:style>
  <w:style w:type="paragraph" w:customStyle="1" w:styleId="Char110">
    <w:name w:val="Char11"/>
    <w:basedOn w:val="Normal"/>
    <w:locked/>
    <w:rsid w:val="00A00B8B"/>
    <w:pPr>
      <w:spacing w:before="0" w:after="160" w:line="240" w:lineRule="auto"/>
      <w:jc w:val="left"/>
    </w:pPr>
    <w:rPr>
      <w:rFonts w:ascii="Verdana" w:eastAsia="Batang" w:hAnsi="Verdana" w:cs="Verdana"/>
      <w:b w:val="0"/>
      <w:sz w:val="24"/>
      <w:lang w:val="en-GB"/>
    </w:rPr>
  </w:style>
  <w:style w:type="table" w:customStyle="1" w:styleId="TableGrid340">
    <w:name w:val="Table Grid34"/>
    <w:basedOn w:val="TableNormal"/>
    <w:next w:val="TableGrid"/>
    <w:uiPriority w:val="39"/>
    <w:rsid w:val="00836C0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
    <w:name w:val="No List58"/>
    <w:next w:val="NoList"/>
    <w:uiPriority w:val="99"/>
    <w:semiHidden/>
    <w:unhideWhenUsed/>
    <w:rsid w:val="004E12E8"/>
  </w:style>
  <w:style w:type="table" w:customStyle="1" w:styleId="TableGrid350">
    <w:name w:val="Table Grid35"/>
    <w:basedOn w:val="TableNormal"/>
    <w:next w:val="TableGrid"/>
    <w:uiPriority w:val="39"/>
    <w:rsid w:val="004E12E8"/>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9">
    <w:name w:val="Table List 79"/>
    <w:basedOn w:val="TableNormal"/>
    <w:next w:val="TableList7"/>
    <w:rsid w:val="004E12E8"/>
    <w:pPr>
      <w:spacing w:after="200"/>
    </w:pPr>
    <w:rPr>
      <w:rFonts w:ascii="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9">
    <w:name w:val="Table Web 39"/>
    <w:basedOn w:val="TableNormal"/>
    <w:next w:val="TableWeb3"/>
    <w:rsid w:val="004E12E8"/>
    <w:pPr>
      <w:spacing w:after="200"/>
    </w:pPr>
    <w:rPr>
      <w:rFonts w:ascii="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9">
    <w:name w:val="Table Elegant9"/>
    <w:basedOn w:val="TableNormal"/>
    <w:next w:val="TableElegant"/>
    <w:rsid w:val="004E12E8"/>
    <w:pPr>
      <w:spacing w:after="200"/>
    </w:pPr>
    <w:rPr>
      <w:rFonts w:ascii="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9">
    <w:name w:val="Table Web 29"/>
    <w:basedOn w:val="TableNormal"/>
    <w:next w:val="TableWeb2"/>
    <w:rsid w:val="004E12E8"/>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9">
    <w:name w:val="Table Web 19"/>
    <w:basedOn w:val="TableNormal"/>
    <w:next w:val="TableWeb1"/>
    <w:rsid w:val="004E12E8"/>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9">
    <w:name w:val="Table Grid 89"/>
    <w:basedOn w:val="TableNormal"/>
    <w:next w:val="TableGrid8"/>
    <w:rsid w:val="004E12E8"/>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9">
    <w:name w:val="Table Contemporary9"/>
    <w:basedOn w:val="TableNormal"/>
    <w:next w:val="TableContemporary"/>
    <w:rsid w:val="004E12E8"/>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34">
    <w:name w:val="No List134"/>
    <w:next w:val="NoList"/>
    <w:semiHidden/>
    <w:unhideWhenUsed/>
    <w:rsid w:val="004E12E8"/>
  </w:style>
  <w:style w:type="numbering" w:customStyle="1" w:styleId="NoList218">
    <w:name w:val="No List218"/>
    <w:next w:val="NoList"/>
    <w:semiHidden/>
    <w:unhideWhenUsed/>
    <w:rsid w:val="004E12E8"/>
  </w:style>
  <w:style w:type="numbering" w:customStyle="1" w:styleId="NoList317">
    <w:name w:val="No List317"/>
    <w:next w:val="NoList"/>
    <w:semiHidden/>
    <w:unhideWhenUsed/>
    <w:rsid w:val="004E12E8"/>
  </w:style>
  <w:style w:type="table" w:customStyle="1" w:styleId="LightList-Accent128">
    <w:name w:val="Light List - Accent 128"/>
    <w:basedOn w:val="TableNormal"/>
    <w:next w:val="LightList-Accent1"/>
    <w:uiPriority w:val="61"/>
    <w:rsid w:val="004E12E8"/>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9">
    <w:name w:val="Table Grid 79"/>
    <w:basedOn w:val="TableNormal"/>
    <w:next w:val="TableGrid7"/>
    <w:rsid w:val="004E12E8"/>
    <w:pPr>
      <w:spacing w:after="200"/>
    </w:pPr>
    <w:rPr>
      <w:rFonts w:ascii="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10">
    <w:name w:val="Colorful Grid - Accent 110"/>
    <w:basedOn w:val="TableNormal"/>
    <w:next w:val="ColorfulGrid-Accent1"/>
    <w:uiPriority w:val="73"/>
    <w:rsid w:val="004E12E8"/>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9">
    <w:name w:val="Light List - Accent 519"/>
    <w:basedOn w:val="TableNormal"/>
    <w:next w:val="LightList-Accent5"/>
    <w:uiPriority w:val="61"/>
    <w:rsid w:val="004E12E8"/>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9">
    <w:name w:val="Table Simple 39"/>
    <w:basedOn w:val="TableNormal"/>
    <w:next w:val="TableSimple3"/>
    <w:rsid w:val="004E12E8"/>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9">
    <w:name w:val="Table Grid 59"/>
    <w:basedOn w:val="TableNormal"/>
    <w:next w:val="TableGrid5"/>
    <w:rsid w:val="004E12E8"/>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9">
    <w:name w:val="Table Grid 39"/>
    <w:basedOn w:val="TableNormal"/>
    <w:next w:val="TableGrid3"/>
    <w:rsid w:val="004E12E8"/>
    <w:pPr>
      <w:spacing w:after="200"/>
    </w:pPr>
    <w:rPr>
      <w:rFonts w:ascii="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90">
    <w:name w:val="Table Grid 19"/>
    <w:basedOn w:val="TableNormal"/>
    <w:next w:val="TableGrid10"/>
    <w:rsid w:val="004E12E8"/>
    <w:pPr>
      <w:spacing w:after="200"/>
    </w:pPr>
    <w:rPr>
      <w:rFonts w:ascii="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9">
    <w:name w:val="Table Columns 59"/>
    <w:basedOn w:val="TableNormal"/>
    <w:next w:val="TableColumns5"/>
    <w:rsid w:val="004E12E8"/>
    <w:pPr>
      <w:spacing w:after="200"/>
    </w:pPr>
    <w:rPr>
      <w:rFonts w:ascii="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5">
    <w:name w:val="Light List - Accent 1115"/>
    <w:basedOn w:val="TableNormal"/>
    <w:uiPriority w:val="61"/>
    <w:rsid w:val="004E12E8"/>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100">
    <w:name w:val="Нет списка110"/>
    <w:next w:val="NoList"/>
    <w:semiHidden/>
    <w:unhideWhenUsed/>
    <w:rsid w:val="004E12E8"/>
  </w:style>
  <w:style w:type="table" w:customStyle="1" w:styleId="ColorfulGrid-Accent119">
    <w:name w:val="Colorful Grid - Accent 119"/>
    <w:basedOn w:val="TableNormal"/>
    <w:rsid w:val="004E12E8"/>
    <w:pPr>
      <w:spacing w:after="200"/>
    </w:pPr>
    <w:rPr>
      <w:rFonts w:ascii="Calibri" w:hAnsi="Calibri"/>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0">
    <w:name w:val="Light List - Accent 5110"/>
    <w:basedOn w:val="TableNormal"/>
    <w:rsid w:val="004E12E8"/>
    <w:pPr>
      <w:spacing w:after="200"/>
    </w:pPr>
    <w:rPr>
      <w:rFonts w:ascii="Calibri" w:hAnsi="Calibri"/>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5">
    <w:name w:val="No List415"/>
    <w:next w:val="NoList"/>
    <w:semiHidden/>
    <w:rsid w:val="004E12E8"/>
  </w:style>
  <w:style w:type="numbering" w:customStyle="1" w:styleId="NoList1126">
    <w:name w:val="No List1126"/>
    <w:next w:val="NoList"/>
    <w:semiHidden/>
    <w:unhideWhenUsed/>
    <w:rsid w:val="004E12E8"/>
  </w:style>
  <w:style w:type="table" w:customStyle="1" w:styleId="Table3Deffects39">
    <w:name w:val="Table 3D effects 39"/>
    <w:basedOn w:val="TableNormal"/>
    <w:next w:val="Table3Deffects3"/>
    <w:rsid w:val="004E12E8"/>
    <w:pPr>
      <w:spacing w:after="200"/>
    </w:pPr>
    <w:rPr>
      <w:rFonts w:ascii="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9">
    <w:name w:val="Нет списка119"/>
    <w:next w:val="NoList"/>
    <w:semiHidden/>
    <w:unhideWhenUsed/>
    <w:rsid w:val="004E12E8"/>
  </w:style>
  <w:style w:type="table" w:customStyle="1" w:styleId="TableGrid116">
    <w:name w:val="Table Grid116"/>
    <w:basedOn w:val="TableNormal"/>
    <w:next w:val="TableGrid"/>
    <w:rsid w:val="004E12E8"/>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9">
    <w:name w:val="No List59"/>
    <w:next w:val="NoList"/>
    <w:uiPriority w:val="99"/>
    <w:semiHidden/>
    <w:rsid w:val="004E12E8"/>
  </w:style>
  <w:style w:type="numbering" w:customStyle="1" w:styleId="NoList64">
    <w:name w:val="No List64"/>
    <w:next w:val="NoList"/>
    <w:uiPriority w:val="99"/>
    <w:semiHidden/>
    <w:unhideWhenUsed/>
    <w:rsid w:val="004E12E8"/>
  </w:style>
  <w:style w:type="table" w:customStyle="1" w:styleId="TableGrid214">
    <w:name w:val="Table Grid214"/>
    <w:basedOn w:val="TableNormal"/>
    <w:next w:val="TableGrid"/>
    <w:rsid w:val="004E12E8"/>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4">
    <w:name w:val="No List74"/>
    <w:next w:val="NoList"/>
    <w:uiPriority w:val="99"/>
    <w:semiHidden/>
    <w:unhideWhenUsed/>
    <w:rsid w:val="004E12E8"/>
  </w:style>
  <w:style w:type="numbering" w:customStyle="1" w:styleId="NoList1214">
    <w:name w:val="No List1214"/>
    <w:next w:val="NoList"/>
    <w:uiPriority w:val="99"/>
    <w:semiHidden/>
    <w:unhideWhenUsed/>
    <w:rsid w:val="004E12E8"/>
  </w:style>
  <w:style w:type="table" w:customStyle="1" w:styleId="TableGrid360">
    <w:name w:val="Table Grid36"/>
    <w:basedOn w:val="TableNormal"/>
    <w:next w:val="TableGrid"/>
    <w:rsid w:val="004E12E8"/>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4">
    <w:name w:val="Table Web 214"/>
    <w:basedOn w:val="TableNormal"/>
    <w:next w:val="TableWeb2"/>
    <w:rsid w:val="004E12E8"/>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4">
    <w:name w:val="Table Web 114"/>
    <w:basedOn w:val="TableNormal"/>
    <w:next w:val="TableWeb1"/>
    <w:rsid w:val="004E12E8"/>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4">
    <w:name w:val="Table Grid 814"/>
    <w:basedOn w:val="TableNormal"/>
    <w:next w:val="TableGrid8"/>
    <w:rsid w:val="004E12E8"/>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4">
    <w:name w:val="Table Contemporary14"/>
    <w:basedOn w:val="TableNormal"/>
    <w:next w:val="TableContemporary"/>
    <w:rsid w:val="004E12E8"/>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4">
    <w:name w:val="Colorful Grid - Accent 124"/>
    <w:basedOn w:val="TableNormal"/>
    <w:next w:val="ColorfulGrid-Accent1"/>
    <w:rsid w:val="004E12E8"/>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4">
    <w:name w:val="Light List - Accent 524"/>
    <w:basedOn w:val="TableNormal"/>
    <w:next w:val="LightList-Accent5"/>
    <w:rsid w:val="004E12E8"/>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4">
    <w:name w:val="No List84"/>
    <w:next w:val="NoList"/>
    <w:uiPriority w:val="99"/>
    <w:semiHidden/>
    <w:unhideWhenUsed/>
    <w:rsid w:val="004E12E8"/>
  </w:style>
  <w:style w:type="numbering" w:customStyle="1" w:styleId="1240">
    <w:name w:val="Нет списка124"/>
    <w:next w:val="NoList"/>
    <w:uiPriority w:val="99"/>
    <w:semiHidden/>
    <w:unhideWhenUsed/>
    <w:rsid w:val="004E12E8"/>
  </w:style>
  <w:style w:type="numbering" w:customStyle="1" w:styleId="NoList135">
    <w:name w:val="No List135"/>
    <w:next w:val="NoList"/>
    <w:semiHidden/>
    <w:unhideWhenUsed/>
    <w:rsid w:val="004E12E8"/>
  </w:style>
  <w:style w:type="numbering" w:customStyle="1" w:styleId="NoList219">
    <w:name w:val="No List219"/>
    <w:next w:val="NoList"/>
    <w:semiHidden/>
    <w:unhideWhenUsed/>
    <w:rsid w:val="004E12E8"/>
  </w:style>
  <w:style w:type="numbering" w:customStyle="1" w:styleId="NoList318">
    <w:name w:val="No List318"/>
    <w:next w:val="NoList"/>
    <w:semiHidden/>
    <w:unhideWhenUsed/>
    <w:rsid w:val="004E12E8"/>
  </w:style>
  <w:style w:type="numbering" w:customStyle="1" w:styleId="1114">
    <w:name w:val="Нет списка1114"/>
    <w:next w:val="NoList"/>
    <w:semiHidden/>
    <w:unhideWhenUsed/>
    <w:rsid w:val="004E12E8"/>
  </w:style>
  <w:style w:type="numbering" w:customStyle="1" w:styleId="NoList416">
    <w:name w:val="No List416"/>
    <w:next w:val="NoList"/>
    <w:semiHidden/>
    <w:rsid w:val="004E12E8"/>
  </w:style>
  <w:style w:type="numbering" w:customStyle="1" w:styleId="NoList11117">
    <w:name w:val="No List11117"/>
    <w:next w:val="NoList"/>
    <w:semiHidden/>
    <w:unhideWhenUsed/>
    <w:rsid w:val="004E12E8"/>
  </w:style>
  <w:style w:type="numbering" w:customStyle="1" w:styleId="11113">
    <w:name w:val="Нет списка11113"/>
    <w:next w:val="NoList"/>
    <w:semiHidden/>
    <w:unhideWhenUsed/>
    <w:rsid w:val="004E12E8"/>
  </w:style>
  <w:style w:type="numbering" w:customStyle="1" w:styleId="NoList94">
    <w:name w:val="No List94"/>
    <w:next w:val="NoList"/>
    <w:uiPriority w:val="99"/>
    <w:semiHidden/>
    <w:unhideWhenUsed/>
    <w:rsid w:val="004E12E8"/>
  </w:style>
  <w:style w:type="table" w:customStyle="1" w:styleId="TableGrid44">
    <w:name w:val="Table Grid44"/>
    <w:basedOn w:val="TableNormal"/>
    <w:next w:val="TableGrid"/>
    <w:uiPriority w:val="39"/>
    <w:rsid w:val="004E12E8"/>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3">
    <w:name w:val="Grid Table 1 Light - Accent 513"/>
    <w:basedOn w:val="TableNormal"/>
    <w:uiPriority w:val="46"/>
    <w:rsid w:val="004E12E8"/>
    <w:pPr>
      <w:spacing w:after="200"/>
    </w:pPr>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2">
    <w:name w:val="Plain Table 312"/>
    <w:basedOn w:val="TableNormal"/>
    <w:uiPriority w:val="43"/>
    <w:rsid w:val="004E12E8"/>
    <w:pPr>
      <w:spacing w:after="200"/>
    </w:pPr>
    <w:rPr>
      <w:rFonts w:ascii="Calibri" w:eastAsia="Calibri" w:hAnsi="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2">
    <w:name w:val="Grid Table 4 - Accent 112"/>
    <w:basedOn w:val="TableNormal"/>
    <w:uiPriority w:val="49"/>
    <w:rsid w:val="004E12E8"/>
    <w:pPr>
      <w:spacing w:after="200"/>
    </w:pPr>
    <w:rPr>
      <w:rFonts w:ascii="Calibri" w:eastAsia="Calibri" w:hAnsi="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04">
    <w:name w:val="No List104"/>
    <w:next w:val="NoList"/>
    <w:uiPriority w:val="99"/>
    <w:semiHidden/>
    <w:unhideWhenUsed/>
    <w:rsid w:val="004E12E8"/>
  </w:style>
  <w:style w:type="table" w:customStyle="1" w:styleId="TableGrid540">
    <w:name w:val="Table Grid54"/>
    <w:basedOn w:val="TableNormal"/>
    <w:next w:val="TableGrid"/>
    <w:uiPriority w:val="39"/>
    <w:rsid w:val="004E12E8"/>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4">
    <w:name w:val="Table List 714"/>
    <w:basedOn w:val="TableNormal"/>
    <w:next w:val="TableList7"/>
    <w:rsid w:val="004E12E8"/>
    <w:pPr>
      <w:spacing w:after="200"/>
    </w:pPr>
    <w:rPr>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4">
    <w:name w:val="Table Web 314"/>
    <w:basedOn w:val="TableNormal"/>
    <w:next w:val="TableWeb3"/>
    <w:rsid w:val="004E12E8"/>
    <w:pPr>
      <w:spacing w:after="200"/>
    </w:pPr>
    <w:rPr>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4">
    <w:name w:val="Table Elegant14"/>
    <w:basedOn w:val="TableNormal"/>
    <w:next w:val="TableElegant"/>
    <w:rsid w:val="004E12E8"/>
    <w:pPr>
      <w:spacing w:after="200"/>
    </w:pPr>
    <w:rPr>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4">
    <w:name w:val="Table Web 224"/>
    <w:basedOn w:val="TableNormal"/>
    <w:next w:val="TableWeb2"/>
    <w:rsid w:val="004E12E8"/>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4">
    <w:name w:val="Table Web 124"/>
    <w:basedOn w:val="TableNormal"/>
    <w:next w:val="TableWeb1"/>
    <w:rsid w:val="004E12E8"/>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4">
    <w:name w:val="Table Grid 824"/>
    <w:basedOn w:val="TableNormal"/>
    <w:next w:val="TableGrid8"/>
    <w:rsid w:val="004E12E8"/>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4">
    <w:name w:val="Table Contemporary24"/>
    <w:basedOn w:val="TableNormal"/>
    <w:next w:val="TableContemporary"/>
    <w:rsid w:val="004E12E8"/>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4">
    <w:name w:val="No List144"/>
    <w:next w:val="NoList"/>
    <w:semiHidden/>
    <w:unhideWhenUsed/>
    <w:rsid w:val="004E12E8"/>
  </w:style>
  <w:style w:type="numbering" w:customStyle="1" w:styleId="NoList224">
    <w:name w:val="No List224"/>
    <w:next w:val="NoList"/>
    <w:semiHidden/>
    <w:unhideWhenUsed/>
    <w:rsid w:val="004E12E8"/>
  </w:style>
  <w:style w:type="numbering" w:customStyle="1" w:styleId="NoList324">
    <w:name w:val="No List324"/>
    <w:next w:val="NoList"/>
    <w:semiHidden/>
    <w:unhideWhenUsed/>
    <w:rsid w:val="004E12E8"/>
  </w:style>
  <w:style w:type="table" w:customStyle="1" w:styleId="LightList-Accent129">
    <w:name w:val="Light List - Accent 129"/>
    <w:basedOn w:val="TableNormal"/>
    <w:uiPriority w:val="61"/>
    <w:rsid w:val="004E12E8"/>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4">
    <w:name w:val="Table Grid 714"/>
    <w:basedOn w:val="TableNormal"/>
    <w:next w:val="TableGrid7"/>
    <w:rsid w:val="004E12E8"/>
    <w:pPr>
      <w:spacing w:after="200"/>
    </w:pPr>
    <w:rPr>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4">
    <w:name w:val="Colorful Grid - Accent 134"/>
    <w:basedOn w:val="TableNormal"/>
    <w:next w:val="ColorfulGrid-Accent1"/>
    <w:uiPriority w:val="73"/>
    <w:rsid w:val="004E12E8"/>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4">
    <w:name w:val="Light List - Accent 534"/>
    <w:basedOn w:val="TableNormal"/>
    <w:next w:val="LightList-Accent5"/>
    <w:uiPriority w:val="61"/>
    <w:rsid w:val="004E12E8"/>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4">
    <w:name w:val="Table Simple 314"/>
    <w:basedOn w:val="TableNormal"/>
    <w:next w:val="TableSimple3"/>
    <w:rsid w:val="004E12E8"/>
    <w:pPr>
      <w:spacing w:after="200"/>
    </w:pPr>
    <w:rPr>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4">
    <w:name w:val="Table Grid 514"/>
    <w:basedOn w:val="TableNormal"/>
    <w:next w:val="TableGrid5"/>
    <w:rsid w:val="004E12E8"/>
    <w:pPr>
      <w:spacing w:after="200"/>
    </w:pPr>
    <w:rPr>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4">
    <w:name w:val="Table Grid 314"/>
    <w:basedOn w:val="TableNormal"/>
    <w:next w:val="TableGrid3"/>
    <w:rsid w:val="004E12E8"/>
    <w:pPr>
      <w:spacing w:after="200"/>
    </w:pPr>
    <w:rPr>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40">
    <w:name w:val="Table Grid 114"/>
    <w:basedOn w:val="TableNormal"/>
    <w:next w:val="TableGrid10"/>
    <w:rsid w:val="004E12E8"/>
    <w:pPr>
      <w:spacing w:after="200"/>
    </w:pPr>
    <w:rPr>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4">
    <w:name w:val="Table Columns 514"/>
    <w:basedOn w:val="TableNormal"/>
    <w:next w:val="TableColumns5"/>
    <w:rsid w:val="004E12E8"/>
    <w:pPr>
      <w:spacing w:after="200"/>
    </w:pPr>
    <w:rPr>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6">
    <w:name w:val="Light List - Accent 1116"/>
    <w:basedOn w:val="TableNormal"/>
    <w:uiPriority w:val="61"/>
    <w:rsid w:val="004E12E8"/>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4">
    <w:name w:val="Нет списка134"/>
    <w:next w:val="NoList"/>
    <w:semiHidden/>
    <w:unhideWhenUsed/>
    <w:rsid w:val="004E12E8"/>
  </w:style>
  <w:style w:type="table" w:customStyle="1" w:styleId="ColorfulGrid-Accent1114">
    <w:name w:val="Colorful Grid - Accent 1114"/>
    <w:basedOn w:val="TableNormal"/>
    <w:rsid w:val="004E12E8"/>
    <w:pPr>
      <w:spacing w:after="200"/>
    </w:pPr>
    <w:rPr>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4">
    <w:name w:val="Light List - Accent 5114"/>
    <w:basedOn w:val="TableNormal"/>
    <w:rsid w:val="004E12E8"/>
    <w:pPr>
      <w:spacing w:after="200"/>
    </w:pPr>
    <w:rPr>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4">
    <w:name w:val="No List424"/>
    <w:next w:val="NoList"/>
    <w:semiHidden/>
    <w:rsid w:val="004E12E8"/>
  </w:style>
  <w:style w:type="numbering" w:customStyle="1" w:styleId="NoList1127">
    <w:name w:val="No List1127"/>
    <w:next w:val="NoList"/>
    <w:semiHidden/>
    <w:unhideWhenUsed/>
    <w:rsid w:val="004E12E8"/>
  </w:style>
  <w:style w:type="table" w:customStyle="1" w:styleId="Table3Deffects314">
    <w:name w:val="Table 3D effects 314"/>
    <w:basedOn w:val="TableNormal"/>
    <w:next w:val="Table3Deffects3"/>
    <w:rsid w:val="004E12E8"/>
    <w:pPr>
      <w:spacing w:after="200"/>
    </w:pPr>
    <w:rPr>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4">
    <w:name w:val="Нет списка1124"/>
    <w:next w:val="NoList"/>
    <w:semiHidden/>
    <w:unhideWhenUsed/>
    <w:rsid w:val="004E12E8"/>
  </w:style>
  <w:style w:type="table" w:customStyle="1" w:styleId="TableGrid117">
    <w:name w:val="Table Grid117"/>
    <w:basedOn w:val="TableNormal"/>
    <w:next w:val="TableGrid"/>
    <w:rsid w:val="004E12E8"/>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4">
    <w:name w:val="No List514"/>
    <w:next w:val="NoList"/>
    <w:uiPriority w:val="99"/>
    <w:semiHidden/>
    <w:rsid w:val="004E12E8"/>
  </w:style>
  <w:style w:type="numbering" w:customStyle="1" w:styleId="NoList613">
    <w:name w:val="No List613"/>
    <w:next w:val="NoList"/>
    <w:uiPriority w:val="99"/>
    <w:semiHidden/>
    <w:unhideWhenUsed/>
    <w:rsid w:val="004E12E8"/>
  </w:style>
  <w:style w:type="table" w:customStyle="1" w:styleId="TableGrid215">
    <w:name w:val="Table Grid215"/>
    <w:basedOn w:val="TableNormal"/>
    <w:next w:val="TableGrid"/>
    <w:rsid w:val="004E12E8"/>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3">
    <w:name w:val="No List713"/>
    <w:next w:val="NoList"/>
    <w:uiPriority w:val="99"/>
    <w:semiHidden/>
    <w:unhideWhenUsed/>
    <w:rsid w:val="004E12E8"/>
  </w:style>
  <w:style w:type="numbering" w:customStyle="1" w:styleId="NoList1215">
    <w:name w:val="No List1215"/>
    <w:next w:val="NoList"/>
    <w:uiPriority w:val="99"/>
    <w:semiHidden/>
    <w:unhideWhenUsed/>
    <w:rsid w:val="004E12E8"/>
  </w:style>
  <w:style w:type="table" w:customStyle="1" w:styleId="TableGrid3130">
    <w:name w:val="Table Grid313"/>
    <w:basedOn w:val="TableNormal"/>
    <w:next w:val="TableGrid"/>
    <w:rsid w:val="004E12E8"/>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3">
    <w:name w:val="Table Web 2113"/>
    <w:basedOn w:val="TableNormal"/>
    <w:next w:val="TableWeb2"/>
    <w:rsid w:val="004E12E8"/>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3">
    <w:name w:val="Table Web 1113"/>
    <w:basedOn w:val="TableNormal"/>
    <w:next w:val="TableWeb1"/>
    <w:rsid w:val="004E12E8"/>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3">
    <w:name w:val="Table Grid 8113"/>
    <w:basedOn w:val="TableNormal"/>
    <w:next w:val="TableGrid8"/>
    <w:rsid w:val="004E12E8"/>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3">
    <w:name w:val="Table Contemporary113"/>
    <w:basedOn w:val="TableNormal"/>
    <w:next w:val="TableContemporary"/>
    <w:rsid w:val="004E12E8"/>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3">
    <w:name w:val="Colorful Grid - Accent 1213"/>
    <w:basedOn w:val="TableNormal"/>
    <w:next w:val="ColorfulGrid-Accent1"/>
    <w:rsid w:val="004E12E8"/>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3">
    <w:name w:val="Light List - Accent 5213"/>
    <w:basedOn w:val="TableNormal"/>
    <w:next w:val="LightList-Accent5"/>
    <w:rsid w:val="004E12E8"/>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3">
    <w:name w:val="No List813"/>
    <w:next w:val="NoList"/>
    <w:uiPriority w:val="99"/>
    <w:semiHidden/>
    <w:unhideWhenUsed/>
    <w:rsid w:val="004E12E8"/>
  </w:style>
  <w:style w:type="numbering" w:customStyle="1" w:styleId="1213">
    <w:name w:val="Нет списка1213"/>
    <w:next w:val="NoList"/>
    <w:uiPriority w:val="99"/>
    <w:semiHidden/>
    <w:unhideWhenUsed/>
    <w:rsid w:val="004E12E8"/>
  </w:style>
  <w:style w:type="numbering" w:customStyle="1" w:styleId="NoList1313">
    <w:name w:val="No List1313"/>
    <w:next w:val="NoList"/>
    <w:semiHidden/>
    <w:unhideWhenUsed/>
    <w:rsid w:val="004E12E8"/>
  </w:style>
  <w:style w:type="numbering" w:customStyle="1" w:styleId="NoList2114">
    <w:name w:val="No List2114"/>
    <w:next w:val="NoList"/>
    <w:semiHidden/>
    <w:unhideWhenUsed/>
    <w:rsid w:val="004E12E8"/>
  </w:style>
  <w:style w:type="numbering" w:customStyle="1" w:styleId="NoList3114">
    <w:name w:val="No List3114"/>
    <w:next w:val="NoList"/>
    <w:semiHidden/>
    <w:unhideWhenUsed/>
    <w:rsid w:val="004E12E8"/>
  </w:style>
  <w:style w:type="numbering" w:customStyle="1" w:styleId="11122">
    <w:name w:val="Нет списка11122"/>
    <w:next w:val="NoList"/>
    <w:semiHidden/>
    <w:unhideWhenUsed/>
    <w:rsid w:val="004E12E8"/>
  </w:style>
  <w:style w:type="numbering" w:customStyle="1" w:styleId="NoList4113">
    <w:name w:val="No List4113"/>
    <w:next w:val="NoList"/>
    <w:semiHidden/>
    <w:rsid w:val="004E12E8"/>
  </w:style>
  <w:style w:type="numbering" w:customStyle="1" w:styleId="NoList11118">
    <w:name w:val="No List11118"/>
    <w:next w:val="NoList"/>
    <w:semiHidden/>
    <w:unhideWhenUsed/>
    <w:rsid w:val="004E12E8"/>
  </w:style>
  <w:style w:type="numbering" w:customStyle="1" w:styleId="111112">
    <w:name w:val="Нет списка111112"/>
    <w:next w:val="NoList"/>
    <w:semiHidden/>
    <w:unhideWhenUsed/>
    <w:rsid w:val="004E12E8"/>
  </w:style>
  <w:style w:type="table" w:customStyle="1" w:styleId="TableGrid64">
    <w:name w:val="Table Grid64"/>
    <w:basedOn w:val="TableNormal"/>
    <w:next w:val="TableGrid"/>
    <w:uiPriority w:val="39"/>
    <w:rsid w:val="004E12E8"/>
    <w:pPr>
      <w:jc w:val="center"/>
    </w:pPr>
    <w:rPr>
      <w:rFonts w:ascii="Sylfaen" w:eastAsia="Calibri" w:hAnsi="Sylfaen"/>
      <w:sz w:val="24"/>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2">
    <w:name w:val="Grid Table 1 Light - Accent 5112"/>
    <w:basedOn w:val="TableNormal"/>
    <w:uiPriority w:val="46"/>
    <w:rsid w:val="004E12E8"/>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4">
    <w:name w:val="Table Grid224"/>
    <w:basedOn w:val="TableNormal"/>
    <w:next w:val="TableGrid"/>
    <w:uiPriority w:val="39"/>
    <w:rsid w:val="004E12E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39"/>
    <w:rsid w:val="004E12E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rsid w:val="004E12E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0">
    <w:name w:val="Table Grid74"/>
    <w:basedOn w:val="TableNormal"/>
    <w:next w:val="TableGrid"/>
    <w:rsid w:val="004E12E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0">
    <w:name w:val="Table Grid83"/>
    <w:basedOn w:val="TableNormal"/>
    <w:next w:val="TableGrid"/>
    <w:uiPriority w:val="39"/>
    <w:rsid w:val="004E12E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4E12E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39"/>
    <w:rsid w:val="004E12E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4E12E8"/>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111">
    <w:name w:val="Grid Table 1 Light - Accent 51111"/>
    <w:basedOn w:val="TableNormal"/>
    <w:uiPriority w:val="46"/>
    <w:rsid w:val="009032E3"/>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13">
    <w:name w:val="Table Grid2213"/>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0">
    <w:name w:val="No List60"/>
    <w:next w:val="NoList"/>
    <w:uiPriority w:val="99"/>
    <w:semiHidden/>
    <w:unhideWhenUsed/>
    <w:rsid w:val="009032E3"/>
  </w:style>
  <w:style w:type="table" w:customStyle="1" w:styleId="TableGrid370">
    <w:name w:val="Table Grid37"/>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2">
    <w:name w:val="Medium Grid 3 - Accent 12"/>
    <w:basedOn w:val="TableNormal"/>
    <w:next w:val="MediumGrid3-Accent1"/>
    <w:uiPriority w:val="69"/>
    <w:rsid w:val="009032E3"/>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numbering" w:customStyle="1" w:styleId="NoList136">
    <w:name w:val="No List136"/>
    <w:next w:val="NoList"/>
    <w:uiPriority w:val="99"/>
    <w:semiHidden/>
    <w:unhideWhenUsed/>
    <w:rsid w:val="009032E3"/>
  </w:style>
  <w:style w:type="table" w:customStyle="1" w:styleId="TableGrid118">
    <w:name w:val="Table Grid118"/>
    <w:basedOn w:val="TableNormal"/>
    <w:next w:val="TableGrid"/>
    <w:uiPriority w:val="39"/>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5">
    <w:name w:val="Table List 715"/>
    <w:basedOn w:val="TableNormal"/>
    <w:next w:val="TableList7"/>
    <w:rsid w:val="009032E3"/>
    <w:pPr>
      <w:spacing w:after="200"/>
    </w:pPr>
    <w:rPr>
      <w:rFonts w:ascii="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5">
    <w:name w:val="Table Web 315"/>
    <w:basedOn w:val="TableNormal"/>
    <w:next w:val="TableWeb3"/>
    <w:rsid w:val="009032E3"/>
    <w:pPr>
      <w:spacing w:after="200"/>
    </w:pPr>
    <w:rPr>
      <w:rFonts w:ascii="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5">
    <w:name w:val="Table Elegant15"/>
    <w:basedOn w:val="TableNormal"/>
    <w:next w:val="TableElegant"/>
    <w:rsid w:val="009032E3"/>
    <w:pPr>
      <w:spacing w:after="200"/>
    </w:pPr>
    <w:rPr>
      <w:rFonts w:ascii="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5">
    <w:name w:val="Table Web 215"/>
    <w:basedOn w:val="TableNormal"/>
    <w:next w:val="TableWeb2"/>
    <w:rsid w:val="009032E3"/>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5">
    <w:name w:val="Table Web 115"/>
    <w:basedOn w:val="TableNormal"/>
    <w:next w:val="TableWeb1"/>
    <w:rsid w:val="009032E3"/>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5">
    <w:name w:val="Table Grid 815"/>
    <w:basedOn w:val="TableNormal"/>
    <w:next w:val="TableGrid8"/>
    <w:rsid w:val="009032E3"/>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5">
    <w:name w:val="Table Contemporary15"/>
    <w:basedOn w:val="TableNormal"/>
    <w:next w:val="TableContemporary"/>
    <w:rsid w:val="009032E3"/>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28">
    <w:name w:val="No List1128"/>
    <w:next w:val="NoList"/>
    <w:semiHidden/>
    <w:unhideWhenUsed/>
    <w:rsid w:val="009032E3"/>
  </w:style>
  <w:style w:type="numbering" w:customStyle="1" w:styleId="NoList220">
    <w:name w:val="No List220"/>
    <w:next w:val="NoList"/>
    <w:semiHidden/>
    <w:unhideWhenUsed/>
    <w:rsid w:val="009032E3"/>
  </w:style>
  <w:style w:type="numbering" w:customStyle="1" w:styleId="NoList319">
    <w:name w:val="No List319"/>
    <w:next w:val="NoList"/>
    <w:semiHidden/>
    <w:unhideWhenUsed/>
    <w:rsid w:val="009032E3"/>
  </w:style>
  <w:style w:type="table" w:customStyle="1" w:styleId="LightList-Accent1117">
    <w:name w:val="Light List - Accent 1117"/>
    <w:basedOn w:val="TableNormal"/>
    <w:next w:val="LightList-Accent1"/>
    <w:uiPriority w:val="61"/>
    <w:rsid w:val="009032E3"/>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5">
    <w:name w:val="Table Grid 715"/>
    <w:basedOn w:val="TableNormal"/>
    <w:next w:val="TableGrid7"/>
    <w:rsid w:val="009032E3"/>
    <w:pPr>
      <w:spacing w:after="200"/>
    </w:pPr>
    <w:rPr>
      <w:rFonts w:ascii="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110">
    <w:name w:val="Colorful Grid - Accent 1110"/>
    <w:basedOn w:val="TableNormal"/>
    <w:next w:val="ColorfulGrid-Accent1"/>
    <w:rsid w:val="009032E3"/>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5">
    <w:name w:val="Light List - Accent 5115"/>
    <w:basedOn w:val="TableNormal"/>
    <w:next w:val="LightList-Accent5"/>
    <w:rsid w:val="009032E3"/>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5">
    <w:name w:val="Table Simple 315"/>
    <w:basedOn w:val="TableNormal"/>
    <w:next w:val="TableSimple3"/>
    <w:rsid w:val="009032E3"/>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5">
    <w:name w:val="Table Grid 515"/>
    <w:basedOn w:val="TableNormal"/>
    <w:next w:val="TableGrid5"/>
    <w:rsid w:val="009032E3"/>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5">
    <w:name w:val="Table Grid 315"/>
    <w:basedOn w:val="TableNormal"/>
    <w:next w:val="TableGrid3"/>
    <w:rsid w:val="009032E3"/>
    <w:pPr>
      <w:spacing w:after="200"/>
    </w:pPr>
    <w:rPr>
      <w:rFonts w:ascii="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50">
    <w:name w:val="Table Grid 115"/>
    <w:basedOn w:val="TableNormal"/>
    <w:next w:val="TableGrid10"/>
    <w:rsid w:val="009032E3"/>
    <w:pPr>
      <w:spacing w:after="200"/>
    </w:pPr>
    <w:rPr>
      <w:rFonts w:ascii="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5">
    <w:name w:val="Table Columns 515"/>
    <w:basedOn w:val="TableNormal"/>
    <w:next w:val="TableColumns5"/>
    <w:rsid w:val="009032E3"/>
    <w:pPr>
      <w:spacing w:after="200"/>
    </w:pPr>
    <w:rPr>
      <w:rFonts w:ascii="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numbering" w:customStyle="1" w:styleId="1200">
    <w:name w:val="Нет списка120"/>
    <w:next w:val="NoList"/>
    <w:semiHidden/>
    <w:unhideWhenUsed/>
    <w:rsid w:val="009032E3"/>
  </w:style>
  <w:style w:type="numbering" w:customStyle="1" w:styleId="NoList417">
    <w:name w:val="No List417"/>
    <w:next w:val="NoList"/>
    <w:semiHidden/>
    <w:rsid w:val="009032E3"/>
  </w:style>
  <w:style w:type="numbering" w:customStyle="1" w:styleId="NoList11119">
    <w:name w:val="No List11119"/>
    <w:next w:val="NoList"/>
    <w:semiHidden/>
    <w:unhideWhenUsed/>
    <w:rsid w:val="009032E3"/>
  </w:style>
  <w:style w:type="table" w:customStyle="1" w:styleId="Table3Deffects315">
    <w:name w:val="Table 3D effects 315"/>
    <w:basedOn w:val="TableNormal"/>
    <w:next w:val="Table3Deffects3"/>
    <w:rsid w:val="009032E3"/>
    <w:pPr>
      <w:spacing w:after="200"/>
    </w:pPr>
    <w:rPr>
      <w:rFonts w:ascii="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00">
    <w:name w:val="Нет списка1110"/>
    <w:next w:val="NoList"/>
    <w:semiHidden/>
    <w:unhideWhenUsed/>
    <w:rsid w:val="009032E3"/>
  </w:style>
  <w:style w:type="table" w:customStyle="1" w:styleId="TableGrid119">
    <w:name w:val="Table Grid119"/>
    <w:basedOn w:val="TableNormal"/>
    <w:next w:val="TableGrid"/>
    <w:rsid w:val="009032E3"/>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0">
    <w:name w:val="No List510"/>
    <w:next w:val="NoList"/>
    <w:uiPriority w:val="99"/>
    <w:semiHidden/>
    <w:rsid w:val="009032E3"/>
  </w:style>
  <w:style w:type="numbering" w:customStyle="1" w:styleId="NoList65">
    <w:name w:val="No List65"/>
    <w:next w:val="NoList"/>
    <w:uiPriority w:val="99"/>
    <w:semiHidden/>
    <w:unhideWhenUsed/>
    <w:rsid w:val="009032E3"/>
  </w:style>
  <w:style w:type="table" w:customStyle="1" w:styleId="TableGrid216">
    <w:name w:val="Table Grid216"/>
    <w:basedOn w:val="TableNormal"/>
    <w:next w:val="TableGrid"/>
    <w:rsid w:val="009032E3"/>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5">
    <w:name w:val="No List75"/>
    <w:next w:val="NoList"/>
    <w:uiPriority w:val="99"/>
    <w:semiHidden/>
    <w:unhideWhenUsed/>
    <w:rsid w:val="009032E3"/>
  </w:style>
  <w:style w:type="numbering" w:customStyle="1" w:styleId="NoList1216">
    <w:name w:val="No List1216"/>
    <w:next w:val="NoList"/>
    <w:uiPriority w:val="99"/>
    <w:semiHidden/>
    <w:unhideWhenUsed/>
    <w:rsid w:val="009032E3"/>
  </w:style>
  <w:style w:type="table" w:customStyle="1" w:styleId="TableGrid380">
    <w:name w:val="Table Grid38"/>
    <w:basedOn w:val="TableNormal"/>
    <w:next w:val="TableGrid"/>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5">
    <w:name w:val="Colorful Grid - Accent 125"/>
    <w:basedOn w:val="TableNormal"/>
    <w:next w:val="ColorfulGrid-Accent1"/>
    <w:rsid w:val="009032E3"/>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5">
    <w:name w:val="Light List - Accent 525"/>
    <w:basedOn w:val="TableNormal"/>
    <w:next w:val="LightList-Accent5"/>
    <w:rsid w:val="009032E3"/>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5">
    <w:name w:val="No List85"/>
    <w:next w:val="NoList"/>
    <w:uiPriority w:val="99"/>
    <w:semiHidden/>
    <w:unhideWhenUsed/>
    <w:rsid w:val="009032E3"/>
  </w:style>
  <w:style w:type="numbering" w:customStyle="1" w:styleId="125">
    <w:name w:val="Нет списка125"/>
    <w:next w:val="NoList"/>
    <w:uiPriority w:val="99"/>
    <w:semiHidden/>
    <w:unhideWhenUsed/>
    <w:rsid w:val="009032E3"/>
  </w:style>
  <w:style w:type="numbering" w:customStyle="1" w:styleId="NoList137">
    <w:name w:val="No List137"/>
    <w:next w:val="NoList"/>
    <w:semiHidden/>
    <w:unhideWhenUsed/>
    <w:rsid w:val="009032E3"/>
  </w:style>
  <w:style w:type="numbering" w:customStyle="1" w:styleId="NoList2110">
    <w:name w:val="No List2110"/>
    <w:next w:val="NoList"/>
    <w:semiHidden/>
    <w:unhideWhenUsed/>
    <w:rsid w:val="009032E3"/>
  </w:style>
  <w:style w:type="numbering" w:customStyle="1" w:styleId="NoList3110">
    <w:name w:val="No List3110"/>
    <w:next w:val="NoList"/>
    <w:semiHidden/>
    <w:unhideWhenUsed/>
    <w:rsid w:val="009032E3"/>
  </w:style>
  <w:style w:type="numbering" w:customStyle="1" w:styleId="1115">
    <w:name w:val="Нет списка1115"/>
    <w:next w:val="NoList"/>
    <w:semiHidden/>
    <w:unhideWhenUsed/>
    <w:rsid w:val="009032E3"/>
  </w:style>
  <w:style w:type="numbering" w:customStyle="1" w:styleId="NoList418">
    <w:name w:val="No List418"/>
    <w:next w:val="NoList"/>
    <w:semiHidden/>
    <w:rsid w:val="009032E3"/>
  </w:style>
  <w:style w:type="numbering" w:customStyle="1" w:styleId="NoList111110">
    <w:name w:val="No List111110"/>
    <w:next w:val="NoList"/>
    <w:semiHidden/>
    <w:unhideWhenUsed/>
    <w:rsid w:val="009032E3"/>
  </w:style>
  <w:style w:type="numbering" w:customStyle="1" w:styleId="11114">
    <w:name w:val="Нет списка11114"/>
    <w:next w:val="NoList"/>
    <w:semiHidden/>
    <w:unhideWhenUsed/>
    <w:rsid w:val="009032E3"/>
  </w:style>
  <w:style w:type="numbering" w:customStyle="1" w:styleId="NoList95">
    <w:name w:val="No List95"/>
    <w:next w:val="NoList"/>
    <w:uiPriority w:val="99"/>
    <w:semiHidden/>
    <w:unhideWhenUsed/>
    <w:rsid w:val="009032E3"/>
  </w:style>
  <w:style w:type="table" w:customStyle="1" w:styleId="TableGrid45">
    <w:name w:val="Table Grid45"/>
    <w:basedOn w:val="TableNormal"/>
    <w:next w:val="TableGrid"/>
    <w:uiPriority w:val="39"/>
    <w:rsid w:val="009032E3"/>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4">
    <w:name w:val="Grid Table 1 Light - Accent 514"/>
    <w:basedOn w:val="TableNormal"/>
    <w:uiPriority w:val="46"/>
    <w:rsid w:val="009032E3"/>
    <w:pPr>
      <w:spacing w:after="200"/>
    </w:pPr>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3">
    <w:name w:val="Plain Table 313"/>
    <w:basedOn w:val="TableNormal"/>
    <w:uiPriority w:val="43"/>
    <w:rsid w:val="009032E3"/>
    <w:pPr>
      <w:spacing w:after="200"/>
    </w:pPr>
    <w:rPr>
      <w:rFonts w:ascii="Calibri" w:eastAsia="Calibri" w:hAnsi="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3">
    <w:name w:val="Grid Table 4 - Accent 113"/>
    <w:basedOn w:val="TableNormal"/>
    <w:uiPriority w:val="49"/>
    <w:rsid w:val="009032E3"/>
    <w:pPr>
      <w:spacing w:after="200"/>
    </w:pPr>
    <w:rPr>
      <w:rFonts w:ascii="Calibri" w:eastAsia="Calibri" w:hAnsi="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05">
    <w:name w:val="No List105"/>
    <w:next w:val="NoList"/>
    <w:uiPriority w:val="99"/>
    <w:semiHidden/>
    <w:unhideWhenUsed/>
    <w:rsid w:val="009032E3"/>
  </w:style>
  <w:style w:type="table" w:customStyle="1" w:styleId="TableGrid550">
    <w:name w:val="Table Grid55"/>
    <w:basedOn w:val="TableNormal"/>
    <w:next w:val="TableGrid"/>
    <w:uiPriority w:val="39"/>
    <w:rsid w:val="009032E3"/>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13">
    <w:name w:val="Table List 7113"/>
    <w:basedOn w:val="TableNormal"/>
    <w:next w:val="TableList7"/>
    <w:rsid w:val="009032E3"/>
    <w:pPr>
      <w:spacing w:after="200"/>
    </w:pPr>
    <w:rPr>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3">
    <w:name w:val="Table Web 3113"/>
    <w:basedOn w:val="TableNormal"/>
    <w:next w:val="TableWeb3"/>
    <w:rsid w:val="009032E3"/>
    <w:pPr>
      <w:spacing w:after="200"/>
    </w:pPr>
    <w:rPr>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3">
    <w:name w:val="Table Elegant113"/>
    <w:basedOn w:val="TableNormal"/>
    <w:next w:val="TableElegant"/>
    <w:rsid w:val="009032E3"/>
    <w:pPr>
      <w:spacing w:after="200"/>
    </w:pPr>
    <w:rPr>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5">
    <w:name w:val="Table Web 225"/>
    <w:basedOn w:val="TableNormal"/>
    <w:next w:val="TableWeb2"/>
    <w:rsid w:val="009032E3"/>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5">
    <w:name w:val="Table Web 125"/>
    <w:basedOn w:val="TableNormal"/>
    <w:next w:val="TableWeb1"/>
    <w:rsid w:val="009032E3"/>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5">
    <w:name w:val="Table Grid 825"/>
    <w:basedOn w:val="TableNormal"/>
    <w:next w:val="TableGrid8"/>
    <w:rsid w:val="009032E3"/>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5">
    <w:name w:val="Table Contemporary25"/>
    <w:basedOn w:val="TableNormal"/>
    <w:next w:val="TableContemporary"/>
    <w:rsid w:val="009032E3"/>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5">
    <w:name w:val="No List145"/>
    <w:next w:val="NoList"/>
    <w:semiHidden/>
    <w:unhideWhenUsed/>
    <w:rsid w:val="009032E3"/>
  </w:style>
  <w:style w:type="numbering" w:customStyle="1" w:styleId="NoList225">
    <w:name w:val="No List225"/>
    <w:next w:val="NoList"/>
    <w:semiHidden/>
    <w:unhideWhenUsed/>
    <w:rsid w:val="009032E3"/>
  </w:style>
  <w:style w:type="numbering" w:customStyle="1" w:styleId="NoList325">
    <w:name w:val="No List325"/>
    <w:next w:val="NoList"/>
    <w:semiHidden/>
    <w:unhideWhenUsed/>
    <w:rsid w:val="009032E3"/>
  </w:style>
  <w:style w:type="table" w:customStyle="1" w:styleId="LightList-Accent1210">
    <w:name w:val="Light List - Accent 1210"/>
    <w:basedOn w:val="TableNormal"/>
    <w:uiPriority w:val="61"/>
    <w:rsid w:val="009032E3"/>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13">
    <w:name w:val="Table Grid 7113"/>
    <w:basedOn w:val="TableNormal"/>
    <w:next w:val="TableGrid7"/>
    <w:rsid w:val="009032E3"/>
    <w:pPr>
      <w:spacing w:after="200"/>
    </w:pPr>
    <w:rPr>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5">
    <w:name w:val="Colorful Grid - Accent 135"/>
    <w:basedOn w:val="TableNormal"/>
    <w:next w:val="ColorfulGrid-Accent1"/>
    <w:uiPriority w:val="73"/>
    <w:rsid w:val="009032E3"/>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5">
    <w:name w:val="Light List - Accent 535"/>
    <w:basedOn w:val="TableNormal"/>
    <w:next w:val="LightList-Accent5"/>
    <w:uiPriority w:val="61"/>
    <w:rsid w:val="009032E3"/>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13">
    <w:name w:val="Table Simple 3113"/>
    <w:basedOn w:val="TableNormal"/>
    <w:next w:val="TableSimple3"/>
    <w:rsid w:val="009032E3"/>
    <w:pPr>
      <w:spacing w:after="200"/>
    </w:pPr>
    <w:rPr>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3">
    <w:name w:val="Table Grid 5113"/>
    <w:basedOn w:val="TableNormal"/>
    <w:next w:val="TableGrid5"/>
    <w:rsid w:val="009032E3"/>
    <w:pPr>
      <w:spacing w:after="200"/>
    </w:pPr>
    <w:rPr>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3">
    <w:name w:val="Table Grid 3113"/>
    <w:basedOn w:val="TableNormal"/>
    <w:next w:val="TableGrid3"/>
    <w:rsid w:val="009032E3"/>
    <w:pPr>
      <w:spacing w:after="200"/>
    </w:pPr>
    <w:rPr>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30">
    <w:name w:val="Table Grid 1113"/>
    <w:basedOn w:val="TableNormal"/>
    <w:next w:val="TableGrid10"/>
    <w:rsid w:val="009032E3"/>
    <w:pPr>
      <w:spacing w:after="200"/>
    </w:pPr>
    <w:rPr>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3">
    <w:name w:val="Table Columns 5113"/>
    <w:basedOn w:val="TableNormal"/>
    <w:next w:val="TableColumns5"/>
    <w:rsid w:val="009032E3"/>
    <w:pPr>
      <w:spacing w:after="200"/>
    </w:pPr>
    <w:rPr>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8">
    <w:name w:val="Light List - Accent 1118"/>
    <w:basedOn w:val="TableNormal"/>
    <w:uiPriority w:val="61"/>
    <w:rsid w:val="009032E3"/>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5">
    <w:name w:val="Нет списка135"/>
    <w:next w:val="NoList"/>
    <w:semiHidden/>
    <w:unhideWhenUsed/>
    <w:rsid w:val="009032E3"/>
  </w:style>
  <w:style w:type="table" w:customStyle="1" w:styleId="ColorfulGrid-Accent1115">
    <w:name w:val="Colorful Grid - Accent 1115"/>
    <w:basedOn w:val="TableNormal"/>
    <w:rsid w:val="009032E3"/>
    <w:pPr>
      <w:spacing w:after="200"/>
    </w:pPr>
    <w:rPr>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6">
    <w:name w:val="Light List - Accent 5116"/>
    <w:basedOn w:val="TableNormal"/>
    <w:rsid w:val="009032E3"/>
    <w:pPr>
      <w:spacing w:after="200"/>
    </w:pPr>
    <w:rPr>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5">
    <w:name w:val="No List425"/>
    <w:next w:val="NoList"/>
    <w:semiHidden/>
    <w:rsid w:val="009032E3"/>
  </w:style>
  <w:style w:type="numbering" w:customStyle="1" w:styleId="NoList1129">
    <w:name w:val="No List1129"/>
    <w:next w:val="NoList"/>
    <w:semiHidden/>
    <w:unhideWhenUsed/>
    <w:rsid w:val="009032E3"/>
  </w:style>
  <w:style w:type="table" w:customStyle="1" w:styleId="Table3Deffects3113">
    <w:name w:val="Table 3D effects 3113"/>
    <w:basedOn w:val="TableNormal"/>
    <w:next w:val="Table3Deffects3"/>
    <w:rsid w:val="009032E3"/>
    <w:pPr>
      <w:spacing w:after="200"/>
    </w:pPr>
    <w:rPr>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5">
    <w:name w:val="Нет списка1125"/>
    <w:next w:val="NoList"/>
    <w:semiHidden/>
    <w:unhideWhenUsed/>
    <w:rsid w:val="009032E3"/>
  </w:style>
  <w:style w:type="table" w:customStyle="1" w:styleId="TableGrid1115">
    <w:name w:val="Table Grid1115"/>
    <w:basedOn w:val="TableNormal"/>
    <w:next w:val="TableGrid"/>
    <w:rsid w:val="009032E3"/>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5">
    <w:name w:val="No List515"/>
    <w:next w:val="NoList"/>
    <w:uiPriority w:val="99"/>
    <w:semiHidden/>
    <w:rsid w:val="009032E3"/>
  </w:style>
  <w:style w:type="numbering" w:customStyle="1" w:styleId="NoList614">
    <w:name w:val="No List614"/>
    <w:next w:val="NoList"/>
    <w:uiPriority w:val="99"/>
    <w:semiHidden/>
    <w:unhideWhenUsed/>
    <w:rsid w:val="009032E3"/>
  </w:style>
  <w:style w:type="table" w:customStyle="1" w:styleId="TableGrid217">
    <w:name w:val="Table Grid217"/>
    <w:basedOn w:val="TableNormal"/>
    <w:next w:val="TableGrid"/>
    <w:rsid w:val="009032E3"/>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4">
    <w:name w:val="No List714"/>
    <w:next w:val="NoList"/>
    <w:uiPriority w:val="99"/>
    <w:semiHidden/>
    <w:unhideWhenUsed/>
    <w:rsid w:val="009032E3"/>
  </w:style>
  <w:style w:type="numbering" w:customStyle="1" w:styleId="NoList1217">
    <w:name w:val="No List1217"/>
    <w:next w:val="NoList"/>
    <w:uiPriority w:val="99"/>
    <w:semiHidden/>
    <w:unhideWhenUsed/>
    <w:rsid w:val="009032E3"/>
  </w:style>
  <w:style w:type="table" w:customStyle="1" w:styleId="TableGrid3140">
    <w:name w:val="Table Grid314"/>
    <w:basedOn w:val="TableNormal"/>
    <w:next w:val="TableGrid"/>
    <w:rsid w:val="009032E3"/>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4">
    <w:name w:val="Table Web 2114"/>
    <w:basedOn w:val="TableNormal"/>
    <w:next w:val="TableWeb2"/>
    <w:rsid w:val="009032E3"/>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4">
    <w:name w:val="Table Web 1114"/>
    <w:basedOn w:val="TableNormal"/>
    <w:next w:val="TableWeb1"/>
    <w:rsid w:val="009032E3"/>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4">
    <w:name w:val="Table Grid 8114"/>
    <w:basedOn w:val="TableNormal"/>
    <w:next w:val="TableGrid8"/>
    <w:rsid w:val="009032E3"/>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4">
    <w:name w:val="Table Contemporary114"/>
    <w:basedOn w:val="TableNormal"/>
    <w:next w:val="TableContemporary"/>
    <w:rsid w:val="009032E3"/>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4">
    <w:name w:val="Colorful Grid - Accent 1214"/>
    <w:basedOn w:val="TableNormal"/>
    <w:next w:val="ColorfulGrid-Accent1"/>
    <w:rsid w:val="009032E3"/>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4">
    <w:name w:val="Light List - Accent 5214"/>
    <w:basedOn w:val="TableNormal"/>
    <w:next w:val="LightList-Accent5"/>
    <w:rsid w:val="009032E3"/>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4">
    <w:name w:val="No List814"/>
    <w:next w:val="NoList"/>
    <w:uiPriority w:val="99"/>
    <w:semiHidden/>
    <w:unhideWhenUsed/>
    <w:rsid w:val="009032E3"/>
  </w:style>
  <w:style w:type="numbering" w:customStyle="1" w:styleId="1214">
    <w:name w:val="Нет списка1214"/>
    <w:next w:val="NoList"/>
    <w:uiPriority w:val="99"/>
    <w:semiHidden/>
    <w:unhideWhenUsed/>
    <w:rsid w:val="009032E3"/>
  </w:style>
  <w:style w:type="numbering" w:customStyle="1" w:styleId="NoList1314">
    <w:name w:val="No List1314"/>
    <w:next w:val="NoList"/>
    <w:semiHidden/>
    <w:unhideWhenUsed/>
    <w:rsid w:val="009032E3"/>
  </w:style>
  <w:style w:type="numbering" w:customStyle="1" w:styleId="NoList2115">
    <w:name w:val="No List2115"/>
    <w:next w:val="NoList"/>
    <w:semiHidden/>
    <w:unhideWhenUsed/>
    <w:rsid w:val="009032E3"/>
  </w:style>
  <w:style w:type="numbering" w:customStyle="1" w:styleId="NoList3115">
    <w:name w:val="No List3115"/>
    <w:next w:val="NoList"/>
    <w:semiHidden/>
    <w:unhideWhenUsed/>
    <w:rsid w:val="009032E3"/>
  </w:style>
  <w:style w:type="numbering" w:customStyle="1" w:styleId="11123">
    <w:name w:val="Нет списка11123"/>
    <w:next w:val="NoList"/>
    <w:semiHidden/>
    <w:unhideWhenUsed/>
    <w:rsid w:val="009032E3"/>
  </w:style>
  <w:style w:type="numbering" w:customStyle="1" w:styleId="NoList4114">
    <w:name w:val="No List4114"/>
    <w:next w:val="NoList"/>
    <w:semiHidden/>
    <w:rsid w:val="009032E3"/>
  </w:style>
  <w:style w:type="numbering" w:customStyle="1" w:styleId="NoList111114">
    <w:name w:val="No List111114"/>
    <w:next w:val="NoList"/>
    <w:semiHidden/>
    <w:unhideWhenUsed/>
    <w:rsid w:val="009032E3"/>
  </w:style>
  <w:style w:type="numbering" w:customStyle="1" w:styleId="111113">
    <w:name w:val="Нет списка111113"/>
    <w:next w:val="NoList"/>
    <w:semiHidden/>
    <w:unhideWhenUsed/>
    <w:rsid w:val="009032E3"/>
  </w:style>
  <w:style w:type="table" w:customStyle="1" w:styleId="TableGrid65">
    <w:name w:val="Table Grid65"/>
    <w:basedOn w:val="TableNormal"/>
    <w:next w:val="TableGrid"/>
    <w:uiPriority w:val="39"/>
    <w:rsid w:val="009032E3"/>
    <w:pPr>
      <w:jc w:val="center"/>
    </w:pPr>
    <w:rPr>
      <w:rFonts w:ascii="Sylfaen" w:eastAsia="Calibri" w:hAnsi="Sylfaen"/>
      <w:sz w:val="24"/>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3">
    <w:name w:val="Grid Table 1 Light - Accent 5113"/>
    <w:basedOn w:val="TableNormal"/>
    <w:uiPriority w:val="46"/>
    <w:rsid w:val="009032E3"/>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5">
    <w:name w:val="Table Grid225"/>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0">
    <w:name w:val="Table Grid75"/>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0">
    <w:name w:val="Table Grid84"/>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3">
    <w:name w:val="Grid Table 1 Light - Accent 113"/>
    <w:basedOn w:val="TableNormal"/>
    <w:uiPriority w:val="46"/>
    <w:rsid w:val="009032E3"/>
    <w:rPr>
      <w:rFonts w:ascii="Calibri" w:eastAsia="Calibri" w:hAnsi="Calibri"/>
      <w:sz w:val="22"/>
      <w:szCs w:val="22"/>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eList710">
    <w:name w:val="Table List 710"/>
    <w:basedOn w:val="TableNormal"/>
    <w:next w:val="TableList7"/>
    <w:uiPriority w:val="99"/>
    <w:semiHidden/>
    <w:unhideWhenUsed/>
    <w:rsid w:val="009032E3"/>
    <w:rPr>
      <w:rFonts w:ascii="Calibri" w:eastAsia="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0">
    <w:name w:val="Table Web 310"/>
    <w:basedOn w:val="TableNormal"/>
    <w:next w:val="TableWeb3"/>
    <w:uiPriority w:val="99"/>
    <w:semiHidden/>
    <w:unhideWhenUsed/>
    <w:rsid w:val="009032E3"/>
    <w:rPr>
      <w:rFonts w:ascii="Calibri" w:eastAsia="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0">
    <w:name w:val="Table Elegant10"/>
    <w:basedOn w:val="TableNormal"/>
    <w:next w:val="TableElegant"/>
    <w:uiPriority w:val="99"/>
    <w:semiHidden/>
    <w:unhideWhenUsed/>
    <w:rsid w:val="009032E3"/>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0">
    <w:name w:val="Table Web 210"/>
    <w:basedOn w:val="TableNormal"/>
    <w:next w:val="TableWeb2"/>
    <w:uiPriority w:val="99"/>
    <w:semiHidden/>
    <w:unhideWhenUsed/>
    <w:rsid w:val="009032E3"/>
    <w:rPr>
      <w:rFonts w:ascii="Calibri" w:eastAsia="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0">
    <w:name w:val="Table Web 110"/>
    <w:basedOn w:val="TableNormal"/>
    <w:next w:val="TableWeb1"/>
    <w:uiPriority w:val="99"/>
    <w:semiHidden/>
    <w:unhideWhenUsed/>
    <w:rsid w:val="009032E3"/>
    <w:rPr>
      <w:rFonts w:ascii="Calibri" w:eastAsia="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00">
    <w:name w:val="Table Grid 810"/>
    <w:basedOn w:val="TableNormal"/>
    <w:next w:val="TableGrid8"/>
    <w:uiPriority w:val="99"/>
    <w:semiHidden/>
    <w:unhideWhenUsed/>
    <w:rsid w:val="009032E3"/>
    <w:rPr>
      <w:rFonts w:ascii="Calibri" w:eastAsia="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0">
    <w:name w:val="Table Contemporary10"/>
    <w:basedOn w:val="TableNormal"/>
    <w:next w:val="TableContemporary"/>
    <w:uiPriority w:val="99"/>
    <w:semiHidden/>
    <w:unhideWhenUsed/>
    <w:rsid w:val="009032E3"/>
    <w:rPr>
      <w:rFonts w:ascii="Calibri" w:eastAsia="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30">
    <w:name w:val="Light List - Accent 130"/>
    <w:basedOn w:val="TableNormal"/>
    <w:next w:val="LightList-Accent1"/>
    <w:uiPriority w:val="61"/>
    <w:semiHidden/>
    <w:unhideWhenUsed/>
    <w:rsid w:val="009032E3"/>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7100">
    <w:name w:val="Table Grid 710"/>
    <w:basedOn w:val="TableNormal"/>
    <w:next w:val="TableGrid7"/>
    <w:uiPriority w:val="99"/>
    <w:semiHidden/>
    <w:unhideWhenUsed/>
    <w:rsid w:val="009032E3"/>
    <w:rPr>
      <w:rFonts w:ascii="Calibri" w:eastAsia="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0">
    <w:name w:val="Colorful Grid - Accent 120"/>
    <w:basedOn w:val="TableNormal"/>
    <w:next w:val="ColorfulGrid-Accent1"/>
    <w:uiPriority w:val="73"/>
    <w:semiHidden/>
    <w:unhideWhenUsed/>
    <w:rsid w:val="009032E3"/>
    <w:rPr>
      <w:rFonts w:ascii="Calibri" w:eastAsia="Calibri" w:hAnsi="Calibri"/>
      <w:color w:val="000000"/>
      <w:sz w:val="22"/>
      <w:szCs w:val="22"/>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LightList-Accent520">
    <w:name w:val="Light List - Accent 520"/>
    <w:basedOn w:val="TableNormal"/>
    <w:next w:val="LightList-Accent5"/>
    <w:uiPriority w:val="61"/>
    <w:semiHidden/>
    <w:unhideWhenUsed/>
    <w:rsid w:val="009032E3"/>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eSimple310">
    <w:name w:val="Table Simple 310"/>
    <w:basedOn w:val="TableNormal"/>
    <w:next w:val="TableSimple3"/>
    <w:uiPriority w:val="99"/>
    <w:semiHidden/>
    <w:unhideWhenUsed/>
    <w:rsid w:val="009032E3"/>
    <w:rPr>
      <w:rFonts w:ascii="Calibri" w:eastAsia="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00">
    <w:name w:val="Table Grid 510"/>
    <w:basedOn w:val="TableNormal"/>
    <w:next w:val="TableGrid5"/>
    <w:uiPriority w:val="99"/>
    <w:semiHidden/>
    <w:unhideWhenUsed/>
    <w:rsid w:val="009032E3"/>
    <w:rPr>
      <w:rFonts w:ascii="Calibri" w:eastAsia="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00">
    <w:name w:val="Table Grid 310"/>
    <w:basedOn w:val="TableNormal"/>
    <w:next w:val="TableGrid3"/>
    <w:uiPriority w:val="99"/>
    <w:semiHidden/>
    <w:unhideWhenUsed/>
    <w:rsid w:val="009032E3"/>
    <w:rPr>
      <w:rFonts w:ascii="Calibri" w:eastAsia="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02">
    <w:name w:val="Table Grid 110"/>
    <w:basedOn w:val="TableNormal"/>
    <w:next w:val="TableGrid10"/>
    <w:uiPriority w:val="99"/>
    <w:semiHidden/>
    <w:unhideWhenUsed/>
    <w:rsid w:val="009032E3"/>
    <w:rPr>
      <w:rFonts w:ascii="Calibri" w:eastAsia="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0">
    <w:name w:val="Table Columns 510"/>
    <w:basedOn w:val="TableNormal"/>
    <w:next w:val="TableColumns5"/>
    <w:uiPriority w:val="99"/>
    <w:semiHidden/>
    <w:unhideWhenUsed/>
    <w:rsid w:val="009032E3"/>
    <w:rPr>
      <w:rFonts w:ascii="Calibri" w:eastAsia="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3Deffects310">
    <w:name w:val="Table 3D effects 310"/>
    <w:basedOn w:val="TableNormal"/>
    <w:next w:val="Table3Deffects3"/>
    <w:uiPriority w:val="99"/>
    <w:semiHidden/>
    <w:unhideWhenUsed/>
    <w:rsid w:val="009032E3"/>
    <w:rPr>
      <w:rFonts w:ascii="Calibri" w:eastAsia="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154">
    <w:name w:val="No List154"/>
    <w:next w:val="NoList"/>
    <w:uiPriority w:val="99"/>
    <w:semiHidden/>
    <w:unhideWhenUsed/>
    <w:rsid w:val="009032E3"/>
  </w:style>
  <w:style w:type="table" w:customStyle="1" w:styleId="TableGrid124">
    <w:name w:val="Table Grid124"/>
    <w:basedOn w:val="TableNormal"/>
    <w:next w:val="TableGrid"/>
    <w:uiPriority w:val="39"/>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4">
    <w:name w:val="Table List 724"/>
    <w:basedOn w:val="TableNormal"/>
    <w:next w:val="TableList7"/>
    <w:rsid w:val="009032E3"/>
    <w:pPr>
      <w:spacing w:after="200"/>
    </w:pPr>
    <w:rPr>
      <w:rFonts w:ascii="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4">
    <w:name w:val="Table Web 324"/>
    <w:basedOn w:val="TableNormal"/>
    <w:next w:val="TableWeb3"/>
    <w:rsid w:val="009032E3"/>
    <w:pPr>
      <w:spacing w:after="200"/>
    </w:pPr>
    <w:rPr>
      <w:rFonts w:ascii="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4">
    <w:name w:val="Table Elegant24"/>
    <w:basedOn w:val="TableNormal"/>
    <w:next w:val="TableElegant"/>
    <w:rsid w:val="009032E3"/>
    <w:pPr>
      <w:spacing w:after="200"/>
    </w:pPr>
    <w:rPr>
      <w:rFonts w:ascii="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4">
    <w:name w:val="Table Web 234"/>
    <w:basedOn w:val="TableNormal"/>
    <w:next w:val="TableWeb2"/>
    <w:rsid w:val="009032E3"/>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4">
    <w:name w:val="Table Web 134"/>
    <w:basedOn w:val="TableNormal"/>
    <w:next w:val="TableWeb1"/>
    <w:rsid w:val="009032E3"/>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4">
    <w:name w:val="Table Grid 834"/>
    <w:basedOn w:val="TableNormal"/>
    <w:next w:val="TableGrid8"/>
    <w:rsid w:val="009032E3"/>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4">
    <w:name w:val="Table Contemporary34"/>
    <w:basedOn w:val="TableNormal"/>
    <w:next w:val="TableContemporary"/>
    <w:rsid w:val="009032E3"/>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64">
    <w:name w:val="No List164"/>
    <w:next w:val="NoList"/>
    <w:semiHidden/>
    <w:unhideWhenUsed/>
    <w:rsid w:val="009032E3"/>
  </w:style>
  <w:style w:type="numbering" w:customStyle="1" w:styleId="NoList234">
    <w:name w:val="No List234"/>
    <w:next w:val="NoList"/>
    <w:semiHidden/>
    <w:unhideWhenUsed/>
    <w:rsid w:val="009032E3"/>
  </w:style>
  <w:style w:type="numbering" w:customStyle="1" w:styleId="NoList334">
    <w:name w:val="No List334"/>
    <w:next w:val="NoList"/>
    <w:semiHidden/>
    <w:unhideWhenUsed/>
    <w:rsid w:val="009032E3"/>
  </w:style>
  <w:style w:type="table" w:customStyle="1" w:styleId="LightList-Accent134">
    <w:name w:val="Light List - Accent 134"/>
    <w:basedOn w:val="TableNormal"/>
    <w:next w:val="LightList-Accent1"/>
    <w:uiPriority w:val="61"/>
    <w:rsid w:val="009032E3"/>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4">
    <w:name w:val="Table Grid 724"/>
    <w:basedOn w:val="TableNormal"/>
    <w:next w:val="TableGrid7"/>
    <w:rsid w:val="009032E3"/>
    <w:pPr>
      <w:spacing w:after="200"/>
    </w:pPr>
    <w:rPr>
      <w:rFonts w:ascii="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4">
    <w:name w:val="Colorful Grid - Accent 144"/>
    <w:basedOn w:val="TableNormal"/>
    <w:next w:val="ColorfulGrid-Accent1"/>
    <w:uiPriority w:val="73"/>
    <w:rsid w:val="009032E3"/>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4">
    <w:name w:val="Light List - Accent 544"/>
    <w:basedOn w:val="TableNormal"/>
    <w:next w:val="LightList-Accent5"/>
    <w:uiPriority w:val="61"/>
    <w:rsid w:val="009032E3"/>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4">
    <w:name w:val="Table Simple 324"/>
    <w:basedOn w:val="TableNormal"/>
    <w:next w:val="TableSimple3"/>
    <w:rsid w:val="009032E3"/>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4">
    <w:name w:val="Table Grid 524"/>
    <w:basedOn w:val="TableNormal"/>
    <w:next w:val="TableGrid5"/>
    <w:rsid w:val="009032E3"/>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4">
    <w:name w:val="Table Grid 324"/>
    <w:basedOn w:val="TableNormal"/>
    <w:next w:val="TableGrid3"/>
    <w:rsid w:val="009032E3"/>
    <w:pPr>
      <w:spacing w:after="200"/>
    </w:pPr>
    <w:rPr>
      <w:rFonts w:ascii="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40">
    <w:name w:val="Table Grid 124"/>
    <w:basedOn w:val="TableNormal"/>
    <w:next w:val="TableGrid10"/>
    <w:rsid w:val="009032E3"/>
    <w:pPr>
      <w:spacing w:after="200"/>
    </w:pPr>
    <w:rPr>
      <w:rFonts w:ascii="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4">
    <w:name w:val="Table Columns 524"/>
    <w:basedOn w:val="TableNormal"/>
    <w:next w:val="TableColumns5"/>
    <w:rsid w:val="009032E3"/>
    <w:pPr>
      <w:spacing w:after="200"/>
    </w:pPr>
    <w:rPr>
      <w:rFonts w:ascii="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4">
    <w:name w:val="Light List - Accent 1124"/>
    <w:basedOn w:val="TableNormal"/>
    <w:uiPriority w:val="61"/>
    <w:rsid w:val="009032E3"/>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4">
    <w:name w:val="Нет списка144"/>
    <w:next w:val="NoList"/>
    <w:semiHidden/>
    <w:unhideWhenUsed/>
    <w:rsid w:val="009032E3"/>
  </w:style>
  <w:style w:type="table" w:customStyle="1" w:styleId="ColorfulGrid-Accent1124">
    <w:name w:val="Colorful Grid - Accent 1124"/>
    <w:basedOn w:val="TableNormal"/>
    <w:rsid w:val="009032E3"/>
    <w:pPr>
      <w:spacing w:after="200"/>
    </w:pPr>
    <w:rPr>
      <w:rFonts w:ascii="Calibri" w:hAnsi="Calibri"/>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4">
    <w:name w:val="Light List - Accent 5124"/>
    <w:basedOn w:val="TableNormal"/>
    <w:rsid w:val="009032E3"/>
    <w:pPr>
      <w:spacing w:after="200"/>
    </w:pPr>
    <w:rPr>
      <w:rFonts w:ascii="Calibri" w:hAnsi="Calibri"/>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4">
    <w:name w:val="No List434"/>
    <w:next w:val="NoList"/>
    <w:semiHidden/>
    <w:rsid w:val="009032E3"/>
  </w:style>
  <w:style w:type="numbering" w:customStyle="1" w:styleId="NoList1134">
    <w:name w:val="No List1134"/>
    <w:next w:val="NoList"/>
    <w:semiHidden/>
    <w:unhideWhenUsed/>
    <w:rsid w:val="009032E3"/>
  </w:style>
  <w:style w:type="table" w:customStyle="1" w:styleId="Table3Deffects324">
    <w:name w:val="Table 3D effects 324"/>
    <w:basedOn w:val="TableNormal"/>
    <w:next w:val="Table3Deffects3"/>
    <w:rsid w:val="009032E3"/>
    <w:pPr>
      <w:spacing w:after="200"/>
    </w:pPr>
    <w:rPr>
      <w:rFonts w:ascii="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4">
    <w:name w:val="Нет списка1134"/>
    <w:next w:val="NoList"/>
    <w:semiHidden/>
    <w:unhideWhenUsed/>
    <w:rsid w:val="009032E3"/>
  </w:style>
  <w:style w:type="table" w:customStyle="1" w:styleId="TableGrid134">
    <w:name w:val="Table Grid134"/>
    <w:basedOn w:val="TableNormal"/>
    <w:next w:val="TableGrid"/>
    <w:rsid w:val="009032E3"/>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24">
    <w:name w:val="No List524"/>
    <w:next w:val="NoList"/>
    <w:uiPriority w:val="99"/>
    <w:semiHidden/>
    <w:rsid w:val="009032E3"/>
  </w:style>
  <w:style w:type="numbering" w:customStyle="1" w:styleId="NoList622">
    <w:name w:val="No List622"/>
    <w:next w:val="NoList"/>
    <w:uiPriority w:val="99"/>
    <w:semiHidden/>
    <w:unhideWhenUsed/>
    <w:rsid w:val="009032E3"/>
  </w:style>
  <w:style w:type="table" w:customStyle="1" w:styleId="TableGrid233">
    <w:name w:val="Table Grid233"/>
    <w:basedOn w:val="TableNormal"/>
    <w:next w:val="TableGrid"/>
    <w:rsid w:val="009032E3"/>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22">
    <w:name w:val="No List722"/>
    <w:next w:val="NoList"/>
    <w:uiPriority w:val="99"/>
    <w:semiHidden/>
    <w:unhideWhenUsed/>
    <w:rsid w:val="009032E3"/>
  </w:style>
  <w:style w:type="numbering" w:customStyle="1" w:styleId="NoList1224">
    <w:name w:val="No List1224"/>
    <w:next w:val="NoList"/>
    <w:uiPriority w:val="99"/>
    <w:semiHidden/>
    <w:unhideWhenUsed/>
    <w:rsid w:val="009032E3"/>
  </w:style>
  <w:style w:type="table" w:customStyle="1" w:styleId="TableGrid3220">
    <w:name w:val="Table Grid322"/>
    <w:basedOn w:val="TableNormal"/>
    <w:next w:val="TableGrid"/>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22">
    <w:name w:val="Table Web 2122"/>
    <w:basedOn w:val="TableNormal"/>
    <w:next w:val="TableWeb2"/>
    <w:rsid w:val="009032E3"/>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22">
    <w:name w:val="Table Web 1122"/>
    <w:basedOn w:val="TableNormal"/>
    <w:next w:val="TableWeb1"/>
    <w:rsid w:val="009032E3"/>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22">
    <w:name w:val="Table Grid 8122"/>
    <w:basedOn w:val="TableNormal"/>
    <w:next w:val="TableGrid8"/>
    <w:rsid w:val="009032E3"/>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22">
    <w:name w:val="Table Contemporary122"/>
    <w:basedOn w:val="TableNormal"/>
    <w:next w:val="TableContemporary"/>
    <w:rsid w:val="009032E3"/>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22">
    <w:name w:val="Colorful Grid - Accent 1222"/>
    <w:basedOn w:val="TableNormal"/>
    <w:next w:val="ColorfulGrid-Accent1"/>
    <w:rsid w:val="009032E3"/>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22">
    <w:name w:val="Light List - Accent 5222"/>
    <w:basedOn w:val="TableNormal"/>
    <w:next w:val="LightList-Accent5"/>
    <w:rsid w:val="009032E3"/>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22">
    <w:name w:val="No List822"/>
    <w:next w:val="NoList"/>
    <w:uiPriority w:val="99"/>
    <w:semiHidden/>
    <w:unhideWhenUsed/>
    <w:rsid w:val="009032E3"/>
  </w:style>
  <w:style w:type="numbering" w:customStyle="1" w:styleId="1222">
    <w:name w:val="Нет списка1222"/>
    <w:next w:val="NoList"/>
    <w:uiPriority w:val="99"/>
    <w:semiHidden/>
    <w:unhideWhenUsed/>
    <w:rsid w:val="009032E3"/>
  </w:style>
  <w:style w:type="numbering" w:customStyle="1" w:styleId="NoList1322">
    <w:name w:val="No List1322"/>
    <w:next w:val="NoList"/>
    <w:semiHidden/>
    <w:unhideWhenUsed/>
    <w:rsid w:val="009032E3"/>
  </w:style>
  <w:style w:type="numbering" w:customStyle="1" w:styleId="NoList2124">
    <w:name w:val="No List2124"/>
    <w:next w:val="NoList"/>
    <w:semiHidden/>
    <w:unhideWhenUsed/>
    <w:rsid w:val="009032E3"/>
  </w:style>
  <w:style w:type="numbering" w:customStyle="1" w:styleId="NoList3124">
    <w:name w:val="No List3124"/>
    <w:next w:val="NoList"/>
    <w:semiHidden/>
    <w:unhideWhenUsed/>
    <w:rsid w:val="009032E3"/>
  </w:style>
  <w:style w:type="numbering" w:customStyle="1" w:styleId="11132">
    <w:name w:val="Нет списка11132"/>
    <w:next w:val="NoList"/>
    <w:semiHidden/>
    <w:unhideWhenUsed/>
    <w:rsid w:val="009032E3"/>
  </w:style>
  <w:style w:type="numbering" w:customStyle="1" w:styleId="NoList4122">
    <w:name w:val="No List4122"/>
    <w:next w:val="NoList"/>
    <w:semiHidden/>
    <w:rsid w:val="009032E3"/>
  </w:style>
  <w:style w:type="numbering" w:customStyle="1" w:styleId="NoList11124">
    <w:name w:val="No List11124"/>
    <w:next w:val="NoList"/>
    <w:semiHidden/>
    <w:unhideWhenUsed/>
    <w:rsid w:val="009032E3"/>
  </w:style>
  <w:style w:type="numbering" w:customStyle="1" w:styleId="111122">
    <w:name w:val="Нет списка111122"/>
    <w:next w:val="NoList"/>
    <w:semiHidden/>
    <w:unhideWhenUsed/>
    <w:rsid w:val="009032E3"/>
  </w:style>
  <w:style w:type="numbering" w:customStyle="1" w:styleId="NoList913">
    <w:name w:val="No List913"/>
    <w:next w:val="NoList"/>
    <w:uiPriority w:val="99"/>
    <w:semiHidden/>
    <w:unhideWhenUsed/>
    <w:rsid w:val="009032E3"/>
  </w:style>
  <w:style w:type="table" w:customStyle="1" w:styleId="TableGrid422">
    <w:name w:val="Table Grid422"/>
    <w:basedOn w:val="TableNormal"/>
    <w:next w:val="TableGrid"/>
    <w:uiPriority w:val="39"/>
    <w:rsid w:val="009032E3"/>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21">
    <w:name w:val="Grid Table 1 Light - Accent 5121"/>
    <w:basedOn w:val="TableNormal"/>
    <w:uiPriority w:val="46"/>
    <w:rsid w:val="009032E3"/>
    <w:pPr>
      <w:spacing w:after="200"/>
    </w:pPr>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11">
    <w:name w:val="Plain Table 3111"/>
    <w:basedOn w:val="TableNormal"/>
    <w:uiPriority w:val="43"/>
    <w:rsid w:val="009032E3"/>
    <w:pPr>
      <w:spacing w:after="200"/>
    </w:pPr>
    <w:rPr>
      <w:rFonts w:ascii="Calibri" w:eastAsia="Calibri" w:hAnsi="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11">
    <w:name w:val="Grid Table 4 - Accent 1111"/>
    <w:basedOn w:val="TableNormal"/>
    <w:uiPriority w:val="49"/>
    <w:rsid w:val="009032E3"/>
    <w:pPr>
      <w:spacing w:after="200"/>
    </w:pPr>
    <w:rPr>
      <w:rFonts w:ascii="Calibri" w:eastAsia="Calibri" w:hAnsi="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013">
    <w:name w:val="No List1013"/>
    <w:next w:val="NoList"/>
    <w:uiPriority w:val="99"/>
    <w:semiHidden/>
    <w:unhideWhenUsed/>
    <w:rsid w:val="009032E3"/>
  </w:style>
  <w:style w:type="table" w:customStyle="1" w:styleId="TableGrid5130">
    <w:name w:val="Table Grid513"/>
    <w:basedOn w:val="TableNormal"/>
    <w:next w:val="TableGrid"/>
    <w:uiPriority w:val="39"/>
    <w:rsid w:val="009032E3"/>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22">
    <w:name w:val="Table List 7122"/>
    <w:basedOn w:val="TableNormal"/>
    <w:next w:val="TableList7"/>
    <w:rsid w:val="009032E3"/>
    <w:pPr>
      <w:spacing w:after="200"/>
    </w:pPr>
    <w:rPr>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22">
    <w:name w:val="Table Web 3122"/>
    <w:basedOn w:val="TableNormal"/>
    <w:next w:val="TableWeb3"/>
    <w:rsid w:val="009032E3"/>
    <w:pPr>
      <w:spacing w:after="200"/>
    </w:pPr>
    <w:rPr>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22">
    <w:name w:val="Table Elegant122"/>
    <w:basedOn w:val="TableNormal"/>
    <w:next w:val="TableElegant"/>
    <w:rsid w:val="009032E3"/>
    <w:pPr>
      <w:spacing w:after="200"/>
    </w:pPr>
    <w:rPr>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13">
    <w:name w:val="Table Web 2213"/>
    <w:basedOn w:val="TableNormal"/>
    <w:next w:val="TableWeb2"/>
    <w:rsid w:val="009032E3"/>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13">
    <w:name w:val="Table Web 1213"/>
    <w:basedOn w:val="TableNormal"/>
    <w:next w:val="TableWeb1"/>
    <w:rsid w:val="009032E3"/>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13">
    <w:name w:val="Table Grid 8213"/>
    <w:basedOn w:val="TableNormal"/>
    <w:next w:val="TableGrid8"/>
    <w:rsid w:val="009032E3"/>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13">
    <w:name w:val="Table Contemporary213"/>
    <w:basedOn w:val="TableNormal"/>
    <w:next w:val="TableContemporary"/>
    <w:rsid w:val="009032E3"/>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13">
    <w:name w:val="No List1413"/>
    <w:next w:val="NoList"/>
    <w:semiHidden/>
    <w:unhideWhenUsed/>
    <w:rsid w:val="009032E3"/>
  </w:style>
  <w:style w:type="numbering" w:customStyle="1" w:styleId="NoList2213">
    <w:name w:val="No List2213"/>
    <w:next w:val="NoList"/>
    <w:semiHidden/>
    <w:unhideWhenUsed/>
    <w:rsid w:val="009032E3"/>
  </w:style>
  <w:style w:type="numbering" w:customStyle="1" w:styleId="NoList3213">
    <w:name w:val="No List3213"/>
    <w:next w:val="NoList"/>
    <w:semiHidden/>
    <w:unhideWhenUsed/>
    <w:rsid w:val="009032E3"/>
  </w:style>
  <w:style w:type="table" w:customStyle="1" w:styleId="LightList-Accent1213">
    <w:name w:val="Light List - Accent 1213"/>
    <w:basedOn w:val="TableNormal"/>
    <w:uiPriority w:val="61"/>
    <w:rsid w:val="009032E3"/>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22">
    <w:name w:val="Table Grid 7122"/>
    <w:basedOn w:val="TableNormal"/>
    <w:next w:val="TableGrid7"/>
    <w:rsid w:val="009032E3"/>
    <w:pPr>
      <w:spacing w:after="200"/>
    </w:pPr>
    <w:rPr>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13">
    <w:name w:val="Colorful Grid - Accent 1313"/>
    <w:basedOn w:val="TableNormal"/>
    <w:next w:val="ColorfulGrid-Accent1"/>
    <w:uiPriority w:val="73"/>
    <w:rsid w:val="009032E3"/>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13">
    <w:name w:val="Light List - Accent 5313"/>
    <w:basedOn w:val="TableNormal"/>
    <w:next w:val="LightList-Accent5"/>
    <w:uiPriority w:val="61"/>
    <w:rsid w:val="009032E3"/>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22">
    <w:name w:val="Table Simple 3122"/>
    <w:basedOn w:val="TableNormal"/>
    <w:next w:val="TableSimple3"/>
    <w:rsid w:val="009032E3"/>
    <w:pPr>
      <w:spacing w:after="200"/>
    </w:pPr>
    <w:rPr>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22">
    <w:name w:val="Table Grid 5122"/>
    <w:basedOn w:val="TableNormal"/>
    <w:next w:val="TableGrid5"/>
    <w:rsid w:val="009032E3"/>
    <w:pPr>
      <w:spacing w:after="200"/>
    </w:pPr>
    <w:rPr>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22">
    <w:name w:val="Table Grid 3122"/>
    <w:basedOn w:val="TableNormal"/>
    <w:next w:val="TableGrid3"/>
    <w:rsid w:val="009032E3"/>
    <w:pPr>
      <w:spacing w:after="200"/>
    </w:pPr>
    <w:rPr>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22">
    <w:name w:val="Table Grid 1122"/>
    <w:basedOn w:val="TableNormal"/>
    <w:next w:val="TableGrid10"/>
    <w:rsid w:val="009032E3"/>
    <w:pPr>
      <w:spacing w:after="200"/>
    </w:pPr>
    <w:rPr>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22">
    <w:name w:val="Table Columns 5122"/>
    <w:basedOn w:val="TableNormal"/>
    <w:next w:val="TableColumns5"/>
    <w:rsid w:val="009032E3"/>
    <w:pPr>
      <w:spacing w:after="200"/>
    </w:pPr>
    <w:rPr>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3">
    <w:name w:val="Light List - Accent 11113"/>
    <w:basedOn w:val="TableNormal"/>
    <w:uiPriority w:val="61"/>
    <w:rsid w:val="009032E3"/>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13">
    <w:name w:val="Нет списка1313"/>
    <w:next w:val="NoList"/>
    <w:semiHidden/>
    <w:unhideWhenUsed/>
    <w:rsid w:val="009032E3"/>
  </w:style>
  <w:style w:type="table" w:customStyle="1" w:styleId="ColorfulGrid-Accent11113">
    <w:name w:val="Colorful Grid - Accent 11113"/>
    <w:basedOn w:val="TableNormal"/>
    <w:rsid w:val="009032E3"/>
    <w:pPr>
      <w:spacing w:after="200"/>
    </w:pPr>
    <w:rPr>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13">
    <w:name w:val="Light List - Accent 51113"/>
    <w:basedOn w:val="TableNormal"/>
    <w:rsid w:val="009032E3"/>
    <w:pPr>
      <w:spacing w:after="200"/>
    </w:pPr>
    <w:rPr>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13">
    <w:name w:val="No List4213"/>
    <w:next w:val="NoList"/>
    <w:semiHidden/>
    <w:rsid w:val="009032E3"/>
  </w:style>
  <w:style w:type="numbering" w:customStyle="1" w:styleId="NoList11214">
    <w:name w:val="No List11214"/>
    <w:next w:val="NoList"/>
    <w:semiHidden/>
    <w:unhideWhenUsed/>
    <w:rsid w:val="009032E3"/>
  </w:style>
  <w:style w:type="table" w:customStyle="1" w:styleId="Table3Deffects3122">
    <w:name w:val="Table 3D effects 3122"/>
    <w:basedOn w:val="TableNormal"/>
    <w:next w:val="Table3Deffects3"/>
    <w:rsid w:val="009032E3"/>
    <w:pPr>
      <w:spacing w:after="200"/>
    </w:pPr>
    <w:rPr>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13">
    <w:name w:val="Нет списка11213"/>
    <w:next w:val="NoList"/>
    <w:semiHidden/>
    <w:unhideWhenUsed/>
    <w:rsid w:val="009032E3"/>
  </w:style>
  <w:style w:type="table" w:customStyle="1" w:styleId="TableGrid11220">
    <w:name w:val="Table Grid1122"/>
    <w:basedOn w:val="TableNormal"/>
    <w:next w:val="TableGrid"/>
    <w:rsid w:val="009032E3"/>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13">
    <w:name w:val="No List5113"/>
    <w:next w:val="NoList"/>
    <w:uiPriority w:val="99"/>
    <w:semiHidden/>
    <w:rsid w:val="009032E3"/>
  </w:style>
  <w:style w:type="numbering" w:customStyle="1" w:styleId="NoList6112">
    <w:name w:val="No List6112"/>
    <w:next w:val="NoList"/>
    <w:uiPriority w:val="99"/>
    <w:semiHidden/>
    <w:unhideWhenUsed/>
    <w:rsid w:val="009032E3"/>
  </w:style>
  <w:style w:type="table" w:customStyle="1" w:styleId="TableGrid2113">
    <w:name w:val="Table Grid2113"/>
    <w:basedOn w:val="TableNormal"/>
    <w:next w:val="TableGrid"/>
    <w:rsid w:val="009032E3"/>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2">
    <w:name w:val="No List7112"/>
    <w:next w:val="NoList"/>
    <w:uiPriority w:val="99"/>
    <w:semiHidden/>
    <w:unhideWhenUsed/>
    <w:rsid w:val="009032E3"/>
  </w:style>
  <w:style w:type="numbering" w:customStyle="1" w:styleId="NoList12113">
    <w:name w:val="No List12113"/>
    <w:next w:val="NoList"/>
    <w:uiPriority w:val="99"/>
    <w:semiHidden/>
    <w:unhideWhenUsed/>
    <w:rsid w:val="009032E3"/>
  </w:style>
  <w:style w:type="table" w:customStyle="1" w:styleId="TableGrid31120">
    <w:name w:val="Table Grid3112"/>
    <w:basedOn w:val="TableNormal"/>
    <w:next w:val="TableGrid"/>
    <w:rsid w:val="009032E3"/>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12">
    <w:name w:val="Table Web 21112"/>
    <w:basedOn w:val="TableNormal"/>
    <w:next w:val="TableWeb2"/>
    <w:rsid w:val="009032E3"/>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12">
    <w:name w:val="Table Web 11112"/>
    <w:basedOn w:val="TableNormal"/>
    <w:next w:val="TableWeb1"/>
    <w:rsid w:val="009032E3"/>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12">
    <w:name w:val="Table Grid 81112"/>
    <w:basedOn w:val="TableNormal"/>
    <w:next w:val="TableGrid8"/>
    <w:rsid w:val="009032E3"/>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12">
    <w:name w:val="Table Contemporary1112"/>
    <w:basedOn w:val="TableNormal"/>
    <w:next w:val="TableContemporary"/>
    <w:rsid w:val="009032E3"/>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12">
    <w:name w:val="Colorful Grid - Accent 12112"/>
    <w:basedOn w:val="TableNormal"/>
    <w:next w:val="ColorfulGrid-Accent1"/>
    <w:rsid w:val="009032E3"/>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12">
    <w:name w:val="Light List - Accent 52112"/>
    <w:basedOn w:val="TableNormal"/>
    <w:next w:val="LightList-Accent5"/>
    <w:rsid w:val="009032E3"/>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12">
    <w:name w:val="No List8112"/>
    <w:next w:val="NoList"/>
    <w:uiPriority w:val="99"/>
    <w:semiHidden/>
    <w:unhideWhenUsed/>
    <w:rsid w:val="009032E3"/>
  </w:style>
  <w:style w:type="numbering" w:customStyle="1" w:styleId="12112">
    <w:name w:val="Нет списка12112"/>
    <w:next w:val="NoList"/>
    <w:uiPriority w:val="99"/>
    <w:semiHidden/>
    <w:unhideWhenUsed/>
    <w:rsid w:val="009032E3"/>
  </w:style>
  <w:style w:type="numbering" w:customStyle="1" w:styleId="NoList13112">
    <w:name w:val="No List13112"/>
    <w:next w:val="NoList"/>
    <w:semiHidden/>
    <w:unhideWhenUsed/>
    <w:rsid w:val="009032E3"/>
  </w:style>
  <w:style w:type="numbering" w:customStyle="1" w:styleId="NoList21113">
    <w:name w:val="No List21113"/>
    <w:next w:val="NoList"/>
    <w:semiHidden/>
    <w:unhideWhenUsed/>
    <w:rsid w:val="009032E3"/>
  </w:style>
  <w:style w:type="numbering" w:customStyle="1" w:styleId="NoList31113">
    <w:name w:val="No List31113"/>
    <w:next w:val="NoList"/>
    <w:semiHidden/>
    <w:unhideWhenUsed/>
    <w:rsid w:val="009032E3"/>
  </w:style>
  <w:style w:type="numbering" w:customStyle="1" w:styleId="111212">
    <w:name w:val="Нет списка111212"/>
    <w:next w:val="NoList"/>
    <w:semiHidden/>
    <w:unhideWhenUsed/>
    <w:rsid w:val="009032E3"/>
  </w:style>
  <w:style w:type="numbering" w:customStyle="1" w:styleId="NoList41112">
    <w:name w:val="No List41112"/>
    <w:next w:val="NoList"/>
    <w:semiHidden/>
    <w:rsid w:val="009032E3"/>
  </w:style>
  <w:style w:type="numbering" w:customStyle="1" w:styleId="NoList111124">
    <w:name w:val="No List111124"/>
    <w:next w:val="NoList"/>
    <w:semiHidden/>
    <w:unhideWhenUsed/>
    <w:rsid w:val="009032E3"/>
  </w:style>
  <w:style w:type="numbering" w:customStyle="1" w:styleId="1111112">
    <w:name w:val="Нет списка1111112"/>
    <w:next w:val="NoList"/>
    <w:semiHidden/>
    <w:unhideWhenUsed/>
    <w:rsid w:val="009032E3"/>
  </w:style>
  <w:style w:type="table" w:customStyle="1" w:styleId="TableGrid613">
    <w:name w:val="Table Grid613"/>
    <w:basedOn w:val="TableNormal"/>
    <w:next w:val="TableGrid"/>
    <w:uiPriority w:val="39"/>
    <w:rsid w:val="009032E3"/>
    <w:pPr>
      <w:jc w:val="center"/>
    </w:pPr>
    <w:rPr>
      <w:rFonts w:ascii="Sylfaen" w:eastAsia="Calibri" w:hAnsi="Sylfaen"/>
      <w:sz w:val="24"/>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12">
    <w:name w:val="Grid Table 1 Light - Accent 51112"/>
    <w:basedOn w:val="TableNormal"/>
    <w:uiPriority w:val="46"/>
    <w:rsid w:val="009032E3"/>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14">
    <w:name w:val="Table Grid2214"/>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0">
    <w:name w:val="Table Grid712"/>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0">
    <w:name w:val="Table Grid812"/>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1">
    <w:name w:val="Grid Table 1 Light - Accent 1111"/>
    <w:basedOn w:val="TableNormal"/>
    <w:uiPriority w:val="46"/>
    <w:rsid w:val="009032E3"/>
    <w:rPr>
      <w:rFonts w:ascii="Calibri" w:eastAsia="Calibri" w:hAnsi="Calibri"/>
      <w:sz w:val="22"/>
      <w:szCs w:val="22"/>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eGrid143">
    <w:name w:val="Table Grid143"/>
    <w:basedOn w:val="TableNormal"/>
    <w:next w:val="TableGrid"/>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0">
    <w:name w:val="Table Grid721"/>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39"/>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0">
    <w:name w:val="Table Grid731"/>
    <w:basedOn w:val="TableNormal"/>
    <w:next w:val="TableGrid"/>
    <w:uiPriority w:val="39"/>
    <w:rsid w:val="009032E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39"/>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9032E3"/>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next w:val="TableGrid"/>
    <w:uiPriority w:val="39"/>
    <w:rsid w:val="009032E3"/>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11">
    <w:name w:val="Table Grid111311"/>
    <w:basedOn w:val="TableNormal"/>
    <w:next w:val="TableGrid"/>
    <w:uiPriority w:val="39"/>
    <w:rsid w:val="009032E3"/>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6">
    <w:name w:val="No List66"/>
    <w:next w:val="NoList"/>
    <w:uiPriority w:val="99"/>
    <w:semiHidden/>
    <w:unhideWhenUsed/>
    <w:rsid w:val="00E27F1D"/>
  </w:style>
  <w:style w:type="numbering" w:customStyle="1" w:styleId="NoList2221">
    <w:name w:val="No List2221"/>
    <w:next w:val="NoList"/>
    <w:semiHidden/>
    <w:rsid w:val="009F0A25"/>
  </w:style>
  <w:style w:type="numbering" w:customStyle="1" w:styleId="NoList3221">
    <w:name w:val="No List3221"/>
    <w:next w:val="NoList"/>
    <w:semiHidden/>
    <w:unhideWhenUsed/>
    <w:rsid w:val="009F0A25"/>
  </w:style>
  <w:style w:type="numbering" w:customStyle="1" w:styleId="NoList5121">
    <w:name w:val="No List5121"/>
    <w:next w:val="NoList"/>
    <w:uiPriority w:val="99"/>
    <w:semiHidden/>
    <w:unhideWhenUsed/>
    <w:rsid w:val="009F0A25"/>
  </w:style>
  <w:style w:type="numbering" w:customStyle="1" w:styleId="NoList12121">
    <w:name w:val="No List12121"/>
    <w:next w:val="NoList"/>
    <w:semiHidden/>
    <w:rsid w:val="009F0A25"/>
  </w:style>
  <w:style w:type="numbering" w:customStyle="1" w:styleId="NoList21121">
    <w:name w:val="No List21121"/>
    <w:next w:val="NoList"/>
    <w:semiHidden/>
    <w:rsid w:val="009F0A25"/>
  </w:style>
  <w:style w:type="numbering" w:customStyle="1" w:styleId="NoList31121">
    <w:name w:val="No List31121"/>
    <w:next w:val="NoList"/>
    <w:uiPriority w:val="99"/>
    <w:semiHidden/>
    <w:unhideWhenUsed/>
    <w:rsid w:val="009F0A25"/>
  </w:style>
  <w:style w:type="numbering" w:customStyle="1" w:styleId="NoList921">
    <w:name w:val="No List921"/>
    <w:next w:val="NoList"/>
    <w:uiPriority w:val="99"/>
    <w:semiHidden/>
    <w:unhideWhenUsed/>
    <w:rsid w:val="009F0A25"/>
  </w:style>
  <w:style w:type="numbering" w:customStyle="1" w:styleId="NoList1421">
    <w:name w:val="No List1421"/>
    <w:next w:val="NoList"/>
    <w:semiHidden/>
    <w:unhideWhenUsed/>
    <w:rsid w:val="009F0A25"/>
  </w:style>
  <w:style w:type="numbering" w:customStyle="1" w:styleId="1321">
    <w:name w:val="Нет списка1321"/>
    <w:next w:val="NoList"/>
    <w:semiHidden/>
    <w:unhideWhenUsed/>
    <w:rsid w:val="009F0A25"/>
  </w:style>
  <w:style w:type="numbering" w:customStyle="1" w:styleId="NoList4221">
    <w:name w:val="No List4221"/>
    <w:next w:val="NoList"/>
    <w:semiHidden/>
    <w:rsid w:val="009F0A25"/>
  </w:style>
  <w:style w:type="numbering" w:customStyle="1" w:styleId="11221">
    <w:name w:val="Нет списка11221"/>
    <w:next w:val="NoList"/>
    <w:semiHidden/>
    <w:unhideWhenUsed/>
    <w:rsid w:val="009F0A25"/>
  </w:style>
  <w:style w:type="numbering" w:customStyle="1" w:styleId="NoList1021">
    <w:name w:val="No List1021"/>
    <w:next w:val="NoList"/>
    <w:uiPriority w:val="99"/>
    <w:semiHidden/>
    <w:unhideWhenUsed/>
    <w:rsid w:val="009F0A25"/>
  </w:style>
  <w:style w:type="numbering" w:customStyle="1" w:styleId="NoList1811">
    <w:name w:val="No List1811"/>
    <w:next w:val="NoList"/>
    <w:uiPriority w:val="99"/>
    <w:semiHidden/>
    <w:unhideWhenUsed/>
    <w:rsid w:val="009F0A25"/>
  </w:style>
  <w:style w:type="numbering" w:customStyle="1" w:styleId="1511">
    <w:name w:val="Нет списка1511"/>
    <w:next w:val="NoList"/>
    <w:semiHidden/>
    <w:unhideWhenUsed/>
    <w:rsid w:val="009F0A25"/>
  </w:style>
  <w:style w:type="numbering" w:customStyle="1" w:styleId="NoList4411">
    <w:name w:val="No List4411"/>
    <w:next w:val="NoList"/>
    <w:semiHidden/>
    <w:rsid w:val="009F0A25"/>
  </w:style>
  <w:style w:type="numbering" w:customStyle="1" w:styleId="11411">
    <w:name w:val="Нет списка11411"/>
    <w:next w:val="NoList"/>
    <w:semiHidden/>
    <w:unhideWhenUsed/>
    <w:rsid w:val="009F0A25"/>
  </w:style>
  <w:style w:type="numbering" w:customStyle="1" w:styleId="NoList1111311">
    <w:name w:val="No List1111311"/>
    <w:next w:val="NoList"/>
    <w:semiHidden/>
    <w:rsid w:val="009F0A25"/>
  </w:style>
  <w:style w:type="numbering" w:customStyle="1" w:styleId="NoList5311">
    <w:name w:val="No List5311"/>
    <w:next w:val="NoList"/>
    <w:uiPriority w:val="99"/>
    <w:semiHidden/>
    <w:unhideWhenUsed/>
    <w:rsid w:val="009F0A25"/>
  </w:style>
  <w:style w:type="numbering" w:customStyle="1" w:styleId="NoList12311">
    <w:name w:val="No List12311"/>
    <w:next w:val="NoList"/>
    <w:semiHidden/>
    <w:rsid w:val="009F0A25"/>
  </w:style>
  <w:style w:type="numbering" w:customStyle="1" w:styleId="NoList21311">
    <w:name w:val="No List21311"/>
    <w:next w:val="NoList"/>
    <w:semiHidden/>
    <w:rsid w:val="009F0A25"/>
  </w:style>
  <w:style w:type="numbering" w:customStyle="1" w:styleId="NoList31311">
    <w:name w:val="No List31311"/>
    <w:next w:val="NoList"/>
    <w:uiPriority w:val="99"/>
    <w:semiHidden/>
    <w:unhideWhenUsed/>
    <w:rsid w:val="009F0A25"/>
  </w:style>
  <w:style w:type="numbering" w:customStyle="1" w:styleId="NoList113111">
    <w:name w:val="No List113111"/>
    <w:next w:val="NoList"/>
    <w:semiHidden/>
    <w:rsid w:val="009F0A25"/>
  </w:style>
  <w:style w:type="numbering" w:customStyle="1" w:styleId="NoList1112111">
    <w:name w:val="No List1112111"/>
    <w:next w:val="NoList"/>
    <w:semiHidden/>
    <w:rsid w:val="009F0A25"/>
  </w:style>
  <w:style w:type="numbering" w:customStyle="1" w:styleId="NoList22111">
    <w:name w:val="No List22111"/>
    <w:next w:val="NoList"/>
    <w:semiHidden/>
    <w:rsid w:val="009F0A25"/>
  </w:style>
  <w:style w:type="numbering" w:customStyle="1" w:styleId="NoList32111">
    <w:name w:val="No List32111"/>
    <w:next w:val="NoList"/>
    <w:semiHidden/>
    <w:unhideWhenUsed/>
    <w:rsid w:val="009F0A25"/>
  </w:style>
  <w:style w:type="numbering" w:customStyle="1" w:styleId="NoList51111">
    <w:name w:val="No List51111"/>
    <w:next w:val="NoList"/>
    <w:uiPriority w:val="99"/>
    <w:semiHidden/>
    <w:unhideWhenUsed/>
    <w:rsid w:val="009F0A25"/>
  </w:style>
  <w:style w:type="numbering" w:customStyle="1" w:styleId="NoList121111">
    <w:name w:val="No List121111"/>
    <w:next w:val="NoList"/>
    <w:semiHidden/>
    <w:rsid w:val="009F0A25"/>
  </w:style>
  <w:style w:type="numbering" w:customStyle="1" w:styleId="NoList1121111">
    <w:name w:val="No List1121111"/>
    <w:next w:val="NoList"/>
    <w:semiHidden/>
    <w:rsid w:val="009F0A25"/>
  </w:style>
  <w:style w:type="numbering" w:customStyle="1" w:styleId="NoList1111111111">
    <w:name w:val="No List1111111111"/>
    <w:next w:val="NoList"/>
    <w:semiHidden/>
    <w:rsid w:val="009F0A25"/>
  </w:style>
  <w:style w:type="numbering" w:customStyle="1" w:styleId="NoList211111">
    <w:name w:val="No List211111"/>
    <w:next w:val="NoList"/>
    <w:semiHidden/>
    <w:rsid w:val="009F0A25"/>
  </w:style>
  <w:style w:type="numbering" w:customStyle="1" w:styleId="NoList311111">
    <w:name w:val="No List311111"/>
    <w:next w:val="NoList"/>
    <w:uiPriority w:val="99"/>
    <w:semiHidden/>
    <w:unhideWhenUsed/>
    <w:rsid w:val="009F0A25"/>
  </w:style>
  <w:style w:type="numbering" w:customStyle="1" w:styleId="NoList9111">
    <w:name w:val="No List9111"/>
    <w:next w:val="NoList"/>
    <w:uiPriority w:val="99"/>
    <w:semiHidden/>
    <w:unhideWhenUsed/>
    <w:rsid w:val="009F0A25"/>
  </w:style>
  <w:style w:type="numbering" w:customStyle="1" w:styleId="NoList14111">
    <w:name w:val="No List14111"/>
    <w:next w:val="NoList"/>
    <w:semiHidden/>
    <w:unhideWhenUsed/>
    <w:rsid w:val="009F0A25"/>
  </w:style>
  <w:style w:type="numbering" w:customStyle="1" w:styleId="NoList23111">
    <w:name w:val="No List23111"/>
    <w:next w:val="NoList"/>
    <w:semiHidden/>
    <w:unhideWhenUsed/>
    <w:rsid w:val="009F0A25"/>
  </w:style>
  <w:style w:type="numbering" w:customStyle="1" w:styleId="NoList33111">
    <w:name w:val="No List33111"/>
    <w:next w:val="NoList"/>
    <w:semiHidden/>
    <w:unhideWhenUsed/>
    <w:rsid w:val="009F0A25"/>
  </w:style>
  <w:style w:type="numbering" w:customStyle="1" w:styleId="13111">
    <w:name w:val="Нет списка13111"/>
    <w:next w:val="NoList"/>
    <w:semiHidden/>
    <w:unhideWhenUsed/>
    <w:rsid w:val="009F0A25"/>
  </w:style>
  <w:style w:type="numbering" w:customStyle="1" w:styleId="NoList42111">
    <w:name w:val="No List42111"/>
    <w:next w:val="NoList"/>
    <w:semiHidden/>
    <w:rsid w:val="009F0A25"/>
  </w:style>
  <w:style w:type="numbering" w:customStyle="1" w:styleId="NoList114111">
    <w:name w:val="No List114111"/>
    <w:next w:val="NoList"/>
    <w:semiHidden/>
    <w:unhideWhenUsed/>
    <w:rsid w:val="009F0A25"/>
  </w:style>
  <w:style w:type="numbering" w:customStyle="1" w:styleId="112111">
    <w:name w:val="Нет списка112111"/>
    <w:next w:val="NoList"/>
    <w:semiHidden/>
    <w:unhideWhenUsed/>
    <w:rsid w:val="009F0A25"/>
  </w:style>
  <w:style w:type="numbering" w:customStyle="1" w:styleId="NoList10111">
    <w:name w:val="No List10111"/>
    <w:next w:val="NoList"/>
    <w:uiPriority w:val="99"/>
    <w:semiHidden/>
    <w:unhideWhenUsed/>
    <w:rsid w:val="009F0A25"/>
  </w:style>
  <w:style w:type="numbering" w:customStyle="1" w:styleId="NoList15111">
    <w:name w:val="No List15111"/>
    <w:next w:val="NoList"/>
    <w:semiHidden/>
    <w:unhideWhenUsed/>
    <w:rsid w:val="009F0A25"/>
  </w:style>
  <w:style w:type="numbering" w:customStyle="1" w:styleId="NoList1113111">
    <w:name w:val="No List1113111"/>
    <w:next w:val="NoList"/>
    <w:semiHidden/>
    <w:rsid w:val="009F0A25"/>
  </w:style>
  <w:style w:type="numbering" w:customStyle="1" w:styleId="NoList24111">
    <w:name w:val="No List24111"/>
    <w:next w:val="NoList"/>
    <w:semiHidden/>
    <w:rsid w:val="009F0A25"/>
  </w:style>
  <w:style w:type="numbering" w:customStyle="1" w:styleId="NoList34111">
    <w:name w:val="No List34111"/>
    <w:next w:val="NoList"/>
    <w:semiHidden/>
    <w:unhideWhenUsed/>
    <w:rsid w:val="009F0A25"/>
  </w:style>
  <w:style w:type="numbering" w:customStyle="1" w:styleId="14111">
    <w:name w:val="Нет списка14111"/>
    <w:next w:val="NoList"/>
    <w:semiHidden/>
    <w:unhideWhenUsed/>
    <w:rsid w:val="009F0A25"/>
  </w:style>
  <w:style w:type="numbering" w:customStyle="1" w:styleId="NoList43111">
    <w:name w:val="No List43111"/>
    <w:next w:val="NoList"/>
    <w:semiHidden/>
    <w:rsid w:val="009F0A25"/>
  </w:style>
  <w:style w:type="numbering" w:customStyle="1" w:styleId="113111">
    <w:name w:val="Нет списка113111"/>
    <w:next w:val="NoList"/>
    <w:semiHidden/>
    <w:unhideWhenUsed/>
    <w:rsid w:val="009F0A25"/>
  </w:style>
  <w:style w:type="numbering" w:customStyle="1" w:styleId="NoList52111">
    <w:name w:val="No List52111"/>
    <w:next w:val="NoList"/>
    <w:uiPriority w:val="99"/>
    <w:semiHidden/>
    <w:unhideWhenUsed/>
    <w:rsid w:val="009F0A25"/>
  </w:style>
  <w:style w:type="numbering" w:customStyle="1" w:styleId="NoList122111">
    <w:name w:val="No List122111"/>
    <w:next w:val="NoList"/>
    <w:semiHidden/>
    <w:rsid w:val="009F0A25"/>
  </w:style>
  <w:style w:type="numbering" w:customStyle="1" w:styleId="NoList1122111">
    <w:name w:val="No List1122111"/>
    <w:next w:val="NoList"/>
    <w:semiHidden/>
    <w:rsid w:val="009F0A25"/>
  </w:style>
  <w:style w:type="numbering" w:customStyle="1" w:styleId="NoList11112111">
    <w:name w:val="No List11112111"/>
    <w:next w:val="NoList"/>
    <w:semiHidden/>
    <w:rsid w:val="009F0A25"/>
  </w:style>
  <w:style w:type="numbering" w:customStyle="1" w:styleId="NoList212111">
    <w:name w:val="No List212111"/>
    <w:next w:val="NoList"/>
    <w:semiHidden/>
    <w:rsid w:val="009F0A25"/>
  </w:style>
  <w:style w:type="numbering" w:customStyle="1" w:styleId="NoList312111">
    <w:name w:val="No List312111"/>
    <w:next w:val="NoList"/>
    <w:uiPriority w:val="99"/>
    <w:semiHidden/>
    <w:unhideWhenUsed/>
    <w:rsid w:val="009F0A25"/>
  </w:style>
  <w:style w:type="numbering" w:customStyle="1" w:styleId="NoList16111">
    <w:name w:val="No List16111"/>
    <w:next w:val="NoList"/>
    <w:uiPriority w:val="99"/>
    <w:semiHidden/>
    <w:unhideWhenUsed/>
    <w:rsid w:val="009F0A25"/>
  </w:style>
  <w:style w:type="numbering" w:customStyle="1" w:styleId="NoList17111">
    <w:name w:val="No List17111"/>
    <w:next w:val="NoList"/>
    <w:uiPriority w:val="99"/>
    <w:semiHidden/>
    <w:unhideWhenUsed/>
    <w:rsid w:val="009F0A25"/>
  </w:style>
  <w:style w:type="table" w:customStyle="1" w:styleId="LightList-Accent12211">
    <w:name w:val="Light List - Accent 12211"/>
    <w:basedOn w:val="TableNormal"/>
    <w:next w:val="LightList-Accent1"/>
    <w:uiPriority w:val="61"/>
    <w:rsid w:val="009F0A25"/>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2-Accent111">
    <w:name w:val="Medium List 2 - Accent 111"/>
    <w:basedOn w:val="TableNormal"/>
    <w:next w:val="MediumList2-Accent1"/>
    <w:uiPriority w:val="66"/>
    <w:rsid w:val="009F0A25"/>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Grid3-Accent611">
    <w:name w:val="Medium Grid 3 - Accent 611"/>
    <w:basedOn w:val="TableNormal"/>
    <w:next w:val="MediumGrid3-Accent6"/>
    <w:uiPriority w:val="69"/>
    <w:rsid w:val="009F0A25"/>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Accent511">
    <w:name w:val="Medium List 1 - Accent 511"/>
    <w:basedOn w:val="TableNormal"/>
    <w:next w:val="MediumList1-Accent5"/>
    <w:uiPriority w:val="65"/>
    <w:rsid w:val="009F0A25"/>
    <w:rPr>
      <w:rFonts w:ascii="Calibri" w:eastAsia="Calibri" w:hAnsi="Calibri"/>
      <w:color w:val="000000"/>
      <w:sz w:val="22"/>
      <w:szCs w:val="22"/>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LightList-Accent311">
    <w:name w:val="Light List - Accent 311"/>
    <w:basedOn w:val="TableNormal"/>
    <w:next w:val="LightList-Accent3"/>
    <w:uiPriority w:val="61"/>
    <w:rsid w:val="009F0A25"/>
    <w:rPr>
      <w:rFonts w:ascii="Calibri" w:eastAsia="Calibri"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List2-Accent311">
    <w:name w:val="Medium List 2 - Accent 311"/>
    <w:basedOn w:val="TableNormal"/>
    <w:next w:val="MediumList2-Accent3"/>
    <w:uiPriority w:val="66"/>
    <w:rsid w:val="009F0A25"/>
    <w:rPr>
      <w:rFonts w:ascii="Cambria"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1">
    <w:name w:val="Medium List 2 - Accent 411"/>
    <w:basedOn w:val="TableNormal"/>
    <w:next w:val="MediumList2-Accent4"/>
    <w:uiPriority w:val="66"/>
    <w:rsid w:val="009F0A25"/>
    <w:rPr>
      <w:rFonts w:ascii="Cambria" w:hAnsi="Cambria"/>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TableList7131">
    <w:name w:val="Table List 7131"/>
    <w:basedOn w:val="TableNormal"/>
    <w:next w:val="TableList7"/>
    <w:rsid w:val="009F0A25"/>
    <w:pPr>
      <w:spacing w:after="200"/>
    </w:pPr>
    <w:rPr>
      <w:rFonts w:ascii="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31">
    <w:name w:val="Table Web 3131"/>
    <w:basedOn w:val="TableNormal"/>
    <w:next w:val="TableWeb3"/>
    <w:rsid w:val="009F0A25"/>
    <w:pPr>
      <w:spacing w:after="200"/>
    </w:pPr>
    <w:rPr>
      <w:rFonts w:ascii="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31">
    <w:name w:val="Table Elegant131"/>
    <w:basedOn w:val="TableNormal"/>
    <w:next w:val="TableElegant"/>
    <w:rsid w:val="009F0A25"/>
    <w:pPr>
      <w:spacing w:after="200"/>
    </w:pPr>
    <w:rPr>
      <w:rFonts w:ascii="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31">
    <w:name w:val="Table Web 2131"/>
    <w:basedOn w:val="TableNormal"/>
    <w:next w:val="TableWeb2"/>
    <w:rsid w:val="009F0A25"/>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31">
    <w:name w:val="Table Web 1131"/>
    <w:basedOn w:val="TableNormal"/>
    <w:next w:val="TableWeb1"/>
    <w:rsid w:val="009F0A25"/>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31">
    <w:name w:val="Table Grid 8131"/>
    <w:basedOn w:val="TableNormal"/>
    <w:next w:val="TableGrid8"/>
    <w:rsid w:val="009F0A25"/>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31">
    <w:name w:val="Table Contemporary131"/>
    <w:basedOn w:val="TableNormal"/>
    <w:next w:val="TableContemporary"/>
    <w:rsid w:val="009F0A25"/>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7131">
    <w:name w:val="Table Grid 7131"/>
    <w:basedOn w:val="TableNormal"/>
    <w:next w:val="TableGrid7"/>
    <w:rsid w:val="009F0A25"/>
    <w:pPr>
      <w:spacing w:after="200"/>
    </w:pPr>
    <w:rPr>
      <w:rFonts w:ascii="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Simple3131">
    <w:name w:val="Table Simple 3131"/>
    <w:basedOn w:val="TableNormal"/>
    <w:next w:val="TableSimple3"/>
    <w:rsid w:val="009F0A25"/>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31">
    <w:name w:val="Table Grid 5131"/>
    <w:basedOn w:val="TableNormal"/>
    <w:next w:val="TableGrid5"/>
    <w:rsid w:val="009F0A25"/>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31">
    <w:name w:val="Table Grid 3131"/>
    <w:basedOn w:val="TableNormal"/>
    <w:next w:val="TableGrid3"/>
    <w:rsid w:val="009F0A25"/>
    <w:pPr>
      <w:spacing w:after="200"/>
    </w:pPr>
    <w:rPr>
      <w:rFonts w:ascii="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31">
    <w:name w:val="Table Grid 1131"/>
    <w:basedOn w:val="TableNormal"/>
    <w:next w:val="TableGrid10"/>
    <w:rsid w:val="009F0A25"/>
    <w:pPr>
      <w:spacing w:after="200"/>
    </w:pPr>
    <w:rPr>
      <w:rFonts w:ascii="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31">
    <w:name w:val="Table Columns 5131"/>
    <w:basedOn w:val="TableNormal"/>
    <w:next w:val="TableColumns5"/>
    <w:rsid w:val="009F0A25"/>
    <w:pPr>
      <w:spacing w:after="200"/>
    </w:pPr>
    <w:rPr>
      <w:rFonts w:ascii="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numbering" w:customStyle="1" w:styleId="NoList4131">
    <w:name w:val="No List4131"/>
    <w:next w:val="NoList"/>
    <w:semiHidden/>
    <w:rsid w:val="009F0A25"/>
  </w:style>
  <w:style w:type="table" w:customStyle="1" w:styleId="Table3Deffects3131">
    <w:name w:val="Table 3D effects 3131"/>
    <w:basedOn w:val="TableNormal"/>
    <w:next w:val="Table3Deffects3"/>
    <w:rsid w:val="009F0A25"/>
    <w:pPr>
      <w:spacing w:after="200"/>
    </w:pPr>
    <w:rPr>
      <w:rFonts w:ascii="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631">
    <w:name w:val="No List631"/>
    <w:next w:val="NoList"/>
    <w:uiPriority w:val="99"/>
    <w:semiHidden/>
    <w:unhideWhenUsed/>
    <w:rsid w:val="009F0A25"/>
  </w:style>
  <w:style w:type="numbering" w:customStyle="1" w:styleId="NoList731">
    <w:name w:val="No List731"/>
    <w:next w:val="NoList"/>
    <w:uiPriority w:val="99"/>
    <w:semiHidden/>
    <w:unhideWhenUsed/>
    <w:rsid w:val="009F0A25"/>
  </w:style>
  <w:style w:type="table" w:customStyle="1" w:styleId="TableGrid3310">
    <w:name w:val="Table Grid331"/>
    <w:basedOn w:val="TableNormal"/>
    <w:next w:val="TableGrid"/>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31">
    <w:name w:val="Colorful Grid - Accent 1231"/>
    <w:basedOn w:val="TableNormal"/>
    <w:next w:val="ColorfulGrid-Accent1"/>
    <w:rsid w:val="009F0A25"/>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31">
    <w:name w:val="Light List - Accent 5231"/>
    <w:basedOn w:val="TableNormal"/>
    <w:next w:val="LightList-Accent5"/>
    <w:rsid w:val="009F0A25"/>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31">
    <w:name w:val="No List831"/>
    <w:next w:val="NoList"/>
    <w:uiPriority w:val="99"/>
    <w:semiHidden/>
    <w:unhideWhenUsed/>
    <w:rsid w:val="009F0A25"/>
  </w:style>
  <w:style w:type="numbering" w:customStyle="1" w:styleId="1231">
    <w:name w:val="Нет списка1231"/>
    <w:next w:val="NoList"/>
    <w:uiPriority w:val="99"/>
    <w:semiHidden/>
    <w:unhideWhenUsed/>
    <w:rsid w:val="009F0A25"/>
  </w:style>
  <w:style w:type="numbering" w:customStyle="1" w:styleId="NoList1331">
    <w:name w:val="No List1331"/>
    <w:next w:val="NoList"/>
    <w:semiHidden/>
    <w:unhideWhenUsed/>
    <w:rsid w:val="009F0A25"/>
  </w:style>
  <w:style w:type="table" w:customStyle="1" w:styleId="TableGrid431">
    <w:name w:val="Table Grid431"/>
    <w:basedOn w:val="TableNormal"/>
    <w:next w:val="TableGrid"/>
    <w:uiPriority w:val="39"/>
    <w:rsid w:val="009F0A25"/>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
    <w:name w:val="No List6121"/>
    <w:next w:val="NoList"/>
    <w:uiPriority w:val="99"/>
    <w:semiHidden/>
    <w:unhideWhenUsed/>
    <w:rsid w:val="009F0A25"/>
  </w:style>
  <w:style w:type="numbering" w:customStyle="1" w:styleId="NoList7121">
    <w:name w:val="No List7121"/>
    <w:next w:val="NoList"/>
    <w:uiPriority w:val="99"/>
    <w:semiHidden/>
    <w:unhideWhenUsed/>
    <w:rsid w:val="009F0A25"/>
  </w:style>
  <w:style w:type="table" w:customStyle="1" w:styleId="TableGrid31210">
    <w:name w:val="Table Grid3121"/>
    <w:basedOn w:val="TableNormal"/>
    <w:next w:val="TableGrid"/>
    <w:rsid w:val="009F0A25"/>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21">
    <w:name w:val="Table Web 21121"/>
    <w:basedOn w:val="TableNormal"/>
    <w:next w:val="TableWeb2"/>
    <w:rsid w:val="009F0A25"/>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21">
    <w:name w:val="Table Web 11121"/>
    <w:basedOn w:val="TableNormal"/>
    <w:next w:val="TableWeb1"/>
    <w:rsid w:val="009F0A25"/>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21">
    <w:name w:val="Table Grid 81121"/>
    <w:basedOn w:val="TableNormal"/>
    <w:next w:val="TableGrid8"/>
    <w:rsid w:val="009F0A25"/>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21">
    <w:name w:val="Table Contemporary1121"/>
    <w:basedOn w:val="TableNormal"/>
    <w:next w:val="TableContemporary"/>
    <w:rsid w:val="009F0A25"/>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21">
    <w:name w:val="Colorful Grid - Accent 12121"/>
    <w:basedOn w:val="TableNormal"/>
    <w:next w:val="ColorfulGrid-Accent1"/>
    <w:rsid w:val="009F0A25"/>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21">
    <w:name w:val="Light List - Accent 52121"/>
    <w:basedOn w:val="TableNormal"/>
    <w:next w:val="LightList-Accent5"/>
    <w:rsid w:val="009F0A25"/>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21">
    <w:name w:val="No List8121"/>
    <w:next w:val="NoList"/>
    <w:uiPriority w:val="99"/>
    <w:semiHidden/>
    <w:unhideWhenUsed/>
    <w:rsid w:val="009F0A25"/>
  </w:style>
  <w:style w:type="numbering" w:customStyle="1" w:styleId="12121">
    <w:name w:val="Нет списка12121"/>
    <w:next w:val="NoList"/>
    <w:uiPriority w:val="99"/>
    <w:semiHidden/>
    <w:unhideWhenUsed/>
    <w:rsid w:val="009F0A25"/>
  </w:style>
  <w:style w:type="numbering" w:customStyle="1" w:styleId="NoList13121">
    <w:name w:val="No List13121"/>
    <w:next w:val="NoList"/>
    <w:semiHidden/>
    <w:unhideWhenUsed/>
    <w:rsid w:val="009F0A25"/>
  </w:style>
  <w:style w:type="numbering" w:customStyle="1" w:styleId="NoList41121">
    <w:name w:val="No List41121"/>
    <w:next w:val="NoList"/>
    <w:semiHidden/>
    <w:rsid w:val="009F0A25"/>
  </w:style>
  <w:style w:type="table" w:customStyle="1" w:styleId="TableGrid4121">
    <w:name w:val="Table Grid412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0">
    <w:name w:val="Table Grid82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1">
    <w:name w:val="No List6211"/>
    <w:next w:val="NoList"/>
    <w:uiPriority w:val="99"/>
    <w:semiHidden/>
    <w:unhideWhenUsed/>
    <w:rsid w:val="009F0A25"/>
  </w:style>
  <w:style w:type="numbering" w:customStyle="1" w:styleId="NoList7211">
    <w:name w:val="No List7211"/>
    <w:next w:val="NoList"/>
    <w:uiPriority w:val="99"/>
    <w:semiHidden/>
    <w:unhideWhenUsed/>
    <w:rsid w:val="009F0A25"/>
  </w:style>
  <w:style w:type="table" w:customStyle="1" w:styleId="TableGrid32110">
    <w:name w:val="Table Grid3211"/>
    <w:basedOn w:val="TableNormal"/>
    <w:next w:val="TableGrid"/>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211">
    <w:name w:val="Table Web 21211"/>
    <w:basedOn w:val="TableNormal"/>
    <w:next w:val="TableWeb2"/>
    <w:rsid w:val="009F0A25"/>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211">
    <w:name w:val="Table Web 11211"/>
    <w:basedOn w:val="TableNormal"/>
    <w:next w:val="TableWeb1"/>
    <w:rsid w:val="009F0A25"/>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211">
    <w:name w:val="Table Grid 81211"/>
    <w:basedOn w:val="TableNormal"/>
    <w:next w:val="TableGrid8"/>
    <w:rsid w:val="009F0A25"/>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211">
    <w:name w:val="Table Contemporary1211"/>
    <w:basedOn w:val="TableNormal"/>
    <w:next w:val="TableContemporary"/>
    <w:rsid w:val="009F0A25"/>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211">
    <w:name w:val="Colorful Grid - Accent 12211"/>
    <w:basedOn w:val="TableNormal"/>
    <w:next w:val="ColorfulGrid-Accent1"/>
    <w:rsid w:val="009F0A25"/>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211">
    <w:name w:val="Light List - Accent 52211"/>
    <w:basedOn w:val="TableNormal"/>
    <w:next w:val="LightList-Accent5"/>
    <w:rsid w:val="009F0A25"/>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211">
    <w:name w:val="No List8211"/>
    <w:next w:val="NoList"/>
    <w:uiPriority w:val="99"/>
    <w:semiHidden/>
    <w:unhideWhenUsed/>
    <w:rsid w:val="009F0A25"/>
  </w:style>
  <w:style w:type="numbering" w:customStyle="1" w:styleId="12211">
    <w:name w:val="Нет списка12211"/>
    <w:next w:val="NoList"/>
    <w:uiPriority w:val="99"/>
    <w:semiHidden/>
    <w:unhideWhenUsed/>
    <w:rsid w:val="009F0A25"/>
  </w:style>
  <w:style w:type="numbering" w:customStyle="1" w:styleId="NoList13211">
    <w:name w:val="No List13211"/>
    <w:next w:val="NoList"/>
    <w:semiHidden/>
    <w:unhideWhenUsed/>
    <w:rsid w:val="009F0A25"/>
  </w:style>
  <w:style w:type="numbering" w:customStyle="1" w:styleId="111311">
    <w:name w:val="Нет списка111311"/>
    <w:next w:val="NoList"/>
    <w:semiHidden/>
    <w:unhideWhenUsed/>
    <w:rsid w:val="009F0A25"/>
  </w:style>
  <w:style w:type="numbering" w:customStyle="1" w:styleId="NoList41211">
    <w:name w:val="No List41211"/>
    <w:next w:val="NoList"/>
    <w:semiHidden/>
    <w:rsid w:val="009F0A25"/>
  </w:style>
  <w:style w:type="numbering" w:customStyle="1" w:styleId="1111211">
    <w:name w:val="Нет списка1111211"/>
    <w:next w:val="NoList"/>
    <w:semiHidden/>
    <w:unhideWhenUsed/>
    <w:rsid w:val="009F0A25"/>
  </w:style>
  <w:style w:type="table" w:customStyle="1" w:styleId="TableGrid4211">
    <w:name w:val="Table Grid4211"/>
    <w:basedOn w:val="TableNormal"/>
    <w:next w:val="TableGrid"/>
    <w:uiPriority w:val="39"/>
    <w:rsid w:val="009F0A25"/>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211">
    <w:name w:val="Table List 71211"/>
    <w:basedOn w:val="TableNormal"/>
    <w:next w:val="TableList7"/>
    <w:rsid w:val="009F0A25"/>
    <w:pPr>
      <w:spacing w:after="200"/>
    </w:pPr>
    <w:rPr>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211">
    <w:name w:val="Table Web 31211"/>
    <w:basedOn w:val="TableNormal"/>
    <w:next w:val="TableWeb3"/>
    <w:rsid w:val="009F0A25"/>
    <w:pPr>
      <w:spacing w:after="200"/>
    </w:pPr>
    <w:rPr>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211">
    <w:name w:val="Table Elegant1211"/>
    <w:basedOn w:val="TableNormal"/>
    <w:next w:val="TableElegant"/>
    <w:rsid w:val="009F0A25"/>
    <w:pPr>
      <w:spacing w:after="200"/>
    </w:pPr>
    <w:rPr>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71211">
    <w:name w:val="Table Grid 71211"/>
    <w:basedOn w:val="TableNormal"/>
    <w:next w:val="TableGrid7"/>
    <w:rsid w:val="009F0A25"/>
    <w:pPr>
      <w:spacing w:after="200"/>
    </w:pPr>
    <w:rPr>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Simple31211">
    <w:name w:val="Table Simple 31211"/>
    <w:basedOn w:val="TableNormal"/>
    <w:next w:val="TableSimple3"/>
    <w:rsid w:val="009F0A25"/>
    <w:pPr>
      <w:spacing w:after="200"/>
    </w:pPr>
    <w:rPr>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211">
    <w:name w:val="Table Grid 51211"/>
    <w:basedOn w:val="TableNormal"/>
    <w:next w:val="TableGrid5"/>
    <w:rsid w:val="009F0A25"/>
    <w:pPr>
      <w:spacing w:after="200"/>
    </w:pPr>
    <w:rPr>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211">
    <w:name w:val="Table Grid 31211"/>
    <w:basedOn w:val="TableNormal"/>
    <w:next w:val="TableGrid3"/>
    <w:rsid w:val="009F0A25"/>
    <w:pPr>
      <w:spacing w:after="200"/>
    </w:pPr>
    <w:rPr>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211">
    <w:name w:val="Table Grid 11211"/>
    <w:basedOn w:val="TableNormal"/>
    <w:next w:val="TableGrid10"/>
    <w:rsid w:val="009F0A25"/>
    <w:pPr>
      <w:spacing w:after="200"/>
    </w:pPr>
    <w:rPr>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211">
    <w:name w:val="Table Columns 51211"/>
    <w:basedOn w:val="TableNormal"/>
    <w:next w:val="TableColumns5"/>
    <w:rsid w:val="009F0A25"/>
    <w:pPr>
      <w:spacing w:after="200"/>
    </w:pPr>
    <w:rPr>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3Deffects31211">
    <w:name w:val="Table 3D effects 31211"/>
    <w:basedOn w:val="TableNormal"/>
    <w:next w:val="Table3Deffects3"/>
    <w:rsid w:val="009F0A25"/>
    <w:pPr>
      <w:spacing w:after="200"/>
    </w:pPr>
    <w:rPr>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12110">
    <w:name w:val="Table Grid11211"/>
    <w:basedOn w:val="TableNormal"/>
    <w:next w:val="TableGrid"/>
    <w:rsid w:val="009F0A2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111">
    <w:name w:val="No List61111"/>
    <w:next w:val="NoList"/>
    <w:uiPriority w:val="99"/>
    <w:semiHidden/>
    <w:unhideWhenUsed/>
    <w:rsid w:val="009F0A25"/>
  </w:style>
  <w:style w:type="numbering" w:customStyle="1" w:styleId="NoList71111">
    <w:name w:val="No List71111"/>
    <w:next w:val="NoList"/>
    <w:uiPriority w:val="99"/>
    <w:semiHidden/>
    <w:unhideWhenUsed/>
    <w:rsid w:val="009F0A25"/>
  </w:style>
  <w:style w:type="table" w:customStyle="1" w:styleId="TableGrid31111">
    <w:name w:val="Table Grid31111"/>
    <w:basedOn w:val="TableNormal"/>
    <w:next w:val="TableGrid"/>
    <w:rsid w:val="009F0A25"/>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111">
    <w:name w:val="Table Web 211111"/>
    <w:basedOn w:val="TableNormal"/>
    <w:next w:val="TableWeb2"/>
    <w:rsid w:val="009F0A25"/>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111">
    <w:name w:val="Table Web 111111"/>
    <w:basedOn w:val="TableNormal"/>
    <w:next w:val="TableWeb1"/>
    <w:rsid w:val="009F0A25"/>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111">
    <w:name w:val="Table Grid 811111"/>
    <w:basedOn w:val="TableNormal"/>
    <w:next w:val="TableGrid8"/>
    <w:rsid w:val="009F0A25"/>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111">
    <w:name w:val="Table Contemporary11111"/>
    <w:basedOn w:val="TableNormal"/>
    <w:next w:val="TableContemporary"/>
    <w:rsid w:val="009F0A25"/>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111">
    <w:name w:val="Colorful Grid - Accent 121111"/>
    <w:basedOn w:val="TableNormal"/>
    <w:next w:val="ColorfulGrid-Accent1"/>
    <w:rsid w:val="009F0A25"/>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111">
    <w:name w:val="Light List - Accent 521111"/>
    <w:basedOn w:val="TableNormal"/>
    <w:next w:val="LightList-Accent5"/>
    <w:rsid w:val="009F0A25"/>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111">
    <w:name w:val="No List81111"/>
    <w:next w:val="NoList"/>
    <w:uiPriority w:val="99"/>
    <w:semiHidden/>
    <w:unhideWhenUsed/>
    <w:rsid w:val="009F0A25"/>
  </w:style>
  <w:style w:type="numbering" w:customStyle="1" w:styleId="121111">
    <w:name w:val="Нет списка121111"/>
    <w:next w:val="NoList"/>
    <w:uiPriority w:val="99"/>
    <w:semiHidden/>
    <w:unhideWhenUsed/>
    <w:rsid w:val="009F0A25"/>
  </w:style>
  <w:style w:type="numbering" w:customStyle="1" w:styleId="NoList131111">
    <w:name w:val="No List131111"/>
    <w:next w:val="NoList"/>
    <w:semiHidden/>
    <w:unhideWhenUsed/>
    <w:rsid w:val="009F0A25"/>
  </w:style>
  <w:style w:type="numbering" w:customStyle="1" w:styleId="1112111">
    <w:name w:val="Нет списка1112111"/>
    <w:next w:val="NoList"/>
    <w:semiHidden/>
    <w:unhideWhenUsed/>
    <w:rsid w:val="009F0A25"/>
  </w:style>
  <w:style w:type="numbering" w:customStyle="1" w:styleId="NoList411111">
    <w:name w:val="No List411111"/>
    <w:next w:val="NoList"/>
    <w:semiHidden/>
    <w:rsid w:val="009F0A25"/>
  </w:style>
  <w:style w:type="numbering" w:customStyle="1" w:styleId="11111111">
    <w:name w:val="Нет списка11111111"/>
    <w:next w:val="NoList"/>
    <w:semiHidden/>
    <w:unhideWhenUsed/>
    <w:rsid w:val="009F0A25"/>
  </w:style>
  <w:style w:type="table" w:customStyle="1" w:styleId="TableGrid41111">
    <w:name w:val="Table Grid411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0">
    <w:name w:val="Table Grid71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0">
    <w:name w:val="Table Grid81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39"/>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
    <w:name w:val="Нет списка11141"/>
    <w:next w:val="NoList"/>
    <w:semiHidden/>
    <w:unhideWhenUsed/>
    <w:rsid w:val="009F0A25"/>
  </w:style>
  <w:style w:type="numbering" w:customStyle="1" w:styleId="111131">
    <w:name w:val="Нет списка111131"/>
    <w:next w:val="NoList"/>
    <w:semiHidden/>
    <w:unhideWhenUsed/>
    <w:rsid w:val="009F0A25"/>
  </w:style>
  <w:style w:type="table" w:customStyle="1" w:styleId="GridTable4-Accent1121">
    <w:name w:val="Grid Table 4 - Accent 1121"/>
    <w:basedOn w:val="TableNormal"/>
    <w:uiPriority w:val="49"/>
    <w:rsid w:val="009F0A25"/>
    <w:pPr>
      <w:spacing w:after="200"/>
    </w:pPr>
    <w:rPr>
      <w:rFonts w:ascii="Calibri" w:eastAsia="Calibri" w:hAnsi="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221">
    <w:name w:val="Нет списка111221"/>
    <w:next w:val="NoList"/>
    <w:semiHidden/>
    <w:unhideWhenUsed/>
    <w:rsid w:val="009F0A25"/>
  </w:style>
  <w:style w:type="numbering" w:customStyle="1" w:styleId="1111121">
    <w:name w:val="Нет списка1111121"/>
    <w:next w:val="NoList"/>
    <w:semiHidden/>
    <w:unhideWhenUsed/>
    <w:rsid w:val="009F0A25"/>
  </w:style>
  <w:style w:type="table" w:customStyle="1" w:styleId="TableGrid11141">
    <w:name w:val="Table Grid1114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0">
    <w:name w:val="Table Grid74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1">
    <w:name w:val="Grid Table 1 Light - Accent 1121"/>
    <w:basedOn w:val="TableNormal"/>
    <w:uiPriority w:val="46"/>
    <w:rsid w:val="009F0A25"/>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MediumGrid3-Accent121">
    <w:name w:val="Medium Grid 3 - Accent 121"/>
    <w:basedOn w:val="TableNormal"/>
    <w:next w:val="MediumGrid3-Accent1"/>
    <w:uiPriority w:val="69"/>
    <w:rsid w:val="009F0A25"/>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TableGrid1431">
    <w:name w:val="Table Grid1431"/>
    <w:basedOn w:val="TableNormal"/>
    <w:next w:val="TableGrid"/>
    <w:uiPriority w:val="39"/>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0">
    <w:name w:val="Table Grid7311"/>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
    <w:name w:val="Table Grid14211"/>
    <w:basedOn w:val="TableNormal"/>
    <w:next w:val="TableGrid"/>
    <w:uiPriority w:val="39"/>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1">
    <w:name w:val="Table Grid1113111"/>
    <w:basedOn w:val="TableNormal"/>
    <w:next w:val="TableGrid"/>
    <w:uiPriority w:val="39"/>
    <w:rsid w:val="009F0A2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31">
    <w:name w:val="Table Grid12131"/>
    <w:basedOn w:val="TableNormal"/>
    <w:next w:val="TableGrid"/>
    <w:uiPriority w:val="39"/>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211">
    <w:name w:val="Grid Table 1 Light - Accent 51211"/>
    <w:basedOn w:val="TableNormal"/>
    <w:uiPriority w:val="46"/>
    <w:rsid w:val="009F0A25"/>
    <w:pPr>
      <w:spacing w:after="200"/>
    </w:pPr>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241">
    <w:name w:val="Table Grid1241"/>
    <w:basedOn w:val="TableNormal"/>
    <w:next w:val="TableGrid"/>
    <w:uiPriority w:val="39"/>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
    <w:name w:val="Table Grid7312"/>
    <w:basedOn w:val="TableNormal"/>
    <w:next w:val="TableGrid"/>
    <w:uiPriority w:val="39"/>
    <w:rsid w:val="009F0A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
    <w:name w:val="Table Grid14212"/>
    <w:basedOn w:val="TableNormal"/>
    <w:next w:val="TableGrid"/>
    <w:uiPriority w:val="39"/>
    <w:rsid w:val="009F0A25"/>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2">
    <w:name w:val="Table Grid1113112"/>
    <w:basedOn w:val="TableNormal"/>
    <w:next w:val="TableGrid"/>
    <w:uiPriority w:val="39"/>
    <w:rsid w:val="009F0A25"/>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1121">
    <w:name w:val="Table Grid11131121"/>
    <w:basedOn w:val="TableNormal"/>
    <w:next w:val="TableGrid"/>
    <w:uiPriority w:val="39"/>
    <w:rsid w:val="00005BEA"/>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1">
    <w:name w:val="Table Grid9121"/>
    <w:basedOn w:val="TableNormal"/>
    <w:next w:val="TableGrid"/>
    <w:uiPriority w:val="39"/>
    <w:rsid w:val="00005B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1">
    <w:name w:val="Table Grid73121"/>
    <w:basedOn w:val="TableNormal"/>
    <w:next w:val="TableGrid"/>
    <w:uiPriority w:val="39"/>
    <w:rsid w:val="00005B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1">
    <w:name w:val="Table Grid142121"/>
    <w:basedOn w:val="TableNormal"/>
    <w:next w:val="TableGrid"/>
    <w:uiPriority w:val="39"/>
    <w:rsid w:val="00005BEA"/>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22">
    <w:name w:val="Table Grid11131122"/>
    <w:basedOn w:val="TableNormal"/>
    <w:next w:val="TableGrid"/>
    <w:uiPriority w:val="39"/>
    <w:rsid w:val="00005BEA"/>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50">
    <w:name w:val="Основной текст5"/>
    <w:basedOn w:val="Normal"/>
    <w:link w:val="ac"/>
    <w:rsid w:val="00CF740B"/>
    <w:pPr>
      <w:widowControl w:val="0"/>
      <w:shd w:val="clear" w:color="auto" w:fill="FFFFFF"/>
      <w:spacing w:before="0" w:line="322" w:lineRule="exact"/>
      <w:ind w:hanging="440"/>
      <w:jc w:val="right"/>
    </w:pPr>
    <w:rPr>
      <w:rFonts w:ascii="Sylfaen" w:hAnsi="Sylfaen" w:cs="Sylfaen"/>
      <w:b w:val="0"/>
      <w:spacing w:val="20"/>
      <w:w w:val="80"/>
      <w:sz w:val="20"/>
      <w:szCs w:val="20"/>
      <w:lang w:val="en-US" w:eastAsia="en-US"/>
    </w:rPr>
  </w:style>
  <w:style w:type="paragraph" w:customStyle="1" w:styleId="Char100">
    <w:name w:val="Char10"/>
    <w:basedOn w:val="Normal"/>
    <w:locked/>
    <w:rsid w:val="00840AE8"/>
    <w:pPr>
      <w:spacing w:before="0" w:after="160" w:line="240" w:lineRule="auto"/>
      <w:jc w:val="left"/>
    </w:pPr>
    <w:rPr>
      <w:rFonts w:ascii="Verdana" w:eastAsia="Batang" w:hAnsi="Verdana" w:cs="Verdana"/>
      <w:b w:val="0"/>
      <w:sz w:val="24"/>
      <w:lang w:val="en-GB"/>
    </w:rPr>
  </w:style>
  <w:style w:type="paragraph" w:customStyle="1" w:styleId="61">
    <w:name w:val="Основной текст6"/>
    <w:basedOn w:val="Normal"/>
    <w:rsid w:val="00453D56"/>
    <w:pPr>
      <w:widowControl w:val="0"/>
      <w:shd w:val="clear" w:color="auto" w:fill="FFFFFF"/>
      <w:spacing w:before="0" w:line="322" w:lineRule="exact"/>
      <w:ind w:hanging="440"/>
      <w:jc w:val="right"/>
    </w:pPr>
    <w:rPr>
      <w:rFonts w:ascii="Sylfaen" w:hAnsi="Sylfaen" w:cs="Sylfaen"/>
      <w:b w:val="0"/>
      <w:spacing w:val="20"/>
      <w:w w:val="80"/>
      <w:sz w:val="20"/>
      <w:szCs w:val="20"/>
      <w:lang w:val="en-US" w:eastAsia="en-US"/>
    </w:rPr>
  </w:style>
  <w:style w:type="table" w:customStyle="1" w:styleId="GridTable4-Accent51">
    <w:name w:val="Grid Table 4 - Accent 51"/>
    <w:basedOn w:val="TableNormal"/>
    <w:uiPriority w:val="49"/>
    <w:rsid w:val="00453D56"/>
    <w:rPr>
      <w:rFonts w:asciiTheme="minorHAnsi" w:eastAsiaTheme="minorHAnsi"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af">
    <w:name w:val="Աղյուսակներ"/>
    <w:basedOn w:val="Normal"/>
    <w:qFormat/>
    <w:rsid w:val="008624F6"/>
    <w:pPr>
      <w:spacing w:before="60" w:after="40"/>
    </w:pPr>
    <w:rPr>
      <w:rFonts w:eastAsia="Calibri" w:cs="Sylfaen"/>
      <w:bCs/>
      <w:i/>
      <w:szCs w:val="22"/>
      <w:lang w:val="hy-AM" w:eastAsia="en-US"/>
    </w:rPr>
  </w:style>
  <w:style w:type="numbering" w:customStyle="1" w:styleId="NoList11111111111">
    <w:name w:val="No List11111111111"/>
    <w:next w:val="NoList"/>
    <w:semiHidden/>
    <w:rsid w:val="009B3790"/>
  </w:style>
  <w:style w:type="character" w:customStyle="1" w:styleId="Chara">
    <w:name w:val="Գծապատկեր Char"/>
    <w:link w:val="af0"/>
    <w:locked/>
    <w:rsid w:val="009B3790"/>
    <w:rPr>
      <w:rFonts w:ascii="GHEA Grapalat" w:eastAsia="GHEA Grapalat" w:hAnsi="GHEA Grapalat" w:cs="GHEA Grapalat"/>
      <w:noProof/>
    </w:rPr>
  </w:style>
  <w:style w:type="paragraph" w:customStyle="1" w:styleId="af0">
    <w:name w:val="Գծապատկեր"/>
    <w:basedOn w:val="Normal"/>
    <w:link w:val="Chara"/>
    <w:autoRedefine/>
    <w:qFormat/>
    <w:rsid w:val="009B3790"/>
    <w:pPr>
      <w:keepNext/>
      <w:keepLines/>
      <w:tabs>
        <w:tab w:val="left" w:pos="2160"/>
        <w:tab w:val="left" w:pos="2552"/>
      </w:tabs>
      <w:autoSpaceDE w:val="0"/>
      <w:autoSpaceDN w:val="0"/>
      <w:adjustRightInd w:val="0"/>
      <w:spacing w:before="0" w:line="240" w:lineRule="auto"/>
      <w:ind w:left="360"/>
      <w:jc w:val="center"/>
    </w:pPr>
    <w:rPr>
      <w:rFonts w:eastAsia="GHEA Grapalat" w:cs="GHEA Grapalat"/>
      <w:b w:val="0"/>
      <w:noProof/>
      <w:sz w:val="20"/>
      <w:szCs w:val="20"/>
      <w:lang w:val="en-US" w:eastAsia="en-US"/>
    </w:rPr>
  </w:style>
  <w:style w:type="paragraph" w:customStyle="1" w:styleId="af1">
    <w:name w:val="Հղումներ"/>
    <w:basedOn w:val="Normal"/>
    <w:qFormat/>
    <w:rsid w:val="009B3790"/>
    <w:pPr>
      <w:spacing w:before="60" w:after="40" w:line="240" w:lineRule="auto"/>
    </w:pPr>
    <w:rPr>
      <w:b w:val="0"/>
      <w:sz w:val="20"/>
      <w:szCs w:val="20"/>
      <w:lang w:val="hy-AM" w:eastAsia="en-US"/>
    </w:rPr>
  </w:style>
  <w:style w:type="paragraph" w:customStyle="1" w:styleId="af2">
    <w:name w:val="Գծապատկերներ"/>
    <w:basedOn w:val="Normal"/>
    <w:qFormat/>
    <w:rsid w:val="009B3790"/>
    <w:pPr>
      <w:keepNext/>
      <w:keepLines/>
      <w:spacing w:before="60" w:after="40" w:line="240" w:lineRule="auto"/>
      <w:jc w:val="left"/>
    </w:pPr>
    <w:rPr>
      <w:rFonts w:eastAsiaTheme="majorEastAsia"/>
      <w:i/>
      <w:szCs w:val="22"/>
      <w:lang w:val="hy-AM" w:eastAsia="en-US"/>
    </w:rPr>
  </w:style>
  <w:style w:type="numbering" w:customStyle="1" w:styleId="NoList67">
    <w:name w:val="No List67"/>
    <w:next w:val="NoList"/>
    <w:uiPriority w:val="99"/>
    <w:semiHidden/>
    <w:unhideWhenUsed/>
    <w:rsid w:val="008F7DB9"/>
  </w:style>
  <w:style w:type="numbering" w:customStyle="1" w:styleId="NoList138">
    <w:name w:val="No List138"/>
    <w:next w:val="NoList"/>
    <w:uiPriority w:val="99"/>
    <w:semiHidden/>
    <w:unhideWhenUsed/>
    <w:rsid w:val="008F7DB9"/>
  </w:style>
  <w:style w:type="table" w:customStyle="1" w:styleId="TableGrid390">
    <w:name w:val="Table Grid39"/>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0">
    <w:name w:val="No List1130"/>
    <w:next w:val="NoList"/>
    <w:uiPriority w:val="99"/>
    <w:semiHidden/>
    <w:unhideWhenUsed/>
    <w:rsid w:val="008F7DB9"/>
  </w:style>
  <w:style w:type="numbering" w:customStyle="1" w:styleId="NoList11120">
    <w:name w:val="No List11120"/>
    <w:next w:val="NoList"/>
    <w:semiHidden/>
    <w:rsid w:val="008F7DB9"/>
  </w:style>
  <w:style w:type="table" w:customStyle="1" w:styleId="TableGrid1200">
    <w:name w:val="Table Grid120"/>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5">
    <w:name w:val="No List111115"/>
    <w:next w:val="NoList"/>
    <w:semiHidden/>
    <w:rsid w:val="008F7DB9"/>
  </w:style>
  <w:style w:type="numbering" w:customStyle="1" w:styleId="NoList226">
    <w:name w:val="No List226"/>
    <w:next w:val="NoList"/>
    <w:semiHidden/>
    <w:rsid w:val="008F7DB9"/>
  </w:style>
  <w:style w:type="numbering" w:customStyle="1" w:styleId="NoList320">
    <w:name w:val="No List320"/>
    <w:next w:val="NoList"/>
    <w:semiHidden/>
    <w:unhideWhenUsed/>
    <w:rsid w:val="008F7DB9"/>
  </w:style>
  <w:style w:type="table" w:customStyle="1" w:styleId="TableList716">
    <w:name w:val="Table List 716"/>
    <w:basedOn w:val="TableNormal"/>
    <w:next w:val="TableList7"/>
    <w:uiPriority w:val="99"/>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6">
    <w:name w:val="Table Web 316"/>
    <w:basedOn w:val="TableNormal"/>
    <w:next w:val="TableWeb3"/>
    <w:uiPriority w:val="99"/>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6">
    <w:name w:val="Table Elegant16"/>
    <w:basedOn w:val="TableNormal"/>
    <w:next w:val="TableElegant"/>
    <w:uiPriority w:val="99"/>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6">
    <w:name w:val="Table Web 216"/>
    <w:basedOn w:val="TableNormal"/>
    <w:next w:val="TableWeb2"/>
    <w:uiPriority w:val="99"/>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6">
    <w:name w:val="Table Web 116"/>
    <w:basedOn w:val="TableNormal"/>
    <w:next w:val="TableWeb1"/>
    <w:uiPriority w:val="99"/>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6">
    <w:name w:val="Table Grid 816"/>
    <w:basedOn w:val="TableNormal"/>
    <w:next w:val="TableGrid8"/>
    <w:uiPriority w:val="99"/>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6">
    <w:name w:val="Table Contemporary16"/>
    <w:basedOn w:val="TableNormal"/>
    <w:next w:val="TableContemporary"/>
    <w:uiPriority w:val="99"/>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35">
    <w:name w:val="Light List - Accent 135"/>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6">
    <w:name w:val="Table Grid 716"/>
    <w:basedOn w:val="TableNormal"/>
    <w:next w:val="TableGrid7"/>
    <w:uiPriority w:val="99"/>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6">
    <w:name w:val="Colorful Grid - Accent 126"/>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6">
    <w:name w:val="Light List - Accent 526"/>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6">
    <w:name w:val="Table Simple 316"/>
    <w:basedOn w:val="TableNormal"/>
    <w:next w:val="TableSimple3"/>
    <w:uiPriority w:val="99"/>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6">
    <w:name w:val="Table Grid 516"/>
    <w:basedOn w:val="TableNormal"/>
    <w:next w:val="TableGrid5"/>
    <w:uiPriority w:val="99"/>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6">
    <w:name w:val="Table Grid 316"/>
    <w:basedOn w:val="TableNormal"/>
    <w:next w:val="TableGrid3"/>
    <w:uiPriority w:val="99"/>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60">
    <w:name w:val="Table Grid 116"/>
    <w:basedOn w:val="TableNormal"/>
    <w:next w:val="TableGrid10"/>
    <w:uiPriority w:val="99"/>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6">
    <w:name w:val="Table Columns 516"/>
    <w:basedOn w:val="TableNormal"/>
    <w:next w:val="TableColumns5"/>
    <w:uiPriority w:val="99"/>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9">
    <w:name w:val="Light List - Accent 1119"/>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6">
    <w:name w:val="Нет списка126"/>
    <w:next w:val="NoList"/>
    <w:semiHidden/>
    <w:unhideWhenUsed/>
    <w:rsid w:val="008F7DB9"/>
  </w:style>
  <w:style w:type="table" w:customStyle="1" w:styleId="ColorfulGrid-Accent1116">
    <w:name w:val="Colorful Grid - Accent 1116"/>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7">
    <w:name w:val="Light List - Accent 5117"/>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9">
    <w:name w:val="No List419"/>
    <w:next w:val="NoList"/>
    <w:semiHidden/>
    <w:rsid w:val="008F7DB9"/>
  </w:style>
  <w:style w:type="table" w:customStyle="1" w:styleId="Table3Deffects316">
    <w:name w:val="Table 3D effects 316"/>
    <w:basedOn w:val="TableNormal"/>
    <w:next w:val="Table3Deffects3"/>
    <w:uiPriority w:val="99"/>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6">
    <w:name w:val="Нет списка1116"/>
    <w:next w:val="NoList"/>
    <w:semiHidden/>
    <w:unhideWhenUsed/>
    <w:rsid w:val="008F7DB9"/>
  </w:style>
  <w:style w:type="numbering" w:customStyle="1" w:styleId="NoList516">
    <w:name w:val="No List516"/>
    <w:next w:val="NoList"/>
    <w:uiPriority w:val="99"/>
    <w:semiHidden/>
    <w:unhideWhenUsed/>
    <w:rsid w:val="008F7DB9"/>
  </w:style>
  <w:style w:type="numbering" w:customStyle="1" w:styleId="NoList1218">
    <w:name w:val="No List1218"/>
    <w:next w:val="NoList"/>
    <w:uiPriority w:val="99"/>
    <w:semiHidden/>
    <w:rsid w:val="008F7DB9"/>
  </w:style>
  <w:style w:type="numbering" w:customStyle="1" w:styleId="NoList11210">
    <w:name w:val="No List11210"/>
    <w:next w:val="NoList"/>
    <w:semiHidden/>
    <w:rsid w:val="008F7DB9"/>
  </w:style>
  <w:style w:type="numbering" w:customStyle="1" w:styleId="NoList111116">
    <w:name w:val="No List111116"/>
    <w:next w:val="NoList"/>
    <w:semiHidden/>
    <w:rsid w:val="008F7DB9"/>
  </w:style>
  <w:style w:type="numbering" w:customStyle="1" w:styleId="NoList2116">
    <w:name w:val="No List2116"/>
    <w:next w:val="NoList"/>
    <w:semiHidden/>
    <w:rsid w:val="008F7DB9"/>
  </w:style>
  <w:style w:type="table" w:customStyle="1" w:styleId="TableGrid218">
    <w:name w:val="Table Grid218"/>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6">
    <w:name w:val="No List3116"/>
    <w:next w:val="NoList"/>
    <w:semiHidden/>
    <w:unhideWhenUsed/>
    <w:rsid w:val="008F7DB9"/>
  </w:style>
  <w:style w:type="numbering" w:customStyle="1" w:styleId="NoList68">
    <w:name w:val="No List68"/>
    <w:next w:val="NoList"/>
    <w:uiPriority w:val="99"/>
    <w:semiHidden/>
    <w:unhideWhenUsed/>
    <w:rsid w:val="008F7DB9"/>
  </w:style>
  <w:style w:type="numbering" w:customStyle="1" w:styleId="NoList76">
    <w:name w:val="No List76"/>
    <w:next w:val="NoList"/>
    <w:uiPriority w:val="99"/>
    <w:semiHidden/>
    <w:unhideWhenUsed/>
    <w:rsid w:val="008F7DB9"/>
  </w:style>
  <w:style w:type="table" w:customStyle="1" w:styleId="TableGrid3101">
    <w:name w:val="Table Grid310"/>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9">
    <w:name w:val="No List139"/>
    <w:next w:val="NoList"/>
    <w:semiHidden/>
    <w:unhideWhenUsed/>
    <w:rsid w:val="008F7DB9"/>
  </w:style>
  <w:style w:type="numbering" w:customStyle="1" w:styleId="NoList1135">
    <w:name w:val="No List1135"/>
    <w:next w:val="NoList"/>
    <w:semiHidden/>
    <w:rsid w:val="008F7DB9"/>
  </w:style>
  <w:style w:type="table" w:customStyle="1" w:styleId="TableGrid11100">
    <w:name w:val="Table Grid1110"/>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5">
    <w:name w:val="No List11125"/>
    <w:next w:val="NoList"/>
    <w:semiHidden/>
    <w:rsid w:val="008F7DB9"/>
  </w:style>
  <w:style w:type="numbering" w:customStyle="1" w:styleId="NoList227">
    <w:name w:val="No List227"/>
    <w:next w:val="NoList"/>
    <w:semiHidden/>
    <w:rsid w:val="008F7DB9"/>
  </w:style>
  <w:style w:type="numbering" w:customStyle="1" w:styleId="NoList326">
    <w:name w:val="No List326"/>
    <w:next w:val="NoList"/>
    <w:semiHidden/>
    <w:unhideWhenUsed/>
    <w:rsid w:val="008F7DB9"/>
  </w:style>
  <w:style w:type="table" w:customStyle="1" w:styleId="TableList717">
    <w:name w:val="Table List 717"/>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7">
    <w:name w:val="Table Web 317"/>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7">
    <w:name w:val="Table Elegant17"/>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7">
    <w:name w:val="Table Web 217"/>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7">
    <w:name w:val="Table Web 117"/>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7">
    <w:name w:val="Table Grid 817"/>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7">
    <w:name w:val="Table Contemporary17"/>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14">
    <w:name w:val="Light List - Accent 1214"/>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7">
    <w:name w:val="Table Grid 717"/>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7">
    <w:name w:val="Colorful Grid - Accent 127"/>
    <w:basedOn w:val="TableNormal"/>
    <w:next w:val="ColorfulGrid-Accent1"/>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7">
    <w:name w:val="Light List - Accent 527"/>
    <w:basedOn w:val="TableNormal"/>
    <w:next w:val="LightList-Accent5"/>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7">
    <w:name w:val="Table Simple 317"/>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7">
    <w:name w:val="Table Grid 517"/>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7">
    <w:name w:val="Table Grid 317"/>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70">
    <w:name w:val="Table Grid 117"/>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7">
    <w:name w:val="Table Columns 517"/>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0">
    <w:name w:val="Light List - Accent 11110"/>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7">
    <w:name w:val="Нет списка127"/>
    <w:next w:val="NoList"/>
    <w:uiPriority w:val="99"/>
    <w:semiHidden/>
    <w:unhideWhenUsed/>
    <w:rsid w:val="008F7DB9"/>
  </w:style>
  <w:style w:type="table" w:customStyle="1" w:styleId="ColorfulGrid-Accent1117">
    <w:name w:val="Colorful Grid - Accent 1117"/>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8">
    <w:name w:val="Light List - Accent 5118"/>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10">
    <w:name w:val="No List4110"/>
    <w:next w:val="NoList"/>
    <w:semiHidden/>
    <w:rsid w:val="008F7DB9"/>
  </w:style>
  <w:style w:type="table" w:customStyle="1" w:styleId="Table3Deffects317">
    <w:name w:val="Table 3D effects 317"/>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7">
    <w:name w:val="Нет списка1117"/>
    <w:next w:val="NoList"/>
    <w:semiHidden/>
    <w:unhideWhenUsed/>
    <w:rsid w:val="008F7DB9"/>
  </w:style>
  <w:style w:type="numbering" w:customStyle="1" w:styleId="NoList517">
    <w:name w:val="No List517"/>
    <w:next w:val="NoList"/>
    <w:uiPriority w:val="99"/>
    <w:semiHidden/>
    <w:unhideWhenUsed/>
    <w:rsid w:val="008F7DB9"/>
  </w:style>
  <w:style w:type="numbering" w:customStyle="1" w:styleId="NoList1219">
    <w:name w:val="No List1219"/>
    <w:next w:val="NoList"/>
    <w:uiPriority w:val="99"/>
    <w:semiHidden/>
    <w:rsid w:val="008F7DB9"/>
  </w:style>
  <w:style w:type="numbering" w:customStyle="1" w:styleId="NoList11215">
    <w:name w:val="No List11215"/>
    <w:next w:val="NoList"/>
    <w:semiHidden/>
    <w:rsid w:val="008F7DB9"/>
  </w:style>
  <w:style w:type="numbering" w:customStyle="1" w:styleId="NoList1111113">
    <w:name w:val="No List1111113"/>
    <w:next w:val="NoList"/>
    <w:semiHidden/>
    <w:rsid w:val="008F7DB9"/>
  </w:style>
  <w:style w:type="numbering" w:customStyle="1" w:styleId="NoList2117">
    <w:name w:val="No List2117"/>
    <w:next w:val="NoList"/>
    <w:semiHidden/>
    <w:rsid w:val="008F7DB9"/>
  </w:style>
  <w:style w:type="table" w:customStyle="1" w:styleId="TableGrid219">
    <w:name w:val="Table Grid219"/>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7">
    <w:name w:val="No List3117"/>
    <w:next w:val="NoList"/>
    <w:semiHidden/>
    <w:unhideWhenUsed/>
    <w:rsid w:val="008F7DB9"/>
  </w:style>
  <w:style w:type="numbering" w:customStyle="1" w:styleId="NoList86">
    <w:name w:val="No List86"/>
    <w:next w:val="NoList"/>
    <w:uiPriority w:val="99"/>
    <w:semiHidden/>
    <w:unhideWhenUsed/>
    <w:rsid w:val="008F7DB9"/>
  </w:style>
  <w:style w:type="numbering" w:customStyle="1" w:styleId="NoList96">
    <w:name w:val="No List96"/>
    <w:next w:val="NoList"/>
    <w:uiPriority w:val="99"/>
    <w:semiHidden/>
    <w:unhideWhenUsed/>
    <w:rsid w:val="008F7DB9"/>
  </w:style>
  <w:style w:type="table" w:customStyle="1" w:styleId="TableGrid46">
    <w:name w:val="Table Grid46"/>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5">
    <w:name w:val="Table List 725"/>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5">
    <w:name w:val="Table Web 325"/>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5">
    <w:name w:val="Table Elegant25"/>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6">
    <w:name w:val="Table Web 226"/>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6">
    <w:name w:val="Table Web 126"/>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6">
    <w:name w:val="Table Grid 826"/>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6">
    <w:name w:val="Table Contemporary26"/>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6">
    <w:name w:val="No List146"/>
    <w:next w:val="NoList"/>
    <w:semiHidden/>
    <w:unhideWhenUsed/>
    <w:rsid w:val="008F7DB9"/>
  </w:style>
  <w:style w:type="numbering" w:customStyle="1" w:styleId="NoList235">
    <w:name w:val="No List235"/>
    <w:next w:val="NoList"/>
    <w:semiHidden/>
    <w:unhideWhenUsed/>
    <w:rsid w:val="008F7DB9"/>
  </w:style>
  <w:style w:type="numbering" w:customStyle="1" w:styleId="NoList335">
    <w:name w:val="No List335"/>
    <w:next w:val="NoList"/>
    <w:semiHidden/>
    <w:unhideWhenUsed/>
    <w:rsid w:val="008F7DB9"/>
  </w:style>
  <w:style w:type="table" w:customStyle="1" w:styleId="LightList-Accent136">
    <w:name w:val="Light List - Accent 136"/>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5">
    <w:name w:val="Table Grid 725"/>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6">
    <w:name w:val="Colorful Grid - Accent 136"/>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6">
    <w:name w:val="Light List - Accent 536"/>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5">
    <w:name w:val="Table Simple 325"/>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5">
    <w:name w:val="Table Grid 525"/>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5">
    <w:name w:val="Table Grid 325"/>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5">
    <w:name w:val="Table Grid 125"/>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5">
    <w:name w:val="Table Columns 525"/>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5">
    <w:name w:val="Light List - Accent 1125"/>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6">
    <w:name w:val="Нет списка136"/>
    <w:next w:val="NoList"/>
    <w:semiHidden/>
    <w:unhideWhenUsed/>
    <w:rsid w:val="008F7DB9"/>
  </w:style>
  <w:style w:type="table" w:customStyle="1" w:styleId="ColorfulGrid-Accent1125">
    <w:name w:val="Colorful Grid - Accent 1125"/>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5">
    <w:name w:val="Light List - Accent 5125"/>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6">
    <w:name w:val="No List426"/>
    <w:next w:val="NoList"/>
    <w:semiHidden/>
    <w:rsid w:val="008F7DB9"/>
  </w:style>
  <w:style w:type="numbering" w:customStyle="1" w:styleId="NoList1143">
    <w:name w:val="No List1143"/>
    <w:next w:val="NoList"/>
    <w:semiHidden/>
    <w:unhideWhenUsed/>
    <w:rsid w:val="008F7DB9"/>
  </w:style>
  <w:style w:type="table" w:customStyle="1" w:styleId="Table3Deffects325">
    <w:name w:val="Table 3D effects 325"/>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6">
    <w:name w:val="Нет списка1126"/>
    <w:next w:val="NoList"/>
    <w:semiHidden/>
    <w:unhideWhenUsed/>
    <w:rsid w:val="008F7DB9"/>
  </w:style>
  <w:style w:type="numbering" w:customStyle="1" w:styleId="NoList106">
    <w:name w:val="No List106"/>
    <w:next w:val="NoList"/>
    <w:uiPriority w:val="99"/>
    <w:semiHidden/>
    <w:unhideWhenUsed/>
    <w:rsid w:val="008F7DB9"/>
  </w:style>
  <w:style w:type="table" w:customStyle="1" w:styleId="TableGrid560">
    <w:name w:val="Table Grid56"/>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5">
    <w:name w:val="No List155"/>
    <w:next w:val="NoList"/>
    <w:uiPriority w:val="99"/>
    <w:semiHidden/>
    <w:unhideWhenUsed/>
    <w:rsid w:val="008F7DB9"/>
  </w:style>
  <w:style w:type="numbering" w:customStyle="1" w:styleId="NoList1153">
    <w:name w:val="No List1153"/>
    <w:next w:val="NoList"/>
    <w:semiHidden/>
    <w:rsid w:val="008F7DB9"/>
  </w:style>
  <w:style w:type="table" w:customStyle="1" w:styleId="TableGrid1250">
    <w:name w:val="Table Grid125"/>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3">
    <w:name w:val="No List11133"/>
    <w:next w:val="NoList"/>
    <w:semiHidden/>
    <w:rsid w:val="008F7DB9"/>
  </w:style>
  <w:style w:type="numbering" w:customStyle="1" w:styleId="NoList243">
    <w:name w:val="No List243"/>
    <w:next w:val="NoList"/>
    <w:semiHidden/>
    <w:rsid w:val="008F7DB9"/>
  </w:style>
  <w:style w:type="numbering" w:customStyle="1" w:styleId="NoList343">
    <w:name w:val="No List343"/>
    <w:next w:val="NoList"/>
    <w:semiHidden/>
    <w:unhideWhenUsed/>
    <w:rsid w:val="008F7DB9"/>
  </w:style>
  <w:style w:type="table" w:customStyle="1" w:styleId="TableList733">
    <w:name w:val="Table List 733"/>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3">
    <w:name w:val="Table Web 333"/>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3">
    <w:name w:val="Table Elegant33"/>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5">
    <w:name w:val="Table Web 235"/>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5">
    <w:name w:val="Table Web 135"/>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5">
    <w:name w:val="Table Grid 835"/>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5">
    <w:name w:val="Table Contemporary35"/>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3">
    <w:name w:val="Light List - Accent 143"/>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3">
    <w:name w:val="Table Grid 733"/>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5">
    <w:name w:val="Colorful Grid - Accent 145"/>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5">
    <w:name w:val="Light List - Accent 545"/>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3">
    <w:name w:val="Table Simple 333"/>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3">
    <w:name w:val="Table Grid 533"/>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3">
    <w:name w:val="Table Grid 333"/>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30">
    <w:name w:val="Table Grid 133"/>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3">
    <w:name w:val="Table Columns 533"/>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3">
    <w:name w:val="Light List - Accent 1133"/>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5">
    <w:name w:val="Нет списка145"/>
    <w:next w:val="NoList"/>
    <w:semiHidden/>
    <w:unhideWhenUsed/>
    <w:rsid w:val="008F7DB9"/>
  </w:style>
  <w:style w:type="table" w:customStyle="1" w:styleId="ColorfulGrid-Accent1133">
    <w:name w:val="Colorful Grid - Accent 1133"/>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3">
    <w:name w:val="Light List - Accent 5133"/>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5">
    <w:name w:val="No List435"/>
    <w:next w:val="NoList"/>
    <w:semiHidden/>
    <w:rsid w:val="008F7DB9"/>
  </w:style>
  <w:style w:type="table" w:customStyle="1" w:styleId="Table3Deffects333">
    <w:name w:val="Table 3D effects 333"/>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5">
    <w:name w:val="Нет списка1135"/>
    <w:next w:val="NoList"/>
    <w:semiHidden/>
    <w:unhideWhenUsed/>
    <w:rsid w:val="008F7DB9"/>
  </w:style>
  <w:style w:type="numbering" w:customStyle="1" w:styleId="NoList525">
    <w:name w:val="No List525"/>
    <w:next w:val="NoList"/>
    <w:uiPriority w:val="99"/>
    <w:semiHidden/>
    <w:unhideWhenUsed/>
    <w:rsid w:val="008F7DB9"/>
  </w:style>
  <w:style w:type="numbering" w:customStyle="1" w:styleId="NoList1225">
    <w:name w:val="No List1225"/>
    <w:next w:val="NoList"/>
    <w:uiPriority w:val="99"/>
    <w:semiHidden/>
    <w:rsid w:val="008F7DB9"/>
  </w:style>
  <w:style w:type="numbering" w:customStyle="1" w:styleId="NoList11223">
    <w:name w:val="No List11223"/>
    <w:next w:val="NoList"/>
    <w:semiHidden/>
    <w:rsid w:val="008F7DB9"/>
  </w:style>
  <w:style w:type="numbering" w:customStyle="1" w:styleId="NoList111125">
    <w:name w:val="No List111125"/>
    <w:next w:val="NoList"/>
    <w:semiHidden/>
    <w:rsid w:val="008F7DB9"/>
  </w:style>
  <w:style w:type="numbering" w:customStyle="1" w:styleId="NoList2125">
    <w:name w:val="No List2125"/>
    <w:next w:val="NoList"/>
    <w:semiHidden/>
    <w:rsid w:val="008F7DB9"/>
  </w:style>
  <w:style w:type="table" w:customStyle="1" w:styleId="TableGrid226">
    <w:name w:val="Table Grid226"/>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5">
    <w:name w:val="No List3125"/>
    <w:next w:val="NoList"/>
    <w:semiHidden/>
    <w:unhideWhenUsed/>
    <w:rsid w:val="008F7DB9"/>
  </w:style>
  <w:style w:type="table" w:customStyle="1" w:styleId="LightShading-Accent115">
    <w:name w:val="Light Shading - Accent 115"/>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5">
    <w:name w:val="Medium Grid 2 - Accent 115"/>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5">
    <w:name w:val="Medium List 2 - Accent 515"/>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4">
    <w:name w:val="Light List - Accent 154"/>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5">
    <w:name w:val="Medium Grid 3 - Accent 515"/>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5">
    <w:name w:val="Light Shading - Accent 515"/>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5">
    <w:name w:val="Medium Grid 2 - Accent 515"/>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5">
    <w:name w:val="Light Grid - Accent 115"/>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List45">
    <w:name w:val="Table List 45"/>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4">
    <w:name w:val="Table List 414"/>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Theme3">
    <w:name w:val="Table Theme3"/>
    <w:basedOn w:val="TableNormal"/>
    <w:next w:val="TableTheme"/>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3">
    <w:name w:val="Table Professional3"/>
    <w:basedOn w:val="TableNormal"/>
    <w:next w:val="TableProfessional"/>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30">
    <w:name w:val="Table Grid 63"/>
    <w:basedOn w:val="TableNormal"/>
    <w:next w:val="TableGrid6"/>
    <w:rsid w:val="008F7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3">
    <w:name w:val="Table List 423"/>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3">
    <w:name w:val="Table List 4113"/>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7">
    <w:name w:val="Style117"/>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8">
    <w:name w:val="Style218"/>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7">
    <w:name w:val="Style2117"/>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5">
    <w:name w:val="No List165"/>
    <w:next w:val="NoList"/>
    <w:semiHidden/>
    <w:unhideWhenUsed/>
    <w:rsid w:val="008F7DB9"/>
  </w:style>
  <w:style w:type="table" w:customStyle="1" w:styleId="TableGrid66">
    <w:name w:val="Table Grid66"/>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3">
    <w:name w:val="No List173"/>
    <w:next w:val="NoList"/>
    <w:uiPriority w:val="99"/>
    <w:semiHidden/>
    <w:unhideWhenUsed/>
    <w:rsid w:val="008F7DB9"/>
  </w:style>
  <w:style w:type="numbering" w:customStyle="1" w:styleId="NoList1163">
    <w:name w:val="No List1163"/>
    <w:next w:val="NoList"/>
    <w:semiHidden/>
    <w:rsid w:val="008F7DB9"/>
  </w:style>
  <w:style w:type="table" w:customStyle="1" w:styleId="TableGrid135">
    <w:name w:val="Table Grid135"/>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64">
    <w:name w:val="Light List - Accent 164"/>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2">
    <w:name w:val="Light Shading - Accent 12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22">
    <w:name w:val="Medium Grid 2 - Accent 12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22">
    <w:name w:val="Medium List 2 - Accent 52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72">
    <w:name w:val="Light List - Accent 17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22">
    <w:name w:val="Medium Grid 3 - Accent 52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22">
    <w:name w:val="Light Shading - Accent 52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22">
    <w:name w:val="Medium Grid 2 - Accent 52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22">
    <w:name w:val="Light Grid - Accent 12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182">
    <w:name w:val="No List182"/>
    <w:next w:val="NoList"/>
    <w:semiHidden/>
    <w:unhideWhenUsed/>
    <w:rsid w:val="008F7DB9"/>
  </w:style>
  <w:style w:type="table" w:customStyle="1" w:styleId="TableGrid760">
    <w:name w:val="Table Grid76"/>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42">
    <w:name w:val="Table List 742"/>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42">
    <w:name w:val="Table Web 342"/>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42">
    <w:name w:val="Table Elegant42"/>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2">
    <w:name w:val="Table Web 242"/>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42">
    <w:name w:val="Table Web 142"/>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42">
    <w:name w:val="Table Grid 842"/>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42">
    <w:name w:val="Table Contemporary42"/>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92">
    <w:name w:val="No List192"/>
    <w:next w:val="NoList"/>
    <w:semiHidden/>
    <w:unhideWhenUsed/>
    <w:rsid w:val="008F7DB9"/>
  </w:style>
  <w:style w:type="numbering" w:customStyle="1" w:styleId="NoList252">
    <w:name w:val="No List252"/>
    <w:next w:val="NoList"/>
    <w:semiHidden/>
    <w:unhideWhenUsed/>
    <w:rsid w:val="008F7DB9"/>
  </w:style>
  <w:style w:type="numbering" w:customStyle="1" w:styleId="NoList352">
    <w:name w:val="No List352"/>
    <w:next w:val="NoList"/>
    <w:semiHidden/>
    <w:unhideWhenUsed/>
    <w:rsid w:val="008F7DB9"/>
  </w:style>
  <w:style w:type="table" w:customStyle="1" w:styleId="LightList-Accent182">
    <w:name w:val="Light List - Accent 182"/>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42">
    <w:name w:val="Table Grid 742"/>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52">
    <w:name w:val="Colorful Grid - Accent 152"/>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52">
    <w:name w:val="Light List - Accent 552"/>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42">
    <w:name w:val="Table Simple 342"/>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42">
    <w:name w:val="Table Grid 542"/>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42">
    <w:name w:val="Table Grid 342"/>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420">
    <w:name w:val="Table Grid 142"/>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42">
    <w:name w:val="Table Columns 542"/>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42">
    <w:name w:val="Light List - Accent 1142"/>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52">
    <w:name w:val="Нет списка152"/>
    <w:next w:val="NoList"/>
    <w:semiHidden/>
    <w:unhideWhenUsed/>
    <w:rsid w:val="008F7DB9"/>
  </w:style>
  <w:style w:type="table" w:customStyle="1" w:styleId="ColorfulGrid-Accent1142">
    <w:name w:val="Colorful Grid - Accent 1142"/>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42">
    <w:name w:val="Light List - Accent 5142"/>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42">
    <w:name w:val="No List442"/>
    <w:next w:val="NoList"/>
    <w:semiHidden/>
    <w:rsid w:val="008F7DB9"/>
  </w:style>
  <w:style w:type="numbering" w:customStyle="1" w:styleId="NoList1172">
    <w:name w:val="No List1172"/>
    <w:next w:val="NoList"/>
    <w:semiHidden/>
    <w:unhideWhenUsed/>
    <w:rsid w:val="008F7DB9"/>
  </w:style>
  <w:style w:type="table" w:customStyle="1" w:styleId="Table3Deffects342">
    <w:name w:val="Table 3D effects 342"/>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42">
    <w:name w:val="Нет списка1142"/>
    <w:next w:val="NoList"/>
    <w:semiHidden/>
    <w:unhideWhenUsed/>
    <w:rsid w:val="008F7DB9"/>
  </w:style>
  <w:style w:type="table" w:customStyle="1" w:styleId="Style1112">
    <w:name w:val="Style1112"/>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22">
    <w:name w:val="Style212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12">
    <w:name w:val="Style2111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1122">
    <w:name w:val="Style1122"/>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32">
    <w:name w:val="Style213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22">
    <w:name w:val="Style2112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202">
    <w:name w:val="No List202"/>
    <w:next w:val="NoList"/>
    <w:uiPriority w:val="99"/>
    <w:semiHidden/>
    <w:unhideWhenUsed/>
    <w:rsid w:val="008F7DB9"/>
  </w:style>
  <w:style w:type="numbering" w:customStyle="1" w:styleId="NoList1102">
    <w:name w:val="No List1102"/>
    <w:next w:val="NoList"/>
    <w:uiPriority w:val="99"/>
    <w:semiHidden/>
    <w:unhideWhenUsed/>
    <w:rsid w:val="008F7DB9"/>
  </w:style>
  <w:style w:type="table" w:customStyle="1" w:styleId="TableGrid850">
    <w:name w:val="Table Grid85"/>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2">
    <w:name w:val="No List1182"/>
    <w:next w:val="NoList"/>
    <w:semiHidden/>
    <w:unhideWhenUsed/>
    <w:rsid w:val="008F7DB9"/>
  </w:style>
  <w:style w:type="numbering" w:customStyle="1" w:styleId="NoList11142">
    <w:name w:val="No List11142"/>
    <w:next w:val="NoList"/>
    <w:semiHidden/>
    <w:rsid w:val="008F7DB9"/>
  </w:style>
  <w:style w:type="table" w:customStyle="1" w:styleId="TableGrid144">
    <w:name w:val="Table Grid144"/>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2">
    <w:name w:val="No List111132"/>
    <w:next w:val="NoList"/>
    <w:semiHidden/>
    <w:rsid w:val="008F7DB9"/>
  </w:style>
  <w:style w:type="numbering" w:customStyle="1" w:styleId="NoList262">
    <w:name w:val="No List262"/>
    <w:next w:val="NoList"/>
    <w:semiHidden/>
    <w:rsid w:val="008F7DB9"/>
  </w:style>
  <w:style w:type="numbering" w:customStyle="1" w:styleId="NoList362">
    <w:name w:val="No List362"/>
    <w:next w:val="NoList"/>
    <w:semiHidden/>
    <w:unhideWhenUsed/>
    <w:rsid w:val="008F7DB9"/>
  </w:style>
  <w:style w:type="table" w:customStyle="1" w:styleId="TableList752">
    <w:name w:val="Table List 752"/>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52">
    <w:name w:val="Table Web 352"/>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52">
    <w:name w:val="Table Elegant52"/>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52">
    <w:name w:val="Table Web 252"/>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52">
    <w:name w:val="Table Web 152"/>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52">
    <w:name w:val="Table Grid 852"/>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52">
    <w:name w:val="Table Contemporary52"/>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92">
    <w:name w:val="Light List - Accent 192"/>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52">
    <w:name w:val="Table Grid 752"/>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62">
    <w:name w:val="Colorful Grid - Accent 162"/>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62">
    <w:name w:val="Light List - Accent 562"/>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52">
    <w:name w:val="Table Simple 352"/>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52">
    <w:name w:val="Table Grid 552"/>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52">
    <w:name w:val="Table Grid 352"/>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52">
    <w:name w:val="Table Grid 152"/>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52">
    <w:name w:val="Table Columns 552"/>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52">
    <w:name w:val="Light List - Accent 1152"/>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62">
    <w:name w:val="Нет списка162"/>
    <w:next w:val="NoList"/>
    <w:semiHidden/>
    <w:unhideWhenUsed/>
    <w:rsid w:val="008F7DB9"/>
  </w:style>
  <w:style w:type="table" w:customStyle="1" w:styleId="ColorfulGrid-Accent1152">
    <w:name w:val="Colorful Grid - Accent 1152"/>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52">
    <w:name w:val="Light List - Accent 5152"/>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52">
    <w:name w:val="No List452"/>
    <w:next w:val="NoList"/>
    <w:semiHidden/>
    <w:rsid w:val="008F7DB9"/>
  </w:style>
  <w:style w:type="table" w:customStyle="1" w:styleId="Table3Deffects352">
    <w:name w:val="Table 3D effects 352"/>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52">
    <w:name w:val="Нет списка1152"/>
    <w:next w:val="NoList"/>
    <w:semiHidden/>
    <w:unhideWhenUsed/>
    <w:rsid w:val="008F7DB9"/>
  </w:style>
  <w:style w:type="numbering" w:customStyle="1" w:styleId="NoList532">
    <w:name w:val="No List532"/>
    <w:next w:val="NoList"/>
    <w:uiPriority w:val="99"/>
    <w:semiHidden/>
    <w:unhideWhenUsed/>
    <w:rsid w:val="008F7DB9"/>
  </w:style>
  <w:style w:type="numbering" w:customStyle="1" w:styleId="NoList1232">
    <w:name w:val="No List1232"/>
    <w:next w:val="NoList"/>
    <w:semiHidden/>
    <w:rsid w:val="008F7DB9"/>
  </w:style>
  <w:style w:type="numbering" w:customStyle="1" w:styleId="NoList11232">
    <w:name w:val="No List11232"/>
    <w:next w:val="NoList"/>
    <w:semiHidden/>
    <w:rsid w:val="008F7DB9"/>
  </w:style>
  <w:style w:type="numbering" w:customStyle="1" w:styleId="NoList11111112">
    <w:name w:val="No List11111112"/>
    <w:next w:val="NoList"/>
    <w:semiHidden/>
    <w:rsid w:val="008F7DB9"/>
  </w:style>
  <w:style w:type="numbering" w:customStyle="1" w:styleId="NoList2132">
    <w:name w:val="No List2132"/>
    <w:next w:val="NoList"/>
    <w:semiHidden/>
    <w:rsid w:val="008F7DB9"/>
  </w:style>
  <w:style w:type="table" w:customStyle="1" w:styleId="TableGrid234">
    <w:name w:val="Table Grid234"/>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2">
    <w:name w:val="No List3132"/>
    <w:next w:val="NoList"/>
    <w:uiPriority w:val="99"/>
    <w:semiHidden/>
    <w:unhideWhenUsed/>
    <w:rsid w:val="008F7DB9"/>
  </w:style>
  <w:style w:type="numbering" w:customStyle="1" w:styleId="NoList615">
    <w:name w:val="No List615"/>
    <w:next w:val="NoList"/>
    <w:uiPriority w:val="99"/>
    <w:semiHidden/>
    <w:unhideWhenUsed/>
    <w:rsid w:val="008F7DB9"/>
  </w:style>
  <w:style w:type="numbering" w:customStyle="1" w:styleId="NoList715">
    <w:name w:val="No List715"/>
    <w:next w:val="NoList"/>
    <w:uiPriority w:val="99"/>
    <w:semiHidden/>
    <w:unhideWhenUsed/>
    <w:rsid w:val="008F7DB9"/>
  </w:style>
  <w:style w:type="table" w:customStyle="1" w:styleId="TableGrid3150">
    <w:name w:val="Table Grid315"/>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5">
    <w:name w:val="No List1315"/>
    <w:next w:val="NoList"/>
    <w:semiHidden/>
    <w:unhideWhenUsed/>
    <w:rsid w:val="008F7DB9"/>
  </w:style>
  <w:style w:type="numbering" w:customStyle="1" w:styleId="NoList11312">
    <w:name w:val="No List11312"/>
    <w:next w:val="NoList"/>
    <w:semiHidden/>
    <w:rsid w:val="008F7DB9"/>
  </w:style>
  <w:style w:type="table" w:customStyle="1" w:styleId="TableGrid1116">
    <w:name w:val="Table Grid1116"/>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2">
    <w:name w:val="No List111212"/>
    <w:next w:val="NoList"/>
    <w:semiHidden/>
    <w:rsid w:val="008F7DB9"/>
  </w:style>
  <w:style w:type="numbering" w:customStyle="1" w:styleId="NoList2214">
    <w:name w:val="No List2214"/>
    <w:next w:val="NoList"/>
    <w:semiHidden/>
    <w:rsid w:val="008F7DB9"/>
  </w:style>
  <w:style w:type="numbering" w:customStyle="1" w:styleId="NoList3214">
    <w:name w:val="No List3214"/>
    <w:next w:val="NoList"/>
    <w:semiHidden/>
    <w:unhideWhenUsed/>
    <w:rsid w:val="008F7DB9"/>
  </w:style>
  <w:style w:type="table" w:customStyle="1" w:styleId="TableList7114">
    <w:name w:val="Table List 7114"/>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4">
    <w:name w:val="Table Web 3114"/>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4">
    <w:name w:val="Table Elegant114"/>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5">
    <w:name w:val="Table Web 2115"/>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5">
    <w:name w:val="Table Web 1115"/>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5">
    <w:name w:val="Table Grid 8115"/>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5">
    <w:name w:val="Table Contemporary115"/>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15">
    <w:name w:val="Light List - Accent 1215"/>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14">
    <w:name w:val="Table Grid 7114"/>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15">
    <w:name w:val="Colorful Grid - Accent 1215"/>
    <w:basedOn w:val="TableNormal"/>
    <w:next w:val="ColorfulGrid-Accent1"/>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5">
    <w:name w:val="Light List - Accent 5215"/>
    <w:basedOn w:val="TableNormal"/>
    <w:next w:val="LightList-Accent5"/>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14">
    <w:name w:val="Table Simple 3114"/>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4">
    <w:name w:val="Table Grid 5114"/>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4">
    <w:name w:val="Table Grid 3114"/>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40">
    <w:name w:val="Table Grid 1114"/>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4">
    <w:name w:val="Table Columns 5114"/>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4">
    <w:name w:val="Light List - Accent 11114"/>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15">
    <w:name w:val="Нет списка1215"/>
    <w:next w:val="NoList"/>
    <w:uiPriority w:val="99"/>
    <w:semiHidden/>
    <w:unhideWhenUsed/>
    <w:rsid w:val="008F7DB9"/>
  </w:style>
  <w:style w:type="table" w:customStyle="1" w:styleId="ColorfulGrid-Accent11114">
    <w:name w:val="Colorful Grid - Accent 11114"/>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14">
    <w:name w:val="Light List - Accent 51114"/>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15">
    <w:name w:val="No List4115"/>
    <w:next w:val="NoList"/>
    <w:semiHidden/>
    <w:rsid w:val="008F7DB9"/>
  </w:style>
  <w:style w:type="table" w:customStyle="1" w:styleId="Table3Deffects3114">
    <w:name w:val="Table 3D effects 3114"/>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5">
    <w:name w:val="Нет списка11115"/>
    <w:next w:val="NoList"/>
    <w:semiHidden/>
    <w:unhideWhenUsed/>
    <w:rsid w:val="008F7DB9"/>
  </w:style>
  <w:style w:type="numbering" w:customStyle="1" w:styleId="NoList5114">
    <w:name w:val="No List5114"/>
    <w:next w:val="NoList"/>
    <w:uiPriority w:val="99"/>
    <w:semiHidden/>
    <w:unhideWhenUsed/>
    <w:rsid w:val="008F7DB9"/>
  </w:style>
  <w:style w:type="numbering" w:customStyle="1" w:styleId="NoList12114">
    <w:name w:val="No List12114"/>
    <w:next w:val="NoList"/>
    <w:uiPriority w:val="99"/>
    <w:semiHidden/>
    <w:rsid w:val="008F7DB9"/>
  </w:style>
  <w:style w:type="numbering" w:customStyle="1" w:styleId="NoList112112">
    <w:name w:val="No List112112"/>
    <w:next w:val="NoList"/>
    <w:semiHidden/>
    <w:rsid w:val="008F7DB9"/>
  </w:style>
  <w:style w:type="numbering" w:customStyle="1" w:styleId="NoList111111112">
    <w:name w:val="No List111111112"/>
    <w:next w:val="NoList"/>
    <w:semiHidden/>
    <w:rsid w:val="008F7DB9"/>
  </w:style>
  <w:style w:type="numbering" w:customStyle="1" w:styleId="NoList21114">
    <w:name w:val="No List21114"/>
    <w:next w:val="NoList"/>
    <w:semiHidden/>
    <w:rsid w:val="008F7DB9"/>
  </w:style>
  <w:style w:type="table" w:customStyle="1" w:styleId="TableGrid2114">
    <w:name w:val="Table Grid2114"/>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4">
    <w:name w:val="No List31114"/>
    <w:next w:val="NoList"/>
    <w:semiHidden/>
    <w:unhideWhenUsed/>
    <w:rsid w:val="008F7DB9"/>
  </w:style>
  <w:style w:type="numbering" w:customStyle="1" w:styleId="NoList815">
    <w:name w:val="No List815"/>
    <w:next w:val="NoList"/>
    <w:uiPriority w:val="99"/>
    <w:semiHidden/>
    <w:unhideWhenUsed/>
    <w:rsid w:val="008F7DB9"/>
  </w:style>
  <w:style w:type="numbering" w:customStyle="1" w:styleId="NoList914">
    <w:name w:val="No List914"/>
    <w:next w:val="NoList"/>
    <w:uiPriority w:val="99"/>
    <w:semiHidden/>
    <w:unhideWhenUsed/>
    <w:rsid w:val="008F7DB9"/>
  </w:style>
  <w:style w:type="table" w:customStyle="1" w:styleId="TableGrid415">
    <w:name w:val="Table Grid415"/>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12">
    <w:name w:val="Table List 7212"/>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12">
    <w:name w:val="Table Web 3212"/>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12">
    <w:name w:val="Table Elegant212"/>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14">
    <w:name w:val="Table Web 2214"/>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14">
    <w:name w:val="Table Web 1214"/>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14">
    <w:name w:val="Table Grid 8214"/>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14">
    <w:name w:val="Table Contemporary214"/>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14">
    <w:name w:val="No List1414"/>
    <w:next w:val="NoList"/>
    <w:semiHidden/>
    <w:unhideWhenUsed/>
    <w:rsid w:val="008F7DB9"/>
  </w:style>
  <w:style w:type="numbering" w:customStyle="1" w:styleId="NoList2312">
    <w:name w:val="No List2312"/>
    <w:next w:val="NoList"/>
    <w:semiHidden/>
    <w:unhideWhenUsed/>
    <w:rsid w:val="008F7DB9"/>
  </w:style>
  <w:style w:type="numbering" w:customStyle="1" w:styleId="NoList3312">
    <w:name w:val="No List3312"/>
    <w:next w:val="NoList"/>
    <w:semiHidden/>
    <w:unhideWhenUsed/>
    <w:rsid w:val="008F7DB9"/>
  </w:style>
  <w:style w:type="table" w:customStyle="1" w:styleId="LightList-Accent1312">
    <w:name w:val="Light List - Accent 1312"/>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12">
    <w:name w:val="Table Grid 7212"/>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14">
    <w:name w:val="Colorful Grid - Accent 1314"/>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14">
    <w:name w:val="Light List - Accent 5314"/>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12">
    <w:name w:val="Table Simple 3212"/>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12">
    <w:name w:val="Table Grid 5212"/>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12">
    <w:name w:val="Table Grid 3212"/>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120">
    <w:name w:val="Table Grid 1212"/>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12">
    <w:name w:val="Table Columns 5212"/>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12">
    <w:name w:val="Light List - Accent 11212"/>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14">
    <w:name w:val="Нет списка1314"/>
    <w:next w:val="NoList"/>
    <w:semiHidden/>
    <w:unhideWhenUsed/>
    <w:rsid w:val="008F7DB9"/>
  </w:style>
  <w:style w:type="table" w:customStyle="1" w:styleId="ColorfulGrid-Accent11212">
    <w:name w:val="Colorful Grid - Accent 11212"/>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12">
    <w:name w:val="Light List - Accent 51212"/>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14">
    <w:name w:val="No List4214"/>
    <w:next w:val="NoList"/>
    <w:semiHidden/>
    <w:rsid w:val="008F7DB9"/>
  </w:style>
  <w:style w:type="numbering" w:customStyle="1" w:styleId="NoList11412">
    <w:name w:val="No List11412"/>
    <w:next w:val="NoList"/>
    <w:semiHidden/>
    <w:unhideWhenUsed/>
    <w:rsid w:val="008F7DB9"/>
  </w:style>
  <w:style w:type="table" w:customStyle="1" w:styleId="Table3Deffects3212">
    <w:name w:val="Table 3D effects 3212"/>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14">
    <w:name w:val="Нет списка11214"/>
    <w:next w:val="NoList"/>
    <w:semiHidden/>
    <w:unhideWhenUsed/>
    <w:rsid w:val="008F7DB9"/>
  </w:style>
  <w:style w:type="numbering" w:customStyle="1" w:styleId="NoList1014">
    <w:name w:val="No List1014"/>
    <w:next w:val="NoList"/>
    <w:uiPriority w:val="99"/>
    <w:semiHidden/>
    <w:unhideWhenUsed/>
    <w:rsid w:val="008F7DB9"/>
  </w:style>
  <w:style w:type="table" w:customStyle="1" w:styleId="TableGrid5140">
    <w:name w:val="Table Grid514"/>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2">
    <w:name w:val="No List1512"/>
    <w:next w:val="NoList"/>
    <w:semiHidden/>
    <w:unhideWhenUsed/>
    <w:rsid w:val="008F7DB9"/>
  </w:style>
  <w:style w:type="numbering" w:customStyle="1" w:styleId="NoList11512">
    <w:name w:val="No List11512"/>
    <w:next w:val="NoList"/>
    <w:semiHidden/>
    <w:rsid w:val="008F7DB9"/>
  </w:style>
  <w:style w:type="table" w:customStyle="1" w:styleId="TableGrid1214">
    <w:name w:val="Table Grid1214"/>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2">
    <w:name w:val="No List111312"/>
    <w:next w:val="NoList"/>
    <w:semiHidden/>
    <w:rsid w:val="008F7DB9"/>
  </w:style>
  <w:style w:type="numbering" w:customStyle="1" w:styleId="NoList2412">
    <w:name w:val="No List2412"/>
    <w:next w:val="NoList"/>
    <w:semiHidden/>
    <w:rsid w:val="008F7DB9"/>
  </w:style>
  <w:style w:type="numbering" w:customStyle="1" w:styleId="NoList3412">
    <w:name w:val="No List3412"/>
    <w:next w:val="NoList"/>
    <w:semiHidden/>
    <w:unhideWhenUsed/>
    <w:rsid w:val="008F7DB9"/>
  </w:style>
  <w:style w:type="table" w:customStyle="1" w:styleId="TableList7312">
    <w:name w:val="Table List 7312"/>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12">
    <w:name w:val="Table Web 3312"/>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12">
    <w:name w:val="Table Elegant312"/>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12">
    <w:name w:val="Table Web 2312"/>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12">
    <w:name w:val="Table Web 1312"/>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12">
    <w:name w:val="Table Grid 8312"/>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12">
    <w:name w:val="Table Contemporary312"/>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12">
    <w:name w:val="Light List - Accent 1412"/>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120">
    <w:name w:val="Table Grid 7312"/>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12">
    <w:name w:val="Colorful Grid - Accent 1412"/>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12">
    <w:name w:val="Light List - Accent 5412"/>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12">
    <w:name w:val="Table Simple 3312"/>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12">
    <w:name w:val="Table Grid 5312"/>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12">
    <w:name w:val="Table Grid 3312"/>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12">
    <w:name w:val="Table Grid 1312"/>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12">
    <w:name w:val="Table Columns 5312"/>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12">
    <w:name w:val="Light List - Accent 11312"/>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12">
    <w:name w:val="Нет списка1412"/>
    <w:next w:val="NoList"/>
    <w:semiHidden/>
    <w:unhideWhenUsed/>
    <w:rsid w:val="008F7DB9"/>
  </w:style>
  <w:style w:type="table" w:customStyle="1" w:styleId="ColorfulGrid-Accent11312">
    <w:name w:val="Colorful Grid - Accent 11312"/>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12">
    <w:name w:val="Light List - Accent 51312"/>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12">
    <w:name w:val="No List4312"/>
    <w:next w:val="NoList"/>
    <w:semiHidden/>
    <w:rsid w:val="008F7DB9"/>
  </w:style>
  <w:style w:type="table" w:customStyle="1" w:styleId="Table3Deffects3312">
    <w:name w:val="Table 3D effects 3312"/>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12">
    <w:name w:val="Нет списка11312"/>
    <w:next w:val="NoList"/>
    <w:semiHidden/>
    <w:unhideWhenUsed/>
    <w:rsid w:val="008F7DB9"/>
  </w:style>
  <w:style w:type="numbering" w:customStyle="1" w:styleId="NoList5212">
    <w:name w:val="No List5212"/>
    <w:next w:val="NoList"/>
    <w:uiPriority w:val="99"/>
    <w:semiHidden/>
    <w:unhideWhenUsed/>
    <w:rsid w:val="008F7DB9"/>
  </w:style>
  <w:style w:type="numbering" w:customStyle="1" w:styleId="NoList12212">
    <w:name w:val="No List12212"/>
    <w:next w:val="NoList"/>
    <w:semiHidden/>
    <w:rsid w:val="008F7DB9"/>
  </w:style>
  <w:style w:type="numbering" w:customStyle="1" w:styleId="NoList112212">
    <w:name w:val="No List112212"/>
    <w:next w:val="NoList"/>
    <w:semiHidden/>
    <w:rsid w:val="008F7DB9"/>
  </w:style>
  <w:style w:type="numbering" w:customStyle="1" w:styleId="NoList1111212">
    <w:name w:val="No List1111212"/>
    <w:next w:val="NoList"/>
    <w:semiHidden/>
    <w:rsid w:val="008F7DB9"/>
  </w:style>
  <w:style w:type="numbering" w:customStyle="1" w:styleId="NoList21212">
    <w:name w:val="No List21212"/>
    <w:next w:val="NoList"/>
    <w:semiHidden/>
    <w:rsid w:val="008F7DB9"/>
  </w:style>
  <w:style w:type="table" w:customStyle="1" w:styleId="TableGrid2215">
    <w:name w:val="Table Grid2215"/>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2">
    <w:name w:val="No List31212"/>
    <w:next w:val="NoList"/>
    <w:uiPriority w:val="99"/>
    <w:semiHidden/>
    <w:unhideWhenUsed/>
    <w:rsid w:val="008F7DB9"/>
  </w:style>
  <w:style w:type="table" w:customStyle="1" w:styleId="LightShading-Accent1112">
    <w:name w:val="Light Shading - Accent 111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12">
    <w:name w:val="Medium Grid 2 - Accent 111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12">
    <w:name w:val="Medium List 2 - Accent 511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12">
    <w:name w:val="Light List - Accent 151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12">
    <w:name w:val="Medium Grid 3 - Accent 511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12">
    <w:name w:val="Light Shading - Accent 511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12">
    <w:name w:val="Medium Grid 2 - Accent 511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12">
    <w:name w:val="Light Grid - Accent 111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List432">
    <w:name w:val="Table List 432"/>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22">
    <w:name w:val="Table List 4122"/>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Theme12">
    <w:name w:val="Table Theme12"/>
    <w:basedOn w:val="TableNormal"/>
    <w:next w:val="TableTheme"/>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12">
    <w:name w:val="Table Professional12"/>
    <w:basedOn w:val="TableNormal"/>
    <w:next w:val="TableProfessional"/>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120">
    <w:name w:val="Table Grid 612"/>
    <w:basedOn w:val="TableNormal"/>
    <w:next w:val="TableGrid6"/>
    <w:rsid w:val="008F7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12">
    <w:name w:val="Table List 4212"/>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12">
    <w:name w:val="Table List 41112"/>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32">
    <w:name w:val="Style1132"/>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42">
    <w:name w:val="Style214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32">
    <w:name w:val="Style2113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12">
    <w:name w:val="No List1612"/>
    <w:next w:val="NoList"/>
    <w:uiPriority w:val="99"/>
    <w:semiHidden/>
    <w:unhideWhenUsed/>
    <w:rsid w:val="008F7DB9"/>
  </w:style>
  <w:style w:type="table" w:customStyle="1" w:styleId="TableGrid614">
    <w:name w:val="Table Grid614"/>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2">
    <w:name w:val="No List1712"/>
    <w:next w:val="NoList"/>
    <w:uiPriority w:val="99"/>
    <w:semiHidden/>
    <w:unhideWhenUsed/>
    <w:rsid w:val="008F7DB9"/>
  </w:style>
  <w:style w:type="numbering" w:customStyle="1" w:styleId="NoList11612">
    <w:name w:val="No List11612"/>
    <w:next w:val="NoList"/>
    <w:semiHidden/>
    <w:rsid w:val="008F7DB9"/>
  </w:style>
  <w:style w:type="table" w:customStyle="1" w:styleId="TableGrid13120">
    <w:name w:val="Table Grid1312"/>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612">
    <w:name w:val="Light List - Accent 161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32">
    <w:name w:val="Light Shading - Accent 132"/>
    <w:basedOn w:val="TableNormal"/>
    <w:next w:val="LightShading-Accent1"/>
    <w:uiPriority w:val="60"/>
    <w:semiHidden/>
    <w:unhideWhenUsed/>
    <w:rsid w:val="008F7DB9"/>
    <w:rPr>
      <w:rFonts w:ascii="Calibri" w:eastAsia="Calibri" w:hAnsi="Calibri"/>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ediumGrid2-Accent132">
    <w:name w:val="Medium Grid 2 - Accent 132"/>
    <w:basedOn w:val="TableNormal"/>
    <w:next w:val="MediumGrid2-Accent1"/>
    <w:uiPriority w:val="68"/>
    <w:semiHidden/>
    <w:unhideWhenUsed/>
    <w:rsid w:val="008F7DB9"/>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List2-Accent532">
    <w:name w:val="Medium List 2 - Accent 532"/>
    <w:basedOn w:val="TableNormal"/>
    <w:next w:val="MediumList2-Accent5"/>
    <w:uiPriority w:val="66"/>
    <w:semiHidden/>
    <w:unhideWhenUsed/>
    <w:rsid w:val="008F7DB9"/>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Grid3-Accent532">
    <w:name w:val="Medium Grid 3 - Accent 532"/>
    <w:basedOn w:val="TableNormal"/>
    <w:next w:val="MediumGrid3-Accent5"/>
    <w:uiPriority w:val="69"/>
    <w:semiHidden/>
    <w:unhideWhenUsed/>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LightShading-Accent532">
    <w:name w:val="Light Shading - Accent 532"/>
    <w:basedOn w:val="TableNormal"/>
    <w:next w:val="LightShading-Accent5"/>
    <w:uiPriority w:val="60"/>
    <w:semiHidden/>
    <w:unhideWhenUsed/>
    <w:rsid w:val="008F7DB9"/>
    <w:rPr>
      <w:rFonts w:ascii="Calibri" w:eastAsia="Calibri" w:hAnsi="Calibri"/>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Grid2-Accent532">
    <w:name w:val="Medium Grid 2 - Accent 532"/>
    <w:basedOn w:val="TableNormal"/>
    <w:next w:val="MediumGrid2-Accent5"/>
    <w:uiPriority w:val="68"/>
    <w:semiHidden/>
    <w:unhideWhenUsed/>
    <w:rsid w:val="008F7DB9"/>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LightGrid-Accent132">
    <w:name w:val="Light Grid - Accent 132"/>
    <w:basedOn w:val="TableNormal"/>
    <w:next w:val="LightGrid-Accent1"/>
    <w:uiPriority w:val="62"/>
    <w:semiHidden/>
    <w:unhideWhenUsed/>
    <w:rsid w:val="008F7DB9"/>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Shading-Accent142">
    <w:name w:val="Light Shading - Accent 14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42">
    <w:name w:val="Medium Grid 2 - Accent 14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42">
    <w:name w:val="Medium List 2 - Accent 54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02">
    <w:name w:val="Light List - Accent 110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42">
    <w:name w:val="Medium Grid 3 - Accent 54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42">
    <w:name w:val="Light Shading - Accent 54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42">
    <w:name w:val="Medium Grid 2 - Accent 54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42">
    <w:name w:val="Light Grid - Accent 14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52">
    <w:name w:val="Light Shading - Accent 15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52">
    <w:name w:val="Medium Grid 2 - Accent 15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52">
    <w:name w:val="Medium List 2 - Accent 55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62">
    <w:name w:val="Light List - Accent 116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52">
    <w:name w:val="Medium Grid 3 - Accent 55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52">
    <w:name w:val="Light Shading - Accent 55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52">
    <w:name w:val="Medium Grid 2 - Accent 55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52">
    <w:name w:val="Light Grid - Accent 15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72">
    <w:name w:val="No List272"/>
    <w:next w:val="NoList"/>
    <w:uiPriority w:val="99"/>
    <w:semiHidden/>
    <w:unhideWhenUsed/>
    <w:rsid w:val="008F7DB9"/>
  </w:style>
  <w:style w:type="table" w:customStyle="1" w:styleId="TableGrid95">
    <w:name w:val="Table Grid95"/>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62">
    <w:name w:val="Table List 762"/>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62">
    <w:name w:val="Table Web 362"/>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62">
    <w:name w:val="Table Elegant62"/>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62">
    <w:name w:val="Table Web 262"/>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62">
    <w:name w:val="Table Web 162"/>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62">
    <w:name w:val="Table Grid 862"/>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62">
    <w:name w:val="Table Contemporary62"/>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92">
    <w:name w:val="No List1192"/>
    <w:next w:val="NoList"/>
    <w:semiHidden/>
    <w:unhideWhenUsed/>
    <w:rsid w:val="008F7DB9"/>
  </w:style>
  <w:style w:type="numbering" w:customStyle="1" w:styleId="NoList282">
    <w:name w:val="No List282"/>
    <w:next w:val="NoList"/>
    <w:semiHidden/>
    <w:unhideWhenUsed/>
    <w:rsid w:val="008F7DB9"/>
  </w:style>
  <w:style w:type="numbering" w:customStyle="1" w:styleId="NoList372">
    <w:name w:val="No List372"/>
    <w:next w:val="NoList"/>
    <w:semiHidden/>
    <w:unhideWhenUsed/>
    <w:rsid w:val="008F7DB9"/>
  </w:style>
  <w:style w:type="table" w:customStyle="1" w:styleId="LightList-Accent1172">
    <w:name w:val="Light List - Accent 1172"/>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62">
    <w:name w:val="Table Grid 762"/>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72">
    <w:name w:val="Colorful Grid - Accent 172"/>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72">
    <w:name w:val="Light List - Accent 572"/>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62">
    <w:name w:val="Table Simple 362"/>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62">
    <w:name w:val="Table Grid 562"/>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62">
    <w:name w:val="Table Grid 362"/>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62">
    <w:name w:val="Table Grid 162"/>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62">
    <w:name w:val="Table Columns 562"/>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82">
    <w:name w:val="Light List - Accent 1182"/>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72">
    <w:name w:val="Нет списка172"/>
    <w:next w:val="NoList"/>
    <w:semiHidden/>
    <w:unhideWhenUsed/>
    <w:rsid w:val="008F7DB9"/>
  </w:style>
  <w:style w:type="table" w:customStyle="1" w:styleId="ColorfulGrid-Accent1162">
    <w:name w:val="Colorful Grid - Accent 1162"/>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62">
    <w:name w:val="Light List - Accent 5162"/>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62">
    <w:name w:val="No List462"/>
    <w:next w:val="NoList"/>
    <w:semiHidden/>
    <w:rsid w:val="008F7DB9"/>
  </w:style>
  <w:style w:type="numbering" w:customStyle="1" w:styleId="NoList11102">
    <w:name w:val="No List11102"/>
    <w:next w:val="NoList"/>
    <w:semiHidden/>
    <w:unhideWhenUsed/>
    <w:rsid w:val="008F7DB9"/>
  </w:style>
  <w:style w:type="table" w:customStyle="1" w:styleId="Table3Deffects362">
    <w:name w:val="Table 3D effects 362"/>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62">
    <w:name w:val="Нет списка1162"/>
    <w:next w:val="NoList"/>
    <w:semiHidden/>
    <w:unhideWhenUsed/>
    <w:rsid w:val="008F7DB9"/>
  </w:style>
  <w:style w:type="table" w:customStyle="1" w:styleId="LightShading-Accent162">
    <w:name w:val="Light Shading - Accent 16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62">
    <w:name w:val="Medium Grid 2 - Accent 16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62">
    <w:name w:val="Medium List 2 - Accent 56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22">
    <w:name w:val="Light List - Accent 152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62">
    <w:name w:val="Medium Grid 3 - Accent 56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62">
    <w:name w:val="Light Shading - Accent 56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62">
    <w:name w:val="Medium Grid 2 - Accent 56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62">
    <w:name w:val="Light Grid - Accent 16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tyle1142">
    <w:name w:val="Style1142"/>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52">
    <w:name w:val="Style215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42">
    <w:name w:val="Style2114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Shading-Accent1122">
    <w:name w:val="Light Shading - Accent 112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22">
    <w:name w:val="Medium Grid 2 - Accent 112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22">
    <w:name w:val="Medium List 2 - Accent 512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622">
    <w:name w:val="Light List - Accent 162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22">
    <w:name w:val="Medium Grid 3 - Accent 512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22">
    <w:name w:val="Light Shading - Accent 512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22">
    <w:name w:val="Medium Grid 2 - Accent 512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22">
    <w:name w:val="Light Grid - Accent 112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92">
    <w:name w:val="No List292"/>
    <w:next w:val="NoList"/>
    <w:uiPriority w:val="99"/>
    <w:semiHidden/>
    <w:unhideWhenUsed/>
    <w:rsid w:val="008F7DB9"/>
  </w:style>
  <w:style w:type="table" w:customStyle="1" w:styleId="TableGrid105">
    <w:name w:val="Table Grid105"/>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2">
    <w:name w:val="No List1202"/>
    <w:next w:val="NoList"/>
    <w:uiPriority w:val="99"/>
    <w:semiHidden/>
    <w:unhideWhenUsed/>
    <w:rsid w:val="008F7DB9"/>
  </w:style>
  <w:style w:type="numbering" w:customStyle="1" w:styleId="NoList11152">
    <w:name w:val="No List11152"/>
    <w:next w:val="NoList"/>
    <w:semiHidden/>
    <w:rsid w:val="008F7DB9"/>
  </w:style>
  <w:style w:type="table" w:customStyle="1" w:styleId="TableGrid1520">
    <w:name w:val="Table Grid152"/>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2">
    <w:name w:val="No List302"/>
    <w:next w:val="NoList"/>
    <w:uiPriority w:val="99"/>
    <w:semiHidden/>
    <w:unhideWhenUsed/>
    <w:rsid w:val="008F7DB9"/>
  </w:style>
  <w:style w:type="table" w:customStyle="1" w:styleId="LightShading-Accent172">
    <w:name w:val="Light Shading - Accent 17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72">
    <w:name w:val="Medium Grid 2 - Accent 17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72">
    <w:name w:val="Medium List 2 - Accent 57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92">
    <w:name w:val="Light List - Accent 119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72">
    <w:name w:val="Medium Grid 3 - Accent 57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72">
    <w:name w:val="Light Shading - Accent 57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72">
    <w:name w:val="Medium Grid 2 - Accent 57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72">
    <w:name w:val="Light Grid - Accent 17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382">
    <w:name w:val="No List382"/>
    <w:next w:val="NoList"/>
    <w:uiPriority w:val="99"/>
    <w:semiHidden/>
    <w:unhideWhenUsed/>
    <w:rsid w:val="008F7DB9"/>
  </w:style>
  <w:style w:type="table" w:customStyle="1" w:styleId="TableGrid1620">
    <w:name w:val="Table Grid162"/>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
    <w:name w:val="No List1242"/>
    <w:next w:val="NoList"/>
    <w:uiPriority w:val="99"/>
    <w:semiHidden/>
    <w:unhideWhenUsed/>
    <w:rsid w:val="008F7DB9"/>
  </w:style>
  <w:style w:type="numbering" w:customStyle="1" w:styleId="NoList11162">
    <w:name w:val="No List11162"/>
    <w:next w:val="NoList"/>
    <w:semiHidden/>
    <w:rsid w:val="008F7DB9"/>
  </w:style>
  <w:style w:type="table" w:customStyle="1" w:styleId="TableGrid172">
    <w:name w:val="Table Grid172"/>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82">
    <w:name w:val="Light Shading - Accent 18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82">
    <w:name w:val="Medium Grid 2 - Accent 18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82">
    <w:name w:val="Medium List 2 - Accent 58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02">
    <w:name w:val="Light List - Accent 120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82">
    <w:name w:val="Medium Grid 3 - Accent 58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82">
    <w:name w:val="Light Shading - Accent 58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82">
    <w:name w:val="Medium Grid 2 - Accent 58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82">
    <w:name w:val="Light Grid - Accent 18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92">
    <w:name w:val="Light Shading - Accent 19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92">
    <w:name w:val="Medium Grid 2 - Accent 19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92">
    <w:name w:val="Medium List 2 - Accent 59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22">
    <w:name w:val="Light List - Accent 122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92">
    <w:name w:val="Medium Grid 3 - Accent 59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92">
    <w:name w:val="Light Shading - Accent 59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92">
    <w:name w:val="Medium Grid 2 - Accent 59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92">
    <w:name w:val="Light Grid - Accent 19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tyle1153">
    <w:name w:val="Style1153"/>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152">
    <w:name w:val="Style2115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392">
    <w:name w:val="No List392"/>
    <w:next w:val="NoList"/>
    <w:uiPriority w:val="99"/>
    <w:semiHidden/>
    <w:unhideWhenUsed/>
    <w:rsid w:val="008F7DB9"/>
  </w:style>
  <w:style w:type="table" w:customStyle="1" w:styleId="TableGrid182">
    <w:name w:val="Table Grid182"/>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2">
    <w:name w:val="No List1252"/>
    <w:next w:val="NoList"/>
    <w:uiPriority w:val="99"/>
    <w:semiHidden/>
    <w:unhideWhenUsed/>
    <w:rsid w:val="008F7DB9"/>
  </w:style>
  <w:style w:type="numbering" w:customStyle="1" w:styleId="NoList11172">
    <w:name w:val="No List11172"/>
    <w:next w:val="NoList"/>
    <w:semiHidden/>
    <w:rsid w:val="008F7DB9"/>
  </w:style>
  <w:style w:type="table" w:customStyle="1" w:styleId="TableGrid192">
    <w:name w:val="Table Grid192"/>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1512">
    <w:name w:val="Style11512"/>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62">
    <w:name w:val="Style2162"/>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402">
    <w:name w:val="No List402"/>
    <w:next w:val="NoList"/>
    <w:uiPriority w:val="99"/>
    <w:semiHidden/>
    <w:unhideWhenUsed/>
    <w:rsid w:val="008F7DB9"/>
  </w:style>
  <w:style w:type="table" w:customStyle="1" w:styleId="TableGrid202">
    <w:name w:val="Table Grid202"/>
    <w:basedOn w:val="TableNormal"/>
    <w:next w:val="TableGrid"/>
    <w:uiPriority w:val="59"/>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02">
    <w:name w:val="Light Shading - Accent 1102"/>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582">
    <w:name w:val="Light List - Accent 582"/>
    <w:basedOn w:val="TableNormal"/>
    <w:next w:val="LightList-Accent5"/>
    <w:uiPriority w:val="61"/>
    <w:rsid w:val="008F7DB9"/>
    <w:rPr>
      <w:rFonts w:ascii="Calibri" w:eastAsia="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List2-Accent112">
    <w:name w:val="Medium List 2 - Accent 112"/>
    <w:basedOn w:val="TableNormal"/>
    <w:next w:val="MediumList2-Accent1"/>
    <w:uiPriority w:val="66"/>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Grid2-Accent1102">
    <w:name w:val="Medium Grid 2 - Accent 1102"/>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3-Accent612">
    <w:name w:val="Medium Grid 3 - Accent 612"/>
    <w:basedOn w:val="TableNormal"/>
    <w:next w:val="MediumGrid3-Accent6"/>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2-Accent5102">
    <w:name w:val="Medium List 2 - Accent 5102"/>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32">
    <w:name w:val="Light List - Accent 123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1-Accent512">
    <w:name w:val="Medium List 1 - Accent 512"/>
    <w:basedOn w:val="TableNormal"/>
    <w:next w:val="MediumList1-Accent5"/>
    <w:uiPriority w:val="65"/>
    <w:rsid w:val="008F7DB9"/>
    <w:rPr>
      <w:rFonts w:ascii="Calibri" w:eastAsia="Calibri" w:hAnsi="Calibri"/>
      <w:color w:val="000000"/>
      <w:sz w:val="22"/>
      <w:szCs w:val="22"/>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Grid3-Accent5102">
    <w:name w:val="Medium Grid 3 - Accent 5102"/>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02">
    <w:name w:val="Light Shading - Accent 5102"/>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02">
    <w:name w:val="Medium Grid 2 - Accent 5102"/>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List-Accent312">
    <w:name w:val="Light List - Accent 312"/>
    <w:basedOn w:val="TableNormal"/>
    <w:next w:val="LightList-Accent3"/>
    <w:uiPriority w:val="61"/>
    <w:rsid w:val="008F7DB9"/>
    <w:rPr>
      <w:rFonts w:ascii="Calibri" w:eastAsia="Calibri"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List2-Accent312">
    <w:name w:val="Medium List 2 - Accent 312"/>
    <w:basedOn w:val="TableNormal"/>
    <w:next w:val="MediumList2-Accent3"/>
    <w:uiPriority w:val="66"/>
    <w:rsid w:val="008F7DB9"/>
    <w:rPr>
      <w:rFonts w:ascii="Cambria"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2">
    <w:name w:val="Medium List 2 - Accent 412"/>
    <w:basedOn w:val="TableNormal"/>
    <w:next w:val="MediumList2-Accent4"/>
    <w:uiPriority w:val="66"/>
    <w:rsid w:val="008F7DB9"/>
    <w:rPr>
      <w:rFonts w:ascii="Cambria" w:hAnsi="Cambria"/>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LightGrid-Accent1102">
    <w:name w:val="Light Grid - Accent 1102"/>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472">
    <w:name w:val="No List472"/>
    <w:next w:val="NoList"/>
    <w:uiPriority w:val="99"/>
    <w:semiHidden/>
    <w:unhideWhenUsed/>
    <w:rsid w:val="008F7DB9"/>
  </w:style>
  <w:style w:type="table" w:customStyle="1" w:styleId="TableGrid242">
    <w:name w:val="Table Grid242"/>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2">
    <w:name w:val="No List1262"/>
    <w:next w:val="NoList"/>
    <w:uiPriority w:val="99"/>
    <w:semiHidden/>
    <w:unhideWhenUsed/>
    <w:rsid w:val="008F7DB9"/>
  </w:style>
  <w:style w:type="numbering" w:customStyle="1" w:styleId="NoList11182">
    <w:name w:val="No List11182"/>
    <w:next w:val="NoList"/>
    <w:semiHidden/>
    <w:rsid w:val="008F7DB9"/>
  </w:style>
  <w:style w:type="table" w:customStyle="1" w:styleId="TableGrid11020">
    <w:name w:val="Table Grid1102"/>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1">
    <w:name w:val="No List481"/>
    <w:next w:val="NoList"/>
    <w:semiHidden/>
    <w:rsid w:val="008F7DB9"/>
  </w:style>
  <w:style w:type="numbering" w:customStyle="1" w:styleId="NoList1271">
    <w:name w:val="No List1271"/>
    <w:next w:val="NoList"/>
    <w:semiHidden/>
    <w:rsid w:val="008F7DB9"/>
  </w:style>
  <w:style w:type="numbering" w:customStyle="1" w:styleId="NoList2101">
    <w:name w:val="No List2101"/>
    <w:next w:val="NoList"/>
    <w:semiHidden/>
    <w:rsid w:val="008F7DB9"/>
  </w:style>
  <w:style w:type="numbering" w:customStyle="1" w:styleId="NoList491">
    <w:name w:val="No List491"/>
    <w:next w:val="NoList"/>
    <w:uiPriority w:val="99"/>
    <w:semiHidden/>
    <w:unhideWhenUsed/>
    <w:rsid w:val="008F7DB9"/>
  </w:style>
  <w:style w:type="table" w:customStyle="1" w:styleId="TableGrid251">
    <w:name w:val="Table Grid251"/>
    <w:basedOn w:val="TableNormal"/>
    <w:next w:val="TableGrid"/>
    <w:uiPriority w:val="39"/>
    <w:rsid w:val="008F7DB9"/>
    <w:rPr>
      <w:rFonts w:ascii="Calibri" w:eastAsia="Calibri" w:hAnsi="Calibri"/>
      <w:sz w:val="22"/>
      <w:szCs w:val="22"/>
      <w:lang w:val="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4">
    <w:name w:val="Grid Table 4 - Accent 114"/>
    <w:basedOn w:val="TableNormal"/>
    <w:uiPriority w:val="49"/>
    <w:rsid w:val="008F7DB9"/>
    <w:rPr>
      <w:rFonts w:ascii="Calibri" w:eastAsia="Calibri" w:hAnsi="Calibri"/>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261">
    <w:name w:val="Table Grid261"/>
    <w:basedOn w:val="TableNormal"/>
    <w:next w:val="TableGrid"/>
    <w:uiPriority w:val="39"/>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01">
    <w:name w:val="No List501"/>
    <w:next w:val="NoList"/>
    <w:uiPriority w:val="99"/>
    <w:semiHidden/>
    <w:unhideWhenUsed/>
    <w:rsid w:val="008F7DB9"/>
  </w:style>
  <w:style w:type="numbering" w:customStyle="1" w:styleId="NoList1281">
    <w:name w:val="No List1281"/>
    <w:next w:val="NoList"/>
    <w:uiPriority w:val="99"/>
    <w:semiHidden/>
    <w:unhideWhenUsed/>
    <w:rsid w:val="008F7DB9"/>
  </w:style>
  <w:style w:type="table" w:customStyle="1" w:styleId="TableGrid271">
    <w:name w:val="Table Grid271"/>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1">
    <w:name w:val="No List11191"/>
    <w:next w:val="NoList"/>
    <w:semiHidden/>
    <w:unhideWhenUsed/>
    <w:rsid w:val="008F7DB9"/>
  </w:style>
  <w:style w:type="numbering" w:customStyle="1" w:styleId="NoList111101">
    <w:name w:val="No List111101"/>
    <w:next w:val="NoList"/>
    <w:semiHidden/>
    <w:rsid w:val="008F7DB9"/>
  </w:style>
  <w:style w:type="table" w:customStyle="1" w:styleId="TableGrid1123">
    <w:name w:val="Table Grid1123"/>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1">
    <w:name w:val="No List111141"/>
    <w:next w:val="NoList"/>
    <w:semiHidden/>
    <w:rsid w:val="008F7DB9"/>
  </w:style>
  <w:style w:type="numbering" w:customStyle="1" w:styleId="NoList2141">
    <w:name w:val="No List2141"/>
    <w:next w:val="NoList"/>
    <w:semiHidden/>
    <w:rsid w:val="008F7DB9"/>
  </w:style>
  <w:style w:type="numbering" w:customStyle="1" w:styleId="NoList3101">
    <w:name w:val="No List3101"/>
    <w:next w:val="NoList"/>
    <w:semiHidden/>
    <w:unhideWhenUsed/>
    <w:rsid w:val="008F7DB9"/>
  </w:style>
  <w:style w:type="table" w:customStyle="1" w:styleId="TableList771">
    <w:name w:val="Table List 77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71">
    <w:name w:val="Table Web 37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71">
    <w:name w:val="Table Elegant7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71">
    <w:name w:val="Table Web 27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71">
    <w:name w:val="Table Web 17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71">
    <w:name w:val="Table Grid 87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71">
    <w:name w:val="Table Contemporary7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41">
    <w:name w:val="Light List - Accent 124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71">
    <w:name w:val="Table Grid 77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81">
    <w:name w:val="Colorful Grid - Accent 18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91">
    <w:name w:val="Light List - Accent 59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71">
    <w:name w:val="Table Simple 37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71">
    <w:name w:val="Table Grid 57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71">
    <w:name w:val="Table Grid 37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710">
    <w:name w:val="Table Grid 17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71">
    <w:name w:val="Table Columns 57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01">
    <w:name w:val="Light List - Accent 1110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81">
    <w:name w:val="Нет списка181"/>
    <w:next w:val="NoList"/>
    <w:semiHidden/>
    <w:unhideWhenUsed/>
    <w:rsid w:val="008F7DB9"/>
  </w:style>
  <w:style w:type="table" w:customStyle="1" w:styleId="ColorfulGrid-Accent1171">
    <w:name w:val="Colorful Grid - Accent 117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71">
    <w:name w:val="Light List - Accent 517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01">
    <w:name w:val="No List4101"/>
    <w:next w:val="NoList"/>
    <w:semiHidden/>
    <w:rsid w:val="008F7DB9"/>
  </w:style>
  <w:style w:type="table" w:customStyle="1" w:styleId="Table3Deffects371">
    <w:name w:val="Table 3D effects 37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71">
    <w:name w:val="Нет списка1171"/>
    <w:next w:val="NoList"/>
    <w:semiHidden/>
    <w:unhideWhenUsed/>
    <w:rsid w:val="008F7DB9"/>
  </w:style>
  <w:style w:type="numbering" w:customStyle="1" w:styleId="NoList541">
    <w:name w:val="No List541"/>
    <w:next w:val="NoList"/>
    <w:uiPriority w:val="99"/>
    <w:semiHidden/>
    <w:unhideWhenUsed/>
    <w:rsid w:val="008F7DB9"/>
  </w:style>
  <w:style w:type="numbering" w:customStyle="1" w:styleId="NoList1291">
    <w:name w:val="No List1291"/>
    <w:next w:val="NoList"/>
    <w:semiHidden/>
    <w:rsid w:val="008F7DB9"/>
  </w:style>
  <w:style w:type="numbering" w:customStyle="1" w:styleId="NoList11241">
    <w:name w:val="No List11241"/>
    <w:next w:val="NoList"/>
    <w:semiHidden/>
    <w:rsid w:val="008F7DB9"/>
  </w:style>
  <w:style w:type="numbering" w:customStyle="1" w:styleId="NoList1111121">
    <w:name w:val="No List1111121"/>
    <w:next w:val="NoList"/>
    <w:semiHidden/>
    <w:rsid w:val="008F7DB9"/>
  </w:style>
  <w:style w:type="numbering" w:customStyle="1" w:styleId="NoList2151">
    <w:name w:val="No List2151"/>
    <w:next w:val="NoList"/>
    <w:semiHidden/>
    <w:rsid w:val="008F7DB9"/>
  </w:style>
  <w:style w:type="table" w:customStyle="1" w:styleId="TableGrid281">
    <w:name w:val="Table Grid281"/>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1">
    <w:name w:val="No List3141"/>
    <w:next w:val="NoList"/>
    <w:uiPriority w:val="99"/>
    <w:semiHidden/>
    <w:unhideWhenUsed/>
    <w:rsid w:val="008F7DB9"/>
  </w:style>
  <w:style w:type="numbering" w:customStyle="1" w:styleId="NoList623">
    <w:name w:val="No List623"/>
    <w:next w:val="NoList"/>
    <w:uiPriority w:val="99"/>
    <w:semiHidden/>
    <w:unhideWhenUsed/>
    <w:rsid w:val="008F7DB9"/>
  </w:style>
  <w:style w:type="numbering" w:customStyle="1" w:styleId="NoList723">
    <w:name w:val="No List723"/>
    <w:next w:val="NoList"/>
    <w:uiPriority w:val="99"/>
    <w:semiHidden/>
    <w:unhideWhenUsed/>
    <w:rsid w:val="008F7DB9"/>
  </w:style>
  <w:style w:type="table" w:customStyle="1" w:styleId="TableGrid3230">
    <w:name w:val="Table Grid323"/>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3">
    <w:name w:val="No List1323"/>
    <w:next w:val="NoList"/>
    <w:semiHidden/>
    <w:unhideWhenUsed/>
    <w:rsid w:val="008F7DB9"/>
  </w:style>
  <w:style w:type="numbering" w:customStyle="1" w:styleId="NoList11321">
    <w:name w:val="No List11321"/>
    <w:next w:val="NoList"/>
    <w:semiHidden/>
    <w:rsid w:val="008F7DB9"/>
  </w:style>
  <w:style w:type="table" w:customStyle="1" w:styleId="TableGrid11310">
    <w:name w:val="Table Grid1131"/>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1">
    <w:name w:val="No List111221"/>
    <w:next w:val="NoList"/>
    <w:semiHidden/>
    <w:rsid w:val="008F7DB9"/>
  </w:style>
  <w:style w:type="numbering" w:customStyle="1" w:styleId="NoList2222">
    <w:name w:val="No List2222"/>
    <w:next w:val="NoList"/>
    <w:semiHidden/>
    <w:rsid w:val="008F7DB9"/>
  </w:style>
  <w:style w:type="numbering" w:customStyle="1" w:styleId="NoList3222">
    <w:name w:val="No List3222"/>
    <w:next w:val="NoList"/>
    <w:semiHidden/>
    <w:unhideWhenUsed/>
    <w:rsid w:val="008F7DB9"/>
  </w:style>
  <w:style w:type="table" w:customStyle="1" w:styleId="TableList7123">
    <w:name w:val="Table List 7123"/>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23">
    <w:name w:val="Table Web 3123"/>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23">
    <w:name w:val="Table Elegant123"/>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23">
    <w:name w:val="Table Web 2123"/>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23">
    <w:name w:val="Table Web 1123"/>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23">
    <w:name w:val="Table Grid 8123"/>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23">
    <w:name w:val="Table Contemporary123"/>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51">
    <w:name w:val="Light List - Accent 125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23">
    <w:name w:val="Table Grid 7123"/>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23">
    <w:name w:val="Colorful Grid - Accent 1223"/>
    <w:basedOn w:val="TableNormal"/>
    <w:next w:val="ColorfulGrid-Accent1"/>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23">
    <w:name w:val="Light List - Accent 5223"/>
    <w:basedOn w:val="TableNormal"/>
    <w:next w:val="LightList-Accent5"/>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23">
    <w:name w:val="Table Simple 3123"/>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23">
    <w:name w:val="Table Grid 5123"/>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23">
    <w:name w:val="Table Grid 3123"/>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230">
    <w:name w:val="Table Grid 1123"/>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23">
    <w:name w:val="Table Columns 5123"/>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21">
    <w:name w:val="Light List - Accent 1112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23">
    <w:name w:val="Нет списка1223"/>
    <w:next w:val="NoList"/>
    <w:uiPriority w:val="99"/>
    <w:semiHidden/>
    <w:unhideWhenUsed/>
    <w:rsid w:val="008F7DB9"/>
  </w:style>
  <w:style w:type="table" w:customStyle="1" w:styleId="ColorfulGrid-Accent11121">
    <w:name w:val="Colorful Grid - Accent 1112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21">
    <w:name w:val="Light List - Accent 5112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23">
    <w:name w:val="No List4123"/>
    <w:next w:val="NoList"/>
    <w:semiHidden/>
    <w:rsid w:val="008F7DB9"/>
  </w:style>
  <w:style w:type="table" w:customStyle="1" w:styleId="Table3Deffects3123">
    <w:name w:val="Table 3D effects 3123"/>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24">
    <w:name w:val="Нет списка11124"/>
    <w:next w:val="NoList"/>
    <w:semiHidden/>
    <w:unhideWhenUsed/>
    <w:rsid w:val="008F7DB9"/>
  </w:style>
  <w:style w:type="numbering" w:customStyle="1" w:styleId="NoList5122">
    <w:name w:val="No List5122"/>
    <w:next w:val="NoList"/>
    <w:uiPriority w:val="99"/>
    <w:semiHidden/>
    <w:unhideWhenUsed/>
    <w:rsid w:val="008F7DB9"/>
  </w:style>
  <w:style w:type="numbering" w:customStyle="1" w:styleId="NoList12122">
    <w:name w:val="No List12122"/>
    <w:next w:val="NoList"/>
    <w:semiHidden/>
    <w:rsid w:val="008F7DB9"/>
  </w:style>
  <w:style w:type="numbering" w:customStyle="1" w:styleId="NoList112121">
    <w:name w:val="No List112121"/>
    <w:next w:val="NoList"/>
    <w:semiHidden/>
    <w:rsid w:val="008F7DB9"/>
  </w:style>
  <w:style w:type="numbering" w:customStyle="1" w:styleId="NoList11111121">
    <w:name w:val="No List11111121"/>
    <w:next w:val="NoList"/>
    <w:semiHidden/>
    <w:rsid w:val="008F7DB9"/>
  </w:style>
  <w:style w:type="numbering" w:customStyle="1" w:styleId="NoList21122">
    <w:name w:val="No List21122"/>
    <w:next w:val="NoList"/>
    <w:semiHidden/>
    <w:rsid w:val="008F7DB9"/>
  </w:style>
  <w:style w:type="table" w:customStyle="1" w:styleId="TableGrid2121">
    <w:name w:val="Table Grid2121"/>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22">
    <w:name w:val="No List31122"/>
    <w:next w:val="NoList"/>
    <w:uiPriority w:val="99"/>
    <w:semiHidden/>
    <w:unhideWhenUsed/>
    <w:rsid w:val="008F7DB9"/>
  </w:style>
  <w:style w:type="numbering" w:customStyle="1" w:styleId="NoList823">
    <w:name w:val="No List823"/>
    <w:next w:val="NoList"/>
    <w:uiPriority w:val="99"/>
    <w:semiHidden/>
    <w:unhideWhenUsed/>
    <w:rsid w:val="008F7DB9"/>
  </w:style>
  <w:style w:type="numbering" w:customStyle="1" w:styleId="NoList922">
    <w:name w:val="No List922"/>
    <w:next w:val="NoList"/>
    <w:uiPriority w:val="99"/>
    <w:semiHidden/>
    <w:unhideWhenUsed/>
    <w:rsid w:val="008F7DB9"/>
  </w:style>
  <w:style w:type="table" w:customStyle="1" w:styleId="TableGrid423">
    <w:name w:val="Table Grid423"/>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21">
    <w:name w:val="Table List 722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21">
    <w:name w:val="Table Web 322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21">
    <w:name w:val="Table Elegant22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21">
    <w:name w:val="Table Web 222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21">
    <w:name w:val="Table Web 122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21">
    <w:name w:val="Table Grid 822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21">
    <w:name w:val="Table Contemporary22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22">
    <w:name w:val="No List1422"/>
    <w:next w:val="NoList"/>
    <w:semiHidden/>
    <w:unhideWhenUsed/>
    <w:rsid w:val="008F7DB9"/>
  </w:style>
  <w:style w:type="numbering" w:customStyle="1" w:styleId="NoList2321">
    <w:name w:val="No List2321"/>
    <w:next w:val="NoList"/>
    <w:semiHidden/>
    <w:unhideWhenUsed/>
    <w:rsid w:val="008F7DB9"/>
  </w:style>
  <w:style w:type="numbering" w:customStyle="1" w:styleId="NoList3321">
    <w:name w:val="No List3321"/>
    <w:next w:val="NoList"/>
    <w:semiHidden/>
    <w:unhideWhenUsed/>
    <w:rsid w:val="008F7DB9"/>
  </w:style>
  <w:style w:type="table" w:customStyle="1" w:styleId="LightList-Accent1321">
    <w:name w:val="Light List - Accent 132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21">
    <w:name w:val="Table Grid 722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21">
    <w:name w:val="Colorful Grid - Accent 132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21">
    <w:name w:val="Light List - Accent 532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21">
    <w:name w:val="Table Simple 322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21">
    <w:name w:val="Table Grid 522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21">
    <w:name w:val="Table Grid 322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21">
    <w:name w:val="Table Grid 122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21">
    <w:name w:val="Table Columns 522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21">
    <w:name w:val="Light List - Accent 1122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22">
    <w:name w:val="Нет списка1322"/>
    <w:next w:val="NoList"/>
    <w:semiHidden/>
    <w:unhideWhenUsed/>
    <w:rsid w:val="008F7DB9"/>
  </w:style>
  <w:style w:type="table" w:customStyle="1" w:styleId="ColorfulGrid-Accent11221">
    <w:name w:val="Colorful Grid - Accent 1122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21">
    <w:name w:val="Light List - Accent 5122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22">
    <w:name w:val="No List4222"/>
    <w:next w:val="NoList"/>
    <w:semiHidden/>
    <w:rsid w:val="008F7DB9"/>
  </w:style>
  <w:style w:type="numbering" w:customStyle="1" w:styleId="NoList11421">
    <w:name w:val="No List11421"/>
    <w:next w:val="NoList"/>
    <w:semiHidden/>
    <w:unhideWhenUsed/>
    <w:rsid w:val="008F7DB9"/>
  </w:style>
  <w:style w:type="table" w:customStyle="1" w:styleId="Table3Deffects3221">
    <w:name w:val="Table 3D effects 322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22">
    <w:name w:val="Нет списка11222"/>
    <w:next w:val="NoList"/>
    <w:semiHidden/>
    <w:unhideWhenUsed/>
    <w:rsid w:val="008F7DB9"/>
  </w:style>
  <w:style w:type="numbering" w:customStyle="1" w:styleId="NoList1022">
    <w:name w:val="No List1022"/>
    <w:next w:val="NoList"/>
    <w:uiPriority w:val="99"/>
    <w:semiHidden/>
    <w:unhideWhenUsed/>
    <w:rsid w:val="008F7DB9"/>
  </w:style>
  <w:style w:type="table" w:customStyle="1" w:styleId="TableGrid5210">
    <w:name w:val="Table Grid521"/>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semiHidden/>
    <w:unhideWhenUsed/>
    <w:rsid w:val="008F7DB9"/>
  </w:style>
  <w:style w:type="numbering" w:customStyle="1" w:styleId="NoList11521">
    <w:name w:val="No List11521"/>
    <w:next w:val="NoList"/>
    <w:semiHidden/>
    <w:rsid w:val="008F7DB9"/>
  </w:style>
  <w:style w:type="table" w:customStyle="1" w:styleId="TableGrid12210">
    <w:name w:val="Table Grid1221"/>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1">
    <w:name w:val="No List111321"/>
    <w:next w:val="NoList"/>
    <w:semiHidden/>
    <w:rsid w:val="008F7DB9"/>
  </w:style>
  <w:style w:type="numbering" w:customStyle="1" w:styleId="NoList2421">
    <w:name w:val="No List2421"/>
    <w:next w:val="NoList"/>
    <w:semiHidden/>
    <w:rsid w:val="008F7DB9"/>
  </w:style>
  <w:style w:type="numbering" w:customStyle="1" w:styleId="NoList3421">
    <w:name w:val="No List3421"/>
    <w:next w:val="NoList"/>
    <w:semiHidden/>
    <w:unhideWhenUsed/>
    <w:rsid w:val="008F7DB9"/>
  </w:style>
  <w:style w:type="table" w:customStyle="1" w:styleId="TableList7321">
    <w:name w:val="Table List 732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21">
    <w:name w:val="Table Web 332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21">
    <w:name w:val="Table Elegant32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21">
    <w:name w:val="Table Web 232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21">
    <w:name w:val="Table Web 132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21">
    <w:name w:val="Table Grid 832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21">
    <w:name w:val="Table Contemporary32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21">
    <w:name w:val="Light List - Accent 142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21">
    <w:name w:val="Table Grid 732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21">
    <w:name w:val="Colorful Grid - Accent 142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21">
    <w:name w:val="Light List - Accent 542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21">
    <w:name w:val="Table Simple 332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21">
    <w:name w:val="Table Grid 532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21">
    <w:name w:val="Table Grid 332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21">
    <w:name w:val="Table Grid 132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21">
    <w:name w:val="Table Columns 532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21">
    <w:name w:val="Light List - Accent 1132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21">
    <w:name w:val="Нет списка1421"/>
    <w:next w:val="NoList"/>
    <w:semiHidden/>
    <w:unhideWhenUsed/>
    <w:rsid w:val="008F7DB9"/>
  </w:style>
  <w:style w:type="table" w:customStyle="1" w:styleId="ColorfulGrid-Accent11321">
    <w:name w:val="Colorful Grid - Accent 1132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21">
    <w:name w:val="Light List - Accent 5132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21">
    <w:name w:val="No List4321"/>
    <w:next w:val="NoList"/>
    <w:semiHidden/>
    <w:rsid w:val="008F7DB9"/>
  </w:style>
  <w:style w:type="table" w:customStyle="1" w:styleId="Table3Deffects3321">
    <w:name w:val="Table 3D effects 332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21">
    <w:name w:val="Нет списка11321"/>
    <w:next w:val="NoList"/>
    <w:semiHidden/>
    <w:unhideWhenUsed/>
    <w:rsid w:val="008F7DB9"/>
  </w:style>
  <w:style w:type="numbering" w:customStyle="1" w:styleId="NoList5221">
    <w:name w:val="No List5221"/>
    <w:next w:val="NoList"/>
    <w:uiPriority w:val="99"/>
    <w:semiHidden/>
    <w:unhideWhenUsed/>
    <w:rsid w:val="008F7DB9"/>
  </w:style>
  <w:style w:type="numbering" w:customStyle="1" w:styleId="NoList12221">
    <w:name w:val="No List12221"/>
    <w:next w:val="NoList"/>
    <w:semiHidden/>
    <w:rsid w:val="008F7DB9"/>
  </w:style>
  <w:style w:type="numbering" w:customStyle="1" w:styleId="NoList112221">
    <w:name w:val="No List112221"/>
    <w:next w:val="NoList"/>
    <w:semiHidden/>
    <w:rsid w:val="008F7DB9"/>
  </w:style>
  <w:style w:type="numbering" w:customStyle="1" w:styleId="NoList1111221">
    <w:name w:val="No List1111221"/>
    <w:next w:val="NoList"/>
    <w:semiHidden/>
    <w:rsid w:val="008F7DB9"/>
  </w:style>
  <w:style w:type="numbering" w:customStyle="1" w:styleId="NoList21221">
    <w:name w:val="No List21221"/>
    <w:next w:val="NoList"/>
    <w:semiHidden/>
    <w:rsid w:val="008F7DB9"/>
  </w:style>
  <w:style w:type="table" w:customStyle="1" w:styleId="TableGrid2221">
    <w:name w:val="Table Grid2221"/>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21">
    <w:name w:val="No List31221"/>
    <w:next w:val="NoList"/>
    <w:uiPriority w:val="99"/>
    <w:semiHidden/>
    <w:unhideWhenUsed/>
    <w:rsid w:val="008F7DB9"/>
  </w:style>
  <w:style w:type="table" w:customStyle="1" w:styleId="LightShading-Accent1131">
    <w:name w:val="Light Shading - Accent 113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31">
    <w:name w:val="Medium Grid 2 - Accent 113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31">
    <w:name w:val="Medium List 2 - Accent 513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31">
    <w:name w:val="Light List - Accent 153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31">
    <w:name w:val="Medium Grid 3 - Accent 513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31">
    <w:name w:val="Light Shading - Accent 513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31">
    <w:name w:val="Medium Grid 2 - Accent 513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31">
    <w:name w:val="Light Grid - Accent 113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List441">
    <w:name w:val="Table List 44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31">
    <w:name w:val="Table List 413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Theme21">
    <w:name w:val="Table Theme21"/>
    <w:basedOn w:val="TableNormal"/>
    <w:next w:val="TableTheme"/>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21">
    <w:name w:val="Table Professional21"/>
    <w:basedOn w:val="TableNormal"/>
    <w:next w:val="TableProfessional"/>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21">
    <w:name w:val="Table Grid 621"/>
    <w:basedOn w:val="TableNormal"/>
    <w:next w:val="TableGrid6"/>
    <w:rsid w:val="008F7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21">
    <w:name w:val="Table List 422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21">
    <w:name w:val="Table List 4112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61">
    <w:name w:val="Style1161"/>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71">
    <w:name w:val="Style217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61">
    <w:name w:val="Style2116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21">
    <w:name w:val="No List1621"/>
    <w:next w:val="NoList"/>
    <w:uiPriority w:val="99"/>
    <w:semiHidden/>
    <w:unhideWhenUsed/>
    <w:rsid w:val="008F7DB9"/>
  </w:style>
  <w:style w:type="table" w:customStyle="1" w:styleId="TableGrid6210">
    <w:name w:val="Table Grid621"/>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1">
    <w:name w:val="No List1721"/>
    <w:next w:val="NoList"/>
    <w:uiPriority w:val="99"/>
    <w:semiHidden/>
    <w:unhideWhenUsed/>
    <w:rsid w:val="008F7DB9"/>
  </w:style>
  <w:style w:type="numbering" w:customStyle="1" w:styleId="NoList11621">
    <w:name w:val="No List11621"/>
    <w:next w:val="NoList"/>
    <w:semiHidden/>
    <w:rsid w:val="008F7DB9"/>
  </w:style>
  <w:style w:type="table" w:customStyle="1" w:styleId="TableGrid13210">
    <w:name w:val="Table Grid1321"/>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631">
    <w:name w:val="Light List - Accent 163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1">
    <w:name w:val="Light Shading - Accent 12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211">
    <w:name w:val="Medium Grid 2 - Accent 12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211">
    <w:name w:val="Medium List 2 - Accent 52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711">
    <w:name w:val="Light List - Accent 17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211">
    <w:name w:val="Medium Grid 3 - Accent 52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211">
    <w:name w:val="Light Shading - Accent 52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211">
    <w:name w:val="Medium Grid 2 - Accent 52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211">
    <w:name w:val="Light Grid - Accent 12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1812">
    <w:name w:val="No List1812"/>
    <w:next w:val="NoList"/>
    <w:uiPriority w:val="99"/>
    <w:semiHidden/>
    <w:unhideWhenUsed/>
    <w:rsid w:val="008F7DB9"/>
  </w:style>
  <w:style w:type="table" w:customStyle="1" w:styleId="TableGrid7130">
    <w:name w:val="Table Grid713"/>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411">
    <w:name w:val="Table List 741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411">
    <w:name w:val="Table Web 341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411">
    <w:name w:val="Table Elegant41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11">
    <w:name w:val="Table Web 241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411">
    <w:name w:val="Table Web 141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411">
    <w:name w:val="Table Grid 841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411">
    <w:name w:val="Table Contemporary41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911">
    <w:name w:val="No List1911"/>
    <w:next w:val="NoList"/>
    <w:semiHidden/>
    <w:unhideWhenUsed/>
    <w:rsid w:val="008F7DB9"/>
  </w:style>
  <w:style w:type="numbering" w:customStyle="1" w:styleId="NoList2511">
    <w:name w:val="No List2511"/>
    <w:next w:val="NoList"/>
    <w:semiHidden/>
    <w:unhideWhenUsed/>
    <w:rsid w:val="008F7DB9"/>
  </w:style>
  <w:style w:type="numbering" w:customStyle="1" w:styleId="NoList3511">
    <w:name w:val="No List3511"/>
    <w:next w:val="NoList"/>
    <w:semiHidden/>
    <w:unhideWhenUsed/>
    <w:rsid w:val="008F7DB9"/>
  </w:style>
  <w:style w:type="table" w:customStyle="1" w:styleId="LightList-Accent1811">
    <w:name w:val="Light List - Accent 181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411">
    <w:name w:val="Table Grid 741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511">
    <w:name w:val="Colorful Grid - Accent 151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511">
    <w:name w:val="Light List - Accent 551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411">
    <w:name w:val="Table Simple 341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411">
    <w:name w:val="Table Grid 541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411">
    <w:name w:val="Table Grid 341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4110">
    <w:name w:val="Table Grid 141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411">
    <w:name w:val="Table Columns 541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411">
    <w:name w:val="Light List - Accent 1141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512">
    <w:name w:val="Нет списка1512"/>
    <w:next w:val="NoList"/>
    <w:semiHidden/>
    <w:unhideWhenUsed/>
    <w:rsid w:val="008F7DB9"/>
  </w:style>
  <w:style w:type="table" w:customStyle="1" w:styleId="ColorfulGrid-Accent11411">
    <w:name w:val="Colorful Grid - Accent 1141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411">
    <w:name w:val="Light List - Accent 5141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412">
    <w:name w:val="No List4412"/>
    <w:next w:val="NoList"/>
    <w:semiHidden/>
    <w:rsid w:val="008F7DB9"/>
  </w:style>
  <w:style w:type="numbering" w:customStyle="1" w:styleId="NoList11711">
    <w:name w:val="No List11711"/>
    <w:next w:val="NoList"/>
    <w:semiHidden/>
    <w:unhideWhenUsed/>
    <w:rsid w:val="008F7DB9"/>
  </w:style>
  <w:style w:type="table" w:customStyle="1" w:styleId="Table3Deffects3411">
    <w:name w:val="Table 3D effects 341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412">
    <w:name w:val="Нет списка11412"/>
    <w:next w:val="NoList"/>
    <w:semiHidden/>
    <w:unhideWhenUsed/>
    <w:rsid w:val="008F7DB9"/>
  </w:style>
  <w:style w:type="table" w:customStyle="1" w:styleId="Style11111">
    <w:name w:val="Style11111"/>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211">
    <w:name w:val="Style212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111">
    <w:name w:val="Style2111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11211">
    <w:name w:val="Style11211"/>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311">
    <w:name w:val="Style213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211">
    <w:name w:val="Style2112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2011">
    <w:name w:val="No List2011"/>
    <w:next w:val="NoList"/>
    <w:uiPriority w:val="99"/>
    <w:semiHidden/>
    <w:unhideWhenUsed/>
    <w:rsid w:val="008F7DB9"/>
  </w:style>
  <w:style w:type="numbering" w:customStyle="1" w:styleId="NoList11011">
    <w:name w:val="No List11011"/>
    <w:next w:val="NoList"/>
    <w:uiPriority w:val="99"/>
    <w:semiHidden/>
    <w:unhideWhenUsed/>
    <w:rsid w:val="008F7DB9"/>
  </w:style>
  <w:style w:type="table" w:customStyle="1" w:styleId="TableGrid8130">
    <w:name w:val="Table Grid813"/>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11">
    <w:name w:val="No List11811"/>
    <w:next w:val="NoList"/>
    <w:semiHidden/>
    <w:unhideWhenUsed/>
    <w:rsid w:val="008F7DB9"/>
  </w:style>
  <w:style w:type="numbering" w:customStyle="1" w:styleId="NoList111411">
    <w:name w:val="No List111411"/>
    <w:next w:val="NoList"/>
    <w:semiHidden/>
    <w:rsid w:val="008F7DB9"/>
  </w:style>
  <w:style w:type="table" w:customStyle="1" w:styleId="TableGrid1413">
    <w:name w:val="Table Grid1413"/>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2">
    <w:name w:val="No List1111312"/>
    <w:next w:val="NoList"/>
    <w:semiHidden/>
    <w:rsid w:val="008F7DB9"/>
  </w:style>
  <w:style w:type="numbering" w:customStyle="1" w:styleId="NoList2611">
    <w:name w:val="No List2611"/>
    <w:next w:val="NoList"/>
    <w:semiHidden/>
    <w:rsid w:val="008F7DB9"/>
  </w:style>
  <w:style w:type="numbering" w:customStyle="1" w:styleId="NoList3611">
    <w:name w:val="No List3611"/>
    <w:next w:val="NoList"/>
    <w:semiHidden/>
    <w:unhideWhenUsed/>
    <w:rsid w:val="008F7DB9"/>
  </w:style>
  <w:style w:type="table" w:customStyle="1" w:styleId="TableList7511">
    <w:name w:val="Table List 751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511">
    <w:name w:val="Table Web 351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511">
    <w:name w:val="Table Elegant51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511">
    <w:name w:val="Table Web 251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511">
    <w:name w:val="Table Web 151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511">
    <w:name w:val="Table Grid 851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511">
    <w:name w:val="Table Contemporary51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911">
    <w:name w:val="Light List - Accent 191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511">
    <w:name w:val="Table Grid 751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611">
    <w:name w:val="Colorful Grid - Accent 161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611">
    <w:name w:val="Light List - Accent 561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511">
    <w:name w:val="Table Simple 351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511">
    <w:name w:val="Table Grid 551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511">
    <w:name w:val="Table Grid 351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511">
    <w:name w:val="Table Grid 151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511">
    <w:name w:val="Table Columns 551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511">
    <w:name w:val="Light List - Accent 1151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611">
    <w:name w:val="Нет списка1611"/>
    <w:next w:val="NoList"/>
    <w:semiHidden/>
    <w:unhideWhenUsed/>
    <w:rsid w:val="008F7DB9"/>
  </w:style>
  <w:style w:type="table" w:customStyle="1" w:styleId="ColorfulGrid-Accent11511">
    <w:name w:val="Colorful Grid - Accent 1151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511">
    <w:name w:val="Light List - Accent 5151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511">
    <w:name w:val="No List4511"/>
    <w:next w:val="NoList"/>
    <w:semiHidden/>
    <w:rsid w:val="008F7DB9"/>
  </w:style>
  <w:style w:type="table" w:customStyle="1" w:styleId="Table3Deffects3511">
    <w:name w:val="Table 3D effects 351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511">
    <w:name w:val="Нет списка11511"/>
    <w:next w:val="NoList"/>
    <w:semiHidden/>
    <w:unhideWhenUsed/>
    <w:rsid w:val="008F7DB9"/>
  </w:style>
  <w:style w:type="numbering" w:customStyle="1" w:styleId="NoList5312">
    <w:name w:val="No List5312"/>
    <w:next w:val="NoList"/>
    <w:uiPriority w:val="99"/>
    <w:semiHidden/>
    <w:unhideWhenUsed/>
    <w:rsid w:val="008F7DB9"/>
  </w:style>
  <w:style w:type="numbering" w:customStyle="1" w:styleId="NoList12312">
    <w:name w:val="No List12312"/>
    <w:next w:val="NoList"/>
    <w:semiHidden/>
    <w:rsid w:val="008F7DB9"/>
  </w:style>
  <w:style w:type="numbering" w:customStyle="1" w:styleId="NoList112311">
    <w:name w:val="No List112311"/>
    <w:next w:val="NoList"/>
    <w:semiHidden/>
    <w:rsid w:val="008F7DB9"/>
  </w:style>
  <w:style w:type="numbering" w:customStyle="1" w:styleId="NoList1111111112">
    <w:name w:val="No List1111111112"/>
    <w:next w:val="NoList"/>
    <w:semiHidden/>
    <w:rsid w:val="008F7DB9"/>
  </w:style>
  <w:style w:type="numbering" w:customStyle="1" w:styleId="NoList21312">
    <w:name w:val="No List21312"/>
    <w:next w:val="NoList"/>
    <w:semiHidden/>
    <w:rsid w:val="008F7DB9"/>
  </w:style>
  <w:style w:type="table" w:customStyle="1" w:styleId="TableGrid2311">
    <w:name w:val="Table Grid2311"/>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12">
    <w:name w:val="No List31312"/>
    <w:next w:val="NoList"/>
    <w:uiPriority w:val="99"/>
    <w:semiHidden/>
    <w:unhideWhenUsed/>
    <w:rsid w:val="008F7DB9"/>
  </w:style>
  <w:style w:type="numbering" w:customStyle="1" w:styleId="NoList6113">
    <w:name w:val="No List6113"/>
    <w:next w:val="NoList"/>
    <w:uiPriority w:val="99"/>
    <w:semiHidden/>
    <w:unhideWhenUsed/>
    <w:rsid w:val="008F7DB9"/>
  </w:style>
  <w:style w:type="numbering" w:customStyle="1" w:styleId="NoList7113">
    <w:name w:val="No List7113"/>
    <w:next w:val="NoList"/>
    <w:uiPriority w:val="99"/>
    <w:semiHidden/>
    <w:unhideWhenUsed/>
    <w:rsid w:val="008F7DB9"/>
  </w:style>
  <w:style w:type="table" w:customStyle="1" w:styleId="TableGrid31130">
    <w:name w:val="Table Grid3113"/>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3">
    <w:name w:val="No List13113"/>
    <w:next w:val="NoList"/>
    <w:semiHidden/>
    <w:unhideWhenUsed/>
    <w:rsid w:val="008F7DB9"/>
  </w:style>
  <w:style w:type="numbering" w:customStyle="1" w:styleId="NoList113112">
    <w:name w:val="No List113112"/>
    <w:next w:val="NoList"/>
    <w:semiHidden/>
    <w:rsid w:val="008F7DB9"/>
  </w:style>
  <w:style w:type="table" w:customStyle="1" w:styleId="TableGrid11113">
    <w:name w:val="Table Grid11113"/>
    <w:basedOn w:val="TableNormal"/>
    <w:next w:val="TableGrid"/>
    <w:uiPriority w:val="39"/>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2">
    <w:name w:val="No List1112112"/>
    <w:next w:val="NoList"/>
    <w:semiHidden/>
    <w:rsid w:val="008F7DB9"/>
  </w:style>
  <w:style w:type="numbering" w:customStyle="1" w:styleId="NoList22112">
    <w:name w:val="No List22112"/>
    <w:next w:val="NoList"/>
    <w:semiHidden/>
    <w:rsid w:val="008F7DB9"/>
  </w:style>
  <w:style w:type="numbering" w:customStyle="1" w:styleId="NoList32112">
    <w:name w:val="No List32112"/>
    <w:next w:val="NoList"/>
    <w:semiHidden/>
    <w:unhideWhenUsed/>
    <w:rsid w:val="008F7DB9"/>
  </w:style>
  <w:style w:type="table" w:customStyle="1" w:styleId="TableList71111">
    <w:name w:val="Table List 7111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11">
    <w:name w:val="Table Web 3111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11">
    <w:name w:val="Table Elegant111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13">
    <w:name w:val="Table Web 21113"/>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13">
    <w:name w:val="Table Web 11113"/>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13">
    <w:name w:val="Table Grid 81113"/>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13">
    <w:name w:val="Table Contemporary1113"/>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111">
    <w:name w:val="Light List - Accent 1211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111">
    <w:name w:val="Table Grid 7111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2113">
    <w:name w:val="Colorful Grid - Accent 12113"/>
    <w:basedOn w:val="TableNormal"/>
    <w:next w:val="ColorfulGrid-Accent1"/>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13">
    <w:name w:val="Light List - Accent 52113"/>
    <w:basedOn w:val="TableNormal"/>
    <w:next w:val="LightList-Accent5"/>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111">
    <w:name w:val="Table Simple 3111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11">
    <w:name w:val="Table Grid 5111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110">
    <w:name w:val="Table Grid 3111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110">
    <w:name w:val="Table Grid 1111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11">
    <w:name w:val="Table Columns 5111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11">
    <w:name w:val="Light List - Accent 11111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2113">
    <w:name w:val="Нет списка12113"/>
    <w:next w:val="NoList"/>
    <w:uiPriority w:val="99"/>
    <w:semiHidden/>
    <w:unhideWhenUsed/>
    <w:rsid w:val="008F7DB9"/>
  </w:style>
  <w:style w:type="table" w:customStyle="1" w:styleId="ColorfulGrid-Accent111111">
    <w:name w:val="Colorful Grid - Accent 11111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111">
    <w:name w:val="Light List - Accent 51111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1113">
    <w:name w:val="No List41113"/>
    <w:next w:val="NoList"/>
    <w:semiHidden/>
    <w:rsid w:val="008F7DB9"/>
  </w:style>
  <w:style w:type="table" w:customStyle="1" w:styleId="Table3Deffects31111">
    <w:name w:val="Table 3D effects 3111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4">
    <w:name w:val="Нет списка111114"/>
    <w:next w:val="NoList"/>
    <w:semiHidden/>
    <w:unhideWhenUsed/>
    <w:rsid w:val="008F7DB9"/>
  </w:style>
  <w:style w:type="numbering" w:customStyle="1" w:styleId="NoList51112">
    <w:name w:val="No List51112"/>
    <w:next w:val="NoList"/>
    <w:uiPriority w:val="99"/>
    <w:semiHidden/>
    <w:unhideWhenUsed/>
    <w:rsid w:val="008F7DB9"/>
  </w:style>
  <w:style w:type="numbering" w:customStyle="1" w:styleId="NoList121112">
    <w:name w:val="No List121112"/>
    <w:next w:val="NoList"/>
    <w:semiHidden/>
    <w:rsid w:val="008F7DB9"/>
  </w:style>
  <w:style w:type="numbering" w:customStyle="1" w:styleId="NoList1121112">
    <w:name w:val="No List1121112"/>
    <w:next w:val="NoList"/>
    <w:semiHidden/>
    <w:rsid w:val="008F7DB9"/>
  </w:style>
  <w:style w:type="numbering" w:customStyle="1" w:styleId="NoList11111111112">
    <w:name w:val="No List11111111112"/>
    <w:next w:val="NoList"/>
    <w:semiHidden/>
    <w:rsid w:val="008F7DB9"/>
  </w:style>
  <w:style w:type="numbering" w:customStyle="1" w:styleId="NoList211112">
    <w:name w:val="No List211112"/>
    <w:next w:val="NoList"/>
    <w:semiHidden/>
    <w:rsid w:val="008F7DB9"/>
  </w:style>
  <w:style w:type="table" w:customStyle="1" w:styleId="TableGrid21111">
    <w:name w:val="Table Grid21111"/>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12">
    <w:name w:val="No List311112"/>
    <w:next w:val="NoList"/>
    <w:uiPriority w:val="99"/>
    <w:semiHidden/>
    <w:unhideWhenUsed/>
    <w:rsid w:val="008F7DB9"/>
  </w:style>
  <w:style w:type="numbering" w:customStyle="1" w:styleId="NoList8113">
    <w:name w:val="No List8113"/>
    <w:next w:val="NoList"/>
    <w:uiPriority w:val="99"/>
    <w:semiHidden/>
    <w:unhideWhenUsed/>
    <w:rsid w:val="008F7DB9"/>
  </w:style>
  <w:style w:type="numbering" w:customStyle="1" w:styleId="NoList9112">
    <w:name w:val="No List9112"/>
    <w:next w:val="NoList"/>
    <w:uiPriority w:val="99"/>
    <w:semiHidden/>
    <w:unhideWhenUsed/>
    <w:rsid w:val="008F7DB9"/>
  </w:style>
  <w:style w:type="table" w:customStyle="1" w:styleId="TableGrid4114">
    <w:name w:val="Table Grid4114"/>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2111">
    <w:name w:val="Table List 7211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111">
    <w:name w:val="Table Web 3211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111">
    <w:name w:val="Table Elegant211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111">
    <w:name w:val="Table Web 2211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111">
    <w:name w:val="Table Web 1211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111">
    <w:name w:val="Table Grid 8211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111">
    <w:name w:val="Table Contemporary211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112">
    <w:name w:val="No List14112"/>
    <w:next w:val="NoList"/>
    <w:semiHidden/>
    <w:unhideWhenUsed/>
    <w:rsid w:val="008F7DB9"/>
  </w:style>
  <w:style w:type="numbering" w:customStyle="1" w:styleId="NoList23112">
    <w:name w:val="No List23112"/>
    <w:next w:val="NoList"/>
    <w:semiHidden/>
    <w:unhideWhenUsed/>
    <w:rsid w:val="008F7DB9"/>
  </w:style>
  <w:style w:type="numbering" w:customStyle="1" w:styleId="NoList33112">
    <w:name w:val="No List33112"/>
    <w:next w:val="NoList"/>
    <w:semiHidden/>
    <w:unhideWhenUsed/>
    <w:rsid w:val="008F7DB9"/>
  </w:style>
  <w:style w:type="table" w:customStyle="1" w:styleId="LightList-Accent13111">
    <w:name w:val="Light List - Accent 1311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111">
    <w:name w:val="Table Grid 7211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111">
    <w:name w:val="Colorful Grid - Accent 1311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111">
    <w:name w:val="Light List - Accent 5311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111">
    <w:name w:val="Table Simple 3211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111">
    <w:name w:val="Table Grid 5211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111">
    <w:name w:val="Table Grid 3211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111">
    <w:name w:val="Table Grid 1211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111">
    <w:name w:val="Table Columns 5211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111">
    <w:name w:val="Light List - Accent 11211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112">
    <w:name w:val="Нет списка13112"/>
    <w:next w:val="NoList"/>
    <w:semiHidden/>
    <w:unhideWhenUsed/>
    <w:rsid w:val="008F7DB9"/>
  </w:style>
  <w:style w:type="table" w:customStyle="1" w:styleId="ColorfulGrid-Accent112111">
    <w:name w:val="Colorful Grid - Accent 11211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111">
    <w:name w:val="Light List - Accent 51211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112">
    <w:name w:val="No List42112"/>
    <w:next w:val="NoList"/>
    <w:semiHidden/>
    <w:rsid w:val="008F7DB9"/>
  </w:style>
  <w:style w:type="numbering" w:customStyle="1" w:styleId="NoList114112">
    <w:name w:val="No List114112"/>
    <w:next w:val="NoList"/>
    <w:semiHidden/>
    <w:unhideWhenUsed/>
    <w:rsid w:val="008F7DB9"/>
  </w:style>
  <w:style w:type="table" w:customStyle="1" w:styleId="Table3Deffects32111">
    <w:name w:val="Table 3D effects 3211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112">
    <w:name w:val="Нет списка112112"/>
    <w:next w:val="NoList"/>
    <w:semiHidden/>
    <w:unhideWhenUsed/>
    <w:rsid w:val="008F7DB9"/>
  </w:style>
  <w:style w:type="numbering" w:customStyle="1" w:styleId="NoList10112">
    <w:name w:val="No List10112"/>
    <w:next w:val="NoList"/>
    <w:uiPriority w:val="99"/>
    <w:semiHidden/>
    <w:unhideWhenUsed/>
    <w:rsid w:val="008F7DB9"/>
  </w:style>
  <w:style w:type="table" w:customStyle="1" w:styleId="TableGrid51110">
    <w:name w:val="Table Grid5111"/>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2">
    <w:name w:val="No List15112"/>
    <w:next w:val="NoList"/>
    <w:semiHidden/>
    <w:unhideWhenUsed/>
    <w:rsid w:val="008F7DB9"/>
  </w:style>
  <w:style w:type="numbering" w:customStyle="1" w:styleId="NoList115111">
    <w:name w:val="No List115111"/>
    <w:next w:val="NoList"/>
    <w:semiHidden/>
    <w:rsid w:val="008F7DB9"/>
  </w:style>
  <w:style w:type="table" w:customStyle="1" w:styleId="TableGrid121110">
    <w:name w:val="Table Grid12111"/>
    <w:basedOn w:val="TableNormal"/>
    <w:next w:val="TableGrid"/>
    <w:rsid w:val="008F7DB9"/>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12">
    <w:name w:val="No List1113112"/>
    <w:next w:val="NoList"/>
    <w:semiHidden/>
    <w:rsid w:val="008F7DB9"/>
  </w:style>
  <w:style w:type="numbering" w:customStyle="1" w:styleId="NoList24112">
    <w:name w:val="No List24112"/>
    <w:next w:val="NoList"/>
    <w:semiHidden/>
    <w:rsid w:val="008F7DB9"/>
  </w:style>
  <w:style w:type="numbering" w:customStyle="1" w:styleId="NoList34112">
    <w:name w:val="No List34112"/>
    <w:next w:val="NoList"/>
    <w:semiHidden/>
    <w:unhideWhenUsed/>
    <w:rsid w:val="008F7DB9"/>
  </w:style>
  <w:style w:type="table" w:customStyle="1" w:styleId="TableList73111">
    <w:name w:val="Table List 7311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111">
    <w:name w:val="Table Web 3311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111">
    <w:name w:val="Table Elegant311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111">
    <w:name w:val="Table Web 2311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111">
    <w:name w:val="Table Web 1311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111">
    <w:name w:val="Table Grid 8311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111">
    <w:name w:val="Table Contemporary311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111">
    <w:name w:val="Light List - Accent 1411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111">
    <w:name w:val="Table Grid 7311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111">
    <w:name w:val="Colorful Grid - Accent 1411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111">
    <w:name w:val="Light List - Accent 5411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111">
    <w:name w:val="Table Simple 3311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111">
    <w:name w:val="Table Grid 5311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111">
    <w:name w:val="Table Grid 3311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111">
    <w:name w:val="Table Grid 1311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111">
    <w:name w:val="Table Columns 5311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111">
    <w:name w:val="Light List - Accent 11311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112">
    <w:name w:val="Нет списка14112"/>
    <w:next w:val="NoList"/>
    <w:semiHidden/>
    <w:unhideWhenUsed/>
    <w:rsid w:val="008F7DB9"/>
  </w:style>
  <w:style w:type="table" w:customStyle="1" w:styleId="ColorfulGrid-Accent113111">
    <w:name w:val="Colorful Grid - Accent 11311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111">
    <w:name w:val="Light List - Accent 51311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112">
    <w:name w:val="No List43112"/>
    <w:next w:val="NoList"/>
    <w:semiHidden/>
    <w:rsid w:val="008F7DB9"/>
  </w:style>
  <w:style w:type="table" w:customStyle="1" w:styleId="Table3Deffects33111">
    <w:name w:val="Table 3D effects 3311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112">
    <w:name w:val="Нет списка113112"/>
    <w:next w:val="NoList"/>
    <w:semiHidden/>
    <w:unhideWhenUsed/>
    <w:rsid w:val="008F7DB9"/>
  </w:style>
  <w:style w:type="numbering" w:customStyle="1" w:styleId="NoList52112">
    <w:name w:val="No List52112"/>
    <w:next w:val="NoList"/>
    <w:uiPriority w:val="99"/>
    <w:semiHidden/>
    <w:unhideWhenUsed/>
    <w:rsid w:val="008F7DB9"/>
  </w:style>
  <w:style w:type="numbering" w:customStyle="1" w:styleId="NoList122112">
    <w:name w:val="No List122112"/>
    <w:next w:val="NoList"/>
    <w:semiHidden/>
    <w:rsid w:val="008F7DB9"/>
  </w:style>
  <w:style w:type="numbering" w:customStyle="1" w:styleId="NoList1122112">
    <w:name w:val="No List1122112"/>
    <w:next w:val="NoList"/>
    <w:semiHidden/>
    <w:rsid w:val="008F7DB9"/>
  </w:style>
  <w:style w:type="numbering" w:customStyle="1" w:styleId="NoList11112112">
    <w:name w:val="No List11112112"/>
    <w:next w:val="NoList"/>
    <w:semiHidden/>
    <w:rsid w:val="008F7DB9"/>
  </w:style>
  <w:style w:type="numbering" w:customStyle="1" w:styleId="NoList212112">
    <w:name w:val="No List212112"/>
    <w:next w:val="NoList"/>
    <w:semiHidden/>
    <w:rsid w:val="008F7DB9"/>
  </w:style>
  <w:style w:type="table" w:customStyle="1" w:styleId="TableGrid22111">
    <w:name w:val="Table Grid22111"/>
    <w:basedOn w:val="TableNormal"/>
    <w:next w:val="TableGrid"/>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12">
    <w:name w:val="No List312112"/>
    <w:next w:val="NoList"/>
    <w:uiPriority w:val="99"/>
    <w:semiHidden/>
    <w:unhideWhenUsed/>
    <w:rsid w:val="008F7DB9"/>
  </w:style>
  <w:style w:type="table" w:customStyle="1" w:styleId="LightShading-Accent11111">
    <w:name w:val="Light Shading - Accent 111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111">
    <w:name w:val="Medium Grid 2 - Accent 111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111">
    <w:name w:val="Medium List 2 - Accent 511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111">
    <w:name w:val="Light List - Accent 151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111">
    <w:name w:val="Medium Grid 3 - Accent 511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111">
    <w:name w:val="Light Shading - Accent 511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111">
    <w:name w:val="Medium Grid 2 - Accent 511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111">
    <w:name w:val="Light Grid - Accent 111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List4311">
    <w:name w:val="Table List 431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211">
    <w:name w:val="Table List 4121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Theme111">
    <w:name w:val="Table Theme111"/>
    <w:basedOn w:val="TableNormal"/>
    <w:next w:val="TableTheme"/>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111">
    <w:name w:val="Table Professional111"/>
    <w:basedOn w:val="TableNormal"/>
    <w:next w:val="TableProfessional"/>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111">
    <w:name w:val="Table Grid 6111"/>
    <w:basedOn w:val="TableNormal"/>
    <w:next w:val="TableGrid6"/>
    <w:rsid w:val="008F7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2111">
    <w:name w:val="Table List 4211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1111">
    <w:name w:val="Table List 411111"/>
    <w:basedOn w:val="TableNormal"/>
    <w:next w:val="TableList4"/>
    <w:rsid w:val="008F7DB9"/>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Style11311">
    <w:name w:val="Style11311"/>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411">
    <w:name w:val="Style214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311">
    <w:name w:val="Style2113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16112">
    <w:name w:val="No List16112"/>
    <w:next w:val="NoList"/>
    <w:uiPriority w:val="99"/>
    <w:semiHidden/>
    <w:unhideWhenUsed/>
    <w:rsid w:val="008F7DB9"/>
  </w:style>
  <w:style w:type="table" w:customStyle="1" w:styleId="TableGrid61110">
    <w:name w:val="Table Grid6111"/>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12">
    <w:name w:val="No List17112"/>
    <w:next w:val="NoList"/>
    <w:uiPriority w:val="99"/>
    <w:semiHidden/>
    <w:unhideWhenUsed/>
    <w:rsid w:val="008F7DB9"/>
  </w:style>
  <w:style w:type="numbering" w:customStyle="1" w:styleId="NoList116111">
    <w:name w:val="No List116111"/>
    <w:next w:val="NoList"/>
    <w:semiHidden/>
    <w:rsid w:val="008F7DB9"/>
  </w:style>
  <w:style w:type="table" w:customStyle="1" w:styleId="TableGrid131110">
    <w:name w:val="Table Grid13111"/>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6111">
    <w:name w:val="Light List - Accent 161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311">
    <w:name w:val="Light Shading - Accent 1311"/>
    <w:basedOn w:val="TableNormal"/>
    <w:next w:val="LightShading-Accent1"/>
    <w:uiPriority w:val="60"/>
    <w:semiHidden/>
    <w:unhideWhenUsed/>
    <w:rsid w:val="008F7DB9"/>
    <w:rPr>
      <w:rFonts w:ascii="Calibri" w:eastAsia="Calibri" w:hAnsi="Calibri"/>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ediumGrid2-Accent1311">
    <w:name w:val="Medium Grid 2 - Accent 1311"/>
    <w:basedOn w:val="TableNormal"/>
    <w:next w:val="MediumGrid2-Accent1"/>
    <w:uiPriority w:val="68"/>
    <w:semiHidden/>
    <w:unhideWhenUsed/>
    <w:rsid w:val="008F7DB9"/>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List2-Accent5311">
    <w:name w:val="Medium List 2 - Accent 5311"/>
    <w:basedOn w:val="TableNormal"/>
    <w:next w:val="MediumList2-Accent5"/>
    <w:uiPriority w:val="66"/>
    <w:semiHidden/>
    <w:unhideWhenUsed/>
    <w:rsid w:val="008F7DB9"/>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Grid3-Accent5311">
    <w:name w:val="Medium Grid 3 - Accent 5311"/>
    <w:basedOn w:val="TableNormal"/>
    <w:next w:val="MediumGrid3-Accent5"/>
    <w:uiPriority w:val="69"/>
    <w:semiHidden/>
    <w:unhideWhenUsed/>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LightShading-Accent5311">
    <w:name w:val="Light Shading - Accent 5311"/>
    <w:basedOn w:val="TableNormal"/>
    <w:next w:val="LightShading-Accent5"/>
    <w:uiPriority w:val="60"/>
    <w:semiHidden/>
    <w:unhideWhenUsed/>
    <w:rsid w:val="008F7DB9"/>
    <w:rPr>
      <w:rFonts w:ascii="Calibri" w:eastAsia="Calibri" w:hAnsi="Calibri"/>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Grid2-Accent5311">
    <w:name w:val="Medium Grid 2 - Accent 5311"/>
    <w:basedOn w:val="TableNormal"/>
    <w:next w:val="MediumGrid2-Accent5"/>
    <w:uiPriority w:val="68"/>
    <w:semiHidden/>
    <w:unhideWhenUsed/>
    <w:rsid w:val="008F7DB9"/>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LightGrid-Accent1311">
    <w:name w:val="Light Grid - Accent 1311"/>
    <w:basedOn w:val="TableNormal"/>
    <w:next w:val="LightGrid-Accent1"/>
    <w:uiPriority w:val="62"/>
    <w:semiHidden/>
    <w:unhideWhenUsed/>
    <w:rsid w:val="008F7DB9"/>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Shading-Accent1411">
    <w:name w:val="Light Shading - Accent 14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411">
    <w:name w:val="Medium Grid 2 - Accent 14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411">
    <w:name w:val="Medium List 2 - Accent 54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011">
    <w:name w:val="Light List - Accent 110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411">
    <w:name w:val="Medium Grid 3 - Accent 54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411">
    <w:name w:val="Light Shading - Accent 54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411">
    <w:name w:val="Medium Grid 2 - Accent 54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411">
    <w:name w:val="Light Grid - Accent 14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511">
    <w:name w:val="Light Shading - Accent 15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511">
    <w:name w:val="Medium Grid 2 - Accent 15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511">
    <w:name w:val="Medium List 2 - Accent 55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611">
    <w:name w:val="Light List - Accent 116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511">
    <w:name w:val="Medium Grid 3 - Accent 55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511">
    <w:name w:val="Light Shading - Accent 55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511">
    <w:name w:val="Medium Grid 2 - Accent 55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511">
    <w:name w:val="Light Grid - Accent 15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711">
    <w:name w:val="No List2711"/>
    <w:next w:val="NoList"/>
    <w:uiPriority w:val="99"/>
    <w:semiHidden/>
    <w:unhideWhenUsed/>
    <w:rsid w:val="008F7DB9"/>
  </w:style>
  <w:style w:type="table" w:customStyle="1" w:styleId="TableGrid913">
    <w:name w:val="Table Grid913"/>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611">
    <w:name w:val="Table List 7611"/>
    <w:basedOn w:val="TableNormal"/>
    <w:next w:val="TableList7"/>
    <w:rsid w:val="008F7DB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611">
    <w:name w:val="Table Web 3611"/>
    <w:basedOn w:val="TableNormal"/>
    <w:next w:val="TableWeb3"/>
    <w:rsid w:val="008F7DB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611">
    <w:name w:val="Table Elegant611"/>
    <w:basedOn w:val="TableNormal"/>
    <w:next w:val="TableElegant"/>
    <w:rsid w:val="008F7DB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611">
    <w:name w:val="Table Web 2611"/>
    <w:basedOn w:val="TableNormal"/>
    <w:next w:val="TableWeb2"/>
    <w:rsid w:val="008F7DB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611">
    <w:name w:val="Table Web 1611"/>
    <w:basedOn w:val="TableNormal"/>
    <w:next w:val="TableWeb1"/>
    <w:rsid w:val="008F7DB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611">
    <w:name w:val="Table Grid 8611"/>
    <w:basedOn w:val="TableNormal"/>
    <w:next w:val="TableGrid8"/>
    <w:rsid w:val="008F7DB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611">
    <w:name w:val="Table Contemporary611"/>
    <w:basedOn w:val="TableNormal"/>
    <w:next w:val="TableContemporary"/>
    <w:rsid w:val="008F7DB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911">
    <w:name w:val="No List11911"/>
    <w:next w:val="NoList"/>
    <w:semiHidden/>
    <w:unhideWhenUsed/>
    <w:rsid w:val="008F7DB9"/>
  </w:style>
  <w:style w:type="numbering" w:customStyle="1" w:styleId="NoList2811">
    <w:name w:val="No List2811"/>
    <w:next w:val="NoList"/>
    <w:semiHidden/>
    <w:unhideWhenUsed/>
    <w:rsid w:val="008F7DB9"/>
  </w:style>
  <w:style w:type="numbering" w:customStyle="1" w:styleId="NoList3711">
    <w:name w:val="No List3711"/>
    <w:next w:val="NoList"/>
    <w:semiHidden/>
    <w:unhideWhenUsed/>
    <w:rsid w:val="008F7DB9"/>
  </w:style>
  <w:style w:type="table" w:customStyle="1" w:styleId="LightList-Accent11711">
    <w:name w:val="Light List - Accent 11711"/>
    <w:basedOn w:val="TableNormal"/>
    <w:next w:val="LightList-Accent1"/>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611">
    <w:name w:val="Table Grid 7611"/>
    <w:basedOn w:val="TableNormal"/>
    <w:next w:val="TableGrid7"/>
    <w:rsid w:val="008F7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711">
    <w:name w:val="Colorful Grid - Accent 1711"/>
    <w:basedOn w:val="TableNormal"/>
    <w:next w:val="ColorfulGrid-Accent1"/>
    <w:uiPriority w:val="73"/>
    <w:rsid w:val="008F7DB9"/>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711">
    <w:name w:val="Light List - Accent 5711"/>
    <w:basedOn w:val="TableNormal"/>
    <w:next w:val="LightList-Accent5"/>
    <w:uiPriority w:val="61"/>
    <w:rsid w:val="008F7DB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611">
    <w:name w:val="Table Simple 3611"/>
    <w:basedOn w:val="TableNormal"/>
    <w:next w:val="TableSimple3"/>
    <w:rsid w:val="008F7DB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611">
    <w:name w:val="Table Grid 5611"/>
    <w:basedOn w:val="TableNormal"/>
    <w:next w:val="TableGrid5"/>
    <w:rsid w:val="008F7DB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611">
    <w:name w:val="Table Grid 3611"/>
    <w:basedOn w:val="TableNormal"/>
    <w:next w:val="TableGrid3"/>
    <w:rsid w:val="008F7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611">
    <w:name w:val="Table Grid 1611"/>
    <w:basedOn w:val="TableNormal"/>
    <w:next w:val="TableGrid10"/>
    <w:rsid w:val="008F7DB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611">
    <w:name w:val="Table Columns 5611"/>
    <w:basedOn w:val="TableNormal"/>
    <w:next w:val="TableColumns5"/>
    <w:rsid w:val="008F7DB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811">
    <w:name w:val="Light List - Accent 11811"/>
    <w:basedOn w:val="TableNormal"/>
    <w:uiPriority w:val="61"/>
    <w:rsid w:val="008F7DB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711">
    <w:name w:val="Нет списка1711"/>
    <w:next w:val="NoList"/>
    <w:semiHidden/>
    <w:unhideWhenUsed/>
    <w:rsid w:val="008F7DB9"/>
  </w:style>
  <w:style w:type="table" w:customStyle="1" w:styleId="ColorfulGrid-Accent11611">
    <w:name w:val="Colorful Grid - Accent 11611"/>
    <w:basedOn w:val="TableNormal"/>
    <w:rsid w:val="008F7DB9"/>
    <w:rPr>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611">
    <w:name w:val="Light List - Accent 51611"/>
    <w:basedOn w:val="TableNormal"/>
    <w:rsid w:val="008F7DB9"/>
    <w:rPr>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611">
    <w:name w:val="No List4611"/>
    <w:next w:val="NoList"/>
    <w:semiHidden/>
    <w:rsid w:val="008F7DB9"/>
  </w:style>
  <w:style w:type="numbering" w:customStyle="1" w:styleId="NoList111011">
    <w:name w:val="No List111011"/>
    <w:next w:val="NoList"/>
    <w:semiHidden/>
    <w:unhideWhenUsed/>
    <w:rsid w:val="008F7DB9"/>
  </w:style>
  <w:style w:type="table" w:customStyle="1" w:styleId="Table3Deffects3611">
    <w:name w:val="Table 3D effects 3611"/>
    <w:basedOn w:val="TableNormal"/>
    <w:next w:val="Table3Deffects3"/>
    <w:rsid w:val="008F7DB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611">
    <w:name w:val="Нет списка11611"/>
    <w:next w:val="NoList"/>
    <w:semiHidden/>
    <w:unhideWhenUsed/>
    <w:rsid w:val="008F7DB9"/>
  </w:style>
  <w:style w:type="table" w:customStyle="1" w:styleId="LightShading-Accent1611">
    <w:name w:val="Light Shading - Accent 16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611">
    <w:name w:val="Medium Grid 2 - Accent 16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611">
    <w:name w:val="Medium List 2 - Accent 56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5211">
    <w:name w:val="Light List - Accent 152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611">
    <w:name w:val="Medium Grid 3 - Accent 56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611">
    <w:name w:val="Light Shading - Accent 56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611">
    <w:name w:val="Medium Grid 2 - Accent 56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611">
    <w:name w:val="Light Grid - Accent 16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tyle11411">
    <w:name w:val="Style11411"/>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511">
    <w:name w:val="Style215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Style211411">
    <w:name w:val="Style2114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Shading-Accent11211">
    <w:name w:val="Light Shading - Accent 112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1211">
    <w:name w:val="Medium Grid 2 - Accent 112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1211">
    <w:name w:val="Medium List 2 - Accent 512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6211">
    <w:name w:val="Light List - Accent 162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1211">
    <w:name w:val="Medium Grid 3 - Accent 512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211">
    <w:name w:val="Light Shading - Accent 512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211">
    <w:name w:val="Medium Grid 2 - Accent 512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1211">
    <w:name w:val="Light Grid - Accent 112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imes Unicode" w:eastAsia="Times New Roman" w:hAnsi="Time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imes Unicode" w:eastAsia="Times New Roman" w:hAnsi="Time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Unicode" w:eastAsia="Times New Roman" w:hAnsi="Times Unicode" w:cs="Times New Roman"/>
        <w:b/>
        <w:bCs/>
      </w:rPr>
    </w:tblStylePr>
    <w:tblStylePr w:type="lastCol">
      <w:rPr>
        <w:rFonts w:ascii="Times Unicode" w:eastAsia="Times New Roman" w:hAnsi="Time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911">
    <w:name w:val="No List2911"/>
    <w:next w:val="NoList"/>
    <w:uiPriority w:val="99"/>
    <w:semiHidden/>
    <w:unhideWhenUsed/>
    <w:rsid w:val="008F7DB9"/>
  </w:style>
  <w:style w:type="table" w:customStyle="1" w:styleId="TableGrid1013">
    <w:name w:val="Table Grid1013"/>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11">
    <w:name w:val="No List12011"/>
    <w:next w:val="NoList"/>
    <w:uiPriority w:val="99"/>
    <w:semiHidden/>
    <w:unhideWhenUsed/>
    <w:rsid w:val="008F7DB9"/>
  </w:style>
  <w:style w:type="numbering" w:customStyle="1" w:styleId="NoList111511">
    <w:name w:val="No List111511"/>
    <w:next w:val="NoList"/>
    <w:semiHidden/>
    <w:rsid w:val="008F7DB9"/>
  </w:style>
  <w:style w:type="table" w:customStyle="1" w:styleId="TableGrid15110">
    <w:name w:val="Table Grid1511"/>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11">
    <w:name w:val="No List3011"/>
    <w:next w:val="NoList"/>
    <w:uiPriority w:val="99"/>
    <w:semiHidden/>
    <w:unhideWhenUsed/>
    <w:rsid w:val="008F7DB9"/>
  </w:style>
  <w:style w:type="table" w:customStyle="1" w:styleId="LightShading-Accent1711">
    <w:name w:val="Light Shading - Accent 17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711">
    <w:name w:val="Medium Grid 2 - Accent 17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711">
    <w:name w:val="Medium List 2 - Accent 57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1911">
    <w:name w:val="Light List - Accent 119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711">
    <w:name w:val="Medium Grid 3 - Accent 57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711">
    <w:name w:val="Light Shading - Accent 57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711">
    <w:name w:val="Medium Grid 2 - Accent 57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711">
    <w:name w:val="Light Grid - Accent 17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3811">
    <w:name w:val="No List3811"/>
    <w:next w:val="NoList"/>
    <w:uiPriority w:val="99"/>
    <w:semiHidden/>
    <w:unhideWhenUsed/>
    <w:rsid w:val="008F7DB9"/>
  </w:style>
  <w:style w:type="table" w:customStyle="1" w:styleId="TableGrid16110">
    <w:name w:val="Table Grid1611"/>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1">
    <w:name w:val="No List12411"/>
    <w:next w:val="NoList"/>
    <w:uiPriority w:val="99"/>
    <w:semiHidden/>
    <w:unhideWhenUsed/>
    <w:rsid w:val="008F7DB9"/>
  </w:style>
  <w:style w:type="numbering" w:customStyle="1" w:styleId="NoList111611">
    <w:name w:val="No List111611"/>
    <w:next w:val="NoList"/>
    <w:semiHidden/>
    <w:rsid w:val="008F7DB9"/>
  </w:style>
  <w:style w:type="table" w:customStyle="1" w:styleId="TableGrid1711">
    <w:name w:val="Table Grid1711"/>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811">
    <w:name w:val="Light Shading - Accent 18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811">
    <w:name w:val="Medium Grid 2 - Accent 18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811">
    <w:name w:val="Medium List 2 - Accent 58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011">
    <w:name w:val="Light List - Accent 120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811">
    <w:name w:val="Medium Grid 3 - Accent 58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811">
    <w:name w:val="Light Shading - Accent 58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811">
    <w:name w:val="Medium Grid 2 - Accent 58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811">
    <w:name w:val="Light Grid - Accent 18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911">
    <w:name w:val="Light Shading - Accent 19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Grid2-Accent1911">
    <w:name w:val="Medium Grid 2 - Accent 19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2-Accent5911">
    <w:name w:val="Medium List 2 - Accent 59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212">
    <w:name w:val="Light List - Accent 12212"/>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Grid3-Accent5911">
    <w:name w:val="Medium Grid 3 - Accent 59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911">
    <w:name w:val="Light Shading - Accent 59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911">
    <w:name w:val="Medium Grid 2 - Accent 59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Grid-Accent1911">
    <w:name w:val="Light Grid - Accent 19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tyle11521">
    <w:name w:val="Style11521"/>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1511">
    <w:name w:val="Style2115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3911">
    <w:name w:val="No List3911"/>
    <w:next w:val="NoList"/>
    <w:uiPriority w:val="99"/>
    <w:semiHidden/>
    <w:unhideWhenUsed/>
    <w:rsid w:val="008F7DB9"/>
  </w:style>
  <w:style w:type="table" w:customStyle="1" w:styleId="TableGrid1811">
    <w:name w:val="Table Grid1811"/>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1">
    <w:name w:val="No List12511"/>
    <w:next w:val="NoList"/>
    <w:uiPriority w:val="99"/>
    <w:semiHidden/>
    <w:unhideWhenUsed/>
    <w:rsid w:val="008F7DB9"/>
  </w:style>
  <w:style w:type="numbering" w:customStyle="1" w:styleId="NoList111711">
    <w:name w:val="No List111711"/>
    <w:next w:val="NoList"/>
    <w:semiHidden/>
    <w:rsid w:val="008F7DB9"/>
  </w:style>
  <w:style w:type="table" w:customStyle="1" w:styleId="TableGrid1911">
    <w:name w:val="Table Grid1911"/>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15111">
    <w:name w:val="Style115111"/>
    <w:basedOn w:val="TableElegant"/>
    <w:uiPriority w:val="99"/>
    <w:rsid w:val="008F7DB9"/>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tyle21611">
    <w:name w:val="Style21611"/>
    <w:basedOn w:val="TableGrid5"/>
    <w:uiPriority w:val="99"/>
    <w:rsid w:val="008F7DB9"/>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NoList4011">
    <w:name w:val="No List4011"/>
    <w:next w:val="NoList"/>
    <w:uiPriority w:val="99"/>
    <w:semiHidden/>
    <w:unhideWhenUsed/>
    <w:rsid w:val="008F7DB9"/>
  </w:style>
  <w:style w:type="table" w:customStyle="1" w:styleId="TableGrid2011">
    <w:name w:val="Table Grid2011"/>
    <w:basedOn w:val="TableNormal"/>
    <w:next w:val="TableGrid"/>
    <w:uiPriority w:val="59"/>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011">
    <w:name w:val="Light Shading - Accent 11011"/>
    <w:basedOn w:val="TableNormal"/>
    <w:next w:val="LightShading-Accent1"/>
    <w:uiPriority w:val="60"/>
    <w:rsid w:val="008F7DB9"/>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5811">
    <w:name w:val="Light List - Accent 5811"/>
    <w:basedOn w:val="TableNormal"/>
    <w:next w:val="LightList-Accent5"/>
    <w:uiPriority w:val="61"/>
    <w:rsid w:val="008F7DB9"/>
    <w:rPr>
      <w:rFonts w:ascii="Calibri" w:eastAsia="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List2-Accent1111">
    <w:name w:val="Medium List 2 - Accent 1111"/>
    <w:basedOn w:val="TableNormal"/>
    <w:next w:val="MediumList2-Accent1"/>
    <w:uiPriority w:val="66"/>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Grid2-Accent11011">
    <w:name w:val="Medium Grid 2 - Accent 11011"/>
    <w:basedOn w:val="TableNormal"/>
    <w:next w:val="MediumGrid2-Accent1"/>
    <w:uiPriority w:val="68"/>
    <w:rsid w:val="008F7DB9"/>
    <w:rPr>
      <w:rFonts w:ascii="Cambria"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3-Accent6111">
    <w:name w:val="Medium Grid 3 - Accent 6111"/>
    <w:basedOn w:val="TableNormal"/>
    <w:next w:val="MediumGrid3-Accent6"/>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2-Accent51011">
    <w:name w:val="Medium List 2 - Accent 51011"/>
    <w:basedOn w:val="TableNormal"/>
    <w:next w:val="MediumList2-Accent5"/>
    <w:uiPriority w:val="66"/>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12311">
    <w:name w:val="Light List - Accent 12311"/>
    <w:basedOn w:val="TableNormal"/>
    <w:next w:val="LightList-Accent1"/>
    <w:uiPriority w:val="61"/>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1-Accent5111">
    <w:name w:val="Medium List 1 - Accent 5111"/>
    <w:basedOn w:val="TableNormal"/>
    <w:next w:val="MediumList1-Accent5"/>
    <w:uiPriority w:val="65"/>
    <w:rsid w:val="008F7DB9"/>
    <w:rPr>
      <w:rFonts w:ascii="Calibri" w:eastAsia="Calibri" w:hAnsi="Calibri"/>
      <w:color w:val="000000"/>
      <w:sz w:val="22"/>
      <w:szCs w:val="22"/>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Grid3-Accent51011">
    <w:name w:val="Medium Grid 3 - Accent 51011"/>
    <w:basedOn w:val="TableNormal"/>
    <w:next w:val="MediumGrid3-Accent5"/>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51011">
    <w:name w:val="Light Shading - Accent 51011"/>
    <w:basedOn w:val="TableNormal"/>
    <w:next w:val="LightShading-Accent5"/>
    <w:uiPriority w:val="60"/>
    <w:rsid w:val="008F7DB9"/>
    <w:rPr>
      <w:rFonts w:ascii="Calibri" w:eastAsia="Calibri" w:hAnsi="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Grid2-Accent51011">
    <w:name w:val="Medium Grid 2 - Accent 51011"/>
    <w:basedOn w:val="TableNormal"/>
    <w:next w:val="MediumGrid2-Accent5"/>
    <w:uiPriority w:val="68"/>
    <w:rsid w:val="008F7DB9"/>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LightList-Accent3111">
    <w:name w:val="Light List - Accent 3111"/>
    <w:basedOn w:val="TableNormal"/>
    <w:next w:val="LightList-Accent3"/>
    <w:uiPriority w:val="61"/>
    <w:rsid w:val="008F7DB9"/>
    <w:rPr>
      <w:rFonts w:ascii="Calibri" w:eastAsia="Calibri"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List2-Accent3111">
    <w:name w:val="Medium List 2 - Accent 3111"/>
    <w:basedOn w:val="TableNormal"/>
    <w:next w:val="MediumList2-Accent3"/>
    <w:uiPriority w:val="66"/>
    <w:rsid w:val="008F7DB9"/>
    <w:rPr>
      <w:rFonts w:ascii="Cambria"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11">
    <w:name w:val="Medium List 2 - Accent 4111"/>
    <w:basedOn w:val="TableNormal"/>
    <w:next w:val="MediumList2-Accent4"/>
    <w:uiPriority w:val="66"/>
    <w:rsid w:val="008F7DB9"/>
    <w:rPr>
      <w:rFonts w:ascii="Cambria" w:hAnsi="Cambria"/>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LightGrid-Accent11011">
    <w:name w:val="Light Grid - Accent 11011"/>
    <w:basedOn w:val="TableNormal"/>
    <w:next w:val="LightGrid-Accent1"/>
    <w:uiPriority w:val="62"/>
    <w:rsid w:val="008F7DB9"/>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4711">
    <w:name w:val="No List4711"/>
    <w:next w:val="NoList"/>
    <w:uiPriority w:val="99"/>
    <w:semiHidden/>
    <w:unhideWhenUsed/>
    <w:rsid w:val="008F7DB9"/>
  </w:style>
  <w:style w:type="table" w:customStyle="1" w:styleId="TableGrid2411">
    <w:name w:val="Table Grid2411"/>
    <w:basedOn w:val="TableNormal"/>
    <w:next w:val="TableGrid"/>
    <w:uiPriority w:val="3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11">
    <w:name w:val="No List12611"/>
    <w:next w:val="NoList"/>
    <w:uiPriority w:val="99"/>
    <w:semiHidden/>
    <w:unhideWhenUsed/>
    <w:rsid w:val="008F7DB9"/>
  </w:style>
  <w:style w:type="numbering" w:customStyle="1" w:styleId="NoList111811">
    <w:name w:val="No List111811"/>
    <w:next w:val="NoList"/>
    <w:semiHidden/>
    <w:rsid w:val="008F7DB9"/>
  </w:style>
  <w:style w:type="table" w:customStyle="1" w:styleId="TableGrid11011">
    <w:name w:val="Table Grid11011"/>
    <w:basedOn w:val="TableNormal"/>
    <w:next w:val="TableGrid"/>
    <w:uiPriority w:val="59"/>
    <w:rsid w:val="008F7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41">
    <w:name w:val="Light Shading - Accent 1141"/>
    <w:basedOn w:val="TableNormal"/>
    <w:next w:val="LightShading-Accent1"/>
    <w:uiPriority w:val="60"/>
    <w:semiHidden/>
    <w:unhideWhenUsed/>
    <w:rsid w:val="008F7DB9"/>
    <w:rPr>
      <w:rFonts w:ascii="Calibri" w:eastAsia="Calibri" w:hAnsi="Calibri"/>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ediumGrid2-Accent1141">
    <w:name w:val="Medium Grid 2 - Accent 1141"/>
    <w:basedOn w:val="TableNormal"/>
    <w:next w:val="MediumGrid2-Accent1"/>
    <w:uiPriority w:val="68"/>
    <w:semiHidden/>
    <w:unhideWhenUsed/>
    <w:rsid w:val="008F7DB9"/>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List2-Accent5141">
    <w:name w:val="Medium List 2 - Accent 5141"/>
    <w:basedOn w:val="TableNormal"/>
    <w:next w:val="MediumList2-Accent5"/>
    <w:uiPriority w:val="66"/>
    <w:semiHidden/>
    <w:unhideWhenUsed/>
    <w:rsid w:val="008F7DB9"/>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Grid3-Accent5141">
    <w:name w:val="Medium Grid 3 - Accent 5141"/>
    <w:basedOn w:val="TableNormal"/>
    <w:next w:val="MediumGrid3-Accent5"/>
    <w:uiPriority w:val="69"/>
    <w:semiHidden/>
    <w:unhideWhenUsed/>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LightShading-Accent5141">
    <w:name w:val="Light Shading - Accent 5141"/>
    <w:basedOn w:val="TableNormal"/>
    <w:next w:val="LightShading-Accent5"/>
    <w:uiPriority w:val="60"/>
    <w:semiHidden/>
    <w:unhideWhenUsed/>
    <w:rsid w:val="008F7DB9"/>
    <w:rPr>
      <w:rFonts w:ascii="Calibri" w:eastAsia="Calibri" w:hAnsi="Calibri"/>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Grid2-Accent5141">
    <w:name w:val="Medium Grid 2 - Accent 5141"/>
    <w:basedOn w:val="TableNormal"/>
    <w:next w:val="MediumGrid2-Accent5"/>
    <w:uiPriority w:val="68"/>
    <w:semiHidden/>
    <w:unhideWhenUsed/>
    <w:rsid w:val="008F7DB9"/>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LightGrid-Accent1141">
    <w:name w:val="Light Grid - Accent 1141"/>
    <w:basedOn w:val="TableNormal"/>
    <w:next w:val="LightGrid-Accent1"/>
    <w:uiPriority w:val="62"/>
    <w:semiHidden/>
    <w:unhideWhenUsed/>
    <w:rsid w:val="008F7DB9"/>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MediumList2-Accent121">
    <w:name w:val="Medium List 2 - Accent 121"/>
    <w:basedOn w:val="TableNormal"/>
    <w:next w:val="MediumList2-Accent1"/>
    <w:uiPriority w:val="66"/>
    <w:semiHidden/>
    <w:unhideWhenUsed/>
    <w:rsid w:val="008F7DB9"/>
    <w:rPr>
      <w:rFonts w:ascii="Calibri Light" w:hAnsi="Calibri Light"/>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Grid3-Accent621">
    <w:name w:val="Medium Grid 3 - Accent 621"/>
    <w:basedOn w:val="TableNormal"/>
    <w:next w:val="MediumGrid3-Accent6"/>
    <w:uiPriority w:val="69"/>
    <w:semiHidden/>
    <w:unhideWhenUsed/>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MediumList1-Accent521">
    <w:name w:val="Medium List 1 - Accent 521"/>
    <w:basedOn w:val="TableNormal"/>
    <w:next w:val="MediumList1-Accent5"/>
    <w:uiPriority w:val="65"/>
    <w:semiHidden/>
    <w:unhideWhenUsed/>
    <w:rsid w:val="008F7DB9"/>
    <w:rPr>
      <w:rFonts w:ascii="Calibri" w:eastAsia="Calibri" w:hAnsi="Calibri"/>
      <w:color w:val="000000"/>
      <w:sz w:val="22"/>
      <w:szCs w:val="22"/>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LightList-Accent321">
    <w:name w:val="Light List - Accent 321"/>
    <w:basedOn w:val="TableNormal"/>
    <w:next w:val="LightList-Accent3"/>
    <w:uiPriority w:val="61"/>
    <w:semiHidden/>
    <w:unhideWhenUsed/>
    <w:rsid w:val="008F7DB9"/>
    <w:rPr>
      <w:rFonts w:ascii="Calibri" w:eastAsia="Calibri" w:hAnsi="Calibri"/>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List2-Accent321">
    <w:name w:val="Medium List 2 - Accent 321"/>
    <w:basedOn w:val="TableNormal"/>
    <w:next w:val="MediumList2-Accent3"/>
    <w:uiPriority w:val="66"/>
    <w:semiHidden/>
    <w:unhideWhenUsed/>
    <w:rsid w:val="008F7DB9"/>
    <w:rPr>
      <w:rFonts w:ascii="Calibri Light" w:hAnsi="Calibri Light"/>
      <w:color w:val="000000"/>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21">
    <w:name w:val="Medium List 2 - Accent 421"/>
    <w:basedOn w:val="TableNormal"/>
    <w:next w:val="MediumList2-Accent4"/>
    <w:uiPriority w:val="66"/>
    <w:semiHidden/>
    <w:unhideWhenUsed/>
    <w:rsid w:val="008F7DB9"/>
    <w:rPr>
      <w:rFonts w:ascii="Calibri Light" w:hAnsi="Calibri Light"/>
      <w:color w:val="000000"/>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numbering" w:customStyle="1" w:styleId="NoList551">
    <w:name w:val="No List551"/>
    <w:next w:val="NoList"/>
    <w:uiPriority w:val="99"/>
    <w:semiHidden/>
    <w:unhideWhenUsed/>
    <w:rsid w:val="008F7DB9"/>
  </w:style>
  <w:style w:type="table" w:customStyle="1" w:styleId="TableGrid291">
    <w:name w:val="Table Grid291"/>
    <w:basedOn w:val="TableNormal"/>
    <w:next w:val="TableGrid"/>
    <w:uiPriority w:val="39"/>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1">
    <w:name w:val="Medium Grid 3 - Accent 111"/>
    <w:basedOn w:val="TableNormal"/>
    <w:next w:val="MediumGrid3-Accent1"/>
    <w:uiPriority w:val="69"/>
    <w:rsid w:val="008F7DB9"/>
    <w:rPr>
      <w:rFonts w:ascii="Calibri" w:eastAsia="Calibri"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numbering" w:customStyle="1" w:styleId="NoList1301">
    <w:name w:val="No List1301"/>
    <w:next w:val="NoList"/>
    <w:uiPriority w:val="99"/>
    <w:semiHidden/>
    <w:unhideWhenUsed/>
    <w:rsid w:val="008F7DB9"/>
  </w:style>
  <w:style w:type="table" w:customStyle="1" w:styleId="TableGrid1141">
    <w:name w:val="Table Grid1141"/>
    <w:basedOn w:val="TableNormal"/>
    <w:next w:val="TableGrid"/>
    <w:uiPriority w:val="39"/>
    <w:rsid w:val="008F7DB9"/>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32">
    <w:name w:val="Table List 7132"/>
    <w:basedOn w:val="TableNormal"/>
    <w:next w:val="TableList7"/>
    <w:rsid w:val="008F7DB9"/>
    <w:pPr>
      <w:spacing w:after="200"/>
    </w:pPr>
    <w:rPr>
      <w:rFonts w:ascii="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32">
    <w:name w:val="Table Web 3132"/>
    <w:basedOn w:val="TableNormal"/>
    <w:next w:val="TableWeb3"/>
    <w:rsid w:val="008F7DB9"/>
    <w:pPr>
      <w:spacing w:after="200"/>
    </w:pPr>
    <w:rPr>
      <w:rFonts w:ascii="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32">
    <w:name w:val="Table Elegant132"/>
    <w:basedOn w:val="TableNormal"/>
    <w:next w:val="TableElegant"/>
    <w:rsid w:val="008F7DB9"/>
    <w:pPr>
      <w:spacing w:after="200"/>
    </w:pPr>
    <w:rPr>
      <w:rFonts w:ascii="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32">
    <w:name w:val="Table Web 2132"/>
    <w:basedOn w:val="TableNormal"/>
    <w:next w:val="TableWeb2"/>
    <w:rsid w:val="008F7DB9"/>
    <w:pPr>
      <w:spacing w:after="200"/>
    </w:pPr>
    <w:rPr>
      <w:rFonts w:ascii="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32">
    <w:name w:val="Table Web 1132"/>
    <w:basedOn w:val="TableNormal"/>
    <w:next w:val="TableWeb1"/>
    <w:rsid w:val="008F7DB9"/>
    <w:pPr>
      <w:spacing w:after="200"/>
    </w:pPr>
    <w:rPr>
      <w:rFonts w:ascii="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32">
    <w:name w:val="Table Grid 8132"/>
    <w:basedOn w:val="TableNormal"/>
    <w:next w:val="TableGrid8"/>
    <w:rsid w:val="008F7DB9"/>
    <w:pPr>
      <w:spacing w:after="200"/>
    </w:pPr>
    <w:rPr>
      <w:rFonts w:ascii="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32">
    <w:name w:val="Table Contemporary132"/>
    <w:basedOn w:val="TableNormal"/>
    <w:next w:val="TableContemporary"/>
    <w:rsid w:val="008F7DB9"/>
    <w:pPr>
      <w:spacing w:after="200"/>
    </w:pPr>
    <w:rPr>
      <w:rFonts w:ascii="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201">
    <w:name w:val="No List11201"/>
    <w:next w:val="NoList"/>
    <w:semiHidden/>
    <w:unhideWhenUsed/>
    <w:rsid w:val="008F7DB9"/>
  </w:style>
  <w:style w:type="numbering" w:customStyle="1" w:styleId="NoList2161">
    <w:name w:val="No List2161"/>
    <w:next w:val="NoList"/>
    <w:semiHidden/>
    <w:unhideWhenUsed/>
    <w:rsid w:val="008F7DB9"/>
  </w:style>
  <w:style w:type="numbering" w:customStyle="1" w:styleId="NoList3151">
    <w:name w:val="No List3151"/>
    <w:next w:val="NoList"/>
    <w:semiHidden/>
    <w:unhideWhenUsed/>
    <w:rsid w:val="008F7DB9"/>
  </w:style>
  <w:style w:type="table" w:customStyle="1" w:styleId="LightList-Accent11131">
    <w:name w:val="Light List - Accent 11131"/>
    <w:basedOn w:val="TableNormal"/>
    <w:next w:val="LightList-Accent1"/>
    <w:uiPriority w:val="61"/>
    <w:rsid w:val="008F7DB9"/>
    <w:pPr>
      <w:spacing w:after="200"/>
    </w:pPr>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32">
    <w:name w:val="Table Grid 7132"/>
    <w:basedOn w:val="TableNormal"/>
    <w:next w:val="TableGrid7"/>
    <w:rsid w:val="008F7DB9"/>
    <w:pPr>
      <w:spacing w:after="200"/>
    </w:pPr>
    <w:rPr>
      <w:rFonts w:ascii="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181">
    <w:name w:val="Colorful Grid - Accent 1181"/>
    <w:basedOn w:val="TableNormal"/>
    <w:next w:val="ColorfulGrid-Accent1"/>
    <w:rsid w:val="008F7DB9"/>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81">
    <w:name w:val="Light List - Accent 5181"/>
    <w:basedOn w:val="TableNormal"/>
    <w:next w:val="LightList-Accent5"/>
    <w:rsid w:val="008F7DB9"/>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32">
    <w:name w:val="Table Simple 3132"/>
    <w:basedOn w:val="TableNormal"/>
    <w:next w:val="TableSimple3"/>
    <w:rsid w:val="008F7DB9"/>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32">
    <w:name w:val="Table Grid 5132"/>
    <w:basedOn w:val="TableNormal"/>
    <w:next w:val="TableGrid5"/>
    <w:rsid w:val="008F7DB9"/>
    <w:pPr>
      <w:spacing w:after="200"/>
    </w:pPr>
    <w:rPr>
      <w:rFonts w:ascii="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32">
    <w:name w:val="Table Grid 3132"/>
    <w:basedOn w:val="TableNormal"/>
    <w:next w:val="TableGrid3"/>
    <w:rsid w:val="008F7DB9"/>
    <w:pPr>
      <w:spacing w:after="200"/>
    </w:pPr>
    <w:rPr>
      <w:rFonts w:ascii="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32">
    <w:name w:val="Table Grid 1132"/>
    <w:basedOn w:val="TableNormal"/>
    <w:next w:val="TableGrid10"/>
    <w:rsid w:val="008F7DB9"/>
    <w:pPr>
      <w:spacing w:after="200"/>
    </w:pPr>
    <w:rPr>
      <w:rFonts w:ascii="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32">
    <w:name w:val="Table Columns 5132"/>
    <w:basedOn w:val="TableNormal"/>
    <w:next w:val="TableColumns5"/>
    <w:rsid w:val="008F7DB9"/>
    <w:pPr>
      <w:spacing w:after="200"/>
    </w:pPr>
    <w:rPr>
      <w:rFonts w:ascii="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numbering" w:customStyle="1" w:styleId="191">
    <w:name w:val="Нет списка191"/>
    <w:next w:val="NoList"/>
    <w:semiHidden/>
    <w:unhideWhenUsed/>
    <w:rsid w:val="008F7DB9"/>
  </w:style>
  <w:style w:type="numbering" w:customStyle="1" w:styleId="NoList4132">
    <w:name w:val="No List4132"/>
    <w:next w:val="NoList"/>
    <w:semiHidden/>
    <w:rsid w:val="008F7DB9"/>
  </w:style>
  <w:style w:type="numbering" w:customStyle="1" w:styleId="NoList111151">
    <w:name w:val="No List111151"/>
    <w:next w:val="NoList"/>
    <w:semiHidden/>
    <w:unhideWhenUsed/>
    <w:rsid w:val="008F7DB9"/>
  </w:style>
  <w:style w:type="table" w:customStyle="1" w:styleId="Table3Deffects3132">
    <w:name w:val="Table 3D effects 3132"/>
    <w:basedOn w:val="TableNormal"/>
    <w:next w:val="Table3Deffects3"/>
    <w:rsid w:val="008F7DB9"/>
    <w:pPr>
      <w:spacing w:after="200"/>
    </w:pPr>
    <w:rPr>
      <w:rFonts w:ascii="Calibri" w:hAnsi="Calibr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81">
    <w:name w:val="Нет списка1181"/>
    <w:next w:val="NoList"/>
    <w:semiHidden/>
    <w:unhideWhenUsed/>
    <w:rsid w:val="008F7DB9"/>
  </w:style>
  <w:style w:type="table" w:customStyle="1" w:styleId="TableGrid1151">
    <w:name w:val="Table Grid1151"/>
    <w:basedOn w:val="TableNormal"/>
    <w:next w:val="TableGrid"/>
    <w:rsid w:val="008F7DB9"/>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61">
    <w:name w:val="No List561"/>
    <w:next w:val="NoList"/>
    <w:uiPriority w:val="99"/>
    <w:semiHidden/>
    <w:rsid w:val="008F7DB9"/>
  </w:style>
  <w:style w:type="numbering" w:customStyle="1" w:styleId="NoList632">
    <w:name w:val="No List632"/>
    <w:next w:val="NoList"/>
    <w:uiPriority w:val="99"/>
    <w:semiHidden/>
    <w:unhideWhenUsed/>
    <w:rsid w:val="008F7DB9"/>
  </w:style>
  <w:style w:type="table" w:customStyle="1" w:styleId="TableGrid2101">
    <w:name w:val="Table Grid2101"/>
    <w:basedOn w:val="TableNormal"/>
    <w:next w:val="TableGrid"/>
    <w:rsid w:val="008F7DB9"/>
    <w:pPr>
      <w:spacing w:after="200"/>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2">
    <w:name w:val="No List732"/>
    <w:next w:val="NoList"/>
    <w:uiPriority w:val="99"/>
    <w:semiHidden/>
    <w:unhideWhenUsed/>
    <w:rsid w:val="008F7DB9"/>
  </w:style>
  <w:style w:type="numbering" w:customStyle="1" w:styleId="NoList12101">
    <w:name w:val="No List12101"/>
    <w:next w:val="NoList"/>
    <w:uiPriority w:val="99"/>
    <w:semiHidden/>
    <w:unhideWhenUsed/>
    <w:rsid w:val="008F7DB9"/>
  </w:style>
  <w:style w:type="table" w:customStyle="1" w:styleId="TableGrid3320">
    <w:name w:val="Table Grid332"/>
    <w:basedOn w:val="TableNormal"/>
    <w:next w:val="TableGrid"/>
    <w:rsid w:val="008F7DB9"/>
    <w:pPr>
      <w:spacing w:after="20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32">
    <w:name w:val="Colorful Grid - Accent 1232"/>
    <w:basedOn w:val="TableNormal"/>
    <w:next w:val="ColorfulGrid-Accent1"/>
    <w:uiPriority w:val="73"/>
    <w:rsid w:val="008F7DB9"/>
    <w:pPr>
      <w:spacing w:after="200"/>
    </w:pPr>
    <w:rPr>
      <w:rFonts w:ascii="Calibri" w:hAnsi="Calibr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32">
    <w:name w:val="Light List - Accent 5232"/>
    <w:basedOn w:val="TableNormal"/>
    <w:next w:val="LightList-Accent5"/>
    <w:uiPriority w:val="61"/>
    <w:rsid w:val="008F7DB9"/>
    <w:pPr>
      <w:spacing w:after="200"/>
    </w:pPr>
    <w:rPr>
      <w:rFonts w:ascii="Calibri" w:hAnsi="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32">
    <w:name w:val="No List832"/>
    <w:next w:val="NoList"/>
    <w:uiPriority w:val="99"/>
    <w:semiHidden/>
    <w:unhideWhenUsed/>
    <w:rsid w:val="008F7DB9"/>
  </w:style>
  <w:style w:type="numbering" w:customStyle="1" w:styleId="1232">
    <w:name w:val="Нет списка1232"/>
    <w:next w:val="NoList"/>
    <w:semiHidden/>
    <w:unhideWhenUsed/>
    <w:rsid w:val="008F7DB9"/>
  </w:style>
  <w:style w:type="numbering" w:customStyle="1" w:styleId="NoList1332">
    <w:name w:val="No List1332"/>
    <w:next w:val="NoList"/>
    <w:semiHidden/>
    <w:unhideWhenUsed/>
    <w:rsid w:val="008F7DB9"/>
  </w:style>
  <w:style w:type="numbering" w:customStyle="1" w:styleId="NoList2171">
    <w:name w:val="No List2171"/>
    <w:next w:val="NoList"/>
    <w:semiHidden/>
    <w:unhideWhenUsed/>
    <w:rsid w:val="008F7DB9"/>
  </w:style>
  <w:style w:type="numbering" w:customStyle="1" w:styleId="NoList3161">
    <w:name w:val="No List3161"/>
    <w:next w:val="NoList"/>
    <w:semiHidden/>
    <w:unhideWhenUsed/>
    <w:rsid w:val="008F7DB9"/>
  </w:style>
  <w:style w:type="numbering" w:customStyle="1" w:styleId="11133">
    <w:name w:val="Нет списка11133"/>
    <w:next w:val="NoList"/>
    <w:semiHidden/>
    <w:unhideWhenUsed/>
    <w:rsid w:val="008F7DB9"/>
  </w:style>
  <w:style w:type="numbering" w:customStyle="1" w:styleId="NoList4141">
    <w:name w:val="No List4141"/>
    <w:next w:val="NoList"/>
    <w:semiHidden/>
    <w:rsid w:val="008F7DB9"/>
  </w:style>
  <w:style w:type="numbering" w:customStyle="1" w:styleId="NoList111161">
    <w:name w:val="No List111161"/>
    <w:next w:val="NoList"/>
    <w:semiHidden/>
    <w:unhideWhenUsed/>
    <w:rsid w:val="008F7DB9"/>
  </w:style>
  <w:style w:type="numbering" w:customStyle="1" w:styleId="111123">
    <w:name w:val="Нет списка111123"/>
    <w:next w:val="NoList"/>
    <w:semiHidden/>
    <w:unhideWhenUsed/>
    <w:rsid w:val="008F7DB9"/>
  </w:style>
  <w:style w:type="numbering" w:customStyle="1" w:styleId="NoList931">
    <w:name w:val="No List931"/>
    <w:next w:val="NoList"/>
    <w:uiPriority w:val="99"/>
    <w:semiHidden/>
    <w:unhideWhenUsed/>
    <w:rsid w:val="008F7DB9"/>
  </w:style>
  <w:style w:type="table" w:customStyle="1" w:styleId="TableGrid432">
    <w:name w:val="Table Grid432"/>
    <w:basedOn w:val="TableNormal"/>
    <w:next w:val="TableGrid"/>
    <w:rsid w:val="008F7DB9"/>
    <w:pPr>
      <w:spacing w:after="200"/>
    </w:pPr>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5">
    <w:name w:val="Grid Table 1 Light - Accent 515"/>
    <w:basedOn w:val="TableNormal"/>
    <w:uiPriority w:val="46"/>
    <w:rsid w:val="008F7DB9"/>
    <w:pPr>
      <w:spacing w:after="200"/>
    </w:pPr>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4">
    <w:name w:val="Plain Table 314"/>
    <w:basedOn w:val="TableNormal"/>
    <w:uiPriority w:val="43"/>
    <w:rsid w:val="008F7DB9"/>
    <w:pPr>
      <w:spacing w:after="200"/>
    </w:pPr>
    <w:rPr>
      <w:rFonts w:ascii="Calibri" w:eastAsia="Calibri" w:hAnsi="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12">
    <w:name w:val="Grid Table 4 - Accent 1112"/>
    <w:basedOn w:val="TableNormal"/>
    <w:uiPriority w:val="49"/>
    <w:rsid w:val="008F7DB9"/>
    <w:pPr>
      <w:spacing w:after="200"/>
    </w:pPr>
    <w:rPr>
      <w:rFonts w:ascii="Calibri" w:eastAsia="Calibri" w:hAnsi="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031">
    <w:name w:val="No List1031"/>
    <w:next w:val="NoList"/>
    <w:uiPriority w:val="99"/>
    <w:semiHidden/>
    <w:unhideWhenUsed/>
    <w:rsid w:val="008F7DB9"/>
  </w:style>
  <w:style w:type="table" w:customStyle="1" w:styleId="TableGrid5310">
    <w:name w:val="Table Grid531"/>
    <w:basedOn w:val="TableNormal"/>
    <w:next w:val="TableGrid"/>
    <w:uiPriority w:val="39"/>
    <w:rsid w:val="008F7DB9"/>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121">
    <w:name w:val="Table List 71121"/>
    <w:basedOn w:val="TableNormal"/>
    <w:next w:val="TableList7"/>
    <w:rsid w:val="008F7DB9"/>
    <w:pPr>
      <w:spacing w:after="200"/>
    </w:pPr>
    <w:rPr>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21">
    <w:name w:val="Table Web 31121"/>
    <w:basedOn w:val="TableNormal"/>
    <w:next w:val="TableWeb3"/>
    <w:rsid w:val="008F7DB9"/>
    <w:pPr>
      <w:spacing w:after="200"/>
    </w:pPr>
    <w:rPr>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21">
    <w:name w:val="Table Elegant1121"/>
    <w:basedOn w:val="TableNormal"/>
    <w:next w:val="TableElegant"/>
    <w:rsid w:val="008F7DB9"/>
    <w:pPr>
      <w:spacing w:after="200"/>
    </w:pPr>
    <w:rPr>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31">
    <w:name w:val="Table Web 2231"/>
    <w:basedOn w:val="TableNormal"/>
    <w:next w:val="TableWeb2"/>
    <w:rsid w:val="008F7DB9"/>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31">
    <w:name w:val="Table Web 1231"/>
    <w:basedOn w:val="TableNormal"/>
    <w:next w:val="TableWeb1"/>
    <w:rsid w:val="008F7DB9"/>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31">
    <w:name w:val="Table Grid 8231"/>
    <w:basedOn w:val="TableNormal"/>
    <w:next w:val="TableGrid8"/>
    <w:rsid w:val="008F7DB9"/>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31">
    <w:name w:val="Table Contemporary231"/>
    <w:basedOn w:val="TableNormal"/>
    <w:next w:val="TableContemporary"/>
    <w:rsid w:val="008F7DB9"/>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31">
    <w:name w:val="No List1431"/>
    <w:next w:val="NoList"/>
    <w:semiHidden/>
    <w:unhideWhenUsed/>
    <w:rsid w:val="008F7DB9"/>
  </w:style>
  <w:style w:type="numbering" w:customStyle="1" w:styleId="NoList2231">
    <w:name w:val="No List2231"/>
    <w:next w:val="NoList"/>
    <w:semiHidden/>
    <w:unhideWhenUsed/>
    <w:rsid w:val="008F7DB9"/>
  </w:style>
  <w:style w:type="numbering" w:customStyle="1" w:styleId="NoList3231">
    <w:name w:val="No List3231"/>
    <w:next w:val="NoList"/>
    <w:semiHidden/>
    <w:unhideWhenUsed/>
    <w:rsid w:val="008F7DB9"/>
  </w:style>
  <w:style w:type="table" w:customStyle="1" w:styleId="LightList-Accent1261">
    <w:name w:val="Light List - Accent 1261"/>
    <w:basedOn w:val="TableNormal"/>
    <w:uiPriority w:val="61"/>
    <w:rsid w:val="008F7DB9"/>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121">
    <w:name w:val="Table Grid 71121"/>
    <w:basedOn w:val="TableNormal"/>
    <w:next w:val="TableGrid7"/>
    <w:rsid w:val="008F7DB9"/>
    <w:pPr>
      <w:spacing w:after="200"/>
    </w:pPr>
    <w:rPr>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31">
    <w:name w:val="Colorful Grid - Accent 1331"/>
    <w:basedOn w:val="TableNormal"/>
    <w:next w:val="ColorfulGrid-Accent1"/>
    <w:uiPriority w:val="73"/>
    <w:rsid w:val="008F7DB9"/>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31">
    <w:name w:val="Light List - Accent 5331"/>
    <w:basedOn w:val="TableNormal"/>
    <w:next w:val="LightList-Accent5"/>
    <w:uiPriority w:val="61"/>
    <w:rsid w:val="008F7DB9"/>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121">
    <w:name w:val="Table Simple 31121"/>
    <w:basedOn w:val="TableNormal"/>
    <w:next w:val="TableSimple3"/>
    <w:rsid w:val="008F7DB9"/>
    <w:pPr>
      <w:spacing w:after="200"/>
    </w:pPr>
    <w:rPr>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21">
    <w:name w:val="Table Grid 51121"/>
    <w:basedOn w:val="TableNormal"/>
    <w:next w:val="TableGrid5"/>
    <w:rsid w:val="008F7DB9"/>
    <w:pPr>
      <w:spacing w:after="200"/>
    </w:pPr>
    <w:rPr>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21">
    <w:name w:val="Table Grid 31121"/>
    <w:basedOn w:val="TableNormal"/>
    <w:next w:val="TableGrid3"/>
    <w:rsid w:val="008F7DB9"/>
    <w:pPr>
      <w:spacing w:after="200"/>
    </w:pPr>
    <w:rPr>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210">
    <w:name w:val="Table Grid 11121"/>
    <w:basedOn w:val="TableNormal"/>
    <w:next w:val="TableGrid10"/>
    <w:rsid w:val="008F7DB9"/>
    <w:pPr>
      <w:spacing w:after="200"/>
    </w:pPr>
    <w:rPr>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21">
    <w:name w:val="Table Columns 51121"/>
    <w:basedOn w:val="TableNormal"/>
    <w:next w:val="TableColumns5"/>
    <w:rsid w:val="008F7DB9"/>
    <w:pPr>
      <w:spacing w:after="200"/>
    </w:pPr>
    <w:rPr>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41">
    <w:name w:val="Light List - Accent 11141"/>
    <w:basedOn w:val="TableNormal"/>
    <w:uiPriority w:val="61"/>
    <w:rsid w:val="008F7DB9"/>
    <w:pPr>
      <w:spacing w:after="200"/>
    </w:pPr>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31">
    <w:name w:val="Нет списка1331"/>
    <w:next w:val="NoList"/>
    <w:semiHidden/>
    <w:unhideWhenUsed/>
    <w:rsid w:val="008F7DB9"/>
  </w:style>
  <w:style w:type="table" w:customStyle="1" w:styleId="ColorfulGrid-Accent11131">
    <w:name w:val="Colorful Grid - Accent 11131"/>
    <w:basedOn w:val="TableNormal"/>
    <w:rsid w:val="008F7DB9"/>
    <w:pPr>
      <w:spacing w:after="200"/>
    </w:pPr>
    <w:rPr>
      <w:color w:val="000000"/>
      <w:sz w:val="22"/>
      <w:szCs w:val="22"/>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31">
    <w:name w:val="Light List - Accent 51131"/>
    <w:basedOn w:val="TableNormal"/>
    <w:rsid w:val="008F7DB9"/>
    <w:pPr>
      <w:spacing w:after="200"/>
    </w:pPr>
    <w:rPr>
      <w:sz w:val="22"/>
      <w:szCs w:val="22"/>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31">
    <w:name w:val="No List4231"/>
    <w:next w:val="NoList"/>
    <w:semiHidden/>
    <w:rsid w:val="008F7DB9"/>
  </w:style>
  <w:style w:type="numbering" w:customStyle="1" w:styleId="NoList11251">
    <w:name w:val="No List11251"/>
    <w:next w:val="NoList"/>
    <w:semiHidden/>
    <w:unhideWhenUsed/>
    <w:rsid w:val="008F7DB9"/>
  </w:style>
  <w:style w:type="table" w:customStyle="1" w:styleId="Table3Deffects31121">
    <w:name w:val="Table 3D effects 31121"/>
    <w:basedOn w:val="TableNormal"/>
    <w:next w:val="Table3Deffects3"/>
    <w:rsid w:val="008F7DB9"/>
    <w:pPr>
      <w:spacing w:after="200"/>
    </w:pPr>
    <w:rPr>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31">
    <w:name w:val="Нет списка11231"/>
    <w:next w:val="NoList"/>
    <w:semiHidden/>
    <w:unhideWhenUsed/>
    <w:rsid w:val="008F7DB9"/>
  </w:style>
  <w:style w:type="table" w:customStyle="1" w:styleId="TableGrid11123">
    <w:name w:val="Table Grid11123"/>
    <w:basedOn w:val="TableNormal"/>
    <w:next w:val="TableGrid"/>
    <w:uiPriority w:val="39"/>
    <w:rsid w:val="008F7DB9"/>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31">
    <w:name w:val="No List5131"/>
    <w:next w:val="NoList"/>
    <w:uiPriority w:val="99"/>
    <w:semiHidden/>
    <w:rsid w:val="008F7DB9"/>
  </w:style>
  <w:style w:type="numbering" w:customStyle="1" w:styleId="NoList6122">
    <w:name w:val="No List6122"/>
    <w:next w:val="NoList"/>
    <w:uiPriority w:val="99"/>
    <w:semiHidden/>
    <w:unhideWhenUsed/>
    <w:rsid w:val="008F7DB9"/>
  </w:style>
  <w:style w:type="table" w:customStyle="1" w:styleId="TableGrid2131">
    <w:name w:val="Table Grid2131"/>
    <w:basedOn w:val="TableNormal"/>
    <w:next w:val="TableGrid"/>
    <w:rsid w:val="008F7DB9"/>
    <w:pPr>
      <w:spacing w:after="200"/>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22">
    <w:name w:val="No List7122"/>
    <w:next w:val="NoList"/>
    <w:uiPriority w:val="99"/>
    <w:semiHidden/>
    <w:unhideWhenUsed/>
    <w:rsid w:val="008F7DB9"/>
  </w:style>
  <w:style w:type="numbering" w:customStyle="1" w:styleId="NoList12131">
    <w:name w:val="No List12131"/>
    <w:next w:val="NoList"/>
    <w:uiPriority w:val="99"/>
    <w:semiHidden/>
    <w:unhideWhenUsed/>
    <w:rsid w:val="008F7DB9"/>
  </w:style>
  <w:style w:type="table" w:customStyle="1" w:styleId="TableGrid31220">
    <w:name w:val="Table Grid3122"/>
    <w:basedOn w:val="TableNormal"/>
    <w:next w:val="TableGrid"/>
    <w:rsid w:val="008F7DB9"/>
    <w:pPr>
      <w:spacing w:after="20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22">
    <w:name w:val="Table Web 21122"/>
    <w:basedOn w:val="TableNormal"/>
    <w:next w:val="TableWeb2"/>
    <w:rsid w:val="008F7DB9"/>
    <w:pPr>
      <w:spacing w:after="200"/>
    </w:pPr>
    <w:rPr>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22">
    <w:name w:val="Table Web 11122"/>
    <w:basedOn w:val="TableNormal"/>
    <w:next w:val="TableWeb1"/>
    <w:rsid w:val="008F7DB9"/>
    <w:pPr>
      <w:spacing w:after="200"/>
    </w:pPr>
    <w:rPr>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22">
    <w:name w:val="Table Grid 81122"/>
    <w:basedOn w:val="TableNormal"/>
    <w:next w:val="TableGrid8"/>
    <w:rsid w:val="008F7DB9"/>
    <w:pPr>
      <w:spacing w:after="200"/>
    </w:pPr>
    <w:rPr>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22">
    <w:name w:val="Table Contemporary1122"/>
    <w:basedOn w:val="TableNormal"/>
    <w:next w:val="TableContemporary"/>
    <w:rsid w:val="008F7DB9"/>
    <w:pPr>
      <w:spacing w:after="200"/>
    </w:pPr>
    <w:rPr>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22">
    <w:name w:val="Colorful Grid - Accent 12122"/>
    <w:basedOn w:val="TableNormal"/>
    <w:next w:val="ColorfulGrid-Accent1"/>
    <w:uiPriority w:val="73"/>
    <w:rsid w:val="008F7DB9"/>
    <w:pPr>
      <w:spacing w:after="200"/>
    </w:pPr>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22">
    <w:name w:val="Light List - Accent 52122"/>
    <w:basedOn w:val="TableNormal"/>
    <w:next w:val="LightList-Accent5"/>
    <w:uiPriority w:val="61"/>
    <w:rsid w:val="008F7DB9"/>
    <w:pPr>
      <w:spacing w:after="200"/>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22">
    <w:name w:val="No List8122"/>
    <w:next w:val="NoList"/>
    <w:uiPriority w:val="99"/>
    <w:semiHidden/>
    <w:unhideWhenUsed/>
    <w:rsid w:val="008F7DB9"/>
  </w:style>
  <w:style w:type="numbering" w:customStyle="1" w:styleId="12122">
    <w:name w:val="Нет списка12122"/>
    <w:next w:val="NoList"/>
    <w:semiHidden/>
    <w:unhideWhenUsed/>
    <w:rsid w:val="008F7DB9"/>
  </w:style>
  <w:style w:type="numbering" w:customStyle="1" w:styleId="NoList13122">
    <w:name w:val="No List13122"/>
    <w:next w:val="NoList"/>
    <w:semiHidden/>
    <w:unhideWhenUsed/>
    <w:rsid w:val="008F7DB9"/>
  </w:style>
  <w:style w:type="numbering" w:customStyle="1" w:styleId="NoList21131">
    <w:name w:val="No List21131"/>
    <w:next w:val="NoList"/>
    <w:semiHidden/>
    <w:unhideWhenUsed/>
    <w:rsid w:val="008F7DB9"/>
  </w:style>
  <w:style w:type="numbering" w:customStyle="1" w:styleId="NoList31131">
    <w:name w:val="No List31131"/>
    <w:next w:val="NoList"/>
    <w:semiHidden/>
    <w:unhideWhenUsed/>
    <w:rsid w:val="008F7DB9"/>
  </w:style>
  <w:style w:type="numbering" w:customStyle="1" w:styleId="111213">
    <w:name w:val="Нет списка111213"/>
    <w:next w:val="NoList"/>
    <w:semiHidden/>
    <w:unhideWhenUsed/>
    <w:rsid w:val="008F7DB9"/>
  </w:style>
  <w:style w:type="numbering" w:customStyle="1" w:styleId="NoList41122">
    <w:name w:val="No List41122"/>
    <w:next w:val="NoList"/>
    <w:semiHidden/>
    <w:rsid w:val="008F7DB9"/>
  </w:style>
  <w:style w:type="numbering" w:customStyle="1" w:styleId="NoList1111131">
    <w:name w:val="No List1111131"/>
    <w:next w:val="NoList"/>
    <w:semiHidden/>
    <w:unhideWhenUsed/>
    <w:rsid w:val="008F7DB9"/>
  </w:style>
  <w:style w:type="numbering" w:customStyle="1" w:styleId="1111113">
    <w:name w:val="Нет списка1111113"/>
    <w:next w:val="NoList"/>
    <w:semiHidden/>
    <w:unhideWhenUsed/>
    <w:rsid w:val="008F7DB9"/>
  </w:style>
  <w:style w:type="table" w:customStyle="1" w:styleId="TableGrid631">
    <w:name w:val="Table Grid631"/>
    <w:basedOn w:val="TableNormal"/>
    <w:next w:val="TableGrid"/>
    <w:uiPriority w:val="39"/>
    <w:rsid w:val="008F7DB9"/>
    <w:pPr>
      <w:jc w:val="center"/>
    </w:pPr>
    <w:rPr>
      <w:rFonts w:ascii="Sylfaen" w:eastAsia="Calibri" w:hAnsi="Sylfaen"/>
      <w:sz w:val="24"/>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4">
    <w:name w:val="Grid Table 1 Light - Accent 5114"/>
    <w:basedOn w:val="TableNormal"/>
    <w:uiPriority w:val="46"/>
    <w:rsid w:val="008F7DB9"/>
    <w:rPr>
      <w:rFonts w:ascii="Calibri" w:eastAsia="Calibri" w:hAnsi="Calibri" w:cs="Calibri"/>
      <w:sz w:val="22"/>
      <w:szCs w:val="22"/>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31">
    <w:name w:val="Table Grid2231"/>
    <w:basedOn w:val="TableNormal"/>
    <w:next w:val="TableGrid"/>
    <w:uiPriority w:val="39"/>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next w:val="TableGrid"/>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next w:val="TableGrid"/>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0">
    <w:name w:val="Table Grid722"/>
    <w:basedOn w:val="TableNormal"/>
    <w:next w:val="TableGrid"/>
    <w:uiPriority w:val="39"/>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0">
    <w:name w:val="Table Grid822"/>
    <w:basedOn w:val="TableNormal"/>
    <w:next w:val="TableGrid"/>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
    <w:name w:val="Table Grid922"/>
    <w:basedOn w:val="TableNormal"/>
    <w:next w:val="TableGrid"/>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
    <w:name w:val="Table Grid1022"/>
    <w:basedOn w:val="TableNormal"/>
    <w:next w:val="TableGrid"/>
    <w:uiPriority w:val="39"/>
    <w:rsid w:val="008F7DB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4">
    <w:name w:val="Grid Table 1 Light - Accent 114"/>
    <w:basedOn w:val="TableNormal"/>
    <w:uiPriority w:val="46"/>
    <w:rsid w:val="008F7DB9"/>
    <w:rPr>
      <w:rFonts w:ascii="Calibri" w:eastAsia="Calibri" w:hAnsi="Calibri"/>
      <w:sz w:val="22"/>
      <w:szCs w:val="22"/>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eList781">
    <w:name w:val="Table List 781"/>
    <w:basedOn w:val="TableNormal"/>
    <w:next w:val="TableList7"/>
    <w:uiPriority w:val="99"/>
    <w:semiHidden/>
    <w:unhideWhenUsed/>
    <w:rsid w:val="008F7DB9"/>
    <w:rPr>
      <w:rFonts w:ascii="Calibri" w:eastAsia="Calibri" w:hAnsi="Calibr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81">
    <w:name w:val="Table Web 381"/>
    <w:basedOn w:val="TableNormal"/>
    <w:next w:val="TableWeb3"/>
    <w:uiPriority w:val="99"/>
    <w:semiHidden/>
    <w:unhideWhenUsed/>
    <w:rsid w:val="008F7DB9"/>
    <w:rPr>
      <w:rFonts w:ascii="Calibri" w:eastAsia="Calibri" w:hAnsi="Calibr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81">
    <w:name w:val="Table Elegant81"/>
    <w:basedOn w:val="TableNormal"/>
    <w:next w:val="TableElegant"/>
    <w:uiPriority w:val="99"/>
    <w:semiHidden/>
    <w:unhideWhenUsed/>
    <w:rsid w:val="008F7DB9"/>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81">
    <w:name w:val="Table Web 281"/>
    <w:basedOn w:val="TableNormal"/>
    <w:next w:val="TableWeb2"/>
    <w:uiPriority w:val="99"/>
    <w:semiHidden/>
    <w:unhideWhenUsed/>
    <w:rsid w:val="008F7DB9"/>
    <w:rPr>
      <w:rFonts w:ascii="Calibri" w:eastAsia="Calibri" w:hAnsi="Calibr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81">
    <w:name w:val="Table Web 181"/>
    <w:basedOn w:val="TableNormal"/>
    <w:next w:val="TableWeb1"/>
    <w:uiPriority w:val="99"/>
    <w:semiHidden/>
    <w:unhideWhenUsed/>
    <w:rsid w:val="008F7DB9"/>
    <w:rPr>
      <w:rFonts w:ascii="Calibri" w:eastAsia="Calibri" w:hAnsi="Calibr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81">
    <w:name w:val="Table Grid 881"/>
    <w:basedOn w:val="TableNormal"/>
    <w:next w:val="TableGrid8"/>
    <w:uiPriority w:val="99"/>
    <w:semiHidden/>
    <w:unhideWhenUsed/>
    <w:rsid w:val="008F7DB9"/>
    <w:rPr>
      <w:rFonts w:ascii="Calibri" w:eastAsia="Calibri" w:hAnsi="Calibr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81">
    <w:name w:val="Table Contemporary81"/>
    <w:basedOn w:val="TableNormal"/>
    <w:next w:val="TableContemporary"/>
    <w:uiPriority w:val="99"/>
    <w:semiHidden/>
    <w:unhideWhenUsed/>
    <w:rsid w:val="008F7DB9"/>
    <w:rPr>
      <w:rFonts w:ascii="Calibri" w:eastAsia="Calibri" w:hAnsi="Calibr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71">
    <w:name w:val="Light List - Accent 1271"/>
    <w:basedOn w:val="TableNormal"/>
    <w:next w:val="LightList-Accent1"/>
    <w:uiPriority w:val="61"/>
    <w:semiHidden/>
    <w:unhideWhenUsed/>
    <w:rsid w:val="008F7DB9"/>
    <w:rPr>
      <w:rFonts w:ascii="Calibri" w:eastAsia="Calibri" w:hAnsi="Calibri"/>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781">
    <w:name w:val="Table Grid 781"/>
    <w:basedOn w:val="TableNormal"/>
    <w:next w:val="TableGrid7"/>
    <w:uiPriority w:val="99"/>
    <w:semiHidden/>
    <w:unhideWhenUsed/>
    <w:rsid w:val="008F7DB9"/>
    <w:rPr>
      <w:rFonts w:ascii="Calibri" w:eastAsia="Calibri" w:hAnsi="Calibr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91">
    <w:name w:val="Colorful Grid - Accent 191"/>
    <w:basedOn w:val="TableNormal"/>
    <w:next w:val="ColorfulGrid-Accent1"/>
    <w:uiPriority w:val="73"/>
    <w:semiHidden/>
    <w:unhideWhenUsed/>
    <w:rsid w:val="008F7DB9"/>
    <w:rPr>
      <w:rFonts w:ascii="Calibri" w:eastAsia="Calibri" w:hAnsi="Calibri"/>
      <w:color w:val="000000"/>
      <w:sz w:val="22"/>
      <w:szCs w:val="22"/>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LightList-Accent5101">
    <w:name w:val="Light List - Accent 5101"/>
    <w:basedOn w:val="TableNormal"/>
    <w:next w:val="LightList-Accent5"/>
    <w:uiPriority w:val="61"/>
    <w:semiHidden/>
    <w:unhideWhenUsed/>
    <w:rsid w:val="008F7DB9"/>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eSimple381">
    <w:name w:val="Table Simple 381"/>
    <w:basedOn w:val="TableNormal"/>
    <w:next w:val="TableSimple3"/>
    <w:uiPriority w:val="99"/>
    <w:semiHidden/>
    <w:unhideWhenUsed/>
    <w:rsid w:val="008F7DB9"/>
    <w:rPr>
      <w:rFonts w:ascii="Calibri" w:eastAsia="Calibri" w:hAnsi="Calibr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81">
    <w:name w:val="Table Grid 581"/>
    <w:basedOn w:val="TableNormal"/>
    <w:next w:val="TableGrid5"/>
    <w:uiPriority w:val="99"/>
    <w:semiHidden/>
    <w:unhideWhenUsed/>
    <w:rsid w:val="008F7DB9"/>
    <w:rPr>
      <w:rFonts w:ascii="Calibri" w:eastAsia="Calibri" w:hAnsi="Calibr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81">
    <w:name w:val="Table Grid 381"/>
    <w:basedOn w:val="TableNormal"/>
    <w:next w:val="TableGrid3"/>
    <w:uiPriority w:val="99"/>
    <w:semiHidden/>
    <w:unhideWhenUsed/>
    <w:rsid w:val="008F7DB9"/>
    <w:rPr>
      <w:rFonts w:ascii="Calibri" w:eastAsia="Calibri" w:hAnsi="Calibr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810">
    <w:name w:val="Table Grid 181"/>
    <w:basedOn w:val="TableNormal"/>
    <w:next w:val="TableGrid10"/>
    <w:uiPriority w:val="99"/>
    <w:semiHidden/>
    <w:unhideWhenUsed/>
    <w:rsid w:val="008F7DB9"/>
    <w:rPr>
      <w:rFonts w:ascii="Calibri" w:eastAsia="Calibri" w:hAnsi="Calibr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81">
    <w:name w:val="Table Columns 581"/>
    <w:basedOn w:val="TableNormal"/>
    <w:next w:val="TableColumns5"/>
    <w:uiPriority w:val="99"/>
    <w:semiHidden/>
    <w:unhideWhenUsed/>
    <w:rsid w:val="008F7DB9"/>
    <w:rPr>
      <w:rFonts w:ascii="Calibri" w:eastAsia="Calibri" w:hAnsi="Calibr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57107">
      <w:bodyDiv w:val="1"/>
      <w:marLeft w:val="0"/>
      <w:marRight w:val="0"/>
      <w:marTop w:val="0"/>
      <w:marBottom w:val="0"/>
      <w:divBdr>
        <w:top w:val="none" w:sz="0" w:space="0" w:color="auto"/>
        <w:left w:val="none" w:sz="0" w:space="0" w:color="auto"/>
        <w:bottom w:val="none" w:sz="0" w:space="0" w:color="auto"/>
        <w:right w:val="none" w:sz="0" w:space="0" w:color="auto"/>
      </w:divBdr>
    </w:div>
    <w:div w:id="31082282">
      <w:bodyDiv w:val="1"/>
      <w:marLeft w:val="0"/>
      <w:marRight w:val="0"/>
      <w:marTop w:val="0"/>
      <w:marBottom w:val="0"/>
      <w:divBdr>
        <w:top w:val="none" w:sz="0" w:space="0" w:color="auto"/>
        <w:left w:val="none" w:sz="0" w:space="0" w:color="auto"/>
        <w:bottom w:val="none" w:sz="0" w:space="0" w:color="auto"/>
        <w:right w:val="none" w:sz="0" w:space="0" w:color="auto"/>
      </w:divBdr>
    </w:div>
    <w:div w:id="69543490">
      <w:bodyDiv w:val="1"/>
      <w:marLeft w:val="0"/>
      <w:marRight w:val="0"/>
      <w:marTop w:val="0"/>
      <w:marBottom w:val="0"/>
      <w:divBdr>
        <w:top w:val="none" w:sz="0" w:space="0" w:color="auto"/>
        <w:left w:val="none" w:sz="0" w:space="0" w:color="auto"/>
        <w:bottom w:val="none" w:sz="0" w:space="0" w:color="auto"/>
        <w:right w:val="none" w:sz="0" w:space="0" w:color="auto"/>
      </w:divBdr>
    </w:div>
    <w:div w:id="97062946">
      <w:bodyDiv w:val="1"/>
      <w:marLeft w:val="0"/>
      <w:marRight w:val="0"/>
      <w:marTop w:val="0"/>
      <w:marBottom w:val="0"/>
      <w:divBdr>
        <w:top w:val="none" w:sz="0" w:space="0" w:color="auto"/>
        <w:left w:val="none" w:sz="0" w:space="0" w:color="auto"/>
        <w:bottom w:val="none" w:sz="0" w:space="0" w:color="auto"/>
        <w:right w:val="none" w:sz="0" w:space="0" w:color="auto"/>
      </w:divBdr>
    </w:div>
    <w:div w:id="98794014">
      <w:bodyDiv w:val="1"/>
      <w:marLeft w:val="0"/>
      <w:marRight w:val="0"/>
      <w:marTop w:val="0"/>
      <w:marBottom w:val="0"/>
      <w:divBdr>
        <w:top w:val="none" w:sz="0" w:space="0" w:color="auto"/>
        <w:left w:val="none" w:sz="0" w:space="0" w:color="auto"/>
        <w:bottom w:val="none" w:sz="0" w:space="0" w:color="auto"/>
        <w:right w:val="none" w:sz="0" w:space="0" w:color="auto"/>
      </w:divBdr>
    </w:div>
    <w:div w:id="105854229">
      <w:bodyDiv w:val="1"/>
      <w:marLeft w:val="0"/>
      <w:marRight w:val="0"/>
      <w:marTop w:val="0"/>
      <w:marBottom w:val="0"/>
      <w:divBdr>
        <w:top w:val="none" w:sz="0" w:space="0" w:color="auto"/>
        <w:left w:val="none" w:sz="0" w:space="0" w:color="auto"/>
        <w:bottom w:val="none" w:sz="0" w:space="0" w:color="auto"/>
        <w:right w:val="none" w:sz="0" w:space="0" w:color="auto"/>
      </w:divBdr>
    </w:div>
    <w:div w:id="120733560">
      <w:bodyDiv w:val="1"/>
      <w:marLeft w:val="0"/>
      <w:marRight w:val="0"/>
      <w:marTop w:val="0"/>
      <w:marBottom w:val="0"/>
      <w:divBdr>
        <w:top w:val="none" w:sz="0" w:space="0" w:color="auto"/>
        <w:left w:val="none" w:sz="0" w:space="0" w:color="auto"/>
        <w:bottom w:val="none" w:sz="0" w:space="0" w:color="auto"/>
        <w:right w:val="none" w:sz="0" w:space="0" w:color="auto"/>
      </w:divBdr>
    </w:div>
    <w:div w:id="123818483">
      <w:bodyDiv w:val="1"/>
      <w:marLeft w:val="0"/>
      <w:marRight w:val="0"/>
      <w:marTop w:val="0"/>
      <w:marBottom w:val="0"/>
      <w:divBdr>
        <w:top w:val="none" w:sz="0" w:space="0" w:color="auto"/>
        <w:left w:val="none" w:sz="0" w:space="0" w:color="auto"/>
        <w:bottom w:val="none" w:sz="0" w:space="0" w:color="auto"/>
        <w:right w:val="none" w:sz="0" w:space="0" w:color="auto"/>
      </w:divBdr>
    </w:div>
    <w:div w:id="145555845">
      <w:bodyDiv w:val="1"/>
      <w:marLeft w:val="0"/>
      <w:marRight w:val="0"/>
      <w:marTop w:val="0"/>
      <w:marBottom w:val="0"/>
      <w:divBdr>
        <w:top w:val="none" w:sz="0" w:space="0" w:color="auto"/>
        <w:left w:val="none" w:sz="0" w:space="0" w:color="auto"/>
        <w:bottom w:val="none" w:sz="0" w:space="0" w:color="auto"/>
        <w:right w:val="none" w:sz="0" w:space="0" w:color="auto"/>
      </w:divBdr>
    </w:div>
    <w:div w:id="236745714">
      <w:bodyDiv w:val="1"/>
      <w:marLeft w:val="0"/>
      <w:marRight w:val="0"/>
      <w:marTop w:val="0"/>
      <w:marBottom w:val="0"/>
      <w:divBdr>
        <w:top w:val="none" w:sz="0" w:space="0" w:color="auto"/>
        <w:left w:val="none" w:sz="0" w:space="0" w:color="auto"/>
        <w:bottom w:val="none" w:sz="0" w:space="0" w:color="auto"/>
        <w:right w:val="none" w:sz="0" w:space="0" w:color="auto"/>
      </w:divBdr>
    </w:div>
    <w:div w:id="243032163">
      <w:bodyDiv w:val="1"/>
      <w:marLeft w:val="0"/>
      <w:marRight w:val="0"/>
      <w:marTop w:val="0"/>
      <w:marBottom w:val="0"/>
      <w:divBdr>
        <w:top w:val="none" w:sz="0" w:space="0" w:color="auto"/>
        <w:left w:val="none" w:sz="0" w:space="0" w:color="auto"/>
        <w:bottom w:val="none" w:sz="0" w:space="0" w:color="auto"/>
        <w:right w:val="none" w:sz="0" w:space="0" w:color="auto"/>
      </w:divBdr>
    </w:div>
    <w:div w:id="259916422">
      <w:bodyDiv w:val="1"/>
      <w:marLeft w:val="0"/>
      <w:marRight w:val="0"/>
      <w:marTop w:val="0"/>
      <w:marBottom w:val="0"/>
      <w:divBdr>
        <w:top w:val="none" w:sz="0" w:space="0" w:color="auto"/>
        <w:left w:val="none" w:sz="0" w:space="0" w:color="auto"/>
        <w:bottom w:val="none" w:sz="0" w:space="0" w:color="auto"/>
        <w:right w:val="none" w:sz="0" w:space="0" w:color="auto"/>
      </w:divBdr>
    </w:div>
    <w:div w:id="262345488">
      <w:bodyDiv w:val="1"/>
      <w:marLeft w:val="0"/>
      <w:marRight w:val="0"/>
      <w:marTop w:val="0"/>
      <w:marBottom w:val="0"/>
      <w:divBdr>
        <w:top w:val="none" w:sz="0" w:space="0" w:color="auto"/>
        <w:left w:val="none" w:sz="0" w:space="0" w:color="auto"/>
        <w:bottom w:val="none" w:sz="0" w:space="0" w:color="auto"/>
        <w:right w:val="none" w:sz="0" w:space="0" w:color="auto"/>
      </w:divBdr>
    </w:div>
    <w:div w:id="272060592">
      <w:bodyDiv w:val="1"/>
      <w:marLeft w:val="0"/>
      <w:marRight w:val="0"/>
      <w:marTop w:val="0"/>
      <w:marBottom w:val="0"/>
      <w:divBdr>
        <w:top w:val="none" w:sz="0" w:space="0" w:color="auto"/>
        <w:left w:val="none" w:sz="0" w:space="0" w:color="auto"/>
        <w:bottom w:val="none" w:sz="0" w:space="0" w:color="auto"/>
        <w:right w:val="none" w:sz="0" w:space="0" w:color="auto"/>
      </w:divBdr>
    </w:div>
    <w:div w:id="279338549">
      <w:bodyDiv w:val="1"/>
      <w:marLeft w:val="0"/>
      <w:marRight w:val="0"/>
      <w:marTop w:val="0"/>
      <w:marBottom w:val="0"/>
      <w:divBdr>
        <w:top w:val="none" w:sz="0" w:space="0" w:color="auto"/>
        <w:left w:val="none" w:sz="0" w:space="0" w:color="auto"/>
        <w:bottom w:val="none" w:sz="0" w:space="0" w:color="auto"/>
        <w:right w:val="none" w:sz="0" w:space="0" w:color="auto"/>
      </w:divBdr>
    </w:div>
    <w:div w:id="279605151">
      <w:bodyDiv w:val="1"/>
      <w:marLeft w:val="0"/>
      <w:marRight w:val="0"/>
      <w:marTop w:val="0"/>
      <w:marBottom w:val="0"/>
      <w:divBdr>
        <w:top w:val="none" w:sz="0" w:space="0" w:color="auto"/>
        <w:left w:val="none" w:sz="0" w:space="0" w:color="auto"/>
        <w:bottom w:val="none" w:sz="0" w:space="0" w:color="auto"/>
        <w:right w:val="none" w:sz="0" w:space="0" w:color="auto"/>
      </w:divBdr>
    </w:div>
    <w:div w:id="298729310">
      <w:bodyDiv w:val="1"/>
      <w:marLeft w:val="0"/>
      <w:marRight w:val="0"/>
      <w:marTop w:val="0"/>
      <w:marBottom w:val="0"/>
      <w:divBdr>
        <w:top w:val="none" w:sz="0" w:space="0" w:color="auto"/>
        <w:left w:val="none" w:sz="0" w:space="0" w:color="auto"/>
        <w:bottom w:val="none" w:sz="0" w:space="0" w:color="auto"/>
        <w:right w:val="none" w:sz="0" w:space="0" w:color="auto"/>
      </w:divBdr>
    </w:div>
    <w:div w:id="300502754">
      <w:bodyDiv w:val="1"/>
      <w:marLeft w:val="0"/>
      <w:marRight w:val="0"/>
      <w:marTop w:val="0"/>
      <w:marBottom w:val="0"/>
      <w:divBdr>
        <w:top w:val="none" w:sz="0" w:space="0" w:color="auto"/>
        <w:left w:val="none" w:sz="0" w:space="0" w:color="auto"/>
        <w:bottom w:val="none" w:sz="0" w:space="0" w:color="auto"/>
        <w:right w:val="none" w:sz="0" w:space="0" w:color="auto"/>
      </w:divBdr>
    </w:div>
    <w:div w:id="313533215">
      <w:bodyDiv w:val="1"/>
      <w:marLeft w:val="0"/>
      <w:marRight w:val="0"/>
      <w:marTop w:val="0"/>
      <w:marBottom w:val="0"/>
      <w:divBdr>
        <w:top w:val="none" w:sz="0" w:space="0" w:color="auto"/>
        <w:left w:val="none" w:sz="0" w:space="0" w:color="auto"/>
        <w:bottom w:val="none" w:sz="0" w:space="0" w:color="auto"/>
        <w:right w:val="none" w:sz="0" w:space="0" w:color="auto"/>
      </w:divBdr>
    </w:div>
    <w:div w:id="336809432">
      <w:bodyDiv w:val="1"/>
      <w:marLeft w:val="0"/>
      <w:marRight w:val="0"/>
      <w:marTop w:val="0"/>
      <w:marBottom w:val="0"/>
      <w:divBdr>
        <w:top w:val="none" w:sz="0" w:space="0" w:color="auto"/>
        <w:left w:val="none" w:sz="0" w:space="0" w:color="auto"/>
        <w:bottom w:val="none" w:sz="0" w:space="0" w:color="auto"/>
        <w:right w:val="none" w:sz="0" w:space="0" w:color="auto"/>
      </w:divBdr>
    </w:div>
    <w:div w:id="338898078">
      <w:bodyDiv w:val="1"/>
      <w:marLeft w:val="0"/>
      <w:marRight w:val="0"/>
      <w:marTop w:val="0"/>
      <w:marBottom w:val="0"/>
      <w:divBdr>
        <w:top w:val="none" w:sz="0" w:space="0" w:color="auto"/>
        <w:left w:val="none" w:sz="0" w:space="0" w:color="auto"/>
        <w:bottom w:val="none" w:sz="0" w:space="0" w:color="auto"/>
        <w:right w:val="none" w:sz="0" w:space="0" w:color="auto"/>
      </w:divBdr>
    </w:div>
    <w:div w:id="363482288">
      <w:bodyDiv w:val="1"/>
      <w:marLeft w:val="0"/>
      <w:marRight w:val="0"/>
      <w:marTop w:val="0"/>
      <w:marBottom w:val="0"/>
      <w:divBdr>
        <w:top w:val="none" w:sz="0" w:space="0" w:color="auto"/>
        <w:left w:val="none" w:sz="0" w:space="0" w:color="auto"/>
        <w:bottom w:val="none" w:sz="0" w:space="0" w:color="auto"/>
        <w:right w:val="none" w:sz="0" w:space="0" w:color="auto"/>
      </w:divBdr>
    </w:div>
    <w:div w:id="391583566">
      <w:bodyDiv w:val="1"/>
      <w:marLeft w:val="0"/>
      <w:marRight w:val="0"/>
      <w:marTop w:val="0"/>
      <w:marBottom w:val="0"/>
      <w:divBdr>
        <w:top w:val="none" w:sz="0" w:space="0" w:color="auto"/>
        <w:left w:val="none" w:sz="0" w:space="0" w:color="auto"/>
        <w:bottom w:val="none" w:sz="0" w:space="0" w:color="auto"/>
        <w:right w:val="none" w:sz="0" w:space="0" w:color="auto"/>
      </w:divBdr>
    </w:div>
    <w:div w:id="412511495">
      <w:bodyDiv w:val="1"/>
      <w:marLeft w:val="0"/>
      <w:marRight w:val="0"/>
      <w:marTop w:val="0"/>
      <w:marBottom w:val="0"/>
      <w:divBdr>
        <w:top w:val="none" w:sz="0" w:space="0" w:color="auto"/>
        <w:left w:val="none" w:sz="0" w:space="0" w:color="auto"/>
        <w:bottom w:val="none" w:sz="0" w:space="0" w:color="auto"/>
        <w:right w:val="none" w:sz="0" w:space="0" w:color="auto"/>
      </w:divBdr>
    </w:div>
    <w:div w:id="495145514">
      <w:bodyDiv w:val="1"/>
      <w:marLeft w:val="0"/>
      <w:marRight w:val="0"/>
      <w:marTop w:val="0"/>
      <w:marBottom w:val="0"/>
      <w:divBdr>
        <w:top w:val="none" w:sz="0" w:space="0" w:color="auto"/>
        <w:left w:val="none" w:sz="0" w:space="0" w:color="auto"/>
        <w:bottom w:val="none" w:sz="0" w:space="0" w:color="auto"/>
        <w:right w:val="none" w:sz="0" w:space="0" w:color="auto"/>
      </w:divBdr>
    </w:div>
    <w:div w:id="528222659">
      <w:bodyDiv w:val="1"/>
      <w:marLeft w:val="0"/>
      <w:marRight w:val="0"/>
      <w:marTop w:val="0"/>
      <w:marBottom w:val="0"/>
      <w:divBdr>
        <w:top w:val="none" w:sz="0" w:space="0" w:color="auto"/>
        <w:left w:val="none" w:sz="0" w:space="0" w:color="auto"/>
        <w:bottom w:val="none" w:sz="0" w:space="0" w:color="auto"/>
        <w:right w:val="none" w:sz="0" w:space="0" w:color="auto"/>
      </w:divBdr>
    </w:div>
    <w:div w:id="545262789">
      <w:bodyDiv w:val="1"/>
      <w:marLeft w:val="0"/>
      <w:marRight w:val="0"/>
      <w:marTop w:val="0"/>
      <w:marBottom w:val="0"/>
      <w:divBdr>
        <w:top w:val="none" w:sz="0" w:space="0" w:color="auto"/>
        <w:left w:val="none" w:sz="0" w:space="0" w:color="auto"/>
        <w:bottom w:val="none" w:sz="0" w:space="0" w:color="auto"/>
        <w:right w:val="none" w:sz="0" w:space="0" w:color="auto"/>
      </w:divBdr>
    </w:div>
    <w:div w:id="603534126">
      <w:bodyDiv w:val="1"/>
      <w:marLeft w:val="0"/>
      <w:marRight w:val="0"/>
      <w:marTop w:val="0"/>
      <w:marBottom w:val="0"/>
      <w:divBdr>
        <w:top w:val="none" w:sz="0" w:space="0" w:color="auto"/>
        <w:left w:val="none" w:sz="0" w:space="0" w:color="auto"/>
        <w:bottom w:val="none" w:sz="0" w:space="0" w:color="auto"/>
        <w:right w:val="none" w:sz="0" w:space="0" w:color="auto"/>
      </w:divBdr>
    </w:div>
    <w:div w:id="607200544">
      <w:bodyDiv w:val="1"/>
      <w:marLeft w:val="0"/>
      <w:marRight w:val="0"/>
      <w:marTop w:val="0"/>
      <w:marBottom w:val="0"/>
      <w:divBdr>
        <w:top w:val="none" w:sz="0" w:space="0" w:color="auto"/>
        <w:left w:val="none" w:sz="0" w:space="0" w:color="auto"/>
        <w:bottom w:val="none" w:sz="0" w:space="0" w:color="auto"/>
        <w:right w:val="none" w:sz="0" w:space="0" w:color="auto"/>
      </w:divBdr>
    </w:div>
    <w:div w:id="642002085">
      <w:bodyDiv w:val="1"/>
      <w:marLeft w:val="0"/>
      <w:marRight w:val="0"/>
      <w:marTop w:val="0"/>
      <w:marBottom w:val="0"/>
      <w:divBdr>
        <w:top w:val="none" w:sz="0" w:space="0" w:color="auto"/>
        <w:left w:val="none" w:sz="0" w:space="0" w:color="auto"/>
        <w:bottom w:val="none" w:sz="0" w:space="0" w:color="auto"/>
        <w:right w:val="none" w:sz="0" w:space="0" w:color="auto"/>
      </w:divBdr>
    </w:div>
    <w:div w:id="661465204">
      <w:bodyDiv w:val="1"/>
      <w:marLeft w:val="0"/>
      <w:marRight w:val="0"/>
      <w:marTop w:val="0"/>
      <w:marBottom w:val="0"/>
      <w:divBdr>
        <w:top w:val="none" w:sz="0" w:space="0" w:color="auto"/>
        <w:left w:val="none" w:sz="0" w:space="0" w:color="auto"/>
        <w:bottom w:val="none" w:sz="0" w:space="0" w:color="auto"/>
        <w:right w:val="none" w:sz="0" w:space="0" w:color="auto"/>
      </w:divBdr>
    </w:div>
    <w:div w:id="672148981">
      <w:bodyDiv w:val="1"/>
      <w:marLeft w:val="0"/>
      <w:marRight w:val="0"/>
      <w:marTop w:val="0"/>
      <w:marBottom w:val="0"/>
      <w:divBdr>
        <w:top w:val="none" w:sz="0" w:space="0" w:color="auto"/>
        <w:left w:val="none" w:sz="0" w:space="0" w:color="auto"/>
        <w:bottom w:val="none" w:sz="0" w:space="0" w:color="auto"/>
        <w:right w:val="none" w:sz="0" w:space="0" w:color="auto"/>
      </w:divBdr>
    </w:div>
    <w:div w:id="685063752">
      <w:bodyDiv w:val="1"/>
      <w:marLeft w:val="0"/>
      <w:marRight w:val="0"/>
      <w:marTop w:val="0"/>
      <w:marBottom w:val="0"/>
      <w:divBdr>
        <w:top w:val="none" w:sz="0" w:space="0" w:color="auto"/>
        <w:left w:val="none" w:sz="0" w:space="0" w:color="auto"/>
        <w:bottom w:val="none" w:sz="0" w:space="0" w:color="auto"/>
        <w:right w:val="none" w:sz="0" w:space="0" w:color="auto"/>
      </w:divBdr>
    </w:div>
    <w:div w:id="700863661">
      <w:bodyDiv w:val="1"/>
      <w:marLeft w:val="0"/>
      <w:marRight w:val="0"/>
      <w:marTop w:val="0"/>
      <w:marBottom w:val="0"/>
      <w:divBdr>
        <w:top w:val="none" w:sz="0" w:space="0" w:color="auto"/>
        <w:left w:val="none" w:sz="0" w:space="0" w:color="auto"/>
        <w:bottom w:val="none" w:sz="0" w:space="0" w:color="auto"/>
        <w:right w:val="none" w:sz="0" w:space="0" w:color="auto"/>
      </w:divBdr>
    </w:div>
    <w:div w:id="710690607">
      <w:bodyDiv w:val="1"/>
      <w:marLeft w:val="0"/>
      <w:marRight w:val="0"/>
      <w:marTop w:val="0"/>
      <w:marBottom w:val="0"/>
      <w:divBdr>
        <w:top w:val="none" w:sz="0" w:space="0" w:color="auto"/>
        <w:left w:val="none" w:sz="0" w:space="0" w:color="auto"/>
        <w:bottom w:val="none" w:sz="0" w:space="0" w:color="auto"/>
        <w:right w:val="none" w:sz="0" w:space="0" w:color="auto"/>
      </w:divBdr>
    </w:div>
    <w:div w:id="713309798">
      <w:bodyDiv w:val="1"/>
      <w:marLeft w:val="0"/>
      <w:marRight w:val="0"/>
      <w:marTop w:val="0"/>
      <w:marBottom w:val="0"/>
      <w:divBdr>
        <w:top w:val="none" w:sz="0" w:space="0" w:color="auto"/>
        <w:left w:val="none" w:sz="0" w:space="0" w:color="auto"/>
        <w:bottom w:val="none" w:sz="0" w:space="0" w:color="auto"/>
        <w:right w:val="none" w:sz="0" w:space="0" w:color="auto"/>
      </w:divBdr>
    </w:div>
    <w:div w:id="716927086">
      <w:bodyDiv w:val="1"/>
      <w:marLeft w:val="0"/>
      <w:marRight w:val="0"/>
      <w:marTop w:val="0"/>
      <w:marBottom w:val="0"/>
      <w:divBdr>
        <w:top w:val="none" w:sz="0" w:space="0" w:color="auto"/>
        <w:left w:val="none" w:sz="0" w:space="0" w:color="auto"/>
        <w:bottom w:val="none" w:sz="0" w:space="0" w:color="auto"/>
        <w:right w:val="none" w:sz="0" w:space="0" w:color="auto"/>
      </w:divBdr>
    </w:div>
    <w:div w:id="723942746">
      <w:bodyDiv w:val="1"/>
      <w:marLeft w:val="0"/>
      <w:marRight w:val="0"/>
      <w:marTop w:val="0"/>
      <w:marBottom w:val="0"/>
      <w:divBdr>
        <w:top w:val="none" w:sz="0" w:space="0" w:color="auto"/>
        <w:left w:val="none" w:sz="0" w:space="0" w:color="auto"/>
        <w:bottom w:val="none" w:sz="0" w:space="0" w:color="auto"/>
        <w:right w:val="none" w:sz="0" w:space="0" w:color="auto"/>
      </w:divBdr>
    </w:div>
    <w:div w:id="726100770">
      <w:bodyDiv w:val="1"/>
      <w:marLeft w:val="0"/>
      <w:marRight w:val="0"/>
      <w:marTop w:val="0"/>
      <w:marBottom w:val="0"/>
      <w:divBdr>
        <w:top w:val="none" w:sz="0" w:space="0" w:color="auto"/>
        <w:left w:val="none" w:sz="0" w:space="0" w:color="auto"/>
        <w:bottom w:val="none" w:sz="0" w:space="0" w:color="auto"/>
        <w:right w:val="none" w:sz="0" w:space="0" w:color="auto"/>
      </w:divBdr>
    </w:div>
    <w:div w:id="726881145">
      <w:bodyDiv w:val="1"/>
      <w:marLeft w:val="0"/>
      <w:marRight w:val="0"/>
      <w:marTop w:val="0"/>
      <w:marBottom w:val="0"/>
      <w:divBdr>
        <w:top w:val="none" w:sz="0" w:space="0" w:color="auto"/>
        <w:left w:val="none" w:sz="0" w:space="0" w:color="auto"/>
        <w:bottom w:val="none" w:sz="0" w:space="0" w:color="auto"/>
        <w:right w:val="none" w:sz="0" w:space="0" w:color="auto"/>
      </w:divBdr>
    </w:div>
    <w:div w:id="730081290">
      <w:bodyDiv w:val="1"/>
      <w:marLeft w:val="0"/>
      <w:marRight w:val="0"/>
      <w:marTop w:val="0"/>
      <w:marBottom w:val="0"/>
      <w:divBdr>
        <w:top w:val="none" w:sz="0" w:space="0" w:color="auto"/>
        <w:left w:val="none" w:sz="0" w:space="0" w:color="auto"/>
        <w:bottom w:val="none" w:sz="0" w:space="0" w:color="auto"/>
        <w:right w:val="none" w:sz="0" w:space="0" w:color="auto"/>
      </w:divBdr>
    </w:div>
    <w:div w:id="732123155">
      <w:bodyDiv w:val="1"/>
      <w:marLeft w:val="0"/>
      <w:marRight w:val="0"/>
      <w:marTop w:val="0"/>
      <w:marBottom w:val="0"/>
      <w:divBdr>
        <w:top w:val="none" w:sz="0" w:space="0" w:color="auto"/>
        <w:left w:val="none" w:sz="0" w:space="0" w:color="auto"/>
        <w:bottom w:val="none" w:sz="0" w:space="0" w:color="auto"/>
        <w:right w:val="none" w:sz="0" w:space="0" w:color="auto"/>
      </w:divBdr>
    </w:div>
    <w:div w:id="734619232">
      <w:bodyDiv w:val="1"/>
      <w:marLeft w:val="0"/>
      <w:marRight w:val="0"/>
      <w:marTop w:val="0"/>
      <w:marBottom w:val="0"/>
      <w:divBdr>
        <w:top w:val="none" w:sz="0" w:space="0" w:color="auto"/>
        <w:left w:val="none" w:sz="0" w:space="0" w:color="auto"/>
        <w:bottom w:val="none" w:sz="0" w:space="0" w:color="auto"/>
        <w:right w:val="none" w:sz="0" w:space="0" w:color="auto"/>
      </w:divBdr>
    </w:div>
    <w:div w:id="736587001">
      <w:bodyDiv w:val="1"/>
      <w:marLeft w:val="0"/>
      <w:marRight w:val="0"/>
      <w:marTop w:val="0"/>
      <w:marBottom w:val="0"/>
      <w:divBdr>
        <w:top w:val="none" w:sz="0" w:space="0" w:color="auto"/>
        <w:left w:val="none" w:sz="0" w:space="0" w:color="auto"/>
        <w:bottom w:val="none" w:sz="0" w:space="0" w:color="auto"/>
        <w:right w:val="none" w:sz="0" w:space="0" w:color="auto"/>
      </w:divBdr>
    </w:div>
    <w:div w:id="749352696">
      <w:bodyDiv w:val="1"/>
      <w:marLeft w:val="0"/>
      <w:marRight w:val="0"/>
      <w:marTop w:val="0"/>
      <w:marBottom w:val="0"/>
      <w:divBdr>
        <w:top w:val="none" w:sz="0" w:space="0" w:color="auto"/>
        <w:left w:val="none" w:sz="0" w:space="0" w:color="auto"/>
        <w:bottom w:val="none" w:sz="0" w:space="0" w:color="auto"/>
        <w:right w:val="none" w:sz="0" w:space="0" w:color="auto"/>
      </w:divBdr>
    </w:div>
    <w:div w:id="755978767">
      <w:bodyDiv w:val="1"/>
      <w:marLeft w:val="0"/>
      <w:marRight w:val="0"/>
      <w:marTop w:val="0"/>
      <w:marBottom w:val="0"/>
      <w:divBdr>
        <w:top w:val="none" w:sz="0" w:space="0" w:color="auto"/>
        <w:left w:val="none" w:sz="0" w:space="0" w:color="auto"/>
        <w:bottom w:val="none" w:sz="0" w:space="0" w:color="auto"/>
        <w:right w:val="none" w:sz="0" w:space="0" w:color="auto"/>
      </w:divBdr>
    </w:div>
    <w:div w:id="768082022">
      <w:bodyDiv w:val="1"/>
      <w:marLeft w:val="0"/>
      <w:marRight w:val="0"/>
      <w:marTop w:val="0"/>
      <w:marBottom w:val="0"/>
      <w:divBdr>
        <w:top w:val="none" w:sz="0" w:space="0" w:color="auto"/>
        <w:left w:val="none" w:sz="0" w:space="0" w:color="auto"/>
        <w:bottom w:val="none" w:sz="0" w:space="0" w:color="auto"/>
        <w:right w:val="none" w:sz="0" w:space="0" w:color="auto"/>
      </w:divBdr>
    </w:div>
    <w:div w:id="798456811">
      <w:bodyDiv w:val="1"/>
      <w:marLeft w:val="0"/>
      <w:marRight w:val="0"/>
      <w:marTop w:val="0"/>
      <w:marBottom w:val="0"/>
      <w:divBdr>
        <w:top w:val="none" w:sz="0" w:space="0" w:color="auto"/>
        <w:left w:val="none" w:sz="0" w:space="0" w:color="auto"/>
        <w:bottom w:val="none" w:sz="0" w:space="0" w:color="auto"/>
        <w:right w:val="none" w:sz="0" w:space="0" w:color="auto"/>
      </w:divBdr>
    </w:div>
    <w:div w:id="799693678">
      <w:bodyDiv w:val="1"/>
      <w:marLeft w:val="0"/>
      <w:marRight w:val="0"/>
      <w:marTop w:val="0"/>
      <w:marBottom w:val="0"/>
      <w:divBdr>
        <w:top w:val="none" w:sz="0" w:space="0" w:color="auto"/>
        <w:left w:val="none" w:sz="0" w:space="0" w:color="auto"/>
        <w:bottom w:val="none" w:sz="0" w:space="0" w:color="auto"/>
        <w:right w:val="none" w:sz="0" w:space="0" w:color="auto"/>
      </w:divBdr>
    </w:div>
    <w:div w:id="803541761">
      <w:bodyDiv w:val="1"/>
      <w:marLeft w:val="0"/>
      <w:marRight w:val="0"/>
      <w:marTop w:val="0"/>
      <w:marBottom w:val="0"/>
      <w:divBdr>
        <w:top w:val="none" w:sz="0" w:space="0" w:color="auto"/>
        <w:left w:val="none" w:sz="0" w:space="0" w:color="auto"/>
        <w:bottom w:val="none" w:sz="0" w:space="0" w:color="auto"/>
        <w:right w:val="none" w:sz="0" w:space="0" w:color="auto"/>
      </w:divBdr>
    </w:div>
    <w:div w:id="824202389">
      <w:bodyDiv w:val="1"/>
      <w:marLeft w:val="0"/>
      <w:marRight w:val="0"/>
      <w:marTop w:val="0"/>
      <w:marBottom w:val="0"/>
      <w:divBdr>
        <w:top w:val="none" w:sz="0" w:space="0" w:color="auto"/>
        <w:left w:val="none" w:sz="0" w:space="0" w:color="auto"/>
        <w:bottom w:val="none" w:sz="0" w:space="0" w:color="auto"/>
        <w:right w:val="none" w:sz="0" w:space="0" w:color="auto"/>
      </w:divBdr>
    </w:div>
    <w:div w:id="834997167">
      <w:bodyDiv w:val="1"/>
      <w:marLeft w:val="0"/>
      <w:marRight w:val="0"/>
      <w:marTop w:val="0"/>
      <w:marBottom w:val="0"/>
      <w:divBdr>
        <w:top w:val="none" w:sz="0" w:space="0" w:color="auto"/>
        <w:left w:val="none" w:sz="0" w:space="0" w:color="auto"/>
        <w:bottom w:val="none" w:sz="0" w:space="0" w:color="auto"/>
        <w:right w:val="none" w:sz="0" w:space="0" w:color="auto"/>
      </w:divBdr>
    </w:div>
    <w:div w:id="837118536">
      <w:bodyDiv w:val="1"/>
      <w:marLeft w:val="0"/>
      <w:marRight w:val="0"/>
      <w:marTop w:val="0"/>
      <w:marBottom w:val="0"/>
      <w:divBdr>
        <w:top w:val="none" w:sz="0" w:space="0" w:color="auto"/>
        <w:left w:val="none" w:sz="0" w:space="0" w:color="auto"/>
        <w:bottom w:val="none" w:sz="0" w:space="0" w:color="auto"/>
        <w:right w:val="none" w:sz="0" w:space="0" w:color="auto"/>
      </w:divBdr>
    </w:div>
    <w:div w:id="837840740">
      <w:bodyDiv w:val="1"/>
      <w:marLeft w:val="0"/>
      <w:marRight w:val="0"/>
      <w:marTop w:val="0"/>
      <w:marBottom w:val="0"/>
      <w:divBdr>
        <w:top w:val="none" w:sz="0" w:space="0" w:color="auto"/>
        <w:left w:val="none" w:sz="0" w:space="0" w:color="auto"/>
        <w:bottom w:val="none" w:sz="0" w:space="0" w:color="auto"/>
        <w:right w:val="none" w:sz="0" w:space="0" w:color="auto"/>
      </w:divBdr>
    </w:div>
    <w:div w:id="854810967">
      <w:bodyDiv w:val="1"/>
      <w:marLeft w:val="0"/>
      <w:marRight w:val="0"/>
      <w:marTop w:val="0"/>
      <w:marBottom w:val="0"/>
      <w:divBdr>
        <w:top w:val="none" w:sz="0" w:space="0" w:color="auto"/>
        <w:left w:val="none" w:sz="0" w:space="0" w:color="auto"/>
        <w:bottom w:val="none" w:sz="0" w:space="0" w:color="auto"/>
        <w:right w:val="none" w:sz="0" w:space="0" w:color="auto"/>
      </w:divBdr>
    </w:div>
    <w:div w:id="860893093">
      <w:bodyDiv w:val="1"/>
      <w:marLeft w:val="0"/>
      <w:marRight w:val="0"/>
      <w:marTop w:val="0"/>
      <w:marBottom w:val="0"/>
      <w:divBdr>
        <w:top w:val="none" w:sz="0" w:space="0" w:color="auto"/>
        <w:left w:val="none" w:sz="0" w:space="0" w:color="auto"/>
        <w:bottom w:val="none" w:sz="0" w:space="0" w:color="auto"/>
        <w:right w:val="none" w:sz="0" w:space="0" w:color="auto"/>
      </w:divBdr>
    </w:div>
    <w:div w:id="861821522">
      <w:bodyDiv w:val="1"/>
      <w:marLeft w:val="0"/>
      <w:marRight w:val="0"/>
      <w:marTop w:val="0"/>
      <w:marBottom w:val="0"/>
      <w:divBdr>
        <w:top w:val="none" w:sz="0" w:space="0" w:color="auto"/>
        <w:left w:val="none" w:sz="0" w:space="0" w:color="auto"/>
        <w:bottom w:val="none" w:sz="0" w:space="0" w:color="auto"/>
        <w:right w:val="none" w:sz="0" w:space="0" w:color="auto"/>
      </w:divBdr>
    </w:div>
    <w:div w:id="865677390">
      <w:bodyDiv w:val="1"/>
      <w:marLeft w:val="0"/>
      <w:marRight w:val="0"/>
      <w:marTop w:val="0"/>
      <w:marBottom w:val="0"/>
      <w:divBdr>
        <w:top w:val="none" w:sz="0" w:space="0" w:color="auto"/>
        <w:left w:val="none" w:sz="0" w:space="0" w:color="auto"/>
        <w:bottom w:val="none" w:sz="0" w:space="0" w:color="auto"/>
        <w:right w:val="none" w:sz="0" w:space="0" w:color="auto"/>
      </w:divBdr>
    </w:div>
    <w:div w:id="868225871">
      <w:bodyDiv w:val="1"/>
      <w:marLeft w:val="0"/>
      <w:marRight w:val="0"/>
      <w:marTop w:val="0"/>
      <w:marBottom w:val="0"/>
      <w:divBdr>
        <w:top w:val="none" w:sz="0" w:space="0" w:color="auto"/>
        <w:left w:val="none" w:sz="0" w:space="0" w:color="auto"/>
        <w:bottom w:val="none" w:sz="0" w:space="0" w:color="auto"/>
        <w:right w:val="none" w:sz="0" w:space="0" w:color="auto"/>
      </w:divBdr>
    </w:div>
    <w:div w:id="882208889">
      <w:bodyDiv w:val="1"/>
      <w:marLeft w:val="0"/>
      <w:marRight w:val="0"/>
      <w:marTop w:val="0"/>
      <w:marBottom w:val="0"/>
      <w:divBdr>
        <w:top w:val="none" w:sz="0" w:space="0" w:color="auto"/>
        <w:left w:val="none" w:sz="0" w:space="0" w:color="auto"/>
        <w:bottom w:val="none" w:sz="0" w:space="0" w:color="auto"/>
        <w:right w:val="none" w:sz="0" w:space="0" w:color="auto"/>
      </w:divBdr>
    </w:div>
    <w:div w:id="897057614">
      <w:bodyDiv w:val="1"/>
      <w:marLeft w:val="0"/>
      <w:marRight w:val="0"/>
      <w:marTop w:val="0"/>
      <w:marBottom w:val="0"/>
      <w:divBdr>
        <w:top w:val="none" w:sz="0" w:space="0" w:color="auto"/>
        <w:left w:val="none" w:sz="0" w:space="0" w:color="auto"/>
        <w:bottom w:val="none" w:sz="0" w:space="0" w:color="auto"/>
        <w:right w:val="none" w:sz="0" w:space="0" w:color="auto"/>
      </w:divBdr>
    </w:div>
    <w:div w:id="898171275">
      <w:bodyDiv w:val="1"/>
      <w:marLeft w:val="0"/>
      <w:marRight w:val="0"/>
      <w:marTop w:val="0"/>
      <w:marBottom w:val="0"/>
      <w:divBdr>
        <w:top w:val="none" w:sz="0" w:space="0" w:color="auto"/>
        <w:left w:val="none" w:sz="0" w:space="0" w:color="auto"/>
        <w:bottom w:val="none" w:sz="0" w:space="0" w:color="auto"/>
        <w:right w:val="none" w:sz="0" w:space="0" w:color="auto"/>
      </w:divBdr>
    </w:div>
    <w:div w:id="933824533">
      <w:bodyDiv w:val="1"/>
      <w:marLeft w:val="0"/>
      <w:marRight w:val="0"/>
      <w:marTop w:val="0"/>
      <w:marBottom w:val="0"/>
      <w:divBdr>
        <w:top w:val="none" w:sz="0" w:space="0" w:color="auto"/>
        <w:left w:val="none" w:sz="0" w:space="0" w:color="auto"/>
        <w:bottom w:val="none" w:sz="0" w:space="0" w:color="auto"/>
        <w:right w:val="none" w:sz="0" w:space="0" w:color="auto"/>
      </w:divBdr>
    </w:div>
    <w:div w:id="970793711">
      <w:bodyDiv w:val="1"/>
      <w:marLeft w:val="0"/>
      <w:marRight w:val="0"/>
      <w:marTop w:val="0"/>
      <w:marBottom w:val="0"/>
      <w:divBdr>
        <w:top w:val="none" w:sz="0" w:space="0" w:color="auto"/>
        <w:left w:val="none" w:sz="0" w:space="0" w:color="auto"/>
        <w:bottom w:val="none" w:sz="0" w:space="0" w:color="auto"/>
        <w:right w:val="none" w:sz="0" w:space="0" w:color="auto"/>
      </w:divBdr>
    </w:div>
    <w:div w:id="972516997">
      <w:bodyDiv w:val="1"/>
      <w:marLeft w:val="0"/>
      <w:marRight w:val="0"/>
      <w:marTop w:val="0"/>
      <w:marBottom w:val="0"/>
      <w:divBdr>
        <w:top w:val="none" w:sz="0" w:space="0" w:color="auto"/>
        <w:left w:val="none" w:sz="0" w:space="0" w:color="auto"/>
        <w:bottom w:val="none" w:sz="0" w:space="0" w:color="auto"/>
        <w:right w:val="none" w:sz="0" w:space="0" w:color="auto"/>
      </w:divBdr>
    </w:div>
    <w:div w:id="1012679722">
      <w:bodyDiv w:val="1"/>
      <w:marLeft w:val="0"/>
      <w:marRight w:val="0"/>
      <w:marTop w:val="0"/>
      <w:marBottom w:val="0"/>
      <w:divBdr>
        <w:top w:val="none" w:sz="0" w:space="0" w:color="auto"/>
        <w:left w:val="none" w:sz="0" w:space="0" w:color="auto"/>
        <w:bottom w:val="none" w:sz="0" w:space="0" w:color="auto"/>
        <w:right w:val="none" w:sz="0" w:space="0" w:color="auto"/>
      </w:divBdr>
    </w:div>
    <w:div w:id="1018190345">
      <w:bodyDiv w:val="1"/>
      <w:marLeft w:val="0"/>
      <w:marRight w:val="0"/>
      <w:marTop w:val="0"/>
      <w:marBottom w:val="0"/>
      <w:divBdr>
        <w:top w:val="none" w:sz="0" w:space="0" w:color="auto"/>
        <w:left w:val="none" w:sz="0" w:space="0" w:color="auto"/>
        <w:bottom w:val="none" w:sz="0" w:space="0" w:color="auto"/>
        <w:right w:val="none" w:sz="0" w:space="0" w:color="auto"/>
      </w:divBdr>
    </w:div>
    <w:div w:id="1035232975">
      <w:bodyDiv w:val="1"/>
      <w:marLeft w:val="0"/>
      <w:marRight w:val="0"/>
      <w:marTop w:val="0"/>
      <w:marBottom w:val="0"/>
      <w:divBdr>
        <w:top w:val="none" w:sz="0" w:space="0" w:color="auto"/>
        <w:left w:val="none" w:sz="0" w:space="0" w:color="auto"/>
        <w:bottom w:val="none" w:sz="0" w:space="0" w:color="auto"/>
        <w:right w:val="none" w:sz="0" w:space="0" w:color="auto"/>
      </w:divBdr>
    </w:div>
    <w:div w:id="1063677549">
      <w:bodyDiv w:val="1"/>
      <w:marLeft w:val="0"/>
      <w:marRight w:val="0"/>
      <w:marTop w:val="0"/>
      <w:marBottom w:val="0"/>
      <w:divBdr>
        <w:top w:val="none" w:sz="0" w:space="0" w:color="auto"/>
        <w:left w:val="none" w:sz="0" w:space="0" w:color="auto"/>
        <w:bottom w:val="none" w:sz="0" w:space="0" w:color="auto"/>
        <w:right w:val="none" w:sz="0" w:space="0" w:color="auto"/>
      </w:divBdr>
    </w:div>
    <w:div w:id="1081214202">
      <w:bodyDiv w:val="1"/>
      <w:marLeft w:val="0"/>
      <w:marRight w:val="0"/>
      <w:marTop w:val="0"/>
      <w:marBottom w:val="0"/>
      <w:divBdr>
        <w:top w:val="none" w:sz="0" w:space="0" w:color="auto"/>
        <w:left w:val="none" w:sz="0" w:space="0" w:color="auto"/>
        <w:bottom w:val="none" w:sz="0" w:space="0" w:color="auto"/>
        <w:right w:val="none" w:sz="0" w:space="0" w:color="auto"/>
      </w:divBdr>
    </w:div>
    <w:div w:id="1084644819">
      <w:bodyDiv w:val="1"/>
      <w:marLeft w:val="0"/>
      <w:marRight w:val="0"/>
      <w:marTop w:val="0"/>
      <w:marBottom w:val="0"/>
      <w:divBdr>
        <w:top w:val="none" w:sz="0" w:space="0" w:color="auto"/>
        <w:left w:val="none" w:sz="0" w:space="0" w:color="auto"/>
        <w:bottom w:val="none" w:sz="0" w:space="0" w:color="auto"/>
        <w:right w:val="none" w:sz="0" w:space="0" w:color="auto"/>
      </w:divBdr>
    </w:div>
    <w:div w:id="1094398906">
      <w:bodyDiv w:val="1"/>
      <w:marLeft w:val="0"/>
      <w:marRight w:val="0"/>
      <w:marTop w:val="0"/>
      <w:marBottom w:val="0"/>
      <w:divBdr>
        <w:top w:val="none" w:sz="0" w:space="0" w:color="auto"/>
        <w:left w:val="none" w:sz="0" w:space="0" w:color="auto"/>
        <w:bottom w:val="none" w:sz="0" w:space="0" w:color="auto"/>
        <w:right w:val="none" w:sz="0" w:space="0" w:color="auto"/>
      </w:divBdr>
    </w:div>
    <w:div w:id="1096094392">
      <w:bodyDiv w:val="1"/>
      <w:marLeft w:val="0"/>
      <w:marRight w:val="0"/>
      <w:marTop w:val="0"/>
      <w:marBottom w:val="0"/>
      <w:divBdr>
        <w:top w:val="none" w:sz="0" w:space="0" w:color="auto"/>
        <w:left w:val="none" w:sz="0" w:space="0" w:color="auto"/>
        <w:bottom w:val="none" w:sz="0" w:space="0" w:color="auto"/>
        <w:right w:val="none" w:sz="0" w:space="0" w:color="auto"/>
      </w:divBdr>
    </w:div>
    <w:div w:id="1120607710">
      <w:bodyDiv w:val="1"/>
      <w:marLeft w:val="0"/>
      <w:marRight w:val="0"/>
      <w:marTop w:val="0"/>
      <w:marBottom w:val="0"/>
      <w:divBdr>
        <w:top w:val="none" w:sz="0" w:space="0" w:color="auto"/>
        <w:left w:val="none" w:sz="0" w:space="0" w:color="auto"/>
        <w:bottom w:val="none" w:sz="0" w:space="0" w:color="auto"/>
        <w:right w:val="none" w:sz="0" w:space="0" w:color="auto"/>
      </w:divBdr>
    </w:div>
    <w:div w:id="1134130242">
      <w:bodyDiv w:val="1"/>
      <w:marLeft w:val="0"/>
      <w:marRight w:val="0"/>
      <w:marTop w:val="0"/>
      <w:marBottom w:val="0"/>
      <w:divBdr>
        <w:top w:val="none" w:sz="0" w:space="0" w:color="auto"/>
        <w:left w:val="none" w:sz="0" w:space="0" w:color="auto"/>
        <w:bottom w:val="none" w:sz="0" w:space="0" w:color="auto"/>
        <w:right w:val="none" w:sz="0" w:space="0" w:color="auto"/>
      </w:divBdr>
    </w:div>
    <w:div w:id="1154759160">
      <w:bodyDiv w:val="1"/>
      <w:marLeft w:val="0"/>
      <w:marRight w:val="0"/>
      <w:marTop w:val="0"/>
      <w:marBottom w:val="0"/>
      <w:divBdr>
        <w:top w:val="none" w:sz="0" w:space="0" w:color="auto"/>
        <w:left w:val="none" w:sz="0" w:space="0" w:color="auto"/>
        <w:bottom w:val="none" w:sz="0" w:space="0" w:color="auto"/>
        <w:right w:val="none" w:sz="0" w:space="0" w:color="auto"/>
      </w:divBdr>
    </w:div>
    <w:div w:id="1161854222">
      <w:bodyDiv w:val="1"/>
      <w:marLeft w:val="0"/>
      <w:marRight w:val="0"/>
      <w:marTop w:val="0"/>
      <w:marBottom w:val="0"/>
      <w:divBdr>
        <w:top w:val="none" w:sz="0" w:space="0" w:color="auto"/>
        <w:left w:val="none" w:sz="0" w:space="0" w:color="auto"/>
        <w:bottom w:val="none" w:sz="0" w:space="0" w:color="auto"/>
        <w:right w:val="none" w:sz="0" w:space="0" w:color="auto"/>
      </w:divBdr>
    </w:div>
    <w:div w:id="1163545497">
      <w:bodyDiv w:val="1"/>
      <w:marLeft w:val="0"/>
      <w:marRight w:val="0"/>
      <w:marTop w:val="0"/>
      <w:marBottom w:val="0"/>
      <w:divBdr>
        <w:top w:val="none" w:sz="0" w:space="0" w:color="auto"/>
        <w:left w:val="none" w:sz="0" w:space="0" w:color="auto"/>
        <w:bottom w:val="none" w:sz="0" w:space="0" w:color="auto"/>
        <w:right w:val="none" w:sz="0" w:space="0" w:color="auto"/>
      </w:divBdr>
    </w:div>
    <w:div w:id="1169834707">
      <w:bodyDiv w:val="1"/>
      <w:marLeft w:val="0"/>
      <w:marRight w:val="0"/>
      <w:marTop w:val="0"/>
      <w:marBottom w:val="0"/>
      <w:divBdr>
        <w:top w:val="none" w:sz="0" w:space="0" w:color="auto"/>
        <w:left w:val="none" w:sz="0" w:space="0" w:color="auto"/>
        <w:bottom w:val="none" w:sz="0" w:space="0" w:color="auto"/>
        <w:right w:val="none" w:sz="0" w:space="0" w:color="auto"/>
      </w:divBdr>
    </w:div>
    <w:div w:id="1195776638">
      <w:bodyDiv w:val="1"/>
      <w:marLeft w:val="0"/>
      <w:marRight w:val="0"/>
      <w:marTop w:val="0"/>
      <w:marBottom w:val="0"/>
      <w:divBdr>
        <w:top w:val="none" w:sz="0" w:space="0" w:color="auto"/>
        <w:left w:val="none" w:sz="0" w:space="0" w:color="auto"/>
        <w:bottom w:val="none" w:sz="0" w:space="0" w:color="auto"/>
        <w:right w:val="none" w:sz="0" w:space="0" w:color="auto"/>
      </w:divBdr>
    </w:div>
    <w:div w:id="1214393456">
      <w:bodyDiv w:val="1"/>
      <w:marLeft w:val="0"/>
      <w:marRight w:val="0"/>
      <w:marTop w:val="0"/>
      <w:marBottom w:val="0"/>
      <w:divBdr>
        <w:top w:val="none" w:sz="0" w:space="0" w:color="auto"/>
        <w:left w:val="none" w:sz="0" w:space="0" w:color="auto"/>
        <w:bottom w:val="none" w:sz="0" w:space="0" w:color="auto"/>
        <w:right w:val="none" w:sz="0" w:space="0" w:color="auto"/>
      </w:divBdr>
    </w:div>
    <w:div w:id="1219972260">
      <w:bodyDiv w:val="1"/>
      <w:marLeft w:val="0"/>
      <w:marRight w:val="0"/>
      <w:marTop w:val="0"/>
      <w:marBottom w:val="0"/>
      <w:divBdr>
        <w:top w:val="none" w:sz="0" w:space="0" w:color="auto"/>
        <w:left w:val="none" w:sz="0" w:space="0" w:color="auto"/>
        <w:bottom w:val="none" w:sz="0" w:space="0" w:color="auto"/>
        <w:right w:val="none" w:sz="0" w:space="0" w:color="auto"/>
      </w:divBdr>
    </w:div>
    <w:div w:id="1222060243">
      <w:bodyDiv w:val="1"/>
      <w:marLeft w:val="0"/>
      <w:marRight w:val="0"/>
      <w:marTop w:val="0"/>
      <w:marBottom w:val="0"/>
      <w:divBdr>
        <w:top w:val="none" w:sz="0" w:space="0" w:color="auto"/>
        <w:left w:val="none" w:sz="0" w:space="0" w:color="auto"/>
        <w:bottom w:val="none" w:sz="0" w:space="0" w:color="auto"/>
        <w:right w:val="none" w:sz="0" w:space="0" w:color="auto"/>
      </w:divBdr>
    </w:div>
    <w:div w:id="1272861352">
      <w:bodyDiv w:val="1"/>
      <w:marLeft w:val="0"/>
      <w:marRight w:val="0"/>
      <w:marTop w:val="0"/>
      <w:marBottom w:val="0"/>
      <w:divBdr>
        <w:top w:val="none" w:sz="0" w:space="0" w:color="auto"/>
        <w:left w:val="none" w:sz="0" w:space="0" w:color="auto"/>
        <w:bottom w:val="none" w:sz="0" w:space="0" w:color="auto"/>
        <w:right w:val="none" w:sz="0" w:space="0" w:color="auto"/>
      </w:divBdr>
    </w:div>
    <w:div w:id="1309239260">
      <w:bodyDiv w:val="1"/>
      <w:marLeft w:val="0"/>
      <w:marRight w:val="0"/>
      <w:marTop w:val="0"/>
      <w:marBottom w:val="0"/>
      <w:divBdr>
        <w:top w:val="none" w:sz="0" w:space="0" w:color="auto"/>
        <w:left w:val="none" w:sz="0" w:space="0" w:color="auto"/>
        <w:bottom w:val="none" w:sz="0" w:space="0" w:color="auto"/>
        <w:right w:val="none" w:sz="0" w:space="0" w:color="auto"/>
      </w:divBdr>
    </w:div>
    <w:div w:id="1327440987">
      <w:bodyDiv w:val="1"/>
      <w:marLeft w:val="0"/>
      <w:marRight w:val="0"/>
      <w:marTop w:val="0"/>
      <w:marBottom w:val="0"/>
      <w:divBdr>
        <w:top w:val="none" w:sz="0" w:space="0" w:color="auto"/>
        <w:left w:val="none" w:sz="0" w:space="0" w:color="auto"/>
        <w:bottom w:val="none" w:sz="0" w:space="0" w:color="auto"/>
        <w:right w:val="none" w:sz="0" w:space="0" w:color="auto"/>
      </w:divBdr>
    </w:div>
    <w:div w:id="1338272255">
      <w:bodyDiv w:val="1"/>
      <w:marLeft w:val="0"/>
      <w:marRight w:val="0"/>
      <w:marTop w:val="0"/>
      <w:marBottom w:val="0"/>
      <w:divBdr>
        <w:top w:val="none" w:sz="0" w:space="0" w:color="auto"/>
        <w:left w:val="none" w:sz="0" w:space="0" w:color="auto"/>
        <w:bottom w:val="none" w:sz="0" w:space="0" w:color="auto"/>
        <w:right w:val="none" w:sz="0" w:space="0" w:color="auto"/>
      </w:divBdr>
    </w:div>
    <w:div w:id="1350569442">
      <w:bodyDiv w:val="1"/>
      <w:marLeft w:val="0"/>
      <w:marRight w:val="0"/>
      <w:marTop w:val="0"/>
      <w:marBottom w:val="0"/>
      <w:divBdr>
        <w:top w:val="none" w:sz="0" w:space="0" w:color="auto"/>
        <w:left w:val="none" w:sz="0" w:space="0" w:color="auto"/>
        <w:bottom w:val="none" w:sz="0" w:space="0" w:color="auto"/>
        <w:right w:val="none" w:sz="0" w:space="0" w:color="auto"/>
      </w:divBdr>
    </w:div>
    <w:div w:id="1374623251">
      <w:bodyDiv w:val="1"/>
      <w:marLeft w:val="0"/>
      <w:marRight w:val="0"/>
      <w:marTop w:val="0"/>
      <w:marBottom w:val="0"/>
      <w:divBdr>
        <w:top w:val="none" w:sz="0" w:space="0" w:color="auto"/>
        <w:left w:val="none" w:sz="0" w:space="0" w:color="auto"/>
        <w:bottom w:val="none" w:sz="0" w:space="0" w:color="auto"/>
        <w:right w:val="none" w:sz="0" w:space="0" w:color="auto"/>
      </w:divBdr>
    </w:div>
    <w:div w:id="1394505736">
      <w:bodyDiv w:val="1"/>
      <w:marLeft w:val="0"/>
      <w:marRight w:val="0"/>
      <w:marTop w:val="0"/>
      <w:marBottom w:val="0"/>
      <w:divBdr>
        <w:top w:val="none" w:sz="0" w:space="0" w:color="auto"/>
        <w:left w:val="none" w:sz="0" w:space="0" w:color="auto"/>
        <w:bottom w:val="none" w:sz="0" w:space="0" w:color="auto"/>
        <w:right w:val="none" w:sz="0" w:space="0" w:color="auto"/>
      </w:divBdr>
    </w:div>
    <w:div w:id="1402023537">
      <w:bodyDiv w:val="1"/>
      <w:marLeft w:val="0"/>
      <w:marRight w:val="0"/>
      <w:marTop w:val="0"/>
      <w:marBottom w:val="0"/>
      <w:divBdr>
        <w:top w:val="none" w:sz="0" w:space="0" w:color="auto"/>
        <w:left w:val="none" w:sz="0" w:space="0" w:color="auto"/>
        <w:bottom w:val="none" w:sz="0" w:space="0" w:color="auto"/>
        <w:right w:val="none" w:sz="0" w:space="0" w:color="auto"/>
      </w:divBdr>
    </w:div>
    <w:div w:id="1404796487">
      <w:bodyDiv w:val="1"/>
      <w:marLeft w:val="0"/>
      <w:marRight w:val="0"/>
      <w:marTop w:val="0"/>
      <w:marBottom w:val="0"/>
      <w:divBdr>
        <w:top w:val="none" w:sz="0" w:space="0" w:color="auto"/>
        <w:left w:val="none" w:sz="0" w:space="0" w:color="auto"/>
        <w:bottom w:val="none" w:sz="0" w:space="0" w:color="auto"/>
        <w:right w:val="none" w:sz="0" w:space="0" w:color="auto"/>
      </w:divBdr>
    </w:div>
    <w:div w:id="1425154574">
      <w:bodyDiv w:val="1"/>
      <w:marLeft w:val="0"/>
      <w:marRight w:val="0"/>
      <w:marTop w:val="0"/>
      <w:marBottom w:val="0"/>
      <w:divBdr>
        <w:top w:val="none" w:sz="0" w:space="0" w:color="auto"/>
        <w:left w:val="none" w:sz="0" w:space="0" w:color="auto"/>
        <w:bottom w:val="none" w:sz="0" w:space="0" w:color="auto"/>
        <w:right w:val="none" w:sz="0" w:space="0" w:color="auto"/>
      </w:divBdr>
    </w:div>
    <w:div w:id="1438986015">
      <w:bodyDiv w:val="1"/>
      <w:marLeft w:val="0"/>
      <w:marRight w:val="0"/>
      <w:marTop w:val="0"/>
      <w:marBottom w:val="0"/>
      <w:divBdr>
        <w:top w:val="none" w:sz="0" w:space="0" w:color="auto"/>
        <w:left w:val="none" w:sz="0" w:space="0" w:color="auto"/>
        <w:bottom w:val="none" w:sz="0" w:space="0" w:color="auto"/>
        <w:right w:val="none" w:sz="0" w:space="0" w:color="auto"/>
      </w:divBdr>
    </w:div>
    <w:div w:id="1450051950">
      <w:bodyDiv w:val="1"/>
      <w:marLeft w:val="0"/>
      <w:marRight w:val="0"/>
      <w:marTop w:val="0"/>
      <w:marBottom w:val="0"/>
      <w:divBdr>
        <w:top w:val="none" w:sz="0" w:space="0" w:color="auto"/>
        <w:left w:val="none" w:sz="0" w:space="0" w:color="auto"/>
        <w:bottom w:val="none" w:sz="0" w:space="0" w:color="auto"/>
        <w:right w:val="none" w:sz="0" w:space="0" w:color="auto"/>
      </w:divBdr>
    </w:div>
    <w:div w:id="1452361426">
      <w:bodyDiv w:val="1"/>
      <w:marLeft w:val="0"/>
      <w:marRight w:val="0"/>
      <w:marTop w:val="0"/>
      <w:marBottom w:val="0"/>
      <w:divBdr>
        <w:top w:val="none" w:sz="0" w:space="0" w:color="auto"/>
        <w:left w:val="none" w:sz="0" w:space="0" w:color="auto"/>
        <w:bottom w:val="none" w:sz="0" w:space="0" w:color="auto"/>
        <w:right w:val="none" w:sz="0" w:space="0" w:color="auto"/>
      </w:divBdr>
    </w:div>
    <w:div w:id="1461876761">
      <w:bodyDiv w:val="1"/>
      <w:marLeft w:val="0"/>
      <w:marRight w:val="0"/>
      <w:marTop w:val="0"/>
      <w:marBottom w:val="0"/>
      <w:divBdr>
        <w:top w:val="none" w:sz="0" w:space="0" w:color="auto"/>
        <w:left w:val="none" w:sz="0" w:space="0" w:color="auto"/>
        <w:bottom w:val="none" w:sz="0" w:space="0" w:color="auto"/>
        <w:right w:val="none" w:sz="0" w:space="0" w:color="auto"/>
      </w:divBdr>
    </w:div>
    <w:div w:id="1468086967">
      <w:bodyDiv w:val="1"/>
      <w:marLeft w:val="0"/>
      <w:marRight w:val="0"/>
      <w:marTop w:val="0"/>
      <w:marBottom w:val="0"/>
      <w:divBdr>
        <w:top w:val="none" w:sz="0" w:space="0" w:color="auto"/>
        <w:left w:val="none" w:sz="0" w:space="0" w:color="auto"/>
        <w:bottom w:val="none" w:sz="0" w:space="0" w:color="auto"/>
        <w:right w:val="none" w:sz="0" w:space="0" w:color="auto"/>
      </w:divBdr>
    </w:div>
    <w:div w:id="1480658654">
      <w:bodyDiv w:val="1"/>
      <w:marLeft w:val="0"/>
      <w:marRight w:val="0"/>
      <w:marTop w:val="0"/>
      <w:marBottom w:val="0"/>
      <w:divBdr>
        <w:top w:val="none" w:sz="0" w:space="0" w:color="auto"/>
        <w:left w:val="none" w:sz="0" w:space="0" w:color="auto"/>
        <w:bottom w:val="none" w:sz="0" w:space="0" w:color="auto"/>
        <w:right w:val="none" w:sz="0" w:space="0" w:color="auto"/>
      </w:divBdr>
    </w:div>
    <w:div w:id="1482695752">
      <w:bodyDiv w:val="1"/>
      <w:marLeft w:val="0"/>
      <w:marRight w:val="0"/>
      <w:marTop w:val="0"/>
      <w:marBottom w:val="0"/>
      <w:divBdr>
        <w:top w:val="none" w:sz="0" w:space="0" w:color="auto"/>
        <w:left w:val="none" w:sz="0" w:space="0" w:color="auto"/>
        <w:bottom w:val="none" w:sz="0" w:space="0" w:color="auto"/>
        <w:right w:val="none" w:sz="0" w:space="0" w:color="auto"/>
      </w:divBdr>
    </w:div>
    <w:div w:id="1492141419">
      <w:bodyDiv w:val="1"/>
      <w:marLeft w:val="0"/>
      <w:marRight w:val="0"/>
      <w:marTop w:val="0"/>
      <w:marBottom w:val="0"/>
      <w:divBdr>
        <w:top w:val="none" w:sz="0" w:space="0" w:color="auto"/>
        <w:left w:val="none" w:sz="0" w:space="0" w:color="auto"/>
        <w:bottom w:val="none" w:sz="0" w:space="0" w:color="auto"/>
        <w:right w:val="none" w:sz="0" w:space="0" w:color="auto"/>
      </w:divBdr>
    </w:div>
    <w:div w:id="1512405994">
      <w:bodyDiv w:val="1"/>
      <w:marLeft w:val="0"/>
      <w:marRight w:val="0"/>
      <w:marTop w:val="0"/>
      <w:marBottom w:val="0"/>
      <w:divBdr>
        <w:top w:val="none" w:sz="0" w:space="0" w:color="auto"/>
        <w:left w:val="none" w:sz="0" w:space="0" w:color="auto"/>
        <w:bottom w:val="none" w:sz="0" w:space="0" w:color="auto"/>
        <w:right w:val="none" w:sz="0" w:space="0" w:color="auto"/>
      </w:divBdr>
    </w:div>
    <w:div w:id="1512603500">
      <w:bodyDiv w:val="1"/>
      <w:marLeft w:val="0"/>
      <w:marRight w:val="0"/>
      <w:marTop w:val="0"/>
      <w:marBottom w:val="0"/>
      <w:divBdr>
        <w:top w:val="none" w:sz="0" w:space="0" w:color="auto"/>
        <w:left w:val="none" w:sz="0" w:space="0" w:color="auto"/>
        <w:bottom w:val="none" w:sz="0" w:space="0" w:color="auto"/>
        <w:right w:val="none" w:sz="0" w:space="0" w:color="auto"/>
      </w:divBdr>
    </w:div>
    <w:div w:id="1518690528">
      <w:bodyDiv w:val="1"/>
      <w:marLeft w:val="0"/>
      <w:marRight w:val="0"/>
      <w:marTop w:val="0"/>
      <w:marBottom w:val="0"/>
      <w:divBdr>
        <w:top w:val="none" w:sz="0" w:space="0" w:color="auto"/>
        <w:left w:val="none" w:sz="0" w:space="0" w:color="auto"/>
        <w:bottom w:val="none" w:sz="0" w:space="0" w:color="auto"/>
        <w:right w:val="none" w:sz="0" w:space="0" w:color="auto"/>
      </w:divBdr>
    </w:div>
    <w:div w:id="1543714739">
      <w:bodyDiv w:val="1"/>
      <w:marLeft w:val="0"/>
      <w:marRight w:val="0"/>
      <w:marTop w:val="0"/>
      <w:marBottom w:val="0"/>
      <w:divBdr>
        <w:top w:val="none" w:sz="0" w:space="0" w:color="auto"/>
        <w:left w:val="none" w:sz="0" w:space="0" w:color="auto"/>
        <w:bottom w:val="none" w:sz="0" w:space="0" w:color="auto"/>
        <w:right w:val="none" w:sz="0" w:space="0" w:color="auto"/>
      </w:divBdr>
    </w:div>
    <w:div w:id="1574776707">
      <w:bodyDiv w:val="1"/>
      <w:marLeft w:val="0"/>
      <w:marRight w:val="0"/>
      <w:marTop w:val="0"/>
      <w:marBottom w:val="0"/>
      <w:divBdr>
        <w:top w:val="none" w:sz="0" w:space="0" w:color="auto"/>
        <w:left w:val="none" w:sz="0" w:space="0" w:color="auto"/>
        <w:bottom w:val="none" w:sz="0" w:space="0" w:color="auto"/>
        <w:right w:val="none" w:sz="0" w:space="0" w:color="auto"/>
      </w:divBdr>
    </w:div>
    <w:div w:id="1582518203">
      <w:bodyDiv w:val="1"/>
      <w:marLeft w:val="0"/>
      <w:marRight w:val="0"/>
      <w:marTop w:val="0"/>
      <w:marBottom w:val="0"/>
      <w:divBdr>
        <w:top w:val="none" w:sz="0" w:space="0" w:color="auto"/>
        <w:left w:val="none" w:sz="0" w:space="0" w:color="auto"/>
        <w:bottom w:val="none" w:sz="0" w:space="0" w:color="auto"/>
        <w:right w:val="none" w:sz="0" w:space="0" w:color="auto"/>
      </w:divBdr>
    </w:div>
    <w:div w:id="1602687862">
      <w:bodyDiv w:val="1"/>
      <w:marLeft w:val="0"/>
      <w:marRight w:val="0"/>
      <w:marTop w:val="0"/>
      <w:marBottom w:val="0"/>
      <w:divBdr>
        <w:top w:val="none" w:sz="0" w:space="0" w:color="auto"/>
        <w:left w:val="none" w:sz="0" w:space="0" w:color="auto"/>
        <w:bottom w:val="none" w:sz="0" w:space="0" w:color="auto"/>
        <w:right w:val="none" w:sz="0" w:space="0" w:color="auto"/>
      </w:divBdr>
    </w:div>
    <w:div w:id="1610971926">
      <w:bodyDiv w:val="1"/>
      <w:marLeft w:val="0"/>
      <w:marRight w:val="0"/>
      <w:marTop w:val="0"/>
      <w:marBottom w:val="0"/>
      <w:divBdr>
        <w:top w:val="none" w:sz="0" w:space="0" w:color="auto"/>
        <w:left w:val="none" w:sz="0" w:space="0" w:color="auto"/>
        <w:bottom w:val="none" w:sz="0" w:space="0" w:color="auto"/>
        <w:right w:val="none" w:sz="0" w:space="0" w:color="auto"/>
      </w:divBdr>
    </w:div>
    <w:div w:id="1640695032">
      <w:bodyDiv w:val="1"/>
      <w:marLeft w:val="0"/>
      <w:marRight w:val="0"/>
      <w:marTop w:val="0"/>
      <w:marBottom w:val="0"/>
      <w:divBdr>
        <w:top w:val="none" w:sz="0" w:space="0" w:color="auto"/>
        <w:left w:val="none" w:sz="0" w:space="0" w:color="auto"/>
        <w:bottom w:val="none" w:sz="0" w:space="0" w:color="auto"/>
        <w:right w:val="none" w:sz="0" w:space="0" w:color="auto"/>
      </w:divBdr>
    </w:div>
    <w:div w:id="1649435305">
      <w:bodyDiv w:val="1"/>
      <w:marLeft w:val="0"/>
      <w:marRight w:val="0"/>
      <w:marTop w:val="0"/>
      <w:marBottom w:val="0"/>
      <w:divBdr>
        <w:top w:val="none" w:sz="0" w:space="0" w:color="auto"/>
        <w:left w:val="none" w:sz="0" w:space="0" w:color="auto"/>
        <w:bottom w:val="none" w:sz="0" w:space="0" w:color="auto"/>
        <w:right w:val="none" w:sz="0" w:space="0" w:color="auto"/>
      </w:divBdr>
    </w:div>
    <w:div w:id="1649702469">
      <w:bodyDiv w:val="1"/>
      <w:marLeft w:val="0"/>
      <w:marRight w:val="0"/>
      <w:marTop w:val="0"/>
      <w:marBottom w:val="0"/>
      <w:divBdr>
        <w:top w:val="none" w:sz="0" w:space="0" w:color="auto"/>
        <w:left w:val="none" w:sz="0" w:space="0" w:color="auto"/>
        <w:bottom w:val="none" w:sz="0" w:space="0" w:color="auto"/>
        <w:right w:val="none" w:sz="0" w:space="0" w:color="auto"/>
      </w:divBdr>
    </w:div>
    <w:div w:id="1656256338">
      <w:bodyDiv w:val="1"/>
      <w:marLeft w:val="0"/>
      <w:marRight w:val="0"/>
      <w:marTop w:val="0"/>
      <w:marBottom w:val="0"/>
      <w:divBdr>
        <w:top w:val="none" w:sz="0" w:space="0" w:color="auto"/>
        <w:left w:val="none" w:sz="0" w:space="0" w:color="auto"/>
        <w:bottom w:val="none" w:sz="0" w:space="0" w:color="auto"/>
        <w:right w:val="none" w:sz="0" w:space="0" w:color="auto"/>
      </w:divBdr>
    </w:div>
    <w:div w:id="1656952239">
      <w:bodyDiv w:val="1"/>
      <w:marLeft w:val="0"/>
      <w:marRight w:val="0"/>
      <w:marTop w:val="0"/>
      <w:marBottom w:val="0"/>
      <w:divBdr>
        <w:top w:val="none" w:sz="0" w:space="0" w:color="auto"/>
        <w:left w:val="none" w:sz="0" w:space="0" w:color="auto"/>
        <w:bottom w:val="none" w:sz="0" w:space="0" w:color="auto"/>
        <w:right w:val="none" w:sz="0" w:space="0" w:color="auto"/>
      </w:divBdr>
    </w:div>
    <w:div w:id="1680692810">
      <w:bodyDiv w:val="1"/>
      <w:marLeft w:val="0"/>
      <w:marRight w:val="0"/>
      <w:marTop w:val="0"/>
      <w:marBottom w:val="0"/>
      <w:divBdr>
        <w:top w:val="none" w:sz="0" w:space="0" w:color="auto"/>
        <w:left w:val="none" w:sz="0" w:space="0" w:color="auto"/>
        <w:bottom w:val="none" w:sz="0" w:space="0" w:color="auto"/>
        <w:right w:val="none" w:sz="0" w:space="0" w:color="auto"/>
      </w:divBdr>
    </w:div>
    <w:div w:id="1687294139">
      <w:bodyDiv w:val="1"/>
      <w:marLeft w:val="0"/>
      <w:marRight w:val="0"/>
      <w:marTop w:val="0"/>
      <w:marBottom w:val="0"/>
      <w:divBdr>
        <w:top w:val="none" w:sz="0" w:space="0" w:color="auto"/>
        <w:left w:val="none" w:sz="0" w:space="0" w:color="auto"/>
        <w:bottom w:val="none" w:sz="0" w:space="0" w:color="auto"/>
        <w:right w:val="none" w:sz="0" w:space="0" w:color="auto"/>
      </w:divBdr>
    </w:div>
    <w:div w:id="1692947657">
      <w:bodyDiv w:val="1"/>
      <w:marLeft w:val="0"/>
      <w:marRight w:val="0"/>
      <w:marTop w:val="0"/>
      <w:marBottom w:val="0"/>
      <w:divBdr>
        <w:top w:val="none" w:sz="0" w:space="0" w:color="auto"/>
        <w:left w:val="none" w:sz="0" w:space="0" w:color="auto"/>
        <w:bottom w:val="none" w:sz="0" w:space="0" w:color="auto"/>
        <w:right w:val="none" w:sz="0" w:space="0" w:color="auto"/>
      </w:divBdr>
    </w:div>
    <w:div w:id="1694769276">
      <w:bodyDiv w:val="1"/>
      <w:marLeft w:val="0"/>
      <w:marRight w:val="0"/>
      <w:marTop w:val="0"/>
      <w:marBottom w:val="0"/>
      <w:divBdr>
        <w:top w:val="none" w:sz="0" w:space="0" w:color="auto"/>
        <w:left w:val="none" w:sz="0" w:space="0" w:color="auto"/>
        <w:bottom w:val="none" w:sz="0" w:space="0" w:color="auto"/>
        <w:right w:val="none" w:sz="0" w:space="0" w:color="auto"/>
      </w:divBdr>
    </w:div>
    <w:div w:id="1700273557">
      <w:bodyDiv w:val="1"/>
      <w:marLeft w:val="0"/>
      <w:marRight w:val="0"/>
      <w:marTop w:val="0"/>
      <w:marBottom w:val="0"/>
      <w:divBdr>
        <w:top w:val="none" w:sz="0" w:space="0" w:color="auto"/>
        <w:left w:val="none" w:sz="0" w:space="0" w:color="auto"/>
        <w:bottom w:val="none" w:sz="0" w:space="0" w:color="auto"/>
        <w:right w:val="none" w:sz="0" w:space="0" w:color="auto"/>
      </w:divBdr>
    </w:div>
    <w:div w:id="1729835609">
      <w:bodyDiv w:val="1"/>
      <w:marLeft w:val="0"/>
      <w:marRight w:val="0"/>
      <w:marTop w:val="0"/>
      <w:marBottom w:val="0"/>
      <w:divBdr>
        <w:top w:val="none" w:sz="0" w:space="0" w:color="auto"/>
        <w:left w:val="none" w:sz="0" w:space="0" w:color="auto"/>
        <w:bottom w:val="none" w:sz="0" w:space="0" w:color="auto"/>
        <w:right w:val="none" w:sz="0" w:space="0" w:color="auto"/>
      </w:divBdr>
    </w:div>
    <w:div w:id="1738742965">
      <w:bodyDiv w:val="1"/>
      <w:marLeft w:val="0"/>
      <w:marRight w:val="0"/>
      <w:marTop w:val="0"/>
      <w:marBottom w:val="0"/>
      <w:divBdr>
        <w:top w:val="none" w:sz="0" w:space="0" w:color="auto"/>
        <w:left w:val="none" w:sz="0" w:space="0" w:color="auto"/>
        <w:bottom w:val="none" w:sz="0" w:space="0" w:color="auto"/>
        <w:right w:val="none" w:sz="0" w:space="0" w:color="auto"/>
      </w:divBdr>
    </w:div>
    <w:div w:id="1745637596">
      <w:bodyDiv w:val="1"/>
      <w:marLeft w:val="0"/>
      <w:marRight w:val="0"/>
      <w:marTop w:val="0"/>
      <w:marBottom w:val="0"/>
      <w:divBdr>
        <w:top w:val="none" w:sz="0" w:space="0" w:color="auto"/>
        <w:left w:val="none" w:sz="0" w:space="0" w:color="auto"/>
        <w:bottom w:val="none" w:sz="0" w:space="0" w:color="auto"/>
        <w:right w:val="none" w:sz="0" w:space="0" w:color="auto"/>
      </w:divBdr>
    </w:div>
    <w:div w:id="1776637366">
      <w:bodyDiv w:val="1"/>
      <w:marLeft w:val="0"/>
      <w:marRight w:val="0"/>
      <w:marTop w:val="0"/>
      <w:marBottom w:val="0"/>
      <w:divBdr>
        <w:top w:val="none" w:sz="0" w:space="0" w:color="auto"/>
        <w:left w:val="none" w:sz="0" w:space="0" w:color="auto"/>
        <w:bottom w:val="none" w:sz="0" w:space="0" w:color="auto"/>
        <w:right w:val="none" w:sz="0" w:space="0" w:color="auto"/>
      </w:divBdr>
    </w:div>
    <w:div w:id="1782142797">
      <w:bodyDiv w:val="1"/>
      <w:marLeft w:val="0"/>
      <w:marRight w:val="0"/>
      <w:marTop w:val="0"/>
      <w:marBottom w:val="0"/>
      <w:divBdr>
        <w:top w:val="none" w:sz="0" w:space="0" w:color="auto"/>
        <w:left w:val="none" w:sz="0" w:space="0" w:color="auto"/>
        <w:bottom w:val="none" w:sz="0" w:space="0" w:color="auto"/>
        <w:right w:val="none" w:sz="0" w:space="0" w:color="auto"/>
      </w:divBdr>
    </w:div>
    <w:div w:id="1808623934">
      <w:bodyDiv w:val="1"/>
      <w:marLeft w:val="0"/>
      <w:marRight w:val="0"/>
      <w:marTop w:val="0"/>
      <w:marBottom w:val="0"/>
      <w:divBdr>
        <w:top w:val="none" w:sz="0" w:space="0" w:color="auto"/>
        <w:left w:val="none" w:sz="0" w:space="0" w:color="auto"/>
        <w:bottom w:val="none" w:sz="0" w:space="0" w:color="auto"/>
        <w:right w:val="none" w:sz="0" w:space="0" w:color="auto"/>
      </w:divBdr>
    </w:div>
    <w:div w:id="1835994144">
      <w:bodyDiv w:val="1"/>
      <w:marLeft w:val="0"/>
      <w:marRight w:val="0"/>
      <w:marTop w:val="0"/>
      <w:marBottom w:val="0"/>
      <w:divBdr>
        <w:top w:val="none" w:sz="0" w:space="0" w:color="auto"/>
        <w:left w:val="none" w:sz="0" w:space="0" w:color="auto"/>
        <w:bottom w:val="none" w:sz="0" w:space="0" w:color="auto"/>
        <w:right w:val="none" w:sz="0" w:space="0" w:color="auto"/>
      </w:divBdr>
    </w:div>
    <w:div w:id="1842768782">
      <w:bodyDiv w:val="1"/>
      <w:marLeft w:val="0"/>
      <w:marRight w:val="0"/>
      <w:marTop w:val="0"/>
      <w:marBottom w:val="0"/>
      <w:divBdr>
        <w:top w:val="none" w:sz="0" w:space="0" w:color="auto"/>
        <w:left w:val="none" w:sz="0" w:space="0" w:color="auto"/>
        <w:bottom w:val="none" w:sz="0" w:space="0" w:color="auto"/>
        <w:right w:val="none" w:sz="0" w:space="0" w:color="auto"/>
      </w:divBdr>
    </w:div>
    <w:div w:id="1958679444">
      <w:bodyDiv w:val="1"/>
      <w:marLeft w:val="0"/>
      <w:marRight w:val="0"/>
      <w:marTop w:val="0"/>
      <w:marBottom w:val="0"/>
      <w:divBdr>
        <w:top w:val="none" w:sz="0" w:space="0" w:color="auto"/>
        <w:left w:val="none" w:sz="0" w:space="0" w:color="auto"/>
        <w:bottom w:val="none" w:sz="0" w:space="0" w:color="auto"/>
        <w:right w:val="none" w:sz="0" w:space="0" w:color="auto"/>
      </w:divBdr>
    </w:div>
    <w:div w:id="1990860506">
      <w:bodyDiv w:val="1"/>
      <w:marLeft w:val="0"/>
      <w:marRight w:val="0"/>
      <w:marTop w:val="0"/>
      <w:marBottom w:val="0"/>
      <w:divBdr>
        <w:top w:val="none" w:sz="0" w:space="0" w:color="auto"/>
        <w:left w:val="none" w:sz="0" w:space="0" w:color="auto"/>
        <w:bottom w:val="none" w:sz="0" w:space="0" w:color="auto"/>
        <w:right w:val="none" w:sz="0" w:space="0" w:color="auto"/>
      </w:divBdr>
    </w:div>
    <w:div w:id="2010517897">
      <w:bodyDiv w:val="1"/>
      <w:marLeft w:val="0"/>
      <w:marRight w:val="0"/>
      <w:marTop w:val="0"/>
      <w:marBottom w:val="0"/>
      <w:divBdr>
        <w:top w:val="none" w:sz="0" w:space="0" w:color="auto"/>
        <w:left w:val="none" w:sz="0" w:space="0" w:color="auto"/>
        <w:bottom w:val="none" w:sz="0" w:space="0" w:color="auto"/>
        <w:right w:val="none" w:sz="0" w:space="0" w:color="auto"/>
      </w:divBdr>
    </w:div>
    <w:div w:id="2053726300">
      <w:bodyDiv w:val="1"/>
      <w:marLeft w:val="0"/>
      <w:marRight w:val="0"/>
      <w:marTop w:val="0"/>
      <w:marBottom w:val="0"/>
      <w:divBdr>
        <w:top w:val="none" w:sz="0" w:space="0" w:color="auto"/>
        <w:left w:val="none" w:sz="0" w:space="0" w:color="auto"/>
        <w:bottom w:val="none" w:sz="0" w:space="0" w:color="auto"/>
        <w:right w:val="none" w:sz="0" w:space="0" w:color="auto"/>
      </w:divBdr>
    </w:div>
    <w:div w:id="2069262735">
      <w:bodyDiv w:val="1"/>
      <w:marLeft w:val="0"/>
      <w:marRight w:val="0"/>
      <w:marTop w:val="0"/>
      <w:marBottom w:val="0"/>
      <w:divBdr>
        <w:top w:val="none" w:sz="0" w:space="0" w:color="auto"/>
        <w:left w:val="none" w:sz="0" w:space="0" w:color="auto"/>
        <w:bottom w:val="none" w:sz="0" w:space="0" w:color="auto"/>
        <w:right w:val="none" w:sz="0" w:space="0" w:color="auto"/>
      </w:divBdr>
    </w:div>
    <w:div w:id="2070688347">
      <w:bodyDiv w:val="1"/>
      <w:marLeft w:val="0"/>
      <w:marRight w:val="0"/>
      <w:marTop w:val="0"/>
      <w:marBottom w:val="0"/>
      <w:divBdr>
        <w:top w:val="none" w:sz="0" w:space="0" w:color="auto"/>
        <w:left w:val="none" w:sz="0" w:space="0" w:color="auto"/>
        <w:bottom w:val="none" w:sz="0" w:space="0" w:color="auto"/>
        <w:right w:val="none" w:sz="0" w:space="0" w:color="auto"/>
      </w:divBdr>
    </w:div>
    <w:div w:id="2098597891">
      <w:bodyDiv w:val="1"/>
      <w:marLeft w:val="0"/>
      <w:marRight w:val="0"/>
      <w:marTop w:val="0"/>
      <w:marBottom w:val="0"/>
      <w:divBdr>
        <w:top w:val="none" w:sz="0" w:space="0" w:color="auto"/>
        <w:left w:val="none" w:sz="0" w:space="0" w:color="auto"/>
        <w:bottom w:val="none" w:sz="0" w:space="0" w:color="auto"/>
        <w:right w:val="none" w:sz="0" w:space="0" w:color="auto"/>
      </w:divBdr>
    </w:div>
    <w:div w:id="2107069021">
      <w:bodyDiv w:val="1"/>
      <w:marLeft w:val="0"/>
      <w:marRight w:val="0"/>
      <w:marTop w:val="0"/>
      <w:marBottom w:val="0"/>
      <w:divBdr>
        <w:top w:val="none" w:sz="0" w:space="0" w:color="auto"/>
        <w:left w:val="none" w:sz="0" w:space="0" w:color="auto"/>
        <w:bottom w:val="none" w:sz="0" w:space="0" w:color="auto"/>
        <w:right w:val="none" w:sz="0" w:space="0" w:color="auto"/>
      </w:divBdr>
    </w:div>
    <w:div w:id="2127769506">
      <w:bodyDiv w:val="1"/>
      <w:marLeft w:val="0"/>
      <w:marRight w:val="0"/>
      <w:marTop w:val="0"/>
      <w:marBottom w:val="0"/>
      <w:divBdr>
        <w:top w:val="none" w:sz="0" w:space="0" w:color="auto"/>
        <w:left w:val="none" w:sz="0" w:space="0" w:color="auto"/>
        <w:bottom w:val="none" w:sz="0" w:space="0" w:color="auto"/>
        <w:right w:val="none" w:sz="0" w:space="0" w:color="auto"/>
      </w:divBdr>
    </w:div>
    <w:div w:id="2140100829">
      <w:bodyDiv w:val="1"/>
      <w:marLeft w:val="0"/>
      <w:marRight w:val="0"/>
      <w:marTop w:val="0"/>
      <w:marBottom w:val="0"/>
      <w:divBdr>
        <w:top w:val="none" w:sz="0" w:space="0" w:color="auto"/>
        <w:left w:val="none" w:sz="0" w:space="0" w:color="auto"/>
        <w:bottom w:val="none" w:sz="0" w:space="0" w:color="auto"/>
        <w:right w:val="none" w:sz="0" w:space="0" w:color="auto"/>
      </w:divBdr>
    </w:div>
    <w:div w:id="2142185074">
      <w:bodyDiv w:val="1"/>
      <w:marLeft w:val="0"/>
      <w:marRight w:val="0"/>
      <w:marTop w:val="0"/>
      <w:marBottom w:val="0"/>
      <w:divBdr>
        <w:top w:val="none" w:sz="0" w:space="0" w:color="auto"/>
        <w:left w:val="none" w:sz="0" w:space="0" w:color="auto"/>
        <w:bottom w:val="none" w:sz="0" w:space="0" w:color="auto"/>
        <w:right w:val="none" w:sz="0" w:space="0" w:color="auto"/>
      </w:divBdr>
    </w:div>
    <w:div w:id="2142838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21" Type="http://schemas.openxmlformats.org/officeDocument/2006/relationships/chart" Target="charts/chart12.xml"/><Relationship Id="rId42" Type="http://schemas.openxmlformats.org/officeDocument/2006/relationships/chart" Target="charts/chart33.xml"/><Relationship Id="rId47" Type="http://schemas.openxmlformats.org/officeDocument/2006/relationships/chart" Target="charts/chart38.xml"/><Relationship Id="rId63" Type="http://schemas.openxmlformats.org/officeDocument/2006/relationships/chart" Target="charts/chart54.xml"/><Relationship Id="rId68" Type="http://schemas.openxmlformats.org/officeDocument/2006/relationships/chart" Target="charts/chart59.xml"/><Relationship Id="rId84" Type="http://schemas.openxmlformats.org/officeDocument/2006/relationships/chart" Target="charts/chart71.xml"/><Relationship Id="rId89" Type="http://schemas.openxmlformats.org/officeDocument/2006/relationships/chart" Target="charts/chart76.xml"/><Relationship Id="rId16" Type="http://schemas.openxmlformats.org/officeDocument/2006/relationships/chart" Target="charts/chart7.xml"/><Relationship Id="rId11" Type="http://schemas.openxmlformats.org/officeDocument/2006/relationships/chart" Target="charts/chart2.xml"/><Relationship Id="rId32" Type="http://schemas.openxmlformats.org/officeDocument/2006/relationships/chart" Target="charts/chart23.xml"/><Relationship Id="rId37" Type="http://schemas.openxmlformats.org/officeDocument/2006/relationships/chart" Target="charts/chart28.xml"/><Relationship Id="rId53" Type="http://schemas.openxmlformats.org/officeDocument/2006/relationships/chart" Target="charts/chart44.xml"/><Relationship Id="rId58" Type="http://schemas.openxmlformats.org/officeDocument/2006/relationships/chart" Target="charts/chart49.xml"/><Relationship Id="rId74" Type="http://schemas.openxmlformats.org/officeDocument/2006/relationships/chart" Target="charts/chart65.xml"/><Relationship Id="rId79" Type="http://schemas.openxmlformats.org/officeDocument/2006/relationships/image" Target="media/image3.png"/><Relationship Id="rId5" Type="http://schemas.openxmlformats.org/officeDocument/2006/relationships/webSettings" Target="webSettings.xml"/><Relationship Id="rId90" Type="http://schemas.openxmlformats.org/officeDocument/2006/relationships/header" Target="header1.xml"/><Relationship Id="rId95" Type="http://schemas.openxmlformats.org/officeDocument/2006/relationships/chart" Target="charts/chart79.xml"/><Relationship Id="rId22" Type="http://schemas.openxmlformats.org/officeDocument/2006/relationships/chart" Target="charts/chart13.xml"/><Relationship Id="rId27" Type="http://schemas.openxmlformats.org/officeDocument/2006/relationships/chart" Target="charts/chart18.xml"/><Relationship Id="rId43" Type="http://schemas.openxmlformats.org/officeDocument/2006/relationships/chart" Target="charts/chart34.xml"/><Relationship Id="rId48" Type="http://schemas.openxmlformats.org/officeDocument/2006/relationships/chart" Target="charts/chart39.xml"/><Relationship Id="rId64" Type="http://schemas.openxmlformats.org/officeDocument/2006/relationships/chart" Target="charts/chart55.xml"/><Relationship Id="rId69" Type="http://schemas.openxmlformats.org/officeDocument/2006/relationships/chart" Target="charts/chart60.xml"/><Relationship Id="rId80" Type="http://schemas.openxmlformats.org/officeDocument/2006/relationships/image" Target="media/image4.png"/><Relationship Id="rId85" Type="http://schemas.openxmlformats.org/officeDocument/2006/relationships/chart" Target="charts/chart72.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chart" Target="charts/chart37.xml"/><Relationship Id="rId59" Type="http://schemas.openxmlformats.org/officeDocument/2006/relationships/chart" Target="charts/chart50.xml"/><Relationship Id="rId67" Type="http://schemas.openxmlformats.org/officeDocument/2006/relationships/chart" Target="charts/chart58.xml"/><Relationship Id="rId20" Type="http://schemas.openxmlformats.org/officeDocument/2006/relationships/chart" Target="charts/chart11.xml"/><Relationship Id="rId41" Type="http://schemas.openxmlformats.org/officeDocument/2006/relationships/chart" Target="charts/chart32.xml"/><Relationship Id="rId54" Type="http://schemas.openxmlformats.org/officeDocument/2006/relationships/chart" Target="charts/chart45.xml"/><Relationship Id="rId62" Type="http://schemas.openxmlformats.org/officeDocument/2006/relationships/chart" Target="charts/chart53.xml"/><Relationship Id="rId70" Type="http://schemas.openxmlformats.org/officeDocument/2006/relationships/chart" Target="charts/chart61.xml"/><Relationship Id="rId75" Type="http://schemas.openxmlformats.org/officeDocument/2006/relationships/chart" Target="charts/chart66.xml"/><Relationship Id="rId83" Type="http://schemas.openxmlformats.org/officeDocument/2006/relationships/chart" Target="charts/chart70.xml"/><Relationship Id="rId88" Type="http://schemas.openxmlformats.org/officeDocument/2006/relationships/chart" Target="charts/chart75.xml"/><Relationship Id="rId91" Type="http://schemas.openxmlformats.org/officeDocument/2006/relationships/footer" Target="footer1.xml"/><Relationship Id="rId96" Type="http://schemas.openxmlformats.org/officeDocument/2006/relationships/chart" Target="charts/chart8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chart" Target="charts/chart40.xml"/><Relationship Id="rId57" Type="http://schemas.openxmlformats.org/officeDocument/2006/relationships/chart" Target="charts/chart48.xm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5.xml"/><Relationship Id="rId52" Type="http://schemas.openxmlformats.org/officeDocument/2006/relationships/chart" Target="charts/chart43.xml"/><Relationship Id="rId60" Type="http://schemas.openxmlformats.org/officeDocument/2006/relationships/chart" Target="charts/chart51.xml"/><Relationship Id="rId65" Type="http://schemas.openxmlformats.org/officeDocument/2006/relationships/chart" Target="charts/chart56.xml"/><Relationship Id="rId73" Type="http://schemas.openxmlformats.org/officeDocument/2006/relationships/chart" Target="charts/chart64.xml"/><Relationship Id="rId78" Type="http://schemas.openxmlformats.org/officeDocument/2006/relationships/chart" Target="charts/chart69.xml"/><Relationship Id="rId81" Type="http://schemas.openxmlformats.org/officeDocument/2006/relationships/image" Target="media/image5.png"/><Relationship Id="rId86" Type="http://schemas.openxmlformats.org/officeDocument/2006/relationships/chart" Target="charts/chart73.xml"/><Relationship Id="rId94" Type="http://schemas.openxmlformats.org/officeDocument/2006/relationships/chart" Target="charts/chart78.xml"/><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30.xml"/><Relationship Id="rId34" Type="http://schemas.openxmlformats.org/officeDocument/2006/relationships/chart" Target="charts/chart25.xml"/><Relationship Id="rId50" Type="http://schemas.openxmlformats.org/officeDocument/2006/relationships/chart" Target="charts/chart41.xml"/><Relationship Id="rId55" Type="http://schemas.openxmlformats.org/officeDocument/2006/relationships/chart" Target="charts/chart46.xml"/><Relationship Id="rId76" Type="http://schemas.openxmlformats.org/officeDocument/2006/relationships/chart" Target="charts/chart67.xml"/><Relationship Id="rId97" Type="http://schemas.openxmlformats.org/officeDocument/2006/relationships/chart" Target="charts/chart81.xml"/><Relationship Id="rId7" Type="http://schemas.openxmlformats.org/officeDocument/2006/relationships/endnotes" Target="endnotes.xml"/><Relationship Id="rId71" Type="http://schemas.openxmlformats.org/officeDocument/2006/relationships/chart" Target="charts/chart62.xml"/><Relationship Id="rId92" Type="http://schemas.openxmlformats.org/officeDocument/2006/relationships/image" Target="media/image7.png"/><Relationship Id="rId2" Type="http://schemas.openxmlformats.org/officeDocument/2006/relationships/numbering" Target="numbering.xml"/><Relationship Id="rId29" Type="http://schemas.openxmlformats.org/officeDocument/2006/relationships/chart" Target="charts/chart20.xml"/><Relationship Id="rId24" Type="http://schemas.openxmlformats.org/officeDocument/2006/relationships/chart" Target="charts/chart15.xml"/><Relationship Id="rId40" Type="http://schemas.openxmlformats.org/officeDocument/2006/relationships/chart" Target="charts/chart31.xml"/><Relationship Id="rId45" Type="http://schemas.openxmlformats.org/officeDocument/2006/relationships/chart" Target="charts/chart36.xml"/><Relationship Id="rId66" Type="http://schemas.openxmlformats.org/officeDocument/2006/relationships/chart" Target="charts/chart57.xml"/><Relationship Id="rId87" Type="http://schemas.openxmlformats.org/officeDocument/2006/relationships/chart" Target="charts/chart74.xml"/><Relationship Id="rId61" Type="http://schemas.openxmlformats.org/officeDocument/2006/relationships/chart" Target="charts/chart52.xml"/><Relationship Id="rId82" Type="http://schemas.openxmlformats.org/officeDocument/2006/relationships/image" Target="media/image6.png"/><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chart" Target="charts/chart21.xml"/><Relationship Id="rId35" Type="http://schemas.openxmlformats.org/officeDocument/2006/relationships/chart" Target="charts/chart26.xml"/><Relationship Id="rId56" Type="http://schemas.openxmlformats.org/officeDocument/2006/relationships/chart" Target="charts/chart47.xml"/><Relationship Id="rId77" Type="http://schemas.openxmlformats.org/officeDocument/2006/relationships/chart" Target="charts/chart68.xm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42.xml"/><Relationship Id="rId72" Type="http://schemas.openxmlformats.org/officeDocument/2006/relationships/chart" Target="charts/chart63.xml"/><Relationship Id="rId93" Type="http://schemas.openxmlformats.org/officeDocument/2006/relationships/chart" Target="charts/chart77.xml"/><Relationship Id="rId98" Type="http://schemas.openxmlformats.org/officeDocument/2006/relationships/chart" Target="charts/chart82.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imf.org/en/Publications/WEO/Issues/2019/10/01/world-economic-outlook-october-2019" TargetMode="External"/><Relationship Id="rId3" Type="http://schemas.openxmlformats.org/officeDocument/2006/relationships/hyperlink" Target="https://ec.europa.eu/eurostat/" TargetMode="External"/><Relationship Id="rId7" Type="http://schemas.openxmlformats.org/officeDocument/2006/relationships/hyperlink" Target="https://www.fao.org/worldfoodsituation/foodpricesindex/en/" TargetMode="External"/><Relationship Id="rId2" Type="http://schemas.openxmlformats.org/officeDocument/2006/relationships/hyperlink" Target="https://www.bea.gov/" TargetMode="External"/><Relationship Id="rId1" Type="http://schemas.openxmlformats.org/officeDocument/2006/relationships/hyperlink" Target="https://www.pmi.spglobal.com/Public/Release/PressReleases?language=en" TargetMode="External"/><Relationship Id="rId6" Type="http://schemas.openxmlformats.org/officeDocument/2006/relationships/hyperlink" Target="https://www.worldbank.org/en/research/commodity-markets" TargetMode="External"/><Relationship Id="rId5" Type="http://schemas.openxmlformats.org/officeDocument/2006/relationships/hyperlink" Target="https://economy.gov.ru/" TargetMode="External"/><Relationship Id="rId4" Type="http://schemas.openxmlformats.org/officeDocument/2006/relationships/hyperlink" Target="http://www.stats.gov.cn/" TargetMode="External"/><Relationship Id="rId9" Type="http://schemas.openxmlformats.org/officeDocument/2006/relationships/hyperlink" Target="https://www.cba.am/AM/pperiodicals/Stability_Report_2022.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9.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10.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Microsoft_Excel_Worksheet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Microsoft_Excel_Worksheet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Microsoft_Excel_Worksheet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oleObject" Target="file:///\\172.20.215.254\Share\macroeconomic\Share\Narine\2023\BUDGET_2024\FAN%20CHART\FanChart_19.09.2023.xlsx" TargetMode="External"/><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17.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8.xml"/></Relationships>
</file>

<file path=word/charts/_rels/chart54.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Microsoft_Excel_Worksheet52.xlsx"/><Relationship Id="rId1" Type="http://schemas.openxmlformats.org/officeDocument/2006/relationships/themeOverride" Target="../theme/themeOverride52.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53.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20.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54.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21.xml"/></Relationships>
</file>

<file path=word/charts/_rels/chart57.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Microsoft_Excel_Worksheet55.xlsx"/><Relationship Id="rId1" Type="http://schemas.openxmlformats.org/officeDocument/2006/relationships/themeOverride" Target="../theme/themeOverride53.xml"/></Relationships>
</file>

<file path=word/charts/_rels/chart58.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package" Target="../embeddings/Microsoft_Excel_Worksheet56.xlsx"/><Relationship Id="rId1" Type="http://schemas.openxmlformats.org/officeDocument/2006/relationships/themeOverride" Target="../theme/themeOverride54.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5.xlsx"/></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56.xm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24.xml"/><Relationship Id="rId4" Type="http://schemas.openxmlformats.org/officeDocument/2006/relationships/package" Target="../embeddings/Microsoft_Excel_Worksheet59.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25.xml"/><Relationship Id="rId4" Type="http://schemas.openxmlformats.org/officeDocument/2006/relationships/package" Target="../embeddings/Microsoft_Excel_Worksheet60.xlsx"/></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61.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26.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59.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60.xml"/></Relationships>
</file>

<file path=word/charts/_rels/chart66.xml.rels><?xml version="1.0" encoding="UTF-8" standalone="yes"?>
<Relationships xmlns="http://schemas.openxmlformats.org/package/2006/relationships"><Relationship Id="rId2" Type="http://schemas.openxmlformats.org/officeDocument/2006/relationships/oleObject" Target="file:///C:\M-WORK\Budget%20External%20Debt.xls" TargetMode="External"/><Relationship Id="rId1" Type="http://schemas.openxmlformats.org/officeDocument/2006/relationships/themeOverride" Target="../theme/themeOverride61.xml"/></Relationships>
</file>

<file path=word/charts/_rels/chart67.xml.rels><?xml version="1.0" encoding="UTF-8" standalone="yes"?>
<Relationships xmlns="http://schemas.openxmlformats.org/package/2006/relationships"><Relationship Id="rId2" Type="http://schemas.openxmlformats.org/officeDocument/2006/relationships/oleObject" Target="file:///C:\M-WORK\Budget%20External%20Debt.xls" TargetMode="External"/><Relationship Id="rId1" Type="http://schemas.openxmlformats.org/officeDocument/2006/relationships/themeOverride" Target="../theme/themeOverride62.xml"/></Relationships>
</file>

<file path=word/charts/_rels/chart68.xml.rels><?xml version="1.0" encoding="UTF-8" standalone="yes"?>
<Relationships xmlns="http://schemas.openxmlformats.org/package/2006/relationships"><Relationship Id="rId2" Type="http://schemas.openxmlformats.org/officeDocument/2006/relationships/oleObject" Target="file:///C:\M-WORK\Budget%20External%20Debt.xls" TargetMode="External"/><Relationship Id="rId1" Type="http://schemas.openxmlformats.org/officeDocument/2006/relationships/themeOverride" Target="../theme/themeOverride63.xml"/></Relationships>
</file>

<file path=word/charts/_rels/chart69.xml.rels><?xml version="1.0" encoding="UTF-8" standalone="yes"?>
<Relationships xmlns="http://schemas.openxmlformats.org/package/2006/relationships"><Relationship Id="rId2" Type="http://schemas.openxmlformats.org/officeDocument/2006/relationships/oleObject" Target="file:///C:\M-WORK\Budget%20External%20Debt.xls" TargetMode="External"/><Relationship Id="rId1" Type="http://schemas.openxmlformats.org/officeDocument/2006/relationships/themeOverride" Target="../theme/themeOverride64.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1" Type="http://schemas.openxmlformats.org/officeDocument/2006/relationships/oleObject" Target="file:///C:\M-WORK\Budget%20External%20Debt.xls" TargetMode="External"/></Relationships>
</file>

<file path=word/charts/_rels/chart71.xml.rels><?xml version="1.0" encoding="UTF-8" standalone="yes"?>
<Relationships xmlns="http://schemas.openxmlformats.org/package/2006/relationships"><Relationship Id="rId2" Type="http://schemas.openxmlformats.org/officeDocument/2006/relationships/oleObject" Target="file:///C:\M-WORK\Budget%20External%20Debt.xls" TargetMode="External"/><Relationship Id="rId1" Type="http://schemas.openxmlformats.org/officeDocument/2006/relationships/themeOverride" Target="../theme/themeOverride65.xml"/></Relationships>
</file>

<file path=word/charts/_rels/chart72.xml.rels><?xml version="1.0" encoding="UTF-8" standalone="yes"?>
<Relationships xmlns="http://schemas.openxmlformats.org/package/2006/relationships"><Relationship Id="rId1" Type="http://schemas.openxmlformats.org/officeDocument/2006/relationships/oleObject" Target="file:///C:\M-WORK\Budget%20External%20Debt.xls"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M-WORK\Budget%20External%20Debt.xls"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C:\M-WORK\Budget%20External%20Debt.xls"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M-WORK\Budget%20External%20Debt.xls" TargetMode="External"/></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64.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65.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66.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67.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2.xml"/><Relationship Id="rId4" Type="http://schemas.openxmlformats.org/officeDocument/2006/relationships/package" Target="../embeddings/Microsoft_Excel_Worksheet7.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68.xlsx"/></Relationships>
</file>

<file path=word/charts/_rels/chart81.xml.rels><?xml version="1.0" encoding="UTF-8" standalone="yes"?>
<Relationships xmlns="http://schemas.openxmlformats.org/package/2006/relationships"><Relationship Id="rId3" Type="http://schemas.openxmlformats.org/officeDocument/2006/relationships/oleObject" Target="file:///C:\Users\Ani.Balyan\Desktop\Fiscal%20Risk%20Report\October%202023\October%202023.xlsx" TargetMode="External"/><Relationship Id="rId2" Type="http://schemas.microsoft.com/office/2011/relationships/chartColorStyle" Target="colors25.xml"/><Relationship Id="rId1" Type="http://schemas.microsoft.com/office/2011/relationships/chartStyle" Target="style25.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Ani.Balyan\Desktop\Fiscal%20Risk%20Report\October%202023\October%202023.xlsx" TargetMode="External"/><Relationship Id="rId2" Type="http://schemas.microsoft.com/office/2011/relationships/chartColorStyle" Target="colors26.xml"/><Relationship Id="rId1" Type="http://schemas.microsoft.com/office/2011/relationships/chartStyle" Target="style26.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6499309150838173E-2"/>
          <c:y val="8.4424218938620815E-2"/>
          <c:w val="0.89927386003456078"/>
          <c:h val="0.51062389341830616"/>
        </c:manualLayout>
      </c:layout>
      <c:lineChart>
        <c:grouping val="standard"/>
        <c:varyColors val="0"/>
        <c:ser>
          <c:idx val="3"/>
          <c:order val="0"/>
          <c:tx>
            <c:strRef>
              <c:f>Sheet1!$C$1</c:f>
              <c:strCache>
                <c:ptCount val="1"/>
                <c:pt idx="0">
                  <c:v>ԱՄՆ</c:v>
                </c:pt>
              </c:strCache>
            </c:strRef>
          </c:tx>
          <c:spPr>
            <a:ln w="25400">
              <a:solidFill>
                <a:srgbClr val="4472C4">
                  <a:lumMod val="50000"/>
                </a:srgbClr>
              </a:solidFill>
            </a:ln>
          </c:spPr>
          <c:marker>
            <c:symbol val="none"/>
          </c:marker>
          <c:dLbls>
            <c:dLbl>
              <c:idx val="17"/>
              <c:layout>
                <c:manualLayout>
                  <c:x val="-3.9580613920586131E-4"/>
                  <c:y val="-7.124553903835970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57-40D6-BDC4-474AD3EC9C9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multiLvlStrRef>
              <c:f>Sheet1!$A$6:$B$23</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2019</c:v>
                  </c:pt>
                  <c:pt idx="4">
                    <c:v>2020</c:v>
                  </c:pt>
                  <c:pt idx="8">
                    <c:v>2021</c:v>
                  </c:pt>
                  <c:pt idx="12">
                    <c:v>2022</c:v>
                  </c:pt>
                  <c:pt idx="16">
                    <c:v>2023</c:v>
                  </c:pt>
                </c:lvl>
              </c:multiLvlStrCache>
            </c:multiLvlStrRef>
          </c:cat>
          <c:val>
            <c:numRef>
              <c:f>Sheet1!$C$6:$C$23</c:f>
              <c:numCache>
                <c:formatCode>0.0</c:formatCode>
                <c:ptCount val="18"/>
                <c:pt idx="0">
                  <c:v>2.160228109000002</c:v>
                </c:pt>
                <c:pt idx="1">
                  <c:v>2.1355406160000001</c:v>
                </c:pt>
                <c:pt idx="2">
                  <c:v>2.3058278649999977</c:v>
                </c:pt>
                <c:pt idx="3" formatCode="General">
                  <c:v>2.6</c:v>
                </c:pt>
                <c:pt idx="4" formatCode="General">
                  <c:v>0.8</c:v>
                </c:pt>
                <c:pt idx="5">
                  <c:v>-8.4</c:v>
                </c:pt>
                <c:pt idx="6" formatCode="General">
                  <c:v>-2</c:v>
                </c:pt>
                <c:pt idx="7" formatCode="General">
                  <c:v>-1.5</c:v>
                </c:pt>
                <c:pt idx="8" formatCode="General">
                  <c:v>1.2</c:v>
                </c:pt>
                <c:pt idx="9" formatCode="General">
                  <c:v>12.5</c:v>
                </c:pt>
                <c:pt idx="10">
                  <c:v>5</c:v>
                </c:pt>
                <c:pt idx="11" formatCode="General">
                  <c:v>5.7</c:v>
                </c:pt>
                <c:pt idx="12" formatCode="General">
                  <c:v>3.7</c:v>
                </c:pt>
                <c:pt idx="13" formatCode="General">
                  <c:v>1.8</c:v>
                </c:pt>
                <c:pt idx="14" formatCode="General">
                  <c:v>1.9</c:v>
                </c:pt>
                <c:pt idx="15" formatCode="General">
                  <c:v>0.9</c:v>
                </c:pt>
                <c:pt idx="16" formatCode="General">
                  <c:v>1.8</c:v>
                </c:pt>
                <c:pt idx="17" formatCode="General">
                  <c:v>2.6</c:v>
                </c:pt>
              </c:numCache>
            </c:numRef>
          </c:val>
          <c:smooth val="0"/>
          <c:extLst>
            <c:ext xmlns:c16="http://schemas.microsoft.com/office/drawing/2014/chart" uri="{C3380CC4-5D6E-409C-BE32-E72D297353CC}">
              <c16:uniqueId val="{00000001-D457-40D6-BDC4-474AD3EC9C9B}"/>
            </c:ext>
          </c:extLst>
        </c:ser>
        <c:ser>
          <c:idx val="0"/>
          <c:order val="1"/>
          <c:tx>
            <c:strRef>
              <c:f>Sheet1!$D$1</c:f>
              <c:strCache>
                <c:ptCount val="1"/>
                <c:pt idx="0">
                  <c:v>ԵԳ</c:v>
                </c:pt>
              </c:strCache>
            </c:strRef>
          </c:tx>
          <c:spPr>
            <a:ln w="25400">
              <a:solidFill>
                <a:srgbClr val="4472C4"/>
              </a:solidFill>
            </a:ln>
          </c:spPr>
          <c:marker>
            <c:symbol val="none"/>
          </c:marker>
          <c:dLbls>
            <c:dLbl>
              <c:idx val="17"/>
              <c:layout>
                <c:manualLayout>
                  <c:x val="-1.4653248557834014E-3"/>
                  <c:y val="3.9255245117034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57-40D6-BDC4-474AD3EC9C9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multiLvlStrRef>
              <c:f>Sheet1!$A$6:$B$23</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2019</c:v>
                  </c:pt>
                  <c:pt idx="4">
                    <c:v>2020</c:v>
                  </c:pt>
                  <c:pt idx="8">
                    <c:v>2021</c:v>
                  </c:pt>
                  <c:pt idx="12">
                    <c:v>2022</c:v>
                  </c:pt>
                  <c:pt idx="16">
                    <c:v>2023</c:v>
                  </c:pt>
                </c:lvl>
              </c:multiLvlStrCache>
            </c:multiLvlStrRef>
          </c:cat>
          <c:val>
            <c:numRef>
              <c:f>Sheet1!$D$6:$D$23</c:f>
              <c:numCache>
                <c:formatCode>0.0</c:formatCode>
                <c:ptCount val="18"/>
                <c:pt idx="0">
                  <c:v>1.8339175689999934</c:v>
                </c:pt>
                <c:pt idx="1">
                  <c:v>1.6053524080000017</c:v>
                </c:pt>
                <c:pt idx="2">
                  <c:v>1.8072755080000036</c:v>
                </c:pt>
                <c:pt idx="3" formatCode="General">
                  <c:v>1.2</c:v>
                </c:pt>
                <c:pt idx="4" formatCode="General">
                  <c:v>-2.8</c:v>
                </c:pt>
                <c:pt idx="5">
                  <c:v>-14.2</c:v>
                </c:pt>
                <c:pt idx="6" formatCode="General">
                  <c:v>-3.8</c:v>
                </c:pt>
                <c:pt idx="7" formatCode="General">
                  <c:v>-4.0999999999999996</c:v>
                </c:pt>
                <c:pt idx="8" formatCode="General">
                  <c:v>-0.8</c:v>
                </c:pt>
                <c:pt idx="9" formatCode="General">
                  <c:v>14.2</c:v>
                </c:pt>
                <c:pt idx="10" formatCode="General">
                  <c:v>4</c:v>
                </c:pt>
                <c:pt idx="11" formatCode="General">
                  <c:v>4.8</c:v>
                </c:pt>
                <c:pt idx="12" formatCode="General">
                  <c:v>5.5</c:v>
                </c:pt>
                <c:pt idx="13" formatCode="General">
                  <c:v>4.4000000000000004</c:v>
                </c:pt>
                <c:pt idx="14" formatCode="General">
                  <c:v>2.4</c:v>
                </c:pt>
                <c:pt idx="15" formatCode="General">
                  <c:v>1.8</c:v>
                </c:pt>
                <c:pt idx="16" formatCode="General">
                  <c:v>1.1000000000000001</c:v>
                </c:pt>
                <c:pt idx="17" formatCode="General">
                  <c:v>0.5</c:v>
                </c:pt>
              </c:numCache>
            </c:numRef>
          </c:val>
          <c:smooth val="0"/>
          <c:extLst>
            <c:ext xmlns:c16="http://schemas.microsoft.com/office/drawing/2014/chart" uri="{C3380CC4-5D6E-409C-BE32-E72D297353CC}">
              <c16:uniqueId val="{00000003-D457-40D6-BDC4-474AD3EC9C9B}"/>
            </c:ext>
          </c:extLst>
        </c:ser>
        <c:ser>
          <c:idx val="1"/>
          <c:order val="2"/>
          <c:tx>
            <c:strRef>
              <c:f>Sheet1!$E$1</c:f>
              <c:strCache>
                <c:ptCount val="1"/>
                <c:pt idx="0">
                  <c:v>Չինաստան</c:v>
                </c:pt>
              </c:strCache>
            </c:strRef>
          </c:tx>
          <c:spPr>
            <a:ln w="25400">
              <a:solidFill>
                <a:sysClr val="window" lastClr="FFFFFF">
                  <a:lumMod val="50000"/>
                </a:sysClr>
              </a:solidFill>
            </a:ln>
          </c:spPr>
          <c:marker>
            <c:symbol val="none"/>
          </c:marker>
          <c:dLbls>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57-40D6-BDC4-474AD3EC9C9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multiLvlStrRef>
              <c:f>Sheet1!$A$6:$B$23</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2019</c:v>
                  </c:pt>
                  <c:pt idx="4">
                    <c:v>2020</c:v>
                  </c:pt>
                  <c:pt idx="8">
                    <c:v>2021</c:v>
                  </c:pt>
                  <c:pt idx="12">
                    <c:v>2022</c:v>
                  </c:pt>
                  <c:pt idx="16">
                    <c:v>2023</c:v>
                  </c:pt>
                </c:lvl>
              </c:multiLvlStrCache>
            </c:multiLvlStrRef>
          </c:cat>
          <c:val>
            <c:numRef>
              <c:f>Sheet1!$E$6:$E$23</c:f>
              <c:numCache>
                <c:formatCode>0.0</c:formatCode>
                <c:ptCount val="18"/>
                <c:pt idx="0">
                  <c:v>6.2999999999999972</c:v>
                </c:pt>
                <c:pt idx="1">
                  <c:v>6</c:v>
                </c:pt>
                <c:pt idx="2">
                  <c:v>5.9000000000000057</c:v>
                </c:pt>
                <c:pt idx="3" formatCode="General">
                  <c:v>5.8</c:v>
                </c:pt>
                <c:pt idx="4" formatCode="General">
                  <c:v>-6.8</c:v>
                </c:pt>
                <c:pt idx="5" formatCode="General">
                  <c:v>3.2</c:v>
                </c:pt>
                <c:pt idx="6">
                  <c:v>4.9000000000000004</c:v>
                </c:pt>
                <c:pt idx="7" formatCode="General">
                  <c:v>6.5</c:v>
                </c:pt>
                <c:pt idx="8" formatCode="General">
                  <c:v>18.3</c:v>
                </c:pt>
                <c:pt idx="9" formatCode="General">
                  <c:v>7.9</c:v>
                </c:pt>
                <c:pt idx="10" formatCode="General">
                  <c:v>4.9000000000000004</c:v>
                </c:pt>
                <c:pt idx="11" formatCode="General">
                  <c:v>4</c:v>
                </c:pt>
                <c:pt idx="12" formatCode="General">
                  <c:v>4.8</c:v>
                </c:pt>
                <c:pt idx="13" formatCode="General">
                  <c:v>0.4</c:v>
                </c:pt>
                <c:pt idx="14" formatCode="General">
                  <c:v>3.9</c:v>
                </c:pt>
                <c:pt idx="15" formatCode="General">
                  <c:v>2.9</c:v>
                </c:pt>
                <c:pt idx="16" formatCode="General">
                  <c:v>4.5</c:v>
                </c:pt>
                <c:pt idx="17" formatCode="General">
                  <c:v>6.3</c:v>
                </c:pt>
              </c:numCache>
            </c:numRef>
          </c:val>
          <c:smooth val="0"/>
          <c:extLst>
            <c:ext xmlns:c16="http://schemas.microsoft.com/office/drawing/2014/chart" uri="{C3380CC4-5D6E-409C-BE32-E72D297353CC}">
              <c16:uniqueId val="{00000005-D457-40D6-BDC4-474AD3EC9C9B}"/>
            </c:ext>
          </c:extLst>
        </c:ser>
        <c:ser>
          <c:idx val="2"/>
          <c:order val="3"/>
          <c:tx>
            <c:strRef>
              <c:f>Sheet1!$F$1</c:f>
              <c:strCache>
                <c:ptCount val="1"/>
                <c:pt idx="0">
                  <c:v>ՌԴ</c:v>
                </c:pt>
              </c:strCache>
            </c:strRef>
          </c:tx>
          <c:spPr>
            <a:ln w="25400">
              <a:solidFill>
                <a:srgbClr val="ED7D31">
                  <a:lumMod val="60000"/>
                  <a:lumOff val="40000"/>
                </a:srgbClr>
              </a:solidFill>
            </a:ln>
            <a:effectLst/>
          </c:spPr>
          <c:marker>
            <c:symbol val="none"/>
          </c:marker>
          <c:dLbls>
            <c:dLbl>
              <c:idx val="17"/>
              <c:layout>
                <c:manualLayout>
                  <c:x val="-1.0510246458261608E-3"/>
                  <c:y val="-3.28911089154309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57-40D6-BDC4-474AD3EC9C9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multiLvlStrRef>
              <c:f>Sheet1!$A$6:$B$23</c:f>
              <c:multiLvlStrCache>
                <c:ptCount val="18"/>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lvl>
                <c:lvl>
                  <c:pt idx="0">
                    <c:v>2019</c:v>
                  </c:pt>
                  <c:pt idx="4">
                    <c:v>2020</c:v>
                  </c:pt>
                  <c:pt idx="8">
                    <c:v>2021</c:v>
                  </c:pt>
                  <c:pt idx="12">
                    <c:v>2022</c:v>
                  </c:pt>
                  <c:pt idx="16">
                    <c:v>2023</c:v>
                  </c:pt>
                </c:lvl>
              </c:multiLvlStrCache>
            </c:multiLvlStrRef>
          </c:cat>
          <c:val>
            <c:numRef>
              <c:f>Sheet1!$F$6:$F$23</c:f>
              <c:numCache>
                <c:formatCode>0.0</c:formatCode>
                <c:ptCount val="18"/>
                <c:pt idx="0">
                  <c:v>0.4</c:v>
                </c:pt>
                <c:pt idx="1">
                  <c:v>1.1000000000000001</c:v>
                </c:pt>
                <c:pt idx="2">
                  <c:v>1.5</c:v>
                </c:pt>
                <c:pt idx="3" formatCode="General">
                  <c:v>2.1</c:v>
                </c:pt>
                <c:pt idx="4" formatCode="General">
                  <c:v>1.4</c:v>
                </c:pt>
                <c:pt idx="5">
                  <c:v>-7.4</c:v>
                </c:pt>
                <c:pt idx="6">
                  <c:v>-3.3</c:v>
                </c:pt>
                <c:pt idx="7">
                  <c:v>-1.3</c:v>
                </c:pt>
                <c:pt idx="8" formatCode="General">
                  <c:v>-0.3</c:v>
                </c:pt>
                <c:pt idx="9" formatCode="General">
                  <c:v>10.5</c:v>
                </c:pt>
                <c:pt idx="10" formatCode="General">
                  <c:v>4</c:v>
                </c:pt>
                <c:pt idx="11" formatCode="General">
                  <c:v>5</c:v>
                </c:pt>
                <c:pt idx="12" formatCode="General">
                  <c:v>3</c:v>
                </c:pt>
                <c:pt idx="13" formatCode="General">
                  <c:v>-4.5</c:v>
                </c:pt>
                <c:pt idx="14" formatCode="General">
                  <c:v>-3.5</c:v>
                </c:pt>
                <c:pt idx="15" formatCode="General">
                  <c:v>-2.7</c:v>
                </c:pt>
                <c:pt idx="16" formatCode="General">
                  <c:v>-1.8</c:v>
                </c:pt>
                <c:pt idx="17" formatCode="General">
                  <c:v>4.9000000000000004</c:v>
                </c:pt>
              </c:numCache>
            </c:numRef>
          </c:val>
          <c:smooth val="0"/>
          <c:extLst>
            <c:ext xmlns:c16="http://schemas.microsoft.com/office/drawing/2014/chart" uri="{C3380CC4-5D6E-409C-BE32-E72D297353CC}">
              <c16:uniqueId val="{00000007-D457-40D6-BDC4-474AD3EC9C9B}"/>
            </c:ext>
          </c:extLst>
        </c:ser>
        <c:dLbls>
          <c:showLegendKey val="0"/>
          <c:showVal val="0"/>
          <c:showCatName val="0"/>
          <c:showSerName val="0"/>
          <c:showPercent val="0"/>
          <c:showBubbleSize val="0"/>
        </c:dLbls>
        <c:smooth val="0"/>
        <c:axId val="-837562768"/>
        <c:axId val="-837558960"/>
      </c:lineChart>
      <c:catAx>
        <c:axId val="-837562768"/>
        <c:scaling>
          <c:orientation val="minMax"/>
        </c:scaling>
        <c:delete val="0"/>
        <c:axPos val="b"/>
        <c:numFmt formatCode="General" sourceLinked="1"/>
        <c:majorTickMark val="none"/>
        <c:minorTickMark val="none"/>
        <c:tickLblPos val="low"/>
        <c:spPr>
          <a:noFill/>
          <a:ln w="9522" cap="flat" cmpd="sng" algn="ctr">
            <a:solidFill>
              <a:sysClr val="window" lastClr="FFFFFF">
                <a:lumMod val="85000"/>
              </a:sys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837558960"/>
        <c:crosses val="autoZero"/>
        <c:auto val="1"/>
        <c:lblAlgn val="ctr"/>
        <c:lblOffset val="0"/>
        <c:noMultiLvlLbl val="0"/>
      </c:catAx>
      <c:valAx>
        <c:axId val="-837558960"/>
        <c:scaling>
          <c:orientation val="minMax"/>
          <c:max val="20"/>
          <c:min val="-15"/>
        </c:scaling>
        <c:delete val="0"/>
        <c:axPos val="l"/>
        <c:majorGridlines>
          <c:spPr>
            <a:ln w="9522" cap="flat" cmpd="sng" algn="ctr">
              <a:solidFill>
                <a:schemeClr val="tx1">
                  <a:lumMod val="15000"/>
                  <a:lumOff val="85000"/>
                </a:schemeClr>
              </a:solidFill>
              <a:round/>
            </a:ln>
            <a:effectLst/>
          </c:spPr>
        </c:majorGridlines>
        <c:numFmt formatCode="0.0" sourceLinked="1"/>
        <c:majorTickMark val="none"/>
        <c:minorTickMark val="none"/>
        <c:tickLblPos val="nextTo"/>
        <c:spPr>
          <a:ln w="6348">
            <a:noFill/>
          </a:ln>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837562768"/>
        <c:crosses val="autoZero"/>
        <c:crossBetween val="between"/>
      </c:valAx>
      <c:spPr>
        <a:noFill/>
        <a:ln w="25393">
          <a:noFill/>
        </a:ln>
      </c:spPr>
    </c:plotArea>
    <c:legend>
      <c:legendPos val="b"/>
      <c:layout>
        <c:manualLayout>
          <c:xMode val="edge"/>
          <c:yMode val="edge"/>
          <c:x val="0.2094697898528648"/>
          <c:y val="0.8446807253266263"/>
          <c:w val="0.53623161842108524"/>
          <c:h val="0.13523990052243798"/>
        </c:manualLayout>
      </c:layout>
      <c:overlay val="0"/>
      <c:spPr>
        <a:noFill/>
        <a:ln w="25393">
          <a:noFill/>
        </a:ln>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sz="1100">
          <a:latin typeface="GHEA Grapalat" panose="02000506050000020003" pitchFamily="50"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064343596021588"/>
          <c:y val="0.10019869487234935"/>
          <c:w val="0.73433217842989307"/>
          <c:h val="0.56427410224771979"/>
        </c:manualLayout>
      </c:layout>
      <c:lineChart>
        <c:grouping val="standard"/>
        <c:varyColors val="0"/>
        <c:ser>
          <c:idx val="0"/>
          <c:order val="0"/>
          <c:tx>
            <c:strRef>
              <c:f>Sheet1!$B$1</c:f>
              <c:strCache>
                <c:ptCount val="1"/>
                <c:pt idx="0">
                  <c:v>Զարգացող երկրների արժույթ</c:v>
                </c:pt>
              </c:strCache>
            </c:strRef>
          </c:tx>
          <c:spPr>
            <a:ln w="19050" cap="rnd">
              <a:solidFill>
                <a:srgbClr val="5B9BD5"/>
              </a:solidFill>
              <a:round/>
            </a:ln>
            <a:effectLst/>
          </c:spPr>
          <c:marker>
            <c:symbol val="none"/>
          </c:marker>
          <c:cat>
            <c:numRef>
              <c:f>Sheet1!$A$2:$A$890</c:f>
              <c:numCache>
                <c:formatCode>m\/d\/yyyy</c:formatCode>
                <c:ptCount val="889"/>
                <c:pt idx="0">
                  <c:v>43832</c:v>
                </c:pt>
                <c:pt idx="1">
                  <c:v>43833</c:v>
                </c:pt>
                <c:pt idx="2">
                  <c:v>43836</c:v>
                </c:pt>
                <c:pt idx="3">
                  <c:v>43837</c:v>
                </c:pt>
                <c:pt idx="4">
                  <c:v>43838</c:v>
                </c:pt>
                <c:pt idx="5">
                  <c:v>43839</c:v>
                </c:pt>
                <c:pt idx="6">
                  <c:v>43840</c:v>
                </c:pt>
                <c:pt idx="7">
                  <c:v>43843</c:v>
                </c:pt>
                <c:pt idx="8">
                  <c:v>43844</c:v>
                </c:pt>
                <c:pt idx="9">
                  <c:v>43845</c:v>
                </c:pt>
                <c:pt idx="10">
                  <c:v>43846</c:v>
                </c:pt>
                <c:pt idx="11">
                  <c:v>43847</c:v>
                </c:pt>
                <c:pt idx="12">
                  <c:v>43850</c:v>
                </c:pt>
                <c:pt idx="13">
                  <c:v>43851</c:v>
                </c:pt>
                <c:pt idx="14">
                  <c:v>43852</c:v>
                </c:pt>
                <c:pt idx="15">
                  <c:v>43853</c:v>
                </c:pt>
                <c:pt idx="16">
                  <c:v>43854</c:v>
                </c:pt>
                <c:pt idx="17">
                  <c:v>43857</c:v>
                </c:pt>
                <c:pt idx="18">
                  <c:v>43858</c:v>
                </c:pt>
                <c:pt idx="19">
                  <c:v>43859</c:v>
                </c:pt>
                <c:pt idx="20">
                  <c:v>43860</c:v>
                </c:pt>
                <c:pt idx="21">
                  <c:v>43861</c:v>
                </c:pt>
                <c:pt idx="22">
                  <c:v>43864</c:v>
                </c:pt>
                <c:pt idx="23">
                  <c:v>43865</c:v>
                </c:pt>
                <c:pt idx="24">
                  <c:v>43866</c:v>
                </c:pt>
                <c:pt idx="25">
                  <c:v>43867</c:v>
                </c:pt>
                <c:pt idx="26">
                  <c:v>43868</c:v>
                </c:pt>
                <c:pt idx="27">
                  <c:v>43871</c:v>
                </c:pt>
                <c:pt idx="28">
                  <c:v>43872</c:v>
                </c:pt>
                <c:pt idx="29">
                  <c:v>43873</c:v>
                </c:pt>
                <c:pt idx="30">
                  <c:v>43874</c:v>
                </c:pt>
                <c:pt idx="31">
                  <c:v>43875</c:v>
                </c:pt>
                <c:pt idx="32">
                  <c:v>43878</c:v>
                </c:pt>
                <c:pt idx="33">
                  <c:v>43879</c:v>
                </c:pt>
                <c:pt idx="34">
                  <c:v>43880</c:v>
                </c:pt>
                <c:pt idx="35">
                  <c:v>43881</c:v>
                </c:pt>
                <c:pt idx="36">
                  <c:v>43882</c:v>
                </c:pt>
                <c:pt idx="37">
                  <c:v>43885</c:v>
                </c:pt>
                <c:pt idx="38">
                  <c:v>43886</c:v>
                </c:pt>
                <c:pt idx="39">
                  <c:v>43887</c:v>
                </c:pt>
                <c:pt idx="40">
                  <c:v>43888</c:v>
                </c:pt>
                <c:pt idx="41">
                  <c:v>43889</c:v>
                </c:pt>
                <c:pt idx="42">
                  <c:v>43892</c:v>
                </c:pt>
                <c:pt idx="43">
                  <c:v>43893</c:v>
                </c:pt>
                <c:pt idx="44">
                  <c:v>43894</c:v>
                </c:pt>
                <c:pt idx="45">
                  <c:v>43895</c:v>
                </c:pt>
                <c:pt idx="46">
                  <c:v>43896</c:v>
                </c:pt>
                <c:pt idx="47">
                  <c:v>43899</c:v>
                </c:pt>
                <c:pt idx="48">
                  <c:v>43900</c:v>
                </c:pt>
                <c:pt idx="49">
                  <c:v>43901</c:v>
                </c:pt>
                <c:pt idx="50">
                  <c:v>43902</c:v>
                </c:pt>
                <c:pt idx="51">
                  <c:v>43903</c:v>
                </c:pt>
                <c:pt idx="52">
                  <c:v>43906</c:v>
                </c:pt>
                <c:pt idx="53">
                  <c:v>43907</c:v>
                </c:pt>
                <c:pt idx="54">
                  <c:v>43908</c:v>
                </c:pt>
                <c:pt idx="55">
                  <c:v>43909</c:v>
                </c:pt>
                <c:pt idx="56">
                  <c:v>43910</c:v>
                </c:pt>
                <c:pt idx="57">
                  <c:v>43913</c:v>
                </c:pt>
                <c:pt idx="58">
                  <c:v>43914</c:v>
                </c:pt>
                <c:pt idx="59">
                  <c:v>43915</c:v>
                </c:pt>
                <c:pt idx="60">
                  <c:v>43916</c:v>
                </c:pt>
                <c:pt idx="61">
                  <c:v>43917</c:v>
                </c:pt>
                <c:pt idx="62">
                  <c:v>43920</c:v>
                </c:pt>
                <c:pt idx="63">
                  <c:v>43921</c:v>
                </c:pt>
                <c:pt idx="64">
                  <c:v>43922</c:v>
                </c:pt>
                <c:pt idx="65">
                  <c:v>43923</c:v>
                </c:pt>
                <c:pt idx="66">
                  <c:v>43924</c:v>
                </c:pt>
                <c:pt idx="67">
                  <c:v>43927</c:v>
                </c:pt>
                <c:pt idx="68">
                  <c:v>43928</c:v>
                </c:pt>
                <c:pt idx="69">
                  <c:v>43929</c:v>
                </c:pt>
                <c:pt idx="70">
                  <c:v>43930</c:v>
                </c:pt>
                <c:pt idx="71">
                  <c:v>43934</c:v>
                </c:pt>
                <c:pt idx="72">
                  <c:v>43935</c:v>
                </c:pt>
                <c:pt idx="73">
                  <c:v>43936</c:v>
                </c:pt>
                <c:pt idx="74">
                  <c:v>43937</c:v>
                </c:pt>
                <c:pt idx="75">
                  <c:v>43938</c:v>
                </c:pt>
                <c:pt idx="76">
                  <c:v>43941</c:v>
                </c:pt>
                <c:pt idx="77">
                  <c:v>43942</c:v>
                </c:pt>
                <c:pt idx="78">
                  <c:v>43943</c:v>
                </c:pt>
                <c:pt idx="79">
                  <c:v>43944</c:v>
                </c:pt>
                <c:pt idx="80">
                  <c:v>43945</c:v>
                </c:pt>
                <c:pt idx="81">
                  <c:v>43948</c:v>
                </c:pt>
                <c:pt idx="82">
                  <c:v>43949</c:v>
                </c:pt>
                <c:pt idx="83">
                  <c:v>43950</c:v>
                </c:pt>
                <c:pt idx="84">
                  <c:v>43951</c:v>
                </c:pt>
                <c:pt idx="85">
                  <c:v>43952</c:v>
                </c:pt>
                <c:pt idx="86">
                  <c:v>43955</c:v>
                </c:pt>
                <c:pt idx="87">
                  <c:v>43956</c:v>
                </c:pt>
                <c:pt idx="88">
                  <c:v>43957</c:v>
                </c:pt>
                <c:pt idx="89">
                  <c:v>43958</c:v>
                </c:pt>
                <c:pt idx="90">
                  <c:v>43959</c:v>
                </c:pt>
                <c:pt idx="91">
                  <c:v>43962</c:v>
                </c:pt>
                <c:pt idx="92">
                  <c:v>43963</c:v>
                </c:pt>
                <c:pt idx="93">
                  <c:v>43964</c:v>
                </c:pt>
                <c:pt idx="94">
                  <c:v>43965</c:v>
                </c:pt>
                <c:pt idx="95">
                  <c:v>43966</c:v>
                </c:pt>
                <c:pt idx="96">
                  <c:v>43969</c:v>
                </c:pt>
                <c:pt idx="97">
                  <c:v>43970</c:v>
                </c:pt>
                <c:pt idx="98">
                  <c:v>43971</c:v>
                </c:pt>
                <c:pt idx="99">
                  <c:v>43972</c:v>
                </c:pt>
                <c:pt idx="100">
                  <c:v>43973</c:v>
                </c:pt>
                <c:pt idx="101">
                  <c:v>43976</c:v>
                </c:pt>
                <c:pt idx="102">
                  <c:v>43977</c:v>
                </c:pt>
                <c:pt idx="103">
                  <c:v>43978</c:v>
                </c:pt>
                <c:pt idx="104">
                  <c:v>43979</c:v>
                </c:pt>
                <c:pt idx="105">
                  <c:v>43980</c:v>
                </c:pt>
                <c:pt idx="106">
                  <c:v>43983</c:v>
                </c:pt>
                <c:pt idx="107">
                  <c:v>43984</c:v>
                </c:pt>
                <c:pt idx="108">
                  <c:v>43985</c:v>
                </c:pt>
                <c:pt idx="109">
                  <c:v>43986</c:v>
                </c:pt>
                <c:pt idx="110">
                  <c:v>43987</c:v>
                </c:pt>
                <c:pt idx="111">
                  <c:v>43990</c:v>
                </c:pt>
                <c:pt idx="112">
                  <c:v>43991</c:v>
                </c:pt>
                <c:pt idx="113">
                  <c:v>43992</c:v>
                </c:pt>
                <c:pt idx="114">
                  <c:v>43993</c:v>
                </c:pt>
                <c:pt idx="115">
                  <c:v>43994</c:v>
                </c:pt>
                <c:pt idx="116">
                  <c:v>43997</c:v>
                </c:pt>
                <c:pt idx="117">
                  <c:v>43998</c:v>
                </c:pt>
                <c:pt idx="118">
                  <c:v>43999</c:v>
                </c:pt>
                <c:pt idx="119">
                  <c:v>44000</c:v>
                </c:pt>
                <c:pt idx="120">
                  <c:v>44001</c:v>
                </c:pt>
                <c:pt idx="121">
                  <c:v>44004</c:v>
                </c:pt>
                <c:pt idx="122">
                  <c:v>44005</c:v>
                </c:pt>
                <c:pt idx="123">
                  <c:v>44006</c:v>
                </c:pt>
                <c:pt idx="124">
                  <c:v>44007</c:v>
                </c:pt>
                <c:pt idx="125">
                  <c:v>44008</c:v>
                </c:pt>
                <c:pt idx="126">
                  <c:v>44011</c:v>
                </c:pt>
                <c:pt idx="127">
                  <c:v>44012</c:v>
                </c:pt>
                <c:pt idx="128">
                  <c:v>44013</c:v>
                </c:pt>
                <c:pt idx="129">
                  <c:v>44014</c:v>
                </c:pt>
                <c:pt idx="130">
                  <c:v>44015</c:v>
                </c:pt>
                <c:pt idx="131">
                  <c:v>44018</c:v>
                </c:pt>
                <c:pt idx="132">
                  <c:v>44019</c:v>
                </c:pt>
                <c:pt idx="133">
                  <c:v>44020</c:v>
                </c:pt>
                <c:pt idx="134">
                  <c:v>44021</c:v>
                </c:pt>
                <c:pt idx="135">
                  <c:v>44022</c:v>
                </c:pt>
                <c:pt idx="136">
                  <c:v>44025</c:v>
                </c:pt>
                <c:pt idx="137">
                  <c:v>44026</c:v>
                </c:pt>
                <c:pt idx="138">
                  <c:v>44027</c:v>
                </c:pt>
                <c:pt idx="139">
                  <c:v>44028</c:v>
                </c:pt>
                <c:pt idx="140">
                  <c:v>44029</c:v>
                </c:pt>
                <c:pt idx="141">
                  <c:v>44032</c:v>
                </c:pt>
                <c:pt idx="142">
                  <c:v>44033</c:v>
                </c:pt>
                <c:pt idx="143">
                  <c:v>44034</c:v>
                </c:pt>
                <c:pt idx="144">
                  <c:v>44035</c:v>
                </c:pt>
                <c:pt idx="145">
                  <c:v>44036</c:v>
                </c:pt>
                <c:pt idx="146">
                  <c:v>44039</c:v>
                </c:pt>
                <c:pt idx="147">
                  <c:v>44040</c:v>
                </c:pt>
                <c:pt idx="148">
                  <c:v>44041</c:v>
                </c:pt>
                <c:pt idx="149">
                  <c:v>44042</c:v>
                </c:pt>
                <c:pt idx="150">
                  <c:v>44043</c:v>
                </c:pt>
                <c:pt idx="151">
                  <c:v>44046</c:v>
                </c:pt>
                <c:pt idx="152">
                  <c:v>44047</c:v>
                </c:pt>
                <c:pt idx="153">
                  <c:v>44048</c:v>
                </c:pt>
                <c:pt idx="154">
                  <c:v>44049</c:v>
                </c:pt>
                <c:pt idx="155">
                  <c:v>44050</c:v>
                </c:pt>
                <c:pt idx="156">
                  <c:v>44053</c:v>
                </c:pt>
                <c:pt idx="157">
                  <c:v>44054</c:v>
                </c:pt>
                <c:pt idx="158">
                  <c:v>44055</c:v>
                </c:pt>
                <c:pt idx="159">
                  <c:v>44056</c:v>
                </c:pt>
                <c:pt idx="160">
                  <c:v>44057</c:v>
                </c:pt>
                <c:pt idx="161">
                  <c:v>44060</c:v>
                </c:pt>
                <c:pt idx="162">
                  <c:v>44061</c:v>
                </c:pt>
                <c:pt idx="163">
                  <c:v>44062</c:v>
                </c:pt>
                <c:pt idx="164">
                  <c:v>44063</c:v>
                </c:pt>
                <c:pt idx="165">
                  <c:v>44064</c:v>
                </c:pt>
                <c:pt idx="166">
                  <c:v>44067</c:v>
                </c:pt>
                <c:pt idx="167">
                  <c:v>44068</c:v>
                </c:pt>
                <c:pt idx="168">
                  <c:v>44069</c:v>
                </c:pt>
                <c:pt idx="169">
                  <c:v>44070</c:v>
                </c:pt>
                <c:pt idx="170">
                  <c:v>44071</c:v>
                </c:pt>
                <c:pt idx="171">
                  <c:v>44074</c:v>
                </c:pt>
                <c:pt idx="172">
                  <c:v>44075</c:v>
                </c:pt>
                <c:pt idx="173">
                  <c:v>44076</c:v>
                </c:pt>
                <c:pt idx="174">
                  <c:v>44077</c:v>
                </c:pt>
                <c:pt idx="175">
                  <c:v>44078</c:v>
                </c:pt>
                <c:pt idx="176">
                  <c:v>44081</c:v>
                </c:pt>
                <c:pt idx="177">
                  <c:v>44082</c:v>
                </c:pt>
                <c:pt idx="178">
                  <c:v>44083</c:v>
                </c:pt>
                <c:pt idx="179">
                  <c:v>44084</c:v>
                </c:pt>
                <c:pt idx="180">
                  <c:v>44085</c:v>
                </c:pt>
                <c:pt idx="181">
                  <c:v>44088</c:v>
                </c:pt>
                <c:pt idx="182">
                  <c:v>44089</c:v>
                </c:pt>
                <c:pt idx="183">
                  <c:v>44090</c:v>
                </c:pt>
                <c:pt idx="184">
                  <c:v>44091</c:v>
                </c:pt>
                <c:pt idx="185">
                  <c:v>44092</c:v>
                </c:pt>
                <c:pt idx="186">
                  <c:v>44095</c:v>
                </c:pt>
                <c:pt idx="187">
                  <c:v>44096</c:v>
                </c:pt>
                <c:pt idx="188">
                  <c:v>44097</c:v>
                </c:pt>
                <c:pt idx="189">
                  <c:v>44098</c:v>
                </c:pt>
                <c:pt idx="190">
                  <c:v>44099</c:v>
                </c:pt>
                <c:pt idx="191">
                  <c:v>44102</c:v>
                </c:pt>
                <c:pt idx="192">
                  <c:v>44103</c:v>
                </c:pt>
                <c:pt idx="193">
                  <c:v>44104</c:v>
                </c:pt>
                <c:pt idx="194">
                  <c:v>44105</c:v>
                </c:pt>
                <c:pt idx="195">
                  <c:v>44106</c:v>
                </c:pt>
                <c:pt idx="196">
                  <c:v>44109</c:v>
                </c:pt>
                <c:pt idx="197">
                  <c:v>44110</c:v>
                </c:pt>
                <c:pt idx="198">
                  <c:v>44111</c:v>
                </c:pt>
                <c:pt idx="199">
                  <c:v>44112</c:v>
                </c:pt>
                <c:pt idx="200">
                  <c:v>44113</c:v>
                </c:pt>
                <c:pt idx="201">
                  <c:v>44116</c:v>
                </c:pt>
                <c:pt idx="202">
                  <c:v>44117</c:v>
                </c:pt>
                <c:pt idx="203">
                  <c:v>44118</c:v>
                </c:pt>
                <c:pt idx="204">
                  <c:v>44119</c:v>
                </c:pt>
                <c:pt idx="205">
                  <c:v>44120</c:v>
                </c:pt>
                <c:pt idx="206">
                  <c:v>44123</c:v>
                </c:pt>
                <c:pt idx="207">
                  <c:v>44124</c:v>
                </c:pt>
                <c:pt idx="208">
                  <c:v>44125</c:v>
                </c:pt>
                <c:pt idx="209">
                  <c:v>44126</c:v>
                </c:pt>
                <c:pt idx="210">
                  <c:v>44127</c:v>
                </c:pt>
                <c:pt idx="211">
                  <c:v>44130</c:v>
                </c:pt>
                <c:pt idx="212">
                  <c:v>44131</c:v>
                </c:pt>
                <c:pt idx="213">
                  <c:v>44132</c:v>
                </c:pt>
                <c:pt idx="214">
                  <c:v>44133</c:v>
                </c:pt>
                <c:pt idx="215">
                  <c:v>44134</c:v>
                </c:pt>
                <c:pt idx="216">
                  <c:v>44137</c:v>
                </c:pt>
                <c:pt idx="217">
                  <c:v>44138</c:v>
                </c:pt>
                <c:pt idx="218">
                  <c:v>44139</c:v>
                </c:pt>
                <c:pt idx="219">
                  <c:v>44140</c:v>
                </c:pt>
                <c:pt idx="220">
                  <c:v>44141</c:v>
                </c:pt>
                <c:pt idx="221">
                  <c:v>44144</c:v>
                </c:pt>
                <c:pt idx="222">
                  <c:v>44145</c:v>
                </c:pt>
                <c:pt idx="223">
                  <c:v>44146</c:v>
                </c:pt>
                <c:pt idx="224">
                  <c:v>44147</c:v>
                </c:pt>
                <c:pt idx="225">
                  <c:v>44148</c:v>
                </c:pt>
                <c:pt idx="226">
                  <c:v>44151</c:v>
                </c:pt>
                <c:pt idx="227">
                  <c:v>44152</c:v>
                </c:pt>
                <c:pt idx="228">
                  <c:v>44153</c:v>
                </c:pt>
                <c:pt idx="229">
                  <c:v>44154</c:v>
                </c:pt>
                <c:pt idx="230">
                  <c:v>44155</c:v>
                </c:pt>
                <c:pt idx="231">
                  <c:v>44158</c:v>
                </c:pt>
                <c:pt idx="232">
                  <c:v>44159</c:v>
                </c:pt>
                <c:pt idx="233">
                  <c:v>44160</c:v>
                </c:pt>
                <c:pt idx="234">
                  <c:v>44161</c:v>
                </c:pt>
                <c:pt idx="235">
                  <c:v>44162</c:v>
                </c:pt>
                <c:pt idx="236">
                  <c:v>44165</c:v>
                </c:pt>
                <c:pt idx="237">
                  <c:v>44166</c:v>
                </c:pt>
                <c:pt idx="238">
                  <c:v>44167</c:v>
                </c:pt>
                <c:pt idx="239">
                  <c:v>44168</c:v>
                </c:pt>
                <c:pt idx="240">
                  <c:v>44169</c:v>
                </c:pt>
                <c:pt idx="241">
                  <c:v>44172</c:v>
                </c:pt>
                <c:pt idx="242">
                  <c:v>44173</c:v>
                </c:pt>
                <c:pt idx="243">
                  <c:v>44174</c:v>
                </c:pt>
                <c:pt idx="244">
                  <c:v>44175</c:v>
                </c:pt>
                <c:pt idx="245">
                  <c:v>44176</c:v>
                </c:pt>
                <c:pt idx="246">
                  <c:v>44179</c:v>
                </c:pt>
                <c:pt idx="247">
                  <c:v>44180</c:v>
                </c:pt>
                <c:pt idx="248">
                  <c:v>44181</c:v>
                </c:pt>
                <c:pt idx="249">
                  <c:v>44182</c:v>
                </c:pt>
                <c:pt idx="250">
                  <c:v>44183</c:v>
                </c:pt>
                <c:pt idx="251">
                  <c:v>44186</c:v>
                </c:pt>
                <c:pt idx="252">
                  <c:v>44187</c:v>
                </c:pt>
                <c:pt idx="253">
                  <c:v>44188</c:v>
                </c:pt>
                <c:pt idx="254">
                  <c:v>44189</c:v>
                </c:pt>
                <c:pt idx="255">
                  <c:v>44193</c:v>
                </c:pt>
                <c:pt idx="256">
                  <c:v>44194</c:v>
                </c:pt>
                <c:pt idx="257">
                  <c:v>44195</c:v>
                </c:pt>
                <c:pt idx="258">
                  <c:v>44196</c:v>
                </c:pt>
                <c:pt idx="259">
                  <c:v>44200</c:v>
                </c:pt>
                <c:pt idx="260">
                  <c:v>44201</c:v>
                </c:pt>
                <c:pt idx="261">
                  <c:v>44202</c:v>
                </c:pt>
                <c:pt idx="262">
                  <c:v>44203</c:v>
                </c:pt>
                <c:pt idx="263">
                  <c:v>44204</c:v>
                </c:pt>
                <c:pt idx="264">
                  <c:v>44207</c:v>
                </c:pt>
                <c:pt idx="265">
                  <c:v>44208</c:v>
                </c:pt>
                <c:pt idx="266">
                  <c:v>44209</c:v>
                </c:pt>
                <c:pt idx="267">
                  <c:v>44210</c:v>
                </c:pt>
                <c:pt idx="268">
                  <c:v>44211</c:v>
                </c:pt>
                <c:pt idx="269">
                  <c:v>44214</c:v>
                </c:pt>
                <c:pt idx="270">
                  <c:v>44215</c:v>
                </c:pt>
                <c:pt idx="271">
                  <c:v>44216</c:v>
                </c:pt>
                <c:pt idx="272">
                  <c:v>44217</c:v>
                </c:pt>
                <c:pt idx="273">
                  <c:v>44218</c:v>
                </c:pt>
                <c:pt idx="274">
                  <c:v>44221</c:v>
                </c:pt>
                <c:pt idx="275">
                  <c:v>44222</c:v>
                </c:pt>
                <c:pt idx="276">
                  <c:v>44223</c:v>
                </c:pt>
                <c:pt idx="277">
                  <c:v>44224</c:v>
                </c:pt>
                <c:pt idx="278">
                  <c:v>44225</c:v>
                </c:pt>
                <c:pt idx="279">
                  <c:v>44228</c:v>
                </c:pt>
                <c:pt idx="280">
                  <c:v>44229</c:v>
                </c:pt>
                <c:pt idx="281">
                  <c:v>44230</c:v>
                </c:pt>
                <c:pt idx="282">
                  <c:v>44231</c:v>
                </c:pt>
                <c:pt idx="283">
                  <c:v>44232</c:v>
                </c:pt>
                <c:pt idx="284">
                  <c:v>44235</c:v>
                </c:pt>
                <c:pt idx="285">
                  <c:v>44236</c:v>
                </c:pt>
                <c:pt idx="286">
                  <c:v>44237</c:v>
                </c:pt>
                <c:pt idx="287">
                  <c:v>44238</c:v>
                </c:pt>
                <c:pt idx="288">
                  <c:v>44239</c:v>
                </c:pt>
                <c:pt idx="289">
                  <c:v>44242</c:v>
                </c:pt>
                <c:pt idx="290">
                  <c:v>44243</c:v>
                </c:pt>
                <c:pt idx="291">
                  <c:v>44244</c:v>
                </c:pt>
                <c:pt idx="292">
                  <c:v>44245</c:v>
                </c:pt>
                <c:pt idx="293">
                  <c:v>44246</c:v>
                </c:pt>
                <c:pt idx="294">
                  <c:v>44249</c:v>
                </c:pt>
                <c:pt idx="295">
                  <c:v>44250</c:v>
                </c:pt>
                <c:pt idx="296">
                  <c:v>44251</c:v>
                </c:pt>
                <c:pt idx="297">
                  <c:v>44252</c:v>
                </c:pt>
                <c:pt idx="298">
                  <c:v>44253</c:v>
                </c:pt>
                <c:pt idx="299">
                  <c:v>44256</c:v>
                </c:pt>
                <c:pt idx="300">
                  <c:v>44257</c:v>
                </c:pt>
                <c:pt idx="301">
                  <c:v>44258</c:v>
                </c:pt>
                <c:pt idx="302">
                  <c:v>44259</c:v>
                </c:pt>
                <c:pt idx="303">
                  <c:v>44260</c:v>
                </c:pt>
                <c:pt idx="304">
                  <c:v>44263</c:v>
                </c:pt>
                <c:pt idx="305">
                  <c:v>44264</c:v>
                </c:pt>
                <c:pt idx="306">
                  <c:v>44265</c:v>
                </c:pt>
                <c:pt idx="307">
                  <c:v>44266</c:v>
                </c:pt>
                <c:pt idx="308">
                  <c:v>44267</c:v>
                </c:pt>
                <c:pt idx="309">
                  <c:v>44270</c:v>
                </c:pt>
                <c:pt idx="310">
                  <c:v>44271</c:v>
                </c:pt>
                <c:pt idx="311">
                  <c:v>44272</c:v>
                </c:pt>
                <c:pt idx="312">
                  <c:v>44273</c:v>
                </c:pt>
                <c:pt idx="313">
                  <c:v>44274</c:v>
                </c:pt>
                <c:pt idx="314">
                  <c:v>44277</c:v>
                </c:pt>
                <c:pt idx="315">
                  <c:v>44278</c:v>
                </c:pt>
                <c:pt idx="316">
                  <c:v>44279</c:v>
                </c:pt>
                <c:pt idx="317">
                  <c:v>44280</c:v>
                </c:pt>
                <c:pt idx="318">
                  <c:v>44281</c:v>
                </c:pt>
                <c:pt idx="319">
                  <c:v>44284</c:v>
                </c:pt>
                <c:pt idx="320">
                  <c:v>44285</c:v>
                </c:pt>
                <c:pt idx="321">
                  <c:v>44286</c:v>
                </c:pt>
                <c:pt idx="322">
                  <c:v>44287</c:v>
                </c:pt>
                <c:pt idx="323">
                  <c:v>44288</c:v>
                </c:pt>
                <c:pt idx="324">
                  <c:v>44291</c:v>
                </c:pt>
                <c:pt idx="325">
                  <c:v>44292</c:v>
                </c:pt>
                <c:pt idx="326">
                  <c:v>44293</c:v>
                </c:pt>
                <c:pt idx="327">
                  <c:v>44294</c:v>
                </c:pt>
                <c:pt idx="328">
                  <c:v>44295</c:v>
                </c:pt>
                <c:pt idx="329">
                  <c:v>44298</c:v>
                </c:pt>
                <c:pt idx="330">
                  <c:v>44299</c:v>
                </c:pt>
                <c:pt idx="331">
                  <c:v>44300</c:v>
                </c:pt>
                <c:pt idx="332">
                  <c:v>44301</c:v>
                </c:pt>
                <c:pt idx="333">
                  <c:v>44302</c:v>
                </c:pt>
                <c:pt idx="334">
                  <c:v>44305</c:v>
                </c:pt>
                <c:pt idx="335">
                  <c:v>44306</c:v>
                </c:pt>
                <c:pt idx="336">
                  <c:v>44307</c:v>
                </c:pt>
                <c:pt idx="337">
                  <c:v>44308</c:v>
                </c:pt>
                <c:pt idx="338">
                  <c:v>44309</c:v>
                </c:pt>
                <c:pt idx="339">
                  <c:v>44312</c:v>
                </c:pt>
                <c:pt idx="340">
                  <c:v>44313</c:v>
                </c:pt>
                <c:pt idx="341">
                  <c:v>44314</c:v>
                </c:pt>
                <c:pt idx="342">
                  <c:v>44315</c:v>
                </c:pt>
                <c:pt idx="343">
                  <c:v>44316</c:v>
                </c:pt>
                <c:pt idx="344">
                  <c:v>44319</c:v>
                </c:pt>
                <c:pt idx="345">
                  <c:v>44320</c:v>
                </c:pt>
                <c:pt idx="346">
                  <c:v>44321</c:v>
                </c:pt>
                <c:pt idx="347">
                  <c:v>44322</c:v>
                </c:pt>
                <c:pt idx="348">
                  <c:v>44323</c:v>
                </c:pt>
                <c:pt idx="349">
                  <c:v>44326</c:v>
                </c:pt>
                <c:pt idx="350">
                  <c:v>44327</c:v>
                </c:pt>
                <c:pt idx="351">
                  <c:v>44328</c:v>
                </c:pt>
                <c:pt idx="352">
                  <c:v>44329</c:v>
                </c:pt>
                <c:pt idx="353">
                  <c:v>44330</c:v>
                </c:pt>
                <c:pt idx="354">
                  <c:v>44333</c:v>
                </c:pt>
                <c:pt idx="355">
                  <c:v>44334</c:v>
                </c:pt>
                <c:pt idx="356">
                  <c:v>44335</c:v>
                </c:pt>
                <c:pt idx="357">
                  <c:v>44336</c:v>
                </c:pt>
                <c:pt idx="358">
                  <c:v>44337</c:v>
                </c:pt>
                <c:pt idx="359">
                  <c:v>44340</c:v>
                </c:pt>
                <c:pt idx="360">
                  <c:v>44341</c:v>
                </c:pt>
                <c:pt idx="361">
                  <c:v>44342</c:v>
                </c:pt>
                <c:pt idx="362">
                  <c:v>44343</c:v>
                </c:pt>
                <c:pt idx="363">
                  <c:v>44344</c:v>
                </c:pt>
                <c:pt idx="364">
                  <c:v>44347</c:v>
                </c:pt>
                <c:pt idx="365">
                  <c:v>44348</c:v>
                </c:pt>
                <c:pt idx="366">
                  <c:v>44349</c:v>
                </c:pt>
                <c:pt idx="367">
                  <c:v>44350</c:v>
                </c:pt>
                <c:pt idx="368">
                  <c:v>44351</c:v>
                </c:pt>
                <c:pt idx="369">
                  <c:v>44354</c:v>
                </c:pt>
                <c:pt idx="370">
                  <c:v>44355</c:v>
                </c:pt>
                <c:pt idx="371">
                  <c:v>44356</c:v>
                </c:pt>
                <c:pt idx="372">
                  <c:v>44357</c:v>
                </c:pt>
                <c:pt idx="373">
                  <c:v>44358</c:v>
                </c:pt>
                <c:pt idx="374">
                  <c:v>44361</c:v>
                </c:pt>
                <c:pt idx="375">
                  <c:v>44362</c:v>
                </c:pt>
                <c:pt idx="376">
                  <c:v>44363</c:v>
                </c:pt>
                <c:pt idx="377">
                  <c:v>44364</c:v>
                </c:pt>
                <c:pt idx="378">
                  <c:v>44365</c:v>
                </c:pt>
                <c:pt idx="379">
                  <c:v>44368</c:v>
                </c:pt>
                <c:pt idx="380">
                  <c:v>44369</c:v>
                </c:pt>
                <c:pt idx="381">
                  <c:v>44370</c:v>
                </c:pt>
                <c:pt idx="382">
                  <c:v>44371</c:v>
                </c:pt>
                <c:pt idx="383">
                  <c:v>44372</c:v>
                </c:pt>
                <c:pt idx="384">
                  <c:v>44375</c:v>
                </c:pt>
                <c:pt idx="385">
                  <c:v>44376</c:v>
                </c:pt>
                <c:pt idx="386">
                  <c:v>44377</c:v>
                </c:pt>
                <c:pt idx="387">
                  <c:v>44378</c:v>
                </c:pt>
                <c:pt idx="388">
                  <c:v>44379</c:v>
                </c:pt>
                <c:pt idx="389">
                  <c:v>44382</c:v>
                </c:pt>
                <c:pt idx="390">
                  <c:v>44383</c:v>
                </c:pt>
                <c:pt idx="391">
                  <c:v>44384</c:v>
                </c:pt>
                <c:pt idx="392">
                  <c:v>44385</c:v>
                </c:pt>
                <c:pt idx="393">
                  <c:v>44386</c:v>
                </c:pt>
                <c:pt idx="394">
                  <c:v>44389</c:v>
                </c:pt>
                <c:pt idx="395">
                  <c:v>44390</c:v>
                </c:pt>
                <c:pt idx="396">
                  <c:v>44391</c:v>
                </c:pt>
                <c:pt idx="397">
                  <c:v>44392</c:v>
                </c:pt>
                <c:pt idx="398">
                  <c:v>44393</c:v>
                </c:pt>
                <c:pt idx="399">
                  <c:v>44396</c:v>
                </c:pt>
                <c:pt idx="400">
                  <c:v>44397</c:v>
                </c:pt>
                <c:pt idx="401">
                  <c:v>44398</c:v>
                </c:pt>
                <c:pt idx="402">
                  <c:v>44399</c:v>
                </c:pt>
                <c:pt idx="403">
                  <c:v>44400</c:v>
                </c:pt>
                <c:pt idx="404">
                  <c:v>44403</c:v>
                </c:pt>
                <c:pt idx="405">
                  <c:v>44404</c:v>
                </c:pt>
                <c:pt idx="406">
                  <c:v>44405</c:v>
                </c:pt>
                <c:pt idx="407">
                  <c:v>44406</c:v>
                </c:pt>
                <c:pt idx="408">
                  <c:v>44407</c:v>
                </c:pt>
                <c:pt idx="409">
                  <c:v>44410</c:v>
                </c:pt>
                <c:pt idx="410">
                  <c:v>44411</c:v>
                </c:pt>
                <c:pt idx="411">
                  <c:v>44412</c:v>
                </c:pt>
                <c:pt idx="412">
                  <c:v>44413</c:v>
                </c:pt>
                <c:pt idx="413">
                  <c:v>44414</c:v>
                </c:pt>
                <c:pt idx="414">
                  <c:v>44417</c:v>
                </c:pt>
                <c:pt idx="415">
                  <c:v>44418</c:v>
                </c:pt>
                <c:pt idx="416">
                  <c:v>44419</c:v>
                </c:pt>
                <c:pt idx="417">
                  <c:v>44420</c:v>
                </c:pt>
                <c:pt idx="418">
                  <c:v>44421</c:v>
                </c:pt>
                <c:pt idx="419">
                  <c:v>44424</c:v>
                </c:pt>
                <c:pt idx="420">
                  <c:v>44425</c:v>
                </c:pt>
                <c:pt idx="421">
                  <c:v>44426</c:v>
                </c:pt>
                <c:pt idx="422">
                  <c:v>44427</c:v>
                </c:pt>
                <c:pt idx="423">
                  <c:v>44428</c:v>
                </c:pt>
                <c:pt idx="424">
                  <c:v>44431</c:v>
                </c:pt>
                <c:pt idx="425">
                  <c:v>44432</c:v>
                </c:pt>
                <c:pt idx="426">
                  <c:v>44433</c:v>
                </c:pt>
                <c:pt idx="427">
                  <c:v>44434</c:v>
                </c:pt>
                <c:pt idx="428">
                  <c:v>44435</c:v>
                </c:pt>
                <c:pt idx="429">
                  <c:v>44438</c:v>
                </c:pt>
                <c:pt idx="430">
                  <c:v>44439</c:v>
                </c:pt>
                <c:pt idx="431">
                  <c:v>44440</c:v>
                </c:pt>
                <c:pt idx="432">
                  <c:v>44441</c:v>
                </c:pt>
                <c:pt idx="433">
                  <c:v>44442</c:v>
                </c:pt>
                <c:pt idx="434">
                  <c:v>44445</c:v>
                </c:pt>
                <c:pt idx="435">
                  <c:v>44446</c:v>
                </c:pt>
                <c:pt idx="436">
                  <c:v>44447</c:v>
                </c:pt>
                <c:pt idx="437">
                  <c:v>44448</c:v>
                </c:pt>
                <c:pt idx="438">
                  <c:v>44449</c:v>
                </c:pt>
                <c:pt idx="439">
                  <c:v>44452</c:v>
                </c:pt>
                <c:pt idx="440">
                  <c:v>44453</c:v>
                </c:pt>
                <c:pt idx="441">
                  <c:v>44454</c:v>
                </c:pt>
                <c:pt idx="442">
                  <c:v>44455</c:v>
                </c:pt>
                <c:pt idx="443">
                  <c:v>44456</c:v>
                </c:pt>
                <c:pt idx="444">
                  <c:v>44459</c:v>
                </c:pt>
                <c:pt idx="445">
                  <c:v>44460</c:v>
                </c:pt>
                <c:pt idx="446">
                  <c:v>44461</c:v>
                </c:pt>
                <c:pt idx="447">
                  <c:v>44462</c:v>
                </c:pt>
                <c:pt idx="448">
                  <c:v>44463</c:v>
                </c:pt>
                <c:pt idx="449">
                  <c:v>44466</c:v>
                </c:pt>
                <c:pt idx="450">
                  <c:v>44467</c:v>
                </c:pt>
                <c:pt idx="451">
                  <c:v>44468</c:v>
                </c:pt>
                <c:pt idx="452">
                  <c:v>44469</c:v>
                </c:pt>
                <c:pt idx="453">
                  <c:v>44470</c:v>
                </c:pt>
                <c:pt idx="454">
                  <c:v>44473</c:v>
                </c:pt>
                <c:pt idx="455">
                  <c:v>44474</c:v>
                </c:pt>
                <c:pt idx="456">
                  <c:v>44475</c:v>
                </c:pt>
                <c:pt idx="457">
                  <c:v>44476</c:v>
                </c:pt>
                <c:pt idx="458">
                  <c:v>44477</c:v>
                </c:pt>
                <c:pt idx="459">
                  <c:v>44480</c:v>
                </c:pt>
                <c:pt idx="460">
                  <c:v>44481</c:v>
                </c:pt>
                <c:pt idx="461">
                  <c:v>44482</c:v>
                </c:pt>
                <c:pt idx="462">
                  <c:v>44483</c:v>
                </c:pt>
                <c:pt idx="463">
                  <c:v>44484</c:v>
                </c:pt>
                <c:pt idx="464">
                  <c:v>44487</c:v>
                </c:pt>
                <c:pt idx="465">
                  <c:v>44488</c:v>
                </c:pt>
                <c:pt idx="466">
                  <c:v>44489</c:v>
                </c:pt>
                <c:pt idx="467">
                  <c:v>44490</c:v>
                </c:pt>
                <c:pt idx="468">
                  <c:v>44491</c:v>
                </c:pt>
                <c:pt idx="469">
                  <c:v>44494</c:v>
                </c:pt>
                <c:pt idx="470">
                  <c:v>44495</c:v>
                </c:pt>
                <c:pt idx="471">
                  <c:v>44496</c:v>
                </c:pt>
                <c:pt idx="472">
                  <c:v>44497</c:v>
                </c:pt>
                <c:pt idx="473">
                  <c:v>44498</c:v>
                </c:pt>
                <c:pt idx="474">
                  <c:v>44501</c:v>
                </c:pt>
                <c:pt idx="475">
                  <c:v>44502</c:v>
                </c:pt>
                <c:pt idx="476">
                  <c:v>44503</c:v>
                </c:pt>
                <c:pt idx="477">
                  <c:v>44504</c:v>
                </c:pt>
                <c:pt idx="478">
                  <c:v>44505</c:v>
                </c:pt>
                <c:pt idx="479">
                  <c:v>44508</c:v>
                </c:pt>
                <c:pt idx="480">
                  <c:v>44509</c:v>
                </c:pt>
                <c:pt idx="481">
                  <c:v>44510</c:v>
                </c:pt>
                <c:pt idx="482">
                  <c:v>44511</c:v>
                </c:pt>
                <c:pt idx="483">
                  <c:v>44512</c:v>
                </c:pt>
                <c:pt idx="484">
                  <c:v>44515</c:v>
                </c:pt>
                <c:pt idx="485">
                  <c:v>44516</c:v>
                </c:pt>
                <c:pt idx="486">
                  <c:v>44517</c:v>
                </c:pt>
                <c:pt idx="487">
                  <c:v>44518</c:v>
                </c:pt>
                <c:pt idx="488">
                  <c:v>44519</c:v>
                </c:pt>
                <c:pt idx="489">
                  <c:v>44522</c:v>
                </c:pt>
                <c:pt idx="490">
                  <c:v>44523</c:v>
                </c:pt>
                <c:pt idx="491">
                  <c:v>44524</c:v>
                </c:pt>
                <c:pt idx="492">
                  <c:v>44525</c:v>
                </c:pt>
                <c:pt idx="493">
                  <c:v>44526</c:v>
                </c:pt>
                <c:pt idx="494">
                  <c:v>44529</c:v>
                </c:pt>
                <c:pt idx="495">
                  <c:v>44530</c:v>
                </c:pt>
                <c:pt idx="496">
                  <c:v>44531</c:v>
                </c:pt>
                <c:pt idx="497">
                  <c:v>44532</c:v>
                </c:pt>
                <c:pt idx="498">
                  <c:v>44533</c:v>
                </c:pt>
                <c:pt idx="499">
                  <c:v>44536</c:v>
                </c:pt>
                <c:pt idx="500">
                  <c:v>44537</c:v>
                </c:pt>
                <c:pt idx="501">
                  <c:v>44538</c:v>
                </c:pt>
                <c:pt idx="502">
                  <c:v>44539</c:v>
                </c:pt>
                <c:pt idx="503">
                  <c:v>44540</c:v>
                </c:pt>
                <c:pt idx="504">
                  <c:v>44543</c:v>
                </c:pt>
                <c:pt idx="505">
                  <c:v>44544</c:v>
                </c:pt>
                <c:pt idx="506">
                  <c:v>44545</c:v>
                </c:pt>
                <c:pt idx="507">
                  <c:v>44546</c:v>
                </c:pt>
                <c:pt idx="508">
                  <c:v>44547</c:v>
                </c:pt>
                <c:pt idx="509">
                  <c:v>44550</c:v>
                </c:pt>
                <c:pt idx="510">
                  <c:v>44551</c:v>
                </c:pt>
                <c:pt idx="511">
                  <c:v>44552</c:v>
                </c:pt>
                <c:pt idx="512">
                  <c:v>44553</c:v>
                </c:pt>
                <c:pt idx="513">
                  <c:v>44557</c:v>
                </c:pt>
                <c:pt idx="514">
                  <c:v>44558</c:v>
                </c:pt>
                <c:pt idx="515">
                  <c:v>44559</c:v>
                </c:pt>
                <c:pt idx="516">
                  <c:v>44560</c:v>
                </c:pt>
                <c:pt idx="517">
                  <c:v>44561</c:v>
                </c:pt>
                <c:pt idx="518">
                  <c:v>44564</c:v>
                </c:pt>
                <c:pt idx="519">
                  <c:v>44565</c:v>
                </c:pt>
                <c:pt idx="520">
                  <c:v>44566</c:v>
                </c:pt>
                <c:pt idx="521">
                  <c:v>44567</c:v>
                </c:pt>
                <c:pt idx="522">
                  <c:v>44568</c:v>
                </c:pt>
                <c:pt idx="523">
                  <c:v>44571</c:v>
                </c:pt>
                <c:pt idx="524">
                  <c:v>44572</c:v>
                </c:pt>
                <c:pt idx="525">
                  <c:v>44573</c:v>
                </c:pt>
                <c:pt idx="526">
                  <c:v>44574</c:v>
                </c:pt>
                <c:pt idx="527">
                  <c:v>44575</c:v>
                </c:pt>
                <c:pt idx="528">
                  <c:v>44578</c:v>
                </c:pt>
                <c:pt idx="529">
                  <c:v>44579</c:v>
                </c:pt>
                <c:pt idx="530">
                  <c:v>44580</c:v>
                </c:pt>
                <c:pt idx="531">
                  <c:v>44581</c:v>
                </c:pt>
                <c:pt idx="532">
                  <c:v>44582</c:v>
                </c:pt>
                <c:pt idx="533">
                  <c:v>44585</c:v>
                </c:pt>
                <c:pt idx="534">
                  <c:v>44586</c:v>
                </c:pt>
                <c:pt idx="535">
                  <c:v>44587</c:v>
                </c:pt>
                <c:pt idx="536">
                  <c:v>44588</c:v>
                </c:pt>
                <c:pt idx="537">
                  <c:v>44589</c:v>
                </c:pt>
                <c:pt idx="538">
                  <c:v>44592</c:v>
                </c:pt>
                <c:pt idx="539">
                  <c:v>44593</c:v>
                </c:pt>
                <c:pt idx="540">
                  <c:v>44594</c:v>
                </c:pt>
                <c:pt idx="541">
                  <c:v>44595</c:v>
                </c:pt>
                <c:pt idx="542">
                  <c:v>44596</c:v>
                </c:pt>
                <c:pt idx="543">
                  <c:v>44599</c:v>
                </c:pt>
                <c:pt idx="544">
                  <c:v>44600</c:v>
                </c:pt>
                <c:pt idx="545">
                  <c:v>44601</c:v>
                </c:pt>
                <c:pt idx="546">
                  <c:v>44602</c:v>
                </c:pt>
                <c:pt idx="547">
                  <c:v>44603</c:v>
                </c:pt>
                <c:pt idx="548">
                  <c:v>44606</c:v>
                </c:pt>
                <c:pt idx="549">
                  <c:v>44607</c:v>
                </c:pt>
                <c:pt idx="550">
                  <c:v>44608</c:v>
                </c:pt>
                <c:pt idx="551">
                  <c:v>44609</c:v>
                </c:pt>
                <c:pt idx="552">
                  <c:v>44610</c:v>
                </c:pt>
                <c:pt idx="553">
                  <c:v>44613</c:v>
                </c:pt>
                <c:pt idx="554">
                  <c:v>44614</c:v>
                </c:pt>
                <c:pt idx="555">
                  <c:v>44615</c:v>
                </c:pt>
                <c:pt idx="556">
                  <c:v>44616</c:v>
                </c:pt>
                <c:pt idx="557">
                  <c:v>44617</c:v>
                </c:pt>
                <c:pt idx="558">
                  <c:v>44620</c:v>
                </c:pt>
                <c:pt idx="559">
                  <c:v>44621</c:v>
                </c:pt>
                <c:pt idx="560">
                  <c:v>44622</c:v>
                </c:pt>
                <c:pt idx="561">
                  <c:v>44623</c:v>
                </c:pt>
                <c:pt idx="562">
                  <c:v>44624</c:v>
                </c:pt>
                <c:pt idx="563">
                  <c:v>44627</c:v>
                </c:pt>
                <c:pt idx="564">
                  <c:v>44628</c:v>
                </c:pt>
                <c:pt idx="565">
                  <c:v>44629</c:v>
                </c:pt>
                <c:pt idx="566">
                  <c:v>44630</c:v>
                </c:pt>
                <c:pt idx="567">
                  <c:v>44631</c:v>
                </c:pt>
                <c:pt idx="568">
                  <c:v>44634</c:v>
                </c:pt>
                <c:pt idx="569">
                  <c:v>44635</c:v>
                </c:pt>
                <c:pt idx="570">
                  <c:v>44636</c:v>
                </c:pt>
                <c:pt idx="571">
                  <c:v>44637</c:v>
                </c:pt>
                <c:pt idx="572">
                  <c:v>44638</c:v>
                </c:pt>
                <c:pt idx="573">
                  <c:v>44641</c:v>
                </c:pt>
                <c:pt idx="574">
                  <c:v>44642</c:v>
                </c:pt>
                <c:pt idx="575">
                  <c:v>44643</c:v>
                </c:pt>
                <c:pt idx="576">
                  <c:v>44644</c:v>
                </c:pt>
                <c:pt idx="577">
                  <c:v>44645</c:v>
                </c:pt>
                <c:pt idx="578">
                  <c:v>44648</c:v>
                </c:pt>
                <c:pt idx="579">
                  <c:v>44649</c:v>
                </c:pt>
                <c:pt idx="580">
                  <c:v>44650</c:v>
                </c:pt>
                <c:pt idx="581">
                  <c:v>44651</c:v>
                </c:pt>
                <c:pt idx="582">
                  <c:v>44652</c:v>
                </c:pt>
                <c:pt idx="583">
                  <c:v>44655</c:v>
                </c:pt>
                <c:pt idx="584">
                  <c:v>44656</c:v>
                </c:pt>
                <c:pt idx="585">
                  <c:v>44657</c:v>
                </c:pt>
                <c:pt idx="586">
                  <c:v>44658</c:v>
                </c:pt>
                <c:pt idx="587">
                  <c:v>44659</c:v>
                </c:pt>
                <c:pt idx="588">
                  <c:v>44662</c:v>
                </c:pt>
                <c:pt idx="589">
                  <c:v>44663</c:v>
                </c:pt>
                <c:pt idx="590">
                  <c:v>44664</c:v>
                </c:pt>
                <c:pt idx="591">
                  <c:v>44665</c:v>
                </c:pt>
                <c:pt idx="592">
                  <c:v>44669</c:v>
                </c:pt>
                <c:pt idx="593">
                  <c:v>44670</c:v>
                </c:pt>
                <c:pt idx="594">
                  <c:v>44671</c:v>
                </c:pt>
                <c:pt idx="595">
                  <c:v>44672</c:v>
                </c:pt>
                <c:pt idx="596">
                  <c:v>44673</c:v>
                </c:pt>
                <c:pt idx="597">
                  <c:v>44676</c:v>
                </c:pt>
                <c:pt idx="598">
                  <c:v>44677</c:v>
                </c:pt>
                <c:pt idx="599">
                  <c:v>44678</c:v>
                </c:pt>
                <c:pt idx="600">
                  <c:v>44679</c:v>
                </c:pt>
                <c:pt idx="601">
                  <c:v>44680</c:v>
                </c:pt>
                <c:pt idx="602">
                  <c:v>44683</c:v>
                </c:pt>
                <c:pt idx="603">
                  <c:v>44684</c:v>
                </c:pt>
                <c:pt idx="604">
                  <c:v>44685</c:v>
                </c:pt>
                <c:pt idx="605">
                  <c:v>44686</c:v>
                </c:pt>
                <c:pt idx="606">
                  <c:v>44687</c:v>
                </c:pt>
                <c:pt idx="607">
                  <c:v>44690</c:v>
                </c:pt>
                <c:pt idx="608">
                  <c:v>44691</c:v>
                </c:pt>
                <c:pt idx="609">
                  <c:v>44692</c:v>
                </c:pt>
                <c:pt idx="610">
                  <c:v>44693</c:v>
                </c:pt>
                <c:pt idx="611">
                  <c:v>44694</c:v>
                </c:pt>
                <c:pt idx="612">
                  <c:v>44697</c:v>
                </c:pt>
                <c:pt idx="613">
                  <c:v>44698</c:v>
                </c:pt>
                <c:pt idx="614">
                  <c:v>44699</c:v>
                </c:pt>
                <c:pt idx="615">
                  <c:v>44700</c:v>
                </c:pt>
                <c:pt idx="616">
                  <c:v>44701</c:v>
                </c:pt>
                <c:pt idx="617">
                  <c:v>44704</c:v>
                </c:pt>
                <c:pt idx="618">
                  <c:v>44705</c:v>
                </c:pt>
                <c:pt idx="619">
                  <c:v>44706</c:v>
                </c:pt>
                <c:pt idx="620">
                  <c:v>44707</c:v>
                </c:pt>
                <c:pt idx="621">
                  <c:v>44708</c:v>
                </c:pt>
                <c:pt idx="622">
                  <c:v>44711</c:v>
                </c:pt>
                <c:pt idx="623">
                  <c:v>44712</c:v>
                </c:pt>
                <c:pt idx="624">
                  <c:v>44713</c:v>
                </c:pt>
                <c:pt idx="625">
                  <c:v>44714</c:v>
                </c:pt>
                <c:pt idx="626">
                  <c:v>44715</c:v>
                </c:pt>
                <c:pt idx="627">
                  <c:v>44718</c:v>
                </c:pt>
                <c:pt idx="628">
                  <c:v>44719</c:v>
                </c:pt>
                <c:pt idx="629">
                  <c:v>44720</c:v>
                </c:pt>
                <c:pt idx="630">
                  <c:v>44721</c:v>
                </c:pt>
                <c:pt idx="631">
                  <c:v>44722</c:v>
                </c:pt>
                <c:pt idx="632">
                  <c:v>44725</c:v>
                </c:pt>
                <c:pt idx="633">
                  <c:v>44726</c:v>
                </c:pt>
                <c:pt idx="634">
                  <c:v>44727</c:v>
                </c:pt>
                <c:pt idx="635">
                  <c:v>44728</c:v>
                </c:pt>
                <c:pt idx="636">
                  <c:v>44729</c:v>
                </c:pt>
                <c:pt idx="637">
                  <c:v>44732</c:v>
                </c:pt>
                <c:pt idx="638">
                  <c:v>44733</c:v>
                </c:pt>
                <c:pt idx="639">
                  <c:v>44734</c:v>
                </c:pt>
                <c:pt idx="640">
                  <c:v>44735</c:v>
                </c:pt>
                <c:pt idx="641">
                  <c:v>44736</c:v>
                </c:pt>
                <c:pt idx="642">
                  <c:v>44739</c:v>
                </c:pt>
                <c:pt idx="643">
                  <c:v>44740</c:v>
                </c:pt>
                <c:pt idx="644">
                  <c:v>44741</c:v>
                </c:pt>
                <c:pt idx="645">
                  <c:v>44742</c:v>
                </c:pt>
                <c:pt idx="646">
                  <c:v>44743</c:v>
                </c:pt>
                <c:pt idx="647">
                  <c:v>44746</c:v>
                </c:pt>
                <c:pt idx="648">
                  <c:v>44747</c:v>
                </c:pt>
                <c:pt idx="649">
                  <c:v>44748</c:v>
                </c:pt>
                <c:pt idx="650">
                  <c:v>44749</c:v>
                </c:pt>
                <c:pt idx="651">
                  <c:v>44750</c:v>
                </c:pt>
                <c:pt idx="652">
                  <c:v>44753</c:v>
                </c:pt>
                <c:pt idx="653">
                  <c:v>44754</c:v>
                </c:pt>
                <c:pt idx="654">
                  <c:v>44755</c:v>
                </c:pt>
                <c:pt idx="655">
                  <c:v>44756</c:v>
                </c:pt>
                <c:pt idx="656">
                  <c:v>44757</c:v>
                </c:pt>
                <c:pt idx="657">
                  <c:v>44760</c:v>
                </c:pt>
                <c:pt idx="658">
                  <c:v>44761</c:v>
                </c:pt>
                <c:pt idx="659">
                  <c:v>44762</c:v>
                </c:pt>
                <c:pt idx="660">
                  <c:v>44763</c:v>
                </c:pt>
                <c:pt idx="661">
                  <c:v>44764</c:v>
                </c:pt>
                <c:pt idx="662">
                  <c:v>44767</c:v>
                </c:pt>
                <c:pt idx="663">
                  <c:v>44768</c:v>
                </c:pt>
                <c:pt idx="664">
                  <c:v>44769</c:v>
                </c:pt>
                <c:pt idx="665">
                  <c:v>44770</c:v>
                </c:pt>
                <c:pt idx="666">
                  <c:v>44771</c:v>
                </c:pt>
                <c:pt idx="667">
                  <c:v>44774</c:v>
                </c:pt>
                <c:pt idx="668">
                  <c:v>44775</c:v>
                </c:pt>
                <c:pt idx="669">
                  <c:v>44776</c:v>
                </c:pt>
                <c:pt idx="670">
                  <c:v>44777</c:v>
                </c:pt>
                <c:pt idx="671">
                  <c:v>44778</c:v>
                </c:pt>
                <c:pt idx="672">
                  <c:v>44781</c:v>
                </c:pt>
                <c:pt idx="673">
                  <c:v>44782</c:v>
                </c:pt>
                <c:pt idx="674">
                  <c:v>44783</c:v>
                </c:pt>
                <c:pt idx="675">
                  <c:v>44784</c:v>
                </c:pt>
                <c:pt idx="676">
                  <c:v>44785</c:v>
                </c:pt>
                <c:pt idx="677">
                  <c:v>44788</c:v>
                </c:pt>
                <c:pt idx="678">
                  <c:v>44789</c:v>
                </c:pt>
                <c:pt idx="679">
                  <c:v>44790</c:v>
                </c:pt>
                <c:pt idx="680">
                  <c:v>44791</c:v>
                </c:pt>
                <c:pt idx="681">
                  <c:v>44792</c:v>
                </c:pt>
                <c:pt idx="682">
                  <c:v>44795</c:v>
                </c:pt>
                <c:pt idx="683">
                  <c:v>44796</c:v>
                </c:pt>
                <c:pt idx="684">
                  <c:v>44797</c:v>
                </c:pt>
                <c:pt idx="685">
                  <c:v>44798</c:v>
                </c:pt>
                <c:pt idx="686">
                  <c:v>44799</c:v>
                </c:pt>
                <c:pt idx="687">
                  <c:v>44802</c:v>
                </c:pt>
                <c:pt idx="688">
                  <c:v>44803</c:v>
                </c:pt>
                <c:pt idx="689">
                  <c:v>44804</c:v>
                </c:pt>
                <c:pt idx="690">
                  <c:v>44805</c:v>
                </c:pt>
                <c:pt idx="691">
                  <c:v>44806</c:v>
                </c:pt>
                <c:pt idx="692">
                  <c:v>44809</c:v>
                </c:pt>
                <c:pt idx="693">
                  <c:v>44810</c:v>
                </c:pt>
                <c:pt idx="694">
                  <c:v>44811</c:v>
                </c:pt>
                <c:pt idx="695">
                  <c:v>44812</c:v>
                </c:pt>
                <c:pt idx="696">
                  <c:v>44813</c:v>
                </c:pt>
                <c:pt idx="697">
                  <c:v>44816</c:v>
                </c:pt>
                <c:pt idx="698">
                  <c:v>44817</c:v>
                </c:pt>
                <c:pt idx="699">
                  <c:v>44818</c:v>
                </c:pt>
                <c:pt idx="700">
                  <c:v>44819</c:v>
                </c:pt>
                <c:pt idx="701">
                  <c:v>44820</c:v>
                </c:pt>
                <c:pt idx="702">
                  <c:v>44823</c:v>
                </c:pt>
                <c:pt idx="703">
                  <c:v>44824</c:v>
                </c:pt>
                <c:pt idx="704">
                  <c:v>44825</c:v>
                </c:pt>
                <c:pt idx="705">
                  <c:v>44826</c:v>
                </c:pt>
                <c:pt idx="706">
                  <c:v>44827</c:v>
                </c:pt>
                <c:pt idx="707">
                  <c:v>44830</c:v>
                </c:pt>
                <c:pt idx="708">
                  <c:v>44831</c:v>
                </c:pt>
                <c:pt idx="709">
                  <c:v>44832</c:v>
                </c:pt>
                <c:pt idx="710">
                  <c:v>44833</c:v>
                </c:pt>
                <c:pt idx="711">
                  <c:v>44834</c:v>
                </c:pt>
                <c:pt idx="712">
                  <c:v>44837</c:v>
                </c:pt>
                <c:pt idx="713">
                  <c:v>44838</c:v>
                </c:pt>
                <c:pt idx="714">
                  <c:v>44839</c:v>
                </c:pt>
                <c:pt idx="715">
                  <c:v>44840</c:v>
                </c:pt>
                <c:pt idx="716">
                  <c:v>44841</c:v>
                </c:pt>
                <c:pt idx="717">
                  <c:v>44844</c:v>
                </c:pt>
                <c:pt idx="718">
                  <c:v>44845</c:v>
                </c:pt>
                <c:pt idx="719">
                  <c:v>44846</c:v>
                </c:pt>
                <c:pt idx="720">
                  <c:v>44847</c:v>
                </c:pt>
                <c:pt idx="721">
                  <c:v>44848</c:v>
                </c:pt>
                <c:pt idx="722">
                  <c:v>44851</c:v>
                </c:pt>
                <c:pt idx="723">
                  <c:v>44852</c:v>
                </c:pt>
                <c:pt idx="724">
                  <c:v>44853</c:v>
                </c:pt>
                <c:pt idx="725">
                  <c:v>44854</c:v>
                </c:pt>
                <c:pt idx="726">
                  <c:v>44855</c:v>
                </c:pt>
                <c:pt idx="727">
                  <c:v>44858</c:v>
                </c:pt>
                <c:pt idx="728">
                  <c:v>44859</c:v>
                </c:pt>
                <c:pt idx="729">
                  <c:v>44860</c:v>
                </c:pt>
                <c:pt idx="730">
                  <c:v>44861</c:v>
                </c:pt>
                <c:pt idx="731">
                  <c:v>44862</c:v>
                </c:pt>
                <c:pt idx="732">
                  <c:v>44865</c:v>
                </c:pt>
                <c:pt idx="733">
                  <c:v>44866</c:v>
                </c:pt>
                <c:pt idx="734">
                  <c:v>44867</c:v>
                </c:pt>
                <c:pt idx="735">
                  <c:v>44868</c:v>
                </c:pt>
                <c:pt idx="736">
                  <c:v>44869</c:v>
                </c:pt>
                <c:pt idx="737">
                  <c:v>44872</c:v>
                </c:pt>
                <c:pt idx="738">
                  <c:v>44873</c:v>
                </c:pt>
                <c:pt idx="739">
                  <c:v>44874</c:v>
                </c:pt>
                <c:pt idx="740">
                  <c:v>44875</c:v>
                </c:pt>
                <c:pt idx="741">
                  <c:v>44876</c:v>
                </c:pt>
                <c:pt idx="742">
                  <c:v>44879</c:v>
                </c:pt>
                <c:pt idx="743">
                  <c:v>44880</c:v>
                </c:pt>
                <c:pt idx="744">
                  <c:v>44881</c:v>
                </c:pt>
                <c:pt idx="745">
                  <c:v>44882</c:v>
                </c:pt>
                <c:pt idx="746">
                  <c:v>44883</c:v>
                </c:pt>
                <c:pt idx="747">
                  <c:v>44886</c:v>
                </c:pt>
                <c:pt idx="748">
                  <c:v>44887</c:v>
                </c:pt>
                <c:pt idx="749">
                  <c:v>44888</c:v>
                </c:pt>
                <c:pt idx="750">
                  <c:v>44889</c:v>
                </c:pt>
                <c:pt idx="751">
                  <c:v>44890</c:v>
                </c:pt>
                <c:pt idx="752">
                  <c:v>44893</c:v>
                </c:pt>
                <c:pt idx="753">
                  <c:v>44894</c:v>
                </c:pt>
                <c:pt idx="754">
                  <c:v>44895</c:v>
                </c:pt>
                <c:pt idx="755">
                  <c:v>44896</c:v>
                </c:pt>
                <c:pt idx="756">
                  <c:v>44897</c:v>
                </c:pt>
                <c:pt idx="757">
                  <c:v>44900</c:v>
                </c:pt>
                <c:pt idx="758">
                  <c:v>44901</c:v>
                </c:pt>
                <c:pt idx="759">
                  <c:v>44902</c:v>
                </c:pt>
                <c:pt idx="760">
                  <c:v>44903</c:v>
                </c:pt>
                <c:pt idx="761">
                  <c:v>44904</c:v>
                </c:pt>
                <c:pt idx="762">
                  <c:v>44907</c:v>
                </c:pt>
                <c:pt idx="763">
                  <c:v>44908</c:v>
                </c:pt>
                <c:pt idx="764">
                  <c:v>44909</c:v>
                </c:pt>
                <c:pt idx="765">
                  <c:v>44910</c:v>
                </c:pt>
                <c:pt idx="766">
                  <c:v>44911</c:v>
                </c:pt>
                <c:pt idx="767">
                  <c:v>44914</c:v>
                </c:pt>
                <c:pt idx="768">
                  <c:v>44915</c:v>
                </c:pt>
                <c:pt idx="769">
                  <c:v>44916</c:v>
                </c:pt>
                <c:pt idx="770">
                  <c:v>44917</c:v>
                </c:pt>
                <c:pt idx="771">
                  <c:v>44918</c:v>
                </c:pt>
                <c:pt idx="772">
                  <c:v>44922</c:v>
                </c:pt>
                <c:pt idx="773">
                  <c:v>44923</c:v>
                </c:pt>
                <c:pt idx="774">
                  <c:v>44924</c:v>
                </c:pt>
                <c:pt idx="775">
                  <c:v>44925</c:v>
                </c:pt>
                <c:pt idx="776">
                  <c:v>44929</c:v>
                </c:pt>
                <c:pt idx="777">
                  <c:v>44930</c:v>
                </c:pt>
                <c:pt idx="778">
                  <c:v>44931</c:v>
                </c:pt>
                <c:pt idx="779">
                  <c:v>44932</c:v>
                </c:pt>
                <c:pt idx="780">
                  <c:v>44935</c:v>
                </c:pt>
                <c:pt idx="781">
                  <c:v>44936</c:v>
                </c:pt>
                <c:pt idx="782">
                  <c:v>44937</c:v>
                </c:pt>
                <c:pt idx="783">
                  <c:v>44938</c:v>
                </c:pt>
                <c:pt idx="784">
                  <c:v>44939</c:v>
                </c:pt>
                <c:pt idx="785">
                  <c:v>44942</c:v>
                </c:pt>
                <c:pt idx="786">
                  <c:v>44943</c:v>
                </c:pt>
                <c:pt idx="787">
                  <c:v>44944</c:v>
                </c:pt>
                <c:pt idx="788">
                  <c:v>44945</c:v>
                </c:pt>
                <c:pt idx="789">
                  <c:v>44946</c:v>
                </c:pt>
                <c:pt idx="790">
                  <c:v>44949</c:v>
                </c:pt>
                <c:pt idx="791">
                  <c:v>44950</c:v>
                </c:pt>
                <c:pt idx="792">
                  <c:v>44951</c:v>
                </c:pt>
                <c:pt idx="793">
                  <c:v>44952</c:v>
                </c:pt>
                <c:pt idx="794">
                  <c:v>44953</c:v>
                </c:pt>
                <c:pt idx="795">
                  <c:v>44956</c:v>
                </c:pt>
                <c:pt idx="796">
                  <c:v>44957</c:v>
                </c:pt>
                <c:pt idx="797">
                  <c:v>44958</c:v>
                </c:pt>
                <c:pt idx="798">
                  <c:v>44959</c:v>
                </c:pt>
                <c:pt idx="799">
                  <c:v>44960</c:v>
                </c:pt>
                <c:pt idx="800">
                  <c:v>44963</c:v>
                </c:pt>
                <c:pt idx="801">
                  <c:v>44964</c:v>
                </c:pt>
                <c:pt idx="802">
                  <c:v>44965</c:v>
                </c:pt>
                <c:pt idx="803">
                  <c:v>44966</c:v>
                </c:pt>
                <c:pt idx="804">
                  <c:v>44967</c:v>
                </c:pt>
                <c:pt idx="805">
                  <c:v>44970</c:v>
                </c:pt>
                <c:pt idx="806">
                  <c:v>44971</c:v>
                </c:pt>
                <c:pt idx="807">
                  <c:v>44972</c:v>
                </c:pt>
                <c:pt idx="808">
                  <c:v>44973</c:v>
                </c:pt>
                <c:pt idx="809">
                  <c:v>44974</c:v>
                </c:pt>
                <c:pt idx="810">
                  <c:v>44977</c:v>
                </c:pt>
                <c:pt idx="811">
                  <c:v>44978</c:v>
                </c:pt>
                <c:pt idx="812">
                  <c:v>44979</c:v>
                </c:pt>
                <c:pt idx="813">
                  <c:v>44980</c:v>
                </c:pt>
                <c:pt idx="814">
                  <c:v>44981</c:v>
                </c:pt>
                <c:pt idx="815">
                  <c:v>44984</c:v>
                </c:pt>
                <c:pt idx="816">
                  <c:v>44985</c:v>
                </c:pt>
                <c:pt idx="817">
                  <c:v>44986</c:v>
                </c:pt>
                <c:pt idx="818">
                  <c:v>44987</c:v>
                </c:pt>
                <c:pt idx="819">
                  <c:v>44988</c:v>
                </c:pt>
                <c:pt idx="820">
                  <c:v>44991</c:v>
                </c:pt>
                <c:pt idx="821">
                  <c:v>44992</c:v>
                </c:pt>
                <c:pt idx="822">
                  <c:v>44993</c:v>
                </c:pt>
                <c:pt idx="823">
                  <c:v>44994</c:v>
                </c:pt>
                <c:pt idx="824">
                  <c:v>44995</c:v>
                </c:pt>
                <c:pt idx="825">
                  <c:v>44998</c:v>
                </c:pt>
                <c:pt idx="826">
                  <c:v>44999</c:v>
                </c:pt>
                <c:pt idx="827">
                  <c:v>45000</c:v>
                </c:pt>
                <c:pt idx="828">
                  <c:v>45001</c:v>
                </c:pt>
                <c:pt idx="829">
                  <c:v>45002</c:v>
                </c:pt>
                <c:pt idx="830">
                  <c:v>45005</c:v>
                </c:pt>
                <c:pt idx="831">
                  <c:v>45006</c:v>
                </c:pt>
                <c:pt idx="832">
                  <c:v>45007</c:v>
                </c:pt>
                <c:pt idx="833">
                  <c:v>45008</c:v>
                </c:pt>
                <c:pt idx="834">
                  <c:v>45009</c:v>
                </c:pt>
                <c:pt idx="835">
                  <c:v>45012</c:v>
                </c:pt>
                <c:pt idx="836">
                  <c:v>45013</c:v>
                </c:pt>
                <c:pt idx="837">
                  <c:v>45014</c:v>
                </c:pt>
                <c:pt idx="838">
                  <c:v>45015</c:v>
                </c:pt>
                <c:pt idx="839">
                  <c:v>45016</c:v>
                </c:pt>
                <c:pt idx="840">
                  <c:v>45019</c:v>
                </c:pt>
                <c:pt idx="841">
                  <c:v>45020</c:v>
                </c:pt>
                <c:pt idx="842">
                  <c:v>45021</c:v>
                </c:pt>
                <c:pt idx="843">
                  <c:v>45022</c:v>
                </c:pt>
                <c:pt idx="844">
                  <c:v>45023</c:v>
                </c:pt>
                <c:pt idx="845">
                  <c:v>45026</c:v>
                </c:pt>
                <c:pt idx="846">
                  <c:v>45027</c:v>
                </c:pt>
                <c:pt idx="847">
                  <c:v>45028</c:v>
                </c:pt>
                <c:pt idx="848">
                  <c:v>45029</c:v>
                </c:pt>
                <c:pt idx="849">
                  <c:v>45030</c:v>
                </c:pt>
                <c:pt idx="850">
                  <c:v>45033</c:v>
                </c:pt>
                <c:pt idx="851">
                  <c:v>45034</c:v>
                </c:pt>
                <c:pt idx="852">
                  <c:v>45035</c:v>
                </c:pt>
                <c:pt idx="853">
                  <c:v>45036</c:v>
                </c:pt>
                <c:pt idx="854">
                  <c:v>45037</c:v>
                </c:pt>
                <c:pt idx="855">
                  <c:v>45040</c:v>
                </c:pt>
                <c:pt idx="856">
                  <c:v>45041</c:v>
                </c:pt>
                <c:pt idx="857">
                  <c:v>45042</c:v>
                </c:pt>
                <c:pt idx="858">
                  <c:v>45043</c:v>
                </c:pt>
                <c:pt idx="859">
                  <c:v>45044</c:v>
                </c:pt>
                <c:pt idx="860">
                  <c:v>45047</c:v>
                </c:pt>
                <c:pt idx="861">
                  <c:v>45048</c:v>
                </c:pt>
                <c:pt idx="862">
                  <c:v>45049</c:v>
                </c:pt>
                <c:pt idx="863">
                  <c:v>45050</c:v>
                </c:pt>
                <c:pt idx="864">
                  <c:v>45051</c:v>
                </c:pt>
                <c:pt idx="865">
                  <c:v>45054</c:v>
                </c:pt>
                <c:pt idx="866">
                  <c:v>45055</c:v>
                </c:pt>
                <c:pt idx="867">
                  <c:v>45056</c:v>
                </c:pt>
                <c:pt idx="868">
                  <c:v>45057</c:v>
                </c:pt>
                <c:pt idx="869">
                  <c:v>45058</c:v>
                </c:pt>
                <c:pt idx="870">
                  <c:v>45061</c:v>
                </c:pt>
                <c:pt idx="871">
                  <c:v>45062</c:v>
                </c:pt>
                <c:pt idx="872">
                  <c:v>45063</c:v>
                </c:pt>
                <c:pt idx="873">
                  <c:v>45064</c:v>
                </c:pt>
                <c:pt idx="874">
                  <c:v>45065</c:v>
                </c:pt>
                <c:pt idx="875">
                  <c:v>45068</c:v>
                </c:pt>
                <c:pt idx="876">
                  <c:v>45069</c:v>
                </c:pt>
                <c:pt idx="877">
                  <c:v>45070</c:v>
                </c:pt>
                <c:pt idx="878">
                  <c:v>45071</c:v>
                </c:pt>
                <c:pt idx="879">
                  <c:v>45072</c:v>
                </c:pt>
                <c:pt idx="880">
                  <c:v>45075</c:v>
                </c:pt>
                <c:pt idx="881">
                  <c:v>45076</c:v>
                </c:pt>
                <c:pt idx="882">
                  <c:v>45077</c:v>
                </c:pt>
                <c:pt idx="883">
                  <c:v>45078</c:v>
                </c:pt>
                <c:pt idx="884">
                  <c:v>45079</c:v>
                </c:pt>
                <c:pt idx="885">
                  <c:v>45082</c:v>
                </c:pt>
                <c:pt idx="886">
                  <c:v>45083</c:v>
                </c:pt>
                <c:pt idx="887">
                  <c:v>45084</c:v>
                </c:pt>
                <c:pt idx="888">
                  <c:v>45085</c:v>
                </c:pt>
              </c:numCache>
            </c:numRef>
          </c:cat>
          <c:val>
            <c:numRef>
              <c:f>Sheet1!$B$2:$B$957</c:f>
              <c:numCache>
                <c:formatCode>0.0</c:formatCode>
                <c:ptCount val="956"/>
                <c:pt idx="0">
                  <c:v>100</c:v>
                </c:pt>
                <c:pt idx="1">
                  <c:v>99.50149876189235</c:v>
                </c:pt>
                <c:pt idx="2">
                  <c:v>99.594356835657479</c:v>
                </c:pt>
                <c:pt idx="3">
                  <c:v>99.346735305617088</c:v>
                </c:pt>
                <c:pt idx="4">
                  <c:v>99.988596376906045</c:v>
                </c:pt>
                <c:pt idx="5">
                  <c:v>99.760523915026724</c:v>
                </c:pt>
                <c:pt idx="6">
                  <c:v>99.653004040140758</c:v>
                </c:pt>
                <c:pt idx="7">
                  <c:v>99.604131369738042</c:v>
                </c:pt>
                <c:pt idx="8">
                  <c:v>99.607389547764896</c:v>
                </c:pt>
                <c:pt idx="9">
                  <c:v>99.508015117946059</c:v>
                </c:pt>
                <c:pt idx="10">
                  <c:v>99.349993483643956</c:v>
                </c:pt>
                <c:pt idx="11">
                  <c:v>99.392349797992978</c:v>
                </c:pt>
                <c:pt idx="12">
                  <c:v>99.224553629610327</c:v>
                </c:pt>
                <c:pt idx="13">
                  <c:v>99.074677440375353</c:v>
                </c:pt>
                <c:pt idx="14">
                  <c:v>99.191971849341854</c:v>
                </c:pt>
                <c:pt idx="15">
                  <c:v>99.045353838133721</c:v>
                </c:pt>
                <c:pt idx="16">
                  <c:v>98.901994004952428</c:v>
                </c:pt>
                <c:pt idx="17">
                  <c:v>98.25361657760979</c:v>
                </c:pt>
                <c:pt idx="18">
                  <c:v>98.551739867066331</c:v>
                </c:pt>
                <c:pt idx="19">
                  <c:v>98.128176723576175</c:v>
                </c:pt>
                <c:pt idx="20">
                  <c:v>97.82679525609278</c:v>
                </c:pt>
                <c:pt idx="21">
                  <c:v>97.421152091750287</c:v>
                </c:pt>
                <c:pt idx="22">
                  <c:v>97.857747947347846</c:v>
                </c:pt>
                <c:pt idx="23">
                  <c:v>97.971784178287507</c:v>
                </c:pt>
                <c:pt idx="24">
                  <c:v>98.183565750032571</c:v>
                </c:pt>
                <c:pt idx="25">
                  <c:v>97.733937182327651</c:v>
                </c:pt>
                <c:pt idx="26">
                  <c:v>97.049719796689701</c:v>
                </c:pt>
                <c:pt idx="27">
                  <c:v>97.245210478300535</c:v>
                </c:pt>
                <c:pt idx="28">
                  <c:v>97.442330248924804</c:v>
                </c:pt>
                <c:pt idx="29">
                  <c:v>97.188192362830705</c:v>
                </c:pt>
                <c:pt idx="30">
                  <c:v>97.18167600677701</c:v>
                </c:pt>
                <c:pt idx="31">
                  <c:v>97.325035839958275</c:v>
                </c:pt>
                <c:pt idx="32">
                  <c:v>97.145836048481684</c:v>
                </c:pt>
                <c:pt idx="33">
                  <c:v>96.932425387723185</c:v>
                </c:pt>
                <c:pt idx="34">
                  <c:v>96.701094747817024</c:v>
                </c:pt>
                <c:pt idx="35">
                  <c:v>96.161866284373772</c:v>
                </c:pt>
                <c:pt idx="36">
                  <c:v>96.378535123159125</c:v>
                </c:pt>
                <c:pt idx="37">
                  <c:v>96.047830053434112</c:v>
                </c:pt>
                <c:pt idx="38">
                  <c:v>95.821386680568224</c:v>
                </c:pt>
                <c:pt idx="39">
                  <c:v>95.464616186628433</c:v>
                </c:pt>
                <c:pt idx="40">
                  <c:v>94.928645901212036</c:v>
                </c:pt>
                <c:pt idx="41">
                  <c:v>94.900951387983838</c:v>
                </c:pt>
                <c:pt idx="42">
                  <c:v>95.412485338198877</c:v>
                </c:pt>
                <c:pt idx="43">
                  <c:v>95.50534341196402</c:v>
                </c:pt>
                <c:pt idx="44">
                  <c:v>95.202332855467219</c:v>
                </c:pt>
                <c:pt idx="45">
                  <c:v>94.311221165124465</c:v>
                </c:pt>
                <c:pt idx="46">
                  <c:v>94.345432034406343</c:v>
                </c:pt>
                <c:pt idx="47">
                  <c:v>92.902059168512963</c:v>
                </c:pt>
                <c:pt idx="48">
                  <c:v>93.270233285546709</c:v>
                </c:pt>
                <c:pt idx="49">
                  <c:v>91.707936921673394</c:v>
                </c:pt>
                <c:pt idx="50">
                  <c:v>90.736999869672871</c:v>
                </c:pt>
                <c:pt idx="51">
                  <c:v>91.212693861592584</c:v>
                </c:pt>
                <c:pt idx="52">
                  <c:v>89.88661540466569</c:v>
                </c:pt>
                <c:pt idx="53">
                  <c:v>89.541248533819868</c:v>
                </c:pt>
                <c:pt idx="54">
                  <c:v>86.472044832529633</c:v>
                </c:pt>
                <c:pt idx="55">
                  <c:v>87.200247621530025</c:v>
                </c:pt>
                <c:pt idx="56">
                  <c:v>86.739215430731122</c:v>
                </c:pt>
                <c:pt idx="57">
                  <c:v>86.392219470871865</c:v>
                </c:pt>
                <c:pt idx="58">
                  <c:v>87.038967809201068</c:v>
                </c:pt>
                <c:pt idx="59">
                  <c:v>87.695490681610821</c:v>
                </c:pt>
                <c:pt idx="60">
                  <c:v>88.817933011859736</c:v>
                </c:pt>
                <c:pt idx="61">
                  <c:v>88.063664798644552</c:v>
                </c:pt>
                <c:pt idx="62">
                  <c:v>86.918415222207685</c:v>
                </c:pt>
                <c:pt idx="63">
                  <c:v>86.954255180502997</c:v>
                </c:pt>
                <c:pt idx="64">
                  <c:v>86.019158086797802</c:v>
                </c:pt>
                <c:pt idx="65">
                  <c:v>86.025674442851496</c:v>
                </c:pt>
                <c:pt idx="66">
                  <c:v>85.255115339502098</c:v>
                </c:pt>
                <c:pt idx="67">
                  <c:v>86.001238107650153</c:v>
                </c:pt>
                <c:pt idx="68">
                  <c:v>86.529062947999435</c:v>
                </c:pt>
                <c:pt idx="69">
                  <c:v>87.048742343281589</c:v>
                </c:pt>
                <c:pt idx="70">
                  <c:v>87.811156001563873</c:v>
                </c:pt>
                <c:pt idx="71">
                  <c:v>87.651505278248351</c:v>
                </c:pt>
                <c:pt idx="72">
                  <c:v>87.576567183630857</c:v>
                </c:pt>
                <c:pt idx="73">
                  <c:v>86.239085103609995</c:v>
                </c:pt>
                <c:pt idx="74">
                  <c:v>86.656131891046471</c:v>
                </c:pt>
                <c:pt idx="75">
                  <c:v>86.687084582301523</c:v>
                </c:pt>
                <c:pt idx="76">
                  <c:v>86.085950736348181</c:v>
                </c:pt>
                <c:pt idx="77">
                  <c:v>85.585820409227097</c:v>
                </c:pt>
                <c:pt idx="78">
                  <c:v>85.509253225596183</c:v>
                </c:pt>
                <c:pt idx="79">
                  <c:v>85.344715235240386</c:v>
                </c:pt>
                <c:pt idx="80">
                  <c:v>85.246969894434969</c:v>
                </c:pt>
                <c:pt idx="81">
                  <c:v>85.212759025153076</c:v>
                </c:pt>
                <c:pt idx="82">
                  <c:v>86.126677961683768</c:v>
                </c:pt>
                <c:pt idx="83">
                  <c:v>87.135084060993037</c:v>
                </c:pt>
                <c:pt idx="84">
                  <c:v>86.294474130066391</c:v>
                </c:pt>
                <c:pt idx="85">
                  <c:v>86.027303531864916</c:v>
                </c:pt>
                <c:pt idx="86">
                  <c:v>86.204874234328102</c:v>
                </c:pt>
                <c:pt idx="87">
                  <c:v>86.245601459663703</c:v>
                </c:pt>
                <c:pt idx="88">
                  <c:v>85.541835005864655</c:v>
                </c:pt>
                <c:pt idx="89">
                  <c:v>85.885572787697058</c:v>
                </c:pt>
                <c:pt idx="90">
                  <c:v>86.436204874234278</c:v>
                </c:pt>
                <c:pt idx="91">
                  <c:v>85.965398149354826</c:v>
                </c:pt>
                <c:pt idx="92">
                  <c:v>86.009383552717267</c:v>
                </c:pt>
                <c:pt idx="93">
                  <c:v>85.805747426039304</c:v>
                </c:pt>
                <c:pt idx="94">
                  <c:v>85.963769060341406</c:v>
                </c:pt>
                <c:pt idx="95">
                  <c:v>85.861136452495714</c:v>
                </c:pt>
                <c:pt idx="96">
                  <c:v>86.641470089925662</c:v>
                </c:pt>
                <c:pt idx="97">
                  <c:v>86.959142447543286</c:v>
                </c:pt>
                <c:pt idx="98">
                  <c:v>87.58634171771142</c:v>
                </c:pt>
                <c:pt idx="99">
                  <c:v>88.022937573308965</c:v>
                </c:pt>
                <c:pt idx="100">
                  <c:v>87.95288674573176</c:v>
                </c:pt>
                <c:pt idx="101">
                  <c:v>88.327577218819215</c:v>
                </c:pt>
                <c:pt idx="102">
                  <c:v>88.927081975759151</c:v>
                </c:pt>
                <c:pt idx="103">
                  <c:v>88.756027629349646</c:v>
                </c:pt>
                <c:pt idx="104">
                  <c:v>88.873322038316161</c:v>
                </c:pt>
                <c:pt idx="105">
                  <c:v>89.230092532255952</c:v>
                </c:pt>
                <c:pt idx="106">
                  <c:v>89.51844128763193</c:v>
                </c:pt>
                <c:pt idx="107">
                  <c:v>90.707676267431211</c:v>
                </c:pt>
                <c:pt idx="108">
                  <c:v>90.727225335592294</c:v>
                </c:pt>
                <c:pt idx="109">
                  <c:v>90.987879577740088</c:v>
                </c:pt>
                <c:pt idx="110">
                  <c:v>91.540140753290729</c:v>
                </c:pt>
                <c:pt idx="111">
                  <c:v>91.857813110908353</c:v>
                </c:pt>
                <c:pt idx="112">
                  <c:v>91.71608236674048</c:v>
                </c:pt>
                <c:pt idx="113">
                  <c:v>91.400039098136276</c:v>
                </c:pt>
                <c:pt idx="114">
                  <c:v>90.174964160041668</c:v>
                </c:pt>
                <c:pt idx="115">
                  <c:v>90.352534862504854</c:v>
                </c:pt>
                <c:pt idx="116">
                  <c:v>90.554541900169397</c:v>
                </c:pt>
                <c:pt idx="117">
                  <c:v>89.915939006907308</c:v>
                </c:pt>
                <c:pt idx="118">
                  <c:v>89.730222859377008</c:v>
                </c:pt>
                <c:pt idx="119">
                  <c:v>88.917307441678588</c:v>
                </c:pt>
                <c:pt idx="120">
                  <c:v>89.101394500195468</c:v>
                </c:pt>
                <c:pt idx="121">
                  <c:v>89.414179590772818</c:v>
                </c:pt>
                <c:pt idx="122">
                  <c:v>89.841000912289829</c:v>
                </c:pt>
                <c:pt idx="123">
                  <c:v>88.936856509839686</c:v>
                </c:pt>
                <c:pt idx="124">
                  <c:v>89.218688909161969</c:v>
                </c:pt>
                <c:pt idx="125">
                  <c:v>88.467678873973639</c:v>
                </c:pt>
                <c:pt idx="126">
                  <c:v>88.523067900430036</c:v>
                </c:pt>
                <c:pt idx="127">
                  <c:v>88.443242538772282</c:v>
                </c:pt>
                <c:pt idx="128">
                  <c:v>89.21217255310826</c:v>
                </c:pt>
                <c:pt idx="129">
                  <c:v>89.520070376645336</c:v>
                </c:pt>
                <c:pt idx="130">
                  <c:v>89.433728658933887</c:v>
                </c:pt>
                <c:pt idx="131">
                  <c:v>89.568943047048052</c:v>
                </c:pt>
                <c:pt idx="132">
                  <c:v>89.305030626873418</c:v>
                </c:pt>
                <c:pt idx="133">
                  <c:v>89.65202658673266</c:v>
                </c:pt>
                <c:pt idx="134">
                  <c:v>89.544506711846708</c:v>
                </c:pt>
                <c:pt idx="135">
                  <c:v>89.751401016551526</c:v>
                </c:pt>
                <c:pt idx="136">
                  <c:v>89.510295842564801</c:v>
                </c:pt>
                <c:pt idx="137">
                  <c:v>89.845888179330089</c:v>
                </c:pt>
                <c:pt idx="138">
                  <c:v>89.953408054216041</c:v>
                </c:pt>
                <c:pt idx="139">
                  <c:v>89.849146357356929</c:v>
                </c:pt>
                <c:pt idx="140">
                  <c:v>89.746513749511251</c:v>
                </c:pt>
                <c:pt idx="141">
                  <c:v>90.039749771927518</c:v>
                </c:pt>
                <c:pt idx="142">
                  <c:v>91.038381337156238</c:v>
                </c:pt>
                <c:pt idx="143">
                  <c:v>91.092141274599214</c:v>
                </c:pt>
                <c:pt idx="144">
                  <c:v>90.697901733350676</c:v>
                </c:pt>
                <c:pt idx="145">
                  <c:v>90.732112602632583</c:v>
                </c:pt>
                <c:pt idx="146">
                  <c:v>91.206177505538875</c:v>
                </c:pt>
                <c:pt idx="147">
                  <c:v>91.111690342760298</c:v>
                </c:pt>
                <c:pt idx="148">
                  <c:v>91.21269386159257</c:v>
                </c:pt>
                <c:pt idx="149">
                  <c:v>91.162192102176434</c:v>
                </c:pt>
                <c:pt idx="150">
                  <c:v>90.574090968330481</c:v>
                </c:pt>
                <c:pt idx="151">
                  <c:v>90.222207741430964</c:v>
                </c:pt>
                <c:pt idx="152">
                  <c:v>90.192884139189331</c:v>
                </c:pt>
                <c:pt idx="153">
                  <c:v>90.261305877753131</c:v>
                </c:pt>
                <c:pt idx="154">
                  <c:v>89.575459403101746</c:v>
                </c:pt>
                <c:pt idx="155">
                  <c:v>89.215430731135115</c:v>
                </c:pt>
                <c:pt idx="156">
                  <c:v>88.97106737912155</c:v>
                </c:pt>
                <c:pt idx="157">
                  <c:v>89.275707024631785</c:v>
                </c:pt>
                <c:pt idx="158">
                  <c:v>89.288739736739174</c:v>
                </c:pt>
                <c:pt idx="159">
                  <c:v>89.511924931578221</c:v>
                </c:pt>
                <c:pt idx="160">
                  <c:v>89.52495764368561</c:v>
                </c:pt>
                <c:pt idx="161">
                  <c:v>89.006907337416891</c:v>
                </c:pt>
                <c:pt idx="162">
                  <c:v>89.441874104001016</c:v>
                </c:pt>
                <c:pt idx="163">
                  <c:v>89.446761371041291</c:v>
                </c:pt>
                <c:pt idx="164">
                  <c:v>89.404405056692283</c:v>
                </c:pt>
                <c:pt idx="165">
                  <c:v>89.01831096051086</c:v>
                </c:pt>
                <c:pt idx="166">
                  <c:v>89.375081454450651</c:v>
                </c:pt>
                <c:pt idx="167">
                  <c:v>89.45979408314868</c:v>
                </c:pt>
                <c:pt idx="168">
                  <c:v>89.274077935618379</c:v>
                </c:pt>
                <c:pt idx="169">
                  <c:v>89.420695946826527</c:v>
                </c:pt>
                <c:pt idx="170">
                  <c:v>90.491007428645901</c:v>
                </c:pt>
                <c:pt idx="171">
                  <c:v>90.331356705330379</c:v>
                </c:pt>
                <c:pt idx="172">
                  <c:v>90.548025544115745</c:v>
                </c:pt>
                <c:pt idx="173">
                  <c:v>90.207545940310197</c:v>
                </c:pt>
                <c:pt idx="174">
                  <c:v>90.264564055780042</c:v>
                </c:pt>
                <c:pt idx="175">
                  <c:v>90.401407532907626</c:v>
                </c:pt>
                <c:pt idx="176">
                  <c:v>90.086993353316871</c:v>
                </c:pt>
                <c:pt idx="177">
                  <c:v>89.687866545028072</c:v>
                </c:pt>
                <c:pt idx="178">
                  <c:v>90.481232894565409</c:v>
                </c:pt>
                <c:pt idx="179">
                  <c:v>90.316694904209626</c:v>
                </c:pt>
                <c:pt idx="180">
                  <c:v>90.464942004431194</c:v>
                </c:pt>
                <c:pt idx="181">
                  <c:v>90.908054216082434</c:v>
                </c:pt>
                <c:pt idx="182">
                  <c:v>90.9390069073375</c:v>
                </c:pt>
                <c:pt idx="183">
                  <c:v>90.945523263391195</c:v>
                </c:pt>
                <c:pt idx="184">
                  <c:v>91.215952039619523</c:v>
                </c:pt>
                <c:pt idx="185">
                  <c:v>90.56920370129032</c:v>
                </c:pt>
                <c:pt idx="186">
                  <c:v>89.878469959598675</c:v>
                </c:pt>
                <c:pt idx="187">
                  <c:v>89.334354229115164</c:v>
                </c:pt>
                <c:pt idx="188">
                  <c:v>88.374820800208596</c:v>
                </c:pt>
                <c:pt idx="189">
                  <c:v>88.801642121725607</c:v>
                </c:pt>
                <c:pt idx="190">
                  <c:v>88.308028150658231</c:v>
                </c:pt>
                <c:pt idx="191">
                  <c:v>87.990355793040607</c:v>
                </c:pt>
                <c:pt idx="192">
                  <c:v>88.08647204483259</c:v>
                </c:pt>
                <c:pt idx="193">
                  <c:v>88.809787566792707</c:v>
                </c:pt>
                <c:pt idx="194">
                  <c:v>88.918936530692093</c:v>
                </c:pt>
                <c:pt idx="195">
                  <c:v>88.941743776880017</c:v>
                </c:pt>
                <c:pt idx="196">
                  <c:v>89.254528867457367</c:v>
                </c:pt>
                <c:pt idx="197">
                  <c:v>88.817933011859836</c:v>
                </c:pt>
                <c:pt idx="198">
                  <c:v>89.005278248403542</c:v>
                </c:pt>
                <c:pt idx="199">
                  <c:v>89.262674312524496</c:v>
                </c:pt>
                <c:pt idx="200">
                  <c:v>89.803531864981167</c:v>
                </c:pt>
                <c:pt idx="201">
                  <c:v>89.332725140101715</c:v>
                </c:pt>
                <c:pt idx="202">
                  <c:v>89.148638081584849</c:v>
                </c:pt>
                <c:pt idx="203">
                  <c:v>88.980841913202198</c:v>
                </c:pt>
                <c:pt idx="204">
                  <c:v>88.759285807376585</c:v>
                </c:pt>
                <c:pt idx="205">
                  <c:v>89.031343672618348</c:v>
                </c:pt>
                <c:pt idx="206">
                  <c:v>89.32132151700776</c:v>
                </c:pt>
                <c:pt idx="207">
                  <c:v>89.656913853773034</c:v>
                </c:pt>
                <c:pt idx="208">
                  <c:v>89.585233937182394</c:v>
                </c:pt>
                <c:pt idx="209">
                  <c:v>89.681350188974378</c:v>
                </c:pt>
                <c:pt idx="210">
                  <c:v>89.803531864981153</c:v>
                </c:pt>
                <c:pt idx="211">
                  <c:v>89.555910334940748</c:v>
                </c:pt>
                <c:pt idx="212">
                  <c:v>89.205656197054665</c:v>
                </c:pt>
                <c:pt idx="213">
                  <c:v>88.562166036752302</c:v>
                </c:pt>
                <c:pt idx="214">
                  <c:v>88.467678873973725</c:v>
                </c:pt>
                <c:pt idx="215">
                  <c:v>88.439984360745513</c:v>
                </c:pt>
                <c:pt idx="216">
                  <c:v>88.294995438550799</c:v>
                </c:pt>
                <c:pt idx="217">
                  <c:v>88.470937052000565</c:v>
                </c:pt>
                <c:pt idx="218">
                  <c:v>89.436986836960813</c:v>
                </c:pt>
                <c:pt idx="219">
                  <c:v>90.15541509188067</c:v>
                </c:pt>
                <c:pt idx="220">
                  <c:v>90.678352665189664</c:v>
                </c:pt>
                <c:pt idx="221">
                  <c:v>91.092141274599285</c:v>
                </c:pt>
                <c:pt idx="222">
                  <c:v>91.189886615404703</c:v>
                </c:pt>
                <c:pt idx="223">
                  <c:v>91.142643034015421</c:v>
                </c:pt>
                <c:pt idx="224">
                  <c:v>90.986250488726739</c:v>
                </c:pt>
                <c:pt idx="225">
                  <c:v>91.189886615404703</c:v>
                </c:pt>
                <c:pt idx="226">
                  <c:v>91.530366219210265</c:v>
                </c:pt>
                <c:pt idx="227">
                  <c:v>91.673726052391558</c:v>
                </c:pt>
                <c:pt idx="228">
                  <c:v>91.717711455753985</c:v>
                </c:pt>
                <c:pt idx="229">
                  <c:v>92.063078326599822</c:v>
                </c:pt>
                <c:pt idx="230">
                  <c:v>91.799165906425188</c:v>
                </c:pt>
                <c:pt idx="231">
                  <c:v>91.33487553759943</c:v>
                </c:pt>
                <c:pt idx="232">
                  <c:v>91.569464355532446</c:v>
                </c:pt>
                <c:pt idx="233">
                  <c:v>91.978365697901793</c:v>
                </c:pt>
                <c:pt idx="234">
                  <c:v>91.952300273687015</c:v>
                </c:pt>
                <c:pt idx="235">
                  <c:v>91.815456796559431</c:v>
                </c:pt>
                <c:pt idx="236">
                  <c:v>91.820344063599705</c:v>
                </c:pt>
                <c:pt idx="237">
                  <c:v>92.473608757982603</c:v>
                </c:pt>
                <c:pt idx="238">
                  <c:v>92.432881532647002</c:v>
                </c:pt>
                <c:pt idx="239">
                  <c:v>93.144793431513165</c:v>
                </c:pt>
                <c:pt idx="240">
                  <c:v>93.20832790303669</c:v>
                </c:pt>
                <c:pt idx="241">
                  <c:v>93.297927798774992</c:v>
                </c:pt>
                <c:pt idx="242">
                  <c:v>93.568356575003321</c:v>
                </c:pt>
                <c:pt idx="243">
                  <c:v>93.314218688909222</c:v>
                </c:pt>
                <c:pt idx="244">
                  <c:v>93.695425518050371</c:v>
                </c:pt>
                <c:pt idx="245">
                  <c:v>93.482014857291858</c:v>
                </c:pt>
                <c:pt idx="246">
                  <c:v>93.314218688909222</c:v>
                </c:pt>
                <c:pt idx="247">
                  <c:v>93.737781832399378</c:v>
                </c:pt>
                <c:pt idx="248">
                  <c:v>93.991919718493463</c:v>
                </c:pt>
                <c:pt idx="249">
                  <c:v>94.306333898084247</c:v>
                </c:pt>
                <c:pt idx="250">
                  <c:v>94.280268473869455</c:v>
                </c:pt>
                <c:pt idx="251">
                  <c:v>93.687280072983242</c:v>
                </c:pt>
                <c:pt idx="252">
                  <c:v>93.506451192493216</c:v>
                </c:pt>
                <c:pt idx="253">
                  <c:v>93.824123550110841</c:v>
                </c:pt>
                <c:pt idx="254">
                  <c:v>93.983774273426363</c:v>
                </c:pt>
                <c:pt idx="255">
                  <c:v>94.135279551674756</c:v>
                </c:pt>
                <c:pt idx="256">
                  <c:v>94.410595594943359</c:v>
                </c:pt>
                <c:pt idx="257">
                  <c:v>94.47250097745345</c:v>
                </c:pt>
                <c:pt idx="258">
                  <c:v>94.361722924540643</c:v>
                </c:pt>
                <c:pt idx="259">
                  <c:v>94.483904600547405</c:v>
                </c:pt>
                <c:pt idx="260">
                  <c:v>94.532777270950106</c:v>
                </c:pt>
                <c:pt idx="261">
                  <c:v>94.720122507493826</c:v>
                </c:pt>
                <c:pt idx="262">
                  <c:v>93.710087319171137</c:v>
                </c:pt>
                <c:pt idx="263">
                  <c:v>93.701941874104023</c:v>
                </c:pt>
                <c:pt idx="264">
                  <c:v>92.931382770754624</c:v>
                </c:pt>
                <c:pt idx="265">
                  <c:v>93.884399843607483</c:v>
                </c:pt>
                <c:pt idx="266">
                  <c:v>93.615600156392574</c:v>
                </c:pt>
                <c:pt idx="267">
                  <c:v>94.231395803466739</c:v>
                </c:pt>
                <c:pt idx="268">
                  <c:v>93.563469307963032</c:v>
                </c:pt>
                <c:pt idx="269">
                  <c:v>93.687280072983242</c:v>
                </c:pt>
                <c:pt idx="270">
                  <c:v>93.780138146748385</c:v>
                </c:pt>
                <c:pt idx="271">
                  <c:v>94.351948390460109</c:v>
                </c:pt>
                <c:pt idx="272">
                  <c:v>94.105955949433124</c:v>
                </c:pt>
                <c:pt idx="273">
                  <c:v>93.299556887788398</c:v>
                </c:pt>
                <c:pt idx="274">
                  <c:v>92.954190016942562</c:v>
                </c:pt>
                <c:pt idx="275">
                  <c:v>93.519483904600591</c:v>
                </c:pt>
                <c:pt idx="276">
                  <c:v>92.739150267170643</c:v>
                </c:pt>
                <c:pt idx="277">
                  <c:v>92.859702854163999</c:v>
                </c:pt>
                <c:pt idx="278">
                  <c:v>92.968851818063399</c:v>
                </c:pt>
                <c:pt idx="279">
                  <c:v>93.348429558191128</c:v>
                </c:pt>
                <c:pt idx="280">
                  <c:v>93.609083800338908</c:v>
                </c:pt>
                <c:pt idx="281">
                  <c:v>93.555323862895932</c:v>
                </c:pt>
                <c:pt idx="282">
                  <c:v>93.227876971197773</c:v>
                </c:pt>
                <c:pt idx="283">
                  <c:v>93.845301707285358</c:v>
                </c:pt>
                <c:pt idx="284">
                  <c:v>94.02124332073511</c:v>
                </c:pt>
                <c:pt idx="285">
                  <c:v>94.180894044050632</c:v>
                </c:pt>
                <c:pt idx="286">
                  <c:v>94.356835657500397</c:v>
                </c:pt>
                <c:pt idx="287">
                  <c:v>94.451322820278975</c:v>
                </c:pt>
                <c:pt idx="288">
                  <c:v>94.62726443372874</c:v>
                </c:pt>
                <c:pt idx="289">
                  <c:v>94.930274990225556</c:v>
                </c:pt>
                <c:pt idx="290">
                  <c:v>94.374755636648061</c:v>
                </c:pt>
                <c:pt idx="291">
                  <c:v>94.404079238889679</c:v>
                </c:pt>
                <c:pt idx="292">
                  <c:v>94.338915678352734</c:v>
                </c:pt>
                <c:pt idx="293">
                  <c:v>94.44806464225212</c:v>
                </c:pt>
                <c:pt idx="294">
                  <c:v>94.223250358399653</c:v>
                </c:pt>
                <c:pt idx="295">
                  <c:v>94.376384725661481</c:v>
                </c:pt>
                <c:pt idx="296">
                  <c:v>94.553955428124667</c:v>
                </c:pt>
                <c:pt idx="297">
                  <c:v>92.815717450801571</c:v>
                </c:pt>
                <c:pt idx="298">
                  <c:v>92.4605760458752</c:v>
                </c:pt>
                <c:pt idx="299">
                  <c:v>92.58764498892225</c:v>
                </c:pt>
                <c:pt idx="300">
                  <c:v>92.713084842955865</c:v>
                </c:pt>
                <c:pt idx="301">
                  <c:v>92.447543333767797</c:v>
                </c:pt>
                <c:pt idx="302">
                  <c:v>91.851296754854729</c:v>
                </c:pt>
                <c:pt idx="303">
                  <c:v>91.447282679525657</c:v>
                </c:pt>
                <c:pt idx="304">
                  <c:v>90.570832790303697</c:v>
                </c:pt>
                <c:pt idx="305">
                  <c:v>91.211064772579221</c:v>
                </c:pt>
                <c:pt idx="306">
                  <c:v>92.172227290499208</c:v>
                </c:pt>
                <c:pt idx="307">
                  <c:v>92.916720969633829</c:v>
                </c:pt>
                <c:pt idx="308">
                  <c:v>92.540401407532954</c:v>
                </c:pt>
                <c:pt idx="309">
                  <c:v>92.602306790043059</c:v>
                </c:pt>
                <c:pt idx="310">
                  <c:v>92.471979668969155</c:v>
                </c:pt>
                <c:pt idx="311">
                  <c:v>92.947673660888867</c:v>
                </c:pt>
                <c:pt idx="312">
                  <c:v>92.85807376515055</c:v>
                </c:pt>
                <c:pt idx="313">
                  <c:v>93.306073243842064</c:v>
                </c:pt>
                <c:pt idx="314">
                  <c:v>92.441026977714074</c:v>
                </c:pt>
                <c:pt idx="315">
                  <c:v>91.835005864720458</c:v>
                </c:pt>
                <c:pt idx="316">
                  <c:v>91.481493548807521</c:v>
                </c:pt>
                <c:pt idx="317">
                  <c:v>91.546657109344466</c:v>
                </c:pt>
                <c:pt idx="318">
                  <c:v>91.233872018767116</c:v>
                </c:pt>
                <c:pt idx="319">
                  <c:v>90.968330509579047</c:v>
                </c:pt>
                <c:pt idx="320">
                  <c:v>90.794017985142702</c:v>
                </c:pt>
                <c:pt idx="321">
                  <c:v>91.458686302619569</c:v>
                </c:pt>
                <c:pt idx="322">
                  <c:v>91.68675876449889</c:v>
                </c:pt>
                <c:pt idx="323">
                  <c:v>91.567835266518955</c:v>
                </c:pt>
                <c:pt idx="324">
                  <c:v>91.75680959207611</c:v>
                </c:pt>
                <c:pt idx="325">
                  <c:v>92.012576567183629</c:v>
                </c:pt>
                <c:pt idx="326">
                  <c:v>91.914831226378197</c:v>
                </c:pt>
                <c:pt idx="327">
                  <c:v>92.123354620096435</c:v>
                </c:pt>
                <c:pt idx="328">
                  <c:v>91.760067770102964</c:v>
                </c:pt>
                <c:pt idx="329">
                  <c:v>91.597158868760602</c:v>
                </c:pt>
                <c:pt idx="330">
                  <c:v>92.002802033103109</c:v>
                </c:pt>
                <c:pt idx="331">
                  <c:v>92.195034536687118</c:v>
                </c:pt>
                <c:pt idx="332">
                  <c:v>92.662583083539715</c:v>
                </c:pt>
                <c:pt idx="333">
                  <c:v>92.690277596767913</c:v>
                </c:pt>
                <c:pt idx="334">
                  <c:v>92.986771797211034</c:v>
                </c:pt>
                <c:pt idx="335">
                  <c:v>92.612081324123579</c:v>
                </c:pt>
                <c:pt idx="336">
                  <c:v>92.630001303271257</c:v>
                </c:pt>
                <c:pt idx="337">
                  <c:v>92.696793952821622</c:v>
                </c:pt>
                <c:pt idx="338">
                  <c:v>92.688648507754493</c:v>
                </c:pt>
                <c:pt idx="339">
                  <c:v>92.942786393848593</c:v>
                </c:pt>
                <c:pt idx="340">
                  <c:v>92.923237325687509</c:v>
                </c:pt>
                <c:pt idx="341">
                  <c:v>93.581389287110696</c:v>
                </c:pt>
                <c:pt idx="342">
                  <c:v>93.284895086667589</c:v>
                </c:pt>
                <c:pt idx="343">
                  <c:v>92.616968591163868</c:v>
                </c:pt>
                <c:pt idx="344">
                  <c:v>92.916720969633829</c:v>
                </c:pt>
                <c:pt idx="345">
                  <c:v>92.840153786002901</c:v>
                </c:pt>
                <c:pt idx="346">
                  <c:v>92.90694643555328</c:v>
                </c:pt>
                <c:pt idx="347">
                  <c:v>93.58953473217781</c:v>
                </c:pt>
                <c:pt idx="348">
                  <c:v>94.257461227681532</c:v>
                </c:pt>
                <c:pt idx="349">
                  <c:v>94.047308744949873</c:v>
                </c:pt>
                <c:pt idx="350">
                  <c:v>93.832268995177955</c:v>
                </c:pt>
                <c:pt idx="351">
                  <c:v>93.350058647204534</c:v>
                </c:pt>
                <c:pt idx="352">
                  <c:v>93.451062166036792</c:v>
                </c:pt>
                <c:pt idx="353">
                  <c:v>93.829010817151101</c:v>
                </c:pt>
                <c:pt idx="354">
                  <c:v>94.001694252574026</c:v>
                </c:pt>
                <c:pt idx="355">
                  <c:v>94.097810504366038</c:v>
                </c:pt>
                <c:pt idx="356">
                  <c:v>93.710087319171194</c:v>
                </c:pt>
                <c:pt idx="357">
                  <c:v>93.900690733741754</c:v>
                </c:pt>
                <c:pt idx="358">
                  <c:v>93.698683696077211</c:v>
                </c:pt>
                <c:pt idx="359">
                  <c:v>93.936530692037067</c:v>
                </c:pt>
                <c:pt idx="360">
                  <c:v>93.899061644728334</c:v>
                </c:pt>
                <c:pt idx="361">
                  <c:v>93.94956340414447</c:v>
                </c:pt>
                <c:pt idx="362">
                  <c:v>94.167861331943243</c:v>
                </c:pt>
                <c:pt idx="363">
                  <c:v>94.229766714453334</c:v>
                </c:pt>
                <c:pt idx="364">
                  <c:v>94.400821060862825</c:v>
                </c:pt>
                <c:pt idx="365">
                  <c:v>94.14994135279558</c:v>
                </c:pt>
                <c:pt idx="366">
                  <c:v>94.689169816238831</c:v>
                </c:pt>
                <c:pt idx="367">
                  <c:v>94.215104913332524</c:v>
                </c:pt>
                <c:pt idx="368">
                  <c:v>94.710347973413334</c:v>
                </c:pt>
                <c:pt idx="369">
                  <c:v>94.835787827446964</c:v>
                </c:pt>
                <c:pt idx="370">
                  <c:v>94.866740518702002</c:v>
                </c:pt>
                <c:pt idx="371">
                  <c:v>94.754333376775776</c:v>
                </c:pt>
                <c:pt idx="372">
                  <c:v>95.101329336635018</c:v>
                </c:pt>
                <c:pt idx="373">
                  <c:v>94.59794083148708</c:v>
                </c:pt>
                <c:pt idx="374">
                  <c:v>94.5230027368696</c:v>
                </c:pt>
                <c:pt idx="375">
                  <c:v>94.273752117815775</c:v>
                </c:pt>
                <c:pt idx="376">
                  <c:v>93.566727485989901</c:v>
                </c:pt>
                <c:pt idx="377">
                  <c:v>93.092662583083595</c:v>
                </c:pt>
                <c:pt idx="378">
                  <c:v>92.392154307311401</c:v>
                </c:pt>
                <c:pt idx="379">
                  <c:v>92.660953994526309</c:v>
                </c:pt>
                <c:pt idx="380">
                  <c:v>93.042160823667459</c:v>
                </c:pt>
                <c:pt idx="381">
                  <c:v>93.310960510882353</c:v>
                </c:pt>
                <c:pt idx="382">
                  <c:v>93.693796429036908</c:v>
                </c:pt>
                <c:pt idx="383">
                  <c:v>93.687280072983214</c:v>
                </c:pt>
                <c:pt idx="384">
                  <c:v>93.610712889352314</c:v>
                </c:pt>
                <c:pt idx="385">
                  <c:v>93.565098396976452</c:v>
                </c:pt>
                <c:pt idx="386">
                  <c:v>93.268604196533346</c:v>
                </c:pt>
                <c:pt idx="387">
                  <c:v>92.858073765150564</c:v>
                </c:pt>
                <c:pt idx="388">
                  <c:v>93.193666101915852</c:v>
                </c:pt>
                <c:pt idx="389">
                  <c:v>93.157826143620525</c:v>
                </c:pt>
                <c:pt idx="390">
                  <c:v>92.297667144532824</c:v>
                </c:pt>
                <c:pt idx="391">
                  <c:v>92.028867457317915</c:v>
                </c:pt>
                <c:pt idx="392">
                  <c:v>91.96207480776755</c:v>
                </c:pt>
                <c:pt idx="393">
                  <c:v>92.343281636908671</c:v>
                </c:pt>
                <c:pt idx="394">
                  <c:v>92.522481428385277</c:v>
                </c:pt>
                <c:pt idx="395">
                  <c:v>92.033754724358175</c:v>
                </c:pt>
                <c:pt idx="396">
                  <c:v>92.553434119640343</c:v>
                </c:pt>
                <c:pt idx="397">
                  <c:v>92.219470871888475</c:v>
                </c:pt>
                <c:pt idx="398">
                  <c:v>92.328619835787862</c:v>
                </c:pt>
                <c:pt idx="399">
                  <c:v>91.621595203961974</c:v>
                </c:pt>
                <c:pt idx="400">
                  <c:v>91.67535514140495</c:v>
                </c:pt>
                <c:pt idx="401">
                  <c:v>91.976736608888331</c:v>
                </c:pt>
                <c:pt idx="402">
                  <c:v>91.960445718754087</c:v>
                </c:pt>
                <c:pt idx="403">
                  <c:v>91.777987749250642</c:v>
                </c:pt>
                <c:pt idx="404">
                  <c:v>91.903427603284271</c:v>
                </c:pt>
                <c:pt idx="405">
                  <c:v>91.807311351492274</c:v>
                </c:pt>
                <c:pt idx="406">
                  <c:v>92.1738563795126</c:v>
                </c:pt>
                <c:pt idx="407">
                  <c:v>92.631630392284663</c:v>
                </c:pt>
                <c:pt idx="408">
                  <c:v>92.369347061123463</c:v>
                </c:pt>
                <c:pt idx="409">
                  <c:v>92.568095920761152</c:v>
                </c:pt>
                <c:pt idx="410">
                  <c:v>92.499674182197353</c:v>
                </c:pt>
                <c:pt idx="411">
                  <c:v>92.336765280854976</c:v>
                </c:pt>
                <c:pt idx="412">
                  <c:v>92.152678222338096</c:v>
                </c:pt>
                <c:pt idx="413">
                  <c:v>91.650918806203592</c:v>
                </c:pt>
                <c:pt idx="414">
                  <c:v>91.496155349928344</c:v>
                </c:pt>
                <c:pt idx="415">
                  <c:v>91.562947999478709</c:v>
                </c:pt>
                <c:pt idx="416">
                  <c:v>91.913202137364806</c:v>
                </c:pt>
                <c:pt idx="417">
                  <c:v>91.766584126156673</c:v>
                </c:pt>
                <c:pt idx="418">
                  <c:v>91.966962074807782</c:v>
                </c:pt>
                <c:pt idx="419">
                  <c:v>91.68350058647205</c:v>
                </c:pt>
                <c:pt idx="420">
                  <c:v>91.598787957773993</c:v>
                </c:pt>
                <c:pt idx="421">
                  <c:v>91.152417568095913</c:v>
                </c:pt>
                <c:pt idx="422">
                  <c:v>90.836374299491709</c:v>
                </c:pt>
                <c:pt idx="423">
                  <c:v>90.885246969894425</c:v>
                </c:pt>
                <c:pt idx="424">
                  <c:v>91.19151570441808</c:v>
                </c:pt>
                <c:pt idx="425">
                  <c:v>91.644402450149869</c:v>
                </c:pt>
                <c:pt idx="426">
                  <c:v>91.751922325035835</c:v>
                </c:pt>
                <c:pt idx="427">
                  <c:v>91.574351622572664</c:v>
                </c:pt>
                <c:pt idx="428">
                  <c:v>92.195034536687103</c:v>
                </c:pt>
                <c:pt idx="429">
                  <c:v>92.372605239150289</c:v>
                </c:pt>
                <c:pt idx="430">
                  <c:v>92.696793952821608</c:v>
                </c:pt>
                <c:pt idx="431">
                  <c:v>92.918350058647235</c:v>
                </c:pt>
                <c:pt idx="432">
                  <c:v>92.98351361918418</c:v>
                </c:pt>
                <c:pt idx="433">
                  <c:v>93.135018897432587</c:v>
                </c:pt>
                <c:pt idx="434">
                  <c:v>93.125244363352053</c:v>
                </c:pt>
                <c:pt idx="435">
                  <c:v>92.719601199009546</c:v>
                </c:pt>
                <c:pt idx="436">
                  <c:v>92.217841782875055</c:v>
                </c:pt>
                <c:pt idx="437">
                  <c:v>92.370976150136883</c:v>
                </c:pt>
                <c:pt idx="438">
                  <c:v>92.452430600808071</c:v>
                </c:pt>
                <c:pt idx="439">
                  <c:v>92.625114036230997</c:v>
                </c:pt>
                <c:pt idx="440">
                  <c:v>92.450801511794666</c:v>
                </c:pt>
                <c:pt idx="441">
                  <c:v>92.656066727486049</c:v>
                </c:pt>
                <c:pt idx="442">
                  <c:v>92.172227290499222</c:v>
                </c:pt>
                <c:pt idx="443">
                  <c:v>91.673726052391572</c:v>
                </c:pt>
                <c:pt idx="444">
                  <c:v>91.349537338720253</c:v>
                </c:pt>
                <c:pt idx="445">
                  <c:v>91.631369738042551</c:v>
                </c:pt>
                <c:pt idx="446">
                  <c:v>91.453799035579365</c:v>
                </c:pt>
                <c:pt idx="447">
                  <c:v>91.470089925713609</c:v>
                </c:pt>
                <c:pt idx="448">
                  <c:v>91.049784960250292</c:v>
                </c:pt>
                <c:pt idx="449">
                  <c:v>90.973217776619393</c:v>
                </c:pt>
                <c:pt idx="450">
                  <c:v>90.378600286719745</c:v>
                </c:pt>
                <c:pt idx="451">
                  <c:v>90.060927929102121</c:v>
                </c:pt>
                <c:pt idx="452">
                  <c:v>89.985989834484627</c:v>
                </c:pt>
                <c:pt idx="453">
                  <c:v>90.616447282679587</c:v>
                </c:pt>
                <c:pt idx="454">
                  <c:v>90.256418610712942</c:v>
                </c:pt>
                <c:pt idx="455">
                  <c:v>90.08536426430345</c:v>
                </c:pt>
                <c:pt idx="456">
                  <c:v>90.018571614753071</c:v>
                </c:pt>
                <c:pt idx="457">
                  <c:v>89.955037143229546</c:v>
                </c:pt>
                <c:pt idx="458">
                  <c:v>89.751401016551583</c:v>
                </c:pt>
                <c:pt idx="459">
                  <c:v>89.48097224032324</c:v>
                </c:pt>
                <c:pt idx="460">
                  <c:v>89.588492115209206</c:v>
                </c:pt>
                <c:pt idx="461">
                  <c:v>89.85566271341068</c:v>
                </c:pt>
                <c:pt idx="462">
                  <c:v>89.85240453538384</c:v>
                </c:pt>
                <c:pt idx="463">
                  <c:v>90.140753290759832</c:v>
                </c:pt>
                <c:pt idx="464">
                  <c:v>90.044637038967835</c:v>
                </c:pt>
                <c:pt idx="465">
                  <c:v>90.202658673269937</c:v>
                </c:pt>
                <c:pt idx="466">
                  <c:v>90.433989313176099</c:v>
                </c:pt>
                <c:pt idx="467">
                  <c:v>89.658542942786426</c:v>
                </c:pt>
                <c:pt idx="468">
                  <c:v>89.653655675746151</c:v>
                </c:pt>
                <c:pt idx="469">
                  <c:v>90.031604326860446</c:v>
                </c:pt>
                <c:pt idx="470">
                  <c:v>90.049524306008109</c:v>
                </c:pt>
                <c:pt idx="471">
                  <c:v>89.785611885833461</c:v>
                </c:pt>
                <c:pt idx="472">
                  <c:v>89.762804639645537</c:v>
                </c:pt>
                <c:pt idx="473">
                  <c:v>89.288739736739245</c:v>
                </c:pt>
                <c:pt idx="474">
                  <c:v>88.993874625309559</c:v>
                </c:pt>
                <c:pt idx="475">
                  <c:v>89.021569138537771</c:v>
                </c:pt>
                <c:pt idx="476">
                  <c:v>89.334354229115121</c:v>
                </c:pt>
                <c:pt idx="477">
                  <c:v>89.187736217906973</c:v>
                </c:pt>
                <c:pt idx="478">
                  <c:v>89.697641079108593</c:v>
                </c:pt>
                <c:pt idx="479">
                  <c:v>89.875211781571764</c:v>
                </c:pt>
                <c:pt idx="480">
                  <c:v>90.059298840088644</c:v>
                </c:pt>
                <c:pt idx="481">
                  <c:v>89.257787045484193</c:v>
                </c:pt>
                <c:pt idx="482">
                  <c:v>89.378339632477548</c:v>
                </c:pt>
                <c:pt idx="483">
                  <c:v>89.114427212302914</c:v>
                </c:pt>
                <c:pt idx="484">
                  <c:v>89.137234458490852</c:v>
                </c:pt>
                <c:pt idx="485">
                  <c:v>88.216799165906465</c:v>
                </c:pt>
                <c:pt idx="486">
                  <c:v>87.882835918154598</c:v>
                </c:pt>
                <c:pt idx="487">
                  <c:v>87.41854554932884</c:v>
                </c:pt>
                <c:pt idx="488">
                  <c:v>87.029193275120576</c:v>
                </c:pt>
                <c:pt idx="489">
                  <c:v>86.703375472435852</c:v>
                </c:pt>
                <c:pt idx="490">
                  <c:v>85.856249185455525</c:v>
                </c:pt>
                <c:pt idx="491">
                  <c:v>86.213019679395316</c:v>
                </c:pt>
                <c:pt idx="492">
                  <c:v>85.564642252052693</c:v>
                </c:pt>
                <c:pt idx="493">
                  <c:v>85.201355402059207</c:v>
                </c:pt>
                <c:pt idx="494">
                  <c:v>85.246969894435068</c:v>
                </c:pt>
                <c:pt idx="495">
                  <c:v>85.401733350710316</c:v>
                </c:pt>
                <c:pt idx="496">
                  <c:v>85.11175550632089</c:v>
                </c:pt>
                <c:pt idx="497">
                  <c:v>85.057995568877928</c:v>
                </c:pt>
                <c:pt idx="498">
                  <c:v>84.937442981884558</c:v>
                </c:pt>
                <c:pt idx="499">
                  <c:v>84.782679525609311</c:v>
                </c:pt>
                <c:pt idx="500">
                  <c:v>85.290955297797495</c:v>
                </c:pt>
                <c:pt idx="501">
                  <c:v>85.584191320213762</c:v>
                </c:pt>
                <c:pt idx="502">
                  <c:v>85.051479212824219</c:v>
                </c:pt>
                <c:pt idx="503">
                  <c:v>85.100351883226935</c:v>
                </c:pt>
                <c:pt idx="504">
                  <c:v>84.847843086146256</c:v>
                </c:pt>
                <c:pt idx="505">
                  <c:v>84.342825491984911</c:v>
                </c:pt>
                <c:pt idx="506">
                  <c:v>84.098462139971346</c:v>
                </c:pt>
                <c:pt idx="507">
                  <c:v>83.986054998045105</c:v>
                </c:pt>
                <c:pt idx="508">
                  <c:v>83.606477257917376</c:v>
                </c:pt>
                <c:pt idx="509">
                  <c:v>84.743581389287101</c:v>
                </c:pt>
                <c:pt idx="510">
                  <c:v>85.378926104522336</c:v>
                </c:pt>
                <c:pt idx="511">
                  <c:v>86.027303531864973</c:v>
                </c:pt>
                <c:pt idx="512">
                  <c:v>86.496481167730991</c:v>
                </c:pt>
                <c:pt idx="513">
                  <c:v>86.532321126026318</c:v>
                </c:pt>
                <c:pt idx="514">
                  <c:v>86.323797732308094</c:v>
                </c:pt>
                <c:pt idx="515">
                  <c:v>85.742212954515836</c:v>
                </c:pt>
                <c:pt idx="516">
                  <c:v>85.786198357878277</c:v>
                </c:pt>
                <c:pt idx="517">
                  <c:v>85.634693079629884</c:v>
                </c:pt>
                <c:pt idx="518">
                  <c:v>85.662387592858067</c:v>
                </c:pt>
                <c:pt idx="519">
                  <c:v>85.344715235240457</c:v>
                </c:pt>
                <c:pt idx="520">
                  <c:v>85.154111820669897</c:v>
                </c:pt>
                <c:pt idx="521">
                  <c:v>85.416395151831111</c:v>
                </c:pt>
                <c:pt idx="522">
                  <c:v>85.823667405187038</c:v>
                </c:pt>
                <c:pt idx="523">
                  <c:v>85.79923106998568</c:v>
                </c:pt>
                <c:pt idx="524">
                  <c:v>86.286328684999361</c:v>
                </c:pt>
                <c:pt idx="525">
                  <c:v>86.863026195751345</c:v>
                </c:pt>
                <c:pt idx="526">
                  <c:v>86.688713671315014</c:v>
                </c:pt>
                <c:pt idx="527">
                  <c:v>86.542095660106867</c:v>
                </c:pt>
                <c:pt idx="528">
                  <c:v>86.550241105173995</c:v>
                </c:pt>
                <c:pt idx="529">
                  <c:v>86.157630652938892</c:v>
                </c:pt>
                <c:pt idx="530">
                  <c:v>86.786459012120446</c:v>
                </c:pt>
                <c:pt idx="531">
                  <c:v>86.880946174899023</c:v>
                </c:pt>
                <c:pt idx="532">
                  <c:v>86.819040792388918</c:v>
                </c:pt>
                <c:pt idx="533">
                  <c:v>86.270037794865146</c:v>
                </c:pt>
                <c:pt idx="534">
                  <c:v>86.566531995308253</c:v>
                </c:pt>
                <c:pt idx="535">
                  <c:v>86.025674442851582</c:v>
                </c:pt>
                <c:pt idx="536">
                  <c:v>86.139710673791242</c:v>
                </c:pt>
                <c:pt idx="537">
                  <c:v>85.999609018636804</c:v>
                </c:pt>
                <c:pt idx="538">
                  <c:v>86.91678613319435</c:v>
                </c:pt>
                <c:pt idx="539">
                  <c:v>87.030822364134011</c:v>
                </c:pt>
                <c:pt idx="540">
                  <c:v>86.858138928711099</c:v>
                </c:pt>
                <c:pt idx="541">
                  <c:v>86.965658803597066</c:v>
                </c:pt>
                <c:pt idx="542">
                  <c:v>86.638211911898907</c:v>
                </c:pt>
                <c:pt idx="543">
                  <c:v>86.804378991268109</c:v>
                </c:pt>
                <c:pt idx="544">
                  <c:v>86.939593379382273</c:v>
                </c:pt>
                <c:pt idx="545">
                  <c:v>87.309396585429468</c:v>
                </c:pt>
                <c:pt idx="546">
                  <c:v>87.149745862113946</c:v>
                </c:pt>
                <c:pt idx="547">
                  <c:v>86.794604457187575</c:v>
                </c:pt>
                <c:pt idx="548">
                  <c:v>86.998240583865538</c:v>
                </c:pt>
                <c:pt idx="549">
                  <c:v>87.493483643946334</c:v>
                </c:pt>
                <c:pt idx="550">
                  <c:v>87.60263260784572</c:v>
                </c:pt>
                <c:pt idx="551">
                  <c:v>87.661279812328971</c:v>
                </c:pt>
                <c:pt idx="552">
                  <c:v>87.364785611885864</c:v>
                </c:pt>
                <c:pt idx="553">
                  <c:v>87.117164081845459</c:v>
                </c:pt>
                <c:pt idx="554">
                  <c:v>87.553759937443004</c:v>
                </c:pt>
                <c:pt idx="555">
                  <c:v>86.545353838133735</c:v>
                </c:pt>
                <c:pt idx="556">
                  <c:v>85.817151049133344</c:v>
                </c:pt>
                <c:pt idx="557">
                  <c:v>86.36615404665713</c:v>
                </c:pt>
                <c:pt idx="558">
                  <c:v>84.422650853642665</c:v>
                </c:pt>
                <c:pt idx="559">
                  <c:v>83.666753551414061</c:v>
                </c:pt>
                <c:pt idx="560">
                  <c:v>84.328163690864088</c:v>
                </c:pt>
                <c:pt idx="561">
                  <c:v>83.725400755897311</c:v>
                </c:pt>
                <c:pt idx="562">
                  <c:v>82.407467744037547</c:v>
                </c:pt>
                <c:pt idx="563">
                  <c:v>81.377883487553774</c:v>
                </c:pt>
                <c:pt idx="564">
                  <c:v>81.575003258178029</c:v>
                </c:pt>
                <c:pt idx="565">
                  <c:v>81.921999218037286</c:v>
                </c:pt>
                <c:pt idx="566">
                  <c:v>81.809592076111059</c:v>
                </c:pt>
                <c:pt idx="567">
                  <c:v>81.662974064902926</c:v>
                </c:pt>
                <c:pt idx="568">
                  <c:v>82.286915157044191</c:v>
                </c:pt>
                <c:pt idx="569">
                  <c:v>83.085168773621788</c:v>
                </c:pt>
                <c:pt idx="570">
                  <c:v>84.596963378078982</c:v>
                </c:pt>
                <c:pt idx="571">
                  <c:v>84.191320213736475</c:v>
                </c:pt>
                <c:pt idx="572">
                  <c:v>84.106607585038432</c:v>
                </c:pt>
                <c:pt idx="573">
                  <c:v>84.07891307181022</c:v>
                </c:pt>
                <c:pt idx="574">
                  <c:v>84.412876319562088</c:v>
                </c:pt>
                <c:pt idx="575">
                  <c:v>84.987944741300652</c:v>
                </c:pt>
                <c:pt idx="576">
                  <c:v>85.017268343542284</c:v>
                </c:pt>
                <c:pt idx="577">
                  <c:v>85.347973413267297</c:v>
                </c:pt>
                <c:pt idx="578">
                  <c:v>85.629805812589595</c:v>
                </c:pt>
                <c:pt idx="579">
                  <c:v>86.762022676919059</c:v>
                </c:pt>
                <c:pt idx="580">
                  <c:v>87.115534992831996</c:v>
                </c:pt>
                <c:pt idx="581">
                  <c:v>87.146487684087049</c:v>
                </c:pt>
                <c:pt idx="582">
                  <c:v>86.996611494852061</c:v>
                </c:pt>
                <c:pt idx="583">
                  <c:v>87.355011077805273</c:v>
                </c:pt>
                <c:pt idx="584">
                  <c:v>86.760393587905625</c:v>
                </c:pt>
                <c:pt idx="585">
                  <c:v>86.502997523784686</c:v>
                </c:pt>
                <c:pt idx="586">
                  <c:v>86.520917502932349</c:v>
                </c:pt>
                <c:pt idx="587">
                  <c:v>86.550241105173981</c:v>
                </c:pt>
                <c:pt idx="588">
                  <c:v>86.331943177375209</c:v>
                </c:pt>
                <c:pt idx="589">
                  <c:v>86.48344845562363</c:v>
                </c:pt>
                <c:pt idx="590">
                  <c:v>86.845106216603668</c:v>
                </c:pt>
                <c:pt idx="591">
                  <c:v>86.361266779616841</c:v>
                </c:pt>
                <c:pt idx="592">
                  <c:v>86.639841000912298</c:v>
                </c:pt>
                <c:pt idx="593">
                  <c:v>86.353121334549726</c:v>
                </c:pt>
                <c:pt idx="594">
                  <c:v>86.260263260784598</c:v>
                </c:pt>
                <c:pt idx="595">
                  <c:v>85.996350840609949</c:v>
                </c:pt>
                <c:pt idx="596">
                  <c:v>85.504365958555994</c:v>
                </c:pt>
                <c:pt idx="597">
                  <c:v>85.349602502280746</c:v>
                </c:pt>
                <c:pt idx="598">
                  <c:v>84.649094226508552</c:v>
                </c:pt>
                <c:pt idx="599">
                  <c:v>84.535057995568891</c:v>
                </c:pt>
                <c:pt idx="600">
                  <c:v>84.505734393327259</c:v>
                </c:pt>
                <c:pt idx="601">
                  <c:v>84.815261305877769</c:v>
                </c:pt>
                <c:pt idx="602">
                  <c:v>84.222272904991542</c:v>
                </c:pt>
                <c:pt idx="603">
                  <c:v>85.150853642643057</c:v>
                </c:pt>
                <c:pt idx="604">
                  <c:v>86.063143490160328</c:v>
                </c:pt>
                <c:pt idx="605">
                  <c:v>85.064511924931608</c:v>
                </c:pt>
                <c:pt idx="606">
                  <c:v>84.600221556105836</c:v>
                </c:pt>
                <c:pt idx="607">
                  <c:v>83.973022285937731</c:v>
                </c:pt>
                <c:pt idx="608">
                  <c:v>83.920891437508175</c:v>
                </c:pt>
                <c:pt idx="609">
                  <c:v>84.157109344454611</c:v>
                </c:pt>
                <c:pt idx="610">
                  <c:v>84.134302098266687</c:v>
                </c:pt>
                <c:pt idx="611">
                  <c:v>84.122898475172704</c:v>
                </c:pt>
                <c:pt idx="612">
                  <c:v>84.336309135931216</c:v>
                </c:pt>
                <c:pt idx="613">
                  <c:v>84.85273035318653</c:v>
                </c:pt>
                <c:pt idx="614">
                  <c:v>84.637690603414612</c:v>
                </c:pt>
                <c:pt idx="615">
                  <c:v>85.465267822233855</c:v>
                </c:pt>
                <c:pt idx="616">
                  <c:v>85.60374038837486</c:v>
                </c:pt>
                <c:pt idx="617">
                  <c:v>86.46389938746259</c:v>
                </c:pt>
                <c:pt idx="618">
                  <c:v>86.714779095529821</c:v>
                </c:pt>
                <c:pt idx="619">
                  <c:v>85.887201876710577</c:v>
                </c:pt>
                <c:pt idx="620">
                  <c:v>85.595594943307745</c:v>
                </c:pt>
                <c:pt idx="621">
                  <c:v>85.602111299361439</c:v>
                </c:pt>
                <c:pt idx="622">
                  <c:v>86.095725270428815</c:v>
                </c:pt>
                <c:pt idx="623">
                  <c:v>85.989834484556269</c:v>
                </c:pt>
                <c:pt idx="624">
                  <c:v>85.836700117294441</c:v>
                </c:pt>
                <c:pt idx="625">
                  <c:v>86.317281376254428</c:v>
                </c:pt>
                <c:pt idx="626">
                  <c:v>86.061514401146908</c:v>
                </c:pt>
                <c:pt idx="627">
                  <c:v>86.133194317737548</c:v>
                </c:pt>
                <c:pt idx="628">
                  <c:v>85.861136452495785</c:v>
                </c:pt>
                <c:pt idx="629">
                  <c:v>85.901863677831372</c:v>
                </c:pt>
                <c:pt idx="630">
                  <c:v>85.576045875146633</c:v>
                </c:pt>
                <c:pt idx="631">
                  <c:v>84.74846865632739</c:v>
                </c:pt>
                <c:pt idx="632">
                  <c:v>83.973022285937716</c:v>
                </c:pt>
                <c:pt idx="633">
                  <c:v>83.697706242669113</c:v>
                </c:pt>
                <c:pt idx="634">
                  <c:v>84.465007167991672</c:v>
                </c:pt>
                <c:pt idx="635">
                  <c:v>84.246709240192899</c:v>
                </c:pt>
                <c:pt idx="636">
                  <c:v>83.845953342890667</c:v>
                </c:pt>
                <c:pt idx="637">
                  <c:v>84.280920109474792</c:v>
                </c:pt>
                <c:pt idx="638">
                  <c:v>84.499218037273579</c:v>
                </c:pt>
                <c:pt idx="639">
                  <c:v>84.481298058125901</c:v>
                </c:pt>
                <c:pt idx="640">
                  <c:v>84.131043920239804</c:v>
                </c:pt>
                <c:pt idx="641">
                  <c:v>84.212498370910993</c:v>
                </c:pt>
                <c:pt idx="642">
                  <c:v>84.377036361266775</c:v>
                </c:pt>
                <c:pt idx="643">
                  <c:v>84.326534601850639</c:v>
                </c:pt>
                <c:pt idx="644">
                  <c:v>84.05121855858205</c:v>
                </c:pt>
                <c:pt idx="645">
                  <c:v>84.132673009253239</c:v>
                </c:pt>
                <c:pt idx="646">
                  <c:v>83.093314218688931</c:v>
                </c:pt>
                <c:pt idx="647">
                  <c:v>83.197575915548043</c:v>
                </c:pt>
                <c:pt idx="648">
                  <c:v>81.35670533037927</c:v>
                </c:pt>
                <c:pt idx="649">
                  <c:v>80.892414961553527</c:v>
                </c:pt>
                <c:pt idx="650">
                  <c:v>81.361592597419545</c:v>
                </c:pt>
                <c:pt idx="651">
                  <c:v>81.001563925452913</c:v>
                </c:pt>
                <c:pt idx="652">
                  <c:v>80.713215170076921</c:v>
                </c:pt>
                <c:pt idx="653">
                  <c:v>80.416720969633801</c:v>
                </c:pt>
                <c:pt idx="654">
                  <c:v>80.685520656848709</c:v>
                </c:pt>
                <c:pt idx="655">
                  <c:v>80.105564968069871</c:v>
                </c:pt>
                <c:pt idx="656">
                  <c:v>81.324123550110798</c:v>
                </c:pt>
                <c:pt idx="657">
                  <c:v>81.640166818714988</c:v>
                </c:pt>
                <c:pt idx="658">
                  <c:v>81.977388244493682</c:v>
                </c:pt>
                <c:pt idx="659">
                  <c:v>81.954580998305758</c:v>
                </c:pt>
                <c:pt idx="660">
                  <c:v>81.438159781050445</c:v>
                </c:pt>
                <c:pt idx="661">
                  <c:v>81.407207089795392</c:v>
                </c:pt>
                <c:pt idx="662">
                  <c:v>81.824253877231854</c:v>
                </c:pt>
                <c:pt idx="663">
                  <c:v>81.464225205265222</c:v>
                </c:pt>
                <c:pt idx="664">
                  <c:v>82.052326339111175</c:v>
                </c:pt>
                <c:pt idx="665">
                  <c:v>82.29668969112474</c:v>
                </c:pt>
                <c:pt idx="666">
                  <c:v>82.138668056822652</c:v>
                </c:pt>
                <c:pt idx="667">
                  <c:v>82.506842173856413</c:v>
                </c:pt>
                <c:pt idx="668">
                  <c:v>81.952951909292352</c:v>
                </c:pt>
                <c:pt idx="669">
                  <c:v>81.993679134627939</c:v>
                </c:pt>
                <c:pt idx="670">
                  <c:v>82.358595073634845</c:v>
                </c:pt>
                <c:pt idx="671">
                  <c:v>82.1077153655676</c:v>
                </c:pt>
                <c:pt idx="672">
                  <c:v>82.503583995829558</c:v>
                </c:pt>
                <c:pt idx="673">
                  <c:v>82.508471262869833</c:v>
                </c:pt>
                <c:pt idx="674">
                  <c:v>83.210608627655461</c:v>
                </c:pt>
                <c:pt idx="675">
                  <c:v>83.103088752769494</c:v>
                </c:pt>
                <c:pt idx="676">
                  <c:v>83.345823015769625</c:v>
                </c:pt>
                <c:pt idx="677">
                  <c:v>82.824514531474037</c:v>
                </c:pt>
                <c:pt idx="678">
                  <c:v>82.713736478561231</c:v>
                </c:pt>
                <c:pt idx="679">
                  <c:v>82.316238759285852</c:v>
                </c:pt>
                <c:pt idx="680">
                  <c:v>81.702072201225121</c:v>
                </c:pt>
                <c:pt idx="681">
                  <c:v>81.482145184412929</c:v>
                </c:pt>
                <c:pt idx="682">
                  <c:v>81.363221686432993</c:v>
                </c:pt>
                <c:pt idx="683">
                  <c:v>81.557083279030408</c:v>
                </c:pt>
                <c:pt idx="684">
                  <c:v>81.778639384856021</c:v>
                </c:pt>
                <c:pt idx="685">
                  <c:v>81.938290108171543</c:v>
                </c:pt>
                <c:pt idx="686">
                  <c:v>81.819366610191608</c:v>
                </c:pt>
                <c:pt idx="687">
                  <c:v>81.974130066466856</c:v>
                </c:pt>
                <c:pt idx="688">
                  <c:v>82.049068161084335</c:v>
                </c:pt>
                <c:pt idx="689">
                  <c:v>81.547308744949845</c:v>
                </c:pt>
                <c:pt idx="690">
                  <c:v>81.433272514010184</c:v>
                </c:pt>
                <c:pt idx="691">
                  <c:v>81.734653981493551</c:v>
                </c:pt>
                <c:pt idx="692">
                  <c:v>81.693926756157964</c:v>
                </c:pt>
                <c:pt idx="693">
                  <c:v>81.024371171640823</c:v>
                </c:pt>
                <c:pt idx="694">
                  <c:v>81.395803466701423</c:v>
                </c:pt>
                <c:pt idx="695">
                  <c:v>81.723250358399582</c:v>
                </c:pt>
                <c:pt idx="696">
                  <c:v>81.676006777010301</c:v>
                </c:pt>
                <c:pt idx="697">
                  <c:v>82.158217124983707</c:v>
                </c:pt>
                <c:pt idx="698">
                  <c:v>81.296429036882571</c:v>
                </c:pt>
                <c:pt idx="699">
                  <c:v>81.218232764238238</c:v>
                </c:pt>
                <c:pt idx="700">
                  <c:v>80.825622312003134</c:v>
                </c:pt>
                <c:pt idx="701">
                  <c:v>80.892414961553513</c:v>
                </c:pt>
                <c:pt idx="702">
                  <c:v>81.177505538902651</c:v>
                </c:pt>
                <c:pt idx="703">
                  <c:v>80.837025935097103</c:v>
                </c:pt>
                <c:pt idx="704">
                  <c:v>80.345041053043147</c:v>
                </c:pt>
                <c:pt idx="705">
                  <c:v>80.532386289586867</c:v>
                </c:pt>
                <c:pt idx="706">
                  <c:v>79.724358138928721</c:v>
                </c:pt>
                <c:pt idx="707">
                  <c:v>79.022220774143108</c:v>
                </c:pt>
                <c:pt idx="708">
                  <c:v>78.763195621008734</c:v>
                </c:pt>
                <c:pt idx="709">
                  <c:v>79.36595855597551</c:v>
                </c:pt>
                <c:pt idx="710">
                  <c:v>79.36921673400235</c:v>
                </c:pt>
                <c:pt idx="711">
                  <c:v>78.904926365176607</c:v>
                </c:pt>
                <c:pt idx="712">
                  <c:v>80.188648507754465</c:v>
                </c:pt>
                <c:pt idx="713">
                  <c:v>80.354815587123696</c:v>
                </c:pt>
                <c:pt idx="714">
                  <c:v>79.968721490942286</c:v>
                </c:pt>
                <c:pt idx="715">
                  <c:v>79.449042095660118</c:v>
                </c:pt>
                <c:pt idx="716">
                  <c:v>79.136257005082769</c:v>
                </c:pt>
                <c:pt idx="717">
                  <c:v>78.904926365176607</c:v>
                </c:pt>
                <c:pt idx="718">
                  <c:v>78.789261045223512</c:v>
                </c:pt>
                <c:pt idx="719">
                  <c:v>78.577479473478434</c:v>
                </c:pt>
                <c:pt idx="720">
                  <c:v>78.846279160693342</c:v>
                </c:pt>
                <c:pt idx="721">
                  <c:v>78.665450280203302</c:v>
                </c:pt>
                <c:pt idx="722">
                  <c:v>79.173726052391501</c:v>
                </c:pt>
                <c:pt idx="723">
                  <c:v>79.05806073243842</c:v>
                </c:pt>
                <c:pt idx="724">
                  <c:v>78.738759285807362</c:v>
                </c:pt>
                <c:pt idx="725">
                  <c:v>78.896780920109464</c:v>
                </c:pt>
                <c:pt idx="726">
                  <c:v>79.357813110908367</c:v>
                </c:pt>
                <c:pt idx="727">
                  <c:v>78.735501107780522</c:v>
                </c:pt>
                <c:pt idx="728">
                  <c:v>79.054802554411566</c:v>
                </c:pt>
                <c:pt idx="729">
                  <c:v>79.507689300143355</c:v>
                </c:pt>
                <c:pt idx="730">
                  <c:v>79.672227290499151</c:v>
                </c:pt>
                <c:pt idx="731">
                  <c:v>79.510947478170209</c:v>
                </c:pt>
                <c:pt idx="732">
                  <c:v>79.528867457317858</c:v>
                </c:pt>
                <c:pt idx="733">
                  <c:v>79.857943438029451</c:v>
                </c:pt>
                <c:pt idx="734">
                  <c:v>79.642903688257519</c:v>
                </c:pt>
                <c:pt idx="735">
                  <c:v>79.597289195881658</c:v>
                </c:pt>
                <c:pt idx="736">
                  <c:v>80.538902645640562</c:v>
                </c:pt>
                <c:pt idx="737">
                  <c:v>80.739280594291671</c:v>
                </c:pt>
                <c:pt idx="738">
                  <c:v>80.838655024110523</c:v>
                </c:pt>
                <c:pt idx="739">
                  <c:v>80.62198618532517</c:v>
                </c:pt>
                <c:pt idx="740">
                  <c:v>81.226378209305366</c:v>
                </c:pt>
                <c:pt idx="741">
                  <c:v>81.522872409748473</c:v>
                </c:pt>
                <c:pt idx="742">
                  <c:v>81.513097875667924</c:v>
                </c:pt>
                <c:pt idx="743">
                  <c:v>81.369738042486631</c:v>
                </c:pt>
                <c:pt idx="744">
                  <c:v>81.032516616707923</c:v>
                </c:pt>
                <c:pt idx="745">
                  <c:v>80.755571484425886</c:v>
                </c:pt>
                <c:pt idx="746">
                  <c:v>80.724618793170848</c:v>
                </c:pt>
                <c:pt idx="747">
                  <c:v>80.636647986445965</c:v>
                </c:pt>
                <c:pt idx="748">
                  <c:v>80.832138668056814</c:v>
                </c:pt>
                <c:pt idx="749">
                  <c:v>81.241040010426161</c:v>
                </c:pt>
                <c:pt idx="750">
                  <c:v>81.273621790694634</c:v>
                </c:pt>
                <c:pt idx="751">
                  <c:v>80.879382249446095</c:v>
                </c:pt>
                <c:pt idx="752">
                  <c:v>81.166101915808667</c:v>
                </c:pt>
                <c:pt idx="753">
                  <c:v>81.552196011990077</c:v>
                </c:pt>
                <c:pt idx="754">
                  <c:v>81.912224683956708</c:v>
                </c:pt>
                <c:pt idx="755">
                  <c:v>81.941548286198341</c:v>
                </c:pt>
                <c:pt idx="756">
                  <c:v>81.69066857813111</c:v>
                </c:pt>
                <c:pt idx="757">
                  <c:v>81.170989182848942</c:v>
                </c:pt>
                <c:pt idx="758">
                  <c:v>81.32412355011077</c:v>
                </c:pt>
                <c:pt idx="759">
                  <c:v>81.705330379251919</c:v>
                </c:pt>
                <c:pt idx="760">
                  <c:v>81.837286589339229</c:v>
                </c:pt>
                <c:pt idx="761">
                  <c:v>81.550566922976657</c:v>
                </c:pt>
                <c:pt idx="762">
                  <c:v>81.20031278509056</c:v>
                </c:pt>
                <c:pt idx="763">
                  <c:v>81.765606672748589</c:v>
                </c:pt>
                <c:pt idx="764">
                  <c:v>81.545679655936382</c:v>
                </c:pt>
                <c:pt idx="765">
                  <c:v>81.206829141144254</c:v>
                </c:pt>
                <c:pt idx="766">
                  <c:v>80.990160302358916</c:v>
                </c:pt>
                <c:pt idx="767">
                  <c:v>80.814218688909151</c:v>
                </c:pt>
                <c:pt idx="768">
                  <c:v>80.946174898996475</c:v>
                </c:pt>
                <c:pt idx="769">
                  <c:v>81.130261957513355</c:v>
                </c:pt>
                <c:pt idx="770">
                  <c:v>81.224749120291932</c:v>
                </c:pt>
                <c:pt idx="771">
                  <c:v>81.475628828359177</c:v>
                </c:pt>
                <c:pt idx="772">
                  <c:v>81.117229245405966</c:v>
                </c:pt>
                <c:pt idx="773">
                  <c:v>81.19053825101004</c:v>
                </c:pt>
                <c:pt idx="774">
                  <c:v>81.293170858855731</c:v>
                </c:pt>
                <c:pt idx="775">
                  <c:v>81.291541769842297</c:v>
                </c:pt>
                <c:pt idx="776">
                  <c:v>81.216603675224803</c:v>
                </c:pt>
                <c:pt idx="777">
                  <c:v>81.19379642903688</c:v>
                </c:pt>
                <c:pt idx="778">
                  <c:v>81.335527173204738</c:v>
                </c:pt>
                <c:pt idx="779">
                  <c:v>81.931773752117806</c:v>
                </c:pt>
                <c:pt idx="780">
                  <c:v>82.427016812198602</c:v>
                </c:pt>
                <c:pt idx="781">
                  <c:v>82.585038446500704</c:v>
                </c:pt>
                <c:pt idx="782">
                  <c:v>83.034667014205638</c:v>
                </c:pt>
                <c:pt idx="783">
                  <c:v>83.57878274468915</c:v>
                </c:pt>
                <c:pt idx="784">
                  <c:v>83.551088231460938</c:v>
                </c:pt>
                <c:pt idx="785">
                  <c:v>83.132412355011041</c:v>
                </c:pt>
                <c:pt idx="786">
                  <c:v>83.280659455232595</c:v>
                </c:pt>
                <c:pt idx="787">
                  <c:v>83.050957904339839</c:v>
                </c:pt>
                <c:pt idx="788">
                  <c:v>82.961358008601536</c:v>
                </c:pt>
                <c:pt idx="789">
                  <c:v>83.228528606803025</c:v>
                </c:pt>
                <c:pt idx="790">
                  <c:v>83.178026847386889</c:v>
                </c:pt>
                <c:pt idx="791">
                  <c:v>83.5364264303401</c:v>
                </c:pt>
                <c:pt idx="792">
                  <c:v>83.731917111950963</c:v>
                </c:pt>
                <c:pt idx="793">
                  <c:v>83.650462661279775</c:v>
                </c:pt>
                <c:pt idx="794">
                  <c:v>83.497328294017947</c:v>
                </c:pt>
                <c:pt idx="795">
                  <c:v>83.252964942004397</c:v>
                </c:pt>
                <c:pt idx="796">
                  <c:v>83.461488335722635</c:v>
                </c:pt>
                <c:pt idx="797">
                  <c:v>84.106607585038418</c:v>
                </c:pt>
                <c:pt idx="798">
                  <c:v>84.000716799165886</c:v>
                </c:pt>
                <c:pt idx="799">
                  <c:v>82.977648898735794</c:v>
                </c:pt>
                <c:pt idx="800">
                  <c:v>82.46122768148048</c:v>
                </c:pt>
                <c:pt idx="801">
                  <c:v>82.643685650983926</c:v>
                </c:pt>
                <c:pt idx="802">
                  <c:v>82.506842173856342</c:v>
                </c:pt>
                <c:pt idx="803">
                  <c:v>82.326013293366316</c:v>
                </c:pt>
                <c:pt idx="804">
                  <c:v>82.394435031930115</c:v>
                </c:pt>
                <c:pt idx="805">
                  <c:v>82.681154698292687</c:v>
                </c:pt>
                <c:pt idx="806">
                  <c:v>82.674638342238993</c:v>
                </c:pt>
                <c:pt idx="807">
                  <c:v>82.436791346279136</c:v>
                </c:pt>
                <c:pt idx="808">
                  <c:v>82.128893522742047</c:v>
                </c:pt>
                <c:pt idx="809">
                  <c:v>82.625765671836277</c:v>
                </c:pt>
                <c:pt idx="810">
                  <c:v>82.337416916460285</c:v>
                </c:pt>
                <c:pt idx="811">
                  <c:v>82.145184412876276</c:v>
                </c:pt>
                <c:pt idx="812">
                  <c:v>82.272253355923326</c:v>
                </c:pt>
                <c:pt idx="813">
                  <c:v>82.073504496285636</c:v>
                </c:pt>
                <c:pt idx="814">
                  <c:v>81.491919718493378</c:v>
                </c:pt>
                <c:pt idx="815">
                  <c:v>81.716734002345845</c:v>
                </c:pt>
                <c:pt idx="816">
                  <c:v>81.812850254137842</c:v>
                </c:pt>
                <c:pt idx="817">
                  <c:v>82.316238759285767</c:v>
                </c:pt>
                <c:pt idx="818">
                  <c:v>82.205460706372961</c:v>
                </c:pt>
                <c:pt idx="819">
                  <c:v>82.498696728789227</c:v>
                </c:pt>
                <c:pt idx="820">
                  <c:v>82.53453668708454</c:v>
                </c:pt>
                <c:pt idx="821">
                  <c:v>81.868239280594253</c:v>
                </c:pt>
                <c:pt idx="822">
                  <c:v>82.08490811937962</c:v>
                </c:pt>
                <c:pt idx="823">
                  <c:v>81.933402841131212</c:v>
                </c:pt>
                <c:pt idx="824">
                  <c:v>81.866610191580847</c:v>
                </c:pt>
                <c:pt idx="825">
                  <c:v>81.527759676788733</c:v>
                </c:pt>
                <c:pt idx="826">
                  <c:v>81.891046526782219</c:v>
                </c:pt>
                <c:pt idx="827">
                  <c:v>80.915222207741422</c:v>
                </c:pt>
                <c:pt idx="828">
                  <c:v>81.263847256614099</c:v>
                </c:pt>
                <c:pt idx="829">
                  <c:v>80.965723967157572</c:v>
                </c:pt>
                <c:pt idx="830">
                  <c:v>81.045549328815326</c:v>
                </c:pt>
                <c:pt idx="831">
                  <c:v>81.372996220513485</c:v>
                </c:pt>
                <c:pt idx="832">
                  <c:v>82.052326339111147</c:v>
                </c:pt>
                <c:pt idx="833">
                  <c:v>81.993679134627911</c:v>
                </c:pt>
                <c:pt idx="834">
                  <c:v>81.848690212433198</c:v>
                </c:pt>
                <c:pt idx="835">
                  <c:v>82.086537208393068</c:v>
                </c:pt>
                <c:pt idx="836">
                  <c:v>82.355336895607962</c:v>
                </c:pt>
                <c:pt idx="837">
                  <c:v>82.446565880359699</c:v>
                </c:pt>
                <c:pt idx="838">
                  <c:v>82.878274468916985</c:v>
                </c:pt>
                <c:pt idx="839">
                  <c:v>82.796820018245796</c:v>
                </c:pt>
                <c:pt idx="840">
                  <c:v>82.493809461748981</c:v>
                </c:pt>
                <c:pt idx="841">
                  <c:v>82.484034927668432</c:v>
                </c:pt>
                <c:pt idx="842">
                  <c:v>82.172878926104502</c:v>
                </c:pt>
                <c:pt idx="843">
                  <c:v>82.083279030366199</c:v>
                </c:pt>
                <c:pt idx="844">
                  <c:v>82.132151700768901</c:v>
                </c:pt>
                <c:pt idx="845">
                  <c:v>81.895933793822479</c:v>
                </c:pt>
                <c:pt idx="846">
                  <c:v>82.161475303010533</c:v>
                </c:pt>
                <c:pt idx="847">
                  <c:v>82.501954906816096</c:v>
                </c:pt>
                <c:pt idx="848">
                  <c:v>82.928776228333092</c:v>
                </c:pt>
                <c:pt idx="849">
                  <c:v>82.782158217124959</c:v>
                </c:pt>
                <c:pt idx="850">
                  <c:v>82.58503844650069</c:v>
                </c:pt>
                <c:pt idx="851">
                  <c:v>82.567118467353026</c:v>
                </c:pt>
                <c:pt idx="852">
                  <c:v>82.198944350319266</c:v>
                </c:pt>
                <c:pt idx="853">
                  <c:v>82.441678613319397</c:v>
                </c:pt>
                <c:pt idx="854">
                  <c:v>82.352078717581094</c:v>
                </c:pt>
                <c:pt idx="855">
                  <c:v>82.251075198748808</c:v>
                </c:pt>
                <c:pt idx="856">
                  <c:v>81.90733741691642</c:v>
                </c:pt>
                <c:pt idx="857">
                  <c:v>82.130522611755467</c:v>
                </c:pt>
                <c:pt idx="858">
                  <c:v>82.365111429688469</c:v>
                </c:pt>
                <c:pt idx="859">
                  <c:v>82.508471262869762</c:v>
                </c:pt>
                <c:pt idx="860">
                  <c:v>82.368369607715337</c:v>
                </c:pt>
                <c:pt idx="861">
                  <c:v>82.288544246057583</c:v>
                </c:pt>
                <c:pt idx="862">
                  <c:v>82.741430991789372</c:v>
                </c:pt>
                <c:pt idx="863">
                  <c:v>82.912485338198863</c:v>
                </c:pt>
                <c:pt idx="864">
                  <c:v>83.106346930796292</c:v>
                </c:pt>
                <c:pt idx="865">
                  <c:v>82.886419913984085</c:v>
                </c:pt>
                <c:pt idx="866">
                  <c:v>82.941808940440495</c:v>
                </c:pt>
                <c:pt idx="867">
                  <c:v>83.151961423172153</c:v>
                </c:pt>
                <c:pt idx="868">
                  <c:v>82.778900039098119</c:v>
                </c:pt>
                <c:pt idx="869">
                  <c:v>82.658347452104749</c:v>
                </c:pt>
                <c:pt idx="870">
                  <c:v>82.780529128111539</c:v>
                </c:pt>
                <c:pt idx="871">
                  <c:v>82.285286068030729</c:v>
                </c:pt>
                <c:pt idx="872">
                  <c:v>82.211977062426669</c:v>
                </c:pt>
                <c:pt idx="873">
                  <c:v>81.698814023198196</c:v>
                </c:pt>
                <c:pt idx="874">
                  <c:v>81.625505017594122</c:v>
                </c:pt>
                <c:pt idx="875">
                  <c:v>81.718363091359279</c:v>
                </c:pt>
                <c:pt idx="876">
                  <c:v>81.531017854815545</c:v>
                </c:pt>
                <c:pt idx="877">
                  <c:v>81.493548807506812</c:v>
                </c:pt>
                <c:pt idx="878">
                  <c:v>81.140036491593875</c:v>
                </c:pt>
                <c:pt idx="879">
                  <c:v>81.628763195620976</c:v>
                </c:pt>
                <c:pt idx="880">
                  <c:v>81.271992701681185</c:v>
                </c:pt>
                <c:pt idx="881">
                  <c:v>81.452821582171225</c:v>
                </c:pt>
                <c:pt idx="882">
                  <c:v>80.83539684608364</c:v>
                </c:pt>
                <c:pt idx="883">
                  <c:v>81.237781832399293</c:v>
                </c:pt>
                <c:pt idx="884">
                  <c:v>81.245927277466421</c:v>
                </c:pt>
                <c:pt idx="885">
                  <c:v>81.356705330379228</c:v>
                </c:pt>
                <c:pt idx="886">
                  <c:v>81.170989182848942</c:v>
                </c:pt>
                <c:pt idx="887">
                  <c:v>80.854945914244738</c:v>
                </c:pt>
                <c:pt idx="888">
                  <c:v>80.970611234197833</c:v>
                </c:pt>
                <c:pt idx="889">
                  <c:v>81.140036491593889</c:v>
                </c:pt>
                <c:pt idx="890">
                  <c:v>80.988531213345482</c:v>
                </c:pt>
                <c:pt idx="891">
                  <c:v>80.866349537338706</c:v>
                </c:pt>
                <c:pt idx="892">
                  <c:v>81.063469307962961</c:v>
                </c:pt>
                <c:pt idx="893">
                  <c:v>81.462596116251774</c:v>
                </c:pt>
                <c:pt idx="894">
                  <c:v>81.45933793822492</c:v>
                </c:pt>
                <c:pt idx="895">
                  <c:v>81.402319822755089</c:v>
                </c:pt>
                <c:pt idx="896">
                  <c:v>81.131891046526746</c:v>
                </c:pt>
                <c:pt idx="897">
                  <c:v>81.420239801902738</c:v>
                </c:pt>
                <c:pt idx="898">
                  <c:v>80.656197054607034</c:v>
                </c:pt>
                <c:pt idx="899">
                  <c:v>80.524240844519724</c:v>
                </c:pt>
                <c:pt idx="900">
                  <c:v>80.403688257526369</c:v>
                </c:pt>
                <c:pt idx="901">
                  <c:v>80.364590121204202</c:v>
                </c:pt>
                <c:pt idx="902">
                  <c:v>80.02411051739864</c:v>
                </c:pt>
                <c:pt idx="903">
                  <c:v>79.846539814935454</c:v>
                </c:pt>
                <c:pt idx="904">
                  <c:v>79.95568877883484</c:v>
                </c:pt>
                <c:pt idx="905">
                  <c:v>79.963834223901955</c:v>
                </c:pt>
                <c:pt idx="906">
                  <c:v>79.831878013814631</c:v>
                </c:pt>
                <c:pt idx="907">
                  <c:v>79.486511142968823</c:v>
                </c:pt>
                <c:pt idx="908">
                  <c:v>78.961944480646395</c:v>
                </c:pt>
                <c:pt idx="909">
                  <c:v>79.255180503062661</c:v>
                </c:pt>
                <c:pt idx="910">
                  <c:v>79.473478430861448</c:v>
                </c:pt>
                <c:pt idx="911">
                  <c:v>79.771601720317975</c:v>
                </c:pt>
                <c:pt idx="912">
                  <c:v>80.292910204613563</c:v>
                </c:pt>
                <c:pt idx="913">
                  <c:v>80.714844259090299</c:v>
                </c:pt>
                <c:pt idx="914">
                  <c:v>80.525869933533158</c:v>
                </c:pt>
                <c:pt idx="915">
                  <c:v>80.434640948781436</c:v>
                </c:pt>
                <c:pt idx="916">
                  <c:v>80.224488466049777</c:v>
                </c:pt>
                <c:pt idx="917">
                  <c:v>80.336895607976018</c:v>
                </c:pt>
                <c:pt idx="918">
                  <c:v>80.092532255962468</c:v>
                </c:pt>
                <c:pt idx="919">
                  <c:v>79.872605239150275</c:v>
                </c:pt>
                <c:pt idx="920">
                  <c:v>80.255441157304844</c:v>
                </c:pt>
                <c:pt idx="921">
                  <c:v>80.1218558582041</c:v>
                </c:pt>
                <c:pt idx="922">
                  <c:v>80.351557409096841</c:v>
                </c:pt>
                <c:pt idx="923">
                  <c:v>79.885637951257664</c:v>
                </c:pt>
                <c:pt idx="924">
                  <c:v>79.975237846995967</c:v>
                </c:pt>
                <c:pt idx="925">
                  <c:v>79.660823667405197</c:v>
                </c:pt>
                <c:pt idx="926">
                  <c:v>79.129740649029074</c:v>
                </c:pt>
                <c:pt idx="927">
                  <c:v>78.704548416525483</c:v>
                </c:pt>
                <c:pt idx="928">
                  <c:v>78.155545419001712</c:v>
                </c:pt>
                <c:pt idx="929">
                  <c:v>78.443894174377704</c:v>
                </c:pt>
                <c:pt idx="930">
                  <c:v>78.121334549719805</c:v>
                </c:pt>
                <c:pt idx="931">
                  <c:v>77.916069334028421</c:v>
                </c:pt>
                <c:pt idx="932">
                  <c:v>77.950280203310314</c:v>
                </c:pt>
                <c:pt idx="933">
                  <c:v>78.166949042095666</c:v>
                </c:pt>
                <c:pt idx="934">
                  <c:v>77.850905773491462</c:v>
                </c:pt>
                <c:pt idx="935">
                  <c:v>77.637495112732964</c:v>
                </c:pt>
                <c:pt idx="936">
                  <c:v>77.402906294799948</c:v>
                </c:pt>
                <c:pt idx="937">
                  <c:v>77.256288283591815</c:v>
                </c:pt>
                <c:pt idx="938">
                  <c:v>77.686367783135651</c:v>
                </c:pt>
                <c:pt idx="939">
                  <c:v>77.743385898605482</c:v>
                </c:pt>
                <c:pt idx="940">
                  <c:v>77.855793040531708</c:v>
                </c:pt>
                <c:pt idx="941">
                  <c:v>77.958425648377414</c:v>
                </c:pt>
                <c:pt idx="942">
                  <c:v>78.512315912941474</c:v>
                </c:pt>
                <c:pt idx="943">
                  <c:v>78.583995829532114</c:v>
                </c:pt>
                <c:pt idx="944">
                  <c:v>78.569334028411291</c:v>
                </c:pt>
                <c:pt idx="945">
                  <c:v>78.592141274599228</c:v>
                </c:pt>
                <c:pt idx="946">
                  <c:v>78.543268604196513</c:v>
                </c:pt>
                <c:pt idx="947">
                  <c:v>78.482992310699842</c:v>
                </c:pt>
                <c:pt idx="948">
                  <c:v>78.153916329988249</c:v>
                </c:pt>
                <c:pt idx="949">
                  <c:v>77.976345627525077</c:v>
                </c:pt>
                <c:pt idx="950">
                  <c:v>77.679851427081957</c:v>
                </c:pt>
                <c:pt idx="951">
                  <c:v>77.106412094356827</c:v>
                </c:pt>
                <c:pt idx="952">
                  <c:v>76.940245014987596</c:v>
                </c:pt>
                <c:pt idx="953">
                  <c:v>76.845757852209019</c:v>
                </c:pt>
                <c:pt idx="954">
                  <c:v>76.725205265215664</c:v>
                </c:pt>
                <c:pt idx="955">
                  <c:v>77.029844910725885</c:v>
                </c:pt>
              </c:numCache>
            </c:numRef>
          </c:val>
          <c:smooth val="0"/>
          <c:extLst>
            <c:ext xmlns:c16="http://schemas.microsoft.com/office/drawing/2014/chart" uri="{C3380CC4-5D6E-409C-BE32-E72D297353CC}">
              <c16:uniqueId val="{00000000-3681-4EBC-BDC7-036968F800BB}"/>
            </c:ext>
          </c:extLst>
        </c:ser>
        <c:ser>
          <c:idx val="1"/>
          <c:order val="1"/>
          <c:tx>
            <c:strRef>
              <c:f>Sheet1!$C$1</c:f>
              <c:strCache>
                <c:ptCount val="1"/>
                <c:pt idx="0">
                  <c:v>ՀՀ դրամ</c:v>
                </c:pt>
              </c:strCache>
            </c:strRef>
          </c:tx>
          <c:spPr>
            <a:ln w="19050" cap="rnd">
              <a:solidFill>
                <a:srgbClr val="1F497D"/>
              </a:solidFill>
              <a:round/>
            </a:ln>
            <a:effectLst/>
          </c:spPr>
          <c:marker>
            <c:symbol val="none"/>
          </c:marker>
          <c:cat>
            <c:numRef>
              <c:f>Sheet1!$A$2:$A$890</c:f>
              <c:numCache>
                <c:formatCode>m\/d\/yyyy</c:formatCode>
                <c:ptCount val="889"/>
                <c:pt idx="0">
                  <c:v>43832</c:v>
                </c:pt>
                <c:pt idx="1">
                  <c:v>43833</c:v>
                </c:pt>
                <c:pt idx="2">
                  <c:v>43836</c:v>
                </c:pt>
                <c:pt idx="3">
                  <c:v>43837</c:v>
                </c:pt>
                <c:pt idx="4">
                  <c:v>43838</c:v>
                </c:pt>
                <c:pt idx="5">
                  <c:v>43839</c:v>
                </c:pt>
                <c:pt idx="6">
                  <c:v>43840</c:v>
                </c:pt>
                <c:pt idx="7">
                  <c:v>43843</c:v>
                </c:pt>
                <c:pt idx="8">
                  <c:v>43844</c:v>
                </c:pt>
                <c:pt idx="9">
                  <c:v>43845</c:v>
                </c:pt>
                <c:pt idx="10">
                  <c:v>43846</c:v>
                </c:pt>
                <c:pt idx="11">
                  <c:v>43847</c:v>
                </c:pt>
                <c:pt idx="12">
                  <c:v>43850</c:v>
                </c:pt>
                <c:pt idx="13">
                  <c:v>43851</c:v>
                </c:pt>
                <c:pt idx="14">
                  <c:v>43852</c:v>
                </c:pt>
                <c:pt idx="15">
                  <c:v>43853</c:v>
                </c:pt>
                <c:pt idx="16">
                  <c:v>43854</c:v>
                </c:pt>
                <c:pt idx="17">
                  <c:v>43857</c:v>
                </c:pt>
                <c:pt idx="18">
                  <c:v>43858</c:v>
                </c:pt>
                <c:pt idx="19">
                  <c:v>43859</c:v>
                </c:pt>
                <c:pt idx="20">
                  <c:v>43860</c:v>
                </c:pt>
                <c:pt idx="21">
                  <c:v>43861</c:v>
                </c:pt>
                <c:pt idx="22">
                  <c:v>43864</c:v>
                </c:pt>
                <c:pt idx="23">
                  <c:v>43865</c:v>
                </c:pt>
                <c:pt idx="24">
                  <c:v>43866</c:v>
                </c:pt>
                <c:pt idx="25">
                  <c:v>43867</c:v>
                </c:pt>
                <c:pt idx="26">
                  <c:v>43868</c:v>
                </c:pt>
                <c:pt idx="27">
                  <c:v>43871</c:v>
                </c:pt>
                <c:pt idx="28">
                  <c:v>43872</c:v>
                </c:pt>
                <c:pt idx="29">
                  <c:v>43873</c:v>
                </c:pt>
                <c:pt idx="30">
                  <c:v>43874</c:v>
                </c:pt>
                <c:pt idx="31">
                  <c:v>43875</c:v>
                </c:pt>
                <c:pt idx="32">
                  <c:v>43878</c:v>
                </c:pt>
                <c:pt idx="33">
                  <c:v>43879</c:v>
                </c:pt>
                <c:pt idx="34">
                  <c:v>43880</c:v>
                </c:pt>
                <c:pt idx="35">
                  <c:v>43881</c:v>
                </c:pt>
                <c:pt idx="36">
                  <c:v>43882</c:v>
                </c:pt>
                <c:pt idx="37">
                  <c:v>43885</c:v>
                </c:pt>
                <c:pt idx="38">
                  <c:v>43886</c:v>
                </c:pt>
                <c:pt idx="39">
                  <c:v>43887</c:v>
                </c:pt>
                <c:pt idx="40">
                  <c:v>43888</c:v>
                </c:pt>
                <c:pt idx="41">
                  <c:v>43889</c:v>
                </c:pt>
                <c:pt idx="42">
                  <c:v>43892</c:v>
                </c:pt>
                <c:pt idx="43">
                  <c:v>43893</c:v>
                </c:pt>
                <c:pt idx="44">
                  <c:v>43894</c:v>
                </c:pt>
                <c:pt idx="45">
                  <c:v>43895</c:v>
                </c:pt>
                <c:pt idx="46">
                  <c:v>43896</c:v>
                </c:pt>
                <c:pt idx="47">
                  <c:v>43899</c:v>
                </c:pt>
                <c:pt idx="48">
                  <c:v>43900</c:v>
                </c:pt>
                <c:pt idx="49">
                  <c:v>43901</c:v>
                </c:pt>
                <c:pt idx="50">
                  <c:v>43902</c:v>
                </c:pt>
                <c:pt idx="51">
                  <c:v>43903</c:v>
                </c:pt>
                <c:pt idx="52">
                  <c:v>43906</c:v>
                </c:pt>
                <c:pt idx="53">
                  <c:v>43907</c:v>
                </c:pt>
                <c:pt idx="54">
                  <c:v>43908</c:v>
                </c:pt>
                <c:pt idx="55">
                  <c:v>43909</c:v>
                </c:pt>
                <c:pt idx="56">
                  <c:v>43910</c:v>
                </c:pt>
                <c:pt idx="57">
                  <c:v>43913</c:v>
                </c:pt>
                <c:pt idx="58">
                  <c:v>43914</c:v>
                </c:pt>
                <c:pt idx="59">
                  <c:v>43915</c:v>
                </c:pt>
                <c:pt idx="60">
                  <c:v>43916</c:v>
                </c:pt>
                <c:pt idx="61">
                  <c:v>43917</c:v>
                </c:pt>
                <c:pt idx="62">
                  <c:v>43920</c:v>
                </c:pt>
                <c:pt idx="63">
                  <c:v>43921</c:v>
                </c:pt>
                <c:pt idx="64">
                  <c:v>43922</c:v>
                </c:pt>
                <c:pt idx="65">
                  <c:v>43923</c:v>
                </c:pt>
                <c:pt idx="66">
                  <c:v>43924</c:v>
                </c:pt>
                <c:pt idx="67">
                  <c:v>43927</c:v>
                </c:pt>
                <c:pt idx="68">
                  <c:v>43928</c:v>
                </c:pt>
                <c:pt idx="69">
                  <c:v>43929</c:v>
                </c:pt>
                <c:pt idx="70">
                  <c:v>43930</c:v>
                </c:pt>
                <c:pt idx="71">
                  <c:v>43934</c:v>
                </c:pt>
                <c:pt idx="72">
                  <c:v>43935</c:v>
                </c:pt>
                <c:pt idx="73">
                  <c:v>43936</c:v>
                </c:pt>
                <c:pt idx="74">
                  <c:v>43937</c:v>
                </c:pt>
                <c:pt idx="75">
                  <c:v>43938</c:v>
                </c:pt>
                <c:pt idx="76">
                  <c:v>43941</c:v>
                </c:pt>
                <c:pt idx="77">
                  <c:v>43942</c:v>
                </c:pt>
                <c:pt idx="78">
                  <c:v>43943</c:v>
                </c:pt>
                <c:pt idx="79">
                  <c:v>43944</c:v>
                </c:pt>
                <c:pt idx="80">
                  <c:v>43945</c:v>
                </c:pt>
                <c:pt idx="81">
                  <c:v>43948</c:v>
                </c:pt>
                <c:pt idx="82">
                  <c:v>43949</c:v>
                </c:pt>
                <c:pt idx="83">
                  <c:v>43950</c:v>
                </c:pt>
                <c:pt idx="84">
                  <c:v>43951</c:v>
                </c:pt>
                <c:pt idx="85">
                  <c:v>43952</c:v>
                </c:pt>
                <c:pt idx="86">
                  <c:v>43955</c:v>
                </c:pt>
                <c:pt idx="87">
                  <c:v>43956</c:v>
                </c:pt>
                <c:pt idx="88">
                  <c:v>43957</c:v>
                </c:pt>
                <c:pt idx="89">
                  <c:v>43958</c:v>
                </c:pt>
                <c:pt idx="90">
                  <c:v>43959</c:v>
                </c:pt>
                <c:pt idx="91">
                  <c:v>43962</c:v>
                </c:pt>
                <c:pt idx="92">
                  <c:v>43963</c:v>
                </c:pt>
                <c:pt idx="93">
                  <c:v>43964</c:v>
                </c:pt>
                <c:pt idx="94">
                  <c:v>43965</c:v>
                </c:pt>
                <c:pt idx="95">
                  <c:v>43966</c:v>
                </c:pt>
                <c:pt idx="96">
                  <c:v>43969</c:v>
                </c:pt>
                <c:pt idx="97">
                  <c:v>43970</c:v>
                </c:pt>
                <c:pt idx="98">
                  <c:v>43971</c:v>
                </c:pt>
                <c:pt idx="99">
                  <c:v>43972</c:v>
                </c:pt>
                <c:pt idx="100">
                  <c:v>43973</c:v>
                </c:pt>
                <c:pt idx="101">
                  <c:v>43976</c:v>
                </c:pt>
                <c:pt idx="102">
                  <c:v>43977</c:v>
                </c:pt>
                <c:pt idx="103">
                  <c:v>43978</c:v>
                </c:pt>
                <c:pt idx="104">
                  <c:v>43979</c:v>
                </c:pt>
                <c:pt idx="105">
                  <c:v>43980</c:v>
                </c:pt>
                <c:pt idx="106">
                  <c:v>43983</c:v>
                </c:pt>
                <c:pt idx="107">
                  <c:v>43984</c:v>
                </c:pt>
                <c:pt idx="108">
                  <c:v>43985</c:v>
                </c:pt>
                <c:pt idx="109">
                  <c:v>43986</c:v>
                </c:pt>
                <c:pt idx="110">
                  <c:v>43987</c:v>
                </c:pt>
                <c:pt idx="111">
                  <c:v>43990</c:v>
                </c:pt>
                <c:pt idx="112">
                  <c:v>43991</c:v>
                </c:pt>
                <c:pt idx="113">
                  <c:v>43992</c:v>
                </c:pt>
                <c:pt idx="114">
                  <c:v>43993</c:v>
                </c:pt>
                <c:pt idx="115">
                  <c:v>43994</c:v>
                </c:pt>
                <c:pt idx="116">
                  <c:v>43997</c:v>
                </c:pt>
                <c:pt idx="117">
                  <c:v>43998</c:v>
                </c:pt>
                <c:pt idx="118">
                  <c:v>43999</c:v>
                </c:pt>
                <c:pt idx="119">
                  <c:v>44000</c:v>
                </c:pt>
                <c:pt idx="120">
                  <c:v>44001</c:v>
                </c:pt>
                <c:pt idx="121">
                  <c:v>44004</c:v>
                </c:pt>
                <c:pt idx="122">
                  <c:v>44005</c:v>
                </c:pt>
                <c:pt idx="123">
                  <c:v>44006</c:v>
                </c:pt>
                <c:pt idx="124">
                  <c:v>44007</c:v>
                </c:pt>
                <c:pt idx="125">
                  <c:v>44008</c:v>
                </c:pt>
                <c:pt idx="126">
                  <c:v>44011</c:v>
                </c:pt>
                <c:pt idx="127">
                  <c:v>44012</c:v>
                </c:pt>
                <c:pt idx="128">
                  <c:v>44013</c:v>
                </c:pt>
                <c:pt idx="129">
                  <c:v>44014</c:v>
                </c:pt>
                <c:pt idx="130">
                  <c:v>44015</c:v>
                </c:pt>
                <c:pt idx="131">
                  <c:v>44018</c:v>
                </c:pt>
                <c:pt idx="132">
                  <c:v>44019</c:v>
                </c:pt>
                <c:pt idx="133">
                  <c:v>44020</c:v>
                </c:pt>
                <c:pt idx="134">
                  <c:v>44021</c:v>
                </c:pt>
                <c:pt idx="135">
                  <c:v>44022</c:v>
                </c:pt>
                <c:pt idx="136">
                  <c:v>44025</c:v>
                </c:pt>
                <c:pt idx="137">
                  <c:v>44026</c:v>
                </c:pt>
                <c:pt idx="138">
                  <c:v>44027</c:v>
                </c:pt>
                <c:pt idx="139">
                  <c:v>44028</c:v>
                </c:pt>
                <c:pt idx="140">
                  <c:v>44029</c:v>
                </c:pt>
                <c:pt idx="141">
                  <c:v>44032</c:v>
                </c:pt>
                <c:pt idx="142">
                  <c:v>44033</c:v>
                </c:pt>
                <c:pt idx="143">
                  <c:v>44034</c:v>
                </c:pt>
                <c:pt idx="144">
                  <c:v>44035</c:v>
                </c:pt>
                <c:pt idx="145">
                  <c:v>44036</c:v>
                </c:pt>
                <c:pt idx="146">
                  <c:v>44039</c:v>
                </c:pt>
                <c:pt idx="147">
                  <c:v>44040</c:v>
                </c:pt>
                <c:pt idx="148">
                  <c:v>44041</c:v>
                </c:pt>
                <c:pt idx="149">
                  <c:v>44042</c:v>
                </c:pt>
                <c:pt idx="150">
                  <c:v>44043</c:v>
                </c:pt>
                <c:pt idx="151">
                  <c:v>44046</c:v>
                </c:pt>
                <c:pt idx="152">
                  <c:v>44047</c:v>
                </c:pt>
                <c:pt idx="153">
                  <c:v>44048</c:v>
                </c:pt>
                <c:pt idx="154">
                  <c:v>44049</c:v>
                </c:pt>
                <c:pt idx="155">
                  <c:v>44050</c:v>
                </c:pt>
                <c:pt idx="156">
                  <c:v>44053</c:v>
                </c:pt>
                <c:pt idx="157">
                  <c:v>44054</c:v>
                </c:pt>
                <c:pt idx="158">
                  <c:v>44055</c:v>
                </c:pt>
                <c:pt idx="159">
                  <c:v>44056</c:v>
                </c:pt>
                <c:pt idx="160">
                  <c:v>44057</c:v>
                </c:pt>
                <c:pt idx="161">
                  <c:v>44060</c:v>
                </c:pt>
                <c:pt idx="162">
                  <c:v>44061</c:v>
                </c:pt>
                <c:pt idx="163">
                  <c:v>44062</c:v>
                </c:pt>
                <c:pt idx="164">
                  <c:v>44063</c:v>
                </c:pt>
                <c:pt idx="165">
                  <c:v>44064</c:v>
                </c:pt>
                <c:pt idx="166">
                  <c:v>44067</c:v>
                </c:pt>
                <c:pt idx="167">
                  <c:v>44068</c:v>
                </c:pt>
                <c:pt idx="168">
                  <c:v>44069</c:v>
                </c:pt>
                <c:pt idx="169">
                  <c:v>44070</c:v>
                </c:pt>
                <c:pt idx="170">
                  <c:v>44071</c:v>
                </c:pt>
                <c:pt idx="171">
                  <c:v>44074</c:v>
                </c:pt>
                <c:pt idx="172">
                  <c:v>44075</c:v>
                </c:pt>
                <c:pt idx="173">
                  <c:v>44076</c:v>
                </c:pt>
                <c:pt idx="174">
                  <c:v>44077</c:v>
                </c:pt>
                <c:pt idx="175">
                  <c:v>44078</c:v>
                </c:pt>
                <c:pt idx="176">
                  <c:v>44081</c:v>
                </c:pt>
                <c:pt idx="177">
                  <c:v>44082</c:v>
                </c:pt>
                <c:pt idx="178">
                  <c:v>44083</c:v>
                </c:pt>
                <c:pt idx="179">
                  <c:v>44084</c:v>
                </c:pt>
                <c:pt idx="180">
                  <c:v>44085</c:v>
                </c:pt>
                <c:pt idx="181">
                  <c:v>44088</c:v>
                </c:pt>
                <c:pt idx="182">
                  <c:v>44089</c:v>
                </c:pt>
                <c:pt idx="183">
                  <c:v>44090</c:v>
                </c:pt>
                <c:pt idx="184">
                  <c:v>44091</c:v>
                </c:pt>
                <c:pt idx="185">
                  <c:v>44092</c:v>
                </c:pt>
                <c:pt idx="186">
                  <c:v>44095</c:v>
                </c:pt>
                <c:pt idx="187">
                  <c:v>44096</c:v>
                </c:pt>
                <c:pt idx="188">
                  <c:v>44097</c:v>
                </c:pt>
                <c:pt idx="189">
                  <c:v>44098</c:v>
                </c:pt>
                <c:pt idx="190">
                  <c:v>44099</c:v>
                </c:pt>
                <c:pt idx="191">
                  <c:v>44102</c:v>
                </c:pt>
                <c:pt idx="192">
                  <c:v>44103</c:v>
                </c:pt>
                <c:pt idx="193">
                  <c:v>44104</c:v>
                </c:pt>
                <c:pt idx="194">
                  <c:v>44105</c:v>
                </c:pt>
                <c:pt idx="195">
                  <c:v>44106</c:v>
                </c:pt>
                <c:pt idx="196">
                  <c:v>44109</c:v>
                </c:pt>
                <c:pt idx="197">
                  <c:v>44110</c:v>
                </c:pt>
                <c:pt idx="198">
                  <c:v>44111</c:v>
                </c:pt>
                <c:pt idx="199">
                  <c:v>44112</c:v>
                </c:pt>
                <c:pt idx="200">
                  <c:v>44113</c:v>
                </c:pt>
                <c:pt idx="201">
                  <c:v>44116</c:v>
                </c:pt>
                <c:pt idx="202">
                  <c:v>44117</c:v>
                </c:pt>
                <c:pt idx="203">
                  <c:v>44118</c:v>
                </c:pt>
                <c:pt idx="204">
                  <c:v>44119</c:v>
                </c:pt>
                <c:pt idx="205">
                  <c:v>44120</c:v>
                </c:pt>
                <c:pt idx="206">
                  <c:v>44123</c:v>
                </c:pt>
                <c:pt idx="207">
                  <c:v>44124</c:v>
                </c:pt>
                <c:pt idx="208">
                  <c:v>44125</c:v>
                </c:pt>
                <c:pt idx="209">
                  <c:v>44126</c:v>
                </c:pt>
                <c:pt idx="210">
                  <c:v>44127</c:v>
                </c:pt>
                <c:pt idx="211">
                  <c:v>44130</c:v>
                </c:pt>
                <c:pt idx="212">
                  <c:v>44131</c:v>
                </c:pt>
                <c:pt idx="213">
                  <c:v>44132</c:v>
                </c:pt>
                <c:pt idx="214">
                  <c:v>44133</c:v>
                </c:pt>
                <c:pt idx="215">
                  <c:v>44134</c:v>
                </c:pt>
                <c:pt idx="216">
                  <c:v>44137</c:v>
                </c:pt>
                <c:pt idx="217">
                  <c:v>44138</c:v>
                </c:pt>
                <c:pt idx="218">
                  <c:v>44139</c:v>
                </c:pt>
                <c:pt idx="219">
                  <c:v>44140</c:v>
                </c:pt>
                <c:pt idx="220">
                  <c:v>44141</c:v>
                </c:pt>
                <c:pt idx="221">
                  <c:v>44144</c:v>
                </c:pt>
                <c:pt idx="222">
                  <c:v>44145</c:v>
                </c:pt>
                <c:pt idx="223">
                  <c:v>44146</c:v>
                </c:pt>
                <c:pt idx="224">
                  <c:v>44147</c:v>
                </c:pt>
                <c:pt idx="225">
                  <c:v>44148</c:v>
                </c:pt>
                <c:pt idx="226">
                  <c:v>44151</c:v>
                </c:pt>
                <c:pt idx="227">
                  <c:v>44152</c:v>
                </c:pt>
                <c:pt idx="228">
                  <c:v>44153</c:v>
                </c:pt>
                <c:pt idx="229">
                  <c:v>44154</c:v>
                </c:pt>
                <c:pt idx="230">
                  <c:v>44155</c:v>
                </c:pt>
                <c:pt idx="231">
                  <c:v>44158</c:v>
                </c:pt>
                <c:pt idx="232">
                  <c:v>44159</c:v>
                </c:pt>
                <c:pt idx="233">
                  <c:v>44160</c:v>
                </c:pt>
                <c:pt idx="234">
                  <c:v>44161</c:v>
                </c:pt>
                <c:pt idx="235">
                  <c:v>44162</c:v>
                </c:pt>
                <c:pt idx="236">
                  <c:v>44165</c:v>
                </c:pt>
                <c:pt idx="237">
                  <c:v>44166</c:v>
                </c:pt>
                <c:pt idx="238">
                  <c:v>44167</c:v>
                </c:pt>
                <c:pt idx="239">
                  <c:v>44168</c:v>
                </c:pt>
                <c:pt idx="240">
                  <c:v>44169</c:v>
                </c:pt>
                <c:pt idx="241">
                  <c:v>44172</c:v>
                </c:pt>
                <c:pt idx="242">
                  <c:v>44173</c:v>
                </c:pt>
                <c:pt idx="243">
                  <c:v>44174</c:v>
                </c:pt>
                <c:pt idx="244">
                  <c:v>44175</c:v>
                </c:pt>
                <c:pt idx="245">
                  <c:v>44176</c:v>
                </c:pt>
                <c:pt idx="246">
                  <c:v>44179</c:v>
                </c:pt>
                <c:pt idx="247">
                  <c:v>44180</c:v>
                </c:pt>
                <c:pt idx="248">
                  <c:v>44181</c:v>
                </c:pt>
                <c:pt idx="249">
                  <c:v>44182</c:v>
                </c:pt>
                <c:pt idx="250">
                  <c:v>44183</c:v>
                </c:pt>
                <c:pt idx="251">
                  <c:v>44186</c:v>
                </c:pt>
                <c:pt idx="252">
                  <c:v>44187</c:v>
                </c:pt>
                <c:pt idx="253">
                  <c:v>44188</c:v>
                </c:pt>
                <c:pt idx="254">
                  <c:v>44189</c:v>
                </c:pt>
                <c:pt idx="255">
                  <c:v>44193</c:v>
                </c:pt>
                <c:pt idx="256">
                  <c:v>44194</c:v>
                </c:pt>
                <c:pt idx="257">
                  <c:v>44195</c:v>
                </c:pt>
                <c:pt idx="258">
                  <c:v>44196</c:v>
                </c:pt>
                <c:pt idx="259">
                  <c:v>44200</c:v>
                </c:pt>
                <c:pt idx="260">
                  <c:v>44201</c:v>
                </c:pt>
                <c:pt idx="261">
                  <c:v>44202</c:v>
                </c:pt>
                <c:pt idx="262">
                  <c:v>44203</c:v>
                </c:pt>
                <c:pt idx="263">
                  <c:v>44204</c:v>
                </c:pt>
                <c:pt idx="264">
                  <c:v>44207</c:v>
                </c:pt>
                <c:pt idx="265">
                  <c:v>44208</c:v>
                </c:pt>
                <c:pt idx="266">
                  <c:v>44209</c:v>
                </c:pt>
                <c:pt idx="267">
                  <c:v>44210</c:v>
                </c:pt>
                <c:pt idx="268">
                  <c:v>44211</c:v>
                </c:pt>
                <c:pt idx="269">
                  <c:v>44214</c:v>
                </c:pt>
                <c:pt idx="270">
                  <c:v>44215</c:v>
                </c:pt>
                <c:pt idx="271">
                  <c:v>44216</c:v>
                </c:pt>
                <c:pt idx="272">
                  <c:v>44217</c:v>
                </c:pt>
                <c:pt idx="273">
                  <c:v>44218</c:v>
                </c:pt>
                <c:pt idx="274">
                  <c:v>44221</c:v>
                </c:pt>
                <c:pt idx="275">
                  <c:v>44222</c:v>
                </c:pt>
                <c:pt idx="276">
                  <c:v>44223</c:v>
                </c:pt>
                <c:pt idx="277">
                  <c:v>44224</c:v>
                </c:pt>
                <c:pt idx="278">
                  <c:v>44225</c:v>
                </c:pt>
                <c:pt idx="279">
                  <c:v>44228</c:v>
                </c:pt>
                <c:pt idx="280">
                  <c:v>44229</c:v>
                </c:pt>
                <c:pt idx="281">
                  <c:v>44230</c:v>
                </c:pt>
                <c:pt idx="282">
                  <c:v>44231</c:v>
                </c:pt>
                <c:pt idx="283">
                  <c:v>44232</c:v>
                </c:pt>
                <c:pt idx="284">
                  <c:v>44235</c:v>
                </c:pt>
                <c:pt idx="285">
                  <c:v>44236</c:v>
                </c:pt>
                <c:pt idx="286">
                  <c:v>44237</c:v>
                </c:pt>
                <c:pt idx="287">
                  <c:v>44238</c:v>
                </c:pt>
                <c:pt idx="288">
                  <c:v>44239</c:v>
                </c:pt>
                <c:pt idx="289">
                  <c:v>44242</c:v>
                </c:pt>
                <c:pt idx="290">
                  <c:v>44243</c:v>
                </c:pt>
                <c:pt idx="291">
                  <c:v>44244</c:v>
                </c:pt>
                <c:pt idx="292">
                  <c:v>44245</c:v>
                </c:pt>
                <c:pt idx="293">
                  <c:v>44246</c:v>
                </c:pt>
                <c:pt idx="294">
                  <c:v>44249</c:v>
                </c:pt>
                <c:pt idx="295">
                  <c:v>44250</c:v>
                </c:pt>
                <c:pt idx="296">
                  <c:v>44251</c:v>
                </c:pt>
                <c:pt idx="297">
                  <c:v>44252</c:v>
                </c:pt>
                <c:pt idx="298">
                  <c:v>44253</c:v>
                </c:pt>
                <c:pt idx="299">
                  <c:v>44256</c:v>
                </c:pt>
                <c:pt idx="300">
                  <c:v>44257</c:v>
                </c:pt>
                <c:pt idx="301">
                  <c:v>44258</c:v>
                </c:pt>
                <c:pt idx="302">
                  <c:v>44259</c:v>
                </c:pt>
                <c:pt idx="303">
                  <c:v>44260</c:v>
                </c:pt>
                <c:pt idx="304">
                  <c:v>44263</c:v>
                </c:pt>
                <c:pt idx="305">
                  <c:v>44264</c:v>
                </c:pt>
                <c:pt idx="306">
                  <c:v>44265</c:v>
                </c:pt>
                <c:pt idx="307">
                  <c:v>44266</c:v>
                </c:pt>
                <c:pt idx="308">
                  <c:v>44267</c:v>
                </c:pt>
                <c:pt idx="309">
                  <c:v>44270</c:v>
                </c:pt>
                <c:pt idx="310">
                  <c:v>44271</c:v>
                </c:pt>
                <c:pt idx="311">
                  <c:v>44272</c:v>
                </c:pt>
                <c:pt idx="312">
                  <c:v>44273</c:v>
                </c:pt>
                <c:pt idx="313">
                  <c:v>44274</c:v>
                </c:pt>
                <c:pt idx="314">
                  <c:v>44277</c:v>
                </c:pt>
                <c:pt idx="315">
                  <c:v>44278</c:v>
                </c:pt>
                <c:pt idx="316">
                  <c:v>44279</c:v>
                </c:pt>
                <c:pt idx="317">
                  <c:v>44280</c:v>
                </c:pt>
                <c:pt idx="318">
                  <c:v>44281</c:v>
                </c:pt>
                <c:pt idx="319">
                  <c:v>44284</c:v>
                </c:pt>
                <c:pt idx="320">
                  <c:v>44285</c:v>
                </c:pt>
                <c:pt idx="321">
                  <c:v>44286</c:v>
                </c:pt>
                <c:pt idx="322">
                  <c:v>44287</c:v>
                </c:pt>
                <c:pt idx="323">
                  <c:v>44288</c:v>
                </c:pt>
                <c:pt idx="324">
                  <c:v>44291</c:v>
                </c:pt>
                <c:pt idx="325">
                  <c:v>44292</c:v>
                </c:pt>
                <c:pt idx="326">
                  <c:v>44293</c:v>
                </c:pt>
                <c:pt idx="327">
                  <c:v>44294</c:v>
                </c:pt>
                <c:pt idx="328">
                  <c:v>44295</c:v>
                </c:pt>
                <c:pt idx="329">
                  <c:v>44298</c:v>
                </c:pt>
                <c:pt idx="330">
                  <c:v>44299</c:v>
                </c:pt>
                <c:pt idx="331">
                  <c:v>44300</c:v>
                </c:pt>
                <c:pt idx="332">
                  <c:v>44301</c:v>
                </c:pt>
                <c:pt idx="333">
                  <c:v>44302</c:v>
                </c:pt>
                <c:pt idx="334">
                  <c:v>44305</c:v>
                </c:pt>
                <c:pt idx="335">
                  <c:v>44306</c:v>
                </c:pt>
                <c:pt idx="336">
                  <c:v>44307</c:v>
                </c:pt>
                <c:pt idx="337">
                  <c:v>44308</c:v>
                </c:pt>
                <c:pt idx="338">
                  <c:v>44309</c:v>
                </c:pt>
                <c:pt idx="339">
                  <c:v>44312</c:v>
                </c:pt>
                <c:pt idx="340">
                  <c:v>44313</c:v>
                </c:pt>
                <c:pt idx="341">
                  <c:v>44314</c:v>
                </c:pt>
                <c:pt idx="342">
                  <c:v>44315</c:v>
                </c:pt>
                <c:pt idx="343">
                  <c:v>44316</c:v>
                </c:pt>
                <c:pt idx="344">
                  <c:v>44319</c:v>
                </c:pt>
                <c:pt idx="345">
                  <c:v>44320</c:v>
                </c:pt>
                <c:pt idx="346">
                  <c:v>44321</c:v>
                </c:pt>
                <c:pt idx="347">
                  <c:v>44322</c:v>
                </c:pt>
                <c:pt idx="348">
                  <c:v>44323</c:v>
                </c:pt>
                <c:pt idx="349">
                  <c:v>44326</c:v>
                </c:pt>
                <c:pt idx="350">
                  <c:v>44327</c:v>
                </c:pt>
                <c:pt idx="351">
                  <c:v>44328</c:v>
                </c:pt>
                <c:pt idx="352">
                  <c:v>44329</c:v>
                </c:pt>
                <c:pt idx="353">
                  <c:v>44330</c:v>
                </c:pt>
                <c:pt idx="354">
                  <c:v>44333</c:v>
                </c:pt>
                <c:pt idx="355">
                  <c:v>44334</c:v>
                </c:pt>
                <c:pt idx="356">
                  <c:v>44335</c:v>
                </c:pt>
                <c:pt idx="357">
                  <c:v>44336</c:v>
                </c:pt>
                <c:pt idx="358">
                  <c:v>44337</c:v>
                </c:pt>
                <c:pt idx="359">
                  <c:v>44340</c:v>
                </c:pt>
                <c:pt idx="360">
                  <c:v>44341</c:v>
                </c:pt>
                <c:pt idx="361">
                  <c:v>44342</c:v>
                </c:pt>
                <c:pt idx="362">
                  <c:v>44343</c:v>
                </c:pt>
                <c:pt idx="363">
                  <c:v>44344</c:v>
                </c:pt>
                <c:pt idx="364">
                  <c:v>44347</c:v>
                </c:pt>
                <c:pt idx="365">
                  <c:v>44348</c:v>
                </c:pt>
                <c:pt idx="366">
                  <c:v>44349</c:v>
                </c:pt>
                <c:pt idx="367">
                  <c:v>44350</c:v>
                </c:pt>
                <c:pt idx="368">
                  <c:v>44351</c:v>
                </c:pt>
                <c:pt idx="369">
                  <c:v>44354</c:v>
                </c:pt>
                <c:pt idx="370">
                  <c:v>44355</c:v>
                </c:pt>
                <c:pt idx="371">
                  <c:v>44356</c:v>
                </c:pt>
                <c:pt idx="372">
                  <c:v>44357</c:v>
                </c:pt>
                <c:pt idx="373">
                  <c:v>44358</c:v>
                </c:pt>
                <c:pt idx="374">
                  <c:v>44361</c:v>
                </c:pt>
                <c:pt idx="375">
                  <c:v>44362</c:v>
                </c:pt>
                <c:pt idx="376">
                  <c:v>44363</c:v>
                </c:pt>
                <c:pt idx="377">
                  <c:v>44364</c:v>
                </c:pt>
                <c:pt idx="378">
                  <c:v>44365</c:v>
                </c:pt>
                <c:pt idx="379">
                  <c:v>44368</c:v>
                </c:pt>
                <c:pt idx="380">
                  <c:v>44369</c:v>
                </c:pt>
                <c:pt idx="381">
                  <c:v>44370</c:v>
                </c:pt>
                <c:pt idx="382">
                  <c:v>44371</c:v>
                </c:pt>
                <c:pt idx="383">
                  <c:v>44372</c:v>
                </c:pt>
                <c:pt idx="384">
                  <c:v>44375</c:v>
                </c:pt>
                <c:pt idx="385">
                  <c:v>44376</c:v>
                </c:pt>
                <c:pt idx="386">
                  <c:v>44377</c:v>
                </c:pt>
                <c:pt idx="387">
                  <c:v>44378</c:v>
                </c:pt>
                <c:pt idx="388">
                  <c:v>44379</c:v>
                </c:pt>
                <c:pt idx="389">
                  <c:v>44382</c:v>
                </c:pt>
                <c:pt idx="390">
                  <c:v>44383</c:v>
                </c:pt>
                <c:pt idx="391">
                  <c:v>44384</c:v>
                </c:pt>
                <c:pt idx="392">
                  <c:v>44385</c:v>
                </c:pt>
                <c:pt idx="393">
                  <c:v>44386</c:v>
                </c:pt>
                <c:pt idx="394">
                  <c:v>44389</c:v>
                </c:pt>
                <c:pt idx="395">
                  <c:v>44390</c:v>
                </c:pt>
                <c:pt idx="396">
                  <c:v>44391</c:v>
                </c:pt>
                <c:pt idx="397">
                  <c:v>44392</c:v>
                </c:pt>
                <c:pt idx="398">
                  <c:v>44393</c:v>
                </c:pt>
                <c:pt idx="399">
                  <c:v>44396</c:v>
                </c:pt>
                <c:pt idx="400">
                  <c:v>44397</c:v>
                </c:pt>
                <c:pt idx="401">
                  <c:v>44398</c:v>
                </c:pt>
                <c:pt idx="402">
                  <c:v>44399</c:v>
                </c:pt>
                <c:pt idx="403">
                  <c:v>44400</c:v>
                </c:pt>
                <c:pt idx="404">
                  <c:v>44403</c:v>
                </c:pt>
                <c:pt idx="405">
                  <c:v>44404</c:v>
                </c:pt>
                <c:pt idx="406">
                  <c:v>44405</c:v>
                </c:pt>
                <c:pt idx="407">
                  <c:v>44406</c:v>
                </c:pt>
                <c:pt idx="408">
                  <c:v>44407</c:v>
                </c:pt>
                <c:pt idx="409">
                  <c:v>44410</c:v>
                </c:pt>
                <c:pt idx="410">
                  <c:v>44411</c:v>
                </c:pt>
                <c:pt idx="411">
                  <c:v>44412</c:v>
                </c:pt>
                <c:pt idx="412">
                  <c:v>44413</c:v>
                </c:pt>
                <c:pt idx="413">
                  <c:v>44414</c:v>
                </c:pt>
                <c:pt idx="414">
                  <c:v>44417</c:v>
                </c:pt>
                <c:pt idx="415">
                  <c:v>44418</c:v>
                </c:pt>
                <c:pt idx="416">
                  <c:v>44419</c:v>
                </c:pt>
                <c:pt idx="417">
                  <c:v>44420</c:v>
                </c:pt>
                <c:pt idx="418">
                  <c:v>44421</c:v>
                </c:pt>
                <c:pt idx="419">
                  <c:v>44424</c:v>
                </c:pt>
                <c:pt idx="420">
                  <c:v>44425</c:v>
                </c:pt>
                <c:pt idx="421">
                  <c:v>44426</c:v>
                </c:pt>
                <c:pt idx="422">
                  <c:v>44427</c:v>
                </c:pt>
                <c:pt idx="423">
                  <c:v>44428</c:v>
                </c:pt>
                <c:pt idx="424">
                  <c:v>44431</c:v>
                </c:pt>
                <c:pt idx="425">
                  <c:v>44432</c:v>
                </c:pt>
                <c:pt idx="426">
                  <c:v>44433</c:v>
                </c:pt>
                <c:pt idx="427">
                  <c:v>44434</c:v>
                </c:pt>
                <c:pt idx="428">
                  <c:v>44435</c:v>
                </c:pt>
                <c:pt idx="429">
                  <c:v>44438</c:v>
                </c:pt>
                <c:pt idx="430">
                  <c:v>44439</c:v>
                </c:pt>
                <c:pt idx="431">
                  <c:v>44440</c:v>
                </c:pt>
                <c:pt idx="432">
                  <c:v>44441</c:v>
                </c:pt>
                <c:pt idx="433">
                  <c:v>44442</c:v>
                </c:pt>
                <c:pt idx="434">
                  <c:v>44445</c:v>
                </c:pt>
                <c:pt idx="435">
                  <c:v>44446</c:v>
                </c:pt>
                <c:pt idx="436">
                  <c:v>44447</c:v>
                </c:pt>
                <c:pt idx="437">
                  <c:v>44448</c:v>
                </c:pt>
                <c:pt idx="438">
                  <c:v>44449</c:v>
                </c:pt>
                <c:pt idx="439">
                  <c:v>44452</c:v>
                </c:pt>
                <c:pt idx="440">
                  <c:v>44453</c:v>
                </c:pt>
                <c:pt idx="441">
                  <c:v>44454</c:v>
                </c:pt>
                <c:pt idx="442">
                  <c:v>44455</c:v>
                </c:pt>
                <c:pt idx="443">
                  <c:v>44456</c:v>
                </c:pt>
                <c:pt idx="444">
                  <c:v>44459</c:v>
                </c:pt>
                <c:pt idx="445">
                  <c:v>44460</c:v>
                </c:pt>
                <c:pt idx="446">
                  <c:v>44461</c:v>
                </c:pt>
                <c:pt idx="447">
                  <c:v>44462</c:v>
                </c:pt>
                <c:pt idx="448">
                  <c:v>44463</c:v>
                </c:pt>
                <c:pt idx="449">
                  <c:v>44466</c:v>
                </c:pt>
                <c:pt idx="450">
                  <c:v>44467</c:v>
                </c:pt>
                <c:pt idx="451">
                  <c:v>44468</c:v>
                </c:pt>
                <c:pt idx="452">
                  <c:v>44469</c:v>
                </c:pt>
                <c:pt idx="453">
                  <c:v>44470</c:v>
                </c:pt>
                <c:pt idx="454">
                  <c:v>44473</c:v>
                </c:pt>
                <c:pt idx="455">
                  <c:v>44474</c:v>
                </c:pt>
                <c:pt idx="456">
                  <c:v>44475</c:v>
                </c:pt>
                <c:pt idx="457">
                  <c:v>44476</c:v>
                </c:pt>
                <c:pt idx="458">
                  <c:v>44477</c:v>
                </c:pt>
                <c:pt idx="459">
                  <c:v>44480</c:v>
                </c:pt>
                <c:pt idx="460">
                  <c:v>44481</c:v>
                </c:pt>
                <c:pt idx="461">
                  <c:v>44482</c:v>
                </c:pt>
                <c:pt idx="462">
                  <c:v>44483</c:v>
                </c:pt>
                <c:pt idx="463">
                  <c:v>44484</c:v>
                </c:pt>
                <c:pt idx="464">
                  <c:v>44487</c:v>
                </c:pt>
                <c:pt idx="465">
                  <c:v>44488</c:v>
                </c:pt>
                <c:pt idx="466">
                  <c:v>44489</c:v>
                </c:pt>
                <c:pt idx="467">
                  <c:v>44490</c:v>
                </c:pt>
                <c:pt idx="468">
                  <c:v>44491</c:v>
                </c:pt>
                <c:pt idx="469">
                  <c:v>44494</c:v>
                </c:pt>
                <c:pt idx="470">
                  <c:v>44495</c:v>
                </c:pt>
                <c:pt idx="471">
                  <c:v>44496</c:v>
                </c:pt>
                <c:pt idx="472">
                  <c:v>44497</c:v>
                </c:pt>
                <c:pt idx="473">
                  <c:v>44498</c:v>
                </c:pt>
                <c:pt idx="474">
                  <c:v>44501</c:v>
                </c:pt>
                <c:pt idx="475">
                  <c:v>44502</c:v>
                </c:pt>
                <c:pt idx="476">
                  <c:v>44503</c:v>
                </c:pt>
                <c:pt idx="477">
                  <c:v>44504</c:v>
                </c:pt>
                <c:pt idx="478">
                  <c:v>44505</c:v>
                </c:pt>
                <c:pt idx="479">
                  <c:v>44508</c:v>
                </c:pt>
                <c:pt idx="480">
                  <c:v>44509</c:v>
                </c:pt>
                <c:pt idx="481">
                  <c:v>44510</c:v>
                </c:pt>
                <c:pt idx="482">
                  <c:v>44511</c:v>
                </c:pt>
                <c:pt idx="483">
                  <c:v>44512</c:v>
                </c:pt>
                <c:pt idx="484">
                  <c:v>44515</c:v>
                </c:pt>
                <c:pt idx="485">
                  <c:v>44516</c:v>
                </c:pt>
                <c:pt idx="486">
                  <c:v>44517</c:v>
                </c:pt>
                <c:pt idx="487">
                  <c:v>44518</c:v>
                </c:pt>
                <c:pt idx="488">
                  <c:v>44519</c:v>
                </c:pt>
                <c:pt idx="489">
                  <c:v>44522</c:v>
                </c:pt>
                <c:pt idx="490">
                  <c:v>44523</c:v>
                </c:pt>
                <c:pt idx="491">
                  <c:v>44524</c:v>
                </c:pt>
                <c:pt idx="492">
                  <c:v>44525</c:v>
                </c:pt>
                <c:pt idx="493">
                  <c:v>44526</c:v>
                </c:pt>
                <c:pt idx="494">
                  <c:v>44529</c:v>
                </c:pt>
                <c:pt idx="495">
                  <c:v>44530</c:v>
                </c:pt>
                <c:pt idx="496">
                  <c:v>44531</c:v>
                </c:pt>
                <c:pt idx="497">
                  <c:v>44532</c:v>
                </c:pt>
                <c:pt idx="498">
                  <c:v>44533</c:v>
                </c:pt>
                <c:pt idx="499">
                  <c:v>44536</c:v>
                </c:pt>
                <c:pt idx="500">
                  <c:v>44537</c:v>
                </c:pt>
                <c:pt idx="501">
                  <c:v>44538</c:v>
                </c:pt>
                <c:pt idx="502">
                  <c:v>44539</c:v>
                </c:pt>
                <c:pt idx="503">
                  <c:v>44540</c:v>
                </c:pt>
                <c:pt idx="504">
                  <c:v>44543</c:v>
                </c:pt>
                <c:pt idx="505">
                  <c:v>44544</c:v>
                </c:pt>
                <c:pt idx="506">
                  <c:v>44545</c:v>
                </c:pt>
                <c:pt idx="507">
                  <c:v>44546</c:v>
                </c:pt>
                <c:pt idx="508">
                  <c:v>44547</c:v>
                </c:pt>
                <c:pt idx="509">
                  <c:v>44550</c:v>
                </c:pt>
                <c:pt idx="510">
                  <c:v>44551</c:v>
                </c:pt>
                <c:pt idx="511">
                  <c:v>44552</c:v>
                </c:pt>
                <c:pt idx="512">
                  <c:v>44553</c:v>
                </c:pt>
                <c:pt idx="513">
                  <c:v>44557</c:v>
                </c:pt>
                <c:pt idx="514">
                  <c:v>44558</c:v>
                </c:pt>
                <c:pt idx="515">
                  <c:v>44559</c:v>
                </c:pt>
                <c:pt idx="516">
                  <c:v>44560</c:v>
                </c:pt>
                <c:pt idx="517">
                  <c:v>44561</c:v>
                </c:pt>
                <c:pt idx="518">
                  <c:v>44564</c:v>
                </c:pt>
                <c:pt idx="519">
                  <c:v>44565</c:v>
                </c:pt>
                <c:pt idx="520">
                  <c:v>44566</c:v>
                </c:pt>
                <c:pt idx="521">
                  <c:v>44567</c:v>
                </c:pt>
                <c:pt idx="522">
                  <c:v>44568</c:v>
                </c:pt>
                <c:pt idx="523">
                  <c:v>44571</c:v>
                </c:pt>
                <c:pt idx="524">
                  <c:v>44572</c:v>
                </c:pt>
                <c:pt idx="525">
                  <c:v>44573</c:v>
                </c:pt>
                <c:pt idx="526">
                  <c:v>44574</c:v>
                </c:pt>
                <c:pt idx="527">
                  <c:v>44575</c:v>
                </c:pt>
                <c:pt idx="528">
                  <c:v>44578</c:v>
                </c:pt>
                <c:pt idx="529">
                  <c:v>44579</c:v>
                </c:pt>
                <c:pt idx="530">
                  <c:v>44580</c:v>
                </c:pt>
                <c:pt idx="531">
                  <c:v>44581</c:v>
                </c:pt>
                <c:pt idx="532">
                  <c:v>44582</c:v>
                </c:pt>
                <c:pt idx="533">
                  <c:v>44585</c:v>
                </c:pt>
                <c:pt idx="534">
                  <c:v>44586</c:v>
                </c:pt>
                <c:pt idx="535">
                  <c:v>44587</c:v>
                </c:pt>
                <c:pt idx="536">
                  <c:v>44588</c:v>
                </c:pt>
                <c:pt idx="537">
                  <c:v>44589</c:v>
                </c:pt>
                <c:pt idx="538">
                  <c:v>44592</c:v>
                </c:pt>
                <c:pt idx="539">
                  <c:v>44593</c:v>
                </c:pt>
                <c:pt idx="540">
                  <c:v>44594</c:v>
                </c:pt>
                <c:pt idx="541">
                  <c:v>44595</c:v>
                </c:pt>
                <c:pt idx="542">
                  <c:v>44596</c:v>
                </c:pt>
                <c:pt idx="543">
                  <c:v>44599</c:v>
                </c:pt>
                <c:pt idx="544">
                  <c:v>44600</c:v>
                </c:pt>
                <c:pt idx="545">
                  <c:v>44601</c:v>
                </c:pt>
                <c:pt idx="546">
                  <c:v>44602</c:v>
                </c:pt>
                <c:pt idx="547">
                  <c:v>44603</c:v>
                </c:pt>
                <c:pt idx="548">
                  <c:v>44606</c:v>
                </c:pt>
                <c:pt idx="549">
                  <c:v>44607</c:v>
                </c:pt>
                <c:pt idx="550">
                  <c:v>44608</c:v>
                </c:pt>
                <c:pt idx="551">
                  <c:v>44609</c:v>
                </c:pt>
                <c:pt idx="552">
                  <c:v>44610</c:v>
                </c:pt>
                <c:pt idx="553">
                  <c:v>44613</c:v>
                </c:pt>
                <c:pt idx="554">
                  <c:v>44614</c:v>
                </c:pt>
                <c:pt idx="555">
                  <c:v>44615</c:v>
                </c:pt>
                <c:pt idx="556">
                  <c:v>44616</c:v>
                </c:pt>
                <c:pt idx="557">
                  <c:v>44617</c:v>
                </c:pt>
                <c:pt idx="558">
                  <c:v>44620</c:v>
                </c:pt>
                <c:pt idx="559">
                  <c:v>44621</c:v>
                </c:pt>
                <c:pt idx="560">
                  <c:v>44622</c:v>
                </c:pt>
                <c:pt idx="561">
                  <c:v>44623</c:v>
                </c:pt>
                <c:pt idx="562">
                  <c:v>44624</c:v>
                </c:pt>
                <c:pt idx="563">
                  <c:v>44627</c:v>
                </c:pt>
                <c:pt idx="564">
                  <c:v>44628</c:v>
                </c:pt>
                <c:pt idx="565">
                  <c:v>44629</c:v>
                </c:pt>
                <c:pt idx="566">
                  <c:v>44630</c:v>
                </c:pt>
                <c:pt idx="567">
                  <c:v>44631</c:v>
                </c:pt>
                <c:pt idx="568">
                  <c:v>44634</c:v>
                </c:pt>
                <c:pt idx="569">
                  <c:v>44635</c:v>
                </c:pt>
                <c:pt idx="570">
                  <c:v>44636</c:v>
                </c:pt>
                <c:pt idx="571">
                  <c:v>44637</c:v>
                </c:pt>
                <c:pt idx="572">
                  <c:v>44638</c:v>
                </c:pt>
                <c:pt idx="573">
                  <c:v>44641</c:v>
                </c:pt>
                <c:pt idx="574">
                  <c:v>44642</c:v>
                </c:pt>
                <c:pt idx="575">
                  <c:v>44643</c:v>
                </c:pt>
                <c:pt idx="576">
                  <c:v>44644</c:v>
                </c:pt>
                <c:pt idx="577">
                  <c:v>44645</c:v>
                </c:pt>
                <c:pt idx="578">
                  <c:v>44648</c:v>
                </c:pt>
                <c:pt idx="579">
                  <c:v>44649</c:v>
                </c:pt>
                <c:pt idx="580">
                  <c:v>44650</c:v>
                </c:pt>
                <c:pt idx="581">
                  <c:v>44651</c:v>
                </c:pt>
                <c:pt idx="582">
                  <c:v>44652</c:v>
                </c:pt>
                <c:pt idx="583">
                  <c:v>44655</c:v>
                </c:pt>
                <c:pt idx="584">
                  <c:v>44656</c:v>
                </c:pt>
                <c:pt idx="585">
                  <c:v>44657</c:v>
                </c:pt>
                <c:pt idx="586">
                  <c:v>44658</c:v>
                </c:pt>
                <c:pt idx="587">
                  <c:v>44659</c:v>
                </c:pt>
                <c:pt idx="588">
                  <c:v>44662</c:v>
                </c:pt>
                <c:pt idx="589">
                  <c:v>44663</c:v>
                </c:pt>
                <c:pt idx="590">
                  <c:v>44664</c:v>
                </c:pt>
                <c:pt idx="591">
                  <c:v>44665</c:v>
                </c:pt>
                <c:pt idx="592">
                  <c:v>44669</c:v>
                </c:pt>
                <c:pt idx="593">
                  <c:v>44670</c:v>
                </c:pt>
                <c:pt idx="594">
                  <c:v>44671</c:v>
                </c:pt>
                <c:pt idx="595">
                  <c:v>44672</c:v>
                </c:pt>
                <c:pt idx="596">
                  <c:v>44673</c:v>
                </c:pt>
                <c:pt idx="597">
                  <c:v>44676</c:v>
                </c:pt>
                <c:pt idx="598">
                  <c:v>44677</c:v>
                </c:pt>
                <c:pt idx="599">
                  <c:v>44678</c:v>
                </c:pt>
                <c:pt idx="600">
                  <c:v>44679</c:v>
                </c:pt>
                <c:pt idx="601">
                  <c:v>44680</c:v>
                </c:pt>
                <c:pt idx="602">
                  <c:v>44683</c:v>
                </c:pt>
                <c:pt idx="603">
                  <c:v>44684</c:v>
                </c:pt>
                <c:pt idx="604">
                  <c:v>44685</c:v>
                </c:pt>
                <c:pt idx="605">
                  <c:v>44686</c:v>
                </c:pt>
                <c:pt idx="606">
                  <c:v>44687</c:v>
                </c:pt>
                <c:pt idx="607">
                  <c:v>44690</c:v>
                </c:pt>
                <c:pt idx="608">
                  <c:v>44691</c:v>
                </c:pt>
                <c:pt idx="609">
                  <c:v>44692</c:v>
                </c:pt>
                <c:pt idx="610">
                  <c:v>44693</c:v>
                </c:pt>
                <c:pt idx="611">
                  <c:v>44694</c:v>
                </c:pt>
                <c:pt idx="612">
                  <c:v>44697</c:v>
                </c:pt>
                <c:pt idx="613">
                  <c:v>44698</c:v>
                </c:pt>
                <c:pt idx="614">
                  <c:v>44699</c:v>
                </c:pt>
                <c:pt idx="615">
                  <c:v>44700</c:v>
                </c:pt>
                <c:pt idx="616">
                  <c:v>44701</c:v>
                </c:pt>
                <c:pt idx="617">
                  <c:v>44704</c:v>
                </c:pt>
                <c:pt idx="618">
                  <c:v>44705</c:v>
                </c:pt>
                <c:pt idx="619">
                  <c:v>44706</c:v>
                </c:pt>
                <c:pt idx="620">
                  <c:v>44707</c:v>
                </c:pt>
                <c:pt idx="621">
                  <c:v>44708</c:v>
                </c:pt>
                <c:pt idx="622">
                  <c:v>44711</c:v>
                </c:pt>
                <c:pt idx="623">
                  <c:v>44712</c:v>
                </c:pt>
                <c:pt idx="624">
                  <c:v>44713</c:v>
                </c:pt>
                <c:pt idx="625">
                  <c:v>44714</c:v>
                </c:pt>
                <c:pt idx="626">
                  <c:v>44715</c:v>
                </c:pt>
                <c:pt idx="627">
                  <c:v>44718</c:v>
                </c:pt>
                <c:pt idx="628">
                  <c:v>44719</c:v>
                </c:pt>
                <c:pt idx="629">
                  <c:v>44720</c:v>
                </c:pt>
                <c:pt idx="630">
                  <c:v>44721</c:v>
                </c:pt>
                <c:pt idx="631">
                  <c:v>44722</c:v>
                </c:pt>
                <c:pt idx="632">
                  <c:v>44725</c:v>
                </c:pt>
                <c:pt idx="633">
                  <c:v>44726</c:v>
                </c:pt>
                <c:pt idx="634">
                  <c:v>44727</c:v>
                </c:pt>
                <c:pt idx="635">
                  <c:v>44728</c:v>
                </c:pt>
                <c:pt idx="636">
                  <c:v>44729</c:v>
                </c:pt>
                <c:pt idx="637">
                  <c:v>44732</c:v>
                </c:pt>
                <c:pt idx="638">
                  <c:v>44733</c:v>
                </c:pt>
                <c:pt idx="639">
                  <c:v>44734</c:v>
                </c:pt>
                <c:pt idx="640">
                  <c:v>44735</c:v>
                </c:pt>
                <c:pt idx="641">
                  <c:v>44736</c:v>
                </c:pt>
                <c:pt idx="642">
                  <c:v>44739</c:v>
                </c:pt>
                <c:pt idx="643">
                  <c:v>44740</c:v>
                </c:pt>
                <c:pt idx="644">
                  <c:v>44741</c:v>
                </c:pt>
                <c:pt idx="645">
                  <c:v>44742</c:v>
                </c:pt>
                <c:pt idx="646">
                  <c:v>44743</c:v>
                </c:pt>
                <c:pt idx="647">
                  <c:v>44746</c:v>
                </c:pt>
                <c:pt idx="648">
                  <c:v>44747</c:v>
                </c:pt>
                <c:pt idx="649">
                  <c:v>44748</c:v>
                </c:pt>
                <c:pt idx="650">
                  <c:v>44749</c:v>
                </c:pt>
                <c:pt idx="651">
                  <c:v>44750</c:v>
                </c:pt>
                <c:pt idx="652">
                  <c:v>44753</c:v>
                </c:pt>
                <c:pt idx="653">
                  <c:v>44754</c:v>
                </c:pt>
                <c:pt idx="654">
                  <c:v>44755</c:v>
                </c:pt>
                <c:pt idx="655">
                  <c:v>44756</c:v>
                </c:pt>
                <c:pt idx="656">
                  <c:v>44757</c:v>
                </c:pt>
                <c:pt idx="657">
                  <c:v>44760</c:v>
                </c:pt>
                <c:pt idx="658">
                  <c:v>44761</c:v>
                </c:pt>
                <c:pt idx="659">
                  <c:v>44762</c:v>
                </c:pt>
                <c:pt idx="660">
                  <c:v>44763</c:v>
                </c:pt>
                <c:pt idx="661">
                  <c:v>44764</c:v>
                </c:pt>
                <c:pt idx="662">
                  <c:v>44767</c:v>
                </c:pt>
                <c:pt idx="663">
                  <c:v>44768</c:v>
                </c:pt>
                <c:pt idx="664">
                  <c:v>44769</c:v>
                </c:pt>
                <c:pt idx="665">
                  <c:v>44770</c:v>
                </c:pt>
                <c:pt idx="666">
                  <c:v>44771</c:v>
                </c:pt>
                <c:pt idx="667">
                  <c:v>44774</c:v>
                </c:pt>
                <c:pt idx="668">
                  <c:v>44775</c:v>
                </c:pt>
                <c:pt idx="669">
                  <c:v>44776</c:v>
                </c:pt>
                <c:pt idx="670">
                  <c:v>44777</c:v>
                </c:pt>
                <c:pt idx="671">
                  <c:v>44778</c:v>
                </c:pt>
                <c:pt idx="672">
                  <c:v>44781</c:v>
                </c:pt>
                <c:pt idx="673">
                  <c:v>44782</c:v>
                </c:pt>
                <c:pt idx="674">
                  <c:v>44783</c:v>
                </c:pt>
                <c:pt idx="675">
                  <c:v>44784</c:v>
                </c:pt>
                <c:pt idx="676">
                  <c:v>44785</c:v>
                </c:pt>
                <c:pt idx="677">
                  <c:v>44788</c:v>
                </c:pt>
                <c:pt idx="678">
                  <c:v>44789</c:v>
                </c:pt>
                <c:pt idx="679">
                  <c:v>44790</c:v>
                </c:pt>
                <c:pt idx="680">
                  <c:v>44791</c:v>
                </c:pt>
                <c:pt idx="681">
                  <c:v>44792</c:v>
                </c:pt>
                <c:pt idx="682">
                  <c:v>44795</c:v>
                </c:pt>
                <c:pt idx="683">
                  <c:v>44796</c:v>
                </c:pt>
                <c:pt idx="684">
                  <c:v>44797</c:v>
                </c:pt>
                <c:pt idx="685">
                  <c:v>44798</c:v>
                </c:pt>
                <c:pt idx="686">
                  <c:v>44799</c:v>
                </c:pt>
                <c:pt idx="687">
                  <c:v>44802</c:v>
                </c:pt>
                <c:pt idx="688">
                  <c:v>44803</c:v>
                </c:pt>
                <c:pt idx="689">
                  <c:v>44804</c:v>
                </c:pt>
                <c:pt idx="690">
                  <c:v>44805</c:v>
                </c:pt>
                <c:pt idx="691">
                  <c:v>44806</c:v>
                </c:pt>
                <c:pt idx="692">
                  <c:v>44809</c:v>
                </c:pt>
                <c:pt idx="693">
                  <c:v>44810</c:v>
                </c:pt>
                <c:pt idx="694">
                  <c:v>44811</c:v>
                </c:pt>
                <c:pt idx="695">
                  <c:v>44812</c:v>
                </c:pt>
                <c:pt idx="696">
                  <c:v>44813</c:v>
                </c:pt>
                <c:pt idx="697">
                  <c:v>44816</c:v>
                </c:pt>
                <c:pt idx="698">
                  <c:v>44817</c:v>
                </c:pt>
                <c:pt idx="699">
                  <c:v>44818</c:v>
                </c:pt>
                <c:pt idx="700">
                  <c:v>44819</c:v>
                </c:pt>
                <c:pt idx="701">
                  <c:v>44820</c:v>
                </c:pt>
                <c:pt idx="702">
                  <c:v>44823</c:v>
                </c:pt>
                <c:pt idx="703">
                  <c:v>44824</c:v>
                </c:pt>
                <c:pt idx="704">
                  <c:v>44825</c:v>
                </c:pt>
                <c:pt idx="705">
                  <c:v>44826</c:v>
                </c:pt>
                <c:pt idx="706">
                  <c:v>44827</c:v>
                </c:pt>
                <c:pt idx="707">
                  <c:v>44830</c:v>
                </c:pt>
                <c:pt idx="708">
                  <c:v>44831</c:v>
                </c:pt>
                <c:pt idx="709">
                  <c:v>44832</c:v>
                </c:pt>
                <c:pt idx="710">
                  <c:v>44833</c:v>
                </c:pt>
                <c:pt idx="711">
                  <c:v>44834</c:v>
                </c:pt>
                <c:pt idx="712">
                  <c:v>44837</c:v>
                </c:pt>
                <c:pt idx="713">
                  <c:v>44838</c:v>
                </c:pt>
                <c:pt idx="714">
                  <c:v>44839</c:v>
                </c:pt>
                <c:pt idx="715">
                  <c:v>44840</c:v>
                </c:pt>
                <c:pt idx="716">
                  <c:v>44841</c:v>
                </c:pt>
                <c:pt idx="717">
                  <c:v>44844</c:v>
                </c:pt>
                <c:pt idx="718">
                  <c:v>44845</c:v>
                </c:pt>
                <c:pt idx="719">
                  <c:v>44846</c:v>
                </c:pt>
                <c:pt idx="720">
                  <c:v>44847</c:v>
                </c:pt>
                <c:pt idx="721">
                  <c:v>44848</c:v>
                </c:pt>
                <c:pt idx="722">
                  <c:v>44851</c:v>
                </c:pt>
                <c:pt idx="723">
                  <c:v>44852</c:v>
                </c:pt>
                <c:pt idx="724">
                  <c:v>44853</c:v>
                </c:pt>
                <c:pt idx="725">
                  <c:v>44854</c:v>
                </c:pt>
                <c:pt idx="726">
                  <c:v>44855</c:v>
                </c:pt>
                <c:pt idx="727">
                  <c:v>44858</c:v>
                </c:pt>
                <c:pt idx="728">
                  <c:v>44859</c:v>
                </c:pt>
                <c:pt idx="729">
                  <c:v>44860</c:v>
                </c:pt>
                <c:pt idx="730">
                  <c:v>44861</c:v>
                </c:pt>
                <c:pt idx="731">
                  <c:v>44862</c:v>
                </c:pt>
                <c:pt idx="732">
                  <c:v>44865</c:v>
                </c:pt>
                <c:pt idx="733">
                  <c:v>44866</c:v>
                </c:pt>
                <c:pt idx="734">
                  <c:v>44867</c:v>
                </c:pt>
                <c:pt idx="735">
                  <c:v>44868</c:v>
                </c:pt>
                <c:pt idx="736">
                  <c:v>44869</c:v>
                </c:pt>
                <c:pt idx="737">
                  <c:v>44872</c:v>
                </c:pt>
                <c:pt idx="738">
                  <c:v>44873</c:v>
                </c:pt>
                <c:pt idx="739">
                  <c:v>44874</c:v>
                </c:pt>
                <c:pt idx="740">
                  <c:v>44875</c:v>
                </c:pt>
                <c:pt idx="741">
                  <c:v>44876</c:v>
                </c:pt>
                <c:pt idx="742">
                  <c:v>44879</c:v>
                </c:pt>
                <c:pt idx="743">
                  <c:v>44880</c:v>
                </c:pt>
                <c:pt idx="744">
                  <c:v>44881</c:v>
                </c:pt>
                <c:pt idx="745">
                  <c:v>44882</c:v>
                </c:pt>
                <c:pt idx="746">
                  <c:v>44883</c:v>
                </c:pt>
                <c:pt idx="747">
                  <c:v>44886</c:v>
                </c:pt>
                <c:pt idx="748">
                  <c:v>44887</c:v>
                </c:pt>
                <c:pt idx="749">
                  <c:v>44888</c:v>
                </c:pt>
                <c:pt idx="750">
                  <c:v>44889</c:v>
                </c:pt>
                <c:pt idx="751">
                  <c:v>44890</c:v>
                </c:pt>
                <c:pt idx="752">
                  <c:v>44893</c:v>
                </c:pt>
                <c:pt idx="753">
                  <c:v>44894</c:v>
                </c:pt>
                <c:pt idx="754">
                  <c:v>44895</c:v>
                </c:pt>
                <c:pt idx="755">
                  <c:v>44896</c:v>
                </c:pt>
                <c:pt idx="756">
                  <c:v>44897</c:v>
                </c:pt>
                <c:pt idx="757">
                  <c:v>44900</c:v>
                </c:pt>
                <c:pt idx="758">
                  <c:v>44901</c:v>
                </c:pt>
                <c:pt idx="759">
                  <c:v>44902</c:v>
                </c:pt>
                <c:pt idx="760">
                  <c:v>44903</c:v>
                </c:pt>
                <c:pt idx="761">
                  <c:v>44904</c:v>
                </c:pt>
                <c:pt idx="762">
                  <c:v>44907</c:v>
                </c:pt>
                <c:pt idx="763">
                  <c:v>44908</c:v>
                </c:pt>
                <c:pt idx="764">
                  <c:v>44909</c:v>
                </c:pt>
                <c:pt idx="765">
                  <c:v>44910</c:v>
                </c:pt>
                <c:pt idx="766">
                  <c:v>44911</c:v>
                </c:pt>
                <c:pt idx="767">
                  <c:v>44914</c:v>
                </c:pt>
                <c:pt idx="768">
                  <c:v>44915</c:v>
                </c:pt>
                <c:pt idx="769">
                  <c:v>44916</c:v>
                </c:pt>
                <c:pt idx="770">
                  <c:v>44917</c:v>
                </c:pt>
                <c:pt idx="771">
                  <c:v>44918</c:v>
                </c:pt>
                <c:pt idx="772">
                  <c:v>44922</c:v>
                </c:pt>
                <c:pt idx="773">
                  <c:v>44923</c:v>
                </c:pt>
                <c:pt idx="774">
                  <c:v>44924</c:v>
                </c:pt>
                <c:pt idx="775">
                  <c:v>44925</c:v>
                </c:pt>
                <c:pt idx="776">
                  <c:v>44929</c:v>
                </c:pt>
                <c:pt idx="777">
                  <c:v>44930</c:v>
                </c:pt>
                <c:pt idx="778">
                  <c:v>44931</c:v>
                </c:pt>
                <c:pt idx="779">
                  <c:v>44932</c:v>
                </c:pt>
                <c:pt idx="780">
                  <c:v>44935</c:v>
                </c:pt>
                <c:pt idx="781">
                  <c:v>44936</c:v>
                </c:pt>
                <c:pt idx="782">
                  <c:v>44937</c:v>
                </c:pt>
                <c:pt idx="783">
                  <c:v>44938</c:v>
                </c:pt>
                <c:pt idx="784">
                  <c:v>44939</c:v>
                </c:pt>
                <c:pt idx="785">
                  <c:v>44942</c:v>
                </c:pt>
                <c:pt idx="786">
                  <c:v>44943</c:v>
                </c:pt>
                <c:pt idx="787">
                  <c:v>44944</c:v>
                </c:pt>
                <c:pt idx="788">
                  <c:v>44945</c:v>
                </c:pt>
                <c:pt idx="789">
                  <c:v>44946</c:v>
                </c:pt>
                <c:pt idx="790">
                  <c:v>44949</c:v>
                </c:pt>
                <c:pt idx="791">
                  <c:v>44950</c:v>
                </c:pt>
                <c:pt idx="792">
                  <c:v>44951</c:v>
                </c:pt>
                <c:pt idx="793">
                  <c:v>44952</c:v>
                </c:pt>
                <c:pt idx="794">
                  <c:v>44953</c:v>
                </c:pt>
                <c:pt idx="795">
                  <c:v>44956</c:v>
                </c:pt>
                <c:pt idx="796">
                  <c:v>44957</c:v>
                </c:pt>
                <c:pt idx="797">
                  <c:v>44958</c:v>
                </c:pt>
                <c:pt idx="798">
                  <c:v>44959</c:v>
                </c:pt>
                <c:pt idx="799">
                  <c:v>44960</c:v>
                </c:pt>
                <c:pt idx="800">
                  <c:v>44963</c:v>
                </c:pt>
                <c:pt idx="801">
                  <c:v>44964</c:v>
                </c:pt>
                <c:pt idx="802">
                  <c:v>44965</c:v>
                </c:pt>
                <c:pt idx="803">
                  <c:v>44966</c:v>
                </c:pt>
                <c:pt idx="804">
                  <c:v>44967</c:v>
                </c:pt>
                <c:pt idx="805">
                  <c:v>44970</c:v>
                </c:pt>
                <c:pt idx="806">
                  <c:v>44971</c:v>
                </c:pt>
                <c:pt idx="807">
                  <c:v>44972</c:v>
                </c:pt>
                <c:pt idx="808">
                  <c:v>44973</c:v>
                </c:pt>
                <c:pt idx="809">
                  <c:v>44974</c:v>
                </c:pt>
                <c:pt idx="810">
                  <c:v>44977</c:v>
                </c:pt>
                <c:pt idx="811">
                  <c:v>44978</c:v>
                </c:pt>
                <c:pt idx="812">
                  <c:v>44979</c:v>
                </c:pt>
                <c:pt idx="813">
                  <c:v>44980</c:v>
                </c:pt>
                <c:pt idx="814">
                  <c:v>44981</c:v>
                </c:pt>
                <c:pt idx="815">
                  <c:v>44984</c:v>
                </c:pt>
                <c:pt idx="816">
                  <c:v>44985</c:v>
                </c:pt>
                <c:pt idx="817">
                  <c:v>44986</c:v>
                </c:pt>
                <c:pt idx="818">
                  <c:v>44987</c:v>
                </c:pt>
                <c:pt idx="819">
                  <c:v>44988</c:v>
                </c:pt>
                <c:pt idx="820">
                  <c:v>44991</c:v>
                </c:pt>
                <c:pt idx="821">
                  <c:v>44992</c:v>
                </c:pt>
                <c:pt idx="822">
                  <c:v>44993</c:v>
                </c:pt>
                <c:pt idx="823">
                  <c:v>44994</c:v>
                </c:pt>
                <c:pt idx="824">
                  <c:v>44995</c:v>
                </c:pt>
                <c:pt idx="825">
                  <c:v>44998</c:v>
                </c:pt>
                <c:pt idx="826">
                  <c:v>44999</c:v>
                </c:pt>
                <c:pt idx="827">
                  <c:v>45000</c:v>
                </c:pt>
                <c:pt idx="828">
                  <c:v>45001</c:v>
                </c:pt>
                <c:pt idx="829">
                  <c:v>45002</c:v>
                </c:pt>
                <c:pt idx="830">
                  <c:v>45005</c:v>
                </c:pt>
                <c:pt idx="831">
                  <c:v>45006</c:v>
                </c:pt>
                <c:pt idx="832">
                  <c:v>45007</c:v>
                </c:pt>
                <c:pt idx="833">
                  <c:v>45008</c:v>
                </c:pt>
                <c:pt idx="834">
                  <c:v>45009</c:v>
                </c:pt>
                <c:pt idx="835">
                  <c:v>45012</c:v>
                </c:pt>
                <c:pt idx="836">
                  <c:v>45013</c:v>
                </c:pt>
                <c:pt idx="837">
                  <c:v>45014</c:v>
                </c:pt>
                <c:pt idx="838">
                  <c:v>45015</c:v>
                </c:pt>
                <c:pt idx="839">
                  <c:v>45016</c:v>
                </c:pt>
                <c:pt idx="840">
                  <c:v>45019</c:v>
                </c:pt>
                <c:pt idx="841">
                  <c:v>45020</c:v>
                </c:pt>
                <c:pt idx="842">
                  <c:v>45021</c:v>
                </c:pt>
                <c:pt idx="843">
                  <c:v>45022</c:v>
                </c:pt>
                <c:pt idx="844">
                  <c:v>45023</c:v>
                </c:pt>
                <c:pt idx="845">
                  <c:v>45026</c:v>
                </c:pt>
                <c:pt idx="846">
                  <c:v>45027</c:v>
                </c:pt>
                <c:pt idx="847">
                  <c:v>45028</c:v>
                </c:pt>
                <c:pt idx="848">
                  <c:v>45029</c:v>
                </c:pt>
                <c:pt idx="849">
                  <c:v>45030</c:v>
                </c:pt>
                <c:pt idx="850">
                  <c:v>45033</c:v>
                </c:pt>
                <c:pt idx="851">
                  <c:v>45034</c:v>
                </c:pt>
                <c:pt idx="852">
                  <c:v>45035</c:v>
                </c:pt>
                <c:pt idx="853">
                  <c:v>45036</c:v>
                </c:pt>
                <c:pt idx="854">
                  <c:v>45037</c:v>
                </c:pt>
                <c:pt idx="855">
                  <c:v>45040</c:v>
                </c:pt>
                <c:pt idx="856">
                  <c:v>45041</c:v>
                </c:pt>
                <c:pt idx="857">
                  <c:v>45042</c:v>
                </c:pt>
                <c:pt idx="858">
                  <c:v>45043</c:v>
                </c:pt>
                <c:pt idx="859">
                  <c:v>45044</c:v>
                </c:pt>
                <c:pt idx="860">
                  <c:v>45047</c:v>
                </c:pt>
                <c:pt idx="861">
                  <c:v>45048</c:v>
                </c:pt>
                <c:pt idx="862">
                  <c:v>45049</c:v>
                </c:pt>
                <c:pt idx="863">
                  <c:v>45050</c:v>
                </c:pt>
                <c:pt idx="864">
                  <c:v>45051</c:v>
                </c:pt>
                <c:pt idx="865">
                  <c:v>45054</c:v>
                </c:pt>
                <c:pt idx="866">
                  <c:v>45055</c:v>
                </c:pt>
                <c:pt idx="867">
                  <c:v>45056</c:v>
                </c:pt>
                <c:pt idx="868">
                  <c:v>45057</c:v>
                </c:pt>
                <c:pt idx="869">
                  <c:v>45058</c:v>
                </c:pt>
                <c:pt idx="870">
                  <c:v>45061</c:v>
                </c:pt>
                <c:pt idx="871">
                  <c:v>45062</c:v>
                </c:pt>
                <c:pt idx="872">
                  <c:v>45063</c:v>
                </c:pt>
                <c:pt idx="873">
                  <c:v>45064</c:v>
                </c:pt>
                <c:pt idx="874">
                  <c:v>45065</c:v>
                </c:pt>
                <c:pt idx="875">
                  <c:v>45068</c:v>
                </c:pt>
                <c:pt idx="876">
                  <c:v>45069</c:v>
                </c:pt>
                <c:pt idx="877">
                  <c:v>45070</c:v>
                </c:pt>
                <c:pt idx="878">
                  <c:v>45071</c:v>
                </c:pt>
                <c:pt idx="879">
                  <c:v>45072</c:v>
                </c:pt>
                <c:pt idx="880">
                  <c:v>45075</c:v>
                </c:pt>
                <c:pt idx="881">
                  <c:v>45076</c:v>
                </c:pt>
                <c:pt idx="882">
                  <c:v>45077</c:v>
                </c:pt>
                <c:pt idx="883">
                  <c:v>45078</c:v>
                </c:pt>
                <c:pt idx="884">
                  <c:v>45079</c:v>
                </c:pt>
                <c:pt idx="885">
                  <c:v>45082</c:v>
                </c:pt>
                <c:pt idx="886">
                  <c:v>45083</c:v>
                </c:pt>
                <c:pt idx="887">
                  <c:v>45084</c:v>
                </c:pt>
                <c:pt idx="888">
                  <c:v>45085</c:v>
                </c:pt>
              </c:numCache>
            </c:numRef>
          </c:cat>
          <c:val>
            <c:numRef>
              <c:f>Sheet1!$C$2:$C$957</c:f>
              <c:numCache>
                <c:formatCode>0.0</c:formatCode>
                <c:ptCount val="956"/>
                <c:pt idx="0">
                  <c:v>100</c:v>
                </c:pt>
                <c:pt idx="1">
                  <c:v>99.895397489539747</c:v>
                </c:pt>
                <c:pt idx="2">
                  <c:v>99.895397489539747</c:v>
                </c:pt>
                <c:pt idx="3">
                  <c:v>99.895397489539747</c:v>
                </c:pt>
                <c:pt idx="4">
                  <c:v>99.895397489539747</c:v>
                </c:pt>
                <c:pt idx="5">
                  <c:v>99.895397489539747</c:v>
                </c:pt>
                <c:pt idx="6">
                  <c:v>99.895397489539747</c:v>
                </c:pt>
                <c:pt idx="7">
                  <c:v>99.895397489539747</c:v>
                </c:pt>
                <c:pt idx="8">
                  <c:v>100</c:v>
                </c:pt>
                <c:pt idx="9">
                  <c:v>100</c:v>
                </c:pt>
                <c:pt idx="10">
                  <c:v>100</c:v>
                </c:pt>
                <c:pt idx="11">
                  <c:v>100</c:v>
                </c:pt>
                <c:pt idx="12">
                  <c:v>99.895397489539747</c:v>
                </c:pt>
                <c:pt idx="13">
                  <c:v>99.68619246861924</c:v>
                </c:pt>
                <c:pt idx="14">
                  <c:v>99.68619246861924</c:v>
                </c:pt>
                <c:pt idx="15">
                  <c:v>99.790794979079493</c:v>
                </c:pt>
                <c:pt idx="16">
                  <c:v>99.96861924686192</c:v>
                </c:pt>
                <c:pt idx="17">
                  <c:v>99.790794979079493</c:v>
                </c:pt>
                <c:pt idx="18">
                  <c:v>99.790794979079493</c:v>
                </c:pt>
                <c:pt idx="19">
                  <c:v>99.790794979079493</c:v>
                </c:pt>
                <c:pt idx="20">
                  <c:v>99.790794979079493</c:v>
                </c:pt>
                <c:pt idx="21">
                  <c:v>99.581589958158986</c:v>
                </c:pt>
                <c:pt idx="22">
                  <c:v>99.958158995815893</c:v>
                </c:pt>
                <c:pt idx="23">
                  <c:v>99.790794979079493</c:v>
                </c:pt>
                <c:pt idx="24">
                  <c:v>99.790794979079493</c:v>
                </c:pt>
                <c:pt idx="25">
                  <c:v>99.790794979079493</c:v>
                </c:pt>
                <c:pt idx="26">
                  <c:v>99.790794979079493</c:v>
                </c:pt>
                <c:pt idx="27">
                  <c:v>99.790794979079493</c:v>
                </c:pt>
                <c:pt idx="28">
                  <c:v>99.790794979079493</c:v>
                </c:pt>
                <c:pt idx="29">
                  <c:v>99.790794979079493</c:v>
                </c:pt>
                <c:pt idx="30">
                  <c:v>100.02092050209204</c:v>
                </c:pt>
                <c:pt idx="31">
                  <c:v>99.790794979079493</c:v>
                </c:pt>
                <c:pt idx="32">
                  <c:v>99.790794979079493</c:v>
                </c:pt>
                <c:pt idx="33">
                  <c:v>99.790794979079493</c:v>
                </c:pt>
                <c:pt idx="34">
                  <c:v>99.790794979079493</c:v>
                </c:pt>
                <c:pt idx="35">
                  <c:v>99.68619246861924</c:v>
                </c:pt>
                <c:pt idx="36">
                  <c:v>99.68619246861924</c:v>
                </c:pt>
                <c:pt idx="37">
                  <c:v>99.68619246861924</c:v>
                </c:pt>
                <c:pt idx="38">
                  <c:v>99.68619246861924</c:v>
                </c:pt>
                <c:pt idx="39">
                  <c:v>99.68619246861924</c:v>
                </c:pt>
                <c:pt idx="40">
                  <c:v>99.68619246861924</c:v>
                </c:pt>
                <c:pt idx="41">
                  <c:v>99.790794979079493</c:v>
                </c:pt>
                <c:pt idx="42">
                  <c:v>99.895397489539747</c:v>
                </c:pt>
                <c:pt idx="43">
                  <c:v>99.895397489539747</c:v>
                </c:pt>
                <c:pt idx="44">
                  <c:v>100</c:v>
                </c:pt>
                <c:pt idx="45">
                  <c:v>100</c:v>
                </c:pt>
                <c:pt idx="46">
                  <c:v>100</c:v>
                </c:pt>
                <c:pt idx="47">
                  <c:v>99.895397489539747</c:v>
                </c:pt>
                <c:pt idx="48">
                  <c:v>100.62761506276151</c:v>
                </c:pt>
                <c:pt idx="49">
                  <c:v>100.83682008368201</c:v>
                </c:pt>
                <c:pt idx="50">
                  <c:v>101.15062761506276</c:v>
                </c:pt>
                <c:pt idx="51">
                  <c:v>101.77824267782427</c:v>
                </c:pt>
                <c:pt idx="52">
                  <c:v>101.67364016736401</c:v>
                </c:pt>
                <c:pt idx="53">
                  <c:v>101.98744769874476</c:v>
                </c:pt>
                <c:pt idx="54">
                  <c:v>102.19665271966525</c:v>
                </c:pt>
                <c:pt idx="55">
                  <c:v>102.61506276150625</c:v>
                </c:pt>
                <c:pt idx="56">
                  <c:v>103.03347280334725</c:v>
                </c:pt>
                <c:pt idx="57">
                  <c:v>103.03347280334727</c:v>
                </c:pt>
                <c:pt idx="58">
                  <c:v>103.03347280334727</c:v>
                </c:pt>
                <c:pt idx="59">
                  <c:v>103.13807531380751</c:v>
                </c:pt>
                <c:pt idx="60">
                  <c:v>103.34728033472801</c:v>
                </c:pt>
                <c:pt idx="61">
                  <c:v>103.45188284518827</c:v>
                </c:pt>
                <c:pt idx="62">
                  <c:v>103.87029288702927</c:v>
                </c:pt>
                <c:pt idx="63">
                  <c:v>104.70711297071128</c:v>
                </c:pt>
                <c:pt idx="64">
                  <c:v>104.70711297071128</c:v>
                </c:pt>
                <c:pt idx="65">
                  <c:v>104.70711297071128</c:v>
                </c:pt>
                <c:pt idx="66">
                  <c:v>104.49790794979077</c:v>
                </c:pt>
                <c:pt idx="67">
                  <c:v>104.49790794979077</c:v>
                </c:pt>
                <c:pt idx="68">
                  <c:v>104.2573221757322</c:v>
                </c:pt>
                <c:pt idx="69">
                  <c:v>104.18410041841001</c:v>
                </c:pt>
                <c:pt idx="70">
                  <c:v>102.93933054393302</c:v>
                </c:pt>
                <c:pt idx="71">
                  <c:v>101.56903765690373</c:v>
                </c:pt>
                <c:pt idx="72">
                  <c:v>101.35983263598322</c:v>
                </c:pt>
                <c:pt idx="73">
                  <c:v>101.48535564853553</c:v>
                </c:pt>
                <c:pt idx="74">
                  <c:v>101.16108786610876</c:v>
                </c:pt>
                <c:pt idx="75">
                  <c:v>101.03556485355645</c:v>
                </c:pt>
                <c:pt idx="76">
                  <c:v>100.62761506276146</c:v>
                </c:pt>
                <c:pt idx="77">
                  <c:v>100.38702928870291</c:v>
                </c:pt>
                <c:pt idx="78">
                  <c:v>100.16736401673637</c:v>
                </c:pt>
                <c:pt idx="79">
                  <c:v>100.13598326359829</c:v>
                </c:pt>
                <c:pt idx="80">
                  <c:v>100.14016736401672</c:v>
                </c:pt>
                <c:pt idx="81">
                  <c:v>100.11506276150627</c:v>
                </c:pt>
                <c:pt idx="82">
                  <c:v>99.999999999999986</c:v>
                </c:pt>
                <c:pt idx="83">
                  <c:v>99.790794979079479</c:v>
                </c:pt>
                <c:pt idx="84">
                  <c:v>100.05230125523011</c:v>
                </c:pt>
                <c:pt idx="85">
                  <c:v>100.05230125523011</c:v>
                </c:pt>
                <c:pt idx="86">
                  <c:v>100.20920502092048</c:v>
                </c:pt>
                <c:pt idx="87">
                  <c:v>100.3451882845188</c:v>
                </c:pt>
                <c:pt idx="88">
                  <c:v>100.41841004184097</c:v>
                </c:pt>
                <c:pt idx="89">
                  <c:v>100.86192468619244</c:v>
                </c:pt>
                <c:pt idx="90">
                  <c:v>101.06694560669453</c:v>
                </c:pt>
                <c:pt idx="91">
                  <c:v>101.46443514644349</c:v>
                </c:pt>
                <c:pt idx="92">
                  <c:v>101.46443514644349</c:v>
                </c:pt>
                <c:pt idx="93">
                  <c:v>101.81171548117152</c:v>
                </c:pt>
                <c:pt idx="94">
                  <c:v>102.06694560669453</c:v>
                </c:pt>
                <c:pt idx="95">
                  <c:v>101.85774058577404</c:v>
                </c:pt>
                <c:pt idx="96">
                  <c:v>101.43933054393304</c:v>
                </c:pt>
                <c:pt idx="97">
                  <c:v>101.18200836820083</c:v>
                </c:pt>
                <c:pt idx="98">
                  <c:v>100.96234309623431</c:v>
                </c:pt>
                <c:pt idx="99">
                  <c:v>100.55439330543932</c:v>
                </c:pt>
                <c:pt idx="100">
                  <c:v>100.62343096234309</c:v>
                </c:pt>
                <c:pt idx="101">
                  <c:v>100.62552301255229</c:v>
                </c:pt>
                <c:pt idx="102">
                  <c:v>101.0041841004184</c:v>
                </c:pt>
                <c:pt idx="103">
                  <c:v>101.02719665271965</c:v>
                </c:pt>
                <c:pt idx="104">
                  <c:v>101.02510460251044</c:v>
                </c:pt>
                <c:pt idx="105">
                  <c:v>101.02510460251044</c:v>
                </c:pt>
                <c:pt idx="106">
                  <c:v>100.83682008368199</c:v>
                </c:pt>
                <c:pt idx="107">
                  <c:v>100.7217573221757</c:v>
                </c:pt>
                <c:pt idx="108">
                  <c:v>100.70711297071128</c:v>
                </c:pt>
                <c:pt idx="109">
                  <c:v>100.62761506276149</c:v>
                </c:pt>
                <c:pt idx="110">
                  <c:v>100.56903765690376</c:v>
                </c:pt>
                <c:pt idx="111">
                  <c:v>100.5020920502092</c:v>
                </c:pt>
                <c:pt idx="112">
                  <c:v>100.46652719665272</c:v>
                </c:pt>
                <c:pt idx="113">
                  <c:v>100.42259414225941</c:v>
                </c:pt>
                <c:pt idx="114">
                  <c:v>100.54393305439332</c:v>
                </c:pt>
                <c:pt idx="115">
                  <c:v>100.5794979079498</c:v>
                </c:pt>
                <c:pt idx="116">
                  <c:v>100.50209205020921</c:v>
                </c:pt>
                <c:pt idx="117">
                  <c:v>100.47071129707115</c:v>
                </c:pt>
                <c:pt idx="118">
                  <c:v>100.27196652719667</c:v>
                </c:pt>
                <c:pt idx="119">
                  <c:v>100.18828451882845</c:v>
                </c:pt>
                <c:pt idx="120">
                  <c:v>100</c:v>
                </c:pt>
                <c:pt idx="121">
                  <c:v>99.995815899581586</c:v>
                </c:pt>
                <c:pt idx="122">
                  <c:v>100.0899581589958</c:v>
                </c:pt>
                <c:pt idx="123">
                  <c:v>100.21966527196651</c:v>
                </c:pt>
                <c:pt idx="124">
                  <c:v>100.48117154811713</c:v>
                </c:pt>
                <c:pt idx="125">
                  <c:v>100.61087866108785</c:v>
                </c:pt>
                <c:pt idx="126">
                  <c:v>100.71966527196651</c:v>
                </c:pt>
                <c:pt idx="127">
                  <c:v>100.70083682008367</c:v>
                </c:pt>
                <c:pt idx="128">
                  <c:v>100.41841004184099</c:v>
                </c:pt>
                <c:pt idx="129">
                  <c:v>100.91213389121337</c:v>
                </c:pt>
                <c:pt idx="130">
                  <c:v>101.01255230125521</c:v>
                </c:pt>
                <c:pt idx="131">
                  <c:v>101.11506276150625</c:v>
                </c:pt>
                <c:pt idx="132">
                  <c:v>101.27615062761505</c:v>
                </c:pt>
                <c:pt idx="133">
                  <c:v>101.27615062761505</c:v>
                </c:pt>
                <c:pt idx="134">
                  <c:v>101.58577405857739</c:v>
                </c:pt>
                <c:pt idx="135">
                  <c:v>101.61715481171547</c:v>
                </c:pt>
                <c:pt idx="136">
                  <c:v>101.61087866108785</c:v>
                </c:pt>
                <c:pt idx="137">
                  <c:v>101.38075313807531</c:v>
                </c:pt>
                <c:pt idx="138">
                  <c:v>101.15062761506275</c:v>
                </c:pt>
                <c:pt idx="139">
                  <c:v>100.97071129707112</c:v>
                </c:pt>
                <c:pt idx="140">
                  <c:v>100.75732217573221</c:v>
                </c:pt>
                <c:pt idx="141">
                  <c:v>100.75313807531381</c:v>
                </c:pt>
                <c:pt idx="142">
                  <c:v>100.418410041841</c:v>
                </c:pt>
                <c:pt idx="143">
                  <c:v>101.07740585774057</c:v>
                </c:pt>
                <c:pt idx="144">
                  <c:v>101.29497907949791</c:v>
                </c:pt>
                <c:pt idx="145">
                  <c:v>101.31380753138075</c:v>
                </c:pt>
                <c:pt idx="146">
                  <c:v>101.24476987447699</c:v>
                </c:pt>
                <c:pt idx="147">
                  <c:v>101.17991631799163</c:v>
                </c:pt>
                <c:pt idx="148">
                  <c:v>101.12970711297071</c:v>
                </c:pt>
                <c:pt idx="149">
                  <c:v>101.28870292887029</c:v>
                </c:pt>
                <c:pt idx="150">
                  <c:v>101.32426778242677</c:v>
                </c:pt>
                <c:pt idx="151">
                  <c:v>101.42259414225941</c:v>
                </c:pt>
                <c:pt idx="152">
                  <c:v>101.31799163179917</c:v>
                </c:pt>
                <c:pt idx="153">
                  <c:v>101.36401673640168</c:v>
                </c:pt>
                <c:pt idx="154">
                  <c:v>101.28661087866109</c:v>
                </c:pt>
                <c:pt idx="155">
                  <c:v>101.25523012552303</c:v>
                </c:pt>
                <c:pt idx="156">
                  <c:v>101.30334728033475</c:v>
                </c:pt>
                <c:pt idx="157">
                  <c:v>101.31799163179917</c:v>
                </c:pt>
                <c:pt idx="158">
                  <c:v>101.25523012552303</c:v>
                </c:pt>
                <c:pt idx="159">
                  <c:v>101.28661087866109</c:v>
                </c:pt>
                <c:pt idx="160">
                  <c:v>101.21966527196653</c:v>
                </c:pt>
                <c:pt idx="161">
                  <c:v>101.17782426778244</c:v>
                </c:pt>
                <c:pt idx="162">
                  <c:v>101.08995815899583</c:v>
                </c:pt>
                <c:pt idx="163">
                  <c:v>101.10460251046027</c:v>
                </c:pt>
                <c:pt idx="164">
                  <c:v>101.19246861924688</c:v>
                </c:pt>
                <c:pt idx="165">
                  <c:v>101.26569037656905</c:v>
                </c:pt>
                <c:pt idx="166">
                  <c:v>101.30753138075315</c:v>
                </c:pt>
                <c:pt idx="167">
                  <c:v>101.40376569037657</c:v>
                </c:pt>
                <c:pt idx="168">
                  <c:v>101.70502092050209</c:v>
                </c:pt>
                <c:pt idx="169">
                  <c:v>101.67991631799163</c:v>
                </c:pt>
                <c:pt idx="170">
                  <c:v>101.72384937238495</c:v>
                </c:pt>
                <c:pt idx="171">
                  <c:v>101.71548117154812</c:v>
                </c:pt>
                <c:pt idx="172">
                  <c:v>101.64435146443516</c:v>
                </c:pt>
                <c:pt idx="173">
                  <c:v>101.73430962343099</c:v>
                </c:pt>
                <c:pt idx="174">
                  <c:v>101.77405857740588</c:v>
                </c:pt>
                <c:pt idx="175">
                  <c:v>101.88284518828455</c:v>
                </c:pt>
                <c:pt idx="176">
                  <c:v>101.88702928870296</c:v>
                </c:pt>
                <c:pt idx="177">
                  <c:v>101.99790794979083</c:v>
                </c:pt>
                <c:pt idx="178">
                  <c:v>102.05230125523016</c:v>
                </c:pt>
                <c:pt idx="179">
                  <c:v>101.94560669456071</c:v>
                </c:pt>
                <c:pt idx="180">
                  <c:v>101.81380753138079</c:v>
                </c:pt>
                <c:pt idx="181">
                  <c:v>101.54184100418414</c:v>
                </c:pt>
                <c:pt idx="182">
                  <c:v>101.04602510460255</c:v>
                </c:pt>
                <c:pt idx="183">
                  <c:v>101.23640167364022</c:v>
                </c:pt>
                <c:pt idx="184">
                  <c:v>101.12970711297075</c:v>
                </c:pt>
                <c:pt idx="185">
                  <c:v>101.30753138075318</c:v>
                </c:pt>
                <c:pt idx="186">
                  <c:v>101.30962343096238</c:v>
                </c:pt>
                <c:pt idx="187">
                  <c:v>101.31589958159</c:v>
                </c:pt>
                <c:pt idx="188">
                  <c:v>101.34309623430967</c:v>
                </c:pt>
                <c:pt idx="189">
                  <c:v>101.32217573221762</c:v>
                </c:pt>
                <c:pt idx="190">
                  <c:v>101.31171548117159</c:v>
                </c:pt>
                <c:pt idx="191">
                  <c:v>101.3933054393306</c:v>
                </c:pt>
                <c:pt idx="192">
                  <c:v>101.25523012552307</c:v>
                </c:pt>
                <c:pt idx="193">
                  <c:v>101.29707112970718</c:v>
                </c:pt>
                <c:pt idx="194">
                  <c:v>101.56903765690383</c:v>
                </c:pt>
                <c:pt idx="195">
                  <c:v>102.0083682008369</c:v>
                </c:pt>
                <c:pt idx="196">
                  <c:v>102.0083682008369</c:v>
                </c:pt>
                <c:pt idx="197">
                  <c:v>102.33054393305446</c:v>
                </c:pt>
                <c:pt idx="198">
                  <c:v>102.33682008368208</c:v>
                </c:pt>
                <c:pt idx="199">
                  <c:v>101.88284518828459</c:v>
                </c:pt>
                <c:pt idx="200">
                  <c:v>102.30125523012561</c:v>
                </c:pt>
                <c:pt idx="201">
                  <c:v>102.22803347280343</c:v>
                </c:pt>
                <c:pt idx="202">
                  <c:v>102.50836820083691</c:v>
                </c:pt>
                <c:pt idx="203">
                  <c:v>102.58158995815909</c:v>
                </c:pt>
                <c:pt idx="204">
                  <c:v>102.65271966527206</c:v>
                </c:pt>
                <c:pt idx="205">
                  <c:v>102.05020920502101</c:v>
                </c:pt>
                <c:pt idx="206">
                  <c:v>102.51046025104611</c:v>
                </c:pt>
                <c:pt idx="207">
                  <c:v>102.99790794979087</c:v>
                </c:pt>
                <c:pt idx="208">
                  <c:v>103.21548117154821</c:v>
                </c:pt>
                <c:pt idx="209">
                  <c:v>103.20292887029298</c:v>
                </c:pt>
                <c:pt idx="210">
                  <c:v>103.13807531380762</c:v>
                </c:pt>
                <c:pt idx="211">
                  <c:v>102.97907949790803</c:v>
                </c:pt>
                <c:pt idx="212">
                  <c:v>102.95397489539756</c:v>
                </c:pt>
                <c:pt idx="213">
                  <c:v>102.86610878661095</c:v>
                </c:pt>
                <c:pt idx="214">
                  <c:v>102.96025104602518</c:v>
                </c:pt>
                <c:pt idx="215">
                  <c:v>103.05439330543942</c:v>
                </c:pt>
                <c:pt idx="216">
                  <c:v>103.0878661087867</c:v>
                </c:pt>
                <c:pt idx="217">
                  <c:v>103.06694560669466</c:v>
                </c:pt>
                <c:pt idx="218">
                  <c:v>103.02301255230134</c:v>
                </c:pt>
                <c:pt idx="219">
                  <c:v>103.11087866108795</c:v>
                </c:pt>
                <c:pt idx="220">
                  <c:v>103.07949790794987</c:v>
                </c:pt>
                <c:pt idx="221">
                  <c:v>102.7196652719666</c:v>
                </c:pt>
                <c:pt idx="222">
                  <c:v>102.9288702928871</c:v>
                </c:pt>
                <c:pt idx="223">
                  <c:v>103.29707112970718</c:v>
                </c:pt>
                <c:pt idx="224">
                  <c:v>103.46861924686199</c:v>
                </c:pt>
                <c:pt idx="225">
                  <c:v>103.54393305439338</c:v>
                </c:pt>
                <c:pt idx="226">
                  <c:v>103.1380753138076</c:v>
                </c:pt>
                <c:pt idx="227">
                  <c:v>103.1380753138076</c:v>
                </c:pt>
                <c:pt idx="228">
                  <c:v>103.45188284518835</c:v>
                </c:pt>
                <c:pt idx="229">
                  <c:v>103.87029288702935</c:v>
                </c:pt>
                <c:pt idx="230">
                  <c:v>103.87029288702935</c:v>
                </c:pt>
                <c:pt idx="231">
                  <c:v>103.87029288702935</c:v>
                </c:pt>
                <c:pt idx="232">
                  <c:v>103.5564853556486</c:v>
                </c:pt>
                <c:pt idx="233">
                  <c:v>105.64853556485363</c:v>
                </c:pt>
                <c:pt idx="234">
                  <c:v>105.33472803347289</c:v>
                </c:pt>
                <c:pt idx="235">
                  <c:v>105.33472803347289</c:v>
                </c:pt>
                <c:pt idx="236">
                  <c:v>105.33472803347289</c:v>
                </c:pt>
                <c:pt idx="237">
                  <c:v>105.85355648535574</c:v>
                </c:pt>
                <c:pt idx="238">
                  <c:v>105.96234309623439</c:v>
                </c:pt>
                <c:pt idx="239">
                  <c:v>105.96234309623439</c:v>
                </c:pt>
                <c:pt idx="240">
                  <c:v>106.38075313807539</c:v>
                </c:pt>
                <c:pt idx="241">
                  <c:v>106.38075313807539</c:v>
                </c:pt>
                <c:pt idx="242">
                  <c:v>106.69456066945614</c:v>
                </c:pt>
                <c:pt idx="243">
                  <c:v>106.90376569037664</c:v>
                </c:pt>
                <c:pt idx="244">
                  <c:v>107.32217573221764</c:v>
                </c:pt>
                <c:pt idx="245">
                  <c:v>107.11297071129714</c:v>
                </c:pt>
                <c:pt idx="246">
                  <c:v>108.6820083682009</c:v>
                </c:pt>
                <c:pt idx="247">
                  <c:v>108.6820083682009</c:v>
                </c:pt>
                <c:pt idx="248">
                  <c:v>108.78661087866114</c:v>
                </c:pt>
                <c:pt idx="249">
                  <c:v>108.6820083682009</c:v>
                </c:pt>
                <c:pt idx="250">
                  <c:v>108.6820083682009</c:v>
                </c:pt>
                <c:pt idx="251">
                  <c:v>108.6820083682009</c:v>
                </c:pt>
                <c:pt idx="252">
                  <c:v>108.6820083682009</c:v>
                </c:pt>
                <c:pt idx="253">
                  <c:v>108.6820083682009</c:v>
                </c:pt>
                <c:pt idx="254">
                  <c:v>108.6820083682009</c:v>
                </c:pt>
                <c:pt idx="255">
                  <c:v>108.6820083682009</c:v>
                </c:pt>
                <c:pt idx="256">
                  <c:v>108.6820083682009</c:v>
                </c:pt>
                <c:pt idx="257">
                  <c:v>108.6820083682009</c:v>
                </c:pt>
                <c:pt idx="258">
                  <c:v>108.6820083682009</c:v>
                </c:pt>
                <c:pt idx="259">
                  <c:v>108.6820083682009</c:v>
                </c:pt>
                <c:pt idx="260">
                  <c:v>108.57740585774064</c:v>
                </c:pt>
                <c:pt idx="261">
                  <c:v>108.78661087866115</c:v>
                </c:pt>
                <c:pt idx="262">
                  <c:v>109.11924686192475</c:v>
                </c:pt>
                <c:pt idx="263">
                  <c:v>108.6820083682009</c:v>
                </c:pt>
                <c:pt idx="264">
                  <c:v>109.1004184100419</c:v>
                </c:pt>
                <c:pt idx="265">
                  <c:v>109.3096234309624</c:v>
                </c:pt>
                <c:pt idx="266">
                  <c:v>109.72803347280342</c:v>
                </c:pt>
                <c:pt idx="267">
                  <c:v>109.70711297071136</c:v>
                </c:pt>
                <c:pt idx="268">
                  <c:v>109.10460251046031</c:v>
                </c:pt>
                <c:pt idx="269">
                  <c:v>109.03556485355656</c:v>
                </c:pt>
                <c:pt idx="270">
                  <c:v>109.02719665271974</c:v>
                </c:pt>
                <c:pt idx="271">
                  <c:v>108.40794979079507</c:v>
                </c:pt>
                <c:pt idx="272">
                  <c:v>108.34518828451891</c:v>
                </c:pt>
                <c:pt idx="273">
                  <c:v>108.2510460251047</c:v>
                </c:pt>
                <c:pt idx="274">
                  <c:v>108.2510460251047</c:v>
                </c:pt>
                <c:pt idx="275">
                  <c:v>108.15899581589966</c:v>
                </c:pt>
                <c:pt idx="276">
                  <c:v>108.19246861924694</c:v>
                </c:pt>
                <c:pt idx="277">
                  <c:v>108.19246861924694</c:v>
                </c:pt>
                <c:pt idx="278">
                  <c:v>108.15899581589967</c:v>
                </c:pt>
                <c:pt idx="279">
                  <c:v>108.34309623430971</c:v>
                </c:pt>
                <c:pt idx="280">
                  <c:v>108.41004184100429</c:v>
                </c:pt>
                <c:pt idx="281">
                  <c:v>108.60878661087875</c:v>
                </c:pt>
                <c:pt idx="282">
                  <c:v>108.70292887029299</c:v>
                </c:pt>
                <c:pt idx="283">
                  <c:v>108.78661087866119</c:v>
                </c:pt>
                <c:pt idx="284">
                  <c:v>108.78661087866119</c:v>
                </c:pt>
                <c:pt idx="285">
                  <c:v>109.12133891213401</c:v>
                </c:pt>
                <c:pt idx="286">
                  <c:v>109.23221757322186</c:v>
                </c:pt>
                <c:pt idx="287">
                  <c:v>109.42887029288715</c:v>
                </c:pt>
                <c:pt idx="288">
                  <c:v>109.47280334728043</c:v>
                </c:pt>
                <c:pt idx="289">
                  <c:v>109.53974895397501</c:v>
                </c:pt>
                <c:pt idx="290">
                  <c:v>109.60669456066955</c:v>
                </c:pt>
                <c:pt idx="291">
                  <c:v>109.48326359832647</c:v>
                </c:pt>
                <c:pt idx="292">
                  <c:v>109.48326359832647</c:v>
                </c:pt>
                <c:pt idx="293">
                  <c:v>109.51464435146454</c:v>
                </c:pt>
                <c:pt idx="294">
                  <c:v>109.41422594142269</c:v>
                </c:pt>
                <c:pt idx="295">
                  <c:v>109.51882845188294</c:v>
                </c:pt>
                <c:pt idx="296">
                  <c:v>109.62343096234318</c:v>
                </c:pt>
                <c:pt idx="297">
                  <c:v>110.03556485355658</c:v>
                </c:pt>
                <c:pt idx="298">
                  <c:v>109.93723849372394</c:v>
                </c:pt>
                <c:pt idx="299">
                  <c:v>110.04184100418419</c:v>
                </c:pt>
                <c:pt idx="300">
                  <c:v>109.72803347280343</c:v>
                </c:pt>
                <c:pt idx="301">
                  <c:v>109.41422594142269</c:v>
                </c:pt>
                <c:pt idx="302">
                  <c:v>109.61924686192479</c:v>
                </c:pt>
                <c:pt idx="303">
                  <c:v>109.71966527196663</c:v>
                </c:pt>
                <c:pt idx="304">
                  <c:v>109.71966527196663</c:v>
                </c:pt>
                <c:pt idx="305">
                  <c:v>109.68410041841014</c:v>
                </c:pt>
                <c:pt idx="306">
                  <c:v>109.51882845188295</c:v>
                </c:pt>
                <c:pt idx="307">
                  <c:v>109.72803347280346</c:v>
                </c:pt>
                <c:pt idx="308">
                  <c:v>109.72803347280346</c:v>
                </c:pt>
                <c:pt idx="309">
                  <c:v>109.83263598326371</c:v>
                </c:pt>
                <c:pt idx="310">
                  <c:v>109.83263598326371</c:v>
                </c:pt>
                <c:pt idx="311">
                  <c:v>110.18619246861938</c:v>
                </c:pt>
                <c:pt idx="312">
                  <c:v>109.93723849372397</c:v>
                </c:pt>
                <c:pt idx="313">
                  <c:v>109.93723849372397</c:v>
                </c:pt>
                <c:pt idx="314">
                  <c:v>109.93723849372397</c:v>
                </c:pt>
                <c:pt idx="315">
                  <c:v>109.93723849372397</c:v>
                </c:pt>
                <c:pt idx="316">
                  <c:v>110.04184100418422</c:v>
                </c:pt>
                <c:pt idx="317">
                  <c:v>109.83263598326371</c:v>
                </c:pt>
                <c:pt idx="318">
                  <c:v>110.14644351464447</c:v>
                </c:pt>
                <c:pt idx="319">
                  <c:v>110.35564853556497</c:v>
                </c:pt>
                <c:pt idx="320">
                  <c:v>110.46025104602521</c:v>
                </c:pt>
                <c:pt idx="321">
                  <c:v>110.56485355648546</c:v>
                </c:pt>
                <c:pt idx="322">
                  <c:v>110.77405857740595</c:v>
                </c:pt>
                <c:pt idx="323">
                  <c:v>110.98326359832646</c:v>
                </c:pt>
                <c:pt idx="324">
                  <c:v>111.19246861924695</c:v>
                </c:pt>
                <c:pt idx="325">
                  <c:v>111.19246861924695</c:v>
                </c:pt>
                <c:pt idx="326">
                  <c:v>111.71548117154821</c:v>
                </c:pt>
                <c:pt idx="327">
                  <c:v>111.71548117154821</c:v>
                </c:pt>
                <c:pt idx="328">
                  <c:v>111.25104602510469</c:v>
                </c:pt>
                <c:pt idx="329">
                  <c:v>111.25104602510469</c:v>
                </c:pt>
                <c:pt idx="330">
                  <c:v>108.57740585774067</c:v>
                </c:pt>
                <c:pt idx="331">
                  <c:v>108.43933054393315</c:v>
                </c:pt>
                <c:pt idx="332">
                  <c:v>108.82845188284529</c:v>
                </c:pt>
                <c:pt idx="333">
                  <c:v>109.03765690376578</c:v>
                </c:pt>
                <c:pt idx="334">
                  <c:v>109.03974895397498</c:v>
                </c:pt>
                <c:pt idx="335">
                  <c:v>108.9707112970712</c:v>
                </c:pt>
                <c:pt idx="336">
                  <c:v>109.04184100418418</c:v>
                </c:pt>
                <c:pt idx="337">
                  <c:v>108.99581589958167</c:v>
                </c:pt>
                <c:pt idx="338">
                  <c:v>108.97071129707122</c:v>
                </c:pt>
                <c:pt idx="339">
                  <c:v>108.36820083682017</c:v>
                </c:pt>
                <c:pt idx="340">
                  <c:v>108.6380753138076</c:v>
                </c:pt>
                <c:pt idx="341">
                  <c:v>108.53765690376575</c:v>
                </c:pt>
                <c:pt idx="342">
                  <c:v>108.70711297071136</c:v>
                </c:pt>
                <c:pt idx="343">
                  <c:v>108.72175732217582</c:v>
                </c:pt>
                <c:pt idx="344">
                  <c:v>108.70920502092058</c:v>
                </c:pt>
                <c:pt idx="345">
                  <c:v>108.7615062761507</c:v>
                </c:pt>
                <c:pt idx="346">
                  <c:v>108.7615062761507</c:v>
                </c:pt>
                <c:pt idx="347">
                  <c:v>108.88075313807539</c:v>
                </c:pt>
                <c:pt idx="348">
                  <c:v>108.88075313807539</c:v>
                </c:pt>
                <c:pt idx="349">
                  <c:v>109.07322175732224</c:v>
                </c:pt>
                <c:pt idx="350">
                  <c:v>109.01673640167371</c:v>
                </c:pt>
                <c:pt idx="351">
                  <c:v>109.05230125523018</c:v>
                </c:pt>
                <c:pt idx="352">
                  <c:v>109.2259414225942</c:v>
                </c:pt>
                <c:pt idx="353">
                  <c:v>109.0962343096235</c:v>
                </c:pt>
                <c:pt idx="354">
                  <c:v>108.9769874476988</c:v>
                </c:pt>
                <c:pt idx="355">
                  <c:v>108.90167364016742</c:v>
                </c:pt>
                <c:pt idx="356">
                  <c:v>108.72803347280342</c:v>
                </c:pt>
                <c:pt idx="357">
                  <c:v>108.73221757322182</c:v>
                </c:pt>
                <c:pt idx="358">
                  <c:v>108.69037656903771</c:v>
                </c:pt>
                <c:pt idx="359">
                  <c:v>108.69874476987455</c:v>
                </c:pt>
                <c:pt idx="360">
                  <c:v>108.69246861924692</c:v>
                </c:pt>
                <c:pt idx="361">
                  <c:v>108.71966527196659</c:v>
                </c:pt>
                <c:pt idx="362">
                  <c:v>108.74058577405864</c:v>
                </c:pt>
                <c:pt idx="363">
                  <c:v>108.74058577405864</c:v>
                </c:pt>
                <c:pt idx="364">
                  <c:v>108.70502092050216</c:v>
                </c:pt>
                <c:pt idx="365">
                  <c:v>108.71757322175738</c:v>
                </c:pt>
                <c:pt idx="366">
                  <c:v>108.71338912133898</c:v>
                </c:pt>
                <c:pt idx="367">
                  <c:v>108.61924686192476</c:v>
                </c:pt>
                <c:pt idx="368">
                  <c:v>108.58158995815906</c:v>
                </c:pt>
                <c:pt idx="369">
                  <c:v>108.58368200836826</c:v>
                </c:pt>
                <c:pt idx="370">
                  <c:v>108.54184100418416</c:v>
                </c:pt>
                <c:pt idx="371">
                  <c:v>108.48744769874483</c:v>
                </c:pt>
                <c:pt idx="372">
                  <c:v>108.42677824267787</c:v>
                </c:pt>
                <c:pt idx="373">
                  <c:v>108.28661087866114</c:v>
                </c:pt>
                <c:pt idx="374">
                  <c:v>107.94769874476992</c:v>
                </c:pt>
                <c:pt idx="375">
                  <c:v>107.67364016736406</c:v>
                </c:pt>
                <c:pt idx="376">
                  <c:v>107.50418410041846</c:v>
                </c:pt>
                <c:pt idx="377">
                  <c:v>107.34518828451887</c:v>
                </c:pt>
                <c:pt idx="378">
                  <c:v>107.26569037656908</c:v>
                </c:pt>
                <c:pt idx="379">
                  <c:v>107.17364016736406</c:v>
                </c:pt>
                <c:pt idx="380">
                  <c:v>107.12343096234314</c:v>
                </c:pt>
                <c:pt idx="381">
                  <c:v>106.69456066945611</c:v>
                </c:pt>
                <c:pt idx="382">
                  <c:v>106.04602510460255</c:v>
                </c:pt>
                <c:pt idx="383">
                  <c:v>104.26359832635988</c:v>
                </c:pt>
                <c:pt idx="384">
                  <c:v>103.7301255230126</c:v>
                </c:pt>
                <c:pt idx="385">
                  <c:v>103.42468619246867</c:v>
                </c:pt>
                <c:pt idx="386">
                  <c:v>103.52719665271972</c:v>
                </c:pt>
                <c:pt idx="387">
                  <c:v>103.52301255230131</c:v>
                </c:pt>
                <c:pt idx="388">
                  <c:v>103.44979079497914</c:v>
                </c:pt>
                <c:pt idx="389">
                  <c:v>103.44979079497914</c:v>
                </c:pt>
                <c:pt idx="390">
                  <c:v>103.47071129707119</c:v>
                </c:pt>
                <c:pt idx="391">
                  <c:v>103.3912133891214</c:v>
                </c:pt>
                <c:pt idx="392">
                  <c:v>103.4267782426779</c:v>
                </c:pt>
                <c:pt idx="393">
                  <c:v>103.5083682008369</c:v>
                </c:pt>
                <c:pt idx="394">
                  <c:v>103.55648535564862</c:v>
                </c:pt>
                <c:pt idx="395">
                  <c:v>103.5899581589959</c:v>
                </c:pt>
                <c:pt idx="396">
                  <c:v>103.47489539748962</c:v>
                </c:pt>
                <c:pt idx="397">
                  <c:v>103.43933054393312</c:v>
                </c:pt>
                <c:pt idx="398">
                  <c:v>103.30125523012559</c:v>
                </c:pt>
                <c:pt idx="399">
                  <c:v>103.29497907949798</c:v>
                </c:pt>
                <c:pt idx="400">
                  <c:v>102.54184100418416</c:v>
                </c:pt>
                <c:pt idx="401">
                  <c:v>101.79288702928878</c:v>
                </c:pt>
                <c:pt idx="402">
                  <c:v>101.13389121338921</c:v>
                </c:pt>
                <c:pt idx="403">
                  <c:v>100.9246861924687</c:v>
                </c:pt>
                <c:pt idx="404">
                  <c:v>100.73640167364024</c:v>
                </c:pt>
                <c:pt idx="405">
                  <c:v>101.46443514644359</c:v>
                </c:pt>
                <c:pt idx="406">
                  <c:v>100.69456066945614</c:v>
                </c:pt>
                <c:pt idx="407">
                  <c:v>100.69456066945614</c:v>
                </c:pt>
                <c:pt idx="408">
                  <c:v>101.51464435146451</c:v>
                </c:pt>
                <c:pt idx="409">
                  <c:v>101.92259414225948</c:v>
                </c:pt>
                <c:pt idx="410">
                  <c:v>102.49581589958167</c:v>
                </c:pt>
                <c:pt idx="411">
                  <c:v>101.88284518828461</c:v>
                </c:pt>
                <c:pt idx="412">
                  <c:v>103.00209205020928</c:v>
                </c:pt>
                <c:pt idx="413">
                  <c:v>102.84937238493731</c:v>
                </c:pt>
                <c:pt idx="414">
                  <c:v>102.57112970711306</c:v>
                </c:pt>
                <c:pt idx="415">
                  <c:v>102.43514644351472</c:v>
                </c:pt>
                <c:pt idx="416">
                  <c:v>102.52510460251054</c:v>
                </c:pt>
                <c:pt idx="417">
                  <c:v>102.66736401673649</c:v>
                </c:pt>
                <c:pt idx="418">
                  <c:v>102.77405857740594</c:v>
                </c:pt>
                <c:pt idx="419">
                  <c:v>102.82845188284526</c:v>
                </c:pt>
                <c:pt idx="420">
                  <c:v>102.74895397489547</c:v>
                </c:pt>
                <c:pt idx="421">
                  <c:v>102.52719665271974</c:v>
                </c:pt>
                <c:pt idx="422">
                  <c:v>102.44560669456075</c:v>
                </c:pt>
                <c:pt idx="423">
                  <c:v>102.30125523012561</c:v>
                </c:pt>
                <c:pt idx="424">
                  <c:v>102.41841004184108</c:v>
                </c:pt>
                <c:pt idx="425">
                  <c:v>102.5062761506277</c:v>
                </c:pt>
                <c:pt idx="426">
                  <c:v>102.77824267782435</c:v>
                </c:pt>
                <c:pt idx="427">
                  <c:v>102.94142259414234</c:v>
                </c:pt>
                <c:pt idx="428">
                  <c:v>103.07740585774066</c:v>
                </c:pt>
                <c:pt idx="429">
                  <c:v>103.03138075313815</c:v>
                </c:pt>
                <c:pt idx="430">
                  <c:v>102.95397489539756</c:v>
                </c:pt>
                <c:pt idx="431">
                  <c:v>103.0543933054394</c:v>
                </c:pt>
                <c:pt idx="432">
                  <c:v>103.04184100418418</c:v>
                </c:pt>
                <c:pt idx="433">
                  <c:v>103.06485355648543</c:v>
                </c:pt>
                <c:pt idx="434">
                  <c:v>103.06485355648543</c:v>
                </c:pt>
                <c:pt idx="435">
                  <c:v>103.06485355648543</c:v>
                </c:pt>
                <c:pt idx="436">
                  <c:v>103.06694560669465</c:v>
                </c:pt>
                <c:pt idx="437">
                  <c:v>102.96443514644361</c:v>
                </c:pt>
                <c:pt idx="438">
                  <c:v>102.89748953974905</c:v>
                </c:pt>
                <c:pt idx="439">
                  <c:v>102.69456066945617</c:v>
                </c:pt>
                <c:pt idx="440">
                  <c:v>102.34100418410053</c:v>
                </c:pt>
                <c:pt idx="441">
                  <c:v>101.67364016736413</c:v>
                </c:pt>
                <c:pt idx="442">
                  <c:v>101.61087866108798</c:v>
                </c:pt>
                <c:pt idx="443">
                  <c:v>102.30125523012565</c:v>
                </c:pt>
                <c:pt idx="444">
                  <c:v>101.44979079497919</c:v>
                </c:pt>
                <c:pt idx="445">
                  <c:v>101.44979079497918</c:v>
                </c:pt>
                <c:pt idx="446">
                  <c:v>101.30753138075323</c:v>
                </c:pt>
                <c:pt idx="447">
                  <c:v>101.62133891213399</c:v>
                </c:pt>
                <c:pt idx="448">
                  <c:v>102.11297071129718</c:v>
                </c:pt>
                <c:pt idx="449">
                  <c:v>102.30125523012563</c:v>
                </c:pt>
                <c:pt idx="450">
                  <c:v>102.21757322175743</c:v>
                </c:pt>
                <c:pt idx="451">
                  <c:v>102.09205020920513</c:v>
                </c:pt>
                <c:pt idx="452">
                  <c:v>101.98744769874487</c:v>
                </c:pt>
                <c:pt idx="453">
                  <c:v>102.09205020920513</c:v>
                </c:pt>
                <c:pt idx="454">
                  <c:v>102.05020920502103</c:v>
                </c:pt>
                <c:pt idx="455">
                  <c:v>102.05020920502103</c:v>
                </c:pt>
                <c:pt idx="456">
                  <c:v>102.05020920502103</c:v>
                </c:pt>
                <c:pt idx="457">
                  <c:v>101.58995815899593</c:v>
                </c:pt>
                <c:pt idx="458">
                  <c:v>101.58995815899593</c:v>
                </c:pt>
                <c:pt idx="459">
                  <c:v>101.58995815899593</c:v>
                </c:pt>
                <c:pt idx="460">
                  <c:v>99.341004184100527</c:v>
                </c:pt>
                <c:pt idx="461">
                  <c:v>99.38284518828462</c:v>
                </c:pt>
                <c:pt idx="462">
                  <c:v>99.4979079497909</c:v>
                </c:pt>
                <c:pt idx="463">
                  <c:v>99.665271966527285</c:v>
                </c:pt>
                <c:pt idx="464">
                  <c:v>99.581589958159086</c:v>
                </c:pt>
                <c:pt idx="465">
                  <c:v>99.288702928870393</c:v>
                </c:pt>
                <c:pt idx="466">
                  <c:v>99.372384937238593</c:v>
                </c:pt>
                <c:pt idx="467">
                  <c:v>99.288702928870393</c:v>
                </c:pt>
                <c:pt idx="468">
                  <c:v>99.278242677824366</c:v>
                </c:pt>
                <c:pt idx="469">
                  <c:v>99.571129707113059</c:v>
                </c:pt>
                <c:pt idx="470">
                  <c:v>99.205020920502179</c:v>
                </c:pt>
                <c:pt idx="471">
                  <c:v>99.194560669456152</c:v>
                </c:pt>
                <c:pt idx="472">
                  <c:v>99.246861924686286</c:v>
                </c:pt>
                <c:pt idx="473">
                  <c:v>99.205020920502193</c:v>
                </c:pt>
                <c:pt idx="474">
                  <c:v>99.3305439330545</c:v>
                </c:pt>
                <c:pt idx="475">
                  <c:v>99.372384937238593</c:v>
                </c:pt>
                <c:pt idx="476">
                  <c:v>99.3305439330545</c:v>
                </c:pt>
                <c:pt idx="477">
                  <c:v>99.309623430962446</c:v>
                </c:pt>
                <c:pt idx="478">
                  <c:v>99.225941422594246</c:v>
                </c:pt>
                <c:pt idx="479">
                  <c:v>99.121338912134007</c:v>
                </c:pt>
                <c:pt idx="480">
                  <c:v>99.115062761506394</c:v>
                </c:pt>
                <c:pt idx="481">
                  <c:v>99.079497907949929</c:v>
                </c:pt>
                <c:pt idx="482">
                  <c:v>98.870292887029422</c:v>
                </c:pt>
                <c:pt idx="483">
                  <c:v>98.849372384937368</c:v>
                </c:pt>
                <c:pt idx="484">
                  <c:v>98.845188284518969</c:v>
                </c:pt>
                <c:pt idx="485">
                  <c:v>98.891213389121475</c:v>
                </c:pt>
                <c:pt idx="486">
                  <c:v>99.016736401673782</c:v>
                </c:pt>
                <c:pt idx="487">
                  <c:v>99.058577405857875</c:v>
                </c:pt>
                <c:pt idx="488">
                  <c:v>99.184100418410182</c:v>
                </c:pt>
                <c:pt idx="489">
                  <c:v>99.142259414226075</c:v>
                </c:pt>
                <c:pt idx="490">
                  <c:v>99.100418410041968</c:v>
                </c:pt>
                <c:pt idx="491">
                  <c:v>99.163179916318114</c:v>
                </c:pt>
                <c:pt idx="492">
                  <c:v>100.20920502092062</c:v>
                </c:pt>
                <c:pt idx="493">
                  <c:v>100.73221757322187</c:v>
                </c:pt>
                <c:pt idx="494">
                  <c:v>100.73221757322187</c:v>
                </c:pt>
                <c:pt idx="495">
                  <c:v>101.51673640167375</c:v>
                </c:pt>
                <c:pt idx="496">
                  <c:v>101.56903765690387</c:v>
                </c:pt>
                <c:pt idx="497">
                  <c:v>101.88284518828462</c:v>
                </c:pt>
                <c:pt idx="498">
                  <c:v>102.09205020920513</c:v>
                </c:pt>
                <c:pt idx="499">
                  <c:v>102.40585774058587</c:v>
                </c:pt>
                <c:pt idx="500">
                  <c:v>102.51046025104613</c:v>
                </c:pt>
                <c:pt idx="501">
                  <c:v>102.92887029288713</c:v>
                </c:pt>
                <c:pt idx="502">
                  <c:v>103.03347280334738</c:v>
                </c:pt>
                <c:pt idx="503">
                  <c:v>103.34728033472814</c:v>
                </c:pt>
                <c:pt idx="504">
                  <c:v>103.13807531380765</c:v>
                </c:pt>
                <c:pt idx="505">
                  <c:v>103.17991631799174</c:v>
                </c:pt>
                <c:pt idx="506">
                  <c:v>102.67782426778254</c:v>
                </c:pt>
                <c:pt idx="507">
                  <c:v>102.84518828451895</c:v>
                </c:pt>
                <c:pt idx="508">
                  <c:v>102.84518828451895</c:v>
                </c:pt>
                <c:pt idx="509">
                  <c:v>102.8242677824269</c:v>
                </c:pt>
                <c:pt idx="510">
                  <c:v>102.81380753138087</c:v>
                </c:pt>
                <c:pt idx="511">
                  <c:v>102.71966527196665</c:v>
                </c:pt>
                <c:pt idx="512">
                  <c:v>102.8242677824269</c:v>
                </c:pt>
                <c:pt idx="513">
                  <c:v>102.82426778242689</c:v>
                </c:pt>
                <c:pt idx="514">
                  <c:v>102.80334728033483</c:v>
                </c:pt>
                <c:pt idx="515">
                  <c:v>100.17782426778254</c:v>
                </c:pt>
                <c:pt idx="516">
                  <c:v>100.0000000000001</c:v>
                </c:pt>
                <c:pt idx="517">
                  <c:v>100.20920502092061</c:v>
                </c:pt>
                <c:pt idx="518">
                  <c:v>100.18828451882855</c:v>
                </c:pt>
                <c:pt idx="519">
                  <c:v>100.20920502092061</c:v>
                </c:pt>
                <c:pt idx="520">
                  <c:v>100.41841004184111</c:v>
                </c:pt>
                <c:pt idx="521">
                  <c:v>100.41841004184111</c:v>
                </c:pt>
                <c:pt idx="522">
                  <c:v>100.73221757322186</c:v>
                </c:pt>
                <c:pt idx="523">
                  <c:v>100.31380753138086</c:v>
                </c:pt>
                <c:pt idx="524">
                  <c:v>100.31380753138086</c:v>
                </c:pt>
                <c:pt idx="525">
                  <c:v>100.52092050209217</c:v>
                </c:pt>
                <c:pt idx="526">
                  <c:v>100.31380753138086</c:v>
                </c:pt>
                <c:pt idx="527">
                  <c:v>100.39121338912145</c:v>
                </c:pt>
                <c:pt idx="528">
                  <c:v>100.39121338912145</c:v>
                </c:pt>
                <c:pt idx="529">
                  <c:v>100.52719665271977</c:v>
                </c:pt>
                <c:pt idx="530">
                  <c:v>100.55439330543943</c:v>
                </c:pt>
                <c:pt idx="531">
                  <c:v>100.55648535564865</c:v>
                </c:pt>
                <c:pt idx="532">
                  <c:v>100.31380753138086</c:v>
                </c:pt>
                <c:pt idx="533">
                  <c:v>100.55020920502102</c:v>
                </c:pt>
                <c:pt idx="534">
                  <c:v>100.68200836820094</c:v>
                </c:pt>
                <c:pt idx="535">
                  <c:v>100.72594142259425</c:v>
                </c:pt>
                <c:pt idx="536">
                  <c:v>100.41841004184111</c:v>
                </c:pt>
                <c:pt idx="537">
                  <c:v>100.41841004184111</c:v>
                </c:pt>
                <c:pt idx="538">
                  <c:v>100.41841004184111</c:v>
                </c:pt>
                <c:pt idx="539">
                  <c:v>100.41841004184111</c:v>
                </c:pt>
                <c:pt idx="540">
                  <c:v>100.47071129707123</c:v>
                </c:pt>
                <c:pt idx="541">
                  <c:v>100.41841004184111</c:v>
                </c:pt>
                <c:pt idx="542">
                  <c:v>100.54811715481182</c:v>
                </c:pt>
                <c:pt idx="543">
                  <c:v>100.31380753138086</c:v>
                </c:pt>
                <c:pt idx="544">
                  <c:v>99.686192468619353</c:v>
                </c:pt>
                <c:pt idx="545">
                  <c:v>100.02301255230137</c:v>
                </c:pt>
                <c:pt idx="546">
                  <c:v>100.00836820083694</c:v>
                </c:pt>
                <c:pt idx="547">
                  <c:v>99.790794979079607</c:v>
                </c:pt>
                <c:pt idx="548">
                  <c:v>99.790794979079607</c:v>
                </c:pt>
                <c:pt idx="549">
                  <c:v>99.895397489539846</c:v>
                </c:pt>
                <c:pt idx="550">
                  <c:v>99.895397489539832</c:v>
                </c:pt>
                <c:pt idx="551">
                  <c:v>99.790794979079593</c:v>
                </c:pt>
                <c:pt idx="552">
                  <c:v>99.790794979079593</c:v>
                </c:pt>
                <c:pt idx="553">
                  <c:v>99.790794979079593</c:v>
                </c:pt>
                <c:pt idx="554">
                  <c:v>99.581589958159086</c:v>
                </c:pt>
                <c:pt idx="555">
                  <c:v>99.686192468619339</c:v>
                </c:pt>
                <c:pt idx="556">
                  <c:v>99.790794979079593</c:v>
                </c:pt>
                <c:pt idx="557">
                  <c:v>100.4184100418411</c:v>
                </c:pt>
                <c:pt idx="558">
                  <c:v>100.31380753138085</c:v>
                </c:pt>
                <c:pt idx="559">
                  <c:v>101.35983263598335</c:v>
                </c:pt>
                <c:pt idx="560">
                  <c:v>102.77196652719675</c:v>
                </c:pt>
                <c:pt idx="561">
                  <c:v>103.66108786610889</c:v>
                </c:pt>
                <c:pt idx="562">
                  <c:v>105.03765690376578</c:v>
                </c:pt>
                <c:pt idx="563">
                  <c:v>106.52301255230135</c:v>
                </c:pt>
                <c:pt idx="564">
                  <c:v>106.52301255230135</c:v>
                </c:pt>
                <c:pt idx="565">
                  <c:v>106.98953974895407</c:v>
                </c:pt>
                <c:pt idx="566">
                  <c:v>107.74267782426787</c:v>
                </c:pt>
                <c:pt idx="567">
                  <c:v>108.21757322175741</c:v>
                </c:pt>
                <c:pt idx="568">
                  <c:v>107.52510460251055</c:v>
                </c:pt>
                <c:pt idx="569">
                  <c:v>106.05439330543942</c:v>
                </c:pt>
                <c:pt idx="570">
                  <c:v>104.19246861924695</c:v>
                </c:pt>
                <c:pt idx="571">
                  <c:v>102.30125523012561</c:v>
                </c:pt>
                <c:pt idx="572">
                  <c:v>102.00836820083691</c:v>
                </c:pt>
                <c:pt idx="573">
                  <c:v>102.04393305439338</c:v>
                </c:pt>
                <c:pt idx="574">
                  <c:v>102.06276150627623</c:v>
                </c:pt>
                <c:pt idx="575">
                  <c:v>102.12343096234316</c:v>
                </c:pt>
                <c:pt idx="576">
                  <c:v>102.12343096234316</c:v>
                </c:pt>
                <c:pt idx="577">
                  <c:v>102.36401673640174</c:v>
                </c:pt>
                <c:pt idx="578">
                  <c:v>102.37866108786616</c:v>
                </c:pt>
                <c:pt idx="579">
                  <c:v>102.38493723849376</c:v>
                </c:pt>
                <c:pt idx="580">
                  <c:v>101.83472803347284</c:v>
                </c:pt>
                <c:pt idx="581">
                  <c:v>101.44560669456071</c:v>
                </c:pt>
                <c:pt idx="582">
                  <c:v>101.20920502092052</c:v>
                </c:pt>
                <c:pt idx="583">
                  <c:v>100.86820083682011</c:v>
                </c:pt>
                <c:pt idx="584">
                  <c:v>100.54184100418412</c:v>
                </c:pt>
                <c:pt idx="585">
                  <c:v>100.07949790794981</c:v>
                </c:pt>
                <c:pt idx="586">
                  <c:v>99.564853556485374</c:v>
                </c:pt>
                <c:pt idx="587">
                  <c:v>99.307531380753147</c:v>
                </c:pt>
                <c:pt idx="588">
                  <c:v>99.129707112970721</c:v>
                </c:pt>
                <c:pt idx="589">
                  <c:v>98.771966527196668</c:v>
                </c:pt>
                <c:pt idx="590">
                  <c:v>98.625523012552321</c:v>
                </c:pt>
                <c:pt idx="591">
                  <c:v>98.433054393305454</c:v>
                </c:pt>
                <c:pt idx="592">
                  <c:v>98.399581589958174</c:v>
                </c:pt>
                <c:pt idx="593">
                  <c:v>98.290794979079493</c:v>
                </c:pt>
                <c:pt idx="594">
                  <c:v>97.95188284518828</c:v>
                </c:pt>
                <c:pt idx="595">
                  <c:v>97.65062761506276</c:v>
                </c:pt>
                <c:pt idx="596">
                  <c:v>97.54811715481172</c:v>
                </c:pt>
                <c:pt idx="597">
                  <c:v>97.389121338912133</c:v>
                </c:pt>
                <c:pt idx="598">
                  <c:v>96.677824267782427</c:v>
                </c:pt>
                <c:pt idx="599">
                  <c:v>96.020920502092054</c:v>
                </c:pt>
                <c:pt idx="600">
                  <c:v>95.328451882845187</c:v>
                </c:pt>
                <c:pt idx="601">
                  <c:v>94.61506276150628</c:v>
                </c:pt>
                <c:pt idx="602">
                  <c:v>93.859832635983267</c:v>
                </c:pt>
                <c:pt idx="603">
                  <c:v>94.098326359832654</c:v>
                </c:pt>
                <c:pt idx="604">
                  <c:v>94.901673640167388</c:v>
                </c:pt>
                <c:pt idx="605">
                  <c:v>96.964435146443549</c:v>
                </c:pt>
                <c:pt idx="606">
                  <c:v>96.966527196652748</c:v>
                </c:pt>
                <c:pt idx="607">
                  <c:v>99.027196652719695</c:v>
                </c:pt>
                <c:pt idx="608">
                  <c:v>98.669456066945628</c:v>
                </c:pt>
                <c:pt idx="609">
                  <c:v>97.462343096234335</c:v>
                </c:pt>
                <c:pt idx="610">
                  <c:v>96.052301255230148</c:v>
                </c:pt>
                <c:pt idx="611">
                  <c:v>95.175732217573241</c:v>
                </c:pt>
                <c:pt idx="612">
                  <c:v>94.976987447698761</c:v>
                </c:pt>
                <c:pt idx="613">
                  <c:v>94.949790794979094</c:v>
                </c:pt>
                <c:pt idx="614">
                  <c:v>95.500000000000014</c:v>
                </c:pt>
                <c:pt idx="615">
                  <c:v>95.89958158995816</c:v>
                </c:pt>
                <c:pt idx="616">
                  <c:v>95.397489539748946</c:v>
                </c:pt>
                <c:pt idx="617">
                  <c:v>95.131799163179906</c:v>
                </c:pt>
                <c:pt idx="618">
                  <c:v>94.497907949790772</c:v>
                </c:pt>
                <c:pt idx="619">
                  <c:v>94.081589958158972</c:v>
                </c:pt>
                <c:pt idx="620">
                  <c:v>93.341004184100413</c:v>
                </c:pt>
                <c:pt idx="621">
                  <c:v>93.55230125523012</c:v>
                </c:pt>
                <c:pt idx="622">
                  <c:v>93.552301255230134</c:v>
                </c:pt>
                <c:pt idx="623">
                  <c:v>93.552301255230134</c:v>
                </c:pt>
                <c:pt idx="624">
                  <c:v>93.020920502092054</c:v>
                </c:pt>
                <c:pt idx="625">
                  <c:v>93.020920502092054</c:v>
                </c:pt>
                <c:pt idx="626">
                  <c:v>91.872384937238493</c:v>
                </c:pt>
                <c:pt idx="627">
                  <c:v>91.343096234309627</c:v>
                </c:pt>
                <c:pt idx="628">
                  <c:v>90.558577405857747</c:v>
                </c:pt>
                <c:pt idx="629">
                  <c:v>89.9142259414226</c:v>
                </c:pt>
                <c:pt idx="630">
                  <c:v>89.089958158995827</c:v>
                </c:pt>
                <c:pt idx="631">
                  <c:v>88.064853556485346</c:v>
                </c:pt>
                <c:pt idx="632">
                  <c:v>87.372384937238493</c:v>
                </c:pt>
                <c:pt idx="633">
                  <c:v>87.579497907949786</c:v>
                </c:pt>
                <c:pt idx="634">
                  <c:v>88.581589958158986</c:v>
                </c:pt>
                <c:pt idx="635">
                  <c:v>88.581589958158986</c:v>
                </c:pt>
                <c:pt idx="636">
                  <c:v>88.76569037656904</c:v>
                </c:pt>
                <c:pt idx="637">
                  <c:v>88.765690376569026</c:v>
                </c:pt>
                <c:pt idx="638">
                  <c:v>87.031380753138066</c:v>
                </c:pt>
                <c:pt idx="639">
                  <c:v>86.112970711297066</c:v>
                </c:pt>
                <c:pt idx="640">
                  <c:v>85.73640167364016</c:v>
                </c:pt>
                <c:pt idx="641">
                  <c:v>85.263598326359826</c:v>
                </c:pt>
                <c:pt idx="642">
                  <c:v>87.866108786610866</c:v>
                </c:pt>
                <c:pt idx="643">
                  <c:v>85.228033472803332</c:v>
                </c:pt>
                <c:pt idx="644">
                  <c:v>85.228033472803347</c:v>
                </c:pt>
                <c:pt idx="645">
                  <c:v>84.981171548117146</c:v>
                </c:pt>
                <c:pt idx="646">
                  <c:v>85.13598326359832</c:v>
                </c:pt>
                <c:pt idx="647">
                  <c:v>85.13598326359832</c:v>
                </c:pt>
                <c:pt idx="648">
                  <c:v>85.046025104602492</c:v>
                </c:pt>
                <c:pt idx="649">
                  <c:v>85.188284518828425</c:v>
                </c:pt>
                <c:pt idx="650">
                  <c:v>85.435146443514611</c:v>
                </c:pt>
                <c:pt idx="651">
                  <c:v>85.705020920502065</c:v>
                </c:pt>
                <c:pt idx="652">
                  <c:v>85.765690376568998</c:v>
                </c:pt>
                <c:pt idx="653">
                  <c:v>85.765690376568983</c:v>
                </c:pt>
                <c:pt idx="654">
                  <c:v>85.949790794979023</c:v>
                </c:pt>
                <c:pt idx="655">
                  <c:v>86.115062761506223</c:v>
                </c:pt>
                <c:pt idx="656">
                  <c:v>86.280334728033424</c:v>
                </c:pt>
                <c:pt idx="657">
                  <c:v>86.621338912133837</c:v>
                </c:pt>
                <c:pt idx="658">
                  <c:v>86.684100418409983</c:v>
                </c:pt>
                <c:pt idx="659">
                  <c:v>86.736401673640117</c:v>
                </c:pt>
                <c:pt idx="660">
                  <c:v>86.57740585774053</c:v>
                </c:pt>
                <c:pt idx="661">
                  <c:v>86.213389121338864</c:v>
                </c:pt>
                <c:pt idx="662">
                  <c:v>85.84100418410037</c:v>
                </c:pt>
                <c:pt idx="663">
                  <c:v>85.414225941422544</c:v>
                </c:pt>
                <c:pt idx="664">
                  <c:v>85.115062761506238</c:v>
                </c:pt>
                <c:pt idx="665">
                  <c:v>84.872384937238451</c:v>
                </c:pt>
                <c:pt idx="666">
                  <c:v>85.085774058577357</c:v>
                </c:pt>
                <c:pt idx="667">
                  <c:v>84.937238493723811</c:v>
                </c:pt>
                <c:pt idx="668">
                  <c:v>84.930962343096198</c:v>
                </c:pt>
                <c:pt idx="669">
                  <c:v>84.822175732217531</c:v>
                </c:pt>
                <c:pt idx="670">
                  <c:v>84.690376569037625</c:v>
                </c:pt>
                <c:pt idx="671">
                  <c:v>84.757322175732185</c:v>
                </c:pt>
                <c:pt idx="672">
                  <c:v>84.855648535564825</c:v>
                </c:pt>
                <c:pt idx="673">
                  <c:v>84.786610878661051</c:v>
                </c:pt>
                <c:pt idx="674">
                  <c:v>84.682008368200798</c:v>
                </c:pt>
                <c:pt idx="675">
                  <c:v>84.746861924686158</c:v>
                </c:pt>
                <c:pt idx="676">
                  <c:v>84.709205020920479</c:v>
                </c:pt>
                <c:pt idx="677">
                  <c:v>84.767782426778211</c:v>
                </c:pt>
                <c:pt idx="678">
                  <c:v>84.746861924686158</c:v>
                </c:pt>
                <c:pt idx="679">
                  <c:v>84.719665271966505</c:v>
                </c:pt>
                <c:pt idx="680">
                  <c:v>84.68410041841004</c:v>
                </c:pt>
                <c:pt idx="681">
                  <c:v>84.55020920502092</c:v>
                </c:pt>
                <c:pt idx="682">
                  <c:v>84.61506276150628</c:v>
                </c:pt>
                <c:pt idx="683">
                  <c:v>84.504184100418414</c:v>
                </c:pt>
                <c:pt idx="684">
                  <c:v>84.491631799163187</c:v>
                </c:pt>
                <c:pt idx="685">
                  <c:v>84.506276150627627</c:v>
                </c:pt>
                <c:pt idx="686">
                  <c:v>84.48117154811716</c:v>
                </c:pt>
                <c:pt idx="687">
                  <c:v>84.543933054393307</c:v>
                </c:pt>
                <c:pt idx="688">
                  <c:v>84.470711297071134</c:v>
                </c:pt>
                <c:pt idx="689">
                  <c:v>84.426778242677827</c:v>
                </c:pt>
                <c:pt idx="690">
                  <c:v>84.46443514644352</c:v>
                </c:pt>
                <c:pt idx="691">
                  <c:v>84.433054393305426</c:v>
                </c:pt>
                <c:pt idx="692">
                  <c:v>83.744769874476987</c:v>
                </c:pt>
                <c:pt idx="693">
                  <c:v>84.476987447698747</c:v>
                </c:pt>
                <c:pt idx="694">
                  <c:v>84.497907949790786</c:v>
                </c:pt>
                <c:pt idx="695">
                  <c:v>84.10041841004184</c:v>
                </c:pt>
                <c:pt idx="696">
                  <c:v>84.585774058577414</c:v>
                </c:pt>
                <c:pt idx="697">
                  <c:v>84.585774058577428</c:v>
                </c:pt>
                <c:pt idx="698">
                  <c:v>84.667364016736428</c:v>
                </c:pt>
                <c:pt idx="699">
                  <c:v>84.665271966527229</c:v>
                </c:pt>
                <c:pt idx="700">
                  <c:v>85.803347280334748</c:v>
                </c:pt>
                <c:pt idx="701">
                  <c:v>86.928870292887055</c:v>
                </c:pt>
                <c:pt idx="702">
                  <c:v>86.968619246861948</c:v>
                </c:pt>
                <c:pt idx="703">
                  <c:v>87.186192468619268</c:v>
                </c:pt>
                <c:pt idx="704">
                  <c:v>86.968619246861948</c:v>
                </c:pt>
                <c:pt idx="705">
                  <c:v>87.020920502092082</c:v>
                </c:pt>
                <c:pt idx="706">
                  <c:v>86.876569037656935</c:v>
                </c:pt>
                <c:pt idx="707">
                  <c:v>86.202928870292922</c:v>
                </c:pt>
                <c:pt idx="708">
                  <c:v>85.527196652719695</c:v>
                </c:pt>
                <c:pt idx="709">
                  <c:v>85.154811715481216</c:v>
                </c:pt>
                <c:pt idx="710">
                  <c:v>84.713389121338949</c:v>
                </c:pt>
                <c:pt idx="711">
                  <c:v>84.654811715481202</c:v>
                </c:pt>
                <c:pt idx="712">
                  <c:v>84.771966527196682</c:v>
                </c:pt>
                <c:pt idx="713">
                  <c:v>84.830543933054429</c:v>
                </c:pt>
                <c:pt idx="714">
                  <c:v>84.661087866108815</c:v>
                </c:pt>
                <c:pt idx="715">
                  <c:v>84.615062761506294</c:v>
                </c:pt>
                <c:pt idx="716">
                  <c:v>83.891213389121347</c:v>
                </c:pt>
                <c:pt idx="717">
                  <c:v>84.372384937238493</c:v>
                </c:pt>
                <c:pt idx="718">
                  <c:v>84.313807531380746</c:v>
                </c:pt>
                <c:pt idx="719">
                  <c:v>84.2531380753138</c:v>
                </c:pt>
                <c:pt idx="720">
                  <c:v>84.290794979079493</c:v>
                </c:pt>
                <c:pt idx="721">
                  <c:v>84.297071129707106</c:v>
                </c:pt>
                <c:pt idx="722">
                  <c:v>84.336820083682014</c:v>
                </c:pt>
                <c:pt idx="723">
                  <c:v>84.30125523012552</c:v>
                </c:pt>
                <c:pt idx="724">
                  <c:v>84.307531380753147</c:v>
                </c:pt>
                <c:pt idx="725">
                  <c:v>84.223849372384947</c:v>
                </c:pt>
                <c:pt idx="726">
                  <c:v>84.223849372384947</c:v>
                </c:pt>
                <c:pt idx="727">
                  <c:v>83.960251046025121</c:v>
                </c:pt>
                <c:pt idx="728">
                  <c:v>83.663179916318029</c:v>
                </c:pt>
                <c:pt idx="729">
                  <c:v>83.343096234309655</c:v>
                </c:pt>
                <c:pt idx="730">
                  <c:v>82.782426778242694</c:v>
                </c:pt>
                <c:pt idx="731">
                  <c:v>82.537656903765708</c:v>
                </c:pt>
                <c:pt idx="732">
                  <c:v>84.058577405857761</c:v>
                </c:pt>
                <c:pt idx="733">
                  <c:v>84.037656903765722</c:v>
                </c:pt>
                <c:pt idx="734">
                  <c:v>82.504184100418456</c:v>
                </c:pt>
                <c:pt idx="735">
                  <c:v>82.497907949790843</c:v>
                </c:pt>
                <c:pt idx="736">
                  <c:v>82.744769874477043</c:v>
                </c:pt>
                <c:pt idx="737">
                  <c:v>82.744769874477043</c:v>
                </c:pt>
                <c:pt idx="738">
                  <c:v>82.897489539749017</c:v>
                </c:pt>
                <c:pt idx="739">
                  <c:v>82.355648535564924</c:v>
                </c:pt>
                <c:pt idx="740">
                  <c:v>82.483263598326417</c:v>
                </c:pt>
                <c:pt idx="741">
                  <c:v>82.661087866108844</c:v>
                </c:pt>
                <c:pt idx="742">
                  <c:v>82.62133891213395</c:v>
                </c:pt>
                <c:pt idx="743">
                  <c:v>82.62133891213395</c:v>
                </c:pt>
                <c:pt idx="744">
                  <c:v>82.45606694560675</c:v>
                </c:pt>
                <c:pt idx="745">
                  <c:v>82.537656903765736</c:v>
                </c:pt>
                <c:pt idx="746">
                  <c:v>82.74058577405863</c:v>
                </c:pt>
                <c:pt idx="747">
                  <c:v>82.74058577405863</c:v>
                </c:pt>
                <c:pt idx="748">
                  <c:v>82.382845188284577</c:v>
                </c:pt>
                <c:pt idx="749">
                  <c:v>82.412133891213443</c:v>
                </c:pt>
                <c:pt idx="750">
                  <c:v>82.412133891213443</c:v>
                </c:pt>
                <c:pt idx="751">
                  <c:v>82.43723849372391</c:v>
                </c:pt>
                <c:pt idx="752">
                  <c:v>82.619246861924751</c:v>
                </c:pt>
                <c:pt idx="753">
                  <c:v>82.451882845188351</c:v>
                </c:pt>
                <c:pt idx="754">
                  <c:v>82.451882845188351</c:v>
                </c:pt>
                <c:pt idx="755">
                  <c:v>82.500000000000071</c:v>
                </c:pt>
                <c:pt idx="756">
                  <c:v>82.217573221757391</c:v>
                </c:pt>
                <c:pt idx="757">
                  <c:v>82.617154811715565</c:v>
                </c:pt>
                <c:pt idx="758">
                  <c:v>82.550209205020991</c:v>
                </c:pt>
                <c:pt idx="759">
                  <c:v>82.577405857740672</c:v>
                </c:pt>
                <c:pt idx="760">
                  <c:v>82.458158995815978</c:v>
                </c:pt>
                <c:pt idx="761">
                  <c:v>82.820083682008445</c:v>
                </c:pt>
                <c:pt idx="762">
                  <c:v>82.537656903765765</c:v>
                </c:pt>
                <c:pt idx="763">
                  <c:v>82.792887029288778</c:v>
                </c:pt>
                <c:pt idx="764">
                  <c:v>82.244769874477058</c:v>
                </c:pt>
                <c:pt idx="765">
                  <c:v>82.271966527196724</c:v>
                </c:pt>
                <c:pt idx="766">
                  <c:v>82.311715481171618</c:v>
                </c:pt>
                <c:pt idx="767">
                  <c:v>82.278242677824338</c:v>
                </c:pt>
                <c:pt idx="768">
                  <c:v>82.161087866108858</c:v>
                </c:pt>
                <c:pt idx="769">
                  <c:v>82.211297071129778</c:v>
                </c:pt>
                <c:pt idx="770">
                  <c:v>82.232217573221817</c:v>
                </c:pt>
                <c:pt idx="771">
                  <c:v>82.177824267782484</c:v>
                </c:pt>
                <c:pt idx="772">
                  <c:v>82.133891213389191</c:v>
                </c:pt>
                <c:pt idx="773">
                  <c:v>82.064853556485417</c:v>
                </c:pt>
                <c:pt idx="774">
                  <c:v>82.094142259414298</c:v>
                </c:pt>
                <c:pt idx="775">
                  <c:v>82.008368200836884</c:v>
                </c:pt>
                <c:pt idx="776">
                  <c:v>82.361924686192538</c:v>
                </c:pt>
                <c:pt idx="777">
                  <c:v>82.320083682008445</c:v>
                </c:pt>
                <c:pt idx="778">
                  <c:v>82.845188284518898</c:v>
                </c:pt>
                <c:pt idx="779">
                  <c:v>82.845188284518898</c:v>
                </c:pt>
                <c:pt idx="780">
                  <c:v>82.412133891213458</c:v>
                </c:pt>
                <c:pt idx="781">
                  <c:v>82.744769874477058</c:v>
                </c:pt>
                <c:pt idx="782">
                  <c:v>82.949790794979151</c:v>
                </c:pt>
                <c:pt idx="783">
                  <c:v>82.845188284518898</c:v>
                </c:pt>
                <c:pt idx="784">
                  <c:v>82.845188284518898</c:v>
                </c:pt>
                <c:pt idx="785">
                  <c:v>82.845188284518898</c:v>
                </c:pt>
                <c:pt idx="786">
                  <c:v>82.949790794979151</c:v>
                </c:pt>
                <c:pt idx="787">
                  <c:v>82.849372384937311</c:v>
                </c:pt>
                <c:pt idx="788">
                  <c:v>82.792887029288792</c:v>
                </c:pt>
                <c:pt idx="789">
                  <c:v>82.797071129707192</c:v>
                </c:pt>
                <c:pt idx="790">
                  <c:v>82.769874476987525</c:v>
                </c:pt>
                <c:pt idx="791">
                  <c:v>82.740585774058658</c:v>
                </c:pt>
                <c:pt idx="792">
                  <c:v>82.640167364016818</c:v>
                </c:pt>
                <c:pt idx="793">
                  <c:v>82.562761506276232</c:v>
                </c:pt>
                <c:pt idx="794">
                  <c:v>82.872384937238579</c:v>
                </c:pt>
                <c:pt idx="795">
                  <c:v>82.872384937238579</c:v>
                </c:pt>
                <c:pt idx="796">
                  <c:v>82.897489539749031</c:v>
                </c:pt>
                <c:pt idx="797">
                  <c:v>82.897489539749031</c:v>
                </c:pt>
                <c:pt idx="798">
                  <c:v>82.976987447698818</c:v>
                </c:pt>
                <c:pt idx="799">
                  <c:v>82.976987447698818</c:v>
                </c:pt>
                <c:pt idx="800">
                  <c:v>82.976987447698818</c:v>
                </c:pt>
                <c:pt idx="801">
                  <c:v>82.976987447698818</c:v>
                </c:pt>
                <c:pt idx="802">
                  <c:v>83.002092050209285</c:v>
                </c:pt>
                <c:pt idx="803">
                  <c:v>82.792887029288792</c:v>
                </c:pt>
                <c:pt idx="804">
                  <c:v>82.897489539749046</c:v>
                </c:pt>
                <c:pt idx="805">
                  <c:v>82.820083682008459</c:v>
                </c:pt>
                <c:pt idx="806">
                  <c:v>82.740585774058673</c:v>
                </c:pt>
                <c:pt idx="807">
                  <c:v>82.740585774058673</c:v>
                </c:pt>
                <c:pt idx="808">
                  <c:v>82.117154811715565</c:v>
                </c:pt>
                <c:pt idx="809">
                  <c:v>81.985355648535645</c:v>
                </c:pt>
                <c:pt idx="810">
                  <c:v>81.985355648535645</c:v>
                </c:pt>
                <c:pt idx="811">
                  <c:v>81.732217573221845</c:v>
                </c:pt>
                <c:pt idx="812">
                  <c:v>81.481171548117246</c:v>
                </c:pt>
                <c:pt idx="813">
                  <c:v>81.380753138075406</c:v>
                </c:pt>
                <c:pt idx="814">
                  <c:v>81.259414225941526</c:v>
                </c:pt>
                <c:pt idx="815">
                  <c:v>81.184100418410139</c:v>
                </c:pt>
                <c:pt idx="816">
                  <c:v>81.234309623431059</c:v>
                </c:pt>
                <c:pt idx="817">
                  <c:v>81.173640167364113</c:v>
                </c:pt>
                <c:pt idx="818">
                  <c:v>81.161087866108886</c:v>
                </c:pt>
                <c:pt idx="819">
                  <c:v>80.9979079497909</c:v>
                </c:pt>
                <c:pt idx="820">
                  <c:v>81.06485355648546</c:v>
                </c:pt>
                <c:pt idx="821">
                  <c:v>81.087866108786713</c:v>
                </c:pt>
                <c:pt idx="822">
                  <c:v>81.087866108786713</c:v>
                </c:pt>
                <c:pt idx="823">
                  <c:v>81.064853556485446</c:v>
                </c:pt>
                <c:pt idx="824">
                  <c:v>81.000000000000085</c:v>
                </c:pt>
                <c:pt idx="825">
                  <c:v>81.054393305439419</c:v>
                </c:pt>
                <c:pt idx="826">
                  <c:v>81.127615062761592</c:v>
                </c:pt>
                <c:pt idx="827">
                  <c:v>81.046025104602577</c:v>
                </c:pt>
                <c:pt idx="828">
                  <c:v>81.094142259414298</c:v>
                </c:pt>
                <c:pt idx="829">
                  <c:v>81.02092050209211</c:v>
                </c:pt>
                <c:pt idx="830">
                  <c:v>81.062761506276217</c:v>
                </c:pt>
                <c:pt idx="831">
                  <c:v>81.035564853556551</c:v>
                </c:pt>
                <c:pt idx="832">
                  <c:v>80.997907949790857</c:v>
                </c:pt>
                <c:pt idx="833">
                  <c:v>81.031380753138123</c:v>
                </c:pt>
                <c:pt idx="834">
                  <c:v>80.976987447698789</c:v>
                </c:pt>
                <c:pt idx="835">
                  <c:v>81.073221757322216</c:v>
                </c:pt>
                <c:pt idx="836">
                  <c:v>81.02301255230131</c:v>
                </c:pt>
                <c:pt idx="837">
                  <c:v>81.006276150627656</c:v>
                </c:pt>
                <c:pt idx="838">
                  <c:v>81.02510460251051</c:v>
                </c:pt>
                <c:pt idx="839">
                  <c:v>81.02510460251051</c:v>
                </c:pt>
                <c:pt idx="840">
                  <c:v>81.062761506276203</c:v>
                </c:pt>
                <c:pt idx="841">
                  <c:v>80.993723849372429</c:v>
                </c:pt>
                <c:pt idx="842">
                  <c:v>81.029288702928909</c:v>
                </c:pt>
                <c:pt idx="843">
                  <c:v>81.006276150627656</c:v>
                </c:pt>
                <c:pt idx="844">
                  <c:v>81.006276150627656</c:v>
                </c:pt>
                <c:pt idx="845">
                  <c:v>81.012552301255283</c:v>
                </c:pt>
                <c:pt idx="846">
                  <c:v>81.012552301255283</c:v>
                </c:pt>
                <c:pt idx="847">
                  <c:v>81.012552301255283</c:v>
                </c:pt>
                <c:pt idx="848">
                  <c:v>80.95606694560675</c:v>
                </c:pt>
                <c:pt idx="849">
                  <c:v>81.004184100418456</c:v>
                </c:pt>
                <c:pt idx="850">
                  <c:v>80.949790794979137</c:v>
                </c:pt>
                <c:pt idx="851">
                  <c:v>80.916317991631843</c:v>
                </c:pt>
                <c:pt idx="852">
                  <c:v>80.889121338912176</c:v>
                </c:pt>
                <c:pt idx="853">
                  <c:v>80.797071129707163</c:v>
                </c:pt>
                <c:pt idx="854">
                  <c:v>80.851464435146497</c:v>
                </c:pt>
                <c:pt idx="855">
                  <c:v>80.851464435146497</c:v>
                </c:pt>
                <c:pt idx="856">
                  <c:v>80.594142259414284</c:v>
                </c:pt>
                <c:pt idx="857">
                  <c:v>80.82217573221763</c:v>
                </c:pt>
                <c:pt idx="858">
                  <c:v>80.633891213389177</c:v>
                </c:pt>
                <c:pt idx="859">
                  <c:v>80.677824267782484</c:v>
                </c:pt>
                <c:pt idx="860">
                  <c:v>80.677824267782484</c:v>
                </c:pt>
                <c:pt idx="861">
                  <c:v>80.721757322175804</c:v>
                </c:pt>
                <c:pt idx="862">
                  <c:v>80.748953974895471</c:v>
                </c:pt>
                <c:pt idx="863">
                  <c:v>80.817991631799231</c:v>
                </c:pt>
                <c:pt idx="864">
                  <c:v>80.617154811715551</c:v>
                </c:pt>
                <c:pt idx="865">
                  <c:v>80.635983263598391</c:v>
                </c:pt>
                <c:pt idx="866">
                  <c:v>80.635983263598391</c:v>
                </c:pt>
                <c:pt idx="867">
                  <c:v>80.627615062761564</c:v>
                </c:pt>
                <c:pt idx="868">
                  <c:v>80.753138075313871</c:v>
                </c:pt>
                <c:pt idx="869">
                  <c:v>80.543933054393364</c:v>
                </c:pt>
                <c:pt idx="870">
                  <c:v>80.801255230125591</c:v>
                </c:pt>
                <c:pt idx="871">
                  <c:v>80.617154811715551</c:v>
                </c:pt>
                <c:pt idx="872">
                  <c:v>80.608786610878738</c:v>
                </c:pt>
                <c:pt idx="873">
                  <c:v>80.759414225941484</c:v>
                </c:pt>
                <c:pt idx="874">
                  <c:v>80.631799163179977</c:v>
                </c:pt>
                <c:pt idx="875">
                  <c:v>80.734309623431031</c:v>
                </c:pt>
                <c:pt idx="876">
                  <c:v>80.596234309623483</c:v>
                </c:pt>
                <c:pt idx="877">
                  <c:v>80.596234309623483</c:v>
                </c:pt>
                <c:pt idx="878">
                  <c:v>80.627615062761564</c:v>
                </c:pt>
                <c:pt idx="879">
                  <c:v>80.652719665272031</c:v>
                </c:pt>
                <c:pt idx="880">
                  <c:v>80.125523012552364</c:v>
                </c:pt>
                <c:pt idx="881">
                  <c:v>80.652719665272016</c:v>
                </c:pt>
                <c:pt idx="882">
                  <c:v>80.67364016736407</c:v>
                </c:pt>
                <c:pt idx="883">
                  <c:v>80.748953974895457</c:v>
                </c:pt>
                <c:pt idx="884">
                  <c:v>80.799163179916377</c:v>
                </c:pt>
                <c:pt idx="885">
                  <c:v>80.811715481171603</c:v>
                </c:pt>
                <c:pt idx="886">
                  <c:v>80.761506276150698</c:v>
                </c:pt>
                <c:pt idx="887">
                  <c:v>80.700836820083751</c:v>
                </c:pt>
                <c:pt idx="888">
                  <c:v>80.753138075313871</c:v>
                </c:pt>
                <c:pt idx="889">
                  <c:v>80.334728033472871</c:v>
                </c:pt>
                <c:pt idx="890">
                  <c:v>80.627615062761564</c:v>
                </c:pt>
                <c:pt idx="891">
                  <c:v>80.797071129707177</c:v>
                </c:pt>
                <c:pt idx="892">
                  <c:v>80.669456066945685</c:v>
                </c:pt>
                <c:pt idx="893">
                  <c:v>80.656903765690458</c:v>
                </c:pt>
                <c:pt idx="894">
                  <c:v>80.656903765690458</c:v>
                </c:pt>
                <c:pt idx="895">
                  <c:v>80.600418410041911</c:v>
                </c:pt>
                <c:pt idx="896">
                  <c:v>80.769874476987511</c:v>
                </c:pt>
                <c:pt idx="897">
                  <c:v>80.577405857740658</c:v>
                </c:pt>
                <c:pt idx="898">
                  <c:v>80.573221757322244</c:v>
                </c:pt>
                <c:pt idx="899">
                  <c:v>80.774058577405938</c:v>
                </c:pt>
                <c:pt idx="900">
                  <c:v>80.658995815899658</c:v>
                </c:pt>
                <c:pt idx="901">
                  <c:v>80.692468619246924</c:v>
                </c:pt>
                <c:pt idx="902">
                  <c:v>80.65481171548123</c:v>
                </c:pt>
                <c:pt idx="903">
                  <c:v>80.610878661087924</c:v>
                </c:pt>
                <c:pt idx="904">
                  <c:v>80.55648535564859</c:v>
                </c:pt>
                <c:pt idx="905">
                  <c:v>80.748953974895457</c:v>
                </c:pt>
                <c:pt idx="906">
                  <c:v>80.748953974895457</c:v>
                </c:pt>
                <c:pt idx="907">
                  <c:v>80.596234309623483</c:v>
                </c:pt>
                <c:pt idx="908">
                  <c:v>80.602510460251096</c:v>
                </c:pt>
                <c:pt idx="909">
                  <c:v>80.543933054393364</c:v>
                </c:pt>
                <c:pt idx="910">
                  <c:v>80.77196652719671</c:v>
                </c:pt>
                <c:pt idx="911">
                  <c:v>80.788702928870364</c:v>
                </c:pt>
                <c:pt idx="912">
                  <c:v>80.598326359832697</c:v>
                </c:pt>
                <c:pt idx="913">
                  <c:v>81.213389121338977</c:v>
                </c:pt>
                <c:pt idx="914">
                  <c:v>80.546025104602577</c:v>
                </c:pt>
                <c:pt idx="915">
                  <c:v>80.573221757322244</c:v>
                </c:pt>
                <c:pt idx="916">
                  <c:v>80.604602510460325</c:v>
                </c:pt>
                <c:pt idx="917">
                  <c:v>80.811715481171603</c:v>
                </c:pt>
                <c:pt idx="918">
                  <c:v>80.60460251046031</c:v>
                </c:pt>
                <c:pt idx="919">
                  <c:v>80.644351464435204</c:v>
                </c:pt>
                <c:pt idx="920">
                  <c:v>80.771966527196696</c:v>
                </c:pt>
                <c:pt idx="921">
                  <c:v>80.698744769874523</c:v>
                </c:pt>
                <c:pt idx="922">
                  <c:v>80.627615062761549</c:v>
                </c:pt>
                <c:pt idx="923">
                  <c:v>80.619246861924736</c:v>
                </c:pt>
                <c:pt idx="924">
                  <c:v>80.58995815899587</c:v>
                </c:pt>
                <c:pt idx="925">
                  <c:v>80.573221757322216</c:v>
                </c:pt>
                <c:pt idx="926">
                  <c:v>80.581589958159043</c:v>
                </c:pt>
                <c:pt idx="927">
                  <c:v>80.72384937238499</c:v>
                </c:pt>
                <c:pt idx="928">
                  <c:v>80.72384937238499</c:v>
                </c:pt>
                <c:pt idx="929">
                  <c:v>80.60460251046031</c:v>
                </c:pt>
                <c:pt idx="930">
                  <c:v>80.562761506276203</c:v>
                </c:pt>
                <c:pt idx="931">
                  <c:v>80.64016736401679</c:v>
                </c:pt>
                <c:pt idx="932">
                  <c:v>80.558577405857804</c:v>
                </c:pt>
                <c:pt idx="933">
                  <c:v>80.554393305439405</c:v>
                </c:pt>
                <c:pt idx="934">
                  <c:v>80.543933054393378</c:v>
                </c:pt>
                <c:pt idx="935">
                  <c:v>80.671548117154884</c:v>
                </c:pt>
                <c:pt idx="936">
                  <c:v>80.682008368200911</c:v>
                </c:pt>
                <c:pt idx="937">
                  <c:v>80.481171548117217</c:v>
                </c:pt>
                <c:pt idx="938">
                  <c:v>80.575313807531444</c:v>
                </c:pt>
                <c:pt idx="939">
                  <c:v>80.57112970711303</c:v>
                </c:pt>
                <c:pt idx="940">
                  <c:v>80.334728033472871</c:v>
                </c:pt>
                <c:pt idx="941">
                  <c:v>80.500000000000071</c:v>
                </c:pt>
                <c:pt idx="942">
                  <c:v>80.711297071129778</c:v>
                </c:pt>
                <c:pt idx="943">
                  <c:v>80.535564853556551</c:v>
                </c:pt>
                <c:pt idx="944">
                  <c:v>80.539748953974964</c:v>
                </c:pt>
                <c:pt idx="945">
                  <c:v>80.541841004184164</c:v>
                </c:pt>
                <c:pt idx="946">
                  <c:v>80.575313807531444</c:v>
                </c:pt>
                <c:pt idx="947">
                  <c:v>80.539748953974964</c:v>
                </c:pt>
                <c:pt idx="948">
                  <c:v>80.497907949790857</c:v>
                </c:pt>
                <c:pt idx="949">
                  <c:v>80.523012552301324</c:v>
                </c:pt>
                <c:pt idx="950">
                  <c:v>80.523012552301324</c:v>
                </c:pt>
                <c:pt idx="951">
                  <c:v>80.504184100418485</c:v>
                </c:pt>
                <c:pt idx="952">
                  <c:v>80.508368200836884</c:v>
                </c:pt>
                <c:pt idx="953">
                  <c:v>80.476987447698818</c:v>
                </c:pt>
                <c:pt idx="954">
                  <c:v>80.47071129707119</c:v>
                </c:pt>
                <c:pt idx="955">
                  <c:v>80.564853556485417</c:v>
                </c:pt>
              </c:numCache>
            </c:numRef>
          </c:val>
          <c:smooth val="0"/>
          <c:extLst>
            <c:ext xmlns:c16="http://schemas.microsoft.com/office/drawing/2014/chart" uri="{C3380CC4-5D6E-409C-BE32-E72D297353CC}">
              <c16:uniqueId val="{00000001-3681-4EBC-BDC7-036968F800BB}"/>
            </c:ext>
          </c:extLst>
        </c:ser>
        <c:ser>
          <c:idx val="3"/>
          <c:order val="2"/>
          <c:tx>
            <c:strRef>
              <c:f>Sheet1!$D$1</c:f>
              <c:strCache>
                <c:ptCount val="1"/>
                <c:pt idx="0">
                  <c:v>Ռուսական ռուբլի</c:v>
                </c:pt>
              </c:strCache>
            </c:strRef>
          </c:tx>
          <c:spPr>
            <a:ln w="19050" cap="rnd">
              <a:solidFill>
                <a:sysClr val="window" lastClr="FFFFFF">
                  <a:lumMod val="65000"/>
                </a:sysClr>
              </a:solidFill>
              <a:round/>
            </a:ln>
            <a:effectLst/>
          </c:spPr>
          <c:marker>
            <c:symbol val="picture"/>
            <c:spPr>
              <a:ln w="6350">
                <a:noFill/>
              </a:ln>
            </c:spPr>
          </c:marker>
          <c:cat>
            <c:numRef>
              <c:f>Sheet1!$A$2:$A$890</c:f>
              <c:numCache>
                <c:formatCode>m\/d\/yyyy</c:formatCode>
                <c:ptCount val="889"/>
                <c:pt idx="0">
                  <c:v>43832</c:v>
                </c:pt>
                <c:pt idx="1">
                  <c:v>43833</c:v>
                </c:pt>
                <c:pt idx="2">
                  <c:v>43836</c:v>
                </c:pt>
                <c:pt idx="3">
                  <c:v>43837</c:v>
                </c:pt>
                <c:pt idx="4">
                  <c:v>43838</c:v>
                </c:pt>
                <c:pt idx="5">
                  <c:v>43839</c:v>
                </c:pt>
                <c:pt idx="6">
                  <c:v>43840</c:v>
                </c:pt>
                <c:pt idx="7">
                  <c:v>43843</c:v>
                </c:pt>
                <c:pt idx="8">
                  <c:v>43844</c:v>
                </c:pt>
                <c:pt idx="9">
                  <c:v>43845</c:v>
                </c:pt>
                <c:pt idx="10">
                  <c:v>43846</c:v>
                </c:pt>
                <c:pt idx="11">
                  <c:v>43847</c:v>
                </c:pt>
                <c:pt idx="12">
                  <c:v>43850</c:v>
                </c:pt>
                <c:pt idx="13">
                  <c:v>43851</c:v>
                </c:pt>
                <c:pt idx="14">
                  <c:v>43852</c:v>
                </c:pt>
                <c:pt idx="15">
                  <c:v>43853</c:v>
                </c:pt>
                <c:pt idx="16">
                  <c:v>43854</c:v>
                </c:pt>
                <c:pt idx="17">
                  <c:v>43857</c:v>
                </c:pt>
                <c:pt idx="18">
                  <c:v>43858</c:v>
                </c:pt>
                <c:pt idx="19">
                  <c:v>43859</c:v>
                </c:pt>
                <c:pt idx="20">
                  <c:v>43860</c:v>
                </c:pt>
                <c:pt idx="21">
                  <c:v>43861</c:v>
                </c:pt>
                <c:pt idx="22">
                  <c:v>43864</c:v>
                </c:pt>
                <c:pt idx="23">
                  <c:v>43865</c:v>
                </c:pt>
                <c:pt idx="24">
                  <c:v>43866</c:v>
                </c:pt>
                <c:pt idx="25">
                  <c:v>43867</c:v>
                </c:pt>
                <c:pt idx="26">
                  <c:v>43868</c:v>
                </c:pt>
                <c:pt idx="27">
                  <c:v>43871</c:v>
                </c:pt>
                <c:pt idx="28">
                  <c:v>43872</c:v>
                </c:pt>
                <c:pt idx="29">
                  <c:v>43873</c:v>
                </c:pt>
                <c:pt idx="30">
                  <c:v>43874</c:v>
                </c:pt>
                <c:pt idx="31">
                  <c:v>43875</c:v>
                </c:pt>
                <c:pt idx="32">
                  <c:v>43878</c:v>
                </c:pt>
                <c:pt idx="33">
                  <c:v>43879</c:v>
                </c:pt>
                <c:pt idx="34">
                  <c:v>43880</c:v>
                </c:pt>
                <c:pt idx="35">
                  <c:v>43881</c:v>
                </c:pt>
                <c:pt idx="36">
                  <c:v>43882</c:v>
                </c:pt>
                <c:pt idx="37">
                  <c:v>43885</c:v>
                </c:pt>
                <c:pt idx="38">
                  <c:v>43886</c:v>
                </c:pt>
                <c:pt idx="39">
                  <c:v>43887</c:v>
                </c:pt>
                <c:pt idx="40">
                  <c:v>43888</c:v>
                </c:pt>
                <c:pt idx="41">
                  <c:v>43889</c:v>
                </c:pt>
                <c:pt idx="42">
                  <c:v>43892</c:v>
                </c:pt>
                <c:pt idx="43">
                  <c:v>43893</c:v>
                </c:pt>
                <c:pt idx="44">
                  <c:v>43894</c:v>
                </c:pt>
                <c:pt idx="45">
                  <c:v>43895</c:v>
                </c:pt>
                <c:pt idx="46">
                  <c:v>43896</c:v>
                </c:pt>
                <c:pt idx="47">
                  <c:v>43899</c:v>
                </c:pt>
                <c:pt idx="48">
                  <c:v>43900</c:v>
                </c:pt>
                <c:pt idx="49">
                  <c:v>43901</c:v>
                </c:pt>
                <c:pt idx="50">
                  <c:v>43902</c:v>
                </c:pt>
                <c:pt idx="51">
                  <c:v>43903</c:v>
                </c:pt>
                <c:pt idx="52">
                  <c:v>43906</c:v>
                </c:pt>
                <c:pt idx="53">
                  <c:v>43907</c:v>
                </c:pt>
                <c:pt idx="54">
                  <c:v>43908</c:v>
                </c:pt>
                <c:pt idx="55">
                  <c:v>43909</c:v>
                </c:pt>
                <c:pt idx="56">
                  <c:v>43910</c:v>
                </c:pt>
                <c:pt idx="57">
                  <c:v>43913</c:v>
                </c:pt>
                <c:pt idx="58">
                  <c:v>43914</c:v>
                </c:pt>
                <c:pt idx="59">
                  <c:v>43915</c:v>
                </c:pt>
                <c:pt idx="60">
                  <c:v>43916</c:v>
                </c:pt>
                <c:pt idx="61">
                  <c:v>43917</c:v>
                </c:pt>
                <c:pt idx="62">
                  <c:v>43920</c:v>
                </c:pt>
                <c:pt idx="63">
                  <c:v>43921</c:v>
                </c:pt>
                <c:pt idx="64">
                  <c:v>43922</c:v>
                </c:pt>
                <c:pt idx="65">
                  <c:v>43923</c:v>
                </c:pt>
                <c:pt idx="66">
                  <c:v>43924</c:v>
                </c:pt>
                <c:pt idx="67">
                  <c:v>43927</c:v>
                </c:pt>
                <c:pt idx="68">
                  <c:v>43928</c:v>
                </c:pt>
                <c:pt idx="69">
                  <c:v>43929</c:v>
                </c:pt>
                <c:pt idx="70">
                  <c:v>43930</c:v>
                </c:pt>
                <c:pt idx="71">
                  <c:v>43934</c:v>
                </c:pt>
                <c:pt idx="72">
                  <c:v>43935</c:v>
                </c:pt>
                <c:pt idx="73">
                  <c:v>43936</c:v>
                </c:pt>
                <c:pt idx="74">
                  <c:v>43937</c:v>
                </c:pt>
                <c:pt idx="75">
                  <c:v>43938</c:v>
                </c:pt>
                <c:pt idx="76">
                  <c:v>43941</c:v>
                </c:pt>
                <c:pt idx="77">
                  <c:v>43942</c:v>
                </c:pt>
                <c:pt idx="78">
                  <c:v>43943</c:v>
                </c:pt>
                <c:pt idx="79">
                  <c:v>43944</c:v>
                </c:pt>
                <c:pt idx="80">
                  <c:v>43945</c:v>
                </c:pt>
                <c:pt idx="81">
                  <c:v>43948</c:v>
                </c:pt>
                <c:pt idx="82">
                  <c:v>43949</c:v>
                </c:pt>
                <c:pt idx="83">
                  <c:v>43950</c:v>
                </c:pt>
                <c:pt idx="84">
                  <c:v>43951</c:v>
                </c:pt>
                <c:pt idx="85">
                  <c:v>43952</c:v>
                </c:pt>
                <c:pt idx="86">
                  <c:v>43955</c:v>
                </c:pt>
                <c:pt idx="87">
                  <c:v>43956</c:v>
                </c:pt>
                <c:pt idx="88">
                  <c:v>43957</c:v>
                </c:pt>
                <c:pt idx="89">
                  <c:v>43958</c:v>
                </c:pt>
                <c:pt idx="90">
                  <c:v>43959</c:v>
                </c:pt>
                <c:pt idx="91">
                  <c:v>43962</c:v>
                </c:pt>
                <c:pt idx="92">
                  <c:v>43963</c:v>
                </c:pt>
                <c:pt idx="93">
                  <c:v>43964</c:v>
                </c:pt>
                <c:pt idx="94">
                  <c:v>43965</c:v>
                </c:pt>
                <c:pt idx="95">
                  <c:v>43966</c:v>
                </c:pt>
                <c:pt idx="96">
                  <c:v>43969</c:v>
                </c:pt>
                <c:pt idx="97">
                  <c:v>43970</c:v>
                </c:pt>
                <c:pt idx="98">
                  <c:v>43971</c:v>
                </c:pt>
                <c:pt idx="99">
                  <c:v>43972</c:v>
                </c:pt>
                <c:pt idx="100">
                  <c:v>43973</c:v>
                </c:pt>
                <c:pt idx="101">
                  <c:v>43976</c:v>
                </c:pt>
                <c:pt idx="102">
                  <c:v>43977</c:v>
                </c:pt>
                <c:pt idx="103">
                  <c:v>43978</c:v>
                </c:pt>
                <c:pt idx="104">
                  <c:v>43979</c:v>
                </c:pt>
                <c:pt idx="105">
                  <c:v>43980</c:v>
                </c:pt>
                <c:pt idx="106">
                  <c:v>43983</c:v>
                </c:pt>
                <c:pt idx="107">
                  <c:v>43984</c:v>
                </c:pt>
                <c:pt idx="108">
                  <c:v>43985</c:v>
                </c:pt>
                <c:pt idx="109">
                  <c:v>43986</c:v>
                </c:pt>
                <c:pt idx="110">
                  <c:v>43987</c:v>
                </c:pt>
                <c:pt idx="111">
                  <c:v>43990</c:v>
                </c:pt>
                <c:pt idx="112">
                  <c:v>43991</c:v>
                </c:pt>
                <c:pt idx="113">
                  <c:v>43992</c:v>
                </c:pt>
                <c:pt idx="114">
                  <c:v>43993</c:v>
                </c:pt>
                <c:pt idx="115">
                  <c:v>43994</c:v>
                </c:pt>
                <c:pt idx="116">
                  <c:v>43997</c:v>
                </c:pt>
                <c:pt idx="117">
                  <c:v>43998</c:v>
                </c:pt>
                <c:pt idx="118">
                  <c:v>43999</c:v>
                </c:pt>
                <c:pt idx="119">
                  <c:v>44000</c:v>
                </c:pt>
                <c:pt idx="120">
                  <c:v>44001</c:v>
                </c:pt>
                <c:pt idx="121">
                  <c:v>44004</c:v>
                </c:pt>
                <c:pt idx="122">
                  <c:v>44005</c:v>
                </c:pt>
                <c:pt idx="123">
                  <c:v>44006</c:v>
                </c:pt>
                <c:pt idx="124">
                  <c:v>44007</c:v>
                </c:pt>
                <c:pt idx="125">
                  <c:v>44008</c:v>
                </c:pt>
                <c:pt idx="126">
                  <c:v>44011</c:v>
                </c:pt>
                <c:pt idx="127">
                  <c:v>44012</c:v>
                </c:pt>
                <c:pt idx="128">
                  <c:v>44013</c:v>
                </c:pt>
                <c:pt idx="129">
                  <c:v>44014</c:v>
                </c:pt>
                <c:pt idx="130">
                  <c:v>44015</c:v>
                </c:pt>
                <c:pt idx="131">
                  <c:v>44018</c:v>
                </c:pt>
                <c:pt idx="132">
                  <c:v>44019</c:v>
                </c:pt>
                <c:pt idx="133">
                  <c:v>44020</c:v>
                </c:pt>
                <c:pt idx="134">
                  <c:v>44021</c:v>
                </c:pt>
                <c:pt idx="135">
                  <c:v>44022</c:v>
                </c:pt>
                <c:pt idx="136">
                  <c:v>44025</c:v>
                </c:pt>
                <c:pt idx="137">
                  <c:v>44026</c:v>
                </c:pt>
                <c:pt idx="138">
                  <c:v>44027</c:v>
                </c:pt>
                <c:pt idx="139">
                  <c:v>44028</c:v>
                </c:pt>
                <c:pt idx="140">
                  <c:v>44029</c:v>
                </c:pt>
                <c:pt idx="141">
                  <c:v>44032</c:v>
                </c:pt>
                <c:pt idx="142">
                  <c:v>44033</c:v>
                </c:pt>
                <c:pt idx="143">
                  <c:v>44034</c:v>
                </c:pt>
                <c:pt idx="144">
                  <c:v>44035</c:v>
                </c:pt>
                <c:pt idx="145">
                  <c:v>44036</c:v>
                </c:pt>
                <c:pt idx="146">
                  <c:v>44039</c:v>
                </c:pt>
                <c:pt idx="147">
                  <c:v>44040</c:v>
                </c:pt>
                <c:pt idx="148">
                  <c:v>44041</c:v>
                </c:pt>
                <c:pt idx="149">
                  <c:v>44042</c:v>
                </c:pt>
                <c:pt idx="150">
                  <c:v>44043</c:v>
                </c:pt>
                <c:pt idx="151">
                  <c:v>44046</c:v>
                </c:pt>
                <c:pt idx="152">
                  <c:v>44047</c:v>
                </c:pt>
                <c:pt idx="153">
                  <c:v>44048</c:v>
                </c:pt>
                <c:pt idx="154">
                  <c:v>44049</c:v>
                </c:pt>
                <c:pt idx="155">
                  <c:v>44050</c:v>
                </c:pt>
                <c:pt idx="156">
                  <c:v>44053</c:v>
                </c:pt>
                <c:pt idx="157">
                  <c:v>44054</c:v>
                </c:pt>
                <c:pt idx="158">
                  <c:v>44055</c:v>
                </c:pt>
                <c:pt idx="159">
                  <c:v>44056</c:v>
                </c:pt>
                <c:pt idx="160">
                  <c:v>44057</c:v>
                </c:pt>
                <c:pt idx="161">
                  <c:v>44060</c:v>
                </c:pt>
                <c:pt idx="162">
                  <c:v>44061</c:v>
                </c:pt>
                <c:pt idx="163">
                  <c:v>44062</c:v>
                </c:pt>
                <c:pt idx="164">
                  <c:v>44063</c:v>
                </c:pt>
                <c:pt idx="165">
                  <c:v>44064</c:v>
                </c:pt>
                <c:pt idx="166">
                  <c:v>44067</c:v>
                </c:pt>
                <c:pt idx="167">
                  <c:v>44068</c:v>
                </c:pt>
                <c:pt idx="168">
                  <c:v>44069</c:v>
                </c:pt>
                <c:pt idx="169">
                  <c:v>44070</c:v>
                </c:pt>
                <c:pt idx="170">
                  <c:v>44071</c:v>
                </c:pt>
                <c:pt idx="171">
                  <c:v>44074</c:v>
                </c:pt>
                <c:pt idx="172">
                  <c:v>44075</c:v>
                </c:pt>
                <c:pt idx="173">
                  <c:v>44076</c:v>
                </c:pt>
                <c:pt idx="174">
                  <c:v>44077</c:v>
                </c:pt>
                <c:pt idx="175">
                  <c:v>44078</c:v>
                </c:pt>
                <c:pt idx="176">
                  <c:v>44081</c:v>
                </c:pt>
                <c:pt idx="177">
                  <c:v>44082</c:v>
                </c:pt>
                <c:pt idx="178">
                  <c:v>44083</c:v>
                </c:pt>
                <c:pt idx="179">
                  <c:v>44084</c:v>
                </c:pt>
                <c:pt idx="180">
                  <c:v>44085</c:v>
                </c:pt>
                <c:pt idx="181">
                  <c:v>44088</c:v>
                </c:pt>
                <c:pt idx="182">
                  <c:v>44089</c:v>
                </c:pt>
                <c:pt idx="183">
                  <c:v>44090</c:v>
                </c:pt>
                <c:pt idx="184">
                  <c:v>44091</c:v>
                </c:pt>
                <c:pt idx="185">
                  <c:v>44092</c:v>
                </c:pt>
                <c:pt idx="186">
                  <c:v>44095</c:v>
                </c:pt>
                <c:pt idx="187">
                  <c:v>44096</c:v>
                </c:pt>
                <c:pt idx="188">
                  <c:v>44097</c:v>
                </c:pt>
                <c:pt idx="189">
                  <c:v>44098</c:v>
                </c:pt>
                <c:pt idx="190">
                  <c:v>44099</c:v>
                </c:pt>
                <c:pt idx="191">
                  <c:v>44102</c:v>
                </c:pt>
                <c:pt idx="192">
                  <c:v>44103</c:v>
                </c:pt>
                <c:pt idx="193">
                  <c:v>44104</c:v>
                </c:pt>
                <c:pt idx="194">
                  <c:v>44105</c:v>
                </c:pt>
                <c:pt idx="195">
                  <c:v>44106</c:v>
                </c:pt>
                <c:pt idx="196">
                  <c:v>44109</c:v>
                </c:pt>
                <c:pt idx="197">
                  <c:v>44110</c:v>
                </c:pt>
                <c:pt idx="198">
                  <c:v>44111</c:v>
                </c:pt>
                <c:pt idx="199">
                  <c:v>44112</c:v>
                </c:pt>
                <c:pt idx="200">
                  <c:v>44113</c:v>
                </c:pt>
                <c:pt idx="201">
                  <c:v>44116</c:v>
                </c:pt>
                <c:pt idx="202">
                  <c:v>44117</c:v>
                </c:pt>
                <c:pt idx="203">
                  <c:v>44118</c:v>
                </c:pt>
                <c:pt idx="204">
                  <c:v>44119</c:v>
                </c:pt>
                <c:pt idx="205">
                  <c:v>44120</c:v>
                </c:pt>
                <c:pt idx="206">
                  <c:v>44123</c:v>
                </c:pt>
                <c:pt idx="207">
                  <c:v>44124</c:v>
                </c:pt>
                <c:pt idx="208">
                  <c:v>44125</c:v>
                </c:pt>
                <c:pt idx="209">
                  <c:v>44126</c:v>
                </c:pt>
                <c:pt idx="210">
                  <c:v>44127</c:v>
                </c:pt>
                <c:pt idx="211">
                  <c:v>44130</c:v>
                </c:pt>
                <c:pt idx="212">
                  <c:v>44131</c:v>
                </c:pt>
                <c:pt idx="213">
                  <c:v>44132</c:v>
                </c:pt>
                <c:pt idx="214">
                  <c:v>44133</c:v>
                </c:pt>
                <c:pt idx="215">
                  <c:v>44134</c:v>
                </c:pt>
                <c:pt idx="216">
                  <c:v>44137</c:v>
                </c:pt>
                <c:pt idx="217">
                  <c:v>44138</c:v>
                </c:pt>
                <c:pt idx="218">
                  <c:v>44139</c:v>
                </c:pt>
                <c:pt idx="219">
                  <c:v>44140</c:v>
                </c:pt>
                <c:pt idx="220">
                  <c:v>44141</c:v>
                </c:pt>
                <c:pt idx="221">
                  <c:v>44144</c:v>
                </c:pt>
                <c:pt idx="222">
                  <c:v>44145</c:v>
                </c:pt>
                <c:pt idx="223">
                  <c:v>44146</c:v>
                </c:pt>
                <c:pt idx="224">
                  <c:v>44147</c:v>
                </c:pt>
                <c:pt idx="225">
                  <c:v>44148</c:v>
                </c:pt>
                <c:pt idx="226">
                  <c:v>44151</c:v>
                </c:pt>
                <c:pt idx="227">
                  <c:v>44152</c:v>
                </c:pt>
                <c:pt idx="228">
                  <c:v>44153</c:v>
                </c:pt>
                <c:pt idx="229">
                  <c:v>44154</c:v>
                </c:pt>
                <c:pt idx="230">
                  <c:v>44155</c:v>
                </c:pt>
                <c:pt idx="231">
                  <c:v>44158</c:v>
                </c:pt>
                <c:pt idx="232">
                  <c:v>44159</c:v>
                </c:pt>
                <c:pt idx="233">
                  <c:v>44160</c:v>
                </c:pt>
                <c:pt idx="234">
                  <c:v>44161</c:v>
                </c:pt>
                <c:pt idx="235">
                  <c:v>44162</c:v>
                </c:pt>
                <c:pt idx="236">
                  <c:v>44165</c:v>
                </c:pt>
                <c:pt idx="237">
                  <c:v>44166</c:v>
                </c:pt>
                <c:pt idx="238">
                  <c:v>44167</c:v>
                </c:pt>
                <c:pt idx="239">
                  <c:v>44168</c:v>
                </c:pt>
                <c:pt idx="240">
                  <c:v>44169</c:v>
                </c:pt>
                <c:pt idx="241">
                  <c:v>44172</c:v>
                </c:pt>
                <c:pt idx="242">
                  <c:v>44173</c:v>
                </c:pt>
                <c:pt idx="243">
                  <c:v>44174</c:v>
                </c:pt>
                <c:pt idx="244">
                  <c:v>44175</c:v>
                </c:pt>
                <c:pt idx="245">
                  <c:v>44176</c:v>
                </c:pt>
                <c:pt idx="246">
                  <c:v>44179</c:v>
                </c:pt>
                <c:pt idx="247">
                  <c:v>44180</c:v>
                </c:pt>
                <c:pt idx="248">
                  <c:v>44181</c:v>
                </c:pt>
                <c:pt idx="249">
                  <c:v>44182</c:v>
                </c:pt>
                <c:pt idx="250">
                  <c:v>44183</c:v>
                </c:pt>
                <c:pt idx="251">
                  <c:v>44186</c:v>
                </c:pt>
                <c:pt idx="252">
                  <c:v>44187</c:v>
                </c:pt>
                <c:pt idx="253">
                  <c:v>44188</c:v>
                </c:pt>
                <c:pt idx="254">
                  <c:v>44189</c:v>
                </c:pt>
                <c:pt idx="255">
                  <c:v>44193</c:v>
                </c:pt>
                <c:pt idx="256">
                  <c:v>44194</c:v>
                </c:pt>
                <c:pt idx="257">
                  <c:v>44195</c:v>
                </c:pt>
                <c:pt idx="258">
                  <c:v>44196</c:v>
                </c:pt>
                <c:pt idx="259">
                  <c:v>44200</c:v>
                </c:pt>
                <c:pt idx="260">
                  <c:v>44201</c:v>
                </c:pt>
                <c:pt idx="261">
                  <c:v>44202</c:v>
                </c:pt>
                <c:pt idx="262">
                  <c:v>44203</c:v>
                </c:pt>
                <c:pt idx="263">
                  <c:v>44204</c:v>
                </c:pt>
                <c:pt idx="264">
                  <c:v>44207</c:v>
                </c:pt>
                <c:pt idx="265">
                  <c:v>44208</c:v>
                </c:pt>
                <c:pt idx="266">
                  <c:v>44209</c:v>
                </c:pt>
                <c:pt idx="267">
                  <c:v>44210</c:v>
                </c:pt>
                <c:pt idx="268">
                  <c:v>44211</c:v>
                </c:pt>
                <c:pt idx="269">
                  <c:v>44214</c:v>
                </c:pt>
                <c:pt idx="270">
                  <c:v>44215</c:v>
                </c:pt>
                <c:pt idx="271">
                  <c:v>44216</c:v>
                </c:pt>
                <c:pt idx="272">
                  <c:v>44217</c:v>
                </c:pt>
                <c:pt idx="273">
                  <c:v>44218</c:v>
                </c:pt>
                <c:pt idx="274">
                  <c:v>44221</c:v>
                </c:pt>
                <c:pt idx="275">
                  <c:v>44222</c:v>
                </c:pt>
                <c:pt idx="276">
                  <c:v>44223</c:v>
                </c:pt>
                <c:pt idx="277">
                  <c:v>44224</c:v>
                </c:pt>
                <c:pt idx="278">
                  <c:v>44225</c:v>
                </c:pt>
                <c:pt idx="279">
                  <c:v>44228</c:v>
                </c:pt>
                <c:pt idx="280">
                  <c:v>44229</c:v>
                </c:pt>
                <c:pt idx="281">
                  <c:v>44230</c:v>
                </c:pt>
                <c:pt idx="282">
                  <c:v>44231</c:v>
                </c:pt>
                <c:pt idx="283">
                  <c:v>44232</c:v>
                </c:pt>
                <c:pt idx="284">
                  <c:v>44235</c:v>
                </c:pt>
                <c:pt idx="285">
                  <c:v>44236</c:v>
                </c:pt>
                <c:pt idx="286">
                  <c:v>44237</c:v>
                </c:pt>
                <c:pt idx="287">
                  <c:v>44238</c:v>
                </c:pt>
                <c:pt idx="288">
                  <c:v>44239</c:v>
                </c:pt>
                <c:pt idx="289">
                  <c:v>44242</c:v>
                </c:pt>
                <c:pt idx="290">
                  <c:v>44243</c:v>
                </c:pt>
                <c:pt idx="291">
                  <c:v>44244</c:v>
                </c:pt>
                <c:pt idx="292">
                  <c:v>44245</c:v>
                </c:pt>
                <c:pt idx="293">
                  <c:v>44246</c:v>
                </c:pt>
                <c:pt idx="294">
                  <c:v>44249</c:v>
                </c:pt>
                <c:pt idx="295">
                  <c:v>44250</c:v>
                </c:pt>
                <c:pt idx="296">
                  <c:v>44251</c:v>
                </c:pt>
                <c:pt idx="297">
                  <c:v>44252</c:v>
                </c:pt>
                <c:pt idx="298">
                  <c:v>44253</c:v>
                </c:pt>
                <c:pt idx="299">
                  <c:v>44256</c:v>
                </c:pt>
                <c:pt idx="300">
                  <c:v>44257</c:v>
                </c:pt>
                <c:pt idx="301">
                  <c:v>44258</c:v>
                </c:pt>
                <c:pt idx="302">
                  <c:v>44259</c:v>
                </c:pt>
                <c:pt idx="303">
                  <c:v>44260</c:v>
                </c:pt>
                <c:pt idx="304">
                  <c:v>44263</c:v>
                </c:pt>
                <c:pt idx="305">
                  <c:v>44264</c:v>
                </c:pt>
                <c:pt idx="306">
                  <c:v>44265</c:v>
                </c:pt>
                <c:pt idx="307">
                  <c:v>44266</c:v>
                </c:pt>
                <c:pt idx="308">
                  <c:v>44267</c:v>
                </c:pt>
                <c:pt idx="309">
                  <c:v>44270</c:v>
                </c:pt>
                <c:pt idx="310">
                  <c:v>44271</c:v>
                </c:pt>
                <c:pt idx="311">
                  <c:v>44272</c:v>
                </c:pt>
                <c:pt idx="312">
                  <c:v>44273</c:v>
                </c:pt>
                <c:pt idx="313">
                  <c:v>44274</c:v>
                </c:pt>
                <c:pt idx="314">
                  <c:v>44277</c:v>
                </c:pt>
                <c:pt idx="315">
                  <c:v>44278</c:v>
                </c:pt>
                <c:pt idx="316">
                  <c:v>44279</c:v>
                </c:pt>
                <c:pt idx="317">
                  <c:v>44280</c:v>
                </c:pt>
                <c:pt idx="318">
                  <c:v>44281</c:v>
                </c:pt>
                <c:pt idx="319">
                  <c:v>44284</c:v>
                </c:pt>
                <c:pt idx="320">
                  <c:v>44285</c:v>
                </c:pt>
                <c:pt idx="321">
                  <c:v>44286</c:v>
                </c:pt>
                <c:pt idx="322">
                  <c:v>44287</c:v>
                </c:pt>
                <c:pt idx="323">
                  <c:v>44288</c:v>
                </c:pt>
                <c:pt idx="324">
                  <c:v>44291</c:v>
                </c:pt>
                <c:pt idx="325">
                  <c:v>44292</c:v>
                </c:pt>
                <c:pt idx="326">
                  <c:v>44293</c:v>
                </c:pt>
                <c:pt idx="327">
                  <c:v>44294</c:v>
                </c:pt>
                <c:pt idx="328">
                  <c:v>44295</c:v>
                </c:pt>
                <c:pt idx="329">
                  <c:v>44298</c:v>
                </c:pt>
                <c:pt idx="330">
                  <c:v>44299</c:v>
                </c:pt>
                <c:pt idx="331">
                  <c:v>44300</c:v>
                </c:pt>
                <c:pt idx="332">
                  <c:v>44301</c:v>
                </c:pt>
                <c:pt idx="333">
                  <c:v>44302</c:v>
                </c:pt>
                <c:pt idx="334">
                  <c:v>44305</c:v>
                </c:pt>
                <c:pt idx="335">
                  <c:v>44306</c:v>
                </c:pt>
                <c:pt idx="336">
                  <c:v>44307</c:v>
                </c:pt>
                <c:pt idx="337">
                  <c:v>44308</c:v>
                </c:pt>
                <c:pt idx="338">
                  <c:v>44309</c:v>
                </c:pt>
                <c:pt idx="339">
                  <c:v>44312</c:v>
                </c:pt>
                <c:pt idx="340">
                  <c:v>44313</c:v>
                </c:pt>
                <c:pt idx="341">
                  <c:v>44314</c:v>
                </c:pt>
                <c:pt idx="342">
                  <c:v>44315</c:v>
                </c:pt>
                <c:pt idx="343">
                  <c:v>44316</c:v>
                </c:pt>
                <c:pt idx="344">
                  <c:v>44319</c:v>
                </c:pt>
                <c:pt idx="345">
                  <c:v>44320</c:v>
                </c:pt>
                <c:pt idx="346">
                  <c:v>44321</c:v>
                </c:pt>
                <c:pt idx="347">
                  <c:v>44322</c:v>
                </c:pt>
                <c:pt idx="348">
                  <c:v>44323</c:v>
                </c:pt>
                <c:pt idx="349">
                  <c:v>44326</c:v>
                </c:pt>
                <c:pt idx="350">
                  <c:v>44327</c:v>
                </c:pt>
                <c:pt idx="351">
                  <c:v>44328</c:v>
                </c:pt>
                <c:pt idx="352">
                  <c:v>44329</c:v>
                </c:pt>
                <c:pt idx="353">
                  <c:v>44330</c:v>
                </c:pt>
                <c:pt idx="354">
                  <c:v>44333</c:v>
                </c:pt>
                <c:pt idx="355">
                  <c:v>44334</c:v>
                </c:pt>
                <c:pt idx="356">
                  <c:v>44335</c:v>
                </c:pt>
                <c:pt idx="357">
                  <c:v>44336</c:v>
                </c:pt>
                <c:pt idx="358">
                  <c:v>44337</c:v>
                </c:pt>
                <c:pt idx="359">
                  <c:v>44340</c:v>
                </c:pt>
                <c:pt idx="360">
                  <c:v>44341</c:v>
                </c:pt>
                <c:pt idx="361">
                  <c:v>44342</c:v>
                </c:pt>
                <c:pt idx="362">
                  <c:v>44343</c:v>
                </c:pt>
                <c:pt idx="363">
                  <c:v>44344</c:v>
                </c:pt>
                <c:pt idx="364">
                  <c:v>44347</c:v>
                </c:pt>
                <c:pt idx="365">
                  <c:v>44348</c:v>
                </c:pt>
                <c:pt idx="366">
                  <c:v>44349</c:v>
                </c:pt>
                <c:pt idx="367">
                  <c:v>44350</c:v>
                </c:pt>
                <c:pt idx="368">
                  <c:v>44351</c:v>
                </c:pt>
                <c:pt idx="369">
                  <c:v>44354</c:v>
                </c:pt>
                <c:pt idx="370">
                  <c:v>44355</c:v>
                </c:pt>
                <c:pt idx="371">
                  <c:v>44356</c:v>
                </c:pt>
                <c:pt idx="372">
                  <c:v>44357</c:v>
                </c:pt>
                <c:pt idx="373">
                  <c:v>44358</c:v>
                </c:pt>
                <c:pt idx="374">
                  <c:v>44361</c:v>
                </c:pt>
                <c:pt idx="375">
                  <c:v>44362</c:v>
                </c:pt>
                <c:pt idx="376">
                  <c:v>44363</c:v>
                </c:pt>
                <c:pt idx="377">
                  <c:v>44364</c:v>
                </c:pt>
                <c:pt idx="378">
                  <c:v>44365</c:v>
                </c:pt>
                <c:pt idx="379">
                  <c:v>44368</c:v>
                </c:pt>
                <c:pt idx="380">
                  <c:v>44369</c:v>
                </c:pt>
                <c:pt idx="381">
                  <c:v>44370</c:v>
                </c:pt>
                <c:pt idx="382">
                  <c:v>44371</c:v>
                </c:pt>
                <c:pt idx="383">
                  <c:v>44372</c:v>
                </c:pt>
                <c:pt idx="384">
                  <c:v>44375</c:v>
                </c:pt>
                <c:pt idx="385">
                  <c:v>44376</c:v>
                </c:pt>
                <c:pt idx="386">
                  <c:v>44377</c:v>
                </c:pt>
                <c:pt idx="387">
                  <c:v>44378</c:v>
                </c:pt>
                <c:pt idx="388">
                  <c:v>44379</c:v>
                </c:pt>
                <c:pt idx="389">
                  <c:v>44382</c:v>
                </c:pt>
                <c:pt idx="390">
                  <c:v>44383</c:v>
                </c:pt>
                <c:pt idx="391">
                  <c:v>44384</c:v>
                </c:pt>
                <c:pt idx="392">
                  <c:v>44385</c:v>
                </c:pt>
                <c:pt idx="393">
                  <c:v>44386</c:v>
                </c:pt>
                <c:pt idx="394">
                  <c:v>44389</c:v>
                </c:pt>
                <c:pt idx="395">
                  <c:v>44390</c:v>
                </c:pt>
                <c:pt idx="396">
                  <c:v>44391</c:v>
                </c:pt>
                <c:pt idx="397">
                  <c:v>44392</c:v>
                </c:pt>
                <c:pt idx="398">
                  <c:v>44393</c:v>
                </c:pt>
                <c:pt idx="399">
                  <c:v>44396</c:v>
                </c:pt>
                <c:pt idx="400">
                  <c:v>44397</c:v>
                </c:pt>
                <c:pt idx="401">
                  <c:v>44398</c:v>
                </c:pt>
                <c:pt idx="402">
                  <c:v>44399</c:v>
                </c:pt>
                <c:pt idx="403">
                  <c:v>44400</c:v>
                </c:pt>
                <c:pt idx="404">
                  <c:v>44403</c:v>
                </c:pt>
                <c:pt idx="405">
                  <c:v>44404</c:v>
                </c:pt>
                <c:pt idx="406">
                  <c:v>44405</c:v>
                </c:pt>
                <c:pt idx="407">
                  <c:v>44406</c:v>
                </c:pt>
                <c:pt idx="408">
                  <c:v>44407</c:v>
                </c:pt>
                <c:pt idx="409">
                  <c:v>44410</c:v>
                </c:pt>
                <c:pt idx="410">
                  <c:v>44411</c:v>
                </c:pt>
                <c:pt idx="411">
                  <c:v>44412</c:v>
                </c:pt>
                <c:pt idx="412">
                  <c:v>44413</c:v>
                </c:pt>
                <c:pt idx="413">
                  <c:v>44414</c:v>
                </c:pt>
                <c:pt idx="414">
                  <c:v>44417</c:v>
                </c:pt>
                <c:pt idx="415">
                  <c:v>44418</c:v>
                </c:pt>
                <c:pt idx="416">
                  <c:v>44419</c:v>
                </c:pt>
                <c:pt idx="417">
                  <c:v>44420</c:v>
                </c:pt>
                <c:pt idx="418">
                  <c:v>44421</c:v>
                </c:pt>
                <c:pt idx="419">
                  <c:v>44424</c:v>
                </c:pt>
                <c:pt idx="420">
                  <c:v>44425</c:v>
                </c:pt>
                <c:pt idx="421">
                  <c:v>44426</c:v>
                </c:pt>
                <c:pt idx="422">
                  <c:v>44427</c:v>
                </c:pt>
                <c:pt idx="423">
                  <c:v>44428</c:v>
                </c:pt>
                <c:pt idx="424">
                  <c:v>44431</c:v>
                </c:pt>
                <c:pt idx="425">
                  <c:v>44432</c:v>
                </c:pt>
                <c:pt idx="426">
                  <c:v>44433</c:v>
                </c:pt>
                <c:pt idx="427">
                  <c:v>44434</c:v>
                </c:pt>
                <c:pt idx="428">
                  <c:v>44435</c:v>
                </c:pt>
                <c:pt idx="429">
                  <c:v>44438</c:v>
                </c:pt>
                <c:pt idx="430">
                  <c:v>44439</c:v>
                </c:pt>
                <c:pt idx="431">
                  <c:v>44440</c:v>
                </c:pt>
                <c:pt idx="432">
                  <c:v>44441</c:v>
                </c:pt>
                <c:pt idx="433">
                  <c:v>44442</c:v>
                </c:pt>
                <c:pt idx="434">
                  <c:v>44445</c:v>
                </c:pt>
                <c:pt idx="435">
                  <c:v>44446</c:v>
                </c:pt>
                <c:pt idx="436">
                  <c:v>44447</c:v>
                </c:pt>
                <c:pt idx="437">
                  <c:v>44448</c:v>
                </c:pt>
                <c:pt idx="438">
                  <c:v>44449</c:v>
                </c:pt>
                <c:pt idx="439">
                  <c:v>44452</c:v>
                </c:pt>
                <c:pt idx="440">
                  <c:v>44453</c:v>
                </c:pt>
                <c:pt idx="441">
                  <c:v>44454</c:v>
                </c:pt>
                <c:pt idx="442">
                  <c:v>44455</c:v>
                </c:pt>
                <c:pt idx="443">
                  <c:v>44456</c:v>
                </c:pt>
                <c:pt idx="444">
                  <c:v>44459</c:v>
                </c:pt>
                <c:pt idx="445">
                  <c:v>44460</c:v>
                </c:pt>
                <c:pt idx="446">
                  <c:v>44461</c:v>
                </c:pt>
                <c:pt idx="447">
                  <c:v>44462</c:v>
                </c:pt>
                <c:pt idx="448">
                  <c:v>44463</c:v>
                </c:pt>
                <c:pt idx="449">
                  <c:v>44466</c:v>
                </c:pt>
                <c:pt idx="450">
                  <c:v>44467</c:v>
                </c:pt>
                <c:pt idx="451">
                  <c:v>44468</c:v>
                </c:pt>
                <c:pt idx="452">
                  <c:v>44469</c:v>
                </c:pt>
                <c:pt idx="453">
                  <c:v>44470</c:v>
                </c:pt>
                <c:pt idx="454">
                  <c:v>44473</c:v>
                </c:pt>
                <c:pt idx="455">
                  <c:v>44474</c:v>
                </c:pt>
                <c:pt idx="456">
                  <c:v>44475</c:v>
                </c:pt>
                <c:pt idx="457">
                  <c:v>44476</c:v>
                </c:pt>
                <c:pt idx="458">
                  <c:v>44477</c:v>
                </c:pt>
                <c:pt idx="459">
                  <c:v>44480</c:v>
                </c:pt>
                <c:pt idx="460">
                  <c:v>44481</c:v>
                </c:pt>
                <c:pt idx="461">
                  <c:v>44482</c:v>
                </c:pt>
                <c:pt idx="462">
                  <c:v>44483</c:v>
                </c:pt>
                <c:pt idx="463">
                  <c:v>44484</c:v>
                </c:pt>
                <c:pt idx="464">
                  <c:v>44487</c:v>
                </c:pt>
                <c:pt idx="465">
                  <c:v>44488</c:v>
                </c:pt>
                <c:pt idx="466">
                  <c:v>44489</c:v>
                </c:pt>
                <c:pt idx="467">
                  <c:v>44490</c:v>
                </c:pt>
                <c:pt idx="468">
                  <c:v>44491</c:v>
                </c:pt>
                <c:pt idx="469">
                  <c:v>44494</c:v>
                </c:pt>
                <c:pt idx="470">
                  <c:v>44495</c:v>
                </c:pt>
                <c:pt idx="471">
                  <c:v>44496</c:v>
                </c:pt>
                <c:pt idx="472">
                  <c:v>44497</c:v>
                </c:pt>
                <c:pt idx="473">
                  <c:v>44498</c:v>
                </c:pt>
                <c:pt idx="474">
                  <c:v>44501</c:v>
                </c:pt>
                <c:pt idx="475">
                  <c:v>44502</c:v>
                </c:pt>
                <c:pt idx="476">
                  <c:v>44503</c:v>
                </c:pt>
                <c:pt idx="477">
                  <c:v>44504</c:v>
                </c:pt>
                <c:pt idx="478">
                  <c:v>44505</c:v>
                </c:pt>
                <c:pt idx="479">
                  <c:v>44508</c:v>
                </c:pt>
                <c:pt idx="480">
                  <c:v>44509</c:v>
                </c:pt>
                <c:pt idx="481">
                  <c:v>44510</c:v>
                </c:pt>
                <c:pt idx="482">
                  <c:v>44511</c:v>
                </c:pt>
                <c:pt idx="483">
                  <c:v>44512</c:v>
                </c:pt>
                <c:pt idx="484">
                  <c:v>44515</c:v>
                </c:pt>
                <c:pt idx="485">
                  <c:v>44516</c:v>
                </c:pt>
                <c:pt idx="486">
                  <c:v>44517</c:v>
                </c:pt>
                <c:pt idx="487">
                  <c:v>44518</c:v>
                </c:pt>
                <c:pt idx="488">
                  <c:v>44519</c:v>
                </c:pt>
                <c:pt idx="489">
                  <c:v>44522</c:v>
                </c:pt>
                <c:pt idx="490">
                  <c:v>44523</c:v>
                </c:pt>
                <c:pt idx="491">
                  <c:v>44524</c:v>
                </c:pt>
                <c:pt idx="492">
                  <c:v>44525</c:v>
                </c:pt>
                <c:pt idx="493">
                  <c:v>44526</c:v>
                </c:pt>
                <c:pt idx="494">
                  <c:v>44529</c:v>
                </c:pt>
                <c:pt idx="495">
                  <c:v>44530</c:v>
                </c:pt>
                <c:pt idx="496">
                  <c:v>44531</c:v>
                </c:pt>
                <c:pt idx="497">
                  <c:v>44532</c:v>
                </c:pt>
                <c:pt idx="498">
                  <c:v>44533</c:v>
                </c:pt>
                <c:pt idx="499">
                  <c:v>44536</c:v>
                </c:pt>
                <c:pt idx="500">
                  <c:v>44537</c:v>
                </c:pt>
                <c:pt idx="501">
                  <c:v>44538</c:v>
                </c:pt>
                <c:pt idx="502">
                  <c:v>44539</c:v>
                </c:pt>
                <c:pt idx="503">
                  <c:v>44540</c:v>
                </c:pt>
                <c:pt idx="504">
                  <c:v>44543</c:v>
                </c:pt>
                <c:pt idx="505">
                  <c:v>44544</c:v>
                </c:pt>
                <c:pt idx="506">
                  <c:v>44545</c:v>
                </c:pt>
                <c:pt idx="507">
                  <c:v>44546</c:v>
                </c:pt>
                <c:pt idx="508">
                  <c:v>44547</c:v>
                </c:pt>
                <c:pt idx="509">
                  <c:v>44550</c:v>
                </c:pt>
                <c:pt idx="510">
                  <c:v>44551</c:v>
                </c:pt>
                <c:pt idx="511">
                  <c:v>44552</c:v>
                </c:pt>
                <c:pt idx="512">
                  <c:v>44553</c:v>
                </c:pt>
                <c:pt idx="513">
                  <c:v>44557</c:v>
                </c:pt>
                <c:pt idx="514">
                  <c:v>44558</c:v>
                </c:pt>
                <c:pt idx="515">
                  <c:v>44559</c:v>
                </c:pt>
                <c:pt idx="516">
                  <c:v>44560</c:v>
                </c:pt>
                <c:pt idx="517">
                  <c:v>44561</c:v>
                </c:pt>
                <c:pt idx="518">
                  <c:v>44564</c:v>
                </c:pt>
                <c:pt idx="519">
                  <c:v>44565</c:v>
                </c:pt>
                <c:pt idx="520">
                  <c:v>44566</c:v>
                </c:pt>
                <c:pt idx="521">
                  <c:v>44567</c:v>
                </c:pt>
                <c:pt idx="522">
                  <c:v>44568</c:v>
                </c:pt>
                <c:pt idx="523">
                  <c:v>44571</c:v>
                </c:pt>
                <c:pt idx="524">
                  <c:v>44572</c:v>
                </c:pt>
                <c:pt idx="525">
                  <c:v>44573</c:v>
                </c:pt>
                <c:pt idx="526">
                  <c:v>44574</c:v>
                </c:pt>
                <c:pt idx="527">
                  <c:v>44575</c:v>
                </c:pt>
                <c:pt idx="528">
                  <c:v>44578</c:v>
                </c:pt>
                <c:pt idx="529">
                  <c:v>44579</c:v>
                </c:pt>
                <c:pt idx="530">
                  <c:v>44580</c:v>
                </c:pt>
                <c:pt idx="531">
                  <c:v>44581</c:v>
                </c:pt>
                <c:pt idx="532">
                  <c:v>44582</c:v>
                </c:pt>
                <c:pt idx="533">
                  <c:v>44585</c:v>
                </c:pt>
                <c:pt idx="534">
                  <c:v>44586</c:v>
                </c:pt>
                <c:pt idx="535">
                  <c:v>44587</c:v>
                </c:pt>
                <c:pt idx="536">
                  <c:v>44588</c:v>
                </c:pt>
                <c:pt idx="537">
                  <c:v>44589</c:v>
                </c:pt>
                <c:pt idx="538">
                  <c:v>44592</c:v>
                </c:pt>
                <c:pt idx="539">
                  <c:v>44593</c:v>
                </c:pt>
                <c:pt idx="540">
                  <c:v>44594</c:v>
                </c:pt>
                <c:pt idx="541">
                  <c:v>44595</c:v>
                </c:pt>
                <c:pt idx="542">
                  <c:v>44596</c:v>
                </c:pt>
                <c:pt idx="543">
                  <c:v>44599</c:v>
                </c:pt>
                <c:pt idx="544">
                  <c:v>44600</c:v>
                </c:pt>
                <c:pt idx="545">
                  <c:v>44601</c:v>
                </c:pt>
                <c:pt idx="546">
                  <c:v>44602</c:v>
                </c:pt>
                <c:pt idx="547">
                  <c:v>44603</c:v>
                </c:pt>
                <c:pt idx="548">
                  <c:v>44606</c:v>
                </c:pt>
                <c:pt idx="549">
                  <c:v>44607</c:v>
                </c:pt>
                <c:pt idx="550">
                  <c:v>44608</c:v>
                </c:pt>
                <c:pt idx="551">
                  <c:v>44609</c:v>
                </c:pt>
                <c:pt idx="552">
                  <c:v>44610</c:v>
                </c:pt>
                <c:pt idx="553">
                  <c:v>44613</c:v>
                </c:pt>
                <c:pt idx="554">
                  <c:v>44614</c:v>
                </c:pt>
                <c:pt idx="555">
                  <c:v>44615</c:v>
                </c:pt>
                <c:pt idx="556">
                  <c:v>44616</c:v>
                </c:pt>
                <c:pt idx="557">
                  <c:v>44617</c:v>
                </c:pt>
                <c:pt idx="558">
                  <c:v>44620</c:v>
                </c:pt>
                <c:pt idx="559">
                  <c:v>44621</c:v>
                </c:pt>
                <c:pt idx="560">
                  <c:v>44622</c:v>
                </c:pt>
                <c:pt idx="561">
                  <c:v>44623</c:v>
                </c:pt>
                <c:pt idx="562">
                  <c:v>44624</c:v>
                </c:pt>
                <c:pt idx="563">
                  <c:v>44627</c:v>
                </c:pt>
                <c:pt idx="564">
                  <c:v>44628</c:v>
                </c:pt>
                <c:pt idx="565">
                  <c:v>44629</c:v>
                </c:pt>
                <c:pt idx="566">
                  <c:v>44630</c:v>
                </c:pt>
                <c:pt idx="567">
                  <c:v>44631</c:v>
                </c:pt>
                <c:pt idx="568">
                  <c:v>44634</c:v>
                </c:pt>
                <c:pt idx="569">
                  <c:v>44635</c:v>
                </c:pt>
                <c:pt idx="570">
                  <c:v>44636</c:v>
                </c:pt>
                <c:pt idx="571">
                  <c:v>44637</c:v>
                </c:pt>
                <c:pt idx="572">
                  <c:v>44638</c:v>
                </c:pt>
                <c:pt idx="573">
                  <c:v>44641</c:v>
                </c:pt>
                <c:pt idx="574">
                  <c:v>44642</c:v>
                </c:pt>
                <c:pt idx="575">
                  <c:v>44643</c:v>
                </c:pt>
                <c:pt idx="576">
                  <c:v>44644</c:v>
                </c:pt>
                <c:pt idx="577">
                  <c:v>44645</c:v>
                </c:pt>
                <c:pt idx="578">
                  <c:v>44648</c:v>
                </c:pt>
                <c:pt idx="579">
                  <c:v>44649</c:v>
                </c:pt>
                <c:pt idx="580">
                  <c:v>44650</c:v>
                </c:pt>
                <c:pt idx="581">
                  <c:v>44651</c:v>
                </c:pt>
                <c:pt idx="582">
                  <c:v>44652</c:v>
                </c:pt>
                <c:pt idx="583">
                  <c:v>44655</c:v>
                </c:pt>
                <c:pt idx="584">
                  <c:v>44656</c:v>
                </c:pt>
                <c:pt idx="585">
                  <c:v>44657</c:v>
                </c:pt>
                <c:pt idx="586">
                  <c:v>44658</c:v>
                </c:pt>
                <c:pt idx="587">
                  <c:v>44659</c:v>
                </c:pt>
                <c:pt idx="588">
                  <c:v>44662</c:v>
                </c:pt>
                <c:pt idx="589">
                  <c:v>44663</c:v>
                </c:pt>
                <c:pt idx="590">
                  <c:v>44664</c:v>
                </c:pt>
                <c:pt idx="591">
                  <c:v>44665</c:v>
                </c:pt>
                <c:pt idx="592">
                  <c:v>44669</c:v>
                </c:pt>
                <c:pt idx="593">
                  <c:v>44670</c:v>
                </c:pt>
                <c:pt idx="594">
                  <c:v>44671</c:v>
                </c:pt>
                <c:pt idx="595">
                  <c:v>44672</c:v>
                </c:pt>
                <c:pt idx="596">
                  <c:v>44673</c:v>
                </c:pt>
                <c:pt idx="597">
                  <c:v>44676</c:v>
                </c:pt>
                <c:pt idx="598">
                  <c:v>44677</c:v>
                </c:pt>
                <c:pt idx="599">
                  <c:v>44678</c:v>
                </c:pt>
                <c:pt idx="600">
                  <c:v>44679</c:v>
                </c:pt>
                <c:pt idx="601">
                  <c:v>44680</c:v>
                </c:pt>
                <c:pt idx="602">
                  <c:v>44683</c:v>
                </c:pt>
                <c:pt idx="603">
                  <c:v>44684</c:v>
                </c:pt>
                <c:pt idx="604">
                  <c:v>44685</c:v>
                </c:pt>
                <c:pt idx="605">
                  <c:v>44686</c:v>
                </c:pt>
                <c:pt idx="606">
                  <c:v>44687</c:v>
                </c:pt>
                <c:pt idx="607">
                  <c:v>44690</c:v>
                </c:pt>
                <c:pt idx="608">
                  <c:v>44691</c:v>
                </c:pt>
                <c:pt idx="609">
                  <c:v>44692</c:v>
                </c:pt>
                <c:pt idx="610">
                  <c:v>44693</c:v>
                </c:pt>
                <c:pt idx="611">
                  <c:v>44694</c:v>
                </c:pt>
                <c:pt idx="612">
                  <c:v>44697</c:v>
                </c:pt>
                <c:pt idx="613">
                  <c:v>44698</c:v>
                </c:pt>
                <c:pt idx="614">
                  <c:v>44699</c:v>
                </c:pt>
                <c:pt idx="615">
                  <c:v>44700</c:v>
                </c:pt>
                <c:pt idx="616">
                  <c:v>44701</c:v>
                </c:pt>
                <c:pt idx="617">
                  <c:v>44704</c:v>
                </c:pt>
                <c:pt idx="618">
                  <c:v>44705</c:v>
                </c:pt>
                <c:pt idx="619">
                  <c:v>44706</c:v>
                </c:pt>
                <c:pt idx="620">
                  <c:v>44707</c:v>
                </c:pt>
                <c:pt idx="621">
                  <c:v>44708</c:v>
                </c:pt>
                <c:pt idx="622">
                  <c:v>44711</c:v>
                </c:pt>
                <c:pt idx="623">
                  <c:v>44712</c:v>
                </c:pt>
                <c:pt idx="624">
                  <c:v>44713</c:v>
                </c:pt>
                <c:pt idx="625">
                  <c:v>44714</c:v>
                </c:pt>
                <c:pt idx="626">
                  <c:v>44715</c:v>
                </c:pt>
                <c:pt idx="627">
                  <c:v>44718</c:v>
                </c:pt>
                <c:pt idx="628">
                  <c:v>44719</c:v>
                </c:pt>
                <c:pt idx="629">
                  <c:v>44720</c:v>
                </c:pt>
                <c:pt idx="630">
                  <c:v>44721</c:v>
                </c:pt>
                <c:pt idx="631">
                  <c:v>44722</c:v>
                </c:pt>
                <c:pt idx="632">
                  <c:v>44725</c:v>
                </c:pt>
                <c:pt idx="633">
                  <c:v>44726</c:v>
                </c:pt>
                <c:pt idx="634">
                  <c:v>44727</c:v>
                </c:pt>
                <c:pt idx="635">
                  <c:v>44728</c:v>
                </c:pt>
                <c:pt idx="636">
                  <c:v>44729</c:v>
                </c:pt>
                <c:pt idx="637">
                  <c:v>44732</c:v>
                </c:pt>
                <c:pt idx="638">
                  <c:v>44733</c:v>
                </c:pt>
                <c:pt idx="639">
                  <c:v>44734</c:v>
                </c:pt>
                <c:pt idx="640">
                  <c:v>44735</c:v>
                </c:pt>
                <c:pt idx="641">
                  <c:v>44736</c:v>
                </c:pt>
                <c:pt idx="642">
                  <c:v>44739</c:v>
                </c:pt>
                <c:pt idx="643">
                  <c:v>44740</c:v>
                </c:pt>
                <c:pt idx="644">
                  <c:v>44741</c:v>
                </c:pt>
                <c:pt idx="645">
                  <c:v>44742</c:v>
                </c:pt>
                <c:pt idx="646">
                  <c:v>44743</c:v>
                </c:pt>
                <c:pt idx="647">
                  <c:v>44746</c:v>
                </c:pt>
                <c:pt idx="648">
                  <c:v>44747</c:v>
                </c:pt>
                <c:pt idx="649">
                  <c:v>44748</c:v>
                </c:pt>
                <c:pt idx="650">
                  <c:v>44749</c:v>
                </c:pt>
                <c:pt idx="651">
                  <c:v>44750</c:v>
                </c:pt>
                <c:pt idx="652">
                  <c:v>44753</c:v>
                </c:pt>
                <c:pt idx="653">
                  <c:v>44754</c:v>
                </c:pt>
                <c:pt idx="654">
                  <c:v>44755</c:v>
                </c:pt>
                <c:pt idx="655">
                  <c:v>44756</c:v>
                </c:pt>
                <c:pt idx="656">
                  <c:v>44757</c:v>
                </c:pt>
                <c:pt idx="657">
                  <c:v>44760</c:v>
                </c:pt>
                <c:pt idx="658">
                  <c:v>44761</c:v>
                </c:pt>
                <c:pt idx="659">
                  <c:v>44762</c:v>
                </c:pt>
                <c:pt idx="660">
                  <c:v>44763</c:v>
                </c:pt>
                <c:pt idx="661">
                  <c:v>44764</c:v>
                </c:pt>
                <c:pt idx="662">
                  <c:v>44767</c:v>
                </c:pt>
                <c:pt idx="663">
                  <c:v>44768</c:v>
                </c:pt>
                <c:pt idx="664">
                  <c:v>44769</c:v>
                </c:pt>
                <c:pt idx="665">
                  <c:v>44770</c:v>
                </c:pt>
                <c:pt idx="666">
                  <c:v>44771</c:v>
                </c:pt>
                <c:pt idx="667">
                  <c:v>44774</c:v>
                </c:pt>
                <c:pt idx="668">
                  <c:v>44775</c:v>
                </c:pt>
                <c:pt idx="669">
                  <c:v>44776</c:v>
                </c:pt>
                <c:pt idx="670">
                  <c:v>44777</c:v>
                </c:pt>
                <c:pt idx="671">
                  <c:v>44778</c:v>
                </c:pt>
                <c:pt idx="672">
                  <c:v>44781</c:v>
                </c:pt>
                <c:pt idx="673">
                  <c:v>44782</c:v>
                </c:pt>
                <c:pt idx="674">
                  <c:v>44783</c:v>
                </c:pt>
                <c:pt idx="675">
                  <c:v>44784</c:v>
                </c:pt>
                <c:pt idx="676">
                  <c:v>44785</c:v>
                </c:pt>
                <c:pt idx="677">
                  <c:v>44788</c:v>
                </c:pt>
                <c:pt idx="678">
                  <c:v>44789</c:v>
                </c:pt>
                <c:pt idx="679">
                  <c:v>44790</c:v>
                </c:pt>
                <c:pt idx="680">
                  <c:v>44791</c:v>
                </c:pt>
                <c:pt idx="681">
                  <c:v>44792</c:v>
                </c:pt>
                <c:pt idx="682">
                  <c:v>44795</c:v>
                </c:pt>
                <c:pt idx="683">
                  <c:v>44796</c:v>
                </c:pt>
                <c:pt idx="684">
                  <c:v>44797</c:v>
                </c:pt>
                <c:pt idx="685">
                  <c:v>44798</c:v>
                </c:pt>
                <c:pt idx="686">
                  <c:v>44799</c:v>
                </c:pt>
                <c:pt idx="687">
                  <c:v>44802</c:v>
                </c:pt>
                <c:pt idx="688">
                  <c:v>44803</c:v>
                </c:pt>
                <c:pt idx="689">
                  <c:v>44804</c:v>
                </c:pt>
                <c:pt idx="690">
                  <c:v>44805</c:v>
                </c:pt>
                <c:pt idx="691">
                  <c:v>44806</c:v>
                </c:pt>
                <c:pt idx="692">
                  <c:v>44809</c:v>
                </c:pt>
                <c:pt idx="693">
                  <c:v>44810</c:v>
                </c:pt>
                <c:pt idx="694">
                  <c:v>44811</c:v>
                </c:pt>
                <c:pt idx="695">
                  <c:v>44812</c:v>
                </c:pt>
                <c:pt idx="696">
                  <c:v>44813</c:v>
                </c:pt>
                <c:pt idx="697">
                  <c:v>44816</c:v>
                </c:pt>
                <c:pt idx="698">
                  <c:v>44817</c:v>
                </c:pt>
                <c:pt idx="699">
                  <c:v>44818</c:v>
                </c:pt>
                <c:pt idx="700">
                  <c:v>44819</c:v>
                </c:pt>
                <c:pt idx="701">
                  <c:v>44820</c:v>
                </c:pt>
                <c:pt idx="702">
                  <c:v>44823</c:v>
                </c:pt>
                <c:pt idx="703">
                  <c:v>44824</c:v>
                </c:pt>
                <c:pt idx="704">
                  <c:v>44825</c:v>
                </c:pt>
                <c:pt idx="705">
                  <c:v>44826</c:v>
                </c:pt>
                <c:pt idx="706">
                  <c:v>44827</c:v>
                </c:pt>
                <c:pt idx="707">
                  <c:v>44830</c:v>
                </c:pt>
                <c:pt idx="708">
                  <c:v>44831</c:v>
                </c:pt>
                <c:pt idx="709">
                  <c:v>44832</c:v>
                </c:pt>
                <c:pt idx="710">
                  <c:v>44833</c:v>
                </c:pt>
                <c:pt idx="711">
                  <c:v>44834</c:v>
                </c:pt>
                <c:pt idx="712">
                  <c:v>44837</c:v>
                </c:pt>
                <c:pt idx="713">
                  <c:v>44838</c:v>
                </c:pt>
                <c:pt idx="714">
                  <c:v>44839</c:v>
                </c:pt>
                <c:pt idx="715">
                  <c:v>44840</c:v>
                </c:pt>
                <c:pt idx="716">
                  <c:v>44841</c:v>
                </c:pt>
                <c:pt idx="717">
                  <c:v>44844</c:v>
                </c:pt>
                <c:pt idx="718">
                  <c:v>44845</c:v>
                </c:pt>
                <c:pt idx="719">
                  <c:v>44846</c:v>
                </c:pt>
                <c:pt idx="720">
                  <c:v>44847</c:v>
                </c:pt>
                <c:pt idx="721">
                  <c:v>44848</c:v>
                </c:pt>
                <c:pt idx="722">
                  <c:v>44851</c:v>
                </c:pt>
                <c:pt idx="723">
                  <c:v>44852</c:v>
                </c:pt>
                <c:pt idx="724">
                  <c:v>44853</c:v>
                </c:pt>
                <c:pt idx="725">
                  <c:v>44854</c:v>
                </c:pt>
                <c:pt idx="726">
                  <c:v>44855</c:v>
                </c:pt>
                <c:pt idx="727">
                  <c:v>44858</c:v>
                </c:pt>
                <c:pt idx="728">
                  <c:v>44859</c:v>
                </c:pt>
                <c:pt idx="729">
                  <c:v>44860</c:v>
                </c:pt>
                <c:pt idx="730">
                  <c:v>44861</c:v>
                </c:pt>
                <c:pt idx="731">
                  <c:v>44862</c:v>
                </c:pt>
                <c:pt idx="732">
                  <c:v>44865</c:v>
                </c:pt>
                <c:pt idx="733">
                  <c:v>44866</c:v>
                </c:pt>
                <c:pt idx="734">
                  <c:v>44867</c:v>
                </c:pt>
                <c:pt idx="735">
                  <c:v>44868</c:v>
                </c:pt>
                <c:pt idx="736">
                  <c:v>44869</c:v>
                </c:pt>
                <c:pt idx="737">
                  <c:v>44872</c:v>
                </c:pt>
                <c:pt idx="738">
                  <c:v>44873</c:v>
                </c:pt>
                <c:pt idx="739">
                  <c:v>44874</c:v>
                </c:pt>
                <c:pt idx="740">
                  <c:v>44875</c:v>
                </c:pt>
                <c:pt idx="741">
                  <c:v>44876</c:v>
                </c:pt>
                <c:pt idx="742">
                  <c:v>44879</c:v>
                </c:pt>
                <c:pt idx="743">
                  <c:v>44880</c:v>
                </c:pt>
                <c:pt idx="744">
                  <c:v>44881</c:v>
                </c:pt>
                <c:pt idx="745">
                  <c:v>44882</c:v>
                </c:pt>
                <c:pt idx="746">
                  <c:v>44883</c:v>
                </c:pt>
                <c:pt idx="747">
                  <c:v>44886</c:v>
                </c:pt>
                <c:pt idx="748">
                  <c:v>44887</c:v>
                </c:pt>
                <c:pt idx="749">
                  <c:v>44888</c:v>
                </c:pt>
                <c:pt idx="750">
                  <c:v>44889</c:v>
                </c:pt>
                <c:pt idx="751">
                  <c:v>44890</c:v>
                </c:pt>
                <c:pt idx="752">
                  <c:v>44893</c:v>
                </c:pt>
                <c:pt idx="753">
                  <c:v>44894</c:v>
                </c:pt>
                <c:pt idx="754">
                  <c:v>44895</c:v>
                </c:pt>
                <c:pt idx="755">
                  <c:v>44896</c:v>
                </c:pt>
                <c:pt idx="756">
                  <c:v>44897</c:v>
                </c:pt>
                <c:pt idx="757">
                  <c:v>44900</c:v>
                </c:pt>
                <c:pt idx="758">
                  <c:v>44901</c:v>
                </c:pt>
                <c:pt idx="759">
                  <c:v>44902</c:v>
                </c:pt>
                <c:pt idx="760">
                  <c:v>44903</c:v>
                </c:pt>
                <c:pt idx="761">
                  <c:v>44904</c:v>
                </c:pt>
                <c:pt idx="762">
                  <c:v>44907</c:v>
                </c:pt>
                <c:pt idx="763">
                  <c:v>44908</c:v>
                </c:pt>
                <c:pt idx="764">
                  <c:v>44909</c:v>
                </c:pt>
                <c:pt idx="765">
                  <c:v>44910</c:v>
                </c:pt>
                <c:pt idx="766">
                  <c:v>44911</c:v>
                </c:pt>
                <c:pt idx="767">
                  <c:v>44914</c:v>
                </c:pt>
                <c:pt idx="768">
                  <c:v>44915</c:v>
                </c:pt>
                <c:pt idx="769">
                  <c:v>44916</c:v>
                </c:pt>
                <c:pt idx="770">
                  <c:v>44917</c:v>
                </c:pt>
                <c:pt idx="771">
                  <c:v>44918</c:v>
                </c:pt>
                <c:pt idx="772">
                  <c:v>44922</c:v>
                </c:pt>
                <c:pt idx="773">
                  <c:v>44923</c:v>
                </c:pt>
                <c:pt idx="774">
                  <c:v>44924</c:v>
                </c:pt>
                <c:pt idx="775">
                  <c:v>44925</c:v>
                </c:pt>
                <c:pt idx="776">
                  <c:v>44929</c:v>
                </c:pt>
                <c:pt idx="777">
                  <c:v>44930</c:v>
                </c:pt>
                <c:pt idx="778">
                  <c:v>44931</c:v>
                </c:pt>
                <c:pt idx="779">
                  <c:v>44932</c:v>
                </c:pt>
                <c:pt idx="780">
                  <c:v>44935</c:v>
                </c:pt>
                <c:pt idx="781">
                  <c:v>44936</c:v>
                </c:pt>
                <c:pt idx="782">
                  <c:v>44937</c:v>
                </c:pt>
                <c:pt idx="783">
                  <c:v>44938</c:v>
                </c:pt>
                <c:pt idx="784">
                  <c:v>44939</c:v>
                </c:pt>
                <c:pt idx="785">
                  <c:v>44942</c:v>
                </c:pt>
                <c:pt idx="786">
                  <c:v>44943</c:v>
                </c:pt>
                <c:pt idx="787">
                  <c:v>44944</c:v>
                </c:pt>
                <c:pt idx="788">
                  <c:v>44945</c:v>
                </c:pt>
                <c:pt idx="789">
                  <c:v>44946</c:v>
                </c:pt>
                <c:pt idx="790">
                  <c:v>44949</c:v>
                </c:pt>
                <c:pt idx="791">
                  <c:v>44950</c:v>
                </c:pt>
                <c:pt idx="792">
                  <c:v>44951</c:v>
                </c:pt>
                <c:pt idx="793">
                  <c:v>44952</c:v>
                </c:pt>
                <c:pt idx="794">
                  <c:v>44953</c:v>
                </c:pt>
                <c:pt idx="795">
                  <c:v>44956</c:v>
                </c:pt>
                <c:pt idx="796">
                  <c:v>44957</c:v>
                </c:pt>
                <c:pt idx="797">
                  <c:v>44958</c:v>
                </c:pt>
                <c:pt idx="798">
                  <c:v>44959</c:v>
                </c:pt>
                <c:pt idx="799">
                  <c:v>44960</c:v>
                </c:pt>
                <c:pt idx="800">
                  <c:v>44963</c:v>
                </c:pt>
                <c:pt idx="801">
                  <c:v>44964</c:v>
                </c:pt>
                <c:pt idx="802">
                  <c:v>44965</c:v>
                </c:pt>
                <c:pt idx="803">
                  <c:v>44966</c:v>
                </c:pt>
                <c:pt idx="804">
                  <c:v>44967</c:v>
                </c:pt>
                <c:pt idx="805">
                  <c:v>44970</c:v>
                </c:pt>
                <c:pt idx="806">
                  <c:v>44971</c:v>
                </c:pt>
                <c:pt idx="807">
                  <c:v>44972</c:v>
                </c:pt>
                <c:pt idx="808">
                  <c:v>44973</c:v>
                </c:pt>
                <c:pt idx="809">
                  <c:v>44974</c:v>
                </c:pt>
                <c:pt idx="810">
                  <c:v>44977</c:v>
                </c:pt>
                <c:pt idx="811">
                  <c:v>44978</c:v>
                </c:pt>
                <c:pt idx="812">
                  <c:v>44979</c:v>
                </c:pt>
                <c:pt idx="813">
                  <c:v>44980</c:v>
                </c:pt>
                <c:pt idx="814">
                  <c:v>44981</c:v>
                </c:pt>
                <c:pt idx="815">
                  <c:v>44984</c:v>
                </c:pt>
                <c:pt idx="816">
                  <c:v>44985</c:v>
                </c:pt>
                <c:pt idx="817">
                  <c:v>44986</c:v>
                </c:pt>
                <c:pt idx="818">
                  <c:v>44987</c:v>
                </c:pt>
                <c:pt idx="819">
                  <c:v>44988</c:v>
                </c:pt>
                <c:pt idx="820">
                  <c:v>44991</c:v>
                </c:pt>
                <c:pt idx="821">
                  <c:v>44992</c:v>
                </c:pt>
                <c:pt idx="822">
                  <c:v>44993</c:v>
                </c:pt>
                <c:pt idx="823">
                  <c:v>44994</c:v>
                </c:pt>
                <c:pt idx="824">
                  <c:v>44995</c:v>
                </c:pt>
                <c:pt idx="825">
                  <c:v>44998</c:v>
                </c:pt>
                <c:pt idx="826">
                  <c:v>44999</c:v>
                </c:pt>
                <c:pt idx="827">
                  <c:v>45000</c:v>
                </c:pt>
                <c:pt idx="828">
                  <c:v>45001</c:v>
                </c:pt>
                <c:pt idx="829">
                  <c:v>45002</c:v>
                </c:pt>
                <c:pt idx="830">
                  <c:v>45005</c:v>
                </c:pt>
                <c:pt idx="831">
                  <c:v>45006</c:v>
                </c:pt>
                <c:pt idx="832">
                  <c:v>45007</c:v>
                </c:pt>
                <c:pt idx="833">
                  <c:v>45008</c:v>
                </c:pt>
                <c:pt idx="834">
                  <c:v>45009</c:v>
                </c:pt>
                <c:pt idx="835">
                  <c:v>45012</c:v>
                </c:pt>
                <c:pt idx="836">
                  <c:v>45013</c:v>
                </c:pt>
                <c:pt idx="837">
                  <c:v>45014</c:v>
                </c:pt>
                <c:pt idx="838">
                  <c:v>45015</c:v>
                </c:pt>
                <c:pt idx="839">
                  <c:v>45016</c:v>
                </c:pt>
                <c:pt idx="840">
                  <c:v>45019</c:v>
                </c:pt>
                <c:pt idx="841">
                  <c:v>45020</c:v>
                </c:pt>
                <c:pt idx="842">
                  <c:v>45021</c:v>
                </c:pt>
                <c:pt idx="843">
                  <c:v>45022</c:v>
                </c:pt>
                <c:pt idx="844">
                  <c:v>45023</c:v>
                </c:pt>
                <c:pt idx="845">
                  <c:v>45026</c:v>
                </c:pt>
                <c:pt idx="846">
                  <c:v>45027</c:v>
                </c:pt>
                <c:pt idx="847">
                  <c:v>45028</c:v>
                </c:pt>
                <c:pt idx="848">
                  <c:v>45029</c:v>
                </c:pt>
                <c:pt idx="849">
                  <c:v>45030</c:v>
                </c:pt>
                <c:pt idx="850">
                  <c:v>45033</c:v>
                </c:pt>
                <c:pt idx="851">
                  <c:v>45034</c:v>
                </c:pt>
                <c:pt idx="852">
                  <c:v>45035</c:v>
                </c:pt>
                <c:pt idx="853">
                  <c:v>45036</c:v>
                </c:pt>
                <c:pt idx="854">
                  <c:v>45037</c:v>
                </c:pt>
                <c:pt idx="855">
                  <c:v>45040</c:v>
                </c:pt>
                <c:pt idx="856">
                  <c:v>45041</c:v>
                </c:pt>
                <c:pt idx="857">
                  <c:v>45042</c:v>
                </c:pt>
                <c:pt idx="858">
                  <c:v>45043</c:v>
                </c:pt>
                <c:pt idx="859">
                  <c:v>45044</c:v>
                </c:pt>
                <c:pt idx="860">
                  <c:v>45047</c:v>
                </c:pt>
                <c:pt idx="861">
                  <c:v>45048</c:v>
                </c:pt>
                <c:pt idx="862">
                  <c:v>45049</c:v>
                </c:pt>
                <c:pt idx="863">
                  <c:v>45050</c:v>
                </c:pt>
                <c:pt idx="864">
                  <c:v>45051</c:v>
                </c:pt>
                <c:pt idx="865">
                  <c:v>45054</c:v>
                </c:pt>
                <c:pt idx="866">
                  <c:v>45055</c:v>
                </c:pt>
                <c:pt idx="867">
                  <c:v>45056</c:v>
                </c:pt>
                <c:pt idx="868">
                  <c:v>45057</c:v>
                </c:pt>
                <c:pt idx="869">
                  <c:v>45058</c:v>
                </c:pt>
                <c:pt idx="870">
                  <c:v>45061</c:v>
                </c:pt>
                <c:pt idx="871">
                  <c:v>45062</c:v>
                </c:pt>
                <c:pt idx="872">
                  <c:v>45063</c:v>
                </c:pt>
                <c:pt idx="873">
                  <c:v>45064</c:v>
                </c:pt>
                <c:pt idx="874">
                  <c:v>45065</c:v>
                </c:pt>
                <c:pt idx="875">
                  <c:v>45068</c:v>
                </c:pt>
                <c:pt idx="876">
                  <c:v>45069</c:v>
                </c:pt>
                <c:pt idx="877">
                  <c:v>45070</c:v>
                </c:pt>
                <c:pt idx="878">
                  <c:v>45071</c:v>
                </c:pt>
                <c:pt idx="879">
                  <c:v>45072</c:v>
                </c:pt>
                <c:pt idx="880">
                  <c:v>45075</c:v>
                </c:pt>
                <c:pt idx="881">
                  <c:v>45076</c:v>
                </c:pt>
                <c:pt idx="882">
                  <c:v>45077</c:v>
                </c:pt>
                <c:pt idx="883">
                  <c:v>45078</c:v>
                </c:pt>
                <c:pt idx="884">
                  <c:v>45079</c:v>
                </c:pt>
                <c:pt idx="885">
                  <c:v>45082</c:v>
                </c:pt>
                <c:pt idx="886">
                  <c:v>45083</c:v>
                </c:pt>
                <c:pt idx="887">
                  <c:v>45084</c:v>
                </c:pt>
                <c:pt idx="888">
                  <c:v>45085</c:v>
                </c:pt>
              </c:numCache>
            </c:numRef>
          </c:cat>
          <c:val>
            <c:numRef>
              <c:f>Sheet1!$D$2:$D$957</c:f>
              <c:numCache>
                <c:formatCode>0.0</c:formatCode>
                <c:ptCount val="956"/>
                <c:pt idx="0">
                  <c:v>100</c:v>
                </c:pt>
                <c:pt idx="1">
                  <c:v>100.61367588125769</c:v>
                </c:pt>
                <c:pt idx="2">
                  <c:v>100.15183900204345</c:v>
                </c:pt>
                <c:pt idx="3">
                  <c:v>100.49700130124569</c:v>
                </c:pt>
                <c:pt idx="4">
                  <c:v>99.312592266095848</c:v>
                </c:pt>
                <c:pt idx="5">
                  <c:v>99.344353679543573</c:v>
                </c:pt>
                <c:pt idx="6">
                  <c:v>98.889808961580059</c:v>
                </c:pt>
                <c:pt idx="7">
                  <c:v>99.193486965666921</c:v>
                </c:pt>
                <c:pt idx="8">
                  <c:v>99.483228839363434</c:v>
                </c:pt>
                <c:pt idx="9">
                  <c:v>99.465079460250465</c:v>
                </c:pt>
                <c:pt idx="10">
                  <c:v>99.951223543633901</c:v>
                </c:pt>
                <c:pt idx="11">
                  <c:v>99.786582747394718</c:v>
                </c:pt>
                <c:pt idx="12">
                  <c:v>99.813968864091976</c:v>
                </c:pt>
                <c:pt idx="13">
                  <c:v>100.30805330083733</c:v>
                </c:pt>
                <c:pt idx="14">
                  <c:v>100.36444601450981</c:v>
                </c:pt>
                <c:pt idx="15">
                  <c:v>100.35115807623066</c:v>
                </c:pt>
                <c:pt idx="16">
                  <c:v>100.5995777028396</c:v>
                </c:pt>
                <c:pt idx="17">
                  <c:v>101.98476424442678</c:v>
                </c:pt>
                <c:pt idx="18">
                  <c:v>100.88024488697963</c:v>
                </c:pt>
                <c:pt idx="19">
                  <c:v>101.36946788289114</c:v>
                </c:pt>
                <c:pt idx="20">
                  <c:v>102.48597879439509</c:v>
                </c:pt>
                <c:pt idx="21">
                  <c:v>103.66811915715581</c:v>
                </c:pt>
                <c:pt idx="22">
                  <c:v>103.20693047005274</c:v>
                </c:pt>
                <c:pt idx="23">
                  <c:v>101.96499438503585</c:v>
                </c:pt>
                <c:pt idx="24">
                  <c:v>101.87797459411021</c:v>
                </c:pt>
                <c:pt idx="25">
                  <c:v>102.58450399529414</c:v>
                </c:pt>
                <c:pt idx="26">
                  <c:v>103.97811703432667</c:v>
                </c:pt>
                <c:pt idx="27">
                  <c:v>103.86209064642583</c:v>
                </c:pt>
                <c:pt idx="28">
                  <c:v>102.64932320641195</c:v>
                </c:pt>
                <c:pt idx="29">
                  <c:v>102.6036256625739</c:v>
                </c:pt>
                <c:pt idx="30">
                  <c:v>103.10030286776397</c:v>
                </c:pt>
                <c:pt idx="31">
                  <c:v>102.95008434599849</c:v>
                </c:pt>
                <c:pt idx="32">
                  <c:v>102.89239524810365</c:v>
                </c:pt>
                <c:pt idx="33">
                  <c:v>103.48678741405381</c:v>
                </c:pt>
                <c:pt idx="34">
                  <c:v>103.03564570467398</c:v>
                </c:pt>
                <c:pt idx="35">
                  <c:v>103.98816401204994</c:v>
                </c:pt>
                <c:pt idx="36">
                  <c:v>103.88137436173338</c:v>
                </c:pt>
                <c:pt idx="37">
                  <c:v>105.81736214979399</c:v>
                </c:pt>
                <c:pt idx="38">
                  <c:v>105.83810429735169</c:v>
                </c:pt>
                <c:pt idx="39">
                  <c:v>106.09365403718358</c:v>
                </c:pt>
                <c:pt idx="40">
                  <c:v>107.47576166624269</c:v>
                </c:pt>
                <c:pt idx="41">
                  <c:v>108.13902424400547</c:v>
                </c:pt>
                <c:pt idx="42">
                  <c:v>107.58206517247585</c:v>
                </c:pt>
                <c:pt idx="43">
                  <c:v>107.28567932963976</c:v>
                </c:pt>
                <c:pt idx="44">
                  <c:v>107.39327922009528</c:v>
                </c:pt>
                <c:pt idx="45">
                  <c:v>109.49034274778361</c:v>
                </c:pt>
                <c:pt idx="46">
                  <c:v>111.10012785589397</c:v>
                </c:pt>
                <c:pt idx="47">
                  <c:v>121.05635868358668</c:v>
                </c:pt>
                <c:pt idx="48">
                  <c:v>115.48271676759563</c:v>
                </c:pt>
                <c:pt idx="49">
                  <c:v>118.78833448657518</c:v>
                </c:pt>
                <c:pt idx="50">
                  <c:v>108.01716412710404</c:v>
                </c:pt>
                <c:pt idx="51">
                  <c:v>117.36328413015055</c:v>
                </c:pt>
                <c:pt idx="52">
                  <c:v>120.91294617898859</c:v>
                </c:pt>
                <c:pt idx="53">
                  <c:v>121.76369832490961</c:v>
                </c:pt>
                <c:pt idx="54">
                  <c:v>131.1163002490679</c:v>
                </c:pt>
                <c:pt idx="55">
                  <c:v>128.42711322781852</c:v>
                </c:pt>
                <c:pt idx="56">
                  <c:v>129.65884028708436</c:v>
                </c:pt>
                <c:pt idx="57">
                  <c:v>128.77470624743768</c:v>
                </c:pt>
                <c:pt idx="58">
                  <c:v>126.76531070278617</c:v>
                </c:pt>
                <c:pt idx="59">
                  <c:v>126.93140993127548</c:v>
                </c:pt>
                <c:pt idx="60">
                  <c:v>125.35176575633491</c:v>
                </c:pt>
                <c:pt idx="61">
                  <c:v>127.85589392984301</c:v>
                </c:pt>
                <c:pt idx="62">
                  <c:v>129.029121651075</c:v>
                </c:pt>
                <c:pt idx="63">
                  <c:v>127.24610720125237</c:v>
                </c:pt>
                <c:pt idx="64">
                  <c:v>127.79512591942004</c:v>
                </c:pt>
                <c:pt idx="65">
                  <c:v>125.00563116896591</c:v>
                </c:pt>
                <c:pt idx="66">
                  <c:v>124.07207248084191</c:v>
                </c:pt>
                <c:pt idx="67">
                  <c:v>123.15488064352516</c:v>
                </c:pt>
                <c:pt idx="68">
                  <c:v>122.08374317980366</c:v>
                </c:pt>
                <c:pt idx="69">
                  <c:v>121.66403878781597</c:v>
                </c:pt>
                <c:pt idx="70">
                  <c:v>120.55935738234103</c:v>
                </c:pt>
                <c:pt idx="71">
                  <c:v>118.74863271976552</c:v>
                </c:pt>
                <c:pt idx="72">
                  <c:v>118.38094574469984</c:v>
                </c:pt>
                <c:pt idx="73">
                  <c:v>121.45337635168313</c:v>
                </c:pt>
                <c:pt idx="74">
                  <c:v>119.43425792536394</c:v>
                </c:pt>
                <c:pt idx="75">
                  <c:v>119.90128034146764</c:v>
                </c:pt>
                <c:pt idx="76">
                  <c:v>122.32713931755099</c:v>
                </c:pt>
                <c:pt idx="77">
                  <c:v>124.8264060502252</c:v>
                </c:pt>
                <c:pt idx="78">
                  <c:v>122.9774380530902</c:v>
                </c:pt>
                <c:pt idx="79">
                  <c:v>121.10140803531354</c:v>
                </c:pt>
                <c:pt idx="80">
                  <c:v>120.79870231939346</c:v>
                </c:pt>
                <c:pt idx="81">
                  <c:v>120.6387609159603</c:v>
                </c:pt>
                <c:pt idx="82">
                  <c:v>119.98554531592076</c:v>
                </c:pt>
                <c:pt idx="83">
                  <c:v>118.46034927831913</c:v>
                </c:pt>
                <c:pt idx="84">
                  <c:v>120.5410459552002</c:v>
                </c:pt>
                <c:pt idx="85">
                  <c:v>122.12150037027975</c:v>
                </c:pt>
                <c:pt idx="86">
                  <c:v>120.92234496460061</c:v>
                </c:pt>
                <c:pt idx="87">
                  <c:v>119.54153371976385</c:v>
                </c:pt>
                <c:pt idx="88">
                  <c:v>120.89106969523628</c:v>
                </c:pt>
                <c:pt idx="89">
                  <c:v>119.85477255749061</c:v>
                </c:pt>
                <c:pt idx="90">
                  <c:v>119.01455353337623</c:v>
                </c:pt>
                <c:pt idx="91">
                  <c:v>119.46018560981103</c:v>
                </c:pt>
                <c:pt idx="92">
                  <c:v>119.30137854257245</c:v>
                </c:pt>
                <c:pt idx="93">
                  <c:v>120.03108081173099</c:v>
                </c:pt>
                <c:pt idx="94">
                  <c:v>118.97339333431644</c:v>
                </c:pt>
                <c:pt idx="95">
                  <c:v>119.04210169810131</c:v>
                </c:pt>
                <c:pt idx="96">
                  <c:v>117.79287345183367</c:v>
                </c:pt>
                <c:pt idx="97">
                  <c:v>117.50588639460966</c:v>
                </c:pt>
                <c:pt idx="98">
                  <c:v>115.39618312075335</c:v>
                </c:pt>
                <c:pt idx="99">
                  <c:v>115.06252623152453</c:v>
                </c:pt>
                <c:pt idx="100">
                  <c:v>115.98587589389747</c:v>
                </c:pt>
                <c:pt idx="101">
                  <c:v>116.12458900568954</c:v>
                </c:pt>
                <c:pt idx="102">
                  <c:v>114.74312956874161</c:v>
                </c:pt>
                <c:pt idx="103">
                  <c:v>114.84878488286361</c:v>
                </c:pt>
                <c:pt idx="104">
                  <c:v>114.28453365008323</c:v>
                </c:pt>
                <c:pt idx="105">
                  <c:v>113.74556190963879</c:v>
                </c:pt>
                <c:pt idx="106">
                  <c:v>111.9790763586512</c:v>
                </c:pt>
                <c:pt idx="107">
                  <c:v>111.32910171916754</c:v>
                </c:pt>
                <c:pt idx="108">
                  <c:v>110.9040497422626</c:v>
                </c:pt>
                <c:pt idx="109">
                  <c:v>111.96238541178835</c:v>
                </c:pt>
                <c:pt idx="110">
                  <c:v>111.33752821661285</c:v>
                </c:pt>
                <c:pt idx="111">
                  <c:v>110.40315928834988</c:v>
                </c:pt>
                <c:pt idx="112">
                  <c:v>111.15101093662138</c:v>
                </c:pt>
                <c:pt idx="113">
                  <c:v>110.95558101510125</c:v>
                </c:pt>
                <c:pt idx="114">
                  <c:v>113.60522831756876</c:v>
                </c:pt>
                <c:pt idx="115">
                  <c:v>113.22295702000159</c:v>
                </c:pt>
                <c:pt idx="116">
                  <c:v>112.80001166745798</c:v>
                </c:pt>
                <c:pt idx="117">
                  <c:v>112.55013360859893</c:v>
                </c:pt>
                <c:pt idx="118">
                  <c:v>112.89950915652382</c:v>
                </c:pt>
                <c:pt idx="119">
                  <c:v>113.14015047779863</c:v>
                </c:pt>
                <c:pt idx="120">
                  <c:v>112.50103305617721</c:v>
                </c:pt>
                <c:pt idx="121">
                  <c:v>111.77748861207486</c:v>
                </c:pt>
                <c:pt idx="122">
                  <c:v>111.4303817365391</c:v>
                </c:pt>
                <c:pt idx="123">
                  <c:v>112.58691851090829</c:v>
                </c:pt>
                <c:pt idx="124">
                  <c:v>111.89594572039265</c:v>
                </c:pt>
                <c:pt idx="125">
                  <c:v>113.07630355484761</c:v>
                </c:pt>
                <c:pt idx="126">
                  <c:v>113.70926315141286</c:v>
                </c:pt>
                <c:pt idx="127">
                  <c:v>115.37025543630624</c:v>
                </c:pt>
                <c:pt idx="128">
                  <c:v>114.53133279641423</c:v>
                </c:pt>
                <c:pt idx="129">
                  <c:v>114.2300855127443</c:v>
                </c:pt>
                <c:pt idx="130">
                  <c:v>115.66096959816953</c:v>
                </c:pt>
                <c:pt idx="131">
                  <c:v>116.41757183994194</c:v>
                </c:pt>
                <c:pt idx="132">
                  <c:v>115.77505140973686</c:v>
                </c:pt>
                <c:pt idx="133">
                  <c:v>115.50232457895876</c:v>
                </c:pt>
                <c:pt idx="134">
                  <c:v>114.69937660123712</c:v>
                </c:pt>
                <c:pt idx="135">
                  <c:v>114.81345841280445</c:v>
                </c:pt>
                <c:pt idx="136">
                  <c:v>114.94001792251193</c:v>
                </c:pt>
                <c:pt idx="137">
                  <c:v>115.04421480438378</c:v>
                </c:pt>
                <c:pt idx="138">
                  <c:v>115.11972918533601</c:v>
                </c:pt>
                <c:pt idx="139">
                  <c:v>115.9737222918129</c:v>
                </c:pt>
                <c:pt idx="140">
                  <c:v>116.47120973714196</c:v>
                </c:pt>
                <c:pt idx="141">
                  <c:v>115.54072996154606</c:v>
                </c:pt>
                <c:pt idx="142">
                  <c:v>114.61397729058945</c:v>
                </c:pt>
                <c:pt idx="143">
                  <c:v>115.37608916530689</c:v>
                </c:pt>
                <c:pt idx="144">
                  <c:v>115.62937023274968</c:v>
                </c:pt>
                <c:pt idx="145">
                  <c:v>116.13982152030229</c:v>
                </c:pt>
                <c:pt idx="146">
                  <c:v>115.98603794192535</c:v>
                </c:pt>
                <c:pt idx="147">
                  <c:v>117.50102495377593</c:v>
                </c:pt>
                <c:pt idx="148">
                  <c:v>117.50232133799827</c:v>
                </c:pt>
                <c:pt idx="149">
                  <c:v>118.87276150905616</c:v>
                </c:pt>
                <c:pt idx="150">
                  <c:v>120.53618451436647</c:v>
                </c:pt>
                <c:pt idx="151">
                  <c:v>118.41124872589751</c:v>
                </c:pt>
                <c:pt idx="152">
                  <c:v>118.98198187978967</c:v>
                </c:pt>
                <c:pt idx="153">
                  <c:v>118.06252137008379</c:v>
                </c:pt>
                <c:pt idx="154">
                  <c:v>118.62985151539226</c:v>
                </c:pt>
                <c:pt idx="155">
                  <c:v>119.51042049842745</c:v>
                </c:pt>
                <c:pt idx="156">
                  <c:v>119.17255036047597</c:v>
                </c:pt>
                <c:pt idx="157">
                  <c:v>118.41238306209208</c:v>
                </c:pt>
                <c:pt idx="158">
                  <c:v>119.61251075593798</c:v>
                </c:pt>
                <c:pt idx="159">
                  <c:v>118.21662904451634</c:v>
                </c:pt>
                <c:pt idx="160">
                  <c:v>118.04145512647052</c:v>
                </c:pt>
                <c:pt idx="161">
                  <c:v>119.37300377085775</c:v>
                </c:pt>
                <c:pt idx="162">
                  <c:v>118.46521071915308</c:v>
                </c:pt>
                <c:pt idx="163">
                  <c:v>118.76759233901757</c:v>
                </c:pt>
                <c:pt idx="164">
                  <c:v>119.73923231367326</c:v>
                </c:pt>
                <c:pt idx="165">
                  <c:v>121.24595487610631</c:v>
                </c:pt>
                <c:pt idx="166">
                  <c:v>120.94438349638079</c:v>
                </c:pt>
                <c:pt idx="167">
                  <c:v>122.09330401344364</c:v>
                </c:pt>
                <c:pt idx="168">
                  <c:v>122.54444572282345</c:v>
                </c:pt>
                <c:pt idx="169">
                  <c:v>121.56162443424995</c:v>
                </c:pt>
                <c:pt idx="170">
                  <c:v>120.03869706903745</c:v>
                </c:pt>
                <c:pt idx="171">
                  <c:v>119.66890346961047</c:v>
                </c:pt>
                <c:pt idx="172">
                  <c:v>119.25859786323484</c:v>
                </c:pt>
                <c:pt idx="173">
                  <c:v>122.34253388019154</c:v>
                </c:pt>
                <c:pt idx="174">
                  <c:v>122.07158957771918</c:v>
                </c:pt>
                <c:pt idx="175">
                  <c:v>122.10642990369499</c:v>
                </c:pt>
                <c:pt idx="176">
                  <c:v>122.75624249515083</c:v>
                </c:pt>
                <c:pt idx="177">
                  <c:v>123.63032955707425</c:v>
                </c:pt>
                <c:pt idx="178">
                  <c:v>122.1176112176128</c:v>
                </c:pt>
                <c:pt idx="179">
                  <c:v>121.94924331673431</c:v>
                </c:pt>
                <c:pt idx="180">
                  <c:v>121.36587041667418</c:v>
                </c:pt>
                <c:pt idx="181">
                  <c:v>121.98570412298807</c:v>
                </c:pt>
                <c:pt idx="182">
                  <c:v>121.91894033553673</c:v>
                </c:pt>
                <c:pt idx="183">
                  <c:v>121.36587041667418</c:v>
                </c:pt>
                <c:pt idx="184">
                  <c:v>121.53958590246988</c:v>
                </c:pt>
                <c:pt idx="185">
                  <c:v>122.72918047450914</c:v>
                </c:pt>
                <c:pt idx="186">
                  <c:v>123.20398119594695</c:v>
                </c:pt>
                <c:pt idx="187">
                  <c:v>123.24384501078438</c:v>
                </c:pt>
                <c:pt idx="188">
                  <c:v>124.51057444405383</c:v>
                </c:pt>
                <c:pt idx="189">
                  <c:v>124.87647889081379</c:v>
                </c:pt>
                <c:pt idx="190">
                  <c:v>126.63567228055064</c:v>
                </c:pt>
                <c:pt idx="191">
                  <c:v>128.37201689836849</c:v>
                </c:pt>
                <c:pt idx="192">
                  <c:v>128.01745581355416</c:v>
                </c:pt>
                <c:pt idx="193">
                  <c:v>125.8473086253305</c:v>
                </c:pt>
                <c:pt idx="194">
                  <c:v>125.1811291830674</c:v>
                </c:pt>
                <c:pt idx="195">
                  <c:v>126.71264509375303</c:v>
                </c:pt>
                <c:pt idx="196">
                  <c:v>126.6312969838002</c:v>
                </c:pt>
                <c:pt idx="197">
                  <c:v>127.06347907392806</c:v>
                </c:pt>
                <c:pt idx="198">
                  <c:v>126.57247354971081</c:v>
                </c:pt>
                <c:pt idx="199">
                  <c:v>125.28824292943956</c:v>
                </c:pt>
                <c:pt idx="200">
                  <c:v>124.40670165823759</c:v>
                </c:pt>
                <c:pt idx="201">
                  <c:v>124.83386025950384</c:v>
                </c:pt>
                <c:pt idx="202">
                  <c:v>124.86902468153524</c:v>
                </c:pt>
                <c:pt idx="203">
                  <c:v>125.99298980231772</c:v>
                </c:pt>
                <c:pt idx="204">
                  <c:v>126.36262135371692</c:v>
                </c:pt>
                <c:pt idx="205">
                  <c:v>125.99720305104037</c:v>
                </c:pt>
                <c:pt idx="206">
                  <c:v>125.78686471096313</c:v>
                </c:pt>
                <c:pt idx="207">
                  <c:v>125.29083569788423</c:v>
                </c:pt>
                <c:pt idx="208">
                  <c:v>124.3140101863391</c:v>
                </c:pt>
                <c:pt idx="209">
                  <c:v>124.06964176042506</c:v>
                </c:pt>
                <c:pt idx="210">
                  <c:v>123.52110918634074</c:v>
                </c:pt>
                <c:pt idx="211">
                  <c:v>123.94162381846742</c:v>
                </c:pt>
                <c:pt idx="212">
                  <c:v>125.29796581110719</c:v>
                </c:pt>
                <c:pt idx="213">
                  <c:v>128.15892374181868</c:v>
                </c:pt>
                <c:pt idx="214">
                  <c:v>127.79366748716991</c:v>
                </c:pt>
                <c:pt idx="215">
                  <c:v>128.62076062103293</c:v>
                </c:pt>
                <c:pt idx="216">
                  <c:v>130.58121766129051</c:v>
                </c:pt>
                <c:pt idx="217">
                  <c:v>128.15535868520718</c:v>
                </c:pt>
                <c:pt idx="218">
                  <c:v>125.74716294415343</c:v>
                </c:pt>
                <c:pt idx="219">
                  <c:v>124.65074598809601</c:v>
                </c:pt>
                <c:pt idx="220">
                  <c:v>125.46730600015239</c:v>
                </c:pt>
                <c:pt idx="221">
                  <c:v>123.64037653479744</c:v>
                </c:pt>
                <c:pt idx="222">
                  <c:v>123.96285211010849</c:v>
                </c:pt>
                <c:pt idx="223">
                  <c:v>124.91067102467838</c:v>
                </c:pt>
                <c:pt idx="224">
                  <c:v>124.9544239921829</c:v>
                </c:pt>
                <c:pt idx="225">
                  <c:v>125.38628198625518</c:v>
                </c:pt>
                <c:pt idx="226">
                  <c:v>123.6693831317727</c:v>
                </c:pt>
                <c:pt idx="227">
                  <c:v>123.55270855176067</c:v>
                </c:pt>
                <c:pt idx="228">
                  <c:v>123.01940849228905</c:v>
                </c:pt>
                <c:pt idx="229">
                  <c:v>123.5864145415419</c:v>
                </c:pt>
                <c:pt idx="230">
                  <c:v>123.44008517244349</c:v>
                </c:pt>
                <c:pt idx="231">
                  <c:v>123.19960589919648</c:v>
                </c:pt>
                <c:pt idx="232">
                  <c:v>122.27512190062899</c:v>
                </c:pt>
                <c:pt idx="233">
                  <c:v>122.54671439521253</c:v>
                </c:pt>
                <c:pt idx="234">
                  <c:v>122.64588778822275</c:v>
                </c:pt>
                <c:pt idx="235">
                  <c:v>123.28419496970521</c:v>
                </c:pt>
                <c:pt idx="236">
                  <c:v>123.86935039807105</c:v>
                </c:pt>
                <c:pt idx="237">
                  <c:v>123.08925119226843</c:v>
                </c:pt>
                <c:pt idx="238">
                  <c:v>121.77244891841052</c:v>
                </c:pt>
                <c:pt idx="239">
                  <c:v>120.76434813750107</c:v>
                </c:pt>
                <c:pt idx="240">
                  <c:v>120.11323916182288</c:v>
                </c:pt>
                <c:pt idx="241">
                  <c:v>119.62385411788355</c:v>
                </c:pt>
                <c:pt idx="242">
                  <c:v>118.90371268236493</c:v>
                </c:pt>
                <c:pt idx="243">
                  <c:v>119.3415664534656</c:v>
                </c:pt>
                <c:pt idx="244">
                  <c:v>118.47720227320985</c:v>
                </c:pt>
                <c:pt idx="245">
                  <c:v>118.44851977229024</c:v>
                </c:pt>
                <c:pt idx="246">
                  <c:v>119.60700112299295</c:v>
                </c:pt>
                <c:pt idx="247">
                  <c:v>118.83792118308035</c:v>
                </c:pt>
                <c:pt idx="248">
                  <c:v>118.91554218839393</c:v>
                </c:pt>
                <c:pt idx="249">
                  <c:v>118.49745827668416</c:v>
                </c:pt>
                <c:pt idx="250">
                  <c:v>118.98943608906819</c:v>
                </c:pt>
                <c:pt idx="251">
                  <c:v>121.33346081111532</c:v>
                </c:pt>
                <c:pt idx="252">
                  <c:v>123.01098199484376</c:v>
                </c:pt>
                <c:pt idx="253">
                  <c:v>121.62530930917316</c:v>
                </c:pt>
                <c:pt idx="254">
                  <c:v>120.02087178598003</c:v>
                </c:pt>
                <c:pt idx="255">
                  <c:v>119.7551130203971</c:v>
                </c:pt>
                <c:pt idx="256">
                  <c:v>120.00693565558971</c:v>
                </c:pt>
                <c:pt idx="257">
                  <c:v>120.52111404778159</c:v>
                </c:pt>
                <c:pt idx="258">
                  <c:v>119.95362185444533</c:v>
                </c:pt>
                <c:pt idx="259">
                  <c:v>120.74263370177665</c:v>
                </c:pt>
                <c:pt idx="260">
                  <c:v>120.31904015712189</c:v>
                </c:pt>
                <c:pt idx="261">
                  <c:v>120.12053132307364</c:v>
                </c:pt>
                <c:pt idx="262">
                  <c:v>120.88086066948533</c:v>
                </c:pt>
                <c:pt idx="263">
                  <c:v>120.05085067112203</c:v>
                </c:pt>
                <c:pt idx="264">
                  <c:v>120.98991899219102</c:v>
                </c:pt>
                <c:pt idx="265">
                  <c:v>119.06511251804821</c:v>
                </c:pt>
                <c:pt idx="266">
                  <c:v>119.72740280764424</c:v>
                </c:pt>
                <c:pt idx="267">
                  <c:v>118.83257359816314</c:v>
                </c:pt>
                <c:pt idx="268">
                  <c:v>119.10530042894125</c:v>
                </c:pt>
                <c:pt idx="269">
                  <c:v>119.85930990226896</c:v>
                </c:pt>
                <c:pt idx="270">
                  <c:v>119.60116739399236</c:v>
                </c:pt>
                <c:pt idx="271">
                  <c:v>119.0863408096893</c:v>
                </c:pt>
                <c:pt idx="272">
                  <c:v>119.89350203613363</c:v>
                </c:pt>
                <c:pt idx="273">
                  <c:v>122.02216492924188</c:v>
                </c:pt>
                <c:pt idx="274">
                  <c:v>122.04015226032706</c:v>
                </c:pt>
                <c:pt idx="275">
                  <c:v>121.70487489082031</c:v>
                </c:pt>
                <c:pt idx="276">
                  <c:v>122.96820131550604</c:v>
                </c:pt>
                <c:pt idx="277">
                  <c:v>123.47816645897525</c:v>
                </c:pt>
                <c:pt idx="278">
                  <c:v>122.86319419349522</c:v>
                </c:pt>
                <c:pt idx="279">
                  <c:v>123.46309599239036</c:v>
                </c:pt>
                <c:pt idx="280">
                  <c:v>123.52597062717462</c:v>
                </c:pt>
                <c:pt idx="281">
                  <c:v>123.02670065353983</c:v>
                </c:pt>
                <c:pt idx="282">
                  <c:v>122.38790732797401</c:v>
                </c:pt>
                <c:pt idx="283">
                  <c:v>120.9680425084388</c:v>
                </c:pt>
                <c:pt idx="284">
                  <c:v>120.46423519002575</c:v>
                </c:pt>
                <c:pt idx="285">
                  <c:v>119.77245215937111</c:v>
                </c:pt>
                <c:pt idx="286">
                  <c:v>119.74133893803459</c:v>
                </c:pt>
                <c:pt idx="287">
                  <c:v>119.38758809335926</c:v>
                </c:pt>
                <c:pt idx="288">
                  <c:v>119.35647487202273</c:v>
                </c:pt>
                <c:pt idx="289">
                  <c:v>118.88977655197463</c:v>
                </c:pt>
                <c:pt idx="290">
                  <c:v>119.22894307414846</c:v>
                </c:pt>
                <c:pt idx="291">
                  <c:v>119.51236507476099</c:v>
                </c:pt>
                <c:pt idx="292">
                  <c:v>119.69645163433553</c:v>
                </c:pt>
                <c:pt idx="293">
                  <c:v>120.03707658875953</c:v>
                </c:pt>
                <c:pt idx="294">
                  <c:v>120.34156483298536</c:v>
                </c:pt>
                <c:pt idx="295">
                  <c:v>120.08650123723685</c:v>
                </c:pt>
                <c:pt idx="296">
                  <c:v>119.16185519064153</c:v>
                </c:pt>
                <c:pt idx="297">
                  <c:v>121.10173213136925</c:v>
                </c:pt>
                <c:pt idx="298">
                  <c:v>120.50944658978042</c:v>
                </c:pt>
                <c:pt idx="299">
                  <c:v>120.38256298401735</c:v>
                </c:pt>
                <c:pt idx="300">
                  <c:v>119.618830629022</c:v>
                </c:pt>
                <c:pt idx="301">
                  <c:v>119.98846218042121</c:v>
                </c:pt>
                <c:pt idx="302">
                  <c:v>120.88053657342982</c:v>
                </c:pt>
                <c:pt idx="303">
                  <c:v>120.47460626380465</c:v>
                </c:pt>
                <c:pt idx="304">
                  <c:v>120.73939274122081</c:v>
                </c:pt>
                <c:pt idx="305">
                  <c:v>120.03513201242603</c:v>
                </c:pt>
                <c:pt idx="306">
                  <c:v>119.20009852520107</c:v>
                </c:pt>
                <c:pt idx="307">
                  <c:v>118.83484227055231</c:v>
                </c:pt>
                <c:pt idx="308">
                  <c:v>118.71638516223457</c:v>
                </c:pt>
                <c:pt idx="309">
                  <c:v>117.92283597012502</c:v>
                </c:pt>
                <c:pt idx="310">
                  <c:v>118.13625322273035</c:v>
                </c:pt>
                <c:pt idx="311">
                  <c:v>119.41286758569524</c:v>
                </c:pt>
                <c:pt idx="312">
                  <c:v>120.48303276124996</c:v>
                </c:pt>
                <c:pt idx="313">
                  <c:v>120.34577808170803</c:v>
                </c:pt>
                <c:pt idx="314">
                  <c:v>121.33751201181023</c:v>
                </c:pt>
                <c:pt idx="315">
                  <c:v>123.73096138233468</c:v>
                </c:pt>
                <c:pt idx="316">
                  <c:v>124.23525484483109</c:v>
                </c:pt>
                <c:pt idx="317">
                  <c:v>123.44656709355537</c:v>
                </c:pt>
                <c:pt idx="318">
                  <c:v>122.75786297542885</c:v>
                </c:pt>
                <c:pt idx="319">
                  <c:v>122.65350404552919</c:v>
                </c:pt>
                <c:pt idx="320">
                  <c:v>122.99493924009215</c:v>
                </c:pt>
                <c:pt idx="321">
                  <c:v>122.6974190610615</c:v>
                </c:pt>
                <c:pt idx="322">
                  <c:v>123.63292232551902</c:v>
                </c:pt>
                <c:pt idx="323">
                  <c:v>124.01535567111401</c:v>
                </c:pt>
                <c:pt idx="324">
                  <c:v>123.91650637415937</c:v>
                </c:pt>
                <c:pt idx="325">
                  <c:v>124.83450845161509</c:v>
                </c:pt>
                <c:pt idx="326">
                  <c:v>125.00627936107722</c:v>
                </c:pt>
                <c:pt idx="327">
                  <c:v>124.47751664638386</c:v>
                </c:pt>
                <c:pt idx="328">
                  <c:v>125.46487527973559</c:v>
                </c:pt>
                <c:pt idx="329">
                  <c:v>125.28662244916165</c:v>
                </c:pt>
                <c:pt idx="330">
                  <c:v>123.08309336721234</c:v>
                </c:pt>
                <c:pt idx="331">
                  <c:v>123.23606670545031</c:v>
                </c:pt>
                <c:pt idx="332">
                  <c:v>123.34042563534996</c:v>
                </c:pt>
                <c:pt idx="333">
                  <c:v>122.91748028280637</c:v>
                </c:pt>
                <c:pt idx="334">
                  <c:v>123.65155784871533</c:v>
                </c:pt>
                <c:pt idx="335">
                  <c:v>124.54687320227983</c:v>
                </c:pt>
                <c:pt idx="336">
                  <c:v>124.14337361307155</c:v>
                </c:pt>
                <c:pt idx="337">
                  <c:v>122.39941273794739</c:v>
                </c:pt>
                <c:pt idx="338">
                  <c:v>121.33913249208813</c:v>
                </c:pt>
                <c:pt idx="339">
                  <c:v>121.55254974469344</c:v>
                </c:pt>
                <c:pt idx="340">
                  <c:v>121.23493561021627</c:v>
                </c:pt>
                <c:pt idx="341">
                  <c:v>120.56113991064682</c:v>
                </c:pt>
                <c:pt idx="342">
                  <c:v>121.15423569237461</c:v>
                </c:pt>
                <c:pt idx="343">
                  <c:v>121.87632170422681</c:v>
                </c:pt>
                <c:pt idx="344">
                  <c:v>121.35452705472862</c:v>
                </c:pt>
                <c:pt idx="345">
                  <c:v>121.19166878679516</c:v>
                </c:pt>
                <c:pt idx="346">
                  <c:v>121.27269280069241</c:v>
                </c:pt>
                <c:pt idx="347">
                  <c:v>120.27787995806212</c:v>
                </c:pt>
                <c:pt idx="348">
                  <c:v>119.51852289981719</c:v>
                </c:pt>
                <c:pt idx="349">
                  <c:v>120.42032017449347</c:v>
                </c:pt>
                <c:pt idx="350">
                  <c:v>120.24336372814189</c:v>
                </c:pt>
                <c:pt idx="351">
                  <c:v>120.94535578454756</c:v>
                </c:pt>
                <c:pt idx="352">
                  <c:v>119.96820617694686</c:v>
                </c:pt>
                <c:pt idx="353">
                  <c:v>119.88475144263269</c:v>
                </c:pt>
                <c:pt idx="354">
                  <c:v>119.61996496521652</c:v>
                </c:pt>
                <c:pt idx="355">
                  <c:v>119.42194227525168</c:v>
                </c:pt>
                <c:pt idx="356">
                  <c:v>119.53748251906914</c:v>
                </c:pt>
                <c:pt idx="357">
                  <c:v>119.11356487835879</c:v>
                </c:pt>
                <c:pt idx="358">
                  <c:v>119.29894782215567</c:v>
                </c:pt>
                <c:pt idx="359">
                  <c:v>119.06284384565912</c:v>
                </c:pt>
                <c:pt idx="360">
                  <c:v>119.08585466560594</c:v>
                </c:pt>
                <c:pt idx="361">
                  <c:v>119.22521596950919</c:v>
                </c:pt>
                <c:pt idx="362">
                  <c:v>119.06511251804827</c:v>
                </c:pt>
                <c:pt idx="363">
                  <c:v>118.62077682583579</c:v>
                </c:pt>
                <c:pt idx="364">
                  <c:v>118.99721439440236</c:v>
                </c:pt>
                <c:pt idx="365">
                  <c:v>119.18681058692189</c:v>
                </c:pt>
                <c:pt idx="366">
                  <c:v>118.58723288408234</c:v>
                </c:pt>
                <c:pt idx="367">
                  <c:v>118.69920807128831</c:v>
                </c:pt>
                <c:pt idx="368">
                  <c:v>118.07418882808501</c:v>
                </c:pt>
                <c:pt idx="369">
                  <c:v>118.01568949005123</c:v>
                </c:pt>
                <c:pt idx="370">
                  <c:v>117.12539762534836</c:v>
                </c:pt>
                <c:pt idx="371">
                  <c:v>117.22068186569152</c:v>
                </c:pt>
                <c:pt idx="372">
                  <c:v>116.30932375737538</c:v>
                </c:pt>
                <c:pt idx="373">
                  <c:v>116.59193551784892</c:v>
                </c:pt>
                <c:pt idx="374">
                  <c:v>116.76435461942225</c:v>
                </c:pt>
                <c:pt idx="375">
                  <c:v>117.0707874399816</c:v>
                </c:pt>
                <c:pt idx="376">
                  <c:v>117.64686817879095</c:v>
                </c:pt>
                <c:pt idx="377">
                  <c:v>117.32763356403584</c:v>
                </c:pt>
                <c:pt idx="378">
                  <c:v>117.97015399424093</c:v>
                </c:pt>
                <c:pt idx="379">
                  <c:v>118.49599984443402</c:v>
                </c:pt>
                <c:pt idx="380">
                  <c:v>118.12815082134057</c:v>
                </c:pt>
                <c:pt idx="381">
                  <c:v>117.75997770219149</c:v>
                </c:pt>
                <c:pt idx="382">
                  <c:v>117.20123610235613</c:v>
                </c:pt>
                <c:pt idx="383">
                  <c:v>116.99867606761303</c:v>
                </c:pt>
                <c:pt idx="384">
                  <c:v>117.04550794764563</c:v>
                </c:pt>
                <c:pt idx="385">
                  <c:v>117.90209382256724</c:v>
                </c:pt>
                <c:pt idx="386">
                  <c:v>118.44009327484493</c:v>
                </c:pt>
                <c:pt idx="387">
                  <c:v>119.12312571199864</c:v>
                </c:pt>
                <c:pt idx="388">
                  <c:v>118.61267442444603</c:v>
                </c:pt>
                <c:pt idx="389">
                  <c:v>118.99397343384643</c:v>
                </c:pt>
                <c:pt idx="390">
                  <c:v>120.72902166744191</c:v>
                </c:pt>
                <c:pt idx="391">
                  <c:v>121.08990262534023</c:v>
                </c:pt>
                <c:pt idx="392">
                  <c:v>121.12847005595532</c:v>
                </c:pt>
                <c:pt idx="393">
                  <c:v>120.58998445959426</c:v>
                </c:pt>
                <c:pt idx="394">
                  <c:v>120.56681159161965</c:v>
                </c:pt>
                <c:pt idx="395">
                  <c:v>120.51203935822511</c:v>
                </c:pt>
                <c:pt idx="396">
                  <c:v>120.17903066110745</c:v>
                </c:pt>
                <c:pt idx="397">
                  <c:v>120.56924231203655</c:v>
                </c:pt>
                <c:pt idx="398">
                  <c:v>120.0451789901492</c:v>
                </c:pt>
                <c:pt idx="399">
                  <c:v>121.07256348636619</c:v>
                </c:pt>
                <c:pt idx="400">
                  <c:v>120.53472608211632</c:v>
                </c:pt>
                <c:pt idx="401">
                  <c:v>119.88005204982665</c:v>
                </c:pt>
                <c:pt idx="402">
                  <c:v>119.41335372977856</c:v>
                </c:pt>
                <c:pt idx="403">
                  <c:v>119.60359811440928</c:v>
                </c:pt>
                <c:pt idx="404">
                  <c:v>119.45418983278276</c:v>
                </c:pt>
                <c:pt idx="405">
                  <c:v>119.46585729078396</c:v>
                </c:pt>
                <c:pt idx="406">
                  <c:v>119.06089926932555</c:v>
                </c:pt>
                <c:pt idx="407">
                  <c:v>118.59971058222247</c:v>
                </c:pt>
                <c:pt idx="408">
                  <c:v>118.53813233166058</c:v>
                </c:pt>
                <c:pt idx="409">
                  <c:v>118.28371692802322</c:v>
                </c:pt>
                <c:pt idx="410">
                  <c:v>118.25390009090904</c:v>
                </c:pt>
                <c:pt idx="411">
                  <c:v>118.64232921353239</c:v>
                </c:pt>
                <c:pt idx="412">
                  <c:v>118.55628171077353</c:v>
                </c:pt>
                <c:pt idx="413">
                  <c:v>119.14386785955631</c:v>
                </c:pt>
                <c:pt idx="414">
                  <c:v>119.35615077596708</c:v>
                </c:pt>
                <c:pt idx="415">
                  <c:v>119.83451655401639</c:v>
                </c:pt>
                <c:pt idx="416">
                  <c:v>119.00239993129173</c:v>
                </c:pt>
                <c:pt idx="417">
                  <c:v>119.22489187345357</c:v>
                </c:pt>
                <c:pt idx="418">
                  <c:v>118.80470133738247</c:v>
                </c:pt>
                <c:pt idx="419">
                  <c:v>118.80081218471541</c:v>
                </c:pt>
                <c:pt idx="420">
                  <c:v>119.31709720126862</c:v>
                </c:pt>
                <c:pt idx="421">
                  <c:v>119.71865221414335</c:v>
                </c:pt>
                <c:pt idx="422">
                  <c:v>120.41788945407652</c:v>
                </c:pt>
                <c:pt idx="423">
                  <c:v>120.36716842137683</c:v>
                </c:pt>
                <c:pt idx="424">
                  <c:v>120.08812171751474</c:v>
                </c:pt>
                <c:pt idx="425">
                  <c:v>119.57523970954524</c:v>
                </c:pt>
                <c:pt idx="426">
                  <c:v>119.62385411788357</c:v>
                </c:pt>
                <c:pt idx="427">
                  <c:v>120.40573585199192</c:v>
                </c:pt>
                <c:pt idx="428">
                  <c:v>119.18146300200463</c:v>
                </c:pt>
                <c:pt idx="429">
                  <c:v>119.02670713546091</c:v>
                </c:pt>
                <c:pt idx="430">
                  <c:v>118.79352002346467</c:v>
                </c:pt>
                <c:pt idx="431">
                  <c:v>118.32147411849935</c:v>
                </c:pt>
                <c:pt idx="432">
                  <c:v>118.37835297625521</c:v>
                </c:pt>
                <c:pt idx="433">
                  <c:v>118.03416296521974</c:v>
                </c:pt>
                <c:pt idx="434">
                  <c:v>118.30024582685827</c:v>
                </c:pt>
                <c:pt idx="435">
                  <c:v>118.88929040789117</c:v>
                </c:pt>
                <c:pt idx="436">
                  <c:v>118.74992910398791</c:v>
                </c:pt>
                <c:pt idx="437">
                  <c:v>118.0871526703085</c:v>
                </c:pt>
                <c:pt idx="438">
                  <c:v>118.59809010194448</c:v>
                </c:pt>
                <c:pt idx="439">
                  <c:v>117.77488612074853</c:v>
                </c:pt>
                <c:pt idx="440">
                  <c:v>118.1568333222601</c:v>
                </c:pt>
                <c:pt idx="441">
                  <c:v>117.12118437662559</c:v>
                </c:pt>
                <c:pt idx="442">
                  <c:v>117.4964876089976</c:v>
                </c:pt>
                <c:pt idx="443">
                  <c:v>118.15116164128727</c:v>
                </c:pt>
                <c:pt idx="444">
                  <c:v>118.93514999975696</c:v>
                </c:pt>
                <c:pt idx="445">
                  <c:v>118.35420782011376</c:v>
                </c:pt>
                <c:pt idx="446">
                  <c:v>118.2154947083217</c:v>
                </c:pt>
                <c:pt idx="447">
                  <c:v>117.82188004880891</c:v>
                </c:pt>
                <c:pt idx="448">
                  <c:v>117.80891620658535</c:v>
                </c:pt>
                <c:pt idx="449">
                  <c:v>117.67862959223859</c:v>
                </c:pt>
                <c:pt idx="450">
                  <c:v>118.07629545244623</c:v>
                </c:pt>
                <c:pt idx="451">
                  <c:v>118.10270928097673</c:v>
                </c:pt>
                <c:pt idx="452">
                  <c:v>117.89139865273273</c:v>
                </c:pt>
                <c:pt idx="453">
                  <c:v>117.77650660102645</c:v>
                </c:pt>
                <c:pt idx="454">
                  <c:v>117.5220911973891</c:v>
                </c:pt>
                <c:pt idx="455">
                  <c:v>117.2026945346062</c:v>
                </c:pt>
                <c:pt idx="456">
                  <c:v>117.37122448351245</c:v>
                </c:pt>
                <c:pt idx="457">
                  <c:v>116.38046284157701</c:v>
                </c:pt>
                <c:pt idx="458">
                  <c:v>116.48141876289296</c:v>
                </c:pt>
                <c:pt idx="459">
                  <c:v>116.51172174409055</c:v>
                </c:pt>
                <c:pt idx="460">
                  <c:v>116.46553805616911</c:v>
                </c:pt>
                <c:pt idx="461">
                  <c:v>116.68997457466448</c:v>
                </c:pt>
                <c:pt idx="462">
                  <c:v>115.70634304595201</c:v>
                </c:pt>
                <c:pt idx="463">
                  <c:v>115.06463285588588</c:v>
                </c:pt>
                <c:pt idx="464">
                  <c:v>115.41708731633886</c:v>
                </c:pt>
                <c:pt idx="465">
                  <c:v>114.83306622416757</c:v>
                </c:pt>
                <c:pt idx="466">
                  <c:v>114.81767166152709</c:v>
                </c:pt>
                <c:pt idx="467">
                  <c:v>115.25050194376614</c:v>
                </c:pt>
                <c:pt idx="468">
                  <c:v>113.95622434577166</c:v>
                </c:pt>
                <c:pt idx="469">
                  <c:v>113.17580104391345</c:v>
                </c:pt>
                <c:pt idx="470">
                  <c:v>112.5699034679899</c:v>
                </c:pt>
                <c:pt idx="471">
                  <c:v>114.47575032288076</c:v>
                </c:pt>
                <c:pt idx="472">
                  <c:v>113.7293571068594</c:v>
                </c:pt>
                <c:pt idx="473">
                  <c:v>114.95687091740255</c:v>
                </c:pt>
                <c:pt idx="474">
                  <c:v>116.05960774654399</c:v>
                </c:pt>
                <c:pt idx="475">
                  <c:v>116.09039687182491</c:v>
                </c:pt>
                <c:pt idx="476">
                  <c:v>116.24272201795173</c:v>
                </c:pt>
                <c:pt idx="477">
                  <c:v>115.76856948862508</c:v>
                </c:pt>
                <c:pt idx="478">
                  <c:v>115.29474105535401</c:v>
                </c:pt>
                <c:pt idx="479">
                  <c:v>115.46716015692733</c:v>
                </c:pt>
                <c:pt idx="480">
                  <c:v>114.6319646216746</c:v>
                </c:pt>
                <c:pt idx="481">
                  <c:v>115.49746313812489</c:v>
                </c:pt>
                <c:pt idx="482">
                  <c:v>116.02476742056811</c:v>
                </c:pt>
                <c:pt idx="483">
                  <c:v>118.1322020220353</c:v>
                </c:pt>
                <c:pt idx="484">
                  <c:v>117.51512313219391</c:v>
                </c:pt>
                <c:pt idx="485">
                  <c:v>118.5097739267964</c:v>
                </c:pt>
                <c:pt idx="486">
                  <c:v>117.62726036742768</c:v>
                </c:pt>
                <c:pt idx="487">
                  <c:v>118.47493360082059</c:v>
                </c:pt>
                <c:pt idx="488">
                  <c:v>119.13527931408309</c:v>
                </c:pt>
                <c:pt idx="489">
                  <c:v>121.54460939133138</c:v>
                </c:pt>
                <c:pt idx="490">
                  <c:v>120.41270391718693</c:v>
                </c:pt>
                <c:pt idx="491">
                  <c:v>121.50685220085525</c:v>
                </c:pt>
                <c:pt idx="492">
                  <c:v>120.82835710847978</c:v>
                </c:pt>
                <c:pt idx="493">
                  <c:v>122.43538740011762</c:v>
                </c:pt>
                <c:pt idx="494">
                  <c:v>120.68316207557591</c:v>
                </c:pt>
                <c:pt idx="495">
                  <c:v>120.14483852724265</c:v>
                </c:pt>
                <c:pt idx="496">
                  <c:v>120.37089552601597</c:v>
                </c:pt>
                <c:pt idx="497">
                  <c:v>119.35566463188354</c:v>
                </c:pt>
                <c:pt idx="498">
                  <c:v>119.87178760040895</c:v>
                </c:pt>
                <c:pt idx="499">
                  <c:v>120.53650861042189</c:v>
                </c:pt>
                <c:pt idx="500">
                  <c:v>119.95524233472311</c:v>
                </c:pt>
                <c:pt idx="501">
                  <c:v>119.2041497258957</c:v>
                </c:pt>
                <c:pt idx="502">
                  <c:v>119.41383987386175</c:v>
                </c:pt>
                <c:pt idx="503">
                  <c:v>119.03237881643355</c:v>
                </c:pt>
                <c:pt idx="504">
                  <c:v>119.1012492282462</c:v>
                </c:pt>
                <c:pt idx="505">
                  <c:v>119.63746615221814</c:v>
                </c:pt>
                <c:pt idx="506">
                  <c:v>119.32617189082497</c:v>
                </c:pt>
                <c:pt idx="507">
                  <c:v>119.36506341749563</c:v>
                </c:pt>
                <c:pt idx="508">
                  <c:v>120.19734208824808</c:v>
                </c:pt>
                <c:pt idx="509">
                  <c:v>120.07564401937442</c:v>
                </c:pt>
                <c:pt idx="510">
                  <c:v>119.76094674939756</c:v>
                </c:pt>
                <c:pt idx="511">
                  <c:v>119.34221464557663</c:v>
                </c:pt>
                <c:pt idx="512">
                  <c:v>118.83581455871888</c:v>
                </c:pt>
                <c:pt idx="513">
                  <c:v>118.93352951947897</c:v>
                </c:pt>
                <c:pt idx="514">
                  <c:v>119.43344768522493</c:v>
                </c:pt>
                <c:pt idx="515">
                  <c:v>119.86692615957517</c:v>
                </c:pt>
                <c:pt idx="516">
                  <c:v>120.83354264536925</c:v>
                </c:pt>
                <c:pt idx="517">
                  <c:v>121.19831275593461</c:v>
                </c:pt>
                <c:pt idx="518">
                  <c:v>120.68688918021523</c:v>
                </c:pt>
                <c:pt idx="519">
                  <c:v>122.01892396868585</c:v>
                </c:pt>
                <c:pt idx="520">
                  <c:v>124.28532768541942</c:v>
                </c:pt>
                <c:pt idx="521">
                  <c:v>123.78621975981241</c:v>
                </c:pt>
                <c:pt idx="522">
                  <c:v>122.70876242300693</c:v>
                </c:pt>
                <c:pt idx="523">
                  <c:v>121.35938849556233</c:v>
                </c:pt>
                <c:pt idx="524">
                  <c:v>120.70730723171737</c:v>
                </c:pt>
                <c:pt idx="525">
                  <c:v>120.88718054256923</c:v>
                </c:pt>
                <c:pt idx="526">
                  <c:v>123.69531081621975</c:v>
                </c:pt>
                <c:pt idx="527">
                  <c:v>123.53731398912014</c:v>
                </c:pt>
                <c:pt idx="528">
                  <c:v>123.31352566273598</c:v>
                </c:pt>
                <c:pt idx="529">
                  <c:v>124.52337623824955</c:v>
                </c:pt>
                <c:pt idx="530">
                  <c:v>123.7291788540288</c:v>
                </c:pt>
                <c:pt idx="531">
                  <c:v>124.42242031693358</c:v>
                </c:pt>
                <c:pt idx="532">
                  <c:v>125.7333888617909</c:v>
                </c:pt>
                <c:pt idx="533">
                  <c:v>127.51316235105766</c:v>
                </c:pt>
                <c:pt idx="534">
                  <c:v>127.64636582990472</c:v>
                </c:pt>
                <c:pt idx="535">
                  <c:v>128.3981066308433</c:v>
                </c:pt>
                <c:pt idx="536">
                  <c:v>126.57166330957173</c:v>
                </c:pt>
                <c:pt idx="537">
                  <c:v>126.71232099769733</c:v>
                </c:pt>
                <c:pt idx="538">
                  <c:v>125.33248204102735</c:v>
                </c:pt>
                <c:pt idx="539">
                  <c:v>124.3339420937578</c:v>
                </c:pt>
                <c:pt idx="540">
                  <c:v>123.49356102161563</c:v>
                </c:pt>
                <c:pt idx="541">
                  <c:v>123.87988351987765</c:v>
                </c:pt>
                <c:pt idx="542">
                  <c:v>122.73857926012114</c:v>
                </c:pt>
                <c:pt idx="543">
                  <c:v>122.26896407557274</c:v>
                </c:pt>
                <c:pt idx="544">
                  <c:v>121.65026470545342</c:v>
                </c:pt>
                <c:pt idx="545">
                  <c:v>121.12296042301018</c:v>
                </c:pt>
                <c:pt idx="546">
                  <c:v>121.63989363167458</c:v>
                </c:pt>
                <c:pt idx="547">
                  <c:v>125.24157309743465</c:v>
                </c:pt>
                <c:pt idx="548">
                  <c:v>123.99996110847337</c:v>
                </c:pt>
                <c:pt idx="549">
                  <c:v>122.35922482705429</c:v>
                </c:pt>
                <c:pt idx="550">
                  <c:v>121.67732672609512</c:v>
                </c:pt>
                <c:pt idx="551">
                  <c:v>123.42161169727488</c:v>
                </c:pt>
                <c:pt idx="552">
                  <c:v>125.34658021944549</c:v>
                </c:pt>
                <c:pt idx="553">
                  <c:v>130.31659323190209</c:v>
                </c:pt>
                <c:pt idx="554">
                  <c:v>127.76595727441702</c:v>
                </c:pt>
                <c:pt idx="555">
                  <c:v>131.5197998382761</c:v>
                </c:pt>
                <c:pt idx="556">
                  <c:v>137.65979961140886</c:v>
                </c:pt>
                <c:pt idx="557">
                  <c:v>170.58957933952468</c:v>
                </c:pt>
                <c:pt idx="558">
                  <c:v>170.16420326656419</c:v>
                </c:pt>
                <c:pt idx="559">
                  <c:v>175.8456071210386</c:v>
                </c:pt>
                <c:pt idx="560">
                  <c:v>166.50434855882591</c:v>
                </c:pt>
                <c:pt idx="561">
                  <c:v>177.44259043495316</c:v>
                </c:pt>
                <c:pt idx="562">
                  <c:v>194.45763335337332</c:v>
                </c:pt>
                <c:pt idx="563">
                  <c:v>206.61123543795915</c:v>
                </c:pt>
                <c:pt idx="564">
                  <c:v>210.66243613282109</c:v>
                </c:pt>
                <c:pt idx="565">
                  <c:v>220.38531780048976</c:v>
                </c:pt>
                <c:pt idx="566">
                  <c:v>216.33411710562783</c:v>
                </c:pt>
                <c:pt idx="567">
                  <c:v>217.1443572446002</c:v>
                </c:pt>
                <c:pt idx="568">
                  <c:v>194.45763335337332</c:v>
                </c:pt>
                <c:pt idx="569">
                  <c:v>186.35523196364946</c:v>
                </c:pt>
                <c:pt idx="570">
                  <c:v>156.37634682167109</c:v>
                </c:pt>
                <c:pt idx="571">
                  <c:v>167.11202866305524</c:v>
                </c:pt>
                <c:pt idx="572">
                  <c:v>163.83055610021708</c:v>
                </c:pt>
                <c:pt idx="573">
                  <c:v>172.82422164281061</c:v>
                </c:pt>
                <c:pt idx="574">
                  <c:v>171.77090946214651</c:v>
                </c:pt>
                <c:pt idx="575">
                  <c:v>156.78146689115732</c:v>
                </c:pt>
                <c:pt idx="576">
                  <c:v>165.69410841985359</c:v>
                </c:pt>
                <c:pt idx="577">
                  <c:v>168.52994890625695</c:v>
                </c:pt>
                <c:pt idx="578">
                  <c:v>156.37634682167112</c:v>
                </c:pt>
                <c:pt idx="579">
                  <c:v>144.22274473708526</c:v>
                </c:pt>
                <c:pt idx="580">
                  <c:v>135.31010320838899</c:v>
                </c:pt>
                <c:pt idx="581">
                  <c:v>132.47426272198564</c:v>
                </c:pt>
                <c:pt idx="582">
                  <c:v>138.95618383376475</c:v>
                </c:pt>
                <c:pt idx="583">
                  <c:v>135.7152232778752</c:v>
                </c:pt>
                <c:pt idx="584">
                  <c:v>136.12034334736137</c:v>
                </c:pt>
                <c:pt idx="585">
                  <c:v>133.08194282621491</c:v>
                </c:pt>
                <c:pt idx="586">
                  <c:v>128.42306202712368</c:v>
                </c:pt>
                <c:pt idx="587">
                  <c:v>130.04354230506846</c:v>
                </c:pt>
                <c:pt idx="588">
                  <c:v>135.31010320838899</c:v>
                </c:pt>
                <c:pt idx="589">
                  <c:v>138.34850372953545</c:v>
                </c:pt>
                <c:pt idx="590">
                  <c:v>133.56808690959835</c:v>
                </c:pt>
                <c:pt idx="591">
                  <c:v>133.89218296518732</c:v>
                </c:pt>
                <c:pt idx="592">
                  <c:v>131.46146254827016</c:v>
                </c:pt>
                <c:pt idx="593">
                  <c:v>131.25890251352706</c:v>
                </c:pt>
                <c:pt idx="594">
                  <c:v>134.13525500687905</c:v>
                </c:pt>
                <c:pt idx="595">
                  <c:v>131.05634247878396</c:v>
                </c:pt>
                <c:pt idx="596">
                  <c:v>125.38466150597725</c:v>
                </c:pt>
                <c:pt idx="597">
                  <c:v>122.79189306126561</c:v>
                </c:pt>
                <c:pt idx="598">
                  <c:v>122.54882101957388</c:v>
                </c:pt>
                <c:pt idx="599">
                  <c:v>119.71298053317051</c:v>
                </c:pt>
                <c:pt idx="600">
                  <c:v>117.88994022048263</c:v>
                </c:pt>
                <c:pt idx="601">
                  <c:v>118.86222838724949</c:v>
                </c:pt>
                <c:pt idx="602">
                  <c:v>114.40590762290134</c:v>
                </c:pt>
                <c:pt idx="603">
                  <c:v>110.59777896973111</c:v>
                </c:pt>
                <c:pt idx="604">
                  <c:v>107.15425837909845</c:v>
                </c:pt>
                <c:pt idx="605">
                  <c:v>105.04763401777025</c:v>
                </c:pt>
                <c:pt idx="606">
                  <c:v>111.81313917818969</c:v>
                </c:pt>
                <c:pt idx="607">
                  <c:v>113.23105942139136</c:v>
                </c:pt>
                <c:pt idx="608">
                  <c:v>113.23105942139136</c:v>
                </c:pt>
                <c:pt idx="609">
                  <c:v>108.16705855281393</c:v>
                </c:pt>
                <c:pt idx="610">
                  <c:v>105.53377810115367</c:v>
                </c:pt>
                <c:pt idx="611">
                  <c:v>107.76193848332775</c:v>
                </c:pt>
                <c:pt idx="612">
                  <c:v>104.7235379621813</c:v>
                </c:pt>
                <c:pt idx="613">
                  <c:v>105.3312180664106</c:v>
                </c:pt>
                <c:pt idx="614">
                  <c:v>104.11585785795202</c:v>
                </c:pt>
                <c:pt idx="615">
                  <c:v>100.67233726731936</c:v>
                </c:pt>
                <c:pt idx="616">
                  <c:v>100.46977723257626</c:v>
                </c:pt>
                <c:pt idx="617">
                  <c:v>94.919632280615403</c:v>
                </c:pt>
                <c:pt idx="618">
                  <c:v>93.987856120797147</c:v>
                </c:pt>
                <c:pt idx="619">
                  <c:v>98.768272940734249</c:v>
                </c:pt>
                <c:pt idx="620">
                  <c:v>104.11585785795202</c:v>
                </c:pt>
                <c:pt idx="621">
                  <c:v>107.76193848332778</c:v>
                </c:pt>
                <c:pt idx="622">
                  <c:v>103.71073778846583</c:v>
                </c:pt>
                <c:pt idx="623">
                  <c:v>101.68513744103487</c:v>
                </c:pt>
                <c:pt idx="624">
                  <c:v>102.90049764949346</c:v>
                </c:pt>
                <c:pt idx="625">
                  <c:v>102.90049764949346</c:v>
                </c:pt>
                <c:pt idx="626">
                  <c:v>102.6736304105812</c:v>
                </c:pt>
                <c:pt idx="627">
                  <c:v>99.456977058860815</c:v>
                </c:pt>
                <c:pt idx="628">
                  <c:v>100.0646571630901</c:v>
                </c:pt>
                <c:pt idx="629">
                  <c:v>98.833092151852071</c:v>
                </c:pt>
                <c:pt idx="630">
                  <c:v>93.987856120797176</c:v>
                </c:pt>
                <c:pt idx="631">
                  <c:v>94.392976190283363</c:v>
                </c:pt>
                <c:pt idx="632">
                  <c:v>93.582736051310974</c:v>
                </c:pt>
                <c:pt idx="633">
                  <c:v>94.595536225026464</c:v>
                </c:pt>
                <c:pt idx="634">
                  <c:v>92.772495912338599</c:v>
                </c:pt>
                <c:pt idx="635">
                  <c:v>94.798096259769579</c:v>
                </c:pt>
                <c:pt idx="636">
                  <c:v>93.1776159818248</c:v>
                </c:pt>
                <c:pt idx="637">
                  <c:v>88.721295217476651</c:v>
                </c:pt>
                <c:pt idx="638">
                  <c:v>87.303374974274973</c:v>
                </c:pt>
                <c:pt idx="639">
                  <c:v>89.126415286962853</c:v>
                </c:pt>
                <c:pt idx="640">
                  <c:v>88.316175147990464</c:v>
                </c:pt>
                <c:pt idx="641">
                  <c:v>86.533646842251201</c:v>
                </c:pt>
                <c:pt idx="642">
                  <c:v>86.088014765816382</c:v>
                </c:pt>
                <c:pt idx="643">
                  <c:v>88.316175147990464</c:v>
                </c:pt>
                <c:pt idx="644">
                  <c:v>84.264974453128517</c:v>
                </c:pt>
                <c:pt idx="645">
                  <c:v>88.923855252219766</c:v>
                </c:pt>
                <c:pt idx="646">
                  <c:v>87.505935009018074</c:v>
                </c:pt>
                <c:pt idx="647">
                  <c:v>92.367375842852411</c:v>
                </c:pt>
                <c:pt idx="648">
                  <c:v>97.228816676686748</c:v>
                </c:pt>
                <c:pt idx="649">
                  <c:v>102.98152166339072</c:v>
                </c:pt>
                <c:pt idx="650">
                  <c:v>102.21179353136695</c:v>
                </c:pt>
                <c:pt idx="651">
                  <c:v>105.16917003861619</c:v>
                </c:pt>
                <c:pt idx="652">
                  <c:v>101.28001737154871</c:v>
                </c:pt>
                <c:pt idx="653">
                  <c:v>94.676560238923727</c:v>
                </c:pt>
                <c:pt idx="654">
                  <c:v>94.757584252820962</c:v>
                </c:pt>
                <c:pt idx="655">
                  <c:v>94.433488197232009</c:v>
                </c:pt>
                <c:pt idx="656">
                  <c:v>92.367375842852411</c:v>
                </c:pt>
                <c:pt idx="657">
                  <c:v>93.582736051311002</c:v>
                </c:pt>
                <c:pt idx="658">
                  <c:v>91.557135703880036</c:v>
                </c:pt>
                <c:pt idx="659">
                  <c:v>90.746895564907646</c:v>
                </c:pt>
                <c:pt idx="660">
                  <c:v>93.987856120797204</c:v>
                </c:pt>
                <c:pt idx="661">
                  <c:v>94.190416155540305</c:v>
                </c:pt>
                <c:pt idx="662">
                  <c:v>94.798096259769608</c:v>
                </c:pt>
                <c:pt idx="663">
                  <c:v>97.431376711429877</c:v>
                </c:pt>
                <c:pt idx="664">
                  <c:v>96.2160165029713</c:v>
                </c:pt>
                <c:pt idx="665">
                  <c:v>101.28001737154874</c:v>
                </c:pt>
                <c:pt idx="666">
                  <c:v>100.87489730206254</c:v>
                </c:pt>
                <c:pt idx="667">
                  <c:v>104.7235379621814</c:v>
                </c:pt>
                <c:pt idx="668">
                  <c:v>98.565712905991234</c:v>
                </c:pt>
                <c:pt idx="669">
                  <c:v>99.837789924177883</c:v>
                </c:pt>
                <c:pt idx="670">
                  <c:v>97.633936746172978</c:v>
                </c:pt>
                <c:pt idx="671">
                  <c:v>98.079568822607783</c:v>
                </c:pt>
                <c:pt idx="672">
                  <c:v>100.26721719783323</c:v>
                </c:pt>
                <c:pt idx="673">
                  <c:v>97.998544808710534</c:v>
                </c:pt>
                <c:pt idx="674">
                  <c:v>99.659537093603944</c:v>
                </c:pt>
                <c:pt idx="675">
                  <c:v>98.241616850402266</c:v>
                </c:pt>
                <c:pt idx="676">
                  <c:v>99.659537093603944</c:v>
                </c:pt>
                <c:pt idx="677">
                  <c:v>99.659537093603944</c:v>
                </c:pt>
                <c:pt idx="678">
                  <c:v>99.659537093603944</c:v>
                </c:pt>
                <c:pt idx="679">
                  <c:v>98.039056815659166</c:v>
                </c:pt>
                <c:pt idx="680">
                  <c:v>97.228816676686776</c:v>
                </c:pt>
                <c:pt idx="681">
                  <c:v>96.418576537714387</c:v>
                </c:pt>
                <c:pt idx="682">
                  <c:v>97.431376711429877</c:v>
                </c:pt>
                <c:pt idx="683">
                  <c:v>97.633936746172978</c:v>
                </c:pt>
                <c:pt idx="684">
                  <c:v>96.945232628046455</c:v>
                </c:pt>
                <c:pt idx="685">
                  <c:v>97.836496780916093</c:v>
                </c:pt>
                <c:pt idx="686">
                  <c:v>97.714960760070227</c:v>
                </c:pt>
                <c:pt idx="687">
                  <c:v>100.06465716309016</c:v>
                </c:pt>
                <c:pt idx="688">
                  <c:v>97.22881667668679</c:v>
                </c:pt>
                <c:pt idx="689">
                  <c:v>97.431376711429891</c:v>
                </c:pt>
                <c:pt idx="690">
                  <c:v>97.569117535055199</c:v>
                </c:pt>
                <c:pt idx="691">
                  <c:v>97.674448753121595</c:v>
                </c:pt>
                <c:pt idx="692">
                  <c:v>98.86550175741101</c:v>
                </c:pt>
                <c:pt idx="693">
                  <c:v>99.294929031066374</c:v>
                </c:pt>
                <c:pt idx="694">
                  <c:v>101.25571016737956</c:v>
                </c:pt>
                <c:pt idx="695">
                  <c:v>99.659537093603959</c:v>
                </c:pt>
                <c:pt idx="696">
                  <c:v>99.659537093603959</c:v>
                </c:pt>
                <c:pt idx="697">
                  <c:v>97.342250296142922</c:v>
                </c:pt>
                <c:pt idx="698">
                  <c:v>100.36444601450994</c:v>
                </c:pt>
                <c:pt idx="699">
                  <c:v>96.783184600251971</c:v>
                </c:pt>
                <c:pt idx="700">
                  <c:v>96.621136572457488</c:v>
                </c:pt>
                <c:pt idx="701">
                  <c:v>98.039056815659166</c:v>
                </c:pt>
                <c:pt idx="702">
                  <c:v>97.350352697532628</c:v>
                </c:pt>
                <c:pt idx="703">
                  <c:v>100.10516917003875</c:v>
                </c:pt>
                <c:pt idx="704">
                  <c:v>99.821585121398414</c:v>
                </c:pt>
                <c:pt idx="705">
                  <c:v>99.659537093603944</c:v>
                </c:pt>
                <c:pt idx="706">
                  <c:v>93.785296086054117</c:v>
                </c:pt>
                <c:pt idx="707">
                  <c:v>94.798096259769608</c:v>
                </c:pt>
                <c:pt idx="708">
                  <c:v>95.446288370947514</c:v>
                </c:pt>
                <c:pt idx="709">
                  <c:v>93.825808093002735</c:v>
                </c:pt>
                <c:pt idx="710">
                  <c:v>93.177615981824829</c:v>
                </c:pt>
                <c:pt idx="711">
                  <c:v>97.552912732275743</c:v>
                </c:pt>
                <c:pt idx="712">
                  <c:v>94.028368127745836</c:v>
                </c:pt>
                <c:pt idx="713">
                  <c:v>95.648848405690615</c:v>
                </c:pt>
                <c:pt idx="714">
                  <c:v>98.444176885145367</c:v>
                </c:pt>
                <c:pt idx="715">
                  <c:v>98.079568822607797</c:v>
                </c:pt>
                <c:pt idx="716">
                  <c:v>99.983633149192926</c:v>
                </c:pt>
                <c:pt idx="717">
                  <c:v>102.39004636194093</c:v>
                </c:pt>
                <c:pt idx="718">
                  <c:v>106.1414582053831</c:v>
                </c:pt>
                <c:pt idx="719">
                  <c:v>103.26510571203112</c:v>
                </c:pt>
                <c:pt idx="720">
                  <c:v>104.84507398302729</c:v>
                </c:pt>
                <c:pt idx="721">
                  <c:v>101.52308941324048</c:v>
                </c:pt>
                <c:pt idx="722">
                  <c:v>100.55080124647361</c:v>
                </c:pt>
                <c:pt idx="723">
                  <c:v>99.659537093603987</c:v>
                </c:pt>
                <c:pt idx="724">
                  <c:v>98.849296954631583</c:v>
                </c:pt>
                <c:pt idx="725">
                  <c:v>99.902609135295677</c:v>
                </c:pt>
                <c:pt idx="726">
                  <c:v>99.902609135295691</c:v>
                </c:pt>
                <c:pt idx="727">
                  <c:v>99.254417024117771</c:v>
                </c:pt>
                <c:pt idx="728">
                  <c:v>100.87489730206255</c:v>
                </c:pt>
                <c:pt idx="729">
                  <c:v>99.294929031066388</c:v>
                </c:pt>
                <c:pt idx="730">
                  <c:v>99.375953044963637</c:v>
                </c:pt>
                <c:pt idx="731">
                  <c:v>99.70004910055259</c:v>
                </c:pt>
                <c:pt idx="732">
                  <c:v>100.5508012464736</c:v>
                </c:pt>
                <c:pt idx="733">
                  <c:v>102.69793761475043</c:v>
                </c:pt>
                <c:pt idx="734">
                  <c:v>98.849296954631583</c:v>
                </c:pt>
                <c:pt idx="735">
                  <c:v>101.03694532985705</c:v>
                </c:pt>
                <c:pt idx="736">
                  <c:v>100.46977723257636</c:v>
                </c:pt>
                <c:pt idx="737">
                  <c:v>102.41435356611011</c:v>
                </c:pt>
                <c:pt idx="738">
                  <c:v>98.849296954631583</c:v>
                </c:pt>
                <c:pt idx="739">
                  <c:v>98.849296954631569</c:v>
                </c:pt>
                <c:pt idx="740">
                  <c:v>98.241616850402281</c:v>
                </c:pt>
                <c:pt idx="741">
                  <c:v>98.484688892093985</c:v>
                </c:pt>
                <c:pt idx="742">
                  <c:v>96.532010157170532</c:v>
                </c:pt>
                <c:pt idx="743">
                  <c:v>98.03905681565918</c:v>
                </c:pt>
                <c:pt idx="744">
                  <c:v>98.484688892093985</c:v>
                </c:pt>
                <c:pt idx="745">
                  <c:v>97.998544808710562</c:v>
                </c:pt>
                <c:pt idx="746">
                  <c:v>98.606224912939865</c:v>
                </c:pt>
                <c:pt idx="747">
                  <c:v>99.254417024117785</c:v>
                </c:pt>
                <c:pt idx="748">
                  <c:v>98.079568822607825</c:v>
                </c:pt>
                <c:pt idx="749">
                  <c:v>98.525200899042645</c:v>
                </c:pt>
                <c:pt idx="750">
                  <c:v>97.820291978136666</c:v>
                </c:pt>
                <c:pt idx="751">
                  <c:v>98.039056815659208</c:v>
                </c:pt>
                <c:pt idx="752">
                  <c:v>98.784477743513804</c:v>
                </c:pt>
                <c:pt idx="753">
                  <c:v>98.598122511550145</c:v>
                </c:pt>
                <c:pt idx="754">
                  <c:v>98.889808961580201</c:v>
                </c:pt>
                <c:pt idx="755">
                  <c:v>99.197700214389712</c:v>
                </c:pt>
                <c:pt idx="756">
                  <c:v>101.28001737154875</c:v>
                </c:pt>
                <c:pt idx="757">
                  <c:v>98.120080829556414</c:v>
                </c:pt>
                <c:pt idx="758">
                  <c:v>98.120080829556414</c:v>
                </c:pt>
                <c:pt idx="759">
                  <c:v>100.46977723257635</c:v>
                </c:pt>
                <c:pt idx="760">
                  <c:v>100.58321085203249</c:v>
                </c:pt>
                <c:pt idx="761">
                  <c:v>101.32052937849737</c:v>
                </c:pt>
                <c:pt idx="762">
                  <c:v>101.53929421601991</c:v>
                </c:pt>
                <c:pt idx="763">
                  <c:v>102.43866077027928</c:v>
                </c:pt>
                <c:pt idx="764">
                  <c:v>104.92609799692451</c:v>
                </c:pt>
                <c:pt idx="765">
                  <c:v>104.76404996913004</c:v>
                </c:pt>
                <c:pt idx="766">
                  <c:v>105.12865803166761</c:v>
                </c:pt>
                <c:pt idx="767">
                  <c:v>113.02849938664842</c:v>
                </c:pt>
                <c:pt idx="768">
                  <c:v>116.26945994253798</c:v>
                </c:pt>
                <c:pt idx="769">
                  <c:v>115.66177983830868</c:v>
                </c:pt>
                <c:pt idx="770">
                  <c:v>110.59777896973124</c:v>
                </c:pt>
                <c:pt idx="771">
                  <c:v>113.83873952562081</c:v>
                </c:pt>
                <c:pt idx="772">
                  <c:v>113.43361945613461</c:v>
                </c:pt>
                <c:pt idx="773">
                  <c:v>117.88994022048274</c:v>
                </c:pt>
                <c:pt idx="774">
                  <c:v>119.91554056791372</c:v>
                </c:pt>
                <c:pt idx="775">
                  <c:v>119.51042049842754</c:v>
                </c:pt>
                <c:pt idx="776">
                  <c:v>118.37608430386618</c:v>
                </c:pt>
                <c:pt idx="777">
                  <c:v>115.86433987305176</c:v>
                </c:pt>
                <c:pt idx="778">
                  <c:v>116.91765205371588</c:v>
                </c:pt>
                <c:pt idx="779">
                  <c:v>117.48482015099654</c:v>
                </c:pt>
                <c:pt idx="780">
                  <c:v>113.29587863250929</c:v>
                </c:pt>
                <c:pt idx="781">
                  <c:v>112.90696336580253</c:v>
                </c:pt>
                <c:pt idx="782">
                  <c:v>113.91976353951802</c:v>
                </c:pt>
                <c:pt idx="783">
                  <c:v>109.84425564048689</c:v>
                </c:pt>
                <c:pt idx="784">
                  <c:v>106.95169834435548</c:v>
                </c:pt>
                <c:pt idx="785">
                  <c:v>111.40801910870363</c:v>
                </c:pt>
                <c:pt idx="786">
                  <c:v>111.00289903921744</c:v>
                </c:pt>
                <c:pt idx="787">
                  <c:v>111.57816953788785</c:v>
                </c:pt>
                <c:pt idx="788">
                  <c:v>112.46133128936775</c:v>
                </c:pt>
                <c:pt idx="789">
                  <c:v>110.59777896973124</c:v>
                </c:pt>
                <c:pt idx="790">
                  <c:v>111.7726271712412</c:v>
                </c:pt>
                <c:pt idx="791">
                  <c:v>112.54235530326498</c:v>
                </c:pt>
                <c:pt idx="792">
                  <c:v>112.78542734495669</c:v>
                </c:pt>
                <c:pt idx="793">
                  <c:v>112.87455376024366</c:v>
                </c:pt>
                <c:pt idx="794">
                  <c:v>114.61251885833944</c:v>
                </c:pt>
                <c:pt idx="795">
                  <c:v>113.2958786325093</c:v>
                </c:pt>
                <c:pt idx="796">
                  <c:v>114.38160041873228</c:v>
                </c:pt>
                <c:pt idx="797">
                  <c:v>113.69289630060574</c:v>
                </c:pt>
                <c:pt idx="798">
                  <c:v>113.91976353951802</c:v>
                </c:pt>
                <c:pt idx="799">
                  <c:v>114.4869316367987</c:v>
                </c:pt>
                <c:pt idx="800">
                  <c:v>115.86433987305175</c:v>
                </c:pt>
                <c:pt idx="801">
                  <c:v>115.09461174102798</c:v>
                </c:pt>
                <c:pt idx="802">
                  <c:v>117.48482015099651</c:v>
                </c:pt>
                <c:pt idx="803">
                  <c:v>118.38418670525589</c:v>
                </c:pt>
                <c:pt idx="804">
                  <c:v>118.47331312054283</c:v>
                </c:pt>
                <c:pt idx="805">
                  <c:v>118.61915634555787</c:v>
                </c:pt>
                <c:pt idx="806">
                  <c:v>119.26734845673577</c:v>
                </c:pt>
                <c:pt idx="807">
                  <c:v>119.91554056791369</c:v>
                </c:pt>
                <c:pt idx="808">
                  <c:v>121.07418396664421</c:v>
                </c:pt>
                <c:pt idx="809">
                  <c:v>119.91554056791369</c:v>
                </c:pt>
                <c:pt idx="810">
                  <c:v>119.51042049842751</c:v>
                </c:pt>
                <c:pt idx="811">
                  <c:v>121.41448482501262</c:v>
                </c:pt>
                <c:pt idx="812">
                  <c:v>122.24903216815417</c:v>
                </c:pt>
                <c:pt idx="813">
                  <c:v>122.71086904736843</c:v>
                </c:pt>
                <c:pt idx="814">
                  <c:v>123.18080832797243</c:v>
                </c:pt>
                <c:pt idx="815">
                  <c:v>121.41448482501261</c:v>
                </c:pt>
                <c:pt idx="816">
                  <c:v>121.61704485975572</c:v>
                </c:pt>
                <c:pt idx="817">
                  <c:v>121.96544811951385</c:v>
                </c:pt>
                <c:pt idx="818">
                  <c:v>122.38677299177951</c:v>
                </c:pt>
                <c:pt idx="819">
                  <c:v>122.18421295703641</c:v>
                </c:pt>
                <c:pt idx="820">
                  <c:v>122.46779700567674</c:v>
                </c:pt>
                <c:pt idx="821">
                  <c:v>122.50830901262535</c:v>
                </c:pt>
                <c:pt idx="822">
                  <c:v>123.2375251377005</c:v>
                </c:pt>
                <c:pt idx="823">
                  <c:v>122.91342908211153</c:v>
                </c:pt>
                <c:pt idx="824">
                  <c:v>123.48059717939222</c:v>
                </c:pt>
                <c:pt idx="825">
                  <c:v>121.57653285280711</c:v>
                </c:pt>
                <c:pt idx="826">
                  <c:v>122.75138105431706</c:v>
                </c:pt>
                <c:pt idx="827">
                  <c:v>123.31854915159774</c:v>
                </c:pt>
                <c:pt idx="828">
                  <c:v>124.45288534615909</c:v>
                </c:pt>
                <c:pt idx="829">
                  <c:v>124.71216219063024</c:v>
                </c:pt>
                <c:pt idx="830">
                  <c:v>125.18210147123423</c:v>
                </c:pt>
                <c:pt idx="831">
                  <c:v>125.18210147123425</c:v>
                </c:pt>
                <c:pt idx="832">
                  <c:v>124.70405978924053</c:v>
                </c:pt>
                <c:pt idx="833">
                  <c:v>123.15650112380327</c:v>
                </c:pt>
                <c:pt idx="834">
                  <c:v>125.23071587957259</c:v>
                </c:pt>
                <c:pt idx="835">
                  <c:v>124.0234580725037</c:v>
                </c:pt>
                <c:pt idx="836">
                  <c:v>124.06397007945232</c:v>
                </c:pt>
                <c:pt idx="837">
                  <c:v>125.30363749208009</c:v>
                </c:pt>
                <c:pt idx="838">
                  <c:v>125.22261347818285</c:v>
                </c:pt>
                <c:pt idx="839">
                  <c:v>126.3974616796928</c:v>
                </c:pt>
                <c:pt idx="840">
                  <c:v>127.4507738603569</c:v>
                </c:pt>
                <c:pt idx="841">
                  <c:v>128.504086041021</c:v>
                </c:pt>
                <c:pt idx="842">
                  <c:v>129.96251829117131</c:v>
                </c:pt>
                <c:pt idx="843">
                  <c:v>131.58299856911609</c:v>
                </c:pt>
                <c:pt idx="844">
                  <c:v>131.42095054132162</c:v>
                </c:pt>
                <c:pt idx="845">
                  <c:v>132.3284194969707</c:v>
                </c:pt>
                <c:pt idx="846">
                  <c:v>131.42095054132162</c:v>
                </c:pt>
                <c:pt idx="847">
                  <c:v>132.96040680536916</c:v>
                </c:pt>
                <c:pt idx="848">
                  <c:v>132.39323870808849</c:v>
                </c:pt>
                <c:pt idx="849">
                  <c:v>132.15016666639676</c:v>
                </c:pt>
                <c:pt idx="850">
                  <c:v>132.96040680536913</c:v>
                </c:pt>
                <c:pt idx="851">
                  <c:v>132.55528673588293</c:v>
                </c:pt>
                <c:pt idx="852">
                  <c:v>132.39323870808846</c:v>
                </c:pt>
                <c:pt idx="853">
                  <c:v>132.55528673588293</c:v>
                </c:pt>
                <c:pt idx="854">
                  <c:v>131.98811863860226</c:v>
                </c:pt>
                <c:pt idx="855">
                  <c:v>132.06104025110977</c:v>
                </c:pt>
                <c:pt idx="856">
                  <c:v>132.39323870808846</c:v>
                </c:pt>
                <c:pt idx="857">
                  <c:v>132.55528673588293</c:v>
                </c:pt>
                <c:pt idx="858">
                  <c:v>132.63631074978016</c:v>
                </c:pt>
                <c:pt idx="859">
                  <c:v>130.36763836065751</c:v>
                </c:pt>
                <c:pt idx="860">
                  <c:v>130.77275843014371</c:v>
                </c:pt>
                <c:pt idx="861">
                  <c:v>129.81667506615628</c:v>
                </c:pt>
                <c:pt idx="862">
                  <c:v>128.82818209660996</c:v>
                </c:pt>
                <c:pt idx="863">
                  <c:v>127.45077386035692</c:v>
                </c:pt>
                <c:pt idx="864">
                  <c:v>126.0895704268833</c:v>
                </c:pt>
                <c:pt idx="865">
                  <c:v>125.95182960325798</c:v>
                </c:pt>
                <c:pt idx="866">
                  <c:v>126.3974616796928</c:v>
                </c:pt>
                <c:pt idx="867">
                  <c:v>123.33475395437716</c:v>
                </c:pt>
                <c:pt idx="868">
                  <c:v>124.77698140174802</c:v>
                </c:pt>
                <c:pt idx="869">
                  <c:v>125.36035430180813</c:v>
                </c:pt>
                <c:pt idx="870">
                  <c:v>129.23330216609617</c:v>
                </c:pt>
                <c:pt idx="871">
                  <c:v>130.4324575717753</c:v>
                </c:pt>
                <c:pt idx="872">
                  <c:v>129.23330216609617</c:v>
                </c:pt>
                <c:pt idx="873">
                  <c:v>130.28661434676027</c:v>
                </c:pt>
                <c:pt idx="874">
                  <c:v>129.80047026337684</c:v>
                </c:pt>
                <c:pt idx="875">
                  <c:v>130.44866237455477</c:v>
                </c:pt>
                <c:pt idx="876">
                  <c:v>130.10836151618639</c:v>
                </c:pt>
                <c:pt idx="877">
                  <c:v>129.80047026337687</c:v>
                </c:pt>
                <c:pt idx="878">
                  <c:v>129.67893424253103</c:v>
                </c:pt>
                <c:pt idx="879">
                  <c:v>128.01794195763762</c:v>
                </c:pt>
                <c:pt idx="880">
                  <c:v>130.59126463901393</c:v>
                </c:pt>
                <c:pt idx="881">
                  <c:v>121.83580969727829</c:v>
                </c:pt>
                <c:pt idx="882">
                  <c:v>132.15016666639681</c:v>
                </c:pt>
                <c:pt idx="883">
                  <c:v>131.25890251352718</c:v>
                </c:pt>
                <c:pt idx="884">
                  <c:v>130.93480645793821</c:v>
                </c:pt>
                <c:pt idx="885">
                  <c:v>130.61071040234924</c:v>
                </c:pt>
                <c:pt idx="886">
                  <c:v>131.82607061080785</c:v>
                </c:pt>
                <c:pt idx="887">
                  <c:v>132.15016666639681</c:v>
                </c:pt>
                <c:pt idx="888">
                  <c:v>132.89558759425142</c:v>
                </c:pt>
                <c:pt idx="889">
                  <c:v>134.05423099298193</c:v>
                </c:pt>
                <c:pt idx="890">
                  <c:v>135.91778331261844</c:v>
                </c:pt>
                <c:pt idx="891">
                  <c:v>136.03931933346431</c:v>
                </c:pt>
                <c:pt idx="892">
                  <c:v>136.12034334736154</c:v>
                </c:pt>
                <c:pt idx="893">
                  <c:v>135.26959120144051</c:v>
                </c:pt>
                <c:pt idx="894">
                  <c:v>135.31010320838914</c:v>
                </c:pt>
                <c:pt idx="895">
                  <c:v>135.87727130566981</c:v>
                </c:pt>
                <c:pt idx="896">
                  <c:v>135.87727130566981</c:v>
                </c:pt>
                <c:pt idx="897">
                  <c:v>135.55317525008087</c:v>
                </c:pt>
                <c:pt idx="898">
                  <c:v>131.23459530935801</c:v>
                </c:pt>
                <c:pt idx="899">
                  <c:v>135.55317525008084</c:v>
                </c:pt>
                <c:pt idx="900">
                  <c:v>136.78474026131886</c:v>
                </c:pt>
                <c:pt idx="901">
                  <c:v>138.34850372953557</c:v>
                </c:pt>
                <c:pt idx="902">
                  <c:v>139.36130390325104</c:v>
                </c:pt>
                <c:pt idx="903">
                  <c:v>140.75491694228356</c:v>
                </c:pt>
                <c:pt idx="904">
                  <c:v>142.52124044524339</c:v>
                </c:pt>
                <c:pt idx="905">
                  <c:v>145.03298487605778</c:v>
                </c:pt>
                <c:pt idx="906">
                  <c:v>147.46370529297496</c:v>
                </c:pt>
                <c:pt idx="907">
                  <c:v>147.86882536246117</c:v>
                </c:pt>
                <c:pt idx="908">
                  <c:v>147.86882536246117</c:v>
                </c:pt>
                <c:pt idx="909">
                  <c:v>147.88503016524061</c:v>
                </c:pt>
                <c:pt idx="910">
                  <c:v>147.62575332076941</c:v>
                </c:pt>
                <c:pt idx="911">
                  <c:v>146.65346515400256</c:v>
                </c:pt>
                <c:pt idx="912">
                  <c:v>146.65346515400256</c:v>
                </c:pt>
                <c:pt idx="913">
                  <c:v>146.04578504977329</c:v>
                </c:pt>
                <c:pt idx="914">
                  <c:v>146.24834508451639</c:v>
                </c:pt>
                <c:pt idx="915">
                  <c:v>146.82361558318678</c:v>
                </c:pt>
                <c:pt idx="916">
                  <c:v>147.46370529297496</c:v>
                </c:pt>
                <c:pt idx="917">
                  <c:v>149.00316155702251</c:v>
                </c:pt>
                <c:pt idx="918">
                  <c:v>146.00527304282465</c:v>
                </c:pt>
                <c:pt idx="919">
                  <c:v>146.65346515400259</c:v>
                </c:pt>
                <c:pt idx="920">
                  <c:v>146.57244114010535</c:v>
                </c:pt>
                <c:pt idx="921">
                  <c:v>146.16732107061918</c:v>
                </c:pt>
                <c:pt idx="922">
                  <c:v>145.84322501503021</c:v>
                </c:pt>
                <c:pt idx="923">
                  <c:v>146.97756120959156</c:v>
                </c:pt>
                <c:pt idx="924">
                  <c:v>149.18141438759645</c:v>
                </c:pt>
                <c:pt idx="925">
                  <c:v>148.5170174736391</c:v>
                </c:pt>
                <c:pt idx="926">
                  <c:v>149.73237768209768</c:v>
                </c:pt>
                <c:pt idx="927">
                  <c:v>152.40617014070656</c:v>
                </c:pt>
                <c:pt idx="928">
                  <c:v>153.94562640475411</c:v>
                </c:pt>
                <c:pt idx="929">
                  <c:v>155.36354664795579</c:v>
                </c:pt>
                <c:pt idx="930">
                  <c:v>155.16098661321269</c:v>
                </c:pt>
                <c:pt idx="931">
                  <c:v>157.51878541762233</c:v>
                </c:pt>
                <c:pt idx="932">
                  <c:v>156.98402692590057</c:v>
                </c:pt>
                <c:pt idx="933">
                  <c:v>157.2270989675923</c:v>
                </c:pt>
                <c:pt idx="934">
                  <c:v>162.03992539308828</c:v>
                </c:pt>
                <c:pt idx="935">
                  <c:v>159.61730737756085</c:v>
                </c:pt>
                <c:pt idx="936">
                  <c:v>160.42754751653322</c:v>
                </c:pt>
                <c:pt idx="937">
                  <c:v>157.75375505792434</c:v>
                </c:pt>
                <c:pt idx="938">
                  <c:v>153.1353862657817</c:v>
                </c:pt>
                <c:pt idx="939">
                  <c:v>154.26972246034305</c:v>
                </c:pt>
                <c:pt idx="940">
                  <c:v>151.51490598783693</c:v>
                </c:pt>
                <c:pt idx="941">
                  <c:v>153.1353862657817</c:v>
                </c:pt>
                <c:pt idx="942">
                  <c:v>152.3251461268093</c:v>
                </c:pt>
                <c:pt idx="943">
                  <c:v>153.1353862657817</c:v>
                </c:pt>
                <c:pt idx="944">
                  <c:v>153.94562640475408</c:v>
                </c:pt>
                <c:pt idx="945">
                  <c:v>152.3251461268093</c:v>
                </c:pt>
                <c:pt idx="946">
                  <c:v>154.63433052288062</c:v>
                </c:pt>
                <c:pt idx="947">
                  <c:v>156.0522507660823</c:v>
                </c:pt>
                <c:pt idx="948">
                  <c:v>155.36354664795579</c:v>
                </c:pt>
                <c:pt idx="949">
                  <c:v>156.22240119526651</c:v>
                </c:pt>
                <c:pt idx="950">
                  <c:v>155.97122675218506</c:v>
                </c:pt>
                <c:pt idx="951">
                  <c:v>156.81387649671635</c:v>
                </c:pt>
                <c:pt idx="952">
                  <c:v>158.48297118299948</c:v>
                </c:pt>
                <c:pt idx="953">
                  <c:v>159.61730737756082</c:v>
                </c:pt>
                <c:pt idx="954">
                  <c:v>158.40194716910224</c:v>
                </c:pt>
                <c:pt idx="955">
                  <c:v>154.02665041865134</c:v>
                </c:pt>
              </c:numCache>
            </c:numRef>
          </c:val>
          <c:smooth val="0"/>
          <c:extLst>
            <c:ext xmlns:c16="http://schemas.microsoft.com/office/drawing/2014/chart" uri="{C3380CC4-5D6E-409C-BE32-E72D297353CC}">
              <c16:uniqueId val="{00000002-3681-4EBC-BDC7-036968F800BB}"/>
            </c:ext>
          </c:extLst>
        </c:ser>
        <c:ser>
          <c:idx val="2"/>
          <c:order val="3"/>
          <c:tx>
            <c:strRef>
              <c:f>Sheet1!$E$1</c:f>
              <c:strCache>
                <c:ptCount val="1"/>
                <c:pt idx="0">
                  <c:v>Դոլարի ինդեքս</c:v>
                </c:pt>
              </c:strCache>
            </c:strRef>
          </c:tx>
          <c:spPr>
            <a:ln w="19050">
              <a:solidFill>
                <a:srgbClr val="ED7D31">
                  <a:lumMod val="60000"/>
                  <a:lumOff val="40000"/>
                </a:srgbClr>
              </a:solidFill>
            </a:ln>
          </c:spPr>
          <c:marker>
            <c:symbol val="none"/>
          </c:marker>
          <c:cat>
            <c:numRef>
              <c:f>Sheet1!$A$2:$A$890</c:f>
              <c:numCache>
                <c:formatCode>m\/d\/yyyy</c:formatCode>
                <c:ptCount val="889"/>
                <c:pt idx="0">
                  <c:v>43832</c:v>
                </c:pt>
                <c:pt idx="1">
                  <c:v>43833</c:v>
                </c:pt>
                <c:pt idx="2">
                  <c:v>43836</c:v>
                </c:pt>
                <c:pt idx="3">
                  <c:v>43837</c:v>
                </c:pt>
                <c:pt idx="4">
                  <c:v>43838</c:v>
                </c:pt>
                <c:pt idx="5">
                  <c:v>43839</c:v>
                </c:pt>
                <c:pt idx="6">
                  <c:v>43840</c:v>
                </c:pt>
                <c:pt idx="7">
                  <c:v>43843</c:v>
                </c:pt>
                <c:pt idx="8">
                  <c:v>43844</c:v>
                </c:pt>
                <c:pt idx="9">
                  <c:v>43845</c:v>
                </c:pt>
                <c:pt idx="10">
                  <c:v>43846</c:v>
                </c:pt>
                <c:pt idx="11">
                  <c:v>43847</c:v>
                </c:pt>
                <c:pt idx="12">
                  <c:v>43850</c:v>
                </c:pt>
                <c:pt idx="13">
                  <c:v>43851</c:v>
                </c:pt>
                <c:pt idx="14">
                  <c:v>43852</c:v>
                </c:pt>
                <c:pt idx="15">
                  <c:v>43853</c:v>
                </c:pt>
                <c:pt idx="16">
                  <c:v>43854</c:v>
                </c:pt>
                <c:pt idx="17">
                  <c:v>43857</c:v>
                </c:pt>
                <c:pt idx="18">
                  <c:v>43858</c:v>
                </c:pt>
                <c:pt idx="19">
                  <c:v>43859</c:v>
                </c:pt>
                <c:pt idx="20">
                  <c:v>43860</c:v>
                </c:pt>
                <c:pt idx="21">
                  <c:v>43861</c:v>
                </c:pt>
                <c:pt idx="22">
                  <c:v>43864</c:v>
                </c:pt>
                <c:pt idx="23">
                  <c:v>43865</c:v>
                </c:pt>
                <c:pt idx="24">
                  <c:v>43866</c:v>
                </c:pt>
                <c:pt idx="25">
                  <c:v>43867</c:v>
                </c:pt>
                <c:pt idx="26">
                  <c:v>43868</c:v>
                </c:pt>
                <c:pt idx="27">
                  <c:v>43871</c:v>
                </c:pt>
                <c:pt idx="28">
                  <c:v>43872</c:v>
                </c:pt>
                <c:pt idx="29">
                  <c:v>43873</c:v>
                </c:pt>
                <c:pt idx="30">
                  <c:v>43874</c:v>
                </c:pt>
                <c:pt idx="31">
                  <c:v>43875</c:v>
                </c:pt>
                <c:pt idx="32">
                  <c:v>43878</c:v>
                </c:pt>
                <c:pt idx="33">
                  <c:v>43879</c:v>
                </c:pt>
                <c:pt idx="34">
                  <c:v>43880</c:v>
                </c:pt>
                <c:pt idx="35">
                  <c:v>43881</c:v>
                </c:pt>
                <c:pt idx="36">
                  <c:v>43882</c:v>
                </c:pt>
                <c:pt idx="37">
                  <c:v>43885</c:v>
                </c:pt>
                <c:pt idx="38">
                  <c:v>43886</c:v>
                </c:pt>
                <c:pt idx="39">
                  <c:v>43887</c:v>
                </c:pt>
                <c:pt idx="40">
                  <c:v>43888</c:v>
                </c:pt>
                <c:pt idx="41">
                  <c:v>43889</c:v>
                </c:pt>
                <c:pt idx="42">
                  <c:v>43892</c:v>
                </c:pt>
                <c:pt idx="43">
                  <c:v>43893</c:v>
                </c:pt>
                <c:pt idx="44">
                  <c:v>43894</c:v>
                </c:pt>
                <c:pt idx="45">
                  <c:v>43895</c:v>
                </c:pt>
                <c:pt idx="46">
                  <c:v>43896</c:v>
                </c:pt>
                <c:pt idx="47">
                  <c:v>43899</c:v>
                </c:pt>
                <c:pt idx="48">
                  <c:v>43900</c:v>
                </c:pt>
                <c:pt idx="49">
                  <c:v>43901</c:v>
                </c:pt>
                <c:pt idx="50">
                  <c:v>43902</c:v>
                </c:pt>
                <c:pt idx="51">
                  <c:v>43903</c:v>
                </c:pt>
                <c:pt idx="52">
                  <c:v>43906</c:v>
                </c:pt>
                <c:pt idx="53">
                  <c:v>43907</c:v>
                </c:pt>
                <c:pt idx="54">
                  <c:v>43908</c:v>
                </c:pt>
                <c:pt idx="55">
                  <c:v>43909</c:v>
                </c:pt>
                <c:pt idx="56">
                  <c:v>43910</c:v>
                </c:pt>
                <c:pt idx="57">
                  <c:v>43913</c:v>
                </c:pt>
                <c:pt idx="58">
                  <c:v>43914</c:v>
                </c:pt>
                <c:pt idx="59">
                  <c:v>43915</c:v>
                </c:pt>
                <c:pt idx="60">
                  <c:v>43916</c:v>
                </c:pt>
                <c:pt idx="61">
                  <c:v>43917</c:v>
                </c:pt>
                <c:pt idx="62">
                  <c:v>43920</c:v>
                </c:pt>
                <c:pt idx="63">
                  <c:v>43921</c:v>
                </c:pt>
                <c:pt idx="64">
                  <c:v>43922</c:v>
                </c:pt>
                <c:pt idx="65">
                  <c:v>43923</c:v>
                </c:pt>
                <c:pt idx="66">
                  <c:v>43924</c:v>
                </c:pt>
                <c:pt idx="67">
                  <c:v>43927</c:v>
                </c:pt>
                <c:pt idx="68">
                  <c:v>43928</c:v>
                </c:pt>
                <c:pt idx="69">
                  <c:v>43929</c:v>
                </c:pt>
                <c:pt idx="70">
                  <c:v>43930</c:v>
                </c:pt>
                <c:pt idx="71">
                  <c:v>43934</c:v>
                </c:pt>
                <c:pt idx="72">
                  <c:v>43935</c:v>
                </c:pt>
                <c:pt idx="73">
                  <c:v>43936</c:v>
                </c:pt>
                <c:pt idx="74">
                  <c:v>43937</c:v>
                </c:pt>
                <c:pt idx="75">
                  <c:v>43938</c:v>
                </c:pt>
                <c:pt idx="76">
                  <c:v>43941</c:v>
                </c:pt>
                <c:pt idx="77">
                  <c:v>43942</c:v>
                </c:pt>
                <c:pt idx="78">
                  <c:v>43943</c:v>
                </c:pt>
                <c:pt idx="79">
                  <c:v>43944</c:v>
                </c:pt>
                <c:pt idx="80">
                  <c:v>43945</c:v>
                </c:pt>
                <c:pt idx="81">
                  <c:v>43948</c:v>
                </c:pt>
                <c:pt idx="82">
                  <c:v>43949</c:v>
                </c:pt>
                <c:pt idx="83">
                  <c:v>43950</c:v>
                </c:pt>
                <c:pt idx="84">
                  <c:v>43951</c:v>
                </c:pt>
                <c:pt idx="85">
                  <c:v>43952</c:v>
                </c:pt>
                <c:pt idx="86">
                  <c:v>43955</c:v>
                </c:pt>
                <c:pt idx="87">
                  <c:v>43956</c:v>
                </c:pt>
                <c:pt idx="88">
                  <c:v>43957</c:v>
                </c:pt>
                <c:pt idx="89">
                  <c:v>43958</c:v>
                </c:pt>
                <c:pt idx="90">
                  <c:v>43959</c:v>
                </c:pt>
                <c:pt idx="91">
                  <c:v>43962</c:v>
                </c:pt>
                <c:pt idx="92">
                  <c:v>43963</c:v>
                </c:pt>
                <c:pt idx="93">
                  <c:v>43964</c:v>
                </c:pt>
                <c:pt idx="94">
                  <c:v>43965</c:v>
                </c:pt>
                <c:pt idx="95">
                  <c:v>43966</c:v>
                </c:pt>
                <c:pt idx="96">
                  <c:v>43969</c:v>
                </c:pt>
                <c:pt idx="97">
                  <c:v>43970</c:v>
                </c:pt>
                <c:pt idx="98">
                  <c:v>43971</c:v>
                </c:pt>
                <c:pt idx="99">
                  <c:v>43972</c:v>
                </c:pt>
                <c:pt idx="100">
                  <c:v>43973</c:v>
                </c:pt>
                <c:pt idx="101">
                  <c:v>43976</c:v>
                </c:pt>
                <c:pt idx="102">
                  <c:v>43977</c:v>
                </c:pt>
                <c:pt idx="103">
                  <c:v>43978</c:v>
                </c:pt>
                <c:pt idx="104">
                  <c:v>43979</c:v>
                </c:pt>
                <c:pt idx="105">
                  <c:v>43980</c:v>
                </c:pt>
                <c:pt idx="106">
                  <c:v>43983</c:v>
                </c:pt>
                <c:pt idx="107">
                  <c:v>43984</c:v>
                </c:pt>
                <c:pt idx="108">
                  <c:v>43985</c:v>
                </c:pt>
                <c:pt idx="109">
                  <c:v>43986</c:v>
                </c:pt>
                <c:pt idx="110">
                  <c:v>43987</c:v>
                </c:pt>
                <c:pt idx="111">
                  <c:v>43990</c:v>
                </c:pt>
                <c:pt idx="112">
                  <c:v>43991</c:v>
                </c:pt>
                <c:pt idx="113">
                  <c:v>43992</c:v>
                </c:pt>
                <c:pt idx="114">
                  <c:v>43993</c:v>
                </c:pt>
                <c:pt idx="115">
                  <c:v>43994</c:v>
                </c:pt>
                <c:pt idx="116">
                  <c:v>43997</c:v>
                </c:pt>
                <c:pt idx="117">
                  <c:v>43998</c:v>
                </c:pt>
                <c:pt idx="118">
                  <c:v>43999</c:v>
                </c:pt>
                <c:pt idx="119">
                  <c:v>44000</c:v>
                </c:pt>
                <c:pt idx="120">
                  <c:v>44001</c:v>
                </c:pt>
                <c:pt idx="121">
                  <c:v>44004</c:v>
                </c:pt>
                <c:pt idx="122">
                  <c:v>44005</c:v>
                </c:pt>
                <c:pt idx="123">
                  <c:v>44006</c:v>
                </c:pt>
                <c:pt idx="124">
                  <c:v>44007</c:v>
                </c:pt>
                <c:pt idx="125">
                  <c:v>44008</c:v>
                </c:pt>
                <c:pt idx="126">
                  <c:v>44011</c:v>
                </c:pt>
                <c:pt idx="127">
                  <c:v>44012</c:v>
                </c:pt>
                <c:pt idx="128">
                  <c:v>44013</c:v>
                </c:pt>
                <c:pt idx="129">
                  <c:v>44014</c:v>
                </c:pt>
                <c:pt idx="130">
                  <c:v>44015</c:v>
                </c:pt>
                <c:pt idx="131">
                  <c:v>44018</c:v>
                </c:pt>
                <c:pt idx="132">
                  <c:v>44019</c:v>
                </c:pt>
                <c:pt idx="133">
                  <c:v>44020</c:v>
                </c:pt>
                <c:pt idx="134">
                  <c:v>44021</c:v>
                </c:pt>
                <c:pt idx="135">
                  <c:v>44022</c:v>
                </c:pt>
                <c:pt idx="136">
                  <c:v>44025</c:v>
                </c:pt>
                <c:pt idx="137">
                  <c:v>44026</c:v>
                </c:pt>
                <c:pt idx="138">
                  <c:v>44027</c:v>
                </c:pt>
                <c:pt idx="139">
                  <c:v>44028</c:v>
                </c:pt>
                <c:pt idx="140">
                  <c:v>44029</c:v>
                </c:pt>
                <c:pt idx="141">
                  <c:v>44032</c:v>
                </c:pt>
                <c:pt idx="142">
                  <c:v>44033</c:v>
                </c:pt>
                <c:pt idx="143">
                  <c:v>44034</c:v>
                </c:pt>
                <c:pt idx="144">
                  <c:v>44035</c:v>
                </c:pt>
                <c:pt idx="145">
                  <c:v>44036</c:v>
                </c:pt>
                <c:pt idx="146">
                  <c:v>44039</c:v>
                </c:pt>
                <c:pt idx="147">
                  <c:v>44040</c:v>
                </c:pt>
                <c:pt idx="148">
                  <c:v>44041</c:v>
                </c:pt>
                <c:pt idx="149">
                  <c:v>44042</c:v>
                </c:pt>
                <c:pt idx="150">
                  <c:v>44043</c:v>
                </c:pt>
                <c:pt idx="151">
                  <c:v>44046</c:v>
                </c:pt>
                <c:pt idx="152">
                  <c:v>44047</c:v>
                </c:pt>
                <c:pt idx="153">
                  <c:v>44048</c:v>
                </c:pt>
                <c:pt idx="154">
                  <c:v>44049</c:v>
                </c:pt>
                <c:pt idx="155">
                  <c:v>44050</c:v>
                </c:pt>
                <c:pt idx="156">
                  <c:v>44053</c:v>
                </c:pt>
                <c:pt idx="157">
                  <c:v>44054</c:v>
                </c:pt>
                <c:pt idx="158">
                  <c:v>44055</c:v>
                </c:pt>
                <c:pt idx="159">
                  <c:v>44056</c:v>
                </c:pt>
                <c:pt idx="160">
                  <c:v>44057</c:v>
                </c:pt>
                <c:pt idx="161">
                  <c:v>44060</c:v>
                </c:pt>
                <c:pt idx="162">
                  <c:v>44061</c:v>
                </c:pt>
                <c:pt idx="163">
                  <c:v>44062</c:v>
                </c:pt>
                <c:pt idx="164">
                  <c:v>44063</c:v>
                </c:pt>
                <c:pt idx="165">
                  <c:v>44064</c:v>
                </c:pt>
                <c:pt idx="166">
                  <c:v>44067</c:v>
                </c:pt>
                <c:pt idx="167">
                  <c:v>44068</c:v>
                </c:pt>
                <c:pt idx="168">
                  <c:v>44069</c:v>
                </c:pt>
                <c:pt idx="169">
                  <c:v>44070</c:v>
                </c:pt>
                <c:pt idx="170">
                  <c:v>44071</c:v>
                </c:pt>
                <c:pt idx="171">
                  <c:v>44074</c:v>
                </c:pt>
                <c:pt idx="172">
                  <c:v>44075</c:v>
                </c:pt>
                <c:pt idx="173">
                  <c:v>44076</c:v>
                </c:pt>
                <c:pt idx="174">
                  <c:v>44077</c:v>
                </c:pt>
                <c:pt idx="175">
                  <c:v>44078</c:v>
                </c:pt>
                <c:pt idx="176">
                  <c:v>44081</c:v>
                </c:pt>
                <c:pt idx="177">
                  <c:v>44082</c:v>
                </c:pt>
                <c:pt idx="178">
                  <c:v>44083</c:v>
                </c:pt>
                <c:pt idx="179">
                  <c:v>44084</c:v>
                </c:pt>
                <c:pt idx="180">
                  <c:v>44085</c:v>
                </c:pt>
                <c:pt idx="181">
                  <c:v>44088</c:v>
                </c:pt>
                <c:pt idx="182">
                  <c:v>44089</c:v>
                </c:pt>
                <c:pt idx="183">
                  <c:v>44090</c:v>
                </c:pt>
                <c:pt idx="184">
                  <c:v>44091</c:v>
                </c:pt>
                <c:pt idx="185">
                  <c:v>44092</c:v>
                </c:pt>
                <c:pt idx="186">
                  <c:v>44095</c:v>
                </c:pt>
                <c:pt idx="187">
                  <c:v>44096</c:v>
                </c:pt>
                <c:pt idx="188">
                  <c:v>44097</c:v>
                </c:pt>
                <c:pt idx="189">
                  <c:v>44098</c:v>
                </c:pt>
                <c:pt idx="190">
                  <c:v>44099</c:v>
                </c:pt>
                <c:pt idx="191">
                  <c:v>44102</c:v>
                </c:pt>
                <c:pt idx="192">
                  <c:v>44103</c:v>
                </c:pt>
                <c:pt idx="193">
                  <c:v>44104</c:v>
                </c:pt>
                <c:pt idx="194">
                  <c:v>44105</c:v>
                </c:pt>
                <c:pt idx="195">
                  <c:v>44106</c:v>
                </c:pt>
                <c:pt idx="196">
                  <c:v>44109</c:v>
                </c:pt>
                <c:pt idx="197">
                  <c:v>44110</c:v>
                </c:pt>
                <c:pt idx="198">
                  <c:v>44111</c:v>
                </c:pt>
                <c:pt idx="199">
                  <c:v>44112</c:v>
                </c:pt>
                <c:pt idx="200">
                  <c:v>44113</c:v>
                </c:pt>
                <c:pt idx="201">
                  <c:v>44116</c:v>
                </c:pt>
                <c:pt idx="202">
                  <c:v>44117</c:v>
                </c:pt>
                <c:pt idx="203">
                  <c:v>44118</c:v>
                </c:pt>
                <c:pt idx="204">
                  <c:v>44119</c:v>
                </c:pt>
                <c:pt idx="205">
                  <c:v>44120</c:v>
                </c:pt>
                <c:pt idx="206">
                  <c:v>44123</c:v>
                </c:pt>
                <c:pt idx="207">
                  <c:v>44124</c:v>
                </c:pt>
                <c:pt idx="208">
                  <c:v>44125</c:v>
                </c:pt>
                <c:pt idx="209">
                  <c:v>44126</c:v>
                </c:pt>
                <c:pt idx="210">
                  <c:v>44127</c:v>
                </c:pt>
                <c:pt idx="211">
                  <c:v>44130</c:v>
                </c:pt>
                <c:pt idx="212">
                  <c:v>44131</c:v>
                </c:pt>
                <c:pt idx="213">
                  <c:v>44132</c:v>
                </c:pt>
                <c:pt idx="214">
                  <c:v>44133</c:v>
                </c:pt>
                <c:pt idx="215">
                  <c:v>44134</c:v>
                </c:pt>
                <c:pt idx="216">
                  <c:v>44137</c:v>
                </c:pt>
                <c:pt idx="217">
                  <c:v>44138</c:v>
                </c:pt>
                <c:pt idx="218">
                  <c:v>44139</c:v>
                </c:pt>
                <c:pt idx="219">
                  <c:v>44140</c:v>
                </c:pt>
                <c:pt idx="220">
                  <c:v>44141</c:v>
                </c:pt>
                <c:pt idx="221">
                  <c:v>44144</c:v>
                </c:pt>
                <c:pt idx="222">
                  <c:v>44145</c:v>
                </c:pt>
                <c:pt idx="223">
                  <c:v>44146</c:v>
                </c:pt>
                <c:pt idx="224">
                  <c:v>44147</c:v>
                </c:pt>
                <c:pt idx="225">
                  <c:v>44148</c:v>
                </c:pt>
                <c:pt idx="226">
                  <c:v>44151</c:v>
                </c:pt>
                <c:pt idx="227">
                  <c:v>44152</c:v>
                </c:pt>
                <c:pt idx="228">
                  <c:v>44153</c:v>
                </c:pt>
                <c:pt idx="229">
                  <c:v>44154</c:v>
                </c:pt>
                <c:pt idx="230">
                  <c:v>44155</c:v>
                </c:pt>
                <c:pt idx="231">
                  <c:v>44158</c:v>
                </c:pt>
                <c:pt idx="232">
                  <c:v>44159</c:v>
                </c:pt>
                <c:pt idx="233">
                  <c:v>44160</c:v>
                </c:pt>
                <c:pt idx="234">
                  <c:v>44161</c:v>
                </c:pt>
                <c:pt idx="235">
                  <c:v>44162</c:v>
                </c:pt>
                <c:pt idx="236">
                  <c:v>44165</c:v>
                </c:pt>
                <c:pt idx="237">
                  <c:v>44166</c:v>
                </c:pt>
                <c:pt idx="238">
                  <c:v>44167</c:v>
                </c:pt>
                <c:pt idx="239">
                  <c:v>44168</c:v>
                </c:pt>
                <c:pt idx="240">
                  <c:v>44169</c:v>
                </c:pt>
                <c:pt idx="241">
                  <c:v>44172</c:v>
                </c:pt>
                <c:pt idx="242">
                  <c:v>44173</c:v>
                </c:pt>
                <c:pt idx="243">
                  <c:v>44174</c:v>
                </c:pt>
                <c:pt idx="244">
                  <c:v>44175</c:v>
                </c:pt>
                <c:pt idx="245">
                  <c:v>44176</c:v>
                </c:pt>
                <c:pt idx="246">
                  <c:v>44179</c:v>
                </c:pt>
                <c:pt idx="247">
                  <c:v>44180</c:v>
                </c:pt>
                <c:pt idx="248">
                  <c:v>44181</c:v>
                </c:pt>
                <c:pt idx="249">
                  <c:v>44182</c:v>
                </c:pt>
                <c:pt idx="250">
                  <c:v>44183</c:v>
                </c:pt>
                <c:pt idx="251">
                  <c:v>44186</c:v>
                </c:pt>
                <c:pt idx="252">
                  <c:v>44187</c:v>
                </c:pt>
                <c:pt idx="253">
                  <c:v>44188</c:v>
                </c:pt>
                <c:pt idx="254">
                  <c:v>44189</c:v>
                </c:pt>
                <c:pt idx="255">
                  <c:v>44193</c:v>
                </c:pt>
                <c:pt idx="256">
                  <c:v>44194</c:v>
                </c:pt>
                <c:pt idx="257">
                  <c:v>44195</c:v>
                </c:pt>
                <c:pt idx="258">
                  <c:v>44196</c:v>
                </c:pt>
                <c:pt idx="259">
                  <c:v>44200</c:v>
                </c:pt>
                <c:pt idx="260">
                  <c:v>44201</c:v>
                </c:pt>
                <c:pt idx="261">
                  <c:v>44202</c:v>
                </c:pt>
                <c:pt idx="262">
                  <c:v>44203</c:v>
                </c:pt>
                <c:pt idx="263">
                  <c:v>44204</c:v>
                </c:pt>
                <c:pt idx="264">
                  <c:v>44207</c:v>
                </c:pt>
                <c:pt idx="265">
                  <c:v>44208</c:v>
                </c:pt>
                <c:pt idx="266">
                  <c:v>44209</c:v>
                </c:pt>
                <c:pt idx="267">
                  <c:v>44210</c:v>
                </c:pt>
                <c:pt idx="268">
                  <c:v>44211</c:v>
                </c:pt>
                <c:pt idx="269">
                  <c:v>44214</c:v>
                </c:pt>
                <c:pt idx="270">
                  <c:v>44215</c:v>
                </c:pt>
                <c:pt idx="271">
                  <c:v>44216</c:v>
                </c:pt>
                <c:pt idx="272">
                  <c:v>44217</c:v>
                </c:pt>
                <c:pt idx="273">
                  <c:v>44218</c:v>
                </c:pt>
                <c:pt idx="274">
                  <c:v>44221</c:v>
                </c:pt>
                <c:pt idx="275">
                  <c:v>44222</c:v>
                </c:pt>
                <c:pt idx="276">
                  <c:v>44223</c:v>
                </c:pt>
                <c:pt idx="277">
                  <c:v>44224</c:v>
                </c:pt>
                <c:pt idx="278">
                  <c:v>44225</c:v>
                </c:pt>
                <c:pt idx="279">
                  <c:v>44228</c:v>
                </c:pt>
                <c:pt idx="280">
                  <c:v>44229</c:v>
                </c:pt>
                <c:pt idx="281">
                  <c:v>44230</c:v>
                </c:pt>
                <c:pt idx="282">
                  <c:v>44231</c:v>
                </c:pt>
                <c:pt idx="283">
                  <c:v>44232</c:v>
                </c:pt>
                <c:pt idx="284">
                  <c:v>44235</c:v>
                </c:pt>
                <c:pt idx="285">
                  <c:v>44236</c:v>
                </c:pt>
                <c:pt idx="286">
                  <c:v>44237</c:v>
                </c:pt>
                <c:pt idx="287">
                  <c:v>44238</c:v>
                </c:pt>
                <c:pt idx="288">
                  <c:v>44239</c:v>
                </c:pt>
                <c:pt idx="289">
                  <c:v>44242</c:v>
                </c:pt>
                <c:pt idx="290">
                  <c:v>44243</c:v>
                </c:pt>
                <c:pt idx="291">
                  <c:v>44244</c:v>
                </c:pt>
                <c:pt idx="292">
                  <c:v>44245</c:v>
                </c:pt>
                <c:pt idx="293">
                  <c:v>44246</c:v>
                </c:pt>
                <c:pt idx="294">
                  <c:v>44249</c:v>
                </c:pt>
                <c:pt idx="295">
                  <c:v>44250</c:v>
                </c:pt>
                <c:pt idx="296">
                  <c:v>44251</c:v>
                </c:pt>
                <c:pt idx="297">
                  <c:v>44252</c:v>
                </c:pt>
                <c:pt idx="298">
                  <c:v>44253</c:v>
                </c:pt>
                <c:pt idx="299">
                  <c:v>44256</c:v>
                </c:pt>
                <c:pt idx="300">
                  <c:v>44257</c:v>
                </c:pt>
                <c:pt idx="301">
                  <c:v>44258</c:v>
                </c:pt>
                <c:pt idx="302">
                  <c:v>44259</c:v>
                </c:pt>
                <c:pt idx="303">
                  <c:v>44260</c:v>
                </c:pt>
                <c:pt idx="304">
                  <c:v>44263</c:v>
                </c:pt>
                <c:pt idx="305">
                  <c:v>44264</c:v>
                </c:pt>
                <c:pt idx="306">
                  <c:v>44265</c:v>
                </c:pt>
                <c:pt idx="307">
                  <c:v>44266</c:v>
                </c:pt>
                <c:pt idx="308">
                  <c:v>44267</c:v>
                </c:pt>
                <c:pt idx="309">
                  <c:v>44270</c:v>
                </c:pt>
                <c:pt idx="310">
                  <c:v>44271</c:v>
                </c:pt>
                <c:pt idx="311">
                  <c:v>44272</c:v>
                </c:pt>
                <c:pt idx="312">
                  <c:v>44273</c:v>
                </c:pt>
                <c:pt idx="313">
                  <c:v>44274</c:v>
                </c:pt>
                <c:pt idx="314">
                  <c:v>44277</c:v>
                </c:pt>
                <c:pt idx="315">
                  <c:v>44278</c:v>
                </c:pt>
                <c:pt idx="316">
                  <c:v>44279</c:v>
                </c:pt>
                <c:pt idx="317">
                  <c:v>44280</c:v>
                </c:pt>
                <c:pt idx="318">
                  <c:v>44281</c:v>
                </c:pt>
                <c:pt idx="319">
                  <c:v>44284</c:v>
                </c:pt>
                <c:pt idx="320">
                  <c:v>44285</c:v>
                </c:pt>
                <c:pt idx="321">
                  <c:v>44286</c:v>
                </c:pt>
                <c:pt idx="322">
                  <c:v>44287</c:v>
                </c:pt>
                <c:pt idx="323">
                  <c:v>44288</c:v>
                </c:pt>
                <c:pt idx="324">
                  <c:v>44291</c:v>
                </c:pt>
                <c:pt idx="325">
                  <c:v>44292</c:v>
                </c:pt>
                <c:pt idx="326">
                  <c:v>44293</c:v>
                </c:pt>
                <c:pt idx="327">
                  <c:v>44294</c:v>
                </c:pt>
                <c:pt idx="328">
                  <c:v>44295</c:v>
                </c:pt>
                <c:pt idx="329">
                  <c:v>44298</c:v>
                </c:pt>
                <c:pt idx="330">
                  <c:v>44299</c:v>
                </c:pt>
                <c:pt idx="331">
                  <c:v>44300</c:v>
                </c:pt>
                <c:pt idx="332">
                  <c:v>44301</c:v>
                </c:pt>
                <c:pt idx="333">
                  <c:v>44302</c:v>
                </c:pt>
                <c:pt idx="334">
                  <c:v>44305</c:v>
                </c:pt>
                <c:pt idx="335">
                  <c:v>44306</c:v>
                </c:pt>
                <c:pt idx="336">
                  <c:v>44307</c:v>
                </c:pt>
                <c:pt idx="337">
                  <c:v>44308</c:v>
                </c:pt>
                <c:pt idx="338">
                  <c:v>44309</c:v>
                </c:pt>
                <c:pt idx="339">
                  <c:v>44312</c:v>
                </c:pt>
                <c:pt idx="340">
                  <c:v>44313</c:v>
                </c:pt>
                <c:pt idx="341">
                  <c:v>44314</c:v>
                </c:pt>
                <c:pt idx="342">
                  <c:v>44315</c:v>
                </c:pt>
                <c:pt idx="343">
                  <c:v>44316</c:v>
                </c:pt>
                <c:pt idx="344">
                  <c:v>44319</c:v>
                </c:pt>
                <c:pt idx="345">
                  <c:v>44320</c:v>
                </c:pt>
                <c:pt idx="346">
                  <c:v>44321</c:v>
                </c:pt>
                <c:pt idx="347">
                  <c:v>44322</c:v>
                </c:pt>
                <c:pt idx="348">
                  <c:v>44323</c:v>
                </c:pt>
                <c:pt idx="349">
                  <c:v>44326</c:v>
                </c:pt>
                <c:pt idx="350">
                  <c:v>44327</c:v>
                </c:pt>
                <c:pt idx="351">
                  <c:v>44328</c:v>
                </c:pt>
                <c:pt idx="352">
                  <c:v>44329</c:v>
                </c:pt>
                <c:pt idx="353">
                  <c:v>44330</c:v>
                </c:pt>
                <c:pt idx="354">
                  <c:v>44333</c:v>
                </c:pt>
                <c:pt idx="355">
                  <c:v>44334</c:v>
                </c:pt>
                <c:pt idx="356">
                  <c:v>44335</c:v>
                </c:pt>
                <c:pt idx="357">
                  <c:v>44336</c:v>
                </c:pt>
                <c:pt idx="358">
                  <c:v>44337</c:v>
                </c:pt>
                <c:pt idx="359">
                  <c:v>44340</c:v>
                </c:pt>
                <c:pt idx="360">
                  <c:v>44341</c:v>
                </c:pt>
                <c:pt idx="361">
                  <c:v>44342</c:v>
                </c:pt>
                <c:pt idx="362">
                  <c:v>44343</c:v>
                </c:pt>
                <c:pt idx="363">
                  <c:v>44344</c:v>
                </c:pt>
                <c:pt idx="364">
                  <c:v>44347</c:v>
                </c:pt>
                <c:pt idx="365">
                  <c:v>44348</c:v>
                </c:pt>
                <c:pt idx="366">
                  <c:v>44349</c:v>
                </c:pt>
                <c:pt idx="367">
                  <c:v>44350</c:v>
                </c:pt>
                <c:pt idx="368">
                  <c:v>44351</c:v>
                </c:pt>
                <c:pt idx="369">
                  <c:v>44354</c:v>
                </c:pt>
                <c:pt idx="370">
                  <c:v>44355</c:v>
                </c:pt>
                <c:pt idx="371">
                  <c:v>44356</c:v>
                </c:pt>
                <c:pt idx="372">
                  <c:v>44357</c:v>
                </c:pt>
                <c:pt idx="373">
                  <c:v>44358</c:v>
                </c:pt>
                <c:pt idx="374">
                  <c:v>44361</c:v>
                </c:pt>
                <c:pt idx="375">
                  <c:v>44362</c:v>
                </c:pt>
                <c:pt idx="376">
                  <c:v>44363</c:v>
                </c:pt>
                <c:pt idx="377">
                  <c:v>44364</c:v>
                </c:pt>
                <c:pt idx="378">
                  <c:v>44365</c:v>
                </c:pt>
                <c:pt idx="379">
                  <c:v>44368</c:v>
                </c:pt>
                <c:pt idx="380">
                  <c:v>44369</c:v>
                </c:pt>
                <c:pt idx="381">
                  <c:v>44370</c:v>
                </c:pt>
                <c:pt idx="382">
                  <c:v>44371</c:v>
                </c:pt>
                <c:pt idx="383">
                  <c:v>44372</c:v>
                </c:pt>
                <c:pt idx="384">
                  <c:v>44375</c:v>
                </c:pt>
                <c:pt idx="385">
                  <c:v>44376</c:v>
                </c:pt>
                <c:pt idx="386">
                  <c:v>44377</c:v>
                </c:pt>
                <c:pt idx="387">
                  <c:v>44378</c:v>
                </c:pt>
                <c:pt idx="388">
                  <c:v>44379</c:v>
                </c:pt>
                <c:pt idx="389">
                  <c:v>44382</c:v>
                </c:pt>
                <c:pt idx="390">
                  <c:v>44383</c:v>
                </c:pt>
                <c:pt idx="391">
                  <c:v>44384</c:v>
                </c:pt>
                <c:pt idx="392">
                  <c:v>44385</c:v>
                </c:pt>
                <c:pt idx="393">
                  <c:v>44386</c:v>
                </c:pt>
                <c:pt idx="394">
                  <c:v>44389</c:v>
                </c:pt>
                <c:pt idx="395">
                  <c:v>44390</c:v>
                </c:pt>
                <c:pt idx="396">
                  <c:v>44391</c:v>
                </c:pt>
                <c:pt idx="397">
                  <c:v>44392</c:v>
                </c:pt>
                <c:pt idx="398">
                  <c:v>44393</c:v>
                </c:pt>
                <c:pt idx="399">
                  <c:v>44396</c:v>
                </c:pt>
                <c:pt idx="400">
                  <c:v>44397</c:v>
                </c:pt>
                <c:pt idx="401">
                  <c:v>44398</c:v>
                </c:pt>
                <c:pt idx="402">
                  <c:v>44399</c:v>
                </c:pt>
                <c:pt idx="403">
                  <c:v>44400</c:v>
                </c:pt>
                <c:pt idx="404">
                  <c:v>44403</c:v>
                </c:pt>
                <c:pt idx="405">
                  <c:v>44404</c:v>
                </c:pt>
                <c:pt idx="406">
                  <c:v>44405</c:v>
                </c:pt>
                <c:pt idx="407">
                  <c:v>44406</c:v>
                </c:pt>
                <c:pt idx="408">
                  <c:v>44407</c:v>
                </c:pt>
                <c:pt idx="409">
                  <c:v>44410</c:v>
                </c:pt>
                <c:pt idx="410">
                  <c:v>44411</c:v>
                </c:pt>
                <c:pt idx="411">
                  <c:v>44412</c:v>
                </c:pt>
                <c:pt idx="412">
                  <c:v>44413</c:v>
                </c:pt>
                <c:pt idx="413">
                  <c:v>44414</c:v>
                </c:pt>
                <c:pt idx="414">
                  <c:v>44417</c:v>
                </c:pt>
                <c:pt idx="415">
                  <c:v>44418</c:v>
                </c:pt>
                <c:pt idx="416">
                  <c:v>44419</c:v>
                </c:pt>
                <c:pt idx="417">
                  <c:v>44420</c:v>
                </c:pt>
                <c:pt idx="418">
                  <c:v>44421</c:v>
                </c:pt>
                <c:pt idx="419">
                  <c:v>44424</c:v>
                </c:pt>
                <c:pt idx="420">
                  <c:v>44425</c:v>
                </c:pt>
                <c:pt idx="421">
                  <c:v>44426</c:v>
                </c:pt>
                <c:pt idx="422">
                  <c:v>44427</c:v>
                </c:pt>
                <c:pt idx="423">
                  <c:v>44428</c:v>
                </c:pt>
                <c:pt idx="424">
                  <c:v>44431</c:v>
                </c:pt>
                <c:pt idx="425">
                  <c:v>44432</c:v>
                </c:pt>
                <c:pt idx="426">
                  <c:v>44433</c:v>
                </c:pt>
                <c:pt idx="427">
                  <c:v>44434</c:v>
                </c:pt>
                <c:pt idx="428">
                  <c:v>44435</c:v>
                </c:pt>
                <c:pt idx="429">
                  <c:v>44438</c:v>
                </c:pt>
                <c:pt idx="430">
                  <c:v>44439</c:v>
                </c:pt>
                <c:pt idx="431">
                  <c:v>44440</c:v>
                </c:pt>
                <c:pt idx="432">
                  <c:v>44441</c:v>
                </c:pt>
                <c:pt idx="433">
                  <c:v>44442</c:v>
                </c:pt>
                <c:pt idx="434">
                  <c:v>44445</c:v>
                </c:pt>
                <c:pt idx="435">
                  <c:v>44446</c:v>
                </c:pt>
                <c:pt idx="436">
                  <c:v>44447</c:v>
                </c:pt>
                <c:pt idx="437">
                  <c:v>44448</c:v>
                </c:pt>
                <c:pt idx="438">
                  <c:v>44449</c:v>
                </c:pt>
                <c:pt idx="439">
                  <c:v>44452</c:v>
                </c:pt>
                <c:pt idx="440">
                  <c:v>44453</c:v>
                </c:pt>
                <c:pt idx="441">
                  <c:v>44454</c:v>
                </c:pt>
                <c:pt idx="442">
                  <c:v>44455</c:v>
                </c:pt>
                <c:pt idx="443">
                  <c:v>44456</c:v>
                </c:pt>
                <c:pt idx="444">
                  <c:v>44459</c:v>
                </c:pt>
                <c:pt idx="445">
                  <c:v>44460</c:v>
                </c:pt>
                <c:pt idx="446">
                  <c:v>44461</c:v>
                </c:pt>
                <c:pt idx="447">
                  <c:v>44462</c:v>
                </c:pt>
                <c:pt idx="448">
                  <c:v>44463</c:v>
                </c:pt>
                <c:pt idx="449">
                  <c:v>44466</c:v>
                </c:pt>
                <c:pt idx="450">
                  <c:v>44467</c:v>
                </c:pt>
                <c:pt idx="451">
                  <c:v>44468</c:v>
                </c:pt>
                <c:pt idx="452">
                  <c:v>44469</c:v>
                </c:pt>
                <c:pt idx="453">
                  <c:v>44470</c:v>
                </c:pt>
                <c:pt idx="454">
                  <c:v>44473</c:v>
                </c:pt>
                <c:pt idx="455">
                  <c:v>44474</c:v>
                </c:pt>
                <c:pt idx="456">
                  <c:v>44475</c:v>
                </c:pt>
                <c:pt idx="457">
                  <c:v>44476</c:v>
                </c:pt>
                <c:pt idx="458">
                  <c:v>44477</c:v>
                </c:pt>
                <c:pt idx="459">
                  <c:v>44480</c:v>
                </c:pt>
                <c:pt idx="460">
                  <c:v>44481</c:v>
                </c:pt>
                <c:pt idx="461">
                  <c:v>44482</c:v>
                </c:pt>
                <c:pt idx="462">
                  <c:v>44483</c:v>
                </c:pt>
                <c:pt idx="463">
                  <c:v>44484</c:v>
                </c:pt>
                <c:pt idx="464">
                  <c:v>44487</c:v>
                </c:pt>
                <c:pt idx="465">
                  <c:v>44488</c:v>
                </c:pt>
                <c:pt idx="466">
                  <c:v>44489</c:v>
                </c:pt>
                <c:pt idx="467">
                  <c:v>44490</c:v>
                </c:pt>
                <c:pt idx="468">
                  <c:v>44491</c:v>
                </c:pt>
                <c:pt idx="469">
                  <c:v>44494</c:v>
                </c:pt>
                <c:pt idx="470">
                  <c:v>44495</c:v>
                </c:pt>
                <c:pt idx="471">
                  <c:v>44496</c:v>
                </c:pt>
                <c:pt idx="472">
                  <c:v>44497</c:v>
                </c:pt>
                <c:pt idx="473">
                  <c:v>44498</c:v>
                </c:pt>
                <c:pt idx="474">
                  <c:v>44501</c:v>
                </c:pt>
                <c:pt idx="475">
                  <c:v>44502</c:v>
                </c:pt>
                <c:pt idx="476">
                  <c:v>44503</c:v>
                </c:pt>
                <c:pt idx="477">
                  <c:v>44504</c:v>
                </c:pt>
                <c:pt idx="478">
                  <c:v>44505</c:v>
                </c:pt>
                <c:pt idx="479">
                  <c:v>44508</c:v>
                </c:pt>
                <c:pt idx="480">
                  <c:v>44509</c:v>
                </c:pt>
                <c:pt idx="481">
                  <c:v>44510</c:v>
                </c:pt>
                <c:pt idx="482">
                  <c:v>44511</c:v>
                </c:pt>
                <c:pt idx="483">
                  <c:v>44512</c:v>
                </c:pt>
                <c:pt idx="484">
                  <c:v>44515</c:v>
                </c:pt>
                <c:pt idx="485">
                  <c:v>44516</c:v>
                </c:pt>
                <c:pt idx="486">
                  <c:v>44517</c:v>
                </c:pt>
                <c:pt idx="487">
                  <c:v>44518</c:v>
                </c:pt>
                <c:pt idx="488">
                  <c:v>44519</c:v>
                </c:pt>
                <c:pt idx="489">
                  <c:v>44522</c:v>
                </c:pt>
                <c:pt idx="490">
                  <c:v>44523</c:v>
                </c:pt>
                <c:pt idx="491">
                  <c:v>44524</c:v>
                </c:pt>
                <c:pt idx="492">
                  <c:v>44525</c:v>
                </c:pt>
                <c:pt idx="493">
                  <c:v>44526</c:v>
                </c:pt>
                <c:pt idx="494">
                  <c:v>44529</c:v>
                </c:pt>
                <c:pt idx="495">
                  <c:v>44530</c:v>
                </c:pt>
                <c:pt idx="496">
                  <c:v>44531</c:v>
                </c:pt>
                <c:pt idx="497">
                  <c:v>44532</c:v>
                </c:pt>
                <c:pt idx="498">
                  <c:v>44533</c:v>
                </c:pt>
                <c:pt idx="499">
                  <c:v>44536</c:v>
                </c:pt>
                <c:pt idx="500">
                  <c:v>44537</c:v>
                </c:pt>
                <c:pt idx="501">
                  <c:v>44538</c:v>
                </c:pt>
                <c:pt idx="502">
                  <c:v>44539</c:v>
                </c:pt>
                <c:pt idx="503">
                  <c:v>44540</c:v>
                </c:pt>
                <c:pt idx="504">
                  <c:v>44543</c:v>
                </c:pt>
                <c:pt idx="505">
                  <c:v>44544</c:v>
                </c:pt>
                <c:pt idx="506">
                  <c:v>44545</c:v>
                </c:pt>
                <c:pt idx="507">
                  <c:v>44546</c:v>
                </c:pt>
                <c:pt idx="508">
                  <c:v>44547</c:v>
                </c:pt>
                <c:pt idx="509">
                  <c:v>44550</c:v>
                </c:pt>
                <c:pt idx="510">
                  <c:v>44551</c:v>
                </c:pt>
                <c:pt idx="511">
                  <c:v>44552</c:v>
                </c:pt>
                <c:pt idx="512">
                  <c:v>44553</c:v>
                </c:pt>
                <c:pt idx="513">
                  <c:v>44557</c:v>
                </c:pt>
                <c:pt idx="514">
                  <c:v>44558</c:v>
                </c:pt>
                <c:pt idx="515">
                  <c:v>44559</c:v>
                </c:pt>
                <c:pt idx="516">
                  <c:v>44560</c:v>
                </c:pt>
                <c:pt idx="517">
                  <c:v>44561</c:v>
                </c:pt>
                <c:pt idx="518">
                  <c:v>44564</c:v>
                </c:pt>
                <c:pt idx="519">
                  <c:v>44565</c:v>
                </c:pt>
                <c:pt idx="520">
                  <c:v>44566</c:v>
                </c:pt>
                <c:pt idx="521">
                  <c:v>44567</c:v>
                </c:pt>
                <c:pt idx="522">
                  <c:v>44568</c:v>
                </c:pt>
                <c:pt idx="523">
                  <c:v>44571</c:v>
                </c:pt>
                <c:pt idx="524">
                  <c:v>44572</c:v>
                </c:pt>
                <c:pt idx="525">
                  <c:v>44573</c:v>
                </c:pt>
                <c:pt idx="526">
                  <c:v>44574</c:v>
                </c:pt>
                <c:pt idx="527">
                  <c:v>44575</c:v>
                </c:pt>
                <c:pt idx="528">
                  <c:v>44578</c:v>
                </c:pt>
                <c:pt idx="529">
                  <c:v>44579</c:v>
                </c:pt>
                <c:pt idx="530">
                  <c:v>44580</c:v>
                </c:pt>
                <c:pt idx="531">
                  <c:v>44581</c:v>
                </c:pt>
                <c:pt idx="532">
                  <c:v>44582</c:v>
                </c:pt>
                <c:pt idx="533">
                  <c:v>44585</c:v>
                </c:pt>
                <c:pt idx="534">
                  <c:v>44586</c:v>
                </c:pt>
                <c:pt idx="535">
                  <c:v>44587</c:v>
                </c:pt>
                <c:pt idx="536">
                  <c:v>44588</c:v>
                </c:pt>
                <c:pt idx="537">
                  <c:v>44589</c:v>
                </c:pt>
                <c:pt idx="538">
                  <c:v>44592</c:v>
                </c:pt>
                <c:pt idx="539">
                  <c:v>44593</c:v>
                </c:pt>
                <c:pt idx="540">
                  <c:v>44594</c:v>
                </c:pt>
                <c:pt idx="541">
                  <c:v>44595</c:v>
                </c:pt>
                <c:pt idx="542">
                  <c:v>44596</c:v>
                </c:pt>
                <c:pt idx="543">
                  <c:v>44599</c:v>
                </c:pt>
                <c:pt idx="544">
                  <c:v>44600</c:v>
                </c:pt>
                <c:pt idx="545">
                  <c:v>44601</c:v>
                </c:pt>
                <c:pt idx="546">
                  <c:v>44602</c:v>
                </c:pt>
                <c:pt idx="547">
                  <c:v>44603</c:v>
                </c:pt>
                <c:pt idx="548">
                  <c:v>44606</c:v>
                </c:pt>
                <c:pt idx="549">
                  <c:v>44607</c:v>
                </c:pt>
                <c:pt idx="550">
                  <c:v>44608</c:v>
                </c:pt>
                <c:pt idx="551">
                  <c:v>44609</c:v>
                </c:pt>
                <c:pt idx="552">
                  <c:v>44610</c:v>
                </c:pt>
                <c:pt idx="553">
                  <c:v>44613</c:v>
                </c:pt>
                <c:pt idx="554">
                  <c:v>44614</c:v>
                </c:pt>
                <c:pt idx="555">
                  <c:v>44615</c:v>
                </c:pt>
                <c:pt idx="556">
                  <c:v>44616</c:v>
                </c:pt>
                <c:pt idx="557">
                  <c:v>44617</c:v>
                </c:pt>
                <c:pt idx="558">
                  <c:v>44620</c:v>
                </c:pt>
                <c:pt idx="559">
                  <c:v>44621</c:v>
                </c:pt>
                <c:pt idx="560">
                  <c:v>44622</c:v>
                </c:pt>
                <c:pt idx="561">
                  <c:v>44623</c:v>
                </c:pt>
                <c:pt idx="562">
                  <c:v>44624</c:v>
                </c:pt>
                <c:pt idx="563">
                  <c:v>44627</c:v>
                </c:pt>
                <c:pt idx="564">
                  <c:v>44628</c:v>
                </c:pt>
                <c:pt idx="565">
                  <c:v>44629</c:v>
                </c:pt>
                <c:pt idx="566">
                  <c:v>44630</c:v>
                </c:pt>
                <c:pt idx="567">
                  <c:v>44631</c:v>
                </c:pt>
                <c:pt idx="568">
                  <c:v>44634</c:v>
                </c:pt>
                <c:pt idx="569">
                  <c:v>44635</c:v>
                </c:pt>
                <c:pt idx="570">
                  <c:v>44636</c:v>
                </c:pt>
                <c:pt idx="571">
                  <c:v>44637</c:v>
                </c:pt>
                <c:pt idx="572">
                  <c:v>44638</c:v>
                </c:pt>
                <c:pt idx="573">
                  <c:v>44641</c:v>
                </c:pt>
                <c:pt idx="574">
                  <c:v>44642</c:v>
                </c:pt>
                <c:pt idx="575">
                  <c:v>44643</c:v>
                </c:pt>
                <c:pt idx="576">
                  <c:v>44644</c:v>
                </c:pt>
                <c:pt idx="577">
                  <c:v>44645</c:v>
                </c:pt>
                <c:pt idx="578">
                  <c:v>44648</c:v>
                </c:pt>
                <c:pt idx="579">
                  <c:v>44649</c:v>
                </c:pt>
                <c:pt idx="580">
                  <c:v>44650</c:v>
                </c:pt>
                <c:pt idx="581">
                  <c:v>44651</c:v>
                </c:pt>
                <c:pt idx="582">
                  <c:v>44652</c:v>
                </c:pt>
                <c:pt idx="583">
                  <c:v>44655</c:v>
                </c:pt>
                <c:pt idx="584">
                  <c:v>44656</c:v>
                </c:pt>
                <c:pt idx="585">
                  <c:v>44657</c:v>
                </c:pt>
                <c:pt idx="586">
                  <c:v>44658</c:v>
                </c:pt>
                <c:pt idx="587">
                  <c:v>44659</c:v>
                </c:pt>
                <c:pt idx="588">
                  <c:v>44662</c:v>
                </c:pt>
                <c:pt idx="589">
                  <c:v>44663</c:v>
                </c:pt>
                <c:pt idx="590">
                  <c:v>44664</c:v>
                </c:pt>
                <c:pt idx="591">
                  <c:v>44665</c:v>
                </c:pt>
                <c:pt idx="592">
                  <c:v>44669</c:v>
                </c:pt>
                <c:pt idx="593">
                  <c:v>44670</c:v>
                </c:pt>
                <c:pt idx="594">
                  <c:v>44671</c:v>
                </c:pt>
                <c:pt idx="595">
                  <c:v>44672</c:v>
                </c:pt>
                <c:pt idx="596">
                  <c:v>44673</c:v>
                </c:pt>
                <c:pt idx="597">
                  <c:v>44676</c:v>
                </c:pt>
                <c:pt idx="598">
                  <c:v>44677</c:v>
                </c:pt>
                <c:pt idx="599">
                  <c:v>44678</c:v>
                </c:pt>
                <c:pt idx="600">
                  <c:v>44679</c:v>
                </c:pt>
                <c:pt idx="601">
                  <c:v>44680</c:v>
                </c:pt>
                <c:pt idx="602">
                  <c:v>44683</c:v>
                </c:pt>
                <c:pt idx="603">
                  <c:v>44684</c:v>
                </c:pt>
                <c:pt idx="604">
                  <c:v>44685</c:v>
                </c:pt>
                <c:pt idx="605">
                  <c:v>44686</c:v>
                </c:pt>
                <c:pt idx="606">
                  <c:v>44687</c:v>
                </c:pt>
                <c:pt idx="607">
                  <c:v>44690</c:v>
                </c:pt>
                <c:pt idx="608">
                  <c:v>44691</c:v>
                </c:pt>
                <c:pt idx="609">
                  <c:v>44692</c:v>
                </c:pt>
                <c:pt idx="610">
                  <c:v>44693</c:v>
                </c:pt>
                <c:pt idx="611">
                  <c:v>44694</c:v>
                </c:pt>
                <c:pt idx="612">
                  <c:v>44697</c:v>
                </c:pt>
                <c:pt idx="613">
                  <c:v>44698</c:v>
                </c:pt>
                <c:pt idx="614">
                  <c:v>44699</c:v>
                </c:pt>
                <c:pt idx="615">
                  <c:v>44700</c:v>
                </c:pt>
                <c:pt idx="616">
                  <c:v>44701</c:v>
                </c:pt>
                <c:pt idx="617">
                  <c:v>44704</c:v>
                </c:pt>
                <c:pt idx="618">
                  <c:v>44705</c:v>
                </c:pt>
                <c:pt idx="619">
                  <c:v>44706</c:v>
                </c:pt>
                <c:pt idx="620">
                  <c:v>44707</c:v>
                </c:pt>
                <c:pt idx="621">
                  <c:v>44708</c:v>
                </c:pt>
                <c:pt idx="622">
                  <c:v>44711</c:v>
                </c:pt>
                <c:pt idx="623">
                  <c:v>44712</c:v>
                </c:pt>
                <c:pt idx="624">
                  <c:v>44713</c:v>
                </c:pt>
                <c:pt idx="625">
                  <c:v>44714</c:v>
                </c:pt>
                <c:pt idx="626">
                  <c:v>44715</c:v>
                </c:pt>
                <c:pt idx="627">
                  <c:v>44718</c:v>
                </c:pt>
                <c:pt idx="628">
                  <c:v>44719</c:v>
                </c:pt>
                <c:pt idx="629">
                  <c:v>44720</c:v>
                </c:pt>
                <c:pt idx="630">
                  <c:v>44721</c:v>
                </c:pt>
                <c:pt idx="631">
                  <c:v>44722</c:v>
                </c:pt>
                <c:pt idx="632">
                  <c:v>44725</c:v>
                </c:pt>
                <c:pt idx="633">
                  <c:v>44726</c:v>
                </c:pt>
                <c:pt idx="634">
                  <c:v>44727</c:v>
                </c:pt>
                <c:pt idx="635">
                  <c:v>44728</c:v>
                </c:pt>
                <c:pt idx="636">
                  <c:v>44729</c:v>
                </c:pt>
                <c:pt idx="637">
                  <c:v>44732</c:v>
                </c:pt>
                <c:pt idx="638">
                  <c:v>44733</c:v>
                </c:pt>
                <c:pt idx="639">
                  <c:v>44734</c:v>
                </c:pt>
                <c:pt idx="640">
                  <c:v>44735</c:v>
                </c:pt>
                <c:pt idx="641">
                  <c:v>44736</c:v>
                </c:pt>
                <c:pt idx="642">
                  <c:v>44739</c:v>
                </c:pt>
                <c:pt idx="643">
                  <c:v>44740</c:v>
                </c:pt>
                <c:pt idx="644">
                  <c:v>44741</c:v>
                </c:pt>
                <c:pt idx="645">
                  <c:v>44742</c:v>
                </c:pt>
                <c:pt idx="646">
                  <c:v>44743</c:v>
                </c:pt>
                <c:pt idx="647">
                  <c:v>44746</c:v>
                </c:pt>
                <c:pt idx="648">
                  <c:v>44747</c:v>
                </c:pt>
                <c:pt idx="649">
                  <c:v>44748</c:v>
                </c:pt>
                <c:pt idx="650">
                  <c:v>44749</c:v>
                </c:pt>
                <c:pt idx="651">
                  <c:v>44750</c:v>
                </c:pt>
                <c:pt idx="652">
                  <c:v>44753</c:v>
                </c:pt>
                <c:pt idx="653">
                  <c:v>44754</c:v>
                </c:pt>
                <c:pt idx="654">
                  <c:v>44755</c:v>
                </c:pt>
                <c:pt idx="655">
                  <c:v>44756</c:v>
                </c:pt>
                <c:pt idx="656">
                  <c:v>44757</c:v>
                </c:pt>
                <c:pt idx="657">
                  <c:v>44760</c:v>
                </c:pt>
                <c:pt idx="658">
                  <c:v>44761</c:v>
                </c:pt>
                <c:pt idx="659">
                  <c:v>44762</c:v>
                </c:pt>
                <c:pt idx="660">
                  <c:v>44763</c:v>
                </c:pt>
                <c:pt idx="661">
                  <c:v>44764</c:v>
                </c:pt>
                <c:pt idx="662">
                  <c:v>44767</c:v>
                </c:pt>
                <c:pt idx="663">
                  <c:v>44768</c:v>
                </c:pt>
                <c:pt idx="664">
                  <c:v>44769</c:v>
                </c:pt>
                <c:pt idx="665">
                  <c:v>44770</c:v>
                </c:pt>
                <c:pt idx="666">
                  <c:v>44771</c:v>
                </c:pt>
                <c:pt idx="667">
                  <c:v>44774</c:v>
                </c:pt>
                <c:pt idx="668">
                  <c:v>44775</c:v>
                </c:pt>
                <c:pt idx="669">
                  <c:v>44776</c:v>
                </c:pt>
                <c:pt idx="670">
                  <c:v>44777</c:v>
                </c:pt>
                <c:pt idx="671">
                  <c:v>44778</c:v>
                </c:pt>
                <c:pt idx="672">
                  <c:v>44781</c:v>
                </c:pt>
                <c:pt idx="673">
                  <c:v>44782</c:v>
                </c:pt>
                <c:pt idx="674">
                  <c:v>44783</c:v>
                </c:pt>
                <c:pt idx="675">
                  <c:v>44784</c:v>
                </c:pt>
                <c:pt idx="676">
                  <c:v>44785</c:v>
                </c:pt>
                <c:pt idx="677">
                  <c:v>44788</c:v>
                </c:pt>
                <c:pt idx="678">
                  <c:v>44789</c:v>
                </c:pt>
                <c:pt idx="679">
                  <c:v>44790</c:v>
                </c:pt>
                <c:pt idx="680">
                  <c:v>44791</c:v>
                </c:pt>
                <c:pt idx="681">
                  <c:v>44792</c:v>
                </c:pt>
                <c:pt idx="682">
                  <c:v>44795</c:v>
                </c:pt>
                <c:pt idx="683">
                  <c:v>44796</c:v>
                </c:pt>
                <c:pt idx="684">
                  <c:v>44797</c:v>
                </c:pt>
                <c:pt idx="685">
                  <c:v>44798</c:v>
                </c:pt>
                <c:pt idx="686">
                  <c:v>44799</c:v>
                </c:pt>
                <c:pt idx="687">
                  <c:v>44802</c:v>
                </c:pt>
                <c:pt idx="688">
                  <c:v>44803</c:v>
                </c:pt>
                <c:pt idx="689">
                  <c:v>44804</c:v>
                </c:pt>
                <c:pt idx="690">
                  <c:v>44805</c:v>
                </c:pt>
                <c:pt idx="691">
                  <c:v>44806</c:v>
                </c:pt>
                <c:pt idx="692">
                  <c:v>44809</c:v>
                </c:pt>
                <c:pt idx="693">
                  <c:v>44810</c:v>
                </c:pt>
                <c:pt idx="694">
                  <c:v>44811</c:v>
                </c:pt>
                <c:pt idx="695">
                  <c:v>44812</c:v>
                </c:pt>
                <c:pt idx="696">
                  <c:v>44813</c:v>
                </c:pt>
                <c:pt idx="697">
                  <c:v>44816</c:v>
                </c:pt>
                <c:pt idx="698">
                  <c:v>44817</c:v>
                </c:pt>
                <c:pt idx="699">
                  <c:v>44818</c:v>
                </c:pt>
                <c:pt idx="700">
                  <c:v>44819</c:v>
                </c:pt>
                <c:pt idx="701">
                  <c:v>44820</c:v>
                </c:pt>
                <c:pt idx="702">
                  <c:v>44823</c:v>
                </c:pt>
                <c:pt idx="703">
                  <c:v>44824</c:v>
                </c:pt>
                <c:pt idx="704">
                  <c:v>44825</c:v>
                </c:pt>
                <c:pt idx="705">
                  <c:v>44826</c:v>
                </c:pt>
                <c:pt idx="706">
                  <c:v>44827</c:v>
                </c:pt>
                <c:pt idx="707">
                  <c:v>44830</c:v>
                </c:pt>
                <c:pt idx="708">
                  <c:v>44831</c:v>
                </c:pt>
                <c:pt idx="709">
                  <c:v>44832</c:v>
                </c:pt>
                <c:pt idx="710">
                  <c:v>44833</c:v>
                </c:pt>
                <c:pt idx="711">
                  <c:v>44834</c:v>
                </c:pt>
                <c:pt idx="712">
                  <c:v>44837</c:v>
                </c:pt>
                <c:pt idx="713">
                  <c:v>44838</c:v>
                </c:pt>
                <c:pt idx="714">
                  <c:v>44839</c:v>
                </c:pt>
                <c:pt idx="715">
                  <c:v>44840</c:v>
                </c:pt>
                <c:pt idx="716">
                  <c:v>44841</c:v>
                </c:pt>
                <c:pt idx="717">
                  <c:v>44844</c:v>
                </c:pt>
                <c:pt idx="718">
                  <c:v>44845</c:v>
                </c:pt>
                <c:pt idx="719">
                  <c:v>44846</c:v>
                </c:pt>
                <c:pt idx="720">
                  <c:v>44847</c:v>
                </c:pt>
                <c:pt idx="721">
                  <c:v>44848</c:v>
                </c:pt>
                <c:pt idx="722">
                  <c:v>44851</c:v>
                </c:pt>
                <c:pt idx="723">
                  <c:v>44852</c:v>
                </c:pt>
                <c:pt idx="724">
                  <c:v>44853</c:v>
                </c:pt>
                <c:pt idx="725">
                  <c:v>44854</c:v>
                </c:pt>
                <c:pt idx="726">
                  <c:v>44855</c:v>
                </c:pt>
                <c:pt idx="727">
                  <c:v>44858</c:v>
                </c:pt>
                <c:pt idx="728">
                  <c:v>44859</c:v>
                </c:pt>
                <c:pt idx="729">
                  <c:v>44860</c:v>
                </c:pt>
                <c:pt idx="730">
                  <c:v>44861</c:v>
                </c:pt>
                <c:pt idx="731">
                  <c:v>44862</c:v>
                </c:pt>
                <c:pt idx="732">
                  <c:v>44865</c:v>
                </c:pt>
                <c:pt idx="733">
                  <c:v>44866</c:v>
                </c:pt>
                <c:pt idx="734">
                  <c:v>44867</c:v>
                </c:pt>
                <c:pt idx="735">
                  <c:v>44868</c:v>
                </c:pt>
                <c:pt idx="736">
                  <c:v>44869</c:v>
                </c:pt>
                <c:pt idx="737">
                  <c:v>44872</c:v>
                </c:pt>
                <c:pt idx="738">
                  <c:v>44873</c:v>
                </c:pt>
                <c:pt idx="739">
                  <c:v>44874</c:v>
                </c:pt>
                <c:pt idx="740">
                  <c:v>44875</c:v>
                </c:pt>
                <c:pt idx="741">
                  <c:v>44876</c:v>
                </c:pt>
                <c:pt idx="742">
                  <c:v>44879</c:v>
                </c:pt>
                <c:pt idx="743">
                  <c:v>44880</c:v>
                </c:pt>
                <c:pt idx="744">
                  <c:v>44881</c:v>
                </c:pt>
                <c:pt idx="745">
                  <c:v>44882</c:v>
                </c:pt>
                <c:pt idx="746">
                  <c:v>44883</c:v>
                </c:pt>
                <c:pt idx="747">
                  <c:v>44886</c:v>
                </c:pt>
                <c:pt idx="748">
                  <c:v>44887</c:v>
                </c:pt>
                <c:pt idx="749">
                  <c:v>44888</c:v>
                </c:pt>
                <c:pt idx="750">
                  <c:v>44889</c:v>
                </c:pt>
                <c:pt idx="751">
                  <c:v>44890</c:v>
                </c:pt>
                <c:pt idx="752">
                  <c:v>44893</c:v>
                </c:pt>
                <c:pt idx="753">
                  <c:v>44894</c:v>
                </c:pt>
                <c:pt idx="754">
                  <c:v>44895</c:v>
                </c:pt>
                <c:pt idx="755">
                  <c:v>44896</c:v>
                </c:pt>
                <c:pt idx="756">
                  <c:v>44897</c:v>
                </c:pt>
                <c:pt idx="757">
                  <c:v>44900</c:v>
                </c:pt>
                <c:pt idx="758">
                  <c:v>44901</c:v>
                </c:pt>
                <c:pt idx="759">
                  <c:v>44902</c:v>
                </c:pt>
                <c:pt idx="760">
                  <c:v>44903</c:v>
                </c:pt>
                <c:pt idx="761">
                  <c:v>44904</c:v>
                </c:pt>
                <c:pt idx="762">
                  <c:v>44907</c:v>
                </c:pt>
                <c:pt idx="763">
                  <c:v>44908</c:v>
                </c:pt>
                <c:pt idx="764">
                  <c:v>44909</c:v>
                </c:pt>
                <c:pt idx="765">
                  <c:v>44910</c:v>
                </c:pt>
                <c:pt idx="766">
                  <c:v>44911</c:v>
                </c:pt>
                <c:pt idx="767">
                  <c:v>44914</c:v>
                </c:pt>
                <c:pt idx="768">
                  <c:v>44915</c:v>
                </c:pt>
                <c:pt idx="769">
                  <c:v>44916</c:v>
                </c:pt>
                <c:pt idx="770">
                  <c:v>44917</c:v>
                </c:pt>
                <c:pt idx="771">
                  <c:v>44918</c:v>
                </c:pt>
                <c:pt idx="772">
                  <c:v>44922</c:v>
                </c:pt>
                <c:pt idx="773">
                  <c:v>44923</c:v>
                </c:pt>
                <c:pt idx="774">
                  <c:v>44924</c:v>
                </c:pt>
                <c:pt idx="775">
                  <c:v>44925</c:v>
                </c:pt>
                <c:pt idx="776">
                  <c:v>44929</c:v>
                </c:pt>
                <c:pt idx="777">
                  <c:v>44930</c:v>
                </c:pt>
                <c:pt idx="778">
                  <c:v>44931</c:v>
                </c:pt>
                <c:pt idx="779">
                  <c:v>44932</c:v>
                </c:pt>
                <c:pt idx="780">
                  <c:v>44935</c:v>
                </c:pt>
                <c:pt idx="781">
                  <c:v>44936</c:v>
                </c:pt>
                <c:pt idx="782">
                  <c:v>44937</c:v>
                </c:pt>
                <c:pt idx="783">
                  <c:v>44938</c:v>
                </c:pt>
                <c:pt idx="784">
                  <c:v>44939</c:v>
                </c:pt>
                <c:pt idx="785">
                  <c:v>44942</c:v>
                </c:pt>
                <c:pt idx="786">
                  <c:v>44943</c:v>
                </c:pt>
                <c:pt idx="787">
                  <c:v>44944</c:v>
                </c:pt>
                <c:pt idx="788">
                  <c:v>44945</c:v>
                </c:pt>
                <c:pt idx="789">
                  <c:v>44946</c:v>
                </c:pt>
                <c:pt idx="790">
                  <c:v>44949</c:v>
                </c:pt>
                <c:pt idx="791">
                  <c:v>44950</c:v>
                </c:pt>
                <c:pt idx="792">
                  <c:v>44951</c:v>
                </c:pt>
                <c:pt idx="793">
                  <c:v>44952</c:v>
                </c:pt>
                <c:pt idx="794">
                  <c:v>44953</c:v>
                </c:pt>
                <c:pt idx="795">
                  <c:v>44956</c:v>
                </c:pt>
                <c:pt idx="796">
                  <c:v>44957</c:v>
                </c:pt>
                <c:pt idx="797">
                  <c:v>44958</c:v>
                </c:pt>
                <c:pt idx="798">
                  <c:v>44959</c:v>
                </c:pt>
                <c:pt idx="799">
                  <c:v>44960</c:v>
                </c:pt>
                <c:pt idx="800">
                  <c:v>44963</c:v>
                </c:pt>
                <c:pt idx="801">
                  <c:v>44964</c:v>
                </c:pt>
                <c:pt idx="802">
                  <c:v>44965</c:v>
                </c:pt>
                <c:pt idx="803">
                  <c:v>44966</c:v>
                </c:pt>
                <c:pt idx="804">
                  <c:v>44967</c:v>
                </c:pt>
                <c:pt idx="805">
                  <c:v>44970</c:v>
                </c:pt>
                <c:pt idx="806">
                  <c:v>44971</c:v>
                </c:pt>
                <c:pt idx="807">
                  <c:v>44972</c:v>
                </c:pt>
                <c:pt idx="808">
                  <c:v>44973</c:v>
                </c:pt>
                <c:pt idx="809">
                  <c:v>44974</c:v>
                </c:pt>
                <c:pt idx="810">
                  <c:v>44977</c:v>
                </c:pt>
                <c:pt idx="811">
                  <c:v>44978</c:v>
                </c:pt>
                <c:pt idx="812">
                  <c:v>44979</c:v>
                </c:pt>
                <c:pt idx="813">
                  <c:v>44980</c:v>
                </c:pt>
                <c:pt idx="814">
                  <c:v>44981</c:v>
                </c:pt>
                <c:pt idx="815">
                  <c:v>44984</c:v>
                </c:pt>
                <c:pt idx="816">
                  <c:v>44985</c:v>
                </c:pt>
                <c:pt idx="817">
                  <c:v>44986</c:v>
                </c:pt>
                <c:pt idx="818">
                  <c:v>44987</c:v>
                </c:pt>
                <c:pt idx="819">
                  <c:v>44988</c:v>
                </c:pt>
                <c:pt idx="820">
                  <c:v>44991</c:v>
                </c:pt>
                <c:pt idx="821">
                  <c:v>44992</c:v>
                </c:pt>
                <c:pt idx="822">
                  <c:v>44993</c:v>
                </c:pt>
                <c:pt idx="823">
                  <c:v>44994</c:v>
                </c:pt>
                <c:pt idx="824">
                  <c:v>44995</c:v>
                </c:pt>
                <c:pt idx="825">
                  <c:v>44998</c:v>
                </c:pt>
                <c:pt idx="826">
                  <c:v>44999</c:v>
                </c:pt>
                <c:pt idx="827">
                  <c:v>45000</c:v>
                </c:pt>
                <c:pt idx="828">
                  <c:v>45001</c:v>
                </c:pt>
                <c:pt idx="829">
                  <c:v>45002</c:v>
                </c:pt>
                <c:pt idx="830">
                  <c:v>45005</c:v>
                </c:pt>
                <c:pt idx="831">
                  <c:v>45006</c:v>
                </c:pt>
                <c:pt idx="832">
                  <c:v>45007</c:v>
                </c:pt>
                <c:pt idx="833">
                  <c:v>45008</c:v>
                </c:pt>
                <c:pt idx="834">
                  <c:v>45009</c:v>
                </c:pt>
                <c:pt idx="835">
                  <c:v>45012</c:v>
                </c:pt>
                <c:pt idx="836">
                  <c:v>45013</c:v>
                </c:pt>
                <c:pt idx="837">
                  <c:v>45014</c:v>
                </c:pt>
                <c:pt idx="838">
                  <c:v>45015</c:v>
                </c:pt>
                <c:pt idx="839">
                  <c:v>45016</c:v>
                </c:pt>
                <c:pt idx="840">
                  <c:v>45019</c:v>
                </c:pt>
                <c:pt idx="841">
                  <c:v>45020</c:v>
                </c:pt>
                <c:pt idx="842">
                  <c:v>45021</c:v>
                </c:pt>
                <c:pt idx="843">
                  <c:v>45022</c:v>
                </c:pt>
                <c:pt idx="844">
                  <c:v>45023</c:v>
                </c:pt>
                <c:pt idx="845">
                  <c:v>45026</c:v>
                </c:pt>
                <c:pt idx="846">
                  <c:v>45027</c:v>
                </c:pt>
                <c:pt idx="847">
                  <c:v>45028</c:v>
                </c:pt>
                <c:pt idx="848">
                  <c:v>45029</c:v>
                </c:pt>
                <c:pt idx="849">
                  <c:v>45030</c:v>
                </c:pt>
                <c:pt idx="850">
                  <c:v>45033</c:v>
                </c:pt>
                <c:pt idx="851">
                  <c:v>45034</c:v>
                </c:pt>
                <c:pt idx="852">
                  <c:v>45035</c:v>
                </c:pt>
                <c:pt idx="853">
                  <c:v>45036</c:v>
                </c:pt>
                <c:pt idx="854">
                  <c:v>45037</c:v>
                </c:pt>
                <c:pt idx="855">
                  <c:v>45040</c:v>
                </c:pt>
                <c:pt idx="856">
                  <c:v>45041</c:v>
                </c:pt>
                <c:pt idx="857">
                  <c:v>45042</c:v>
                </c:pt>
                <c:pt idx="858">
                  <c:v>45043</c:v>
                </c:pt>
                <c:pt idx="859">
                  <c:v>45044</c:v>
                </c:pt>
                <c:pt idx="860">
                  <c:v>45047</c:v>
                </c:pt>
                <c:pt idx="861">
                  <c:v>45048</c:v>
                </c:pt>
                <c:pt idx="862">
                  <c:v>45049</c:v>
                </c:pt>
                <c:pt idx="863">
                  <c:v>45050</c:v>
                </c:pt>
                <c:pt idx="864">
                  <c:v>45051</c:v>
                </c:pt>
                <c:pt idx="865">
                  <c:v>45054</c:v>
                </c:pt>
                <c:pt idx="866">
                  <c:v>45055</c:v>
                </c:pt>
                <c:pt idx="867">
                  <c:v>45056</c:v>
                </c:pt>
                <c:pt idx="868">
                  <c:v>45057</c:v>
                </c:pt>
                <c:pt idx="869">
                  <c:v>45058</c:v>
                </c:pt>
                <c:pt idx="870">
                  <c:v>45061</c:v>
                </c:pt>
                <c:pt idx="871">
                  <c:v>45062</c:v>
                </c:pt>
                <c:pt idx="872">
                  <c:v>45063</c:v>
                </c:pt>
                <c:pt idx="873">
                  <c:v>45064</c:v>
                </c:pt>
                <c:pt idx="874">
                  <c:v>45065</c:v>
                </c:pt>
                <c:pt idx="875">
                  <c:v>45068</c:v>
                </c:pt>
                <c:pt idx="876">
                  <c:v>45069</c:v>
                </c:pt>
                <c:pt idx="877">
                  <c:v>45070</c:v>
                </c:pt>
                <c:pt idx="878">
                  <c:v>45071</c:v>
                </c:pt>
                <c:pt idx="879">
                  <c:v>45072</c:v>
                </c:pt>
                <c:pt idx="880">
                  <c:v>45075</c:v>
                </c:pt>
                <c:pt idx="881">
                  <c:v>45076</c:v>
                </c:pt>
                <c:pt idx="882">
                  <c:v>45077</c:v>
                </c:pt>
                <c:pt idx="883">
                  <c:v>45078</c:v>
                </c:pt>
                <c:pt idx="884">
                  <c:v>45079</c:v>
                </c:pt>
                <c:pt idx="885">
                  <c:v>45082</c:v>
                </c:pt>
                <c:pt idx="886">
                  <c:v>45083</c:v>
                </c:pt>
                <c:pt idx="887">
                  <c:v>45084</c:v>
                </c:pt>
                <c:pt idx="888">
                  <c:v>45085</c:v>
                </c:pt>
              </c:numCache>
            </c:numRef>
          </c:cat>
          <c:val>
            <c:numRef>
              <c:f>Sheet1!$E$2:$E$957</c:f>
              <c:numCache>
                <c:formatCode>0.0</c:formatCode>
                <c:ptCount val="956"/>
                <c:pt idx="0">
                  <c:v>100</c:v>
                </c:pt>
                <c:pt idx="1">
                  <c:v>99.997920306130936</c:v>
                </c:pt>
                <c:pt idx="2">
                  <c:v>99.820106480326103</c:v>
                </c:pt>
                <c:pt idx="3">
                  <c:v>100.18613260128109</c:v>
                </c:pt>
                <c:pt idx="4">
                  <c:v>100.48664836536061</c:v>
                </c:pt>
                <c:pt idx="5">
                  <c:v>100.65822310955826</c:v>
                </c:pt>
                <c:pt idx="6">
                  <c:v>100.5563181099742</c:v>
                </c:pt>
                <c:pt idx="7">
                  <c:v>100.53760086515264</c:v>
                </c:pt>
                <c:pt idx="8">
                  <c:v>100.57399550786123</c:v>
                </c:pt>
                <c:pt idx="9">
                  <c:v>100.42737709009232</c:v>
                </c:pt>
                <c:pt idx="10">
                  <c:v>100.53448132434904</c:v>
                </c:pt>
                <c:pt idx="11">
                  <c:v>100.84331586390481</c:v>
                </c:pt>
                <c:pt idx="12">
                  <c:v>100.84331586390479</c:v>
                </c:pt>
                <c:pt idx="13">
                  <c:v>100.76948673155307</c:v>
                </c:pt>
                <c:pt idx="14">
                  <c:v>100.78196489476744</c:v>
                </c:pt>
                <c:pt idx="15">
                  <c:v>100.97121703685212</c:v>
                </c:pt>
                <c:pt idx="16">
                  <c:v>101.14071208718072</c:v>
                </c:pt>
                <c:pt idx="17">
                  <c:v>101.26237417852087</c:v>
                </c:pt>
                <c:pt idx="18">
                  <c:v>101.333083770069</c:v>
                </c:pt>
                <c:pt idx="19">
                  <c:v>101.31644621911649</c:v>
                </c:pt>
                <c:pt idx="20">
                  <c:v>101.19894351551446</c:v>
                </c:pt>
                <c:pt idx="21">
                  <c:v>100.70189668080855</c:v>
                </c:pt>
                <c:pt idx="22">
                  <c:v>101.14071208718072</c:v>
                </c:pt>
                <c:pt idx="23">
                  <c:v>101.32476499459274</c:v>
                </c:pt>
                <c:pt idx="24">
                  <c:v>101.68455203394055</c:v>
                </c:pt>
                <c:pt idx="25">
                  <c:v>101.91435820647195</c:v>
                </c:pt>
                <c:pt idx="26">
                  <c:v>102.11400881790193</c:v>
                </c:pt>
                <c:pt idx="27">
                  <c:v>102.2627069295399</c:v>
                </c:pt>
                <c:pt idx="28">
                  <c:v>102.14104483819976</c:v>
                </c:pt>
                <c:pt idx="29">
                  <c:v>102.47899509192241</c:v>
                </c:pt>
                <c:pt idx="30">
                  <c:v>102.51642958156552</c:v>
                </c:pt>
                <c:pt idx="31">
                  <c:v>102.56530238748849</c:v>
                </c:pt>
                <c:pt idx="32">
                  <c:v>102.5653023874885</c:v>
                </c:pt>
                <c:pt idx="33">
                  <c:v>102.90637218201474</c:v>
                </c:pt>
                <c:pt idx="34">
                  <c:v>103.180891772731</c:v>
                </c:pt>
                <c:pt idx="35">
                  <c:v>103.3670243740121</c:v>
                </c:pt>
                <c:pt idx="36">
                  <c:v>102.74727560103148</c:v>
                </c:pt>
                <c:pt idx="37">
                  <c:v>102.85022044755007</c:v>
                </c:pt>
                <c:pt idx="38">
                  <c:v>102.46235754096992</c:v>
                </c:pt>
                <c:pt idx="39">
                  <c:v>102.52162881623821</c:v>
                </c:pt>
                <c:pt idx="40">
                  <c:v>102.04121953248476</c:v>
                </c:pt>
                <c:pt idx="41">
                  <c:v>101.68247234007148</c:v>
                </c:pt>
                <c:pt idx="42">
                  <c:v>100.91298560851837</c:v>
                </c:pt>
                <c:pt idx="43">
                  <c:v>100.76324764994587</c:v>
                </c:pt>
                <c:pt idx="44">
                  <c:v>100.97017718991758</c:v>
                </c:pt>
                <c:pt idx="45">
                  <c:v>100.43673571250305</c:v>
                </c:pt>
                <c:pt idx="46">
                  <c:v>99.601738624074471</c:v>
                </c:pt>
                <c:pt idx="47">
                  <c:v>98.519257965227453</c:v>
                </c:pt>
                <c:pt idx="48">
                  <c:v>100.11542300973291</c:v>
                </c:pt>
                <c:pt idx="49">
                  <c:v>100.2849180600615</c:v>
                </c:pt>
                <c:pt idx="50">
                  <c:v>101.54521254471337</c:v>
                </c:pt>
                <c:pt idx="51">
                  <c:v>102.84502121287741</c:v>
                </c:pt>
                <c:pt idx="52">
                  <c:v>102.06305631810993</c:v>
                </c:pt>
                <c:pt idx="53">
                  <c:v>103.69249646452036</c:v>
                </c:pt>
                <c:pt idx="54">
                  <c:v>105.67236502786785</c:v>
                </c:pt>
                <c:pt idx="55">
                  <c:v>107.91531486565172</c:v>
                </c:pt>
                <c:pt idx="56">
                  <c:v>107.70942517261454</c:v>
                </c:pt>
                <c:pt idx="57">
                  <c:v>107.43698527576736</c:v>
                </c:pt>
                <c:pt idx="58">
                  <c:v>106.38881956575987</c:v>
                </c:pt>
                <c:pt idx="59">
                  <c:v>105.08173196905412</c:v>
                </c:pt>
                <c:pt idx="60">
                  <c:v>103.43149488395305</c:v>
                </c:pt>
                <c:pt idx="61">
                  <c:v>102.45195907162461</c:v>
                </c:pt>
                <c:pt idx="62">
                  <c:v>103.20064886448711</c:v>
                </c:pt>
                <c:pt idx="63">
                  <c:v>103.0405124365693</c:v>
                </c:pt>
                <c:pt idx="64">
                  <c:v>103.72785126029446</c:v>
                </c:pt>
                <c:pt idx="65">
                  <c:v>104.26649197238163</c:v>
                </c:pt>
                <c:pt idx="66">
                  <c:v>104.68866982780132</c:v>
                </c:pt>
                <c:pt idx="67">
                  <c:v>104.78537559271271</c:v>
                </c:pt>
                <c:pt idx="68">
                  <c:v>103.91086432077195</c:v>
                </c:pt>
                <c:pt idx="69">
                  <c:v>104.14586972797601</c:v>
                </c:pt>
                <c:pt idx="70">
                  <c:v>103.44085350636382</c:v>
                </c:pt>
                <c:pt idx="71">
                  <c:v>103.26303968055898</c:v>
                </c:pt>
                <c:pt idx="72">
                  <c:v>102.79094917228181</c:v>
                </c:pt>
                <c:pt idx="73">
                  <c:v>103.41381748606602</c:v>
                </c:pt>
                <c:pt idx="74">
                  <c:v>104.05228350386821</c:v>
                </c:pt>
                <c:pt idx="75">
                  <c:v>103.78712253556276</c:v>
                </c:pt>
                <c:pt idx="76">
                  <c:v>104.02004824889777</c:v>
                </c:pt>
                <c:pt idx="77">
                  <c:v>104.35279926794776</c:v>
                </c:pt>
                <c:pt idx="78">
                  <c:v>104.51293569586556</c:v>
                </c:pt>
                <c:pt idx="79">
                  <c:v>104.53269278762167</c:v>
                </c:pt>
                <c:pt idx="80">
                  <c:v>104.42558855336496</c:v>
                </c:pt>
                <c:pt idx="81">
                  <c:v>104.09595707511855</c:v>
                </c:pt>
                <c:pt idx="82">
                  <c:v>103.92646202478996</c:v>
                </c:pt>
                <c:pt idx="83">
                  <c:v>103.6249064137759</c:v>
                </c:pt>
                <c:pt idx="84">
                  <c:v>103.0051576407953</c:v>
                </c:pt>
                <c:pt idx="85">
                  <c:v>103.08002662008154</c:v>
                </c:pt>
                <c:pt idx="86">
                  <c:v>103.54067881207888</c:v>
                </c:pt>
                <c:pt idx="87">
                  <c:v>103.76320605606857</c:v>
                </c:pt>
                <c:pt idx="88">
                  <c:v>104.15210880958325</c:v>
                </c:pt>
                <c:pt idx="89">
                  <c:v>103.92334248398639</c:v>
                </c:pt>
                <c:pt idx="90">
                  <c:v>103.75072789285421</c:v>
                </c:pt>
                <c:pt idx="91">
                  <c:v>104.25505365610186</c:v>
                </c:pt>
                <c:pt idx="92">
                  <c:v>103.93270110639718</c:v>
                </c:pt>
                <c:pt idx="93">
                  <c:v>104.28208967639966</c:v>
                </c:pt>
                <c:pt idx="94">
                  <c:v>104.5066966142584</c:v>
                </c:pt>
                <c:pt idx="95">
                  <c:v>104.43078778803763</c:v>
                </c:pt>
                <c:pt idx="96">
                  <c:v>103.6644205972881</c:v>
                </c:pt>
                <c:pt idx="97">
                  <c:v>103.32751019049999</c:v>
                </c:pt>
                <c:pt idx="98">
                  <c:v>103.08730554862328</c:v>
                </c:pt>
                <c:pt idx="99">
                  <c:v>103.35974544547047</c:v>
                </c:pt>
                <c:pt idx="100">
                  <c:v>103.85991182097999</c:v>
                </c:pt>
                <c:pt idx="101">
                  <c:v>103.85991182097999</c:v>
                </c:pt>
                <c:pt idx="102">
                  <c:v>102.86061891689548</c:v>
                </c:pt>
                <c:pt idx="103">
                  <c:v>102.99475917145001</c:v>
                </c:pt>
                <c:pt idx="104">
                  <c:v>102.27934448049253</c:v>
                </c:pt>
                <c:pt idx="105">
                  <c:v>102.24087014391486</c:v>
                </c:pt>
                <c:pt idx="106">
                  <c:v>101.68663172780971</c:v>
                </c:pt>
                <c:pt idx="107">
                  <c:v>101.52129606521925</c:v>
                </c:pt>
                <c:pt idx="108">
                  <c:v>101.10535729140675</c:v>
                </c:pt>
                <c:pt idx="109">
                  <c:v>100.47417020214628</c:v>
                </c:pt>
                <c:pt idx="110">
                  <c:v>100.75284918060066</c:v>
                </c:pt>
                <c:pt idx="111">
                  <c:v>100.40242076366364</c:v>
                </c:pt>
                <c:pt idx="112">
                  <c:v>100.10710423425677</c:v>
                </c:pt>
                <c:pt idx="113">
                  <c:v>99.718201480742081</c:v>
                </c:pt>
                <c:pt idx="114">
                  <c:v>100.57711504866488</c:v>
                </c:pt>
                <c:pt idx="115">
                  <c:v>101.20830213792533</c:v>
                </c:pt>
                <c:pt idx="116">
                  <c:v>100.5012062224441</c:v>
                </c:pt>
                <c:pt idx="117">
                  <c:v>100.7642874968805</c:v>
                </c:pt>
                <c:pt idx="118">
                  <c:v>100.98473504700112</c:v>
                </c:pt>
                <c:pt idx="119">
                  <c:v>101.26029448465189</c:v>
                </c:pt>
                <c:pt idx="120">
                  <c:v>101.44954662673659</c:v>
                </c:pt>
                <c:pt idx="121">
                  <c:v>100.83915647616675</c:v>
                </c:pt>
                <c:pt idx="122">
                  <c:v>100.45233341652113</c:v>
                </c:pt>
                <c:pt idx="123">
                  <c:v>100.9940936694119</c:v>
                </c:pt>
                <c:pt idx="124">
                  <c:v>101.27589218866987</c:v>
                </c:pt>
                <c:pt idx="125">
                  <c:v>101.29876882122956</c:v>
                </c:pt>
                <c:pt idx="126">
                  <c:v>101.39651443307548</c:v>
                </c:pt>
                <c:pt idx="127">
                  <c:v>101.23845769902672</c:v>
                </c:pt>
                <c:pt idx="128">
                  <c:v>101.03672739372769</c:v>
                </c:pt>
                <c:pt idx="129">
                  <c:v>101.17918642375848</c:v>
                </c:pt>
                <c:pt idx="130">
                  <c:v>101.17918642375848</c:v>
                </c:pt>
                <c:pt idx="131">
                  <c:v>100.5344813243491</c:v>
                </c:pt>
                <c:pt idx="132">
                  <c:v>100.6977372930705</c:v>
                </c:pt>
                <c:pt idx="133">
                  <c:v>100.2079693869063</c:v>
                </c:pt>
                <c:pt idx="134">
                  <c:v>100.50432576324771</c:v>
                </c:pt>
                <c:pt idx="135">
                  <c:v>100.4377755594377</c:v>
                </c:pt>
                <c:pt idx="136">
                  <c:v>100.22876632559692</c:v>
                </c:pt>
                <c:pt idx="137">
                  <c:v>100.02807586723237</c:v>
                </c:pt>
                <c:pt idx="138">
                  <c:v>99.851301888362073</c:v>
                </c:pt>
                <c:pt idx="139">
                  <c:v>100.13102071375097</c:v>
                </c:pt>
                <c:pt idx="140">
                  <c:v>99.683886531902544</c:v>
                </c:pt>
                <c:pt idx="141">
                  <c:v>99.577822144580352</c:v>
                </c:pt>
                <c:pt idx="142">
                  <c:v>98.836411280259583</c:v>
                </c:pt>
                <c:pt idx="143">
                  <c:v>98.704350719574094</c:v>
                </c:pt>
                <c:pt idx="144">
                  <c:v>98.410074037101751</c:v>
                </c:pt>
                <c:pt idx="145">
                  <c:v>98.137634140254576</c:v>
                </c:pt>
                <c:pt idx="146">
                  <c:v>97.33487230679647</c:v>
                </c:pt>
                <c:pt idx="147">
                  <c:v>97.382705265784907</c:v>
                </c:pt>
                <c:pt idx="148">
                  <c:v>97.160178021795232</c:v>
                </c:pt>
                <c:pt idx="149">
                  <c:v>96.730721237833833</c:v>
                </c:pt>
                <c:pt idx="150">
                  <c:v>97.060352716080232</c:v>
                </c:pt>
                <c:pt idx="151">
                  <c:v>97.253764245903056</c:v>
                </c:pt>
                <c:pt idx="152">
                  <c:v>97.119623991348519</c:v>
                </c:pt>
                <c:pt idx="153">
                  <c:v>96.570584809916042</c:v>
                </c:pt>
                <c:pt idx="154">
                  <c:v>96.485317361284487</c:v>
                </c:pt>
                <c:pt idx="155">
                  <c:v>97.154978787122616</c:v>
                </c:pt>
                <c:pt idx="156">
                  <c:v>97.323433990516662</c:v>
                </c:pt>
                <c:pt idx="157">
                  <c:v>97.355669245487135</c:v>
                </c:pt>
                <c:pt idx="158">
                  <c:v>97.156018634057148</c:v>
                </c:pt>
                <c:pt idx="159">
                  <c:v>97.061392563014806</c:v>
                </c:pt>
                <c:pt idx="160">
                  <c:v>96.820148074203544</c:v>
                </c:pt>
                <c:pt idx="161">
                  <c:v>96.572664503785106</c:v>
                </c:pt>
                <c:pt idx="162">
                  <c:v>95.96331420014981</c:v>
                </c:pt>
                <c:pt idx="163">
                  <c:v>96.612178687297302</c:v>
                </c:pt>
                <c:pt idx="164">
                  <c:v>96.506114299975124</c:v>
                </c:pt>
                <c:pt idx="165">
                  <c:v>96.986523583728541</c:v>
                </c:pt>
                <c:pt idx="166">
                  <c:v>97.037476083520573</c:v>
                </c:pt>
                <c:pt idx="167">
                  <c:v>96.756717411197158</c:v>
                </c:pt>
                <c:pt idx="168">
                  <c:v>96.732800931702926</c:v>
                </c:pt>
                <c:pt idx="169">
                  <c:v>96.712003993012303</c:v>
                </c:pt>
                <c:pt idx="170">
                  <c:v>96.07041843440652</c:v>
                </c:pt>
                <c:pt idx="171">
                  <c:v>95.812536394642777</c:v>
                </c:pt>
                <c:pt idx="172">
                  <c:v>96.021545628483565</c:v>
                </c:pt>
                <c:pt idx="173">
                  <c:v>96.538349554945597</c:v>
                </c:pt>
                <c:pt idx="174">
                  <c:v>96.430205473754356</c:v>
                </c:pt>
                <c:pt idx="175">
                  <c:v>96.403169453456542</c:v>
                </c:pt>
                <c:pt idx="176">
                  <c:v>96.403169453456542</c:v>
                </c:pt>
                <c:pt idx="177">
                  <c:v>97.147699858580893</c:v>
                </c:pt>
                <c:pt idx="178">
                  <c:v>96.959487563430741</c:v>
                </c:pt>
                <c:pt idx="179">
                  <c:v>97.034356542716992</c:v>
                </c:pt>
                <c:pt idx="180">
                  <c:v>97.057233175276664</c:v>
                </c:pt>
                <c:pt idx="181">
                  <c:v>96.768155727476994</c:v>
                </c:pt>
                <c:pt idx="182">
                  <c:v>96.731761084768408</c:v>
                </c:pt>
                <c:pt idx="183">
                  <c:v>96.883578737209973</c:v>
                </c:pt>
                <c:pt idx="184">
                  <c:v>96.621537309708089</c:v>
                </c:pt>
                <c:pt idx="185">
                  <c:v>96.609059146493706</c:v>
                </c:pt>
                <c:pt idx="186">
                  <c:v>97.370227102570581</c:v>
                </c:pt>
                <c:pt idx="187">
                  <c:v>97.72273521337668</c:v>
                </c:pt>
                <c:pt idx="188">
                  <c:v>98.159470925879802</c:v>
                </c:pt>
                <c:pt idx="189">
                  <c:v>98.117877048498556</c:v>
                </c:pt>
                <c:pt idx="190">
                  <c:v>98.418392812578091</c:v>
                </c:pt>
                <c:pt idx="191">
                  <c:v>98.025330671325293</c:v>
                </c:pt>
                <c:pt idx="192">
                  <c:v>97.636427917810593</c:v>
                </c:pt>
                <c:pt idx="193">
                  <c:v>97.638507611679671</c:v>
                </c:pt>
                <c:pt idx="194">
                  <c:v>97.459653938940292</c:v>
                </c:pt>
                <c:pt idx="195">
                  <c:v>97.614591132185453</c:v>
                </c:pt>
                <c:pt idx="196">
                  <c:v>97.256883786706709</c:v>
                </c:pt>
                <c:pt idx="197">
                  <c:v>97.453414857333115</c:v>
                </c:pt>
                <c:pt idx="198">
                  <c:v>97.38478495965407</c:v>
                </c:pt>
                <c:pt idx="199">
                  <c:v>97.353589551618128</c:v>
                </c:pt>
                <c:pt idx="200">
                  <c:v>96.747358788786414</c:v>
                </c:pt>
                <c:pt idx="201">
                  <c:v>96.774394809084228</c:v>
                </c:pt>
                <c:pt idx="202">
                  <c:v>97.226728225605314</c:v>
                </c:pt>
                <c:pt idx="203">
                  <c:v>97.065551950752976</c:v>
                </c:pt>
                <c:pt idx="204">
                  <c:v>97.567798020131562</c:v>
                </c:pt>
                <c:pt idx="205">
                  <c:v>97.375426337243297</c:v>
                </c:pt>
                <c:pt idx="206">
                  <c:v>97.115464603610491</c:v>
                </c:pt>
                <c:pt idx="207">
                  <c:v>96.722402462357692</c:v>
                </c:pt>
                <c:pt idx="208">
                  <c:v>96.252391647949565</c:v>
                </c:pt>
                <c:pt idx="209">
                  <c:v>96.631935779053464</c:v>
                </c:pt>
                <c:pt idx="210">
                  <c:v>96.425006239081753</c:v>
                </c:pt>
                <c:pt idx="211">
                  <c:v>96.715123533815969</c:v>
                </c:pt>
                <c:pt idx="212">
                  <c:v>96.598660677148473</c:v>
                </c:pt>
                <c:pt idx="213">
                  <c:v>97.099866899592527</c:v>
                </c:pt>
                <c:pt idx="214">
                  <c:v>97.68530072373359</c:v>
                </c:pt>
                <c:pt idx="215">
                  <c:v>97.752890774478146</c:v>
                </c:pt>
                <c:pt idx="216">
                  <c:v>97.854795774062197</c:v>
                </c:pt>
                <c:pt idx="217">
                  <c:v>97.256883786706737</c:v>
                </c:pt>
                <c:pt idx="218">
                  <c:v>97.101946593461591</c:v>
                </c:pt>
                <c:pt idx="219">
                  <c:v>96.171283587056152</c:v>
                </c:pt>
                <c:pt idx="220">
                  <c:v>95.868688129107554</c:v>
                </c:pt>
                <c:pt idx="221">
                  <c:v>96.378213127027877</c:v>
                </c:pt>
                <c:pt idx="222">
                  <c:v>96.400049912653046</c:v>
                </c:pt>
                <c:pt idx="223">
                  <c:v>96.699525829798048</c:v>
                </c:pt>
                <c:pt idx="224">
                  <c:v>96.617377921970075</c:v>
                </c:pt>
                <c:pt idx="225">
                  <c:v>96.402129606522109</c:v>
                </c:pt>
                <c:pt idx="226">
                  <c:v>96.269029198902118</c:v>
                </c:pt>
                <c:pt idx="227">
                  <c:v>96.02778471009087</c:v>
                </c:pt>
                <c:pt idx="228">
                  <c:v>95.937318026786656</c:v>
                </c:pt>
                <c:pt idx="229">
                  <c:v>95.90924215955431</c:v>
                </c:pt>
                <c:pt idx="230">
                  <c:v>96.01426669994197</c:v>
                </c:pt>
                <c:pt idx="231">
                  <c:v>96.117211546460553</c:v>
                </c:pt>
                <c:pt idx="232">
                  <c:v>95.837492721071669</c:v>
                </c:pt>
                <c:pt idx="233">
                  <c:v>95.56817236502809</c:v>
                </c:pt>
                <c:pt idx="234">
                  <c:v>95.56817236502809</c:v>
                </c:pt>
                <c:pt idx="235">
                  <c:v>95.39659762083042</c:v>
                </c:pt>
                <c:pt idx="236">
                  <c:v>95.449629814491516</c:v>
                </c:pt>
                <c:pt idx="237">
                  <c:v>94.862116296481375</c:v>
                </c:pt>
                <c:pt idx="238">
                  <c:v>94.680143082938415</c:v>
                </c:pt>
                <c:pt idx="239">
                  <c:v>94.256925380584178</c:v>
                </c:pt>
                <c:pt idx="240">
                  <c:v>94.219490890941046</c:v>
                </c:pt>
                <c:pt idx="241">
                  <c:v>94.316196655852451</c:v>
                </c:pt>
                <c:pt idx="242">
                  <c:v>94.501289410199007</c:v>
                </c:pt>
                <c:pt idx="243">
                  <c:v>94.637509358622594</c:v>
                </c:pt>
                <c:pt idx="244">
                  <c:v>94.367149155644469</c:v>
                </c:pt>
                <c:pt idx="245">
                  <c:v>94.54704267531838</c:v>
                </c:pt>
                <c:pt idx="246">
                  <c:v>94.267323849929468</c:v>
                </c:pt>
                <c:pt idx="247">
                  <c:v>93.969927626653529</c:v>
                </c:pt>
                <c:pt idx="248">
                  <c:v>93.92625405540322</c:v>
                </c:pt>
                <c:pt idx="249">
                  <c:v>93.280509109059338</c:v>
                </c:pt>
                <c:pt idx="250">
                  <c:v>93.503036353049012</c:v>
                </c:pt>
                <c:pt idx="251">
                  <c:v>93.496797271441821</c:v>
                </c:pt>
                <c:pt idx="252">
                  <c:v>94.117585891356967</c:v>
                </c:pt>
                <c:pt idx="253">
                  <c:v>93.904417269778065</c:v>
                </c:pt>
                <c:pt idx="254">
                  <c:v>93.809791198735738</c:v>
                </c:pt>
                <c:pt idx="255">
                  <c:v>93.835787372099006</c:v>
                </c:pt>
                <c:pt idx="256">
                  <c:v>93.464562016471348</c:v>
                </c:pt>
                <c:pt idx="257">
                  <c:v>93.184843191082464</c:v>
                </c:pt>
                <c:pt idx="258">
                  <c:v>93.439605690042598</c:v>
                </c:pt>
                <c:pt idx="259">
                  <c:v>93.398011812661366</c:v>
                </c:pt>
                <c:pt idx="260">
                  <c:v>92.950877630812926</c:v>
                </c:pt>
                <c:pt idx="261">
                  <c:v>93.047583395724331</c:v>
                </c:pt>
                <c:pt idx="262">
                  <c:v>93.348099159803851</c:v>
                </c:pt>
                <c:pt idx="263">
                  <c:v>93.63613676066899</c:v>
                </c:pt>
                <c:pt idx="264">
                  <c:v>94.025039514183675</c:v>
                </c:pt>
                <c:pt idx="265">
                  <c:v>93.631977372930862</c:v>
                </c:pt>
                <c:pt idx="266">
                  <c:v>93.912736045254292</c:v>
                </c:pt>
                <c:pt idx="267">
                  <c:v>93.782755178437881</c:v>
                </c:pt>
                <c:pt idx="268">
                  <c:v>94.342192829215705</c:v>
                </c:pt>
                <c:pt idx="269">
                  <c:v>94.342192829215705</c:v>
                </c:pt>
                <c:pt idx="270">
                  <c:v>94.049995840612425</c:v>
                </c:pt>
                <c:pt idx="271">
                  <c:v>94.042716912070702</c:v>
                </c:pt>
                <c:pt idx="272">
                  <c:v>93.687089260461008</c:v>
                </c:pt>
                <c:pt idx="273">
                  <c:v>93.775476249896158</c:v>
                </c:pt>
                <c:pt idx="274">
                  <c:v>93.942891606355687</c:v>
                </c:pt>
                <c:pt idx="275">
                  <c:v>93.708926046086148</c:v>
                </c:pt>
                <c:pt idx="276">
                  <c:v>94.215331503202876</c:v>
                </c:pt>
                <c:pt idx="277">
                  <c:v>94.004242575493024</c:v>
                </c:pt>
                <c:pt idx="278">
                  <c:v>94.147741452458348</c:v>
                </c:pt>
                <c:pt idx="279">
                  <c:v>94.563680226270833</c:v>
                </c:pt>
                <c:pt idx="280">
                  <c:v>94.787247317195039</c:v>
                </c:pt>
                <c:pt idx="281">
                  <c:v>94.753972215290048</c:v>
                </c:pt>
                <c:pt idx="282">
                  <c:v>95.14079527493567</c:v>
                </c:pt>
                <c:pt idx="283">
                  <c:v>94.633349970884424</c:v>
                </c:pt>
                <c:pt idx="284">
                  <c:v>94.515847267282396</c:v>
                </c:pt>
                <c:pt idx="285">
                  <c:v>94.001123034689428</c:v>
                </c:pt>
                <c:pt idx="286">
                  <c:v>93.927293902337723</c:v>
                </c:pt>
                <c:pt idx="287">
                  <c:v>93.979286249064288</c:v>
                </c:pt>
                <c:pt idx="288">
                  <c:v>94.03855752433256</c:v>
                </c:pt>
                <c:pt idx="289">
                  <c:v>94.038557524332575</c:v>
                </c:pt>
                <c:pt idx="290">
                  <c:v>94.078071707844771</c:v>
                </c:pt>
                <c:pt idx="291">
                  <c:v>94.541843440645707</c:v>
                </c:pt>
                <c:pt idx="292">
                  <c:v>94.178936860494289</c:v>
                </c:pt>
                <c:pt idx="293">
                  <c:v>93.942891606355701</c:v>
                </c:pt>
                <c:pt idx="294">
                  <c:v>93.564387322186334</c:v>
                </c:pt>
                <c:pt idx="295">
                  <c:v>93.733882372514927</c:v>
                </c:pt>
                <c:pt idx="296">
                  <c:v>93.737001913318508</c:v>
                </c:pt>
                <c:pt idx="297">
                  <c:v>93.711005739955226</c:v>
                </c:pt>
                <c:pt idx="298">
                  <c:v>94.482572165377391</c:v>
                </c:pt>
                <c:pt idx="299">
                  <c:v>94.644788287164275</c:v>
                </c:pt>
                <c:pt idx="300">
                  <c:v>94.39730471674585</c:v>
                </c:pt>
                <c:pt idx="301">
                  <c:v>94.550162216121947</c:v>
                </c:pt>
                <c:pt idx="302">
                  <c:v>95.274935529490207</c:v>
                </c:pt>
                <c:pt idx="303">
                  <c:v>95.654479660594106</c:v>
                </c:pt>
                <c:pt idx="304">
                  <c:v>96.023625322352686</c:v>
                </c:pt>
                <c:pt idx="305">
                  <c:v>95.624324099492696</c:v>
                </c:pt>
                <c:pt idx="306">
                  <c:v>95.487064304134577</c:v>
                </c:pt>
                <c:pt idx="307">
                  <c:v>95.057607520173178</c:v>
                </c:pt>
                <c:pt idx="308">
                  <c:v>95.330047417020367</c:v>
                </c:pt>
                <c:pt idx="309">
                  <c:v>95.491223691872705</c:v>
                </c:pt>
                <c:pt idx="310">
                  <c:v>95.520339406039582</c:v>
                </c:pt>
                <c:pt idx="311">
                  <c:v>95.055527826304129</c:v>
                </c:pt>
                <c:pt idx="312">
                  <c:v>95.504741702021633</c:v>
                </c:pt>
                <c:pt idx="313">
                  <c:v>95.567132518093516</c:v>
                </c:pt>
                <c:pt idx="314">
                  <c:v>95.375800682139754</c:v>
                </c:pt>
                <c:pt idx="315">
                  <c:v>96.006987771400219</c:v>
                </c:pt>
                <c:pt idx="316">
                  <c:v>96.196239913484902</c:v>
                </c:pt>
                <c:pt idx="317">
                  <c:v>96.504034606106146</c:v>
                </c:pt>
                <c:pt idx="318">
                  <c:v>96.451002412445064</c:v>
                </c:pt>
                <c:pt idx="319">
                  <c:v>96.639214707595244</c:v>
                </c:pt>
                <c:pt idx="320">
                  <c:v>97.018758838699128</c:v>
                </c:pt>
                <c:pt idx="321">
                  <c:v>96.935571083936637</c:v>
                </c:pt>
                <c:pt idx="322">
                  <c:v>96.635055319857102</c:v>
                </c:pt>
                <c:pt idx="323">
                  <c:v>96.743199401048344</c:v>
                </c:pt>
                <c:pt idx="324">
                  <c:v>96.274228433574748</c:v>
                </c:pt>
                <c:pt idx="325">
                  <c:v>96.012187006072878</c:v>
                </c:pt>
                <c:pt idx="326">
                  <c:v>96.141128025954742</c:v>
                </c:pt>
                <c:pt idx="327">
                  <c:v>95.722069711338676</c:v>
                </c:pt>
                <c:pt idx="328">
                  <c:v>95.821895017053677</c:v>
                </c:pt>
                <c:pt idx="329">
                  <c:v>95.800058231428523</c:v>
                </c:pt>
                <c:pt idx="330">
                  <c:v>95.493303385741811</c:v>
                </c:pt>
                <c:pt idx="331">
                  <c:v>95.316529406871496</c:v>
                </c:pt>
                <c:pt idx="332">
                  <c:v>95.253098743865095</c:v>
                </c:pt>
                <c:pt idx="333">
                  <c:v>95.176150070709781</c:v>
                </c:pt>
                <c:pt idx="334">
                  <c:v>94.667664919724004</c:v>
                </c:pt>
                <c:pt idx="335">
                  <c:v>94.846518592463369</c:v>
                </c:pt>
                <c:pt idx="336">
                  <c:v>94.748772980617431</c:v>
                </c:pt>
                <c:pt idx="337">
                  <c:v>94.944264204309292</c:v>
                </c:pt>
                <c:pt idx="338">
                  <c:v>94.448257216537883</c:v>
                </c:pt>
                <c:pt idx="339">
                  <c:v>94.376507778055242</c:v>
                </c:pt>
                <c:pt idx="340">
                  <c:v>94.492970634722738</c:v>
                </c:pt>
                <c:pt idx="341">
                  <c:v>94.182056401297899</c:v>
                </c:pt>
                <c:pt idx="342">
                  <c:v>94.182056401297899</c:v>
                </c:pt>
                <c:pt idx="343">
                  <c:v>94.87979369436836</c:v>
                </c:pt>
                <c:pt idx="344">
                  <c:v>94.527285583562261</c:v>
                </c:pt>
                <c:pt idx="345">
                  <c:v>94.882913235171955</c:v>
                </c:pt>
                <c:pt idx="346">
                  <c:v>94.899550786124465</c:v>
                </c:pt>
                <c:pt idx="347">
                  <c:v>94.533524665169466</c:v>
                </c:pt>
                <c:pt idx="348">
                  <c:v>93.795233341652292</c:v>
                </c:pt>
                <c:pt idx="349">
                  <c:v>93.762998086681833</c:v>
                </c:pt>
                <c:pt idx="350">
                  <c:v>93.699567423675433</c:v>
                </c:pt>
                <c:pt idx="351">
                  <c:v>94.283961400882006</c:v>
                </c:pt>
                <c:pt idx="352">
                  <c:v>94.366109308709966</c:v>
                </c:pt>
                <c:pt idx="353">
                  <c:v>93.936652524748567</c:v>
                </c:pt>
                <c:pt idx="354">
                  <c:v>93.744280841860288</c:v>
                </c:pt>
                <c:pt idx="355">
                  <c:v>93.325222527244193</c:v>
                </c:pt>
                <c:pt idx="356">
                  <c:v>93.795233341652306</c:v>
                </c:pt>
                <c:pt idx="357">
                  <c:v>93.383453955577963</c:v>
                </c:pt>
                <c:pt idx="358">
                  <c:v>93.59974211796046</c:v>
                </c:pt>
                <c:pt idx="359">
                  <c:v>93.433366608435449</c:v>
                </c:pt>
                <c:pt idx="360">
                  <c:v>93.20460028283857</c:v>
                </c:pt>
                <c:pt idx="361">
                  <c:v>93.617419515847473</c:v>
                </c:pt>
                <c:pt idx="362">
                  <c:v>93.543590383495768</c:v>
                </c:pt>
                <c:pt idx="363">
                  <c:v>93.584144413942482</c:v>
                </c:pt>
                <c:pt idx="364">
                  <c:v>93.584144413942482</c:v>
                </c:pt>
                <c:pt idx="365">
                  <c:v>93.393852424923267</c:v>
                </c:pt>
                <c:pt idx="366">
                  <c:v>93.488478495965609</c:v>
                </c:pt>
                <c:pt idx="367">
                  <c:v>94.111346809749818</c:v>
                </c:pt>
                <c:pt idx="368">
                  <c:v>93.731802678645934</c:v>
                </c:pt>
                <c:pt idx="369">
                  <c:v>93.496797271441878</c:v>
                </c:pt>
                <c:pt idx="370">
                  <c:v>93.618459362782048</c:v>
                </c:pt>
                <c:pt idx="371">
                  <c:v>93.68292987272298</c:v>
                </c:pt>
                <c:pt idx="372">
                  <c:v>93.618459362782048</c:v>
                </c:pt>
                <c:pt idx="373">
                  <c:v>94.134223442309533</c:v>
                </c:pt>
                <c:pt idx="374">
                  <c:v>94.093669411862805</c:v>
                </c:pt>
                <c:pt idx="375">
                  <c:v>94.092629564928274</c:v>
                </c:pt>
                <c:pt idx="376">
                  <c:v>94.815323184427484</c:v>
                </c:pt>
                <c:pt idx="377">
                  <c:v>95.507861242825285</c:v>
                </c:pt>
                <c:pt idx="378">
                  <c:v>95.862449047500434</c:v>
                </c:pt>
                <c:pt idx="379">
                  <c:v>95.521379252974199</c:v>
                </c:pt>
                <c:pt idx="380">
                  <c:v>95.38619915148513</c:v>
                </c:pt>
                <c:pt idx="381">
                  <c:v>95.426753181931858</c:v>
                </c:pt>
                <c:pt idx="382">
                  <c:v>95.437151651277162</c:v>
                </c:pt>
                <c:pt idx="383">
                  <c:v>95.48810415106918</c:v>
                </c:pt>
                <c:pt idx="384">
                  <c:v>95.51618001830154</c:v>
                </c:pt>
                <c:pt idx="385">
                  <c:v>95.687754762499196</c:v>
                </c:pt>
                <c:pt idx="386">
                  <c:v>96.103693536311695</c:v>
                </c:pt>
                <c:pt idx="387">
                  <c:v>96.272148739705742</c:v>
                </c:pt>
                <c:pt idx="388">
                  <c:v>96.074577822144818</c:v>
                </c:pt>
                <c:pt idx="389">
                  <c:v>96.074577822144818</c:v>
                </c:pt>
                <c:pt idx="390">
                  <c:v>96.204558688961228</c:v>
                </c:pt>
                <c:pt idx="391">
                  <c:v>96.315822310956065</c:v>
                </c:pt>
                <c:pt idx="392">
                  <c:v>96.076657516013867</c:v>
                </c:pt>
                <c:pt idx="393">
                  <c:v>95.773022211130737</c:v>
                </c:pt>
                <c:pt idx="394">
                  <c:v>95.911321853423388</c:v>
                </c:pt>
                <c:pt idx="395">
                  <c:v>96.429165626819938</c:v>
                </c:pt>
                <c:pt idx="396">
                  <c:v>96.066259046668534</c:v>
                </c:pt>
                <c:pt idx="397">
                  <c:v>96.296065219199932</c:v>
                </c:pt>
                <c:pt idx="398">
                  <c:v>96.359495882206332</c:v>
                </c:pt>
                <c:pt idx="399">
                  <c:v>96.580983279261474</c:v>
                </c:pt>
                <c:pt idx="400">
                  <c:v>96.663131187089462</c:v>
                </c:pt>
                <c:pt idx="401">
                  <c:v>96.440603943099788</c:v>
                </c:pt>
                <c:pt idx="402">
                  <c:v>96.508193993844316</c:v>
                </c:pt>
                <c:pt idx="403">
                  <c:v>96.610098993428366</c:v>
                </c:pt>
                <c:pt idx="404">
                  <c:v>96.322061392563214</c:v>
                </c:pt>
                <c:pt idx="405">
                  <c:v>96.093295066966334</c:v>
                </c:pt>
                <c:pt idx="406">
                  <c:v>95.969553281757115</c:v>
                </c:pt>
                <c:pt idx="407">
                  <c:v>95.510980783628838</c:v>
                </c:pt>
                <c:pt idx="408">
                  <c:v>95.840612261875251</c:v>
                </c:pt>
                <c:pt idx="409">
                  <c:v>95.707511854255259</c:v>
                </c:pt>
                <c:pt idx="410">
                  <c:v>95.731428333749477</c:v>
                </c:pt>
                <c:pt idx="411">
                  <c:v>95.935238332917592</c:v>
                </c:pt>
                <c:pt idx="412">
                  <c:v>95.914441394226969</c:v>
                </c:pt>
                <c:pt idx="413">
                  <c:v>96.476998585808374</c:v>
                </c:pt>
                <c:pt idx="414">
                  <c:v>96.617377921970089</c:v>
                </c:pt>
                <c:pt idx="415">
                  <c:v>96.731761084768536</c:v>
                </c:pt>
                <c:pt idx="416">
                  <c:v>96.599700524083062</c:v>
                </c:pt>
                <c:pt idx="417">
                  <c:v>96.719282921554168</c:v>
                </c:pt>
                <c:pt idx="418">
                  <c:v>96.186881291074172</c:v>
                </c:pt>
                <c:pt idx="419">
                  <c:v>96.288786290658223</c:v>
                </c:pt>
                <c:pt idx="420">
                  <c:v>96.830546543548991</c:v>
                </c:pt>
                <c:pt idx="421">
                  <c:v>96.834705931287118</c:v>
                </c:pt>
                <c:pt idx="422">
                  <c:v>97.29639797021899</c:v>
                </c:pt>
                <c:pt idx="423">
                  <c:v>97.218409450129144</c:v>
                </c:pt>
                <c:pt idx="424">
                  <c:v>96.654812411613207</c:v>
                </c:pt>
                <c:pt idx="425">
                  <c:v>96.58722236086868</c:v>
                </c:pt>
                <c:pt idx="426">
                  <c:v>96.518592463189606</c:v>
                </c:pt>
                <c:pt idx="427">
                  <c:v>96.776474502953349</c:v>
                </c:pt>
                <c:pt idx="428">
                  <c:v>96.388611596373195</c:v>
                </c:pt>
                <c:pt idx="429">
                  <c:v>96.349097412861013</c:v>
                </c:pt>
                <c:pt idx="430">
                  <c:v>96.326220780301341</c:v>
                </c:pt>
                <c:pt idx="431">
                  <c:v>96.138008485151175</c:v>
                </c:pt>
                <c:pt idx="432">
                  <c:v>95.908202312619792</c:v>
                </c:pt>
                <c:pt idx="433">
                  <c:v>95.685675068630104</c:v>
                </c:pt>
                <c:pt idx="434">
                  <c:v>95.685675068630104</c:v>
                </c:pt>
                <c:pt idx="435">
                  <c:v>96.195200066550399</c:v>
                </c:pt>
                <c:pt idx="436">
                  <c:v>96.335579402712128</c:v>
                </c:pt>
                <c:pt idx="437">
                  <c:v>96.158805423841827</c:v>
                </c:pt>
                <c:pt idx="438">
                  <c:v>96.262790117294941</c:v>
                </c:pt>
                <c:pt idx="439">
                  <c:v>96.341818484319319</c:v>
                </c:pt>
                <c:pt idx="440">
                  <c:v>96.236793943931673</c:v>
                </c:pt>
                <c:pt idx="441">
                  <c:v>96.158805423841812</c:v>
                </c:pt>
                <c:pt idx="442">
                  <c:v>96.559146493636334</c:v>
                </c:pt>
                <c:pt idx="443">
                  <c:v>96.831586390483508</c:v>
                </c:pt>
                <c:pt idx="444">
                  <c:v>96.914774145246014</c:v>
                </c:pt>
                <c:pt idx="445">
                  <c:v>96.856542716912273</c:v>
                </c:pt>
                <c:pt idx="446">
                  <c:v>97.11130521587242</c:v>
                </c:pt>
                <c:pt idx="447">
                  <c:v>96.674569503369298</c:v>
                </c:pt>
                <c:pt idx="448">
                  <c:v>96.991722818401328</c:v>
                </c:pt>
                <c:pt idx="449">
                  <c:v>97.039555777389751</c:v>
                </c:pt>
                <c:pt idx="450">
                  <c:v>97.444056234922414</c:v>
                </c:pt>
                <c:pt idx="451">
                  <c:v>98.050286997754128</c:v>
                </c:pt>
                <c:pt idx="452">
                  <c:v>97.932784294152086</c:v>
                </c:pt>
                <c:pt idx="453">
                  <c:v>97.732093835787552</c:v>
                </c:pt>
                <c:pt idx="454">
                  <c:v>97.459653938940377</c:v>
                </c:pt>
                <c:pt idx="455">
                  <c:v>97.65410531569772</c:v>
                </c:pt>
                <c:pt idx="456">
                  <c:v>97.976457865402395</c:v>
                </c:pt>
                <c:pt idx="457">
                  <c:v>97.913027202395995</c:v>
                </c:pt>
                <c:pt idx="458">
                  <c:v>97.760169703019898</c:v>
                </c:pt>
                <c:pt idx="459">
                  <c:v>98.027410365194427</c:v>
                </c:pt>
                <c:pt idx="460">
                  <c:v>98.228100823558947</c:v>
                </c:pt>
                <c:pt idx="461">
                  <c:v>97.771608019299748</c:v>
                </c:pt>
                <c:pt idx="462">
                  <c:v>97.653065468763174</c:v>
                </c:pt>
                <c:pt idx="463">
                  <c:v>97.623949754596296</c:v>
                </c:pt>
                <c:pt idx="464">
                  <c:v>97.631228683138019</c:v>
                </c:pt>
                <c:pt idx="465">
                  <c:v>97.410781133017394</c:v>
                </c:pt>
                <c:pt idx="466">
                  <c:v>97.210090674652875</c:v>
                </c:pt>
                <c:pt idx="467">
                  <c:v>97.441976541053336</c:v>
                </c:pt>
                <c:pt idx="468">
                  <c:v>97.303676898760699</c:v>
                </c:pt>
                <c:pt idx="469">
                  <c:v>97.489809500041787</c:v>
                </c:pt>
                <c:pt idx="470">
                  <c:v>97.616670826054602</c:v>
                </c:pt>
                <c:pt idx="471">
                  <c:v>97.478371183761922</c:v>
                </c:pt>
                <c:pt idx="472">
                  <c:v>96.982364195990527</c:v>
                </c:pt>
                <c:pt idx="473">
                  <c:v>97.809042508942866</c:v>
                </c:pt>
                <c:pt idx="474">
                  <c:v>97.56259878545896</c:v>
                </c:pt>
                <c:pt idx="475">
                  <c:v>97.770568172365216</c:v>
                </c:pt>
                <c:pt idx="476">
                  <c:v>97.540761999833805</c:v>
                </c:pt>
                <c:pt idx="477">
                  <c:v>98.037808834539746</c:v>
                </c:pt>
                <c:pt idx="478">
                  <c:v>98.007653273438322</c:v>
                </c:pt>
                <c:pt idx="479">
                  <c:v>97.726894601114907</c:v>
                </c:pt>
                <c:pt idx="480">
                  <c:v>97.637467764745224</c:v>
                </c:pt>
                <c:pt idx="481">
                  <c:v>98.549413526329118</c:v>
                </c:pt>
                <c:pt idx="482">
                  <c:v>98.905041177938813</c:v>
                </c:pt>
                <c:pt idx="483">
                  <c:v>98.850969137343199</c:v>
                </c:pt>
                <c:pt idx="484">
                  <c:v>99.139006738208352</c:v>
                </c:pt>
                <c:pt idx="485">
                  <c:v>99.670368521753815</c:v>
                </c:pt>
                <c:pt idx="486">
                  <c:v>99.579901838449601</c:v>
                </c:pt>
                <c:pt idx="487">
                  <c:v>99.281465768239144</c:v>
                </c:pt>
                <c:pt idx="488">
                  <c:v>99.781632143748666</c:v>
                </c:pt>
                <c:pt idx="489">
                  <c:v>100.31819316196679</c:v>
                </c:pt>
                <c:pt idx="490">
                  <c:v>100.26620081524024</c:v>
                </c:pt>
                <c:pt idx="491">
                  <c:v>100.65926295649304</c:v>
                </c:pt>
                <c:pt idx="492">
                  <c:v>100.65926295649305</c:v>
                </c:pt>
                <c:pt idx="493">
                  <c:v>99.860660510773059</c:v>
                </c:pt>
                <c:pt idx="494">
                  <c:v>100.10398469345336</c:v>
                </c:pt>
                <c:pt idx="495">
                  <c:v>99.759795358123512</c:v>
                </c:pt>
                <c:pt idx="496">
                  <c:v>99.787871225355858</c:v>
                </c:pt>
                <c:pt idx="497">
                  <c:v>99.937609183928359</c:v>
                </c:pt>
                <c:pt idx="498">
                  <c:v>99.90225438815429</c:v>
                </c:pt>
                <c:pt idx="499">
                  <c:v>100.14245903003102</c:v>
                </c:pt>
                <c:pt idx="500">
                  <c:v>100.18405290741225</c:v>
                </c:pt>
                <c:pt idx="501">
                  <c:v>99.684926378837247</c:v>
                </c:pt>
                <c:pt idx="502">
                  <c:v>100.06655020381022</c:v>
                </c:pt>
                <c:pt idx="503">
                  <c:v>99.90225438815429</c:v>
                </c:pt>
                <c:pt idx="504">
                  <c:v>100.10814408119148</c:v>
                </c:pt>
                <c:pt idx="505">
                  <c:v>100.35874719241352</c:v>
                </c:pt>
                <c:pt idx="506">
                  <c:v>100.31091423342507</c:v>
                </c:pt>
                <c:pt idx="507">
                  <c:v>99.804508776308367</c:v>
                </c:pt>
                <c:pt idx="508">
                  <c:v>100.35874719241352</c:v>
                </c:pt>
                <c:pt idx="509">
                  <c:v>100.36082688628257</c:v>
                </c:pt>
                <c:pt idx="510">
                  <c:v>100.29739622327615</c:v>
                </c:pt>
                <c:pt idx="511">
                  <c:v>99.865859745445704</c:v>
                </c:pt>
                <c:pt idx="512">
                  <c:v>99.778512602945071</c:v>
                </c:pt>
                <c:pt idx="513">
                  <c:v>99.878337908660072</c:v>
                </c:pt>
                <c:pt idx="514">
                  <c:v>100.00000000000023</c:v>
                </c:pt>
                <c:pt idx="515">
                  <c:v>99.706763164462416</c:v>
                </c:pt>
                <c:pt idx="516">
                  <c:v>99.741078113301953</c:v>
                </c:pt>
                <c:pt idx="517">
                  <c:v>99.360494135263522</c:v>
                </c:pt>
                <c:pt idx="518">
                  <c:v>99.997920306131164</c:v>
                </c:pt>
                <c:pt idx="519">
                  <c:v>100.06343066300663</c:v>
                </c:pt>
                <c:pt idx="520">
                  <c:v>99.957366275684436</c:v>
                </c:pt>
                <c:pt idx="521">
                  <c:v>100.11750270360226</c:v>
                </c:pt>
                <c:pt idx="522">
                  <c:v>99.484235920472713</c:v>
                </c:pt>
                <c:pt idx="523">
                  <c:v>99.757715664254448</c:v>
                </c:pt>
                <c:pt idx="524">
                  <c:v>99.37297229847789</c:v>
                </c:pt>
                <c:pt idx="525">
                  <c:v>98.625322352549944</c:v>
                </c:pt>
                <c:pt idx="526">
                  <c:v>98.489102404126356</c:v>
                </c:pt>
                <c:pt idx="527">
                  <c:v>98.895682555528055</c:v>
                </c:pt>
                <c:pt idx="528">
                  <c:v>98.895682555528055</c:v>
                </c:pt>
                <c:pt idx="529">
                  <c:v>99.46967806338931</c:v>
                </c:pt>
                <c:pt idx="530">
                  <c:v>99.242991431661494</c:v>
                </c:pt>
                <c:pt idx="531">
                  <c:v>99.466558522585728</c:v>
                </c:pt>
                <c:pt idx="532">
                  <c:v>99.374012145412465</c:v>
                </c:pt>
                <c:pt idx="533">
                  <c:v>99.654770817735908</c:v>
                </c:pt>
                <c:pt idx="534">
                  <c:v>99.682846684968254</c:v>
                </c:pt>
                <c:pt idx="535">
                  <c:v>100.173654438067</c:v>
                </c:pt>
                <c:pt idx="536">
                  <c:v>101.02840861825169</c:v>
                </c:pt>
                <c:pt idx="537">
                  <c:v>101.04816571000779</c:v>
                </c:pt>
                <c:pt idx="538">
                  <c:v>100.30571499875249</c:v>
                </c:pt>
                <c:pt idx="539">
                  <c:v>100.14245903003109</c:v>
                </c:pt>
                <c:pt idx="540">
                  <c:v>99.674527909492028</c:v>
                </c:pt>
                <c:pt idx="541">
                  <c:v>99.122369187255941</c:v>
                </c:pt>
                <c:pt idx="542">
                  <c:v>99.211796023625638</c:v>
                </c:pt>
                <c:pt idx="543">
                  <c:v>99.125488728059537</c:v>
                </c:pt>
                <c:pt idx="544">
                  <c:v>99.374012145412493</c:v>
                </c:pt>
                <c:pt idx="545">
                  <c:v>99.22635388070907</c:v>
                </c:pt>
                <c:pt idx="546">
                  <c:v>99.261708676483124</c:v>
                </c:pt>
                <c:pt idx="547">
                  <c:v>99.823226021130012</c:v>
                </c:pt>
                <c:pt idx="548">
                  <c:v>100.12790117294765</c:v>
                </c:pt>
                <c:pt idx="549">
                  <c:v>99.745237501040151</c:v>
                </c:pt>
                <c:pt idx="550">
                  <c:v>99.437442808418893</c:v>
                </c:pt>
                <c:pt idx="551">
                  <c:v>99.537268114133894</c:v>
                </c:pt>
                <c:pt idx="552">
                  <c:v>99.775393062141546</c:v>
                </c:pt>
                <c:pt idx="553">
                  <c:v>99.783711837617787</c:v>
                </c:pt>
                <c:pt idx="554">
                  <c:v>99.758755511189065</c:v>
                </c:pt>
                <c:pt idx="555">
                  <c:v>99.927210714583126</c:v>
                </c:pt>
                <c:pt idx="556">
                  <c:v>100.90986606771514</c:v>
                </c:pt>
                <c:pt idx="557">
                  <c:v>100.39098244738405</c:v>
                </c:pt>
                <c:pt idx="558">
                  <c:v>100.46897096747388</c:v>
                </c:pt>
                <c:pt idx="559">
                  <c:v>101.25405540304496</c:v>
                </c:pt>
                <c:pt idx="560">
                  <c:v>101.28525081108089</c:v>
                </c:pt>
                <c:pt idx="561">
                  <c:v>101.68975126861355</c:v>
                </c:pt>
                <c:pt idx="562">
                  <c:v>102.60273687713199</c:v>
                </c:pt>
                <c:pt idx="563">
                  <c:v>103.3982197820484</c:v>
                </c:pt>
                <c:pt idx="564">
                  <c:v>103.2256051909162</c:v>
                </c:pt>
                <c:pt idx="565">
                  <c:v>101.9767490225442</c:v>
                </c:pt>
                <c:pt idx="566">
                  <c:v>102.48419432659544</c:v>
                </c:pt>
                <c:pt idx="567">
                  <c:v>103.135138507612</c:v>
                </c:pt>
                <c:pt idx="568">
                  <c:v>102.96980284502152</c:v>
                </c:pt>
                <c:pt idx="569">
                  <c:v>102.82422427418715</c:v>
                </c:pt>
                <c:pt idx="570">
                  <c:v>102.3167789701359</c:v>
                </c:pt>
                <c:pt idx="571">
                  <c:v>101.6606355544467</c:v>
                </c:pt>
                <c:pt idx="572">
                  <c:v>101.93307545129389</c:v>
                </c:pt>
                <c:pt idx="573">
                  <c:v>102.20031611346842</c:v>
                </c:pt>
                <c:pt idx="574">
                  <c:v>102.21487397055185</c:v>
                </c:pt>
                <c:pt idx="575">
                  <c:v>102.3001414191834</c:v>
                </c:pt>
                <c:pt idx="576">
                  <c:v>102.49251310207168</c:v>
                </c:pt>
                <c:pt idx="577">
                  <c:v>102.51019049995871</c:v>
                </c:pt>
                <c:pt idx="578">
                  <c:v>102.74727560103184</c:v>
                </c:pt>
                <c:pt idx="579">
                  <c:v>102.10880958322966</c:v>
                </c:pt>
                <c:pt idx="580">
                  <c:v>101.52025621828497</c:v>
                </c:pt>
                <c:pt idx="581">
                  <c:v>102.02458198153261</c:v>
                </c:pt>
                <c:pt idx="582">
                  <c:v>102.29702187837978</c:v>
                </c:pt>
                <c:pt idx="583">
                  <c:v>102.66304799933478</c:v>
                </c:pt>
                <c:pt idx="584">
                  <c:v>103.12474003826665</c:v>
                </c:pt>
                <c:pt idx="585">
                  <c:v>103.27759753764272</c:v>
                </c:pt>
                <c:pt idx="586">
                  <c:v>103.469969220531</c:v>
                </c:pt>
                <c:pt idx="587">
                  <c:v>103.45437151651304</c:v>
                </c:pt>
                <c:pt idx="588">
                  <c:v>103.63530488312148</c:v>
                </c:pt>
                <c:pt idx="589">
                  <c:v>104.02836702437429</c:v>
                </c:pt>
                <c:pt idx="590">
                  <c:v>103.63426503618695</c:v>
                </c:pt>
                <c:pt idx="591">
                  <c:v>104.0481241161304</c:v>
                </c:pt>
                <c:pt idx="592">
                  <c:v>104.51085600199679</c:v>
                </c:pt>
                <c:pt idx="593">
                  <c:v>104.70634722568866</c:v>
                </c:pt>
                <c:pt idx="594">
                  <c:v>104.1323517178274</c:v>
                </c:pt>
                <c:pt idx="595">
                  <c:v>104.33720156393007</c:v>
                </c:pt>
                <c:pt idx="596">
                  <c:v>104.96006987771428</c:v>
                </c:pt>
                <c:pt idx="597">
                  <c:v>105.53822477331363</c:v>
                </c:pt>
                <c:pt idx="598">
                  <c:v>106.14029614840722</c:v>
                </c:pt>
                <c:pt idx="599">
                  <c:v>106.7850012478166</c:v>
                </c:pt>
                <c:pt idx="600">
                  <c:v>107.50873471425034</c:v>
                </c:pt>
                <c:pt idx="601">
                  <c:v>106.80059895183456</c:v>
                </c:pt>
                <c:pt idx="602">
                  <c:v>107.6511937442811</c:v>
                </c:pt>
                <c:pt idx="603">
                  <c:v>107.33923966392173</c:v>
                </c:pt>
                <c:pt idx="604">
                  <c:v>106.4324931370105</c:v>
                </c:pt>
                <c:pt idx="605">
                  <c:v>107.68862823392423</c:v>
                </c:pt>
                <c:pt idx="606">
                  <c:v>107.61271940770347</c:v>
                </c:pt>
                <c:pt idx="607">
                  <c:v>107.62831711172144</c:v>
                </c:pt>
                <c:pt idx="608">
                  <c:v>107.88723899841972</c:v>
                </c:pt>
                <c:pt idx="609">
                  <c:v>107.78429415190112</c:v>
                </c:pt>
                <c:pt idx="610">
                  <c:v>108.85325680059924</c:v>
                </c:pt>
                <c:pt idx="611">
                  <c:v>108.5558605773233</c:v>
                </c:pt>
                <c:pt idx="612">
                  <c:v>108.16487812993955</c:v>
                </c:pt>
                <c:pt idx="613">
                  <c:v>107.29348639880239</c:v>
                </c:pt>
                <c:pt idx="614">
                  <c:v>107.81340986606801</c:v>
                </c:pt>
                <c:pt idx="615">
                  <c:v>106.66853839114913</c:v>
                </c:pt>
                <c:pt idx="616">
                  <c:v>107.11255303219396</c:v>
                </c:pt>
                <c:pt idx="617">
                  <c:v>105.97288079194773</c:v>
                </c:pt>
                <c:pt idx="618">
                  <c:v>105.71083936444586</c:v>
                </c:pt>
                <c:pt idx="619">
                  <c:v>105.9416853839118</c:v>
                </c:pt>
                <c:pt idx="620">
                  <c:v>105.71915813992211</c:v>
                </c:pt>
                <c:pt idx="621">
                  <c:v>105.54758339572444</c:v>
                </c:pt>
                <c:pt idx="622">
                  <c:v>105.10772814241773</c:v>
                </c:pt>
                <c:pt idx="623">
                  <c:v>105.61309375259992</c:v>
                </c:pt>
                <c:pt idx="624">
                  <c:v>106.38050079028397</c:v>
                </c:pt>
                <c:pt idx="625">
                  <c:v>105.66612594626102</c:v>
                </c:pt>
                <c:pt idx="626">
                  <c:v>106.01343482239444</c:v>
                </c:pt>
                <c:pt idx="627">
                  <c:v>106.3711421678732</c:v>
                </c:pt>
                <c:pt idx="628">
                  <c:v>106.24636053572945</c:v>
                </c:pt>
                <c:pt idx="629">
                  <c:v>106.48656517760618</c:v>
                </c:pt>
                <c:pt idx="630">
                  <c:v>107.18846185841477</c:v>
                </c:pt>
                <c:pt idx="631">
                  <c:v>108.15759920139787</c:v>
                </c:pt>
                <c:pt idx="632">
                  <c:v>109.14857333000614</c:v>
                </c:pt>
                <c:pt idx="633">
                  <c:v>109.17560935030397</c:v>
                </c:pt>
                <c:pt idx="634">
                  <c:v>108.77318858664039</c:v>
                </c:pt>
                <c:pt idx="635">
                  <c:v>107.19470094002196</c:v>
                </c:pt>
                <c:pt idx="636">
                  <c:v>108.32397471092288</c:v>
                </c:pt>
                <c:pt idx="637">
                  <c:v>108.32397471092288</c:v>
                </c:pt>
                <c:pt idx="638">
                  <c:v>108.02033940603975</c:v>
                </c:pt>
                <c:pt idx="639">
                  <c:v>107.76037767240695</c:v>
                </c:pt>
                <c:pt idx="640">
                  <c:v>107.96938690624771</c:v>
                </c:pt>
                <c:pt idx="641">
                  <c:v>107.72710257050194</c:v>
                </c:pt>
                <c:pt idx="642">
                  <c:v>107.43490558189866</c:v>
                </c:pt>
                <c:pt idx="643">
                  <c:v>108.02033940603975</c:v>
                </c:pt>
                <c:pt idx="644">
                  <c:v>108.64736710756208</c:v>
                </c:pt>
                <c:pt idx="645">
                  <c:v>108.23142833374959</c:v>
                </c:pt>
                <c:pt idx="646">
                  <c:v>108.71495715830662</c:v>
                </c:pt>
                <c:pt idx="647">
                  <c:v>108.7149571583066</c:v>
                </c:pt>
                <c:pt idx="648">
                  <c:v>110.17178271358486</c:v>
                </c:pt>
                <c:pt idx="649">
                  <c:v>110.80920888445252</c:v>
                </c:pt>
                <c:pt idx="650">
                  <c:v>110.84144413942298</c:v>
                </c:pt>
                <c:pt idx="651">
                  <c:v>110.6823475584397</c:v>
                </c:pt>
                <c:pt idx="652">
                  <c:v>111.75650944181046</c:v>
                </c:pt>
                <c:pt idx="653">
                  <c:v>111.85321520672186</c:v>
                </c:pt>
                <c:pt idx="654">
                  <c:v>111.6650029115717</c:v>
                </c:pt>
                <c:pt idx="655">
                  <c:v>112.3367440312789</c:v>
                </c:pt>
                <c:pt idx="656">
                  <c:v>111.87297229847796</c:v>
                </c:pt>
                <c:pt idx="657">
                  <c:v>111.15547791365141</c:v>
                </c:pt>
                <c:pt idx="658">
                  <c:v>110.48373679394422</c:v>
                </c:pt>
                <c:pt idx="659">
                  <c:v>110.85600199650641</c:v>
                </c:pt>
                <c:pt idx="660">
                  <c:v>110.72186174195187</c:v>
                </c:pt>
                <c:pt idx="661">
                  <c:v>110.55236669162328</c:v>
                </c:pt>
                <c:pt idx="662">
                  <c:v>110.26536893769266</c:v>
                </c:pt>
                <c:pt idx="663">
                  <c:v>110.9662257715667</c:v>
                </c:pt>
                <c:pt idx="664">
                  <c:v>110.24041261126391</c:v>
                </c:pt>
                <c:pt idx="665">
                  <c:v>110.14162715248344</c:v>
                </c:pt>
                <c:pt idx="666">
                  <c:v>109.67681557274797</c:v>
                </c:pt>
                <c:pt idx="667">
                  <c:v>109.20056567673267</c:v>
                </c:pt>
                <c:pt idx="668">
                  <c:v>109.97837118376204</c:v>
                </c:pt>
                <c:pt idx="669">
                  <c:v>110.26224939688908</c:v>
                </c:pt>
                <c:pt idx="670">
                  <c:v>109.46052741036549</c:v>
                </c:pt>
                <c:pt idx="671">
                  <c:v>110.35895516180047</c:v>
                </c:pt>
                <c:pt idx="672">
                  <c:v>110.19049995840641</c:v>
                </c:pt>
                <c:pt idx="673">
                  <c:v>110.12187006072733</c:v>
                </c:pt>
                <c:pt idx="674">
                  <c:v>108.90316945345671</c:v>
                </c:pt>
                <c:pt idx="675">
                  <c:v>108.81374261708703</c:v>
                </c:pt>
                <c:pt idx="676">
                  <c:v>109.33470593128717</c:v>
                </c:pt>
                <c:pt idx="677">
                  <c:v>110.29448465185952</c:v>
                </c:pt>
                <c:pt idx="678">
                  <c:v>110.26848847849624</c:v>
                </c:pt>
                <c:pt idx="679">
                  <c:v>110.39119041677093</c:v>
                </c:pt>
                <c:pt idx="680">
                  <c:v>111.37280592296841</c:v>
                </c:pt>
                <c:pt idx="681">
                  <c:v>112.09861908327122</c:v>
                </c:pt>
                <c:pt idx="682">
                  <c:v>113.01160469178964</c:v>
                </c:pt>
                <c:pt idx="683">
                  <c:v>112.57278928541746</c:v>
                </c:pt>
                <c:pt idx="684">
                  <c:v>112.64245903003103</c:v>
                </c:pt>
                <c:pt idx="685">
                  <c:v>112.44176857166651</c:v>
                </c:pt>
                <c:pt idx="686">
                  <c:v>112.77243989684746</c:v>
                </c:pt>
                <c:pt idx="687">
                  <c:v>112.86498627402075</c:v>
                </c:pt>
                <c:pt idx="688">
                  <c:v>112.79635637634169</c:v>
                </c:pt>
                <c:pt idx="689">
                  <c:v>112.71940770318639</c:v>
                </c:pt>
                <c:pt idx="690">
                  <c:v>113.76237417852123</c:v>
                </c:pt>
                <c:pt idx="691">
                  <c:v>113.6084768322106</c:v>
                </c:pt>
                <c:pt idx="692">
                  <c:v>113.6084768322106</c:v>
                </c:pt>
                <c:pt idx="693">
                  <c:v>114.29893519673934</c:v>
                </c:pt>
                <c:pt idx="694">
                  <c:v>113.93290907578434</c:v>
                </c:pt>
                <c:pt idx="695">
                  <c:v>113.81956575992044</c:v>
                </c:pt>
                <c:pt idx="696">
                  <c:v>113.06463688545077</c:v>
                </c:pt>
                <c:pt idx="697">
                  <c:v>112.40329423508889</c:v>
                </c:pt>
                <c:pt idx="698">
                  <c:v>113.89235504533762</c:v>
                </c:pt>
                <c:pt idx="699">
                  <c:v>113.72909907661621</c:v>
                </c:pt>
                <c:pt idx="700">
                  <c:v>113.81332667831325</c:v>
                </c:pt>
                <c:pt idx="701">
                  <c:v>113.86947841277794</c:v>
                </c:pt>
                <c:pt idx="702">
                  <c:v>113.68958489310404</c:v>
                </c:pt>
                <c:pt idx="703">
                  <c:v>114.32285167623357</c:v>
                </c:pt>
                <c:pt idx="704">
                  <c:v>114.74294983778421</c:v>
                </c:pt>
                <c:pt idx="705">
                  <c:v>115.53219366109342</c:v>
                </c:pt>
                <c:pt idx="706">
                  <c:v>117.46318941851794</c:v>
                </c:pt>
                <c:pt idx="707">
                  <c:v>118.56334747525199</c:v>
                </c:pt>
                <c:pt idx="708">
                  <c:v>118.59142334248433</c:v>
                </c:pt>
                <c:pt idx="709">
                  <c:v>116.99109891024077</c:v>
                </c:pt>
                <c:pt idx="710">
                  <c:v>116.6729057482742</c:v>
                </c:pt>
                <c:pt idx="711">
                  <c:v>116.55020380999953</c:v>
                </c:pt>
                <c:pt idx="712">
                  <c:v>116.10514932202017</c:v>
                </c:pt>
                <c:pt idx="713">
                  <c:v>114.36340570668033</c:v>
                </c:pt>
                <c:pt idx="714">
                  <c:v>115.43444804924751</c:v>
                </c:pt>
                <c:pt idx="715">
                  <c:v>116.65314865651813</c:v>
                </c:pt>
                <c:pt idx="716">
                  <c:v>117.17307212378375</c:v>
                </c:pt>
                <c:pt idx="717">
                  <c:v>117.57653273438187</c:v>
                </c:pt>
                <c:pt idx="718">
                  <c:v>117.63580400965016</c:v>
                </c:pt>
                <c:pt idx="719">
                  <c:v>117.73562931536517</c:v>
                </c:pt>
                <c:pt idx="720">
                  <c:v>116.72593794193534</c:v>
                </c:pt>
                <c:pt idx="721">
                  <c:v>117.71275268280549</c:v>
                </c:pt>
                <c:pt idx="722">
                  <c:v>116.36719074952207</c:v>
                </c:pt>
                <c:pt idx="723">
                  <c:v>116.45661758589175</c:v>
                </c:pt>
                <c:pt idx="724">
                  <c:v>117.3768821229519</c:v>
                </c:pt>
                <c:pt idx="725">
                  <c:v>117.3134514599455</c:v>
                </c:pt>
                <c:pt idx="726">
                  <c:v>116.44205972880832</c:v>
                </c:pt>
                <c:pt idx="727">
                  <c:v>116.3682305964566</c:v>
                </c:pt>
                <c:pt idx="728">
                  <c:v>115.24623575409738</c:v>
                </c:pt>
                <c:pt idx="729">
                  <c:v>113.91731137176646</c:v>
                </c:pt>
                <c:pt idx="730">
                  <c:v>114.8542134597791</c:v>
                </c:pt>
                <c:pt idx="731">
                  <c:v>115.01331004076238</c:v>
                </c:pt>
                <c:pt idx="732">
                  <c:v>115.85974544547082</c:v>
                </c:pt>
                <c:pt idx="733">
                  <c:v>115.79631478246441</c:v>
                </c:pt>
                <c:pt idx="734">
                  <c:v>115.65801514017176</c:v>
                </c:pt>
                <c:pt idx="735">
                  <c:v>117.29889360286205</c:v>
                </c:pt>
                <c:pt idx="736">
                  <c:v>115.18800432576364</c:v>
                </c:pt>
                <c:pt idx="737">
                  <c:v>114.37588386989474</c:v>
                </c:pt>
                <c:pt idx="738">
                  <c:v>113.90691290242114</c:v>
                </c:pt>
                <c:pt idx="739">
                  <c:v>114.86149238832081</c:v>
                </c:pt>
                <c:pt idx="740">
                  <c:v>112.39913484735084</c:v>
                </c:pt>
                <c:pt idx="741">
                  <c:v>110.39430995757461</c:v>
                </c:pt>
                <c:pt idx="742">
                  <c:v>110.77593378254757</c:v>
                </c:pt>
                <c:pt idx="743">
                  <c:v>110.53052990599818</c:v>
                </c:pt>
                <c:pt idx="744">
                  <c:v>110.38183179436022</c:v>
                </c:pt>
                <c:pt idx="745">
                  <c:v>110.83936444555397</c:v>
                </c:pt>
                <c:pt idx="746">
                  <c:v>111.08268862823428</c:v>
                </c:pt>
                <c:pt idx="747">
                  <c:v>112.0247899509196</c:v>
                </c:pt>
                <c:pt idx="748">
                  <c:v>111.38320439231381</c:v>
                </c:pt>
                <c:pt idx="749">
                  <c:v>110.18946011147194</c:v>
                </c:pt>
                <c:pt idx="750">
                  <c:v>110.18946011147194</c:v>
                </c:pt>
                <c:pt idx="751">
                  <c:v>110.13746776474538</c:v>
                </c:pt>
                <c:pt idx="752">
                  <c:v>110.88095832293521</c:v>
                </c:pt>
                <c:pt idx="753">
                  <c:v>111.02237750603146</c:v>
                </c:pt>
                <c:pt idx="754">
                  <c:v>110.11667082605476</c:v>
                </c:pt>
                <c:pt idx="755">
                  <c:v>108.86053572914101</c:v>
                </c:pt>
                <c:pt idx="756">
                  <c:v>108.66400465851461</c:v>
                </c:pt>
                <c:pt idx="757">
                  <c:v>109.4324515431332</c:v>
                </c:pt>
                <c:pt idx="758">
                  <c:v>109.74752516429616</c:v>
                </c:pt>
                <c:pt idx="759">
                  <c:v>109.24215955411398</c:v>
                </c:pt>
                <c:pt idx="760">
                  <c:v>108.93020547375461</c:v>
                </c:pt>
                <c:pt idx="761">
                  <c:v>108.97491889193947</c:v>
                </c:pt>
                <c:pt idx="762">
                  <c:v>109.2920722069715</c:v>
                </c:pt>
                <c:pt idx="763">
                  <c:v>108.08480991598073</c:v>
                </c:pt>
                <c:pt idx="764">
                  <c:v>107.87268114133636</c:v>
                </c:pt>
                <c:pt idx="765">
                  <c:v>108.69727976041962</c:v>
                </c:pt>
                <c:pt idx="766">
                  <c:v>108.83142001497416</c:v>
                </c:pt>
                <c:pt idx="767">
                  <c:v>108.76279011729508</c:v>
                </c:pt>
                <c:pt idx="768">
                  <c:v>107.73438149904369</c:v>
                </c:pt>
                <c:pt idx="769">
                  <c:v>107.98498461026571</c:v>
                </c:pt>
                <c:pt idx="770">
                  <c:v>108.27614175193446</c:v>
                </c:pt>
                <c:pt idx="771">
                  <c:v>108.15447966059432</c:v>
                </c:pt>
                <c:pt idx="772">
                  <c:v>108.03281756925415</c:v>
                </c:pt>
                <c:pt idx="773">
                  <c:v>108.33333333333367</c:v>
                </c:pt>
                <c:pt idx="774">
                  <c:v>107.71358456035306</c:v>
                </c:pt>
                <c:pt idx="775">
                  <c:v>107.38395308210667</c:v>
                </c:pt>
                <c:pt idx="776">
                  <c:v>108.46851343482275</c:v>
                </c:pt>
                <c:pt idx="777">
                  <c:v>108.16591797687417</c:v>
                </c:pt>
                <c:pt idx="778">
                  <c:v>109.00507445304089</c:v>
                </c:pt>
                <c:pt idx="779">
                  <c:v>107.77597537642495</c:v>
                </c:pt>
                <c:pt idx="780">
                  <c:v>106.83699359454324</c:v>
                </c:pt>
                <c:pt idx="781">
                  <c:v>107.08343731802717</c:v>
                </c:pt>
                <c:pt idx="782">
                  <c:v>107.02936527743152</c:v>
                </c:pt>
                <c:pt idx="783">
                  <c:v>106.05918808751387</c:v>
                </c:pt>
                <c:pt idx="784">
                  <c:v>106.00823558772184</c:v>
                </c:pt>
                <c:pt idx="785">
                  <c:v>106.00823558772184</c:v>
                </c:pt>
                <c:pt idx="786">
                  <c:v>106.21100573995544</c:v>
                </c:pt>
                <c:pt idx="787">
                  <c:v>106.17565094418137</c:v>
                </c:pt>
                <c:pt idx="788">
                  <c:v>105.88865319025076</c:v>
                </c:pt>
                <c:pt idx="789">
                  <c:v>105.83666084352421</c:v>
                </c:pt>
                <c:pt idx="790">
                  <c:v>105.97704017968593</c:v>
                </c:pt>
                <c:pt idx="791">
                  <c:v>105.72643706846389</c:v>
                </c:pt>
                <c:pt idx="792">
                  <c:v>105.4571167124203</c:v>
                </c:pt>
                <c:pt idx="793">
                  <c:v>105.68796273188623</c:v>
                </c:pt>
                <c:pt idx="794">
                  <c:v>105.77427002745232</c:v>
                </c:pt>
                <c:pt idx="795">
                  <c:v>106.15381415855622</c:v>
                </c:pt>
                <c:pt idx="796">
                  <c:v>105.97600033275138</c:v>
                </c:pt>
                <c:pt idx="797">
                  <c:v>105.05365610182217</c:v>
                </c:pt>
                <c:pt idx="798">
                  <c:v>105.62245237501075</c:v>
                </c:pt>
                <c:pt idx="799">
                  <c:v>106.84947175775761</c:v>
                </c:pt>
                <c:pt idx="800">
                  <c:v>107.62207803011434</c:v>
                </c:pt>
                <c:pt idx="801">
                  <c:v>107.4141086432081</c:v>
                </c:pt>
                <c:pt idx="802">
                  <c:v>107.38707262291028</c:v>
                </c:pt>
                <c:pt idx="803">
                  <c:v>107.21445803177808</c:v>
                </c:pt>
                <c:pt idx="804">
                  <c:v>107.66055236669199</c:v>
                </c:pt>
                <c:pt idx="805">
                  <c:v>107.36211629648153</c:v>
                </c:pt>
                <c:pt idx="806">
                  <c:v>107.23213542966514</c:v>
                </c:pt>
                <c:pt idx="807">
                  <c:v>107.97666583478949</c:v>
                </c:pt>
                <c:pt idx="808">
                  <c:v>107.92675318193199</c:v>
                </c:pt>
                <c:pt idx="809">
                  <c:v>107.91531486565215</c:v>
                </c:pt>
                <c:pt idx="810">
                  <c:v>107.91531486565215</c:v>
                </c:pt>
                <c:pt idx="811">
                  <c:v>108.26054404791651</c:v>
                </c:pt>
                <c:pt idx="812">
                  <c:v>108.68792113800886</c:v>
                </c:pt>
                <c:pt idx="813">
                  <c:v>108.70455868896137</c:v>
                </c:pt>
                <c:pt idx="814">
                  <c:v>109.3482239414362</c:v>
                </c:pt>
                <c:pt idx="815">
                  <c:v>108.79294567839652</c:v>
                </c:pt>
                <c:pt idx="816">
                  <c:v>109.00195491223731</c:v>
                </c:pt>
                <c:pt idx="817">
                  <c:v>108.59329506696653</c:v>
                </c:pt>
                <c:pt idx="818">
                  <c:v>109.17872889110761</c:v>
                </c:pt>
                <c:pt idx="819">
                  <c:v>108.65152649530027</c:v>
                </c:pt>
                <c:pt idx="820">
                  <c:v>108.4820314449717</c:v>
                </c:pt>
                <c:pt idx="821">
                  <c:v>109.79951751102278</c:v>
                </c:pt>
                <c:pt idx="822">
                  <c:v>109.84319108227309</c:v>
                </c:pt>
                <c:pt idx="823">
                  <c:v>109.50108144081231</c:v>
                </c:pt>
                <c:pt idx="824">
                  <c:v>108.71807669911028</c:v>
                </c:pt>
                <c:pt idx="825">
                  <c:v>107.84564512103856</c:v>
                </c:pt>
                <c:pt idx="826">
                  <c:v>107.32780134764201</c:v>
                </c:pt>
                <c:pt idx="827">
                  <c:v>108.43107894517965</c:v>
                </c:pt>
                <c:pt idx="828">
                  <c:v>108.2397471092259</c:v>
                </c:pt>
                <c:pt idx="829">
                  <c:v>107.47857915314903</c:v>
                </c:pt>
                <c:pt idx="830">
                  <c:v>107.0345645121042</c:v>
                </c:pt>
                <c:pt idx="831">
                  <c:v>106.99713002246108</c:v>
                </c:pt>
                <c:pt idx="832">
                  <c:v>106.03527160801967</c:v>
                </c:pt>
                <c:pt idx="833">
                  <c:v>106.27963563763451</c:v>
                </c:pt>
                <c:pt idx="834">
                  <c:v>106.85883038016841</c:v>
                </c:pt>
                <c:pt idx="835">
                  <c:v>106.60302803427373</c:v>
                </c:pt>
                <c:pt idx="836">
                  <c:v>106.17461109724685</c:v>
                </c:pt>
                <c:pt idx="837">
                  <c:v>106.37426170867685</c:v>
                </c:pt>
                <c:pt idx="838">
                  <c:v>105.87825472090546</c:v>
                </c:pt>
                <c:pt idx="839">
                  <c:v>106.25779885200937</c:v>
                </c:pt>
                <c:pt idx="840">
                  <c:v>105.84289992513141</c:v>
                </c:pt>
                <c:pt idx="841">
                  <c:v>105.30217951917516</c:v>
                </c:pt>
                <c:pt idx="842">
                  <c:v>105.59125696697484</c:v>
                </c:pt>
                <c:pt idx="843">
                  <c:v>105.56422094667703</c:v>
                </c:pt>
                <c:pt idx="844">
                  <c:v>105.79090757840481</c:v>
                </c:pt>
                <c:pt idx="845">
                  <c:v>106.32330920888481</c:v>
                </c:pt>
                <c:pt idx="846">
                  <c:v>105.94376507778091</c:v>
                </c:pt>
                <c:pt idx="847">
                  <c:v>105.20235421346014</c:v>
                </c:pt>
                <c:pt idx="848">
                  <c:v>104.71258630729592</c:v>
                </c:pt>
                <c:pt idx="849">
                  <c:v>105.27930288661544</c:v>
                </c:pt>
                <c:pt idx="850">
                  <c:v>105.85225854754216</c:v>
                </c:pt>
                <c:pt idx="851">
                  <c:v>105.49039181432528</c:v>
                </c:pt>
                <c:pt idx="852">
                  <c:v>105.71915813992216</c:v>
                </c:pt>
                <c:pt idx="853">
                  <c:v>105.61309375259997</c:v>
                </c:pt>
                <c:pt idx="854">
                  <c:v>105.59853589551653</c:v>
                </c:pt>
                <c:pt idx="855">
                  <c:v>105.10044921387605</c:v>
                </c:pt>
                <c:pt idx="856">
                  <c:v>105.64012977289777</c:v>
                </c:pt>
                <c:pt idx="857">
                  <c:v>105.23770900923418</c:v>
                </c:pt>
                <c:pt idx="858">
                  <c:v>105.28658181515715</c:v>
                </c:pt>
                <c:pt idx="859">
                  <c:v>105.44359870227137</c:v>
                </c:pt>
                <c:pt idx="860">
                  <c:v>105.98119956742401</c:v>
                </c:pt>
                <c:pt idx="861">
                  <c:v>105.77842941519042</c:v>
                </c:pt>
                <c:pt idx="862">
                  <c:v>105.14412278512636</c:v>
                </c:pt>
                <c:pt idx="863">
                  <c:v>105.21587222360901</c:v>
                </c:pt>
                <c:pt idx="864">
                  <c:v>105.02350054072073</c:v>
                </c:pt>
                <c:pt idx="865">
                  <c:v>105.18571666250762</c:v>
                </c:pt>
                <c:pt idx="866">
                  <c:v>105.43943931453325</c:v>
                </c:pt>
                <c:pt idx="867">
                  <c:v>105.30425921304419</c:v>
                </c:pt>
                <c:pt idx="868">
                  <c:v>105.93232676150106</c:v>
                </c:pt>
                <c:pt idx="869">
                  <c:v>106.59366941186293</c:v>
                </c:pt>
                <c:pt idx="870">
                  <c:v>106.34618584144449</c:v>
                </c:pt>
                <c:pt idx="871">
                  <c:v>106.48448548373715</c:v>
                </c:pt>
                <c:pt idx="872">
                  <c:v>106.8193161966562</c:v>
                </c:pt>
                <c:pt idx="873">
                  <c:v>107.57736461192948</c:v>
                </c:pt>
                <c:pt idx="874">
                  <c:v>107.18638216454573</c:v>
                </c:pt>
                <c:pt idx="875">
                  <c:v>107.18638216454573</c:v>
                </c:pt>
                <c:pt idx="876">
                  <c:v>107.5045753265123</c:v>
                </c:pt>
                <c:pt idx="877">
                  <c:v>107.93507195740823</c:v>
                </c:pt>
                <c:pt idx="878">
                  <c:v>108.32605440479196</c:v>
                </c:pt>
                <c:pt idx="879">
                  <c:v>108.28550037434525</c:v>
                </c:pt>
                <c:pt idx="880">
                  <c:v>108.28550037434525</c:v>
                </c:pt>
                <c:pt idx="881">
                  <c:v>108.22518925214243</c:v>
                </c:pt>
                <c:pt idx="882">
                  <c:v>108.39884369020915</c:v>
                </c:pt>
                <c:pt idx="883">
                  <c:v>107.62623741785244</c:v>
                </c:pt>
                <c:pt idx="884">
                  <c:v>108.0941685383915</c:v>
                </c:pt>
                <c:pt idx="885">
                  <c:v>108.077530987439</c:v>
                </c:pt>
                <c:pt idx="886">
                  <c:v>108.22102986440431</c:v>
                </c:pt>
                <c:pt idx="887">
                  <c:v>108.20127277264824</c:v>
                </c:pt>
                <c:pt idx="888">
                  <c:v>107.43282588802965</c:v>
                </c:pt>
                <c:pt idx="889">
                  <c:v>107.65847267282292</c:v>
                </c:pt>
                <c:pt idx="890">
                  <c:v>107.76037767240699</c:v>
                </c:pt>
                <c:pt idx="891">
                  <c:v>107.43490558189872</c:v>
                </c:pt>
                <c:pt idx="892">
                  <c:v>107.01688711421717</c:v>
                </c:pt>
                <c:pt idx="893">
                  <c:v>106.17669079111593</c:v>
                </c:pt>
                <c:pt idx="894">
                  <c:v>106.33266783129562</c:v>
                </c:pt>
                <c:pt idx="895">
                  <c:v>105.8959321187925</c:v>
                </c:pt>
                <c:pt idx="896">
                  <c:v>106.19436818900297</c:v>
                </c:pt>
                <c:pt idx="897">
                  <c:v>105.72747691539844</c:v>
                </c:pt>
                <c:pt idx="898">
                  <c:v>106.05814824057938</c:v>
                </c:pt>
                <c:pt idx="899">
                  <c:v>106.6279843607025</c:v>
                </c:pt>
                <c:pt idx="900">
                  <c:v>106.41169619832</c:v>
                </c:pt>
                <c:pt idx="901">
                  <c:v>106.19644788287204</c:v>
                </c:pt>
                <c:pt idx="902">
                  <c:v>106.6342234423097</c:v>
                </c:pt>
                <c:pt idx="903">
                  <c:v>107.11255303219407</c:v>
                </c:pt>
                <c:pt idx="904">
                  <c:v>106.67477747275643</c:v>
                </c:pt>
                <c:pt idx="905">
                  <c:v>106.74444721737002</c:v>
                </c:pt>
                <c:pt idx="906">
                  <c:v>106.74444721737004</c:v>
                </c:pt>
                <c:pt idx="907">
                  <c:v>107.14062889942645</c:v>
                </c:pt>
                <c:pt idx="908">
                  <c:v>106.96593461442521</c:v>
                </c:pt>
                <c:pt idx="909">
                  <c:v>106.01239497546005</c:v>
                </c:pt>
                <c:pt idx="910">
                  <c:v>105.69212211962441</c:v>
                </c:pt>
                <c:pt idx="911">
                  <c:v>105.44359870227146</c:v>
                </c:pt>
                <c:pt idx="912">
                  <c:v>104.18538391148864</c:v>
                </c:pt>
                <c:pt idx="913">
                  <c:v>103.41901672073912</c:v>
                </c:pt>
                <c:pt idx="914">
                  <c:v>103.57395391398427</c:v>
                </c:pt>
                <c:pt idx="915">
                  <c:v>103.49492554695989</c:v>
                </c:pt>
                <c:pt idx="916">
                  <c:v>103.59475085267489</c:v>
                </c:pt>
                <c:pt idx="917">
                  <c:v>103.97221528990973</c:v>
                </c:pt>
                <c:pt idx="918">
                  <c:v>104.60548207303925</c:v>
                </c:pt>
                <c:pt idx="919">
                  <c:v>104.81449130688004</c:v>
                </c:pt>
                <c:pt idx="920">
                  <c:v>105.11084768322144</c:v>
                </c:pt>
                <c:pt idx="921">
                  <c:v>105.12436569337035</c:v>
                </c:pt>
                <c:pt idx="922">
                  <c:v>104.64603610348597</c:v>
                </c:pt>
                <c:pt idx="923">
                  <c:v>105.59021712004034</c:v>
                </c:pt>
                <c:pt idx="924">
                  <c:v>105.43943931453332</c:v>
                </c:pt>
                <c:pt idx="925">
                  <c:v>105.67548456867192</c:v>
                </c:pt>
                <c:pt idx="926">
                  <c:v>106.15277431162174</c:v>
                </c:pt>
                <c:pt idx="927">
                  <c:v>106.46888777971924</c:v>
                </c:pt>
                <c:pt idx="928">
                  <c:v>106.42833374927251</c:v>
                </c:pt>
                <c:pt idx="929">
                  <c:v>105.89385242492345</c:v>
                </c:pt>
                <c:pt idx="930">
                  <c:v>105.91984859828673</c:v>
                </c:pt>
                <c:pt idx="931">
                  <c:v>106.41793527992719</c:v>
                </c:pt>
                <c:pt idx="932">
                  <c:v>106.38881956576031</c:v>
                </c:pt>
                <c:pt idx="933">
                  <c:v>106.44601114715954</c:v>
                </c:pt>
                <c:pt idx="934">
                  <c:v>106.78084186007858</c:v>
                </c:pt>
                <c:pt idx="935">
                  <c:v>107.16454537892064</c:v>
                </c:pt>
                <c:pt idx="936">
                  <c:v>107.20301971549827</c:v>
                </c:pt>
                <c:pt idx="937">
                  <c:v>107.43594542883328</c:v>
                </c:pt>
                <c:pt idx="938">
                  <c:v>107.59296231594749</c:v>
                </c:pt>
                <c:pt idx="939">
                  <c:v>107.39123201064844</c:v>
                </c:pt>
                <c:pt idx="940">
                  <c:v>107.31844272523126</c:v>
                </c:pt>
                <c:pt idx="941">
                  <c:v>107.5960818567511</c:v>
                </c:pt>
                <c:pt idx="942">
                  <c:v>107.45050328591672</c:v>
                </c:pt>
                <c:pt idx="943">
                  <c:v>108.05985358955202</c:v>
                </c:pt>
                <c:pt idx="944">
                  <c:v>108.15759920139797</c:v>
                </c:pt>
                <c:pt idx="945">
                  <c:v>108.13576241577282</c:v>
                </c:pt>
                <c:pt idx="946">
                  <c:v>107.59400216288205</c:v>
                </c:pt>
                <c:pt idx="947">
                  <c:v>107.20094002162924</c:v>
                </c:pt>
                <c:pt idx="948">
                  <c:v>107.71462440728767</c:v>
                </c:pt>
                <c:pt idx="949">
                  <c:v>108.34269195574454</c:v>
                </c:pt>
                <c:pt idx="950">
                  <c:v>108.34269195574454</c:v>
                </c:pt>
                <c:pt idx="951">
                  <c:v>108.93748440229642</c:v>
                </c:pt>
                <c:pt idx="952">
                  <c:v>108.99779552449922</c:v>
                </c:pt>
                <c:pt idx="953">
                  <c:v>109.21304383994719</c:v>
                </c:pt>
                <c:pt idx="954">
                  <c:v>109.25255802345937</c:v>
                </c:pt>
                <c:pt idx="955">
                  <c:v>108.70455868896141</c:v>
                </c:pt>
              </c:numCache>
            </c:numRef>
          </c:val>
          <c:smooth val="0"/>
          <c:extLst>
            <c:ext xmlns:c16="http://schemas.microsoft.com/office/drawing/2014/chart" uri="{C3380CC4-5D6E-409C-BE32-E72D297353CC}">
              <c16:uniqueId val="{00000003-3681-4EBC-BDC7-036968F800BB}"/>
            </c:ext>
          </c:extLst>
        </c:ser>
        <c:dLbls>
          <c:showLegendKey val="0"/>
          <c:showVal val="0"/>
          <c:showCatName val="0"/>
          <c:showSerName val="0"/>
          <c:showPercent val="0"/>
          <c:showBubbleSize val="0"/>
        </c:dLbls>
        <c:smooth val="0"/>
        <c:axId val="1701959712"/>
        <c:axId val="1701944480"/>
      </c:lineChart>
      <c:dateAx>
        <c:axId val="1701959712"/>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701944480"/>
        <c:crosses val="autoZero"/>
        <c:auto val="1"/>
        <c:lblOffset val="100"/>
        <c:baseTimeUnit val="days"/>
      </c:dateAx>
      <c:valAx>
        <c:axId val="1701944480"/>
        <c:scaling>
          <c:orientation val="minMax"/>
          <c:max val="230"/>
          <c:min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y-AM" sz="800" b="0" i="0" u="none" strike="noStrike" baseline="0">
                    <a:effectLst/>
                  </a:rPr>
                  <a:t>Ինդեքս՝ </a:t>
                </a:r>
                <a:r>
                  <a:rPr lang="en-US" sz="800" b="0" i="0" u="none" strike="noStrike" baseline="0">
                    <a:effectLst/>
                  </a:rPr>
                  <a:t>2020</a:t>
                </a:r>
                <a:r>
                  <a:rPr lang="hy-AM" sz="800" b="0" i="0" u="none" strike="noStrike" baseline="0">
                    <a:effectLst/>
                  </a:rPr>
                  <a:t> թ. հունվարի </a:t>
                </a:r>
                <a:r>
                  <a:rPr lang="en-US" sz="800" b="0" i="0" u="none" strike="noStrike" baseline="0">
                    <a:effectLst/>
                  </a:rPr>
                  <a:t>2</a:t>
                </a:r>
                <a:r>
                  <a:rPr lang="hy-AM" sz="800" b="0" i="0" u="none" strike="noStrike" baseline="0">
                    <a:effectLst/>
                  </a:rPr>
                  <a:t>=100</a:t>
                </a:r>
                <a:endParaRPr lang="en-US" sz="800"/>
              </a:p>
            </c:rich>
          </c:tx>
          <c:layout>
            <c:manualLayout>
              <c:xMode val="edge"/>
              <c:yMode val="edge"/>
              <c:x val="7.751937984496143E-3"/>
              <c:y val="8.4670206921809224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959712"/>
        <c:crosses val="autoZero"/>
        <c:crossBetween val="between"/>
      </c:valAx>
      <c:spPr>
        <a:noFill/>
        <a:ln>
          <a:noFill/>
        </a:ln>
        <a:effectLst/>
      </c:spPr>
    </c:plotArea>
    <c:legend>
      <c:legendPos val="b"/>
      <c:layout>
        <c:manualLayout>
          <c:xMode val="edge"/>
          <c:yMode val="edge"/>
          <c:x val="0"/>
          <c:y val="0.8741543909882078"/>
          <c:w val="1"/>
          <c:h val="0.125845609011792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5792361102607"/>
          <c:y val="5.299927728258251E-2"/>
          <c:w val="0.81060411772012164"/>
          <c:h val="0.59003737665703171"/>
        </c:manualLayout>
      </c:layout>
      <c:lineChart>
        <c:grouping val="standard"/>
        <c:varyColors val="0"/>
        <c:ser>
          <c:idx val="0"/>
          <c:order val="0"/>
          <c:tx>
            <c:strRef>
              <c:f>Sheet1!$D$1</c:f>
              <c:strCache>
                <c:ptCount val="1"/>
                <c:pt idx="0">
                  <c:v>DAX (Գերմանիա)</c:v>
                </c:pt>
              </c:strCache>
            </c:strRef>
          </c:tx>
          <c:spPr>
            <a:ln w="28575" cap="rnd">
              <a:solidFill>
                <a:schemeClr val="accent1"/>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Sheet1!$D$2:$D$57</c:f>
              <c:numCache>
                <c:formatCode>0.0</c:formatCode>
                <c:ptCount val="56"/>
                <c:pt idx="0" formatCode="General">
                  <c:v>100</c:v>
                </c:pt>
                <c:pt idx="1">
                  <c:v>103.06575614645891</c:v>
                </c:pt>
                <c:pt idx="2">
                  <c:v>103.15883684921822</c:v>
                </c:pt>
                <c:pt idx="3">
                  <c:v>110.48035012664344</c:v>
                </c:pt>
                <c:pt idx="4">
                  <c:v>104.95601041787864</c:v>
                </c:pt>
                <c:pt idx="5">
                  <c:v>110.97009782423855</c:v>
                </c:pt>
                <c:pt idx="6">
                  <c:v>109.09273165012395</c:v>
                </c:pt>
                <c:pt idx="7">
                  <c:v>106.85736277308894</c:v>
                </c:pt>
                <c:pt idx="8">
                  <c:v>111.2321558027763</c:v>
                </c:pt>
                <c:pt idx="9">
                  <c:v>115.1586399477316</c:v>
                </c:pt>
                <c:pt idx="10">
                  <c:v>118.46649542204042</c:v>
                </c:pt>
                <c:pt idx="11">
                  <c:v>118.57953477548756</c:v>
                </c:pt>
                <c:pt idx="12">
                  <c:v>116.18950873079092</c:v>
                </c:pt>
                <c:pt idx="13">
                  <c:v>106.41943596674156</c:v>
                </c:pt>
                <c:pt idx="14">
                  <c:v>88.926439394617447</c:v>
                </c:pt>
                <c:pt idx="15">
                  <c:v>97.212411953710259</c:v>
                </c:pt>
                <c:pt idx="16">
                  <c:v>103.70309045833297</c:v>
                </c:pt>
                <c:pt idx="17">
                  <c:v>110.18365538659816</c:v>
                </c:pt>
                <c:pt idx="18">
                  <c:v>110.20540405080058</c:v>
                </c:pt>
                <c:pt idx="19">
                  <c:v>115.86202575829446</c:v>
                </c:pt>
                <c:pt idx="20">
                  <c:v>114.20939578093814</c:v>
                </c:pt>
                <c:pt idx="21">
                  <c:v>103.43127690614064</c:v>
                </c:pt>
                <c:pt idx="22">
                  <c:v>118.95678012368992</c:v>
                </c:pt>
                <c:pt idx="23">
                  <c:v>122.78400801926054</c:v>
                </c:pt>
                <c:pt idx="24">
                  <c:v>120.2250941994612</c:v>
                </c:pt>
                <c:pt idx="25">
                  <c:v>123.38822708111447</c:v>
                </c:pt>
                <c:pt idx="26">
                  <c:v>134.32565715871152</c:v>
                </c:pt>
                <c:pt idx="27">
                  <c:v>135.46741727900041</c:v>
                </c:pt>
                <c:pt idx="28">
                  <c:v>138.02015555217437</c:v>
                </c:pt>
                <c:pt idx="29">
                  <c:v>139.00385747912395</c:v>
                </c:pt>
                <c:pt idx="30">
                  <c:v>139.12334088122364</c:v>
                </c:pt>
                <c:pt idx="31">
                  <c:v>141.72512552469772</c:v>
                </c:pt>
                <c:pt idx="32">
                  <c:v>136.5842067107607</c:v>
                </c:pt>
                <c:pt idx="33">
                  <c:v>140.41555163741489</c:v>
                </c:pt>
                <c:pt idx="34">
                  <c:v>135.14718386123818</c:v>
                </c:pt>
                <c:pt idx="35">
                  <c:v>142.17057038780646</c:v>
                </c:pt>
                <c:pt idx="36">
                  <c:v>138.46828543555506</c:v>
                </c:pt>
                <c:pt idx="37">
                  <c:v>129.42710617465164</c:v>
                </c:pt>
                <c:pt idx="38">
                  <c:v>129.01298654804847</c:v>
                </c:pt>
                <c:pt idx="39">
                  <c:v>126.17697863618874</c:v>
                </c:pt>
                <c:pt idx="40">
                  <c:v>128.77670476412101</c:v>
                </c:pt>
                <c:pt idx="41">
                  <c:v>114.41560533782032</c:v>
                </c:pt>
                <c:pt idx="42">
                  <c:v>120.68315865784788</c:v>
                </c:pt>
                <c:pt idx="43">
                  <c:v>114.87375929688271</c:v>
                </c:pt>
                <c:pt idx="44">
                  <c:v>108.42434060377158</c:v>
                </c:pt>
                <c:pt idx="45">
                  <c:v>118.62186859510791</c:v>
                </c:pt>
                <c:pt idx="46">
                  <c:v>128.85448085133046</c:v>
                </c:pt>
                <c:pt idx="47">
                  <c:v>124.61707135888879</c:v>
                </c:pt>
                <c:pt idx="48">
                  <c:v>135.39903876274269</c:v>
                </c:pt>
                <c:pt idx="49">
                  <c:v>137.51904126876158</c:v>
                </c:pt>
                <c:pt idx="50">
                  <c:v>139.87917408776437</c:v>
                </c:pt>
                <c:pt idx="51">
                  <c:v>142.50637692314575</c:v>
                </c:pt>
                <c:pt idx="52">
                  <c:v>140.19403746498284</c:v>
                </c:pt>
                <c:pt idx="53">
                  <c:v>144.524796162211</c:v>
                </c:pt>
                <c:pt idx="54">
                  <c:v>147.20023986181096</c:v>
                </c:pt>
                <c:pt idx="55">
                  <c:v>142.72744359219911</c:v>
                </c:pt>
              </c:numCache>
            </c:numRef>
          </c:val>
          <c:smooth val="0"/>
          <c:extLst>
            <c:ext xmlns:c16="http://schemas.microsoft.com/office/drawing/2014/chart" uri="{C3380CC4-5D6E-409C-BE32-E72D297353CC}">
              <c16:uniqueId val="{00000000-29D7-4ED3-8E48-7ECB88D7A4DD}"/>
            </c:ext>
          </c:extLst>
        </c:ser>
        <c:ser>
          <c:idx val="1"/>
          <c:order val="1"/>
          <c:tx>
            <c:strRef>
              <c:f>Sheet1!$E$1</c:f>
              <c:strCache>
                <c:ptCount val="1"/>
                <c:pt idx="0">
                  <c:v>MOEX (ՌԴ)</c:v>
                </c:pt>
              </c:strCache>
            </c:strRef>
          </c:tx>
          <c:spPr>
            <a:ln w="28575" cap="rnd">
              <a:solidFill>
                <a:schemeClr val="accent2"/>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Sheet1!$E$2:$E$57</c:f>
              <c:numCache>
                <c:formatCode>0.0</c:formatCode>
                <c:ptCount val="56"/>
                <c:pt idx="0" formatCode="General">
                  <c:v>100</c:v>
                </c:pt>
                <c:pt idx="1">
                  <c:v>98.578794970449408</c:v>
                </c:pt>
                <c:pt idx="2">
                  <c:v>99.048034588076632</c:v>
                </c:pt>
                <c:pt idx="3">
                  <c:v>101.51600491848797</c:v>
                </c:pt>
                <c:pt idx="4">
                  <c:v>105.72091547340446</c:v>
                </c:pt>
                <c:pt idx="5">
                  <c:v>109.70806394034351</c:v>
                </c:pt>
                <c:pt idx="6">
                  <c:v>108.66288524850265</c:v>
                </c:pt>
                <c:pt idx="7">
                  <c:v>108.68430447027093</c:v>
                </c:pt>
                <c:pt idx="8">
                  <c:v>108.96751418031812</c:v>
                </c:pt>
                <c:pt idx="9">
                  <c:v>114.79036928324939</c:v>
                </c:pt>
                <c:pt idx="10">
                  <c:v>116.43211296656223</c:v>
                </c:pt>
                <c:pt idx="11">
                  <c:v>120.8151203839594</c:v>
                </c:pt>
                <c:pt idx="12">
                  <c:v>122.03601602475112</c:v>
                </c:pt>
                <c:pt idx="13">
                  <c:v>110.47082622664711</c:v>
                </c:pt>
                <c:pt idx="14">
                  <c:v>99.512514378644241</c:v>
                </c:pt>
                <c:pt idx="15">
                  <c:v>105.13506009281662</c:v>
                </c:pt>
                <c:pt idx="16">
                  <c:v>108.47764864543252</c:v>
                </c:pt>
                <c:pt idx="17">
                  <c:v>108.80964658284078</c:v>
                </c:pt>
                <c:pt idx="18">
                  <c:v>115.48808059973817</c:v>
                </c:pt>
                <c:pt idx="19">
                  <c:v>117.65499186862871</c:v>
                </c:pt>
                <c:pt idx="20">
                  <c:v>115.25960890087654</c:v>
                </c:pt>
                <c:pt idx="21">
                  <c:v>106.72285906945376</c:v>
                </c:pt>
                <c:pt idx="22">
                  <c:v>123.26286144936728</c:v>
                </c:pt>
                <c:pt idx="23">
                  <c:v>130.45971996350792</c:v>
                </c:pt>
                <c:pt idx="24">
                  <c:v>129.98611717107605</c:v>
                </c:pt>
                <c:pt idx="25">
                  <c:v>132.74523025663393</c:v>
                </c:pt>
                <c:pt idx="26">
                  <c:v>140.48312244655102</c:v>
                </c:pt>
                <c:pt idx="27">
                  <c:v>140.57355916068374</c:v>
                </c:pt>
                <c:pt idx="28">
                  <c:v>147.61929316568157</c:v>
                </c:pt>
                <c:pt idx="29">
                  <c:v>152.38784657490768</c:v>
                </c:pt>
                <c:pt idx="30">
                  <c:v>149.60057117924705</c:v>
                </c:pt>
                <c:pt idx="31">
                  <c:v>155.44643211296645</c:v>
                </c:pt>
                <c:pt idx="32">
                  <c:v>162.76704613065715</c:v>
                </c:pt>
                <c:pt idx="33">
                  <c:v>164.61068581174871</c:v>
                </c:pt>
                <c:pt idx="34">
                  <c:v>154.32112966562204</c:v>
                </c:pt>
                <c:pt idx="35">
                  <c:v>150.22252191503699</c:v>
                </c:pt>
                <c:pt idx="36">
                  <c:v>140.03331878941722</c:v>
                </c:pt>
                <c:pt idx="37">
                  <c:v>97.992146285351566</c:v>
                </c:pt>
                <c:pt idx="38">
                  <c:v>107.2353337828725</c:v>
                </c:pt>
                <c:pt idx="39">
                  <c:v>96.988219428027406</c:v>
                </c:pt>
                <c:pt idx="40">
                  <c:v>93.441354964102928</c:v>
                </c:pt>
                <c:pt idx="41">
                  <c:v>87.455872436634763</c:v>
                </c:pt>
                <c:pt idx="42">
                  <c:v>87.811272857086152</c:v>
                </c:pt>
                <c:pt idx="43">
                  <c:v>95.199714410376373</c:v>
                </c:pt>
                <c:pt idx="44">
                  <c:v>77.637142517155169</c:v>
                </c:pt>
                <c:pt idx="45">
                  <c:v>85.939074213636857</c:v>
                </c:pt>
                <c:pt idx="46">
                  <c:v>86.253222799571574</c:v>
                </c:pt>
                <c:pt idx="47">
                  <c:v>85.443655547181734</c:v>
                </c:pt>
                <c:pt idx="48">
                  <c:v>88.278925865693495</c:v>
                </c:pt>
                <c:pt idx="49">
                  <c:v>89.372099480385486</c:v>
                </c:pt>
                <c:pt idx="50">
                  <c:v>97.206378168259832</c:v>
                </c:pt>
                <c:pt idx="51">
                  <c:v>104.51548927055644</c:v>
                </c:pt>
                <c:pt idx="52">
                  <c:v>107.79580341914236</c:v>
                </c:pt>
                <c:pt idx="53">
                  <c:v>110.95831184800278</c:v>
                </c:pt>
                <c:pt idx="54">
                  <c:v>121.91107056443607</c:v>
                </c:pt>
                <c:pt idx="55">
                  <c:v>128.03895125143777</c:v>
                </c:pt>
              </c:numCache>
            </c:numRef>
          </c:val>
          <c:smooth val="0"/>
          <c:extLst>
            <c:ext xmlns:c16="http://schemas.microsoft.com/office/drawing/2014/chart" uri="{C3380CC4-5D6E-409C-BE32-E72D297353CC}">
              <c16:uniqueId val="{00000001-29D7-4ED3-8E48-7ECB88D7A4DD}"/>
            </c:ext>
          </c:extLst>
        </c:ser>
        <c:ser>
          <c:idx val="2"/>
          <c:order val="2"/>
          <c:tx>
            <c:strRef>
              <c:f>Sheet1!$C$1</c:f>
              <c:strCache>
                <c:ptCount val="1"/>
                <c:pt idx="0">
                  <c:v>S&amp;P 500 (ԱՄՆ)</c:v>
                </c:pt>
              </c:strCache>
            </c:strRef>
          </c:tx>
          <c:spPr>
            <a:ln w="28575" cap="rnd">
              <a:solidFill>
                <a:schemeClr val="accent5">
                  <a:lumMod val="75000"/>
                </a:schemeClr>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Sheet1!$C$2:$C$57</c:f>
              <c:numCache>
                <c:formatCode>0.0</c:formatCode>
                <c:ptCount val="56"/>
                <c:pt idx="0" formatCode="General">
                  <c:v>100</c:v>
                </c:pt>
                <c:pt idx="1">
                  <c:v>102.97289301431161</c:v>
                </c:pt>
                <c:pt idx="2">
                  <c:v>104.81860877926114</c:v>
                </c:pt>
                <c:pt idx="3">
                  <c:v>108.93938833623017</c:v>
                </c:pt>
                <c:pt idx="4">
                  <c:v>101.77360304722457</c:v>
                </c:pt>
                <c:pt idx="5">
                  <c:v>108.78887615102991</c:v>
                </c:pt>
                <c:pt idx="6">
                  <c:v>110.21707777079249</c:v>
                </c:pt>
                <c:pt idx="7">
                  <c:v>108.22306867349579</c:v>
                </c:pt>
                <c:pt idx="8">
                  <c:v>110.08246736437259</c:v>
                </c:pt>
                <c:pt idx="9">
                  <c:v>112.33164453977291</c:v>
                </c:pt>
                <c:pt idx="10">
                  <c:v>116.15620724085645</c:v>
                </c:pt>
                <c:pt idx="11">
                  <c:v>119.47709034429198</c:v>
                </c:pt>
                <c:pt idx="12">
                  <c:v>119.28257091083906</c:v>
                </c:pt>
                <c:pt idx="13">
                  <c:v>109.24965792685178</c:v>
                </c:pt>
                <c:pt idx="14">
                  <c:v>95.580414925483495</c:v>
                </c:pt>
                <c:pt idx="15">
                  <c:v>107.70422691468507</c:v>
                </c:pt>
                <c:pt idx="16">
                  <c:v>112.58126548574383</c:v>
                </c:pt>
                <c:pt idx="17">
                  <c:v>114.65145519766277</c:v>
                </c:pt>
                <c:pt idx="18">
                  <c:v>120.96889907917601</c:v>
                </c:pt>
                <c:pt idx="19">
                  <c:v>129.44454716911352</c:v>
                </c:pt>
                <c:pt idx="20">
                  <c:v>124.36670241485147</c:v>
                </c:pt>
                <c:pt idx="21">
                  <c:v>120.92600125734991</c:v>
                </c:pt>
                <c:pt idx="22">
                  <c:v>133.9310676380311</c:v>
                </c:pt>
                <c:pt idx="23">
                  <c:v>138.90277726415439</c:v>
                </c:pt>
                <c:pt idx="24">
                  <c:v>137.35586701675228</c:v>
                </c:pt>
                <c:pt idx="25">
                  <c:v>140.93968418327719</c:v>
                </c:pt>
                <c:pt idx="26">
                  <c:v>146.92097185754957</c:v>
                </c:pt>
                <c:pt idx="27">
                  <c:v>154.62334972819045</c:v>
                </c:pt>
                <c:pt idx="28">
                  <c:v>155.47169113568276</c:v>
                </c:pt>
                <c:pt idx="29">
                  <c:v>158.92533560149394</c:v>
                </c:pt>
                <c:pt idx="30">
                  <c:v>162.54058651677076</c:v>
                </c:pt>
                <c:pt idx="31">
                  <c:v>167.25269035908428</c:v>
                </c:pt>
                <c:pt idx="32">
                  <c:v>159.29662364557515</c:v>
                </c:pt>
                <c:pt idx="33">
                  <c:v>170.31100920823926</c:v>
                </c:pt>
                <c:pt idx="34">
                  <c:v>168.89168299988896</c:v>
                </c:pt>
                <c:pt idx="35">
                  <c:v>176.25753485448016</c:v>
                </c:pt>
                <c:pt idx="36">
                  <c:v>166.9890166783772</c:v>
                </c:pt>
                <c:pt idx="37">
                  <c:v>161.74660700417874</c:v>
                </c:pt>
                <c:pt idx="38">
                  <c:v>167.53855256832207</c:v>
                </c:pt>
                <c:pt idx="39">
                  <c:v>152.80241115343358</c:v>
                </c:pt>
                <c:pt idx="40">
                  <c:v>152.81054694722818</c:v>
                </c:pt>
                <c:pt idx="41">
                  <c:v>139.98668688288149</c:v>
                </c:pt>
                <c:pt idx="42">
                  <c:v>152.7417625087829</c:v>
                </c:pt>
                <c:pt idx="43">
                  <c:v>146.25938389852442</c:v>
                </c:pt>
                <c:pt idx="44">
                  <c:v>132.59938611737726</c:v>
                </c:pt>
                <c:pt idx="45">
                  <c:v>143.18923116748635</c:v>
                </c:pt>
                <c:pt idx="46">
                  <c:v>150.88606190599452</c:v>
                </c:pt>
                <c:pt idx="47">
                  <c:v>141.98809215635509</c:v>
                </c:pt>
                <c:pt idx="48">
                  <c:v>150.75625901408964</c:v>
                </c:pt>
                <c:pt idx="49">
                  <c:v>146.81964424392581</c:v>
                </c:pt>
                <c:pt idx="50">
                  <c:v>151.96590362782433</c:v>
                </c:pt>
                <c:pt idx="51">
                  <c:v>154.19104323064963</c:v>
                </c:pt>
                <c:pt idx="52">
                  <c:v>154.57379534780506</c:v>
                </c:pt>
                <c:pt idx="53">
                  <c:v>164.57897267112889</c:v>
                </c:pt>
                <c:pt idx="54">
                  <c:v>169.70378314411437</c:v>
                </c:pt>
                <c:pt idx="55">
                  <c:v>166.6972375281978</c:v>
                </c:pt>
              </c:numCache>
            </c:numRef>
          </c:val>
          <c:smooth val="0"/>
          <c:extLst>
            <c:ext xmlns:c16="http://schemas.microsoft.com/office/drawing/2014/chart" uri="{C3380CC4-5D6E-409C-BE32-E72D297353CC}">
              <c16:uniqueId val="{00000002-29D7-4ED3-8E48-7ECB88D7A4DD}"/>
            </c:ext>
          </c:extLst>
        </c:ser>
        <c:dLbls>
          <c:showLegendKey val="0"/>
          <c:showVal val="0"/>
          <c:showCatName val="0"/>
          <c:showSerName val="0"/>
          <c:showPercent val="0"/>
          <c:showBubbleSize val="0"/>
        </c:dLbls>
        <c:smooth val="0"/>
        <c:axId val="1701939584"/>
        <c:axId val="1701940672"/>
      </c:lineChart>
      <c:catAx>
        <c:axId val="170193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940672"/>
        <c:crosses val="autoZero"/>
        <c:auto val="1"/>
        <c:lblAlgn val="ctr"/>
        <c:lblOffset val="10"/>
        <c:noMultiLvlLbl val="0"/>
      </c:catAx>
      <c:valAx>
        <c:axId val="1701940672"/>
        <c:scaling>
          <c:orientation val="minMax"/>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hy-AM" sz="900"/>
                  <a:t>Ինդեքս՝ 2019թ. հունվար</a:t>
                </a:r>
                <a:r>
                  <a:rPr lang="en-US" sz="900"/>
                  <a:t>=100</a:t>
                </a:r>
              </a:p>
            </c:rich>
          </c:tx>
          <c:layout>
            <c:manualLayout>
              <c:xMode val="edge"/>
              <c:yMode val="edge"/>
              <c:x val="5.822678075038442E-3"/>
              <c:y val="9.9954846172578923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939584"/>
        <c:crosses val="autoZero"/>
        <c:crossBetween val="between"/>
      </c:valAx>
      <c:spPr>
        <a:noFill/>
        <a:ln>
          <a:noFill/>
        </a:ln>
        <a:effectLst/>
      </c:spPr>
    </c:plotArea>
    <c:legend>
      <c:legendPos val="b"/>
      <c:layout>
        <c:manualLayout>
          <c:xMode val="edge"/>
          <c:yMode val="edge"/>
          <c:x val="0"/>
          <c:y val="0.86106420975728537"/>
          <c:w val="1"/>
          <c:h val="0.138935799422487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23488154920764"/>
          <c:y val="3.2484228945066071E-2"/>
          <c:w val="0.70554658359487443"/>
          <c:h val="0.53236284075152962"/>
        </c:manualLayout>
      </c:layout>
      <c:lineChart>
        <c:grouping val="standard"/>
        <c:varyColors val="0"/>
        <c:ser>
          <c:idx val="0"/>
          <c:order val="0"/>
          <c:tx>
            <c:strRef>
              <c:f>Sheet1!$B$1</c:f>
              <c:strCache>
                <c:ptCount val="1"/>
                <c:pt idx="0">
                  <c:v>Հայաստան (2025թ.)</c:v>
                </c:pt>
              </c:strCache>
            </c:strRef>
          </c:tx>
          <c:spPr>
            <a:ln w="19050" cap="rnd">
              <a:solidFill>
                <a:schemeClr val="accent1"/>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Sheet1!$B$2:$B$1226</c:f>
              <c:numCache>
                <c:formatCode>0</c:formatCode>
                <c:ptCount val="964"/>
                <c:pt idx="0">
                  <c:v>1.7363900000000001</c:v>
                </c:pt>
                <c:pt idx="1">
                  <c:v>1.78189</c:v>
                </c:pt>
                <c:pt idx="2">
                  <c:v>1.8520699999999999</c:v>
                </c:pt>
                <c:pt idx="3">
                  <c:v>1.8480300000000001</c:v>
                </c:pt>
                <c:pt idx="4">
                  <c:v>1.8575299999999999</c:v>
                </c:pt>
                <c:pt idx="5">
                  <c:v>1.7668799999999998</c:v>
                </c:pt>
                <c:pt idx="6">
                  <c:v>1.7166300000000001</c:v>
                </c:pt>
                <c:pt idx="7">
                  <c:v>1.6982400000000002</c:v>
                </c:pt>
                <c:pt idx="8">
                  <c:v>1.6835499999999999</c:v>
                </c:pt>
                <c:pt idx="9">
                  <c:v>1.6552199999999999</c:v>
                </c:pt>
                <c:pt idx="10">
                  <c:v>1.6752400000000001</c:v>
                </c:pt>
                <c:pt idx="11">
                  <c:v>1.61792</c:v>
                </c:pt>
                <c:pt idx="12">
                  <c:v>1.6393500000000001</c:v>
                </c:pt>
                <c:pt idx="13">
                  <c:v>1.62825</c:v>
                </c:pt>
                <c:pt idx="14">
                  <c:v>1.67648</c:v>
                </c:pt>
                <c:pt idx="15">
                  <c:v>1.6821299999999999</c:v>
                </c:pt>
                <c:pt idx="16">
                  <c:v>1.73034</c:v>
                </c:pt>
                <c:pt idx="17">
                  <c:v>1.75119</c:v>
                </c:pt>
                <c:pt idx="18">
                  <c:v>1.8262299999999998</c:v>
                </c:pt>
                <c:pt idx="19">
                  <c:v>1.78573</c:v>
                </c:pt>
                <c:pt idx="20">
                  <c:v>1.8404199999999999</c:v>
                </c:pt>
                <c:pt idx="21">
                  <c:v>1.85995</c:v>
                </c:pt>
                <c:pt idx="22">
                  <c:v>1.85808</c:v>
                </c:pt>
                <c:pt idx="23">
                  <c:v>1.8296999999999999</c:v>
                </c:pt>
                <c:pt idx="24">
                  <c:v>1.8093700000000001</c:v>
                </c:pt>
                <c:pt idx="25">
                  <c:v>1.77155</c:v>
                </c:pt>
                <c:pt idx="26">
                  <c:v>1.7235</c:v>
                </c:pt>
                <c:pt idx="27">
                  <c:v>1.79684</c:v>
                </c:pt>
                <c:pt idx="28">
                  <c:v>1.8176499999999998</c:v>
                </c:pt>
                <c:pt idx="29">
                  <c:v>1.7914599999999998</c:v>
                </c:pt>
                <c:pt idx="30">
                  <c:v>1.77417</c:v>
                </c:pt>
                <c:pt idx="31">
                  <c:v>1.7558</c:v>
                </c:pt>
                <c:pt idx="32">
                  <c:v>1.7746999999999999</c:v>
                </c:pt>
                <c:pt idx="33">
                  <c:v>1.75267</c:v>
                </c:pt>
                <c:pt idx="34">
                  <c:v>1.7710599999999999</c:v>
                </c:pt>
                <c:pt idx="35">
                  <c:v>1.7523599999999999</c:v>
                </c:pt>
                <c:pt idx="36">
                  <c:v>1.7475399999999999</c:v>
                </c:pt>
                <c:pt idx="37">
                  <c:v>1.7945500000000001</c:v>
                </c:pt>
                <c:pt idx="38">
                  <c:v>1.8802000000000001</c:v>
                </c:pt>
                <c:pt idx="39">
                  <c:v>1.9615799999999999</c:v>
                </c:pt>
                <c:pt idx="40">
                  <c:v>1.96654</c:v>
                </c:pt>
                <c:pt idx="41">
                  <c:v>2.1098500000000002</c:v>
                </c:pt>
                <c:pt idx="42">
                  <c:v>2.3438099999999999</c:v>
                </c:pt>
                <c:pt idx="43">
                  <c:v>2.3085300000000002</c:v>
                </c:pt>
                <c:pt idx="44">
                  <c:v>2.2575099999999999</c:v>
                </c:pt>
                <c:pt idx="45">
                  <c:v>2.4010699999999998</c:v>
                </c:pt>
                <c:pt idx="46">
                  <c:v>2.4489700000000001</c:v>
                </c:pt>
                <c:pt idx="47">
                  <c:v>2.57192</c:v>
                </c:pt>
                <c:pt idx="48">
                  <c:v>3.3681299999999998</c:v>
                </c:pt>
                <c:pt idx="49">
                  <c:v>3.29461</c:v>
                </c:pt>
                <c:pt idx="50">
                  <c:v>3.3781499999999998</c:v>
                </c:pt>
                <c:pt idx="51">
                  <c:v>4.0818200000000004</c:v>
                </c:pt>
                <c:pt idx="52">
                  <c:v>4.0964900000000002</c:v>
                </c:pt>
                <c:pt idx="53">
                  <c:v>4.29115</c:v>
                </c:pt>
                <c:pt idx="54">
                  <c:v>4.4605500000000005</c:v>
                </c:pt>
                <c:pt idx="55">
                  <c:v>5.0475099999999999</c:v>
                </c:pt>
                <c:pt idx="56">
                  <c:v>5.7666099999999991</c:v>
                </c:pt>
                <c:pt idx="57">
                  <c:v>6.2334199999999997</c:v>
                </c:pt>
                <c:pt idx="58">
                  <c:v>6.8207699999999996</c:v>
                </c:pt>
                <c:pt idx="59">
                  <c:v>6.6840999999999999</c:v>
                </c:pt>
                <c:pt idx="60">
                  <c:v>6.3724499999999997</c:v>
                </c:pt>
                <c:pt idx="61">
                  <c:v>6.2413199999999991</c:v>
                </c:pt>
                <c:pt idx="62">
                  <c:v>6.2163000000000004</c:v>
                </c:pt>
                <c:pt idx="63">
                  <c:v>6.2312099999999999</c:v>
                </c:pt>
                <c:pt idx="64">
                  <c:v>6.2416499999999999</c:v>
                </c:pt>
                <c:pt idx="65">
                  <c:v>6.2218899999999993</c:v>
                </c:pt>
                <c:pt idx="66">
                  <c:v>6.1579600000000001</c:v>
                </c:pt>
                <c:pt idx="67">
                  <c:v>5.9767999999999999</c:v>
                </c:pt>
                <c:pt idx="68">
                  <c:v>5.8394200000000005</c:v>
                </c:pt>
                <c:pt idx="69">
                  <c:v>5.8199500000000004</c:v>
                </c:pt>
                <c:pt idx="70">
                  <c:v>5.8534100000000002</c:v>
                </c:pt>
                <c:pt idx="71">
                  <c:v>5.5377200000000002</c:v>
                </c:pt>
                <c:pt idx="72">
                  <c:v>5.5377200000000002</c:v>
                </c:pt>
                <c:pt idx="73">
                  <c:v>5.5377200000000002</c:v>
                </c:pt>
                <c:pt idx="74">
                  <c:v>5.3122400000000001</c:v>
                </c:pt>
                <c:pt idx="75">
                  <c:v>5.3883100000000006</c:v>
                </c:pt>
                <c:pt idx="76">
                  <c:v>5.3957600000000001</c:v>
                </c:pt>
                <c:pt idx="77">
                  <c:v>5.3039499999999995</c:v>
                </c:pt>
                <c:pt idx="78">
                  <c:v>5.3371199999999996</c:v>
                </c:pt>
                <c:pt idx="79">
                  <c:v>5.4261699999999999</c:v>
                </c:pt>
                <c:pt idx="80">
                  <c:v>5.4218100000000007</c:v>
                </c:pt>
                <c:pt idx="81">
                  <c:v>5.3878599999999999</c:v>
                </c:pt>
                <c:pt idx="82">
                  <c:v>5.3713699999999998</c:v>
                </c:pt>
                <c:pt idx="83">
                  <c:v>5.3795299999999999</c:v>
                </c:pt>
                <c:pt idx="84">
                  <c:v>5.4208299999999996</c:v>
                </c:pt>
                <c:pt idx="85">
                  <c:v>5.4206200000000004</c:v>
                </c:pt>
                <c:pt idx="86">
                  <c:v>5.2873099999999997</c:v>
                </c:pt>
                <c:pt idx="87">
                  <c:v>5.3007899999999992</c:v>
                </c:pt>
                <c:pt idx="88">
                  <c:v>5.2291999999999996</c:v>
                </c:pt>
                <c:pt idx="89">
                  <c:v>4.8987699999999998</c:v>
                </c:pt>
                <c:pt idx="90">
                  <c:v>4.8389499999999996</c:v>
                </c:pt>
                <c:pt idx="91">
                  <c:v>4.7902999999999993</c:v>
                </c:pt>
                <c:pt idx="92">
                  <c:v>4.7902999999999993</c:v>
                </c:pt>
                <c:pt idx="93">
                  <c:v>4.3407299999999998</c:v>
                </c:pt>
                <c:pt idx="94">
                  <c:v>4.3659400000000002</c:v>
                </c:pt>
                <c:pt idx="95">
                  <c:v>3.92456</c:v>
                </c:pt>
                <c:pt idx="96">
                  <c:v>3.7565599999999999</c:v>
                </c:pt>
                <c:pt idx="97">
                  <c:v>3.6614999999999998</c:v>
                </c:pt>
                <c:pt idx="98">
                  <c:v>3.5234699999999997</c:v>
                </c:pt>
                <c:pt idx="99">
                  <c:v>3.5111399999999997</c:v>
                </c:pt>
                <c:pt idx="100">
                  <c:v>3.4656500000000001</c:v>
                </c:pt>
                <c:pt idx="101">
                  <c:v>3.4431799999999999</c:v>
                </c:pt>
                <c:pt idx="102">
                  <c:v>3.4334899999999999</c:v>
                </c:pt>
                <c:pt idx="103">
                  <c:v>3.4334899999999999</c:v>
                </c:pt>
                <c:pt idx="104">
                  <c:v>3.4462900000000003</c:v>
                </c:pt>
                <c:pt idx="105">
                  <c:v>3.4242399999999997</c:v>
                </c:pt>
                <c:pt idx="106">
                  <c:v>3.4202900000000001</c:v>
                </c:pt>
                <c:pt idx="107">
                  <c:v>3.4429500000000002</c:v>
                </c:pt>
                <c:pt idx="108">
                  <c:v>3.4256099999999998</c:v>
                </c:pt>
                <c:pt idx="109">
                  <c:v>3.3997899999999999</c:v>
                </c:pt>
                <c:pt idx="110">
                  <c:v>3.37039</c:v>
                </c:pt>
                <c:pt idx="111">
                  <c:v>3.34673</c:v>
                </c:pt>
                <c:pt idx="112">
                  <c:v>3.2236599999999997</c:v>
                </c:pt>
                <c:pt idx="113">
                  <c:v>3.2968700000000002</c:v>
                </c:pt>
                <c:pt idx="114">
                  <c:v>3.4345400000000001</c:v>
                </c:pt>
                <c:pt idx="115">
                  <c:v>3.35101</c:v>
                </c:pt>
                <c:pt idx="116">
                  <c:v>3.5507999999999997</c:v>
                </c:pt>
                <c:pt idx="117">
                  <c:v>3.6457899999999999</c:v>
                </c:pt>
                <c:pt idx="118">
                  <c:v>3.96271</c:v>
                </c:pt>
                <c:pt idx="119">
                  <c:v>3.9336200000000003</c:v>
                </c:pt>
                <c:pt idx="120">
                  <c:v>3.9383600000000003</c:v>
                </c:pt>
                <c:pt idx="121">
                  <c:v>3.93391</c:v>
                </c:pt>
                <c:pt idx="122">
                  <c:v>3.8374799999999998</c:v>
                </c:pt>
                <c:pt idx="123">
                  <c:v>3.9015</c:v>
                </c:pt>
                <c:pt idx="124">
                  <c:v>3.90001</c:v>
                </c:pt>
                <c:pt idx="125">
                  <c:v>3.8919700000000002</c:v>
                </c:pt>
                <c:pt idx="126">
                  <c:v>3.9880599999999999</c:v>
                </c:pt>
                <c:pt idx="127">
                  <c:v>3.9624999999999999</c:v>
                </c:pt>
                <c:pt idx="128">
                  <c:v>4.0005699999999997</c:v>
                </c:pt>
                <c:pt idx="129">
                  <c:v>3.9650499999999997</c:v>
                </c:pt>
                <c:pt idx="130">
                  <c:v>3.8603399999999999</c:v>
                </c:pt>
                <c:pt idx="131">
                  <c:v>3.61937</c:v>
                </c:pt>
                <c:pt idx="132">
                  <c:v>3.5287799999999998</c:v>
                </c:pt>
                <c:pt idx="133">
                  <c:v>3.5539999999999998</c:v>
                </c:pt>
                <c:pt idx="134">
                  <c:v>3.5553699999999999</c:v>
                </c:pt>
                <c:pt idx="135">
                  <c:v>3.5792899999999999</c:v>
                </c:pt>
                <c:pt idx="136">
                  <c:v>3.5980500000000002</c:v>
                </c:pt>
                <c:pt idx="137">
                  <c:v>3.59979</c:v>
                </c:pt>
                <c:pt idx="138">
                  <c:v>3.6027199999999997</c:v>
                </c:pt>
                <c:pt idx="139">
                  <c:v>3.5821399999999999</c:v>
                </c:pt>
                <c:pt idx="140">
                  <c:v>3.5893799999999998</c:v>
                </c:pt>
                <c:pt idx="141">
                  <c:v>3.5935100000000002</c:v>
                </c:pt>
                <c:pt idx="142">
                  <c:v>3.6319900000000001</c:v>
                </c:pt>
                <c:pt idx="143">
                  <c:v>3.6670999999999996</c:v>
                </c:pt>
                <c:pt idx="144">
                  <c:v>3.6825400000000004</c:v>
                </c:pt>
                <c:pt idx="145">
                  <c:v>3.64445</c:v>
                </c:pt>
                <c:pt idx="146">
                  <c:v>3.5911599999999999</c:v>
                </c:pt>
                <c:pt idx="147">
                  <c:v>3.6309399999999998</c:v>
                </c:pt>
                <c:pt idx="148">
                  <c:v>3.5488499999999998</c:v>
                </c:pt>
                <c:pt idx="149">
                  <c:v>3.6082000000000001</c:v>
                </c:pt>
                <c:pt idx="150">
                  <c:v>3.62513</c:v>
                </c:pt>
                <c:pt idx="151">
                  <c:v>3.6390400000000001</c:v>
                </c:pt>
                <c:pt idx="152">
                  <c:v>3.63036</c:v>
                </c:pt>
                <c:pt idx="153">
                  <c:v>3.6068099999999998</c:v>
                </c:pt>
                <c:pt idx="154">
                  <c:v>3.5644200000000001</c:v>
                </c:pt>
                <c:pt idx="155">
                  <c:v>3.5126999999999997</c:v>
                </c:pt>
                <c:pt idx="156">
                  <c:v>3.4589800000000004</c:v>
                </c:pt>
                <c:pt idx="157">
                  <c:v>3.4546600000000001</c:v>
                </c:pt>
                <c:pt idx="158">
                  <c:v>3.4656799999999999</c:v>
                </c:pt>
                <c:pt idx="159">
                  <c:v>3.3431299999999999</c:v>
                </c:pt>
                <c:pt idx="160">
                  <c:v>3.2711200000000002</c:v>
                </c:pt>
                <c:pt idx="161">
                  <c:v>3.17849</c:v>
                </c:pt>
                <c:pt idx="162">
                  <c:v>3.2134199999999997</c:v>
                </c:pt>
                <c:pt idx="163">
                  <c:v>3.31664</c:v>
                </c:pt>
                <c:pt idx="164">
                  <c:v>3.2951999999999999</c:v>
                </c:pt>
                <c:pt idx="165">
                  <c:v>3.2981400000000001</c:v>
                </c:pt>
                <c:pt idx="166">
                  <c:v>3.30728</c:v>
                </c:pt>
                <c:pt idx="167">
                  <c:v>3.2602999999999995</c:v>
                </c:pt>
                <c:pt idx="168">
                  <c:v>3.2972399999999999</c:v>
                </c:pt>
                <c:pt idx="169">
                  <c:v>3.2194799999999999</c:v>
                </c:pt>
                <c:pt idx="170">
                  <c:v>3.26613</c:v>
                </c:pt>
                <c:pt idx="171">
                  <c:v>3.1721599999999999</c:v>
                </c:pt>
                <c:pt idx="172">
                  <c:v>3.29332</c:v>
                </c:pt>
                <c:pt idx="173">
                  <c:v>3.29332</c:v>
                </c:pt>
                <c:pt idx="174">
                  <c:v>3.2331799999999999</c:v>
                </c:pt>
                <c:pt idx="175">
                  <c:v>3.2189899999999998</c:v>
                </c:pt>
                <c:pt idx="176">
                  <c:v>3.2304399999999998</c:v>
                </c:pt>
                <c:pt idx="177">
                  <c:v>3.17327</c:v>
                </c:pt>
                <c:pt idx="178">
                  <c:v>3.1342200000000005</c:v>
                </c:pt>
                <c:pt idx="179">
                  <c:v>3.28267</c:v>
                </c:pt>
                <c:pt idx="180">
                  <c:v>3.21848</c:v>
                </c:pt>
                <c:pt idx="181">
                  <c:v>3.2305099999999998</c:v>
                </c:pt>
                <c:pt idx="182">
                  <c:v>3.2290899999999998</c:v>
                </c:pt>
                <c:pt idx="183">
                  <c:v>3.2208699999999997</c:v>
                </c:pt>
                <c:pt idx="184">
                  <c:v>3.2126199999999998</c:v>
                </c:pt>
                <c:pt idx="185">
                  <c:v>3.1789199999999997</c:v>
                </c:pt>
                <c:pt idx="186">
                  <c:v>3.19923</c:v>
                </c:pt>
                <c:pt idx="187">
                  <c:v>3.1557499999999998</c:v>
                </c:pt>
                <c:pt idx="188">
                  <c:v>3.2448999999999999</c:v>
                </c:pt>
                <c:pt idx="189">
                  <c:v>3.2217599999999997</c:v>
                </c:pt>
                <c:pt idx="190">
                  <c:v>3.3617700000000004</c:v>
                </c:pt>
                <c:pt idx="191">
                  <c:v>3.4065699999999999</c:v>
                </c:pt>
                <c:pt idx="192">
                  <c:v>3.3928400000000001</c:v>
                </c:pt>
                <c:pt idx="193">
                  <c:v>4.3042400000000001</c:v>
                </c:pt>
                <c:pt idx="194">
                  <c:v>4.6249799999999999</c:v>
                </c:pt>
                <c:pt idx="195">
                  <c:v>4.5971700000000002</c:v>
                </c:pt>
                <c:pt idx="196">
                  <c:v>4.3040899999999995</c:v>
                </c:pt>
                <c:pt idx="197">
                  <c:v>4.1194299999999995</c:v>
                </c:pt>
                <c:pt idx="198">
                  <c:v>4.1542300000000001</c:v>
                </c:pt>
                <c:pt idx="199">
                  <c:v>4.1319299999999997</c:v>
                </c:pt>
                <c:pt idx="200">
                  <c:v>4.1326499999999999</c:v>
                </c:pt>
                <c:pt idx="201">
                  <c:v>4.12019</c:v>
                </c:pt>
                <c:pt idx="202">
                  <c:v>4.0574500000000002</c:v>
                </c:pt>
                <c:pt idx="203">
                  <c:v>4.0721499999999997</c:v>
                </c:pt>
                <c:pt idx="204">
                  <c:v>4.1034699999999997</c:v>
                </c:pt>
                <c:pt idx="205">
                  <c:v>4.2120699999999998</c:v>
                </c:pt>
                <c:pt idx="206">
                  <c:v>4.2347999999999999</c:v>
                </c:pt>
                <c:pt idx="207">
                  <c:v>4.20695</c:v>
                </c:pt>
                <c:pt idx="208">
                  <c:v>4.1501600000000005</c:v>
                </c:pt>
                <c:pt idx="209">
                  <c:v>4.2053699999999994</c:v>
                </c:pt>
                <c:pt idx="210">
                  <c:v>4.2730399999999999</c:v>
                </c:pt>
                <c:pt idx="211">
                  <c:v>4.3217999999999996</c:v>
                </c:pt>
                <c:pt idx="212">
                  <c:v>4.3247099999999996</c:v>
                </c:pt>
                <c:pt idx="213">
                  <c:v>4.4691700000000001</c:v>
                </c:pt>
                <c:pt idx="214">
                  <c:v>4.5228399999999995</c:v>
                </c:pt>
                <c:pt idx="215">
                  <c:v>4.5758900000000002</c:v>
                </c:pt>
                <c:pt idx="216">
                  <c:v>4.6467200000000002</c:v>
                </c:pt>
                <c:pt idx="217">
                  <c:v>4.7588299999999997</c:v>
                </c:pt>
                <c:pt idx="218">
                  <c:v>4.8208599999999997</c:v>
                </c:pt>
                <c:pt idx="219">
                  <c:v>4.5528899999999997</c:v>
                </c:pt>
                <c:pt idx="220">
                  <c:v>4.5327599999999997</c:v>
                </c:pt>
                <c:pt idx="221">
                  <c:v>4.4813600000000005</c:v>
                </c:pt>
                <c:pt idx="222">
                  <c:v>4.3659100000000004</c:v>
                </c:pt>
                <c:pt idx="223">
                  <c:v>3.9936500000000001</c:v>
                </c:pt>
                <c:pt idx="224">
                  <c:v>3.4702999999999999</c:v>
                </c:pt>
                <c:pt idx="225">
                  <c:v>3.4935700000000001</c:v>
                </c:pt>
                <c:pt idx="226">
                  <c:v>3.4884199999999996</c:v>
                </c:pt>
                <c:pt idx="227">
                  <c:v>3.52183</c:v>
                </c:pt>
                <c:pt idx="228">
                  <c:v>3.4179599999999999</c:v>
                </c:pt>
                <c:pt idx="229">
                  <c:v>3.5132100000000004</c:v>
                </c:pt>
                <c:pt idx="230">
                  <c:v>3.5017</c:v>
                </c:pt>
                <c:pt idx="231">
                  <c:v>3.5449999999999999</c:v>
                </c:pt>
                <c:pt idx="232">
                  <c:v>3.5680000000000001</c:v>
                </c:pt>
                <c:pt idx="233">
                  <c:v>3.6437400000000002</c:v>
                </c:pt>
                <c:pt idx="234">
                  <c:v>3.5514199999999998</c:v>
                </c:pt>
                <c:pt idx="235">
                  <c:v>3.5723500000000001</c:v>
                </c:pt>
                <c:pt idx="236">
                  <c:v>3.6395800000000005</c:v>
                </c:pt>
                <c:pt idx="237">
                  <c:v>3.5815100000000002</c:v>
                </c:pt>
                <c:pt idx="238">
                  <c:v>3.6077699999999999</c:v>
                </c:pt>
                <c:pt idx="239">
                  <c:v>3.5652600000000003</c:v>
                </c:pt>
                <c:pt idx="240">
                  <c:v>3.5849599999999997</c:v>
                </c:pt>
                <c:pt idx="241">
                  <c:v>3.4287000000000001</c:v>
                </c:pt>
                <c:pt idx="242">
                  <c:v>3.00034</c:v>
                </c:pt>
                <c:pt idx="243">
                  <c:v>3.0610000000000004</c:v>
                </c:pt>
                <c:pt idx="244">
                  <c:v>3.0694299999999997</c:v>
                </c:pt>
                <c:pt idx="245">
                  <c:v>3.0457400000000003</c:v>
                </c:pt>
                <c:pt idx="246">
                  <c:v>3.1460399999999997</c:v>
                </c:pt>
                <c:pt idx="247">
                  <c:v>3.1726399999999999</c:v>
                </c:pt>
                <c:pt idx="248">
                  <c:v>3.1973399999999996</c:v>
                </c:pt>
                <c:pt idx="249">
                  <c:v>3.0992999999999999</c:v>
                </c:pt>
                <c:pt idx="250">
                  <c:v>3.02657</c:v>
                </c:pt>
                <c:pt idx="251">
                  <c:v>2.9476999999999998</c:v>
                </c:pt>
                <c:pt idx="252">
                  <c:v>2.95709</c:v>
                </c:pt>
                <c:pt idx="253">
                  <c:v>3.0359800000000003</c:v>
                </c:pt>
                <c:pt idx="254">
                  <c:v>2.9912599999999996</c:v>
                </c:pt>
                <c:pt idx="255">
                  <c:v>2.9758499999999999</c:v>
                </c:pt>
                <c:pt idx="256">
                  <c:v>2.9051600000000004</c:v>
                </c:pt>
                <c:pt idx="257">
                  <c:v>2.9051600000000004</c:v>
                </c:pt>
                <c:pt idx="258">
                  <c:v>2.9051600000000004</c:v>
                </c:pt>
                <c:pt idx="259">
                  <c:v>2.86206</c:v>
                </c:pt>
                <c:pt idx="260">
                  <c:v>2.8364100000000003</c:v>
                </c:pt>
                <c:pt idx="261">
                  <c:v>2.8584500000000004</c:v>
                </c:pt>
                <c:pt idx="262">
                  <c:v>2.8584500000000004</c:v>
                </c:pt>
                <c:pt idx="263">
                  <c:v>2.8169299999999997</c:v>
                </c:pt>
                <c:pt idx="264">
                  <c:v>2.7524099999999998</c:v>
                </c:pt>
                <c:pt idx="265">
                  <c:v>2.68981</c:v>
                </c:pt>
                <c:pt idx="266">
                  <c:v>2.6709300000000002</c:v>
                </c:pt>
                <c:pt idx="267">
                  <c:v>2.6219099999999997</c:v>
                </c:pt>
                <c:pt idx="268">
                  <c:v>2.6010199999999997</c:v>
                </c:pt>
                <c:pt idx="269">
                  <c:v>2.59552</c:v>
                </c:pt>
                <c:pt idx="270">
                  <c:v>2.5579900000000002</c:v>
                </c:pt>
                <c:pt idx="271">
                  <c:v>2.4131</c:v>
                </c:pt>
                <c:pt idx="272">
                  <c:v>2.3556699999999999</c:v>
                </c:pt>
                <c:pt idx="273">
                  <c:v>2.3820399999999999</c:v>
                </c:pt>
                <c:pt idx="274">
                  <c:v>2.3827400000000001</c:v>
                </c:pt>
                <c:pt idx="275">
                  <c:v>2.4190899999999997</c:v>
                </c:pt>
                <c:pt idx="276">
                  <c:v>2.38836</c:v>
                </c:pt>
                <c:pt idx="277">
                  <c:v>2.4344100000000002</c:v>
                </c:pt>
                <c:pt idx="278">
                  <c:v>2.6081300000000001</c:v>
                </c:pt>
                <c:pt idx="279">
                  <c:v>2.5082100000000001</c:v>
                </c:pt>
                <c:pt idx="280">
                  <c:v>2.6385000000000001</c:v>
                </c:pt>
                <c:pt idx="281">
                  <c:v>2.5804300000000002</c:v>
                </c:pt>
                <c:pt idx="282">
                  <c:v>2.5819999999999999</c:v>
                </c:pt>
                <c:pt idx="283">
                  <c:v>2.6406999999999998</c:v>
                </c:pt>
                <c:pt idx="284">
                  <c:v>2.6360299999999999</c:v>
                </c:pt>
                <c:pt idx="285">
                  <c:v>2.5867100000000001</c:v>
                </c:pt>
                <c:pt idx="286">
                  <c:v>2.6601499999999998</c:v>
                </c:pt>
                <c:pt idx="287">
                  <c:v>2.6298899999999996</c:v>
                </c:pt>
                <c:pt idx="288">
                  <c:v>2.6354099999999998</c:v>
                </c:pt>
                <c:pt idx="289">
                  <c:v>2.7134300000000002</c:v>
                </c:pt>
                <c:pt idx="290">
                  <c:v>2.7214999999999998</c:v>
                </c:pt>
                <c:pt idx="291">
                  <c:v>2.7622500000000003</c:v>
                </c:pt>
                <c:pt idx="292">
                  <c:v>2.7557600000000004</c:v>
                </c:pt>
                <c:pt idx="293">
                  <c:v>2.7970999999999999</c:v>
                </c:pt>
                <c:pt idx="294">
                  <c:v>2.8182600000000004</c:v>
                </c:pt>
                <c:pt idx="295">
                  <c:v>2.8817399999999997</c:v>
                </c:pt>
                <c:pt idx="296">
                  <c:v>2.8945600000000002</c:v>
                </c:pt>
                <c:pt idx="297">
                  <c:v>2.8390599999999999</c:v>
                </c:pt>
                <c:pt idx="298">
                  <c:v>2.8846400000000001</c:v>
                </c:pt>
                <c:pt idx="299">
                  <c:v>2.8992500000000003</c:v>
                </c:pt>
                <c:pt idx="300">
                  <c:v>2.8491300000000002</c:v>
                </c:pt>
                <c:pt idx="301">
                  <c:v>3.1882299999999999</c:v>
                </c:pt>
                <c:pt idx="302">
                  <c:v>3.1135899999999999</c:v>
                </c:pt>
                <c:pt idx="303">
                  <c:v>3.1217200000000003</c:v>
                </c:pt>
                <c:pt idx="304">
                  <c:v>3.21644</c:v>
                </c:pt>
                <c:pt idx="305">
                  <c:v>3.0998600000000001</c:v>
                </c:pt>
                <c:pt idx="306">
                  <c:v>3.1214600000000003</c:v>
                </c:pt>
                <c:pt idx="307">
                  <c:v>3.2054500000000004</c:v>
                </c:pt>
                <c:pt idx="308">
                  <c:v>3.2382799999999996</c:v>
                </c:pt>
                <c:pt idx="309">
                  <c:v>3.1944099999999995</c:v>
                </c:pt>
                <c:pt idx="310">
                  <c:v>3.2335500000000001</c:v>
                </c:pt>
                <c:pt idx="311">
                  <c:v>3.1610399999999998</c:v>
                </c:pt>
                <c:pt idx="312">
                  <c:v>3.1209699999999998</c:v>
                </c:pt>
                <c:pt idx="313">
                  <c:v>3.1028800000000003</c:v>
                </c:pt>
                <c:pt idx="314">
                  <c:v>3.0680700000000001</c:v>
                </c:pt>
                <c:pt idx="315">
                  <c:v>3.27101</c:v>
                </c:pt>
                <c:pt idx="316">
                  <c:v>3.29372</c:v>
                </c:pt>
                <c:pt idx="317">
                  <c:v>3.2604099999999998</c:v>
                </c:pt>
                <c:pt idx="318">
                  <c:v>3.3307100000000003</c:v>
                </c:pt>
                <c:pt idx="319">
                  <c:v>3.35711</c:v>
                </c:pt>
                <c:pt idx="320">
                  <c:v>3.3750799999999996</c:v>
                </c:pt>
                <c:pt idx="321">
                  <c:v>3.3872500000000003</c:v>
                </c:pt>
                <c:pt idx="322">
                  <c:v>3.3202699999999998</c:v>
                </c:pt>
                <c:pt idx="323">
                  <c:v>3.2536299999999998</c:v>
                </c:pt>
                <c:pt idx="324">
                  <c:v>3.2598099999999999</c:v>
                </c:pt>
                <c:pt idx="325">
                  <c:v>3.2363</c:v>
                </c:pt>
                <c:pt idx="326">
                  <c:v>3.2511200000000002</c:v>
                </c:pt>
                <c:pt idx="327">
                  <c:v>3.2511200000000002</c:v>
                </c:pt>
                <c:pt idx="328">
                  <c:v>3.2511200000000002</c:v>
                </c:pt>
                <c:pt idx="329">
                  <c:v>3.1804700000000001</c:v>
                </c:pt>
                <c:pt idx="330">
                  <c:v>3.2015800000000003</c:v>
                </c:pt>
                <c:pt idx="331">
                  <c:v>3.2289699999999999</c:v>
                </c:pt>
                <c:pt idx="332">
                  <c:v>3.1660000000000004</c:v>
                </c:pt>
                <c:pt idx="333">
                  <c:v>3.1489699999999998</c:v>
                </c:pt>
                <c:pt idx="334">
                  <c:v>3.14229</c:v>
                </c:pt>
                <c:pt idx="335">
                  <c:v>3.1596800000000003</c:v>
                </c:pt>
                <c:pt idx="336">
                  <c:v>3.1951999999999998</c:v>
                </c:pt>
                <c:pt idx="337">
                  <c:v>3.1746099999999999</c:v>
                </c:pt>
                <c:pt idx="338">
                  <c:v>3.1339999999999999</c:v>
                </c:pt>
                <c:pt idx="339">
                  <c:v>3.1307299999999998</c:v>
                </c:pt>
                <c:pt idx="340">
                  <c:v>3.1317700000000004</c:v>
                </c:pt>
                <c:pt idx="341">
                  <c:v>3.1129799999999999</c:v>
                </c:pt>
                <c:pt idx="342">
                  <c:v>3.1275900000000001</c:v>
                </c:pt>
                <c:pt idx="343">
                  <c:v>3.0657399999999999</c:v>
                </c:pt>
                <c:pt idx="344">
                  <c:v>3.0293299999999999</c:v>
                </c:pt>
                <c:pt idx="345">
                  <c:v>3.11341</c:v>
                </c:pt>
                <c:pt idx="346">
                  <c:v>3.1249200000000004</c:v>
                </c:pt>
                <c:pt idx="347">
                  <c:v>3.1486499999999999</c:v>
                </c:pt>
                <c:pt idx="348">
                  <c:v>3.1486499999999999</c:v>
                </c:pt>
                <c:pt idx="349">
                  <c:v>3.1697500000000001</c:v>
                </c:pt>
                <c:pt idx="350">
                  <c:v>3.01153</c:v>
                </c:pt>
                <c:pt idx="351">
                  <c:v>2.89438</c:v>
                </c:pt>
                <c:pt idx="352">
                  <c:v>2.7231000000000001</c:v>
                </c:pt>
                <c:pt idx="353">
                  <c:v>2.6690699999999996</c:v>
                </c:pt>
                <c:pt idx="354">
                  <c:v>2.74838</c:v>
                </c:pt>
                <c:pt idx="355">
                  <c:v>2.7138</c:v>
                </c:pt>
                <c:pt idx="356">
                  <c:v>2.7319600000000004</c:v>
                </c:pt>
                <c:pt idx="357">
                  <c:v>2.7505700000000002</c:v>
                </c:pt>
                <c:pt idx="358">
                  <c:v>2.78498</c:v>
                </c:pt>
                <c:pt idx="359">
                  <c:v>2.76532</c:v>
                </c:pt>
                <c:pt idx="360">
                  <c:v>2.6859600000000001</c:v>
                </c:pt>
                <c:pt idx="361">
                  <c:v>2.7705799999999998</c:v>
                </c:pt>
                <c:pt idx="362">
                  <c:v>2.7601100000000001</c:v>
                </c:pt>
                <c:pt idx="363">
                  <c:v>2.7756500000000002</c:v>
                </c:pt>
                <c:pt idx="364">
                  <c:v>2.78451</c:v>
                </c:pt>
                <c:pt idx="365">
                  <c:v>2.7819699999999998</c:v>
                </c:pt>
                <c:pt idx="366">
                  <c:v>2.7735500000000002</c:v>
                </c:pt>
                <c:pt idx="367">
                  <c:v>2.7934300000000003</c:v>
                </c:pt>
                <c:pt idx="368">
                  <c:v>2.7934300000000003</c:v>
                </c:pt>
                <c:pt idx="369">
                  <c:v>2.7930700000000002</c:v>
                </c:pt>
                <c:pt idx="370">
                  <c:v>2.7725400000000002</c:v>
                </c:pt>
                <c:pt idx="371">
                  <c:v>2.7255700000000003</c:v>
                </c:pt>
                <c:pt idx="372">
                  <c:v>2.7801900000000002</c:v>
                </c:pt>
                <c:pt idx="373">
                  <c:v>2.7714600000000003</c:v>
                </c:pt>
                <c:pt idx="374">
                  <c:v>2.8251100000000005</c:v>
                </c:pt>
                <c:pt idx="375">
                  <c:v>2.78112</c:v>
                </c:pt>
                <c:pt idx="376">
                  <c:v>2.71855</c:v>
                </c:pt>
                <c:pt idx="377">
                  <c:v>2.6746099999999999</c:v>
                </c:pt>
                <c:pt idx="378">
                  <c:v>2.6599400000000002</c:v>
                </c:pt>
                <c:pt idx="379">
                  <c:v>2.6661700000000002</c:v>
                </c:pt>
                <c:pt idx="380">
                  <c:v>2.6424900000000004</c:v>
                </c:pt>
                <c:pt idx="381">
                  <c:v>2.6254500000000003</c:v>
                </c:pt>
                <c:pt idx="382">
                  <c:v>2.6519900000000001</c:v>
                </c:pt>
                <c:pt idx="383">
                  <c:v>2.5830399999999996</c:v>
                </c:pt>
                <c:pt idx="384">
                  <c:v>2.5165799999999998</c:v>
                </c:pt>
                <c:pt idx="385">
                  <c:v>2.5786399999999996</c:v>
                </c:pt>
                <c:pt idx="386">
                  <c:v>2.3880699999999999</c:v>
                </c:pt>
                <c:pt idx="387">
                  <c:v>2.4764300000000001</c:v>
                </c:pt>
                <c:pt idx="388">
                  <c:v>2.3830399999999998</c:v>
                </c:pt>
                <c:pt idx="389">
                  <c:v>2.3944800000000002</c:v>
                </c:pt>
                <c:pt idx="390">
                  <c:v>2.3820999999999999</c:v>
                </c:pt>
                <c:pt idx="391">
                  <c:v>2.2326800000000002</c:v>
                </c:pt>
                <c:pt idx="392">
                  <c:v>2.3109100000000002</c:v>
                </c:pt>
                <c:pt idx="393">
                  <c:v>2.2845800000000001</c:v>
                </c:pt>
                <c:pt idx="394">
                  <c:v>2.3690000000000002</c:v>
                </c:pt>
                <c:pt idx="395">
                  <c:v>2.4061000000000003</c:v>
                </c:pt>
                <c:pt idx="396">
                  <c:v>2.4350999999999998</c:v>
                </c:pt>
                <c:pt idx="397">
                  <c:v>2.3835500000000001</c:v>
                </c:pt>
                <c:pt idx="398">
                  <c:v>2.3857900000000001</c:v>
                </c:pt>
                <c:pt idx="399">
                  <c:v>2.2865500000000001</c:v>
                </c:pt>
                <c:pt idx="400">
                  <c:v>2.39331</c:v>
                </c:pt>
                <c:pt idx="401">
                  <c:v>2.3746999999999998</c:v>
                </c:pt>
                <c:pt idx="402">
                  <c:v>2.4171800000000001</c:v>
                </c:pt>
                <c:pt idx="403">
                  <c:v>2.4105699999999999</c:v>
                </c:pt>
                <c:pt idx="404">
                  <c:v>2.4668799999999997</c:v>
                </c:pt>
                <c:pt idx="405">
                  <c:v>2.3859300000000001</c:v>
                </c:pt>
                <c:pt idx="406">
                  <c:v>2.4104800000000002</c:v>
                </c:pt>
                <c:pt idx="407">
                  <c:v>2.4045299999999998</c:v>
                </c:pt>
                <c:pt idx="408">
                  <c:v>2.3964599999999998</c:v>
                </c:pt>
                <c:pt idx="409">
                  <c:v>2.3852099999999998</c:v>
                </c:pt>
                <c:pt idx="410">
                  <c:v>2.3753899999999999</c:v>
                </c:pt>
                <c:pt idx="411">
                  <c:v>2.3602500000000002</c:v>
                </c:pt>
                <c:pt idx="412">
                  <c:v>2.4104000000000001</c:v>
                </c:pt>
                <c:pt idx="413">
                  <c:v>2.4338700000000002</c:v>
                </c:pt>
                <c:pt idx="414">
                  <c:v>2.38218</c:v>
                </c:pt>
                <c:pt idx="415">
                  <c:v>2.3239800000000002</c:v>
                </c:pt>
                <c:pt idx="416">
                  <c:v>2.2754400000000001</c:v>
                </c:pt>
                <c:pt idx="417">
                  <c:v>2.21556</c:v>
                </c:pt>
                <c:pt idx="418">
                  <c:v>2.2137899999999999</c:v>
                </c:pt>
                <c:pt idx="419">
                  <c:v>2.2816200000000002</c:v>
                </c:pt>
                <c:pt idx="420">
                  <c:v>2.3033799999999998</c:v>
                </c:pt>
                <c:pt idx="421">
                  <c:v>2.2985500000000001</c:v>
                </c:pt>
                <c:pt idx="422">
                  <c:v>2.2721800000000001</c:v>
                </c:pt>
                <c:pt idx="423">
                  <c:v>2.32822</c:v>
                </c:pt>
                <c:pt idx="424">
                  <c:v>2.3217300000000001</c:v>
                </c:pt>
                <c:pt idx="425">
                  <c:v>2.2949199999999998</c:v>
                </c:pt>
                <c:pt idx="426">
                  <c:v>2.3236300000000001</c:v>
                </c:pt>
                <c:pt idx="427">
                  <c:v>2.2568199999999998</c:v>
                </c:pt>
                <c:pt idx="428">
                  <c:v>2.1535099999999998</c:v>
                </c:pt>
                <c:pt idx="429">
                  <c:v>2.11849</c:v>
                </c:pt>
                <c:pt idx="430">
                  <c:v>2.0618799999999999</c:v>
                </c:pt>
                <c:pt idx="431">
                  <c:v>2.0177700000000001</c:v>
                </c:pt>
                <c:pt idx="432">
                  <c:v>2.0275499999999997</c:v>
                </c:pt>
                <c:pt idx="433">
                  <c:v>2.0275499999999997</c:v>
                </c:pt>
                <c:pt idx="434">
                  <c:v>2.0174400000000001</c:v>
                </c:pt>
                <c:pt idx="435">
                  <c:v>1.95916</c:v>
                </c:pt>
                <c:pt idx="436">
                  <c:v>1.89893</c:v>
                </c:pt>
                <c:pt idx="437">
                  <c:v>1.8824000000000001</c:v>
                </c:pt>
                <c:pt idx="438">
                  <c:v>1.87636</c:v>
                </c:pt>
                <c:pt idx="439">
                  <c:v>1.8503299999999998</c:v>
                </c:pt>
                <c:pt idx="440">
                  <c:v>1.8619399999999999</c:v>
                </c:pt>
                <c:pt idx="441">
                  <c:v>1.8599399999999999</c:v>
                </c:pt>
                <c:pt idx="442">
                  <c:v>1.74136</c:v>
                </c:pt>
                <c:pt idx="443">
                  <c:v>1.8125100000000001</c:v>
                </c:pt>
                <c:pt idx="444">
                  <c:v>1.7771999999999999</c:v>
                </c:pt>
                <c:pt idx="445">
                  <c:v>1.73268</c:v>
                </c:pt>
                <c:pt idx="446">
                  <c:v>1.73031</c:v>
                </c:pt>
                <c:pt idx="447">
                  <c:v>1.67144</c:v>
                </c:pt>
                <c:pt idx="448">
                  <c:v>1.7238900000000001</c:v>
                </c:pt>
                <c:pt idx="449">
                  <c:v>1.7354700000000001</c:v>
                </c:pt>
                <c:pt idx="450">
                  <c:v>1.8027500000000001</c:v>
                </c:pt>
                <c:pt idx="451">
                  <c:v>1.63964</c:v>
                </c:pt>
                <c:pt idx="452">
                  <c:v>1.73305</c:v>
                </c:pt>
                <c:pt idx="453">
                  <c:v>1.7480600000000002</c:v>
                </c:pt>
                <c:pt idx="454">
                  <c:v>1.78383</c:v>
                </c:pt>
                <c:pt idx="455">
                  <c:v>1.83138</c:v>
                </c:pt>
                <c:pt idx="456">
                  <c:v>1.86781</c:v>
                </c:pt>
                <c:pt idx="457">
                  <c:v>1.9865299999999999</c:v>
                </c:pt>
                <c:pt idx="458">
                  <c:v>2.0230299999999999</c:v>
                </c:pt>
                <c:pt idx="459">
                  <c:v>2.0117699999999998</c:v>
                </c:pt>
                <c:pt idx="460">
                  <c:v>2.0216399999999997</c:v>
                </c:pt>
                <c:pt idx="461">
                  <c:v>1.97417</c:v>
                </c:pt>
                <c:pt idx="462">
                  <c:v>1.9535400000000001</c:v>
                </c:pt>
                <c:pt idx="463">
                  <c:v>1.9293199999999999</c:v>
                </c:pt>
                <c:pt idx="464">
                  <c:v>1.9213</c:v>
                </c:pt>
                <c:pt idx="465">
                  <c:v>1.8539599999999998</c:v>
                </c:pt>
                <c:pt idx="466">
                  <c:v>1.7210400000000001</c:v>
                </c:pt>
                <c:pt idx="467">
                  <c:v>1.58534</c:v>
                </c:pt>
                <c:pt idx="468">
                  <c:v>1.5723799999999999</c:v>
                </c:pt>
                <c:pt idx="469">
                  <c:v>1.56921</c:v>
                </c:pt>
                <c:pt idx="470">
                  <c:v>1.56549</c:v>
                </c:pt>
                <c:pt idx="471">
                  <c:v>1.55125</c:v>
                </c:pt>
                <c:pt idx="472">
                  <c:v>1.5527099999999998</c:v>
                </c:pt>
                <c:pt idx="473">
                  <c:v>1.5512100000000002</c:v>
                </c:pt>
                <c:pt idx="474">
                  <c:v>1.58385</c:v>
                </c:pt>
                <c:pt idx="475">
                  <c:v>1.60025</c:v>
                </c:pt>
                <c:pt idx="476">
                  <c:v>1.5697999999999999</c:v>
                </c:pt>
                <c:pt idx="477">
                  <c:v>1.58586</c:v>
                </c:pt>
                <c:pt idx="478">
                  <c:v>1.5596199999999998</c:v>
                </c:pt>
                <c:pt idx="479">
                  <c:v>1.6224100000000001</c:v>
                </c:pt>
                <c:pt idx="480">
                  <c:v>1.5786199999999999</c:v>
                </c:pt>
                <c:pt idx="481">
                  <c:v>1.69295</c:v>
                </c:pt>
                <c:pt idx="482">
                  <c:v>1.6453899999999999</c:v>
                </c:pt>
                <c:pt idx="483">
                  <c:v>1.58613</c:v>
                </c:pt>
                <c:pt idx="484">
                  <c:v>1.61802</c:v>
                </c:pt>
                <c:pt idx="485">
                  <c:v>1.5722999999999998</c:v>
                </c:pt>
                <c:pt idx="486">
                  <c:v>1.5270599999999999</c:v>
                </c:pt>
                <c:pt idx="487">
                  <c:v>1.5304599999999999</c:v>
                </c:pt>
                <c:pt idx="488">
                  <c:v>1.5378700000000001</c:v>
                </c:pt>
                <c:pt idx="489">
                  <c:v>1.58626</c:v>
                </c:pt>
                <c:pt idx="490">
                  <c:v>1.6421199999999998</c:v>
                </c:pt>
                <c:pt idx="491">
                  <c:v>1.6317300000000001</c:v>
                </c:pt>
                <c:pt idx="492">
                  <c:v>1.6428800000000001</c:v>
                </c:pt>
                <c:pt idx="493">
                  <c:v>1.5879099999999999</c:v>
                </c:pt>
                <c:pt idx="494">
                  <c:v>1.72862</c:v>
                </c:pt>
                <c:pt idx="495">
                  <c:v>1.7092099999999999</c:v>
                </c:pt>
                <c:pt idx="496">
                  <c:v>1.76251</c:v>
                </c:pt>
                <c:pt idx="497">
                  <c:v>1.96268</c:v>
                </c:pt>
                <c:pt idx="498">
                  <c:v>1.86493</c:v>
                </c:pt>
                <c:pt idx="499">
                  <c:v>1.98651</c:v>
                </c:pt>
                <c:pt idx="500">
                  <c:v>1.9546700000000001</c:v>
                </c:pt>
                <c:pt idx="501">
                  <c:v>1.9365299999999999</c:v>
                </c:pt>
                <c:pt idx="502">
                  <c:v>1.9661299999999999</c:v>
                </c:pt>
                <c:pt idx="503">
                  <c:v>1.9829400000000001</c:v>
                </c:pt>
                <c:pt idx="504">
                  <c:v>1.8964599999999998</c:v>
                </c:pt>
                <c:pt idx="505">
                  <c:v>1.85589</c:v>
                </c:pt>
                <c:pt idx="506">
                  <c:v>1.9124399999999999</c:v>
                </c:pt>
                <c:pt idx="507">
                  <c:v>1.93296</c:v>
                </c:pt>
                <c:pt idx="508">
                  <c:v>1.9490100000000001</c:v>
                </c:pt>
                <c:pt idx="509">
                  <c:v>1.89486</c:v>
                </c:pt>
                <c:pt idx="510">
                  <c:v>1.95886</c:v>
                </c:pt>
                <c:pt idx="511">
                  <c:v>1.9882400000000002</c:v>
                </c:pt>
                <c:pt idx="512">
                  <c:v>2.01044</c:v>
                </c:pt>
                <c:pt idx="513">
                  <c:v>2.0254499999999998</c:v>
                </c:pt>
                <c:pt idx="514">
                  <c:v>2.0045899999999999</c:v>
                </c:pt>
                <c:pt idx="515">
                  <c:v>1.9519399999999998</c:v>
                </c:pt>
                <c:pt idx="516">
                  <c:v>1.9881500000000001</c:v>
                </c:pt>
                <c:pt idx="517">
                  <c:v>1.92012</c:v>
                </c:pt>
                <c:pt idx="518">
                  <c:v>1.92012</c:v>
                </c:pt>
                <c:pt idx="519">
                  <c:v>1.92012</c:v>
                </c:pt>
                <c:pt idx="520">
                  <c:v>1.95221</c:v>
                </c:pt>
                <c:pt idx="521">
                  <c:v>1.9655600000000002</c:v>
                </c:pt>
                <c:pt idx="522">
                  <c:v>1.95347</c:v>
                </c:pt>
                <c:pt idx="523">
                  <c:v>1.95347</c:v>
                </c:pt>
                <c:pt idx="524">
                  <c:v>2.2616900000000002</c:v>
                </c:pt>
                <c:pt idx="525">
                  <c:v>2.2238199999999999</c:v>
                </c:pt>
                <c:pt idx="526">
                  <c:v>2.22201</c:v>
                </c:pt>
                <c:pt idx="527">
                  <c:v>2.3162400000000001</c:v>
                </c:pt>
                <c:pt idx="528">
                  <c:v>2.2362899999999999</c:v>
                </c:pt>
                <c:pt idx="529">
                  <c:v>2.22532</c:v>
                </c:pt>
                <c:pt idx="530">
                  <c:v>2.25441</c:v>
                </c:pt>
                <c:pt idx="531">
                  <c:v>2.25298</c:v>
                </c:pt>
                <c:pt idx="532">
                  <c:v>2.2262</c:v>
                </c:pt>
                <c:pt idx="533">
                  <c:v>2.1831399999999999</c:v>
                </c:pt>
                <c:pt idx="534">
                  <c:v>2.3396600000000003</c:v>
                </c:pt>
                <c:pt idx="535">
                  <c:v>2.3430200000000001</c:v>
                </c:pt>
                <c:pt idx="536">
                  <c:v>2.28132</c:v>
                </c:pt>
                <c:pt idx="537">
                  <c:v>2.3118700000000003</c:v>
                </c:pt>
                <c:pt idx="538">
                  <c:v>2.40178</c:v>
                </c:pt>
                <c:pt idx="539">
                  <c:v>2.3664900000000002</c:v>
                </c:pt>
                <c:pt idx="540">
                  <c:v>2.3636200000000001</c:v>
                </c:pt>
                <c:pt idx="541">
                  <c:v>2.4718800000000001</c:v>
                </c:pt>
                <c:pt idx="542">
                  <c:v>2.4485700000000001</c:v>
                </c:pt>
                <c:pt idx="543">
                  <c:v>2.4608400000000001</c:v>
                </c:pt>
                <c:pt idx="544">
                  <c:v>2.4673099999999999</c:v>
                </c:pt>
                <c:pt idx="545">
                  <c:v>2.47159</c:v>
                </c:pt>
                <c:pt idx="546">
                  <c:v>2.4491999999999998</c:v>
                </c:pt>
                <c:pt idx="547">
                  <c:v>2.3873699999999998</c:v>
                </c:pt>
                <c:pt idx="548">
                  <c:v>2.4576899999999999</c:v>
                </c:pt>
                <c:pt idx="549">
                  <c:v>2.4517899999999999</c:v>
                </c:pt>
                <c:pt idx="550">
                  <c:v>2.3800699999999999</c:v>
                </c:pt>
                <c:pt idx="551">
                  <c:v>2.3901499999999998</c:v>
                </c:pt>
                <c:pt idx="552">
                  <c:v>2.4582899999999999</c:v>
                </c:pt>
                <c:pt idx="553">
                  <c:v>2.50908</c:v>
                </c:pt>
                <c:pt idx="554">
                  <c:v>2.5200299999999998</c:v>
                </c:pt>
                <c:pt idx="555">
                  <c:v>2.5334599999999998</c:v>
                </c:pt>
                <c:pt idx="556">
                  <c:v>2.5986500000000001</c:v>
                </c:pt>
                <c:pt idx="557">
                  <c:v>2.6233200000000001</c:v>
                </c:pt>
                <c:pt idx="558">
                  <c:v>2.60371</c:v>
                </c:pt>
                <c:pt idx="559">
                  <c:v>2.7006299999999999</c:v>
                </c:pt>
                <c:pt idx="560">
                  <c:v>2.6697000000000002</c:v>
                </c:pt>
                <c:pt idx="561">
                  <c:v>3.0943799999999997</c:v>
                </c:pt>
                <c:pt idx="562">
                  <c:v>2.8562799999999999</c:v>
                </c:pt>
                <c:pt idx="563">
                  <c:v>3.2904100000000001</c:v>
                </c:pt>
                <c:pt idx="564">
                  <c:v>4.0020999999999995</c:v>
                </c:pt>
                <c:pt idx="565">
                  <c:v>3.38923</c:v>
                </c:pt>
                <c:pt idx="566">
                  <c:v>3.9386000000000001</c:v>
                </c:pt>
                <c:pt idx="567">
                  <c:v>5.3079799999999997</c:v>
                </c:pt>
                <c:pt idx="568">
                  <c:v>5.8719600000000005</c:v>
                </c:pt>
                <c:pt idx="569">
                  <c:v>6.7330999999999994</c:v>
                </c:pt>
                <c:pt idx="570">
                  <c:v>7.3302300000000002</c:v>
                </c:pt>
                <c:pt idx="571">
                  <c:v>7.2705700000000002</c:v>
                </c:pt>
                <c:pt idx="572">
                  <c:v>7.3443800000000001</c:v>
                </c:pt>
                <c:pt idx="573">
                  <c:v>5.8044200000000004</c:v>
                </c:pt>
                <c:pt idx="574">
                  <c:v>5.7683299999999997</c:v>
                </c:pt>
                <c:pt idx="575">
                  <c:v>5.2350400000000006</c:v>
                </c:pt>
                <c:pt idx="576">
                  <c:v>5.4393399999999996</c:v>
                </c:pt>
                <c:pt idx="577">
                  <c:v>5.3797799999999993</c:v>
                </c:pt>
                <c:pt idx="578">
                  <c:v>4.8451899999999997</c:v>
                </c:pt>
                <c:pt idx="579">
                  <c:v>4.8776900000000003</c:v>
                </c:pt>
                <c:pt idx="580">
                  <c:v>4.89499</c:v>
                </c:pt>
                <c:pt idx="581">
                  <c:v>4.9530000000000003</c:v>
                </c:pt>
                <c:pt idx="582">
                  <c:v>4.6606899999999998</c:v>
                </c:pt>
                <c:pt idx="583">
                  <c:v>4.8454800000000002</c:v>
                </c:pt>
                <c:pt idx="584">
                  <c:v>4.7963800000000001</c:v>
                </c:pt>
                <c:pt idx="585">
                  <c:v>4.7115</c:v>
                </c:pt>
                <c:pt idx="586">
                  <c:v>4.7668999999999997</c:v>
                </c:pt>
                <c:pt idx="587">
                  <c:v>4.6538500000000003</c:v>
                </c:pt>
                <c:pt idx="588">
                  <c:v>4.6483999999999996</c:v>
                </c:pt>
                <c:pt idx="589">
                  <c:v>4.5536399999999997</c:v>
                </c:pt>
                <c:pt idx="590">
                  <c:v>4.7175700000000003</c:v>
                </c:pt>
                <c:pt idx="591">
                  <c:v>4.8102300000000007</c:v>
                </c:pt>
                <c:pt idx="592">
                  <c:v>4.7113300000000002</c:v>
                </c:pt>
                <c:pt idx="593">
                  <c:v>4.7191299999999998</c:v>
                </c:pt>
                <c:pt idx="594">
                  <c:v>4.7553099999999997</c:v>
                </c:pt>
                <c:pt idx="595">
                  <c:v>4.92239</c:v>
                </c:pt>
                <c:pt idx="596">
                  <c:v>4.8450799999999994</c:v>
                </c:pt>
                <c:pt idx="597">
                  <c:v>4.8450799999999994</c:v>
                </c:pt>
                <c:pt idx="598">
                  <c:v>4.8450799999999994</c:v>
                </c:pt>
                <c:pt idx="599">
                  <c:v>4.5369099999999998</c:v>
                </c:pt>
                <c:pt idx="600">
                  <c:v>4.6023000000000005</c:v>
                </c:pt>
                <c:pt idx="601">
                  <c:v>4.4922399999999998</c:v>
                </c:pt>
                <c:pt idx="602">
                  <c:v>4.633</c:v>
                </c:pt>
                <c:pt idx="603">
                  <c:v>4.81968</c:v>
                </c:pt>
                <c:pt idx="604">
                  <c:v>4.8710199999999997</c:v>
                </c:pt>
                <c:pt idx="605">
                  <c:v>4.8680200000000005</c:v>
                </c:pt>
                <c:pt idx="606">
                  <c:v>4.9539400000000002</c:v>
                </c:pt>
                <c:pt idx="607">
                  <c:v>4.8879700000000001</c:v>
                </c:pt>
                <c:pt idx="608">
                  <c:v>4.8879700000000001</c:v>
                </c:pt>
                <c:pt idx="609">
                  <c:v>4.8646799999999999</c:v>
                </c:pt>
                <c:pt idx="610">
                  <c:v>4.9358499999999994</c:v>
                </c:pt>
                <c:pt idx="611">
                  <c:v>4.9694200000000004</c:v>
                </c:pt>
                <c:pt idx="612">
                  <c:v>4.9740500000000001</c:v>
                </c:pt>
                <c:pt idx="613">
                  <c:v>5.0028100000000002</c:v>
                </c:pt>
                <c:pt idx="614">
                  <c:v>5.0216099999999999</c:v>
                </c:pt>
                <c:pt idx="615">
                  <c:v>4.97872</c:v>
                </c:pt>
                <c:pt idx="616">
                  <c:v>4.99979</c:v>
                </c:pt>
                <c:pt idx="617">
                  <c:v>4.8912200000000006</c:v>
                </c:pt>
                <c:pt idx="618">
                  <c:v>4.9671799999999999</c:v>
                </c:pt>
                <c:pt idx="619">
                  <c:v>4.8830200000000001</c:v>
                </c:pt>
                <c:pt idx="620">
                  <c:v>4.8703399999999997</c:v>
                </c:pt>
                <c:pt idx="621">
                  <c:v>4.91411</c:v>
                </c:pt>
                <c:pt idx="622">
                  <c:v>4.9119200000000003</c:v>
                </c:pt>
                <c:pt idx="623">
                  <c:v>4.8269500000000001</c:v>
                </c:pt>
                <c:pt idx="624">
                  <c:v>4.8079999999999998</c:v>
                </c:pt>
                <c:pt idx="625">
                  <c:v>4.7711800000000002</c:v>
                </c:pt>
                <c:pt idx="626">
                  <c:v>4.80823</c:v>
                </c:pt>
                <c:pt idx="627">
                  <c:v>4.8494099999999998</c:v>
                </c:pt>
                <c:pt idx="628">
                  <c:v>4.73034</c:v>
                </c:pt>
                <c:pt idx="629">
                  <c:v>4.6616600000000004</c:v>
                </c:pt>
                <c:pt idx="630">
                  <c:v>4.52942</c:v>
                </c:pt>
                <c:pt idx="631">
                  <c:v>4.52942</c:v>
                </c:pt>
                <c:pt idx="632">
                  <c:v>4.52942</c:v>
                </c:pt>
                <c:pt idx="633">
                  <c:v>4.4718099999999996</c:v>
                </c:pt>
                <c:pt idx="634">
                  <c:v>4.46922</c:v>
                </c:pt>
                <c:pt idx="635">
                  <c:v>4.44489</c:v>
                </c:pt>
                <c:pt idx="636">
                  <c:v>4.4278899999999997</c:v>
                </c:pt>
                <c:pt idx="637">
                  <c:v>4.2485999999999997</c:v>
                </c:pt>
                <c:pt idx="638">
                  <c:v>4.1894600000000004</c:v>
                </c:pt>
                <c:pt idx="639">
                  <c:v>4.1626000000000003</c:v>
                </c:pt>
                <c:pt idx="640">
                  <c:v>4.2793999999999999</c:v>
                </c:pt>
                <c:pt idx="641">
                  <c:v>4.3302899999999998</c:v>
                </c:pt>
                <c:pt idx="642">
                  <c:v>4.3345900000000004</c:v>
                </c:pt>
                <c:pt idx="643">
                  <c:v>4.3287300000000002</c:v>
                </c:pt>
                <c:pt idx="644">
                  <c:v>4.2982100000000001</c:v>
                </c:pt>
                <c:pt idx="645">
                  <c:v>4.3666499999999999</c:v>
                </c:pt>
                <c:pt idx="646">
                  <c:v>4.3913099999999998</c:v>
                </c:pt>
                <c:pt idx="647">
                  <c:v>4.4176299999999999</c:v>
                </c:pt>
                <c:pt idx="648">
                  <c:v>4.3569399999999998</c:v>
                </c:pt>
                <c:pt idx="649">
                  <c:v>4.3532500000000001</c:v>
                </c:pt>
                <c:pt idx="650">
                  <c:v>4.46258</c:v>
                </c:pt>
                <c:pt idx="651">
                  <c:v>4.5579399999999994</c:v>
                </c:pt>
                <c:pt idx="652">
                  <c:v>4.7282500000000001</c:v>
                </c:pt>
                <c:pt idx="653">
                  <c:v>4.6402600000000005</c:v>
                </c:pt>
                <c:pt idx="654">
                  <c:v>4.6088500000000003</c:v>
                </c:pt>
                <c:pt idx="655">
                  <c:v>4.5206099999999996</c:v>
                </c:pt>
                <c:pt idx="656">
                  <c:v>4.51166</c:v>
                </c:pt>
                <c:pt idx="657">
                  <c:v>4.35968</c:v>
                </c:pt>
                <c:pt idx="658">
                  <c:v>4.4263000000000003</c:v>
                </c:pt>
                <c:pt idx="659">
                  <c:v>4.4693900000000006</c:v>
                </c:pt>
                <c:pt idx="660">
                  <c:v>4.4844099999999996</c:v>
                </c:pt>
                <c:pt idx="661">
                  <c:v>4.5525000000000002</c:v>
                </c:pt>
                <c:pt idx="662">
                  <c:v>4.6111900000000006</c:v>
                </c:pt>
                <c:pt idx="663">
                  <c:v>4.5314100000000002</c:v>
                </c:pt>
                <c:pt idx="664">
                  <c:v>4.4472800000000001</c:v>
                </c:pt>
                <c:pt idx="665">
                  <c:v>4.4165799999999997</c:v>
                </c:pt>
                <c:pt idx="666">
                  <c:v>4.5224200000000003</c:v>
                </c:pt>
                <c:pt idx="667">
                  <c:v>4.4859900000000001</c:v>
                </c:pt>
                <c:pt idx="668">
                  <c:v>4.3706300000000002</c:v>
                </c:pt>
                <c:pt idx="669">
                  <c:v>4.3620100000000006</c:v>
                </c:pt>
                <c:pt idx="670">
                  <c:v>4.4206799999999999</c:v>
                </c:pt>
                <c:pt idx="671">
                  <c:v>4.4333300000000007</c:v>
                </c:pt>
                <c:pt idx="672">
                  <c:v>4.39757</c:v>
                </c:pt>
                <c:pt idx="673">
                  <c:v>4.3518299999999996</c:v>
                </c:pt>
                <c:pt idx="674">
                  <c:v>4.24057</c:v>
                </c:pt>
                <c:pt idx="675">
                  <c:v>4.3127499999999994</c:v>
                </c:pt>
                <c:pt idx="676">
                  <c:v>4.2660799999999997</c:v>
                </c:pt>
                <c:pt idx="677">
                  <c:v>4.1856499999999999</c:v>
                </c:pt>
                <c:pt idx="678">
                  <c:v>4.1425200000000002</c:v>
                </c:pt>
                <c:pt idx="679">
                  <c:v>3.9927800000000002</c:v>
                </c:pt>
                <c:pt idx="680">
                  <c:v>4.0527100000000003</c:v>
                </c:pt>
                <c:pt idx="681">
                  <c:v>3.8832499999999999</c:v>
                </c:pt>
                <c:pt idx="682">
                  <c:v>3.82803</c:v>
                </c:pt>
                <c:pt idx="683">
                  <c:v>3.8631799999999998</c:v>
                </c:pt>
                <c:pt idx="684">
                  <c:v>3.82464</c:v>
                </c:pt>
                <c:pt idx="685">
                  <c:v>3.8167800000000001</c:v>
                </c:pt>
                <c:pt idx="686">
                  <c:v>3.8443499999999999</c:v>
                </c:pt>
                <c:pt idx="687">
                  <c:v>3.7976000000000001</c:v>
                </c:pt>
                <c:pt idx="688">
                  <c:v>3.7971300000000001</c:v>
                </c:pt>
                <c:pt idx="689">
                  <c:v>3.7573899999999996</c:v>
                </c:pt>
                <c:pt idx="690">
                  <c:v>3.7897400000000001</c:v>
                </c:pt>
                <c:pt idx="691">
                  <c:v>3.6835399999999998</c:v>
                </c:pt>
                <c:pt idx="692">
                  <c:v>3.7304000000000004</c:v>
                </c:pt>
                <c:pt idx="693">
                  <c:v>3.7304000000000004</c:v>
                </c:pt>
                <c:pt idx="694">
                  <c:v>3.5608300000000002</c:v>
                </c:pt>
                <c:pt idx="695">
                  <c:v>3.4638799999999996</c:v>
                </c:pt>
                <c:pt idx="696">
                  <c:v>3.48848</c:v>
                </c:pt>
                <c:pt idx="697">
                  <c:v>3.5870299999999999</c:v>
                </c:pt>
                <c:pt idx="698">
                  <c:v>3.5916800000000002</c:v>
                </c:pt>
                <c:pt idx="699">
                  <c:v>3.4305099999999999</c:v>
                </c:pt>
                <c:pt idx="700">
                  <c:v>3.4141500000000002</c:v>
                </c:pt>
                <c:pt idx="701">
                  <c:v>3.2837499999999999</c:v>
                </c:pt>
                <c:pt idx="702">
                  <c:v>3.2463299999999999</c:v>
                </c:pt>
                <c:pt idx="703">
                  <c:v>3.2150300000000001</c:v>
                </c:pt>
                <c:pt idx="704">
                  <c:v>3.45336</c:v>
                </c:pt>
                <c:pt idx="705">
                  <c:v>3.62574</c:v>
                </c:pt>
                <c:pt idx="706">
                  <c:v>3.9643799999999998</c:v>
                </c:pt>
                <c:pt idx="707">
                  <c:v>3.9326799999999995</c:v>
                </c:pt>
                <c:pt idx="708">
                  <c:v>3.9326799999999995</c:v>
                </c:pt>
                <c:pt idx="709">
                  <c:v>3.8164600000000002</c:v>
                </c:pt>
                <c:pt idx="710">
                  <c:v>3.7705799999999998</c:v>
                </c:pt>
                <c:pt idx="711">
                  <c:v>3.6293700000000002</c:v>
                </c:pt>
                <c:pt idx="712">
                  <c:v>3.5763199999999999</c:v>
                </c:pt>
                <c:pt idx="713">
                  <c:v>3.46177</c:v>
                </c:pt>
                <c:pt idx="714">
                  <c:v>3.46861</c:v>
                </c:pt>
                <c:pt idx="715">
                  <c:v>3.9870999999999999</c:v>
                </c:pt>
                <c:pt idx="716">
                  <c:v>3.96407</c:v>
                </c:pt>
                <c:pt idx="717">
                  <c:v>3.9329199999999997</c:v>
                </c:pt>
                <c:pt idx="718">
                  <c:v>3.94563</c:v>
                </c:pt>
                <c:pt idx="719">
                  <c:v>3.8587900000000004</c:v>
                </c:pt>
                <c:pt idx="720">
                  <c:v>3.8653199999999996</c:v>
                </c:pt>
                <c:pt idx="721">
                  <c:v>3.7989600000000001</c:v>
                </c:pt>
                <c:pt idx="722">
                  <c:v>3.7475200000000002</c:v>
                </c:pt>
                <c:pt idx="723">
                  <c:v>3.7710300000000001</c:v>
                </c:pt>
                <c:pt idx="724">
                  <c:v>3.5962400000000003</c:v>
                </c:pt>
                <c:pt idx="725">
                  <c:v>3.79243</c:v>
                </c:pt>
                <c:pt idx="726">
                  <c:v>3.6772300000000002</c:v>
                </c:pt>
                <c:pt idx="727">
                  <c:v>3.57159</c:v>
                </c:pt>
                <c:pt idx="728">
                  <c:v>3.6919299999999997</c:v>
                </c:pt>
                <c:pt idx="729">
                  <c:v>3.69211</c:v>
                </c:pt>
                <c:pt idx="730">
                  <c:v>3.5519699999999998</c:v>
                </c:pt>
                <c:pt idx="731">
                  <c:v>3.5079000000000002</c:v>
                </c:pt>
                <c:pt idx="732">
                  <c:v>3.5923200000000004</c:v>
                </c:pt>
                <c:pt idx="733">
                  <c:v>3.5591899999999996</c:v>
                </c:pt>
                <c:pt idx="734">
                  <c:v>3.5898300000000001</c:v>
                </c:pt>
                <c:pt idx="735">
                  <c:v>3.5768200000000001</c:v>
                </c:pt>
                <c:pt idx="736">
                  <c:v>3.7341699999999998</c:v>
                </c:pt>
                <c:pt idx="737">
                  <c:v>3.58527</c:v>
                </c:pt>
                <c:pt idx="738">
                  <c:v>3.5190199999999998</c:v>
                </c:pt>
                <c:pt idx="739">
                  <c:v>3.4551400000000001</c:v>
                </c:pt>
                <c:pt idx="740">
                  <c:v>3.3790899999999997</c:v>
                </c:pt>
                <c:pt idx="741">
                  <c:v>3.3572000000000002</c:v>
                </c:pt>
                <c:pt idx="742">
                  <c:v>3.3740699999999997</c:v>
                </c:pt>
                <c:pt idx="743">
                  <c:v>3.2918900000000004</c:v>
                </c:pt>
                <c:pt idx="744">
                  <c:v>3.3869500000000001</c:v>
                </c:pt>
                <c:pt idx="745">
                  <c:v>3.32213</c:v>
                </c:pt>
                <c:pt idx="746">
                  <c:v>3.20729</c:v>
                </c:pt>
                <c:pt idx="747">
                  <c:v>3.0973200000000003</c:v>
                </c:pt>
                <c:pt idx="748">
                  <c:v>2.85947</c:v>
                </c:pt>
                <c:pt idx="749">
                  <c:v>2.85473</c:v>
                </c:pt>
                <c:pt idx="750">
                  <c:v>2.8479899999999998</c:v>
                </c:pt>
                <c:pt idx="751">
                  <c:v>2.8343599999999998</c:v>
                </c:pt>
                <c:pt idx="752">
                  <c:v>2.7450299999999999</c:v>
                </c:pt>
                <c:pt idx="753">
                  <c:v>2.8186399999999998</c:v>
                </c:pt>
                <c:pt idx="754">
                  <c:v>2.6558899999999999</c:v>
                </c:pt>
                <c:pt idx="755">
                  <c:v>2.62846</c:v>
                </c:pt>
                <c:pt idx="756">
                  <c:v>2.6356299999999999</c:v>
                </c:pt>
                <c:pt idx="757">
                  <c:v>2.77522</c:v>
                </c:pt>
                <c:pt idx="758">
                  <c:v>2.5997500000000002</c:v>
                </c:pt>
                <c:pt idx="759">
                  <c:v>2.5511900000000001</c:v>
                </c:pt>
                <c:pt idx="760">
                  <c:v>2.7555999999999998</c:v>
                </c:pt>
                <c:pt idx="761">
                  <c:v>2.67658</c:v>
                </c:pt>
                <c:pt idx="762">
                  <c:v>2.5124200000000001</c:v>
                </c:pt>
                <c:pt idx="763">
                  <c:v>2.3603999999999998</c:v>
                </c:pt>
                <c:pt idx="764">
                  <c:v>2.4639699999999998</c:v>
                </c:pt>
                <c:pt idx="765">
                  <c:v>2.5887500000000001</c:v>
                </c:pt>
                <c:pt idx="766">
                  <c:v>2.42483</c:v>
                </c:pt>
                <c:pt idx="767">
                  <c:v>2.3677299999999999</c:v>
                </c:pt>
                <c:pt idx="768">
                  <c:v>2.3916200000000001</c:v>
                </c:pt>
                <c:pt idx="769">
                  <c:v>2.4305500000000002</c:v>
                </c:pt>
                <c:pt idx="770">
                  <c:v>2.4143600000000003</c:v>
                </c:pt>
                <c:pt idx="771">
                  <c:v>2.3873500000000001</c:v>
                </c:pt>
                <c:pt idx="772">
                  <c:v>2.3846000000000003</c:v>
                </c:pt>
                <c:pt idx="773">
                  <c:v>2.3659400000000002</c:v>
                </c:pt>
                <c:pt idx="774">
                  <c:v>2.3226</c:v>
                </c:pt>
                <c:pt idx="775">
                  <c:v>2.40205</c:v>
                </c:pt>
                <c:pt idx="776">
                  <c:v>2.3431000000000002</c:v>
                </c:pt>
                <c:pt idx="777">
                  <c:v>2.3003999999999998</c:v>
                </c:pt>
                <c:pt idx="778">
                  <c:v>2.3003999999999998</c:v>
                </c:pt>
                <c:pt idx="779">
                  <c:v>2.3003999999999998</c:v>
                </c:pt>
                <c:pt idx="780">
                  <c:v>2.2125399999999997</c:v>
                </c:pt>
                <c:pt idx="781">
                  <c:v>2.2335199999999999</c:v>
                </c:pt>
                <c:pt idx="782">
                  <c:v>2.2377000000000002</c:v>
                </c:pt>
                <c:pt idx="783">
                  <c:v>2.2377000000000002</c:v>
                </c:pt>
                <c:pt idx="784">
                  <c:v>1.9969999999999999</c:v>
                </c:pt>
                <c:pt idx="785">
                  <c:v>1.99678</c:v>
                </c:pt>
                <c:pt idx="786">
                  <c:v>1.89533</c:v>
                </c:pt>
                <c:pt idx="787">
                  <c:v>2.0848300000000002</c:v>
                </c:pt>
                <c:pt idx="788">
                  <c:v>2.1672600000000002</c:v>
                </c:pt>
                <c:pt idx="789">
                  <c:v>2.1274100000000002</c:v>
                </c:pt>
                <c:pt idx="790">
                  <c:v>2.14541</c:v>
                </c:pt>
                <c:pt idx="791">
                  <c:v>2.2277100000000001</c:v>
                </c:pt>
                <c:pt idx="792">
                  <c:v>2.1196199999999998</c:v>
                </c:pt>
                <c:pt idx="793">
                  <c:v>2.1431299999999998</c:v>
                </c:pt>
                <c:pt idx="794">
                  <c:v>2.2817099999999999</c:v>
                </c:pt>
                <c:pt idx="795">
                  <c:v>2.30559</c:v>
                </c:pt>
                <c:pt idx="796">
                  <c:v>2.2251799999999999</c:v>
                </c:pt>
                <c:pt idx="797">
                  <c:v>2.1552699999999998</c:v>
                </c:pt>
                <c:pt idx="798">
                  <c:v>2.1135999999999999</c:v>
                </c:pt>
                <c:pt idx="799">
                  <c:v>2.0943899999999998</c:v>
                </c:pt>
                <c:pt idx="800">
                  <c:v>2.08507</c:v>
                </c:pt>
                <c:pt idx="801">
                  <c:v>2.0417700000000001</c:v>
                </c:pt>
                <c:pt idx="802">
                  <c:v>2.00502</c:v>
                </c:pt>
                <c:pt idx="803">
                  <c:v>2.0894399999999997</c:v>
                </c:pt>
                <c:pt idx="804">
                  <c:v>2.1217199999999998</c:v>
                </c:pt>
                <c:pt idx="805">
                  <c:v>2.2996500000000002</c:v>
                </c:pt>
                <c:pt idx="806">
                  <c:v>2.2386400000000002</c:v>
                </c:pt>
                <c:pt idx="807">
                  <c:v>2.0479400000000001</c:v>
                </c:pt>
                <c:pt idx="808">
                  <c:v>1.8675999999999999</c:v>
                </c:pt>
                <c:pt idx="809">
                  <c:v>1.8718000000000001</c:v>
                </c:pt>
                <c:pt idx="810">
                  <c:v>1.8996299999999999</c:v>
                </c:pt>
                <c:pt idx="811">
                  <c:v>1.8457599999999998</c:v>
                </c:pt>
                <c:pt idx="812">
                  <c:v>1.8515999999999999</c:v>
                </c:pt>
                <c:pt idx="813">
                  <c:v>1.8510800000000001</c:v>
                </c:pt>
                <c:pt idx="814">
                  <c:v>1.6919200000000001</c:v>
                </c:pt>
                <c:pt idx="815">
                  <c:v>1.80701</c:v>
                </c:pt>
                <c:pt idx="816">
                  <c:v>1.8084499999999999</c:v>
                </c:pt>
                <c:pt idx="817">
                  <c:v>1.6851799999999999</c:v>
                </c:pt>
                <c:pt idx="818">
                  <c:v>1.6893100000000001</c:v>
                </c:pt>
                <c:pt idx="819">
                  <c:v>1.6227500000000001</c:v>
                </c:pt>
                <c:pt idx="820">
                  <c:v>1.62873</c:v>
                </c:pt>
                <c:pt idx="821">
                  <c:v>1.59487</c:v>
                </c:pt>
                <c:pt idx="822">
                  <c:v>1.4855699999999998</c:v>
                </c:pt>
                <c:pt idx="823">
                  <c:v>1.5257400000000001</c:v>
                </c:pt>
                <c:pt idx="824">
                  <c:v>1.5049199999999998</c:v>
                </c:pt>
                <c:pt idx="825">
                  <c:v>1.3955600000000001</c:v>
                </c:pt>
                <c:pt idx="826">
                  <c:v>1.39439</c:v>
                </c:pt>
                <c:pt idx="827">
                  <c:v>1.4527600000000001</c:v>
                </c:pt>
                <c:pt idx="828">
                  <c:v>1.32945</c:v>
                </c:pt>
                <c:pt idx="829">
                  <c:v>1.3478800000000002</c:v>
                </c:pt>
                <c:pt idx="830">
                  <c:v>1.3125800000000001</c:v>
                </c:pt>
                <c:pt idx="831">
                  <c:v>1.44248</c:v>
                </c:pt>
                <c:pt idx="832">
                  <c:v>1.7476499999999999</c:v>
                </c:pt>
                <c:pt idx="833">
                  <c:v>2.3371900000000001</c:v>
                </c:pt>
                <c:pt idx="834">
                  <c:v>2.25156</c:v>
                </c:pt>
                <c:pt idx="835">
                  <c:v>2.3793199999999999</c:v>
                </c:pt>
                <c:pt idx="836">
                  <c:v>2.2321499999999999</c:v>
                </c:pt>
                <c:pt idx="837">
                  <c:v>2.5768599999999999</c:v>
                </c:pt>
                <c:pt idx="838">
                  <c:v>2.5384899999999999</c:v>
                </c:pt>
                <c:pt idx="839">
                  <c:v>2.3567100000000001</c:v>
                </c:pt>
                <c:pt idx="840">
                  <c:v>2.6158899999999998</c:v>
                </c:pt>
                <c:pt idx="841">
                  <c:v>2.54989</c:v>
                </c:pt>
                <c:pt idx="842">
                  <c:v>2.7187099999999997</c:v>
                </c:pt>
                <c:pt idx="843">
                  <c:v>2.5035400000000001</c:v>
                </c:pt>
                <c:pt idx="844">
                  <c:v>2.3646000000000003</c:v>
                </c:pt>
                <c:pt idx="845">
                  <c:v>2.35555</c:v>
                </c:pt>
                <c:pt idx="846">
                  <c:v>2.3212299999999999</c:v>
                </c:pt>
                <c:pt idx="847">
                  <c:v>2.3859900000000001</c:v>
                </c:pt>
                <c:pt idx="848">
                  <c:v>2.5389400000000002</c:v>
                </c:pt>
                <c:pt idx="849">
                  <c:v>2.5955500000000002</c:v>
                </c:pt>
                <c:pt idx="850">
                  <c:v>2.5293399999999999</c:v>
                </c:pt>
                <c:pt idx="851">
                  <c:v>2.5265399999999998</c:v>
                </c:pt>
                <c:pt idx="852">
                  <c:v>2.3777699999999999</c:v>
                </c:pt>
                <c:pt idx="853">
                  <c:v>2.3931</c:v>
                </c:pt>
                <c:pt idx="854">
                  <c:v>2.2418999999999998</c:v>
                </c:pt>
                <c:pt idx="855">
                  <c:v>2.3320400000000001</c:v>
                </c:pt>
                <c:pt idx="856">
                  <c:v>2.3319100000000001</c:v>
                </c:pt>
                <c:pt idx="857">
                  <c:v>2.1676699999999998</c:v>
                </c:pt>
                <c:pt idx="858">
                  <c:v>2.1005500000000001</c:v>
                </c:pt>
                <c:pt idx="859">
                  <c:v>2.0560400000000003</c:v>
                </c:pt>
                <c:pt idx="860">
                  <c:v>2.0203000000000002</c:v>
                </c:pt>
                <c:pt idx="861">
                  <c:v>2.0657000000000001</c:v>
                </c:pt>
                <c:pt idx="862">
                  <c:v>2.1111500000000003</c:v>
                </c:pt>
                <c:pt idx="863">
                  <c:v>2.1432799999999999</c:v>
                </c:pt>
                <c:pt idx="864">
                  <c:v>2.3114699999999999</c:v>
                </c:pt>
                <c:pt idx="865">
                  <c:v>2.2534899999999998</c:v>
                </c:pt>
                <c:pt idx="866">
                  <c:v>2.1094900000000001</c:v>
                </c:pt>
                <c:pt idx="867">
                  <c:v>2.1375999999999999</c:v>
                </c:pt>
                <c:pt idx="868">
                  <c:v>2.1375999999999999</c:v>
                </c:pt>
                <c:pt idx="869">
                  <c:v>2.2279300000000002</c:v>
                </c:pt>
                <c:pt idx="870">
                  <c:v>2.22573</c:v>
                </c:pt>
                <c:pt idx="871">
                  <c:v>2.3625799999999999</c:v>
                </c:pt>
                <c:pt idx="872">
                  <c:v>2.22241</c:v>
                </c:pt>
                <c:pt idx="873">
                  <c:v>2.22241</c:v>
                </c:pt>
                <c:pt idx="874">
                  <c:v>2.2092100000000001</c:v>
                </c:pt>
                <c:pt idx="875">
                  <c:v>2.35059</c:v>
                </c:pt>
                <c:pt idx="876">
                  <c:v>2.3138999999999998</c:v>
                </c:pt>
                <c:pt idx="877">
                  <c:v>2.2783600000000002</c:v>
                </c:pt>
                <c:pt idx="878">
                  <c:v>2.2831100000000002</c:v>
                </c:pt>
                <c:pt idx="879">
                  <c:v>2.2349999999999999</c:v>
                </c:pt>
                <c:pt idx="880">
                  <c:v>2.1717900000000001</c:v>
                </c:pt>
                <c:pt idx="881">
                  <c:v>2.1169500000000001</c:v>
                </c:pt>
                <c:pt idx="882">
                  <c:v>2.1372200000000001</c:v>
                </c:pt>
                <c:pt idx="883">
                  <c:v>2.0951300000000002</c:v>
                </c:pt>
                <c:pt idx="884">
                  <c:v>2.17014</c:v>
                </c:pt>
                <c:pt idx="885">
                  <c:v>2.11253</c:v>
                </c:pt>
                <c:pt idx="886">
                  <c:v>1.9791099999999999</c:v>
                </c:pt>
                <c:pt idx="887">
                  <c:v>1.9922399999999998</c:v>
                </c:pt>
                <c:pt idx="888">
                  <c:v>1.9922399999999998</c:v>
                </c:pt>
                <c:pt idx="889">
                  <c:v>2.0743399999999999</c:v>
                </c:pt>
                <c:pt idx="890">
                  <c:v>2.1391800000000001</c:v>
                </c:pt>
                <c:pt idx="891">
                  <c:v>2.13693</c:v>
                </c:pt>
                <c:pt idx="892">
                  <c:v>1.97041</c:v>
                </c:pt>
                <c:pt idx="893">
                  <c:v>2.0316100000000001</c:v>
                </c:pt>
                <c:pt idx="894">
                  <c:v>1.9411</c:v>
                </c:pt>
                <c:pt idx="895">
                  <c:v>1.9540600000000001</c:v>
                </c:pt>
                <c:pt idx="896">
                  <c:v>1.9916100000000001</c:v>
                </c:pt>
                <c:pt idx="897">
                  <c:v>1.9021399999999999</c:v>
                </c:pt>
                <c:pt idx="898">
                  <c:v>1.93882</c:v>
                </c:pt>
                <c:pt idx="899">
                  <c:v>1.84202</c:v>
                </c:pt>
                <c:pt idx="900">
                  <c:v>1.8132499999999998</c:v>
                </c:pt>
                <c:pt idx="901">
                  <c:v>1.8322000000000001</c:v>
                </c:pt>
                <c:pt idx="902">
                  <c:v>1.70804</c:v>
                </c:pt>
                <c:pt idx="903">
                  <c:v>1.76183</c:v>
                </c:pt>
                <c:pt idx="904">
                  <c:v>1.79159</c:v>
                </c:pt>
                <c:pt idx="905">
                  <c:v>1.75613</c:v>
                </c:pt>
                <c:pt idx="906">
                  <c:v>1.6166800000000001</c:v>
                </c:pt>
                <c:pt idx="907">
                  <c:v>1.6550399999999998</c:v>
                </c:pt>
                <c:pt idx="908">
                  <c:v>1.6332300000000002</c:v>
                </c:pt>
                <c:pt idx="909">
                  <c:v>1.5683400000000001</c:v>
                </c:pt>
                <c:pt idx="910">
                  <c:v>1.6148899999999999</c:v>
                </c:pt>
                <c:pt idx="911">
                  <c:v>1.45377</c:v>
                </c:pt>
                <c:pt idx="912">
                  <c:v>1.4100600000000001</c:v>
                </c:pt>
                <c:pt idx="913">
                  <c:v>1.3799700000000001</c:v>
                </c:pt>
                <c:pt idx="914">
                  <c:v>1.4006100000000001</c:v>
                </c:pt>
                <c:pt idx="915">
                  <c:v>1.4844200000000001</c:v>
                </c:pt>
                <c:pt idx="916">
                  <c:v>1.46669</c:v>
                </c:pt>
                <c:pt idx="917">
                  <c:v>1.5210300000000001</c:v>
                </c:pt>
                <c:pt idx="918">
                  <c:v>1.5804800000000001</c:v>
                </c:pt>
                <c:pt idx="919">
                  <c:v>1.4726599999999999</c:v>
                </c:pt>
                <c:pt idx="920">
                  <c:v>1.6177600000000001</c:v>
                </c:pt>
                <c:pt idx="921">
                  <c:v>1.74884</c:v>
                </c:pt>
                <c:pt idx="922">
                  <c:v>1.7351400000000001</c:v>
                </c:pt>
                <c:pt idx="923">
                  <c:v>1.7187299999999999</c:v>
                </c:pt>
                <c:pt idx="924">
                  <c:v>1.7077600000000002</c:v>
                </c:pt>
                <c:pt idx="925">
                  <c:v>1.7209899999999998</c:v>
                </c:pt>
                <c:pt idx="926">
                  <c:v>1.6178299999999999</c:v>
                </c:pt>
                <c:pt idx="927">
                  <c:v>1.6161300000000001</c:v>
                </c:pt>
                <c:pt idx="928">
                  <c:v>1.56725</c:v>
                </c:pt>
                <c:pt idx="929">
                  <c:v>1.5305000000000002</c:v>
                </c:pt>
                <c:pt idx="930">
                  <c:v>1.5392300000000001</c:v>
                </c:pt>
                <c:pt idx="931">
                  <c:v>1.3413999999999999</c:v>
                </c:pt>
                <c:pt idx="932">
                  <c:v>1.5053999999999998</c:v>
                </c:pt>
                <c:pt idx="933">
                  <c:v>1.5178800000000001</c:v>
                </c:pt>
                <c:pt idx="934">
                  <c:v>1.5349600000000001</c:v>
                </c:pt>
                <c:pt idx="935">
                  <c:v>1.56795</c:v>
                </c:pt>
                <c:pt idx="936">
                  <c:v>1.5903999999999998</c:v>
                </c:pt>
                <c:pt idx="937">
                  <c:v>1.71285</c:v>
                </c:pt>
                <c:pt idx="938">
                  <c:v>1.71149</c:v>
                </c:pt>
                <c:pt idx="939">
                  <c:v>1.6351100000000001</c:v>
                </c:pt>
                <c:pt idx="940">
                  <c:v>1.6718600000000001</c:v>
                </c:pt>
                <c:pt idx="941">
                  <c:v>1.6204799999999999</c:v>
                </c:pt>
                <c:pt idx="942">
                  <c:v>1.5686000000000002</c:v>
                </c:pt>
                <c:pt idx="943">
                  <c:v>1.5204599999999999</c:v>
                </c:pt>
                <c:pt idx="944">
                  <c:v>1.58805</c:v>
                </c:pt>
                <c:pt idx="945">
                  <c:v>1.5050700000000001</c:v>
                </c:pt>
                <c:pt idx="946">
                  <c:v>1.49525</c:v>
                </c:pt>
                <c:pt idx="947">
                  <c:v>1.49346</c:v>
                </c:pt>
                <c:pt idx="948">
                  <c:v>1.4870400000000001</c:v>
                </c:pt>
                <c:pt idx="949">
                  <c:v>1.4975999999999998</c:v>
                </c:pt>
                <c:pt idx="950">
                  <c:v>1.52488</c:v>
                </c:pt>
                <c:pt idx="951">
                  <c:v>1.4992699999999999</c:v>
                </c:pt>
                <c:pt idx="952">
                  <c:v>1.4597800000000001</c:v>
                </c:pt>
                <c:pt idx="953">
                  <c:v>1.4597800000000001</c:v>
                </c:pt>
                <c:pt idx="954">
                  <c:v>1.5727199999999999</c:v>
                </c:pt>
                <c:pt idx="955">
                  <c:v>1.5208699999999999</c:v>
                </c:pt>
                <c:pt idx="956">
                  <c:v>1.54017</c:v>
                </c:pt>
                <c:pt idx="957">
                  <c:v>1.4851599999999998</c:v>
                </c:pt>
                <c:pt idx="958">
                  <c:v>1.6587100000000001</c:v>
                </c:pt>
                <c:pt idx="959">
                  <c:v>1.56507</c:v>
                </c:pt>
                <c:pt idx="960">
                  <c:v>1.5261899999999999</c:v>
                </c:pt>
                <c:pt idx="961">
                  <c:v>1.5871000000000002</c:v>
                </c:pt>
                <c:pt idx="962">
                  <c:v>1.5389900000000001</c:v>
                </c:pt>
                <c:pt idx="963">
                  <c:v>1.6329900000000002</c:v>
                </c:pt>
              </c:numCache>
            </c:numRef>
          </c:val>
          <c:smooth val="0"/>
          <c:extLst>
            <c:ext xmlns:c16="http://schemas.microsoft.com/office/drawing/2014/chart" uri="{C3380CC4-5D6E-409C-BE32-E72D297353CC}">
              <c16:uniqueId val="{00000000-EBC4-4222-8B88-73469225685A}"/>
            </c:ext>
          </c:extLst>
        </c:ser>
        <c:ser>
          <c:idx val="1"/>
          <c:order val="1"/>
          <c:tx>
            <c:strRef>
              <c:f>Sheet1!$C$1</c:f>
              <c:strCache>
                <c:ptCount val="1"/>
                <c:pt idx="0">
                  <c:v>Ռուսաստան (2026թ.)</c:v>
                </c:pt>
              </c:strCache>
            </c:strRef>
          </c:tx>
          <c:spPr>
            <a:ln w="19050" cap="rnd">
              <a:solidFill>
                <a:schemeClr val="accent2"/>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Sheet1!$C$2:$C$1226</c:f>
              <c:numCache>
                <c:formatCode>0</c:formatCode>
                <c:ptCount val="964"/>
                <c:pt idx="0">
                  <c:v>0.82061000000000006</c:v>
                </c:pt>
                <c:pt idx="1">
                  <c:v>1.0876300000000001</c:v>
                </c:pt>
                <c:pt idx="2">
                  <c:v>1.2008000000000001</c:v>
                </c:pt>
                <c:pt idx="3">
                  <c:v>1.1994899999999999</c:v>
                </c:pt>
                <c:pt idx="4">
                  <c:v>1.17744</c:v>
                </c:pt>
                <c:pt idx="5">
                  <c:v>1.1215000000000002</c:v>
                </c:pt>
                <c:pt idx="6">
                  <c:v>1.10171</c:v>
                </c:pt>
                <c:pt idx="7">
                  <c:v>1.11198</c:v>
                </c:pt>
                <c:pt idx="8">
                  <c:v>1.06521</c:v>
                </c:pt>
                <c:pt idx="9">
                  <c:v>1.0829600000000001</c:v>
                </c:pt>
                <c:pt idx="10">
                  <c:v>1.09016</c:v>
                </c:pt>
                <c:pt idx="11">
                  <c:v>1.06575</c:v>
                </c:pt>
                <c:pt idx="12">
                  <c:v>1.05986</c:v>
                </c:pt>
                <c:pt idx="13">
                  <c:v>1.05986</c:v>
                </c:pt>
                <c:pt idx="14">
                  <c:v>1.08565</c:v>
                </c:pt>
                <c:pt idx="15">
                  <c:v>1.0815000000000001</c:v>
                </c:pt>
                <c:pt idx="16">
                  <c:v>1.1012999999999999</c:v>
                </c:pt>
                <c:pt idx="17">
                  <c:v>1.1244799999999999</c:v>
                </c:pt>
                <c:pt idx="18">
                  <c:v>1.1867799999999999</c:v>
                </c:pt>
                <c:pt idx="19">
                  <c:v>1.1382299999999999</c:v>
                </c:pt>
                <c:pt idx="20">
                  <c:v>1.15707</c:v>
                </c:pt>
                <c:pt idx="21">
                  <c:v>1.13344</c:v>
                </c:pt>
                <c:pt idx="22">
                  <c:v>1.16001</c:v>
                </c:pt>
                <c:pt idx="23">
                  <c:v>1.1695500000000001</c:v>
                </c:pt>
                <c:pt idx="24">
                  <c:v>1.14567</c:v>
                </c:pt>
                <c:pt idx="25">
                  <c:v>1.1213500000000001</c:v>
                </c:pt>
                <c:pt idx="26">
                  <c:v>1.1170499999999999</c:v>
                </c:pt>
                <c:pt idx="27">
                  <c:v>1.1821899999999999</c:v>
                </c:pt>
                <c:pt idx="28">
                  <c:v>1.1879600000000001</c:v>
                </c:pt>
                <c:pt idx="29">
                  <c:v>1.0773200000000001</c:v>
                </c:pt>
                <c:pt idx="30">
                  <c:v>1.05301</c:v>
                </c:pt>
                <c:pt idx="31">
                  <c:v>1.0467900000000001</c:v>
                </c:pt>
                <c:pt idx="32">
                  <c:v>1.05159</c:v>
                </c:pt>
                <c:pt idx="33">
                  <c:v>1.05159</c:v>
                </c:pt>
                <c:pt idx="34">
                  <c:v>1.0740000000000001</c:v>
                </c:pt>
                <c:pt idx="35">
                  <c:v>1.0536700000000001</c:v>
                </c:pt>
                <c:pt idx="36">
                  <c:v>1.0719799999999999</c:v>
                </c:pt>
                <c:pt idx="37">
                  <c:v>1.0726599999999999</c:v>
                </c:pt>
                <c:pt idx="38">
                  <c:v>1.0992600000000001</c:v>
                </c:pt>
                <c:pt idx="39">
                  <c:v>1.1727099999999999</c:v>
                </c:pt>
                <c:pt idx="40">
                  <c:v>1.21529</c:v>
                </c:pt>
                <c:pt idx="41">
                  <c:v>1.3344300000000002</c:v>
                </c:pt>
                <c:pt idx="42">
                  <c:v>1.60443</c:v>
                </c:pt>
                <c:pt idx="43">
                  <c:v>1.61947</c:v>
                </c:pt>
                <c:pt idx="44">
                  <c:v>1.6208500000000001</c:v>
                </c:pt>
                <c:pt idx="45">
                  <c:v>1.49631</c:v>
                </c:pt>
                <c:pt idx="46">
                  <c:v>1.57457</c:v>
                </c:pt>
                <c:pt idx="47">
                  <c:v>1.6858199999999999</c:v>
                </c:pt>
                <c:pt idx="48">
                  <c:v>2.17659</c:v>
                </c:pt>
                <c:pt idx="49">
                  <c:v>2.01058</c:v>
                </c:pt>
                <c:pt idx="50">
                  <c:v>2.02963</c:v>
                </c:pt>
                <c:pt idx="51">
                  <c:v>2.53898</c:v>
                </c:pt>
                <c:pt idx="52">
                  <c:v>2.50467</c:v>
                </c:pt>
                <c:pt idx="53">
                  <c:v>2.99831</c:v>
                </c:pt>
                <c:pt idx="54">
                  <c:v>2.8975</c:v>
                </c:pt>
                <c:pt idx="55">
                  <c:v>3.6361300000000001</c:v>
                </c:pt>
                <c:pt idx="56">
                  <c:v>3.9913799999999999</c:v>
                </c:pt>
                <c:pt idx="57">
                  <c:v>3.8349000000000002</c:v>
                </c:pt>
                <c:pt idx="58">
                  <c:v>3.9763900000000003</c:v>
                </c:pt>
                <c:pt idx="59">
                  <c:v>3.3282299999999996</c:v>
                </c:pt>
                <c:pt idx="60">
                  <c:v>3.1078199999999998</c:v>
                </c:pt>
                <c:pt idx="61">
                  <c:v>2.8591699999999998</c:v>
                </c:pt>
                <c:pt idx="62">
                  <c:v>3.0534300000000001</c:v>
                </c:pt>
                <c:pt idx="63">
                  <c:v>3.3071499999999996</c:v>
                </c:pt>
                <c:pt idx="64" formatCode="0.00">
                  <c:v>3.1638500000000001</c:v>
                </c:pt>
                <c:pt idx="65" formatCode="0.00">
                  <c:v>3.1924900000000003</c:v>
                </c:pt>
                <c:pt idx="66" formatCode="0.00">
                  <c:v>3.0995699999999999</c:v>
                </c:pt>
                <c:pt idx="67" formatCode="0.00">
                  <c:v>2.8056900000000002</c:v>
                </c:pt>
                <c:pt idx="68" formatCode="0.00">
                  <c:v>2.6177600000000001</c:v>
                </c:pt>
                <c:pt idx="69" formatCode="0.00">
                  <c:v>2.4544800000000002</c:v>
                </c:pt>
                <c:pt idx="70" formatCode="0.00">
                  <c:v>2.5413900000000003</c:v>
                </c:pt>
                <c:pt idx="71" formatCode="0.00">
                  <c:v>2.4632700000000001</c:v>
                </c:pt>
                <c:pt idx="72" formatCode="0.00">
                  <c:v>2.4632700000000001</c:v>
                </c:pt>
                <c:pt idx="73" formatCode="0.00">
                  <c:v>2.4438999999999997</c:v>
                </c:pt>
                <c:pt idx="74" formatCode="0.00">
                  <c:v>2.4430899999999998</c:v>
                </c:pt>
                <c:pt idx="75" formatCode="0.00">
                  <c:v>2.5941399999999999</c:v>
                </c:pt>
                <c:pt idx="76" formatCode="0.00">
                  <c:v>2.5422199999999999</c:v>
                </c:pt>
                <c:pt idx="77" formatCode="0.00">
                  <c:v>2.51573</c:v>
                </c:pt>
                <c:pt idx="78" formatCode="0.00">
                  <c:v>2.5957400000000002</c:v>
                </c:pt>
                <c:pt idx="79" formatCode="0.00">
                  <c:v>2.70255</c:v>
                </c:pt>
                <c:pt idx="80" formatCode="0.00">
                  <c:v>2.6233999999999997</c:v>
                </c:pt>
                <c:pt idx="81" formatCode="0.00">
                  <c:v>2.5242</c:v>
                </c:pt>
                <c:pt idx="82" formatCode="0.00">
                  <c:v>2.5165700000000002</c:v>
                </c:pt>
                <c:pt idx="83" formatCode="0.00">
                  <c:v>2.5023500000000003</c:v>
                </c:pt>
                <c:pt idx="84" formatCode="0.00">
                  <c:v>2.5390299999999999</c:v>
                </c:pt>
                <c:pt idx="85" formatCode="0.00">
                  <c:v>2.5156399999999999</c:v>
                </c:pt>
                <c:pt idx="86" formatCode="0.00">
                  <c:v>2.4081100000000002</c:v>
                </c:pt>
                <c:pt idx="87" formatCode="0.00">
                  <c:v>2.40171</c:v>
                </c:pt>
                <c:pt idx="88" formatCode="0.00">
                  <c:v>2.4501200000000001</c:v>
                </c:pt>
                <c:pt idx="89" formatCode="0.00">
                  <c:v>2.3563200000000002</c:v>
                </c:pt>
                <c:pt idx="90" formatCode="0.00">
                  <c:v>2.3450800000000003</c:v>
                </c:pt>
                <c:pt idx="91" formatCode="0.00">
                  <c:v>2.38259</c:v>
                </c:pt>
                <c:pt idx="92" formatCode="0.00">
                  <c:v>2.3735200000000001</c:v>
                </c:pt>
                <c:pt idx="93" formatCode="0.00">
                  <c:v>2.2678099999999999</c:v>
                </c:pt>
                <c:pt idx="94" formatCode="0.00">
                  <c:v>2.25644</c:v>
                </c:pt>
                <c:pt idx="95" formatCode="0.00">
                  <c:v>2.2788399999999998</c:v>
                </c:pt>
                <c:pt idx="96" formatCode="0.00">
                  <c:v>2.2993600000000001</c:v>
                </c:pt>
                <c:pt idx="97" formatCode="0.00">
                  <c:v>2.2167599999999998</c:v>
                </c:pt>
                <c:pt idx="98" formatCode="0.00">
                  <c:v>2.04182</c:v>
                </c:pt>
                <c:pt idx="99" formatCode="0.00">
                  <c:v>2.0026299999999999</c:v>
                </c:pt>
                <c:pt idx="100" formatCode="0.00">
                  <c:v>1.8886099999999999</c:v>
                </c:pt>
                <c:pt idx="101" formatCode="0.00">
                  <c:v>1.8247499999999999</c:v>
                </c:pt>
                <c:pt idx="102" formatCode="0.00">
                  <c:v>1.85364</c:v>
                </c:pt>
                <c:pt idx="103" formatCode="0.00">
                  <c:v>1.85364</c:v>
                </c:pt>
                <c:pt idx="104" formatCode="0.00">
                  <c:v>1.80779</c:v>
                </c:pt>
                <c:pt idx="105" formatCode="0.00">
                  <c:v>1.8223099999999999</c:v>
                </c:pt>
                <c:pt idx="106" formatCode="0.00">
                  <c:v>1.8056800000000002</c:v>
                </c:pt>
                <c:pt idx="107" formatCode="0.00">
                  <c:v>1.82728</c:v>
                </c:pt>
                <c:pt idx="108" formatCode="0.00">
                  <c:v>1.80803</c:v>
                </c:pt>
                <c:pt idx="109" formatCode="0.00">
                  <c:v>1.7832499999999998</c:v>
                </c:pt>
                <c:pt idx="110" formatCode="0.00">
                  <c:v>1.7294100000000001</c:v>
                </c:pt>
                <c:pt idx="111" formatCode="0.00">
                  <c:v>1.7671000000000001</c:v>
                </c:pt>
                <c:pt idx="112" formatCode="0.00">
                  <c:v>1.7605600000000001</c:v>
                </c:pt>
                <c:pt idx="113" formatCode="0.00">
                  <c:v>1.7976699999999999</c:v>
                </c:pt>
                <c:pt idx="114" formatCode="0.00">
                  <c:v>1.7964199999999999</c:v>
                </c:pt>
                <c:pt idx="115" formatCode="0.00">
                  <c:v>1.85006</c:v>
                </c:pt>
                <c:pt idx="116" formatCode="0.00">
                  <c:v>1.9521299999999999</c:v>
                </c:pt>
                <c:pt idx="117" formatCode="0.00">
                  <c:v>1.90951</c:v>
                </c:pt>
                <c:pt idx="118" formatCode="0.00">
                  <c:v>1.90507</c:v>
                </c:pt>
                <c:pt idx="119" formatCode="0.00">
                  <c:v>1.76261</c:v>
                </c:pt>
                <c:pt idx="120" formatCode="0.00">
                  <c:v>1.75457</c:v>
                </c:pt>
                <c:pt idx="121" formatCode="0.00">
                  <c:v>1.7784500000000001</c:v>
                </c:pt>
                <c:pt idx="122" formatCode="0.00">
                  <c:v>1.7738399999999999</c:v>
                </c:pt>
                <c:pt idx="123" formatCode="0.00">
                  <c:v>1.7755400000000001</c:v>
                </c:pt>
                <c:pt idx="124" formatCode="0.00">
                  <c:v>1.7635700000000001</c:v>
                </c:pt>
                <c:pt idx="125" formatCode="0.00">
                  <c:v>1.8174700000000001</c:v>
                </c:pt>
                <c:pt idx="126" formatCode="0.00">
                  <c:v>1.8463800000000001</c:v>
                </c:pt>
                <c:pt idx="127" formatCode="0.00">
                  <c:v>1.8455199999999998</c:v>
                </c:pt>
                <c:pt idx="128" formatCode="0.00">
                  <c:v>1.8867099999999999</c:v>
                </c:pt>
                <c:pt idx="129" formatCode="0.00">
                  <c:v>1.9032499999999999</c:v>
                </c:pt>
                <c:pt idx="130" formatCode="0.00">
                  <c:v>1.8239400000000001</c:v>
                </c:pt>
                <c:pt idx="131" formatCode="0.00">
                  <c:v>1.80602</c:v>
                </c:pt>
                <c:pt idx="132" formatCode="0.00">
                  <c:v>1.80602</c:v>
                </c:pt>
                <c:pt idx="133" formatCode="0.00">
                  <c:v>1.84602</c:v>
                </c:pt>
                <c:pt idx="134" formatCode="0.00">
                  <c:v>1.8488100000000001</c:v>
                </c:pt>
                <c:pt idx="135" formatCode="0.00">
                  <c:v>1.80969</c:v>
                </c:pt>
                <c:pt idx="136" formatCode="0.00">
                  <c:v>1.80749</c:v>
                </c:pt>
                <c:pt idx="137" formatCode="0.00">
                  <c:v>1.7834399999999999</c:v>
                </c:pt>
                <c:pt idx="138" formatCode="0.00">
                  <c:v>1.7701199999999999</c:v>
                </c:pt>
                <c:pt idx="139" formatCode="0.00">
                  <c:v>1.75743</c:v>
                </c:pt>
                <c:pt idx="140" formatCode="0.00">
                  <c:v>1.7325699999999999</c:v>
                </c:pt>
                <c:pt idx="141" formatCode="0.00">
                  <c:v>1.7262600000000001</c:v>
                </c:pt>
                <c:pt idx="142" formatCode="0.00">
                  <c:v>1.6977000000000002</c:v>
                </c:pt>
                <c:pt idx="143" formatCode="0.00">
                  <c:v>1.6792899999999999</c:v>
                </c:pt>
                <c:pt idx="144" formatCode="0.00">
                  <c:v>1.6825800000000002</c:v>
                </c:pt>
                <c:pt idx="145" formatCode="0.00">
                  <c:v>1.6906800000000002</c:v>
                </c:pt>
                <c:pt idx="146" formatCode="0.00">
                  <c:v>1.6447800000000001</c:v>
                </c:pt>
                <c:pt idx="147" formatCode="0.00">
                  <c:v>1.6547800000000001</c:v>
                </c:pt>
                <c:pt idx="148" formatCode="0.00">
                  <c:v>1.6172399999999998</c:v>
                </c:pt>
                <c:pt idx="149" formatCode="0.00">
                  <c:v>1.65089</c:v>
                </c:pt>
                <c:pt idx="150" formatCode="0.00">
                  <c:v>1.6423699999999999</c:v>
                </c:pt>
                <c:pt idx="151" formatCode="0.00">
                  <c:v>1.67845</c:v>
                </c:pt>
                <c:pt idx="152" formatCode="0.00">
                  <c:v>1.6825700000000001</c:v>
                </c:pt>
                <c:pt idx="153" formatCode="0.00">
                  <c:v>1.6511000000000002</c:v>
                </c:pt>
                <c:pt idx="154" formatCode="0.00">
                  <c:v>1.6300800000000002</c:v>
                </c:pt>
                <c:pt idx="155" formatCode="0.00">
                  <c:v>1.4971100000000002</c:v>
                </c:pt>
                <c:pt idx="156" formatCode="0.00">
                  <c:v>1.50478</c:v>
                </c:pt>
                <c:pt idx="157" formatCode="0.00">
                  <c:v>1.4598900000000001</c:v>
                </c:pt>
                <c:pt idx="158" formatCode="0.00">
                  <c:v>1.39106</c:v>
                </c:pt>
                <c:pt idx="159" formatCode="0.00">
                  <c:v>1.4087299999999998</c:v>
                </c:pt>
                <c:pt idx="160" formatCode="0.00">
                  <c:v>1.4051499999999999</c:v>
                </c:pt>
                <c:pt idx="161" formatCode="0.00">
                  <c:v>1.4051900000000002</c:v>
                </c:pt>
                <c:pt idx="162" formatCode="0.00">
                  <c:v>1.4715100000000001</c:v>
                </c:pt>
                <c:pt idx="163" formatCode="0.00">
                  <c:v>1.56037</c:v>
                </c:pt>
                <c:pt idx="164" formatCode="0.00">
                  <c:v>1.5665100000000001</c:v>
                </c:pt>
                <c:pt idx="165" formatCode="0.00">
                  <c:v>1.57605</c:v>
                </c:pt>
                <c:pt idx="166" formatCode="0.00">
                  <c:v>1.6133199999999999</c:v>
                </c:pt>
                <c:pt idx="167" formatCode="0.00">
                  <c:v>1.6353499999999999</c:v>
                </c:pt>
                <c:pt idx="168" formatCode="0.00">
                  <c:v>1.6191200000000001</c:v>
                </c:pt>
                <c:pt idx="169" formatCode="0.00">
                  <c:v>1.61791</c:v>
                </c:pt>
                <c:pt idx="170" formatCode="0.00">
                  <c:v>1.6493899999999999</c:v>
                </c:pt>
                <c:pt idx="171" formatCode="0.00">
                  <c:v>1.61663</c:v>
                </c:pt>
                <c:pt idx="172" formatCode="0.00">
                  <c:v>1.6433500000000001</c:v>
                </c:pt>
                <c:pt idx="173" formatCode="0.00">
                  <c:v>1.6566999999999998</c:v>
                </c:pt>
                <c:pt idx="174" formatCode="0.00">
                  <c:v>1.6265100000000001</c:v>
                </c:pt>
                <c:pt idx="175" formatCode="0.00">
                  <c:v>1.64592</c:v>
                </c:pt>
                <c:pt idx="176" formatCode="0.00">
                  <c:v>1.67536</c:v>
                </c:pt>
                <c:pt idx="177" formatCode="0.00">
                  <c:v>1.6540000000000001</c:v>
                </c:pt>
                <c:pt idx="178" formatCode="0.00">
                  <c:v>1.6540000000000001</c:v>
                </c:pt>
                <c:pt idx="179" formatCode="0.00">
                  <c:v>1.7148400000000001</c:v>
                </c:pt>
                <c:pt idx="180" formatCode="0.00">
                  <c:v>1.6875399999999998</c:v>
                </c:pt>
                <c:pt idx="181" formatCode="0.00">
                  <c:v>1.6880500000000001</c:v>
                </c:pt>
                <c:pt idx="182" formatCode="0.00">
                  <c:v>1.6964399999999999</c:v>
                </c:pt>
                <c:pt idx="183" formatCode="0.00">
                  <c:v>1.69489</c:v>
                </c:pt>
                <c:pt idx="184" formatCode="0.00">
                  <c:v>1.6552899999999999</c:v>
                </c:pt>
                <c:pt idx="185" formatCode="0.00">
                  <c:v>1.6204400000000001</c:v>
                </c:pt>
                <c:pt idx="186" formatCode="0.00">
                  <c:v>1.6208500000000001</c:v>
                </c:pt>
                <c:pt idx="187" formatCode="0.00">
                  <c:v>1.6091499999999999</c:v>
                </c:pt>
                <c:pt idx="188" formatCode="0.00">
                  <c:v>1.6873199999999999</c:v>
                </c:pt>
                <c:pt idx="189" formatCode="0.00">
                  <c:v>1.6698900000000001</c:v>
                </c:pt>
                <c:pt idx="190" formatCode="0.00">
                  <c:v>1.6530799999999999</c:v>
                </c:pt>
                <c:pt idx="191" formatCode="0.00">
                  <c:v>1.7094999999999998</c:v>
                </c:pt>
                <c:pt idx="192" formatCode="0.00">
                  <c:v>1.71255</c:v>
                </c:pt>
                <c:pt idx="193" formatCode="0.00">
                  <c:v>1.7150100000000001</c:v>
                </c:pt>
                <c:pt idx="194" formatCode="0.00">
                  <c:v>1.72756</c:v>
                </c:pt>
                <c:pt idx="195" formatCode="0.00">
                  <c:v>1.6898900000000001</c:v>
                </c:pt>
                <c:pt idx="196" formatCode="0.00">
                  <c:v>1.6615799999999998</c:v>
                </c:pt>
                <c:pt idx="197" formatCode="0.00">
                  <c:v>1.68059</c:v>
                </c:pt>
                <c:pt idx="198" formatCode="0.00">
                  <c:v>1.6541399999999999</c:v>
                </c:pt>
                <c:pt idx="199" formatCode="0.00">
                  <c:v>1.65883</c:v>
                </c:pt>
                <c:pt idx="200" formatCode="0.00">
                  <c:v>1.6504099999999999</c:v>
                </c:pt>
                <c:pt idx="201" formatCode="0.00">
                  <c:v>1.6474199999999999</c:v>
                </c:pt>
                <c:pt idx="202" formatCode="0.00">
                  <c:v>1.58921</c:v>
                </c:pt>
                <c:pt idx="203" formatCode="0.00">
                  <c:v>1.58921</c:v>
                </c:pt>
                <c:pt idx="204" formatCode="0.00">
                  <c:v>1.6151200000000001</c:v>
                </c:pt>
                <c:pt idx="205" formatCode="0.00">
                  <c:v>1.6159800000000002</c:v>
                </c:pt>
                <c:pt idx="206" formatCode="0.00">
                  <c:v>1.6032599999999999</c:v>
                </c:pt>
                <c:pt idx="207" formatCode="0.00">
                  <c:v>1.5725299999999998</c:v>
                </c:pt>
                <c:pt idx="208" formatCode="0.00">
                  <c:v>1.54952</c:v>
                </c:pt>
                <c:pt idx="209" formatCode="0.00">
                  <c:v>1.5469900000000001</c:v>
                </c:pt>
                <c:pt idx="210" formatCode="0.00">
                  <c:v>1.54843</c:v>
                </c:pt>
                <c:pt idx="211" formatCode="0.00">
                  <c:v>1.52007</c:v>
                </c:pt>
                <c:pt idx="212" formatCode="0.00">
                  <c:v>1.5336000000000001</c:v>
                </c:pt>
                <c:pt idx="213" formatCode="0.00">
                  <c:v>1.54725</c:v>
                </c:pt>
                <c:pt idx="214" formatCode="0.00">
                  <c:v>1.5668899999999999</c:v>
                </c:pt>
                <c:pt idx="215" formatCode="0.00">
                  <c:v>1.6445699999999999</c:v>
                </c:pt>
                <c:pt idx="216" formatCode="0.00">
                  <c:v>1.61751</c:v>
                </c:pt>
                <c:pt idx="217" formatCode="0.00">
                  <c:v>1.6188499999999999</c:v>
                </c:pt>
                <c:pt idx="218" formatCode="0.00">
                  <c:v>1.6369800000000001</c:v>
                </c:pt>
                <c:pt idx="219" formatCode="0.00">
                  <c:v>1.5948199999999999</c:v>
                </c:pt>
                <c:pt idx="220" formatCode="0.00">
                  <c:v>1.5906499999999999</c:v>
                </c:pt>
                <c:pt idx="221" formatCode="0.00">
                  <c:v>1.5026200000000001</c:v>
                </c:pt>
                <c:pt idx="222" formatCode="0.00">
                  <c:v>1.49861</c:v>
                </c:pt>
                <c:pt idx="223" formatCode="0.00">
                  <c:v>1.3772200000000001</c:v>
                </c:pt>
                <c:pt idx="224" formatCode="0.00">
                  <c:v>1.391</c:v>
                </c:pt>
                <c:pt idx="225" formatCode="0.00">
                  <c:v>1.391</c:v>
                </c:pt>
                <c:pt idx="226" formatCode="0.00">
                  <c:v>1.42404</c:v>
                </c:pt>
                <c:pt idx="227" formatCode="0.00">
                  <c:v>1.39741</c:v>
                </c:pt>
                <c:pt idx="228" formatCode="0.00">
                  <c:v>1.37534</c:v>
                </c:pt>
                <c:pt idx="229" formatCode="0.00">
                  <c:v>1.4058600000000001</c:v>
                </c:pt>
                <c:pt idx="230" formatCode="0.00">
                  <c:v>1.40239</c:v>
                </c:pt>
                <c:pt idx="231" formatCode="0.00">
                  <c:v>1.4055799999999998</c:v>
                </c:pt>
                <c:pt idx="232" formatCode="0.00">
                  <c:v>1.41151</c:v>
                </c:pt>
                <c:pt idx="233" formatCode="0.00">
                  <c:v>1.4083399999999999</c:v>
                </c:pt>
                <c:pt idx="234" formatCode="0.00">
                  <c:v>1.4018100000000002</c:v>
                </c:pt>
                <c:pt idx="235" formatCode="0.00">
                  <c:v>1.4034500000000001</c:v>
                </c:pt>
                <c:pt idx="236" formatCode="0.00">
                  <c:v>1.4034500000000001</c:v>
                </c:pt>
                <c:pt idx="237" formatCode="0.00">
                  <c:v>1.4248099999999999</c:v>
                </c:pt>
                <c:pt idx="238" formatCode="0.00">
                  <c:v>1.4173099999999998</c:v>
                </c:pt>
                <c:pt idx="239" formatCode="0.00">
                  <c:v>1.3680000000000001</c:v>
                </c:pt>
                <c:pt idx="240" formatCode="0.00">
                  <c:v>1.3623799999999999</c:v>
                </c:pt>
                <c:pt idx="241" formatCode="0.00">
                  <c:v>1.3659800000000002</c:v>
                </c:pt>
                <c:pt idx="242" formatCode="0.00">
                  <c:v>1.33935</c:v>
                </c:pt>
                <c:pt idx="243" formatCode="0.00">
                  <c:v>1.3680099999999999</c:v>
                </c:pt>
                <c:pt idx="244" formatCode="0.00">
                  <c:v>1.3784100000000001</c:v>
                </c:pt>
                <c:pt idx="245" formatCode="0.00">
                  <c:v>1.3668500000000001</c:v>
                </c:pt>
                <c:pt idx="246" formatCode="0.00">
                  <c:v>1.3735400000000002</c:v>
                </c:pt>
                <c:pt idx="247" formatCode="0.00">
                  <c:v>1.37486</c:v>
                </c:pt>
                <c:pt idx="248" formatCode="0.00">
                  <c:v>1.3726799999999999</c:v>
                </c:pt>
                <c:pt idx="249" formatCode="0.00">
                  <c:v>1.3489099999999998</c:v>
                </c:pt>
                <c:pt idx="250" formatCode="0.00">
                  <c:v>1.3385499999999999</c:v>
                </c:pt>
                <c:pt idx="251" formatCode="0.00">
                  <c:v>1.3143</c:v>
                </c:pt>
                <c:pt idx="252" formatCode="0.00">
                  <c:v>1.3230199999999999</c:v>
                </c:pt>
                <c:pt idx="253" formatCode="0.00">
                  <c:v>1.32257</c:v>
                </c:pt>
                <c:pt idx="254" formatCode="0.00">
                  <c:v>1.34849</c:v>
                </c:pt>
                <c:pt idx="255" formatCode="0.00">
                  <c:v>1.3457300000000001</c:v>
                </c:pt>
                <c:pt idx="256" formatCode="0.00">
                  <c:v>1.35565</c:v>
                </c:pt>
                <c:pt idx="257" formatCode="0.00">
                  <c:v>1.35565</c:v>
                </c:pt>
                <c:pt idx="258" formatCode="0.00">
                  <c:v>1.3612700000000002</c:v>
                </c:pt>
                <c:pt idx="259" formatCode="0.00">
                  <c:v>1.3616599999999999</c:v>
                </c:pt>
                <c:pt idx="260" formatCode="0.00">
                  <c:v>1.34518</c:v>
                </c:pt>
                <c:pt idx="261" formatCode="0.00">
                  <c:v>1.3465100000000001</c:v>
                </c:pt>
                <c:pt idx="262" formatCode="0.00">
                  <c:v>1.3465100000000001</c:v>
                </c:pt>
                <c:pt idx="263" formatCode="0.00">
                  <c:v>1.3366499999999999</c:v>
                </c:pt>
                <c:pt idx="264" formatCode="0.00">
                  <c:v>1.3278800000000002</c:v>
                </c:pt>
                <c:pt idx="265" formatCode="0.00">
                  <c:v>1.3021400000000001</c:v>
                </c:pt>
                <c:pt idx="266" formatCode="0.00">
                  <c:v>1.3214699999999999</c:v>
                </c:pt>
                <c:pt idx="267" formatCode="0.00">
                  <c:v>1.3010699999999999</c:v>
                </c:pt>
                <c:pt idx="268" formatCode="0.00">
                  <c:v>1.2756799999999999</c:v>
                </c:pt>
                <c:pt idx="269" formatCode="0.00">
                  <c:v>1.2880199999999999</c:v>
                </c:pt>
                <c:pt idx="270" formatCode="0.00">
                  <c:v>1.3070900000000001</c:v>
                </c:pt>
                <c:pt idx="271" formatCode="0.00">
                  <c:v>1.27735</c:v>
                </c:pt>
                <c:pt idx="272" formatCode="0.00">
                  <c:v>1.3028</c:v>
                </c:pt>
                <c:pt idx="273" formatCode="0.00">
                  <c:v>1.3028</c:v>
                </c:pt>
                <c:pt idx="274" formatCode="0.00">
                  <c:v>1.27643</c:v>
                </c:pt>
                <c:pt idx="275" formatCode="0.00">
                  <c:v>1.26694</c:v>
                </c:pt>
                <c:pt idx="276" formatCode="0.00">
                  <c:v>1.27752</c:v>
                </c:pt>
                <c:pt idx="277" formatCode="0.00">
                  <c:v>1.3544100000000001</c:v>
                </c:pt>
                <c:pt idx="278" formatCode="0.00">
                  <c:v>1.3695300000000001</c:v>
                </c:pt>
                <c:pt idx="279" formatCode="0.00">
                  <c:v>1.3626400000000001</c:v>
                </c:pt>
                <c:pt idx="280" formatCode="0.00">
                  <c:v>1.34659</c:v>
                </c:pt>
                <c:pt idx="281" formatCode="0.00">
                  <c:v>1.3228599999999999</c:v>
                </c:pt>
                <c:pt idx="282" formatCode="0.00">
                  <c:v>1.3256600000000001</c:v>
                </c:pt>
                <c:pt idx="283" formatCode="0.00">
                  <c:v>1.3325899999999999</c:v>
                </c:pt>
                <c:pt idx="284" formatCode="0.00">
                  <c:v>1.3126100000000001</c:v>
                </c:pt>
                <c:pt idx="285" formatCode="0.00">
                  <c:v>1.3083600000000002</c:v>
                </c:pt>
                <c:pt idx="286" formatCode="0.00">
                  <c:v>1.2915000000000001</c:v>
                </c:pt>
                <c:pt idx="287" formatCode="0.00">
                  <c:v>1.26969</c:v>
                </c:pt>
                <c:pt idx="288" formatCode="0.00">
                  <c:v>1.2689900000000001</c:v>
                </c:pt>
                <c:pt idx="289" formatCode="0.00">
                  <c:v>1.2632099999999999</c:v>
                </c:pt>
                <c:pt idx="290" formatCode="0.00">
                  <c:v>1.27739</c:v>
                </c:pt>
                <c:pt idx="291" formatCode="0.00">
                  <c:v>1.2550400000000002</c:v>
                </c:pt>
                <c:pt idx="292" formatCode="0.00">
                  <c:v>1.2273799999999999</c:v>
                </c:pt>
                <c:pt idx="293" formatCode="0.00">
                  <c:v>1.2273799999999999</c:v>
                </c:pt>
                <c:pt idx="294" formatCode="0.00">
                  <c:v>1.1611899999999999</c:v>
                </c:pt>
                <c:pt idx="295" formatCode="0.00">
                  <c:v>1.1815900000000001</c:v>
                </c:pt>
                <c:pt idx="296" formatCode="0.00">
                  <c:v>1.1707799999999999</c:v>
                </c:pt>
                <c:pt idx="297" formatCode="0.00">
                  <c:v>1.1438999999999999</c:v>
                </c:pt>
                <c:pt idx="298" formatCode="0.00">
                  <c:v>1.15246</c:v>
                </c:pt>
                <c:pt idx="299" formatCode="0.00">
                  <c:v>1.16899</c:v>
                </c:pt>
                <c:pt idx="300" formatCode="0.00">
                  <c:v>1.1300400000000002</c:v>
                </c:pt>
                <c:pt idx="301" formatCode="0.00">
                  <c:v>1.01447</c:v>
                </c:pt>
                <c:pt idx="302" formatCode="0.00">
                  <c:v>1.0417799999999999</c:v>
                </c:pt>
                <c:pt idx="303" formatCode="0.00">
                  <c:v>1.0490600000000001</c:v>
                </c:pt>
                <c:pt idx="304" formatCode="0.00">
                  <c:v>1.08887</c:v>
                </c:pt>
                <c:pt idx="305" formatCode="0.00">
                  <c:v>1.0542400000000001</c:v>
                </c:pt>
                <c:pt idx="306" formatCode="0.00">
                  <c:v>1.02305</c:v>
                </c:pt>
                <c:pt idx="307" formatCode="0.00">
                  <c:v>1.1140000000000001</c:v>
                </c:pt>
                <c:pt idx="308" formatCode="0.00">
                  <c:v>1.13201</c:v>
                </c:pt>
                <c:pt idx="309" formatCode="0.00">
                  <c:v>1.14574</c:v>
                </c:pt>
                <c:pt idx="310" formatCode="0.00">
                  <c:v>1.1712499999999999</c:v>
                </c:pt>
                <c:pt idx="311" formatCode="0.00">
                  <c:v>1.1553100000000001</c:v>
                </c:pt>
                <c:pt idx="312" formatCode="0.00">
                  <c:v>1.16808</c:v>
                </c:pt>
                <c:pt idx="313" formatCode="0.00">
                  <c:v>1.1539700000000002</c:v>
                </c:pt>
                <c:pt idx="314" formatCode="0.00">
                  <c:v>1.1491</c:v>
                </c:pt>
                <c:pt idx="315" formatCode="0.00">
                  <c:v>1.2434399999999999</c:v>
                </c:pt>
                <c:pt idx="316" formatCode="0.00">
                  <c:v>1.2456</c:v>
                </c:pt>
                <c:pt idx="317" formatCode="0.00">
                  <c:v>1.24505</c:v>
                </c:pt>
                <c:pt idx="318" formatCode="0.00">
                  <c:v>1.25057</c:v>
                </c:pt>
                <c:pt idx="319" formatCode="0.00">
                  <c:v>1.3462200000000002</c:v>
                </c:pt>
                <c:pt idx="320" formatCode="0.00">
                  <c:v>1.3575999999999999</c:v>
                </c:pt>
                <c:pt idx="321" formatCode="0.00">
                  <c:v>1.3662200000000002</c:v>
                </c:pt>
                <c:pt idx="322" formatCode="0.00">
                  <c:v>1.3628299999999998</c:v>
                </c:pt>
                <c:pt idx="323" formatCode="0.00">
                  <c:v>1.3109500000000001</c:v>
                </c:pt>
                <c:pt idx="324" formatCode="0.00">
                  <c:v>1.3327600000000002</c:v>
                </c:pt>
                <c:pt idx="325" formatCode="0.00">
                  <c:v>1.29962</c:v>
                </c:pt>
                <c:pt idx="326" formatCode="0.00">
                  <c:v>1.3233199999999998</c:v>
                </c:pt>
                <c:pt idx="327" formatCode="0.00">
                  <c:v>1.3426199999999999</c:v>
                </c:pt>
                <c:pt idx="328" formatCode="0.00">
                  <c:v>1.2915100000000002</c:v>
                </c:pt>
                <c:pt idx="329" formatCode="0.00">
                  <c:v>1.3954599999999999</c:v>
                </c:pt>
                <c:pt idx="330" formatCode="0.00">
                  <c:v>1.4616800000000001</c:v>
                </c:pt>
                <c:pt idx="331" formatCode="0.00">
                  <c:v>1.4720199999999999</c:v>
                </c:pt>
                <c:pt idx="332" formatCode="0.00">
                  <c:v>1.47055</c:v>
                </c:pt>
                <c:pt idx="333" formatCode="0.00">
                  <c:v>1.4413900000000002</c:v>
                </c:pt>
                <c:pt idx="334" formatCode="0.00">
                  <c:v>1.4840100000000001</c:v>
                </c:pt>
                <c:pt idx="335" formatCode="0.00">
                  <c:v>1.4049700000000001</c:v>
                </c:pt>
                <c:pt idx="336" formatCode="0.00">
                  <c:v>1.4788999999999999</c:v>
                </c:pt>
                <c:pt idx="337" formatCode="0.00">
                  <c:v>1.2995400000000001</c:v>
                </c:pt>
                <c:pt idx="338" formatCode="0.00">
                  <c:v>1.2824899999999999</c:v>
                </c:pt>
                <c:pt idx="339" formatCode="0.00">
                  <c:v>1.3849799999999999</c:v>
                </c:pt>
                <c:pt idx="340" formatCode="0.00">
                  <c:v>1.36171</c:v>
                </c:pt>
                <c:pt idx="341" formatCode="0.00">
                  <c:v>1.2748999999999999</c:v>
                </c:pt>
                <c:pt idx="342" formatCode="0.00">
                  <c:v>1.2714000000000001</c:v>
                </c:pt>
                <c:pt idx="343" formatCode="0.00">
                  <c:v>1.2295099999999999</c:v>
                </c:pt>
                <c:pt idx="344" formatCode="0.00">
                  <c:v>1.21272</c:v>
                </c:pt>
                <c:pt idx="345" formatCode="0.00">
                  <c:v>1.22363</c:v>
                </c:pt>
                <c:pt idx="346" formatCode="0.00">
                  <c:v>1.1899</c:v>
                </c:pt>
                <c:pt idx="347" formatCode="0.00">
                  <c:v>1.19858</c:v>
                </c:pt>
                <c:pt idx="348" formatCode="0.00">
                  <c:v>1.2133</c:v>
                </c:pt>
                <c:pt idx="349" formatCode="0.00">
                  <c:v>1.20421</c:v>
                </c:pt>
                <c:pt idx="350" formatCode="0.00">
                  <c:v>1.20655</c:v>
                </c:pt>
                <c:pt idx="351" formatCode="0.00">
                  <c:v>1.15204</c:v>
                </c:pt>
                <c:pt idx="352" formatCode="0.00">
                  <c:v>1.17075</c:v>
                </c:pt>
                <c:pt idx="353" formatCode="0.00">
                  <c:v>1.1635800000000001</c:v>
                </c:pt>
                <c:pt idx="354" formatCode="0.00">
                  <c:v>1.1697499999999998</c:v>
                </c:pt>
                <c:pt idx="355" formatCode="0.00">
                  <c:v>1.1531100000000001</c:v>
                </c:pt>
                <c:pt idx="356" formatCode="0.00">
                  <c:v>1.1578200000000001</c:v>
                </c:pt>
                <c:pt idx="357" formatCode="0.00">
                  <c:v>1.13723</c:v>
                </c:pt>
                <c:pt idx="358" formatCode="0.00">
                  <c:v>1.13286</c:v>
                </c:pt>
                <c:pt idx="359" formatCode="0.00">
                  <c:v>1.14063</c:v>
                </c:pt>
                <c:pt idx="360" formatCode="0.00">
                  <c:v>1.12782</c:v>
                </c:pt>
                <c:pt idx="361" formatCode="0.00">
                  <c:v>1.13083</c:v>
                </c:pt>
                <c:pt idx="362" formatCode="0.00">
                  <c:v>1.1125499999999999</c:v>
                </c:pt>
                <c:pt idx="363" formatCode="0.00">
                  <c:v>1.12913</c:v>
                </c:pt>
                <c:pt idx="364" formatCode="0.00">
                  <c:v>1.1466400000000001</c:v>
                </c:pt>
                <c:pt idx="365" formatCode="0.00">
                  <c:v>1.1246400000000001</c:v>
                </c:pt>
                <c:pt idx="366" formatCode="0.00">
                  <c:v>1.0906</c:v>
                </c:pt>
                <c:pt idx="367" formatCode="0.00">
                  <c:v>1.11066</c:v>
                </c:pt>
                <c:pt idx="368" formatCode="0.00">
                  <c:v>1.11066</c:v>
                </c:pt>
                <c:pt idx="369" formatCode="0.00">
                  <c:v>1.07769</c:v>
                </c:pt>
                <c:pt idx="370" formatCode="0.00">
                  <c:v>1.08335</c:v>
                </c:pt>
                <c:pt idx="371" formatCode="0.00">
                  <c:v>1.05003</c:v>
                </c:pt>
                <c:pt idx="372" formatCode="0.00">
                  <c:v>1.1064700000000001</c:v>
                </c:pt>
                <c:pt idx="373" formatCode="0.00">
                  <c:v>1.0626800000000001</c:v>
                </c:pt>
                <c:pt idx="374" formatCode="0.00">
                  <c:v>1.0642499999999999</c:v>
                </c:pt>
                <c:pt idx="375" formatCode="0.00">
                  <c:v>1.0476999999999999</c:v>
                </c:pt>
                <c:pt idx="376" formatCode="0.00">
                  <c:v>1.05826</c:v>
                </c:pt>
                <c:pt idx="377" formatCode="0.00">
                  <c:v>1.0103599999999999</c:v>
                </c:pt>
                <c:pt idx="378" formatCode="0.00">
                  <c:v>0.98025999999999991</c:v>
                </c:pt>
                <c:pt idx="379" formatCode="0.00">
                  <c:v>0.97385999999999995</c:v>
                </c:pt>
                <c:pt idx="380" formatCode="0.00">
                  <c:v>0.98114000000000001</c:v>
                </c:pt>
                <c:pt idx="381" formatCode="0.00">
                  <c:v>0.92879999999999996</c:v>
                </c:pt>
                <c:pt idx="382" formatCode="0.00">
                  <c:v>0.90342</c:v>
                </c:pt>
                <c:pt idx="383" formatCode="0.00">
                  <c:v>0.88828000000000007</c:v>
                </c:pt>
                <c:pt idx="384" formatCode="0.00">
                  <c:v>0.92611999999999994</c:v>
                </c:pt>
                <c:pt idx="385" formatCode="0.00">
                  <c:v>0.91139999999999999</c:v>
                </c:pt>
                <c:pt idx="386" formatCode="0.00">
                  <c:v>0.90376999999999996</c:v>
                </c:pt>
                <c:pt idx="387" formatCode="0.00">
                  <c:v>0.88424999999999998</c:v>
                </c:pt>
                <c:pt idx="388" formatCode="0.00">
                  <c:v>0.90221999999999991</c:v>
                </c:pt>
                <c:pt idx="389" formatCode="0.00">
                  <c:v>0.8999299999999999</c:v>
                </c:pt>
                <c:pt idx="390" formatCode="0.00">
                  <c:v>0.93596999999999997</c:v>
                </c:pt>
                <c:pt idx="391" formatCode="0.00">
                  <c:v>0.90400999999999998</c:v>
                </c:pt>
                <c:pt idx="392" formatCode="0.00">
                  <c:v>0.93767999999999996</c:v>
                </c:pt>
                <c:pt idx="393" formatCode="0.00">
                  <c:v>0.93767999999999996</c:v>
                </c:pt>
                <c:pt idx="394" formatCode="0.00">
                  <c:v>0.98754000000000008</c:v>
                </c:pt>
                <c:pt idx="395" formatCode="0.00">
                  <c:v>1.00478</c:v>
                </c:pt>
                <c:pt idx="396" formatCode="0.00">
                  <c:v>1.0285599999999999</c:v>
                </c:pt>
                <c:pt idx="397" formatCode="0.00">
                  <c:v>0.98212999999999995</c:v>
                </c:pt>
                <c:pt idx="398" formatCode="0.00">
                  <c:v>0.96538999999999997</c:v>
                </c:pt>
                <c:pt idx="399" formatCode="0.00">
                  <c:v>0.92662999999999995</c:v>
                </c:pt>
                <c:pt idx="400" formatCode="0.00">
                  <c:v>0.96510999999999991</c:v>
                </c:pt>
                <c:pt idx="401" formatCode="0.00">
                  <c:v>0.97569000000000006</c:v>
                </c:pt>
                <c:pt idx="402" formatCode="0.00">
                  <c:v>0.97156000000000009</c:v>
                </c:pt>
                <c:pt idx="403" formatCode="0.00">
                  <c:v>1.04376</c:v>
                </c:pt>
                <c:pt idx="404" formatCode="0.00">
                  <c:v>1.0313099999999999</c:v>
                </c:pt>
                <c:pt idx="405" formatCode="0.00">
                  <c:v>0.97987999999999997</c:v>
                </c:pt>
                <c:pt idx="406" formatCode="0.00">
                  <c:v>1.00248</c:v>
                </c:pt>
                <c:pt idx="407" formatCode="0.00">
                  <c:v>0.99682000000000004</c:v>
                </c:pt>
                <c:pt idx="408" formatCode="0.00">
                  <c:v>0.9863599999999999</c:v>
                </c:pt>
                <c:pt idx="409" formatCode="0.00">
                  <c:v>1.00909</c:v>
                </c:pt>
                <c:pt idx="410" formatCode="0.00">
                  <c:v>1.01807</c:v>
                </c:pt>
                <c:pt idx="411" formatCode="0.00">
                  <c:v>0.98673</c:v>
                </c:pt>
                <c:pt idx="412" formatCode="0.00">
                  <c:v>1.0119199999999999</c:v>
                </c:pt>
                <c:pt idx="413" formatCode="0.00">
                  <c:v>1.0228900000000001</c:v>
                </c:pt>
                <c:pt idx="414" formatCode="0.00">
                  <c:v>1.0233400000000001</c:v>
                </c:pt>
                <c:pt idx="415" formatCode="0.00">
                  <c:v>0.97641</c:v>
                </c:pt>
                <c:pt idx="416" formatCode="0.00">
                  <c:v>0.92413000000000001</c:v>
                </c:pt>
                <c:pt idx="417" formatCode="0.00">
                  <c:v>0.88919999999999999</c:v>
                </c:pt>
                <c:pt idx="418" formatCode="0.00">
                  <c:v>0.88066</c:v>
                </c:pt>
                <c:pt idx="419" formatCode="0.00">
                  <c:v>0.84484999999999999</c:v>
                </c:pt>
                <c:pt idx="420" formatCode="0.00">
                  <c:v>0.87222</c:v>
                </c:pt>
                <c:pt idx="421" formatCode="0.00">
                  <c:v>0.84758</c:v>
                </c:pt>
                <c:pt idx="422" formatCode="0.00">
                  <c:v>0.92254999999999998</c:v>
                </c:pt>
                <c:pt idx="423" formatCode="0.00">
                  <c:v>0.93692999999999993</c:v>
                </c:pt>
                <c:pt idx="424" formatCode="0.00">
                  <c:v>0.93221999999999994</c:v>
                </c:pt>
                <c:pt idx="425" formatCode="0.00">
                  <c:v>0.90513999999999994</c:v>
                </c:pt>
                <c:pt idx="426" formatCode="0.00">
                  <c:v>0.92793000000000003</c:v>
                </c:pt>
                <c:pt idx="427" formatCode="0.00">
                  <c:v>0.90651999999999999</c:v>
                </c:pt>
                <c:pt idx="428" formatCode="0.00">
                  <c:v>0.91410999999999998</c:v>
                </c:pt>
                <c:pt idx="429" formatCode="0.00">
                  <c:v>0.91790000000000005</c:v>
                </c:pt>
                <c:pt idx="430" formatCode="0.00">
                  <c:v>0.89032</c:v>
                </c:pt>
                <c:pt idx="431" formatCode="0.00">
                  <c:v>0.88694999999999991</c:v>
                </c:pt>
                <c:pt idx="432" formatCode="0.00">
                  <c:v>0.95212999999999992</c:v>
                </c:pt>
                <c:pt idx="433" formatCode="0.00">
                  <c:v>0.95111999999999997</c:v>
                </c:pt>
                <c:pt idx="434" formatCode="0.00">
                  <c:v>0.96674000000000004</c:v>
                </c:pt>
                <c:pt idx="435" formatCode="0.00">
                  <c:v>0.95513000000000003</c:v>
                </c:pt>
                <c:pt idx="436" formatCode="0.00">
                  <c:v>0.93589</c:v>
                </c:pt>
                <c:pt idx="437" formatCode="0.00">
                  <c:v>0.94983000000000006</c:v>
                </c:pt>
                <c:pt idx="438" formatCode="0.00">
                  <c:v>0.94983000000000006</c:v>
                </c:pt>
                <c:pt idx="439" formatCode="0.00">
                  <c:v>0.93507999999999991</c:v>
                </c:pt>
                <c:pt idx="440" formatCode="0.00">
                  <c:v>0.9355</c:v>
                </c:pt>
                <c:pt idx="441" formatCode="0.00">
                  <c:v>0.94218000000000002</c:v>
                </c:pt>
                <c:pt idx="442" formatCode="0.00">
                  <c:v>0.92808000000000002</c:v>
                </c:pt>
                <c:pt idx="443" formatCode="0.00">
                  <c:v>0.92986000000000002</c:v>
                </c:pt>
                <c:pt idx="444" formatCode="0.00">
                  <c:v>0.93988000000000005</c:v>
                </c:pt>
                <c:pt idx="445" formatCode="0.00">
                  <c:v>0.92066000000000003</c:v>
                </c:pt>
                <c:pt idx="446" formatCode="0.00">
                  <c:v>0.90119000000000005</c:v>
                </c:pt>
                <c:pt idx="447" formatCode="0.00">
                  <c:v>0.87095</c:v>
                </c:pt>
                <c:pt idx="448" formatCode="0.00">
                  <c:v>0.93998999999999999</c:v>
                </c:pt>
                <c:pt idx="449" formatCode="0.00">
                  <c:v>0.90965999999999991</c:v>
                </c:pt>
                <c:pt idx="450" formatCode="0.00">
                  <c:v>0.88519999999999999</c:v>
                </c:pt>
                <c:pt idx="451" formatCode="0.00">
                  <c:v>0.83223000000000003</c:v>
                </c:pt>
                <c:pt idx="452" formatCode="0.00">
                  <c:v>0.84513000000000005</c:v>
                </c:pt>
                <c:pt idx="453" formatCode="0.00">
                  <c:v>0.85816000000000003</c:v>
                </c:pt>
                <c:pt idx="454" formatCode="0.00">
                  <c:v>0.87982000000000005</c:v>
                </c:pt>
                <c:pt idx="455" formatCode="0.00">
                  <c:v>0.87948999999999999</c:v>
                </c:pt>
                <c:pt idx="456" formatCode="0.00">
                  <c:v>0.89846000000000004</c:v>
                </c:pt>
                <c:pt idx="457" formatCode="0.00">
                  <c:v>0.96230000000000004</c:v>
                </c:pt>
                <c:pt idx="458" formatCode="0.00">
                  <c:v>0.96703000000000006</c:v>
                </c:pt>
                <c:pt idx="459" formatCode="0.00">
                  <c:v>0.96394999999999997</c:v>
                </c:pt>
                <c:pt idx="460" formatCode="0.00">
                  <c:v>0.98258999999999996</c:v>
                </c:pt>
                <c:pt idx="461" formatCode="0.00">
                  <c:v>0.92618</c:v>
                </c:pt>
                <c:pt idx="462" formatCode="0.00">
                  <c:v>0.90182000000000007</c:v>
                </c:pt>
                <c:pt idx="463" formatCode="0.00">
                  <c:v>0.90182000000000007</c:v>
                </c:pt>
                <c:pt idx="464" formatCode="0.00">
                  <c:v>0.86907000000000001</c:v>
                </c:pt>
                <c:pt idx="465" formatCode="0.00">
                  <c:v>0.83751000000000009</c:v>
                </c:pt>
                <c:pt idx="466" formatCode="0.00">
                  <c:v>0.83069000000000004</c:v>
                </c:pt>
                <c:pt idx="467" formatCode="0.00">
                  <c:v>0.78727000000000003</c:v>
                </c:pt>
                <c:pt idx="468" formatCode="0.00">
                  <c:v>0.77048000000000005</c:v>
                </c:pt>
                <c:pt idx="469" formatCode="0.00">
                  <c:v>0.77418999999999993</c:v>
                </c:pt>
                <c:pt idx="470" formatCode="0.00">
                  <c:v>0.77319999999999989</c:v>
                </c:pt>
                <c:pt idx="471" formatCode="0.00">
                  <c:v>0.73796000000000006</c:v>
                </c:pt>
                <c:pt idx="472" formatCode="0.00">
                  <c:v>0.73605000000000009</c:v>
                </c:pt>
                <c:pt idx="473" formatCode="0.00">
                  <c:v>0.76885000000000003</c:v>
                </c:pt>
                <c:pt idx="474" formatCode="0.00">
                  <c:v>0.75296000000000007</c:v>
                </c:pt>
                <c:pt idx="475" formatCode="0.00">
                  <c:v>0.77299000000000007</c:v>
                </c:pt>
                <c:pt idx="476" formatCode="0.00">
                  <c:v>0.75422</c:v>
                </c:pt>
                <c:pt idx="477" formatCode="0.00">
                  <c:v>0.73358999999999996</c:v>
                </c:pt>
                <c:pt idx="478" formatCode="0.00">
                  <c:v>0.75078</c:v>
                </c:pt>
                <c:pt idx="479" formatCode="0.00">
                  <c:v>0.78992999999999991</c:v>
                </c:pt>
                <c:pt idx="480" formatCode="0.00">
                  <c:v>0.74641000000000002</c:v>
                </c:pt>
                <c:pt idx="481" formatCode="0.00">
                  <c:v>0.81039000000000005</c:v>
                </c:pt>
                <c:pt idx="482" formatCode="0.00">
                  <c:v>0.82191999999999998</c:v>
                </c:pt>
                <c:pt idx="483" formatCode="0.00">
                  <c:v>0.76600999999999997</c:v>
                </c:pt>
                <c:pt idx="484" formatCode="0.00">
                  <c:v>0.8012999999999999</c:v>
                </c:pt>
                <c:pt idx="485" formatCode="0.00">
                  <c:v>0.68713999999999997</c:v>
                </c:pt>
                <c:pt idx="486" formatCode="0.00">
                  <c:v>0.68713999999999997</c:v>
                </c:pt>
                <c:pt idx="487" formatCode="0.00">
                  <c:v>0.74007000000000001</c:v>
                </c:pt>
                <c:pt idx="488" formatCode="0.00">
                  <c:v>0.81523999999999996</c:v>
                </c:pt>
                <c:pt idx="489" formatCode="0.00">
                  <c:v>0.89347999999999994</c:v>
                </c:pt>
                <c:pt idx="490" formatCode="0.00">
                  <c:v>0.94370999999999994</c:v>
                </c:pt>
                <c:pt idx="491" formatCode="0.00">
                  <c:v>0.92500000000000004</c:v>
                </c:pt>
                <c:pt idx="492" formatCode="0.00">
                  <c:v>0.97438000000000002</c:v>
                </c:pt>
                <c:pt idx="493" formatCode="0.00">
                  <c:v>0.97694000000000003</c:v>
                </c:pt>
                <c:pt idx="494" formatCode="0.00">
                  <c:v>1.0660499999999999</c:v>
                </c:pt>
                <c:pt idx="495" formatCode="0.00">
                  <c:v>1.0766800000000001</c:v>
                </c:pt>
                <c:pt idx="496" formatCode="0.00">
                  <c:v>1.0766800000000001</c:v>
                </c:pt>
                <c:pt idx="497" formatCode="0.00">
                  <c:v>1.2513800000000002</c:v>
                </c:pt>
                <c:pt idx="498" formatCode="0.00">
                  <c:v>1.2319</c:v>
                </c:pt>
                <c:pt idx="499" formatCode="0.00">
                  <c:v>1.19364</c:v>
                </c:pt>
                <c:pt idx="500" formatCode="0.00">
                  <c:v>1.1412500000000001</c:v>
                </c:pt>
                <c:pt idx="501" formatCode="0.00">
                  <c:v>1.1028100000000001</c:v>
                </c:pt>
                <c:pt idx="502" formatCode="0.00">
                  <c:v>1.1194999999999999</c:v>
                </c:pt>
                <c:pt idx="503" formatCode="0.00">
                  <c:v>1.0853700000000002</c:v>
                </c:pt>
                <c:pt idx="504" formatCode="0.00">
                  <c:v>1.0964100000000001</c:v>
                </c:pt>
                <c:pt idx="505" formatCode="0.00">
                  <c:v>1.0651600000000001</c:v>
                </c:pt>
                <c:pt idx="506" formatCode="0.00">
                  <c:v>1.1270800000000001</c:v>
                </c:pt>
                <c:pt idx="507" formatCode="0.00">
                  <c:v>1.1518699999999999</c:v>
                </c:pt>
                <c:pt idx="508" formatCode="0.00">
                  <c:v>1.1522399999999999</c:v>
                </c:pt>
                <c:pt idx="509" formatCode="0.00">
                  <c:v>1.13781</c:v>
                </c:pt>
                <c:pt idx="510" formatCode="0.00">
                  <c:v>1.1369499999999999</c:v>
                </c:pt>
                <c:pt idx="511" formatCode="0.00">
                  <c:v>1.19926</c:v>
                </c:pt>
                <c:pt idx="512" formatCode="0.00">
                  <c:v>1.2567300000000001</c:v>
                </c:pt>
                <c:pt idx="513" formatCode="0.00">
                  <c:v>1.2959499999999999</c:v>
                </c:pt>
                <c:pt idx="514" formatCode="0.00">
                  <c:v>1.26237</c:v>
                </c:pt>
                <c:pt idx="515" formatCode="0.00">
                  <c:v>1.2632299999999999</c:v>
                </c:pt>
                <c:pt idx="516" formatCode="0.00">
                  <c:v>1.22611</c:v>
                </c:pt>
                <c:pt idx="517" formatCode="0.00">
                  <c:v>1.22611</c:v>
                </c:pt>
                <c:pt idx="518" formatCode="0.00">
                  <c:v>1.2047300000000001</c:v>
                </c:pt>
                <c:pt idx="519" formatCode="0.00">
                  <c:v>1.22255</c:v>
                </c:pt>
                <c:pt idx="520" formatCode="0.00">
                  <c:v>1.20099</c:v>
                </c:pt>
                <c:pt idx="521" formatCode="0.00">
                  <c:v>1.2072400000000001</c:v>
                </c:pt>
                <c:pt idx="522" formatCode="0.00">
                  <c:v>1.21576</c:v>
                </c:pt>
                <c:pt idx="523" formatCode="0.00">
                  <c:v>1.1177599999999999</c:v>
                </c:pt>
                <c:pt idx="524" formatCode="0.00">
                  <c:v>1.14489</c:v>
                </c:pt>
                <c:pt idx="525" formatCode="0.00">
                  <c:v>1.12616</c:v>
                </c:pt>
                <c:pt idx="526" formatCode="0.00">
                  <c:v>1.15865</c:v>
                </c:pt>
                <c:pt idx="527" formatCode="0.00">
                  <c:v>1.16269</c:v>
                </c:pt>
                <c:pt idx="528" formatCode="0.00">
                  <c:v>1.17763</c:v>
                </c:pt>
                <c:pt idx="529" formatCode="0.00">
                  <c:v>1.1904999999999999</c:v>
                </c:pt>
                <c:pt idx="530" formatCode="0.00">
                  <c:v>1.2314499999999999</c:v>
                </c:pt>
                <c:pt idx="531" formatCode="0.00">
                  <c:v>1.6435900000000001</c:v>
                </c:pt>
                <c:pt idx="532" formatCode="0.00">
                  <c:v>1.7657700000000001</c:v>
                </c:pt>
                <c:pt idx="533" formatCode="0.00">
                  <c:v>1.7657700000000001</c:v>
                </c:pt>
                <c:pt idx="534" formatCode="0.00">
                  <c:v>1.9993799999999999</c:v>
                </c:pt>
                <c:pt idx="535" formatCode="0.00">
                  <c:v>1.9367699999999999</c:v>
                </c:pt>
                <c:pt idx="536" formatCode="0.00">
                  <c:v>2.2032499999999997</c:v>
                </c:pt>
                <c:pt idx="537" formatCode="0.00">
                  <c:v>2.2304400000000002</c:v>
                </c:pt>
                <c:pt idx="538" formatCode="0.00">
                  <c:v>2.7455799999999999</c:v>
                </c:pt>
                <c:pt idx="539" formatCode="0.00">
                  <c:v>2.7726600000000001</c:v>
                </c:pt>
                <c:pt idx="540" formatCode="0.00">
                  <c:v>2.7239400000000002</c:v>
                </c:pt>
                <c:pt idx="541" formatCode="0.00">
                  <c:v>2.3586499999999999</c:v>
                </c:pt>
                <c:pt idx="542" formatCode="0.00">
                  <c:v>2.43479</c:v>
                </c:pt>
                <c:pt idx="543" formatCode="0.00">
                  <c:v>2.4304299999999999</c:v>
                </c:pt>
                <c:pt idx="544" formatCode="0.00">
                  <c:v>2.3466</c:v>
                </c:pt>
                <c:pt idx="545" formatCode="0.00">
                  <c:v>2.20174</c:v>
                </c:pt>
                <c:pt idx="546" formatCode="0.00">
                  <c:v>2.1383000000000001</c:v>
                </c:pt>
                <c:pt idx="547" formatCode="0.00">
                  <c:v>1.98726</c:v>
                </c:pt>
                <c:pt idx="548" formatCode="0.00">
                  <c:v>1.9875100000000001</c:v>
                </c:pt>
                <c:pt idx="549" formatCode="0.00">
                  <c:v>1.925</c:v>
                </c:pt>
                <c:pt idx="550" formatCode="0.00">
                  <c:v>1.7370300000000001</c:v>
                </c:pt>
                <c:pt idx="551" formatCode="0.00">
                  <c:v>1.6346400000000001</c:v>
                </c:pt>
                <c:pt idx="552" formatCode="0.00">
                  <c:v>1.8888999999999998</c:v>
                </c:pt>
                <c:pt idx="553" formatCode="0.00">
                  <c:v>2.3236699999999999</c:v>
                </c:pt>
                <c:pt idx="554" formatCode="0.00">
                  <c:v>1.97614</c:v>
                </c:pt>
                <c:pt idx="555" formatCode="0.00">
                  <c:v>1.9302600000000001</c:v>
                </c:pt>
                <c:pt idx="556" formatCode="0.00">
                  <c:v>2.25203</c:v>
                </c:pt>
                <c:pt idx="557" formatCode="0.00">
                  <c:v>2.5190299999999999</c:v>
                </c:pt>
                <c:pt idx="558" formatCode="0.00">
                  <c:v>2.5190299999999999</c:v>
                </c:pt>
                <c:pt idx="559" formatCode="0.00">
                  <c:v>3.6221800000000002</c:v>
                </c:pt>
                <c:pt idx="560" formatCode="0.00">
                  <c:v>4.9969799999999998</c:v>
                </c:pt>
                <c:pt idx="561" formatCode="0.00">
                  <c:v>14.724210000000001</c:v>
                </c:pt>
                <c:pt idx="562" formatCode="0.00">
                  <c:v>8.110990000000001</c:v>
                </c:pt>
                <c:pt idx="563" formatCode="0.00">
                  <c:v>25.649630000000002</c:v>
                </c:pt>
                <c:pt idx="564" formatCode="0.00">
                  <c:v>49.218140000000005</c:v>
                </c:pt>
                <c:pt idx="565" formatCode="0.00">
                  <c:v>49.218140000000005</c:v>
                </c:pt>
                <c:pt idx="566" formatCode="0.00">
                  <c:v>49.218140000000005</c:v>
                </c:pt>
                <c:pt idx="567" formatCode="0.00">
                  <c:v>49.218140000000005</c:v>
                </c:pt>
                <c:pt idx="568" formatCode="0.00">
                  <c:v>49.218140000000005</c:v>
                </c:pt>
                <c:pt idx="569" formatCode="0.00">
                  <c:v>49.218140000000005</c:v>
                </c:pt>
                <c:pt idx="570" formatCode="0.00">
                  <c:v>49.218140000000005</c:v>
                </c:pt>
                <c:pt idx="571" formatCode="0.00">
                  <c:v>49.218140000000005</c:v>
                </c:pt>
                <c:pt idx="572" formatCode="0.00">
                  <c:v>49.218140000000005</c:v>
                </c:pt>
                <c:pt idx="573" formatCode="0.00">
                  <c:v>49.218140000000005</c:v>
                </c:pt>
                <c:pt idx="574" formatCode="0.00">
                  <c:v>49.218140000000005</c:v>
                </c:pt>
                <c:pt idx="575" formatCode="0.00">
                  <c:v>49.218140000000005</c:v>
                </c:pt>
                <c:pt idx="576" formatCode="0.00">
                  <c:v>49.218140000000005</c:v>
                </c:pt>
                <c:pt idx="577" formatCode="0.00">
                  <c:v>49.218140000000005</c:v>
                </c:pt>
                <c:pt idx="578" formatCode="0.00">
                  <c:v>49.218140000000005</c:v>
                </c:pt>
                <c:pt idx="579" formatCode="0.00">
                  <c:v>49.218140000000005</c:v>
                </c:pt>
                <c:pt idx="580" formatCode="0.00">
                  <c:v>52.579099999999997</c:v>
                </c:pt>
                <c:pt idx="581" formatCode="0.00">
                  <c:v>57.533100000000005</c:v>
                </c:pt>
                <c:pt idx="582" formatCode="0.00">
                  <c:v>53.965260000000001</c:v>
                </c:pt>
                <c:pt idx="583" formatCode="0.00">
                  <c:v>50.679790000000004</c:v>
                </c:pt>
                <c:pt idx="584" formatCode="0.00">
                  <c:v>45.30312</c:v>
                </c:pt>
                <c:pt idx="585" formatCode="0.00">
                  <c:v>41.054849999999995</c:v>
                </c:pt>
                <c:pt idx="586" formatCode="0.00">
                  <c:v>41.214669999999998</c:v>
                </c:pt>
                <c:pt idx="587" formatCode="0.00">
                  <c:v>41.142110000000002</c:v>
                </c:pt>
                <c:pt idx="588" formatCode="0.00">
                  <c:v>41.267290000000003</c:v>
                </c:pt>
                <c:pt idx="589" formatCode="0.00">
                  <c:v>50.943450000000006</c:v>
                </c:pt>
                <c:pt idx="590" formatCode="0.00">
                  <c:v>51.736040000000003</c:v>
                </c:pt>
                <c:pt idx="591" formatCode="0.00">
                  <c:v>53.546120000000002</c:v>
                </c:pt>
                <c:pt idx="592" formatCode="0.00">
                  <c:v>52.77854</c:v>
                </c:pt>
                <c:pt idx="593" formatCode="0.00">
                  <c:v>51.708069999999999</c:v>
                </c:pt>
                <c:pt idx="594" formatCode="0.00">
                  <c:v>53.21651</c:v>
                </c:pt>
                <c:pt idx="595" formatCode="0.00">
                  <c:v>50.911880000000004</c:v>
                </c:pt>
                <c:pt idx="596" formatCode="0.00">
                  <c:v>50.567929999999997</c:v>
                </c:pt>
                <c:pt idx="597" formatCode="0.00">
                  <c:v>50.567929999999997</c:v>
                </c:pt>
                <c:pt idx="598" formatCode="0.00">
                  <c:v>50.577939999999998</c:v>
                </c:pt>
                <c:pt idx="599" formatCode="0.00">
                  <c:v>50.711629999999992</c:v>
                </c:pt>
                <c:pt idx="600" formatCode="0.00">
                  <c:v>50.731760000000001</c:v>
                </c:pt>
                <c:pt idx="601" formatCode="0.00">
                  <c:v>50.684629999999999</c:v>
                </c:pt>
                <c:pt idx="602" formatCode="0.00">
                  <c:v>50.866430000000001</c:v>
                </c:pt>
                <c:pt idx="603" formatCode="0.00">
                  <c:v>50.633620000000001</c:v>
                </c:pt>
                <c:pt idx="604" formatCode="0.00">
                  <c:v>53.132640000000002</c:v>
                </c:pt>
                <c:pt idx="605" formatCode="0.00">
                  <c:v>53.867010000000001</c:v>
                </c:pt>
                <c:pt idx="606" formatCode="0.00">
                  <c:v>53.279629999999997</c:v>
                </c:pt>
                <c:pt idx="607" formatCode="0.00">
                  <c:v>44.208930000000002</c:v>
                </c:pt>
                <c:pt idx="608" formatCode="0.00">
                  <c:v>44.191510000000001</c:v>
                </c:pt>
                <c:pt idx="609" formatCode="0.00">
                  <c:v>41.63505</c:v>
                </c:pt>
                <c:pt idx="610" formatCode="0.00">
                  <c:v>43.542189999999998</c:v>
                </c:pt>
                <c:pt idx="611" formatCode="0.00">
                  <c:v>42.398230000000005</c:v>
                </c:pt>
                <c:pt idx="612" formatCode="0.00">
                  <c:v>39.817910000000005</c:v>
                </c:pt>
                <c:pt idx="613" formatCode="0.00">
                  <c:v>42.458580000000005</c:v>
                </c:pt>
                <c:pt idx="614" formatCode="0.00">
                  <c:v>40.670500000000004</c:v>
                </c:pt>
                <c:pt idx="615" formatCode="0.00">
                  <c:v>43.081510000000002</c:v>
                </c:pt>
                <c:pt idx="616" formatCode="0.00">
                  <c:v>44.137740000000001</c:v>
                </c:pt>
                <c:pt idx="617" formatCode="0.00">
                  <c:v>44.447009999999999</c:v>
                </c:pt>
                <c:pt idx="618" formatCode="0.00">
                  <c:v>44.981499999999997</c:v>
                </c:pt>
                <c:pt idx="619" formatCode="0.00">
                  <c:v>46.474889999999995</c:v>
                </c:pt>
                <c:pt idx="620" formatCode="0.00">
                  <c:v>61.313329999999993</c:v>
                </c:pt>
                <c:pt idx="621" formatCode="0.00">
                  <c:v>60.832810000000002</c:v>
                </c:pt>
                <c:pt idx="622" formatCode="0.00">
                  <c:v>61.101649999999999</c:v>
                </c:pt>
                <c:pt idx="623" formatCode="0.00">
                  <c:v>58.408280000000005</c:v>
                </c:pt>
                <c:pt idx="624" formatCode="0.00">
                  <c:v>58.421310000000005</c:v>
                </c:pt>
                <c:pt idx="625" formatCode="0.00">
                  <c:v>59.839570000000002</c:v>
                </c:pt>
                <c:pt idx="626" formatCode="0.00">
                  <c:v>59.973700000000001</c:v>
                </c:pt>
                <c:pt idx="627" formatCode="0.00">
                  <c:v>58.752459999999999</c:v>
                </c:pt>
                <c:pt idx="628" formatCode="0.00">
                  <c:v>58.752459999999999</c:v>
                </c:pt>
                <c:pt idx="629" formatCode="0.00">
                  <c:v>58.928570000000001</c:v>
                </c:pt>
                <c:pt idx="630" formatCode="0.00">
                  <c:v>57.970749999999995</c:v>
                </c:pt>
                <c:pt idx="631" formatCode="0.00">
                  <c:v>57.698059999999998</c:v>
                </c:pt>
                <c:pt idx="632" formatCode="0.00">
                  <c:v>57.759350000000005</c:v>
                </c:pt>
                <c:pt idx="633" formatCode="0.00">
                  <c:v>58.083469999999998</c:v>
                </c:pt>
                <c:pt idx="634" formatCode="0.00">
                  <c:v>57.638959999999997</c:v>
                </c:pt>
                <c:pt idx="635" formatCode="0.00">
                  <c:v>58.19388</c:v>
                </c:pt>
                <c:pt idx="636" formatCode="0.00">
                  <c:v>58.993879999999997</c:v>
                </c:pt>
                <c:pt idx="637" formatCode="0.00">
                  <c:v>59.381099999999996</c:v>
                </c:pt>
                <c:pt idx="638" formatCode="0.00">
                  <c:v>59.523649999999996</c:v>
                </c:pt>
                <c:pt idx="639" formatCode="0.00">
                  <c:v>59.14228</c:v>
                </c:pt>
                <c:pt idx="640" formatCode="0.00">
                  <c:v>59.465649999999997</c:v>
                </c:pt>
                <c:pt idx="641" formatCode="0.00">
                  <c:v>59.229279999999996</c:v>
                </c:pt>
                <c:pt idx="642" formatCode="0.00">
                  <c:v>58.525389999999994</c:v>
                </c:pt>
                <c:pt idx="643" formatCode="0.00">
                  <c:v>58.525389999999994</c:v>
                </c:pt>
                <c:pt idx="644" formatCode="0.00">
                  <c:v>58.340490000000003</c:v>
                </c:pt>
                <c:pt idx="645" formatCode="0.00">
                  <c:v>58.103259999999999</c:v>
                </c:pt>
                <c:pt idx="646" formatCode="0.00">
                  <c:v>58.672309999999996</c:v>
                </c:pt>
                <c:pt idx="647" formatCode="0.00">
                  <c:v>58.67398</c:v>
                </c:pt>
                <c:pt idx="648" formatCode="0.00">
                  <c:v>58.564549999999997</c:v>
                </c:pt>
                <c:pt idx="649" formatCode="0.00">
                  <c:v>55.100469999999994</c:v>
                </c:pt>
                <c:pt idx="650" formatCode="0.00">
                  <c:v>55.368079999999999</c:v>
                </c:pt>
                <c:pt idx="651" formatCode="0.00">
                  <c:v>43.901350000000001</c:v>
                </c:pt>
                <c:pt idx="652" formatCode="0.00">
                  <c:v>48.270569999999999</c:v>
                </c:pt>
                <c:pt idx="653" formatCode="0.00">
                  <c:v>48.270569999999999</c:v>
                </c:pt>
                <c:pt idx="654" formatCode="0.00">
                  <c:v>48.51099</c:v>
                </c:pt>
                <c:pt idx="655" formatCode="0.00">
                  <c:v>47.106450000000002</c:v>
                </c:pt>
                <c:pt idx="656" formatCode="0.00">
                  <c:v>47.111270000000005</c:v>
                </c:pt>
                <c:pt idx="657" formatCode="0.00">
                  <c:v>40.390610000000002</c:v>
                </c:pt>
                <c:pt idx="658" formatCode="0.00">
                  <c:v>40.286120000000004</c:v>
                </c:pt>
                <c:pt idx="659" formatCode="0.00">
                  <c:v>40.161140000000003</c:v>
                </c:pt>
                <c:pt idx="660" formatCode="0.00">
                  <c:v>40.20382</c:v>
                </c:pt>
                <c:pt idx="661" formatCode="0.00">
                  <c:v>40.244549999999997</c:v>
                </c:pt>
                <c:pt idx="662" formatCode="0.00">
                  <c:v>40.26191</c:v>
                </c:pt>
                <c:pt idx="663" formatCode="0.00">
                  <c:v>37.100059999999999</c:v>
                </c:pt>
                <c:pt idx="664" formatCode="0.00">
                  <c:v>36.754739999999998</c:v>
                </c:pt>
                <c:pt idx="665" formatCode="0.00">
                  <c:v>35.27946</c:v>
                </c:pt>
                <c:pt idx="666" formatCode="0.00">
                  <c:v>34.702559999999998</c:v>
                </c:pt>
                <c:pt idx="667" formatCode="0.00">
                  <c:v>32.952350000000003</c:v>
                </c:pt>
                <c:pt idx="668" formatCode="0.00">
                  <c:v>33.151649999999997</c:v>
                </c:pt>
                <c:pt idx="669" formatCode="0.00">
                  <c:v>30.21163</c:v>
                </c:pt>
                <c:pt idx="670" formatCode="0.00">
                  <c:v>29.637199999999996</c:v>
                </c:pt>
                <c:pt idx="671" formatCode="0.00">
                  <c:v>29.372730000000001</c:v>
                </c:pt>
                <c:pt idx="672" formatCode="0.00">
                  <c:v>29.490859999999998</c:v>
                </c:pt>
                <c:pt idx="673" formatCode="0.00">
                  <c:v>29.251529999999999</c:v>
                </c:pt>
                <c:pt idx="674" formatCode="0.00">
                  <c:v>28.995450000000002</c:v>
                </c:pt>
                <c:pt idx="675" formatCode="0.00">
                  <c:v>29.101140000000001</c:v>
                </c:pt>
                <c:pt idx="676" formatCode="0.00">
                  <c:v>27.27739</c:v>
                </c:pt>
                <c:pt idx="677" formatCode="0.00">
                  <c:v>25.740089999999999</c:v>
                </c:pt>
                <c:pt idx="678" formatCode="0.00">
                  <c:v>25.716049999999999</c:v>
                </c:pt>
                <c:pt idx="679" formatCode="0.00">
                  <c:v>25.635900000000003</c:v>
                </c:pt>
                <c:pt idx="680" formatCode="0.00">
                  <c:v>25.678060000000002</c:v>
                </c:pt>
                <c:pt idx="681" formatCode="0.00">
                  <c:v>24.949140000000003</c:v>
                </c:pt>
                <c:pt idx="682" formatCode="0.00">
                  <c:v>24.92089</c:v>
                </c:pt>
                <c:pt idx="683" formatCode="0.00">
                  <c:v>24.613119999999999</c:v>
                </c:pt>
                <c:pt idx="684" formatCode="0.00">
                  <c:v>26.090439999999997</c:v>
                </c:pt>
                <c:pt idx="685" formatCode="0.00">
                  <c:v>26.018449999999998</c:v>
                </c:pt>
                <c:pt idx="686" formatCode="0.00">
                  <c:v>25.171700000000001</c:v>
                </c:pt>
                <c:pt idx="687" formatCode="0.00">
                  <c:v>26.15569</c:v>
                </c:pt>
                <c:pt idx="688" formatCode="0.00">
                  <c:v>25.89696</c:v>
                </c:pt>
                <c:pt idx="689" formatCode="0.00">
                  <c:v>25.332420000000003</c:v>
                </c:pt>
                <c:pt idx="690" formatCode="0.00">
                  <c:v>25.597809999999999</c:v>
                </c:pt>
                <c:pt idx="691" formatCode="0.00">
                  <c:v>25.00759</c:v>
                </c:pt>
                <c:pt idx="692" formatCode="0.00">
                  <c:v>24.756770000000003</c:v>
                </c:pt>
                <c:pt idx="693" formatCode="0.00">
                  <c:v>24.642779999999998</c:v>
                </c:pt>
                <c:pt idx="694" formatCode="0.00">
                  <c:v>25.05997</c:v>
                </c:pt>
                <c:pt idx="695" formatCode="0.00">
                  <c:v>24.571770000000001</c:v>
                </c:pt>
                <c:pt idx="696" formatCode="0.00">
                  <c:v>24.614930000000001</c:v>
                </c:pt>
                <c:pt idx="697" formatCode="0.00">
                  <c:v>25.363690000000002</c:v>
                </c:pt>
                <c:pt idx="698" formatCode="0.00">
                  <c:v>25.363690000000002</c:v>
                </c:pt>
                <c:pt idx="699" formatCode="0.00">
                  <c:v>25.30209</c:v>
                </c:pt>
                <c:pt idx="700" formatCode="0.00">
                  <c:v>25.683330000000002</c:v>
                </c:pt>
                <c:pt idx="701" formatCode="0.00">
                  <c:v>22.842860000000002</c:v>
                </c:pt>
                <c:pt idx="702" formatCode="0.00">
                  <c:v>22.624270000000003</c:v>
                </c:pt>
                <c:pt idx="703" formatCode="0.00">
                  <c:v>21.48171</c:v>
                </c:pt>
                <c:pt idx="704" formatCode="0.00">
                  <c:v>21.387440000000002</c:v>
                </c:pt>
                <c:pt idx="705" formatCode="0.00">
                  <c:v>21.434630000000002</c:v>
                </c:pt>
                <c:pt idx="706" formatCode="0.00">
                  <c:v>21.43899</c:v>
                </c:pt>
                <c:pt idx="707" formatCode="0.00">
                  <c:v>22.137020000000003</c:v>
                </c:pt>
                <c:pt idx="708" formatCode="0.00">
                  <c:v>22.10567</c:v>
                </c:pt>
                <c:pt idx="709" formatCode="0.00">
                  <c:v>22.02149</c:v>
                </c:pt>
                <c:pt idx="710" formatCode="0.00">
                  <c:v>22.497479999999999</c:v>
                </c:pt>
                <c:pt idx="711" formatCode="0.00">
                  <c:v>22.617139999999999</c:v>
                </c:pt>
                <c:pt idx="712" formatCode="0.00">
                  <c:v>22.57527</c:v>
                </c:pt>
                <c:pt idx="713" formatCode="0.00">
                  <c:v>22.38466</c:v>
                </c:pt>
                <c:pt idx="714" formatCode="0.00">
                  <c:v>22.347649999999998</c:v>
                </c:pt>
                <c:pt idx="715" formatCode="0.00">
                  <c:v>22.677399999999999</c:v>
                </c:pt>
                <c:pt idx="716" formatCode="0.00">
                  <c:v>22.730979999999999</c:v>
                </c:pt>
                <c:pt idx="717" formatCode="0.00">
                  <c:v>22.708539999999999</c:v>
                </c:pt>
                <c:pt idx="718" formatCode="0.00">
                  <c:v>22.89283</c:v>
                </c:pt>
                <c:pt idx="719" formatCode="0.00">
                  <c:v>23.65701</c:v>
                </c:pt>
                <c:pt idx="720" formatCode="0.00">
                  <c:v>24.147689999999997</c:v>
                </c:pt>
                <c:pt idx="721" formatCode="0.00">
                  <c:v>24.848859999999998</c:v>
                </c:pt>
                <c:pt idx="722" formatCode="0.00">
                  <c:v>24.783370000000001</c:v>
                </c:pt>
                <c:pt idx="723" formatCode="0.00">
                  <c:v>24.783370000000001</c:v>
                </c:pt>
                <c:pt idx="724" formatCode="0.00">
                  <c:v>23.338470000000001</c:v>
                </c:pt>
                <c:pt idx="725" formatCode="0.00">
                  <c:v>23.4163</c:v>
                </c:pt>
                <c:pt idx="726" formatCode="0.00">
                  <c:v>24.780760000000001</c:v>
                </c:pt>
                <c:pt idx="727" formatCode="0.00">
                  <c:v>24.753229999999999</c:v>
                </c:pt>
                <c:pt idx="728" formatCode="0.00">
                  <c:v>24.804589999999997</c:v>
                </c:pt>
                <c:pt idx="729" formatCode="0.00">
                  <c:v>25.02647</c:v>
                </c:pt>
                <c:pt idx="730" formatCode="0.00">
                  <c:v>24.916419999999999</c:v>
                </c:pt>
                <c:pt idx="731" formatCode="0.00">
                  <c:v>24.898850000000003</c:v>
                </c:pt>
                <c:pt idx="732" formatCode="0.00">
                  <c:v>25.44416</c:v>
                </c:pt>
                <c:pt idx="733" formatCode="0.00">
                  <c:v>25.038490000000003</c:v>
                </c:pt>
                <c:pt idx="734" formatCode="0.00">
                  <c:v>25.178850000000001</c:v>
                </c:pt>
                <c:pt idx="735" formatCode="0.00">
                  <c:v>25.051289999999998</c:v>
                </c:pt>
                <c:pt idx="736" formatCode="0.00">
                  <c:v>25.214989999999997</c:v>
                </c:pt>
                <c:pt idx="737" formatCode="0.00">
                  <c:v>25.147649999999999</c:v>
                </c:pt>
                <c:pt idx="738" formatCode="0.00">
                  <c:v>25.272919999999999</c:v>
                </c:pt>
                <c:pt idx="739" formatCode="0.00">
                  <c:v>25.270419999999998</c:v>
                </c:pt>
                <c:pt idx="740" formatCode="0.00">
                  <c:v>26.041450000000001</c:v>
                </c:pt>
                <c:pt idx="741" formatCode="0.00">
                  <c:v>25.573420000000002</c:v>
                </c:pt>
                <c:pt idx="742" formatCode="0.00">
                  <c:v>26.097260000000002</c:v>
                </c:pt>
                <c:pt idx="743" formatCode="0.00">
                  <c:v>25.95936</c:v>
                </c:pt>
                <c:pt idx="744" formatCode="0.00">
                  <c:v>26.08362</c:v>
                </c:pt>
                <c:pt idx="745" formatCode="0.00">
                  <c:v>26.247119999999999</c:v>
                </c:pt>
                <c:pt idx="746" formatCode="0.00">
                  <c:v>26.593000000000004</c:v>
                </c:pt>
                <c:pt idx="747" formatCode="0.00">
                  <c:v>26.593000000000004</c:v>
                </c:pt>
                <c:pt idx="748" formatCode="0.00">
                  <c:v>26.608789999999999</c:v>
                </c:pt>
                <c:pt idx="749" formatCode="0.00">
                  <c:v>26.720219999999998</c:v>
                </c:pt>
                <c:pt idx="750" formatCode="0.00">
                  <c:v>26.758090000000003</c:v>
                </c:pt>
                <c:pt idx="751" formatCode="0.00">
                  <c:v>26.749639999999999</c:v>
                </c:pt>
                <c:pt idx="752" formatCode="0.00">
                  <c:v>26.706729999999997</c:v>
                </c:pt>
                <c:pt idx="753" formatCode="0.00">
                  <c:v>26.87322</c:v>
                </c:pt>
                <c:pt idx="754" formatCode="0.00">
                  <c:v>26.896509999999999</c:v>
                </c:pt>
                <c:pt idx="755" formatCode="0.00">
                  <c:v>25.395379999999999</c:v>
                </c:pt>
                <c:pt idx="756" formatCode="0.00">
                  <c:v>25.395379999999999</c:v>
                </c:pt>
                <c:pt idx="757" formatCode="0.00">
                  <c:v>25.669270000000001</c:v>
                </c:pt>
                <c:pt idx="758" formatCode="0.00">
                  <c:v>27.84451</c:v>
                </c:pt>
                <c:pt idx="759" formatCode="0.00">
                  <c:v>27.80171</c:v>
                </c:pt>
                <c:pt idx="760" formatCode="0.00">
                  <c:v>27.96491</c:v>
                </c:pt>
                <c:pt idx="761" formatCode="0.00">
                  <c:v>28.313380000000002</c:v>
                </c:pt>
                <c:pt idx="762" formatCode="0.00">
                  <c:v>28.35585</c:v>
                </c:pt>
                <c:pt idx="763" formatCode="0.00">
                  <c:v>28.225149999999999</c:v>
                </c:pt>
                <c:pt idx="764" formatCode="0.00">
                  <c:v>28.283280000000001</c:v>
                </c:pt>
                <c:pt idx="765" formatCode="0.00">
                  <c:v>28.439299999999999</c:v>
                </c:pt>
                <c:pt idx="766" formatCode="0.00">
                  <c:v>28.428440000000002</c:v>
                </c:pt>
                <c:pt idx="767" formatCode="0.00">
                  <c:v>28.394819999999999</c:v>
                </c:pt>
                <c:pt idx="768" formatCode="0.00">
                  <c:v>28.437550000000002</c:v>
                </c:pt>
                <c:pt idx="769" formatCode="0.00">
                  <c:v>28.609490000000001</c:v>
                </c:pt>
                <c:pt idx="770" formatCode="0.00">
                  <c:v>28.71265</c:v>
                </c:pt>
                <c:pt idx="771" formatCode="0.00">
                  <c:v>28.801489999999998</c:v>
                </c:pt>
                <c:pt idx="772" formatCode="0.00">
                  <c:v>28.78482</c:v>
                </c:pt>
                <c:pt idx="773" formatCode="0.00">
                  <c:v>28.75732</c:v>
                </c:pt>
                <c:pt idx="774" formatCode="0.00">
                  <c:v>28.685230000000001</c:v>
                </c:pt>
                <c:pt idx="775" formatCode="0.00">
                  <c:v>28.746260000000003</c:v>
                </c:pt>
                <c:pt idx="776" formatCode="0.00">
                  <c:v>28.817920000000001</c:v>
                </c:pt>
                <c:pt idx="777" formatCode="0.00">
                  <c:v>28.820239999999998</c:v>
                </c:pt>
                <c:pt idx="778" formatCode="0.00">
                  <c:v>28.820239999999998</c:v>
                </c:pt>
                <c:pt idx="779" formatCode="0.00">
                  <c:v>28.72634</c:v>
                </c:pt>
                <c:pt idx="780" formatCode="0.00">
                  <c:v>28.765129999999999</c:v>
                </c:pt>
                <c:pt idx="781" formatCode="0.00">
                  <c:v>28.891869999999997</c:v>
                </c:pt>
                <c:pt idx="782" formatCode="0.00">
                  <c:v>28.869319999999998</c:v>
                </c:pt>
                <c:pt idx="783" formatCode="0.00">
                  <c:v>28.869319999999998</c:v>
                </c:pt>
                <c:pt idx="784" formatCode="0.00">
                  <c:v>28.714340000000004</c:v>
                </c:pt>
                <c:pt idx="785" formatCode="0.00">
                  <c:v>28.81739</c:v>
                </c:pt>
                <c:pt idx="786" formatCode="0.00">
                  <c:v>28.84413</c:v>
                </c:pt>
                <c:pt idx="787" formatCode="0.00">
                  <c:v>29.08323</c:v>
                </c:pt>
                <c:pt idx="788" formatCode="0.00">
                  <c:v>29.15898</c:v>
                </c:pt>
                <c:pt idx="789" formatCode="0.00">
                  <c:v>29.168519999999997</c:v>
                </c:pt>
                <c:pt idx="790" formatCode="0.00">
                  <c:v>29.206770000000002</c:v>
                </c:pt>
                <c:pt idx="791" formatCode="0.00">
                  <c:v>29.445070000000001</c:v>
                </c:pt>
                <c:pt idx="792" formatCode="0.00">
                  <c:v>29.389430000000001</c:v>
                </c:pt>
                <c:pt idx="793" formatCode="0.00">
                  <c:v>29.389430000000001</c:v>
                </c:pt>
                <c:pt idx="794" formatCode="0.00">
                  <c:v>29.458110000000001</c:v>
                </c:pt>
                <c:pt idx="795" formatCode="0.00">
                  <c:v>29.632579999999997</c:v>
                </c:pt>
                <c:pt idx="796" formatCode="0.00">
                  <c:v>29.693899999999999</c:v>
                </c:pt>
                <c:pt idx="797" formatCode="0.00">
                  <c:v>29.662459999999999</c:v>
                </c:pt>
                <c:pt idx="798" formatCode="0.00">
                  <c:v>29.61712</c:v>
                </c:pt>
                <c:pt idx="799" formatCode="0.00">
                  <c:v>29.691970000000001</c:v>
                </c:pt>
                <c:pt idx="800" formatCode="0.00">
                  <c:v>29.744450000000001</c:v>
                </c:pt>
                <c:pt idx="801" formatCode="0.00">
                  <c:v>29.792600000000004</c:v>
                </c:pt>
                <c:pt idx="802" formatCode="0.00">
                  <c:v>29.777130000000003</c:v>
                </c:pt>
                <c:pt idx="803" formatCode="0.00">
                  <c:v>29.749360000000003</c:v>
                </c:pt>
                <c:pt idx="804" formatCode="0.00">
                  <c:v>29.878589999999999</c:v>
                </c:pt>
                <c:pt idx="805" formatCode="0.00">
                  <c:v>29.71069</c:v>
                </c:pt>
                <c:pt idx="806" formatCode="0.00">
                  <c:v>29.742979999999999</c:v>
                </c:pt>
                <c:pt idx="807" formatCode="0.00">
                  <c:v>29.64913</c:v>
                </c:pt>
                <c:pt idx="808" formatCode="0.00">
                  <c:v>29.447420000000001</c:v>
                </c:pt>
                <c:pt idx="809" formatCode="0.00">
                  <c:v>29.53276</c:v>
                </c:pt>
                <c:pt idx="810" formatCode="0.00">
                  <c:v>29.622</c:v>
                </c:pt>
                <c:pt idx="811" formatCode="0.00">
                  <c:v>29.667890000000003</c:v>
                </c:pt>
                <c:pt idx="812" formatCode="0.00">
                  <c:v>29.660189999999997</c:v>
                </c:pt>
                <c:pt idx="813" formatCode="0.00">
                  <c:v>29.658439999999999</c:v>
                </c:pt>
                <c:pt idx="814" formatCode="0.00">
                  <c:v>29.62744</c:v>
                </c:pt>
                <c:pt idx="815" formatCode="0.00">
                  <c:v>29.595659999999999</c:v>
                </c:pt>
                <c:pt idx="816" formatCode="0.00">
                  <c:v>29.665109999999999</c:v>
                </c:pt>
                <c:pt idx="817" formatCode="0.00">
                  <c:v>29.724140000000002</c:v>
                </c:pt>
                <c:pt idx="818" formatCode="0.00">
                  <c:v>29.724140000000002</c:v>
                </c:pt>
                <c:pt idx="819" formatCode="0.00">
                  <c:v>29.393000000000001</c:v>
                </c:pt>
                <c:pt idx="820" formatCode="0.00">
                  <c:v>29.562489999999997</c:v>
                </c:pt>
                <c:pt idx="821" formatCode="0.00">
                  <c:v>29.654170000000001</c:v>
                </c:pt>
                <c:pt idx="822" formatCode="0.00">
                  <c:v>29.71002</c:v>
                </c:pt>
                <c:pt idx="823" formatCode="0.00">
                  <c:v>29.722480000000001</c:v>
                </c:pt>
                <c:pt idx="824" formatCode="0.00">
                  <c:v>29.89114</c:v>
                </c:pt>
                <c:pt idx="825" formatCode="0.00">
                  <c:v>29.814440000000001</c:v>
                </c:pt>
                <c:pt idx="826" formatCode="0.00">
                  <c:v>29.900109999999998</c:v>
                </c:pt>
                <c:pt idx="827" formatCode="0.00">
                  <c:v>29.665790000000001</c:v>
                </c:pt>
                <c:pt idx="828" formatCode="0.00">
                  <c:v>29.673690000000001</c:v>
                </c:pt>
                <c:pt idx="829" formatCode="0.00">
                  <c:v>30.25056</c:v>
                </c:pt>
                <c:pt idx="830" formatCode="0.00">
                  <c:v>29.628550000000001</c:v>
                </c:pt>
                <c:pt idx="831" formatCode="0.00">
                  <c:v>29.867609999999999</c:v>
                </c:pt>
                <c:pt idx="832" formatCode="0.00">
                  <c:v>30.42529</c:v>
                </c:pt>
                <c:pt idx="833" formatCode="0.00">
                  <c:v>30.82301</c:v>
                </c:pt>
                <c:pt idx="834" formatCode="0.00">
                  <c:v>30.543299999999999</c:v>
                </c:pt>
                <c:pt idx="835" formatCode="0.00">
                  <c:v>31.088470000000001</c:v>
                </c:pt>
                <c:pt idx="836" formatCode="0.00">
                  <c:v>30.865880000000001</c:v>
                </c:pt>
                <c:pt idx="837" formatCode="0.00">
                  <c:v>31.143429999999999</c:v>
                </c:pt>
                <c:pt idx="838" formatCode="0.00">
                  <c:v>31.294689999999999</c:v>
                </c:pt>
                <c:pt idx="839" formatCode="0.00">
                  <c:v>31.148910000000001</c:v>
                </c:pt>
                <c:pt idx="840" formatCode="0.00">
                  <c:v>31.439869999999999</c:v>
                </c:pt>
                <c:pt idx="841" formatCode="0.00">
                  <c:v>31.702710000000003</c:v>
                </c:pt>
                <c:pt idx="842" formatCode="0.00">
                  <c:v>31.733040000000003</c:v>
                </c:pt>
                <c:pt idx="843" formatCode="0.00">
                  <c:v>31.308479999999999</c:v>
                </c:pt>
                <c:pt idx="844" formatCode="0.00">
                  <c:v>31.220379999999999</c:v>
                </c:pt>
                <c:pt idx="845" formatCode="0.00">
                  <c:v>31.84854</c:v>
                </c:pt>
                <c:pt idx="846" formatCode="0.00">
                  <c:v>31.444929999999999</c:v>
                </c:pt>
                <c:pt idx="847" formatCode="0.00">
                  <c:v>31.727890000000002</c:v>
                </c:pt>
                <c:pt idx="848" formatCode="0.00">
                  <c:v>31.582719999999998</c:v>
                </c:pt>
                <c:pt idx="849" formatCode="0.00">
                  <c:v>32.012050000000002</c:v>
                </c:pt>
                <c:pt idx="850" formatCode="0.00">
                  <c:v>32.200070000000004</c:v>
                </c:pt>
                <c:pt idx="851" formatCode="0.00">
                  <c:v>32.227310000000003</c:v>
                </c:pt>
                <c:pt idx="852" formatCode="0.00">
                  <c:v>32.227310000000003</c:v>
                </c:pt>
                <c:pt idx="853" formatCode="0.00">
                  <c:v>32.11018</c:v>
                </c:pt>
                <c:pt idx="854" formatCode="0.00">
                  <c:v>32.138030000000001</c:v>
                </c:pt>
                <c:pt idx="855" formatCode="0.00">
                  <c:v>32.26681</c:v>
                </c:pt>
                <c:pt idx="856" formatCode="0.00">
                  <c:v>32.326120000000003</c:v>
                </c:pt>
                <c:pt idx="857" formatCode="0.00">
                  <c:v>32.25638</c:v>
                </c:pt>
                <c:pt idx="858" formatCode="0.00">
                  <c:v>32.203760000000003</c:v>
                </c:pt>
                <c:pt idx="859" formatCode="0.00">
                  <c:v>32.232520000000001</c:v>
                </c:pt>
                <c:pt idx="860" formatCode="0.00">
                  <c:v>32.22184</c:v>
                </c:pt>
                <c:pt idx="861" formatCode="0.00">
                  <c:v>32.432369999999999</c:v>
                </c:pt>
                <c:pt idx="862" formatCode="0.00">
                  <c:v>32.447339999999997</c:v>
                </c:pt>
                <c:pt idx="863" formatCode="0.00">
                  <c:v>32.553249999999998</c:v>
                </c:pt>
                <c:pt idx="864" formatCode="0.00">
                  <c:v>32.801720000000003</c:v>
                </c:pt>
                <c:pt idx="865" formatCode="0.00">
                  <c:v>32.789969999999997</c:v>
                </c:pt>
                <c:pt idx="866" formatCode="0.00">
                  <c:v>32.758339999999997</c:v>
                </c:pt>
                <c:pt idx="867" formatCode="0.00">
                  <c:v>32.892669999999995</c:v>
                </c:pt>
                <c:pt idx="868" formatCode="0.00">
                  <c:v>32.800640000000001</c:v>
                </c:pt>
                <c:pt idx="869" formatCode="0.00">
                  <c:v>32.995329999999996</c:v>
                </c:pt>
                <c:pt idx="870" formatCode="0.00">
                  <c:v>33.18139</c:v>
                </c:pt>
                <c:pt idx="871" formatCode="0.00">
                  <c:v>33.364229999999999</c:v>
                </c:pt>
                <c:pt idx="872" formatCode="0.00">
                  <c:v>33.272680000000001</c:v>
                </c:pt>
                <c:pt idx="873" formatCode="0.00">
                  <c:v>33.214689999999997</c:v>
                </c:pt>
                <c:pt idx="874" formatCode="0.00">
                  <c:v>33.247730000000004</c:v>
                </c:pt>
                <c:pt idx="875" formatCode="0.00">
                  <c:v>33.412649999999999</c:v>
                </c:pt>
                <c:pt idx="876" formatCode="0.00">
                  <c:v>33.421790000000001</c:v>
                </c:pt>
                <c:pt idx="877" formatCode="0.00">
                  <c:v>33.325900000000004</c:v>
                </c:pt>
                <c:pt idx="878" formatCode="0.00">
                  <c:v>32.91854</c:v>
                </c:pt>
                <c:pt idx="879" formatCode="0.00">
                  <c:v>32.90099</c:v>
                </c:pt>
                <c:pt idx="880" formatCode="0.00">
                  <c:v>32.853870000000001</c:v>
                </c:pt>
                <c:pt idx="881" formatCode="0.00">
                  <c:v>32.841280000000005</c:v>
                </c:pt>
                <c:pt idx="882" formatCode="0.00">
                  <c:v>32.726869999999998</c:v>
                </c:pt>
                <c:pt idx="883" formatCode="0.00">
                  <c:v>32.385669999999998</c:v>
                </c:pt>
                <c:pt idx="884" formatCode="0.00">
                  <c:v>32.358000000000004</c:v>
                </c:pt>
                <c:pt idx="885" formatCode="0.00">
                  <c:v>31.971709999999998</c:v>
                </c:pt>
                <c:pt idx="886" formatCode="0.00">
                  <c:v>30.049789999999998</c:v>
                </c:pt>
                <c:pt idx="887" formatCode="0.00">
                  <c:v>29.987310000000001</c:v>
                </c:pt>
                <c:pt idx="888" formatCode="0.00">
                  <c:v>29.987310000000001</c:v>
                </c:pt>
                <c:pt idx="889" formatCode="0.00">
                  <c:v>29.875659999999996</c:v>
                </c:pt>
                <c:pt idx="890" formatCode="0.00">
                  <c:v>30.021460000000001</c:v>
                </c:pt>
                <c:pt idx="891" formatCode="0.00">
                  <c:v>30.149830000000001</c:v>
                </c:pt>
                <c:pt idx="892" formatCode="0.00">
                  <c:v>30.175729999999998</c:v>
                </c:pt>
                <c:pt idx="893" formatCode="0.00">
                  <c:v>30.230720000000002</c:v>
                </c:pt>
                <c:pt idx="894" formatCode="0.00">
                  <c:v>30.231809999999999</c:v>
                </c:pt>
                <c:pt idx="895" formatCode="0.00">
                  <c:v>30.104499999999998</c:v>
                </c:pt>
                <c:pt idx="896" formatCode="0.00">
                  <c:v>30.238440000000001</c:v>
                </c:pt>
                <c:pt idx="897" formatCode="0.00">
                  <c:v>29.940630000000002</c:v>
                </c:pt>
                <c:pt idx="898" formatCode="0.00">
                  <c:v>30.045180000000002</c:v>
                </c:pt>
                <c:pt idx="899" formatCode="0.00">
                  <c:v>30.423939999999998</c:v>
                </c:pt>
                <c:pt idx="900" formatCode="0.00">
                  <c:v>30.32329</c:v>
                </c:pt>
                <c:pt idx="901" formatCode="0.00">
                  <c:v>30.555520000000001</c:v>
                </c:pt>
                <c:pt idx="902" formatCode="0.00">
                  <c:v>30.562269999999998</c:v>
                </c:pt>
                <c:pt idx="903" formatCode="0.00">
                  <c:v>30.562269999999998</c:v>
                </c:pt>
                <c:pt idx="904" formatCode="0.00">
                  <c:v>30.47824</c:v>
                </c:pt>
                <c:pt idx="905" formatCode="0.00">
                  <c:v>34.288850000000004</c:v>
                </c:pt>
                <c:pt idx="906" formatCode="0.00">
                  <c:v>34.221649999999997</c:v>
                </c:pt>
                <c:pt idx="907" formatCode="0.00">
                  <c:v>31.082649999999997</c:v>
                </c:pt>
                <c:pt idx="908" formatCode="0.00">
                  <c:v>30.39029</c:v>
                </c:pt>
                <c:pt idx="909" formatCode="0.00">
                  <c:v>29.161930000000002</c:v>
                </c:pt>
                <c:pt idx="910" formatCode="0.00">
                  <c:v>29.168339999999997</c:v>
                </c:pt>
                <c:pt idx="911" formatCode="0.00">
                  <c:v>32.042769999999997</c:v>
                </c:pt>
                <c:pt idx="912" formatCode="0.00">
                  <c:v>30.270770000000002</c:v>
                </c:pt>
                <c:pt idx="913" formatCode="0.00">
                  <c:v>29.504360000000002</c:v>
                </c:pt>
                <c:pt idx="914" formatCode="0.00">
                  <c:v>29.504360000000002</c:v>
                </c:pt>
                <c:pt idx="915" formatCode="0.00">
                  <c:v>29.472199999999997</c:v>
                </c:pt>
                <c:pt idx="916" formatCode="0.00">
                  <c:v>29.532209999999999</c:v>
                </c:pt>
                <c:pt idx="917" formatCode="0.00">
                  <c:v>29.594380000000001</c:v>
                </c:pt>
                <c:pt idx="918" formatCode="0.00">
                  <c:v>29.733420000000002</c:v>
                </c:pt>
                <c:pt idx="919" formatCode="0.00">
                  <c:v>29.780549999999998</c:v>
                </c:pt>
                <c:pt idx="920" formatCode="0.00">
                  <c:v>28.738519999999998</c:v>
                </c:pt>
                <c:pt idx="921" formatCode="0.00">
                  <c:v>28.954160000000002</c:v>
                </c:pt>
                <c:pt idx="922" formatCode="0.00">
                  <c:v>28.920339999999999</c:v>
                </c:pt>
                <c:pt idx="923" formatCode="0.00">
                  <c:v>29.192319999999999</c:v>
                </c:pt>
                <c:pt idx="924" formatCode="0.00">
                  <c:v>28.803339999999999</c:v>
                </c:pt>
                <c:pt idx="925" formatCode="0.00">
                  <c:v>29.30688</c:v>
                </c:pt>
                <c:pt idx="926" formatCode="0.00">
                  <c:v>28.205830000000002</c:v>
                </c:pt>
                <c:pt idx="927" formatCode="0.00">
                  <c:v>28.26689</c:v>
                </c:pt>
                <c:pt idx="928" formatCode="0.00">
                  <c:v>28.426129999999997</c:v>
                </c:pt>
                <c:pt idx="929" formatCode="0.00">
                  <c:v>27.734349999999999</c:v>
                </c:pt>
                <c:pt idx="930" formatCode="0.00">
                  <c:v>24.22288</c:v>
                </c:pt>
                <c:pt idx="931" formatCode="0.00">
                  <c:v>23.971329999999998</c:v>
                </c:pt>
                <c:pt idx="932" formatCode="0.00">
                  <c:v>24.641149999999996</c:v>
                </c:pt>
                <c:pt idx="933" formatCode="0.00">
                  <c:v>24.588480000000001</c:v>
                </c:pt>
                <c:pt idx="934" formatCode="0.00">
                  <c:v>24.546320000000001</c:v>
                </c:pt>
                <c:pt idx="935" formatCode="0.00">
                  <c:v>22.861540000000002</c:v>
                </c:pt>
                <c:pt idx="936" formatCode="0.00">
                  <c:v>22.745929999999998</c:v>
                </c:pt>
                <c:pt idx="937" formatCode="0.00">
                  <c:v>23.075089999999999</c:v>
                </c:pt>
                <c:pt idx="938" formatCode="0.00">
                  <c:v>23.23733</c:v>
                </c:pt>
                <c:pt idx="939" formatCode="0.00">
                  <c:v>23.376550000000002</c:v>
                </c:pt>
                <c:pt idx="940" formatCode="0.00">
                  <c:v>23.406140000000001</c:v>
                </c:pt>
                <c:pt idx="941" formatCode="0.00">
                  <c:v>23.229420000000001</c:v>
                </c:pt>
                <c:pt idx="942" formatCode="0.00">
                  <c:v>23.18167</c:v>
                </c:pt>
                <c:pt idx="943" formatCode="0.00">
                  <c:v>23.167739999999998</c:v>
                </c:pt>
                <c:pt idx="944" formatCode="0.00">
                  <c:v>23.0718</c:v>
                </c:pt>
                <c:pt idx="945" formatCode="0.00">
                  <c:v>23.046759999999999</c:v>
                </c:pt>
                <c:pt idx="946" formatCode="0.00">
                  <c:v>23.152359999999998</c:v>
                </c:pt>
                <c:pt idx="947" formatCode="0.00">
                  <c:v>23.085970000000003</c:v>
                </c:pt>
                <c:pt idx="948" formatCode="0.00">
                  <c:v>23.0336</c:v>
                </c:pt>
                <c:pt idx="949" formatCode="0.00">
                  <c:v>23.030700000000003</c:v>
                </c:pt>
                <c:pt idx="950" formatCode="0.00">
                  <c:v>23.160810000000001</c:v>
                </c:pt>
                <c:pt idx="951" formatCode="0.00">
                  <c:v>23.211069999999999</c:v>
                </c:pt>
                <c:pt idx="952" formatCode="0.00">
                  <c:v>23.204140000000002</c:v>
                </c:pt>
                <c:pt idx="953" formatCode="0.00">
                  <c:v>23.270140000000001</c:v>
                </c:pt>
                <c:pt idx="954" formatCode="0.00">
                  <c:v>23.394540000000003</c:v>
                </c:pt>
                <c:pt idx="955" formatCode="0.00">
                  <c:v>23.425529999999998</c:v>
                </c:pt>
                <c:pt idx="956" formatCode="0.00">
                  <c:v>23.874720000000003</c:v>
                </c:pt>
                <c:pt idx="957" formatCode="0.00">
                  <c:v>24.066939999999999</c:v>
                </c:pt>
                <c:pt idx="958" formatCode="0.00">
                  <c:v>24.066939999999999</c:v>
                </c:pt>
                <c:pt idx="959" formatCode="0.00">
                  <c:v>24.32094</c:v>
                </c:pt>
                <c:pt idx="960" formatCode="0.00">
                  <c:v>24.40832</c:v>
                </c:pt>
                <c:pt idx="961" formatCode="0.00">
                  <c:v>24.536490000000001</c:v>
                </c:pt>
                <c:pt idx="962" formatCode="0.00">
                  <c:v>24.553290000000001</c:v>
                </c:pt>
                <c:pt idx="963" formatCode="0.00">
                  <c:v>24.579039999999999</c:v>
                </c:pt>
              </c:numCache>
            </c:numRef>
          </c:val>
          <c:smooth val="0"/>
          <c:extLst>
            <c:ext xmlns:c16="http://schemas.microsoft.com/office/drawing/2014/chart" uri="{C3380CC4-5D6E-409C-BE32-E72D297353CC}">
              <c16:uniqueId val="{00000001-EBC4-4222-8B88-73469225685A}"/>
            </c:ext>
          </c:extLst>
        </c:ser>
        <c:ser>
          <c:idx val="3"/>
          <c:order val="3"/>
          <c:tx>
            <c:strRef>
              <c:f>Sheet1!$E$1</c:f>
              <c:strCache>
                <c:ptCount val="1"/>
                <c:pt idx="0">
                  <c:v>Հայաստան (2029թ.)</c:v>
                </c:pt>
              </c:strCache>
            </c:strRef>
          </c:tx>
          <c:spPr>
            <a:ln w="19050" cap="rnd">
              <a:solidFill>
                <a:schemeClr val="accent2">
                  <a:lumMod val="60000"/>
                  <a:lumOff val="40000"/>
                </a:schemeClr>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Sheet1!$E$2:$E$1226</c:f>
              <c:numCache>
                <c:formatCode>0</c:formatCode>
                <c:ptCount val="964"/>
                <c:pt idx="0">
                  <c:v>2.12114</c:v>
                </c:pt>
                <c:pt idx="1">
                  <c:v>2.1353</c:v>
                </c:pt>
                <c:pt idx="2">
                  <c:v>2.23536</c:v>
                </c:pt>
                <c:pt idx="3">
                  <c:v>2.2467799999999998</c:v>
                </c:pt>
                <c:pt idx="4">
                  <c:v>2.2223099999999998</c:v>
                </c:pt>
                <c:pt idx="5">
                  <c:v>2.1464699999999999</c:v>
                </c:pt>
                <c:pt idx="6">
                  <c:v>2.10528</c:v>
                </c:pt>
                <c:pt idx="7">
                  <c:v>2.0803600000000002</c:v>
                </c:pt>
                <c:pt idx="8">
                  <c:v>2.0828899999999999</c:v>
                </c:pt>
                <c:pt idx="9">
                  <c:v>2.0657399999999999</c:v>
                </c:pt>
                <c:pt idx="10">
                  <c:v>2.0863999999999998</c:v>
                </c:pt>
                <c:pt idx="11">
                  <c:v>1.9735400000000001</c:v>
                </c:pt>
                <c:pt idx="12">
                  <c:v>2.0033400000000001</c:v>
                </c:pt>
                <c:pt idx="13">
                  <c:v>2.0045299999999999</c:v>
                </c:pt>
                <c:pt idx="14">
                  <c:v>2.0404599999999999</c:v>
                </c:pt>
                <c:pt idx="15">
                  <c:v>2.05254</c:v>
                </c:pt>
                <c:pt idx="16">
                  <c:v>2.0810200000000001</c:v>
                </c:pt>
                <c:pt idx="17">
                  <c:v>2.12384</c:v>
                </c:pt>
                <c:pt idx="18">
                  <c:v>2.2173500000000002</c:v>
                </c:pt>
                <c:pt idx="19">
                  <c:v>2.1707000000000001</c:v>
                </c:pt>
                <c:pt idx="20">
                  <c:v>2.2183999999999999</c:v>
                </c:pt>
                <c:pt idx="21">
                  <c:v>2.2484500000000001</c:v>
                </c:pt>
                <c:pt idx="22">
                  <c:v>2.2577400000000001</c:v>
                </c:pt>
                <c:pt idx="23">
                  <c:v>2.2863699999999998</c:v>
                </c:pt>
                <c:pt idx="24">
                  <c:v>2.2288800000000002</c:v>
                </c:pt>
                <c:pt idx="25">
                  <c:v>2.1729499999999997</c:v>
                </c:pt>
                <c:pt idx="26">
                  <c:v>2.1487600000000002</c:v>
                </c:pt>
                <c:pt idx="27">
                  <c:v>2.2061899999999999</c:v>
                </c:pt>
                <c:pt idx="28">
                  <c:v>2.2209699999999999</c:v>
                </c:pt>
                <c:pt idx="29">
                  <c:v>2.1882900000000003</c:v>
                </c:pt>
                <c:pt idx="30">
                  <c:v>2.1608499999999999</c:v>
                </c:pt>
                <c:pt idx="31">
                  <c:v>2.15937</c:v>
                </c:pt>
                <c:pt idx="32">
                  <c:v>2.1473100000000001</c:v>
                </c:pt>
                <c:pt idx="33">
                  <c:v>2.1528</c:v>
                </c:pt>
                <c:pt idx="34">
                  <c:v>2.1555599999999999</c:v>
                </c:pt>
                <c:pt idx="35">
                  <c:v>2.1421899999999998</c:v>
                </c:pt>
                <c:pt idx="36">
                  <c:v>2.18146</c:v>
                </c:pt>
                <c:pt idx="37">
                  <c:v>2.2174999999999998</c:v>
                </c:pt>
                <c:pt idx="38">
                  <c:v>2.31054</c:v>
                </c:pt>
                <c:pt idx="39">
                  <c:v>2.34795</c:v>
                </c:pt>
                <c:pt idx="40">
                  <c:v>2.32748</c:v>
                </c:pt>
                <c:pt idx="41">
                  <c:v>2.4815399999999999</c:v>
                </c:pt>
                <c:pt idx="42">
                  <c:v>2.8059600000000002</c:v>
                </c:pt>
                <c:pt idx="43">
                  <c:v>2.778</c:v>
                </c:pt>
                <c:pt idx="44">
                  <c:v>2.6498899999999996</c:v>
                </c:pt>
                <c:pt idx="45">
                  <c:v>2.6928500000000004</c:v>
                </c:pt>
                <c:pt idx="46">
                  <c:v>2.7486299999999999</c:v>
                </c:pt>
                <c:pt idx="47">
                  <c:v>2.9555599999999997</c:v>
                </c:pt>
                <c:pt idx="48">
                  <c:v>3.78823</c:v>
                </c:pt>
                <c:pt idx="49">
                  <c:v>3.56264</c:v>
                </c:pt>
                <c:pt idx="50">
                  <c:v>3.4983</c:v>
                </c:pt>
                <c:pt idx="51">
                  <c:v>3.9068200000000002</c:v>
                </c:pt>
                <c:pt idx="52">
                  <c:v>3.75224</c:v>
                </c:pt>
                <c:pt idx="53">
                  <c:v>4.1019800000000002</c:v>
                </c:pt>
                <c:pt idx="54">
                  <c:v>4.0928800000000001</c:v>
                </c:pt>
                <c:pt idx="55">
                  <c:v>4.6605699999999999</c:v>
                </c:pt>
                <c:pt idx="56">
                  <c:v>4.8567099999999996</c:v>
                </c:pt>
                <c:pt idx="57">
                  <c:v>4.9901400000000002</c:v>
                </c:pt>
                <c:pt idx="58">
                  <c:v>5.3417499999999993</c:v>
                </c:pt>
                <c:pt idx="59">
                  <c:v>5.3165999999999993</c:v>
                </c:pt>
                <c:pt idx="60">
                  <c:v>5.1505600000000005</c:v>
                </c:pt>
                <c:pt idx="61">
                  <c:v>4.7224000000000004</c:v>
                </c:pt>
                <c:pt idx="62">
                  <c:v>4.7852499999999996</c:v>
                </c:pt>
                <c:pt idx="63">
                  <c:v>4.9610500000000002</c:v>
                </c:pt>
                <c:pt idx="64">
                  <c:v>4.8479999999999999</c:v>
                </c:pt>
                <c:pt idx="65">
                  <c:v>4.8105799999999999</c:v>
                </c:pt>
                <c:pt idx="66">
                  <c:v>4.8320400000000001</c:v>
                </c:pt>
                <c:pt idx="67">
                  <c:v>4.67422</c:v>
                </c:pt>
                <c:pt idx="68">
                  <c:v>4.5115600000000002</c:v>
                </c:pt>
                <c:pt idx="69">
                  <c:v>4.4511700000000003</c:v>
                </c:pt>
                <c:pt idx="70">
                  <c:v>4.4205500000000004</c:v>
                </c:pt>
                <c:pt idx="71">
                  <c:v>4.3113900000000003</c:v>
                </c:pt>
                <c:pt idx="72">
                  <c:v>4.3113900000000003</c:v>
                </c:pt>
                <c:pt idx="73">
                  <c:v>4.3113900000000003</c:v>
                </c:pt>
                <c:pt idx="74">
                  <c:v>4.1780799999999996</c:v>
                </c:pt>
                <c:pt idx="75">
                  <c:v>4.2955500000000004</c:v>
                </c:pt>
                <c:pt idx="76">
                  <c:v>4.3374300000000003</c:v>
                </c:pt>
                <c:pt idx="77">
                  <c:v>4.2530099999999997</c:v>
                </c:pt>
                <c:pt idx="78">
                  <c:v>4.2357899999999997</c:v>
                </c:pt>
                <c:pt idx="79">
                  <c:v>4.2892200000000003</c:v>
                </c:pt>
                <c:pt idx="80">
                  <c:v>4.3148599999999995</c:v>
                </c:pt>
                <c:pt idx="81">
                  <c:v>4.3129900000000001</c:v>
                </c:pt>
                <c:pt idx="82">
                  <c:v>4.3169199999999996</c:v>
                </c:pt>
                <c:pt idx="83">
                  <c:v>4.2660400000000003</c:v>
                </c:pt>
                <c:pt idx="84">
                  <c:v>4.2976600000000005</c:v>
                </c:pt>
                <c:pt idx="85">
                  <c:v>4.2947000000000006</c:v>
                </c:pt>
                <c:pt idx="86">
                  <c:v>4.1898200000000001</c:v>
                </c:pt>
                <c:pt idx="87">
                  <c:v>4.21401</c:v>
                </c:pt>
                <c:pt idx="88">
                  <c:v>4.2184300000000006</c:v>
                </c:pt>
                <c:pt idx="89">
                  <c:v>3.9559500000000001</c:v>
                </c:pt>
                <c:pt idx="90">
                  <c:v>3.85</c:v>
                </c:pt>
                <c:pt idx="91">
                  <c:v>3.9926699999999999</c:v>
                </c:pt>
                <c:pt idx="92">
                  <c:v>3.9926699999999999</c:v>
                </c:pt>
                <c:pt idx="93">
                  <c:v>3.6954199999999999</c:v>
                </c:pt>
                <c:pt idx="94">
                  <c:v>3.7346300000000001</c:v>
                </c:pt>
                <c:pt idx="95">
                  <c:v>3.7349700000000001</c:v>
                </c:pt>
                <c:pt idx="96">
                  <c:v>3.7245800000000004</c:v>
                </c:pt>
                <c:pt idx="97">
                  <c:v>3.7324400000000004</c:v>
                </c:pt>
                <c:pt idx="98">
                  <c:v>3.47932</c:v>
                </c:pt>
                <c:pt idx="99">
                  <c:v>3.4400200000000001</c:v>
                </c:pt>
                <c:pt idx="100">
                  <c:v>3.3361800000000001</c:v>
                </c:pt>
                <c:pt idx="101">
                  <c:v>3.3412299999999999</c:v>
                </c:pt>
                <c:pt idx="102">
                  <c:v>3.3314299999999997</c:v>
                </c:pt>
                <c:pt idx="103">
                  <c:v>3.3314299999999997</c:v>
                </c:pt>
                <c:pt idx="104">
                  <c:v>3.28051</c:v>
                </c:pt>
                <c:pt idx="105">
                  <c:v>3.2691599999999998</c:v>
                </c:pt>
                <c:pt idx="106">
                  <c:v>3.2620299999999998</c:v>
                </c:pt>
                <c:pt idx="107">
                  <c:v>3.29149</c:v>
                </c:pt>
                <c:pt idx="108">
                  <c:v>3.2766199999999999</c:v>
                </c:pt>
                <c:pt idx="109">
                  <c:v>3.2702599999999999</c:v>
                </c:pt>
                <c:pt idx="110">
                  <c:v>3.20445</c:v>
                </c:pt>
                <c:pt idx="111">
                  <c:v>3.1691099999999999</c:v>
                </c:pt>
                <c:pt idx="112">
                  <c:v>3.03024</c:v>
                </c:pt>
                <c:pt idx="113">
                  <c:v>3.1076600000000001</c:v>
                </c:pt>
                <c:pt idx="114">
                  <c:v>3.15591</c:v>
                </c:pt>
                <c:pt idx="115">
                  <c:v>3.1912599999999998</c:v>
                </c:pt>
                <c:pt idx="116">
                  <c:v>3.42767</c:v>
                </c:pt>
                <c:pt idx="117">
                  <c:v>3.4435500000000001</c:v>
                </c:pt>
                <c:pt idx="118">
                  <c:v>3.7258200000000001</c:v>
                </c:pt>
                <c:pt idx="119">
                  <c:v>3.5882400000000003</c:v>
                </c:pt>
                <c:pt idx="120">
                  <c:v>3.6337200000000003</c:v>
                </c:pt>
                <c:pt idx="121">
                  <c:v>3.6889299999999996</c:v>
                </c:pt>
                <c:pt idx="122">
                  <c:v>3.6746499999999997</c:v>
                </c:pt>
                <c:pt idx="123">
                  <c:v>3.6930700000000001</c:v>
                </c:pt>
                <c:pt idx="124">
                  <c:v>3.6689800000000004</c:v>
                </c:pt>
                <c:pt idx="125">
                  <c:v>3.6814999999999998</c:v>
                </c:pt>
                <c:pt idx="126">
                  <c:v>3.7766800000000003</c:v>
                </c:pt>
                <c:pt idx="127">
                  <c:v>3.7921399999999998</c:v>
                </c:pt>
                <c:pt idx="128">
                  <c:v>3.80341</c:v>
                </c:pt>
                <c:pt idx="129">
                  <c:v>3.80382</c:v>
                </c:pt>
                <c:pt idx="130">
                  <c:v>3.7665899999999999</c:v>
                </c:pt>
                <c:pt idx="131">
                  <c:v>3.5654500000000002</c:v>
                </c:pt>
                <c:pt idx="132">
                  <c:v>3.4516800000000001</c:v>
                </c:pt>
                <c:pt idx="133">
                  <c:v>3.4943200000000001</c:v>
                </c:pt>
                <c:pt idx="134">
                  <c:v>3.5576699999999999</c:v>
                </c:pt>
                <c:pt idx="135">
                  <c:v>3.5696699999999999</c:v>
                </c:pt>
                <c:pt idx="136">
                  <c:v>3.5570299999999997</c:v>
                </c:pt>
                <c:pt idx="137">
                  <c:v>3.5780599999999998</c:v>
                </c:pt>
                <c:pt idx="138">
                  <c:v>3.5792099999999998</c:v>
                </c:pt>
                <c:pt idx="139">
                  <c:v>3.5647199999999999</c:v>
                </c:pt>
                <c:pt idx="140">
                  <c:v>3.56616</c:v>
                </c:pt>
                <c:pt idx="141">
                  <c:v>3.5808200000000001</c:v>
                </c:pt>
                <c:pt idx="142">
                  <c:v>3.6112900000000003</c:v>
                </c:pt>
                <c:pt idx="143">
                  <c:v>3.6024400000000001</c:v>
                </c:pt>
                <c:pt idx="144">
                  <c:v>3.56928</c:v>
                </c:pt>
                <c:pt idx="145">
                  <c:v>3.5250599999999999</c:v>
                </c:pt>
                <c:pt idx="146">
                  <c:v>3.5199500000000001</c:v>
                </c:pt>
                <c:pt idx="147">
                  <c:v>3.5151100000000004</c:v>
                </c:pt>
                <c:pt idx="148">
                  <c:v>3.49777</c:v>
                </c:pt>
                <c:pt idx="149">
                  <c:v>3.47628</c:v>
                </c:pt>
                <c:pt idx="150">
                  <c:v>3.4767299999999999</c:v>
                </c:pt>
                <c:pt idx="151">
                  <c:v>3.4939100000000001</c:v>
                </c:pt>
                <c:pt idx="152">
                  <c:v>3.4889199999999998</c:v>
                </c:pt>
                <c:pt idx="153">
                  <c:v>3.4813000000000001</c:v>
                </c:pt>
                <c:pt idx="154">
                  <c:v>3.40455</c:v>
                </c:pt>
                <c:pt idx="155">
                  <c:v>3.3040099999999999</c:v>
                </c:pt>
                <c:pt idx="156">
                  <c:v>3.2918700000000003</c:v>
                </c:pt>
                <c:pt idx="157">
                  <c:v>3.2676699999999999</c:v>
                </c:pt>
                <c:pt idx="158">
                  <c:v>3.2231000000000001</c:v>
                </c:pt>
                <c:pt idx="159">
                  <c:v>3.1471399999999998</c:v>
                </c:pt>
                <c:pt idx="160">
                  <c:v>3.1200099999999997</c:v>
                </c:pt>
                <c:pt idx="161">
                  <c:v>3.0632100000000002</c:v>
                </c:pt>
                <c:pt idx="162">
                  <c:v>3.02956</c:v>
                </c:pt>
                <c:pt idx="163">
                  <c:v>3.0853199999999998</c:v>
                </c:pt>
                <c:pt idx="164">
                  <c:v>3.07409</c:v>
                </c:pt>
                <c:pt idx="165">
                  <c:v>3.0686599999999999</c:v>
                </c:pt>
                <c:pt idx="166">
                  <c:v>3.0996499999999996</c:v>
                </c:pt>
                <c:pt idx="167">
                  <c:v>3.1099099999999997</c:v>
                </c:pt>
                <c:pt idx="168">
                  <c:v>3.10175</c:v>
                </c:pt>
                <c:pt idx="169">
                  <c:v>3.0392000000000001</c:v>
                </c:pt>
                <c:pt idx="170">
                  <c:v>3.0394400000000004</c:v>
                </c:pt>
                <c:pt idx="171">
                  <c:v>2.9253500000000003</c:v>
                </c:pt>
                <c:pt idx="172">
                  <c:v>2.9316300000000002</c:v>
                </c:pt>
                <c:pt idx="173">
                  <c:v>2.9316300000000002</c:v>
                </c:pt>
                <c:pt idx="174">
                  <c:v>2.9904600000000001</c:v>
                </c:pt>
                <c:pt idx="175">
                  <c:v>3.0332999999999997</c:v>
                </c:pt>
                <c:pt idx="176">
                  <c:v>3.0432700000000001</c:v>
                </c:pt>
                <c:pt idx="177">
                  <c:v>2.9569799999999997</c:v>
                </c:pt>
                <c:pt idx="178">
                  <c:v>2.9237000000000002</c:v>
                </c:pt>
                <c:pt idx="179">
                  <c:v>3.0019</c:v>
                </c:pt>
                <c:pt idx="180">
                  <c:v>2.9687799999999998</c:v>
                </c:pt>
                <c:pt idx="181">
                  <c:v>2.9893200000000002</c:v>
                </c:pt>
                <c:pt idx="182">
                  <c:v>3.0132600000000003</c:v>
                </c:pt>
                <c:pt idx="183">
                  <c:v>3.02284</c:v>
                </c:pt>
                <c:pt idx="184">
                  <c:v>3.0021100000000001</c:v>
                </c:pt>
                <c:pt idx="185">
                  <c:v>2.9985899999999996</c:v>
                </c:pt>
                <c:pt idx="186">
                  <c:v>2.9978600000000002</c:v>
                </c:pt>
                <c:pt idx="187">
                  <c:v>2.9735100000000001</c:v>
                </c:pt>
                <c:pt idx="188">
                  <c:v>3.0616000000000003</c:v>
                </c:pt>
                <c:pt idx="189">
                  <c:v>3.07233</c:v>
                </c:pt>
                <c:pt idx="190">
                  <c:v>3.0861399999999999</c:v>
                </c:pt>
                <c:pt idx="191">
                  <c:v>3.1656999999999997</c:v>
                </c:pt>
                <c:pt idx="192">
                  <c:v>3.1566300000000003</c:v>
                </c:pt>
                <c:pt idx="193">
                  <c:v>3.6847699999999999</c:v>
                </c:pt>
                <c:pt idx="194">
                  <c:v>3.8935700000000004</c:v>
                </c:pt>
                <c:pt idx="195">
                  <c:v>3.6059399999999999</c:v>
                </c:pt>
                <c:pt idx="196">
                  <c:v>3.4276799999999996</c:v>
                </c:pt>
                <c:pt idx="197">
                  <c:v>3.3493300000000001</c:v>
                </c:pt>
                <c:pt idx="198">
                  <c:v>3.2947199999999999</c:v>
                </c:pt>
                <c:pt idx="199">
                  <c:v>3.2837599999999996</c:v>
                </c:pt>
                <c:pt idx="200">
                  <c:v>3.3144200000000001</c:v>
                </c:pt>
                <c:pt idx="201">
                  <c:v>3.3122199999999999</c:v>
                </c:pt>
                <c:pt idx="202">
                  <c:v>3.2530200000000002</c:v>
                </c:pt>
                <c:pt idx="203">
                  <c:v>3.2642099999999998</c:v>
                </c:pt>
                <c:pt idx="204">
                  <c:v>3.2913799999999998</c:v>
                </c:pt>
                <c:pt idx="205">
                  <c:v>3.4105700000000003</c:v>
                </c:pt>
                <c:pt idx="206">
                  <c:v>3.5555900000000005</c:v>
                </c:pt>
                <c:pt idx="207">
                  <c:v>3.5277999999999996</c:v>
                </c:pt>
                <c:pt idx="208">
                  <c:v>3.4514399999999998</c:v>
                </c:pt>
                <c:pt idx="209">
                  <c:v>3.4538799999999998</c:v>
                </c:pt>
                <c:pt idx="210">
                  <c:v>3.4641099999999998</c:v>
                </c:pt>
                <c:pt idx="211">
                  <c:v>3.4962999999999997</c:v>
                </c:pt>
                <c:pt idx="212">
                  <c:v>3.5025299999999997</c:v>
                </c:pt>
                <c:pt idx="213">
                  <c:v>3.6346499999999997</c:v>
                </c:pt>
                <c:pt idx="214">
                  <c:v>3.70445</c:v>
                </c:pt>
                <c:pt idx="215">
                  <c:v>3.7759300000000002</c:v>
                </c:pt>
                <c:pt idx="216">
                  <c:v>3.83894</c:v>
                </c:pt>
                <c:pt idx="217">
                  <c:v>3.8163799999999997</c:v>
                </c:pt>
                <c:pt idx="218">
                  <c:v>3.9576499999999997</c:v>
                </c:pt>
                <c:pt idx="219">
                  <c:v>3.84483</c:v>
                </c:pt>
                <c:pt idx="220">
                  <c:v>3.8892799999999998</c:v>
                </c:pt>
                <c:pt idx="221">
                  <c:v>3.81562</c:v>
                </c:pt>
                <c:pt idx="222">
                  <c:v>3.7986300000000002</c:v>
                </c:pt>
                <c:pt idx="223">
                  <c:v>3.5977699999999997</c:v>
                </c:pt>
                <c:pt idx="224">
                  <c:v>3.2216399999999998</c:v>
                </c:pt>
                <c:pt idx="225">
                  <c:v>3.1883300000000001</c:v>
                </c:pt>
                <c:pt idx="226">
                  <c:v>3.3195999999999999</c:v>
                </c:pt>
                <c:pt idx="227">
                  <c:v>3.2844899999999999</c:v>
                </c:pt>
                <c:pt idx="228">
                  <c:v>3.2971599999999999</c:v>
                </c:pt>
                <c:pt idx="229">
                  <c:v>3.3708800000000001</c:v>
                </c:pt>
                <c:pt idx="230">
                  <c:v>3.3854299999999999</c:v>
                </c:pt>
                <c:pt idx="231">
                  <c:v>3.4373399999999998</c:v>
                </c:pt>
                <c:pt idx="232">
                  <c:v>3.5032200000000002</c:v>
                </c:pt>
                <c:pt idx="233">
                  <c:v>3.4751100000000004</c:v>
                </c:pt>
                <c:pt idx="234">
                  <c:v>3.4048200000000004</c:v>
                </c:pt>
                <c:pt idx="235">
                  <c:v>3.3442599999999998</c:v>
                </c:pt>
                <c:pt idx="236">
                  <c:v>3.3790300000000002</c:v>
                </c:pt>
                <c:pt idx="237">
                  <c:v>3.4609500000000004</c:v>
                </c:pt>
                <c:pt idx="238">
                  <c:v>3.4643599999999997</c:v>
                </c:pt>
                <c:pt idx="239">
                  <c:v>3.3745499999999997</c:v>
                </c:pt>
                <c:pt idx="240">
                  <c:v>3.3596599999999999</c:v>
                </c:pt>
                <c:pt idx="241">
                  <c:v>3.2175199999999999</c:v>
                </c:pt>
                <c:pt idx="242">
                  <c:v>2.9546499999999996</c:v>
                </c:pt>
                <c:pt idx="243">
                  <c:v>2.97113</c:v>
                </c:pt>
                <c:pt idx="244">
                  <c:v>2.9948800000000002</c:v>
                </c:pt>
                <c:pt idx="245">
                  <c:v>2.9661200000000001</c:v>
                </c:pt>
                <c:pt idx="246">
                  <c:v>3.0306299999999999</c:v>
                </c:pt>
                <c:pt idx="247">
                  <c:v>3.0554000000000001</c:v>
                </c:pt>
                <c:pt idx="248">
                  <c:v>3.0520999999999998</c:v>
                </c:pt>
                <c:pt idx="249">
                  <c:v>2.9740800000000003</c:v>
                </c:pt>
                <c:pt idx="250">
                  <c:v>2.9401600000000001</c:v>
                </c:pt>
                <c:pt idx="251">
                  <c:v>2.8971800000000001</c:v>
                </c:pt>
                <c:pt idx="252">
                  <c:v>2.8316500000000002</c:v>
                </c:pt>
                <c:pt idx="253">
                  <c:v>2.8701499999999998</c:v>
                </c:pt>
                <c:pt idx="254">
                  <c:v>2.9148700000000001</c:v>
                </c:pt>
                <c:pt idx="255">
                  <c:v>2.8561900000000002</c:v>
                </c:pt>
                <c:pt idx="256">
                  <c:v>2.9067899999999995</c:v>
                </c:pt>
                <c:pt idx="257">
                  <c:v>2.9067899999999995</c:v>
                </c:pt>
                <c:pt idx="258">
                  <c:v>2.9067899999999995</c:v>
                </c:pt>
                <c:pt idx="259">
                  <c:v>2.9083100000000002</c:v>
                </c:pt>
                <c:pt idx="260">
                  <c:v>2.9111599999999997</c:v>
                </c:pt>
                <c:pt idx="261">
                  <c:v>2.9033499999999997</c:v>
                </c:pt>
                <c:pt idx="262">
                  <c:v>2.9033499999999997</c:v>
                </c:pt>
                <c:pt idx="263">
                  <c:v>2.8758999999999997</c:v>
                </c:pt>
                <c:pt idx="264">
                  <c:v>2.8173599999999999</c:v>
                </c:pt>
                <c:pt idx="265">
                  <c:v>2.7188699999999999</c:v>
                </c:pt>
                <c:pt idx="266">
                  <c:v>2.7028799999999999</c:v>
                </c:pt>
                <c:pt idx="267">
                  <c:v>2.65896</c:v>
                </c:pt>
                <c:pt idx="268">
                  <c:v>2.6051100000000003</c:v>
                </c:pt>
                <c:pt idx="269">
                  <c:v>2.6046199999999997</c:v>
                </c:pt>
                <c:pt idx="270">
                  <c:v>2.61591</c:v>
                </c:pt>
                <c:pt idx="271">
                  <c:v>2.4379900000000001</c:v>
                </c:pt>
                <c:pt idx="272">
                  <c:v>2.4322300000000001</c:v>
                </c:pt>
                <c:pt idx="273">
                  <c:v>2.4761500000000001</c:v>
                </c:pt>
                <c:pt idx="274">
                  <c:v>2.48089</c:v>
                </c:pt>
                <c:pt idx="275">
                  <c:v>2.5114299999999998</c:v>
                </c:pt>
                <c:pt idx="276">
                  <c:v>2.4931000000000001</c:v>
                </c:pt>
                <c:pt idx="277">
                  <c:v>2.5241799999999999</c:v>
                </c:pt>
                <c:pt idx="278">
                  <c:v>2.7080599999999997</c:v>
                </c:pt>
                <c:pt idx="279">
                  <c:v>2.6369699999999998</c:v>
                </c:pt>
                <c:pt idx="280">
                  <c:v>2.7142300000000001</c:v>
                </c:pt>
                <c:pt idx="281">
                  <c:v>2.6881699999999999</c:v>
                </c:pt>
                <c:pt idx="282">
                  <c:v>2.6342300000000001</c:v>
                </c:pt>
                <c:pt idx="283">
                  <c:v>2.6261900000000002</c:v>
                </c:pt>
                <c:pt idx="284">
                  <c:v>2.60406</c:v>
                </c:pt>
                <c:pt idx="285">
                  <c:v>2.5458600000000002</c:v>
                </c:pt>
                <c:pt idx="286">
                  <c:v>2.5775299999999999</c:v>
                </c:pt>
                <c:pt idx="287">
                  <c:v>2.5808</c:v>
                </c:pt>
                <c:pt idx="288">
                  <c:v>2.5597099999999999</c:v>
                </c:pt>
                <c:pt idx="289">
                  <c:v>2.6494600000000004</c:v>
                </c:pt>
                <c:pt idx="290">
                  <c:v>2.58738</c:v>
                </c:pt>
                <c:pt idx="291">
                  <c:v>2.7141199999999999</c:v>
                </c:pt>
                <c:pt idx="292">
                  <c:v>2.6886099999999997</c:v>
                </c:pt>
                <c:pt idx="293">
                  <c:v>2.7344799999999996</c:v>
                </c:pt>
                <c:pt idx="294">
                  <c:v>2.7591699999999997</c:v>
                </c:pt>
                <c:pt idx="295">
                  <c:v>2.7146699999999999</c:v>
                </c:pt>
                <c:pt idx="296">
                  <c:v>2.7872199999999996</c:v>
                </c:pt>
                <c:pt idx="297">
                  <c:v>2.61904</c:v>
                </c:pt>
                <c:pt idx="298">
                  <c:v>2.6998500000000001</c:v>
                </c:pt>
                <c:pt idx="299">
                  <c:v>2.6802100000000002</c:v>
                </c:pt>
                <c:pt idx="300">
                  <c:v>2.6537999999999999</c:v>
                </c:pt>
                <c:pt idx="301">
                  <c:v>2.8885899999999998</c:v>
                </c:pt>
                <c:pt idx="302">
                  <c:v>2.87649</c:v>
                </c:pt>
                <c:pt idx="303">
                  <c:v>2.8287099999999996</c:v>
                </c:pt>
                <c:pt idx="304">
                  <c:v>2.8112499999999998</c:v>
                </c:pt>
                <c:pt idx="305">
                  <c:v>2.7092700000000001</c:v>
                </c:pt>
                <c:pt idx="306">
                  <c:v>2.6944099999999995</c:v>
                </c:pt>
                <c:pt idx="307">
                  <c:v>2.8116099999999999</c:v>
                </c:pt>
                <c:pt idx="308">
                  <c:v>2.8473799999999998</c:v>
                </c:pt>
                <c:pt idx="309">
                  <c:v>2.8503400000000001</c:v>
                </c:pt>
                <c:pt idx="310">
                  <c:v>2.8662299999999998</c:v>
                </c:pt>
                <c:pt idx="311">
                  <c:v>2.79467</c:v>
                </c:pt>
                <c:pt idx="312">
                  <c:v>2.7272699999999999</c:v>
                </c:pt>
                <c:pt idx="313">
                  <c:v>2.7146699999999999</c:v>
                </c:pt>
                <c:pt idx="314">
                  <c:v>2.7329000000000003</c:v>
                </c:pt>
                <c:pt idx="315">
                  <c:v>2.9518299999999997</c:v>
                </c:pt>
                <c:pt idx="316">
                  <c:v>2.9657100000000001</c:v>
                </c:pt>
                <c:pt idx="317">
                  <c:v>2.8909500000000001</c:v>
                </c:pt>
                <c:pt idx="318">
                  <c:v>2.9470200000000002</c:v>
                </c:pt>
                <c:pt idx="319">
                  <c:v>2.9878100000000001</c:v>
                </c:pt>
                <c:pt idx="320">
                  <c:v>3.0067000000000004</c:v>
                </c:pt>
                <c:pt idx="321">
                  <c:v>3.0230799999999998</c:v>
                </c:pt>
                <c:pt idx="322">
                  <c:v>3.0347500000000003</c:v>
                </c:pt>
                <c:pt idx="323">
                  <c:v>2.9066800000000002</c:v>
                </c:pt>
                <c:pt idx="324">
                  <c:v>2.8964999999999996</c:v>
                </c:pt>
                <c:pt idx="325">
                  <c:v>2.89927</c:v>
                </c:pt>
                <c:pt idx="326">
                  <c:v>2.93188</c:v>
                </c:pt>
                <c:pt idx="327">
                  <c:v>2.93188</c:v>
                </c:pt>
                <c:pt idx="328">
                  <c:v>2.93188</c:v>
                </c:pt>
                <c:pt idx="329">
                  <c:v>2.9581599999999999</c:v>
                </c:pt>
                <c:pt idx="330">
                  <c:v>2.9210000000000003</c:v>
                </c:pt>
                <c:pt idx="331">
                  <c:v>2.91262</c:v>
                </c:pt>
                <c:pt idx="332">
                  <c:v>2.9518</c:v>
                </c:pt>
                <c:pt idx="333">
                  <c:v>2.9180299999999999</c:v>
                </c:pt>
                <c:pt idx="334">
                  <c:v>2.9063600000000003</c:v>
                </c:pt>
                <c:pt idx="335">
                  <c:v>2.90435</c:v>
                </c:pt>
                <c:pt idx="336">
                  <c:v>2.9813999999999998</c:v>
                </c:pt>
                <c:pt idx="337">
                  <c:v>2.9254500000000001</c:v>
                </c:pt>
                <c:pt idx="338">
                  <c:v>2.8895999999999997</c:v>
                </c:pt>
                <c:pt idx="339">
                  <c:v>2.8310199999999996</c:v>
                </c:pt>
                <c:pt idx="340">
                  <c:v>2.8712999999999997</c:v>
                </c:pt>
                <c:pt idx="341">
                  <c:v>2.9012200000000004</c:v>
                </c:pt>
                <c:pt idx="342">
                  <c:v>2.8950299999999998</c:v>
                </c:pt>
                <c:pt idx="343">
                  <c:v>2.8454299999999999</c:v>
                </c:pt>
                <c:pt idx="344">
                  <c:v>2.8259799999999999</c:v>
                </c:pt>
                <c:pt idx="345">
                  <c:v>2.8719700000000001</c:v>
                </c:pt>
                <c:pt idx="346">
                  <c:v>2.8244199999999999</c:v>
                </c:pt>
                <c:pt idx="347">
                  <c:v>2.93431</c:v>
                </c:pt>
                <c:pt idx="348">
                  <c:v>2.93431</c:v>
                </c:pt>
                <c:pt idx="349">
                  <c:v>2.9524699999999999</c:v>
                </c:pt>
                <c:pt idx="350">
                  <c:v>2.83609</c:v>
                </c:pt>
                <c:pt idx="351">
                  <c:v>2.7835899999999998</c:v>
                </c:pt>
                <c:pt idx="352">
                  <c:v>2.6335500000000001</c:v>
                </c:pt>
                <c:pt idx="353">
                  <c:v>2.5724200000000002</c:v>
                </c:pt>
                <c:pt idx="354">
                  <c:v>2.6089499999999997</c:v>
                </c:pt>
                <c:pt idx="355">
                  <c:v>2.5678699999999997</c:v>
                </c:pt>
                <c:pt idx="356">
                  <c:v>2.6526399999999999</c:v>
                </c:pt>
                <c:pt idx="357">
                  <c:v>2.6623600000000001</c:v>
                </c:pt>
                <c:pt idx="358">
                  <c:v>2.6933699999999998</c:v>
                </c:pt>
                <c:pt idx="359">
                  <c:v>2.7058900000000001</c:v>
                </c:pt>
                <c:pt idx="360">
                  <c:v>2.65612</c:v>
                </c:pt>
                <c:pt idx="361">
                  <c:v>2.7226499999999998</c:v>
                </c:pt>
                <c:pt idx="362">
                  <c:v>2.7202699999999997</c:v>
                </c:pt>
                <c:pt idx="363">
                  <c:v>2.7407999999999997</c:v>
                </c:pt>
                <c:pt idx="364">
                  <c:v>2.7545699999999997</c:v>
                </c:pt>
                <c:pt idx="365">
                  <c:v>2.74641</c:v>
                </c:pt>
                <c:pt idx="366">
                  <c:v>2.7134800000000001</c:v>
                </c:pt>
                <c:pt idx="367">
                  <c:v>2.7837200000000002</c:v>
                </c:pt>
                <c:pt idx="368">
                  <c:v>2.7837200000000002</c:v>
                </c:pt>
                <c:pt idx="369">
                  <c:v>2.70452</c:v>
                </c:pt>
                <c:pt idx="370">
                  <c:v>2.7683599999999999</c:v>
                </c:pt>
                <c:pt idx="371">
                  <c:v>2.7414299999999998</c:v>
                </c:pt>
                <c:pt idx="372">
                  <c:v>2.77284</c:v>
                </c:pt>
                <c:pt idx="373">
                  <c:v>2.7826799999999996</c:v>
                </c:pt>
                <c:pt idx="374">
                  <c:v>2.80044</c:v>
                </c:pt>
                <c:pt idx="375">
                  <c:v>2.8151600000000001</c:v>
                </c:pt>
                <c:pt idx="376">
                  <c:v>2.8450900000000003</c:v>
                </c:pt>
                <c:pt idx="377">
                  <c:v>2.8125900000000001</c:v>
                </c:pt>
                <c:pt idx="378">
                  <c:v>2.79399</c:v>
                </c:pt>
                <c:pt idx="379">
                  <c:v>2.7882100000000003</c:v>
                </c:pt>
                <c:pt idx="380">
                  <c:v>2.7313999999999998</c:v>
                </c:pt>
                <c:pt idx="381">
                  <c:v>2.8324900000000004</c:v>
                </c:pt>
                <c:pt idx="382">
                  <c:v>2.8721300000000003</c:v>
                </c:pt>
                <c:pt idx="383">
                  <c:v>2.7291099999999999</c:v>
                </c:pt>
                <c:pt idx="384">
                  <c:v>2.7676499999999997</c:v>
                </c:pt>
                <c:pt idx="385">
                  <c:v>2.6858400000000002</c:v>
                </c:pt>
                <c:pt idx="386">
                  <c:v>2.5966899999999997</c:v>
                </c:pt>
                <c:pt idx="387">
                  <c:v>2.4983500000000003</c:v>
                </c:pt>
                <c:pt idx="388">
                  <c:v>2.5894600000000003</c:v>
                </c:pt>
                <c:pt idx="389">
                  <c:v>2.6082000000000001</c:v>
                </c:pt>
                <c:pt idx="390">
                  <c:v>2.6353899999999997</c:v>
                </c:pt>
                <c:pt idx="391">
                  <c:v>2.55802</c:v>
                </c:pt>
                <c:pt idx="392">
                  <c:v>2.65401</c:v>
                </c:pt>
                <c:pt idx="393">
                  <c:v>2.6688900000000002</c:v>
                </c:pt>
                <c:pt idx="394">
                  <c:v>2.6783699999999997</c:v>
                </c:pt>
                <c:pt idx="395">
                  <c:v>2.6292</c:v>
                </c:pt>
                <c:pt idx="396">
                  <c:v>2.6669900000000002</c:v>
                </c:pt>
                <c:pt idx="397">
                  <c:v>2.6004199999999997</c:v>
                </c:pt>
                <c:pt idx="398">
                  <c:v>2.5952100000000002</c:v>
                </c:pt>
                <c:pt idx="399">
                  <c:v>2.5552899999999998</c:v>
                </c:pt>
                <c:pt idx="400">
                  <c:v>2.5970400000000002</c:v>
                </c:pt>
                <c:pt idx="401">
                  <c:v>2.6362599999999996</c:v>
                </c:pt>
                <c:pt idx="402">
                  <c:v>2.6571699999999998</c:v>
                </c:pt>
                <c:pt idx="403">
                  <c:v>2.7686999999999999</c:v>
                </c:pt>
                <c:pt idx="404">
                  <c:v>2.7069200000000002</c:v>
                </c:pt>
                <c:pt idx="405">
                  <c:v>2.7186000000000003</c:v>
                </c:pt>
                <c:pt idx="406">
                  <c:v>2.76688</c:v>
                </c:pt>
                <c:pt idx="407">
                  <c:v>2.75454</c:v>
                </c:pt>
                <c:pt idx="408">
                  <c:v>2.76423</c:v>
                </c:pt>
                <c:pt idx="409">
                  <c:v>2.7903600000000002</c:v>
                </c:pt>
                <c:pt idx="410">
                  <c:v>2.7832499999999998</c:v>
                </c:pt>
                <c:pt idx="411">
                  <c:v>2.7734899999999998</c:v>
                </c:pt>
                <c:pt idx="412">
                  <c:v>2.8010999999999999</c:v>
                </c:pt>
                <c:pt idx="413">
                  <c:v>2.8293599999999999</c:v>
                </c:pt>
                <c:pt idx="414">
                  <c:v>2.8311500000000001</c:v>
                </c:pt>
                <c:pt idx="415">
                  <c:v>2.8368200000000003</c:v>
                </c:pt>
                <c:pt idx="416">
                  <c:v>2.7975300000000001</c:v>
                </c:pt>
                <c:pt idx="417">
                  <c:v>2.7561399999999998</c:v>
                </c:pt>
                <c:pt idx="418">
                  <c:v>2.7448700000000001</c:v>
                </c:pt>
                <c:pt idx="419">
                  <c:v>2.7296800000000001</c:v>
                </c:pt>
                <c:pt idx="420">
                  <c:v>2.7444900000000003</c:v>
                </c:pt>
                <c:pt idx="421">
                  <c:v>2.7902300000000002</c:v>
                </c:pt>
                <c:pt idx="422">
                  <c:v>2.7913900000000003</c:v>
                </c:pt>
                <c:pt idx="423">
                  <c:v>2.8076299999999996</c:v>
                </c:pt>
                <c:pt idx="424">
                  <c:v>2.8046199999999999</c:v>
                </c:pt>
                <c:pt idx="425">
                  <c:v>2.81311</c:v>
                </c:pt>
                <c:pt idx="426">
                  <c:v>2.81915</c:v>
                </c:pt>
                <c:pt idx="427">
                  <c:v>2.80199</c:v>
                </c:pt>
                <c:pt idx="428">
                  <c:v>2.8174999999999999</c:v>
                </c:pt>
                <c:pt idx="429">
                  <c:v>2.7925499999999999</c:v>
                </c:pt>
                <c:pt idx="430">
                  <c:v>2.7357100000000001</c:v>
                </c:pt>
                <c:pt idx="431">
                  <c:v>2.74519</c:v>
                </c:pt>
                <c:pt idx="432">
                  <c:v>2.7508600000000003</c:v>
                </c:pt>
                <c:pt idx="433">
                  <c:v>2.7508600000000003</c:v>
                </c:pt>
                <c:pt idx="434">
                  <c:v>2.7551900000000002</c:v>
                </c:pt>
                <c:pt idx="435">
                  <c:v>2.7182299999999997</c:v>
                </c:pt>
                <c:pt idx="436">
                  <c:v>2.69007</c:v>
                </c:pt>
                <c:pt idx="437">
                  <c:v>2.6245299999999996</c:v>
                </c:pt>
                <c:pt idx="438">
                  <c:v>2.6738799999999996</c:v>
                </c:pt>
                <c:pt idx="439">
                  <c:v>2.6492599999999999</c:v>
                </c:pt>
                <c:pt idx="440">
                  <c:v>2.61199</c:v>
                </c:pt>
                <c:pt idx="441">
                  <c:v>2.6539100000000002</c:v>
                </c:pt>
                <c:pt idx="442">
                  <c:v>2.5851999999999999</c:v>
                </c:pt>
                <c:pt idx="443">
                  <c:v>2.6006099999999996</c:v>
                </c:pt>
                <c:pt idx="444">
                  <c:v>2.63503</c:v>
                </c:pt>
                <c:pt idx="445">
                  <c:v>2.5987900000000002</c:v>
                </c:pt>
                <c:pt idx="446">
                  <c:v>2.5870800000000003</c:v>
                </c:pt>
                <c:pt idx="447">
                  <c:v>2.5880299999999998</c:v>
                </c:pt>
                <c:pt idx="448">
                  <c:v>2.6738400000000002</c:v>
                </c:pt>
                <c:pt idx="449">
                  <c:v>2.64168</c:v>
                </c:pt>
                <c:pt idx="450">
                  <c:v>2.6526799999999997</c:v>
                </c:pt>
                <c:pt idx="451">
                  <c:v>2.5986399999999996</c:v>
                </c:pt>
                <c:pt idx="452">
                  <c:v>2.6459100000000002</c:v>
                </c:pt>
                <c:pt idx="453">
                  <c:v>2.6434300000000004</c:v>
                </c:pt>
                <c:pt idx="454">
                  <c:v>2.6900099999999996</c:v>
                </c:pt>
                <c:pt idx="455">
                  <c:v>2.7340399999999998</c:v>
                </c:pt>
                <c:pt idx="456">
                  <c:v>2.7643499999999999</c:v>
                </c:pt>
                <c:pt idx="457">
                  <c:v>2.8085100000000001</c:v>
                </c:pt>
                <c:pt idx="458">
                  <c:v>2.8419600000000003</c:v>
                </c:pt>
                <c:pt idx="459">
                  <c:v>2.85168</c:v>
                </c:pt>
                <c:pt idx="460">
                  <c:v>2.8577900000000001</c:v>
                </c:pt>
                <c:pt idx="461">
                  <c:v>2.8031000000000001</c:v>
                </c:pt>
                <c:pt idx="462">
                  <c:v>2.7974599999999996</c:v>
                </c:pt>
                <c:pt idx="463">
                  <c:v>2.7843099999999996</c:v>
                </c:pt>
                <c:pt idx="464">
                  <c:v>2.7969200000000001</c:v>
                </c:pt>
                <c:pt idx="465">
                  <c:v>2.75217</c:v>
                </c:pt>
                <c:pt idx="466">
                  <c:v>2.6082000000000001</c:v>
                </c:pt>
                <c:pt idx="467">
                  <c:v>2.6749900000000002</c:v>
                </c:pt>
                <c:pt idx="468">
                  <c:v>2.6242999999999999</c:v>
                </c:pt>
                <c:pt idx="469">
                  <c:v>2.6213500000000001</c:v>
                </c:pt>
                <c:pt idx="470">
                  <c:v>2.6347800000000001</c:v>
                </c:pt>
                <c:pt idx="471">
                  <c:v>2.5814600000000003</c:v>
                </c:pt>
                <c:pt idx="472">
                  <c:v>2.6058499999999998</c:v>
                </c:pt>
                <c:pt idx="473">
                  <c:v>2.6131799999999998</c:v>
                </c:pt>
                <c:pt idx="474">
                  <c:v>2.64141</c:v>
                </c:pt>
                <c:pt idx="475">
                  <c:v>2.7074700000000003</c:v>
                </c:pt>
                <c:pt idx="476">
                  <c:v>2.6866699999999999</c:v>
                </c:pt>
                <c:pt idx="477">
                  <c:v>2.68526</c:v>
                </c:pt>
                <c:pt idx="478">
                  <c:v>2.6894299999999998</c:v>
                </c:pt>
                <c:pt idx="479">
                  <c:v>2.7415800000000004</c:v>
                </c:pt>
                <c:pt idx="480">
                  <c:v>2.7043599999999999</c:v>
                </c:pt>
                <c:pt idx="481">
                  <c:v>2.7415699999999998</c:v>
                </c:pt>
                <c:pt idx="482">
                  <c:v>2.8172600000000001</c:v>
                </c:pt>
                <c:pt idx="483">
                  <c:v>2.7625799999999998</c:v>
                </c:pt>
                <c:pt idx="484">
                  <c:v>2.7911700000000002</c:v>
                </c:pt>
                <c:pt idx="485">
                  <c:v>2.7550299999999996</c:v>
                </c:pt>
                <c:pt idx="486">
                  <c:v>2.7479</c:v>
                </c:pt>
                <c:pt idx="487">
                  <c:v>2.7645499999999998</c:v>
                </c:pt>
                <c:pt idx="488">
                  <c:v>2.6791699999999996</c:v>
                </c:pt>
                <c:pt idx="489">
                  <c:v>2.7011399999999997</c:v>
                </c:pt>
                <c:pt idx="490">
                  <c:v>2.7894600000000001</c:v>
                </c:pt>
                <c:pt idx="491">
                  <c:v>2.8207600000000004</c:v>
                </c:pt>
                <c:pt idx="492">
                  <c:v>2.7944999999999998</c:v>
                </c:pt>
                <c:pt idx="493">
                  <c:v>2.7424400000000002</c:v>
                </c:pt>
                <c:pt idx="494">
                  <c:v>2.8418999999999999</c:v>
                </c:pt>
                <c:pt idx="495">
                  <c:v>2.8363400000000003</c:v>
                </c:pt>
                <c:pt idx="496">
                  <c:v>2.8475900000000003</c:v>
                </c:pt>
                <c:pt idx="497">
                  <c:v>3.0674200000000003</c:v>
                </c:pt>
                <c:pt idx="498">
                  <c:v>3.0123899999999999</c:v>
                </c:pt>
                <c:pt idx="499">
                  <c:v>3.1105200000000002</c:v>
                </c:pt>
                <c:pt idx="500">
                  <c:v>3.0734399999999997</c:v>
                </c:pt>
                <c:pt idx="501">
                  <c:v>3.0170999999999997</c:v>
                </c:pt>
                <c:pt idx="502">
                  <c:v>3.1050400000000002</c:v>
                </c:pt>
                <c:pt idx="503">
                  <c:v>3.0481400000000001</c:v>
                </c:pt>
                <c:pt idx="504">
                  <c:v>2.9275500000000001</c:v>
                </c:pt>
                <c:pt idx="505">
                  <c:v>2.8853500000000003</c:v>
                </c:pt>
                <c:pt idx="506">
                  <c:v>2.9010700000000003</c:v>
                </c:pt>
                <c:pt idx="507">
                  <c:v>2.8889399999999998</c:v>
                </c:pt>
                <c:pt idx="508">
                  <c:v>2.9290400000000001</c:v>
                </c:pt>
                <c:pt idx="509">
                  <c:v>2.9192100000000001</c:v>
                </c:pt>
                <c:pt idx="510">
                  <c:v>2.89811</c:v>
                </c:pt>
                <c:pt idx="511">
                  <c:v>2.9204000000000003</c:v>
                </c:pt>
                <c:pt idx="512">
                  <c:v>2.9007400000000003</c:v>
                </c:pt>
                <c:pt idx="513">
                  <c:v>2.8939499999999998</c:v>
                </c:pt>
                <c:pt idx="514">
                  <c:v>2.8643799999999997</c:v>
                </c:pt>
                <c:pt idx="515">
                  <c:v>2.8901400000000002</c:v>
                </c:pt>
                <c:pt idx="516">
                  <c:v>2.8375900000000001</c:v>
                </c:pt>
                <c:pt idx="517">
                  <c:v>2.8371499999999998</c:v>
                </c:pt>
                <c:pt idx="518">
                  <c:v>2.8371499999999998</c:v>
                </c:pt>
                <c:pt idx="519">
                  <c:v>2.8371499999999998</c:v>
                </c:pt>
                <c:pt idx="520">
                  <c:v>2.8134199999999998</c:v>
                </c:pt>
                <c:pt idx="521">
                  <c:v>2.8376299999999999</c:v>
                </c:pt>
                <c:pt idx="522">
                  <c:v>2.8422300000000003</c:v>
                </c:pt>
                <c:pt idx="523">
                  <c:v>2.8422300000000003</c:v>
                </c:pt>
                <c:pt idx="524">
                  <c:v>2.7143400000000004</c:v>
                </c:pt>
                <c:pt idx="525">
                  <c:v>2.7103800000000002</c:v>
                </c:pt>
                <c:pt idx="526">
                  <c:v>2.6797000000000004</c:v>
                </c:pt>
                <c:pt idx="527">
                  <c:v>2.7189399999999999</c:v>
                </c:pt>
                <c:pt idx="528">
                  <c:v>2.7002100000000002</c:v>
                </c:pt>
                <c:pt idx="529">
                  <c:v>2.6968299999999998</c:v>
                </c:pt>
                <c:pt idx="530">
                  <c:v>2.7022500000000003</c:v>
                </c:pt>
                <c:pt idx="531">
                  <c:v>2.7494099999999997</c:v>
                </c:pt>
                <c:pt idx="532">
                  <c:v>2.79135</c:v>
                </c:pt>
                <c:pt idx="533">
                  <c:v>2.75623</c:v>
                </c:pt>
                <c:pt idx="534">
                  <c:v>2.7533699999999999</c:v>
                </c:pt>
                <c:pt idx="535">
                  <c:v>2.7565499999999998</c:v>
                </c:pt>
                <c:pt idx="536">
                  <c:v>2.7716799999999999</c:v>
                </c:pt>
                <c:pt idx="537">
                  <c:v>2.8542700000000001</c:v>
                </c:pt>
                <c:pt idx="538">
                  <c:v>2.89472</c:v>
                </c:pt>
                <c:pt idx="539">
                  <c:v>2.8935399999999998</c:v>
                </c:pt>
                <c:pt idx="540">
                  <c:v>2.8803800000000002</c:v>
                </c:pt>
                <c:pt idx="541">
                  <c:v>2.90544</c:v>
                </c:pt>
                <c:pt idx="542">
                  <c:v>2.9779399999999998</c:v>
                </c:pt>
                <c:pt idx="543">
                  <c:v>2.9696699999999998</c:v>
                </c:pt>
                <c:pt idx="544">
                  <c:v>2.9659500000000003</c:v>
                </c:pt>
                <c:pt idx="545">
                  <c:v>2.9817800000000001</c:v>
                </c:pt>
                <c:pt idx="546">
                  <c:v>2.9430999999999998</c:v>
                </c:pt>
                <c:pt idx="547">
                  <c:v>2.9757899999999999</c:v>
                </c:pt>
                <c:pt idx="548">
                  <c:v>2.9776600000000002</c:v>
                </c:pt>
                <c:pt idx="549">
                  <c:v>2.9960100000000001</c:v>
                </c:pt>
                <c:pt idx="550">
                  <c:v>2.9974799999999999</c:v>
                </c:pt>
                <c:pt idx="551">
                  <c:v>3.0145499999999998</c:v>
                </c:pt>
                <c:pt idx="552">
                  <c:v>3.1365600000000002</c:v>
                </c:pt>
                <c:pt idx="553">
                  <c:v>3.1506500000000002</c:v>
                </c:pt>
                <c:pt idx="554">
                  <c:v>3.1017799999999998</c:v>
                </c:pt>
                <c:pt idx="555">
                  <c:v>3.0585300000000002</c:v>
                </c:pt>
                <c:pt idx="556">
                  <c:v>3.0664100000000003</c:v>
                </c:pt>
                <c:pt idx="557">
                  <c:v>3.1587900000000002</c:v>
                </c:pt>
                <c:pt idx="558">
                  <c:v>3.1600200000000003</c:v>
                </c:pt>
                <c:pt idx="559">
                  <c:v>3.1800900000000003</c:v>
                </c:pt>
                <c:pt idx="560">
                  <c:v>3.1755</c:v>
                </c:pt>
                <c:pt idx="561">
                  <c:v>3.23156</c:v>
                </c:pt>
                <c:pt idx="562">
                  <c:v>3.1242700000000001</c:v>
                </c:pt>
                <c:pt idx="563">
                  <c:v>3.4112900000000002</c:v>
                </c:pt>
                <c:pt idx="564">
                  <c:v>3.5588899999999999</c:v>
                </c:pt>
                <c:pt idx="565">
                  <c:v>3.7706200000000001</c:v>
                </c:pt>
                <c:pt idx="566">
                  <c:v>4.5861700000000001</c:v>
                </c:pt>
                <c:pt idx="567">
                  <c:v>4.8966399999999997</c:v>
                </c:pt>
                <c:pt idx="568">
                  <c:v>5.5370200000000001</c:v>
                </c:pt>
                <c:pt idx="569">
                  <c:v>5.7734400000000008</c:v>
                </c:pt>
                <c:pt idx="570">
                  <c:v>5.7181500000000005</c:v>
                </c:pt>
                <c:pt idx="571">
                  <c:v>5.6756399999999996</c:v>
                </c:pt>
                <c:pt idx="572">
                  <c:v>5.6942100000000009</c:v>
                </c:pt>
                <c:pt idx="573">
                  <c:v>5.3118499999999997</c:v>
                </c:pt>
                <c:pt idx="574">
                  <c:v>5.2231300000000003</c:v>
                </c:pt>
                <c:pt idx="575">
                  <c:v>4.68309</c:v>
                </c:pt>
                <c:pt idx="576">
                  <c:v>4.7469999999999999</c:v>
                </c:pt>
                <c:pt idx="577">
                  <c:v>4.5038999999999998</c:v>
                </c:pt>
                <c:pt idx="578">
                  <c:v>4.1564699999999997</c:v>
                </c:pt>
                <c:pt idx="579">
                  <c:v>4.1149000000000004</c:v>
                </c:pt>
                <c:pt idx="580">
                  <c:v>4.1573899999999995</c:v>
                </c:pt>
                <c:pt idx="581">
                  <c:v>4.1244800000000001</c:v>
                </c:pt>
                <c:pt idx="582">
                  <c:v>4.0095400000000003</c:v>
                </c:pt>
                <c:pt idx="583">
                  <c:v>4.0874600000000001</c:v>
                </c:pt>
                <c:pt idx="584">
                  <c:v>4.1494900000000001</c:v>
                </c:pt>
                <c:pt idx="585">
                  <c:v>4.1992399999999996</c:v>
                </c:pt>
                <c:pt idx="586">
                  <c:v>4.1940300000000006</c:v>
                </c:pt>
                <c:pt idx="587">
                  <c:v>4.2351700000000001</c:v>
                </c:pt>
                <c:pt idx="588">
                  <c:v>4.2038200000000003</c:v>
                </c:pt>
                <c:pt idx="589">
                  <c:v>4.0087299999999999</c:v>
                </c:pt>
                <c:pt idx="590">
                  <c:v>3.9909500000000002</c:v>
                </c:pt>
                <c:pt idx="591">
                  <c:v>3.9455200000000001</c:v>
                </c:pt>
                <c:pt idx="592">
                  <c:v>3.9352999999999998</c:v>
                </c:pt>
                <c:pt idx="593">
                  <c:v>3.9250400000000001</c:v>
                </c:pt>
                <c:pt idx="594">
                  <c:v>3.9231099999999999</c:v>
                </c:pt>
                <c:pt idx="595">
                  <c:v>3.9767200000000003</c:v>
                </c:pt>
                <c:pt idx="596">
                  <c:v>3.8898099999999998</c:v>
                </c:pt>
                <c:pt idx="597">
                  <c:v>3.8898099999999998</c:v>
                </c:pt>
                <c:pt idx="598">
                  <c:v>3.8898099999999998</c:v>
                </c:pt>
                <c:pt idx="599">
                  <c:v>3.8961600000000001</c:v>
                </c:pt>
                <c:pt idx="600">
                  <c:v>3.9703599999999999</c:v>
                </c:pt>
                <c:pt idx="601">
                  <c:v>3.9896199999999999</c:v>
                </c:pt>
                <c:pt idx="602">
                  <c:v>4.0417500000000004</c:v>
                </c:pt>
                <c:pt idx="603">
                  <c:v>4.11972</c:v>
                </c:pt>
                <c:pt idx="604">
                  <c:v>4.3407799999999996</c:v>
                </c:pt>
                <c:pt idx="605">
                  <c:v>4.3706500000000004</c:v>
                </c:pt>
                <c:pt idx="606">
                  <c:v>4.3141500000000006</c:v>
                </c:pt>
                <c:pt idx="607">
                  <c:v>4.4000000000000004</c:v>
                </c:pt>
                <c:pt idx="608">
                  <c:v>4.4000000000000004</c:v>
                </c:pt>
                <c:pt idx="609">
                  <c:v>4.27895</c:v>
                </c:pt>
                <c:pt idx="610">
                  <c:v>4.3858100000000002</c:v>
                </c:pt>
                <c:pt idx="611">
                  <c:v>4.3234699999999995</c:v>
                </c:pt>
                <c:pt idx="612">
                  <c:v>4.3339600000000003</c:v>
                </c:pt>
                <c:pt idx="613">
                  <c:v>4.3689200000000001</c:v>
                </c:pt>
                <c:pt idx="614">
                  <c:v>4.6206199999999997</c:v>
                </c:pt>
                <c:pt idx="615">
                  <c:v>4.7327699999999995</c:v>
                </c:pt>
                <c:pt idx="616">
                  <c:v>4.6425299999999998</c:v>
                </c:pt>
                <c:pt idx="617">
                  <c:v>4.6423500000000004</c:v>
                </c:pt>
                <c:pt idx="618">
                  <c:v>4.7393599999999996</c:v>
                </c:pt>
                <c:pt idx="619">
                  <c:v>4.5929099999999998</c:v>
                </c:pt>
                <c:pt idx="620">
                  <c:v>4.7552399999999997</c:v>
                </c:pt>
                <c:pt idx="621">
                  <c:v>4.83277</c:v>
                </c:pt>
                <c:pt idx="622">
                  <c:v>4.8201900000000002</c:v>
                </c:pt>
                <c:pt idx="623">
                  <c:v>4.8474900000000005</c:v>
                </c:pt>
                <c:pt idx="624">
                  <c:v>4.9705200000000005</c:v>
                </c:pt>
                <c:pt idx="625">
                  <c:v>4.9521699999999997</c:v>
                </c:pt>
                <c:pt idx="626">
                  <c:v>4.99</c:v>
                </c:pt>
                <c:pt idx="627">
                  <c:v>4.9662299999999995</c:v>
                </c:pt>
                <c:pt idx="628">
                  <c:v>4.8934500000000005</c:v>
                </c:pt>
                <c:pt idx="629">
                  <c:v>4.8364000000000003</c:v>
                </c:pt>
                <c:pt idx="630">
                  <c:v>4.7394099999999995</c:v>
                </c:pt>
                <c:pt idx="631">
                  <c:v>4.7394099999999995</c:v>
                </c:pt>
                <c:pt idx="632">
                  <c:v>4.7394099999999995</c:v>
                </c:pt>
                <c:pt idx="633">
                  <c:v>4.6758499999999996</c:v>
                </c:pt>
                <c:pt idx="634">
                  <c:v>4.6933600000000002</c:v>
                </c:pt>
                <c:pt idx="635">
                  <c:v>4.6762899999999998</c:v>
                </c:pt>
                <c:pt idx="636">
                  <c:v>4.6581099999999998</c:v>
                </c:pt>
                <c:pt idx="637">
                  <c:v>4.6282899999999998</c:v>
                </c:pt>
                <c:pt idx="638">
                  <c:v>4.7417499999999997</c:v>
                </c:pt>
                <c:pt idx="639">
                  <c:v>4.6935199999999995</c:v>
                </c:pt>
                <c:pt idx="640">
                  <c:v>4.8195899999999998</c:v>
                </c:pt>
                <c:pt idx="641">
                  <c:v>5.07057</c:v>
                </c:pt>
                <c:pt idx="642">
                  <c:v>5.1721500000000002</c:v>
                </c:pt>
                <c:pt idx="643">
                  <c:v>5.2191399999999994</c:v>
                </c:pt>
                <c:pt idx="644">
                  <c:v>5.1219200000000003</c:v>
                </c:pt>
                <c:pt idx="645">
                  <c:v>5.2979799999999999</c:v>
                </c:pt>
                <c:pt idx="646">
                  <c:v>5.3632899999999992</c:v>
                </c:pt>
                <c:pt idx="647">
                  <c:v>5.3912500000000003</c:v>
                </c:pt>
                <c:pt idx="648">
                  <c:v>5.3065300000000004</c:v>
                </c:pt>
                <c:pt idx="649">
                  <c:v>5.3819600000000003</c:v>
                </c:pt>
                <c:pt idx="650">
                  <c:v>5.5448500000000003</c:v>
                </c:pt>
                <c:pt idx="651">
                  <c:v>5.7774599999999996</c:v>
                </c:pt>
                <c:pt idx="652">
                  <c:v>5.8550500000000003</c:v>
                </c:pt>
                <c:pt idx="653">
                  <c:v>5.8581200000000004</c:v>
                </c:pt>
                <c:pt idx="654">
                  <c:v>5.9838699999999996</c:v>
                </c:pt>
                <c:pt idx="655">
                  <c:v>5.8648500000000006</c:v>
                </c:pt>
                <c:pt idx="656">
                  <c:v>5.7890700000000006</c:v>
                </c:pt>
                <c:pt idx="657">
                  <c:v>5.8172799999999993</c:v>
                </c:pt>
                <c:pt idx="658">
                  <c:v>5.9370500000000002</c:v>
                </c:pt>
                <c:pt idx="659">
                  <c:v>6.0526099999999996</c:v>
                </c:pt>
                <c:pt idx="660">
                  <c:v>6.19095</c:v>
                </c:pt>
                <c:pt idx="661">
                  <c:v>6.2776399999999999</c:v>
                </c:pt>
                <c:pt idx="662">
                  <c:v>6.2850699999999993</c:v>
                </c:pt>
                <c:pt idx="663">
                  <c:v>6.1816999999999993</c:v>
                </c:pt>
                <c:pt idx="664">
                  <c:v>6.1374500000000003</c:v>
                </c:pt>
                <c:pt idx="665">
                  <c:v>6.0567799999999998</c:v>
                </c:pt>
                <c:pt idx="666">
                  <c:v>6.1390599999999997</c:v>
                </c:pt>
                <c:pt idx="667">
                  <c:v>6.1159299999999996</c:v>
                </c:pt>
                <c:pt idx="668">
                  <c:v>6.0007600000000005</c:v>
                </c:pt>
                <c:pt idx="669">
                  <c:v>6.0229499999999998</c:v>
                </c:pt>
                <c:pt idx="670">
                  <c:v>6.0588599999999992</c:v>
                </c:pt>
                <c:pt idx="671">
                  <c:v>5.9924499999999998</c:v>
                </c:pt>
                <c:pt idx="672">
                  <c:v>6.0571700000000002</c:v>
                </c:pt>
                <c:pt idx="673">
                  <c:v>5.9715300000000004</c:v>
                </c:pt>
                <c:pt idx="674">
                  <c:v>5.8697400000000002</c:v>
                </c:pt>
                <c:pt idx="675">
                  <c:v>5.8546699999999996</c:v>
                </c:pt>
                <c:pt idx="676">
                  <c:v>5.8776700000000002</c:v>
                </c:pt>
                <c:pt idx="677">
                  <c:v>5.6567800000000004</c:v>
                </c:pt>
                <c:pt idx="678">
                  <c:v>5.7599</c:v>
                </c:pt>
                <c:pt idx="679">
                  <c:v>5.7352700000000008</c:v>
                </c:pt>
                <c:pt idx="680">
                  <c:v>5.7516999999999996</c:v>
                </c:pt>
                <c:pt idx="681">
                  <c:v>5.4568899999999996</c:v>
                </c:pt>
                <c:pt idx="682">
                  <c:v>5.4763599999999997</c:v>
                </c:pt>
                <c:pt idx="683">
                  <c:v>5.5437000000000003</c:v>
                </c:pt>
                <c:pt idx="684">
                  <c:v>5.5064700000000002</c:v>
                </c:pt>
                <c:pt idx="685">
                  <c:v>5.4869200000000005</c:v>
                </c:pt>
                <c:pt idx="686">
                  <c:v>5.4327999999999994</c:v>
                </c:pt>
                <c:pt idx="687">
                  <c:v>5.4376800000000003</c:v>
                </c:pt>
                <c:pt idx="688">
                  <c:v>5.48163</c:v>
                </c:pt>
                <c:pt idx="689">
                  <c:v>5.4474199999999993</c:v>
                </c:pt>
                <c:pt idx="690">
                  <c:v>5.4021400000000002</c:v>
                </c:pt>
                <c:pt idx="691">
                  <c:v>5.36388</c:v>
                </c:pt>
                <c:pt idx="692">
                  <c:v>5.3865999999999996</c:v>
                </c:pt>
                <c:pt idx="693">
                  <c:v>5.3865999999999996</c:v>
                </c:pt>
                <c:pt idx="694">
                  <c:v>5.3666999999999998</c:v>
                </c:pt>
                <c:pt idx="695">
                  <c:v>5.3247799999999996</c:v>
                </c:pt>
                <c:pt idx="696">
                  <c:v>5.1519700000000004</c:v>
                </c:pt>
                <c:pt idx="697">
                  <c:v>5.2201199999999996</c:v>
                </c:pt>
                <c:pt idx="698">
                  <c:v>5.2811900000000005</c:v>
                </c:pt>
                <c:pt idx="699">
                  <c:v>4.9907199999999996</c:v>
                </c:pt>
                <c:pt idx="700">
                  <c:v>5.0048899999999996</c:v>
                </c:pt>
                <c:pt idx="701">
                  <c:v>4.9746800000000002</c:v>
                </c:pt>
                <c:pt idx="702">
                  <c:v>4.8206799999999994</c:v>
                </c:pt>
                <c:pt idx="703">
                  <c:v>4.8668399999999998</c:v>
                </c:pt>
                <c:pt idx="704">
                  <c:v>4.9194700000000005</c:v>
                </c:pt>
                <c:pt idx="705">
                  <c:v>5.2336499999999999</c:v>
                </c:pt>
                <c:pt idx="706">
                  <c:v>5.1988300000000001</c:v>
                </c:pt>
                <c:pt idx="707">
                  <c:v>5.3562800000000008</c:v>
                </c:pt>
                <c:pt idx="708">
                  <c:v>5.3562800000000008</c:v>
                </c:pt>
                <c:pt idx="709">
                  <c:v>5.15984</c:v>
                </c:pt>
                <c:pt idx="710">
                  <c:v>5.2585100000000002</c:v>
                </c:pt>
                <c:pt idx="711">
                  <c:v>5.0980400000000001</c:v>
                </c:pt>
                <c:pt idx="712">
                  <c:v>5.1648400000000008</c:v>
                </c:pt>
                <c:pt idx="713">
                  <c:v>5.1673499999999999</c:v>
                </c:pt>
                <c:pt idx="714">
                  <c:v>5.22133</c:v>
                </c:pt>
                <c:pt idx="715">
                  <c:v>5.7781700000000003</c:v>
                </c:pt>
                <c:pt idx="716">
                  <c:v>5.8116499999999993</c:v>
                </c:pt>
                <c:pt idx="717">
                  <c:v>5.8128099999999998</c:v>
                </c:pt>
                <c:pt idx="718">
                  <c:v>5.9775699999999992</c:v>
                </c:pt>
                <c:pt idx="719">
                  <c:v>5.8935799999999992</c:v>
                </c:pt>
                <c:pt idx="720">
                  <c:v>5.8315799999999998</c:v>
                </c:pt>
                <c:pt idx="721">
                  <c:v>5.7488999999999999</c:v>
                </c:pt>
                <c:pt idx="722">
                  <c:v>5.7111999999999998</c:v>
                </c:pt>
                <c:pt idx="723">
                  <c:v>5.6835900000000006</c:v>
                </c:pt>
                <c:pt idx="724">
                  <c:v>5.7547199999999998</c:v>
                </c:pt>
                <c:pt idx="725">
                  <c:v>5.76044</c:v>
                </c:pt>
                <c:pt idx="726">
                  <c:v>5.7337199999999999</c:v>
                </c:pt>
                <c:pt idx="727">
                  <c:v>5.6316999999999995</c:v>
                </c:pt>
                <c:pt idx="728">
                  <c:v>5.6477399999999998</c:v>
                </c:pt>
                <c:pt idx="729">
                  <c:v>5.6096699999999995</c:v>
                </c:pt>
                <c:pt idx="730">
                  <c:v>5.5158799999999992</c:v>
                </c:pt>
                <c:pt idx="731">
                  <c:v>5.3264200000000006</c:v>
                </c:pt>
                <c:pt idx="732">
                  <c:v>5.4139599999999994</c:v>
                </c:pt>
                <c:pt idx="733">
                  <c:v>5.3913900000000003</c:v>
                </c:pt>
                <c:pt idx="734">
                  <c:v>5.4892499999999993</c:v>
                </c:pt>
                <c:pt idx="735">
                  <c:v>5.51938</c:v>
                </c:pt>
                <c:pt idx="736">
                  <c:v>5.5523899999999999</c:v>
                </c:pt>
                <c:pt idx="737">
                  <c:v>5.5269700000000004</c:v>
                </c:pt>
                <c:pt idx="738">
                  <c:v>5.5119100000000003</c:v>
                </c:pt>
                <c:pt idx="739">
                  <c:v>5.4726499999999998</c:v>
                </c:pt>
                <c:pt idx="740">
                  <c:v>5.4118399999999998</c:v>
                </c:pt>
                <c:pt idx="741">
                  <c:v>5.4098299999999995</c:v>
                </c:pt>
                <c:pt idx="742">
                  <c:v>5.3921700000000001</c:v>
                </c:pt>
                <c:pt idx="743">
                  <c:v>5.2551800000000002</c:v>
                </c:pt>
                <c:pt idx="744">
                  <c:v>5.3020399999999999</c:v>
                </c:pt>
                <c:pt idx="745">
                  <c:v>5.2829600000000001</c:v>
                </c:pt>
                <c:pt idx="746">
                  <c:v>5.2941099999999999</c:v>
                </c:pt>
                <c:pt idx="747">
                  <c:v>5.3215899999999996</c:v>
                </c:pt>
                <c:pt idx="748">
                  <c:v>4.1354000000000006</c:v>
                </c:pt>
                <c:pt idx="749">
                  <c:v>4.1917499999999999</c:v>
                </c:pt>
                <c:pt idx="750">
                  <c:v>4.1965899999999996</c:v>
                </c:pt>
                <c:pt idx="751">
                  <c:v>4.2368899999999998</c:v>
                </c:pt>
                <c:pt idx="752">
                  <c:v>4.1634500000000001</c:v>
                </c:pt>
                <c:pt idx="753">
                  <c:v>4.19834</c:v>
                </c:pt>
                <c:pt idx="754">
                  <c:v>4.25075</c:v>
                </c:pt>
                <c:pt idx="755">
                  <c:v>4.2252000000000001</c:v>
                </c:pt>
                <c:pt idx="756">
                  <c:v>4.2892700000000001</c:v>
                </c:pt>
                <c:pt idx="757">
                  <c:v>4.1234500000000001</c:v>
                </c:pt>
                <c:pt idx="758">
                  <c:v>4.18004</c:v>
                </c:pt>
                <c:pt idx="759">
                  <c:v>3.9288799999999999</c:v>
                </c:pt>
                <c:pt idx="760">
                  <c:v>3.8851200000000001</c:v>
                </c:pt>
                <c:pt idx="761">
                  <c:v>3.8649800000000001</c:v>
                </c:pt>
                <c:pt idx="762">
                  <c:v>3.5899000000000001</c:v>
                </c:pt>
                <c:pt idx="763">
                  <c:v>3.4782299999999999</c:v>
                </c:pt>
                <c:pt idx="764">
                  <c:v>3.55402</c:v>
                </c:pt>
                <c:pt idx="765">
                  <c:v>3.6732999999999998</c:v>
                </c:pt>
                <c:pt idx="766">
                  <c:v>3.6528100000000001</c:v>
                </c:pt>
                <c:pt idx="767">
                  <c:v>3.5886800000000001</c:v>
                </c:pt>
                <c:pt idx="768">
                  <c:v>3.5351900000000001</c:v>
                </c:pt>
                <c:pt idx="769">
                  <c:v>3.5484599999999999</c:v>
                </c:pt>
                <c:pt idx="770">
                  <c:v>3.3379099999999999</c:v>
                </c:pt>
                <c:pt idx="771">
                  <c:v>3.4377300000000002</c:v>
                </c:pt>
                <c:pt idx="772">
                  <c:v>3.4133300000000002</c:v>
                </c:pt>
                <c:pt idx="773">
                  <c:v>3.3468900000000001</c:v>
                </c:pt>
                <c:pt idx="774">
                  <c:v>3.2357400000000003</c:v>
                </c:pt>
                <c:pt idx="775">
                  <c:v>3.3224900000000002</c:v>
                </c:pt>
                <c:pt idx="776">
                  <c:v>3.3107699999999998</c:v>
                </c:pt>
                <c:pt idx="777">
                  <c:v>3.24038</c:v>
                </c:pt>
                <c:pt idx="778">
                  <c:v>3.24038</c:v>
                </c:pt>
                <c:pt idx="779">
                  <c:v>3.24038</c:v>
                </c:pt>
                <c:pt idx="780">
                  <c:v>3.1406099999999997</c:v>
                </c:pt>
                <c:pt idx="781">
                  <c:v>3.2120699999999998</c:v>
                </c:pt>
                <c:pt idx="782">
                  <c:v>3.2426299999999997</c:v>
                </c:pt>
                <c:pt idx="783">
                  <c:v>3.2426299999999997</c:v>
                </c:pt>
                <c:pt idx="784">
                  <c:v>3.1217000000000001</c:v>
                </c:pt>
                <c:pt idx="785">
                  <c:v>3.2240600000000001</c:v>
                </c:pt>
                <c:pt idx="786">
                  <c:v>3.1639299999999997</c:v>
                </c:pt>
                <c:pt idx="787">
                  <c:v>3.3696699999999997</c:v>
                </c:pt>
                <c:pt idx="788">
                  <c:v>3.3409500000000003</c:v>
                </c:pt>
                <c:pt idx="789">
                  <c:v>3.2806500000000001</c:v>
                </c:pt>
                <c:pt idx="790">
                  <c:v>3.2966000000000002</c:v>
                </c:pt>
                <c:pt idx="791">
                  <c:v>3.4337400000000002</c:v>
                </c:pt>
                <c:pt idx="792">
                  <c:v>3.4170299999999996</c:v>
                </c:pt>
                <c:pt idx="793">
                  <c:v>3.3893299999999997</c:v>
                </c:pt>
                <c:pt idx="794">
                  <c:v>3.4295200000000001</c:v>
                </c:pt>
                <c:pt idx="795">
                  <c:v>3.5181299999999998</c:v>
                </c:pt>
                <c:pt idx="796">
                  <c:v>3.4945200000000001</c:v>
                </c:pt>
                <c:pt idx="797">
                  <c:v>3.4475500000000001</c:v>
                </c:pt>
                <c:pt idx="798">
                  <c:v>3.3607900000000002</c:v>
                </c:pt>
                <c:pt idx="799">
                  <c:v>3.3927300000000002</c:v>
                </c:pt>
                <c:pt idx="800">
                  <c:v>3.3934899999999999</c:v>
                </c:pt>
                <c:pt idx="801">
                  <c:v>3.3641199999999998</c:v>
                </c:pt>
                <c:pt idx="802">
                  <c:v>3.3394900000000001</c:v>
                </c:pt>
                <c:pt idx="803">
                  <c:v>3.3459599999999998</c:v>
                </c:pt>
                <c:pt idx="804">
                  <c:v>3.4102499999999996</c:v>
                </c:pt>
                <c:pt idx="805">
                  <c:v>3.4039699999999997</c:v>
                </c:pt>
                <c:pt idx="806">
                  <c:v>3.4654700000000003</c:v>
                </c:pt>
                <c:pt idx="807">
                  <c:v>3.3481099999999997</c:v>
                </c:pt>
                <c:pt idx="808">
                  <c:v>3.24037</c:v>
                </c:pt>
                <c:pt idx="809">
                  <c:v>3.2355700000000001</c:v>
                </c:pt>
                <c:pt idx="810">
                  <c:v>3.2460800000000001</c:v>
                </c:pt>
                <c:pt idx="811">
                  <c:v>3.1859800000000003</c:v>
                </c:pt>
                <c:pt idx="812">
                  <c:v>3.1782600000000003</c:v>
                </c:pt>
                <c:pt idx="813">
                  <c:v>3.1872799999999999</c:v>
                </c:pt>
                <c:pt idx="814">
                  <c:v>3.1363499999999997</c:v>
                </c:pt>
                <c:pt idx="815">
                  <c:v>3.11802</c:v>
                </c:pt>
                <c:pt idx="816">
                  <c:v>3.1631900000000002</c:v>
                </c:pt>
                <c:pt idx="817">
                  <c:v>3.19503</c:v>
                </c:pt>
                <c:pt idx="818">
                  <c:v>3.19868</c:v>
                </c:pt>
                <c:pt idx="819">
                  <c:v>3.1348099999999999</c:v>
                </c:pt>
                <c:pt idx="820">
                  <c:v>3.18472</c:v>
                </c:pt>
                <c:pt idx="821">
                  <c:v>3.2001100000000005</c:v>
                </c:pt>
                <c:pt idx="822">
                  <c:v>3.1530399999999998</c:v>
                </c:pt>
                <c:pt idx="823">
                  <c:v>3.1757200000000001</c:v>
                </c:pt>
                <c:pt idx="824">
                  <c:v>3.1751900000000002</c:v>
                </c:pt>
                <c:pt idx="825">
                  <c:v>3.0948399999999996</c:v>
                </c:pt>
                <c:pt idx="826">
                  <c:v>3.1324099999999997</c:v>
                </c:pt>
                <c:pt idx="827">
                  <c:v>3.19651</c:v>
                </c:pt>
                <c:pt idx="828">
                  <c:v>3.19435</c:v>
                </c:pt>
                <c:pt idx="829">
                  <c:v>3.1569400000000001</c:v>
                </c:pt>
                <c:pt idx="830">
                  <c:v>3.1379899999999998</c:v>
                </c:pt>
                <c:pt idx="831">
                  <c:v>3.3843400000000003</c:v>
                </c:pt>
                <c:pt idx="832">
                  <c:v>3.6737500000000001</c:v>
                </c:pt>
                <c:pt idx="833">
                  <c:v>3.9110199999999997</c:v>
                </c:pt>
                <c:pt idx="834">
                  <c:v>3.85459</c:v>
                </c:pt>
                <c:pt idx="835">
                  <c:v>3.97709</c:v>
                </c:pt>
                <c:pt idx="836">
                  <c:v>3.8768200000000004</c:v>
                </c:pt>
                <c:pt idx="837">
                  <c:v>4.0938600000000003</c:v>
                </c:pt>
                <c:pt idx="838">
                  <c:v>4.12371</c:v>
                </c:pt>
                <c:pt idx="839">
                  <c:v>3.9973000000000001</c:v>
                </c:pt>
                <c:pt idx="840">
                  <c:v>4.1633199999999997</c:v>
                </c:pt>
                <c:pt idx="841">
                  <c:v>4.1806099999999997</c:v>
                </c:pt>
                <c:pt idx="842">
                  <c:v>4.1881000000000004</c:v>
                </c:pt>
                <c:pt idx="843">
                  <c:v>3.9971699999999997</c:v>
                </c:pt>
                <c:pt idx="844">
                  <c:v>3.9639899999999999</c:v>
                </c:pt>
                <c:pt idx="845">
                  <c:v>3.9104299999999999</c:v>
                </c:pt>
                <c:pt idx="846">
                  <c:v>3.94862</c:v>
                </c:pt>
                <c:pt idx="847">
                  <c:v>3.8993099999999998</c:v>
                </c:pt>
                <c:pt idx="848">
                  <c:v>3.94102</c:v>
                </c:pt>
                <c:pt idx="849">
                  <c:v>4.0153500000000006</c:v>
                </c:pt>
                <c:pt idx="850">
                  <c:v>4.0350700000000002</c:v>
                </c:pt>
                <c:pt idx="851">
                  <c:v>4.0207799999999994</c:v>
                </c:pt>
                <c:pt idx="852">
                  <c:v>3.9586799999999998</c:v>
                </c:pt>
                <c:pt idx="853">
                  <c:v>3.9721499999999996</c:v>
                </c:pt>
                <c:pt idx="854">
                  <c:v>3.7969600000000003</c:v>
                </c:pt>
                <c:pt idx="855">
                  <c:v>3.8488500000000001</c:v>
                </c:pt>
                <c:pt idx="856">
                  <c:v>3.8506999999999998</c:v>
                </c:pt>
                <c:pt idx="857">
                  <c:v>3.7829999999999999</c:v>
                </c:pt>
                <c:pt idx="858">
                  <c:v>3.6701299999999999</c:v>
                </c:pt>
                <c:pt idx="859">
                  <c:v>3.7117200000000001</c:v>
                </c:pt>
                <c:pt idx="860">
                  <c:v>3.7263500000000001</c:v>
                </c:pt>
                <c:pt idx="861">
                  <c:v>3.7376400000000003</c:v>
                </c:pt>
                <c:pt idx="862">
                  <c:v>3.7069799999999997</c:v>
                </c:pt>
                <c:pt idx="863">
                  <c:v>3.7841000000000005</c:v>
                </c:pt>
                <c:pt idx="864">
                  <c:v>3.8138700000000001</c:v>
                </c:pt>
                <c:pt idx="865">
                  <c:v>3.83534</c:v>
                </c:pt>
                <c:pt idx="866">
                  <c:v>3.7392700000000003</c:v>
                </c:pt>
                <c:pt idx="867">
                  <c:v>3.7905799999999998</c:v>
                </c:pt>
                <c:pt idx="868">
                  <c:v>3.7905799999999998</c:v>
                </c:pt>
                <c:pt idx="869">
                  <c:v>3.8280799999999999</c:v>
                </c:pt>
                <c:pt idx="870">
                  <c:v>3.9149799999999999</c:v>
                </c:pt>
                <c:pt idx="871">
                  <c:v>3.9022300000000003</c:v>
                </c:pt>
                <c:pt idx="872">
                  <c:v>3.8520299999999996</c:v>
                </c:pt>
                <c:pt idx="873">
                  <c:v>3.8520299999999996</c:v>
                </c:pt>
                <c:pt idx="874">
                  <c:v>3.8003100000000001</c:v>
                </c:pt>
                <c:pt idx="875">
                  <c:v>3.9490800000000004</c:v>
                </c:pt>
                <c:pt idx="876">
                  <c:v>3.9847399999999999</c:v>
                </c:pt>
                <c:pt idx="877">
                  <c:v>3.86876</c:v>
                </c:pt>
                <c:pt idx="878">
                  <c:v>3.8676999999999997</c:v>
                </c:pt>
                <c:pt idx="879">
                  <c:v>3.78091</c:v>
                </c:pt>
                <c:pt idx="880">
                  <c:v>3.7277900000000002</c:v>
                </c:pt>
                <c:pt idx="881">
                  <c:v>3.6655200000000003</c:v>
                </c:pt>
                <c:pt idx="882">
                  <c:v>3.6347100000000001</c:v>
                </c:pt>
                <c:pt idx="883">
                  <c:v>3.6317899999999996</c:v>
                </c:pt>
                <c:pt idx="884">
                  <c:v>3.6842999999999999</c:v>
                </c:pt>
                <c:pt idx="885">
                  <c:v>3.6561000000000003</c:v>
                </c:pt>
                <c:pt idx="886">
                  <c:v>3.5331900000000003</c:v>
                </c:pt>
                <c:pt idx="887">
                  <c:v>3.52223</c:v>
                </c:pt>
                <c:pt idx="888">
                  <c:v>3.5544700000000002</c:v>
                </c:pt>
                <c:pt idx="889">
                  <c:v>3.5852300000000001</c:v>
                </c:pt>
                <c:pt idx="890">
                  <c:v>3.6406200000000002</c:v>
                </c:pt>
                <c:pt idx="891">
                  <c:v>3.6546800000000004</c:v>
                </c:pt>
                <c:pt idx="892">
                  <c:v>3.6012200000000001</c:v>
                </c:pt>
                <c:pt idx="893">
                  <c:v>3.6003400000000001</c:v>
                </c:pt>
                <c:pt idx="894">
                  <c:v>3.5266299999999999</c:v>
                </c:pt>
                <c:pt idx="895">
                  <c:v>3.51918</c:v>
                </c:pt>
                <c:pt idx="896">
                  <c:v>3.5206999999999997</c:v>
                </c:pt>
                <c:pt idx="897">
                  <c:v>3.4789100000000004</c:v>
                </c:pt>
                <c:pt idx="898">
                  <c:v>3.4669699999999999</c:v>
                </c:pt>
                <c:pt idx="899">
                  <c:v>3.44123</c:v>
                </c:pt>
                <c:pt idx="900">
                  <c:v>3.3866500000000004</c:v>
                </c:pt>
                <c:pt idx="901">
                  <c:v>3.4338099999999998</c:v>
                </c:pt>
                <c:pt idx="902">
                  <c:v>3.3748399999999998</c:v>
                </c:pt>
                <c:pt idx="903">
                  <c:v>3.3926299999999996</c:v>
                </c:pt>
                <c:pt idx="904">
                  <c:v>3.4114299999999997</c:v>
                </c:pt>
                <c:pt idx="905">
                  <c:v>3.3965899999999998</c:v>
                </c:pt>
                <c:pt idx="906">
                  <c:v>3.3232400000000002</c:v>
                </c:pt>
                <c:pt idx="907">
                  <c:v>3.3746199999999997</c:v>
                </c:pt>
                <c:pt idx="908">
                  <c:v>3.3986700000000001</c:v>
                </c:pt>
                <c:pt idx="909">
                  <c:v>3.3036200000000004</c:v>
                </c:pt>
                <c:pt idx="910">
                  <c:v>3.3502700000000001</c:v>
                </c:pt>
                <c:pt idx="911">
                  <c:v>3.2512799999999999</c:v>
                </c:pt>
                <c:pt idx="912">
                  <c:v>3.2716000000000003</c:v>
                </c:pt>
                <c:pt idx="913">
                  <c:v>3.2239200000000001</c:v>
                </c:pt>
                <c:pt idx="914">
                  <c:v>3.2159800000000001</c:v>
                </c:pt>
                <c:pt idx="915">
                  <c:v>3.1742300000000001</c:v>
                </c:pt>
                <c:pt idx="916">
                  <c:v>3.0842000000000001</c:v>
                </c:pt>
                <c:pt idx="917">
                  <c:v>3.1341300000000003</c:v>
                </c:pt>
                <c:pt idx="918">
                  <c:v>3.1987700000000001</c:v>
                </c:pt>
                <c:pt idx="919">
                  <c:v>3.2251299999999996</c:v>
                </c:pt>
                <c:pt idx="920">
                  <c:v>3.3386800000000001</c:v>
                </c:pt>
                <c:pt idx="921">
                  <c:v>3.4234899999999997</c:v>
                </c:pt>
                <c:pt idx="922">
                  <c:v>3.3452999999999999</c:v>
                </c:pt>
                <c:pt idx="923">
                  <c:v>3.3606400000000001</c:v>
                </c:pt>
                <c:pt idx="924">
                  <c:v>3.3969200000000002</c:v>
                </c:pt>
                <c:pt idx="925">
                  <c:v>3.3779700000000004</c:v>
                </c:pt>
                <c:pt idx="926">
                  <c:v>3.2447900000000001</c:v>
                </c:pt>
                <c:pt idx="927">
                  <c:v>3.2425799999999998</c:v>
                </c:pt>
                <c:pt idx="928">
                  <c:v>3.1994400000000001</c:v>
                </c:pt>
                <c:pt idx="929">
                  <c:v>3.1114199999999999</c:v>
                </c:pt>
                <c:pt idx="930">
                  <c:v>3.1644299999999999</c:v>
                </c:pt>
                <c:pt idx="931">
                  <c:v>3.0093799999999997</c:v>
                </c:pt>
                <c:pt idx="932">
                  <c:v>3.0216099999999999</c:v>
                </c:pt>
                <c:pt idx="933">
                  <c:v>3.0082400000000002</c:v>
                </c:pt>
                <c:pt idx="934">
                  <c:v>2.9892399999999997</c:v>
                </c:pt>
                <c:pt idx="935">
                  <c:v>2.9538600000000002</c:v>
                </c:pt>
                <c:pt idx="936">
                  <c:v>2.9502699999999997</c:v>
                </c:pt>
                <c:pt idx="937">
                  <c:v>3.0518400000000003</c:v>
                </c:pt>
                <c:pt idx="938">
                  <c:v>3.0648</c:v>
                </c:pt>
                <c:pt idx="939">
                  <c:v>3.09443</c:v>
                </c:pt>
                <c:pt idx="940">
                  <c:v>3.0955500000000002</c:v>
                </c:pt>
                <c:pt idx="941">
                  <c:v>3.0140699999999998</c:v>
                </c:pt>
                <c:pt idx="942">
                  <c:v>2.9268700000000001</c:v>
                </c:pt>
                <c:pt idx="943">
                  <c:v>2.9250599999999998</c:v>
                </c:pt>
                <c:pt idx="944">
                  <c:v>2.9884599999999999</c:v>
                </c:pt>
                <c:pt idx="945">
                  <c:v>2.9887799999999998</c:v>
                </c:pt>
                <c:pt idx="946">
                  <c:v>3.0142099999999998</c:v>
                </c:pt>
                <c:pt idx="947">
                  <c:v>3.0479700000000003</c:v>
                </c:pt>
                <c:pt idx="948">
                  <c:v>3.0057900000000002</c:v>
                </c:pt>
                <c:pt idx="949">
                  <c:v>2.9877100000000003</c:v>
                </c:pt>
                <c:pt idx="950">
                  <c:v>3.0340100000000003</c:v>
                </c:pt>
                <c:pt idx="951">
                  <c:v>2.9556099999999996</c:v>
                </c:pt>
                <c:pt idx="952">
                  <c:v>2.9677600000000002</c:v>
                </c:pt>
                <c:pt idx="953">
                  <c:v>2.9677600000000002</c:v>
                </c:pt>
                <c:pt idx="954">
                  <c:v>3.0783</c:v>
                </c:pt>
                <c:pt idx="955">
                  <c:v>3.0420699999999998</c:v>
                </c:pt>
                <c:pt idx="956">
                  <c:v>3.07395</c:v>
                </c:pt>
                <c:pt idx="957">
                  <c:v>2.9775900000000002</c:v>
                </c:pt>
                <c:pt idx="958">
                  <c:v>2.9937299999999998</c:v>
                </c:pt>
                <c:pt idx="959">
                  <c:v>2.9649700000000001</c:v>
                </c:pt>
                <c:pt idx="960">
                  <c:v>2.9313099999999999</c:v>
                </c:pt>
                <c:pt idx="961">
                  <c:v>2.97471</c:v>
                </c:pt>
                <c:pt idx="962">
                  <c:v>2.9906200000000003</c:v>
                </c:pt>
                <c:pt idx="963">
                  <c:v>2.9761900000000003</c:v>
                </c:pt>
              </c:numCache>
            </c:numRef>
          </c:val>
          <c:smooth val="0"/>
          <c:extLst>
            <c:ext xmlns:c16="http://schemas.microsoft.com/office/drawing/2014/chart" uri="{C3380CC4-5D6E-409C-BE32-E72D297353CC}">
              <c16:uniqueId val="{00000002-EBC4-4222-8B88-73469225685A}"/>
            </c:ext>
          </c:extLst>
        </c:ser>
        <c:ser>
          <c:idx val="4"/>
          <c:order val="4"/>
          <c:tx>
            <c:strRef>
              <c:f>Sheet1!$F$1</c:f>
              <c:strCache>
                <c:ptCount val="1"/>
                <c:pt idx="0">
                  <c:v>Ադրբեջան (2024թ.)</c:v>
                </c:pt>
              </c:strCache>
            </c:strRef>
          </c:tx>
          <c:spPr>
            <a:ln w="12700" cap="rnd">
              <a:solidFill>
                <a:srgbClr val="002060"/>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Sheet1!$F$2:$F$1226</c:f>
              <c:numCache>
                <c:formatCode>0</c:formatCode>
                <c:ptCount val="964"/>
                <c:pt idx="0">
                  <c:v>1.23468</c:v>
                </c:pt>
                <c:pt idx="1">
                  <c:v>1.20689</c:v>
                </c:pt>
                <c:pt idx="2">
                  <c:v>1.2267600000000001</c:v>
                </c:pt>
                <c:pt idx="3">
                  <c:v>1.2432099999999999</c:v>
                </c:pt>
                <c:pt idx="4">
                  <c:v>1.2323600000000001</c:v>
                </c:pt>
                <c:pt idx="5">
                  <c:v>1.16144</c:v>
                </c:pt>
                <c:pt idx="6">
                  <c:v>1.17648</c:v>
                </c:pt>
                <c:pt idx="7">
                  <c:v>1.1886300000000001</c:v>
                </c:pt>
                <c:pt idx="8">
                  <c:v>1.1829700000000001</c:v>
                </c:pt>
                <c:pt idx="9">
                  <c:v>1.1881200000000001</c:v>
                </c:pt>
                <c:pt idx="10">
                  <c:v>1.1734499999999999</c:v>
                </c:pt>
                <c:pt idx="11">
                  <c:v>1.1579200000000001</c:v>
                </c:pt>
                <c:pt idx="12">
                  <c:v>1.1709499999999999</c:v>
                </c:pt>
                <c:pt idx="13">
                  <c:v>1.17259</c:v>
                </c:pt>
                <c:pt idx="14">
                  <c:v>1.1762900000000001</c:v>
                </c:pt>
                <c:pt idx="15">
                  <c:v>1.1757899999999999</c:v>
                </c:pt>
                <c:pt idx="16">
                  <c:v>1.2204200000000001</c:v>
                </c:pt>
                <c:pt idx="17">
                  <c:v>1.2450300000000001</c:v>
                </c:pt>
                <c:pt idx="18">
                  <c:v>1.3548800000000001</c:v>
                </c:pt>
                <c:pt idx="19">
                  <c:v>1.2954599999999998</c:v>
                </c:pt>
                <c:pt idx="20">
                  <c:v>1.3664799999999999</c:v>
                </c:pt>
                <c:pt idx="21">
                  <c:v>1.3691499999999999</c:v>
                </c:pt>
                <c:pt idx="22">
                  <c:v>1.2956700000000001</c:v>
                </c:pt>
                <c:pt idx="23">
                  <c:v>1.29921</c:v>
                </c:pt>
                <c:pt idx="24">
                  <c:v>1.18801</c:v>
                </c:pt>
                <c:pt idx="25">
                  <c:v>1.12873</c:v>
                </c:pt>
                <c:pt idx="26">
                  <c:v>1.10284</c:v>
                </c:pt>
                <c:pt idx="27">
                  <c:v>1.12788</c:v>
                </c:pt>
                <c:pt idx="28">
                  <c:v>1.1428499999999999</c:v>
                </c:pt>
                <c:pt idx="29">
                  <c:v>1.0477400000000001</c:v>
                </c:pt>
                <c:pt idx="30">
                  <c:v>0.99474000000000007</c:v>
                </c:pt>
                <c:pt idx="31">
                  <c:v>0.94007999999999992</c:v>
                </c:pt>
                <c:pt idx="32">
                  <c:v>1.0031600000000001</c:v>
                </c:pt>
                <c:pt idx="33">
                  <c:v>0.98268</c:v>
                </c:pt>
                <c:pt idx="34">
                  <c:v>1.0300499999999999</c:v>
                </c:pt>
                <c:pt idx="35">
                  <c:v>1.01834</c:v>
                </c:pt>
                <c:pt idx="36">
                  <c:v>1.0665500000000001</c:v>
                </c:pt>
                <c:pt idx="37">
                  <c:v>1.0963500000000002</c:v>
                </c:pt>
                <c:pt idx="38">
                  <c:v>1.2351799999999999</c:v>
                </c:pt>
                <c:pt idx="39">
                  <c:v>1.3313599999999999</c:v>
                </c:pt>
                <c:pt idx="40">
                  <c:v>1.3819999999999999</c:v>
                </c:pt>
                <c:pt idx="41">
                  <c:v>1.61775</c:v>
                </c:pt>
                <c:pt idx="42">
                  <c:v>1.9553800000000001</c:v>
                </c:pt>
                <c:pt idx="43">
                  <c:v>2.0169000000000001</c:v>
                </c:pt>
                <c:pt idx="44">
                  <c:v>1.86005</c:v>
                </c:pt>
                <c:pt idx="45">
                  <c:v>1.7989599999999999</c:v>
                </c:pt>
                <c:pt idx="46">
                  <c:v>1.76579</c:v>
                </c:pt>
                <c:pt idx="47">
                  <c:v>1.8933099999999998</c:v>
                </c:pt>
                <c:pt idx="48">
                  <c:v>3.1762999999999999</c:v>
                </c:pt>
                <c:pt idx="49">
                  <c:v>2.9641099999999998</c:v>
                </c:pt>
                <c:pt idx="50">
                  <c:v>3.0916699999999997</c:v>
                </c:pt>
                <c:pt idx="51">
                  <c:v>4.4428099999999997</c:v>
                </c:pt>
                <c:pt idx="52">
                  <c:v>4.2756799999999995</c:v>
                </c:pt>
                <c:pt idx="53">
                  <c:v>5.2324800000000007</c:v>
                </c:pt>
                <c:pt idx="54">
                  <c:v>5.02393</c:v>
                </c:pt>
                <c:pt idx="55">
                  <c:v>6.3774600000000001</c:v>
                </c:pt>
                <c:pt idx="56">
                  <c:v>6.9503300000000001</c:v>
                </c:pt>
                <c:pt idx="57">
                  <c:v>6.7553599999999996</c:v>
                </c:pt>
                <c:pt idx="58">
                  <c:v>7.6551800000000005</c:v>
                </c:pt>
                <c:pt idx="59">
                  <c:v>6.71875</c:v>
                </c:pt>
                <c:pt idx="60">
                  <c:v>5.79087</c:v>
                </c:pt>
                <c:pt idx="61">
                  <c:v>5.8168600000000001</c:v>
                </c:pt>
                <c:pt idx="62">
                  <c:v>4.8578900000000003</c:v>
                </c:pt>
                <c:pt idx="63">
                  <c:v>5.3749099999999999</c:v>
                </c:pt>
                <c:pt idx="64">
                  <c:v>5.0855600000000001</c:v>
                </c:pt>
                <c:pt idx="65">
                  <c:v>4.9614399999999996</c:v>
                </c:pt>
                <c:pt idx="66">
                  <c:v>4.7730199999999998</c:v>
                </c:pt>
                <c:pt idx="67">
                  <c:v>4.3204799999999999</c:v>
                </c:pt>
                <c:pt idx="68">
                  <c:v>3.9333399999999998</c:v>
                </c:pt>
                <c:pt idx="69">
                  <c:v>3.6818900000000001</c:v>
                </c:pt>
                <c:pt idx="70">
                  <c:v>3.6785399999999999</c:v>
                </c:pt>
                <c:pt idx="71">
                  <c:v>3.5757400000000001</c:v>
                </c:pt>
                <c:pt idx="72">
                  <c:v>3.5757400000000001</c:v>
                </c:pt>
                <c:pt idx="73">
                  <c:v>3.5757400000000001</c:v>
                </c:pt>
                <c:pt idx="74">
                  <c:v>3.3679100000000002</c:v>
                </c:pt>
                <c:pt idx="75">
                  <c:v>3.5610500000000003</c:v>
                </c:pt>
                <c:pt idx="76">
                  <c:v>3.6024599999999998</c:v>
                </c:pt>
                <c:pt idx="77">
                  <c:v>3.5285000000000002</c:v>
                </c:pt>
                <c:pt idx="78">
                  <c:v>3.5989599999999999</c:v>
                </c:pt>
                <c:pt idx="79">
                  <c:v>4.2244200000000003</c:v>
                </c:pt>
                <c:pt idx="80">
                  <c:v>4.0825100000000001</c:v>
                </c:pt>
                <c:pt idx="81">
                  <c:v>3.9408499999999997</c:v>
                </c:pt>
                <c:pt idx="82">
                  <c:v>3.9464199999999998</c:v>
                </c:pt>
                <c:pt idx="83">
                  <c:v>4.1466799999999999</c:v>
                </c:pt>
                <c:pt idx="84">
                  <c:v>4.20648</c:v>
                </c:pt>
                <c:pt idx="85">
                  <c:v>4.2329499999999998</c:v>
                </c:pt>
                <c:pt idx="86">
                  <c:v>4.0659799999999997</c:v>
                </c:pt>
                <c:pt idx="87">
                  <c:v>4.0389600000000003</c:v>
                </c:pt>
                <c:pt idx="88">
                  <c:v>4.3093000000000004</c:v>
                </c:pt>
                <c:pt idx="89">
                  <c:v>3.9536099999999998</c:v>
                </c:pt>
                <c:pt idx="90">
                  <c:v>3.9249099999999997</c:v>
                </c:pt>
                <c:pt idx="91">
                  <c:v>4.0300799999999999</c:v>
                </c:pt>
                <c:pt idx="92">
                  <c:v>4.0300799999999999</c:v>
                </c:pt>
                <c:pt idx="93">
                  <c:v>3.8527300000000002</c:v>
                </c:pt>
                <c:pt idx="94">
                  <c:v>3.6079700000000003</c:v>
                </c:pt>
                <c:pt idx="95">
                  <c:v>3.5604199999999997</c:v>
                </c:pt>
                <c:pt idx="96">
                  <c:v>3.6022000000000003</c:v>
                </c:pt>
                <c:pt idx="97">
                  <c:v>3.4348200000000002</c:v>
                </c:pt>
                <c:pt idx="98">
                  <c:v>3.2334699999999996</c:v>
                </c:pt>
                <c:pt idx="99">
                  <c:v>3.1645499999999998</c:v>
                </c:pt>
                <c:pt idx="100">
                  <c:v>3.0733800000000002</c:v>
                </c:pt>
                <c:pt idx="101">
                  <c:v>2.9800999999999997</c:v>
                </c:pt>
                <c:pt idx="102">
                  <c:v>3.0502100000000003</c:v>
                </c:pt>
                <c:pt idx="103">
                  <c:v>3.0502100000000003</c:v>
                </c:pt>
                <c:pt idx="104">
                  <c:v>2.9054599999999997</c:v>
                </c:pt>
                <c:pt idx="105">
                  <c:v>2.8150900000000001</c:v>
                </c:pt>
                <c:pt idx="106">
                  <c:v>2.8096399999999999</c:v>
                </c:pt>
                <c:pt idx="107">
                  <c:v>2.9141300000000001</c:v>
                </c:pt>
                <c:pt idx="108">
                  <c:v>2.8711599999999997</c:v>
                </c:pt>
                <c:pt idx="109">
                  <c:v>2.77101</c:v>
                </c:pt>
                <c:pt idx="110">
                  <c:v>2.5754000000000001</c:v>
                </c:pt>
                <c:pt idx="111">
                  <c:v>2.5012699999999999</c:v>
                </c:pt>
                <c:pt idx="112">
                  <c:v>2.3018799999999997</c:v>
                </c:pt>
                <c:pt idx="113">
                  <c:v>2.2763300000000002</c:v>
                </c:pt>
                <c:pt idx="114">
                  <c:v>2.3016000000000001</c:v>
                </c:pt>
                <c:pt idx="115">
                  <c:v>2.30769</c:v>
                </c:pt>
                <c:pt idx="116">
                  <c:v>2.4420899999999999</c:v>
                </c:pt>
                <c:pt idx="117">
                  <c:v>2.5310199999999998</c:v>
                </c:pt>
                <c:pt idx="118">
                  <c:v>2.82945</c:v>
                </c:pt>
                <c:pt idx="119">
                  <c:v>2.5683699999999998</c:v>
                </c:pt>
                <c:pt idx="120">
                  <c:v>2.6128199999999997</c:v>
                </c:pt>
                <c:pt idx="121">
                  <c:v>2.6408100000000001</c:v>
                </c:pt>
                <c:pt idx="122">
                  <c:v>2.6838700000000002</c:v>
                </c:pt>
                <c:pt idx="123">
                  <c:v>2.6538200000000001</c:v>
                </c:pt>
                <c:pt idx="124">
                  <c:v>2.4981</c:v>
                </c:pt>
                <c:pt idx="125">
                  <c:v>2.45004</c:v>
                </c:pt>
                <c:pt idx="126">
                  <c:v>2.5012699999999999</c:v>
                </c:pt>
                <c:pt idx="127">
                  <c:v>2.6213899999999999</c:v>
                </c:pt>
                <c:pt idx="128">
                  <c:v>2.68512</c:v>
                </c:pt>
                <c:pt idx="129">
                  <c:v>2.6305200000000002</c:v>
                </c:pt>
                <c:pt idx="130">
                  <c:v>2.5922100000000001</c:v>
                </c:pt>
                <c:pt idx="131">
                  <c:v>2.47336</c:v>
                </c:pt>
                <c:pt idx="132">
                  <c:v>2.4712100000000001</c:v>
                </c:pt>
                <c:pt idx="133">
                  <c:v>2.4099500000000003</c:v>
                </c:pt>
                <c:pt idx="134">
                  <c:v>2.4259399999999998</c:v>
                </c:pt>
                <c:pt idx="135">
                  <c:v>2.4565299999999999</c:v>
                </c:pt>
                <c:pt idx="136">
                  <c:v>2.3628100000000001</c:v>
                </c:pt>
                <c:pt idx="137">
                  <c:v>2.35128</c:v>
                </c:pt>
                <c:pt idx="138">
                  <c:v>2.3355199999999998</c:v>
                </c:pt>
                <c:pt idx="139">
                  <c:v>2.2693400000000001</c:v>
                </c:pt>
                <c:pt idx="140">
                  <c:v>2.286</c:v>
                </c:pt>
                <c:pt idx="141">
                  <c:v>2.2883100000000001</c:v>
                </c:pt>
                <c:pt idx="142">
                  <c:v>2.2637299999999998</c:v>
                </c:pt>
                <c:pt idx="143">
                  <c:v>2.2477800000000001</c:v>
                </c:pt>
                <c:pt idx="144">
                  <c:v>2.2258900000000001</c:v>
                </c:pt>
                <c:pt idx="145">
                  <c:v>2.21638</c:v>
                </c:pt>
                <c:pt idx="146">
                  <c:v>2.1633499999999999</c:v>
                </c:pt>
                <c:pt idx="147">
                  <c:v>2.19293</c:v>
                </c:pt>
                <c:pt idx="148">
                  <c:v>2.1592500000000001</c:v>
                </c:pt>
                <c:pt idx="149">
                  <c:v>2.18391</c:v>
                </c:pt>
                <c:pt idx="150">
                  <c:v>2.2071399999999999</c:v>
                </c:pt>
                <c:pt idx="151">
                  <c:v>2.21461</c:v>
                </c:pt>
                <c:pt idx="152">
                  <c:v>2.1606399999999999</c:v>
                </c:pt>
                <c:pt idx="153">
                  <c:v>2.11991</c:v>
                </c:pt>
                <c:pt idx="154">
                  <c:v>2.05342</c:v>
                </c:pt>
                <c:pt idx="155">
                  <c:v>1.94055</c:v>
                </c:pt>
                <c:pt idx="156">
                  <c:v>1.9018999999999999</c:v>
                </c:pt>
                <c:pt idx="157">
                  <c:v>1.8440799999999999</c:v>
                </c:pt>
                <c:pt idx="158">
                  <c:v>1.7527699999999999</c:v>
                </c:pt>
                <c:pt idx="159">
                  <c:v>1.6776499999999999</c:v>
                </c:pt>
                <c:pt idx="160">
                  <c:v>1.69563</c:v>
                </c:pt>
                <c:pt idx="161">
                  <c:v>1.62934</c:v>
                </c:pt>
                <c:pt idx="162">
                  <c:v>1.6131800000000001</c:v>
                </c:pt>
                <c:pt idx="163">
                  <c:v>1.67083</c:v>
                </c:pt>
                <c:pt idx="164">
                  <c:v>1.6675599999999999</c:v>
                </c:pt>
                <c:pt idx="165">
                  <c:v>1.72095</c:v>
                </c:pt>
                <c:pt idx="166">
                  <c:v>1.7687600000000001</c:v>
                </c:pt>
                <c:pt idx="167">
                  <c:v>1.7350700000000001</c:v>
                </c:pt>
                <c:pt idx="168">
                  <c:v>1.73967</c:v>
                </c:pt>
                <c:pt idx="169">
                  <c:v>1.7281500000000001</c:v>
                </c:pt>
                <c:pt idx="170">
                  <c:v>1.7498800000000001</c:v>
                </c:pt>
                <c:pt idx="171">
                  <c:v>1.77084</c:v>
                </c:pt>
                <c:pt idx="172">
                  <c:v>1.81132</c:v>
                </c:pt>
                <c:pt idx="173">
                  <c:v>1.81132</c:v>
                </c:pt>
                <c:pt idx="174">
                  <c:v>1.8093600000000001</c:v>
                </c:pt>
                <c:pt idx="175">
                  <c:v>1.7907900000000001</c:v>
                </c:pt>
                <c:pt idx="176">
                  <c:v>1.7926299999999999</c:v>
                </c:pt>
                <c:pt idx="177">
                  <c:v>1.78725</c:v>
                </c:pt>
                <c:pt idx="178">
                  <c:v>1.7779499999999999</c:v>
                </c:pt>
                <c:pt idx="179">
                  <c:v>1.8576400000000002</c:v>
                </c:pt>
                <c:pt idx="180">
                  <c:v>1.8853800000000001</c:v>
                </c:pt>
                <c:pt idx="181">
                  <c:v>1.8868499999999999</c:v>
                </c:pt>
                <c:pt idx="182">
                  <c:v>1.9613800000000001</c:v>
                </c:pt>
                <c:pt idx="183">
                  <c:v>1.9516399999999998</c:v>
                </c:pt>
                <c:pt idx="184">
                  <c:v>1.9359299999999999</c:v>
                </c:pt>
                <c:pt idx="185">
                  <c:v>1.9016900000000001</c:v>
                </c:pt>
                <c:pt idx="186">
                  <c:v>1.9941300000000002</c:v>
                </c:pt>
                <c:pt idx="187">
                  <c:v>1.99329</c:v>
                </c:pt>
                <c:pt idx="188">
                  <c:v>2.1331899999999999</c:v>
                </c:pt>
                <c:pt idx="189">
                  <c:v>2.19245</c:v>
                </c:pt>
                <c:pt idx="190">
                  <c:v>2.3373599999999999</c:v>
                </c:pt>
                <c:pt idx="191">
                  <c:v>2.4892300000000001</c:v>
                </c:pt>
                <c:pt idx="192">
                  <c:v>2.5099900000000002</c:v>
                </c:pt>
                <c:pt idx="193">
                  <c:v>2.8295400000000002</c:v>
                </c:pt>
                <c:pt idx="194">
                  <c:v>3.0179100000000001</c:v>
                </c:pt>
                <c:pt idx="195">
                  <c:v>2.8484099999999999</c:v>
                </c:pt>
                <c:pt idx="196">
                  <c:v>2.7829299999999999</c:v>
                </c:pt>
                <c:pt idx="197">
                  <c:v>2.6823800000000002</c:v>
                </c:pt>
                <c:pt idx="198">
                  <c:v>2.6606700000000001</c:v>
                </c:pt>
                <c:pt idx="199">
                  <c:v>2.5639400000000001</c:v>
                </c:pt>
                <c:pt idx="200">
                  <c:v>2.5027699999999999</c:v>
                </c:pt>
                <c:pt idx="201">
                  <c:v>2.41391</c:v>
                </c:pt>
                <c:pt idx="202">
                  <c:v>2.20574</c:v>
                </c:pt>
                <c:pt idx="203">
                  <c:v>2.22051</c:v>
                </c:pt>
                <c:pt idx="204">
                  <c:v>2.2380300000000002</c:v>
                </c:pt>
                <c:pt idx="205">
                  <c:v>2.2706200000000001</c:v>
                </c:pt>
                <c:pt idx="206">
                  <c:v>2.4603999999999999</c:v>
                </c:pt>
                <c:pt idx="207">
                  <c:v>2.41683</c:v>
                </c:pt>
                <c:pt idx="208">
                  <c:v>2.4205899999999998</c:v>
                </c:pt>
                <c:pt idx="209">
                  <c:v>2.4350200000000002</c:v>
                </c:pt>
                <c:pt idx="210">
                  <c:v>2.4119600000000001</c:v>
                </c:pt>
                <c:pt idx="211">
                  <c:v>2.5036399999999999</c:v>
                </c:pt>
                <c:pt idx="212">
                  <c:v>2.5107900000000001</c:v>
                </c:pt>
                <c:pt idx="213">
                  <c:v>2.6170400000000003</c:v>
                </c:pt>
                <c:pt idx="214">
                  <c:v>2.6512200000000004</c:v>
                </c:pt>
                <c:pt idx="215">
                  <c:v>2.65123</c:v>
                </c:pt>
                <c:pt idx="216">
                  <c:v>2.5371000000000001</c:v>
                </c:pt>
                <c:pt idx="217">
                  <c:v>2.5456799999999999</c:v>
                </c:pt>
                <c:pt idx="218">
                  <c:v>2.5445500000000001</c:v>
                </c:pt>
                <c:pt idx="219">
                  <c:v>2.36782</c:v>
                </c:pt>
                <c:pt idx="220">
                  <c:v>2.3221799999999999</c:v>
                </c:pt>
                <c:pt idx="221">
                  <c:v>2.2164099999999998</c:v>
                </c:pt>
                <c:pt idx="222">
                  <c:v>2.0535100000000002</c:v>
                </c:pt>
                <c:pt idx="223">
                  <c:v>1.9663900000000001</c:v>
                </c:pt>
                <c:pt idx="224">
                  <c:v>1.72861</c:v>
                </c:pt>
                <c:pt idx="225">
                  <c:v>1.63696</c:v>
                </c:pt>
                <c:pt idx="226">
                  <c:v>1.5858300000000001</c:v>
                </c:pt>
                <c:pt idx="227">
                  <c:v>1.5969599999999999</c:v>
                </c:pt>
                <c:pt idx="228">
                  <c:v>1.6081899999999998</c:v>
                </c:pt>
                <c:pt idx="229">
                  <c:v>1.6304400000000001</c:v>
                </c:pt>
                <c:pt idx="230">
                  <c:v>1.62422</c:v>
                </c:pt>
                <c:pt idx="231">
                  <c:v>1.6318700000000002</c:v>
                </c:pt>
                <c:pt idx="232">
                  <c:v>1.68516</c:v>
                </c:pt>
                <c:pt idx="233">
                  <c:v>1.60053</c:v>
                </c:pt>
                <c:pt idx="234">
                  <c:v>1.5870199999999999</c:v>
                </c:pt>
                <c:pt idx="235">
                  <c:v>1.5528599999999999</c:v>
                </c:pt>
                <c:pt idx="236">
                  <c:v>1.5117699999999998</c:v>
                </c:pt>
                <c:pt idx="237">
                  <c:v>1.54928</c:v>
                </c:pt>
                <c:pt idx="238">
                  <c:v>1.4902099999999998</c:v>
                </c:pt>
                <c:pt idx="239">
                  <c:v>1.3548</c:v>
                </c:pt>
                <c:pt idx="240">
                  <c:v>1.35663</c:v>
                </c:pt>
                <c:pt idx="241">
                  <c:v>1.26742</c:v>
                </c:pt>
                <c:pt idx="242">
                  <c:v>1.22353</c:v>
                </c:pt>
                <c:pt idx="243">
                  <c:v>1.28746</c:v>
                </c:pt>
                <c:pt idx="244">
                  <c:v>1.25346</c:v>
                </c:pt>
                <c:pt idx="245">
                  <c:v>1.2363299999999999</c:v>
                </c:pt>
                <c:pt idx="246">
                  <c:v>1.2585999999999999</c:v>
                </c:pt>
                <c:pt idx="247">
                  <c:v>1.30819</c:v>
                </c:pt>
                <c:pt idx="248">
                  <c:v>1.3162700000000001</c:v>
                </c:pt>
                <c:pt idx="249">
                  <c:v>1.32585</c:v>
                </c:pt>
                <c:pt idx="250">
                  <c:v>1.26894</c:v>
                </c:pt>
                <c:pt idx="251">
                  <c:v>1.24638</c:v>
                </c:pt>
                <c:pt idx="252">
                  <c:v>1.22804</c:v>
                </c:pt>
                <c:pt idx="253">
                  <c:v>1.2251799999999999</c:v>
                </c:pt>
                <c:pt idx="254">
                  <c:v>1.2945800000000001</c:v>
                </c:pt>
                <c:pt idx="255">
                  <c:v>1.24664</c:v>
                </c:pt>
                <c:pt idx="256">
                  <c:v>1.2680899999999999</c:v>
                </c:pt>
                <c:pt idx="257">
                  <c:v>1.2680899999999999</c:v>
                </c:pt>
                <c:pt idx="258">
                  <c:v>1.2680899999999999</c:v>
                </c:pt>
                <c:pt idx="259">
                  <c:v>1.2601599999999999</c:v>
                </c:pt>
                <c:pt idx="260">
                  <c:v>1.1756199999999999</c:v>
                </c:pt>
                <c:pt idx="261">
                  <c:v>1.25356</c:v>
                </c:pt>
                <c:pt idx="262">
                  <c:v>1.25356</c:v>
                </c:pt>
                <c:pt idx="263">
                  <c:v>1.3905099999999999</c:v>
                </c:pt>
                <c:pt idx="264">
                  <c:v>1.4502600000000001</c:v>
                </c:pt>
                <c:pt idx="265">
                  <c:v>1.4451099999999999</c:v>
                </c:pt>
                <c:pt idx="266">
                  <c:v>1.5023299999999999</c:v>
                </c:pt>
                <c:pt idx="267">
                  <c:v>1.4450899999999998</c:v>
                </c:pt>
                <c:pt idx="268">
                  <c:v>1.4552799999999999</c:v>
                </c:pt>
                <c:pt idx="269">
                  <c:v>1.4753499999999999</c:v>
                </c:pt>
                <c:pt idx="270">
                  <c:v>1.4822499999999998</c:v>
                </c:pt>
                <c:pt idx="271">
                  <c:v>1.3687</c:v>
                </c:pt>
                <c:pt idx="272">
                  <c:v>1.4323699999999999</c:v>
                </c:pt>
                <c:pt idx="273">
                  <c:v>1.4508799999999999</c:v>
                </c:pt>
                <c:pt idx="274">
                  <c:v>1.4475200000000001</c:v>
                </c:pt>
                <c:pt idx="275">
                  <c:v>1.45831</c:v>
                </c:pt>
                <c:pt idx="276">
                  <c:v>1.4397599999999999</c:v>
                </c:pt>
                <c:pt idx="277">
                  <c:v>1.5179199999999999</c:v>
                </c:pt>
                <c:pt idx="278">
                  <c:v>1.5730600000000001</c:v>
                </c:pt>
                <c:pt idx="279">
                  <c:v>1.54819</c:v>
                </c:pt>
                <c:pt idx="280">
                  <c:v>1.4145699999999999</c:v>
                </c:pt>
                <c:pt idx="281">
                  <c:v>1.4264300000000001</c:v>
                </c:pt>
                <c:pt idx="282">
                  <c:v>1.38595</c:v>
                </c:pt>
                <c:pt idx="283">
                  <c:v>1.29054</c:v>
                </c:pt>
                <c:pt idx="284">
                  <c:v>1.2545500000000001</c:v>
                </c:pt>
                <c:pt idx="285">
                  <c:v>1.24997</c:v>
                </c:pt>
                <c:pt idx="286">
                  <c:v>1.2210399999999999</c:v>
                </c:pt>
                <c:pt idx="287">
                  <c:v>1.2603900000000001</c:v>
                </c:pt>
                <c:pt idx="288">
                  <c:v>1.2398099999999999</c:v>
                </c:pt>
                <c:pt idx="289">
                  <c:v>1.24268</c:v>
                </c:pt>
                <c:pt idx="290">
                  <c:v>1.2646299999999999</c:v>
                </c:pt>
                <c:pt idx="291">
                  <c:v>1.26312</c:v>
                </c:pt>
                <c:pt idx="292">
                  <c:v>1.3266200000000001</c:v>
                </c:pt>
                <c:pt idx="293">
                  <c:v>1.3666200000000002</c:v>
                </c:pt>
                <c:pt idx="294">
                  <c:v>1.4687100000000002</c:v>
                </c:pt>
                <c:pt idx="295">
                  <c:v>1.5361400000000001</c:v>
                </c:pt>
                <c:pt idx="296">
                  <c:v>1.4497</c:v>
                </c:pt>
                <c:pt idx="297">
                  <c:v>1.4175800000000001</c:v>
                </c:pt>
                <c:pt idx="298">
                  <c:v>1.4184000000000001</c:v>
                </c:pt>
                <c:pt idx="299">
                  <c:v>1.43276</c:v>
                </c:pt>
                <c:pt idx="300">
                  <c:v>1.41415</c:v>
                </c:pt>
                <c:pt idx="301">
                  <c:v>1.36805</c:v>
                </c:pt>
                <c:pt idx="302">
                  <c:v>1.44468</c:v>
                </c:pt>
                <c:pt idx="303">
                  <c:v>1.41245</c:v>
                </c:pt>
                <c:pt idx="304">
                  <c:v>1.2975299999999999</c:v>
                </c:pt>
                <c:pt idx="305">
                  <c:v>1.25631</c:v>
                </c:pt>
                <c:pt idx="306">
                  <c:v>1.2561199999999999</c:v>
                </c:pt>
                <c:pt idx="307">
                  <c:v>1.2801800000000001</c:v>
                </c:pt>
                <c:pt idx="308">
                  <c:v>1.44987</c:v>
                </c:pt>
                <c:pt idx="309">
                  <c:v>1.2886500000000001</c:v>
                </c:pt>
                <c:pt idx="310">
                  <c:v>1.2760800000000001</c:v>
                </c:pt>
                <c:pt idx="311">
                  <c:v>1.3209899999999999</c:v>
                </c:pt>
                <c:pt idx="312">
                  <c:v>1.30216</c:v>
                </c:pt>
                <c:pt idx="313">
                  <c:v>1.2782500000000001</c:v>
                </c:pt>
                <c:pt idx="314">
                  <c:v>1.2485999999999999</c:v>
                </c:pt>
                <c:pt idx="315">
                  <c:v>1.3570099999999998</c:v>
                </c:pt>
                <c:pt idx="316">
                  <c:v>1.3563000000000001</c:v>
                </c:pt>
                <c:pt idx="317">
                  <c:v>1.3870400000000001</c:v>
                </c:pt>
                <c:pt idx="318">
                  <c:v>1.3091999999999999</c:v>
                </c:pt>
                <c:pt idx="319">
                  <c:v>1.3951199999999999</c:v>
                </c:pt>
                <c:pt idx="320">
                  <c:v>1.40892</c:v>
                </c:pt>
                <c:pt idx="321">
                  <c:v>1.3490199999999999</c:v>
                </c:pt>
                <c:pt idx="322">
                  <c:v>1.43285</c:v>
                </c:pt>
                <c:pt idx="323">
                  <c:v>1.41083</c:v>
                </c:pt>
                <c:pt idx="324">
                  <c:v>1.48285</c:v>
                </c:pt>
                <c:pt idx="325">
                  <c:v>1.4240799999999998</c:v>
                </c:pt>
                <c:pt idx="326">
                  <c:v>1.40869</c:v>
                </c:pt>
                <c:pt idx="327">
                  <c:v>1.40869</c:v>
                </c:pt>
                <c:pt idx="328">
                  <c:v>1.40869</c:v>
                </c:pt>
                <c:pt idx="329">
                  <c:v>1.3769100000000001</c:v>
                </c:pt>
                <c:pt idx="330">
                  <c:v>1.3972200000000001</c:v>
                </c:pt>
                <c:pt idx="331">
                  <c:v>1.4011500000000001</c:v>
                </c:pt>
                <c:pt idx="332">
                  <c:v>1.3471600000000001</c:v>
                </c:pt>
                <c:pt idx="333">
                  <c:v>1.3318100000000002</c:v>
                </c:pt>
                <c:pt idx="334">
                  <c:v>1.36036</c:v>
                </c:pt>
                <c:pt idx="335">
                  <c:v>1.3342799999999999</c:v>
                </c:pt>
                <c:pt idx="336">
                  <c:v>1.32304</c:v>
                </c:pt>
                <c:pt idx="337">
                  <c:v>1.19103</c:v>
                </c:pt>
                <c:pt idx="338">
                  <c:v>1.1641599999999999</c:v>
                </c:pt>
                <c:pt idx="339">
                  <c:v>1.20221</c:v>
                </c:pt>
                <c:pt idx="340">
                  <c:v>1.2568899999999998</c:v>
                </c:pt>
                <c:pt idx="341">
                  <c:v>1.19695</c:v>
                </c:pt>
                <c:pt idx="342">
                  <c:v>1.16347</c:v>
                </c:pt>
                <c:pt idx="343">
                  <c:v>1.13357</c:v>
                </c:pt>
                <c:pt idx="344">
                  <c:v>1.1480699999999999</c:v>
                </c:pt>
                <c:pt idx="345">
                  <c:v>1.1921599999999999</c:v>
                </c:pt>
                <c:pt idx="346">
                  <c:v>1.1927300000000001</c:v>
                </c:pt>
                <c:pt idx="347">
                  <c:v>1.21323</c:v>
                </c:pt>
                <c:pt idx="348">
                  <c:v>1.21323</c:v>
                </c:pt>
                <c:pt idx="349">
                  <c:v>1.2219199999999999</c:v>
                </c:pt>
                <c:pt idx="350">
                  <c:v>1.2362600000000001</c:v>
                </c:pt>
                <c:pt idx="351">
                  <c:v>1.1896100000000001</c:v>
                </c:pt>
                <c:pt idx="352">
                  <c:v>1.2100499999999998</c:v>
                </c:pt>
                <c:pt idx="353">
                  <c:v>1.1409499999999999</c:v>
                </c:pt>
                <c:pt idx="354">
                  <c:v>1.2438500000000001</c:v>
                </c:pt>
                <c:pt idx="355">
                  <c:v>1.2523</c:v>
                </c:pt>
                <c:pt idx="356">
                  <c:v>1.3415100000000002</c:v>
                </c:pt>
                <c:pt idx="357">
                  <c:v>1.3162200000000002</c:v>
                </c:pt>
                <c:pt idx="358">
                  <c:v>1.3153999999999999</c:v>
                </c:pt>
                <c:pt idx="359">
                  <c:v>1.2663800000000001</c:v>
                </c:pt>
                <c:pt idx="360">
                  <c:v>1.3471899999999999</c:v>
                </c:pt>
                <c:pt idx="361">
                  <c:v>1.3109700000000002</c:v>
                </c:pt>
                <c:pt idx="362">
                  <c:v>1.3157400000000001</c:v>
                </c:pt>
                <c:pt idx="363">
                  <c:v>1.3135699999999999</c:v>
                </c:pt>
                <c:pt idx="364">
                  <c:v>1.2802600000000002</c:v>
                </c:pt>
                <c:pt idx="365">
                  <c:v>1.28382</c:v>
                </c:pt>
                <c:pt idx="366">
                  <c:v>1.23847</c:v>
                </c:pt>
                <c:pt idx="367">
                  <c:v>1.2362200000000001</c:v>
                </c:pt>
                <c:pt idx="368">
                  <c:v>1.2362200000000001</c:v>
                </c:pt>
                <c:pt idx="369">
                  <c:v>1.2643899999999999</c:v>
                </c:pt>
                <c:pt idx="370">
                  <c:v>1.1870799999999999</c:v>
                </c:pt>
                <c:pt idx="371">
                  <c:v>1.1527000000000001</c:v>
                </c:pt>
                <c:pt idx="372">
                  <c:v>1.1716299999999999</c:v>
                </c:pt>
                <c:pt idx="373">
                  <c:v>1.1617500000000001</c:v>
                </c:pt>
                <c:pt idx="374">
                  <c:v>1.1441699999999999</c:v>
                </c:pt>
                <c:pt idx="375">
                  <c:v>1.0948599999999999</c:v>
                </c:pt>
                <c:pt idx="376">
                  <c:v>1.1072599999999999</c:v>
                </c:pt>
                <c:pt idx="377">
                  <c:v>1.0130699999999999</c:v>
                </c:pt>
                <c:pt idx="378">
                  <c:v>0.99372000000000005</c:v>
                </c:pt>
                <c:pt idx="379">
                  <c:v>1.0379099999999999</c:v>
                </c:pt>
                <c:pt idx="380">
                  <c:v>0.91900999999999999</c:v>
                </c:pt>
                <c:pt idx="381">
                  <c:v>1.0471999999999999</c:v>
                </c:pt>
                <c:pt idx="382">
                  <c:v>0.92641999999999991</c:v>
                </c:pt>
                <c:pt idx="383">
                  <c:v>1.02559</c:v>
                </c:pt>
                <c:pt idx="384">
                  <c:v>1.0119899999999999</c:v>
                </c:pt>
                <c:pt idx="385">
                  <c:v>1.01214</c:v>
                </c:pt>
                <c:pt idx="386">
                  <c:v>1.01464</c:v>
                </c:pt>
                <c:pt idx="387">
                  <c:v>0.96420000000000006</c:v>
                </c:pt>
                <c:pt idx="388">
                  <c:v>1.0081499999999999</c:v>
                </c:pt>
                <c:pt idx="389">
                  <c:v>0.97177999999999998</c:v>
                </c:pt>
                <c:pt idx="390">
                  <c:v>1.06172</c:v>
                </c:pt>
                <c:pt idx="391">
                  <c:v>1.0227200000000001</c:v>
                </c:pt>
                <c:pt idx="392">
                  <c:v>1.0148200000000001</c:v>
                </c:pt>
                <c:pt idx="393">
                  <c:v>1.01603</c:v>
                </c:pt>
                <c:pt idx="394">
                  <c:v>1.0754900000000001</c:v>
                </c:pt>
                <c:pt idx="395">
                  <c:v>1.0735599999999998</c:v>
                </c:pt>
                <c:pt idx="396">
                  <c:v>1.12199</c:v>
                </c:pt>
                <c:pt idx="397">
                  <c:v>1.0883499999999999</c:v>
                </c:pt>
                <c:pt idx="398">
                  <c:v>1.0758099999999999</c:v>
                </c:pt>
                <c:pt idx="399">
                  <c:v>1.00773</c:v>
                </c:pt>
                <c:pt idx="400">
                  <c:v>1.0837600000000001</c:v>
                </c:pt>
                <c:pt idx="401">
                  <c:v>1.08209</c:v>
                </c:pt>
                <c:pt idx="402">
                  <c:v>1.05969</c:v>
                </c:pt>
                <c:pt idx="403">
                  <c:v>1.0694699999999999</c:v>
                </c:pt>
                <c:pt idx="404">
                  <c:v>1.1286700000000001</c:v>
                </c:pt>
                <c:pt idx="405">
                  <c:v>1.0998000000000001</c:v>
                </c:pt>
                <c:pt idx="406">
                  <c:v>1.1036700000000002</c:v>
                </c:pt>
                <c:pt idx="407">
                  <c:v>1.10073</c:v>
                </c:pt>
                <c:pt idx="408">
                  <c:v>1.0837699999999999</c:v>
                </c:pt>
                <c:pt idx="409">
                  <c:v>1.1114199999999999</c:v>
                </c:pt>
                <c:pt idx="410">
                  <c:v>1.11117</c:v>
                </c:pt>
                <c:pt idx="411">
                  <c:v>1.0881799999999999</c:v>
                </c:pt>
                <c:pt idx="412">
                  <c:v>1.0888599999999999</c:v>
                </c:pt>
                <c:pt idx="413">
                  <c:v>1.10029</c:v>
                </c:pt>
                <c:pt idx="414">
                  <c:v>1.02024</c:v>
                </c:pt>
                <c:pt idx="415">
                  <c:v>0.96162000000000003</c:v>
                </c:pt>
                <c:pt idx="416">
                  <c:v>0.91</c:v>
                </c:pt>
                <c:pt idx="417">
                  <c:v>0.96433999999999997</c:v>
                </c:pt>
                <c:pt idx="418">
                  <c:v>0.90795000000000003</c:v>
                </c:pt>
                <c:pt idx="419">
                  <c:v>0.85034999999999994</c:v>
                </c:pt>
                <c:pt idx="420">
                  <c:v>0.92676000000000003</c:v>
                </c:pt>
                <c:pt idx="421">
                  <c:v>0.89844999999999997</c:v>
                </c:pt>
                <c:pt idx="422">
                  <c:v>0.88751000000000002</c:v>
                </c:pt>
                <c:pt idx="423">
                  <c:v>0.88751999999999998</c:v>
                </c:pt>
                <c:pt idx="424">
                  <c:v>0.85263999999999995</c:v>
                </c:pt>
                <c:pt idx="425">
                  <c:v>0.8349899999999999</c:v>
                </c:pt>
                <c:pt idx="426">
                  <c:v>0.87890000000000001</c:v>
                </c:pt>
                <c:pt idx="427">
                  <c:v>0.83923000000000003</c:v>
                </c:pt>
                <c:pt idx="428">
                  <c:v>0.89290999999999998</c:v>
                </c:pt>
                <c:pt idx="429">
                  <c:v>0.85597999999999996</c:v>
                </c:pt>
                <c:pt idx="430">
                  <c:v>0.84841999999999995</c:v>
                </c:pt>
                <c:pt idx="431">
                  <c:v>0.86647000000000007</c:v>
                </c:pt>
                <c:pt idx="432">
                  <c:v>0.90695999999999999</c:v>
                </c:pt>
                <c:pt idx="433">
                  <c:v>0.90695999999999999</c:v>
                </c:pt>
                <c:pt idx="434">
                  <c:v>0.88891999999999993</c:v>
                </c:pt>
                <c:pt idx="435">
                  <c:v>0.88513999999999993</c:v>
                </c:pt>
                <c:pt idx="436">
                  <c:v>0.8424299999999999</c:v>
                </c:pt>
                <c:pt idx="437">
                  <c:v>0.84057000000000004</c:v>
                </c:pt>
                <c:pt idx="438">
                  <c:v>0.85053000000000001</c:v>
                </c:pt>
                <c:pt idx="439">
                  <c:v>0.82991000000000004</c:v>
                </c:pt>
                <c:pt idx="440">
                  <c:v>0.82322000000000006</c:v>
                </c:pt>
                <c:pt idx="441">
                  <c:v>0.82616000000000001</c:v>
                </c:pt>
                <c:pt idx="442">
                  <c:v>0.78709000000000007</c:v>
                </c:pt>
                <c:pt idx="443">
                  <c:v>0.77754999999999996</c:v>
                </c:pt>
                <c:pt idx="444">
                  <c:v>0.77323999999999993</c:v>
                </c:pt>
                <c:pt idx="445">
                  <c:v>0.75162000000000007</c:v>
                </c:pt>
                <c:pt idx="446">
                  <c:v>0.71782999999999997</c:v>
                </c:pt>
                <c:pt idx="447">
                  <c:v>0.72572000000000003</c:v>
                </c:pt>
                <c:pt idx="448">
                  <c:v>0.86209999999999998</c:v>
                </c:pt>
                <c:pt idx="449">
                  <c:v>0.84537000000000007</c:v>
                </c:pt>
                <c:pt idx="450">
                  <c:v>0.92929000000000006</c:v>
                </c:pt>
                <c:pt idx="451">
                  <c:v>0.87683000000000011</c:v>
                </c:pt>
                <c:pt idx="452">
                  <c:v>0.96602999999999994</c:v>
                </c:pt>
                <c:pt idx="453">
                  <c:v>1.0049699999999999</c:v>
                </c:pt>
                <c:pt idx="454">
                  <c:v>1.17279</c:v>
                </c:pt>
                <c:pt idx="455">
                  <c:v>1.23021</c:v>
                </c:pt>
                <c:pt idx="456">
                  <c:v>1.2006100000000002</c:v>
                </c:pt>
                <c:pt idx="457">
                  <c:v>1.2843600000000002</c:v>
                </c:pt>
                <c:pt idx="458">
                  <c:v>1.2584600000000001</c:v>
                </c:pt>
                <c:pt idx="459">
                  <c:v>1.21479</c:v>
                </c:pt>
                <c:pt idx="460">
                  <c:v>1.2110799999999999</c:v>
                </c:pt>
                <c:pt idx="461">
                  <c:v>1.13795</c:v>
                </c:pt>
                <c:pt idx="462">
                  <c:v>1.0753700000000002</c:v>
                </c:pt>
                <c:pt idx="463">
                  <c:v>1.1817800000000001</c:v>
                </c:pt>
                <c:pt idx="464">
                  <c:v>1.0856999999999999</c:v>
                </c:pt>
                <c:pt idx="465">
                  <c:v>1.05155</c:v>
                </c:pt>
                <c:pt idx="466">
                  <c:v>0.97894000000000003</c:v>
                </c:pt>
                <c:pt idx="467">
                  <c:v>0.90441000000000005</c:v>
                </c:pt>
                <c:pt idx="468">
                  <c:v>0.85947999999999991</c:v>
                </c:pt>
                <c:pt idx="469">
                  <c:v>0.86516000000000004</c:v>
                </c:pt>
                <c:pt idx="470">
                  <c:v>0.87959999999999994</c:v>
                </c:pt>
                <c:pt idx="471">
                  <c:v>0.87229000000000001</c:v>
                </c:pt>
                <c:pt idx="472">
                  <c:v>0.88388999999999995</c:v>
                </c:pt>
                <c:pt idx="473">
                  <c:v>0.88644000000000001</c:v>
                </c:pt>
                <c:pt idx="474">
                  <c:v>0.82911000000000001</c:v>
                </c:pt>
                <c:pt idx="475">
                  <c:v>0.79507000000000005</c:v>
                </c:pt>
                <c:pt idx="476">
                  <c:v>0.80641999999999991</c:v>
                </c:pt>
                <c:pt idx="477">
                  <c:v>0.82114999999999994</c:v>
                </c:pt>
                <c:pt idx="478">
                  <c:v>0.82699</c:v>
                </c:pt>
                <c:pt idx="479">
                  <c:v>0.8549500000000001</c:v>
                </c:pt>
                <c:pt idx="480">
                  <c:v>0.83075999999999994</c:v>
                </c:pt>
                <c:pt idx="481">
                  <c:v>0.80072999999999994</c:v>
                </c:pt>
                <c:pt idx="482">
                  <c:v>0.86775999999999998</c:v>
                </c:pt>
                <c:pt idx="483">
                  <c:v>0.69492000000000009</c:v>
                </c:pt>
                <c:pt idx="484">
                  <c:v>0.72022999999999993</c:v>
                </c:pt>
                <c:pt idx="485">
                  <c:v>0.69959999999999989</c:v>
                </c:pt>
                <c:pt idx="486">
                  <c:v>0.64663999999999999</c:v>
                </c:pt>
                <c:pt idx="487">
                  <c:v>0.73626999999999998</c:v>
                </c:pt>
                <c:pt idx="488">
                  <c:v>0.68252999999999997</c:v>
                </c:pt>
                <c:pt idx="489">
                  <c:v>0.65677000000000008</c:v>
                </c:pt>
                <c:pt idx="490">
                  <c:v>0.74644999999999995</c:v>
                </c:pt>
                <c:pt idx="491">
                  <c:v>0.74108999999999992</c:v>
                </c:pt>
                <c:pt idx="492">
                  <c:v>0.76717000000000002</c:v>
                </c:pt>
                <c:pt idx="493">
                  <c:v>0.72748000000000002</c:v>
                </c:pt>
                <c:pt idx="494">
                  <c:v>0.91488000000000003</c:v>
                </c:pt>
                <c:pt idx="495">
                  <c:v>0.93850999999999996</c:v>
                </c:pt>
                <c:pt idx="496">
                  <c:v>0.91170000000000007</c:v>
                </c:pt>
                <c:pt idx="497">
                  <c:v>1.1669700000000001</c:v>
                </c:pt>
                <c:pt idx="498">
                  <c:v>1.1045499999999999</c:v>
                </c:pt>
                <c:pt idx="499">
                  <c:v>1.21333</c:v>
                </c:pt>
                <c:pt idx="500">
                  <c:v>1.17533</c:v>
                </c:pt>
                <c:pt idx="501">
                  <c:v>1.1584099999999999</c:v>
                </c:pt>
                <c:pt idx="502">
                  <c:v>1.0828100000000001</c:v>
                </c:pt>
                <c:pt idx="503">
                  <c:v>1.08375</c:v>
                </c:pt>
                <c:pt idx="504">
                  <c:v>1.14615</c:v>
                </c:pt>
                <c:pt idx="505">
                  <c:v>1.0030700000000001</c:v>
                </c:pt>
                <c:pt idx="506">
                  <c:v>0.93206999999999995</c:v>
                </c:pt>
                <c:pt idx="507">
                  <c:v>0.96120000000000005</c:v>
                </c:pt>
                <c:pt idx="508">
                  <c:v>0.94102999999999992</c:v>
                </c:pt>
                <c:pt idx="509">
                  <c:v>0.87236999999999998</c:v>
                </c:pt>
                <c:pt idx="510">
                  <c:v>0.90505999999999998</c:v>
                </c:pt>
                <c:pt idx="511">
                  <c:v>1.00152</c:v>
                </c:pt>
                <c:pt idx="512">
                  <c:v>0.97971999999999992</c:v>
                </c:pt>
                <c:pt idx="513">
                  <c:v>0.99320999999999993</c:v>
                </c:pt>
                <c:pt idx="514">
                  <c:v>0.95406000000000002</c:v>
                </c:pt>
                <c:pt idx="515">
                  <c:v>0.92587999999999993</c:v>
                </c:pt>
                <c:pt idx="516">
                  <c:v>0.97147000000000006</c:v>
                </c:pt>
                <c:pt idx="517">
                  <c:v>0.95555999999999996</c:v>
                </c:pt>
                <c:pt idx="518">
                  <c:v>0.95555999999999996</c:v>
                </c:pt>
                <c:pt idx="519">
                  <c:v>0.95555999999999996</c:v>
                </c:pt>
                <c:pt idx="520">
                  <c:v>0.99293999999999993</c:v>
                </c:pt>
                <c:pt idx="521">
                  <c:v>0.9522799999999999</c:v>
                </c:pt>
                <c:pt idx="522">
                  <c:v>0.93161000000000005</c:v>
                </c:pt>
                <c:pt idx="523">
                  <c:v>0.93161000000000005</c:v>
                </c:pt>
                <c:pt idx="524">
                  <c:v>1.2321599999999999</c:v>
                </c:pt>
                <c:pt idx="525">
                  <c:v>1.1596599999999999</c:v>
                </c:pt>
                <c:pt idx="526">
                  <c:v>1.27193</c:v>
                </c:pt>
                <c:pt idx="527">
                  <c:v>1.23455</c:v>
                </c:pt>
                <c:pt idx="528">
                  <c:v>1.30131</c:v>
                </c:pt>
                <c:pt idx="529">
                  <c:v>1.3128299999999999</c:v>
                </c:pt>
                <c:pt idx="530">
                  <c:v>1.2742499999999999</c:v>
                </c:pt>
                <c:pt idx="531">
                  <c:v>1.2867599999999999</c:v>
                </c:pt>
                <c:pt idx="532">
                  <c:v>1.2650399999999999</c:v>
                </c:pt>
                <c:pt idx="533">
                  <c:v>1.2397799999999999</c:v>
                </c:pt>
                <c:pt idx="534">
                  <c:v>1.2290300000000001</c:v>
                </c:pt>
                <c:pt idx="535">
                  <c:v>1.2565999999999999</c:v>
                </c:pt>
                <c:pt idx="536">
                  <c:v>1.17808</c:v>
                </c:pt>
                <c:pt idx="537">
                  <c:v>1.22557</c:v>
                </c:pt>
                <c:pt idx="538">
                  <c:v>1.23908</c:v>
                </c:pt>
                <c:pt idx="539">
                  <c:v>1.2000599999999999</c:v>
                </c:pt>
                <c:pt idx="540">
                  <c:v>1.1590400000000001</c:v>
                </c:pt>
                <c:pt idx="541">
                  <c:v>0.87961</c:v>
                </c:pt>
                <c:pt idx="542">
                  <c:v>0.79264999999999997</c:v>
                </c:pt>
                <c:pt idx="543">
                  <c:v>0.74797000000000002</c:v>
                </c:pt>
                <c:pt idx="544">
                  <c:v>0.74320999999999993</c:v>
                </c:pt>
                <c:pt idx="545">
                  <c:v>0.72325000000000006</c:v>
                </c:pt>
                <c:pt idx="546">
                  <c:v>0.72479000000000005</c:v>
                </c:pt>
                <c:pt idx="547">
                  <c:v>0.58762999999999999</c:v>
                </c:pt>
                <c:pt idx="548">
                  <c:v>0.65532999999999997</c:v>
                </c:pt>
                <c:pt idx="549">
                  <c:v>0.67918000000000012</c:v>
                </c:pt>
                <c:pt idx="550">
                  <c:v>0.65096999999999994</c:v>
                </c:pt>
                <c:pt idx="551">
                  <c:v>0.54520999999999997</c:v>
                </c:pt>
                <c:pt idx="552">
                  <c:v>0.62874000000000008</c:v>
                </c:pt>
                <c:pt idx="553">
                  <c:v>0.43194000000000005</c:v>
                </c:pt>
                <c:pt idx="554">
                  <c:v>0.55420000000000003</c:v>
                </c:pt>
                <c:pt idx="555">
                  <c:v>0.48314000000000001</c:v>
                </c:pt>
                <c:pt idx="556">
                  <c:v>0.54337000000000002</c:v>
                </c:pt>
                <c:pt idx="557">
                  <c:v>0.61976999999999993</c:v>
                </c:pt>
                <c:pt idx="558">
                  <c:v>0.58155000000000001</c:v>
                </c:pt>
                <c:pt idx="559">
                  <c:v>0.69469999999999998</c:v>
                </c:pt>
                <c:pt idx="560">
                  <c:v>0.74513000000000007</c:v>
                </c:pt>
                <c:pt idx="561">
                  <c:v>1.04901</c:v>
                </c:pt>
                <c:pt idx="562">
                  <c:v>1.12209</c:v>
                </c:pt>
                <c:pt idx="563">
                  <c:v>1.46224</c:v>
                </c:pt>
                <c:pt idx="564">
                  <c:v>2.5630999999999999</c:v>
                </c:pt>
                <c:pt idx="565">
                  <c:v>3.0717700000000003</c:v>
                </c:pt>
                <c:pt idx="566">
                  <c:v>3.0341399999999998</c:v>
                </c:pt>
                <c:pt idx="567">
                  <c:v>3.5142000000000002</c:v>
                </c:pt>
                <c:pt idx="568">
                  <c:v>4.0177899999999998</c:v>
                </c:pt>
                <c:pt idx="569">
                  <c:v>4.0960799999999997</c:v>
                </c:pt>
                <c:pt idx="570">
                  <c:v>3.8539699999999999</c:v>
                </c:pt>
                <c:pt idx="571">
                  <c:v>3.8871499999999997</c:v>
                </c:pt>
                <c:pt idx="572">
                  <c:v>3.87134</c:v>
                </c:pt>
                <c:pt idx="573">
                  <c:v>3.6512500000000001</c:v>
                </c:pt>
                <c:pt idx="574">
                  <c:v>3.7031700000000001</c:v>
                </c:pt>
                <c:pt idx="575">
                  <c:v>2.6654800000000001</c:v>
                </c:pt>
                <c:pt idx="576">
                  <c:v>2.3847300000000002</c:v>
                </c:pt>
                <c:pt idx="577">
                  <c:v>1.9855799999999999</c:v>
                </c:pt>
                <c:pt idx="578">
                  <c:v>1.57117</c:v>
                </c:pt>
                <c:pt idx="579">
                  <c:v>1.48552</c:v>
                </c:pt>
                <c:pt idx="580">
                  <c:v>1.3798500000000002</c:v>
                </c:pt>
                <c:pt idx="581">
                  <c:v>1.33958</c:v>
                </c:pt>
                <c:pt idx="582">
                  <c:v>1.4220900000000001</c:v>
                </c:pt>
                <c:pt idx="583">
                  <c:v>1.37026</c:v>
                </c:pt>
                <c:pt idx="584">
                  <c:v>1.4862500000000001</c:v>
                </c:pt>
                <c:pt idx="585">
                  <c:v>1.47214</c:v>
                </c:pt>
                <c:pt idx="586">
                  <c:v>1.45618</c:v>
                </c:pt>
                <c:pt idx="587">
                  <c:v>1.4611400000000001</c:v>
                </c:pt>
                <c:pt idx="588">
                  <c:v>1.3928299999999998</c:v>
                </c:pt>
                <c:pt idx="589">
                  <c:v>1.32446</c:v>
                </c:pt>
                <c:pt idx="590">
                  <c:v>1.4043999999999999</c:v>
                </c:pt>
                <c:pt idx="591">
                  <c:v>1.44004</c:v>
                </c:pt>
                <c:pt idx="592">
                  <c:v>1.3902699999999999</c:v>
                </c:pt>
                <c:pt idx="593">
                  <c:v>1.4313399999999998</c:v>
                </c:pt>
                <c:pt idx="594">
                  <c:v>1.5181800000000001</c:v>
                </c:pt>
                <c:pt idx="595">
                  <c:v>1.5702600000000002</c:v>
                </c:pt>
                <c:pt idx="596">
                  <c:v>1.5487899999999999</c:v>
                </c:pt>
                <c:pt idx="597">
                  <c:v>1.5487899999999999</c:v>
                </c:pt>
                <c:pt idx="598">
                  <c:v>1.5487899999999999</c:v>
                </c:pt>
                <c:pt idx="599">
                  <c:v>1.7300899999999999</c:v>
                </c:pt>
                <c:pt idx="600">
                  <c:v>1.6210499999999999</c:v>
                </c:pt>
                <c:pt idx="601">
                  <c:v>1.5877000000000001</c:v>
                </c:pt>
                <c:pt idx="602">
                  <c:v>1.6266100000000001</c:v>
                </c:pt>
                <c:pt idx="603">
                  <c:v>1.7891999999999999</c:v>
                </c:pt>
                <c:pt idx="604">
                  <c:v>1.8818100000000002</c:v>
                </c:pt>
                <c:pt idx="605">
                  <c:v>1.9115199999999999</c:v>
                </c:pt>
                <c:pt idx="606">
                  <c:v>1.9561900000000001</c:v>
                </c:pt>
                <c:pt idx="607">
                  <c:v>1.9698599999999999</c:v>
                </c:pt>
                <c:pt idx="608">
                  <c:v>1.9698599999999999</c:v>
                </c:pt>
                <c:pt idx="609">
                  <c:v>2.0612399999999997</c:v>
                </c:pt>
                <c:pt idx="610">
                  <c:v>2.1017799999999998</c:v>
                </c:pt>
                <c:pt idx="611">
                  <c:v>2.3422499999999999</c:v>
                </c:pt>
                <c:pt idx="612">
                  <c:v>2.51606</c:v>
                </c:pt>
                <c:pt idx="613">
                  <c:v>2.5669999999999997</c:v>
                </c:pt>
                <c:pt idx="614">
                  <c:v>2.54284</c:v>
                </c:pt>
                <c:pt idx="615">
                  <c:v>2.5072300000000003</c:v>
                </c:pt>
                <c:pt idx="616">
                  <c:v>2.5599500000000002</c:v>
                </c:pt>
                <c:pt idx="617">
                  <c:v>2.46848</c:v>
                </c:pt>
                <c:pt idx="618">
                  <c:v>2.4393000000000002</c:v>
                </c:pt>
                <c:pt idx="619">
                  <c:v>2.2064699999999999</c:v>
                </c:pt>
                <c:pt idx="620">
                  <c:v>2.2197800000000001</c:v>
                </c:pt>
                <c:pt idx="621">
                  <c:v>2.34483</c:v>
                </c:pt>
                <c:pt idx="622">
                  <c:v>2.3725200000000002</c:v>
                </c:pt>
                <c:pt idx="623">
                  <c:v>2.2799299999999998</c:v>
                </c:pt>
                <c:pt idx="624">
                  <c:v>2.4093800000000001</c:v>
                </c:pt>
                <c:pt idx="625">
                  <c:v>2.37954</c:v>
                </c:pt>
                <c:pt idx="626">
                  <c:v>2.2267199999999998</c:v>
                </c:pt>
                <c:pt idx="627">
                  <c:v>2.1191200000000001</c:v>
                </c:pt>
                <c:pt idx="628">
                  <c:v>2.01437</c:v>
                </c:pt>
                <c:pt idx="629">
                  <c:v>1.9822900000000001</c:v>
                </c:pt>
                <c:pt idx="630">
                  <c:v>1.8864799999999999</c:v>
                </c:pt>
                <c:pt idx="631">
                  <c:v>1.8864799999999999</c:v>
                </c:pt>
                <c:pt idx="632">
                  <c:v>1.8864799999999999</c:v>
                </c:pt>
                <c:pt idx="633">
                  <c:v>1.9363699999999999</c:v>
                </c:pt>
                <c:pt idx="634">
                  <c:v>1.7268600000000001</c:v>
                </c:pt>
                <c:pt idx="635">
                  <c:v>1.5422</c:v>
                </c:pt>
                <c:pt idx="636">
                  <c:v>1.7106999999999999</c:v>
                </c:pt>
                <c:pt idx="637">
                  <c:v>1.5065799999999998</c:v>
                </c:pt>
                <c:pt idx="638">
                  <c:v>1.4793100000000001</c:v>
                </c:pt>
                <c:pt idx="639">
                  <c:v>1.3947399999999999</c:v>
                </c:pt>
                <c:pt idx="640">
                  <c:v>1.4174199999999999</c:v>
                </c:pt>
                <c:pt idx="641">
                  <c:v>1.5670299999999999</c:v>
                </c:pt>
                <c:pt idx="642">
                  <c:v>1.6527799999999999</c:v>
                </c:pt>
                <c:pt idx="643">
                  <c:v>1.5437799999999999</c:v>
                </c:pt>
                <c:pt idx="644">
                  <c:v>1.4988300000000001</c:v>
                </c:pt>
                <c:pt idx="645">
                  <c:v>1.5551400000000002</c:v>
                </c:pt>
                <c:pt idx="646">
                  <c:v>1.58477</c:v>
                </c:pt>
                <c:pt idx="647">
                  <c:v>1.53125</c:v>
                </c:pt>
                <c:pt idx="648">
                  <c:v>1.4606399999999999</c:v>
                </c:pt>
                <c:pt idx="649">
                  <c:v>1.6147200000000002</c:v>
                </c:pt>
                <c:pt idx="650">
                  <c:v>2.1131200000000003</c:v>
                </c:pt>
                <c:pt idx="651">
                  <c:v>2.4597199999999999</c:v>
                </c:pt>
                <c:pt idx="652">
                  <c:v>2.5336799999999999</c:v>
                </c:pt>
                <c:pt idx="653">
                  <c:v>2.4965700000000002</c:v>
                </c:pt>
                <c:pt idx="654">
                  <c:v>2.4573</c:v>
                </c:pt>
                <c:pt idx="655">
                  <c:v>2.31813</c:v>
                </c:pt>
                <c:pt idx="656">
                  <c:v>2.4159600000000001</c:v>
                </c:pt>
                <c:pt idx="657">
                  <c:v>2.4270800000000001</c:v>
                </c:pt>
                <c:pt idx="658">
                  <c:v>2.4745699999999999</c:v>
                </c:pt>
                <c:pt idx="659">
                  <c:v>2.45546</c:v>
                </c:pt>
                <c:pt idx="660">
                  <c:v>2.3966799999999999</c:v>
                </c:pt>
                <c:pt idx="661">
                  <c:v>2.5173399999999999</c:v>
                </c:pt>
                <c:pt idx="662">
                  <c:v>2.5114099999999997</c:v>
                </c:pt>
                <c:pt idx="663">
                  <c:v>2.38924</c:v>
                </c:pt>
                <c:pt idx="664">
                  <c:v>2.1572</c:v>
                </c:pt>
                <c:pt idx="665">
                  <c:v>1.8257099999999999</c:v>
                </c:pt>
                <c:pt idx="666">
                  <c:v>1.4003800000000002</c:v>
                </c:pt>
                <c:pt idx="667">
                  <c:v>1.4047700000000001</c:v>
                </c:pt>
                <c:pt idx="668">
                  <c:v>1.17072</c:v>
                </c:pt>
                <c:pt idx="669">
                  <c:v>1.1508799999999999</c:v>
                </c:pt>
                <c:pt idx="670">
                  <c:v>1.2735799999999999</c:v>
                </c:pt>
                <c:pt idx="671">
                  <c:v>1.3840299999999999</c:v>
                </c:pt>
                <c:pt idx="672">
                  <c:v>1.3656600000000001</c:v>
                </c:pt>
                <c:pt idx="673">
                  <c:v>1.25309</c:v>
                </c:pt>
                <c:pt idx="674">
                  <c:v>1.1537500000000001</c:v>
                </c:pt>
                <c:pt idx="675">
                  <c:v>0.89288000000000001</c:v>
                </c:pt>
                <c:pt idx="676">
                  <c:v>0.89690000000000003</c:v>
                </c:pt>
                <c:pt idx="677">
                  <c:v>0.84409000000000001</c:v>
                </c:pt>
                <c:pt idx="678">
                  <c:v>1.07544</c:v>
                </c:pt>
                <c:pt idx="679">
                  <c:v>0.81432000000000004</c:v>
                </c:pt>
                <c:pt idx="680">
                  <c:v>0.87412999999999996</c:v>
                </c:pt>
                <c:pt idx="681">
                  <c:v>0.85727000000000009</c:v>
                </c:pt>
                <c:pt idx="682">
                  <c:v>0.85199000000000003</c:v>
                </c:pt>
                <c:pt idx="683">
                  <c:v>0.87863000000000002</c:v>
                </c:pt>
                <c:pt idx="684">
                  <c:v>0.98419999999999996</c:v>
                </c:pt>
                <c:pt idx="685">
                  <c:v>1.10127</c:v>
                </c:pt>
                <c:pt idx="686">
                  <c:v>1.3103399999999998</c:v>
                </c:pt>
                <c:pt idx="687">
                  <c:v>1.1541299999999999</c:v>
                </c:pt>
                <c:pt idx="688">
                  <c:v>1.1321599999999998</c:v>
                </c:pt>
                <c:pt idx="689">
                  <c:v>1.18937</c:v>
                </c:pt>
                <c:pt idx="690">
                  <c:v>1.1705800000000002</c:v>
                </c:pt>
                <c:pt idx="691">
                  <c:v>1.1850799999999999</c:v>
                </c:pt>
                <c:pt idx="692">
                  <c:v>1.15266</c:v>
                </c:pt>
                <c:pt idx="693">
                  <c:v>1.15266</c:v>
                </c:pt>
                <c:pt idx="694">
                  <c:v>1.2619899999999999</c:v>
                </c:pt>
                <c:pt idx="695">
                  <c:v>1.2419</c:v>
                </c:pt>
                <c:pt idx="696">
                  <c:v>1.2607899999999999</c:v>
                </c:pt>
                <c:pt idx="697">
                  <c:v>1.37296</c:v>
                </c:pt>
                <c:pt idx="698">
                  <c:v>1.3588399999999998</c:v>
                </c:pt>
                <c:pt idx="699">
                  <c:v>1.30131</c:v>
                </c:pt>
                <c:pt idx="700">
                  <c:v>1.3516300000000001</c:v>
                </c:pt>
                <c:pt idx="701">
                  <c:v>1.30217</c:v>
                </c:pt>
                <c:pt idx="702">
                  <c:v>1.3710300000000002</c:v>
                </c:pt>
                <c:pt idx="703">
                  <c:v>1.22061</c:v>
                </c:pt>
                <c:pt idx="704">
                  <c:v>1.47031</c:v>
                </c:pt>
                <c:pt idx="705">
                  <c:v>1.6096100000000002</c:v>
                </c:pt>
                <c:pt idx="706">
                  <c:v>1.6035599999999999</c:v>
                </c:pt>
                <c:pt idx="707">
                  <c:v>1.6766999999999999</c:v>
                </c:pt>
                <c:pt idx="708">
                  <c:v>1.6766999999999999</c:v>
                </c:pt>
                <c:pt idx="709">
                  <c:v>1.5638999999999998</c:v>
                </c:pt>
                <c:pt idx="710">
                  <c:v>1.6480299999999999</c:v>
                </c:pt>
                <c:pt idx="711">
                  <c:v>1.6490400000000001</c:v>
                </c:pt>
                <c:pt idx="712">
                  <c:v>1.6030799999999998</c:v>
                </c:pt>
                <c:pt idx="713">
                  <c:v>1.55016</c:v>
                </c:pt>
                <c:pt idx="714">
                  <c:v>1.5410200000000001</c:v>
                </c:pt>
                <c:pt idx="715">
                  <c:v>1.8148</c:v>
                </c:pt>
                <c:pt idx="716">
                  <c:v>2.0039500000000001</c:v>
                </c:pt>
                <c:pt idx="717">
                  <c:v>1.81623</c:v>
                </c:pt>
                <c:pt idx="718">
                  <c:v>1.82087</c:v>
                </c:pt>
                <c:pt idx="719">
                  <c:v>1.8416699999999999</c:v>
                </c:pt>
                <c:pt idx="720">
                  <c:v>1.8005600000000002</c:v>
                </c:pt>
                <c:pt idx="721">
                  <c:v>1.8975499999999998</c:v>
                </c:pt>
                <c:pt idx="722">
                  <c:v>1.8539599999999998</c:v>
                </c:pt>
                <c:pt idx="723">
                  <c:v>2.0130300000000001</c:v>
                </c:pt>
                <c:pt idx="724">
                  <c:v>2.0209800000000002</c:v>
                </c:pt>
                <c:pt idx="725">
                  <c:v>2.06081</c:v>
                </c:pt>
                <c:pt idx="726">
                  <c:v>2.0679099999999999</c:v>
                </c:pt>
                <c:pt idx="727">
                  <c:v>2.1378200000000001</c:v>
                </c:pt>
                <c:pt idx="728">
                  <c:v>2.1223200000000002</c:v>
                </c:pt>
                <c:pt idx="729">
                  <c:v>2.1751400000000003</c:v>
                </c:pt>
                <c:pt idx="730">
                  <c:v>2.0922100000000001</c:v>
                </c:pt>
                <c:pt idx="731">
                  <c:v>2.0673900000000001</c:v>
                </c:pt>
                <c:pt idx="732">
                  <c:v>2.1623199999999998</c:v>
                </c:pt>
                <c:pt idx="733">
                  <c:v>2.2019299999999999</c:v>
                </c:pt>
                <c:pt idx="734">
                  <c:v>2.17225</c:v>
                </c:pt>
                <c:pt idx="735">
                  <c:v>2.1273500000000003</c:v>
                </c:pt>
                <c:pt idx="736">
                  <c:v>2.0535399999999999</c:v>
                </c:pt>
                <c:pt idx="737">
                  <c:v>2.06033</c:v>
                </c:pt>
                <c:pt idx="738">
                  <c:v>2.0192099999999997</c:v>
                </c:pt>
                <c:pt idx="739">
                  <c:v>2.06636</c:v>
                </c:pt>
                <c:pt idx="740">
                  <c:v>1.9748699999999999</c:v>
                </c:pt>
                <c:pt idx="741">
                  <c:v>1.9867300000000001</c:v>
                </c:pt>
                <c:pt idx="742">
                  <c:v>1.6479599999999999</c:v>
                </c:pt>
                <c:pt idx="743">
                  <c:v>1.51556</c:v>
                </c:pt>
                <c:pt idx="744">
                  <c:v>1.40255</c:v>
                </c:pt>
                <c:pt idx="745">
                  <c:v>1.4851599999999998</c:v>
                </c:pt>
                <c:pt idx="746">
                  <c:v>1.57012</c:v>
                </c:pt>
                <c:pt idx="747">
                  <c:v>1.6126800000000001</c:v>
                </c:pt>
                <c:pt idx="748">
                  <c:v>1.2435</c:v>
                </c:pt>
                <c:pt idx="749">
                  <c:v>1.39323</c:v>
                </c:pt>
                <c:pt idx="750">
                  <c:v>1.3119700000000001</c:v>
                </c:pt>
                <c:pt idx="751">
                  <c:v>1.4949399999999999</c:v>
                </c:pt>
                <c:pt idx="752">
                  <c:v>1.3082099999999999</c:v>
                </c:pt>
                <c:pt idx="753">
                  <c:v>1.28481</c:v>
                </c:pt>
                <c:pt idx="754">
                  <c:v>1.2858099999999999</c:v>
                </c:pt>
                <c:pt idx="755">
                  <c:v>1.35164</c:v>
                </c:pt>
                <c:pt idx="756">
                  <c:v>1.35642</c:v>
                </c:pt>
                <c:pt idx="757">
                  <c:v>1.2978000000000001</c:v>
                </c:pt>
                <c:pt idx="758">
                  <c:v>1.4334</c:v>
                </c:pt>
                <c:pt idx="759">
                  <c:v>1.3747999999999998</c:v>
                </c:pt>
                <c:pt idx="760">
                  <c:v>1.49254</c:v>
                </c:pt>
                <c:pt idx="761">
                  <c:v>1.4521999999999999</c:v>
                </c:pt>
                <c:pt idx="762">
                  <c:v>1.1907799999999999</c:v>
                </c:pt>
                <c:pt idx="763">
                  <c:v>0.81927000000000005</c:v>
                </c:pt>
                <c:pt idx="764">
                  <c:v>0.81706000000000001</c:v>
                </c:pt>
                <c:pt idx="765">
                  <c:v>0.90804000000000007</c:v>
                </c:pt>
                <c:pt idx="766">
                  <c:v>0.82912000000000008</c:v>
                </c:pt>
                <c:pt idx="767">
                  <c:v>0.86895</c:v>
                </c:pt>
                <c:pt idx="768">
                  <c:v>0.79578000000000004</c:v>
                </c:pt>
                <c:pt idx="769">
                  <c:v>0.95123000000000002</c:v>
                </c:pt>
                <c:pt idx="770">
                  <c:v>0.95337000000000005</c:v>
                </c:pt>
                <c:pt idx="771">
                  <c:v>0.95034000000000007</c:v>
                </c:pt>
                <c:pt idx="772">
                  <c:v>0.90335999999999994</c:v>
                </c:pt>
                <c:pt idx="773">
                  <c:v>0.90206999999999993</c:v>
                </c:pt>
                <c:pt idx="774">
                  <c:v>0.85581999999999991</c:v>
                </c:pt>
                <c:pt idx="775">
                  <c:v>0.96951999999999994</c:v>
                </c:pt>
                <c:pt idx="776">
                  <c:v>0.93813999999999997</c:v>
                </c:pt>
                <c:pt idx="777">
                  <c:v>0.91966999999999999</c:v>
                </c:pt>
                <c:pt idx="778">
                  <c:v>0.91966999999999999</c:v>
                </c:pt>
                <c:pt idx="779">
                  <c:v>0.91966999999999999</c:v>
                </c:pt>
                <c:pt idx="780">
                  <c:v>0.84605000000000008</c:v>
                </c:pt>
                <c:pt idx="781">
                  <c:v>0.88683000000000012</c:v>
                </c:pt>
                <c:pt idx="782">
                  <c:v>0.98263999999999996</c:v>
                </c:pt>
                <c:pt idx="783">
                  <c:v>0.98263999999999996</c:v>
                </c:pt>
                <c:pt idx="784">
                  <c:v>1.0596099999999999</c:v>
                </c:pt>
                <c:pt idx="785">
                  <c:v>1.18163</c:v>
                </c:pt>
                <c:pt idx="786">
                  <c:v>1.0915300000000001</c:v>
                </c:pt>
                <c:pt idx="787">
                  <c:v>1.1708499999999999</c:v>
                </c:pt>
                <c:pt idx="788">
                  <c:v>1.29314</c:v>
                </c:pt>
                <c:pt idx="789">
                  <c:v>1.1384300000000001</c:v>
                </c:pt>
                <c:pt idx="790">
                  <c:v>1.1616500000000001</c:v>
                </c:pt>
                <c:pt idx="791">
                  <c:v>1.26308</c:v>
                </c:pt>
                <c:pt idx="792">
                  <c:v>1.15124</c:v>
                </c:pt>
                <c:pt idx="793">
                  <c:v>1.0922100000000001</c:v>
                </c:pt>
                <c:pt idx="794">
                  <c:v>1.1895099999999998</c:v>
                </c:pt>
                <c:pt idx="795">
                  <c:v>1.2366900000000001</c:v>
                </c:pt>
                <c:pt idx="796">
                  <c:v>1.21627</c:v>
                </c:pt>
                <c:pt idx="797">
                  <c:v>1.1224499999999999</c:v>
                </c:pt>
                <c:pt idx="798">
                  <c:v>1.1197299999999999</c:v>
                </c:pt>
                <c:pt idx="799">
                  <c:v>1.13828</c:v>
                </c:pt>
                <c:pt idx="800">
                  <c:v>1.17685</c:v>
                </c:pt>
                <c:pt idx="801">
                  <c:v>1.2196500000000001</c:v>
                </c:pt>
                <c:pt idx="802">
                  <c:v>1.04809</c:v>
                </c:pt>
                <c:pt idx="803">
                  <c:v>1.1043499999999999</c:v>
                </c:pt>
                <c:pt idx="804">
                  <c:v>1.0911</c:v>
                </c:pt>
                <c:pt idx="805">
                  <c:v>1.1716</c:v>
                </c:pt>
                <c:pt idx="806">
                  <c:v>1.1751499999999999</c:v>
                </c:pt>
                <c:pt idx="807">
                  <c:v>0.95168999999999992</c:v>
                </c:pt>
                <c:pt idx="808">
                  <c:v>0.60492000000000001</c:v>
                </c:pt>
                <c:pt idx="809">
                  <c:v>0.56847000000000003</c:v>
                </c:pt>
                <c:pt idx="810">
                  <c:v>0.55157999999999996</c:v>
                </c:pt>
                <c:pt idx="811">
                  <c:v>0.60604000000000002</c:v>
                </c:pt>
                <c:pt idx="812">
                  <c:v>0.57130999999999998</c:v>
                </c:pt>
                <c:pt idx="813">
                  <c:v>0.54323999999999995</c:v>
                </c:pt>
                <c:pt idx="814">
                  <c:v>0.47582999999999998</c:v>
                </c:pt>
                <c:pt idx="815">
                  <c:v>0.54127000000000003</c:v>
                </c:pt>
                <c:pt idx="816">
                  <c:v>0.59770999999999996</c:v>
                </c:pt>
                <c:pt idx="817">
                  <c:v>0.57325999999999999</c:v>
                </c:pt>
                <c:pt idx="818">
                  <c:v>0.57914999999999994</c:v>
                </c:pt>
                <c:pt idx="819">
                  <c:v>0.54249000000000003</c:v>
                </c:pt>
                <c:pt idx="820">
                  <c:v>0.65138000000000007</c:v>
                </c:pt>
                <c:pt idx="821">
                  <c:v>0.63578999999999997</c:v>
                </c:pt>
                <c:pt idx="822">
                  <c:v>0.49219999999999997</c:v>
                </c:pt>
                <c:pt idx="823">
                  <c:v>0.59394999999999998</c:v>
                </c:pt>
                <c:pt idx="824">
                  <c:v>0.62039</c:v>
                </c:pt>
                <c:pt idx="825">
                  <c:v>0.39689999999999998</c:v>
                </c:pt>
                <c:pt idx="826">
                  <c:v>0.45228000000000002</c:v>
                </c:pt>
                <c:pt idx="827">
                  <c:v>0.60950000000000004</c:v>
                </c:pt>
                <c:pt idx="828">
                  <c:v>0.43573000000000001</c:v>
                </c:pt>
                <c:pt idx="829">
                  <c:v>0.53073000000000004</c:v>
                </c:pt>
                <c:pt idx="830">
                  <c:v>0.49093000000000003</c:v>
                </c:pt>
                <c:pt idx="831">
                  <c:v>0.57255</c:v>
                </c:pt>
                <c:pt idx="832">
                  <c:v>0.86540000000000006</c:v>
                </c:pt>
                <c:pt idx="833">
                  <c:v>1.34602</c:v>
                </c:pt>
                <c:pt idx="834">
                  <c:v>1.2698</c:v>
                </c:pt>
                <c:pt idx="835">
                  <c:v>1.48525</c:v>
                </c:pt>
                <c:pt idx="836">
                  <c:v>1.3972</c:v>
                </c:pt>
                <c:pt idx="837">
                  <c:v>1.7409800000000002</c:v>
                </c:pt>
                <c:pt idx="838">
                  <c:v>1.51301</c:v>
                </c:pt>
                <c:pt idx="839">
                  <c:v>1.28304</c:v>
                </c:pt>
                <c:pt idx="840">
                  <c:v>1.4478499999999999</c:v>
                </c:pt>
                <c:pt idx="841">
                  <c:v>1.5669900000000001</c:v>
                </c:pt>
                <c:pt idx="842">
                  <c:v>1.80844</c:v>
                </c:pt>
                <c:pt idx="843">
                  <c:v>1.4773500000000002</c:v>
                </c:pt>
                <c:pt idx="844">
                  <c:v>1.4965999999999999</c:v>
                </c:pt>
                <c:pt idx="845">
                  <c:v>1.44913</c:v>
                </c:pt>
                <c:pt idx="846">
                  <c:v>1.4450999999999998</c:v>
                </c:pt>
                <c:pt idx="847">
                  <c:v>1.4654199999999999</c:v>
                </c:pt>
                <c:pt idx="848">
                  <c:v>1.5115000000000001</c:v>
                </c:pt>
                <c:pt idx="849">
                  <c:v>1.55846</c:v>
                </c:pt>
                <c:pt idx="850">
                  <c:v>1.67435</c:v>
                </c:pt>
                <c:pt idx="851">
                  <c:v>1.5345</c:v>
                </c:pt>
                <c:pt idx="852">
                  <c:v>1.5345</c:v>
                </c:pt>
                <c:pt idx="853">
                  <c:v>1.5345</c:v>
                </c:pt>
                <c:pt idx="854">
                  <c:v>1.3718199999999998</c:v>
                </c:pt>
                <c:pt idx="855">
                  <c:v>1.4428899999999998</c:v>
                </c:pt>
                <c:pt idx="856">
                  <c:v>1.3894499999999999</c:v>
                </c:pt>
                <c:pt idx="857">
                  <c:v>1.3283199999999999</c:v>
                </c:pt>
                <c:pt idx="858">
                  <c:v>1.31298</c:v>
                </c:pt>
                <c:pt idx="859">
                  <c:v>1.20201</c:v>
                </c:pt>
                <c:pt idx="860">
                  <c:v>1.1262399999999999</c:v>
                </c:pt>
                <c:pt idx="861">
                  <c:v>1.27034</c:v>
                </c:pt>
                <c:pt idx="862">
                  <c:v>1.26875</c:v>
                </c:pt>
                <c:pt idx="863">
                  <c:v>1.3007300000000002</c:v>
                </c:pt>
                <c:pt idx="864">
                  <c:v>1.4290399999999999</c:v>
                </c:pt>
                <c:pt idx="865">
                  <c:v>1.3902600000000001</c:v>
                </c:pt>
                <c:pt idx="866">
                  <c:v>1.42639</c:v>
                </c:pt>
                <c:pt idx="867">
                  <c:v>1.27467</c:v>
                </c:pt>
                <c:pt idx="868">
                  <c:v>1.27467</c:v>
                </c:pt>
                <c:pt idx="869">
                  <c:v>1.431</c:v>
                </c:pt>
                <c:pt idx="870">
                  <c:v>1.43228</c:v>
                </c:pt>
                <c:pt idx="871">
                  <c:v>1.6207499999999999</c:v>
                </c:pt>
                <c:pt idx="872">
                  <c:v>1.5214500000000002</c:v>
                </c:pt>
                <c:pt idx="873">
                  <c:v>1.5214500000000002</c:v>
                </c:pt>
                <c:pt idx="874">
                  <c:v>1.4772000000000001</c:v>
                </c:pt>
                <c:pt idx="875">
                  <c:v>1.7360200000000001</c:v>
                </c:pt>
                <c:pt idx="876">
                  <c:v>1.79966</c:v>
                </c:pt>
                <c:pt idx="877">
                  <c:v>1.6247900000000002</c:v>
                </c:pt>
                <c:pt idx="878">
                  <c:v>1.6356700000000002</c:v>
                </c:pt>
                <c:pt idx="879">
                  <c:v>1.6062700000000001</c:v>
                </c:pt>
                <c:pt idx="880">
                  <c:v>1.51254</c:v>
                </c:pt>
                <c:pt idx="881">
                  <c:v>1.50431</c:v>
                </c:pt>
                <c:pt idx="882">
                  <c:v>1.43909</c:v>
                </c:pt>
                <c:pt idx="883">
                  <c:v>1.4897999999999998</c:v>
                </c:pt>
                <c:pt idx="884">
                  <c:v>1.4581200000000001</c:v>
                </c:pt>
                <c:pt idx="885">
                  <c:v>1.4441900000000001</c:v>
                </c:pt>
                <c:pt idx="886">
                  <c:v>1.3064199999999999</c:v>
                </c:pt>
                <c:pt idx="887">
                  <c:v>1.30383</c:v>
                </c:pt>
                <c:pt idx="888">
                  <c:v>1.30383</c:v>
                </c:pt>
                <c:pt idx="889">
                  <c:v>1.4901</c:v>
                </c:pt>
                <c:pt idx="890">
                  <c:v>1.5400299999999998</c:v>
                </c:pt>
                <c:pt idx="891">
                  <c:v>1.57772</c:v>
                </c:pt>
                <c:pt idx="892">
                  <c:v>1.42482</c:v>
                </c:pt>
                <c:pt idx="893">
                  <c:v>1.5707800000000001</c:v>
                </c:pt>
                <c:pt idx="894">
                  <c:v>1.4641999999999999</c:v>
                </c:pt>
                <c:pt idx="895">
                  <c:v>1.52746</c:v>
                </c:pt>
                <c:pt idx="896">
                  <c:v>1.3853800000000001</c:v>
                </c:pt>
                <c:pt idx="897">
                  <c:v>1.39764</c:v>
                </c:pt>
                <c:pt idx="898">
                  <c:v>1.3791100000000001</c:v>
                </c:pt>
                <c:pt idx="899">
                  <c:v>1.4379400000000002</c:v>
                </c:pt>
                <c:pt idx="900">
                  <c:v>1.2799800000000001</c:v>
                </c:pt>
                <c:pt idx="901">
                  <c:v>1.50545</c:v>
                </c:pt>
                <c:pt idx="902">
                  <c:v>1.48041</c:v>
                </c:pt>
                <c:pt idx="903">
                  <c:v>1.4673099999999999</c:v>
                </c:pt>
                <c:pt idx="904">
                  <c:v>1.44062</c:v>
                </c:pt>
                <c:pt idx="905">
                  <c:v>1.3654400000000002</c:v>
                </c:pt>
                <c:pt idx="906">
                  <c:v>1.27986</c:v>
                </c:pt>
                <c:pt idx="907">
                  <c:v>1.4833600000000002</c:v>
                </c:pt>
                <c:pt idx="908">
                  <c:v>1.4329499999999999</c:v>
                </c:pt>
                <c:pt idx="909">
                  <c:v>1.1958299999999999</c:v>
                </c:pt>
                <c:pt idx="910">
                  <c:v>1.2412300000000001</c:v>
                </c:pt>
                <c:pt idx="911">
                  <c:v>1.1078300000000001</c:v>
                </c:pt>
                <c:pt idx="912">
                  <c:v>1.15723</c:v>
                </c:pt>
                <c:pt idx="913">
                  <c:v>1.0974699999999999</c:v>
                </c:pt>
                <c:pt idx="914">
                  <c:v>1.1805300000000001</c:v>
                </c:pt>
                <c:pt idx="915">
                  <c:v>1.38266</c:v>
                </c:pt>
                <c:pt idx="916">
                  <c:v>1.64628</c:v>
                </c:pt>
                <c:pt idx="917">
                  <c:v>1.7207400000000002</c:v>
                </c:pt>
                <c:pt idx="918">
                  <c:v>1.80203</c:v>
                </c:pt>
                <c:pt idx="919">
                  <c:v>1.7527299999999999</c:v>
                </c:pt>
                <c:pt idx="920">
                  <c:v>1.76084</c:v>
                </c:pt>
                <c:pt idx="921">
                  <c:v>1.93536</c:v>
                </c:pt>
                <c:pt idx="922">
                  <c:v>1.6990299999999998</c:v>
                </c:pt>
                <c:pt idx="923">
                  <c:v>1.7087999999999999</c:v>
                </c:pt>
                <c:pt idx="924">
                  <c:v>1.7047300000000001</c:v>
                </c:pt>
                <c:pt idx="925">
                  <c:v>1.70842</c:v>
                </c:pt>
                <c:pt idx="926">
                  <c:v>1.6082099999999999</c:v>
                </c:pt>
                <c:pt idx="927">
                  <c:v>1.6441600000000001</c:v>
                </c:pt>
                <c:pt idx="928">
                  <c:v>1.7538200000000002</c:v>
                </c:pt>
                <c:pt idx="929">
                  <c:v>1.5285300000000002</c:v>
                </c:pt>
                <c:pt idx="930">
                  <c:v>1.6151</c:v>
                </c:pt>
                <c:pt idx="931">
                  <c:v>1.6584200000000002</c:v>
                </c:pt>
                <c:pt idx="932">
                  <c:v>1.57572</c:v>
                </c:pt>
                <c:pt idx="933">
                  <c:v>1.5937799999999998</c:v>
                </c:pt>
                <c:pt idx="934">
                  <c:v>1.6993799999999999</c:v>
                </c:pt>
                <c:pt idx="935">
                  <c:v>1.6932800000000001</c:v>
                </c:pt>
                <c:pt idx="936">
                  <c:v>2.0588500000000001</c:v>
                </c:pt>
                <c:pt idx="937">
                  <c:v>2.02616</c:v>
                </c:pt>
                <c:pt idx="938">
                  <c:v>2.13984</c:v>
                </c:pt>
                <c:pt idx="939">
                  <c:v>2.1803599999999999</c:v>
                </c:pt>
                <c:pt idx="940">
                  <c:v>2.1372200000000001</c:v>
                </c:pt>
                <c:pt idx="941">
                  <c:v>2.1213199999999999</c:v>
                </c:pt>
                <c:pt idx="942">
                  <c:v>2.1264099999999999</c:v>
                </c:pt>
                <c:pt idx="943">
                  <c:v>1.92422</c:v>
                </c:pt>
                <c:pt idx="944">
                  <c:v>1.9909399999999999</c:v>
                </c:pt>
                <c:pt idx="945">
                  <c:v>1.9563900000000001</c:v>
                </c:pt>
                <c:pt idx="946">
                  <c:v>2.0133899999999998</c:v>
                </c:pt>
                <c:pt idx="947">
                  <c:v>2.0812200000000001</c:v>
                </c:pt>
                <c:pt idx="948">
                  <c:v>2.2430400000000001</c:v>
                </c:pt>
                <c:pt idx="949">
                  <c:v>2.0329600000000001</c:v>
                </c:pt>
                <c:pt idx="950">
                  <c:v>2.04541</c:v>
                </c:pt>
                <c:pt idx="951">
                  <c:v>1.9386300000000001</c:v>
                </c:pt>
                <c:pt idx="952">
                  <c:v>1.7844900000000001</c:v>
                </c:pt>
                <c:pt idx="953">
                  <c:v>1.7844900000000001</c:v>
                </c:pt>
                <c:pt idx="954">
                  <c:v>1.6711199999999999</c:v>
                </c:pt>
                <c:pt idx="955">
                  <c:v>1.7795699999999999</c:v>
                </c:pt>
                <c:pt idx="956">
                  <c:v>1.6777199999999999</c:v>
                </c:pt>
                <c:pt idx="957">
                  <c:v>1.7625</c:v>
                </c:pt>
                <c:pt idx="958">
                  <c:v>1.6806299999999998</c:v>
                </c:pt>
                <c:pt idx="959">
                  <c:v>1.7925899999999999</c:v>
                </c:pt>
                <c:pt idx="960">
                  <c:v>1.6473100000000001</c:v>
                </c:pt>
                <c:pt idx="961">
                  <c:v>1.8553999999999999</c:v>
                </c:pt>
                <c:pt idx="962">
                  <c:v>1.84477</c:v>
                </c:pt>
                <c:pt idx="963">
                  <c:v>1.7918799999999999</c:v>
                </c:pt>
              </c:numCache>
            </c:numRef>
          </c:val>
          <c:smooth val="0"/>
          <c:extLst>
            <c:ext xmlns:c16="http://schemas.microsoft.com/office/drawing/2014/chart" uri="{C3380CC4-5D6E-409C-BE32-E72D297353CC}">
              <c16:uniqueId val="{00000003-EBC4-4222-8B88-73469225685A}"/>
            </c:ext>
          </c:extLst>
        </c:ser>
        <c:ser>
          <c:idx val="8"/>
          <c:order val="8"/>
          <c:tx>
            <c:strRef>
              <c:f>Sheet1!$J$1</c:f>
              <c:strCache>
                <c:ptCount val="1"/>
                <c:pt idx="0">
                  <c:v>Թուրքիա (2030թ.)</c:v>
                </c:pt>
              </c:strCache>
            </c:strRef>
          </c:tx>
          <c:spPr>
            <a:ln w="19050" cap="rnd">
              <a:solidFill>
                <a:schemeClr val="accent3">
                  <a:lumMod val="60000"/>
                </a:schemeClr>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Sheet1!$J$2:$J$1226</c:f>
              <c:numCache>
                <c:formatCode>0</c:formatCode>
                <c:ptCount val="964"/>
                <c:pt idx="0">
                  <c:v>4.1417299999999999</c:v>
                </c:pt>
                <c:pt idx="1">
                  <c:v>4.0909199999999997</c:v>
                </c:pt>
                <c:pt idx="2">
                  <c:v>4.23231</c:v>
                </c:pt>
                <c:pt idx="3">
                  <c:v>4.2595000000000001</c:v>
                </c:pt>
                <c:pt idx="4">
                  <c:v>4.1876600000000002</c:v>
                </c:pt>
                <c:pt idx="5">
                  <c:v>4.0993500000000003</c:v>
                </c:pt>
                <c:pt idx="6">
                  <c:v>4.0383999999999993</c:v>
                </c:pt>
                <c:pt idx="7">
                  <c:v>4.0951300000000002</c:v>
                </c:pt>
                <c:pt idx="8">
                  <c:v>4.0040100000000001</c:v>
                </c:pt>
                <c:pt idx="9">
                  <c:v>3.9512099999999997</c:v>
                </c:pt>
                <c:pt idx="10">
                  <c:v>3.8744000000000001</c:v>
                </c:pt>
                <c:pt idx="11">
                  <c:v>3.8711000000000002</c:v>
                </c:pt>
                <c:pt idx="12">
                  <c:v>3.8580399999999999</c:v>
                </c:pt>
                <c:pt idx="13">
                  <c:v>3.8689100000000001</c:v>
                </c:pt>
                <c:pt idx="14">
                  <c:v>3.9017700000000004</c:v>
                </c:pt>
                <c:pt idx="15">
                  <c:v>3.8271499999999996</c:v>
                </c:pt>
                <c:pt idx="16">
                  <c:v>3.8307100000000003</c:v>
                </c:pt>
                <c:pt idx="17">
                  <c:v>3.8473899999999999</c:v>
                </c:pt>
                <c:pt idx="18">
                  <c:v>3.9666399999999999</c:v>
                </c:pt>
                <c:pt idx="19">
                  <c:v>3.8711599999999997</c:v>
                </c:pt>
                <c:pt idx="20">
                  <c:v>3.86293</c:v>
                </c:pt>
                <c:pt idx="21">
                  <c:v>3.92204</c:v>
                </c:pt>
                <c:pt idx="22">
                  <c:v>3.8813799999999996</c:v>
                </c:pt>
                <c:pt idx="23">
                  <c:v>3.92225</c:v>
                </c:pt>
                <c:pt idx="24">
                  <c:v>3.8558999999999997</c:v>
                </c:pt>
                <c:pt idx="25">
                  <c:v>3.8080500000000002</c:v>
                </c:pt>
                <c:pt idx="26">
                  <c:v>3.7781000000000002</c:v>
                </c:pt>
                <c:pt idx="27">
                  <c:v>3.9854799999999999</c:v>
                </c:pt>
                <c:pt idx="28">
                  <c:v>4.22485</c:v>
                </c:pt>
                <c:pt idx="29">
                  <c:v>4.1122399999999999</c:v>
                </c:pt>
                <c:pt idx="30">
                  <c:v>4.0239700000000003</c:v>
                </c:pt>
                <c:pt idx="31">
                  <c:v>4.04115</c:v>
                </c:pt>
                <c:pt idx="32">
                  <c:v>4.0489899999999999</c:v>
                </c:pt>
                <c:pt idx="33">
                  <c:v>4.0396000000000001</c:v>
                </c:pt>
                <c:pt idx="34">
                  <c:v>4.0714899999999998</c:v>
                </c:pt>
                <c:pt idx="35">
                  <c:v>4.1177099999999998</c:v>
                </c:pt>
                <c:pt idx="36">
                  <c:v>4.33962</c:v>
                </c:pt>
                <c:pt idx="37">
                  <c:v>4.3004500000000005</c:v>
                </c:pt>
                <c:pt idx="38">
                  <c:v>4.5122900000000001</c:v>
                </c:pt>
                <c:pt idx="39">
                  <c:v>4.5671900000000001</c:v>
                </c:pt>
                <c:pt idx="40">
                  <c:v>4.5598200000000002</c:v>
                </c:pt>
                <c:pt idx="41">
                  <c:v>4.8471099999999998</c:v>
                </c:pt>
                <c:pt idx="42">
                  <c:v>5.3716900000000001</c:v>
                </c:pt>
                <c:pt idx="43">
                  <c:v>5.2293700000000003</c:v>
                </c:pt>
                <c:pt idx="44">
                  <c:v>4.9679199999999994</c:v>
                </c:pt>
                <c:pt idx="45">
                  <c:v>4.8306300000000002</c:v>
                </c:pt>
                <c:pt idx="46">
                  <c:v>4.9259300000000001</c:v>
                </c:pt>
                <c:pt idx="47">
                  <c:v>5.4106100000000001</c:v>
                </c:pt>
                <c:pt idx="48">
                  <c:v>5.9940300000000004</c:v>
                </c:pt>
                <c:pt idx="49">
                  <c:v>5.6527899999999995</c:v>
                </c:pt>
                <c:pt idx="50">
                  <c:v>5.7658399999999999</c:v>
                </c:pt>
                <c:pt idx="51">
                  <c:v>6.7403099999999991</c:v>
                </c:pt>
                <c:pt idx="52">
                  <c:v>6.4669299999999996</c:v>
                </c:pt>
                <c:pt idx="53">
                  <c:v>7.2363900000000001</c:v>
                </c:pt>
                <c:pt idx="54">
                  <c:v>7.2914099999999999</c:v>
                </c:pt>
                <c:pt idx="55">
                  <c:v>7.9737699999999991</c:v>
                </c:pt>
                <c:pt idx="56">
                  <c:v>8.1214499999999994</c:v>
                </c:pt>
                <c:pt idx="57">
                  <c:v>7.8088800000000003</c:v>
                </c:pt>
                <c:pt idx="58">
                  <c:v>8.2005300000000005</c:v>
                </c:pt>
                <c:pt idx="59">
                  <c:v>7.8290300000000004</c:v>
                </c:pt>
                <c:pt idx="60">
                  <c:v>7.2967200000000005</c:v>
                </c:pt>
                <c:pt idx="61">
                  <c:v>7.2066300000000005</c:v>
                </c:pt>
                <c:pt idx="62">
                  <c:v>7.4291499999999999</c:v>
                </c:pt>
                <c:pt idx="63">
                  <c:v>7.7920000000000007</c:v>
                </c:pt>
                <c:pt idx="64">
                  <c:v>7.6443700000000003</c:v>
                </c:pt>
                <c:pt idx="65">
                  <c:v>8.1844699999999992</c:v>
                </c:pt>
                <c:pt idx="66">
                  <c:v>8.3825000000000003</c:v>
                </c:pt>
                <c:pt idx="67">
                  <c:v>8.8692999999999991</c:v>
                </c:pt>
                <c:pt idx="68">
                  <c:v>8.9425699999999999</c:v>
                </c:pt>
                <c:pt idx="69">
                  <c:v>8.4838400000000007</c:v>
                </c:pt>
                <c:pt idx="70">
                  <c:v>8.4426500000000004</c:v>
                </c:pt>
                <c:pt idx="71">
                  <c:v>7.6049800000000003</c:v>
                </c:pt>
                <c:pt idx="72">
                  <c:v>7.6184599999999998</c:v>
                </c:pt>
                <c:pt idx="73">
                  <c:v>7.5656399999999993</c:v>
                </c:pt>
                <c:pt idx="74">
                  <c:v>7.7251000000000003</c:v>
                </c:pt>
                <c:pt idx="75">
                  <c:v>7.9969700000000001</c:v>
                </c:pt>
                <c:pt idx="76">
                  <c:v>8.0991700000000009</c:v>
                </c:pt>
                <c:pt idx="77">
                  <c:v>8.0730199999999996</c:v>
                </c:pt>
                <c:pt idx="78">
                  <c:v>7.7168700000000001</c:v>
                </c:pt>
                <c:pt idx="79">
                  <c:v>7.8352599999999999</c:v>
                </c:pt>
                <c:pt idx="80">
                  <c:v>7.7777700000000003</c:v>
                </c:pt>
                <c:pt idx="81">
                  <c:v>7.7685799999999992</c:v>
                </c:pt>
                <c:pt idx="82">
                  <c:v>7.6891499999999997</c:v>
                </c:pt>
                <c:pt idx="83">
                  <c:v>7.4547400000000001</c:v>
                </c:pt>
                <c:pt idx="84">
                  <c:v>7.4516600000000004</c:v>
                </c:pt>
                <c:pt idx="85">
                  <c:v>7.3839899999999998</c:v>
                </c:pt>
                <c:pt idx="86">
                  <c:v>7.3648299999999995</c:v>
                </c:pt>
                <c:pt idx="87">
                  <c:v>7.3359299999999994</c:v>
                </c:pt>
                <c:pt idx="88">
                  <c:v>7.4013800000000005</c:v>
                </c:pt>
                <c:pt idx="89">
                  <c:v>7.2498400000000007</c:v>
                </c:pt>
                <c:pt idx="90">
                  <c:v>7.4296199999999999</c:v>
                </c:pt>
                <c:pt idx="91">
                  <c:v>7.5896299999999997</c:v>
                </c:pt>
                <c:pt idx="92">
                  <c:v>7.39025</c:v>
                </c:pt>
                <c:pt idx="93">
                  <c:v>7.3354999999999997</c:v>
                </c:pt>
                <c:pt idx="94">
                  <c:v>7.1533699999999998</c:v>
                </c:pt>
                <c:pt idx="95">
                  <c:v>7.25061</c:v>
                </c:pt>
                <c:pt idx="96">
                  <c:v>7.4099599999999999</c:v>
                </c:pt>
                <c:pt idx="97">
                  <c:v>7.3727800000000006</c:v>
                </c:pt>
                <c:pt idx="98">
                  <c:v>7.1289599999999993</c:v>
                </c:pt>
                <c:pt idx="99">
                  <c:v>7.0237699999999998</c:v>
                </c:pt>
                <c:pt idx="100">
                  <c:v>6.5174099999999999</c:v>
                </c:pt>
                <c:pt idx="101">
                  <c:v>6.3996199999999996</c:v>
                </c:pt>
                <c:pt idx="102">
                  <c:v>6.4731800000000002</c:v>
                </c:pt>
                <c:pt idx="103">
                  <c:v>6.4421400000000002</c:v>
                </c:pt>
                <c:pt idx="104">
                  <c:v>6.35968</c:v>
                </c:pt>
                <c:pt idx="105">
                  <c:v>6.4208799999999995</c:v>
                </c:pt>
                <c:pt idx="106">
                  <c:v>6.4846400000000006</c:v>
                </c:pt>
                <c:pt idx="107">
                  <c:v>6.5622900000000008</c:v>
                </c:pt>
                <c:pt idx="108">
                  <c:v>6.4792300000000003</c:v>
                </c:pt>
                <c:pt idx="109">
                  <c:v>6.2758399999999996</c:v>
                </c:pt>
                <c:pt idx="110">
                  <c:v>5.8595699999999997</c:v>
                </c:pt>
                <c:pt idx="111">
                  <c:v>5.8062000000000005</c:v>
                </c:pt>
                <c:pt idx="112">
                  <c:v>5.5213599999999996</c:v>
                </c:pt>
                <c:pt idx="113">
                  <c:v>5.4878</c:v>
                </c:pt>
                <c:pt idx="114">
                  <c:v>5.6770899999999997</c:v>
                </c:pt>
                <c:pt idx="115">
                  <c:v>5.7198900000000004</c:v>
                </c:pt>
                <c:pt idx="116">
                  <c:v>6.1014999999999997</c:v>
                </c:pt>
                <c:pt idx="117">
                  <c:v>5.9942100000000007</c:v>
                </c:pt>
                <c:pt idx="118">
                  <c:v>6.1084199999999997</c:v>
                </c:pt>
                <c:pt idx="119">
                  <c:v>5.8790800000000001</c:v>
                </c:pt>
                <c:pt idx="120">
                  <c:v>5.8039899999999998</c:v>
                </c:pt>
                <c:pt idx="121">
                  <c:v>5.9078099999999996</c:v>
                </c:pt>
                <c:pt idx="122">
                  <c:v>5.8664899999999998</c:v>
                </c:pt>
                <c:pt idx="123">
                  <c:v>5.92239</c:v>
                </c:pt>
                <c:pt idx="124">
                  <c:v>5.9107899999999995</c:v>
                </c:pt>
                <c:pt idx="125">
                  <c:v>6.0300500000000001</c:v>
                </c:pt>
                <c:pt idx="126">
                  <c:v>6.1536200000000001</c:v>
                </c:pt>
                <c:pt idx="127">
                  <c:v>6.0213699999999992</c:v>
                </c:pt>
                <c:pt idx="128">
                  <c:v>6.0926</c:v>
                </c:pt>
                <c:pt idx="129">
                  <c:v>6.0850499999999998</c:v>
                </c:pt>
                <c:pt idx="130">
                  <c:v>5.9553899999999995</c:v>
                </c:pt>
                <c:pt idx="131">
                  <c:v>5.8809799999999992</c:v>
                </c:pt>
                <c:pt idx="132">
                  <c:v>5.8420000000000005</c:v>
                </c:pt>
                <c:pt idx="133">
                  <c:v>5.9155800000000003</c:v>
                </c:pt>
                <c:pt idx="134">
                  <c:v>6.0036100000000001</c:v>
                </c:pt>
                <c:pt idx="135">
                  <c:v>6.0987099999999996</c:v>
                </c:pt>
                <c:pt idx="136">
                  <c:v>6.1628999999999996</c:v>
                </c:pt>
                <c:pt idx="137">
                  <c:v>6.3065700000000007</c:v>
                </c:pt>
                <c:pt idx="138">
                  <c:v>6.2312000000000003</c:v>
                </c:pt>
                <c:pt idx="139">
                  <c:v>6.3099699999999999</c:v>
                </c:pt>
                <c:pt idx="140">
                  <c:v>6.24085</c:v>
                </c:pt>
                <c:pt idx="141">
                  <c:v>6.2595500000000008</c:v>
                </c:pt>
                <c:pt idx="142">
                  <c:v>6.1727200000000009</c:v>
                </c:pt>
                <c:pt idx="143">
                  <c:v>6.148579999999999</c:v>
                </c:pt>
                <c:pt idx="144">
                  <c:v>5.9900500000000001</c:v>
                </c:pt>
                <c:pt idx="145">
                  <c:v>5.9464800000000002</c:v>
                </c:pt>
                <c:pt idx="146">
                  <c:v>5.8287900000000006</c:v>
                </c:pt>
                <c:pt idx="147">
                  <c:v>5.9771999999999998</c:v>
                </c:pt>
                <c:pt idx="148">
                  <c:v>5.9445500000000004</c:v>
                </c:pt>
                <c:pt idx="149">
                  <c:v>6.2625400000000004</c:v>
                </c:pt>
                <c:pt idx="150">
                  <c:v>6.4556300000000002</c:v>
                </c:pt>
                <c:pt idx="151">
                  <c:v>6.9411800000000001</c:v>
                </c:pt>
                <c:pt idx="152">
                  <c:v>6.8674300000000006</c:v>
                </c:pt>
                <c:pt idx="153">
                  <c:v>6.6889399999999997</c:v>
                </c:pt>
                <c:pt idx="154">
                  <c:v>6.9606899999999996</c:v>
                </c:pt>
                <c:pt idx="155">
                  <c:v>7.1173900000000003</c:v>
                </c:pt>
                <c:pt idx="156">
                  <c:v>7.3408199999999999</c:v>
                </c:pt>
                <c:pt idx="157">
                  <c:v>7.2199199999999992</c:v>
                </c:pt>
                <c:pt idx="158">
                  <c:v>7.0958000000000006</c:v>
                </c:pt>
                <c:pt idx="159">
                  <c:v>6.7208900000000007</c:v>
                </c:pt>
                <c:pt idx="160">
                  <c:v>6.4051300000000007</c:v>
                </c:pt>
                <c:pt idx="161">
                  <c:v>6.4252000000000002</c:v>
                </c:pt>
                <c:pt idx="162">
                  <c:v>6.6013300000000008</c:v>
                </c:pt>
                <c:pt idx="163">
                  <c:v>6.6879</c:v>
                </c:pt>
                <c:pt idx="164">
                  <c:v>6.7327599999999999</c:v>
                </c:pt>
                <c:pt idx="165">
                  <c:v>6.5444100000000001</c:v>
                </c:pt>
                <c:pt idx="166">
                  <c:v>6.5546500000000005</c:v>
                </c:pt>
                <c:pt idx="167">
                  <c:v>6.4664099999999998</c:v>
                </c:pt>
                <c:pt idx="168">
                  <c:v>6.4228800000000001</c:v>
                </c:pt>
                <c:pt idx="169">
                  <c:v>6.35</c:v>
                </c:pt>
                <c:pt idx="170">
                  <c:v>6.3508000000000004</c:v>
                </c:pt>
                <c:pt idx="171">
                  <c:v>6.2727200000000005</c:v>
                </c:pt>
                <c:pt idx="172">
                  <c:v>6.2449400000000006</c:v>
                </c:pt>
                <c:pt idx="173">
                  <c:v>6.25901</c:v>
                </c:pt>
                <c:pt idx="174">
                  <c:v>6.2439800000000005</c:v>
                </c:pt>
                <c:pt idx="175">
                  <c:v>6.1332399999999998</c:v>
                </c:pt>
                <c:pt idx="176">
                  <c:v>6.2123299999999997</c:v>
                </c:pt>
                <c:pt idx="177">
                  <c:v>6.2573100000000004</c:v>
                </c:pt>
                <c:pt idx="178">
                  <c:v>6.17014</c:v>
                </c:pt>
                <c:pt idx="179">
                  <c:v>6.2999400000000003</c:v>
                </c:pt>
                <c:pt idx="180">
                  <c:v>6.2535100000000003</c:v>
                </c:pt>
                <c:pt idx="181">
                  <c:v>6.2069600000000005</c:v>
                </c:pt>
                <c:pt idx="182">
                  <c:v>6.2096400000000003</c:v>
                </c:pt>
                <c:pt idx="183">
                  <c:v>6.3096000000000005</c:v>
                </c:pt>
                <c:pt idx="184">
                  <c:v>6.2801</c:v>
                </c:pt>
                <c:pt idx="185">
                  <c:v>6.2939300000000005</c:v>
                </c:pt>
                <c:pt idx="186">
                  <c:v>6.3355999999999995</c:v>
                </c:pt>
                <c:pt idx="187">
                  <c:v>6.4588000000000001</c:v>
                </c:pt>
                <c:pt idx="188">
                  <c:v>6.7203800000000005</c:v>
                </c:pt>
                <c:pt idx="189">
                  <c:v>6.7166999999999994</c:v>
                </c:pt>
                <c:pt idx="190">
                  <c:v>6.7133900000000004</c:v>
                </c:pt>
                <c:pt idx="191">
                  <c:v>6.7411900000000005</c:v>
                </c:pt>
                <c:pt idx="192">
                  <c:v>6.5713800000000004</c:v>
                </c:pt>
                <c:pt idx="193">
                  <c:v>6.6149300000000002</c:v>
                </c:pt>
                <c:pt idx="194">
                  <c:v>6.6812199999999997</c:v>
                </c:pt>
                <c:pt idx="195">
                  <c:v>6.5201900000000004</c:v>
                </c:pt>
                <c:pt idx="196">
                  <c:v>6.3656299999999995</c:v>
                </c:pt>
                <c:pt idx="197">
                  <c:v>6.4129700000000005</c:v>
                </c:pt>
                <c:pt idx="198">
                  <c:v>6.2832799999999995</c:v>
                </c:pt>
                <c:pt idx="199">
                  <c:v>6.1297100000000002</c:v>
                </c:pt>
                <c:pt idx="200">
                  <c:v>6.2674400000000006</c:v>
                </c:pt>
                <c:pt idx="201">
                  <c:v>6.4498800000000003</c:v>
                </c:pt>
                <c:pt idx="202">
                  <c:v>6.2503599999999997</c:v>
                </c:pt>
                <c:pt idx="203">
                  <c:v>6.2884799999999998</c:v>
                </c:pt>
                <c:pt idx="204">
                  <c:v>6.3217299999999996</c:v>
                </c:pt>
                <c:pt idx="205">
                  <c:v>6.4241099999999998</c:v>
                </c:pt>
                <c:pt idx="206">
                  <c:v>6.3922699999999999</c:v>
                </c:pt>
                <c:pt idx="207">
                  <c:v>6.3019500000000006</c:v>
                </c:pt>
                <c:pt idx="208">
                  <c:v>6.2155999999999993</c:v>
                </c:pt>
                <c:pt idx="209">
                  <c:v>6.1826700000000008</c:v>
                </c:pt>
                <c:pt idx="210">
                  <c:v>6.0846600000000004</c:v>
                </c:pt>
                <c:pt idx="211">
                  <c:v>6.2631899999999998</c:v>
                </c:pt>
                <c:pt idx="212">
                  <c:v>6.2572200000000002</c:v>
                </c:pt>
                <c:pt idx="213">
                  <c:v>6.4629799999999999</c:v>
                </c:pt>
                <c:pt idx="214">
                  <c:v>6.4574699999999998</c:v>
                </c:pt>
                <c:pt idx="215">
                  <c:v>6.6624099999999995</c:v>
                </c:pt>
                <c:pt idx="216">
                  <c:v>6.5929399999999996</c:v>
                </c:pt>
                <c:pt idx="217">
                  <c:v>6.5648299999999997</c:v>
                </c:pt>
                <c:pt idx="218">
                  <c:v>6.706900000000001</c:v>
                </c:pt>
                <c:pt idx="219">
                  <c:v>6.70174</c:v>
                </c:pt>
                <c:pt idx="220">
                  <c:v>6.6415599999999992</c:v>
                </c:pt>
                <c:pt idx="221">
                  <c:v>6.3393499999999996</c:v>
                </c:pt>
                <c:pt idx="222">
                  <c:v>6.3903499999999998</c:v>
                </c:pt>
                <c:pt idx="223">
                  <c:v>5.7539700000000007</c:v>
                </c:pt>
                <c:pt idx="224">
                  <c:v>5.6995100000000001</c:v>
                </c:pt>
                <c:pt idx="225">
                  <c:v>5.3240599999999993</c:v>
                </c:pt>
                <c:pt idx="226">
                  <c:v>5.3831100000000003</c:v>
                </c:pt>
                <c:pt idx="227">
                  <c:v>5.3532799999999998</c:v>
                </c:pt>
                <c:pt idx="228">
                  <c:v>5.2892299999999999</c:v>
                </c:pt>
                <c:pt idx="229">
                  <c:v>5.3824100000000001</c:v>
                </c:pt>
                <c:pt idx="230">
                  <c:v>5.2539400000000001</c:v>
                </c:pt>
                <c:pt idx="231">
                  <c:v>5.1006299999999998</c:v>
                </c:pt>
                <c:pt idx="232">
                  <c:v>5.1809500000000002</c:v>
                </c:pt>
                <c:pt idx="233">
                  <c:v>5.2441899999999997</c:v>
                </c:pt>
                <c:pt idx="234">
                  <c:v>5.1842600000000001</c:v>
                </c:pt>
                <c:pt idx="235">
                  <c:v>5.2066600000000003</c:v>
                </c:pt>
                <c:pt idx="236">
                  <c:v>5.1731799999999994</c:v>
                </c:pt>
                <c:pt idx="237">
                  <c:v>5.1027300000000002</c:v>
                </c:pt>
                <c:pt idx="238">
                  <c:v>5.1481899999999996</c:v>
                </c:pt>
                <c:pt idx="239">
                  <c:v>5.0476100000000006</c:v>
                </c:pt>
                <c:pt idx="240">
                  <c:v>4.9776400000000001</c:v>
                </c:pt>
                <c:pt idx="241">
                  <c:v>4.9188299999999998</c:v>
                </c:pt>
                <c:pt idx="242">
                  <c:v>4.8074300000000001</c:v>
                </c:pt>
                <c:pt idx="243">
                  <c:v>4.87202</c:v>
                </c:pt>
                <c:pt idx="244">
                  <c:v>4.9702599999999997</c:v>
                </c:pt>
                <c:pt idx="245">
                  <c:v>4.9638900000000001</c:v>
                </c:pt>
                <c:pt idx="246">
                  <c:v>5.0470800000000002</c:v>
                </c:pt>
                <c:pt idx="247">
                  <c:v>5.0641699999999998</c:v>
                </c:pt>
                <c:pt idx="248">
                  <c:v>5.0245800000000003</c:v>
                </c:pt>
                <c:pt idx="249">
                  <c:v>4.8768599999999998</c:v>
                </c:pt>
                <c:pt idx="250">
                  <c:v>4.7430599999999998</c:v>
                </c:pt>
                <c:pt idx="251">
                  <c:v>4.6466000000000003</c:v>
                </c:pt>
                <c:pt idx="252">
                  <c:v>4.5565899999999999</c:v>
                </c:pt>
                <c:pt idx="253">
                  <c:v>4.6399599999999994</c:v>
                </c:pt>
                <c:pt idx="254">
                  <c:v>4.6137899999999998</c:v>
                </c:pt>
                <c:pt idx="255">
                  <c:v>4.5711900000000005</c:v>
                </c:pt>
                <c:pt idx="256">
                  <c:v>4.5935600000000001</c:v>
                </c:pt>
                <c:pt idx="257">
                  <c:v>4.5935600000000001</c:v>
                </c:pt>
                <c:pt idx="258">
                  <c:v>4.5935600000000001</c:v>
                </c:pt>
                <c:pt idx="259">
                  <c:v>4.4755399999999996</c:v>
                </c:pt>
                <c:pt idx="260">
                  <c:v>4.4360600000000003</c:v>
                </c:pt>
                <c:pt idx="261">
                  <c:v>4.4516900000000001</c:v>
                </c:pt>
                <c:pt idx="262">
                  <c:v>4.4516900000000001</c:v>
                </c:pt>
                <c:pt idx="263">
                  <c:v>4.4689299999999994</c:v>
                </c:pt>
                <c:pt idx="264">
                  <c:v>4.4857100000000001</c:v>
                </c:pt>
                <c:pt idx="265">
                  <c:v>4.4390299999999998</c:v>
                </c:pt>
                <c:pt idx="266">
                  <c:v>4.3879199999999994</c:v>
                </c:pt>
                <c:pt idx="267">
                  <c:v>4.3602699999999999</c:v>
                </c:pt>
                <c:pt idx="268">
                  <c:v>4.4387400000000001</c:v>
                </c:pt>
                <c:pt idx="269">
                  <c:v>4.5359100000000003</c:v>
                </c:pt>
                <c:pt idx="270">
                  <c:v>4.4711099999999995</c:v>
                </c:pt>
                <c:pt idx="271">
                  <c:v>4.4696800000000003</c:v>
                </c:pt>
                <c:pt idx="272">
                  <c:v>4.5808499999999999</c:v>
                </c:pt>
                <c:pt idx="273">
                  <c:v>4.5936500000000002</c:v>
                </c:pt>
                <c:pt idx="274">
                  <c:v>4.6052600000000004</c:v>
                </c:pt>
                <c:pt idx="275">
                  <c:v>4.57355</c:v>
                </c:pt>
                <c:pt idx="276">
                  <c:v>4.4809599999999996</c:v>
                </c:pt>
                <c:pt idx="277">
                  <c:v>4.5194200000000002</c:v>
                </c:pt>
                <c:pt idx="278">
                  <c:v>4.55375</c:v>
                </c:pt>
                <c:pt idx="279">
                  <c:v>4.5127999999999995</c:v>
                </c:pt>
                <c:pt idx="280">
                  <c:v>4.5316099999999997</c:v>
                </c:pt>
                <c:pt idx="281">
                  <c:v>4.4259699999999995</c:v>
                </c:pt>
                <c:pt idx="282">
                  <c:v>4.3219600000000007</c:v>
                </c:pt>
                <c:pt idx="283">
                  <c:v>4.2636799999999999</c:v>
                </c:pt>
                <c:pt idx="284">
                  <c:v>4.2140699999999995</c:v>
                </c:pt>
                <c:pt idx="285">
                  <c:v>4.1867000000000001</c:v>
                </c:pt>
                <c:pt idx="286">
                  <c:v>4.1351800000000001</c:v>
                </c:pt>
                <c:pt idx="287">
                  <c:v>4.0422500000000001</c:v>
                </c:pt>
                <c:pt idx="288">
                  <c:v>4.0760800000000001</c:v>
                </c:pt>
                <c:pt idx="289">
                  <c:v>4.0913700000000004</c:v>
                </c:pt>
                <c:pt idx="290">
                  <c:v>4.0941900000000002</c:v>
                </c:pt>
                <c:pt idx="291">
                  <c:v>4.08474</c:v>
                </c:pt>
                <c:pt idx="292">
                  <c:v>4.0513700000000004</c:v>
                </c:pt>
                <c:pt idx="293">
                  <c:v>4.0132300000000001</c:v>
                </c:pt>
                <c:pt idx="294">
                  <c:v>4.0194099999999997</c:v>
                </c:pt>
                <c:pt idx="295">
                  <c:v>4.0656599999999994</c:v>
                </c:pt>
                <c:pt idx="296">
                  <c:v>4.00312</c:v>
                </c:pt>
                <c:pt idx="297">
                  <c:v>3.9539499999999999</c:v>
                </c:pt>
                <c:pt idx="298">
                  <c:v>4.0423900000000001</c:v>
                </c:pt>
                <c:pt idx="299">
                  <c:v>4.0688599999999999</c:v>
                </c:pt>
                <c:pt idx="300">
                  <c:v>4.1008599999999999</c:v>
                </c:pt>
                <c:pt idx="301">
                  <c:v>4.09138</c:v>
                </c:pt>
                <c:pt idx="302">
                  <c:v>4.2104600000000003</c:v>
                </c:pt>
                <c:pt idx="303">
                  <c:v>4.1267800000000001</c:v>
                </c:pt>
                <c:pt idx="304">
                  <c:v>4.1646700000000001</c:v>
                </c:pt>
                <c:pt idx="305">
                  <c:v>4.22525</c:v>
                </c:pt>
                <c:pt idx="306">
                  <c:v>4.3257099999999999</c:v>
                </c:pt>
                <c:pt idx="307">
                  <c:v>4.4067400000000001</c:v>
                </c:pt>
                <c:pt idx="308">
                  <c:v>4.5543300000000002</c:v>
                </c:pt>
                <c:pt idx="309">
                  <c:v>4.51309</c:v>
                </c:pt>
                <c:pt idx="310">
                  <c:v>4.42903</c:v>
                </c:pt>
                <c:pt idx="311">
                  <c:v>4.2550499999999998</c:v>
                </c:pt>
                <c:pt idx="312">
                  <c:v>4.28674</c:v>
                </c:pt>
                <c:pt idx="313">
                  <c:v>4.2250300000000003</c:v>
                </c:pt>
                <c:pt idx="314">
                  <c:v>4.1571699999999998</c:v>
                </c:pt>
                <c:pt idx="315">
                  <c:v>4.24871</c:v>
                </c:pt>
                <c:pt idx="316">
                  <c:v>4.1083999999999996</c:v>
                </c:pt>
                <c:pt idx="317">
                  <c:v>4.0827400000000003</c:v>
                </c:pt>
                <c:pt idx="318">
                  <c:v>5.3421099999999999</c:v>
                </c:pt>
                <c:pt idx="319">
                  <c:v>5.6747000000000005</c:v>
                </c:pt>
                <c:pt idx="320">
                  <c:v>5.4979700000000005</c:v>
                </c:pt>
                <c:pt idx="321">
                  <c:v>5.4731500000000004</c:v>
                </c:pt>
                <c:pt idx="322">
                  <c:v>5.48095</c:v>
                </c:pt>
                <c:pt idx="323">
                  <c:v>5.5245399999999991</c:v>
                </c:pt>
                <c:pt idx="324">
                  <c:v>5.5974400000000006</c:v>
                </c:pt>
                <c:pt idx="325">
                  <c:v>5.52616</c:v>
                </c:pt>
                <c:pt idx="326">
                  <c:v>5.2310799999999995</c:v>
                </c:pt>
                <c:pt idx="327">
                  <c:v>5.16831</c:v>
                </c:pt>
                <c:pt idx="328">
                  <c:v>5.1896100000000001</c:v>
                </c:pt>
                <c:pt idx="329">
                  <c:v>5.0465400000000002</c:v>
                </c:pt>
                <c:pt idx="330">
                  <c:v>5.0766600000000004</c:v>
                </c:pt>
                <c:pt idx="331">
                  <c:v>5.0792700000000002</c:v>
                </c:pt>
                <c:pt idx="332">
                  <c:v>5.0424800000000003</c:v>
                </c:pt>
                <c:pt idx="333">
                  <c:v>5.02285</c:v>
                </c:pt>
                <c:pt idx="334">
                  <c:v>5.0109599999999999</c:v>
                </c:pt>
                <c:pt idx="335">
                  <c:v>4.92096</c:v>
                </c:pt>
                <c:pt idx="336">
                  <c:v>4.8610800000000003</c:v>
                </c:pt>
                <c:pt idx="337">
                  <c:v>4.7742300000000002</c:v>
                </c:pt>
                <c:pt idx="338">
                  <c:v>4.6988700000000003</c:v>
                </c:pt>
                <c:pt idx="339">
                  <c:v>4.8122800000000003</c:v>
                </c:pt>
                <c:pt idx="340">
                  <c:v>4.8089599999999999</c:v>
                </c:pt>
                <c:pt idx="341">
                  <c:v>4.8786200000000006</c:v>
                </c:pt>
                <c:pt idx="342">
                  <c:v>4.9993999999999996</c:v>
                </c:pt>
                <c:pt idx="343">
                  <c:v>5.0382699999999998</c:v>
                </c:pt>
                <c:pt idx="344">
                  <c:v>4.9689800000000002</c:v>
                </c:pt>
                <c:pt idx="345">
                  <c:v>4.95207</c:v>
                </c:pt>
                <c:pt idx="346">
                  <c:v>4.90646</c:v>
                </c:pt>
                <c:pt idx="347">
                  <c:v>4.9194599999999999</c:v>
                </c:pt>
                <c:pt idx="348">
                  <c:v>4.9194599999999999</c:v>
                </c:pt>
                <c:pt idx="349">
                  <c:v>4.9429800000000004</c:v>
                </c:pt>
                <c:pt idx="350">
                  <c:v>4.8596899999999996</c:v>
                </c:pt>
                <c:pt idx="351">
                  <c:v>4.8165800000000001</c:v>
                </c:pt>
                <c:pt idx="352">
                  <c:v>4.7133599999999998</c:v>
                </c:pt>
                <c:pt idx="353">
                  <c:v>4.6537299999999995</c:v>
                </c:pt>
                <c:pt idx="354">
                  <c:v>4.6434100000000003</c:v>
                </c:pt>
                <c:pt idx="355">
                  <c:v>4.6897500000000001</c:v>
                </c:pt>
                <c:pt idx="356">
                  <c:v>4.7553099999999997</c:v>
                </c:pt>
                <c:pt idx="357">
                  <c:v>4.7158800000000003</c:v>
                </c:pt>
                <c:pt idx="358">
                  <c:v>4.6276299999999999</c:v>
                </c:pt>
                <c:pt idx="359">
                  <c:v>4.6087400000000001</c:v>
                </c:pt>
                <c:pt idx="360">
                  <c:v>4.6718299999999999</c:v>
                </c:pt>
                <c:pt idx="361">
                  <c:v>4.63767</c:v>
                </c:pt>
                <c:pt idx="362">
                  <c:v>4.6339299999999994</c:v>
                </c:pt>
                <c:pt idx="363">
                  <c:v>4.6505099999999997</c:v>
                </c:pt>
                <c:pt idx="364">
                  <c:v>4.6515300000000002</c:v>
                </c:pt>
                <c:pt idx="365">
                  <c:v>4.6512700000000002</c:v>
                </c:pt>
                <c:pt idx="366">
                  <c:v>4.5950799999999994</c:v>
                </c:pt>
                <c:pt idx="367">
                  <c:v>4.6970999999999998</c:v>
                </c:pt>
                <c:pt idx="368">
                  <c:v>4.6970999999999998</c:v>
                </c:pt>
                <c:pt idx="369">
                  <c:v>4.6500500000000002</c:v>
                </c:pt>
                <c:pt idx="370">
                  <c:v>4.6750999999999996</c:v>
                </c:pt>
                <c:pt idx="371">
                  <c:v>4.6752099999999999</c:v>
                </c:pt>
                <c:pt idx="372">
                  <c:v>4.7135899999999999</c:v>
                </c:pt>
                <c:pt idx="373">
                  <c:v>4.6837499999999999</c:v>
                </c:pt>
                <c:pt idx="374">
                  <c:v>4.6389800000000001</c:v>
                </c:pt>
                <c:pt idx="375">
                  <c:v>4.5327599999999997</c:v>
                </c:pt>
                <c:pt idx="376">
                  <c:v>4.4881700000000002</c:v>
                </c:pt>
                <c:pt idx="377">
                  <c:v>4.4506100000000002</c:v>
                </c:pt>
                <c:pt idx="378">
                  <c:v>4.4702500000000001</c:v>
                </c:pt>
                <c:pt idx="379">
                  <c:v>4.5376700000000003</c:v>
                </c:pt>
                <c:pt idx="380">
                  <c:v>4.5370499999999998</c:v>
                </c:pt>
                <c:pt idx="381">
                  <c:v>4.5731599999999997</c:v>
                </c:pt>
                <c:pt idx="382">
                  <c:v>4.5871899999999997</c:v>
                </c:pt>
                <c:pt idx="383">
                  <c:v>4.5977100000000002</c:v>
                </c:pt>
                <c:pt idx="384">
                  <c:v>4.5798300000000003</c:v>
                </c:pt>
                <c:pt idx="385">
                  <c:v>4.5369999999999999</c:v>
                </c:pt>
                <c:pt idx="386">
                  <c:v>4.5231900000000005</c:v>
                </c:pt>
                <c:pt idx="387">
                  <c:v>4.50176</c:v>
                </c:pt>
                <c:pt idx="388">
                  <c:v>4.5349900000000005</c:v>
                </c:pt>
                <c:pt idx="389">
                  <c:v>4.5457299999999998</c:v>
                </c:pt>
                <c:pt idx="390">
                  <c:v>4.5872199999999994</c:v>
                </c:pt>
                <c:pt idx="391">
                  <c:v>4.5833499999999994</c:v>
                </c:pt>
                <c:pt idx="392">
                  <c:v>4.63286</c:v>
                </c:pt>
                <c:pt idx="393">
                  <c:v>4.6575699999999998</c:v>
                </c:pt>
                <c:pt idx="394">
                  <c:v>4.7246300000000003</c:v>
                </c:pt>
                <c:pt idx="395">
                  <c:v>4.7459600000000002</c:v>
                </c:pt>
                <c:pt idx="396">
                  <c:v>4.7740800000000005</c:v>
                </c:pt>
                <c:pt idx="397">
                  <c:v>4.7018500000000003</c:v>
                </c:pt>
                <c:pt idx="398">
                  <c:v>4.6662400000000002</c:v>
                </c:pt>
                <c:pt idx="399">
                  <c:v>4.6724199999999998</c:v>
                </c:pt>
                <c:pt idx="400">
                  <c:v>4.6303400000000003</c:v>
                </c:pt>
                <c:pt idx="401">
                  <c:v>4.5804200000000002</c:v>
                </c:pt>
                <c:pt idx="402">
                  <c:v>4.5649600000000001</c:v>
                </c:pt>
                <c:pt idx="403">
                  <c:v>4.7142299999999997</c:v>
                </c:pt>
                <c:pt idx="404">
                  <c:v>4.7057900000000004</c:v>
                </c:pt>
                <c:pt idx="405">
                  <c:v>4.6434600000000001</c:v>
                </c:pt>
                <c:pt idx="406">
                  <c:v>4.6710199999999995</c:v>
                </c:pt>
                <c:pt idx="407">
                  <c:v>4.6334300000000006</c:v>
                </c:pt>
                <c:pt idx="408">
                  <c:v>4.6537600000000001</c:v>
                </c:pt>
                <c:pt idx="409">
                  <c:v>4.6790399999999996</c:v>
                </c:pt>
                <c:pt idx="410">
                  <c:v>4.6688299999999998</c:v>
                </c:pt>
                <c:pt idx="411">
                  <c:v>4.6315400000000002</c:v>
                </c:pt>
                <c:pt idx="412">
                  <c:v>4.6505799999999997</c:v>
                </c:pt>
                <c:pt idx="413">
                  <c:v>4.6525599999999994</c:v>
                </c:pt>
                <c:pt idx="414">
                  <c:v>4.6482700000000001</c:v>
                </c:pt>
                <c:pt idx="415">
                  <c:v>4.6777300000000004</c:v>
                </c:pt>
                <c:pt idx="416">
                  <c:v>4.6761400000000002</c:v>
                </c:pt>
                <c:pt idx="417">
                  <c:v>4.6838899999999999</c:v>
                </c:pt>
                <c:pt idx="418">
                  <c:v>4.7021600000000001</c:v>
                </c:pt>
                <c:pt idx="419">
                  <c:v>4.6779000000000002</c:v>
                </c:pt>
                <c:pt idx="420">
                  <c:v>4.6953699999999996</c:v>
                </c:pt>
                <c:pt idx="421">
                  <c:v>4.6216900000000001</c:v>
                </c:pt>
                <c:pt idx="422">
                  <c:v>4.6037599999999994</c:v>
                </c:pt>
                <c:pt idx="423">
                  <c:v>4.5855100000000002</c:v>
                </c:pt>
                <c:pt idx="424">
                  <c:v>4.5629200000000001</c:v>
                </c:pt>
                <c:pt idx="425">
                  <c:v>4.5761700000000003</c:v>
                </c:pt>
                <c:pt idx="426">
                  <c:v>4.6447199999999995</c:v>
                </c:pt>
                <c:pt idx="427">
                  <c:v>4.6276999999999999</c:v>
                </c:pt>
                <c:pt idx="428">
                  <c:v>4.6116299999999999</c:v>
                </c:pt>
                <c:pt idx="429">
                  <c:v>4.52217</c:v>
                </c:pt>
                <c:pt idx="430">
                  <c:v>4.4324500000000002</c:v>
                </c:pt>
                <c:pt idx="431">
                  <c:v>4.4090400000000001</c:v>
                </c:pt>
                <c:pt idx="432">
                  <c:v>4.4063400000000001</c:v>
                </c:pt>
                <c:pt idx="433">
                  <c:v>4.4063400000000001</c:v>
                </c:pt>
                <c:pt idx="434">
                  <c:v>4.3598600000000003</c:v>
                </c:pt>
                <c:pt idx="435">
                  <c:v>4.3926499999999997</c:v>
                </c:pt>
                <c:pt idx="436">
                  <c:v>4.4152899999999997</c:v>
                </c:pt>
                <c:pt idx="437">
                  <c:v>4.4089100000000006</c:v>
                </c:pt>
                <c:pt idx="438">
                  <c:v>4.4099300000000001</c:v>
                </c:pt>
                <c:pt idx="439">
                  <c:v>4.3917799999999998</c:v>
                </c:pt>
                <c:pt idx="440">
                  <c:v>4.4377899999999997</c:v>
                </c:pt>
                <c:pt idx="441">
                  <c:v>4.4651199999999998</c:v>
                </c:pt>
                <c:pt idx="442">
                  <c:v>4.4290699999999994</c:v>
                </c:pt>
                <c:pt idx="443">
                  <c:v>4.5101800000000001</c:v>
                </c:pt>
                <c:pt idx="444">
                  <c:v>4.5577199999999998</c:v>
                </c:pt>
                <c:pt idx="445">
                  <c:v>4.5530499999999998</c:v>
                </c:pt>
                <c:pt idx="446">
                  <c:v>4.6286300000000002</c:v>
                </c:pt>
                <c:pt idx="447">
                  <c:v>4.68797</c:v>
                </c:pt>
                <c:pt idx="448">
                  <c:v>4.7916600000000003</c:v>
                </c:pt>
                <c:pt idx="449">
                  <c:v>4.7038900000000003</c:v>
                </c:pt>
                <c:pt idx="450">
                  <c:v>4.7688899999999999</c:v>
                </c:pt>
                <c:pt idx="451">
                  <c:v>4.8660500000000004</c:v>
                </c:pt>
                <c:pt idx="452">
                  <c:v>4.9761100000000003</c:v>
                </c:pt>
                <c:pt idx="453">
                  <c:v>5.0360800000000001</c:v>
                </c:pt>
                <c:pt idx="454">
                  <c:v>5.0574300000000001</c:v>
                </c:pt>
                <c:pt idx="455">
                  <c:v>4.9402800000000004</c:v>
                </c:pt>
                <c:pt idx="456">
                  <c:v>4.91629</c:v>
                </c:pt>
                <c:pt idx="457">
                  <c:v>4.98393</c:v>
                </c:pt>
                <c:pt idx="458">
                  <c:v>4.9721500000000001</c:v>
                </c:pt>
                <c:pt idx="459">
                  <c:v>4.9268999999999998</c:v>
                </c:pt>
                <c:pt idx="460">
                  <c:v>4.9852100000000004</c:v>
                </c:pt>
                <c:pt idx="461">
                  <c:v>4.8669900000000004</c:v>
                </c:pt>
                <c:pt idx="462">
                  <c:v>4.9335199999999997</c:v>
                </c:pt>
                <c:pt idx="463">
                  <c:v>4.9658499999999997</c:v>
                </c:pt>
                <c:pt idx="464">
                  <c:v>4.9896799999999999</c:v>
                </c:pt>
                <c:pt idx="465">
                  <c:v>5.01126</c:v>
                </c:pt>
                <c:pt idx="466">
                  <c:v>5.1179800000000002</c:v>
                </c:pt>
                <c:pt idx="467">
                  <c:v>5.0922599999999996</c:v>
                </c:pt>
                <c:pt idx="468">
                  <c:v>5.1758299999999995</c:v>
                </c:pt>
                <c:pt idx="469">
                  <c:v>5.10975</c:v>
                </c:pt>
                <c:pt idx="470">
                  <c:v>5.0542800000000003</c:v>
                </c:pt>
                <c:pt idx="471">
                  <c:v>5.1594000000000007</c:v>
                </c:pt>
                <c:pt idx="472">
                  <c:v>5.2278500000000001</c:v>
                </c:pt>
                <c:pt idx="473">
                  <c:v>5.2037699999999996</c:v>
                </c:pt>
                <c:pt idx="474">
                  <c:v>5.03444</c:v>
                </c:pt>
                <c:pt idx="475">
                  <c:v>5.04941</c:v>
                </c:pt>
                <c:pt idx="476">
                  <c:v>5.0848500000000003</c:v>
                </c:pt>
                <c:pt idx="477">
                  <c:v>5.0937099999999997</c:v>
                </c:pt>
                <c:pt idx="478">
                  <c:v>5.0292500000000002</c:v>
                </c:pt>
                <c:pt idx="479">
                  <c:v>4.9797099999999999</c:v>
                </c:pt>
                <c:pt idx="480">
                  <c:v>4.8973500000000003</c:v>
                </c:pt>
                <c:pt idx="481">
                  <c:v>4.80816</c:v>
                </c:pt>
                <c:pt idx="482">
                  <c:v>4.7345499999999996</c:v>
                </c:pt>
                <c:pt idx="483">
                  <c:v>4.66812</c:v>
                </c:pt>
                <c:pt idx="484">
                  <c:v>4.7579399999999996</c:v>
                </c:pt>
                <c:pt idx="485">
                  <c:v>4.7598799999999999</c:v>
                </c:pt>
                <c:pt idx="486">
                  <c:v>4.8263099999999994</c:v>
                </c:pt>
                <c:pt idx="487">
                  <c:v>4.7712200000000005</c:v>
                </c:pt>
                <c:pt idx="488">
                  <c:v>4.7005799999999995</c:v>
                </c:pt>
                <c:pt idx="489">
                  <c:v>4.8090000000000002</c:v>
                </c:pt>
                <c:pt idx="490">
                  <c:v>4.9057700000000004</c:v>
                </c:pt>
                <c:pt idx="491">
                  <c:v>5.1655800000000003</c:v>
                </c:pt>
                <c:pt idx="492">
                  <c:v>5.1469300000000002</c:v>
                </c:pt>
                <c:pt idx="493">
                  <c:v>5.0756699999999997</c:v>
                </c:pt>
                <c:pt idx="494">
                  <c:v>5.3411499999999998</c:v>
                </c:pt>
                <c:pt idx="495">
                  <c:v>5.28505</c:v>
                </c:pt>
                <c:pt idx="496">
                  <c:v>5.3386800000000001</c:v>
                </c:pt>
                <c:pt idx="497">
                  <c:v>5.56874</c:v>
                </c:pt>
                <c:pt idx="498">
                  <c:v>5.6217100000000002</c:v>
                </c:pt>
                <c:pt idx="499">
                  <c:v>5.7007399999999997</c:v>
                </c:pt>
                <c:pt idx="500">
                  <c:v>5.8319200000000002</c:v>
                </c:pt>
                <c:pt idx="501">
                  <c:v>5.9352999999999998</c:v>
                </c:pt>
                <c:pt idx="502">
                  <c:v>6.03078</c:v>
                </c:pt>
                <c:pt idx="503">
                  <c:v>6.0398699999999996</c:v>
                </c:pt>
                <c:pt idx="504">
                  <c:v>5.5779100000000001</c:v>
                </c:pt>
                <c:pt idx="505">
                  <c:v>5.3676300000000001</c:v>
                </c:pt>
                <c:pt idx="506">
                  <c:v>5.4784500000000005</c:v>
                </c:pt>
                <c:pt idx="507">
                  <c:v>5.6824400000000006</c:v>
                </c:pt>
                <c:pt idx="508">
                  <c:v>5.8663699999999999</c:v>
                </c:pt>
                <c:pt idx="509">
                  <c:v>5.8997099999999998</c:v>
                </c:pt>
                <c:pt idx="510">
                  <c:v>5.9220500000000005</c:v>
                </c:pt>
                <c:pt idx="511">
                  <c:v>5.9238599999999995</c:v>
                </c:pt>
                <c:pt idx="512">
                  <c:v>6.3353599999999997</c:v>
                </c:pt>
                <c:pt idx="513">
                  <c:v>6.8767800000000001</c:v>
                </c:pt>
                <c:pt idx="514">
                  <c:v>6.5565999999999995</c:v>
                </c:pt>
                <c:pt idx="515">
                  <c:v>6.5528499999999994</c:v>
                </c:pt>
                <c:pt idx="516">
                  <c:v>6.1842800000000002</c:v>
                </c:pt>
                <c:pt idx="517">
                  <c:v>6.1791700000000001</c:v>
                </c:pt>
                <c:pt idx="518">
                  <c:v>6.1791700000000001</c:v>
                </c:pt>
                <c:pt idx="519">
                  <c:v>6.1791700000000001</c:v>
                </c:pt>
                <c:pt idx="520">
                  <c:v>6.0787599999999999</c:v>
                </c:pt>
                <c:pt idx="521">
                  <c:v>6.0569199999999999</c:v>
                </c:pt>
                <c:pt idx="522">
                  <c:v>6.0749300000000002</c:v>
                </c:pt>
                <c:pt idx="523">
                  <c:v>6.0749300000000002</c:v>
                </c:pt>
                <c:pt idx="524">
                  <c:v>5.88354</c:v>
                </c:pt>
                <c:pt idx="525">
                  <c:v>5.8890599999999997</c:v>
                </c:pt>
                <c:pt idx="526">
                  <c:v>6.0176800000000004</c:v>
                </c:pt>
                <c:pt idx="527">
                  <c:v>6.0657000000000005</c:v>
                </c:pt>
                <c:pt idx="528">
                  <c:v>6.2122000000000002</c:v>
                </c:pt>
                <c:pt idx="529">
                  <c:v>6.1975800000000003</c:v>
                </c:pt>
                <c:pt idx="530">
                  <c:v>6.0821299999999994</c:v>
                </c:pt>
                <c:pt idx="531">
                  <c:v>5.9057599999999999</c:v>
                </c:pt>
                <c:pt idx="532">
                  <c:v>5.9339499999999994</c:v>
                </c:pt>
                <c:pt idx="533">
                  <c:v>5.96068</c:v>
                </c:pt>
                <c:pt idx="534">
                  <c:v>5.9621599999999999</c:v>
                </c:pt>
                <c:pt idx="535">
                  <c:v>5.9001599999999996</c:v>
                </c:pt>
                <c:pt idx="536">
                  <c:v>5.7451300000000005</c:v>
                </c:pt>
                <c:pt idx="537">
                  <c:v>5.7611300000000005</c:v>
                </c:pt>
                <c:pt idx="538">
                  <c:v>5.87256</c:v>
                </c:pt>
                <c:pt idx="539">
                  <c:v>5.8790099999999992</c:v>
                </c:pt>
                <c:pt idx="540">
                  <c:v>5.7715099999999993</c:v>
                </c:pt>
                <c:pt idx="541">
                  <c:v>5.7756500000000006</c:v>
                </c:pt>
                <c:pt idx="542">
                  <c:v>5.8899400000000002</c:v>
                </c:pt>
                <c:pt idx="543">
                  <c:v>5.8962300000000001</c:v>
                </c:pt>
                <c:pt idx="544">
                  <c:v>5.8764200000000004</c:v>
                </c:pt>
                <c:pt idx="545">
                  <c:v>5.865359999999999</c:v>
                </c:pt>
                <c:pt idx="546">
                  <c:v>5.8439300000000003</c:v>
                </c:pt>
                <c:pt idx="547">
                  <c:v>5.8771299999999993</c:v>
                </c:pt>
                <c:pt idx="548">
                  <c:v>5.8963699999999992</c:v>
                </c:pt>
                <c:pt idx="549">
                  <c:v>5.8306700000000005</c:v>
                </c:pt>
                <c:pt idx="550">
                  <c:v>5.7083599999999999</c:v>
                </c:pt>
                <c:pt idx="551">
                  <c:v>5.5640999999999998</c:v>
                </c:pt>
                <c:pt idx="552">
                  <c:v>5.5618799999999995</c:v>
                </c:pt>
                <c:pt idx="553">
                  <c:v>5.6640999999999995</c:v>
                </c:pt>
                <c:pt idx="554">
                  <c:v>5.6649199999999995</c:v>
                </c:pt>
                <c:pt idx="555">
                  <c:v>5.6378399999999997</c:v>
                </c:pt>
                <c:pt idx="556">
                  <c:v>5.73644</c:v>
                </c:pt>
                <c:pt idx="557">
                  <c:v>5.7834099999999999</c:v>
                </c:pt>
                <c:pt idx="558">
                  <c:v>5.7959799999999992</c:v>
                </c:pt>
                <c:pt idx="559">
                  <c:v>5.8412100000000002</c:v>
                </c:pt>
                <c:pt idx="560">
                  <c:v>5.9574999999999996</c:v>
                </c:pt>
                <c:pt idx="561">
                  <c:v>6.4316600000000008</c:v>
                </c:pt>
                <c:pt idx="562">
                  <c:v>6.0645000000000007</c:v>
                </c:pt>
                <c:pt idx="563">
                  <c:v>6.2039099999999996</c:v>
                </c:pt>
                <c:pt idx="564">
                  <c:v>6.2946500000000007</c:v>
                </c:pt>
                <c:pt idx="565">
                  <c:v>6.3707899999999995</c:v>
                </c:pt>
                <c:pt idx="566">
                  <c:v>6.5244899999999992</c:v>
                </c:pt>
                <c:pt idx="567">
                  <c:v>7.0014700000000003</c:v>
                </c:pt>
                <c:pt idx="568">
                  <c:v>7.4830300000000003</c:v>
                </c:pt>
                <c:pt idx="569">
                  <c:v>7.3613499999999998</c:v>
                </c:pt>
                <c:pt idx="570">
                  <c:v>6.9453899999999997</c:v>
                </c:pt>
                <c:pt idx="571">
                  <c:v>6.9178200000000007</c:v>
                </c:pt>
                <c:pt idx="572">
                  <c:v>6.8446799999999994</c:v>
                </c:pt>
                <c:pt idx="573">
                  <c:v>6.7123800000000005</c:v>
                </c:pt>
                <c:pt idx="574">
                  <c:v>6.4322400000000002</c:v>
                </c:pt>
                <c:pt idx="575">
                  <c:v>6.0051800000000002</c:v>
                </c:pt>
                <c:pt idx="576">
                  <c:v>6.1883299999999997</c:v>
                </c:pt>
                <c:pt idx="577">
                  <c:v>6.2890599999999992</c:v>
                </c:pt>
                <c:pt idx="578">
                  <c:v>6.1723099999999995</c:v>
                </c:pt>
                <c:pt idx="579">
                  <c:v>6.1587100000000001</c:v>
                </c:pt>
                <c:pt idx="580">
                  <c:v>6.1513300000000006</c:v>
                </c:pt>
                <c:pt idx="581">
                  <c:v>6.1913900000000002</c:v>
                </c:pt>
                <c:pt idx="582">
                  <c:v>6.0320100000000005</c:v>
                </c:pt>
                <c:pt idx="583">
                  <c:v>6.0258199999999995</c:v>
                </c:pt>
                <c:pt idx="584">
                  <c:v>5.7617399999999996</c:v>
                </c:pt>
                <c:pt idx="585">
                  <c:v>5.8148400000000002</c:v>
                </c:pt>
                <c:pt idx="586">
                  <c:v>5.7685500000000003</c:v>
                </c:pt>
                <c:pt idx="587">
                  <c:v>5.7666499999999994</c:v>
                </c:pt>
                <c:pt idx="588">
                  <c:v>5.7497400000000001</c:v>
                </c:pt>
                <c:pt idx="589">
                  <c:v>5.7124899999999998</c:v>
                </c:pt>
                <c:pt idx="590">
                  <c:v>5.8617900000000001</c:v>
                </c:pt>
                <c:pt idx="591">
                  <c:v>5.7964500000000001</c:v>
                </c:pt>
                <c:pt idx="592">
                  <c:v>5.7932600000000001</c:v>
                </c:pt>
                <c:pt idx="593">
                  <c:v>5.7884400000000005</c:v>
                </c:pt>
                <c:pt idx="594">
                  <c:v>5.8310299999999993</c:v>
                </c:pt>
                <c:pt idx="595">
                  <c:v>5.7561499999999999</c:v>
                </c:pt>
                <c:pt idx="596">
                  <c:v>5.6111400000000007</c:v>
                </c:pt>
                <c:pt idx="597">
                  <c:v>5.5833399999999997</c:v>
                </c:pt>
                <c:pt idx="598">
                  <c:v>5.55633</c:v>
                </c:pt>
                <c:pt idx="599">
                  <c:v>5.6103800000000001</c:v>
                </c:pt>
                <c:pt idx="600">
                  <c:v>5.4575100000000001</c:v>
                </c:pt>
                <c:pt idx="601">
                  <c:v>5.3731399999999994</c:v>
                </c:pt>
                <c:pt idx="602">
                  <c:v>5.4366099999999991</c:v>
                </c:pt>
                <c:pt idx="603">
                  <c:v>5.6189099999999996</c:v>
                </c:pt>
                <c:pt idx="604">
                  <c:v>5.6001099999999999</c:v>
                </c:pt>
                <c:pt idx="605">
                  <c:v>5.5943899999999998</c:v>
                </c:pt>
                <c:pt idx="606">
                  <c:v>5.5189500000000002</c:v>
                </c:pt>
                <c:pt idx="607">
                  <c:v>5.5768700000000004</c:v>
                </c:pt>
                <c:pt idx="608">
                  <c:v>5.5768700000000004</c:v>
                </c:pt>
                <c:pt idx="609">
                  <c:v>5.679829999999999</c:v>
                </c:pt>
                <c:pt idx="610">
                  <c:v>5.6224499999999997</c:v>
                </c:pt>
                <c:pt idx="611">
                  <c:v>5.5711599999999999</c:v>
                </c:pt>
                <c:pt idx="612">
                  <c:v>5.7975500000000002</c:v>
                </c:pt>
                <c:pt idx="613">
                  <c:v>6.0653599999999992</c:v>
                </c:pt>
                <c:pt idx="614">
                  <c:v>6.2304100000000009</c:v>
                </c:pt>
                <c:pt idx="615">
                  <c:v>6.1356700000000002</c:v>
                </c:pt>
                <c:pt idx="616">
                  <c:v>6.3549699999999998</c:v>
                </c:pt>
                <c:pt idx="617">
                  <c:v>6.44034</c:v>
                </c:pt>
                <c:pt idx="618">
                  <c:v>6.5771900000000008</c:v>
                </c:pt>
                <c:pt idx="619">
                  <c:v>6.3209400000000002</c:v>
                </c:pt>
                <c:pt idx="620">
                  <c:v>6.3763499999999995</c:v>
                </c:pt>
                <c:pt idx="621">
                  <c:v>6.5899599999999996</c:v>
                </c:pt>
                <c:pt idx="622">
                  <c:v>6.5018200000000004</c:v>
                </c:pt>
                <c:pt idx="623">
                  <c:v>6.2312800000000008</c:v>
                </c:pt>
                <c:pt idx="624">
                  <c:v>6.5469299999999997</c:v>
                </c:pt>
                <c:pt idx="625">
                  <c:v>6.5625499999999999</c:v>
                </c:pt>
                <c:pt idx="626">
                  <c:v>6.4043499999999991</c:v>
                </c:pt>
                <c:pt idx="627">
                  <c:v>6.3425900000000004</c:v>
                </c:pt>
                <c:pt idx="628">
                  <c:v>6.2881100000000005</c:v>
                </c:pt>
                <c:pt idx="629">
                  <c:v>6.2455299999999996</c:v>
                </c:pt>
                <c:pt idx="630">
                  <c:v>6.1899499999999996</c:v>
                </c:pt>
                <c:pt idx="631">
                  <c:v>6.1899499999999996</c:v>
                </c:pt>
                <c:pt idx="632">
                  <c:v>6.1899499999999996</c:v>
                </c:pt>
                <c:pt idx="633">
                  <c:v>6.1505299999999998</c:v>
                </c:pt>
                <c:pt idx="634">
                  <c:v>6.3622299999999994</c:v>
                </c:pt>
                <c:pt idx="635">
                  <c:v>6.84138</c:v>
                </c:pt>
                <c:pt idx="636">
                  <c:v>7.0616099999999991</c:v>
                </c:pt>
                <c:pt idx="637">
                  <c:v>7.3725699999999996</c:v>
                </c:pt>
                <c:pt idx="638">
                  <c:v>7.7608799999999993</c:v>
                </c:pt>
                <c:pt idx="639">
                  <c:v>7.4668200000000002</c:v>
                </c:pt>
                <c:pt idx="640">
                  <c:v>7.1303799999999997</c:v>
                </c:pt>
                <c:pt idx="641">
                  <c:v>7.3495299999999997</c:v>
                </c:pt>
                <c:pt idx="642">
                  <c:v>7.3486000000000002</c:v>
                </c:pt>
                <c:pt idx="643">
                  <c:v>7.2592600000000003</c:v>
                </c:pt>
                <c:pt idx="644">
                  <c:v>7.0767199999999999</c:v>
                </c:pt>
                <c:pt idx="645">
                  <c:v>7.1049199999999999</c:v>
                </c:pt>
                <c:pt idx="646">
                  <c:v>7.0571900000000003</c:v>
                </c:pt>
                <c:pt idx="647">
                  <c:v>6.9247699999999996</c:v>
                </c:pt>
                <c:pt idx="648">
                  <c:v>6.6643699999999999</c:v>
                </c:pt>
                <c:pt idx="649">
                  <c:v>6.97187</c:v>
                </c:pt>
                <c:pt idx="650">
                  <c:v>7.4524099999999995</c:v>
                </c:pt>
                <c:pt idx="651">
                  <c:v>7.8157699999999997</c:v>
                </c:pt>
                <c:pt idx="652">
                  <c:v>7.83596</c:v>
                </c:pt>
                <c:pt idx="653">
                  <c:v>7.8107100000000003</c:v>
                </c:pt>
                <c:pt idx="654">
                  <c:v>7.98956</c:v>
                </c:pt>
                <c:pt idx="655">
                  <c:v>7.9959799999999994</c:v>
                </c:pt>
                <c:pt idx="656">
                  <c:v>7.9854499999999993</c:v>
                </c:pt>
                <c:pt idx="657">
                  <c:v>7.9915899999999995</c:v>
                </c:pt>
                <c:pt idx="658">
                  <c:v>8.2869600000000005</c:v>
                </c:pt>
                <c:pt idx="659">
                  <c:v>8.5839499999999997</c:v>
                </c:pt>
                <c:pt idx="660">
                  <c:v>8.6005699999999994</c:v>
                </c:pt>
                <c:pt idx="661">
                  <c:v>8.69482</c:v>
                </c:pt>
                <c:pt idx="662">
                  <c:v>8.6249500000000001</c:v>
                </c:pt>
                <c:pt idx="663">
                  <c:v>8.2516300000000005</c:v>
                </c:pt>
                <c:pt idx="664">
                  <c:v>8.1339400000000008</c:v>
                </c:pt>
                <c:pt idx="665">
                  <c:v>7.8172699999999997</c:v>
                </c:pt>
                <c:pt idx="666">
                  <c:v>7.8530999999999995</c:v>
                </c:pt>
                <c:pt idx="667">
                  <c:v>8.0628599999999988</c:v>
                </c:pt>
                <c:pt idx="668">
                  <c:v>8.1109299999999998</c:v>
                </c:pt>
                <c:pt idx="669">
                  <c:v>8.4709400000000006</c:v>
                </c:pt>
                <c:pt idx="670">
                  <c:v>8.4943899999999992</c:v>
                </c:pt>
                <c:pt idx="671">
                  <c:v>8.1989599999999996</c:v>
                </c:pt>
                <c:pt idx="672">
                  <c:v>7.9061199999999996</c:v>
                </c:pt>
                <c:pt idx="673">
                  <c:v>7.6036300000000008</c:v>
                </c:pt>
                <c:pt idx="674">
                  <c:v>7.5689099999999998</c:v>
                </c:pt>
                <c:pt idx="675">
                  <c:v>7.3977499999999994</c:v>
                </c:pt>
                <c:pt idx="676">
                  <c:v>7.2286900000000003</c:v>
                </c:pt>
                <c:pt idx="677">
                  <c:v>6.9141300000000001</c:v>
                </c:pt>
                <c:pt idx="678">
                  <c:v>6.7764999999999995</c:v>
                </c:pt>
                <c:pt idx="679">
                  <c:v>6.7126999999999999</c:v>
                </c:pt>
                <c:pt idx="680">
                  <c:v>6.4930300000000001</c:v>
                </c:pt>
                <c:pt idx="681">
                  <c:v>6.2250300000000003</c:v>
                </c:pt>
                <c:pt idx="682">
                  <c:v>6.2035900000000002</c:v>
                </c:pt>
                <c:pt idx="683">
                  <c:v>6.4076300000000002</c:v>
                </c:pt>
                <c:pt idx="684">
                  <c:v>6.6231500000000008</c:v>
                </c:pt>
                <c:pt idx="685">
                  <c:v>6.8158500000000002</c:v>
                </c:pt>
                <c:pt idx="686">
                  <c:v>7.1555399999999993</c:v>
                </c:pt>
                <c:pt idx="687">
                  <c:v>7.3142399999999999</c:v>
                </c:pt>
                <c:pt idx="688">
                  <c:v>7.4082699999999999</c:v>
                </c:pt>
                <c:pt idx="689">
                  <c:v>7.28423</c:v>
                </c:pt>
                <c:pt idx="690">
                  <c:v>6.9455799999999996</c:v>
                </c:pt>
                <c:pt idx="691">
                  <c:v>6.8430200000000001</c:v>
                </c:pt>
                <c:pt idx="692">
                  <c:v>6.8997799999999998</c:v>
                </c:pt>
                <c:pt idx="693">
                  <c:v>6.8997799999999998</c:v>
                </c:pt>
                <c:pt idx="694">
                  <c:v>7.0621900000000002</c:v>
                </c:pt>
                <c:pt idx="695">
                  <c:v>7.1104999999999992</c:v>
                </c:pt>
                <c:pt idx="696">
                  <c:v>7.1511800000000001</c:v>
                </c:pt>
                <c:pt idx="697">
                  <c:v>6.9218899999999994</c:v>
                </c:pt>
                <c:pt idx="698">
                  <c:v>7.0131199999999998</c:v>
                </c:pt>
                <c:pt idx="699">
                  <c:v>6.8579499999999998</c:v>
                </c:pt>
                <c:pt idx="700">
                  <c:v>6.8773800000000005</c:v>
                </c:pt>
                <c:pt idx="701">
                  <c:v>6.7426500000000003</c:v>
                </c:pt>
                <c:pt idx="702">
                  <c:v>6.4657299999999998</c:v>
                </c:pt>
                <c:pt idx="703">
                  <c:v>6.3050699999999997</c:v>
                </c:pt>
                <c:pt idx="704">
                  <c:v>6.4019200000000005</c:v>
                </c:pt>
                <c:pt idx="705">
                  <c:v>6.5858600000000003</c:v>
                </c:pt>
                <c:pt idx="706">
                  <c:v>6.6842800000000002</c:v>
                </c:pt>
                <c:pt idx="707">
                  <c:v>6.8305199999999999</c:v>
                </c:pt>
                <c:pt idx="708">
                  <c:v>6.8305199999999999</c:v>
                </c:pt>
                <c:pt idx="709">
                  <c:v>6.8192399999999997</c:v>
                </c:pt>
                <c:pt idx="710">
                  <c:v>6.7431500000000009</c:v>
                </c:pt>
                <c:pt idx="711">
                  <c:v>6.74139</c:v>
                </c:pt>
                <c:pt idx="712">
                  <c:v>6.80213</c:v>
                </c:pt>
                <c:pt idx="713">
                  <c:v>6.91432</c:v>
                </c:pt>
                <c:pt idx="714">
                  <c:v>6.78756</c:v>
                </c:pt>
                <c:pt idx="715">
                  <c:v>7.0063699999999995</c:v>
                </c:pt>
                <c:pt idx="716">
                  <c:v>7.0076400000000003</c:v>
                </c:pt>
                <c:pt idx="717">
                  <c:v>6.8658999999999999</c:v>
                </c:pt>
                <c:pt idx="718">
                  <c:v>6.8908699999999996</c:v>
                </c:pt>
                <c:pt idx="719">
                  <c:v>6.6931399999999996</c:v>
                </c:pt>
                <c:pt idx="720">
                  <c:v>6.7145000000000001</c:v>
                </c:pt>
                <c:pt idx="721">
                  <c:v>6.7105899999999998</c:v>
                </c:pt>
                <c:pt idx="722">
                  <c:v>6.7739399999999996</c:v>
                </c:pt>
                <c:pt idx="723">
                  <c:v>6.7861800000000008</c:v>
                </c:pt>
                <c:pt idx="724">
                  <c:v>6.7715099999999993</c:v>
                </c:pt>
                <c:pt idx="725">
                  <c:v>6.6733099999999999</c:v>
                </c:pt>
                <c:pt idx="726">
                  <c:v>6.7544700000000004</c:v>
                </c:pt>
                <c:pt idx="727">
                  <c:v>6.6219500000000009</c:v>
                </c:pt>
                <c:pt idx="728">
                  <c:v>6.5741499999999995</c:v>
                </c:pt>
                <c:pt idx="729">
                  <c:v>6.4000500000000002</c:v>
                </c:pt>
                <c:pt idx="730">
                  <c:v>6.3696099999999998</c:v>
                </c:pt>
                <c:pt idx="731">
                  <c:v>6.3592499999999994</c:v>
                </c:pt>
                <c:pt idx="732">
                  <c:v>6.3763199999999998</c:v>
                </c:pt>
                <c:pt idx="733">
                  <c:v>6.1883699999999999</c:v>
                </c:pt>
                <c:pt idx="734">
                  <c:v>6.0242999999999993</c:v>
                </c:pt>
                <c:pt idx="735">
                  <c:v>5.86599</c:v>
                </c:pt>
                <c:pt idx="736">
                  <c:v>5.8539399999999997</c:v>
                </c:pt>
                <c:pt idx="737">
                  <c:v>5.8258799999999997</c:v>
                </c:pt>
                <c:pt idx="738">
                  <c:v>5.8091800000000005</c:v>
                </c:pt>
                <c:pt idx="739">
                  <c:v>5.6555100000000005</c:v>
                </c:pt>
                <c:pt idx="740">
                  <c:v>5.5826700000000002</c:v>
                </c:pt>
                <c:pt idx="741">
                  <c:v>5.5767899999999999</c:v>
                </c:pt>
                <c:pt idx="742">
                  <c:v>5.3464200000000002</c:v>
                </c:pt>
                <c:pt idx="743">
                  <c:v>5.1836699999999993</c:v>
                </c:pt>
                <c:pt idx="744">
                  <c:v>5.1429100000000005</c:v>
                </c:pt>
                <c:pt idx="745">
                  <c:v>5.1239999999999997</c:v>
                </c:pt>
                <c:pt idx="746">
                  <c:v>4.9904500000000001</c:v>
                </c:pt>
                <c:pt idx="747">
                  <c:v>4.9219499999999998</c:v>
                </c:pt>
                <c:pt idx="748">
                  <c:v>4.9708499999999995</c:v>
                </c:pt>
                <c:pt idx="749">
                  <c:v>4.9696300000000004</c:v>
                </c:pt>
                <c:pt idx="750">
                  <c:v>5.0869900000000001</c:v>
                </c:pt>
                <c:pt idx="751">
                  <c:v>5.2729200000000001</c:v>
                </c:pt>
                <c:pt idx="752">
                  <c:v>5.2383699999999997</c:v>
                </c:pt>
                <c:pt idx="753">
                  <c:v>5.2673900000000007</c:v>
                </c:pt>
                <c:pt idx="754">
                  <c:v>5.1488899999999997</c:v>
                </c:pt>
                <c:pt idx="755">
                  <c:v>5.0342700000000002</c:v>
                </c:pt>
                <c:pt idx="756">
                  <c:v>4.8703199999999995</c:v>
                </c:pt>
                <c:pt idx="757">
                  <c:v>4.8296600000000005</c:v>
                </c:pt>
                <c:pt idx="758">
                  <c:v>4.8217699999999999</c:v>
                </c:pt>
                <c:pt idx="759">
                  <c:v>4.7740499999999999</c:v>
                </c:pt>
                <c:pt idx="760">
                  <c:v>4.6712799999999994</c:v>
                </c:pt>
                <c:pt idx="761">
                  <c:v>4.6890800000000006</c:v>
                </c:pt>
                <c:pt idx="762">
                  <c:v>4.64832</c:v>
                </c:pt>
                <c:pt idx="763">
                  <c:v>4.61747</c:v>
                </c:pt>
                <c:pt idx="764">
                  <c:v>4.7302200000000001</c:v>
                </c:pt>
                <c:pt idx="765">
                  <c:v>4.8629800000000003</c:v>
                </c:pt>
                <c:pt idx="766">
                  <c:v>4.7658100000000001</c:v>
                </c:pt>
                <c:pt idx="767">
                  <c:v>4.6260300000000001</c:v>
                </c:pt>
                <c:pt idx="768">
                  <c:v>4.6038999999999994</c:v>
                </c:pt>
                <c:pt idx="769">
                  <c:v>4.5141799999999996</c:v>
                </c:pt>
                <c:pt idx="770">
                  <c:v>4.5774799999999995</c:v>
                </c:pt>
                <c:pt idx="771">
                  <c:v>4.6426799999999995</c:v>
                </c:pt>
                <c:pt idx="772">
                  <c:v>4.7008700000000001</c:v>
                </c:pt>
                <c:pt idx="773">
                  <c:v>4.6193799999999996</c:v>
                </c:pt>
                <c:pt idx="774">
                  <c:v>4.5785200000000001</c:v>
                </c:pt>
                <c:pt idx="775">
                  <c:v>4.4939800000000005</c:v>
                </c:pt>
                <c:pt idx="776">
                  <c:v>4.5051499999999995</c:v>
                </c:pt>
                <c:pt idx="777">
                  <c:v>4.44733</c:v>
                </c:pt>
                <c:pt idx="778">
                  <c:v>4.4343599999999999</c:v>
                </c:pt>
                <c:pt idx="779">
                  <c:v>4.4343599999999999</c:v>
                </c:pt>
                <c:pt idx="780">
                  <c:v>4.3283199999999997</c:v>
                </c:pt>
                <c:pt idx="781">
                  <c:v>4.4160700000000004</c:v>
                </c:pt>
                <c:pt idx="782">
                  <c:v>4.3402399999999997</c:v>
                </c:pt>
                <c:pt idx="783">
                  <c:v>4.34138</c:v>
                </c:pt>
                <c:pt idx="784">
                  <c:v>4.3686100000000003</c:v>
                </c:pt>
                <c:pt idx="785">
                  <c:v>4.4162299999999997</c:v>
                </c:pt>
                <c:pt idx="786">
                  <c:v>4.5279600000000002</c:v>
                </c:pt>
                <c:pt idx="787">
                  <c:v>4.6412500000000003</c:v>
                </c:pt>
                <c:pt idx="788">
                  <c:v>4.6083400000000001</c:v>
                </c:pt>
                <c:pt idx="789">
                  <c:v>4.7285300000000001</c:v>
                </c:pt>
                <c:pt idx="790">
                  <c:v>4.7670399999999997</c:v>
                </c:pt>
                <c:pt idx="791">
                  <c:v>4.8669400000000005</c:v>
                </c:pt>
                <c:pt idx="792">
                  <c:v>4.9022800000000002</c:v>
                </c:pt>
                <c:pt idx="793">
                  <c:v>4.9191899999999995</c:v>
                </c:pt>
                <c:pt idx="794">
                  <c:v>4.9322400000000002</c:v>
                </c:pt>
                <c:pt idx="795">
                  <c:v>4.9313500000000001</c:v>
                </c:pt>
                <c:pt idx="796">
                  <c:v>5.0467200000000005</c:v>
                </c:pt>
                <c:pt idx="797">
                  <c:v>5.0191800000000004</c:v>
                </c:pt>
                <c:pt idx="798">
                  <c:v>4.8993500000000001</c:v>
                </c:pt>
                <c:pt idx="799">
                  <c:v>4.9387599999999994</c:v>
                </c:pt>
                <c:pt idx="800">
                  <c:v>4.9502600000000001</c:v>
                </c:pt>
                <c:pt idx="801">
                  <c:v>4.9316300000000002</c:v>
                </c:pt>
                <c:pt idx="802">
                  <c:v>4.9095899999999997</c:v>
                </c:pt>
                <c:pt idx="803">
                  <c:v>4.9226100000000006</c:v>
                </c:pt>
                <c:pt idx="804">
                  <c:v>4.9154299999999997</c:v>
                </c:pt>
                <c:pt idx="805">
                  <c:v>4.8082099999999999</c:v>
                </c:pt>
                <c:pt idx="806">
                  <c:v>4.6661599999999996</c:v>
                </c:pt>
                <c:pt idx="807">
                  <c:v>4.73902</c:v>
                </c:pt>
                <c:pt idx="808">
                  <c:v>4.9190100000000001</c:v>
                </c:pt>
                <c:pt idx="809">
                  <c:v>4.9136600000000001</c:v>
                </c:pt>
                <c:pt idx="810">
                  <c:v>4.9229899999999995</c:v>
                </c:pt>
                <c:pt idx="811">
                  <c:v>4.9592499999999999</c:v>
                </c:pt>
                <c:pt idx="812">
                  <c:v>4.9316199999999997</c:v>
                </c:pt>
                <c:pt idx="813">
                  <c:v>5.0839699999999999</c:v>
                </c:pt>
                <c:pt idx="814">
                  <c:v>5.0228399999999995</c:v>
                </c:pt>
                <c:pt idx="815">
                  <c:v>5.0836300000000003</c:v>
                </c:pt>
                <c:pt idx="816">
                  <c:v>5.0743900000000002</c:v>
                </c:pt>
                <c:pt idx="817">
                  <c:v>5.1742299999999997</c:v>
                </c:pt>
                <c:pt idx="818">
                  <c:v>5.1554200000000003</c:v>
                </c:pt>
                <c:pt idx="819">
                  <c:v>5.240359999999999</c:v>
                </c:pt>
                <c:pt idx="820">
                  <c:v>5.1901599999999997</c:v>
                </c:pt>
                <c:pt idx="821">
                  <c:v>5.0558399999999999</c:v>
                </c:pt>
                <c:pt idx="822">
                  <c:v>5.1478099999999998</c:v>
                </c:pt>
                <c:pt idx="823">
                  <c:v>5.0587799999999996</c:v>
                </c:pt>
                <c:pt idx="824">
                  <c:v>4.9745699999999999</c:v>
                </c:pt>
                <c:pt idx="825">
                  <c:v>4.8492700000000006</c:v>
                </c:pt>
                <c:pt idx="826">
                  <c:v>4.8488699999999998</c:v>
                </c:pt>
                <c:pt idx="827">
                  <c:v>4.9432499999999999</c:v>
                </c:pt>
                <c:pt idx="828">
                  <c:v>4.7417800000000003</c:v>
                </c:pt>
                <c:pt idx="829">
                  <c:v>4.6723600000000003</c:v>
                </c:pt>
                <c:pt idx="830">
                  <c:v>4.7790699999999999</c:v>
                </c:pt>
                <c:pt idx="831">
                  <c:v>4.7768100000000002</c:v>
                </c:pt>
                <c:pt idx="832">
                  <c:v>4.9309399999999997</c:v>
                </c:pt>
                <c:pt idx="833">
                  <c:v>5.0657999999999994</c:v>
                </c:pt>
                <c:pt idx="834">
                  <c:v>4.8892600000000002</c:v>
                </c:pt>
                <c:pt idx="835">
                  <c:v>5.1702300000000001</c:v>
                </c:pt>
                <c:pt idx="836">
                  <c:v>4.7549099999999997</c:v>
                </c:pt>
                <c:pt idx="837">
                  <c:v>4.8795099999999998</c:v>
                </c:pt>
                <c:pt idx="838">
                  <c:v>4.8536200000000003</c:v>
                </c:pt>
                <c:pt idx="839">
                  <c:v>4.6682499999999996</c:v>
                </c:pt>
                <c:pt idx="840">
                  <c:v>4.7527400000000002</c:v>
                </c:pt>
                <c:pt idx="841">
                  <c:v>4.6687900000000004</c:v>
                </c:pt>
                <c:pt idx="842">
                  <c:v>4.7345199999999998</c:v>
                </c:pt>
                <c:pt idx="843">
                  <c:v>4.6369799999999994</c:v>
                </c:pt>
                <c:pt idx="844">
                  <c:v>4.6557899999999997</c:v>
                </c:pt>
                <c:pt idx="845">
                  <c:v>4.6421700000000001</c:v>
                </c:pt>
                <c:pt idx="846">
                  <c:v>4.6837299999999997</c:v>
                </c:pt>
                <c:pt idx="847">
                  <c:v>4.7518099999999999</c:v>
                </c:pt>
                <c:pt idx="848">
                  <c:v>4.8451199999999996</c:v>
                </c:pt>
                <c:pt idx="849">
                  <c:v>4.9318799999999996</c:v>
                </c:pt>
                <c:pt idx="850">
                  <c:v>5.1472799999999994</c:v>
                </c:pt>
                <c:pt idx="851">
                  <c:v>5.1660299999999992</c:v>
                </c:pt>
                <c:pt idx="852">
                  <c:v>5.0645699999999998</c:v>
                </c:pt>
                <c:pt idx="853">
                  <c:v>5.0346099999999998</c:v>
                </c:pt>
                <c:pt idx="854">
                  <c:v>5.0100799999999994</c:v>
                </c:pt>
                <c:pt idx="855">
                  <c:v>4.9969799999999998</c:v>
                </c:pt>
                <c:pt idx="856">
                  <c:v>4.9272600000000004</c:v>
                </c:pt>
                <c:pt idx="857">
                  <c:v>4.8293999999999997</c:v>
                </c:pt>
                <c:pt idx="858">
                  <c:v>4.8415699999999999</c:v>
                </c:pt>
                <c:pt idx="859">
                  <c:v>4.9311699999999998</c:v>
                </c:pt>
                <c:pt idx="860">
                  <c:v>5.0012999999999996</c:v>
                </c:pt>
                <c:pt idx="861">
                  <c:v>5.1650900000000002</c:v>
                </c:pt>
                <c:pt idx="862">
                  <c:v>5.1609500000000006</c:v>
                </c:pt>
                <c:pt idx="863">
                  <c:v>5.3325899999999997</c:v>
                </c:pt>
                <c:pt idx="864">
                  <c:v>5.2657899999999991</c:v>
                </c:pt>
                <c:pt idx="865">
                  <c:v>5.17645</c:v>
                </c:pt>
                <c:pt idx="866">
                  <c:v>4.96617</c:v>
                </c:pt>
                <c:pt idx="867">
                  <c:v>4.98881</c:v>
                </c:pt>
                <c:pt idx="868">
                  <c:v>4.8528500000000001</c:v>
                </c:pt>
                <c:pt idx="869">
                  <c:v>5.0928500000000003</c:v>
                </c:pt>
                <c:pt idx="870">
                  <c:v>5.0889800000000003</c:v>
                </c:pt>
                <c:pt idx="871">
                  <c:v>5.1179899999999998</c:v>
                </c:pt>
                <c:pt idx="872">
                  <c:v>5.0724599999999995</c:v>
                </c:pt>
                <c:pt idx="873">
                  <c:v>5.0388900000000003</c:v>
                </c:pt>
                <c:pt idx="874">
                  <c:v>5.0436200000000007</c:v>
                </c:pt>
                <c:pt idx="875">
                  <c:v>4.8762099999999995</c:v>
                </c:pt>
                <c:pt idx="876">
                  <c:v>4.5098799999999999</c:v>
                </c:pt>
                <c:pt idx="877">
                  <c:v>4.5070299999999994</c:v>
                </c:pt>
                <c:pt idx="878">
                  <c:v>5.7197900000000006</c:v>
                </c:pt>
                <c:pt idx="879">
                  <c:v>5.9948600000000001</c:v>
                </c:pt>
                <c:pt idx="880">
                  <c:v>6.5544700000000002</c:v>
                </c:pt>
                <c:pt idx="881">
                  <c:v>6.4838300000000002</c:v>
                </c:pt>
                <c:pt idx="882">
                  <c:v>6.3480999999999996</c:v>
                </c:pt>
                <c:pt idx="883">
                  <c:v>6.6617899999999999</c:v>
                </c:pt>
                <c:pt idx="884">
                  <c:v>6.5844100000000001</c:v>
                </c:pt>
                <c:pt idx="885">
                  <c:v>6.3504100000000001</c:v>
                </c:pt>
                <c:pt idx="886">
                  <c:v>6.4441899999999999</c:v>
                </c:pt>
                <c:pt idx="887">
                  <c:v>6.3026</c:v>
                </c:pt>
                <c:pt idx="888">
                  <c:v>6.31785</c:v>
                </c:pt>
                <c:pt idx="889">
                  <c:v>5.9742199999999999</c:v>
                </c:pt>
                <c:pt idx="890">
                  <c:v>5.8651900000000001</c:v>
                </c:pt>
                <c:pt idx="891">
                  <c:v>5.8389200000000008</c:v>
                </c:pt>
                <c:pt idx="892">
                  <c:v>5.5412400000000002</c:v>
                </c:pt>
                <c:pt idx="893">
                  <c:v>5.0609000000000002</c:v>
                </c:pt>
                <c:pt idx="894">
                  <c:v>5.06663</c:v>
                </c:pt>
                <c:pt idx="895">
                  <c:v>5.0082199999999997</c:v>
                </c:pt>
                <c:pt idx="896">
                  <c:v>5.3350499999999998</c:v>
                </c:pt>
                <c:pt idx="897">
                  <c:v>5.1882299999999999</c:v>
                </c:pt>
                <c:pt idx="898">
                  <c:v>5.1882299999999999</c:v>
                </c:pt>
                <c:pt idx="899">
                  <c:v>5.0034400000000003</c:v>
                </c:pt>
                <c:pt idx="900">
                  <c:v>4.9138700000000002</c:v>
                </c:pt>
                <c:pt idx="901">
                  <c:v>4.9576400000000005</c:v>
                </c:pt>
                <c:pt idx="902">
                  <c:v>4.9655000000000005</c:v>
                </c:pt>
                <c:pt idx="903">
                  <c:v>5.0763600000000002</c:v>
                </c:pt>
                <c:pt idx="904">
                  <c:v>5.2002999999999995</c:v>
                </c:pt>
                <c:pt idx="905">
                  <c:v>5.07944</c:v>
                </c:pt>
                <c:pt idx="906">
                  <c:v>5.2059799999999994</c:v>
                </c:pt>
                <c:pt idx="907">
                  <c:v>5.2164599999999997</c:v>
                </c:pt>
                <c:pt idx="908">
                  <c:v>5.19855</c:v>
                </c:pt>
                <c:pt idx="909">
                  <c:v>5.0622500000000006</c:v>
                </c:pt>
                <c:pt idx="910">
                  <c:v>5.0788900000000003</c:v>
                </c:pt>
                <c:pt idx="911">
                  <c:v>5.0119499999999997</c:v>
                </c:pt>
                <c:pt idx="912">
                  <c:v>5.0239900000000004</c:v>
                </c:pt>
                <c:pt idx="913">
                  <c:v>5.0410700000000004</c:v>
                </c:pt>
                <c:pt idx="914">
                  <c:v>5.0173500000000004</c:v>
                </c:pt>
                <c:pt idx="915">
                  <c:v>5.0475000000000003</c:v>
                </c:pt>
                <c:pt idx="916">
                  <c:v>5.0967799999999999</c:v>
                </c:pt>
                <c:pt idx="917">
                  <c:v>5.0125599999999997</c:v>
                </c:pt>
                <c:pt idx="918">
                  <c:v>4.9720300000000002</c:v>
                </c:pt>
                <c:pt idx="919">
                  <c:v>4.7515600000000004</c:v>
                </c:pt>
                <c:pt idx="920">
                  <c:v>4.6324399999999999</c:v>
                </c:pt>
                <c:pt idx="921">
                  <c:v>4.6472199999999999</c:v>
                </c:pt>
                <c:pt idx="922">
                  <c:v>4.62819</c:v>
                </c:pt>
                <c:pt idx="923">
                  <c:v>4.5595999999999997</c:v>
                </c:pt>
                <c:pt idx="924">
                  <c:v>4.56013</c:v>
                </c:pt>
                <c:pt idx="925">
                  <c:v>4.5926299999999998</c:v>
                </c:pt>
                <c:pt idx="926">
                  <c:v>4.4327800000000002</c:v>
                </c:pt>
                <c:pt idx="927">
                  <c:v>4.44116</c:v>
                </c:pt>
                <c:pt idx="928">
                  <c:v>4.4441500000000005</c:v>
                </c:pt>
                <c:pt idx="929">
                  <c:v>4.4344600000000005</c:v>
                </c:pt>
                <c:pt idx="930">
                  <c:v>4.4375</c:v>
                </c:pt>
                <c:pt idx="931">
                  <c:v>4.27325</c:v>
                </c:pt>
                <c:pt idx="932">
                  <c:v>4.0265599999999999</c:v>
                </c:pt>
                <c:pt idx="933">
                  <c:v>3.9648399999999997</c:v>
                </c:pt>
                <c:pt idx="934">
                  <c:v>4.1016899999999996</c:v>
                </c:pt>
                <c:pt idx="935">
                  <c:v>4.1904399999999997</c:v>
                </c:pt>
                <c:pt idx="936">
                  <c:v>4.0540399999999996</c:v>
                </c:pt>
                <c:pt idx="937">
                  <c:v>4.0181900000000006</c:v>
                </c:pt>
                <c:pt idx="938">
                  <c:v>4.0381599999999995</c:v>
                </c:pt>
                <c:pt idx="939">
                  <c:v>4.1089900000000004</c:v>
                </c:pt>
                <c:pt idx="940">
                  <c:v>4.1274100000000002</c:v>
                </c:pt>
                <c:pt idx="941">
                  <c:v>4.0059199999999997</c:v>
                </c:pt>
                <c:pt idx="942">
                  <c:v>3.9449400000000003</c:v>
                </c:pt>
                <c:pt idx="943">
                  <c:v>4.0773399999999995</c:v>
                </c:pt>
                <c:pt idx="944">
                  <c:v>4.18283</c:v>
                </c:pt>
                <c:pt idx="945">
                  <c:v>4.1227600000000004</c:v>
                </c:pt>
                <c:pt idx="946">
                  <c:v>4.1124599999999996</c:v>
                </c:pt>
                <c:pt idx="947">
                  <c:v>4.2129799999999999</c:v>
                </c:pt>
                <c:pt idx="948">
                  <c:v>4.1316500000000005</c:v>
                </c:pt>
                <c:pt idx="949">
                  <c:v>4.1438699999999997</c:v>
                </c:pt>
                <c:pt idx="950">
                  <c:v>4.1356000000000002</c:v>
                </c:pt>
                <c:pt idx="951">
                  <c:v>3.9399400000000004</c:v>
                </c:pt>
                <c:pt idx="952">
                  <c:v>3.9151299999999996</c:v>
                </c:pt>
                <c:pt idx="953">
                  <c:v>3.9151299999999996</c:v>
                </c:pt>
                <c:pt idx="954">
                  <c:v>3.9365899999999998</c:v>
                </c:pt>
                <c:pt idx="955">
                  <c:v>3.9148499999999999</c:v>
                </c:pt>
                <c:pt idx="956">
                  <c:v>4.07294</c:v>
                </c:pt>
                <c:pt idx="957">
                  <c:v>3.9984300000000004</c:v>
                </c:pt>
                <c:pt idx="958">
                  <c:v>3.9833100000000004</c:v>
                </c:pt>
                <c:pt idx="959">
                  <c:v>3.9806400000000002</c:v>
                </c:pt>
                <c:pt idx="960">
                  <c:v>4.0018000000000002</c:v>
                </c:pt>
                <c:pt idx="961">
                  <c:v>4.0408300000000006</c:v>
                </c:pt>
                <c:pt idx="962">
                  <c:v>3.9702300000000004</c:v>
                </c:pt>
                <c:pt idx="963">
                  <c:v>3.9457600000000004</c:v>
                </c:pt>
              </c:numCache>
            </c:numRef>
          </c:val>
          <c:smooth val="0"/>
          <c:extLst>
            <c:ext xmlns:c16="http://schemas.microsoft.com/office/drawing/2014/chart" uri="{C3380CC4-5D6E-409C-BE32-E72D297353CC}">
              <c16:uniqueId val="{00000004-EBC4-4222-8B88-73469225685A}"/>
            </c:ext>
          </c:extLst>
        </c:ser>
        <c:dLbls>
          <c:showLegendKey val="0"/>
          <c:showVal val="0"/>
          <c:showCatName val="0"/>
          <c:showSerName val="0"/>
          <c:showPercent val="0"/>
          <c:showBubbleSize val="0"/>
        </c:dLbls>
        <c:marker val="1"/>
        <c:smooth val="0"/>
        <c:axId val="1701942304"/>
        <c:axId val="1701948288"/>
      </c:lineChart>
      <c:lineChart>
        <c:grouping val="standard"/>
        <c:varyColors val="0"/>
        <c:ser>
          <c:idx val="2"/>
          <c:order val="2"/>
          <c:tx>
            <c:strRef>
              <c:f>Sheet1!$D$1</c:f>
              <c:strCache>
                <c:ptCount val="1"/>
                <c:pt idx="0">
                  <c:v>Ռուսաստան (2029թ.), աջ առանցք</c:v>
                </c:pt>
              </c:strCache>
            </c:strRef>
          </c:tx>
          <c:spPr>
            <a:ln w="19050" cap="rnd">
              <a:solidFill>
                <a:srgbClr val="7030A0"/>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Sheet1!$D$2:$D$1226</c:f>
            </c:numRef>
          </c:val>
          <c:smooth val="0"/>
          <c:extLst>
            <c:ext xmlns:c16="http://schemas.microsoft.com/office/drawing/2014/chart" uri="{C3380CC4-5D6E-409C-BE32-E72D297353CC}">
              <c16:uniqueId val="{00000006-EBC4-4222-8B88-73469225685A}"/>
            </c:ext>
          </c:extLst>
        </c:ser>
        <c:ser>
          <c:idx val="5"/>
          <c:order val="5"/>
          <c:tx>
            <c:strRef>
              <c:f>Sheet1!$G$1</c:f>
              <c:strCache>
                <c:ptCount val="1"/>
                <c:pt idx="0">
                  <c:v>Բելառուս (2030թ.), աջ առանցք</c:v>
                </c:pt>
              </c:strCache>
            </c:strRef>
          </c:tx>
          <c:spPr>
            <a:ln w="19050" cap="rnd">
              <a:solidFill>
                <a:schemeClr val="accent6"/>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Sheet1!$G$2:$G$1226</c:f>
              <c:numCache>
                <c:formatCode>0</c:formatCode>
                <c:ptCount val="964"/>
                <c:pt idx="0">
                  <c:v>3.45668</c:v>
                </c:pt>
                <c:pt idx="1">
                  <c:v>3.4153099999999998</c:v>
                </c:pt>
                <c:pt idx="2">
                  <c:v>3.49186</c:v>
                </c:pt>
                <c:pt idx="3">
                  <c:v>3.4552100000000001</c:v>
                </c:pt>
                <c:pt idx="4">
                  <c:v>3.4114800000000001</c:v>
                </c:pt>
                <c:pt idx="5">
                  <c:v>3.3294700000000002</c:v>
                </c:pt>
                <c:pt idx="6">
                  <c:v>3.2731599999999998</c:v>
                </c:pt>
                <c:pt idx="7">
                  <c:v>3.2604899999999999</c:v>
                </c:pt>
                <c:pt idx="8">
                  <c:v>3.1517500000000003</c:v>
                </c:pt>
                <c:pt idx="9">
                  <c:v>3.03186</c:v>
                </c:pt>
                <c:pt idx="10">
                  <c:v>3.09572</c:v>
                </c:pt>
                <c:pt idx="11">
                  <c:v>3.0803199999999999</c:v>
                </c:pt>
                <c:pt idx="12">
                  <c:v>3.0753599999999999</c:v>
                </c:pt>
                <c:pt idx="13">
                  <c:v>3.0753599999999999</c:v>
                </c:pt>
                <c:pt idx="14">
                  <c:v>3.1412800000000001</c:v>
                </c:pt>
                <c:pt idx="15">
                  <c:v>3.1427999999999998</c:v>
                </c:pt>
                <c:pt idx="16">
                  <c:v>3.2298100000000001</c:v>
                </c:pt>
                <c:pt idx="17">
                  <c:v>3.2908200000000001</c:v>
                </c:pt>
                <c:pt idx="18">
                  <c:v>3.4282900000000001</c:v>
                </c:pt>
                <c:pt idx="19">
                  <c:v>3.3715499999999996</c:v>
                </c:pt>
                <c:pt idx="20">
                  <c:v>3.4178600000000001</c:v>
                </c:pt>
                <c:pt idx="21">
                  <c:v>3.4437799999999998</c:v>
                </c:pt>
                <c:pt idx="22">
                  <c:v>3.51159</c:v>
                </c:pt>
                <c:pt idx="23">
                  <c:v>3.5322100000000001</c:v>
                </c:pt>
                <c:pt idx="24">
                  <c:v>3.4563900000000003</c:v>
                </c:pt>
                <c:pt idx="25">
                  <c:v>3.4051799999999997</c:v>
                </c:pt>
                <c:pt idx="26">
                  <c:v>3.3851799999999996</c:v>
                </c:pt>
                <c:pt idx="27">
                  <c:v>3.4485600000000001</c:v>
                </c:pt>
                <c:pt idx="28">
                  <c:v>3.4666199999999998</c:v>
                </c:pt>
                <c:pt idx="29">
                  <c:v>3.4285300000000003</c:v>
                </c:pt>
                <c:pt idx="30">
                  <c:v>3.3924799999999999</c:v>
                </c:pt>
                <c:pt idx="31">
                  <c:v>3.41466</c:v>
                </c:pt>
                <c:pt idx="32">
                  <c:v>3.3338900000000002</c:v>
                </c:pt>
                <c:pt idx="33">
                  <c:v>3.3338900000000002</c:v>
                </c:pt>
                <c:pt idx="34">
                  <c:v>3.3436900000000005</c:v>
                </c:pt>
                <c:pt idx="35">
                  <c:v>3.3305000000000002</c:v>
                </c:pt>
                <c:pt idx="36">
                  <c:v>3.3434900000000001</c:v>
                </c:pt>
                <c:pt idx="37">
                  <c:v>3.3826200000000002</c:v>
                </c:pt>
                <c:pt idx="38">
                  <c:v>3.5078500000000004</c:v>
                </c:pt>
                <c:pt idx="39">
                  <c:v>3.59015</c:v>
                </c:pt>
                <c:pt idx="40">
                  <c:v>3.6234600000000001</c:v>
                </c:pt>
                <c:pt idx="41">
                  <c:v>3.7427300000000003</c:v>
                </c:pt>
                <c:pt idx="42">
                  <c:v>4.0796000000000001</c:v>
                </c:pt>
                <c:pt idx="43">
                  <c:v>4.1107800000000001</c:v>
                </c:pt>
                <c:pt idx="44">
                  <c:v>4.1762600000000001</c:v>
                </c:pt>
                <c:pt idx="45">
                  <c:v>4.1165799999999999</c:v>
                </c:pt>
                <c:pt idx="46">
                  <c:v>4.1961300000000001</c:v>
                </c:pt>
                <c:pt idx="47">
                  <c:v>4.4555499999999997</c:v>
                </c:pt>
                <c:pt idx="48">
                  <c:v>5.2029100000000001</c:v>
                </c:pt>
                <c:pt idx="49">
                  <c:v>4.9917100000000003</c:v>
                </c:pt>
                <c:pt idx="50">
                  <c:v>5.04922</c:v>
                </c:pt>
                <c:pt idx="51">
                  <c:v>5.6737900000000003</c:v>
                </c:pt>
                <c:pt idx="52">
                  <c:v>5.5682600000000004</c:v>
                </c:pt>
                <c:pt idx="53">
                  <c:v>6.2325499999999998</c:v>
                </c:pt>
                <c:pt idx="54">
                  <c:v>6.2810799999999993</c:v>
                </c:pt>
                <c:pt idx="55">
                  <c:v>6.55532</c:v>
                </c:pt>
                <c:pt idx="56">
                  <c:v>6.5780499999999993</c:v>
                </c:pt>
                <c:pt idx="57">
                  <c:v>6.8737199999999996</c:v>
                </c:pt>
                <c:pt idx="58">
                  <c:v>7.5104199999999999</c:v>
                </c:pt>
                <c:pt idx="59">
                  <c:v>7.3462399999999999</c:v>
                </c:pt>
                <c:pt idx="60">
                  <c:v>7.2514500000000002</c:v>
                </c:pt>
                <c:pt idx="61">
                  <c:v>6.7624400000000007</c:v>
                </c:pt>
                <c:pt idx="62">
                  <c:v>6.6836900000000004</c:v>
                </c:pt>
                <c:pt idx="63">
                  <c:v>6.9193800000000003</c:v>
                </c:pt>
                <c:pt idx="64">
                  <c:v>6.7474600000000002</c:v>
                </c:pt>
                <c:pt idx="65">
                  <c:v>6.8524300000000009</c:v>
                </c:pt>
                <c:pt idx="66">
                  <c:v>6.8110999999999997</c:v>
                </c:pt>
                <c:pt idx="67">
                  <c:v>6.6935199999999995</c:v>
                </c:pt>
                <c:pt idx="68">
                  <c:v>6.4351799999999999</c:v>
                </c:pt>
                <c:pt idx="69">
                  <c:v>6.2674699999999994</c:v>
                </c:pt>
                <c:pt idx="70">
                  <c:v>6.4759199999999995</c:v>
                </c:pt>
                <c:pt idx="71">
                  <c:v>6.5149999999999997</c:v>
                </c:pt>
                <c:pt idx="72">
                  <c:v>6.5149999999999997</c:v>
                </c:pt>
                <c:pt idx="73">
                  <c:v>6.4798</c:v>
                </c:pt>
                <c:pt idx="74">
                  <c:v>6.3826800000000006</c:v>
                </c:pt>
                <c:pt idx="75">
                  <c:v>6.5212900000000005</c:v>
                </c:pt>
                <c:pt idx="76">
                  <c:v>6.5683500000000006</c:v>
                </c:pt>
                <c:pt idx="77">
                  <c:v>6.53688</c:v>
                </c:pt>
                <c:pt idx="78">
                  <c:v>6.5804499999999999</c:v>
                </c:pt>
                <c:pt idx="79">
                  <c:v>6.9003800000000002</c:v>
                </c:pt>
                <c:pt idx="80">
                  <c:v>6.9357299999999995</c:v>
                </c:pt>
                <c:pt idx="81">
                  <c:v>6.9111099999999999</c:v>
                </c:pt>
                <c:pt idx="82">
                  <c:v>6.9579100000000009</c:v>
                </c:pt>
                <c:pt idx="83">
                  <c:v>6.9598199999999997</c:v>
                </c:pt>
                <c:pt idx="84">
                  <c:v>7.0712800000000007</c:v>
                </c:pt>
                <c:pt idx="85">
                  <c:v>7.0244399999999994</c:v>
                </c:pt>
                <c:pt idx="86">
                  <c:v>6.9628599999999992</c:v>
                </c:pt>
                <c:pt idx="87">
                  <c:v>6.9594300000000002</c:v>
                </c:pt>
                <c:pt idx="88">
                  <c:v>6.9984700000000002</c:v>
                </c:pt>
                <c:pt idx="89">
                  <c:v>6.9106899999999998</c:v>
                </c:pt>
                <c:pt idx="90">
                  <c:v>6.8261900000000004</c:v>
                </c:pt>
                <c:pt idx="91">
                  <c:v>6.8058399999999999</c:v>
                </c:pt>
                <c:pt idx="92">
                  <c:v>6.8123400000000007</c:v>
                </c:pt>
                <c:pt idx="93">
                  <c:v>6.6584599999999998</c:v>
                </c:pt>
                <c:pt idx="94">
                  <c:v>6.5647799999999998</c:v>
                </c:pt>
                <c:pt idx="95">
                  <c:v>6.4644399999999997</c:v>
                </c:pt>
                <c:pt idx="96">
                  <c:v>6.5011599999999996</c:v>
                </c:pt>
                <c:pt idx="97">
                  <c:v>6.2313999999999998</c:v>
                </c:pt>
                <c:pt idx="98">
                  <c:v>5.9547799999999995</c:v>
                </c:pt>
                <c:pt idx="99">
                  <c:v>5.8477899999999998</c:v>
                </c:pt>
                <c:pt idx="100">
                  <c:v>5.7629299999999999</c:v>
                </c:pt>
                <c:pt idx="101">
                  <c:v>5.7696400000000008</c:v>
                </c:pt>
                <c:pt idx="102">
                  <c:v>5.7754600000000007</c:v>
                </c:pt>
                <c:pt idx="103">
                  <c:v>5.7754600000000007</c:v>
                </c:pt>
                <c:pt idx="104">
                  <c:v>5.6690099999999992</c:v>
                </c:pt>
                <c:pt idx="105">
                  <c:v>5.6837300000000006</c:v>
                </c:pt>
                <c:pt idx="106">
                  <c:v>5.6248299999999993</c:v>
                </c:pt>
                <c:pt idx="107">
                  <c:v>5.6539900000000003</c:v>
                </c:pt>
                <c:pt idx="108">
                  <c:v>5.6246499999999999</c:v>
                </c:pt>
                <c:pt idx="109">
                  <c:v>5.53383</c:v>
                </c:pt>
                <c:pt idx="110">
                  <c:v>5.4058399999999995</c:v>
                </c:pt>
                <c:pt idx="111">
                  <c:v>5.3256300000000003</c:v>
                </c:pt>
                <c:pt idx="112">
                  <c:v>5.1941999999999995</c:v>
                </c:pt>
                <c:pt idx="113">
                  <c:v>5.12723</c:v>
                </c:pt>
                <c:pt idx="114">
                  <c:v>5.1839599999999999</c:v>
                </c:pt>
                <c:pt idx="115">
                  <c:v>5.1960500000000005</c:v>
                </c:pt>
                <c:pt idx="116">
                  <c:v>5.3802700000000003</c:v>
                </c:pt>
                <c:pt idx="117">
                  <c:v>5.3888599999999993</c:v>
                </c:pt>
                <c:pt idx="118">
                  <c:v>5.5482199999999997</c:v>
                </c:pt>
                <c:pt idx="119">
                  <c:v>5.50258</c:v>
                </c:pt>
                <c:pt idx="120">
                  <c:v>5.6090300000000006</c:v>
                </c:pt>
                <c:pt idx="121">
                  <c:v>5.5553099999999995</c:v>
                </c:pt>
                <c:pt idx="122">
                  <c:v>5.5884499999999999</c:v>
                </c:pt>
                <c:pt idx="123">
                  <c:v>5.6502499999999998</c:v>
                </c:pt>
                <c:pt idx="124">
                  <c:v>5.7041899999999996</c:v>
                </c:pt>
                <c:pt idx="125">
                  <c:v>5.8416099999999993</c:v>
                </c:pt>
                <c:pt idx="126">
                  <c:v>6.1775000000000002</c:v>
                </c:pt>
                <c:pt idx="127">
                  <c:v>6.1093600000000006</c:v>
                </c:pt>
                <c:pt idx="128">
                  <c:v>6.1296299999999997</c:v>
                </c:pt>
                <c:pt idx="129">
                  <c:v>6.10548</c:v>
                </c:pt>
                <c:pt idx="130">
                  <c:v>6.0279699999999998</c:v>
                </c:pt>
                <c:pt idx="131">
                  <c:v>5.9463499999999998</c:v>
                </c:pt>
                <c:pt idx="132">
                  <c:v>5.9463499999999998</c:v>
                </c:pt>
                <c:pt idx="133">
                  <c:v>5.8951599999999997</c:v>
                </c:pt>
                <c:pt idx="134">
                  <c:v>5.9711999999999996</c:v>
                </c:pt>
                <c:pt idx="135">
                  <c:v>6.0040200000000006</c:v>
                </c:pt>
                <c:pt idx="136">
                  <c:v>6.0309900000000001</c:v>
                </c:pt>
                <c:pt idx="137">
                  <c:v>6.1673400000000003</c:v>
                </c:pt>
                <c:pt idx="138">
                  <c:v>6.1716200000000008</c:v>
                </c:pt>
                <c:pt idx="139">
                  <c:v>6.3697100000000004</c:v>
                </c:pt>
                <c:pt idx="140">
                  <c:v>6.4106300000000003</c:v>
                </c:pt>
                <c:pt idx="141">
                  <c:v>6.4719299999999995</c:v>
                </c:pt>
                <c:pt idx="142">
                  <c:v>6.4687699999999992</c:v>
                </c:pt>
                <c:pt idx="143">
                  <c:v>6.4796199999999997</c:v>
                </c:pt>
                <c:pt idx="144">
                  <c:v>6.4985900000000001</c:v>
                </c:pt>
                <c:pt idx="145">
                  <c:v>6.5536599999999998</c:v>
                </c:pt>
                <c:pt idx="146">
                  <c:v>6.5410000000000004</c:v>
                </c:pt>
                <c:pt idx="147">
                  <c:v>6.5592100000000002</c:v>
                </c:pt>
                <c:pt idx="148">
                  <c:v>6.5081199999999999</c:v>
                </c:pt>
                <c:pt idx="149">
                  <c:v>6.4830899999999998</c:v>
                </c:pt>
                <c:pt idx="150">
                  <c:v>6.2970100000000002</c:v>
                </c:pt>
                <c:pt idx="151">
                  <c:v>6.3117999999999999</c:v>
                </c:pt>
                <c:pt idx="152">
                  <c:v>6.1469899999999997</c:v>
                </c:pt>
                <c:pt idx="153">
                  <c:v>6.0743399999999994</c:v>
                </c:pt>
                <c:pt idx="154">
                  <c:v>6.0052099999999999</c:v>
                </c:pt>
                <c:pt idx="155">
                  <c:v>5.9143799999999995</c:v>
                </c:pt>
                <c:pt idx="156">
                  <c:v>6.0015400000000003</c:v>
                </c:pt>
                <c:pt idx="157">
                  <c:v>6.0447699999999998</c:v>
                </c:pt>
                <c:pt idx="158">
                  <c:v>6.1295099999999998</c:v>
                </c:pt>
                <c:pt idx="159">
                  <c:v>6.1969700000000003</c:v>
                </c:pt>
                <c:pt idx="160">
                  <c:v>6.1078299999999999</c:v>
                </c:pt>
                <c:pt idx="161">
                  <c:v>6.3665399999999996</c:v>
                </c:pt>
                <c:pt idx="162">
                  <c:v>6.7242100000000002</c:v>
                </c:pt>
                <c:pt idx="163">
                  <c:v>7.0969100000000003</c:v>
                </c:pt>
                <c:pt idx="164">
                  <c:v>6.6606300000000003</c:v>
                </c:pt>
                <c:pt idx="165">
                  <c:v>6.6215200000000003</c:v>
                </c:pt>
                <c:pt idx="166">
                  <c:v>6.7296299999999993</c:v>
                </c:pt>
                <c:pt idx="167">
                  <c:v>6.7051199999999991</c:v>
                </c:pt>
                <c:pt idx="168">
                  <c:v>6.8261800000000008</c:v>
                </c:pt>
                <c:pt idx="169">
                  <c:v>6.8277800000000006</c:v>
                </c:pt>
                <c:pt idx="170">
                  <c:v>6.7302300000000006</c:v>
                </c:pt>
                <c:pt idx="171">
                  <c:v>6.4162999999999997</c:v>
                </c:pt>
                <c:pt idx="172">
                  <c:v>6.4144399999999999</c:v>
                </c:pt>
                <c:pt idx="173">
                  <c:v>6.45275</c:v>
                </c:pt>
                <c:pt idx="174">
                  <c:v>6.312619999999999</c:v>
                </c:pt>
                <c:pt idx="175">
                  <c:v>6.2288699999999997</c:v>
                </c:pt>
                <c:pt idx="176">
                  <c:v>6.2905100000000003</c:v>
                </c:pt>
                <c:pt idx="177">
                  <c:v>6.2195</c:v>
                </c:pt>
                <c:pt idx="178">
                  <c:v>6.2195</c:v>
                </c:pt>
                <c:pt idx="179">
                  <c:v>6.2934799999999997</c:v>
                </c:pt>
                <c:pt idx="180">
                  <c:v>6.35684</c:v>
                </c:pt>
                <c:pt idx="181">
                  <c:v>6.2993699999999997</c:v>
                </c:pt>
                <c:pt idx="182">
                  <c:v>6.3282699999999998</c:v>
                </c:pt>
                <c:pt idx="183">
                  <c:v>6.2320899999999995</c:v>
                </c:pt>
                <c:pt idx="184">
                  <c:v>6.2058100000000005</c:v>
                </c:pt>
                <c:pt idx="185">
                  <c:v>6.2076900000000004</c:v>
                </c:pt>
                <c:pt idx="186">
                  <c:v>6.2151099999999992</c:v>
                </c:pt>
                <c:pt idx="187">
                  <c:v>5.9916700000000001</c:v>
                </c:pt>
                <c:pt idx="188">
                  <c:v>6.1730200000000002</c:v>
                </c:pt>
                <c:pt idx="189">
                  <c:v>6.2337800000000003</c:v>
                </c:pt>
                <c:pt idx="190">
                  <c:v>6.2915599999999996</c:v>
                </c:pt>
                <c:pt idx="191">
                  <c:v>6.5111999999999997</c:v>
                </c:pt>
                <c:pt idx="192">
                  <c:v>6.5203599999999993</c:v>
                </c:pt>
                <c:pt idx="193">
                  <c:v>6.4618399999999996</c:v>
                </c:pt>
                <c:pt idx="194">
                  <c:v>6.4675900000000004</c:v>
                </c:pt>
                <c:pt idx="195">
                  <c:v>6.4245399999999995</c:v>
                </c:pt>
                <c:pt idx="196">
                  <c:v>6.2526800000000007</c:v>
                </c:pt>
                <c:pt idx="197">
                  <c:v>6.2646799999999994</c:v>
                </c:pt>
                <c:pt idx="198">
                  <c:v>6.10032</c:v>
                </c:pt>
                <c:pt idx="199">
                  <c:v>6.0521599999999998</c:v>
                </c:pt>
                <c:pt idx="200">
                  <c:v>5.9684400000000002</c:v>
                </c:pt>
                <c:pt idx="201">
                  <c:v>5.9031700000000003</c:v>
                </c:pt>
                <c:pt idx="202">
                  <c:v>5.9013900000000001</c:v>
                </c:pt>
                <c:pt idx="203">
                  <c:v>5.9013900000000001</c:v>
                </c:pt>
                <c:pt idx="204">
                  <c:v>5.9376300000000004</c:v>
                </c:pt>
                <c:pt idx="205">
                  <c:v>6.0371500000000005</c:v>
                </c:pt>
                <c:pt idx="206">
                  <c:v>6.2758599999999998</c:v>
                </c:pt>
                <c:pt idx="207">
                  <c:v>6.2205899999999996</c:v>
                </c:pt>
                <c:pt idx="208">
                  <c:v>6.1278099999999993</c:v>
                </c:pt>
                <c:pt idx="209">
                  <c:v>6.1339300000000003</c:v>
                </c:pt>
                <c:pt idx="210">
                  <c:v>6.0572100000000004</c:v>
                </c:pt>
                <c:pt idx="211">
                  <c:v>6.0912600000000001</c:v>
                </c:pt>
                <c:pt idx="212">
                  <c:v>6.0422799999999999</c:v>
                </c:pt>
                <c:pt idx="213">
                  <c:v>6.1397599999999999</c:v>
                </c:pt>
                <c:pt idx="214">
                  <c:v>6.1601599999999994</c:v>
                </c:pt>
                <c:pt idx="215">
                  <c:v>6.1886400000000004</c:v>
                </c:pt>
                <c:pt idx="216">
                  <c:v>6.1467200000000002</c:v>
                </c:pt>
                <c:pt idx="217">
                  <c:v>6.1302200000000004</c:v>
                </c:pt>
                <c:pt idx="218">
                  <c:v>6.1609100000000003</c:v>
                </c:pt>
                <c:pt idx="219">
                  <c:v>6.1154399999999995</c:v>
                </c:pt>
                <c:pt idx="220">
                  <c:v>6.1646099999999997</c:v>
                </c:pt>
                <c:pt idx="221">
                  <c:v>5.9942799999999998</c:v>
                </c:pt>
                <c:pt idx="222">
                  <c:v>5.9462800000000007</c:v>
                </c:pt>
                <c:pt idx="223">
                  <c:v>5.6733900000000004</c:v>
                </c:pt>
                <c:pt idx="224">
                  <c:v>5.5707800000000001</c:v>
                </c:pt>
                <c:pt idx="225">
                  <c:v>5.5707800000000001</c:v>
                </c:pt>
                <c:pt idx="226">
                  <c:v>5.6415300000000004</c:v>
                </c:pt>
                <c:pt idx="227">
                  <c:v>5.6338900000000001</c:v>
                </c:pt>
                <c:pt idx="228">
                  <c:v>5.6351199999999997</c:v>
                </c:pt>
                <c:pt idx="229">
                  <c:v>5.73475</c:v>
                </c:pt>
                <c:pt idx="230">
                  <c:v>5.8</c:v>
                </c:pt>
                <c:pt idx="231">
                  <c:v>5.8409900000000006</c:v>
                </c:pt>
                <c:pt idx="232">
                  <c:v>5.8383399999999996</c:v>
                </c:pt>
                <c:pt idx="233">
                  <c:v>5.7641</c:v>
                </c:pt>
                <c:pt idx="234">
                  <c:v>5.6436699999999993</c:v>
                </c:pt>
                <c:pt idx="235">
                  <c:v>5.5624800000000008</c:v>
                </c:pt>
                <c:pt idx="236">
                  <c:v>5.5624800000000008</c:v>
                </c:pt>
                <c:pt idx="237">
                  <c:v>5.2933699999999995</c:v>
                </c:pt>
                <c:pt idx="238">
                  <c:v>5.2410600000000001</c:v>
                </c:pt>
                <c:pt idx="239">
                  <c:v>5.0069400000000002</c:v>
                </c:pt>
                <c:pt idx="240">
                  <c:v>4.9645000000000001</c:v>
                </c:pt>
                <c:pt idx="241">
                  <c:v>4.9206200000000004</c:v>
                </c:pt>
                <c:pt idx="242">
                  <c:v>4.8264999999999993</c:v>
                </c:pt>
                <c:pt idx="243">
                  <c:v>4.88232</c:v>
                </c:pt>
                <c:pt idx="244">
                  <c:v>4.9049200000000006</c:v>
                </c:pt>
                <c:pt idx="245">
                  <c:v>4.8926799999999995</c:v>
                </c:pt>
                <c:pt idx="246">
                  <c:v>4.9741800000000005</c:v>
                </c:pt>
                <c:pt idx="247">
                  <c:v>4.9982299999999995</c:v>
                </c:pt>
                <c:pt idx="248">
                  <c:v>4.9976900000000004</c:v>
                </c:pt>
                <c:pt idx="249">
                  <c:v>4.9885599999999997</c:v>
                </c:pt>
                <c:pt idx="250">
                  <c:v>4.9895899999999997</c:v>
                </c:pt>
                <c:pt idx="251">
                  <c:v>4.9803899999999999</c:v>
                </c:pt>
                <c:pt idx="252">
                  <c:v>4.9603799999999998</c:v>
                </c:pt>
                <c:pt idx="253">
                  <c:v>4.9902699999999998</c:v>
                </c:pt>
                <c:pt idx="254">
                  <c:v>5.0219800000000001</c:v>
                </c:pt>
                <c:pt idx="255">
                  <c:v>5.0194600000000005</c:v>
                </c:pt>
                <c:pt idx="256">
                  <c:v>5.0369400000000004</c:v>
                </c:pt>
                <c:pt idx="257">
                  <c:v>5.0369400000000004</c:v>
                </c:pt>
                <c:pt idx="258">
                  <c:v>5.0390100000000002</c:v>
                </c:pt>
                <c:pt idx="259">
                  <c:v>5.0338600000000007</c:v>
                </c:pt>
                <c:pt idx="260">
                  <c:v>5.01274</c:v>
                </c:pt>
                <c:pt idx="261">
                  <c:v>5.0306499999999996</c:v>
                </c:pt>
                <c:pt idx="262">
                  <c:v>5.0306499999999996</c:v>
                </c:pt>
                <c:pt idx="263">
                  <c:v>4.9528500000000006</c:v>
                </c:pt>
                <c:pt idx="264">
                  <c:v>4.9580700000000002</c:v>
                </c:pt>
                <c:pt idx="265">
                  <c:v>4.8944000000000001</c:v>
                </c:pt>
                <c:pt idx="266">
                  <c:v>4.8489699999999996</c:v>
                </c:pt>
                <c:pt idx="267">
                  <c:v>4.8359500000000004</c:v>
                </c:pt>
                <c:pt idx="268">
                  <c:v>4.82423</c:v>
                </c:pt>
                <c:pt idx="269">
                  <c:v>4.8813700000000004</c:v>
                </c:pt>
                <c:pt idx="270">
                  <c:v>4.9147800000000004</c:v>
                </c:pt>
                <c:pt idx="271">
                  <c:v>4.8620800000000006</c:v>
                </c:pt>
                <c:pt idx="272">
                  <c:v>4.8622800000000002</c:v>
                </c:pt>
                <c:pt idx="273">
                  <c:v>4.8622800000000002</c:v>
                </c:pt>
                <c:pt idx="274">
                  <c:v>4.89595</c:v>
                </c:pt>
                <c:pt idx="275">
                  <c:v>4.88171</c:v>
                </c:pt>
                <c:pt idx="276">
                  <c:v>4.8740600000000001</c:v>
                </c:pt>
                <c:pt idx="277">
                  <c:v>4.95838</c:v>
                </c:pt>
                <c:pt idx="278">
                  <c:v>4.9935900000000002</c:v>
                </c:pt>
                <c:pt idx="279">
                  <c:v>5.0220099999999999</c:v>
                </c:pt>
                <c:pt idx="280">
                  <c:v>5.0529799999999998</c:v>
                </c:pt>
                <c:pt idx="281">
                  <c:v>4.9885000000000002</c:v>
                </c:pt>
                <c:pt idx="282">
                  <c:v>4.9796899999999997</c:v>
                </c:pt>
                <c:pt idx="283">
                  <c:v>4.9386099999999997</c:v>
                </c:pt>
                <c:pt idx="284">
                  <c:v>4.8792099999999996</c:v>
                </c:pt>
                <c:pt idx="285">
                  <c:v>4.8688200000000004</c:v>
                </c:pt>
                <c:pt idx="286">
                  <c:v>4.8914900000000001</c:v>
                </c:pt>
                <c:pt idx="287">
                  <c:v>4.8780799999999997</c:v>
                </c:pt>
                <c:pt idx="288">
                  <c:v>4.9385199999999996</c:v>
                </c:pt>
                <c:pt idx="289">
                  <c:v>5.0409300000000004</c:v>
                </c:pt>
                <c:pt idx="290">
                  <c:v>5.0640200000000002</c:v>
                </c:pt>
                <c:pt idx="291">
                  <c:v>5.093</c:v>
                </c:pt>
                <c:pt idx="292">
                  <c:v>5.0848000000000004</c:v>
                </c:pt>
                <c:pt idx="293">
                  <c:v>5.0848000000000004</c:v>
                </c:pt>
                <c:pt idx="294">
                  <c:v>5.00366</c:v>
                </c:pt>
                <c:pt idx="295">
                  <c:v>5.00976</c:v>
                </c:pt>
                <c:pt idx="296">
                  <c:v>4.9890100000000004</c:v>
                </c:pt>
                <c:pt idx="297">
                  <c:v>4.9380500000000005</c:v>
                </c:pt>
                <c:pt idx="298">
                  <c:v>4.9414199999999999</c:v>
                </c:pt>
                <c:pt idx="299">
                  <c:v>4.9762200000000005</c:v>
                </c:pt>
                <c:pt idx="300">
                  <c:v>4.9599900000000003</c:v>
                </c:pt>
                <c:pt idx="301">
                  <c:v>4.8758999999999997</c:v>
                </c:pt>
                <c:pt idx="302">
                  <c:v>4.98454</c:v>
                </c:pt>
                <c:pt idx="303">
                  <c:v>4.9947800000000004</c:v>
                </c:pt>
                <c:pt idx="304">
                  <c:v>5.1375300000000008</c:v>
                </c:pt>
                <c:pt idx="305">
                  <c:v>5.1288599999999995</c:v>
                </c:pt>
                <c:pt idx="306">
                  <c:v>5.13354</c:v>
                </c:pt>
                <c:pt idx="307">
                  <c:v>5.2882299999999995</c:v>
                </c:pt>
                <c:pt idx="308">
                  <c:v>5.4020700000000001</c:v>
                </c:pt>
                <c:pt idx="309">
                  <c:v>5.3024100000000001</c:v>
                </c:pt>
                <c:pt idx="310">
                  <c:v>5.3552</c:v>
                </c:pt>
                <c:pt idx="311">
                  <c:v>5.5093300000000003</c:v>
                </c:pt>
                <c:pt idx="312">
                  <c:v>5.6834400000000009</c:v>
                </c:pt>
                <c:pt idx="313">
                  <c:v>5.7116300000000004</c:v>
                </c:pt>
                <c:pt idx="314">
                  <c:v>5.4856199999999999</c:v>
                </c:pt>
                <c:pt idx="315">
                  <c:v>5.5276199999999998</c:v>
                </c:pt>
                <c:pt idx="316">
                  <c:v>5.4838399999999998</c:v>
                </c:pt>
                <c:pt idx="317">
                  <c:v>5.3780899999999994</c:v>
                </c:pt>
                <c:pt idx="318">
                  <c:v>5.3220600000000005</c:v>
                </c:pt>
                <c:pt idx="319">
                  <c:v>5.4171900000000006</c:v>
                </c:pt>
                <c:pt idx="320">
                  <c:v>5.5131899999999998</c:v>
                </c:pt>
                <c:pt idx="321">
                  <c:v>5.4894699999999998</c:v>
                </c:pt>
                <c:pt idx="322">
                  <c:v>5.4803599999999992</c:v>
                </c:pt>
                <c:pt idx="323">
                  <c:v>5.4499500000000003</c:v>
                </c:pt>
                <c:pt idx="324">
                  <c:v>5.5910400000000005</c:v>
                </c:pt>
                <c:pt idx="325">
                  <c:v>5.5453200000000002</c:v>
                </c:pt>
                <c:pt idx="326">
                  <c:v>5.6536999999999997</c:v>
                </c:pt>
                <c:pt idx="327">
                  <c:v>5.63314</c:v>
                </c:pt>
                <c:pt idx="328">
                  <c:v>5.6340200000000005</c:v>
                </c:pt>
                <c:pt idx="329">
                  <c:v>5.7130200000000002</c:v>
                </c:pt>
                <c:pt idx="330">
                  <c:v>5.75976</c:v>
                </c:pt>
                <c:pt idx="331">
                  <c:v>5.7525199999999996</c:v>
                </c:pt>
                <c:pt idx="332">
                  <c:v>5.7733399999999993</c:v>
                </c:pt>
                <c:pt idx="333">
                  <c:v>5.76112</c:v>
                </c:pt>
                <c:pt idx="334">
                  <c:v>5.8026</c:v>
                </c:pt>
                <c:pt idx="335">
                  <c:v>5.7539099999999994</c:v>
                </c:pt>
                <c:pt idx="336">
                  <c:v>5.8069600000000001</c:v>
                </c:pt>
                <c:pt idx="337">
                  <c:v>5.7251000000000003</c:v>
                </c:pt>
                <c:pt idx="338">
                  <c:v>5.5916899999999998</c:v>
                </c:pt>
                <c:pt idx="339">
                  <c:v>5.5195000000000007</c:v>
                </c:pt>
                <c:pt idx="340">
                  <c:v>5.3656600000000001</c:v>
                </c:pt>
                <c:pt idx="341">
                  <c:v>5.2716600000000007</c:v>
                </c:pt>
                <c:pt idx="342">
                  <c:v>5.2420500000000008</c:v>
                </c:pt>
                <c:pt idx="343">
                  <c:v>5.24505</c:v>
                </c:pt>
                <c:pt idx="344">
                  <c:v>5.2662900000000006</c:v>
                </c:pt>
                <c:pt idx="345">
                  <c:v>5.2291099999999995</c:v>
                </c:pt>
                <c:pt idx="346">
                  <c:v>5.2394399999999992</c:v>
                </c:pt>
                <c:pt idx="347">
                  <c:v>5.2564700000000002</c:v>
                </c:pt>
                <c:pt idx="348">
                  <c:v>5.28789</c:v>
                </c:pt>
                <c:pt idx="349">
                  <c:v>5.3320899999999991</c:v>
                </c:pt>
                <c:pt idx="350">
                  <c:v>5.3299300000000009</c:v>
                </c:pt>
                <c:pt idx="351">
                  <c:v>5.3323999999999998</c:v>
                </c:pt>
                <c:pt idx="352">
                  <c:v>5.3446100000000003</c:v>
                </c:pt>
                <c:pt idx="353">
                  <c:v>5.3347500000000005</c:v>
                </c:pt>
                <c:pt idx="354">
                  <c:v>5.3801999999999994</c:v>
                </c:pt>
                <c:pt idx="355">
                  <c:v>5.3566499999999992</c:v>
                </c:pt>
                <c:pt idx="356">
                  <c:v>5.4570699999999999</c:v>
                </c:pt>
                <c:pt idx="357">
                  <c:v>5.4791999999999996</c:v>
                </c:pt>
                <c:pt idx="358">
                  <c:v>5.4830100000000002</c:v>
                </c:pt>
                <c:pt idx="359">
                  <c:v>5.4579100000000009</c:v>
                </c:pt>
                <c:pt idx="360">
                  <c:v>5.4881799999999998</c:v>
                </c:pt>
                <c:pt idx="361">
                  <c:v>5.5301800000000005</c:v>
                </c:pt>
                <c:pt idx="362">
                  <c:v>5.4344500000000009</c:v>
                </c:pt>
                <c:pt idx="363">
                  <c:v>5.9120799999999996</c:v>
                </c:pt>
                <c:pt idx="364">
                  <c:v>6.0175999999999998</c:v>
                </c:pt>
                <c:pt idx="365">
                  <c:v>6.1368799999999997</c:v>
                </c:pt>
                <c:pt idx="366">
                  <c:v>6.1147099999999996</c:v>
                </c:pt>
                <c:pt idx="367">
                  <c:v>6.0975699999999993</c:v>
                </c:pt>
                <c:pt idx="368">
                  <c:v>6.0975699999999993</c:v>
                </c:pt>
                <c:pt idx="369">
                  <c:v>5.9844399999999993</c:v>
                </c:pt>
                <c:pt idx="370">
                  <c:v>5.9335900000000006</c:v>
                </c:pt>
                <c:pt idx="371">
                  <c:v>5.88598</c:v>
                </c:pt>
                <c:pt idx="372">
                  <c:v>5.9373500000000003</c:v>
                </c:pt>
                <c:pt idx="373">
                  <c:v>5.8955799999999998</c:v>
                </c:pt>
                <c:pt idx="374">
                  <c:v>5.8721199999999998</c:v>
                </c:pt>
                <c:pt idx="375">
                  <c:v>5.8514099999999996</c:v>
                </c:pt>
                <c:pt idx="376">
                  <c:v>5.8689300000000006</c:v>
                </c:pt>
                <c:pt idx="377">
                  <c:v>5.8869500000000006</c:v>
                </c:pt>
                <c:pt idx="378">
                  <c:v>5.8746499999999999</c:v>
                </c:pt>
                <c:pt idx="379">
                  <c:v>5.9952599999999991</c:v>
                </c:pt>
                <c:pt idx="380">
                  <c:v>6.0202800000000005</c:v>
                </c:pt>
                <c:pt idx="381">
                  <c:v>6.0301300000000007</c:v>
                </c:pt>
                <c:pt idx="382">
                  <c:v>6.0692100000000009</c:v>
                </c:pt>
                <c:pt idx="383">
                  <c:v>6.6702599999999999</c:v>
                </c:pt>
                <c:pt idx="384">
                  <c:v>6.8010099999999998</c:v>
                </c:pt>
                <c:pt idx="385">
                  <c:v>6.8215599999999998</c:v>
                </c:pt>
                <c:pt idx="386">
                  <c:v>6.8422099999999997</c:v>
                </c:pt>
                <c:pt idx="387">
                  <c:v>6.7799900000000006</c:v>
                </c:pt>
                <c:pt idx="388">
                  <c:v>6.8380899999999993</c:v>
                </c:pt>
                <c:pt idx="389">
                  <c:v>6.8664499999999995</c:v>
                </c:pt>
                <c:pt idx="390">
                  <c:v>6.8597199999999994</c:v>
                </c:pt>
                <c:pt idx="391">
                  <c:v>6.8463799999999999</c:v>
                </c:pt>
                <c:pt idx="392">
                  <c:v>6.8924000000000003</c:v>
                </c:pt>
                <c:pt idx="393">
                  <c:v>6.8924000000000003</c:v>
                </c:pt>
                <c:pt idx="394">
                  <c:v>6.9738099999999994</c:v>
                </c:pt>
                <c:pt idx="395">
                  <c:v>7.0006200000000005</c:v>
                </c:pt>
                <c:pt idx="396">
                  <c:v>7.0228099999999998</c:v>
                </c:pt>
                <c:pt idx="397">
                  <c:v>7.0052300000000001</c:v>
                </c:pt>
                <c:pt idx="398">
                  <c:v>6.9891099999999993</c:v>
                </c:pt>
                <c:pt idx="399">
                  <c:v>6.97384</c:v>
                </c:pt>
                <c:pt idx="400">
                  <c:v>6.9930700000000003</c:v>
                </c:pt>
                <c:pt idx="401">
                  <c:v>7.0317800000000004</c:v>
                </c:pt>
                <c:pt idx="402">
                  <c:v>7.0378700000000007</c:v>
                </c:pt>
                <c:pt idx="403">
                  <c:v>7.1657100000000007</c:v>
                </c:pt>
                <c:pt idx="404">
                  <c:v>7.1582000000000008</c:v>
                </c:pt>
                <c:pt idx="405">
                  <c:v>7.0834999999999999</c:v>
                </c:pt>
                <c:pt idx="406">
                  <c:v>7.0814200000000005</c:v>
                </c:pt>
                <c:pt idx="407">
                  <c:v>7.0274699999999992</c:v>
                </c:pt>
                <c:pt idx="408">
                  <c:v>7.0312400000000004</c:v>
                </c:pt>
                <c:pt idx="409">
                  <c:v>6.93689</c:v>
                </c:pt>
                <c:pt idx="410">
                  <c:v>6.8235799999999998</c:v>
                </c:pt>
                <c:pt idx="411">
                  <c:v>6.7902099999999992</c:v>
                </c:pt>
                <c:pt idx="412">
                  <c:v>6.7736000000000001</c:v>
                </c:pt>
                <c:pt idx="413">
                  <c:v>6.7701799999999999</c:v>
                </c:pt>
                <c:pt idx="414">
                  <c:v>6.77529</c:v>
                </c:pt>
                <c:pt idx="415">
                  <c:v>6.7849400000000006</c:v>
                </c:pt>
                <c:pt idx="416">
                  <c:v>6.7627700000000006</c:v>
                </c:pt>
                <c:pt idx="417">
                  <c:v>6.7155700000000005</c:v>
                </c:pt>
                <c:pt idx="418">
                  <c:v>6.7085600000000003</c:v>
                </c:pt>
                <c:pt idx="419">
                  <c:v>6.7793299999999999</c:v>
                </c:pt>
                <c:pt idx="420">
                  <c:v>6.7693700000000003</c:v>
                </c:pt>
                <c:pt idx="421">
                  <c:v>6.7807899999999997</c:v>
                </c:pt>
                <c:pt idx="422">
                  <c:v>6.8701800000000004</c:v>
                </c:pt>
                <c:pt idx="423">
                  <c:v>6.9175900000000006</c:v>
                </c:pt>
                <c:pt idx="424">
                  <c:v>6.9532500000000006</c:v>
                </c:pt>
                <c:pt idx="425">
                  <c:v>6.9259299999999993</c:v>
                </c:pt>
                <c:pt idx="426">
                  <c:v>6.9535</c:v>
                </c:pt>
                <c:pt idx="427">
                  <c:v>6.9957399999999996</c:v>
                </c:pt>
                <c:pt idx="428">
                  <c:v>7.0708099999999998</c:v>
                </c:pt>
                <c:pt idx="429">
                  <c:v>7.0575999999999999</c:v>
                </c:pt>
                <c:pt idx="430">
                  <c:v>7.01614</c:v>
                </c:pt>
                <c:pt idx="431">
                  <c:v>6.9612800000000004</c:v>
                </c:pt>
                <c:pt idx="432">
                  <c:v>6.9939</c:v>
                </c:pt>
                <c:pt idx="433">
                  <c:v>7.02163</c:v>
                </c:pt>
                <c:pt idx="434">
                  <c:v>6.9377899999999997</c:v>
                </c:pt>
                <c:pt idx="435">
                  <c:v>6.8248100000000003</c:v>
                </c:pt>
                <c:pt idx="436">
                  <c:v>6.73726</c:v>
                </c:pt>
                <c:pt idx="437">
                  <c:v>6.6516899999999994</c:v>
                </c:pt>
                <c:pt idx="438">
                  <c:v>6.6516899999999994</c:v>
                </c:pt>
                <c:pt idx="439">
                  <c:v>6.54223</c:v>
                </c:pt>
                <c:pt idx="440">
                  <c:v>6.4573199999999993</c:v>
                </c:pt>
                <c:pt idx="441">
                  <c:v>6.4899500000000003</c:v>
                </c:pt>
                <c:pt idx="442">
                  <c:v>6.43527</c:v>
                </c:pt>
                <c:pt idx="443">
                  <c:v>6.4280200000000001</c:v>
                </c:pt>
                <c:pt idx="444">
                  <c:v>6.4942100000000007</c:v>
                </c:pt>
                <c:pt idx="445">
                  <c:v>6.4564500000000002</c:v>
                </c:pt>
                <c:pt idx="446">
                  <c:v>6.3912800000000001</c:v>
                </c:pt>
                <c:pt idx="447">
                  <c:v>6.3348500000000003</c:v>
                </c:pt>
                <c:pt idx="448">
                  <c:v>6.4363099999999998</c:v>
                </c:pt>
                <c:pt idx="449">
                  <c:v>6.4128800000000004</c:v>
                </c:pt>
                <c:pt idx="450">
                  <c:v>6.4868399999999999</c:v>
                </c:pt>
                <c:pt idx="451">
                  <c:v>6.4079300000000003</c:v>
                </c:pt>
                <c:pt idx="452">
                  <c:v>6.4168799999999999</c:v>
                </c:pt>
                <c:pt idx="453">
                  <c:v>6.4689800000000002</c:v>
                </c:pt>
                <c:pt idx="454">
                  <c:v>6.5564499999999999</c:v>
                </c:pt>
                <c:pt idx="455">
                  <c:v>6.5396799999999997</c:v>
                </c:pt>
                <c:pt idx="456">
                  <c:v>6.6430600000000002</c:v>
                </c:pt>
                <c:pt idx="457">
                  <c:v>6.7177200000000008</c:v>
                </c:pt>
                <c:pt idx="458">
                  <c:v>6.7780100000000001</c:v>
                </c:pt>
                <c:pt idx="459">
                  <c:v>6.7381100000000007</c:v>
                </c:pt>
                <c:pt idx="460">
                  <c:v>6.7488300000000008</c:v>
                </c:pt>
                <c:pt idx="461">
                  <c:v>6.7863699999999998</c:v>
                </c:pt>
                <c:pt idx="462">
                  <c:v>6.7753200000000007</c:v>
                </c:pt>
                <c:pt idx="463">
                  <c:v>6.7753200000000007</c:v>
                </c:pt>
                <c:pt idx="464">
                  <c:v>6.8</c:v>
                </c:pt>
                <c:pt idx="465">
                  <c:v>6.8097500000000002</c:v>
                </c:pt>
                <c:pt idx="466">
                  <c:v>6.8741499999999993</c:v>
                </c:pt>
                <c:pt idx="467">
                  <c:v>6.8178299999999998</c:v>
                </c:pt>
                <c:pt idx="468">
                  <c:v>6.7880799999999999</c:v>
                </c:pt>
                <c:pt idx="469">
                  <c:v>6.7259799999999998</c:v>
                </c:pt>
                <c:pt idx="470">
                  <c:v>6.7602099999999998</c:v>
                </c:pt>
                <c:pt idx="471">
                  <c:v>6.7272400000000001</c:v>
                </c:pt>
                <c:pt idx="472">
                  <c:v>6.7478999999999996</c:v>
                </c:pt>
                <c:pt idx="473">
                  <c:v>6.75223</c:v>
                </c:pt>
                <c:pt idx="474">
                  <c:v>6.7735599999999998</c:v>
                </c:pt>
                <c:pt idx="475">
                  <c:v>6.8194500000000007</c:v>
                </c:pt>
                <c:pt idx="476">
                  <c:v>6.8449199999999992</c:v>
                </c:pt>
                <c:pt idx="477">
                  <c:v>6.8420899999999998</c:v>
                </c:pt>
                <c:pt idx="478">
                  <c:v>6.8564400000000001</c:v>
                </c:pt>
                <c:pt idx="479">
                  <c:v>6.8806600000000007</c:v>
                </c:pt>
                <c:pt idx="480">
                  <c:v>6.8264399999999998</c:v>
                </c:pt>
                <c:pt idx="481">
                  <c:v>6.8936199999999994</c:v>
                </c:pt>
                <c:pt idx="482">
                  <c:v>6.9503999999999992</c:v>
                </c:pt>
                <c:pt idx="483">
                  <c:v>6.9096400000000004</c:v>
                </c:pt>
                <c:pt idx="484">
                  <c:v>6.9685799999999993</c:v>
                </c:pt>
                <c:pt idx="485">
                  <c:v>7.2099599999999997</c:v>
                </c:pt>
                <c:pt idx="486">
                  <c:v>7.2099599999999997</c:v>
                </c:pt>
                <c:pt idx="487">
                  <c:v>7.3478599999999998</c:v>
                </c:pt>
                <c:pt idx="488">
                  <c:v>7.4813499999999999</c:v>
                </c:pt>
                <c:pt idx="489">
                  <c:v>7.5682000000000009</c:v>
                </c:pt>
                <c:pt idx="490">
                  <c:v>7.6737000000000002</c:v>
                </c:pt>
                <c:pt idx="491">
                  <c:v>7.6092300000000002</c:v>
                </c:pt>
                <c:pt idx="492">
                  <c:v>7.6448299999999998</c:v>
                </c:pt>
                <c:pt idx="493">
                  <c:v>7.5424600000000002</c:v>
                </c:pt>
                <c:pt idx="494">
                  <c:v>7.6000199999999998</c:v>
                </c:pt>
                <c:pt idx="495">
                  <c:v>7.6015899999999998</c:v>
                </c:pt>
                <c:pt idx="496">
                  <c:v>7.6015899999999998</c:v>
                </c:pt>
                <c:pt idx="497">
                  <c:v>7.8271699999999997</c:v>
                </c:pt>
                <c:pt idx="498">
                  <c:v>7.7688999999999995</c:v>
                </c:pt>
                <c:pt idx="499">
                  <c:v>7.970839999999999</c:v>
                </c:pt>
                <c:pt idx="500">
                  <c:v>7.9541399999999998</c:v>
                </c:pt>
                <c:pt idx="501">
                  <c:v>7.9862099999999998</c:v>
                </c:pt>
                <c:pt idx="502">
                  <c:v>8.0873699999999999</c:v>
                </c:pt>
                <c:pt idx="503">
                  <c:v>8.1964000000000006</c:v>
                </c:pt>
                <c:pt idx="504">
                  <c:v>8.2492900000000002</c:v>
                </c:pt>
                <c:pt idx="505">
                  <c:v>8.2626799999999996</c:v>
                </c:pt>
                <c:pt idx="506">
                  <c:v>8.3452800000000007</c:v>
                </c:pt>
                <c:pt idx="507">
                  <c:v>8.4054599999999997</c:v>
                </c:pt>
                <c:pt idx="508">
                  <c:v>8.4520999999999997</c:v>
                </c:pt>
                <c:pt idx="509">
                  <c:v>8.4994500000000013</c:v>
                </c:pt>
                <c:pt idx="510">
                  <c:v>8.4897600000000004</c:v>
                </c:pt>
                <c:pt idx="511">
                  <c:v>8.5151599999999998</c:v>
                </c:pt>
                <c:pt idx="512">
                  <c:v>8.5713600000000003</c:v>
                </c:pt>
                <c:pt idx="513">
                  <c:v>8.5495799999999988</c:v>
                </c:pt>
                <c:pt idx="514">
                  <c:v>8.5381400000000003</c:v>
                </c:pt>
                <c:pt idx="515">
                  <c:v>8.4998000000000005</c:v>
                </c:pt>
                <c:pt idx="516">
                  <c:v>8.5266900000000003</c:v>
                </c:pt>
                <c:pt idx="517">
                  <c:v>8.5266900000000003</c:v>
                </c:pt>
                <c:pt idx="518">
                  <c:v>8.49953</c:v>
                </c:pt>
                <c:pt idx="519">
                  <c:v>8.5235500000000002</c:v>
                </c:pt>
                <c:pt idx="520">
                  <c:v>8.3734799999999989</c:v>
                </c:pt>
                <c:pt idx="521">
                  <c:v>8.3519100000000002</c:v>
                </c:pt>
                <c:pt idx="522">
                  <c:v>8.3806100000000008</c:v>
                </c:pt>
                <c:pt idx="523">
                  <c:v>8.2927099999999996</c:v>
                </c:pt>
                <c:pt idx="524">
                  <c:v>8.2020400000000002</c:v>
                </c:pt>
                <c:pt idx="525">
                  <c:v>8.1462199999999996</c:v>
                </c:pt>
                <c:pt idx="526">
                  <c:v>8.1631400000000003</c:v>
                </c:pt>
                <c:pt idx="527">
                  <c:v>8.1596200000000003</c:v>
                </c:pt>
                <c:pt idx="528">
                  <c:v>8.1405799999999999</c:v>
                </c:pt>
                <c:pt idx="529">
                  <c:v>8.1780999999999988</c:v>
                </c:pt>
                <c:pt idx="530">
                  <c:v>8.1248100000000001</c:v>
                </c:pt>
                <c:pt idx="531">
                  <c:v>8.1254899999999992</c:v>
                </c:pt>
                <c:pt idx="532">
                  <c:v>8.1537900000000008</c:v>
                </c:pt>
                <c:pt idx="533">
                  <c:v>8.1537900000000008</c:v>
                </c:pt>
                <c:pt idx="534">
                  <c:v>8.1599500000000003</c:v>
                </c:pt>
                <c:pt idx="535">
                  <c:v>8.2056100000000001</c:v>
                </c:pt>
                <c:pt idx="536">
                  <c:v>8.36496</c:v>
                </c:pt>
                <c:pt idx="537">
                  <c:v>8.7779299999999996</c:v>
                </c:pt>
                <c:pt idx="538">
                  <c:v>8.98583</c:v>
                </c:pt>
                <c:pt idx="539">
                  <c:v>9.1317699999999995</c:v>
                </c:pt>
                <c:pt idx="540">
                  <c:v>9.1864799999999995</c:v>
                </c:pt>
                <c:pt idx="541">
                  <c:v>9.2841699999999996</c:v>
                </c:pt>
                <c:pt idx="542">
                  <c:v>9.3443699999999996</c:v>
                </c:pt>
                <c:pt idx="543">
                  <c:v>9.340349999999999</c:v>
                </c:pt>
                <c:pt idx="544">
                  <c:v>9.3096700000000006</c:v>
                </c:pt>
                <c:pt idx="545">
                  <c:v>9.1852800000000006</c:v>
                </c:pt>
                <c:pt idx="546">
                  <c:v>8.9814000000000007</c:v>
                </c:pt>
                <c:pt idx="547">
                  <c:v>8.8506099999999996</c:v>
                </c:pt>
                <c:pt idx="548">
                  <c:v>8.9067499999999988</c:v>
                </c:pt>
                <c:pt idx="549">
                  <c:v>8.8577399999999997</c:v>
                </c:pt>
                <c:pt idx="550">
                  <c:v>8.8120700000000003</c:v>
                </c:pt>
                <c:pt idx="551">
                  <c:v>8.7604100000000003</c:v>
                </c:pt>
                <c:pt idx="552">
                  <c:v>8.7862200000000001</c:v>
                </c:pt>
                <c:pt idx="553">
                  <c:v>8.8227200000000003</c:v>
                </c:pt>
                <c:pt idx="554">
                  <c:v>8.7502499999999994</c:v>
                </c:pt>
                <c:pt idx="555">
                  <c:v>8.7255900000000004</c:v>
                </c:pt>
                <c:pt idx="556">
                  <c:v>8.7902699999999996</c:v>
                </c:pt>
                <c:pt idx="557">
                  <c:v>8.8053299999999997</c:v>
                </c:pt>
                <c:pt idx="558">
                  <c:v>8.8053299999999997</c:v>
                </c:pt>
                <c:pt idx="559">
                  <c:v>9.36843</c:v>
                </c:pt>
                <c:pt idx="560">
                  <c:v>9.8315099999999997</c:v>
                </c:pt>
                <c:pt idx="561">
                  <c:v>14.61135</c:v>
                </c:pt>
                <c:pt idx="562">
                  <c:v>14.5954</c:v>
                </c:pt>
                <c:pt idx="563">
                  <c:v>31.4011</c:v>
                </c:pt>
                <c:pt idx="564">
                  <c:v>38.411920000000002</c:v>
                </c:pt>
                <c:pt idx="565">
                  <c:v>42.457879999999996</c:v>
                </c:pt>
                <c:pt idx="566">
                  <c:v>53.595669999999998</c:v>
                </c:pt>
                <c:pt idx="567">
                  <c:v>115.79520000000001</c:v>
                </c:pt>
                <c:pt idx="568">
                  <c:v>97.216419999999999</c:v>
                </c:pt>
                <c:pt idx="569">
                  <c:v>96.069810000000004</c:v>
                </c:pt>
                <c:pt idx="570">
                  <c:v>92.058080000000004</c:v>
                </c:pt>
                <c:pt idx="571">
                  <c:v>88.88373</c:v>
                </c:pt>
                <c:pt idx="572">
                  <c:v>83.047549999999987</c:v>
                </c:pt>
                <c:pt idx="573">
                  <c:v>79.623310000000004</c:v>
                </c:pt>
                <c:pt idx="574">
                  <c:v>78.994120000000009</c:v>
                </c:pt>
                <c:pt idx="575">
                  <c:v>66.787269999999992</c:v>
                </c:pt>
                <c:pt idx="576">
                  <c:v>56.659669999999998</c:v>
                </c:pt>
                <c:pt idx="577">
                  <c:v>55.151649999999997</c:v>
                </c:pt>
                <c:pt idx="578">
                  <c:v>52.56718</c:v>
                </c:pt>
                <c:pt idx="579">
                  <c:v>51.617579999999997</c:v>
                </c:pt>
                <c:pt idx="580">
                  <c:v>50.4495</c:v>
                </c:pt>
                <c:pt idx="581">
                  <c:v>57.196319999999993</c:v>
                </c:pt>
                <c:pt idx="582">
                  <c:v>60.927929999999996</c:v>
                </c:pt>
                <c:pt idx="583">
                  <c:v>59.950009999999999</c:v>
                </c:pt>
                <c:pt idx="584">
                  <c:v>59.027430000000003</c:v>
                </c:pt>
                <c:pt idx="585">
                  <c:v>51.93244</c:v>
                </c:pt>
                <c:pt idx="586">
                  <c:v>46.476279999999996</c:v>
                </c:pt>
                <c:pt idx="587">
                  <c:v>46.04504</c:v>
                </c:pt>
                <c:pt idx="588">
                  <c:v>46.029480000000007</c:v>
                </c:pt>
                <c:pt idx="589">
                  <c:v>45.317399999999999</c:v>
                </c:pt>
                <c:pt idx="590">
                  <c:v>46.500789999999995</c:v>
                </c:pt>
                <c:pt idx="591">
                  <c:v>47.530020000000007</c:v>
                </c:pt>
                <c:pt idx="592">
                  <c:v>48.204549999999998</c:v>
                </c:pt>
                <c:pt idx="593">
                  <c:v>48.289960000000001</c:v>
                </c:pt>
                <c:pt idx="594">
                  <c:v>48.407619999999994</c:v>
                </c:pt>
                <c:pt idx="595">
                  <c:v>49.612209999999997</c:v>
                </c:pt>
                <c:pt idx="596">
                  <c:v>48.615569999999998</c:v>
                </c:pt>
                <c:pt idx="597">
                  <c:v>48.615569999999998</c:v>
                </c:pt>
                <c:pt idx="598">
                  <c:v>47.002499999999998</c:v>
                </c:pt>
                <c:pt idx="599">
                  <c:v>49.627209999999998</c:v>
                </c:pt>
                <c:pt idx="600">
                  <c:v>51.060379999999995</c:v>
                </c:pt>
                <c:pt idx="601">
                  <c:v>50.633649999999996</c:v>
                </c:pt>
                <c:pt idx="602">
                  <c:v>51.114350000000002</c:v>
                </c:pt>
                <c:pt idx="603">
                  <c:v>50.508320000000005</c:v>
                </c:pt>
                <c:pt idx="604">
                  <c:v>50.722990000000003</c:v>
                </c:pt>
                <c:pt idx="605">
                  <c:v>53.52852</c:v>
                </c:pt>
                <c:pt idx="606">
                  <c:v>52.845839999999995</c:v>
                </c:pt>
                <c:pt idx="607">
                  <c:v>52.833580000000005</c:v>
                </c:pt>
                <c:pt idx="608">
                  <c:v>52.752929999999999</c:v>
                </c:pt>
                <c:pt idx="609">
                  <c:v>52.789449999999995</c:v>
                </c:pt>
                <c:pt idx="610">
                  <c:v>51.87424</c:v>
                </c:pt>
                <c:pt idx="611">
                  <c:v>52.455939999999998</c:v>
                </c:pt>
                <c:pt idx="612">
                  <c:v>53.522700000000007</c:v>
                </c:pt>
                <c:pt idx="613">
                  <c:v>53.777520000000003</c:v>
                </c:pt>
                <c:pt idx="614">
                  <c:v>49.634799999999998</c:v>
                </c:pt>
                <c:pt idx="615">
                  <c:v>49.462600000000002</c:v>
                </c:pt>
                <c:pt idx="616">
                  <c:v>51.516809999999992</c:v>
                </c:pt>
                <c:pt idx="617">
                  <c:v>51.334409999999998</c:v>
                </c:pt>
                <c:pt idx="618">
                  <c:v>49.874679999999998</c:v>
                </c:pt>
                <c:pt idx="619">
                  <c:v>49.231090000000002</c:v>
                </c:pt>
                <c:pt idx="620">
                  <c:v>49.91713</c:v>
                </c:pt>
                <c:pt idx="621">
                  <c:v>50.489110000000004</c:v>
                </c:pt>
                <c:pt idx="622">
                  <c:v>50.646639999999998</c:v>
                </c:pt>
                <c:pt idx="623">
                  <c:v>49.756779999999999</c:v>
                </c:pt>
                <c:pt idx="624">
                  <c:v>49.213860000000004</c:v>
                </c:pt>
                <c:pt idx="625">
                  <c:v>49.559040000000003</c:v>
                </c:pt>
                <c:pt idx="626">
                  <c:v>49.365100000000005</c:v>
                </c:pt>
                <c:pt idx="627">
                  <c:v>47.916820000000001</c:v>
                </c:pt>
                <c:pt idx="628">
                  <c:v>47.916820000000001</c:v>
                </c:pt>
                <c:pt idx="629">
                  <c:v>48.064480000000003</c:v>
                </c:pt>
                <c:pt idx="630">
                  <c:v>46.483699999999999</c:v>
                </c:pt>
                <c:pt idx="631">
                  <c:v>47.259859999999996</c:v>
                </c:pt>
                <c:pt idx="632">
                  <c:v>47.255389999999998</c:v>
                </c:pt>
                <c:pt idx="633">
                  <c:v>46.17098</c:v>
                </c:pt>
                <c:pt idx="634">
                  <c:v>46.769210000000001</c:v>
                </c:pt>
                <c:pt idx="635">
                  <c:v>46.824399999999997</c:v>
                </c:pt>
                <c:pt idx="636">
                  <c:v>46.919380000000004</c:v>
                </c:pt>
                <c:pt idx="637">
                  <c:v>47.37397</c:v>
                </c:pt>
                <c:pt idx="638">
                  <c:v>47.264719999999997</c:v>
                </c:pt>
                <c:pt idx="639">
                  <c:v>47.103490000000001</c:v>
                </c:pt>
                <c:pt idx="640">
                  <c:v>47.137059999999998</c:v>
                </c:pt>
                <c:pt idx="641">
                  <c:v>47.14049</c:v>
                </c:pt>
                <c:pt idx="642">
                  <c:v>47.180020000000006</c:v>
                </c:pt>
                <c:pt idx="643">
                  <c:v>47.180020000000006</c:v>
                </c:pt>
                <c:pt idx="644">
                  <c:v>47.122079999999997</c:v>
                </c:pt>
                <c:pt idx="645">
                  <c:v>47.495649999999998</c:v>
                </c:pt>
                <c:pt idx="646">
                  <c:v>47.548149999999993</c:v>
                </c:pt>
                <c:pt idx="647">
                  <c:v>47.421170000000004</c:v>
                </c:pt>
                <c:pt idx="648">
                  <c:v>46.963999999999999</c:v>
                </c:pt>
                <c:pt idx="649">
                  <c:v>47.320820000000005</c:v>
                </c:pt>
                <c:pt idx="650">
                  <c:v>47.040439999999997</c:v>
                </c:pt>
                <c:pt idx="651">
                  <c:v>47.214709999999997</c:v>
                </c:pt>
                <c:pt idx="652">
                  <c:v>47.598469999999999</c:v>
                </c:pt>
                <c:pt idx="653">
                  <c:v>47.598469999999999</c:v>
                </c:pt>
                <c:pt idx="654">
                  <c:v>47.393119999999996</c:v>
                </c:pt>
                <c:pt idx="655">
                  <c:v>47.008500000000005</c:v>
                </c:pt>
                <c:pt idx="656">
                  <c:v>46.894509999999997</c:v>
                </c:pt>
                <c:pt idx="657">
                  <c:v>46.845089999999999</c:v>
                </c:pt>
                <c:pt idx="658">
                  <c:v>46.988590000000002</c:v>
                </c:pt>
                <c:pt idx="659">
                  <c:v>47.013990000000007</c:v>
                </c:pt>
                <c:pt idx="660">
                  <c:v>47.048500000000004</c:v>
                </c:pt>
                <c:pt idx="661">
                  <c:v>46.952950000000001</c:v>
                </c:pt>
                <c:pt idx="662">
                  <c:v>47.209200000000003</c:v>
                </c:pt>
                <c:pt idx="663">
                  <c:v>46.064570000000003</c:v>
                </c:pt>
                <c:pt idx="664">
                  <c:v>47.281649999999999</c:v>
                </c:pt>
                <c:pt idx="665">
                  <c:v>49.229329999999997</c:v>
                </c:pt>
                <c:pt idx="666">
                  <c:v>49.356940000000002</c:v>
                </c:pt>
                <c:pt idx="667">
                  <c:v>50.716769999999997</c:v>
                </c:pt>
                <c:pt idx="668">
                  <c:v>55.756790000000002</c:v>
                </c:pt>
                <c:pt idx="669">
                  <c:v>56.571130000000004</c:v>
                </c:pt>
                <c:pt idx="670">
                  <c:v>57.347670000000001</c:v>
                </c:pt>
                <c:pt idx="671">
                  <c:v>56.484530000000007</c:v>
                </c:pt>
                <c:pt idx="672">
                  <c:v>55.897740000000006</c:v>
                </c:pt>
                <c:pt idx="673">
                  <c:v>56.062780000000004</c:v>
                </c:pt>
                <c:pt idx="674">
                  <c:v>55.96161</c:v>
                </c:pt>
                <c:pt idx="675">
                  <c:v>57.31</c:v>
                </c:pt>
                <c:pt idx="676">
                  <c:v>57.414449999999995</c:v>
                </c:pt>
                <c:pt idx="677">
                  <c:v>57.285769999999999</c:v>
                </c:pt>
                <c:pt idx="678">
                  <c:v>56.697870000000002</c:v>
                </c:pt>
                <c:pt idx="679">
                  <c:v>54.98218</c:v>
                </c:pt>
                <c:pt idx="680">
                  <c:v>54.923419999999993</c:v>
                </c:pt>
                <c:pt idx="681">
                  <c:v>53.232389999999995</c:v>
                </c:pt>
                <c:pt idx="682">
                  <c:v>52.368469999999995</c:v>
                </c:pt>
                <c:pt idx="683">
                  <c:v>49.964799999999997</c:v>
                </c:pt>
                <c:pt idx="684">
                  <c:v>48.441220000000001</c:v>
                </c:pt>
                <c:pt idx="685">
                  <c:v>47.807020000000001</c:v>
                </c:pt>
                <c:pt idx="686">
                  <c:v>48.352579999999996</c:v>
                </c:pt>
                <c:pt idx="687">
                  <c:v>47.271909999999998</c:v>
                </c:pt>
                <c:pt idx="688">
                  <c:v>46.844269999999995</c:v>
                </c:pt>
                <c:pt idx="689">
                  <c:v>44.490429999999996</c:v>
                </c:pt>
                <c:pt idx="690">
                  <c:v>44.193540000000006</c:v>
                </c:pt>
                <c:pt idx="691">
                  <c:v>38.881740000000001</c:v>
                </c:pt>
                <c:pt idx="692">
                  <c:v>38.733989999999999</c:v>
                </c:pt>
                <c:pt idx="693">
                  <c:v>38.754249999999999</c:v>
                </c:pt>
                <c:pt idx="694">
                  <c:v>38.521390000000004</c:v>
                </c:pt>
                <c:pt idx="695">
                  <c:v>37.33634</c:v>
                </c:pt>
                <c:pt idx="696">
                  <c:v>37.4054</c:v>
                </c:pt>
                <c:pt idx="697">
                  <c:v>35.323720000000002</c:v>
                </c:pt>
                <c:pt idx="698">
                  <c:v>35.323720000000002</c:v>
                </c:pt>
                <c:pt idx="699">
                  <c:v>35.140010000000004</c:v>
                </c:pt>
                <c:pt idx="700">
                  <c:v>34.697519999999997</c:v>
                </c:pt>
                <c:pt idx="701">
                  <c:v>34.290569999999995</c:v>
                </c:pt>
                <c:pt idx="702">
                  <c:v>33.688139999999997</c:v>
                </c:pt>
                <c:pt idx="703">
                  <c:v>32.239650000000005</c:v>
                </c:pt>
                <c:pt idx="704">
                  <c:v>31.97044</c:v>
                </c:pt>
                <c:pt idx="705">
                  <c:v>31.834389999999999</c:v>
                </c:pt>
                <c:pt idx="706">
                  <c:v>31.874169999999999</c:v>
                </c:pt>
                <c:pt idx="707">
                  <c:v>31.345880000000001</c:v>
                </c:pt>
                <c:pt idx="708">
                  <c:v>31.318950000000001</c:v>
                </c:pt>
                <c:pt idx="709">
                  <c:v>30.886460000000003</c:v>
                </c:pt>
                <c:pt idx="710">
                  <c:v>30.810469999999999</c:v>
                </c:pt>
                <c:pt idx="711">
                  <c:v>30.71602</c:v>
                </c:pt>
                <c:pt idx="712">
                  <c:v>30.88335</c:v>
                </c:pt>
                <c:pt idx="713">
                  <c:v>31.023420000000002</c:v>
                </c:pt>
                <c:pt idx="714">
                  <c:v>30.768829999999998</c:v>
                </c:pt>
                <c:pt idx="715">
                  <c:v>30.842890000000001</c:v>
                </c:pt>
                <c:pt idx="716">
                  <c:v>30.123910000000002</c:v>
                </c:pt>
                <c:pt idx="717">
                  <c:v>30.313769999999998</c:v>
                </c:pt>
                <c:pt idx="718">
                  <c:v>30.876069999999999</c:v>
                </c:pt>
                <c:pt idx="719">
                  <c:v>31.00309</c:v>
                </c:pt>
                <c:pt idx="720">
                  <c:v>30.886559999999999</c:v>
                </c:pt>
                <c:pt idx="721">
                  <c:v>30.753769999999999</c:v>
                </c:pt>
                <c:pt idx="722">
                  <c:v>31.118839999999999</c:v>
                </c:pt>
                <c:pt idx="723">
                  <c:v>31.118839999999999</c:v>
                </c:pt>
                <c:pt idx="724">
                  <c:v>32.582540000000002</c:v>
                </c:pt>
                <c:pt idx="725">
                  <c:v>33.93891</c:v>
                </c:pt>
                <c:pt idx="726">
                  <c:v>33.906550000000003</c:v>
                </c:pt>
                <c:pt idx="727">
                  <c:v>34.1128</c:v>
                </c:pt>
                <c:pt idx="728">
                  <c:v>32.937570000000001</c:v>
                </c:pt>
                <c:pt idx="729">
                  <c:v>33.052820000000004</c:v>
                </c:pt>
                <c:pt idx="730">
                  <c:v>33.940809999999999</c:v>
                </c:pt>
                <c:pt idx="731">
                  <c:v>33.722079999999998</c:v>
                </c:pt>
                <c:pt idx="732">
                  <c:v>34.307609999999997</c:v>
                </c:pt>
                <c:pt idx="733">
                  <c:v>34.320569999999996</c:v>
                </c:pt>
                <c:pt idx="734">
                  <c:v>34.48227</c:v>
                </c:pt>
                <c:pt idx="735">
                  <c:v>34.649419999999999</c:v>
                </c:pt>
                <c:pt idx="736">
                  <c:v>33.780200000000001</c:v>
                </c:pt>
                <c:pt idx="737">
                  <c:v>33.6828</c:v>
                </c:pt>
                <c:pt idx="738">
                  <c:v>33.72522</c:v>
                </c:pt>
                <c:pt idx="739">
                  <c:v>34.95317</c:v>
                </c:pt>
                <c:pt idx="740">
                  <c:v>34.576340000000002</c:v>
                </c:pt>
                <c:pt idx="741">
                  <c:v>34.416599999999995</c:v>
                </c:pt>
                <c:pt idx="742">
                  <c:v>34.412939999999999</c:v>
                </c:pt>
                <c:pt idx="743">
                  <c:v>34.036680000000004</c:v>
                </c:pt>
                <c:pt idx="744">
                  <c:v>33.642689999999995</c:v>
                </c:pt>
                <c:pt idx="745">
                  <c:v>33.344560000000001</c:v>
                </c:pt>
                <c:pt idx="746">
                  <c:v>32.975360000000002</c:v>
                </c:pt>
                <c:pt idx="747">
                  <c:v>32.975360000000002</c:v>
                </c:pt>
                <c:pt idx="748">
                  <c:v>31.671129999999998</c:v>
                </c:pt>
                <c:pt idx="749">
                  <c:v>31.543049999999997</c:v>
                </c:pt>
                <c:pt idx="750">
                  <c:v>28.648339999999997</c:v>
                </c:pt>
                <c:pt idx="751">
                  <c:v>28.408770000000001</c:v>
                </c:pt>
                <c:pt idx="752">
                  <c:v>30.433699999999998</c:v>
                </c:pt>
                <c:pt idx="753">
                  <c:v>30.269209999999998</c:v>
                </c:pt>
                <c:pt idx="754">
                  <c:v>28.860959999999999</c:v>
                </c:pt>
                <c:pt idx="755">
                  <c:v>27.935310000000001</c:v>
                </c:pt>
                <c:pt idx="756">
                  <c:v>27.935310000000001</c:v>
                </c:pt>
                <c:pt idx="757">
                  <c:v>24.769679999999997</c:v>
                </c:pt>
                <c:pt idx="758">
                  <c:v>24.186570000000003</c:v>
                </c:pt>
                <c:pt idx="759">
                  <c:v>23.188299999999998</c:v>
                </c:pt>
                <c:pt idx="760">
                  <c:v>22.98386</c:v>
                </c:pt>
                <c:pt idx="761">
                  <c:v>23.111470000000001</c:v>
                </c:pt>
                <c:pt idx="762">
                  <c:v>23.185230000000001</c:v>
                </c:pt>
                <c:pt idx="763">
                  <c:v>22.959710000000001</c:v>
                </c:pt>
                <c:pt idx="764">
                  <c:v>22.745949999999997</c:v>
                </c:pt>
                <c:pt idx="765">
                  <c:v>23.228619999999999</c:v>
                </c:pt>
                <c:pt idx="766">
                  <c:v>23.048870000000001</c:v>
                </c:pt>
                <c:pt idx="767">
                  <c:v>22.961370000000002</c:v>
                </c:pt>
                <c:pt idx="768">
                  <c:v>22.770489999999999</c:v>
                </c:pt>
                <c:pt idx="769">
                  <c:v>22.986460000000001</c:v>
                </c:pt>
                <c:pt idx="770">
                  <c:v>23.181159999999998</c:v>
                </c:pt>
                <c:pt idx="771">
                  <c:v>23.359189999999998</c:v>
                </c:pt>
                <c:pt idx="772">
                  <c:v>23.43927</c:v>
                </c:pt>
                <c:pt idx="773">
                  <c:v>23.360700000000001</c:v>
                </c:pt>
                <c:pt idx="774">
                  <c:v>23.132750000000001</c:v>
                </c:pt>
                <c:pt idx="775">
                  <c:v>23.250279999999997</c:v>
                </c:pt>
                <c:pt idx="776">
                  <c:v>23.208299999999998</c:v>
                </c:pt>
                <c:pt idx="777">
                  <c:v>23.128069999999997</c:v>
                </c:pt>
                <c:pt idx="778">
                  <c:v>23.128069999999997</c:v>
                </c:pt>
                <c:pt idx="779">
                  <c:v>23.034870000000002</c:v>
                </c:pt>
                <c:pt idx="780">
                  <c:v>23.157820000000001</c:v>
                </c:pt>
                <c:pt idx="781">
                  <c:v>23.156619999999997</c:v>
                </c:pt>
                <c:pt idx="782">
                  <c:v>23.29466</c:v>
                </c:pt>
                <c:pt idx="783">
                  <c:v>23.29466</c:v>
                </c:pt>
                <c:pt idx="784">
                  <c:v>23.40436</c:v>
                </c:pt>
                <c:pt idx="785">
                  <c:v>23.598139999999997</c:v>
                </c:pt>
                <c:pt idx="786">
                  <c:v>23.466529999999999</c:v>
                </c:pt>
                <c:pt idx="787">
                  <c:v>23.85399</c:v>
                </c:pt>
                <c:pt idx="788">
                  <c:v>23.8125</c:v>
                </c:pt>
                <c:pt idx="789">
                  <c:v>23.645910000000001</c:v>
                </c:pt>
                <c:pt idx="790">
                  <c:v>23.68092</c:v>
                </c:pt>
                <c:pt idx="791">
                  <c:v>23.705290000000002</c:v>
                </c:pt>
                <c:pt idx="792">
                  <c:v>23.3567</c:v>
                </c:pt>
                <c:pt idx="793">
                  <c:v>23.3567</c:v>
                </c:pt>
                <c:pt idx="794">
                  <c:v>23.279640000000001</c:v>
                </c:pt>
                <c:pt idx="795">
                  <c:v>23.38721</c:v>
                </c:pt>
                <c:pt idx="796">
                  <c:v>23.357410000000002</c:v>
                </c:pt>
                <c:pt idx="797">
                  <c:v>23.440970000000004</c:v>
                </c:pt>
                <c:pt idx="798">
                  <c:v>23.581480000000003</c:v>
                </c:pt>
                <c:pt idx="799">
                  <c:v>23.578490000000002</c:v>
                </c:pt>
                <c:pt idx="800">
                  <c:v>23.699450000000002</c:v>
                </c:pt>
                <c:pt idx="801">
                  <c:v>23.545999999999999</c:v>
                </c:pt>
                <c:pt idx="802">
                  <c:v>23.556429999999999</c:v>
                </c:pt>
                <c:pt idx="803">
                  <c:v>23.55246</c:v>
                </c:pt>
                <c:pt idx="804">
                  <c:v>23.986750000000001</c:v>
                </c:pt>
                <c:pt idx="805">
                  <c:v>24.318670000000001</c:v>
                </c:pt>
                <c:pt idx="806">
                  <c:v>24.627220000000001</c:v>
                </c:pt>
                <c:pt idx="807">
                  <c:v>24.676280000000002</c:v>
                </c:pt>
                <c:pt idx="808">
                  <c:v>24.739349999999998</c:v>
                </c:pt>
                <c:pt idx="809">
                  <c:v>24.75395</c:v>
                </c:pt>
                <c:pt idx="810">
                  <c:v>24.87988</c:v>
                </c:pt>
                <c:pt idx="811">
                  <c:v>24.944540000000003</c:v>
                </c:pt>
                <c:pt idx="812">
                  <c:v>24.671599999999998</c:v>
                </c:pt>
                <c:pt idx="813">
                  <c:v>24.741399999999999</c:v>
                </c:pt>
                <c:pt idx="814">
                  <c:v>24.91525</c:v>
                </c:pt>
                <c:pt idx="815">
                  <c:v>24.74841</c:v>
                </c:pt>
                <c:pt idx="816">
                  <c:v>24.794119999999999</c:v>
                </c:pt>
                <c:pt idx="817">
                  <c:v>24.963509999999999</c:v>
                </c:pt>
                <c:pt idx="818">
                  <c:v>24.963509999999999</c:v>
                </c:pt>
                <c:pt idx="819">
                  <c:v>24.892510000000001</c:v>
                </c:pt>
                <c:pt idx="820">
                  <c:v>24.901570000000003</c:v>
                </c:pt>
                <c:pt idx="821">
                  <c:v>24.99372</c:v>
                </c:pt>
                <c:pt idx="822">
                  <c:v>22.91114</c:v>
                </c:pt>
                <c:pt idx="823">
                  <c:v>22.917660000000001</c:v>
                </c:pt>
                <c:pt idx="824">
                  <c:v>23.214459999999999</c:v>
                </c:pt>
                <c:pt idx="825">
                  <c:v>22.976439999999997</c:v>
                </c:pt>
                <c:pt idx="826">
                  <c:v>22.969319999999996</c:v>
                </c:pt>
                <c:pt idx="827">
                  <c:v>23.03904</c:v>
                </c:pt>
                <c:pt idx="828">
                  <c:v>22.873339999999999</c:v>
                </c:pt>
                <c:pt idx="829">
                  <c:v>22.849630000000001</c:v>
                </c:pt>
                <c:pt idx="830">
                  <c:v>22.950530000000001</c:v>
                </c:pt>
                <c:pt idx="831">
                  <c:v>22.84601</c:v>
                </c:pt>
                <c:pt idx="832">
                  <c:v>23.08832</c:v>
                </c:pt>
                <c:pt idx="833">
                  <c:v>23.290320000000001</c:v>
                </c:pt>
                <c:pt idx="834">
                  <c:v>23.285019999999999</c:v>
                </c:pt>
                <c:pt idx="835">
                  <c:v>23.484679999999997</c:v>
                </c:pt>
                <c:pt idx="836">
                  <c:v>23.306539999999998</c:v>
                </c:pt>
                <c:pt idx="837">
                  <c:v>23.50994</c:v>
                </c:pt>
                <c:pt idx="838">
                  <c:v>23.476149999999997</c:v>
                </c:pt>
                <c:pt idx="839">
                  <c:v>23.403270000000003</c:v>
                </c:pt>
                <c:pt idx="840">
                  <c:v>23.621729999999999</c:v>
                </c:pt>
                <c:pt idx="841">
                  <c:v>23.788609999999998</c:v>
                </c:pt>
                <c:pt idx="842">
                  <c:v>23.544599999999999</c:v>
                </c:pt>
                <c:pt idx="843">
                  <c:v>23.642130000000002</c:v>
                </c:pt>
                <c:pt idx="844">
                  <c:v>23.327930000000002</c:v>
                </c:pt>
                <c:pt idx="845">
                  <c:v>23.121469999999999</c:v>
                </c:pt>
                <c:pt idx="846">
                  <c:v>23.153220000000001</c:v>
                </c:pt>
                <c:pt idx="847">
                  <c:v>23.166119999999999</c:v>
                </c:pt>
                <c:pt idx="848">
                  <c:v>23.20966</c:v>
                </c:pt>
                <c:pt idx="849">
                  <c:v>23.26679</c:v>
                </c:pt>
                <c:pt idx="850">
                  <c:v>23.425729999999998</c:v>
                </c:pt>
                <c:pt idx="851">
                  <c:v>23.297550000000001</c:v>
                </c:pt>
                <c:pt idx="852">
                  <c:v>23.10708</c:v>
                </c:pt>
                <c:pt idx="853">
                  <c:v>23.309549999999998</c:v>
                </c:pt>
                <c:pt idx="854">
                  <c:v>23.351219999999998</c:v>
                </c:pt>
                <c:pt idx="855">
                  <c:v>23.210369999999998</c:v>
                </c:pt>
                <c:pt idx="856">
                  <c:v>23.31223</c:v>
                </c:pt>
                <c:pt idx="857">
                  <c:v>23.151979999999998</c:v>
                </c:pt>
                <c:pt idx="858">
                  <c:v>22.95917</c:v>
                </c:pt>
                <c:pt idx="859">
                  <c:v>22.947710000000001</c:v>
                </c:pt>
                <c:pt idx="860">
                  <c:v>22.957289999999997</c:v>
                </c:pt>
                <c:pt idx="861">
                  <c:v>22.909549999999999</c:v>
                </c:pt>
                <c:pt idx="862">
                  <c:v>22.885100000000001</c:v>
                </c:pt>
                <c:pt idx="863">
                  <c:v>22.984659999999998</c:v>
                </c:pt>
                <c:pt idx="864">
                  <c:v>23.10352</c:v>
                </c:pt>
                <c:pt idx="865">
                  <c:v>23.084340000000001</c:v>
                </c:pt>
                <c:pt idx="866">
                  <c:v>22.636709999999997</c:v>
                </c:pt>
                <c:pt idx="867">
                  <c:v>22.91667</c:v>
                </c:pt>
                <c:pt idx="868">
                  <c:v>23.00451</c:v>
                </c:pt>
                <c:pt idx="869">
                  <c:v>22.72167</c:v>
                </c:pt>
                <c:pt idx="870">
                  <c:v>22.540050000000001</c:v>
                </c:pt>
                <c:pt idx="871">
                  <c:v>22.56108</c:v>
                </c:pt>
                <c:pt idx="872">
                  <c:v>18.937260000000002</c:v>
                </c:pt>
                <c:pt idx="873">
                  <c:v>18.710090000000001</c:v>
                </c:pt>
                <c:pt idx="874">
                  <c:v>18.87088</c:v>
                </c:pt>
                <c:pt idx="875">
                  <c:v>18.920540000000003</c:v>
                </c:pt>
                <c:pt idx="876">
                  <c:v>19.070329999999998</c:v>
                </c:pt>
                <c:pt idx="877">
                  <c:v>18.93338</c:v>
                </c:pt>
                <c:pt idx="878">
                  <c:v>18.804390000000001</c:v>
                </c:pt>
                <c:pt idx="879">
                  <c:v>18.762</c:v>
                </c:pt>
                <c:pt idx="880">
                  <c:v>18.864799999999999</c:v>
                </c:pt>
                <c:pt idx="881">
                  <c:v>18.825189999999999</c:v>
                </c:pt>
                <c:pt idx="882">
                  <c:v>18.797049999999999</c:v>
                </c:pt>
                <c:pt idx="883">
                  <c:v>18.7821</c:v>
                </c:pt>
                <c:pt idx="884">
                  <c:v>18.853920000000002</c:v>
                </c:pt>
                <c:pt idx="885">
                  <c:v>18.876549999999998</c:v>
                </c:pt>
                <c:pt idx="886">
                  <c:v>18.761330000000001</c:v>
                </c:pt>
                <c:pt idx="887">
                  <c:v>18.790289999999999</c:v>
                </c:pt>
                <c:pt idx="888">
                  <c:v>18.790289999999999</c:v>
                </c:pt>
                <c:pt idx="889">
                  <c:v>18.88017</c:v>
                </c:pt>
                <c:pt idx="890">
                  <c:v>19.309739999999998</c:v>
                </c:pt>
                <c:pt idx="891">
                  <c:v>19.307950000000002</c:v>
                </c:pt>
                <c:pt idx="892">
                  <c:v>19.28331</c:v>
                </c:pt>
                <c:pt idx="893">
                  <c:v>19.28659</c:v>
                </c:pt>
                <c:pt idx="894">
                  <c:v>19.312889999999999</c:v>
                </c:pt>
                <c:pt idx="895">
                  <c:v>18.99765</c:v>
                </c:pt>
                <c:pt idx="896">
                  <c:v>19.157899999999998</c:v>
                </c:pt>
                <c:pt idx="897">
                  <c:v>19.11365</c:v>
                </c:pt>
                <c:pt idx="898">
                  <c:v>19.14143</c:v>
                </c:pt>
                <c:pt idx="899">
                  <c:v>19.137270000000001</c:v>
                </c:pt>
                <c:pt idx="900">
                  <c:v>19.162790000000001</c:v>
                </c:pt>
                <c:pt idx="901">
                  <c:v>19.319749999999999</c:v>
                </c:pt>
                <c:pt idx="902">
                  <c:v>19.28126</c:v>
                </c:pt>
                <c:pt idx="903">
                  <c:v>19.28126</c:v>
                </c:pt>
                <c:pt idx="904">
                  <c:v>19.307870000000001</c:v>
                </c:pt>
                <c:pt idx="905">
                  <c:v>19.73686</c:v>
                </c:pt>
                <c:pt idx="906">
                  <c:v>19.641179999999999</c:v>
                </c:pt>
                <c:pt idx="907">
                  <c:v>19.711130000000001</c:v>
                </c:pt>
                <c:pt idx="908">
                  <c:v>19.796199999999999</c:v>
                </c:pt>
                <c:pt idx="909">
                  <c:v>19.948779999999999</c:v>
                </c:pt>
                <c:pt idx="910">
                  <c:v>19.84695</c:v>
                </c:pt>
                <c:pt idx="911">
                  <c:v>19.729870000000002</c:v>
                </c:pt>
                <c:pt idx="912">
                  <c:v>19.942529999999998</c:v>
                </c:pt>
                <c:pt idx="913">
                  <c:v>19.970019999999998</c:v>
                </c:pt>
                <c:pt idx="914">
                  <c:v>19.970019999999998</c:v>
                </c:pt>
                <c:pt idx="915">
                  <c:v>19.821389999999997</c:v>
                </c:pt>
                <c:pt idx="916">
                  <c:v>19.72409</c:v>
                </c:pt>
                <c:pt idx="917">
                  <c:v>19.718669999999999</c:v>
                </c:pt>
                <c:pt idx="918">
                  <c:v>19.819739999999999</c:v>
                </c:pt>
                <c:pt idx="919">
                  <c:v>19.855080000000001</c:v>
                </c:pt>
                <c:pt idx="920">
                  <c:v>19.9465</c:v>
                </c:pt>
                <c:pt idx="921">
                  <c:v>20.296010000000003</c:v>
                </c:pt>
                <c:pt idx="922">
                  <c:v>20.25282</c:v>
                </c:pt>
                <c:pt idx="923">
                  <c:v>20.28847</c:v>
                </c:pt>
                <c:pt idx="924">
                  <c:v>20.31315</c:v>
                </c:pt>
                <c:pt idx="925">
                  <c:v>20.402339999999999</c:v>
                </c:pt>
                <c:pt idx="926">
                  <c:v>20.3446</c:v>
                </c:pt>
                <c:pt idx="927">
                  <c:v>20.35426</c:v>
                </c:pt>
                <c:pt idx="928">
                  <c:v>20.344349999999999</c:v>
                </c:pt>
                <c:pt idx="929">
                  <c:v>20.348309999999998</c:v>
                </c:pt>
                <c:pt idx="930">
                  <c:v>20.119389999999999</c:v>
                </c:pt>
                <c:pt idx="931">
                  <c:v>20.018810000000002</c:v>
                </c:pt>
                <c:pt idx="932">
                  <c:v>20.108330000000002</c:v>
                </c:pt>
                <c:pt idx="933">
                  <c:v>20.077850000000002</c:v>
                </c:pt>
                <c:pt idx="934">
                  <c:v>20.003620000000002</c:v>
                </c:pt>
                <c:pt idx="935">
                  <c:v>20.005029999999998</c:v>
                </c:pt>
                <c:pt idx="936">
                  <c:v>20.067550000000001</c:v>
                </c:pt>
                <c:pt idx="937">
                  <c:v>20.21218</c:v>
                </c:pt>
                <c:pt idx="938">
                  <c:v>20.056339999999999</c:v>
                </c:pt>
                <c:pt idx="939">
                  <c:v>20.283180000000002</c:v>
                </c:pt>
                <c:pt idx="940">
                  <c:v>20.29776</c:v>
                </c:pt>
                <c:pt idx="941">
                  <c:v>20.811540000000001</c:v>
                </c:pt>
                <c:pt idx="942">
                  <c:v>20.757550000000002</c:v>
                </c:pt>
                <c:pt idx="943">
                  <c:v>20.771419999999999</c:v>
                </c:pt>
                <c:pt idx="944">
                  <c:v>20.73442</c:v>
                </c:pt>
                <c:pt idx="945">
                  <c:v>20.701589999999999</c:v>
                </c:pt>
                <c:pt idx="946">
                  <c:v>20.756610000000002</c:v>
                </c:pt>
                <c:pt idx="947">
                  <c:v>20.766260000000003</c:v>
                </c:pt>
                <c:pt idx="948">
                  <c:v>20.715450000000001</c:v>
                </c:pt>
                <c:pt idx="949">
                  <c:v>20.729800000000001</c:v>
                </c:pt>
                <c:pt idx="950">
                  <c:v>20.885439999999999</c:v>
                </c:pt>
                <c:pt idx="951">
                  <c:v>19.338290000000001</c:v>
                </c:pt>
                <c:pt idx="952">
                  <c:v>19.362439999999999</c:v>
                </c:pt>
                <c:pt idx="953">
                  <c:v>19.403320000000001</c:v>
                </c:pt>
                <c:pt idx="954">
                  <c:v>19.524999999999999</c:v>
                </c:pt>
                <c:pt idx="955">
                  <c:v>20.376259999999998</c:v>
                </c:pt>
                <c:pt idx="956">
                  <c:v>20.542559999999998</c:v>
                </c:pt>
                <c:pt idx="957">
                  <c:v>20.46904</c:v>
                </c:pt>
                <c:pt idx="958">
                  <c:v>20.46904</c:v>
                </c:pt>
                <c:pt idx="959">
                  <c:v>20.42652</c:v>
                </c:pt>
                <c:pt idx="960">
                  <c:v>20.421800000000001</c:v>
                </c:pt>
                <c:pt idx="961">
                  <c:v>20.418219999999998</c:v>
                </c:pt>
                <c:pt idx="962">
                  <c:v>21.488440000000001</c:v>
                </c:pt>
                <c:pt idx="963">
                  <c:v>21.449589999999997</c:v>
                </c:pt>
              </c:numCache>
            </c:numRef>
          </c:val>
          <c:smooth val="0"/>
          <c:extLst>
            <c:ext xmlns:c16="http://schemas.microsoft.com/office/drawing/2014/chart" uri="{C3380CC4-5D6E-409C-BE32-E72D297353CC}">
              <c16:uniqueId val="{00000007-EBC4-4222-8B88-73469225685A}"/>
            </c:ext>
          </c:extLst>
        </c:ser>
        <c:ser>
          <c:idx val="6"/>
          <c:order val="6"/>
          <c:tx>
            <c:strRef>
              <c:f>Sheet1!$H$1</c:f>
              <c:strCache>
                <c:ptCount val="1"/>
                <c:pt idx="0">
                  <c:v>Ղազախստան (2025 թ.)</c:v>
                </c:pt>
              </c:strCache>
            </c:strRef>
          </c:tx>
          <c:spPr>
            <a:ln w="19050" cap="rnd">
              <a:solidFill>
                <a:schemeClr val="bg1">
                  <a:lumMod val="65000"/>
                </a:schemeClr>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Sheet1!$H$2:$H$1226</c:f>
              <c:numCache>
                <c:formatCode>0</c:formatCode>
                <c:ptCount val="964"/>
                <c:pt idx="0">
                  <c:v>0.53600000000000003</c:v>
                </c:pt>
                <c:pt idx="1">
                  <c:v>0.49976999999999999</c:v>
                </c:pt>
                <c:pt idx="2">
                  <c:v>0.57070999999999994</c:v>
                </c:pt>
                <c:pt idx="3">
                  <c:v>0.58564000000000005</c:v>
                </c:pt>
                <c:pt idx="4">
                  <c:v>0.54823</c:v>
                </c:pt>
                <c:pt idx="5">
                  <c:v>0.55486999999999997</c:v>
                </c:pt>
                <c:pt idx="6">
                  <c:v>0.47810999999999998</c:v>
                </c:pt>
                <c:pt idx="7">
                  <c:v>0.49371999999999999</c:v>
                </c:pt>
                <c:pt idx="8">
                  <c:v>0.48853000000000002</c:v>
                </c:pt>
                <c:pt idx="9">
                  <c:v>0.49103999999999998</c:v>
                </c:pt>
                <c:pt idx="10">
                  <c:v>0.52758000000000005</c:v>
                </c:pt>
                <c:pt idx="11">
                  <c:v>0.52017000000000002</c:v>
                </c:pt>
                <c:pt idx="12">
                  <c:v>0.50507999999999997</c:v>
                </c:pt>
                <c:pt idx="13">
                  <c:v>0.50507999999999997</c:v>
                </c:pt>
                <c:pt idx="14">
                  <c:v>0.52396999999999994</c:v>
                </c:pt>
                <c:pt idx="15">
                  <c:v>0.55591999999999997</c:v>
                </c:pt>
                <c:pt idx="16">
                  <c:v>0.58630000000000004</c:v>
                </c:pt>
                <c:pt idx="17">
                  <c:v>0.59223999999999999</c:v>
                </c:pt>
                <c:pt idx="18">
                  <c:v>0.72241</c:v>
                </c:pt>
                <c:pt idx="19">
                  <c:v>0.75025999999999993</c:v>
                </c:pt>
                <c:pt idx="20">
                  <c:v>0.71448999999999996</c:v>
                </c:pt>
                <c:pt idx="21">
                  <c:v>0.75309999999999999</c:v>
                </c:pt>
                <c:pt idx="22">
                  <c:v>0.73821000000000003</c:v>
                </c:pt>
                <c:pt idx="23">
                  <c:v>0.77263999999999999</c:v>
                </c:pt>
                <c:pt idx="24">
                  <c:v>0.73427000000000009</c:v>
                </c:pt>
                <c:pt idx="25">
                  <c:v>0.69676000000000005</c:v>
                </c:pt>
                <c:pt idx="26">
                  <c:v>0.68403000000000003</c:v>
                </c:pt>
                <c:pt idx="27">
                  <c:v>0.70876000000000006</c:v>
                </c:pt>
                <c:pt idx="28">
                  <c:v>0.73921000000000003</c:v>
                </c:pt>
                <c:pt idx="29">
                  <c:v>0.71675</c:v>
                </c:pt>
                <c:pt idx="30">
                  <c:v>0.68276999999999999</c:v>
                </c:pt>
                <c:pt idx="31">
                  <c:v>0.70799999999999996</c:v>
                </c:pt>
                <c:pt idx="32">
                  <c:v>0.68169999999999997</c:v>
                </c:pt>
                <c:pt idx="33">
                  <c:v>0.68169999999999997</c:v>
                </c:pt>
                <c:pt idx="34">
                  <c:v>0.70189999999999997</c:v>
                </c:pt>
                <c:pt idx="35">
                  <c:v>0.66855000000000009</c:v>
                </c:pt>
                <c:pt idx="36">
                  <c:v>0.65480999999999989</c:v>
                </c:pt>
                <c:pt idx="37">
                  <c:v>0.6710299999999999</c:v>
                </c:pt>
                <c:pt idx="38">
                  <c:v>0.75388000000000011</c:v>
                </c:pt>
                <c:pt idx="39">
                  <c:v>0.77760999999999991</c:v>
                </c:pt>
                <c:pt idx="40">
                  <c:v>0.8397</c:v>
                </c:pt>
                <c:pt idx="41">
                  <c:v>0.89941000000000004</c:v>
                </c:pt>
                <c:pt idx="42">
                  <c:v>1.18188</c:v>
                </c:pt>
                <c:pt idx="43">
                  <c:v>1.31928</c:v>
                </c:pt>
                <c:pt idx="44">
                  <c:v>1.1708799999999999</c:v>
                </c:pt>
                <c:pt idx="45">
                  <c:v>1.2998099999999999</c:v>
                </c:pt>
                <c:pt idx="46">
                  <c:v>1.2320099999999998</c:v>
                </c:pt>
                <c:pt idx="47">
                  <c:v>1.3675999999999999</c:v>
                </c:pt>
                <c:pt idx="48">
                  <c:v>1.95482</c:v>
                </c:pt>
                <c:pt idx="49">
                  <c:v>1.7009100000000001</c:v>
                </c:pt>
                <c:pt idx="50">
                  <c:v>1.7594700000000001</c:v>
                </c:pt>
                <c:pt idx="51">
                  <c:v>1.9165000000000001</c:v>
                </c:pt>
                <c:pt idx="52">
                  <c:v>2.0610300000000001</c:v>
                </c:pt>
                <c:pt idx="53">
                  <c:v>2.1472199999999999</c:v>
                </c:pt>
                <c:pt idx="54">
                  <c:v>2.3667500000000001</c:v>
                </c:pt>
                <c:pt idx="55">
                  <c:v>2.4547099999999999</c:v>
                </c:pt>
                <c:pt idx="56">
                  <c:v>3.1110799999999998</c:v>
                </c:pt>
                <c:pt idx="57">
                  <c:v>3.2946200000000001</c:v>
                </c:pt>
                <c:pt idx="58">
                  <c:v>3.7508600000000003</c:v>
                </c:pt>
                <c:pt idx="59">
                  <c:v>3.80803</c:v>
                </c:pt>
                <c:pt idx="60">
                  <c:v>3.4944199999999999</c:v>
                </c:pt>
                <c:pt idx="61">
                  <c:v>3.4558800000000001</c:v>
                </c:pt>
                <c:pt idx="62">
                  <c:v>3.0612699999999999</c:v>
                </c:pt>
                <c:pt idx="63">
                  <c:v>3.2094799999999997</c:v>
                </c:pt>
                <c:pt idx="64">
                  <c:v>3.1412</c:v>
                </c:pt>
                <c:pt idx="65">
                  <c:v>3.1332200000000001</c:v>
                </c:pt>
                <c:pt idx="66">
                  <c:v>3.0118099999999997</c:v>
                </c:pt>
                <c:pt idx="67">
                  <c:v>2.7802999999999995</c:v>
                </c:pt>
                <c:pt idx="68">
                  <c:v>2.4717699999999998</c:v>
                </c:pt>
                <c:pt idx="69">
                  <c:v>2.2374799999999997</c:v>
                </c:pt>
                <c:pt idx="70">
                  <c:v>2.15422</c:v>
                </c:pt>
                <c:pt idx="71">
                  <c:v>2.1812</c:v>
                </c:pt>
                <c:pt idx="72">
                  <c:v>2.1812</c:v>
                </c:pt>
                <c:pt idx="73">
                  <c:v>2.1423000000000001</c:v>
                </c:pt>
                <c:pt idx="74">
                  <c:v>2.1431200000000001</c:v>
                </c:pt>
                <c:pt idx="75">
                  <c:v>2.1837399999999998</c:v>
                </c:pt>
                <c:pt idx="76">
                  <c:v>2.2176900000000002</c:v>
                </c:pt>
                <c:pt idx="77">
                  <c:v>2.1816499999999999</c:v>
                </c:pt>
                <c:pt idx="78">
                  <c:v>2.1833</c:v>
                </c:pt>
                <c:pt idx="79">
                  <c:v>2.3550299999999997</c:v>
                </c:pt>
                <c:pt idx="80">
                  <c:v>2.5280900000000002</c:v>
                </c:pt>
                <c:pt idx="81">
                  <c:v>2.51309</c:v>
                </c:pt>
                <c:pt idx="82">
                  <c:v>2.4803999999999999</c:v>
                </c:pt>
                <c:pt idx="83">
                  <c:v>2.4527899999999998</c:v>
                </c:pt>
                <c:pt idx="84">
                  <c:v>2.4552700000000001</c:v>
                </c:pt>
                <c:pt idx="85">
                  <c:v>2.47824</c:v>
                </c:pt>
                <c:pt idx="86">
                  <c:v>2.4203100000000002</c:v>
                </c:pt>
                <c:pt idx="87">
                  <c:v>2.41086</c:v>
                </c:pt>
                <c:pt idx="88">
                  <c:v>2.4271199999999999</c:v>
                </c:pt>
                <c:pt idx="89">
                  <c:v>2.3329200000000001</c:v>
                </c:pt>
                <c:pt idx="90">
                  <c:v>2.21089</c:v>
                </c:pt>
                <c:pt idx="91">
                  <c:v>2.1728800000000001</c:v>
                </c:pt>
                <c:pt idx="92">
                  <c:v>2.1971600000000002</c:v>
                </c:pt>
                <c:pt idx="93">
                  <c:v>2.1187100000000001</c:v>
                </c:pt>
                <c:pt idx="94">
                  <c:v>2.0244800000000001</c:v>
                </c:pt>
                <c:pt idx="95">
                  <c:v>2.0023</c:v>
                </c:pt>
                <c:pt idx="96">
                  <c:v>2.00665</c:v>
                </c:pt>
                <c:pt idx="97">
                  <c:v>1.94017</c:v>
                </c:pt>
                <c:pt idx="98">
                  <c:v>1.8311500000000001</c:v>
                </c:pt>
                <c:pt idx="99">
                  <c:v>1.71136</c:v>
                </c:pt>
                <c:pt idx="100">
                  <c:v>1.6573800000000001</c:v>
                </c:pt>
                <c:pt idx="101">
                  <c:v>1.5865400000000001</c:v>
                </c:pt>
                <c:pt idx="102">
                  <c:v>1.58683</c:v>
                </c:pt>
                <c:pt idx="103">
                  <c:v>1.58683</c:v>
                </c:pt>
                <c:pt idx="104">
                  <c:v>1.5127199999999998</c:v>
                </c:pt>
                <c:pt idx="105">
                  <c:v>1.4782200000000001</c:v>
                </c:pt>
                <c:pt idx="106">
                  <c:v>1.4801200000000001</c:v>
                </c:pt>
                <c:pt idx="107">
                  <c:v>1.46292</c:v>
                </c:pt>
                <c:pt idx="108">
                  <c:v>1.4753999999999998</c:v>
                </c:pt>
                <c:pt idx="109">
                  <c:v>1.4462799999999998</c:v>
                </c:pt>
                <c:pt idx="110">
                  <c:v>1.32345</c:v>
                </c:pt>
                <c:pt idx="111">
                  <c:v>1.2156499999999999</c:v>
                </c:pt>
                <c:pt idx="112">
                  <c:v>1.13371</c:v>
                </c:pt>
                <c:pt idx="113">
                  <c:v>1.0884799999999999</c:v>
                </c:pt>
                <c:pt idx="114">
                  <c:v>1.12984</c:v>
                </c:pt>
                <c:pt idx="115">
                  <c:v>1.17771</c:v>
                </c:pt>
                <c:pt idx="116">
                  <c:v>1.30281</c:v>
                </c:pt>
                <c:pt idx="117">
                  <c:v>1.3360400000000001</c:v>
                </c:pt>
                <c:pt idx="118">
                  <c:v>1.4440500000000001</c:v>
                </c:pt>
                <c:pt idx="119">
                  <c:v>1.3922399999999999</c:v>
                </c:pt>
                <c:pt idx="120">
                  <c:v>1.3811000000000002</c:v>
                </c:pt>
                <c:pt idx="121">
                  <c:v>1.36572</c:v>
                </c:pt>
                <c:pt idx="122">
                  <c:v>1.3526099999999999</c:v>
                </c:pt>
                <c:pt idx="123">
                  <c:v>1.3661000000000001</c:v>
                </c:pt>
                <c:pt idx="124">
                  <c:v>1.3396199999999998</c:v>
                </c:pt>
                <c:pt idx="125">
                  <c:v>1.33802</c:v>
                </c:pt>
                <c:pt idx="126">
                  <c:v>1.4456</c:v>
                </c:pt>
                <c:pt idx="127">
                  <c:v>1.43702</c:v>
                </c:pt>
                <c:pt idx="128">
                  <c:v>1.4512700000000001</c:v>
                </c:pt>
                <c:pt idx="129">
                  <c:v>1.4858099999999999</c:v>
                </c:pt>
                <c:pt idx="130">
                  <c:v>1.44886</c:v>
                </c:pt>
                <c:pt idx="131">
                  <c:v>1.42249</c:v>
                </c:pt>
                <c:pt idx="132">
                  <c:v>1.42249</c:v>
                </c:pt>
                <c:pt idx="133">
                  <c:v>1.4016599999999999</c:v>
                </c:pt>
                <c:pt idx="134">
                  <c:v>1.3887299999999998</c:v>
                </c:pt>
                <c:pt idx="135">
                  <c:v>1.38985</c:v>
                </c:pt>
                <c:pt idx="136">
                  <c:v>1.3752600000000001</c:v>
                </c:pt>
                <c:pt idx="137">
                  <c:v>1.3927500000000002</c:v>
                </c:pt>
                <c:pt idx="138">
                  <c:v>1.36633</c:v>
                </c:pt>
                <c:pt idx="139">
                  <c:v>1.3724700000000001</c:v>
                </c:pt>
                <c:pt idx="140">
                  <c:v>1.3644499999999999</c:v>
                </c:pt>
                <c:pt idx="141">
                  <c:v>1.3506399999999998</c:v>
                </c:pt>
                <c:pt idx="142">
                  <c:v>1.35809</c:v>
                </c:pt>
                <c:pt idx="143">
                  <c:v>1.34409</c:v>
                </c:pt>
                <c:pt idx="144">
                  <c:v>1.32745</c:v>
                </c:pt>
                <c:pt idx="145">
                  <c:v>1.3342400000000001</c:v>
                </c:pt>
                <c:pt idx="146">
                  <c:v>1.3234899999999998</c:v>
                </c:pt>
                <c:pt idx="147">
                  <c:v>1.3271000000000002</c:v>
                </c:pt>
                <c:pt idx="148">
                  <c:v>1.3351</c:v>
                </c:pt>
                <c:pt idx="149">
                  <c:v>1.3130000000000002</c:v>
                </c:pt>
                <c:pt idx="150">
                  <c:v>1.3123500000000001</c:v>
                </c:pt>
                <c:pt idx="151">
                  <c:v>1.3177699999999999</c:v>
                </c:pt>
                <c:pt idx="152">
                  <c:v>1.3270500000000001</c:v>
                </c:pt>
                <c:pt idx="153">
                  <c:v>1.2875299999999998</c:v>
                </c:pt>
                <c:pt idx="154">
                  <c:v>1.2520800000000001</c:v>
                </c:pt>
                <c:pt idx="155">
                  <c:v>1.1506999999999998</c:v>
                </c:pt>
                <c:pt idx="156">
                  <c:v>1.0854000000000001</c:v>
                </c:pt>
                <c:pt idx="157">
                  <c:v>1.0313099999999999</c:v>
                </c:pt>
                <c:pt idx="158">
                  <c:v>0.97358</c:v>
                </c:pt>
                <c:pt idx="159">
                  <c:v>0.90839000000000003</c:v>
                </c:pt>
                <c:pt idx="160">
                  <c:v>0.87635000000000007</c:v>
                </c:pt>
                <c:pt idx="161">
                  <c:v>0.87892999999999999</c:v>
                </c:pt>
                <c:pt idx="162">
                  <c:v>0.89504000000000006</c:v>
                </c:pt>
                <c:pt idx="163">
                  <c:v>0.93833</c:v>
                </c:pt>
                <c:pt idx="164">
                  <c:v>1.0061599999999999</c:v>
                </c:pt>
                <c:pt idx="165">
                  <c:v>1.0391699999999999</c:v>
                </c:pt>
                <c:pt idx="166">
                  <c:v>1.07145</c:v>
                </c:pt>
                <c:pt idx="167">
                  <c:v>1.12344</c:v>
                </c:pt>
                <c:pt idx="168">
                  <c:v>1.13927</c:v>
                </c:pt>
                <c:pt idx="169">
                  <c:v>1.1000100000000002</c:v>
                </c:pt>
                <c:pt idx="170">
                  <c:v>1.10175</c:v>
                </c:pt>
                <c:pt idx="171">
                  <c:v>1.1406799999999999</c:v>
                </c:pt>
                <c:pt idx="172">
                  <c:v>1.1275299999999999</c:v>
                </c:pt>
                <c:pt idx="173">
                  <c:v>1.13002</c:v>
                </c:pt>
                <c:pt idx="174">
                  <c:v>1.13849</c:v>
                </c:pt>
                <c:pt idx="175">
                  <c:v>1.0895300000000001</c:v>
                </c:pt>
                <c:pt idx="176">
                  <c:v>1.0767599999999999</c:v>
                </c:pt>
                <c:pt idx="177">
                  <c:v>1.1109599999999999</c:v>
                </c:pt>
                <c:pt idx="178">
                  <c:v>1.1109599999999999</c:v>
                </c:pt>
                <c:pt idx="179">
                  <c:v>1.13592</c:v>
                </c:pt>
                <c:pt idx="180">
                  <c:v>1.1792199999999999</c:v>
                </c:pt>
                <c:pt idx="181">
                  <c:v>1.17727</c:v>
                </c:pt>
                <c:pt idx="182">
                  <c:v>1.17743</c:v>
                </c:pt>
                <c:pt idx="183">
                  <c:v>1.2049099999999999</c:v>
                </c:pt>
                <c:pt idx="184">
                  <c:v>1.2055400000000001</c:v>
                </c:pt>
                <c:pt idx="185">
                  <c:v>1.1886000000000001</c:v>
                </c:pt>
                <c:pt idx="186">
                  <c:v>1.20991</c:v>
                </c:pt>
                <c:pt idx="187">
                  <c:v>1.21305</c:v>
                </c:pt>
                <c:pt idx="188">
                  <c:v>1.2395699999999998</c:v>
                </c:pt>
                <c:pt idx="189">
                  <c:v>1.29036</c:v>
                </c:pt>
                <c:pt idx="190">
                  <c:v>1.3002099999999999</c:v>
                </c:pt>
                <c:pt idx="191">
                  <c:v>1.3512299999999999</c:v>
                </c:pt>
                <c:pt idx="192">
                  <c:v>1.4052799999999999</c:v>
                </c:pt>
                <c:pt idx="193">
                  <c:v>1.3866900000000002</c:v>
                </c:pt>
                <c:pt idx="194">
                  <c:v>1.4126099999999999</c:v>
                </c:pt>
                <c:pt idx="195">
                  <c:v>1.41482</c:v>
                </c:pt>
                <c:pt idx="196">
                  <c:v>1.36191</c:v>
                </c:pt>
                <c:pt idx="197">
                  <c:v>1.38785</c:v>
                </c:pt>
                <c:pt idx="198">
                  <c:v>1.3604499999999999</c:v>
                </c:pt>
                <c:pt idx="199">
                  <c:v>1.3125100000000001</c:v>
                </c:pt>
                <c:pt idx="200">
                  <c:v>1.27776</c:v>
                </c:pt>
                <c:pt idx="201">
                  <c:v>1.2450300000000001</c:v>
                </c:pt>
                <c:pt idx="202">
                  <c:v>1.2518099999999999</c:v>
                </c:pt>
                <c:pt idx="203">
                  <c:v>1.2518099999999999</c:v>
                </c:pt>
                <c:pt idx="204">
                  <c:v>1.2348399999999999</c:v>
                </c:pt>
                <c:pt idx="205">
                  <c:v>1.26126</c:v>
                </c:pt>
                <c:pt idx="206">
                  <c:v>1.26878</c:v>
                </c:pt>
                <c:pt idx="207">
                  <c:v>1.25203</c:v>
                </c:pt>
                <c:pt idx="208">
                  <c:v>1.20987</c:v>
                </c:pt>
                <c:pt idx="209">
                  <c:v>1.20275</c:v>
                </c:pt>
                <c:pt idx="210">
                  <c:v>1.1872</c:v>
                </c:pt>
                <c:pt idx="211">
                  <c:v>1.1897</c:v>
                </c:pt>
                <c:pt idx="212">
                  <c:v>1.1759200000000001</c:v>
                </c:pt>
                <c:pt idx="213">
                  <c:v>1.19621</c:v>
                </c:pt>
                <c:pt idx="214">
                  <c:v>1.22075</c:v>
                </c:pt>
                <c:pt idx="215">
                  <c:v>1.25146</c:v>
                </c:pt>
                <c:pt idx="216">
                  <c:v>1.22004</c:v>
                </c:pt>
                <c:pt idx="217">
                  <c:v>1.1915</c:v>
                </c:pt>
                <c:pt idx="218">
                  <c:v>1.1572</c:v>
                </c:pt>
                <c:pt idx="219">
                  <c:v>1.12625</c:v>
                </c:pt>
                <c:pt idx="220">
                  <c:v>1.1330899999999999</c:v>
                </c:pt>
                <c:pt idx="221">
                  <c:v>1.0646200000000001</c:v>
                </c:pt>
                <c:pt idx="222">
                  <c:v>1.0323599999999999</c:v>
                </c:pt>
                <c:pt idx="223">
                  <c:v>0.99802000000000002</c:v>
                </c:pt>
                <c:pt idx="224">
                  <c:v>0.89573999999999998</c:v>
                </c:pt>
                <c:pt idx="225">
                  <c:v>0.89573999999999998</c:v>
                </c:pt>
                <c:pt idx="226">
                  <c:v>0.88572000000000006</c:v>
                </c:pt>
                <c:pt idx="227">
                  <c:v>0.91031000000000006</c:v>
                </c:pt>
                <c:pt idx="228">
                  <c:v>0.91861000000000004</c:v>
                </c:pt>
                <c:pt idx="229">
                  <c:v>0.88016000000000005</c:v>
                </c:pt>
                <c:pt idx="230">
                  <c:v>0.89039000000000001</c:v>
                </c:pt>
                <c:pt idx="231">
                  <c:v>0.85766999999999993</c:v>
                </c:pt>
                <c:pt idx="232">
                  <c:v>0.8358199999999999</c:v>
                </c:pt>
                <c:pt idx="233">
                  <c:v>0.83209999999999995</c:v>
                </c:pt>
                <c:pt idx="234">
                  <c:v>0.80406000000000011</c:v>
                </c:pt>
                <c:pt idx="235">
                  <c:v>0.76261000000000001</c:v>
                </c:pt>
                <c:pt idx="236">
                  <c:v>0.76261000000000001</c:v>
                </c:pt>
                <c:pt idx="237">
                  <c:v>0.75597999999999999</c:v>
                </c:pt>
                <c:pt idx="238">
                  <c:v>0.75980000000000003</c:v>
                </c:pt>
                <c:pt idx="239">
                  <c:v>0.74950000000000006</c:v>
                </c:pt>
                <c:pt idx="240">
                  <c:v>0.70709</c:v>
                </c:pt>
                <c:pt idx="241">
                  <c:v>0.69968000000000008</c:v>
                </c:pt>
                <c:pt idx="242">
                  <c:v>0.66528999999999994</c:v>
                </c:pt>
                <c:pt idx="243">
                  <c:v>0.67610000000000003</c:v>
                </c:pt>
                <c:pt idx="244">
                  <c:v>0.68833</c:v>
                </c:pt>
                <c:pt idx="245">
                  <c:v>0.66959000000000002</c:v>
                </c:pt>
                <c:pt idx="246">
                  <c:v>0.66087999999999991</c:v>
                </c:pt>
                <c:pt idx="247">
                  <c:v>0.68096999999999996</c:v>
                </c:pt>
                <c:pt idx="248">
                  <c:v>0.68445999999999996</c:v>
                </c:pt>
                <c:pt idx="249">
                  <c:v>0.68775999999999993</c:v>
                </c:pt>
                <c:pt idx="250">
                  <c:v>0.67450999999999994</c:v>
                </c:pt>
                <c:pt idx="251">
                  <c:v>0.66122000000000003</c:v>
                </c:pt>
                <c:pt idx="252">
                  <c:v>0.63195000000000001</c:v>
                </c:pt>
                <c:pt idx="253">
                  <c:v>0.6583</c:v>
                </c:pt>
                <c:pt idx="254">
                  <c:v>0.64108000000000009</c:v>
                </c:pt>
                <c:pt idx="255">
                  <c:v>0.63153000000000004</c:v>
                </c:pt>
                <c:pt idx="256">
                  <c:v>0.62277000000000005</c:v>
                </c:pt>
                <c:pt idx="257">
                  <c:v>0.62277000000000005</c:v>
                </c:pt>
                <c:pt idx="258">
                  <c:v>0.61597999999999997</c:v>
                </c:pt>
                <c:pt idx="259">
                  <c:v>0.62692999999999999</c:v>
                </c:pt>
                <c:pt idx="260">
                  <c:v>0.60392999999999997</c:v>
                </c:pt>
                <c:pt idx="261">
                  <c:v>0.61243999999999998</c:v>
                </c:pt>
                <c:pt idx="262">
                  <c:v>0.61243999999999998</c:v>
                </c:pt>
                <c:pt idx="263">
                  <c:v>0.59050999999999998</c:v>
                </c:pt>
                <c:pt idx="264">
                  <c:v>0.56715000000000004</c:v>
                </c:pt>
                <c:pt idx="265">
                  <c:v>0.53640999999999994</c:v>
                </c:pt>
                <c:pt idx="266">
                  <c:v>0.54364999999999997</c:v>
                </c:pt>
                <c:pt idx="267">
                  <c:v>0.52359999999999995</c:v>
                </c:pt>
                <c:pt idx="268">
                  <c:v>0.50451999999999997</c:v>
                </c:pt>
                <c:pt idx="269">
                  <c:v>0.47381999999999996</c:v>
                </c:pt>
                <c:pt idx="270">
                  <c:v>0.47403000000000001</c:v>
                </c:pt>
                <c:pt idx="271">
                  <c:v>0.48255000000000003</c:v>
                </c:pt>
                <c:pt idx="272">
                  <c:v>0.48308000000000001</c:v>
                </c:pt>
                <c:pt idx="273">
                  <c:v>0.48308000000000001</c:v>
                </c:pt>
                <c:pt idx="274">
                  <c:v>0.49220999999999998</c:v>
                </c:pt>
                <c:pt idx="275">
                  <c:v>0.49652000000000002</c:v>
                </c:pt>
                <c:pt idx="276">
                  <c:v>0.49792999999999998</c:v>
                </c:pt>
                <c:pt idx="277">
                  <c:v>0.50912999999999997</c:v>
                </c:pt>
                <c:pt idx="278">
                  <c:v>0.5272</c:v>
                </c:pt>
                <c:pt idx="279">
                  <c:v>0.53905999999999998</c:v>
                </c:pt>
                <c:pt idx="280">
                  <c:v>0.53056999999999999</c:v>
                </c:pt>
                <c:pt idx="281">
                  <c:v>0.54354999999999998</c:v>
                </c:pt>
                <c:pt idx="282">
                  <c:v>0.50946999999999998</c:v>
                </c:pt>
                <c:pt idx="283">
                  <c:v>0.49598999999999999</c:v>
                </c:pt>
                <c:pt idx="284">
                  <c:v>0.48527999999999999</c:v>
                </c:pt>
                <c:pt idx="285">
                  <c:v>0.46578000000000003</c:v>
                </c:pt>
                <c:pt idx="286">
                  <c:v>0.45868999999999999</c:v>
                </c:pt>
                <c:pt idx="287">
                  <c:v>0.45704999999999996</c:v>
                </c:pt>
                <c:pt idx="288">
                  <c:v>0.44284000000000001</c:v>
                </c:pt>
                <c:pt idx="289">
                  <c:v>0.45341999999999999</c:v>
                </c:pt>
                <c:pt idx="290">
                  <c:v>0.44825999999999999</c:v>
                </c:pt>
                <c:pt idx="291">
                  <c:v>0.46517000000000003</c:v>
                </c:pt>
                <c:pt idx="292">
                  <c:v>0.45401000000000002</c:v>
                </c:pt>
                <c:pt idx="293">
                  <c:v>0.45401000000000002</c:v>
                </c:pt>
                <c:pt idx="294">
                  <c:v>0.42857000000000001</c:v>
                </c:pt>
                <c:pt idx="295">
                  <c:v>0.41551000000000005</c:v>
                </c:pt>
                <c:pt idx="296">
                  <c:v>0.42835999999999996</c:v>
                </c:pt>
                <c:pt idx="297">
                  <c:v>0.42902000000000001</c:v>
                </c:pt>
                <c:pt idx="298">
                  <c:v>0.41874</c:v>
                </c:pt>
                <c:pt idx="299">
                  <c:v>0.45043999999999995</c:v>
                </c:pt>
                <c:pt idx="300">
                  <c:v>0.45012000000000002</c:v>
                </c:pt>
                <c:pt idx="301">
                  <c:v>0.39354</c:v>
                </c:pt>
                <c:pt idx="302">
                  <c:v>0.38152999999999998</c:v>
                </c:pt>
                <c:pt idx="303">
                  <c:v>0.41534999999999994</c:v>
                </c:pt>
                <c:pt idx="304">
                  <c:v>0.42015000000000002</c:v>
                </c:pt>
                <c:pt idx="305">
                  <c:v>0.42143999999999998</c:v>
                </c:pt>
                <c:pt idx="306">
                  <c:v>0.40720000000000001</c:v>
                </c:pt>
                <c:pt idx="307">
                  <c:v>0.43825000000000003</c:v>
                </c:pt>
                <c:pt idx="308">
                  <c:v>0.40767000000000003</c:v>
                </c:pt>
                <c:pt idx="309">
                  <c:v>0.46171999999999996</c:v>
                </c:pt>
                <c:pt idx="310">
                  <c:v>0.42210999999999999</c:v>
                </c:pt>
                <c:pt idx="311">
                  <c:v>0.46088999999999997</c:v>
                </c:pt>
                <c:pt idx="312">
                  <c:v>0.40277999999999997</c:v>
                </c:pt>
                <c:pt idx="313">
                  <c:v>0.38377</c:v>
                </c:pt>
                <c:pt idx="314">
                  <c:v>0.38322000000000001</c:v>
                </c:pt>
                <c:pt idx="315">
                  <c:v>0.37270999999999999</c:v>
                </c:pt>
                <c:pt idx="316">
                  <c:v>0.37939000000000001</c:v>
                </c:pt>
                <c:pt idx="317">
                  <c:v>0.36798999999999998</c:v>
                </c:pt>
                <c:pt idx="318">
                  <c:v>0.37378999999999996</c:v>
                </c:pt>
                <c:pt idx="319">
                  <c:v>0.38844000000000001</c:v>
                </c:pt>
                <c:pt idx="320">
                  <c:v>0.38116999999999995</c:v>
                </c:pt>
                <c:pt idx="321">
                  <c:v>0.38022</c:v>
                </c:pt>
                <c:pt idx="322">
                  <c:v>0.35383000000000003</c:v>
                </c:pt>
                <c:pt idx="323">
                  <c:v>0.33498</c:v>
                </c:pt>
                <c:pt idx="324">
                  <c:v>0.26663999999999999</c:v>
                </c:pt>
                <c:pt idx="325">
                  <c:v>0.29194999999999999</c:v>
                </c:pt>
                <c:pt idx="326">
                  <c:v>0.25755</c:v>
                </c:pt>
                <c:pt idx="327">
                  <c:v>0.27534999999999998</c:v>
                </c:pt>
                <c:pt idx="328">
                  <c:v>0.22306000000000001</c:v>
                </c:pt>
                <c:pt idx="329">
                  <c:v>0.24446000000000001</c:v>
                </c:pt>
                <c:pt idx="330">
                  <c:v>0.29472000000000004</c:v>
                </c:pt>
                <c:pt idx="331">
                  <c:v>0.29119</c:v>
                </c:pt>
                <c:pt idx="332">
                  <c:v>0.25513999999999998</c:v>
                </c:pt>
                <c:pt idx="333">
                  <c:v>0.25892999999999999</c:v>
                </c:pt>
                <c:pt idx="334">
                  <c:v>0.22745000000000001</c:v>
                </c:pt>
                <c:pt idx="335">
                  <c:v>0.25203999999999999</c:v>
                </c:pt>
                <c:pt idx="336">
                  <c:v>0.25346000000000002</c:v>
                </c:pt>
                <c:pt idx="337">
                  <c:v>0.25189</c:v>
                </c:pt>
                <c:pt idx="338">
                  <c:v>0.24617999999999998</c:v>
                </c:pt>
                <c:pt idx="339">
                  <c:v>0.24859000000000001</c:v>
                </c:pt>
                <c:pt idx="340">
                  <c:v>0.27433000000000002</c:v>
                </c:pt>
                <c:pt idx="341">
                  <c:v>0.26465</c:v>
                </c:pt>
                <c:pt idx="342">
                  <c:v>0.26130999999999999</c:v>
                </c:pt>
                <c:pt idx="343">
                  <c:v>0.21888000000000002</c:v>
                </c:pt>
                <c:pt idx="344">
                  <c:v>0.22070000000000001</c:v>
                </c:pt>
                <c:pt idx="345">
                  <c:v>0.19009000000000001</c:v>
                </c:pt>
                <c:pt idx="346">
                  <c:v>0.19763999999999998</c:v>
                </c:pt>
                <c:pt idx="347">
                  <c:v>0.22047</c:v>
                </c:pt>
                <c:pt idx="348">
                  <c:v>0.21315000000000001</c:v>
                </c:pt>
                <c:pt idx="349">
                  <c:v>0.21709000000000001</c:v>
                </c:pt>
                <c:pt idx="350">
                  <c:v>0.21614999999999998</c:v>
                </c:pt>
                <c:pt idx="351">
                  <c:v>0.23052</c:v>
                </c:pt>
                <c:pt idx="352">
                  <c:v>0.20105000000000001</c:v>
                </c:pt>
                <c:pt idx="353">
                  <c:v>0.22799</c:v>
                </c:pt>
                <c:pt idx="354">
                  <c:v>0.20609000000000002</c:v>
                </c:pt>
                <c:pt idx="355">
                  <c:v>0.20919000000000001</c:v>
                </c:pt>
                <c:pt idx="356">
                  <c:v>0.19105</c:v>
                </c:pt>
                <c:pt idx="357">
                  <c:v>0.23068999999999998</c:v>
                </c:pt>
                <c:pt idx="358">
                  <c:v>0.21264</c:v>
                </c:pt>
                <c:pt idx="359">
                  <c:v>0.21459</c:v>
                </c:pt>
                <c:pt idx="360">
                  <c:v>0.22561</c:v>
                </c:pt>
                <c:pt idx="361">
                  <c:v>0.21861</c:v>
                </c:pt>
                <c:pt idx="362">
                  <c:v>0.23541000000000001</c:v>
                </c:pt>
                <c:pt idx="363">
                  <c:v>0.2351</c:v>
                </c:pt>
                <c:pt idx="364">
                  <c:v>0.24701000000000001</c:v>
                </c:pt>
                <c:pt idx="365">
                  <c:v>0.25936999999999999</c:v>
                </c:pt>
                <c:pt idx="366">
                  <c:v>0.24667999999999998</c:v>
                </c:pt>
                <c:pt idx="367">
                  <c:v>0.22869</c:v>
                </c:pt>
                <c:pt idx="368">
                  <c:v>0.22869</c:v>
                </c:pt>
                <c:pt idx="369">
                  <c:v>0.20736000000000002</c:v>
                </c:pt>
                <c:pt idx="370">
                  <c:v>0.21836</c:v>
                </c:pt>
                <c:pt idx="371">
                  <c:v>0.20783000000000001</c:v>
                </c:pt>
                <c:pt idx="372">
                  <c:v>0.17638000000000001</c:v>
                </c:pt>
                <c:pt idx="373">
                  <c:v>0.20546</c:v>
                </c:pt>
                <c:pt idx="374">
                  <c:v>0.21579999999999999</c:v>
                </c:pt>
                <c:pt idx="375">
                  <c:v>0.23556999999999997</c:v>
                </c:pt>
                <c:pt idx="376">
                  <c:v>0.21421999999999999</c:v>
                </c:pt>
                <c:pt idx="377">
                  <c:v>0.24257999999999999</c:v>
                </c:pt>
                <c:pt idx="378">
                  <c:v>0.20322999999999999</c:v>
                </c:pt>
                <c:pt idx="379">
                  <c:v>0.18260000000000001</c:v>
                </c:pt>
                <c:pt idx="380">
                  <c:v>0.19908999999999999</c:v>
                </c:pt>
                <c:pt idx="381">
                  <c:v>0.13946999999999998</c:v>
                </c:pt>
                <c:pt idx="382">
                  <c:v>0.13199</c:v>
                </c:pt>
                <c:pt idx="383">
                  <c:v>0.10761</c:v>
                </c:pt>
                <c:pt idx="384">
                  <c:v>0.10549</c:v>
                </c:pt>
                <c:pt idx="385">
                  <c:v>0.13041</c:v>
                </c:pt>
                <c:pt idx="386">
                  <c:v>0.1084</c:v>
                </c:pt>
                <c:pt idx="387">
                  <c:v>9.4600000000000004E-2</c:v>
                </c:pt>
                <c:pt idx="388">
                  <c:v>6.8920000000000009E-2</c:v>
                </c:pt>
                <c:pt idx="389">
                  <c:v>8.8149999999999992E-2</c:v>
                </c:pt>
                <c:pt idx="390">
                  <c:v>0.11015999999999999</c:v>
                </c:pt>
                <c:pt idx="391">
                  <c:v>8.9520000000000002E-2</c:v>
                </c:pt>
                <c:pt idx="392">
                  <c:v>0.1013</c:v>
                </c:pt>
                <c:pt idx="393">
                  <c:v>0.1013</c:v>
                </c:pt>
                <c:pt idx="394">
                  <c:v>0.15348000000000001</c:v>
                </c:pt>
                <c:pt idx="395">
                  <c:v>0.16978000000000001</c:v>
                </c:pt>
                <c:pt idx="396">
                  <c:v>0.22749</c:v>
                </c:pt>
                <c:pt idx="397">
                  <c:v>0.18781999999999999</c:v>
                </c:pt>
                <c:pt idx="398">
                  <c:v>0.19424</c:v>
                </c:pt>
                <c:pt idx="399">
                  <c:v>0.16283999999999998</c:v>
                </c:pt>
                <c:pt idx="400">
                  <c:v>0.14175000000000001</c:v>
                </c:pt>
                <c:pt idx="401">
                  <c:v>0.19027000000000002</c:v>
                </c:pt>
                <c:pt idx="402">
                  <c:v>0.16352</c:v>
                </c:pt>
                <c:pt idx="403">
                  <c:v>0.20857000000000001</c:v>
                </c:pt>
                <c:pt idx="404">
                  <c:v>0.28639999999999999</c:v>
                </c:pt>
                <c:pt idx="405">
                  <c:v>0.25786999999999999</c:v>
                </c:pt>
                <c:pt idx="406">
                  <c:v>0.22161</c:v>
                </c:pt>
                <c:pt idx="407">
                  <c:v>0.22167000000000001</c:v>
                </c:pt>
                <c:pt idx="408">
                  <c:v>0.25175000000000003</c:v>
                </c:pt>
                <c:pt idx="409">
                  <c:v>0.24692</c:v>
                </c:pt>
                <c:pt idx="410">
                  <c:v>0.23974000000000001</c:v>
                </c:pt>
                <c:pt idx="411">
                  <c:v>0.22329000000000002</c:v>
                </c:pt>
                <c:pt idx="412">
                  <c:v>0.2462</c:v>
                </c:pt>
                <c:pt idx="413">
                  <c:v>0.25075999999999998</c:v>
                </c:pt>
                <c:pt idx="414">
                  <c:v>0.26245000000000002</c:v>
                </c:pt>
                <c:pt idx="415">
                  <c:v>0.27452000000000004</c:v>
                </c:pt>
                <c:pt idx="416">
                  <c:v>0.23925999999999997</c:v>
                </c:pt>
                <c:pt idx="417">
                  <c:v>0.19986999999999999</c:v>
                </c:pt>
                <c:pt idx="418">
                  <c:v>0.16812000000000002</c:v>
                </c:pt>
                <c:pt idx="419">
                  <c:v>0.14119000000000001</c:v>
                </c:pt>
                <c:pt idx="420">
                  <c:v>0.11445999999999999</c:v>
                </c:pt>
                <c:pt idx="421">
                  <c:v>0.13955000000000001</c:v>
                </c:pt>
                <c:pt idx="422">
                  <c:v>0.12048</c:v>
                </c:pt>
                <c:pt idx="423">
                  <c:v>0.15387000000000001</c:v>
                </c:pt>
                <c:pt idx="424">
                  <c:v>0.19309000000000001</c:v>
                </c:pt>
                <c:pt idx="425">
                  <c:v>0.16269999999999998</c:v>
                </c:pt>
                <c:pt idx="426">
                  <c:v>0.17245999999999997</c:v>
                </c:pt>
                <c:pt idx="427">
                  <c:v>0.17138999999999999</c:v>
                </c:pt>
                <c:pt idx="428">
                  <c:v>0.12728999999999999</c:v>
                </c:pt>
                <c:pt idx="429">
                  <c:v>0.14896999999999999</c:v>
                </c:pt>
                <c:pt idx="430">
                  <c:v>0.12560000000000002</c:v>
                </c:pt>
                <c:pt idx="431">
                  <c:v>0.11609999999999999</c:v>
                </c:pt>
                <c:pt idx="432">
                  <c:v>0.13558000000000001</c:v>
                </c:pt>
                <c:pt idx="433">
                  <c:v>0.18736999999999998</c:v>
                </c:pt>
                <c:pt idx="434">
                  <c:v>0.17962</c:v>
                </c:pt>
                <c:pt idx="435">
                  <c:v>0.15825</c:v>
                </c:pt>
                <c:pt idx="436">
                  <c:v>0.15423999999999999</c:v>
                </c:pt>
                <c:pt idx="437">
                  <c:v>0.14901999999999999</c:v>
                </c:pt>
                <c:pt idx="438">
                  <c:v>0.14901999999999999</c:v>
                </c:pt>
                <c:pt idx="439">
                  <c:v>0.12025000000000001</c:v>
                </c:pt>
                <c:pt idx="440">
                  <c:v>0.13074</c:v>
                </c:pt>
                <c:pt idx="441">
                  <c:v>0.14132</c:v>
                </c:pt>
                <c:pt idx="442">
                  <c:v>0.14297000000000001</c:v>
                </c:pt>
                <c:pt idx="443">
                  <c:v>0.1338</c:v>
                </c:pt>
                <c:pt idx="444">
                  <c:v>0.13198000000000001</c:v>
                </c:pt>
                <c:pt idx="445">
                  <c:v>0.16216999999999998</c:v>
                </c:pt>
                <c:pt idx="446">
                  <c:v>0.12841</c:v>
                </c:pt>
                <c:pt idx="447">
                  <c:v>9.9680000000000005E-2</c:v>
                </c:pt>
                <c:pt idx="448">
                  <c:v>0.10923999999999999</c:v>
                </c:pt>
                <c:pt idx="449">
                  <c:v>0.10263</c:v>
                </c:pt>
                <c:pt idx="450">
                  <c:v>0.10407999999999999</c:v>
                </c:pt>
                <c:pt idx="451">
                  <c:v>6.1519999999999998E-2</c:v>
                </c:pt>
                <c:pt idx="452">
                  <c:v>4.3579999999999994E-2</c:v>
                </c:pt>
                <c:pt idx="453">
                  <c:v>-5.6299999999999996E-3</c:v>
                </c:pt>
                <c:pt idx="454">
                  <c:v>3.2379999999999999E-2</c:v>
                </c:pt>
                <c:pt idx="455">
                  <c:v>8.5029999999999994E-2</c:v>
                </c:pt>
                <c:pt idx="456">
                  <c:v>5.7689999999999998E-2</c:v>
                </c:pt>
                <c:pt idx="457">
                  <c:v>0.13021000000000002</c:v>
                </c:pt>
                <c:pt idx="458">
                  <c:v>0.17926999999999998</c:v>
                </c:pt>
                <c:pt idx="459">
                  <c:v>0.19888999999999998</c:v>
                </c:pt>
                <c:pt idx="460">
                  <c:v>0.16696999999999998</c:v>
                </c:pt>
                <c:pt idx="461">
                  <c:v>0.13836999999999999</c:v>
                </c:pt>
                <c:pt idx="462">
                  <c:v>8.7249999999999994E-2</c:v>
                </c:pt>
                <c:pt idx="463">
                  <c:v>8.7249999999999994E-2</c:v>
                </c:pt>
                <c:pt idx="464">
                  <c:v>7.2389999999999996E-2</c:v>
                </c:pt>
                <c:pt idx="465">
                  <c:v>0.11349000000000001</c:v>
                </c:pt>
                <c:pt idx="466">
                  <c:v>0.11324999999999999</c:v>
                </c:pt>
                <c:pt idx="467">
                  <c:v>9.8650000000000002E-2</c:v>
                </c:pt>
                <c:pt idx="468">
                  <c:v>6.6420000000000007E-2</c:v>
                </c:pt>
                <c:pt idx="469">
                  <c:v>0.10134</c:v>
                </c:pt>
                <c:pt idx="470">
                  <c:v>0.10916000000000001</c:v>
                </c:pt>
                <c:pt idx="471">
                  <c:v>0.11959</c:v>
                </c:pt>
                <c:pt idx="472">
                  <c:v>9.5440000000000011E-2</c:v>
                </c:pt>
                <c:pt idx="473">
                  <c:v>9.4019999999999992E-2</c:v>
                </c:pt>
                <c:pt idx="474">
                  <c:v>0.12743000000000002</c:v>
                </c:pt>
                <c:pt idx="475">
                  <c:v>0.12597</c:v>
                </c:pt>
                <c:pt idx="476">
                  <c:v>0.13180999999999998</c:v>
                </c:pt>
                <c:pt idx="477">
                  <c:v>0.11503000000000001</c:v>
                </c:pt>
                <c:pt idx="478">
                  <c:v>9.7929999999999989E-2</c:v>
                </c:pt>
                <c:pt idx="479">
                  <c:v>0.15426000000000001</c:v>
                </c:pt>
                <c:pt idx="480">
                  <c:v>0.18306999999999998</c:v>
                </c:pt>
                <c:pt idx="481">
                  <c:v>0.15560000000000002</c:v>
                </c:pt>
                <c:pt idx="482">
                  <c:v>0.19181000000000001</c:v>
                </c:pt>
                <c:pt idx="483">
                  <c:v>0.17463999999999999</c:v>
                </c:pt>
                <c:pt idx="484">
                  <c:v>0.18193999999999999</c:v>
                </c:pt>
                <c:pt idx="485">
                  <c:v>0.16510000000000002</c:v>
                </c:pt>
                <c:pt idx="486">
                  <c:v>0.16510000000000002</c:v>
                </c:pt>
                <c:pt idx="487">
                  <c:v>7.0660000000000001E-2</c:v>
                </c:pt>
                <c:pt idx="488">
                  <c:v>9.9769999999999998E-2</c:v>
                </c:pt>
                <c:pt idx="489">
                  <c:v>7.4099999999999999E-2</c:v>
                </c:pt>
                <c:pt idx="490">
                  <c:v>7.016E-2</c:v>
                </c:pt>
                <c:pt idx="491">
                  <c:v>8.3750000000000005E-2</c:v>
                </c:pt>
                <c:pt idx="492">
                  <c:v>0.14226</c:v>
                </c:pt>
                <c:pt idx="493">
                  <c:v>9.7309999999999994E-2</c:v>
                </c:pt>
                <c:pt idx="494">
                  <c:v>8.448E-2</c:v>
                </c:pt>
                <c:pt idx="495">
                  <c:v>8.233E-2</c:v>
                </c:pt>
                <c:pt idx="496">
                  <c:v>8.233E-2</c:v>
                </c:pt>
                <c:pt idx="497">
                  <c:v>0.20504999999999998</c:v>
                </c:pt>
                <c:pt idx="498">
                  <c:v>0.21292000000000003</c:v>
                </c:pt>
                <c:pt idx="499">
                  <c:v>0.33881</c:v>
                </c:pt>
                <c:pt idx="500">
                  <c:v>0.25757999999999998</c:v>
                </c:pt>
                <c:pt idx="501">
                  <c:v>0.25784000000000001</c:v>
                </c:pt>
                <c:pt idx="502">
                  <c:v>0.23989000000000002</c:v>
                </c:pt>
                <c:pt idx="503">
                  <c:v>0.27093</c:v>
                </c:pt>
                <c:pt idx="504">
                  <c:v>0.25242999999999999</c:v>
                </c:pt>
                <c:pt idx="505">
                  <c:v>0.21376000000000001</c:v>
                </c:pt>
                <c:pt idx="506">
                  <c:v>0.18064</c:v>
                </c:pt>
                <c:pt idx="507">
                  <c:v>0.16175</c:v>
                </c:pt>
                <c:pt idx="508">
                  <c:v>0.18600999999999998</c:v>
                </c:pt>
                <c:pt idx="509">
                  <c:v>0.17831</c:v>
                </c:pt>
                <c:pt idx="510">
                  <c:v>0.17912</c:v>
                </c:pt>
                <c:pt idx="511">
                  <c:v>0.20489999999999997</c:v>
                </c:pt>
                <c:pt idx="512">
                  <c:v>0.25122</c:v>
                </c:pt>
                <c:pt idx="513">
                  <c:v>0.27068999999999999</c:v>
                </c:pt>
                <c:pt idx="514">
                  <c:v>0.25747999999999999</c:v>
                </c:pt>
                <c:pt idx="515">
                  <c:v>0.20984000000000003</c:v>
                </c:pt>
                <c:pt idx="516">
                  <c:v>0.20929999999999999</c:v>
                </c:pt>
                <c:pt idx="517">
                  <c:v>0.20929999999999999</c:v>
                </c:pt>
                <c:pt idx="518">
                  <c:v>0.21178999999999998</c:v>
                </c:pt>
                <c:pt idx="519">
                  <c:v>0.21972000000000003</c:v>
                </c:pt>
                <c:pt idx="520">
                  <c:v>0.21672999999999998</c:v>
                </c:pt>
                <c:pt idx="521">
                  <c:v>0.19884000000000002</c:v>
                </c:pt>
                <c:pt idx="522">
                  <c:v>0.19794</c:v>
                </c:pt>
                <c:pt idx="523">
                  <c:v>0.19794</c:v>
                </c:pt>
                <c:pt idx="524">
                  <c:v>0.46406999999999998</c:v>
                </c:pt>
                <c:pt idx="525">
                  <c:v>0.65996999999999995</c:v>
                </c:pt>
                <c:pt idx="526">
                  <c:v>0.81516000000000011</c:v>
                </c:pt>
                <c:pt idx="527">
                  <c:v>0.78971000000000002</c:v>
                </c:pt>
                <c:pt idx="528">
                  <c:v>0.78457999999999994</c:v>
                </c:pt>
                <c:pt idx="529">
                  <c:v>0.76742999999999995</c:v>
                </c:pt>
                <c:pt idx="530">
                  <c:v>0.78044000000000002</c:v>
                </c:pt>
                <c:pt idx="531">
                  <c:v>0.7714700000000001</c:v>
                </c:pt>
                <c:pt idx="532">
                  <c:v>0.77918000000000009</c:v>
                </c:pt>
                <c:pt idx="533">
                  <c:v>0.77918000000000009</c:v>
                </c:pt>
                <c:pt idx="534">
                  <c:v>0.73382999999999998</c:v>
                </c:pt>
                <c:pt idx="535">
                  <c:v>0.74576999999999993</c:v>
                </c:pt>
                <c:pt idx="536">
                  <c:v>0.74675000000000002</c:v>
                </c:pt>
                <c:pt idx="537">
                  <c:v>0.79296000000000011</c:v>
                </c:pt>
                <c:pt idx="538">
                  <c:v>0.80614000000000008</c:v>
                </c:pt>
                <c:pt idx="539">
                  <c:v>0.83828000000000003</c:v>
                </c:pt>
                <c:pt idx="540">
                  <c:v>0.83038999999999996</c:v>
                </c:pt>
                <c:pt idx="541">
                  <c:v>0.77730999999999995</c:v>
                </c:pt>
                <c:pt idx="542">
                  <c:v>0.71456000000000008</c:v>
                </c:pt>
                <c:pt idx="543">
                  <c:v>0.77995000000000003</c:v>
                </c:pt>
                <c:pt idx="544">
                  <c:v>0.8272799999999999</c:v>
                </c:pt>
                <c:pt idx="545">
                  <c:v>0.78173000000000004</c:v>
                </c:pt>
                <c:pt idx="546">
                  <c:v>0.76918999999999993</c:v>
                </c:pt>
                <c:pt idx="547">
                  <c:v>0.72695999999999994</c:v>
                </c:pt>
                <c:pt idx="548">
                  <c:v>0.70079999999999998</c:v>
                </c:pt>
                <c:pt idx="549">
                  <c:v>0.71662000000000003</c:v>
                </c:pt>
                <c:pt idx="550">
                  <c:v>0.70522000000000007</c:v>
                </c:pt>
                <c:pt idx="551">
                  <c:v>0.67602999999999991</c:v>
                </c:pt>
                <c:pt idx="552">
                  <c:v>0.51381999999999994</c:v>
                </c:pt>
                <c:pt idx="553">
                  <c:v>0.63524000000000003</c:v>
                </c:pt>
                <c:pt idx="554">
                  <c:v>0.59353</c:v>
                </c:pt>
                <c:pt idx="555">
                  <c:v>0.59554000000000007</c:v>
                </c:pt>
                <c:pt idx="556">
                  <c:v>0.67504999999999993</c:v>
                </c:pt>
                <c:pt idx="557">
                  <c:v>0.69004999999999994</c:v>
                </c:pt>
                <c:pt idx="558">
                  <c:v>0.69004999999999994</c:v>
                </c:pt>
                <c:pt idx="559">
                  <c:v>0.73816000000000004</c:v>
                </c:pt>
                <c:pt idx="560">
                  <c:v>0.74582999999999999</c:v>
                </c:pt>
                <c:pt idx="561">
                  <c:v>0.97967000000000004</c:v>
                </c:pt>
                <c:pt idx="562">
                  <c:v>0.94921999999999995</c:v>
                </c:pt>
                <c:pt idx="563">
                  <c:v>1.09819</c:v>
                </c:pt>
                <c:pt idx="564">
                  <c:v>1.44598</c:v>
                </c:pt>
                <c:pt idx="565">
                  <c:v>1.57298</c:v>
                </c:pt>
                <c:pt idx="566">
                  <c:v>1.5763199999999999</c:v>
                </c:pt>
                <c:pt idx="567">
                  <c:v>2.03661</c:v>
                </c:pt>
                <c:pt idx="568">
                  <c:v>2.7418099999999996</c:v>
                </c:pt>
                <c:pt idx="569">
                  <c:v>3.32925</c:v>
                </c:pt>
                <c:pt idx="570">
                  <c:v>3.1305800000000001</c:v>
                </c:pt>
                <c:pt idx="571">
                  <c:v>2.9335700000000005</c:v>
                </c:pt>
                <c:pt idx="572">
                  <c:v>2.9155500000000001</c:v>
                </c:pt>
                <c:pt idx="573">
                  <c:v>2.9012799999999999</c:v>
                </c:pt>
                <c:pt idx="574">
                  <c:v>2.7587099999999998</c:v>
                </c:pt>
                <c:pt idx="575">
                  <c:v>2.6792500000000001</c:v>
                </c:pt>
                <c:pt idx="576">
                  <c:v>2.4816599999999998</c:v>
                </c:pt>
                <c:pt idx="577">
                  <c:v>2.20105</c:v>
                </c:pt>
                <c:pt idx="578">
                  <c:v>2.0365199999999999</c:v>
                </c:pt>
                <c:pt idx="579">
                  <c:v>1.85511</c:v>
                </c:pt>
                <c:pt idx="580">
                  <c:v>1.8266900000000001</c:v>
                </c:pt>
                <c:pt idx="581">
                  <c:v>1.8705600000000002</c:v>
                </c:pt>
                <c:pt idx="582">
                  <c:v>1.8753899999999999</c:v>
                </c:pt>
                <c:pt idx="583">
                  <c:v>1.6986300000000001</c:v>
                </c:pt>
                <c:pt idx="584">
                  <c:v>1.57666</c:v>
                </c:pt>
                <c:pt idx="585">
                  <c:v>1.5232300000000001</c:v>
                </c:pt>
                <c:pt idx="586">
                  <c:v>1.3520300000000001</c:v>
                </c:pt>
                <c:pt idx="587">
                  <c:v>1.1932700000000001</c:v>
                </c:pt>
                <c:pt idx="588">
                  <c:v>1.0759000000000001</c:v>
                </c:pt>
                <c:pt idx="589">
                  <c:v>1.0021899999999999</c:v>
                </c:pt>
                <c:pt idx="590">
                  <c:v>0.92435</c:v>
                </c:pt>
                <c:pt idx="591">
                  <c:v>1.00237</c:v>
                </c:pt>
                <c:pt idx="592">
                  <c:v>0.89456000000000002</c:v>
                </c:pt>
                <c:pt idx="593">
                  <c:v>0.83436999999999995</c:v>
                </c:pt>
                <c:pt idx="594">
                  <c:v>0.85001000000000004</c:v>
                </c:pt>
                <c:pt idx="595">
                  <c:v>0.96016000000000001</c:v>
                </c:pt>
                <c:pt idx="596">
                  <c:v>1.0118099999999999</c:v>
                </c:pt>
                <c:pt idx="597">
                  <c:v>1.0118099999999999</c:v>
                </c:pt>
                <c:pt idx="598">
                  <c:v>0.86563999999999997</c:v>
                </c:pt>
                <c:pt idx="599">
                  <c:v>0.89115</c:v>
                </c:pt>
                <c:pt idx="600">
                  <c:v>0.79760000000000009</c:v>
                </c:pt>
                <c:pt idx="601">
                  <c:v>0.66356999999999999</c:v>
                </c:pt>
                <c:pt idx="602">
                  <c:v>0.56444000000000005</c:v>
                </c:pt>
                <c:pt idx="603">
                  <c:v>0.68870999999999993</c:v>
                </c:pt>
                <c:pt idx="604">
                  <c:v>0.71584999999999999</c:v>
                </c:pt>
                <c:pt idx="605">
                  <c:v>0.74470000000000003</c:v>
                </c:pt>
                <c:pt idx="606">
                  <c:v>0.72507999999999995</c:v>
                </c:pt>
                <c:pt idx="607">
                  <c:v>0.66099999999999992</c:v>
                </c:pt>
                <c:pt idx="608">
                  <c:v>0.69174000000000002</c:v>
                </c:pt>
                <c:pt idx="609">
                  <c:v>0.69885999999999993</c:v>
                </c:pt>
                <c:pt idx="610">
                  <c:v>0.70581999999999989</c:v>
                </c:pt>
                <c:pt idx="611">
                  <c:v>0.78217999999999999</c:v>
                </c:pt>
                <c:pt idx="612">
                  <c:v>0.75611000000000006</c:v>
                </c:pt>
                <c:pt idx="613">
                  <c:v>0.77083000000000002</c:v>
                </c:pt>
                <c:pt idx="614">
                  <c:v>0.88551000000000002</c:v>
                </c:pt>
                <c:pt idx="615">
                  <c:v>0.89605000000000001</c:v>
                </c:pt>
                <c:pt idx="616">
                  <c:v>0.89219999999999999</c:v>
                </c:pt>
                <c:pt idx="617">
                  <c:v>0.86273</c:v>
                </c:pt>
                <c:pt idx="618">
                  <c:v>0.86063999999999996</c:v>
                </c:pt>
                <c:pt idx="619">
                  <c:v>0.83156999999999992</c:v>
                </c:pt>
                <c:pt idx="620">
                  <c:v>0.73199000000000003</c:v>
                </c:pt>
                <c:pt idx="621">
                  <c:v>0.86748000000000003</c:v>
                </c:pt>
                <c:pt idx="622">
                  <c:v>0.86226000000000003</c:v>
                </c:pt>
                <c:pt idx="623">
                  <c:v>0.84892000000000001</c:v>
                </c:pt>
                <c:pt idx="624">
                  <c:v>0.8529000000000001</c:v>
                </c:pt>
                <c:pt idx="625">
                  <c:v>0.89305000000000012</c:v>
                </c:pt>
                <c:pt idx="626">
                  <c:v>0.90588999999999997</c:v>
                </c:pt>
                <c:pt idx="627">
                  <c:v>0.88592000000000004</c:v>
                </c:pt>
                <c:pt idx="628">
                  <c:v>0.88592000000000004</c:v>
                </c:pt>
                <c:pt idx="629">
                  <c:v>0.74575999999999998</c:v>
                </c:pt>
                <c:pt idx="630">
                  <c:v>0.69275000000000009</c:v>
                </c:pt>
                <c:pt idx="631">
                  <c:v>0.62889000000000006</c:v>
                </c:pt>
                <c:pt idx="632">
                  <c:v>0.60033999999999998</c:v>
                </c:pt>
                <c:pt idx="633">
                  <c:v>0.58665</c:v>
                </c:pt>
                <c:pt idx="634">
                  <c:v>0.56540000000000001</c:v>
                </c:pt>
                <c:pt idx="635">
                  <c:v>0.52366999999999997</c:v>
                </c:pt>
                <c:pt idx="636">
                  <c:v>0.49265999999999999</c:v>
                </c:pt>
                <c:pt idx="637">
                  <c:v>0.43185000000000001</c:v>
                </c:pt>
                <c:pt idx="638">
                  <c:v>0.33218000000000003</c:v>
                </c:pt>
                <c:pt idx="639">
                  <c:v>0.34810000000000002</c:v>
                </c:pt>
                <c:pt idx="640">
                  <c:v>0.37067999999999995</c:v>
                </c:pt>
                <c:pt idx="641">
                  <c:v>0.34945999999999999</c:v>
                </c:pt>
                <c:pt idx="642">
                  <c:v>0.51471</c:v>
                </c:pt>
                <c:pt idx="643">
                  <c:v>0.51471</c:v>
                </c:pt>
                <c:pt idx="644">
                  <c:v>0.47067999999999999</c:v>
                </c:pt>
                <c:pt idx="645">
                  <c:v>0.58694000000000002</c:v>
                </c:pt>
                <c:pt idx="646">
                  <c:v>0.66700999999999988</c:v>
                </c:pt>
                <c:pt idx="647">
                  <c:v>0.65337999999999996</c:v>
                </c:pt>
                <c:pt idx="648">
                  <c:v>0.63244</c:v>
                </c:pt>
                <c:pt idx="649">
                  <c:v>0.57647000000000004</c:v>
                </c:pt>
                <c:pt idx="650">
                  <c:v>0.62963999999999998</c:v>
                </c:pt>
                <c:pt idx="651">
                  <c:v>0.76733000000000007</c:v>
                </c:pt>
                <c:pt idx="652">
                  <c:v>0.86219999999999997</c:v>
                </c:pt>
                <c:pt idx="653">
                  <c:v>0.86219999999999997</c:v>
                </c:pt>
                <c:pt idx="654">
                  <c:v>0.91071000000000002</c:v>
                </c:pt>
                <c:pt idx="655">
                  <c:v>0.98438999999999988</c:v>
                </c:pt>
                <c:pt idx="656">
                  <c:v>0.88532</c:v>
                </c:pt>
                <c:pt idx="657">
                  <c:v>0.94147999999999998</c:v>
                </c:pt>
                <c:pt idx="658">
                  <c:v>0.87808999999999993</c:v>
                </c:pt>
                <c:pt idx="659">
                  <c:v>0.98936000000000002</c:v>
                </c:pt>
                <c:pt idx="660">
                  <c:v>0.95447999999999988</c:v>
                </c:pt>
                <c:pt idx="661">
                  <c:v>0.88924000000000003</c:v>
                </c:pt>
                <c:pt idx="662">
                  <c:v>0.92930999999999997</c:v>
                </c:pt>
                <c:pt idx="663">
                  <c:v>0.91249999999999998</c:v>
                </c:pt>
                <c:pt idx="664">
                  <c:v>0.91061000000000003</c:v>
                </c:pt>
                <c:pt idx="665">
                  <c:v>0.86965999999999999</c:v>
                </c:pt>
                <c:pt idx="666">
                  <c:v>0.78424000000000005</c:v>
                </c:pt>
                <c:pt idx="667">
                  <c:v>0.88566999999999996</c:v>
                </c:pt>
                <c:pt idx="668">
                  <c:v>0.79382999999999992</c:v>
                </c:pt>
                <c:pt idx="669">
                  <c:v>0.65119000000000005</c:v>
                </c:pt>
                <c:pt idx="670">
                  <c:v>0.62895000000000001</c:v>
                </c:pt>
                <c:pt idx="671">
                  <c:v>0.64302999999999999</c:v>
                </c:pt>
                <c:pt idx="672">
                  <c:v>0.63107999999999997</c:v>
                </c:pt>
                <c:pt idx="673">
                  <c:v>0.53540999999999994</c:v>
                </c:pt>
                <c:pt idx="674">
                  <c:v>0.54354999999999998</c:v>
                </c:pt>
                <c:pt idx="675">
                  <c:v>0.32816000000000001</c:v>
                </c:pt>
                <c:pt idx="676">
                  <c:v>0.27453</c:v>
                </c:pt>
                <c:pt idx="677">
                  <c:v>0.23552000000000001</c:v>
                </c:pt>
                <c:pt idx="678">
                  <c:v>0.13396</c:v>
                </c:pt>
                <c:pt idx="679">
                  <c:v>7.7259999999999995E-2</c:v>
                </c:pt>
                <c:pt idx="680">
                  <c:v>3.8989999999999997E-2</c:v>
                </c:pt>
                <c:pt idx="681">
                  <c:v>4.82E-2</c:v>
                </c:pt>
                <c:pt idx="682">
                  <c:v>-4.1340000000000002E-2</c:v>
                </c:pt>
                <c:pt idx="683">
                  <c:v>-0.10909000000000001</c:v>
                </c:pt>
                <c:pt idx="684">
                  <c:v>-9.1509999999999994E-2</c:v>
                </c:pt>
                <c:pt idx="685">
                  <c:v>-0.11406000000000001</c:v>
                </c:pt>
                <c:pt idx="686">
                  <c:v>-0.16072</c:v>
                </c:pt>
                <c:pt idx="687">
                  <c:v>-0.13364000000000001</c:v>
                </c:pt>
                <c:pt idx="688">
                  <c:v>-0.11888</c:v>
                </c:pt>
                <c:pt idx="689">
                  <c:v>-0.18895000000000001</c:v>
                </c:pt>
                <c:pt idx="690">
                  <c:v>-0.153</c:v>
                </c:pt>
                <c:pt idx="691">
                  <c:v>-0.16882999999999998</c:v>
                </c:pt>
                <c:pt idx="692">
                  <c:v>-0.17678000000000002</c:v>
                </c:pt>
                <c:pt idx="693">
                  <c:v>-0.25635000000000002</c:v>
                </c:pt>
                <c:pt idx="694">
                  <c:v>-0.19572000000000001</c:v>
                </c:pt>
                <c:pt idx="695">
                  <c:v>-0.24237999999999998</c:v>
                </c:pt>
                <c:pt idx="696">
                  <c:v>-0.19440000000000002</c:v>
                </c:pt>
                <c:pt idx="697">
                  <c:v>-0.16388999999999998</c:v>
                </c:pt>
                <c:pt idx="698">
                  <c:v>-0.16388999999999998</c:v>
                </c:pt>
                <c:pt idx="699">
                  <c:v>-0.13021000000000002</c:v>
                </c:pt>
                <c:pt idx="700">
                  <c:v>-0.16437000000000002</c:v>
                </c:pt>
                <c:pt idx="701">
                  <c:v>-0.15377000000000002</c:v>
                </c:pt>
                <c:pt idx="702">
                  <c:v>-0.15909999999999999</c:v>
                </c:pt>
                <c:pt idx="703">
                  <c:v>-0.21812999999999999</c:v>
                </c:pt>
                <c:pt idx="704">
                  <c:v>-0.21042000000000002</c:v>
                </c:pt>
                <c:pt idx="705">
                  <c:v>-0.37039</c:v>
                </c:pt>
                <c:pt idx="706">
                  <c:v>-0.37752999999999998</c:v>
                </c:pt>
                <c:pt idx="707">
                  <c:v>-0.39396999999999999</c:v>
                </c:pt>
                <c:pt idx="708">
                  <c:v>-0.27360000000000001</c:v>
                </c:pt>
                <c:pt idx="709">
                  <c:v>-0.38892000000000004</c:v>
                </c:pt>
                <c:pt idx="710">
                  <c:v>-0.34499999999999997</c:v>
                </c:pt>
                <c:pt idx="711">
                  <c:v>-0.44742999999999999</c:v>
                </c:pt>
                <c:pt idx="712">
                  <c:v>-0.46218999999999999</c:v>
                </c:pt>
                <c:pt idx="713">
                  <c:v>-0.47981999999999997</c:v>
                </c:pt>
                <c:pt idx="714">
                  <c:v>-0.43662000000000001</c:v>
                </c:pt>
                <c:pt idx="715">
                  <c:v>-0.26228000000000001</c:v>
                </c:pt>
                <c:pt idx="716">
                  <c:v>-0.13352</c:v>
                </c:pt>
                <c:pt idx="717">
                  <c:v>2.342E-2</c:v>
                </c:pt>
                <c:pt idx="718">
                  <c:v>4.0899999999999999E-2</c:v>
                </c:pt>
                <c:pt idx="719">
                  <c:v>0.11806</c:v>
                </c:pt>
                <c:pt idx="720">
                  <c:v>3.0950000000000002E-2</c:v>
                </c:pt>
                <c:pt idx="721">
                  <c:v>3.4409999999999996E-2</c:v>
                </c:pt>
                <c:pt idx="722">
                  <c:v>-4.6740000000000004E-2</c:v>
                </c:pt>
                <c:pt idx="723">
                  <c:v>-4.6740000000000004E-2</c:v>
                </c:pt>
                <c:pt idx="724">
                  <c:v>-0.10519000000000001</c:v>
                </c:pt>
                <c:pt idx="725">
                  <c:v>-6.6040000000000001E-2</c:v>
                </c:pt>
                <c:pt idx="726">
                  <c:v>-8.4689999999999988E-2</c:v>
                </c:pt>
                <c:pt idx="727">
                  <c:v>-0.16741</c:v>
                </c:pt>
                <c:pt idx="728">
                  <c:v>-0.23573</c:v>
                </c:pt>
                <c:pt idx="729">
                  <c:v>-0.23241000000000001</c:v>
                </c:pt>
                <c:pt idx="730">
                  <c:v>-0.25484000000000001</c:v>
                </c:pt>
                <c:pt idx="731">
                  <c:v>-0.32496000000000003</c:v>
                </c:pt>
                <c:pt idx="732">
                  <c:v>-0.26816000000000001</c:v>
                </c:pt>
                <c:pt idx="733">
                  <c:v>-0.24068999999999999</c:v>
                </c:pt>
                <c:pt idx="734">
                  <c:v>-0.22059999999999999</c:v>
                </c:pt>
                <c:pt idx="735">
                  <c:v>-0.27568999999999999</c:v>
                </c:pt>
                <c:pt idx="736">
                  <c:v>-0.25949</c:v>
                </c:pt>
                <c:pt idx="737">
                  <c:v>-0.21335999999999999</c:v>
                </c:pt>
                <c:pt idx="738">
                  <c:v>-0.26518000000000003</c:v>
                </c:pt>
                <c:pt idx="739">
                  <c:v>-0.22595999999999999</c:v>
                </c:pt>
                <c:pt idx="740">
                  <c:v>-0.34775</c:v>
                </c:pt>
                <c:pt idx="741">
                  <c:v>-0.39688000000000001</c:v>
                </c:pt>
                <c:pt idx="742">
                  <c:v>-0.50958999999999999</c:v>
                </c:pt>
                <c:pt idx="743">
                  <c:v>-0.44345999999999997</c:v>
                </c:pt>
                <c:pt idx="744">
                  <c:v>-0.47060000000000002</c:v>
                </c:pt>
                <c:pt idx="745">
                  <c:v>-0.44970999999999994</c:v>
                </c:pt>
                <c:pt idx="746">
                  <c:v>-0.40328000000000003</c:v>
                </c:pt>
                <c:pt idx="747">
                  <c:v>-0.40328000000000003</c:v>
                </c:pt>
                <c:pt idx="748">
                  <c:v>-0.36280999999999997</c:v>
                </c:pt>
                <c:pt idx="749">
                  <c:v>-0.38768999999999998</c:v>
                </c:pt>
                <c:pt idx="750">
                  <c:v>-0.45524999999999999</c:v>
                </c:pt>
                <c:pt idx="751">
                  <c:v>-0.43475999999999998</c:v>
                </c:pt>
                <c:pt idx="752">
                  <c:v>-0.47753999999999996</c:v>
                </c:pt>
                <c:pt idx="753">
                  <c:v>-0.46755000000000002</c:v>
                </c:pt>
                <c:pt idx="754">
                  <c:v>-0.44540000000000002</c:v>
                </c:pt>
                <c:pt idx="755">
                  <c:v>-0.47182000000000002</c:v>
                </c:pt>
                <c:pt idx="756">
                  <c:v>-0.47182000000000002</c:v>
                </c:pt>
                <c:pt idx="757">
                  <c:v>-0.51641000000000004</c:v>
                </c:pt>
                <c:pt idx="758">
                  <c:v>-0.54135</c:v>
                </c:pt>
                <c:pt idx="759">
                  <c:v>-0.51202000000000003</c:v>
                </c:pt>
                <c:pt idx="760">
                  <c:v>-0.56603999999999999</c:v>
                </c:pt>
                <c:pt idx="761">
                  <c:v>-0.48604999999999998</c:v>
                </c:pt>
                <c:pt idx="762">
                  <c:v>-0.39905000000000002</c:v>
                </c:pt>
                <c:pt idx="763">
                  <c:v>-0.56208999999999998</c:v>
                </c:pt>
                <c:pt idx="764">
                  <c:v>-0.56938999999999995</c:v>
                </c:pt>
                <c:pt idx="765">
                  <c:v>-0.57057000000000002</c:v>
                </c:pt>
                <c:pt idx="766">
                  <c:v>-0.52761000000000002</c:v>
                </c:pt>
                <c:pt idx="767">
                  <c:v>-0.55814999999999992</c:v>
                </c:pt>
                <c:pt idx="768">
                  <c:v>-0.57651000000000008</c:v>
                </c:pt>
                <c:pt idx="769">
                  <c:v>-0.63251000000000002</c:v>
                </c:pt>
                <c:pt idx="770">
                  <c:v>-0.53555999999999993</c:v>
                </c:pt>
                <c:pt idx="771">
                  <c:v>-0.57699</c:v>
                </c:pt>
                <c:pt idx="772">
                  <c:v>-0.53909999999999991</c:v>
                </c:pt>
                <c:pt idx="773">
                  <c:v>-0.47487999999999997</c:v>
                </c:pt>
                <c:pt idx="774">
                  <c:v>-0.52834999999999999</c:v>
                </c:pt>
                <c:pt idx="775">
                  <c:v>-0.47991999999999996</c:v>
                </c:pt>
                <c:pt idx="776">
                  <c:v>-0.47560000000000002</c:v>
                </c:pt>
                <c:pt idx="777">
                  <c:v>-0.50573999999999997</c:v>
                </c:pt>
                <c:pt idx="778">
                  <c:v>-0.50573999999999997</c:v>
                </c:pt>
                <c:pt idx="779">
                  <c:v>-0.52377000000000007</c:v>
                </c:pt>
                <c:pt idx="780">
                  <c:v>-0.62178</c:v>
                </c:pt>
                <c:pt idx="781">
                  <c:v>-0.60636000000000001</c:v>
                </c:pt>
                <c:pt idx="782">
                  <c:v>-0.62853999999999999</c:v>
                </c:pt>
                <c:pt idx="783">
                  <c:v>-0.62853999999999999</c:v>
                </c:pt>
                <c:pt idx="784">
                  <c:v>-0.82530000000000003</c:v>
                </c:pt>
                <c:pt idx="785">
                  <c:v>-0.83808000000000005</c:v>
                </c:pt>
                <c:pt idx="786">
                  <c:v>-0.88578999999999997</c:v>
                </c:pt>
                <c:pt idx="787">
                  <c:v>-0.95308000000000004</c:v>
                </c:pt>
                <c:pt idx="788">
                  <c:v>-0.84590999999999994</c:v>
                </c:pt>
                <c:pt idx="789">
                  <c:v>-0.77971999999999997</c:v>
                </c:pt>
                <c:pt idx="790">
                  <c:v>-0.79930999999999996</c:v>
                </c:pt>
                <c:pt idx="791">
                  <c:v>-0.81303999999999998</c:v>
                </c:pt>
                <c:pt idx="792">
                  <c:v>-0.72075</c:v>
                </c:pt>
                <c:pt idx="793">
                  <c:v>-0.72075</c:v>
                </c:pt>
                <c:pt idx="794">
                  <c:v>-0.84231999999999996</c:v>
                </c:pt>
                <c:pt idx="795">
                  <c:v>-0.85010000000000008</c:v>
                </c:pt>
                <c:pt idx="796">
                  <c:v>-0.73214000000000001</c:v>
                </c:pt>
                <c:pt idx="797">
                  <c:v>-0.82696000000000003</c:v>
                </c:pt>
                <c:pt idx="798">
                  <c:v>-0.85998000000000008</c:v>
                </c:pt>
                <c:pt idx="799">
                  <c:v>-0.88564999999999994</c:v>
                </c:pt>
                <c:pt idx="800">
                  <c:v>-0.87135000000000007</c:v>
                </c:pt>
                <c:pt idx="801">
                  <c:v>-0.88421000000000005</c:v>
                </c:pt>
                <c:pt idx="802">
                  <c:v>-0.92876000000000003</c:v>
                </c:pt>
                <c:pt idx="803">
                  <c:v>-0.88900000000000001</c:v>
                </c:pt>
                <c:pt idx="804">
                  <c:v>-0.87482000000000004</c:v>
                </c:pt>
                <c:pt idx="805">
                  <c:v>-0.90081999999999995</c:v>
                </c:pt>
                <c:pt idx="806">
                  <c:v>-0.84656000000000009</c:v>
                </c:pt>
                <c:pt idx="807">
                  <c:v>-0.81472999999999995</c:v>
                </c:pt>
                <c:pt idx="808">
                  <c:v>-1.0234999999999999</c:v>
                </c:pt>
                <c:pt idx="809">
                  <c:v>-1.1009099999999998</c:v>
                </c:pt>
                <c:pt idx="810">
                  <c:v>-1.10656</c:v>
                </c:pt>
                <c:pt idx="811">
                  <c:v>-1.0767599999999999</c:v>
                </c:pt>
                <c:pt idx="812">
                  <c:v>-1.1537500000000001</c:v>
                </c:pt>
                <c:pt idx="813">
                  <c:v>-1.2113800000000001</c:v>
                </c:pt>
                <c:pt idx="814">
                  <c:v>-1.1813400000000001</c:v>
                </c:pt>
                <c:pt idx="815">
                  <c:v>-1.21055</c:v>
                </c:pt>
                <c:pt idx="816">
                  <c:v>-1.1979600000000001</c:v>
                </c:pt>
                <c:pt idx="817">
                  <c:v>-1.27512</c:v>
                </c:pt>
                <c:pt idx="818">
                  <c:v>-1.27512</c:v>
                </c:pt>
                <c:pt idx="819">
                  <c:v>-1.2542199999999999</c:v>
                </c:pt>
                <c:pt idx="820">
                  <c:v>-1.2602899999999999</c:v>
                </c:pt>
                <c:pt idx="821">
                  <c:v>-1.21638</c:v>
                </c:pt>
                <c:pt idx="822">
                  <c:v>-1.2530299999999999</c:v>
                </c:pt>
                <c:pt idx="823">
                  <c:v>-1.31609</c:v>
                </c:pt>
                <c:pt idx="824">
                  <c:v>-1.3038399999999999</c:v>
                </c:pt>
                <c:pt idx="825">
                  <c:v>-1.32053</c:v>
                </c:pt>
                <c:pt idx="826">
                  <c:v>-1.3381800000000001</c:v>
                </c:pt>
                <c:pt idx="827">
                  <c:v>-1.31576</c:v>
                </c:pt>
                <c:pt idx="828">
                  <c:v>-1.3445500000000001</c:v>
                </c:pt>
                <c:pt idx="829">
                  <c:v>-1.35988</c:v>
                </c:pt>
                <c:pt idx="830">
                  <c:v>-1.4928899999999998</c:v>
                </c:pt>
                <c:pt idx="831">
                  <c:v>-1.4115199999999999</c:v>
                </c:pt>
                <c:pt idx="832">
                  <c:v>-1.20797</c:v>
                </c:pt>
                <c:pt idx="833">
                  <c:v>-0.54247999999999996</c:v>
                </c:pt>
                <c:pt idx="834">
                  <c:v>-0.57440999999999998</c:v>
                </c:pt>
                <c:pt idx="835">
                  <c:v>-0.56124000000000007</c:v>
                </c:pt>
                <c:pt idx="836">
                  <c:v>-0.31756000000000001</c:v>
                </c:pt>
                <c:pt idx="837">
                  <c:v>-0.48619999999999997</c:v>
                </c:pt>
                <c:pt idx="838">
                  <c:v>-5.0999999999999997E-2</c:v>
                </c:pt>
                <c:pt idx="839">
                  <c:v>-0.30158999999999997</c:v>
                </c:pt>
                <c:pt idx="840">
                  <c:v>-0.38956000000000002</c:v>
                </c:pt>
                <c:pt idx="841">
                  <c:v>-0.25065999999999999</c:v>
                </c:pt>
                <c:pt idx="842">
                  <c:v>4.9970000000000001E-2</c:v>
                </c:pt>
                <c:pt idx="843">
                  <c:v>-0.20671</c:v>
                </c:pt>
                <c:pt idx="844">
                  <c:v>-0.28404000000000001</c:v>
                </c:pt>
                <c:pt idx="845">
                  <c:v>-0.28870000000000001</c:v>
                </c:pt>
                <c:pt idx="846">
                  <c:v>-0.39945000000000003</c:v>
                </c:pt>
                <c:pt idx="847">
                  <c:v>-0.49627000000000004</c:v>
                </c:pt>
                <c:pt idx="848">
                  <c:v>-0.42906</c:v>
                </c:pt>
                <c:pt idx="849">
                  <c:v>-0.34252000000000005</c:v>
                </c:pt>
                <c:pt idx="850">
                  <c:v>-0.26751000000000003</c:v>
                </c:pt>
                <c:pt idx="851">
                  <c:v>-0.18271000000000001</c:v>
                </c:pt>
                <c:pt idx="852">
                  <c:v>-0.26745999999999998</c:v>
                </c:pt>
                <c:pt idx="853">
                  <c:v>-0.35973999999999995</c:v>
                </c:pt>
                <c:pt idx="854">
                  <c:v>-0.40985999999999995</c:v>
                </c:pt>
                <c:pt idx="855">
                  <c:v>-0.45652999999999999</c:v>
                </c:pt>
                <c:pt idx="856">
                  <c:v>-0.38317000000000001</c:v>
                </c:pt>
                <c:pt idx="857">
                  <c:v>-0.39258000000000004</c:v>
                </c:pt>
                <c:pt idx="858">
                  <c:v>-0.55681999999999998</c:v>
                </c:pt>
                <c:pt idx="859">
                  <c:v>-0.59863999999999995</c:v>
                </c:pt>
                <c:pt idx="860">
                  <c:v>-0.63722999999999996</c:v>
                </c:pt>
                <c:pt idx="861">
                  <c:v>-0.58901000000000003</c:v>
                </c:pt>
                <c:pt idx="862">
                  <c:v>-0.50755000000000006</c:v>
                </c:pt>
                <c:pt idx="863">
                  <c:v>-0.53795999999999999</c:v>
                </c:pt>
                <c:pt idx="864">
                  <c:v>-0.48765999999999998</c:v>
                </c:pt>
                <c:pt idx="865">
                  <c:v>-0.40871000000000002</c:v>
                </c:pt>
                <c:pt idx="866">
                  <c:v>-0.45447000000000004</c:v>
                </c:pt>
                <c:pt idx="867">
                  <c:v>-0.52707000000000004</c:v>
                </c:pt>
                <c:pt idx="868">
                  <c:v>-0.49944000000000005</c:v>
                </c:pt>
                <c:pt idx="869">
                  <c:v>-0.53029999999999999</c:v>
                </c:pt>
                <c:pt idx="870">
                  <c:v>-0.40759000000000001</c:v>
                </c:pt>
                <c:pt idx="871">
                  <c:v>-0.27111999999999997</c:v>
                </c:pt>
                <c:pt idx="872">
                  <c:v>-0.21306</c:v>
                </c:pt>
                <c:pt idx="873">
                  <c:v>-0.40850000000000003</c:v>
                </c:pt>
                <c:pt idx="874">
                  <c:v>-0.35259999999999997</c:v>
                </c:pt>
                <c:pt idx="875">
                  <c:v>-0.4738</c:v>
                </c:pt>
                <c:pt idx="876">
                  <c:v>-0.39430999999999999</c:v>
                </c:pt>
                <c:pt idx="877">
                  <c:v>-0.36826000000000003</c:v>
                </c:pt>
                <c:pt idx="878">
                  <c:v>-0.43239</c:v>
                </c:pt>
                <c:pt idx="879">
                  <c:v>-0.39789000000000002</c:v>
                </c:pt>
                <c:pt idx="880">
                  <c:v>-0.47356000000000004</c:v>
                </c:pt>
                <c:pt idx="881">
                  <c:v>-0.52251999999999998</c:v>
                </c:pt>
                <c:pt idx="882">
                  <c:v>-0.65725999999999996</c:v>
                </c:pt>
                <c:pt idx="883">
                  <c:v>-0.66232000000000002</c:v>
                </c:pt>
                <c:pt idx="884">
                  <c:v>-0.74486999999999992</c:v>
                </c:pt>
                <c:pt idx="885">
                  <c:v>-0.70231999999999994</c:v>
                </c:pt>
                <c:pt idx="886">
                  <c:v>-0.82435000000000003</c:v>
                </c:pt>
                <c:pt idx="887">
                  <c:v>-0.91842000000000001</c:v>
                </c:pt>
                <c:pt idx="888">
                  <c:v>-0.91842000000000001</c:v>
                </c:pt>
                <c:pt idx="889">
                  <c:v>-0.92412000000000005</c:v>
                </c:pt>
                <c:pt idx="890">
                  <c:v>-0.85918000000000005</c:v>
                </c:pt>
                <c:pt idx="891">
                  <c:v>-0.88024000000000002</c:v>
                </c:pt>
                <c:pt idx="892">
                  <c:v>-0.80208000000000002</c:v>
                </c:pt>
                <c:pt idx="893">
                  <c:v>-0.96660999999999997</c:v>
                </c:pt>
                <c:pt idx="894">
                  <c:v>-0.91012000000000004</c:v>
                </c:pt>
                <c:pt idx="895">
                  <c:v>-0.93569999999999998</c:v>
                </c:pt>
                <c:pt idx="896">
                  <c:v>-0.98153999999999997</c:v>
                </c:pt>
                <c:pt idx="897">
                  <c:v>-0.97328000000000003</c:v>
                </c:pt>
                <c:pt idx="898">
                  <c:v>-0.97328000000000003</c:v>
                </c:pt>
                <c:pt idx="899">
                  <c:v>-1.02216</c:v>
                </c:pt>
                <c:pt idx="900">
                  <c:v>-1.07744</c:v>
                </c:pt>
                <c:pt idx="901">
                  <c:v>-1.1513599999999999</c:v>
                </c:pt>
                <c:pt idx="902">
                  <c:v>-1.1081100000000002</c:v>
                </c:pt>
                <c:pt idx="903">
                  <c:v>-1.1081100000000002</c:v>
                </c:pt>
                <c:pt idx="904">
                  <c:v>-1.1268</c:v>
                </c:pt>
                <c:pt idx="905">
                  <c:v>-1.1341299999999999</c:v>
                </c:pt>
                <c:pt idx="906">
                  <c:v>-1.1948300000000001</c:v>
                </c:pt>
                <c:pt idx="907">
                  <c:v>-1.2091800000000001</c:v>
                </c:pt>
                <c:pt idx="908">
                  <c:v>-1.1701300000000001</c:v>
                </c:pt>
                <c:pt idx="909">
                  <c:v>-1.20207</c:v>
                </c:pt>
                <c:pt idx="910">
                  <c:v>-1.2150799999999999</c:v>
                </c:pt>
                <c:pt idx="911">
                  <c:v>-1.2074</c:v>
                </c:pt>
                <c:pt idx="912">
                  <c:v>-1.31036</c:v>
                </c:pt>
                <c:pt idx="913">
                  <c:v>-1.29521</c:v>
                </c:pt>
                <c:pt idx="914">
                  <c:v>-1.29521</c:v>
                </c:pt>
                <c:pt idx="915">
                  <c:v>-1.25126</c:v>
                </c:pt>
                <c:pt idx="916">
                  <c:v>-1.29779</c:v>
                </c:pt>
                <c:pt idx="917">
                  <c:v>-1.2455000000000001</c:v>
                </c:pt>
                <c:pt idx="918">
                  <c:v>-1.13368</c:v>
                </c:pt>
                <c:pt idx="919">
                  <c:v>-1.10789</c:v>
                </c:pt>
                <c:pt idx="920">
                  <c:v>-1.1224800000000001</c:v>
                </c:pt>
                <c:pt idx="921">
                  <c:v>-0.97479000000000005</c:v>
                </c:pt>
                <c:pt idx="922">
                  <c:v>-0.96479999999999999</c:v>
                </c:pt>
                <c:pt idx="923">
                  <c:v>-1.02014</c:v>
                </c:pt>
                <c:pt idx="924">
                  <c:v>-1.0413399999999999</c:v>
                </c:pt>
                <c:pt idx="925">
                  <c:v>-1.0895999999999999</c:v>
                </c:pt>
                <c:pt idx="926">
                  <c:v>-1.1533</c:v>
                </c:pt>
                <c:pt idx="927">
                  <c:v>-1.2066399999999999</c:v>
                </c:pt>
                <c:pt idx="928">
                  <c:v>-1.20777</c:v>
                </c:pt>
                <c:pt idx="929">
                  <c:v>-1.36006</c:v>
                </c:pt>
                <c:pt idx="930">
                  <c:v>-1.3781999999999999</c:v>
                </c:pt>
                <c:pt idx="931">
                  <c:v>-1.37554</c:v>
                </c:pt>
                <c:pt idx="932">
                  <c:v>-1.3505699999999998</c:v>
                </c:pt>
                <c:pt idx="933">
                  <c:v>-1.35822</c:v>
                </c:pt>
                <c:pt idx="934">
                  <c:v>-1.3528200000000001</c:v>
                </c:pt>
                <c:pt idx="935">
                  <c:v>-1.3403800000000001</c:v>
                </c:pt>
                <c:pt idx="936">
                  <c:v>-1.2543899999999999</c:v>
                </c:pt>
                <c:pt idx="937">
                  <c:v>-1.2972900000000001</c:v>
                </c:pt>
                <c:pt idx="938">
                  <c:v>-1.2162200000000001</c:v>
                </c:pt>
                <c:pt idx="939">
                  <c:v>-1.0848800000000001</c:v>
                </c:pt>
                <c:pt idx="940">
                  <c:v>-1.1223399999999999</c:v>
                </c:pt>
                <c:pt idx="941">
                  <c:v>-1.14971</c:v>
                </c:pt>
                <c:pt idx="942">
                  <c:v>-1.1738</c:v>
                </c:pt>
                <c:pt idx="943">
                  <c:v>-1.25163</c:v>
                </c:pt>
                <c:pt idx="944">
                  <c:v>-1.16797</c:v>
                </c:pt>
                <c:pt idx="945">
                  <c:v>-1.06589</c:v>
                </c:pt>
                <c:pt idx="946">
                  <c:v>-1.07786</c:v>
                </c:pt>
                <c:pt idx="947">
                  <c:v>-0.98065000000000002</c:v>
                </c:pt>
                <c:pt idx="948">
                  <c:v>-1.02193</c:v>
                </c:pt>
                <c:pt idx="949">
                  <c:v>-0.98572999999999988</c:v>
                </c:pt>
                <c:pt idx="950">
                  <c:v>-0.99831999999999999</c:v>
                </c:pt>
                <c:pt idx="951">
                  <c:v>-1.0762399999999999</c:v>
                </c:pt>
                <c:pt idx="952">
                  <c:v>-1.1122700000000001</c:v>
                </c:pt>
                <c:pt idx="953">
                  <c:v>-1.1198000000000001</c:v>
                </c:pt>
                <c:pt idx="954">
                  <c:v>-1.1567100000000001</c:v>
                </c:pt>
                <c:pt idx="955">
                  <c:v>-1.07423</c:v>
                </c:pt>
                <c:pt idx="956">
                  <c:v>-1.0593699999999999</c:v>
                </c:pt>
                <c:pt idx="957">
                  <c:v>-1.07806</c:v>
                </c:pt>
                <c:pt idx="958">
                  <c:v>-1.07806</c:v>
                </c:pt>
                <c:pt idx="959">
                  <c:v>-1.02501</c:v>
                </c:pt>
                <c:pt idx="960">
                  <c:v>-1.0598399999999999</c:v>
                </c:pt>
                <c:pt idx="961">
                  <c:v>-1.0766200000000001</c:v>
                </c:pt>
                <c:pt idx="962">
                  <c:v>-1.01993</c:v>
                </c:pt>
                <c:pt idx="963">
                  <c:v>-1.01993</c:v>
                </c:pt>
              </c:numCache>
            </c:numRef>
          </c:val>
          <c:smooth val="0"/>
          <c:extLst>
            <c:ext xmlns:c16="http://schemas.microsoft.com/office/drawing/2014/chart" uri="{C3380CC4-5D6E-409C-BE32-E72D297353CC}">
              <c16:uniqueId val="{00000008-EBC4-4222-8B88-73469225685A}"/>
            </c:ext>
          </c:extLst>
        </c:ser>
        <c:ser>
          <c:idx val="7"/>
          <c:order val="7"/>
          <c:tx>
            <c:strRef>
              <c:f>Sheet1!$I$1</c:f>
              <c:strCache>
                <c:ptCount val="1"/>
                <c:pt idx="0">
                  <c:v>Ուկրաինա ( 2028թ.), աջ առանցք</c:v>
                </c:pt>
              </c:strCache>
            </c:strRef>
          </c:tx>
          <c:spPr>
            <a:ln w="19050" cap="rnd">
              <a:solidFill>
                <a:schemeClr val="tx1"/>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Sheet1!$I$2:$I$1226</c:f>
              <c:numCache>
                <c:formatCode>0</c:formatCode>
                <c:ptCount val="964"/>
                <c:pt idx="0">
                  <c:v>4.5502799999999999</c:v>
                </c:pt>
                <c:pt idx="1">
                  <c:v>4.3298500000000004</c:v>
                </c:pt>
                <c:pt idx="2">
                  <c:v>4.36686</c:v>
                </c:pt>
                <c:pt idx="3">
                  <c:v>4.3965699999999996</c:v>
                </c:pt>
                <c:pt idx="4">
                  <c:v>4.35372</c:v>
                </c:pt>
                <c:pt idx="5">
                  <c:v>4.2633700000000001</c:v>
                </c:pt>
                <c:pt idx="6">
                  <c:v>4.2937400000000006</c:v>
                </c:pt>
                <c:pt idx="7">
                  <c:v>4.3018400000000003</c:v>
                </c:pt>
                <c:pt idx="8">
                  <c:v>4.2093099999999994</c:v>
                </c:pt>
                <c:pt idx="9">
                  <c:v>4.2138600000000004</c:v>
                </c:pt>
                <c:pt idx="10">
                  <c:v>4.1339299999999994</c:v>
                </c:pt>
                <c:pt idx="11">
                  <c:v>4.0329300000000003</c:v>
                </c:pt>
                <c:pt idx="12">
                  <c:v>3.99397</c:v>
                </c:pt>
                <c:pt idx="13">
                  <c:v>4.0063300000000002</c:v>
                </c:pt>
                <c:pt idx="14">
                  <c:v>4.08725</c:v>
                </c:pt>
                <c:pt idx="15">
                  <c:v>4.0400999999999998</c:v>
                </c:pt>
                <c:pt idx="16">
                  <c:v>4.2541799999999999</c:v>
                </c:pt>
                <c:pt idx="17">
                  <c:v>4.3243400000000003</c:v>
                </c:pt>
                <c:pt idx="18">
                  <c:v>4.5457100000000006</c:v>
                </c:pt>
                <c:pt idx="19">
                  <c:v>4.4277800000000003</c:v>
                </c:pt>
                <c:pt idx="20">
                  <c:v>4.4198899999999997</c:v>
                </c:pt>
                <c:pt idx="21">
                  <c:v>4.5621200000000002</c:v>
                </c:pt>
                <c:pt idx="22">
                  <c:v>4.5404099999999996</c:v>
                </c:pt>
                <c:pt idx="23">
                  <c:v>4.5534300000000005</c:v>
                </c:pt>
                <c:pt idx="24">
                  <c:v>4.3948599999999995</c:v>
                </c:pt>
                <c:pt idx="25">
                  <c:v>4.2607699999999999</c:v>
                </c:pt>
                <c:pt idx="26">
                  <c:v>4.2204600000000001</c:v>
                </c:pt>
                <c:pt idx="27">
                  <c:v>4.36585</c:v>
                </c:pt>
                <c:pt idx="28">
                  <c:v>4.4592099999999997</c:v>
                </c:pt>
                <c:pt idx="29">
                  <c:v>4.3131700000000004</c:v>
                </c:pt>
                <c:pt idx="30">
                  <c:v>4.1807999999999996</c:v>
                </c:pt>
                <c:pt idx="31">
                  <c:v>4.1249400000000005</c:v>
                </c:pt>
                <c:pt idx="32">
                  <c:v>4.0774699999999999</c:v>
                </c:pt>
                <c:pt idx="33">
                  <c:v>4.05098</c:v>
                </c:pt>
                <c:pt idx="34">
                  <c:v>4.1557899999999997</c:v>
                </c:pt>
                <c:pt idx="35">
                  <c:v>4.0866500000000006</c:v>
                </c:pt>
                <c:pt idx="36">
                  <c:v>4.1385700000000005</c:v>
                </c:pt>
                <c:pt idx="37">
                  <c:v>4.2618499999999999</c:v>
                </c:pt>
                <c:pt idx="38">
                  <c:v>4.5764899999999997</c:v>
                </c:pt>
                <c:pt idx="39">
                  <c:v>4.7718699999999998</c:v>
                </c:pt>
                <c:pt idx="40">
                  <c:v>4.9335800000000001</c:v>
                </c:pt>
                <c:pt idx="41">
                  <c:v>5.0772699999999995</c:v>
                </c:pt>
                <c:pt idx="42">
                  <c:v>5.4301700000000004</c:v>
                </c:pt>
                <c:pt idx="43">
                  <c:v>5.3598699999999999</c:v>
                </c:pt>
                <c:pt idx="44">
                  <c:v>5.2648599999999997</c:v>
                </c:pt>
                <c:pt idx="45">
                  <c:v>5.4661800000000005</c:v>
                </c:pt>
                <c:pt idx="46">
                  <c:v>6.0684000000000005</c:v>
                </c:pt>
                <c:pt idx="47">
                  <c:v>6.7384299999999993</c:v>
                </c:pt>
                <c:pt idx="48">
                  <c:v>8.0293499999999991</c:v>
                </c:pt>
                <c:pt idx="49">
                  <c:v>7.9493100000000005</c:v>
                </c:pt>
                <c:pt idx="50">
                  <c:v>8.5867199999999997</c:v>
                </c:pt>
                <c:pt idx="51">
                  <c:v>10.404760000000001</c:v>
                </c:pt>
                <c:pt idx="52">
                  <c:v>9.4950700000000001</c:v>
                </c:pt>
                <c:pt idx="53">
                  <c:v>10.7295</c:v>
                </c:pt>
                <c:pt idx="54">
                  <c:v>10.836590000000001</c:v>
                </c:pt>
                <c:pt idx="55">
                  <c:v>12.754539999999999</c:v>
                </c:pt>
                <c:pt idx="56">
                  <c:v>12.706389999999999</c:v>
                </c:pt>
                <c:pt idx="57">
                  <c:v>12.062760000000001</c:v>
                </c:pt>
                <c:pt idx="58">
                  <c:v>12.66938</c:v>
                </c:pt>
                <c:pt idx="59">
                  <c:v>11.744069999999999</c:v>
                </c:pt>
                <c:pt idx="60">
                  <c:v>10.22513</c:v>
                </c:pt>
                <c:pt idx="61">
                  <c:v>9.87561</c:v>
                </c:pt>
                <c:pt idx="62">
                  <c:v>10.20589</c:v>
                </c:pt>
                <c:pt idx="63">
                  <c:v>10.423689999999999</c:v>
                </c:pt>
                <c:pt idx="64">
                  <c:v>9.5166699999999995</c:v>
                </c:pt>
                <c:pt idx="65">
                  <c:v>9.7320100000000007</c:v>
                </c:pt>
                <c:pt idx="66">
                  <c:v>9.7783700000000007</c:v>
                </c:pt>
                <c:pt idx="67">
                  <c:v>9.8055400000000006</c:v>
                </c:pt>
                <c:pt idx="68">
                  <c:v>9.6772799999999997</c:v>
                </c:pt>
                <c:pt idx="69">
                  <c:v>9.2703399999999991</c:v>
                </c:pt>
                <c:pt idx="70">
                  <c:v>9.4197500000000005</c:v>
                </c:pt>
                <c:pt idx="71">
                  <c:v>9.0811500000000009</c:v>
                </c:pt>
                <c:pt idx="72">
                  <c:v>9.0811500000000009</c:v>
                </c:pt>
                <c:pt idx="73">
                  <c:v>9.0811500000000009</c:v>
                </c:pt>
                <c:pt idx="74">
                  <c:v>8.8508800000000001</c:v>
                </c:pt>
                <c:pt idx="75">
                  <c:v>9.0489700000000006</c:v>
                </c:pt>
                <c:pt idx="76">
                  <c:v>9.1691599999999998</c:v>
                </c:pt>
                <c:pt idx="77">
                  <c:v>9.3140900000000002</c:v>
                </c:pt>
                <c:pt idx="78">
                  <c:v>9.4459999999999997</c:v>
                </c:pt>
                <c:pt idx="79">
                  <c:v>9.8507400000000001</c:v>
                </c:pt>
                <c:pt idx="80">
                  <c:v>9.8596400000000006</c:v>
                </c:pt>
                <c:pt idx="81">
                  <c:v>9.62941</c:v>
                </c:pt>
                <c:pt idx="82">
                  <c:v>9.5291800000000002</c:v>
                </c:pt>
                <c:pt idx="83">
                  <c:v>9.5285200000000003</c:v>
                </c:pt>
                <c:pt idx="84">
                  <c:v>9.6461600000000001</c:v>
                </c:pt>
                <c:pt idx="85">
                  <c:v>9.68126</c:v>
                </c:pt>
                <c:pt idx="86">
                  <c:v>9.4503599999999999</c:v>
                </c:pt>
                <c:pt idx="87">
                  <c:v>9.1956199999999999</c:v>
                </c:pt>
                <c:pt idx="88">
                  <c:v>9.1411899999999999</c:v>
                </c:pt>
                <c:pt idx="89">
                  <c:v>8.735199999999999</c:v>
                </c:pt>
                <c:pt idx="90">
                  <c:v>8.5673499999999994</c:v>
                </c:pt>
                <c:pt idx="91">
                  <c:v>8.4169400000000003</c:v>
                </c:pt>
                <c:pt idx="92">
                  <c:v>8.4169400000000003</c:v>
                </c:pt>
                <c:pt idx="93">
                  <c:v>8.17699</c:v>
                </c:pt>
                <c:pt idx="94">
                  <c:v>7.9349300000000005</c:v>
                </c:pt>
                <c:pt idx="95">
                  <c:v>7.9462099999999998</c:v>
                </c:pt>
                <c:pt idx="96">
                  <c:v>8.2037499999999994</c:v>
                </c:pt>
                <c:pt idx="97">
                  <c:v>7.9150099999999997</c:v>
                </c:pt>
                <c:pt idx="98">
                  <c:v>7.7326199999999998</c:v>
                </c:pt>
                <c:pt idx="99">
                  <c:v>7.8914499999999999</c:v>
                </c:pt>
                <c:pt idx="100">
                  <c:v>7.6567699999999999</c:v>
                </c:pt>
                <c:pt idx="101">
                  <c:v>7.57376</c:v>
                </c:pt>
                <c:pt idx="102">
                  <c:v>7.7311100000000001</c:v>
                </c:pt>
                <c:pt idx="103">
                  <c:v>7.7311100000000001</c:v>
                </c:pt>
                <c:pt idx="104">
                  <c:v>7.6417100000000007</c:v>
                </c:pt>
                <c:pt idx="105">
                  <c:v>7.8056299999999998</c:v>
                </c:pt>
                <c:pt idx="106">
                  <c:v>7.7447900000000001</c:v>
                </c:pt>
                <c:pt idx="107">
                  <c:v>7.8428800000000001</c:v>
                </c:pt>
                <c:pt idx="108">
                  <c:v>7.7070500000000006</c:v>
                </c:pt>
                <c:pt idx="109">
                  <c:v>7.4529100000000001</c:v>
                </c:pt>
                <c:pt idx="110">
                  <c:v>6.9126300000000001</c:v>
                </c:pt>
                <c:pt idx="111">
                  <c:v>6.6830100000000003</c:v>
                </c:pt>
                <c:pt idx="112">
                  <c:v>6.0000900000000001</c:v>
                </c:pt>
                <c:pt idx="113">
                  <c:v>5.9651700000000005</c:v>
                </c:pt>
                <c:pt idx="114">
                  <c:v>6.2222200000000001</c:v>
                </c:pt>
                <c:pt idx="115">
                  <c:v>6.2626700000000008</c:v>
                </c:pt>
                <c:pt idx="116">
                  <c:v>6.63903</c:v>
                </c:pt>
                <c:pt idx="117">
                  <c:v>6.5971000000000002</c:v>
                </c:pt>
                <c:pt idx="118">
                  <c:v>6.7383600000000001</c:v>
                </c:pt>
                <c:pt idx="119">
                  <c:v>6.2791999999999994</c:v>
                </c:pt>
                <c:pt idx="120">
                  <c:v>6.3406100000000007</c:v>
                </c:pt>
                <c:pt idx="121">
                  <c:v>6.4646699999999999</c:v>
                </c:pt>
                <c:pt idx="122">
                  <c:v>6.4801800000000007</c:v>
                </c:pt>
                <c:pt idx="123">
                  <c:v>6.56576</c:v>
                </c:pt>
                <c:pt idx="124">
                  <c:v>6.5430399999999995</c:v>
                </c:pt>
                <c:pt idx="125">
                  <c:v>6.6873900000000006</c:v>
                </c:pt>
                <c:pt idx="126">
                  <c:v>6.8213800000000004</c:v>
                </c:pt>
                <c:pt idx="127">
                  <c:v>6.8847400000000007</c:v>
                </c:pt>
                <c:pt idx="128">
                  <c:v>6.9085999999999999</c:v>
                </c:pt>
                <c:pt idx="129">
                  <c:v>6.7363900000000001</c:v>
                </c:pt>
                <c:pt idx="130">
                  <c:v>6.3661800000000008</c:v>
                </c:pt>
                <c:pt idx="131">
                  <c:v>6.5382699999999998</c:v>
                </c:pt>
                <c:pt idx="132">
                  <c:v>6.5328999999999997</c:v>
                </c:pt>
                <c:pt idx="133">
                  <c:v>6.5361500000000001</c:v>
                </c:pt>
                <c:pt idx="134">
                  <c:v>6.7366799999999998</c:v>
                </c:pt>
                <c:pt idx="135">
                  <c:v>6.8638900000000005</c:v>
                </c:pt>
                <c:pt idx="136">
                  <c:v>7.0306100000000002</c:v>
                </c:pt>
                <c:pt idx="137">
                  <c:v>7.32761</c:v>
                </c:pt>
                <c:pt idx="138">
                  <c:v>7.3179699999999999</c:v>
                </c:pt>
                <c:pt idx="139">
                  <c:v>7.5225599999999995</c:v>
                </c:pt>
                <c:pt idx="140">
                  <c:v>7.0674599999999996</c:v>
                </c:pt>
                <c:pt idx="141">
                  <c:v>6.9580399999999996</c:v>
                </c:pt>
                <c:pt idx="142">
                  <c:v>6.9289099999999992</c:v>
                </c:pt>
                <c:pt idx="143">
                  <c:v>6.9025400000000001</c:v>
                </c:pt>
                <c:pt idx="144">
                  <c:v>6.7012599999999996</c:v>
                </c:pt>
                <c:pt idx="145">
                  <c:v>6.7029800000000002</c:v>
                </c:pt>
                <c:pt idx="146">
                  <c:v>6.7028300000000005</c:v>
                </c:pt>
                <c:pt idx="147">
                  <c:v>6.7490499999999995</c:v>
                </c:pt>
                <c:pt idx="148">
                  <c:v>6.6787800000000006</c:v>
                </c:pt>
                <c:pt idx="149">
                  <c:v>6.82165</c:v>
                </c:pt>
                <c:pt idx="150">
                  <c:v>6.8565300000000002</c:v>
                </c:pt>
                <c:pt idx="151">
                  <c:v>7.1220399999999993</c:v>
                </c:pt>
                <c:pt idx="152">
                  <c:v>7.21225</c:v>
                </c:pt>
                <c:pt idx="153">
                  <c:v>7.2427700000000002</c:v>
                </c:pt>
                <c:pt idx="154">
                  <c:v>7.2057899999999995</c:v>
                </c:pt>
                <c:pt idx="155">
                  <c:v>7.0636699999999992</c:v>
                </c:pt>
                <c:pt idx="156">
                  <c:v>7.1443499999999993</c:v>
                </c:pt>
                <c:pt idx="157">
                  <c:v>7.3208000000000002</c:v>
                </c:pt>
                <c:pt idx="158">
                  <c:v>7.3182299999999998</c:v>
                </c:pt>
                <c:pt idx="159">
                  <c:v>7.1021999999999998</c:v>
                </c:pt>
                <c:pt idx="160">
                  <c:v>7.0315499999999993</c:v>
                </c:pt>
                <c:pt idx="161">
                  <c:v>6.98285</c:v>
                </c:pt>
                <c:pt idx="162">
                  <c:v>6.9796799999999992</c:v>
                </c:pt>
                <c:pt idx="163">
                  <c:v>6.89072</c:v>
                </c:pt>
                <c:pt idx="164">
                  <c:v>6.9041700000000006</c:v>
                </c:pt>
                <c:pt idx="165">
                  <c:v>6.7885200000000001</c:v>
                </c:pt>
                <c:pt idx="166">
                  <c:v>6.8382800000000001</c:v>
                </c:pt>
                <c:pt idx="167">
                  <c:v>6.7895199999999996</c:v>
                </c:pt>
                <c:pt idx="168">
                  <c:v>6.7154499999999997</c:v>
                </c:pt>
                <c:pt idx="169">
                  <c:v>6.7060799999999992</c:v>
                </c:pt>
                <c:pt idx="170">
                  <c:v>6.7392999999999992</c:v>
                </c:pt>
                <c:pt idx="171">
                  <c:v>6.6568199999999997</c:v>
                </c:pt>
                <c:pt idx="172">
                  <c:v>6.5918299999999999</c:v>
                </c:pt>
                <c:pt idx="173">
                  <c:v>6.5918299999999999</c:v>
                </c:pt>
                <c:pt idx="174">
                  <c:v>6.4543499999999998</c:v>
                </c:pt>
                <c:pt idx="175">
                  <c:v>6.398579999999999</c:v>
                </c:pt>
                <c:pt idx="176">
                  <c:v>6.5636300000000007</c:v>
                </c:pt>
                <c:pt idx="177">
                  <c:v>6.5087199999999994</c:v>
                </c:pt>
                <c:pt idx="178">
                  <c:v>6.4929999999999994</c:v>
                </c:pt>
                <c:pt idx="179">
                  <c:v>6.6417899999999994</c:v>
                </c:pt>
                <c:pt idx="180">
                  <c:v>6.6450300000000002</c:v>
                </c:pt>
                <c:pt idx="181">
                  <c:v>6.6606199999999998</c:v>
                </c:pt>
                <c:pt idx="182">
                  <c:v>6.6971299999999996</c:v>
                </c:pt>
                <c:pt idx="183">
                  <c:v>6.7458200000000001</c:v>
                </c:pt>
                <c:pt idx="184">
                  <c:v>6.6357200000000001</c:v>
                </c:pt>
                <c:pt idx="185">
                  <c:v>6.6047500000000001</c:v>
                </c:pt>
                <c:pt idx="186">
                  <c:v>6.6885299999999992</c:v>
                </c:pt>
                <c:pt idx="187">
                  <c:v>6.7089999999999996</c:v>
                </c:pt>
                <c:pt idx="188">
                  <c:v>7.0825899999999997</c:v>
                </c:pt>
                <c:pt idx="189">
                  <c:v>7.1244399999999999</c:v>
                </c:pt>
                <c:pt idx="190">
                  <c:v>7.2120199999999999</c:v>
                </c:pt>
                <c:pt idx="191">
                  <c:v>7.4410799999999995</c:v>
                </c:pt>
                <c:pt idx="192">
                  <c:v>7.4260000000000002</c:v>
                </c:pt>
                <c:pt idx="193">
                  <c:v>7.3978299999999999</c:v>
                </c:pt>
                <c:pt idx="194">
                  <c:v>7.5713300000000006</c:v>
                </c:pt>
                <c:pt idx="195">
                  <c:v>7.5646699999999996</c:v>
                </c:pt>
                <c:pt idx="196">
                  <c:v>7.49099</c:v>
                </c:pt>
                <c:pt idx="197">
                  <c:v>7.5048000000000004</c:v>
                </c:pt>
                <c:pt idx="198">
                  <c:v>7.3184400000000007</c:v>
                </c:pt>
                <c:pt idx="199">
                  <c:v>7.3952999999999998</c:v>
                </c:pt>
                <c:pt idx="200">
                  <c:v>7.3015400000000001</c:v>
                </c:pt>
                <c:pt idx="201">
                  <c:v>7.1942600000000008</c:v>
                </c:pt>
                <c:pt idx="202">
                  <c:v>6.9578899999999999</c:v>
                </c:pt>
                <c:pt idx="203">
                  <c:v>6.9222900000000003</c:v>
                </c:pt>
                <c:pt idx="204">
                  <c:v>7.0988499999999997</c:v>
                </c:pt>
                <c:pt idx="205">
                  <c:v>7.3055999999999992</c:v>
                </c:pt>
                <c:pt idx="206">
                  <c:v>7.4901900000000001</c:v>
                </c:pt>
                <c:pt idx="207">
                  <c:v>7.4352900000000002</c:v>
                </c:pt>
                <c:pt idx="208">
                  <c:v>7.4088599999999998</c:v>
                </c:pt>
                <c:pt idx="209">
                  <c:v>7.5172699999999999</c:v>
                </c:pt>
                <c:pt idx="210">
                  <c:v>7.5897100000000002</c:v>
                </c:pt>
                <c:pt idx="211">
                  <c:v>7.6211800000000007</c:v>
                </c:pt>
                <c:pt idx="212">
                  <c:v>7.5794000000000006</c:v>
                </c:pt>
                <c:pt idx="213">
                  <c:v>7.7000400000000004</c:v>
                </c:pt>
                <c:pt idx="214">
                  <c:v>7.4999599999999997</c:v>
                </c:pt>
                <c:pt idx="215">
                  <c:v>7.5320299999999998</c:v>
                </c:pt>
                <c:pt idx="216">
                  <c:v>7.3383799999999999</c:v>
                </c:pt>
                <c:pt idx="217">
                  <c:v>7.2345699999999997</c:v>
                </c:pt>
                <c:pt idx="218">
                  <c:v>7.1828899999999996</c:v>
                </c:pt>
                <c:pt idx="219">
                  <c:v>6.9061699999999995</c:v>
                </c:pt>
                <c:pt idx="220">
                  <c:v>6.8069199999999999</c:v>
                </c:pt>
                <c:pt idx="221">
                  <c:v>6.5543100000000001</c:v>
                </c:pt>
                <c:pt idx="222">
                  <c:v>6.5849900000000003</c:v>
                </c:pt>
                <c:pt idx="223">
                  <c:v>6.1655199999999999</c:v>
                </c:pt>
                <c:pt idx="224">
                  <c:v>6.2217700000000002</c:v>
                </c:pt>
                <c:pt idx="225">
                  <c:v>6.1240399999999999</c:v>
                </c:pt>
                <c:pt idx="226">
                  <c:v>6.2265499999999996</c:v>
                </c:pt>
                <c:pt idx="227">
                  <c:v>6.2046700000000001</c:v>
                </c:pt>
                <c:pt idx="228">
                  <c:v>6.0310299999999994</c:v>
                </c:pt>
                <c:pt idx="229">
                  <c:v>6.0936900000000005</c:v>
                </c:pt>
                <c:pt idx="230">
                  <c:v>6.0820299999999996</c:v>
                </c:pt>
                <c:pt idx="231">
                  <c:v>6.1165899999999995</c:v>
                </c:pt>
                <c:pt idx="232">
                  <c:v>6.0956299999999999</c:v>
                </c:pt>
                <c:pt idx="233">
                  <c:v>5.8959099999999998</c:v>
                </c:pt>
                <c:pt idx="234">
                  <c:v>5.6727300000000005</c:v>
                </c:pt>
                <c:pt idx="235">
                  <c:v>5.7056899999999997</c:v>
                </c:pt>
                <c:pt idx="236">
                  <c:v>5.7309099999999997</c:v>
                </c:pt>
                <c:pt idx="237">
                  <c:v>5.7476700000000003</c:v>
                </c:pt>
                <c:pt idx="238">
                  <c:v>5.7307500000000005</c:v>
                </c:pt>
                <c:pt idx="239">
                  <c:v>5.4735199999999997</c:v>
                </c:pt>
                <c:pt idx="240">
                  <c:v>5.3753200000000003</c:v>
                </c:pt>
                <c:pt idx="241">
                  <c:v>5.3483399999999994</c:v>
                </c:pt>
                <c:pt idx="242">
                  <c:v>5.1366600000000009</c:v>
                </c:pt>
                <c:pt idx="243">
                  <c:v>5.1907899999999998</c:v>
                </c:pt>
                <c:pt idx="244">
                  <c:v>5.2047400000000001</c:v>
                </c:pt>
                <c:pt idx="245">
                  <c:v>5.1450300000000002</c:v>
                </c:pt>
                <c:pt idx="246">
                  <c:v>5.1702700000000004</c:v>
                </c:pt>
                <c:pt idx="247">
                  <c:v>5.1748800000000008</c:v>
                </c:pt>
                <c:pt idx="248">
                  <c:v>5.0122200000000001</c:v>
                </c:pt>
                <c:pt idx="249">
                  <c:v>4.9326100000000004</c:v>
                </c:pt>
                <c:pt idx="250">
                  <c:v>4.9120900000000001</c:v>
                </c:pt>
                <c:pt idx="251">
                  <c:v>4.9401299999999999</c:v>
                </c:pt>
                <c:pt idx="252">
                  <c:v>4.99</c:v>
                </c:pt>
                <c:pt idx="253">
                  <c:v>5.1223800000000006</c:v>
                </c:pt>
                <c:pt idx="254">
                  <c:v>5.1268700000000003</c:v>
                </c:pt>
                <c:pt idx="255">
                  <c:v>5.0925799999999999</c:v>
                </c:pt>
                <c:pt idx="256">
                  <c:v>5.07925</c:v>
                </c:pt>
                <c:pt idx="257">
                  <c:v>5.07925</c:v>
                </c:pt>
                <c:pt idx="258">
                  <c:v>5.07925</c:v>
                </c:pt>
                <c:pt idx="259">
                  <c:v>5.0819799999999997</c:v>
                </c:pt>
                <c:pt idx="260">
                  <c:v>5.0537799999999997</c:v>
                </c:pt>
                <c:pt idx="261">
                  <c:v>5.0590099999999998</c:v>
                </c:pt>
                <c:pt idx="262">
                  <c:v>5.0590099999999998</c:v>
                </c:pt>
                <c:pt idx="263">
                  <c:v>4.9801900000000003</c:v>
                </c:pt>
                <c:pt idx="264">
                  <c:v>4.9738899999999999</c:v>
                </c:pt>
                <c:pt idx="265">
                  <c:v>4.9231199999999999</c:v>
                </c:pt>
                <c:pt idx="266">
                  <c:v>4.8728100000000003</c:v>
                </c:pt>
                <c:pt idx="267">
                  <c:v>4.8415800000000004</c:v>
                </c:pt>
                <c:pt idx="268">
                  <c:v>4.8886200000000004</c:v>
                </c:pt>
                <c:pt idx="269">
                  <c:v>5.0812999999999997</c:v>
                </c:pt>
                <c:pt idx="270">
                  <c:v>5.0308600000000006</c:v>
                </c:pt>
                <c:pt idx="271">
                  <c:v>4.9522500000000003</c:v>
                </c:pt>
                <c:pt idx="272">
                  <c:v>5.0664999999999996</c:v>
                </c:pt>
                <c:pt idx="273">
                  <c:v>5.1124700000000001</c:v>
                </c:pt>
                <c:pt idx="274">
                  <c:v>5.1196200000000003</c:v>
                </c:pt>
                <c:pt idx="275">
                  <c:v>5.0952099999999998</c:v>
                </c:pt>
                <c:pt idx="276">
                  <c:v>4.9213899999999997</c:v>
                </c:pt>
                <c:pt idx="277">
                  <c:v>4.9969600000000005</c:v>
                </c:pt>
                <c:pt idx="278">
                  <c:v>5.0200100000000001</c:v>
                </c:pt>
                <c:pt idx="279">
                  <c:v>5.0190999999999999</c:v>
                </c:pt>
                <c:pt idx="280">
                  <c:v>5.1288</c:v>
                </c:pt>
                <c:pt idx="281">
                  <c:v>5.1455700000000002</c:v>
                </c:pt>
                <c:pt idx="282">
                  <c:v>5.1099100000000002</c:v>
                </c:pt>
                <c:pt idx="283">
                  <c:v>5.1038899999999998</c:v>
                </c:pt>
                <c:pt idx="284">
                  <c:v>4.9963499999999996</c:v>
                </c:pt>
                <c:pt idx="285">
                  <c:v>4.9012799999999999</c:v>
                </c:pt>
                <c:pt idx="286">
                  <c:v>4.7372300000000003</c:v>
                </c:pt>
                <c:pt idx="287">
                  <c:v>4.5703699999999996</c:v>
                </c:pt>
                <c:pt idx="288">
                  <c:v>4.5936200000000005</c:v>
                </c:pt>
                <c:pt idx="289">
                  <c:v>4.6673099999999996</c:v>
                </c:pt>
                <c:pt idx="290">
                  <c:v>4.80708</c:v>
                </c:pt>
                <c:pt idx="291">
                  <c:v>4.7330800000000002</c:v>
                </c:pt>
                <c:pt idx="292">
                  <c:v>4.6970400000000003</c:v>
                </c:pt>
                <c:pt idx="293">
                  <c:v>4.7694799999999997</c:v>
                </c:pt>
                <c:pt idx="294">
                  <c:v>4.8007299999999997</c:v>
                </c:pt>
                <c:pt idx="295">
                  <c:v>4.8910799999999997</c:v>
                </c:pt>
                <c:pt idx="296">
                  <c:v>4.8676500000000003</c:v>
                </c:pt>
                <c:pt idx="297">
                  <c:v>4.8200599999999998</c:v>
                </c:pt>
                <c:pt idx="298">
                  <c:v>5.0470800000000002</c:v>
                </c:pt>
                <c:pt idx="299">
                  <c:v>5.0739800000000006</c:v>
                </c:pt>
                <c:pt idx="300">
                  <c:v>4.9667599999999998</c:v>
                </c:pt>
                <c:pt idx="301">
                  <c:v>4.9741499999999998</c:v>
                </c:pt>
                <c:pt idx="302">
                  <c:v>5.18466</c:v>
                </c:pt>
                <c:pt idx="303">
                  <c:v>5.0719400000000006</c:v>
                </c:pt>
                <c:pt idx="304">
                  <c:v>5.1033200000000001</c:v>
                </c:pt>
                <c:pt idx="305">
                  <c:v>5.1111000000000004</c:v>
                </c:pt>
                <c:pt idx="306">
                  <c:v>5.1988099999999999</c:v>
                </c:pt>
                <c:pt idx="307">
                  <c:v>5.3865400000000001</c:v>
                </c:pt>
                <c:pt idx="308">
                  <c:v>5.5457600000000005</c:v>
                </c:pt>
                <c:pt idx="309">
                  <c:v>5.4950400000000004</c:v>
                </c:pt>
                <c:pt idx="310">
                  <c:v>5.37744</c:v>
                </c:pt>
                <c:pt idx="311">
                  <c:v>5.0605099999999998</c:v>
                </c:pt>
                <c:pt idx="312">
                  <c:v>5.0911599999999995</c:v>
                </c:pt>
                <c:pt idx="313">
                  <c:v>5.0197099999999999</c:v>
                </c:pt>
                <c:pt idx="314">
                  <c:v>4.8956299999999997</c:v>
                </c:pt>
                <c:pt idx="315">
                  <c:v>4.9677999999999995</c:v>
                </c:pt>
                <c:pt idx="316">
                  <c:v>4.9155300000000004</c:v>
                </c:pt>
                <c:pt idx="317">
                  <c:v>4.9598000000000004</c:v>
                </c:pt>
                <c:pt idx="318">
                  <c:v>4.9881900000000003</c:v>
                </c:pt>
                <c:pt idx="319">
                  <c:v>5.02989</c:v>
                </c:pt>
                <c:pt idx="320">
                  <c:v>5.0529599999999997</c:v>
                </c:pt>
                <c:pt idx="321">
                  <c:v>5.0743499999999999</c:v>
                </c:pt>
                <c:pt idx="322">
                  <c:v>5.0417300000000003</c:v>
                </c:pt>
                <c:pt idx="323">
                  <c:v>5.0011399999999995</c:v>
                </c:pt>
                <c:pt idx="324">
                  <c:v>5.15747</c:v>
                </c:pt>
                <c:pt idx="325">
                  <c:v>5.1428899999999995</c:v>
                </c:pt>
                <c:pt idx="326">
                  <c:v>5.3659500000000007</c:v>
                </c:pt>
                <c:pt idx="327">
                  <c:v>5.3659500000000007</c:v>
                </c:pt>
                <c:pt idx="328">
                  <c:v>5.3659500000000007</c:v>
                </c:pt>
                <c:pt idx="329">
                  <c:v>5.67727</c:v>
                </c:pt>
                <c:pt idx="330">
                  <c:v>5.4684799999999996</c:v>
                </c:pt>
                <c:pt idx="331">
                  <c:v>5.4327200000000007</c:v>
                </c:pt>
                <c:pt idx="332">
                  <c:v>5.4865099999999991</c:v>
                </c:pt>
                <c:pt idx="333">
                  <c:v>5.7734400000000008</c:v>
                </c:pt>
                <c:pt idx="334">
                  <c:v>5.7356799999999994</c:v>
                </c:pt>
                <c:pt idx="335">
                  <c:v>5.5313499999999998</c:v>
                </c:pt>
                <c:pt idx="336">
                  <c:v>5.5831799999999996</c:v>
                </c:pt>
                <c:pt idx="337">
                  <c:v>5.4155100000000003</c:v>
                </c:pt>
                <c:pt idx="338">
                  <c:v>5.3755600000000001</c:v>
                </c:pt>
                <c:pt idx="339">
                  <c:v>5.6220399999999993</c:v>
                </c:pt>
                <c:pt idx="340">
                  <c:v>5.6042100000000001</c:v>
                </c:pt>
                <c:pt idx="341">
                  <c:v>5.2774099999999997</c:v>
                </c:pt>
                <c:pt idx="342">
                  <c:v>5.1655699999999998</c:v>
                </c:pt>
                <c:pt idx="343">
                  <c:v>5.2540599999999991</c:v>
                </c:pt>
                <c:pt idx="344">
                  <c:v>5.3006600000000006</c:v>
                </c:pt>
                <c:pt idx="345">
                  <c:v>5.3512699999999995</c:v>
                </c:pt>
                <c:pt idx="346">
                  <c:v>5.3017300000000001</c:v>
                </c:pt>
                <c:pt idx="347">
                  <c:v>5.3374600000000001</c:v>
                </c:pt>
                <c:pt idx="348">
                  <c:v>5.3374600000000001</c:v>
                </c:pt>
                <c:pt idx="349">
                  <c:v>5.4319699999999997</c:v>
                </c:pt>
                <c:pt idx="350">
                  <c:v>5.4020000000000001</c:v>
                </c:pt>
                <c:pt idx="351">
                  <c:v>5.3362099999999995</c:v>
                </c:pt>
                <c:pt idx="352">
                  <c:v>5.1844399999999995</c:v>
                </c:pt>
                <c:pt idx="353">
                  <c:v>5.0683300000000004</c:v>
                </c:pt>
                <c:pt idx="354">
                  <c:v>5.1271199999999997</c:v>
                </c:pt>
                <c:pt idx="355">
                  <c:v>5.1448400000000003</c:v>
                </c:pt>
                <c:pt idx="356">
                  <c:v>5.1679300000000001</c:v>
                </c:pt>
                <c:pt idx="357">
                  <c:v>5.1354300000000004</c:v>
                </c:pt>
                <c:pt idx="358">
                  <c:v>5.11334</c:v>
                </c:pt>
                <c:pt idx="359">
                  <c:v>4.9664200000000003</c:v>
                </c:pt>
                <c:pt idx="360">
                  <c:v>5.0235599999999998</c:v>
                </c:pt>
                <c:pt idx="361">
                  <c:v>4.9110300000000002</c:v>
                </c:pt>
                <c:pt idx="362">
                  <c:v>4.8412899999999999</c:v>
                </c:pt>
                <c:pt idx="363">
                  <c:v>4.7973499999999998</c:v>
                </c:pt>
                <c:pt idx="364">
                  <c:v>4.7838099999999999</c:v>
                </c:pt>
                <c:pt idx="365">
                  <c:v>4.7690700000000001</c:v>
                </c:pt>
                <c:pt idx="366">
                  <c:v>4.7391399999999999</c:v>
                </c:pt>
                <c:pt idx="367">
                  <c:v>4.7424999999999997</c:v>
                </c:pt>
                <c:pt idx="368">
                  <c:v>4.7424999999999997</c:v>
                </c:pt>
                <c:pt idx="369">
                  <c:v>4.6295800000000007</c:v>
                </c:pt>
                <c:pt idx="370">
                  <c:v>4.5903900000000002</c:v>
                </c:pt>
                <c:pt idx="371">
                  <c:v>4.6471100000000005</c:v>
                </c:pt>
                <c:pt idx="372">
                  <c:v>4.7563599999999999</c:v>
                </c:pt>
                <c:pt idx="373">
                  <c:v>4.7199799999999996</c:v>
                </c:pt>
                <c:pt idx="374">
                  <c:v>4.7041000000000004</c:v>
                </c:pt>
                <c:pt idx="375">
                  <c:v>4.6937499999999996</c:v>
                </c:pt>
                <c:pt idx="376">
                  <c:v>4.7207999999999997</c:v>
                </c:pt>
                <c:pt idx="377">
                  <c:v>4.6939200000000003</c:v>
                </c:pt>
                <c:pt idx="378">
                  <c:v>4.7257299999999995</c:v>
                </c:pt>
                <c:pt idx="379">
                  <c:v>4.7840699999999998</c:v>
                </c:pt>
                <c:pt idx="380">
                  <c:v>4.8307799999999999</c:v>
                </c:pt>
                <c:pt idx="381">
                  <c:v>4.88673</c:v>
                </c:pt>
                <c:pt idx="382">
                  <c:v>4.9583599999999999</c:v>
                </c:pt>
                <c:pt idx="383">
                  <c:v>4.9971699999999997</c:v>
                </c:pt>
                <c:pt idx="384">
                  <c:v>5.0846800000000005</c:v>
                </c:pt>
                <c:pt idx="385">
                  <c:v>5.0008800000000004</c:v>
                </c:pt>
                <c:pt idx="386">
                  <c:v>4.9901499999999999</c:v>
                </c:pt>
                <c:pt idx="387">
                  <c:v>4.9323899999999998</c:v>
                </c:pt>
                <c:pt idx="388">
                  <c:v>4.9887600000000001</c:v>
                </c:pt>
                <c:pt idx="389">
                  <c:v>4.9296199999999999</c:v>
                </c:pt>
                <c:pt idx="390">
                  <c:v>4.9396199999999997</c:v>
                </c:pt>
                <c:pt idx="391">
                  <c:v>4.9304800000000002</c:v>
                </c:pt>
                <c:pt idx="392">
                  <c:v>4.9416799999999999</c:v>
                </c:pt>
                <c:pt idx="393">
                  <c:v>4.95627</c:v>
                </c:pt>
                <c:pt idx="394">
                  <c:v>5.0271600000000003</c:v>
                </c:pt>
                <c:pt idx="395">
                  <c:v>5.0520800000000001</c:v>
                </c:pt>
                <c:pt idx="396">
                  <c:v>5.1321099999999999</c:v>
                </c:pt>
                <c:pt idx="397">
                  <c:v>5.02576</c:v>
                </c:pt>
                <c:pt idx="398">
                  <c:v>5.0233100000000004</c:v>
                </c:pt>
                <c:pt idx="399">
                  <c:v>4.9482799999999996</c:v>
                </c:pt>
                <c:pt idx="400">
                  <c:v>4.9971800000000002</c:v>
                </c:pt>
                <c:pt idx="401">
                  <c:v>5.0418099999999999</c:v>
                </c:pt>
                <c:pt idx="402">
                  <c:v>5.0019099999999996</c:v>
                </c:pt>
                <c:pt idx="403">
                  <c:v>5.1928200000000002</c:v>
                </c:pt>
                <c:pt idx="404">
                  <c:v>5.1714000000000002</c:v>
                </c:pt>
                <c:pt idx="405">
                  <c:v>5.0803699999999994</c:v>
                </c:pt>
                <c:pt idx="406">
                  <c:v>5.1314000000000002</c:v>
                </c:pt>
                <c:pt idx="407">
                  <c:v>5.1182400000000001</c:v>
                </c:pt>
                <c:pt idx="408">
                  <c:v>5.1625100000000002</c:v>
                </c:pt>
                <c:pt idx="409">
                  <c:v>5.2919000000000009</c:v>
                </c:pt>
                <c:pt idx="410">
                  <c:v>5.2187800000000006</c:v>
                </c:pt>
                <c:pt idx="411">
                  <c:v>5.12744</c:v>
                </c:pt>
                <c:pt idx="412">
                  <c:v>5.1759500000000003</c:v>
                </c:pt>
                <c:pt idx="413">
                  <c:v>5.1524099999999997</c:v>
                </c:pt>
                <c:pt idx="414">
                  <c:v>5.1097099999999998</c:v>
                </c:pt>
                <c:pt idx="415">
                  <c:v>5.1256500000000003</c:v>
                </c:pt>
                <c:pt idx="416">
                  <c:v>5.0959599999999998</c:v>
                </c:pt>
                <c:pt idx="417">
                  <c:v>5.0424299999999995</c:v>
                </c:pt>
                <c:pt idx="418">
                  <c:v>5.0279300000000005</c:v>
                </c:pt>
                <c:pt idx="419">
                  <c:v>5.0146800000000002</c:v>
                </c:pt>
                <c:pt idx="420">
                  <c:v>5.0407600000000006</c:v>
                </c:pt>
                <c:pt idx="421">
                  <c:v>4.9866799999999998</c:v>
                </c:pt>
                <c:pt idx="422">
                  <c:v>5.0205200000000003</c:v>
                </c:pt>
                <c:pt idx="423">
                  <c:v>5.0651400000000004</c:v>
                </c:pt>
                <c:pt idx="424">
                  <c:v>5.0662400000000005</c:v>
                </c:pt>
                <c:pt idx="425">
                  <c:v>5.0564800000000005</c:v>
                </c:pt>
                <c:pt idx="426">
                  <c:v>5.1216600000000003</c:v>
                </c:pt>
                <c:pt idx="427">
                  <c:v>5.1041100000000004</c:v>
                </c:pt>
                <c:pt idx="428">
                  <c:v>5.07578</c:v>
                </c:pt>
                <c:pt idx="429">
                  <c:v>4.9906299999999995</c:v>
                </c:pt>
                <c:pt idx="430">
                  <c:v>4.8757400000000004</c:v>
                </c:pt>
                <c:pt idx="431">
                  <c:v>4.8764500000000002</c:v>
                </c:pt>
                <c:pt idx="432">
                  <c:v>4.8424300000000002</c:v>
                </c:pt>
                <c:pt idx="433">
                  <c:v>4.8424300000000002</c:v>
                </c:pt>
                <c:pt idx="434">
                  <c:v>4.7328000000000001</c:v>
                </c:pt>
                <c:pt idx="435">
                  <c:v>4.6876100000000003</c:v>
                </c:pt>
                <c:pt idx="436">
                  <c:v>4.6913499999999999</c:v>
                </c:pt>
                <c:pt idx="437">
                  <c:v>4.6532</c:v>
                </c:pt>
                <c:pt idx="438">
                  <c:v>4.6536499999999998</c:v>
                </c:pt>
                <c:pt idx="439">
                  <c:v>4.6818799999999996</c:v>
                </c:pt>
                <c:pt idx="440">
                  <c:v>4.7190799999999999</c:v>
                </c:pt>
                <c:pt idx="441">
                  <c:v>4.8121600000000004</c:v>
                </c:pt>
                <c:pt idx="442">
                  <c:v>4.7393999999999998</c:v>
                </c:pt>
                <c:pt idx="443">
                  <c:v>4.7291100000000004</c:v>
                </c:pt>
                <c:pt idx="444">
                  <c:v>4.7124500000000005</c:v>
                </c:pt>
                <c:pt idx="445">
                  <c:v>4.6179700000000006</c:v>
                </c:pt>
                <c:pt idx="446">
                  <c:v>4.6072300000000004</c:v>
                </c:pt>
                <c:pt idx="447">
                  <c:v>4.6084199999999997</c:v>
                </c:pt>
                <c:pt idx="448">
                  <c:v>4.8056000000000001</c:v>
                </c:pt>
                <c:pt idx="449">
                  <c:v>4.79122</c:v>
                </c:pt>
                <c:pt idx="450">
                  <c:v>4.88103</c:v>
                </c:pt>
                <c:pt idx="451">
                  <c:v>4.8105000000000002</c:v>
                </c:pt>
                <c:pt idx="452">
                  <c:v>4.9838500000000003</c:v>
                </c:pt>
                <c:pt idx="453">
                  <c:v>5.0235099999999999</c:v>
                </c:pt>
                <c:pt idx="454">
                  <c:v>5.10839</c:v>
                </c:pt>
                <c:pt idx="455">
                  <c:v>5.0463699999999996</c:v>
                </c:pt>
                <c:pt idx="456">
                  <c:v>5.1071</c:v>
                </c:pt>
                <c:pt idx="457">
                  <c:v>5.2496499999999999</c:v>
                </c:pt>
                <c:pt idx="458">
                  <c:v>5.3031199999999998</c:v>
                </c:pt>
                <c:pt idx="459">
                  <c:v>5.2992699999999999</c:v>
                </c:pt>
                <c:pt idx="460">
                  <c:v>5.3199199999999998</c:v>
                </c:pt>
                <c:pt idx="461">
                  <c:v>5.1072699999999998</c:v>
                </c:pt>
                <c:pt idx="462">
                  <c:v>5.1035300000000001</c:v>
                </c:pt>
                <c:pt idx="463">
                  <c:v>5.1290999999999993</c:v>
                </c:pt>
                <c:pt idx="464">
                  <c:v>5.1680899999999994</c:v>
                </c:pt>
                <c:pt idx="465">
                  <c:v>5.1129199999999999</c:v>
                </c:pt>
                <c:pt idx="466">
                  <c:v>4.9192399999999994</c:v>
                </c:pt>
                <c:pt idx="467">
                  <c:v>4.8239600000000005</c:v>
                </c:pt>
                <c:pt idx="468">
                  <c:v>4.92136</c:v>
                </c:pt>
                <c:pt idx="469">
                  <c:v>4.8258299999999998</c:v>
                </c:pt>
                <c:pt idx="470">
                  <c:v>4.8652999999999995</c:v>
                </c:pt>
                <c:pt idx="471">
                  <c:v>5.00617</c:v>
                </c:pt>
                <c:pt idx="472">
                  <c:v>5.0859500000000004</c:v>
                </c:pt>
                <c:pt idx="473">
                  <c:v>5.1162700000000001</c:v>
                </c:pt>
                <c:pt idx="474">
                  <c:v>5.0844399999999998</c:v>
                </c:pt>
                <c:pt idx="475">
                  <c:v>5.2014499999999995</c:v>
                </c:pt>
                <c:pt idx="476">
                  <c:v>5.1646600000000005</c:v>
                </c:pt>
                <c:pt idx="477">
                  <c:v>5.2404200000000003</c:v>
                </c:pt>
                <c:pt idx="478">
                  <c:v>5.3001800000000001</c:v>
                </c:pt>
                <c:pt idx="479">
                  <c:v>5.4556899999999997</c:v>
                </c:pt>
                <c:pt idx="480">
                  <c:v>5.48285</c:v>
                </c:pt>
                <c:pt idx="481">
                  <c:v>5.5955600000000008</c:v>
                </c:pt>
                <c:pt idx="482">
                  <c:v>5.29237</c:v>
                </c:pt>
                <c:pt idx="483">
                  <c:v>5.1375300000000008</c:v>
                </c:pt>
                <c:pt idx="484">
                  <c:v>5.2878499999999997</c:v>
                </c:pt>
                <c:pt idx="485">
                  <c:v>5.2263800000000007</c:v>
                </c:pt>
                <c:pt idx="486">
                  <c:v>5.3382100000000001</c:v>
                </c:pt>
                <c:pt idx="487">
                  <c:v>5.5477099999999995</c:v>
                </c:pt>
                <c:pt idx="488">
                  <c:v>5.7400500000000001</c:v>
                </c:pt>
                <c:pt idx="489">
                  <c:v>5.9005799999999997</c:v>
                </c:pt>
                <c:pt idx="490">
                  <c:v>5.8021799999999999</c:v>
                </c:pt>
                <c:pt idx="491">
                  <c:v>5.6826999999999996</c:v>
                </c:pt>
                <c:pt idx="492">
                  <c:v>5.7746400000000007</c:v>
                </c:pt>
                <c:pt idx="493">
                  <c:v>6.2071000000000005</c:v>
                </c:pt>
                <c:pt idx="494">
                  <c:v>6.3858199999999998</c:v>
                </c:pt>
                <c:pt idx="495">
                  <c:v>6.3604999999999992</c:v>
                </c:pt>
                <c:pt idx="496">
                  <c:v>6.5120000000000005</c:v>
                </c:pt>
                <c:pt idx="497">
                  <c:v>6.8724999999999996</c:v>
                </c:pt>
                <c:pt idx="498">
                  <c:v>6.82775</c:v>
                </c:pt>
                <c:pt idx="499">
                  <c:v>6.7225699999999993</c:v>
                </c:pt>
                <c:pt idx="500">
                  <c:v>6.5128899999999996</c:v>
                </c:pt>
                <c:pt idx="501">
                  <c:v>6.3607800000000001</c:v>
                </c:pt>
                <c:pt idx="502">
                  <c:v>6.4611300000000007</c:v>
                </c:pt>
                <c:pt idx="503">
                  <c:v>6.4959400000000009</c:v>
                </c:pt>
                <c:pt idx="504">
                  <c:v>6.4279600000000006</c:v>
                </c:pt>
                <c:pt idx="505">
                  <c:v>6.4569100000000006</c:v>
                </c:pt>
                <c:pt idx="506">
                  <c:v>6.5068100000000006</c:v>
                </c:pt>
                <c:pt idx="507">
                  <c:v>6.5423400000000003</c:v>
                </c:pt>
                <c:pt idx="508">
                  <c:v>6.6322200000000002</c:v>
                </c:pt>
                <c:pt idx="509">
                  <c:v>7.01715</c:v>
                </c:pt>
                <c:pt idx="510">
                  <c:v>7.1738</c:v>
                </c:pt>
                <c:pt idx="511">
                  <c:v>7.2924800000000003</c:v>
                </c:pt>
                <c:pt idx="512">
                  <c:v>7.6903599999999992</c:v>
                </c:pt>
                <c:pt idx="513">
                  <c:v>7.88246</c:v>
                </c:pt>
                <c:pt idx="514">
                  <c:v>7.93058</c:v>
                </c:pt>
                <c:pt idx="515">
                  <c:v>8.0064700000000002</c:v>
                </c:pt>
                <c:pt idx="516">
                  <c:v>7.91106</c:v>
                </c:pt>
                <c:pt idx="517">
                  <c:v>7.8783900000000004</c:v>
                </c:pt>
                <c:pt idx="518">
                  <c:v>7.8783900000000004</c:v>
                </c:pt>
                <c:pt idx="519">
                  <c:v>7.8783900000000004</c:v>
                </c:pt>
                <c:pt idx="520">
                  <c:v>7.8815499999999998</c:v>
                </c:pt>
                <c:pt idx="521">
                  <c:v>7.9780999999999995</c:v>
                </c:pt>
                <c:pt idx="522">
                  <c:v>7.9651999999999994</c:v>
                </c:pt>
                <c:pt idx="523">
                  <c:v>7.9651999999999994</c:v>
                </c:pt>
                <c:pt idx="524">
                  <c:v>8.1129800000000003</c:v>
                </c:pt>
                <c:pt idx="525">
                  <c:v>8.1650500000000008</c:v>
                </c:pt>
                <c:pt idx="526">
                  <c:v>8.2874400000000001</c:v>
                </c:pt>
                <c:pt idx="527">
                  <c:v>8.3091299999999997</c:v>
                </c:pt>
                <c:pt idx="528">
                  <c:v>8.7215100000000003</c:v>
                </c:pt>
                <c:pt idx="529">
                  <c:v>8.2923600000000004</c:v>
                </c:pt>
                <c:pt idx="530">
                  <c:v>8.4102599999999992</c:v>
                </c:pt>
                <c:pt idx="531">
                  <c:v>9.5308100000000007</c:v>
                </c:pt>
                <c:pt idx="532">
                  <c:v>10.56912</c:v>
                </c:pt>
                <c:pt idx="533">
                  <c:v>11.50675</c:v>
                </c:pt>
                <c:pt idx="534">
                  <c:v>11.25099</c:v>
                </c:pt>
                <c:pt idx="535">
                  <c:v>10.34459</c:v>
                </c:pt>
                <c:pt idx="536">
                  <c:v>10.241790000000002</c:v>
                </c:pt>
                <c:pt idx="537">
                  <c:v>9.9356399999999994</c:v>
                </c:pt>
                <c:pt idx="538">
                  <c:v>10.824010000000001</c:v>
                </c:pt>
                <c:pt idx="539">
                  <c:v>11.1844</c:v>
                </c:pt>
                <c:pt idx="540">
                  <c:v>10.65682</c:v>
                </c:pt>
                <c:pt idx="541">
                  <c:v>9.6880799999999994</c:v>
                </c:pt>
                <c:pt idx="542">
                  <c:v>9.5426900000000003</c:v>
                </c:pt>
                <c:pt idx="543">
                  <c:v>9.2182300000000001</c:v>
                </c:pt>
                <c:pt idx="544">
                  <c:v>9.1287300000000009</c:v>
                </c:pt>
                <c:pt idx="545">
                  <c:v>8.9342399999999991</c:v>
                </c:pt>
                <c:pt idx="546">
                  <c:v>8.9900500000000001</c:v>
                </c:pt>
                <c:pt idx="547">
                  <c:v>8.881079999999999</c:v>
                </c:pt>
                <c:pt idx="548">
                  <c:v>8.9018700000000006</c:v>
                </c:pt>
                <c:pt idx="549">
                  <c:v>8.8059200000000004</c:v>
                </c:pt>
                <c:pt idx="550">
                  <c:v>8.6479600000000012</c:v>
                </c:pt>
                <c:pt idx="551">
                  <c:v>8.6408299999999993</c:v>
                </c:pt>
                <c:pt idx="552">
                  <c:v>9.3833000000000002</c:v>
                </c:pt>
                <c:pt idx="553">
                  <c:v>10.10825</c:v>
                </c:pt>
                <c:pt idx="554">
                  <c:v>9.3788099999999996</c:v>
                </c:pt>
                <c:pt idx="555">
                  <c:v>9.0054300000000005</c:v>
                </c:pt>
                <c:pt idx="556">
                  <c:v>9.9151100000000003</c:v>
                </c:pt>
                <c:pt idx="557">
                  <c:v>10.27829</c:v>
                </c:pt>
                <c:pt idx="558">
                  <c:v>10.878160000000001</c:v>
                </c:pt>
                <c:pt idx="559">
                  <c:v>11.616810000000001</c:v>
                </c:pt>
                <c:pt idx="560">
                  <c:v>14.51301</c:v>
                </c:pt>
                <c:pt idx="561">
                  <c:v>30.255279999999999</c:v>
                </c:pt>
                <c:pt idx="562">
                  <c:v>24.267710000000001</c:v>
                </c:pt>
                <c:pt idx="563">
                  <c:v>33.253799999999998</c:v>
                </c:pt>
                <c:pt idx="564">
                  <c:v>36.120359999999998</c:v>
                </c:pt>
                <c:pt idx="565">
                  <c:v>42.483710000000002</c:v>
                </c:pt>
                <c:pt idx="566">
                  <c:v>43.386949999999999</c:v>
                </c:pt>
                <c:pt idx="567">
                  <c:v>51.81888</c:v>
                </c:pt>
                <c:pt idx="568">
                  <c:v>51.672420000000002</c:v>
                </c:pt>
                <c:pt idx="569">
                  <c:v>46.179589999999997</c:v>
                </c:pt>
                <c:pt idx="570">
                  <c:v>38.139920000000004</c:v>
                </c:pt>
                <c:pt idx="571">
                  <c:v>40.59131</c:v>
                </c:pt>
                <c:pt idx="572">
                  <c:v>38.918039999999998</c:v>
                </c:pt>
                <c:pt idx="573">
                  <c:v>37.852959999999996</c:v>
                </c:pt>
                <c:pt idx="574">
                  <c:v>37.31662</c:v>
                </c:pt>
                <c:pt idx="575">
                  <c:v>29.481719999999999</c:v>
                </c:pt>
                <c:pt idx="576">
                  <c:v>30.956</c:v>
                </c:pt>
                <c:pt idx="577">
                  <c:v>31.671849999999999</c:v>
                </c:pt>
                <c:pt idx="578">
                  <c:v>32.176140000000004</c:v>
                </c:pt>
                <c:pt idx="579">
                  <c:v>32.472189999999998</c:v>
                </c:pt>
                <c:pt idx="580">
                  <c:v>32.718989999999998</c:v>
                </c:pt>
                <c:pt idx="581">
                  <c:v>33.0212</c:v>
                </c:pt>
                <c:pt idx="582">
                  <c:v>31.170859999999998</c:v>
                </c:pt>
                <c:pt idx="583">
                  <c:v>29.674850000000003</c:v>
                </c:pt>
                <c:pt idx="584">
                  <c:v>25.553699999999999</c:v>
                </c:pt>
                <c:pt idx="585">
                  <c:v>27.36965</c:v>
                </c:pt>
                <c:pt idx="586">
                  <c:v>27.616190000000003</c:v>
                </c:pt>
                <c:pt idx="587">
                  <c:v>27.585050000000003</c:v>
                </c:pt>
                <c:pt idx="588">
                  <c:v>27.528400000000001</c:v>
                </c:pt>
                <c:pt idx="589">
                  <c:v>27.894200000000001</c:v>
                </c:pt>
                <c:pt idx="590">
                  <c:v>28.899090000000001</c:v>
                </c:pt>
                <c:pt idx="591">
                  <c:v>29.217600000000001</c:v>
                </c:pt>
                <c:pt idx="592">
                  <c:v>28.799870000000002</c:v>
                </c:pt>
                <c:pt idx="593">
                  <c:v>29.476979999999998</c:v>
                </c:pt>
                <c:pt idx="594">
                  <c:v>30.249479999999998</c:v>
                </c:pt>
                <c:pt idx="595">
                  <c:v>31.454930000000001</c:v>
                </c:pt>
                <c:pt idx="596">
                  <c:v>31.58315</c:v>
                </c:pt>
                <c:pt idx="597">
                  <c:v>31.58315</c:v>
                </c:pt>
                <c:pt idx="598">
                  <c:v>31.58315</c:v>
                </c:pt>
                <c:pt idx="599">
                  <c:v>32.612589999999997</c:v>
                </c:pt>
                <c:pt idx="600">
                  <c:v>33.384499999999996</c:v>
                </c:pt>
                <c:pt idx="601">
                  <c:v>33.214709999999997</c:v>
                </c:pt>
                <c:pt idx="602">
                  <c:v>33.587939999999996</c:v>
                </c:pt>
                <c:pt idx="603">
                  <c:v>33.849209999999999</c:v>
                </c:pt>
                <c:pt idx="604">
                  <c:v>34.756030000000003</c:v>
                </c:pt>
                <c:pt idx="605">
                  <c:v>35.002690000000001</c:v>
                </c:pt>
                <c:pt idx="606">
                  <c:v>34.577919999999999</c:v>
                </c:pt>
                <c:pt idx="607">
                  <c:v>34.880040000000001</c:v>
                </c:pt>
                <c:pt idx="608">
                  <c:v>34.880040000000001</c:v>
                </c:pt>
                <c:pt idx="609">
                  <c:v>34.13597</c:v>
                </c:pt>
                <c:pt idx="610">
                  <c:v>33.584710000000001</c:v>
                </c:pt>
                <c:pt idx="611">
                  <c:v>32.824550000000002</c:v>
                </c:pt>
                <c:pt idx="612">
                  <c:v>32.887700000000002</c:v>
                </c:pt>
                <c:pt idx="613">
                  <c:v>32.975659999999998</c:v>
                </c:pt>
                <c:pt idx="614">
                  <c:v>32.614519999999999</c:v>
                </c:pt>
                <c:pt idx="615">
                  <c:v>31.435569999999998</c:v>
                </c:pt>
                <c:pt idx="616">
                  <c:v>31.566170000000003</c:v>
                </c:pt>
                <c:pt idx="617">
                  <c:v>31.636869999999998</c:v>
                </c:pt>
                <c:pt idx="618">
                  <c:v>31.572649999999999</c:v>
                </c:pt>
                <c:pt idx="619">
                  <c:v>30.710030000000003</c:v>
                </c:pt>
                <c:pt idx="620">
                  <c:v>28.180320000000002</c:v>
                </c:pt>
                <c:pt idx="621">
                  <c:v>28.874969999999998</c:v>
                </c:pt>
                <c:pt idx="622">
                  <c:v>28.777699999999999</c:v>
                </c:pt>
                <c:pt idx="623">
                  <c:v>29.202579999999998</c:v>
                </c:pt>
                <c:pt idx="624">
                  <c:v>29.886239999999997</c:v>
                </c:pt>
                <c:pt idx="625">
                  <c:v>29.93563</c:v>
                </c:pt>
                <c:pt idx="626">
                  <c:v>30.01906</c:v>
                </c:pt>
                <c:pt idx="627">
                  <c:v>29.987359999999999</c:v>
                </c:pt>
                <c:pt idx="628">
                  <c:v>30.003209999999999</c:v>
                </c:pt>
                <c:pt idx="629">
                  <c:v>30.339029999999998</c:v>
                </c:pt>
                <c:pt idx="630">
                  <c:v>30.354150000000001</c:v>
                </c:pt>
                <c:pt idx="631">
                  <c:v>30.354150000000001</c:v>
                </c:pt>
                <c:pt idx="632">
                  <c:v>30.354150000000001</c:v>
                </c:pt>
                <c:pt idx="633">
                  <c:v>30.190380000000001</c:v>
                </c:pt>
                <c:pt idx="634">
                  <c:v>30.530540000000002</c:v>
                </c:pt>
                <c:pt idx="635">
                  <c:v>31.180019999999999</c:v>
                </c:pt>
                <c:pt idx="636">
                  <c:v>31.498350000000002</c:v>
                </c:pt>
                <c:pt idx="637">
                  <c:v>31.639150000000001</c:v>
                </c:pt>
                <c:pt idx="638">
                  <c:v>32.707630000000002</c:v>
                </c:pt>
                <c:pt idx="639">
                  <c:v>33.208040000000004</c:v>
                </c:pt>
                <c:pt idx="640">
                  <c:v>33.796010000000003</c:v>
                </c:pt>
                <c:pt idx="641">
                  <c:v>34.635559999999998</c:v>
                </c:pt>
                <c:pt idx="642">
                  <c:v>35.219569999999997</c:v>
                </c:pt>
                <c:pt idx="643">
                  <c:v>35.194899999999997</c:v>
                </c:pt>
                <c:pt idx="644">
                  <c:v>35.712649999999996</c:v>
                </c:pt>
                <c:pt idx="645">
                  <c:v>36.395890000000001</c:v>
                </c:pt>
                <c:pt idx="646">
                  <c:v>38.865830000000003</c:v>
                </c:pt>
                <c:pt idx="647">
                  <c:v>39.8202</c:v>
                </c:pt>
                <c:pt idx="648">
                  <c:v>40.89667</c:v>
                </c:pt>
                <c:pt idx="649">
                  <c:v>42.408860000000004</c:v>
                </c:pt>
                <c:pt idx="650">
                  <c:v>43.369499999999995</c:v>
                </c:pt>
                <c:pt idx="651">
                  <c:v>44.851869999999998</c:v>
                </c:pt>
                <c:pt idx="652">
                  <c:v>43.812889999999996</c:v>
                </c:pt>
                <c:pt idx="653">
                  <c:v>44.365810000000003</c:v>
                </c:pt>
                <c:pt idx="654">
                  <c:v>45.299769999999995</c:v>
                </c:pt>
                <c:pt idx="655">
                  <c:v>46.26446</c:v>
                </c:pt>
                <c:pt idx="656">
                  <c:v>48.476189999999995</c:v>
                </c:pt>
                <c:pt idx="657">
                  <c:v>51.01867</c:v>
                </c:pt>
                <c:pt idx="658">
                  <c:v>53.511470000000003</c:v>
                </c:pt>
                <c:pt idx="659">
                  <c:v>53.724700000000006</c:v>
                </c:pt>
                <c:pt idx="660">
                  <c:v>62.862760000000002</c:v>
                </c:pt>
                <c:pt idx="661">
                  <c:v>58.318810000000006</c:v>
                </c:pt>
                <c:pt idx="662">
                  <c:v>55.999129999999994</c:v>
                </c:pt>
                <c:pt idx="663">
                  <c:v>53.598030000000001</c:v>
                </c:pt>
                <c:pt idx="664">
                  <c:v>59.0792</c:v>
                </c:pt>
                <c:pt idx="665">
                  <c:v>58.320039999999999</c:v>
                </c:pt>
                <c:pt idx="666">
                  <c:v>57.22204</c:v>
                </c:pt>
                <c:pt idx="667">
                  <c:v>54.063389999999998</c:v>
                </c:pt>
                <c:pt idx="668">
                  <c:v>53.067309999999999</c:v>
                </c:pt>
                <c:pt idx="669">
                  <c:v>54.4253</c:v>
                </c:pt>
                <c:pt idx="670">
                  <c:v>54.589320000000001</c:v>
                </c:pt>
                <c:pt idx="671">
                  <c:v>54.355269999999997</c:v>
                </c:pt>
                <c:pt idx="672">
                  <c:v>54.411700000000003</c:v>
                </c:pt>
                <c:pt idx="673">
                  <c:v>54.655630000000002</c:v>
                </c:pt>
                <c:pt idx="674">
                  <c:v>55.607500000000002</c:v>
                </c:pt>
                <c:pt idx="675">
                  <c:v>57.159440000000004</c:v>
                </c:pt>
                <c:pt idx="676">
                  <c:v>57.898220000000002</c:v>
                </c:pt>
                <c:pt idx="677">
                  <c:v>58.410130000000002</c:v>
                </c:pt>
                <c:pt idx="678">
                  <c:v>58.316279999999999</c:v>
                </c:pt>
                <c:pt idx="679">
                  <c:v>56.810540000000003</c:v>
                </c:pt>
                <c:pt idx="680">
                  <c:v>54.156639999999996</c:v>
                </c:pt>
                <c:pt idx="681">
                  <c:v>51.794830000000005</c:v>
                </c:pt>
                <c:pt idx="682">
                  <c:v>39.142249999999997</c:v>
                </c:pt>
                <c:pt idx="683">
                  <c:v>40.957700000000003</c:v>
                </c:pt>
                <c:pt idx="684">
                  <c:v>29.335799999999999</c:v>
                </c:pt>
                <c:pt idx="685">
                  <c:v>29.536069999999999</c:v>
                </c:pt>
                <c:pt idx="686">
                  <c:v>28.707220000000003</c:v>
                </c:pt>
                <c:pt idx="687">
                  <c:v>29.507190000000001</c:v>
                </c:pt>
                <c:pt idx="688">
                  <c:v>30.627489999999998</c:v>
                </c:pt>
                <c:pt idx="689">
                  <c:v>30.410520000000002</c:v>
                </c:pt>
                <c:pt idx="690">
                  <c:v>30.952030000000001</c:v>
                </c:pt>
                <c:pt idx="691">
                  <c:v>29.343789999999998</c:v>
                </c:pt>
                <c:pt idx="692">
                  <c:v>31.73978</c:v>
                </c:pt>
                <c:pt idx="693">
                  <c:v>31.73978</c:v>
                </c:pt>
                <c:pt idx="694">
                  <c:v>31.99634</c:v>
                </c:pt>
                <c:pt idx="695">
                  <c:v>32.839599999999997</c:v>
                </c:pt>
                <c:pt idx="696">
                  <c:v>34.427080000000004</c:v>
                </c:pt>
                <c:pt idx="697">
                  <c:v>32.904130000000002</c:v>
                </c:pt>
                <c:pt idx="698">
                  <c:v>32.699190000000002</c:v>
                </c:pt>
                <c:pt idx="699">
                  <c:v>32.451810000000002</c:v>
                </c:pt>
                <c:pt idx="700">
                  <c:v>34.293750000000003</c:v>
                </c:pt>
                <c:pt idx="701">
                  <c:v>32.019460000000002</c:v>
                </c:pt>
                <c:pt idx="702">
                  <c:v>32.211599999999997</c:v>
                </c:pt>
                <c:pt idx="703">
                  <c:v>32.239220000000003</c:v>
                </c:pt>
                <c:pt idx="704">
                  <c:v>31.91086</c:v>
                </c:pt>
                <c:pt idx="705">
                  <c:v>32.337689999999995</c:v>
                </c:pt>
                <c:pt idx="706">
                  <c:v>30.682570000000002</c:v>
                </c:pt>
                <c:pt idx="707">
                  <c:v>31.26632</c:v>
                </c:pt>
                <c:pt idx="708">
                  <c:v>31.26632</c:v>
                </c:pt>
                <c:pt idx="709">
                  <c:v>31.03303</c:v>
                </c:pt>
                <c:pt idx="710">
                  <c:v>33.098570000000002</c:v>
                </c:pt>
                <c:pt idx="711">
                  <c:v>33.528620000000004</c:v>
                </c:pt>
                <c:pt idx="712">
                  <c:v>32.385979999999996</c:v>
                </c:pt>
                <c:pt idx="713">
                  <c:v>33.258240000000001</c:v>
                </c:pt>
                <c:pt idx="714">
                  <c:v>34.101300000000002</c:v>
                </c:pt>
                <c:pt idx="715">
                  <c:v>33.275729999999996</c:v>
                </c:pt>
                <c:pt idx="716">
                  <c:v>32.684089999999998</c:v>
                </c:pt>
                <c:pt idx="717">
                  <c:v>32.624279999999999</c:v>
                </c:pt>
                <c:pt idx="718">
                  <c:v>32.881219999999999</c:v>
                </c:pt>
                <c:pt idx="719">
                  <c:v>35.628219999999999</c:v>
                </c:pt>
                <c:pt idx="720">
                  <c:v>35.306519999999999</c:v>
                </c:pt>
                <c:pt idx="721">
                  <c:v>34.09937</c:v>
                </c:pt>
                <c:pt idx="722">
                  <c:v>35.365400000000001</c:v>
                </c:pt>
                <c:pt idx="723">
                  <c:v>33.586770000000001</c:v>
                </c:pt>
                <c:pt idx="724">
                  <c:v>36.779820000000001</c:v>
                </c:pt>
                <c:pt idx="725">
                  <c:v>36.726869999999998</c:v>
                </c:pt>
                <c:pt idx="726">
                  <c:v>36.814689999999999</c:v>
                </c:pt>
                <c:pt idx="727">
                  <c:v>37.70617</c:v>
                </c:pt>
                <c:pt idx="728">
                  <c:v>37.243519999999997</c:v>
                </c:pt>
                <c:pt idx="729">
                  <c:v>35.727420000000002</c:v>
                </c:pt>
                <c:pt idx="730">
                  <c:v>35.800719999999998</c:v>
                </c:pt>
                <c:pt idx="731">
                  <c:v>35.594070000000002</c:v>
                </c:pt>
                <c:pt idx="732">
                  <c:v>35.418500000000002</c:v>
                </c:pt>
                <c:pt idx="733">
                  <c:v>37.243789999999997</c:v>
                </c:pt>
                <c:pt idx="734">
                  <c:v>36.728380000000001</c:v>
                </c:pt>
                <c:pt idx="735">
                  <c:v>38.35615</c:v>
                </c:pt>
                <c:pt idx="736">
                  <c:v>36.540520000000001</c:v>
                </c:pt>
                <c:pt idx="737">
                  <c:v>35.720939999999999</c:v>
                </c:pt>
                <c:pt idx="738">
                  <c:v>36.988239999999998</c:v>
                </c:pt>
                <c:pt idx="739">
                  <c:v>38.72936</c:v>
                </c:pt>
                <c:pt idx="740">
                  <c:v>39.388570000000001</c:v>
                </c:pt>
                <c:pt idx="741">
                  <c:v>39.146190000000004</c:v>
                </c:pt>
                <c:pt idx="742">
                  <c:v>40.028449999999999</c:v>
                </c:pt>
                <c:pt idx="743">
                  <c:v>39.052300000000002</c:v>
                </c:pt>
                <c:pt idx="744">
                  <c:v>38.094369999999998</c:v>
                </c:pt>
                <c:pt idx="745">
                  <c:v>37.094999999999999</c:v>
                </c:pt>
                <c:pt idx="746">
                  <c:v>35.651229999999998</c:v>
                </c:pt>
                <c:pt idx="747">
                  <c:v>34.20478</c:v>
                </c:pt>
                <c:pt idx="748">
                  <c:v>33.281869999999998</c:v>
                </c:pt>
                <c:pt idx="749">
                  <c:v>32.010189999999994</c:v>
                </c:pt>
                <c:pt idx="750">
                  <c:v>32.405940000000001</c:v>
                </c:pt>
                <c:pt idx="751">
                  <c:v>32.140709999999999</c:v>
                </c:pt>
                <c:pt idx="752">
                  <c:v>33.837710000000001</c:v>
                </c:pt>
                <c:pt idx="753">
                  <c:v>32.810459999999999</c:v>
                </c:pt>
                <c:pt idx="754">
                  <c:v>32.206310000000002</c:v>
                </c:pt>
                <c:pt idx="755">
                  <c:v>33.921680000000002</c:v>
                </c:pt>
                <c:pt idx="756">
                  <c:v>32.255830000000003</c:v>
                </c:pt>
                <c:pt idx="757">
                  <c:v>32.255830000000003</c:v>
                </c:pt>
                <c:pt idx="758">
                  <c:v>33.298400000000001</c:v>
                </c:pt>
                <c:pt idx="759">
                  <c:v>33.63711</c:v>
                </c:pt>
                <c:pt idx="760">
                  <c:v>32.547379999999997</c:v>
                </c:pt>
                <c:pt idx="761">
                  <c:v>34.94567</c:v>
                </c:pt>
                <c:pt idx="762">
                  <c:v>32.939810000000001</c:v>
                </c:pt>
                <c:pt idx="763">
                  <c:v>34.420400000000001</c:v>
                </c:pt>
                <c:pt idx="764">
                  <c:v>34.023260000000001</c:v>
                </c:pt>
                <c:pt idx="765">
                  <c:v>35.034689999999998</c:v>
                </c:pt>
                <c:pt idx="766">
                  <c:v>33.770420000000001</c:v>
                </c:pt>
                <c:pt idx="767">
                  <c:v>35.556039999999996</c:v>
                </c:pt>
                <c:pt idx="768">
                  <c:v>33.181129999999996</c:v>
                </c:pt>
                <c:pt idx="769">
                  <c:v>35.220019999999998</c:v>
                </c:pt>
                <c:pt idx="770">
                  <c:v>32.54318</c:v>
                </c:pt>
                <c:pt idx="771">
                  <c:v>34.905479999999997</c:v>
                </c:pt>
                <c:pt idx="772">
                  <c:v>36.534689999999998</c:v>
                </c:pt>
                <c:pt idx="773">
                  <c:v>35.204000000000001</c:v>
                </c:pt>
                <c:pt idx="774">
                  <c:v>35.545970000000004</c:v>
                </c:pt>
                <c:pt idx="775">
                  <c:v>35.707810000000002</c:v>
                </c:pt>
                <c:pt idx="776">
                  <c:v>35.486809999999998</c:v>
                </c:pt>
                <c:pt idx="777">
                  <c:v>34.897890000000004</c:v>
                </c:pt>
                <c:pt idx="778">
                  <c:v>34.897890000000004</c:v>
                </c:pt>
                <c:pt idx="779">
                  <c:v>34.897890000000004</c:v>
                </c:pt>
                <c:pt idx="780">
                  <c:v>36.160629999999998</c:v>
                </c:pt>
                <c:pt idx="781">
                  <c:v>34.928539999999998</c:v>
                </c:pt>
                <c:pt idx="782">
                  <c:v>37.003320000000002</c:v>
                </c:pt>
                <c:pt idx="783">
                  <c:v>37.003320000000002</c:v>
                </c:pt>
                <c:pt idx="784">
                  <c:v>34.679299999999998</c:v>
                </c:pt>
                <c:pt idx="785">
                  <c:v>37.16883</c:v>
                </c:pt>
                <c:pt idx="786">
                  <c:v>37.790909999999997</c:v>
                </c:pt>
                <c:pt idx="787">
                  <c:v>37.930979999999998</c:v>
                </c:pt>
                <c:pt idx="788">
                  <c:v>36.373290000000004</c:v>
                </c:pt>
                <c:pt idx="789">
                  <c:v>37.265990000000002</c:v>
                </c:pt>
                <c:pt idx="790">
                  <c:v>37.249839999999999</c:v>
                </c:pt>
                <c:pt idx="791">
                  <c:v>38.38841</c:v>
                </c:pt>
                <c:pt idx="792">
                  <c:v>35.809600000000003</c:v>
                </c:pt>
                <c:pt idx="793">
                  <c:v>36.437049999999999</c:v>
                </c:pt>
                <c:pt idx="794">
                  <c:v>37.713650000000001</c:v>
                </c:pt>
                <c:pt idx="795">
                  <c:v>37.84346</c:v>
                </c:pt>
                <c:pt idx="796">
                  <c:v>37.51435</c:v>
                </c:pt>
                <c:pt idx="797">
                  <c:v>37.740290000000002</c:v>
                </c:pt>
                <c:pt idx="798">
                  <c:v>37.233989999999999</c:v>
                </c:pt>
                <c:pt idx="799">
                  <c:v>35.07779</c:v>
                </c:pt>
                <c:pt idx="800">
                  <c:v>35.387840000000004</c:v>
                </c:pt>
                <c:pt idx="801">
                  <c:v>37.156950000000002</c:v>
                </c:pt>
                <c:pt idx="802">
                  <c:v>35.159680000000002</c:v>
                </c:pt>
                <c:pt idx="803">
                  <c:v>36.719740000000002</c:v>
                </c:pt>
                <c:pt idx="804">
                  <c:v>37.491819999999997</c:v>
                </c:pt>
                <c:pt idx="805">
                  <c:v>36.85989</c:v>
                </c:pt>
                <c:pt idx="806">
                  <c:v>37.591950000000004</c:v>
                </c:pt>
                <c:pt idx="807">
                  <c:v>38.160359999999997</c:v>
                </c:pt>
                <c:pt idx="808">
                  <c:v>35.058430000000001</c:v>
                </c:pt>
                <c:pt idx="809">
                  <c:v>37.640900000000002</c:v>
                </c:pt>
                <c:pt idx="810">
                  <c:v>38.38908</c:v>
                </c:pt>
                <c:pt idx="811">
                  <c:v>38.890160000000002</c:v>
                </c:pt>
                <c:pt idx="812">
                  <c:v>39.504550000000002</c:v>
                </c:pt>
                <c:pt idx="813">
                  <c:v>38.610399999999998</c:v>
                </c:pt>
                <c:pt idx="814">
                  <c:v>40.553280000000001</c:v>
                </c:pt>
                <c:pt idx="815">
                  <c:v>40.842950000000002</c:v>
                </c:pt>
                <c:pt idx="816">
                  <c:v>40.525959999999998</c:v>
                </c:pt>
                <c:pt idx="817">
                  <c:v>40.292249999999996</c:v>
                </c:pt>
                <c:pt idx="818">
                  <c:v>40.383240000000001</c:v>
                </c:pt>
                <c:pt idx="819">
                  <c:v>41.555110000000006</c:v>
                </c:pt>
                <c:pt idx="820">
                  <c:v>39.023319999999998</c:v>
                </c:pt>
                <c:pt idx="821">
                  <c:v>41.377120000000005</c:v>
                </c:pt>
                <c:pt idx="822">
                  <c:v>41.040110000000006</c:v>
                </c:pt>
                <c:pt idx="823">
                  <c:v>39.593850000000003</c:v>
                </c:pt>
                <c:pt idx="824">
                  <c:v>40.752829999999996</c:v>
                </c:pt>
                <c:pt idx="825">
                  <c:v>42.465299999999999</c:v>
                </c:pt>
                <c:pt idx="826">
                  <c:v>42.14884</c:v>
                </c:pt>
                <c:pt idx="827">
                  <c:v>41.408230000000003</c:v>
                </c:pt>
                <c:pt idx="828">
                  <c:v>41.728580000000001</c:v>
                </c:pt>
                <c:pt idx="829">
                  <c:v>41.681999999999995</c:v>
                </c:pt>
                <c:pt idx="830">
                  <c:v>41.331049999999998</c:v>
                </c:pt>
                <c:pt idx="831">
                  <c:v>42.641589999999994</c:v>
                </c:pt>
                <c:pt idx="832">
                  <c:v>41.89452</c:v>
                </c:pt>
                <c:pt idx="833">
                  <c:v>43.499970000000005</c:v>
                </c:pt>
                <c:pt idx="834">
                  <c:v>43.040150000000004</c:v>
                </c:pt>
                <c:pt idx="835">
                  <c:v>43.718909999999994</c:v>
                </c:pt>
                <c:pt idx="836">
                  <c:v>41.825020000000002</c:v>
                </c:pt>
                <c:pt idx="837">
                  <c:v>44.2089</c:v>
                </c:pt>
                <c:pt idx="838">
                  <c:v>44.050429999999999</c:v>
                </c:pt>
                <c:pt idx="839">
                  <c:v>40.228609999999996</c:v>
                </c:pt>
                <c:pt idx="840">
                  <c:v>43.921049999999994</c:v>
                </c:pt>
                <c:pt idx="841">
                  <c:v>42.746180000000003</c:v>
                </c:pt>
                <c:pt idx="842">
                  <c:v>42.307319999999997</c:v>
                </c:pt>
                <c:pt idx="843">
                  <c:v>42.948819999999998</c:v>
                </c:pt>
                <c:pt idx="844">
                  <c:v>43.802399999999999</c:v>
                </c:pt>
                <c:pt idx="845">
                  <c:v>40.967340000000007</c:v>
                </c:pt>
                <c:pt idx="846">
                  <c:v>43.477820000000001</c:v>
                </c:pt>
                <c:pt idx="847">
                  <c:v>42.850069999999995</c:v>
                </c:pt>
                <c:pt idx="848">
                  <c:v>42.038280000000007</c:v>
                </c:pt>
                <c:pt idx="849">
                  <c:v>44.073129999999999</c:v>
                </c:pt>
                <c:pt idx="850">
                  <c:v>40.392289999999996</c:v>
                </c:pt>
                <c:pt idx="851">
                  <c:v>43.383329999999994</c:v>
                </c:pt>
                <c:pt idx="852">
                  <c:v>43.383329999999994</c:v>
                </c:pt>
                <c:pt idx="853">
                  <c:v>40.820630000000001</c:v>
                </c:pt>
                <c:pt idx="854">
                  <c:v>42.3626</c:v>
                </c:pt>
                <c:pt idx="855">
                  <c:v>40.077600000000004</c:v>
                </c:pt>
                <c:pt idx="856">
                  <c:v>44.648130000000002</c:v>
                </c:pt>
                <c:pt idx="857">
                  <c:v>43.786120000000004</c:v>
                </c:pt>
                <c:pt idx="858">
                  <c:v>43.245339999999999</c:v>
                </c:pt>
                <c:pt idx="859">
                  <c:v>44.072809999999997</c:v>
                </c:pt>
                <c:pt idx="860">
                  <c:v>43.602679999999999</c:v>
                </c:pt>
                <c:pt idx="861">
                  <c:v>44.290060000000004</c:v>
                </c:pt>
                <c:pt idx="862">
                  <c:v>44.475090000000002</c:v>
                </c:pt>
                <c:pt idx="863">
                  <c:v>44.088380000000001</c:v>
                </c:pt>
                <c:pt idx="864">
                  <c:v>44.782269999999997</c:v>
                </c:pt>
                <c:pt idx="865">
                  <c:v>45.104170000000003</c:v>
                </c:pt>
                <c:pt idx="866">
                  <c:v>46.003770000000003</c:v>
                </c:pt>
                <c:pt idx="867">
                  <c:v>45.510950000000001</c:v>
                </c:pt>
                <c:pt idx="868">
                  <c:v>44.218490000000003</c:v>
                </c:pt>
                <c:pt idx="869">
                  <c:v>43.675829999999998</c:v>
                </c:pt>
                <c:pt idx="870">
                  <c:v>46.13841</c:v>
                </c:pt>
                <c:pt idx="871">
                  <c:v>45.573839999999997</c:v>
                </c:pt>
                <c:pt idx="872">
                  <c:v>44.68683</c:v>
                </c:pt>
                <c:pt idx="873">
                  <c:v>44.998410000000007</c:v>
                </c:pt>
                <c:pt idx="874">
                  <c:v>45.491629999999994</c:v>
                </c:pt>
                <c:pt idx="875">
                  <c:v>46.754510000000003</c:v>
                </c:pt>
                <c:pt idx="876">
                  <c:v>46.730359999999997</c:v>
                </c:pt>
                <c:pt idx="877">
                  <c:v>46.413199999999996</c:v>
                </c:pt>
                <c:pt idx="878">
                  <c:v>45.222120000000004</c:v>
                </c:pt>
                <c:pt idx="879">
                  <c:v>44.693100000000001</c:v>
                </c:pt>
                <c:pt idx="880">
                  <c:v>42.396999999999998</c:v>
                </c:pt>
                <c:pt idx="881">
                  <c:v>42.357700000000001</c:v>
                </c:pt>
                <c:pt idx="882">
                  <c:v>43.322449999999996</c:v>
                </c:pt>
                <c:pt idx="883">
                  <c:v>41.245550000000001</c:v>
                </c:pt>
                <c:pt idx="884">
                  <c:v>42.11927</c:v>
                </c:pt>
                <c:pt idx="885">
                  <c:v>42.437439999999995</c:v>
                </c:pt>
                <c:pt idx="886">
                  <c:v>42.827520000000007</c:v>
                </c:pt>
                <c:pt idx="887">
                  <c:v>42.241890000000005</c:v>
                </c:pt>
                <c:pt idx="888">
                  <c:v>42.127079999999999</c:v>
                </c:pt>
                <c:pt idx="889">
                  <c:v>43.572129999999994</c:v>
                </c:pt>
                <c:pt idx="890">
                  <c:v>43.472630000000002</c:v>
                </c:pt>
                <c:pt idx="891">
                  <c:v>44.790579999999999</c:v>
                </c:pt>
                <c:pt idx="892">
                  <c:v>42.759589999999996</c:v>
                </c:pt>
                <c:pt idx="893">
                  <c:v>44.737439999999999</c:v>
                </c:pt>
                <c:pt idx="894">
                  <c:v>44.142920000000004</c:v>
                </c:pt>
                <c:pt idx="895">
                  <c:v>44.239899999999999</c:v>
                </c:pt>
                <c:pt idx="896">
                  <c:v>43.0259</c:v>
                </c:pt>
                <c:pt idx="897">
                  <c:v>43.927600000000005</c:v>
                </c:pt>
                <c:pt idx="898">
                  <c:v>43.134430000000002</c:v>
                </c:pt>
                <c:pt idx="899">
                  <c:v>42.875829999999993</c:v>
                </c:pt>
                <c:pt idx="900">
                  <c:v>44.812209999999993</c:v>
                </c:pt>
                <c:pt idx="901">
                  <c:v>42.675510000000003</c:v>
                </c:pt>
                <c:pt idx="902">
                  <c:v>40.345300000000002</c:v>
                </c:pt>
                <c:pt idx="903">
                  <c:v>38.272469999999998</c:v>
                </c:pt>
                <c:pt idx="904">
                  <c:v>42.540290000000006</c:v>
                </c:pt>
                <c:pt idx="905">
                  <c:v>41.054539999999996</c:v>
                </c:pt>
                <c:pt idx="906">
                  <c:v>37.729340000000001</c:v>
                </c:pt>
                <c:pt idx="907">
                  <c:v>38.448079999999997</c:v>
                </c:pt>
                <c:pt idx="908">
                  <c:v>38.615729999999999</c:v>
                </c:pt>
                <c:pt idx="909">
                  <c:v>38.665869999999998</c:v>
                </c:pt>
                <c:pt idx="910">
                  <c:v>38.70241</c:v>
                </c:pt>
                <c:pt idx="911">
                  <c:v>37.550539999999998</c:v>
                </c:pt>
                <c:pt idx="912">
                  <c:v>39.002139999999997</c:v>
                </c:pt>
                <c:pt idx="913">
                  <c:v>39.01596</c:v>
                </c:pt>
                <c:pt idx="914">
                  <c:v>39.063420000000001</c:v>
                </c:pt>
                <c:pt idx="915">
                  <c:v>38.07826</c:v>
                </c:pt>
                <c:pt idx="916">
                  <c:v>39.859270000000002</c:v>
                </c:pt>
                <c:pt idx="917">
                  <c:v>35.475909999999999</c:v>
                </c:pt>
                <c:pt idx="918">
                  <c:v>38.26914</c:v>
                </c:pt>
                <c:pt idx="919">
                  <c:v>39.225410000000004</c:v>
                </c:pt>
                <c:pt idx="920">
                  <c:v>37.092600000000004</c:v>
                </c:pt>
                <c:pt idx="921">
                  <c:v>33.70402</c:v>
                </c:pt>
                <c:pt idx="922">
                  <c:v>33.924369999999996</c:v>
                </c:pt>
                <c:pt idx="923">
                  <c:v>33.853169999999999</c:v>
                </c:pt>
                <c:pt idx="924">
                  <c:v>33.573349999999998</c:v>
                </c:pt>
                <c:pt idx="925">
                  <c:v>33.747330000000005</c:v>
                </c:pt>
                <c:pt idx="926">
                  <c:v>33.683419999999998</c:v>
                </c:pt>
                <c:pt idx="927">
                  <c:v>35.392949999999999</c:v>
                </c:pt>
                <c:pt idx="928">
                  <c:v>33.952220000000004</c:v>
                </c:pt>
                <c:pt idx="929">
                  <c:v>33.951140000000002</c:v>
                </c:pt>
                <c:pt idx="930">
                  <c:v>34.91554</c:v>
                </c:pt>
                <c:pt idx="931">
                  <c:v>33.662120000000002</c:v>
                </c:pt>
                <c:pt idx="932">
                  <c:v>30.689699999999998</c:v>
                </c:pt>
                <c:pt idx="933">
                  <c:v>31.36861</c:v>
                </c:pt>
                <c:pt idx="934">
                  <c:v>32.295529999999999</c:v>
                </c:pt>
                <c:pt idx="935">
                  <c:v>34.887590000000003</c:v>
                </c:pt>
                <c:pt idx="936">
                  <c:v>35.095189999999995</c:v>
                </c:pt>
                <c:pt idx="937">
                  <c:v>33.867959999999997</c:v>
                </c:pt>
                <c:pt idx="938">
                  <c:v>34.337949999999999</c:v>
                </c:pt>
                <c:pt idx="939">
                  <c:v>35.006010000000003</c:v>
                </c:pt>
                <c:pt idx="940">
                  <c:v>32.394710000000003</c:v>
                </c:pt>
                <c:pt idx="941">
                  <c:v>33.09516</c:v>
                </c:pt>
                <c:pt idx="942">
                  <c:v>30.354110000000002</c:v>
                </c:pt>
                <c:pt idx="943">
                  <c:v>31.932600000000001</c:v>
                </c:pt>
                <c:pt idx="944">
                  <c:v>34.032080000000001</c:v>
                </c:pt>
                <c:pt idx="945">
                  <c:v>32.381450000000001</c:v>
                </c:pt>
                <c:pt idx="946">
                  <c:v>32.450430000000004</c:v>
                </c:pt>
                <c:pt idx="947">
                  <c:v>34.122900000000001</c:v>
                </c:pt>
                <c:pt idx="948">
                  <c:v>33.442140000000002</c:v>
                </c:pt>
                <c:pt idx="949">
                  <c:v>33.264609999999998</c:v>
                </c:pt>
                <c:pt idx="950">
                  <c:v>33.850100000000005</c:v>
                </c:pt>
                <c:pt idx="951">
                  <c:v>34.542189999999998</c:v>
                </c:pt>
                <c:pt idx="952">
                  <c:v>33.707529999999998</c:v>
                </c:pt>
                <c:pt idx="953">
                  <c:v>33.707529999999998</c:v>
                </c:pt>
                <c:pt idx="954">
                  <c:v>34.330239999999996</c:v>
                </c:pt>
                <c:pt idx="955">
                  <c:v>33.173859999999998</c:v>
                </c:pt>
                <c:pt idx="956">
                  <c:v>35.15587</c:v>
                </c:pt>
                <c:pt idx="957">
                  <c:v>34.149160000000002</c:v>
                </c:pt>
                <c:pt idx="958">
                  <c:v>35.589649999999999</c:v>
                </c:pt>
                <c:pt idx="959">
                  <c:v>35.714880000000001</c:v>
                </c:pt>
                <c:pt idx="960">
                  <c:v>35.442590000000003</c:v>
                </c:pt>
                <c:pt idx="961">
                  <c:v>35.635899999999999</c:v>
                </c:pt>
                <c:pt idx="962">
                  <c:v>34.70205</c:v>
                </c:pt>
                <c:pt idx="963">
                  <c:v>35.287220000000005</c:v>
                </c:pt>
              </c:numCache>
            </c:numRef>
          </c:val>
          <c:smooth val="0"/>
          <c:extLst>
            <c:ext xmlns:c16="http://schemas.microsoft.com/office/drawing/2014/chart" uri="{C3380CC4-5D6E-409C-BE32-E72D297353CC}">
              <c16:uniqueId val="{00000009-EBC4-4222-8B88-73469225685A}"/>
            </c:ext>
          </c:extLst>
        </c:ser>
        <c:dLbls>
          <c:showLegendKey val="0"/>
          <c:showVal val="0"/>
          <c:showCatName val="0"/>
          <c:showSerName val="0"/>
          <c:showPercent val="0"/>
          <c:showBubbleSize val="0"/>
        </c:dLbls>
        <c:marker val="1"/>
        <c:smooth val="0"/>
        <c:axId val="1701951008"/>
        <c:axId val="1701959168"/>
      </c:lineChart>
      <c:lineChart>
        <c:grouping val="standard"/>
        <c:varyColors val="0"/>
        <c:ser>
          <c:idx val="9"/>
          <c:order val="9"/>
          <c:tx>
            <c:strRef>
              <c:f>Sheet1!$K$1</c:f>
              <c:strCache>
                <c:ptCount val="1"/>
                <c:pt idx="0">
                  <c:v>Թուրքիա (2025թ.)</c:v>
                </c:pt>
              </c:strCache>
            </c:strRef>
          </c:tx>
          <c:spPr>
            <a:ln w="28575" cap="rnd">
              <a:solidFill>
                <a:schemeClr val="accent4">
                  <a:lumMod val="60000"/>
                </a:schemeClr>
              </a:solidFill>
              <a:round/>
            </a:ln>
            <a:effectLst/>
          </c:spPr>
          <c:marker>
            <c:symbol val="none"/>
          </c:marker>
          <c:cat>
            <c:numRef>
              <c:f>Sheet1!$A$2:$A$1226</c:f>
              <c:numCache>
                <c:formatCode>m\/d\/yyyy</c:formatCode>
                <c:ptCount val="964"/>
                <c:pt idx="0">
                  <c:v>43831</c:v>
                </c:pt>
                <c:pt idx="1">
                  <c:v>43832</c:v>
                </c:pt>
                <c:pt idx="2">
                  <c:v>43833</c:v>
                </c:pt>
                <c:pt idx="3">
                  <c:v>43836</c:v>
                </c:pt>
                <c:pt idx="4">
                  <c:v>43837</c:v>
                </c:pt>
                <c:pt idx="5">
                  <c:v>43838</c:v>
                </c:pt>
                <c:pt idx="6">
                  <c:v>43839</c:v>
                </c:pt>
                <c:pt idx="7">
                  <c:v>43840</c:v>
                </c:pt>
                <c:pt idx="8">
                  <c:v>43843</c:v>
                </c:pt>
                <c:pt idx="9">
                  <c:v>43844</c:v>
                </c:pt>
                <c:pt idx="10">
                  <c:v>43845</c:v>
                </c:pt>
                <c:pt idx="11">
                  <c:v>43846</c:v>
                </c:pt>
                <c:pt idx="12">
                  <c:v>43847</c:v>
                </c:pt>
                <c:pt idx="13">
                  <c:v>43850</c:v>
                </c:pt>
                <c:pt idx="14">
                  <c:v>43851</c:v>
                </c:pt>
                <c:pt idx="15">
                  <c:v>43852</c:v>
                </c:pt>
                <c:pt idx="16">
                  <c:v>43853</c:v>
                </c:pt>
                <c:pt idx="17">
                  <c:v>43854</c:v>
                </c:pt>
                <c:pt idx="18">
                  <c:v>43857</c:v>
                </c:pt>
                <c:pt idx="19">
                  <c:v>43858</c:v>
                </c:pt>
                <c:pt idx="20">
                  <c:v>43859</c:v>
                </c:pt>
                <c:pt idx="21">
                  <c:v>43860</c:v>
                </c:pt>
                <c:pt idx="22">
                  <c:v>43861</c:v>
                </c:pt>
                <c:pt idx="23">
                  <c:v>43864</c:v>
                </c:pt>
                <c:pt idx="24">
                  <c:v>43865</c:v>
                </c:pt>
                <c:pt idx="25">
                  <c:v>43866</c:v>
                </c:pt>
                <c:pt idx="26">
                  <c:v>43867</c:v>
                </c:pt>
                <c:pt idx="27">
                  <c:v>43868</c:v>
                </c:pt>
                <c:pt idx="28">
                  <c:v>43871</c:v>
                </c:pt>
                <c:pt idx="29">
                  <c:v>43872</c:v>
                </c:pt>
                <c:pt idx="30">
                  <c:v>43873</c:v>
                </c:pt>
                <c:pt idx="31">
                  <c:v>43874</c:v>
                </c:pt>
                <c:pt idx="32">
                  <c:v>43875</c:v>
                </c:pt>
                <c:pt idx="33">
                  <c:v>43878</c:v>
                </c:pt>
                <c:pt idx="34">
                  <c:v>43879</c:v>
                </c:pt>
                <c:pt idx="35">
                  <c:v>43880</c:v>
                </c:pt>
                <c:pt idx="36">
                  <c:v>43881</c:v>
                </c:pt>
                <c:pt idx="37">
                  <c:v>43882</c:v>
                </c:pt>
                <c:pt idx="38">
                  <c:v>43885</c:v>
                </c:pt>
                <c:pt idx="39">
                  <c:v>43886</c:v>
                </c:pt>
                <c:pt idx="40">
                  <c:v>43887</c:v>
                </c:pt>
                <c:pt idx="41">
                  <c:v>43888</c:v>
                </c:pt>
                <c:pt idx="42">
                  <c:v>43889</c:v>
                </c:pt>
                <c:pt idx="43">
                  <c:v>43892</c:v>
                </c:pt>
                <c:pt idx="44">
                  <c:v>43893</c:v>
                </c:pt>
                <c:pt idx="45">
                  <c:v>43894</c:v>
                </c:pt>
                <c:pt idx="46">
                  <c:v>43895</c:v>
                </c:pt>
                <c:pt idx="47">
                  <c:v>43896</c:v>
                </c:pt>
                <c:pt idx="48">
                  <c:v>43899</c:v>
                </c:pt>
                <c:pt idx="49">
                  <c:v>43900</c:v>
                </c:pt>
                <c:pt idx="50">
                  <c:v>43901</c:v>
                </c:pt>
                <c:pt idx="51">
                  <c:v>43902</c:v>
                </c:pt>
                <c:pt idx="52">
                  <c:v>43903</c:v>
                </c:pt>
                <c:pt idx="53">
                  <c:v>43906</c:v>
                </c:pt>
                <c:pt idx="54">
                  <c:v>43907</c:v>
                </c:pt>
                <c:pt idx="55">
                  <c:v>43908</c:v>
                </c:pt>
                <c:pt idx="56">
                  <c:v>43909</c:v>
                </c:pt>
                <c:pt idx="57">
                  <c:v>43910</c:v>
                </c:pt>
                <c:pt idx="58">
                  <c:v>43913</c:v>
                </c:pt>
                <c:pt idx="59">
                  <c:v>43914</c:v>
                </c:pt>
                <c:pt idx="60">
                  <c:v>43915</c:v>
                </c:pt>
                <c:pt idx="61">
                  <c:v>43916</c:v>
                </c:pt>
                <c:pt idx="62">
                  <c:v>43917</c:v>
                </c:pt>
                <c:pt idx="63">
                  <c:v>43920</c:v>
                </c:pt>
                <c:pt idx="64">
                  <c:v>43921</c:v>
                </c:pt>
                <c:pt idx="65">
                  <c:v>43922</c:v>
                </c:pt>
                <c:pt idx="66">
                  <c:v>43923</c:v>
                </c:pt>
                <c:pt idx="67">
                  <c:v>43924</c:v>
                </c:pt>
                <c:pt idx="68">
                  <c:v>43927</c:v>
                </c:pt>
                <c:pt idx="69">
                  <c:v>43928</c:v>
                </c:pt>
                <c:pt idx="70">
                  <c:v>43929</c:v>
                </c:pt>
                <c:pt idx="71">
                  <c:v>43930</c:v>
                </c:pt>
                <c:pt idx="72">
                  <c:v>43931</c:v>
                </c:pt>
                <c:pt idx="73">
                  <c:v>43934</c:v>
                </c:pt>
                <c:pt idx="74">
                  <c:v>43935</c:v>
                </c:pt>
                <c:pt idx="75">
                  <c:v>43936</c:v>
                </c:pt>
                <c:pt idx="76">
                  <c:v>43937</c:v>
                </c:pt>
                <c:pt idx="77">
                  <c:v>43938</c:v>
                </c:pt>
                <c:pt idx="78">
                  <c:v>43941</c:v>
                </c:pt>
                <c:pt idx="79">
                  <c:v>43942</c:v>
                </c:pt>
                <c:pt idx="80">
                  <c:v>43943</c:v>
                </c:pt>
                <c:pt idx="81">
                  <c:v>43944</c:v>
                </c:pt>
                <c:pt idx="82">
                  <c:v>43945</c:v>
                </c:pt>
                <c:pt idx="83">
                  <c:v>43948</c:v>
                </c:pt>
                <c:pt idx="84">
                  <c:v>43949</c:v>
                </c:pt>
                <c:pt idx="85">
                  <c:v>43950</c:v>
                </c:pt>
                <c:pt idx="86">
                  <c:v>43951</c:v>
                </c:pt>
                <c:pt idx="87">
                  <c:v>43952</c:v>
                </c:pt>
                <c:pt idx="88">
                  <c:v>43955</c:v>
                </c:pt>
                <c:pt idx="89">
                  <c:v>43956</c:v>
                </c:pt>
                <c:pt idx="90">
                  <c:v>43957</c:v>
                </c:pt>
                <c:pt idx="91">
                  <c:v>43958</c:v>
                </c:pt>
                <c:pt idx="92">
                  <c:v>43959</c:v>
                </c:pt>
                <c:pt idx="93">
                  <c:v>43962</c:v>
                </c:pt>
                <c:pt idx="94">
                  <c:v>43963</c:v>
                </c:pt>
                <c:pt idx="95">
                  <c:v>43964</c:v>
                </c:pt>
                <c:pt idx="96">
                  <c:v>43965</c:v>
                </c:pt>
                <c:pt idx="97">
                  <c:v>43966</c:v>
                </c:pt>
                <c:pt idx="98">
                  <c:v>43969</c:v>
                </c:pt>
                <c:pt idx="99">
                  <c:v>43970</c:v>
                </c:pt>
                <c:pt idx="100">
                  <c:v>43971</c:v>
                </c:pt>
                <c:pt idx="101">
                  <c:v>43972</c:v>
                </c:pt>
                <c:pt idx="102">
                  <c:v>43973</c:v>
                </c:pt>
                <c:pt idx="103">
                  <c:v>43976</c:v>
                </c:pt>
                <c:pt idx="104">
                  <c:v>43977</c:v>
                </c:pt>
                <c:pt idx="105">
                  <c:v>43978</c:v>
                </c:pt>
                <c:pt idx="106">
                  <c:v>43979</c:v>
                </c:pt>
                <c:pt idx="107">
                  <c:v>43980</c:v>
                </c:pt>
                <c:pt idx="108">
                  <c:v>43983</c:v>
                </c:pt>
                <c:pt idx="109">
                  <c:v>43984</c:v>
                </c:pt>
                <c:pt idx="110">
                  <c:v>43985</c:v>
                </c:pt>
                <c:pt idx="111">
                  <c:v>43986</c:v>
                </c:pt>
                <c:pt idx="112">
                  <c:v>43987</c:v>
                </c:pt>
                <c:pt idx="113">
                  <c:v>43990</c:v>
                </c:pt>
                <c:pt idx="114">
                  <c:v>43991</c:v>
                </c:pt>
                <c:pt idx="115">
                  <c:v>43992</c:v>
                </c:pt>
                <c:pt idx="116">
                  <c:v>43993</c:v>
                </c:pt>
                <c:pt idx="117">
                  <c:v>43994</c:v>
                </c:pt>
                <c:pt idx="118">
                  <c:v>43997</c:v>
                </c:pt>
                <c:pt idx="119">
                  <c:v>43998</c:v>
                </c:pt>
                <c:pt idx="120">
                  <c:v>43999</c:v>
                </c:pt>
                <c:pt idx="121">
                  <c:v>44000</c:v>
                </c:pt>
                <c:pt idx="122">
                  <c:v>44001</c:v>
                </c:pt>
                <c:pt idx="123">
                  <c:v>44004</c:v>
                </c:pt>
                <c:pt idx="124">
                  <c:v>44005</c:v>
                </c:pt>
                <c:pt idx="125">
                  <c:v>44006</c:v>
                </c:pt>
                <c:pt idx="126">
                  <c:v>44007</c:v>
                </c:pt>
                <c:pt idx="127">
                  <c:v>44008</c:v>
                </c:pt>
                <c:pt idx="128">
                  <c:v>44011</c:v>
                </c:pt>
                <c:pt idx="129">
                  <c:v>44012</c:v>
                </c:pt>
                <c:pt idx="130">
                  <c:v>44013</c:v>
                </c:pt>
                <c:pt idx="131">
                  <c:v>44014</c:v>
                </c:pt>
                <c:pt idx="132">
                  <c:v>44015</c:v>
                </c:pt>
                <c:pt idx="133">
                  <c:v>44018</c:v>
                </c:pt>
                <c:pt idx="134">
                  <c:v>44019</c:v>
                </c:pt>
                <c:pt idx="135">
                  <c:v>44020</c:v>
                </c:pt>
                <c:pt idx="136">
                  <c:v>44021</c:v>
                </c:pt>
                <c:pt idx="137">
                  <c:v>44022</c:v>
                </c:pt>
                <c:pt idx="138">
                  <c:v>44025</c:v>
                </c:pt>
                <c:pt idx="139">
                  <c:v>44026</c:v>
                </c:pt>
                <c:pt idx="140">
                  <c:v>44027</c:v>
                </c:pt>
                <c:pt idx="141">
                  <c:v>44028</c:v>
                </c:pt>
                <c:pt idx="142">
                  <c:v>44029</c:v>
                </c:pt>
                <c:pt idx="143">
                  <c:v>44032</c:v>
                </c:pt>
                <c:pt idx="144">
                  <c:v>44033</c:v>
                </c:pt>
                <c:pt idx="145">
                  <c:v>44034</c:v>
                </c:pt>
                <c:pt idx="146">
                  <c:v>44035</c:v>
                </c:pt>
                <c:pt idx="147">
                  <c:v>44036</c:v>
                </c:pt>
                <c:pt idx="148">
                  <c:v>44039</c:v>
                </c:pt>
                <c:pt idx="149">
                  <c:v>44040</c:v>
                </c:pt>
                <c:pt idx="150">
                  <c:v>44041</c:v>
                </c:pt>
                <c:pt idx="151">
                  <c:v>44042</c:v>
                </c:pt>
                <c:pt idx="152">
                  <c:v>44043</c:v>
                </c:pt>
                <c:pt idx="153">
                  <c:v>44046</c:v>
                </c:pt>
                <c:pt idx="154">
                  <c:v>44047</c:v>
                </c:pt>
                <c:pt idx="155">
                  <c:v>44048</c:v>
                </c:pt>
                <c:pt idx="156">
                  <c:v>44049</c:v>
                </c:pt>
                <c:pt idx="157">
                  <c:v>44050</c:v>
                </c:pt>
                <c:pt idx="158">
                  <c:v>44053</c:v>
                </c:pt>
                <c:pt idx="159">
                  <c:v>44054</c:v>
                </c:pt>
                <c:pt idx="160">
                  <c:v>44055</c:v>
                </c:pt>
                <c:pt idx="161">
                  <c:v>44056</c:v>
                </c:pt>
                <c:pt idx="162">
                  <c:v>44057</c:v>
                </c:pt>
                <c:pt idx="163">
                  <c:v>44060</c:v>
                </c:pt>
                <c:pt idx="164">
                  <c:v>44061</c:v>
                </c:pt>
                <c:pt idx="165">
                  <c:v>44062</c:v>
                </c:pt>
                <c:pt idx="166">
                  <c:v>44063</c:v>
                </c:pt>
                <c:pt idx="167">
                  <c:v>44064</c:v>
                </c:pt>
                <c:pt idx="168">
                  <c:v>44067</c:v>
                </c:pt>
                <c:pt idx="169">
                  <c:v>44068</c:v>
                </c:pt>
                <c:pt idx="170">
                  <c:v>44069</c:v>
                </c:pt>
                <c:pt idx="171">
                  <c:v>44070</c:v>
                </c:pt>
                <c:pt idx="172">
                  <c:v>44071</c:v>
                </c:pt>
                <c:pt idx="173">
                  <c:v>44074</c:v>
                </c:pt>
                <c:pt idx="174">
                  <c:v>44075</c:v>
                </c:pt>
                <c:pt idx="175">
                  <c:v>44076</c:v>
                </c:pt>
                <c:pt idx="176">
                  <c:v>44077</c:v>
                </c:pt>
                <c:pt idx="177">
                  <c:v>44078</c:v>
                </c:pt>
                <c:pt idx="178">
                  <c:v>44081</c:v>
                </c:pt>
                <c:pt idx="179">
                  <c:v>44082</c:v>
                </c:pt>
                <c:pt idx="180">
                  <c:v>44083</c:v>
                </c:pt>
                <c:pt idx="181">
                  <c:v>44084</c:v>
                </c:pt>
                <c:pt idx="182">
                  <c:v>44085</c:v>
                </c:pt>
                <c:pt idx="183">
                  <c:v>44088</c:v>
                </c:pt>
                <c:pt idx="184">
                  <c:v>44089</c:v>
                </c:pt>
                <c:pt idx="185">
                  <c:v>44090</c:v>
                </c:pt>
                <c:pt idx="186">
                  <c:v>44091</c:v>
                </c:pt>
                <c:pt idx="187">
                  <c:v>44092</c:v>
                </c:pt>
                <c:pt idx="188">
                  <c:v>44095</c:v>
                </c:pt>
                <c:pt idx="189">
                  <c:v>44096</c:v>
                </c:pt>
                <c:pt idx="190">
                  <c:v>44097</c:v>
                </c:pt>
                <c:pt idx="191">
                  <c:v>44098</c:v>
                </c:pt>
                <c:pt idx="192">
                  <c:v>44099</c:v>
                </c:pt>
                <c:pt idx="193">
                  <c:v>44102</c:v>
                </c:pt>
                <c:pt idx="194">
                  <c:v>44103</c:v>
                </c:pt>
                <c:pt idx="195">
                  <c:v>44104</c:v>
                </c:pt>
                <c:pt idx="196">
                  <c:v>44105</c:v>
                </c:pt>
                <c:pt idx="197">
                  <c:v>44106</c:v>
                </c:pt>
                <c:pt idx="198">
                  <c:v>44109</c:v>
                </c:pt>
                <c:pt idx="199">
                  <c:v>44110</c:v>
                </c:pt>
                <c:pt idx="200">
                  <c:v>44111</c:v>
                </c:pt>
                <c:pt idx="201">
                  <c:v>44112</c:v>
                </c:pt>
                <c:pt idx="202">
                  <c:v>44113</c:v>
                </c:pt>
                <c:pt idx="203">
                  <c:v>44116</c:v>
                </c:pt>
                <c:pt idx="204">
                  <c:v>44117</c:v>
                </c:pt>
                <c:pt idx="205">
                  <c:v>44118</c:v>
                </c:pt>
                <c:pt idx="206">
                  <c:v>44119</c:v>
                </c:pt>
                <c:pt idx="207">
                  <c:v>44120</c:v>
                </c:pt>
                <c:pt idx="208">
                  <c:v>44123</c:v>
                </c:pt>
                <c:pt idx="209">
                  <c:v>44124</c:v>
                </c:pt>
                <c:pt idx="210">
                  <c:v>44125</c:v>
                </c:pt>
                <c:pt idx="211">
                  <c:v>44126</c:v>
                </c:pt>
                <c:pt idx="212">
                  <c:v>44127</c:v>
                </c:pt>
                <c:pt idx="213">
                  <c:v>44130</c:v>
                </c:pt>
                <c:pt idx="214">
                  <c:v>44131</c:v>
                </c:pt>
                <c:pt idx="215">
                  <c:v>44132</c:v>
                </c:pt>
                <c:pt idx="216">
                  <c:v>44133</c:v>
                </c:pt>
                <c:pt idx="217">
                  <c:v>44134</c:v>
                </c:pt>
                <c:pt idx="218">
                  <c:v>44137</c:v>
                </c:pt>
                <c:pt idx="219">
                  <c:v>44138</c:v>
                </c:pt>
                <c:pt idx="220">
                  <c:v>44139</c:v>
                </c:pt>
                <c:pt idx="221">
                  <c:v>44140</c:v>
                </c:pt>
                <c:pt idx="222">
                  <c:v>44141</c:v>
                </c:pt>
                <c:pt idx="223">
                  <c:v>44144</c:v>
                </c:pt>
                <c:pt idx="224">
                  <c:v>44145</c:v>
                </c:pt>
                <c:pt idx="225">
                  <c:v>44146</c:v>
                </c:pt>
                <c:pt idx="226">
                  <c:v>44147</c:v>
                </c:pt>
                <c:pt idx="227">
                  <c:v>44148</c:v>
                </c:pt>
                <c:pt idx="228">
                  <c:v>44151</c:v>
                </c:pt>
                <c:pt idx="229">
                  <c:v>44152</c:v>
                </c:pt>
                <c:pt idx="230">
                  <c:v>44153</c:v>
                </c:pt>
                <c:pt idx="231">
                  <c:v>44154</c:v>
                </c:pt>
                <c:pt idx="232">
                  <c:v>44155</c:v>
                </c:pt>
                <c:pt idx="233">
                  <c:v>44158</c:v>
                </c:pt>
                <c:pt idx="234">
                  <c:v>44159</c:v>
                </c:pt>
                <c:pt idx="235">
                  <c:v>44160</c:v>
                </c:pt>
                <c:pt idx="236">
                  <c:v>44161</c:v>
                </c:pt>
                <c:pt idx="237">
                  <c:v>44162</c:v>
                </c:pt>
                <c:pt idx="238">
                  <c:v>44165</c:v>
                </c:pt>
                <c:pt idx="239">
                  <c:v>44166</c:v>
                </c:pt>
                <c:pt idx="240">
                  <c:v>44167</c:v>
                </c:pt>
                <c:pt idx="241">
                  <c:v>44168</c:v>
                </c:pt>
                <c:pt idx="242">
                  <c:v>44169</c:v>
                </c:pt>
                <c:pt idx="243">
                  <c:v>44172</c:v>
                </c:pt>
                <c:pt idx="244">
                  <c:v>44173</c:v>
                </c:pt>
                <c:pt idx="245">
                  <c:v>44174</c:v>
                </c:pt>
                <c:pt idx="246">
                  <c:v>44175</c:v>
                </c:pt>
                <c:pt idx="247">
                  <c:v>44176</c:v>
                </c:pt>
                <c:pt idx="248">
                  <c:v>44179</c:v>
                </c:pt>
                <c:pt idx="249">
                  <c:v>44180</c:v>
                </c:pt>
                <c:pt idx="250">
                  <c:v>44181</c:v>
                </c:pt>
                <c:pt idx="251">
                  <c:v>44182</c:v>
                </c:pt>
                <c:pt idx="252">
                  <c:v>44183</c:v>
                </c:pt>
                <c:pt idx="253">
                  <c:v>44186</c:v>
                </c:pt>
                <c:pt idx="254">
                  <c:v>44187</c:v>
                </c:pt>
                <c:pt idx="255">
                  <c:v>44188</c:v>
                </c:pt>
                <c:pt idx="256">
                  <c:v>44189</c:v>
                </c:pt>
                <c:pt idx="257">
                  <c:v>44190</c:v>
                </c:pt>
                <c:pt idx="258">
                  <c:v>44193</c:v>
                </c:pt>
                <c:pt idx="259">
                  <c:v>44194</c:v>
                </c:pt>
                <c:pt idx="260">
                  <c:v>44195</c:v>
                </c:pt>
                <c:pt idx="261">
                  <c:v>44196</c:v>
                </c:pt>
                <c:pt idx="262">
                  <c:v>44197</c:v>
                </c:pt>
                <c:pt idx="263">
                  <c:v>44200</c:v>
                </c:pt>
                <c:pt idx="264">
                  <c:v>44201</c:v>
                </c:pt>
                <c:pt idx="265">
                  <c:v>44202</c:v>
                </c:pt>
                <c:pt idx="266">
                  <c:v>44203</c:v>
                </c:pt>
                <c:pt idx="267">
                  <c:v>44204</c:v>
                </c:pt>
                <c:pt idx="268">
                  <c:v>44207</c:v>
                </c:pt>
                <c:pt idx="269">
                  <c:v>44208</c:v>
                </c:pt>
                <c:pt idx="270">
                  <c:v>44209</c:v>
                </c:pt>
                <c:pt idx="271">
                  <c:v>44210</c:v>
                </c:pt>
                <c:pt idx="272">
                  <c:v>44211</c:v>
                </c:pt>
                <c:pt idx="273">
                  <c:v>44214</c:v>
                </c:pt>
                <c:pt idx="274">
                  <c:v>44215</c:v>
                </c:pt>
                <c:pt idx="275">
                  <c:v>44216</c:v>
                </c:pt>
                <c:pt idx="276">
                  <c:v>44217</c:v>
                </c:pt>
                <c:pt idx="277">
                  <c:v>44218</c:v>
                </c:pt>
                <c:pt idx="278">
                  <c:v>44221</c:v>
                </c:pt>
                <c:pt idx="279">
                  <c:v>44222</c:v>
                </c:pt>
                <c:pt idx="280">
                  <c:v>44223</c:v>
                </c:pt>
                <c:pt idx="281">
                  <c:v>44224</c:v>
                </c:pt>
                <c:pt idx="282">
                  <c:v>44225</c:v>
                </c:pt>
                <c:pt idx="283">
                  <c:v>44228</c:v>
                </c:pt>
                <c:pt idx="284">
                  <c:v>44229</c:v>
                </c:pt>
                <c:pt idx="285">
                  <c:v>44230</c:v>
                </c:pt>
                <c:pt idx="286">
                  <c:v>44231</c:v>
                </c:pt>
                <c:pt idx="287">
                  <c:v>44232</c:v>
                </c:pt>
                <c:pt idx="288">
                  <c:v>44235</c:v>
                </c:pt>
                <c:pt idx="289">
                  <c:v>44236</c:v>
                </c:pt>
                <c:pt idx="290">
                  <c:v>44237</c:v>
                </c:pt>
                <c:pt idx="291">
                  <c:v>44238</c:v>
                </c:pt>
                <c:pt idx="292">
                  <c:v>44239</c:v>
                </c:pt>
                <c:pt idx="293">
                  <c:v>44242</c:v>
                </c:pt>
                <c:pt idx="294">
                  <c:v>44243</c:v>
                </c:pt>
                <c:pt idx="295">
                  <c:v>44244</c:v>
                </c:pt>
                <c:pt idx="296">
                  <c:v>44245</c:v>
                </c:pt>
                <c:pt idx="297">
                  <c:v>44246</c:v>
                </c:pt>
                <c:pt idx="298">
                  <c:v>44249</c:v>
                </c:pt>
                <c:pt idx="299">
                  <c:v>44250</c:v>
                </c:pt>
                <c:pt idx="300">
                  <c:v>44251</c:v>
                </c:pt>
                <c:pt idx="301">
                  <c:v>44252</c:v>
                </c:pt>
                <c:pt idx="302">
                  <c:v>44253</c:v>
                </c:pt>
                <c:pt idx="303">
                  <c:v>44256</c:v>
                </c:pt>
                <c:pt idx="304">
                  <c:v>44257</c:v>
                </c:pt>
                <c:pt idx="305">
                  <c:v>44258</c:v>
                </c:pt>
                <c:pt idx="306">
                  <c:v>44259</c:v>
                </c:pt>
                <c:pt idx="307">
                  <c:v>44260</c:v>
                </c:pt>
                <c:pt idx="308">
                  <c:v>44263</c:v>
                </c:pt>
                <c:pt idx="309">
                  <c:v>44264</c:v>
                </c:pt>
                <c:pt idx="310">
                  <c:v>44265</c:v>
                </c:pt>
                <c:pt idx="311">
                  <c:v>44266</c:v>
                </c:pt>
                <c:pt idx="312">
                  <c:v>44267</c:v>
                </c:pt>
                <c:pt idx="313">
                  <c:v>44270</c:v>
                </c:pt>
                <c:pt idx="314">
                  <c:v>44271</c:v>
                </c:pt>
                <c:pt idx="315">
                  <c:v>44272</c:v>
                </c:pt>
                <c:pt idx="316">
                  <c:v>44273</c:v>
                </c:pt>
                <c:pt idx="317">
                  <c:v>44274</c:v>
                </c:pt>
                <c:pt idx="318">
                  <c:v>44277</c:v>
                </c:pt>
                <c:pt idx="319">
                  <c:v>44278</c:v>
                </c:pt>
                <c:pt idx="320">
                  <c:v>44279</c:v>
                </c:pt>
                <c:pt idx="321">
                  <c:v>44280</c:v>
                </c:pt>
                <c:pt idx="322">
                  <c:v>44281</c:v>
                </c:pt>
                <c:pt idx="323">
                  <c:v>44284</c:v>
                </c:pt>
                <c:pt idx="324">
                  <c:v>44285</c:v>
                </c:pt>
                <c:pt idx="325">
                  <c:v>44286</c:v>
                </c:pt>
                <c:pt idx="326">
                  <c:v>44287</c:v>
                </c:pt>
                <c:pt idx="327">
                  <c:v>44288</c:v>
                </c:pt>
                <c:pt idx="328">
                  <c:v>44291</c:v>
                </c:pt>
                <c:pt idx="329">
                  <c:v>44292</c:v>
                </c:pt>
                <c:pt idx="330">
                  <c:v>44293</c:v>
                </c:pt>
                <c:pt idx="331">
                  <c:v>44294</c:v>
                </c:pt>
                <c:pt idx="332">
                  <c:v>44295</c:v>
                </c:pt>
                <c:pt idx="333">
                  <c:v>44298</c:v>
                </c:pt>
                <c:pt idx="334">
                  <c:v>44299</c:v>
                </c:pt>
                <c:pt idx="335">
                  <c:v>44300</c:v>
                </c:pt>
                <c:pt idx="336">
                  <c:v>44301</c:v>
                </c:pt>
                <c:pt idx="337">
                  <c:v>44302</c:v>
                </c:pt>
                <c:pt idx="338">
                  <c:v>44305</c:v>
                </c:pt>
                <c:pt idx="339">
                  <c:v>44306</c:v>
                </c:pt>
                <c:pt idx="340">
                  <c:v>44307</c:v>
                </c:pt>
                <c:pt idx="341">
                  <c:v>44308</c:v>
                </c:pt>
                <c:pt idx="342">
                  <c:v>44309</c:v>
                </c:pt>
                <c:pt idx="343">
                  <c:v>44312</c:v>
                </c:pt>
                <c:pt idx="344">
                  <c:v>44313</c:v>
                </c:pt>
                <c:pt idx="345">
                  <c:v>44314</c:v>
                </c:pt>
                <c:pt idx="346">
                  <c:v>44315</c:v>
                </c:pt>
                <c:pt idx="347">
                  <c:v>44316</c:v>
                </c:pt>
                <c:pt idx="348">
                  <c:v>44319</c:v>
                </c:pt>
                <c:pt idx="349">
                  <c:v>44320</c:v>
                </c:pt>
                <c:pt idx="350">
                  <c:v>44321</c:v>
                </c:pt>
                <c:pt idx="351">
                  <c:v>44322</c:v>
                </c:pt>
                <c:pt idx="352">
                  <c:v>44323</c:v>
                </c:pt>
                <c:pt idx="353">
                  <c:v>44326</c:v>
                </c:pt>
                <c:pt idx="354">
                  <c:v>44327</c:v>
                </c:pt>
                <c:pt idx="355">
                  <c:v>44328</c:v>
                </c:pt>
                <c:pt idx="356">
                  <c:v>44329</c:v>
                </c:pt>
                <c:pt idx="357">
                  <c:v>44330</c:v>
                </c:pt>
                <c:pt idx="358">
                  <c:v>44333</c:v>
                </c:pt>
                <c:pt idx="359">
                  <c:v>44334</c:v>
                </c:pt>
                <c:pt idx="360">
                  <c:v>44335</c:v>
                </c:pt>
                <c:pt idx="361">
                  <c:v>44336</c:v>
                </c:pt>
                <c:pt idx="362">
                  <c:v>44337</c:v>
                </c:pt>
                <c:pt idx="363">
                  <c:v>44340</c:v>
                </c:pt>
                <c:pt idx="364">
                  <c:v>44341</c:v>
                </c:pt>
                <c:pt idx="365">
                  <c:v>44342</c:v>
                </c:pt>
                <c:pt idx="366">
                  <c:v>44343</c:v>
                </c:pt>
                <c:pt idx="367">
                  <c:v>44344</c:v>
                </c:pt>
                <c:pt idx="368">
                  <c:v>44347</c:v>
                </c:pt>
                <c:pt idx="369">
                  <c:v>44348</c:v>
                </c:pt>
                <c:pt idx="370">
                  <c:v>44349</c:v>
                </c:pt>
                <c:pt idx="371">
                  <c:v>44350</c:v>
                </c:pt>
                <c:pt idx="372">
                  <c:v>44351</c:v>
                </c:pt>
                <c:pt idx="373">
                  <c:v>44354</c:v>
                </c:pt>
                <c:pt idx="374">
                  <c:v>44355</c:v>
                </c:pt>
                <c:pt idx="375">
                  <c:v>44356</c:v>
                </c:pt>
                <c:pt idx="376">
                  <c:v>44357</c:v>
                </c:pt>
                <c:pt idx="377">
                  <c:v>44358</c:v>
                </c:pt>
                <c:pt idx="378">
                  <c:v>44361</c:v>
                </c:pt>
                <c:pt idx="379">
                  <c:v>44362</c:v>
                </c:pt>
                <c:pt idx="380">
                  <c:v>44363</c:v>
                </c:pt>
                <c:pt idx="381">
                  <c:v>44364</c:v>
                </c:pt>
                <c:pt idx="382">
                  <c:v>44365</c:v>
                </c:pt>
                <c:pt idx="383">
                  <c:v>44368</c:v>
                </c:pt>
                <c:pt idx="384">
                  <c:v>44369</c:v>
                </c:pt>
                <c:pt idx="385">
                  <c:v>44370</c:v>
                </c:pt>
                <c:pt idx="386">
                  <c:v>44371</c:v>
                </c:pt>
                <c:pt idx="387">
                  <c:v>44372</c:v>
                </c:pt>
                <c:pt idx="388">
                  <c:v>44375</c:v>
                </c:pt>
                <c:pt idx="389">
                  <c:v>44376</c:v>
                </c:pt>
                <c:pt idx="390">
                  <c:v>44377</c:v>
                </c:pt>
                <c:pt idx="391">
                  <c:v>44378</c:v>
                </c:pt>
                <c:pt idx="392">
                  <c:v>44379</c:v>
                </c:pt>
                <c:pt idx="393">
                  <c:v>44382</c:v>
                </c:pt>
                <c:pt idx="394">
                  <c:v>44383</c:v>
                </c:pt>
                <c:pt idx="395">
                  <c:v>44384</c:v>
                </c:pt>
                <c:pt idx="396">
                  <c:v>44385</c:v>
                </c:pt>
                <c:pt idx="397">
                  <c:v>44386</c:v>
                </c:pt>
                <c:pt idx="398">
                  <c:v>44389</c:v>
                </c:pt>
                <c:pt idx="399">
                  <c:v>44390</c:v>
                </c:pt>
                <c:pt idx="400">
                  <c:v>44391</c:v>
                </c:pt>
                <c:pt idx="401">
                  <c:v>44392</c:v>
                </c:pt>
                <c:pt idx="402">
                  <c:v>44393</c:v>
                </c:pt>
                <c:pt idx="403">
                  <c:v>44396</c:v>
                </c:pt>
                <c:pt idx="404">
                  <c:v>44397</c:v>
                </c:pt>
                <c:pt idx="405">
                  <c:v>44398</c:v>
                </c:pt>
                <c:pt idx="406">
                  <c:v>44399</c:v>
                </c:pt>
                <c:pt idx="407">
                  <c:v>44400</c:v>
                </c:pt>
                <c:pt idx="408">
                  <c:v>44403</c:v>
                </c:pt>
                <c:pt idx="409">
                  <c:v>44404</c:v>
                </c:pt>
                <c:pt idx="410">
                  <c:v>44405</c:v>
                </c:pt>
                <c:pt idx="411">
                  <c:v>44406</c:v>
                </c:pt>
                <c:pt idx="412">
                  <c:v>44407</c:v>
                </c:pt>
                <c:pt idx="413">
                  <c:v>44410</c:v>
                </c:pt>
                <c:pt idx="414">
                  <c:v>44411</c:v>
                </c:pt>
                <c:pt idx="415">
                  <c:v>44412</c:v>
                </c:pt>
                <c:pt idx="416">
                  <c:v>44413</c:v>
                </c:pt>
                <c:pt idx="417">
                  <c:v>44414</c:v>
                </c:pt>
                <c:pt idx="418">
                  <c:v>44417</c:v>
                </c:pt>
                <c:pt idx="419">
                  <c:v>44418</c:v>
                </c:pt>
                <c:pt idx="420">
                  <c:v>44419</c:v>
                </c:pt>
                <c:pt idx="421">
                  <c:v>44420</c:v>
                </c:pt>
                <c:pt idx="422">
                  <c:v>44421</c:v>
                </c:pt>
                <c:pt idx="423">
                  <c:v>44424</c:v>
                </c:pt>
                <c:pt idx="424">
                  <c:v>44425</c:v>
                </c:pt>
                <c:pt idx="425">
                  <c:v>44426</c:v>
                </c:pt>
                <c:pt idx="426">
                  <c:v>44427</c:v>
                </c:pt>
                <c:pt idx="427">
                  <c:v>44428</c:v>
                </c:pt>
                <c:pt idx="428">
                  <c:v>44431</c:v>
                </c:pt>
                <c:pt idx="429">
                  <c:v>44432</c:v>
                </c:pt>
                <c:pt idx="430">
                  <c:v>44433</c:v>
                </c:pt>
                <c:pt idx="431">
                  <c:v>44434</c:v>
                </c:pt>
                <c:pt idx="432">
                  <c:v>44435</c:v>
                </c:pt>
                <c:pt idx="433">
                  <c:v>44438</c:v>
                </c:pt>
                <c:pt idx="434">
                  <c:v>44439</c:v>
                </c:pt>
                <c:pt idx="435">
                  <c:v>44440</c:v>
                </c:pt>
                <c:pt idx="436">
                  <c:v>44441</c:v>
                </c:pt>
                <c:pt idx="437">
                  <c:v>44442</c:v>
                </c:pt>
                <c:pt idx="438">
                  <c:v>44445</c:v>
                </c:pt>
                <c:pt idx="439">
                  <c:v>44446</c:v>
                </c:pt>
                <c:pt idx="440">
                  <c:v>44447</c:v>
                </c:pt>
                <c:pt idx="441">
                  <c:v>44448</c:v>
                </c:pt>
                <c:pt idx="442">
                  <c:v>44449</c:v>
                </c:pt>
                <c:pt idx="443">
                  <c:v>44452</c:v>
                </c:pt>
                <c:pt idx="444">
                  <c:v>44453</c:v>
                </c:pt>
                <c:pt idx="445">
                  <c:v>44454</c:v>
                </c:pt>
                <c:pt idx="446">
                  <c:v>44455</c:v>
                </c:pt>
                <c:pt idx="447">
                  <c:v>44456</c:v>
                </c:pt>
                <c:pt idx="448">
                  <c:v>44459</c:v>
                </c:pt>
                <c:pt idx="449">
                  <c:v>44460</c:v>
                </c:pt>
                <c:pt idx="450">
                  <c:v>44461</c:v>
                </c:pt>
                <c:pt idx="451">
                  <c:v>44462</c:v>
                </c:pt>
                <c:pt idx="452">
                  <c:v>44463</c:v>
                </c:pt>
                <c:pt idx="453">
                  <c:v>44466</c:v>
                </c:pt>
                <c:pt idx="454">
                  <c:v>44467</c:v>
                </c:pt>
                <c:pt idx="455">
                  <c:v>44468</c:v>
                </c:pt>
                <c:pt idx="456">
                  <c:v>44469</c:v>
                </c:pt>
                <c:pt idx="457">
                  <c:v>44470</c:v>
                </c:pt>
                <c:pt idx="458">
                  <c:v>44473</c:v>
                </c:pt>
                <c:pt idx="459">
                  <c:v>44474</c:v>
                </c:pt>
                <c:pt idx="460">
                  <c:v>44475</c:v>
                </c:pt>
                <c:pt idx="461">
                  <c:v>44476</c:v>
                </c:pt>
                <c:pt idx="462">
                  <c:v>44477</c:v>
                </c:pt>
                <c:pt idx="463">
                  <c:v>44480</c:v>
                </c:pt>
                <c:pt idx="464">
                  <c:v>44481</c:v>
                </c:pt>
                <c:pt idx="465">
                  <c:v>44482</c:v>
                </c:pt>
                <c:pt idx="466">
                  <c:v>44483</c:v>
                </c:pt>
                <c:pt idx="467">
                  <c:v>44484</c:v>
                </c:pt>
                <c:pt idx="468">
                  <c:v>44487</c:v>
                </c:pt>
                <c:pt idx="469">
                  <c:v>44488</c:v>
                </c:pt>
                <c:pt idx="470">
                  <c:v>44489</c:v>
                </c:pt>
                <c:pt idx="471">
                  <c:v>44490</c:v>
                </c:pt>
                <c:pt idx="472">
                  <c:v>44491</c:v>
                </c:pt>
                <c:pt idx="473">
                  <c:v>44494</c:v>
                </c:pt>
                <c:pt idx="474">
                  <c:v>44495</c:v>
                </c:pt>
                <c:pt idx="475">
                  <c:v>44496</c:v>
                </c:pt>
                <c:pt idx="476">
                  <c:v>44497</c:v>
                </c:pt>
                <c:pt idx="477">
                  <c:v>44498</c:v>
                </c:pt>
                <c:pt idx="478">
                  <c:v>44501</c:v>
                </c:pt>
                <c:pt idx="479">
                  <c:v>44502</c:v>
                </c:pt>
                <c:pt idx="480">
                  <c:v>44503</c:v>
                </c:pt>
                <c:pt idx="481">
                  <c:v>44504</c:v>
                </c:pt>
                <c:pt idx="482">
                  <c:v>44505</c:v>
                </c:pt>
                <c:pt idx="483">
                  <c:v>44508</c:v>
                </c:pt>
                <c:pt idx="484">
                  <c:v>44509</c:v>
                </c:pt>
                <c:pt idx="485">
                  <c:v>44510</c:v>
                </c:pt>
                <c:pt idx="486">
                  <c:v>44511</c:v>
                </c:pt>
                <c:pt idx="487">
                  <c:v>44512</c:v>
                </c:pt>
                <c:pt idx="488">
                  <c:v>44515</c:v>
                </c:pt>
                <c:pt idx="489">
                  <c:v>44516</c:v>
                </c:pt>
                <c:pt idx="490">
                  <c:v>44517</c:v>
                </c:pt>
                <c:pt idx="491">
                  <c:v>44518</c:v>
                </c:pt>
                <c:pt idx="492">
                  <c:v>44519</c:v>
                </c:pt>
                <c:pt idx="493">
                  <c:v>44522</c:v>
                </c:pt>
                <c:pt idx="494">
                  <c:v>44523</c:v>
                </c:pt>
                <c:pt idx="495">
                  <c:v>44524</c:v>
                </c:pt>
                <c:pt idx="496">
                  <c:v>44525</c:v>
                </c:pt>
                <c:pt idx="497">
                  <c:v>44526</c:v>
                </c:pt>
                <c:pt idx="498">
                  <c:v>44529</c:v>
                </c:pt>
                <c:pt idx="499">
                  <c:v>44530</c:v>
                </c:pt>
                <c:pt idx="500">
                  <c:v>44531</c:v>
                </c:pt>
                <c:pt idx="501">
                  <c:v>44532</c:v>
                </c:pt>
                <c:pt idx="502">
                  <c:v>44533</c:v>
                </c:pt>
                <c:pt idx="503">
                  <c:v>44536</c:v>
                </c:pt>
                <c:pt idx="504">
                  <c:v>44537</c:v>
                </c:pt>
                <c:pt idx="505">
                  <c:v>44538</c:v>
                </c:pt>
                <c:pt idx="506">
                  <c:v>44539</c:v>
                </c:pt>
                <c:pt idx="507">
                  <c:v>44540</c:v>
                </c:pt>
                <c:pt idx="508">
                  <c:v>44543</c:v>
                </c:pt>
                <c:pt idx="509">
                  <c:v>44544</c:v>
                </c:pt>
                <c:pt idx="510">
                  <c:v>44545</c:v>
                </c:pt>
                <c:pt idx="511">
                  <c:v>44546</c:v>
                </c:pt>
                <c:pt idx="512">
                  <c:v>44547</c:v>
                </c:pt>
                <c:pt idx="513">
                  <c:v>44550</c:v>
                </c:pt>
                <c:pt idx="514">
                  <c:v>44551</c:v>
                </c:pt>
                <c:pt idx="515">
                  <c:v>44552</c:v>
                </c:pt>
                <c:pt idx="516">
                  <c:v>44553</c:v>
                </c:pt>
                <c:pt idx="517">
                  <c:v>44554</c:v>
                </c:pt>
                <c:pt idx="518">
                  <c:v>44557</c:v>
                </c:pt>
                <c:pt idx="519">
                  <c:v>44558</c:v>
                </c:pt>
                <c:pt idx="520">
                  <c:v>44559</c:v>
                </c:pt>
                <c:pt idx="521">
                  <c:v>44560</c:v>
                </c:pt>
                <c:pt idx="522">
                  <c:v>44561</c:v>
                </c:pt>
                <c:pt idx="523">
                  <c:v>44564</c:v>
                </c:pt>
                <c:pt idx="524">
                  <c:v>44565</c:v>
                </c:pt>
                <c:pt idx="525">
                  <c:v>44566</c:v>
                </c:pt>
                <c:pt idx="526">
                  <c:v>44567</c:v>
                </c:pt>
                <c:pt idx="527">
                  <c:v>44568</c:v>
                </c:pt>
                <c:pt idx="528">
                  <c:v>44571</c:v>
                </c:pt>
                <c:pt idx="529">
                  <c:v>44572</c:v>
                </c:pt>
                <c:pt idx="530">
                  <c:v>44573</c:v>
                </c:pt>
                <c:pt idx="531">
                  <c:v>44574</c:v>
                </c:pt>
                <c:pt idx="532">
                  <c:v>44575</c:v>
                </c:pt>
                <c:pt idx="533">
                  <c:v>44578</c:v>
                </c:pt>
                <c:pt idx="534">
                  <c:v>44579</c:v>
                </c:pt>
                <c:pt idx="535">
                  <c:v>44580</c:v>
                </c:pt>
                <c:pt idx="536">
                  <c:v>44581</c:v>
                </c:pt>
                <c:pt idx="537">
                  <c:v>44582</c:v>
                </c:pt>
                <c:pt idx="538">
                  <c:v>44585</c:v>
                </c:pt>
                <c:pt idx="539">
                  <c:v>44586</c:v>
                </c:pt>
                <c:pt idx="540">
                  <c:v>44587</c:v>
                </c:pt>
                <c:pt idx="541">
                  <c:v>44588</c:v>
                </c:pt>
                <c:pt idx="542">
                  <c:v>44589</c:v>
                </c:pt>
                <c:pt idx="543">
                  <c:v>44592</c:v>
                </c:pt>
                <c:pt idx="544">
                  <c:v>44593</c:v>
                </c:pt>
                <c:pt idx="545">
                  <c:v>44594</c:v>
                </c:pt>
                <c:pt idx="546">
                  <c:v>44595</c:v>
                </c:pt>
                <c:pt idx="547">
                  <c:v>44596</c:v>
                </c:pt>
                <c:pt idx="548">
                  <c:v>44599</c:v>
                </c:pt>
                <c:pt idx="549">
                  <c:v>44600</c:v>
                </c:pt>
                <c:pt idx="550">
                  <c:v>44601</c:v>
                </c:pt>
                <c:pt idx="551">
                  <c:v>44602</c:v>
                </c:pt>
                <c:pt idx="552">
                  <c:v>44603</c:v>
                </c:pt>
                <c:pt idx="553">
                  <c:v>44606</c:v>
                </c:pt>
                <c:pt idx="554">
                  <c:v>44607</c:v>
                </c:pt>
                <c:pt idx="555">
                  <c:v>44608</c:v>
                </c:pt>
                <c:pt idx="556">
                  <c:v>44609</c:v>
                </c:pt>
                <c:pt idx="557">
                  <c:v>44610</c:v>
                </c:pt>
                <c:pt idx="558">
                  <c:v>44613</c:v>
                </c:pt>
                <c:pt idx="559">
                  <c:v>44614</c:v>
                </c:pt>
                <c:pt idx="560">
                  <c:v>44615</c:v>
                </c:pt>
                <c:pt idx="561">
                  <c:v>44616</c:v>
                </c:pt>
                <c:pt idx="562">
                  <c:v>44617</c:v>
                </c:pt>
                <c:pt idx="563">
                  <c:v>44620</c:v>
                </c:pt>
                <c:pt idx="564">
                  <c:v>44621</c:v>
                </c:pt>
                <c:pt idx="565">
                  <c:v>44622</c:v>
                </c:pt>
                <c:pt idx="566">
                  <c:v>44623</c:v>
                </c:pt>
                <c:pt idx="567">
                  <c:v>44624</c:v>
                </c:pt>
                <c:pt idx="568">
                  <c:v>44627</c:v>
                </c:pt>
                <c:pt idx="569">
                  <c:v>44628</c:v>
                </c:pt>
                <c:pt idx="570">
                  <c:v>44629</c:v>
                </c:pt>
                <c:pt idx="571">
                  <c:v>44630</c:v>
                </c:pt>
                <c:pt idx="572">
                  <c:v>44631</c:v>
                </c:pt>
                <c:pt idx="573">
                  <c:v>44634</c:v>
                </c:pt>
                <c:pt idx="574">
                  <c:v>44635</c:v>
                </c:pt>
                <c:pt idx="575">
                  <c:v>44636</c:v>
                </c:pt>
                <c:pt idx="576">
                  <c:v>44637</c:v>
                </c:pt>
                <c:pt idx="577">
                  <c:v>44638</c:v>
                </c:pt>
                <c:pt idx="578">
                  <c:v>44641</c:v>
                </c:pt>
                <c:pt idx="579">
                  <c:v>44642</c:v>
                </c:pt>
                <c:pt idx="580">
                  <c:v>44643</c:v>
                </c:pt>
                <c:pt idx="581">
                  <c:v>44644</c:v>
                </c:pt>
                <c:pt idx="582">
                  <c:v>44645</c:v>
                </c:pt>
                <c:pt idx="583">
                  <c:v>44648</c:v>
                </c:pt>
                <c:pt idx="584">
                  <c:v>44649</c:v>
                </c:pt>
                <c:pt idx="585">
                  <c:v>44650</c:v>
                </c:pt>
                <c:pt idx="586">
                  <c:v>44651</c:v>
                </c:pt>
                <c:pt idx="587">
                  <c:v>44652</c:v>
                </c:pt>
                <c:pt idx="588">
                  <c:v>44655</c:v>
                </c:pt>
                <c:pt idx="589">
                  <c:v>44656</c:v>
                </c:pt>
                <c:pt idx="590">
                  <c:v>44657</c:v>
                </c:pt>
                <c:pt idx="591">
                  <c:v>44658</c:v>
                </c:pt>
                <c:pt idx="592">
                  <c:v>44659</c:v>
                </c:pt>
                <c:pt idx="593">
                  <c:v>44662</c:v>
                </c:pt>
                <c:pt idx="594">
                  <c:v>44663</c:v>
                </c:pt>
                <c:pt idx="595">
                  <c:v>44664</c:v>
                </c:pt>
                <c:pt idx="596">
                  <c:v>44665</c:v>
                </c:pt>
                <c:pt idx="597">
                  <c:v>44666</c:v>
                </c:pt>
                <c:pt idx="598">
                  <c:v>44669</c:v>
                </c:pt>
                <c:pt idx="599">
                  <c:v>44670</c:v>
                </c:pt>
                <c:pt idx="600">
                  <c:v>44671</c:v>
                </c:pt>
                <c:pt idx="601">
                  <c:v>44672</c:v>
                </c:pt>
                <c:pt idx="602">
                  <c:v>44673</c:v>
                </c:pt>
                <c:pt idx="603">
                  <c:v>44676</c:v>
                </c:pt>
                <c:pt idx="604">
                  <c:v>44677</c:v>
                </c:pt>
                <c:pt idx="605">
                  <c:v>44678</c:v>
                </c:pt>
                <c:pt idx="606">
                  <c:v>44679</c:v>
                </c:pt>
                <c:pt idx="607">
                  <c:v>44680</c:v>
                </c:pt>
                <c:pt idx="608">
                  <c:v>44683</c:v>
                </c:pt>
                <c:pt idx="609">
                  <c:v>44684</c:v>
                </c:pt>
                <c:pt idx="610">
                  <c:v>44685</c:v>
                </c:pt>
                <c:pt idx="611">
                  <c:v>44686</c:v>
                </c:pt>
                <c:pt idx="612">
                  <c:v>44687</c:v>
                </c:pt>
                <c:pt idx="613">
                  <c:v>44690</c:v>
                </c:pt>
                <c:pt idx="614">
                  <c:v>44691</c:v>
                </c:pt>
                <c:pt idx="615">
                  <c:v>44692</c:v>
                </c:pt>
                <c:pt idx="616">
                  <c:v>44693</c:v>
                </c:pt>
                <c:pt idx="617">
                  <c:v>44694</c:v>
                </c:pt>
                <c:pt idx="618">
                  <c:v>44697</c:v>
                </c:pt>
                <c:pt idx="619">
                  <c:v>44698</c:v>
                </c:pt>
                <c:pt idx="620">
                  <c:v>44699</c:v>
                </c:pt>
                <c:pt idx="621">
                  <c:v>44700</c:v>
                </c:pt>
                <c:pt idx="622">
                  <c:v>44701</c:v>
                </c:pt>
                <c:pt idx="623">
                  <c:v>44704</c:v>
                </c:pt>
                <c:pt idx="624">
                  <c:v>44705</c:v>
                </c:pt>
                <c:pt idx="625">
                  <c:v>44706</c:v>
                </c:pt>
                <c:pt idx="626">
                  <c:v>44707</c:v>
                </c:pt>
                <c:pt idx="627">
                  <c:v>44708</c:v>
                </c:pt>
                <c:pt idx="628">
                  <c:v>44711</c:v>
                </c:pt>
                <c:pt idx="629">
                  <c:v>44712</c:v>
                </c:pt>
                <c:pt idx="630">
                  <c:v>44713</c:v>
                </c:pt>
                <c:pt idx="631">
                  <c:v>44714</c:v>
                </c:pt>
                <c:pt idx="632">
                  <c:v>44715</c:v>
                </c:pt>
                <c:pt idx="633">
                  <c:v>44718</c:v>
                </c:pt>
                <c:pt idx="634">
                  <c:v>44719</c:v>
                </c:pt>
                <c:pt idx="635">
                  <c:v>44720</c:v>
                </c:pt>
                <c:pt idx="636">
                  <c:v>44721</c:v>
                </c:pt>
                <c:pt idx="637">
                  <c:v>44722</c:v>
                </c:pt>
                <c:pt idx="638">
                  <c:v>44725</c:v>
                </c:pt>
                <c:pt idx="639">
                  <c:v>44726</c:v>
                </c:pt>
                <c:pt idx="640">
                  <c:v>44727</c:v>
                </c:pt>
                <c:pt idx="641">
                  <c:v>44728</c:v>
                </c:pt>
                <c:pt idx="642">
                  <c:v>44729</c:v>
                </c:pt>
                <c:pt idx="643">
                  <c:v>44732</c:v>
                </c:pt>
                <c:pt idx="644">
                  <c:v>44733</c:v>
                </c:pt>
                <c:pt idx="645">
                  <c:v>44734</c:v>
                </c:pt>
                <c:pt idx="646">
                  <c:v>44735</c:v>
                </c:pt>
                <c:pt idx="647">
                  <c:v>44736</c:v>
                </c:pt>
                <c:pt idx="648">
                  <c:v>44739</c:v>
                </c:pt>
                <c:pt idx="649">
                  <c:v>44740</c:v>
                </c:pt>
                <c:pt idx="650">
                  <c:v>44741</c:v>
                </c:pt>
                <c:pt idx="651">
                  <c:v>44742</c:v>
                </c:pt>
                <c:pt idx="652">
                  <c:v>44743</c:v>
                </c:pt>
                <c:pt idx="653">
                  <c:v>44746</c:v>
                </c:pt>
                <c:pt idx="654">
                  <c:v>44747</c:v>
                </c:pt>
                <c:pt idx="655">
                  <c:v>44748</c:v>
                </c:pt>
                <c:pt idx="656">
                  <c:v>44749</c:v>
                </c:pt>
                <c:pt idx="657">
                  <c:v>44750</c:v>
                </c:pt>
                <c:pt idx="658">
                  <c:v>44753</c:v>
                </c:pt>
                <c:pt idx="659">
                  <c:v>44754</c:v>
                </c:pt>
                <c:pt idx="660">
                  <c:v>44755</c:v>
                </c:pt>
                <c:pt idx="661">
                  <c:v>44756</c:v>
                </c:pt>
                <c:pt idx="662">
                  <c:v>44757</c:v>
                </c:pt>
                <c:pt idx="663">
                  <c:v>44760</c:v>
                </c:pt>
                <c:pt idx="664">
                  <c:v>44761</c:v>
                </c:pt>
                <c:pt idx="665">
                  <c:v>44762</c:v>
                </c:pt>
                <c:pt idx="666">
                  <c:v>44763</c:v>
                </c:pt>
                <c:pt idx="667">
                  <c:v>44764</c:v>
                </c:pt>
                <c:pt idx="668">
                  <c:v>44767</c:v>
                </c:pt>
                <c:pt idx="669">
                  <c:v>44768</c:v>
                </c:pt>
                <c:pt idx="670">
                  <c:v>44769</c:v>
                </c:pt>
                <c:pt idx="671">
                  <c:v>44770</c:v>
                </c:pt>
                <c:pt idx="672">
                  <c:v>44771</c:v>
                </c:pt>
                <c:pt idx="673">
                  <c:v>44774</c:v>
                </c:pt>
                <c:pt idx="674">
                  <c:v>44775</c:v>
                </c:pt>
                <c:pt idx="675">
                  <c:v>44776</c:v>
                </c:pt>
                <c:pt idx="676">
                  <c:v>44777</c:v>
                </c:pt>
                <c:pt idx="677">
                  <c:v>44778</c:v>
                </c:pt>
                <c:pt idx="678">
                  <c:v>44781</c:v>
                </c:pt>
                <c:pt idx="679">
                  <c:v>44782</c:v>
                </c:pt>
                <c:pt idx="680">
                  <c:v>44783</c:v>
                </c:pt>
                <c:pt idx="681">
                  <c:v>44784</c:v>
                </c:pt>
                <c:pt idx="682">
                  <c:v>44785</c:v>
                </c:pt>
                <c:pt idx="683">
                  <c:v>44788</c:v>
                </c:pt>
                <c:pt idx="684">
                  <c:v>44789</c:v>
                </c:pt>
                <c:pt idx="685">
                  <c:v>44790</c:v>
                </c:pt>
                <c:pt idx="686">
                  <c:v>44791</c:v>
                </c:pt>
                <c:pt idx="687">
                  <c:v>44792</c:v>
                </c:pt>
                <c:pt idx="688">
                  <c:v>44795</c:v>
                </c:pt>
                <c:pt idx="689">
                  <c:v>44796</c:v>
                </c:pt>
                <c:pt idx="690">
                  <c:v>44797</c:v>
                </c:pt>
                <c:pt idx="691">
                  <c:v>44798</c:v>
                </c:pt>
                <c:pt idx="692">
                  <c:v>44799</c:v>
                </c:pt>
                <c:pt idx="693">
                  <c:v>44802</c:v>
                </c:pt>
                <c:pt idx="694">
                  <c:v>44803</c:v>
                </c:pt>
                <c:pt idx="695">
                  <c:v>44804</c:v>
                </c:pt>
                <c:pt idx="696">
                  <c:v>44805</c:v>
                </c:pt>
                <c:pt idx="697">
                  <c:v>44806</c:v>
                </c:pt>
                <c:pt idx="698">
                  <c:v>44809</c:v>
                </c:pt>
                <c:pt idx="699">
                  <c:v>44810</c:v>
                </c:pt>
                <c:pt idx="700">
                  <c:v>44811</c:v>
                </c:pt>
                <c:pt idx="701">
                  <c:v>44812</c:v>
                </c:pt>
                <c:pt idx="702">
                  <c:v>44813</c:v>
                </c:pt>
                <c:pt idx="703">
                  <c:v>44816</c:v>
                </c:pt>
                <c:pt idx="704">
                  <c:v>44817</c:v>
                </c:pt>
                <c:pt idx="705">
                  <c:v>44818</c:v>
                </c:pt>
                <c:pt idx="706">
                  <c:v>44819</c:v>
                </c:pt>
                <c:pt idx="707">
                  <c:v>44820</c:v>
                </c:pt>
                <c:pt idx="708">
                  <c:v>44823</c:v>
                </c:pt>
                <c:pt idx="709">
                  <c:v>44824</c:v>
                </c:pt>
                <c:pt idx="710">
                  <c:v>44825</c:v>
                </c:pt>
                <c:pt idx="711">
                  <c:v>44826</c:v>
                </c:pt>
                <c:pt idx="712">
                  <c:v>44827</c:v>
                </c:pt>
                <c:pt idx="713">
                  <c:v>44830</c:v>
                </c:pt>
                <c:pt idx="714">
                  <c:v>44831</c:v>
                </c:pt>
                <c:pt idx="715">
                  <c:v>44832</c:v>
                </c:pt>
                <c:pt idx="716">
                  <c:v>44833</c:v>
                </c:pt>
                <c:pt idx="717">
                  <c:v>44834</c:v>
                </c:pt>
                <c:pt idx="718">
                  <c:v>44837</c:v>
                </c:pt>
                <c:pt idx="719">
                  <c:v>44838</c:v>
                </c:pt>
                <c:pt idx="720">
                  <c:v>44839</c:v>
                </c:pt>
                <c:pt idx="721">
                  <c:v>44840</c:v>
                </c:pt>
                <c:pt idx="722">
                  <c:v>44841</c:v>
                </c:pt>
                <c:pt idx="723">
                  <c:v>44844</c:v>
                </c:pt>
                <c:pt idx="724">
                  <c:v>44845</c:v>
                </c:pt>
                <c:pt idx="725">
                  <c:v>44846</c:v>
                </c:pt>
                <c:pt idx="726">
                  <c:v>44847</c:v>
                </c:pt>
                <c:pt idx="727">
                  <c:v>44848</c:v>
                </c:pt>
                <c:pt idx="728">
                  <c:v>44851</c:v>
                </c:pt>
                <c:pt idx="729">
                  <c:v>44852</c:v>
                </c:pt>
                <c:pt idx="730">
                  <c:v>44853</c:v>
                </c:pt>
                <c:pt idx="731">
                  <c:v>44854</c:v>
                </c:pt>
                <c:pt idx="732">
                  <c:v>44855</c:v>
                </c:pt>
                <c:pt idx="733">
                  <c:v>44858</c:v>
                </c:pt>
                <c:pt idx="734">
                  <c:v>44859</c:v>
                </c:pt>
                <c:pt idx="735">
                  <c:v>44860</c:v>
                </c:pt>
                <c:pt idx="736">
                  <c:v>44861</c:v>
                </c:pt>
                <c:pt idx="737">
                  <c:v>44862</c:v>
                </c:pt>
                <c:pt idx="738">
                  <c:v>44865</c:v>
                </c:pt>
                <c:pt idx="739">
                  <c:v>44866</c:v>
                </c:pt>
                <c:pt idx="740">
                  <c:v>44867</c:v>
                </c:pt>
                <c:pt idx="741">
                  <c:v>44868</c:v>
                </c:pt>
                <c:pt idx="742">
                  <c:v>44869</c:v>
                </c:pt>
                <c:pt idx="743">
                  <c:v>44872</c:v>
                </c:pt>
                <c:pt idx="744">
                  <c:v>44873</c:v>
                </c:pt>
                <c:pt idx="745">
                  <c:v>44874</c:v>
                </c:pt>
                <c:pt idx="746">
                  <c:v>44875</c:v>
                </c:pt>
                <c:pt idx="747">
                  <c:v>44876</c:v>
                </c:pt>
                <c:pt idx="748">
                  <c:v>44879</c:v>
                </c:pt>
                <c:pt idx="749">
                  <c:v>44880</c:v>
                </c:pt>
                <c:pt idx="750">
                  <c:v>44881</c:v>
                </c:pt>
                <c:pt idx="751">
                  <c:v>44882</c:v>
                </c:pt>
                <c:pt idx="752">
                  <c:v>44883</c:v>
                </c:pt>
                <c:pt idx="753">
                  <c:v>44886</c:v>
                </c:pt>
                <c:pt idx="754">
                  <c:v>44887</c:v>
                </c:pt>
                <c:pt idx="755">
                  <c:v>44888</c:v>
                </c:pt>
                <c:pt idx="756">
                  <c:v>44889</c:v>
                </c:pt>
                <c:pt idx="757">
                  <c:v>44890</c:v>
                </c:pt>
                <c:pt idx="758">
                  <c:v>44893</c:v>
                </c:pt>
                <c:pt idx="759">
                  <c:v>44894</c:v>
                </c:pt>
                <c:pt idx="760">
                  <c:v>44895</c:v>
                </c:pt>
                <c:pt idx="761">
                  <c:v>44896</c:v>
                </c:pt>
                <c:pt idx="762">
                  <c:v>44897</c:v>
                </c:pt>
                <c:pt idx="763">
                  <c:v>44900</c:v>
                </c:pt>
                <c:pt idx="764">
                  <c:v>44901</c:v>
                </c:pt>
                <c:pt idx="765">
                  <c:v>44902</c:v>
                </c:pt>
                <c:pt idx="766">
                  <c:v>44903</c:v>
                </c:pt>
                <c:pt idx="767">
                  <c:v>44904</c:v>
                </c:pt>
                <c:pt idx="768">
                  <c:v>44907</c:v>
                </c:pt>
                <c:pt idx="769">
                  <c:v>44908</c:v>
                </c:pt>
                <c:pt idx="770">
                  <c:v>44909</c:v>
                </c:pt>
                <c:pt idx="771">
                  <c:v>44910</c:v>
                </c:pt>
                <c:pt idx="772">
                  <c:v>44911</c:v>
                </c:pt>
                <c:pt idx="773">
                  <c:v>44914</c:v>
                </c:pt>
                <c:pt idx="774">
                  <c:v>44915</c:v>
                </c:pt>
                <c:pt idx="775">
                  <c:v>44916</c:v>
                </c:pt>
                <c:pt idx="776">
                  <c:v>44917</c:v>
                </c:pt>
                <c:pt idx="777">
                  <c:v>44918</c:v>
                </c:pt>
                <c:pt idx="778">
                  <c:v>44921</c:v>
                </c:pt>
                <c:pt idx="779">
                  <c:v>44922</c:v>
                </c:pt>
                <c:pt idx="780">
                  <c:v>44923</c:v>
                </c:pt>
                <c:pt idx="781">
                  <c:v>44924</c:v>
                </c:pt>
                <c:pt idx="782">
                  <c:v>44925</c:v>
                </c:pt>
                <c:pt idx="783">
                  <c:v>44928</c:v>
                </c:pt>
                <c:pt idx="784">
                  <c:v>44929</c:v>
                </c:pt>
                <c:pt idx="785">
                  <c:v>44930</c:v>
                </c:pt>
                <c:pt idx="786">
                  <c:v>44931</c:v>
                </c:pt>
                <c:pt idx="787">
                  <c:v>44932</c:v>
                </c:pt>
                <c:pt idx="788">
                  <c:v>44935</c:v>
                </c:pt>
                <c:pt idx="789">
                  <c:v>44936</c:v>
                </c:pt>
                <c:pt idx="790">
                  <c:v>44937</c:v>
                </c:pt>
                <c:pt idx="791">
                  <c:v>44938</c:v>
                </c:pt>
                <c:pt idx="792">
                  <c:v>44939</c:v>
                </c:pt>
                <c:pt idx="793">
                  <c:v>44942</c:v>
                </c:pt>
                <c:pt idx="794">
                  <c:v>44943</c:v>
                </c:pt>
                <c:pt idx="795">
                  <c:v>44944</c:v>
                </c:pt>
                <c:pt idx="796">
                  <c:v>44945</c:v>
                </c:pt>
                <c:pt idx="797">
                  <c:v>44946</c:v>
                </c:pt>
                <c:pt idx="798">
                  <c:v>44949</c:v>
                </c:pt>
                <c:pt idx="799">
                  <c:v>44950</c:v>
                </c:pt>
                <c:pt idx="800">
                  <c:v>44951</c:v>
                </c:pt>
                <c:pt idx="801">
                  <c:v>44952</c:v>
                </c:pt>
                <c:pt idx="802">
                  <c:v>44953</c:v>
                </c:pt>
                <c:pt idx="803">
                  <c:v>44956</c:v>
                </c:pt>
                <c:pt idx="804">
                  <c:v>44957</c:v>
                </c:pt>
                <c:pt idx="805">
                  <c:v>44958</c:v>
                </c:pt>
                <c:pt idx="806">
                  <c:v>44959</c:v>
                </c:pt>
                <c:pt idx="807">
                  <c:v>44960</c:v>
                </c:pt>
                <c:pt idx="808">
                  <c:v>44963</c:v>
                </c:pt>
                <c:pt idx="809">
                  <c:v>44964</c:v>
                </c:pt>
                <c:pt idx="810">
                  <c:v>44965</c:v>
                </c:pt>
                <c:pt idx="811">
                  <c:v>44966</c:v>
                </c:pt>
                <c:pt idx="812">
                  <c:v>44967</c:v>
                </c:pt>
                <c:pt idx="813">
                  <c:v>44970</c:v>
                </c:pt>
                <c:pt idx="814">
                  <c:v>44971</c:v>
                </c:pt>
                <c:pt idx="815">
                  <c:v>44972</c:v>
                </c:pt>
                <c:pt idx="816">
                  <c:v>44973</c:v>
                </c:pt>
                <c:pt idx="817">
                  <c:v>44974</c:v>
                </c:pt>
                <c:pt idx="818">
                  <c:v>44977</c:v>
                </c:pt>
                <c:pt idx="819">
                  <c:v>44978</c:v>
                </c:pt>
                <c:pt idx="820">
                  <c:v>44979</c:v>
                </c:pt>
                <c:pt idx="821">
                  <c:v>44980</c:v>
                </c:pt>
                <c:pt idx="822">
                  <c:v>44981</c:v>
                </c:pt>
                <c:pt idx="823">
                  <c:v>44984</c:v>
                </c:pt>
                <c:pt idx="824">
                  <c:v>44985</c:v>
                </c:pt>
                <c:pt idx="825">
                  <c:v>44986</c:v>
                </c:pt>
                <c:pt idx="826">
                  <c:v>44987</c:v>
                </c:pt>
                <c:pt idx="827">
                  <c:v>44988</c:v>
                </c:pt>
                <c:pt idx="828">
                  <c:v>44991</c:v>
                </c:pt>
                <c:pt idx="829">
                  <c:v>44992</c:v>
                </c:pt>
                <c:pt idx="830">
                  <c:v>44993</c:v>
                </c:pt>
                <c:pt idx="831">
                  <c:v>44994</c:v>
                </c:pt>
                <c:pt idx="832">
                  <c:v>44995</c:v>
                </c:pt>
                <c:pt idx="833">
                  <c:v>44998</c:v>
                </c:pt>
                <c:pt idx="834">
                  <c:v>44999</c:v>
                </c:pt>
                <c:pt idx="835">
                  <c:v>45000</c:v>
                </c:pt>
                <c:pt idx="836">
                  <c:v>45001</c:v>
                </c:pt>
                <c:pt idx="837">
                  <c:v>45002</c:v>
                </c:pt>
                <c:pt idx="838">
                  <c:v>45005</c:v>
                </c:pt>
                <c:pt idx="839">
                  <c:v>45006</c:v>
                </c:pt>
                <c:pt idx="840">
                  <c:v>45007</c:v>
                </c:pt>
                <c:pt idx="841">
                  <c:v>45008</c:v>
                </c:pt>
                <c:pt idx="842">
                  <c:v>45009</c:v>
                </c:pt>
                <c:pt idx="843">
                  <c:v>45012</c:v>
                </c:pt>
                <c:pt idx="844">
                  <c:v>45013</c:v>
                </c:pt>
                <c:pt idx="845">
                  <c:v>45014</c:v>
                </c:pt>
                <c:pt idx="846">
                  <c:v>45015</c:v>
                </c:pt>
                <c:pt idx="847">
                  <c:v>45016</c:v>
                </c:pt>
                <c:pt idx="848">
                  <c:v>45019</c:v>
                </c:pt>
                <c:pt idx="849">
                  <c:v>45020</c:v>
                </c:pt>
                <c:pt idx="850">
                  <c:v>45021</c:v>
                </c:pt>
                <c:pt idx="851">
                  <c:v>45022</c:v>
                </c:pt>
                <c:pt idx="852">
                  <c:v>45023</c:v>
                </c:pt>
                <c:pt idx="853">
                  <c:v>45026</c:v>
                </c:pt>
                <c:pt idx="854">
                  <c:v>45027</c:v>
                </c:pt>
                <c:pt idx="855">
                  <c:v>45028</c:v>
                </c:pt>
                <c:pt idx="856">
                  <c:v>45029</c:v>
                </c:pt>
                <c:pt idx="857">
                  <c:v>45030</c:v>
                </c:pt>
                <c:pt idx="858">
                  <c:v>45033</c:v>
                </c:pt>
                <c:pt idx="859">
                  <c:v>45034</c:v>
                </c:pt>
                <c:pt idx="860">
                  <c:v>45035</c:v>
                </c:pt>
                <c:pt idx="861">
                  <c:v>45036</c:v>
                </c:pt>
                <c:pt idx="862">
                  <c:v>45037</c:v>
                </c:pt>
                <c:pt idx="863">
                  <c:v>45040</c:v>
                </c:pt>
                <c:pt idx="864">
                  <c:v>45041</c:v>
                </c:pt>
                <c:pt idx="865">
                  <c:v>45042</c:v>
                </c:pt>
                <c:pt idx="866">
                  <c:v>45043</c:v>
                </c:pt>
                <c:pt idx="867">
                  <c:v>45044</c:v>
                </c:pt>
                <c:pt idx="868">
                  <c:v>45047</c:v>
                </c:pt>
                <c:pt idx="869">
                  <c:v>45048</c:v>
                </c:pt>
                <c:pt idx="870">
                  <c:v>45049</c:v>
                </c:pt>
                <c:pt idx="871">
                  <c:v>45050</c:v>
                </c:pt>
                <c:pt idx="872">
                  <c:v>45051</c:v>
                </c:pt>
                <c:pt idx="873">
                  <c:v>45054</c:v>
                </c:pt>
                <c:pt idx="874">
                  <c:v>45055</c:v>
                </c:pt>
                <c:pt idx="875">
                  <c:v>45056</c:v>
                </c:pt>
                <c:pt idx="876">
                  <c:v>45057</c:v>
                </c:pt>
                <c:pt idx="877">
                  <c:v>45058</c:v>
                </c:pt>
                <c:pt idx="878">
                  <c:v>45061</c:v>
                </c:pt>
                <c:pt idx="879">
                  <c:v>45062</c:v>
                </c:pt>
                <c:pt idx="880">
                  <c:v>45063</c:v>
                </c:pt>
                <c:pt idx="881">
                  <c:v>45064</c:v>
                </c:pt>
                <c:pt idx="882">
                  <c:v>45065</c:v>
                </c:pt>
                <c:pt idx="883">
                  <c:v>45068</c:v>
                </c:pt>
                <c:pt idx="884">
                  <c:v>45069</c:v>
                </c:pt>
                <c:pt idx="885">
                  <c:v>45070</c:v>
                </c:pt>
                <c:pt idx="886">
                  <c:v>45071</c:v>
                </c:pt>
                <c:pt idx="887">
                  <c:v>45072</c:v>
                </c:pt>
                <c:pt idx="888">
                  <c:v>45075</c:v>
                </c:pt>
                <c:pt idx="889">
                  <c:v>45076</c:v>
                </c:pt>
                <c:pt idx="890">
                  <c:v>45077</c:v>
                </c:pt>
                <c:pt idx="891">
                  <c:v>45078</c:v>
                </c:pt>
                <c:pt idx="892">
                  <c:v>45079</c:v>
                </c:pt>
                <c:pt idx="893">
                  <c:v>45082</c:v>
                </c:pt>
                <c:pt idx="894">
                  <c:v>45083</c:v>
                </c:pt>
                <c:pt idx="895">
                  <c:v>45084</c:v>
                </c:pt>
                <c:pt idx="896">
                  <c:v>45085</c:v>
                </c:pt>
                <c:pt idx="897">
                  <c:v>45086</c:v>
                </c:pt>
                <c:pt idx="898">
                  <c:v>45089</c:v>
                </c:pt>
                <c:pt idx="899">
                  <c:v>45090</c:v>
                </c:pt>
                <c:pt idx="900">
                  <c:v>45091</c:v>
                </c:pt>
                <c:pt idx="901">
                  <c:v>45092</c:v>
                </c:pt>
                <c:pt idx="902">
                  <c:v>45093</c:v>
                </c:pt>
                <c:pt idx="903">
                  <c:v>45096</c:v>
                </c:pt>
                <c:pt idx="904">
                  <c:v>45097</c:v>
                </c:pt>
                <c:pt idx="905">
                  <c:v>45098</c:v>
                </c:pt>
                <c:pt idx="906">
                  <c:v>45099</c:v>
                </c:pt>
                <c:pt idx="907">
                  <c:v>45100</c:v>
                </c:pt>
                <c:pt idx="908">
                  <c:v>45103</c:v>
                </c:pt>
                <c:pt idx="909">
                  <c:v>45104</c:v>
                </c:pt>
                <c:pt idx="910">
                  <c:v>45105</c:v>
                </c:pt>
                <c:pt idx="911">
                  <c:v>45106</c:v>
                </c:pt>
                <c:pt idx="912">
                  <c:v>45107</c:v>
                </c:pt>
                <c:pt idx="913">
                  <c:v>45110</c:v>
                </c:pt>
                <c:pt idx="914">
                  <c:v>45111</c:v>
                </c:pt>
                <c:pt idx="915">
                  <c:v>45112</c:v>
                </c:pt>
                <c:pt idx="916">
                  <c:v>45113</c:v>
                </c:pt>
                <c:pt idx="917">
                  <c:v>45114</c:v>
                </c:pt>
                <c:pt idx="918">
                  <c:v>45117</c:v>
                </c:pt>
                <c:pt idx="919">
                  <c:v>45118</c:v>
                </c:pt>
                <c:pt idx="920">
                  <c:v>45119</c:v>
                </c:pt>
                <c:pt idx="921">
                  <c:v>45120</c:v>
                </c:pt>
                <c:pt idx="922">
                  <c:v>45121</c:v>
                </c:pt>
                <c:pt idx="923">
                  <c:v>45124</c:v>
                </c:pt>
                <c:pt idx="924">
                  <c:v>45125</c:v>
                </c:pt>
                <c:pt idx="925">
                  <c:v>45126</c:v>
                </c:pt>
                <c:pt idx="926">
                  <c:v>45127</c:v>
                </c:pt>
                <c:pt idx="927">
                  <c:v>45128</c:v>
                </c:pt>
                <c:pt idx="928">
                  <c:v>45131</c:v>
                </c:pt>
                <c:pt idx="929">
                  <c:v>45132</c:v>
                </c:pt>
                <c:pt idx="930">
                  <c:v>45133</c:v>
                </c:pt>
                <c:pt idx="931">
                  <c:v>45134</c:v>
                </c:pt>
                <c:pt idx="932">
                  <c:v>45135</c:v>
                </c:pt>
                <c:pt idx="933">
                  <c:v>45138</c:v>
                </c:pt>
                <c:pt idx="934">
                  <c:v>45139</c:v>
                </c:pt>
                <c:pt idx="935">
                  <c:v>45140</c:v>
                </c:pt>
                <c:pt idx="936">
                  <c:v>45141</c:v>
                </c:pt>
                <c:pt idx="937">
                  <c:v>45142</c:v>
                </c:pt>
                <c:pt idx="938">
                  <c:v>45145</c:v>
                </c:pt>
                <c:pt idx="939">
                  <c:v>45146</c:v>
                </c:pt>
                <c:pt idx="940">
                  <c:v>45147</c:v>
                </c:pt>
                <c:pt idx="941">
                  <c:v>45148</c:v>
                </c:pt>
                <c:pt idx="942">
                  <c:v>45149</c:v>
                </c:pt>
                <c:pt idx="943">
                  <c:v>45152</c:v>
                </c:pt>
                <c:pt idx="944">
                  <c:v>45153</c:v>
                </c:pt>
                <c:pt idx="945">
                  <c:v>45154</c:v>
                </c:pt>
                <c:pt idx="946">
                  <c:v>45155</c:v>
                </c:pt>
                <c:pt idx="947">
                  <c:v>45156</c:v>
                </c:pt>
                <c:pt idx="948">
                  <c:v>45159</c:v>
                </c:pt>
                <c:pt idx="949">
                  <c:v>45160</c:v>
                </c:pt>
                <c:pt idx="950">
                  <c:v>45161</c:v>
                </c:pt>
                <c:pt idx="951">
                  <c:v>45162</c:v>
                </c:pt>
                <c:pt idx="952">
                  <c:v>45163</c:v>
                </c:pt>
                <c:pt idx="953">
                  <c:v>45166</c:v>
                </c:pt>
                <c:pt idx="954">
                  <c:v>45167</c:v>
                </c:pt>
                <c:pt idx="955">
                  <c:v>45168</c:v>
                </c:pt>
                <c:pt idx="956">
                  <c:v>45169</c:v>
                </c:pt>
                <c:pt idx="957">
                  <c:v>45170</c:v>
                </c:pt>
                <c:pt idx="958">
                  <c:v>45173</c:v>
                </c:pt>
                <c:pt idx="959">
                  <c:v>45174</c:v>
                </c:pt>
                <c:pt idx="960">
                  <c:v>45175</c:v>
                </c:pt>
                <c:pt idx="961">
                  <c:v>45176</c:v>
                </c:pt>
                <c:pt idx="962">
                  <c:v>45177</c:v>
                </c:pt>
                <c:pt idx="963">
                  <c:v>45180</c:v>
                </c:pt>
              </c:numCache>
            </c:numRef>
          </c:cat>
          <c:val>
            <c:numRef>
              <c:f>Sheet1!$K$2:$K$1226</c:f>
            </c:numRef>
          </c:val>
          <c:smooth val="0"/>
          <c:extLst>
            <c:ext xmlns:c16="http://schemas.microsoft.com/office/drawing/2014/chart" uri="{C3380CC4-5D6E-409C-BE32-E72D297353CC}">
              <c16:uniqueId val="{00000005-EBC4-4222-8B88-73469225685A}"/>
            </c:ext>
          </c:extLst>
        </c:ser>
        <c:dLbls>
          <c:showLegendKey val="0"/>
          <c:showVal val="0"/>
          <c:showCatName val="0"/>
          <c:showSerName val="0"/>
          <c:showPercent val="0"/>
          <c:showBubbleSize val="0"/>
        </c:dLbls>
        <c:marker val="1"/>
        <c:smooth val="0"/>
        <c:axId val="1701951008"/>
        <c:axId val="1701959168"/>
      </c:lineChart>
      <c:dateAx>
        <c:axId val="1701942304"/>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701948288"/>
        <c:crosses val="autoZero"/>
        <c:auto val="1"/>
        <c:lblOffset val="100"/>
        <c:baseTimeUnit val="days"/>
      </c:dateAx>
      <c:valAx>
        <c:axId val="1701948288"/>
        <c:scaling>
          <c:orientation val="minMax"/>
          <c:max val="2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hy-AM" sz="900"/>
                  <a:t>տոկոսային կետ</a:t>
                </a:r>
                <a:endParaRPr lang="en-US" sz="900"/>
              </a:p>
            </c:rich>
          </c:tx>
          <c:layout>
            <c:manualLayout>
              <c:xMode val="edge"/>
              <c:yMode val="edge"/>
              <c:x val="0"/>
              <c:y val="0.229790165118249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942304"/>
        <c:crosses val="autoZero"/>
        <c:crossBetween val="between"/>
        <c:majorUnit val="5"/>
      </c:valAx>
      <c:valAx>
        <c:axId val="1701959168"/>
        <c:scaling>
          <c:orientation val="minMax"/>
          <c:max val="1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951008"/>
        <c:crosses val="max"/>
        <c:crossBetween val="between"/>
        <c:majorUnit val="20"/>
        <c:minorUnit val="5"/>
      </c:valAx>
      <c:dateAx>
        <c:axId val="1701951008"/>
        <c:scaling>
          <c:orientation val="minMax"/>
        </c:scaling>
        <c:delete val="1"/>
        <c:axPos val="b"/>
        <c:numFmt formatCode="m\/d\/yyyy" sourceLinked="1"/>
        <c:majorTickMark val="out"/>
        <c:minorTickMark val="none"/>
        <c:tickLblPos val="nextTo"/>
        <c:crossAx val="1701959168"/>
        <c:crosses val="autoZero"/>
        <c:auto val="1"/>
        <c:lblOffset val="100"/>
        <c:baseTimeUnit val="days"/>
      </c:dateAx>
      <c:spPr>
        <a:noFill/>
        <a:ln>
          <a:noFill/>
        </a:ln>
        <a:effectLst/>
      </c:spPr>
    </c:plotArea>
    <c:legend>
      <c:legendPos val="b"/>
      <c:layout>
        <c:manualLayout>
          <c:xMode val="edge"/>
          <c:yMode val="edge"/>
          <c:x val="0"/>
          <c:y val="0.77018098247630007"/>
          <c:w val="0.96221261097200095"/>
          <c:h val="0.22407354208560756"/>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90033979737642"/>
          <c:y val="6.6493995043935883E-2"/>
          <c:w val="0.86270095598017105"/>
          <c:h val="0.5922537355309736"/>
        </c:manualLayout>
      </c:layout>
      <c:barChart>
        <c:barDir val="col"/>
        <c:grouping val="stacked"/>
        <c:varyColors val="0"/>
        <c:ser>
          <c:idx val="1"/>
          <c:order val="1"/>
          <c:tx>
            <c:strRef>
              <c:f>Sheet1!$D$1</c:f>
              <c:strCache>
                <c:ptCount val="1"/>
                <c:pt idx="0">
                  <c:v>Զուտ հարկեր</c:v>
                </c:pt>
              </c:strCache>
            </c:strRef>
          </c:tx>
          <c:spPr>
            <a:solidFill>
              <a:srgbClr val="4472C4">
                <a:lumMod val="50000"/>
              </a:srgbClr>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Sheet1!$D$2:$D$7</c:f>
              <c:numCache>
                <c:formatCode>0.0</c:formatCode>
                <c:ptCount val="6"/>
                <c:pt idx="0">
                  <c:v>0.27702488876370829</c:v>
                </c:pt>
                <c:pt idx="1">
                  <c:v>0.8855508278744606</c:v>
                </c:pt>
                <c:pt idx="2">
                  <c:v>1.0057196232384971</c:v>
                </c:pt>
                <c:pt idx="3">
                  <c:v>1.2055953115529729</c:v>
                </c:pt>
                <c:pt idx="4">
                  <c:v>1.5440788583636966</c:v>
                </c:pt>
                <c:pt idx="5">
                  <c:v>1.8821620637792893</c:v>
                </c:pt>
              </c:numCache>
            </c:numRef>
          </c:val>
          <c:extLst>
            <c:ext xmlns:c16="http://schemas.microsoft.com/office/drawing/2014/chart" uri="{C3380CC4-5D6E-409C-BE32-E72D297353CC}">
              <c16:uniqueId val="{00000000-447D-484A-B0EA-82C80DD84858}"/>
            </c:ext>
          </c:extLst>
        </c:ser>
        <c:ser>
          <c:idx val="2"/>
          <c:order val="2"/>
          <c:tx>
            <c:strRef>
              <c:f>Sheet1!$E$1</c:f>
              <c:strCache>
                <c:ptCount val="1"/>
                <c:pt idx="0">
                  <c:v>Արդյունաբերություն</c:v>
                </c:pt>
              </c:strCache>
            </c:strRef>
          </c:tx>
          <c:spPr>
            <a:solidFill>
              <a:srgbClr val="4472C4">
                <a:lumMod val="40000"/>
                <a:lumOff val="60000"/>
              </a:srgbClr>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Sheet1!$E$2:$E$7</c:f>
              <c:numCache>
                <c:formatCode>0.0</c:formatCode>
                <c:ptCount val="6"/>
                <c:pt idx="0">
                  <c:v>0.886909981601117</c:v>
                </c:pt>
                <c:pt idx="1">
                  <c:v>0.9993129052457852</c:v>
                </c:pt>
                <c:pt idx="2">
                  <c:v>1.1994340894202902</c:v>
                </c:pt>
                <c:pt idx="3">
                  <c:v>1.373445596986792</c:v>
                </c:pt>
                <c:pt idx="4">
                  <c:v>0.83057930440231997</c:v>
                </c:pt>
                <c:pt idx="5">
                  <c:v>5.5422969917884132E-2</c:v>
                </c:pt>
              </c:numCache>
            </c:numRef>
          </c:val>
          <c:extLst>
            <c:ext xmlns:c16="http://schemas.microsoft.com/office/drawing/2014/chart" uri="{C3380CC4-5D6E-409C-BE32-E72D297353CC}">
              <c16:uniqueId val="{00000001-447D-484A-B0EA-82C80DD84858}"/>
            </c:ext>
          </c:extLst>
        </c:ser>
        <c:ser>
          <c:idx val="3"/>
          <c:order val="3"/>
          <c:tx>
            <c:strRef>
              <c:f>Sheet1!$F$1</c:f>
              <c:strCache>
                <c:ptCount val="1"/>
                <c:pt idx="0">
                  <c:v>Գյուղատնտեսություն</c:v>
                </c:pt>
              </c:strCache>
            </c:strRef>
          </c:tx>
          <c:spPr>
            <a:solidFill>
              <a:schemeClr val="accent4"/>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Sheet1!$F$2:$F$7</c:f>
              <c:numCache>
                <c:formatCode>0.0</c:formatCode>
                <c:ptCount val="6"/>
                <c:pt idx="0">
                  <c:v>-0.14509680920538381</c:v>
                </c:pt>
                <c:pt idx="1">
                  <c:v>-0.10956902859137937</c:v>
                </c:pt>
                <c:pt idx="2">
                  <c:v>-8.2533576778274415E-2</c:v>
                </c:pt>
                <c:pt idx="3">
                  <c:v>-7.2739775827337413E-2</c:v>
                </c:pt>
                <c:pt idx="4">
                  <c:v>2.8603472838389123E-2</c:v>
                </c:pt>
                <c:pt idx="5">
                  <c:v>-1.6421765977561825E-2</c:v>
                </c:pt>
              </c:numCache>
            </c:numRef>
          </c:val>
          <c:extLst>
            <c:ext xmlns:c16="http://schemas.microsoft.com/office/drawing/2014/chart" uri="{C3380CC4-5D6E-409C-BE32-E72D297353CC}">
              <c16:uniqueId val="{00000002-447D-484A-B0EA-82C80DD84858}"/>
            </c:ext>
          </c:extLst>
        </c:ser>
        <c:ser>
          <c:idx val="4"/>
          <c:order val="4"/>
          <c:tx>
            <c:strRef>
              <c:f>Sheet1!$G$1</c:f>
              <c:strCache>
                <c:ptCount val="1"/>
                <c:pt idx="0">
                  <c:v>Շինարարություն</c:v>
                </c:pt>
              </c:strCache>
            </c:strRef>
          </c:tx>
          <c:spPr>
            <a:solidFill>
              <a:sysClr val="window" lastClr="FFFFFF">
                <a:lumMod val="65000"/>
              </a:sysClr>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Sheet1!$G$2:$G$7</c:f>
              <c:numCache>
                <c:formatCode>0.0</c:formatCode>
                <c:ptCount val="6"/>
                <c:pt idx="0">
                  <c:v>0.33069168592729387</c:v>
                </c:pt>
                <c:pt idx="1">
                  <c:v>0.92410690554274733</c:v>
                </c:pt>
                <c:pt idx="2">
                  <c:v>1.0779779083607202</c:v>
                </c:pt>
                <c:pt idx="3">
                  <c:v>1.2199322968333937</c:v>
                </c:pt>
                <c:pt idx="4">
                  <c:v>0.55606786713120426</c:v>
                </c:pt>
                <c:pt idx="5">
                  <c:v>0.84113397886912711</c:v>
                </c:pt>
              </c:numCache>
            </c:numRef>
          </c:val>
          <c:extLst>
            <c:ext xmlns:c16="http://schemas.microsoft.com/office/drawing/2014/chart" uri="{C3380CC4-5D6E-409C-BE32-E72D297353CC}">
              <c16:uniqueId val="{00000003-447D-484A-B0EA-82C80DD84858}"/>
            </c:ext>
          </c:extLst>
        </c:ser>
        <c:ser>
          <c:idx val="5"/>
          <c:order val="5"/>
          <c:tx>
            <c:strRef>
              <c:f>Sheet1!$H$1</c:f>
              <c:strCache>
                <c:ptCount val="1"/>
                <c:pt idx="0">
                  <c:v>Ծառայություններ</c:v>
                </c:pt>
              </c:strCache>
            </c:strRef>
          </c:tx>
          <c:spPr>
            <a:solidFill>
              <a:srgbClr val="ED7D31">
                <a:lumMod val="60000"/>
                <a:lumOff val="40000"/>
              </a:srgbClr>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Sheet1!$H$2:$H$7</c:f>
              <c:numCache>
                <c:formatCode>0.0</c:formatCode>
                <c:ptCount val="6"/>
                <c:pt idx="0">
                  <c:v>6.4539158544666124</c:v>
                </c:pt>
                <c:pt idx="1">
                  <c:v>9.0416089430342819</c:v>
                </c:pt>
                <c:pt idx="2">
                  <c:v>9.2243849077892168</c:v>
                </c:pt>
                <c:pt idx="3">
                  <c:v>9.3966252638237346</c:v>
                </c:pt>
                <c:pt idx="4">
                  <c:v>9.1030307639070482</c:v>
                </c:pt>
                <c:pt idx="5">
                  <c:v>7.669150075739136</c:v>
                </c:pt>
              </c:numCache>
            </c:numRef>
          </c:val>
          <c:extLst>
            <c:ext xmlns:c16="http://schemas.microsoft.com/office/drawing/2014/chart" uri="{C3380CC4-5D6E-409C-BE32-E72D297353CC}">
              <c16:uniqueId val="{00000004-447D-484A-B0EA-82C80DD84858}"/>
            </c:ext>
          </c:extLst>
        </c:ser>
        <c:dLbls>
          <c:showLegendKey val="0"/>
          <c:showVal val="0"/>
          <c:showCatName val="0"/>
          <c:showSerName val="0"/>
          <c:showPercent val="0"/>
          <c:showBubbleSize val="0"/>
        </c:dLbls>
        <c:gapWidth val="219"/>
        <c:overlap val="100"/>
        <c:axId val="219419392"/>
        <c:axId val="219420928"/>
      </c:barChart>
      <c:lineChart>
        <c:grouping val="standard"/>
        <c:varyColors val="0"/>
        <c:ser>
          <c:idx val="0"/>
          <c:order val="0"/>
          <c:tx>
            <c:strRef>
              <c:f>Sheet1!$C$1</c:f>
              <c:strCache>
                <c:ptCount val="1"/>
                <c:pt idx="0">
                  <c:v>ՀՆԱ</c:v>
                </c:pt>
              </c:strCache>
            </c:strRef>
          </c:tx>
          <c:spPr>
            <a:ln w="28575" cap="rnd">
              <a:solidFill>
                <a:srgbClr val="4472C4">
                  <a:lumMod val="50000"/>
                </a:srgbClr>
              </a:solidFill>
              <a:round/>
            </a:ln>
            <a:effectLst/>
          </c:spPr>
          <c:marker>
            <c:symbol val="circle"/>
            <c:size val="5"/>
            <c:spPr>
              <a:solidFill>
                <a:srgbClr val="4472C4">
                  <a:lumMod val="50000"/>
                </a:srgbClr>
              </a:solidFill>
              <a:ln w="9525">
                <a:solidFill>
                  <a:srgbClr val="4472C4">
                    <a:lumMod val="50000"/>
                  </a:srgbClr>
                </a:solidFill>
              </a:ln>
              <a:effectLst/>
            </c:spPr>
          </c:marker>
          <c:dLbls>
            <c:spPr>
              <a:noFill/>
              <a:ln>
                <a:noFill/>
              </a:ln>
              <a:effectLst/>
            </c:spPr>
            <c:txPr>
              <a:bodyPr rot="0" vert="horz"/>
              <a:lstStyle/>
              <a:p>
                <a:pPr>
                  <a:defRPr sz="800"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Sheet1!$A$2:$B$7</c:f>
              <c:multiLvlStrCache>
                <c:ptCount val="6"/>
                <c:lvl>
                  <c:pt idx="0">
                    <c:v>I եռ.</c:v>
                  </c:pt>
                  <c:pt idx="1">
                    <c:v>I-II եռ.</c:v>
                  </c:pt>
                  <c:pt idx="2">
                    <c:v>I-III եռ.</c:v>
                  </c:pt>
                  <c:pt idx="3">
                    <c:v>I-IV եռ.</c:v>
                  </c:pt>
                  <c:pt idx="4">
                    <c:v>I եռ.</c:v>
                  </c:pt>
                  <c:pt idx="5">
                    <c:v>I-II եռ.</c:v>
                  </c:pt>
                </c:lvl>
                <c:lvl>
                  <c:pt idx="0">
                    <c:v>2022</c:v>
                  </c:pt>
                  <c:pt idx="4">
                    <c:v>2023</c:v>
                  </c:pt>
                </c:lvl>
              </c:multiLvlStrCache>
            </c:multiLvlStrRef>
          </c:cat>
          <c:val>
            <c:numRef>
              <c:f>Sheet1!$C$2:$C$7</c:f>
              <c:numCache>
                <c:formatCode>0.0</c:formatCode>
                <c:ptCount val="6"/>
                <c:pt idx="0">
                  <c:v>8.7675438049566168</c:v>
                </c:pt>
                <c:pt idx="1">
                  <c:v>11.096956833381142</c:v>
                </c:pt>
                <c:pt idx="2">
                  <c:v>12.598994459596952</c:v>
                </c:pt>
                <c:pt idx="3">
                  <c:v>12.628802702124545</c:v>
                </c:pt>
                <c:pt idx="4">
                  <c:v>12.099999999999994</c:v>
                </c:pt>
                <c:pt idx="5">
                  <c:v>10.498915401301517</c:v>
                </c:pt>
              </c:numCache>
            </c:numRef>
          </c:val>
          <c:smooth val="0"/>
          <c:extLst>
            <c:ext xmlns:c16="http://schemas.microsoft.com/office/drawing/2014/chart" uri="{C3380CC4-5D6E-409C-BE32-E72D297353CC}">
              <c16:uniqueId val="{00000005-447D-484A-B0EA-82C80DD84858}"/>
            </c:ext>
          </c:extLst>
        </c:ser>
        <c:dLbls>
          <c:showLegendKey val="0"/>
          <c:showVal val="0"/>
          <c:showCatName val="0"/>
          <c:showSerName val="0"/>
          <c:showPercent val="0"/>
          <c:showBubbleSize val="0"/>
        </c:dLbls>
        <c:marker val="1"/>
        <c:smooth val="0"/>
        <c:axId val="219419392"/>
        <c:axId val="219420928"/>
      </c:lineChart>
      <c:catAx>
        <c:axId val="21941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600"/>
            </a:pPr>
            <a:endParaRPr lang="en-US"/>
          </a:p>
        </c:txPr>
        <c:crossAx val="219420928"/>
        <c:crosses val="autoZero"/>
        <c:auto val="1"/>
        <c:lblAlgn val="ctr"/>
        <c:lblOffset val="0"/>
        <c:noMultiLvlLbl val="0"/>
      </c:catAx>
      <c:valAx>
        <c:axId val="219420928"/>
        <c:scaling>
          <c:orientation val="minMax"/>
          <c:max val="14"/>
          <c:min val="-1.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en-US"/>
          </a:p>
        </c:txPr>
        <c:crossAx val="219419392"/>
        <c:crosses val="autoZero"/>
        <c:crossBetween val="between"/>
        <c:majorUnit val="1.5"/>
        <c:minorUnit val="1"/>
      </c:valAx>
      <c:spPr>
        <a:noFill/>
        <a:ln>
          <a:noFill/>
        </a:ln>
        <a:effectLst/>
      </c:spPr>
    </c:plotArea>
    <c:legend>
      <c:legendPos val="b"/>
      <c:layout>
        <c:manualLayout>
          <c:xMode val="edge"/>
          <c:yMode val="edge"/>
          <c:x val="4.8648018769902046E-2"/>
          <c:y val="0.76343985242936374"/>
          <c:w val="0.95135189902732742"/>
          <c:h val="0.23208228615092558"/>
        </c:manualLayout>
      </c:layout>
      <c:overlay val="0"/>
      <c:spPr>
        <a:noFill/>
        <a:ln>
          <a:noFill/>
        </a:ln>
        <a:effectLst/>
      </c:spPr>
      <c:txPr>
        <a:bodyPr rot="0" vert="horz"/>
        <a:lstStyle/>
        <a:p>
          <a:pPr>
            <a:defRPr sz="600"/>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solidFill>
        <a:srgbClr val="E7E6E6"/>
      </a:solidFill>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17611554748301"/>
          <c:y val="7.0365212113800715E-2"/>
          <c:w val="0.87260540551091115"/>
          <c:h val="0.65950464129861253"/>
        </c:manualLayout>
      </c:layout>
      <c:barChart>
        <c:barDir val="col"/>
        <c:grouping val="stacked"/>
        <c:varyColors val="0"/>
        <c:ser>
          <c:idx val="1"/>
          <c:order val="1"/>
          <c:tx>
            <c:strRef>
              <c:f>Sheet1!$D$1</c:f>
              <c:strCache>
                <c:ptCount val="1"/>
                <c:pt idx="0">
                  <c:v>Պետական սպառում</c:v>
                </c:pt>
              </c:strCache>
            </c:strRef>
          </c:tx>
          <c:spPr>
            <a:solidFill>
              <a:srgbClr val="ED7D31"/>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Sheet1!$D$2:$D$7</c:f>
              <c:numCache>
                <c:formatCode>0.0</c:formatCode>
                <c:ptCount val="6"/>
                <c:pt idx="0">
                  <c:v>-1.3683216301833729</c:v>
                </c:pt>
                <c:pt idx="1">
                  <c:v>-0.23487549917818409</c:v>
                </c:pt>
                <c:pt idx="2">
                  <c:v>9.5736719106428947E-2</c:v>
                </c:pt>
                <c:pt idx="3">
                  <c:v>0.86602120618836875</c:v>
                </c:pt>
                <c:pt idx="4">
                  <c:v>1.3371304506202253</c:v>
                </c:pt>
                <c:pt idx="5">
                  <c:v>1.6957593401719688</c:v>
                </c:pt>
              </c:numCache>
            </c:numRef>
          </c:val>
          <c:extLst>
            <c:ext xmlns:c16="http://schemas.microsoft.com/office/drawing/2014/chart" uri="{C3380CC4-5D6E-409C-BE32-E72D297353CC}">
              <c16:uniqueId val="{00000000-AE48-4D29-AC81-BE62EC3925C4}"/>
            </c:ext>
          </c:extLst>
        </c:ser>
        <c:ser>
          <c:idx val="2"/>
          <c:order val="2"/>
          <c:tx>
            <c:strRef>
              <c:f>Sheet1!$E$1</c:f>
              <c:strCache>
                <c:ptCount val="1"/>
                <c:pt idx="0">
                  <c:v>Մասնավոր սպառում</c:v>
                </c:pt>
              </c:strCache>
            </c:strRef>
          </c:tx>
          <c:spPr>
            <a:solidFill>
              <a:srgbClr val="4472C4">
                <a:lumMod val="50000"/>
              </a:srgbClr>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Sheet1!$E$2:$E$7</c:f>
              <c:numCache>
                <c:formatCode>0.0</c:formatCode>
                <c:ptCount val="6"/>
                <c:pt idx="0">
                  <c:v>5.3939058174121417</c:v>
                </c:pt>
                <c:pt idx="1">
                  <c:v>6.0699062587321189</c:v>
                </c:pt>
                <c:pt idx="2">
                  <c:v>6.6664777257257013</c:v>
                </c:pt>
                <c:pt idx="3">
                  <c:v>3.8798846297522096</c:v>
                </c:pt>
                <c:pt idx="4">
                  <c:v>5.1991686823345482</c:v>
                </c:pt>
                <c:pt idx="5">
                  <c:v>7.0767435962703233</c:v>
                </c:pt>
              </c:numCache>
            </c:numRef>
          </c:val>
          <c:extLst>
            <c:ext xmlns:c16="http://schemas.microsoft.com/office/drawing/2014/chart" uri="{C3380CC4-5D6E-409C-BE32-E72D297353CC}">
              <c16:uniqueId val="{00000001-AE48-4D29-AC81-BE62EC3925C4}"/>
            </c:ext>
          </c:extLst>
        </c:ser>
        <c:ser>
          <c:idx val="3"/>
          <c:order val="3"/>
          <c:tx>
            <c:strRef>
              <c:f>Sheet1!$F$1</c:f>
              <c:strCache>
                <c:ptCount val="1"/>
                <c:pt idx="0">
                  <c:v>Պետական ներդրումներ</c:v>
                </c:pt>
              </c:strCache>
            </c:strRef>
          </c:tx>
          <c:spPr>
            <a:solidFill>
              <a:sysClr val="window" lastClr="FFFFFF">
                <a:lumMod val="65000"/>
              </a:sysClr>
            </a:solidFill>
            <a:ln>
              <a:noFill/>
            </a:ln>
            <a:effectLst/>
          </c:spPr>
          <c:invertIfNegative val="0"/>
          <c:cat>
            <c:strRef>
              <c:f>Sheet1!$B$2:$B$7</c:f>
              <c:strCache>
                <c:ptCount val="6"/>
                <c:pt idx="0">
                  <c:v>I եռ.</c:v>
                </c:pt>
                <c:pt idx="1">
                  <c:v>I-II եռ.</c:v>
                </c:pt>
                <c:pt idx="2">
                  <c:v>I-III եռ.</c:v>
                </c:pt>
                <c:pt idx="3">
                  <c:v>I-IV եռ.</c:v>
                </c:pt>
                <c:pt idx="4">
                  <c:v>I եռ.</c:v>
                </c:pt>
                <c:pt idx="5">
                  <c:v>I-II եռ.</c:v>
                </c:pt>
              </c:strCache>
            </c:strRef>
          </c:cat>
          <c:val>
            <c:numRef>
              <c:f>Sheet1!$F$2:$F$7</c:f>
              <c:numCache>
                <c:formatCode>0.0</c:formatCode>
                <c:ptCount val="6"/>
                <c:pt idx="0">
                  <c:v>-0.69450062821197733</c:v>
                </c:pt>
                <c:pt idx="1">
                  <c:v>0.27787531148906169</c:v>
                </c:pt>
                <c:pt idx="2">
                  <c:v>0.13436470905152528</c:v>
                </c:pt>
                <c:pt idx="3">
                  <c:v>0.50360126845976882</c:v>
                </c:pt>
                <c:pt idx="4">
                  <c:v>-0.59823538006203381</c:v>
                </c:pt>
                <c:pt idx="5">
                  <c:v>0.53605865329754399</c:v>
                </c:pt>
              </c:numCache>
            </c:numRef>
          </c:val>
          <c:extLst>
            <c:ext xmlns:c16="http://schemas.microsoft.com/office/drawing/2014/chart" uri="{C3380CC4-5D6E-409C-BE32-E72D297353CC}">
              <c16:uniqueId val="{00000002-AE48-4D29-AC81-BE62EC3925C4}"/>
            </c:ext>
          </c:extLst>
        </c:ser>
        <c:ser>
          <c:idx val="4"/>
          <c:order val="4"/>
          <c:tx>
            <c:strRef>
              <c:f>Sheet1!$G$1</c:f>
              <c:strCache>
                <c:ptCount val="1"/>
                <c:pt idx="0">
                  <c:v>Մասնավոր ներդրումներ</c:v>
                </c:pt>
              </c:strCache>
            </c:strRef>
          </c:tx>
          <c:invertIfNegative val="0"/>
          <c:cat>
            <c:strRef>
              <c:f>Sheet1!$B$2:$B$7</c:f>
              <c:strCache>
                <c:ptCount val="6"/>
                <c:pt idx="0">
                  <c:v>I եռ.</c:v>
                </c:pt>
                <c:pt idx="1">
                  <c:v>I-II եռ.</c:v>
                </c:pt>
                <c:pt idx="2">
                  <c:v>I-III եռ.</c:v>
                </c:pt>
                <c:pt idx="3">
                  <c:v>I-IV եռ.</c:v>
                </c:pt>
                <c:pt idx="4">
                  <c:v>I եռ.</c:v>
                </c:pt>
                <c:pt idx="5">
                  <c:v>I-II եռ.</c:v>
                </c:pt>
              </c:strCache>
            </c:strRef>
          </c:cat>
          <c:val>
            <c:numRef>
              <c:f>Sheet1!$G$2:$G$7</c:f>
              <c:numCache>
                <c:formatCode>0.0</c:formatCode>
                <c:ptCount val="6"/>
                <c:pt idx="0">
                  <c:v>2.8731605981595369</c:v>
                </c:pt>
                <c:pt idx="1">
                  <c:v>2.375899612228527</c:v>
                </c:pt>
                <c:pt idx="2">
                  <c:v>1.5957987874222874</c:v>
                </c:pt>
                <c:pt idx="3">
                  <c:v>1.414182357928784</c:v>
                </c:pt>
                <c:pt idx="4">
                  <c:v>2.6180935048221858</c:v>
                </c:pt>
                <c:pt idx="5">
                  <c:v>2.494360377916407</c:v>
                </c:pt>
              </c:numCache>
            </c:numRef>
          </c:val>
          <c:extLst>
            <c:ext xmlns:c16="http://schemas.microsoft.com/office/drawing/2014/chart" uri="{C3380CC4-5D6E-409C-BE32-E72D297353CC}">
              <c16:uniqueId val="{00000003-AE48-4D29-AC81-BE62EC3925C4}"/>
            </c:ext>
          </c:extLst>
        </c:ser>
        <c:ser>
          <c:idx val="5"/>
          <c:order val="5"/>
          <c:tx>
            <c:strRef>
              <c:f>Sheet1!$H$1</c:f>
              <c:strCache>
                <c:ptCount val="1"/>
                <c:pt idx="0">
                  <c:v>Արտահանում</c:v>
                </c:pt>
              </c:strCache>
            </c:strRef>
          </c:tx>
          <c:spPr>
            <a:solidFill>
              <a:srgbClr val="ED7D31">
                <a:lumMod val="60000"/>
                <a:lumOff val="40000"/>
              </a:srgbClr>
            </a:solidFill>
          </c:spPr>
          <c:invertIfNegative val="0"/>
          <c:cat>
            <c:strRef>
              <c:f>Sheet1!$B$2:$B$7</c:f>
              <c:strCache>
                <c:ptCount val="6"/>
                <c:pt idx="0">
                  <c:v>I եռ.</c:v>
                </c:pt>
                <c:pt idx="1">
                  <c:v>I-II եռ.</c:v>
                </c:pt>
                <c:pt idx="2">
                  <c:v>I-III եռ.</c:v>
                </c:pt>
                <c:pt idx="3">
                  <c:v>I-IV եռ.</c:v>
                </c:pt>
                <c:pt idx="4">
                  <c:v>I եռ.</c:v>
                </c:pt>
                <c:pt idx="5">
                  <c:v>I-II եռ.</c:v>
                </c:pt>
              </c:strCache>
            </c:strRef>
          </c:cat>
          <c:val>
            <c:numRef>
              <c:f>Sheet1!$H$2:$H$7</c:f>
              <c:numCache>
                <c:formatCode>0.0</c:formatCode>
                <c:ptCount val="6"/>
                <c:pt idx="0">
                  <c:v>12.604996466868142</c:v>
                </c:pt>
                <c:pt idx="1">
                  <c:v>13.718741134387454</c:v>
                </c:pt>
                <c:pt idx="2">
                  <c:v>18.929529479736818</c:v>
                </c:pt>
                <c:pt idx="3">
                  <c:v>21.274464524821482</c:v>
                </c:pt>
                <c:pt idx="4">
                  <c:v>29.077360703851742</c:v>
                </c:pt>
                <c:pt idx="5">
                  <c:v>19.74970826978474</c:v>
                </c:pt>
              </c:numCache>
            </c:numRef>
          </c:val>
          <c:extLst>
            <c:ext xmlns:c16="http://schemas.microsoft.com/office/drawing/2014/chart" uri="{C3380CC4-5D6E-409C-BE32-E72D297353CC}">
              <c16:uniqueId val="{00000004-AE48-4D29-AC81-BE62EC3925C4}"/>
            </c:ext>
          </c:extLst>
        </c:ser>
        <c:ser>
          <c:idx val="6"/>
          <c:order val="6"/>
          <c:tx>
            <c:strRef>
              <c:f>Sheet1!$I$1</c:f>
              <c:strCache>
                <c:ptCount val="1"/>
                <c:pt idx="0">
                  <c:v>Ներմուծում ("-" նշանով)</c:v>
                </c:pt>
              </c:strCache>
            </c:strRef>
          </c:tx>
          <c:spPr>
            <a:solidFill>
              <a:srgbClr val="4472C4">
                <a:lumMod val="40000"/>
                <a:lumOff val="60000"/>
              </a:srgbClr>
            </a:solidFill>
          </c:spPr>
          <c:invertIfNegative val="0"/>
          <c:cat>
            <c:strRef>
              <c:f>Sheet1!$B$2:$B$7</c:f>
              <c:strCache>
                <c:ptCount val="6"/>
                <c:pt idx="0">
                  <c:v>I եռ.</c:v>
                </c:pt>
                <c:pt idx="1">
                  <c:v>I-II եռ.</c:v>
                </c:pt>
                <c:pt idx="2">
                  <c:v>I-III եռ.</c:v>
                </c:pt>
                <c:pt idx="3">
                  <c:v>I-IV եռ.</c:v>
                </c:pt>
                <c:pt idx="4">
                  <c:v>I եռ.</c:v>
                </c:pt>
                <c:pt idx="5">
                  <c:v>I-II եռ.</c:v>
                </c:pt>
              </c:strCache>
            </c:strRef>
          </c:cat>
          <c:val>
            <c:numRef>
              <c:f>Sheet1!$I$2:$I$7</c:f>
              <c:numCache>
                <c:formatCode>0.0</c:formatCode>
                <c:ptCount val="6"/>
                <c:pt idx="0">
                  <c:v>-11.398522689990401</c:v>
                </c:pt>
                <c:pt idx="1">
                  <c:v>-11.769230702733299</c:v>
                </c:pt>
                <c:pt idx="2">
                  <c:v>-14.905654154933501</c:v>
                </c:pt>
                <c:pt idx="3">
                  <c:v>-15.1244346364227</c:v>
                </c:pt>
                <c:pt idx="4">
                  <c:v>-29.335151986623</c:v>
                </c:pt>
                <c:pt idx="5">
                  <c:v>-22.928700299034201</c:v>
                </c:pt>
              </c:numCache>
            </c:numRef>
          </c:val>
          <c:extLst>
            <c:ext xmlns:c16="http://schemas.microsoft.com/office/drawing/2014/chart" uri="{C3380CC4-5D6E-409C-BE32-E72D297353CC}">
              <c16:uniqueId val="{00000005-AE48-4D29-AC81-BE62EC3925C4}"/>
            </c:ext>
          </c:extLst>
        </c:ser>
        <c:ser>
          <c:idx val="7"/>
          <c:order val="7"/>
          <c:tx>
            <c:strRef>
              <c:f>Sheet1!$J$1</c:f>
              <c:strCache>
                <c:ptCount val="1"/>
                <c:pt idx="0">
                  <c:v>Վիճակագրական շեղում</c:v>
                </c:pt>
              </c:strCache>
            </c:strRef>
          </c:tx>
          <c:spPr>
            <a:solidFill>
              <a:srgbClr val="44546A">
                <a:lumMod val="40000"/>
                <a:lumOff val="60000"/>
              </a:srgbClr>
            </a:solidFill>
          </c:spPr>
          <c:invertIfNegative val="0"/>
          <c:cat>
            <c:strRef>
              <c:f>Sheet1!$B$2:$B$7</c:f>
              <c:strCache>
                <c:ptCount val="6"/>
                <c:pt idx="0">
                  <c:v>I եռ.</c:v>
                </c:pt>
                <c:pt idx="1">
                  <c:v>I-II եռ.</c:v>
                </c:pt>
                <c:pt idx="2">
                  <c:v>I-III եռ.</c:v>
                </c:pt>
                <c:pt idx="3">
                  <c:v>I-IV եռ.</c:v>
                </c:pt>
                <c:pt idx="4">
                  <c:v>I եռ.</c:v>
                </c:pt>
                <c:pt idx="5">
                  <c:v>I-II եռ.</c:v>
                </c:pt>
              </c:strCache>
            </c:strRef>
          </c:cat>
          <c:val>
            <c:numRef>
              <c:f>Sheet1!$J$2:$J$7</c:f>
              <c:numCache>
                <c:formatCode>0.0</c:formatCode>
                <c:ptCount val="6"/>
                <c:pt idx="0">
                  <c:v>2.721282617716541</c:v>
                </c:pt>
                <c:pt idx="1">
                  <c:v>0.88484536790331214</c:v>
                </c:pt>
                <c:pt idx="2">
                  <c:v>0.15970105295647707</c:v>
                </c:pt>
                <c:pt idx="3">
                  <c:v>-0.21131960457897714</c:v>
                </c:pt>
                <c:pt idx="4">
                  <c:v>3.8016340250563379</c:v>
                </c:pt>
                <c:pt idx="5">
                  <c:v>1.8749854628947058</c:v>
                </c:pt>
              </c:numCache>
            </c:numRef>
          </c:val>
          <c:extLst>
            <c:ext xmlns:c16="http://schemas.microsoft.com/office/drawing/2014/chart" uri="{C3380CC4-5D6E-409C-BE32-E72D297353CC}">
              <c16:uniqueId val="{00000006-AE48-4D29-AC81-BE62EC3925C4}"/>
            </c:ext>
          </c:extLst>
        </c:ser>
        <c:dLbls>
          <c:showLegendKey val="0"/>
          <c:showVal val="0"/>
          <c:showCatName val="0"/>
          <c:showSerName val="0"/>
          <c:showPercent val="0"/>
          <c:showBubbleSize val="0"/>
        </c:dLbls>
        <c:gapWidth val="150"/>
        <c:overlap val="100"/>
        <c:axId val="220547328"/>
        <c:axId val="220553216"/>
      </c:barChart>
      <c:lineChart>
        <c:grouping val="standard"/>
        <c:varyColors val="0"/>
        <c:ser>
          <c:idx val="0"/>
          <c:order val="0"/>
          <c:tx>
            <c:strRef>
              <c:f>Sheet1!$C$1</c:f>
              <c:strCache>
                <c:ptCount val="1"/>
                <c:pt idx="0">
                  <c:v>ՀՆԱ</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8160451004717681E-2"/>
                  <c:y val="-6.356435352123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E48-4D29-AC81-BE62EC3925C4}"/>
                </c:ext>
              </c:extLst>
            </c:dLbl>
            <c:dLbl>
              <c:idx val="1"/>
              <c:layout>
                <c:manualLayout>
                  <c:x val="-6.2899967086107844E-2"/>
                  <c:y val="-5.3678710721907427E-2"/>
                </c:manualLayout>
              </c:layout>
              <c:spPr>
                <a:noFill/>
                <a:ln>
                  <a:noFill/>
                </a:ln>
                <a:effectLst/>
              </c:spPr>
              <c:txPr>
                <a:bodyPr rot="0" vert="horz"/>
                <a:lstStyle/>
                <a:p>
                  <a:pPr>
                    <a:defRPr sz="800" b="1">
                      <a:latin typeface="GHEA Grapalat" panose="02000506050000020003" pitchFamily="50"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E48-4D29-AC81-BE62EC3925C4}"/>
                </c:ext>
              </c:extLst>
            </c:dLbl>
            <c:dLbl>
              <c:idx val="2"/>
              <c:layout>
                <c:manualLayout>
                  <c:x val="-5.8141124642377903E-2"/>
                  <c:y val="-4.9322245934211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E48-4D29-AC81-BE62EC3925C4}"/>
                </c:ext>
              </c:extLst>
            </c:dLbl>
            <c:dLbl>
              <c:idx val="3"/>
              <c:layout>
                <c:manualLayout>
                  <c:x val="-6.0503835734359572E-2"/>
                  <c:y val="-4.64405033482964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E48-4D29-AC81-BE62EC3925C4}"/>
                </c:ext>
              </c:extLst>
            </c:dLbl>
            <c:dLbl>
              <c:idx val="4"/>
              <c:layout>
                <c:manualLayout>
                  <c:x val="-6.8545627937986853E-2"/>
                  <c:y val="-5.19738023401280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E48-4D29-AC81-BE62EC3925C4}"/>
                </c:ext>
              </c:extLst>
            </c:dLbl>
            <c:spPr>
              <a:noFill/>
              <a:ln>
                <a:noFill/>
              </a:ln>
              <a:effectLst/>
            </c:spPr>
            <c:txPr>
              <a:bodyPr rot="0" vert="horz"/>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Sheet1!$A$2:$B$7</c:f>
              <c:multiLvlStrCache>
                <c:ptCount val="6"/>
                <c:lvl>
                  <c:pt idx="0">
                    <c:v>I եռ.</c:v>
                  </c:pt>
                  <c:pt idx="1">
                    <c:v>I-II եռ.</c:v>
                  </c:pt>
                  <c:pt idx="2">
                    <c:v>I-III եռ.</c:v>
                  </c:pt>
                  <c:pt idx="3">
                    <c:v>I-IV եռ.</c:v>
                  </c:pt>
                  <c:pt idx="4">
                    <c:v>I եռ.</c:v>
                  </c:pt>
                  <c:pt idx="5">
                    <c:v>I-II եռ.</c:v>
                  </c:pt>
                </c:lvl>
                <c:lvl>
                  <c:pt idx="0">
                    <c:v>2022</c:v>
                  </c:pt>
                  <c:pt idx="4">
                    <c:v>2023</c:v>
                  </c:pt>
                </c:lvl>
              </c:multiLvlStrCache>
            </c:multiLvlStrRef>
          </c:cat>
          <c:val>
            <c:numRef>
              <c:f>Sheet1!$C$2:$C$7</c:f>
              <c:numCache>
                <c:formatCode>0.0</c:formatCode>
                <c:ptCount val="6"/>
                <c:pt idx="0">
                  <c:v>8.7675438049566168</c:v>
                </c:pt>
                <c:pt idx="1">
                  <c:v>11.096956833381142</c:v>
                </c:pt>
                <c:pt idx="2">
                  <c:v>12.598994459596952</c:v>
                </c:pt>
                <c:pt idx="3">
                  <c:v>12.628802702124545</c:v>
                </c:pt>
                <c:pt idx="4">
                  <c:v>12.099999999999994</c:v>
                </c:pt>
                <c:pt idx="5">
                  <c:v>10.498915401301517</c:v>
                </c:pt>
              </c:numCache>
            </c:numRef>
          </c:val>
          <c:smooth val="0"/>
          <c:extLst>
            <c:ext xmlns:c16="http://schemas.microsoft.com/office/drawing/2014/chart" uri="{C3380CC4-5D6E-409C-BE32-E72D297353CC}">
              <c16:uniqueId val="{0000000C-AE48-4D29-AC81-BE62EC3925C4}"/>
            </c:ext>
          </c:extLst>
        </c:ser>
        <c:dLbls>
          <c:showLegendKey val="0"/>
          <c:showVal val="0"/>
          <c:showCatName val="0"/>
          <c:showSerName val="0"/>
          <c:showPercent val="0"/>
          <c:showBubbleSize val="0"/>
        </c:dLbls>
        <c:marker val="1"/>
        <c:smooth val="0"/>
        <c:axId val="220547328"/>
        <c:axId val="220553216"/>
      </c:lineChart>
      <c:catAx>
        <c:axId val="22054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600"/>
            </a:pPr>
            <a:endParaRPr lang="en-US"/>
          </a:p>
        </c:txPr>
        <c:crossAx val="220553216"/>
        <c:crosses val="autoZero"/>
        <c:auto val="1"/>
        <c:lblAlgn val="ctr"/>
        <c:lblOffset val="100"/>
        <c:noMultiLvlLbl val="0"/>
      </c:catAx>
      <c:valAx>
        <c:axId val="220553216"/>
        <c:scaling>
          <c:orientation val="minMax"/>
          <c:max val="40"/>
          <c:min val="-2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sz="700"/>
            </a:pPr>
            <a:endParaRPr lang="en-US"/>
          </a:p>
        </c:txPr>
        <c:crossAx val="220547328"/>
        <c:crosses val="autoZero"/>
        <c:crossBetween val="between"/>
        <c:majorUnit val="7"/>
        <c:minorUnit val="1"/>
      </c:valAx>
      <c:spPr>
        <a:noFill/>
        <a:ln w="25400">
          <a:noFill/>
        </a:ln>
        <a:effectLst/>
      </c:spPr>
    </c:plotArea>
    <c:legend>
      <c:legendPos val="b"/>
      <c:layout>
        <c:manualLayout>
          <c:xMode val="edge"/>
          <c:yMode val="edge"/>
          <c:x val="0"/>
          <c:y val="0.76134644084071024"/>
          <c:w val="0.97800643086816719"/>
          <c:h val="0.23865361689601883"/>
        </c:manualLayout>
      </c:layout>
      <c:overlay val="0"/>
      <c:spPr>
        <a:noFill/>
        <a:ln>
          <a:noFill/>
        </a:ln>
        <a:effectLst/>
      </c:spPr>
      <c:txPr>
        <a:bodyPr rot="0" vert="horz"/>
        <a:lstStyle/>
        <a:p>
          <a:pPr>
            <a:defRPr sz="600"/>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solidFill>
        <a:srgbClr val="E7E6E6"/>
      </a:solidFill>
    </a:ln>
    <a:effectLst/>
  </c:spPr>
  <c:txPr>
    <a:bodyPr/>
    <a:lstStyle/>
    <a:p>
      <a:pPr>
        <a:defRPr sz="800">
          <a:latin typeface="GHEA Grapalat" panose="02000506050000020003" pitchFamily="50"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0.13604805675441231"/>
          <c:w val="0.87658476118247253"/>
          <c:h val="0.59151481174278364"/>
        </c:manualLayout>
      </c:layout>
      <c:barChart>
        <c:barDir val="col"/>
        <c:grouping val="cluster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Sheet1!$B$3:$H$3</c:f>
              <c:numCache>
                <c:formatCode>0.0</c:formatCode>
                <c:ptCount val="7"/>
                <c:pt idx="0">
                  <c:v>1.4000000000000057</c:v>
                </c:pt>
                <c:pt idx="1">
                  <c:v>1</c:v>
                </c:pt>
                <c:pt idx="2">
                  <c:v>3.5999999999999943</c:v>
                </c:pt>
                <c:pt idx="3">
                  <c:v>2.4000000000000057</c:v>
                </c:pt>
                <c:pt idx="4">
                  <c:v>3</c:v>
                </c:pt>
                <c:pt idx="5">
                  <c:v>1</c:v>
                </c:pt>
                <c:pt idx="6">
                  <c:v>0.5</c:v>
                </c:pt>
              </c:numCache>
            </c:numRef>
          </c:val>
          <c:extLst>
            <c:ext xmlns:c16="http://schemas.microsoft.com/office/drawing/2014/chart" uri="{C3380CC4-5D6E-409C-BE32-E72D297353CC}">
              <c16:uniqueId val="{00000000-5A3D-4309-B13C-37C8ACAA4F77}"/>
            </c:ext>
          </c:extLst>
        </c:ser>
        <c:ser>
          <c:idx val="2"/>
          <c:order val="2"/>
          <c:tx>
            <c:strRef>
              <c:f>Sheet1!$A$4</c:f>
              <c:strCache>
                <c:ptCount val="1"/>
                <c:pt idx="0">
                  <c:v>գյուղատնտեսություն*</c:v>
                </c:pt>
              </c:strCache>
            </c:strRef>
          </c:tx>
          <c:spPr>
            <a:solidFill>
              <a:srgbClr val="8064A2"/>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Sheet1!$B$4:$H$4</c:f>
              <c:numCache>
                <c:formatCode>0.0</c:formatCode>
                <c:ptCount val="7"/>
                <c:pt idx="0">
                  <c:v>0</c:v>
                </c:pt>
                <c:pt idx="1">
                  <c:v>0</c:v>
                </c:pt>
                <c:pt idx="2">
                  <c:v>1.4000000000000057</c:v>
                </c:pt>
                <c:pt idx="3">
                  <c:v>0</c:v>
                </c:pt>
                <c:pt idx="4">
                  <c:v>0</c:v>
                </c:pt>
                <c:pt idx="5">
                  <c:v>2</c:v>
                </c:pt>
                <c:pt idx="6">
                  <c:v>0</c:v>
                </c:pt>
              </c:numCache>
            </c:numRef>
          </c:val>
          <c:extLst>
            <c:ext xmlns:c16="http://schemas.microsoft.com/office/drawing/2014/chart" uri="{C3380CC4-5D6E-409C-BE32-E72D297353CC}">
              <c16:uniqueId val="{00000001-5A3D-4309-B13C-37C8ACAA4F77}"/>
            </c:ext>
          </c:extLst>
        </c:ser>
        <c:ser>
          <c:idx val="3"/>
          <c:order val="3"/>
          <c:tx>
            <c:strRef>
              <c:f>Sheet1!$A$5</c:f>
              <c:strCache>
                <c:ptCount val="1"/>
                <c:pt idx="0">
                  <c:v>շինարարություն</c:v>
                </c:pt>
              </c:strCache>
            </c:strRef>
          </c:tx>
          <c:spPr>
            <a:solidFill>
              <a:sysClr val="window" lastClr="FFFFFF">
                <a:lumMod val="65000"/>
              </a:sysClr>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Sheet1!$B$5:$H$5</c:f>
              <c:numCache>
                <c:formatCode>0.0</c:formatCode>
                <c:ptCount val="7"/>
                <c:pt idx="0">
                  <c:v>12.200000000000003</c:v>
                </c:pt>
                <c:pt idx="1">
                  <c:v>13.900000000000006</c:v>
                </c:pt>
                <c:pt idx="2">
                  <c:v>16.599999999999994</c:v>
                </c:pt>
                <c:pt idx="3">
                  <c:v>19.299999999999997</c:v>
                </c:pt>
                <c:pt idx="4">
                  <c:v>16.700000000000003</c:v>
                </c:pt>
                <c:pt idx="5">
                  <c:v>17</c:v>
                </c:pt>
                <c:pt idx="6">
                  <c:v>17.200000000000003</c:v>
                </c:pt>
              </c:numCache>
            </c:numRef>
          </c:val>
          <c:extLst>
            <c:ext xmlns:c16="http://schemas.microsoft.com/office/drawing/2014/chart" uri="{C3380CC4-5D6E-409C-BE32-E72D297353CC}">
              <c16:uniqueId val="{00000002-5A3D-4309-B13C-37C8ACAA4F77}"/>
            </c:ext>
          </c:extLst>
        </c:ser>
        <c:ser>
          <c:idx val="4"/>
          <c:order val="4"/>
          <c:tx>
            <c:strRef>
              <c:f>Sheet1!$A$6</c:f>
              <c:strCache>
                <c:ptCount val="1"/>
                <c:pt idx="0">
                  <c:v>ծառայություններ</c:v>
                </c:pt>
              </c:strCache>
            </c:strRef>
          </c:tx>
          <c:spPr>
            <a:solidFill>
              <a:srgbClr val="ED7D31">
                <a:lumMod val="60000"/>
                <a:lumOff val="40000"/>
              </a:srgbClr>
            </a:solidFill>
            <a:ln>
              <a:noFill/>
            </a:ln>
          </c:spPr>
          <c:invertIfNegative val="0"/>
          <c:cat>
            <c:strRef>
              <c:f>Sheet1!$B$1:$H$1</c:f>
              <c:strCache>
                <c:ptCount val="7"/>
                <c:pt idx="0">
                  <c:v>1</c:v>
                </c:pt>
                <c:pt idx="1">
                  <c:v>2</c:v>
                </c:pt>
                <c:pt idx="2">
                  <c:v>3</c:v>
                </c:pt>
                <c:pt idx="3">
                  <c:v>4</c:v>
                </c:pt>
                <c:pt idx="4">
                  <c:v>5</c:v>
                </c:pt>
                <c:pt idx="5">
                  <c:v>6</c:v>
                </c:pt>
                <c:pt idx="6">
                  <c:v>7</c:v>
                </c:pt>
              </c:strCache>
            </c:strRef>
          </c:cat>
          <c:val>
            <c:numRef>
              <c:f>Sheet1!$B$6:$H$6</c:f>
              <c:numCache>
                <c:formatCode>0.0</c:formatCode>
                <c:ptCount val="7"/>
                <c:pt idx="0">
                  <c:v>25.900000000000006</c:v>
                </c:pt>
                <c:pt idx="1">
                  <c:v>23.5</c:v>
                </c:pt>
                <c:pt idx="2">
                  <c:v>22.900000000000006</c:v>
                </c:pt>
                <c:pt idx="3">
                  <c:v>22.200000000000003</c:v>
                </c:pt>
                <c:pt idx="4">
                  <c:v>19.900000000000006</c:v>
                </c:pt>
                <c:pt idx="5">
                  <c:v>16.799999999999997</c:v>
                </c:pt>
                <c:pt idx="6">
                  <c:v>14.900000000000006</c:v>
                </c:pt>
              </c:numCache>
            </c:numRef>
          </c:val>
          <c:extLst>
            <c:ext xmlns:c16="http://schemas.microsoft.com/office/drawing/2014/chart" uri="{C3380CC4-5D6E-409C-BE32-E72D297353CC}">
              <c16:uniqueId val="{00000003-5A3D-4309-B13C-37C8ACAA4F77}"/>
            </c:ext>
          </c:extLst>
        </c:ser>
        <c:ser>
          <c:idx val="5"/>
          <c:order val="5"/>
          <c:tx>
            <c:strRef>
              <c:f>Sheet1!$A$7</c:f>
              <c:strCache>
                <c:ptCount val="1"/>
                <c:pt idx="0">
                  <c:v>առևտուր</c:v>
                </c:pt>
              </c:strCache>
            </c:strRef>
          </c:tx>
          <c:spPr>
            <a:solidFill>
              <a:srgbClr val="4472C4">
                <a:lumMod val="50000"/>
              </a:srgbClr>
            </a:solidFill>
            <a:ln>
              <a:noFill/>
            </a:ln>
          </c:spPr>
          <c:invertIfNegative val="0"/>
          <c:cat>
            <c:strRef>
              <c:f>Sheet1!$B$1:$H$1</c:f>
              <c:strCache>
                <c:ptCount val="7"/>
                <c:pt idx="0">
                  <c:v>1</c:v>
                </c:pt>
                <c:pt idx="1">
                  <c:v>2</c:v>
                </c:pt>
                <c:pt idx="2">
                  <c:v>3</c:v>
                </c:pt>
                <c:pt idx="3">
                  <c:v>4</c:v>
                </c:pt>
                <c:pt idx="4">
                  <c:v>5</c:v>
                </c:pt>
                <c:pt idx="5">
                  <c:v>6</c:v>
                </c:pt>
                <c:pt idx="6">
                  <c:v>7</c:v>
                </c:pt>
              </c:strCache>
            </c:strRef>
          </c:cat>
          <c:val>
            <c:numRef>
              <c:f>Sheet1!$B$7:$H$7</c:f>
              <c:numCache>
                <c:formatCode>0.0</c:formatCode>
                <c:ptCount val="7"/>
                <c:pt idx="0">
                  <c:v>17.700000000000003</c:v>
                </c:pt>
                <c:pt idx="1">
                  <c:v>18</c:v>
                </c:pt>
                <c:pt idx="2">
                  <c:v>21</c:v>
                </c:pt>
                <c:pt idx="3">
                  <c:v>23.200000000000003</c:v>
                </c:pt>
                <c:pt idx="4">
                  <c:v>24.5</c:v>
                </c:pt>
                <c:pt idx="5">
                  <c:v>23.599999999999994</c:v>
                </c:pt>
                <c:pt idx="6">
                  <c:v>23</c:v>
                </c:pt>
              </c:numCache>
            </c:numRef>
          </c:val>
          <c:extLst>
            <c:ext xmlns:c16="http://schemas.microsoft.com/office/drawing/2014/chart" uri="{C3380CC4-5D6E-409C-BE32-E72D297353CC}">
              <c16:uniqueId val="{00000004-5A3D-4309-B13C-37C8ACAA4F77}"/>
            </c:ext>
          </c:extLst>
        </c:ser>
        <c:dLbls>
          <c:showLegendKey val="0"/>
          <c:showVal val="0"/>
          <c:showCatName val="0"/>
          <c:showSerName val="0"/>
          <c:showPercent val="0"/>
          <c:showBubbleSize val="0"/>
        </c:dLbls>
        <c:gapWidth val="219"/>
        <c:overlap val="-27"/>
        <c:axId val="220583808"/>
        <c:axId val="220585344"/>
      </c:barChart>
      <c:lineChart>
        <c:grouping val="standard"/>
        <c:varyColors val="0"/>
        <c:ser>
          <c:idx val="0"/>
          <c:order val="0"/>
          <c:tx>
            <c:strRef>
              <c:f>Sheet1!$A$2</c:f>
              <c:strCache>
                <c:ptCount val="1"/>
                <c:pt idx="0">
                  <c:v>ՏԱՑ (աջ առանցք)</c:v>
                </c:pt>
              </c:strCache>
            </c:strRef>
          </c:tx>
          <c:spPr>
            <a:ln>
              <a:solidFill>
                <a:srgbClr val="4472C4">
                  <a:lumMod val="50000"/>
                </a:srgbClr>
              </a:solidFill>
            </a:ln>
            <a:effectLst/>
          </c:spPr>
          <c:marker>
            <c:spPr>
              <a:solidFill>
                <a:srgbClr val="4472C4">
                  <a:lumMod val="50000"/>
                </a:srgbClr>
              </a:solidFill>
              <a:ln>
                <a:solidFill>
                  <a:srgbClr val="4472C4">
                    <a:lumMod val="50000"/>
                  </a:srgbClr>
                </a:solidFill>
              </a:ln>
            </c:spPr>
          </c:marker>
          <c:dLbls>
            <c:dLbl>
              <c:idx val="0"/>
              <c:layout>
                <c:manualLayout>
                  <c:x val="-7.4340432891392097E-2"/>
                  <c:y val="-3.9567668246725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3D-4309-B13C-37C8ACAA4F77}"/>
                </c:ext>
              </c:extLst>
            </c:dLbl>
            <c:dLbl>
              <c:idx val="1"/>
              <c:layout>
                <c:manualLayout>
                  <c:x val="-6.6032416275358941E-2"/>
                  <c:y val="-3.9567675867187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A3D-4309-B13C-37C8ACAA4F77}"/>
                </c:ext>
              </c:extLst>
            </c:dLbl>
            <c:dLbl>
              <c:idx val="2"/>
              <c:layout>
                <c:manualLayout>
                  <c:x val="-6.5992931985863978E-2"/>
                  <c:y val="-4.08708978491782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A3D-4309-B13C-37C8ACAA4F77}"/>
                </c:ext>
              </c:extLst>
            </c:dLbl>
            <c:dLbl>
              <c:idx val="3"/>
              <c:layout>
                <c:manualLayout>
                  <c:x val="-7.0156729787143782E-2"/>
                  <c:y val="-3.47656061521635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A3D-4309-B13C-37C8ACAA4F77}"/>
                </c:ext>
              </c:extLst>
            </c:dLbl>
            <c:dLbl>
              <c:idx val="4"/>
              <c:layout>
                <c:manualLayout>
                  <c:x val="-6.5992931985864117E-2"/>
                  <c:y val="-4.0601440777349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A3D-4309-B13C-37C8ACAA4F77}"/>
                </c:ext>
              </c:extLst>
            </c:dLbl>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Sheet1!$B$1:$H$1</c:f>
              <c:strCache>
                <c:ptCount val="7"/>
                <c:pt idx="0">
                  <c:v>1</c:v>
                </c:pt>
                <c:pt idx="1">
                  <c:v>2</c:v>
                </c:pt>
                <c:pt idx="2">
                  <c:v>3</c:v>
                </c:pt>
                <c:pt idx="3">
                  <c:v>4</c:v>
                </c:pt>
                <c:pt idx="4">
                  <c:v>5</c:v>
                </c:pt>
                <c:pt idx="5">
                  <c:v>6</c:v>
                </c:pt>
                <c:pt idx="6">
                  <c:v>7</c:v>
                </c:pt>
              </c:strCache>
            </c:strRef>
          </c:cat>
          <c:val>
            <c:numRef>
              <c:f>Sheet1!$B$2:$H$2</c:f>
              <c:numCache>
                <c:formatCode>0.0</c:formatCode>
                <c:ptCount val="7"/>
                <c:pt idx="0">
                  <c:v>11.082558667182113</c:v>
                </c:pt>
                <c:pt idx="1">
                  <c:v>11.208028012080391</c:v>
                </c:pt>
                <c:pt idx="2">
                  <c:v>12.204814563542612</c:v>
                </c:pt>
                <c:pt idx="3">
                  <c:v>12.230835530153186</c:v>
                </c:pt>
                <c:pt idx="4">
                  <c:v>12.538770552084586</c:v>
                </c:pt>
                <c:pt idx="5">
                  <c:v>11.400000000000006</c:v>
                </c:pt>
                <c:pt idx="6">
                  <c:v>10.400000000000006</c:v>
                </c:pt>
              </c:numCache>
            </c:numRef>
          </c:val>
          <c:smooth val="0"/>
          <c:extLst>
            <c:ext xmlns:c16="http://schemas.microsoft.com/office/drawing/2014/chart" uri="{C3380CC4-5D6E-409C-BE32-E72D297353CC}">
              <c16:uniqueId val="{0000000A-5A3D-4309-B13C-37C8ACAA4F77}"/>
            </c:ext>
          </c:extLst>
        </c:ser>
        <c:dLbls>
          <c:showLegendKey val="0"/>
          <c:showVal val="0"/>
          <c:showCatName val="0"/>
          <c:showSerName val="0"/>
          <c:showPercent val="0"/>
          <c:showBubbleSize val="0"/>
        </c:dLbls>
        <c:marker val="1"/>
        <c:smooth val="0"/>
        <c:axId val="220863104"/>
        <c:axId val="220861568"/>
      </c:lineChart>
      <c:catAx>
        <c:axId val="2205838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0585344"/>
        <c:crosses val="autoZero"/>
        <c:auto val="1"/>
        <c:lblAlgn val="ctr"/>
        <c:lblOffset val="100"/>
        <c:noMultiLvlLbl val="0"/>
      </c:catAx>
      <c:valAx>
        <c:axId val="220585344"/>
        <c:scaling>
          <c:orientation val="minMax"/>
          <c:max val="3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0583808"/>
        <c:crosses val="autoZero"/>
        <c:crossBetween val="between"/>
        <c:majorUnit val="6"/>
      </c:valAx>
      <c:valAx>
        <c:axId val="220861568"/>
        <c:scaling>
          <c:orientation val="minMax"/>
          <c:min val="0"/>
        </c:scaling>
        <c:delete val="0"/>
        <c:axPos val="r"/>
        <c:numFmt formatCode="0.0" sourceLinked="1"/>
        <c:majorTickMark val="out"/>
        <c:minorTickMark val="none"/>
        <c:tickLblPos val="nextTo"/>
        <c:crossAx val="220863104"/>
        <c:crosses val="max"/>
        <c:crossBetween val="between"/>
      </c:valAx>
      <c:catAx>
        <c:axId val="220863104"/>
        <c:scaling>
          <c:orientation val="minMax"/>
        </c:scaling>
        <c:delete val="1"/>
        <c:axPos val="b"/>
        <c:numFmt formatCode="General" sourceLinked="1"/>
        <c:majorTickMark val="out"/>
        <c:minorTickMark val="none"/>
        <c:tickLblPos val="none"/>
        <c:crossAx val="220861568"/>
        <c:crosses val="autoZero"/>
        <c:auto val="1"/>
        <c:lblAlgn val="ctr"/>
        <c:lblOffset val="100"/>
        <c:noMultiLvlLbl val="0"/>
      </c:catAx>
      <c:spPr>
        <a:noFill/>
        <a:ln>
          <a:noFill/>
        </a:ln>
        <a:effectLst/>
      </c:spPr>
    </c:plotArea>
    <c:legend>
      <c:legendPos val="b"/>
      <c:layout>
        <c:manualLayout>
          <c:xMode val="edge"/>
          <c:yMode val="edge"/>
          <c:x val="3.9212662156607202E-2"/>
          <c:y val="0.82064339658692165"/>
          <c:w val="0.89647382445930079"/>
          <c:h val="0.1657248030016541"/>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6.746374940837313E-2"/>
          <c:w val="0.87658476118247253"/>
          <c:h val="0.67385904891447945"/>
        </c:manualLayout>
      </c:layout>
      <c:barChart>
        <c:barDir val="col"/>
        <c:grouping val="cluster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Sheet1!$B$3:$H$3</c:f>
              <c:numCache>
                <c:formatCode>0.0</c:formatCode>
                <c:ptCount val="7"/>
                <c:pt idx="0">
                  <c:v>1.4000000000000057</c:v>
                </c:pt>
                <c:pt idx="1">
                  <c:v>0.70000000000000284</c:v>
                </c:pt>
                <c:pt idx="2">
                  <c:v>8.5999999999999943</c:v>
                </c:pt>
                <c:pt idx="3">
                  <c:v>-0.79999999999999716</c:v>
                </c:pt>
                <c:pt idx="4">
                  <c:v>5.2999999999999972</c:v>
                </c:pt>
                <c:pt idx="5">
                  <c:v>-7.4000000000000057</c:v>
                </c:pt>
                <c:pt idx="6">
                  <c:v>-2.4000000000000057</c:v>
                </c:pt>
              </c:numCache>
            </c:numRef>
          </c:val>
          <c:extLst>
            <c:ext xmlns:c16="http://schemas.microsoft.com/office/drawing/2014/chart" uri="{C3380CC4-5D6E-409C-BE32-E72D297353CC}">
              <c16:uniqueId val="{00000000-5202-446A-BB0A-B8C33FBC2F79}"/>
            </c:ext>
          </c:extLst>
        </c:ser>
        <c:ser>
          <c:idx val="2"/>
          <c:order val="2"/>
          <c:tx>
            <c:strRef>
              <c:f>Sheet1!$A$4</c:f>
              <c:strCache>
                <c:ptCount val="1"/>
                <c:pt idx="0">
                  <c:v>շինարարություն</c:v>
                </c:pt>
              </c:strCache>
            </c:strRef>
          </c:tx>
          <c:spPr>
            <a:solidFill>
              <a:sysClr val="window" lastClr="FFFFFF">
                <a:lumMod val="65000"/>
              </a:sysClr>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Sheet1!$B$4:$H$4</c:f>
              <c:numCache>
                <c:formatCode>0.0</c:formatCode>
                <c:ptCount val="7"/>
                <c:pt idx="0">
                  <c:v>12.200000000000003</c:v>
                </c:pt>
                <c:pt idx="1">
                  <c:v>13.900000000000006</c:v>
                </c:pt>
                <c:pt idx="2">
                  <c:v>16.599999999999994</c:v>
                </c:pt>
                <c:pt idx="3">
                  <c:v>19.299999999999997</c:v>
                </c:pt>
                <c:pt idx="4">
                  <c:v>18.400000000000006</c:v>
                </c:pt>
                <c:pt idx="5">
                  <c:v>18.099999999999994</c:v>
                </c:pt>
                <c:pt idx="6">
                  <c:v>17.799999999999997</c:v>
                </c:pt>
              </c:numCache>
            </c:numRef>
          </c:val>
          <c:extLst>
            <c:ext xmlns:c16="http://schemas.microsoft.com/office/drawing/2014/chart" uri="{C3380CC4-5D6E-409C-BE32-E72D297353CC}">
              <c16:uniqueId val="{00000001-5202-446A-BB0A-B8C33FBC2F79}"/>
            </c:ext>
          </c:extLst>
        </c:ser>
        <c:ser>
          <c:idx val="3"/>
          <c:order val="3"/>
          <c:tx>
            <c:strRef>
              <c:f>Sheet1!$A$5</c:f>
              <c:strCache>
                <c:ptCount val="1"/>
                <c:pt idx="0">
                  <c:v>ծառայություններ</c:v>
                </c:pt>
              </c:strCache>
            </c:strRef>
          </c:tx>
          <c:spPr>
            <a:solidFill>
              <a:srgbClr val="ED7D31">
                <a:lumMod val="60000"/>
                <a:lumOff val="40000"/>
              </a:srgbClr>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Sheet1!$B$5:$H$5</c:f>
              <c:numCache>
                <c:formatCode>0.0</c:formatCode>
                <c:ptCount val="7"/>
                <c:pt idx="0">
                  <c:v>25.900000000000006</c:v>
                </c:pt>
                <c:pt idx="1">
                  <c:v>21.200000000000003</c:v>
                </c:pt>
                <c:pt idx="2">
                  <c:v>21.900000000000006</c:v>
                </c:pt>
                <c:pt idx="3">
                  <c:v>20.400000000000006</c:v>
                </c:pt>
                <c:pt idx="4">
                  <c:v>12.299999999999997</c:v>
                </c:pt>
                <c:pt idx="5">
                  <c:v>4</c:v>
                </c:pt>
                <c:pt idx="6">
                  <c:v>5.7999999999999972</c:v>
                </c:pt>
              </c:numCache>
            </c:numRef>
          </c:val>
          <c:extLst>
            <c:ext xmlns:c16="http://schemas.microsoft.com/office/drawing/2014/chart" uri="{C3380CC4-5D6E-409C-BE32-E72D297353CC}">
              <c16:uniqueId val="{00000002-5202-446A-BB0A-B8C33FBC2F79}"/>
            </c:ext>
          </c:extLst>
        </c:ser>
        <c:ser>
          <c:idx val="4"/>
          <c:order val="4"/>
          <c:tx>
            <c:strRef>
              <c:f>Sheet1!$A$6</c:f>
              <c:strCache>
                <c:ptCount val="1"/>
                <c:pt idx="0">
                  <c:v>առևտուր</c:v>
                </c:pt>
              </c:strCache>
            </c:strRef>
          </c:tx>
          <c:spPr>
            <a:solidFill>
              <a:srgbClr val="4472C4">
                <a:lumMod val="50000"/>
              </a:srgbClr>
            </a:solidFill>
            <a:ln>
              <a:noFill/>
            </a:ln>
          </c:spPr>
          <c:invertIfNegative val="0"/>
          <c:cat>
            <c:strRef>
              <c:f>Sheet1!$B$1:$H$1</c:f>
              <c:strCache>
                <c:ptCount val="7"/>
                <c:pt idx="0">
                  <c:v>1</c:v>
                </c:pt>
                <c:pt idx="1">
                  <c:v>2</c:v>
                </c:pt>
                <c:pt idx="2">
                  <c:v>3</c:v>
                </c:pt>
                <c:pt idx="3">
                  <c:v>4</c:v>
                </c:pt>
                <c:pt idx="4">
                  <c:v>5</c:v>
                </c:pt>
                <c:pt idx="5">
                  <c:v>6</c:v>
                </c:pt>
                <c:pt idx="6">
                  <c:v>7</c:v>
                </c:pt>
              </c:strCache>
            </c:strRef>
          </c:cat>
          <c:val>
            <c:numRef>
              <c:f>Sheet1!$B$6:$H$6</c:f>
              <c:numCache>
                <c:formatCode>0.0</c:formatCode>
                <c:ptCount val="7"/>
                <c:pt idx="0">
                  <c:v>17.700000000000003</c:v>
                </c:pt>
                <c:pt idx="1">
                  <c:v>18.200000000000003</c:v>
                </c:pt>
                <c:pt idx="2">
                  <c:v>26.099999999999994</c:v>
                </c:pt>
                <c:pt idx="3">
                  <c:v>28.900000000000006</c:v>
                </c:pt>
                <c:pt idx="4">
                  <c:v>28.599999999999994</c:v>
                </c:pt>
                <c:pt idx="5">
                  <c:v>20.299999999999997</c:v>
                </c:pt>
                <c:pt idx="6">
                  <c:v>20.400000000000006</c:v>
                </c:pt>
              </c:numCache>
            </c:numRef>
          </c:val>
          <c:extLst>
            <c:ext xmlns:c16="http://schemas.microsoft.com/office/drawing/2014/chart" uri="{C3380CC4-5D6E-409C-BE32-E72D297353CC}">
              <c16:uniqueId val="{00000003-5202-446A-BB0A-B8C33FBC2F79}"/>
            </c:ext>
          </c:extLst>
        </c:ser>
        <c:dLbls>
          <c:showLegendKey val="0"/>
          <c:showVal val="0"/>
          <c:showCatName val="0"/>
          <c:showSerName val="0"/>
          <c:showPercent val="0"/>
          <c:showBubbleSize val="0"/>
        </c:dLbls>
        <c:gapWidth val="219"/>
        <c:overlap val="-27"/>
        <c:axId val="220999040"/>
        <c:axId val="221000832"/>
      </c:barChart>
      <c:lineChart>
        <c:grouping val="standard"/>
        <c:varyColors val="0"/>
        <c:ser>
          <c:idx val="0"/>
          <c:order val="0"/>
          <c:tx>
            <c:strRef>
              <c:f>Sheet1!$A$2</c:f>
              <c:strCache>
                <c:ptCount val="1"/>
                <c:pt idx="0">
                  <c:v>ՏԱՑ (աջ առանցք)</c:v>
                </c:pt>
              </c:strCache>
            </c:strRef>
          </c:tx>
          <c:spPr>
            <a:ln>
              <a:solidFill>
                <a:srgbClr val="4472C4">
                  <a:lumMod val="75000"/>
                </a:srgbClr>
              </a:solidFill>
            </a:ln>
            <a:effectLst/>
          </c:spPr>
          <c:marker>
            <c:spPr>
              <a:solidFill>
                <a:srgbClr val="4472C4">
                  <a:lumMod val="75000"/>
                </a:srgbClr>
              </a:solidFill>
              <a:ln>
                <a:solidFill>
                  <a:srgbClr val="4472C4">
                    <a:lumMod val="75000"/>
                  </a:srgbClr>
                </a:solidFill>
              </a:ln>
            </c:spPr>
          </c:marker>
          <c:dLbls>
            <c:dLbl>
              <c:idx val="0"/>
              <c:layout>
                <c:manualLayout>
                  <c:x val="-7.8776473695505042E-2"/>
                  <c:y val="-4.62473778171951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02-446A-BB0A-B8C33FBC2F79}"/>
                </c:ext>
              </c:extLst>
            </c:dLbl>
            <c:dLbl>
              <c:idx val="1"/>
              <c:layout>
                <c:manualLayout>
                  <c:x val="-7.45152610640651E-2"/>
                  <c:y val="-3.43635189750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02-446A-BB0A-B8C33FBC2F79}"/>
                </c:ext>
              </c:extLst>
            </c:dLbl>
            <c:dLbl>
              <c:idx val="2"/>
              <c:layout>
                <c:manualLayout>
                  <c:x val="-7.0185707918585652E-2"/>
                  <c:y val="-4.4681305703434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02-446A-BB0A-B8C33FBC2F79}"/>
                </c:ext>
              </c:extLst>
            </c:dLbl>
            <c:dLbl>
              <c:idx val="3"/>
              <c:layout>
                <c:manualLayout>
                  <c:x val="-6.1868304197824325E-2"/>
                  <c:y val="-3.1192774378545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02-446A-BB0A-B8C33FBC2F79}"/>
                </c:ext>
              </c:extLst>
            </c:dLbl>
            <c:dLbl>
              <c:idx val="4"/>
              <c:layout>
                <c:manualLayout>
                  <c:x val="-6.5992988244999023E-2"/>
                  <c:y val="5.9523809523809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202-446A-BB0A-B8C33FBC2F79}"/>
                </c:ext>
              </c:extLst>
            </c:dLbl>
            <c:dLbl>
              <c:idx val="6"/>
              <c:layout>
                <c:manualLayout>
                  <c:x val="-3.7735849056603925E-2"/>
                  <c:y val="-5.83600817041149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02-446A-BB0A-B8C33FBC2F79}"/>
                </c:ext>
              </c:extLst>
            </c:dLbl>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Sheet1!$B$1:$H$1</c:f>
              <c:strCache>
                <c:ptCount val="7"/>
                <c:pt idx="0">
                  <c:v>1</c:v>
                </c:pt>
                <c:pt idx="1">
                  <c:v>2</c:v>
                </c:pt>
                <c:pt idx="2">
                  <c:v>3</c:v>
                </c:pt>
                <c:pt idx="3">
                  <c:v>4</c:v>
                </c:pt>
                <c:pt idx="4">
                  <c:v>5</c:v>
                </c:pt>
                <c:pt idx="5">
                  <c:v>6</c:v>
                </c:pt>
                <c:pt idx="6">
                  <c:v>7</c:v>
                </c:pt>
              </c:strCache>
            </c:strRef>
          </c:cat>
          <c:val>
            <c:numRef>
              <c:f>Sheet1!$B$2:$H$2</c:f>
              <c:numCache>
                <c:formatCode>0.0</c:formatCode>
                <c:ptCount val="7"/>
                <c:pt idx="0">
                  <c:v>11.082558667182113</c:v>
                </c:pt>
                <c:pt idx="1">
                  <c:v>11.326720183465838</c:v>
                </c:pt>
                <c:pt idx="2">
                  <c:v>13.995446267327168</c:v>
                </c:pt>
                <c:pt idx="3">
                  <c:v>12.299999999999997</c:v>
                </c:pt>
                <c:pt idx="4">
                  <c:v>13.599999999999994</c:v>
                </c:pt>
                <c:pt idx="5">
                  <c:v>6.7999999999999972</c:v>
                </c:pt>
                <c:pt idx="6">
                  <c:v>6</c:v>
                </c:pt>
              </c:numCache>
            </c:numRef>
          </c:val>
          <c:smooth val="0"/>
          <c:extLst>
            <c:ext xmlns:c16="http://schemas.microsoft.com/office/drawing/2014/chart" uri="{C3380CC4-5D6E-409C-BE32-E72D297353CC}">
              <c16:uniqueId val="{0000000A-5202-446A-BB0A-B8C33FBC2F79}"/>
            </c:ext>
          </c:extLst>
        </c:ser>
        <c:dLbls>
          <c:showLegendKey val="0"/>
          <c:showVal val="0"/>
          <c:showCatName val="0"/>
          <c:showSerName val="0"/>
          <c:showPercent val="0"/>
          <c:showBubbleSize val="0"/>
        </c:dLbls>
        <c:marker val="1"/>
        <c:smooth val="0"/>
        <c:axId val="221004160"/>
        <c:axId val="221002368"/>
      </c:lineChart>
      <c:catAx>
        <c:axId val="22099904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1000832"/>
        <c:crosses val="autoZero"/>
        <c:auto val="1"/>
        <c:lblAlgn val="ctr"/>
        <c:lblOffset val="100"/>
        <c:noMultiLvlLbl val="0"/>
      </c:catAx>
      <c:valAx>
        <c:axId val="221000832"/>
        <c:scaling>
          <c:orientation val="minMax"/>
          <c:max val="30"/>
          <c:min val="-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0999040"/>
        <c:crosses val="autoZero"/>
        <c:crossBetween val="between"/>
        <c:majorUnit val="4"/>
      </c:valAx>
      <c:valAx>
        <c:axId val="221002368"/>
        <c:scaling>
          <c:orientation val="minMax"/>
        </c:scaling>
        <c:delete val="0"/>
        <c:axPos val="r"/>
        <c:numFmt formatCode="0.0" sourceLinked="1"/>
        <c:majorTickMark val="out"/>
        <c:minorTickMark val="none"/>
        <c:tickLblPos val="nextTo"/>
        <c:crossAx val="221004160"/>
        <c:crosses val="max"/>
        <c:crossBetween val="between"/>
      </c:valAx>
      <c:catAx>
        <c:axId val="221004160"/>
        <c:scaling>
          <c:orientation val="minMax"/>
        </c:scaling>
        <c:delete val="1"/>
        <c:axPos val="b"/>
        <c:numFmt formatCode="General" sourceLinked="1"/>
        <c:majorTickMark val="out"/>
        <c:minorTickMark val="none"/>
        <c:tickLblPos val="none"/>
        <c:crossAx val="221002368"/>
        <c:crosses val="autoZero"/>
        <c:auto val="1"/>
        <c:lblAlgn val="ctr"/>
        <c:lblOffset val="100"/>
        <c:noMultiLvlLbl val="0"/>
      </c:catAx>
      <c:spPr>
        <a:noFill/>
        <a:ln>
          <a:noFill/>
        </a:ln>
        <a:effectLst/>
      </c:spPr>
    </c:plotArea>
    <c:legend>
      <c:legendPos val="b"/>
      <c:layout>
        <c:manualLayout>
          <c:xMode val="edge"/>
          <c:yMode val="edge"/>
          <c:x val="3.9212598425196851E-2"/>
          <c:y val="0.83531749952323964"/>
          <c:w val="0.92687606666201161"/>
          <c:h val="0.164682500476760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7.1054857812194963E-2"/>
          <c:w val="0.87658476118247253"/>
          <c:h val="0.60619753682232735"/>
        </c:manualLayout>
      </c:layout>
      <c:barChart>
        <c:barDir val="col"/>
        <c:grouping val="stack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Sheet1!$B$3:$H$3</c:f>
              <c:numCache>
                <c:formatCode>0.0</c:formatCode>
                <c:ptCount val="7"/>
                <c:pt idx="0">
                  <c:v>0.28361096295453792</c:v>
                </c:pt>
                <c:pt idx="1">
                  <c:v>0.20257925925324055</c:v>
                </c:pt>
                <c:pt idx="2">
                  <c:v>0.72928533331166479</c:v>
                </c:pt>
                <c:pt idx="3">
                  <c:v>0.48619022220777847</c:v>
                </c:pt>
                <c:pt idx="4">
                  <c:v>0.60773777775972171</c:v>
                </c:pt>
                <c:pt idx="5">
                  <c:v>0.20257925925324055</c:v>
                </c:pt>
                <c:pt idx="6">
                  <c:v>0.10128962962662028</c:v>
                </c:pt>
              </c:numCache>
            </c:numRef>
          </c:val>
          <c:extLst>
            <c:ext xmlns:c16="http://schemas.microsoft.com/office/drawing/2014/chart" uri="{C3380CC4-5D6E-409C-BE32-E72D297353CC}">
              <c16:uniqueId val="{00000000-A175-4155-93F2-E6DF18DBBBBD}"/>
            </c:ext>
          </c:extLst>
        </c:ser>
        <c:ser>
          <c:idx val="2"/>
          <c:order val="2"/>
          <c:tx>
            <c:strRef>
              <c:f>Sheet1!$A$4</c:f>
              <c:strCache>
                <c:ptCount val="1"/>
                <c:pt idx="0">
                  <c:v>գյուղատնտեսություն</c:v>
                </c:pt>
              </c:strCache>
            </c:strRef>
          </c:tx>
          <c:spPr>
            <a:solidFill>
              <a:srgbClr val="8064A2"/>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Sheet1!$B$4:$H$4</c:f>
              <c:numCache>
                <c:formatCode>0.0</c:formatCode>
                <c:ptCount val="7"/>
                <c:pt idx="0">
                  <c:v>0</c:v>
                </c:pt>
                <c:pt idx="1">
                  <c:v>0</c:v>
                </c:pt>
                <c:pt idx="2">
                  <c:v>0.15923032869221235</c:v>
                </c:pt>
                <c:pt idx="3">
                  <c:v>0</c:v>
                </c:pt>
                <c:pt idx="4">
                  <c:v>0</c:v>
                </c:pt>
                <c:pt idx="5">
                  <c:v>0.22747189813173102</c:v>
                </c:pt>
                <c:pt idx="6">
                  <c:v>0</c:v>
                </c:pt>
              </c:numCache>
            </c:numRef>
          </c:val>
          <c:extLst>
            <c:ext xmlns:c16="http://schemas.microsoft.com/office/drawing/2014/chart" uri="{C3380CC4-5D6E-409C-BE32-E72D297353CC}">
              <c16:uniqueId val="{00000001-A175-4155-93F2-E6DF18DBBBBD}"/>
            </c:ext>
          </c:extLst>
        </c:ser>
        <c:ser>
          <c:idx val="3"/>
          <c:order val="3"/>
          <c:tx>
            <c:strRef>
              <c:f>Sheet1!$A$5</c:f>
              <c:strCache>
                <c:ptCount val="1"/>
                <c:pt idx="0">
                  <c:v>շինարարություն</c:v>
                </c:pt>
              </c:strCache>
            </c:strRef>
          </c:tx>
          <c:spPr>
            <a:solidFill>
              <a:sysClr val="window" lastClr="FFFFFF">
                <a:lumMod val="65000"/>
              </a:sysClr>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Sheet1!$B$5:$H$5</c:f>
              <c:numCache>
                <c:formatCode>0.0</c:formatCode>
                <c:ptCount val="7"/>
                <c:pt idx="0">
                  <c:v>0.91037338358597975</c:v>
                </c:pt>
                <c:pt idx="1">
                  <c:v>1.0372286911348458</c:v>
                </c:pt>
                <c:pt idx="2">
                  <c:v>1.2387047678301029</c:v>
                </c:pt>
                <c:pt idx="3">
                  <c:v>1.4401808445253608</c:v>
                </c:pt>
                <c:pt idx="4">
                  <c:v>1.2461668447447427</c:v>
                </c:pt>
                <c:pt idx="5">
                  <c:v>1.26855307548866</c:v>
                </c:pt>
                <c:pt idx="6">
                  <c:v>1.2834772293179386</c:v>
                </c:pt>
              </c:numCache>
            </c:numRef>
          </c:val>
          <c:extLst>
            <c:ext xmlns:c16="http://schemas.microsoft.com/office/drawing/2014/chart" uri="{C3380CC4-5D6E-409C-BE32-E72D297353CC}">
              <c16:uniqueId val="{00000002-A175-4155-93F2-E6DF18DBBBBD}"/>
            </c:ext>
          </c:extLst>
        </c:ser>
        <c:ser>
          <c:idx val="4"/>
          <c:order val="4"/>
          <c:tx>
            <c:strRef>
              <c:f>Sheet1!$A$6</c:f>
              <c:strCache>
                <c:ptCount val="1"/>
                <c:pt idx="0">
                  <c:v>ծառայություններ</c:v>
                </c:pt>
              </c:strCache>
            </c:strRef>
          </c:tx>
          <c:spPr>
            <a:solidFill>
              <a:srgbClr val="ED7D31">
                <a:lumMod val="60000"/>
                <a:lumOff val="40000"/>
              </a:srgbClr>
            </a:solidFill>
            <a:ln>
              <a:noFill/>
            </a:ln>
          </c:spPr>
          <c:invertIfNegative val="0"/>
          <c:cat>
            <c:strRef>
              <c:f>Sheet1!$B$1:$H$1</c:f>
              <c:strCache>
                <c:ptCount val="7"/>
                <c:pt idx="0">
                  <c:v>1</c:v>
                </c:pt>
                <c:pt idx="1">
                  <c:v>2</c:v>
                </c:pt>
                <c:pt idx="2">
                  <c:v>3</c:v>
                </c:pt>
                <c:pt idx="3">
                  <c:v>4</c:v>
                </c:pt>
                <c:pt idx="4">
                  <c:v>5</c:v>
                </c:pt>
                <c:pt idx="5">
                  <c:v>6</c:v>
                </c:pt>
                <c:pt idx="6">
                  <c:v>7</c:v>
                </c:pt>
              </c:strCache>
            </c:strRef>
          </c:cat>
          <c:val>
            <c:numRef>
              <c:f>Sheet1!$B$6:$H$6</c:f>
              <c:numCache>
                <c:formatCode>0.0</c:formatCode>
                <c:ptCount val="7"/>
                <c:pt idx="0">
                  <c:v>7.7192168952389961</c:v>
                </c:pt>
                <c:pt idx="1">
                  <c:v>7.0305562982973679</c:v>
                </c:pt>
                <c:pt idx="2">
                  <c:v>6.7769568565457767</c:v>
                </c:pt>
                <c:pt idx="3">
                  <c:v>6.7265338012950213</c:v>
                </c:pt>
                <c:pt idx="4">
                  <c:v>6.2718279788346427</c:v>
                </c:pt>
                <c:pt idx="5">
                  <c:v>5.5151917638749852</c:v>
                </c:pt>
                <c:pt idx="6">
                  <c:v>4.9825377077632886</c:v>
                </c:pt>
              </c:numCache>
            </c:numRef>
          </c:val>
          <c:extLst>
            <c:ext xmlns:c16="http://schemas.microsoft.com/office/drawing/2014/chart" uri="{C3380CC4-5D6E-409C-BE32-E72D297353CC}">
              <c16:uniqueId val="{00000003-A175-4155-93F2-E6DF18DBBBBD}"/>
            </c:ext>
          </c:extLst>
        </c:ser>
        <c:ser>
          <c:idx val="5"/>
          <c:order val="5"/>
          <c:tx>
            <c:strRef>
              <c:f>Sheet1!$A$7</c:f>
              <c:strCache>
                <c:ptCount val="1"/>
                <c:pt idx="0">
                  <c:v>առևտուր</c:v>
                </c:pt>
              </c:strCache>
            </c:strRef>
          </c:tx>
          <c:spPr>
            <a:solidFill>
              <a:srgbClr val="4472C4">
                <a:lumMod val="50000"/>
              </a:srgbClr>
            </a:solidFill>
            <a:ln>
              <a:noFill/>
            </a:ln>
          </c:spPr>
          <c:invertIfNegative val="0"/>
          <c:cat>
            <c:strRef>
              <c:f>Sheet1!$B$1:$H$1</c:f>
              <c:strCache>
                <c:ptCount val="7"/>
                <c:pt idx="0">
                  <c:v>1</c:v>
                </c:pt>
                <c:pt idx="1">
                  <c:v>2</c:v>
                </c:pt>
                <c:pt idx="2">
                  <c:v>3</c:v>
                </c:pt>
                <c:pt idx="3">
                  <c:v>4</c:v>
                </c:pt>
                <c:pt idx="4">
                  <c:v>5</c:v>
                </c:pt>
                <c:pt idx="5">
                  <c:v>6</c:v>
                </c:pt>
                <c:pt idx="6">
                  <c:v>7</c:v>
                </c:pt>
              </c:strCache>
            </c:strRef>
          </c:cat>
          <c:val>
            <c:numRef>
              <c:f>Sheet1!$B$7:$H$7</c:f>
              <c:numCache>
                <c:formatCode>0.0</c:formatCode>
                <c:ptCount val="7"/>
                <c:pt idx="0">
                  <c:v>2.2494476716460814</c:v>
                </c:pt>
                <c:pt idx="1">
                  <c:v>2.2875739033688958</c:v>
                </c:pt>
                <c:pt idx="2">
                  <c:v>2.6688362205970453</c:v>
                </c:pt>
                <c:pt idx="3">
                  <c:v>2.9484285865643551</c:v>
                </c:pt>
                <c:pt idx="4">
                  <c:v>3.1136422573632196</c:v>
                </c:pt>
                <c:pt idx="5">
                  <c:v>2.9992635621947739</c:v>
                </c:pt>
                <c:pt idx="6">
                  <c:v>2.9230110987491447</c:v>
                </c:pt>
              </c:numCache>
            </c:numRef>
          </c:val>
          <c:extLst>
            <c:ext xmlns:c16="http://schemas.microsoft.com/office/drawing/2014/chart" uri="{C3380CC4-5D6E-409C-BE32-E72D297353CC}">
              <c16:uniqueId val="{00000004-A175-4155-93F2-E6DF18DBBBBD}"/>
            </c:ext>
          </c:extLst>
        </c:ser>
        <c:ser>
          <c:idx val="6"/>
          <c:order val="6"/>
          <c:tx>
            <c:strRef>
              <c:f>Sheet1!$A$8</c:f>
              <c:strCache>
                <c:ptCount val="1"/>
                <c:pt idx="0">
                  <c:v>այլ </c:v>
                </c:pt>
              </c:strCache>
            </c:strRef>
          </c:tx>
          <c:spPr>
            <a:solidFill>
              <a:srgbClr val="5B9BD5">
                <a:lumMod val="75000"/>
              </a:srgbClr>
            </a:solidFill>
          </c:spPr>
          <c:invertIfNegative val="0"/>
          <c:cat>
            <c:strRef>
              <c:f>Sheet1!$B$1:$H$1</c:f>
              <c:strCache>
                <c:ptCount val="7"/>
                <c:pt idx="0">
                  <c:v>1</c:v>
                </c:pt>
                <c:pt idx="1">
                  <c:v>2</c:v>
                </c:pt>
                <c:pt idx="2">
                  <c:v>3</c:v>
                </c:pt>
                <c:pt idx="3">
                  <c:v>4</c:v>
                </c:pt>
                <c:pt idx="4">
                  <c:v>5</c:v>
                </c:pt>
                <c:pt idx="5">
                  <c:v>6</c:v>
                </c:pt>
                <c:pt idx="6">
                  <c:v>7</c:v>
                </c:pt>
              </c:strCache>
            </c:strRef>
          </c:cat>
          <c:val>
            <c:numRef>
              <c:f>Sheet1!$B$8:$H$8</c:f>
              <c:numCache>
                <c:formatCode>0.0</c:formatCode>
                <c:ptCount val="7"/>
                <c:pt idx="0">
                  <c:v>-8.0090246243482266E-2</c:v>
                </c:pt>
                <c:pt idx="1">
                  <c:v>0.65008986002603963</c:v>
                </c:pt>
                <c:pt idx="2">
                  <c:v>0.63180105656580898</c:v>
                </c:pt>
                <c:pt idx="3">
                  <c:v>0.62950207556067017</c:v>
                </c:pt>
                <c:pt idx="4">
                  <c:v>1.2993956933822592</c:v>
                </c:pt>
                <c:pt idx="5">
                  <c:v>1.1869404410566149</c:v>
                </c:pt>
                <c:pt idx="6">
                  <c:v>1.1096843345430134</c:v>
                </c:pt>
              </c:numCache>
            </c:numRef>
          </c:val>
          <c:extLst>
            <c:ext xmlns:c16="http://schemas.microsoft.com/office/drawing/2014/chart" uri="{C3380CC4-5D6E-409C-BE32-E72D297353CC}">
              <c16:uniqueId val="{00000005-A175-4155-93F2-E6DF18DBBBBD}"/>
            </c:ext>
          </c:extLst>
        </c:ser>
        <c:dLbls>
          <c:showLegendKey val="0"/>
          <c:showVal val="0"/>
          <c:showCatName val="0"/>
          <c:showSerName val="0"/>
          <c:showPercent val="0"/>
          <c:showBubbleSize val="0"/>
        </c:dLbls>
        <c:gapWidth val="150"/>
        <c:overlap val="100"/>
        <c:axId val="222515968"/>
        <c:axId val="222517504"/>
      </c:barChart>
      <c:lineChart>
        <c:grouping val="standard"/>
        <c:varyColors val="0"/>
        <c:ser>
          <c:idx val="0"/>
          <c:order val="0"/>
          <c:tx>
            <c:strRef>
              <c:f>Sheet1!$A$2</c:f>
              <c:strCache>
                <c:ptCount val="1"/>
                <c:pt idx="0">
                  <c:v>ՏԱՑ</c:v>
                </c:pt>
              </c:strCache>
            </c:strRef>
          </c:tx>
          <c:spPr>
            <a:ln>
              <a:solidFill>
                <a:srgbClr val="4472C4">
                  <a:lumMod val="75000"/>
                </a:srgbClr>
              </a:solidFill>
            </a:ln>
            <a:effectLst/>
          </c:spPr>
          <c:marker>
            <c:spPr>
              <a:ln>
                <a:solidFill>
                  <a:srgbClr val="4472C4">
                    <a:lumMod val="75000"/>
                  </a:srgbClr>
                </a:solidFill>
              </a:ln>
            </c:spPr>
          </c:marker>
          <c:dLbls>
            <c:dLbl>
              <c:idx val="0"/>
              <c:layout>
                <c:manualLayout>
                  <c:x val="-6.1518110236220475E-2"/>
                  <c:y val="-4.3751508151632812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75-4155-93F2-E6DF18DBBBBD}"/>
                </c:ext>
              </c:extLst>
            </c:dLbl>
            <c:dLbl>
              <c:idx val="1"/>
              <c:layout>
                <c:manualLayout>
                  <c:x val="-7.9733494851605094E-2"/>
                  <c:y val="-4.3751508151632812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75-4155-93F2-E6DF18DBBBBD}"/>
                </c:ext>
              </c:extLst>
            </c:dLbl>
            <c:dLbl>
              <c:idx val="2"/>
              <c:layout>
                <c:manualLayout>
                  <c:x val="-6.5128366646476962E-2"/>
                  <c:y val="-3.1850288276595598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175-4155-93F2-E6DF18DBBBBD}"/>
                </c:ext>
              </c:extLst>
            </c:dLbl>
            <c:dLbl>
              <c:idx val="3"/>
              <c:layout>
                <c:manualLayout>
                  <c:x val="-6.9230930749040992E-2"/>
                  <c:y val="-5.5652728026669991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175-4155-93F2-E6DF18DBBBBD}"/>
                </c:ext>
              </c:extLst>
            </c:dLbl>
            <c:dLbl>
              <c:idx val="4"/>
              <c:layout>
                <c:manualLayout>
                  <c:x val="-6.1702564102564028E-2"/>
                  <c:y val="-6.755394790170717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175-4155-93F2-E6DF18DBBBBD}"/>
                </c:ext>
              </c:extLst>
            </c:dLbl>
            <c:dLbl>
              <c:idx val="5"/>
              <c:layout>
                <c:manualLayout>
                  <c:x val="-4.6287260246315368E-2"/>
                  <c:y val="-7.91576372798684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175-4155-93F2-E6DF18DBBBBD}"/>
                </c:ext>
              </c:extLst>
            </c:dLbl>
            <c:dLbl>
              <c:idx val="6"/>
              <c:layout>
                <c:manualLayout>
                  <c:x val="-4.7727680193821925E-2"/>
                  <c:y val="-6.72564174048312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175-4155-93F2-E6DF18DBBBBD}"/>
                </c:ext>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Sheet1!$B$1:$H$1</c:f>
              <c:strCache>
                <c:ptCount val="7"/>
                <c:pt idx="0">
                  <c:v>1</c:v>
                </c:pt>
                <c:pt idx="1">
                  <c:v>2</c:v>
                </c:pt>
                <c:pt idx="2">
                  <c:v>3</c:v>
                </c:pt>
                <c:pt idx="3">
                  <c:v>4</c:v>
                </c:pt>
                <c:pt idx="4">
                  <c:v>5</c:v>
                </c:pt>
                <c:pt idx="5">
                  <c:v>6</c:v>
                </c:pt>
                <c:pt idx="6">
                  <c:v>7</c:v>
                </c:pt>
              </c:strCache>
            </c:strRef>
          </c:cat>
          <c:val>
            <c:numRef>
              <c:f>Sheet1!$B$2:$H$2</c:f>
              <c:numCache>
                <c:formatCode>0.0</c:formatCode>
                <c:ptCount val="7"/>
                <c:pt idx="0">
                  <c:v>11.082558667182113</c:v>
                </c:pt>
                <c:pt idx="1">
                  <c:v>11.208028012080391</c:v>
                </c:pt>
                <c:pt idx="2">
                  <c:v>12.204814563542612</c:v>
                </c:pt>
                <c:pt idx="3">
                  <c:v>12.230835530153186</c:v>
                </c:pt>
                <c:pt idx="4">
                  <c:v>12.538770552084586</c:v>
                </c:pt>
                <c:pt idx="5">
                  <c:v>11.400000000000006</c:v>
                </c:pt>
                <c:pt idx="6">
                  <c:v>10.400000000000006</c:v>
                </c:pt>
              </c:numCache>
            </c:numRef>
          </c:val>
          <c:smooth val="0"/>
          <c:extLst>
            <c:ext xmlns:c16="http://schemas.microsoft.com/office/drawing/2014/chart" uri="{C3380CC4-5D6E-409C-BE32-E72D297353CC}">
              <c16:uniqueId val="{0000000D-A175-4155-93F2-E6DF18DBBBBD}"/>
            </c:ext>
          </c:extLst>
        </c:ser>
        <c:dLbls>
          <c:showLegendKey val="0"/>
          <c:showVal val="0"/>
          <c:showCatName val="0"/>
          <c:showSerName val="0"/>
          <c:showPercent val="0"/>
          <c:showBubbleSize val="0"/>
        </c:dLbls>
        <c:marker val="1"/>
        <c:smooth val="0"/>
        <c:axId val="222515968"/>
        <c:axId val="222517504"/>
      </c:lineChart>
      <c:catAx>
        <c:axId val="2225159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517504"/>
        <c:crosses val="autoZero"/>
        <c:auto val="1"/>
        <c:lblAlgn val="ctr"/>
        <c:lblOffset val="100"/>
        <c:noMultiLvlLbl val="0"/>
      </c:catAx>
      <c:valAx>
        <c:axId val="222517504"/>
        <c:scaling>
          <c:orientation val="minMax"/>
          <c:max val="16"/>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515968"/>
        <c:crosses val="autoZero"/>
        <c:crossBetween val="between"/>
        <c:majorUnit val="5"/>
      </c:valAx>
      <c:spPr>
        <a:noFill/>
        <a:ln>
          <a:noFill/>
        </a:ln>
        <a:effectLst/>
      </c:spPr>
    </c:plotArea>
    <c:legend>
      <c:legendPos val="b"/>
      <c:layout>
        <c:manualLayout>
          <c:xMode val="edge"/>
          <c:yMode val="edge"/>
          <c:x val="3.9212662156607202E-2"/>
          <c:y val="0.78849142667044636"/>
          <c:w val="0.93458477517078753"/>
          <c:h val="0.2115085733295536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8.1124951594165523E-2"/>
          <c:w val="0.87658476118247253"/>
          <c:h val="0.65230133105322941"/>
        </c:manualLayout>
      </c:layout>
      <c:barChart>
        <c:barDir val="col"/>
        <c:grouping val="stack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Sheet1!$B$3:$H$3</c:f>
              <c:numCache>
                <c:formatCode>0.0</c:formatCode>
                <c:ptCount val="7"/>
                <c:pt idx="0">
                  <c:v>0.28361096295453792</c:v>
                </c:pt>
                <c:pt idx="1">
                  <c:v>0.14180548147726896</c:v>
                </c:pt>
                <c:pt idx="2">
                  <c:v>1.7421816295778676</c:v>
                </c:pt>
                <c:pt idx="3">
                  <c:v>-0.16206340740259187</c:v>
                </c:pt>
                <c:pt idx="4">
                  <c:v>1.0736700740421743</c:v>
                </c:pt>
                <c:pt idx="5">
                  <c:v>-1.4990865184739812</c:v>
                </c:pt>
                <c:pt idx="6">
                  <c:v>-0.48619022220777847</c:v>
                </c:pt>
              </c:numCache>
            </c:numRef>
          </c:val>
          <c:extLst>
            <c:ext xmlns:c16="http://schemas.microsoft.com/office/drawing/2014/chart" uri="{C3380CC4-5D6E-409C-BE32-E72D297353CC}">
              <c16:uniqueId val="{00000000-5915-4E1C-A4DA-073636C56593}"/>
            </c:ext>
          </c:extLst>
        </c:ser>
        <c:ser>
          <c:idx val="2"/>
          <c:order val="2"/>
          <c:tx>
            <c:strRef>
              <c:f>Sheet1!$A$4</c:f>
              <c:strCache>
                <c:ptCount val="1"/>
                <c:pt idx="0">
                  <c:v>շինարարություն</c:v>
                </c:pt>
              </c:strCache>
            </c:strRef>
          </c:tx>
          <c:spPr>
            <a:solidFill>
              <a:sysClr val="window" lastClr="FFFFFF">
                <a:lumMod val="65000"/>
              </a:sysClr>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Sheet1!$B$4:$H$4</c:f>
              <c:numCache>
                <c:formatCode>0.0</c:formatCode>
                <c:ptCount val="7"/>
                <c:pt idx="0">
                  <c:v>0.91037338358597975</c:v>
                </c:pt>
                <c:pt idx="1">
                  <c:v>1.0372286911348458</c:v>
                </c:pt>
                <c:pt idx="2">
                  <c:v>1.2387047678301029</c:v>
                </c:pt>
                <c:pt idx="3">
                  <c:v>1.4401808445253608</c:v>
                </c:pt>
                <c:pt idx="4">
                  <c:v>1.3730221522936088</c:v>
                </c:pt>
                <c:pt idx="5">
                  <c:v>1.3506359215496906</c:v>
                </c:pt>
                <c:pt idx="6">
                  <c:v>1.3282496908057733</c:v>
                </c:pt>
              </c:numCache>
            </c:numRef>
          </c:val>
          <c:extLst>
            <c:ext xmlns:c16="http://schemas.microsoft.com/office/drawing/2014/chart" uri="{C3380CC4-5D6E-409C-BE32-E72D297353CC}">
              <c16:uniqueId val="{00000001-5915-4E1C-A4DA-073636C56593}"/>
            </c:ext>
          </c:extLst>
        </c:ser>
        <c:ser>
          <c:idx val="3"/>
          <c:order val="3"/>
          <c:tx>
            <c:strRef>
              <c:f>Sheet1!$A$5</c:f>
              <c:strCache>
                <c:ptCount val="1"/>
                <c:pt idx="0">
                  <c:v>ծառայություններ</c:v>
                </c:pt>
              </c:strCache>
            </c:strRef>
          </c:tx>
          <c:spPr>
            <a:solidFill>
              <a:srgbClr val="ED7D31">
                <a:lumMod val="60000"/>
                <a:lumOff val="40000"/>
              </a:srgbClr>
            </a:solidFill>
            <a:ln>
              <a:noFill/>
            </a:ln>
            <a:effectLst/>
          </c:spPr>
          <c:invertIfNegative val="0"/>
          <c:cat>
            <c:strRef>
              <c:f>Sheet1!$B$1:$H$1</c:f>
              <c:strCache>
                <c:ptCount val="7"/>
                <c:pt idx="0">
                  <c:v>1</c:v>
                </c:pt>
                <c:pt idx="1">
                  <c:v>2</c:v>
                </c:pt>
                <c:pt idx="2">
                  <c:v>3</c:v>
                </c:pt>
                <c:pt idx="3">
                  <c:v>4</c:v>
                </c:pt>
                <c:pt idx="4">
                  <c:v>5</c:v>
                </c:pt>
                <c:pt idx="5">
                  <c:v>6</c:v>
                </c:pt>
                <c:pt idx="6">
                  <c:v>7</c:v>
                </c:pt>
              </c:strCache>
            </c:strRef>
          </c:cat>
          <c:val>
            <c:numRef>
              <c:f>Sheet1!$B$5:$H$5</c:f>
              <c:numCache>
                <c:formatCode>0.0</c:formatCode>
                <c:ptCount val="7"/>
                <c:pt idx="0">
                  <c:v>12.483193511573912</c:v>
                </c:pt>
                <c:pt idx="1">
                  <c:v>10.217903569319187</c:v>
                </c:pt>
                <c:pt idx="2">
                  <c:v>10.555287177740103</c:v>
                </c:pt>
                <c:pt idx="3">
                  <c:v>9.8323223025524253</c:v>
                </c:pt>
                <c:pt idx="4">
                  <c:v>5.9283119765389598</c:v>
                </c:pt>
                <c:pt idx="5">
                  <c:v>1.9279063338338085</c:v>
                </c:pt>
                <c:pt idx="6">
                  <c:v>2.7954641840590209</c:v>
                </c:pt>
              </c:numCache>
            </c:numRef>
          </c:val>
          <c:extLst>
            <c:ext xmlns:c16="http://schemas.microsoft.com/office/drawing/2014/chart" uri="{C3380CC4-5D6E-409C-BE32-E72D297353CC}">
              <c16:uniqueId val="{00000002-5915-4E1C-A4DA-073636C56593}"/>
            </c:ext>
          </c:extLst>
        </c:ser>
        <c:ser>
          <c:idx val="4"/>
          <c:order val="4"/>
          <c:tx>
            <c:strRef>
              <c:f>Sheet1!$A$6</c:f>
              <c:strCache>
                <c:ptCount val="1"/>
                <c:pt idx="0">
                  <c:v>առևտուր</c:v>
                </c:pt>
              </c:strCache>
            </c:strRef>
          </c:tx>
          <c:spPr>
            <a:solidFill>
              <a:srgbClr val="4472C4">
                <a:lumMod val="50000"/>
              </a:srgbClr>
            </a:solidFill>
            <a:ln>
              <a:noFill/>
            </a:ln>
          </c:spPr>
          <c:invertIfNegative val="0"/>
          <c:cat>
            <c:strRef>
              <c:f>Sheet1!$B$1:$H$1</c:f>
              <c:strCache>
                <c:ptCount val="7"/>
                <c:pt idx="0">
                  <c:v>1</c:v>
                </c:pt>
                <c:pt idx="1">
                  <c:v>2</c:v>
                </c:pt>
                <c:pt idx="2">
                  <c:v>3</c:v>
                </c:pt>
                <c:pt idx="3">
                  <c:v>4</c:v>
                </c:pt>
                <c:pt idx="4">
                  <c:v>5</c:v>
                </c:pt>
                <c:pt idx="5">
                  <c:v>6</c:v>
                </c:pt>
                <c:pt idx="6">
                  <c:v>7</c:v>
                </c:pt>
              </c:strCache>
            </c:strRef>
          </c:cat>
          <c:val>
            <c:numRef>
              <c:f>Sheet1!$B$6:$H$6</c:f>
              <c:numCache>
                <c:formatCode>0.0</c:formatCode>
                <c:ptCount val="7"/>
                <c:pt idx="0">
                  <c:v>2.2494476716460814</c:v>
                </c:pt>
                <c:pt idx="1">
                  <c:v>2.3129913911841062</c:v>
                </c:pt>
                <c:pt idx="2">
                  <c:v>3.3169821598848985</c:v>
                </c:pt>
                <c:pt idx="3">
                  <c:v>3.6728269892978394</c:v>
                </c:pt>
                <c:pt idx="4">
                  <c:v>3.6347007575750228</c:v>
                </c:pt>
                <c:pt idx="5">
                  <c:v>2.57987501324381</c:v>
                </c:pt>
                <c:pt idx="6">
                  <c:v>2.5925837571514161</c:v>
                </c:pt>
              </c:numCache>
            </c:numRef>
          </c:val>
          <c:extLst>
            <c:ext xmlns:c16="http://schemas.microsoft.com/office/drawing/2014/chart" uri="{C3380CC4-5D6E-409C-BE32-E72D297353CC}">
              <c16:uniqueId val="{00000003-5915-4E1C-A4DA-073636C56593}"/>
            </c:ext>
          </c:extLst>
        </c:ser>
        <c:dLbls>
          <c:showLegendKey val="0"/>
          <c:showVal val="0"/>
          <c:showCatName val="0"/>
          <c:showSerName val="0"/>
          <c:showPercent val="0"/>
          <c:showBubbleSize val="0"/>
        </c:dLbls>
        <c:gapWidth val="219"/>
        <c:overlap val="100"/>
        <c:axId val="222600576"/>
        <c:axId val="222610560"/>
      </c:barChart>
      <c:lineChart>
        <c:grouping val="standard"/>
        <c:varyColors val="0"/>
        <c:ser>
          <c:idx val="0"/>
          <c:order val="0"/>
          <c:tx>
            <c:strRef>
              <c:f>Sheet1!$A$2</c:f>
              <c:strCache>
                <c:ptCount val="1"/>
                <c:pt idx="0">
                  <c:v>ՏԱՑ</c:v>
                </c:pt>
              </c:strCache>
            </c:strRef>
          </c:tx>
          <c:spPr>
            <a:ln>
              <a:solidFill>
                <a:srgbClr val="4472C4">
                  <a:lumMod val="75000"/>
                </a:srgbClr>
              </a:solidFill>
            </a:ln>
            <a:effectLst/>
          </c:spPr>
          <c:marker>
            <c:spPr>
              <a:ln>
                <a:solidFill>
                  <a:srgbClr val="4472C4">
                    <a:lumMod val="75000"/>
                  </a:srgbClr>
                </a:solidFill>
              </a:ln>
            </c:spPr>
          </c:marker>
          <c:dLbls>
            <c:dLbl>
              <c:idx val="0"/>
              <c:layout>
                <c:manualLayout>
                  <c:x val="-6.7276716593391128E-2"/>
                  <c:y val="5.60619711839099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15-4E1C-A4DA-073636C56593}"/>
                </c:ext>
              </c:extLst>
            </c:dLbl>
            <c:dLbl>
              <c:idx val="1"/>
              <c:layout>
                <c:manualLayout>
                  <c:x val="-6.5646604899939592E-2"/>
                  <c:y val="5.60619711839099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15-4E1C-A4DA-073636C56593}"/>
                </c:ext>
              </c:extLst>
            </c:dLbl>
            <c:dLbl>
              <c:idx val="2"/>
              <c:layout>
                <c:manualLayout>
                  <c:x val="-6.8643533123028386E-2"/>
                  <c:y val="4.95789890121109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915-4E1C-A4DA-073636C56593}"/>
                </c:ext>
              </c:extLst>
            </c:dLbl>
            <c:dLbl>
              <c:idx val="4"/>
              <c:layout>
                <c:manualLayout>
                  <c:x val="-1.8096823070617826E-2"/>
                  <c:y val="-2.17338148776783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915-4E1C-A4DA-073636C56593}"/>
                </c:ext>
              </c:extLst>
            </c:dLbl>
            <c:dLbl>
              <c:idx val="5"/>
              <c:layout>
                <c:manualLayout>
                  <c:x val="-2.9779179810725705E-2"/>
                  <c:y val="-7.35976722520706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915-4E1C-A4DA-073636C56593}"/>
                </c:ext>
              </c:extLst>
            </c:dLbl>
            <c:dLbl>
              <c:idx val="6"/>
              <c:layout>
                <c:manualLayout>
                  <c:x val="-2.7544979590484945E-3"/>
                  <c:y val="-4.7665743564874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915-4E1C-A4DA-073636C56593}"/>
                </c:ext>
              </c:extLst>
            </c:dLbl>
            <c:spPr>
              <a:noFill/>
              <a:ln>
                <a:noFill/>
              </a:ln>
              <a:effectLst/>
            </c:spPr>
            <c:txPr>
              <a:bodyPr wrap="square" lIns="38100" tIns="19050" rIns="38100" bIns="19050" anchor="ctr">
                <a:spAutoFit/>
              </a:bodyPr>
              <a:lstStyle/>
              <a:p>
                <a:pPr>
                  <a:defRPr b="1"/>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Sheet1!$B$1:$H$1</c:f>
              <c:strCache>
                <c:ptCount val="7"/>
                <c:pt idx="0">
                  <c:v>1</c:v>
                </c:pt>
                <c:pt idx="1">
                  <c:v>2</c:v>
                </c:pt>
                <c:pt idx="2">
                  <c:v>3</c:v>
                </c:pt>
                <c:pt idx="3">
                  <c:v>4</c:v>
                </c:pt>
                <c:pt idx="4">
                  <c:v>5</c:v>
                </c:pt>
                <c:pt idx="5">
                  <c:v>6</c:v>
                </c:pt>
                <c:pt idx="6">
                  <c:v>7</c:v>
                </c:pt>
              </c:strCache>
            </c:strRef>
          </c:cat>
          <c:val>
            <c:numRef>
              <c:f>Sheet1!$B$2:$H$2</c:f>
              <c:numCache>
                <c:formatCode>0.0</c:formatCode>
                <c:ptCount val="7"/>
                <c:pt idx="0">
                  <c:v>11.082558667182113</c:v>
                </c:pt>
                <c:pt idx="1">
                  <c:v>11.326720183465838</c:v>
                </c:pt>
                <c:pt idx="2">
                  <c:v>13.995446267327168</c:v>
                </c:pt>
                <c:pt idx="3">
                  <c:v>12.299999999999997</c:v>
                </c:pt>
                <c:pt idx="4">
                  <c:v>13.599999999999994</c:v>
                </c:pt>
                <c:pt idx="5">
                  <c:v>6.7999999999999972</c:v>
                </c:pt>
                <c:pt idx="6">
                  <c:v>6</c:v>
                </c:pt>
              </c:numCache>
            </c:numRef>
          </c:val>
          <c:smooth val="0"/>
          <c:extLst>
            <c:ext xmlns:c16="http://schemas.microsoft.com/office/drawing/2014/chart" uri="{C3380CC4-5D6E-409C-BE32-E72D297353CC}">
              <c16:uniqueId val="{0000000A-5915-4E1C-A4DA-073636C56593}"/>
            </c:ext>
          </c:extLst>
        </c:ser>
        <c:dLbls>
          <c:showLegendKey val="0"/>
          <c:showVal val="0"/>
          <c:showCatName val="0"/>
          <c:showSerName val="0"/>
          <c:showPercent val="0"/>
          <c:showBubbleSize val="0"/>
        </c:dLbls>
        <c:marker val="1"/>
        <c:smooth val="0"/>
        <c:axId val="222600576"/>
        <c:axId val="222610560"/>
      </c:lineChart>
      <c:catAx>
        <c:axId val="2226005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610560"/>
        <c:crosses val="autoZero"/>
        <c:auto val="1"/>
        <c:lblAlgn val="ctr"/>
        <c:lblOffset val="100"/>
        <c:noMultiLvlLbl val="0"/>
      </c:catAx>
      <c:valAx>
        <c:axId val="222610560"/>
        <c:scaling>
          <c:orientation val="minMax"/>
          <c:max val="18"/>
          <c:min val="-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600576"/>
        <c:crosses val="autoZero"/>
        <c:crossBetween val="between"/>
        <c:majorUnit val="2"/>
      </c:valAx>
      <c:spPr>
        <a:noFill/>
        <a:ln>
          <a:noFill/>
        </a:ln>
        <a:effectLst/>
      </c:spPr>
    </c:plotArea>
    <c:legend>
      <c:legendPos val="b"/>
      <c:layout>
        <c:manualLayout>
          <c:xMode val="edge"/>
          <c:yMode val="edge"/>
          <c:x val="3.9212432830754193E-2"/>
          <c:y val="0.82993095879222556"/>
          <c:w val="0.93623587272411135"/>
          <c:h val="0.170069041207774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Sheet1!$A$3</c:f>
              <c:strCache>
                <c:ptCount val="1"/>
                <c:pt idx="0">
                  <c:v>Անվանական ՀՆԱ, մլրդ դրամ</c:v>
                </c:pt>
              </c:strCache>
            </c:strRef>
          </c:tx>
          <c:spPr>
            <a:solidFill>
              <a:srgbClr val="4472C4">
                <a:lumMod val="75000"/>
              </a:srgbClr>
            </a:solidFill>
            <a:ln>
              <a:noFill/>
            </a:ln>
            <a:effectLst/>
          </c:spPr>
          <c:invertIfNegative val="0"/>
          <c:cat>
            <c:numRef>
              <c:f>Sheet1!$B$1:$Z$1</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Sheet1!$B$3:$Z$3</c:f>
              <c:numCache>
                <c:formatCode>_(* #,##0_);_(* \(#,##0\);_(* "-"??_);_(@_)</c:formatCode>
                <c:ptCount val="25"/>
                <c:pt idx="0">
                  <c:v>1031.3383000000001</c:v>
                </c:pt>
                <c:pt idx="1">
                  <c:v>1175.8768043886819</c:v>
                </c:pt>
                <c:pt idx="2">
                  <c:v>1362.4717000000001</c:v>
                </c:pt>
                <c:pt idx="3">
                  <c:v>1624.6426999999999</c:v>
                </c:pt>
                <c:pt idx="4">
                  <c:v>1907.9453999999998</c:v>
                </c:pt>
                <c:pt idx="5">
                  <c:v>2242.8809000000001</c:v>
                </c:pt>
                <c:pt idx="6">
                  <c:v>2656.1898000000001</c:v>
                </c:pt>
                <c:pt idx="7">
                  <c:v>3149.2834000000007</c:v>
                </c:pt>
                <c:pt idx="8">
                  <c:v>3568.2276000000006</c:v>
                </c:pt>
                <c:pt idx="9">
                  <c:v>3141.6510000000003</c:v>
                </c:pt>
                <c:pt idx="10">
                  <c:v>3460.2027000000007</c:v>
                </c:pt>
                <c:pt idx="11">
                  <c:v>3777.9456</c:v>
                </c:pt>
                <c:pt idx="12">
                  <c:v>4266.4605000000001</c:v>
                </c:pt>
                <c:pt idx="13">
                  <c:v>4555.6382000000003</c:v>
                </c:pt>
                <c:pt idx="14">
                  <c:v>4828.6262999999999</c:v>
                </c:pt>
                <c:pt idx="15">
                  <c:v>5043.6332000000002</c:v>
                </c:pt>
                <c:pt idx="16">
                  <c:v>5067.2934999999998</c:v>
                </c:pt>
                <c:pt idx="17">
                  <c:v>5564.4933000000001</c:v>
                </c:pt>
                <c:pt idx="18">
                  <c:v>6017.0352000000003</c:v>
                </c:pt>
                <c:pt idx="19">
                  <c:v>6543.3217999999997</c:v>
                </c:pt>
                <c:pt idx="20">
                  <c:v>6181.9025999999994</c:v>
                </c:pt>
                <c:pt idx="21">
                  <c:v>6991.7777999999998</c:v>
                </c:pt>
                <c:pt idx="22">
                  <c:v>8501.4354999999996</c:v>
                </c:pt>
                <c:pt idx="23">
                  <c:v>9450.8021550563826</c:v>
                </c:pt>
                <c:pt idx="24">
                  <c:v>10517.021683791985</c:v>
                </c:pt>
              </c:numCache>
            </c:numRef>
          </c:val>
          <c:extLst>
            <c:ext xmlns:c16="http://schemas.microsoft.com/office/drawing/2014/chart" uri="{C3380CC4-5D6E-409C-BE32-E72D297353CC}">
              <c16:uniqueId val="{00000000-E1CC-4AFD-9373-88D2611B4DED}"/>
            </c:ext>
          </c:extLst>
        </c:ser>
        <c:dLbls>
          <c:showLegendKey val="0"/>
          <c:showVal val="0"/>
          <c:showCatName val="0"/>
          <c:showSerName val="0"/>
          <c:showPercent val="0"/>
          <c:showBubbleSize val="0"/>
        </c:dLbls>
        <c:gapWidth val="219"/>
        <c:axId val="222749440"/>
        <c:axId val="222750976"/>
      </c:barChart>
      <c:lineChart>
        <c:grouping val="standard"/>
        <c:varyColors val="0"/>
        <c:ser>
          <c:idx val="0"/>
          <c:order val="0"/>
          <c:tx>
            <c:strRef>
              <c:f>Sheet1!$A$2</c:f>
              <c:strCache>
                <c:ptCount val="1"/>
                <c:pt idx="0">
                  <c:v>Տնտեսական աճ, %</c:v>
                </c:pt>
              </c:strCache>
            </c:strRef>
          </c:tx>
          <c:spPr>
            <a:ln w="28575" cap="rnd">
              <a:solidFill>
                <a:srgbClr val="ED7D31">
                  <a:lumMod val="60000"/>
                  <a:lumOff val="40000"/>
                </a:srgbClr>
              </a:solidFill>
              <a:round/>
            </a:ln>
            <a:effectLst/>
          </c:spPr>
          <c:marker>
            <c:symbol val="none"/>
          </c:marker>
          <c:cat>
            <c:numRef>
              <c:f>Sheet1!$B$1:$Y$1</c:f>
              <c:numCache>
                <c:formatCode>General</c:formatCode>
                <c:ptCount val="2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numCache>
            </c:numRef>
          </c:cat>
          <c:val>
            <c:numRef>
              <c:f>Sheet1!$B$2:$Z$2</c:f>
              <c:numCache>
                <c:formatCode>0.0</c:formatCode>
                <c:ptCount val="25"/>
                <c:pt idx="0">
                  <c:v>5.8956981547403728</c:v>
                </c:pt>
                <c:pt idx="1">
                  <c:v>9.5566411137839395</c:v>
                </c:pt>
                <c:pt idx="2">
                  <c:v>13.196463821262512</c:v>
                </c:pt>
                <c:pt idx="3">
                  <c:v>14.040798058411056</c:v>
                </c:pt>
                <c:pt idx="4">
                  <c:v>10.46784009801047</c:v>
                </c:pt>
                <c:pt idx="5">
                  <c:v>13.865711251485493</c:v>
                </c:pt>
                <c:pt idx="6">
                  <c:v>13.198003514141135</c:v>
                </c:pt>
                <c:pt idx="7">
                  <c:v>13.749201958384148</c:v>
                </c:pt>
                <c:pt idx="8">
                  <c:v>6.9476535519159768</c:v>
                </c:pt>
                <c:pt idx="9">
                  <c:v>-14.149988638617103</c:v>
                </c:pt>
                <c:pt idx="10">
                  <c:v>2.2151091894039183</c:v>
                </c:pt>
                <c:pt idx="11">
                  <c:v>4.6507622226871206</c:v>
                </c:pt>
                <c:pt idx="12">
                  <c:v>7.1590508979271874</c:v>
                </c:pt>
                <c:pt idx="13">
                  <c:v>3.2999999999999972</c:v>
                </c:pt>
                <c:pt idx="14">
                  <c:v>3.5999999999999943</c:v>
                </c:pt>
                <c:pt idx="15">
                  <c:v>3.2000000000000028</c:v>
                </c:pt>
                <c:pt idx="16">
                  <c:v>0.20000000000000284</c:v>
                </c:pt>
                <c:pt idx="17">
                  <c:v>7.5</c:v>
                </c:pt>
                <c:pt idx="18">
                  <c:v>5.1947356482574918</c:v>
                </c:pt>
                <c:pt idx="19">
                  <c:v>7.6208632799755094</c:v>
                </c:pt>
                <c:pt idx="20">
                  <c:v>-7.1651595279938647</c:v>
                </c:pt>
                <c:pt idx="21">
                  <c:v>5.7882522574846149</c:v>
                </c:pt>
                <c:pt idx="22">
                  <c:v>12.626699484071111</c:v>
                </c:pt>
                <c:pt idx="23">
                  <c:v>7.4</c:v>
                </c:pt>
                <c:pt idx="24">
                  <c:v>7.0000000000001279</c:v>
                </c:pt>
              </c:numCache>
            </c:numRef>
          </c:val>
          <c:smooth val="0"/>
          <c:extLst>
            <c:ext xmlns:c16="http://schemas.microsoft.com/office/drawing/2014/chart" uri="{C3380CC4-5D6E-409C-BE32-E72D297353CC}">
              <c16:uniqueId val="{00000001-E1CC-4AFD-9373-88D2611B4DED}"/>
            </c:ext>
          </c:extLst>
        </c:ser>
        <c:dLbls>
          <c:showLegendKey val="0"/>
          <c:showVal val="0"/>
          <c:showCatName val="0"/>
          <c:showSerName val="0"/>
          <c:showPercent val="0"/>
          <c:showBubbleSize val="0"/>
        </c:dLbls>
        <c:marker val="1"/>
        <c:smooth val="0"/>
        <c:axId val="222762496"/>
        <c:axId val="222760960"/>
      </c:lineChart>
      <c:catAx>
        <c:axId val="22274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750976"/>
        <c:crosses val="autoZero"/>
        <c:auto val="1"/>
        <c:lblAlgn val="ctr"/>
        <c:lblOffset val="100"/>
        <c:noMultiLvlLbl val="0"/>
      </c:catAx>
      <c:valAx>
        <c:axId val="222750976"/>
        <c:scaling>
          <c:orientation val="minMax"/>
          <c:max val="14000"/>
          <c:min val="500"/>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749440"/>
        <c:crosses val="autoZero"/>
        <c:crossBetween val="between"/>
      </c:valAx>
      <c:valAx>
        <c:axId val="222760960"/>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762496"/>
        <c:crosses val="max"/>
        <c:crossBetween val="between"/>
      </c:valAx>
      <c:catAx>
        <c:axId val="222762496"/>
        <c:scaling>
          <c:orientation val="minMax"/>
        </c:scaling>
        <c:delete val="1"/>
        <c:axPos val="b"/>
        <c:numFmt formatCode="General" sourceLinked="1"/>
        <c:majorTickMark val="out"/>
        <c:minorTickMark val="none"/>
        <c:tickLblPos val="none"/>
        <c:crossAx val="222760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latin typeface="GHEA Grapalat" panose="02000506050000020003" pitchFamily="50"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GHEA Grapalat" panose="02000506050000020003" pitchFamily="50" charset="0"/>
                <a:ea typeface="+mn-ea"/>
                <a:cs typeface="+mn-cs"/>
              </a:defRPr>
            </a:pPr>
            <a:r>
              <a:rPr lang="hy-AM" sz="1000"/>
              <a:t>Գնաճը գործընկեր երկրներում</a:t>
            </a:r>
            <a:endParaRPr lang="en-US" sz="1000"/>
          </a:p>
        </c:rich>
      </c:tx>
      <c:layout>
        <c:manualLayout>
          <c:xMode val="edge"/>
          <c:yMode val="edge"/>
          <c:x val="0.21730170549715694"/>
          <c:y val="3.1644062113381204E-3"/>
        </c:manualLayout>
      </c:layout>
      <c:overlay val="0"/>
      <c:spPr>
        <a:noFill/>
        <a:ln w="25400">
          <a:noFill/>
        </a:ln>
      </c:spPr>
    </c:title>
    <c:autoTitleDeleted val="0"/>
    <c:plotArea>
      <c:layout>
        <c:manualLayout>
          <c:layoutTarget val="inner"/>
          <c:xMode val="edge"/>
          <c:yMode val="edge"/>
          <c:x val="0.10738889071920403"/>
          <c:y val="0.12980099502487563"/>
          <c:w val="0.85425685544537056"/>
          <c:h val="0.56600305558820074"/>
        </c:manualLayout>
      </c:layout>
      <c:lineChart>
        <c:grouping val="standard"/>
        <c:varyColors val="0"/>
        <c:ser>
          <c:idx val="0"/>
          <c:order val="0"/>
          <c:tx>
            <c:strRef>
              <c:f>Sheet1!$C$1</c:f>
              <c:strCache>
                <c:ptCount val="1"/>
                <c:pt idx="0">
                  <c:v>ԱՄՆ</c:v>
                </c:pt>
              </c:strCache>
            </c:strRef>
          </c:tx>
          <c:spPr>
            <a:ln w="28575" cap="rnd">
              <a:solidFill>
                <a:schemeClr val="tx2"/>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Sheet1!$C$2:$C$69</c:f>
              <c:numCache>
                <c:formatCode>0.0</c:formatCode>
                <c:ptCount val="56"/>
                <c:pt idx="0">
                  <c:v>1.55</c:v>
                </c:pt>
                <c:pt idx="1">
                  <c:v>1.52</c:v>
                </c:pt>
                <c:pt idx="2">
                  <c:v>1.86</c:v>
                </c:pt>
                <c:pt idx="3">
                  <c:v>2</c:v>
                </c:pt>
                <c:pt idx="4">
                  <c:v>1.79</c:v>
                </c:pt>
                <c:pt idx="5">
                  <c:v>1.65</c:v>
                </c:pt>
                <c:pt idx="6">
                  <c:v>1.81</c:v>
                </c:pt>
                <c:pt idx="7">
                  <c:v>1.75</c:v>
                </c:pt>
                <c:pt idx="8">
                  <c:v>1.71</c:v>
                </c:pt>
                <c:pt idx="9">
                  <c:v>1.76</c:v>
                </c:pt>
                <c:pt idx="10">
                  <c:v>2.0499999999999998</c:v>
                </c:pt>
                <c:pt idx="11">
                  <c:v>2.29</c:v>
                </c:pt>
                <c:pt idx="12">
                  <c:v>2.4900000000000002</c:v>
                </c:pt>
                <c:pt idx="13">
                  <c:v>2.33</c:v>
                </c:pt>
                <c:pt idx="14">
                  <c:v>1.54</c:v>
                </c:pt>
                <c:pt idx="15">
                  <c:v>0.33</c:v>
                </c:pt>
                <c:pt idx="16">
                  <c:v>0.1</c:v>
                </c:pt>
                <c:pt idx="17">
                  <c:v>0.6</c:v>
                </c:pt>
                <c:pt idx="18">
                  <c:v>0.6</c:v>
                </c:pt>
                <c:pt idx="19">
                  <c:v>1.3</c:v>
                </c:pt>
                <c:pt idx="20">
                  <c:v>1.4</c:v>
                </c:pt>
                <c:pt idx="21">
                  <c:v>1.2</c:v>
                </c:pt>
                <c:pt idx="22">
                  <c:v>1.2</c:v>
                </c:pt>
                <c:pt idx="23">
                  <c:v>1.4</c:v>
                </c:pt>
                <c:pt idx="24">
                  <c:v>1.4</c:v>
                </c:pt>
                <c:pt idx="25">
                  <c:v>1.7</c:v>
                </c:pt>
                <c:pt idx="26">
                  <c:v>2.6</c:v>
                </c:pt>
                <c:pt idx="27">
                  <c:v>4.2</c:v>
                </c:pt>
                <c:pt idx="28">
                  <c:v>5</c:v>
                </c:pt>
                <c:pt idx="29">
                  <c:v>5.4</c:v>
                </c:pt>
                <c:pt idx="30">
                  <c:v>5.4</c:v>
                </c:pt>
                <c:pt idx="31">
                  <c:v>5.3</c:v>
                </c:pt>
                <c:pt idx="32">
                  <c:v>5.4</c:v>
                </c:pt>
                <c:pt idx="33">
                  <c:v>6.2</c:v>
                </c:pt>
                <c:pt idx="34">
                  <c:v>6.8</c:v>
                </c:pt>
                <c:pt idx="35">
                  <c:v>7</c:v>
                </c:pt>
                <c:pt idx="36">
                  <c:v>7.5</c:v>
                </c:pt>
                <c:pt idx="37">
                  <c:v>7.9</c:v>
                </c:pt>
                <c:pt idx="38">
                  <c:v>8.5</c:v>
                </c:pt>
                <c:pt idx="39">
                  <c:v>8.3000000000000007</c:v>
                </c:pt>
                <c:pt idx="40">
                  <c:v>8.6</c:v>
                </c:pt>
                <c:pt idx="41">
                  <c:v>9.1</c:v>
                </c:pt>
                <c:pt idx="42">
                  <c:v>8.5</c:v>
                </c:pt>
                <c:pt idx="43">
                  <c:v>8.3000000000000007</c:v>
                </c:pt>
                <c:pt idx="44">
                  <c:v>8.1999999999999993</c:v>
                </c:pt>
                <c:pt idx="45">
                  <c:v>7.7</c:v>
                </c:pt>
                <c:pt idx="46">
                  <c:v>7.1</c:v>
                </c:pt>
                <c:pt idx="47">
                  <c:v>6.5</c:v>
                </c:pt>
                <c:pt idx="48">
                  <c:v>6.4</c:v>
                </c:pt>
                <c:pt idx="49">
                  <c:v>6</c:v>
                </c:pt>
                <c:pt idx="50">
                  <c:v>5</c:v>
                </c:pt>
                <c:pt idx="51">
                  <c:v>4.9000000000000004</c:v>
                </c:pt>
                <c:pt idx="52">
                  <c:v>4.05</c:v>
                </c:pt>
                <c:pt idx="53">
                  <c:v>2.97</c:v>
                </c:pt>
                <c:pt idx="54">
                  <c:v>3.2</c:v>
                </c:pt>
                <c:pt idx="55" formatCode="General">
                  <c:v>3.7</c:v>
                </c:pt>
              </c:numCache>
            </c:numRef>
          </c:val>
          <c:smooth val="0"/>
          <c:extLst>
            <c:ext xmlns:c16="http://schemas.microsoft.com/office/drawing/2014/chart" uri="{C3380CC4-5D6E-409C-BE32-E72D297353CC}">
              <c16:uniqueId val="{00000000-57F3-4FE1-BE5F-1DE8B6F482FF}"/>
            </c:ext>
          </c:extLst>
        </c:ser>
        <c:ser>
          <c:idx val="1"/>
          <c:order val="1"/>
          <c:tx>
            <c:strRef>
              <c:f>Sheet1!$D$1</c:f>
              <c:strCache>
                <c:ptCount val="1"/>
                <c:pt idx="0">
                  <c:v>ԵԳ</c:v>
                </c:pt>
              </c:strCache>
            </c:strRef>
          </c:tx>
          <c:spPr>
            <a:ln w="28575" cap="rnd">
              <a:solidFill>
                <a:schemeClr val="accent1"/>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Sheet1!$D$2:$D$69</c:f>
              <c:numCache>
                <c:formatCode>General</c:formatCode>
                <c:ptCount val="56"/>
                <c:pt idx="0">
                  <c:v>1.4</c:v>
                </c:pt>
                <c:pt idx="1">
                  <c:v>1.5</c:v>
                </c:pt>
                <c:pt idx="2">
                  <c:v>1.4</c:v>
                </c:pt>
                <c:pt idx="3">
                  <c:v>1.7</c:v>
                </c:pt>
                <c:pt idx="4">
                  <c:v>1.2</c:v>
                </c:pt>
                <c:pt idx="5">
                  <c:v>1.3</c:v>
                </c:pt>
                <c:pt idx="6">
                  <c:v>1</c:v>
                </c:pt>
                <c:pt idx="7">
                  <c:v>1</c:v>
                </c:pt>
                <c:pt idx="8">
                  <c:v>0.8</c:v>
                </c:pt>
                <c:pt idx="9">
                  <c:v>0.7</c:v>
                </c:pt>
                <c:pt idx="10">
                  <c:v>1</c:v>
                </c:pt>
                <c:pt idx="11">
                  <c:v>1.3</c:v>
                </c:pt>
                <c:pt idx="12">
                  <c:v>1.4</c:v>
                </c:pt>
                <c:pt idx="13">
                  <c:v>1.2</c:v>
                </c:pt>
                <c:pt idx="14">
                  <c:v>0.7</c:v>
                </c:pt>
                <c:pt idx="15">
                  <c:v>0.3</c:v>
                </c:pt>
                <c:pt idx="16">
                  <c:v>0.1</c:v>
                </c:pt>
                <c:pt idx="17">
                  <c:v>0.3</c:v>
                </c:pt>
                <c:pt idx="18">
                  <c:v>0.4</c:v>
                </c:pt>
                <c:pt idx="19">
                  <c:v>-0.2</c:v>
                </c:pt>
                <c:pt idx="20">
                  <c:v>-0.3</c:v>
                </c:pt>
                <c:pt idx="21">
                  <c:v>-0.3</c:v>
                </c:pt>
                <c:pt idx="22">
                  <c:v>-0.3</c:v>
                </c:pt>
                <c:pt idx="23">
                  <c:v>-0.3</c:v>
                </c:pt>
                <c:pt idx="24">
                  <c:v>0.9</c:v>
                </c:pt>
                <c:pt idx="25">
                  <c:v>0.9</c:v>
                </c:pt>
                <c:pt idx="26">
                  <c:v>1.3</c:v>
                </c:pt>
                <c:pt idx="27">
                  <c:v>1.6</c:v>
                </c:pt>
                <c:pt idx="28">
                  <c:v>2</c:v>
                </c:pt>
                <c:pt idx="29">
                  <c:v>1.9</c:v>
                </c:pt>
                <c:pt idx="30">
                  <c:v>2.2000000000000002</c:v>
                </c:pt>
                <c:pt idx="31">
                  <c:v>3</c:v>
                </c:pt>
                <c:pt idx="32">
                  <c:v>3.4</c:v>
                </c:pt>
                <c:pt idx="33">
                  <c:v>4.0999999999999996</c:v>
                </c:pt>
                <c:pt idx="34">
                  <c:v>4.9000000000000004</c:v>
                </c:pt>
                <c:pt idx="35">
                  <c:v>5</c:v>
                </c:pt>
                <c:pt idx="36">
                  <c:v>5.0999999999999996</c:v>
                </c:pt>
                <c:pt idx="37">
                  <c:v>5.9</c:v>
                </c:pt>
                <c:pt idx="38">
                  <c:v>7.4</c:v>
                </c:pt>
                <c:pt idx="39">
                  <c:v>7.4</c:v>
                </c:pt>
                <c:pt idx="40">
                  <c:v>8.1</c:v>
                </c:pt>
                <c:pt idx="41">
                  <c:v>8.6</c:v>
                </c:pt>
                <c:pt idx="42">
                  <c:v>8.9</c:v>
                </c:pt>
                <c:pt idx="43">
                  <c:v>9.1</c:v>
                </c:pt>
                <c:pt idx="44">
                  <c:v>9.9</c:v>
                </c:pt>
                <c:pt idx="45">
                  <c:v>10.6</c:v>
                </c:pt>
                <c:pt idx="46">
                  <c:v>10.1</c:v>
                </c:pt>
                <c:pt idx="47">
                  <c:v>9.1999999999999993</c:v>
                </c:pt>
                <c:pt idx="48" formatCode="0.0">
                  <c:v>8.6</c:v>
                </c:pt>
                <c:pt idx="49" formatCode="0.0">
                  <c:v>8.5</c:v>
                </c:pt>
                <c:pt idx="50" formatCode="0.0">
                  <c:v>6.9</c:v>
                </c:pt>
                <c:pt idx="51" formatCode="0.0">
                  <c:v>7</c:v>
                </c:pt>
                <c:pt idx="52" formatCode="0.0">
                  <c:v>6.1</c:v>
                </c:pt>
                <c:pt idx="53" formatCode="0.0">
                  <c:v>5.5</c:v>
                </c:pt>
                <c:pt idx="54" formatCode="0.0">
                  <c:v>5.3</c:v>
                </c:pt>
                <c:pt idx="55" formatCode="0.0">
                  <c:v>5.3</c:v>
                </c:pt>
              </c:numCache>
            </c:numRef>
          </c:val>
          <c:smooth val="0"/>
          <c:extLst>
            <c:ext xmlns:c16="http://schemas.microsoft.com/office/drawing/2014/chart" uri="{C3380CC4-5D6E-409C-BE32-E72D297353CC}">
              <c16:uniqueId val="{00000001-57F3-4FE1-BE5F-1DE8B6F482FF}"/>
            </c:ext>
          </c:extLst>
        </c:ser>
        <c:ser>
          <c:idx val="2"/>
          <c:order val="2"/>
          <c:tx>
            <c:strRef>
              <c:f>Sheet1!$E$1</c:f>
              <c:strCache>
                <c:ptCount val="1"/>
                <c:pt idx="0">
                  <c:v>Չինաստան</c:v>
                </c:pt>
              </c:strCache>
            </c:strRef>
          </c:tx>
          <c:spPr>
            <a:ln w="28575" cap="rnd">
              <a:solidFill>
                <a:schemeClr val="bg1">
                  <a:lumMod val="50000"/>
                </a:schemeClr>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Sheet1!$E$2:$E$69</c:f>
              <c:numCache>
                <c:formatCode>General</c:formatCode>
                <c:ptCount val="56"/>
                <c:pt idx="0">
                  <c:v>1.7</c:v>
                </c:pt>
                <c:pt idx="1">
                  <c:v>1.5</c:v>
                </c:pt>
                <c:pt idx="2">
                  <c:v>2.2999999999999998</c:v>
                </c:pt>
                <c:pt idx="3">
                  <c:v>2.5</c:v>
                </c:pt>
                <c:pt idx="4">
                  <c:v>2.7</c:v>
                </c:pt>
                <c:pt idx="5">
                  <c:v>2.7</c:v>
                </c:pt>
                <c:pt idx="6">
                  <c:v>2.8</c:v>
                </c:pt>
                <c:pt idx="7">
                  <c:v>2.8</c:v>
                </c:pt>
                <c:pt idx="8">
                  <c:v>3</c:v>
                </c:pt>
                <c:pt idx="9">
                  <c:v>3.8</c:v>
                </c:pt>
                <c:pt idx="10">
                  <c:v>4.5</c:v>
                </c:pt>
                <c:pt idx="11">
                  <c:v>4.5</c:v>
                </c:pt>
                <c:pt idx="12">
                  <c:v>5.4</c:v>
                </c:pt>
                <c:pt idx="13">
                  <c:v>5.2</c:v>
                </c:pt>
                <c:pt idx="14">
                  <c:v>4.3</c:v>
                </c:pt>
                <c:pt idx="15">
                  <c:v>3.3</c:v>
                </c:pt>
                <c:pt idx="16">
                  <c:v>2.4</c:v>
                </c:pt>
                <c:pt idx="17">
                  <c:v>2.5</c:v>
                </c:pt>
                <c:pt idx="18">
                  <c:v>2.7</c:v>
                </c:pt>
                <c:pt idx="19">
                  <c:v>2.4</c:v>
                </c:pt>
                <c:pt idx="20">
                  <c:v>1.7</c:v>
                </c:pt>
                <c:pt idx="21">
                  <c:v>0.5</c:v>
                </c:pt>
                <c:pt idx="22">
                  <c:v>-0.5</c:v>
                </c:pt>
                <c:pt idx="23">
                  <c:v>0.2</c:v>
                </c:pt>
                <c:pt idx="24">
                  <c:v>-0.3</c:v>
                </c:pt>
                <c:pt idx="25">
                  <c:v>-0.2</c:v>
                </c:pt>
                <c:pt idx="26">
                  <c:v>0.4</c:v>
                </c:pt>
                <c:pt idx="27">
                  <c:v>0.9</c:v>
                </c:pt>
                <c:pt idx="28">
                  <c:v>1.3</c:v>
                </c:pt>
                <c:pt idx="29">
                  <c:v>1.1000000000000001</c:v>
                </c:pt>
                <c:pt idx="30">
                  <c:v>1</c:v>
                </c:pt>
                <c:pt idx="31">
                  <c:v>0.8</c:v>
                </c:pt>
                <c:pt idx="32">
                  <c:v>0.7</c:v>
                </c:pt>
                <c:pt idx="33">
                  <c:v>1.5</c:v>
                </c:pt>
                <c:pt idx="34">
                  <c:v>2.2999999999999998</c:v>
                </c:pt>
                <c:pt idx="35">
                  <c:v>1.5</c:v>
                </c:pt>
                <c:pt idx="36">
                  <c:v>0.9</c:v>
                </c:pt>
                <c:pt idx="37">
                  <c:v>0.9</c:v>
                </c:pt>
                <c:pt idx="38">
                  <c:v>1.5</c:v>
                </c:pt>
                <c:pt idx="39">
                  <c:v>2.1</c:v>
                </c:pt>
                <c:pt idx="40">
                  <c:v>2.1</c:v>
                </c:pt>
                <c:pt idx="41">
                  <c:v>2.5</c:v>
                </c:pt>
                <c:pt idx="42">
                  <c:v>2.7</c:v>
                </c:pt>
                <c:pt idx="43">
                  <c:v>2.5</c:v>
                </c:pt>
                <c:pt idx="44">
                  <c:v>2.8</c:v>
                </c:pt>
                <c:pt idx="45">
                  <c:v>2.1</c:v>
                </c:pt>
                <c:pt idx="46">
                  <c:v>1.6</c:v>
                </c:pt>
                <c:pt idx="47">
                  <c:v>1.8</c:v>
                </c:pt>
                <c:pt idx="48" formatCode="0.0">
                  <c:v>2.1</c:v>
                </c:pt>
                <c:pt idx="49" formatCode="0.0">
                  <c:v>1</c:v>
                </c:pt>
                <c:pt idx="50" formatCode="0.0">
                  <c:v>0.7</c:v>
                </c:pt>
                <c:pt idx="51" formatCode="0.0">
                  <c:v>0.1</c:v>
                </c:pt>
                <c:pt idx="52" formatCode="0.0">
                  <c:v>0.2</c:v>
                </c:pt>
                <c:pt idx="53" formatCode="0.0">
                  <c:v>0</c:v>
                </c:pt>
                <c:pt idx="54" formatCode="0.0">
                  <c:v>-0.3</c:v>
                </c:pt>
                <c:pt idx="55">
                  <c:v>0.1</c:v>
                </c:pt>
              </c:numCache>
            </c:numRef>
          </c:val>
          <c:smooth val="0"/>
          <c:extLst>
            <c:ext xmlns:c16="http://schemas.microsoft.com/office/drawing/2014/chart" uri="{C3380CC4-5D6E-409C-BE32-E72D297353CC}">
              <c16:uniqueId val="{00000002-57F3-4FE1-BE5F-1DE8B6F482FF}"/>
            </c:ext>
          </c:extLst>
        </c:ser>
        <c:ser>
          <c:idx val="3"/>
          <c:order val="3"/>
          <c:tx>
            <c:strRef>
              <c:f>Sheet1!$F$1</c:f>
              <c:strCache>
                <c:ptCount val="1"/>
                <c:pt idx="0">
                  <c:v>ՌԴ</c:v>
                </c:pt>
              </c:strCache>
            </c:strRef>
          </c:tx>
          <c:spPr>
            <a:ln w="25400" cap="rnd">
              <a:solidFill>
                <a:srgbClr val="ED7D31">
                  <a:lumMod val="60000"/>
                  <a:lumOff val="40000"/>
                </a:srgbClr>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Sheet1!$F$2:$F$69</c:f>
              <c:numCache>
                <c:formatCode>0.0</c:formatCode>
                <c:ptCount val="56"/>
                <c:pt idx="0">
                  <c:v>4.9966220000000003</c:v>
                </c:pt>
                <c:pt idx="1">
                  <c:v>5.2376079999999998</c:v>
                </c:pt>
                <c:pt idx="2">
                  <c:v>5.269088</c:v>
                </c:pt>
                <c:pt idx="3">
                  <c:v>5.1747050000000003</c:v>
                </c:pt>
                <c:pt idx="4">
                  <c:v>5.1327939999999996</c:v>
                </c:pt>
                <c:pt idx="5">
                  <c:v>4.6620039999999996</c:v>
                </c:pt>
                <c:pt idx="6">
                  <c:v>4.5889369999999996</c:v>
                </c:pt>
                <c:pt idx="7">
                  <c:v>4.3274910000000002</c:v>
                </c:pt>
                <c:pt idx="8">
                  <c:v>3.9941759999999999</c:v>
                </c:pt>
                <c:pt idx="9">
                  <c:v>3.766187</c:v>
                </c:pt>
                <c:pt idx="10">
                  <c:v>3.539037</c:v>
                </c:pt>
                <c:pt idx="11">
                  <c:v>3.0461900000000002</c:v>
                </c:pt>
                <c:pt idx="12">
                  <c:v>2.4238930000000001</c:v>
                </c:pt>
                <c:pt idx="13">
                  <c:v>2.3117209999999999</c:v>
                </c:pt>
                <c:pt idx="14">
                  <c:v>2.546287</c:v>
                </c:pt>
                <c:pt idx="15">
                  <c:v>3.098436</c:v>
                </c:pt>
                <c:pt idx="16">
                  <c:v>3.0265110000000002</c:v>
                </c:pt>
                <c:pt idx="17">
                  <c:v>3.2118850000000001</c:v>
                </c:pt>
                <c:pt idx="18">
                  <c:v>3.3663940000000001</c:v>
                </c:pt>
                <c:pt idx="19">
                  <c:v>3.5736240000000001</c:v>
                </c:pt>
                <c:pt idx="20">
                  <c:v>3.6669890000000001</c:v>
                </c:pt>
                <c:pt idx="21">
                  <c:v>3.9775870000000002</c:v>
                </c:pt>
                <c:pt idx="22">
                  <c:v>4.4234419999999997</c:v>
                </c:pt>
                <c:pt idx="23">
                  <c:v>4.912471</c:v>
                </c:pt>
                <c:pt idx="24">
                  <c:v>5.1946070000000004</c:v>
                </c:pt>
                <c:pt idx="25">
                  <c:v>5.6664250000000003</c:v>
                </c:pt>
                <c:pt idx="26">
                  <c:v>5.7820220000000004</c:v>
                </c:pt>
                <c:pt idx="27">
                  <c:v>5.5197440000000002</c:v>
                </c:pt>
                <c:pt idx="28">
                  <c:v>6.0143519999999997</c:v>
                </c:pt>
                <c:pt idx="29">
                  <c:v>6.5115259999999999</c:v>
                </c:pt>
                <c:pt idx="30">
                  <c:v>6.4690690000000002</c:v>
                </c:pt>
                <c:pt idx="31">
                  <c:v>6.6927440000000002</c:v>
                </c:pt>
                <c:pt idx="32">
                  <c:v>7.4080859999999999</c:v>
                </c:pt>
                <c:pt idx="33">
                  <c:v>8.1353340000000003</c:v>
                </c:pt>
                <c:pt idx="34">
                  <c:v>8.4037670000000002</c:v>
                </c:pt>
                <c:pt idx="35">
                  <c:v>8.3930150000000001</c:v>
                </c:pt>
                <c:pt idx="36">
                  <c:v>8.73</c:v>
                </c:pt>
                <c:pt idx="37" formatCode="General">
                  <c:v>9.1999999999999993</c:v>
                </c:pt>
                <c:pt idx="38" formatCode="General">
                  <c:v>16.7</c:v>
                </c:pt>
                <c:pt idx="39" formatCode="General">
                  <c:v>17.8</c:v>
                </c:pt>
                <c:pt idx="40" formatCode="General">
                  <c:v>17.100000000000001</c:v>
                </c:pt>
                <c:pt idx="41" formatCode="General">
                  <c:v>15.9</c:v>
                </c:pt>
                <c:pt idx="42" formatCode="General">
                  <c:v>15.1</c:v>
                </c:pt>
                <c:pt idx="43" formatCode="General">
                  <c:v>14.3</c:v>
                </c:pt>
                <c:pt idx="44" formatCode="General">
                  <c:v>13.7</c:v>
                </c:pt>
                <c:pt idx="45" formatCode="General">
                  <c:v>12.6</c:v>
                </c:pt>
                <c:pt idx="46">
                  <c:v>12</c:v>
                </c:pt>
                <c:pt idx="47" formatCode="General">
                  <c:v>11.9</c:v>
                </c:pt>
                <c:pt idx="48">
                  <c:v>11.8</c:v>
                </c:pt>
                <c:pt idx="49">
                  <c:v>11</c:v>
                </c:pt>
                <c:pt idx="50">
                  <c:v>3.5</c:v>
                </c:pt>
                <c:pt idx="51">
                  <c:v>2.2999999999999998</c:v>
                </c:pt>
                <c:pt idx="52">
                  <c:v>2.5</c:v>
                </c:pt>
                <c:pt idx="53">
                  <c:v>3.2</c:v>
                </c:pt>
                <c:pt idx="54">
                  <c:v>4.3</c:v>
                </c:pt>
                <c:pt idx="55" formatCode="General">
                  <c:v>5.2</c:v>
                </c:pt>
              </c:numCache>
            </c:numRef>
          </c:val>
          <c:smooth val="0"/>
          <c:extLst>
            <c:ext xmlns:c16="http://schemas.microsoft.com/office/drawing/2014/chart" uri="{C3380CC4-5D6E-409C-BE32-E72D297353CC}">
              <c16:uniqueId val="{00000003-57F3-4FE1-BE5F-1DE8B6F482FF}"/>
            </c:ext>
          </c:extLst>
        </c:ser>
        <c:dLbls>
          <c:showLegendKey val="0"/>
          <c:showVal val="0"/>
          <c:showCatName val="0"/>
          <c:showSerName val="0"/>
          <c:showPercent val="0"/>
          <c:showBubbleSize val="0"/>
        </c:dLbls>
        <c:smooth val="0"/>
        <c:axId val="1920262784"/>
        <c:axId val="1920263328"/>
      </c:lineChart>
      <c:catAx>
        <c:axId val="19202627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920263328"/>
        <c:crosses val="autoZero"/>
        <c:auto val="1"/>
        <c:lblAlgn val="ctr"/>
        <c:lblOffset val="100"/>
        <c:noMultiLvlLbl val="0"/>
      </c:catAx>
      <c:valAx>
        <c:axId val="19202633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92026278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Տնտեսական աճ/անկում</c:v>
                </c:pt>
              </c:strCache>
            </c:strRef>
          </c:tx>
          <c:spPr>
            <a:solidFill>
              <a:srgbClr val="4472C4">
                <a:lumMod val="75000"/>
              </a:srgbClr>
            </a:solidFill>
            <a:ln>
              <a:noFill/>
            </a:ln>
            <a:effectLst/>
          </c:spPr>
          <c:invertIfNegative val="0"/>
          <c:dPt>
            <c:idx val="0"/>
            <c:invertIfNegative val="0"/>
            <c:bubble3D val="0"/>
            <c:spPr>
              <a:solidFill>
                <a:srgbClr val="ED7D31">
                  <a:lumMod val="60000"/>
                  <a:lumOff val="40000"/>
                </a:srgbClr>
              </a:solidFill>
              <a:ln>
                <a:noFill/>
              </a:ln>
              <a:effectLst/>
            </c:spPr>
            <c:extLst>
              <c:ext xmlns:c16="http://schemas.microsoft.com/office/drawing/2014/chart" uri="{C3380CC4-5D6E-409C-BE32-E72D297353CC}">
                <c16:uniqueId val="{00000001-C0EB-42B6-9503-8842E5308303}"/>
              </c:ext>
            </c:extLst>
          </c:dPt>
          <c:dPt>
            <c:idx val="1"/>
            <c:invertIfNegative val="0"/>
            <c:bubble3D val="0"/>
            <c:extLst>
              <c:ext xmlns:c16="http://schemas.microsoft.com/office/drawing/2014/chart" uri="{C3380CC4-5D6E-409C-BE32-E72D297353CC}">
                <c16:uniqueId val="{00000002-C0EB-42B6-9503-8842E5308303}"/>
              </c:ext>
            </c:extLst>
          </c:dPt>
          <c:dPt>
            <c:idx val="2"/>
            <c:invertIfNegative val="0"/>
            <c:bubble3D val="0"/>
            <c:extLst>
              <c:ext xmlns:c16="http://schemas.microsoft.com/office/drawing/2014/chart" uri="{C3380CC4-5D6E-409C-BE32-E72D297353CC}">
                <c16:uniqueId val="{00000003-C0EB-42B6-9503-8842E5308303}"/>
              </c:ext>
            </c:extLst>
          </c:dPt>
          <c:dPt>
            <c:idx val="3"/>
            <c:invertIfNegative val="0"/>
            <c:bubble3D val="0"/>
            <c:extLst>
              <c:ext xmlns:c16="http://schemas.microsoft.com/office/drawing/2014/chart" uri="{C3380CC4-5D6E-409C-BE32-E72D297353CC}">
                <c16:uniqueId val="{00000004-C0EB-42B6-9503-8842E5308303}"/>
              </c:ext>
            </c:extLst>
          </c:dPt>
          <c:dPt>
            <c:idx val="4"/>
            <c:invertIfNegative val="0"/>
            <c:bubble3D val="0"/>
            <c:extLst>
              <c:ext xmlns:c16="http://schemas.microsoft.com/office/drawing/2014/chart" uri="{C3380CC4-5D6E-409C-BE32-E72D297353CC}">
                <c16:uniqueId val="{00000005-C0EB-42B6-9503-8842E5308303}"/>
              </c:ext>
            </c:extLst>
          </c:dPt>
          <c:dPt>
            <c:idx val="5"/>
            <c:invertIfNegative val="0"/>
            <c:bubble3D val="0"/>
            <c:extLst>
              <c:ext xmlns:c16="http://schemas.microsoft.com/office/drawing/2014/chart" uri="{C3380CC4-5D6E-409C-BE32-E72D297353CC}">
                <c16:uniqueId val="{00000006-C0EB-42B6-9503-8842E5308303}"/>
              </c:ext>
            </c:extLst>
          </c:dPt>
          <c:dPt>
            <c:idx val="6"/>
            <c:invertIfNegative val="0"/>
            <c:bubble3D val="0"/>
            <c:extLst>
              <c:ext xmlns:c16="http://schemas.microsoft.com/office/drawing/2014/chart" uri="{C3380CC4-5D6E-409C-BE32-E72D297353CC}">
                <c16:uniqueId val="{00000007-C0EB-42B6-9503-8842E5308303}"/>
              </c:ext>
            </c:extLst>
          </c:dPt>
          <c:dPt>
            <c:idx val="7"/>
            <c:invertIfNegative val="0"/>
            <c:bubble3D val="0"/>
            <c:extLst>
              <c:ext xmlns:c16="http://schemas.microsoft.com/office/drawing/2014/chart" uri="{C3380CC4-5D6E-409C-BE32-E72D297353CC}">
                <c16:uniqueId val="{00000008-C0EB-42B6-9503-8842E5308303}"/>
              </c:ext>
            </c:extLst>
          </c:dPt>
          <c:dPt>
            <c:idx val="8"/>
            <c:invertIfNegative val="0"/>
            <c:bubble3D val="0"/>
            <c:extLst>
              <c:ext xmlns:c16="http://schemas.microsoft.com/office/drawing/2014/chart" uri="{C3380CC4-5D6E-409C-BE32-E72D297353CC}">
                <c16:uniqueId val="{00000009-C0EB-42B6-9503-8842E5308303}"/>
              </c:ext>
            </c:extLst>
          </c:dPt>
          <c:dPt>
            <c:idx val="9"/>
            <c:invertIfNegative val="0"/>
            <c:bubble3D val="0"/>
            <c:extLst>
              <c:ext xmlns:c16="http://schemas.microsoft.com/office/drawing/2014/chart" uri="{C3380CC4-5D6E-409C-BE32-E72D297353CC}">
                <c16:uniqueId val="{0000000A-C0EB-42B6-9503-8842E5308303}"/>
              </c:ext>
            </c:extLst>
          </c:dPt>
          <c:dPt>
            <c:idx val="10"/>
            <c:invertIfNegative val="0"/>
            <c:bubble3D val="0"/>
            <c:spPr>
              <a:solidFill>
                <a:srgbClr val="ED7D31">
                  <a:lumMod val="60000"/>
                  <a:lumOff val="40000"/>
                </a:srgbClr>
              </a:solidFill>
              <a:ln>
                <a:noFill/>
              </a:ln>
              <a:effectLst/>
            </c:spPr>
            <c:extLst>
              <c:ext xmlns:c16="http://schemas.microsoft.com/office/drawing/2014/chart" uri="{C3380CC4-5D6E-409C-BE32-E72D297353CC}">
                <c16:uniqueId val="{0000000C-C0EB-42B6-9503-8842E5308303}"/>
              </c:ext>
            </c:extLst>
          </c:dPt>
          <c:dPt>
            <c:idx val="11"/>
            <c:invertIfNegative val="0"/>
            <c:bubble3D val="0"/>
            <c:extLst>
              <c:ext xmlns:c16="http://schemas.microsoft.com/office/drawing/2014/chart" uri="{C3380CC4-5D6E-409C-BE32-E72D297353CC}">
                <c16:uniqueId val="{0000000D-C0EB-42B6-9503-8842E5308303}"/>
              </c:ext>
            </c:extLst>
          </c:dPt>
          <c:dPt>
            <c:idx val="12"/>
            <c:invertIfNegative val="0"/>
            <c:bubble3D val="0"/>
            <c:extLst>
              <c:ext xmlns:c16="http://schemas.microsoft.com/office/drawing/2014/chart" uri="{C3380CC4-5D6E-409C-BE32-E72D297353CC}">
                <c16:uniqueId val="{0000000E-C0EB-42B6-9503-8842E5308303}"/>
              </c:ext>
            </c:extLst>
          </c:dPt>
          <c:dPt>
            <c:idx val="13"/>
            <c:invertIfNegative val="0"/>
            <c:bubble3D val="0"/>
            <c:extLst>
              <c:ext xmlns:c16="http://schemas.microsoft.com/office/drawing/2014/chart" uri="{C3380CC4-5D6E-409C-BE32-E72D297353CC}">
                <c16:uniqueId val="{0000000F-C0EB-42B6-9503-8842E5308303}"/>
              </c:ext>
            </c:extLst>
          </c:dPt>
          <c:dLbls>
            <c:dLbl>
              <c:idx val="0"/>
              <c:layout>
                <c:manualLayout>
                  <c:x val="7.6366559485530547E-2"/>
                  <c:y val="9.6852300242130748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1-C0EB-42B6-9503-8842E5308303}"/>
                </c:ext>
              </c:extLst>
            </c:dLbl>
            <c:dLbl>
              <c:idx val="3"/>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4-C0EB-42B6-9503-8842E5308303}"/>
                </c:ext>
              </c:extLst>
            </c:dLbl>
            <c:dLbl>
              <c:idx val="6"/>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7-C0EB-42B6-9503-8842E530830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15:showLeaderLines val="0"/>
              </c:ext>
            </c:extLst>
          </c:dLbls>
          <c:cat>
            <c:numRef>
              <c:f>Sheet1!$A$2:$A$15</c:f>
              <c:numCache>
                <c:formatCode>General</c:formatCode>
                <c:ptCount val="14"/>
                <c:pt idx="0">
                  <c:v>2009</c:v>
                </c:pt>
                <c:pt idx="1">
                  <c:v>2010</c:v>
                </c:pt>
                <c:pt idx="2">
                  <c:v>2011</c:v>
                </c:pt>
                <c:pt idx="3">
                  <c:v>2012</c:v>
                </c:pt>
                <c:pt idx="5">
                  <c:v>2016</c:v>
                </c:pt>
                <c:pt idx="6">
                  <c:v>2017</c:v>
                </c:pt>
                <c:pt idx="7">
                  <c:v>2018</c:v>
                </c:pt>
                <c:pt idx="8">
                  <c:v>2019</c:v>
                </c:pt>
                <c:pt idx="10">
                  <c:v>2020</c:v>
                </c:pt>
                <c:pt idx="11">
                  <c:v>2021</c:v>
                </c:pt>
                <c:pt idx="12">
                  <c:v>2022</c:v>
                </c:pt>
                <c:pt idx="13">
                  <c:v>2023</c:v>
                </c:pt>
              </c:numCache>
            </c:numRef>
          </c:cat>
          <c:val>
            <c:numRef>
              <c:f>Sheet1!$B$2:$B$15</c:f>
              <c:numCache>
                <c:formatCode>0.0</c:formatCode>
                <c:ptCount val="14"/>
                <c:pt idx="0" formatCode="General">
                  <c:v>-14.1</c:v>
                </c:pt>
                <c:pt idx="1">
                  <c:v>2.2151091894039183</c:v>
                </c:pt>
                <c:pt idx="2">
                  <c:v>4.6507622226871206</c:v>
                </c:pt>
                <c:pt idx="3">
                  <c:v>7.1590508979271874</c:v>
                </c:pt>
                <c:pt idx="5" formatCode="General">
                  <c:v>0.2</c:v>
                </c:pt>
                <c:pt idx="6" formatCode="General">
                  <c:v>7.5</c:v>
                </c:pt>
                <c:pt idx="7" formatCode="General">
                  <c:v>5.2000000000000028</c:v>
                </c:pt>
                <c:pt idx="8">
                  <c:v>7.6208632799755094</c:v>
                </c:pt>
                <c:pt idx="10" formatCode="General">
                  <c:v>-7.2000000000000028</c:v>
                </c:pt>
                <c:pt idx="11">
                  <c:v>5.8</c:v>
                </c:pt>
                <c:pt idx="12">
                  <c:v>12.6</c:v>
                </c:pt>
                <c:pt idx="13">
                  <c:v>7.4</c:v>
                </c:pt>
              </c:numCache>
            </c:numRef>
          </c:val>
          <c:extLst>
            <c:ext xmlns:c16="http://schemas.microsoft.com/office/drawing/2014/chart" uri="{C3380CC4-5D6E-409C-BE32-E72D297353CC}">
              <c16:uniqueId val="{00000010-C0EB-42B6-9503-8842E5308303}"/>
            </c:ext>
          </c:extLst>
        </c:ser>
        <c:dLbls>
          <c:showLegendKey val="0"/>
          <c:showVal val="0"/>
          <c:showCatName val="0"/>
          <c:showSerName val="0"/>
          <c:showPercent val="0"/>
          <c:showBubbleSize val="0"/>
        </c:dLbls>
        <c:gapWidth val="219"/>
        <c:overlap val="-27"/>
        <c:axId val="222804608"/>
        <c:axId val="222822784"/>
      </c:barChart>
      <c:catAx>
        <c:axId val="22280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822784"/>
        <c:crosses val="autoZero"/>
        <c:auto val="1"/>
        <c:lblAlgn val="ctr"/>
        <c:lblOffset val="100"/>
        <c:noMultiLvlLbl val="0"/>
      </c:catAx>
      <c:valAx>
        <c:axId val="222822784"/>
        <c:scaling>
          <c:orientation val="minMax"/>
          <c:max val="13"/>
          <c:min val="-1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804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157794177073183E-2"/>
          <c:y val="4.1115590668506716E-2"/>
          <c:w val="0.91791893726288765"/>
          <c:h val="0.6311948422554563"/>
        </c:manualLayout>
      </c:layout>
      <c:barChart>
        <c:barDir val="col"/>
        <c:grouping val="stacked"/>
        <c:varyColors val="0"/>
        <c:ser>
          <c:idx val="1"/>
          <c:order val="1"/>
          <c:tx>
            <c:strRef>
              <c:f>Sheet1!$D$4</c:f>
              <c:strCache>
                <c:ptCount val="1"/>
                <c:pt idx="0">
                  <c:v>արդյունաբերություն</c:v>
                </c:pt>
              </c:strCache>
            </c:strRef>
          </c:tx>
          <c:spPr>
            <a:solidFill>
              <a:srgbClr val="B4C7E7"/>
            </a:solidFill>
            <a:ln>
              <a:noFill/>
            </a:ln>
            <a:effectLst/>
          </c:spPr>
          <c:invertIfNegative val="0"/>
          <c:val>
            <c:numRef>
              <c:f>Sheet1!$E$4:$J$4</c:f>
              <c:numCache>
                <c:formatCode>0.0</c:formatCode>
                <c:ptCount val="6"/>
                <c:pt idx="0">
                  <c:v>2.168157050169826</c:v>
                </c:pt>
                <c:pt idx="1">
                  <c:v>-0.25862819095951967</c:v>
                </c:pt>
                <c:pt idx="2">
                  <c:v>0.48280829270910863</c:v>
                </c:pt>
                <c:pt idx="3">
                  <c:v>1.1984904168436228</c:v>
                </c:pt>
                <c:pt idx="4">
                  <c:v>0.14780778140350478</c:v>
                </c:pt>
                <c:pt idx="5">
                  <c:v>0.78896368819579876</c:v>
                </c:pt>
              </c:numCache>
            </c:numRef>
          </c:val>
          <c:extLst>
            <c:ext xmlns:c16="http://schemas.microsoft.com/office/drawing/2014/chart" uri="{C3380CC4-5D6E-409C-BE32-E72D297353CC}">
              <c16:uniqueId val="{00000000-A872-4435-9DC2-A1A9037A83B6}"/>
            </c:ext>
          </c:extLst>
        </c:ser>
        <c:ser>
          <c:idx val="2"/>
          <c:order val="2"/>
          <c:tx>
            <c:strRef>
              <c:f>Sheet1!$D$5</c:f>
              <c:strCache>
                <c:ptCount val="1"/>
                <c:pt idx="0">
                  <c:v>գյուղատնտեսություն </c:v>
                </c:pt>
              </c:strCache>
            </c:strRef>
          </c:tx>
          <c:spPr>
            <a:solidFill>
              <a:srgbClr val="8064A2"/>
            </a:solidFill>
            <a:ln>
              <a:noFill/>
            </a:ln>
            <a:effectLst/>
          </c:spPr>
          <c:invertIfNegative val="0"/>
          <c:val>
            <c:numRef>
              <c:f>Sheet1!$E$5:$J$5</c:f>
              <c:numCache>
                <c:formatCode>0.0</c:formatCode>
                <c:ptCount val="6"/>
                <c:pt idx="0">
                  <c:v>-0.80865407601404715</c:v>
                </c:pt>
                <c:pt idx="1">
                  <c:v>-0.42644759730447657</c:v>
                </c:pt>
                <c:pt idx="2">
                  <c:v>-9.0798441243638853E-2</c:v>
                </c:pt>
                <c:pt idx="3">
                  <c:v>-7.940483892380025E-2</c:v>
                </c:pt>
                <c:pt idx="4">
                  <c:v>0.12447763674734726</c:v>
                </c:pt>
                <c:pt idx="5">
                  <c:v>0.28853365787729079</c:v>
                </c:pt>
              </c:numCache>
            </c:numRef>
          </c:val>
          <c:extLst>
            <c:ext xmlns:c16="http://schemas.microsoft.com/office/drawing/2014/chart" uri="{C3380CC4-5D6E-409C-BE32-E72D297353CC}">
              <c16:uniqueId val="{00000001-A872-4435-9DC2-A1A9037A83B6}"/>
            </c:ext>
          </c:extLst>
        </c:ser>
        <c:ser>
          <c:idx val="3"/>
          <c:order val="3"/>
          <c:tx>
            <c:strRef>
              <c:f>Sheet1!$D$6</c:f>
              <c:strCache>
                <c:ptCount val="1"/>
                <c:pt idx="0">
                  <c:v>շինարարություն</c:v>
                </c:pt>
              </c:strCache>
            </c:strRef>
          </c:tx>
          <c:spPr>
            <a:solidFill>
              <a:sysClr val="window" lastClr="FFFFFF">
                <a:lumMod val="65000"/>
              </a:sysClr>
            </a:solidFill>
            <a:ln>
              <a:noFill/>
            </a:ln>
            <a:effectLst/>
          </c:spPr>
          <c:invertIfNegative val="0"/>
          <c:val>
            <c:numRef>
              <c:f>Sheet1!$E$6:$J$6</c:f>
              <c:numCache>
                <c:formatCode>0.0</c:formatCode>
                <c:ptCount val="6"/>
                <c:pt idx="0">
                  <c:v>0.42924919235971903</c:v>
                </c:pt>
                <c:pt idx="1">
                  <c:v>-0.37459956500993163</c:v>
                </c:pt>
                <c:pt idx="2">
                  <c:v>0.21415861518102824</c:v>
                </c:pt>
                <c:pt idx="3">
                  <c:v>1.2239769747831517</c:v>
                </c:pt>
                <c:pt idx="4">
                  <c:v>1.1978011384077423</c:v>
                </c:pt>
                <c:pt idx="5">
                  <c:v>0.62473752153716311</c:v>
                </c:pt>
              </c:numCache>
            </c:numRef>
          </c:val>
          <c:extLst>
            <c:ext xmlns:c16="http://schemas.microsoft.com/office/drawing/2014/chart" uri="{C3380CC4-5D6E-409C-BE32-E72D297353CC}">
              <c16:uniqueId val="{00000002-A872-4435-9DC2-A1A9037A83B6}"/>
            </c:ext>
          </c:extLst>
        </c:ser>
        <c:ser>
          <c:idx val="4"/>
          <c:order val="4"/>
          <c:tx>
            <c:strRef>
              <c:f>Sheet1!$D$7</c:f>
              <c:strCache>
                <c:ptCount val="1"/>
                <c:pt idx="0">
                  <c:v>ծառայություններ</c:v>
                </c:pt>
              </c:strCache>
            </c:strRef>
          </c:tx>
          <c:spPr>
            <a:solidFill>
              <a:srgbClr val="ED7D31">
                <a:lumMod val="60000"/>
                <a:lumOff val="40000"/>
              </a:srgbClr>
            </a:solidFill>
            <a:ln>
              <a:noFill/>
            </a:ln>
            <a:effectLst/>
          </c:spPr>
          <c:invertIfNegative val="0"/>
          <c:val>
            <c:numRef>
              <c:f>Sheet1!$E$7:$J$7</c:f>
              <c:numCache>
                <c:formatCode>0.0</c:formatCode>
                <c:ptCount val="6"/>
                <c:pt idx="0">
                  <c:v>5.0778366362224343</c:v>
                </c:pt>
                <c:pt idx="1">
                  <c:v>-4.9778368840120288</c:v>
                </c:pt>
                <c:pt idx="2">
                  <c:v>4.3753350982915755</c:v>
                </c:pt>
                <c:pt idx="3">
                  <c:v>9.3947329633387184</c:v>
                </c:pt>
                <c:pt idx="4">
                  <c:v>4.6635464148522274</c:v>
                </c:pt>
                <c:pt idx="5">
                  <c:v>4.4748751256714332</c:v>
                </c:pt>
              </c:numCache>
            </c:numRef>
          </c:val>
          <c:extLst>
            <c:ext xmlns:c16="http://schemas.microsoft.com/office/drawing/2014/chart" uri="{C3380CC4-5D6E-409C-BE32-E72D297353CC}">
              <c16:uniqueId val="{00000003-A872-4435-9DC2-A1A9037A83B6}"/>
            </c:ext>
          </c:extLst>
        </c:ser>
        <c:ser>
          <c:idx val="5"/>
          <c:order val="5"/>
          <c:tx>
            <c:strRef>
              <c:f>Sheet1!$D$8</c:f>
              <c:strCache>
                <c:ptCount val="1"/>
                <c:pt idx="0">
                  <c:v>զուտ հարկեր</c:v>
                </c:pt>
              </c:strCache>
            </c:strRef>
          </c:tx>
          <c:spPr>
            <a:solidFill>
              <a:srgbClr val="4472C4">
                <a:lumMod val="50000"/>
              </a:srgbClr>
            </a:solidFill>
            <a:ln>
              <a:noFill/>
            </a:ln>
            <a:effectLst/>
          </c:spPr>
          <c:invertIfNegative val="0"/>
          <c:val>
            <c:numRef>
              <c:f>Sheet1!$E$8:$J$8</c:f>
              <c:numCache>
                <c:formatCode>0.0</c:formatCode>
                <c:ptCount val="6"/>
                <c:pt idx="0">
                  <c:v>0.75427447723755991</c:v>
                </c:pt>
                <c:pt idx="1">
                  <c:v>-1.1276472907079103</c:v>
                </c:pt>
                <c:pt idx="2">
                  <c:v>0.80674869254653181</c:v>
                </c:pt>
                <c:pt idx="3">
                  <c:v>0.88890396802941851</c:v>
                </c:pt>
                <c:pt idx="4">
                  <c:v>1.266367028589205</c:v>
                </c:pt>
                <c:pt idx="5">
                  <c:v>0.82460990188688954</c:v>
                </c:pt>
              </c:numCache>
            </c:numRef>
          </c:val>
          <c:extLst>
            <c:ext xmlns:c16="http://schemas.microsoft.com/office/drawing/2014/chart" uri="{C3380CC4-5D6E-409C-BE32-E72D297353CC}">
              <c16:uniqueId val="{00000004-A872-4435-9DC2-A1A9037A83B6}"/>
            </c:ext>
          </c:extLst>
        </c:ser>
        <c:dLbls>
          <c:showLegendKey val="0"/>
          <c:showVal val="0"/>
          <c:showCatName val="0"/>
          <c:showSerName val="0"/>
          <c:showPercent val="0"/>
          <c:showBubbleSize val="0"/>
        </c:dLbls>
        <c:gapWidth val="150"/>
        <c:overlap val="100"/>
        <c:axId val="222898048"/>
        <c:axId val="222899584"/>
      </c:barChart>
      <c:lineChart>
        <c:grouping val="standard"/>
        <c:varyColors val="0"/>
        <c:ser>
          <c:idx val="0"/>
          <c:order val="0"/>
          <c:tx>
            <c:strRef>
              <c:f>Sheet1!$D$3</c:f>
              <c:strCache>
                <c:ptCount val="1"/>
                <c:pt idx="0">
                  <c:v>ՀՆԱ</c:v>
                </c:pt>
              </c:strCache>
            </c:strRef>
          </c:tx>
          <c:spPr>
            <a:ln w="25400" cap="rnd">
              <a:solidFill>
                <a:srgbClr val="4472C4">
                  <a:lumMod val="75000"/>
                </a:srgbClr>
              </a:solidFill>
              <a:round/>
            </a:ln>
            <a:effectLst/>
          </c:spPr>
          <c:marker>
            <c:symbol val="none"/>
          </c:marker>
          <c:dLbls>
            <c:dLbl>
              <c:idx val="0"/>
              <c:layout>
                <c:manualLayout>
                  <c:x val="-5.3404957419414631E-2"/>
                  <c:y val="-4.6878930402156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72-4435-9DC2-A1A9037A83B6}"/>
                </c:ext>
              </c:extLst>
            </c:dLbl>
            <c:dLbl>
              <c:idx val="1"/>
              <c:layout>
                <c:manualLayout>
                  <c:x val="-5.1292642644133579E-2"/>
                  <c:y val="2.023516355757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872-4435-9DC2-A1A9037A83B6}"/>
                </c:ext>
              </c:extLst>
            </c:dLbl>
            <c:dLbl>
              <c:idx val="2"/>
              <c:layout>
                <c:manualLayout>
                  <c:x val="-5.6989140544065106E-2"/>
                  <c:y val="-2.90207683771072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872-4435-9DC2-A1A9037A83B6}"/>
                </c:ext>
              </c:extLst>
            </c:dLbl>
            <c:dLbl>
              <c:idx val="3"/>
              <c:layout>
                <c:manualLayout>
                  <c:x val="-4.8726223219575565E-2"/>
                  <c:y val="-4.18390318659831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872-4435-9DC2-A1A9037A83B6}"/>
                </c:ext>
              </c:extLst>
            </c:dLbl>
            <c:dLbl>
              <c:idx val="4"/>
              <c:layout>
                <c:manualLayout>
                  <c:x val="-5.4203612316430255E-2"/>
                  <c:y val="-4.01675210061829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72-4435-9DC2-A1A9037A83B6}"/>
                </c:ext>
              </c:extLst>
            </c:dLbl>
            <c:dLbl>
              <c:idx val="5"/>
              <c:layout>
                <c:manualLayout>
                  <c:x val="-5.4203612316430179E-2"/>
                  <c:y val="-4.01675210061829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872-4435-9DC2-A1A9037A83B6}"/>
                </c:ext>
              </c:extLst>
            </c:dLbl>
            <c:dLbl>
              <c:idx val="6"/>
              <c:layout>
                <c:manualLayout>
                  <c:x val="-4.5026859032280486E-2"/>
                  <c:y val="-3.34561116102097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872-4435-9DC2-A1A9037A83B6}"/>
                </c:ext>
              </c:extLst>
            </c:dLbl>
            <c:dLbl>
              <c:idx val="7"/>
              <c:layout>
                <c:manualLayout>
                  <c:x val="-3.2627683834602642E-2"/>
                  <c:y val="-4.68789304021561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872-4435-9DC2-A1A9037A83B6}"/>
                </c:ext>
              </c:extLst>
            </c:dLbl>
            <c:spPr>
              <a:noFill/>
              <a:ln>
                <a:noFill/>
              </a:ln>
              <a:effectLst/>
            </c:spPr>
            <c:txPr>
              <a:bodyPr rot="0" spcFirstLastPara="1" vertOverflow="ellipsis" vert="horz" wrap="square" anchor="ctr" anchorCtr="1"/>
              <a:lstStyle/>
              <a:p>
                <a:pPr>
                  <a:defRPr sz="6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Sheet1!$E$2:$J$2</c:f>
              <c:numCache>
                <c:formatCode>General</c:formatCode>
                <c:ptCount val="6"/>
                <c:pt idx="0">
                  <c:v>2019</c:v>
                </c:pt>
                <c:pt idx="1">
                  <c:v>2020</c:v>
                </c:pt>
                <c:pt idx="2">
                  <c:v>2021</c:v>
                </c:pt>
                <c:pt idx="3">
                  <c:v>2022</c:v>
                </c:pt>
                <c:pt idx="4">
                  <c:v>2023</c:v>
                </c:pt>
                <c:pt idx="5">
                  <c:v>2024</c:v>
                </c:pt>
              </c:numCache>
            </c:numRef>
          </c:cat>
          <c:val>
            <c:numRef>
              <c:f>Sheet1!$E$3:$J$3</c:f>
              <c:numCache>
                <c:formatCode>0.0</c:formatCode>
                <c:ptCount val="6"/>
                <c:pt idx="0">
                  <c:v>7.6208632799754925</c:v>
                </c:pt>
                <c:pt idx="1">
                  <c:v>-7.1651595279938665</c:v>
                </c:pt>
                <c:pt idx="2">
                  <c:v>5.7882522574846051</c:v>
                </c:pt>
                <c:pt idx="3">
                  <c:v>12.626699484071112</c:v>
                </c:pt>
                <c:pt idx="4">
                  <c:v>7.400000000000027</c:v>
                </c:pt>
                <c:pt idx="5">
                  <c:v>7.0017198951685753</c:v>
                </c:pt>
              </c:numCache>
            </c:numRef>
          </c:val>
          <c:smooth val="0"/>
          <c:extLst>
            <c:ext xmlns:c16="http://schemas.microsoft.com/office/drawing/2014/chart" uri="{C3380CC4-5D6E-409C-BE32-E72D297353CC}">
              <c16:uniqueId val="{0000000D-A872-4435-9DC2-A1A9037A83B6}"/>
            </c:ext>
          </c:extLst>
        </c:ser>
        <c:dLbls>
          <c:showLegendKey val="0"/>
          <c:showVal val="0"/>
          <c:showCatName val="0"/>
          <c:showSerName val="0"/>
          <c:showPercent val="0"/>
          <c:showBubbleSize val="0"/>
        </c:dLbls>
        <c:marker val="1"/>
        <c:smooth val="0"/>
        <c:axId val="222898048"/>
        <c:axId val="222899584"/>
      </c:lineChart>
      <c:catAx>
        <c:axId val="222898048"/>
        <c:scaling>
          <c:orientation val="minMax"/>
        </c:scaling>
        <c:delete val="0"/>
        <c:axPos val="b"/>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899584"/>
        <c:crosses val="autoZero"/>
        <c:auto val="1"/>
        <c:lblAlgn val="ctr"/>
        <c:lblOffset val="100"/>
        <c:noMultiLvlLbl val="0"/>
      </c:catAx>
      <c:valAx>
        <c:axId val="2228995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898048"/>
        <c:crosses val="autoZero"/>
        <c:crossBetween val="between"/>
      </c:valAx>
      <c:spPr>
        <a:noFill/>
        <a:ln>
          <a:noFill/>
        </a:ln>
        <a:effectLst/>
      </c:spPr>
    </c:plotArea>
    <c:legend>
      <c:legendPos val="b"/>
      <c:layout>
        <c:manualLayout>
          <c:xMode val="edge"/>
          <c:yMode val="edge"/>
          <c:x val="0"/>
          <c:y val="0.82533372086878398"/>
          <c:w val="1"/>
          <c:h val="0.1581293808862133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latin typeface="GHEA Grapalat" panose="02000506050000020003" pitchFamily="50" charset="0"/>
        </a:defRPr>
      </a:pPr>
      <a:endParaRPr lang="en-US"/>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30597210264042"/>
          <c:y val="7.201309328968912E-2"/>
          <c:w val="0.81369779122581465"/>
          <c:h val="0.58559531940667808"/>
        </c:manualLayout>
      </c:layout>
      <c:barChart>
        <c:barDir val="col"/>
        <c:grouping val="stacked"/>
        <c:varyColors val="0"/>
        <c:ser>
          <c:idx val="1"/>
          <c:order val="1"/>
          <c:tx>
            <c:strRef>
              <c:f>Sheet1!$A$3</c:f>
              <c:strCache>
                <c:ptCount val="1"/>
                <c:pt idx="0">
                  <c:v>Սպառում</c:v>
                </c:pt>
              </c:strCache>
            </c:strRef>
          </c:tx>
          <c:spPr>
            <a:solidFill>
              <a:srgbClr val="ED7D31">
                <a:lumMod val="60000"/>
                <a:lumOff val="40000"/>
              </a:srgbClr>
            </a:solidFill>
            <a:ln>
              <a:noFill/>
            </a:ln>
            <a:effectLst/>
          </c:spPr>
          <c:invertIfNegative val="0"/>
          <c:cat>
            <c:strRef>
              <c:f>Sheet1!$B$1:$G$1</c:f>
              <c:strCache>
                <c:ptCount val="6"/>
                <c:pt idx="0">
                  <c:v>2019</c:v>
                </c:pt>
                <c:pt idx="1">
                  <c:v>2020</c:v>
                </c:pt>
                <c:pt idx="2">
                  <c:v>2021</c:v>
                </c:pt>
                <c:pt idx="3">
                  <c:v>2022</c:v>
                </c:pt>
                <c:pt idx="4">
                  <c:v>2023</c:v>
                </c:pt>
                <c:pt idx="5">
                  <c:v>2024</c:v>
                </c:pt>
              </c:strCache>
            </c:strRef>
          </c:cat>
          <c:val>
            <c:numRef>
              <c:f>Sheet1!$B$3:$G$3</c:f>
              <c:numCache>
                <c:formatCode>0.0</c:formatCode>
                <c:ptCount val="6"/>
                <c:pt idx="0">
                  <c:v>10.680646817555598</c:v>
                </c:pt>
                <c:pt idx="1">
                  <c:v>-10.464438397329021</c:v>
                </c:pt>
                <c:pt idx="2">
                  <c:v>1.1738350099530821</c:v>
                </c:pt>
                <c:pt idx="3">
                  <c:v>6.6674916356752565</c:v>
                </c:pt>
                <c:pt idx="4">
                  <c:v>6.8792058975125112</c:v>
                </c:pt>
                <c:pt idx="5">
                  <c:v>6.138942989597389</c:v>
                </c:pt>
              </c:numCache>
            </c:numRef>
          </c:val>
          <c:extLst>
            <c:ext xmlns:c16="http://schemas.microsoft.com/office/drawing/2014/chart" uri="{C3380CC4-5D6E-409C-BE32-E72D297353CC}">
              <c16:uniqueId val="{00000000-BB22-475E-8659-B61ECDE54C1B}"/>
            </c:ext>
          </c:extLst>
        </c:ser>
        <c:ser>
          <c:idx val="2"/>
          <c:order val="2"/>
          <c:tx>
            <c:strRef>
              <c:f>Sheet1!$A$4</c:f>
              <c:strCache>
                <c:ptCount val="1"/>
                <c:pt idx="0">
                  <c:v>Հիմնական միջոցներում կապիտալ ներդրումներ</c:v>
                </c:pt>
              </c:strCache>
            </c:strRef>
          </c:tx>
          <c:spPr>
            <a:solidFill>
              <a:schemeClr val="accent3"/>
            </a:solidFill>
            <a:ln>
              <a:noFill/>
            </a:ln>
            <a:effectLst/>
          </c:spPr>
          <c:invertIfNegative val="0"/>
          <c:cat>
            <c:strRef>
              <c:f>Sheet1!$B$1:$G$1</c:f>
              <c:strCache>
                <c:ptCount val="6"/>
                <c:pt idx="0">
                  <c:v>2019</c:v>
                </c:pt>
                <c:pt idx="1">
                  <c:v>2020</c:v>
                </c:pt>
                <c:pt idx="2">
                  <c:v>2021</c:v>
                </c:pt>
                <c:pt idx="3">
                  <c:v>2022</c:v>
                </c:pt>
                <c:pt idx="4">
                  <c:v>2023</c:v>
                </c:pt>
                <c:pt idx="5">
                  <c:v>2024</c:v>
                </c:pt>
              </c:strCache>
            </c:strRef>
          </c:cat>
          <c:val>
            <c:numRef>
              <c:f>Sheet1!$B$4:$G$4</c:f>
              <c:numCache>
                <c:formatCode>0.0</c:formatCode>
                <c:ptCount val="6"/>
                <c:pt idx="0">
                  <c:v>0.73660007839076713</c:v>
                </c:pt>
                <c:pt idx="1">
                  <c:v>-0.23723397647965289</c:v>
                </c:pt>
                <c:pt idx="2">
                  <c:v>4.1946454154745165</c:v>
                </c:pt>
                <c:pt idx="3">
                  <c:v>2.0159479324414522</c:v>
                </c:pt>
                <c:pt idx="4">
                  <c:v>4.6969608779437397</c:v>
                </c:pt>
                <c:pt idx="5">
                  <c:v>2.5754222291314228</c:v>
                </c:pt>
              </c:numCache>
            </c:numRef>
          </c:val>
          <c:extLst>
            <c:ext xmlns:c16="http://schemas.microsoft.com/office/drawing/2014/chart" uri="{C3380CC4-5D6E-409C-BE32-E72D297353CC}">
              <c16:uniqueId val="{00000001-BB22-475E-8659-B61ECDE54C1B}"/>
            </c:ext>
          </c:extLst>
        </c:ser>
        <c:ser>
          <c:idx val="3"/>
          <c:order val="3"/>
          <c:tx>
            <c:strRef>
              <c:f>Sheet1!$A$5</c:f>
              <c:strCache>
                <c:ptCount val="1"/>
                <c:pt idx="0">
                  <c:v>Արտահանում</c:v>
                </c:pt>
              </c:strCache>
            </c:strRef>
          </c:tx>
          <c:spPr>
            <a:solidFill>
              <a:srgbClr val="B4C7E7"/>
            </a:solidFill>
            <a:ln>
              <a:noFill/>
            </a:ln>
            <a:effectLst/>
          </c:spPr>
          <c:invertIfNegative val="0"/>
          <c:cat>
            <c:strRef>
              <c:f>Sheet1!$B$1:$G$1</c:f>
              <c:strCache>
                <c:ptCount val="6"/>
                <c:pt idx="0">
                  <c:v>2019</c:v>
                </c:pt>
                <c:pt idx="1">
                  <c:v>2020</c:v>
                </c:pt>
                <c:pt idx="2">
                  <c:v>2021</c:v>
                </c:pt>
                <c:pt idx="3">
                  <c:v>2022</c:v>
                </c:pt>
                <c:pt idx="4">
                  <c:v>2023</c:v>
                </c:pt>
                <c:pt idx="5">
                  <c:v>2024</c:v>
                </c:pt>
              </c:strCache>
            </c:strRef>
          </c:cat>
          <c:val>
            <c:numRef>
              <c:f>Sheet1!$B$5:$G$5</c:f>
              <c:numCache>
                <c:formatCode>0.0</c:formatCode>
                <c:ptCount val="6"/>
                <c:pt idx="0">
                  <c:v>6.3028630445771689</c:v>
                </c:pt>
                <c:pt idx="1">
                  <c:v>-13.852518456298451</c:v>
                </c:pt>
                <c:pt idx="2">
                  <c:v>5.5362875662259698</c:v>
                </c:pt>
                <c:pt idx="3">
                  <c:v>19.333683630506691</c:v>
                </c:pt>
                <c:pt idx="4">
                  <c:v>8.8573998180971447</c:v>
                </c:pt>
                <c:pt idx="5">
                  <c:v>6.6532384201440484</c:v>
                </c:pt>
              </c:numCache>
            </c:numRef>
          </c:val>
          <c:extLst>
            <c:ext xmlns:c16="http://schemas.microsoft.com/office/drawing/2014/chart" uri="{C3380CC4-5D6E-409C-BE32-E72D297353CC}">
              <c16:uniqueId val="{00000002-BB22-475E-8659-B61ECDE54C1B}"/>
            </c:ext>
          </c:extLst>
        </c:ser>
        <c:ser>
          <c:idx val="4"/>
          <c:order val="4"/>
          <c:tx>
            <c:strRef>
              <c:f>Sheet1!$A$6</c:f>
              <c:strCache>
                <c:ptCount val="1"/>
                <c:pt idx="0">
                  <c:v>Ներմուծում ("-" նշանով)</c:v>
                </c:pt>
              </c:strCache>
            </c:strRef>
          </c:tx>
          <c:spPr>
            <a:solidFill>
              <a:srgbClr val="4472C4">
                <a:lumMod val="50000"/>
              </a:srgbClr>
            </a:solidFill>
          </c:spPr>
          <c:invertIfNegative val="0"/>
          <c:cat>
            <c:strRef>
              <c:f>Sheet1!$B$1:$G$1</c:f>
              <c:strCache>
                <c:ptCount val="6"/>
                <c:pt idx="0">
                  <c:v>2019</c:v>
                </c:pt>
                <c:pt idx="1">
                  <c:v>2020</c:v>
                </c:pt>
                <c:pt idx="2">
                  <c:v>2021</c:v>
                </c:pt>
                <c:pt idx="3">
                  <c:v>2022</c:v>
                </c:pt>
                <c:pt idx="4">
                  <c:v>2023</c:v>
                </c:pt>
                <c:pt idx="5">
                  <c:v>2024</c:v>
                </c:pt>
              </c:strCache>
            </c:strRef>
          </c:cat>
          <c:val>
            <c:numRef>
              <c:f>Sheet1!$B$6:$G$6</c:f>
              <c:numCache>
                <c:formatCode>0.0</c:formatCode>
                <c:ptCount val="6"/>
                <c:pt idx="0">
                  <c:v>-6.1573047071421447</c:v>
                </c:pt>
                <c:pt idx="1">
                  <c:v>17.250456121537535</c:v>
                </c:pt>
                <c:pt idx="2">
                  <c:v>-5.1243728605494399</c:v>
                </c:pt>
                <c:pt idx="3">
                  <c:v>-15.205803594044415</c:v>
                </c:pt>
                <c:pt idx="4">
                  <c:v>-13.031321424369301</c:v>
                </c:pt>
                <c:pt idx="5">
                  <c:v>-8.3023310143188507</c:v>
                </c:pt>
              </c:numCache>
            </c:numRef>
          </c:val>
          <c:extLst>
            <c:ext xmlns:c16="http://schemas.microsoft.com/office/drawing/2014/chart" uri="{C3380CC4-5D6E-409C-BE32-E72D297353CC}">
              <c16:uniqueId val="{00000003-BB22-475E-8659-B61ECDE54C1B}"/>
            </c:ext>
          </c:extLst>
        </c:ser>
        <c:dLbls>
          <c:showLegendKey val="0"/>
          <c:showVal val="0"/>
          <c:showCatName val="0"/>
          <c:showSerName val="0"/>
          <c:showPercent val="0"/>
          <c:showBubbleSize val="0"/>
        </c:dLbls>
        <c:gapWidth val="150"/>
        <c:overlap val="100"/>
        <c:axId val="222975104"/>
        <c:axId val="222976640"/>
      </c:barChart>
      <c:lineChart>
        <c:grouping val="standard"/>
        <c:varyColors val="0"/>
        <c:ser>
          <c:idx val="0"/>
          <c:order val="0"/>
          <c:tx>
            <c:strRef>
              <c:f>Sheet1!$A$2</c:f>
              <c:strCache>
                <c:ptCount val="1"/>
                <c:pt idx="0">
                  <c:v>ՀՆԱ</c:v>
                </c:pt>
              </c:strCache>
            </c:strRef>
          </c:tx>
          <c:spPr>
            <a:ln w="25400" cap="rnd">
              <a:solidFill>
                <a:srgbClr val="4472C4">
                  <a:lumMod val="75000"/>
                </a:srgbClr>
              </a:solidFill>
              <a:round/>
            </a:ln>
            <a:effectLst/>
          </c:spPr>
          <c:marker>
            <c:symbol val="none"/>
          </c:marker>
          <c:dLbls>
            <c:dLbl>
              <c:idx val="0"/>
              <c:layout>
                <c:manualLayout>
                  <c:x val="-7.3185606830656655E-2"/>
                  <c:y val="-4.637318873550058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22-475E-8659-B61ECDE54C1B}"/>
                </c:ext>
              </c:extLst>
            </c:dLbl>
            <c:dLbl>
              <c:idx val="1"/>
              <c:layout>
                <c:manualLayout>
                  <c:x val="-6.5053872738361454E-2"/>
                  <c:y val="5.7193938453138631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22-475E-8659-B61ECDE54C1B}"/>
                </c:ext>
              </c:extLst>
            </c:dLbl>
            <c:dLbl>
              <c:idx val="2"/>
              <c:layout>
                <c:manualLayout>
                  <c:x val="-6.9119739784509124E-2"/>
                  <c:y val="-3.6799648854226361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B22-475E-8659-B61ECDE54C1B}"/>
                </c:ext>
              </c:extLst>
            </c:dLbl>
            <c:dLbl>
              <c:idx val="3"/>
              <c:layout>
                <c:manualLayout>
                  <c:x val="-4.8790404553771163E-2"/>
                  <c:y val="-4.0372664157972839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22-475E-8659-B61ECDE54C1B}"/>
                </c:ext>
              </c:extLst>
            </c:dLbl>
            <c:dLbl>
              <c:idx val="4"/>
              <c:layout>
                <c:manualLayout>
                  <c:x val="-5.9117386703974394E-2"/>
                  <c:y val="-4.5800435720517937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B22-475E-8659-B61ECDE54C1B}"/>
                </c:ext>
              </c:extLst>
            </c:dLbl>
            <c:dLbl>
              <c:idx val="5"/>
              <c:layout>
                <c:manualLayout>
                  <c:x val="-5.8613475307861367E-2"/>
                  <c:y val="-4.0665464063762931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B22-475E-8659-B61ECDE54C1B}"/>
                </c:ext>
              </c:extLst>
            </c:dLbl>
            <c:dLbl>
              <c:idx val="6"/>
              <c:layout>
                <c:manualLayout>
                  <c:x val="-5.6802723810773906E-2"/>
                  <c:y val="-4.015957367273644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B22-475E-8659-B61ECDE54C1B}"/>
                </c:ext>
              </c:extLst>
            </c:dLbl>
            <c:dLbl>
              <c:idx val="7"/>
              <c:layout>
                <c:manualLayout>
                  <c:x val="-5.6922138646066274E-2"/>
                  <c:y val="-4.758667573079544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B22-475E-8659-B61ECDE54C1B}"/>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Sheet1!$B$1:$G$1</c:f>
              <c:strCache>
                <c:ptCount val="6"/>
                <c:pt idx="0">
                  <c:v>2019</c:v>
                </c:pt>
                <c:pt idx="1">
                  <c:v>2020</c:v>
                </c:pt>
                <c:pt idx="2">
                  <c:v>2021</c:v>
                </c:pt>
                <c:pt idx="3">
                  <c:v>2022</c:v>
                </c:pt>
                <c:pt idx="4">
                  <c:v>2023</c:v>
                </c:pt>
                <c:pt idx="5">
                  <c:v>2024</c:v>
                </c:pt>
              </c:strCache>
            </c:strRef>
          </c:cat>
          <c:val>
            <c:numRef>
              <c:f>Sheet1!$B$2:$G$2</c:f>
              <c:numCache>
                <c:formatCode>0.0</c:formatCode>
                <c:ptCount val="6"/>
                <c:pt idx="0">
                  <c:v>7.5999999999999943</c:v>
                </c:pt>
                <c:pt idx="1">
                  <c:v>-7.2000000000000028</c:v>
                </c:pt>
                <c:pt idx="2">
                  <c:v>5.7999999999999972</c:v>
                </c:pt>
                <c:pt idx="3">
                  <c:v>12.599999999999994</c:v>
                </c:pt>
                <c:pt idx="4">
                  <c:v>7.4000000000000057</c:v>
                </c:pt>
                <c:pt idx="5">
                  <c:v>7.0017198951685629</c:v>
                </c:pt>
              </c:numCache>
            </c:numRef>
          </c:val>
          <c:smooth val="0"/>
          <c:extLst>
            <c:ext xmlns:c16="http://schemas.microsoft.com/office/drawing/2014/chart" uri="{C3380CC4-5D6E-409C-BE32-E72D297353CC}">
              <c16:uniqueId val="{0000000C-BB22-475E-8659-B61ECDE54C1B}"/>
            </c:ext>
          </c:extLst>
        </c:ser>
        <c:dLbls>
          <c:showLegendKey val="0"/>
          <c:showVal val="0"/>
          <c:showCatName val="0"/>
          <c:showSerName val="0"/>
          <c:showPercent val="0"/>
          <c:showBubbleSize val="0"/>
        </c:dLbls>
        <c:marker val="1"/>
        <c:smooth val="0"/>
        <c:axId val="222975104"/>
        <c:axId val="222976640"/>
      </c:lineChart>
      <c:catAx>
        <c:axId val="2229751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976640"/>
        <c:crosses val="autoZero"/>
        <c:auto val="1"/>
        <c:lblAlgn val="ctr"/>
        <c:lblOffset val="100"/>
        <c:noMultiLvlLbl val="0"/>
      </c:catAx>
      <c:valAx>
        <c:axId val="222976640"/>
        <c:scaling>
          <c:orientation val="minMax"/>
          <c:max val="30"/>
          <c:min val="-1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2975104"/>
        <c:crosses val="autoZero"/>
        <c:crossBetween val="between"/>
        <c:majorUnit val="4"/>
      </c:valAx>
      <c:spPr>
        <a:noFill/>
        <a:ln>
          <a:noFill/>
        </a:ln>
        <a:effectLst/>
      </c:spPr>
    </c:plotArea>
    <c:legend>
      <c:legendPos val="b"/>
      <c:layout>
        <c:manualLayout>
          <c:xMode val="edge"/>
          <c:yMode val="edge"/>
          <c:x val="2.091774131948677E-2"/>
          <c:y val="0.76103826800655461"/>
          <c:w val="0.96045960304972056"/>
          <c:h val="0.2389616576649876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GHEA Grapalat" panose="02000506050000020003" pitchFamily="50" charset="0"/>
        </a:defRPr>
      </a:pPr>
      <a:endParaRPr lang="en-US"/>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36046999039115"/>
          <c:y val="5.1694697277698022E-2"/>
          <c:w val="0.84559448496456369"/>
          <c:h val="0.68934504893948323"/>
        </c:manualLayout>
      </c:layout>
      <c:barChart>
        <c:barDir val="col"/>
        <c:grouping val="percentStacked"/>
        <c:varyColors val="0"/>
        <c:ser>
          <c:idx val="0"/>
          <c:order val="0"/>
          <c:tx>
            <c:strRef>
              <c:f>Sheet1!$A$2</c:f>
              <c:strCache>
                <c:ptCount val="1"/>
                <c:pt idx="0">
                  <c:v>Սպառում</c:v>
                </c:pt>
              </c:strCache>
            </c:strRef>
          </c:tx>
          <c:spPr>
            <a:solidFill>
              <a:srgbClr val="ED7D31">
                <a:lumMod val="60000"/>
                <a:lumOff val="4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Sheet1!$B$1:$G$1</c:f>
              <c:strCache>
                <c:ptCount val="6"/>
                <c:pt idx="0">
                  <c:v>2019 </c:v>
                </c:pt>
                <c:pt idx="1">
                  <c:v>2020 </c:v>
                </c:pt>
                <c:pt idx="2">
                  <c:v>2021 </c:v>
                </c:pt>
                <c:pt idx="3">
                  <c:v>2022</c:v>
                </c:pt>
                <c:pt idx="4">
                  <c:v>2023</c:v>
                </c:pt>
                <c:pt idx="5">
                  <c:v>2024</c:v>
                </c:pt>
              </c:strCache>
            </c:strRef>
          </c:cat>
          <c:val>
            <c:numRef>
              <c:f>Sheet1!$B$2:$G$2</c:f>
              <c:numCache>
                <c:formatCode>0.0</c:formatCode>
                <c:ptCount val="6"/>
                <c:pt idx="0">
                  <c:v>96.004021993844162</c:v>
                </c:pt>
                <c:pt idx="1">
                  <c:v>90.295000765621907</c:v>
                </c:pt>
                <c:pt idx="2">
                  <c:v>84.893132616428417</c:v>
                </c:pt>
                <c:pt idx="3">
                  <c:v>79.344887107594943</c:v>
                </c:pt>
                <c:pt idx="4">
                  <c:v>79.453038194521994</c:v>
                </c:pt>
                <c:pt idx="5">
                  <c:v>79.763325563472932</c:v>
                </c:pt>
              </c:numCache>
            </c:numRef>
          </c:val>
          <c:extLst>
            <c:ext xmlns:c16="http://schemas.microsoft.com/office/drawing/2014/chart" uri="{C3380CC4-5D6E-409C-BE32-E72D297353CC}">
              <c16:uniqueId val="{00000000-B933-4734-9340-3B29C500EC24}"/>
            </c:ext>
          </c:extLst>
        </c:ser>
        <c:ser>
          <c:idx val="1"/>
          <c:order val="1"/>
          <c:tx>
            <c:strRef>
              <c:f>Sheet1!$A$3</c:f>
              <c:strCache>
                <c:ptCount val="1"/>
                <c:pt idx="0">
                  <c:v>Հիմնական միջոցներում կապիտալ ներդրումներ</c:v>
                </c:pt>
              </c:strCache>
            </c:strRef>
          </c:tx>
          <c:spPr>
            <a:solidFill>
              <a:sysClr val="window" lastClr="FFFFFF">
                <a:lumMod val="65000"/>
              </a:sysClr>
            </a:solidFill>
            <a:ln>
              <a:noFill/>
            </a:ln>
            <a:effectLst/>
          </c:spPr>
          <c:invertIfNegative val="0"/>
          <c:dLbls>
            <c:dLbl>
              <c:idx val="1"/>
              <c:layout>
                <c:manualLayout>
                  <c:x val="0"/>
                  <c:y val="-7.024938531787846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33-4734-9340-3B29C500EC2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Sheet1!$B$1:$G$1</c:f>
              <c:strCache>
                <c:ptCount val="6"/>
                <c:pt idx="0">
                  <c:v>2019 </c:v>
                </c:pt>
                <c:pt idx="1">
                  <c:v>2020 </c:v>
                </c:pt>
                <c:pt idx="2">
                  <c:v>2021 </c:v>
                </c:pt>
                <c:pt idx="3">
                  <c:v>2022</c:v>
                </c:pt>
                <c:pt idx="4">
                  <c:v>2023</c:v>
                </c:pt>
                <c:pt idx="5">
                  <c:v>2024</c:v>
                </c:pt>
              </c:strCache>
            </c:strRef>
          </c:cat>
          <c:val>
            <c:numRef>
              <c:f>Sheet1!$B$3:$G$3</c:f>
              <c:numCache>
                <c:formatCode>0.0</c:formatCode>
                <c:ptCount val="6"/>
                <c:pt idx="0">
                  <c:v>15.815598431976859</c:v>
                </c:pt>
                <c:pt idx="1">
                  <c:v>17.77392125201067</c:v>
                </c:pt>
                <c:pt idx="2">
                  <c:v>21.203941864399638</c:v>
                </c:pt>
                <c:pt idx="3">
                  <c:v>20.265859806852617</c:v>
                </c:pt>
                <c:pt idx="4">
                  <c:v>21.89383623806069</c:v>
                </c:pt>
                <c:pt idx="5">
                  <c:v>22.868098280256682</c:v>
                </c:pt>
              </c:numCache>
            </c:numRef>
          </c:val>
          <c:extLst>
            <c:ext xmlns:c16="http://schemas.microsoft.com/office/drawing/2014/chart" uri="{C3380CC4-5D6E-409C-BE32-E72D297353CC}">
              <c16:uniqueId val="{00000002-B933-4734-9340-3B29C500EC24}"/>
            </c:ext>
          </c:extLst>
        </c:ser>
        <c:ser>
          <c:idx val="2"/>
          <c:order val="2"/>
          <c:tx>
            <c:strRef>
              <c:f>Sheet1!$A$4</c:f>
              <c:strCache>
                <c:ptCount val="1"/>
                <c:pt idx="0">
                  <c:v>Ապրանք. և ծառ. արտահանում </c:v>
                </c:pt>
              </c:strCache>
            </c:strRef>
          </c:tx>
          <c:spPr>
            <a:solidFill>
              <a:srgbClr val="B4C7E7"/>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Sheet1!$B$1:$G$1</c:f>
              <c:strCache>
                <c:ptCount val="6"/>
                <c:pt idx="0">
                  <c:v>2019 </c:v>
                </c:pt>
                <c:pt idx="1">
                  <c:v>2020 </c:v>
                </c:pt>
                <c:pt idx="2">
                  <c:v>2021 </c:v>
                </c:pt>
                <c:pt idx="3">
                  <c:v>2022</c:v>
                </c:pt>
                <c:pt idx="4">
                  <c:v>2023</c:v>
                </c:pt>
                <c:pt idx="5">
                  <c:v>2024</c:v>
                </c:pt>
              </c:strCache>
            </c:strRef>
          </c:cat>
          <c:val>
            <c:numRef>
              <c:f>Sheet1!$B$4:$G$4</c:f>
              <c:numCache>
                <c:formatCode>0.0</c:formatCode>
                <c:ptCount val="6"/>
                <c:pt idx="0">
                  <c:v>41.35080136208493</c:v>
                </c:pt>
                <c:pt idx="1">
                  <c:v>29.764986915193397</c:v>
                </c:pt>
                <c:pt idx="2">
                  <c:v>35.906439990126685</c:v>
                </c:pt>
                <c:pt idx="3">
                  <c:v>50.013647695145139</c:v>
                </c:pt>
                <c:pt idx="4">
                  <c:v>53.433856797049117</c:v>
                </c:pt>
                <c:pt idx="5">
                  <c:v>54.805375041924599</c:v>
                </c:pt>
              </c:numCache>
            </c:numRef>
          </c:val>
          <c:extLst>
            <c:ext xmlns:c16="http://schemas.microsoft.com/office/drawing/2014/chart" uri="{C3380CC4-5D6E-409C-BE32-E72D297353CC}">
              <c16:uniqueId val="{00000003-B933-4734-9340-3B29C500EC24}"/>
            </c:ext>
          </c:extLst>
        </c:ser>
        <c:ser>
          <c:idx val="3"/>
          <c:order val="3"/>
          <c:tx>
            <c:strRef>
              <c:f>Sheet1!$A$5</c:f>
              <c:strCache>
                <c:ptCount val="1"/>
                <c:pt idx="0">
                  <c:v>Ապրանք. և ծառ. ներմուծում ("-" նշանով)</c:v>
                </c:pt>
              </c:strCache>
            </c:strRef>
          </c:tx>
          <c:spPr>
            <a:solidFill>
              <a:srgbClr val="4472C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Sheet1!$B$1:$G$1</c:f>
              <c:strCache>
                <c:ptCount val="6"/>
                <c:pt idx="0">
                  <c:v>2019 </c:v>
                </c:pt>
                <c:pt idx="1">
                  <c:v>2020 </c:v>
                </c:pt>
                <c:pt idx="2">
                  <c:v>2021 </c:v>
                </c:pt>
                <c:pt idx="3">
                  <c:v>2022</c:v>
                </c:pt>
                <c:pt idx="4">
                  <c:v>2023</c:v>
                </c:pt>
                <c:pt idx="5">
                  <c:v>2024</c:v>
                </c:pt>
              </c:strCache>
            </c:strRef>
          </c:cat>
          <c:val>
            <c:numRef>
              <c:f>Sheet1!$B$5:$G$5</c:f>
              <c:numCache>
                <c:formatCode>0.0</c:formatCode>
                <c:ptCount val="6"/>
                <c:pt idx="0">
                  <c:v>-54.763352766785822</c:v>
                </c:pt>
                <c:pt idx="1">
                  <c:v>-39.723820624414245</c:v>
                </c:pt>
                <c:pt idx="2">
                  <c:v>-43.763448832713195</c:v>
                </c:pt>
                <c:pt idx="3">
                  <c:v>-50.992844678995688</c:v>
                </c:pt>
                <c:pt idx="4">
                  <c:v>-55.8649298069897</c:v>
                </c:pt>
                <c:pt idx="5">
                  <c:v>-57.488974423748502</c:v>
                </c:pt>
              </c:numCache>
            </c:numRef>
          </c:val>
          <c:extLst>
            <c:ext xmlns:c16="http://schemas.microsoft.com/office/drawing/2014/chart" uri="{C3380CC4-5D6E-409C-BE32-E72D297353CC}">
              <c16:uniqueId val="{00000004-B933-4734-9340-3B29C500EC24}"/>
            </c:ext>
          </c:extLst>
        </c:ser>
        <c:dLbls>
          <c:showLegendKey val="0"/>
          <c:showVal val="0"/>
          <c:showCatName val="0"/>
          <c:showSerName val="0"/>
          <c:showPercent val="0"/>
          <c:showBubbleSize val="0"/>
        </c:dLbls>
        <c:gapWidth val="150"/>
        <c:overlap val="100"/>
        <c:axId val="256640128"/>
        <c:axId val="256641664"/>
      </c:barChart>
      <c:catAx>
        <c:axId val="25664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56641664"/>
        <c:crosses val="autoZero"/>
        <c:auto val="1"/>
        <c:lblAlgn val="ctr"/>
        <c:lblOffset val="600"/>
        <c:noMultiLvlLbl val="0"/>
      </c:catAx>
      <c:valAx>
        <c:axId val="256641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56640128"/>
        <c:crosses val="autoZero"/>
        <c:crossBetween val="between"/>
      </c:valAx>
      <c:spPr>
        <a:noFill/>
        <a:ln>
          <a:noFill/>
        </a:ln>
        <a:effectLst/>
      </c:spPr>
    </c:plotArea>
    <c:legend>
      <c:legendPos val="b"/>
      <c:layout>
        <c:manualLayout>
          <c:xMode val="edge"/>
          <c:yMode val="edge"/>
          <c:x val="5.2434256574987008E-3"/>
          <c:y val="0.78567465684281557"/>
          <c:w val="0.93683576085940545"/>
          <c:h val="0.2143253431571843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GHEA Grapalat" panose="02000506050000020003" pitchFamily="50" charset="0"/>
        </a:defRPr>
      </a:pPr>
      <a:endParaRPr lang="en-US"/>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122703412073505E-2"/>
          <c:y val="5.0925925925925923E-2"/>
          <c:w val="0.87232174103237092"/>
          <c:h val="0.58299139690871971"/>
        </c:manualLayout>
      </c:layout>
      <c:barChart>
        <c:barDir val="col"/>
        <c:grouping val="percentStacked"/>
        <c:varyColors val="0"/>
        <c:ser>
          <c:idx val="0"/>
          <c:order val="0"/>
          <c:tx>
            <c:strRef>
              <c:f>Sheet1!$A$8</c:f>
              <c:strCache>
                <c:ptCount val="1"/>
                <c:pt idx="0">
                  <c:v>Արդյունաբերություն</c:v>
                </c:pt>
              </c:strCache>
            </c:strRef>
          </c:tx>
          <c:spPr>
            <a:solidFill>
              <a:srgbClr val="B4C7E7"/>
            </a:solidFill>
            <a:ln>
              <a:noFill/>
            </a:ln>
            <a:effectLst/>
          </c:spPr>
          <c:invertIfNegative val="0"/>
          <c:dLbls>
            <c:dLbl>
              <c:idx val="0"/>
              <c:layout>
                <c:manualLayout>
                  <c:x val="-4.0807998367680069E-3"/>
                  <c:y val="7.02493853178791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3B-41BE-A515-C1A331E12DE5}"/>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Sheet1!$B$7:$G$7</c:f>
              <c:strCache>
                <c:ptCount val="6"/>
                <c:pt idx="0">
                  <c:v>2019 </c:v>
                </c:pt>
                <c:pt idx="1">
                  <c:v>2020 </c:v>
                </c:pt>
                <c:pt idx="2">
                  <c:v>2021 </c:v>
                </c:pt>
                <c:pt idx="3">
                  <c:v>2022</c:v>
                </c:pt>
                <c:pt idx="4">
                  <c:v>2023</c:v>
                </c:pt>
                <c:pt idx="5">
                  <c:v>2024</c:v>
                </c:pt>
              </c:strCache>
            </c:strRef>
          </c:cat>
          <c:val>
            <c:numRef>
              <c:f>Sheet1!$B$8:$G$8</c:f>
              <c:numCache>
                <c:formatCode>0.0</c:formatCode>
                <c:ptCount val="6"/>
                <c:pt idx="0">
                  <c:v>18.62246328768364</c:v>
                </c:pt>
                <c:pt idx="1">
                  <c:v>19.908953272735175</c:v>
                </c:pt>
                <c:pt idx="2">
                  <c:v>19.853824588075444</c:v>
                </c:pt>
                <c:pt idx="3">
                  <c:v>18.475972675438172</c:v>
                </c:pt>
                <c:pt idx="4">
                  <c:v>16.786461450974432</c:v>
                </c:pt>
                <c:pt idx="5">
                  <c:v>16.425366953343531</c:v>
                </c:pt>
              </c:numCache>
            </c:numRef>
          </c:val>
          <c:extLst>
            <c:ext xmlns:c16="http://schemas.microsoft.com/office/drawing/2014/chart" uri="{C3380CC4-5D6E-409C-BE32-E72D297353CC}">
              <c16:uniqueId val="{00000001-523B-41BE-A515-C1A331E12DE5}"/>
            </c:ext>
          </c:extLst>
        </c:ser>
        <c:ser>
          <c:idx val="1"/>
          <c:order val="1"/>
          <c:tx>
            <c:strRef>
              <c:f>Sheet1!$A$9</c:f>
              <c:strCache>
                <c:ptCount val="1"/>
                <c:pt idx="0">
                  <c:v>Գյուղատնտեսություն և անտառային տնտեսություն</c:v>
                </c:pt>
              </c:strCache>
            </c:strRef>
          </c:tx>
          <c:spPr>
            <a:solidFill>
              <a:srgbClr val="8064A2"/>
            </a:solidFill>
            <a:ln>
              <a:noFill/>
            </a:ln>
            <a:effectLst/>
          </c:spPr>
          <c:invertIfNegative val="0"/>
          <c:dLbls>
            <c:dLbl>
              <c:idx val="0"/>
              <c:layout>
                <c:manualLayout>
                  <c:x val="-1.8703449854671282E-17"/>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3B-41BE-A515-C1A331E12DE5}"/>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Sheet1!$B$7:$G$7</c:f>
              <c:strCache>
                <c:ptCount val="6"/>
                <c:pt idx="0">
                  <c:v>2019 </c:v>
                </c:pt>
                <c:pt idx="1">
                  <c:v>2020 </c:v>
                </c:pt>
                <c:pt idx="2">
                  <c:v>2021 </c:v>
                </c:pt>
                <c:pt idx="3">
                  <c:v>2022</c:v>
                </c:pt>
                <c:pt idx="4">
                  <c:v>2023</c:v>
                </c:pt>
                <c:pt idx="5">
                  <c:v>2024</c:v>
                </c:pt>
              </c:strCache>
            </c:strRef>
          </c:cat>
          <c:val>
            <c:numRef>
              <c:f>Sheet1!$B$9:$G$9</c:f>
              <c:numCache>
                <c:formatCode>0.0</c:formatCode>
                <c:ptCount val="6"/>
                <c:pt idx="0">
                  <c:v>11.525610737958818</c:v>
                </c:pt>
                <c:pt idx="1">
                  <c:v>11.349805155454895</c:v>
                </c:pt>
                <c:pt idx="2">
                  <c:v>11.343548417685703</c:v>
                </c:pt>
                <c:pt idx="3">
                  <c:v>10.373136395612249</c:v>
                </c:pt>
                <c:pt idx="4">
                  <c:v>8.2438187964940237</c:v>
                </c:pt>
                <c:pt idx="5">
                  <c:v>7.9740329994046899</c:v>
                </c:pt>
              </c:numCache>
            </c:numRef>
          </c:val>
          <c:extLst>
            <c:ext xmlns:c16="http://schemas.microsoft.com/office/drawing/2014/chart" uri="{C3380CC4-5D6E-409C-BE32-E72D297353CC}">
              <c16:uniqueId val="{00000003-523B-41BE-A515-C1A331E12DE5}"/>
            </c:ext>
          </c:extLst>
        </c:ser>
        <c:ser>
          <c:idx val="2"/>
          <c:order val="2"/>
          <c:tx>
            <c:strRef>
              <c:f>Sheet1!$A$10</c:f>
              <c:strCache>
                <c:ptCount val="1"/>
                <c:pt idx="0">
                  <c:v>Շինարարություն</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Sheet1!$B$7:$G$7</c:f>
              <c:strCache>
                <c:ptCount val="6"/>
                <c:pt idx="0">
                  <c:v>2019 </c:v>
                </c:pt>
                <c:pt idx="1">
                  <c:v>2020 </c:v>
                </c:pt>
                <c:pt idx="2">
                  <c:v>2021 </c:v>
                </c:pt>
                <c:pt idx="3">
                  <c:v>2022</c:v>
                </c:pt>
                <c:pt idx="4">
                  <c:v>2023</c:v>
                </c:pt>
                <c:pt idx="5">
                  <c:v>2024</c:v>
                </c:pt>
              </c:strCache>
            </c:strRef>
          </c:cat>
          <c:val>
            <c:numRef>
              <c:f>Sheet1!$B$10:$G$10</c:f>
              <c:numCache>
                <c:formatCode>0.0</c:formatCode>
                <c:ptCount val="6"/>
                <c:pt idx="0">
                  <c:v>6.3491451696598515</c:v>
                </c:pt>
                <c:pt idx="1">
                  <c:v>6.9083424251944709</c:v>
                </c:pt>
                <c:pt idx="2">
                  <c:v>6.5105158233146376</c:v>
                </c:pt>
                <c:pt idx="3">
                  <c:v>6.8056882864076309</c:v>
                </c:pt>
                <c:pt idx="4">
                  <c:v>7.0195227139007059</c:v>
                </c:pt>
                <c:pt idx="5">
                  <c:v>7.1440536123410743</c:v>
                </c:pt>
              </c:numCache>
            </c:numRef>
          </c:val>
          <c:extLst>
            <c:ext xmlns:c16="http://schemas.microsoft.com/office/drawing/2014/chart" uri="{C3380CC4-5D6E-409C-BE32-E72D297353CC}">
              <c16:uniqueId val="{00000004-523B-41BE-A515-C1A331E12DE5}"/>
            </c:ext>
          </c:extLst>
        </c:ser>
        <c:ser>
          <c:idx val="3"/>
          <c:order val="3"/>
          <c:tx>
            <c:strRef>
              <c:f>Sheet1!$A$11</c:f>
              <c:strCache>
                <c:ptCount val="1"/>
                <c:pt idx="0">
                  <c:v>Ծառայություններ</c:v>
                </c:pt>
              </c:strCache>
            </c:strRef>
          </c:tx>
          <c:spPr>
            <a:solidFill>
              <a:srgbClr val="ED7D31">
                <a:lumMod val="60000"/>
                <a:lumOff val="4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Sheet1!$B$7:$G$7</c:f>
              <c:strCache>
                <c:ptCount val="6"/>
                <c:pt idx="0">
                  <c:v>2019 </c:v>
                </c:pt>
                <c:pt idx="1">
                  <c:v>2020 </c:v>
                </c:pt>
                <c:pt idx="2">
                  <c:v>2021 </c:v>
                </c:pt>
                <c:pt idx="3">
                  <c:v>2022</c:v>
                </c:pt>
                <c:pt idx="4">
                  <c:v>2023</c:v>
                </c:pt>
                <c:pt idx="5">
                  <c:v>2024</c:v>
                </c:pt>
              </c:strCache>
            </c:strRef>
          </c:cat>
          <c:val>
            <c:numRef>
              <c:f>Sheet1!$B$11:$G$11</c:f>
              <c:numCache>
                <c:formatCode>0.0</c:formatCode>
                <c:ptCount val="6"/>
                <c:pt idx="0">
                  <c:v>52.112404130880428</c:v>
                </c:pt>
                <c:pt idx="1">
                  <c:v>50.930889787878556</c:v>
                </c:pt>
                <c:pt idx="2">
                  <c:v>51.317988108832623</c:v>
                </c:pt>
                <c:pt idx="3">
                  <c:v>53.959996520587609</c:v>
                </c:pt>
                <c:pt idx="4">
                  <c:v>56.724905491644762</c:v>
                </c:pt>
                <c:pt idx="5">
                  <c:v>57.195137309264446</c:v>
                </c:pt>
              </c:numCache>
            </c:numRef>
          </c:val>
          <c:extLst>
            <c:ext xmlns:c16="http://schemas.microsoft.com/office/drawing/2014/chart" uri="{C3380CC4-5D6E-409C-BE32-E72D297353CC}">
              <c16:uniqueId val="{00000005-523B-41BE-A515-C1A331E12DE5}"/>
            </c:ext>
          </c:extLst>
        </c:ser>
        <c:ser>
          <c:idx val="4"/>
          <c:order val="4"/>
          <c:tx>
            <c:strRef>
              <c:f>Sheet1!$A$12</c:f>
              <c:strCache>
                <c:ptCount val="1"/>
                <c:pt idx="0">
                  <c:v>Զուտ հարկեր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Sheet1!$B$7:$G$7</c:f>
              <c:strCache>
                <c:ptCount val="6"/>
                <c:pt idx="0">
                  <c:v>2019 </c:v>
                </c:pt>
                <c:pt idx="1">
                  <c:v>2020 </c:v>
                </c:pt>
                <c:pt idx="2">
                  <c:v>2021 </c:v>
                </c:pt>
                <c:pt idx="3">
                  <c:v>2022</c:v>
                </c:pt>
                <c:pt idx="4">
                  <c:v>2023</c:v>
                </c:pt>
                <c:pt idx="5">
                  <c:v>2024</c:v>
                </c:pt>
              </c:strCache>
            </c:strRef>
          </c:cat>
          <c:val>
            <c:numRef>
              <c:f>Sheet1!$B$12:$G$12</c:f>
              <c:numCache>
                <c:formatCode>0.0</c:formatCode>
                <c:ptCount val="6"/>
                <c:pt idx="0">
                  <c:v>11.390376673817267</c:v>
                </c:pt>
                <c:pt idx="1">
                  <c:v>10.902009358736906</c:v>
                </c:pt>
                <c:pt idx="2">
                  <c:v>10.974123062091595</c:v>
                </c:pt>
                <c:pt idx="3">
                  <c:v>10.385206121954351</c:v>
                </c:pt>
                <c:pt idx="4">
                  <c:v>11.225291546986069</c:v>
                </c:pt>
                <c:pt idx="5">
                  <c:v>11.261409125646257</c:v>
                </c:pt>
              </c:numCache>
            </c:numRef>
          </c:val>
          <c:extLst>
            <c:ext xmlns:c16="http://schemas.microsoft.com/office/drawing/2014/chart" uri="{C3380CC4-5D6E-409C-BE32-E72D297353CC}">
              <c16:uniqueId val="{00000006-523B-41BE-A515-C1A331E12DE5}"/>
            </c:ext>
          </c:extLst>
        </c:ser>
        <c:dLbls>
          <c:showLegendKey val="0"/>
          <c:showVal val="0"/>
          <c:showCatName val="0"/>
          <c:showSerName val="0"/>
          <c:showPercent val="0"/>
          <c:showBubbleSize val="0"/>
        </c:dLbls>
        <c:gapWidth val="150"/>
        <c:overlap val="100"/>
        <c:axId val="256719488"/>
        <c:axId val="256721280"/>
      </c:barChart>
      <c:catAx>
        <c:axId val="25671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56721280"/>
        <c:crosses val="autoZero"/>
        <c:auto val="1"/>
        <c:lblAlgn val="ctr"/>
        <c:lblOffset val="100"/>
        <c:noMultiLvlLbl val="0"/>
      </c:catAx>
      <c:valAx>
        <c:axId val="256721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56719488"/>
        <c:crosses val="autoZero"/>
        <c:crossBetween val="between"/>
      </c:valAx>
      <c:spPr>
        <a:noFill/>
        <a:ln>
          <a:noFill/>
        </a:ln>
        <a:effectLst/>
      </c:spPr>
    </c:plotArea>
    <c:legend>
      <c:legendPos val="b"/>
      <c:layout>
        <c:manualLayout>
          <c:xMode val="edge"/>
          <c:yMode val="edge"/>
          <c:x val="0"/>
          <c:y val="0.72863381539899719"/>
          <c:w val="0.97725437445319496"/>
          <c:h val="0.2646637294679577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GHEA Grapalat" panose="02000506050000020003" pitchFamily="50" charset="0"/>
        </a:defRPr>
      </a:pPr>
      <a:endParaRPr lang="en-US"/>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GHEA Grapalat" panose="02000506050000020003" pitchFamily="50" charset="0"/>
                <a:ea typeface="+mn-ea"/>
                <a:cs typeface="+mn-cs"/>
              </a:defRPr>
            </a:pPr>
            <a:r>
              <a:rPr lang="hy-AM" sz="1100"/>
              <a:t>Տնտեսական աճի սցենարներ</a:t>
            </a:r>
            <a:endParaRPr 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GHEA Grapalat" panose="02000506050000020003" pitchFamily="50" charset="0"/>
              <a:ea typeface="+mn-ea"/>
              <a:cs typeface="+mn-cs"/>
            </a:defRPr>
          </a:pPr>
          <a:endParaRPr lang="en-US"/>
        </a:p>
      </c:txPr>
    </c:title>
    <c:autoTitleDeleted val="0"/>
    <c:plotArea>
      <c:layout>
        <c:manualLayout>
          <c:layoutTarget val="inner"/>
          <c:xMode val="edge"/>
          <c:yMode val="edge"/>
          <c:x val="0.10368888132947804"/>
          <c:y val="0.12624811526218796"/>
          <c:w val="0.84972069088568503"/>
          <c:h val="0.57668556058152309"/>
        </c:manualLayout>
      </c:layout>
      <c:lineChart>
        <c:grouping val="standard"/>
        <c:varyColors val="0"/>
        <c:ser>
          <c:idx val="0"/>
          <c:order val="0"/>
          <c:tx>
            <c:strRef>
              <c:f>Sheet1!$B$1</c:f>
              <c:strCache>
                <c:ptCount val="1"/>
                <c:pt idx="0">
                  <c:v>Փաստացի</c:v>
                </c:pt>
              </c:strCache>
            </c:strRef>
          </c:tx>
          <c:spPr>
            <a:ln w="28575" cap="rnd">
              <a:solidFill>
                <a:srgbClr val="4472C4">
                  <a:lumMod val="75000"/>
                </a:srgbClr>
              </a:solidFill>
              <a:round/>
            </a:ln>
            <a:effectLst/>
          </c:spPr>
          <c:marker>
            <c:symbol val="circle"/>
            <c:size val="5"/>
            <c:spPr>
              <a:solidFill>
                <a:srgbClr val="4472C4">
                  <a:lumMod val="75000"/>
                </a:srgbClr>
              </a:solidFill>
              <a:ln w="9525">
                <a:solidFill>
                  <a:srgbClr val="4472C4">
                    <a:lumMod val="75000"/>
                  </a:srgbClr>
                </a:solidFill>
              </a:ln>
              <a:effectLst/>
            </c:spPr>
          </c:marker>
          <c:dLbls>
            <c:dLbl>
              <c:idx val="3"/>
              <c:delete val="1"/>
              <c:extLst>
                <c:ext xmlns:c15="http://schemas.microsoft.com/office/drawing/2012/chart" uri="{CE6537A1-D6FC-4f65-9D91-7224C49458BB}"/>
                <c:ext xmlns:c16="http://schemas.microsoft.com/office/drawing/2014/chart" uri="{C3380CC4-5D6E-409C-BE32-E72D297353CC}">
                  <c16:uniqueId val="{00000000-13AA-4A04-AE48-CF0091BC73E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6"/>
                <c:pt idx="0">
                  <c:v>2019</c:v>
                </c:pt>
                <c:pt idx="1">
                  <c:v>2020</c:v>
                </c:pt>
                <c:pt idx="2">
                  <c:v>2021</c:v>
                </c:pt>
                <c:pt idx="3">
                  <c:v>2022</c:v>
                </c:pt>
                <c:pt idx="4">
                  <c:v>2023</c:v>
                </c:pt>
                <c:pt idx="5">
                  <c:v>2024</c:v>
                </c:pt>
              </c:numCache>
            </c:numRef>
          </c:cat>
          <c:val>
            <c:numRef>
              <c:f>Sheet1!$B$2:$B$9</c:f>
              <c:numCache>
                <c:formatCode>General</c:formatCode>
                <c:ptCount val="6"/>
                <c:pt idx="0">
                  <c:v>7.5999999999999943</c:v>
                </c:pt>
                <c:pt idx="1">
                  <c:v>-7.2000000000000028</c:v>
                </c:pt>
                <c:pt idx="2">
                  <c:v>5.7999999999999972</c:v>
                </c:pt>
                <c:pt idx="3">
                  <c:v>12.599999999999994</c:v>
                </c:pt>
              </c:numCache>
            </c:numRef>
          </c:val>
          <c:smooth val="0"/>
          <c:extLst>
            <c:ext xmlns:c16="http://schemas.microsoft.com/office/drawing/2014/chart" uri="{C3380CC4-5D6E-409C-BE32-E72D297353CC}">
              <c16:uniqueId val="{00000001-13AA-4A04-AE48-CF0091BC73EC}"/>
            </c:ext>
          </c:extLst>
        </c:ser>
        <c:ser>
          <c:idx val="1"/>
          <c:order val="1"/>
          <c:tx>
            <c:strRef>
              <c:f>Sheet1!$C$1</c:f>
              <c:strCache>
                <c:ptCount val="1"/>
                <c:pt idx="0">
                  <c:v>Բազային կանխատեսում</c:v>
                </c:pt>
              </c:strCache>
            </c:strRef>
          </c:tx>
          <c:spPr>
            <a:ln w="28575" cap="rnd">
              <a:solidFill>
                <a:srgbClr val="ED7D31">
                  <a:lumMod val="60000"/>
                  <a:lumOff val="40000"/>
                </a:srgbClr>
              </a:solidFill>
              <a:round/>
            </a:ln>
            <a:effectLst/>
          </c:spPr>
          <c:marker>
            <c:symbol val="circle"/>
            <c:size val="5"/>
            <c:spPr>
              <a:solidFill>
                <a:srgbClr val="ED7D31">
                  <a:lumMod val="60000"/>
                  <a:lumOff val="40000"/>
                </a:srgbClr>
              </a:solidFill>
              <a:ln w="9525">
                <a:solidFill>
                  <a:srgbClr val="ED7D31">
                    <a:lumMod val="60000"/>
                    <a:lumOff val="40000"/>
                  </a:srgbClr>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6"/>
                <c:pt idx="0">
                  <c:v>2019</c:v>
                </c:pt>
                <c:pt idx="1">
                  <c:v>2020</c:v>
                </c:pt>
                <c:pt idx="2">
                  <c:v>2021</c:v>
                </c:pt>
                <c:pt idx="3">
                  <c:v>2022</c:v>
                </c:pt>
                <c:pt idx="4">
                  <c:v>2023</c:v>
                </c:pt>
                <c:pt idx="5">
                  <c:v>2024</c:v>
                </c:pt>
              </c:numCache>
            </c:numRef>
          </c:cat>
          <c:val>
            <c:numRef>
              <c:f>Sheet1!$C$2:$C$9</c:f>
              <c:numCache>
                <c:formatCode>General</c:formatCode>
                <c:ptCount val="6"/>
                <c:pt idx="3" formatCode="0.0">
                  <c:v>12.626699484071111</c:v>
                </c:pt>
                <c:pt idx="4" formatCode="0.0">
                  <c:v>7.4</c:v>
                </c:pt>
                <c:pt idx="5" formatCode="0.0">
                  <c:v>5.6</c:v>
                </c:pt>
              </c:numCache>
            </c:numRef>
          </c:val>
          <c:smooth val="0"/>
          <c:extLst>
            <c:ext xmlns:c16="http://schemas.microsoft.com/office/drawing/2014/chart" uri="{C3380CC4-5D6E-409C-BE32-E72D297353CC}">
              <c16:uniqueId val="{00000002-13AA-4A04-AE48-CF0091BC73EC}"/>
            </c:ext>
          </c:extLst>
        </c:ser>
        <c:ser>
          <c:idx val="2"/>
          <c:order val="2"/>
          <c:tx>
            <c:strRef>
              <c:f>Sheet1!$D$1</c:f>
              <c:strCache>
                <c:ptCount val="1"/>
                <c:pt idx="0">
                  <c:v>Թիրախային կանխատեսում</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3"/>
              <c:delete val="1"/>
              <c:extLst>
                <c:ext xmlns:c15="http://schemas.microsoft.com/office/drawing/2012/chart" uri="{CE6537A1-D6FC-4f65-9D91-7224C49458BB}"/>
                <c:ext xmlns:c16="http://schemas.microsoft.com/office/drawing/2014/chart" uri="{C3380CC4-5D6E-409C-BE32-E72D297353CC}">
                  <c16:uniqueId val="{00000003-13AA-4A04-AE48-CF0091BC73E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6"/>
                <c:pt idx="0">
                  <c:v>2019</c:v>
                </c:pt>
                <c:pt idx="1">
                  <c:v>2020</c:v>
                </c:pt>
                <c:pt idx="2">
                  <c:v>2021</c:v>
                </c:pt>
                <c:pt idx="3">
                  <c:v>2022</c:v>
                </c:pt>
                <c:pt idx="4">
                  <c:v>2023</c:v>
                </c:pt>
                <c:pt idx="5">
                  <c:v>2024</c:v>
                </c:pt>
              </c:numCache>
            </c:numRef>
          </c:cat>
          <c:val>
            <c:numRef>
              <c:f>Sheet1!$D$2:$D$9</c:f>
              <c:numCache>
                <c:formatCode>General</c:formatCode>
                <c:ptCount val="6"/>
                <c:pt idx="3" formatCode="0.0">
                  <c:v>12.6</c:v>
                </c:pt>
                <c:pt idx="4" formatCode="0.0">
                  <c:v>7.4</c:v>
                </c:pt>
                <c:pt idx="5" formatCode="0.0">
                  <c:v>7</c:v>
                </c:pt>
              </c:numCache>
            </c:numRef>
          </c:val>
          <c:smooth val="0"/>
          <c:extLst>
            <c:ext xmlns:c16="http://schemas.microsoft.com/office/drawing/2014/chart" uri="{C3380CC4-5D6E-409C-BE32-E72D297353CC}">
              <c16:uniqueId val="{00000004-13AA-4A04-AE48-CF0091BC73EC}"/>
            </c:ext>
          </c:extLst>
        </c:ser>
        <c:dLbls>
          <c:dLblPos val="t"/>
          <c:showLegendKey val="0"/>
          <c:showVal val="1"/>
          <c:showCatName val="0"/>
          <c:showSerName val="0"/>
          <c:showPercent val="0"/>
          <c:showBubbleSize val="0"/>
        </c:dLbls>
        <c:marker val="1"/>
        <c:smooth val="0"/>
        <c:axId val="225356416"/>
        <c:axId val="225255808"/>
      </c:lineChart>
      <c:catAx>
        <c:axId val="22535641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5255808"/>
        <c:crosses val="autoZero"/>
        <c:auto val="1"/>
        <c:lblAlgn val="ctr"/>
        <c:lblOffset val="100"/>
        <c:noMultiLvlLbl val="0"/>
      </c:catAx>
      <c:valAx>
        <c:axId val="22525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25356416"/>
        <c:crosses val="autoZero"/>
        <c:crossBetween val="between"/>
      </c:valAx>
      <c:spPr>
        <a:noFill/>
        <a:ln>
          <a:noFill/>
        </a:ln>
        <a:effectLst/>
      </c:spPr>
    </c:plotArea>
    <c:legend>
      <c:legendPos val="b"/>
      <c:layout>
        <c:manualLayout>
          <c:xMode val="edge"/>
          <c:yMode val="edge"/>
          <c:x val="7.348414357989246E-3"/>
          <c:y val="0.80401193201913579"/>
          <c:w val="0.95989021067411051"/>
          <c:h val="0.19598806798086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GHEA Grapalat" panose="02000506050000020003" pitchFamily="50" charset="0"/>
                <a:ea typeface="+mn-ea"/>
                <a:cs typeface="+mn-cs"/>
              </a:defRPr>
            </a:pPr>
            <a:r>
              <a:rPr lang="hy-AM" sz="1100"/>
              <a:t>Տեսակարար կշիռը ՀՆԱ-ում, </a:t>
            </a:r>
            <a:r>
              <a:rPr lang="en-US" sz="1100"/>
              <a:t>%</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GHEA Grapalat" panose="02000506050000020003" pitchFamily="50" charset="0"/>
              <a:ea typeface="+mn-ea"/>
              <a:cs typeface="+mn-cs"/>
            </a:defRPr>
          </a:pPr>
          <a:endParaRPr lang="en-US"/>
        </a:p>
      </c:txPr>
    </c:title>
    <c:autoTitleDeleted val="0"/>
    <c:plotArea>
      <c:layout>
        <c:manualLayout>
          <c:layoutTarget val="inner"/>
          <c:xMode val="edge"/>
          <c:yMode val="edge"/>
          <c:x val="0.13182808019191897"/>
          <c:y val="0.13953900709219855"/>
          <c:w val="0.8226985837187879"/>
          <c:h val="0.5373904059864858"/>
        </c:manualLayout>
      </c:layout>
      <c:lineChart>
        <c:grouping val="standard"/>
        <c:varyColors val="0"/>
        <c:ser>
          <c:idx val="0"/>
          <c:order val="0"/>
          <c:tx>
            <c:strRef>
              <c:f>Sheet1!$B$1</c:f>
              <c:strCache>
                <c:ptCount val="1"/>
                <c:pt idx="0">
                  <c:v>Հիմնական միջոցներում կապիտալ ներդրումներ</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74725274725276E-3"/>
                  <c:y val="2.1774632553075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C2-4F78-90EC-28B2FD2B1F58}"/>
                </c:ext>
              </c:extLst>
            </c:dLbl>
            <c:dLbl>
              <c:idx val="1"/>
              <c:layout>
                <c:manualLayout>
                  <c:x val="-5.4945054945055201E-3"/>
                  <c:y val="1.633097441480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C2-4F78-90EC-28B2FD2B1F58}"/>
                </c:ext>
              </c:extLst>
            </c:dLbl>
            <c:dLbl>
              <c:idx val="2"/>
              <c:layout>
                <c:manualLayout>
                  <c:x val="-5.4945054945055452E-3"/>
                  <c:y val="2.1774632553075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C2-4F78-90EC-28B2FD2B1F58}"/>
                </c:ext>
              </c:extLst>
            </c:dLbl>
            <c:dLbl>
              <c:idx val="3"/>
              <c:layout>
                <c:manualLayout>
                  <c:x val="-2.7472527472527475E-3"/>
                  <c:y val="1.633097441480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C2-4F78-90EC-28B2FD2B1F58}"/>
                </c:ext>
              </c:extLst>
            </c:dLbl>
            <c:dLbl>
              <c:idx val="4"/>
              <c:layout>
                <c:manualLayout>
                  <c:x val="-2.7472527472527475E-3"/>
                  <c:y val="2.17746325530756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C2-4F78-90EC-28B2FD2B1F58}"/>
                </c:ext>
              </c:extLst>
            </c:dLbl>
            <c:dLbl>
              <c:idx val="5"/>
              <c:layout>
                <c:manualLayout>
                  <c:x val="-2.7472527472528481E-3"/>
                  <c:y val="2.72182906913445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C2-4F78-90EC-28B2FD2B1F58}"/>
                </c:ext>
              </c:extLst>
            </c:dLbl>
            <c:dLbl>
              <c:idx val="6"/>
              <c:layout>
                <c:manualLayout>
                  <c:x val="-1.0073143707444389E-16"/>
                  <c:y val="1.6330974414806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C2-4F78-90EC-28B2FD2B1F58}"/>
                </c:ext>
              </c:extLst>
            </c:dLbl>
            <c:dLbl>
              <c:idx val="7"/>
              <c:layout>
                <c:manualLayout>
                  <c:x val="-2.7472527472528481E-3"/>
                  <c:y val="2.1774632553075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C2-4F78-90EC-28B2FD2B1F5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2019</c:v>
                </c:pt>
                <c:pt idx="1">
                  <c:v>2020</c:v>
                </c:pt>
                <c:pt idx="2">
                  <c:v>2021</c:v>
                </c:pt>
                <c:pt idx="3">
                  <c:v>2022</c:v>
                </c:pt>
                <c:pt idx="4">
                  <c:v>2023</c:v>
                </c:pt>
                <c:pt idx="5">
                  <c:v>2024</c:v>
                </c:pt>
              </c:numCache>
            </c:numRef>
          </c:cat>
          <c:val>
            <c:numRef>
              <c:f>Sheet1!$B$2:$B$7</c:f>
              <c:numCache>
                <c:formatCode>0.0</c:formatCode>
                <c:ptCount val="6"/>
                <c:pt idx="0">
                  <c:v>15.815598431976859</c:v>
                </c:pt>
                <c:pt idx="1">
                  <c:v>17.77392125201067</c:v>
                </c:pt>
                <c:pt idx="2">
                  <c:v>21.203941864399638</c:v>
                </c:pt>
                <c:pt idx="3">
                  <c:v>20.265859806852617</c:v>
                </c:pt>
                <c:pt idx="4">
                  <c:v>21.893836238313177</c:v>
                </c:pt>
                <c:pt idx="5">
                  <c:v>22.868098280256682</c:v>
                </c:pt>
              </c:numCache>
            </c:numRef>
          </c:val>
          <c:smooth val="0"/>
          <c:extLst>
            <c:ext xmlns:c16="http://schemas.microsoft.com/office/drawing/2014/chart" uri="{C3380CC4-5D6E-409C-BE32-E72D297353CC}">
              <c16:uniqueId val="{00000008-F8C2-4F78-90EC-28B2FD2B1F58}"/>
            </c:ext>
          </c:extLst>
        </c:ser>
        <c:ser>
          <c:idx val="1"/>
          <c:order val="1"/>
          <c:tx>
            <c:strRef>
              <c:f>Sheet1!$C$1</c:f>
              <c:strCache>
                <c:ptCount val="1"/>
                <c:pt idx="0">
                  <c:v>Ապրանքների և ծառայությունների արտահանում</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5182859268610973E-17"/>
                  <c:y val="2.1774632553075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C2-4F78-90EC-28B2FD2B1F58}"/>
                </c:ext>
              </c:extLst>
            </c:dLbl>
            <c:dLbl>
              <c:idx val="1"/>
              <c:layout>
                <c:manualLayout>
                  <c:x val="0"/>
                  <c:y val="1.633097441480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C2-4F78-90EC-28B2FD2B1F58}"/>
                </c:ext>
              </c:extLst>
            </c:dLbl>
            <c:dLbl>
              <c:idx val="2"/>
              <c:layout>
                <c:manualLayout>
                  <c:x val="-2.7472527472527475E-3"/>
                  <c:y val="1.08873162765378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C2-4F78-90EC-28B2FD2B1F58}"/>
                </c:ext>
              </c:extLst>
            </c:dLbl>
            <c:dLbl>
              <c:idx val="3"/>
              <c:layout>
                <c:manualLayout>
                  <c:x val="-1.0073143707444389E-16"/>
                  <c:y val="2.1774632553075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C2-4F78-90EC-28B2FD2B1F58}"/>
                </c:ext>
              </c:extLst>
            </c:dLbl>
            <c:dLbl>
              <c:idx val="4"/>
              <c:layout>
                <c:manualLayout>
                  <c:x val="0"/>
                  <c:y val="1.63309744148067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C2-4F78-90EC-28B2FD2B1F58}"/>
                </c:ext>
              </c:extLst>
            </c:dLbl>
            <c:dLbl>
              <c:idx val="5"/>
              <c:layout>
                <c:manualLayout>
                  <c:x val="0"/>
                  <c:y val="1.08873162765378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C2-4F78-90EC-28B2FD2B1F58}"/>
                </c:ext>
              </c:extLst>
            </c:dLbl>
            <c:dLbl>
              <c:idx val="6"/>
              <c:layout>
                <c:manualLayout>
                  <c:x val="0"/>
                  <c:y val="1.633097441480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C2-4F78-90EC-28B2FD2B1F58}"/>
                </c:ext>
              </c:extLst>
            </c:dLbl>
            <c:dLbl>
              <c:idx val="7"/>
              <c:layout>
                <c:manualLayout>
                  <c:x val="-2.7472527472528481E-3"/>
                  <c:y val="2.1774632553075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C2-4F78-90EC-28B2FD2B1F5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2019</c:v>
                </c:pt>
                <c:pt idx="1">
                  <c:v>2020</c:v>
                </c:pt>
                <c:pt idx="2">
                  <c:v>2021</c:v>
                </c:pt>
                <c:pt idx="3">
                  <c:v>2022</c:v>
                </c:pt>
                <c:pt idx="4">
                  <c:v>2023</c:v>
                </c:pt>
                <c:pt idx="5">
                  <c:v>2024</c:v>
                </c:pt>
              </c:numCache>
            </c:numRef>
          </c:cat>
          <c:val>
            <c:numRef>
              <c:f>Sheet1!$C$2:$C$7</c:f>
              <c:numCache>
                <c:formatCode>0.0</c:formatCode>
                <c:ptCount val="6"/>
                <c:pt idx="0">
                  <c:v>41.35080136208493</c:v>
                </c:pt>
                <c:pt idx="1">
                  <c:v>29.764986915193397</c:v>
                </c:pt>
                <c:pt idx="2">
                  <c:v>35.906439990126685</c:v>
                </c:pt>
                <c:pt idx="3">
                  <c:v>50.013647695145139</c:v>
                </c:pt>
                <c:pt idx="4">
                  <c:v>53.433856797049117</c:v>
                </c:pt>
                <c:pt idx="5">
                  <c:v>54.805375041924599</c:v>
                </c:pt>
              </c:numCache>
            </c:numRef>
          </c:val>
          <c:smooth val="0"/>
          <c:extLst>
            <c:ext xmlns:c16="http://schemas.microsoft.com/office/drawing/2014/chart" uri="{C3380CC4-5D6E-409C-BE32-E72D297353CC}">
              <c16:uniqueId val="{00000011-F8C2-4F78-90EC-28B2FD2B1F58}"/>
            </c:ext>
          </c:extLst>
        </c:ser>
        <c:dLbls>
          <c:showLegendKey val="0"/>
          <c:showVal val="0"/>
          <c:showCatName val="0"/>
          <c:showSerName val="0"/>
          <c:showPercent val="0"/>
          <c:showBubbleSize val="0"/>
        </c:dLbls>
        <c:marker val="1"/>
        <c:smooth val="0"/>
        <c:axId val="622927792"/>
        <c:axId val="622928120"/>
      </c:lineChart>
      <c:catAx>
        <c:axId val="62292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22928120"/>
        <c:crosses val="autoZero"/>
        <c:auto val="1"/>
        <c:lblAlgn val="ctr"/>
        <c:lblOffset val="100"/>
        <c:noMultiLvlLbl val="0"/>
      </c:catAx>
      <c:valAx>
        <c:axId val="6229281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22927792"/>
        <c:crosses val="autoZero"/>
        <c:crossBetween val="between"/>
      </c:valAx>
      <c:spPr>
        <a:noFill/>
        <a:ln>
          <a:noFill/>
        </a:ln>
        <a:effectLst/>
      </c:spPr>
    </c:plotArea>
    <c:legend>
      <c:legendPos val="b"/>
      <c:layout>
        <c:manualLayout>
          <c:xMode val="edge"/>
          <c:yMode val="edge"/>
          <c:x val="2.7813601637951518E-2"/>
          <c:y val="0.80367128311088765"/>
          <c:w val="0.97218639836204845"/>
          <c:h val="0.1763276930809180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53434608552719"/>
          <c:y val="8.6783342365605115E-2"/>
          <c:w val="0.79438558816511551"/>
          <c:h val="0.57478912301954166"/>
        </c:manualLayout>
      </c:layout>
      <c:barChart>
        <c:barDir val="col"/>
        <c:grouping val="clustered"/>
        <c:varyColors val="0"/>
        <c:ser>
          <c:idx val="0"/>
          <c:order val="0"/>
          <c:tx>
            <c:strRef>
              <c:f>Лист1!$B$1</c:f>
              <c:strCache>
                <c:ptCount val="1"/>
                <c:pt idx="0">
                  <c:v>Գործազուրկներ, հազ. մարդ</c:v>
                </c:pt>
              </c:strCache>
            </c:strRef>
          </c:tx>
          <c:spPr>
            <a:solidFill>
              <a:srgbClr val="ED7D31">
                <a:lumMod val="60000"/>
                <a:lumOff val="40000"/>
              </a:srgbClr>
            </a:solidFill>
            <a:ln>
              <a:noFill/>
            </a:ln>
            <a:effectLst/>
          </c:spPr>
          <c:invertIfNegative val="0"/>
          <c:cat>
            <c:strRef>
              <c:f>Лист1!$A$2:$A$6</c:f>
              <c:strCache>
                <c:ptCount val="5"/>
                <c:pt idx="0">
                  <c:v>2022-I</c:v>
                </c:pt>
                <c:pt idx="1">
                  <c:v>2022-II</c:v>
                </c:pt>
                <c:pt idx="2">
                  <c:v>2022-III</c:v>
                </c:pt>
                <c:pt idx="3">
                  <c:v>2022-IV</c:v>
                </c:pt>
                <c:pt idx="4">
                  <c:v>2023-I</c:v>
                </c:pt>
              </c:strCache>
            </c:strRef>
          </c:cat>
          <c:val>
            <c:numRef>
              <c:f>Лист1!$B$2:$B$6</c:f>
              <c:numCache>
                <c:formatCode>0.0</c:formatCode>
                <c:ptCount val="5"/>
                <c:pt idx="0">
                  <c:v>186.4</c:v>
                </c:pt>
                <c:pt idx="1">
                  <c:v>170</c:v>
                </c:pt>
                <c:pt idx="2">
                  <c:v>158</c:v>
                </c:pt>
                <c:pt idx="3">
                  <c:v>165.8</c:v>
                </c:pt>
                <c:pt idx="4">
                  <c:v>179.6</c:v>
                </c:pt>
              </c:numCache>
            </c:numRef>
          </c:val>
          <c:extLst>
            <c:ext xmlns:c16="http://schemas.microsoft.com/office/drawing/2014/chart" uri="{C3380CC4-5D6E-409C-BE32-E72D297353CC}">
              <c16:uniqueId val="{00000000-A89A-4B1A-80F8-FD9A2BD42416}"/>
            </c:ext>
          </c:extLst>
        </c:ser>
        <c:ser>
          <c:idx val="1"/>
          <c:order val="1"/>
          <c:tx>
            <c:strRef>
              <c:f>Лист1!$C$1</c:f>
              <c:strCache>
                <c:ptCount val="1"/>
                <c:pt idx="0">
                  <c:v>Զբաղվածներ, հազ. մարդ</c:v>
                </c:pt>
              </c:strCache>
            </c:strRef>
          </c:tx>
          <c:spPr>
            <a:solidFill>
              <a:sysClr val="window" lastClr="FFFFFF">
                <a:lumMod val="65000"/>
              </a:sysClr>
            </a:solidFill>
            <a:ln>
              <a:noFill/>
            </a:ln>
            <a:effectLst/>
          </c:spPr>
          <c:invertIfNegative val="0"/>
          <c:cat>
            <c:strRef>
              <c:f>Лист1!$A$2:$A$6</c:f>
              <c:strCache>
                <c:ptCount val="5"/>
                <c:pt idx="0">
                  <c:v>2022-I</c:v>
                </c:pt>
                <c:pt idx="1">
                  <c:v>2022-II</c:v>
                </c:pt>
                <c:pt idx="2">
                  <c:v>2022-III</c:v>
                </c:pt>
                <c:pt idx="3">
                  <c:v>2022-IV</c:v>
                </c:pt>
                <c:pt idx="4">
                  <c:v>2023-I</c:v>
                </c:pt>
              </c:strCache>
            </c:strRef>
          </c:cat>
          <c:val>
            <c:numRef>
              <c:f>Лист1!$C$2:$C$6</c:f>
              <c:numCache>
                <c:formatCode>General</c:formatCode>
                <c:ptCount val="5"/>
                <c:pt idx="0">
                  <c:v>1070.5</c:v>
                </c:pt>
                <c:pt idx="1">
                  <c:v>1142.4000000000001</c:v>
                </c:pt>
                <c:pt idx="2">
                  <c:v>1202.4000000000001</c:v>
                </c:pt>
                <c:pt idx="3">
                  <c:v>1141.2</c:v>
                </c:pt>
                <c:pt idx="4">
                  <c:v>1129.7</c:v>
                </c:pt>
              </c:numCache>
            </c:numRef>
          </c:val>
          <c:extLst>
            <c:ext xmlns:c16="http://schemas.microsoft.com/office/drawing/2014/chart" uri="{C3380CC4-5D6E-409C-BE32-E72D297353CC}">
              <c16:uniqueId val="{00000001-A89A-4B1A-80F8-FD9A2BD42416}"/>
            </c:ext>
          </c:extLst>
        </c:ser>
        <c:ser>
          <c:idx val="2"/>
          <c:order val="2"/>
          <c:tx>
            <c:strRef>
              <c:f>Лист1!$D$1</c:f>
              <c:strCache>
                <c:ptCount val="1"/>
                <c:pt idx="0">
                  <c:v>Վարձու աշխատողներ, հազ. մարդ</c:v>
                </c:pt>
              </c:strCache>
            </c:strRef>
          </c:tx>
          <c:spPr>
            <a:solidFill>
              <a:srgbClr val="4472C4">
                <a:lumMod val="75000"/>
              </a:srgbClr>
            </a:solidFill>
            <a:ln w="28575" cap="rnd">
              <a:noFill/>
              <a:round/>
            </a:ln>
            <a:effectLst/>
          </c:spPr>
          <c:invertIfNegative val="0"/>
          <c:dPt>
            <c:idx val="0"/>
            <c:invertIfNegative val="0"/>
            <c:bubble3D val="0"/>
            <c:extLst>
              <c:ext xmlns:c16="http://schemas.microsoft.com/office/drawing/2014/chart" uri="{C3380CC4-5D6E-409C-BE32-E72D297353CC}">
                <c16:uniqueId val="{00000002-A89A-4B1A-80F8-FD9A2BD42416}"/>
              </c:ext>
            </c:extLst>
          </c:dPt>
          <c:dPt>
            <c:idx val="1"/>
            <c:invertIfNegative val="0"/>
            <c:bubble3D val="0"/>
            <c:extLst>
              <c:ext xmlns:c16="http://schemas.microsoft.com/office/drawing/2014/chart" uri="{C3380CC4-5D6E-409C-BE32-E72D297353CC}">
                <c16:uniqueId val="{00000003-A89A-4B1A-80F8-FD9A2BD42416}"/>
              </c:ext>
            </c:extLst>
          </c:dPt>
          <c:dPt>
            <c:idx val="2"/>
            <c:invertIfNegative val="0"/>
            <c:bubble3D val="0"/>
            <c:extLst>
              <c:ext xmlns:c16="http://schemas.microsoft.com/office/drawing/2014/chart" uri="{C3380CC4-5D6E-409C-BE32-E72D297353CC}">
                <c16:uniqueId val="{00000004-A89A-4B1A-80F8-FD9A2BD42416}"/>
              </c:ext>
            </c:extLst>
          </c:dPt>
          <c:cat>
            <c:strRef>
              <c:f>Лист1!$A$2:$A$6</c:f>
              <c:strCache>
                <c:ptCount val="5"/>
                <c:pt idx="0">
                  <c:v>2022-I</c:v>
                </c:pt>
                <c:pt idx="1">
                  <c:v>2022-II</c:v>
                </c:pt>
                <c:pt idx="2">
                  <c:v>2022-III</c:v>
                </c:pt>
                <c:pt idx="3">
                  <c:v>2022-IV</c:v>
                </c:pt>
                <c:pt idx="4">
                  <c:v>2023-I</c:v>
                </c:pt>
              </c:strCache>
            </c:strRef>
          </c:cat>
          <c:val>
            <c:numRef>
              <c:f>Лист1!$D$2:$D$6</c:f>
              <c:numCache>
                <c:formatCode>0.0</c:formatCode>
                <c:ptCount val="5"/>
                <c:pt idx="0">
                  <c:v>659.03700000000003</c:v>
                </c:pt>
                <c:pt idx="1">
                  <c:v>671.90499999999997</c:v>
                </c:pt>
                <c:pt idx="2">
                  <c:v>677.56200000000001</c:v>
                </c:pt>
                <c:pt idx="3">
                  <c:v>684.78300000000002</c:v>
                </c:pt>
                <c:pt idx="4">
                  <c:v>699.23900000000003</c:v>
                </c:pt>
              </c:numCache>
            </c:numRef>
          </c:val>
          <c:extLst>
            <c:ext xmlns:c16="http://schemas.microsoft.com/office/drawing/2014/chart" uri="{C3380CC4-5D6E-409C-BE32-E72D297353CC}">
              <c16:uniqueId val="{00000005-A89A-4B1A-80F8-FD9A2BD42416}"/>
            </c:ext>
          </c:extLst>
        </c:ser>
        <c:dLbls>
          <c:showLegendKey val="0"/>
          <c:showVal val="0"/>
          <c:showCatName val="0"/>
          <c:showSerName val="0"/>
          <c:showPercent val="0"/>
          <c:showBubbleSize val="0"/>
        </c:dLbls>
        <c:gapWidth val="150"/>
        <c:axId val="345051520"/>
        <c:axId val="345053056"/>
      </c:barChart>
      <c:lineChart>
        <c:grouping val="standard"/>
        <c:varyColors val="0"/>
        <c:ser>
          <c:idx val="3"/>
          <c:order val="3"/>
          <c:tx>
            <c:strRef>
              <c:f>Лист1!$E$1</c:f>
              <c:strCache>
                <c:ptCount val="1"/>
                <c:pt idx="0">
                  <c:v>Գործազրկության մակարդակ, %, աջ առանցք</c:v>
                </c:pt>
              </c:strCache>
            </c:strRef>
          </c:tx>
          <c:spPr>
            <a:ln>
              <a:solidFill>
                <a:srgbClr val="4472C4">
                  <a:lumMod val="50000"/>
                </a:srgbClr>
              </a:solidFill>
            </a:ln>
          </c:spPr>
          <c:marker>
            <c:symbol val="none"/>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2022-I</c:v>
                </c:pt>
                <c:pt idx="1">
                  <c:v>2022-II</c:v>
                </c:pt>
                <c:pt idx="2">
                  <c:v>2022-III</c:v>
                </c:pt>
                <c:pt idx="3">
                  <c:v>2022-IV</c:v>
                </c:pt>
                <c:pt idx="4">
                  <c:v>2023-I</c:v>
                </c:pt>
              </c:strCache>
            </c:strRef>
          </c:cat>
          <c:val>
            <c:numRef>
              <c:f>Лист1!$E$2:$E$6</c:f>
              <c:numCache>
                <c:formatCode>0.0</c:formatCode>
                <c:ptCount val="5"/>
                <c:pt idx="0">
                  <c:v>14.830137640225951</c:v>
                </c:pt>
                <c:pt idx="1">
                  <c:v>12.953367875647666</c:v>
                </c:pt>
                <c:pt idx="2">
                  <c:v>11.614231108497499</c:v>
                </c:pt>
                <c:pt idx="3">
                  <c:v>12.685539403213467</c:v>
                </c:pt>
                <c:pt idx="4">
                  <c:v>13.71725349423356</c:v>
                </c:pt>
              </c:numCache>
            </c:numRef>
          </c:val>
          <c:smooth val="0"/>
          <c:extLst>
            <c:ext xmlns:c16="http://schemas.microsoft.com/office/drawing/2014/chart" uri="{C3380CC4-5D6E-409C-BE32-E72D297353CC}">
              <c16:uniqueId val="{00000006-A89A-4B1A-80F8-FD9A2BD42416}"/>
            </c:ext>
          </c:extLst>
        </c:ser>
        <c:dLbls>
          <c:showLegendKey val="0"/>
          <c:showVal val="0"/>
          <c:showCatName val="0"/>
          <c:showSerName val="0"/>
          <c:showPercent val="0"/>
          <c:showBubbleSize val="0"/>
        </c:dLbls>
        <c:marker val="1"/>
        <c:smooth val="0"/>
        <c:axId val="345056384"/>
        <c:axId val="345054592"/>
      </c:lineChart>
      <c:catAx>
        <c:axId val="34505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5053056"/>
        <c:crosses val="autoZero"/>
        <c:auto val="1"/>
        <c:lblAlgn val="ctr"/>
        <c:lblOffset val="100"/>
        <c:noMultiLvlLbl val="0"/>
      </c:catAx>
      <c:valAx>
        <c:axId val="345053056"/>
        <c:scaling>
          <c:orientation val="minMax"/>
          <c:max val="1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5051520"/>
        <c:crosses val="autoZero"/>
        <c:crossBetween val="between"/>
        <c:majorUnit val="200"/>
      </c:valAx>
      <c:valAx>
        <c:axId val="345054592"/>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5056384"/>
        <c:crosses val="max"/>
        <c:crossBetween val="between"/>
      </c:valAx>
      <c:catAx>
        <c:axId val="345056384"/>
        <c:scaling>
          <c:orientation val="minMax"/>
        </c:scaling>
        <c:delete val="1"/>
        <c:axPos val="b"/>
        <c:numFmt formatCode="General" sourceLinked="1"/>
        <c:majorTickMark val="none"/>
        <c:minorTickMark val="none"/>
        <c:tickLblPos val="none"/>
        <c:crossAx val="345054592"/>
        <c:crosses val="autoZero"/>
        <c:auto val="1"/>
        <c:lblAlgn val="ctr"/>
        <c:lblOffset val="100"/>
        <c:noMultiLvlLbl val="0"/>
      </c:catAx>
      <c:spPr>
        <a:noFill/>
        <a:ln>
          <a:noFill/>
        </a:ln>
        <a:effectLst/>
      </c:spPr>
    </c:plotArea>
    <c:legend>
      <c:legendPos val="b"/>
      <c:legendEntry>
        <c:idx val="2"/>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4.5954204155937317E-2"/>
          <c:y val="0.74246804169721703"/>
          <c:w val="0.89591749033089796"/>
          <c:h val="0.2575319583027829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a:p>
            <a:pPr>
              <a:defRPr sz="1400" b="0" i="0" u="none" strike="noStrike" kern="1200" spc="0" baseline="0">
                <a:solidFill>
                  <a:schemeClr val="tx1">
                    <a:lumMod val="65000"/>
                    <a:lumOff val="35000"/>
                  </a:schemeClr>
                </a:solidFill>
                <a:latin typeface="+mn-lt"/>
                <a:ea typeface="+mn-ea"/>
                <a:cs typeface="+mn-cs"/>
              </a:defRPr>
            </a:pPr>
            <a:endParaRPr lang="ru-RU"/>
          </a:p>
        </c:rich>
      </c:tx>
      <c:layout>
        <c:manualLayout>
          <c:xMode val="edge"/>
          <c:yMode val="edge"/>
          <c:x val="9.3106574844288706E-2"/>
          <c:y val="0"/>
        </c:manualLayout>
      </c:layout>
      <c:overlay val="0"/>
      <c:spPr>
        <a:noFill/>
        <a:ln>
          <a:noFill/>
        </a:ln>
        <a:effectLst/>
      </c:spPr>
    </c:title>
    <c:autoTitleDeleted val="0"/>
    <c:plotArea>
      <c:layout>
        <c:manualLayout>
          <c:layoutTarget val="inner"/>
          <c:xMode val="edge"/>
          <c:yMode val="edge"/>
          <c:x val="0.11873917014291722"/>
          <c:y val="7.0087221630047492E-2"/>
          <c:w val="0.80804307316570445"/>
          <c:h val="0.61867847769029127"/>
        </c:manualLayout>
      </c:layout>
      <c:barChart>
        <c:barDir val="col"/>
        <c:grouping val="clustered"/>
        <c:varyColors val="0"/>
        <c:ser>
          <c:idx val="0"/>
          <c:order val="0"/>
          <c:tx>
            <c:strRef>
              <c:f>Лист1!$B$1</c:f>
              <c:strCache>
                <c:ptCount val="1"/>
                <c:pt idx="0">
                  <c:v>Աշխատուժի մասնակցության մակարդակ, %</c:v>
                </c:pt>
              </c:strCache>
            </c:strRef>
          </c:tx>
          <c:spPr>
            <a:solidFill>
              <a:srgbClr val="4472C4">
                <a:lumMod val="75000"/>
              </a:srgbClr>
            </a:solidFill>
            <a:ln>
              <a:noFill/>
            </a:ln>
            <a:effectLst/>
          </c:spPr>
          <c:invertIfNegative val="0"/>
          <c:cat>
            <c:strRef>
              <c:f>Лист1!$A$2:$A$6</c:f>
              <c:strCache>
                <c:ptCount val="5"/>
                <c:pt idx="0">
                  <c:v>2022-I</c:v>
                </c:pt>
                <c:pt idx="1">
                  <c:v>2022-II</c:v>
                </c:pt>
                <c:pt idx="2">
                  <c:v>2022-III</c:v>
                </c:pt>
                <c:pt idx="3">
                  <c:v>2022-IV</c:v>
                </c:pt>
                <c:pt idx="4">
                  <c:v>2023-I</c:v>
                </c:pt>
              </c:strCache>
            </c:strRef>
          </c:cat>
          <c:val>
            <c:numRef>
              <c:f>Лист1!$B$2:$B$6</c:f>
              <c:numCache>
                <c:formatCode>0.0</c:formatCode>
                <c:ptCount val="5"/>
                <c:pt idx="0">
                  <c:v>56.8</c:v>
                </c:pt>
                <c:pt idx="1">
                  <c:v>58.8</c:v>
                </c:pt>
                <c:pt idx="2">
                  <c:v>60.9</c:v>
                </c:pt>
                <c:pt idx="3">
                  <c:v>58.5</c:v>
                </c:pt>
                <c:pt idx="4">
                  <c:v>59</c:v>
                </c:pt>
              </c:numCache>
            </c:numRef>
          </c:val>
          <c:extLst>
            <c:ext xmlns:c16="http://schemas.microsoft.com/office/drawing/2014/chart" uri="{C3380CC4-5D6E-409C-BE32-E72D297353CC}">
              <c16:uniqueId val="{00000000-B38F-489F-B407-6B5E788DA72B}"/>
            </c:ext>
          </c:extLst>
        </c:ser>
        <c:dLbls>
          <c:showLegendKey val="0"/>
          <c:showVal val="0"/>
          <c:showCatName val="0"/>
          <c:showSerName val="0"/>
          <c:showPercent val="0"/>
          <c:showBubbleSize val="0"/>
        </c:dLbls>
        <c:gapWidth val="219"/>
        <c:overlap val="-27"/>
        <c:axId val="345270528"/>
        <c:axId val="345272320"/>
      </c:barChart>
      <c:lineChart>
        <c:grouping val="standard"/>
        <c:varyColors val="0"/>
        <c:ser>
          <c:idx val="1"/>
          <c:order val="1"/>
          <c:tx>
            <c:strRef>
              <c:f>Лист1!$C$1</c:f>
              <c:strCache>
                <c:ptCount val="1"/>
                <c:pt idx="0">
                  <c:v>Իրական աշխատավարձի փոփոխություն, % (աջ առանցք)</c:v>
                </c:pt>
              </c:strCache>
            </c:strRef>
          </c:tx>
          <c:spPr>
            <a:ln w="28575" cap="rnd">
              <a:solidFill>
                <a:srgbClr val="ED7D31">
                  <a:lumMod val="60000"/>
                  <a:lumOff val="40000"/>
                </a:srgbClr>
              </a:solidFill>
              <a:round/>
            </a:ln>
            <a:effectLst/>
          </c:spPr>
          <c:marker>
            <c:symbol val="none"/>
          </c:marker>
          <c:dLbls>
            <c:dLbl>
              <c:idx val="1"/>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6="http://schemas.microsoft.com/office/drawing/2014/chart" uri="{C3380CC4-5D6E-409C-BE32-E72D297353CC}">
                  <c16:uniqueId val="{00000001-B38F-489F-B407-6B5E788DA72B}"/>
                </c:ext>
              </c:extLst>
            </c:dLbl>
            <c:spPr>
              <a:noFill/>
              <a:ln>
                <a:noFill/>
              </a:ln>
              <a:effectLst/>
            </c:spPr>
            <c:txPr>
              <a:bodyPr/>
              <a:lstStyle/>
              <a:p>
                <a:pPr>
                  <a:defRPr b="1"/>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2022-I</c:v>
                </c:pt>
                <c:pt idx="1">
                  <c:v>2022-II</c:v>
                </c:pt>
                <c:pt idx="2">
                  <c:v>2022-III</c:v>
                </c:pt>
                <c:pt idx="3">
                  <c:v>2022-IV</c:v>
                </c:pt>
                <c:pt idx="4">
                  <c:v>2023-I</c:v>
                </c:pt>
              </c:strCache>
            </c:strRef>
          </c:cat>
          <c:val>
            <c:numRef>
              <c:f>Лист1!$C$2:$C$6</c:f>
              <c:numCache>
                <c:formatCode>0.0</c:formatCode>
                <c:ptCount val="5"/>
                <c:pt idx="0">
                  <c:v>2.4346780252902533</c:v>
                </c:pt>
                <c:pt idx="1">
                  <c:v>2.9426608849344404</c:v>
                </c:pt>
                <c:pt idx="2">
                  <c:v>4.4551420845944563</c:v>
                </c:pt>
                <c:pt idx="3">
                  <c:v>6.3135414103774963</c:v>
                </c:pt>
                <c:pt idx="4">
                  <c:v>14.673843183135602</c:v>
                </c:pt>
              </c:numCache>
            </c:numRef>
          </c:val>
          <c:smooth val="0"/>
          <c:extLst>
            <c:ext xmlns:c16="http://schemas.microsoft.com/office/drawing/2014/chart" uri="{C3380CC4-5D6E-409C-BE32-E72D297353CC}">
              <c16:uniqueId val="{00000002-B38F-489F-B407-6B5E788DA72B}"/>
            </c:ext>
          </c:extLst>
        </c:ser>
        <c:dLbls>
          <c:showLegendKey val="0"/>
          <c:showVal val="0"/>
          <c:showCatName val="0"/>
          <c:showSerName val="0"/>
          <c:showPercent val="0"/>
          <c:showBubbleSize val="0"/>
        </c:dLbls>
        <c:marker val="1"/>
        <c:smooth val="0"/>
        <c:axId val="345275392"/>
        <c:axId val="345273856"/>
      </c:lineChart>
      <c:catAx>
        <c:axId val="34527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5272320"/>
        <c:crosses val="autoZero"/>
        <c:auto val="1"/>
        <c:lblAlgn val="ctr"/>
        <c:lblOffset val="100"/>
        <c:noMultiLvlLbl val="0"/>
      </c:catAx>
      <c:valAx>
        <c:axId val="345272320"/>
        <c:scaling>
          <c:orientation val="minMax"/>
          <c:max val="61"/>
          <c:min val="5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5270528"/>
        <c:crosses val="autoZero"/>
        <c:crossBetween val="between"/>
        <c:majorUnit val="1"/>
      </c:valAx>
      <c:valAx>
        <c:axId val="345273856"/>
        <c:scaling>
          <c:orientation val="minMax"/>
          <c:max val="17"/>
          <c:min val="0"/>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5275392"/>
        <c:crosses val="max"/>
        <c:crossBetween val="between"/>
        <c:majorUnit val="1"/>
      </c:valAx>
      <c:catAx>
        <c:axId val="345275392"/>
        <c:scaling>
          <c:orientation val="minMax"/>
        </c:scaling>
        <c:delete val="1"/>
        <c:axPos val="b"/>
        <c:numFmt formatCode="General" sourceLinked="1"/>
        <c:majorTickMark val="none"/>
        <c:minorTickMark val="none"/>
        <c:tickLblPos val="none"/>
        <c:crossAx val="345273856"/>
        <c:crosses val="autoZero"/>
        <c:auto val="1"/>
        <c:lblAlgn val="ctr"/>
        <c:lblOffset val="100"/>
        <c:noMultiLvlLbl val="0"/>
      </c:catAx>
      <c:spPr>
        <a:noFill/>
        <a:ln>
          <a:noFill/>
        </a:ln>
        <a:effectLst/>
      </c:spPr>
    </c:plotArea>
    <c:legend>
      <c:legendPos val="b"/>
      <c:layout>
        <c:manualLayout>
          <c:xMode val="edge"/>
          <c:yMode val="edge"/>
          <c:x val="5.8843537414965986E-2"/>
          <c:y val="0.80372399534053762"/>
          <c:w val="0.82704081632653315"/>
          <c:h val="0.15844021199960706"/>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53536449004193654"/>
        </c:manualLayout>
      </c:layout>
      <c:barChart>
        <c:barDir val="col"/>
        <c:grouping val="stacked"/>
        <c:varyColors val="0"/>
        <c:ser>
          <c:idx val="1"/>
          <c:order val="0"/>
          <c:tx>
            <c:strRef>
              <c:f>Sheet1!$A$2</c:f>
              <c:strCache>
                <c:ptCount val="1"/>
                <c:pt idx="0">
                  <c:v>Ապրանքների հաշվեկշիռ</c:v>
                </c:pt>
              </c:strCache>
            </c:strRef>
          </c:tx>
          <c:spPr>
            <a:solidFill>
              <a:sysClr val="window" lastClr="FFFFFF">
                <a:lumMod val="75000"/>
              </a:sysClr>
            </a:solidFill>
            <a:ln>
              <a:noFill/>
            </a:ln>
            <a:effectLst/>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Sheet1!$B$2:$G$2</c:f>
              <c:numCache>
                <c:formatCode>0.0</c:formatCode>
                <c:ptCount val="6"/>
                <c:pt idx="0">
                  <c:v>-12.644612396588299</c:v>
                </c:pt>
                <c:pt idx="1">
                  <c:v>-10.933296134402209</c:v>
                </c:pt>
                <c:pt idx="2">
                  <c:v>-10.842128104811581</c:v>
                </c:pt>
                <c:pt idx="3">
                  <c:v>-9.527983628329844</c:v>
                </c:pt>
                <c:pt idx="4">
                  <c:v>-11.378108945977559</c:v>
                </c:pt>
                <c:pt idx="5">
                  <c:v>-12.019741685351981</c:v>
                </c:pt>
              </c:numCache>
            </c:numRef>
          </c:val>
          <c:extLst>
            <c:ext xmlns:c16="http://schemas.microsoft.com/office/drawing/2014/chart" uri="{C3380CC4-5D6E-409C-BE32-E72D297353CC}">
              <c16:uniqueId val="{00000000-19E9-47AA-AA45-52EF996F3C41}"/>
            </c:ext>
          </c:extLst>
        </c:ser>
        <c:ser>
          <c:idx val="2"/>
          <c:order val="2"/>
          <c:tx>
            <c:strRef>
              <c:f>Sheet1!$A$4</c:f>
              <c:strCache>
                <c:ptCount val="1"/>
                <c:pt idx="0">
                  <c:v>Ծառայությունների հաշվեկշիռ</c:v>
                </c:pt>
              </c:strCache>
            </c:strRef>
          </c:tx>
          <c:spPr>
            <a:solidFill>
              <a:schemeClr val="accent1">
                <a:lumMod val="60000"/>
                <a:lumOff val="40000"/>
              </a:schemeClr>
            </a:solidFill>
            <a:ln>
              <a:noFill/>
            </a:ln>
            <a:effectLst/>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Sheet1!$B$4:$G$4</c:f>
              <c:numCache>
                <c:formatCode>0.0</c:formatCode>
                <c:ptCount val="6"/>
                <c:pt idx="0">
                  <c:v>-0.63789499938145677</c:v>
                </c:pt>
                <c:pt idx="1">
                  <c:v>0.93379329835219815</c:v>
                </c:pt>
                <c:pt idx="2">
                  <c:v>2.8597827856411508</c:v>
                </c:pt>
                <c:pt idx="3">
                  <c:v>8.7684973387890182</c:v>
                </c:pt>
                <c:pt idx="4">
                  <c:v>9.1489349925554109</c:v>
                </c:pt>
                <c:pt idx="5">
                  <c:v>9.5387041915222852</c:v>
                </c:pt>
              </c:numCache>
            </c:numRef>
          </c:val>
          <c:extLst>
            <c:ext xmlns:c16="http://schemas.microsoft.com/office/drawing/2014/chart" uri="{C3380CC4-5D6E-409C-BE32-E72D297353CC}">
              <c16:uniqueId val="{00000001-19E9-47AA-AA45-52EF996F3C41}"/>
            </c:ext>
          </c:extLst>
        </c:ser>
        <c:ser>
          <c:idx val="5"/>
          <c:order val="5"/>
          <c:tx>
            <c:strRef>
              <c:f>Sheet1!$A$7</c:f>
              <c:strCache>
                <c:ptCount val="1"/>
                <c:pt idx="0">
                  <c:v>Զուտ դրամական փոխանցումներ</c:v>
                </c:pt>
              </c:strCache>
            </c:strRef>
          </c:tx>
          <c:spPr>
            <a:solidFill>
              <a:srgbClr val="5B9BD5">
                <a:lumMod val="75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Sheet1!$B$1:$G$1</c:f>
              <c:numCache>
                <c:formatCode>General</c:formatCode>
                <c:ptCount val="6"/>
                <c:pt idx="0">
                  <c:v>2019</c:v>
                </c:pt>
                <c:pt idx="1">
                  <c:v>2020</c:v>
                </c:pt>
                <c:pt idx="2">
                  <c:v>2021</c:v>
                </c:pt>
                <c:pt idx="3">
                  <c:v>2022</c:v>
                </c:pt>
                <c:pt idx="4">
                  <c:v>2023</c:v>
                </c:pt>
                <c:pt idx="5">
                  <c:v>2024</c:v>
                </c:pt>
              </c:numCache>
            </c:numRef>
          </c:cat>
          <c:val>
            <c:numRef>
              <c:f>Sheet1!$B$7:$G$7</c:f>
              <c:numCache>
                <c:formatCode>0.0</c:formatCode>
                <c:ptCount val="6"/>
                <c:pt idx="0">
                  <c:v>8.7604602101862969</c:v>
                </c:pt>
                <c:pt idx="1">
                  <c:v>8.4809481790095216</c:v>
                </c:pt>
                <c:pt idx="2">
                  <c:v>9.179540974594449</c:v>
                </c:pt>
                <c:pt idx="3">
                  <c:v>7.8832993771070337</c:v>
                </c:pt>
                <c:pt idx="4">
                  <c:v>5.0868056794721923</c:v>
                </c:pt>
                <c:pt idx="5">
                  <c:v>4.9979734689135205</c:v>
                </c:pt>
              </c:numCache>
            </c:numRef>
          </c:val>
          <c:extLst>
            <c:ext xmlns:c16="http://schemas.microsoft.com/office/drawing/2014/chart" uri="{C3380CC4-5D6E-409C-BE32-E72D297353CC}">
              <c16:uniqueId val="{00000002-19E9-47AA-AA45-52EF996F3C41}"/>
            </c:ext>
          </c:extLst>
        </c:ser>
        <c:dLbls>
          <c:showLegendKey val="0"/>
          <c:showVal val="0"/>
          <c:showCatName val="0"/>
          <c:showSerName val="0"/>
          <c:showPercent val="0"/>
          <c:showBubbleSize val="0"/>
        </c:dLbls>
        <c:gapWidth val="150"/>
        <c:overlap val="100"/>
        <c:axId val="612018784"/>
        <c:axId val="1"/>
      </c:barChart>
      <c:barChart>
        <c:barDir val="col"/>
        <c:grouping val="stacked"/>
        <c:varyColors val="0"/>
        <c:ser>
          <c:idx val="3"/>
          <c:order val="3"/>
          <c:tx>
            <c:strRef>
              <c:f>Sheet1!$A$5</c:f>
              <c:strCache>
                <c:ptCount val="1"/>
                <c:pt idx="0">
                  <c:v>Սկզբնական եկամուտներ</c:v>
                </c:pt>
              </c:strCache>
            </c:strRef>
          </c:tx>
          <c:spPr>
            <a:solidFill>
              <a:srgbClr val="4F81BD"/>
            </a:solidFill>
            <a:ln w="25375">
              <a:noFill/>
            </a:ln>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Sheet1!$B$5:$G$5</c:f>
            </c:numRef>
          </c:val>
          <c:extLst>
            <c:ext xmlns:c16="http://schemas.microsoft.com/office/drawing/2014/chart" uri="{C3380CC4-5D6E-409C-BE32-E72D297353CC}">
              <c16:uniqueId val="{00000003-19E9-47AA-AA45-52EF996F3C41}"/>
            </c:ext>
          </c:extLst>
        </c:ser>
        <c:ser>
          <c:idx val="4"/>
          <c:order val="4"/>
          <c:tx>
            <c:strRef>
              <c:f>Sheet1!$A$6</c:f>
              <c:strCache>
                <c:ptCount val="1"/>
                <c:pt idx="0">
                  <c:v>Երկրորդային եկամուտներ</c:v>
                </c:pt>
              </c:strCache>
            </c:strRef>
          </c:tx>
          <c:spPr>
            <a:solidFill>
              <a:srgbClr val="1F497D"/>
            </a:solidFill>
            <a:ln w="25375">
              <a:noFill/>
            </a:ln>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Sheet1!$B$6:$G$6</c:f>
            </c:numRef>
          </c:val>
          <c:extLst>
            <c:ext xmlns:c16="http://schemas.microsoft.com/office/drawing/2014/chart" uri="{C3380CC4-5D6E-409C-BE32-E72D297353CC}">
              <c16:uniqueId val="{00000004-19E9-47AA-AA45-52EF996F3C41}"/>
            </c:ext>
          </c:extLst>
        </c:ser>
        <c:dLbls>
          <c:showLegendKey val="0"/>
          <c:showVal val="0"/>
          <c:showCatName val="0"/>
          <c:showSerName val="0"/>
          <c:showPercent val="0"/>
          <c:showBubbleSize val="0"/>
        </c:dLbls>
        <c:gapWidth val="150"/>
        <c:overlap val="100"/>
        <c:axId val="612018784"/>
        <c:axId val="1"/>
      </c:barChart>
      <c:lineChart>
        <c:grouping val="standard"/>
        <c:varyColors val="0"/>
        <c:ser>
          <c:idx val="0"/>
          <c:order val="1"/>
          <c:tx>
            <c:strRef>
              <c:f>Sheet1!$A$3</c:f>
              <c:strCache>
                <c:ptCount val="1"/>
                <c:pt idx="0">
                  <c:v>Ընթացիկ հաշիվ</c:v>
                </c:pt>
              </c:strCache>
            </c:strRef>
          </c:tx>
          <c:spPr>
            <a:ln w="28547" cap="rnd">
              <a:solidFill>
                <a:schemeClr val="accent1"/>
              </a:solidFill>
              <a:round/>
            </a:ln>
            <a:effectLst/>
          </c:spPr>
          <c:marker>
            <c:symbol val="circle"/>
            <c:size val="4"/>
            <c:spPr>
              <a:solidFill>
                <a:schemeClr val="accent1"/>
              </a:solidFill>
              <a:ln w="9516">
                <a:solidFill>
                  <a:schemeClr val="accent1"/>
                </a:solidFill>
              </a:ln>
              <a:effectLst/>
            </c:spPr>
          </c:marker>
          <c:dLbls>
            <c:spPr>
              <a:noFill/>
              <a:ln w="25375">
                <a:noFill/>
              </a:ln>
            </c:spPr>
            <c:txPr>
              <a:bodyPr rot="0" spcFirstLastPara="1" vertOverflow="ellipsis" vert="horz" wrap="square" anchor="ctr" anchorCtr="1"/>
              <a:lstStyle/>
              <a:p>
                <a:pPr>
                  <a:defRPr sz="899"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2019</c:v>
                </c:pt>
                <c:pt idx="1">
                  <c:v>2020</c:v>
                </c:pt>
                <c:pt idx="2">
                  <c:v>2021</c:v>
                </c:pt>
                <c:pt idx="3">
                  <c:v>2022</c:v>
                </c:pt>
                <c:pt idx="4">
                  <c:v>2023</c:v>
                </c:pt>
                <c:pt idx="5">
                  <c:v>2024</c:v>
                </c:pt>
              </c:numCache>
            </c:numRef>
          </c:cat>
          <c:val>
            <c:numRef>
              <c:f>Sheet1!$B$3:$G$3</c:f>
              <c:numCache>
                <c:formatCode>0.0</c:formatCode>
                <c:ptCount val="6"/>
                <c:pt idx="0">
                  <c:v>-7.0569126434064833</c:v>
                </c:pt>
                <c:pt idx="1">
                  <c:v>-3.9977734586450908</c:v>
                </c:pt>
                <c:pt idx="2">
                  <c:v>-3.4799761215677063</c:v>
                </c:pt>
                <c:pt idx="3">
                  <c:v>0.77379197026214319</c:v>
                </c:pt>
                <c:pt idx="4">
                  <c:v>-4.0216509977654917</c:v>
                </c:pt>
                <c:pt idx="5">
                  <c:v>-4.8402687487429867</c:v>
                </c:pt>
              </c:numCache>
            </c:numRef>
          </c:val>
          <c:smooth val="0"/>
          <c:extLst>
            <c:ext xmlns:c16="http://schemas.microsoft.com/office/drawing/2014/chart" uri="{C3380CC4-5D6E-409C-BE32-E72D297353CC}">
              <c16:uniqueId val="{00000005-19E9-47AA-AA45-52EF996F3C41}"/>
            </c:ext>
          </c:extLst>
        </c:ser>
        <c:dLbls>
          <c:showLegendKey val="0"/>
          <c:showVal val="0"/>
          <c:showCatName val="0"/>
          <c:showSerName val="0"/>
          <c:showPercent val="0"/>
          <c:showBubbleSize val="0"/>
        </c:dLbls>
        <c:marker val="1"/>
        <c:smooth val="0"/>
        <c:axId val="612018784"/>
        <c:axId val="1"/>
      </c:lineChart>
      <c:catAx>
        <c:axId val="612018784"/>
        <c:scaling>
          <c:orientation val="minMax"/>
        </c:scaling>
        <c:delete val="0"/>
        <c:axPos val="b"/>
        <c:numFmt formatCode="General" sourceLinked="1"/>
        <c:majorTickMark val="none"/>
        <c:minorTickMark val="none"/>
        <c:tickLblPos val="low"/>
        <c:spPr>
          <a:noFill/>
          <a:ln w="9516" cap="flat" cmpd="sng" algn="ctr">
            <a:solidFill>
              <a:schemeClr val="tx1">
                <a:lumMod val="15000"/>
                <a:lumOff val="85000"/>
              </a:schemeClr>
            </a:solidFill>
            <a:round/>
          </a:ln>
          <a:effectLst/>
        </c:spPr>
        <c:txPr>
          <a:bodyPr rot="0" spcFirstLastPara="1" vertOverflow="ellipsis"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0"/>
        <c:lblAlgn val="ctr"/>
        <c:lblOffset val="100"/>
        <c:noMultiLvlLbl val="0"/>
      </c:catAx>
      <c:valAx>
        <c:axId val="1"/>
        <c:scaling>
          <c:orientation val="minMax"/>
        </c:scaling>
        <c:delete val="0"/>
        <c:axPos val="l"/>
        <c:majorGridlines>
          <c:spPr>
            <a:ln w="9516" cap="flat" cmpd="sng" algn="ctr">
              <a:solidFill>
                <a:schemeClr val="tx1">
                  <a:lumMod val="15000"/>
                  <a:lumOff val="85000"/>
                </a:schemeClr>
              </a:solidFill>
              <a:round/>
            </a:ln>
            <a:effectLst/>
          </c:spPr>
        </c:majorGridlines>
        <c:numFmt formatCode="0.0" sourceLinked="1"/>
        <c:majorTickMark val="none"/>
        <c:minorTickMark val="none"/>
        <c:tickLblPos val="nextTo"/>
        <c:spPr>
          <a:ln w="9516">
            <a:noFill/>
          </a:ln>
        </c:spPr>
        <c:txPr>
          <a:bodyPr rot="0" spcFirstLastPara="1" vertOverflow="ellipsis"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12018784"/>
        <c:crosses val="autoZero"/>
        <c:crossBetween val="between"/>
        <c:majorUnit val="5"/>
      </c:valAx>
      <c:spPr>
        <a:noFill/>
        <a:ln w="25375">
          <a:noFill/>
        </a:ln>
      </c:spPr>
    </c:plotArea>
    <c:legend>
      <c:legendPos val="b"/>
      <c:layout>
        <c:manualLayout>
          <c:xMode val="edge"/>
          <c:yMode val="edge"/>
          <c:x val="0"/>
          <c:y val="0.76396347216206117"/>
          <c:w val="0.99335345057915647"/>
          <c:h val="0.23333496621010014"/>
        </c:manualLayout>
      </c:layout>
      <c:overlay val="0"/>
      <c:spPr>
        <a:noFill/>
        <a:ln w="25375">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GHEA Grapalat" panose="02000506050000020003" pitchFamily="50" charset="0"/>
                <a:ea typeface="+mn-ea"/>
                <a:cs typeface="+mn-cs"/>
              </a:defRPr>
            </a:pPr>
            <a:r>
              <a:rPr lang="hy-AM" sz="1000"/>
              <a:t>Դրամավարկային քաղաքականության տոկոսադրույքները</a:t>
            </a:r>
            <a:r>
              <a:rPr lang="en-US" sz="1000"/>
              <a:t> </a:t>
            </a:r>
          </a:p>
        </c:rich>
      </c:tx>
      <c:layout>
        <c:manualLayout>
          <c:xMode val="edge"/>
          <c:yMode val="edge"/>
          <c:x val="0.15867606737171955"/>
          <c:y val="6.9374588088383226E-6"/>
        </c:manualLayout>
      </c:layout>
      <c:overlay val="0"/>
      <c:spPr>
        <a:noFill/>
        <a:ln w="25400">
          <a:noFill/>
        </a:ln>
      </c:spPr>
    </c:title>
    <c:autoTitleDeleted val="0"/>
    <c:plotArea>
      <c:layout>
        <c:manualLayout>
          <c:layoutTarget val="inner"/>
          <c:xMode val="edge"/>
          <c:yMode val="edge"/>
          <c:x val="9.6437897522516872E-2"/>
          <c:y val="0.18716063288539592"/>
          <c:w val="0.86044163321087097"/>
          <c:h val="0.52389368914258139"/>
        </c:manualLayout>
      </c:layout>
      <c:lineChart>
        <c:grouping val="standard"/>
        <c:varyColors val="0"/>
        <c:ser>
          <c:idx val="0"/>
          <c:order val="0"/>
          <c:tx>
            <c:strRef>
              <c:f>Sheet1!$D$1</c:f>
              <c:strCache>
                <c:ptCount val="1"/>
                <c:pt idx="0">
                  <c:v>ԵԳ</c:v>
                </c:pt>
              </c:strCache>
            </c:strRef>
          </c:tx>
          <c:spPr>
            <a:ln w="28575" cap="rnd">
              <a:solidFill>
                <a:schemeClr val="accent1"/>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Sheet1!$D$2:$D$69</c:f>
              <c:numCache>
                <c:formatCode>General</c:formatCode>
                <c:ptCount val="5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0.5</c:v>
                </c:pt>
                <c:pt idx="43">
                  <c:v>0.5</c:v>
                </c:pt>
                <c:pt idx="44" formatCode="0.0">
                  <c:v>1.3</c:v>
                </c:pt>
                <c:pt idx="45" formatCode="0.0">
                  <c:v>1.3</c:v>
                </c:pt>
                <c:pt idx="46">
                  <c:v>2</c:v>
                </c:pt>
                <c:pt idx="47">
                  <c:v>2.5</c:v>
                </c:pt>
                <c:pt idx="48" formatCode="0.00">
                  <c:v>2.5</c:v>
                </c:pt>
                <c:pt idx="49" formatCode="0.00">
                  <c:v>3</c:v>
                </c:pt>
                <c:pt idx="50" formatCode="0.00">
                  <c:v>3.5</c:v>
                </c:pt>
                <c:pt idx="51" formatCode="0.00">
                  <c:v>3.75</c:v>
                </c:pt>
                <c:pt idx="52" formatCode="0.00">
                  <c:v>3.75</c:v>
                </c:pt>
                <c:pt idx="53" formatCode="0.00">
                  <c:v>4</c:v>
                </c:pt>
                <c:pt idx="54" formatCode="0.00">
                  <c:v>4.25</c:v>
                </c:pt>
                <c:pt idx="55" formatCode="0.00">
                  <c:v>4.25</c:v>
                </c:pt>
              </c:numCache>
            </c:numRef>
          </c:val>
          <c:smooth val="0"/>
          <c:extLst>
            <c:ext xmlns:c16="http://schemas.microsoft.com/office/drawing/2014/chart" uri="{C3380CC4-5D6E-409C-BE32-E72D297353CC}">
              <c16:uniqueId val="{00000000-230A-4A4D-B58D-999D8CF528DC}"/>
            </c:ext>
          </c:extLst>
        </c:ser>
        <c:ser>
          <c:idx val="1"/>
          <c:order val="1"/>
          <c:tx>
            <c:strRef>
              <c:f>Sheet1!$E$1</c:f>
              <c:strCache>
                <c:ptCount val="1"/>
                <c:pt idx="0">
                  <c:v>Չինաստան</c:v>
                </c:pt>
              </c:strCache>
            </c:strRef>
          </c:tx>
          <c:spPr>
            <a:ln w="28575" cap="rnd">
              <a:solidFill>
                <a:schemeClr val="bg1">
                  <a:lumMod val="65000"/>
                </a:schemeClr>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Sheet1!$E$2:$E$69</c:f>
              <c:numCache>
                <c:formatCode>General</c:formatCode>
                <c:ptCount val="56"/>
                <c:pt idx="0">
                  <c:v>4.25</c:v>
                </c:pt>
                <c:pt idx="1">
                  <c:v>4.25</c:v>
                </c:pt>
                <c:pt idx="2">
                  <c:v>4.25</c:v>
                </c:pt>
                <c:pt idx="3">
                  <c:v>4.25</c:v>
                </c:pt>
                <c:pt idx="4">
                  <c:v>4.25</c:v>
                </c:pt>
                <c:pt idx="5">
                  <c:v>4.25</c:v>
                </c:pt>
                <c:pt idx="6">
                  <c:v>4.25</c:v>
                </c:pt>
                <c:pt idx="7">
                  <c:v>4.25</c:v>
                </c:pt>
                <c:pt idx="8">
                  <c:v>4.2</c:v>
                </c:pt>
                <c:pt idx="9">
                  <c:v>4.2</c:v>
                </c:pt>
                <c:pt idx="10">
                  <c:v>4.1500000000000004</c:v>
                </c:pt>
                <c:pt idx="11">
                  <c:v>4.1500000000000004</c:v>
                </c:pt>
                <c:pt idx="12">
                  <c:v>4.1500000000000004</c:v>
                </c:pt>
                <c:pt idx="13">
                  <c:v>4.05</c:v>
                </c:pt>
                <c:pt idx="14">
                  <c:v>4.05</c:v>
                </c:pt>
                <c:pt idx="15">
                  <c:v>3.85</c:v>
                </c:pt>
                <c:pt idx="16">
                  <c:v>3.85</c:v>
                </c:pt>
                <c:pt idx="17">
                  <c:v>3.85</c:v>
                </c:pt>
                <c:pt idx="18">
                  <c:v>3.85</c:v>
                </c:pt>
                <c:pt idx="19">
                  <c:v>3.85</c:v>
                </c:pt>
                <c:pt idx="20">
                  <c:v>3.85</c:v>
                </c:pt>
                <c:pt idx="21">
                  <c:v>3.85</c:v>
                </c:pt>
                <c:pt idx="22">
                  <c:v>3.85</c:v>
                </c:pt>
                <c:pt idx="23">
                  <c:v>3.85</c:v>
                </c:pt>
                <c:pt idx="24">
                  <c:v>3.85</c:v>
                </c:pt>
                <c:pt idx="25">
                  <c:v>3.85</c:v>
                </c:pt>
                <c:pt idx="26">
                  <c:v>3.85</c:v>
                </c:pt>
                <c:pt idx="27">
                  <c:v>3.85</c:v>
                </c:pt>
                <c:pt idx="28">
                  <c:v>3.85</c:v>
                </c:pt>
                <c:pt idx="29">
                  <c:v>3.85</c:v>
                </c:pt>
                <c:pt idx="30">
                  <c:v>3.85</c:v>
                </c:pt>
                <c:pt idx="31">
                  <c:v>3.85</c:v>
                </c:pt>
                <c:pt idx="32">
                  <c:v>3.85</c:v>
                </c:pt>
                <c:pt idx="33">
                  <c:v>3.85</c:v>
                </c:pt>
                <c:pt idx="34">
                  <c:v>3.85</c:v>
                </c:pt>
                <c:pt idx="35">
                  <c:v>3.8</c:v>
                </c:pt>
                <c:pt idx="36">
                  <c:v>3.8</c:v>
                </c:pt>
                <c:pt idx="37">
                  <c:v>3.7</c:v>
                </c:pt>
                <c:pt idx="38">
                  <c:v>3.7</c:v>
                </c:pt>
                <c:pt idx="39">
                  <c:v>3.7</c:v>
                </c:pt>
                <c:pt idx="40">
                  <c:v>3.7</c:v>
                </c:pt>
                <c:pt idx="41">
                  <c:v>3.7</c:v>
                </c:pt>
                <c:pt idx="42">
                  <c:v>3.7</c:v>
                </c:pt>
                <c:pt idx="43">
                  <c:v>3.7</c:v>
                </c:pt>
                <c:pt idx="44" formatCode="0.00">
                  <c:v>3.65</c:v>
                </c:pt>
                <c:pt idx="45" formatCode="0.00">
                  <c:v>3.65</c:v>
                </c:pt>
                <c:pt idx="46" formatCode="0.00">
                  <c:v>3.65</c:v>
                </c:pt>
                <c:pt idx="47" formatCode="0.00">
                  <c:v>3.65</c:v>
                </c:pt>
                <c:pt idx="48" formatCode="0.00">
                  <c:v>3.65</c:v>
                </c:pt>
                <c:pt idx="49" formatCode="0.00">
                  <c:v>3.65</c:v>
                </c:pt>
                <c:pt idx="50" formatCode="0.00">
                  <c:v>3.65</c:v>
                </c:pt>
                <c:pt idx="51" formatCode="0.00">
                  <c:v>3.65</c:v>
                </c:pt>
                <c:pt idx="52" formatCode="0.00">
                  <c:v>3.65</c:v>
                </c:pt>
                <c:pt idx="53" formatCode="0.00">
                  <c:v>3.55</c:v>
                </c:pt>
                <c:pt idx="54" formatCode="0.00">
                  <c:v>3.55</c:v>
                </c:pt>
                <c:pt idx="55" formatCode="0.00">
                  <c:v>3.45</c:v>
                </c:pt>
              </c:numCache>
            </c:numRef>
          </c:val>
          <c:smooth val="0"/>
          <c:extLst>
            <c:ext xmlns:c16="http://schemas.microsoft.com/office/drawing/2014/chart" uri="{C3380CC4-5D6E-409C-BE32-E72D297353CC}">
              <c16:uniqueId val="{00000001-230A-4A4D-B58D-999D8CF528DC}"/>
            </c:ext>
          </c:extLst>
        </c:ser>
        <c:ser>
          <c:idx val="2"/>
          <c:order val="2"/>
          <c:tx>
            <c:strRef>
              <c:f>Sheet1!$F$1</c:f>
              <c:strCache>
                <c:ptCount val="1"/>
                <c:pt idx="0">
                  <c:v>ՌԴ</c:v>
                </c:pt>
              </c:strCache>
            </c:strRef>
          </c:tx>
          <c:spPr>
            <a:ln w="28575" cap="rnd">
              <a:solidFill>
                <a:schemeClr val="accent6">
                  <a:lumMod val="60000"/>
                  <a:lumOff val="40000"/>
                </a:schemeClr>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Sheet1!$F$2:$F$69</c:f>
              <c:numCache>
                <c:formatCode>General</c:formatCode>
                <c:ptCount val="56"/>
                <c:pt idx="0">
                  <c:v>7.75</c:v>
                </c:pt>
                <c:pt idx="1">
                  <c:v>7.75</c:v>
                </c:pt>
                <c:pt idx="2">
                  <c:v>7.75</c:v>
                </c:pt>
                <c:pt idx="3">
                  <c:v>7.75</c:v>
                </c:pt>
                <c:pt idx="4">
                  <c:v>7.75</c:v>
                </c:pt>
                <c:pt idx="5">
                  <c:v>7.5</c:v>
                </c:pt>
                <c:pt idx="6">
                  <c:v>7.5</c:v>
                </c:pt>
                <c:pt idx="7">
                  <c:v>7.25</c:v>
                </c:pt>
                <c:pt idx="8">
                  <c:v>7</c:v>
                </c:pt>
                <c:pt idx="9">
                  <c:v>7</c:v>
                </c:pt>
                <c:pt idx="10">
                  <c:v>6.5</c:v>
                </c:pt>
                <c:pt idx="11">
                  <c:v>6.25</c:v>
                </c:pt>
                <c:pt idx="12">
                  <c:v>6.25</c:v>
                </c:pt>
                <c:pt idx="13">
                  <c:v>6</c:v>
                </c:pt>
                <c:pt idx="14">
                  <c:v>6</c:v>
                </c:pt>
                <c:pt idx="15">
                  <c:v>6</c:v>
                </c:pt>
                <c:pt idx="16">
                  <c:v>5.5</c:v>
                </c:pt>
                <c:pt idx="17">
                  <c:v>5.5</c:v>
                </c:pt>
                <c:pt idx="18">
                  <c:v>4.5</c:v>
                </c:pt>
                <c:pt idx="19">
                  <c:v>4.25</c:v>
                </c:pt>
                <c:pt idx="20">
                  <c:v>4.25</c:v>
                </c:pt>
                <c:pt idx="21">
                  <c:v>4.25</c:v>
                </c:pt>
                <c:pt idx="22">
                  <c:v>4.25</c:v>
                </c:pt>
                <c:pt idx="23">
                  <c:v>4.25</c:v>
                </c:pt>
                <c:pt idx="24">
                  <c:v>4.25</c:v>
                </c:pt>
                <c:pt idx="25">
                  <c:v>4.25</c:v>
                </c:pt>
                <c:pt idx="26">
                  <c:v>4.25</c:v>
                </c:pt>
                <c:pt idx="27">
                  <c:v>4.5</c:v>
                </c:pt>
                <c:pt idx="28">
                  <c:v>5</c:v>
                </c:pt>
                <c:pt idx="29">
                  <c:v>5.5</c:v>
                </c:pt>
                <c:pt idx="30">
                  <c:v>5.5</c:v>
                </c:pt>
                <c:pt idx="31">
                  <c:v>6.5</c:v>
                </c:pt>
                <c:pt idx="32">
                  <c:v>6.75</c:v>
                </c:pt>
                <c:pt idx="33">
                  <c:v>6.75</c:v>
                </c:pt>
                <c:pt idx="34">
                  <c:v>7.5</c:v>
                </c:pt>
                <c:pt idx="35">
                  <c:v>8.5</c:v>
                </c:pt>
                <c:pt idx="36" formatCode="0.0">
                  <c:v>8.5</c:v>
                </c:pt>
                <c:pt idx="37" formatCode="0.0">
                  <c:v>9.5</c:v>
                </c:pt>
                <c:pt idx="38" formatCode="0.0">
                  <c:v>20</c:v>
                </c:pt>
                <c:pt idx="39" formatCode="0.0">
                  <c:v>17</c:v>
                </c:pt>
                <c:pt idx="40" formatCode="0.0">
                  <c:v>14</c:v>
                </c:pt>
                <c:pt idx="41" formatCode="0.0">
                  <c:v>11</c:v>
                </c:pt>
                <c:pt idx="42" formatCode="0.0">
                  <c:v>9.5</c:v>
                </c:pt>
                <c:pt idx="43" formatCode="0.0">
                  <c:v>8</c:v>
                </c:pt>
                <c:pt idx="44" formatCode="0.0">
                  <c:v>7.5</c:v>
                </c:pt>
                <c:pt idx="45" formatCode="0.0">
                  <c:v>7.5</c:v>
                </c:pt>
                <c:pt idx="46" formatCode="0.0">
                  <c:v>7.5</c:v>
                </c:pt>
                <c:pt idx="47" formatCode="0.0">
                  <c:v>7.5</c:v>
                </c:pt>
                <c:pt idx="48" formatCode="0.00">
                  <c:v>7.5</c:v>
                </c:pt>
                <c:pt idx="49" formatCode="0.00">
                  <c:v>7.5</c:v>
                </c:pt>
                <c:pt idx="50" formatCode="0.00">
                  <c:v>7.5</c:v>
                </c:pt>
                <c:pt idx="51" formatCode="0.00">
                  <c:v>7.5</c:v>
                </c:pt>
                <c:pt idx="52" formatCode="0.00">
                  <c:v>7.5</c:v>
                </c:pt>
                <c:pt idx="53" formatCode="0.00">
                  <c:v>7.5</c:v>
                </c:pt>
                <c:pt idx="54" formatCode="0.00">
                  <c:v>8.5</c:v>
                </c:pt>
                <c:pt idx="55" formatCode="0.00">
                  <c:v>12</c:v>
                </c:pt>
              </c:numCache>
            </c:numRef>
          </c:val>
          <c:smooth val="0"/>
          <c:extLst>
            <c:ext xmlns:c16="http://schemas.microsoft.com/office/drawing/2014/chart" uri="{C3380CC4-5D6E-409C-BE32-E72D297353CC}">
              <c16:uniqueId val="{00000002-230A-4A4D-B58D-999D8CF528DC}"/>
            </c:ext>
          </c:extLst>
        </c:ser>
        <c:ser>
          <c:idx val="3"/>
          <c:order val="3"/>
          <c:tx>
            <c:strRef>
              <c:f>Sheet1!$C$1</c:f>
              <c:strCache>
                <c:ptCount val="1"/>
                <c:pt idx="0">
                  <c:v>ԱՄՆ</c:v>
                </c:pt>
              </c:strCache>
            </c:strRef>
          </c:tx>
          <c:spPr>
            <a:ln w="28575" cap="rnd">
              <a:solidFill>
                <a:schemeClr val="tx2"/>
              </a:solidFill>
              <a:round/>
            </a:ln>
            <a:effectLst/>
          </c:spPr>
          <c:marker>
            <c:symbol val="none"/>
          </c:marker>
          <c:cat>
            <c:multiLvlStrRef>
              <c:f>Sheet1!$A$14:$B$69</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Sheet1!$C$14:$C$69</c:f>
              <c:numCache>
                <c:formatCode>General</c:formatCode>
                <c:ptCount val="56"/>
                <c:pt idx="0">
                  <c:v>2.4</c:v>
                </c:pt>
                <c:pt idx="1">
                  <c:v>2.4</c:v>
                </c:pt>
                <c:pt idx="2">
                  <c:v>2.4</c:v>
                </c:pt>
                <c:pt idx="3">
                  <c:v>2.4</c:v>
                </c:pt>
                <c:pt idx="4">
                  <c:v>2.4</c:v>
                </c:pt>
                <c:pt idx="5">
                  <c:v>2.4</c:v>
                </c:pt>
                <c:pt idx="6">
                  <c:v>2.4</c:v>
                </c:pt>
                <c:pt idx="7">
                  <c:v>2.1</c:v>
                </c:pt>
                <c:pt idx="8">
                  <c:v>1.9</c:v>
                </c:pt>
                <c:pt idx="9">
                  <c:v>1.9</c:v>
                </c:pt>
                <c:pt idx="10">
                  <c:v>1.6</c:v>
                </c:pt>
                <c:pt idx="11">
                  <c:v>1.6</c:v>
                </c:pt>
                <c:pt idx="12">
                  <c:v>1.6</c:v>
                </c:pt>
                <c:pt idx="13">
                  <c:v>1.6</c:v>
                </c:pt>
                <c:pt idx="14">
                  <c:v>1.1000000000000001</c:v>
                </c:pt>
                <c:pt idx="15">
                  <c:v>0.1</c:v>
                </c:pt>
                <c:pt idx="16">
                  <c:v>0.1</c:v>
                </c:pt>
                <c:pt idx="17">
                  <c:v>0.1</c:v>
                </c:pt>
                <c:pt idx="18">
                  <c:v>0.1</c:v>
                </c:pt>
                <c:pt idx="19">
                  <c:v>0.1</c:v>
                </c:pt>
                <c:pt idx="20">
                  <c:v>0.09</c:v>
                </c:pt>
                <c:pt idx="21">
                  <c:v>0.09</c:v>
                </c:pt>
                <c:pt idx="22">
                  <c:v>0.09</c:v>
                </c:pt>
                <c:pt idx="23">
                  <c:v>0.09</c:v>
                </c:pt>
                <c:pt idx="24">
                  <c:v>0.09</c:v>
                </c:pt>
                <c:pt idx="25">
                  <c:v>0.08</c:v>
                </c:pt>
                <c:pt idx="26">
                  <c:v>7.0000000000000007E-2</c:v>
                </c:pt>
                <c:pt idx="27">
                  <c:v>7.0000000000000007E-2</c:v>
                </c:pt>
                <c:pt idx="28">
                  <c:v>0.06</c:v>
                </c:pt>
                <c:pt idx="29">
                  <c:v>0.06</c:v>
                </c:pt>
                <c:pt idx="30">
                  <c:v>0.1</c:v>
                </c:pt>
                <c:pt idx="31">
                  <c:v>0.09</c:v>
                </c:pt>
                <c:pt idx="32">
                  <c:v>0.08</c:v>
                </c:pt>
                <c:pt idx="33">
                  <c:v>0.08</c:v>
                </c:pt>
                <c:pt idx="34">
                  <c:v>0.08</c:v>
                </c:pt>
                <c:pt idx="35">
                  <c:v>0.08</c:v>
                </c:pt>
                <c:pt idx="36">
                  <c:v>0.1</c:v>
                </c:pt>
                <c:pt idx="37">
                  <c:v>0.1</c:v>
                </c:pt>
                <c:pt idx="38">
                  <c:v>0.2</c:v>
                </c:pt>
                <c:pt idx="39">
                  <c:v>0.3</c:v>
                </c:pt>
                <c:pt idx="40">
                  <c:v>0.8</c:v>
                </c:pt>
                <c:pt idx="41">
                  <c:v>1.2</c:v>
                </c:pt>
                <c:pt idx="42">
                  <c:v>1.7</c:v>
                </c:pt>
                <c:pt idx="43">
                  <c:v>2.2999999999999998</c:v>
                </c:pt>
                <c:pt idx="44">
                  <c:v>2.6</c:v>
                </c:pt>
                <c:pt idx="45">
                  <c:v>3.1</c:v>
                </c:pt>
                <c:pt idx="46">
                  <c:v>3.8</c:v>
                </c:pt>
                <c:pt idx="47">
                  <c:v>4.0999999999999996</c:v>
                </c:pt>
                <c:pt idx="48" formatCode="0.00">
                  <c:v>4.3</c:v>
                </c:pt>
                <c:pt idx="49" formatCode="0.00">
                  <c:v>4.5999999999999996</c:v>
                </c:pt>
                <c:pt idx="50" formatCode="0.00">
                  <c:v>5</c:v>
                </c:pt>
                <c:pt idx="51" formatCode="0.00">
                  <c:v>5.25</c:v>
                </c:pt>
                <c:pt idx="52" formatCode="0.00">
                  <c:v>5.25</c:v>
                </c:pt>
                <c:pt idx="53" formatCode="0.00">
                  <c:v>5.25</c:v>
                </c:pt>
                <c:pt idx="54" formatCode="0.00">
                  <c:v>5.5</c:v>
                </c:pt>
                <c:pt idx="55" formatCode="0.00">
                  <c:v>5.5</c:v>
                </c:pt>
              </c:numCache>
            </c:numRef>
          </c:val>
          <c:smooth val="0"/>
          <c:extLst>
            <c:ext xmlns:c16="http://schemas.microsoft.com/office/drawing/2014/chart" uri="{C3380CC4-5D6E-409C-BE32-E72D297353CC}">
              <c16:uniqueId val="{00000003-230A-4A4D-B58D-999D8CF528DC}"/>
            </c:ext>
          </c:extLst>
        </c:ser>
        <c:dLbls>
          <c:showLegendKey val="0"/>
          <c:showVal val="0"/>
          <c:showCatName val="0"/>
          <c:showSerName val="0"/>
          <c:showPercent val="0"/>
          <c:showBubbleSize val="0"/>
        </c:dLbls>
        <c:smooth val="0"/>
        <c:axId val="1920271488"/>
        <c:axId val="1920275840"/>
      </c:lineChart>
      <c:catAx>
        <c:axId val="19202714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920275840"/>
        <c:crosses val="autoZero"/>
        <c:auto val="1"/>
        <c:lblAlgn val="ctr"/>
        <c:lblOffset val="100"/>
        <c:noMultiLvlLbl val="0"/>
      </c:catAx>
      <c:valAx>
        <c:axId val="1920275840"/>
        <c:scaling>
          <c:orientation val="minMax"/>
          <c:max val="2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92027148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64150943396226412"/>
        </c:manualLayout>
      </c:layout>
      <c:barChart>
        <c:barDir val="col"/>
        <c:grouping val="stacked"/>
        <c:varyColors val="0"/>
        <c:ser>
          <c:idx val="1"/>
          <c:order val="0"/>
          <c:tx>
            <c:strRef>
              <c:f>Sheet1!$A$2</c:f>
              <c:strCache>
                <c:ptCount val="1"/>
                <c:pt idx="0">
                  <c:v>Արտահանում</c:v>
                </c:pt>
              </c:strCache>
            </c:strRef>
          </c:tx>
          <c:spPr>
            <a:solidFill>
              <a:schemeClr val="accent1">
                <a:lumMod val="60000"/>
                <a:lumOff val="40000"/>
              </a:schemeClr>
            </a:solidFill>
            <a:ln>
              <a:noFill/>
            </a:ln>
            <a:effectLst/>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Sheet1!$B$2:$G$2</c:f>
              <c:numCache>
                <c:formatCode>0.0</c:formatCode>
                <c:ptCount val="6"/>
                <c:pt idx="0">
                  <c:v>2433.7090578842613</c:v>
                </c:pt>
                <c:pt idx="1">
                  <c:v>1099.3419549588284</c:v>
                </c:pt>
                <c:pt idx="2">
                  <c:v>1735.2489665453945</c:v>
                </c:pt>
                <c:pt idx="3">
                  <c:v>4320.3058123823403</c:v>
                </c:pt>
                <c:pt idx="4">
                  <c:v>6091.6311954590992</c:v>
                </c:pt>
                <c:pt idx="5">
                  <c:v>6761.7106269596006</c:v>
                </c:pt>
              </c:numCache>
            </c:numRef>
          </c:val>
          <c:extLst>
            <c:ext xmlns:c16="http://schemas.microsoft.com/office/drawing/2014/chart" uri="{C3380CC4-5D6E-409C-BE32-E72D297353CC}">
              <c16:uniqueId val="{00000000-46DB-40E6-8CF1-A87DB59AF8FF}"/>
            </c:ext>
          </c:extLst>
        </c:ser>
        <c:ser>
          <c:idx val="2"/>
          <c:order val="2"/>
          <c:tx>
            <c:strRef>
              <c:f>Sheet1!$A$4</c:f>
              <c:strCache>
                <c:ptCount val="1"/>
                <c:pt idx="0">
                  <c:v>Ներմուծում</c:v>
                </c:pt>
              </c:strCache>
            </c:strRef>
          </c:tx>
          <c:spPr>
            <a:solidFill>
              <a:srgbClr val="1F497D"/>
            </a:solidFill>
            <a:ln w="25392">
              <a:noFill/>
            </a:ln>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Sheet1!$B$4:$G$4</c:f>
              <c:numCache>
                <c:formatCode>0.0</c:formatCode>
                <c:ptCount val="6"/>
                <c:pt idx="0">
                  <c:v>-2520.5858545116312</c:v>
                </c:pt>
                <c:pt idx="1">
                  <c:v>-981.29469506194107</c:v>
                </c:pt>
                <c:pt idx="2">
                  <c:v>-1338.3423267401668</c:v>
                </c:pt>
                <c:pt idx="3">
                  <c:v>-2609.2673071458889</c:v>
                </c:pt>
                <c:pt idx="4">
                  <c:v>-3887.80828764737</c:v>
                </c:pt>
                <c:pt idx="5">
                  <c:v>-4331.9165082531299</c:v>
                </c:pt>
              </c:numCache>
            </c:numRef>
          </c:val>
          <c:extLst>
            <c:ext xmlns:c16="http://schemas.microsoft.com/office/drawing/2014/chart" uri="{C3380CC4-5D6E-409C-BE32-E72D297353CC}">
              <c16:uniqueId val="{00000001-46DB-40E6-8CF1-A87DB59AF8FF}"/>
            </c:ext>
          </c:extLst>
        </c:ser>
        <c:dLbls>
          <c:showLegendKey val="0"/>
          <c:showVal val="0"/>
          <c:showCatName val="0"/>
          <c:showSerName val="0"/>
          <c:showPercent val="0"/>
          <c:showBubbleSize val="0"/>
        </c:dLbls>
        <c:gapWidth val="150"/>
        <c:overlap val="100"/>
        <c:axId val="612019200"/>
        <c:axId val="1"/>
      </c:barChart>
      <c:lineChart>
        <c:grouping val="standard"/>
        <c:varyColors val="0"/>
        <c:ser>
          <c:idx val="0"/>
          <c:order val="1"/>
          <c:tx>
            <c:strRef>
              <c:f>Sheet1!$A$3</c:f>
              <c:strCache>
                <c:ptCount val="1"/>
                <c:pt idx="0">
                  <c:v>Ծառայությունների հաշվեկշիռ</c:v>
                </c:pt>
              </c:strCache>
            </c:strRef>
          </c:tx>
          <c:spPr>
            <a:ln w="28566" cap="rnd">
              <a:solidFill>
                <a:schemeClr val="accent1"/>
              </a:solidFill>
              <a:round/>
            </a:ln>
            <a:effectLst/>
          </c:spPr>
          <c:marker>
            <c:symbol val="circle"/>
            <c:size val="4"/>
            <c:spPr>
              <a:solidFill>
                <a:schemeClr val="accent1"/>
              </a:solidFill>
              <a:ln w="9522">
                <a:solidFill>
                  <a:schemeClr val="accent1"/>
                </a:solidFill>
              </a:ln>
              <a:effectLst/>
            </c:spPr>
          </c:marker>
          <c:dLbls>
            <c:spPr>
              <a:noFill/>
              <a:ln w="25392">
                <a:noFill/>
              </a:ln>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2019</c:v>
                </c:pt>
                <c:pt idx="1">
                  <c:v>2020</c:v>
                </c:pt>
                <c:pt idx="2">
                  <c:v>2021</c:v>
                </c:pt>
                <c:pt idx="3">
                  <c:v>2022</c:v>
                </c:pt>
                <c:pt idx="4">
                  <c:v>2023</c:v>
                </c:pt>
                <c:pt idx="5">
                  <c:v>2024</c:v>
                </c:pt>
              </c:numCache>
            </c:numRef>
          </c:cat>
          <c:val>
            <c:numRef>
              <c:f>Sheet1!$B$3:$G$3</c:f>
              <c:numCache>
                <c:formatCode>0.0</c:formatCode>
                <c:ptCount val="6"/>
                <c:pt idx="0">
                  <c:v>-86.876796627369913</c:v>
                </c:pt>
                <c:pt idx="1">
                  <c:v>118.04725989688734</c:v>
                </c:pt>
                <c:pt idx="2">
                  <c:v>396.90663980522777</c:v>
                </c:pt>
                <c:pt idx="3">
                  <c:v>1711.0385052364513</c:v>
                </c:pt>
                <c:pt idx="4">
                  <c:v>2203.8229078117292</c:v>
                </c:pt>
                <c:pt idx="5">
                  <c:v>2429.7941187064707</c:v>
                </c:pt>
              </c:numCache>
            </c:numRef>
          </c:val>
          <c:smooth val="0"/>
          <c:extLst>
            <c:ext xmlns:c16="http://schemas.microsoft.com/office/drawing/2014/chart" uri="{C3380CC4-5D6E-409C-BE32-E72D297353CC}">
              <c16:uniqueId val="{00000002-46DB-40E6-8CF1-A87DB59AF8FF}"/>
            </c:ext>
          </c:extLst>
        </c:ser>
        <c:dLbls>
          <c:showLegendKey val="0"/>
          <c:showVal val="0"/>
          <c:showCatName val="0"/>
          <c:showSerName val="0"/>
          <c:showPercent val="0"/>
          <c:showBubbleSize val="0"/>
        </c:dLbls>
        <c:marker val="1"/>
        <c:smooth val="0"/>
        <c:axId val="612019200"/>
        <c:axId val="1"/>
      </c:lineChart>
      <c:catAx>
        <c:axId val="612019200"/>
        <c:scaling>
          <c:orientation val="minMax"/>
        </c:scaling>
        <c:delete val="0"/>
        <c:axPos val="b"/>
        <c:numFmt formatCode="General" sourceLinked="1"/>
        <c:majorTickMark val="none"/>
        <c:minorTickMark val="none"/>
        <c:tickLblPos val="low"/>
        <c:spPr>
          <a:noFill/>
          <a:ln w="9522"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0"/>
        <c:lblAlgn val="ctr"/>
        <c:lblOffset val="100"/>
        <c:noMultiLvlLbl val="0"/>
      </c:catAx>
      <c:valAx>
        <c:axId val="1"/>
        <c:scaling>
          <c:orientation val="minMax"/>
          <c:max val="8000"/>
        </c:scaling>
        <c:delete val="0"/>
        <c:axPos val="l"/>
        <c:majorGridlines>
          <c:spPr>
            <a:ln w="9522" cap="flat" cmpd="sng" algn="ctr">
              <a:solidFill>
                <a:schemeClr val="tx1">
                  <a:lumMod val="15000"/>
                  <a:lumOff val="85000"/>
                </a:schemeClr>
              </a:solidFill>
              <a:round/>
            </a:ln>
            <a:effectLst/>
          </c:spPr>
        </c:majorGridlines>
        <c:numFmt formatCode="0.0" sourceLinked="1"/>
        <c:majorTickMark val="none"/>
        <c:minorTickMark val="none"/>
        <c:tickLblPos val="nextTo"/>
        <c:spPr>
          <a:ln w="9522">
            <a:noFill/>
          </a:ln>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12019200"/>
        <c:crosses val="autoZero"/>
        <c:crossBetween val="between"/>
      </c:valAx>
      <c:spPr>
        <a:noFill/>
        <a:ln w="25392">
          <a:noFill/>
        </a:ln>
      </c:spPr>
    </c:plotArea>
    <c:legend>
      <c:legendPos val="b"/>
      <c:layout>
        <c:manualLayout>
          <c:xMode val="edge"/>
          <c:yMode val="edge"/>
          <c:x val="2.6643914092781745E-2"/>
          <c:y val="0.78998287185932747"/>
          <c:w val="0.93878777536708835"/>
          <c:h val="0.17414266878612006"/>
        </c:manualLayout>
      </c:layout>
      <c:overlay val="0"/>
      <c:spPr>
        <a:noFill/>
        <a:ln w="25392">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56034061083273679"/>
        </c:manualLayout>
      </c:layout>
      <c:barChart>
        <c:barDir val="col"/>
        <c:grouping val="stacked"/>
        <c:varyColors val="0"/>
        <c:ser>
          <c:idx val="1"/>
          <c:order val="0"/>
          <c:tx>
            <c:strRef>
              <c:f>Sheet1!$A$2</c:f>
              <c:strCache>
                <c:ptCount val="1"/>
                <c:pt idx="0">
                  <c:v>Արտահանում</c:v>
                </c:pt>
              </c:strCache>
            </c:strRef>
          </c:tx>
          <c:spPr>
            <a:solidFill>
              <a:srgbClr val="1F497D"/>
            </a:solidFill>
            <a:ln w="25392">
              <a:noFill/>
            </a:ln>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Sheet1!$B$2:$G$2</c:f>
              <c:numCache>
                <c:formatCode>0</c:formatCode>
                <c:ptCount val="6"/>
                <c:pt idx="0">
                  <c:v>3360.7164789775707</c:v>
                </c:pt>
                <c:pt idx="1">
                  <c:v>2718.8484999455832</c:v>
                </c:pt>
                <c:pt idx="2">
                  <c:v>3276.6246861539385</c:v>
                </c:pt>
                <c:pt idx="3">
                  <c:v>5717.869650665647</c:v>
                </c:pt>
                <c:pt idx="4">
                  <c:v>7147.3370633320592</c:v>
                </c:pt>
                <c:pt idx="5">
                  <c:v>7597.6192983219789</c:v>
                </c:pt>
              </c:numCache>
            </c:numRef>
          </c:val>
          <c:extLst>
            <c:ext xmlns:c16="http://schemas.microsoft.com/office/drawing/2014/chart" uri="{C3380CC4-5D6E-409C-BE32-E72D297353CC}">
              <c16:uniqueId val="{00000000-ED46-4E1E-9BF5-EB046EB3F938}"/>
            </c:ext>
          </c:extLst>
        </c:ser>
        <c:ser>
          <c:idx val="2"/>
          <c:order val="2"/>
          <c:tx>
            <c:strRef>
              <c:f>Sheet1!$A$4</c:f>
              <c:strCache>
                <c:ptCount val="1"/>
                <c:pt idx="0">
                  <c:v>Ներմուծում</c:v>
                </c:pt>
              </c:strCache>
            </c:strRef>
          </c:tx>
          <c:spPr>
            <a:solidFill>
              <a:schemeClr val="accent1">
                <a:lumMod val="60000"/>
                <a:lumOff val="40000"/>
              </a:schemeClr>
            </a:solidFill>
            <a:ln>
              <a:noFill/>
            </a:ln>
            <a:effectLst/>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Sheet1!$B$4:$G$4</c:f>
              <c:numCache>
                <c:formatCode>0</c:formatCode>
                <c:ptCount val="6"/>
                <c:pt idx="0">
                  <c:v>-5082.8234412135489</c:v>
                </c:pt>
                <c:pt idx="1">
                  <c:v>-4101.0019728661173</c:v>
                </c:pt>
                <c:pt idx="2">
                  <c:v>-4781.3937392531243</c:v>
                </c:pt>
                <c:pt idx="3">
                  <c:v>-7577.1103204685287</c:v>
                </c:pt>
                <c:pt idx="4">
                  <c:v>-9888.1289682114293</c:v>
                </c:pt>
                <c:pt idx="5">
                  <c:v>-10659.4030277319</c:v>
                </c:pt>
              </c:numCache>
            </c:numRef>
          </c:val>
          <c:extLst>
            <c:ext xmlns:c16="http://schemas.microsoft.com/office/drawing/2014/chart" uri="{C3380CC4-5D6E-409C-BE32-E72D297353CC}">
              <c16:uniqueId val="{00000001-ED46-4E1E-9BF5-EB046EB3F938}"/>
            </c:ext>
          </c:extLst>
        </c:ser>
        <c:dLbls>
          <c:showLegendKey val="0"/>
          <c:showVal val="0"/>
          <c:showCatName val="0"/>
          <c:showSerName val="0"/>
          <c:showPercent val="0"/>
          <c:showBubbleSize val="0"/>
        </c:dLbls>
        <c:gapWidth val="150"/>
        <c:overlap val="100"/>
        <c:axId val="612018784"/>
        <c:axId val="1"/>
      </c:barChart>
      <c:lineChart>
        <c:grouping val="standard"/>
        <c:varyColors val="0"/>
        <c:ser>
          <c:idx val="0"/>
          <c:order val="1"/>
          <c:tx>
            <c:strRef>
              <c:f>Sheet1!$A$3</c:f>
              <c:strCache>
                <c:ptCount val="1"/>
                <c:pt idx="0">
                  <c:v>Առևտրային հաշվեկշիռ</c:v>
                </c:pt>
              </c:strCache>
            </c:strRef>
          </c:tx>
          <c:spPr>
            <a:ln w="28566" cap="rnd">
              <a:solidFill>
                <a:schemeClr val="accent1"/>
              </a:solidFill>
              <a:round/>
            </a:ln>
            <a:effectLst/>
          </c:spPr>
          <c:marker>
            <c:symbol val="circle"/>
            <c:size val="4"/>
            <c:spPr>
              <a:solidFill>
                <a:schemeClr val="accent1"/>
              </a:solidFill>
              <a:ln w="9522">
                <a:solidFill>
                  <a:schemeClr val="accent1"/>
                </a:solidFill>
              </a:ln>
              <a:effectLst/>
            </c:spPr>
          </c:marker>
          <c:dLbls>
            <c:spPr>
              <a:noFill/>
              <a:ln w="25392">
                <a:noFill/>
              </a:ln>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2019</c:v>
                </c:pt>
                <c:pt idx="1">
                  <c:v>2020</c:v>
                </c:pt>
                <c:pt idx="2">
                  <c:v>2021</c:v>
                </c:pt>
                <c:pt idx="3">
                  <c:v>2022</c:v>
                </c:pt>
                <c:pt idx="4">
                  <c:v>2023</c:v>
                </c:pt>
                <c:pt idx="5">
                  <c:v>2024</c:v>
                </c:pt>
              </c:numCache>
            </c:numRef>
          </c:cat>
          <c:val>
            <c:numRef>
              <c:f>Sheet1!$B$3:$G$3</c:f>
              <c:numCache>
                <c:formatCode>0</c:formatCode>
                <c:ptCount val="6"/>
                <c:pt idx="0">
                  <c:v>-1722.1069622359782</c:v>
                </c:pt>
                <c:pt idx="1">
                  <c:v>-1382.1534729205341</c:v>
                </c:pt>
                <c:pt idx="2">
                  <c:v>-1504.7690530991858</c:v>
                </c:pt>
                <c:pt idx="3">
                  <c:v>-1859.2406698028817</c:v>
                </c:pt>
                <c:pt idx="4">
                  <c:v>-2740.7919048793701</c:v>
                </c:pt>
                <c:pt idx="5">
                  <c:v>-3061.7837294099209</c:v>
                </c:pt>
              </c:numCache>
            </c:numRef>
          </c:val>
          <c:smooth val="0"/>
          <c:extLst>
            <c:ext xmlns:c16="http://schemas.microsoft.com/office/drawing/2014/chart" uri="{C3380CC4-5D6E-409C-BE32-E72D297353CC}">
              <c16:uniqueId val="{00000002-ED46-4E1E-9BF5-EB046EB3F938}"/>
            </c:ext>
          </c:extLst>
        </c:ser>
        <c:dLbls>
          <c:showLegendKey val="0"/>
          <c:showVal val="0"/>
          <c:showCatName val="0"/>
          <c:showSerName val="0"/>
          <c:showPercent val="0"/>
          <c:showBubbleSize val="0"/>
        </c:dLbls>
        <c:marker val="1"/>
        <c:smooth val="0"/>
        <c:axId val="612018784"/>
        <c:axId val="1"/>
      </c:lineChart>
      <c:catAx>
        <c:axId val="612018784"/>
        <c:scaling>
          <c:orientation val="minMax"/>
        </c:scaling>
        <c:delete val="0"/>
        <c:axPos val="b"/>
        <c:numFmt formatCode="General" sourceLinked="1"/>
        <c:majorTickMark val="none"/>
        <c:minorTickMark val="none"/>
        <c:tickLblPos val="low"/>
        <c:spPr>
          <a:noFill/>
          <a:ln w="9522"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0"/>
        <c:lblAlgn val="ctr"/>
        <c:lblOffset val="100"/>
        <c:noMultiLvlLbl val="0"/>
      </c:catAx>
      <c:valAx>
        <c:axId val="1"/>
        <c:scaling>
          <c:orientation val="minMax"/>
        </c:scaling>
        <c:delete val="0"/>
        <c:axPos val="l"/>
        <c:majorGridlines>
          <c:spPr>
            <a:ln w="9522" cap="flat" cmpd="sng" algn="ctr">
              <a:solidFill>
                <a:schemeClr val="tx1">
                  <a:lumMod val="15000"/>
                  <a:lumOff val="85000"/>
                </a:schemeClr>
              </a:solidFill>
              <a:round/>
            </a:ln>
            <a:effectLst/>
          </c:spPr>
        </c:majorGridlines>
        <c:numFmt formatCode="0" sourceLinked="1"/>
        <c:majorTickMark val="none"/>
        <c:minorTickMark val="none"/>
        <c:tickLblPos val="nextTo"/>
        <c:spPr>
          <a:ln w="9522">
            <a:noFill/>
          </a:ln>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12018784"/>
        <c:crosses val="autoZero"/>
        <c:crossBetween val="between"/>
      </c:valAx>
      <c:spPr>
        <a:noFill/>
        <a:ln w="25392">
          <a:noFill/>
        </a:ln>
      </c:spPr>
    </c:plotArea>
    <c:legend>
      <c:legendPos val="b"/>
      <c:layout>
        <c:manualLayout>
          <c:xMode val="edge"/>
          <c:yMode val="edge"/>
          <c:x val="2.4415891338268408E-2"/>
          <c:y val="0.80762262671711493"/>
          <c:w val="0.95923456584490496"/>
          <c:h val="0.17773587960595835"/>
        </c:manualLayout>
      </c:layout>
      <c:overlay val="0"/>
      <c:spPr>
        <a:noFill/>
        <a:ln w="25392">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64150943396226412"/>
        </c:manualLayout>
      </c:layout>
      <c:barChart>
        <c:barDir val="col"/>
        <c:grouping val="stacked"/>
        <c:varyColors val="0"/>
        <c:ser>
          <c:idx val="1"/>
          <c:order val="0"/>
          <c:tx>
            <c:strRef>
              <c:f>Sheet1!$A$2</c:f>
              <c:strCache>
                <c:ptCount val="1"/>
                <c:pt idx="0">
                  <c:v>Տրանսֆերտներ</c:v>
                </c:pt>
              </c:strCache>
            </c:strRef>
          </c:tx>
          <c:spPr>
            <a:solidFill>
              <a:srgbClr val="1F497D"/>
            </a:solidFill>
            <a:ln w="25379">
              <a:noFill/>
            </a:ln>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Sheet1!$B$2:$G$2</c:f>
              <c:numCache>
                <c:formatCode>0.0</c:formatCode>
                <c:ptCount val="6"/>
                <c:pt idx="0">
                  <c:v>517.70303101684067</c:v>
                </c:pt>
                <c:pt idx="1">
                  <c:v>785.74527935314973</c:v>
                </c:pt>
                <c:pt idx="2">
                  <c:v>954.48578574101248</c:v>
                </c:pt>
                <c:pt idx="3">
                  <c:v>1218.8690739532603</c:v>
                </c:pt>
                <c:pt idx="4">
                  <c:v>969.00091379284197</c:v>
                </c:pt>
                <c:pt idx="5">
                  <c:v>1006.7919494307628</c:v>
                </c:pt>
              </c:numCache>
            </c:numRef>
          </c:val>
          <c:extLst>
            <c:ext xmlns:c16="http://schemas.microsoft.com/office/drawing/2014/chart" uri="{C3380CC4-5D6E-409C-BE32-E72D297353CC}">
              <c16:uniqueId val="{00000000-A598-4531-AC29-D9B740EE1D81}"/>
            </c:ext>
          </c:extLst>
        </c:ser>
        <c:ser>
          <c:idx val="2"/>
          <c:order val="2"/>
          <c:tx>
            <c:strRef>
              <c:f>Sheet1!$A$4</c:f>
              <c:strCache>
                <c:ptCount val="1"/>
                <c:pt idx="0">
                  <c:v>Աշխատողների վարձատրություն</c:v>
                </c:pt>
              </c:strCache>
            </c:strRef>
          </c:tx>
          <c:spPr>
            <a:solidFill>
              <a:schemeClr val="accent1">
                <a:lumMod val="60000"/>
                <a:lumOff val="40000"/>
              </a:schemeClr>
            </a:solidFill>
            <a:ln>
              <a:noFill/>
            </a:ln>
            <a:effectLst/>
          </c:spPr>
          <c:invertIfNegative val="0"/>
          <c:cat>
            <c:numRef>
              <c:f>Sheet1!$B$1:$G$1</c:f>
              <c:numCache>
                <c:formatCode>General</c:formatCode>
                <c:ptCount val="6"/>
                <c:pt idx="0">
                  <c:v>2019</c:v>
                </c:pt>
                <c:pt idx="1">
                  <c:v>2020</c:v>
                </c:pt>
                <c:pt idx="2">
                  <c:v>2021</c:v>
                </c:pt>
                <c:pt idx="3">
                  <c:v>2022</c:v>
                </c:pt>
                <c:pt idx="4">
                  <c:v>2023</c:v>
                </c:pt>
                <c:pt idx="5">
                  <c:v>2024</c:v>
                </c:pt>
              </c:numCache>
            </c:numRef>
          </c:cat>
          <c:val>
            <c:numRef>
              <c:f>Sheet1!$B$4:$G$4</c:f>
              <c:numCache>
                <c:formatCode>0.0</c:formatCode>
                <c:ptCount val="6"/>
                <c:pt idx="0">
                  <c:v>675.4015659288516</c:v>
                </c:pt>
                <c:pt idx="1">
                  <c:v>286.39074659269698</c:v>
                </c:pt>
                <c:pt idx="2">
                  <c:v>319.53352658197639</c:v>
                </c:pt>
                <c:pt idx="3">
                  <c:v>319.43854999852084</c:v>
                </c:pt>
                <c:pt idx="4">
                  <c:v>253.95364724882407</c:v>
                </c:pt>
                <c:pt idx="5">
                  <c:v>263.85783949152818</c:v>
                </c:pt>
              </c:numCache>
            </c:numRef>
          </c:val>
          <c:extLst>
            <c:ext xmlns:c16="http://schemas.microsoft.com/office/drawing/2014/chart" uri="{C3380CC4-5D6E-409C-BE32-E72D297353CC}">
              <c16:uniqueId val="{00000001-A598-4531-AC29-D9B740EE1D81}"/>
            </c:ext>
          </c:extLst>
        </c:ser>
        <c:dLbls>
          <c:showLegendKey val="0"/>
          <c:showVal val="0"/>
          <c:showCatName val="0"/>
          <c:showSerName val="0"/>
          <c:showPercent val="0"/>
          <c:showBubbleSize val="0"/>
        </c:dLbls>
        <c:gapWidth val="150"/>
        <c:overlap val="100"/>
        <c:axId val="612018368"/>
        <c:axId val="1"/>
      </c:barChart>
      <c:lineChart>
        <c:grouping val="standard"/>
        <c:varyColors val="0"/>
        <c:ser>
          <c:idx val="0"/>
          <c:order val="1"/>
          <c:tx>
            <c:strRef>
              <c:f>Sheet1!$A$3</c:f>
              <c:strCache>
                <c:ptCount val="1"/>
                <c:pt idx="0">
                  <c:v>Դրամական փոխանցումներ</c:v>
                </c:pt>
              </c:strCache>
            </c:strRef>
          </c:tx>
          <c:spPr>
            <a:ln w="28552" cap="rnd">
              <a:solidFill>
                <a:schemeClr val="accent1"/>
              </a:solidFill>
              <a:round/>
            </a:ln>
            <a:effectLst/>
          </c:spPr>
          <c:marker>
            <c:symbol val="circle"/>
            <c:size val="4"/>
            <c:spPr>
              <a:solidFill>
                <a:schemeClr val="accent1"/>
              </a:solidFill>
              <a:ln w="9517">
                <a:solidFill>
                  <a:schemeClr val="accent1"/>
                </a:solidFill>
              </a:ln>
              <a:effectLst/>
            </c:spPr>
          </c:marker>
          <c:dLbls>
            <c:spPr>
              <a:noFill/>
              <a:ln w="25379">
                <a:noFill/>
              </a:ln>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2019</c:v>
                </c:pt>
                <c:pt idx="1">
                  <c:v>2020</c:v>
                </c:pt>
                <c:pt idx="2">
                  <c:v>2021</c:v>
                </c:pt>
                <c:pt idx="3">
                  <c:v>2022</c:v>
                </c:pt>
                <c:pt idx="4">
                  <c:v>2023</c:v>
                </c:pt>
                <c:pt idx="5">
                  <c:v>2024</c:v>
                </c:pt>
              </c:numCache>
            </c:numRef>
          </c:cat>
          <c:val>
            <c:numRef>
              <c:f>Sheet1!$B$3:$G$3</c:f>
              <c:numCache>
                <c:formatCode>0.0</c:formatCode>
                <c:ptCount val="6"/>
                <c:pt idx="0">
                  <c:v>1193.1045969456923</c:v>
                </c:pt>
                <c:pt idx="1">
                  <c:v>1072.1360259458468</c:v>
                </c:pt>
                <c:pt idx="2">
                  <c:v>1274.0193123229888</c:v>
                </c:pt>
                <c:pt idx="3">
                  <c:v>1538.3076239517811</c:v>
                </c:pt>
                <c:pt idx="4">
                  <c:v>1222.954561041666</c:v>
                </c:pt>
                <c:pt idx="5">
                  <c:v>1270.649788922291</c:v>
                </c:pt>
              </c:numCache>
            </c:numRef>
          </c:val>
          <c:smooth val="0"/>
          <c:extLst>
            <c:ext xmlns:c16="http://schemas.microsoft.com/office/drawing/2014/chart" uri="{C3380CC4-5D6E-409C-BE32-E72D297353CC}">
              <c16:uniqueId val="{00000002-A598-4531-AC29-D9B740EE1D81}"/>
            </c:ext>
          </c:extLst>
        </c:ser>
        <c:dLbls>
          <c:showLegendKey val="0"/>
          <c:showVal val="0"/>
          <c:showCatName val="0"/>
          <c:showSerName val="0"/>
          <c:showPercent val="0"/>
          <c:showBubbleSize val="0"/>
        </c:dLbls>
        <c:marker val="1"/>
        <c:smooth val="0"/>
        <c:axId val="612018368"/>
        <c:axId val="1"/>
      </c:lineChart>
      <c:catAx>
        <c:axId val="612018368"/>
        <c:scaling>
          <c:orientation val="minMax"/>
        </c:scaling>
        <c:delete val="0"/>
        <c:axPos val="b"/>
        <c:numFmt formatCode="General" sourceLinked="1"/>
        <c:majorTickMark val="none"/>
        <c:minorTickMark val="none"/>
        <c:tickLblPos val="low"/>
        <c:spPr>
          <a:noFill/>
          <a:ln w="9517" cap="flat" cmpd="sng" algn="ctr">
            <a:solidFill>
              <a:schemeClr val="tx1">
                <a:lumMod val="15000"/>
                <a:lumOff val="85000"/>
              </a:schemeClr>
            </a:solidFill>
            <a:round/>
          </a:ln>
          <a:effectLst/>
        </c:spPr>
        <c:txPr>
          <a:bodyPr rot="0" spcFirstLastPara="1" vertOverflow="ellipsis"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0"/>
        <c:lblAlgn val="ctr"/>
        <c:lblOffset val="100"/>
        <c:noMultiLvlLbl val="0"/>
      </c:catAx>
      <c:valAx>
        <c:axId val="1"/>
        <c:scaling>
          <c:orientation val="minMax"/>
        </c:scaling>
        <c:delete val="0"/>
        <c:axPos val="l"/>
        <c:majorGridlines>
          <c:spPr>
            <a:ln w="9517" cap="flat" cmpd="sng" algn="ctr">
              <a:solidFill>
                <a:schemeClr val="tx1">
                  <a:lumMod val="15000"/>
                  <a:lumOff val="85000"/>
                </a:schemeClr>
              </a:solidFill>
              <a:round/>
            </a:ln>
            <a:effectLst/>
          </c:spPr>
        </c:majorGridlines>
        <c:numFmt formatCode="0.0" sourceLinked="1"/>
        <c:majorTickMark val="none"/>
        <c:minorTickMark val="none"/>
        <c:tickLblPos val="nextTo"/>
        <c:spPr>
          <a:ln w="9517">
            <a:noFill/>
          </a:ln>
        </c:spPr>
        <c:txPr>
          <a:bodyPr rot="0" spcFirstLastPara="1" vertOverflow="ellipsis"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12018368"/>
        <c:crosses val="autoZero"/>
        <c:crossBetween val="between"/>
      </c:valAx>
      <c:spPr>
        <a:noFill/>
        <a:ln w="25379">
          <a:noFill/>
        </a:ln>
      </c:spPr>
    </c:plotArea>
    <c:legend>
      <c:legendPos val="b"/>
      <c:layout>
        <c:manualLayout>
          <c:xMode val="edge"/>
          <c:yMode val="edge"/>
          <c:x val="8.2198548710822918E-3"/>
          <c:y val="0.79954388476560057"/>
          <c:w val="0.92742579004249859"/>
          <c:h val="0.18230192517801302"/>
        </c:manualLayout>
      </c:layout>
      <c:overlay val="0"/>
      <c:spPr>
        <a:noFill/>
        <a:ln w="25379">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38663563281004"/>
          <c:y val="4.912280701754386E-2"/>
          <c:w val="0.8114917710757853"/>
          <c:h val="0.49285734988647889"/>
        </c:manualLayout>
      </c:layout>
      <c:lineChart>
        <c:grouping val="standard"/>
        <c:varyColors val="0"/>
        <c:ser>
          <c:idx val="0"/>
          <c:order val="0"/>
          <c:tx>
            <c:strRef>
              <c:f>Sheet1!$A$2</c:f>
              <c:strCache>
                <c:ptCount val="1"/>
                <c:pt idx="0">
                  <c:v>Իրական փոփոխությունը (կուտակային)</c:v>
                </c:pt>
              </c:strCache>
            </c:strRef>
          </c:tx>
          <c:spPr>
            <a:ln w="28575" cap="rnd">
              <a:solidFill>
                <a:srgbClr val="1F497D"/>
              </a:solidFill>
              <a:round/>
            </a:ln>
            <a:effectLst/>
          </c:spPr>
          <c:marker>
            <c:symbol val="circle"/>
            <c:size val="5"/>
            <c:spPr>
              <a:solidFill>
                <a:srgbClr val="1F497D"/>
              </a:solidFill>
              <a:ln w="9525">
                <a:solidFill>
                  <a:srgbClr val="1F497D"/>
                </a:solidFill>
              </a:ln>
              <a:effectLst/>
            </c:spPr>
          </c:marker>
          <c:cat>
            <c:strRef>
              <c:f>Sheet1!$B$1:$H$1</c:f>
              <c:strCache>
                <c:ptCount val="7"/>
                <c:pt idx="0">
                  <c:v>2023-1</c:v>
                </c:pt>
                <c:pt idx="1">
                  <c:v>2023-2</c:v>
                </c:pt>
                <c:pt idx="2">
                  <c:v>2023-3</c:v>
                </c:pt>
                <c:pt idx="3">
                  <c:v>2023-4</c:v>
                </c:pt>
                <c:pt idx="4">
                  <c:v>2023-5</c:v>
                </c:pt>
                <c:pt idx="5">
                  <c:v>2023-6</c:v>
                </c:pt>
                <c:pt idx="6">
                  <c:v>2023-7</c:v>
                </c:pt>
              </c:strCache>
            </c:strRef>
          </c:cat>
          <c:val>
            <c:numRef>
              <c:f>Sheet1!$B$2:$H$2</c:f>
              <c:numCache>
                <c:formatCode>0.0</c:formatCode>
                <c:ptCount val="7"/>
                <c:pt idx="0">
                  <c:v>28.566194634441928</c:v>
                </c:pt>
                <c:pt idx="1">
                  <c:v>39.355577872041039</c:v>
                </c:pt>
                <c:pt idx="2">
                  <c:v>54.458687399181827</c:v>
                </c:pt>
                <c:pt idx="3">
                  <c:v>50.095783286050391</c:v>
                </c:pt>
                <c:pt idx="4">
                  <c:v>42.977371177495655</c:v>
                </c:pt>
                <c:pt idx="5">
                  <c:v>27.078459955828208</c:v>
                </c:pt>
                <c:pt idx="6">
                  <c:v>20.407073651411338</c:v>
                </c:pt>
              </c:numCache>
            </c:numRef>
          </c:val>
          <c:smooth val="0"/>
          <c:extLst>
            <c:ext xmlns:c16="http://schemas.microsoft.com/office/drawing/2014/chart" uri="{C3380CC4-5D6E-409C-BE32-E72D297353CC}">
              <c16:uniqueId val="{00000000-7EC4-4298-8D89-F87F95FE1A8A}"/>
            </c:ext>
          </c:extLst>
        </c:ser>
        <c:ser>
          <c:idx val="1"/>
          <c:order val="1"/>
          <c:tx>
            <c:strRef>
              <c:f>Sheet1!$A$3</c:f>
              <c:strCache>
                <c:ptCount val="1"/>
                <c:pt idx="0">
                  <c:v>Գնային փոփոխություն (կուտակային)</c:v>
                </c:pt>
              </c:strCache>
            </c:strRef>
          </c:tx>
          <c:spPr>
            <a:ln>
              <a:solidFill>
                <a:srgbClr val="ED7D31">
                  <a:lumMod val="60000"/>
                  <a:lumOff val="40000"/>
                </a:srgbClr>
              </a:solidFill>
            </a:ln>
          </c:spPr>
          <c:marker>
            <c:spPr>
              <a:solidFill>
                <a:srgbClr val="ED7D31">
                  <a:lumMod val="60000"/>
                  <a:lumOff val="40000"/>
                </a:srgbClr>
              </a:solidFill>
              <a:ln>
                <a:solidFill>
                  <a:srgbClr val="ED7D31">
                    <a:lumMod val="60000"/>
                    <a:lumOff val="40000"/>
                  </a:srgbClr>
                </a:solidFill>
              </a:ln>
            </c:spPr>
          </c:marker>
          <c:cat>
            <c:strRef>
              <c:f>Sheet1!$B$1:$H$1</c:f>
              <c:strCache>
                <c:ptCount val="7"/>
                <c:pt idx="0">
                  <c:v>2023-1</c:v>
                </c:pt>
                <c:pt idx="1">
                  <c:v>2023-2</c:v>
                </c:pt>
                <c:pt idx="2">
                  <c:v>2023-3</c:v>
                </c:pt>
                <c:pt idx="3">
                  <c:v>2023-4</c:v>
                </c:pt>
                <c:pt idx="4">
                  <c:v>2023-5</c:v>
                </c:pt>
                <c:pt idx="5">
                  <c:v>2023-6</c:v>
                </c:pt>
                <c:pt idx="6">
                  <c:v>2023-7</c:v>
                </c:pt>
              </c:strCache>
            </c:strRef>
          </c:cat>
          <c:val>
            <c:numRef>
              <c:f>Sheet1!$B$3:$H$3</c:f>
              <c:numCache>
                <c:formatCode>0.0</c:formatCode>
                <c:ptCount val="7"/>
                <c:pt idx="0">
                  <c:v>15.124913855037533</c:v>
                </c:pt>
                <c:pt idx="1">
                  <c:v>16.560156378290145</c:v>
                </c:pt>
                <c:pt idx="2">
                  <c:v>15.235523223326268</c:v>
                </c:pt>
                <c:pt idx="3">
                  <c:v>13.188480905953895</c:v>
                </c:pt>
                <c:pt idx="4">
                  <c:v>13.470134015238727</c:v>
                </c:pt>
                <c:pt idx="5">
                  <c:v>13.911436262129698</c:v>
                </c:pt>
                <c:pt idx="6">
                  <c:v>13.911401112630017</c:v>
                </c:pt>
              </c:numCache>
            </c:numRef>
          </c:val>
          <c:smooth val="0"/>
          <c:extLst>
            <c:ext xmlns:c16="http://schemas.microsoft.com/office/drawing/2014/chart" uri="{C3380CC4-5D6E-409C-BE32-E72D297353CC}">
              <c16:uniqueId val="{00000001-7EC4-4298-8D89-F87F95FE1A8A}"/>
            </c:ext>
          </c:extLst>
        </c:ser>
        <c:ser>
          <c:idx val="2"/>
          <c:order val="2"/>
          <c:tx>
            <c:strRef>
              <c:f>Sheet1!$A$4</c:f>
              <c:strCache>
                <c:ptCount val="1"/>
                <c:pt idx="0">
                  <c:v>Փոխարժեքի փոփոխություն (կուտակային)</c:v>
                </c:pt>
              </c:strCache>
            </c:strRef>
          </c:tx>
          <c:cat>
            <c:strRef>
              <c:f>Sheet1!$B$1:$H$1</c:f>
              <c:strCache>
                <c:ptCount val="7"/>
                <c:pt idx="0">
                  <c:v>2023-1</c:v>
                </c:pt>
                <c:pt idx="1">
                  <c:v>2023-2</c:v>
                </c:pt>
                <c:pt idx="2">
                  <c:v>2023-3</c:v>
                </c:pt>
                <c:pt idx="3">
                  <c:v>2023-4</c:v>
                </c:pt>
                <c:pt idx="4">
                  <c:v>2023-5</c:v>
                </c:pt>
                <c:pt idx="5">
                  <c:v>2023-6</c:v>
                </c:pt>
                <c:pt idx="6">
                  <c:v>2023-7</c:v>
                </c:pt>
              </c:strCache>
            </c:strRef>
          </c:cat>
          <c:val>
            <c:numRef>
              <c:f>Sheet1!$B$4:$H$4</c:f>
              <c:numCache>
                <c:formatCode>0.0</c:formatCode>
                <c:ptCount val="7"/>
                <c:pt idx="0">
                  <c:v>21.748465482836153</c:v>
                </c:pt>
                <c:pt idx="1">
                  <c:v>21.903108926444887</c:v>
                </c:pt>
                <c:pt idx="2">
                  <c:v>23.893256805175866</c:v>
                </c:pt>
                <c:pt idx="3">
                  <c:v>23.293218866574691</c:v>
                </c:pt>
                <c:pt idx="4">
                  <c:v>22.265480922913</c:v>
                </c:pt>
                <c:pt idx="5">
                  <c:v>20.124425440940684</c:v>
                </c:pt>
                <c:pt idx="6">
                  <c:v>18.168708651189448</c:v>
                </c:pt>
              </c:numCache>
            </c:numRef>
          </c:val>
          <c:smooth val="0"/>
          <c:extLst>
            <c:ext xmlns:c16="http://schemas.microsoft.com/office/drawing/2014/chart" uri="{C3380CC4-5D6E-409C-BE32-E72D297353CC}">
              <c16:uniqueId val="{00000002-7EC4-4298-8D89-F87F95FE1A8A}"/>
            </c:ext>
          </c:extLst>
        </c:ser>
        <c:dLbls>
          <c:showLegendKey val="0"/>
          <c:showVal val="0"/>
          <c:showCatName val="0"/>
          <c:showSerName val="0"/>
          <c:showPercent val="0"/>
          <c:showBubbleSize val="0"/>
        </c:dLbls>
        <c:marker val="1"/>
        <c:smooth val="0"/>
        <c:axId val="213832832"/>
        <c:axId val="213834752"/>
      </c:lineChart>
      <c:catAx>
        <c:axId val="2138328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3834752"/>
        <c:crosses val="autoZero"/>
        <c:auto val="1"/>
        <c:lblAlgn val="ctr"/>
        <c:lblOffset val="100"/>
        <c:noMultiLvlLbl val="0"/>
      </c:catAx>
      <c:valAx>
        <c:axId val="2138347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3832832"/>
        <c:crosses val="autoZero"/>
        <c:crossBetween val="between"/>
      </c:valAx>
      <c:spPr>
        <a:noFill/>
        <a:ln>
          <a:noFill/>
        </a:ln>
        <a:effectLst/>
      </c:spPr>
    </c:plotArea>
    <c:legend>
      <c:legendPos val="b"/>
      <c:layout>
        <c:manualLayout>
          <c:xMode val="edge"/>
          <c:yMode val="edge"/>
          <c:x val="1.2903481404447125E-2"/>
          <c:y val="0.64146079899521757"/>
          <c:w val="0.9346329024096246"/>
          <c:h val="0.3585392010047823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75000"/>
        </a:sysClr>
      </a:solidFill>
      <a:round/>
    </a:ln>
    <a:effectLst/>
  </c:spPr>
  <c:txPr>
    <a:bodyPr/>
    <a:lstStyle/>
    <a:p>
      <a:pPr>
        <a:defRPr sz="800">
          <a:latin typeface="GHEA Grapalat" panose="02000506050000020003" pitchFamily="50"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02378893389791"/>
          <c:y val="7.7192982456140549E-2"/>
          <c:w val="0.85358700104683449"/>
          <c:h val="0.53218566100289999"/>
        </c:manualLayout>
      </c:layout>
      <c:lineChart>
        <c:grouping val="standard"/>
        <c:varyColors val="0"/>
        <c:ser>
          <c:idx val="0"/>
          <c:order val="0"/>
          <c:tx>
            <c:strRef>
              <c:f>Sheet1!$A$2</c:f>
              <c:strCache>
                <c:ptCount val="1"/>
                <c:pt idx="0">
                  <c:v>Անվանական 12 ամսյա փոփոխություն </c:v>
                </c:pt>
              </c:strCache>
            </c:strRef>
          </c:tx>
          <c:spPr>
            <a:ln w="28575" cap="rnd">
              <a:solidFill>
                <a:srgbClr val="1F497D"/>
              </a:solidFill>
              <a:round/>
            </a:ln>
            <a:effectLst/>
          </c:spPr>
          <c:marker>
            <c:symbol val="circle"/>
            <c:size val="5"/>
            <c:spPr>
              <a:solidFill>
                <a:srgbClr val="1F497D"/>
              </a:solidFill>
              <a:ln w="9525">
                <a:solidFill>
                  <a:srgbClr val="1F497D"/>
                </a:solidFill>
              </a:ln>
              <a:effectLst/>
            </c:spPr>
          </c:marker>
          <c:cat>
            <c:strRef>
              <c:f>Sheet1!$B$1:$H$1</c:f>
              <c:strCache>
                <c:ptCount val="7"/>
                <c:pt idx="0">
                  <c:v>2023-1</c:v>
                </c:pt>
                <c:pt idx="1">
                  <c:v>2023-2</c:v>
                </c:pt>
                <c:pt idx="2">
                  <c:v>2023-3</c:v>
                </c:pt>
                <c:pt idx="3">
                  <c:v>2023-4</c:v>
                </c:pt>
                <c:pt idx="4">
                  <c:v>2023-5</c:v>
                </c:pt>
                <c:pt idx="5">
                  <c:v>2023-6</c:v>
                </c:pt>
                <c:pt idx="6">
                  <c:v>2023-7</c:v>
                </c:pt>
              </c:strCache>
            </c:strRef>
          </c:cat>
          <c:val>
            <c:numRef>
              <c:f>Sheet1!$B$2:$H$2</c:f>
              <c:numCache>
                <c:formatCode>0.0</c:formatCode>
                <c:ptCount val="7"/>
                <c:pt idx="0">
                  <c:v>80.199999999999989</c:v>
                </c:pt>
                <c:pt idx="1">
                  <c:v>120</c:v>
                </c:pt>
                <c:pt idx="2">
                  <c:v>167</c:v>
                </c:pt>
                <c:pt idx="3">
                  <c:v>82.139999999999986</c:v>
                </c:pt>
                <c:pt idx="4">
                  <c:v>66.240000000000009</c:v>
                </c:pt>
                <c:pt idx="5">
                  <c:v>5</c:v>
                </c:pt>
                <c:pt idx="6">
                  <c:v>15.64</c:v>
                </c:pt>
              </c:numCache>
            </c:numRef>
          </c:val>
          <c:smooth val="0"/>
          <c:extLst>
            <c:ext xmlns:c16="http://schemas.microsoft.com/office/drawing/2014/chart" uri="{C3380CC4-5D6E-409C-BE32-E72D297353CC}">
              <c16:uniqueId val="{00000000-B1B7-447C-9B4F-AC1E58C05FDE}"/>
            </c:ext>
          </c:extLst>
        </c:ser>
        <c:ser>
          <c:idx val="1"/>
          <c:order val="1"/>
          <c:tx>
            <c:strRef>
              <c:f>Sheet1!$A$3</c:f>
              <c:strCache>
                <c:ptCount val="1"/>
                <c:pt idx="0">
                  <c:v>Անվանական կուտակային փոփոխություն</c:v>
                </c:pt>
              </c:strCache>
            </c:strRef>
          </c:tx>
          <c:spPr>
            <a:ln>
              <a:solidFill>
                <a:srgbClr val="ED7D31">
                  <a:lumMod val="60000"/>
                  <a:lumOff val="40000"/>
                </a:srgbClr>
              </a:solidFill>
            </a:ln>
          </c:spPr>
          <c:marker>
            <c:spPr>
              <a:solidFill>
                <a:srgbClr val="ED7D31">
                  <a:lumMod val="60000"/>
                  <a:lumOff val="40000"/>
                </a:srgbClr>
              </a:solidFill>
              <a:ln>
                <a:solidFill>
                  <a:srgbClr val="ED7D31">
                    <a:lumMod val="60000"/>
                    <a:lumOff val="40000"/>
                  </a:srgbClr>
                </a:solidFill>
              </a:ln>
            </c:spPr>
          </c:marker>
          <c:cat>
            <c:strRef>
              <c:f>Sheet1!$B$1:$H$1</c:f>
              <c:strCache>
                <c:ptCount val="7"/>
                <c:pt idx="0">
                  <c:v>2023-1</c:v>
                </c:pt>
                <c:pt idx="1">
                  <c:v>2023-2</c:v>
                </c:pt>
                <c:pt idx="2">
                  <c:v>2023-3</c:v>
                </c:pt>
                <c:pt idx="3">
                  <c:v>2023-4</c:v>
                </c:pt>
                <c:pt idx="4">
                  <c:v>2023-5</c:v>
                </c:pt>
                <c:pt idx="5">
                  <c:v>2023-6</c:v>
                </c:pt>
                <c:pt idx="6">
                  <c:v>2023-7</c:v>
                </c:pt>
              </c:strCache>
            </c:strRef>
          </c:cat>
          <c:val>
            <c:numRef>
              <c:f>Sheet1!$B$3:$H$3</c:f>
              <c:numCache>
                <c:formatCode>0.0</c:formatCode>
                <c:ptCount val="7"/>
                <c:pt idx="0">
                  <c:v>80.199999999999989</c:v>
                </c:pt>
                <c:pt idx="1">
                  <c:v>100.25465972157784</c:v>
                </c:pt>
                <c:pt idx="2">
                  <c:v>121.31492257843965</c:v>
                </c:pt>
                <c:pt idx="3">
                  <c:v>110.04175419470155</c:v>
                </c:pt>
                <c:pt idx="4">
                  <c:v>98.785957183398295</c:v>
                </c:pt>
                <c:pt idx="5">
                  <c:v>73.856307695660831</c:v>
                </c:pt>
                <c:pt idx="6">
                  <c:v>62.055147325395069</c:v>
                </c:pt>
              </c:numCache>
            </c:numRef>
          </c:val>
          <c:smooth val="0"/>
          <c:extLst>
            <c:ext xmlns:c16="http://schemas.microsoft.com/office/drawing/2014/chart" uri="{C3380CC4-5D6E-409C-BE32-E72D297353CC}">
              <c16:uniqueId val="{00000001-B1B7-447C-9B4F-AC1E58C05FDE}"/>
            </c:ext>
          </c:extLst>
        </c:ser>
        <c:dLbls>
          <c:showLegendKey val="0"/>
          <c:showVal val="0"/>
          <c:showCatName val="0"/>
          <c:showSerName val="0"/>
          <c:showPercent val="0"/>
          <c:showBubbleSize val="0"/>
        </c:dLbls>
        <c:marker val="1"/>
        <c:smooth val="0"/>
        <c:axId val="214255872"/>
        <c:axId val="214269952"/>
      </c:lineChart>
      <c:catAx>
        <c:axId val="2142558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4269952"/>
        <c:crosses val="autoZero"/>
        <c:auto val="1"/>
        <c:lblAlgn val="ctr"/>
        <c:lblOffset val="100"/>
        <c:noMultiLvlLbl val="0"/>
      </c:catAx>
      <c:valAx>
        <c:axId val="214269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4255872"/>
        <c:crosses val="autoZero"/>
        <c:crossBetween val="between"/>
      </c:valAx>
      <c:spPr>
        <a:noFill/>
        <a:ln>
          <a:noFill/>
        </a:ln>
        <a:effectLst/>
      </c:spPr>
    </c:plotArea>
    <c:legend>
      <c:legendPos val="b"/>
      <c:layout>
        <c:manualLayout>
          <c:xMode val="edge"/>
          <c:yMode val="edge"/>
          <c:x val="1.7440690881381768E-2"/>
          <c:y val="0.73505069761016884"/>
          <c:w val="0.97802150537634414"/>
          <c:h val="0.2228440392319382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75000"/>
        </a:sysClr>
      </a:solidFill>
      <a:round/>
    </a:ln>
    <a:effectLst/>
  </c:spPr>
  <c:txPr>
    <a:bodyPr/>
    <a:lstStyle/>
    <a:p>
      <a:pPr>
        <a:defRPr sz="800">
          <a:latin typeface="GHEA Grapalat" panose="02000506050000020003" pitchFamily="50"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2018</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Ընդհանուր</c:v>
                </c:pt>
                <c:pt idx="1">
                  <c:v>ՌԴ </c:v>
                </c:pt>
                <c:pt idx="2">
                  <c:v>Այլ երկրներ</c:v>
                </c:pt>
              </c:strCache>
            </c:strRef>
          </c:cat>
          <c:val>
            <c:numRef>
              <c:f>Sheet1!$B$2:$B$4</c:f>
            </c:numRef>
          </c:val>
          <c:extLst>
            <c:ext xmlns:c16="http://schemas.microsoft.com/office/drawing/2014/chart" uri="{C3380CC4-5D6E-409C-BE32-E72D297353CC}">
              <c16:uniqueId val="{00000000-41BD-434B-9DB0-0279B33CDE06}"/>
            </c:ext>
          </c:extLst>
        </c:ser>
        <c:ser>
          <c:idx val="1"/>
          <c:order val="1"/>
          <c:tx>
            <c:strRef>
              <c:f>Sheet1!$C$1</c:f>
              <c:strCache>
                <c:ptCount val="1"/>
                <c:pt idx="0">
                  <c:v>2019</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Ընդհանուր</c:v>
                </c:pt>
                <c:pt idx="1">
                  <c:v>ՌԴ </c:v>
                </c:pt>
                <c:pt idx="2">
                  <c:v>Այլ երկրներ</c:v>
                </c:pt>
              </c:strCache>
            </c:strRef>
          </c:cat>
          <c:val>
            <c:numRef>
              <c:f>Sheet1!$C$2:$C$4</c:f>
              <c:numCache>
                <c:formatCode>0</c:formatCode>
                <c:ptCount val="3"/>
                <c:pt idx="0">
                  <c:v>770.05499999999995</c:v>
                </c:pt>
                <c:pt idx="1">
                  <c:v>182.50303500000001</c:v>
                </c:pt>
                <c:pt idx="2">
                  <c:v>587.55196499999988</c:v>
                </c:pt>
              </c:numCache>
            </c:numRef>
          </c:val>
          <c:extLst>
            <c:ext xmlns:c16="http://schemas.microsoft.com/office/drawing/2014/chart" uri="{C3380CC4-5D6E-409C-BE32-E72D297353CC}">
              <c16:uniqueId val="{00000001-41BD-434B-9DB0-0279B33CDE06}"/>
            </c:ext>
          </c:extLst>
        </c:ser>
        <c:ser>
          <c:idx val="2"/>
          <c:order val="2"/>
          <c:tx>
            <c:strRef>
              <c:f>Sheet1!$D$1</c:f>
              <c:strCache>
                <c:ptCount val="1"/>
                <c:pt idx="0">
                  <c:v>2020</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Ընդհանուր</c:v>
                </c:pt>
                <c:pt idx="1">
                  <c:v>ՌԴ </c:v>
                </c:pt>
                <c:pt idx="2">
                  <c:v>Այլ երկրներ</c:v>
                </c:pt>
              </c:strCache>
            </c:strRef>
          </c:cat>
          <c:val>
            <c:numRef>
              <c:f>Sheet1!$D$2:$D$4</c:f>
              <c:numCache>
                <c:formatCode>0</c:formatCode>
                <c:ptCount val="3"/>
                <c:pt idx="0">
                  <c:v>307.58999999999997</c:v>
                </c:pt>
                <c:pt idx="1">
                  <c:v>121.093</c:v>
                </c:pt>
                <c:pt idx="2">
                  <c:v>186.49699999999996</c:v>
                </c:pt>
              </c:numCache>
            </c:numRef>
          </c:val>
          <c:extLst>
            <c:ext xmlns:c16="http://schemas.microsoft.com/office/drawing/2014/chart" uri="{C3380CC4-5D6E-409C-BE32-E72D297353CC}">
              <c16:uniqueId val="{00000002-41BD-434B-9DB0-0279B33CDE06}"/>
            </c:ext>
          </c:extLst>
        </c:ser>
        <c:ser>
          <c:idx val="3"/>
          <c:order val="3"/>
          <c:tx>
            <c:strRef>
              <c:f>Sheet1!$E$1</c:f>
              <c:strCache>
                <c:ptCount val="1"/>
                <c:pt idx="0">
                  <c:v>2021</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Ընդհանուր</c:v>
                </c:pt>
                <c:pt idx="1">
                  <c:v>ՌԴ </c:v>
                </c:pt>
                <c:pt idx="2">
                  <c:v>Այլ երկրներ</c:v>
                </c:pt>
              </c:strCache>
            </c:strRef>
          </c:cat>
          <c:val>
            <c:numRef>
              <c:f>Sheet1!$E$2:$E$4</c:f>
              <c:numCache>
                <c:formatCode>0</c:formatCode>
                <c:ptCount val="3"/>
                <c:pt idx="0">
                  <c:v>243.07599999999999</c:v>
                </c:pt>
                <c:pt idx="1">
                  <c:v>95.03</c:v>
                </c:pt>
                <c:pt idx="2">
                  <c:v>148.04599999999999</c:v>
                </c:pt>
              </c:numCache>
            </c:numRef>
          </c:val>
          <c:extLst>
            <c:ext xmlns:c16="http://schemas.microsoft.com/office/drawing/2014/chart" uri="{C3380CC4-5D6E-409C-BE32-E72D297353CC}">
              <c16:uniqueId val="{00000003-41BD-434B-9DB0-0279B33CDE06}"/>
            </c:ext>
          </c:extLst>
        </c:ser>
        <c:ser>
          <c:idx val="4"/>
          <c:order val="4"/>
          <c:tx>
            <c:strRef>
              <c:f>Sheet1!$F$1</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Ընդհանուր</c:v>
                </c:pt>
                <c:pt idx="1">
                  <c:v>ՌԴ </c:v>
                </c:pt>
                <c:pt idx="2">
                  <c:v>Այլ երկրներ</c:v>
                </c:pt>
              </c:strCache>
            </c:strRef>
          </c:cat>
          <c:val>
            <c:numRef>
              <c:f>Sheet1!$F$2:$F$4</c:f>
              <c:numCache>
                <c:formatCode>0</c:formatCode>
                <c:ptCount val="3"/>
                <c:pt idx="0">
                  <c:v>588.73099999999999</c:v>
                </c:pt>
                <c:pt idx="1">
                  <c:v>251.035</c:v>
                </c:pt>
                <c:pt idx="2">
                  <c:v>337.69600000000003</c:v>
                </c:pt>
              </c:numCache>
            </c:numRef>
          </c:val>
          <c:extLst>
            <c:ext xmlns:c16="http://schemas.microsoft.com/office/drawing/2014/chart" uri="{C3380CC4-5D6E-409C-BE32-E72D297353CC}">
              <c16:uniqueId val="{00000004-41BD-434B-9DB0-0279B33CDE06}"/>
            </c:ext>
          </c:extLst>
        </c:ser>
        <c:ser>
          <c:idx val="5"/>
          <c:order val="5"/>
          <c:tx>
            <c:strRef>
              <c:f>Sheet1!$G$1</c:f>
              <c:strCache>
                <c:ptCount val="1"/>
                <c:pt idx="0">
                  <c:v>2023</c:v>
                </c:pt>
              </c:strCache>
            </c:strRef>
          </c:tx>
          <c:spPr>
            <a:solidFill>
              <a:srgbClr val="F7964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Ընդհանուր</c:v>
                </c:pt>
                <c:pt idx="1">
                  <c:v>ՌԴ </c:v>
                </c:pt>
                <c:pt idx="2">
                  <c:v>Այլ երկրներ</c:v>
                </c:pt>
              </c:strCache>
            </c:strRef>
          </c:cat>
          <c:val>
            <c:numRef>
              <c:f>Sheet1!$G$2:$G$4</c:f>
              <c:numCache>
                <c:formatCode>0</c:formatCode>
                <c:ptCount val="3"/>
                <c:pt idx="0">
                  <c:v>1002.878</c:v>
                </c:pt>
                <c:pt idx="1">
                  <c:v>518.02800000000002</c:v>
                </c:pt>
                <c:pt idx="2">
                  <c:v>484.85</c:v>
                </c:pt>
              </c:numCache>
            </c:numRef>
          </c:val>
          <c:extLst>
            <c:ext xmlns:c16="http://schemas.microsoft.com/office/drawing/2014/chart" uri="{C3380CC4-5D6E-409C-BE32-E72D297353CC}">
              <c16:uniqueId val="{00000005-41BD-434B-9DB0-0279B33CDE06}"/>
            </c:ext>
          </c:extLst>
        </c:ser>
        <c:dLbls>
          <c:dLblPos val="outEnd"/>
          <c:showLegendKey val="0"/>
          <c:showVal val="1"/>
          <c:showCatName val="0"/>
          <c:showSerName val="0"/>
          <c:showPercent val="0"/>
          <c:showBubbleSize val="0"/>
        </c:dLbls>
        <c:gapWidth val="219"/>
        <c:overlap val="-27"/>
        <c:axId val="679410424"/>
        <c:axId val="679415344"/>
      </c:barChart>
      <c:catAx>
        <c:axId val="679410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79415344"/>
        <c:crosses val="autoZero"/>
        <c:auto val="1"/>
        <c:lblAlgn val="ctr"/>
        <c:lblOffset val="100"/>
        <c:noMultiLvlLbl val="0"/>
      </c:catAx>
      <c:valAx>
        <c:axId val="679415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79410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21400231947778"/>
          <c:y val="6.636500754147813E-2"/>
          <c:w val="0.8241503387657938"/>
          <c:h val="0.65813850191802969"/>
        </c:manualLayout>
      </c:layout>
      <c:lineChart>
        <c:grouping val="standard"/>
        <c:varyColors val="0"/>
        <c:ser>
          <c:idx val="0"/>
          <c:order val="0"/>
          <c:tx>
            <c:strRef>
              <c:f>Sheet1!$A$2</c:f>
              <c:strCache>
                <c:ptCount val="1"/>
                <c:pt idx="0">
                  <c:v>Անվանական 12 ամսյա փոփոխություն</c:v>
                </c:pt>
              </c:strCache>
            </c:strRef>
          </c:tx>
          <c:spPr>
            <a:ln w="28575" cap="rnd">
              <a:solidFill>
                <a:srgbClr val="1F497D"/>
              </a:solidFill>
              <a:round/>
            </a:ln>
            <a:effectLst/>
          </c:spPr>
          <c:marker>
            <c:symbol val="circle"/>
            <c:size val="5"/>
            <c:spPr>
              <a:solidFill>
                <a:srgbClr val="1F497D"/>
              </a:solidFill>
              <a:ln w="9525">
                <a:solidFill>
                  <a:srgbClr val="1F497D"/>
                </a:solidFill>
              </a:ln>
              <a:effectLst/>
            </c:spPr>
          </c:marker>
          <c:cat>
            <c:strRef>
              <c:f>Sheet1!$B$1:$H$1</c:f>
              <c:strCache>
                <c:ptCount val="7"/>
                <c:pt idx="0">
                  <c:v>2023-1</c:v>
                </c:pt>
                <c:pt idx="1">
                  <c:v>2023-2</c:v>
                </c:pt>
                <c:pt idx="2">
                  <c:v>2023-3</c:v>
                </c:pt>
                <c:pt idx="3">
                  <c:v>2023-4</c:v>
                </c:pt>
                <c:pt idx="4">
                  <c:v>2023-5</c:v>
                </c:pt>
                <c:pt idx="5">
                  <c:v>2023-6</c:v>
                </c:pt>
                <c:pt idx="6">
                  <c:v>2023-7</c:v>
                </c:pt>
              </c:strCache>
            </c:strRef>
          </c:cat>
          <c:val>
            <c:numRef>
              <c:f>Sheet1!$B$2:$H$2</c:f>
              <c:numCache>
                <c:formatCode>0.0</c:formatCode>
                <c:ptCount val="7"/>
                <c:pt idx="0">
                  <c:v>77.5</c:v>
                </c:pt>
                <c:pt idx="1">
                  <c:v>70.800000000000011</c:v>
                </c:pt>
                <c:pt idx="2">
                  <c:v>147</c:v>
                </c:pt>
                <c:pt idx="3">
                  <c:v>85.5</c:v>
                </c:pt>
                <c:pt idx="4">
                  <c:v>55</c:v>
                </c:pt>
                <c:pt idx="5">
                  <c:v>33.740000000000009</c:v>
                </c:pt>
                <c:pt idx="6">
                  <c:v>19.700000000000003</c:v>
                </c:pt>
              </c:numCache>
            </c:numRef>
          </c:val>
          <c:smooth val="0"/>
          <c:extLst>
            <c:ext xmlns:c16="http://schemas.microsoft.com/office/drawing/2014/chart" uri="{C3380CC4-5D6E-409C-BE32-E72D297353CC}">
              <c16:uniqueId val="{00000000-5161-4C97-9AFD-85CE56C4C558}"/>
            </c:ext>
          </c:extLst>
        </c:ser>
        <c:ser>
          <c:idx val="1"/>
          <c:order val="1"/>
          <c:tx>
            <c:strRef>
              <c:f>Sheet1!$A$3</c:f>
              <c:strCache>
                <c:ptCount val="1"/>
                <c:pt idx="0">
                  <c:v>Անվանական կուտակային փոփոխություն</c:v>
                </c:pt>
              </c:strCache>
            </c:strRef>
          </c:tx>
          <c:spPr>
            <a:ln>
              <a:solidFill>
                <a:srgbClr val="ED7D31">
                  <a:lumMod val="60000"/>
                  <a:lumOff val="40000"/>
                </a:srgbClr>
              </a:solidFill>
            </a:ln>
          </c:spPr>
          <c:marker>
            <c:spPr>
              <a:solidFill>
                <a:srgbClr val="ED7D31">
                  <a:lumMod val="60000"/>
                  <a:lumOff val="40000"/>
                </a:srgbClr>
              </a:solidFill>
              <a:ln>
                <a:solidFill>
                  <a:srgbClr val="ED7D31">
                    <a:lumMod val="60000"/>
                    <a:lumOff val="40000"/>
                  </a:srgbClr>
                </a:solidFill>
              </a:ln>
            </c:spPr>
          </c:marker>
          <c:cat>
            <c:strRef>
              <c:f>Sheet1!$B$1:$H$1</c:f>
              <c:strCache>
                <c:ptCount val="7"/>
                <c:pt idx="0">
                  <c:v>2023-1</c:v>
                </c:pt>
                <c:pt idx="1">
                  <c:v>2023-2</c:v>
                </c:pt>
                <c:pt idx="2">
                  <c:v>2023-3</c:v>
                </c:pt>
                <c:pt idx="3">
                  <c:v>2023-4</c:v>
                </c:pt>
                <c:pt idx="4">
                  <c:v>2023-5</c:v>
                </c:pt>
                <c:pt idx="5">
                  <c:v>2023-6</c:v>
                </c:pt>
                <c:pt idx="6">
                  <c:v>2023-7</c:v>
                </c:pt>
              </c:strCache>
            </c:strRef>
          </c:cat>
          <c:val>
            <c:numRef>
              <c:f>Sheet1!$B$3:$H$3</c:f>
              <c:numCache>
                <c:formatCode>0.0</c:formatCode>
                <c:ptCount val="7"/>
                <c:pt idx="0">
                  <c:v>77.5</c:v>
                </c:pt>
                <c:pt idx="1">
                  <c:v>73.878738222040141</c:v>
                </c:pt>
                <c:pt idx="2">
                  <c:v>97.808190133019167</c:v>
                </c:pt>
                <c:pt idx="3">
                  <c:v>94.438476322474799</c:v>
                </c:pt>
                <c:pt idx="4">
                  <c:v>84.214619286273404</c:v>
                </c:pt>
                <c:pt idx="5">
                  <c:v>73.029397690659721</c:v>
                </c:pt>
                <c:pt idx="6">
                  <c:v>63.012812181550146</c:v>
                </c:pt>
              </c:numCache>
            </c:numRef>
          </c:val>
          <c:smooth val="0"/>
          <c:extLst>
            <c:ext xmlns:c16="http://schemas.microsoft.com/office/drawing/2014/chart" uri="{C3380CC4-5D6E-409C-BE32-E72D297353CC}">
              <c16:uniqueId val="{00000001-5161-4C97-9AFD-85CE56C4C558}"/>
            </c:ext>
          </c:extLst>
        </c:ser>
        <c:dLbls>
          <c:showLegendKey val="0"/>
          <c:showVal val="0"/>
          <c:showCatName val="0"/>
          <c:showSerName val="0"/>
          <c:showPercent val="0"/>
          <c:showBubbleSize val="0"/>
        </c:dLbls>
        <c:marker val="1"/>
        <c:smooth val="0"/>
        <c:axId val="214596608"/>
        <c:axId val="214614784"/>
      </c:lineChart>
      <c:catAx>
        <c:axId val="2145966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4614784"/>
        <c:crosses val="autoZero"/>
        <c:auto val="1"/>
        <c:lblAlgn val="ctr"/>
        <c:lblOffset val="100"/>
        <c:noMultiLvlLbl val="0"/>
      </c:catAx>
      <c:valAx>
        <c:axId val="2146147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459660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0"/>
          <c:y val="0.82552036199094858"/>
          <c:w val="1"/>
          <c:h val="0.14604882354307491"/>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75000"/>
        </a:sysClr>
      </a:solidFill>
      <a:round/>
    </a:ln>
    <a:effectLst/>
  </c:spPr>
  <c:txPr>
    <a:bodyPr/>
    <a:lstStyle/>
    <a:p>
      <a:pPr>
        <a:defRPr sz="800">
          <a:latin typeface="GHEA Grapalat" panose="02000506050000020003" pitchFamily="50" charset="0"/>
        </a:defRPr>
      </a:pPr>
      <a:endParaRPr lang="en-US"/>
    </a:p>
  </c:tx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81438189791494"/>
          <c:y val="9.078014184397161E-2"/>
          <c:w val="0.8320738168598506"/>
          <c:h val="0.59535380289529627"/>
        </c:manualLayout>
      </c:layout>
      <c:lineChart>
        <c:grouping val="standard"/>
        <c:varyColors val="0"/>
        <c:ser>
          <c:idx val="0"/>
          <c:order val="0"/>
          <c:tx>
            <c:strRef>
              <c:f>Sheet1!$A$2</c:f>
              <c:strCache>
                <c:ptCount val="1"/>
                <c:pt idx="0">
                  <c:v>Իրական փոփոխությունը (կուտակային)</c:v>
                </c:pt>
              </c:strCache>
            </c:strRef>
          </c:tx>
          <c:spPr>
            <a:ln w="28575" cap="rnd">
              <a:solidFill>
                <a:srgbClr val="1F497D"/>
              </a:solidFill>
              <a:round/>
            </a:ln>
            <a:effectLst/>
          </c:spPr>
          <c:marker>
            <c:symbol val="circle"/>
            <c:size val="5"/>
            <c:spPr>
              <a:solidFill>
                <a:srgbClr val="1F497D"/>
              </a:solidFill>
              <a:ln w="9525">
                <a:solidFill>
                  <a:srgbClr val="1F497D"/>
                </a:solidFill>
              </a:ln>
              <a:effectLst/>
            </c:spPr>
          </c:marker>
          <c:cat>
            <c:strRef>
              <c:f>Sheet1!$B$1:$H$1</c:f>
              <c:strCache>
                <c:ptCount val="7"/>
                <c:pt idx="0">
                  <c:v>2023-1</c:v>
                </c:pt>
                <c:pt idx="1">
                  <c:v>2023-2</c:v>
                </c:pt>
                <c:pt idx="2">
                  <c:v>2023-3</c:v>
                </c:pt>
                <c:pt idx="3">
                  <c:v>2023-4</c:v>
                </c:pt>
                <c:pt idx="4">
                  <c:v>2023-5</c:v>
                </c:pt>
                <c:pt idx="5">
                  <c:v>2023-6</c:v>
                </c:pt>
                <c:pt idx="6">
                  <c:v>2023-7</c:v>
                </c:pt>
              </c:strCache>
            </c:strRef>
          </c:cat>
          <c:val>
            <c:numRef>
              <c:f>Sheet1!$B$2:$H$2</c:f>
              <c:numCache>
                <c:formatCode>0.0</c:formatCode>
                <c:ptCount val="7"/>
                <c:pt idx="0">
                  <c:v>52.044671192752958</c:v>
                </c:pt>
                <c:pt idx="1">
                  <c:v>47.299373091493067</c:v>
                </c:pt>
                <c:pt idx="2">
                  <c:v>70.852485924793797</c:v>
                </c:pt>
                <c:pt idx="3">
                  <c:v>71.784297777004781</c:v>
                </c:pt>
                <c:pt idx="4">
                  <c:v>66.907050144595331</c:v>
                </c:pt>
                <c:pt idx="5">
                  <c:v>60.586872073922251</c:v>
                </c:pt>
                <c:pt idx="6">
                  <c:v>54.45995730608891</c:v>
                </c:pt>
              </c:numCache>
            </c:numRef>
          </c:val>
          <c:smooth val="0"/>
          <c:extLst>
            <c:ext xmlns:c16="http://schemas.microsoft.com/office/drawing/2014/chart" uri="{C3380CC4-5D6E-409C-BE32-E72D297353CC}">
              <c16:uniqueId val="{00000000-06C9-4F25-95FD-86B8B70A8B98}"/>
            </c:ext>
          </c:extLst>
        </c:ser>
        <c:ser>
          <c:idx val="1"/>
          <c:order val="1"/>
          <c:tx>
            <c:strRef>
              <c:f>Sheet1!$A$3</c:f>
              <c:strCache>
                <c:ptCount val="1"/>
                <c:pt idx="0">
                  <c:v>Գնային փոփոխություն (կուտակային)</c:v>
                </c:pt>
              </c:strCache>
            </c:strRef>
          </c:tx>
          <c:spPr>
            <a:ln>
              <a:solidFill>
                <a:srgbClr val="ED7D31">
                  <a:lumMod val="60000"/>
                  <a:lumOff val="40000"/>
                </a:srgbClr>
              </a:solidFill>
            </a:ln>
          </c:spPr>
          <c:marker>
            <c:spPr>
              <a:solidFill>
                <a:srgbClr val="ED7D31">
                  <a:lumMod val="60000"/>
                  <a:lumOff val="40000"/>
                </a:srgbClr>
              </a:solidFill>
              <a:ln>
                <a:solidFill>
                  <a:srgbClr val="ED7D31">
                    <a:lumMod val="60000"/>
                    <a:lumOff val="40000"/>
                  </a:srgbClr>
                </a:solidFill>
              </a:ln>
            </c:spPr>
          </c:marker>
          <c:cat>
            <c:strRef>
              <c:f>Sheet1!$B$1:$H$1</c:f>
              <c:strCache>
                <c:ptCount val="7"/>
                <c:pt idx="0">
                  <c:v>2023-1</c:v>
                </c:pt>
                <c:pt idx="1">
                  <c:v>2023-2</c:v>
                </c:pt>
                <c:pt idx="2">
                  <c:v>2023-3</c:v>
                </c:pt>
                <c:pt idx="3">
                  <c:v>2023-4</c:v>
                </c:pt>
                <c:pt idx="4">
                  <c:v>2023-5</c:v>
                </c:pt>
                <c:pt idx="5">
                  <c:v>2023-6</c:v>
                </c:pt>
                <c:pt idx="6">
                  <c:v>2023-7</c:v>
                </c:pt>
              </c:strCache>
            </c:strRef>
          </c:cat>
          <c:val>
            <c:numRef>
              <c:f>Sheet1!$B$3:$H$3</c:f>
              <c:numCache>
                <c:formatCode>0.0</c:formatCode>
                <c:ptCount val="7"/>
                <c:pt idx="0">
                  <c:v>-4.0669682737892998</c:v>
                </c:pt>
                <c:pt idx="1">
                  <c:v>-3.1441826068433016</c:v>
                </c:pt>
                <c:pt idx="2">
                  <c:v>-6.6514165609049059</c:v>
                </c:pt>
                <c:pt idx="3">
                  <c:v>-8.2646489303157153</c:v>
                </c:pt>
                <c:pt idx="4">
                  <c:v>-9.771162992623502</c:v>
                </c:pt>
                <c:pt idx="5">
                  <c:v>-10.337633742003362</c:v>
                </c:pt>
                <c:pt idx="6">
                  <c:v>-10.721965214569394</c:v>
                </c:pt>
              </c:numCache>
            </c:numRef>
          </c:val>
          <c:smooth val="0"/>
          <c:extLst>
            <c:ext xmlns:c16="http://schemas.microsoft.com/office/drawing/2014/chart" uri="{C3380CC4-5D6E-409C-BE32-E72D297353CC}">
              <c16:uniqueId val="{00000001-06C9-4F25-95FD-86B8B70A8B98}"/>
            </c:ext>
          </c:extLst>
        </c:ser>
        <c:ser>
          <c:idx val="2"/>
          <c:order val="2"/>
          <c:tx>
            <c:strRef>
              <c:f>Sheet1!$A$4</c:f>
              <c:strCache>
                <c:ptCount val="1"/>
                <c:pt idx="0">
                  <c:v>Փոխարժեքի փոփոխություն (կուտակային)</c:v>
                </c:pt>
              </c:strCache>
            </c:strRef>
          </c:tx>
          <c:cat>
            <c:strRef>
              <c:f>Sheet1!$B$1:$H$1</c:f>
              <c:strCache>
                <c:ptCount val="7"/>
                <c:pt idx="0">
                  <c:v>2023-1</c:v>
                </c:pt>
                <c:pt idx="1">
                  <c:v>2023-2</c:v>
                </c:pt>
                <c:pt idx="2">
                  <c:v>2023-3</c:v>
                </c:pt>
                <c:pt idx="3">
                  <c:v>2023-4</c:v>
                </c:pt>
                <c:pt idx="4">
                  <c:v>2023-5</c:v>
                </c:pt>
                <c:pt idx="5">
                  <c:v>2023-6</c:v>
                </c:pt>
                <c:pt idx="6">
                  <c:v>2023-7</c:v>
                </c:pt>
              </c:strCache>
            </c:strRef>
          </c:cat>
          <c:val>
            <c:numRef>
              <c:f>Sheet1!$B$4:$H$4</c:f>
              <c:numCache>
                <c:formatCode>0.0</c:formatCode>
                <c:ptCount val="7"/>
                <c:pt idx="0">
                  <c:v>21.748465482836153</c:v>
                </c:pt>
                <c:pt idx="1">
                  <c:v>21.903108926444887</c:v>
                </c:pt>
                <c:pt idx="2">
                  <c:v>23.893256805175866</c:v>
                </c:pt>
                <c:pt idx="3">
                  <c:v>23.293218866574691</c:v>
                </c:pt>
                <c:pt idx="4">
                  <c:v>22.265480922913</c:v>
                </c:pt>
                <c:pt idx="5">
                  <c:v>20.124425440940684</c:v>
                </c:pt>
                <c:pt idx="6">
                  <c:v>18.168708651189448</c:v>
                </c:pt>
              </c:numCache>
            </c:numRef>
          </c:val>
          <c:smooth val="0"/>
          <c:extLst>
            <c:ext xmlns:c16="http://schemas.microsoft.com/office/drawing/2014/chart" uri="{C3380CC4-5D6E-409C-BE32-E72D297353CC}">
              <c16:uniqueId val="{00000002-06C9-4F25-95FD-86B8B70A8B98}"/>
            </c:ext>
          </c:extLst>
        </c:ser>
        <c:dLbls>
          <c:showLegendKey val="0"/>
          <c:showVal val="0"/>
          <c:showCatName val="0"/>
          <c:showSerName val="0"/>
          <c:showPercent val="0"/>
          <c:showBubbleSize val="0"/>
        </c:dLbls>
        <c:marker val="1"/>
        <c:smooth val="0"/>
        <c:axId val="214406656"/>
        <c:axId val="214408576"/>
      </c:lineChart>
      <c:catAx>
        <c:axId val="2144066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4408576"/>
        <c:crosses val="autoZero"/>
        <c:auto val="1"/>
        <c:lblAlgn val="ctr"/>
        <c:lblOffset val="100"/>
        <c:noMultiLvlLbl val="0"/>
      </c:catAx>
      <c:valAx>
        <c:axId val="2144085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214406656"/>
        <c:crosses val="autoZero"/>
        <c:crossBetween val="between"/>
      </c:valAx>
      <c:spPr>
        <a:noFill/>
        <a:ln>
          <a:noFill/>
        </a:ln>
        <a:effectLst/>
      </c:spPr>
    </c:plotArea>
    <c:legend>
      <c:legendPos val="b"/>
      <c:layout>
        <c:manualLayout>
          <c:xMode val="edge"/>
          <c:yMode val="edge"/>
          <c:x val="3.9658303581617572E-2"/>
          <c:y val="0.77058792802327436"/>
          <c:w val="0.90479532163742704"/>
          <c:h val="0.2294120719767254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75000"/>
        </a:sysClr>
      </a:solidFill>
      <a:round/>
    </a:ln>
    <a:effectLst/>
  </c:spPr>
  <c:txPr>
    <a:bodyPr/>
    <a:lstStyle/>
    <a:p>
      <a:pPr>
        <a:defRPr sz="800">
          <a:latin typeface="GHEA Grapalat" panose="02000506050000020003" pitchFamily="50" charset="0"/>
        </a:defRPr>
      </a:pPr>
      <a:endParaRPr lang="en-US"/>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1"/>
          <c:tx>
            <c:strRef>
              <c:f>Sheet1!$D$1</c:f>
              <c:strCache>
                <c:ptCount val="1"/>
                <c:pt idx="0">
                  <c:v>ՌԴ</c:v>
                </c:pt>
              </c:strCache>
            </c:strRef>
          </c:tx>
          <c:spPr>
            <a:solidFill>
              <a:schemeClr val="accent1">
                <a:lumMod val="75000"/>
              </a:schemeClr>
            </a:solidFill>
            <a:ln>
              <a:noFill/>
            </a:ln>
            <a:effectLst/>
          </c:spPr>
          <c:invertIfNegative val="0"/>
          <c:cat>
            <c:multiLvlStrRef>
              <c:f>Sheet1!$A$6:$B$23</c:f>
              <c:multiLvlStrCache>
                <c:ptCount val="18"/>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pt idx="17">
                    <c:v>2</c:v>
                  </c:pt>
                </c:lvl>
                <c:lvl>
                  <c:pt idx="0">
                    <c:v>2019</c:v>
                  </c:pt>
                  <c:pt idx="4">
                    <c:v>2020</c:v>
                  </c:pt>
                  <c:pt idx="8">
                    <c:v>2021</c:v>
                  </c:pt>
                  <c:pt idx="12">
                    <c:v>2022</c:v>
                  </c:pt>
                  <c:pt idx="16">
                    <c:v>2023</c:v>
                  </c:pt>
                </c:lvl>
              </c:multiLvlStrCache>
            </c:multiLvlStrRef>
          </c:cat>
          <c:val>
            <c:numRef>
              <c:f>Sheet1!$D$6:$D$23</c:f>
              <c:numCache>
                <c:formatCode>0.0</c:formatCode>
                <c:ptCount val="18"/>
                <c:pt idx="0">
                  <c:v>75.906300000000002</c:v>
                </c:pt>
                <c:pt idx="1">
                  <c:v>160.00910000000002</c:v>
                </c:pt>
                <c:pt idx="2">
                  <c:v>239.61420999999999</c:v>
                </c:pt>
                <c:pt idx="3">
                  <c:v>154.12681000000001</c:v>
                </c:pt>
                <c:pt idx="4">
                  <c:v>77.714060000000003</c:v>
                </c:pt>
                <c:pt idx="5">
                  <c:v>50.1432</c:v>
                </c:pt>
                <c:pt idx="6">
                  <c:v>114.17736000000001</c:v>
                </c:pt>
                <c:pt idx="7">
                  <c:v>122.73272</c:v>
                </c:pt>
                <c:pt idx="8">
                  <c:v>67.980919999999998</c:v>
                </c:pt>
                <c:pt idx="9">
                  <c:v>118.7869</c:v>
                </c:pt>
                <c:pt idx="10">
                  <c:v>158.30554999999998</c:v>
                </c:pt>
                <c:pt idx="11">
                  <c:v>118.69959999999998</c:v>
                </c:pt>
                <c:pt idx="12">
                  <c:v>118.26725</c:v>
                </c:pt>
                <c:pt idx="13">
                  <c:v>814.20412999999996</c:v>
                </c:pt>
                <c:pt idx="14">
                  <c:v>1090.5065999999999</c:v>
                </c:pt>
                <c:pt idx="15">
                  <c:v>1122.2293199999999</c:v>
                </c:pt>
                <c:pt idx="16">
                  <c:v>1079.4368400000001</c:v>
                </c:pt>
                <c:pt idx="17">
                  <c:v>709.71907999999996</c:v>
                </c:pt>
              </c:numCache>
            </c:numRef>
          </c:val>
          <c:extLst>
            <c:ext xmlns:c16="http://schemas.microsoft.com/office/drawing/2014/chart" uri="{C3380CC4-5D6E-409C-BE32-E72D297353CC}">
              <c16:uniqueId val="{00000000-C983-44FE-9169-A50A28E97123}"/>
            </c:ext>
          </c:extLst>
        </c:ser>
        <c:ser>
          <c:idx val="2"/>
          <c:order val="2"/>
          <c:tx>
            <c:strRef>
              <c:f>Sheet1!$E$1</c:f>
              <c:strCache>
                <c:ptCount val="1"/>
                <c:pt idx="0">
                  <c:v>Այլ</c:v>
                </c:pt>
              </c:strCache>
            </c:strRef>
          </c:tx>
          <c:spPr>
            <a:solidFill>
              <a:schemeClr val="accent3"/>
            </a:solidFill>
            <a:ln>
              <a:noFill/>
            </a:ln>
            <a:effectLst/>
          </c:spPr>
          <c:invertIfNegative val="0"/>
          <c:cat>
            <c:multiLvlStrRef>
              <c:f>Sheet1!$A$6:$B$23</c:f>
              <c:multiLvlStrCache>
                <c:ptCount val="18"/>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pt idx="17">
                    <c:v>2</c:v>
                  </c:pt>
                </c:lvl>
                <c:lvl>
                  <c:pt idx="0">
                    <c:v>2019</c:v>
                  </c:pt>
                  <c:pt idx="4">
                    <c:v>2020</c:v>
                  </c:pt>
                  <c:pt idx="8">
                    <c:v>2021</c:v>
                  </c:pt>
                  <c:pt idx="12">
                    <c:v>2022</c:v>
                  </c:pt>
                  <c:pt idx="16">
                    <c:v>2023</c:v>
                  </c:pt>
                </c:lvl>
              </c:multiLvlStrCache>
            </c:multiLvlStrRef>
          </c:cat>
          <c:val>
            <c:numRef>
              <c:f>Sheet1!$E$6:$E$23</c:f>
              <c:numCache>
                <c:formatCode>0.0</c:formatCode>
                <c:ptCount val="18"/>
                <c:pt idx="0">
                  <c:v>28.937740000000005</c:v>
                </c:pt>
                <c:pt idx="1">
                  <c:v>-34.662960000000012</c:v>
                </c:pt>
                <c:pt idx="2">
                  <c:v>-135.3861</c:v>
                </c:pt>
                <c:pt idx="3">
                  <c:v>15.474779999999981</c:v>
                </c:pt>
                <c:pt idx="4">
                  <c:v>9.6641899999999907</c:v>
                </c:pt>
                <c:pt idx="5">
                  <c:v>55.252929999999999</c:v>
                </c:pt>
                <c:pt idx="6">
                  <c:v>122.69107999999999</c:v>
                </c:pt>
                <c:pt idx="7">
                  <c:v>21.96302</c:v>
                </c:pt>
                <c:pt idx="8">
                  <c:v>61.103229999999996</c:v>
                </c:pt>
                <c:pt idx="9">
                  <c:v>135.01109000000002</c:v>
                </c:pt>
                <c:pt idx="10">
                  <c:v>129.02368999999999</c:v>
                </c:pt>
                <c:pt idx="11">
                  <c:v>94.40330000000003</c:v>
                </c:pt>
                <c:pt idx="12">
                  <c:v>72.026169999999993</c:v>
                </c:pt>
                <c:pt idx="13">
                  <c:v>-10.573099999999954</c:v>
                </c:pt>
                <c:pt idx="14">
                  <c:v>-354.89396999999997</c:v>
                </c:pt>
                <c:pt idx="15">
                  <c:v>-268.12218999999993</c:v>
                </c:pt>
                <c:pt idx="16">
                  <c:v>-526.24767999999995</c:v>
                </c:pt>
                <c:pt idx="17">
                  <c:v>-365.22444000000002</c:v>
                </c:pt>
              </c:numCache>
            </c:numRef>
          </c:val>
          <c:extLst>
            <c:ext xmlns:c16="http://schemas.microsoft.com/office/drawing/2014/chart" uri="{C3380CC4-5D6E-409C-BE32-E72D297353CC}">
              <c16:uniqueId val="{00000001-C983-44FE-9169-A50A28E97123}"/>
            </c:ext>
          </c:extLst>
        </c:ser>
        <c:dLbls>
          <c:showLegendKey val="0"/>
          <c:showVal val="0"/>
          <c:showCatName val="0"/>
          <c:showSerName val="0"/>
          <c:showPercent val="0"/>
          <c:showBubbleSize val="0"/>
        </c:dLbls>
        <c:gapWidth val="80"/>
        <c:overlap val="100"/>
        <c:axId val="642403424"/>
        <c:axId val="642400544"/>
      </c:barChart>
      <c:lineChart>
        <c:grouping val="standard"/>
        <c:varyColors val="0"/>
        <c:ser>
          <c:idx val="0"/>
          <c:order val="0"/>
          <c:tx>
            <c:strRef>
              <c:f>Sheet1!$C$1</c:f>
              <c:strCache>
                <c:ptCount val="1"/>
                <c:pt idx="0">
                  <c:v>Ընդամենը</c:v>
                </c:pt>
              </c:strCache>
            </c:strRef>
          </c:tx>
          <c:spPr>
            <a:ln w="28575" cap="rnd">
              <a:solidFill>
                <a:schemeClr val="tx1"/>
              </a:solidFill>
              <a:round/>
            </a:ln>
            <a:effectLst/>
          </c:spPr>
          <c:marker>
            <c:symbol val="none"/>
          </c:marker>
          <c:cat>
            <c:multiLvlStrRef>
              <c:f>Sheet1!$A$6:$B$23</c:f>
              <c:multiLvlStrCache>
                <c:ptCount val="18"/>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pt idx="17">
                    <c:v>2</c:v>
                  </c:pt>
                </c:lvl>
                <c:lvl>
                  <c:pt idx="0">
                    <c:v>2019</c:v>
                  </c:pt>
                  <c:pt idx="4">
                    <c:v>2020</c:v>
                  </c:pt>
                  <c:pt idx="8">
                    <c:v>2021</c:v>
                  </c:pt>
                  <c:pt idx="12">
                    <c:v>2022</c:v>
                  </c:pt>
                  <c:pt idx="16">
                    <c:v>2023</c:v>
                  </c:pt>
                </c:lvl>
              </c:multiLvlStrCache>
            </c:multiLvlStrRef>
          </c:cat>
          <c:val>
            <c:numRef>
              <c:f>Sheet1!$C$6:$C$23</c:f>
              <c:numCache>
                <c:formatCode>0.0</c:formatCode>
                <c:ptCount val="18"/>
                <c:pt idx="0">
                  <c:v>104.84404000000001</c:v>
                </c:pt>
                <c:pt idx="1">
                  <c:v>125.34614000000001</c:v>
                </c:pt>
                <c:pt idx="2">
                  <c:v>104.22811</c:v>
                </c:pt>
                <c:pt idx="3">
                  <c:v>169.60158999999999</c:v>
                </c:pt>
                <c:pt idx="4">
                  <c:v>87.378249999999994</c:v>
                </c:pt>
                <c:pt idx="5">
                  <c:v>105.39613</c:v>
                </c:pt>
                <c:pt idx="6">
                  <c:v>236.86843999999999</c:v>
                </c:pt>
                <c:pt idx="7">
                  <c:v>144.69574</c:v>
                </c:pt>
                <c:pt idx="8">
                  <c:v>129.08414999999999</c:v>
                </c:pt>
                <c:pt idx="9">
                  <c:v>253.79799000000003</c:v>
                </c:pt>
                <c:pt idx="10">
                  <c:v>287.32923999999997</c:v>
                </c:pt>
                <c:pt idx="11">
                  <c:v>213.10290000000001</c:v>
                </c:pt>
                <c:pt idx="12">
                  <c:v>190.29342</c:v>
                </c:pt>
                <c:pt idx="13">
                  <c:v>803.63103000000001</c:v>
                </c:pt>
                <c:pt idx="14">
                  <c:v>735.61262999999997</c:v>
                </c:pt>
                <c:pt idx="15">
                  <c:v>854.10712999999998</c:v>
                </c:pt>
                <c:pt idx="16">
                  <c:v>553.18916000000002</c:v>
                </c:pt>
                <c:pt idx="17">
                  <c:v>344.49464</c:v>
                </c:pt>
              </c:numCache>
            </c:numRef>
          </c:val>
          <c:smooth val="0"/>
          <c:extLst>
            <c:ext xmlns:c16="http://schemas.microsoft.com/office/drawing/2014/chart" uri="{C3380CC4-5D6E-409C-BE32-E72D297353CC}">
              <c16:uniqueId val="{00000002-C983-44FE-9169-A50A28E97123}"/>
            </c:ext>
          </c:extLst>
        </c:ser>
        <c:dLbls>
          <c:showLegendKey val="0"/>
          <c:showVal val="0"/>
          <c:showCatName val="0"/>
          <c:showSerName val="0"/>
          <c:showPercent val="0"/>
          <c:showBubbleSize val="0"/>
        </c:dLbls>
        <c:marker val="1"/>
        <c:smooth val="0"/>
        <c:axId val="642403424"/>
        <c:axId val="642400544"/>
      </c:lineChart>
      <c:catAx>
        <c:axId val="64240342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400544"/>
        <c:crosses val="autoZero"/>
        <c:auto val="1"/>
        <c:lblAlgn val="ctr"/>
        <c:lblOffset val="100"/>
        <c:noMultiLvlLbl val="0"/>
      </c:catAx>
      <c:valAx>
        <c:axId val="642400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hy-AM" b="1"/>
                  <a:t>մլն ԱՄՆ դոլար</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40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268531088786318E-2"/>
          <c:y val="3.176785222289203E-2"/>
          <c:w val="0.90591154553956621"/>
          <c:h val="0.59461103273692995"/>
        </c:manualLayout>
      </c:layout>
      <c:barChart>
        <c:barDir val="col"/>
        <c:grouping val="stacked"/>
        <c:varyColors val="0"/>
        <c:ser>
          <c:idx val="0"/>
          <c:order val="0"/>
          <c:tx>
            <c:strRef>
              <c:f>Sheet1!$B$1</c:f>
              <c:strCache>
                <c:ptCount val="1"/>
                <c:pt idx="0">
                  <c:v>Column1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Sheet1!$A$2:$B$23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2018</c:v>
                  </c:pt>
                  <c:pt idx="4">
                    <c:v>2019</c:v>
                  </c:pt>
                  <c:pt idx="8">
                    <c:v>2020</c:v>
                  </c:pt>
                  <c:pt idx="12">
                    <c:v>2021</c:v>
                  </c:pt>
                  <c:pt idx="16">
                    <c:v>2022</c:v>
                  </c:pt>
                  <c:pt idx="20">
                    <c:v>2023</c:v>
                  </c:pt>
                </c:lvl>
              </c:multiLvlStrCache>
            </c:multiLvlStrRef>
          </c:cat>
          <c:val>
            <c:numRef>
              <c:f>Sheet1!$B$2:$B$23</c:f>
              <c:numCache>
                <c:formatCode>General</c:formatCode>
                <c:ptCount val="2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numCache>
            </c:numRef>
          </c:val>
          <c:extLst>
            <c:ext xmlns:c16="http://schemas.microsoft.com/office/drawing/2014/chart" uri="{C3380CC4-5D6E-409C-BE32-E72D297353CC}">
              <c16:uniqueId val="{00000000-A9A9-454C-A79B-4DD6C415EE8A}"/>
            </c:ext>
          </c:extLst>
        </c:ser>
        <c:ser>
          <c:idx val="1"/>
          <c:order val="1"/>
          <c:tx>
            <c:strRef>
              <c:f>Sheet1!$C$1</c:f>
              <c:strCache>
                <c:ptCount val="1"/>
                <c:pt idx="0">
                  <c:v>Դոլար</c:v>
                </c:pt>
              </c:strCache>
            </c:strRef>
          </c:tx>
          <c:spPr>
            <a:solidFill>
              <a:schemeClr val="bg1">
                <a:lumMod val="75000"/>
              </a:schemeClr>
            </a:solidFill>
            <a:ln>
              <a:noFill/>
            </a:ln>
            <a:effectLst>
              <a:outerShdw blurRad="40000" dist="23000" dir="5400000" rotWithShape="0">
                <a:srgbClr val="000000">
                  <a:alpha val="35000"/>
                </a:srgbClr>
              </a:outerShdw>
            </a:effectLst>
          </c:spPr>
          <c:invertIfNegative val="0"/>
          <c:cat>
            <c:multiLvlStrRef>
              <c:f>Sheet1!$A$2:$B$23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2018</c:v>
                  </c:pt>
                  <c:pt idx="4">
                    <c:v>2019</c:v>
                  </c:pt>
                  <c:pt idx="8">
                    <c:v>2020</c:v>
                  </c:pt>
                  <c:pt idx="12">
                    <c:v>2021</c:v>
                  </c:pt>
                  <c:pt idx="16">
                    <c:v>2022</c:v>
                  </c:pt>
                  <c:pt idx="20">
                    <c:v>2023</c:v>
                  </c:pt>
                </c:lvl>
              </c:multiLvlStrCache>
            </c:multiLvlStrRef>
          </c:cat>
          <c:val>
            <c:numRef>
              <c:f>Sheet1!$C$2:$C$23</c:f>
              <c:numCache>
                <c:formatCode>0</c:formatCode>
                <c:ptCount val="22"/>
                <c:pt idx="0">
                  <c:v>3.9529299999999807</c:v>
                </c:pt>
                <c:pt idx="1">
                  <c:v>-19.975296600000092</c:v>
                </c:pt>
                <c:pt idx="2">
                  <c:v>-70.574313899999993</c:v>
                </c:pt>
                <c:pt idx="3">
                  <c:v>-66.549774700000057</c:v>
                </c:pt>
                <c:pt idx="4">
                  <c:v>-77.777560699999981</c:v>
                </c:pt>
                <c:pt idx="5">
                  <c:v>4.9017405000000736</c:v>
                </c:pt>
                <c:pt idx="6">
                  <c:v>-50.03285290000008</c:v>
                </c:pt>
                <c:pt idx="7">
                  <c:v>-21.708400500000153</c:v>
                </c:pt>
                <c:pt idx="8">
                  <c:v>-28.47810800000002</c:v>
                </c:pt>
                <c:pt idx="9">
                  <c:v>4.258640000000014</c:v>
                </c:pt>
                <c:pt idx="10">
                  <c:v>5.1264299999999139</c:v>
                </c:pt>
                <c:pt idx="11">
                  <c:v>-90.218759999999975</c:v>
                </c:pt>
                <c:pt idx="12">
                  <c:v>-44.764182000000119</c:v>
                </c:pt>
                <c:pt idx="13">
                  <c:v>-47.872495999999956</c:v>
                </c:pt>
                <c:pt idx="14">
                  <c:v>3.7606030000000601</c:v>
                </c:pt>
                <c:pt idx="15">
                  <c:v>22.342673000000104</c:v>
                </c:pt>
                <c:pt idx="16">
                  <c:v>82.827041122292712</c:v>
                </c:pt>
                <c:pt idx="17">
                  <c:v>-50.18449343652253</c:v>
                </c:pt>
                <c:pt idx="18">
                  <c:v>-228.23183459037773</c:v>
                </c:pt>
                <c:pt idx="19">
                  <c:v>-326.58099857808588</c:v>
                </c:pt>
                <c:pt idx="20">
                  <c:v>-198.4</c:v>
                </c:pt>
                <c:pt idx="21">
                  <c:v>-28.113131581315599</c:v>
                </c:pt>
              </c:numCache>
            </c:numRef>
          </c:val>
          <c:extLst>
            <c:ext xmlns:c16="http://schemas.microsoft.com/office/drawing/2014/chart" uri="{C3380CC4-5D6E-409C-BE32-E72D297353CC}">
              <c16:uniqueId val="{00000001-A9A9-454C-A79B-4DD6C415EE8A}"/>
            </c:ext>
          </c:extLst>
        </c:ser>
        <c:ser>
          <c:idx val="2"/>
          <c:order val="2"/>
          <c:tx>
            <c:strRef>
              <c:f>Sheet1!$D$1</c:f>
              <c:strCache>
                <c:ptCount val="1"/>
                <c:pt idx="0">
                  <c:v>Եվրո</c:v>
                </c:pt>
              </c:strCache>
            </c:strRef>
          </c:tx>
          <c:spPr>
            <a:solidFill>
              <a:schemeClr val="accent6">
                <a:lumMod val="60000"/>
                <a:lumOff val="40000"/>
              </a:schemeClr>
            </a:solidFill>
            <a:ln>
              <a:noFill/>
            </a:ln>
            <a:effectLst>
              <a:outerShdw blurRad="40000" dist="23000" dir="5400000" rotWithShape="0">
                <a:srgbClr val="000000">
                  <a:alpha val="35000"/>
                </a:srgbClr>
              </a:outerShdw>
            </a:effectLst>
          </c:spPr>
          <c:invertIfNegative val="0"/>
          <c:cat>
            <c:multiLvlStrRef>
              <c:f>Sheet1!$A$2:$B$23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2018</c:v>
                  </c:pt>
                  <c:pt idx="4">
                    <c:v>2019</c:v>
                  </c:pt>
                  <c:pt idx="8">
                    <c:v>2020</c:v>
                  </c:pt>
                  <c:pt idx="12">
                    <c:v>2021</c:v>
                  </c:pt>
                  <c:pt idx="16">
                    <c:v>2022</c:v>
                  </c:pt>
                  <c:pt idx="20">
                    <c:v>2023</c:v>
                  </c:pt>
                </c:lvl>
              </c:multiLvlStrCache>
            </c:multiLvlStrRef>
          </c:cat>
          <c:val>
            <c:numRef>
              <c:f>Sheet1!$D$2:$D$23</c:f>
              <c:numCache>
                <c:formatCode>0</c:formatCode>
                <c:ptCount val="22"/>
                <c:pt idx="0">
                  <c:v>-44.000294599999989</c:v>
                </c:pt>
                <c:pt idx="1">
                  <c:v>-60.001685199999997</c:v>
                </c:pt>
                <c:pt idx="2">
                  <c:v>-41.839252899999991</c:v>
                </c:pt>
                <c:pt idx="3">
                  <c:v>-42.408268600000014</c:v>
                </c:pt>
                <c:pt idx="4">
                  <c:v>-48.851464199999981</c:v>
                </c:pt>
                <c:pt idx="5">
                  <c:v>-7.9430901000000347</c:v>
                </c:pt>
                <c:pt idx="6">
                  <c:v>-3.3764428000000066</c:v>
                </c:pt>
                <c:pt idx="7">
                  <c:v>-35.556790800000016</c:v>
                </c:pt>
                <c:pt idx="8">
                  <c:v>-57.345421500000015</c:v>
                </c:pt>
                <c:pt idx="9">
                  <c:v>-28.027285899999995</c:v>
                </c:pt>
                <c:pt idx="10">
                  <c:v>-27.659299799999985</c:v>
                </c:pt>
                <c:pt idx="11">
                  <c:v>-55.250605399999998</c:v>
                </c:pt>
                <c:pt idx="12">
                  <c:v>-37.588152999999977</c:v>
                </c:pt>
                <c:pt idx="13">
                  <c:v>-44.314930999999987</c:v>
                </c:pt>
                <c:pt idx="14">
                  <c:v>-30.467195000000004</c:v>
                </c:pt>
                <c:pt idx="15">
                  <c:v>-47.701574000000022</c:v>
                </c:pt>
                <c:pt idx="16">
                  <c:v>38.055483617751008</c:v>
                </c:pt>
                <c:pt idx="17">
                  <c:v>-116.10974062181617</c:v>
                </c:pt>
                <c:pt idx="18">
                  <c:v>-151.48745476086944</c:v>
                </c:pt>
                <c:pt idx="19">
                  <c:v>-157.53865432476798</c:v>
                </c:pt>
                <c:pt idx="20">
                  <c:v>-173.7</c:v>
                </c:pt>
                <c:pt idx="21">
                  <c:v>-140.58972851489443</c:v>
                </c:pt>
              </c:numCache>
            </c:numRef>
          </c:val>
          <c:extLst>
            <c:ext xmlns:c16="http://schemas.microsoft.com/office/drawing/2014/chart" uri="{C3380CC4-5D6E-409C-BE32-E72D297353CC}">
              <c16:uniqueId val="{00000002-A9A9-454C-A79B-4DD6C415EE8A}"/>
            </c:ext>
          </c:extLst>
        </c:ser>
        <c:ser>
          <c:idx val="3"/>
          <c:order val="3"/>
          <c:tx>
            <c:strRef>
              <c:f>Sheet1!$E$1</c:f>
              <c:strCache>
                <c:ptCount val="1"/>
                <c:pt idx="0">
                  <c:v>Ռուբլի</c:v>
                </c:pt>
              </c:strCache>
            </c:strRef>
          </c:tx>
          <c:spPr>
            <a:solidFill>
              <a:schemeClr val="accent1">
                <a:lumMod val="75000"/>
              </a:schemeClr>
            </a:solidFill>
            <a:ln>
              <a:noFill/>
            </a:ln>
            <a:effectLst>
              <a:outerShdw blurRad="40000" dist="23000" dir="5400000" rotWithShape="0">
                <a:srgbClr val="000000">
                  <a:alpha val="35000"/>
                </a:srgbClr>
              </a:outerShdw>
            </a:effectLst>
          </c:spPr>
          <c:invertIfNegative val="0"/>
          <c:cat>
            <c:multiLvlStrRef>
              <c:f>Sheet1!$A$2:$B$23</c:f>
              <c:multiLvlStrCache>
                <c:ptCount val="22"/>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lvl>
                <c:lvl>
                  <c:pt idx="0">
                    <c:v>2018</c:v>
                  </c:pt>
                  <c:pt idx="4">
                    <c:v>2019</c:v>
                  </c:pt>
                  <c:pt idx="8">
                    <c:v>2020</c:v>
                  </c:pt>
                  <c:pt idx="12">
                    <c:v>2021</c:v>
                  </c:pt>
                  <c:pt idx="16">
                    <c:v>2022</c:v>
                  </c:pt>
                  <c:pt idx="20">
                    <c:v>2023</c:v>
                  </c:pt>
                </c:lvl>
              </c:multiLvlStrCache>
            </c:multiLvlStrRef>
          </c:cat>
          <c:val>
            <c:numRef>
              <c:f>Sheet1!$E$2:$E$23</c:f>
              <c:numCache>
                <c:formatCode>0</c:formatCode>
                <c:ptCount val="22"/>
                <c:pt idx="0">
                  <c:v>0</c:v>
                </c:pt>
                <c:pt idx="1">
                  <c:v>0</c:v>
                </c:pt>
                <c:pt idx="2">
                  <c:v>0</c:v>
                </c:pt>
                <c:pt idx="3">
                  <c:v>0</c:v>
                </c:pt>
                <c:pt idx="4">
                  <c:v>0</c:v>
                </c:pt>
                <c:pt idx="5">
                  <c:v>0</c:v>
                </c:pt>
                <c:pt idx="6">
                  <c:v>0</c:v>
                </c:pt>
                <c:pt idx="7">
                  <c:v>0</c:v>
                </c:pt>
                <c:pt idx="8">
                  <c:v>0</c:v>
                </c:pt>
                <c:pt idx="9">
                  <c:v>0</c:v>
                </c:pt>
                <c:pt idx="10">
                  <c:v>0</c:v>
                </c:pt>
                <c:pt idx="11">
                  <c:v>0</c:v>
                </c:pt>
                <c:pt idx="12">
                  <c:v>5.1814139999999895</c:v>
                </c:pt>
                <c:pt idx="13">
                  <c:v>56.355378999999985</c:v>
                </c:pt>
                <c:pt idx="14">
                  <c:v>38.985996999999998</c:v>
                </c:pt>
                <c:pt idx="15">
                  <c:v>13.216617000000014</c:v>
                </c:pt>
                <c:pt idx="16">
                  <c:v>-31.598552698007609</c:v>
                </c:pt>
                <c:pt idx="17">
                  <c:v>190.46627119187261</c:v>
                </c:pt>
                <c:pt idx="18">
                  <c:v>423.24379297671146</c:v>
                </c:pt>
                <c:pt idx="19">
                  <c:v>550.39308050890099</c:v>
                </c:pt>
                <c:pt idx="20">
                  <c:v>428.1</c:v>
                </c:pt>
                <c:pt idx="21">
                  <c:v>376.39776191044848</c:v>
                </c:pt>
              </c:numCache>
            </c:numRef>
          </c:val>
          <c:extLst>
            <c:ext xmlns:c16="http://schemas.microsoft.com/office/drawing/2014/chart" uri="{C3380CC4-5D6E-409C-BE32-E72D297353CC}">
              <c16:uniqueId val="{00000003-A9A9-454C-A79B-4DD6C415EE8A}"/>
            </c:ext>
          </c:extLst>
        </c:ser>
        <c:dLbls>
          <c:showLegendKey val="0"/>
          <c:showVal val="0"/>
          <c:showCatName val="0"/>
          <c:showSerName val="0"/>
          <c:showPercent val="0"/>
          <c:showBubbleSize val="0"/>
        </c:dLbls>
        <c:gapWidth val="100"/>
        <c:overlap val="100"/>
        <c:axId val="505862432"/>
        <c:axId val="505864952"/>
      </c:barChart>
      <c:catAx>
        <c:axId val="505862432"/>
        <c:scaling>
          <c:orientation val="minMax"/>
        </c:scaling>
        <c:delete val="0"/>
        <c:axPos val="b"/>
        <c:numFmt formatCode="General" sourceLinked="1"/>
        <c:majorTickMark val="none"/>
        <c:minorTickMark val="none"/>
        <c:tickLblPos val="low"/>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alpha val="93000"/>
                  </a:schemeClr>
                </a:solidFill>
                <a:latin typeface="GHEA Grapalat" panose="02000506050000020003" pitchFamily="50" charset="0"/>
                <a:ea typeface="+mn-ea"/>
                <a:cs typeface="+mn-cs"/>
              </a:defRPr>
            </a:pPr>
            <a:endParaRPr lang="en-US"/>
          </a:p>
        </c:txPr>
        <c:crossAx val="505864952"/>
        <c:crosses val="autoZero"/>
        <c:auto val="0"/>
        <c:lblAlgn val="ctr"/>
        <c:lblOffset val="100"/>
        <c:noMultiLvlLbl val="0"/>
      </c:catAx>
      <c:valAx>
        <c:axId val="50586495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505862432"/>
        <c:crosses val="autoZero"/>
        <c:crossBetween val="between"/>
      </c:valAx>
      <c:spPr>
        <a:solidFill>
          <a:schemeClr val="bg1"/>
        </a:solidFill>
        <a:ln>
          <a:solidFill>
            <a:sysClr val="window" lastClr="FFFFFF">
              <a:lumMod val="75000"/>
            </a:sysClr>
          </a:solidFill>
        </a:ln>
        <a:effectLst/>
      </c:spPr>
    </c:plotArea>
    <c:legend>
      <c:legendPos val="b"/>
      <c:legendEntry>
        <c:idx val="0"/>
        <c:delete val="1"/>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0.15006727236018574"/>
          <c:y val="0.87922034607552513"/>
          <c:w val="0.71044554815263472"/>
          <c:h val="9.44707878366033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lumMod val="75000"/>
        </a:sysClr>
      </a:solidFill>
      <a:round/>
    </a:ln>
    <a:effectLst/>
  </c:spPr>
  <c:txPr>
    <a:bodyPr/>
    <a:lstStyle/>
    <a:p>
      <a:pPr>
        <a:defRPr>
          <a:latin typeface="GHEA Grapalat" panose="02000506050000020003" pitchFamily="50"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Sheet1!$C$1</c:f>
              <c:strCache>
                <c:ptCount val="1"/>
                <c:pt idx="0">
                  <c:v>ԱՄՆ</c:v>
                </c:pt>
              </c:strCache>
            </c:strRef>
          </c:tx>
          <c:spPr>
            <a:ln w="28575" cap="rnd">
              <a:solidFill>
                <a:schemeClr val="tx2"/>
              </a:solidFill>
              <a:round/>
            </a:ln>
            <a:effectLst/>
          </c:spPr>
          <c:marker>
            <c:symbol val="none"/>
          </c:marker>
          <c:val>
            <c:numRef>
              <c:f>Sheet1!$C$2:$C$67</c:f>
              <c:numCache>
                <c:formatCode>General</c:formatCode>
                <c:ptCount val="54"/>
              </c:numCache>
            </c:numRef>
          </c:val>
          <c:smooth val="0"/>
          <c:extLst>
            <c:ext xmlns:c15="http://schemas.microsoft.com/office/drawing/2012/chart" uri="{02D57815-91ED-43cb-92C2-25804820EDAC}">
              <c15:filteredCategoryTitle>
                <c15:cat>
                  <c:multiLvlStrRef>
                    <c:extLst xmlns:c16="http://schemas.microsoft.com/office/drawing/2014/chart">
                      <c:ext uri="{02D57815-91ED-43cb-92C2-25804820EDAC}">
                        <c15:formulaRef>
                          <c15:sqref>Sheet1!$A$2:$B$67</c15:sqref>
                        </c15:formulaRef>
                      </c:ext>
                    </c:extLst>
                  </c:multiLvlStrRef>
                </c15:cat>
              </c15:filteredCategoryTitle>
            </c:ext>
            <c:ext xmlns:c16="http://schemas.microsoft.com/office/drawing/2014/chart" uri="{C3380CC4-5D6E-409C-BE32-E72D297353CC}">
              <c16:uniqueId val="{00000000-876F-4AF6-B019-EAD4821F9081}"/>
            </c:ext>
          </c:extLst>
        </c:ser>
        <c:ser>
          <c:idx val="1"/>
          <c:order val="1"/>
          <c:tx>
            <c:strRef>
              <c:f>Sheet1!$D$1</c:f>
              <c:strCache>
                <c:ptCount val="1"/>
                <c:pt idx="0">
                  <c:v>ԵԳ</c:v>
                </c:pt>
              </c:strCache>
            </c:strRef>
          </c:tx>
          <c:spPr>
            <a:ln w="28575" cap="rnd">
              <a:solidFill>
                <a:schemeClr val="accent1"/>
              </a:solidFill>
              <a:round/>
            </a:ln>
            <a:effectLst/>
          </c:spPr>
          <c:marker>
            <c:symbol val="none"/>
          </c:marker>
          <c:val>
            <c:numRef>
              <c:f>Sheet1!$D$2:$D$67</c:f>
              <c:numCache>
                <c:formatCode>General</c:formatCode>
                <c:ptCount val="54"/>
              </c:numCache>
            </c:numRef>
          </c:val>
          <c:smooth val="0"/>
          <c:extLst>
            <c:ext xmlns:c15="http://schemas.microsoft.com/office/drawing/2012/chart" uri="{02D57815-91ED-43cb-92C2-25804820EDAC}">
              <c15:filteredCategoryTitle>
                <c15:cat>
                  <c:multiLvlStrRef>
                    <c:extLst xmlns:c16="http://schemas.microsoft.com/office/drawing/2014/chart">
                      <c:ext uri="{02D57815-91ED-43cb-92C2-25804820EDAC}">
                        <c15:formulaRef>
                          <c15:sqref>Sheet1!$A$2:$B$67</c15:sqref>
                        </c15:formulaRef>
                      </c:ext>
                    </c:extLst>
                  </c:multiLvlStrRef>
                </c15:cat>
              </c15:filteredCategoryTitle>
            </c:ext>
            <c:ext xmlns:c16="http://schemas.microsoft.com/office/drawing/2014/chart" uri="{C3380CC4-5D6E-409C-BE32-E72D297353CC}">
              <c16:uniqueId val="{00000001-876F-4AF6-B019-EAD4821F9081}"/>
            </c:ext>
          </c:extLst>
        </c:ser>
        <c:ser>
          <c:idx val="2"/>
          <c:order val="2"/>
          <c:tx>
            <c:strRef>
              <c:f>Sheet1!$E$1</c:f>
              <c:strCache>
                <c:ptCount val="1"/>
                <c:pt idx="0">
                  <c:v>Չինաստան</c:v>
                </c:pt>
              </c:strCache>
            </c:strRef>
          </c:tx>
          <c:spPr>
            <a:ln w="28575" cap="rnd">
              <a:solidFill>
                <a:schemeClr val="bg1">
                  <a:lumMod val="65000"/>
                </a:schemeClr>
              </a:solidFill>
              <a:round/>
            </a:ln>
            <a:effectLst/>
          </c:spPr>
          <c:marker>
            <c:symbol val="none"/>
          </c:marker>
          <c:val>
            <c:numRef>
              <c:f>Sheet1!$E$2:$E$67</c:f>
              <c:numCache>
                <c:formatCode>General</c:formatCode>
                <c:ptCount val="54"/>
              </c:numCache>
            </c:numRef>
          </c:val>
          <c:smooth val="0"/>
          <c:extLst>
            <c:ext xmlns:c15="http://schemas.microsoft.com/office/drawing/2012/chart" uri="{02D57815-91ED-43cb-92C2-25804820EDAC}">
              <c15:filteredCategoryTitle>
                <c15:cat>
                  <c:multiLvlStrRef>
                    <c:extLst xmlns:c16="http://schemas.microsoft.com/office/drawing/2014/chart">
                      <c:ext uri="{02D57815-91ED-43cb-92C2-25804820EDAC}">
                        <c15:formulaRef>
                          <c15:sqref>Sheet1!$A$2:$B$67</c15:sqref>
                        </c15:formulaRef>
                      </c:ext>
                    </c:extLst>
                  </c:multiLvlStrRef>
                </c15:cat>
              </c15:filteredCategoryTitle>
            </c:ext>
            <c:ext xmlns:c16="http://schemas.microsoft.com/office/drawing/2014/chart" uri="{C3380CC4-5D6E-409C-BE32-E72D297353CC}">
              <c16:uniqueId val="{00000002-876F-4AF6-B019-EAD4821F9081}"/>
            </c:ext>
          </c:extLst>
        </c:ser>
        <c:ser>
          <c:idx val="3"/>
          <c:order val="3"/>
          <c:tx>
            <c:strRef>
              <c:f>Sheet1!$F$1</c:f>
              <c:strCache>
                <c:ptCount val="1"/>
                <c:pt idx="0">
                  <c:v>ՌԴ</c:v>
                </c:pt>
              </c:strCache>
            </c:strRef>
          </c:tx>
          <c:spPr>
            <a:ln w="28575" cap="rnd">
              <a:solidFill>
                <a:schemeClr val="accent6">
                  <a:lumMod val="60000"/>
                  <a:lumOff val="40000"/>
                </a:schemeClr>
              </a:solidFill>
              <a:round/>
            </a:ln>
            <a:effectLst/>
          </c:spPr>
          <c:marker>
            <c:symbol val="none"/>
          </c:marker>
          <c:val>
            <c:numRef>
              <c:f>Sheet1!$F$2:$F$67</c:f>
              <c:numCache>
                <c:formatCode>General</c:formatCode>
                <c:ptCount val="54"/>
              </c:numCache>
            </c:numRef>
          </c:val>
          <c:smooth val="0"/>
          <c:extLst>
            <c:ext xmlns:c15="http://schemas.microsoft.com/office/drawing/2012/chart" uri="{02D57815-91ED-43cb-92C2-25804820EDAC}">
              <c15:filteredCategoryTitle>
                <c15:cat>
                  <c:multiLvlStrRef>
                    <c:extLst xmlns:c16="http://schemas.microsoft.com/office/drawing/2014/chart">
                      <c:ext uri="{02D57815-91ED-43cb-92C2-25804820EDAC}">
                        <c15:formulaRef>
                          <c15:sqref>Sheet1!$A$2:$B$67</c15:sqref>
                        </c15:formulaRef>
                      </c:ext>
                    </c:extLst>
                  </c:multiLvlStrRef>
                </c15:cat>
              </c15:filteredCategoryTitle>
            </c:ext>
            <c:ext xmlns:c16="http://schemas.microsoft.com/office/drawing/2014/chart" uri="{C3380CC4-5D6E-409C-BE32-E72D297353CC}">
              <c16:uniqueId val="{00000003-876F-4AF6-B019-EAD4821F9081}"/>
            </c:ext>
          </c:extLst>
        </c:ser>
        <c:dLbls>
          <c:showLegendKey val="0"/>
          <c:showVal val="0"/>
          <c:showCatName val="0"/>
          <c:showSerName val="0"/>
          <c:showPercent val="0"/>
          <c:showBubbleSize val="0"/>
        </c:dLbls>
        <c:smooth val="0"/>
        <c:axId val="1691170544"/>
        <c:axId val="1691182512"/>
      </c:lineChart>
      <c:catAx>
        <c:axId val="1691170544"/>
        <c:scaling>
          <c:orientation val="minMax"/>
        </c:scaling>
        <c:delete val="1"/>
        <c:axPos val="b"/>
        <c:numFmt formatCode="General" sourceLinked="1"/>
        <c:majorTickMark val="none"/>
        <c:minorTickMark val="none"/>
        <c:tickLblPos val="low"/>
        <c:crossAx val="1691182512"/>
        <c:crosses val="autoZero"/>
        <c:auto val="1"/>
        <c:lblAlgn val="ctr"/>
        <c:lblOffset val="100"/>
        <c:noMultiLvlLbl val="0"/>
      </c:catAx>
      <c:valAx>
        <c:axId val="1691182512"/>
        <c:scaling>
          <c:orientation val="minMax"/>
          <c:max val="21"/>
        </c:scaling>
        <c:delete val="1"/>
        <c:axPos val="l"/>
        <c:numFmt formatCode="General" sourceLinked="1"/>
        <c:majorTickMark val="none"/>
        <c:minorTickMark val="none"/>
        <c:tickLblPos val="nextTo"/>
        <c:crossAx val="1691170544"/>
        <c:crosses val="autoZero"/>
        <c:crossBetween val="between"/>
      </c:valAx>
      <c:spPr>
        <a:noFill/>
        <a:ln w="25400">
          <a:noFill/>
        </a:ln>
      </c:spPr>
    </c:plotArea>
    <c:legend>
      <c:legendPos val="b"/>
      <c:layout>
        <c:manualLayout>
          <c:xMode val="edge"/>
          <c:yMode val="edge"/>
          <c:x val="5.2930199264204017E-2"/>
          <c:y val="0.20734332189667515"/>
          <c:w val="0.9237377436699904"/>
          <c:h val="0.60456890380865402"/>
        </c:manualLayout>
      </c:layout>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929303715429006E-2"/>
          <c:y val="9.0331207537105523E-2"/>
          <c:w val="0.74256161161672973"/>
          <c:h val="0.52294092072846721"/>
        </c:manualLayout>
      </c:layout>
      <c:barChart>
        <c:barDir val="col"/>
        <c:grouping val="clustered"/>
        <c:varyColors val="0"/>
        <c:ser>
          <c:idx val="0"/>
          <c:order val="0"/>
          <c:tx>
            <c:strRef>
              <c:f>Sheet1!$C$1</c:f>
              <c:strCache>
                <c:ptCount val="1"/>
                <c:pt idx="0">
                  <c:v>ԿԲ միջամտություն (զուտ առք), մլն դոլար</c:v>
                </c:pt>
              </c:strCache>
            </c:strRef>
          </c:tx>
          <c:spPr>
            <a:solidFill>
              <a:srgbClr val="4F81BD">
                <a:lumMod val="75000"/>
              </a:srgbClr>
            </a:solidFill>
            <a:ln w="28575">
              <a:noFill/>
            </a:ln>
            <a:effectLst/>
          </c:spPr>
          <c:invertIfNegative val="0"/>
          <c:cat>
            <c:multiLvlStrRef>
              <c:f>Sheet1!$A$206:$B$271</c:f>
              <c:multiLvlStrCache>
                <c:ptCount val="6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pt idx="56">
                    <c:v>9</c:v>
                  </c:pt>
                  <c:pt idx="57">
                    <c:v>10</c:v>
                  </c:pt>
                  <c:pt idx="58">
                    <c:v>11</c:v>
                  </c:pt>
                  <c:pt idx="59">
                    <c:v>12</c:v>
                  </c:pt>
                  <c:pt idx="60">
                    <c:v>1</c:v>
                  </c:pt>
                  <c:pt idx="61">
                    <c:v>2</c:v>
                  </c:pt>
                  <c:pt idx="62">
                    <c:v>3</c:v>
                  </c:pt>
                  <c:pt idx="63">
                    <c:v>4</c:v>
                  </c:pt>
                  <c:pt idx="64">
                    <c:v>5</c:v>
                  </c:pt>
                  <c:pt idx="65">
                    <c:v>6</c:v>
                  </c:pt>
                </c:lvl>
                <c:lvl>
                  <c:pt idx="0">
                    <c:v>2018</c:v>
                  </c:pt>
                  <c:pt idx="12">
                    <c:v>2019</c:v>
                  </c:pt>
                  <c:pt idx="24">
                    <c:v>2020</c:v>
                  </c:pt>
                  <c:pt idx="36">
                    <c:v>2021</c:v>
                  </c:pt>
                  <c:pt idx="48">
                    <c:v>2022</c:v>
                  </c:pt>
                  <c:pt idx="60">
                    <c:v>2023</c:v>
                  </c:pt>
                </c:lvl>
              </c:multiLvlStrCache>
            </c:multiLvlStrRef>
          </c:cat>
          <c:val>
            <c:numRef>
              <c:f>Sheet1!$C$206:$C$271</c:f>
              <c:numCache>
                <c:formatCode>0</c:formatCode>
                <c:ptCount val="66"/>
                <c:pt idx="0">
                  <c:v>14</c:v>
                </c:pt>
                <c:pt idx="1">
                  <c:v>7</c:v>
                </c:pt>
                <c:pt idx="2">
                  <c:v>26</c:v>
                </c:pt>
                <c:pt idx="3">
                  <c:v>0</c:v>
                </c:pt>
                <c:pt idx="4">
                  <c:v>-10</c:v>
                </c:pt>
                <c:pt idx="5">
                  <c:v>0</c:v>
                </c:pt>
                <c:pt idx="6">
                  <c:v>7</c:v>
                </c:pt>
                <c:pt idx="7">
                  <c:v>0</c:v>
                </c:pt>
                <c:pt idx="8">
                  <c:v>0</c:v>
                </c:pt>
                <c:pt idx="9">
                  <c:v>0</c:v>
                </c:pt>
                <c:pt idx="10">
                  <c:v>0</c:v>
                </c:pt>
                <c:pt idx="11">
                  <c:v>0</c:v>
                </c:pt>
                <c:pt idx="12">
                  <c:v>0</c:v>
                </c:pt>
                <c:pt idx="13">
                  <c:v>0</c:v>
                </c:pt>
                <c:pt idx="14">
                  <c:v>5</c:v>
                </c:pt>
                <c:pt idx="15">
                  <c:v>56.65</c:v>
                </c:pt>
                <c:pt idx="16">
                  <c:v>27</c:v>
                </c:pt>
                <c:pt idx="17">
                  <c:v>96.6</c:v>
                </c:pt>
                <c:pt idx="18">
                  <c:v>94.9</c:v>
                </c:pt>
                <c:pt idx="19">
                  <c:v>29.6</c:v>
                </c:pt>
                <c:pt idx="20">
                  <c:v>123.25</c:v>
                </c:pt>
                <c:pt idx="21">
                  <c:v>61.7</c:v>
                </c:pt>
                <c:pt idx="22">
                  <c:v>27.1</c:v>
                </c:pt>
                <c:pt idx="23">
                  <c:v>43.8</c:v>
                </c:pt>
                <c:pt idx="24">
                  <c:v>37.799999999999997</c:v>
                </c:pt>
                <c:pt idx="25">
                  <c:v>20</c:v>
                </c:pt>
                <c:pt idx="26">
                  <c:v>-70</c:v>
                </c:pt>
                <c:pt idx="27">
                  <c:v>-23.9</c:v>
                </c:pt>
                <c:pt idx="28">
                  <c:v>0</c:v>
                </c:pt>
                <c:pt idx="29">
                  <c:v>0</c:v>
                </c:pt>
                <c:pt idx="30">
                  <c:v>0</c:v>
                </c:pt>
                <c:pt idx="31">
                  <c:v>0</c:v>
                </c:pt>
                <c:pt idx="32">
                  <c:v>0</c:v>
                </c:pt>
                <c:pt idx="33">
                  <c:v>0</c:v>
                </c:pt>
                <c:pt idx="34">
                  <c:v>-60</c:v>
                </c:pt>
                <c:pt idx="35">
                  <c:v>-50.85</c:v>
                </c:pt>
                <c:pt idx="36">
                  <c:v>-46.8</c:v>
                </c:pt>
                <c:pt idx="37">
                  <c:v>0</c:v>
                </c:pt>
                <c:pt idx="38">
                  <c:v>-34.799999999999997</c:v>
                </c:pt>
                <c:pt idx="39">
                  <c:v>-74.7</c:v>
                </c:pt>
                <c:pt idx="40">
                  <c:v>0</c:v>
                </c:pt>
                <c:pt idx="41">
                  <c:v>7</c:v>
                </c:pt>
                <c:pt idx="42">
                  <c:v>0</c:v>
                </c:pt>
                <c:pt idx="43">
                  <c:v>0</c:v>
                </c:pt>
                <c:pt idx="44">
                  <c:v>10</c:v>
                </c:pt>
                <c:pt idx="45">
                  <c:v>0</c:v>
                </c:pt>
                <c:pt idx="46">
                  <c:v>5</c:v>
                </c:pt>
                <c:pt idx="47">
                  <c:v>0</c:v>
                </c:pt>
                <c:pt idx="48">
                  <c:v>0</c:v>
                </c:pt>
                <c:pt idx="49">
                  <c:v>0</c:v>
                </c:pt>
                <c:pt idx="50">
                  <c:v>0</c:v>
                </c:pt>
                <c:pt idx="51">
                  <c:v>67</c:v>
                </c:pt>
                <c:pt idx="52">
                  <c:v>0</c:v>
                </c:pt>
                <c:pt idx="53">
                  <c:v>100</c:v>
                </c:pt>
                <c:pt idx="54">
                  <c:v>18.5</c:v>
                </c:pt>
                <c:pt idx="55">
                  <c:v>81.3</c:v>
                </c:pt>
                <c:pt idx="56">
                  <c:v>55</c:v>
                </c:pt>
                <c:pt idx="57">
                  <c:v>80</c:v>
                </c:pt>
                <c:pt idx="58">
                  <c:v>114</c:v>
                </c:pt>
                <c:pt idx="59">
                  <c:v>58</c:v>
                </c:pt>
                <c:pt idx="61" formatCode="_(* #,##0_);_(* \(#,##0\);_(* &quot;-&quot;??_);_(@_)">
                  <c:v>40</c:v>
                </c:pt>
                <c:pt idx="62" formatCode="_(* #,##0_);_(* \(#,##0\);_(* &quot;-&quot;??_);_(@_)">
                  <c:v>151.30000000000001</c:v>
                </c:pt>
                <c:pt idx="63" formatCode="_(* #,##0_);_(* \(#,##0\);_(* &quot;-&quot;??_);_(@_)">
                  <c:v>181.6</c:v>
                </c:pt>
                <c:pt idx="64" formatCode="_(* #,##0_);_(* \(#,##0\);_(* &quot;-&quot;??_);_(@_)">
                  <c:v>209.5</c:v>
                </c:pt>
                <c:pt idx="65" formatCode="_(* #,##0_);_(* \(#,##0\);_(* &quot;-&quot;??_);_(@_)">
                  <c:v>198.8</c:v>
                </c:pt>
              </c:numCache>
            </c:numRef>
          </c:val>
          <c:extLst>
            <c:ext xmlns:c16="http://schemas.microsoft.com/office/drawing/2014/chart" uri="{C3380CC4-5D6E-409C-BE32-E72D297353CC}">
              <c16:uniqueId val="{00000000-5460-4E56-83BD-A4BC5B48F64F}"/>
            </c:ext>
          </c:extLst>
        </c:ser>
        <c:dLbls>
          <c:showLegendKey val="0"/>
          <c:showVal val="0"/>
          <c:showCatName val="0"/>
          <c:showSerName val="0"/>
          <c:showPercent val="0"/>
          <c:showBubbleSize val="0"/>
        </c:dLbls>
        <c:gapWidth val="150"/>
        <c:axId val="175953408"/>
        <c:axId val="175954944"/>
      </c:barChart>
      <c:lineChart>
        <c:grouping val="standard"/>
        <c:varyColors val="0"/>
        <c:ser>
          <c:idx val="1"/>
          <c:order val="1"/>
          <c:tx>
            <c:strRef>
              <c:f>Sheet1!$D$1</c:f>
              <c:strCache>
                <c:ptCount val="1"/>
                <c:pt idx="0">
                  <c:v>Դրամ/դոլար (աջ առանցք)</c:v>
                </c:pt>
              </c:strCache>
            </c:strRef>
          </c:tx>
          <c:spPr>
            <a:ln w="28575" cap="rnd">
              <a:solidFill>
                <a:srgbClr val="1F497D">
                  <a:lumMod val="60000"/>
                  <a:lumOff val="40000"/>
                </a:srgbClr>
              </a:solidFill>
              <a:round/>
            </a:ln>
            <a:effectLst/>
          </c:spPr>
          <c:marker>
            <c:symbol val="none"/>
          </c:marker>
          <c:cat>
            <c:numRef>
              <c:f>Sheet1!$C$271</c:f>
              <c:numCache>
                <c:formatCode>_(* #,##0_);_(* \(#,##0\);_(* "-"??_);_(@_)</c:formatCode>
                <c:ptCount val="1"/>
                <c:pt idx="0">
                  <c:v>198.8</c:v>
                </c:pt>
              </c:numCache>
            </c:numRef>
          </c:cat>
          <c:val>
            <c:numRef>
              <c:f>Sheet1!$D$206:$D$271</c:f>
              <c:numCache>
                <c:formatCode>0</c:formatCode>
                <c:ptCount val="66"/>
                <c:pt idx="0">
                  <c:v>482.4</c:v>
                </c:pt>
                <c:pt idx="1">
                  <c:v>481.37</c:v>
                </c:pt>
                <c:pt idx="2">
                  <c:v>480.41</c:v>
                </c:pt>
                <c:pt idx="3">
                  <c:v>481.35</c:v>
                </c:pt>
                <c:pt idx="4">
                  <c:v>484.09</c:v>
                </c:pt>
                <c:pt idx="5">
                  <c:v>482.62</c:v>
                </c:pt>
                <c:pt idx="6">
                  <c:v>481.43</c:v>
                </c:pt>
                <c:pt idx="7">
                  <c:v>482.43</c:v>
                </c:pt>
                <c:pt idx="8">
                  <c:v>483.82</c:v>
                </c:pt>
                <c:pt idx="9">
                  <c:v>484.93</c:v>
                </c:pt>
                <c:pt idx="10">
                  <c:v>486.33</c:v>
                </c:pt>
                <c:pt idx="11">
                  <c:v>484.67</c:v>
                </c:pt>
                <c:pt idx="12">
                  <c:v>485.79</c:v>
                </c:pt>
                <c:pt idx="13">
                  <c:v>488.41</c:v>
                </c:pt>
                <c:pt idx="14">
                  <c:v>487.48</c:v>
                </c:pt>
                <c:pt idx="15">
                  <c:v>484.29</c:v>
                </c:pt>
                <c:pt idx="16">
                  <c:v>480.55</c:v>
                </c:pt>
                <c:pt idx="17">
                  <c:v>478.47</c:v>
                </c:pt>
                <c:pt idx="18">
                  <c:v>476.5</c:v>
                </c:pt>
                <c:pt idx="19">
                  <c:v>476</c:v>
                </c:pt>
                <c:pt idx="20">
                  <c:v>476.23</c:v>
                </c:pt>
                <c:pt idx="21">
                  <c:v>476.3</c:v>
                </c:pt>
                <c:pt idx="22">
                  <c:v>477.08</c:v>
                </c:pt>
                <c:pt idx="23">
                  <c:v>478.24</c:v>
                </c:pt>
                <c:pt idx="24">
                  <c:v>479.21</c:v>
                </c:pt>
                <c:pt idx="25">
                  <c:v>478.74</c:v>
                </c:pt>
                <c:pt idx="26">
                  <c:v>489.01</c:v>
                </c:pt>
                <c:pt idx="27">
                  <c:v>488.66</c:v>
                </c:pt>
                <c:pt idx="28">
                  <c:v>484.12</c:v>
                </c:pt>
                <c:pt idx="29">
                  <c:v>481.27</c:v>
                </c:pt>
                <c:pt idx="30">
                  <c:v>484.65</c:v>
                </c:pt>
                <c:pt idx="31">
                  <c:v>485.49</c:v>
                </c:pt>
                <c:pt idx="32">
                  <c:v>486.69</c:v>
                </c:pt>
                <c:pt idx="33">
                  <c:v>491.74</c:v>
                </c:pt>
                <c:pt idx="34">
                  <c:v>499.62</c:v>
                </c:pt>
                <c:pt idx="35">
                  <c:v>518.91</c:v>
                </c:pt>
                <c:pt idx="36">
                  <c:v>521.20000000000005</c:v>
                </c:pt>
                <c:pt idx="37">
                  <c:v>523.54</c:v>
                </c:pt>
                <c:pt idx="38">
                  <c:v>527.66999999999996</c:v>
                </c:pt>
                <c:pt idx="39">
                  <c:v>525.62</c:v>
                </c:pt>
                <c:pt idx="40">
                  <c:v>521.35</c:v>
                </c:pt>
                <c:pt idx="41">
                  <c:v>513.09</c:v>
                </c:pt>
                <c:pt idx="42">
                  <c:v>490.87</c:v>
                </c:pt>
                <c:pt idx="43">
                  <c:v>491.73</c:v>
                </c:pt>
                <c:pt idx="44">
                  <c:v>488.12</c:v>
                </c:pt>
                <c:pt idx="45">
                  <c:v>479.25</c:v>
                </c:pt>
                <c:pt idx="46">
                  <c:v>477.66</c:v>
                </c:pt>
                <c:pt idx="47">
                  <c:v>485.14</c:v>
                </c:pt>
                <c:pt idx="48">
                  <c:v>481.99</c:v>
                </c:pt>
                <c:pt idx="49">
                  <c:v>480.24</c:v>
                </c:pt>
                <c:pt idx="50">
                  <c:v>496.96</c:v>
                </c:pt>
                <c:pt idx="51">
                  <c:v>470.99</c:v>
                </c:pt>
                <c:pt idx="52">
                  <c:v>456.54</c:v>
                </c:pt>
                <c:pt idx="53">
                  <c:v>422.69</c:v>
                </c:pt>
                <c:pt idx="54">
                  <c:v>411.03</c:v>
                </c:pt>
                <c:pt idx="55">
                  <c:v>405.75</c:v>
                </c:pt>
                <c:pt idx="56">
                  <c:v>409.15</c:v>
                </c:pt>
                <c:pt idx="57">
                  <c:v>402.73</c:v>
                </c:pt>
                <c:pt idx="58">
                  <c:v>395.38</c:v>
                </c:pt>
                <c:pt idx="59">
                  <c:v>394.54</c:v>
                </c:pt>
                <c:pt idx="60">
                  <c:v>395.89</c:v>
                </c:pt>
                <c:pt idx="61">
                  <c:v>393.45</c:v>
                </c:pt>
                <c:pt idx="62">
                  <c:v>388.44</c:v>
                </c:pt>
                <c:pt idx="63">
                  <c:v>387.74</c:v>
                </c:pt>
                <c:pt idx="64">
                  <c:v>386.56</c:v>
                </c:pt>
                <c:pt idx="65">
                  <c:v>386.67</c:v>
                </c:pt>
              </c:numCache>
            </c:numRef>
          </c:val>
          <c:smooth val="0"/>
          <c:extLst>
            <c:ext xmlns:c16="http://schemas.microsoft.com/office/drawing/2014/chart" uri="{C3380CC4-5D6E-409C-BE32-E72D297353CC}">
              <c16:uniqueId val="{00000001-5460-4E56-83BD-A4BC5B48F64F}"/>
            </c:ext>
          </c:extLst>
        </c:ser>
        <c:dLbls>
          <c:showLegendKey val="0"/>
          <c:showVal val="0"/>
          <c:showCatName val="0"/>
          <c:showSerName val="0"/>
          <c:showPercent val="0"/>
          <c:showBubbleSize val="0"/>
        </c:dLbls>
        <c:marker val="1"/>
        <c:smooth val="0"/>
        <c:axId val="176032000"/>
        <c:axId val="176030464"/>
      </c:lineChart>
      <c:catAx>
        <c:axId val="175953408"/>
        <c:scaling>
          <c:orientation val="minMax"/>
        </c:scaling>
        <c:delete val="0"/>
        <c:axPos val="b"/>
        <c:numFmt formatCode="General" sourceLinked="1"/>
        <c:majorTickMark val="none"/>
        <c:minorTickMark val="none"/>
        <c:tickLblPos val="low"/>
        <c:spPr>
          <a:noFill/>
          <a:ln w="9525" cap="flat" cmpd="sng" algn="ctr">
            <a:solidFill>
              <a:sysClr val="window" lastClr="FFFFFF">
                <a:lumMod val="85000"/>
              </a:sys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75954944"/>
        <c:crosses val="autoZero"/>
        <c:auto val="0"/>
        <c:lblAlgn val="ctr"/>
        <c:lblOffset val="100"/>
        <c:noMultiLvlLbl val="0"/>
      </c:catAx>
      <c:valAx>
        <c:axId val="175954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75953408"/>
        <c:crosses val="autoZero"/>
        <c:crossBetween val="between"/>
      </c:valAx>
      <c:valAx>
        <c:axId val="176030464"/>
        <c:scaling>
          <c:orientation val="minMax"/>
          <c:min val="38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76032000"/>
        <c:crosses val="max"/>
        <c:crossBetween val="between"/>
      </c:valAx>
      <c:catAx>
        <c:axId val="176032000"/>
        <c:scaling>
          <c:orientation val="minMax"/>
        </c:scaling>
        <c:delete val="1"/>
        <c:axPos val="b"/>
        <c:numFmt formatCode="_(* #,##0_);_(* \(#,##0\);_(* &quot;-&quot;??_);_(@_)" sourceLinked="1"/>
        <c:majorTickMark val="out"/>
        <c:minorTickMark val="none"/>
        <c:tickLblPos val="nextTo"/>
        <c:crossAx val="176030464"/>
        <c:crosses val="autoZero"/>
        <c:auto val="1"/>
        <c:lblAlgn val="ctr"/>
        <c:lblOffset val="100"/>
        <c:noMultiLvlLbl val="0"/>
      </c:catAx>
      <c:spPr>
        <a:noFill/>
        <a:ln>
          <a:noFill/>
        </a:ln>
        <a:effectLst/>
      </c:spPr>
    </c:plotArea>
    <c:legend>
      <c:legendPos val="b"/>
      <c:layout>
        <c:manualLayout>
          <c:xMode val="edge"/>
          <c:yMode val="edge"/>
          <c:x val="5.2159352564150954E-2"/>
          <c:y val="0.87008304878442866"/>
          <c:w val="0.9056316195769647"/>
          <c:h val="0.116580314601577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noFill/>
    <a:ln w="9525" cap="flat" cmpd="sng" algn="ctr">
      <a:solidFill>
        <a:sysClr val="window" lastClr="FFFFFF">
          <a:lumMod val="85000"/>
        </a:sysClr>
      </a:solidFill>
      <a:round/>
    </a:ln>
    <a:effectLst/>
  </c:spPr>
  <c:txPr>
    <a:bodyPr/>
    <a:lstStyle/>
    <a:p>
      <a:pPr>
        <a:defRPr sz="1400">
          <a:latin typeface="GHEA Grapalat" panose="02000506050000020003" pitchFamily="50" charset="0"/>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Sheet1!$D$1</c:f>
              <c:strCache>
                <c:ptCount val="1"/>
                <c:pt idx="0">
                  <c:v>Եվրո</c:v>
                </c:pt>
              </c:strCache>
            </c:strRef>
          </c:tx>
          <c:spPr>
            <a:ln w="28575" cap="rnd">
              <a:solidFill>
                <a:schemeClr val="accent2">
                  <a:lumMod val="60000"/>
                  <a:lumOff val="40000"/>
                </a:schemeClr>
              </a:solidFill>
              <a:round/>
            </a:ln>
            <a:effectLst/>
          </c:spPr>
          <c:marker>
            <c:symbol val="none"/>
          </c:marker>
          <c:cat>
            <c:multiLvlStrRef>
              <c:f>Sheet1!$A$2:$B$61</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Sheet1!$D$2:$D$57</c:f>
              <c:numCache>
                <c:formatCode>0</c:formatCode>
                <c:ptCount val="56"/>
                <c:pt idx="0" formatCode="General">
                  <c:v>100</c:v>
                </c:pt>
                <c:pt idx="1">
                  <c:v>100.10283796705576</c:v>
                </c:pt>
                <c:pt idx="2">
                  <c:v>100.62204167497869</c:v>
                </c:pt>
                <c:pt idx="3">
                  <c:v>101.9120915452859</c:v>
                </c:pt>
                <c:pt idx="4">
                  <c:v>103.23564982789097</c:v>
                </c:pt>
                <c:pt idx="5">
                  <c:v>102.7139101780888</c:v>
                </c:pt>
                <c:pt idx="6">
                  <c:v>103.79765779922926</c:v>
                </c:pt>
                <c:pt idx="7">
                  <c:v>104.78564683663834</c:v>
                </c:pt>
                <c:pt idx="8">
                  <c:v>105.81280036616066</c:v>
                </c:pt>
                <c:pt idx="9">
                  <c:v>105.40473793195162</c:v>
                </c:pt>
                <c:pt idx="10">
                  <c:v>105.20288206295035</c:v>
                </c:pt>
                <c:pt idx="11">
                  <c:v>104.45423396965251</c:v>
                </c:pt>
                <c:pt idx="12">
                  <c:v>104.40902504657424</c:v>
                </c:pt>
                <c:pt idx="13">
                  <c:v>106.17524924890446</c:v>
                </c:pt>
                <c:pt idx="14">
                  <c:v>102.54116690384225</c:v>
                </c:pt>
                <c:pt idx="15">
                  <c:v>104.41884974405301</c:v>
                </c:pt>
                <c:pt idx="16">
                  <c:v>105.37471037338096</c:v>
                </c:pt>
                <c:pt idx="17">
                  <c:v>102.41057255712653</c:v>
                </c:pt>
                <c:pt idx="18">
                  <c:v>99.926159387663233</c:v>
                </c:pt>
                <c:pt idx="19">
                  <c:v>96.593025887432347</c:v>
                </c:pt>
                <c:pt idx="20">
                  <c:v>96.670441676104204</c:v>
                </c:pt>
                <c:pt idx="21">
                  <c:v>95.881936163962223</c:v>
                </c:pt>
                <c:pt idx="22">
                  <c:v>93.83233836735387</c:v>
                </c:pt>
                <c:pt idx="23">
                  <c:v>87.899622952377953</c:v>
                </c:pt>
                <c:pt idx="24">
                  <c:v>87.649679315029573</c:v>
                </c:pt>
                <c:pt idx="25">
                  <c:v>87.594329197057277</c:v>
                </c:pt>
                <c:pt idx="26">
                  <c:v>88.346098116332058</c:v>
                </c:pt>
                <c:pt idx="27">
                  <c:v>88.288460314429415</c:v>
                </c:pt>
                <c:pt idx="28">
                  <c:v>87.623379289651183</c:v>
                </c:pt>
                <c:pt idx="29">
                  <c:v>89.718961223763841</c:v>
                </c:pt>
                <c:pt idx="30">
                  <c:v>95.614261834600001</c:v>
                </c:pt>
                <c:pt idx="31">
                  <c:v>95.858744665779838</c:v>
                </c:pt>
                <c:pt idx="32">
                  <c:v>96.524129292648169</c:v>
                </c:pt>
                <c:pt idx="33">
                  <c:v>99.816500557694425</c:v>
                </c:pt>
                <c:pt idx="34">
                  <c:v>101.77189185223236</c:v>
                </c:pt>
                <c:pt idx="35">
                  <c:v>101.20939056201095</c:v>
                </c:pt>
                <c:pt idx="36">
                  <c:v>101.57254004576663</c:v>
                </c:pt>
                <c:pt idx="37">
                  <c:v>101.90460447774903</c:v>
                </c:pt>
                <c:pt idx="38">
                  <c:v>101.28514056224904</c:v>
                </c:pt>
                <c:pt idx="39">
                  <c:v>108.8177610418138</c:v>
                </c:pt>
                <c:pt idx="40">
                  <c:v>114.87608439098122</c:v>
                </c:pt>
                <c:pt idx="41">
                  <c:v>124.12805655607511</c:v>
                </c:pt>
                <c:pt idx="42">
                  <c:v>132.62262166555121</c:v>
                </c:pt>
                <c:pt idx="43">
                  <c:v>135.01070663811566</c:v>
                </c:pt>
                <c:pt idx="44">
                  <c:v>136.85898226486768</c:v>
                </c:pt>
                <c:pt idx="45">
                  <c:v>140.18899388549195</c:v>
                </c:pt>
                <c:pt idx="46">
                  <c:v>137.62960758049314</c:v>
                </c:pt>
                <c:pt idx="47">
                  <c:v>132.82899619353142</c:v>
                </c:pt>
                <c:pt idx="48">
                  <c:v>129.85395993259692</c:v>
                </c:pt>
                <c:pt idx="49">
                  <c:v>131.57844811231269</c:v>
                </c:pt>
                <c:pt idx="50">
                  <c:v>133.34935589309751</c:v>
                </c:pt>
                <c:pt idx="51">
                  <c:v>130.52294808158274</c:v>
                </c:pt>
                <c:pt idx="52">
                  <c:v>132.16769890424013</c:v>
                </c:pt>
                <c:pt idx="53">
                  <c:v>132.37897549686258</c:v>
                </c:pt>
                <c:pt idx="54">
                  <c:v>129.69308805310772</c:v>
                </c:pt>
                <c:pt idx="55">
                  <c:v>131.69712793733683</c:v>
                </c:pt>
              </c:numCache>
            </c:numRef>
          </c:val>
          <c:smooth val="0"/>
          <c:extLst>
            <c:ext xmlns:c16="http://schemas.microsoft.com/office/drawing/2014/chart" uri="{C3380CC4-5D6E-409C-BE32-E72D297353CC}">
              <c16:uniqueId val="{00000000-5F2B-4A8C-927E-D7080F18BB69}"/>
            </c:ext>
          </c:extLst>
        </c:ser>
        <c:ser>
          <c:idx val="1"/>
          <c:order val="1"/>
          <c:tx>
            <c:strRef>
              <c:f>Sheet1!$E$1</c:f>
              <c:strCache>
                <c:ptCount val="1"/>
                <c:pt idx="0">
                  <c:v>Ռուբլի</c:v>
                </c:pt>
              </c:strCache>
            </c:strRef>
          </c:tx>
          <c:spPr>
            <a:ln w="28575" cap="rnd">
              <a:solidFill>
                <a:srgbClr val="4F81BD">
                  <a:lumMod val="60000"/>
                  <a:lumOff val="40000"/>
                </a:srgbClr>
              </a:solidFill>
              <a:round/>
            </a:ln>
            <a:effectLst/>
          </c:spPr>
          <c:marker>
            <c:symbol val="none"/>
          </c:marker>
          <c:cat>
            <c:multiLvlStrRef>
              <c:f>Sheet1!$A$2:$B$61</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Sheet1!$E$2:$E$57</c:f>
              <c:numCache>
                <c:formatCode>0</c:formatCode>
                <c:ptCount val="56"/>
                <c:pt idx="0" formatCode="General">
                  <c:v>100</c:v>
                </c:pt>
                <c:pt idx="1">
                  <c:v>98.382749326145543</c:v>
                </c:pt>
                <c:pt idx="2">
                  <c:v>97.463284379172222</c:v>
                </c:pt>
                <c:pt idx="3">
                  <c:v>97.333333333333329</c:v>
                </c:pt>
                <c:pt idx="4">
                  <c:v>98.648648648648631</c:v>
                </c:pt>
                <c:pt idx="5">
                  <c:v>97.855227882037525</c:v>
                </c:pt>
                <c:pt idx="6">
                  <c:v>96.816976127320956</c:v>
                </c:pt>
                <c:pt idx="7">
                  <c:v>100.82872928176795</c:v>
                </c:pt>
                <c:pt idx="8">
                  <c:v>99.4550408719346</c:v>
                </c:pt>
                <c:pt idx="9">
                  <c:v>98.515519568151134</c:v>
                </c:pt>
                <c:pt idx="10">
                  <c:v>97.724230254350729</c:v>
                </c:pt>
                <c:pt idx="11">
                  <c:v>95.926412614980279</c:v>
                </c:pt>
                <c:pt idx="12">
                  <c:v>94.193548387096769</c:v>
                </c:pt>
                <c:pt idx="13">
                  <c:v>97.724230254350729</c:v>
                </c:pt>
                <c:pt idx="14">
                  <c:v>110.43872919818456</c:v>
                </c:pt>
                <c:pt idx="15">
                  <c:v>112.13517665130568</c:v>
                </c:pt>
                <c:pt idx="16">
                  <c:v>109.77443609022556</c:v>
                </c:pt>
                <c:pt idx="17">
                  <c:v>105.03597122302159</c:v>
                </c:pt>
                <c:pt idx="18">
                  <c:v>107.66961651917406</c:v>
                </c:pt>
                <c:pt idx="19">
                  <c:v>110.94224924012158</c:v>
                </c:pt>
                <c:pt idx="20">
                  <c:v>113.8845553822153</c:v>
                </c:pt>
                <c:pt idx="21">
                  <c:v>115.32385466034756</c:v>
                </c:pt>
                <c:pt idx="22">
                  <c:v>112.30769230769232</c:v>
                </c:pt>
                <c:pt idx="23">
                  <c:v>104.28571428571431</c:v>
                </c:pt>
                <c:pt idx="24">
                  <c:v>104.13694721825966</c:v>
                </c:pt>
                <c:pt idx="25">
                  <c:v>103.69318181818186</c:v>
                </c:pt>
                <c:pt idx="26">
                  <c:v>102.96191819464038</c:v>
                </c:pt>
                <c:pt idx="27">
                  <c:v>105.64399421128802</c:v>
                </c:pt>
                <c:pt idx="28">
                  <c:v>103.69318181818186</c:v>
                </c:pt>
                <c:pt idx="29">
                  <c:v>103.25318246110329</c:v>
                </c:pt>
                <c:pt idx="30">
                  <c:v>109.93975903614464</c:v>
                </c:pt>
                <c:pt idx="31">
                  <c:v>109.28143712574855</c:v>
                </c:pt>
                <c:pt idx="32">
                  <c:v>108.95522388059706</c:v>
                </c:pt>
                <c:pt idx="33">
                  <c:v>108.79284649776459</c:v>
                </c:pt>
                <c:pt idx="34">
                  <c:v>111.28048780487812</c:v>
                </c:pt>
                <c:pt idx="35">
                  <c:v>110.94224924012164</c:v>
                </c:pt>
                <c:pt idx="36">
                  <c:v>115.50632911392411</c:v>
                </c:pt>
                <c:pt idx="37">
                  <c:v>118.50649350649357</c:v>
                </c:pt>
                <c:pt idx="38">
                  <c:v>151.13871635610775</c:v>
                </c:pt>
                <c:pt idx="39">
                  <c:v>119.67213114754107</c:v>
                </c:pt>
                <c:pt idx="40">
                  <c:v>101.81311018131109</c:v>
                </c:pt>
                <c:pt idx="41">
                  <c:v>97.593582887700592</c:v>
                </c:pt>
                <c:pt idx="42">
                  <c:v>103.69318181818188</c:v>
                </c:pt>
                <c:pt idx="43">
                  <c:v>108.63095238095245</c:v>
                </c:pt>
                <c:pt idx="44">
                  <c:v>105.79710144927542</c:v>
                </c:pt>
                <c:pt idx="45">
                  <c:v>111.28048780487812</c:v>
                </c:pt>
                <c:pt idx="46">
                  <c:v>112.30769230769238</c:v>
                </c:pt>
                <c:pt idx="47">
                  <c:v>121.86978297161943</c:v>
                </c:pt>
                <c:pt idx="48">
                  <c:v>127.84588441331006</c:v>
                </c:pt>
                <c:pt idx="49">
                  <c:v>135.94040968342654</c:v>
                </c:pt>
                <c:pt idx="50">
                  <c:v>143.13725490196089</c:v>
                </c:pt>
                <c:pt idx="51">
                  <c:v>152.71966527196662</c:v>
                </c:pt>
                <c:pt idx="52">
                  <c:v>149.59016393442633</c:v>
                </c:pt>
                <c:pt idx="53">
                  <c:v>157.66738660907137</c:v>
                </c:pt>
                <c:pt idx="54">
                  <c:v>170.96018735363009</c:v>
                </c:pt>
                <c:pt idx="55">
                  <c:v>180.69306930693079</c:v>
                </c:pt>
              </c:numCache>
            </c:numRef>
          </c:val>
          <c:smooth val="0"/>
          <c:extLst>
            <c:ext xmlns:c16="http://schemas.microsoft.com/office/drawing/2014/chart" uri="{C3380CC4-5D6E-409C-BE32-E72D297353CC}">
              <c16:uniqueId val="{00000001-5F2B-4A8C-927E-D7080F18BB69}"/>
            </c:ext>
          </c:extLst>
        </c:ser>
        <c:ser>
          <c:idx val="2"/>
          <c:order val="2"/>
          <c:tx>
            <c:strRef>
              <c:f>Sheet1!$C$1</c:f>
              <c:strCache>
                <c:ptCount val="1"/>
                <c:pt idx="0">
                  <c:v>Դոլար</c:v>
                </c:pt>
              </c:strCache>
            </c:strRef>
          </c:tx>
          <c:spPr>
            <a:ln w="28575" cap="rnd">
              <a:solidFill>
                <a:schemeClr val="accent1">
                  <a:lumMod val="75000"/>
                </a:schemeClr>
              </a:solidFill>
              <a:round/>
            </a:ln>
            <a:effectLst/>
          </c:spPr>
          <c:marker>
            <c:symbol val="none"/>
          </c:marker>
          <c:cat>
            <c:multiLvlStrRef>
              <c:f>Sheet1!$A$2:$B$61</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Sheet1!$C$2:$C$57</c:f>
              <c:numCache>
                <c:formatCode>0</c:formatCode>
                <c:ptCount val="56"/>
                <c:pt idx="0" formatCode="General">
                  <c:v>100</c:v>
                </c:pt>
                <c:pt idx="1">
                  <c:v>99.463565447062919</c:v>
                </c:pt>
                <c:pt idx="2">
                  <c:v>99.653319110527619</c:v>
                </c:pt>
                <c:pt idx="3">
                  <c:v>100.3097317722852</c:v>
                </c:pt>
                <c:pt idx="4">
                  <c:v>101.09041723025699</c:v>
                </c:pt>
                <c:pt idx="5">
                  <c:v>101.52987648128408</c:v>
                </c:pt>
                <c:pt idx="6">
                  <c:v>101.94963273871983</c:v>
                </c:pt>
                <c:pt idx="7">
                  <c:v>102.05672268907563</c:v>
                </c:pt>
                <c:pt idx="8">
                  <c:v>102.00743338302921</c:v>
                </c:pt>
                <c:pt idx="9">
                  <c:v>101.99244173840016</c:v>
                </c:pt>
                <c:pt idx="10">
                  <c:v>101.82568961180515</c:v>
                </c:pt>
                <c:pt idx="11">
                  <c:v>101.57870525259283</c:v>
                </c:pt>
                <c:pt idx="12">
                  <c:v>101.37309321591786</c:v>
                </c:pt>
                <c:pt idx="13">
                  <c:v>101.47261561599196</c:v>
                </c:pt>
                <c:pt idx="14">
                  <c:v>99.341526758143985</c:v>
                </c:pt>
                <c:pt idx="15">
                  <c:v>99.412679572709024</c:v>
                </c:pt>
                <c:pt idx="16">
                  <c:v>100.3449557960836</c:v>
                </c:pt>
                <c:pt idx="17">
                  <c:v>100.93918174829096</c:v>
                </c:pt>
                <c:pt idx="18">
                  <c:v>100.23522129371709</c:v>
                </c:pt>
                <c:pt idx="19">
                  <c:v>100.06179323981954</c:v>
                </c:pt>
                <c:pt idx="20">
                  <c:v>99.815077359304667</c:v>
                </c:pt>
                <c:pt idx="21">
                  <c:v>98.790010981412919</c:v>
                </c:pt>
                <c:pt idx="22">
                  <c:v>97.231896241143247</c:v>
                </c:pt>
                <c:pt idx="23">
                  <c:v>93.617390298895742</c:v>
                </c:pt>
                <c:pt idx="24">
                  <c:v>93.206062931696053</c:v>
                </c:pt>
                <c:pt idx="25">
                  <c:v>92.789471673606585</c:v>
                </c:pt>
                <c:pt idx="26">
                  <c:v>92.063221331514001</c:v>
                </c:pt>
                <c:pt idx="27">
                  <c:v>92.42228225714392</c:v>
                </c:pt>
                <c:pt idx="28">
                  <c:v>93.179246187781686</c:v>
                </c:pt>
                <c:pt idx="29">
                  <c:v>94.679296029936225</c:v>
                </c:pt>
                <c:pt idx="30">
                  <c:v>98.965102776702551</c:v>
                </c:pt>
                <c:pt idx="31">
                  <c:v>98.792020010981602</c:v>
                </c:pt>
                <c:pt idx="32">
                  <c:v>99.522658362697669</c:v>
                </c:pt>
                <c:pt idx="33">
                  <c:v>101.36463223787163</c:v>
                </c:pt>
                <c:pt idx="34">
                  <c:v>101.70204748147214</c:v>
                </c:pt>
                <c:pt idx="35">
                  <c:v>100.13398194335653</c:v>
                </c:pt>
                <c:pt idx="36">
                  <c:v>100.7883980995456</c:v>
                </c:pt>
                <c:pt idx="37">
                  <c:v>101.155672163918</c:v>
                </c:pt>
                <c:pt idx="38">
                  <c:v>97.752334191886632</c:v>
                </c:pt>
                <c:pt idx="39">
                  <c:v>103.14231724665062</c:v>
                </c:pt>
                <c:pt idx="40">
                  <c:v>106.40688658167954</c:v>
                </c:pt>
                <c:pt idx="41">
                  <c:v>114.92819797014356</c:v>
                </c:pt>
                <c:pt idx="42">
                  <c:v>118.18845339756218</c:v>
                </c:pt>
                <c:pt idx="43">
                  <c:v>119.72643253234745</c:v>
                </c:pt>
                <c:pt idx="44">
                  <c:v>118.73151655871924</c:v>
                </c:pt>
                <c:pt idx="45">
                  <c:v>120.62423956496902</c:v>
                </c:pt>
                <c:pt idx="46">
                  <c:v>122.86660933785214</c:v>
                </c:pt>
                <c:pt idx="47">
                  <c:v>123.12819992903121</c:v>
                </c:pt>
                <c:pt idx="48">
                  <c:v>122.70832807092874</c:v>
                </c:pt>
                <c:pt idx="49">
                  <c:v>123.46930995043839</c:v>
                </c:pt>
                <c:pt idx="50">
                  <c:v>125.06178560395423</c:v>
                </c:pt>
                <c:pt idx="51">
                  <c:v>125.28756383143339</c:v>
                </c:pt>
                <c:pt idx="52">
                  <c:v>125.67001241721849</c:v>
                </c:pt>
                <c:pt idx="53">
                  <c:v>125.63426177360533</c:v>
                </c:pt>
                <c:pt idx="54">
                  <c:v>125.67651472033936</c:v>
                </c:pt>
                <c:pt idx="55">
                  <c:v>125.79692881373481</c:v>
                </c:pt>
              </c:numCache>
            </c:numRef>
          </c:val>
          <c:smooth val="0"/>
          <c:extLst>
            <c:ext xmlns:c16="http://schemas.microsoft.com/office/drawing/2014/chart" uri="{C3380CC4-5D6E-409C-BE32-E72D297353CC}">
              <c16:uniqueId val="{00000002-5F2B-4A8C-927E-D7080F18BB69}"/>
            </c:ext>
          </c:extLst>
        </c:ser>
        <c:dLbls>
          <c:showLegendKey val="0"/>
          <c:showVal val="0"/>
          <c:showCatName val="0"/>
          <c:showSerName val="0"/>
          <c:showPercent val="0"/>
          <c:showBubbleSize val="0"/>
        </c:dLbls>
        <c:smooth val="0"/>
        <c:axId val="740360840"/>
        <c:axId val="740359040"/>
      </c:lineChart>
      <c:catAx>
        <c:axId val="740360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0359040"/>
        <c:crosses val="autoZero"/>
        <c:auto val="1"/>
        <c:lblAlgn val="ctr"/>
        <c:lblOffset val="100"/>
        <c:noMultiLvlLbl val="0"/>
      </c:catAx>
      <c:valAx>
        <c:axId val="740359040"/>
        <c:scaling>
          <c:orientation val="minMax"/>
          <c:max val="170"/>
          <c:min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hy-AM" sz="700"/>
                  <a:t>Ինդեքս, 2019 թ. հունվար 8=100</a:t>
                </a:r>
                <a:endParaRPr lang="en-US" sz="700"/>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0360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Sheet1!$D$1</c:f>
              <c:strCache>
                <c:ptCount val="1"/>
                <c:pt idx="0">
                  <c:v>Անվանական</c:v>
                </c:pt>
              </c:strCache>
            </c:strRef>
          </c:tx>
          <c:spPr>
            <a:ln w="28575" cap="rnd">
              <a:solidFill>
                <a:schemeClr val="accent2">
                  <a:lumMod val="60000"/>
                  <a:lumOff val="40000"/>
                </a:schemeClr>
              </a:solidFill>
              <a:round/>
            </a:ln>
            <a:effectLst/>
          </c:spPr>
          <c:marker>
            <c:symbol val="none"/>
          </c:marker>
          <c:cat>
            <c:multiLvlStrRef>
              <c:f>Sheet1!$A$2:$B$61</c:f>
              <c:multiLvlStrCache>
                <c:ptCount val="55"/>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lvl>
                <c:lvl>
                  <c:pt idx="0">
                    <c:v>2019</c:v>
                  </c:pt>
                  <c:pt idx="12">
                    <c:v>2020</c:v>
                  </c:pt>
                  <c:pt idx="24">
                    <c:v>2021</c:v>
                  </c:pt>
                  <c:pt idx="36">
                    <c:v>2022</c:v>
                  </c:pt>
                  <c:pt idx="48">
                    <c:v>2023</c:v>
                  </c:pt>
                </c:lvl>
              </c:multiLvlStrCache>
            </c:multiLvlStrRef>
          </c:cat>
          <c:val>
            <c:numRef>
              <c:f>Sheet1!$D$2:$D$56</c:f>
              <c:numCache>
                <c:formatCode>0.0</c:formatCode>
                <c:ptCount val="55"/>
                <c:pt idx="0">
                  <c:v>8.3791628475404707</c:v>
                </c:pt>
                <c:pt idx="1">
                  <c:v>10.238450644926701</c:v>
                </c:pt>
                <c:pt idx="2">
                  <c:v>10.849946464079949</c:v>
                </c:pt>
                <c:pt idx="3">
                  <c:v>10.721132856247976</c:v>
                </c:pt>
                <c:pt idx="4">
                  <c:v>10.381725278028256</c:v>
                </c:pt>
                <c:pt idx="5">
                  <c:v>9.6048978782470726</c:v>
                </c:pt>
                <c:pt idx="6">
                  <c:v>8.6443243697832344</c:v>
                </c:pt>
                <c:pt idx="7">
                  <c:v>7.534837274749222</c:v>
                </c:pt>
                <c:pt idx="8">
                  <c:v>6.3813012662260036</c:v>
                </c:pt>
                <c:pt idx="9">
                  <c:v>5.5438795796648606</c:v>
                </c:pt>
                <c:pt idx="10">
                  <c:v>4.8959788753156488</c:v>
                </c:pt>
                <c:pt idx="11">
                  <c:v>4.3923103891550852</c:v>
                </c:pt>
                <c:pt idx="12">
                  <c:v>2.9670871802100436</c:v>
                </c:pt>
                <c:pt idx="13">
                  <c:v>2.6039858343170721</c:v>
                </c:pt>
                <c:pt idx="14">
                  <c:v>3.1714272572558713</c:v>
                </c:pt>
                <c:pt idx="15">
                  <c:v>3.7854240600730549</c:v>
                </c:pt>
                <c:pt idx="16">
                  <c:v>3.8285589805032032</c:v>
                </c:pt>
                <c:pt idx="17">
                  <c:v>3.7235125172437193</c:v>
                </c:pt>
                <c:pt idx="18">
                  <c:v>3.8007140852838432</c:v>
                </c:pt>
                <c:pt idx="19">
                  <c:v>3.6874762568063915</c:v>
                </c:pt>
                <c:pt idx="20">
                  <c:v>3.7347566681389139</c:v>
                </c:pt>
                <c:pt idx="21">
                  <c:v>3.8581077444701464</c:v>
                </c:pt>
                <c:pt idx="22">
                  <c:v>3.7301805517367654</c:v>
                </c:pt>
                <c:pt idx="23">
                  <c:v>3.1137878728513044</c:v>
                </c:pt>
                <c:pt idx="24">
                  <c:v>9.9315537303217098</c:v>
                </c:pt>
                <c:pt idx="25">
                  <c:v>8.5916350839198969</c:v>
                </c:pt>
                <c:pt idx="26">
                  <c:v>7.4028666324870187</c:v>
                </c:pt>
                <c:pt idx="27">
                  <c:v>6.4687711647422219</c:v>
                </c:pt>
                <c:pt idx="28">
                  <c:v>5.6150013113034305</c:v>
                </c:pt>
                <c:pt idx="29">
                  <c:v>5.613151497312785</c:v>
                </c:pt>
                <c:pt idx="30">
                  <c:v>6.4608443561993738</c:v>
                </c:pt>
                <c:pt idx="31">
                  <c:v>7.1077892577123407</c:v>
                </c:pt>
                <c:pt idx="32">
                  <c:v>7.5303813180152019</c:v>
                </c:pt>
                <c:pt idx="33">
                  <c:v>8.0559388015520028</c:v>
                </c:pt>
                <c:pt idx="34">
                  <c:v>8.9656594215703933</c:v>
                </c:pt>
                <c:pt idx="35">
                  <c:v>10.349582021496076</c:v>
                </c:pt>
                <c:pt idx="36">
                  <c:v>31.006786625988411</c:v>
                </c:pt>
                <c:pt idx="37">
                  <c:v>31.451185690692085</c:v>
                </c:pt>
                <c:pt idx="38">
                  <c:v>34.380058943173793</c:v>
                </c:pt>
                <c:pt idx="39">
                  <c:v>34.713667323476017</c:v>
                </c:pt>
                <c:pt idx="40">
                  <c:v>35.148121476993367</c:v>
                </c:pt>
                <c:pt idx="41">
                  <c:v>36.210776218001627</c:v>
                </c:pt>
                <c:pt idx="42">
                  <c:v>36.753117119641331</c:v>
                </c:pt>
                <c:pt idx="43">
                  <c:v>37.643383275181833</c:v>
                </c:pt>
                <c:pt idx="44">
                  <c:v>38.309609615655603</c:v>
                </c:pt>
                <c:pt idx="45">
                  <c:v>39.052271909842915</c:v>
                </c:pt>
                <c:pt idx="46">
                  <c:v>39.531652891221711</c:v>
                </c:pt>
                <c:pt idx="47">
                  <c:v>40.002262821837206</c:v>
                </c:pt>
                <c:pt idx="48">
                  <c:v>39.351741837365125</c:v>
                </c:pt>
                <c:pt idx="49">
                  <c:v>41.432770718755904</c:v>
                </c:pt>
                <c:pt idx="50">
                  <c:v>40.414227686224848</c:v>
                </c:pt>
                <c:pt idx="51">
                  <c:v>41.277482810646461</c:v>
                </c:pt>
                <c:pt idx="52">
                  <c:v>41.928875251490581</c:v>
                </c:pt>
                <c:pt idx="53">
                  <c:v>41.73884708360805</c:v>
                </c:pt>
                <c:pt idx="54">
                  <c:v>41.101144170620387</c:v>
                </c:pt>
              </c:numCache>
            </c:numRef>
          </c:val>
          <c:smooth val="0"/>
          <c:extLst>
            <c:ext xmlns:c16="http://schemas.microsoft.com/office/drawing/2014/chart" uri="{C3380CC4-5D6E-409C-BE32-E72D297353CC}">
              <c16:uniqueId val="{00000000-2FBF-4005-A5D1-7E4A6F9905E4}"/>
            </c:ext>
          </c:extLst>
        </c:ser>
        <c:ser>
          <c:idx val="1"/>
          <c:order val="1"/>
          <c:tx>
            <c:strRef>
              <c:f>Sheet1!$C$1</c:f>
              <c:strCache>
                <c:ptCount val="1"/>
                <c:pt idx="0">
                  <c:v>Իրական</c:v>
                </c:pt>
              </c:strCache>
            </c:strRef>
          </c:tx>
          <c:spPr>
            <a:ln w="28575" cap="rnd">
              <a:solidFill>
                <a:schemeClr val="accent1">
                  <a:lumMod val="75000"/>
                </a:schemeClr>
              </a:solidFill>
              <a:round/>
            </a:ln>
            <a:effectLst/>
          </c:spPr>
          <c:marker>
            <c:symbol val="none"/>
          </c:marker>
          <c:cat>
            <c:multiLvlStrRef>
              <c:f>Sheet1!$A$2:$B$61</c:f>
              <c:multiLvlStrCache>
                <c:ptCount val="55"/>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lvl>
                <c:lvl>
                  <c:pt idx="0">
                    <c:v>2019</c:v>
                  </c:pt>
                  <c:pt idx="12">
                    <c:v>2020</c:v>
                  </c:pt>
                  <c:pt idx="24">
                    <c:v>2021</c:v>
                  </c:pt>
                  <c:pt idx="36">
                    <c:v>2022</c:v>
                  </c:pt>
                  <c:pt idx="48">
                    <c:v>2023</c:v>
                  </c:pt>
                </c:lvl>
              </c:multiLvlStrCache>
            </c:multiLvlStrRef>
          </c:cat>
          <c:val>
            <c:numRef>
              <c:f>Sheet1!$C$2:$C$56</c:f>
              <c:numCache>
                <c:formatCode>0.0</c:formatCode>
                <c:ptCount val="55"/>
                <c:pt idx="0">
                  <c:v>4.8380311316785765</c:v>
                </c:pt>
                <c:pt idx="1">
                  <c:v>5.145906568972066</c:v>
                </c:pt>
                <c:pt idx="2">
                  <c:v>5.1058776964179486</c:v>
                </c:pt>
                <c:pt idx="3">
                  <c:v>4.6678067008676862</c:v>
                </c:pt>
                <c:pt idx="4">
                  <c:v>4.3144565363428597</c:v>
                </c:pt>
                <c:pt idx="5">
                  <c:v>3.6116185349936387</c:v>
                </c:pt>
                <c:pt idx="6">
                  <c:v>2.6587254318046263</c:v>
                </c:pt>
                <c:pt idx="7">
                  <c:v>1.5244438468937034</c:v>
                </c:pt>
                <c:pt idx="8">
                  <c:v>0.44219144610278249</c:v>
                </c:pt>
                <c:pt idx="9">
                  <c:v>-0.29310668593497269</c:v>
                </c:pt>
                <c:pt idx="10">
                  <c:v>-0.87129386029737077</c:v>
                </c:pt>
                <c:pt idx="11">
                  <c:v>-1.3672112128856497</c:v>
                </c:pt>
                <c:pt idx="12">
                  <c:v>-0.55377207062599609</c:v>
                </c:pt>
                <c:pt idx="13">
                  <c:v>0.72504632240392652</c:v>
                </c:pt>
                <c:pt idx="14">
                  <c:v>2.1411087500336379</c:v>
                </c:pt>
                <c:pt idx="15">
                  <c:v>3.5358425107910847</c:v>
                </c:pt>
                <c:pt idx="16">
                  <c:v>4.1521098642796233</c:v>
                </c:pt>
                <c:pt idx="17">
                  <c:v>4.452040967390289</c:v>
                </c:pt>
                <c:pt idx="18">
                  <c:v>4.7550532593813415</c:v>
                </c:pt>
                <c:pt idx="19">
                  <c:v>4.8123058116436681</c:v>
                </c:pt>
                <c:pt idx="20">
                  <c:v>4.9361872083946139</c:v>
                </c:pt>
                <c:pt idx="21">
                  <c:v>5.0957239481829788</c:v>
                </c:pt>
                <c:pt idx="22">
                  <c:v>5.0045848647278603</c:v>
                </c:pt>
                <c:pt idx="23">
                  <c:v>4.5722179291668681</c:v>
                </c:pt>
                <c:pt idx="24">
                  <c:v>8.2721329997578863</c:v>
                </c:pt>
                <c:pt idx="25">
                  <c:v>7.158282012317045</c:v>
                </c:pt>
                <c:pt idx="26">
                  <c:v>6.0464013904616394</c:v>
                </c:pt>
                <c:pt idx="27">
                  <c:v>5.1684167462157262</c:v>
                </c:pt>
                <c:pt idx="28">
                  <c:v>4.2354541519816991</c:v>
                </c:pt>
                <c:pt idx="29">
                  <c:v>4.2429552511886044</c:v>
                </c:pt>
                <c:pt idx="30">
                  <c:v>5.283562250775347</c:v>
                </c:pt>
                <c:pt idx="31">
                  <c:v>6.133794671927987</c:v>
                </c:pt>
                <c:pt idx="32">
                  <c:v>6.6892149060585808</c:v>
                </c:pt>
                <c:pt idx="33">
                  <c:v>7.2889477579959987</c:v>
                </c:pt>
                <c:pt idx="34">
                  <c:v>8.2520411785587271</c:v>
                </c:pt>
                <c:pt idx="35">
                  <c:v>9.4888076538252477</c:v>
                </c:pt>
                <c:pt idx="36">
                  <c:v>27.638640429338125</c:v>
                </c:pt>
                <c:pt idx="37">
                  <c:v>27.455590386624834</c:v>
                </c:pt>
                <c:pt idx="38">
                  <c:v>29.233405349027777</c:v>
                </c:pt>
                <c:pt idx="39">
                  <c:v>29.112329579134553</c:v>
                </c:pt>
                <c:pt idx="40">
                  <c:v>29.328805314983981</c:v>
                </c:pt>
                <c:pt idx="41">
                  <c:v>30.314941164837336</c:v>
                </c:pt>
                <c:pt idx="42">
                  <c:v>30.656496580746932</c:v>
                </c:pt>
                <c:pt idx="43">
                  <c:v>31.354395604395592</c:v>
                </c:pt>
                <c:pt idx="44">
                  <c:v>31.970130617738391</c:v>
                </c:pt>
                <c:pt idx="45">
                  <c:v>32.650689905591861</c:v>
                </c:pt>
                <c:pt idx="46">
                  <c:v>33.086513677831476</c:v>
                </c:pt>
                <c:pt idx="47">
                  <c:v>33.548949691507374</c:v>
                </c:pt>
                <c:pt idx="48">
                  <c:v>33.274935762672271</c:v>
                </c:pt>
                <c:pt idx="49">
                  <c:v>35.601557696249245</c:v>
                </c:pt>
                <c:pt idx="50">
                  <c:v>35.128072097000455</c:v>
                </c:pt>
                <c:pt idx="51">
                  <c:v>35.562410329985653</c:v>
                </c:pt>
                <c:pt idx="52">
                  <c:v>35.543349883612905</c:v>
                </c:pt>
                <c:pt idx="53">
                  <c:v>34.679882386417518</c:v>
                </c:pt>
                <c:pt idx="54">
                  <c:v>33.632608363059518</c:v>
                </c:pt>
              </c:numCache>
            </c:numRef>
          </c:val>
          <c:smooth val="0"/>
          <c:extLst>
            <c:ext xmlns:c16="http://schemas.microsoft.com/office/drawing/2014/chart" uri="{C3380CC4-5D6E-409C-BE32-E72D297353CC}">
              <c16:uniqueId val="{00000001-2FBF-4005-A5D1-7E4A6F9905E4}"/>
            </c:ext>
          </c:extLst>
        </c:ser>
        <c:dLbls>
          <c:showLegendKey val="0"/>
          <c:showVal val="0"/>
          <c:showCatName val="0"/>
          <c:showSerName val="0"/>
          <c:showPercent val="0"/>
          <c:showBubbleSize val="0"/>
        </c:dLbls>
        <c:smooth val="0"/>
        <c:axId val="642403424"/>
        <c:axId val="642403784"/>
      </c:lineChart>
      <c:catAx>
        <c:axId val="64240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403784"/>
        <c:crosses val="autoZero"/>
        <c:auto val="1"/>
        <c:lblAlgn val="ctr"/>
        <c:lblOffset val="100"/>
        <c:noMultiLvlLbl val="0"/>
      </c:catAx>
      <c:valAx>
        <c:axId val="642403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y-AM"/>
                  <a:t>Տոկոս</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4034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235874707278361E-2"/>
          <c:y val="4.9886916677788155E-2"/>
          <c:w val="0.91180803746837036"/>
          <c:h val="0.63863137589728991"/>
        </c:manualLayout>
      </c:layout>
      <c:lineChart>
        <c:grouping val="standard"/>
        <c:varyColors val="0"/>
        <c:ser>
          <c:idx val="0"/>
          <c:order val="0"/>
          <c:tx>
            <c:strRef>
              <c:f>Sheet1!$D$1</c:f>
              <c:strCache>
                <c:ptCount val="1"/>
                <c:pt idx="0">
                  <c:v>12 ամսյա գնաճ, %</c:v>
                </c:pt>
              </c:strCache>
            </c:strRef>
          </c:tx>
          <c:spPr>
            <a:ln w="28564" cap="rnd">
              <a:solidFill>
                <a:srgbClr val="4472C4">
                  <a:lumMod val="50000"/>
                </a:srgbClr>
              </a:solidFill>
              <a:round/>
            </a:ln>
            <a:effectLst/>
          </c:spPr>
          <c:marker>
            <c:symbol val="none"/>
          </c:marker>
          <c:cat>
            <c:multiLvlStrRef>
              <c:f>Sheet1!$A$26:$B$69</c:f>
              <c:multiLvlStrCache>
                <c:ptCount val="4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lvl>
                <c:lvl>
                  <c:pt idx="0">
                    <c:v>2020</c:v>
                  </c:pt>
                  <c:pt idx="12">
                    <c:v>2021</c:v>
                  </c:pt>
                  <c:pt idx="24">
                    <c:v>2022</c:v>
                  </c:pt>
                  <c:pt idx="36">
                    <c:v>2023</c:v>
                  </c:pt>
                </c:lvl>
              </c:multiLvlStrCache>
            </c:multiLvlStrRef>
          </c:cat>
          <c:val>
            <c:numRef>
              <c:f>Sheet1!$D$2:$D$69</c:f>
              <c:numCache>
                <c:formatCode>0.0</c:formatCode>
                <c:ptCount val="44"/>
                <c:pt idx="0">
                  <c:v>0.27658563406973258</c:v>
                </c:pt>
                <c:pt idx="1">
                  <c:v>-0.54084569473241118</c:v>
                </c:pt>
                <c:pt idx="2">
                  <c:v>-0.11022336893752538</c:v>
                </c:pt>
                <c:pt idx="3">
                  <c:v>0.85542195074623351</c:v>
                </c:pt>
                <c:pt idx="4">
                  <c:v>1.1580085630596528</c:v>
                </c:pt>
                <c:pt idx="5">
                  <c:v>1.6775261712177212</c:v>
                </c:pt>
                <c:pt idx="6">
                  <c:v>1.5187898303232146</c:v>
                </c:pt>
                <c:pt idx="7">
                  <c:v>1.8167405331190878</c:v>
                </c:pt>
                <c:pt idx="8">
                  <c:v>1.4326844717312213</c:v>
                </c:pt>
                <c:pt idx="9">
                  <c:v>1.3441364663858479</c:v>
                </c:pt>
                <c:pt idx="10">
                  <c:v>1.5585891969706438</c:v>
                </c:pt>
                <c:pt idx="11">
                  <c:v>3.6638246566360237</c:v>
                </c:pt>
                <c:pt idx="12">
                  <c:v>4.5148886220006261</c:v>
                </c:pt>
                <c:pt idx="13">
                  <c:v>5.3267515218621924</c:v>
                </c:pt>
                <c:pt idx="14">
                  <c:v>5.7810093225161552</c:v>
                </c:pt>
                <c:pt idx="15">
                  <c:v>6.1569193415054002</c:v>
                </c:pt>
                <c:pt idx="16">
                  <c:v>5.9006948589342016</c:v>
                </c:pt>
                <c:pt idx="17">
                  <c:v>6.5046445234588646</c:v>
                </c:pt>
                <c:pt idx="18">
                  <c:v>8.2227275731544154</c:v>
                </c:pt>
                <c:pt idx="19">
                  <c:v>8.7823860822581139</c:v>
                </c:pt>
                <c:pt idx="20">
                  <c:v>8.8886539553763413</c:v>
                </c:pt>
                <c:pt idx="21">
                  <c:v>9.1040943851299545</c:v>
                </c:pt>
                <c:pt idx="22">
                  <c:v>9.5566762184085832</c:v>
                </c:pt>
                <c:pt idx="23">
                  <c:v>7.6754534627573037</c:v>
                </c:pt>
                <c:pt idx="24">
                  <c:v>7.0769205766379315</c:v>
                </c:pt>
                <c:pt idx="25">
                  <c:v>6.5432090002156116</c:v>
                </c:pt>
                <c:pt idx="26">
                  <c:v>7.3617969746003382</c:v>
                </c:pt>
                <c:pt idx="27">
                  <c:v>8.4252580519207356</c:v>
                </c:pt>
                <c:pt idx="28">
                  <c:v>8.9862917816955417</c:v>
                </c:pt>
                <c:pt idx="29">
                  <c:v>10.274467693331786</c:v>
                </c:pt>
                <c:pt idx="30">
                  <c:v>9.3216627279495867</c:v>
                </c:pt>
                <c:pt idx="31">
                  <c:v>9.1287829914562479</c:v>
                </c:pt>
                <c:pt idx="32">
                  <c:v>9.9151144159470022</c:v>
                </c:pt>
                <c:pt idx="33">
                  <c:v>9.5</c:v>
                </c:pt>
                <c:pt idx="34">
                  <c:v>8.8446621147540014</c:v>
                </c:pt>
                <c:pt idx="35">
                  <c:v>8.3026886372339987</c:v>
                </c:pt>
                <c:pt idx="36">
                  <c:v>8.0513101873760036</c:v>
                </c:pt>
                <c:pt idx="37">
                  <c:v>8.0504413480060038</c:v>
                </c:pt>
                <c:pt idx="38">
                  <c:v>5.4496798492630063</c:v>
                </c:pt>
                <c:pt idx="39">
                  <c:v>3.2368670906421926</c:v>
                </c:pt>
                <c:pt idx="40">
                  <c:v>1.3</c:v>
                </c:pt>
                <c:pt idx="41">
                  <c:v>-0.5</c:v>
                </c:pt>
                <c:pt idx="42">
                  <c:v>-0.1</c:v>
                </c:pt>
                <c:pt idx="43">
                  <c:v>-0.2</c:v>
                </c:pt>
              </c:numCache>
            </c:numRef>
          </c:val>
          <c:smooth val="0"/>
          <c:extLst>
            <c:ext xmlns:c16="http://schemas.microsoft.com/office/drawing/2014/chart" uri="{C3380CC4-5D6E-409C-BE32-E72D297353CC}">
              <c16:uniqueId val="{00000000-829D-4EC4-A784-8845D82614A6}"/>
            </c:ext>
          </c:extLst>
        </c:ser>
        <c:ser>
          <c:idx val="1"/>
          <c:order val="1"/>
          <c:tx>
            <c:strRef>
              <c:f>Sheet1!$E$1</c:f>
              <c:strCache>
                <c:ptCount val="1"/>
                <c:pt idx="0">
                  <c:v>Վերաֆինանսավորման տոկոսադրույք, %</c:v>
                </c:pt>
              </c:strCache>
            </c:strRef>
          </c:tx>
          <c:spPr>
            <a:ln w="22216" cap="rnd">
              <a:solidFill>
                <a:sysClr val="window" lastClr="FFFFFF">
                  <a:lumMod val="65000"/>
                </a:sysClr>
              </a:solidFill>
              <a:prstDash val="solid"/>
              <a:round/>
            </a:ln>
            <a:effectLst/>
          </c:spPr>
          <c:marker>
            <c:symbol val="none"/>
          </c:marker>
          <c:cat>
            <c:multiLvlStrRef>
              <c:f>Sheet1!$A$26:$B$69</c:f>
              <c:multiLvlStrCache>
                <c:ptCount val="4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lvl>
                <c:lvl>
                  <c:pt idx="0">
                    <c:v>2020</c:v>
                  </c:pt>
                  <c:pt idx="12">
                    <c:v>2021</c:v>
                  </c:pt>
                  <c:pt idx="24">
                    <c:v>2022</c:v>
                  </c:pt>
                  <c:pt idx="36">
                    <c:v>2023</c:v>
                  </c:pt>
                </c:lvl>
              </c:multiLvlStrCache>
            </c:multiLvlStrRef>
          </c:cat>
          <c:val>
            <c:numRef>
              <c:f>Sheet1!$E$2:$E$69</c:f>
              <c:numCache>
                <c:formatCode>0.00</c:formatCode>
                <c:ptCount val="44"/>
                <c:pt idx="0">
                  <c:v>5.5</c:v>
                </c:pt>
                <c:pt idx="1">
                  <c:v>5.5</c:v>
                </c:pt>
                <c:pt idx="2">
                  <c:v>5.25</c:v>
                </c:pt>
                <c:pt idx="3">
                  <c:v>5</c:v>
                </c:pt>
                <c:pt idx="4">
                  <c:v>5</c:v>
                </c:pt>
                <c:pt idx="5">
                  <c:v>4.5</c:v>
                </c:pt>
                <c:pt idx="6">
                  <c:v>4.5</c:v>
                </c:pt>
                <c:pt idx="7">
                  <c:v>4.5</c:v>
                </c:pt>
                <c:pt idx="8">
                  <c:v>4.25</c:v>
                </c:pt>
                <c:pt idx="9">
                  <c:v>4.25</c:v>
                </c:pt>
                <c:pt idx="10">
                  <c:v>4.25</c:v>
                </c:pt>
                <c:pt idx="11">
                  <c:v>5.25</c:v>
                </c:pt>
                <c:pt idx="12">
                  <c:v>5.25</c:v>
                </c:pt>
                <c:pt idx="13">
                  <c:v>5.5</c:v>
                </c:pt>
                <c:pt idx="14">
                  <c:v>5.5</c:v>
                </c:pt>
                <c:pt idx="15">
                  <c:v>5.5</c:v>
                </c:pt>
                <c:pt idx="16">
                  <c:v>6</c:v>
                </c:pt>
                <c:pt idx="17">
                  <c:v>6.5</c:v>
                </c:pt>
                <c:pt idx="18">
                  <c:v>6.5</c:v>
                </c:pt>
                <c:pt idx="19">
                  <c:v>7</c:v>
                </c:pt>
                <c:pt idx="20">
                  <c:v>7.25</c:v>
                </c:pt>
                <c:pt idx="21">
                  <c:v>7.25</c:v>
                </c:pt>
                <c:pt idx="22">
                  <c:v>7.25</c:v>
                </c:pt>
                <c:pt idx="23">
                  <c:v>7.75</c:v>
                </c:pt>
                <c:pt idx="24">
                  <c:v>7.75</c:v>
                </c:pt>
                <c:pt idx="25">
                  <c:v>8</c:v>
                </c:pt>
                <c:pt idx="26">
                  <c:v>9.25</c:v>
                </c:pt>
                <c:pt idx="27">
                  <c:v>9.25</c:v>
                </c:pt>
                <c:pt idx="28">
                  <c:v>9.25</c:v>
                </c:pt>
                <c:pt idx="29">
                  <c:v>9.25</c:v>
                </c:pt>
                <c:pt idx="30">
                  <c:v>9.25</c:v>
                </c:pt>
                <c:pt idx="31">
                  <c:v>9.5</c:v>
                </c:pt>
                <c:pt idx="32">
                  <c:v>10</c:v>
                </c:pt>
                <c:pt idx="33">
                  <c:v>10</c:v>
                </c:pt>
                <c:pt idx="34">
                  <c:v>10.5</c:v>
                </c:pt>
                <c:pt idx="35">
                  <c:v>10.75</c:v>
                </c:pt>
                <c:pt idx="36">
                  <c:v>10.75</c:v>
                </c:pt>
                <c:pt idx="37">
                  <c:v>10.75</c:v>
                </c:pt>
                <c:pt idx="38">
                  <c:v>10.75</c:v>
                </c:pt>
                <c:pt idx="39">
                  <c:v>10.75</c:v>
                </c:pt>
                <c:pt idx="40">
                  <c:v>10.75</c:v>
                </c:pt>
                <c:pt idx="41">
                  <c:v>10.5</c:v>
                </c:pt>
                <c:pt idx="42">
                  <c:v>10.5</c:v>
                </c:pt>
                <c:pt idx="43">
                  <c:v>10.25</c:v>
                </c:pt>
              </c:numCache>
            </c:numRef>
          </c:val>
          <c:smooth val="0"/>
          <c:extLst>
            <c:ext xmlns:c16="http://schemas.microsoft.com/office/drawing/2014/chart" uri="{C3380CC4-5D6E-409C-BE32-E72D297353CC}">
              <c16:uniqueId val="{00000001-829D-4EC4-A784-8845D82614A6}"/>
            </c:ext>
          </c:extLst>
        </c:ser>
        <c:ser>
          <c:idx val="2"/>
          <c:order val="2"/>
          <c:tx>
            <c:strRef>
              <c:f>Sheet1!$C$1</c:f>
              <c:strCache>
                <c:ptCount val="1"/>
                <c:pt idx="0">
                  <c:v>Բնականոն գնաճ, %</c:v>
                </c:pt>
              </c:strCache>
            </c:strRef>
          </c:tx>
          <c:spPr>
            <a:ln w="28564" cap="rnd">
              <a:solidFill>
                <a:srgbClr val="ED7D31">
                  <a:lumMod val="60000"/>
                  <a:lumOff val="40000"/>
                </a:srgbClr>
              </a:solidFill>
              <a:round/>
            </a:ln>
            <a:effectLst/>
          </c:spPr>
          <c:marker>
            <c:symbol val="none"/>
          </c:marker>
          <c:cat>
            <c:multiLvlStrRef>
              <c:f>Sheet1!$A$26:$B$69</c:f>
              <c:multiLvlStrCache>
                <c:ptCount val="4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lvl>
                <c:lvl>
                  <c:pt idx="0">
                    <c:v>2020</c:v>
                  </c:pt>
                  <c:pt idx="12">
                    <c:v>2021</c:v>
                  </c:pt>
                  <c:pt idx="24">
                    <c:v>2022</c:v>
                  </c:pt>
                  <c:pt idx="36">
                    <c:v>2023</c:v>
                  </c:pt>
                </c:lvl>
              </c:multiLvlStrCache>
            </c:multiLvlStrRef>
          </c:cat>
          <c:val>
            <c:numRef>
              <c:f>Sheet1!$C$14:$C$68</c:f>
              <c:numCache>
                <c:formatCode>0.0</c:formatCode>
                <c:ptCount val="43"/>
                <c:pt idx="0">
                  <c:v>0.86538957196520983</c:v>
                </c:pt>
                <c:pt idx="1">
                  <c:v>0.77184062474053405</c:v>
                </c:pt>
                <c:pt idx="2">
                  <c:v>0.54227164049494547</c:v>
                </c:pt>
                <c:pt idx="3">
                  <c:v>1.1321822131247927</c:v>
                </c:pt>
                <c:pt idx="4">
                  <c:v>0.86253079378988673</c:v>
                </c:pt>
                <c:pt idx="5">
                  <c:v>0.77684596156544217</c:v>
                </c:pt>
                <c:pt idx="6">
                  <c:v>0.8340682821257559</c:v>
                </c:pt>
                <c:pt idx="7">
                  <c:v>1.0666176019744</c:v>
                </c:pt>
                <c:pt idx="8">
                  <c:v>1.3397678509690962</c:v>
                </c:pt>
                <c:pt idx="9">
                  <c:v>1.677154081686254</c:v>
                </c:pt>
                <c:pt idx="10">
                  <c:v>1.9837670848593518</c:v>
                </c:pt>
                <c:pt idx="11">
                  <c:v>3.6204833935339735</c:v>
                </c:pt>
                <c:pt idx="12">
                  <c:v>4.6779235852640682</c:v>
                </c:pt>
                <c:pt idx="13">
                  <c:v>5.4846481634119186</c:v>
                </c:pt>
                <c:pt idx="14">
                  <c:v>6.6300845552899972</c:v>
                </c:pt>
                <c:pt idx="15">
                  <c:v>6.7626395686116751</c:v>
                </c:pt>
                <c:pt idx="16">
                  <c:v>7.4114337608134804</c:v>
                </c:pt>
                <c:pt idx="17">
                  <c:v>7.8323845176300608</c:v>
                </c:pt>
                <c:pt idx="18">
                  <c:v>8.1093537485616309</c:v>
                </c:pt>
                <c:pt idx="19">
                  <c:v>8.0379242186285609</c:v>
                </c:pt>
                <c:pt idx="20">
                  <c:v>7.9880734583744442</c:v>
                </c:pt>
                <c:pt idx="21">
                  <c:v>7.8765202676341914</c:v>
                </c:pt>
                <c:pt idx="22">
                  <c:v>8.3772656385054063</c:v>
                </c:pt>
                <c:pt idx="23">
                  <c:v>7.2509011281681808</c:v>
                </c:pt>
                <c:pt idx="24">
                  <c:v>6.60162670741569</c:v>
                </c:pt>
                <c:pt idx="25">
                  <c:v>6.3614506423955959</c:v>
                </c:pt>
                <c:pt idx="26">
                  <c:v>6.9671454857929405</c:v>
                </c:pt>
                <c:pt idx="27">
                  <c:v>7.9799047833968757</c:v>
                </c:pt>
                <c:pt idx="28">
                  <c:v>8.3564098161367042</c:v>
                </c:pt>
                <c:pt idx="29">
                  <c:v>9.4404331247470736</c:v>
                </c:pt>
                <c:pt idx="30">
                  <c:v>10.10041008820204</c:v>
                </c:pt>
                <c:pt idx="31">
                  <c:v>10.230227924035546</c:v>
                </c:pt>
                <c:pt idx="32">
                  <c:v>10.540276376631112</c:v>
                </c:pt>
                <c:pt idx="33">
                  <c:v>10.488322377082326</c:v>
                </c:pt>
                <c:pt idx="34">
                  <c:v>9.8756503499295007</c:v>
                </c:pt>
                <c:pt idx="35">
                  <c:v>9.4793414473783173</c:v>
                </c:pt>
                <c:pt idx="36">
                  <c:v>9.0991561824239966</c:v>
                </c:pt>
                <c:pt idx="37">
                  <c:v>8.3569861398929959</c:v>
                </c:pt>
                <c:pt idx="38">
                  <c:v>6.4066571555730008</c:v>
                </c:pt>
                <c:pt idx="39">
                  <c:v>4.3045803295163267</c:v>
                </c:pt>
                <c:pt idx="40">
                  <c:v>3.0865032447455718</c:v>
                </c:pt>
                <c:pt idx="41">
                  <c:v>1.4518285160379776</c:v>
                </c:pt>
                <c:pt idx="42">
                  <c:v>0.59949055114458361</c:v>
                </c:pt>
              </c:numCache>
            </c:numRef>
          </c:val>
          <c:smooth val="0"/>
          <c:extLst>
            <c:ext xmlns:c16="http://schemas.microsoft.com/office/drawing/2014/chart" uri="{C3380CC4-5D6E-409C-BE32-E72D297353CC}">
              <c16:uniqueId val="{00000002-829D-4EC4-A784-8845D82614A6}"/>
            </c:ext>
          </c:extLst>
        </c:ser>
        <c:dLbls>
          <c:showLegendKey val="0"/>
          <c:showVal val="0"/>
          <c:showCatName val="0"/>
          <c:showSerName val="0"/>
          <c:showPercent val="0"/>
          <c:showBubbleSize val="0"/>
        </c:dLbls>
        <c:smooth val="0"/>
        <c:axId val="806867600"/>
        <c:axId val="1"/>
      </c:lineChart>
      <c:catAx>
        <c:axId val="806867600"/>
        <c:scaling>
          <c:orientation val="minMax"/>
        </c:scaling>
        <c:delete val="0"/>
        <c:axPos val="b"/>
        <c:numFmt formatCode="General" sourceLinked="1"/>
        <c:majorTickMark val="none"/>
        <c:minorTickMark val="none"/>
        <c:tickLblPos val="low"/>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1" cap="flat" cmpd="sng" algn="ctr">
              <a:solidFill>
                <a:schemeClr val="tx1">
                  <a:lumMod val="15000"/>
                  <a:lumOff val="85000"/>
                </a:schemeClr>
              </a:solidFill>
              <a:round/>
            </a:ln>
            <a:effectLst/>
          </c:spPr>
        </c:majorGridlines>
        <c:numFmt formatCode="0.0" sourceLinked="1"/>
        <c:majorTickMark val="none"/>
        <c:minorTickMark val="none"/>
        <c:tickLblPos val="nextTo"/>
        <c:spPr>
          <a:ln w="9521">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806867600"/>
        <c:crosses val="autoZero"/>
        <c:crossBetween val="between"/>
      </c:valAx>
      <c:spPr>
        <a:noFill/>
        <a:ln w="25390">
          <a:noFill/>
        </a:ln>
      </c:spPr>
    </c:plotArea>
    <c:legend>
      <c:legendPos val="b"/>
      <c:layout>
        <c:manualLayout>
          <c:xMode val="edge"/>
          <c:yMode val="edge"/>
          <c:x val="1.5804988662131515E-2"/>
          <c:y val="0.85323509260137664"/>
          <c:w val="0.97519274376417231"/>
          <c:h val="0.11463639334239846"/>
        </c:manualLayout>
      </c:layout>
      <c:overlay val="0"/>
      <c:spPr>
        <a:noFill/>
        <a:ln w="2539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cap="none" spc="0" normalizeH="0" baseline="0">
                <a:solidFill>
                  <a:sysClr val="windowText" lastClr="000000"/>
                </a:solidFill>
                <a:latin typeface="GHEA Grapalat" panose="02000506050000020003" pitchFamily="50" charset="0"/>
                <a:ea typeface="+mj-ea"/>
                <a:cs typeface="+mj-cs"/>
              </a:defRPr>
            </a:pPr>
            <a:r>
              <a:rPr lang="en-US" sz="1100" b="1"/>
              <a:t>12</a:t>
            </a:r>
            <a:r>
              <a:rPr lang="hy-AM" sz="1100" b="1"/>
              <a:t> ամսյա գնաճը</a:t>
            </a:r>
            <a:r>
              <a:rPr lang="en-US" sz="1100" b="1"/>
              <a:t>,</a:t>
            </a:r>
            <a:r>
              <a:rPr lang="en-US" sz="1100" b="1" baseline="0"/>
              <a:t> %</a:t>
            </a:r>
            <a:endParaRPr lang="en-US" sz="1100" b="1"/>
          </a:p>
        </c:rich>
      </c:tx>
      <c:layout>
        <c:manualLayout>
          <c:xMode val="edge"/>
          <c:yMode val="edge"/>
          <c:x val="0.27876710933521376"/>
          <c:y val="0"/>
        </c:manualLayout>
      </c:layout>
      <c:overlay val="0"/>
      <c:spPr>
        <a:noFill/>
        <a:ln>
          <a:noFill/>
        </a:ln>
        <a:effectLst/>
      </c:spPr>
    </c:title>
    <c:autoTitleDeleted val="0"/>
    <c:plotArea>
      <c:layout>
        <c:manualLayout>
          <c:layoutTarget val="inner"/>
          <c:xMode val="edge"/>
          <c:yMode val="edge"/>
          <c:x val="0.11270836908098351"/>
          <c:y val="0.16443732915128348"/>
          <c:w val="0.84290099330803991"/>
          <c:h val="0.48586488929547705"/>
        </c:manualLayout>
      </c:layout>
      <c:barChart>
        <c:barDir val="col"/>
        <c:grouping val="stacked"/>
        <c:varyColors val="0"/>
        <c:ser>
          <c:idx val="1"/>
          <c:order val="1"/>
          <c:tx>
            <c:strRef>
              <c:f>Sheet1!$D$1</c:f>
              <c:strCache>
                <c:ptCount val="1"/>
                <c:pt idx="0">
                  <c:v>Սննդամթերք և ոչ ալկոհոլային խմիչքներ</c:v>
                </c:pt>
              </c:strCache>
            </c:strRef>
          </c:tx>
          <c:spPr>
            <a:solidFill>
              <a:srgbClr val="4472C4">
                <a:lumMod val="50000"/>
              </a:srgbClr>
            </a:solidFill>
            <a:ln>
              <a:noFill/>
            </a:ln>
            <a:effectLst/>
          </c:spPr>
          <c:invertIfNegative val="0"/>
          <c:cat>
            <c:multiLvlStrRef>
              <c:f>Sheet1!$A$28:$B$66</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Sheet1!$D$28:$D$67</c:f>
              <c:numCache>
                <c:formatCode>0.0</c:formatCode>
                <c:ptCount val="16"/>
                <c:pt idx="0">
                  <c:v>-1.1761594</c:v>
                </c:pt>
                <c:pt idx="1">
                  <c:v>0.78459999999999996</c:v>
                </c:pt>
                <c:pt idx="2">
                  <c:v>0.34734000000000004</c:v>
                </c:pt>
                <c:pt idx="3">
                  <c:v>1.937962</c:v>
                </c:pt>
                <c:pt idx="4">
                  <c:v>2.7530960000000007</c:v>
                </c:pt>
                <c:pt idx="5">
                  <c:v>3.2739520000000004</c:v>
                </c:pt>
                <c:pt idx="6">
                  <c:v>5.7294159999999996</c:v>
                </c:pt>
                <c:pt idx="7">
                  <c:v>4.7993160000000001</c:v>
                </c:pt>
                <c:pt idx="8">
                  <c:v>4.7621120000000001</c:v>
                </c:pt>
                <c:pt idx="9">
                  <c:v>6.3618840000000008</c:v>
                </c:pt>
                <c:pt idx="10">
                  <c:v>5.0969480000000003</c:v>
                </c:pt>
                <c:pt idx="11">
                  <c:v>3.7204000000000002</c:v>
                </c:pt>
                <c:pt idx="12">
                  <c:v>1.8974039999999999</c:v>
                </c:pt>
                <c:pt idx="13">
                  <c:v>-2.2747999999999999</c:v>
                </c:pt>
                <c:pt idx="14">
                  <c:v>-1.61304</c:v>
                </c:pt>
                <c:pt idx="15">
                  <c:v>-1.6543999999999999</c:v>
                </c:pt>
              </c:numCache>
            </c:numRef>
          </c:val>
          <c:extLst>
            <c:ext xmlns:c16="http://schemas.microsoft.com/office/drawing/2014/chart" uri="{C3380CC4-5D6E-409C-BE32-E72D297353CC}">
              <c16:uniqueId val="{00000000-BD5E-4DCD-B0D3-15521D0A5C41}"/>
            </c:ext>
          </c:extLst>
        </c:ser>
        <c:ser>
          <c:idx val="2"/>
          <c:order val="2"/>
          <c:tx>
            <c:strRef>
              <c:f>Sheet1!$E$1</c:f>
              <c:strCache>
                <c:ptCount val="1"/>
                <c:pt idx="0">
                  <c:v>Ալկոհոլային խմիչքներ, ծխախոտ</c:v>
                </c:pt>
              </c:strCache>
            </c:strRef>
          </c:tx>
          <c:spPr>
            <a:solidFill>
              <a:srgbClr val="ED7D31">
                <a:lumMod val="60000"/>
                <a:lumOff val="40000"/>
              </a:srgbClr>
            </a:solidFill>
            <a:ln>
              <a:noFill/>
            </a:ln>
            <a:effectLst/>
          </c:spPr>
          <c:invertIfNegative val="0"/>
          <c:cat>
            <c:multiLvlStrRef>
              <c:f>Sheet1!$A$28:$B$66</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Sheet1!$E$28:$E$67</c:f>
              <c:numCache>
                <c:formatCode>0.0</c:formatCode>
                <c:ptCount val="16"/>
                <c:pt idx="0">
                  <c:v>0.45172999999999996</c:v>
                </c:pt>
                <c:pt idx="1">
                  <c:v>0.46287</c:v>
                </c:pt>
                <c:pt idx="2">
                  <c:v>0.44492000000000004</c:v>
                </c:pt>
                <c:pt idx="3">
                  <c:v>0.43368000000000001</c:v>
                </c:pt>
                <c:pt idx="4">
                  <c:v>0.41001639999999995</c:v>
                </c:pt>
                <c:pt idx="5">
                  <c:v>0.39218960000000003</c:v>
                </c:pt>
                <c:pt idx="6">
                  <c:v>0.41447310000000004</c:v>
                </c:pt>
                <c:pt idx="7">
                  <c:v>0.41001639999999995</c:v>
                </c:pt>
                <c:pt idx="8">
                  <c:v>0.32533909999999999</c:v>
                </c:pt>
                <c:pt idx="9">
                  <c:v>0.36099269999999994</c:v>
                </c:pt>
                <c:pt idx="10">
                  <c:v>0.39664629999999995</c:v>
                </c:pt>
                <c:pt idx="11">
                  <c:v>0.39664629999999995</c:v>
                </c:pt>
                <c:pt idx="12">
                  <c:v>0.36990610000000002</c:v>
                </c:pt>
                <c:pt idx="13">
                  <c:v>0.39043999999999995</c:v>
                </c:pt>
                <c:pt idx="14">
                  <c:v>0.38590000000000002</c:v>
                </c:pt>
                <c:pt idx="15">
                  <c:v>0.39043999999999995</c:v>
                </c:pt>
              </c:numCache>
            </c:numRef>
          </c:val>
          <c:extLst>
            <c:ext xmlns:c16="http://schemas.microsoft.com/office/drawing/2014/chart" uri="{C3380CC4-5D6E-409C-BE32-E72D297353CC}">
              <c16:uniqueId val="{00000001-BD5E-4DCD-B0D3-15521D0A5C41}"/>
            </c:ext>
          </c:extLst>
        </c:ser>
        <c:ser>
          <c:idx val="3"/>
          <c:order val="3"/>
          <c:tx>
            <c:strRef>
              <c:f>Sheet1!$F$1</c:f>
              <c:strCache>
                <c:ptCount val="1"/>
                <c:pt idx="0">
                  <c:v>Ոչ պարենային ապրանքներ</c:v>
                </c:pt>
              </c:strCache>
            </c:strRef>
          </c:tx>
          <c:spPr>
            <a:solidFill>
              <a:sysClr val="window" lastClr="FFFFFF">
                <a:lumMod val="65000"/>
              </a:sysClr>
            </a:solidFill>
            <a:ln>
              <a:noFill/>
            </a:ln>
            <a:effectLst/>
          </c:spPr>
          <c:invertIfNegative val="0"/>
          <c:cat>
            <c:multiLvlStrRef>
              <c:f>Sheet1!$A$28:$B$66</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Sheet1!$F$28:$F$67</c:f>
              <c:numCache>
                <c:formatCode>0.0</c:formatCode>
                <c:ptCount val="16"/>
                <c:pt idx="0">
                  <c:v>0.27799999999999997</c:v>
                </c:pt>
                <c:pt idx="1">
                  <c:v>-4.2020000000000009E-2</c:v>
                </c:pt>
                <c:pt idx="2">
                  <c:v>0.11119999999999999</c:v>
                </c:pt>
                <c:pt idx="3">
                  <c:v>0.71433999999999997</c:v>
                </c:pt>
                <c:pt idx="4">
                  <c:v>1.8656400000000002</c:v>
                </c:pt>
                <c:pt idx="5">
                  <c:v>2.10995</c:v>
                </c:pt>
                <c:pt idx="6">
                  <c:v>2.1987900000000002</c:v>
                </c:pt>
                <c:pt idx="7">
                  <c:v>1.7768000000000002</c:v>
                </c:pt>
                <c:pt idx="8">
                  <c:v>1.0660800000000001</c:v>
                </c:pt>
                <c:pt idx="9">
                  <c:v>1.6657500000000001</c:v>
                </c:pt>
                <c:pt idx="10">
                  <c:v>1.79901</c:v>
                </c:pt>
                <c:pt idx="11">
                  <c:v>1.57691</c:v>
                </c:pt>
                <c:pt idx="12">
                  <c:v>1.02166</c:v>
                </c:pt>
                <c:pt idx="13">
                  <c:v>6.5040000000000001E-2</c:v>
                </c:pt>
                <c:pt idx="14">
                  <c:v>-2.1680000000000001E-2</c:v>
                </c:pt>
                <c:pt idx="15">
                  <c:v>0</c:v>
                </c:pt>
              </c:numCache>
            </c:numRef>
          </c:val>
          <c:extLst>
            <c:ext xmlns:c16="http://schemas.microsoft.com/office/drawing/2014/chart" uri="{C3380CC4-5D6E-409C-BE32-E72D297353CC}">
              <c16:uniqueId val="{00000002-BD5E-4DCD-B0D3-15521D0A5C41}"/>
            </c:ext>
          </c:extLst>
        </c:ser>
        <c:ser>
          <c:idx val="4"/>
          <c:order val="4"/>
          <c:tx>
            <c:strRef>
              <c:f>Sheet1!$G$1</c:f>
              <c:strCache>
                <c:ptCount val="1"/>
                <c:pt idx="0">
                  <c:v>Ծառայություններ </c:v>
                </c:pt>
              </c:strCache>
            </c:strRef>
          </c:tx>
          <c:spPr>
            <a:solidFill>
              <a:srgbClr val="B4C7E7"/>
            </a:solidFill>
            <a:ln>
              <a:noFill/>
            </a:ln>
            <a:effectLst/>
          </c:spPr>
          <c:invertIfNegative val="0"/>
          <c:cat>
            <c:multiLvlStrRef>
              <c:f>Sheet1!$A$28:$B$66</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Sheet1!$G$28:$G$67</c:f>
              <c:numCache>
                <c:formatCode>0.0</c:formatCode>
                <c:ptCount val="16"/>
                <c:pt idx="0">
                  <c:v>0.39837499999999998</c:v>
                </c:pt>
                <c:pt idx="1">
                  <c:v>0.46240999999999999</c:v>
                </c:pt>
                <c:pt idx="2">
                  <c:v>0.44618000000000002</c:v>
                </c:pt>
                <c:pt idx="3">
                  <c:v>0.56912000000000007</c:v>
                </c:pt>
                <c:pt idx="4">
                  <c:v>0.79486000000000023</c:v>
                </c:pt>
                <c:pt idx="5">
                  <c:v>0.75873000000000002</c:v>
                </c:pt>
                <c:pt idx="6">
                  <c:v>0.57808000000000004</c:v>
                </c:pt>
                <c:pt idx="7">
                  <c:v>0.68647000000000002</c:v>
                </c:pt>
                <c:pt idx="8">
                  <c:v>1.1922900000000001</c:v>
                </c:pt>
                <c:pt idx="9">
                  <c:v>1.91489</c:v>
                </c:pt>
                <c:pt idx="10">
                  <c:v>2.6013600000000001</c:v>
                </c:pt>
                <c:pt idx="11">
                  <c:v>2.6013600000000001</c:v>
                </c:pt>
                <c:pt idx="12">
                  <c:v>2.1678000000000002</c:v>
                </c:pt>
                <c:pt idx="13">
                  <c:v>1.2643800000000001</c:v>
                </c:pt>
                <c:pt idx="14">
                  <c:v>1.1995400000000001</c:v>
                </c:pt>
                <c:pt idx="15">
                  <c:v>1.1671199999999999</c:v>
                </c:pt>
              </c:numCache>
            </c:numRef>
          </c:val>
          <c:extLst>
            <c:ext xmlns:c16="http://schemas.microsoft.com/office/drawing/2014/chart" uri="{C3380CC4-5D6E-409C-BE32-E72D297353CC}">
              <c16:uniqueId val="{00000003-BD5E-4DCD-B0D3-15521D0A5C41}"/>
            </c:ext>
          </c:extLst>
        </c:ser>
        <c:dLbls>
          <c:showLegendKey val="0"/>
          <c:showVal val="0"/>
          <c:showCatName val="0"/>
          <c:showSerName val="0"/>
          <c:showPercent val="0"/>
          <c:showBubbleSize val="0"/>
        </c:dLbls>
        <c:gapWidth val="100"/>
        <c:overlap val="100"/>
        <c:axId val="339256064"/>
        <c:axId val="339257600"/>
      </c:barChart>
      <c:lineChart>
        <c:grouping val="standard"/>
        <c:varyColors val="0"/>
        <c:ser>
          <c:idx val="0"/>
          <c:order val="0"/>
          <c:tx>
            <c:strRef>
              <c:f>Sheet1!$C$1</c:f>
              <c:strCache>
                <c:ptCount val="1"/>
                <c:pt idx="0">
                  <c:v>12-ամսյա գնաճ</c:v>
                </c:pt>
              </c:strCache>
            </c:strRef>
          </c:tx>
          <c:spPr>
            <a:ln w="25400" cap="rnd">
              <a:solidFill>
                <a:srgbClr val="4472C4">
                  <a:lumMod val="75000"/>
                </a:srgbClr>
              </a:solidFill>
              <a:round/>
            </a:ln>
            <a:effectLst/>
          </c:spPr>
          <c:marker>
            <c:symbol val="none"/>
          </c:marker>
          <c:dPt>
            <c:idx val="2"/>
            <c:bubble3D val="0"/>
            <c:extLst>
              <c:ext xmlns:c16="http://schemas.microsoft.com/office/drawing/2014/chart" uri="{C3380CC4-5D6E-409C-BE32-E72D297353CC}">
                <c16:uniqueId val="{00000004-BD5E-4DCD-B0D3-15521D0A5C41}"/>
              </c:ext>
            </c:extLst>
          </c:dPt>
          <c:dPt>
            <c:idx val="3"/>
            <c:marker>
              <c:symbol val="square"/>
              <c:size val="6"/>
              <c:spPr>
                <a:solidFill>
                  <a:schemeClr val="accent1"/>
                </a:solidFill>
                <a:ln w="15875">
                  <a:solidFill>
                    <a:schemeClr val="accent1"/>
                  </a:solidFill>
                  <a:round/>
                </a:ln>
                <a:effectLst/>
              </c:spPr>
            </c:marker>
            <c:bubble3D val="0"/>
            <c:extLst>
              <c:ext xmlns:c16="http://schemas.microsoft.com/office/drawing/2014/chart" uri="{C3380CC4-5D6E-409C-BE32-E72D297353CC}">
                <c16:uniqueId val="{00000005-BD5E-4DCD-B0D3-15521D0A5C41}"/>
              </c:ext>
            </c:extLst>
          </c:dPt>
          <c:dLbls>
            <c:dLbl>
              <c:idx val="9"/>
              <c:spPr>
                <a:noFill/>
                <a:ln>
                  <a:noFill/>
                </a:ln>
                <a:effectLst/>
              </c:spPr>
              <c:txPr>
                <a:bodyPr wrap="square" lIns="38100" tIns="19050" rIns="38100" bIns="19050" anchor="ctr">
                  <a:noAutofit/>
                </a:bodyPr>
                <a:lstStyle/>
                <a:p>
                  <a:pPr>
                    <a:defRPr sz="800"/>
                  </a:pPr>
                  <a:endParaRPr lang="en-US"/>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BD5E-4DCD-B0D3-15521D0A5C41}"/>
                </c:ext>
              </c:extLst>
            </c:dLbl>
            <c:spPr>
              <a:noFill/>
              <a:ln>
                <a:noFill/>
              </a:ln>
              <a:effectLst/>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Sheet1!$A$28:$B$67</c:f>
              <c:multiLvlStrCache>
                <c:ptCount val="16"/>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pt idx="15">
                    <c:v>8</c:v>
                  </c:pt>
                </c:lvl>
                <c:lvl>
                  <c:pt idx="0">
                    <c:v>2020</c:v>
                  </c:pt>
                  <c:pt idx="4">
                    <c:v>2021</c:v>
                  </c:pt>
                  <c:pt idx="8">
                    <c:v>2022</c:v>
                  </c:pt>
                  <c:pt idx="12">
                    <c:v>2023</c:v>
                  </c:pt>
                </c:lvl>
              </c:multiLvlStrCache>
            </c:multiLvlStrRef>
          </c:cat>
          <c:val>
            <c:numRef>
              <c:f>Sheet1!$C$28:$C$67</c:f>
              <c:numCache>
                <c:formatCode>0.0</c:formatCode>
                <c:ptCount val="16"/>
                <c:pt idx="0">
                  <c:v>-5.8054400000000055E-2</c:v>
                </c:pt>
                <c:pt idx="1">
                  <c:v>1.6578599999999999</c:v>
                </c:pt>
                <c:pt idx="2">
                  <c:v>1.3506399999999998</c:v>
                </c:pt>
                <c:pt idx="3">
                  <c:v>3.6551020000000003</c:v>
                </c:pt>
                <c:pt idx="4">
                  <c:v>5.8236124000000009</c:v>
                </c:pt>
                <c:pt idx="5">
                  <c:v>6.5348216000000008</c:v>
                </c:pt>
                <c:pt idx="6">
                  <c:v>8.9207590999999997</c:v>
                </c:pt>
                <c:pt idx="7">
                  <c:v>7.6726024000000006</c:v>
                </c:pt>
                <c:pt idx="8">
                  <c:v>7.4</c:v>
                </c:pt>
                <c:pt idx="9">
                  <c:v>10.303516699999999</c:v>
                </c:pt>
                <c:pt idx="10">
                  <c:v>9.8939643000000004</c:v>
                </c:pt>
                <c:pt idx="11">
                  <c:v>8.2953162999999996</c:v>
                </c:pt>
                <c:pt idx="12">
                  <c:v>5.4</c:v>
                </c:pt>
                <c:pt idx="13">
                  <c:v>-0.5</c:v>
                </c:pt>
                <c:pt idx="14">
                  <c:v>-0.1</c:v>
                </c:pt>
                <c:pt idx="15">
                  <c:v>-0.2</c:v>
                </c:pt>
              </c:numCache>
            </c:numRef>
          </c:val>
          <c:smooth val="0"/>
          <c:extLst>
            <c:ext xmlns:c16="http://schemas.microsoft.com/office/drawing/2014/chart" uri="{C3380CC4-5D6E-409C-BE32-E72D297353CC}">
              <c16:uniqueId val="{00000007-BD5E-4DCD-B0D3-15521D0A5C41}"/>
            </c:ext>
          </c:extLst>
        </c:ser>
        <c:dLbls>
          <c:showLegendKey val="0"/>
          <c:showVal val="0"/>
          <c:showCatName val="0"/>
          <c:showSerName val="0"/>
          <c:showPercent val="0"/>
          <c:showBubbleSize val="0"/>
        </c:dLbls>
        <c:marker val="1"/>
        <c:smooth val="0"/>
        <c:axId val="339256064"/>
        <c:axId val="339257600"/>
      </c:lineChart>
      <c:catAx>
        <c:axId val="339256064"/>
        <c:scaling>
          <c:orientation val="minMax"/>
        </c:scaling>
        <c:delete val="0"/>
        <c:axPos val="b"/>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GHEA Grapalat" panose="02000506050000020003" pitchFamily="50" charset="0"/>
                <a:ea typeface="+mn-ea"/>
                <a:cs typeface="+mn-cs"/>
              </a:defRPr>
            </a:pPr>
            <a:endParaRPr lang="en-US"/>
          </a:p>
        </c:txPr>
        <c:crossAx val="339257600"/>
        <c:crosses val="autoZero"/>
        <c:auto val="1"/>
        <c:lblAlgn val="ctr"/>
        <c:lblOffset val="100"/>
        <c:noMultiLvlLbl val="0"/>
      </c:catAx>
      <c:valAx>
        <c:axId val="339257600"/>
        <c:scaling>
          <c:orientation val="minMax"/>
        </c:scaling>
        <c:delete val="0"/>
        <c:axPos val="l"/>
        <c:majorGridlines>
          <c:spPr>
            <a:ln w="6350">
              <a:solidFill>
                <a:srgbClr val="A5A5A5">
                  <a:lumMod val="40000"/>
                  <a:lumOff val="60000"/>
                </a:srgbClr>
              </a:solidFill>
            </a:ln>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339256064"/>
        <c:crosses val="autoZero"/>
        <c:crossBetween val="between"/>
      </c:valAx>
      <c:spPr>
        <a:pattFill prst="ltDnDiag">
          <a:fgClr>
            <a:srgbClr val="000000">
              <a:alpha val="0"/>
            </a:srgbClr>
          </a:fgClr>
          <a:bgClr>
            <a:srgbClr val="FFFFFF"/>
          </a:bgClr>
        </a:patt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cap="none" spc="0" normalizeH="0" baseline="0">
                <a:solidFill>
                  <a:sysClr val="windowText" lastClr="000000"/>
                </a:solidFill>
                <a:latin typeface="GHEA Grapalat" panose="02000506050000020003" pitchFamily="50" charset="0"/>
                <a:ea typeface="+mj-ea"/>
                <a:cs typeface="+mj-cs"/>
              </a:defRPr>
            </a:pPr>
            <a:r>
              <a:rPr lang="en-US" sz="1100" b="1"/>
              <a:t>Մ</a:t>
            </a:r>
            <a:r>
              <a:rPr lang="hy-AM" sz="1100" b="1"/>
              <a:t>իջին գնաճը</a:t>
            </a:r>
            <a:r>
              <a:rPr lang="en-US" sz="1100" b="1"/>
              <a:t>,</a:t>
            </a:r>
            <a:r>
              <a:rPr lang="en-US" sz="1100" b="1" baseline="0"/>
              <a:t> %</a:t>
            </a:r>
            <a:endParaRPr lang="en-US" sz="1100" b="1"/>
          </a:p>
        </c:rich>
      </c:tx>
      <c:layout>
        <c:manualLayout>
          <c:xMode val="edge"/>
          <c:yMode val="edge"/>
          <c:x val="0.39345289301523878"/>
          <c:y val="0"/>
        </c:manualLayout>
      </c:layout>
      <c:overlay val="0"/>
      <c:spPr>
        <a:noFill/>
        <a:ln>
          <a:noFill/>
        </a:ln>
        <a:effectLst/>
      </c:spPr>
    </c:title>
    <c:autoTitleDeleted val="0"/>
    <c:plotArea>
      <c:layout>
        <c:manualLayout>
          <c:layoutTarget val="inner"/>
          <c:xMode val="edge"/>
          <c:yMode val="edge"/>
          <c:x val="0.11270836908098351"/>
          <c:y val="0.1922388124720924"/>
          <c:w val="0.87317931679248439"/>
          <c:h val="0.4580634059746681"/>
        </c:manualLayout>
      </c:layout>
      <c:barChart>
        <c:barDir val="col"/>
        <c:grouping val="stacked"/>
        <c:varyColors val="0"/>
        <c:ser>
          <c:idx val="1"/>
          <c:order val="1"/>
          <c:tx>
            <c:strRef>
              <c:f>Sheet1!$D$1</c:f>
              <c:strCache>
                <c:ptCount val="1"/>
                <c:pt idx="0">
                  <c:v>Սննդամթերք և ոչ ալկոհոլային խմիչքներ</c:v>
                </c:pt>
              </c:strCache>
            </c:strRef>
          </c:tx>
          <c:spPr>
            <a:solidFill>
              <a:srgbClr val="4472C4">
                <a:lumMod val="50000"/>
              </a:srgbClr>
            </a:solidFill>
            <a:ln>
              <a:noFill/>
            </a:ln>
            <a:effectLst/>
          </c:spPr>
          <c:invertIfNegative val="0"/>
          <c:cat>
            <c:strRef>
              <c:f>Sheet1!$B$2:$B$67</c:f>
              <c:strCache>
                <c:ptCount val="16"/>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pt idx="15">
                  <c:v>8</c:v>
                </c:pt>
              </c:strCache>
            </c:strRef>
          </c:cat>
          <c:val>
            <c:numRef>
              <c:f>Sheet1!$D$2:$D$67</c:f>
              <c:numCache>
                <c:formatCode>0.0</c:formatCode>
                <c:ptCount val="16"/>
                <c:pt idx="0">
                  <c:v>-1.2156899999999999</c:v>
                </c:pt>
                <c:pt idx="1">
                  <c:v>-0.43004000000000003</c:v>
                </c:pt>
                <c:pt idx="2">
                  <c:v>-0.12404999999999999</c:v>
                </c:pt>
                <c:pt idx="3">
                  <c:v>0.11768999999999999</c:v>
                </c:pt>
                <c:pt idx="4">
                  <c:v>2.6414839999999997</c:v>
                </c:pt>
                <c:pt idx="5">
                  <c:v>2.8647079999999998</c:v>
                </c:pt>
                <c:pt idx="6">
                  <c:v>3.6831960000000006</c:v>
                </c:pt>
                <c:pt idx="7">
                  <c:v>4.1668479999999999</c:v>
                </c:pt>
                <c:pt idx="8">
                  <c:v>4.501684</c:v>
                </c:pt>
                <c:pt idx="9">
                  <c:v>5.0969480000000003</c:v>
                </c:pt>
                <c:pt idx="10">
                  <c:v>5.0597440000000002</c:v>
                </c:pt>
                <c:pt idx="11">
                  <c:v>4.8365200000000002</c:v>
                </c:pt>
                <c:pt idx="12">
                  <c:v>3.0135239999999999</c:v>
                </c:pt>
                <c:pt idx="13">
                  <c:v>1.1994399999999998</c:v>
                </c:pt>
                <c:pt idx="14">
                  <c:v>0.78583999999999987</c:v>
                </c:pt>
                <c:pt idx="15">
                  <c:v>0.49631999999999998</c:v>
                </c:pt>
              </c:numCache>
            </c:numRef>
          </c:val>
          <c:extLst>
            <c:ext xmlns:c16="http://schemas.microsoft.com/office/drawing/2014/chart" uri="{C3380CC4-5D6E-409C-BE32-E72D297353CC}">
              <c16:uniqueId val="{00000000-7D1F-44AE-872C-1B2292CB3B75}"/>
            </c:ext>
          </c:extLst>
        </c:ser>
        <c:ser>
          <c:idx val="2"/>
          <c:order val="2"/>
          <c:tx>
            <c:strRef>
              <c:f>Sheet1!$E$1</c:f>
              <c:strCache>
                <c:ptCount val="1"/>
                <c:pt idx="0">
                  <c:v>Ալկոհոլային խմիչքներ, ծխախոտ</c:v>
                </c:pt>
              </c:strCache>
            </c:strRef>
          </c:tx>
          <c:spPr>
            <a:solidFill>
              <a:srgbClr val="ED7D31">
                <a:lumMod val="60000"/>
                <a:lumOff val="40000"/>
              </a:srgbClr>
            </a:solidFill>
            <a:ln>
              <a:noFill/>
            </a:ln>
            <a:effectLst/>
          </c:spPr>
          <c:invertIfNegative val="0"/>
          <c:cat>
            <c:strRef>
              <c:f>Sheet1!$B$2:$B$67</c:f>
              <c:strCache>
                <c:ptCount val="16"/>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pt idx="15">
                  <c:v>8</c:v>
                </c:pt>
              </c:strCache>
            </c:strRef>
          </c:cat>
          <c:val>
            <c:numRef>
              <c:f>Sheet1!$E$2:$E$67</c:f>
              <c:numCache>
                <c:formatCode>0.0</c:formatCode>
                <c:ptCount val="16"/>
                <c:pt idx="0">
                  <c:v>0.36093000000000003</c:v>
                </c:pt>
                <c:pt idx="1">
                  <c:v>0.40240499999999996</c:v>
                </c:pt>
                <c:pt idx="2">
                  <c:v>0.41283000000000003</c:v>
                </c:pt>
                <c:pt idx="3">
                  <c:v>0.41283000000000003</c:v>
                </c:pt>
                <c:pt idx="4">
                  <c:v>0.42338649999999994</c:v>
                </c:pt>
                <c:pt idx="5">
                  <c:v>0.40555969999999997</c:v>
                </c:pt>
                <c:pt idx="6">
                  <c:v>0.41001639999999995</c:v>
                </c:pt>
                <c:pt idx="7">
                  <c:v>0.41447310000000004</c:v>
                </c:pt>
                <c:pt idx="8">
                  <c:v>0.35207929999999998</c:v>
                </c:pt>
                <c:pt idx="9">
                  <c:v>0.3476226</c:v>
                </c:pt>
                <c:pt idx="10">
                  <c:v>0.35653599999999996</c:v>
                </c:pt>
                <c:pt idx="11">
                  <c:v>0.36544939999999998</c:v>
                </c:pt>
                <c:pt idx="12">
                  <c:v>0.40555969999999997</c:v>
                </c:pt>
                <c:pt idx="13">
                  <c:v>0.39043999999999995</c:v>
                </c:pt>
                <c:pt idx="14">
                  <c:v>0.39043999999999995</c:v>
                </c:pt>
                <c:pt idx="15">
                  <c:v>0.39043999999999995</c:v>
                </c:pt>
              </c:numCache>
            </c:numRef>
          </c:val>
          <c:extLst>
            <c:ext xmlns:c16="http://schemas.microsoft.com/office/drawing/2014/chart" uri="{C3380CC4-5D6E-409C-BE32-E72D297353CC}">
              <c16:uniqueId val="{00000001-7D1F-44AE-872C-1B2292CB3B75}"/>
            </c:ext>
          </c:extLst>
        </c:ser>
        <c:ser>
          <c:idx val="3"/>
          <c:order val="3"/>
          <c:tx>
            <c:strRef>
              <c:f>Sheet1!$F$1</c:f>
              <c:strCache>
                <c:ptCount val="1"/>
                <c:pt idx="0">
                  <c:v>Ոչ պարենային ապրանքներ</c:v>
                </c:pt>
              </c:strCache>
            </c:strRef>
          </c:tx>
          <c:spPr>
            <a:solidFill>
              <a:sysClr val="window" lastClr="FFFFFF">
                <a:lumMod val="65000"/>
              </a:sysClr>
            </a:solidFill>
            <a:ln>
              <a:noFill/>
            </a:ln>
            <a:effectLst/>
          </c:spPr>
          <c:invertIfNegative val="0"/>
          <c:cat>
            <c:strRef>
              <c:f>Sheet1!$B$2:$B$67</c:f>
              <c:strCache>
                <c:ptCount val="16"/>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pt idx="15">
                  <c:v>8</c:v>
                </c:pt>
              </c:strCache>
            </c:strRef>
          </c:cat>
          <c:val>
            <c:numRef>
              <c:f>Sheet1!$F$2:$F$67</c:f>
              <c:numCache>
                <c:formatCode>0.0</c:formatCode>
                <c:ptCount val="16"/>
                <c:pt idx="0">
                  <c:v>0.36695999999999995</c:v>
                </c:pt>
                <c:pt idx="1">
                  <c:v>0.19959500000000002</c:v>
                </c:pt>
                <c:pt idx="2">
                  <c:v>0.16808000000000003</c:v>
                </c:pt>
                <c:pt idx="3">
                  <c:v>0.21010000000000001</c:v>
                </c:pt>
                <c:pt idx="4">
                  <c:v>1.5324900000000001</c:v>
                </c:pt>
                <c:pt idx="5">
                  <c:v>1.7545900000000001</c:v>
                </c:pt>
                <c:pt idx="6">
                  <c:v>1.88785</c:v>
                </c:pt>
                <c:pt idx="7">
                  <c:v>1.9322699999999999</c:v>
                </c:pt>
                <c:pt idx="8">
                  <c:v>1.2215499999999999</c:v>
                </c:pt>
                <c:pt idx="9">
                  <c:v>1.3548099999999998</c:v>
                </c:pt>
                <c:pt idx="10">
                  <c:v>1.5102799999999998</c:v>
                </c:pt>
                <c:pt idx="11">
                  <c:v>1.5547</c:v>
                </c:pt>
                <c:pt idx="12">
                  <c:v>1.1993400000000001</c:v>
                </c:pt>
                <c:pt idx="13">
                  <c:v>0.71543999999999996</c:v>
                </c:pt>
                <c:pt idx="14">
                  <c:v>0.60703999999999991</c:v>
                </c:pt>
                <c:pt idx="15">
                  <c:v>0.54200000000000004</c:v>
                </c:pt>
              </c:numCache>
            </c:numRef>
          </c:val>
          <c:extLst>
            <c:ext xmlns:c16="http://schemas.microsoft.com/office/drawing/2014/chart" uri="{C3380CC4-5D6E-409C-BE32-E72D297353CC}">
              <c16:uniqueId val="{00000002-7D1F-44AE-872C-1B2292CB3B75}"/>
            </c:ext>
          </c:extLst>
        </c:ser>
        <c:ser>
          <c:idx val="4"/>
          <c:order val="4"/>
          <c:tx>
            <c:strRef>
              <c:f>Sheet1!$G$1</c:f>
              <c:strCache>
                <c:ptCount val="1"/>
                <c:pt idx="0">
                  <c:v>Ծառայություններ </c:v>
                </c:pt>
              </c:strCache>
            </c:strRef>
          </c:tx>
          <c:spPr>
            <a:solidFill>
              <a:srgbClr val="B4C7E7"/>
            </a:solidFill>
            <a:ln>
              <a:noFill/>
            </a:ln>
            <a:effectLst/>
          </c:spPr>
          <c:invertIfNegative val="0"/>
          <c:cat>
            <c:strRef>
              <c:f>Sheet1!$B$2:$B$67</c:f>
              <c:strCache>
                <c:ptCount val="16"/>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pt idx="15">
                  <c:v>8</c:v>
                </c:pt>
              </c:strCache>
            </c:strRef>
          </c:cat>
          <c:val>
            <c:numRef>
              <c:f>Sheet1!$G$2:$G$67</c:f>
              <c:numCache>
                <c:formatCode>0.0</c:formatCode>
                <c:ptCount val="16"/>
                <c:pt idx="0">
                  <c:v>0.43024500000000004</c:v>
                </c:pt>
                <c:pt idx="1">
                  <c:v>0.39837499999999998</c:v>
                </c:pt>
                <c:pt idx="2">
                  <c:v>0.41431000000000007</c:v>
                </c:pt>
                <c:pt idx="3">
                  <c:v>0.49797999999999992</c:v>
                </c:pt>
                <c:pt idx="4">
                  <c:v>0.61421000000000003</c:v>
                </c:pt>
                <c:pt idx="5">
                  <c:v>0.72260000000000002</c:v>
                </c:pt>
                <c:pt idx="6">
                  <c:v>0.68647000000000002</c:v>
                </c:pt>
                <c:pt idx="7">
                  <c:v>0.68647000000000002</c:v>
                </c:pt>
                <c:pt idx="8">
                  <c:v>0.90325</c:v>
                </c:pt>
                <c:pt idx="9">
                  <c:v>1.2645500000000001</c:v>
                </c:pt>
                <c:pt idx="10">
                  <c:v>1.62585</c:v>
                </c:pt>
                <c:pt idx="11">
                  <c:v>1.8787600000000004</c:v>
                </c:pt>
                <c:pt idx="12">
                  <c:v>2.4929700000000001</c:v>
                </c:pt>
                <c:pt idx="13">
                  <c:v>1.8479400000000001</c:v>
                </c:pt>
                <c:pt idx="14">
                  <c:v>1.75068</c:v>
                </c:pt>
                <c:pt idx="15">
                  <c:v>1.68584</c:v>
                </c:pt>
              </c:numCache>
            </c:numRef>
          </c:val>
          <c:extLst>
            <c:ext xmlns:c16="http://schemas.microsoft.com/office/drawing/2014/chart" uri="{C3380CC4-5D6E-409C-BE32-E72D297353CC}">
              <c16:uniqueId val="{00000003-7D1F-44AE-872C-1B2292CB3B75}"/>
            </c:ext>
          </c:extLst>
        </c:ser>
        <c:dLbls>
          <c:showLegendKey val="0"/>
          <c:showVal val="0"/>
          <c:showCatName val="0"/>
          <c:showSerName val="0"/>
          <c:showPercent val="0"/>
          <c:showBubbleSize val="0"/>
        </c:dLbls>
        <c:gapWidth val="100"/>
        <c:overlap val="100"/>
        <c:axId val="339650048"/>
        <c:axId val="339651584"/>
      </c:barChart>
      <c:lineChart>
        <c:grouping val="standard"/>
        <c:varyColors val="0"/>
        <c:ser>
          <c:idx val="0"/>
          <c:order val="0"/>
          <c:tx>
            <c:strRef>
              <c:f>Sheet1!$C$1</c:f>
              <c:strCache>
                <c:ptCount val="1"/>
                <c:pt idx="0">
                  <c:v>12-ամսյա գնաճ</c:v>
                </c:pt>
              </c:strCache>
            </c:strRef>
          </c:tx>
          <c:spPr>
            <a:ln w="25400" cap="rnd">
              <a:solidFill>
                <a:srgbClr val="4472C4">
                  <a:lumMod val="75000"/>
                </a:srgbClr>
              </a:solidFill>
              <a:round/>
            </a:ln>
            <a:effectLst/>
          </c:spPr>
          <c:marker>
            <c:symbol val="none"/>
          </c:marker>
          <c:dPt>
            <c:idx val="3"/>
            <c:marker>
              <c:symbol val="square"/>
              <c:size val="6"/>
              <c:spPr>
                <a:solidFill>
                  <a:schemeClr val="accent1"/>
                </a:solidFill>
                <a:ln w="15875">
                  <a:solidFill>
                    <a:schemeClr val="accent1"/>
                  </a:solidFill>
                  <a:round/>
                </a:ln>
                <a:effectLst/>
              </c:spPr>
            </c:marker>
            <c:bubble3D val="0"/>
            <c:extLst>
              <c:ext xmlns:c16="http://schemas.microsoft.com/office/drawing/2014/chart" uri="{C3380CC4-5D6E-409C-BE32-E72D297353CC}">
                <c16:uniqueId val="{00000004-7D1F-44AE-872C-1B2292CB3B75}"/>
              </c:ext>
            </c:extLst>
          </c:dPt>
          <c:dLbls>
            <c:spPr>
              <a:noFill/>
              <a:ln>
                <a:noFill/>
              </a:ln>
              <a:effectLst/>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multiLvlStrRef>
              <c:f>Sheet1!$A$28:$B$67</c:f>
              <c:multiLvlStrCache>
                <c:ptCount val="16"/>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pt idx="15">
                    <c:v>8</c:v>
                  </c:pt>
                </c:lvl>
                <c:lvl>
                  <c:pt idx="0">
                    <c:v>2020</c:v>
                  </c:pt>
                  <c:pt idx="4">
                    <c:v>2021</c:v>
                  </c:pt>
                  <c:pt idx="8">
                    <c:v>2022</c:v>
                  </c:pt>
                  <c:pt idx="12">
                    <c:v>2023</c:v>
                  </c:pt>
                </c:lvl>
              </c:multiLvlStrCache>
            </c:multiLvlStrRef>
          </c:cat>
          <c:val>
            <c:numRef>
              <c:f>Sheet1!$C$2:$C$67</c:f>
              <c:numCache>
                <c:formatCode>0.0</c:formatCode>
                <c:ptCount val="16"/>
                <c:pt idx="0">
                  <c:v>-5.7554999999999967E-2</c:v>
                </c:pt>
                <c:pt idx="1">
                  <c:v>0.57033499999999993</c:v>
                </c:pt>
                <c:pt idx="2">
                  <c:v>0.87117000000000011</c:v>
                </c:pt>
                <c:pt idx="3">
                  <c:v>1.2385999999999999</c:v>
                </c:pt>
                <c:pt idx="4">
                  <c:v>5.2115704999999997</c:v>
                </c:pt>
                <c:pt idx="5">
                  <c:v>5.7474577</c:v>
                </c:pt>
                <c:pt idx="6">
                  <c:v>6.6675324000000007</c:v>
                </c:pt>
                <c:pt idx="7">
                  <c:v>7.2000611000000001</c:v>
                </c:pt>
                <c:pt idx="8">
                  <c:v>6.9785632999999994</c:v>
                </c:pt>
                <c:pt idx="9">
                  <c:v>8.0639306000000008</c:v>
                </c:pt>
                <c:pt idx="10">
                  <c:v>8.5524100000000001</c:v>
                </c:pt>
                <c:pt idx="11">
                  <c:v>8.6354293999999996</c:v>
                </c:pt>
                <c:pt idx="12">
                  <c:v>7.2</c:v>
                </c:pt>
                <c:pt idx="13">
                  <c:v>4.2</c:v>
                </c:pt>
                <c:pt idx="14">
                  <c:v>3.6</c:v>
                </c:pt>
                <c:pt idx="15">
                  <c:v>3.1</c:v>
                </c:pt>
              </c:numCache>
            </c:numRef>
          </c:val>
          <c:smooth val="0"/>
          <c:extLst>
            <c:ext xmlns:c16="http://schemas.microsoft.com/office/drawing/2014/chart" uri="{C3380CC4-5D6E-409C-BE32-E72D297353CC}">
              <c16:uniqueId val="{00000005-7D1F-44AE-872C-1B2292CB3B75}"/>
            </c:ext>
          </c:extLst>
        </c:ser>
        <c:dLbls>
          <c:showLegendKey val="0"/>
          <c:showVal val="0"/>
          <c:showCatName val="0"/>
          <c:showSerName val="0"/>
          <c:showPercent val="0"/>
          <c:showBubbleSize val="0"/>
        </c:dLbls>
        <c:marker val="1"/>
        <c:smooth val="0"/>
        <c:axId val="339650048"/>
        <c:axId val="339651584"/>
      </c:lineChart>
      <c:catAx>
        <c:axId val="339650048"/>
        <c:scaling>
          <c:orientation val="minMax"/>
        </c:scaling>
        <c:delete val="0"/>
        <c:axPos val="b"/>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GHEA Grapalat" panose="02000506050000020003" pitchFamily="50" charset="0"/>
                <a:ea typeface="+mn-ea"/>
                <a:cs typeface="+mn-cs"/>
              </a:defRPr>
            </a:pPr>
            <a:endParaRPr lang="en-US"/>
          </a:p>
        </c:txPr>
        <c:crossAx val="339651584"/>
        <c:crosses val="autoZero"/>
        <c:auto val="1"/>
        <c:lblAlgn val="ctr"/>
        <c:lblOffset val="100"/>
        <c:noMultiLvlLbl val="0"/>
      </c:catAx>
      <c:valAx>
        <c:axId val="339651584"/>
        <c:scaling>
          <c:orientation val="minMax"/>
          <c:max val="10"/>
        </c:scaling>
        <c:delete val="0"/>
        <c:axPos val="l"/>
        <c:majorGridlines>
          <c:spPr>
            <a:ln w="3175">
              <a:solidFill>
                <a:srgbClr val="A5A5A5">
                  <a:lumMod val="40000"/>
                  <a:lumOff val="60000"/>
                </a:srgbClr>
              </a:solidFill>
            </a:ln>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339650048"/>
        <c:crosses val="autoZero"/>
        <c:crossBetween val="between"/>
      </c:valAx>
      <c:spPr>
        <a:pattFill prst="ltDnDiag">
          <a:fgClr>
            <a:srgbClr val="000000">
              <a:alpha val="0"/>
            </a:srgbClr>
          </a:fgClr>
          <a:bgClr>
            <a:srgbClr val="FFFFFF"/>
          </a:bgClr>
        </a:patt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15000"/>
          <a:lumOff val="85000"/>
        </a:schemeClr>
      </a:solidFill>
      <a:round/>
    </a:ln>
    <a:effectLst/>
  </c:spPr>
  <c:txPr>
    <a:bodyPr/>
    <a:lstStyle/>
    <a:p>
      <a:pPr algn="ctr">
        <a:defRPr>
          <a:solidFill>
            <a:sysClr val="windowText" lastClr="000000"/>
          </a:solidFill>
          <a:latin typeface="GHEA Grapalat" panose="02000506050000020003" pitchFamily="50"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70836908098351"/>
          <c:y val="0.1312423813132145"/>
          <c:w val="0.84290099330803991"/>
          <c:h val="0.21350437445319334"/>
        </c:manualLayout>
      </c:layout>
      <c:barChart>
        <c:barDir val="col"/>
        <c:grouping val="stacked"/>
        <c:varyColors val="0"/>
        <c:ser>
          <c:idx val="1"/>
          <c:order val="1"/>
          <c:tx>
            <c:strRef>
              <c:f>Sheet1!$D$1</c:f>
              <c:strCache>
                <c:ptCount val="1"/>
                <c:pt idx="0">
                  <c:v>Սննդամթերք և ոչ ալկոհոլային խմիչքներ</c:v>
                </c:pt>
              </c:strCache>
            </c:strRef>
          </c:tx>
          <c:spPr>
            <a:solidFill>
              <a:srgbClr val="4472C4">
                <a:lumMod val="50000"/>
              </a:srgbClr>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Sheet1!$D$28:$D$64</c:f>
              <c:numCache>
                <c:formatCode>General</c:formatCode>
                <c:ptCount val="17"/>
              </c:numCache>
            </c:numRef>
          </c:val>
          <c:extLst>
            <c:ext xmlns:c16="http://schemas.microsoft.com/office/drawing/2014/chart" uri="{C3380CC4-5D6E-409C-BE32-E72D297353CC}">
              <c16:uniqueId val="{00000000-8C3E-49FC-AD65-35D157885D6C}"/>
            </c:ext>
          </c:extLst>
        </c:ser>
        <c:ser>
          <c:idx val="2"/>
          <c:order val="2"/>
          <c:tx>
            <c:strRef>
              <c:f>Sheet1!$E$1</c:f>
              <c:strCache>
                <c:ptCount val="1"/>
                <c:pt idx="0">
                  <c:v>Ալկոհոլային խմիչքներ, ծխախոտ</c:v>
                </c:pt>
              </c:strCache>
            </c:strRef>
          </c:tx>
          <c:spPr>
            <a:solidFill>
              <a:srgbClr val="ED7D31">
                <a:lumMod val="60000"/>
                <a:lumOff val="40000"/>
              </a:srgbClr>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Sheet1!$E$28:$E$64</c:f>
              <c:numCache>
                <c:formatCode>General</c:formatCode>
                <c:ptCount val="17"/>
              </c:numCache>
            </c:numRef>
          </c:val>
          <c:extLst>
            <c:ext xmlns:c16="http://schemas.microsoft.com/office/drawing/2014/chart" uri="{C3380CC4-5D6E-409C-BE32-E72D297353CC}">
              <c16:uniqueId val="{00000001-8C3E-49FC-AD65-35D157885D6C}"/>
            </c:ext>
          </c:extLst>
        </c:ser>
        <c:ser>
          <c:idx val="3"/>
          <c:order val="3"/>
          <c:tx>
            <c:strRef>
              <c:f>Sheet1!$F$1</c:f>
              <c:strCache>
                <c:ptCount val="1"/>
                <c:pt idx="0">
                  <c:v>Ոչ պարենային ապրանքներ</c:v>
                </c:pt>
              </c:strCache>
            </c:strRef>
          </c:tx>
          <c:spPr>
            <a:solidFill>
              <a:sysClr val="window" lastClr="FFFFFF">
                <a:lumMod val="65000"/>
              </a:sysClr>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Sheet1!$F$28:$F$64</c:f>
              <c:numCache>
                <c:formatCode>General</c:formatCode>
                <c:ptCount val="17"/>
              </c:numCache>
            </c:numRef>
          </c:val>
          <c:extLst>
            <c:ext xmlns:c16="http://schemas.microsoft.com/office/drawing/2014/chart" uri="{C3380CC4-5D6E-409C-BE32-E72D297353CC}">
              <c16:uniqueId val="{00000002-8C3E-49FC-AD65-35D157885D6C}"/>
            </c:ext>
          </c:extLst>
        </c:ser>
        <c:ser>
          <c:idx val="4"/>
          <c:order val="4"/>
          <c:tx>
            <c:strRef>
              <c:f>Sheet1!$G$1</c:f>
              <c:strCache>
                <c:ptCount val="1"/>
                <c:pt idx="0">
                  <c:v>Ծառայություններ </c:v>
                </c:pt>
              </c:strCache>
            </c:strRef>
          </c:tx>
          <c:spPr>
            <a:solidFill>
              <a:srgbClr val="B4C7E7"/>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Sheet1!$G$28:$G$64</c:f>
              <c:numCache>
                <c:formatCode>General</c:formatCode>
                <c:ptCount val="17"/>
              </c:numCache>
            </c:numRef>
          </c:val>
          <c:extLst>
            <c:ext xmlns:c16="http://schemas.microsoft.com/office/drawing/2014/chart" uri="{C3380CC4-5D6E-409C-BE32-E72D297353CC}">
              <c16:uniqueId val="{00000003-8C3E-49FC-AD65-35D157885D6C}"/>
            </c:ext>
          </c:extLst>
        </c:ser>
        <c:dLbls>
          <c:showLegendKey val="0"/>
          <c:showVal val="0"/>
          <c:showCatName val="0"/>
          <c:showSerName val="0"/>
          <c:showPercent val="0"/>
          <c:showBubbleSize val="0"/>
        </c:dLbls>
        <c:gapWidth val="100"/>
        <c:overlap val="100"/>
        <c:axId val="339256064"/>
        <c:axId val="339257600"/>
      </c:barChart>
      <c:lineChart>
        <c:grouping val="standard"/>
        <c:varyColors val="0"/>
        <c:ser>
          <c:idx val="0"/>
          <c:order val="0"/>
          <c:tx>
            <c:strRef>
              <c:f>Sheet1!$C$1</c:f>
              <c:strCache>
                <c:ptCount val="1"/>
                <c:pt idx="0">
                  <c:v>12-ամսյա գնաճ</c:v>
                </c:pt>
              </c:strCache>
            </c:strRef>
          </c:tx>
          <c:spPr>
            <a:ln w="25400" cap="rnd">
              <a:solidFill>
                <a:srgbClr val="4472C4">
                  <a:lumMod val="75000"/>
                </a:srgbClr>
              </a:solidFill>
              <a:round/>
            </a:ln>
            <a:effectLst/>
          </c:spPr>
          <c:marker>
            <c:symbol val="none"/>
          </c:marker>
          <c:dPt>
            <c:idx val="6"/>
            <c:bubble3D val="0"/>
            <c:extLst>
              <c:ext xmlns:c16="http://schemas.microsoft.com/office/drawing/2014/chart" uri="{C3380CC4-5D6E-409C-BE32-E72D297353CC}">
                <c16:uniqueId val="{00000004-8C3E-49FC-AD65-35D157885D6C}"/>
              </c:ext>
            </c:extLst>
          </c:dPt>
          <c:dPt>
            <c:idx val="7"/>
            <c:marker>
              <c:symbol val="square"/>
              <c:size val="6"/>
              <c:spPr>
                <a:solidFill>
                  <a:schemeClr val="accent1"/>
                </a:solidFill>
                <a:ln w="15875">
                  <a:solidFill>
                    <a:schemeClr val="accent1"/>
                  </a:solidFill>
                  <a:round/>
                </a:ln>
                <a:effectLst/>
              </c:spPr>
            </c:marker>
            <c:bubble3D val="0"/>
            <c:extLst>
              <c:ext xmlns:c16="http://schemas.microsoft.com/office/drawing/2014/chart" uri="{C3380CC4-5D6E-409C-BE32-E72D297353CC}">
                <c16:uniqueId val="{00000005-8C3E-49FC-AD65-35D157885D6C}"/>
              </c:ext>
            </c:extLst>
          </c:dPt>
          <c:dLbls>
            <c:spPr>
              <a:noFill/>
              <a:ln>
                <a:noFill/>
              </a:ln>
              <a:effectLst/>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multiLvlStrRef>
              <c:f>Sheet1!$A$28:$B$64</c:f>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2019</c:v>
                  </c:pt>
                  <c:pt idx="4">
                    <c:v>2020</c:v>
                  </c:pt>
                  <c:pt idx="8">
                    <c:v>2021</c:v>
                  </c:pt>
                  <c:pt idx="12">
                    <c:v>2022</c:v>
                  </c:pt>
                  <c:pt idx="16">
                    <c:v>2023</c:v>
                  </c:pt>
                </c:lvl>
              </c:multiLvlStrCache>
            </c:multiLvlStrRef>
          </c:cat>
          <c:val>
            <c:numRef>
              <c:f>Sheet1!$C$28:$C$64</c:f>
              <c:numCache>
                <c:formatCode>General</c:formatCode>
                <c:ptCount val="17"/>
              </c:numCache>
            </c:numRef>
          </c:val>
          <c:smooth val="0"/>
          <c:extLst>
            <c:ext xmlns:c16="http://schemas.microsoft.com/office/drawing/2014/chart" uri="{C3380CC4-5D6E-409C-BE32-E72D297353CC}">
              <c16:uniqueId val="{00000006-8C3E-49FC-AD65-35D157885D6C}"/>
            </c:ext>
          </c:extLst>
        </c:ser>
        <c:dLbls>
          <c:showLegendKey val="0"/>
          <c:showVal val="0"/>
          <c:showCatName val="0"/>
          <c:showSerName val="0"/>
          <c:showPercent val="0"/>
          <c:showBubbleSize val="0"/>
        </c:dLbls>
        <c:marker val="1"/>
        <c:smooth val="0"/>
        <c:axId val="339256064"/>
        <c:axId val="339257600"/>
      </c:lineChart>
      <c:catAx>
        <c:axId val="339256064"/>
        <c:scaling>
          <c:orientation val="minMax"/>
        </c:scaling>
        <c:delete val="1"/>
        <c:axPos val="b"/>
        <c:numFmt formatCode="General" sourceLinked="1"/>
        <c:majorTickMark val="out"/>
        <c:minorTickMark val="none"/>
        <c:tickLblPos val="low"/>
        <c:crossAx val="339257600"/>
        <c:crosses val="autoZero"/>
        <c:auto val="1"/>
        <c:lblAlgn val="ctr"/>
        <c:lblOffset val="100"/>
        <c:noMultiLvlLbl val="0"/>
      </c:catAx>
      <c:valAx>
        <c:axId val="339257600"/>
        <c:scaling>
          <c:orientation val="minMax"/>
        </c:scaling>
        <c:delete val="1"/>
        <c:axPos val="l"/>
        <c:numFmt formatCode="General" sourceLinked="1"/>
        <c:majorTickMark val="none"/>
        <c:minorTickMark val="none"/>
        <c:tickLblPos val="nextTo"/>
        <c:crossAx val="339256064"/>
        <c:crosses val="autoZero"/>
        <c:crossBetween val="between"/>
      </c:valAx>
      <c:spPr>
        <a:pattFill prst="ltDnDiag">
          <a:fgClr>
            <a:srgbClr val="000000">
              <a:alpha val="0"/>
            </a:srgbClr>
          </a:fgClr>
          <a:bgClr>
            <a:srgbClr val="FFFFFF"/>
          </a:bgClr>
        </a:pattFill>
        <a:ln w="25400">
          <a:noFill/>
        </a:ln>
        <a:effectLst/>
      </c:spPr>
    </c:plotArea>
    <c:legend>
      <c:legendPos val="r"/>
      <c:layout>
        <c:manualLayout>
          <c:xMode val="edge"/>
          <c:yMode val="edge"/>
          <c:x val="3.1936127744510975E-2"/>
          <c:y val="3.7699115044247791E-2"/>
          <c:w val="0.9640718562874252"/>
          <c:h val="0.96201147422943811"/>
        </c:manualLayout>
      </c:layout>
      <c:overlay val="0"/>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hy-AM"/>
              <a:t>Ֆինանսական շուկայի տոկոսադրույքների միտումները, </a:t>
            </a:r>
            <a:r>
              <a:rPr lang="en-US"/>
              <a:t>%</a:t>
            </a:r>
          </a:p>
        </c:rich>
      </c:tx>
      <c:layout>
        <c:manualLayout>
          <c:xMode val="edge"/>
          <c:yMode val="edge"/>
          <c:x val="0.1060351151758204"/>
          <c:y val="1.2903225806451613E-2"/>
        </c:manualLayout>
      </c:layout>
      <c:overlay val="0"/>
    </c:title>
    <c:autoTitleDeleted val="0"/>
    <c:plotArea>
      <c:layout>
        <c:manualLayout>
          <c:layoutTarget val="inner"/>
          <c:xMode val="edge"/>
          <c:yMode val="edge"/>
          <c:x val="5.8833111477111205E-2"/>
          <c:y val="0.14663313859961052"/>
          <c:w val="0.92015447209499956"/>
          <c:h val="0.42646143425620187"/>
        </c:manualLayout>
      </c:layout>
      <c:lineChart>
        <c:grouping val="standard"/>
        <c:varyColors val="0"/>
        <c:ser>
          <c:idx val="0"/>
          <c:order val="0"/>
          <c:tx>
            <c:strRef>
              <c:f>Sheet1!$D$1</c:f>
              <c:strCache>
                <c:ptCount val="1"/>
                <c:pt idx="0">
                  <c:v>Միջբանկային ռեպո</c:v>
                </c:pt>
              </c:strCache>
            </c:strRef>
          </c:tx>
          <c:spPr>
            <a:ln w="19050" cap="rnd">
              <a:solidFill>
                <a:srgbClr val="ED7D31"/>
              </a:solidFill>
              <a:prstDash val="solid"/>
              <a:round/>
            </a:ln>
            <a:effectLst/>
          </c:spPr>
          <c:marker>
            <c:symbol val="none"/>
          </c:marker>
          <c:cat>
            <c:multiLvlStrRef>
              <c:f>Sheet1!$A$16:$B$64</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Sheet1!$D$2:$D$64</c:f>
              <c:numCache>
                <c:formatCode>0.0</c:formatCode>
                <c:ptCount val="15"/>
                <c:pt idx="0">
                  <c:v>5.33</c:v>
                </c:pt>
                <c:pt idx="1">
                  <c:v>4.87</c:v>
                </c:pt>
                <c:pt idx="2">
                  <c:v>4.3899999999999997</c:v>
                </c:pt>
                <c:pt idx="3">
                  <c:v>5.03</c:v>
                </c:pt>
                <c:pt idx="4">
                  <c:v>5.54</c:v>
                </c:pt>
                <c:pt idx="5">
                  <c:v>6.48</c:v>
                </c:pt>
                <c:pt idx="6">
                  <c:v>7.17</c:v>
                </c:pt>
                <c:pt idx="7">
                  <c:v>7.25</c:v>
                </c:pt>
                <c:pt idx="8">
                  <c:v>8.36</c:v>
                </c:pt>
                <c:pt idx="9">
                  <c:v>9.3699999999999992</c:v>
                </c:pt>
                <c:pt idx="10">
                  <c:v>10</c:v>
                </c:pt>
                <c:pt idx="11">
                  <c:v>10.89</c:v>
                </c:pt>
                <c:pt idx="12">
                  <c:v>11.083333333333334</c:v>
                </c:pt>
                <c:pt idx="13">
                  <c:v>10.76</c:v>
                </c:pt>
              </c:numCache>
            </c:numRef>
          </c:val>
          <c:smooth val="0"/>
          <c:extLst>
            <c:ext xmlns:c16="http://schemas.microsoft.com/office/drawing/2014/chart" uri="{C3380CC4-5D6E-409C-BE32-E72D297353CC}">
              <c16:uniqueId val="{00000000-BFA5-4DA0-8A0D-6D67AF2B60B9}"/>
            </c:ext>
          </c:extLst>
        </c:ser>
        <c:ser>
          <c:idx val="1"/>
          <c:order val="1"/>
          <c:tx>
            <c:strRef>
              <c:f>Sheet1!$E$1</c:f>
              <c:strCache>
                <c:ptCount val="1"/>
                <c:pt idx="0">
                  <c:v>Պետական պարտատոմսեր, 1տ․</c:v>
                </c:pt>
              </c:strCache>
            </c:strRef>
          </c:tx>
          <c:spPr>
            <a:ln w="19050" cap="rnd">
              <a:solidFill>
                <a:srgbClr val="A5A5A5"/>
              </a:solidFill>
              <a:round/>
            </a:ln>
            <a:effectLst/>
          </c:spPr>
          <c:marker>
            <c:symbol val="none"/>
          </c:marker>
          <c:cat>
            <c:multiLvlStrRef>
              <c:f>Sheet1!$A$16:$B$64</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Sheet1!$E$2:$E$64</c:f>
              <c:numCache>
                <c:formatCode>0.0</c:formatCode>
                <c:ptCount val="15"/>
                <c:pt idx="0">
                  <c:v>5.7816999999999998</c:v>
                </c:pt>
                <c:pt idx="1">
                  <c:v>5.5404999999999998</c:v>
                </c:pt>
                <c:pt idx="2">
                  <c:v>5.5647000000000002</c:v>
                </c:pt>
                <c:pt idx="3">
                  <c:v>6.4890999999999996</c:v>
                </c:pt>
                <c:pt idx="4">
                  <c:v>6.8712428571428568</c:v>
                </c:pt>
                <c:pt idx="5">
                  <c:v>7.3503850130953534</c:v>
                </c:pt>
                <c:pt idx="6">
                  <c:v>8.4334571428571437</c:v>
                </c:pt>
                <c:pt idx="7">
                  <c:v>9.0296000000000003</c:v>
                </c:pt>
                <c:pt idx="8">
                  <c:v>9.6898681818181824</c:v>
                </c:pt>
                <c:pt idx="9">
                  <c:v>10.307509090909091</c:v>
                </c:pt>
                <c:pt idx="10">
                  <c:v>10.583795238095238</c:v>
                </c:pt>
                <c:pt idx="11">
                  <c:v>11.7258</c:v>
                </c:pt>
                <c:pt idx="12">
                  <c:v>11.564432258064519</c:v>
                </c:pt>
                <c:pt idx="13">
                  <c:v>11.357082258064516</c:v>
                </c:pt>
                <c:pt idx="14">
                  <c:v>11.074404999999997</c:v>
                </c:pt>
              </c:numCache>
            </c:numRef>
          </c:val>
          <c:smooth val="0"/>
          <c:extLst>
            <c:ext xmlns:c16="http://schemas.microsoft.com/office/drawing/2014/chart" uri="{C3380CC4-5D6E-409C-BE32-E72D297353CC}">
              <c16:uniqueId val="{00000001-BFA5-4DA0-8A0D-6D67AF2B60B9}"/>
            </c:ext>
          </c:extLst>
        </c:ser>
        <c:ser>
          <c:idx val="2"/>
          <c:order val="2"/>
          <c:tx>
            <c:strRef>
              <c:f>Sheet1!$F$1</c:f>
              <c:strCache>
                <c:ptCount val="1"/>
                <c:pt idx="0">
                  <c:v>Պետական պարտատոմսեր, 10տ․</c:v>
                </c:pt>
              </c:strCache>
            </c:strRef>
          </c:tx>
          <c:spPr>
            <a:ln w="19050" cap="rnd">
              <a:solidFill>
                <a:srgbClr val="FFC000"/>
              </a:solidFill>
              <a:round/>
            </a:ln>
            <a:effectLst/>
          </c:spPr>
          <c:marker>
            <c:symbol val="none"/>
          </c:marker>
          <c:cat>
            <c:multiLvlStrRef>
              <c:f>Sheet1!$A$16:$B$64</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Sheet1!$F$2:$F$64</c:f>
              <c:numCache>
                <c:formatCode>0.0</c:formatCode>
                <c:ptCount val="15"/>
                <c:pt idx="0">
                  <c:v>7.7184999999999997</c:v>
                </c:pt>
                <c:pt idx="1">
                  <c:v>7.7636000000000003</c:v>
                </c:pt>
                <c:pt idx="2">
                  <c:v>7.6761999999999997</c:v>
                </c:pt>
                <c:pt idx="3">
                  <c:v>8.8371999999999993</c:v>
                </c:pt>
                <c:pt idx="4">
                  <c:v>8.8150272727272725</c:v>
                </c:pt>
                <c:pt idx="5">
                  <c:v>9.0018772727272722</c:v>
                </c:pt>
                <c:pt idx="6">
                  <c:v>10.014661904761903</c:v>
                </c:pt>
                <c:pt idx="7">
                  <c:v>10.023227272727274</c:v>
                </c:pt>
                <c:pt idx="8">
                  <c:v>10.728454545454547</c:v>
                </c:pt>
                <c:pt idx="9">
                  <c:v>11.198654545454545</c:v>
                </c:pt>
                <c:pt idx="10">
                  <c:v>11.536523809523809</c:v>
                </c:pt>
                <c:pt idx="11">
                  <c:v>11.9946</c:v>
                </c:pt>
                <c:pt idx="12">
                  <c:v>11.874240322580647</c:v>
                </c:pt>
                <c:pt idx="13">
                  <c:v>11.254803225806453</c:v>
                </c:pt>
                <c:pt idx="14">
                  <c:v>10.690165</c:v>
                </c:pt>
              </c:numCache>
            </c:numRef>
          </c:val>
          <c:smooth val="0"/>
          <c:extLst>
            <c:ext xmlns:c16="http://schemas.microsoft.com/office/drawing/2014/chart" uri="{C3380CC4-5D6E-409C-BE32-E72D297353CC}">
              <c16:uniqueId val="{00000002-BFA5-4DA0-8A0D-6D67AF2B60B9}"/>
            </c:ext>
          </c:extLst>
        </c:ser>
        <c:ser>
          <c:idx val="3"/>
          <c:order val="3"/>
          <c:tx>
            <c:strRef>
              <c:f>Sheet1!$G$1</c:f>
              <c:strCache>
                <c:ptCount val="1"/>
                <c:pt idx="0">
                  <c:v>Վարկեր, մինչև 1 տ․</c:v>
                </c:pt>
              </c:strCache>
            </c:strRef>
          </c:tx>
          <c:spPr>
            <a:ln w="19050" cap="rnd">
              <a:solidFill>
                <a:srgbClr val="4472C4">
                  <a:lumMod val="50000"/>
                </a:srgbClr>
              </a:solidFill>
              <a:round/>
            </a:ln>
            <a:effectLst/>
          </c:spPr>
          <c:marker>
            <c:symbol val="none"/>
          </c:marker>
          <c:cat>
            <c:multiLvlStrRef>
              <c:f>Sheet1!$A$16:$B$64</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Sheet1!$G$2:$G$64</c:f>
              <c:numCache>
                <c:formatCode>0.0</c:formatCode>
                <c:ptCount val="15"/>
                <c:pt idx="0">
                  <c:v>12.086361052439955</c:v>
                </c:pt>
                <c:pt idx="1">
                  <c:v>11.840666400286993</c:v>
                </c:pt>
                <c:pt idx="2">
                  <c:v>11.739999180461965</c:v>
                </c:pt>
                <c:pt idx="3">
                  <c:v>11.46854913302637</c:v>
                </c:pt>
                <c:pt idx="4">
                  <c:v>11.961990666081375</c:v>
                </c:pt>
                <c:pt idx="5">
                  <c:v>10.411636000567436</c:v>
                </c:pt>
                <c:pt idx="6">
                  <c:v>12.208102534160609</c:v>
                </c:pt>
                <c:pt idx="7">
                  <c:v>12.277436640171302</c:v>
                </c:pt>
                <c:pt idx="8">
                  <c:v>12.491087907189435</c:v>
                </c:pt>
                <c:pt idx="9">
                  <c:v>11.274733470496635</c:v>
                </c:pt>
                <c:pt idx="10">
                  <c:v>11.773619839763745</c:v>
                </c:pt>
                <c:pt idx="11">
                  <c:v>12.026777148567596</c:v>
                </c:pt>
                <c:pt idx="12">
                  <c:v>12.280686192171711</c:v>
                </c:pt>
                <c:pt idx="13">
                  <c:v>12.139632381709292</c:v>
                </c:pt>
                <c:pt idx="14">
                  <c:v>12.29666154156954</c:v>
                </c:pt>
              </c:numCache>
            </c:numRef>
          </c:val>
          <c:smooth val="0"/>
          <c:extLst>
            <c:ext xmlns:c16="http://schemas.microsoft.com/office/drawing/2014/chart" uri="{C3380CC4-5D6E-409C-BE32-E72D297353CC}">
              <c16:uniqueId val="{00000003-BFA5-4DA0-8A0D-6D67AF2B60B9}"/>
            </c:ext>
          </c:extLst>
        </c:ser>
        <c:ser>
          <c:idx val="4"/>
          <c:order val="4"/>
          <c:tx>
            <c:strRef>
              <c:f>Sheet1!$H$1</c:f>
              <c:strCache>
                <c:ptCount val="1"/>
                <c:pt idx="0">
                  <c:v>Ավանդներ, մինչև 1տ․</c:v>
                </c:pt>
              </c:strCache>
            </c:strRef>
          </c:tx>
          <c:spPr>
            <a:ln w="19050" cap="rnd">
              <a:solidFill>
                <a:srgbClr val="4472C4"/>
              </a:solidFill>
              <a:prstDash val="solid"/>
              <a:round/>
            </a:ln>
            <a:effectLst/>
          </c:spPr>
          <c:marker>
            <c:symbol val="none"/>
          </c:marker>
          <c:cat>
            <c:multiLvlStrRef>
              <c:f>Sheet1!$A$16:$B$64</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7</c:v>
                  </c:pt>
                </c:lvl>
                <c:lvl>
                  <c:pt idx="0">
                    <c:v>2020</c:v>
                  </c:pt>
                  <c:pt idx="4">
                    <c:v>2021</c:v>
                  </c:pt>
                  <c:pt idx="8">
                    <c:v>2022</c:v>
                  </c:pt>
                  <c:pt idx="12">
                    <c:v>2023</c:v>
                  </c:pt>
                </c:lvl>
              </c:multiLvlStrCache>
            </c:multiLvlStrRef>
          </c:cat>
          <c:val>
            <c:numRef>
              <c:f>Sheet1!$H$2:$H$64</c:f>
              <c:numCache>
                <c:formatCode>0.0</c:formatCode>
                <c:ptCount val="15"/>
                <c:pt idx="0">
                  <c:v>7.2291523038045318</c:v>
                </c:pt>
                <c:pt idx="1">
                  <c:v>7.9211712515744601</c:v>
                </c:pt>
                <c:pt idx="2">
                  <c:v>8.4142766303570919</c:v>
                </c:pt>
                <c:pt idx="3">
                  <c:v>7.4048415965003471</c:v>
                </c:pt>
                <c:pt idx="4">
                  <c:v>7.7422870380906073</c:v>
                </c:pt>
                <c:pt idx="5">
                  <c:v>8.0158616246163845</c:v>
                </c:pt>
                <c:pt idx="6">
                  <c:v>8.2773469777009598</c:v>
                </c:pt>
                <c:pt idx="7">
                  <c:v>8.2678332122473623</c:v>
                </c:pt>
                <c:pt idx="8">
                  <c:v>9.2964040296125265</c:v>
                </c:pt>
                <c:pt idx="9">
                  <c:v>8.1287571727719037</c:v>
                </c:pt>
                <c:pt idx="10">
                  <c:v>7.6374793222786144</c:v>
                </c:pt>
                <c:pt idx="11">
                  <c:v>8.6201560403887179</c:v>
                </c:pt>
                <c:pt idx="12">
                  <c:v>8.1887607485517133</c:v>
                </c:pt>
                <c:pt idx="13">
                  <c:v>8.3546599768074685</c:v>
                </c:pt>
                <c:pt idx="14">
                  <c:v>8.2260766425836156</c:v>
                </c:pt>
              </c:numCache>
            </c:numRef>
          </c:val>
          <c:smooth val="0"/>
          <c:extLst>
            <c:ext xmlns:c16="http://schemas.microsoft.com/office/drawing/2014/chart" uri="{C3380CC4-5D6E-409C-BE32-E72D297353CC}">
              <c16:uniqueId val="{00000004-BFA5-4DA0-8A0D-6D67AF2B60B9}"/>
            </c:ext>
          </c:extLst>
        </c:ser>
        <c:dLbls>
          <c:showLegendKey val="0"/>
          <c:showVal val="0"/>
          <c:showCatName val="0"/>
          <c:showSerName val="0"/>
          <c:showPercent val="0"/>
          <c:showBubbleSize val="0"/>
        </c:dLbls>
        <c:smooth val="0"/>
        <c:axId val="803037520"/>
        <c:axId val="1"/>
      </c:lineChart>
      <c:catAx>
        <c:axId val="803037520"/>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vert="horz"/>
          <a:lstStyle/>
          <a:p>
            <a:pPr>
              <a:defRPr/>
            </a:pPr>
            <a:endParaRPr lang="en-US"/>
          </a:p>
        </c:txPr>
        <c:crossAx val="1"/>
        <c:crosses val="autoZero"/>
        <c:auto val="1"/>
        <c:lblAlgn val="ctr"/>
        <c:lblOffset val="100"/>
        <c:noMultiLvlLbl val="0"/>
      </c:catAx>
      <c:valAx>
        <c:axId val="1"/>
        <c:scaling>
          <c:orientation val="minMax"/>
          <c:min val="4"/>
        </c:scaling>
        <c:delete val="0"/>
        <c:axPos val="l"/>
        <c:majorGridlines>
          <c:spPr>
            <a:ln>
              <a:solidFill>
                <a:srgbClr val="A5A5A5">
                  <a:lumMod val="40000"/>
                  <a:lumOff val="60000"/>
                </a:srgbClr>
              </a:solidFill>
            </a:ln>
          </c:spPr>
        </c:majorGridlines>
        <c:numFmt formatCode="0.0" sourceLinked="1"/>
        <c:majorTickMark val="none"/>
        <c:minorTickMark val="none"/>
        <c:tickLblPos val="nextTo"/>
        <c:spPr>
          <a:ln w="9524">
            <a:noFill/>
          </a:ln>
        </c:spPr>
        <c:txPr>
          <a:bodyPr rot="-60000000" vert="horz"/>
          <a:lstStyle/>
          <a:p>
            <a:pPr>
              <a:defRPr/>
            </a:pPr>
            <a:endParaRPr lang="en-US"/>
          </a:p>
        </c:txPr>
        <c:crossAx val="803037520"/>
        <c:crosses val="autoZero"/>
        <c:crossBetween val="between"/>
      </c:valAx>
      <c:spPr>
        <a:solidFill>
          <a:schemeClr val="bg1"/>
        </a:solidFill>
        <a:ln>
          <a:noFill/>
        </a:ln>
        <a:effectLst/>
      </c:spPr>
    </c:plotArea>
    <c:legend>
      <c:legendPos val="b"/>
      <c:layout>
        <c:manualLayout>
          <c:xMode val="edge"/>
          <c:yMode val="edge"/>
          <c:x val="2.3400194241774825E-2"/>
          <c:y val="0.72431800863601725"/>
          <c:w val="0.96657115108317881"/>
          <c:h val="0.27568199136398275"/>
        </c:manualLayout>
      </c:layout>
      <c:overlay val="0"/>
      <c:spPr>
        <a:noFill/>
        <a:ln w="25398">
          <a:noFill/>
        </a:ln>
      </c:spPr>
      <c:txPr>
        <a:bodyPr rot="0" vert="horz"/>
        <a:lstStyle/>
        <a:p>
          <a:pPr>
            <a:defRPr/>
          </a:pPr>
          <a:endParaRPr lang="en-US"/>
        </a:p>
      </c:txPr>
    </c:legend>
    <c:plotVisOnly val="1"/>
    <c:dispBlanksAs val="gap"/>
    <c:showDLblsOverMax val="0"/>
  </c:chart>
  <c:spPr>
    <a:noFill/>
    <a:ln w="9524" cap="flat" cmpd="sng" algn="ctr">
      <a:solidFill>
        <a:schemeClr val="tx1">
          <a:lumMod val="15000"/>
          <a:lumOff val="85000"/>
        </a:schemeClr>
      </a:solidFill>
      <a:round/>
    </a:ln>
    <a:effectLst/>
  </c:spPr>
  <c:txPr>
    <a:bodyPr/>
    <a:lstStyle/>
    <a:p>
      <a:pPr>
        <a:defRPr sz="900">
          <a:latin typeface="GHEA Grapalat" panose="02000506050000020003" pitchFamily="50"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none" spc="0" normalizeH="0" baseline="0">
                <a:solidFill>
                  <a:sysClr val="windowText" lastClr="000000"/>
                </a:solidFill>
                <a:latin typeface="GHEA Grapalat" panose="02000506050000020003" pitchFamily="50" charset="0"/>
                <a:ea typeface="+mj-ea"/>
                <a:cs typeface="+mj-cs"/>
              </a:defRPr>
            </a:pPr>
            <a:r>
              <a:rPr lang="hy-AM" sz="1000" i="0"/>
              <a:t>Գնաճի կանխատեսումները և նպատակային միջակայքը</a:t>
            </a:r>
            <a:r>
              <a:rPr lang="en-US" sz="1000" i="0"/>
              <a:t>, %</a:t>
            </a:r>
          </a:p>
        </c:rich>
      </c:tx>
      <c:layout>
        <c:manualLayout>
          <c:xMode val="edge"/>
          <c:yMode val="edge"/>
          <c:x val="0.24812967543322215"/>
          <c:y val="3.4892896452459569E-3"/>
        </c:manualLayout>
      </c:layout>
      <c:overlay val="0"/>
      <c:spPr>
        <a:noFill/>
        <a:ln>
          <a:noFill/>
        </a:ln>
        <a:effectLst/>
      </c:spPr>
    </c:title>
    <c:autoTitleDeleted val="0"/>
    <c:plotArea>
      <c:layout>
        <c:manualLayout>
          <c:layoutTarget val="inner"/>
          <c:xMode val="edge"/>
          <c:yMode val="edge"/>
          <c:x val="4.286978223573857E-2"/>
          <c:y val="0.15820767267105321"/>
          <c:w val="0.9349795935193983"/>
          <c:h val="0.60057783583806246"/>
        </c:manualLayout>
      </c:layout>
      <c:areaChart>
        <c:grouping val="standard"/>
        <c:varyColors val="0"/>
        <c:ser>
          <c:idx val="5"/>
          <c:order val="5"/>
          <c:tx>
            <c:strRef>
              <c:f>Sheet1!$G$1</c:f>
              <c:strCache>
                <c:ptCount val="1"/>
                <c:pt idx="0">
                  <c:v>Column5</c:v>
                </c:pt>
              </c:strCache>
            </c:strRef>
          </c:tx>
          <c:cat>
            <c:numRef>
              <c:f>Sheet1!$A$2:$A$11</c:f>
              <c:numCache>
                <c:formatCode>General</c:formatCode>
                <c:ptCount val="5"/>
                <c:pt idx="0">
                  <c:v>2020</c:v>
                </c:pt>
                <c:pt idx="1">
                  <c:v>2021</c:v>
                </c:pt>
                <c:pt idx="2">
                  <c:v>2022</c:v>
                </c:pt>
                <c:pt idx="3">
                  <c:v>2023</c:v>
                </c:pt>
                <c:pt idx="4">
                  <c:v>2024</c:v>
                </c:pt>
              </c:numCache>
            </c:numRef>
          </c:cat>
          <c:val>
            <c:numRef>
              <c:f>Sheet1!$G$2:$G$11</c:f>
              <c:numCache>
                <c:formatCode>General</c:formatCode>
                <c:ptCount val="5"/>
                <c:pt idx="3">
                  <c:v>0</c:v>
                </c:pt>
                <c:pt idx="4">
                  <c:v>0</c:v>
                </c:pt>
              </c:numCache>
            </c:numRef>
          </c:val>
          <c:extLst>
            <c:ext xmlns:c16="http://schemas.microsoft.com/office/drawing/2014/chart" uri="{C3380CC4-5D6E-409C-BE32-E72D297353CC}">
              <c16:uniqueId val="{00000000-DE25-4648-937A-6C725A4746C3}"/>
            </c:ext>
          </c:extLst>
        </c:ser>
        <c:ser>
          <c:idx val="6"/>
          <c:order val="6"/>
          <c:tx>
            <c:strRef>
              <c:f>Sheet1!$H$1</c:f>
              <c:strCache>
                <c:ptCount val="1"/>
                <c:pt idx="0">
                  <c:v>Column6</c:v>
                </c:pt>
              </c:strCache>
            </c:strRef>
          </c:tx>
          <c:spPr>
            <a:solidFill>
              <a:srgbClr val="A5A5A5">
                <a:alpha val="40000"/>
              </a:srgbClr>
            </a:solidFill>
          </c:spPr>
          <c:cat>
            <c:numRef>
              <c:f>Sheet1!$A$2:$A$11</c:f>
              <c:numCache>
                <c:formatCode>General</c:formatCode>
                <c:ptCount val="5"/>
                <c:pt idx="0">
                  <c:v>2020</c:v>
                </c:pt>
                <c:pt idx="1">
                  <c:v>2021</c:v>
                </c:pt>
                <c:pt idx="2">
                  <c:v>2022</c:v>
                </c:pt>
                <c:pt idx="3">
                  <c:v>2023</c:v>
                </c:pt>
                <c:pt idx="4">
                  <c:v>2024</c:v>
                </c:pt>
              </c:numCache>
            </c:numRef>
          </c:cat>
          <c:val>
            <c:numRef>
              <c:f>Sheet1!$H$2:$H$11</c:f>
              <c:numCache>
                <c:formatCode>General</c:formatCode>
                <c:ptCount val="5"/>
                <c:pt idx="3">
                  <c:v>10</c:v>
                </c:pt>
                <c:pt idx="4">
                  <c:v>10</c:v>
                </c:pt>
              </c:numCache>
            </c:numRef>
          </c:val>
          <c:extLst>
            <c:ext xmlns:c16="http://schemas.microsoft.com/office/drawing/2014/chart" uri="{C3380CC4-5D6E-409C-BE32-E72D297353CC}">
              <c16:uniqueId val="{00000001-DE25-4648-937A-6C725A4746C3}"/>
            </c:ext>
          </c:extLst>
        </c:ser>
        <c:dLbls>
          <c:showLegendKey val="0"/>
          <c:showVal val="0"/>
          <c:showCatName val="0"/>
          <c:showSerName val="0"/>
          <c:showPercent val="0"/>
          <c:showBubbleSize val="0"/>
        </c:dLbls>
        <c:axId val="177840128"/>
        <c:axId val="177841664"/>
      </c:areaChart>
      <c:lineChart>
        <c:grouping val="standard"/>
        <c:varyColors val="0"/>
        <c:ser>
          <c:idx val="0"/>
          <c:order val="0"/>
          <c:tx>
            <c:strRef>
              <c:f>Sheet1!$B$1</c:f>
              <c:strCache>
                <c:ptCount val="1"/>
                <c:pt idx="0">
                  <c:v>12 ամսյա գնաճ</c:v>
                </c:pt>
              </c:strCache>
            </c:strRef>
          </c:tx>
          <c:spPr>
            <a:ln w="25400" cap="rnd">
              <a:solidFill>
                <a:srgbClr val="4472C4">
                  <a:lumMod val="75000"/>
                </a:srgbClr>
              </a:solidFill>
              <a:round/>
            </a:ln>
            <a:effectLst/>
          </c:spPr>
          <c:marker>
            <c:symbol val="circle"/>
            <c:size val="5"/>
            <c:spPr>
              <a:solidFill>
                <a:srgbClr val="4472C4">
                  <a:lumMod val="75000"/>
                </a:srgbClr>
              </a:solidFill>
              <a:ln w="15875">
                <a:noFill/>
                <a:round/>
              </a:ln>
              <a:effectLst/>
            </c:spPr>
          </c:marker>
          <c:dLbls>
            <c:dLbl>
              <c:idx val="0"/>
              <c:layout>
                <c:manualLayout>
                  <c:x val="-3.3729359645589999E-2"/>
                  <c:y val="4.33464052287580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E25-4648-937A-6C725A4746C3}"/>
                </c:ext>
              </c:extLst>
            </c:dLbl>
            <c:dLbl>
              <c:idx val="3"/>
              <c:layout>
                <c:manualLayout>
                  <c:x val="-6.8030863611928033E-2"/>
                  <c:y val="5.29015705834198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25-4648-937A-6C725A4746C3}"/>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5"/>
                <c:pt idx="0">
                  <c:v>2020</c:v>
                </c:pt>
                <c:pt idx="1">
                  <c:v>2021</c:v>
                </c:pt>
                <c:pt idx="2">
                  <c:v>2022</c:v>
                </c:pt>
                <c:pt idx="3">
                  <c:v>2023</c:v>
                </c:pt>
                <c:pt idx="4">
                  <c:v>2024</c:v>
                </c:pt>
              </c:numCache>
            </c:numRef>
          </c:cat>
          <c:val>
            <c:numRef>
              <c:f>Sheet1!$B$2:$B$11</c:f>
              <c:numCache>
                <c:formatCode>0.0</c:formatCode>
                <c:ptCount val="5"/>
                <c:pt idx="0">
                  <c:v>3.7</c:v>
                </c:pt>
                <c:pt idx="1">
                  <c:v>7.7</c:v>
                </c:pt>
                <c:pt idx="2">
                  <c:v>8.4</c:v>
                </c:pt>
                <c:pt idx="3">
                  <c:v>0.4</c:v>
                </c:pt>
                <c:pt idx="4">
                  <c:v>4.04</c:v>
                </c:pt>
              </c:numCache>
            </c:numRef>
          </c:val>
          <c:smooth val="0"/>
          <c:extLst>
            <c:ext xmlns:c16="http://schemas.microsoft.com/office/drawing/2014/chart" uri="{C3380CC4-5D6E-409C-BE32-E72D297353CC}">
              <c16:uniqueId val="{00000004-DE25-4648-937A-6C725A4746C3}"/>
            </c:ext>
          </c:extLst>
        </c:ser>
        <c:ser>
          <c:idx val="1"/>
          <c:order val="1"/>
          <c:tx>
            <c:strRef>
              <c:f>Sheet1!$C$1</c:f>
              <c:strCache>
                <c:ptCount val="1"/>
                <c:pt idx="0">
                  <c:v>Միջին գնաճ</c:v>
                </c:pt>
              </c:strCache>
            </c:strRef>
          </c:tx>
          <c:spPr>
            <a:ln w="25400" cap="rnd">
              <a:solidFill>
                <a:srgbClr val="ED7D31">
                  <a:lumMod val="60000"/>
                  <a:lumOff val="40000"/>
                </a:srgbClr>
              </a:solidFill>
              <a:round/>
            </a:ln>
            <a:effectLst/>
          </c:spPr>
          <c:marker>
            <c:symbol val="square"/>
            <c:size val="5"/>
            <c:spPr>
              <a:solidFill>
                <a:srgbClr val="ED7D31">
                  <a:lumMod val="40000"/>
                  <a:lumOff val="60000"/>
                </a:srgbClr>
              </a:solidFill>
              <a:ln w="15875">
                <a:noFill/>
                <a:round/>
              </a:ln>
              <a:effectLst/>
            </c:spPr>
          </c:marker>
          <c:dLbls>
            <c:dLbl>
              <c:idx val="0"/>
              <c:layout>
                <c:manualLayout>
                  <c:x val="6.6889045209406464E-3"/>
                  <c:y val="4.555753111506143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E25-4648-937A-6C725A4746C3}"/>
                </c:ext>
              </c:extLst>
            </c:dLbl>
            <c:dLbl>
              <c:idx val="3"/>
              <c:layout>
                <c:manualLayout>
                  <c:x val="-2.1133525456292025E-2"/>
                  <c:y val="-5.71612903225806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E25-4648-937A-6C725A4746C3}"/>
                </c:ext>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5"/>
                <c:pt idx="0">
                  <c:v>2020</c:v>
                </c:pt>
                <c:pt idx="1">
                  <c:v>2021</c:v>
                </c:pt>
                <c:pt idx="2">
                  <c:v>2022</c:v>
                </c:pt>
                <c:pt idx="3">
                  <c:v>2023</c:v>
                </c:pt>
                <c:pt idx="4">
                  <c:v>2024</c:v>
                </c:pt>
              </c:numCache>
            </c:numRef>
          </c:cat>
          <c:val>
            <c:numRef>
              <c:f>Sheet1!$C$2:$C$11</c:f>
              <c:numCache>
                <c:formatCode>0.0</c:formatCode>
                <c:ptCount val="5"/>
                <c:pt idx="0">
                  <c:v>1.2</c:v>
                </c:pt>
                <c:pt idx="1">
                  <c:v>7.2</c:v>
                </c:pt>
                <c:pt idx="2">
                  <c:v>8.6999999999999993</c:v>
                </c:pt>
                <c:pt idx="3">
                  <c:v>2.2000000000000002</c:v>
                </c:pt>
                <c:pt idx="4">
                  <c:v>3.2</c:v>
                </c:pt>
              </c:numCache>
            </c:numRef>
          </c:val>
          <c:smooth val="0"/>
          <c:extLst>
            <c:ext xmlns:c16="http://schemas.microsoft.com/office/drawing/2014/chart" uri="{C3380CC4-5D6E-409C-BE32-E72D297353CC}">
              <c16:uniqueId val="{00000007-DE25-4648-937A-6C725A4746C3}"/>
            </c:ext>
          </c:extLst>
        </c:ser>
        <c:ser>
          <c:idx val="2"/>
          <c:order val="2"/>
          <c:tx>
            <c:strRef>
              <c:f>Sheet1!$D$1</c:f>
              <c:strCache>
                <c:ptCount val="1"/>
                <c:pt idx="0">
                  <c:v>Column2</c:v>
                </c:pt>
              </c:strCache>
            </c:strRef>
          </c:tx>
          <c:spPr>
            <a:ln w="22225" cap="rnd">
              <a:solidFill>
                <a:srgbClr val="C00000"/>
              </a:solidFill>
              <a:prstDash val="dash"/>
              <a:round/>
            </a:ln>
            <a:effectLst/>
          </c:spPr>
          <c:marker>
            <c:symbol val="none"/>
          </c:marker>
          <c:cat>
            <c:numRef>
              <c:f>Sheet1!$A$2:$A$11</c:f>
              <c:numCache>
                <c:formatCode>General</c:formatCode>
                <c:ptCount val="5"/>
                <c:pt idx="0">
                  <c:v>2020</c:v>
                </c:pt>
                <c:pt idx="1">
                  <c:v>2021</c:v>
                </c:pt>
                <c:pt idx="2">
                  <c:v>2022</c:v>
                </c:pt>
                <c:pt idx="3">
                  <c:v>2023</c:v>
                </c:pt>
                <c:pt idx="4">
                  <c:v>2024</c:v>
                </c:pt>
              </c:numCache>
            </c:numRef>
          </c:cat>
          <c:val>
            <c:numRef>
              <c:f>Sheet1!$D$2:$D$11</c:f>
              <c:numCache>
                <c:formatCode>General</c:formatCode>
                <c:ptCount val="5"/>
                <c:pt idx="0">
                  <c:v>4</c:v>
                </c:pt>
                <c:pt idx="1">
                  <c:v>4</c:v>
                </c:pt>
                <c:pt idx="2">
                  <c:v>4</c:v>
                </c:pt>
                <c:pt idx="3">
                  <c:v>4</c:v>
                </c:pt>
                <c:pt idx="4">
                  <c:v>4</c:v>
                </c:pt>
              </c:numCache>
            </c:numRef>
          </c:val>
          <c:smooth val="0"/>
          <c:extLst>
            <c:ext xmlns:c16="http://schemas.microsoft.com/office/drawing/2014/chart" uri="{C3380CC4-5D6E-409C-BE32-E72D297353CC}">
              <c16:uniqueId val="{00000008-DE25-4648-937A-6C725A4746C3}"/>
            </c:ext>
          </c:extLst>
        </c:ser>
        <c:ser>
          <c:idx val="3"/>
          <c:order val="3"/>
          <c:tx>
            <c:strRef>
              <c:f>Sheet1!$E$1</c:f>
              <c:strCache>
                <c:ptCount val="1"/>
                <c:pt idx="0">
                  <c:v>Column3</c:v>
                </c:pt>
              </c:strCache>
            </c:strRef>
          </c:tx>
          <c:spPr>
            <a:ln w="15875" cap="rnd">
              <a:solidFill>
                <a:srgbClr val="C0504D"/>
              </a:solidFill>
              <a:prstDash val="sysDash"/>
              <a:round/>
            </a:ln>
            <a:effectLst/>
          </c:spPr>
          <c:marker>
            <c:symbol val="none"/>
          </c:marker>
          <c:cat>
            <c:numRef>
              <c:f>Sheet1!$A$2:$A$11</c:f>
              <c:numCache>
                <c:formatCode>General</c:formatCode>
                <c:ptCount val="5"/>
                <c:pt idx="0">
                  <c:v>2020</c:v>
                </c:pt>
                <c:pt idx="1">
                  <c:v>2021</c:v>
                </c:pt>
                <c:pt idx="2">
                  <c:v>2022</c:v>
                </c:pt>
                <c:pt idx="3">
                  <c:v>2023</c:v>
                </c:pt>
                <c:pt idx="4">
                  <c:v>2024</c:v>
                </c:pt>
              </c:numCache>
            </c:numRef>
          </c:cat>
          <c:val>
            <c:numRef>
              <c:f>Sheet1!$E$2:$E$11</c:f>
              <c:numCache>
                <c:formatCode>General</c:formatCode>
                <c:ptCount val="5"/>
                <c:pt idx="0">
                  <c:v>5.5</c:v>
                </c:pt>
                <c:pt idx="1">
                  <c:v>5.5</c:v>
                </c:pt>
                <c:pt idx="2">
                  <c:v>5.5</c:v>
                </c:pt>
                <c:pt idx="3">
                  <c:v>5.5</c:v>
                </c:pt>
                <c:pt idx="4">
                  <c:v>5.5</c:v>
                </c:pt>
              </c:numCache>
            </c:numRef>
          </c:val>
          <c:smooth val="0"/>
          <c:extLst>
            <c:ext xmlns:c16="http://schemas.microsoft.com/office/drawing/2014/chart" uri="{C3380CC4-5D6E-409C-BE32-E72D297353CC}">
              <c16:uniqueId val="{00000009-DE25-4648-937A-6C725A4746C3}"/>
            </c:ext>
          </c:extLst>
        </c:ser>
        <c:ser>
          <c:idx val="4"/>
          <c:order val="4"/>
          <c:tx>
            <c:strRef>
              <c:f>Sheet1!$F$1</c:f>
              <c:strCache>
                <c:ptCount val="1"/>
                <c:pt idx="0">
                  <c:v>Column4</c:v>
                </c:pt>
              </c:strCache>
            </c:strRef>
          </c:tx>
          <c:spPr>
            <a:ln w="15875" cap="rnd">
              <a:solidFill>
                <a:srgbClr val="C0504D"/>
              </a:solidFill>
              <a:prstDash val="sysDash"/>
              <a:round/>
            </a:ln>
            <a:effectLst/>
          </c:spPr>
          <c:marker>
            <c:symbol val="none"/>
          </c:marker>
          <c:cat>
            <c:numRef>
              <c:f>Sheet1!$A$2:$A$11</c:f>
              <c:numCache>
                <c:formatCode>General</c:formatCode>
                <c:ptCount val="5"/>
                <c:pt idx="0">
                  <c:v>2020</c:v>
                </c:pt>
                <c:pt idx="1">
                  <c:v>2021</c:v>
                </c:pt>
                <c:pt idx="2">
                  <c:v>2022</c:v>
                </c:pt>
                <c:pt idx="3">
                  <c:v>2023</c:v>
                </c:pt>
                <c:pt idx="4">
                  <c:v>2024</c:v>
                </c:pt>
              </c:numCache>
            </c:numRef>
          </c:cat>
          <c:val>
            <c:numRef>
              <c:f>Sheet1!$F$2:$F$11</c:f>
              <c:numCache>
                <c:formatCode>General</c:formatCode>
                <c:ptCount val="5"/>
                <c:pt idx="0">
                  <c:v>2.5</c:v>
                </c:pt>
                <c:pt idx="1">
                  <c:v>2.5</c:v>
                </c:pt>
                <c:pt idx="2">
                  <c:v>2.5</c:v>
                </c:pt>
                <c:pt idx="3">
                  <c:v>2.5</c:v>
                </c:pt>
                <c:pt idx="4">
                  <c:v>2.5</c:v>
                </c:pt>
              </c:numCache>
            </c:numRef>
          </c:val>
          <c:smooth val="0"/>
          <c:extLst>
            <c:ext xmlns:c16="http://schemas.microsoft.com/office/drawing/2014/chart" uri="{C3380CC4-5D6E-409C-BE32-E72D297353CC}">
              <c16:uniqueId val="{0000000A-DE25-4648-937A-6C725A4746C3}"/>
            </c:ext>
          </c:extLst>
        </c:ser>
        <c:dLbls>
          <c:showLegendKey val="0"/>
          <c:showVal val="0"/>
          <c:showCatName val="0"/>
          <c:showSerName val="0"/>
          <c:showPercent val="0"/>
          <c:showBubbleSize val="0"/>
        </c:dLbls>
        <c:marker val="1"/>
        <c:smooth val="0"/>
        <c:axId val="177840128"/>
        <c:axId val="177841664"/>
      </c:lineChart>
      <c:catAx>
        <c:axId val="177840128"/>
        <c:scaling>
          <c:orientation val="minMax"/>
        </c:scaling>
        <c:delete val="0"/>
        <c:axPos val="b"/>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GHEA Grapalat" panose="02000506050000020003" pitchFamily="50" charset="0"/>
                <a:ea typeface="+mn-ea"/>
                <a:cs typeface="+mn-cs"/>
              </a:defRPr>
            </a:pPr>
            <a:endParaRPr lang="en-US"/>
          </a:p>
        </c:txPr>
        <c:crossAx val="177841664"/>
        <c:crosses val="autoZero"/>
        <c:auto val="1"/>
        <c:lblAlgn val="ctr"/>
        <c:lblOffset val="320"/>
        <c:noMultiLvlLbl val="0"/>
      </c:catAx>
      <c:valAx>
        <c:axId val="177841664"/>
        <c:scaling>
          <c:orientation val="minMax"/>
          <c:max val="10"/>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177840128"/>
        <c:crosses val="autoZero"/>
        <c:crossBetween val="between"/>
      </c:valAx>
      <c:spPr>
        <a:pattFill prst="ltDnDiag">
          <a:fgClr>
            <a:srgbClr val="000000">
              <a:alpha val="0"/>
            </a:srgbClr>
          </a:fgClr>
          <a:bgClr>
            <a:srgbClr val="FFFFFF"/>
          </a:bgClr>
        </a:pattFill>
        <a:ln w="25400">
          <a:noFill/>
        </a:ln>
        <a:effectLst/>
      </c:spPr>
    </c:plotArea>
    <c:legend>
      <c:legendPos val="b"/>
      <c:legendEntry>
        <c:idx val="0"/>
        <c:delete val="1"/>
      </c:legendEntry>
      <c:legendEntry>
        <c:idx val="1"/>
        <c:delete val="1"/>
      </c:legendEntry>
      <c:legendEntry>
        <c:idx val="4"/>
        <c:delete val="1"/>
      </c:legendEntry>
      <c:legendEntry>
        <c:idx val="5"/>
        <c:delete val="1"/>
      </c:legendEntry>
      <c:legendEntry>
        <c:idx val="6"/>
        <c:delete val="1"/>
      </c:legendEntry>
      <c:layout>
        <c:manualLayout>
          <c:xMode val="edge"/>
          <c:yMode val="edge"/>
          <c:x val="0.14766593934794295"/>
          <c:y val="0.89065127309247116"/>
          <c:w val="0.69595407202341786"/>
          <c:h val="7.151672170011005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areaChart>
        <c:grouping val="stacked"/>
        <c:varyColors val="0"/>
        <c:ser>
          <c:idx val="0"/>
          <c:order val="0"/>
          <c:tx>
            <c:strRef>
              <c:f>[FanChart_19.09.2023.xlsx]Sheet4!$B$3</c:f>
              <c:strCache>
                <c:ptCount val="1"/>
              </c:strCache>
            </c:strRef>
          </c:tx>
          <c:spPr>
            <a:no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[FanChart_19.09.2023.xlsx]Sheet4!$B$4:$B$103</c:f>
              <c:numCache>
                <c:formatCode>0.000</c:formatCode>
                <c:ptCount val="12"/>
                <c:pt idx="0">
                  <c:v>7.6716848834811344</c:v>
                </c:pt>
                <c:pt idx="1">
                  <c:v>-7.1825320819766461</c:v>
                </c:pt>
                <c:pt idx="2">
                  <c:v>5.7985967808501897</c:v>
                </c:pt>
                <c:pt idx="3">
                  <c:v>12.619465574409986</c:v>
                </c:pt>
                <c:pt idx="4">
                  <c:v>12.099999999999994</c:v>
                </c:pt>
                <c:pt idx="5">
                  <c:v>10.498915401301517</c:v>
                </c:pt>
                <c:pt idx="6">
                  <c:v>5.8502468377621346</c:v>
                </c:pt>
                <c:pt idx="7">
                  <c:v>3.7213337225310594</c:v>
                </c:pt>
                <c:pt idx="8">
                  <c:v>0.90742516383553706</c:v>
                </c:pt>
                <c:pt idx="9">
                  <c:v>0.67024938543861179</c:v>
                </c:pt>
                <c:pt idx="10">
                  <c:v>0.51634562957379604</c:v>
                </c:pt>
                <c:pt idx="11">
                  <c:v>0.41470407051457059</c:v>
                </c:pt>
              </c:numCache>
            </c:numRef>
          </c:val>
          <c:extLst>
            <c:ext xmlns:c16="http://schemas.microsoft.com/office/drawing/2014/chart" uri="{C3380CC4-5D6E-409C-BE32-E72D297353CC}">
              <c16:uniqueId val="{00000000-A99C-4116-A3E5-FE00C0081B43}"/>
            </c:ext>
          </c:extLst>
        </c:ser>
        <c:ser>
          <c:idx val="1"/>
          <c:order val="1"/>
          <c:tx>
            <c:strRef>
              <c:f>[FanChart_19.09.2023.xlsx]Sheet4!$C$3</c:f>
              <c:strCache>
                <c:ptCount val="1"/>
              </c:strCache>
            </c:strRef>
          </c:tx>
          <c:spPr>
            <a:solidFill>
              <a:srgbClr val="FF0000">
                <a:alpha val="2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[FanChart_19.09.2023.xlsx]Sheet4!$C$4:$C$103</c:f>
              <c:numCache>
                <c:formatCode>General</c:formatCode>
                <c:ptCount val="12"/>
                <c:pt idx="6">
                  <c:v>0.62530892685953621</c:v>
                </c:pt>
                <c:pt idx="7">
                  <c:v>0.76833987465093845</c:v>
                </c:pt>
                <c:pt idx="8">
                  <c:v>1.3456790081416079</c:v>
                </c:pt>
                <c:pt idx="9">
                  <c:v>1.3980644896188146</c:v>
                </c:pt>
                <c:pt idx="10">
                  <c:v>1.4320575154101594</c:v>
                </c:pt>
                <c:pt idx="11">
                  <c:v>1.4545072868218947</c:v>
                </c:pt>
              </c:numCache>
            </c:numRef>
          </c:val>
          <c:extLst>
            <c:ext xmlns:c16="http://schemas.microsoft.com/office/drawing/2014/chart" uri="{C3380CC4-5D6E-409C-BE32-E72D297353CC}">
              <c16:uniqueId val="{00000001-A99C-4116-A3E5-FE00C0081B43}"/>
            </c:ext>
          </c:extLst>
        </c:ser>
        <c:ser>
          <c:idx val="2"/>
          <c:order val="2"/>
          <c:tx>
            <c:strRef>
              <c:f>[FanChart_19.09.2023.xlsx]Sheet4!$D$3</c:f>
              <c:strCache>
                <c:ptCount val="1"/>
              </c:strCache>
            </c:strRef>
          </c:tx>
          <c:spPr>
            <a:solidFill>
              <a:srgbClr val="FF0000">
                <a:alpha val="3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[FanChart_19.09.2023.xlsx]Sheet4!$D$4:$D$103</c:f>
              <c:numCache>
                <c:formatCode>General</c:formatCode>
                <c:ptCount val="12"/>
                <c:pt idx="6">
                  <c:v>0.42189296429133893</c:v>
                </c:pt>
                <c:pt idx="7">
                  <c:v>0.51839526572525152</c:v>
                </c:pt>
                <c:pt idx="8">
                  <c:v>0.90792323816772269</c:v>
                </c:pt>
                <c:pt idx="9">
                  <c:v>0.94326747381976306</c:v>
                </c:pt>
                <c:pt idx="10">
                  <c:v>0.96620240693893056</c:v>
                </c:pt>
                <c:pt idx="11">
                  <c:v>0.98134916112990034</c:v>
                </c:pt>
              </c:numCache>
            </c:numRef>
          </c:val>
          <c:extLst>
            <c:ext xmlns:c16="http://schemas.microsoft.com/office/drawing/2014/chart" uri="{C3380CC4-5D6E-409C-BE32-E72D297353CC}">
              <c16:uniqueId val="{00000002-A99C-4116-A3E5-FE00C0081B43}"/>
            </c:ext>
          </c:extLst>
        </c:ser>
        <c:ser>
          <c:idx val="3"/>
          <c:order val="3"/>
          <c:tx>
            <c:strRef>
              <c:f>[FanChart_19.09.2023.xlsx]Sheet4!$E$3</c:f>
              <c:strCache>
                <c:ptCount val="1"/>
              </c:strCache>
            </c:strRef>
          </c:tx>
          <c:spPr>
            <a:solidFill>
              <a:srgbClr val="FF0000">
                <a:alpha val="4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[FanChart_19.09.2023.xlsx]Sheet4!$E$4:$E$103</c:f>
              <c:numCache>
                <c:formatCode>General</c:formatCode>
                <c:ptCount val="12"/>
                <c:pt idx="6">
                  <c:v>0.33530715373962039</c:v>
                </c:pt>
                <c:pt idx="7">
                  <c:v>0.41200412373408302</c:v>
                </c:pt>
                <c:pt idx="8">
                  <c:v>0.72158860794334378</c:v>
                </c:pt>
                <c:pt idx="9">
                  <c:v>0.74967908600451372</c:v>
                </c:pt>
                <c:pt idx="10">
                  <c:v>0.76790704379545316</c:v>
                </c:pt>
                <c:pt idx="11">
                  <c:v>0.77994520386455601</c:v>
                </c:pt>
              </c:numCache>
            </c:numRef>
          </c:val>
          <c:extLst>
            <c:ext xmlns:c16="http://schemas.microsoft.com/office/drawing/2014/chart" uri="{C3380CC4-5D6E-409C-BE32-E72D297353CC}">
              <c16:uniqueId val="{00000003-A99C-4116-A3E5-FE00C0081B43}"/>
            </c:ext>
          </c:extLst>
        </c:ser>
        <c:ser>
          <c:idx val="4"/>
          <c:order val="4"/>
          <c:tx>
            <c:strRef>
              <c:f>[FanChart_19.09.2023.xlsx]Sheet4!$F$3</c:f>
              <c:strCache>
                <c:ptCount val="1"/>
              </c:strCache>
            </c:strRef>
          </c:tx>
          <c:spPr>
            <a:solidFill>
              <a:srgbClr val="FF0000">
                <a:alpha val="5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[FanChart_19.09.2023.xlsx]Sheet4!$F$4:$F$103</c:f>
              <c:numCache>
                <c:formatCode>General</c:formatCode>
                <c:ptCount val="12"/>
                <c:pt idx="6">
                  <c:v>0.28766368159350275</c:v>
                </c:pt>
                <c:pt idx="7">
                  <c:v>0.35346285262105059</c:v>
                </c:pt>
                <c:pt idx="8">
                  <c:v>0.61905877414742694</c:v>
                </c:pt>
                <c:pt idx="9">
                  <c:v>0.64315790310031762</c:v>
                </c:pt>
                <c:pt idx="10">
                  <c:v>0.65879586783680688</c:v>
                </c:pt>
                <c:pt idx="11">
                  <c:v>0.66912353727799889</c:v>
                </c:pt>
              </c:numCache>
            </c:numRef>
          </c:val>
          <c:extLst>
            <c:ext xmlns:c16="http://schemas.microsoft.com/office/drawing/2014/chart" uri="{C3380CC4-5D6E-409C-BE32-E72D297353CC}">
              <c16:uniqueId val="{00000004-A99C-4116-A3E5-FE00C0081B43}"/>
            </c:ext>
          </c:extLst>
        </c:ser>
        <c:ser>
          <c:idx val="5"/>
          <c:order val="5"/>
          <c:tx>
            <c:strRef>
              <c:f>[FanChart_19.09.2023.xlsx]Sheet4!$G$3</c:f>
              <c:strCache>
                <c:ptCount val="1"/>
              </c:strCache>
            </c:strRef>
          </c:tx>
          <c:spPr>
            <a:solidFill>
              <a:srgbClr val="FF0000">
                <a:alpha val="6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[FanChart_19.09.2023.xlsx]Sheet4!$G$4:$G$103</c:f>
              <c:numCache>
                <c:formatCode>General</c:formatCode>
                <c:ptCount val="12"/>
                <c:pt idx="6">
                  <c:v>0.25833087669080168</c:v>
                </c:pt>
                <c:pt idx="7">
                  <c:v>0.3174205658824123</c:v>
                </c:pt>
                <c:pt idx="8">
                  <c:v>0.55593391200013986</c:v>
                </c:pt>
                <c:pt idx="9">
                  <c:v>0.57757567461472714</c:v>
                </c:pt>
                <c:pt idx="10">
                  <c:v>0.59161905025971162</c:v>
                </c:pt>
                <c:pt idx="11">
                  <c:v>0.60089361660794616</c:v>
                </c:pt>
              </c:numCache>
            </c:numRef>
          </c:val>
          <c:extLst>
            <c:ext xmlns:c16="http://schemas.microsoft.com/office/drawing/2014/chart" uri="{C3380CC4-5D6E-409C-BE32-E72D297353CC}">
              <c16:uniqueId val="{00000005-A99C-4116-A3E5-FE00C0081B43}"/>
            </c:ext>
          </c:extLst>
        </c:ser>
        <c:ser>
          <c:idx val="6"/>
          <c:order val="6"/>
          <c:tx>
            <c:strRef>
              <c:f>[FanChart_19.09.2023.xlsx]Sheet4!$H$3</c:f>
              <c:strCache>
                <c:ptCount val="1"/>
              </c:strCache>
            </c:strRef>
          </c:tx>
          <c:spPr>
            <a:solidFill>
              <a:srgbClr val="FF0000">
                <a:alpha val="7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[FanChart_19.09.2023.xlsx]Sheet4!$H$4:$H$103</c:f>
              <c:numCache>
                <c:formatCode>General</c:formatCode>
                <c:ptCount val="12"/>
                <c:pt idx="6">
                  <c:v>0.23938205625077824</c:v>
                </c:pt>
                <c:pt idx="7">
                  <c:v>0.29413745941087743</c:v>
                </c:pt>
                <c:pt idx="8">
                  <c:v>0.5151556201832479</c:v>
                </c:pt>
                <c:pt idx="9">
                  <c:v>0.535209938513038</c:v>
                </c:pt>
                <c:pt idx="10">
                  <c:v>0.54822321892946402</c:v>
                </c:pt>
                <c:pt idx="11">
                  <c:v>0.55681748683779464</c:v>
                </c:pt>
              </c:numCache>
            </c:numRef>
          </c:val>
          <c:extLst>
            <c:ext xmlns:c16="http://schemas.microsoft.com/office/drawing/2014/chart" uri="{C3380CC4-5D6E-409C-BE32-E72D297353CC}">
              <c16:uniqueId val="{00000006-A99C-4116-A3E5-FE00C0081B43}"/>
            </c:ext>
          </c:extLst>
        </c:ser>
        <c:ser>
          <c:idx val="7"/>
          <c:order val="7"/>
          <c:tx>
            <c:strRef>
              <c:f>[FanChart_19.09.2023.xlsx]Sheet4!$I$3</c:f>
              <c:strCache>
                <c:ptCount val="1"/>
              </c:strCache>
            </c:strRef>
          </c:tx>
          <c:spPr>
            <a:solidFill>
              <a:srgbClr val="FF0000">
                <a:alpha val="8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[FanChart_19.09.2023.xlsx]Sheet4!$I$4:$I$103</c:f>
              <c:numCache>
                <c:formatCode>General</c:formatCode>
                <c:ptCount val="12"/>
                <c:pt idx="6">
                  <c:v>0.22715016215966877</c:v>
                </c:pt>
                <c:pt idx="7">
                  <c:v>0.27910768521605522</c:v>
                </c:pt>
                <c:pt idx="8">
                  <c:v>0.48883230637596853</c:v>
                </c:pt>
                <c:pt idx="9">
                  <c:v>0.50786189335487464</c:v>
                </c:pt>
                <c:pt idx="10">
                  <c:v>0.52021022389859706</c:v>
                </c:pt>
                <c:pt idx="11">
                  <c:v>0.52836534370831068</c:v>
                </c:pt>
              </c:numCache>
            </c:numRef>
          </c:val>
          <c:extLst>
            <c:ext xmlns:c16="http://schemas.microsoft.com/office/drawing/2014/chart" uri="{C3380CC4-5D6E-409C-BE32-E72D297353CC}">
              <c16:uniqueId val="{00000007-A99C-4116-A3E5-FE00C0081B43}"/>
            </c:ext>
          </c:extLst>
        </c:ser>
        <c:ser>
          <c:idx val="8"/>
          <c:order val="8"/>
          <c:tx>
            <c:strRef>
              <c:f>[FanChart_19.09.2023.xlsx]Sheet4!$J$3</c:f>
              <c:strCache>
                <c:ptCount val="1"/>
              </c:strCache>
            </c:strRef>
          </c:tx>
          <c:spPr>
            <a:solidFill>
              <a:srgbClr val="FF0000">
                <a:alpha val="9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[FanChart_19.09.2023.xlsx]Sheet4!$J$4:$J$103</c:f>
              <c:numCache>
                <c:formatCode>General</c:formatCode>
                <c:ptCount val="12"/>
                <c:pt idx="6">
                  <c:v>0.21977041067688852</c:v>
                </c:pt>
                <c:pt idx="7">
                  <c:v>0.27003991553345763</c:v>
                </c:pt>
                <c:pt idx="8">
                  <c:v>0.47295091362894048</c:v>
                </c:pt>
                <c:pt idx="9">
                  <c:v>0.49136225925864796</c:v>
                </c:pt>
                <c:pt idx="10">
                  <c:v>0.50330941196576351</c:v>
                </c:pt>
                <c:pt idx="11">
                  <c:v>0.51119958476009497</c:v>
                </c:pt>
              </c:numCache>
            </c:numRef>
          </c:val>
          <c:extLst>
            <c:ext xmlns:c16="http://schemas.microsoft.com/office/drawing/2014/chart" uri="{C3380CC4-5D6E-409C-BE32-E72D297353CC}">
              <c16:uniqueId val="{00000008-A99C-4116-A3E5-FE00C0081B43}"/>
            </c:ext>
          </c:extLst>
        </c:ser>
        <c:ser>
          <c:idx val="9"/>
          <c:order val="9"/>
          <c:tx>
            <c:strRef>
              <c:f>[FanChart_19.09.2023.xlsx]Sheet4!$K$3</c:f>
              <c:strCache>
                <c:ptCount val="1"/>
              </c:strCache>
            </c:strRef>
          </c:tx>
          <c:spPr>
            <a:solidFill>
              <a:srgbClr val="FF0000"/>
            </a:solidFill>
            <a:ln>
              <a:solidFill>
                <a:srgbClr val="FF0000"/>
              </a:solidFill>
              <a:prstDash val="solid"/>
            </a:ln>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[FanChart_19.09.2023.xlsx]Sheet4!$K$4:$K$103</c:f>
              <c:numCache>
                <c:formatCode>General</c:formatCode>
                <c:ptCount val="12"/>
                <c:pt idx="6">
                  <c:v>0.40107343918594474</c:v>
                </c:pt>
                <c:pt idx="7">
                  <c:v>0.51576775513674278</c:v>
                </c:pt>
                <c:pt idx="8">
                  <c:v>0.6946651973607727</c:v>
                </c:pt>
                <c:pt idx="9">
                  <c:v>0.73090407876202601</c:v>
                </c:pt>
                <c:pt idx="10">
                  <c:v>0.75441954899127861</c:v>
                </c:pt>
                <c:pt idx="11">
                  <c:v>0.7699497031625091</c:v>
                </c:pt>
              </c:numCache>
            </c:numRef>
          </c:val>
          <c:extLst>
            <c:ext xmlns:c16="http://schemas.microsoft.com/office/drawing/2014/chart" uri="{C3380CC4-5D6E-409C-BE32-E72D297353CC}">
              <c16:uniqueId val="{00000009-A99C-4116-A3E5-FE00C0081B43}"/>
            </c:ext>
          </c:extLst>
        </c:ser>
        <c:ser>
          <c:idx val="10"/>
          <c:order val="10"/>
          <c:tx>
            <c:strRef>
              <c:f>[FanChart_19.09.2023.xlsx]Sheet4!$L$3</c:f>
              <c:strCache>
                <c:ptCount val="1"/>
              </c:strCache>
            </c:strRef>
          </c:tx>
          <c:spPr>
            <a:solidFill>
              <a:srgbClr val="FF0000">
                <a:alpha val="9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[FanChart_19.09.2023.xlsx]Sheet4!$L$4:$L$103</c:f>
              <c:numCache>
                <c:formatCode>General</c:formatCode>
                <c:ptCount val="12"/>
                <c:pt idx="6">
                  <c:v>0.18776433798079672</c:v>
                </c:pt>
                <c:pt idx="7">
                  <c:v>0.25403687918528206</c:v>
                </c:pt>
                <c:pt idx="8">
                  <c:v>0.23290536840826004</c:v>
                </c:pt>
                <c:pt idx="9">
                  <c:v>0.25131671403796751</c:v>
                </c:pt>
                <c:pt idx="10">
                  <c:v>0.26326386674508306</c:v>
                </c:pt>
                <c:pt idx="11">
                  <c:v>0.27115403953941453</c:v>
                </c:pt>
              </c:numCache>
            </c:numRef>
          </c:val>
          <c:extLst>
            <c:ext xmlns:c16="http://schemas.microsoft.com/office/drawing/2014/chart" uri="{C3380CC4-5D6E-409C-BE32-E72D297353CC}">
              <c16:uniqueId val="{0000000A-A99C-4116-A3E5-FE00C0081B43}"/>
            </c:ext>
          </c:extLst>
        </c:ser>
        <c:ser>
          <c:idx val="11"/>
          <c:order val="11"/>
          <c:tx>
            <c:strRef>
              <c:f>[FanChart_19.09.2023.xlsx]Sheet4!$M$3</c:f>
              <c:strCache>
                <c:ptCount val="1"/>
              </c:strCache>
            </c:strRef>
          </c:tx>
          <c:spPr>
            <a:solidFill>
              <a:srgbClr val="FF0000">
                <a:alpha val="8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[FanChart_19.09.2023.xlsx]Sheet4!$M$4:$M$103</c:f>
              <c:numCache>
                <c:formatCode>General</c:formatCode>
                <c:ptCount val="12"/>
                <c:pt idx="6">
                  <c:v>0.1940693457721494</c:v>
                </c:pt>
                <c:pt idx="7">
                  <c:v>0.26256727702215965</c:v>
                </c:pt>
                <c:pt idx="8">
                  <c:v>0.2407261834695964</c:v>
                </c:pt>
                <c:pt idx="9">
                  <c:v>0.25975577044850073</c:v>
                </c:pt>
                <c:pt idx="10">
                  <c:v>0.27210410099222404</c:v>
                </c:pt>
                <c:pt idx="11">
                  <c:v>0.28025922080193766</c:v>
                </c:pt>
              </c:numCache>
            </c:numRef>
          </c:val>
          <c:extLst>
            <c:ext xmlns:c16="http://schemas.microsoft.com/office/drawing/2014/chart" uri="{C3380CC4-5D6E-409C-BE32-E72D297353CC}">
              <c16:uniqueId val="{0000000B-A99C-4116-A3E5-FE00C0081B43}"/>
            </c:ext>
          </c:extLst>
        </c:ser>
        <c:ser>
          <c:idx val="12"/>
          <c:order val="12"/>
          <c:tx>
            <c:strRef>
              <c:f>[FanChart_19.09.2023.xlsx]Sheet4!$N$3</c:f>
              <c:strCache>
                <c:ptCount val="1"/>
              </c:strCache>
            </c:strRef>
          </c:tx>
          <c:spPr>
            <a:solidFill>
              <a:srgbClr val="FF0000">
                <a:alpha val="7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[FanChart_19.09.2023.xlsx]Sheet4!$N$4:$N$103</c:f>
              <c:numCache>
                <c:formatCode>General</c:formatCode>
                <c:ptCount val="12"/>
                <c:pt idx="6">
                  <c:v>0.20451985860140098</c:v>
                </c:pt>
                <c:pt idx="7">
                  <c:v>0.27670636058604892</c:v>
                </c:pt>
                <c:pt idx="8">
                  <c:v>0.25368913781293223</c:v>
                </c:pt>
                <c:pt idx="9">
                  <c:v>0.27374345614272322</c:v>
                </c:pt>
                <c:pt idx="10">
                  <c:v>0.28675673655914835</c:v>
                </c:pt>
                <c:pt idx="11">
                  <c:v>0.29535100446747986</c:v>
                </c:pt>
              </c:numCache>
            </c:numRef>
          </c:val>
          <c:extLst>
            <c:ext xmlns:c16="http://schemas.microsoft.com/office/drawing/2014/chart" uri="{C3380CC4-5D6E-409C-BE32-E72D297353CC}">
              <c16:uniqueId val="{0000000C-A99C-4116-A3E5-FE00C0081B43}"/>
            </c:ext>
          </c:extLst>
        </c:ser>
        <c:ser>
          <c:idx val="13"/>
          <c:order val="13"/>
          <c:tx>
            <c:strRef>
              <c:f>[FanChart_19.09.2023.xlsx]Sheet4!$O$3</c:f>
              <c:strCache>
                <c:ptCount val="1"/>
              </c:strCache>
            </c:strRef>
          </c:tx>
          <c:spPr>
            <a:solidFill>
              <a:srgbClr val="FF0000">
                <a:alpha val="6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[FanChart_19.09.2023.xlsx]Sheet4!$O$4:$O$103</c:f>
              <c:numCache>
                <c:formatCode>General</c:formatCode>
                <c:ptCount val="12"/>
                <c:pt idx="6">
                  <c:v>0.22070908405026657</c:v>
                </c:pt>
                <c:pt idx="7">
                  <c:v>0.29860966956199064</c:v>
                </c:pt>
                <c:pt idx="8">
                  <c:v>0.27377046719614118</c:v>
                </c:pt>
                <c:pt idx="9">
                  <c:v>0.29541222981072934</c:v>
                </c:pt>
                <c:pt idx="10">
                  <c:v>0.30945560545571382</c:v>
                </c:pt>
                <c:pt idx="11">
                  <c:v>0.31873017180394747</c:v>
                </c:pt>
              </c:numCache>
            </c:numRef>
          </c:val>
          <c:extLst>
            <c:ext xmlns:c16="http://schemas.microsoft.com/office/drawing/2014/chart" uri="{C3380CC4-5D6E-409C-BE32-E72D297353CC}">
              <c16:uniqueId val="{0000000D-A99C-4116-A3E5-FE00C0081B43}"/>
            </c:ext>
          </c:extLst>
        </c:ser>
        <c:ser>
          <c:idx val="14"/>
          <c:order val="14"/>
          <c:tx>
            <c:strRef>
              <c:f>[FanChart_19.09.2023.xlsx]Sheet4!$P$3</c:f>
              <c:strCache>
                <c:ptCount val="1"/>
              </c:strCache>
            </c:strRef>
          </c:tx>
          <c:spPr>
            <a:solidFill>
              <a:srgbClr val="FF0000">
                <a:alpha val="5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[FanChart_19.09.2023.xlsx]Sheet4!$P$4:$P$103</c:f>
              <c:numCache>
                <c:formatCode>General</c:formatCode>
                <c:ptCount val="12"/>
                <c:pt idx="6">
                  <c:v>0.24577003141216025</c:v>
                </c:pt>
                <c:pt idx="7">
                  <c:v>0.33251602753020926</c:v>
                </c:pt>
                <c:pt idx="8">
                  <c:v>0.30485639778738616</c:v>
                </c:pt>
                <c:pt idx="9">
                  <c:v>0.32895552674027506</c:v>
                </c:pt>
                <c:pt idx="10">
                  <c:v>0.34459349147676654</c:v>
                </c:pt>
                <c:pt idx="11">
                  <c:v>0.354921160917959</c:v>
                </c:pt>
              </c:numCache>
            </c:numRef>
          </c:val>
          <c:extLst>
            <c:ext xmlns:c16="http://schemas.microsoft.com/office/drawing/2014/chart" uri="{C3380CC4-5D6E-409C-BE32-E72D297353CC}">
              <c16:uniqueId val="{0000000E-A99C-4116-A3E5-FE00C0081B43}"/>
            </c:ext>
          </c:extLst>
        </c:ser>
        <c:ser>
          <c:idx val="15"/>
          <c:order val="15"/>
          <c:tx>
            <c:strRef>
              <c:f>[FanChart_19.09.2023.xlsx]Sheet4!$Q$3</c:f>
              <c:strCache>
                <c:ptCount val="1"/>
              </c:strCache>
            </c:strRef>
          </c:tx>
          <c:spPr>
            <a:solidFill>
              <a:srgbClr val="FF0000">
                <a:alpha val="4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[FanChart_19.09.2023.xlsx]Sheet4!$Q$4:$Q$103</c:f>
              <c:numCache>
                <c:formatCode>General</c:formatCode>
                <c:ptCount val="12"/>
                <c:pt idx="6">
                  <c:v>0.28647498791230852</c:v>
                </c:pt>
                <c:pt idx="7">
                  <c:v>0.38758804082022991</c:v>
                </c:pt>
                <c:pt idx="8">
                  <c:v>0.35534736423852742</c:v>
                </c:pt>
                <c:pt idx="9">
                  <c:v>0.38343784229969735</c:v>
                </c:pt>
                <c:pt idx="10">
                  <c:v>0.40166580009063502</c:v>
                </c:pt>
                <c:pt idx="11">
                  <c:v>0.41370396015973832</c:v>
                </c:pt>
              </c:numCache>
            </c:numRef>
          </c:val>
          <c:extLst>
            <c:ext xmlns:c16="http://schemas.microsoft.com/office/drawing/2014/chart" uri="{C3380CC4-5D6E-409C-BE32-E72D297353CC}">
              <c16:uniqueId val="{0000000F-A99C-4116-A3E5-FE00C0081B43}"/>
            </c:ext>
          </c:extLst>
        </c:ser>
        <c:ser>
          <c:idx val="16"/>
          <c:order val="16"/>
          <c:tx>
            <c:strRef>
              <c:f>[FanChart_19.09.2023.xlsx]Sheet4!$R$3</c:f>
              <c:strCache>
                <c:ptCount val="1"/>
              </c:strCache>
            </c:strRef>
          </c:tx>
          <c:spPr>
            <a:solidFill>
              <a:srgbClr val="FF0000">
                <a:alpha val="3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[FanChart_19.09.2023.xlsx]Sheet4!$R$4:$R$103</c:f>
              <c:numCache>
                <c:formatCode>General</c:formatCode>
                <c:ptCount val="12"/>
                <c:pt idx="6">
                  <c:v>0.36045094921984244</c:v>
                </c:pt>
                <c:pt idx="7">
                  <c:v>0.48767425818925147</c:v>
                </c:pt>
                <c:pt idx="8">
                  <c:v>0.4471081251315141</c:v>
                </c:pt>
                <c:pt idx="9">
                  <c:v>0.48245236078355624</c:v>
                </c:pt>
                <c:pt idx="10">
                  <c:v>0.5053872939027233</c:v>
                </c:pt>
                <c:pt idx="11">
                  <c:v>0.52053404809369397</c:v>
                </c:pt>
              </c:numCache>
            </c:numRef>
          </c:val>
          <c:extLst>
            <c:ext xmlns:c16="http://schemas.microsoft.com/office/drawing/2014/chart" uri="{C3380CC4-5D6E-409C-BE32-E72D297353CC}">
              <c16:uniqueId val="{00000010-A99C-4116-A3E5-FE00C0081B43}"/>
            </c:ext>
          </c:extLst>
        </c:ser>
        <c:ser>
          <c:idx val="17"/>
          <c:order val="17"/>
          <c:tx>
            <c:strRef>
              <c:f>[FanChart_19.09.2023.xlsx]Sheet4!$S$3</c:f>
              <c:strCache>
                <c:ptCount val="1"/>
              </c:strCache>
            </c:strRef>
          </c:tx>
          <c:spPr>
            <a:solidFill>
              <a:srgbClr val="FF0000">
                <a:alpha val="20000"/>
              </a:srgbClr>
            </a:solidFill>
          </c:spP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[FanChart_19.09.2023.xlsx]Sheet4!$S$4:$S$103</c:f>
              <c:numCache>
                <c:formatCode>General</c:formatCode>
                <c:ptCount val="12"/>
                <c:pt idx="6">
                  <c:v>0.53424260492411157</c:v>
                </c:pt>
                <c:pt idx="7">
                  <c:v>0.72280671368285709</c:v>
                </c:pt>
                <c:pt idx="8">
                  <c:v>0.66268159362596535</c:v>
                </c:pt>
                <c:pt idx="9">
                  <c:v>0.71506707510316936</c:v>
                </c:pt>
                <c:pt idx="10">
                  <c:v>0.74906010089451591</c:v>
                </c:pt>
                <c:pt idx="11">
                  <c:v>0.77150987230625034</c:v>
                </c:pt>
              </c:numCache>
            </c:numRef>
          </c:val>
          <c:extLst>
            <c:ext xmlns:c16="http://schemas.microsoft.com/office/drawing/2014/chart" uri="{C3380CC4-5D6E-409C-BE32-E72D297353CC}">
              <c16:uniqueId val="{00000011-A99C-4116-A3E5-FE00C0081B43}"/>
            </c:ext>
          </c:extLst>
        </c:ser>
        <c:dLbls>
          <c:showLegendKey val="0"/>
          <c:showVal val="0"/>
          <c:showCatName val="0"/>
          <c:showSerName val="0"/>
          <c:showPercent val="0"/>
          <c:showBubbleSize val="0"/>
        </c:dLbls>
        <c:axId val="648235328"/>
        <c:axId val="648236408"/>
      </c:areaChart>
      <c:lineChart>
        <c:grouping val="standard"/>
        <c:varyColors val="0"/>
        <c:ser>
          <c:idx val="18"/>
          <c:order val="18"/>
          <c:tx>
            <c:strRef>
              <c:f>[FanChart_19.09.2023.xlsx]Sheet4!$T$3</c:f>
              <c:strCache>
                <c:ptCount val="1"/>
              </c:strCache>
            </c:strRef>
          </c:tx>
          <c:marker>
            <c:symbol val="none"/>
          </c:marker>
          <c:cat>
            <c:strRef>
              <c:f>[FanChart_19.09.2023.xlsx]Sheet4!$A$4:$A$103</c:f>
              <c:strCache>
                <c:ptCount val="12"/>
                <c:pt idx="0">
                  <c:v>2019/4</c:v>
                </c:pt>
                <c:pt idx="1">
                  <c:v>2020/4</c:v>
                </c:pt>
                <c:pt idx="2">
                  <c:v>2021/4</c:v>
                </c:pt>
                <c:pt idx="3">
                  <c:v>2022/4</c:v>
                </c:pt>
                <c:pt idx="4">
                  <c:v>2023/1</c:v>
                </c:pt>
                <c:pt idx="5">
                  <c:v>2023/2</c:v>
                </c:pt>
                <c:pt idx="6">
                  <c:v>2023/3*</c:v>
                </c:pt>
                <c:pt idx="7">
                  <c:v>2023/4*</c:v>
                </c:pt>
                <c:pt idx="8">
                  <c:v>2024/1*</c:v>
                </c:pt>
                <c:pt idx="9">
                  <c:v>2024/2*</c:v>
                </c:pt>
                <c:pt idx="10">
                  <c:v>2024/3*</c:v>
                </c:pt>
                <c:pt idx="11">
                  <c:v>2024/4*</c:v>
                </c:pt>
              </c:strCache>
            </c:strRef>
          </c:cat>
          <c:val>
            <c:numRef>
              <c:f>[FanChart_19.09.2023.xlsx]Sheet4!$T$4:$T$103</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12-A99C-4116-A3E5-FE00C0081B43}"/>
            </c:ext>
          </c:extLst>
        </c:ser>
        <c:dLbls>
          <c:showLegendKey val="0"/>
          <c:showVal val="0"/>
          <c:showCatName val="0"/>
          <c:showSerName val="0"/>
          <c:showPercent val="0"/>
          <c:showBubbleSize val="0"/>
        </c:dLbls>
        <c:marker val="1"/>
        <c:smooth val="0"/>
        <c:axId val="648235328"/>
        <c:axId val="648236408"/>
      </c:lineChart>
      <c:catAx>
        <c:axId val="648235328"/>
        <c:scaling>
          <c:orientation val="minMax"/>
        </c:scaling>
        <c:delete val="0"/>
        <c:axPos val="b"/>
        <c:numFmt formatCode="General" sourceLinked="1"/>
        <c:majorTickMark val="out"/>
        <c:minorTickMark val="none"/>
        <c:tickLblPos val="nextTo"/>
        <c:crossAx val="648236408"/>
        <c:crosses val="autoZero"/>
        <c:auto val="1"/>
        <c:lblAlgn val="ctr"/>
        <c:lblOffset val="100"/>
        <c:noMultiLvlLbl val="0"/>
      </c:catAx>
      <c:valAx>
        <c:axId val="648236408"/>
        <c:scaling>
          <c:orientation val="minMax"/>
        </c:scaling>
        <c:delete val="0"/>
        <c:axPos val="l"/>
        <c:majorGridlines/>
        <c:numFmt formatCode="0.000" sourceLinked="1"/>
        <c:majorTickMark val="out"/>
        <c:minorTickMark val="none"/>
        <c:tickLblPos val="nextTo"/>
        <c:crossAx val="648235328"/>
        <c:crosses val="autoZero"/>
        <c:crossBetween val="between"/>
      </c:valAx>
    </c:plotArea>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27069285385945"/>
          <c:y val="3.2161727544222377E-2"/>
          <c:w val="0.74834764722028391"/>
          <c:h val="0.67301906007441692"/>
        </c:manualLayout>
      </c:layout>
      <c:lineChart>
        <c:grouping val="standard"/>
        <c:varyColors val="0"/>
        <c:ser>
          <c:idx val="0"/>
          <c:order val="0"/>
          <c:tx>
            <c:strRef>
              <c:f>Sheet1!$D$1</c:f>
              <c:strCache>
                <c:ptCount val="1"/>
                <c:pt idx="0">
                  <c:v>Պղինձ, դոլար/տոննա</c:v>
                </c:pt>
              </c:strCache>
            </c:strRef>
          </c:tx>
          <c:spPr>
            <a:ln w="28575" cap="rnd">
              <a:solidFill>
                <a:schemeClr val="accent5">
                  <a:lumMod val="75000"/>
                </a:schemeClr>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Sheet1!$D$2:$D$57</c:f>
              <c:numCache>
                <c:formatCode>0</c:formatCode>
                <c:ptCount val="56"/>
                <c:pt idx="0">
                  <c:v>5939.1</c:v>
                </c:pt>
                <c:pt idx="1">
                  <c:v>6300.49</c:v>
                </c:pt>
                <c:pt idx="2">
                  <c:v>6439.46</c:v>
                </c:pt>
                <c:pt idx="3">
                  <c:v>6438.36</c:v>
                </c:pt>
                <c:pt idx="4">
                  <c:v>6017.9</c:v>
                </c:pt>
                <c:pt idx="5">
                  <c:v>5882.23</c:v>
                </c:pt>
                <c:pt idx="6">
                  <c:v>5941.2</c:v>
                </c:pt>
                <c:pt idx="7">
                  <c:v>5709.44</c:v>
                </c:pt>
                <c:pt idx="8">
                  <c:v>5759.25</c:v>
                </c:pt>
                <c:pt idx="9">
                  <c:v>5757.3</c:v>
                </c:pt>
                <c:pt idx="10">
                  <c:v>5859.95</c:v>
                </c:pt>
                <c:pt idx="11">
                  <c:v>6077.06</c:v>
                </c:pt>
                <c:pt idx="12">
                  <c:v>6031.21</c:v>
                </c:pt>
                <c:pt idx="13">
                  <c:v>5687.75</c:v>
                </c:pt>
                <c:pt idx="14">
                  <c:v>5182.63</c:v>
                </c:pt>
                <c:pt idx="15">
                  <c:v>5057.97</c:v>
                </c:pt>
                <c:pt idx="16">
                  <c:v>5239.83</c:v>
                </c:pt>
                <c:pt idx="17">
                  <c:v>5754.6</c:v>
                </c:pt>
                <c:pt idx="18">
                  <c:v>6372.46</c:v>
                </c:pt>
                <c:pt idx="19">
                  <c:v>6498.94</c:v>
                </c:pt>
                <c:pt idx="20">
                  <c:v>6704.9</c:v>
                </c:pt>
                <c:pt idx="21">
                  <c:v>6713.81</c:v>
                </c:pt>
                <c:pt idx="22">
                  <c:v>7068.91</c:v>
                </c:pt>
                <c:pt idx="23">
                  <c:v>7772.24</c:v>
                </c:pt>
                <c:pt idx="24">
                  <c:v>7972.15</c:v>
                </c:pt>
                <c:pt idx="25">
                  <c:v>8470.94</c:v>
                </c:pt>
                <c:pt idx="26">
                  <c:v>8988.25</c:v>
                </c:pt>
                <c:pt idx="27">
                  <c:v>9324.82</c:v>
                </c:pt>
                <c:pt idx="28">
                  <c:v>10161.969999999999</c:v>
                </c:pt>
                <c:pt idx="29">
                  <c:v>9631.5</c:v>
                </c:pt>
                <c:pt idx="30">
                  <c:v>9450.82</c:v>
                </c:pt>
                <c:pt idx="31">
                  <c:v>9370.14</c:v>
                </c:pt>
                <c:pt idx="32">
                  <c:v>9324.7099999999991</c:v>
                </c:pt>
                <c:pt idx="33">
                  <c:v>9829.2199999999993</c:v>
                </c:pt>
                <c:pt idx="34">
                  <c:v>9728.9</c:v>
                </c:pt>
                <c:pt idx="35">
                  <c:v>9551.18</c:v>
                </c:pt>
                <c:pt idx="36">
                  <c:v>9782.34</c:v>
                </c:pt>
                <c:pt idx="37">
                  <c:v>9943.17</c:v>
                </c:pt>
                <c:pt idx="38">
                  <c:v>10230.89</c:v>
                </c:pt>
                <c:pt idx="39">
                  <c:v>10161.379999999999</c:v>
                </c:pt>
                <c:pt idx="40">
                  <c:v>9377.15</c:v>
                </c:pt>
                <c:pt idx="41">
                  <c:v>9024.4599999999991</c:v>
                </c:pt>
                <c:pt idx="42">
                  <c:v>7544.81</c:v>
                </c:pt>
                <c:pt idx="43">
                  <c:v>7981.84</c:v>
                </c:pt>
                <c:pt idx="44">
                  <c:v>7746.01</c:v>
                </c:pt>
                <c:pt idx="45">
                  <c:v>7651.08</c:v>
                </c:pt>
                <c:pt idx="46">
                  <c:v>8049.86</c:v>
                </c:pt>
                <c:pt idx="47">
                  <c:v>8375.4</c:v>
                </c:pt>
                <c:pt idx="48" formatCode="General">
                  <c:v>9038</c:v>
                </c:pt>
                <c:pt idx="49">
                  <c:v>8936.6</c:v>
                </c:pt>
                <c:pt idx="50">
                  <c:v>8856.2999999999993</c:v>
                </c:pt>
                <c:pt idx="51">
                  <c:v>8809.42</c:v>
                </c:pt>
                <c:pt idx="52">
                  <c:v>8217.4699999999993</c:v>
                </c:pt>
                <c:pt idx="53">
                  <c:v>8396.52</c:v>
                </c:pt>
                <c:pt idx="54">
                  <c:v>8476.68</c:v>
                </c:pt>
                <c:pt idx="55">
                  <c:v>8349.1299999999992</c:v>
                </c:pt>
              </c:numCache>
            </c:numRef>
          </c:val>
          <c:smooth val="0"/>
          <c:extLst>
            <c:ext xmlns:c16="http://schemas.microsoft.com/office/drawing/2014/chart" uri="{C3380CC4-5D6E-409C-BE32-E72D297353CC}">
              <c16:uniqueId val="{00000000-0EF7-4046-8665-89991D51616F}"/>
            </c:ext>
          </c:extLst>
        </c:ser>
        <c:dLbls>
          <c:showLegendKey val="0"/>
          <c:showVal val="0"/>
          <c:showCatName val="0"/>
          <c:showSerName val="0"/>
          <c:showPercent val="0"/>
          <c:showBubbleSize val="0"/>
        </c:dLbls>
        <c:marker val="1"/>
        <c:smooth val="0"/>
        <c:axId val="-673907216"/>
        <c:axId val="-673913744"/>
      </c:lineChart>
      <c:lineChart>
        <c:grouping val="standard"/>
        <c:varyColors val="0"/>
        <c:ser>
          <c:idx val="1"/>
          <c:order val="1"/>
          <c:tx>
            <c:strRef>
              <c:f>Sheet1!$E$1</c:f>
              <c:strCache>
                <c:ptCount val="1"/>
                <c:pt idx="0">
                  <c:v>Մոլիբդեն, հազար դոլար/տոննա, աջ առանցք</c:v>
                </c:pt>
              </c:strCache>
            </c:strRef>
          </c:tx>
          <c:spPr>
            <a:ln w="28575" cap="rnd">
              <a:solidFill>
                <a:schemeClr val="accent2">
                  <a:lumMod val="60000"/>
                  <a:lumOff val="40000"/>
                </a:schemeClr>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Sheet1!$E$2:$E$57</c:f>
              <c:numCache>
                <c:formatCode>0</c:formatCode>
                <c:ptCount val="56"/>
                <c:pt idx="0">
                  <c:v>27.59</c:v>
                </c:pt>
                <c:pt idx="1">
                  <c:v>27.349</c:v>
                </c:pt>
                <c:pt idx="2">
                  <c:v>29.277000000000001</c:v>
                </c:pt>
                <c:pt idx="3">
                  <c:v>29.518000000000001</c:v>
                </c:pt>
                <c:pt idx="4">
                  <c:v>28.553999999999998</c:v>
                </c:pt>
                <c:pt idx="5">
                  <c:v>28.553999999999998</c:v>
                </c:pt>
                <c:pt idx="6">
                  <c:v>27.59</c:v>
                </c:pt>
                <c:pt idx="7">
                  <c:v>27.831</c:v>
                </c:pt>
                <c:pt idx="8">
                  <c:v>28.071999999999999</c:v>
                </c:pt>
                <c:pt idx="9">
                  <c:v>27.349</c:v>
                </c:pt>
                <c:pt idx="10">
                  <c:v>20.843</c:v>
                </c:pt>
                <c:pt idx="11">
                  <c:v>22.289000000000001</c:v>
                </c:pt>
                <c:pt idx="12">
                  <c:v>24.457999999999998</c:v>
                </c:pt>
                <c:pt idx="13">
                  <c:v>26.145</c:v>
                </c:pt>
                <c:pt idx="14">
                  <c:v>26.145</c:v>
                </c:pt>
                <c:pt idx="15">
                  <c:v>21.324999999999999</c:v>
                </c:pt>
                <c:pt idx="16">
                  <c:v>20.602</c:v>
                </c:pt>
                <c:pt idx="17">
                  <c:v>19.398</c:v>
                </c:pt>
                <c:pt idx="18">
                  <c:v>19.638999999999999</c:v>
                </c:pt>
                <c:pt idx="19">
                  <c:v>18.916</c:v>
                </c:pt>
                <c:pt idx="20">
                  <c:v>21.324999999999999</c:v>
                </c:pt>
                <c:pt idx="21">
                  <c:v>22.289000000000001</c:v>
                </c:pt>
                <c:pt idx="22">
                  <c:v>23.734999999999999</c:v>
                </c:pt>
                <c:pt idx="23">
                  <c:v>23.494</c:v>
                </c:pt>
                <c:pt idx="24">
                  <c:v>22.438650000000003</c:v>
                </c:pt>
                <c:pt idx="25">
                  <c:v>25.669520000000002</c:v>
                </c:pt>
                <c:pt idx="26">
                  <c:v>26.593499999999999</c:v>
                </c:pt>
                <c:pt idx="27">
                  <c:v>24.53304</c:v>
                </c:pt>
                <c:pt idx="28">
                  <c:v>28.057130000000001</c:v>
                </c:pt>
                <c:pt idx="29">
                  <c:v>38.750300000000003</c:v>
                </c:pt>
                <c:pt idx="30">
                  <c:v>40.744430000000001</c:v>
                </c:pt>
                <c:pt idx="31">
                  <c:v>41.846890000000002</c:v>
                </c:pt>
                <c:pt idx="32">
                  <c:v>43.57837</c:v>
                </c:pt>
                <c:pt idx="33">
                  <c:v>41.836390000000002</c:v>
                </c:pt>
                <c:pt idx="34">
                  <c:v>41.931919999999998</c:v>
                </c:pt>
                <c:pt idx="35">
                  <c:v>44.75</c:v>
                </c:pt>
                <c:pt idx="36">
                  <c:v>44.75</c:v>
                </c:pt>
                <c:pt idx="37">
                  <c:v>46.499724999999998</c:v>
                </c:pt>
                <c:pt idx="38">
                  <c:v>48.317864247499998</c:v>
                </c:pt>
                <c:pt idx="39">
                  <c:v>46.539000000000001</c:v>
                </c:pt>
                <c:pt idx="40">
                  <c:v>45.773857142857146</c:v>
                </c:pt>
                <c:pt idx="41">
                  <c:v>43.546999999999997</c:v>
                </c:pt>
                <c:pt idx="42">
                  <c:v>43.432000000000002</c:v>
                </c:pt>
                <c:pt idx="43">
                  <c:v>38.496499999999997</c:v>
                </c:pt>
                <c:pt idx="44">
                  <c:v>40.328000000000003</c:v>
                </c:pt>
                <c:pt idx="45">
                  <c:v>45.180999999999997</c:v>
                </c:pt>
                <c:pt idx="46">
                  <c:v>46.866999999999997</c:v>
                </c:pt>
                <c:pt idx="47">
                  <c:v>46.627000000000002</c:v>
                </c:pt>
                <c:pt idx="48">
                  <c:v>73.566000000000003</c:v>
                </c:pt>
                <c:pt idx="49">
                  <c:v>96.120999999999995</c:v>
                </c:pt>
                <c:pt idx="50">
                  <c:v>74.144999999999996</c:v>
                </c:pt>
                <c:pt idx="51">
                  <c:v>52.481999999999999</c:v>
                </c:pt>
                <c:pt idx="52">
                  <c:v>52.091000000000001</c:v>
                </c:pt>
                <c:pt idx="53">
                  <c:v>53.149000000000001</c:v>
                </c:pt>
                <c:pt idx="54">
                  <c:v>54.072000000000003</c:v>
                </c:pt>
                <c:pt idx="55">
                  <c:v>59.2</c:v>
                </c:pt>
              </c:numCache>
            </c:numRef>
          </c:val>
          <c:smooth val="0"/>
          <c:extLst>
            <c:ext xmlns:c16="http://schemas.microsoft.com/office/drawing/2014/chart" uri="{C3380CC4-5D6E-409C-BE32-E72D297353CC}">
              <c16:uniqueId val="{00000001-0EF7-4046-8665-89991D51616F}"/>
            </c:ext>
          </c:extLst>
        </c:ser>
        <c:ser>
          <c:idx val="2"/>
          <c:order val="2"/>
          <c:tx>
            <c:strRef>
              <c:f>Sheet1!$C$1</c:f>
              <c:strCache>
                <c:ptCount val="1"/>
                <c:pt idx="0">
                  <c:v>Նավթ, դոլար/բարել, աջ առանցք</c:v>
                </c:pt>
              </c:strCache>
            </c:strRef>
          </c:tx>
          <c:spPr>
            <a:ln w="28575" cap="rnd">
              <a:solidFill>
                <a:schemeClr val="accent3"/>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Sheet1!$C$2:$C$57</c:f>
              <c:numCache>
                <c:formatCode>0</c:formatCode>
                <c:ptCount val="56"/>
                <c:pt idx="0">
                  <c:v>59.27</c:v>
                </c:pt>
                <c:pt idx="1">
                  <c:v>64.13</c:v>
                </c:pt>
                <c:pt idx="2">
                  <c:v>66.41</c:v>
                </c:pt>
                <c:pt idx="3">
                  <c:v>71.2</c:v>
                </c:pt>
                <c:pt idx="4">
                  <c:v>70.53</c:v>
                </c:pt>
                <c:pt idx="5">
                  <c:v>63.3</c:v>
                </c:pt>
                <c:pt idx="6">
                  <c:v>64</c:v>
                </c:pt>
                <c:pt idx="7">
                  <c:v>59.25</c:v>
                </c:pt>
                <c:pt idx="8">
                  <c:v>62.33</c:v>
                </c:pt>
                <c:pt idx="9">
                  <c:v>59.37</c:v>
                </c:pt>
                <c:pt idx="10">
                  <c:v>62.74</c:v>
                </c:pt>
                <c:pt idx="11">
                  <c:v>65.849999999999994</c:v>
                </c:pt>
                <c:pt idx="12">
                  <c:v>63.6</c:v>
                </c:pt>
                <c:pt idx="13">
                  <c:v>55</c:v>
                </c:pt>
                <c:pt idx="14">
                  <c:v>32.979999999999997</c:v>
                </c:pt>
                <c:pt idx="15">
                  <c:v>23.34</c:v>
                </c:pt>
                <c:pt idx="16">
                  <c:v>31.02</c:v>
                </c:pt>
                <c:pt idx="17">
                  <c:v>39.93</c:v>
                </c:pt>
                <c:pt idx="18">
                  <c:v>42.81</c:v>
                </c:pt>
                <c:pt idx="19">
                  <c:v>44.26</c:v>
                </c:pt>
                <c:pt idx="20">
                  <c:v>41.09</c:v>
                </c:pt>
                <c:pt idx="21">
                  <c:v>40.47</c:v>
                </c:pt>
                <c:pt idx="22">
                  <c:v>43.23</c:v>
                </c:pt>
                <c:pt idx="23">
                  <c:v>49.87</c:v>
                </c:pt>
                <c:pt idx="24">
                  <c:v>54.55</c:v>
                </c:pt>
                <c:pt idx="25">
                  <c:v>61.96</c:v>
                </c:pt>
                <c:pt idx="26">
                  <c:v>65.19</c:v>
                </c:pt>
                <c:pt idx="27">
                  <c:v>64.77</c:v>
                </c:pt>
                <c:pt idx="28">
                  <c:v>68.040000000000006</c:v>
                </c:pt>
                <c:pt idx="29">
                  <c:v>73.069999999999993</c:v>
                </c:pt>
                <c:pt idx="30">
                  <c:v>74.39</c:v>
                </c:pt>
                <c:pt idx="31">
                  <c:v>70.02</c:v>
                </c:pt>
                <c:pt idx="32">
                  <c:v>74.599999999999994</c:v>
                </c:pt>
                <c:pt idx="33">
                  <c:v>83.65</c:v>
                </c:pt>
                <c:pt idx="34">
                  <c:v>80.77</c:v>
                </c:pt>
                <c:pt idx="35">
                  <c:v>74.31</c:v>
                </c:pt>
                <c:pt idx="36">
                  <c:v>85.53</c:v>
                </c:pt>
                <c:pt idx="37">
                  <c:v>95.76</c:v>
                </c:pt>
                <c:pt idx="38">
                  <c:v>115.59</c:v>
                </c:pt>
                <c:pt idx="39">
                  <c:v>105.78</c:v>
                </c:pt>
                <c:pt idx="40">
                  <c:v>112.37</c:v>
                </c:pt>
                <c:pt idx="41">
                  <c:v>120.08</c:v>
                </c:pt>
                <c:pt idx="42">
                  <c:v>108.92</c:v>
                </c:pt>
                <c:pt idx="43">
                  <c:v>98.6</c:v>
                </c:pt>
                <c:pt idx="44">
                  <c:v>90.16</c:v>
                </c:pt>
                <c:pt idx="45">
                  <c:v>93.13</c:v>
                </c:pt>
                <c:pt idx="46">
                  <c:v>91.07</c:v>
                </c:pt>
                <c:pt idx="47">
                  <c:v>80.900000000000006</c:v>
                </c:pt>
                <c:pt idx="48">
                  <c:v>83.1</c:v>
                </c:pt>
                <c:pt idx="49">
                  <c:v>82.7</c:v>
                </c:pt>
                <c:pt idx="50">
                  <c:v>78.5</c:v>
                </c:pt>
                <c:pt idx="51">
                  <c:v>84.11</c:v>
                </c:pt>
                <c:pt idx="52">
                  <c:v>75.7</c:v>
                </c:pt>
                <c:pt idx="53">
                  <c:v>74.89</c:v>
                </c:pt>
                <c:pt idx="54">
                  <c:v>80.099999999999994</c:v>
                </c:pt>
                <c:pt idx="55">
                  <c:v>86.162999999999997</c:v>
                </c:pt>
              </c:numCache>
            </c:numRef>
          </c:val>
          <c:smooth val="0"/>
          <c:extLst>
            <c:ext xmlns:c16="http://schemas.microsoft.com/office/drawing/2014/chart" uri="{C3380CC4-5D6E-409C-BE32-E72D297353CC}">
              <c16:uniqueId val="{00000002-0EF7-4046-8665-89991D51616F}"/>
            </c:ext>
          </c:extLst>
        </c:ser>
        <c:dLbls>
          <c:showLegendKey val="0"/>
          <c:showVal val="0"/>
          <c:showCatName val="0"/>
          <c:showSerName val="0"/>
          <c:showPercent val="0"/>
          <c:showBubbleSize val="0"/>
        </c:dLbls>
        <c:marker val="1"/>
        <c:smooth val="0"/>
        <c:axId val="-673912112"/>
        <c:axId val="-673913200"/>
      </c:lineChart>
      <c:catAx>
        <c:axId val="-67390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73913744"/>
        <c:crosses val="autoZero"/>
        <c:auto val="1"/>
        <c:lblAlgn val="ctr"/>
        <c:lblOffset val="0"/>
        <c:noMultiLvlLbl val="0"/>
      </c:catAx>
      <c:valAx>
        <c:axId val="-673913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73907216"/>
        <c:crosses val="autoZero"/>
        <c:crossBetween val="between"/>
      </c:valAx>
      <c:valAx>
        <c:axId val="-67391320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73912112"/>
        <c:crosses val="max"/>
        <c:crossBetween val="between"/>
      </c:valAx>
      <c:catAx>
        <c:axId val="-673912112"/>
        <c:scaling>
          <c:orientation val="minMax"/>
        </c:scaling>
        <c:delete val="1"/>
        <c:axPos val="b"/>
        <c:numFmt formatCode="General" sourceLinked="1"/>
        <c:majorTickMark val="out"/>
        <c:minorTickMark val="none"/>
        <c:tickLblPos val="nextTo"/>
        <c:crossAx val="-673913200"/>
        <c:crosses val="autoZero"/>
        <c:auto val="1"/>
        <c:lblAlgn val="ctr"/>
        <c:lblOffset val="100"/>
        <c:noMultiLvlLbl val="0"/>
      </c:catAx>
      <c:spPr>
        <a:noFill/>
        <a:ln>
          <a:noFill/>
        </a:ln>
        <a:effectLst/>
      </c:spPr>
    </c:plotArea>
    <c:legend>
      <c:legendPos val="b"/>
      <c:layout>
        <c:manualLayout>
          <c:xMode val="edge"/>
          <c:yMode val="edge"/>
          <c:x val="1.7859894770608526E-2"/>
          <c:y val="0.83454328718903248"/>
          <c:w val="0.9768796277617755"/>
          <c:h val="0.15911119311326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69790116441631E-2"/>
          <c:y val="9.0829931972789116E-2"/>
          <c:w val="0.89217968048592944"/>
          <c:h val="0.61646182448347797"/>
        </c:manualLayout>
      </c:layout>
      <c:barChart>
        <c:barDir val="col"/>
        <c:grouping val="clustered"/>
        <c:varyColors val="0"/>
        <c:ser>
          <c:idx val="0"/>
          <c:order val="0"/>
          <c:tx>
            <c:strRef>
              <c:f>Sheet1!$C$1</c:f>
              <c:strCache>
                <c:ptCount val="1"/>
                <c:pt idx="0">
                  <c:v>հարկային եկամուտներ, մլրդ դրամ</c:v>
                </c:pt>
              </c:strCache>
            </c:strRef>
          </c:tx>
          <c:spPr>
            <a:solidFill>
              <a:srgbClr val="5B9BD5">
                <a:lumMod val="75000"/>
              </a:srgbClr>
            </a:solidFill>
          </c:spPr>
          <c:invertIfNegative val="0"/>
          <c:cat>
            <c:multiLvlStrRef>
              <c:f>Sheet1!$A$2:$B$21</c:f>
              <c:multiLvlStrCache>
                <c:ptCount val="20"/>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lvl>
                <c:lvl>
                  <c:pt idx="0">
                    <c:v>2022</c:v>
                  </c:pt>
                  <c:pt idx="12">
                    <c:v>2023</c:v>
                  </c:pt>
                </c:lvl>
              </c:multiLvlStrCache>
            </c:multiLvlStrRef>
          </c:cat>
          <c:val>
            <c:numRef>
              <c:f>Sheet1!$C$2:$C$21</c:f>
              <c:numCache>
                <c:formatCode>0.0</c:formatCode>
                <c:ptCount val="20"/>
                <c:pt idx="0">
                  <c:v>144.16259246999996</c:v>
                </c:pt>
                <c:pt idx="1">
                  <c:v>254.69886229999994</c:v>
                </c:pt>
                <c:pt idx="2">
                  <c:v>400.55501477999991</c:v>
                </c:pt>
                <c:pt idx="3">
                  <c:v>631.81745195999997</c:v>
                </c:pt>
                <c:pt idx="4">
                  <c:v>761.82507057000009</c:v>
                </c:pt>
                <c:pt idx="5">
                  <c:v>927.89941157999999</c:v>
                </c:pt>
                <c:pt idx="6">
                  <c:v>1086.66392967</c:v>
                </c:pt>
                <c:pt idx="7">
                  <c:v>1232.1456895099998</c:v>
                </c:pt>
                <c:pt idx="8">
                  <c:v>1405.76629869</c:v>
                </c:pt>
                <c:pt idx="9">
                  <c:v>1559.1864912610001</c:v>
                </c:pt>
                <c:pt idx="10">
                  <c:v>1712.6331545299997</c:v>
                </c:pt>
                <c:pt idx="11">
                  <c:v>1925.9686770300002</c:v>
                </c:pt>
                <c:pt idx="12">
                  <c:v>166.26392567000002</c:v>
                </c:pt>
                <c:pt idx="13">
                  <c:v>287.00004775000002</c:v>
                </c:pt>
                <c:pt idx="14">
                  <c:v>461.35288835</c:v>
                </c:pt>
                <c:pt idx="15">
                  <c:v>758.10858009499998</c:v>
                </c:pt>
                <c:pt idx="16">
                  <c:v>912.22689144000003</c:v>
                </c:pt>
                <c:pt idx="17">
                  <c:v>1103.898628618</c:v>
                </c:pt>
                <c:pt idx="18">
                  <c:v>1265.0371619699999</c:v>
                </c:pt>
                <c:pt idx="19">
                  <c:v>1422.9129235099999</c:v>
                </c:pt>
              </c:numCache>
            </c:numRef>
          </c:val>
          <c:extLst>
            <c:ext xmlns:c16="http://schemas.microsoft.com/office/drawing/2014/chart" uri="{C3380CC4-5D6E-409C-BE32-E72D297353CC}">
              <c16:uniqueId val="{00000000-2B5C-4A2B-9C50-34283C48DAB0}"/>
            </c:ext>
          </c:extLst>
        </c:ser>
        <c:dLbls>
          <c:showLegendKey val="0"/>
          <c:showVal val="0"/>
          <c:showCatName val="0"/>
          <c:showSerName val="0"/>
          <c:showPercent val="0"/>
          <c:showBubbleSize val="0"/>
        </c:dLbls>
        <c:gapWidth val="150"/>
        <c:axId val="317155200"/>
        <c:axId val="317156736"/>
      </c:barChart>
      <c:lineChart>
        <c:grouping val="standard"/>
        <c:varyColors val="0"/>
        <c:ser>
          <c:idx val="2"/>
          <c:order val="1"/>
          <c:tx>
            <c:strRef>
              <c:f>Sheet1!$D$1</c:f>
              <c:strCache>
                <c:ptCount val="1"/>
                <c:pt idx="0">
                  <c:v>հարկային եկամուտների աճը, %</c:v>
                </c:pt>
              </c:strCache>
            </c:strRef>
          </c:tx>
          <c:spPr>
            <a:ln>
              <a:solidFill>
                <a:srgbClr val="ED7D31"/>
              </a:solidFill>
            </a:ln>
          </c:spPr>
          <c:marker>
            <c:symbol val="none"/>
          </c:marker>
          <c:cat>
            <c:multiLvlStrRef>
              <c:f>Sheet1!$A$2:$B$21</c:f>
              <c:multiLvlStrCache>
                <c:ptCount val="20"/>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lvl>
                <c:lvl>
                  <c:pt idx="0">
                    <c:v>2022</c:v>
                  </c:pt>
                  <c:pt idx="12">
                    <c:v>2023</c:v>
                  </c:pt>
                </c:lvl>
              </c:multiLvlStrCache>
            </c:multiLvlStrRef>
          </c:cat>
          <c:val>
            <c:numRef>
              <c:f>Sheet1!$D$2:$D$21</c:f>
              <c:numCache>
                <c:formatCode>0.0</c:formatCode>
                <c:ptCount val="20"/>
                <c:pt idx="0">
                  <c:v>10.465495021107399</c:v>
                </c:pt>
                <c:pt idx="1">
                  <c:v>20.27752807035057</c:v>
                </c:pt>
                <c:pt idx="2">
                  <c:v>20.324942076471565</c:v>
                </c:pt>
                <c:pt idx="3">
                  <c:v>23.170028686693176</c:v>
                </c:pt>
                <c:pt idx="4">
                  <c:v>23.201233589844325</c:v>
                </c:pt>
                <c:pt idx="5">
                  <c:v>23.686651790698491</c:v>
                </c:pt>
                <c:pt idx="6">
                  <c:v>24.550950594910109</c:v>
                </c:pt>
                <c:pt idx="7">
                  <c:v>25.233917168127338</c:v>
                </c:pt>
                <c:pt idx="8">
                  <c:v>23.606120407191995</c:v>
                </c:pt>
                <c:pt idx="9">
                  <c:v>21.908585472703098</c:v>
                </c:pt>
                <c:pt idx="10">
                  <c:v>21.425143497537945</c:v>
                </c:pt>
                <c:pt idx="11">
                  <c:v>21.366717393270136</c:v>
                </c:pt>
                <c:pt idx="12">
                  <c:v>15.330837786230362</c:v>
                </c:pt>
                <c:pt idx="13">
                  <c:v>12.682108258478891</c:v>
                </c:pt>
                <c:pt idx="14">
                  <c:v>15.178407790848041</c:v>
                </c:pt>
                <c:pt idx="15">
                  <c:v>19.988546967676271</c:v>
                </c:pt>
                <c:pt idx="16">
                  <c:v>19.742303933036595</c:v>
                </c:pt>
                <c:pt idx="17">
                  <c:v>18.96748880768375</c:v>
                </c:pt>
                <c:pt idx="18">
                  <c:v>16.414755972821212</c:v>
                </c:pt>
                <c:pt idx="19">
                  <c:v>15.482522531557493</c:v>
                </c:pt>
              </c:numCache>
            </c:numRef>
          </c:val>
          <c:smooth val="0"/>
          <c:extLst>
            <c:ext xmlns:c16="http://schemas.microsoft.com/office/drawing/2014/chart" uri="{C3380CC4-5D6E-409C-BE32-E72D297353CC}">
              <c16:uniqueId val="{00000001-2B5C-4A2B-9C50-34283C48DAB0}"/>
            </c:ext>
          </c:extLst>
        </c:ser>
        <c:dLbls>
          <c:showLegendKey val="0"/>
          <c:showVal val="0"/>
          <c:showCatName val="0"/>
          <c:showSerName val="0"/>
          <c:showPercent val="0"/>
          <c:showBubbleSize val="0"/>
        </c:dLbls>
        <c:marker val="1"/>
        <c:smooth val="0"/>
        <c:axId val="1863500351"/>
        <c:axId val="1863513247"/>
      </c:lineChart>
      <c:catAx>
        <c:axId val="317155200"/>
        <c:scaling>
          <c:orientation val="minMax"/>
        </c:scaling>
        <c:delete val="0"/>
        <c:axPos val="b"/>
        <c:numFmt formatCode="General" sourceLinked="0"/>
        <c:majorTickMark val="none"/>
        <c:minorTickMark val="none"/>
        <c:tickLblPos val="nextTo"/>
        <c:txPr>
          <a:bodyPr rot="0" vert="horz"/>
          <a:lstStyle/>
          <a:p>
            <a:pPr>
              <a:defRPr sz="800" b="0" i="0" u="none" strike="noStrike" baseline="0">
                <a:solidFill>
                  <a:srgbClr val="000000"/>
                </a:solidFill>
                <a:latin typeface="GHEA Grapalat"/>
                <a:ea typeface="GHEA Grapalat"/>
                <a:cs typeface="GHEA Grapalat"/>
              </a:defRPr>
            </a:pPr>
            <a:endParaRPr lang="en-US"/>
          </a:p>
        </c:txPr>
        <c:crossAx val="317156736"/>
        <c:crosses val="autoZero"/>
        <c:auto val="1"/>
        <c:lblAlgn val="ctr"/>
        <c:lblOffset val="100"/>
        <c:tickLblSkip val="1"/>
        <c:noMultiLvlLbl val="0"/>
      </c:catAx>
      <c:valAx>
        <c:axId val="317156736"/>
        <c:scaling>
          <c:orientation val="minMax"/>
        </c:scaling>
        <c:delete val="0"/>
        <c:axPos val="l"/>
        <c:numFmt formatCode="0.0" sourceLinked="1"/>
        <c:majorTickMark val="none"/>
        <c:minorTickMark val="none"/>
        <c:tickLblPos val="nextTo"/>
        <c:spPr>
          <a:ln>
            <a:noFill/>
          </a:ln>
        </c:spPr>
        <c:txPr>
          <a:bodyPr rot="0" vert="horz"/>
          <a:lstStyle/>
          <a:p>
            <a:pPr>
              <a:defRPr sz="900" b="0" i="0" u="none" strike="noStrike" baseline="0">
                <a:solidFill>
                  <a:srgbClr val="000000"/>
                </a:solidFill>
                <a:latin typeface="GHEA Grapalat"/>
                <a:ea typeface="GHEA Grapalat"/>
                <a:cs typeface="GHEA Grapalat"/>
              </a:defRPr>
            </a:pPr>
            <a:endParaRPr lang="en-US"/>
          </a:p>
        </c:txPr>
        <c:crossAx val="317155200"/>
        <c:crosses val="autoZero"/>
        <c:crossBetween val="between"/>
      </c:valAx>
      <c:valAx>
        <c:axId val="1863513247"/>
        <c:scaling>
          <c:orientation val="minMax"/>
        </c:scaling>
        <c:delete val="0"/>
        <c:axPos val="r"/>
        <c:majorGridlines>
          <c:spPr>
            <a:ln>
              <a:solidFill>
                <a:srgbClr val="A5A5A5">
                  <a:lumMod val="40000"/>
                  <a:lumOff val="60000"/>
                </a:srgbClr>
              </a:solidFill>
            </a:ln>
          </c:spPr>
        </c:majorGridlines>
        <c:numFmt formatCode="0.0" sourceLinked="1"/>
        <c:majorTickMark val="out"/>
        <c:minorTickMark val="none"/>
        <c:tickLblPos val="nextTo"/>
        <c:spPr>
          <a:ln>
            <a:noFill/>
          </a:ln>
        </c:spPr>
        <c:crossAx val="1863500351"/>
        <c:crosses val="max"/>
        <c:crossBetween val="between"/>
      </c:valAx>
      <c:catAx>
        <c:axId val="1863500351"/>
        <c:scaling>
          <c:orientation val="minMax"/>
        </c:scaling>
        <c:delete val="1"/>
        <c:axPos val="b"/>
        <c:numFmt formatCode="General" sourceLinked="1"/>
        <c:majorTickMark val="out"/>
        <c:minorTickMark val="none"/>
        <c:tickLblPos val="nextTo"/>
        <c:crossAx val="1863513247"/>
        <c:crosses val="autoZero"/>
        <c:auto val="1"/>
        <c:lblAlgn val="ctr"/>
        <c:lblOffset val="100"/>
        <c:noMultiLvlLbl val="0"/>
      </c:catAx>
      <c:spPr>
        <a:ln w="25332">
          <a:noFill/>
        </a:ln>
      </c:spPr>
    </c:plotArea>
    <c:legend>
      <c:legendPos val="r"/>
      <c:layout>
        <c:manualLayout>
          <c:xMode val="edge"/>
          <c:yMode val="edge"/>
          <c:x val="5.1009457478459344E-3"/>
          <c:y val="0.89607294663388315"/>
          <c:w val="0.95524351924587592"/>
          <c:h val="0.10392705336611685"/>
        </c:manualLayout>
      </c:layout>
      <c:overlay val="0"/>
      <c:txPr>
        <a:bodyPr/>
        <a:lstStyle/>
        <a:p>
          <a:pPr>
            <a:defRPr sz="900" b="0" i="0" u="none" strike="noStrike" baseline="0">
              <a:solidFill>
                <a:srgbClr val="000000"/>
              </a:solidFill>
              <a:latin typeface="GHEA Grapalat"/>
              <a:ea typeface="GHEA Grapalat"/>
              <a:cs typeface="GHEA Grapalat"/>
            </a:defRPr>
          </a:pPr>
          <a:endParaRPr lang="en-US"/>
        </a:p>
      </c:txPr>
    </c:legend>
    <c:plotVisOnly val="1"/>
    <c:dispBlanksAs val="gap"/>
    <c:showDLblsOverMax val="0"/>
  </c:chart>
  <c:spPr>
    <a:noFill/>
    <a:ln>
      <a:solidFill>
        <a:srgbClr val="A5A5A5">
          <a:alpha val="30000"/>
        </a:srgbClr>
      </a:solidFill>
    </a:ln>
  </c:spPr>
  <c:txPr>
    <a:bodyPr/>
    <a:lstStyle/>
    <a:p>
      <a:pPr>
        <a:defRPr sz="997" b="0" i="0" u="none" strike="noStrike" baseline="0">
          <a:solidFill>
            <a:srgbClr val="000000"/>
          </a:solidFill>
          <a:latin typeface="GHEA Grapalat"/>
          <a:ea typeface="GHEA Grapalat"/>
          <a:cs typeface="GHEA Grapalat"/>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69790116441631E-2"/>
          <c:y val="9.0829931972789116E-2"/>
          <c:w val="0.89217968048592944"/>
          <c:h val="0.57317176262058156"/>
        </c:manualLayout>
      </c:layout>
      <c:barChart>
        <c:barDir val="col"/>
        <c:grouping val="stacked"/>
        <c:varyColors val="0"/>
        <c:ser>
          <c:idx val="0"/>
          <c:order val="0"/>
          <c:tx>
            <c:strRef>
              <c:f>Sheet1!$C$1</c:f>
              <c:strCache>
                <c:ptCount val="1"/>
                <c:pt idx="0">
                  <c:v>Կապիտալ ծախսեր, %</c:v>
                </c:pt>
              </c:strCache>
            </c:strRef>
          </c:tx>
          <c:spPr>
            <a:solidFill>
              <a:srgbClr val="4472C4">
                <a:lumMod val="40000"/>
                <a:lumOff val="60000"/>
              </a:srgbClr>
            </a:solidFill>
            <a:ln>
              <a:solidFill>
                <a:srgbClr val="A5A5A5">
                  <a:lumMod val="40000"/>
                  <a:lumOff val="60000"/>
                </a:srgbClr>
              </a:solidFill>
            </a:ln>
          </c:spPr>
          <c:invertIfNegative val="0"/>
          <c:cat>
            <c:multiLvlStrRef>
              <c:f>Sheet1!$A$2:$B$21</c:f>
              <c:multiLvlStrCache>
                <c:ptCount val="20"/>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lvl>
                <c:lvl>
                  <c:pt idx="0">
                    <c:v>2022</c:v>
                  </c:pt>
                  <c:pt idx="12">
                    <c:v>2023</c:v>
                  </c:pt>
                </c:lvl>
              </c:multiLvlStrCache>
            </c:multiLvlStrRef>
          </c:cat>
          <c:val>
            <c:numRef>
              <c:f>Sheet1!$C$2:$C$21</c:f>
              <c:numCache>
                <c:formatCode>0.0</c:formatCode>
                <c:ptCount val="20"/>
                <c:pt idx="0">
                  <c:v>9.1425547349560912</c:v>
                </c:pt>
                <c:pt idx="1">
                  <c:v>4.4295531970332629</c:v>
                </c:pt>
                <c:pt idx="2">
                  <c:v>-3.5657095864963337</c:v>
                </c:pt>
                <c:pt idx="3">
                  <c:v>1.4904540440588883</c:v>
                </c:pt>
                <c:pt idx="4">
                  <c:v>1.639518266857547</c:v>
                </c:pt>
                <c:pt idx="5">
                  <c:v>2.3041779007349392</c:v>
                </c:pt>
                <c:pt idx="6">
                  <c:v>2.39130759327734</c:v>
                </c:pt>
                <c:pt idx="7">
                  <c:v>3.6295481147845772</c:v>
                </c:pt>
                <c:pt idx="8">
                  <c:v>3.5832078012524891</c:v>
                </c:pt>
                <c:pt idx="9">
                  <c:v>3.6098867876512424</c:v>
                </c:pt>
                <c:pt idx="10">
                  <c:v>7.9562336897087924</c:v>
                </c:pt>
                <c:pt idx="11">
                  <c:v>8.1850143061454812</c:v>
                </c:pt>
                <c:pt idx="12">
                  <c:v>-4.6897051454313816</c:v>
                </c:pt>
                <c:pt idx="13">
                  <c:v>-3.3005162320076487</c:v>
                </c:pt>
                <c:pt idx="14">
                  <c:v>-1.5383530311647726</c:v>
                </c:pt>
                <c:pt idx="15">
                  <c:v>1.5999936524979186</c:v>
                </c:pt>
                <c:pt idx="16">
                  <c:v>1.7080740388690328</c:v>
                </c:pt>
                <c:pt idx="17">
                  <c:v>1.9153938439770533</c:v>
                </c:pt>
                <c:pt idx="18">
                  <c:v>2.9275538748615961</c:v>
                </c:pt>
                <c:pt idx="19">
                  <c:v>3.3959027337477083</c:v>
                </c:pt>
              </c:numCache>
            </c:numRef>
          </c:val>
          <c:extLst>
            <c:ext xmlns:c16="http://schemas.microsoft.com/office/drawing/2014/chart" uri="{C3380CC4-5D6E-409C-BE32-E72D297353CC}">
              <c16:uniqueId val="{00000000-4680-4E80-B408-71ABCF87A19B}"/>
            </c:ext>
          </c:extLst>
        </c:ser>
        <c:ser>
          <c:idx val="2"/>
          <c:order val="1"/>
          <c:tx>
            <c:strRef>
              <c:f>Sheet1!$D$1</c:f>
              <c:strCache>
                <c:ptCount val="1"/>
                <c:pt idx="0">
                  <c:v>ընթացիկ ծախսեր, %</c:v>
                </c:pt>
              </c:strCache>
            </c:strRef>
          </c:tx>
          <c:spPr>
            <a:solidFill>
              <a:srgbClr val="4472C4"/>
            </a:solidFill>
          </c:spPr>
          <c:invertIfNegative val="0"/>
          <c:cat>
            <c:multiLvlStrRef>
              <c:f>Sheet1!$A$2:$B$21</c:f>
              <c:multiLvlStrCache>
                <c:ptCount val="20"/>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lvl>
                <c:lvl>
                  <c:pt idx="0">
                    <c:v>2022</c:v>
                  </c:pt>
                  <c:pt idx="12">
                    <c:v>2023</c:v>
                  </c:pt>
                </c:lvl>
              </c:multiLvlStrCache>
            </c:multiLvlStrRef>
          </c:cat>
          <c:val>
            <c:numRef>
              <c:f>Sheet1!$D$2:$D$21</c:f>
              <c:numCache>
                <c:formatCode>0.0</c:formatCode>
                <c:ptCount val="20"/>
                <c:pt idx="0">
                  <c:v>16.613533533184647</c:v>
                </c:pt>
                <c:pt idx="1">
                  <c:v>9.4936229013399043</c:v>
                </c:pt>
                <c:pt idx="2">
                  <c:v>1.5715294205918653</c:v>
                </c:pt>
                <c:pt idx="3">
                  <c:v>1.823891716401125</c:v>
                </c:pt>
                <c:pt idx="4">
                  <c:v>3.1604587240203283</c:v>
                </c:pt>
                <c:pt idx="5">
                  <c:v>2.7745815489374093</c:v>
                </c:pt>
                <c:pt idx="6">
                  <c:v>1.7208724017844197</c:v>
                </c:pt>
                <c:pt idx="7">
                  <c:v>2.6217330685818809</c:v>
                </c:pt>
                <c:pt idx="8">
                  <c:v>3.8436321255918586</c:v>
                </c:pt>
                <c:pt idx="9">
                  <c:v>4.2939386083779816</c:v>
                </c:pt>
                <c:pt idx="10">
                  <c:v>4.0685095591003924</c:v>
                </c:pt>
                <c:pt idx="11">
                  <c:v>3.7038904973197657</c:v>
                </c:pt>
                <c:pt idx="12">
                  <c:v>10.541672456010337</c:v>
                </c:pt>
                <c:pt idx="13">
                  <c:v>9.673775523733104</c:v>
                </c:pt>
                <c:pt idx="14">
                  <c:v>8.0503493866000397</c:v>
                </c:pt>
                <c:pt idx="15">
                  <c:v>0.135869347033865</c:v>
                </c:pt>
                <c:pt idx="16">
                  <c:v>10.963978313233877</c:v>
                </c:pt>
                <c:pt idx="17">
                  <c:v>10.831702087053829</c:v>
                </c:pt>
                <c:pt idx="18">
                  <c:v>10.103846253762322</c:v>
                </c:pt>
                <c:pt idx="19">
                  <c:v>10.312441020697616</c:v>
                </c:pt>
              </c:numCache>
            </c:numRef>
          </c:val>
          <c:extLst>
            <c:ext xmlns:c16="http://schemas.microsoft.com/office/drawing/2014/chart" uri="{C3380CC4-5D6E-409C-BE32-E72D297353CC}">
              <c16:uniqueId val="{00000001-4680-4E80-B408-71ABCF87A19B}"/>
            </c:ext>
          </c:extLst>
        </c:ser>
        <c:dLbls>
          <c:showLegendKey val="0"/>
          <c:showVal val="0"/>
          <c:showCatName val="0"/>
          <c:showSerName val="0"/>
          <c:showPercent val="0"/>
          <c:showBubbleSize val="0"/>
        </c:dLbls>
        <c:gapWidth val="150"/>
        <c:overlap val="100"/>
        <c:axId val="317155200"/>
        <c:axId val="317156736"/>
      </c:barChart>
      <c:lineChart>
        <c:grouping val="standard"/>
        <c:varyColors val="0"/>
        <c:ser>
          <c:idx val="1"/>
          <c:order val="2"/>
          <c:tx>
            <c:strRef>
              <c:f>Sheet1!$E$1</c:f>
              <c:strCache>
                <c:ptCount val="1"/>
                <c:pt idx="0">
                  <c:v>ծախսերի աճը, %</c:v>
                </c:pt>
              </c:strCache>
            </c:strRef>
          </c:tx>
          <c:spPr>
            <a:ln>
              <a:solidFill>
                <a:srgbClr val="ED7D31"/>
              </a:solidFill>
            </a:ln>
          </c:spPr>
          <c:marker>
            <c:symbol val="none"/>
          </c:marker>
          <c:cat>
            <c:multiLvlStrRef>
              <c:f>Sheet1!$A$2:$C$21</c:f>
              <c:multiLvlStrCache>
                <c:ptCount val="20"/>
                <c:lvl>
                  <c:pt idx="0">
                    <c:v>9.1</c:v>
                  </c:pt>
                  <c:pt idx="1">
                    <c:v>4.4</c:v>
                  </c:pt>
                  <c:pt idx="2">
                    <c:v>-3.6</c:v>
                  </c:pt>
                  <c:pt idx="3">
                    <c:v>1.5</c:v>
                  </c:pt>
                  <c:pt idx="4">
                    <c:v>1.6</c:v>
                  </c:pt>
                  <c:pt idx="5">
                    <c:v>2.3</c:v>
                  </c:pt>
                  <c:pt idx="6">
                    <c:v>2.4</c:v>
                  </c:pt>
                  <c:pt idx="7">
                    <c:v>3.6</c:v>
                  </c:pt>
                  <c:pt idx="8">
                    <c:v>3.6</c:v>
                  </c:pt>
                  <c:pt idx="9">
                    <c:v>3.6</c:v>
                  </c:pt>
                  <c:pt idx="10">
                    <c:v>8.0</c:v>
                  </c:pt>
                  <c:pt idx="11">
                    <c:v>8.2</c:v>
                  </c:pt>
                  <c:pt idx="12">
                    <c:v>-4.7</c:v>
                  </c:pt>
                  <c:pt idx="13">
                    <c:v>-3.3</c:v>
                  </c:pt>
                  <c:pt idx="14">
                    <c:v>-1.5</c:v>
                  </c:pt>
                  <c:pt idx="15">
                    <c:v>1.6</c:v>
                  </c:pt>
                  <c:pt idx="16">
                    <c:v>1.7</c:v>
                  </c:pt>
                  <c:pt idx="17">
                    <c:v>1.9</c:v>
                  </c:pt>
                  <c:pt idx="18">
                    <c:v>2.9</c:v>
                  </c:pt>
                  <c:pt idx="19">
                    <c:v>3.4</c:v>
                  </c:pt>
                </c:lvl>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lvl>
                <c:lvl>
                  <c:pt idx="0">
                    <c:v>2022</c:v>
                  </c:pt>
                  <c:pt idx="12">
                    <c:v>2023</c:v>
                  </c:pt>
                </c:lvl>
              </c:multiLvlStrCache>
            </c:multiLvlStrRef>
          </c:cat>
          <c:val>
            <c:numRef>
              <c:f>Sheet1!$E$2:$E$21</c:f>
              <c:numCache>
                <c:formatCode>0.0</c:formatCode>
                <c:ptCount val="20"/>
                <c:pt idx="0">
                  <c:v>25.756088268140733</c:v>
                </c:pt>
                <c:pt idx="1">
                  <c:v>13.923176098373146</c:v>
                </c:pt>
                <c:pt idx="2">
                  <c:v>-1.9941801659044811</c:v>
                </c:pt>
                <c:pt idx="3">
                  <c:v>3.3143457604600148</c:v>
                </c:pt>
                <c:pt idx="4">
                  <c:v>4.7999769908778802</c:v>
                </c:pt>
                <c:pt idx="5">
                  <c:v>5.0787594496723623</c:v>
                </c:pt>
                <c:pt idx="6">
                  <c:v>4.112179995061795</c:v>
                </c:pt>
                <c:pt idx="7">
                  <c:v>6.2512811833664435</c:v>
                </c:pt>
                <c:pt idx="8">
                  <c:v>7.4268399268443668</c:v>
                </c:pt>
                <c:pt idx="9">
                  <c:v>7.9038253960292346</c:v>
                </c:pt>
                <c:pt idx="10">
                  <c:v>12.02474324880917</c:v>
                </c:pt>
                <c:pt idx="11">
                  <c:v>11.888904803465223</c:v>
                </c:pt>
                <c:pt idx="12">
                  <c:v>5.8519673105789707</c:v>
                </c:pt>
                <c:pt idx="13">
                  <c:v>6.3732592917254465</c:v>
                </c:pt>
                <c:pt idx="14">
                  <c:v>6.5119963554352713</c:v>
                </c:pt>
                <c:pt idx="15">
                  <c:v>1.73586299953179</c:v>
                </c:pt>
                <c:pt idx="16">
                  <c:v>12.672052352102909</c:v>
                </c:pt>
                <c:pt idx="17">
                  <c:v>12.747095931030902</c:v>
                </c:pt>
                <c:pt idx="18">
                  <c:v>13.031400128623913</c:v>
                </c:pt>
                <c:pt idx="19">
                  <c:v>13.708343754445323</c:v>
                </c:pt>
              </c:numCache>
            </c:numRef>
          </c:val>
          <c:smooth val="0"/>
          <c:extLst>
            <c:ext xmlns:c16="http://schemas.microsoft.com/office/drawing/2014/chart" uri="{C3380CC4-5D6E-409C-BE32-E72D297353CC}">
              <c16:uniqueId val="{00000002-4680-4E80-B408-71ABCF87A19B}"/>
            </c:ext>
          </c:extLst>
        </c:ser>
        <c:dLbls>
          <c:showLegendKey val="0"/>
          <c:showVal val="0"/>
          <c:showCatName val="0"/>
          <c:showSerName val="0"/>
          <c:showPercent val="0"/>
          <c:showBubbleSize val="0"/>
        </c:dLbls>
        <c:marker val="1"/>
        <c:smooth val="0"/>
        <c:axId val="317155200"/>
        <c:axId val="317156736"/>
      </c:lineChart>
      <c:catAx>
        <c:axId val="317155200"/>
        <c:scaling>
          <c:orientation val="minMax"/>
        </c:scaling>
        <c:delete val="0"/>
        <c:axPos val="b"/>
        <c:numFmt formatCode="General" sourceLinked="0"/>
        <c:majorTickMark val="none"/>
        <c:minorTickMark val="none"/>
        <c:tickLblPos val="low"/>
        <c:txPr>
          <a:bodyPr rot="0" vert="horz"/>
          <a:lstStyle/>
          <a:p>
            <a:pPr>
              <a:defRPr sz="800" b="0" i="0" u="none" strike="noStrike" baseline="0">
                <a:solidFill>
                  <a:srgbClr val="000000"/>
                </a:solidFill>
                <a:latin typeface="GHEA Grapalat"/>
                <a:ea typeface="GHEA Grapalat"/>
                <a:cs typeface="GHEA Grapalat"/>
              </a:defRPr>
            </a:pPr>
            <a:endParaRPr lang="en-US"/>
          </a:p>
        </c:txPr>
        <c:crossAx val="317156736"/>
        <c:crosses val="autoZero"/>
        <c:auto val="1"/>
        <c:lblAlgn val="ctr"/>
        <c:lblOffset val="100"/>
        <c:tickLblSkip val="1"/>
        <c:noMultiLvlLbl val="0"/>
      </c:catAx>
      <c:valAx>
        <c:axId val="317156736"/>
        <c:scaling>
          <c:orientation val="minMax"/>
          <c:max val="26"/>
          <c:min val="-5"/>
        </c:scaling>
        <c:delete val="0"/>
        <c:axPos val="l"/>
        <c:majorGridlines>
          <c:spPr>
            <a:ln>
              <a:solidFill>
                <a:srgbClr val="A5A5A5">
                  <a:lumMod val="40000"/>
                  <a:lumOff val="60000"/>
                </a:srgbClr>
              </a:solidFill>
            </a:ln>
          </c:spPr>
        </c:majorGridlines>
        <c:numFmt formatCode="0.0" sourceLinked="1"/>
        <c:majorTickMark val="none"/>
        <c:minorTickMark val="none"/>
        <c:tickLblPos val="nextTo"/>
        <c:spPr>
          <a:ln>
            <a:noFill/>
          </a:ln>
        </c:spPr>
        <c:txPr>
          <a:bodyPr rot="0" vert="horz"/>
          <a:lstStyle/>
          <a:p>
            <a:pPr>
              <a:defRPr sz="900" b="0" i="0" u="none" strike="noStrike" baseline="0">
                <a:solidFill>
                  <a:srgbClr val="000000"/>
                </a:solidFill>
                <a:latin typeface="GHEA Grapalat"/>
                <a:ea typeface="GHEA Grapalat"/>
                <a:cs typeface="GHEA Grapalat"/>
              </a:defRPr>
            </a:pPr>
            <a:endParaRPr lang="en-US"/>
          </a:p>
        </c:txPr>
        <c:crossAx val="317155200"/>
        <c:crosses val="autoZero"/>
        <c:crossBetween val="between"/>
        <c:majorUnit val="3"/>
        <c:minorUnit val="1"/>
      </c:valAx>
      <c:spPr>
        <a:ln w="25332">
          <a:noFill/>
        </a:ln>
      </c:spPr>
    </c:plotArea>
    <c:legend>
      <c:legendPos val="r"/>
      <c:layout>
        <c:manualLayout>
          <c:xMode val="edge"/>
          <c:yMode val="edge"/>
          <c:x val="5.1009457478459344E-3"/>
          <c:y val="0.8311378123189147"/>
          <c:w val="0.96377101970843593"/>
          <c:h val="0.16886218768108535"/>
        </c:manualLayout>
      </c:layout>
      <c:overlay val="0"/>
      <c:txPr>
        <a:bodyPr/>
        <a:lstStyle/>
        <a:p>
          <a:pPr>
            <a:defRPr sz="900" b="0" i="0" u="none" strike="noStrike" baseline="0">
              <a:solidFill>
                <a:srgbClr val="000000"/>
              </a:solidFill>
              <a:latin typeface="GHEA Grapalat"/>
              <a:ea typeface="GHEA Grapalat"/>
              <a:cs typeface="GHEA Grapalat"/>
            </a:defRPr>
          </a:pPr>
          <a:endParaRPr lang="en-US"/>
        </a:p>
      </c:txPr>
    </c:legend>
    <c:plotVisOnly val="1"/>
    <c:dispBlanksAs val="gap"/>
    <c:showDLblsOverMax val="0"/>
  </c:chart>
  <c:spPr>
    <a:noFill/>
    <a:ln>
      <a:solidFill>
        <a:srgbClr val="A5A5A5">
          <a:alpha val="30000"/>
        </a:srgbClr>
      </a:solidFill>
    </a:ln>
  </c:spPr>
  <c:txPr>
    <a:bodyPr/>
    <a:lstStyle/>
    <a:p>
      <a:pPr>
        <a:defRPr sz="997" b="0" i="0" u="none" strike="noStrike" baseline="0">
          <a:solidFill>
            <a:srgbClr val="000000"/>
          </a:solidFill>
          <a:latin typeface="GHEA Grapalat"/>
          <a:ea typeface="GHEA Grapalat"/>
          <a:cs typeface="GHEA Grapalat"/>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97139780604335"/>
          <c:y val="4.1079906678331876E-2"/>
          <c:w val="0.784643986809341"/>
          <c:h val="0.69960069991251084"/>
        </c:manualLayout>
      </c:layout>
      <c:barChart>
        <c:barDir val="col"/>
        <c:grouping val="clustered"/>
        <c:varyColors val="0"/>
        <c:ser>
          <c:idx val="0"/>
          <c:order val="0"/>
          <c:tx>
            <c:strRef>
              <c:f>Sheet1!$B$1</c:f>
              <c:strCache>
                <c:ptCount val="1"/>
                <c:pt idx="0">
                  <c:v>Եկամուտներ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Sheet1!$B$2:$B$9</c:f>
              <c:numCache>
                <c:formatCode>#,##0</c:formatCode>
                <c:ptCount val="7"/>
                <c:pt idx="0">
                  <c:v>1346.370483659</c:v>
                </c:pt>
                <c:pt idx="1">
                  <c:v>1573.3809515</c:v>
                </c:pt>
                <c:pt idx="2">
                  <c:v>1574.000385932</c:v>
                </c:pt>
                <c:pt idx="3">
                  <c:v>1706.5738292499998</c:v>
                </c:pt>
                <c:pt idx="4">
                  <c:v>2099.5970693249997</c:v>
                </c:pt>
                <c:pt idx="5">
                  <c:v>2408.0688221677483</c:v>
                </c:pt>
                <c:pt idx="6">
                  <c:v>2723.5924310000005</c:v>
                </c:pt>
              </c:numCache>
            </c:numRef>
          </c:val>
          <c:extLst>
            <c:ext xmlns:c16="http://schemas.microsoft.com/office/drawing/2014/chart" uri="{C3380CC4-5D6E-409C-BE32-E72D297353CC}">
              <c16:uniqueId val="{00000000-C96F-477D-862C-8BA0332A4CA9}"/>
            </c:ext>
          </c:extLst>
        </c:ser>
        <c:ser>
          <c:idx val="1"/>
          <c:order val="1"/>
          <c:tx>
            <c:strRef>
              <c:f>Sheet1!$C$1</c:f>
              <c:strCache>
                <c:ptCount val="1"/>
                <c:pt idx="0">
                  <c:v>Ծախսեր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Sheet1!$C$2:$C$9</c:f>
              <c:numCache>
                <c:formatCode>#,##0</c:formatCode>
                <c:ptCount val="7"/>
                <c:pt idx="0">
                  <c:v>1451.7629042380001</c:v>
                </c:pt>
                <c:pt idx="1">
                  <c:v>1637.3446545500001</c:v>
                </c:pt>
                <c:pt idx="2">
                  <c:v>1907.9921401200002</c:v>
                </c:pt>
                <c:pt idx="3">
                  <c:v>2027.0433564700002</c:v>
                </c:pt>
                <c:pt idx="4">
                  <c:v>2279.1271803099999</c:v>
                </c:pt>
                <c:pt idx="5">
                  <c:v>2653.3680658134622</c:v>
                </c:pt>
                <c:pt idx="6">
                  <c:v>3206.5174996400001</c:v>
                </c:pt>
              </c:numCache>
            </c:numRef>
          </c:val>
          <c:extLst>
            <c:ext xmlns:c16="http://schemas.microsoft.com/office/drawing/2014/chart" uri="{C3380CC4-5D6E-409C-BE32-E72D297353CC}">
              <c16:uniqueId val="{00000001-C96F-477D-862C-8BA0332A4CA9}"/>
            </c:ext>
          </c:extLst>
        </c:ser>
        <c:ser>
          <c:idx val="2"/>
          <c:order val="2"/>
          <c:tx>
            <c:strRef>
              <c:f>Sheet1!$D$1</c:f>
              <c:strCache>
                <c:ptCount val="1"/>
                <c:pt idx="0">
                  <c:v>Եկամուտներ, առանց հիպոթեկի</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Sheet1!$D$2:$D$9</c:f>
            </c:numRef>
          </c:val>
          <c:extLst>
            <c:ext xmlns:c16="http://schemas.microsoft.com/office/drawing/2014/chart" uri="{C3380CC4-5D6E-409C-BE32-E72D297353CC}">
              <c16:uniqueId val="{00000002-C96F-477D-862C-8BA0332A4CA9}"/>
            </c:ext>
          </c:extLst>
        </c:ser>
        <c:ser>
          <c:idx val="5"/>
          <c:order val="5"/>
          <c:tx>
            <c:strRef>
              <c:f>Sheet1!$G$1</c:f>
              <c:strCache>
                <c:ptCount val="1"/>
                <c:pt idx="0">
                  <c:v>Ծախսեր, առանց առանց հիպոթեկի</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Sheet1!$G$2:$G$9</c:f>
            </c:numRef>
          </c:val>
          <c:extLst>
            <c:ext xmlns:c16="http://schemas.microsoft.com/office/drawing/2014/chart" uri="{C3380CC4-5D6E-409C-BE32-E72D297353CC}">
              <c16:uniqueId val="{00000003-C96F-477D-862C-8BA0332A4CA9}"/>
            </c:ext>
          </c:extLst>
        </c:ser>
        <c:ser>
          <c:idx val="3"/>
          <c:order val="3"/>
          <c:tx>
            <c:strRef>
              <c:f>Sheet1!$E$1</c:f>
              <c:strCache>
                <c:ptCount val="1"/>
                <c:pt idx="0">
                  <c:v>Պակասուրդ</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Sheet1!$E$2:$E$9</c:f>
              <c:numCache>
                <c:formatCode>#,##0</c:formatCode>
                <c:ptCount val="7"/>
                <c:pt idx="0">
                  <c:v>-105.39242057900015</c:v>
                </c:pt>
                <c:pt idx="1">
                  <c:v>-63.963703050000049</c:v>
                </c:pt>
                <c:pt idx="2">
                  <c:v>-333.99175418800019</c:v>
                </c:pt>
                <c:pt idx="3">
                  <c:v>-320.46952722000037</c:v>
                </c:pt>
                <c:pt idx="4">
                  <c:v>-179.53011098500019</c:v>
                </c:pt>
                <c:pt idx="5">
                  <c:v>-245.29924364571389</c:v>
                </c:pt>
                <c:pt idx="6">
                  <c:v>-482.92506863999961</c:v>
                </c:pt>
              </c:numCache>
            </c:numRef>
          </c:val>
          <c:extLst>
            <c:ext xmlns:c16="http://schemas.microsoft.com/office/drawing/2014/chart" uri="{C3380CC4-5D6E-409C-BE32-E72D297353CC}">
              <c16:uniqueId val="{00000004-C96F-477D-862C-8BA0332A4CA9}"/>
            </c:ext>
          </c:extLst>
        </c:ser>
        <c:ser>
          <c:idx val="4"/>
          <c:order val="4"/>
          <c:tx>
            <c:strRef>
              <c:f>Sheet1!$F$1</c:f>
              <c:strCache>
                <c:ptCount val="1"/>
                <c:pt idx="0">
                  <c:v>Եկ․ հարկի վեր․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Sheet1!$F$2:$F$9</c:f>
              <c:numCache>
                <c:formatCode>#,##0</c:formatCode>
                <c:ptCount val="7"/>
                <c:pt idx="0">
                  <c:v>4.6798927580000509</c:v>
                </c:pt>
                <c:pt idx="1">
                  <c:v>7.9077921000000515</c:v>
                </c:pt>
                <c:pt idx="2">
                  <c:v>13.344998000000032</c:v>
                </c:pt>
                <c:pt idx="3">
                  <c:v>22.742366100000027</c:v>
                </c:pt>
                <c:pt idx="4">
                  <c:v>36.501726699999836</c:v>
                </c:pt>
                <c:pt idx="5">
                  <c:v>53</c:v>
                </c:pt>
                <c:pt idx="6">
                  <c:v>72</c:v>
                </c:pt>
              </c:numCache>
            </c:numRef>
          </c:val>
          <c:extLst>
            <c:ext xmlns:c16="http://schemas.microsoft.com/office/drawing/2014/chart" uri="{C3380CC4-5D6E-409C-BE32-E72D297353CC}">
              <c16:uniqueId val="{00000005-C96F-477D-862C-8BA0332A4CA9}"/>
            </c:ext>
          </c:extLst>
        </c:ser>
        <c:dLbls>
          <c:dLblPos val="outEnd"/>
          <c:showLegendKey val="0"/>
          <c:showVal val="1"/>
          <c:showCatName val="0"/>
          <c:showSerName val="0"/>
          <c:showPercent val="0"/>
          <c:showBubbleSize val="0"/>
        </c:dLbls>
        <c:gapWidth val="71"/>
        <c:axId val="438916224"/>
        <c:axId val="438917760"/>
      </c:barChart>
      <c:catAx>
        <c:axId val="438916224"/>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438917760"/>
        <c:crosses val="autoZero"/>
        <c:auto val="1"/>
        <c:lblAlgn val="ctr"/>
        <c:lblOffset val="100"/>
        <c:noMultiLvlLbl val="0"/>
      </c:catAx>
      <c:valAx>
        <c:axId val="438917760"/>
        <c:scaling>
          <c:orientation val="minMax"/>
          <c:max val="3300"/>
          <c:min val="-5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438916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3">
    <c:autoUpdate val="0"/>
  </c:externalData>
  <c:userShapes r:id="rId4"/>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46295207245282"/>
          <c:y val="5.203364604466193E-2"/>
          <c:w val="0.82012848918713577"/>
          <c:h val="0.67230936132983377"/>
        </c:manualLayout>
      </c:layout>
      <c:lineChart>
        <c:grouping val="standard"/>
        <c:varyColors val="0"/>
        <c:ser>
          <c:idx val="0"/>
          <c:order val="0"/>
          <c:tx>
            <c:strRef>
              <c:f>Sheet1!$B$1</c:f>
              <c:strCache>
                <c:ptCount val="1"/>
                <c:pt idx="0">
                  <c:v>Պակասուրդ, % ՀՆԱ-ում</c:v>
                </c:pt>
              </c:strCache>
            </c:strRef>
          </c:tx>
          <c:spPr>
            <a:ln w="28575" cap="rnd">
              <a:solidFill>
                <a:schemeClr val="accent1"/>
              </a:solidFill>
              <a:round/>
            </a:ln>
            <a:effectLst/>
          </c:spPr>
          <c:marker>
            <c:symbol val="circle"/>
            <c:size val="6"/>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Sheet1!$B$2:$B$9</c:f>
              <c:numCache>
                <c:formatCode>0.0</c:formatCode>
                <c:ptCount val="7"/>
                <c:pt idx="0">
                  <c:v>-1.7515672931246962</c:v>
                </c:pt>
                <c:pt idx="1">
                  <c:v>-0.97754175944701427</c:v>
                </c:pt>
                <c:pt idx="2">
                  <c:v>-5.4027340092352807</c:v>
                </c:pt>
                <c:pt idx="3">
                  <c:v>-4.5835199056240086</c:v>
                </c:pt>
                <c:pt idx="4">
                  <c:v>-2.1117623133763717</c:v>
                </c:pt>
                <c:pt idx="5">
                  <c:v>-2.5957287883581257</c:v>
                </c:pt>
                <c:pt idx="6">
                  <c:v>-4.592252272979569</c:v>
                </c:pt>
              </c:numCache>
            </c:numRef>
          </c:val>
          <c:smooth val="0"/>
          <c:extLst>
            <c:ext xmlns:c16="http://schemas.microsoft.com/office/drawing/2014/chart" uri="{C3380CC4-5D6E-409C-BE32-E72D297353CC}">
              <c16:uniqueId val="{00000000-294F-4964-806D-E6F87A7DB8EA}"/>
            </c:ext>
          </c:extLst>
        </c:ser>
        <c:ser>
          <c:idx val="1"/>
          <c:order val="1"/>
          <c:tx>
            <c:strRef>
              <c:f>Sheet1!$C$1</c:f>
              <c:strCache>
                <c:ptCount val="1"/>
                <c:pt idx="0">
                  <c:v>Առաջնային պակասուրդ, % ՀՆԱ-ում</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3"/>
              <c:layout>
                <c:manualLayout>
                  <c:x val="-5.163511187607573E-2"/>
                  <c:y val="0.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4F-4964-806D-E6F87A7DB8E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Sheet1!$C$2:$C$9</c:f>
            </c:numRef>
          </c:val>
          <c:smooth val="0"/>
          <c:extLst>
            <c:ext xmlns:c16="http://schemas.microsoft.com/office/drawing/2014/chart" uri="{C3380CC4-5D6E-409C-BE32-E72D297353CC}">
              <c16:uniqueId val="{00000002-294F-4964-806D-E6F87A7DB8EA}"/>
            </c:ext>
          </c:extLst>
        </c:ser>
        <c:ser>
          <c:idx val="2"/>
          <c:order val="2"/>
          <c:tx>
            <c:strRef>
              <c:f>Sheet1!$D$1</c:f>
              <c:strCache>
                <c:ptCount val="1"/>
                <c:pt idx="0">
                  <c:v>Պակասուրդ և ԼՂ վարկավորում/ՀՆԱ, %</c:v>
                </c:pt>
              </c:strCache>
            </c:strRef>
          </c:tx>
          <c:spPr>
            <a:ln w="28575" cap="rnd">
              <a:solidFill>
                <a:schemeClr val="accent1"/>
              </a:solidFill>
              <a:prstDash val="sysDot"/>
              <a:round/>
            </a:ln>
            <a:effectLst/>
          </c:spPr>
          <c:marker>
            <c:symbol val="circle"/>
            <c:size val="4"/>
            <c:spPr>
              <a:solidFill>
                <a:schemeClr val="accent1"/>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Sheet1!$D$2:$D$9</c:f>
              <c:numCache>
                <c:formatCode>0.0</c:formatCode>
                <c:ptCount val="7"/>
                <c:pt idx="0">
                  <c:v>-2.6062767570148195</c:v>
                </c:pt>
                <c:pt idx="1">
                  <c:v>-1.8616036681857835</c:v>
                </c:pt>
                <c:pt idx="2">
                  <c:v>-6.6179592248509387</c:v>
                </c:pt>
                <c:pt idx="3">
                  <c:v>-6.4250015642659637</c:v>
                </c:pt>
                <c:pt idx="4">
                  <c:v>-4.1820009219031302</c:v>
                </c:pt>
                <c:pt idx="5">
                  <c:v>-4.1116943332943281</c:v>
                </c:pt>
                <c:pt idx="6">
                  <c:v>-4.592252272979569</c:v>
                </c:pt>
              </c:numCache>
            </c:numRef>
          </c:val>
          <c:smooth val="0"/>
          <c:extLst>
            <c:ext xmlns:c16="http://schemas.microsoft.com/office/drawing/2014/chart" uri="{C3380CC4-5D6E-409C-BE32-E72D297353CC}">
              <c16:uniqueId val="{00000003-294F-4964-806D-E6F87A7DB8EA}"/>
            </c:ext>
          </c:extLst>
        </c:ser>
        <c:ser>
          <c:idx val="3"/>
          <c:order val="3"/>
          <c:tx>
            <c:strRef>
              <c:f>Sheet1!$E$1</c:f>
              <c:strCache>
                <c:ptCount val="1"/>
                <c:pt idx="0">
                  <c:v>Առաջնային պակասուրդ և ԼՂ վարկավորում, % ՀՆԱ-ում2</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Sheet1!$E$2:$E$9</c:f>
            </c:numRef>
          </c:val>
          <c:smooth val="0"/>
          <c:extLst>
            <c:ext xmlns:c16="http://schemas.microsoft.com/office/drawing/2014/chart" uri="{C3380CC4-5D6E-409C-BE32-E72D297353CC}">
              <c16:uniqueId val="{00000004-294F-4964-806D-E6F87A7DB8EA}"/>
            </c:ext>
          </c:extLst>
        </c:ser>
        <c:dLbls>
          <c:showLegendKey val="0"/>
          <c:showVal val="0"/>
          <c:showCatName val="0"/>
          <c:showSerName val="0"/>
          <c:showPercent val="0"/>
          <c:showBubbleSize val="0"/>
        </c:dLbls>
        <c:marker val="1"/>
        <c:smooth val="0"/>
        <c:axId val="439182464"/>
        <c:axId val="439184000"/>
      </c:lineChart>
      <c:catAx>
        <c:axId val="439182464"/>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9184000"/>
        <c:crosses val="autoZero"/>
        <c:auto val="1"/>
        <c:lblAlgn val="ctr"/>
        <c:lblOffset val="100"/>
        <c:noMultiLvlLbl val="0"/>
      </c:catAx>
      <c:valAx>
        <c:axId val="439184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918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3">
    <c:autoUpdate val="0"/>
  </c:externalData>
  <c:userShapes r:id="rId4"/>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Եկամուտների ազդակ</c:v>
                </c:pt>
              </c:strCache>
            </c:strRef>
          </c:tx>
          <c:spPr>
            <a:solidFill>
              <a:schemeClr val="accent1"/>
            </a:solidFill>
            <a:ln>
              <a:noFill/>
            </a:ln>
            <a:effectLst/>
          </c:spPr>
          <c:invertIfNegative val="0"/>
          <c:cat>
            <c:numRef>
              <c:f>Sheet1!$A$2:$A$8</c:f>
              <c:numCache>
                <c:formatCode>General</c:formatCode>
                <c:ptCount val="7"/>
                <c:pt idx="0">
                  <c:v>2018</c:v>
                </c:pt>
                <c:pt idx="1">
                  <c:v>2019</c:v>
                </c:pt>
                <c:pt idx="2">
                  <c:v>2020</c:v>
                </c:pt>
                <c:pt idx="3">
                  <c:v>2021</c:v>
                </c:pt>
                <c:pt idx="4">
                  <c:v>2022</c:v>
                </c:pt>
                <c:pt idx="5">
                  <c:v>2023</c:v>
                </c:pt>
                <c:pt idx="6">
                  <c:v>2024</c:v>
                </c:pt>
              </c:numCache>
            </c:numRef>
          </c:cat>
          <c:val>
            <c:numRef>
              <c:f>Sheet1!$B$2:$B$8</c:f>
              <c:numCache>
                <c:formatCode>#,##0.0</c:formatCode>
                <c:ptCount val="7"/>
                <c:pt idx="0">
                  <c:v>-1.2287752256907658</c:v>
                </c:pt>
                <c:pt idx="1">
                  <c:v>-1.2723477349224319</c:v>
                </c:pt>
                <c:pt idx="2">
                  <c:v>0.49525040611649429</c:v>
                </c:pt>
                <c:pt idx="3">
                  <c:v>-0.57298724948719038</c:v>
                </c:pt>
                <c:pt idx="4">
                  <c:v>-0.25960399906436143</c:v>
                </c:pt>
                <c:pt idx="5">
                  <c:v>-0.77889190761491545</c:v>
                </c:pt>
                <c:pt idx="6">
                  <c:v>-0.38794615307455016</c:v>
                </c:pt>
              </c:numCache>
            </c:numRef>
          </c:val>
          <c:extLst>
            <c:ext xmlns:c16="http://schemas.microsoft.com/office/drawing/2014/chart" uri="{C3380CC4-5D6E-409C-BE32-E72D297353CC}">
              <c16:uniqueId val="{00000000-2150-409E-BA45-626E55F4C1FE}"/>
            </c:ext>
          </c:extLst>
        </c:ser>
        <c:ser>
          <c:idx val="1"/>
          <c:order val="1"/>
          <c:tx>
            <c:strRef>
              <c:f>Sheet1!$C$1</c:f>
              <c:strCache>
                <c:ptCount val="1"/>
                <c:pt idx="0">
                  <c:v>Ծախսերի ազդակ</c:v>
                </c:pt>
              </c:strCache>
            </c:strRef>
          </c:tx>
          <c:spPr>
            <a:solidFill>
              <a:schemeClr val="accent2"/>
            </a:solidFill>
            <a:ln>
              <a:noFill/>
            </a:ln>
            <a:effectLst/>
          </c:spPr>
          <c:invertIfNegative val="0"/>
          <c:cat>
            <c:numRef>
              <c:f>Sheet1!$A$2:$A$8</c:f>
              <c:numCache>
                <c:formatCode>General</c:formatCode>
                <c:ptCount val="7"/>
                <c:pt idx="0">
                  <c:v>2018</c:v>
                </c:pt>
                <c:pt idx="1">
                  <c:v>2019</c:v>
                </c:pt>
                <c:pt idx="2">
                  <c:v>2020</c:v>
                </c:pt>
                <c:pt idx="3">
                  <c:v>2021</c:v>
                </c:pt>
                <c:pt idx="4">
                  <c:v>2022</c:v>
                </c:pt>
                <c:pt idx="5">
                  <c:v>2023</c:v>
                </c:pt>
                <c:pt idx="6">
                  <c:v>2024</c:v>
                </c:pt>
              </c:numCache>
            </c:numRef>
          </c:cat>
          <c:val>
            <c:numRef>
              <c:f>Sheet1!$C$2:$C$8</c:f>
              <c:numCache>
                <c:formatCode>#,##0.0</c:formatCode>
                <c:ptCount val="7"/>
                <c:pt idx="0">
                  <c:v>-1.1902780621633773</c:v>
                </c:pt>
                <c:pt idx="1">
                  <c:v>1.5759050717486214</c:v>
                </c:pt>
                <c:pt idx="2">
                  <c:v>3.3347738558755244</c:v>
                </c:pt>
                <c:pt idx="3">
                  <c:v>-0.49746767121424584</c:v>
                </c:pt>
                <c:pt idx="4">
                  <c:v>-1.6251066406390771</c:v>
                </c:pt>
                <c:pt idx="5">
                  <c:v>-0.16574543591375565</c:v>
                </c:pt>
                <c:pt idx="6">
                  <c:v>0.71454102050805846</c:v>
                </c:pt>
              </c:numCache>
            </c:numRef>
          </c:val>
          <c:extLst>
            <c:ext xmlns:c16="http://schemas.microsoft.com/office/drawing/2014/chart" uri="{C3380CC4-5D6E-409C-BE32-E72D297353CC}">
              <c16:uniqueId val="{00000001-2150-409E-BA45-626E55F4C1FE}"/>
            </c:ext>
          </c:extLst>
        </c:ser>
        <c:dLbls>
          <c:showLegendKey val="0"/>
          <c:showVal val="0"/>
          <c:showCatName val="0"/>
          <c:showSerName val="0"/>
          <c:showPercent val="0"/>
          <c:showBubbleSize val="0"/>
        </c:dLbls>
        <c:gapWidth val="219"/>
        <c:axId val="442293632"/>
        <c:axId val="443028608"/>
      </c:barChart>
      <c:lineChart>
        <c:grouping val="standard"/>
        <c:varyColors val="0"/>
        <c:ser>
          <c:idx val="2"/>
          <c:order val="2"/>
          <c:tx>
            <c:strRef>
              <c:f>Sheet1!$D$1</c:f>
              <c:strCache>
                <c:ptCount val="1"/>
                <c:pt idx="0">
                  <c:v>Հարկաբյուջետային ազդակ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2.0586362874853801E-3"/>
                  <c:y val="5.61707839955120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50-409E-BA45-626E55F4C1FE}"/>
                </c:ext>
              </c:extLst>
            </c:dLbl>
            <c:dLbl>
              <c:idx val="2"/>
              <c:layout>
                <c:manualLayout>
                  <c:x val="-3.1484168202379037E-2"/>
                  <c:y val="-5.06994450121215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50-409E-BA45-626E55F4C1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2018</c:v>
                </c:pt>
                <c:pt idx="1">
                  <c:v>2019</c:v>
                </c:pt>
                <c:pt idx="2">
                  <c:v>2020</c:v>
                </c:pt>
                <c:pt idx="3">
                  <c:v>2021</c:v>
                </c:pt>
                <c:pt idx="4">
                  <c:v>2022</c:v>
                </c:pt>
                <c:pt idx="5">
                  <c:v>2023</c:v>
                </c:pt>
                <c:pt idx="6">
                  <c:v>2024</c:v>
                </c:pt>
              </c:numCache>
            </c:numRef>
          </c:cat>
          <c:val>
            <c:numRef>
              <c:f>Sheet1!$D$2:$D$8</c:f>
              <c:numCache>
                <c:formatCode>#,##0.0</c:formatCode>
                <c:ptCount val="7"/>
                <c:pt idx="0">
                  <c:v>-2.4190532878541431</c:v>
                </c:pt>
                <c:pt idx="1">
                  <c:v>0.30355733682618946</c:v>
                </c:pt>
                <c:pt idx="2">
                  <c:v>3.8300242619920186</c:v>
                </c:pt>
                <c:pt idx="3">
                  <c:v>-1.0704549207014362</c:v>
                </c:pt>
                <c:pt idx="4">
                  <c:v>-1.8847106397034386</c:v>
                </c:pt>
                <c:pt idx="5">
                  <c:v>-0.94463734352867113</c:v>
                </c:pt>
                <c:pt idx="6">
                  <c:v>0.3265948674335083</c:v>
                </c:pt>
              </c:numCache>
            </c:numRef>
          </c:val>
          <c:smooth val="0"/>
          <c:extLst>
            <c:ext xmlns:c16="http://schemas.microsoft.com/office/drawing/2014/chart" uri="{C3380CC4-5D6E-409C-BE32-E72D297353CC}">
              <c16:uniqueId val="{00000004-2150-409E-BA45-626E55F4C1FE}"/>
            </c:ext>
          </c:extLst>
        </c:ser>
        <c:dLbls>
          <c:showLegendKey val="0"/>
          <c:showVal val="0"/>
          <c:showCatName val="0"/>
          <c:showSerName val="0"/>
          <c:showPercent val="0"/>
          <c:showBubbleSize val="0"/>
        </c:dLbls>
        <c:marker val="1"/>
        <c:smooth val="0"/>
        <c:axId val="442293632"/>
        <c:axId val="443028608"/>
      </c:lineChart>
      <c:catAx>
        <c:axId val="4422936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3028608"/>
        <c:crosses val="autoZero"/>
        <c:auto val="1"/>
        <c:lblAlgn val="ctr"/>
        <c:lblOffset val="100"/>
        <c:noMultiLvlLbl val="0"/>
      </c:catAx>
      <c:valAx>
        <c:axId val="443028608"/>
        <c:scaling>
          <c:orientation val="minMax"/>
        </c:scaling>
        <c:delete val="0"/>
        <c:axPos val="l"/>
        <c:majorGridlines>
          <c:spPr>
            <a:ln w="317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229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2362300089968"/>
          <c:y val="6.0752269779507137E-2"/>
          <c:w val="0.80235521125059406"/>
          <c:h val="0.60515228468706761"/>
        </c:manualLayout>
      </c:layout>
      <c:barChart>
        <c:barDir val="col"/>
        <c:grouping val="clustered"/>
        <c:varyColors val="0"/>
        <c:ser>
          <c:idx val="2"/>
          <c:order val="0"/>
          <c:tx>
            <c:strRef>
              <c:f>Sheet1!$B$1</c:f>
              <c:strCache>
                <c:ptCount val="1"/>
                <c:pt idx="0">
                  <c:v>Ընթացիկ ծախսեր/ՀՆԱ,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Sheet1!$A$3:$A$9</c:f>
              <c:numCache>
                <c:formatCode>0</c:formatCode>
                <c:ptCount val="7"/>
                <c:pt idx="0">
                  <c:v>2018</c:v>
                </c:pt>
                <c:pt idx="1">
                  <c:v>2019</c:v>
                </c:pt>
                <c:pt idx="2">
                  <c:v>2020</c:v>
                </c:pt>
                <c:pt idx="3">
                  <c:v>2021</c:v>
                </c:pt>
                <c:pt idx="4">
                  <c:v>2022</c:v>
                </c:pt>
                <c:pt idx="5">
                  <c:v>2023</c:v>
                </c:pt>
                <c:pt idx="6">
                  <c:v>2024</c:v>
                </c:pt>
              </c:numCache>
            </c:numRef>
          </c:cat>
          <c:val>
            <c:numRef>
              <c:f>Sheet1!$B$2:$B$9</c:f>
              <c:numCache>
                <c:formatCode>0.0</c:formatCode>
                <c:ptCount val="7"/>
                <c:pt idx="0">
                  <c:v>21.666114859324733</c:v>
                </c:pt>
                <c:pt idx="1">
                  <c:v>22.08435920039879</c:v>
                </c:pt>
                <c:pt idx="2">
                  <c:v>27.205272058314211</c:v>
                </c:pt>
                <c:pt idx="3">
                  <c:v>25.897687436663109</c:v>
                </c:pt>
                <c:pt idx="4">
                  <c:v>22.334263995415824</c:v>
                </c:pt>
                <c:pt idx="5">
                  <c:v>22.129521723676365</c:v>
                </c:pt>
                <c:pt idx="6">
                  <c:v>23.879534770038227</c:v>
                </c:pt>
              </c:numCache>
            </c:numRef>
          </c:val>
          <c:extLst>
            <c:ext xmlns:c16="http://schemas.microsoft.com/office/drawing/2014/chart" uri="{C3380CC4-5D6E-409C-BE32-E72D297353CC}">
              <c16:uniqueId val="{00000000-D5FD-4A10-8FEB-419F621F26F9}"/>
            </c:ext>
          </c:extLst>
        </c:ser>
        <c:ser>
          <c:idx val="3"/>
          <c:order val="1"/>
          <c:tx>
            <c:strRef>
              <c:f>Sheet1!$C$1</c:f>
              <c:strCache>
                <c:ptCount val="1"/>
                <c:pt idx="0">
                  <c:v>Հարկային եկամուտներ/ՀՆԱ,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Sheet1!$A$3:$A$9</c:f>
              <c:numCache>
                <c:formatCode>0</c:formatCode>
                <c:ptCount val="7"/>
                <c:pt idx="0">
                  <c:v>2018</c:v>
                </c:pt>
                <c:pt idx="1">
                  <c:v>2019</c:v>
                </c:pt>
                <c:pt idx="2">
                  <c:v>2020</c:v>
                </c:pt>
                <c:pt idx="3">
                  <c:v>2021</c:v>
                </c:pt>
                <c:pt idx="4">
                  <c:v>2022</c:v>
                </c:pt>
                <c:pt idx="5">
                  <c:v>2023</c:v>
                </c:pt>
                <c:pt idx="6">
                  <c:v>2024</c:v>
                </c:pt>
              </c:numCache>
            </c:numRef>
          </c:cat>
          <c:val>
            <c:numRef>
              <c:f>Sheet1!$C$2:$C$9</c:f>
              <c:numCache>
                <c:formatCode>0.0</c:formatCode>
                <c:ptCount val="7"/>
                <c:pt idx="0">
                  <c:v>20.987097950316123</c:v>
                </c:pt>
                <c:pt idx="1">
                  <c:v>22.499394605657322</c:v>
                </c:pt>
                <c:pt idx="2">
                  <c:v>22.623301670912763</c:v>
                </c:pt>
                <c:pt idx="3">
                  <c:v>23.021935319368986</c:v>
                </c:pt>
                <c:pt idx="4">
                  <c:v>23.08398862434467</c:v>
                </c:pt>
                <c:pt idx="5">
                  <c:v>24.10373883796116</c:v>
                </c:pt>
                <c:pt idx="6">
                  <c:v>24.85373883796116</c:v>
                </c:pt>
              </c:numCache>
            </c:numRef>
          </c:val>
          <c:extLst>
            <c:ext xmlns:c16="http://schemas.microsoft.com/office/drawing/2014/chart" uri="{C3380CC4-5D6E-409C-BE32-E72D297353CC}">
              <c16:uniqueId val="{00000001-D5FD-4A10-8FEB-419F621F26F9}"/>
            </c:ext>
          </c:extLst>
        </c:ser>
        <c:ser>
          <c:idx val="0"/>
          <c:order val="2"/>
          <c:tx>
            <c:strRef>
              <c:f>Sheet1!$D$1</c:f>
              <c:strCache>
                <c:ptCount val="1"/>
                <c:pt idx="0">
                  <c:v>Հիպոթեկի վերադարձ/ՀՆԱ,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Sheet1!$A$3:$A$9</c:f>
              <c:numCache>
                <c:formatCode>0</c:formatCode>
                <c:ptCount val="7"/>
                <c:pt idx="0">
                  <c:v>2018</c:v>
                </c:pt>
                <c:pt idx="1">
                  <c:v>2019</c:v>
                </c:pt>
                <c:pt idx="2">
                  <c:v>2020</c:v>
                </c:pt>
                <c:pt idx="3">
                  <c:v>2021</c:v>
                </c:pt>
                <c:pt idx="4">
                  <c:v>2022</c:v>
                </c:pt>
                <c:pt idx="5">
                  <c:v>2023</c:v>
                </c:pt>
                <c:pt idx="6">
                  <c:v>2024</c:v>
                </c:pt>
              </c:numCache>
            </c:numRef>
          </c:cat>
          <c:val>
            <c:numRef>
              <c:f>Sheet1!$D$2:$D$9</c:f>
              <c:numCache>
                <c:formatCode>0.0</c:formatCode>
                <c:ptCount val="7"/>
                <c:pt idx="0">
                  <c:v>7.7777387075947502E-2</c:v>
                </c:pt>
                <c:pt idx="1">
                  <c:v>0.20833051675490211</c:v>
                </c:pt>
                <c:pt idx="2">
                  <c:v>0.22253791331686656</c:v>
                </c:pt>
                <c:pt idx="3">
                  <c:v>0.32527300996321884</c:v>
                </c:pt>
                <c:pt idx="4">
                  <c:v>0.42935956756950233</c:v>
                </c:pt>
                <c:pt idx="5">
                  <c:v>0.56083999175177313</c:v>
                </c:pt>
                <c:pt idx="6">
                  <c:v>0.68466556241145349</c:v>
                </c:pt>
              </c:numCache>
            </c:numRef>
          </c:val>
          <c:extLst>
            <c:ext xmlns:c16="http://schemas.microsoft.com/office/drawing/2014/chart" uri="{C3380CC4-5D6E-409C-BE32-E72D297353CC}">
              <c16:uniqueId val="{00000002-D5FD-4A10-8FEB-419F621F26F9}"/>
            </c:ext>
          </c:extLst>
        </c:ser>
        <c:dLbls>
          <c:showLegendKey val="0"/>
          <c:showVal val="0"/>
          <c:showCatName val="0"/>
          <c:showSerName val="0"/>
          <c:showPercent val="0"/>
          <c:showBubbleSize val="0"/>
        </c:dLbls>
        <c:gapWidth val="150"/>
        <c:axId val="443351040"/>
        <c:axId val="443352576"/>
      </c:barChart>
      <c:catAx>
        <c:axId val="443351040"/>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443352576"/>
        <c:crosses val="autoZero"/>
        <c:auto val="1"/>
        <c:lblAlgn val="ctr"/>
        <c:lblOffset val="100"/>
        <c:noMultiLvlLbl val="0"/>
      </c:catAx>
      <c:valAx>
        <c:axId val="4433525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443351040"/>
        <c:crosses val="autoZero"/>
        <c:crossBetween val="between"/>
      </c:valAx>
      <c:spPr>
        <a:noFill/>
        <a:ln>
          <a:noFill/>
        </a:ln>
        <a:effectLst/>
      </c:spPr>
    </c:plotArea>
    <c:legend>
      <c:legendPos val="b"/>
      <c:layout>
        <c:manualLayout>
          <c:xMode val="edge"/>
          <c:yMode val="edge"/>
          <c:x val="7.7368034788334386E-2"/>
          <c:y val="0.78187476036208248"/>
          <c:w val="0.83655278608466621"/>
          <c:h val="0.1898965875560544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3">
    <c:autoUpdate val="0"/>
  </c:externalData>
  <c:userShapes r:id="rId4"/>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82080812768812"/>
          <c:y val="6.3554952510176385E-2"/>
          <c:w val="0.8257706331319018"/>
          <c:h val="0.63564952617015436"/>
        </c:manualLayout>
      </c:layout>
      <c:barChart>
        <c:barDir val="col"/>
        <c:grouping val="clustered"/>
        <c:varyColors val="0"/>
        <c:ser>
          <c:idx val="1"/>
          <c:order val="1"/>
          <c:tx>
            <c:strRef>
              <c:f>Sheet1!$C$1</c:f>
              <c:strCache>
                <c:ptCount val="1"/>
                <c:pt idx="0">
                  <c:v>Ոչ ֆին. ակիվ.գծով ծախսեր/ՀՆԱ%</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Sheet1!$C$2:$C$9</c:f>
              <c:numCache>
                <c:formatCode>0.0</c:formatCode>
                <c:ptCount val="7"/>
                <c:pt idx="0">
                  <c:v>2.461430617524059</c:v>
                </c:pt>
                <c:pt idx="1">
                  <c:v>2.9387820204716206</c:v>
                </c:pt>
                <c:pt idx="2">
                  <c:v>3.6588852016206133</c:v>
                </c:pt>
                <c:pt idx="3">
                  <c:v>3.0941285857225038</c:v>
                </c:pt>
                <c:pt idx="4">
                  <c:v>4.4744694274278718</c:v>
                </c:pt>
                <c:pt idx="5">
                  <c:v>5.9481183545357572</c:v>
                </c:pt>
                <c:pt idx="6">
                  <c:v>6.7672629126607022</c:v>
                </c:pt>
              </c:numCache>
            </c:numRef>
          </c:val>
          <c:extLst>
            <c:ext xmlns:c16="http://schemas.microsoft.com/office/drawing/2014/chart" uri="{C3380CC4-5D6E-409C-BE32-E72D297353CC}">
              <c16:uniqueId val="{00000000-32D1-4117-99E3-296FFF9B11B2}"/>
            </c:ext>
          </c:extLst>
        </c:ser>
        <c:dLbls>
          <c:showLegendKey val="0"/>
          <c:showVal val="0"/>
          <c:showCatName val="0"/>
          <c:showSerName val="0"/>
          <c:showPercent val="0"/>
          <c:showBubbleSize val="0"/>
        </c:dLbls>
        <c:gapWidth val="219"/>
        <c:axId val="443396864"/>
        <c:axId val="443398400"/>
      </c:barChart>
      <c:lineChart>
        <c:grouping val="standard"/>
        <c:varyColors val="0"/>
        <c:ser>
          <c:idx val="0"/>
          <c:order val="0"/>
          <c:tx>
            <c:strRef>
              <c:f>Sheet1!$B$1</c:f>
              <c:strCache>
                <c:ptCount val="1"/>
                <c:pt idx="0">
                  <c:v>Պակասուրդ/ՀՆԱ%</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
              <c:layout>
                <c:manualLayout>
                  <c:x val="-6.4230924505450135E-2"/>
                  <c:y val="-5.02110971537120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D1-4117-99E3-296FFF9B11B2}"/>
                </c:ext>
              </c:extLst>
            </c:dLbl>
            <c:dLbl>
              <c:idx val="5"/>
              <c:layout>
                <c:manualLayout>
                  <c:x val="-2.1166561496886059E-3"/>
                  <c:y val="2.48882615855093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D1-4117-99E3-296FFF9B11B2}"/>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0</c:formatCode>
                <c:ptCount val="7"/>
                <c:pt idx="0">
                  <c:v>2018</c:v>
                </c:pt>
                <c:pt idx="1">
                  <c:v>2019</c:v>
                </c:pt>
                <c:pt idx="2">
                  <c:v>2020</c:v>
                </c:pt>
                <c:pt idx="3">
                  <c:v>2021</c:v>
                </c:pt>
                <c:pt idx="4">
                  <c:v>2022</c:v>
                </c:pt>
                <c:pt idx="5">
                  <c:v>2023</c:v>
                </c:pt>
                <c:pt idx="6">
                  <c:v>2024</c:v>
                </c:pt>
              </c:numCache>
            </c:numRef>
          </c:cat>
          <c:val>
            <c:numRef>
              <c:f>Sheet1!$B$2:$B$9</c:f>
              <c:numCache>
                <c:formatCode>0.0</c:formatCode>
                <c:ptCount val="7"/>
                <c:pt idx="0">
                  <c:v>1.7515672931246957</c:v>
                </c:pt>
                <c:pt idx="1">
                  <c:v>0.973720551834374</c:v>
                </c:pt>
                <c:pt idx="2">
                  <c:v>5.4027340092352807</c:v>
                </c:pt>
                <c:pt idx="3">
                  <c:v>4.5835199056240086</c:v>
                </c:pt>
                <c:pt idx="4">
                  <c:v>2.1117623133763717</c:v>
                </c:pt>
                <c:pt idx="5">
                  <c:v>2.5957287883581301</c:v>
                </c:pt>
                <c:pt idx="6">
                  <c:v>4.5922522729795698</c:v>
                </c:pt>
              </c:numCache>
            </c:numRef>
          </c:val>
          <c:smooth val="0"/>
          <c:extLst>
            <c:ext xmlns:c16="http://schemas.microsoft.com/office/drawing/2014/chart" uri="{C3380CC4-5D6E-409C-BE32-E72D297353CC}">
              <c16:uniqueId val="{00000003-32D1-4117-99E3-296FFF9B11B2}"/>
            </c:ext>
          </c:extLst>
        </c:ser>
        <c:dLbls>
          <c:showLegendKey val="0"/>
          <c:showVal val="0"/>
          <c:showCatName val="0"/>
          <c:showSerName val="0"/>
          <c:showPercent val="0"/>
          <c:showBubbleSize val="0"/>
        </c:dLbls>
        <c:marker val="1"/>
        <c:smooth val="0"/>
        <c:axId val="443396864"/>
        <c:axId val="443398400"/>
      </c:lineChart>
      <c:catAx>
        <c:axId val="443396864"/>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443398400"/>
        <c:crosses val="autoZero"/>
        <c:auto val="1"/>
        <c:lblAlgn val="ctr"/>
        <c:lblOffset val="100"/>
        <c:noMultiLvlLbl val="0"/>
      </c:catAx>
      <c:valAx>
        <c:axId val="4433984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443396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3">
    <c:autoUpdate val="0"/>
  </c:externalData>
  <c:userShapes r:id="rId4"/>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y-AM" sz="1000" b="1">
                <a:solidFill>
                  <a:sysClr val="windowText" lastClr="000000"/>
                </a:solidFill>
                <a:latin typeface="GHEA Grapalat" panose="02000506050000020003" pitchFamily="50" charset="0"/>
              </a:rPr>
              <a:t>Կառավարության պարտքի</a:t>
            </a:r>
            <a:r>
              <a:rPr lang="hy-AM" sz="1000" b="1" baseline="0">
                <a:solidFill>
                  <a:sysClr val="windowText" lastClr="000000"/>
                </a:solidFill>
                <a:latin typeface="GHEA Grapalat" panose="02000506050000020003" pitchFamily="50" charset="0"/>
              </a:rPr>
              <a:t> դինամիկան</a:t>
            </a:r>
            <a:endParaRPr lang="en-US" sz="1000" b="1">
              <a:solidFill>
                <a:sysClr val="windowText" lastClr="000000"/>
              </a:solidFill>
              <a:latin typeface="GHEA Grapalat" panose="02000506050000020003" pitchFamily="50" charset="0"/>
            </a:endParaRPr>
          </a:p>
        </c:rich>
      </c:tx>
      <c:overlay val="0"/>
      <c:spPr>
        <a:noFill/>
        <a:ln>
          <a:noFill/>
        </a:ln>
        <a:effectLst/>
      </c:spPr>
    </c:title>
    <c:autoTitleDeleted val="0"/>
    <c:plotArea>
      <c:layout/>
      <c:barChart>
        <c:barDir val="col"/>
        <c:grouping val="clustered"/>
        <c:varyColors val="0"/>
        <c:ser>
          <c:idx val="1"/>
          <c:order val="1"/>
          <c:tx>
            <c:strRef>
              <c:f>Sheet1!$C$1</c:f>
              <c:strCache>
                <c:ptCount val="1"/>
                <c:pt idx="0">
                  <c:v>ՀՀ կառավարության պարտք, մլրդ դրամ</c:v>
                </c:pt>
              </c:strCache>
            </c:strRef>
          </c:tx>
          <c:spPr>
            <a:solidFill>
              <a:schemeClr val="accent2"/>
            </a:solidFill>
            <a:ln>
              <a:noFill/>
            </a:ln>
            <a:effectLst/>
          </c:spPr>
          <c:invertIfNegative val="0"/>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Sheet1!$C$2:$C$9</c:f>
              <c:numCache>
                <c:formatCode>0.0</c:formatCode>
                <c:ptCount val="8"/>
                <c:pt idx="0">
                  <c:v>2988.3796278717332</c:v>
                </c:pt>
                <c:pt idx="1">
                  <c:v>3082.8664640448101</c:v>
                </c:pt>
                <c:pt idx="2">
                  <c:v>3277.2813769668846</c:v>
                </c:pt>
                <c:pt idx="3">
                  <c:v>3923.8890671175195</c:v>
                </c:pt>
                <c:pt idx="4">
                  <c:v>4209.8379084366852</c:v>
                </c:pt>
                <c:pt idx="5">
                  <c:v>3969.6861616886908</c:v>
                </c:pt>
                <c:pt idx="6">
                  <c:v>4446.1232487679463</c:v>
                </c:pt>
                <c:pt idx="7">
                  <c:v>5082.9020707066893</c:v>
                </c:pt>
              </c:numCache>
            </c:numRef>
          </c:val>
          <c:extLst>
            <c:ext xmlns:c16="http://schemas.microsoft.com/office/drawing/2014/chart" uri="{C3380CC4-5D6E-409C-BE32-E72D297353CC}">
              <c16:uniqueId val="{00000000-CC18-4C41-95AD-5553DC5ADA6C}"/>
            </c:ext>
          </c:extLst>
        </c:ser>
        <c:dLbls>
          <c:showLegendKey val="0"/>
          <c:showVal val="0"/>
          <c:showCatName val="0"/>
          <c:showSerName val="0"/>
          <c:showPercent val="0"/>
          <c:showBubbleSize val="0"/>
        </c:dLbls>
        <c:gapWidth val="219"/>
        <c:axId val="444647296"/>
        <c:axId val="444648832"/>
      </c:barChart>
      <c:lineChart>
        <c:grouping val="standard"/>
        <c:varyColors val="0"/>
        <c:ser>
          <c:idx val="0"/>
          <c:order val="0"/>
          <c:tx>
            <c:strRef>
              <c:f>Sheet1!$B$1</c:f>
              <c:strCache>
                <c:ptCount val="1"/>
                <c:pt idx="0">
                  <c:v>Կառավարության պարտք/ՀՆԱ, % (աջ առանցք)</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2017</c:v>
                </c:pt>
                <c:pt idx="1">
                  <c:v>2018</c:v>
                </c:pt>
                <c:pt idx="2">
                  <c:v>2019</c:v>
                </c:pt>
                <c:pt idx="3">
                  <c:v>2020</c:v>
                </c:pt>
                <c:pt idx="4">
                  <c:v>2021</c:v>
                </c:pt>
                <c:pt idx="5">
                  <c:v>2022</c:v>
                </c:pt>
                <c:pt idx="6">
                  <c:v>2023</c:v>
                </c:pt>
                <c:pt idx="7">
                  <c:v>2024</c:v>
                </c:pt>
              </c:numCache>
            </c:numRef>
          </c:cat>
          <c:val>
            <c:numRef>
              <c:f>Sheet1!$B$2:$B$9</c:f>
              <c:numCache>
                <c:formatCode>0.0</c:formatCode>
                <c:ptCount val="8"/>
                <c:pt idx="0">
                  <c:v>53.704433930610207</c:v>
                </c:pt>
                <c:pt idx="1">
                  <c:v>51.235639506393603</c:v>
                </c:pt>
                <c:pt idx="2">
                  <c:v>49.890110777392067</c:v>
                </c:pt>
                <c:pt idx="3">
                  <c:v>63.476258231461003</c:v>
                </c:pt>
                <c:pt idx="4">
                  <c:v>60.211265701788832</c:v>
                </c:pt>
                <c:pt idx="5">
                  <c:v>46.69430429353595</c:v>
                </c:pt>
                <c:pt idx="6">
                  <c:v>47.04837219181853</c:v>
                </c:pt>
                <c:pt idx="7">
                  <c:v>48.334555623926903</c:v>
                </c:pt>
              </c:numCache>
            </c:numRef>
          </c:val>
          <c:smooth val="0"/>
          <c:extLst>
            <c:ext xmlns:c16="http://schemas.microsoft.com/office/drawing/2014/chart" uri="{C3380CC4-5D6E-409C-BE32-E72D297353CC}">
              <c16:uniqueId val="{00000001-CC18-4C41-95AD-5553DC5ADA6C}"/>
            </c:ext>
          </c:extLst>
        </c:ser>
        <c:dLbls>
          <c:showLegendKey val="0"/>
          <c:showVal val="0"/>
          <c:showCatName val="0"/>
          <c:showSerName val="0"/>
          <c:showPercent val="0"/>
          <c:showBubbleSize val="0"/>
        </c:dLbls>
        <c:marker val="1"/>
        <c:smooth val="0"/>
        <c:axId val="444652160"/>
        <c:axId val="444650624"/>
      </c:lineChart>
      <c:catAx>
        <c:axId val="44464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648832"/>
        <c:crosses val="autoZero"/>
        <c:auto val="1"/>
        <c:lblAlgn val="ctr"/>
        <c:lblOffset val="100"/>
        <c:noMultiLvlLbl val="0"/>
      </c:catAx>
      <c:valAx>
        <c:axId val="444648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647296"/>
        <c:crosses val="autoZero"/>
        <c:crossBetween val="between"/>
      </c:valAx>
      <c:valAx>
        <c:axId val="444650624"/>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652160"/>
        <c:crosses val="max"/>
        <c:crossBetween val="between"/>
      </c:valAx>
      <c:catAx>
        <c:axId val="444652160"/>
        <c:scaling>
          <c:orientation val="minMax"/>
        </c:scaling>
        <c:delete val="1"/>
        <c:axPos val="b"/>
        <c:numFmt formatCode="General" sourceLinked="1"/>
        <c:majorTickMark val="out"/>
        <c:minorTickMark val="none"/>
        <c:tickLblPos val="none"/>
        <c:crossAx val="444650624"/>
        <c:crosses val="autoZero"/>
        <c:auto val="1"/>
        <c:lblAlgn val="ctr"/>
        <c:lblOffset val="100"/>
        <c:noMultiLvlLbl val="0"/>
      </c:catAx>
      <c:spPr>
        <a:noFill/>
        <a:ln>
          <a:noFill/>
        </a:ln>
        <a:effectLst/>
      </c:spPr>
    </c:plotArea>
    <c:legend>
      <c:legendPos val="b"/>
      <c:layout>
        <c:manualLayout>
          <c:xMode val="edge"/>
          <c:yMode val="edge"/>
          <c:x val="0"/>
          <c:y val="0.78088601993439488"/>
          <c:w val="0.99724612736660856"/>
          <c:h val="0.219113980065605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99" b="0" i="0" u="none" strike="noStrike" kern="1200" spc="0" baseline="0">
                <a:solidFill>
                  <a:schemeClr val="tx1">
                    <a:lumMod val="65000"/>
                    <a:lumOff val="35000"/>
                  </a:schemeClr>
                </a:solidFill>
                <a:latin typeface="GHEA Grapalat" panose="02000506050000020003" pitchFamily="50" charset="0"/>
                <a:ea typeface="+mn-ea"/>
                <a:cs typeface="+mn-cs"/>
              </a:defRPr>
            </a:pPr>
            <a:r>
              <a:rPr lang="hy-AM" sz="899" b="1" baseline="0">
                <a:solidFill>
                  <a:sysClr val="windowText" lastClr="000000"/>
                </a:solidFill>
              </a:rPr>
              <a:t>Կառավարության պարտքի բեռի փոփոխությանը նպաստող գործոնները, </a:t>
            </a:r>
            <a:r>
              <a:rPr lang="en-US" sz="899" b="1" baseline="0">
                <a:solidFill>
                  <a:sysClr val="windowText" lastClr="000000"/>
                </a:solidFill>
              </a:rPr>
              <a:t>%-</a:t>
            </a:r>
            <a:r>
              <a:rPr lang="hy-AM" sz="899" b="1" baseline="0">
                <a:solidFill>
                  <a:sysClr val="windowText" lastClr="000000"/>
                </a:solidFill>
              </a:rPr>
              <a:t>ային կետ</a:t>
            </a:r>
            <a:endParaRPr lang="en-US" sz="900" b="1">
              <a:solidFill>
                <a:sysClr val="windowText" lastClr="000000"/>
              </a:solidFill>
            </a:endParaRPr>
          </a:p>
        </c:rich>
      </c:tx>
      <c:layout>
        <c:manualLayout>
          <c:xMode val="edge"/>
          <c:yMode val="edge"/>
          <c:x val="8.4826303261163777E-2"/>
          <c:y val="3.4761154855643046E-3"/>
        </c:manualLayout>
      </c:layout>
      <c:overlay val="0"/>
      <c:spPr>
        <a:noFill/>
        <a:ln w="25384">
          <a:noFill/>
        </a:ln>
      </c:spPr>
    </c:title>
    <c:autoTitleDeleted val="0"/>
    <c:plotArea>
      <c:layout>
        <c:manualLayout>
          <c:layoutTarget val="inner"/>
          <c:xMode val="edge"/>
          <c:yMode val="edge"/>
          <c:x val="0.11882213353467802"/>
          <c:y val="0.21861594033419091"/>
          <c:w val="0.49000876204041866"/>
          <c:h val="0.65598537806536561"/>
        </c:manualLayout>
      </c:layout>
      <c:barChart>
        <c:barDir val="col"/>
        <c:grouping val="stacked"/>
        <c:varyColors val="0"/>
        <c:ser>
          <c:idx val="0"/>
          <c:order val="0"/>
          <c:tx>
            <c:strRef>
              <c:f>Sheet1!$B$1</c:f>
              <c:strCache>
                <c:ptCount val="1"/>
                <c:pt idx="0">
                  <c:v>Առաջնային պակասուրդ</c:v>
                </c:pt>
              </c:strCache>
            </c:strRef>
          </c:tx>
          <c:spPr>
            <a:solidFill>
              <a:srgbClr val="4F81BD"/>
            </a:solidFill>
            <a:ln w="25384">
              <a:noFill/>
            </a:ln>
          </c:spPr>
          <c:invertIfNegative val="0"/>
          <c:cat>
            <c:numRef>
              <c:f>Sheet1!$A$2:$A$10</c:f>
              <c:numCache>
                <c:formatCode>General</c:formatCode>
                <c:ptCount val="7"/>
                <c:pt idx="0">
                  <c:v>2018</c:v>
                </c:pt>
                <c:pt idx="1">
                  <c:v>2019</c:v>
                </c:pt>
                <c:pt idx="2">
                  <c:v>2020</c:v>
                </c:pt>
                <c:pt idx="3">
                  <c:v>2021</c:v>
                </c:pt>
                <c:pt idx="4">
                  <c:v>2022</c:v>
                </c:pt>
                <c:pt idx="5">
                  <c:v>2023</c:v>
                </c:pt>
                <c:pt idx="6">
                  <c:v>2024</c:v>
                </c:pt>
              </c:numCache>
            </c:numRef>
          </c:cat>
          <c:val>
            <c:numRef>
              <c:f>Sheet1!$B$2:$B$10</c:f>
              <c:numCache>
                <c:formatCode>0.0</c:formatCode>
                <c:ptCount val="7"/>
                <c:pt idx="0">
                  <c:v>-0.57258085880967613</c:v>
                </c:pt>
                <c:pt idx="1">
                  <c:v>-1.4284363292094469</c:v>
                </c:pt>
                <c:pt idx="2">
                  <c:v>2.7324762509823195</c:v>
                </c:pt>
                <c:pt idx="3">
                  <c:v>2.1826159296250589</c:v>
                </c:pt>
                <c:pt idx="4">
                  <c:v>-0.37885727665999891</c:v>
                </c:pt>
                <c:pt idx="5">
                  <c:v>-0.33673744093600522</c:v>
                </c:pt>
                <c:pt idx="6">
                  <c:v>0.34466328390954093</c:v>
                </c:pt>
              </c:numCache>
            </c:numRef>
          </c:val>
          <c:extLst>
            <c:ext xmlns:c16="http://schemas.microsoft.com/office/drawing/2014/chart" uri="{C3380CC4-5D6E-409C-BE32-E72D297353CC}">
              <c16:uniqueId val="{00000000-AD57-4A4A-8D4A-AFA1532D50C2}"/>
            </c:ext>
          </c:extLst>
        </c:ser>
        <c:ser>
          <c:idx val="1"/>
          <c:order val="1"/>
          <c:tx>
            <c:strRef>
              <c:f>Sheet1!$C$1</c:f>
              <c:strCache>
                <c:ptCount val="1"/>
                <c:pt idx="0">
                  <c:v>Իրական տոկոսադրույք</c:v>
                </c:pt>
              </c:strCache>
            </c:strRef>
          </c:tx>
          <c:spPr>
            <a:solidFill>
              <a:srgbClr val="C0504D"/>
            </a:solidFill>
            <a:ln w="25384">
              <a:noFill/>
            </a:ln>
          </c:spPr>
          <c:invertIfNegative val="0"/>
          <c:cat>
            <c:numRef>
              <c:f>Sheet1!$A$2:$A$10</c:f>
              <c:numCache>
                <c:formatCode>General</c:formatCode>
                <c:ptCount val="7"/>
                <c:pt idx="0">
                  <c:v>2018</c:v>
                </c:pt>
                <c:pt idx="1">
                  <c:v>2019</c:v>
                </c:pt>
                <c:pt idx="2">
                  <c:v>2020</c:v>
                </c:pt>
                <c:pt idx="3">
                  <c:v>2021</c:v>
                </c:pt>
                <c:pt idx="4">
                  <c:v>2022</c:v>
                </c:pt>
                <c:pt idx="5">
                  <c:v>2023</c:v>
                </c:pt>
                <c:pt idx="6">
                  <c:v>2024</c:v>
                </c:pt>
              </c:numCache>
            </c:numRef>
          </c:cat>
          <c:val>
            <c:numRef>
              <c:f>Sheet1!$C$2:$C$10</c:f>
              <c:numCache>
                <c:formatCode>0.0</c:formatCode>
                <c:ptCount val="7"/>
                <c:pt idx="0">
                  <c:v>0.98012789078743601</c:v>
                </c:pt>
                <c:pt idx="1">
                  <c:v>1.6930478859443168</c:v>
                </c:pt>
                <c:pt idx="2">
                  <c:v>1.6692093790760498</c:v>
                </c:pt>
                <c:pt idx="3">
                  <c:v>-1.5186370629788788</c:v>
                </c:pt>
                <c:pt idx="4">
                  <c:v>-1.6238836096552502</c:v>
                </c:pt>
                <c:pt idx="5">
                  <c:v>1.3279738960932617</c:v>
                </c:pt>
                <c:pt idx="6">
                  <c:v>1.117526718669972</c:v>
                </c:pt>
              </c:numCache>
            </c:numRef>
          </c:val>
          <c:extLst>
            <c:ext xmlns:c16="http://schemas.microsoft.com/office/drawing/2014/chart" uri="{C3380CC4-5D6E-409C-BE32-E72D297353CC}">
              <c16:uniqueId val="{00000001-AD57-4A4A-8D4A-AFA1532D50C2}"/>
            </c:ext>
          </c:extLst>
        </c:ser>
        <c:ser>
          <c:idx val="2"/>
          <c:order val="2"/>
          <c:tx>
            <c:strRef>
              <c:f>Sheet1!$D$1</c:f>
              <c:strCache>
                <c:ptCount val="1"/>
                <c:pt idx="0">
                  <c:v>Իրական ՀՆԱ աճ</c:v>
                </c:pt>
              </c:strCache>
            </c:strRef>
          </c:tx>
          <c:spPr>
            <a:solidFill>
              <a:srgbClr val="9BBB59"/>
            </a:solidFill>
            <a:ln w="25384">
              <a:noFill/>
            </a:ln>
          </c:spPr>
          <c:invertIfNegative val="0"/>
          <c:cat>
            <c:numRef>
              <c:f>Sheet1!$A$2:$A$10</c:f>
              <c:numCache>
                <c:formatCode>General</c:formatCode>
                <c:ptCount val="7"/>
                <c:pt idx="0">
                  <c:v>2018</c:v>
                </c:pt>
                <c:pt idx="1">
                  <c:v>2019</c:v>
                </c:pt>
                <c:pt idx="2">
                  <c:v>2020</c:v>
                </c:pt>
                <c:pt idx="3">
                  <c:v>2021</c:v>
                </c:pt>
                <c:pt idx="4">
                  <c:v>2022</c:v>
                </c:pt>
                <c:pt idx="5">
                  <c:v>2023</c:v>
                </c:pt>
                <c:pt idx="6">
                  <c:v>2024</c:v>
                </c:pt>
              </c:numCache>
            </c:numRef>
          </c:cat>
          <c:val>
            <c:numRef>
              <c:f>Sheet1!$D$2:$D$10</c:f>
              <c:numCache>
                <c:formatCode>0.0</c:formatCode>
                <c:ptCount val="7"/>
                <c:pt idx="0">
                  <c:v>-2.6039370723394306</c:v>
                </c:pt>
                <c:pt idx="1">
                  <c:v>-3.5727954124852048</c:v>
                </c:pt>
                <c:pt idx="2">
                  <c:v>3.927730789386175</c:v>
                </c:pt>
                <c:pt idx="3">
                  <c:v>-3.1805094702168866</c:v>
                </c:pt>
                <c:pt idx="4">
                  <c:v>-6.2472885197173937</c:v>
                </c:pt>
                <c:pt idx="5">
                  <c:v>-3.0301300644734557</c:v>
                </c:pt>
                <c:pt idx="6">
                  <c:v>-3.0301300644734557</c:v>
                </c:pt>
              </c:numCache>
            </c:numRef>
          </c:val>
          <c:extLst>
            <c:ext xmlns:c16="http://schemas.microsoft.com/office/drawing/2014/chart" uri="{C3380CC4-5D6E-409C-BE32-E72D297353CC}">
              <c16:uniqueId val="{00000002-AD57-4A4A-8D4A-AFA1532D50C2}"/>
            </c:ext>
          </c:extLst>
        </c:ser>
        <c:ser>
          <c:idx val="3"/>
          <c:order val="3"/>
          <c:tx>
            <c:strRef>
              <c:f>Sheet1!$E$1</c:f>
              <c:strCache>
                <c:ptCount val="1"/>
                <c:pt idx="0">
                  <c:v>Փոխարժեքի արժեզրկում</c:v>
                </c:pt>
              </c:strCache>
            </c:strRef>
          </c:tx>
          <c:spPr>
            <a:solidFill>
              <a:srgbClr val="8064A2"/>
            </a:solidFill>
            <a:ln w="25384">
              <a:noFill/>
            </a:ln>
          </c:spPr>
          <c:invertIfNegative val="0"/>
          <c:cat>
            <c:numRef>
              <c:f>Sheet1!$A$2:$A$10</c:f>
              <c:numCache>
                <c:formatCode>General</c:formatCode>
                <c:ptCount val="7"/>
                <c:pt idx="0">
                  <c:v>2018</c:v>
                </c:pt>
                <c:pt idx="1">
                  <c:v>2019</c:v>
                </c:pt>
                <c:pt idx="2">
                  <c:v>2020</c:v>
                </c:pt>
                <c:pt idx="3">
                  <c:v>2021</c:v>
                </c:pt>
                <c:pt idx="4">
                  <c:v>2022</c:v>
                </c:pt>
                <c:pt idx="5">
                  <c:v>2023</c:v>
                </c:pt>
                <c:pt idx="6">
                  <c:v>2024</c:v>
                </c:pt>
              </c:numCache>
            </c:numRef>
          </c:cat>
          <c:val>
            <c:numRef>
              <c:f>Sheet1!$E$2:$E$10</c:f>
              <c:numCache>
                <c:formatCode>0.0</c:formatCode>
                <c:ptCount val="7"/>
                <c:pt idx="0">
                  <c:v>-3.0355942288865109E-2</c:v>
                </c:pt>
                <c:pt idx="1">
                  <c:v>-0.33045922768254016</c:v>
                </c:pt>
                <c:pt idx="2">
                  <c:v>3.869772584163178</c:v>
                </c:pt>
                <c:pt idx="3">
                  <c:v>-4.106412737413172</c:v>
                </c:pt>
                <c:pt idx="4">
                  <c:v>-10.851859860827291</c:v>
                </c:pt>
              </c:numCache>
            </c:numRef>
          </c:val>
          <c:extLst>
            <c:ext xmlns:c16="http://schemas.microsoft.com/office/drawing/2014/chart" uri="{C3380CC4-5D6E-409C-BE32-E72D297353CC}">
              <c16:uniqueId val="{00000003-AD57-4A4A-8D4A-AFA1532D50C2}"/>
            </c:ext>
          </c:extLst>
        </c:ser>
        <c:ser>
          <c:idx val="4"/>
          <c:order val="4"/>
          <c:tx>
            <c:strRef>
              <c:f>Sheet1!$F$1</c:f>
              <c:strCache>
                <c:ptCount val="1"/>
                <c:pt idx="0">
                  <c:v>Զուտ վարկավորում բյուջեից</c:v>
                </c:pt>
              </c:strCache>
            </c:strRef>
          </c:tx>
          <c:spPr>
            <a:solidFill>
              <a:srgbClr val="4BACC6"/>
            </a:solidFill>
            <a:ln w="25384">
              <a:noFill/>
            </a:ln>
          </c:spPr>
          <c:invertIfNegative val="0"/>
          <c:cat>
            <c:numRef>
              <c:f>Sheet1!$A$2:$A$10</c:f>
              <c:numCache>
                <c:formatCode>General</c:formatCode>
                <c:ptCount val="7"/>
                <c:pt idx="0">
                  <c:v>2018</c:v>
                </c:pt>
                <c:pt idx="1">
                  <c:v>2019</c:v>
                </c:pt>
                <c:pt idx="2">
                  <c:v>2020</c:v>
                </c:pt>
                <c:pt idx="3">
                  <c:v>2021</c:v>
                </c:pt>
                <c:pt idx="4">
                  <c:v>2022</c:v>
                </c:pt>
                <c:pt idx="5">
                  <c:v>2023</c:v>
                </c:pt>
                <c:pt idx="6">
                  <c:v>2024</c:v>
                </c:pt>
              </c:numCache>
            </c:numRef>
          </c:cat>
          <c:val>
            <c:numRef>
              <c:f>Sheet1!$F$2:$F$10</c:f>
              <c:numCache>
                <c:formatCode>0.0</c:formatCode>
                <c:ptCount val="7"/>
                <c:pt idx="0">
                  <c:v>0.81037920761112525</c:v>
                </c:pt>
                <c:pt idx="1">
                  <c:v>1.0104016885491129</c:v>
                </c:pt>
                <c:pt idx="2">
                  <c:v>1.6545023656332283</c:v>
                </c:pt>
                <c:pt idx="3">
                  <c:v>1.8936427014800208</c:v>
                </c:pt>
                <c:pt idx="4">
                  <c:v>1.9356766900099158</c:v>
                </c:pt>
                <c:pt idx="5">
                  <c:v>2.3156060360292883</c:v>
                </c:pt>
                <c:pt idx="6">
                  <c:v>1.459508824904131</c:v>
                </c:pt>
              </c:numCache>
            </c:numRef>
          </c:val>
          <c:extLst>
            <c:ext xmlns:c16="http://schemas.microsoft.com/office/drawing/2014/chart" uri="{C3380CC4-5D6E-409C-BE32-E72D297353CC}">
              <c16:uniqueId val="{00000004-AD57-4A4A-8D4A-AFA1532D50C2}"/>
            </c:ext>
          </c:extLst>
        </c:ser>
        <c:ser>
          <c:idx val="5"/>
          <c:order val="5"/>
          <c:tx>
            <c:strRef>
              <c:f>Sheet1!$G$1</c:f>
              <c:strCache>
                <c:ptCount val="1"/>
                <c:pt idx="0">
                  <c:v>Մնացորդ</c:v>
                </c:pt>
              </c:strCache>
            </c:strRef>
          </c:tx>
          <c:spPr>
            <a:solidFill>
              <a:srgbClr val="F79646"/>
            </a:solidFill>
            <a:ln w="25384">
              <a:noFill/>
            </a:ln>
          </c:spPr>
          <c:invertIfNegative val="0"/>
          <c:cat>
            <c:numRef>
              <c:f>Sheet1!$A$2:$A$10</c:f>
              <c:numCache>
                <c:formatCode>General</c:formatCode>
                <c:ptCount val="7"/>
                <c:pt idx="0">
                  <c:v>2018</c:v>
                </c:pt>
                <c:pt idx="1">
                  <c:v>2019</c:v>
                </c:pt>
                <c:pt idx="2">
                  <c:v>2020</c:v>
                </c:pt>
                <c:pt idx="3">
                  <c:v>2021</c:v>
                </c:pt>
                <c:pt idx="4">
                  <c:v>2022</c:v>
                </c:pt>
                <c:pt idx="5">
                  <c:v>2023</c:v>
                </c:pt>
                <c:pt idx="6">
                  <c:v>2024</c:v>
                </c:pt>
              </c:numCache>
            </c:numRef>
          </c:cat>
          <c:val>
            <c:numRef>
              <c:f>Sheet1!$G$2:$G$10</c:f>
              <c:numCache>
                <c:formatCode>0.0</c:formatCode>
                <c:ptCount val="7"/>
                <c:pt idx="0">
                  <c:v>-0.90772701057372629</c:v>
                </c:pt>
                <c:pt idx="1">
                  <c:v>1.3324296052555091</c:v>
                </c:pt>
                <c:pt idx="2">
                  <c:v>-0.48467011139045901</c:v>
                </c:pt>
                <c:pt idx="3">
                  <c:v>1.5413022514064032</c:v>
                </c:pt>
                <c:pt idx="4">
                  <c:v>3.5732403965873196</c:v>
                </c:pt>
                <c:pt idx="5">
                  <c:v>4.9777201618937728E-2</c:v>
                </c:pt>
                <c:pt idx="6">
                  <c:v>1.4825726861832922</c:v>
                </c:pt>
              </c:numCache>
            </c:numRef>
          </c:val>
          <c:extLst>
            <c:ext xmlns:c16="http://schemas.microsoft.com/office/drawing/2014/chart" uri="{C3380CC4-5D6E-409C-BE32-E72D297353CC}">
              <c16:uniqueId val="{00000005-AD57-4A4A-8D4A-AFA1532D50C2}"/>
            </c:ext>
          </c:extLst>
        </c:ser>
        <c:dLbls>
          <c:showLegendKey val="0"/>
          <c:showVal val="0"/>
          <c:showCatName val="0"/>
          <c:showSerName val="0"/>
          <c:showPercent val="0"/>
          <c:showBubbleSize val="0"/>
        </c:dLbls>
        <c:gapWidth val="81"/>
        <c:overlap val="100"/>
        <c:axId val="153985024"/>
        <c:axId val="153986944"/>
      </c:barChart>
      <c:lineChart>
        <c:grouping val="standard"/>
        <c:varyColors val="0"/>
        <c:ser>
          <c:idx val="6"/>
          <c:order val="6"/>
          <c:tx>
            <c:strRef>
              <c:f>Sheet1!$H$1</c:f>
              <c:strCache>
                <c:ptCount val="1"/>
                <c:pt idx="0">
                  <c:v>Պարտք/ՀՆԱ փոփոխություն, %-ային կետ </c:v>
                </c:pt>
              </c:strCache>
            </c:strRef>
          </c:tx>
          <c:spPr>
            <a:ln w="28557" cap="rnd">
              <a:solidFill>
                <a:schemeClr val="accent1">
                  <a:lumMod val="60000"/>
                </a:schemeClr>
              </a:solidFill>
              <a:round/>
            </a:ln>
            <a:effectLst/>
          </c:spPr>
          <c:marker>
            <c:symbol val="circle"/>
            <c:size val="4"/>
            <c:spPr>
              <a:solidFill>
                <a:schemeClr val="accent1">
                  <a:lumMod val="60000"/>
                </a:schemeClr>
              </a:solidFill>
              <a:ln w="9519">
                <a:solidFill>
                  <a:schemeClr val="accent1">
                    <a:lumMod val="60000"/>
                  </a:schemeClr>
                </a:solidFill>
              </a:ln>
              <a:effectLst/>
            </c:spPr>
          </c:marker>
          <c:cat>
            <c:numRef>
              <c:f>Sheet1!$A$2:$A$10</c:f>
              <c:numCache>
                <c:formatCode>General</c:formatCode>
                <c:ptCount val="7"/>
                <c:pt idx="0">
                  <c:v>2018</c:v>
                </c:pt>
                <c:pt idx="1">
                  <c:v>2019</c:v>
                </c:pt>
                <c:pt idx="2">
                  <c:v>2020</c:v>
                </c:pt>
                <c:pt idx="3">
                  <c:v>2021</c:v>
                </c:pt>
                <c:pt idx="4">
                  <c:v>2022</c:v>
                </c:pt>
                <c:pt idx="5">
                  <c:v>2023</c:v>
                </c:pt>
                <c:pt idx="6">
                  <c:v>2024</c:v>
                </c:pt>
              </c:numCache>
            </c:numRef>
          </c:cat>
          <c:val>
            <c:numRef>
              <c:f>Sheet1!$H$2:$H$10</c:f>
              <c:numCache>
                <c:formatCode>0.0</c:formatCode>
                <c:ptCount val="7"/>
                <c:pt idx="0">
                  <c:v>-2.3240937856131367</c:v>
                </c:pt>
                <c:pt idx="1">
                  <c:v>-1.2958117896282531</c:v>
                </c:pt>
                <c:pt idx="2">
                  <c:v>13.369021257850491</c:v>
                </c:pt>
                <c:pt idx="3">
                  <c:v>-3.1879983880974549</c:v>
                </c:pt>
                <c:pt idx="4">
                  <c:v>-13.592972180262699</c:v>
                </c:pt>
                <c:pt idx="5">
                  <c:v>0.32648962833202688</c:v>
                </c:pt>
                <c:pt idx="6">
                  <c:v>1.3741414491934805</c:v>
                </c:pt>
              </c:numCache>
            </c:numRef>
          </c:val>
          <c:smooth val="0"/>
          <c:extLst>
            <c:ext xmlns:c16="http://schemas.microsoft.com/office/drawing/2014/chart" uri="{C3380CC4-5D6E-409C-BE32-E72D297353CC}">
              <c16:uniqueId val="{00000006-AD57-4A4A-8D4A-AFA1532D50C2}"/>
            </c:ext>
          </c:extLst>
        </c:ser>
        <c:dLbls>
          <c:showLegendKey val="0"/>
          <c:showVal val="0"/>
          <c:showCatName val="0"/>
          <c:showSerName val="0"/>
          <c:showPercent val="0"/>
          <c:showBubbleSize val="0"/>
        </c:dLbls>
        <c:marker val="1"/>
        <c:smooth val="0"/>
        <c:axId val="153985024"/>
        <c:axId val="153986944"/>
      </c:lineChart>
      <c:catAx>
        <c:axId val="153985024"/>
        <c:scaling>
          <c:orientation val="minMax"/>
        </c:scaling>
        <c:delete val="0"/>
        <c:axPos val="b"/>
        <c:numFmt formatCode="General" sourceLinked="1"/>
        <c:majorTickMark val="none"/>
        <c:minorTickMark val="none"/>
        <c:tickLblPos val="low"/>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53986944"/>
        <c:crosses val="autoZero"/>
        <c:auto val="1"/>
        <c:lblAlgn val="ctr"/>
        <c:lblOffset val="100"/>
        <c:noMultiLvlLbl val="0"/>
      </c:catAx>
      <c:valAx>
        <c:axId val="153986944"/>
        <c:scaling>
          <c:orientation val="minMax"/>
        </c:scaling>
        <c:delete val="0"/>
        <c:axPos val="l"/>
        <c:majorGridlines>
          <c:spPr>
            <a:ln w="9519" cap="flat" cmpd="sng" algn="ctr">
              <a:solidFill>
                <a:schemeClr val="tx1">
                  <a:lumMod val="15000"/>
                  <a:lumOff val="85000"/>
                </a:schemeClr>
              </a:solidFill>
              <a:round/>
            </a:ln>
            <a:effectLst/>
          </c:spPr>
        </c:majorGridlines>
        <c:numFmt formatCode="0.0" sourceLinked="1"/>
        <c:majorTickMark val="none"/>
        <c:minorTickMark val="none"/>
        <c:tickLblPos val="nextTo"/>
        <c:spPr>
          <a:ln w="9519">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153985024"/>
        <c:crosses val="autoZero"/>
        <c:crossBetween val="between"/>
      </c:valAx>
      <c:spPr>
        <a:noFill/>
        <a:ln w="25384">
          <a:noFill/>
        </a:ln>
      </c:spPr>
    </c:plotArea>
    <c:legend>
      <c:legendPos val="r"/>
      <c:legendEntry>
        <c:idx val="1"/>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0.6235197988129122"/>
          <c:y val="0.18021083998163598"/>
          <c:w val="0.34414221460698219"/>
          <c:h val="0.81679270289233652"/>
        </c:manualLayout>
      </c:layout>
      <c:overlay val="0"/>
      <c:spPr>
        <a:noFill/>
        <a:ln w="25384">
          <a:noFill/>
        </a:ln>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20977596741344E-2"/>
          <c:y val="7.3260335323429362E-2"/>
          <c:w val="0.49490835030549907"/>
          <c:h val="0.89011307417966656"/>
        </c:manualLayout>
      </c:layout>
      <c:pieChart>
        <c:varyColors val="1"/>
        <c:ser>
          <c:idx val="0"/>
          <c:order val="0"/>
          <c:spPr>
            <a:solidFill>
              <a:srgbClr val="4F81BD"/>
            </a:solidFill>
            <a:ln w="25400">
              <a:noFill/>
            </a:ln>
          </c:spPr>
          <c:explosion val="25"/>
          <c:dPt>
            <c:idx val="1"/>
            <c:bubble3D val="0"/>
            <c:explosion val="24"/>
            <c:spPr>
              <a:solidFill>
                <a:srgbClr val="C0504D"/>
              </a:solidFill>
              <a:ln w="25400">
                <a:noFill/>
              </a:ln>
            </c:spPr>
            <c:extLst>
              <c:ext xmlns:c16="http://schemas.microsoft.com/office/drawing/2014/chart" uri="{C3380CC4-5D6E-409C-BE32-E72D297353CC}">
                <c16:uniqueId val="{00000001-00C6-476B-BBA9-8DCE4C00FB2C}"/>
              </c:ext>
            </c:extLst>
          </c:dPt>
          <c:dPt>
            <c:idx val="2"/>
            <c:bubble3D val="0"/>
            <c:spPr>
              <a:solidFill>
                <a:srgbClr val="9BBB59"/>
              </a:solidFill>
              <a:ln w="25400">
                <a:noFill/>
              </a:ln>
            </c:spPr>
            <c:extLst>
              <c:ext xmlns:c16="http://schemas.microsoft.com/office/drawing/2014/chart" uri="{C3380CC4-5D6E-409C-BE32-E72D297353CC}">
                <c16:uniqueId val="{00000003-00C6-476B-BBA9-8DCE4C00FB2C}"/>
              </c:ext>
            </c:extLst>
          </c:dPt>
          <c:dLbls>
            <c:dLbl>
              <c:idx val="0"/>
              <c:layout>
                <c:manualLayout>
                  <c:x val="3.7431725245129832E-2"/>
                  <c:y val="0"/>
                </c:manualLayout>
              </c:layout>
              <c:tx>
                <c:rich>
                  <a:bodyPr/>
                  <a:lstStyle/>
                  <a:p>
                    <a:r>
                      <a:rPr lang="en-US"/>
                      <a:t>96.0%</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0C6-476B-BBA9-8DCE4C00FB2C}"/>
                </c:ext>
              </c:extLst>
            </c:dLbl>
            <c:dLbl>
              <c:idx val="1"/>
              <c:layout>
                <c:manualLayout>
                  <c:x val="-1.4478655983178658E-2"/>
                  <c:y val="7.1039264968204077E-3"/>
                </c:manualLayout>
              </c:layout>
              <c:tx>
                <c:rich>
                  <a:bodyPr/>
                  <a:lstStyle/>
                  <a:p>
                    <a:r>
                      <a:rPr lang="en-US"/>
                      <a:t>3.2%</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0C6-476B-BBA9-8DCE4C00FB2C}"/>
                </c:ext>
              </c:extLst>
            </c:dLbl>
            <c:dLbl>
              <c:idx val="2"/>
              <c:layout>
                <c:manualLayout>
                  <c:x val="4.1268116326718243E-2"/>
                  <c:y val="8.9844708525324002E-3"/>
                </c:manualLayout>
              </c:layout>
              <c:tx>
                <c:rich>
                  <a:bodyPr/>
                  <a:lstStyle/>
                  <a:p>
                    <a:r>
                      <a:rPr lang="en-US"/>
                      <a:t>0.8%</a:t>
                    </a:r>
                  </a:p>
                </c:rich>
              </c:tx>
              <c:dLblPos val="bestFit"/>
              <c:showLegendKey val="0"/>
              <c:showVal val="1"/>
              <c:showCatName val="0"/>
              <c:showSerName val="0"/>
              <c:showPercent val="0"/>
              <c:showBubbleSize val="0"/>
              <c:extLst>
                <c:ext xmlns:c15="http://schemas.microsoft.com/office/drawing/2012/chart" uri="{CE6537A1-D6FC-4f65-9D91-7224C49458BB}">
                  <c15:layout>
                    <c:manualLayout>
                      <c:w val="7.095552664387772E-2"/>
                      <c:h val="7.2555161374059013E-2"/>
                    </c:manualLayout>
                  </c15:layout>
                  <c15:showDataLabelsRange val="0"/>
                </c:ext>
                <c:ext xmlns:c16="http://schemas.microsoft.com/office/drawing/2014/chart" uri="{C3380CC4-5D6E-409C-BE32-E72D297353CC}">
                  <c16:uniqueId val="{00000003-00C6-476B-BBA9-8DCE4C00FB2C}"/>
                </c:ext>
              </c:extLst>
            </c:dLbl>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table!$C$4:$C$6</c:f>
              <c:strCache>
                <c:ptCount val="3"/>
                <c:pt idx="0">
                  <c:v>Հարկային եկամուտներ և պետական տուրքեր</c:v>
                </c:pt>
                <c:pt idx="1">
                  <c:v>Պաշտոնական դրամաշնորհներ</c:v>
                </c:pt>
                <c:pt idx="2">
                  <c:v>Այլ եկամուտներ</c:v>
                </c:pt>
              </c:strCache>
            </c:strRef>
          </c:cat>
          <c:val>
            <c:numRef>
              <c:f>table!$D$4:$D$6</c:f>
              <c:numCache>
                <c:formatCode>0.0%</c:formatCode>
                <c:ptCount val="3"/>
                <c:pt idx="0">
                  <c:v>0.9586782936035263</c:v>
                </c:pt>
                <c:pt idx="1">
                  <c:v>3.2604589689778647E-2</c:v>
                </c:pt>
                <c:pt idx="2">
                  <c:v>8.7171167066951143E-3</c:v>
                </c:pt>
              </c:numCache>
            </c:numRef>
          </c:val>
          <c:extLst>
            <c:ext xmlns:c16="http://schemas.microsoft.com/office/drawing/2014/chart" uri="{C3380CC4-5D6E-409C-BE32-E72D297353CC}">
              <c16:uniqueId val="{00000005-00C6-476B-BBA9-8DCE4C00FB2C}"/>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843177189409364"/>
          <c:y val="0.19047695961081787"/>
          <c:w val="0.29327902240325865"/>
          <c:h val="0.6190499264515017"/>
        </c:manualLayout>
      </c:layout>
      <c:overlay val="0"/>
      <c:spPr>
        <a:noFill/>
        <a:ln w="25400">
          <a:noFill/>
        </a:ln>
      </c:spPr>
      <c:txPr>
        <a:bodyPr/>
        <a:lstStyle/>
        <a:p>
          <a:pPr>
            <a:defRPr sz="920" b="0" i="0" u="none" strike="noStrike" baseline="0">
              <a:solidFill>
                <a:srgbClr val="000000"/>
              </a:solidFill>
              <a:latin typeface="Calibri"/>
              <a:ea typeface="Calibri"/>
              <a:cs typeface="Calibri"/>
            </a:defRPr>
          </a:pPr>
          <a:endParaRPr lang="en-US"/>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93043549998624"/>
          <c:y val="3.2277022190408018E-2"/>
          <c:w val="0.78411874883509181"/>
          <c:h val="0.6461463851109519"/>
        </c:manualLayout>
      </c:layout>
      <c:lineChart>
        <c:grouping val="standard"/>
        <c:varyColors val="0"/>
        <c:ser>
          <c:idx val="0"/>
          <c:order val="0"/>
          <c:tx>
            <c:strRef>
              <c:f>Sheet1!$D$1</c:f>
              <c:strCache>
                <c:ptCount val="1"/>
                <c:pt idx="0">
                  <c:v>Միս</c:v>
                </c:pt>
              </c:strCache>
            </c:strRef>
          </c:tx>
          <c:spPr>
            <a:ln w="15875" cap="rnd">
              <a:solidFill>
                <a:schemeClr val="accent1"/>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Sheet1!$D$2:$D$57</c:f>
              <c:numCache>
                <c:formatCode>0.0</c:formatCode>
                <c:ptCount val="56"/>
                <c:pt idx="0">
                  <c:v>100</c:v>
                </c:pt>
                <c:pt idx="1">
                  <c:v>100.89382651043778</c:v>
                </c:pt>
                <c:pt idx="2">
                  <c:v>102.50156164381458</c:v>
                </c:pt>
                <c:pt idx="3">
                  <c:v>105.94542842382498</c:v>
                </c:pt>
                <c:pt idx="4">
                  <c:v>108.9578899623221</c:v>
                </c:pt>
                <c:pt idx="5">
                  <c:v>109.7112869950171</c:v>
                </c:pt>
                <c:pt idx="6">
                  <c:v>111.02445504971973</c:v>
                </c:pt>
                <c:pt idx="7">
                  <c:v>110.84259704419428</c:v>
                </c:pt>
                <c:pt idx="8">
                  <c:v>109.47961507107598</c:v>
                </c:pt>
                <c:pt idx="9">
                  <c:v>110.05895691544292</c:v>
                </c:pt>
                <c:pt idx="10">
                  <c:v>115.45079898372904</c:v>
                </c:pt>
                <c:pt idx="11">
                  <c:v>115.58266625358216</c:v>
                </c:pt>
                <c:pt idx="12">
                  <c:v>112.29051058854664</c:v>
                </c:pt>
                <c:pt idx="13">
                  <c:v>108.87962695707913</c:v>
                </c:pt>
                <c:pt idx="14">
                  <c:v>107.75461124716239</c:v>
                </c:pt>
                <c:pt idx="15">
                  <c:v>105.02501121896981</c:v>
                </c:pt>
                <c:pt idx="16">
                  <c:v>103.40959303622228</c:v>
                </c:pt>
                <c:pt idx="17">
                  <c:v>102.75986548640878</c:v>
                </c:pt>
                <c:pt idx="18">
                  <c:v>99.953576839975611</c:v>
                </c:pt>
                <c:pt idx="19">
                  <c:v>99.927529852408483</c:v>
                </c:pt>
                <c:pt idx="20">
                  <c:v>99.137473353780067</c:v>
                </c:pt>
                <c:pt idx="21">
                  <c:v>99.472804816040963</c:v>
                </c:pt>
                <c:pt idx="22">
                  <c:v>101.13605313987937</c:v>
                </c:pt>
                <c:pt idx="23">
                  <c:v>102.79097619978188</c:v>
                </c:pt>
                <c:pt idx="24">
                  <c:v>104.00018051327531</c:v>
                </c:pt>
                <c:pt idx="25">
                  <c:v>105.95893633292587</c:v>
                </c:pt>
                <c:pt idx="26">
                  <c:v>109.20436144823053</c:v>
                </c:pt>
                <c:pt idx="27">
                  <c:v>113.08705779161301</c:v>
                </c:pt>
                <c:pt idx="28">
                  <c:v>116.38077467368926</c:v>
                </c:pt>
                <c:pt idx="29">
                  <c:v>119.95958468735375</c:v>
                </c:pt>
                <c:pt idx="30">
                  <c:v>123.67339307268786</c:v>
                </c:pt>
                <c:pt idx="31">
                  <c:v>122.9359923531395</c:v>
                </c:pt>
                <c:pt idx="32">
                  <c:v>122.12209010220813</c:v>
                </c:pt>
                <c:pt idx="33">
                  <c:v>121.34972751815869</c:v>
                </c:pt>
                <c:pt idx="34">
                  <c:v>121.93538976479982</c:v>
                </c:pt>
                <c:pt idx="35">
                  <c:v>120.3316311831653</c:v>
                </c:pt>
                <c:pt idx="36">
                  <c:v>121.54282491034134</c:v>
                </c:pt>
                <c:pt idx="37">
                  <c:v>123.41343700517467</c:v>
                </c:pt>
                <c:pt idx="38">
                  <c:v>129.31863354144474</c:v>
                </c:pt>
                <c:pt idx="39">
                  <c:v>132.11451837876544</c:v>
                </c:pt>
                <c:pt idx="40">
                  <c:v>133.16726615138023</c:v>
                </c:pt>
                <c:pt idx="41">
                  <c:v>136.47240432057984</c:v>
                </c:pt>
                <c:pt idx="42">
                  <c:v>134.44629883580902</c:v>
                </c:pt>
                <c:pt idx="43">
                  <c:v>131.23894152039051</c:v>
                </c:pt>
                <c:pt idx="44">
                  <c:v>130.3523200881308</c:v>
                </c:pt>
                <c:pt idx="45">
                  <c:v>126.61319947289506</c:v>
                </c:pt>
                <c:pt idx="46">
                  <c:v>124.22928767560416</c:v>
                </c:pt>
                <c:pt idx="47">
                  <c:v>121.8208849987623</c:v>
                </c:pt>
                <c:pt idx="48">
                  <c:v>120.43665627393959</c:v>
                </c:pt>
                <c:pt idx="49">
                  <c:v>122.81408036116085</c:v>
                </c:pt>
                <c:pt idx="50">
                  <c:v>124.29910044912482</c:v>
                </c:pt>
                <c:pt idx="51">
                  <c:v>126.51713517444848</c:v>
                </c:pt>
                <c:pt idx="52">
                  <c:v>127.98607374743</c:v>
                </c:pt>
                <c:pt idx="53">
                  <c:v>128.92475665580287</c:v>
                </c:pt>
                <c:pt idx="54">
                  <c:v>128.09285636595342</c:v>
                </c:pt>
                <c:pt idx="55">
                  <c:v>124.21162726840694</c:v>
                </c:pt>
              </c:numCache>
            </c:numRef>
          </c:val>
          <c:smooth val="0"/>
          <c:extLst>
            <c:ext xmlns:c16="http://schemas.microsoft.com/office/drawing/2014/chart" uri="{C3380CC4-5D6E-409C-BE32-E72D297353CC}">
              <c16:uniqueId val="{00000000-058E-4F44-8E0B-E62645370F56}"/>
            </c:ext>
          </c:extLst>
        </c:ser>
        <c:ser>
          <c:idx val="1"/>
          <c:order val="1"/>
          <c:tx>
            <c:strRef>
              <c:f>Sheet1!$E$1</c:f>
              <c:strCache>
                <c:ptCount val="1"/>
                <c:pt idx="0">
                  <c:v>Կաթնամթերք</c:v>
                </c:pt>
              </c:strCache>
            </c:strRef>
          </c:tx>
          <c:spPr>
            <a:ln w="15875" cap="rnd">
              <a:solidFill>
                <a:schemeClr val="accent2">
                  <a:lumMod val="60000"/>
                  <a:lumOff val="40000"/>
                </a:schemeClr>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Sheet1!$E$2:$E$57</c:f>
              <c:numCache>
                <c:formatCode>0.0</c:formatCode>
                <c:ptCount val="56"/>
                <c:pt idx="0">
                  <c:v>100</c:v>
                </c:pt>
                <c:pt idx="1">
                  <c:v>102.79088173953953</c:v>
                </c:pt>
                <c:pt idx="2">
                  <c:v>104.65645969082081</c:v>
                </c:pt>
                <c:pt idx="3">
                  <c:v>105.13242449586475</c:v>
                </c:pt>
                <c:pt idx="4">
                  <c:v>105.59289868247235</c:v>
                </c:pt>
                <c:pt idx="5">
                  <c:v>101.9258681400421</c:v>
                </c:pt>
                <c:pt idx="6">
                  <c:v>100.11613268066765</c:v>
                </c:pt>
                <c:pt idx="7">
                  <c:v>99.358745923751528</c:v>
                </c:pt>
                <c:pt idx="8">
                  <c:v>98.70342642414947</c:v>
                </c:pt>
                <c:pt idx="9">
                  <c:v>99.874433528895068</c:v>
                </c:pt>
                <c:pt idx="10">
                  <c:v>101.49237329423926</c:v>
                </c:pt>
                <c:pt idx="11">
                  <c:v>102.57162094379964</c:v>
                </c:pt>
                <c:pt idx="12">
                  <c:v>102.87063092330064</c:v>
                </c:pt>
                <c:pt idx="13">
                  <c:v>101.88671873852967</c:v>
                </c:pt>
                <c:pt idx="14">
                  <c:v>100.57216594765747</c:v>
                </c:pt>
                <c:pt idx="15">
                  <c:v>94.85541180536778</c:v>
                </c:pt>
                <c:pt idx="16">
                  <c:v>93.539673582469774</c:v>
                </c:pt>
                <c:pt idx="17">
                  <c:v>97.410138227753947</c:v>
                </c:pt>
                <c:pt idx="18">
                  <c:v>100.83250143127985</c:v>
                </c:pt>
                <c:pt idx="19">
                  <c:v>101.14264602784645</c:v>
                </c:pt>
                <c:pt idx="20">
                  <c:v>101.35839722165771</c:v>
                </c:pt>
                <c:pt idx="21">
                  <c:v>103.4998133741383</c:v>
                </c:pt>
                <c:pt idx="22">
                  <c:v>104.39330368509646</c:v>
                </c:pt>
                <c:pt idx="23">
                  <c:v>108.1614192133524</c:v>
                </c:pt>
                <c:pt idx="24">
                  <c:v>110.20312246920356</c:v>
                </c:pt>
                <c:pt idx="25">
                  <c:v>112.01347204740341</c:v>
                </c:pt>
                <c:pt idx="26">
                  <c:v>116.35791851074396</c:v>
                </c:pt>
                <c:pt idx="27">
                  <c:v>117.98773818082701</c:v>
                </c:pt>
                <c:pt idx="28">
                  <c:v>119.99502104091046</c:v>
                </c:pt>
                <c:pt idx="29">
                  <c:v>118.78863620491821</c:v>
                </c:pt>
                <c:pt idx="30">
                  <c:v>115.63454509861253</c:v>
                </c:pt>
                <c:pt idx="31">
                  <c:v>115.07162667689985</c:v>
                </c:pt>
                <c:pt idx="32">
                  <c:v>117.02290932854433</c:v>
                </c:pt>
                <c:pt idx="33">
                  <c:v>120.32030282356355</c:v>
                </c:pt>
                <c:pt idx="34">
                  <c:v>124.80382329993753</c:v>
                </c:pt>
                <c:pt idx="35">
                  <c:v>127.75314168728802</c:v>
                </c:pt>
                <c:pt idx="36">
                  <c:v>131.38839047060878</c:v>
                </c:pt>
                <c:pt idx="37">
                  <c:v>140.20189444991058</c:v>
                </c:pt>
                <c:pt idx="38">
                  <c:v>144.46315367173901</c:v>
                </c:pt>
                <c:pt idx="39">
                  <c:v>145.31319437878705</c:v>
                </c:pt>
                <c:pt idx="40">
                  <c:v>142.82546142349045</c:v>
                </c:pt>
                <c:pt idx="41">
                  <c:v>148.77295834364918</c:v>
                </c:pt>
                <c:pt idx="42">
                  <c:v>145.09144041732978</c:v>
                </c:pt>
                <c:pt idx="43">
                  <c:v>142.00683409562455</c:v>
                </c:pt>
                <c:pt idx="44">
                  <c:v>141.35492692661768</c:v>
                </c:pt>
                <c:pt idx="45">
                  <c:v>137.94649153309936</c:v>
                </c:pt>
                <c:pt idx="46">
                  <c:v>136.0964363201924</c:v>
                </c:pt>
                <c:pt idx="47">
                  <c:v>136.87362784925605</c:v>
                </c:pt>
                <c:pt idx="48">
                  <c:v>133.2711941909495</c:v>
                </c:pt>
                <c:pt idx="49">
                  <c:v>128.13713542034475</c:v>
                </c:pt>
                <c:pt idx="50">
                  <c:v>125.5976608532889</c:v>
                </c:pt>
                <c:pt idx="51">
                  <c:v>121.40408142587118</c:v>
                </c:pt>
                <c:pt idx="52">
                  <c:v>116.66796615667589</c:v>
                </c:pt>
                <c:pt idx="53">
                  <c:v>115.62800112883802</c:v>
                </c:pt>
                <c:pt idx="54">
                  <c:v>114.83021998504394</c:v>
                </c:pt>
                <c:pt idx="55">
                  <c:v>110.25350484077204</c:v>
                </c:pt>
              </c:numCache>
            </c:numRef>
          </c:val>
          <c:smooth val="0"/>
          <c:extLst>
            <c:ext xmlns:c16="http://schemas.microsoft.com/office/drawing/2014/chart" uri="{C3380CC4-5D6E-409C-BE32-E72D297353CC}">
              <c16:uniqueId val="{00000001-058E-4F44-8E0B-E62645370F56}"/>
            </c:ext>
          </c:extLst>
        </c:ser>
        <c:ser>
          <c:idx val="2"/>
          <c:order val="2"/>
          <c:tx>
            <c:strRef>
              <c:f>Sheet1!$F$1</c:f>
              <c:strCache>
                <c:ptCount val="1"/>
                <c:pt idx="0">
                  <c:v>Հացահատիկ</c:v>
                </c:pt>
              </c:strCache>
            </c:strRef>
          </c:tx>
          <c:spPr>
            <a:ln w="15875" cap="rnd">
              <a:solidFill>
                <a:schemeClr val="accent3"/>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Sheet1!$F$2:$F$57</c:f>
              <c:numCache>
                <c:formatCode>0.0</c:formatCode>
                <c:ptCount val="56"/>
                <c:pt idx="0">
                  <c:v>100</c:v>
                </c:pt>
                <c:pt idx="1">
                  <c:v>98.985395098475806</c:v>
                </c:pt>
                <c:pt idx="2">
                  <c:v>95.816626080183198</c:v>
                </c:pt>
                <c:pt idx="3">
                  <c:v>92.987942994225008</c:v>
                </c:pt>
                <c:pt idx="4">
                  <c:v>92.801046560737234</c:v>
                </c:pt>
                <c:pt idx="5">
                  <c:v>97.465520350487068</c:v>
                </c:pt>
                <c:pt idx="6">
                  <c:v>95.854793466357037</c:v>
                </c:pt>
                <c:pt idx="7">
                  <c:v>91.01473530222674</c:v>
                </c:pt>
                <c:pt idx="8">
                  <c:v>90.240091601802135</c:v>
                </c:pt>
                <c:pt idx="9">
                  <c:v>94.308612311417278</c:v>
                </c:pt>
                <c:pt idx="10">
                  <c:v>93.90698271263858</c:v>
                </c:pt>
                <c:pt idx="11">
                  <c:v>95.703138536731757</c:v>
                </c:pt>
                <c:pt idx="12">
                  <c:v>98.936351837251266</c:v>
                </c:pt>
                <c:pt idx="13">
                  <c:v>97.844578780153185</c:v>
                </c:pt>
                <c:pt idx="14">
                  <c:v>96.319077782832437</c:v>
                </c:pt>
                <c:pt idx="15">
                  <c:v>97.914255891970967</c:v>
                </c:pt>
                <c:pt idx="16">
                  <c:v>96.314261860736863</c:v>
                </c:pt>
                <c:pt idx="17">
                  <c:v>95.617224463784694</c:v>
                </c:pt>
                <c:pt idx="18">
                  <c:v>95.581822270726576</c:v>
                </c:pt>
                <c:pt idx="19">
                  <c:v>97.492093538398393</c:v>
                </c:pt>
                <c:pt idx="20">
                  <c:v>102.51289527455974</c:v>
                </c:pt>
                <c:pt idx="21">
                  <c:v>110.13891645112076</c:v>
                </c:pt>
                <c:pt idx="22">
                  <c:v>112.84616841427791</c:v>
                </c:pt>
                <c:pt idx="23">
                  <c:v>114.36236890932446</c:v>
                </c:pt>
                <c:pt idx="24">
                  <c:v>122.83525898681131</c:v>
                </c:pt>
                <c:pt idx="25">
                  <c:v>123.95325316936005</c:v>
                </c:pt>
                <c:pt idx="26">
                  <c:v>121.75339483791809</c:v>
                </c:pt>
                <c:pt idx="27">
                  <c:v>124.00589966739793</c:v>
                </c:pt>
                <c:pt idx="28">
                  <c:v>131.37017225284697</c:v>
                </c:pt>
                <c:pt idx="29">
                  <c:v>128.04821188790831</c:v>
                </c:pt>
                <c:pt idx="30">
                  <c:v>124.06125093955555</c:v>
                </c:pt>
                <c:pt idx="31">
                  <c:v>128.12056089305887</c:v>
                </c:pt>
                <c:pt idx="32">
                  <c:v>130.52668449223728</c:v>
                </c:pt>
                <c:pt idx="33">
                  <c:v>134.7576081189911</c:v>
                </c:pt>
                <c:pt idx="34">
                  <c:v>138.98475844737547</c:v>
                </c:pt>
                <c:pt idx="35">
                  <c:v>138.05150811785779</c:v>
                </c:pt>
                <c:pt idx="36">
                  <c:v>138.20150153537679</c:v>
                </c:pt>
                <c:pt idx="37">
                  <c:v>142.74817414022243</c:v>
                </c:pt>
                <c:pt idx="38">
                  <c:v>167.1723725042124</c:v>
                </c:pt>
                <c:pt idx="39">
                  <c:v>166.72569891241511</c:v>
                </c:pt>
                <c:pt idx="40">
                  <c:v>170.50289594114409</c:v>
                </c:pt>
                <c:pt idx="41">
                  <c:v>163.44365022121542</c:v>
                </c:pt>
                <c:pt idx="42">
                  <c:v>144.69558297650883</c:v>
                </c:pt>
                <c:pt idx="43">
                  <c:v>143.04370356207207</c:v>
                </c:pt>
                <c:pt idx="44">
                  <c:v>145.34256159766957</c:v>
                </c:pt>
                <c:pt idx="45">
                  <c:v>149.63321614291354</c:v>
                </c:pt>
                <c:pt idx="46">
                  <c:v>147.49795083868722</c:v>
                </c:pt>
                <c:pt idx="47">
                  <c:v>144.69298147846806</c:v>
                </c:pt>
                <c:pt idx="48">
                  <c:v>144.92698641546843</c:v>
                </c:pt>
                <c:pt idx="49">
                  <c:v>144.16416316386986</c:v>
                </c:pt>
                <c:pt idx="50">
                  <c:v>136.14462283416228</c:v>
                </c:pt>
                <c:pt idx="51">
                  <c:v>133.77294032195991</c:v>
                </c:pt>
                <c:pt idx="52">
                  <c:v>127.0229375737151</c:v>
                </c:pt>
                <c:pt idx="53">
                  <c:v>124.40059132190768</c:v>
                </c:pt>
                <c:pt idx="54">
                  <c:v>123.67107287353399</c:v>
                </c:pt>
                <c:pt idx="55">
                  <c:v>122.81920659581708</c:v>
                </c:pt>
              </c:numCache>
            </c:numRef>
          </c:val>
          <c:smooth val="0"/>
          <c:extLst>
            <c:ext xmlns:c16="http://schemas.microsoft.com/office/drawing/2014/chart" uri="{C3380CC4-5D6E-409C-BE32-E72D297353CC}">
              <c16:uniqueId val="{00000002-058E-4F44-8E0B-E62645370F56}"/>
            </c:ext>
          </c:extLst>
        </c:ser>
        <c:ser>
          <c:idx val="3"/>
          <c:order val="3"/>
          <c:tx>
            <c:strRef>
              <c:f>Sheet1!$G$1</c:f>
              <c:strCache>
                <c:ptCount val="1"/>
                <c:pt idx="0">
                  <c:v>Բուսական յուղեր</c:v>
                </c:pt>
              </c:strCache>
            </c:strRef>
          </c:tx>
          <c:spPr>
            <a:ln w="15875" cap="rnd">
              <a:solidFill>
                <a:srgbClr val="3EA9CA"/>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Sheet1!$G$2:$G$57</c:f>
              <c:numCache>
                <c:formatCode>0.0</c:formatCode>
                <c:ptCount val="56"/>
                <c:pt idx="0">
                  <c:v>100</c:v>
                </c:pt>
                <c:pt idx="1">
                  <c:v>101.90158761245678</c:v>
                </c:pt>
                <c:pt idx="2">
                  <c:v>97.702481638652813</c:v>
                </c:pt>
                <c:pt idx="3">
                  <c:v>98.572245351657685</c:v>
                </c:pt>
                <c:pt idx="4">
                  <c:v>97.811420319519797</c:v>
                </c:pt>
                <c:pt idx="5">
                  <c:v>96.516098791435752</c:v>
                </c:pt>
                <c:pt idx="6">
                  <c:v>97.299143182493083</c:v>
                </c:pt>
                <c:pt idx="7">
                  <c:v>102.90490450098041</c:v>
                </c:pt>
                <c:pt idx="8">
                  <c:v>104.52331034940649</c:v>
                </c:pt>
                <c:pt idx="9">
                  <c:v>104.79856180734109</c:v>
                </c:pt>
                <c:pt idx="10">
                  <c:v>116.0803304223341</c:v>
                </c:pt>
                <c:pt idx="11">
                  <c:v>126.46549525320391</c:v>
                </c:pt>
                <c:pt idx="12">
                  <c:v>135.47876006027283</c:v>
                </c:pt>
                <c:pt idx="13">
                  <c:v>121.54970216207607</c:v>
                </c:pt>
                <c:pt idx="14">
                  <c:v>106.43780089071068</c:v>
                </c:pt>
                <c:pt idx="15">
                  <c:v>101.14577420980156</c:v>
                </c:pt>
                <c:pt idx="16">
                  <c:v>96.898600570707501</c:v>
                </c:pt>
                <c:pt idx="17">
                  <c:v>107.91904549425286</c:v>
                </c:pt>
                <c:pt idx="18">
                  <c:v>116.1260300308309</c:v>
                </c:pt>
                <c:pt idx="19">
                  <c:v>122.98069204901711</c:v>
                </c:pt>
                <c:pt idx="20">
                  <c:v>130.32515106440414</c:v>
                </c:pt>
                <c:pt idx="21">
                  <c:v>132.63508261724903</c:v>
                </c:pt>
                <c:pt idx="22">
                  <c:v>151.88949268183791</c:v>
                </c:pt>
                <c:pt idx="23">
                  <c:v>163.47201641400815</c:v>
                </c:pt>
                <c:pt idx="24">
                  <c:v>173.03516139386724</c:v>
                </c:pt>
                <c:pt idx="25">
                  <c:v>183.73558324521639</c:v>
                </c:pt>
                <c:pt idx="26">
                  <c:v>198.48742240136227</c:v>
                </c:pt>
                <c:pt idx="27">
                  <c:v>202.08746281888722</c:v>
                </c:pt>
                <c:pt idx="28">
                  <c:v>217.89223210508541</c:v>
                </c:pt>
                <c:pt idx="29">
                  <c:v>196.46708388723403</c:v>
                </c:pt>
                <c:pt idx="30">
                  <c:v>193.74461309045728</c:v>
                </c:pt>
                <c:pt idx="31">
                  <c:v>206.66142036391179</c:v>
                </c:pt>
                <c:pt idx="32">
                  <c:v>210.03624559668773</c:v>
                </c:pt>
                <c:pt idx="33">
                  <c:v>230.30414407291863</c:v>
                </c:pt>
                <c:pt idx="34">
                  <c:v>229.95241258820283</c:v>
                </c:pt>
                <c:pt idx="35">
                  <c:v>222.41455002447412</c:v>
                </c:pt>
                <c:pt idx="36">
                  <c:v>231.66721156204446</c:v>
                </c:pt>
                <c:pt idx="37">
                  <c:v>251.3365728438678</c:v>
                </c:pt>
                <c:pt idx="38">
                  <c:v>313.77720677985673</c:v>
                </c:pt>
                <c:pt idx="39">
                  <c:v>295.96024430789657</c:v>
                </c:pt>
                <c:pt idx="40">
                  <c:v>285.63001933404212</c:v>
                </c:pt>
                <c:pt idx="41">
                  <c:v>263.89296419451284</c:v>
                </c:pt>
                <c:pt idx="42">
                  <c:v>210.34719343638744</c:v>
                </c:pt>
                <c:pt idx="43">
                  <c:v>203.49817760835785</c:v>
                </c:pt>
                <c:pt idx="44">
                  <c:v>190.1029284524889</c:v>
                </c:pt>
                <c:pt idx="45">
                  <c:v>188.49833853760259</c:v>
                </c:pt>
                <c:pt idx="46">
                  <c:v>192.76226734476404</c:v>
                </c:pt>
                <c:pt idx="47">
                  <c:v>180.16935522996457</c:v>
                </c:pt>
                <c:pt idx="48">
                  <c:v>174.95068241007854</c:v>
                </c:pt>
                <c:pt idx="49">
                  <c:v>169.29049786435638</c:v>
                </c:pt>
                <c:pt idx="50">
                  <c:v>164.20379142631597</c:v>
                </c:pt>
                <c:pt idx="51">
                  <c:v>162.01505722191894</c:v>
                </c:pt>
                <c:pt idx="52">
                  <c:v>147.87614701606566</c:v>
                </c:pt>
                <c:pt idx="53">
                  <c:v>144.27186696819604</c:v>
                </c:pt>
                <c:pt idx="54">
                  <c:v>161.73595868426494</c:v>
                </c:pt>
                <c:pt idx="55">
                  <c:v>156.77174837707108</c:v>
                </c:pt>
              </c:numCache>
            </c:numRef>
          </c:val>
          <c:smooth val="0"/>
          <c:extLst>
            <c:ext xmlns:c16="http://schemas.microsoft.com/office/drawing/2014/chart" uri="{C3380CC4-5D6E-409C-BE32-E72D297353CC}">
              <c16:uniqueId val="{00000003-058E-4F44-8E0B-E62645370F56}"/>
            </c:ext>
          </c:extLst>
        </c:ser>
        <c:ser>
          <c:idx val="4"/>
          <c:order val="4"/>
          <c:tx>
            <c:strRef>
              <c:f>Sheet1!$H$1</c:f>
              <c:strCache>
                <c:ptCount val="1"/>
                <c:pt idx="0">
                  <c:v>Շաքարավազ</c:v>
                </c:pt>
              </c:strCache>
            </c:strRef>
          </c:tx>
          <c:spPr>
            <a:ln w="15875" cap="rnd">
              <a:solidFill>
                <a:schemeClr val="accent4">
                  <a:lumMod val="40000"/>
                  <a:lumOff val="60000"/>
                </a:schemeClr>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Sheet1!$H$2:$H$57</c:f>
              <c:numCache>
                <c:formatCode>0.0</c:formatCode>
                <c:ptCount val="56"/>
                <c:pt idx="0">
                  <c:v>100</c:v>
                </c:pt>
                <c:pt idx="1">
                  <c:v>101.21747145997304</c:v>
                </c:pt>
                <c:pt idx="2">
                  <c:v>99.142364171081468</c:v>
                </c:pt>
                <c:pt idx="3">
                  <c:v>99.89009430617601</c:v>
                </c:pt>
                <c:pt idx="4">
                  <c:v>96.713465220165901</c:v>
                </c:pt>
                <c:pt idx="5">
                  <c:v>100.75728568389701</c:v>
                </c:pt>
                <c:pt idx="6">
                  <c:v>100.10821009405953</c:v>
                </c:pt>
                <c:pt idx="7">
                  <c:v>96.075303126994257</c:v>
                </c:pt>
                <c:pt idx="8">
                  <c:v>92.649993415787918</c:v>
                </c:pt>
                <c:pt idx="9">
                  <c:v>98.019231184237697</c:v>
                </c:pt>
                <c:pt idx="10">
                  <c:v>99.807200764443877</c:v>
                </c:pt>
                <c:pt idx="11">
                  <c:v>104.60590958357389</c:v>
                </c:pt>
                <c:pt idx="12">
                  <c:v>110.33113521945684</c:v>
                </c:pt>
                <c:pt idx="13">
                  <c:v>115.25703750974969</c:v>
                </c:pt>
                <c:pt idx="14">
                  <c:v>93.195419414309001</c:v>
                </c:pt>
                <c:pt idx="15">
                  <c:v>79.628110196074459</c:v>
                </c:pt>
                <c:pt idx="16">
                  <c:v>85.508757002056271</c:v>
                </c:pt>
                <c:pt idx="17">
                  <c:v>94.451180599872359</c:v>
                </c:pt>
                <c:pt idx="18">
                  <c:v>95.801386692316456</c:v>
                </c:pt>
                <c:pt idx="19">
                  <c:v>102.20655517400888</c:v>
                </c:pt>
                <c:pt idx="20">
                  <c:v>99.517833085159154</c:v>
                </c:pt>
                <c:pt idx="21">
                  <c:v>106.76451818761964</c:v>
                </c:pt>
                <c:pt idx="22">
                  <c:v>110.31589023611994</c:v>
                </c:pt>
                <c:pt idx="23">
                  <c:v>109.82769623484363</c:v>
                </c:pt>
                <c:pt idx="24">
                  <c:v>118.67333191519532</c:v>
                </c:pt>
                <c:pt idx="25">
                  <c:v>126.25469758207471</c:v>
                </c:pt>
                <c:pt idx="26">
                  <c:v>121.24216555836099</c:v>
                </c:pt>
                <c:pt idx="27">
                  <c:v>126.0181048949396</c:v>
                </c:pt>
                <c:pt idx="28">
                  <c:v>134.60433950223356</c:v>
                </c:pt>
                <c:pt idx="29">
                  <c:v>135.77962135715802</c:v>
                </c:pt>
                <c:pt idx="30">
                  <c:v>138.07345954761399</c:v>
                </c:pt>
                <c:pt idx="31">
                  <c:v>151.92512231440114</c:v>
                </c:pt>
                <c:pt idx="32">
                  <c:v>152.74055165567609</c:v>
                </c:pt>
                <c:pt idx="33">
                  <c:v>150.0636473833666</c:v>
                </c:pt>
                <c:pt idx="34">
                  <c:v>151.47486350421894</c:v>
                </c:pt>
                <c:pt idx="35">
                  <c:v>146.74537332482456</c:v>
                </c:pt>
                <c:pt idx="36">
                  <c:v>142.00018233202667</c:v>
                </c:pt>
                <c:pt idx="37">
                  <c:v>139.30759412890876</c:v>
                </c:pt>
                <c:pt idx="38">
                  <c:v>148.61253695636762</c:v>
                </c:pt>
                <c:pt idx="39">
                  <c:v>153.18726512089628</c:v>
                </c:pt>
                <c:pt idx="40">
                  <c:v>151.7301283414877</c:v>
                </c:pt>
                <c:pt idx="41">
                  <c:v>147.81961284833019</c:v>
                </c:pt>
                <c:pt idx="42">
                  <c:v>142.21931841587241</c:v>
                </c:pt>
                <c:pt idx="43">
                  <c:v>139.23587025887187</c:v>
                </c:pt>
                <c:pt idx="44">
                  <c:v>138.22945472594489</c:v>
                </c:pt>
                <c:pt idx="45">
                  <c:v>136.84862727619594</c:v>
                </c:pt>
                <c:pt idx="46">
                  <c:v>144.17499822732759</c:v>
                </c:pt>
                <c:pt idx="47">
                  <c:v>147.68286382836484</c:v>
                </c:pt>
                <c:pt idx="48">
                  <c:v>147.19259326789648</c:v>
                </c:pt>
                <c:pt idx="49">
                  <c:v>157.75792384599026</c:v>
                </c:pt>
                <c:pt idx="50">
                  <c:v>160.05783536651165</c:v>
                </c:pt>
                <c:pt idx="51">
                  <c:v>188.29439051788162</c:v>
                </c:pt>
                <c:pt idx="52">
                  <c:v>198.14223923987808</c:v>
                </c:pt>
                <c:pt idx="53">
                  <c:v>191.77125434304764</c:v>
                </c:pt>
                <c:pt idx="54">
                  <c:v>184.37460114869182</c:v>
                </c:pt>
                <c:pt idx="55">
                  <c:v>186.77709645496336</c:v>
                </c:pt>
              </c:numCache>
            </c:numRef>
          </c:val>
          <c:smooth val="0"/>
          <c:extLst>
            <c:ext xmlns:c16="http://schemas.microsoft.com/office/drawing/2014/chart" uri="{C3380CC4-5D6E-409C-BE32-E72D297353CC}">
              <c16:uniqueId val="{00000004-058E-4F44-8E0B-E62645370F56}"/>
            </c:ext>
          </c:extLst>
        </c:ser>
        <c:ser>
          <c:idx val="5"/>
          <c:order val="5"/>
          <c:tx>
            <c:strRef>
              <c:f>Sheet1!$C$1</c:f>
              <c:strCache>
                <c:ptCount val="1"/>
                <c:pt idx="0">
                  <c:v>Պարենի գնի համաթիվ</c:v>
                </c:pt>
              </c:strCache>
            </c:strRef>
          </c:tx>
          <c:spPr>
            <a:ln w="19050" cap="rnd">
              <a:solidFill>
                <a:schemeClr val="accent5">
                  <a:lumMod val="75000"/>
                </a:schemeClr>
              </a:solidFill>
              <a:round/>
            </a:ln>
            <a:effectLst/>
          </c:spPr>
          <c:marker>
            <c:symbol val="none"/>
          </c:marker>
          <c:cat>
            <c:multiLvlStrRef>
              <c:f>Sheet1!$A$2:$B$57</c:f>
              <c:multiLvlStrCache>
                <c:ptCount val="5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pt idx="52">
                    <c:v>5</c:v>
                  </c:pt>
                  <c:pt idx="53">
                    <c:v>6</c:v>
                  </c:pt>
                  <c:pt idx="54">
                    <c:v>7</c:v>
                  </c:pt>
                  <c:pt idx="55">
                    <c:v>8</c:v>
                  </c:pt>
                </c:lvl>
                <c:lvl>
                  <c:pt idx="0">
                    <c:v>2019</c:v>
                  </c:pt>
                  <c:pt idx="12">
                    <c:v>2020</c:v>
                  </c:pt>
                  <c:pt idx="24">
                    <c:v>2021</c:v>
                  </c:pt>
                  <c:pt idx="36">
                    <c:v>2022</c:v>
                  </c:pt>
                  <c:pt idx="48">
                    <c:v>2023</c:v>
                  </c:pt>
                </c:lvl>
              </c:multiLvlStrCache>
            </c:multiLvlStrRef>
          </c:cat>
          <c:val>
            <c:numRef>
              <c:f>Sheet1!$C$2:$C$57</c:f>
              <c:numCache>
                <c:formatCode>0.0</c:formatCode>
                <c:ptCount val="56"/>
                <c:pt idx="0">
                  <c:v>100</c:v>
                </c:pt>
                <c:pt idx="1">
                  <c:v>100.74453890270553</c:v>
                </c:pt>
                <c:pt idx="2">
                  <c:v>99.832132827399604</c:v>
                </c:pt>
                <c:pt idx="3">
                  <c:v>100.31753700950637</c:v>
                </c:pt>
                <c:pt idx="4">
                  <c:v>101.02084693992067</c:v>
                </c:pt>
                <c:pt idx="5">
                  <c:v>102.23965210334796</c:v>
                </c:pt>
                <c:pt idx="6">
                  <c:v>101.96319281775789</c:v>
                </c:pt>
                <c:pt idx="7">
                  <c:v>100.82421534090194</c:v>
                </c:pt>
                <c:pt idx="8">
                  <c:v>100.0574124353123</c:v>
                </c:pt>
                <c:pt idx="9">
                  <c:v>102.07071553450325</c:v>
                </c:pt>
                <c:pt idx="10">
                  <c:v>105.69159498568746</c:v>
                </c:pt>
                <c:pt idx="11">
                  <c:v>108.24274701853363</c:v>
                </c:pt>
                <c:pt idx="12">
                  <c:v>109.85911726662653</c:v>
                </c:pt>
                <c:pt idx="13">
                  <c:v>106.54119961188425</c:v>
                </c:pt>
                <c:pt idx="14">
                  <c:v>101.99558194667132</c:v>
                </c:pt>
                <c:pt idx="15">
                  <c:v>99.155350990555917</c:v>
                </c:pt>
                <c:pt idx="16">
                  <c:v>97.664150112245395</c:v>
                </c:pt>
                <c:pt idx="17">
                  <c:v>99.936540825253985</c:v>
                </c:pt>
                <c:pt idx="18">
                  <c:v>100.77842889257241</c:v>
                </c:pt>
                <c:pt idx="19">
                  <c:v>102.78720724941809</c:v>
                </c:pt>
                <c:pt idx="20">
                  <c:v>105.03288274311672</c:v>
                </c:pt>
                <c:pt idx="21">
                  <c:v>108.63882062522549</c:v>
                </c:pt>
                <c:pt idx="22">
                  <c:v>113.15001130745854</c:v>
                </c:pt>
                <c:pt idx="23">
                  <c:v>116.37654118872092</c:v>
                </c:pt>
                <c:pt idx="24">
                  <c:v>121.65831839495753</c:v>
                </c:pt>
                <c:pt idx="25">
                  <c:v>124.92143317820711</c:v>
                </c:pt>
                <c:pt idx="26">
                  <c:v>127.77072558939832</c:v>
                </c:pt>
                <c:pt idx="27">
                  <c:v>130.81089912356762</c:v>
                </c:pt>
                <c:pt idx="28">
                  <c:v>137.30426601932751</c:v>
                </c:pt>
                <c:pt idx="29">
                  <c:v>134.25232125150248</c:v>
                </c:pt>
                <c:pt idx="30">
                  <c:v>133.4884829370381</c:v>
                </c:pt>
                <c:pt idx="31">
                  <c:v>137.12484937262627</c:v>
                </c:pt>
                <c:pt idx="32">
                  <c:v>138.44409662675565</c:v>
                </c:pt>
                <c:pt idx="33">
                  <c:v>142.76834637008389</c:v>
                </c:pt>
                <c:pt idx="34">
                  <c:v>145.00858965514425</c:v>
                </c:pt>
                <c:pt idx="35">
                  <c:v>143.26851703879638</c:v>
                </c:pt>
                <c:pt idx="36">
                  <c:v>145.3079002302855</c:v>
                </c:pt>
                <c:pt idx="37">
                  <c:v>151.35332825484298</c:v>
                </c:pt>
                <c:pt idx="38">
                  <c:v>171.15477337302912</c:v>
                </c:pt>
                <c:pt idx="39">
                  <c:v>169.78507056106341</c:v>
                </c:pt>
                <c:pt idx="40">
                  <c:v>169.37547831364941</c:v>
                </c:pt>
                <c:pt idx="41">
                  <c:v>165.79125941340135</c:v>
                </c:pt>
                <c:pt idx="42">
                  <c:v>150.64279187151291</c:v>
                </c:pt>
                <c:pt idx="43">
                  <c:v>147.43552710500325</c:v>
                </c:pt>
                <c:pt idx="44">
                  <c:v>145.78756264512978</c:v>
                </c:pt>
                <c:pt idx="45">
                  <c:v>145.07676688971267</c:v>
                </c:pt>
                <c:pt idx="46">
                  <c:v>144.38990540625946</c:v>
                </c:pt>
                <c:pt idx="47">
                  <c:v>141.2361280986444</c:v>
                </c:pt>
                <c:pt idx="48">
                  <c:v>139.52897883078353</c:v>
                </c:pt>
                <c:pt idx="49">
                  <c:v>139.11671366357982</c:v>
                </c:pt>
                <c:pt idx="50">
                  <c:v>136.10259826251581</c:v>
                </c:pt>
                <c:pt idx="51">
                  <c:v>136.83507050214098</c:v>
                </c:pt>
                <c:pt idx="52">
                  <c:v>133.03852214584029</c:v>
                </c:pt>
                <c:pt idx="53">
                  <c:v>131.46335129346636</c:v>
                </c:pt>
                <c:pt idx="54">
                  <c:v>132.89704082873305</c:v>
                </c:pt>
                <c:pt idx="55">
                  <c:v>130.08767082357261</c:v>
                </c:pt>
              </c:numCache>
            </c:numRef>
          </c:val>
          <c:smooth val="0"/>
          <c:extLst>
            <c:ext xmlns:c16="http://schemas.microsoft.com/office/drawing/2014/chart" uri="{C3380CC4-5D6E-409C-BE32-E72D297353CC}">
              <c16:uniqueId val="{00000005-058E-4F44-8E0B-E62645370F56}"/>
            </c:ext>
          </c:extLst>
        </c:ser>
        <c:dLbls>
          <c:showLegendKey val="0"/>
          <c:showVal val="0"/>
          <c:showCatName val="0"/>
          <c:showSerName val="0"/>
          <c:showPercent val="0"/>
          <c:showBubbleSize val="0"/>
        </c:dLbls>
        <c:smooth val="0"/>
        <c:axId val="-675685440"/>
        <c:axId val="-675683808"/>
      </c:lineChart>
      <c:catAx>
        <c:axId val="-6756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75683808"/>
        <c:crosses val="autoZero"/>
        <c:auto val="1"/>
        <c:lblAlgn val="ctr"/>
        <c:lblOffset val="0"/>
        <c:noMultiLvlLbl val="0"/>
      </c:catAx>
      <c:valAx>
        <c:axId val="-675683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r>
                  <a:rPr lang="hy-AM" sz="900">
                    <a:latin typeface="GHEA Grapalat" panose="02000506050000020003" pitchFamily="50" charset="0"/>
                  </a:rPr>
                  <a:t>Ինդեքս,</a:t>
                </a:r>
                <a:r>
                  <a:rPr lang="hy-AM" sz="900" baseline="0">
                    <a:latin typeface="GHEA Grapalat" panose="02000506050000020003" pitchFamily="50" charset="0"/>
                  </a:rPr>
                  <a:t> </a:t>
                </a:r>
                <a:r>
                  <a:rPr lang="hy-AM" sz="900">
                    <a:latin typeface="GHEA Grapalat" panose="02000506050000020003" pitchFamily="50" charset="0"/>
                  </a:rPr>
                  <a:t>2019թ․</a:t>
                </a:r>
                <a:r>
                  <a:rPr lang="hy-AM" sz="900" baseline="0">
                    <a:latin typeface="GHEA Grapalat" panose="02000506050000020003" pitchFamily="50" charset="0"/>
                  </a:rPr>
                  <a:t> հունվար</a:t>
                </a:r>
                <a:r>
                  <a:rPr lang="en-US" sz="900" baseline="0">
                    <a:latin typeface="GHEA Grapalat" panose="02000506050000020003" pitchFamily="50" charset="0"/>
                  </a:rPr>
                  <a:t>=100</a:t>
                </a:r>
                <a:endParaRPr lang="en-US" sz="900">
                  <a:latin typeface="GHEA Grapalat" panose="02000506050000020003" pitchFamily="50" charset="0"/>
                </a:endParaRPr>
              </a:p>
            </c:rich>
          </c:tx>
          <c:layout>
            <c:manualLayout>
              <c:xMode val="edge"/>
              <c:yMode val="edge"/>
              <c:x val="0"/>
              <c:y val="0.1195773085182533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675685440"/>
        <c:crosses val="autoZero"/>
        <c:crossBetween val="between"/>
      </c:valAx>
      <c:spPr>
        <a:noFill/>
        <a:ln>
          <a:noFill/>
        </a:ln>
        <a:effectLst/>
      </c:spPr>
    </c:plotArea>
    <c:legend>
      <c:legendPos val="b"/>
      <c:layout>
        <c:manualLayout>
          <c:xMode val="edge"/>
          <c:yMode val="edge"/>
          <c:x val="4.6934267093214056E-2"/>
          <c:y val="0.83070078740157482"/>
          <c:w val="0.95269723996956723"/>
          <c:h val="0.1658460987831066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62904752121119"/>
          <c:y val="4.3931262569693146E-2"/>
          <c:w val="0.75180333178147074"/>
          <c:h val="0.71448108460126669"/>
        </c:manualLayout>
      </c:layout>
      <c:barChart>
        <c:barDir val="col"/>
        <c:grouping val="clustered"/>
        <c:varyColors val="0"/>
        <c:ser>
          <c:idx val="0"/>
          <c:order val="0"/>
          <c:tx>
            <c:strRef>
              <c:f>Sheet1!$A$2</c:f>
              <c:strCache>
                <c:ptCount val="1"/>
                <c:pt idx="0">
                  <c:v> Հարկային եկամուտներ և պետական տուրքեր, մլրդ դրամ</c:v>
                </c:pt>
              </c:strCache>
            </c:strRef>
          </c:tx>
          <c:spPr>
            <a:ln w="25294" cap="rnd" cmpd="dbl">
              <a:miter lim="800000"/>
            </a:ln>
          </c:spPr>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2020 փաստ</c:v>
                </c:pt>
                <c:pt idx="1">
                  <c:v>2021 փաստ</c:v>
                </c:pt>
                <c:pt idx="2">
                  <c:v>2022 փաստ</c:v>
                </c:pt>
                <c:pt idx="3">
                  <c:v>2023  սպասում</c:v>
                </c:pt>
                <c:pt idx="4">
                  <c:v>2024 կանխատեսում</c:v>
                </c:pt>
              </c:strCache>
            </c:strRef>
          </c:cat>
          <c:val>
            <c:numRef>
              <c:f>Sheet1!$B$2:$F$2</c:f>
              <c:numCache>
                <c:formatCode>#,##0.0</c:formatCode>
                <c:ptCount val="5"/>
                <c:pt idx="0">
                  <c:v>1398.5409416000002</c:v>
                </c:pt>
                <c:pt idx="1">
                  <c:v>1609.5881631900002</c:v>
                </c:pt>
                <c:pt idx="2">
                  <c:v>1962.4696525260001</c:v>
                </c:pt>
                <c:pt idx="3">
                  <c:v>2277.8000000000002</c:v>
                </c:pt>
                <c:pt idx="4">
                  <c:v>2613.6398478000001</c:v>
                </c:pt>
              </c:numCache>
            </c:numRef>
          </c:val>
          <c:extLst>
            <c:ext xmlns:c16="http://schemas.microsoft.com/office/drawing/2014/chart" uri="{C3380CC4-5D6E-409C-BE32-E72D297353CC}">
              <c16:uniqueId val="{00000000-339E-4F44-97BF-B387162DA641}"/>
            </c:ext>
          </c:extLst>
        </c:ser>
        <c:dLbls>
          <c:showLegendKey val="0"/>
          <c:showVal val="0"/>
          <c:showCatName val="0"/>
          <c:showSerName val="0"/>
          <c:showPercent val="0"/>
          <c:showBubbleSize val="0"/>
        </c:dLbls>
        <c:gapWidth val="308"/>
        <c:overlap val="17"/>
        <c:axId val="348154496"/>
        <c:axId val="348160384"/>
      </c:barChart>
      <c:lineChart>
        <c:grouping val="standard"/>
        <c:varyColors val="0"/>
        <c:ser>
          <c:idx val="1"/>
          <c:order val="1"/>
          <c:tx>
            <c:strRef>
              <c:f>Sheet1!$A$3</c:f>
              <c:strCache>
                <c:ptCount val="1"/>
                <c:pt idx="0">
                  <c:v> հարաբերությունը ՀՆԱ-ի նկատմամբ (%-ով) աջ առանցք</c:v>
                </c:pt>
              </c:strCache>
            </c:strRef>
          </c:tx>
          <c:marker>
            <c:symbol val="none"/>
          </c:marker>
          <c:cat>
            <c:strRef>
              <c:f>Sheet1!$B$1:$F$1</c:f>
              <c:strCache>
                <c:ptCount val="5"/>
                <c:pt idx="0">
                  <c:v>2020 փաստ</c:v>
                </c:pt>
                <c:pt idx="1">
                  <c:v>2021 փաստ</c:v>
                </c:pt>
                <c:pt idx="2">
                  <c:v>2022 փաստ</c:v>
                </c:pt>
                <c:pt idx="3">
                  <c:v>2023  սպասում</c:v>
                </c:pt>
                <c:pt idx="4">
                  <c:v>2024 կանխատեսում</c:v>
                </c:pt>
              </c:strCache>
            </c:strRef>
          </c:cat>
          <c:val>
            <c:numRef>
              <c:f>Sheet1!$B$3:$F$3</c:f>
              <c:numCache>
                <c:formatCode>0.0%</c:formatCode>
                <c:ptCount val="5"/>
                <c:pt idx="0">
                  <c:v>0.22623147469195004</c:v>
                </c:pt>
                <c:pt idx="1">
                  <c:v>0.23021157268327377</c:v>
                </c:pt>
                <c:pt idx="2">
                  <c:v>0.2308397978818989</c:v>
                </c:pt>
                <c:pt idx="3">
                  <c:v>0.24099999999999999</c:v>
                </c:pt>
                <c:pt idx="4">
                  <c:v>0.24853738837985737</c:v>
                </c:pt>
              </c:numCache>
            </c:numRef>
          </c:val>
          <c:smooth val="0"/>
          <c:extLst>
            <c:ext xmlns:c16="http://schemas.microsoft.com/office/drawing/2014/chart" uri="{C3380CC4-5D6E-409C-BE32-E72D297353CC}">
              <c16:uniqueId val="{00000001-339E-4F44-97BF-B387162DA641}"/>
            </c:ext>
          </c:extLst>
        </c:ser>
        <c:dLbls>
          <c:showLegendKey val="0"/>
          <c:showVal val="0"/>
          <c:showCatName val="0"/>
          <c:showSerName val="0"/>
          <c:showPercent val="0"/>
          <c:showBubbleSize val="0"/>
        </c:dLbls>
        <c:marker val="1"/>
        <c:smooth val="0"/>
        <c:axId val="348161920"/>
        <c:axId val="348163456"/>
      </c:lineChart>
      <c:catAx>
        <c:axId val="348154496"/>
        <c:scaling>
          <c:orientation val="minMax"/>
        </c:scaling>
        <c:delete val="0"/>
        <c:axPos val="b"/>
        <c:numFmt formatCode="General" sourceLinked="1"/>
        <c:majorTickMark val="out"/>
        <c:minorTickMark val="none"/>
        <c:tickLblPos val="nextTo"/>
        <c:crossAx val="348160384"/>
        <c:crosses val="autoZero"/>
        <c:auto val="1"/>
        <c:lblAlgn val="ctr"/>
        <c:lblOffset val="100"/>
        <c:noMultiLvlLbl val="0"/>
      </c:catAx>
      <c:valAx>
        <c:axId val="348160384"/>
        <c:scaling>
          <c:orientation val="minMax"/>
          <c:max val="2800"/>
        </c:scaling>
        <c:delete val="0"/>
        <c:axPos val="l"/>
        <c:majorGridlines/>
        <c:numFmt formatCode="#,##0.0" sourceLinked="1"/>
        <c:majorTickMark val="out"/>
        <c:minorTickMark val="none"/>
        <c:tickLblPos val="nextTo"/>
        <c:crossAx val="348154496"/>
        <c:crosses val="autoZero"/>
        <c:crossBetween val="between"/>
        <c:majorUnit val="400"/>
        <c:minorUnit val="100"/>
      </c:valAx>
      <c:catAx>
        <c:axId val="348161920"/>
        <c:scaling>
          <c:orientation val="minMax"/>
        </c:scaling>
        <c:delete val="1"/>
        <c:axPos val="b"/>
        <c:numFmt formatCode="General" sourceLinked="1"/>
        <c:majorTickMark val="out"/>
        <c:minorTickMark val="none"/>
        <c:tickLblPos val="none"/>
        <c:crossAx val="348163456"/>
        <c:crosses val="autoZero"/>
        <c:auto val="1"/>
        <c:lblAlgn val="ctr"/>
        <c:lblOffset val="100"/>
        <c:noMultiLvlLbl val="0"/>
      </c:catAx>
      <c:valAx>
        <c:axId val="348163456"/>
        <c:scaling>
          <c:orientation val="minMax"/>
          <c:max val="0.26"/>
          <c:min val="0.2"/>
        </c:scaling>
        <c:delete val="0"/>
        <c:axPos val="r"/>
        <c:numFmt formatCode="0.0%" sourceLinked="1"/>
        <c:majorTickMark val="out"/>
        <c:minorTickMark val="none"/>
        <c:tickLblPos val="nextTo"/>
        <c:crossAx val="348161920"/>
        <c:crosses val="max"/>
        <c:crossBetween val="between"/>
        <c:majorUnit val="1.0000000000000005E-2"/>
      </c:valAx>
    </c:plotArea>
    <c:legend>
      <c:legendPos val="r"/>
      <c:layout>
        <c:manualLayout>
          <c:xMode val="edge"/>
          <c:yMode val="edge"/>
          <c:x val="0.13291130687871941"/>
          <c:y val="0.88008722212961243"/>
          <c:w val="0.73575963895602192"/>
          <c:h val="9.0283484178425383E-2"/>
        </c:manualLayout>
      </c:layout>
      <c:overlay val="0"/>
    </c:legend>
    <c:plotVisOnly val="1"/>
    <c:dispBlanksAs val="gap"/>
    <c:showDLblsOverMax val="0"/>
  </c:chart>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049145169911685E-2"/>
          <c:y val="3.8224051749485448E-2"/>
          <c:w val="0.9038111413154527"/>
          <c:h val="0.77345685729301483"/>
        </c:manualLayout>
      </c:layout>
      <c:barChart>
        <c:barDir val="col"/>
        <c:grouping val="stacked"/>
        <c:varyColors val="0"/>
        <c:ser>
          <c:idx val="0"/>
          <c:order val="0"/>
          <c:tx>
            <c:strRef>
              <c:f>Sheet1!$B$1</c:f>
              <c:strCache>
                <c:ptCount val="1"/>
                <c:pt idx="0">
                  <c:v> Ընդամենը ծախսեր </c:v>
                </c:pt>
              </c:strCache>
            </c:strRef>
          </c:tx>
          <c:spPr>
            <a:solidFill>
              <a:schemeClr val="accent5">
                <a:shade val="58000"/>
              </a:schemeClr>
            </a:solidFill>
            <a:ln>
              <a:noFill/>
            </a:ln>
            <a:effectLst>
              <a:outerShdw blurRad="50800" dist="50800" dir="5400000" algn="ctr" rotWithShape="0">
                <a:schemeClr val="bg1"/>
              </a:outerShdw>
            </a:effectLst>
          </c:spPr>
          <c:invertIfNegative val="0"/>
          <c:dLbls>
            <c:dLbl>
              <c:idx val="0"/>
              <c:layout>
                <c:manualLayout>
                  <c:x val="-8.967613802809854E-2"/>
                  <c:y val="3.095235092409901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B2-4FF2-AB5A-4C8B7E4021F9}"/>
                </c:ext>
              </c:extLst>
            </c:dLbl>
            <c:dLbl>
              <c:idx val="1"/>
              <c:layout>
                <c:manualLayout>
                  <c:x val="-0.11192013163979186"/>
                  <c:y val="8.511616240174997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B2-4FF2-AB5A-4C8B7E4021F9}"/>
                </c:ext>
              </c:extLst>
            </c:dLbl>
            <c:dLbl>
              <c:idx val="2"/>
              <c:layout>
                <c:manualLayout>
                  <c:x val="-0.11670296875491773"/>
                  <c:y val="-1.702323248035064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B2-4FF2-AB5A-4C8B7E4021F9}"/>
                </c:ext>
              </c:extLst>
            </c:dLbl>
            <c:dLbl>
              <c:idx val="3"/>
              <c:layout>
                <c:manualLayout>
                  <c:x val="-0.1132179502058817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B2-4FF2-AB5A-4C8B7E4021F9}"/>
                </c:ext>
              </c:extLst>
            </c:dLbl>
            <c:dLbl>
              <c:idx val="4"/>
              <c:layout>
                <c:manualLayout>
                  <c:x val="-0.11273957158962795"/>
                  <c:y val="-2.13561131873998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B2-4FF2-AB5A-4C8B7E4021F9}"/>
                </c:ext>
              </c:extLst>
            </c:dLbl>
            <c:spPr>
              <a:noFill/>
              <a:ln>
                <a:noFill/>
              </a:ln>
              <a:effectLst/>
            </c:spPr>
            <c:txPr>
              <a:bodyPr rot="-5400000" spcFirstLastPara="1" vertOverflow="ellipsis"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bg1"/>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Sheet1!$B$2:$B$6</c:f>
              <c:numCache>
                <c:formatCode>#,##0.0</c:formatCode>
                <c:ptCount val="5"/>
                <c:pt idx="0">
                  <c:v>1907.98255879</c:v>
                </c:pt>
                <c:pt idx="1">
                  <c:v>2026.9889568699998</c:v>
                </c:pt>
                <c:pt idx="2">
                  <c:v>2279.1264291100006</c:v>
                </c:pt>
                <c:pt idx="3">
                  <c:v>2643.9731511</c:v>
                </c:pt>
                <c:pt idx="4">
                  <c:v>3206.5174995000002</c:v>
                </c:pt>
              </c:numCache>
            </c:numRef>
          </c:val>
          <c:extLst>
            <c:ext xmlns:c16="http://schemas.microsoft.com/office/drawing/2014/chart" uri="{C3380CC4-5D6E-409C-BE32-E72D297353CC}">
              <c16:uniqueId val="{00000005-4AB2-4FF2-AB5A-4C8B7E4021F9}"/>
            </c:ext>
          </c:extLst>
        </c:ser>
        <c:dLbls>
          <c:showLegendKey val="0"/>
          <c:showVal val="0"/>
          <c:showCatName val="0"/>
          <c:showSerName val="0"/>
          <c:showPercent val="0"/>
          <c:showBubbleSize val="0"/>
        </c:dLbls>
        <c:gapWidth val="150"/>
        <c:overlap val="100"/>
        <c:axId val="287851008"/>
        <c:axId val="260767040"/>
      </c:barChart>
      <c:barChart>
        <c:barDir val="col"/>
        <c:grouping val="stacked"/>
        <c:varyColors val="0"/>
        <c:ser>
          <c:idx val="1"/>
          <c:order val="1"/>
          <c:tx>
            <c:strRef>
              <c:f>Sheet1!$C$1</c:f>
              <c:strCache>
                <c:ptCount val="1"/>
                <c:pt idx="0">
                  <c:v> Ընթացիկ ծախսեր </c:v>
                </c:pt>
              </c:strCache>
            </c:strRef>
          </c:tx>
          <c:spPr>
            <a:solidFill>
              <a:schemeClr val="accent5">
                <a:shade val="86000"/>
              </a:schemeClr>
            </a:solidFill>
            <a:ln>
              <a:noFill/>
            </a:ln>
            <a:effectLst/>
          </c:spPr>
          <c:invertIfNegative val="0"/>
          <c:dLbls>
            <c:dLbl>
              <c:idx val="0"/>
              <c:layout>
                <c:manualLayout>
                  <c:x val="-7.8593182041457911E-3"/>
                  <c:y val="5.29256101146721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AB2-4FF2-AB5A-4C8B7E4021F9}"/>
                </c:ext>
              </c:extLst>
            </c:dLbl>
            <c:dLbl>
              <c:idx val="4"/>
              <c:layout>
                <c:manualLayout>
                  <c:x val="2.0498103925386904E-3"/>
                  <c:y val="-3.91528741768998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B2-4FF2-AB5A-4C8B7E4021F9}"/>
                </c:ext>
              </c:extLst>
            </c:dLbl>
            <c:spPr>
              <a:noFill/>
              <a:ln>
                <a:noFill/>
              </a:ln>
              <a:effectLst/>
            </c:spPr>
            <c:txPr>
              <a:bodyPr rot="-5400000" spcFirstLastPara="1" vertOverflow="ellipsis"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Sheet1!$C$2:$C$6</c:f>
              <c:numCache>
                <c:formatCode>#,##0.0</c:formatCode>
                <c:ptCount val="5"/>
                <c:pt idx="0">
                  <c:v>1681.7938393799998</c:v>
                </c:pt>
                <c:pt idx="1">
                  <c:v>1810.65436131</c:v>
                </c:pt>
                <c:pt idx="2">
                  <c:v>1898.7322967700002</c:v>
                </c:pt>
                <c:pt idx="3">
                  <c:v>2096.3128917999998</c:v>
                </c:pt>
                <c:pt idx="4">
                  <c:v>2511.1917377</c:v>
                </c:pt>
              </c:numCache>
            </c:numRef>
          </c:val>
          <c:extLst>
            <c:ext xmlns:c16="http://schemas.microsoft.com/office/drawing/2014/chart" uri="{C3380CC4-5D6E-409C-BE32-E72D297353CC}">
              <c16:uniqueId val="{00000008-4AB2-4FF2-AB5A-4C8B7E4021F9}"/>
            </c:ext>
          </c:extLst>
        </c:ser>
        <c:ser>
          <c:idx val="2"/>
          <c:order val="2"/>
          <c:tx>
            <c:strRef>
              <c:f>Sheet1!$D$1</c:f>
              <c:strCache>
                <c:ptCount val="1"/>
                <c:pt idx="0">
                  <c:v> Ոչ ֆինանսական ակտիվների գծով ծախս </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Sheet1!$D$2:$D$6</c:f>
              <c:numCache>
                <c:formatCode>#,##0.0</c:formatCode>
                <c:ptCount val="5"/>
                <c:pt idx="0">
                  <c:v>227.69831293999999</c:v>
                </c:pt>
                <c:pt idx="1">
                  <c:v>218.39952757</c:v>
                </c:pt>
                <c:pt idx="2">
                  <c:v>389.11973379</c:v>
                </c:pt>
                <c:pt idx="3">
                  <c:v>557.66025930000001</c:v>
                </c:pt>
                <c:pt idx="4">
                  <c:v>710.3257617999999</c:v>
                </c:pt>
              </c:numCache>
            </c:numRef>
          </c:val>
          <c:extLst>
            <c:ext xmlns:c16="http://schemas.microsoft.com/office/drawing/2014/chart" uri="{C3380CC4-5D6E-409C-BE32-E72D297353CC}">
              <c16:uniqueId val="{00000009-4AB2-4FF2-AB5A-4C8B7E4021F9}"/>
            </c:ext>
          </c:extLst>
        </c:ser>
        <c:ser>
          <c:idx val="3"/>
          <c:order val="3"/>
          <c:tx>
            <c:strRef>
              <c:f>Sheet1!$E$1</c:f>
              <c:strCache>
                <c:ptCount val="1"/>
                <c:pt idx="0">
                  <c:v>  Ոչ ֆինանսական ակտիվների օտարումից մուտքեր </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Sheet1!$E$2:$E$6</c:f>
              <c:numCache>
                <c:formatCode>#,##0.0</c:formatCode>
                <c:ptCount val="5"/>
                <c:pt idx="0">
                  <c:v>-1.5095935300000001</c:v>
                </c:pt>
                <c:pt idx="1">
                  <c:v>-2.0649320100000002</c:v>
                </c:pt>
                <c:pt idx="2">
                  <c:v>-8.7256014499999992</c:v>
                </c:pt>
                <c:pt idx="3">
                  <c:v>-10</c:v>
                </c:pt>
                <c:pt idx="4">
                  <c:v>-15</c:v>
                </c:pt>
              </c:numCache>
            </c:numRef>
          </c:val>
          <c:extLst>
            <c:ext xmlns:c16="http://schemas.microsoft.com/office/drawing/2014/chart" uri="{C3380CC4-5D6E-409C-BE32-E72D297353CC}">
              <c16:uniqueId val="{0000000A-4AB2-4FF2-AB5A-4C8B7E4021F9}"/>
            </c:ext>
          </c:extLst>
        </c:ser>
        <c:dLbls>
          <c:showLegendKey val="0"/>
          <c:showVal val="0"/>
          <c:showCatName val="0"/>
          <c:showSerName val="0"/>
          <c:showPercent val="0"/>
          <c:showBubbleSize val="0"/>
        </c:dLbls>
        <c:gapWidth val="150"/>
        <c:overlap val="100"/>
        <c:axId val="287851520"/>
        <c:axId val="180993344"/>
      </c:barChart>
      <c:catAx>
        <c:axId val="2878510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767040"/>
        <c:crosses val="autoZero"/>
        <c:auto val="1"/>
        <c:lblAlgn val="ctr"/>
        <c:lblOffset val="100"/>
        <c:noMultiLvlLbl val="0"/>
      </c:catAx>
      <c:valAx>
        <c:axId val="260767040"/>
        <c:scaling>
          <c:orientation val="minMax"/>
          <c:max val="3500"/>
          <c:min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7851008"/>
        <c:crosses val="autoZero"/>
        <c:crossBetween val="between"/>
      </c:valAx>
      <c:valAx>
        <c:axId val="180993344"/>
        <c:scaling>
          <c:orientation val="minMax"/>
        </c:scaling>
        <c:delete val="1"/>
        <c:axPos val="r"/>
        <c:numFmt formatCode="#,##0.0" sourceLinked="1"/>
        <c:majorTickMark val="out"/>
        <c:minorTickMark val="none"/>
        <c:tickLblPos val="nextTo"/>
        <c:crossAx val="287851520"/>
        <c:crosses val="max"/>
        <c:crossBetween val="between"/>
      </c:valAx>
      <c:catAx>
        <c:axId val="287851520"/>
        <c:scaling>
          <c:orientation val="minMax"/>
        </c:scaling>
        <c:delete val="1"/>
        <c:axPos val="t"/>
        <c:numFmt formatCode="General" sourceLinked="1"/>
        <c:majorTickMark val="out"/>
        <c:minorTickMark val="none"/>
        <c:tickLblPos val="nextTo"/>
        <c:crossAx val="180993344"/>
        <c:crosses val="max"/>
        <c:auto val="1"/>
        <c:lblAlgn val="ctr"/>
        <c:lblOffset val="100"/>
        <c:noMultiLvlLbl val="0"/>
      </c:catAx>
      <c:spPr>
        <a:noFill/>
        <a:ln>
          <a:noFill/>
        </a:ln>
        <a:effectLst/>
      </c:spPr>
    </c:plotArea>
    <c:legend>
      <c:legendPos val="b"/>
      <c:legendEntry>
        <c:idx val="0"/>
        <c:delete val="1"/>
      </c:legendEntry>
      <c:layout>
        <c:manualLayout>
          <c:xMode val="edge"/>
          <c:yMode val="edge"/>
          <c:x val="3.0209118296584098E-2"/>
          <c:y val="0.89414739064703053"/>
          <c:w val="0.95411362971366176"/>
          <c:h val="8.82107393147452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Sheet1!$B$1</c:f>
              <c:strCache>
                <c:ptCount val="1"/>
                <c:pt idx="0">
                  <c:v> Ընդամենը ծախսեր </c:v>
                </c:pt>
              </c:strCache>
            </c:strRef>
          </c:tx>
          <c:spPr>
            <a:solidFill>
              <a:schemeClr val="accent5">
                <a:shade val="45000"/>
              </a:schemeClr>
            </a:solidFill>
            <a:ln>
              <a:noFill/>
            </a:ln>
            <a:effectLst/>
          </c:spPr>
          <c:invertIfNegative val="0"/>
          <c:dPt>
            <c:idx val="3"/>
            <c:invertIfNegative val="0"/>
            <c:bubble3D val="0"/>
            <c:extLst>
              <c:ext xmlns:c16="http://schemas.microsoft.com/office/drawing/2014/chart" uri="{C3380CC4-5D6E-409C-BE32-E72D297353CC}">
                <c16:uniqueId val="{00000000-F5D0-47C8-875D-08117A29D7EA}"/>
              </c:ext>
            </c:extLst>
          </c:dPt>
          <c:dLbls>
            <c:dLbl>
              <c:idx val="0"/>
              <c:layout>
                <c:manualLayout>
                  <c:x val="-9.7222222222222224E-2"/>
                  <c:y val="-1.98412698412698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D0-47C8-875D-08117A29D7EA}"/>
                </c:ext>
              </c:extLst>
            </c:dLbl>
            <c:dLbl>
              <c:idx val="1"/>
              <c:layout>
                <c:manualLayout>
                  <c:x val="-0.10416666666666663"/>
                  <c:y val="3.63752411657714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D0-47C8-875D-08117A29D7EA}"/>
                </c:ext>
              </c:extLst>
            </c:dLbl>
            <c:dLbl>
              <c:idx val="2"/>
              <c:layout>
                <c:manualLayout>
                  <c:x val="-0.10648148148148148"/>
                  <c:y val="-3.96825396825396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D0-47C8-875D-08117A29D7EA}"/>
                </c:ext>
              </c:extLst>
            </c:dLbl>
            <c:dLbl>
              <c:idx val="3"/>
              <c:layout>
                <c:manualLayout>
                  <c:x val="-0.11805555555555547"/>
                  <c:y val="-7.936507936507972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D0-47C8-875D-08117A29D7EA}"/>
                </c:ext>
              </c:extLst>
            </c:dLbl>
            <c:dLbl>
              <c:idx val="4"/>
              <c:layout>
                <c:manualLayout>
                  <c:x val="-9.2241467664241059E-2"/>
                  <c:y val="-3.122560499609737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5D0-47C8-875D-08117A29D7EA}"/>
                </c:ext>
              </c:extLst>
            </c:dLbl>
            <c:spPr>
              <a:noFill/>
              <a:ln>
                <a:noFill/>
              </a:ln>
              <a:effectLst/>
            </c:spPr>
            <c:txPr>
              <a:bodyPr rot="-5400000" spcFirstLastPara="1" vertOverflow="ellipsis"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bg1"/>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Sheet1!$B$2:$B$6</c:f>
              <c:numCache>
                <c:formatCode>0.0</c:formatCode>
                <c:ptCount val="5"/>
                <c:pt idx="0">
                  <c:v>27.205117068327802</c:v>
                </c:pt>
                <c:pt idx="1">
                  <c:v>25.929601674217786</c:v>
                </c:pt>
                <c:pt idx="2">
                  <c:v>22.34649792093542</c:v>
                </c:pt>
                <c:pt idx="3">
                  <c:v>22.497619230513859</c:v>
                </c:pt>
                <c:pt idx="4">
                  <c:v>23.879534769657859</c:v>
                </c:pt>
              </c:numCache>
            </c:numRef>
          </c:val>
          <c:extLst>
            <c:ext xmlns:c16="http://schemas.microsoft.com/office/drawing/2014/chart" uri="{C3380CC4-5D6E-409C-BE32-E72D297353CC}">
              <c16:uniqueId val="{00000005-F5D0-47C8-875D-08117A29D7EA}"/>
            </c:ext>
          </c:extLst>
        </c:ser>
        <c:dLbls>
          <c:showLegendKey val="0"/>
          <c:showVal val="0"/>
          <c:showCatName val="0"/>
          <c:showSerName val="0"/>
          <c:showPercent val="0"/>
          <c:showBubbleSize val="0"/>
        </c:dLbls>
        <c:gapWidth val="150"/>
        <c:overlap val="100"/>
        <c:axId val="287792128"/>
        <c:axId val="151020672"/>
      </c:barChart>
      <c:barChart>
        <c:barDir val="col"/>
        <c:grouping val="stacked"/>
        <c:varyColors val="0"/>
        <c:ser>
          <c:idx val="1"/>
          <c:order val="1"/>
          <c:tx>
            <c:strRef>
              <c:f>Sheet1!$C$1</c:f>
              <c:strCache>
                <c:ptCount val="1"/>
                <c:pt idx="0">
                  <c:v> Աշխատանքի վարձատրություն </c:v>
                </c:pt>
              </c:strCache>
            </c:strRef>
          </c:tx>
          <c:spPr>
            <a:solidFill>
              <a:schemeClr val="accent5">
                <a:shade val="61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Sheet1!$C$2:$C$6</c:f>
              <c:numCache>
                <c:formatCode>0.0</c:formatCode>
                <c:ptCount val="5"/>
                <c:pt idx="0">
                  <c:v>2.8486592338093453</c:v>
                </c:pt>
                <c:pt idx="1">
                  <c:v>2.5979157553831915</c:v>
                </c:pt>
                <c:pt idx="2">
                  <c:v>2.2842685725609</c:v>
                </c:pt>
                <c:pt idx="3">
                  <c:v>2.269036501295318</c:v>
                </c:pt>
                <c:pt idx="4">
                  <c:v>2.2841061462595165</c:v>
                </c:pt>
              </c:numCache>
            </c:numRef>
          </c:val>
          <c:extLst>
            <c:ext xmlns:c16="http://schemas.microsoft.com/office/drawing/2014/chart" uri="{C3380CC4-5D6E-409C-BE32-E72D297353CC}">
              <c16:uniqueId val="{00000006-F5D0-47C8-875D-08117A29D7EA}"/>
            </c:ext>
          </c:extLst>
        </c:ser>
        <c:ser>
          <c:idx val="2"/>
          <c:order val="2"/>
          <c:tx>
            <c:strRef>
              <c:f>Sheet1!$D$1</c:f>
              <c:strCache>
                <c:ptCount val="1"/>
                <c:pt idx="0">
                  <c:v> Ծառայությունների և ապրանքների ձեռքբերում </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Sheet1!$D$2:$D$6</c:f>
              <c:numCache>
                <c:formatCode>0.0</c:formatCode>
                <c:ptCount val="5"/>
                <c:pt idx="0">
                  <c:v>2.8981721193730881</c:v>
                </c:pt>
                <c:pt idx="1">
                  <c:v>2.8423482463209564</c:v>
                </c:pt>
                <c:pt idx="2">
                  <c:v>2.4157016394414645</c:v>
                </c:pt>
                <c:pt idx="3">
                  <c:v>2.0120124282065084</c:v>
                </c:pt>
                <c:pt idx="4">
                  <c:v>1.8229209330750902</c:v>
                </c:pt>
              </c:numCache>
            </c:numRef>
          </c:val>
          <c:extLst>
            <c:ext xmlns:c16="http://schemas.microsoft.com/office/drawing/2014/chart" uri="{C3380CC4-5D6E-409C-BE32-E72D297353CC}">
              <c16:uniqueId val="{00000007-F5D0-47C8-875D-08117A29D7EA}"/>
            </c:ext>
          </c:extLst>
        </c:ser>
        <c:ser>
          <c:idx val="3"/>
          <c:order val="3"/>
          <c:tx>
            <c:strRef>
              <c:f>Sheet1!$E$1</c:f>
              <c:strCache>
                <c:ptCount val="1"/>
                <c:pt idx="0">
                  <c:v> Տոկոսավճարներ </c:v>
                </c:pt>
              </c:strCache>
            </c:strRef>
          </c:tx>
          <c:spPr>
            <a:solidFill>
              <a:schemeClr val="accent5">
                <a:shade val="9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Sheet1!$E$2:$E$6</c:f>
              <c:numCache>
                <c:formatCode>0.0</c:formatCode>
                <c:ptCount val="5"/>
                <c:pt idx="0">
                  <c:v>2.6653179608491411</c:v>
                </c:pt>
                <c:pt idx="1">
                  <c:v>2.589677160517474</c:v>
                </c:pt>
                <c:pt idx="2">
                  <c:v>2.3339776329801447</c:v>
                </c:pt>
                <c:pt idx="3">
                  <c:v>2.9292818434088876</c:v>
                </c:pt>
                <c:pt idx="4">
                  <c:v>3.0727729410698545</c:v>
                </c:pt>
              </c:numCache>
            </c:numRef>
          </c:val>
          <c:extLst>
            <c:ext xmlns:c16="http://schemas.microsoft.com/office/drawing/2014/chart" uri="{C3380CC4-5D6E-409C-BE32-E72D297353CC}">
              <c16:uniqueId val="{00000008-F5D0-47C8-875D-08117A29D7EA}"/>
            </c:ext>
          </c:extLst>
        </c:ser>
        <c:ser>
          <c:idx val="4"/>
          <c:order val="4"/>
          <c:tx>
            <c:strRef>
              <c:f>Sheet1!$F$1</c:f>
              <c:strCache>
                <c:ptCount val="1"/>
                <c:pt idx="0">
                  <c:v> Սուբսիդիաներ </c:v>
                </c:pt>
              </c:strCache>
            </c:strRef>
          </c:tx>
          <c:spPr>
            <a:solidFill>
              <a:schemeClr val="accent5">
                <a:tint val="9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Sheet1!$F$2:$F$6</c:f>
              <c:numCache>
                <c:formatCode>0.0</c:formatCode>
                <c:ptCount val="5"/>
                <c:pt idx="0">
                  <c:v>1.9262547701738297</c:v>
                </c:pt>
                <c:pt idx="1">
                  <c:v>1.9587390631125401</c:v>
                </c:pt>
                <c:pt idx="2">
                  <c:v>1.7713268648577956</c:v>
                </c:pt>
                <c:pt idx="3">
                  <c:v>1.6258336861830269</c:v>
                </c:pt>
                <c:pt idx="4">
                  <c:v>1.7587616811082536</c:v>
                </c:pt>
              </c:numCache>
            </c:numRef>
          </c:val>
          <c:extLst>
            <c:ext xmlns:c16="http://schemas.microsoft.com/office/drawing/2014/chart" uri="{C3380CC4-5D6E-409C-BE32-E72D297353CC}">
              <c16:uniqueId val="{00000009-F5D0-47C8-875D-08117A29D7EA}"/>
            </c:ext>
          </c:extLst>
        </c:ser>
        <c:ser>
          <c:idx val="5"/>
          <c:order val="5"/>
          <c:tx>
            <c:strRef>
              <c:f>Sheet1!$G$1</c:f>
              <c:strCache>
                <c:ptCount val="1"/>
                <c:pt idx="0">
                  <c:v> Դրամաշնորհներ </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Sheet1!$G$2:$G$6</c:f>
              <c:numCache>
                <c:formatCode>0.0</c:formatCode>
                <c:ptCount val="5"/>
                <c:pt idx="0">
                  <c:v>3.0226000450087978</c:v>
                </c:pt>
                <c:pt idx="1">
                  <c:v>2.9312943407615317</c:v>
                </c:pt>
                <c:pt idx="2">
                  <c:v>2.8078551955559536</c:v>
                </c:pt>
                <c:pt idx="3">
                  <c:v>2.8795305666981887</c:v>
                </c:pt>
                <c:pt idx="4">
                  <c:v>2.7956612254184297</c:v>
                </c:pt>
              </c:numCache>
            </c:numRef>
          </c:val>
          <c:extLst>
            <c:ext xmlns:c16="http://schemas.microsoft.com/office/drawing/2014/chart" uri="{C3380CC4-5D6E-409C-BE32-E72D297353CC}">
              <c16:uniqueId val="{0000000A-F5D0-47C8-875D-08117A29D7EA}"/>
            </c:ext>
          </c:extLst>
        </c:ser>
        <c:ser>
          <c:idx val="6"/>
          <c:order val="6"/>
          <c:tx>
            <c:strRef>
              <c:f>Sheet1!$H$1</c:f>
              <c:strCache>
                <c:ptCount val="1"/>
                <c:pt idx="0">
                  <c:v> Սոցիալական նպաստներ և կենսաթոշակներ </c:v>
                </c:pt>
              </c:strCache>
            </c:strRef>
          </c:tx>
          <c:spPr>
            <a:solidFill>
              <a:schemeClr val="accent5">
                <a:tint val="6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Sheet1!$H$2:$H$6</c:f>
              <c:numCache>
                <c:formatCode>0.0</c:formatCode>
                <c:ptCount val="5"/>
                <c:pt idx="0">
                  <c:v>9.2594085301505711</c:v>
                </c:pt>
                <c:pt idx="1">
                  <c:v>9.2202392802481743</c:v>
                </c:pt>
                <c:pt idx="2">
                  <c:v>7.6453717321480212</c:v>
                </c:pt>
                <c:pt idx="3">
                  <c:v>7.6501444086832322</c:v>
                </c:pt>
                <c:pt idx="4">
                  <c:v>8.3512281364963616</c:v>
                </c:pt>
              </c:numCache>
            </c:numRef>
          </c:val>
          <c:extLst>
            <c:ext xmlns:c16="http://schemas.microsoft.com/office/drawing/2014/chart" uri="{C3380CC4-5D6E-409C-BE32-E72D297353CC}">
              <c16:uniqueId val="{0000000B-F5D0-47C8-875D-08117A29D7EA}"/>
            </c:ext>
          </c:extLst>
        </c:ser>
        <c:ser>
          <c:idx val="7"/>
          <c:order val="7"/>
          <c:tx>
            <c:strRef>
              <c:f>Sheet1!$I$1</c:f>
              <c:strCache>
                <c:ptCount val="1"/>
                <c:pt idx="0">
                  <c:v> Այլ ծախսեր </c:v>
                </c:pt>
              </c:strCache>
            </c:strRef>
          </c:tx>
          <c:spPr>
            <a:solidFill>
              <a:schemeClr val="accent5">
                <a:tint val="4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փաստ </c:v>
                </c:pt>
                <c:pt idx="1">
                  <c:v> 2021 թ փաստ </c:v>
                </c:pt>
                <c:pt idx="2">
                  <c:v> 2022 թ փաստ </c:v>
                </c:pt>
                <c:pt idx="3">
                  <c:v> 2023թ բյուջե </c:v>
                </c:pt>
                <c:pt idx="4">
                  <c:v> 2024 թ ծրագիր </c:v>
                </c:pt>
              </c:strCache>
            </c:strRef>
          </c:cat>
          <c:val>
            <c:numRef>
              <c:f>Sheet1!$I$2:$I$6</c:f>
              <c:numCache>
                <c:formatCode>0.0</c:formatCode>
                <c:ptCount val="5"/>
                <c:pt idx="0">
                  <c:v>4.5847044089630273</c:v>
                </c:pt>
                <c:pt idx="1">
                  <c:v>3.7893878278739148</c:v>
                </c:pt>
                <c:pt idx="2">
                  <c:v>3.0879962833911438</c:v>
                </c:pt>
                <c:pt idx="3">
                  <c:v>3.1317797960386957</c:v>
                </c:pt>
                <c:pt idx="4">
                  <c:v>3.794083706230353</c:v>
                </c:pt>
              </c:numCache>
            </c:numRef>
          </c:val>
          <c:extLst>
            <c:ext xmlns:c16="http://schemas.microsoft.com/office/drawing/2014/chart" uri="{C3380CC4-5D6E-409C-BE32-E72D297353CC}">
              <c16:uniqueId val="{0000000C-F5D0-47C8-875D-08117A29D7EA}"/>
            </c:ext>
          </c:extLst>
        </c:ser>
        <c:dLbls>
          <c:showLegendKey val="0"/>
          <c:showVal val="0"/>
          <c:showCatName val="0"/>
          <c:showSerName val="0"/>
          <c:showPercent val="0"/>
          <c:showBubbleSize val="0"/>
        </c:dLbls>
        <c:gapWidth val="150"/>
        <c:overlap val="100"/>
        <c:axId val="386210304"/>
        <c:axId val="151021248"/>
      </c:barChart>
      <c:catAx>
        <c:axId val="2877921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020672"/>
        <c:crosses val="autoZero"/>
        <c:auto val="1"/>
        <c:lblAlgn val="ctr"/>
        <c:lblOffset val="100"/>
        <c:noMultiLvlLbl val="0"/>
      </c:catAx>
      <c:valAx>
        <c:axId val="1510206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7792128"/>
        <c:crosses val="autoZero"/>
        <c:crossBetween val="between"/>
      </c:valAx>
      <c:valAx>
        <c:axId val="151021248"/>
        <c:scaling>
          <c:orientation val="minMax"/>
        </c:scaling>
        <c:delete val="1"/>
        <c:axPos val="r"/>
        <c:numFmt formatCode="0.0" sourceLinked="1"/>
        <c:majorTickMark val="out"/>
        <c:minorTickMark val="none"/>
        <c:tickLblPos val="nextTo"/>
        <c:crossAx val="386210304"/>
        <c:crosses val="max"/>
        <c:crossBetween val="between"/>
      </c:valAx>
      <c:catAx>
        <c:axId val="386210304"/>
        <c:scaling>
          <c:orientation val="minMax"/>
        </c:scaling>
        <c:delete val="1"/>
        <c:axPos val="b"/>
        <c:numFmt formatCode="General" sourceLinked="1"/>
        <c:majorTickMark val="out"/>
        <c:minorTickMark val="none"/>
        <c:tickLblPos val="nextTo"/>
        <c:crossAx val="151021248"/>
        <c:crosses val="autoZero"/>
        <c:auto val="1"/>
        <c:lblAlgn val="ctr"/>
        <c:lblOffset val="100"/>
        <c:noMultiLvlLbl val="0"/>
      </c:catAx>
      <c:spPr>
        <a:noFill/>
        <a:ln>
          <a:noFill/>
        </a:ln>
        <a:effectLst/>
      </c:spPr>
    </c:plotArea>
    <c:legend>
      <c:legendPos val="b"/>
      <c:legendEntry>
        <c:idx val="0"/>
        <c:delete val="1"/>
      </c:legendEntry>
      <c:layout>
        <c:manualLayout>
          <c:xMode val="edge"/>
          <c:yMode val="edge"/>
          <c:x val="2.0264289880431618E-2"/>
          <c:y val="0.77967602808697511"/>
          <c:w val="0.9409527194517352"/>
          <c:h val="0.196514370553732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6.5049145169911685E-2"/>
          <c:y val="3.8224051749485448E-2"/>
          <c:w val="0.9038111413154527"/>
          <c:h val="0.65802108854732866"/>
        </c:manualLayout>
      </c:layout>
      <c:barChart>
        <c:barDir val="col"/>
        <c:grouping val="stacked"/>
        <c:varyColors val="0"/>
        <c:ser>
          <c:idx val="0"/>
          <c:order val="0"/>
          <c:tx>
            <c:strRef>
              <c:f>Sheet1!$B$1</c:f>
              <c:strCache>
                <c:ptCount val="1"/>
                <c:pt idx="0">
                  <c:v> Ընդամենը ծախսեր </c:v>
                </c:pt>
              </c:strCache>
            </c:strRef>
          </c:tx>
          <c:spPr>
            <a:solidFill>
              <a:schemeClr val="accent5">
                <a:shade val="65000"/>
              </a:schemeClr>
            </a:solidFill>
            <a:ln>
              <a:noFill/>
            </a:ln>
            <a:effectLst>
              <a:outerShdw blurRad="50800" dist="50800" dir="5400000" algn="ctr" rotWithShape="0">
                <a:schemeClr val="bg1"/>
              </a:outerShdw>
            </a:effectLst>
          </c:spPr>
          <c:invertIfNegative val="0"/>
          <c:dLbls>
            <c:dLbl>
              <c:idx val="0"/>
              <c:layout>
                <c:manualLayout>
                  <c:x val="-8.5602664430705508E-2"/>
                  <c:y val="-6.301094083669648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E2-463C-8CAF-C4A4000B5C7A}"/>
                </c:ext>
              </c:extLst>
            </c:dLbl>
            <c:dLbl>
              <c:idx val="1"/>
              <c:layout>
                <c:manualLayout>
                  <c:x val="-0.11399603438608999"/>
                  <c:y val="2.0634000820548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E2-463C-8CAF-C4A4000B5C7A}"/>
                </c:ext>
              </c:extLst>
            </c:dLbl>
            <c:dLbl>
              <c:idx val="2"/>
              <c:layout>
                <c:manualLayout>
                  <c:x val="-0.11670298271051181"/>
                  <c:y val="-8.820935019112026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E2-463C-8CAF-C4A4000B5C7A}"/>
                </c:ext>
              </c:extLst>
            </c:dLbl>
            <c:dLbl>
              <c:idx val="3"/>
              <c:layout>
                <c:manualLayout>
                  <c:x val="-0.10091910592758366"/>
                  <c:y val="8.960573476702508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E2-463C-8CAF-C4A4000B5C7A}"/>
                </c:ext>
              </c:extLst>
            </c:dLbl>
            <c:dLbl>
              <c:idx val="4"/>
              <c:layout>
                <c:manualLayout>
                  <c:x val="-0.10659014041201188"/>
                  <c:y val="2.986857825567503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E2-463C-8CAF-C4A4000B5C7A}"/>
                </c:ext>
              </c:extLst>
            </c:dLbl>
            <c:spPr>
              <a:noFill/>
              <a:ln>
                <a:noFill/>
              </a:ln>
              <a:effectLst/>
            </c:spPr>
            <c:txPr>
              <a:bodyPr rot="-5400000" spcFirstLastPara="1" vertOverflow="ellipsis"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bg1"/>
                      </a:solidFill>
                      <a:round/>
                    </a:ln>
                    <a:effectLst/>
                  </c:spPr>
                </c15:leaderLines>
              </c:ext>
            </c:extLst>
          </c:dLbls>
          <c:cat>
            <c:strRef>
              <c:f>Sheet1!$A$2:$A$6</c:f>
              <c:strCache>
                <c:ptCount val="5"/>
                <c:pt idx="0">
                  <c:v> 2020թ </c:v>
                </c:pt>
                <c:pt idx="1">
                  <c:v> 2021 թ </c:v>
                </c:pt>
                <c:pt idx="2">
                  <c:v> 2022 թ </c:v>
                </c:pt>
                <c:pt idx="3">
                  <c:v> 2023թ </c:v>
                </c:pt>
                <c:pt idx="4">
                  <c:v> 2024 թ </c:v>
                </c:pt>
              </c:strCache>
            </c:strRef>
          </c:cat>
          <c:val>
            <c:numRef>
              <c:f>Sheet1!$B$2:$B$6</c:f>
              <c:numCache>
                <c:formatCode>#,##0.0</c:formatCode>
                <c:ptCount val="5"/>
                <c:pt idx="0">
                  <c:v>227.7</c:v>
                </c:pt>
                <c:pt idx="1">
                  <c:v>215.9</c:v>
                </c:pt>
                <c:pt idx="2">
                  <c:v>352</c:v>
                </c:pt>
                <c:pt idx="3">
                  <c:v>557.70000000000005</c:v>
                </c:pt>
                <c:pt idx="4">
                  <c:v>695.32576189999986</c:v>
                </c:pt>
              </c:numCache>
            </c:numRef>
          </c:val>
          <c:extLst>
            <c:ext xmlns:c16="http://schemas.microsoft.com/office/drawing/2014/chart" uri="{C3380CC4-5D6E-409C-BE32-E72D297353CC}">
              <c16:uniqueId val="{00000004-2BE2-463C-8CAF-C4A4000B5C7A}"/>
            </c:ext>
          </c:extLst>
        </c:ser>
        <c:dLbls>
          <c:showLegendKey val="0"/>
          <c:showVal val="0"/>
          <c:showCatName val="0"/>
          <c:showSerName val="0"/>
          <c:showPercent val="0"/>
          <c:showBubbleSize val="0"/>
        </c:dLbls>
        <c:gapWidth val="150"/>
        <c:overlap val="100"/>
        <c:axId val="1235484096"/>
        <c:axId val="1235486176"/>
      </c:barChart>
      <c:barChart>
        <c:barDir val="col"/>
        <c:grouping val="stacked"/>
        <c:varyColors val="0"/>
        <c:ser>
          <c:idx val="1"/>
          <c:order val="1"/>
          <c:tx>
            <c:strRef>
              <c:f>Sheet1!$C$1</c:f>
              <c:strCache>
                <c:ptCount val="1"/>
                <c:pt idx="0">
                  <c:v> արտաքին ռեսուրսների հաշվին իրականացվող ծրագրեր (ներառյալ ՀՀ կառավարության համաֆինանսավորումը) </c:v>
                </c:pt>
              </c:strCache>
            </c:strRef>
          </c:tx>
          <c:spPr>
            <a:solidFill>
              <a:srgbClr val="0070C0"/>
            </a:solidFill>
            <a:ln>
              <a:solidFill>
                <a:schemeClr val="accent1">
                  <a:lumMod val="75000"/>
                </a:schemeClr>
              </a:solidFill>
            </a:ln>
            <a:effectLst/>
          </c:spPr>
          <c:invertIfNegative val="0"/>
          <c:dLbls>
            <c:dLbl>
              <c:idx val="0"/>
              <c:layout>
                <c:manualLayout>
                  <c:x val="-5.7833231713795979E-3"/>
                  <c:y val="-8.8209350191121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E2-463C-8CAF-C4A4000B5C7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c:v>
                </c:pt>
                <c:pt idx="1">
                  <c:v> 2021 թ </c:v>
                </c:pt>
                <c:pt idx="2">
                  <c:v> 2022 թ </c:v>
                </c:pt>
                <c:pt idx="3">
                  <c:v> 2023թ </c:v>
                </c:pt>
                <c:pt idx="4">
                  <c:v> 2024 թ </c:v>
                </c:pt>
              </c:strCache>
            </c:strRef>
          </c:cat>
          <c:val>
            <c:numRef>
              <c:f>Sheet1!$C$2:$C$6</c:f>
              <c:numCache>
                <c:formatCode>#,##0</c:formatCode>
                <c:ptCount val="5"/>
                <c:pt idx="0" formatCode="#,##0.0">
                  <c:v>44.3</c:v>
                </c:pt>
                <c:pt idx="1">
                  <c:v>82.9</c:v>
                </c:pt>
                <c:pt idx="2">
                  <c:v>130.4</c:v>
                </c:pt>
                <c:pt idx="3">
                  <c:v>121.9</c:v>
                </c:pt>
                <c:pt idx="4" formatCode="_(* #,##0_);_(* \(#,##0\);_(* &quot;-&quot;??_);_(@_)">
                  <c:v>122.18994409999999</c:v>
                </c:pt>
              </c:numCache>
            </c:numRef>
          </c:val>
          <c:extLst>
            <c:ext xmlns:c16="http://schemas.microsoft.com/office/drawing/2014/chart" uri="{C3380CC4-5D6E-409C-BE32-E72D297353CC}">
              <c16:uniqueId val="{00000006-2BE2-463C-8CAF-C4A4000B5C7A}"/>
            </c:ext>
          </c:extLst>
        </c:ser>
        <c:ser>
          <c:idx val="2"/>
          <c:order val="2"/>
          <c:tx>
            <c:strRef>
              <c:f>Sheet1!$D$1</c:f>
              <c:strCache>
                <c:ptCount val="1"/>
                <c:pt idx="0">
                  <c:v> ներքին ռեսուրսների հաշվին իրականացվող ծրագրեր </c:v>
                </c:pt>
              </c:strCache>
            </c:strRef>
          </c:tx>
          <c:spPr>
            <a:solidFill>
              <a:schemeClr val="tx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2020թ </c:v>
                </c:pt>
                <c:pt idx="1">
                  <c:v> 2021 թ </c:v>
                </c:pt>
                <c:pt idx="2">
                  <c:v> 2022 թ </c:v>
                </c:pt>
                <c:pt idx="3">
                  <c:v> 2023թ </c:v>
                </c:pt>
                <c:pt idx="4">
                  <c:v> 2024 թ </c:v>
                </c:pt>
              </c:strCache>
            </c:strRef>
          </c:cat>
          <c:val>
            <c:numRef>
              <c:f>Sheet1!$D$2:$D$6</c:f>
              <c:numCache>
                <c:formatCode>#,##0</c:formatCode>
                <c:ptCount val="5"/>
                <c:pt idx="0" formatCode="#,##0.0">
                  <c:v>183.4</c:v>
                </c:pt>
                <c:pt idx="1">
                  <c:v>133</c:v>
                </c:pt>
                <c:pt idx="2">
                  <c:v>221.6</c:v>
                </c:pt>
                <c:pt idx="3">
                  <c:v>435.8</c:v>
                </c:pt>
                <c:pt idx="4" formatCode="_(* #,##0_);_(* \(#,##0\);_(* &quot;-&quot;??_);_(@_)">
                  <c:v>573.13581779999993</c:v>
                </c:pt>
              </c:numCache>
            </c:numRef>
          </c:val>
          <c:extLst>
            <c:ext xmlns:c16="http://schemas.microsoft.com/office/drawing/2014/chart" uri="{C3380CC4-5D6E-409C-BE32-E72D297353CC}">
              <c16:uniqueId val="{00000007-2BE2-463C-8CAF-C4A4000B5C7A}"/>
            </c:ext>
          </c:extLst>
        </c:ser>
        <c:dLbls>
          <c:showLegendKey val="0"/>
          <c:showVal val="0"/>
          <c:showCatName val="0"/>
          <c:showSerName val="0"/>
          <c:showPercent val="0"/>
          <c:showBubbleSize val="0"/>
        </c:dLbls>
        <c:gapWidth val="150"/>
        <c:overlap val="100"/>
        <c:axId val="1121503088"/>
        <c:axId val="1121511408"/>
      </c:barChart>
      <c:catAx>
        <c:axId val="12354840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5486176"/>
        <c:crosses val="autoZero"/>
        <c:auto val="1"/>
        <c:lblAlgn val="ctr"/>
        <c:lblOffset val="100"/>
        <c:noMultiLvlLbl val="0"/>
      </c:catAx>
      <c:valAx>
        <c:axId val="1235486176"/>
        <c:scaling>
          <c:orientation val="minMax"/>
          <c:max val="75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5484096"/>
        <c:crosses val="autoZero"/>
        <c:crossBetween val="between"/>
        <c:majorUnit val="300"/>
      </c:valAx>
      <c:valAx>
        <c:axId val="1121511408"/>
        <c:scaling>
          <c:orientation val="minMax"/>
        </c:scaling>
        <c:delete val="1"/>
        <c:axPos val="r"/>
        <c:numFmt formatCode="#,##0.0" sourceLinked="1"/>
        <c:majorTickMark val="out"/>
        <c:minorTickMark val="none"/>
        <c:tickLblPos val="nextTo"/>
        <c:crossAx val="1121503088"/>
        <c:crosses val="max"/>
        <c:crossBetween val="between"/>
      </c:valAx>
      <c:catAx>
        <c:axId val="1121503088"/>
        <c:scaling>
          <c:orientation val="minMax"/>
        </c:scaling>
        <c:delete val="1"/>
        <c:axPos val="t"/>
        <c:numFmt formatCode="General" sourceLinked="1"/>
        <c:majorTickMark val="out"/>
        <c:minorTickMark val="none"/>
        <c:tickLblPos val="nextTo"/>
        <c:crossAx val="1121511408"/>
        <c:crosses val="max"/>
        <c:auto val="1"/>
        <c:lblAlgn val="ctr"/>
        <c:lblOffset val="100"/>
        <c:noMultiLvlLbl val="0"/>
      </c:catAx>
      <c:spPr>
        <a:noFill/>
        <a:ln>
          <a:noFill/>
        </a:ln>
        <a:effectLst/>
      </c:spPr>
    </c:plotArea>
    <c:legend>
      <c:legendPos val="b"/>
      <c:legendEntry>
        <c:idx val="0"/>
        <c:delete val="1"/>
      </c:legendEntry>
      <c:layout>
        <c:manualLayout>
          <c:xMode val="edge"/>
          <c:yMode val="edge"/>
          <c:x val="4.8456990416160604E-2"/>
          <c:y val="0.83564608883707026"/>
          <c:w val="0.92176984727646016"/>
          <c:h val="0.13493703337127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Sheet1!$A$2</c:f>
              <c:strCache>
                <c:ptCount val="1"/>
                <c:pt idx="0">
                  <c:v> 2021-2024թ․ ընդամենը ծախսեր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Sheet1!$C$1:$F$1</c:f>
              <c:strCache>
                <c:ptCount val="4"/>
                <c:pt idx="0">
                  <c:v>2021թ․ փաստացի</c:v>
                </c:pt>
                <c:pt idx="1">
                  <c:v>2022թ․ փաստացի </c:v>
                </c:pt>
                <c:pt idx="2">
                  <c:v>2023թ․ հաստատված</c:v>
                </c:pt>
                <c:pt idx="3">
                  <c:v>2024թ. նախագիծ </c:v>
                </c:pt>
              </c:strCache>
            </c:strRef>
          </c:cat>
          <c:val>
            <c:numRef>
              <c:f>Sheet1!$C$2:$F$2</c:f>
              <c:numCache>
                <c:formatCode>_(* #,##0.0_);_(* \(#,##0.0\);_(* "-"??_);_(@_)</c:formatCode>
                <c:ptCount val="4"/>
                <c:pt idx="0">
                  <c:v>2026.9879665000001</c:v>
                </c:pt>
                <c:pt idx="1">
                  <c:v>2279.3009754999998</c:v>
                </c:pt>
                <c:pt idx="2" formatCode="#,##0.0">
                  <c:v>2644.1</c:v>
                </c:pt>
                <c:pt idx="3" formatCode="#,##0.0">
                  <c:v>3206.5174995999996</c:v>
                </c:pt>
              </c:numCache>
            </c:numRef>
          </c:val>
          <c:extLst>
            <c:ext xmlns:c16="http://schemas.microsoft.com/office/drawing/2014/chart" uri="{C3380CC4-5D6E-409C-BE32-E72D297353CC}">
              <c16:uniqueId val="{00000000-DEA2-49AA-8181-53DAE607BB78}"/>
            </c:ext>
          </c:extLst>
        </c:ser>
        <c:ser>
          <c:idx val="1"/>
          <c:order val="1"/>
          <c:tx>
            <c:strRef>
              <c:f>Sheet1!$A$3</c:f>
              <c:strCache>
                <c:ptCount val="1"/>
                <c:pt idx="0">
                  <c:v>տարբերությունը նախորդ տարվա համեմատությամբ</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Sheet1!$C$1:$F$1</c:f>
              <c:strCache>
                <c:ptCount val="4"/>
                <c:pt idx="0">
                  <c:v>2021թ․ փաստացի</c:v>
                </c:pt>
                <c:pt idx="1">
                  <c:v>2022թ․ փաստացի </c:v>
                </c:pt>
                <c:pt idx="2">
                  <c:v>2023թ․ հաստատված</c:v>
                </c:pt>
                <c:pt idx="3">
                  <c:v>2024թ. նախագիծ </c:v>
                </c:pt>
              </c:strCache>
            </c:strRef>
          </c:cat>
          <c:val>
            <c:numRef>
              <c:f>Sheet1!$C$3:$F$3</c:f>
              <c:numCache>
                <c:formatCode>_(* #,##0.00_);_(* \(#,##0.00\);_(* "-"??_);_(@_)</c:formatCode>
                <c:ptCount val="4"/>
                <c:pt idx="0" formatCode="_(* #,##0.0_);_(* \(#,##0.0\);_(* &quot;-&quot;?_);_(@_)">
                  <c:v>119.05250109999997</c:v>
                </c:pt>
                <c:pt idx="1">
                  <c:v>252.31300899999974</c:v>
                </c:pt>
                <c:pt idx="2" formatCode="_(* #,##0.0_);_(* \(#,##0.0\);_(* &quot;-&quot;??_);_(@_)">
                  <c:v>364.79902450000009</c:v>
                </c:pt>
                <c:pt idx="3" formatCode="_(* #,##0.0_);_(* \(#,##0.0\);_(* &quot;-&quot;??_);_(@_)">
                  <c:v>562.4174995999997</c:v>
                </c:pt>
              </c:numCache>
            </c:numRef>
          </c:val>
          <c:extLst>
            <c:ext xmlns:c16="http://schemas.microsoft.com/office/drawing/2014/chart" uri="{C3380CC4-5D6E-409C-BE32-E72D297353CC}">
              <c16:uniqueId val="{00000001-DEA2-49AA-8181-53DAE607BB78}"/>
            </c:ext>
          </c:extLst>
        </c:ser>
        <c:dLbls>
          <c:showLegendKey val="0"/>
          <c:showVal val="0"/>
          <c:showCatName val="0"/>
          <c:showSerName val="0"/>
          <c:showPercent val="0"/>
          <c:showBubbleSize val="0"/>
        </c:dLbls>
        <c:gapWidth val="100"/>
        <c:overlap val="-24"/>
        <c:axId val="144806272"/>
        <c:axId val="144807808"/>
      </c:barChart>
      <c:catAx>
        <c:axId val="144806272"/>
        <c:scaling>
          <c:orientation val="minMax"/>
        </c:scaling>
        <c:delete val="0"/>
        <c:axPos val="b"/>
        <c:numFmt formatCode="General" sourceLinked="0"/>
        <c:majorTickMark val="none"/>
        <c:minorTickMark val="none"/>
        <c:tickLblPos val="nextTo"/>
        <c:txPr>
          <a:bodyPr rot="-60000000" vert="horz"/>
          <a:lstStyle/>
          <a:p>
            <a:pPr>
              <a:defRPr/>
            </a:pPr>
            <a:endParaRPr lang="en-US"/>
          </a:p>
        </c:txPr>
        <c:crossAx val="144807808"/>
        <c:crosses val="autoZero"/>
        <c:auto val="1"/>
        <c:lblAlgn val="ctr"/>
        <c:lblOffset val="100"/>
        <c:noMultiLvlLbl val="0"/>
      </c:catAx>
      <c:valAx>
        <c:axId val="144807808"/>
        <c:scaling>
          <c:orientation val="minMax"/>
        </c:scaling>
        <c:delete val="0"/>
        <c:axPos val="l"/>
        <c:majorGridlines/>
        <c:numFmt formatCode="_(* #,##0.0_);_(* \(#,##0.0\);_(* &quot;-&quot;??_);_(@_)" sourceLinked="1"/>
        <c:majorTickMark val="none"/>
        <c:minorTickMark val="none"/>
        <c:tickLblPos val="nextTo"/>
        <c:txPr>
          <a:bodyPr rot="-60000000" vert="horz"/>
          <a:lstStyle/>
          <a:p>
            <a:pPr>
              <a:defRPr/>
            </a:pPr>
            <a:endParaRPr lang="en-US"/>
          </a:p>
        </c:txPr>
        <c:crossAx val="144806272"/>
        <c:crosses val="autoZero"/>
        <c:crossBetween val="between"/>
      </c:valAx>
      <c:dTable>
        <c:showHorzBorder val="1"/>
        <c:showVertBorder val="1"/>
        <c:showOutline val="1"/>
        <c:showKeys val="0"/>
      </c:dTable>
    </c:plotArea>
    <c:legend>
      <c:legendPos val="b"/>
      <c:layout>
        <c:manualLayout>
          <c:xMode val="edge"/>
          <c:yMode val="edge"/>
          <c:x val="4.6738665148153377E-2"/>
          <c:y val="0.91527637598916056"/>
          <c:w val="0.9"/>
          <c:h val="7.7194934411213542E-2"/>
        </c:manualLayout>
      </c:layout>
      <c:overlay val="0"/>
      <c:txPr>
        <a:bodyPr rot="0" vert="horz"/>
        <a:lstStyle/>
        <a:p>
          <a:pPr>
            <a:defRPr/>
          </a:pPr>
          <a:endParaRPr lang="en-US"/>
        </a:p>
      </c:txPr>
    </c:legend>
    <c:plotVisOnly val="1"/>
    <c:dispBlanksAs val="gap"/>
    <c:showDLblsOverMax val="0"/>
  </c:chart>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c:f>
              <c:strCache>
                <c:ptCount val="1"/>
                <c:pt idx="0">
                  <c:v>2024</c:v>
                </c:pt>
              </c:strCache>
            </c:strRef>
          </c:tx>
          <c:invertIfNegative val="0"/>
          <c:cat>
            <c:strRef>
              <c:f>Sheet1!$A$2:$A$5</c:f>
              <c:strCache>
                <c:ptCount val="4"/>
                <c:pt idx="0">
                  <c:v>ԸՆԴՀԱՆՈՒՐ ԲՆՈՒՅԹԻ ՀԱՆՐԱՅԻՆ ԾԱՌԱՅՈՒԹՅՈՒՆՆԵՐ, ԱՅԴ ԹՎՈՒՄ՝ ՀԻՄՆԱԿԱՆ ԲԱԺԻՆՆԵՐԻՆ ՉԴԱՍՎՈՂ ՊԱՀՈՒՍՏԱՅԻՆ ՖՈՆԴԵՐ</c:v>
                </c:pt>
                <c:pt idx="1">
                  <c:v>ՊԱՇՏՊԱՆՈՒԹՅՈՒՆ, ՀԱՍԱՐԱԿԱԿԱՆ ԿԱՐԳ,  ԱՆՎՏԱՆԳՈՒԹՅՈՒՆ ԵՎ ԴԱՏԱԿԱՆ ԳՈՐԾՈՒՆԵՈՒԹՅՈՒՆ</c:v>
                </c:pt>
                <c:pt idx="2">
                  <c:v>ՏՆՏԵՍԱԿԱՆ ՈԼՈՐՏ</c:v>
                </c:pt>
                <c:pt idx="3">
                  <c:v>ՍՈՑԻԱԼԱԿԱՆ ՈԼՈՐՏ</c:v>
                </c:pt>
              </c:strCache>
            </c:strRef>
          </c:cat>
          <c:val>
            <c:numRef>
              <c:f>Sheet1!$B$2:$B$5</c:f>
              <c:numCache>
                <c:formatCode>0.0%</c:formatCode>
                <c:ptCount val="4"/>
                <c:pt idx="0" formatCode="0%">
                  <c:v>0.26</c:v>
                </c:pt>
                <c:pt idx="1">
                  <c:v>0.24299999999999999</c:v>
                </c:pt>
                <c:pt idx="2">
                  <c:v>9.1999999999999998E-2</c:v>
                </c:pt>
                <c:pt idx="3">
                  <c:v>0.40500000000000003</c:v>
                </c:pt>
              </c:numCache>
            </c:numRef>
          </c:val>
          <c:extLst>
            <c:ext xmlns:c16="http://schemas.microsoft.com/office/drawing/2014/chart" uri="{C3380CC4-5D6E-409C-BE32-E72D297353CC}">
              <c16:uniqueId val="{00000000-CF15-4E70-B8BA-D3B24EE51497}"/>
            </c:ext>
          </c:extLst>
        </c:ser>
        <c:ser>
          <c:idx val="1"/>
          <c:order val="1"/>
          <c:tx>
            <c:strRef>
              <c:f>Sheet1!$C$1</c:f>
              <c:strCache>
                <c:ptCount val="1"/>
                <c:pt idx="0">
                  <c:v>2023</c:v>
                </c:pt>
              </c:strCache>
            </c:strRef>
          </c:tx>
          <c:invertIfNegative val="0"/>
          <c:cat>
            <c:strRef>
              <c:f>Sheet1!$A$2:$A$5</c:f>
              <c:strCache>
                <c:ptCount val="4"/>
                <c:pt idx="0">
                  <c:v>ԸՆԴՀԱՆՈՒՐ ԲՆՈՒՅԹԻ ՀԱՆՐԱՅԻՆ ԾԱՌԱՅՈՒԹՅՈՒՆՆԵՐ, ԱՅԴ ԹՎՈՒՄ՝ ՀԻՄՆԱԿԱՆ ԲԱԺԻՆՆԵՐԻՆ ՉԴԱՍՎՈՂ ՊԱՀՈՒՍՏԱՅԻՆ ՖՈՆԴԵՐ</c:v>
                </c:pt>
                <c:pt idx="1">
                  <c:v>ՊԱՇՏՊԱՆՈՒԹՅՈՒՆ, ՀԱՍԱՐԱԿԱԿԱՆ ԿԱՐԳ,  ԱՆՎՏԱՆԳՈՒԹՅՈՒՆ ԵՎ ԴԱՏԱԿԱՆ ԳՈՐԾՈՒՆԵՈՒԹՅՈՒՆ</c:v>
                </c:pt>
                <c:pt idx="2">
                  <c:v>ՏՆՏԵՍԱԿԱՆ ՈԼՈՐՏ</c:v>
                </c:pt>
                <c:pt idx="3">
                  <c:v>ՍՈՑԻԱԼԱԿԱՆ ՈԼՈՐՏ</c:v>
                </c:pt>
              </c:strCache>
            </c:strRef>
          </c:cat>
          <c:val>
            <c:numRef>
              <c:f>Sheet1!$C$2:$C$5</c:f>
              <c:numCache>
                <c:formatCode>0.00%</c:formatCode>
                <c:ptCount val="4"/>
                <c:pt idx="0" formatCode="0%">
                  <c:v>0.20799999999999999</c:v>
                </c:pt>
                <c:pt idx="1">
                  <c:v>0.27400000000000002</c:v>
                </c:pt>
                <c:pt idx="2">
                  <c:v>0.10100000000000001</c:v>
                </c:pt>
                <c:pt idx="3">
                  <c:v>0.41699999999999998</c:v>
                </c:pt>
              </c:numCache>
            </c:numRef>
          </c:val>
          <c:extLst>
            <c:ext xmlns:c16="http://schemas.microsoft.com/office/drawing/2014/chart" uri="{C3380CC4-5D6E-409C-BE32-E72D297353CC}">
              <c16:uniqueId val="{00000001-CF15-4E70-B8BA-D3B24EE51497}"/>
            </c:ext>
          </c:extLst>
        </c:ser>
        <c:ser>
          <c:idx val="2"/>
          <c:order val="2"/>
          <c:tx>
            <c:strRef>
              <c:f>Sheet1!$D$1</c:f>
              <c:strCache>
                <c:ptCount val="1"/>
                <c:pt idx="0">
                  <c:v>2022</c:v>
                </c:pt>
              </c:strCache>
            </c:strRef>
          </c:tx>
          <c:invertIfNegative val="0"/>
          <c:cat>
            <c:strRef>
              <c:f>Sheet1!$A$2:$A$5</c:f>
              <c:strCache>
                <c:ptCount val="4"/>
                <c:pt idx="0">
                  <c:v>ԸՆԴՀԱՆՈՒՐ ԲՆՈՒՅԹԻ ՀԱՆՐԱՅԻՆ ԾԱՌԱՅՈՒԹՅՈՒՆՆԵՐ, ԱՅԴ ԹՎՈՒՄ՝ ՀԻՄՆԱԿԱՆ ԲԱԺԻՆՆԵՐԻՆ ՉԴԱՍՎՈՂ ՊԱՀՈՒՍՏԱՅԻՆ ՖՈՆԴԵՐ</c:v>
                </c:pt>
                <c:pt idx="1">
                  <c:v>ՊԱՇՏՊԱՆՈՒԹՅՈՒՆ, ՀԱՍԱՐԱԿԱԿԱՆ ԿԱՐԳ,  ԱՆՎՏԱՆԳՈՒԹՅՈՒՆ ԵՎ ԴԱՏԱԿԱՆ ԳՈՐԾՈՒՆԵՈՒԹՅՈՒՆ</c:v>
                </c:pt>
                <c:pt idx="2">
                  <c:v>ՏՆՏԵՍԱԿԱՆ ՈԼՈՐՏ</c:v>
                </c:pt>
                <c:pt idx="3">
                  <c:v>ՍՈՑԻԱԼԱԿԱՆ ՈԼՈՐՏ</c:v>
                </c:pt>
              </c:strCache>
            </c:strRef>
          </c:cat>
          <c:val>
            <c:numRef>
              <c:f>Sheet1!$D$2:$D$5</c:f>
              <c:numCache>
                <c:formatCode>0%</c:formatCode>
                <c:ptCount val="4"/>
                <c:pt idx="0">
                  <c:v>0.17899999999999999</c:v>
                </c:pt>
                <c:pt idx="1">
                  <c:v>0.29699999999999999</c:v>
                </c:pt>
                <c:pt idx="2">
                  <c:v>8.4000000000000005E-2</c:v>
                </c:pt>
                <c:pt idx="3">
                  <c:v>0.44</c:v>
                </c:pt>
              </c:numCache>
            </c:numRef>
          </c:val>
          <c:extLst>
            <c:ext xmlns:c16="http://schemas.microsoft.com/office/drawing/2014/chart" uri="{C3380CC4-5D6E-409C-BE32-E72D297353CC}">
              <c16:uniqueId val="{00000002-CF15-4E70-B8BA-D3B24EE51497}"/>
            </c:ext>
          </c:extLst>
        </c:ser>
        <c:ser>
          <c:idx val="3"/>
          <c:order val="3"/>
          <c:tx>
            <c:strRef>
              <c:f>Sheet1!$E$1</c:f>
              <c:strCache>
                <c:ptCount val="1"/>
                <c:pt idx="0">
                  <c:v>2021</c:v>
                </c:pt>
              </c:strCache>
            </c:strRef>
          </c:tx>
          <c:invertIfNegative val="0"/>
          <c:cat>
            <c:strRef>
              <c:f>Sheet1!$A$2:$A$5</c:f>
              <c:strCache>
                <c:ptCount val="4"/>
                <c:pt idx="0">
                  <c:v>ԸՆԴՀԱՆՈՒՐ ԲՆՈՒՅԹԻ ՀԱՆՐԱՅԻՆ ԾԱՌԱՅՈՒԹՅՈՒՆՆԵՐ, ԱՅԴ ԹՎՈՒՄ՝ ՀԻՄՆԱԿԱՆ ԲԱԺԻՆՆԵՐԻՆ ՉԴԱՍՎՈՂ ՊԱՀՈՒՍՏԱՅԻՆ ՖՈՆԴԵՐ</c:v>
                </c:pt>
                <c:pt idx="1">
                  <c:v>ՊԱՇՏՊԱՆՈՒԹՅՈՒՆ, ՀԱՍԱՐԱԿԱԿԱՆ ԿԱՐԳ,  ԱՆՎՏԱՆԳՈՒԹՅՈՒՆ ԵՎ ԴԱՏԱԿԱՆ ԳՈՐԾՈՒՆԵՈՒԹՅՈՒՆ</c:v>
                </c:pt>
                <c:pt idx="2">
                  <c:v>ՏՆՏԵՍԱԿԱՆ ՈԼՈՐՏ</c:v>
                </c:pt>
                <c:pt idx="3">
                  <c:v>ՍՈՑԻԱԼԱԿԱՆ ՈԼՈՐՏ</c:v>
                </c:pt>
              </c:strCache>
            </c:strRef>
          </c:cat>
          <c:val>
            <c:numRef>
              <c:f>Sheet1!$E$2:$E$5</c:f>
              <c:numCache>
                <c:formatCode>0%</c:formatCode>
                <c:ptCount val="4"/>
                <c:pt idx="0">
                  <c:v>0.188</c:v>
                </c:pt>
                <c:pt idx="1">
                  <c:v>0.245</c:v>
                </c:pt>
                <c:pt idx="2" formatCode="0.0%">
                  <c:v>8.3000000000000004E-2</c:v>
                </c:pt>
                <c:pt idx="3" formatCode="0.0%">
                  <c:v>0.48499999999999999</c:v>
                </c:pt>
              </c:numCache>
            </c:numRef>
          </c:val>
          <c:extLst>
            <c:ext xmlns:c16="http://schemas.microsoft.com/office/drawing/2014/chart" uri="{C3380CC4-5D6E-409C-BE32-E72D297353CC}">
              <c16:uniqueId val="{00000003-CF15-4E70-B8BA-D3B24EE51497}"/>
            </c:ext>
          </c:extLst>
        </c:ser>
        <c:ser>
          <c:idx val="4"/>
          <c:order val="4"/>
          <c:tx>
            <c:strRef>
              <c:f>Sheet1!$F$1</c:f>
              <c:strCache>
                <c:ptCount val="1"/>
                <c:pt idx="0">
                  <c:v>2020</c:v>
                </c:pt>
              </c:strCache>
            </c:strRef>
          </c:tx>
          <c:invertIfNegative val="0"/>
          <c:cat>
            <c:strRef>
              <c:f>Sheet1!$A$2:$A$5</c:f>
              <c:strCache>
                <c:ptCount val="4"/>
                <c:pt idx="0">
                  <c:v>ԸՆԴՀԱՆՈՒՐ ԲՆՈՒՅԹԻ ՀԱՆՐԱՅԻՆ ԾԱՌԱՅՈՒԹՅՈՒՆՆԵՐ, ԱՅԴ ԹՎՈՒՄ՝ ՀԻՄՆԱԿԱՆ ԲԱԺԻՆՆԵՐԻՆ ՉԴԱՍՎՈՂ ՊԱՀՈՒՍՏԱՅԻՆ ՖՈՆԴԵՐ</c:v>
                </c:pt>
                <c:pt idx="1">
                  <c:v>ՊԱՇՏՊԱՆՈՒԹՅՈՒՆ, ՀԱՍԱՐԱԿԱԿԱՆ ԿԱՐԳ,  ԱՆՎՏԱՆԳՈՒԹՅՈՒՆ ԵՎ ԴԱՏԱԿԱՆ ԳՈՐԾՈՒՆԵՈՒԹՅՈՒՆ</c:v>
                </c:pt>
                <c:pt idx="2">
                  <c:v>ՏՆՏԵՍԱԿԱՆ ՈԼՈՐՏ</c:v>
                </c:pt>
                <c:pt idx="3">
                  <c:v>ՍՈՑԻԱԼԱԿԱՆ ՈԼՈՐՏ</c:v>
                </c:pt>
              </c:strCache>
            </c:strRef>
          </c:cat>
          <c:val>
            <c:numRef>
              <c:f>Sheet1!$F$2:$F$5</c:f>
              <c:numCache>
                <c:formatCode>0.0%</c:formatCode>
                <c:ptCount val="4"/>
                <c:pt idx="0" formatCode="0%">
                  <c:v>0.182</c:v>
                </c:pt>
                <c:pt idx="1">
                  <c:v>0.28299999999999997</c:v>
                </c:pt>
                <c:pt idx="2">
                  <c:v>7.2999999999999995E-2</c:v>
                </c:pt>
                <c:pt idx="3">
                  <c:v>0.46400000000000002</c:v>
                </c:pt>
              </c:numCache>
            </c:numRef>
          </c:val>
          <c:extLst>
            <c:ext xmlns:c16="http://schemas.microsoft.com/office/drawing/2014/chart" uri="{C3380CC4-5D6E-409C-BE32-E72D297353CC}">
              <c16:uniqueId val="{00000004-CF15-4E70-B8BA-D3B24EE51497}"/>
            </c:ext>
          </c:extLst>
        </c:ser>
        <c:dLbls>
          <c:showLegendKey val="0"/>
          <c:showVal val="0"/>
          <c:showCatName val="0"/>
          <c:showSerName val="0"/>
          <c:showPercent val="0"/>
          <c:showBubbleSize val="0"/>
        </c:dLbls>
        <c:gapWidth val="182"/>
        <c:axId val="145676544"/>
        <c:axId val="145675008"/>
      </c:barChart>
      <c:valAx>
        <c:axId val="145675008"/>
        <c:scaling>
          <c:orientation val="minMax"/>
          <c:max val="0.5"/>
        </c:scaling>
        <c:delete val="0"/>
        <c:axPos val="b"/>
        <c:majorGridlines/>
        <c:numFmt formatCode="0%" sourceLinked="1"/>
        <c:majorTickMark val="none"/>
        <c:minorTickMark val="none"/>
        <c:tickLblPos val="nextTo"/>
        <c:txPr>
          <a:bodyPr rot="-60000000" vert="horz"/>
          <a:lstStyle/>
          <a:p>
            <a:pPr>
              <a:defRPr/>
            </a:pPr>
            <a:endParaRPr lang="en-US"/>
          </a:p>
        </c:txPr>
        <c:crossAx val="145676544"/>
        <c:crosses val="autoZero"/>
        <c:crossBetween val="between"/>
      </c:valAx>
      <c:catAx>
        <c:axId val="145676544"/>
        <c:scaling>
          <c:orientation val="minMax"/>
        </c:scaling>
        <c:delete val="0"/>
        <c:axPos val="l"/>
        <c:numFmt formatCode="General" sourceLinked="1"/>
        <c:majorTickMark val="none"/>
        <c:minorTickMark val="none"/>
        <c:tickLblPos val="nextTo"/>
        <c:txPr>
          <a:bodyPr rot="-60000000" vert="horz"/>
          <a:lstStyle/>
          <a:p>
            <a:pPr>
              <a:defRPr/>
            </a:pPr>
            <a:endParaRPr lang="en-US"/>
          </a:p>
        </c:txPr>
        <c:crossAx val="145675008"/>
        <c:crossesAt val="0"/>
        <c:auto val="1"/>
        <c:lblAlgn val="r"/>
        <c:lblOffset val="100"/>
        <c:noMultiLvlLbl val="0"/>
      </c:catAx>
    </c:plotArea>
    <c:legend>
      <c:legendPos val="b"/>
      <c:overlay val="0"/>
      <c:txPr>
        <a:bodyPr rot="0" vert="horz"/>
        <a:lstStyle/>
        <a:p>
          <a:pPr>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pPr>
            <a:r>
              <a:rPr lang="hy-AM" sz="1000" b="0"/>
              <a:t>Ըստ ռեզիդենտության</a:t>
            </a:r>
            <a:endParaRPr lang="en-US" sz="1000" b="0"/>
          </a:p>
        </c:rich>
      </c:tx>
      <c:layout>
        <c:manualLayout>
          <c:xMode val="edge"/>
          <c:yMode val="edge"/>
          <c:x val="0.19144924452011067"/>
          <c:y val="0"/>
        </c:manualLayout>
      </c:layout>
      <c:overlay val="0"/>
    </c:title>
    <c:autoTitleDeleted val="0"/>
    <c:plotArea>
      <c:layout>
        <c:manualLayout>
          <c:layoutTarget val="inner"/>
          <c:xMode val="edge"/>
          <c:yMode val="edge"/>
          <c:x val="1.8003076654495357E-2"/>
          <c:y val="0.11514435695538058"/>
          <c:w val="0.9550648274228879"/>
          <c:h val="0.66673467990414237"/>
        </c:manualLayout>
      </c:layout>
      <c:barChart>
        <c:barDir val="col"/>
        <c:grouping val="stacked"/>
        <c:varyColors val="0"/>
        <c:ser>
          <c:idx val="0"/>
          <c:order val="0"/>
          <c:tx>
            <c:strRef>
              <c:f>UXERZ!$F$61</c:f>
              <c:strCache>
                <c:ptCount val="1"/>
                <c:pt idx="0">
                  <c:v>ներքին պարտք</c:v>
                </c:pt>
              </c:strCache>
            </c:strRef>
          </c:tx>
          <c:invertIfNegative val="0"/>
          <c:dLbls>
            <c:spPr>
              <a:noFill/>
              <a:ln w="25400">
                <a:noFill/>
              </a:ln>
            </c:spPr>
            <c:txPr>
              <a:bodyPr rot="0" spcFirstLastPara="1" vertOverflow="ellipsis" vert="horz" wrap="square" anchor="ctr" anchorCtr="1"/>
              <a:lstStyle/>
              <a:p>
                <a:pPr>
                  <a:defRPr sz="1200" b="0" i="0" u="none" strike="noStrike" kern="1200" baseline="0">
                    <a:solidFill>
                      <a:schemeClr val="lt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UXERZ!$G$61:$L$61</c:f>
              <c:numCache>
                <c:formatCode>_(* #,##0_);_(* \(#,##0\);_(* "-"??_);_(@_)</c:formatCode>
                <c:ptCount val="6"/>
                <c:pt idx="0">
                  <c:v>22.493445058353373</c:v>
                </c:pt>
                <c:pt idx="1">
                  <c:v>25.424939353575063</c:v>
                </c:pt>
                <c:pt idx="2">
                  <c:v>29.39398591380732</c:v>
                </c:pt>
                <c:pt idx="3">
                  <c:v>41.563932522681768</c:v>
                </c:pt>
                <c:pt idx="4">
                  <c:v>44.079737884275346</c:v>
                </c:pt>
                <c:pt idx="5">
                  <c:v>45.156617775956818</c:v>
                </c:pt>
              </c:numCache>
            </c:numRef>
          </c:val>
          <c:extLst>
            <c:ext xmlns:c16="http://schemas.microsoft.com/office/drawing/2014/chart" uri="{C3380CC4-5D6E-409C-BE32-E72D297353CC}">
              <c16:uniqueId val="{00000000-312A-4AF7-ABE1-8CAE9FADCB44}"/>
            </c:ext>
          </c:extLst>
        </c:ser>
        <c:ser>
          <c:idx val="1"/>
          <c:order val="1"/>
          <c:tx>
            <c:strRef>
              <c:f>UXERZ!$F$62</c:f>
              <c:strCache>
                <c:ptCount val="1"/>
                <c:pt idx="0">
                  <c:v>արտաքին պարտք</c:v>
                </c:pt>
              </c:strCache>
            </c:strRef>
          </c:tx>
          <c:invertIfNegative val="0"/>
          <c:dLbls>
            <c:spPr>
              <a:noFill/>
              <a:ln w="25400">
                <a:noFill/>
              </a:ln>
            </c:spPr>
            <c:txPr>
              <a:bodyPr rot="0" spcFirstLastPara="1" vertOverflow="ellipsis" vert="horz" wrap="square" anchor="ctr" anchorCtr="1"/>
              <a:lstStyle/>
              <a:p>
                <a:pPr>
                  <a:defRPr sz="1200" b="0" i="0" u="none" strike="noStrike" kern="1200" baseline="0">
                    <a:solidFill>
                      <a:schemeClr val="lt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UXERZ!$G$62:$L$62</c:f>
              <c:numCache>
                <c:formatCode>_(* #,##0_);_(* \(#,##0\);_(* "-"??_);_(@_)</c:formatCode>
                <c:ptCount val="6"/>
                <c:pt idx="0">
                  <c:v>77.506554941646641</c:v>
                </c:pt>
                <c:pt idx="1">
                  <c:v>74.575060646424916</c:v>
                </c:pt>
                <c:pt idx="2">
                  <c:v>70.606014086192658</c:v>
                </c:pt>
                <c:pt idx="3">
                  <c:v>58.436067477318225</c:v>
                </c:pt>
                <c:pt idx="4">
                  <c:v>55.920262115724654</c:v>
                </c:pt>
                <c:pt idx="5">
                  <c:v>54.843382224043182</c:v>
                </c:pt>
              </c:numCache>
            </c:numRef>
          </c:val>
          <c:extLst>
            <c:ext xmlns:c16="http://schemas.microsoft.com/office/drawing/2014/chart" uri="{C3380CC4-5D6E-409C-BE32-E72D297353CC}">
              <c16:uniqueId val="{00000001-312A-4AF7-ABE1-8CAE9FADCB44}"/>
            </c:ext>
          </c:extLst>
        </c:ser>
        <c:dLbls>
          <c:showLegendKey val="0"/>
          <c:showVal val="0"/>
          <c:showCatName val="0"/>
          <c:showSerName val="0"/>
          <c:showPercent val="0"/>
          <c:showBubbleSize val="0"/>
        </c:dLbls>
        <c:gapWidth val="79"/>
        <c:overlap val="100"/>
        <c:axId val="627077864"/>
        <c:axId val="1"/>
      </c:barChart>
      <c:catAx>
        <c:axId val="627077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1"/>
        <c:lblAlgn val="ctr"/>
        <c:lblOffset val="100"/>
        <c:noMultiLvlLbl val="0"/>
      </c:catAx>
      <c:valAx>
        <c:axId val="1"/>
        <c:scaling>
          <c:orientation val="minMax"/>
          <c:max val="100"/>
        </c:scaling>
        <c:delete val="1"/>
        <c:axPos val="l"/>
        <c:numFmt formatCode="_(* #,##0_);_(* \(#,##0\);_(* &quot;-&quot;??_);_(@_)" sourceLinked="1"/>
        <c:majorTickMark val="out"/>
        <c:minorTickMark val="none"/>
        <c:tickLblPos val="nextTo"/>
        <c:crossAx val="627077864"/>
        <c:crosses val="autoZero"/>
        <c:crossBetween val="between"/>
      </c:valAx>
      <c:spPr>
        <a:noFill/>
        <a:ln w="25400">
          <a:noFill/>
        </a:ln>
      </c:spPr>
    </c:plotArea>
    <c:legend>
      <c:legendPos val="b"/>
      <c:layout>
        <c:manualLayout>
          <c:xMode val="edge"/>
          <c:yMode val="edge"/>
          <c:x val="3.2739524855830086E-2"/>
          <c:y val="0.92970538189566976"/>
          <c:w val="0.90476186422643112"/>
          <c:h val="6.8651922385670749E-2"/>
        </c:manualLayout>
      </c:layout>
      <c:overlay val="0"/>
      <c:txPr>
        <a:bodyPr rot="0" vert="horz"/>
        <a:lstStyle/>
        <a:p>
          <a:pPr>
            <a:defRPr sz="800">
              <a:solidFill>
                <a:schemeClr val="bg1">
                  <a:lumMod val="50000"/>
                </a:schemeClr>
              </a:solidFill>
            </a:defRPr>
          </a:pPr>
          <a:endParaRPr lang="en-US"/>
        </a:p>
      </c:txPr>
    </c:legend>
    <c:plotVisOnly val="1"/>
    <c:dispBlanksAs val="gap"/>
    <c:showDLblsOverMax val="0"/>
  </c:chart>
  <c:spPr>
    <a:noFill/>
    <a:ln>
      <a:solidFill>
        <a:schemeClr val="bg1">
          <a:lumMod val="75000"/>
        </a:schemeClr>
      </a:solidFill>
    </a:ln>
    <a:effectLst/>
  </c:spPr>
  <c:txPr>
    <a:bodyPr/>
    <a:lstStyle/>
    <a:p>
      <a:pPr>
        <a:defRPr>
          <a:latin typeface="GHEA Grapalat" panose="02000506050000020003" pitchFamily="50" charset="0"/>
        </a:defRPr>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pPr>
            <a:r>
              <a:rPr lang="hy-AM" sz="1000" b="0"/>
              <a:t>Ըստ ներգրավման արժույթի</a:t>
            </a:r>
            <a:endParaRPr lang="en-US" sz="1000" b="0"/>
          </a:p>
        </c:rich>
      </c:tx>
      <c:layout>
        <c:manualLayout>
          <c:xMode val="edge"/>
          <c:yMode val="edge"/>
          <c:x val="0.19144911554360372"/>
          <c:y val="0"/>
        </c:manualLayout>
      </c:layout>
      <c:overlay val="0"/>
    </c:title>
    <c:autoTitleDeleted val="0"/>
    <c:plotArea>
      <c:layout>
        <c:manualLayout>
          <c:layoutTarget val="inner"/>
          <c:xMode val="edge"/>
          <c:yMode val="edge"/>
          <c:x val="1.8003076654495357E-2"/>
          <c:y val="0.11514435695538058"/>
          <c:w val="0.9550648274228879"/>
          <c:h val="0.66673467990414237"/>
        </c:manualLayout>
      </c:layout>
      <c:barChart>
        <c:barDir val="col"/>
        <c:grouping val="stacked"/>
        <c:varyColors val="0"/>
        <c:ser>
          <c:idx val="0"/>
          <c:order val="0"/>
          <c:tx>
            <c:strRef>
              <c:f>UXERZ!$F$70</c:f>
              <c:strCache>
                <c:ptCount val="1"/>
                <c:pt idx="0">
                  <c:v>դրամային</c:v>
                </c:pt>
              </c:strCache>
            </c:strRef>
          </c:tx>
          <c:invertIfNegative val="0"/>
          <c:dLbls>
            <c:spPr>
              <a:noFill/>
              <a:ln w="25400">
                <a:noFill/>
              </a:ln>
            </c:spPr>
            <c:txPr>
              <a:bodyPr rot="0" spcFirstLastPara="1" vertOverflow="ellipsis" vert="horz" wrap="square" anchor="ctr" anchorCtr="1"/>
              <a:lstStyle/>
              <a:p>
                <a:pPr>
                  <a:defRPr sz="1200" b="0" i="0" u="none" strike="noStrike" kern="1200" baseline="0">
                    <a:solidFill>
                      <a:schemeClr val="lt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UXERZ!$G$70:$L$70</c:f>
              <c:numCache>
                <c:formatCode>_(* #,##0_);_(* \(#,##0\);_(* "-"??_);_(@_)</c:formatCode>
                <c:ptCount val="6"/>
                <c:pt idx="0">
                  <c:v>20.780942820061107</c:v>
                </c:pt>
                <c:pt idx="1">
                  <c:v>24.435806405343516</c:v>
                </c:pt>
                <c:pt idx="2">
                  <c:v>28.842937457677692</c:v>
                </c:pt>
                <c:pt idx="3">
                  <c:v>37.922814151034153</c:v>
                </c:pt>
                <c:pt idx="4">
                  <c:v>42.629472039791175</c:v>
                </c:pt>
                <c:pt idx="5">
                  <c:v>44.260386745971182</c:v>
                </c:pt>
              </c:numCache>
            </c:numRef>
          </c:val>
          <c:extLst>
            <c:ext xmlns:c16="http://schemas.microsoft.com/office/drawing/2014/chart" uri="{C3380CC4-5D6E-409C-BE32-E72D297353CC}">
              <c16:uniqueId val="{00000000-EE89-4DAC-8EC4-265D44FB52DF}"/>
            </c:ext>
          </c:extLst>
        </c:ser>
        <c:ser>
          <c:idx val="1"/>
          <c:order val="1"/>
          <c:tx>
            <c:strRef>
              <c:f>UXERZ!$F$71</c:f>
              <c:strCache>
                <c:ptCount val="1"/>
                <c:pt idx="0">
                  <c:v>արտարժութային պարտք</c:v>
                </c:pt>
              </c:strCache>
            </c:strRef>
          </c:tx>
          <c:invertIfNegative val="0"/>
          <c:dLbls>
            <c:spPr>
              <a:noFill/>
              <a:ln w="25400">
                <a:noFill/>
              </a:ln>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UXERZ!$G$71:$L$71</c:f>
              <c:numCache>
                <c:formatCode>_(* #,##0_);_(* \(#,##0\);_(* "-"??_);_(@_)</c:formatCode>
                <c:ptCount val="6"/>
                <c:pt idx="0">
                  <c:v>79.219057179938901</c:v>
                </c:pt>
                <c:pt idx="1">
                  <c:v>75.564193594656473</c:v>
                </c:pt>
                <c:pt idx="2">
                  <c:v>71.157062542322308</c:v>
                </c:pt>
                <c:pt idx="3">
                  <c:v>62.077185848965833</c:v>
                </c:pt>
                <c:pt idx="4">
                  <c:v>57.370527960208825</c:v>
                </c:pt>
                <c:pt idx="5">
                  <c:v>55.739613254028825</c:v>
                </c:pt>
              </c:numCache>
            </c:numRef>
          </c:val>
          <c:extLst>
            <c:ext xmlns:c16="http://schemas.microsoft.com/office/drawing/2014/chart" uri="{C3380CC4-5D6E-409C-BE32-E72D297353CC}">
              <c16:uniqueId val="{00000001-EE89-4DAC-8EC4-265D44FB52DF}"/>
            </c:ext>
          </c:extLst>
        </c:ser>
        <c:dLbls>
          <c:showLegendKey val="0"/>
          <c:showVal val="0"/>
          <c:showCatName val="0"/>
          <c:showSerName val="0"/>
          <c:showPercent val="0"/>
          <c:showBubbleSize val="0"/>
        </c:dLbls>
        <c:gapWidth val="79"/>
        <c:overlap val="100"/>
        <c:axId val="627078848"/>
        <c:axId val="1"/>
      </c:barChart>
      <c:catAx>
        <c:axId val="627078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1"/>
        <c:lblAlgn val="ctr"/>
        <c:lblOffset val="100"/>
        <c:noMultiLvlLbl val="0"/>
      </c:catAx>
      <c:valAx>
        <c:axId val="1"/>
        <c:scaling>
          <c:orientation val="minMax"/>
          <c:max val="100"/>
        </c:scaling>
        <c:delete val="1"/>
        <c:axPos val="l"/>
        <c:numFmt formatCode="_(* #,##0_);_(* \(#,##0\);_(* &quot;-&quot;??_);_(@_)" sourceLinked="1"/>
        <c:majorTickMark val="out"/>
        <c:minorTickMark val="none"/>
        <c:tickLblPos val="nextTo"/>
        <c:crossAx val="627078848"/>
        <c:crosses val="autoZero"/>
        <c:crossBetween val="between"/>
      </c:valAx>
      <c:spPr>
        <a:noFill/>
        <a:ln w="25400">
          <a:noFill/>
        </a:ln>
      </c:spPr>
    </c:plotArea>
    <c:legend>
      <c:legendPos val="b"/>
      <c:layout>
        <c:manualLayout>
          <c:xMode val="edge"/>
          <c:yMode val="edge"/>
          <c:x val="0"/>
          <c:y val="0.90581593705297825"/>
          <c:w val="0.95718679070050039"/>
          <c:h val="7.4676502536025216E-2"/>
        </c:manualLayout>
      </c:layout>
      <c:overlay val="0"/>
      <c:txPr>
        <a:bodyPr rot="0" vert="horz"/>
        <a:lstStyle/>
        <a:p>
          <a:pPr>
            <a:defRPr sz="800">
              <a:solidFill>
                <a:schemeClr val="bg1">
                  <a:lumMod val="50000"/>
                </a:schemeClr>
              </a:solidFill>
            </a:defRPr>
          </a:pPr>
          <a:endParaRPr lang="en-US"/>
        </a:p>
      </c:txPr>
    </c:legend>
    <c:plotVisOnly val="1"/>
    <c:dispBlanksAs val="gap"/>
    <c:showDLblsOverMax val="0"/>
  </c:chart>
  <c:spPr>
    <a:noFill/>
    <a:ln>
      <a:solidFill>
        <a:schemeClr val="bg1">
          <a:lumMod val="75000"/>
        </a:schemeClr>
      </a:solidFill>
    </a:ln>
    <a:effectLst/>
  </c:spPr>
  <c:txPr>
    <a:bodyPr/>
    <a:lstStyle/>
    <a:p>
      <a:pPr>
        <a:defRPr>
          <a:latin typeface="GHEA Grapalat" panose="02000506050000020003" pitchFamily="50" charset="0"/>
        </a:defRPr>
      </a:pPr>
      <a:endParaRPr lang="en-US"/>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pPr>
            <a:r>
              <a:rPr lang="hy-AM" sz="1000" b="0"/>
              <a:t>Ըստ տոկոսադրույքի տեսակի</a:t>
            </a:r>
            <a:endParaRPr lang="en-US" sz="1000" b="0"/>
          </a:p>
        </c:rich>
      </c:tx>
      <c:layout>
        <c:manualLayout>
          <c:xMode val="edge"/>
          <c:yMode val="edge"/>
          <c:x val="0.19144923061087951"/>
          <c:y val="0"/>
        </c:manualLayout>
      </c:layout>
      <c:overlay val="0"/>
    </c:title>
    <c:autoTitleDeleted val="0"/>
    <c:plotArea>
      <c:layout>
        <c:manualLayout>
          <c:layoutTarget val="inner"/>
          <c:xMode val="edge"/>
          <c:yMode val="edge"/>
          <c:x val="1.8003076654495357E-2"/>
          <c:y val="0.11514435695538058"/>
          <c:w val="0.9550648274228879"/>
          <c:h val="0.66673467990414237"/>
        </c:manualLayout>
      </c:layout>
      <c:barChart>
        <c:barDir val="col"/>
        <c:grouping val="stacked"/>
        <c:varyColors val="0"/>
        <c:ser>
          <c:idx val="0"/>
          <c:order val="0"/>
          <c:tx>
            <c:strRef>
              <c:f>UXERZ!$F$73</c:f>
              <c:strCache>
                <c:ptCount val="1"/>
                <c:pt idx="0">
                  <c:v>լողացող տոկոսադրույքով</c:v>
                </c:pt>
              </c:strCache>
            </c:strRef>
          </c:tx>
          <c:invertIfNegative val="0"/>
          <c:dLbls>
            <c:spPr>
              <a:noFill/>
              <a:ln w="25400">
                <a:noFill/>
              </a:ln>
            </c:spPr>
            <c:txPr>
              <a:bodyPr rot="0" spcFirstLastPara="1" vertOverflow="ellipsis" vert="horz" wrap="square" anchor="ctr" anchorCtr="1"/>
              <a:lstStyle/>
              <a:p>
                <a:pPr>
                  <a:defRPr sz="1200" b="0" i="0" u="none" strike="noStrike" kern="1200" baseline="0">
                    <a:solidFill>
                      <a:schemeClr val="lt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UXERZ!$G$73:$L$73</c:f>
              <c:numCache>
                <c:formatCode>_(* #,##0_);_(* \(#,##0\);_(* "-"??_);_(@_)</c:formatCode>
                <c:ptCount val="6"/>
                <c:pt idx="0">
                  <c:v>16.169003014426391</c:v>
                </c:pt>
                <c:pt idx="1">
                  <c:v>19.593935065352742</c:v>
                </c:pt>
                <c:pt idx="2">
                  <c:v>17.055253400285501</c:v>
                </c:pt>
                <c:pt idx="3">
                  <c:v>16.603427061139726</c:v>
                </c:pt>
                <c:pt idx="4">
                  <c:v>17.06839790052517</c:v>
                </c:pt>
                <c:pt idx="5">
                  <c:v>18.00625981888172</c:v>
                </c:pt>
              </c:numCache>
            </c:numRef>
          </c:val>
          <c:extLst>
            <c:ext xmlns:c16="http://schemas.microsoft.com/office/drawing/2014/chart" uri="{C3380CC4-5D6E-409C-BE32-E72D297353CC}">
              <c16:uniqueId val="{00000000-3C2D-4C3E-B09F-28B594D824D9}"/>
            </c:ext>
          </c:extLst>
        </c:ser>
        <c:ser>
          <c:idx val="1"/>
          <c:order val="1"/>
          <c:tx>
            <c:strRef>
              <c:f>UXERZ!$F$74</c:f>
              <c:strCache>
                <c:ptCount val="1"/>
                <c:pt idx="0">
                  <c:v>ֆիքսված տոկոսադրույքով</c:v>
                </c:pt>
              </c:strCache>
            </c:strRef>
          </c:tx>
          <c:invertIfNegative val="0"/>
          <c:dLbls>
            <c:spPr>
              <a:noFill/>
              <a:ln w="25400">
                <a:noFill/>
              </a:ln>
            </c:spPr>
            <c:txPr>
              <a:bodyPr rot="0" spcFirstLastPara="1" vertOverflow="ellipsis" vert="horz" wrap="square" anchor="ctr" anchorCtr="1"/>
              <a:lstStyle/>
              <a:p>
                <a:pPr>
                  <a:defRPr sz="1200" b="0" i="0" u="none" strike="noStrike" kern="1200" baseline="0">
                    <a:solidFill>
                      <a:schemeClr val="lt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UXERZ!$G$74:$L$74</c:f>
              <c:numCache>
                <c:formatCode>_(* #,##0_);_(* \(#,##0\);_(* "-"??_);_(@_)</c:formatCode>
                <c:ptCount val="6"/>
                <c:pt idx="0">
                  <c:v>83.830996985573606</c:v>
                </c:pt>
                <c:pt idx="1">
                  <c:v>80.406064934647247</c:v>
                </c:pt>
                <c:pt idx="2">
                  <c:v>82.944746599714477</c:v>
                </c:pt>
                <c:pt idx="3">
                  <c:v>83.39657293886026</c:v>
                </c:pt>
                <c:pt idx="4">
                  <c:v>82.93160209947483</c:v>
                </c:pt>
                <c:pt idx="5">
                  <c:v>81.993740181118298</c:v>
                </c:pt>
              </c:numCache>
            </c:numRef>
          </c:val>
          <c:extLst>
            <c:ext xmlns:c16="http://schemas.microsoft.com/office/drawing/2014/chart" uri="{C3380CC4-5D6E-409C-BE32-E72D297353CC}">
              <c16:uniqueId val="{00000001-3C2D-4C3E-B09F-28B594D824D9}"/>
            </c:ext>
          </c:extLst>
        </c:ser>
        <c:dLbls>
          <c:showLegendKey val="0"/>
          <c:showVal val="0"/>
          <c:showCatName val="0"/>
          <c:showSerName val="0"/>
          <c:showPercent val="0"/>
          <c:showBubbleSize val="0"/>
        </c:dLbls>
        <c:gapWidth val="79"/>
        <c:overlap val="100"/>
        <c:axId val="627072288"/>
        <c:axId val="1"/>
      </c:barChart>
      <c:catAx>
        <c:axId val="627072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1"/>
        <c:lblAlgn val="ctr"/>
        <c:lblOffset val="100"/>
        <c:noMultiLvlLbl val="0"/>
      </c:catAx>
      <c:valAx>
        <c:axId val="1"/>
        <c:scaling>
          <c:orientation val="minMax"/>
          <c:max val="100"/>
        </c:scaling>
        <c:delete val="1"/>
        <c:axPos val="l"/>
        <c:numFmt formatCode="_(* #,##0_);_(* \(#,##0\);_(* &quot;-&quot;??_);_(@_)" sourceLinked="1"/>
        <c:majorTickMark val="out"/>
        <c:minorTickMark val="none"/>
        <c:tickLblPos val="nextTo"/>
        <c:crossAx val="627072288"/>
        <c:crosses val="autoZero"/>
        <c:crossBetween val="between"/>
      </c:valAx>
      <c:spPr>
        <a:noFill/>
        <a:ln w="25400">
          <a:noFill/>
        </a:ln>
      </c:spPr>
    </c:plotArea>
    <c:legend>
      <c:legendPos val="b"/>
      <c:layout>
        <c:manualLayout>
          <c:xMode val="edge"/>
          <c:yMode val="edge"/>
          <c:x val="4.8935807882837003E-2"/>
          <c:y val="0.89967882676681155"/>
          <c:w val="0.91371422663232382"/>
          <c:h val="0.10032117323318861"/>
        </c:manualLayout>
      </c:layout>
      <c:overlay val="0"/>
      <c:txPr>
        <a:bodyPr rot="0" vert="horz"/>
        <a:lstStyle/>
        <a:p>
          <a:pPr>
            <a:defRPr sz="800">
              <a:solidFill>
                <a:schemeClr val="bg1">
                  <a:lumMod val="50000"/>
                </a:schemeClr>
              </a:solidFill>
            </a:defRPr>
          </a:pPr>
          <a:endParaRPr lang="en-US"/>
        </a:p>
      </c:txPr>
    </c:legend>
    <c:plotVisOnly val="1"/>
    <c:dispBlanksAs val="gap"/>
    <c:showDLblsOverMax val="0"/>
  </c:chart>
  <c:spPr>
    <a:noFill/>
    <a:ln>
      <a:solidFill>
        <a:schemeClr val="bg1">
          <a:lumMod val="75000"/>
        </a:schemeClr>
      </a:solidFill>
    </a:ln>
    <a:effectLst/>
  </c:spPr>
  <c:txPr>
    <a:bodyPr/>
    <a:lstStyle/>
    <a:p>
      <a:pPr>
        <a:defRPr>
          <a:latin typeface="GHEA Grapalat" panose="02000506050000020003" pitchFamily="50" charset="0"/>
        </a:defRPr>
      </a:pPr>
      <a:endParaRPr lang="en-US"/>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hy-AM" sz="1000" b="0"/>
              <a:t>Ըստ գործիքակազմի</a:t>
            </a:r>
            <a:endParaRPr lang="en-US" sz="1000" b="0"/>
          </a:p>
        </c:rich>
      </c:tx>
      <c:layout>
        <c:manualLayout>
          <c:xMode val="edge"/>
          <c:yMode val="edge"/>
          <c:x val="0.26874795167129173"/>
          <c:y val="0"/>
        </c:manualLayout>
      </c:layout>
      <c:overlay val="0"/>
    </c:title>
    <c:autoTitleDeleted val="0"/>
    <c:plotArea>
      <c:layout>
        <c:manualLayout>
          <c:layoutTarget val="inner"/>
          <c:xMode val="edge"/>
          <c:yMode val="edge"/>
          <c:x val="6.7125846111341356E-2"/>
          <c:y val="0.10891817870592262"/>
          <c:w val="0.91130525867442591"/>
          <c:h val="0.66718886820275458"/>
        </c:manualLayout>
      </c:layout>
      <c:barChart>
        <c:barDir val="col"/>
        <c:grouping val="stacked"/>
        <c:varyColors val="0"/>
        <c:ser>
          <c:idx val="0"/>
          <c:order val="0"/>
          <c:tx>
            <c:strRef>
              <c:f>UXERZ!$F$64</c:f>
              <c:strCache>
                <c:ptCount val="1"/>
                <c:pt idx="0">
                  <c:v>արտաքին վարկեր</c:v>
                </c:pt>
              </c:strCache>
            </c:strRef>
          </c:tx>
          <c:invertIfNegative val="0"/>
          <c:dLbls>
            <c:spPr>
              <a:noFill/>
              <a:ln w="25400">
                <a:noFill/>
              </a:ln>
            </c:spPr>
            <c:txPr>
              <a:bodyPr rot="0" spcFirstLastPara="1" vertOverflow="ellipsis" vert="horz" wrap="square" anchor="ctr" anchorCtr="1"/>
              <a:lstStyle/>
              <a:p>
                <a:pPr>
                  <a:defRPr sz="1200" b="0" i="0" u="none" strike="noStrike" kern="1200" baseline="0">
                    <a:solidFill>
                      <a:schemeClr val="lt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UXERZ!$G$64:$L$64</c:f>
              <c:numCache>
                <c:formatCode>_(* #,##0_);_(* \(#,##0\);_(* "-"??_);_(@_)</c:formatCode>
                <c:ptCount val="6"/>
                <c:pt idx="0">
                  <c:v>63.037752558768133</c:v>
                </c:pt>
                <c:pt idx="1">
                  <c:v>62.13165865325638</c:v>
                </c:pt>
                <c:pt idx="2">
                  <c:v>51.107756883540731</c:v>
                </c:pt>
                <c:pt idx="3">
                  <c:v>44.652938897780103</c:v>
                </c:pt>
                <c:pt idx="4">
                  <c:v>42.977129575805478</c:v>
                </c:pt>
                <c:pt idx="5">
                  <c:v>42.544163406488209</c:v>
                </c:pt>
              </c:numCache>
            </c:numRef>
          </c:val>
          <c:extLst>
            <c:ext xmlns:c16="http://schemas.microsoft.com/office/drawing/2014/chart" uri="{C3380CC4-5D6E-409C-BE32-E72D297353CC}">
              <c16:uniqueId val="{00000000-718F-4834-8484-7A5A03294807}"/>
            </c:ext>
          </c:extLst>
        </c:ser>
        <c:ser>
          <c:idx val="1"/>
          <c:order val="1"/>
          <c:tx>
            <c:strRef>
              <c:f>UXERZ!$F$65</c:f>
              <c:strCache>
                <c:ptCount val="1"/>
                <c:pt idx="0">
                  <c:v>պետ. գանձ. պարտ.</c:v>
                </c:pt>
              </c:strCache>
            </c:strRef>
          </c:tx>
          <c:invertIfNegative val="0"/>
          <c:dLbls>
            <c:spPr>
              <a:noFill/>
              <a:ln w="25400">
                <a:noFill/>
              </a:ln>
            </c:spPr>
            <c:txPr>
              <a:bodyPr rot="0" spcFirstLastPara="1" vertOverflow="ellipsis" vert="horz" wrap="square" anchor="ctr" anchorCtr="1"/>
              <a:lstStyle/>
              <a:p>
                <a:pPr>
                  <a:defRPr sz="1200" b="0" i="0" u="none" strike="noStrike" kern="1200" baseline="0">
                    <a:solidFill>
                      <a:schemeClr val="lt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UXERZ!$G$65:$L$65</c:f>
              <c:numCache>
                <c:formatCode>_(* #,##0_);_(* \(#,##0\);_(* "-"??_);_(@_)</c:formatCode>
                <c:ptCount val="6"/>
                <c:pt idx="0">
                  <c:v>20.78094282006111</c:v>
                </c:pt>
                <c:pt idx="1">
                  <c:v>24.43580640534352</c:v>
                </c:pt>
                <c:pt idx="2">
                  <c:v>28.715750090456986</c:v>
                </c:pt>
                <c:pt idx="3">
                  <c:v>37.691911704261784</c:v>
                </c:pt>
                <c:pt idx="4">
                  <c:v>42.527679363548756</c:v>
                </c:pt>
                <c:pt idx="5">
                  <c:v>44.186923487291537</c:v>
                </c:pt>
              </c:numCache>
            </c:numRef>
          </c:val>
          <c:extLst>
            <c:ext xmlns:c16="http://schemas.microsoft.com/office/drawing/2014/chart" uri="{C3380CC4-5D6E-409C-BE32-E72D297353CC}">
              <c16:uniqueId val="{00000001-718F-4834-8484-7A5A03294807}"/>
            </c:ext>
          </c:extLst>
        </c:ser>
        <c:ser>
          <c:idx val="2"/>
          <c:order val="2"/>
          <c:tx>
            <c:strRef>
              <c:f>UXERZ!$F$66</c:f>
              <c:strCache>
                <c:ptCount val="1"/>
                <c:pt idx="0">
                  <c:v>արտարժ. պետ. պարտ.</c:v>
                </c:pt>
              </c:strCache>
            </c:strRef>
          </c:tx>
          <c:invertIfNegative val="0"/>
          <c:dLbls>
            <c:spPr>
              <a:noFill/>
              <a:ln w="25400">
                <a:noFill/>
              </a:ln>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UXERZ!$G$66:$L$66</c:f>
              <c:numCache>
                <c:formatCode>_(* #,##0_);_(* \(#,##0\);_(* "-"??_);_(@_)</c:formatCode>
                <c:ptCount val="6"/>
                <c:pt idx="0">
                  <c:v>16.066550360937178</c:v>
                </c:pt>
                <c:pt idx="1">
                  <c:v>13.318164480745365</c:v>
                </c:pt>
                <c:pt idx="2">
                  <c:v>19.959081994965057</c:v>
                </c:pt>
                <c:pt idx="3">
                  <c:v>17.350175100668643</c:v>
                </c:pt>
                <c:pt idx="4">
                  <c:v>14.328315798771635</c:v>
                </c:pt>
                <c:pt idx="5">
                  <c:v>13.140537424418465</c:v>
                </c:pt>
              </c:numCache>
            </c:numRef>
          </c:val>
          <c:extLst>
            <c:ext xmlns:c16="http://schemas.microsoft.com/office/drawing/2014/chart" uri="{C3380CC4-5D6E-409C-BE32-E72D297353CC}">
              <c16:uniqueId val="{00000002-718F-4834-8484-7A5A03294807}"/>
            </c:ext>
          </c:extLst>
        </c:ser>
        <c:ser>
          <c:idx val="3"/>
          <c:order val="3"/>
          <c:tx>
            <c:strRef>
              <c:f>UXERZ!$F$67</c:f>
              <c:strCache>
                <c:ptCount val="1"/>
                <c:pt idx="0">
                  <c:v>երաշխիքներ</c:v>
                </c:pt>
              </c:strCache>
            </c:strRef>
          </c:tx>
          <c:invertIfNegative val="0"/>
          <c:dLbls>
            <c:spPr>
              <a:noFill/>
              <a:ln w="25400">
                <a:noFill/>
              </a:ln>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UXERZ!$G$59:$L$59</c:f>
              <c:numCache>
                <c:formatCode>General</c:formatCode>
                <c:ptCount val="6"/>
                <c:pt idx="0">
                  <c:v>2019</c:v>
                </c:pt>
                <c:pt idx="1">
                  <c:v>2020</c:v>
                </c:pt>
                <c:pt idx="2">
                  <c:v>2021</c:v>
                </c:pt>
                <c:pt idx="3">
                  <c:v>2022</c:v>
                </c:pt>
                <c:pt idx="4">
                  <c:v>2023</c:v>
                </c:pt>
                <c:pt idx="5">
                  <c:v>2024</c:v>
                </c:pt>
              </c:numCache>
            </c:numRef>
          </c:cat>
          <c:val>
            <c:numRef>
              <c:f>UXERZ!$G$67:$L$67</c:f>
              <c:numCache>
                <c:formatCode>_(* #,##0_);_(* \(#,##0\);_(* "-"??_);_(@_)</c:formatCode>
                <c:ptCount val="6"/>
                <c:pt idx="0">
                  <c:v>0.11475426023357294</c:v>
                </c:pt>
                <c:pt idx="1">
                  <c:v>0.11437046065473214</c:v>
                </c:pt>
                <c:pt idx="2">
                  <c:v>0.21741103103722156</c:v>
                </c:pt>
                <c:pt idx="3">
                  <c:v>0.30497429728946523</c:v>
                </c:pt>
                <c:pt idx="4">
                  <c:v>0.16687526187413118</c:v>
                </c:pt>
                <c:pt idx="5">
                  <c:v>0.1283756818017856</c:v>
                </c:pt>
              </c:numCache>
            </c:numRef>
          </c:val>
          <c:extLst>
            <c:ext xmlns:c16="http://schemas.microsoft.com/office/drawing/2014/chart" uri="{C3380CC4-5D6E-409C-BE32-E72D297353CC}">
              <c16:uniqueId val="{00000003-718F-4834-8484-7A5A03294807}"/>
            </c:ext>
          </c:extLst>
        </c:ser>
        <c:dLbls>
          <c:showLegendKey val="0"/>
          <c:showVal val="0"/>
          <c:showCatName val="0"/>
          <c:showSerName val="0"/>
          <c:showPercent val="0"/>
          <c:showBubbleSize val="0"/>
        </c:dLbls>
        <c:gapWidth val="79"/>
        <c:overlap val="100"/>
        <c:axId val="627073272"/>
        <c:axId val="1"/>
      </c:barChart>
      <c:catAx>
        <c:axId val="627073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GHEA Grapalat" panose="02000506050000020003" pitchFamily="50" charset="0"/>
                <a:ea typeface="+mn-ea"/>
                <a:cs typeface="+mn-cs"/>
              </a:defRPr>
            </a:pPr>
            <a:endParaRPr lang="en-US"/>
          </a:p>
        </c:txPr>
        <c:crossAx val="1"/>
        <c:crosses val="autoZero"/>
        <c:auto val="1"/>
        <c:lblAlgn val="ctr"/>
        <c:lblOffset val="100"/>
        <c:noMultiLvlLbl val="0"/>
      </c:catAx>
      <c:valAx>
        <c:axId val="1"/>
        <c:scaling>
          <c:orientation val="minMax"/>
          <c:max val="100"/>
        </c:scaling>
        <c:delete val="1"/>
        <c:axPos val="l"/>
        <c:numFmt formatCode="_(* #,##0_);_(* \(#,##0\);_(* &quot;-&quot;??_);_(@_)" sourceLinked="1"/>
        <c:majorTickMark val="out"/>
        <c:minorTickMark val="none"/>
        <c:tickLblPos val="nextTo"/>
        <c:crossAx val="627073272"/>
        <c:crosses val="autoZero"/>
        <c:crossBetween val="between"/>
      </c:valAx>
      <c:spPr>
        <a:noFill/>
        <a:ln w="25400">
          <a:noFill/>
        </a:ln>
      </c:spPr>
    </c:plotArea>
    <c:legend>
      <c:legendPos val="b"/>
      <c:layout>
        <c:manualLayout>
          <c:xMode val="edge"/>
          <c:yMode val="edge"/>
          <c:x val="0"/>
          <c:y val="0.8818680842883343"/>
          <c:w val="1"/>
          <c:h val="0.11813191571166559"/>
        </c:manualLayout>
      </c:layout>
      <c:overlay val="0"/>
      <c:txPr>
        <a:bodyPr rot="0" vert="horz"/>
        <a:lstStyle/>
        <a:p>
          <a:pPr>
            <a:defRPr sz="800">
              <a:solidFill>
                <a:schemeClr val="bg1">
                  <a:lumMod val="50000"/>
                </a:schemeClr>
              </a:solidFill>
            </a:defRPr>
          </a:pPr>
          <a:endParaRPr lang="en-US"/>
        </a:p>
      </c:txPr>
    </c:legend>
    <c:plotVisOnly val="1"/>
    <c:dispBlanksAs val="gap"/>
    <c:showDLblsOverMax val="0"/>
  </c:chart>
  <c:spPr>
    <a:noFill/>
    <a:ln>
      <a:solidFill>
        <a:schemeClr val="bg1">
          <a:lumMod val="75000"/>
        </a:schemeClr>
      </a:solidFill>
    </a:ln>
    <a:effectLst/>
  </c:spPr>
  <c:txPr>
    <a:bodyPr/>
    <a:lstStyle/>
    <a:p>
      <a:pPr>
        <a:defRPr>
          <a:latin typeface="GHEA Grapalat" panose="02000506050000020003" pitchFamily="50"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65660472727729"/>
          <c:y val="7.1301466104615782E-2"/>
          <c:w val="0.8282812133118006"/>
          <c:h val="0.67818924149632864"/>
        </c:manualLayout>
      </c:layout>
      <c:barChart>
        <c:barDir val="col"/>
        <c:grouping val="clustered"/>
        <c:varyColors val="0"/>
        <c:ser>
          <c:idx val="1"/>
          <c:order val="1"/>
          <c:tx>
            <c:strRef>
              <c:f>Sheet1!$C$1</c:f>
              <c:strCache>
                <c:ptCount val="1"/>
                <c:pt idx="0">
                  <c:v>ՌԴ</c:v>
                </c:pt>
              </c:strCache>
            </c:strRef>
          </c:tx>
          <c:spPr>
            <a:solidFill>
              <a:srgbClr val="ED7D31">
                <a:lumMod val="60000"/>
                <a:lumOff val="40000"/>
              </a:srgbClr>
            </a:solidFill>
            <a:ln>
              <a:noFill/>
            </a:ln>
            <a:effectLst/>
          </c:spPr>
          <c:invertIfNegative val="0"/>
          <c:cat>
            <c:numRef>
              <c:f>Sheet1!$A$2:$A$11</c:f>
              <c:numCache>
                <c:formatCode>General</c:formatCode>
                <c:ptCount val="6"/>
                <c:pt idx="0">
                  <c:v>2019</c:v>
                </c:pt>
                <c:pt idx="1">
                  <c:v>2020</c:v>
                </c:pt>
                <c:pt idx="2">
                  <c:v>2021</c:v>
                </c:pt>
                <c:pt idx="3">
                  <c:v>2022</c:v>
                </c:pt>
                <c:pt idx="4">
                  <c:v>2023</c:v>
                </c:pt>
                <c:pt idx="5">
                  <c:v>2024</c:v>
                </c:pt>
              </c:numCache>
            </c:numRef>
          </c:cat>
          <c:val>
            <c:numRef>
              <c:f>Sheet1!$C$2:$C$11</c:f>
              <c:numCache>
                <c:formatCode>0.0</c:formatCode>
                <c:ptCount val="6"/>
                <c:pt idx="0">
                  <c:v>2.198</c:v>
                </c:pt>
                <c:pt idx="1">
                  <c:v>-2.6539999999999999</c:v>
                </c:pt>
                <c:pt idx="2">
                  <c:v>5.6239999999999997</c:v>
                </c:pt>
                <c:pt idx="3">
                  <c:v>-2.0510000000000002</c:v>
                </c:pt>
                <c:pt idx="4">
                  <c:v>0.71099999999999997</c:v>
                </c:pt>
                <c:pt idx="5">
                  <c:v>1.2809999999999999</c:v>
                </c:pt>
              </c:numCache>
            </c:numRef>
          </c:val>
          <c:extLst>
            <c:ext xmlns:c16="http://schemas.microsoft.com/office/drawing/2014/chart" uri="{C3380CC4-5D6E-409C-BE32-E72D297353CC}">
              <c16:uniqueId val="{00000000-CAA2-4531-81E0-6726444AC5B7}"/>
            </c:ext>
          </c:extLst>
        </c:ser>
        <c:ser>
          <c:idx val="2"/>
          <c:order val="2"/>
          <c:tx>
            <c:strRef>
              <c:f>Sheet1!$D$1</c:f>
              <c:strCache>
                <c:ptCount val="1"/>
                <c:pt idx="0">
                  <c:v>Եվրագոտի</c:v>
                </c:pt>
              </c:strCache>
            </c:strRef>
          </c:tx>
          <c:spPr>
            <a:solidFill>
              <a:schemeClr val="accent3"/>
            </a:solidFill>
            <a:ln>
              <a:noFill/>
            </a:ln>
            <a:effectLst/>
          </c:spPr>
          <c:invertIfNegative val="0"/>
          <c:cat>
            <c:numRef>
              <c:f>Sheet1!$A$2:$A$11</c:f>
              <c:numCache>
                <c:formatCode>General</c:formatCode>
                <c:ptCount val="6"/>
                <c:pt idx="0">
                  <c:v>2019</c:v>
                </c:pt>
                <c:pt idx="1">
                  <c:v>2020</c:v>
                </c:pt>
                <c:pt idx="2">
                  <c:v>2021</c:v>
                </c:pt>
                <c:pt idx="3">
                  <c:v>2022</c:v>
                </c:pt>
                <c:pt idx="4">
                  <c:v>2023</c:v>
                </c:pt>
                <c:pt idx="5">
                  <c:v>2024</c:v>
                </c:pt>
              </c:numCache>
            </c:numRef>
          </c:cat>
          <c:val>
            <c:numRef>
              <c:f>Sheet1!$D$2:$D$11</c:f>
              <c:numCache>
                <c:formatCode>0.0</c:formatCode>
                <c:ptCount val="6"/>
                <c:pt idx="0">
                  <c:v>1.5</c:v>
                </c:pt>
                <c:pt idx="1">
                  <c:v>-6.3639999999999999</c:v>
                </c:pt>
                <c:pt idx="2">
                  <c:v>5.3360000000000003</c:v>
                </c:pt>
                <c:pt idx="3">
                  <c:v>3.5</c:v>
                </c:pt>
                <c:pt idx="4">
                  <c:v>0.78900000000000003</c:v>
                </c:pt>
                <c:pt idx="5">
                  <c:v>1.367</c:v>
                </c:pt>
              </c:numCache>
            </c:numRef>
          </c:val>
          <c:extLst>
            <c:ext xmlns:c16="http://schemas.microsoft.com/office/drawing/2014/chart" uri="{C3380CC4-5D6E-409C-BE32-E72D297353CC}">
              <c16:uniqueId val="{00000001-CAA2-4531-81E0-6726444AC5B7}"/>
            </c:ext>
          </c:extLst>
        </c:ser>
        <c:ser>
          <c:idx val="3"/>
          <c:order val="3"/>
          <c:tx>
            <c:strRef>
              <c:f>Sheet1!$E$1</c:f>
              <c:strCache>
                <c:ptCount val="1"/>
                <c:pt idx="0">
                  <c:v>Չինաստան</c:v>
                </c:pt>
              </c:strCache>
            </c:strRef>
          </c:tx>
          <c:spPr>
            <a:solidFill>
              <a:srgbClr val="4472C4">
                <a:lumMod val="40000"/>
                <a:lumOff val="60000"/>
              </a:srgbClr>
            </a:solidFill>
            <a:ln>
              <a:noFill/>
            </a:ln>
            <a:effectLst/>
          </c:spPr>
          <c:invertIfNegative val="0"/>
          <c:cat>
            <c:numRef>
              <c:f>Sheet1!$A$2:$A$11</c:f>
              <c:numCache>
                <c:formatCode>General</c:formatCode>
                <c:ptCount val="6"/>
                <c:pt idx="0">
                  <c:v>2019</c:v>
                </c:pt>
                <c:pt idx="1">
                  <c:v>2020</c:v>
                </c:pt>
                <c:pt idx="2">
                  <c:v>2021</c:v>
                </c:pt>
                <c:pt idx="3">
                  <c:v>2022</c:v>
                </c:pt>
                <c:pt idx="4">
                  <c:v>2023</c:v>
                </c:pt>
                <c:pt idx="5">
                  <c:v>2024</c:v>
                </c:pt>
              </c:numCache>
            </c:numRef>
          </c:cat>
          <c:val>
            <c:numRef>
              <c:f>Sheet1!$E$2:$E$11</c:f>
              <c:numCache>
                <c:formatCode>0.0</c:formatCode>
                <c:ptCount val="6"/>
                <c:pt idx="0">
                  <c:v>5.9509999999999996</c:v>
                </c:pt>
                <c:pt idx="1">
                  <c:v>2.242</c:v>
                </c:pt>
                <c:pt idx="2">
                  <c:v>8.4499999999999993</c:v>
                </c:pt>
                <c:pt idx="3">
                  <c:v>2.988</c:v>
                </c:pt>
                <c:pt idx="4">
                  <c:v>5.2380000000000004</c:v>
                </c:pt>
                <c:pt idx="5">
                  <c:v>4.4809999999999999</c:v>
                </c:pt>
              </c:numCache>
            </c:numRef>
          </c:val>
          <c:extLst>
            <c:ext xmlns:c16="http://schemas.microsoft.com/office/drawing/2014/chart" uri="{C3380CC4-5D6E-409C-BE32-E72D297353CC}">
              <c16:uniqueId val="{00000002-CAA2-4531-81E0-6726444AC5B7}"/>
            </c:ext>
          </c:extLst>
        </c:ser>
        <c:ser>
          <c:idx val="4"/>
          <c:order val="4"/>
          <c:tx>
            <c:strRef>
              <c:f>Sheet1!$F$1</c:f>
              <c:strCache>
                <c:ptCount val="1"/>
                <c:pt idx="0">
                  <c:v>ԱՄՆ</c:v>
                </c:pt>
              </c:strCache>
            </c:strRef>
          </c:tx>
          <c:spPr>
            <a:solidFill>
              <a:srgbClr val="5B9BD5">
                <a:lumMod val="75000"/>
              </a:srgbClr>
            </a:solidFill>
            <a:ln>
              <a:noFill/>
            </a:ln>
            <a:effectLst/>
          </c:spPr>
          <c:invertIfNegative val="0"/>
          <c:cat>
            <c:numRef>
              <c:f>Sheet1!$A$2:$A$11</c:f>
              <c:numCache>
                <c:formatCode>General</c:formatCode>
                <c:ptCount val="6"/>
                <c:pt idx="0">
                  <c:v>2019</c:v>
                </c:pt>
                <c:pt idx="1">
                  <c:v>2020</c:v>
                </c:pt>
                <c:pt idx="2">
                  <c:v>2021</c:v>
                </c:pt>
                <c:pt idx="3">
                  <c:v>2022</c:v>
                </c:pt>
                <c:pt idx="4">
                  <c:v>2023</c:v>
                </c:pt>
                <c:pt idx="5">
                  <c:v>2024</c:v>
                </c:pt>
              </c:numCache>
            </c:numRef>
          </c:cat>
          <c:val>
            <c:numRef>
              <c:f>Sheet1!$F$2:$F$11</c:f>
              <c:numCache>
                <c:formatCode>0.0</c:formatCode>
                <c:ptCount val="6"/>
                <c:pt idx="0">
                  <c:v>2.2890000000000001</c:v>
                </c:pt>
                <c:pt idx="1">
                  <c:v>-2.7679999999999998</c:v>
                </c:pt>
                <c:pt idx="2">
                  <c:v>5.9470000000000001</c:v>
                </c:pt>
                <c:pt idx="3">
                  <c:v>2.0680000000000001</c:v>
                </c:pt>
                <c:pt idx="4">
                  <c:v>1.577</c:v>
                </c:pt>
                <c:pt idx="5">
                  <c:v>1.0629999999999999</c:v>
                </c:pt>
              </c:numCache>
            </c:numRef>
          </c:val>
          <c:extLst>
            <c:ext xmlns:c16="http://schemas.microsoft.com/office/drawing/2014/chart" uri="{C3380CC4-5D6E-409C-BE32-E72D297353CC}">
              <c16:uniqueId val="{00000003-CAA2-4531-81E0-6726444AC5B7}"/>
            </c:ext>
          </c:extLst>
        </c:ser>
        <c:dLbls>
          <c:showLegendKey val="0"/>
          <c:showVal val="0"/>
          <c:showCatName val="0"/>
          <c:showSerName val="0"/>
          <c:showPercent val="0"/>
          <c:showBubbleSize val="0"/>
        </c:dLbls>
        <c:gapWidth val="150"/>
        <c:axId val="1691185232"/>
        <c:axId val="1691190672"/>
      </c:barChart>
      <c:lineChart>
        <c:grouping val="standard"/>
        <c:varyColors val="0"/>
        <c:ser>
          <c:idx val="0"/>
          <c:order val="0"/>
          <c:tx>
            <c:strRef>
              <c:f>Sheet1!$B$1</c:f>
              <c:strCache>
                <c:ptCount val="1"/>
                <c:pt idx="0">
                  <c:v>Աշխարհ</c:v>
                </c:pt>
              </c:strCache>
            </c:strRef>
          </c:tx>
          <c:spPr>
            <a:ln w="28575" cap="rnd">
              <a:solidFill>
                <a:srgbClr val="44546A"/>
              </a:solidFill>
              <a:round/>
            </a:ln>
            <a:effectLst/>
          </c:spPr>
          <c:marker>
            <c:symbol val="circle"/>
            <c:size val="5"/>
            <c:spPr>
              <a:solidFill>
                <a:srgbClr val="44546A"/>
              </a:solidFill>
              <a:ln w="9525">
                <a:solidFill>
                  <a:srgbClr val="44546A"/>
                </a:solidFill>
              </a:ln>
              <a:effectLst/>
            </c:spPr>
          </c:marker>
          <c:dLbls>
            <c:dLbl>
              <c:idx val="1"/>
              <c:layout>
                <c:manualLayout>
                  <c:x val="-7.2548439977426035E-2"/>
                  <c:y val="5.15978028519630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AA2-4531-81E0-6726444AC5B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6"/>
                <c:pt idx="0">
                  <c:v>2019</c:v>
                </c:pt>
                <c:pt idx="1">
                  <c:v>2020</c:v>
                </c:pt>
                <c:pt idx="2">
                  <c:v>2021</c:v>
                </c:pt>
                <c:pt idx="3">
                  <c:v>2022</c:v>
                </c:pt>
                <c:pt idx="4">
                  <c:v>2023</c:v>
                </c:pt>
                <c:pt idx="5">
                  <c:v>2024</c:v>
                </c:pt>
              </c:numCache>
            </c:numRef>
          </c:cat>
          <c:val>
            <c:numRef>
              <c:f>Sheet1!$B$2:$B$11</c:f>
              <c:numCache>
                <c:formatCode>0.0</c:formatCode>
                <c:ptCount val="6"/>
                <c:pt idx="0">
                  <c:v>2.8</c:v>
                </c:pt>
                <c:pt idx="1">
                  <c:v>-3.0630000000000002</c:v>
                </c:pt>
                <c:pt idx="2">
                  <c:v>6.2</c:v>
                </c:pt>
                <c:pt idx="3">
                  <c:v>3.4</c:v>
                </c:pt>
                <c:pt idx="4">
                  <c:v>2.831</c:v>
                </c:pt>
                <c:pt idx="5">
                  <c:v>3.0230000000000001</c:v>
                </c:pt>
              </c:numCache>
            </c:numRef>
          </c:val>
          <c:smooth val="0"/>
          <c:extLst>
            <c:ext xmlns:c16="http://schemas.microsoft.com/office/drawing/2014/chart" uri="{C3380CC4-5D6E-409C-BE32-E72D297353CC}">
              <c16:uniqueId val="{00000005-CAA2-4531-81E0-6726444AC5B7}"/>
            </c:ext>
          </c:extLst>
        </c:ser>
        <c:dLbls>
          <c:showLegendKey val="0"/>
          <c:showVal val="0"/>
          <c:showCatName val="0"/>
          <c:showSerName val="0"/>
          <c:showPercent val="0"/>
          <c:showBubbleSize val="0"/>
        </c:dLbls>
        <c:marker val="1"/>
        <c:smooth val="0"/>
        <c:axId val="1691185232"/>
        <c:axId val="1691190672"/>
      </c:lineChart>
      <c:catAx>
        <c:axId val="16911852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1190672"/>
        <c:crosses val="autoZero"/>
        <c:auto val="1"/>
        <c:lblAlgn val="ctr"/>
        <c:lblOffset val="100"/>
        <c:noMultiLvlLbl val="0"/>
      </c:catAx>
      <c:valAx>
        <c:axId val="1691190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y-AM" sz="800" b="0" i="0" u="none" strike="noStrike" kern="1200" baseline="0">
                    <a:solidFill>
                      <a:sysClr val="windowText" lastClr="000000">
                        <a:lumMod val="65000"/>
                        <a:lumOff val="35000"/>
                      </a:sysClr>
                    </a:solidFill>
                    <a:latin typeface="+mn-lt"/>
                    <a:ea typeface="+mn-ea"/>
                    <a:cs typeface="+mn-cs"/>
                  </a:rPr>
                  <a:t>%</a:t>
                </a:r>
                <a:endParaRPr lang="en-US" sz="800"/>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1185232"/>
        <c:crosses val="autoZero"/>
        <c:crossBetween val="between"/>
      </c:valAx>
      <c:spPr>
        <a:noFill/>
        <a:ln>
          <a:noFill/>
        </a:ln>
        <a:effectLst/>
      </c:spPr>
    </c:plotArea>
    <c:legend>
      <c:legendPos val="b"/>
      <c:layout>
        <c:manualLayout>
          <c:xMode val="edge"/>
          <c:yMode val="edge"/>
          <c:x val="1.8065984072810005E-2"/>
          <c:y val="0.86564105173444605"/>
          <c:w val="0.91522685944120463"/>
          <c:h val="0.1159192499968198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6"/>
            </a:solidFill>
            <a:effectLst>
              <a:outerShdw blurRad="50800" dist="38100" dir="2700000" algn="tl" rotWithShape="0">
                <a:schemeClr val="accent6">
                  <a:lumMod val="40000"/>
                  <a:lumOff val="60000"/>
                  <a:alpha val="40000"/>
                </a:schemeClr>
              </a:outerShdw>
            </a:effectLst>
            <a:scene3d>
              <a:camera prst="orthographicFront"/>
              <a:lightRig rig="threePt" dir="t"/>
            </a:scene3d>
            <a:sp3d>
              <a:bevelT w="0" h="0" prst="riblet"/>
            </a:sp3d>
          </c:spPr>
          <c:invertIfNegative val="0"/>
          <c:dLbls>
            <c:spPr>
              <a:noFill/>
              <a:ln w="25400">
                <a:noFill/>
              </a:ln>
            </c:spPr>
            <c:txPr>
              <a:bodyPr wrap="square" lIns="38100" tIns="19050" rIns="38100" bIns="19050" anchor="ctr">
                <a:spAutoFit/>
              </a:bodyPr>
              <a:lstStyle/>
              <a:p>
                <a:pPr>
                  <a:defRPr sz="8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'Stock for Budget'!$B$277:$B$297</c:f>
              <c:strCache>
                <c:ptCount val="21"/>
                <c:pt idx="0">
                  <c:v>ԿԲՍ Բանկ (Բելգիա)</c:v>
                </c:pt>
                <c:pt idx="1">
                  <c:v>Աբու-Դաբիի Զարգացման Հիմնադրամ</c:v>
                </c:pt>
                <c:pt idx="2">
                  <c:v>Ռայֆայզն Բանկ (Ավստրիա)</c:v>
                </c:pt>
                <c:pt idx="3">
                  <c:v>Էռստե Բանկ (Ավստրիա)</c:v>
                </c:pt>
                <c:pt idx="4">
                  <c:v>ԱՄՆ</c:v>
                </c:pt>
                <c:pt idx="5">
                  <c:v>Չինաստանի Արտահանման-Ներմուծման Բանկ</c:v>
                </c:pt>
                <c:pt idx="6">
                  <c:v>Ենթակա է հստակեցման</c:v>
                </c:pt>
                <c:pt idx="7">
                  <c:v>Վերակառուցման և Զարգացման Եվրոպական Բանկ</c:v>
                </c:pt>
                <c:pt idx="8">
                  <c:v>Գյուղատնտեսության Զարգացման Միջազգային Հիմնադրամ</c:v>
                </c:pt>
                <c:pt idx="9">
                  <c:v>Եվրամիություն</c:v>
                </c:pt>
                <c:pt idx="10">
                  <c:v>ՕՊԵԿ-ի Միջազգային Զարգացման Հիմնադրամ </c:v>
                </c:pt>
                <c:pt idx="11">
                  <c:v>Եվրոպական Ներդրումային Բանկ</c:v>
                </c:pt>
                <c:pt idx="12">
                  <c:v>Ճապոնիա</c:v>
                </c:pt>
                <c:pt idx="13">
                  <c:v>Գերմանիա (ՎՎԲ)</c:v>
                </c:pt>
                <c:pt idx="14">
                  <c:v>Ֆրանսիա</c:v>
                </c:pt>
                <c:pt idx="15">
                  <c:v>Ռուսաստանի Դաշնություն</c:v>
                </c:pt>
                <c:pt idx="16">
                  <c:v>Արժույթի Միջազգային Հիմնադրամ</c:v>
                </c:pt>
                <c:pt idx="17">
                  <c:v>Եվրասիական Զարգացման Բանկ </c:v>
                </c:pt>
                <c:pt idx="18">
                  <c:v>Զարգացման Միջազգային Ընկերակցություն</c:v>
                </c:pt>
                <c:pt idx="19">
                  <c:v>Ասիական Զարգացման Բանկ</c:v>
                </c:pt>
                <c:pt idx="20">
                  <c:v>Վերակառուցման և Զարգացման Միջազգային Բանկ</c:v>
                </c:pt>
              </c:strCache>
            </c:strRef>
          </c:cat>
          <c:val>
            <c:numRef>
              <c:f>'Stock for Budget'!$D$277:$D$297</c:f>
              <c:numCache>
                <c:formatCode>0.0%</c:formatCode>
                <c:ptCount val="21"/>
                <c:pt idx="0">
                  <c:v>2.1973883135187068E-4</c:v>
                </c:pt>
                <c:pt idx="1">
                  <c:v>4.6028101569559906E-4</c:v>
                </c:pt>
                <c:pt idx="2">
                  <c:v>8.5259265987080047E-4</c:v>
                </c:pt>
                <c:pt idx="3">
                  <c:v>1.3406740534882835E-3</c:v>
                </c:pt>
                <c:pt idx="4">
                  <c:v>2.2036053441829985E-3</c:v>
                </c:pt>
                <c:pt idx="5">
                  <c:v>3.4727972093058931E-3</c:v>
                </c:pt>
                <c:pt idx="6">
                  <c:v>2.9391961612305929E-3</c:v>
                </c:pt>
                <c:pt idx="7">
                  <c:v>9.2661002132850938E-3</c:v>
                </c:pt>
                <c:pt idx="8">
                  <c:v>1.0985981067579007E-2</c:v>
                </c:pt>
                <c:pt idx="9">
                  <c:v>1.4624332371060289E-2</c:v>
                </c:pt>
                <c:pt idx="10">
                  <c:v>1.8804531983686323E-2</c:v>
                </c:pt>
                <c:pt idx="11">
                  <c:v>2.9991786545061204E-2</c:v>
                </c:pt>
                <c:pt idx="12">
                  <c:v>2.8380293437133736E-2</c:v>
                </c:pt>
                <c:pt idx="13">
                  <c:v>5.8487441911349691E-2</c:v>
                </c:pt>
                <c:pt idx="14">
                  <c:v>4.9611585856395621E-2</c:v>
                </c:pt>
                <c:pt idx="15">
                  <c:v>5.9590387233970928E-2</c:v>
                </c:pt>
                <c:pt idx="16">
                  <c:v>6.4913144603565884E-2</c:v>
                </c:pt>
                <c:pt idx="17">
                  <c:v>9.94194695932165E-2</c:v>
                </c:pt>
                <c:pt idx="18">
                  <c:v>0.15385550821526828</c:v>
                </c:pt>
                <c:pt idx="19">
                  <c:v>0.18517531321008712</c:v>
                </c:pt>
                <c:pt idx="20">
                  <c:v>0.20540523848321432</c:v>
                </c:pt>
              </c:numCache>
            </c:numRef>
          </c:val>
          <c:extLst>
            <c:ext xmlns:c16="http://schemas.microsoft.com/office/drawing/2014/chart" uri="{C3380CC4-5D6E-409C-BE32-E72D297353CC}">
              <c16:uniqueId val="{00000000-093C-4C04-A79E-41F5205D4125}"/>
            </c:ext>
          </c:extLst>
        </c:ser>
        <c:dLbls>
          <c:showLegendKey val="0"/>
          <c:showVal val="0"/>
          <c:showCatName val="0"/>
          <c:showSerName val="0"/>
          <c:showPercent val="0"/>
          <c:showBubbleSize val="0"/>
        </c:dLbls>
        <c:gapWidth val="21"/>
        <c:axId val="628247664"/>
        <c:axId val="1"/>
      </c:barChart>
      <c:catAx>
        <c:axId val="628247664"/>
        <c:scaling>
          <c:orientation val="minMax"/>
        </c:scaling>
        <c:delete val="0"/>
        <c:axPos val="l"/>
        <c:numFmt formatCode="General" sourceLinked="1"/>
        <c:majorTickMark val="out"/>
        <c:minorTickMark val="none"/>
        <c:tickLblPos val="nextTo"/>
        <c:txPr>
          <a:bodyPr rot="0" vert="horz"/>
          <a:lstStyle/>
          <a:p>
            <a:pPr>
              <a:defRPr sz="7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b"/>
        <c:majorGridlines/>
        <c:numFmt formatCode="0.0%"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628247664"/>
        <c:crosses val="autoZero"/>
        <c:crossBetween val="between"/>
      </c:valAx>
    </c:plotArea>
    <c:plotVisOnly val="1"/>
    <c:dispBlanksAs val="gap"/>
    <c:showDLblsOverMax val="0"/>
  </c:chart>
  <c:spPr>
    <a:effectLst>
      <a:outerShdw blurRad="63500" sx="102000" sy="102000" algn="ctr" rotWithShape="0">
        <a:prstClr val="black">
          <a:alpha val="40000"/>
        </a:prstClr>
      </a:outerShdw>
    </a:effectLst>
  </c:spPr>
  <c:txPr>
    <a:bodyPr/>
    <a:lstStyle/>
    <a:p>
      <a:pPr>
        <a:defRPr sz="9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UXERZ!$L$14</c:f>
              <c:strCache>
                <c:ptCount val="1"/>
                <c:pt idx="0">
                  <c:v>Արտաքին վարկեր</c:v>
                </c:pt>
              </c:strCache>
            </c:strRef>
          </c:tx>
          <c:spPr>
            <a:solidFill>
              <a:schemeClr val="tx2">
                <a:lumMod val="60000"/>
                <a:lumOff val="40000"/>
              </a:schemeClr>
            </a:solidFill>
          </c:spPr>
          <c:invertIfNegative val="0"/>
          <c:cat>
            <c:numRef>
              <c:f>UXERZ!$M$13:$AP$13</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UXERZ!$M$14:$AP$14</c:f>
              <c:numCache>
                <c:formatCode>_(* #,##0_);_(* \(#,##0\);_(* "-"??_);_(@_)</c:formatCode>
                <c:ptCount val="30"/>
                <c:pt idx="0">
                  <c:v>180.22389256056076</c:v>
                </c:pt>
                <c:pt idx="1">
                  <c:v>193.13790952899831</c:v>
                </c:pt>
                <c:pt idx="2">
                  <c:v>154.03515131821004</c:v>
                </c:pt>
                <c:pt idx="3">
                  <c:v>156.86624214900195</c:v>
                </c:pt>
                <c:pt idx="4">
                  <c:v>156.67177902354118</c:v>
                </c:pt>
                <c:pt idx="5">
                  <c:v>146.26334248975732</c:v>
                </c:pt>
                <c:pt idx="6">
                  <c:v>144.17835480749264</c:v>
                </c:pt>
                <c:pt idx="7">
                  <c:v>144.13677511199012</c:v>
                </c:pt>
                <c:pt idx="8">
                  <c:v>136.72910965114076</c:v>
                </c:pt>
                <c:pt idx="9">
                  <c:v>135.46049246183776</c:v>
                </c:pt>
                <c:pt idx="10">
                  <c:v>122.27991037852773</c:v>
                </c:pt>
                <c:pt idx="11">
                  <c:v>100.57895391014561</c:v>
                </c:pt>
                <c:pt idx="12">
                  <c:v>93.63028378981754</c:v>
                </c:pt>
                <c:pt idx="13">
                  <c:v>77.325894347181219</c:v>
                </c:pt>
                <c:pt idx="14">
                  <c:v>63.230172182371795</c:v>
                </c:pt>
                <c:pt idx="15">
                  <c:v>48.056942284730589</c:v>
                </c:pt>
                <c:pt idx="16">
                  <c:v>38.269892900840695</c:v>
                </c:pt>
                <c:pt idx="17">
                  <c:v>25.273330819598193</c:v>
                </c:pt>
                <c:pt idx="18">
                  <c:v>16.019007077389411</c:v>
                </c:pt>
                <c:pt idx="19">
                  <c:v>13.520547758055066</c:v>
                </c:pt>
                <c:pt idx="20">
                  <c:v>6.4183710103121348</c:v>
                </c:pt>
                <c:pt idx="21">
                  <c:v>3.2539664279879599</c:v>
                </c:pt>
                <c:pt idx="22">
                  <c:v>2.4324615852342619</c:v>
                </c:pt>
                <c:pt idx="23">
                  <c:v>1.5643930237152879</c:v>
                </c:pt>
                <c:pt idx="24">
                  <c:v>0.86160016341360124</c:v>
                </c:pt>
                <c:pt idx="25">
                  <c:v>0.59015684084181508</c:v>
                </c:pt>
                <c:pt idx="26">
                  <c:v>0.48103843112434125</c:v>
                </c:pt>
                <c:pt idx="27">
                  <c:v>0.24904790024556434</c:v>
                </c:pt>
                <c:pt idx="28">
                  <c:v>1.7057367361829258E-2</c:v>
                </c:pt>
                <c:pt idx="29">
                  <c:v>1.4832017225523759</c:v>
                </c:pt>
              </c:numCache>
            </c:numRef>
          </c:val>
          <c:extLst>
            <c:ext xmlns:c16="http://schemas.microsoft.com/office/drawing/2014/chart" uri="{C3380CC4-5D6E-409C-BE32-E72D297353CC}">
              <c16:uniqueId val="{00000000-5CE4-4AC5-8300-DF0C6090FF07}"/>
            </c:ext>
          </c:extLst>
        </c:ser>
        <c:ser>
          <c:idx val="1"/>
          <c:order val="1"/>
          <c:tx>
            <c:strRef>
              <c:f>UXERZ!$L$15</c:f>
              <c:strCache>
                <c:ptCount val="1"/>
                <c:pt idx="0">
                  <c:v>Արտարժութային պարտատոմսեր</c:v>
                </c:pt>
              </c:strCache>
            </c:strRef>
          </c:tx>
          <c:spPr>
            <a:solidFill>
              <a:srgbClr val="F79646">
                <a:lumMod val="75000"/>
              </a:srgbClr>
            </a:solidFill>
          </c:spPr>
          <c:invertIfNegative val="0"/>
          <c:cat>
            <c:numRef>
              <c:f>UXERZ!$M$13:$AP$13</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UXERZ!$M$15:$AP$15</c:f>
              <c:numCache>
                <c:formatCode>General</c:formatCode>
                <c:ptCount val="30"/>
                <c:pt idx="0" formatCode="_(* #,##0_);_(* \(#,##0\);_(* &quot;-&quot;??_);_(@_)">
                  <c:v>133.85889066419384</c:v>
                </c:pt>
                <c:pt idx="4" formatCode="_(* #,##0_);_(* \(#,##0\);_(* &quot;-&quot;??_);_(@_)">
                  <c:v>213.71874766768076</c:v>
                </c:pt>
                <c:pt idx="6" formatCode="_(* #,##0_);_(* \(#,##0\);_(* &quot;-&quot;??_);_(@_)">
                  <c:v>320.57812150152114</c:v>
                </c:pt>
              </c:numCache>
            </c:numRef>
          </c:val>
          <c:extLst>
            <c:ext xmlns:c16="http://schemas.microsoft.com/office/drawing/2014/chart" uri="{C3380CC4-5D6E-409C-BE32-E72D297353CC}">
              <c16:uniqueId val="{00000001-5CE4-4AC5-8300-DF0C6090FF07}"/>
            </c:ext>
          </c:extLst>
        </c:ser>
        <c:ser>
          <c:idx val="2"/>
          <c:order val="2"/>
          <c:tx>
            <c:strRef>
              <c:f>UXERZ!$L$16</c:f>
              <c:strCache>
                <c:ptCount val="1"/>
                <c:pt idx="0">
                  <c:v>Երաշխիքներ</c:v>
                </c:pt>
              </c:strCache>
            </c:strRef>
          </c:tx>
          <c:spPr>
            <a:solidFill>
              <a:schemeClr val="accent4">
                <a:lumMod val="40000"/>
                <a:lumOff val="60000"/>
              </a:schemeClr>
            </a:solidFill>
          </c:spPr>
          <c:invertIfNegative val="0"/>
          <c:cat>
            <c:numRef>
              <c:f>UXERZ!$M$13:$AP$13</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UXERZ!$M$16:$AP$16</c:f>
              <c:numCache>
                <c:formatCode>_(* #,##0_);_(* \(#,##0\);_(* "-"??_);_(@_)</c:formatCode>
                <c:ptCount val="30"/>
                <c:pt idx="0">
                  <c:v>0.2427936693197478</c:v>
                </c:pt>
                <c:pt idx="1">
                  <c:v>0.2427936693197478</c:v>
                </c:pt>
                <c:pt idx="2">
                  <c:v>0.2427936693197478</c:v>
                </c:pt>
                <c:pt idx="3">
                  <c:v>0.2427936693197478</c:v>
                </c:pt>
                <c:pt idx="4">
                  <c:v>0.2427936693197478</c:v>
                </c:pt>
                <c:pt idx="5">
                  <c:v>0.2427936693197478</c:v>
                </c:pt>
                <c:pt idx="6">
                  <c:v>0.2427936693197478</c:v>
                </c:pt>
                <c:pt idx="7">
                  <c:v>0.2427936693197478</c:v>
                </c:pt>
                <c:pt idx="8">
                  <c:v>0.2427936693197478</c:v>
                </c:pt>
                <c:pt idx="9">
                  <c:v>0.2427936693197478</c:v>
                </c:pt>
                <c:pt idx="10">
                  <c:v>0.2427936693197478</c:v>
                </c:pt>
                <c:pt idx="11">
                  <c:v>0.12139682455581999</c:v>
                </c:pt>
              </c:numCache>
            </c:numRef>
          </c:val>
          <c:extLst>
            <c:ext xmlns:c16="http://schemas.microsoft.com/office/drawing/2014/chart" uri="{C3380CC4-5D6E-409C-BE32-E72D297353CC}">
              <c16:uniqueId val="{00000002-5CE4-4AC5-8300-DF0C6090FF07}"/>
            </c:ext>
          </c:extLst>
        </c:ser>
        <c:ser>
          <c:idx val="3"/>
          <c:order val="3"/>
          <c:tx>
            <c:strRef>
              <c:f>UXERZ!$L$17</c:f>
              <c:strCache>
                <c:ptCount val="1"/>
                <c:pt idx="0">
                  <c:v>Դրամային պարտատոմսեր</c:v>
                </c:pt>
              </c:strCache>
            </c:strRef>
          </c:tx>
          <c:spPr>
            <a:solidFill>
              <a:srgbClr val="4BACC6">
                <a:lumMod val="40000"/>
                <a:lumOff val="60000"/>
              </a:srgbClr>
            </a:solidFill>
          </c:spPr>
          <c:invertIfNegative val="0"/>
          <c:cat>
            <c:numRef>
              <c:f>UXERZ!$M$13:$AP$13</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UXERZ!$M$17:$AP$17</c:f>
              <c:numCache>
                <c:formatCode>_(* #,##0.0_);_(* \(#,##0.0\);_(* "-"??_);_(@_)</c:formatCode>
                <c:ptCount val="30"/>
                <c:pt idx="0">
                  <c:v>341.30693300000001</c:v>
                </c:pt>
                <c:pt idx="1">
                  <c:v>246.54161500000001</c:v>
                </c:pt>
                <c:pt idx="2">
                  <c:v>272.76188000000002</c:v>
                </c:pt>
                <c:pt idx="3">
                  <c:v>158.35408999999999</c:v>
                </c:pt>
                <c:pt idx="4">
                  <c:v>241.261459</c:v>
                </c:pt>
                <c:pt idx="5">
                  <c:v>0</c:v>
                </c:pt>
                <c:pt idx="6">
                  <c:v>194.804</c:v>
                </c:pt>
                <c:pt idx="7">
                  <c:v>35.5</c:v>
                </c:pt>
                <c:pt idx="8">
                  <c:v>269.59454499999998</c:v>
                </c:pt>
                <c:pt idx="9">
                  <c:v>0</c:v>
                </c:pt>
                <c:pt idx="10">
                  <c:v>0</c:v>
                </c:pt>
                <c:pt idx="11">
                  <c:v>71</c:v>
                </c:pt>
                <c:pt idx="12">
                  <c:v>65.266499999999994</c:v>
                </c:pt>
                <c:pt idx="13">
                  <c:v>0</c:v>
                </c:pt>
                <c:pt idx="14">
                  <c:v>0</c:v>
                </c:pt>
                <c:pt idx="15">
                  <c:v>0</c:v>
                </c:pt>
                <c:pt idx="16">
                  <c:v>0</c:v>
                </c:pt>
                <c:pt idx="17">
                  <c:v>0</c:v>
                </c:pt>
                <c:pt idx="18">
                  <c:v>0</c:v>
                </c:pt>
                <c:pt idx="19">
                  <c:v>0</c:v>
                </c:pt>
                <c:pt idx="20">
                  <c:v>0</c:v>
                </c:pt>
                <c:pt idx="21">
                  <c:v>0</c:v>
                </c:pt>
                <c:pt idx="22">
                  <c:v>119.700405</c:v>
                </c:pt>
                <c:pt idx="23">
                  <c:v>0</c:v>
                </c:pt>
                <c:pt idx="24">
                  <c:v>0</c:v>
                </c:pt>
                <c:pt idx="25">
                  <c:v>125.138363</c:v>
                </c:pt>
                <c:pt idx="26">
                  <c:v>0</c:v>
                </c:pt>
                <c:pt idx="27" formatCode="_(* #,##0_);_(* \(#,##0\);_(* &quot;-&quot;??_);_(@_)">
                  <c:v>104.059023</c:v>
                </c:pt>
                <c:pt idx="28" formatCode="_(* #,##0_);_(* \(#,##0\);_(* &quot;-&quot;??_);_(@_)">
                  <c:v>0</c:v>
                </c:pt>
                <c:pt idx="29" formatCode="_(* #,##0_);_(* \(#,##0\);_(* &quot;-&quot;??_);_(@_)">
                  <c:v>0</c:v>
                </c:pt>
              </c:numCache>
            </c:numRef>
          </c:val>
          <c:extLst>
            <c:ext xmlns:c16="http://schemas.microsoft.com/office/drawing/2014/chart" uri="{C3380CC4-5D6E-409C-BE32-E72D297353CC}">
              <c16:uniqueId val="{00000003-5CE4-4AC5-8300-DF0C6090FF07}"/>
            </c:ext>
          </c:extLst>
        </c:ser>
        <c:dLbls>
          <c:showLegendKey val="0"/>
          <c:showVal val="0"/>
          <c:showCatName val="0"/>
          <c:showSerName val="0"/>
          <c:showPercent val="0"/>
          <c:showBubbleSize val="0"/>
        </c:dLbls>
        <c:gapWidth val="75"/>
        <c:shape val="box"/>
        <c:axId val="303043072"/>
        <c:axId val="303361408"/>
        <c:axId val="0"/>
      </c:bar3DChart>
      <c:catAx>
        <c:axId val="303043072"/>
        <c:scaling>
          <c:orientation val="minMax"/>
        </c:scaling>
        <c:delete val="0"/>
        <c:axPos val="b"/>
        <c:numFmt formatCode="General" sourceLinked="1"/>
        <c:majorTickMark val="none"/>
        <c:minorTickMark val="none"/>
        <c:tickLblPos val="nextTo"/>
        <c:txPr>
          <a:bodyPr rot="-3120000" vert="horz"/>
          <a:lstStyle/>
          <a:p>
            <a:pPr>
              <a:defRPr sz="600" b="0" i="0" u="none" strike="noStrike" baseline="0">
                <a:solidFill>
                  <a:srgbClr val="000000"/>
                </a:solidFill>
                <a:latin typeface="Calibri"/>
                <a:ea typeface="Calibri"/>
                <a:cs typeface="Calibri"/>
              </a:defRPr>
            </a:pPr>
            <a:endParaRPr lang="en-US"/>
          </a:p>
        </c:txPr>
        <c:crossAx val="303361408"/>
        <c:crosses val="autoZero"/>
        <c:auto val="1"/>
        <c:lblAlgn val="ctr"/>
        <c:lblOffset val="100"/>
        <c:noMultiLvlLbl val="0"/>
      </c:catAx>
      <c:valAx>
        <c:axId val="303361408"/>
        <c:scaling>
          <c:orientation val="minMax"/>
        </c:scaling>
        <c:delete val="0"/>
        <c:axPos val="l"/>
        <c:majorGridlines/>
        <c:numFmt formatCode="_(* #,##0_);_(* \(#,##0\);_(* &quot;-&quot;??_);_(@_)" sourceLinked="1"/>
        <c:majorTickMark val="none"/>
        <c:minorTickMark val="none"/>
        <c:tickLblPos val="nextTo"/>
        <c:spPr>
          <a:ln w="9525">
            <a:noFill/>
          </a:ln>
        </c:spPr>
        <c:txPr>
          <a:bodyPr rot="0" vert="horz"/>
          <a:lstStyle/>
          <a:p>
            <a:pPr>
              <a:defRPr sz="700" b="0" i="0" u="none" strike="noStrike" baseline="0">
                <a:solidFill>
                  <a:srgbClr val="000000"/>
                </a:solidFill>
                <a:latin typeface="Calibri"/>
                <a:ea typeface="Calibri"/>
                <a:cs typeface="Calibri"/>
              </a:defRPr>
            </a:pPr>
            <a:endParaRPr lang="en-US"/>
          </a:p>
        </c:txPr>
        <c:crossAx val="303043072"/>
        <c:crossesAt val="1"/>
        <c:crossBetween val="between"/>
      </c:valAx>
      <c:spPr>
        <a:noFill/>
        <a:ln w="25400">
          <a:noFill/>
        </a:ln>
      </c:spPr>
    </c:plotArea>
    <c:legend>
      <c:legendPos val="b"/>
      <c:layout>
        <c:manualLayout>
          <c:xMode val="edge"/>
          <c:yMode val="edge"/>
          <c:x val="8.7566422618225344E-3"/>
          <c:y val="0.87644935187699247"/>
          <c:w val="0.98248763641386938"/>
          <c:h val="8.4942428173489848E-2"/>
        </c:manualLayout>
      </c:layout>
      <c:overlay val="0"/>
      <c:txPr>
        <a:bodyPr/>
        <a:lstStyle/>
        <a:p>
          <a:pPr>
            <a:defRPr sz="700" b="0" i="0" u="none" strike="noStrike" baseline="0">
              <a:solidFill>
                <a:srgbClr val="000000"/>
              </a:solidFill>
              <a:latin typeface="GHEA Grapalat" pitchFamily="50" charset="0"/>
              <a:ea typeface="Calibri"/>
              <a:cs typeface="Calibri"/>
            </a:defRPr>
          </a:pPr>
          <a:endParaRPr lang="en-US"/>
        </a:p>
      </c:txPr>
    </c:legend>
    <c:plotVisOnly val="1"/>
    <c:dispBlanksAs val="gap"/>
    <c:showDLblsOverMax val="0"/>
  </c:chart>
  <c:spPr>
    <a:ln>
      <a:noFill/>
    </a:ln>
    <a:effectLst/>
  </c:spPr>
  <c:txPr>
    <a:bodyPr/>
    <a:lstStyle/>
    <a:p>
      <a:pPr>
        <a:defRPr sz="7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80" b="1" i="0" u="none" strike="noStrike" baseline="0">
                <a:solidFill>
                  <a:srgbClr val="000000"/>
                </a:solidFill>
                <a:latin typeface="Calibri"/>
                <a:ea typeface="Calibri"/>
                <a:cs typeface="Calibri"/>
              </a:defRPr>
            </a:pPr>
            <a:r>
              <a:rPr lang="hy-AM"/>
              <a:t>Մասհանումների կառուցվածքն ըստ վարկատուների (%)</a:t>
            </a:r>
          </a:p>
        </c:rich>
      </c:tx>
      <c:layout>
        <c:manualLayout>
          <c:xMode val="edge"/>
          <c:yMode val="edge"/>
          <c:x val="0.22124396215178985"/>
          <c:y val="2.3097870888882575E-2"/>
        </c:manualLayout>
      </c:layout>
      <c:overlay val="0"/>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1550860062898772"/>
          <c:y val="0.20616419315917628"/>
          <c:w val="0.81388888888888888"/>
          <c:h val="0.6921908719743366"/>
        </c:manualLayout>
      </c:layout>
      <c:pie3DChart>
        <c:varyColors val="1"/>
        <c:ser>
          <c:idx val="0"/>
          <c:order val="0"/>
          <c:explosion val="17"/>
          <c:dPt>
            <c:idx val="0"/>
            <c:bubble3D val="0"/>
            <c:explosion val="4"/>
            <c:extLst>
              <c:ext xmlns:c16="http://schemas.microsoft.com/office/drawing/2014/chart" uri="{C3380CC4-5D6E-409C-BE32-E72D297353CC}">
                <c16:uniqueId val="{00000001-FA36-468E-A35F-7123A69A5B97}"/>
              </c:ext>
            </c:extLst>
          </c:dPt>
          <c:dPt>
            <c:idx val="1"/>
            <c:bubble3D val="0"/>
            <c:extLst>
              <c:ext xmlns:c16="http://schemas.microsoft.com/office/drawing/2014/chart" uri="{C3380CC4-5D6E-409C-BE32-E72D297353CC}">
                <c16:uniqueId val="{00000002-FA36-468E-A35F-7123A69A5B97}"/>
              </c:ext>
            </c:extLst>
          </c:dPt>
          <c:dPt>
            <c:idx val="2"/>
            <c:bubble3D val="0"/>
            <c:extLst>
              <c:ext xmlns:c16="http://schemas.microsoft.com/office/drawing/2014/chart" uri="{C3380CC4-5D6E-409C-BE32-E72D297353CC}">
                <c16:uniqueId val="{00000003-FA36-468E-A35F-7123A69A5B97}"/>
              </c:ext>
            </c:extLst>
          </c:dPt>
          <c:dPt>
            <c:idx val="3"/>
            <c:bubble3D val="0"/>
            <c:extLst>
              <c:ext xmlns:c16="http://schemas.microsoft.com/office/drawing/2014/chart" uri="{C3380CC4-5D6E-409C-BE32-E72D297353CC}">
                <c16:uniqueId val="{00000004-FA36-468E-A35F-7123A69A5B97}"/>
              </c:ext>
            </c:extLst>
          </c:dPt>
          <c:dPt>
            <c:idx val="4"/>
            <c:bubble3D val="0"/>
            <c:extLst>
              <c:ext xmlns:c16="http://schemas.microsoft.com/office/drawing/2014/chart" uri="{C3380CC4-5D6E-409C-BE32-E72D297353CC}">
                <c16:uniqueId val="{00000005-FA36-468E-A35F-7123A69A5B97}"/>
              </c:ext>
            </c:extLst>
          </c:dPt>
          <c:dPt>
            <c:idx val="5"/>
            <c:bubble3D val="0"/>
            <c:extLst>
              <c:ext xmlns:c16="http://schemas.microsoft.com/office/drawing/2014/chart" uri="{C3380CC4-5D6E-409C-BE32-E72D297353CC}">
                <c16:uniqueId val="{00000006-FA36-468E-A35F-7123A69A5B97}"/>
              </c:ext>
            </c:extLst>
          </c:dPt>
          <c:dPt>
            <c:idx val="6"/>
            <c:bubble3D val="0"/>
            <c:extLst>
              <c:ext xmlns:c16="http://schemas.microsoft.com/office/drawing/2014/chart" uri="{C3380CC4-5D6E-409C-BE32-E72D297353CC}">
                <c16:uniqueId val="{00000007-FA36-468E-A35F-7123A69A5B97}"/>
              </c:ext>
            </c:extLst>
          </c:dPt>
          <c:dPt>
            <c:idx val="7"/>
            <c:bubble3D val="0"/>
            <c:extLst>
              <c:ext xmlns:c16="http://schemas.microsoft.com/office/drawing/2014/chart" uri="{C3380CC4-5D6E-409C-BE32-E72D297353CC}">
                <c16:uniqueId val="{00000008-FA36-468E-A35F-7123A69A5B97}"/>
              </c:ext>
            </c:extLst>
          </c:dPt>
          <c:dPt>
            <c:idx val="8"/>
            <c:bubble3D val="0"/>
            <c:extLst>
              <c:ext xmlns:c16="http://schemas.microsoft.com/office/drawing/2014/chart" uri="{C3380CC4-5D6E-409C-BE32-E72D297353CC}">
                <c16:uniqueId val="{00000009-FA36-468E-A35F-7123A69A5B97}"/>
              </c:ext>
            </c:extLst>
          </c:dPt>
          <c:dLbls>
            <c:dLbl>
              <c:idx val="0"/>
              <c:layout>
                <c:manualLayout>
                  <c:x val="1.3563553064813123E-2"/>
                  <c:y val="2.4919412149293614E-2"/>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A36-468E-A35F-7123A69A5B97}"/>
                </c:ext>
              </c:extLst>
            </c:dLbl>
            <c:dLbl>
              <c:idx val="1"/>
              <c:layout>
                <c:manualLayout>
                  <c:x val="1.8997406636297506E-2"/>
                  <c:y val="1.9560912286686184E-3"/>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A36-468E-A35F-7123A69A5B97}"/>
                </c:ext>
              </c:extLst>
            </c:dLbl>
            <c:dLbl>
              <c:idx val="2"/>
              <c:layout>
                <c:manualLayout>
                  <c:x val="5.5872421892246525E-3"/>
                  <c:y val="3.245141402542058E-2"/>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A36-468E-A35F-7123A69A5B97}"/>
                </c:ext>
              </c:extLst>
            </c:dLbl>
            <c:dLbl>
              <c:idx val="3"/>
              <c:layout>
                <c:manualLayout>
                  <c:x val="-3.862646887451731E-2"/>
                  <c:y val="3.4451178245359718E-2"/>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A36-468E-A35F-7123A69A5B97}"/>
                </c:ext>
              </c:extLst>
            </c:dLbl>
            <c:dLbl>
              <c:idx val="4"/>
              <c:layout>
                <c:manualLayout>
                  <c:x val="-3.8023357231006416E-2"/>
                  <c:y val="3.2639164814628925E-2"/>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A36-468E-A35F-7123A69A5B97}"/>
                </c:ext>
              </c:extLst>
            </c:dLbl>
            <c:dLbl>
              <c:idx val="5"/>
              <c:layout>
                <c:manualLayout>
                  <c:x val="-4.3670313444341101E-2"/>
                  <c:y val="0.11829209365416887"/>
                </c:manualLayout>
              </c:layout>
              <c:numFmt formatCode="0.0%" sourceLinked="0"/>
              <c:spPr>
                <a:noFill/>
                <a:ln w="25400">
                  <a:noFill/>
                </a:ln>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FA36-468E-A35F-7123A69A5B97}"/>
                </c:ext>
              </c:extLst>
            </c:dLbl>
            <c:dLbl>
              <c:idx val="6"/>
              <c:layout>
                <c:manualLayout>
                  <c:x val="-3.0284226400129434E-2"/>
                  <c:y val="4.7316107147256412E-2"/>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A36-468E-A35F-7123A69A5B97}"/>
                </c:ext>
              </c:extLst>
            </c:dLbl>
            <c:dLbl>
              <c:idx val="7"/>
              <c:layout>
                <c:manualLayout>
                  <c:x val="-1.9046769253246922E-2"/>
                  <c:y val="3.3349441428124735E-3"/>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FA36-468E-A35F-7123A69A5B97}"/>
                </c:ext>
              </c:extLst>
            </c:dLbl>
            <c:dLbl>
              <c:idx val="8"/>
              <c:layout>
                <c:manualLayout>
                  <c:x val="5.7910628818456468E-2"/>
                  <c:y val="4.5278906923638153E-2"/>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A36-468E-A35F-7123A69A5B97}"/>
                </c:ext>
              </c:extLst>
            </c:dLbl>
            <c:dLbl>
              <c:idx val="9"/>
              <c:layout>
                <c:manualLayout>
                  <c:x val="-1.1275274413083545E-2"/>
                  <c:y val="-3.3939229872460452E-2"/>
                </c:manualLayout>
              </c:layout>
              <c:numFmt formatCode="0.0%" sourceLinked="0"/>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FA36-468E-A35F-7123A69A5B97}"/>
                </c:ext>
              </c:extLst>
            </c:dLbl>
            <c:dLbl>
              <c:idx val="10"/>
              <c:layout>
                <c:manualLayout>
                  <c:x val="-5.3209176416941409E-2"/>
                  <c:y val="-1.9171320412003826E-2"/>
                </c:manualLayout>
              </c:layout>
              <c:numFmt formatCode="0.0%" sourceLinked="0"/>
              <c:spPr>
                <a:noFill/>
                <a:ln w="25400">
                  <a:noFill/>
                </a:ln>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A36-468E-A35F-7123A69A5B97}"/>
                </c:ext>
              </c:extLst>
            </c:dLbl>
            <c:dLbl>
              <c:idx val="11"/>
              <c:layout>
                <c:manualLayout>
                  <c:x val="3.1334662724334647E-2"/>
                  <c:y val="5.1759545090025776E-2"/>
                </c:manualLayout>
              </c:layout>
              <c:numFmt formatCode="0.0%" sourceLinked="0"/>
              <c:spPr>
                <a:noFill/>
                <a:ln w="25400">
                  <a:noFill/>
                </a:ln>
              </c:spPr>
              <c:txPr>
                <a:bodyPr/>
                <a:lstStyle/>
                <a:p>
                  <a:pPr>
                    <a:defRPr sz="9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FA36-468E-A35F-7123A69A5B97}"/>
                </c:ext>
              </c:extLst>
            </c:dLbl>
            <c:numFmt formatCode="0.0%" sourceLinked="0"/>
            <c:spPr>
              <a:noFill/>
              <a:ln w="25400">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'Disbursement for Budget'!$I$130:$I$138</c:f>
              <c:strCache>
                <c:ptCount val="9"/>
                <c:pt idx="0">
                  <c:v>Ենթակա է հստակեցման</c:v>
                </c:pt>
                <c:pt idx="1">
                  <c:v>ՎԶՄԲ</c:v>
                </c:pt>
                <c:pt idx="2">
                  <c:v>ԶՄԸ</c:v>
                </c:pt>
                <c:pt idx="3">
                  <c:v>ՎԶԵԲ</c:v>
                </c:pt>
                <c:pt idx="4">
                  <c:v>ԵՆԲ</c:v>
                </c:pt>
                <c:pt idx="5">
                  <c:v>ԱԶԲ</c:v>
                </c:pt>
                <c:pt idx="6">
                  <c:v>ԵԶԲ (ԿԶԵՀ)</c:v>
                </c:pt>
                <c:pt idx="7">
                  <c:v>Ֆրանսիա</c:v>
                </c:pt>
                <c:pt idx="8">
                  <c:v>Գերմանիա (ՎՎԲ)</c:v>
                </c:pt>
              </c:strCache>
            </c:strRef>
          </c:cat>
          <c:val>
            <c:numRef>
              <c:f>'Disbursement for Budget'!$J$130:$J$138</c:f>
              <c:numCache>
                <c:formatCode>_(* #,##0.0_);_(* \(#,##0.0\);_(* "-"??_);_(@_)</c:formatCode>
                <c:ptCount val="9"/>
                <c:pt idx="0">
                  <c:v>150</c:v>
                </c:pt>
                <c:pt idx="1">
                  <c:v>163.04757697755909</c:v>
                </c:pt>
                <c:pt idx="2">
                  <c:v>1.7685976291657348</c:v>
                </c:pt>
                <c:pt idx="3">
                  <c:v>62.138451750789038</c:v>
                </c:pt>
                <c:pt idx="4">
                  <c:v>19.432471482889738</c:v>
                </c:pt>
                <c:pt idx="5">
                  <c:v>114.99868908273069</c:v>
                </c:pt>
                <c:pt idx="6">
                  <c:v>131.45200154079376</c:v>
                </c:pt>
                <c:pt idx="7">
                  <c:v>58.168609309376471</c:v>
                </c:pt>
                <c:pt idx="8">
                  <c:v>81.855525236710648</c:v>
                </c:pt>
              </c:numCache>
            </c:numRef>
          </c:val>
          <c:extLst>
            <c:ext xmlns:c16="http://schemas.microsoft.com/office/drawing/2014/chart" uri="{C3380CC4-5D6E-409C-BE32-E72D297353CC}">
              <c16:uniqueId val="{0000000D-FA36-468E-A35F-7123A69A5B97}"/>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effectLst>
      <a:outerShdw blurRad="63500" sx="102000" sy="102000" algn="ctr" rotWithShape="0">
        <a:prstClr val="black">
          <a:alpha val="40000"/>
        </a:prstClr>
      </a:outerShdw>
    </a:effectLst>
  </c:spPr>
  <c:txPr>
    <a:bodyPr/>
    <a:lstStyle/>
    <a:p>
      <a:pPr>
        <a:defRPr sz="9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80" b="1" i="0" u="none" strike="noStrike" baseline="0">
                <a:solidFill>
                  <a:srgbClr val="000000"/>
                </a:solidFill>
                <a:latin typeface="Calibri"/>
                <a:ea typeface="Calibri"/>
                <a:cs typeface="Calibri"/>
              </a:defRPr>
            </a:pPr>
            <a:r>
              <a:rPr lang="hy-AM"/>
              <a:t>Մասհանումների կառուցվածքն ըստ ոլորտների (մլն ԱՄՆ դոլար)</a:t>
            </a:r>
          </a:p>
        </c:rich>
      </c:tx>
      <c:overlay val="0"/>
    </c:title>
    <c:autoTitleDeleted val="0"/>
    <c:plotArea>
      <c:layout/>
      <c:barChart>
        <c:barDir val="bar"/>
        <c:grouping val="clustered"/>
        <c:varyColors val="0"/>
        <c:ser>
          <c:idx val="0"/>
          <c:order val="0"/>
          <c:spPr>
            <a:scene3d>
              <a:camera prst="orthographicFront"/>
              <a:lightRig rig="threePt" dir="t"/>
            </a:scene3d>
            <a:sp3d>
              <a:bevelT w="101600" prst="riblet"/>
              <a:bevelB/>
            </a:sp3d>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'Disbursement for Budget'!$B$102:$B$110</c:f>
              <c:strCache>
                <c:ptCount val="9"/>
                <c:pt idx="0">
                  <c:v>Առողջապահություն</c:v>
                </c:pt>
                <c:pt idx="1">
                  <c:v>Կոշտ թափոնների կառավարում</c:v>
                </c:pt>
                <c:pt idx="2">
                  <c:v>Ջրամատակարարում և ջրահեռացում</c:v>
                </c:pt>
                <c:pt idx="3">
                  <c:v>Պետական հատվածի բարեփոխումներ և այլն</c:v>
                </c:pt>
                <c:pt idx="4">
                  <c:v>Գյուղատնտեսություն և ոռոգում</c:v>
                </c:pt>
                <c:pt idx="5">
                  <c:v>Կրթություն և սոց. ոլորտ</c:v>
                </c:pt>
                <c:pt idx="6">
                  <c:v>Ճանապարհաշինություն և տրանսպորտ</c:v>
                </c:pt>
                <c:pt idx="7">
                  <c:v>Էներգետիկա</c:v>
                </c:pt>
                <c:pt idx="8">
                  <c:v>Բյուջետային աջակցություն</c:v>
                </c:pt>
              </c:strCache>
            </c:strRef>
          </c:cat>
          <c:val>
            <c:numRef>
              <c:f>'Disbursement for Budget'!$J$102:$J$110</c:f>
              <c:numCache>
                <c:formatCode>_(* #,##0.0_);_(* \(#,##0.0\);_(* "-"??_);_(@_)</c:formatCode>
                <c:ptCount val="9"/>
                <c:pt idx="0">
                  <c:v>0.11346032456074953</c:v>
                </c:pt>
                <c:pt idx="1">
                  <c:v>2.7660918511891452</c:v>
                </c:pt>
                <c:pt idx="2">
                  <c:v>13.601678222619846</c:v>
                </c:pt>
                <c:pt idx="3">
                  <c:v>28.946953950147865</c:v>
                </c:pt>
                <c:pt idx="4">
                  <c:v>30.27793856706181</c:v>
                </c:pt>
                <c:pt idx="5">
                  <c:v>47.210918263376328</c:v>
                </c:pt>
                <c:pt idx="6">
                  <c:v>88.53932950620046</c:v>
                </c:pt>
                <c:pt idx="7">
                  <c:v>118.66070280076542</c:v>
                </c:pt>
                <c:pt idx="8">
                  <c:v>452.74484952409352</c:v>
                </c:pt>
              </c:numCache>
            </c:numRef>
          </c:val>
          <c:extLst>
            <c:ext xmlns:c16="http://schemas.microsoft.com/office/drawing/2014/chart" uri="{C3380CC4-5D6E-409C-BE32-E72D297353CC}">
              <c16:uniqueId val="{00000000-D632-4C4B-B4FE-E220EB3ADCAB}"/>
            </c:ext>
          </c:extLst>
        </c:ser>
        <c:dLbls>
          <c:showLegendKey val="0"/>
          <c:showVal val="0"/>
          <c:showCatName val="0"/>
          <c:showSerName val="0"/>
          <c:showPercent val="0"/>
          <c:showBubbleSize val="0"/>
        </c:dLbls>
        <c:gapWidth val="29"/>
        <c:overlap val="-25"/>
        <c:axId val="483412552"/>
        <c:axId val="1"/>
      </c:barChart>
      <c:catAx>
        <c:axId val="483412552"/>
        <c:scaling>
          <c:orientation val="minMax"/>
        </c:scaling>
        <c:delete val="0"/>
        <c:axPos val="l"/>
        <c:numFmt formatCode="General" sourceLinked="1"/>
        <c:majorTickMark val="none"/>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1"/>
        <c:axPos val="b"/>
        <c:numFmt formatCode="_(* #,##0.0_);_(* \(#,##0.0\);_(* &quot;-&quot;??_);_(@_)" sourceLinked="1"/>
        <c:majorTickMark val="out"/>
        <c:minorTickMark val="none"/>
        <c:tickLblPos val="nextTo"/>
        <c:crossAx val="483412552"/>
        <c:crosses val="autoZero"/>
        <c:crossBetween val="between"/>
      </c:valAx>
    </c:plotArea>
    <c:plotVisOnly val="1"/>
    <c:dispBlanksAs val="gap"/>
    <c:showDLblsOverMax val="0"/>
  </c:chart>
  <c:spPr>
    <a:effectLst>
      <a:outerShdw blurRad="63500" sx="102000" sy="102000" algn="ctr" rotWithShape="0">
        <a:prstClr val="black">
          <a:alpha val="40000"/>
        </a:prstClr>
      </a:outerShdw>
    </a:effectLst>
  </c:spPr>
  <c:txPr>
    <a:bodyPr/>
    <a:lstStyle/>
    <a:p>
      <a:pPr>
        <a:defRPr sz="9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i="0" u="none" strike="noStrike" baseline="0">
                <a:solidFill>
                  <a:srgbClr val="000000"/>
                </a:solidFill>
                <a:latin typeface="Calibri"/>
                <a:ea typeface="Calibri"/>
                <a:cs typeface="Calibri"/>
              </a:defRPr>
            </a:pPr>
            <a:r>
              <a:rPr lang="hy-AM"/>
              <a:t>Մասհանումների կառուցվածքն ըստ վարկի արժույթի (%)</a:t>
            </a:r>
          </a:p>
        </c:rich>
      </c:tx>
      <c:layout>
        <c:manualLayout>
          <c:xMode val="edge"/>
          <c:yMode val="edge"/>
          <c:x val="0.13704305578823925"/>
          <c:y val="6.7142484382434649E-3"/>
        </c:manualLayout>
      </c:layout>
      <c:overlay val="0"/>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5.0317337567295714E-2"/>
          <c:y val="0.18770159313725493"/>
          <c:w val="0.88453756269741102"/>
          <c:h val="0.75297997215127566"/>
        </c:manualLayout>
      </c:layout>
      <c:pie3DChart>
        <c:varyColors val="1"/>
        <c:ser>
          <c:idx val="0"/>
          <c:order val="0"/>
          <c:dPt>
            <c:idx val="0"/>
            <c:bubble3D val="0"/>
            <c:spPr>
              <a:solidFill>
                <a:schemeClr val="tx2">
                  <a:lumMod val="60000"/>
                  <a:lumOff val="40000"/>
                </a:schemeClr>
              </a:solidFill>
            </c:spPr>
            <c:extLst>
              <c:ext xmlns:c16="http://schemas.microsoft.com/office/drawing/2014/chart" uri="{C3380CC4-5D6E-409C-BE32-E72D297353CC}">
                <c16:uniqueId val="{00000001-180E-449A-A093-F46338831DE1}"/>
              </c:ext>
            </c:extLst>
          </c:dPt>
          <c:dPt>
            <c:idx val="1"/>
            <c:bubble3D val="0"/>
            <c:spPr>
              <a:solidFill>
                <a:schemeClr val="accent4">
                  <a:lumMod val="60000"/>
                  <a:lumOff val="40000"/>
                </a:schemeClr>
              </a:solidFill>
            </c:spPr>
            <c:extLst>
              <c:ext xmlns:c16="http://schemas.microsoft.com/office/drawing/2014/chart" uri="{C3380CC4-5D6E-409C-BE32-E72D297353CC}">
                <c16:uniqueId val="{00000003-180E-449A-A093-F46338831DE1}"/>
              </c:ext>
            </c:extLst>
          </c:dPt>
          <c:dPt>
            <c:idx val="2"/>
            <c:bubble3D val="0"/>
            <c:spPr>
              <a:solidFill>
                <a:schemeClr val="accent6">
                  <a:lumMod val="75000"/>
                </a:schemeClr>
              </a:solidFill>
            </c:spPr>
            <c:extLst>
              <c:ext xmlns:c16="http://schemas.microsoft.com/office/drawing/2014/chart" uri="{C3380CC4-5D6E-409C-BE32-E72D297353CC}">
                <c16:uniqueId val="{00000005-180E-449A-A093-F46338831DE1}"/>
              </c:ext>
            </c:extLst>
          </c:dPt>
          <c:dLbls>
            <c:dLbl>
              <c:idx val="0"/>
              <c:layout>
                <c:manualLayout>
                  <c:x val="6.6798377105301177E-2"/>
                  <c:y val="-0.16710845588235293"/>
                </c:manualLayout>
              </c:layout>
              <c:numFmt formatCode="0.0%" sourceLinked="0"/>
              <c:spPr/>
              <c:txPr>
                <a:bodyPr/>
                <a:lstStyle/>
                <a:p>
                  <a:pPr>
                    <a:defRPr sz="8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80E-449A-A093-F46338831DE1}"/>
                </c:ext>
              </c:extLst>
            </c:dLbl>
            <c:dLbl>
              <c:idx val="1"/>
              <c:layout>
                <c:manualLayout>
                  <c:x val="-9.527676973536521E-2"/>
                  <c:y val="-8.9111710395003332E-2"/>
                </c:manualLayout>
              </c:layout>
              <c:numFmt formatCode="0.0%" sourceLinked="0"/>
              <c:spPr/>
              <c:txPr>
                <a:bodyPr/>
                <a:lstStyle/>
                <a:p>
                  <a:pPr>
                    <a:defRPr sz="8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80E-449A-A093-F46338831DE1}"/>
                </c:ext>
              </c:extLst>
            </c:dLbl>
            <c:dLbl>
              <c:idx val="2"/>
              <c:layout>
                <c:manualLayout>
                  <c:x val="-5.4022986257043291E-2"/>
                  <c:y val="2.7917279411764705E-2"/>
                </c:manualLayout>
              </c:layout>
              <c:numFmt formatCode="0.0%" sourceLinked="0"/>
              <c:spPr/>
              <c:txPr>
                <a:bodyPr/>
                <a:lstStyle/>
                <a:p>
                  <a:pPr>
                    <a:defRPr sz="8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80E-449A-A093-F46338831DE1}"/>
                </c:ext>
              </c:extLst>
            </c:dLbl>
            <c:numFmt formatCode="0.0%" sourceLinked="0"/>
            <c:spPr>
              <a:noFill/>
              <a:ln w="25400">
                <a:noFill/>
              </a:ln>
            </c:spPr>
            <c:txPr>
              <a:bodyPr wrap="square" lIns="38100" tIns="19050" rIns="38100" bIns="19050" anchor="ctr">
                <a:spAutoFit/>
              </a:bodyPr>
              <a:lstStyle/>
              <a:p>
                <a:pPr>
                  <a:defRPr sz="8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'Disbursement for Budget'!$I$151:$I$153</c:f>
              <c:strCache>
                <c:ptCount val="3"/>
                <c:pt idx="0">
                  <c:v>USD</c:v>
                </c:pt>
                <c:pt idx="1">
                  <c:v>SDR</c:v>
                </c:pt>
                <c:pt idx="2">
                  <c:v>EUR</c:v>
                </c:pt>
              </c:strCache>
            </c:strRef>
          </c:cat>
          <c:val>
            <c:numRef>
              <c:f>'Disbursement for Budget'!$J$151:$J$153</c:f>
              <c:numCache>
                <c:formatCode>_(* #,##0.0_);_(* \(#,##0.0\);_(* "-"??_);_(@_)</c:formatCode>
                <c:ptCount val="3"/>
                <c:pt idx="0">
                  <c:v>499.07042148164714</c:v>
                </c:pt>
                <c:pt idx="1">
                  <c:v>23.024482715773264</c:v>
                </c:pt>
                <c:pt idx="2">
                  <c:v>260.76701881259476</c:v>
                </c:pt>
              </c:numCache>
            </c:numRef>
          </c:val>
          <c:extLst>
            <c:ext xmlns:c16="http://schemas.microsoft.com/office/drawing/2014/chart" uri="{C3380CC4-5D6E-409C-BE32-E72D297353CC}">
              <c16:uniqueId val="{00000006-180E-449A-A093-F46338831DE1}"/>
            </c:ext>
          </c:extLst>
        </c:ser>
        <c:dLbls>
          <c:showLegendKey val="0"/>
          <c:showVal val="0"/>
          <c:showCatName val="0"/>
          <c:showSerName val="0"/>
          <c:showPercent val="0"/>
          <c:showBubbleSize val="0"/>
          <c:showLeaderLines val="1"/>
        </c:dLbls>
      </c:pie3DChart>
      <c:spPr>
        <a:noFill/>
        <a:ln>
          <a:solidFill>
            <a:schemeClr val="tx1"/>
          </a:solidFill>
        </a:ln>
      </c:spPr>
    </c:plotArea>
    <c:plotVisOnly val="1"/>
    <c:dispBlanksAs val="gap"/>
    <c:showDLblsOverMax val="0"/>
  </c:chart>
  <c:spPr>
    <a:effectLst>
      <a:outerShdw blurRad="63500" sx="102000" sy="102000" algn="ctr" rotWithShape="0">
        <a:prstClr val="black">
          <a:alpha val="40000"/>
        </a:prstClr>
      </a:outerShdw>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Calibri"/>
                <a:ea typeface="Calibri"/>
                <a:cs typeface="Calibri"/>
              </a:defRPr>
            </a:pPr>
            <a:r>
              <a:rPr lang="hy-AM"/>
              <a:t>Սպասարկման ծախսերի կառուցվածքը (%)</a:t>
            </a:r>
          </a:p>
        </c:rich>
      </c:tx>
      <c:overlay val="0"/>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8.6105170982270385E-2"/>
          <c:y val="0.20961392743416313"/>
          <c:w val="0.85489933817620689"/>
          <c:h val="0.68211979638797848"/>
        </c:manualLayout>
      </c:layout>
      <c:pie3DChart>
        <c:varyColors val="1"/>
        <c:ser>
          <c:idx val="0"/>
          <c:order val="0"/>
          <c:spPr>
            <a:scene3d>
              <a:camera prst="orthographicFront"/>
              <a:lightRig rig="threePt" dir="t"/>
            </a:scene3d>
            <a:sp3d>
              <a:bevelT/>
              <a:bevelB/>
            </a:sp3d>
          </c:spPr>
          <c:explosion val="19"/>
          <c:dPt>
            <c:idx val="0"/>
            <c:bubble3D val="0"/>
            <c:explosion val="0"/>
            <c:spPr>
              <a:solidFill>
                <a:srgbClr val="D92529"/>
              </a:solidFill>
              <a:scene3d>
                <a:camera prst="orthographicFront"/>
                <a:lightRig rig="threePt" dir="t"/>
              </a:scene3d>
              <a:sp3d>
                <a:bevelT/>
                <a:bevelB/>
              </a:sp3d>
            </c:spPr>
            <c:extLst>
              <c:ext xmlns:c16="http://schemas.microsoft.com/office/drawing/2014/chart" uri="{C3380CC4-5D6E-409C-BE32-E72D297353CC}">
                <c16:uniqueId val="{00000001-B8B5-4F33-A5E4-8D7B9E9067C7}"/>
              </c:ext>
            </c:extLst>
          </c:dPt>
          <c:dPt>
            <c:idx val="1"/>
            <c:bubble3D val="0"/>
            <c:spPr>
              <a:solidFill>
                <a:srgbClr val="FFC000"/>
              </a:solidFill>
              <a:scene3d>
                <a:camera prst="orthographicFront"/>
                <a:lightRig rig="threePt" dir="t"/>
              </a:scene3d>
              <a:sp3d>
                <a:bevelT/>
                <a:bevelB/>
              </a:sp3d>
            </c:spPr>
            <c:extLst>
              <c:ext xmlns:c16="http://schemas.microsoft.com/office/drawing/2014/chart" uri="{C3380CC4-5D6E-409C-BE32-E72D297353CC}">
                <c16:uniqueId val="{00000003-B8B5-4F33-A5E4-8D7B9E9067C7}"/>
              </c:ext>
            </c:extLst>
          </c:dPt>
          <c:dPt>
            <c:idx val="2"/>
            <c:bubble3D val="0"/>
            <c:spPr>
              <a:solidFill>
                <a:srgbClr val="00B0F0"/>
              </a:solidFill>
              <a:scene3d>
                <a:camera prst="orthographicFront"/>
                <a:lightRig rig="threePt" dir="t"/>
              </a:scene3d>
              <a:sp3d>
                <a:bevelT/>
                <a:bevelB/>
              </a:sp3d>
            </c:spPr>
            <c:extLst>
              <c:ext xmlns:c16="http://schemas.microsoft.com/office/drawing/2014/chart" uri="{C3380CC4-5D6E-409C-BE32-E72D297353CC}">
                <c16:uniqueId val="{00000005-B8B5-4F33-A5E4-8D7B9E9067C7}"/>
              </c:ext>
            </c:extLst>
          </c:dPt>
          <c:dLbls>
            <c:dLbl>
              <c:idx val="0"/>
              <c:layout>
                <c:manualLayout>
                  <c:x val="-1.969891821941535E-2"/>
                  <c:y val="-0.44175182096505228"/>
                </c:manualLayout>
              </c:layout>
              <c:numFmt formatCode="0.0%" sourceLinked="0"/>
              <c:spPr/>
              <c:txPr>
                <a:bodyPr/>
                <a:lstStyle/>
                <a:p>
                  <a:pPr>
                    <a:defRPr sz="8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30678696412948381"/>
                      <c:h val="0.19628235562577204"/>
                    </c:manualLayout>
                  </c15:layout>
                </c:ext>
                <c:ext xmlns:c16="http://schemas.microsoft.com/office/drawing/2014/chart" uri="{C3380CC4-5D6E-409C-BE32-E72D297353CC}">
                  <c16:uniqueId val="{00000001-B8B5-4F33-A5E4-8D7B9E9067C7}"/>
                </c:ext>
              </c:extLst>
            </c:dLbl>
            <c:dLbl>
              <c:idx val="1"/>
              <c:layout>
                <c:manualLayout>
                  <c:x val="1.3430297593780611E-2"/>
                  <c:y val="0.10833740092508658"/>
                </c:manualLayout>
              </c:layout>
              <c:numFmt formatCode="0.0%" sourceLinked="0"/>
              <c:spPr/>
              <c:txPr>
                <a:bodyPr/>
                <a:lstStyle/>
                <a:p>
                  <a:pPr>
                    <a:defRPr sz="8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8B5-4F33-A5E4-8D7B9E9067C7}"/>
                </c:ext>
              </c:extLst>
            </c:dLbl>
            <c:dLbl>
              <c:idx val="2"/>
              <c:layout>
                <c:manualLayout>
                  <c:x val="-5.3039877619997275E-2"/>
                  <c:y val="3.4079910745415241E-2"/>
                </c:manualLayout>
              </c:layout>
              <c:numFmt formatCode="0.0%" sourceLinked="0"/>
              <c:spPr/>
              <c:txPr>
                <a:bodyPr/>
                <a:lstStyle/>
                <a:p>
                  <a:pPr>
                    <a:defRPr sz="800" b="0" i="0" u="none" strike="noStrike" baseline="0">
                      <a:solidFill>
                        <a:srgbClr val="000000"/>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8B5-4F33-A5E4-8D7B9E9067C7}"/>
                </c:ext>
              </c:extLst>
            </c:dLbl>
            <c:numFmt formatCode="0.0%" sourceLinked="0"/>
            <c:spPr>
              <a:noFill/>
              <a:ln w="25400">
                <a:noFill/>
              </a:ln>
            </c:spPr>
            <c:txPr>
              <a:bodyPr wrap="square" lIns="38100" tIns="19050" rIns="38100" bIns="19050" anchor="ctr">
                <a:spAutoFit/>
              </a:bodyPr>
              <a:lstStyle/>
              <a:p>
                <a:pPr>
                  <a:defRPr sz="800" b="0" i="0" u="none" strike="noStrike" baseline="0">
                    <a:solidFill>
                      <a:srgbClr val="000000"/>
                    </a:solidFill>
                    <a:latin typeface="Calibri"/>
                    <a:ea typeface="Calibri"/>
                    <a:cs typeface="Calibri"/>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UXERZ!$A$127:$A$129</c:f>
              <c:strCache>
                <c:ptCount val="3"/>
                <c:pt idx="0">
                  <c:v>Պետական գանձապետական պարտատոմսեր</c:v>
                </c:pt>
                <c:pt idx="1">
                  <c:v>Արտարժութային պետական պարտատոմսեր</c:v>
                </c:pt>
                <c:pt idx="2">
                  <c:v>Արտաքին վարկեր</c:v>
                </c:pt>
              </c:strCache>
            </c:strRef>
          </c:cat>
          <c:val>
            <c:numRef>
              <c:f>UXERZ!$C$127:$C$129</c:f>
              <c:numCache>
                <c:formatCode>_(* #,##0.0_);_(* \(#,##0.0\);_(* "-"??_);_(@_)</c:formatCode>
                <c:ptCount val="3"/>
                <c:pt idx="0">
                  <c:v>209.87414999999999</c:v>
                </c:pt>
                <c:pt idx="1">
                  <c:v>29.212885245505493</c:v>
                </c:pt>
                <c:pt idx="2">
                  <c:v>84.091571901219396</c:v>
                </c:pt>
              </c:numCache>
            </c:numRef>
          </c:val>
          <c:extLst>
            <c:ext xmlns:c16="http://schemas.microsoft.com/office/drawing/2014/chart" uri="{C3380CC4-5D6E-409C-BE32-E72D297353CC}">
              <c16:uniqueId val="{00000006-B8B5-4F33-A5E4-8D7B9E9067C7}"/>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effectLst>
      <a:outerShdw blurRad="63500" sx="102000" sy="102000" algn="ctr" rotWithShape="0">
        <a:prstClr val="black">
          <a:alpha val="40000"/>
        </a:prstClr>
      </a:outerShdw>
    </a:effectLst>
  </c:spPr>
  <c:txPr>
    <a:bodyPr/>
    <a:lstStyle/>
    <a:p>
      <a:pPr>
        <a:defRPr sz="9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92771830487487E-2"/>
          <c:y val="6.5289442986293383E-2"/>
          <c:w val="0.78658475625940016"/>
          <c:h val="0.89719889180519097"/>
        </c:manualLayout>
      </c:layout>
      <c:areaChart>
        <c:grouping val="stacked"/>
        <c:varyColors val="0"/>
        <c:ser>
          <c:idx val="0"/>
          <c:order val="0"/>
          <c:tx>
            <c:strRef>
              <c:f>Fanchart!$B$3</c:f>
              <c:strCache>
                <c:ptCount val="1"/>
              </c:strCache>
            </c:strRef>
          </c:tx>
          <c:spPr>
            <a:no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Fanchart!$B$4:$B$99</c:f>
              <c:numCache>
                <c:formatCode>General</c:formatCode>
                <c:ptCount val="9"/>
                <c:pt idx="0">
                  <c:v>16.389092714898766</c:v>
                </c:pt>
                <c:pt idx="1">
                  <c:v>-5.402548022928471</c:v>
                </c:pt>
                <c:pt idx="2">
                  <c:v>14.560636925162981</c:v>
                </c:pt>
                <c:pt idx="3">
                  <c:v>21.366717393270122</c:v>
                </c:pt>
                <c:pt idx="4">
                  <c:v>6.9295155183169204</c:v>
                </c:pt>
                <c:pt idx="5">
                  <c:v>1.163572017331111</c:v>
                </c:pt>
                <c:pt idx="6">
                  <c:v>4.0174501434125585</c:v>
                </c:pt>
                <c:pt idx="7">
                  <c:v>3.8487541479062575</c:v>
                </c:pt>
                <c:pt idx="8">
                  <c:v>4.4355571514164183</c:v>
                </c:pt>
              </c:numCache>
            </c:numRef>
          </c:val>
          <c:extLst>
            <c:ext xmlns:c16="http://schemas.microsoft.com/office/drawing/2014/chart" uri="{C3380CC4-5D6E-409C-BE32-E72D297353CC}">
              <c16:uniqueId val="{00000000-FEF5-41D8-9C11-2BFC5A158EE3}"/>
            </c:ext>
          </c:extLst>
        </c:ser>
        <c:ser>
          <c:idx val="1"/>
          <c:order val="1"/>
          <c:tx>
            <c:strRef>
              <c:f>Fanchart!$C$3</c:f>
              <c:strCache>
                <c:ptCount val="1"/>
              </c:strCache>
            </c:strRef>
          </c:tx>
          <c:spPr>
            <a:solidFill>
              <a:srgbClr val="FF0000">
                <a:alpha val="2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Fanchart!$C$4:$C$99</c:f>
              <c:numCache>
                <c:formatCode>General</c:formatCode>
                <c:ptCount val="9"/>
                <c:pt idx="4">
                  <c:v>2.0180476920325301</c:v>
                </c:pt>
                <c:pt idx="5">
                  <c:v>2.251085213527606</c:v>
                </c:pt>
                <c:pt idx="6">
                  <c:v>2.2734025880714679</c:v>
                </c:pt>
                <c:pt idx="7">
                  <c:v>2.2846690845007913</c:v>
                </c:pt>
                <c:pt idx="8">
                  <c:v>2.2904285721732602</c:v>
                </c:pt>
              </c:numCache>
            </c:numRef>
          </c:val>
          <c:extLst>
            <c:ext xmlns:c16="http://schemas.microsoft.com/office/drawing/2014/chart" uri="{C3380CC4-5D6E-409C-BE32-E72D297353CC}">
              <c16:uniqueId val="{00000001-FEF5-41D8-9C11-2BFC5A158EE3}"/>
            </c:ext>
          </c:extLst>
        </c:ser>
        <c:ser>
          <c:idx val="2"/>
          <c:order val="2"/>
          <c:tx>
            <c:strRef>
              <c:f>Fanchart!$D$3</c:f>
              <c:strCache>
                <c:ptCount val="1"/>
              </c:strCache>
            </c:strRef>
          </c:tx>
          <c:spPr>
            <a:solidFill>
              <a:srgbClr val="FF0000">
                <a:alpha val="3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Fanchart!$D$4:$D$99</c:f>
              <c:numCache>
                <c:formatCode>General</c:formatCode>
                <c:ptCount val="9"/>
                <c:pt idx="4">
                  <c:v>1.3615671971114427</c:v>
                </c:pt>
                <c:pt idx="5">
                  <c:v>1.5187965065160531</c:v>
                </c:pt>
                <c:pt idx="6">
                  <c:v>1.5338539331688228</c:v>
                </c:pt>
                <c:pt idx="7">
                  <c:v>1.5414553848218775</c:v>
                </c:pt>
                <c:pt idx="8">
                  <c:v>1.545341283811263</c:v>
                </c:pt>
              </c:numCache>
            </c:numRef>
          </c:val>
          <c:extLst>
            <c:ext xmlns:c16="http://schemas.microsoft.com/office/drawing/2014/chart" uri="{C3380CC4-5D6E-409C-BE32-E72D297353CC}">
              <c16:uniqueId val="{00000002-FEF5-41D8-9C11-2BFC5A158EE3}"/>
            </c:ext>
          </c:extLst>
        </c:ser>
        <c:ser>
          <c:idx val="3"/>
          <c:order val="3"/>
          <c:tx>
            <c:strRef>
              <c:f>Fanchart!$E$3</c:f>
              <c:strCache>
                <c:ptCount val="1"/>
              </c:strCache>
            </c:strRef>
          </c:tx>
          <c:spPr>
            <a:solidFill>
              <a:srgbClr val="FF0000">
                <a:alpha val="4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Fanchart!$E$4:$E$99</c:f>
              <c:numCache>
                <c:formatCode>General</c:formatCode>
                <c:ptCount val="9"/>
                <c:pt idx="4">
                  <c:v>1.0821304457056602</c:v>
                </c:pt>
                <c:pt idx="5">
                  <c:v>1.2070913165499091</c:v>
                </c:pt>
                <c:pt idx="6">
                  <c:v>1.2190584819233923</c:v>
                </c:pt>
                <c:pt idx="7">
                  <c:v>1.2250998747263155</c:v>
                </c:pt>
                <c:pt idx="8">
                  <c:v>1.228188264057577</c:v>
                </c:pt>
              </c:numCache>
            </c:numRef>
          </c:val>
          <c:extLst>
            <c:ext xmlns:c16="http://schemas.microsoft.com/office/drawing/2014/chart" uri="{C3380CC4-5D6E-409C-BE32-E72D297353CC}">
              <c16:uniqueId val="{00000003-FEF5-41D8-9C11-2BFC5A158EE3}"/>
            </c:ext>
          </c:extLst>
        </c:ser>
        <c:ser>
          <c:idx val="4"/>
          <c:order val="4"/>
          <c:tx>
            <c:strRef>
              <c:f>Fanchart!$F$3</c:f>
              <c:strCache>
                <c:ptCount val="1"/>
              </c:strCache>
            </c:strRef>
          </c:tx>
          <c:spPr>
            <a:solidFill>
              <a:srgbClr val="FF0000">
                <a:alpha val="5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Fanchart!$F$4:$F$99</c:f>
              <c:numCache>
                <c:formatCode>General</c:formatCode>
                <c:ptCount val="9"/>
                <c:pt idx="4">
                  <c:v>0.92837156769353513</c:v>
                </c:pt>
                <c:pt idx="5">
                  <c:v>1.0355768681509767</c:v>
                </c:pt>
                <c:pt idx="6">
                  <c:v>1.0458436304648142</c:v>
                </c:pt>
                <c:pt idx="7">
                  <c:v>1.0510266075539114</c:v>
                </c:pt>
                <c:pt idx="8">
                  <c:v>1.0536761706047297</c:v>
                </c:pt>
              </c:numCache>
            </c:numRef>
          </c:val>
          <c:extLst>
            <c:ext xmlns:c16="http://schemas.microsoft.com/office/drawing/2014/chart" uri="{C3380CC4-5D6E-409C-BE32-E72D297353CC}">
              <c16:uniqueId val="{00000004-FEF5-41D8-9C11-2BFC5A158EE3}"/>
            </c:ext>
          </c:extLst>
        </c:ser>
        <c:ser>
          <c:idx val="5"/>
          <c:order val="5"/>
          <c:tx>
            <c:strRef>
              <c:f>Fanchart!$G$3</c:f>
              <c:strCache>
                <c:ptCount val="1"/>
              </c:strCache>
            </c:strRef>
          </c:tx>
          <c:spPr>
            <a:solidFill>
              <a:srgbClr val="FF0000">
                <a:alpha val="6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Fanchart!$G$4:$G$99</c:f>
              <c:numCache>
                <c:formatCode>General</c:formatCode>
                <c:ptCount val="9"/>
                <c:pt idx="4">
                  <c:v>0.83370636031831324</c:v>
                </c:pt>
                <c:pt idx="5">
                  <c:v>0.92998003344819846</c:v>
                </c:pt>
                <c:pt idx="6">
                  <c:v>0.93919990331365355</c:v>
                </c:pt>
                <c:pt idx="7">
                  <c:v>0.9438543769263017</c:v>
                </c:pt>
                <c:pt idx="8">
                  <c:v>0.94623376643412804</c:v>
                </c:pt>
              </c:numCache>
            </c:numRef>
          </c:val>
          <c:extLst>
            <c:ext xmlns:c16="http://schemas.microsoft.com/office/drawing/2014/chart" uri="{C3380CC4-5D6E-409C-BE32-E72D297353CC}">
              <c16:uniqueId val="{00000005-FEF5-41D8-9C11-2BFC5A158EE3}"/>
            </c:ext>
          </c:extLst>
        </c:ser>
        <c:ser>
          <c:idx val="6"/>
          <c:order val="6"/>
          <c:tx>
            <c:strRef>
              <c:f>Fanchart!$H$3</c:f>
              <c:strCache>
                <c:ptCount val="1"/>
              </c:strCache>
            </c:strRef>
          </c:tx>
          <c:spPr>
            <a:solidFill>
              <a:srgbClr val="FF0000">
                <a:alpha val="7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Fanchart!$H$4:$H$99</c:f>
              <c:numCache>
                <c:formatCode>General</c:formatCode>
                <c:ptCount val="9"/>
                <c:pt idx="4">
                  <c:v>0.77255318992015454</c:v>
                </c:pt>
                <c:pt idx="5">
                  <c:v>0.86176509572044857</c:v>
                </c:pt>
                <c:pt idx="6">
                  <c:v>0.87030867918607946</c:v>
                </c:pt>
                <c:pt idx="7">
                  <c:v>0.87462174264343062</c:v>
                </c:pt>
                <c:pt idx="8">
                  <c:v>0.87682660162235315</c:v>
                </c:pt>
              </c:numCache>
            </c:numRef>
          </c:val>
          <c:extLst>
            <c:ext xmlns:c16="http://schemas.microsoft.com/office/drawing/2014/chart" uri="{C3380CC4-5D6E-409C-BE32-E72D297353CC}">
              <c16:uniqueId val="{00000006-FEF5-41D8-9C11-2BFC5A158EE3}"/>
            </c:ext>
          </c:extLst>
        </c:ser>
        <c:ser>
          <c:idx val="7"/>
          <c:order val="7"/>
          <c:tx>
            <c:strRef>
              <c:f>Fanchart!$I$3</c:f>
              <c:strCache>
                <c:ptCount val="1"/>
              </c:strCache>
            </c:strRef>
          </c:tx>
          <c:spPr>
            <a:solidFill>
              <a:srgbClr val="FF0000">
                <a:alpha val="8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Fanchart!$I$4:$I$99</c:f>
              <c:numCache>
                <c:formatCode>General</c:formatCode>
                <c:ptCount val="9"/>
                <c:pt idx="4">
                  <c:v>0.73307742909307017</c:v>
                </c:pt>
                <c:pt idx="5">
                  <c:v>0.81773080364625983</c:v>
                </c:pt>
                <c:pt idx="6">
                  <c:v>0.82583782887629553</c:v>
                </c:pt>
                <c:pt idx="7">
                  <c:v>0.82993050432192739</c:v>
                </c:pt>
                <c:pt idx="8">
                  <c:v>0.83202269987929611</c:v>
                </c:pt>
              </c:numCache>
            </c:numRef>
          </c:val>
          <c:extLst>
            <c:ext xmlns:c16="http://schemas.microsoft.com/office/drawing/2014/chart" uri="{C3380CC4-5D6E-409C-BE32-E72D297353CC}">
              <c16:uniqueId val="{00000007-FEF5-41D8-9C11-2BFC5A158EE3}"/>
            </c:ext>
          </c:extLst>
        </c:ser>
        <c:ser>
          <c:idx val="8"/>
          <c:order val="8"/>
          <c:tx>
            <c:strRef>
              <c:f>Fanchart!$J$3</c:f>
              <c:strCache>
                <c:ptCount val="1"/>
              </c:strCache>
            </c:strRef>
          </c:tx>
          <c:spPr>
            <a:solidFill>
              <a:srgbClr val="FF0000">
                <a:alpha val="9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Fanchart!$J$4:$J$99</c:f>
              <c:numCache>
                <c:formatCode>General</c:formatCode>
                <c:ptCount val="9"/>
                <c:pt idx="4">
                  <c:v>0.70926089648351187</c:v>
                </c:pt>
                <c:pt idx="5">
                  <c:v>0.79116401604924569</c:v>
                </c:pt>
                <c:pt idx="6">
                  <c:v>0.79900765678114105</c:v>
                </c:pt>
                <c:pt idx="7">
                  <c:v>0.80296736763893861</c:v>
                </c:pt>
                <c:pt idx="8">
                  <c:v>0.80499159105347395</c:v>
                </c:pt>
              </c:numCache>
            </c:numRef>
          </c:val>
          <c:extLst>
            <c:ext xmlns:c16="http://schemas.microsoft.com/office/drawing/2014/chart" uri="{C3380CC4-5D6E-409C-BE32-E72D297353CC}">
              <c16:uniqueId val="{00000008-FEF5-41D8-9C11-2BFC5A158EE3}"/>
            </c:ext>
          </c:extLst>
        </c:ser>
        <c:ser>
          <c:idx val="9"/>
          <c:order val="9"/>
          <c:tx>
            <c:strRef>
              <c:f>Fanchart!$K$3</c:f>
              <c:strCache>
                <c:ptCount val="1"/>
              </c:strCache>
            </c:strRef>
          </c:tx>
          <c:spPr>
            <a:solidFill>
              <a:srgbClr val="FF0000"/>
            </a:solidFill>
            <a:ln>
              <a:solidFill>
                <a:srgbClr val="FF0000"/>
              </a:solidFill>
              <a:prstDash val="solid"/>
            </a:ln>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Fanchart!$K$4:$K$99</c:f>
              <c:numCache>
                <c:formatCode>General</c:formatCode>
                <c:ptCount val="9"/>
                <c:pt idx="4">
                  <c:v>0.87666472299483367</c:v>
                </c:pt>
                <c:pt idx="5">
                  <c:v>0.97204862338882769</c:v>
                </c:pt>
                <c:pt idx="6">
                  <c:v>0.98748718893173226</c:v>
                </c:pt>
                <c:pt idx="7">
                  <c:v>0.9952810512080088</c:v>
                </c:pt>
                <c:pt idx="8">
                  <c:v>0.99926531144212483</c:v>
                </c:pt>
              </c:numCache>
            </c:numRef>
          </c:val>
          <c:extLst>
            <c:ext xmlns:c16="http://schemas.microsoft.com/office/drawing/2014/chart" uri="{C3380CC4-5D6E-409C-BE32-E72D297353CC}">
              <c16:uniqueId val="{00000009-FEF5-41D8-9C11-2BFC5A158EE3}"/>
            </c:ext>
          </c:extLst>
        </c:ser>
        <c:ser>
          <c:idx val="10"/>
          <c:order val="10"/>
          <c:tx>
            <c:strRef>
              <c:f>Fanchart!$L$3</c:f>
              <c:strCache>
                <c:ptCount val="1"/>
              </c:strCache>
            </c:strRef>
          </c:tx>
          <c:spPr>
            <a:solidFill>
              <a:srgbClr val="FF0000">
                <a:alpha val="9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Fanchart!$L$4:$L$99</c:f>
              <c:numCache>
                <c:formatCode>General</c:formatCode>
                <c:ptCount val="9"/>
                <c:pt idx="4">
                  <c:v>0.18152693097249895</c:v>
                </c:pt>
                <c:pt idx="5">
                  <c:v>0.19654435032840567</c:v>
                </c:pt>
                <c:pt idx="6">
                  <c:v>0.20438799106030103</c:v>
                </c:pt>
                <c:pt idx="7">
                  <c:v>0.20834770191809859</c:v>
                </c:pt>
                <c:pt idx="8">
                  <c:v>0.21037192533263394</c:v>
                </c:pt>
              </c:numCache>
            </c:numRef>
          </c:val>
          <c:extLst>
            <c:ext xmlns:c16="http://schemas.microsoft.com/office/drawing/2014/chart" uri="{C3380CC4-5D6E-409C-BE32-E72D297353CC}">
              <c16:uniqueId val="{0000000A-FEF5-41D8-9C11-2BFC5A158EE3}"/>
            </c:ext>
          </c:extLst>
        </c:ser>
        <c:ser>
          <c:idx val="11"/>
          <c:order val="11"/>
          <c:tx>
            <c:strRef>
              <c:f>Fanchart!$M$3</c:f>
              <c:strCache>
                <c:ptCount val="1"/>
              </c:strCache>
            </c:strRef>
          </c:tx>
          <c:spPr>
            <a:solidFill>
              <a:srgbClr val="FF0000">
                <a:alpha val="8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Fanchart!$M$4:$M$99</c:f>
              <c:numCache>
                <c:formatCode>General</c:formatCode>
                <c:ptCount val="9"/>
                <c:pt idx="4">
                  <c:v>0.18762249057891722</c:v>
                </c:pt>
                <c:pt idx="5">
                  <c:v>0.20314418538491097</c:v>
                </c:pt>
                <c:pt idx="6">
                  <c:v>0.2112512106149449</c:v>
                </c:pt>
                <c:pt idx="7">
                  <c:v>0.21534388606057675</c:v>
                </c:pt>
                <c:pt idx="8">
                  <c:v>0.2174360816179437</c:v>
                </c:pt>
              </c:numCache>
            </c:numRef>
          </c:val>
          <c:extLst>
            <c:ext xmlns:c16="http://schemas.microsoft.com/office/drawing/2014/chart" uri="{C3380CC4-5D6E-409C-BE32-E72D297353CC}">
              <c16:uniqueId val="{0000000B-FEF5-41D8-9C11-2BFC5A158EE3}"/>
            </c:ext>
          </c:extLst>
        </c:ser>
        <c:ser>
          <c:idx val="12"/>
          <c:order val="12"/>
          <c:tx>
            <c:strRef>
              <c:f>Fanchart!$N$3</c:f>
              <c:strCache>
                <c:ptCount val="1"/>
              </c:strCache>
            </c:strRef>
          </c:tx>
          <c:spPr>
            <a:solidFill>
              <a:srgbClr val="FF0000">
                <a:alpha val="7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Fanchart!$N$4:$N$99</c:f>
              <c:numCache>
                <c:formatCode>General</c:formatCode>
                <c:ptCount val="9"/>
                <c:pt idx="4">
                  <c:v>0.19772584429019346</c:v>
                </c:pt>
                <c:pt idx="5">
                  <c:v>0.21408337264864663</c:v>
                </c:pt>
                <c:pt idx="6">
                  <c:v>0.22262695611427752</c:v>
                </c:pt>
                <c:pt idx="7">
                  <c:v>0.22694001957162868</c:v>
                </c:pt>
                <c:pt idx="8">
                  <c:v>0.22914487855055299</c:v>
                </c:pt>
              </c:numCache>
            </c:numRef>
          </c:val>
          <c:extLst>
            <c:ext xmlns:c16="http://schemas.microsoft.com/office/drawing/2014/chart" uri="{C3380CC4-5D6E-409C-BE32-E72D297353CC}">
              <c16:uniqueId val="{0000000C-FEF5-41D8-9C11-2BFC5A158EE3}"/>
            </c:ext>
          </c:extLst>
        </c:ser>
        <c:ser>
          <c:idx val="13"/>
          <c:order val="13"/>
          <c:tx>
            <c:strRef>
              <c:f>Fanchart!$O$3</c:f>
              <c:strCache>
                <c:ptCount val="1"/>
              </c:strCache>
            </c:strRef>
          </c:tx>
          <c:spPr>
            <a:solidFill>
              <a:srgbClr val="FF0000">
                <a:alpha val="6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Fanchart!$O$4:$O$99</c:f>
              <c:numCache>
                <c:formatCode>General</c:formatCode>
                <c:ptCount val="9"/>
                <c:pt idx="4">
                  <c:v>0.21337727438686116</c:v>
                </c:pt>
                <c:pt idx="5">
                  <c:v>0.23102961937678401</c:v>
                </c:pt>
                <c:pt idx="6">
                  <c:v>0.24024948924223821</c:v>
                </c:pt>
                <c:pt idx="7">
                  <c:v>0.24490396285488636</c:v>
                </c:pt>
                <c:pt idx="8">
                  <c:v>0.24728335236271271</c:v>
                </c:pt>
              </c:numCache>
            </c:numRef>
          </c:val>
          <c:extLst>
            <c:ext xmlns:c16="http://schemas.microsoft.com/office/drawing/2014/chart" uri="{C3380CC4-5D6E-409C-BE32-E72D297353CC}">
              <c16:uniqueId val="{0000000D-FEF5-41D8-9C11-2BFC5A158EE3}"/>
            </c:ext>
          </c:extLst>
        </c:ser>
        <c:ser>
          <c:idx val="14"/>
          <c:order val="14"/>
          <c:tx>
            <c:strRef>
              <c:f>Fanchart!$P$3</c:f>
              <c:strCache>
                <c:ptCount val="1"/>
              </c:strCache>
            </c:strRef>
          </c:tx>
          <c:spPr>
            <a:solidFill>
              <a:srgbClr val="FF0000">
                <a:alpha val="5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Fanchart!$P$4:$P$99</c:f>
              <c:numCache>
                <c:formatCode>General</c:formatCode>
                <c:ptCount val="9"/>
                <c:pt idx="4">
                  <c:v>0.23760571366766925</c:v>
                </c:pt>
                <c:pt idx="5">
                  <c:v>0.25726243691192963</c:v>
                </c:pt>
                <c:pt idx="6">
                  <c:v>0.26752919922576979</c:v>
                </c:pt>
                <c:pt idx="7">
                  <c:v>0.27271217631486344</c:v>
                </c:pt>
                <c:pt idx="8">
                  <c:v>0.27536173936568353</c:v>
                </c:pt>
              </c:numCache>
            </c:numRef>
          </c:val>
          <c:extLst>
            <c:ext xmlns:c16="http://schemas.microsoft.com/office/drawing/2014/chart" uri="{C3380CC4-5D6E-409C-BE32-E72D297353CC}">
              <c16:uniqueId val="{0000000E-FEF5-41D8-9C11-2BFC5A158EE3}"/>
            </c:ext>
          </c:extLst>
        </c:ser>
        <c:ser>
          <c:idx val="15"/>
          <c:order val="15"/>
          <c:tx>
            <c:strRef>
              <c:f>Fanchart!$Q$3</c:f>
              <c:strCache>
                <c:ptCount val="1"/>
              </c:strCache>
            </c:strRef>
          </c:tx>
          <c:spPr>
            <a:solidFill>
              <a:srgbClr val="FF0000">
                <a:alpha val="4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Fanchart!$Q$4:$Q$99</c:f>
              <c:numCache>
                <c:formatCode>General</c:formatCode>
                <c:ptCount val="9"/>
                <c:pt idx="4">
                  <c:v>0.27695847845943788</c:v>
                </c:pt>
                <c:pt idx="5">
                  <c:v>0.29987079010882667</c:v>
                </c:pt>
                <c:pt idx="6">
                  <c:v>0.31183795548230897</c:v>
                </c:pt>
                <c:pt idx="7">
                  <c:v>0.3178793482852349</c:v>
                </c:pt>
                <c:pt idx="8">
                  <c:v>0.32096773761649544</c:v>
                </c:pt>
              </c:numCache>
            </c:numRef>
          </c:val>
          <c:extLst>
            <c:ext xmlns:c16="http://schemas.microsoft.com/office/drawing/2014/chart" uri="{C3380CC4-5D6E-409C-BE32-E72D297353CC}">
              <c16:uniqueId val="{0000000F-FEF5-41D8-9C11-2BFC5A158EE3}"/>
            </c:ext>
          </c:extLst>
        </c:ser>
        <c:ser>
          <c:idx val="16"/>
          <c:order val="16"/>
          <c:tx>
            <c:strRef>
              <c:f>Fanchart!$R$3</c:f>
              <c:strCache>
                <c:ptCount val="1"/>
              </c:strCache>
            </c:strRef>
          </c:tx>
          <c:spPr>
            <a:solidFill>
              <a:srgbClr val="FF0000">
                <a:alpha val="3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Fanchart!$R$4:$R$99</c:f>
              <c:numCache>
                <c:formatCode>General</c:formatCode>
                <c:ptCount val="9"/>
                <c:pt idx="4">
                  <c:v>0.34847700730419717</c:v>
                </c:pt>
                <c:pt idx="5">
                  <c:v>0.37730592721455203</c:v>
                </c:pt>
                <c:pt idx="6">
                  <c:v>0.39236335386731902</c:v>
                </c:pt>
                <c:pt idx="7">
                  <c:v>0.39996480552037283</c:v>
                </c:pt>
                <c:pt idx="8">
                  <c:v>0.40385070450976102</c:v>
                </c:pt>
              </c:numCache>
            </c:numRef>
          </c:val>
          <c:extLst>
            <c:ext xmlns:c16="http://schemas.microsoft.com/office/drawing/2014/chart" uri="{C3380CC4-5D6E-409C-BE32-E72D297353CC}">
              <c16:uniqueId val="{00000010-FEF5-41D8-9C11-2BFC5A158EE3}"/>
            </c:ext>
          </c:extLst>
        </c:ser>
        <c:ser>
          <c:idx val="17"/>
          <c:order val="17"/>
          <c:tx>
            <c:strRef>
              <c:f>Fanchart!$S$3</c:f>
              <c:strCache>
                <c:ptCount val="1"/>
              </c:strCache>
            </c:strRef>
          </c:tx>
          <c:spPr>
            <a:solidFill>
              <a:srgbClr val="FF0000">
                <a:alpha val="20000"/>
              </a:srgbClr>
            </a:solidFill>
          </c:spPr>
          <c:cat>
            <c:strRef>
              <c:f>Fanchart!$A$4:$A$99</c:f>
              <c:strCache>
                <c:ptCount val="9"/>
                <c:pt idx="0">
                  <c:v>2019</c:v>
                </c:pt>
                <c:pt idx="1">
                  <c:v>2020</c:v>
                </c:pt>
                <c:pt idx="2">
                  <c:v>2021</c:v>
                </c:pt>
                <c:pt idx="3">
                  <c:v>2022</c:v>
                </c:pt>
                <c:pt idx="4">
                  <c:v>2023*</c:v>
                </c:pt>
                <c:pt idx="5">
                  <c:v>2024/1*</c:v>
                </c:pt>
                <c:pt idx="6">
                  <c:v>2024/2*</c:v>
                </c:pt>
                <c:pt idx="7">
                  <c:v>2024/3*</c:v>
                </c:pt>
                <c:pt idx="8">
                  <c:v>2024/4*</c:v>
                </c:pt>
              </c:strCache>
            </c:strRef>
          </c:cat>
          <c:val>
            <c:numRef>
              <c:f>Fanchart!$S$4:$S$99</c:f>
              <c:numCache>
                <c:formatCode>General</c:formatCode>
                <c:ptCount val="9"/>
                <c:pt idx="4">
                  <c:v>0.51649541925552356</c:v>
                </c:pt>
                <c:pt idx="5">
                  <c:v>0.55922422133910921</c:v>
                </c:pt>
                <c:pt idx="6">
                  <c:v>0.58154159588297105</c:v>
                </c:pt>
                <c:pt idx="7">
                  <c:v>0.59280809231229625</c:v>
                </c:pt>
                <c:pt idx="8">
                  <c:v>0.5985675799847634</c:v>
                </c:pt>
              </c:numCache>
            </c:numRef>
          </c:val>
          <c:extLst>
            <c:ext xmlns:c16="http://schemas.microsoft.com/office/drawing/2014/chart" uri="{C3380CC4-5D6E-409C-BE32-E72D297353CC}">
              <c16:uniqueId val="{00000011-FEF5-41D8-9C11-2BFC5A158EE3}"/>
            </c:ext>
          </c:extLst>
        </c:ser>
        <c:dLbls>
          <c:showLegendKey val="0"/>
          <c:showVal val="0"/>
          <c:showCatName val="0"/>
          <c:showSerName val="0"/>
          <c:showPercent val="0"/>
          <c:showBubbleSize val="0"/>
        </c:dLbls>
        <c:axId val="638764400"/>
        <c:axId val="638757200"/>
      </c:areaChart>
      <c:catAx>
        <c:axId val="638764400"/>
        <c:scaling>
          <c:orientation val="minMax"/>
        </c:scaling>
        <c:delete val="0"/>
        <c:axPos val="b"/>
        <c:numFmt formatCode="General" sourceLinked="1"/>
        <c:majorTickMark val="out"/>
        <c:minorTickMark val="none"/>
        <c:tickLblPos val="nextTo"/>
        <c:crossAx val="638757200"/>
        <c:crosses val="autoZero"/>
        <c:auto val="1"/>
        <c:lblAlgn val="ctr"/>
        <c:lblOffset val="100"/>
        <c:noMultiLvlLbl val="0"/>
      </c:catAx>
      <c:valAx>
        <c:axId val="638757200"/>
        <c:scaling>
          <c:orientation val="minMax"/>
        </c:scaling>
        <c:delete val="0"/>
        <c:axPos val="l"/>
        <c:majorGridlines/>
        <c:numFmt formatCode="General" sourceLinked="1"/>
        <c:majorTickMark val="out"/>
        <c:minorTickMark val="none"/>
        <c:tickLblPos val="nextTo"/>
        <c:crossAx val="638764400"/>
        <c:crosses val="autoZero"/>
        <c:crossBetween val="between"/>
      </c:valAx>
    </c:plotArea>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'Portfolio Level'!$AM$77</c:f>
              <c:strCache>
                <c:ptCount val="1"/>
                <c:pt idx="0">
                  <c:v>Ընդհանուր Ակտիվներ  (LHS)</c:v>
                </c:pt>
              </c:strCache>
            </c:strRef>
          </c:tx>
          <c:spPr>
            <a:solidFill>
              <a:srgbClr val="004C97"/>
            </a:solidFill>
            <a:ln>
              <a:noFill/>
            </a:ln>
            <a:effectLst/>
          </c:spPr>
          <c:invertIfNegative val="0"/>
          <c:cat>
            <c:numRef>
              <c:f>[0]!Year_a</c:f>
              <c:numCache>
                <c:formatCode>General</c:formatCode>
                <c:ptCount val="5"/>
                <c:pt idx="0">
                  <c:v>2018</c:v>
                </c:pt>
                <c:pt idx="1">
                  <c:v>2019</c:v>
                </c:pt>
                <c:pt idx="2">
                  <c:v>2020</c:v>
                </c:pt>
                <c:pt idx="3">
                  <c:v>2021</c:v>
                </c:pt>
                <c:pt idx="4">
                  <c:v>2022</c:v>
                </c:pt>
              </c:numCache>
            </c:numRef>
          </c:cat>
          <c:val>
            <c:numRef>
              <c:f>[0]!Agg_Assets</c:f>
              <c:numCache>
                <c:formatCode>General</c:formatCode>
                <c:ptCount val="5"/>
                <c:pt idx="0">
                  <c:v>282704397</c:v>
                </c:pt>
                <c:pt idx="1">
                  <c:v>289549333</c:v>
                </c:pt>
                <c:pt idx="2">
                  <c:v>297991819</c:v>
                </c:pt>
                <c:pt idx="3">
                  <c:v>286959092</c:v>
                </c:pt>
                <c:pt idx="4">
                  <c:v>287006935</c:v>
                </c:pt>
              </c:numCache>
            </c:numRef>
          </c:val>
          <c:extLst>
            <c:ext xmlns:c16="http://schemas.microsoft.com/office/drawing/2014/chart" uri="{C3380CC4-5D6E-409C-BE32-E72D297353CC}">
              <c16:uniqueId val="{00000000-F231-419A-A7C8-93C18AC0FBD7}"/>
            </c:ext>
          </c:extLst>
        </c:ser>
        <c:dLbls>
          <c:showLegendKey val="0"/>
          <c:showVal val="0"/>
          <c:showCatName val="0"/>
          <c:showSerName val="0"/>
          <c:showPercent val="0"/>
          <c:showBubbleSize val="0"/>
        </c:dLbls>
        <c:gapWidth val="75"/>
        <c:overlap val="-25"/>
        <c:axId val="1924703599"/>
        <c:axId val="1961264687"/>
      </c:barChart>
      <c:lineChart>
        <c:grouping val="standard"/>
        <c:varyColors val="0"/>
        <c:ser>
          <c:idx val="1"/>
          <c:order val="1"/>
          <c:tx>
            <c:strRef>
              <c:f>'Portfolio Level'!$AM$78</c:f>
              <c:strCache>
                <c:ptCount val="1"/>
                <c:pt idx="0">
                  <c:v>Ակտիվների շահութաբերություն (RHS)</c:v>
                </c:pt>
              </c:strCache>
            </c:strRef>
          </c:tx>
          <c:spPr>
            <a:ln w="28575" cap="rnd">
              <a:solidFill>
                <a:srgbClr val="F2A900"/>
              </a:solidFill>
              <a:round/>
            </a:ln>
            <a:effectLst/>
          </c:spPr>
          <c:marker>
            <c:symbol val="none"/>
          </c:marker>
          <c:cat>
            <c:numRef>
              <c:f>[0]!Year_a</c:f>
              <c:numCache>
                <c:formatCode>General</c:formatCode>
                <c:ptCount val="5"/>
                <c:pt idx="0">
                  <c:v>2018</c:v>
                </c:pt>
                <c:pt idx="1">
                  <c:v>2019</c:v>
                </c:pt>
                <c:pt idx="2">
                  <c:v>2020</c:v>
                </c:pt>
                <c:pt idx="3">
                  <c:v>2021</c:v>
                </c:pt>
                <c:pt idx="4">
                  <c:v>2022</c:v>
                </c:pt>
              </c:numCache>
            </c:numRef>
          </c:cat>
          <c:val>
            <c:numRef>
              <c:f>[0]!Agg_ROA</c:f>
              <c:numCache>
                <c:formatCode>General</c:formatCode>
                <c:ptCount val="5"/>
                <c:pt idx="0">
                  <c:v>9.2706375557363545E-3</c:v>
                </c:pt>
                <c:pt idx="1">
                  <c:v>1.2944640421603043E-2</c:v>
                </c:pt>
                <c:pt idx="2">
                  <c:v>-7.8239980138515144E-2</c:v>
                </c:pt>
                <c:pt idx="3">
                  <c:v>0.10441047116221011</c:v>
                </c:pt>
                <c:pt idx="4">
                  <c:v>0.19065657072014652</c:v>
                </c:pt>
              </c:numCache>
            </c:numRef>
          </c:val>
          <c:smooth val="0"/>
          <c:extLst>
            <c:ext xmlns:c16="http://schemas.microsoft.com/office/drawing/2014/chart" uri="{C3380CC4-5D6E-409C-BE32-E72D297353CC}">
              <c16:uniqueId val="{00000001-F231-419A-A7C8-93C18AC0FBD7}"/>
            </c:ext>
          </c:extLst>
        </c:ser>
        <c:dLbls>
          <c:showLegendKey val="0"/>
          <c:showVal val="0"/>
          <c:showCatName val="0"/>
          <c:showSerName val="0"/>
          <c:showPercent val="0"/>
          <c:showBubbleSize val="0"/>
        </c:dLbls>
        <c:marker val="1"/>
        <c:smooth val="0"/>
        <c:axId val="1924739599"/>
        <c:axId val="69356992"/>
      </c:lineChart>
      <c:catAx>
        <c:axId val="1924703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1961264687"/>
        <c:crosses val="autoZero"/>
        <c:auto val="1"/>
        <c:lblAlgn val="ctr"/>
        <c:lblOffset val="100"/>
        <c:noMultiLvlLbl val="0"/>
      </c:catAx>
      <c:valAx>
        <c:axId val="1961264687"/>
        <c:scaling>
          <c:orientation val="minMax"/>
        </c:scaling>
        <c:delete val="0"/>
        <c:axPos val="l"/>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1924703599"/>
        <c:crosses val="autoZero"/>
        <c:crossBetween val="between"/>
      </c:valAx>
      <c:valAx>
        <c:axId val="69356992"/>
        <c:scaling>
          <c:orientation val="minMax"/>
        </c:scaling>
        <c:delete val="0"/>
        <c:axPos val="r"/>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1924739599"/>
        <c:crosses val="max"/>
        <c:crossBetween val="between"/>
      </c:valAx>
      <c:catAx>
        <c:axId val="1924739599"/>
        <c:scaling>
          <c:orientation val="minMax"/>
        </c:scaling>
        <c:delete val="1"/>
        <c:axPos val="b"/>
        <c:numFmt formatCode="General" sourceLinked="1"/>
        <c:majorTickMark val="out"/>
        <c:minorTickMark val="none"/>
        <c:tickLblPos val="nextTo"/>
        <c:crossAx val="69356992"/>
        <c:crosses val="autoZero"/>
        <c:auto val="1"/>
        <c:lblAlgn val="ctr"/>
        <c:lblOffset val="100"/>
        <c:noMultiLvlLbl val="0"/>
      </c:cat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sz="900">
          <a:latin typeface="Avenir Next LT Pro" panose="020B0504020202020204" pitchFamily="34" charset="0"/>
          <a:cs typeface="Segoe UI" panose="020B0502040204020203" pitchFamily="34" charset="0"/>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'Portfolio Level'!$AM$79</c:f>
              <c:strCache>
                <c:ptCount val="1"/>
                <c:pt idx="0">
                  <c:v>Total Equity (LHS)</c:v>
                </c:pt>
              </c:strCache>
            </c:strRef>
          </c:tx>
          <c:spPr>
            <a:solidFill>
              <a:srgbClr val="004C97"/>
            </a:solidFill>
            <a:ln>
              <a:noFill/>
            </a:ln>
            <a:effectLst/>
          </c:spPr>
          <c:invertIfNegative val="0"/>
          <c:cat>
            <c:numRef>
              <c:f>[0]!Year_a</c:f>
              <c:numCache>
                <c:formatCode>General</c:formatCode>
                <c:ptCount val="5"/>
                <c:pt idx="0">
                  <c:v>2018</c:v>
                </c:pt>
                <c:pt idx="1">
                  <c:v>2019</c:v>
                </c:pt>
                <c:pt idx="2">
                  <c:v>2020</c:v>
                </c:pt>
                <c:pt idx="3">
                  <c:v>2021</c:v>
                </c:pt>
                <c:pt idx="4">
                  <c:v>2022</c:v>
                </c:pt>
              </c:numCache>
            </c:numRef>
          </c:cat>
          <c:val>
            <c:numRef>
              <c:f>[0]!Agg_Equity</c:f>
              <c:numCache>
                <c:formatCode>General</c:formatCode>
                <c:ptCount val="5"/>
                <c:pt idx="0">
                  <c:v>38163570</c:v>
                </c:pt>
                <c:pt idx="1">
                  <c:v>40422585</c:v>
                </c:pt>
                <c:pt idx="2">
                  <c:v>17099539</c:v>
                </c:pt>
                <c:pt idx="3">
                  <c:v>45031337</c:v>
                </c:pt>
                <c:pt idx="4">
                  <c:v>102084485</c:v>
                </c:pt>
              </c:numCache>
            </c:numRef>
          </c:val>
          <c:extLst>
            <c:ext xmlns:c16="http://schemas.microsoft.com/office/drawing/2014/chart" uri="{C3380CC4-5D6E-409C-BE32-E72D297353CC}">
              <c16:uniqueId val="{00000000-A85D-45FF-9367-1EE526B8B85F}"/>
            </c:ext>
          </c:extLst>
        </c:ser>
        <c:dLbls>
          <c:showLegendKey val="0"/>
          <c:showVal val="0"/>
          <c:showCatName val="0"/>
          <c:showSerName val="0"/>
          <c:showPercent val="0"/>
          <c:showBubbleSize val="0"/>
        </c:dLbls>
        <c:gapWidth val="75"/>
        <c:overlap val="-25"/>
        <c:axId val="1924703599"/>
        <c:axId val="1961264687"/>
      </c:barChart>
      <c:lineChart>
        <c:grouping val="standard"/>
        <c:varyColors val="0"/>
        <c:ser>
          <c:idx val="1"/>
          <c:order val="1"/>
          <c:tx>
            <c:strRef>
              <c:f>'Portfolio Level'!$AM$80</c:f>
              <c:strCache>
                <c:ptCount val="1"/>
                <c:pt idx="0">
                  <c:v>Սեփական կապիտալի շահութաբերություն (RHS)</c:v>
                </c:pt>
              </c:strCache>
            </c:strRef>
          </c:tx>
          <c:spPr>
            <a:ln w="28575" cap="rnd">
              <a:solidFill>
                <a:srgbClr val="F2A900"/>
              </a:solidFill>
              <a:round/>
            </a:ln>
            <a:effectLst/>
          </c:spPr>
          <c:marker>
            <c:symbol val="none"/>
          </c:marker>
          <c:cat>
            <c:numRef>
              <c:f>[0]!Year_s</c:f>
              <c:numCache>
                <c:formatCode>General</c:formatCode>
                <c:ptCount val="5"/>
                <c:pt idx="0">
                  <c:v>2018</c:v>
                </c:pt>
                <c:pt idx="1">
                  <c:v>2019</c:v>
                </c:pt>
                <c:pt idx="2">
                  <c:v>2020</c:v>
                </c:pt>
                <c:pt idx="3">
                  <c:v>2021</c:v>
                </c:pt>
                <c:pt idx="4">
                  <c:v>2022</c:v>
                </c:pt>
              </c:numCache>
            </c:numRef>
          </c:cat>
          <c:val>
            <c:numRef>
              <c:f>[0]!Agg_ROE</c:f>
              <c:numCache>
                <c:formatCode>General</c:formatCode>
                <c:ptCount val="5"/>
                <c:pt idx="0">
                  <c:v>6.8674130853062232E-2</c:v>
                </c:pt>
                <c:pt idx="1">
                  <c:v>9.272321401513535E-2</c:v>
                </c:pt>
                <c:pt idx="2">
                  <c:v>-1.3634796821130675</c:v>
                </c:pt>
                <c:pt idx="3">
                  <c:v>0.66534853273399364</c:v>
                </c:pt>
                <c:pt idx="4">
                  <c:v>0.53602423522046472</c:v>
                </c:pt>
              </c:numCache>
            </c:numRef>
          </c:val>
          <c:smooth val="0"/>
          <c:extLst>
            <c:ext xmlns:c16="http://schemas.microsoft.com/office/drawing/2014/chart" uri="{C3380CC4-5D6E-409C-BE32-E72D297353CC}">
              <c16:uniqueId val="{00000001-A85D-45FF-9367-1EE526B8B85F}"/>
            </c:ext>
          </c:extLst>
        </c:ser>
        <c:dLbls>
          <c:showLegendKey val="0"/>
          <c:showVal val="0"/>
          <c:showCatName val="0"/>
          <c:showSerName val="0"/>
          <c:showPercent val="0"/>
          <c:showBubbleSize val="0"/>
        </c:dLbls>
        <c:marker val="1"/>
        <c:smooth val="0"/>
        <c:axId val="1924739599"/>
        <c:axId val="69356992"/>
      </c:lineChart>
      <c:catAx>
        <c:axId val="1924703599"/>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1961264687"/>
        <c:crosses val="autoZero"/>
        <c:auto val="1"/>
        <c:lblAlgn val="ctr"/>
        <c:lblOffset val="100"/>
        <c:noMultiLvlLbl val="0"/>
      </c:catAx>
      <c:valAx>
        <c:axId val="1961264687"/>
        <c:scaling>
          <c:orientation val="minMax"/>
        </c:scaling>
        <c:delete val="0"/>
        <c:axPos val="l"/>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1924703599"/>
        <c:crosses val="autoZero"/>
        <c:crossBetween val="between"/>
      </c:valAx>
      <c:valAx>
        <c:axId val="69356992"/>
        <c:scaling>
          <c:orientation val="minMax"/>
        </c:scaling>
        <c:delete val="0"/>
        <c:axPos val="r"/>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1924739599"/>
        <c:crosses val="max"/>
        <c:crossBetween val="between"/>
      </c:valAx>
      <c:catAx>
        <c:axId val="1924739599"/>
        <c:scaling>
          <c:orientation val="minMax"/>
        </c:scaling>
        <c:delete val="1"/>
        <c:axPos val="b"/>
        <c:numFmt formatCode="General" sourceLinked="1"/>
        <c:majorTickMark val="out"/>
        <c:minorTickMark val="none"/>
        <c:tickLblPos val="nextTo"/>
        <c:crossAx val="693569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venir Next LT Pro" panose="020B0504020202020204" pitchFamily="34" charset="0"/>
          <a:cs typeface="Segoe UI" panose="020B0502040204020203" pitchFamily="34" charset="0"/>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3.0573396724072579E-2"/>
          <c:y val="0.21356573062654896"/>
          <c:w val="0.93885320655185489"/>
          <c:h val="0.60438926410698268"/>
        </c:manualLayout>
      </c:layout>
      <c:lineChart>
        <c:grouping val="standard"/>
        <c:varyColors val="0"/>
        <c:ser>
          <c:idx val="1"/>
          <c:order val="1"/>
          <c:tx>
            <c:strRef>
              <c:f>'Portfolio Level'!$P$110</c:f>
              <c:strCache>
                <c:ptCount val="1"/>
                <c:pt idx="0">
                  <c:v>Զուտ շահույթի մարժա</c:v>
                </c:pt>
              </c:strCache>
            </c:strRef>
          </c:tx>
          <c:spPr>
            <a:ln w="28575" cap="rnd">
              <a:solidFill>
                <a:srgbClr val="F2A900"/>
              </a:solidFill>
              <a:round/>
            </a:ln>
            <a:effectLst/>
          </c:spPr>
          <c:marker>
            <c:symbol val="none"/>
          </c:marker>
          <c:cat>
            <c:numRef>
              <c:f>[0]!Year_a</c:f>
              <c:numCache>
                <c:formatCode>General</c:formatCode>
                <c:ptCount val="5"/>
                <c:pt idx="0">
                  <c:v>2018</c:v>
                </c:pt>
                <c:pt idx="1">
                  <c:v>2019</c:v>
                </c:pt>
                <c:pt idx="2">
                  <c:v>2020</c:v>
                </c:pt>
                <c:pt idx="3">
                  <c:v>2021</c:v>
                </c:pt>
                <c:pt idx="4">
                  <c:v>2022</c:v>
                </c:pt>
              </c:numCache>
            </c:numRef>
          </c:cat>
          <c:val>
            <c:numRef>
              <c:f>[0]!Agg_Net_Profit</c:f>
              <c:numCache>
                <c:formatCode>General</c:formatCode>
                <c:ptCount val="5"/>
                <c:pt idx="0">
                  <c:v>2.3823015027728951E-2</c:v>
                </c:pt>
                <c:pt idx="1">
                  <c:v>4.0662732834788551E-2</c:v>
                </c:pt>
                <c:pt idx="2">
                  <c:v>-0.24778402409211295</c:v>
                </c:pt>
                <c:pt idx="3">
                  <c:v>0.54237746956247856</c:v>
                </c:pt>
                <c:pt idx="4">
                  <c:v>0.61456650121329692</c:v>
                </c:pt>
              </c:numCache>
            </c:numRef>
          </c:val>
          <c:smooth val="0"/>
          <c:extLst>
            <c:ext xmlns:c16="http://schemas.microsoft.com/office/drawing/2014/chart" uri="{C3380CC4-5D6E-409C-BE32-E72D297353CC}">
              <c16:uniqueId val="{00000000-D45E-4101-8536-3EB3E976C64C}"/>
            </c:ext>
          </c:extLst>
        </c:ser>
        <c:dLbls>
          <c:showLegendKey val="0"/>
          <c:showVal val="0"/>
          <c:showCatName val="0"/>
          <c:showSerName val="0"/>
          <c:showPercent val="0"/>
          <c:showBubbleSize val="0"/>
        </c:dLbls>
        <c:marker val="1"/>
        <c:smooth val="0"/>
        <c:axId val="54388255"/>
        <c:axId val="2037993584"/>
      </c:lineChart>
      <c:lineChart>
        <c:grouping val="standard"/>
        <c:varyColors val="0"/>
        <c:ser>
          <c:idx val="0"/>
          <c:order val="0"/>
          <c:tx>
            <c:strRef>
              <c:f>'Portfolio Level'!$P$109</c:f>
              <c:strCache>
                <c:ptCount val="1"/>
                <c:pt idx="0">
                  <c:v>Գործառնական շահույթի մարժա</c:v>
                </c:pt>
              </c:strCache>
            </c:strRef>
          </c:tx>
          <c:spPr>
            <a:ln w="28575" cap="rnd">
              <a:solidFill>
                <a:srgbClr val="004C97"/>
              </a:solidFill>
              <a:round/>
            </a:ln>
            <a:effectLst/>
          </c:spPr>
          <c:marker>
            <c:symbol val="none"/>
          </c:marker>
          <c:cat>
            <c:numRef>
              <c:f>[0]!Year_a</c:f>
              <c:numCache>
                <c:formatCode>General</c:formatCode>
                <c:ptCount val="5"/>
                <c:pt idx="0">
                  <c:v>2018</c:v>
                </c:pt>
                <c:pt idx="1">
                  <c:v>2019</c:v>
                </c:pt>
                <c:pt idx="2">
                  <c:v>2020</c:v>
                </c:pt>
                <c:pt idx="3">
                  <c:v>2021</c:v>
                </c:pt>
                <c:pt idx="4">
                  <c:v>2022</c:v>
                </c:pt>
              </c:numCache>
            </c:numRef>
          </c:cat>
          <c:val>
            <c:numRef>
              <c:f>[0]!Agg_EBIT</c:f>
              <c:numCache>
                <c:formatCode>General</c:formatCode>
                <c:ptCount val="5"/>
                <c:pt idx="0">
                  <c:v>4.9123386947092965E-2</c:v>
                </c:pt>
                <c:pt idx="1">
                  <c:v>5.6875287121793232E-2</c:v>
                </c:pt>
                <c:pt idx="2">
                  <c:v>5.0239956982377917E-2</c:v>
                </c:pt>
                <c:pt idx="3">
                  <c:v>-0.11481019996140193</c:v>
                </c:pt>
                <c:pt idx="4">
                  <c:v>0.10587953946887181</c:v>
                </c:pt>
              </c:numCache>
            </c:numRef>
          </c:val>
          <c:smooth val="0"/>
          <c:extLst>
            <c:ext xmlns:c16="http://schemas.microsoft.com/office/drawing/2014/chart" uri="{C3380CC4-5D6E-409C-BE32-E72D297353CC}">
              <c16:uniqueId val="{00000001-D45E-4101-8536-3EB3E976C64C}"/>
            </c:ext>
          </c:extLst>
        </c:ser>
        <c:dLbls>
          <c:showLegendKey val="0"/>
          <c:showVal val="0"/>
          <c:showCatName val="0"/>
          <c:showSerName val="0"/>
          <c:showPercent val="0"/>
          <c:showBubbleSize val="0"/>
        </c:dLbls>
        <c:marker val="1"/>
        <c:smooth val="0"/>
        <c:axId val="2081863200"/>
        <c:axId val="133297407"/>
      </c:lineChart>
      <c:valAx>
        <c:axId val="2037993584"/>
        <c:scaling>
          <c:orientation val="minMax"/>
        </c:scaling>
        <c:delete val="0"/>
        <c:axPos val="l"/>
        <c:majorGridlines>
          <c:spPr>
            <a:ln w="3175" cap="flat" cmpd="sng" algn="ctr">
              <a:no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54388255"/>
        <c:crossesAt val="0"/>
        <c:crossBetween val="between"/>
      </c:valAx>
      <c:catAx>
        <c:axId val="5438825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2037993584"/>
        <c:crosses val="autoZero"/>
        <c:auto val="1"/>
        <c:lblAlgn val="ctr"/>
        <c:lblOffset val="100"/>
        <c:noMultiLvlLbl val="0"/>
      </c:catAx>
      <c:valAx>
        <c:axId val="133297407"/>
        <c:scaling>
          <c:orientation val="minMax"/>
        </c:scaling>
        <c:delete val="1"/>
        <c:axPos val="l"/>
        <c:numFmt formatCode="#,##0.0" sourceLinked="0"/>
        <c:majorTickMark val="out"/>
        <c:minorTickMark val="none"/>
        <c:tickLblPos val="nextTo"/>
        <c:crossAx val="2081863200"/>
        <c:crosses val="autoZero"/>
        <c:crossBetween val="between"/>
      </c:valAx>
      <c:catAx>
        <c:axId val="2081863200"/>
        <c:scaling>
          <c:orientation val="minMax"/>
        </c:scaling>
        <c:delete val="1"/>
        <c:axPos val="b"/>
        <c:numFmt formatCode="General" sourceLinked="1"/>
        <c:majorTickMark val="out"/>
        <c:minorTickMark val="none"/>
        <c:tickLblPos val="nextTo"/>
        <c:crossAx val="1332974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sz="900">
          <a:latin typeface="Avenir Next LT Pro" panose="020B0504020202020204" pitchFamily="34" charset="0"/>
          <a:cs typeface="Segoe UI" panose="020B0502040204020203"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58250315395659"/>
          <c:y val="7.1544715447154475E-2"/>
          <c:w val="0.60232688041066695"/>
          <c:h val="0.65965303117598106"/>
        </c:manualLayout>
      </c:layout>
      <c:lineChart>
        <c:grouping val="standard"/>
        <c:varyColors val="0"/>
        <c:ser>
          <c:idx val="1"/>
          <c:order val="1"/>
          <c:tx>
            <c:strRef>
              <c:f>Sheet1!$C$1</c:f>
              <c:strCache>
                <c:ptCount val="1"/>
                <c:pt idx="0">
                  <c:v>Պղինձ</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f>Sheet1!$A$2:$A$11</c:f>
              <c:numCache>
                <c:formatCode>General</c:formatCode>
                <c:ptCount val="6"/>
                <c:pt idx="0">
                  <c:v>2019</c:v>
                </c:pt>
                <c:pt idx="1">
                  <c:v>2020</c:v>
                </c:pt>
                <c:pt idx="2">
                  <c:v>2021</c:v>
                </c:pt>
                <c:pt idx="3">
                  <c:v>2022</c:v>
                </c:pt>
                <c:pt idx="4">
                  <c:v>2023</c:v>
                </c:pt>
                <c:pt idx="5">
                  <c:v>2024</c:v>
                </c:pt>
              </c:numCache>
            </c:numRef>
          </c:cat>
          <c:val>
            <c:numRef>
              <c:f>Sheet1!$C$2:$C$11</c:f>
              <c:numCache>
                <c:formatCode>_(* #,##0_);_(* \(#,##0\);_(* "-"??_);_(@_)</c:formatCode>
                <c:ptCount val="6"/>
                <c:pt idx="0">
                  <c:v>6010.1450000000004</c:v>
                </c:pt>
                <c:pt idx="1">
                  <c:v>6173.7708333333303</c:v>
                </c:pt>
                <c:pt idx="2">
                  <c:v>9317.0499999999975</c:v>
                </c:pt>
                <c:pt idx="3">
                  <c:v>8822.3700000000008</c:v>
                </c:pt>
                <c:pt idx="4" formatCode="0">
                  <c:v>8509.0702999999994</c:v>
                </c:pt>
                <c:pt idx="5" formatCode="0">
                  <c:v>8347.9760000000006</c:v>
                </c:pt>
              </c:numCache>
            </c:numRef>
          </c:val>
          <c:smooth val="0"/>
          <c:extLst>
            <c:ext xmlns:c16="http://schemas.microsoft.com/office/drawing/2014/chart" uri="{C3380CC4-5D6E-409C-BE32-E72D297353CC}">
              <c16:uniqueId val="{00000000-C54D-4C0F-B216-9B5CA5533778}"/>
            </c:ext>
          </c:extLst>
        </c:ser>
        <c:dLbls>
          <c:showLegendKey val="0"/>
          <c:showVal val="0"/>
          <c:showCatName val="0"/>
          <c:showSerName val="0"/>
          <c:showPercent val="0"/>
          <c:showBubbleSize val="0"/>
        </c:dLbls>
        <c:marker val="1"/>
        <c:smooth val="0"/>
        <c:axId val="1691165648"/>
        <c:axId val="1691166192"/>
      </c:lineChart>
      <c:lineChart>
        <c:grouping val="standard"/>
        <c:varyColors val="0"/>
        <c:ser>
          <c:idx val="0"/>
          <c:order val="0"/>
          <c:tx>
            <c:strRef>
              <c:f>Sheet1!$B$1</c:f>
              <c:strCache>
                <c:ptCount val="1"/>
                <c:pt idx="0">
                  <c:v>Նավթ (աջ առանցք)</c:v>
                </c:pt>
              </c:strCache>
            </c:strRef>
          </c:tx>
          <c:spPr>
            <a:ln w="28575" cap="rnd">
              <a:solidFill>
                <a:srgbClr val="44546A"/>
              </a:solidFill>
              <a:round/>
            </a:ln>
            <a:effectLst/>
          </c:spPr>
          <c:marker>
            <c:symbol val="circle"/>
            <c:size val="5"/>
            <c:spPr>
              <a:solidFill>
                <a:schemeClr val="tx2"/>
              </a:solidFill>
              <a:ln w="9525">
                <a:solidFill>
                  <a:schemeClr val="tx2"/>
                </a:solidFill>
              </a:ln>
              <a:effectLst/>
            </c:spPr>
          </c:marker>
          <c:cat>
            <c:numRef>
              <c:f>Sheet1!$A$2:$A$11</c:f>
              <c:numCache>
                <c:formatCode>General</c:formatCode>
                <c:ptCount val="6"/>
                <c:pt idx="0">
                  <c:v>2019</c:v>
                </c:pt>
                <c:pt idx="1">
                  <c:v>2020</c:v>
                </c:pt>
                <c:pt idx="2">
                  <c:v>2021</c:v>
                </c:pt>
                <c:pt idx="3">
                  <c:v>2022</c:v>
                </c:pt>
                <c:pt idx="4">
                  <c:v>2023</c:v>
                </c:pt>
                <c:pt idx="5">
                  <c:v>2024</c:v>
                </c:pt>
              </c:numCache>
            </c:numRef>
          </c:cat>
          <c:val>
            <c:numRef>
              <c:f>Sheet1!$B$2:$B$11</c:f>
              <c:numCache>
                <c:formatCode>_(* #,##0_);_(* \(#,##0\);_(* "-"??_);_(@_)</c:formatCode>
                <c:ptCount val="6"/>
                <c:pt idx="0">
                  <c:v>64.031666666666695</c:v>
                </c:pt>
                <c:pt idx="1">
                  <c:v>42.3</c:v>
                </c:pt>
                <c:pt idx="2">
                  <c:v>70.44</c:v>
                </c:pt>
                <c:pt idx="3">
                  <c:v>99.82</c:v>
                </c:pt>
                <c:pt idx="4" formatCode="0">
                  <c:v>82.0959</c:v>
                </c:pt>
                <c:pt idx="5" formatCode="0">
                  <c:v>81.366500000000002</c:v>
                </c:pt>
              </c:numCache>
            </c:numRef>
          </c:val>
          <c:smooth val="0"/>
          <c:extLst>
            <c:ext xmlns:c16="http://schemas.microsoft.com/office/drawing/2014/chart" uri="{C3380CC4-5D6E-409C-BE32-E72D297353CC}">
              <c16:uniqueId val="{00000001-C54D-4C0F-B216-9B5CA5533778}"/>
            </c:ext>
          </c:extLst>
        </c:ser>
        <c:dLbls>
          <c:showLegendKey val="0"/>
          <c:showVal val="0"/>
          <c:showCatName val="0"/>
          <c:showSerName val="0"/>
          <c:showPercent val="0"/>
          <c:showBubbleSize val="0"/>
        </c:dLbls>
        <c:marker val="1"/>
        <c:smooth val="0"/>
        <c:axId val="1584695984"/>
        <c:axId val="1584694352"/>
      </c:lineChart>
      <c:catAx>
        <c:axId val="169116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1166192"/>
        <c:crosses val="autoZero"/>
        <c:auto val="1"/>
        <c:lblAlgn val="ctr"/>
        <c:lblOffset val="100"/>
        <c:noMultiLvlLbl val="0"/>
      </c:catAx>
      <c:valAx>
        <c:axId val="1691166192"/>
        <c:scaling>
          <c:orientation val="minMax"/>
          <c:min val="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y-AM"/>
                  <a:t>դոլար/տոննա</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1165648"/>
        <c:crosses val="autoZero"/>
        <c:crossBetween val="between"/>
      </c:valAx>
      <c:valAx>
        <c:axId val="1584694352"/>
        <c:scaling>
          <c:orientation val="minMax"/>
          <c:min val="3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y-AM"/>
                  <a:t>դոլար/բարել</a:t>
                </a:r>
                <a:endParaRPr lang="en-US"/>
              </a:p>
            </c:rich>
          </c:tx>
          <c:layout>
            <c:manualLayout>
              <c:xMode val="edge"/>
              <c:yMode val="edge"/>
              <c:x val="0.92395562709357459"/>
              <c:y val="0.1594525318481531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695984"/>
        <c:crosses val="max"/>
        <c:crossBetween val="between"/>
      </c:valAx>
      <c:catAx>
        <c:axId val="1584695984"/>
        <c:scaling>
          <c:orientation val="minMax"/>
        </c:scaling>
        <c:delete val="1"/>
        <c:axPos val="b"/>
        <c:numFmt formatCode="General" sourceLinked="1"/>
        <c:majorTickMark val="out"/>
        <c:minorTickMark val="none"/>
        <c:tickLblPos val="nextTo"/>
        <c:crossAx val="1584694352"/>
        <c:crosses val="autoZero"/>
        <c:auto val="1"/>
        <c:lblAlgn val="ctr"/>
        <c:lblOffset val="100"/>
        <c:noMultiLvlLbl val="0"/>
      </c:catAx>
      <c:spPr>
        <a:noFill/>
        <a:ln>
          <a:noFill/>
        </a:ln>
        <a:effectLst/>
      </c:spPr>
    </c:plotArea>
    <c:legend>
      <c:legendPos val="b"/>
      <c:layout>
        <c:manualLayout>
          <c:xMode val="edge"/>
          <c:yMode val="edge"/>
          <c:x val="9.6998825423065205E-2"/>
          <c:y val="0.89024313424236601"/>
          <c:w val="0.80600234915386959"/>
          <c:h val="0.109756865757633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831877852092243E-2"/>
          <c:y val="0.11261127741821692"/>
          <c:w val="0.81510746932719957"/>
          <c:h val="0.62374310206574657"/>
        </c:manualLayout>
      </c:layout>
      <c:lineChart>
        <c:grouping val="standard"/>
        <c:varyColors val="0"/>
        <c:ser>
          <c:idx val="1"/>
          <c:order val="1"/>
          <c:tx>
            <c:strRef>
              <c:f>'Portfolio Level'!$P$118</c:f>
              <c:strCache>
                <c:ptCount val="1"/>
                <c:pt idx="0">
                  <c:v>Պարտք / Ակտիվներ</c:v>
                </c:pt>
              </c:strCache>
            </c:strRef>
          </c:tx>
          <c:spPr>
            <a:ln w="28575" cap="rnd">
              <a:solidFill>
                <a:srgbClr val="F2A900"/>
              </a:solidFill>
              <a:round/>
            </a:ln>
            <a:effectLst/>
          </c:spPr>
          <c:marker>
            <c:symbol val="none"/>
          </c:marker>
          <c:cat>
            <c:numRef>
              <c:f>[0]!Year_a</c:f>
              <c:numCache>
                <c:formatCode>General</c:formatCode>
                <c:ptCount val="5"/>
                <c:pt idx="0">
                  <c:v>2018</c:v>
                </c:pt>
                <c:pt idx="1">
                  <c:v>2019</c:v>
                </c:pt>
                <c:pt idx="2">
                  <c:v>2020</c:v>
                </c:pt>
                <c:pt idx="3">
                  <c:v>2021</c:v>
                </c:pt>
                <c:pt idx="4">
                  <c:v>2022</c:v>
                </c:pt>
              </c:numCache>
            </c:numRef>
          </c:cat>
          <c:val>
            <c:numRef>
              <c:f>[0]!Agg_DtA</c:f>
              <c:numCache>
                <c:formatCode>General</c:formatCode>
                <c:ptCount val="5"/>
                <c:pt idx="0">
                  <c:v>0.86500538935727977</c:v>
                </c:pt>
                <c:pt idx="1">
                  <c:v>0.8603948260519737</c:v>
                </c:pt>
                <c:pt idx="2">
                  <c:v>0.94261742131920745</c:v>
                </c:pt>
                <c:pt idx="3">
                  <c:v>0.84307398770274888</c:v>
                </c:pt>
                <c:pt idx="4">
                  <c:v>0.64431352503729566</c:v>
                </c:pt>
              </c:numCache>
            </c:numRef>
          </c:val>
          <c:smooth val="0"/>
          <c:extLst>
            <c:ext xmlns:c16="http://schemas.microsoft.com/office/drawing/2014/chart" uri="{C3380CC4-5D6E-409C-BE32-E72D297353CC}">
              <c16:uniqueId val="{00000000-3769-4927-B699-EBDA3810C12A}"/>
            </c:ext>
          </c:extLst>
        </c:ser>
        <c:dLbls>
          <c:showLegendKey val="0"/>
          <c:showVal val="0"/>
          <c:showCatName val="0"/>
          <c:showSerName val="0"/>
          <c:showPercent val="0"/>
          <c:showBubbleSize val="0"/>
        </c:dLbls>
        <c:marker val="1"/>
        <c:smooth val="0"/>
        <c:axId val="54388255"/>
        <c:axId val="2037993584"/>
      </c:lineChart>
      <c:lineChart>
        <c:grouping val="standard"/>
        <c:varyColors val="0"/>
        <c:ser>
          <c:idx val="0"/>
          <c:order val="0"/>
          <c:tx>
            <c:strRef>
              <c:f>'Portfolio Level'!$P$119</c:f>
              <c:strCache>
                <c:ptCount val="1"/>
                <c:pt idx="0">
                  <c:v>Պարտք / Սեփական Կապիտալ</c:v>
                </c:pt>
              </c:strCache>
            </c:strRef>
          </c:tx>
          <c:spPr>
            <a:ln w="28575" cap="rnd">
              <a:solidFill>
                <a:srgbClr val="004C97"/>
              </a:solidFill>
              <a:round/>
            </a:ln>
            <a:effectLst/>
          </c:spPr>
          <c:marker>
            <c:symbol val="none"/>
          </c:marker>
          <c:cat>
            <c:numRef>
              <c:f>[0]!Year_a</c:f>
              <c:numCache>
                <c:formatCode>General</c:formatCode>
                <c:ptCount val="5"/>
                <c:pt idx="0">
                  <c:v>2018</c:v>
                </c:pt>
                <c:pt idx="1">
                  <c:v>2019</c:v>
                </c:pt>
                <c:pt idx="2">
                  <c:v>2020</c:v>
                </c:pt>
                <c:pt idx="3">
                  <c:v>2021</c:v>
                </c:pt>
                <c:pt idx="4">
                  <c:v>2022</c:v>
                </c:pt>
              </c:numCache>
            </c:numRef>
          </c:cat>
          <c:val>
            <c:numRef>
              <c:f>[0]!Agg_DtE</c:f>
              <c:numCache>
                <c:formatCode>General</c:formatCode>
                <c:ptCount val="5"/>
                <c:pt idx="0">
                  <c:v>6.4077031315466559</c:v>
                </c:pt>
                <c:pt idx="1">
                  <c:v>6.1630583002051944</c:v>
                </c:pt>
                <c:pt idx="2">
                  <c:v>16.426891976444512</c:v>
                </c:pt>
                <c:pt idx="3">
                  <c:v>5.3724308918476043</c:v>
                </c:pt>
                <c:pt idx="4">
                  <c:v>1.8114647882094914</c:v>
                </c:pt>
              </c:numCache>
            </c:numRef>
          </c:val>
          <c:smooth val="0"/>
          <c:extLst>
            <c:ext xmlns:c16="http://schemas.microsoft.com/office/drawing/2014/chart" uri="{C3380CC4-5D6E-409C-BE32-E72D297353CC}">
              <c16:uniqueId val="{00000001-3769-4927-B699-EBDA3810C12A}"/>
            </c:ext>
          </c:extLst>
        </c:ser>
        <c:dLbls>
          <c:showLegendKey val="0"/>
          <c:showVal val="0"/>
          <c:showCatName val="0"/>
          <c:showSerName val="0"/>
          <c:showPercent val="0"/>
          <c:showBubbleSize val="0"/>
        </c:dLbls>
        <c:marker val="1"/>
        <c:smooth val="0"/>
        <c:axId val="2081863200"/>
        <c:axId val="133297407"/>
      </c:lineChart>
      <c:valAx>
        <c:axId val="2037993584"/>
        <c:scaling>
          <c:orientation val="minMax"/>
        </c:scaling>
        <c:delete val="0"/>
        <c:axPos val="r"/>
        <c:majorGridlines>
          <c:spPr>
            <a:ln w="3175" cap="flat" cmpd="sng" algn="ctr">
              <a:noFill/>
              <a:round/>
            </a:ln>
            <a:effectLst/>
          </c:spPr>
        </c:majorGridlines>
        <c:numFmt formatCode="#,##0.0" sourceLinked="0"/>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54388255"/>
        <c:crosses val="max"/>
        <c:crossBetween val="between"/>
      </c:valAx>
      <c:catAx>
        <c:axId val="5438825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2037993584"/>
        <c:crosses val="autoZero"/>
        <c:auto val="1"/>
        <c:lblAlgn val="ctr"/>
        <c:lblOffset val="100"/>
        <c:noMultiLvlLbl val="0"/>
      </c:catAx>
      <c:valAx>
        <c:axId val="133297407"/>
        <c:scaling>
          <c:orientation val="minMax"/>
        </c:scaling>
        <c:delete val="0"/>
        <c:axPos val="l"/>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crossAx val="2081863200"/>
        <c:crosses val="autoZero"/>
        <c:crossBetween val="between"/>
      </c:valAx>
      <c:catAx>
        <c:axId val="2081863200"/>
        <c:scaling>
          <c:orientation val="minMax"/>
        </c:scaling>
        <c:delete val="1"/>
        <c:axPos val="b"/>
        <c:numFmt formatCode="General" sourceLinked="1"/>
        <c:majorTickMark val="out"/>
        <c:minorTickMark val="none"/>
        <c:tickLblPos val="nextTo"/>
        <c:crossAx val="1332974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venir Next LT Pro" panose="020B0504020202020204" pitchFamily="34" charset="0"/>
              <a:ea typeface="+mn-ea"/>
              <a:cs typeface="Segoe UI" panose="020B0502040204020203"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bg1">
          <a:lumMod val="85000"/>
        </a:schemeClr>
      </a:solidFill>
      <a:round/>
    </a:ln>
    <a:effectLst/>
  </c:spPr>
  <c:txPr>
    <a:bodyPr/>
    <a:lstStyle/>
    <a:p>
      <a:pPr>
        <a:defRPr sz="900">
          <a:latin typeface="Avenir Next LT Pro" panose="020B0504020202020204" pitchFamily="34" charset="0"/>
          <a:cs typeface="Segoe UI" panose="020B0502040204020203" pitchFamily="34" charset="0"/>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686014680250062"/>
          <c:y val="0.11283520298082052"/>
          <c:w val="0.38627988086909032"/>
          <c:h val="0.70506819104639218"/>
        </c:manualLayout>
      </c:layout>
      <c:doughnutChart>
        <c:varyColors val="1"/>
        <c:ser>
          <c:idx val="0"/>
          <c:order val="0"/>
          <c:explosion val="2"/>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443-4560-93B3-E2BA67F1D64B}"/>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443-4560-93B3-E2BA67F1D64B}"/>
              </c:ext>
            </c:extLst>
          </c:dPt>
          <c:dPt>
            <c:idx val="2"/>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443-4560-93B3-E2BA67F1D64B}"/>
              </c:ext>
            </c:extLst>
          </c:dPt>
          <c:dPt>
            <c:idx val="3"/>
            <c:bubble3D val="0"/>
            <c:spPr>
              <a:solidFill>
                <a:schemeClr val="accent6">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443-4560-93B3-E2BA67F1D64B}"/>
              </c:ext>
            </c:extLst>
          </c:dPt>
          <c:dPt>
            <c:idx val="4"/>
            <c:bubble3D val="0"/>
            <c:spPr>
              <a:solidFill>
                <a:schemeClr val="accent5">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1443-4560-93B3-E2BA67F1D64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'[October 2023.xlsx]Currency'!$E$4:$E$8</c:f>
              <c:strCache>
                <c:ptCount val="5"/>
                <c:pt idx="0">
                  <c:v>Եվրո</c:v>
                </c:pt>
                <c:pt idx="1">
                  <c:v>ՀՀ դրամ</c:v>
                </c:pt>
                <c:pt idx="2">
                  <c:v>ԱՄՆ դոլար</c:v>
                </c:pt>
                <c:pt idx="3">
                  <c:v>Ճապոնական իեն</c:v>
                </c:pt>
                <c:pt idx="4">
                  <c:v>ՀՓԻ</c:v>
                </c:pt>
              </c:strCache>
            </c:strRef>
          </c:cat>
          <c:val>
            <c:numRef>
              <c:f>'[October 2023.xlsx]Currency'!$F$4:$F$8</c:f>
              <c:numCache>
                <c:formatCode>_-* #,##0.00_р_._-;\-* #,##0.00_р_._-;_-* "-"??_р_._-;_-@_-</c:formatCode>
                <c:ptCount val="5"/>
                <c:pt idx="0">
                  <c:v>39997.424919460944</c:v>
                </c:pt>
                <c:pt idx="1">
                  <c:v>99739.838840865297</c:v>
                </c:pt>
                <c:pt idx="2">
                  <c:v>101609.41664580256</c:v>
                </c:pt>
                <c:pt idx="3">
                  <c:v>54413.757552459218</c:v>
                </c:pt>
                <c:pt idx="4">
                  <c:v>7886.4056215429946</c:v>
                </c:pt>
              </c:numCache>
            </c:numRef>
          </c:val>
          <c:extLst>
            <c:ext xmlns:c16="http://schemas.microsoft.com/office/drawing/2014/chart" uri="{C3380CC4-5D6E-409C-BE32-E72D297353CC}">
              <c16:uniqueId val="{0000000A-1443-4560-93B3-E2BA67F1D64B}"/>
            </c:ext>
          </c:extLst>
        </c:ser>
        <c:dLbls>
          <c:showLegendKey val="0"/>
          <c:showVal val="0"/>
          <c:showCatName val="0"/>
          <c:showSerName val="0"/>
          <c:showPercent val="1"/>
          <c:showBubbleSize val="0"/>
          <c:showLeaderLines val="0"/>
        </c:dLbls>
        <c:firstSliceAng val="0"/>
        <c:holeSize val="50"/>
      </c:doughnutChart>
      <c:spPr>
        <a:noFill/>
        <a:ln>
          <a:noFill/>
        </a:ln>
        <a:effectLst/>
      </c:spPr>
    </c:plotArea>
    <c:legend>
      <c:legendPos val="t"/>
      <c:layout>
        <c:manualLayout>
          <c:xMode val="edge"/>
          <c:yMode val="edge"/>
          <c:x val="0.18244459139040148"/>
          <c:y val="0.91001011122345798"/>
          <c:w val="0.61738407505177506"/>
          <c:h val="6.82512360373558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1420829763884221E-2"/>
          <c:y val="8.7870573555354742E-2"/>
          <c:w val="0.91312603484945498"/>
          <c:h val="0.6173873757583581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695-40F0-9C08-741A74D8B344}"/>
              </c:ext>
            </c:extLst>
          </c:dPt>
          <c:dPt>
            <c:idx val="1"/>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3-1695-40F0-9C08-741A74D8B344}"/>
              </c:ext>
            </c:extLst>
          </c:dPt>
          <c:dPt>
            <c:idx val="2"/>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5-1695-40F0-9C08-741A74D8B344}"/>
              </c:ext>
            </c:extLst>
          </c:dPt>
          <c:dPt>
            <c:idx val="3"/>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1695-40F0-9C08-741A74D8B344}"/>
              </c:ext>
            </c:extLst>
          </c:dPt>
          <c:dPt>
            <c:idx val="4"/>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1695-40F0-9C08-741A74D8B344}"/>
              </c:ext>
            </c:extLst>
          </c:dPt>
          <c:dPt>
            <c:idx val="5"/>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1695-40F0-9C08-741A74D8B344}"/>
              </c:ext>
            </c:extLst>
          </c:dPt>
          <c:dPt>
            <c:idx val="6"/>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695-40F0-9C08-741A74D8B344}"/>
              </c:ext>
            </c:extLst>
          </c:dPt>
          <c:dPt>
            <c:idx val="7"/>
            <c:bubble3D val="0"/>
            <c:spPr>
              <a:solidFill>
                <a:schemeClr val="accent3">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1695-40F0-9C08-741A74D8B344}"/>
              </c:ext>
            </c:extLst>
          </c:dPt>
          <c:dPt>
            <c:idx val="8"/>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1695-40F0-9C08-741A74D8B344}"/>
              </c:ext>
            </c:extLst>
          </c:dPt>
          <c:dPt>
            <c:idx val="9"/>
            <c:bubble3D val="0"/>
            <c:spPr>
              <a:solidFill>
                <a:schemeClr val="accent1">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1695-40F0-9C08-741A74D8B344}"/>
              </c:ext>
            </c:extLst>
          </c:dPt>
          <c:dLbls>
            <c:dLbl>
              <c:idx val="0"/>
              <c:layout>
                <c:manualLayout>
                  <c:x val="5.4836334578496765E-3"/>
                  <c:y val="-6.2229926177260631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695-40F0-9C08-741A74D8B344}"/>
                </c:ext>
              </c:extLst>
            </c:dLbl>
            <c:dLbl>
              <c:idx val="1"/>
              <c:layout>
                <c:manualLayout>
                  <c:x val="0.24153271214952352"/>
                  <c:y val="1.66708928333110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695-40F0-9C08-741A74D8B344}"/>
                </c:ext>
              </c:extLst>
            </c:dLbl>
            <c:dLbl>
              <c:idx val="3"/>
              <c:layout>
                <c:manualLayout>
                  <c:x val="0.20082218029481927"/>
                  <c:y val="-0.119120512478313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695-40F0-9C08-741A74D8B34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'[October 2023.xlsx]Sheet5'!$A$20:$A$29</c:f>
              <c:strCache>
                <c:ptCount val="10"/>
                <c:pt idx="0">
                  <c:v>Այլ</c:v>
                </c:pt>
                <c:pt idx="1">
                  <c:v>Առողջապահություն</c:v>
                </c:pt>
                <c:pt idx="2">
                  <c:v>Գյուղատնտեսություն</c:v>
                </c:pt>
                <c:pt idx="3">
                  <c:v>Էներգետիկա</c:v>
                </c:pt>
                <c:pt idx="4">
                  <c:v>Կապ և տրանսպորտ</c:v>
                </c:pt>
                <c:pt idx="5">
                  <c:v>Մշակույթ</c:v>
                </c:pt>
                <c:pt idx="6">
                  <c:v>Մունիցիպալ ծառայություններ</c:v>
                </c:pt>
                <c:pt idx="7">
                  <c:v>Շինարարություն</c:v>
                </c:pt>
                <c:pt idx="8">
                  <c:v>Քիմիա</c:v>
                </c:pt>
                <c:pt idx="9">
                  <c:v>Ֆինանսական </c:v>
                </c:pt>
              </c:strCache>
            </c:strRef>
          </c:cat>
          <c:val>
            <c:numRef>
              <c:f>'[October 2023.xlsx]Sheet5'!$B$20:$B$29</c:f>
              <c:numCache>
                <c:formatCode>_-* #,##0_р_._-;\-* #,##0_р_._-;_-* "-"??_р_._-;_-@_-</c:formatCode>
                <c:ptCount val="10"/>
                <c:pt idx="0">
                  <c:v>1285970112.8662739</c:v>
                </c:pt>
                <c:pt idx="1">
                  <c:v>2195966701</c:v>
                </c:pt>
                <c:pt idx="2">
                  <c:v>11936562953.969</c:v>
                </c:pt>
                <c:pt idx="3">
                  <c:v>238987385892.48154</c:v>
                </c:pt>
                <c:pt idx="4">
                  <c:v>10911838000.735048</c:v>
                </c:pt>
                <c:pt idx="5">
                  <c:v>124524389.9614</c:v>
                </c:pt>
                <c:pt idx="6">
                  <c:v>1276297496.6754518</c:v>
                </c:pt>
                <c:pt idx="7">
                  <c:v>13908845719.142399</c:v>
                </c:pt>
                <c:pt idx="8">
                  <c:v>303444194</c:v>
                </c:pt>
                <c:pt idx="9">
                  <c:v>22716008119.29998</c:v>
                </c:pt>
              </c:numCache>
            </c:numRef>
          </c:val>
          <c:extLst>
            <c:ext xmlns:c16="http://schemas.microsoft.com/office/drawing/2014/chart" uri="{C3380CC4-5D6E-409C-BE32-E72D297353CC}">
              <c16:uniqueId val="{00000014-1695-40F0-9C08-741A74D8B344}"/>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4.2536434552151191E-2"/>
          <c:y val="0.75668307854960748"/>
          <c:w val="0.90827949353660731"/>
          <c:h val="0.219897717703319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7614709925968"/>
          <c:y val="0.12727272727272718"/>
          <c:w val="0.82715542910077533"/>
          <c:h val="0.45733767572247186"/>
        </c:manualLayout>
      </c:layout>
      <c:barChart>
        <c:barDir val="col"/>
        <c:grouping val="clustered"/>
        <c:varyColors val="0"/>
        <c:ser>
          <c:idx val="1"/>
          <c:order val="1"/>
          <c:tx>
            <c:strRef>
              <c:f>Sheet1!$C$1</c:f>
              <c:strCache>
                <c:ptCount val="1"/>
                <c:pt idx="0">
                  <c:v>Արտահանում</c:v>
                </c:pt>
              </c:strCache>
            </c:strRef>
          </c:tx>
          <c:spPr>
            <a:solidFill>
              <a:srgbClr val="ED7D31">
                <a:lumMod val="60000"/>
                <a:lumOff val="40000"/>
              </a:srgbClr>
            </a:solidFill>
            <a:ln>
              <a:noFill/>
            </a:ln>
            <a:effectLst/>
          </c:spPr>
          <c:invertIfNegative val="0"/>
          <c:cat>
            <c:numRef>
              <c:f>Sheet1!$A$2:$A$11</c:f>
              <c:numCache>
                <c:formatCode>General</c:formatCode>
                <c:ptCount val="6"/>
                <c:pt idx="0">
                  <c:v>2019</c:v>
                </c:pt>
                <c:pt idx="1">
                  <c:v>2020</c:v>
                </c:pt>
                <c:pt idx="2">
                  <c:v>2021</c:v>
                </c:pt>
                <c:pt idx="3">
                  <c:v>2022</c:v>
                </c:pt>
                <c:pt idx="4">
                  <c:v>2023</c:v>
                </c:pt>
                <c:pt idx="5">
                  <c:v>2024</c:v>
                </c:pt>
              </c:numCache>
            </c:numRef>
          </c:cat>
          <c:val>
            <c:numRef>
              <c:f>Sheet1!$C$2:$C$11</c:f>
              <c:numCache>
                <c:formatCode>0.0</c:formatCode>
                <c:ptCount val="6"/>
                <c:pt idx="0">
                  <c:v>1.0609999999999999</c:v>
                </c:pt>
                <c:pt idx="1">
                  <c:v>-7.431</c:v>
                </c:pt>
                <c:pt idx="2">
                  <c:v>10.595000000000001</c:v>
                </c:pt>
                <c:pt idx="3">
                  <c:v>4.79</c:v>
                </c:pt>
                <c:pt idx="4">
                  <c:v>2.4620000000000002</c:v>
                </c:pt>
                <c:pt idx="5">
                  <c:v>3.5230000000000001</c:v>
                </c:pt>
              </c:numCache>
            </c:numRef>
          </c:val>
          <c:extLst>
            <c:ext xmlns:c16="http://schemas.microsoft.com/office/drawing/2014/chart" uri="{C3380CC4-5D6E-409C-BE32-E72D297353CC}">
              <c16:uniqueId val="{00000000-401A-42BD-B3FD-96F8748556B7}"/>
            </c:ext>
          </c:extLst>
        </c:ser>
        <c:ser>
          <c:idx val="2"/>
          <c:order val="2"/>
          <c:tx>
            <c:strRef>
              <c:f>Sheet1!$D$1</c:f>
              <c:strCache>
                <c:ptCount val="1"/>
                <c:pt idx="0">
                  <c:v>Ներմուծում</c:v>
                </c:pt>
              </c:strCache>
            </c:strRef>
          </c:tx>
          <c:spPr>
            <a:solidFill>
              <a:srgbClr val="2E75B6"/>
            </a:solidFill>
            <a:ln>
              <a:solidFill>
                <a:schemeClr val="accent1"/>
              </a:solidFill>
            </a:ln>
            <a:effectLst/>
          </c:spPr>
          <c:invertIfNegative val="0"/>
          <c:cat>
            <c:numRef>
              <c:f>Sheet1!$A$2:$A$11</c:f>
              <c:numCache>
                <c:formatCode>General</c:formatCode>
                <c:ptCount val="6"/>
                <c:pt idx="0">
                  <c:v>2019</c:v>
                </c:pt>
                <c:pt idx="1">
                  <c:v>2020</c:v>
                </c:pt>
                <c:pt idx="2">
                  <c:v>2021</c:v>
                </c:pt>
                <c:pt idx="3">
                  <c:v>2022</c:v>
                </c:pt>
                <c:pt idx="4">
                  <c:v>2023</c:v>
                </c:pt>
                <c:pt idx="5">
                  <c:v>2024</c:v>
                </c:pt>
              </c:numCache>
            </c:numRef>
          </c:cat>
          <c:val>
            <c:numRef>
              <c:f>Sheet1!$D$2:$D$11</c:f>
              <c:numCache>
                <c:formatCode>0.0</c:formatCode>
                <c:ptCount val="6"/>
                <c:pt idx="0">
                  <c:v>0.90800000000000003</c:v>
                </c:pt>
                <c:pt idx="1">
                  <c:v>-8.1530000000000005</c:v>
                </c:pt>
                <c:pt idx="2">
                  <c:v>10.641</c:v>
                </c:pt>
                <c:pt idx="3">
                  <c:v>5.4459999999999997</c:v>
                </c:pt>
                <c:pt idx="4">
                  <c:v>2.363</c:v>
                </c:pt>
                <c:pt idx="5">
                  <c:v>3.5760000000000001</c:v>
                </c:pt>
              </c:numCache>
            </c:numRef>
          </c:val>
          <c:extLst>
            <c:ext xmlns:c16="http://schemas.microsoft.com/office/drawing/2014/chart" uri="{C3380CC4-5D6E-409C-BE32-E72D297353CC}">
              <c16:uniqueId val="{00000001-401A-42BD-B3FD-96F8748556B7}"/>
            </c:ext>
          </c:extLst>
        </c:ser>
        <c:dLbls>
          <c:showLegendKey val="0"/>
          <c:showVal val="0"/>
          <c:showCatName val="0"/>
          <c:showSerName val="0"/>
          <c:showPercent val="0"/>
          <c:showBubbleSize val="0"/>
        </c:dLbls>
        <c:gapWidth val="150"/>
        <c:axId val="1586421568"/>
        <c:axId val="1586418848"/>
      </c:barChart>
      <c:lineChart>
        <c:grouping val="standard"/>
        <c:varyColors val="0"/>
        <c:ser>
          <c:idx val="0"/>
          <c:order val="0"/>
          <c:tx>
            <c:strRef>
              <c:f>Sheet1!$B$1</c:f>
              <c:strCache>
                <c:ptCount val="1"/>
                <c:pt idx="0">
                  <c:v>Առևտրաշրջանառություն</c:v>
                </c:pt>
              </c:strCache>
            </c:strRef>
          </c:tx>
          <c:spPr>
            <a:ln w="28575" cap="rnd">
              <a:solidFill>
                <a:srgbClr val="44546A"/>
              </a:solidFill>
              <a:round/>
            </a:ln>
            <a:effectLst/>
          </c:spPr>
          <c:marker>
            <c:symbol val="circle"/>
            <c:size val="5"/>
            <c:spPr>
              <a:solidFill>
                <a:srgbClr val="4472C4">
                  <a:lumMod val="50000"/>
                </a:srgbClr>
              </a:solidFill>
              <a:ln w="9525">
                <a:solidFill>
                  <a:srgbClr val="4472C4">
                    <a:lumMod val="50000"/>
                  </a:srgbClr>
                </a:solidFill>
              </a:ln>
              <a:effectLst/>
            </c:spPr>
          </c:marker>
          <c:dLbls>
            <c:dLbl>
              <c:idx val="1"/>
              <c:layout>
                <c:manualLayout>
                  <c:x val="-6.9211198600175022E-2"/>
                  <c:y val="2.23762699519018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1A-42BD-B3FD-96F8748556B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6"/>
                <c:pt idx="0">
                  <c:v>2019</c:v>
                </c:pt>
                <c:pt idx="1">
                  <c:v>2020</c:v>
                </c:pt>
                <c:pt idx="2">
                  <c:v>2021</c:v>
                </c:pt>
                <c:pt idx="3">
                  <c:v>2022</c:v>
                </c:pt>
                <c:pt idx="4">
                  <c:v>2023</c:v>
                </c:pt>
                <c:pt idx="5">
                  <c:v>2024</c:v>
                </c:pt>
              </c:numCache>
            </c:numRef>
          </c:cat>
          <c:val>
            <c:numRef>
              <c:f>Sheet1!$B$2:$B$11</c:f>
              <c:numCache>
                <c:formatCode>0.0</c:formatCode>
                <c:ptCount val="6"/>
                <c:pt idx="0">
                  <c:v>0.98499999999999999</c:v>
                </c:pt>
                <c:pt idx="1">
                  <c:v>-7.7910000000000004</c:v>
                </c:pt>
                <c:pt idx="2">
                  <c:v>10.617000000000001</c:v>
                </c:pt>
                <c:pt idx="3">
                  <c:v>5.1159999999999997</c:v>
                </c:pt>
                <c:pt idx="4">
                  <c:v>2.4129999999999998</c:v>
                </c:pt>
                <c:pt idx="5">
                  <c:v>3.5489999999999999</c:v>
                </c:pt>
              </c:numCache>
            </c:numRef>
          </c:val>
          <c:smooth val="0"/>
          <c:extLst>
            <c:ext xmlns:c16="http://schemas.microsoft.com/office/drawing/2014/chart" uri="{C3380CC4-5D6E-409C-BE32-E72D297353CC}">
              <c16:uniqueId val="{00000003-401A-42BD-B3FD-96F8748556B7}"/>
            </c:ext>
          </c:extLst>
        </c:ser>
        <c:dLbls>
          <c:showLegendKey val="0"/>
          <c:showVal val="0"/>
          <c:showCatName val="0"/>
          <c:showSerName val="0"/>
          <c:showPercent val="0"/>
          <c:showBubbleSize val="0"/>
        </c:dLbls>
        <c:marker val="1"/>
        <c:smooth val="0"/>
        <c:axId val="1586421568"/>
        <c:axId val="1586418848"/>
      </c:lineChart>
      <c:catAx>
        <c:axId val="15864215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6418848"/>
        <c:crosses val="autoZero"/>
        <c:auto val="1"/>
        <c:lblAlgn val="ctr"/>
        <c:lblOffset val="100"/>
        <c:noMultiLvlLbl val="0"/>
      </c:catAx>
      <c:valAx>
        <c:axId val="1586418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y-AM" sz="800" b="0" i="0" u="none" strike="noStrike" kern="1200" baseline="0">
                    <a:solidFill>
                      <a:sysClr val="windowText" lastClr="000000">
                        <a:lumMod val="65000"/>
                        <a:lumOff val="35000"/>
                      </a:sysClr>
                    </a:solidFill>
                    <a:latin typeface="+mn-lt"/>
                    <a:ea typeface="+mn-ea"/>
                    <a:cs typeface="+mn-cs"/>
                  </a:rPr>
                  <a:t>%</a:t>
                </a:r>
                <a:endParaRPr lang="en-US" sz="800"/>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6421568"/>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1.9547920725707145E-3"/>
          <c:y val="0.7584328291758361"/>
          <c:w val="0.98445949256342957"/>
          <c:h val="0.239063768079070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withinLinear" id="18">
  <a:schemeClr val="accent5"/>
</cs:colorStyle>
</file>

<file path=word/charts/colors19.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 id="18">
  <a:schemeClr val="accent5"/>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0.5529</cdr:x>
      <cdr:y>0.00474</cdr:y>
    </cdr:from>
    <cdr:to>
      <cdr:x>1</cdr:x>
      <cdr:y>0.85332</cdr:y>
    </cdr:to>
    <cdr:sp macro="" textlink="">
      <cdr:nvSpPr>
        <cdr:cNvPr id="2" name="Rectangle 1"/>
        <cdr:cNvSpPr/>
      </cdr:nvSpPr>
      <cdr:spPr>
        <a:xfrm xmlns:a="http://schemas.openxmlformats.org/drawingml/2006/main">
          <a:off x="1543050" y="9316"/>
          <a:ext cx="1247775" cy="1667735"/>
        </a:xfrm>
        <a:prstGeom xmlns:a="http://schemas.openxmlformats.org/drawingml/2006/main" prst="rect">
          <a:avLst/>
        </a:prstGeom>
        <a:solidFill xmlns:a="http://schemas.openxmlformats.org/drawingml/2006/main">
          <a:srgbClr val="D8E2F4">
            <a:alpha val="3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0.74101</cdr:x>
      <cdr:y>0.18275</cdr:y>
    </cdr:from>
    <cdr:to>
      <cdr:x>1</cdr:x>
      <cdr:y>0.78816</cdr:y>
    </cdr:to>
    <cdr:sp macro="" textlink="">
      <cdr:nvSpPr>
        <cdr:cNvPr id="2" name="Rectangle 1"/>
        <cdr:cNvSpPr/>
      </cdr:nvSpPr>
      <cdr:spPr>
        <a:xfrm xmlns:a="http://schemas.openxmlformats.org/drawingml/2006/main">
          <a:off x="2276474" y="392701"/>
          <a:ext cx="795655" cy="1300929"/>
        </a:xfrm>
        <a:prstGeom xmlns:a="http://schemas.openxmlformats.org/drawingml/2006/main" prst="rect">
          <a:avLst/>
        </a:prstGeom>
        <a:solidFill xmlns:a="http://schemas.openxmlformats.org/drawingml/2006/main">
          <a:srgbClr val="D8E2F4">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solidFill>
              <a:schemeClr val="lt1">
                <a:alpha val="40000"/>
              </a:schemeClr>
            </a:solidFill>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0.70593</cdr:x>
      <cdr:y>0</cdr:y>
    </cdr:from>
    <cdr:to>
      <cdr:x>1</cdr:x>
      <cdr:y>0.688</cdr:y>
    </cdr:to>
    <cdr:sp macro="" textlink="">
      <cdr:nvSpPr>
        <cdr:cNvPr id="2" name="Rectangle 1"/>
        <cdr:cNvSpPr/>
      </cdr:nvSpPr>
      <cdr:spPr>
        <a:xfrm xmlns:a="http://schemas.openxmlformats.org/drawingml/2006/main">
          <a:off x="2018996" y="0"/>
          <a:ext cx="841044" cy="1733540"/>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2.xml><?xml version="1.0" encoding="utf-8"?>
<c:userShapes xmlns:c="http://schemas.openxmlformats.org/drawingml/2006/chart">
  <cdr:relSizeAnchor xmlns:cdr="http://schemas.openxmlformats.org/drawingml/2006/chartDrawing">
    <cdr:from>
      <cdr:x>0.73728</cdr:x>
      <cdr:y>0</cdr:y>
    </cdr:from>
    <cdr:to>
      <cdr:x>1</cdr:x>
      <cdr:y>0.79245</cdr:y>
    </cdr:to>
    <cdr:sp macro="" textlink="">
      <cdr:nvSpPr>
        <cdr:cNvPr id="2" name="Rectangle 1"/>
        <cdr:cNvSpPr/>
      </cdr:nvSpPr>
      <cdr:spPr>
        <a:xfrm xmlns:a="http://schemas.openxmlformats.org/drawingml/2006/main">
          <a:off x="1989734" y="0"/>
          <a:ext cx="709015" cy="1866893"/>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3.xml><?xml version="1.0" encoding="utf-8"?>
<c:userShapes xmlns:c="http://schemas.openxmlformats.org/drawingml/2006/chart">
  <cdr:relSizeAnchor xmlns:cdr="http://schemas.openxmlformats.org/drawingml/2006/chartDrawing">
    <cdr:from>
      <cdr:x>0.73088</cdr:x>
      <cdr:y>0</cdr:y>
    </cdr:from>
    <cdr:to>
      <cdr:x>0.98311</cdr:x>
      <cdr:y>0.71069</cdr:y>
    </cdr:to>
    <cdr:sp macro="" textlink="">
      <cdr:nvSpPr>
        <cdr:cNvPr id="2" name="Rectangle 1"/>
        <cdr:cNvSpPr/>
      </cdr:nvSpPr>
      <cdr:spPr>
        <a:xfrm xmlns:a="http://schemas.openxmlformats.org/drawingml/2006/main">
          <a:off x="2026311" y="0"/>
          <a:ext cx="699273" cy="1790711"/>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4.xml><?xml version="1.0" encoding="utf-8"?>
<c:userShapes xmlns:c="http://schemas.openxmlformats.org/drawingml/2006/chart">
  <cdr:relSizeAnchor xmlns:cdr="http://schemas.openxmlformats.org/drawingml/2006/chartDrawing">
    <cdr:from>
      <cdr:x>0.7388</cdr:x>
      <cdr:y>0</cdr:y>
    </cdr:from>
    <cdr:to>
      <cdr:x>1</cdr:x>
      <cdr:y>0.785</cdr:y>
    </cdr:to>
    <cdr:sp macro="" textlink="">
      <cdr:nvSpPr>
        <cdr:cNvPr id="2" name="Rectangle 1"/>
        <cdr:cNvSpPr/>
      </cdr:nvSpPr>
      <cdr:spPr>
        <a:xfrm xmlns:a="http://schemas.openxmlformats.org/drawingml/2006/main">
          <a:off x="2048256" y="0"/>
          <a:ext cx="724153" cy="1847847"/>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5.xml><?xml version="1.0" encoding="utf-8"?>
<c:userShapes xmlns:c="http://schemas.openxmlformats.org/drawingml/2006/chart">
  <cdr:relSizeAnchor xmlns:cdr="http://schemas.openxmlformats.org/drawingml/2006/chartDrawing">
    <cdr:from>
      <cdr:x>0.38097</cdr:x>
      <cdr:y>0.07497</cdr:y>
    </cdr:from>
    <cdr:to>
      <cdr:x>0.80543</cdr:x>
      <cdr:y>0.21226</cdr:y>
    </cdr:to>
    <cdr:sp macro="" textlink="">
      <cdr:nvSpPr>
        <cdr:cNvPr id="2" name="Text Box 1"/>
        <cdr:cNvSpPr txBox="1"/>
      </cdr:nvSpPr>
      <cdr:spPr>
        <a:xfrm xmlns:a="http://schemas.openxmlformats.org/drawingml/2006/main">
          <a:off x="1128538" y="152092"/>
          <a:ext cx="1257361" cy="2785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US" sz="1000">
            <a:latin typeface="GHEA Grapalat" panose="02000506050000020003" pitchFamily="50"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0.35093</cdr:x>
      <cdr:y>0.0766</cdr:y>
    </cdr:from>
    <cdr:to>
      <cdr:x>0.73913</cdr:x>
      <cdr:y>0.1895</cdr:y>
    </cdr:to>
    <cdr:sp macro="" textlink="">
      <cdr:nvSpPr>
        <cdr:cNvPr id="2" name="Text Box 1"/>
        <cdr:cNvSpPr txBox="1"/>
      </cdr:nvSpPr>
      <cdr:spPr>
        <a:xfrm xmlns:a="http://schemas.openxmlformats.org/drawingml/2006/main">
          <a:off x="1076325" y="171450"/>
          <a:ext cx="1190625" cy="2527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US" sz="1000">
            <a:latin typeface="GHEA Grapalat" panose="02000506050000020003" pitchFamily="50"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0.72867</cdr:x>
      <cdr:y>0</cdr:y>
    </cdr:from>
    <cdr:to>
      <cdr:x>0.98017</cdr:x>
      <cdr:y>0.83823</cdr:y>
    </cdr:to>
    <cdr:sp macro="" textlink="">
      <cdr:nvSpPr>
        <cdr:cNvPr id="2" name="Rounded Rectangle 1"/>
        <cdr:cNvSpPr/>
      </cdr:nvSpPr>
      <cdr:spPr>
        <a:xfrm xmlns:a="http://schemas.openxmlformats.org/drawingml/2006/main">
          <a:off x="2150669" y="0"/>
          <a:ext cx="742290" cy="2706624"/>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solidFill>
            <a:schemeClr val="bg1">
              <a:lumMod val="85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8.xml><?xml version="1.0" encoding="utf-8"?>
<c:userShapes xmlns:c="http://schemas.openxmlformats.org/drawingml/2006/chart">
  <cdr:relSizeAnchor xmlns:cdr="http://schemas.openxmlformats.org/drawingml/2006/chartDrawing">
    <cdr:from>
      <cdr:x>0.71644</cdr:x>
      <cdr:y>0.01</cdr:y>
    </cdr:from>
    <cdr:to>
      <cdr:x>0.97418</cdr:x>
      <cdr:y>0.82301</cdr:y>
    </cdr:to>
    <cdr:sp macro="" textlink="">
      <cdr:nvSpPr>
        <cdr:cNvPr id="2" name="Rounded Rectangle 1"/>
        <cdr:cNvSpPr/>
      </cdr:nvSpPr>
      <cdr:spPr>
        <a:xfrm xmlns:a="http://schemas.openxmlformats.org/drawingml/2006/main">
          <a:off x="2114558" y="32290"/>
          <a:ext cx="760715" cy="2625185"/>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solidFill>
            <a:schemeClr val="bg1">
              <a:lumMod val="85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9.xml><?xml version="1.0" encoding="utf-8"?>
<c:userShapes xmlns:c="http://schemas.openxmlformats.org/drawingml/2006/chart">
  <cdr:relSizeAnchor xmlns:cdr="http://schemas.openxmlformats.org/drawingml/2006/chartDrawing">
    <cdr:from>
      <cdr:x>0.73883</cdr:x>
      <cdr:y>4.00713E-7</cdr:y>
    </cdr:from>
    <cdr:to>
      <cdr:x>1</cdr:x>
      <cdr:y>0.75318</cdr:y>
    </cdr:to>
    <cdr:sp macro="" textlink="">
      <cdr:nvSpPr>
        <cdr:cNvPr id="2" name="Rounded Rectangle 1"/>
        <cdr:cNvSpPr/>
      </cdr:nvSpPr>
      <cdr:spPr>
        <a:xfrm xmlns:a="http://schemas.openxmlformats.org/drawingml/2006/main">
          <a:off x="4410074" y="1"/>
          <a:ext cx="1558925" cy="1879597"/>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solidFill>
            <a:schemeClr val="bg1">
              <a:lumMod val="85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0.51294</cdr:x>
      <cdr:y>0</cdr:y>
    </cdr:from>
    <cdr:to>
      <cdr:x>0.83505</cdr:x>
      <cdr:y>0.89823</cdr:y>
    </cdr:to>
    <cdr:sp macro="" textlink="">
      <cdr:nvSpPr>
        <cdr:cNvPr id="2" name="Rectangle 1"/>
        <cdr:cNvSpPr/>
      </cdr:nvSpPr>
      <cdr:spPr>
        <a:xfrm xmlns:a="http://schemas.openxmlformats.org/drawingml/2006/main">
          <a:off x="1473880" y="-1589809"/>
          <a:ext cx="925542" cy="1753906"/>
        </a:xfrm>
        <a:prstGeom xmlns:a="http://schemas.openxmlformats.org/drawingml/2006/main" prst="rect">
          <a:avLst/>
        </a:prstGeom>
        <a:solidFill xmlns:a="http://schemas.openxmlformats.org/drawingml/2006/main">
          <a:srgbClr val="D8E2F4">
            <a:alpha val="3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0.xml><?xml version="1.0" encoding="utf-8"?>
<c:userShapes xmlns:c="http://schemas.openxmlformats.org/drawingml/2006/chart">
  <cdr:relSizeAnchor xmlns:cdr="http://schemas.openxmlformats.org/drawingml/2006/chartDrawing">
    <cdr:from>
      <cdr:x>0.73254</cdr:x>
      <cdr:y>0</cdr:y>
    </cdr:from>
    <cdr:to>
      <cdr:x>1</cdr:x>
      <cdr:y>0.78589</cdr:y>
    </cdr:to>
    <cdr:sp macro="" textlink="">
      <cdr:nvSpPr>
        <cdr:cNvPr id="2" name="Rounded Rectangle 1"/>
        <cdr:cNvSpPr/>
      </cdr:nvSpPr>
      <cdr:spPr>
        <a:xfrm xmlns:a="http://schemas.openxmlformats.org/drawingml/2006/main">
          <a:off x="2136038" y="0"/>
          <a:ext cx="779882" cy="2121420"/>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solidFill>
            <a:schemeClr val="bg1">
              <a:lumMod val="85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1.xml><?xml version="1.0" encoding="utf-8"?>
<c:userShapes xmlns:c="http://schemas.openxmlformats.org/drawingml/2006/chart">
  <cdr:relSizeAnchor xmlns:cdr="http://schemas.openxmlformats.org/drawingml/2006/chartDrawing">
    <cdr:from>
      <cdr:x>0.72</cdr:x>
      <cdr:y>0</cdr:y>
    </cdr:from>
    <cdr:to>
      <cdr:x>1</cdr:x>
      <cdr:y>0.80757</cdr:y>
    </cdr:to>
    <cdr:sp macro="" textlink="">
      <cdr:nvSpPr>
        <cdr:cNvPr id="2" name="Rounded Rectangle 1"/>
        <cdr:cNvSpPr/>
      </cdr:nvSpPr>
      <cdr:spPr>
        <a:xfrm xmlns:a="http://schemas.openxmlformats.org/drawingml/2006/main">
          <a:off x="2099462" y="0"/>
          <a:ext cx="816458" cy="2179930"/>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solidFill>
            <a:schemeClr val="bg1">
              <a:lumMod val="85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userShapes>
</file>

<file path=word/drawings/drawing22.xml><?xml version="1.0" encoding="utf-8"?>
<c:userShapes xmlns:c="http://schemas.openxmlformats.org/drawingml/2006/chart">
  <cdr:relSizeAnchor xmlns:cdr="http://schemas.openxmlformats.org/drawingml/2006/chartDrawing">
    <cdr:from>
      <cdr:x>0.13909</cdr:x>
      <cdr:y>0.26693</cdr:y>
    </cdr:from>
    <cdr:to>
      <cdr:x>0.85372</cdr:x>
      <cdr:y>0.27169</cdr:y>
    </cdr:to>
    <cdr:cxnSp macro="">
      <cdr:nvCxnSpPr>
        <cdr:cNvPr id="3" name="Straight Connector 2"/>
        <cdr:cNvCxnSpPr/>
      </cdr:nvCxnSpPr>
      <cdr:spPr>
        <a:xfrm xmlns:a="http://schemas.openxmlformats.org/drawingml/2006/main" flipH="1">
          <a:off x="400541" y="768673"/>
          <a:ext cx="2057938" cy="13708"/>
        </a:xfrm>
        <a:prstGeom xmlns:a="http://schemas.openxmlformats.org/drawingml/2006/main" prst="line">
          <a:avLst/>
        </a:prstGeom>
        <a:ln xmlns:a="http://schemas.openxmlformats.org/drawingml/2006/main" w="28575">
          <a:solidFill>
            <a:srgbClr val="C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0.12891</cdr:x>
      <cdr:y>0.3423</cdr:y>
    </cdr:from>
    <cdr:to>
      <cdr:x>0.84354</cdr:x>
      <cdr:y>0.34706</cdr:y>
    </cdr:to>
    <cdr:cxnSp macro="">
      <cdr:nvCxnSpPr>
        <cdr:cNvPr id="4" name="Straight Connector 3"/>
        <cdr:cNvCxnSpPr/>
      </cdr:nvCxnSpPr>
      <cdr:spPr>
        <a:xfrm xmlns:a="http://schemas.openxmlformats.org/drawingml/2006/main" flipH="1">
          <a:off x="371234" y="985729"/>
          <a:ext cx="2057938" cy="13707"/>
        </a:xfrm>
        <a:prstGeom xmlns:a="http://schemas.openxmlformats.org/drawingml/2006/main" prst="line">
          <a:avLst/>
        </a:prstGeom>
        <a:ln xmlns:a="http://schemas.openxmlformats.org/drawingml/2006/main" w="28575">
          <a:solidFill>
            <a:schemeClr val="accent4"/>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0.67999</cdr:x>
      <cdr:y>0.18483</cdr:y>
    </cdr:from>
    <cdr:to>
      <cdr:x>0.87483</cdr:x>
      <cdr:y>0.68245</cdr:y>
    </cdr:to>
    <cdr:sp macro="" textlink="">
      <cdr:nvSpPr>
        <cdr:cNvPr id="2" name="Rectangle 1"/>
        <cdr:cNvSpPr/>
      </cdr:nvSpPr>
      <cdr:spPr>
        <a:xfrm xmlns:a="http://schemas.openxmlformats.org/drawingml/2006/main">
          <a:off x="1933575" y="532260"/>
          <a:ext cx="554030" cy="1433008"/>
        </a:xfrm>
        <a:prstGeom xmlns:a="http://schemas.openxmlformats.org/drawingml/2006/main" prst="rect">
          <a:avLst/>
        </a:prstGeom>
        <a:solidFill xmlns:a="http://schemas.openxmlformats.org/drawingml/2006/main">
          <a:schemeClr val="bg1">
            <a:lumMod val="85000"/>
            <a:alpha val="3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hy-AM"/>
        </a:p>
      </cdr:txBody>
    </cdr:sp>
  </cdr:relSizeAnchor>
</c:userShapes>
</file>

<file path=word/drawings/drawing23.xml><?xml version="1.0" encoding="utf-8"?>
<c:userShapes xmlns:c="http://schemas.openxmlformats.org/drawingml/2006/chart">
  <cdr:relSizeAnchor xmlns:cdr="http://schemas.openxmlformats.org/drawingml/2006/chartDrawing">
    <cdr:from>
      <cdr:x>0.44656</cdr:x>
      <cdr:y>0.21122</cdr:y>
    </cdr:from>
    <cdr:to>
      <cdr:x>0.62969</cdr:x>
      <cdr:y>0.88693</cdr:y>
    </cdr:to>
    <cdr:sp macro="" textlink="">
      <cdr:nvSpPr>
        <cdr:cNvPr id="2" name="Rectangle 1"/>
        <cdr:cNvSpPr/>
      </cdr:nvSpPr>
      <cdr:spPr>
        <a:xfrm xmlns:a="http://schemas.openxmlformats.org/drawingml/2006/main">
          <a:off x="1323975" y="609600"/>
          <a:ext cx="542936" cy="1950155"/>
        </a:xfrm>
        <a:prstGeom xmlns:a="http://schemas.openxmlformats.org/drawingml/2006/main" prst="rect">
          <a:avLst/>
        </a:prstGeom>
        <a:solidFill xmlns:a="http://schemas.openxmlformats.org/drawingml/2006/main">
          <a:schemeClr val="bg1">
            <a:lumMod val="8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userShapes>
</file>

<file path=word/drawings/drawing24.xml><?xml version="1.0" encoding="utf-8"?>
<c:userShapes xmlns:c="http://schemas.openxmlformats.org/drawingml/2006/chart">
  <cdr:relSizeAnchor xmlns:cdr="http://schemas.openxmlformats.org/drawingml/2006/chartDrawing">
    <cdr:from>
      <cdr:x>0.09848</cdr:x>
      <cdr:y>0.37907</cdr:y>
    </cdr:from>
    <cdr:to>
      <cdr:x>0.12145</cdr:x>
      <cdr:y>0.78658</cdr:y>
    </cdr:to>
    <cdr:sp macro="" textlink="">
      <cdr:nvSpPr>
        <cdr:cNvPr id="4" name="Left Brace 3"/>
        <cdr:cNvSpPr/>
      </cdr:nvSpPr>
      <cdr:spPr>
        <a:xfrm xmlns:a="http://schemas.openxmlformats.org/drawingml/2006/main">
          <a:off x="610152" y="1352549"/>
          <a:ext cx="142323" cy="1454019"/>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0.26365</cdr:x>
      <cdr:y>0.35771</cdr:y>
    </cdr:from>
    <cdr:to>
      <cdr:x>0.30286</cdr:x>
      <cdr:y>0.78548</cdr:y>
    </cdr:to>
    <cdr:sp macro="" textlink="">
      <cdr:nvSpPr>
        <cdr:cNvPr id="5" name="Left Brace 4"/>
        <cdr:cNvSpPr/>
      </cdr:nvSpPr>
      <cdr:spPr>
        <a:xfrm xmlns:a="http://schemas.openxmlformats.org/drawingml/2006/main">
          <a:off x="1633496" y="1276350"/>
          <a:ext cx="242930" cy="1526294"/>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0.62726</cdr:x>
      <cdr:y>0.23225</cdr:y>
    </cdr:from>
    <cdr:to>
      <cdr:x>0.67029</cdr:x>
      <cdr:y>0.78879</cdr:y>
    </cdr:to>
    <cdr:sp macro="" textlink="">
      <cdr:nvSpPr>
        <cdr:cNvPr id="6" name="Left Brace 5"/>
        <cdr:cNvSpPr/>
      </cdr:nvSpPr>
      <cdr:spPr>
        <a:xfrm xmlns:a="http://schemas.openxmlformats.org/drawingml/2006/main">
          <a:off x="3886312" y="828674"/>
          <a:ext cx="266588" cy="1985779"/>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0.79975</cdr:x>
      <cdr:y>0.09877</cdr:y>
    </cdr:from>
    <cdr:to>
      <cdr:x>0.84093</cdr:x>
      <cdr:y>0.79663</cdr:y>
    </cdr:to>
    <cdr:sp macro="" textlink="">
      <cdr:nvSpPr>
        <cdr:cNvPr id="7" name="Left Brace 6"/>
        <cdr:cNvSpPr/>
      </cdr:nvSpPr>
      <cdr:spPr>
        <a:xfrm xmlns:a="http://schemas.openxmlformats.org/drawingml/2006/main">
          <a:off x="4955008" y="352425"/>
          <a:ext cx="255168" cy="2490003"/>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0.45508</cdr:x>
      <cdr:y>0.30166</cdr:y>
    </cdr:from>
    <cdr:to>
      <cdr:x>0.48581</cdr:x>
      <cdr:y>0.78345</cdr:y>
    </cdr:to>
    <cdr:sp macro="" textlink="">
      <cdr:nvSpPr>
        <cdr:cNvPr id="8" name="Left Brace 7"/>
        <cdr:cNvSpPr/>
      </cdr:nvSpPr>
      <cdr:spPr>
        <a:xfrm xmlns:a="http://schemas.openxmlformats.org/drawingml/2006/main">
          <a:off x="2819537" y="1076325"/>
          <a:ext cx="190363" cy="1719076"/>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drawings/drawing25.xml><?xml version="1.0" encoding="utf-8"?>
<c:userShapes xmlns:c="http://schemas.openxmlformats.org/drawingml/2006/chart">
  <cdr:relSizeAnchor xmlns:cdr="http://schemas.openxmlformats.org/drawingml/2006/chartDrawing">
    <cdr:from>
      <cdr:x>0.08659</cdr:x>
      <cdr:y>0.11241</cdr:y>
    </cdr:from>
    <cdr:to>
      <cdr:x>0.11376</cdr:x>
      <cdr:y>0.69813</cdr:y>
    </cdr:to>
    <cdr:sp macro="" textlink="">
      <cdr:nvSpPr>
        <cdr:cNvPr id="2" name="Left Brace 1"/>
        <cdr:cNvSpPr/>
      </cdr:nvSpPr>
      <cdr:spPr>
        <a:xfrm xmlns:a="http://schemas.openxmlformats.org/drawingml/2006/main">
          <a:off x="536512" y="457200"/>
          <a:ext cx="168338" cy="2382214"/>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0.26181</cdr:x>
      <cdr:y>0.13446</cdr:y>
    </cdr:from>
    <cdr:to>
      <cdr:x>0.29041</cdr:x>
      <cdr:y>0.6901</cdr:y>
    </cdr:to>
    <cdr:sp macro="" textlink="">
      <cdr:nvSpPr>
        <cdr:cNvPr id="3" name="Left Brace 2"/>
        <cdr:cNvSpPr/>
      </cdr:nvSpPr>
      <cdr:spPr>
        <a:xfrm xmlns:a="http://schemas.openxmlformats.org/drawingml/2006/main">
          <a:off x="1622075" y="546871"/>
          <a:ext cx="177197" cy="2259885"/>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0.62724</cdr:x>
      <cdr:y>0.21311</cdr:y>
    </cdr:from>
    <cdr:to>
      <cdr:x>0.65645</cdr:x>
      <cdr:y>0.70699</cdr:y>
    </cdr:to>
    <cdr:sp macro="" textlink="">
      <cdr:nvSpPr>
        <cdr:cNvPr id="4" name="Left Brace 3"/>
        <cdr:cNvSpPr/>
      </cdr:nvSpPr>
      <cdr:spPr>
        <a:xfrm xmlns:a="http://schemas.openxmlformats.org/drawingml/2006/main">
          <a:off x="3886200" y="866775"/>
          <a:ext cx="180975" cy="2008697"/>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0.82085</cdr:x>
      <cdr:y>0.1733</cdr:y>
    </cdr:from>
    <cdr:to>
      <cdr:x>0.84401</cdr:x>
      <cdr:y>0.70131</cdr:y>
    </cdr:to>
    <cdr:sp macro="" textlink="">
      <cdr:nvSpPr>
        <cdr:cNvPr id="5" name="Left Brace 4"/>
        <cdr:cNvSpPr/>
      </cdr:nvSpPr>
      <cdr:spPr>
        <a:xfrm xmlns:a="http://schemas.openxmlformats.org/drawingml/2006/main">
          <a:off x="5085736" y="704850"/>
          <a:ext cx="143489" cy="2147500"/>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0.45719</cdr:x>
      <cdr:y>0.21546</cdr:y>
    </cdr:from>
    <cdr:to>
      <cdr:x>0.48119</cdr:x>
      <cdr:y>0.70934</cdr:y>
    </cdr:to>
    <cdr:sp macro="" textlink="">
      <cdr:nvSpPr>
        <cdr:cNvPr id="6" name="Left Brace 5"/>
        <cdr:cNvSpPr/>
      </cdr:nvSpPr>
      <cdr:spPr>
        <a:xfrm xmlns:a="http://schemas.openxmlformats.org/drawingml/2006/main">
          <a:off x="2832608" y="876300"/>
          <a:ext cx="148717" cy="2008697"/>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drawings/drawing26.xml><?xml version="1.0" encoding="utf-8"?>
<c:userShapes xmlns:c="http://schemas.openxmlformats.org/drawingml/2006/chart">
  <cdr:relSizeAnchor xmlns:cdr="http://schemas.openxmlformats.org/drawingml/2006/chartDrawing">
    <cdr:from>
      <cdr:x>0.09848</cdr:x>
      <cdr:y>0.50851</cdr:y>
    </cdr:from>
    <cdr:to>
      <cdr:x>0.11991</cdr:x>
      <cdr:y>0.69709</cdr:y>
    </cdr:to>
    <cdr:sp macro="" textlink="">
      <cdr:nvSpPr>
        <cdr:cNvPr id="4" name="Left Brace 3"/>
        <cdr:cNvSpPr/>
      </cdr:nvSpPr>
      <cdr:spPr>
        <a:xfrm xmlns:a="http://schemas.openxmlformats.org/drawingml/2006/main">
          <a:off x="610152" y="2162176"/>
          <a:ext cx="132798" cy="801824"/>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0.26904</cdr:x>
      <cdr:y>0.50851</cdr:y>
    </cdr:from>
    <cdr:to>
      <cdr:x>0.2921</cdr:x>
      <cdr:y>0.69642</cdr:y>
    </cdr:to>
    <cdr:sp macro="" textlink="">
      <cdr:nvSpPr>
        <cdr:cNvPr id="5" name="Left Brace 4"/>
        <cdr:cNvSpPr/>
      </cdr:nvSpPr>
      <cdr:spPr>
        <a:xfrm xmlns:a="http://schemas.openxmlformats.org/drawingml/2006/main">
          <a:off x="1666875" y="2162161"/>
          <a:ext cx="142875" cy="798986"/>
        </a:xfrm>
        <a:prstGeom xmlns:a="http://schemas.openxmlformats.org/drawingml/2006/main" prst="leftBrace">
          <a:avLst>
            <a:gd name="adj1" fmla="val 89859"/>
            <a:gd name="adj2" fmla="val 50945"/>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0.6288</cdr:x>
      <cdr:y>0.21281</cdr:y>
    </cdr:from>
    <cdr:to>
      <cdr:x>0.65491</cdr:x>
      <cdr:y>0.71344</cdr:y>
    </cdr:to>
    <cdr:sp macro="" textlink="">
      <cdr:nvSpPr>
        <cdr:cNvPr id="6" name="Left Brace 5"/>
        <cdr:cNvSpPr/>
      </cdr:nvSpPr>
      <cdr:spPr>
        <a:xfrm xmlns:a="http://schemas.openxmlformats.org/drawingml/2006/main">
          <a:off x="3895853" y="904875"/>
          <a:ext cx="161797" cy="2128643"/>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0.8059</cdr:x>
      <cdr:y>0.08961</cdr:y>
    </cdr:from>
    <cdr:to>
      <cdr:x>0.83632</cdr:x>
      <cdr:y>0.69977</cdr:y>
    </cdr:to>
    <cdr:sp macro="" textlink="">
      <cdr:nvSpPr>
        <cdr:cNvPr id="7" name="Left Brace 6"/>
        <cdr:cNvSpPr/>
      </cdr:nvSpPr>
      <cdr:spPr>
        <a:xfrm xmlns:a="http://schemas.openxmlformats.org/drawingml/2006/main">
          <a:off x="4993111" y="381001"/>
          <a:ext cx="188489" cy="2594394"/>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0.44124</cdr:x>
      <cdr:y>0.39203</cdr:y>
    </cdr:from>
    <cdr:to>
      <cdr:x>0.47351</cdr:x>
      <cdr:y>0.69776</cdr:y>
    </cdr:to>
    <cdr:sp macro="" textlink="">
      <cdr:nvSpPr>
        <cdr:cNvPr id="8" name="Left Brace 7"/>
        <cdr:cNvSpPr/>
      </cdr:nvSpPr>
      <cdr:spPr>
        <a:xfrm xmlns:a="http://schemas.openxmlformats.org/drawingml/2006/main">
          <a:off x="2733789" y="1666875"/>
          <a:ext cx="199912" cy="1299973"/>
        </a:xfrm>
        <a:prstGeom xmlns:a="http://schemas.openxmlformats.org/drawingml/2006/main" prst="leftBrace">
          <a:avLst>
            <a:gd name="adj1" fmla="val 89859"/>
            <a:gd name="adj2" fmla="val 48978"/>
          </a:avLst>
        </a:prstGeom>
        <a:ln xmlns:a="http://schemas.openxmlformats.org/drawingml/2006/main" w="22225">
          <a:solidFill>
            <a:schemeClr val="tx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wrap="square">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0.53608</cdr:x>
      <cdr:y>0</cdr:y>
    </cdr:from>
    <cdr:to>
      <cdr:x>0.96835</cdr:x>
      <cdr:y>0.71244</cdr:y>
    </cdr:to>
    <cdr:sp macro="" textlink="">
      <cdr:nvSpPr>
        <cdr:cNvPr id="2" name="Rectangle 1"/>
        <cdr:cNvSpPr/>
      </cdr:nvSpPr>
      <cdr:spPr>
        <a:xfrm xmlns:a="http://schemas.openxmlformats.org/drawingml/2006/main">
          <a:off x="1495425" y="0"/>
          <a:ext cx="1205841" cy="1400175"/>
        </a:xfrm>
        <a:prstGeom xmlns:a="http://schemas.openxmlformats.org/drawingml/2006/main" prst="rect">
          <a:avLst/>
        </a:prstGeom>
        <a:solidFill xmlns:a="http://schemas.openxmlformats.org/drawingml/2006/main">
          <a:srgbClr val="D8E2F4">
            <a:alpha val="3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0.84458</cdr:x>
      <cdr:y>0</cdr:y>
    </cdr:from>
    <cdr:to>
      <cdr:x>0.90456</cdr:x>
      <cdr:y>0.87535</cdr:y>
    </cdr:to>
    <cdr:sp macro="" textlink="">
      <cdr:nvSpPr>
        <cdr:cNvPr id="2" name="Rectangle 1"/>
        <cdr:cNvSpPr/>
      </cdr:nvSpPr>
      <cdr:spPr>
        <a:xfrm xmlns:a="http://schemas.openxmlformats.org/drawingml/2006/main">
          <a:off x="2598419" y="0"/>
          <a:ext cx="184527" cy="1613069"/>
        </a:xfrm>
        <a:prstGeom xmlns:a="http://schemas.openxmlformats.org/drawingml/2006/main" prst="rect">
          <a:avLst/>
        </a:prstGeom>
        <a:solidFill xmlns:a="http://schemas.openxmlformats.org/drawingml/2006/main">
          <a:srgbClr val="D8E2F4">
            <a:alpha val="4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solidFill>
              <a:schemeClr val="lt1">
                <a:alpha val="55000"/>
              </a:schemeClr>
            </a:solidFill>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0.71627</cdr:x>
      <cdr:y>0</cdr:y>
    </cdr:from>
    <cdr:to>
      <cdr:x>1</cdr:x>
      <cdr:y>0.77315</cdr:y>
    </cdr:to>
    <cdr:sp macro="" textlink="">
      <cdr:nvSpPr>
        <cdr:cNvPr id="2" name="Rectangle 1"/>
        <cdr:cNvSpPr/>
      </cdr:nvSpPr>
      <cdr:spPr>
        <a:xfrm xmlns:a="http://schemas.openxmlformats.org/drawingml/2006/main">
          <a:off x="2164080" y="0"/>
          <a:ext cx="857250" cy="1463032"/>
        </a:xfrm>
        <a:prstGeom xmlns:a="http://schemas.openxmlformats.org/drawingml/2006/main" prst="rect">
          <a:avLst/>
        </a:prstGeom>
        <a:solidFill xmlns:a="http://schemas.openxmlformats.org/drawingml/2006/main">
          <a:srgbClr val="D8E2F4">
            <a:alpha val="4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0.71722</cdr:x>
      <cdr:y>0</cdr:y>
    </cdr:from>
    <cdr:to>
      <cdr:x>0.94848</cdr:x>
      <cdr:y>0.76567</cdr:y>
    </cdr:to>
    <cdr:sp macro="" textlink="">
      <cdr:nvSpPr>
        <cdr:cNvPr id="2" name="Rectangle 1"/>
        <cdr:cNvSpPr/>
      </cdr:nvSpPr>
      <cdr:spPr>
        <a:xfrm xmlns:a="http://schemas.openxmlformats.org/drawingml/2006/main">
          <a:off x="2240280" y="0"/>
          <a:ext cx="722358" cy="1430402"/>
        </a:xfrm>
        <a:prstGeom xmlns:a="http://schemas.openxmlformats.org/drawingml/2006/main" prst="rect">
          <a:avLst/>
        </a:prstGeom>
        <a:solidFill xmlns:a="http://schemas.openxmlformats.org/drawingml/2006/main">
          <a:srgbClr val="D8E2F4">
            <a:alpha val="21176"/>
          </a:srgb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7.xml><?xml version="1.0" encoding="utf-8"?>
<c:userShapes xmlns:c="http://schemas.openxmlformats.org/drawingml/2006/chart">
  <cdr:relSizeAnchor xmlns:cdr="http://schemas.openxmlformats.org/drawingml/2006/chartDrawing">
    <cdr:from>
      <cdr:x>0.70241</cdr:x>
      <cdr:y>0</cdr:y>
    </cdr:from>
    <cdr:to>
      <cdr:x>0.99974</cdr:x>
      <cdr:y>0.72419</cdr:y>
    </cdr:to>
    <cdr:sp macro="" textlink="">
      <cdr:nvSpPr>
        <cdr:cNvPr id="2" name="Rectangle 1"/>
        <cdr:cNvSpPr/>
      </cdr:nvSpPr>
      <cdr:spPr>
        <a:xfrm xmlns:a="http://schemas.openxmlformats.org/drawingml/2006/main">
          <a:off x="2179319" y="0"/>
          <a:ext cx="922483" cy="1309223"/>
        </a:xfrm>
        <a:prstGeom xmlns:a="http://schemas.openxmlformats.org/drawingml/2006/main" prst="rect">
          <a:avLst/>
        </a:prstGeom>
        <a:solidFill xmlns:a="http://schemas.openxmlformats.org/drawingml/2006/main">
          <a:srgbClr val="D8E2F4">
            <a:alpha val="4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solidFill>
              <a:schemeClr val="lt1">
                <a:alpha val="40000"/>
              </a:schemeClr>
            </a:solidFill>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0.70271</cdr:x>
      <cdr:y>0</cdr:y>
    </cdr:from>
    <cdr:to>
      <cdr:x>1</cdr:x>
      <cdr:y>0.74048</cdr:y>
    </cdr:to>
    <cdr:sp macro="" textlink="">
      <cdr:nvSpPr>
        <cdr:cNvPr id="2" name="Rectangle 1"/>
        <cdr:cNvSpPr/>
      </cdr:nvSpPr>
      <cdr:spPr>
        <a:xfrm xmlns:a="http://schemas.openxmlformats.org/drawingml/2006/main">
          <a:off x="2186939" y="0"/>
          <a:ext cx="925195" cy="1338673"/>
        </a:xfrm>
        <a:prstGeom xmlns:a="http://schemas.openxmlformats.org/drawingml/2006/main" prst="rect">
          <a:avLst/>
        </a:prstGeom>
        <a:solidFill xmlns:a="http://schemas.openxmlformats.org/drawingml/2006/main">
          <a:srgbClr val="D8E2F4">
            <a:alpha val="4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9.xml><?xml version="1.0" encoding="utf-8"?>
<c:userShapes xmlns:c="http://schemas.openxmlformats.org/drawingml/2006/chart">
  <cdr:relSizeAnchor xmlns:cdr="http://schemas.openxmlformats.org/drawingml/2006/chartDrawing">
    <cdr:from>
      <cdr:x>0.68566</cdr:x>
      <cdr:y>0.15911</cdr:y>
    </cdr:from>
    <cdr:to>
      <cdr:x>1</cdr:x>
      <cdr:y>0.80682</cdr:y>
    </cdr:to>
    <cdr:sp macro="" textlink="">
      <cdr:nvSpPr>
        <cdr:cNvPr id="2" name="Rectangle 1"/>
        <cdr:cNvSpPr/>
      </cdr:nvSpPr>
      <cdr:spPr>
        <a:xfrm xmlns:a="http://schemas.openxmlformats.org/drawingml/2006/main">
          <a:off x="2085975" y="341902"/>
          <a:ext cx="956310" cy="1391825"/>
        </a:xfrm>
        <a:prstGeom xmlns:a="http://schemas.openxmlformats.org/drawingml/2006/main" prst="rect">
          <a:avLst/>
        </a:prstGeom>
        <a:solidFill xmlns:a="http://schemas.openxmlformats.org/drawingml/2006/main">
          <a:srgbClr val="D8E2F4">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solidFill>
              <a:schemeClr val="lt1">
                <a:alpha val="40000"/>
              </a:schemeClr>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Աղյուսակ</b:Tag>
    <b:RefOrder>1</b:RefOrder>
  </b:Source>
  <b:Source>
    <b:Tag>Placeholder1</b:Tag>
    <b:SourceType>Book</b:SourceType>
    <b:Guid>{2AE0E246-06CA-492A-BE9E-19E05D9F8719}</b:Guid>
    <b:RefOrder>2</b:RefOrder>
  </b:Source>
</b:Sources>
</file>

<file path=customXml/itemProps1.xml><?xml version="1.0" encoding="utf-8"?>
<ds:datastoreItem xmlns:ds="http://schemas.openxmlformats.org/officeDocument/2006/customXml" ds:itemID="{15ACE6C5-9C77-4F3E-9C9F-63D6F1BC8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3648</TotalTime>
  <Pages>261</Pages>
  <Words>77128</Words>
  <Characters>439635</Characters>
  <Application>Microsoft Office Word</Application>
  <DocSecurity>0</DocSecurity>
  <Lines>3663</Lines>
  <Paragraphs>1031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Մ Ա Ս   I</vt:lpstr>
      <vt:lpstr>Մ Ա Ս   I</vt:lpstr>
    </vt:vector>
  </TitlesOfParts>
  <Company>Compass</Company>
  <LinksUpToDate>false</LinksUpToDate>
  <CharactersWithSpaces>515732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Մ Ա Ս   I</dc:title>
  <dc:subject/>
  <dc:creator>User</dc:creator>
  <cp:keywords>https://mul2-minfin.gov.am/tasks/729674/oneclick/2.Uxerdz_bacatragir_2024.docx?token=ab78b77f582f36ad221c8d857b1fffd1</cp:keywords>
  <dc:description/>
  <cp:lastModifiedBy>Artak Karapetyan</cp:lastModifiedBy>
  <cp:revision>453</cp:revision>
  <cp:lastPrinted>2023-12-08T07:27:00Z</cp:lastPrinted>
  <dcterms:created xsi:type="dcterms:W3CDTF">2023-09-25T04:17:00Z</dcterms:created>
  <dcterms:modified xsi:type="dcterms:W3CDTF">2023-12-11T06:54:00Z</dcterms:modified>
</cp:coreProperties>
</file>